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93D5" w14:textId="1347D881" w:rsidR="00C4200B" w:rsidRPr="001005B7" w:rsidRDefault="000A62AA" w:rsidP="00DD288E">
      <w:pPr>
        <w:pStyle w:val="Heading2"/>
        <w:rPr>
          <w:color w:val="auto"/>
        </w:rPr>
      </w:pPr>
      <w:r w:rsidRPr="001005B7">
        <w:rPr>
          <w:color w:val="auto"/>
        </w:rPr>
        <w:t>Ezekiel</w:t>
      </w:r>
      <w:r w:rsidR="00E713C5" w:rsidRPr="001005B7">
        <w:rPr>
          <w:color w:val="auto"/>
        </w:rPr>
        <w:t xml:space="preserve"> John Goldingay</w:t>
      </w:r>
    </w:p>
    <w:p w14:paraId="7D4274D8" w14:textId="77777777" w:rsidR="00BB2666" w:rsidRDefault="00BB2666" w:rsidP="003062B5">
      <w:pPr>
        <w:pStyle w:val="Heading2"/>
        <w:rPr>
          <w:color w:val="auto"/>
        </w:rPr>
      </w:pPr>
      <w:r>
        <w:rPr>
          <w:color w:val="auto"/>
        </w:rPr>
        <w:t>Contents</w:t>
      </w:r>
    </w:p>
    <w:p w14:paraId="2AE857EC" w14:textId="7D308692" w:rsidR="00BB2666" w:rsidRDefault="000666F2" w:rsidP="00DD6735">
      <w:pPr>
        <w:pStyle w:val="Heading3"/>
      </w:pPr>
      <w:r>
        <w:t>Abbreviations</w:t>
      </w:r>
    </w:p>
    <w:p w14:paraId="1E477147" w14:textId="608282C1" w:rsidR="000666F2" w:rsidRDefault="000666F2" w:rsidP="00586BC4">
      <w:pPr>
        <w:pStyle w:val="Heading3"/>
      </w:pPr>
      <w:r>
        <w:t>Introductio</w:t>
      </w:r>
      <w:r w:rsidR="00586BC4">
        <w:t>n</w:t>
      </w:r>
    </w:p>
    <w:p w14:paraId="4F9D10CE" w14:textId="7D86BA54" w:rsidR="00586BC4" w:rsidRDefault="00586BC4" w:rsidP="00586BC4">
      <w:pPr>
        <w:rPr>
          <w:lang w:eastAsia="en-GB"/>
        </w:rPr>
      </w:pPr>
      <w:r>
        <w:rPr>
          <w:lang w:eastAsia="en-GB"/>
        </w:rPr>
        <w:t>The Prophet/Priest</w:t>
      </w:r>
    </w:p>
    <w:p w14:paraId="088D7227" w14:textId="65232F52" w:rsidR="00586BC4" w:rsidRDefault="00586BC4" w:rsidP="00586BC4">
      <w:pPr>
        <w:rPr>
          <w:lang w:eastAsia="en-GB"/>
        </w:rPr>
      </w:pPr>
      <w:r>
        <w:rPr>
          <w:lang w:eastAsia="en-GB"/>
        </w:rPr>
        <w:t xml:space="preserve">The </w:t>
      </w:r>
      <w:r w:rsidR="00C90A1E">
        <w:rPr>
          <w:lang w:eastAsia="en-GB"/>
        </w:rPr>
        <w:t>Memoir</w:t>
      </w:r>
    </w:p>
    <w:p w14:paraId="140D7F0A" w14:textId="6B8B3DD6" w:rsidR="00586BC4" w:rsidRDefault="00586BC4" w:rsidP="00586BC4">
      <w:pPr>
        <w:rPr>
          <w:lang w:eastAsia="en-GB"/>
        </w:rPr>
      </w:pPr>
      <w:r>
        <w:rPr>
          <w:lang w:eastAsia="en-GB"/>
        </w:rPr>
        <w:t>The Scroll</w:t>
      </w:r>
    </w:p>
    <w:p w14:paraId="680263CC" w14:textId="5B166806" w:rsidR="00586BC4" w:rsidRDefault="00586BC4" w:rsidP="00586BC4">
      <w:pPr>
        <w:rPr>
          <w:lang w:eastAsia="en-GB"/>
        </w:rPr>
      </w:pPr>
      <w:r>
        <w:rPr>
          <w:lang w:eastAsia="en-GB"/>
        </w:rPr>
        <w:t>The Theology</w:t>
      </w:r>
    </w:p>
    <w:p w14:paraId="2452F24E" w14:textId="221EEC69" w:rsidR="00586BC4" w:rsidRDefault="00586BC4" w:rsidP="00586BC4">
      <w:pPr>
        <w:rPr>
          <w:lang w:eastAsia="en-GB"/>
        </w:rPr>
      </w:pPr>
      <w:r>
        <w:rPr>
          <w:lang w:eastAsia="en-GB"/>
        </w:rPr>
        <w:t xml:space="preserve">The Origin </w:t>
      </w:r>
      <w:r w:rsidR="00C90A1E">
        <w:rPr>
          <w:lang w:eastAsia="en-GB"/>
        </w:rPr>
        <w:t>o</w:t>
      </w:r>
      <w:r>
        <w:rPr>
          <w:lang w:eastAsia="en-GB"/>
        </w:rPr>
        <w:t>f the Ezekiel Scroll</w:t>
      </w:r>
    </w:p>
    <w:p w14:paraId="4B86AA09" w14:textId="11CAA657" w:rsidR="00586BC4" w:rsidRDefault="00586BC4" w:rsidP="00586BC4">
      <w:pPr>
        <w:rPr>
          <w:lang w:eastAsia="en-GB"/>
        </w:rPr>
      </w:pPr>
      <w:r>
        <w:rPr>
          <w:lang w:eastAsia="en-GB"/>
        </w:rPr>
        <w:t>The Poetry, the Prose, and the Translation</w:t>
      </w:r>
    </w:p>
    <w:p w14:paraId="4F61DD4B" w14:textId="2246AC4A" w:rsidR="000D6C11" w:rsidRDefault="000D6C11" w:rsidP="00586BC4">
      <w:pPr>
        <w:rPr>
          <w:lang w:eastAsia="en-GB"/>
        </w:rPr>
      </w:pPr>
      <w:r>
        <w:rPr>
          <w:lang w:eastAsia="en-GB"/>
        </w:rPr>
        <w:t>Ezekiel over the Millennia</w:t>
      </w:r>
    </w:p>
    <w:p w14:paraId="657EC5BB" w14:textId="1FCCD315" w:rsidR="000D6C11" w:rsidRDefault="000D6C11" w:rsidP="00586BC4">
      <w:pPr>
        <w:rPr>
          <w:lang w:eastAsia="en-GB"/>
        </w:rPr>
      </w:pPr>
      <w:r>
        <w:rPr>
          <w:lang w:eastAsia="en-GB"/>
        </w:rPr>
        <w:t>Selected Bibliography</w:t>
      </w:r>
    </w:p>
    <w:p w14:paraId="0A72B580" w14:textId="2BD75D7F" w:rsidR="001F601F" w:rsidRDefault="001F601F" w:rsidP="001F601F">
      <w:pPr>
        <w:pStyle w:val="Heading3"/>
      </w:pPr>
      <w:r>
        <w:t>Commentary Bibliography</w:t>
      </w:r>
    </w:p>
    <w:p w14:paraId="785FC4F5" w14:textId="262B95CD" w:rsidR="00865312" w:rsidRDefault="0031306D" w:rsidP="0031306D">
      <w:pPr>
        <w:pStyle w:val="Heading3"/>
      </w:pPr>
      <w:r>
        <w:t>Part One: Yahweh’s Messages to Ezekiel</w:t>
      </w:r>
      <w:r w:rsidR="003E6B61">
        <w:t>, Year Five (1:1</w:t>
      </w:r>
      <w:r w:rsidR="00962E2B">
        <w:t>–</w:t>
      </w:r>
      <w:r w:rsidR="003E6B61">
        <w:t>7:27)</w:t>
      </w:r>
    </w:p>
    <w:p w14:paraId="16A1421C" w14:textId="3D73A80B" w:rsidR="003E6B61" w:rsidRDefault="00A1411B" w:rsidP="003E6B61">
      <w:pPr>
        <w:rPr>
          <w:lang w:eastAsia="en-GB"/>
        </w:rPr>
      </w:pPr>
      <w:r>
        <w:rPr>
          <w:lang w:eastAsia="en-GB"/>
        </w:rPr>
        <w:t>Preface (1:1</w:t>
      </w:r>
      <w:r w:rsidR="00962E2B">
        <w:rPr>
          <w:lang w:eastAsia="en-GB"/>
        </w:rPr>
        <w:t>–</w:t>
      </w:r>
      <w:r>
        <w:rPr>
          <w:lang w:eastAsia="en-GB"/>
        </w:rPr>
        <w:t>3)</w:t>
      </w:r>
    </w:p>
    <w:p w14:paraId="7E840083" w14:textId="5AF8804A" w:rsidR="00A1411B" w:rsidRDefault="00E133E9" w:rsidP="003E6B61">
      <w:pPr>
        <w:rPr>
          <w:lang w:eastAsia="en-GB"/>
        </w:rPr>
      </w:pPr>
      <w:r>
        <w:rPr>
          <w:lang w:eastAsia="en-GB"/>
        </w:rPr>
        <w:t>Yahweh Appears in His Magnificence (1:4</w:t>
      </w:r>
      <w:r w:rsidR="00962E2B">
        <w:rPr>
          <w:lang w:eastAsia="en-GB"/>
        </w:rPr>
        <w:t>–</w:t>
      </w:r>
      <w:r>
        <w:rPr>
          <w:lang w:eastAsia="en-GB"/>
        </w:rPr>
        <w:t>28b</w:t>
      </w:r>
      <w:r w:rsidR="005A6989">
        <w:rPr>
          <w:rFonts w:cstheme="minorHAnsi"/>
          <w:lang w:eastAsia="en-GB"/>
        </w:rPr>
        <w:t>α</w:t>
      </w:r>
    </w:p>
    <w:p w14:paraId="4CA3AD48" w14:textId="647056DE" w:rsidR="005A6989" w:rsidRDefault="005A6989" w:rsidP="003E6B61">
      <w:pPr>
        <w:rPr>
          <w:lang w:eastAsia="en-GB"/>
        </w:rPr>
      </w:pPr>
      <w:r>
        <w:rPr>
          <w:lang w:eastAsia="en-GB"/>
        </w:rPr>
        <w:t>Yahweh’s Issues a Commission (1:28</w:t>
      </w:r>
      <w:r w:rsidR="00352339">
        <w:rPr>
          <w:lang w:eastAsia="en-GB"/>
        </w:rPr>
        <w:t>b</w:t>
      </w:r>
      <w:r w:rsidR="00352339">
        <w:rPr>
          <w:rFonts w:cstheme="minorHAnsi"/>
          <w:lang w:eastAsia="en-GB"/>
        </w:rPr>
        <w:t>β</w:t>
      </w:r>
      <w:r w:rsidR="00962E2B">
        <w:rPr>
          <w:lang w:eastAsia="en-GB"/>
        </w:rPr>
        <w:t>–</w:t>
      </w:r>
      <w:r w:rsidR="00352339">
        <w:rPr>
          <w:lang w:eastAsia="en-GB"/>
        </w:rPr>
        <w:t>3:15</w:t>
      </w:r>
    </w:p>
    <w:p w14:paraId="35C1B229" w14:textId="4CCEAD80" w:rsidR="00352339" w:rsidRDefault="00352339" w:rsidP="003E6B61">
      <w:pPr>
        <w:rPr>
          <w:lang w:eastAsia="en-GB"/>
        </w:rPr>
      </w:pPr>
      <w:r>
        <w:rPr>
          <w:lang w:eastAsia="en-GB"/>
        </w:rPr>
        <w:t>Yahweh Sends a Lookout (3:16</w:t>
      </w:r>
      <w:r w:rsidR="00962E2B">
        <w:rPr>
          <w:lang w:eastAsia="en-GB"/>
        </w:rPr>
        <w:t>–</w:t>
      </w:r>
      <w:r>
        <w:rPr>
          <w:lang w:eastAsia="en-GB"/>
        </w:rPr>
        <w:t>27)</w:t>
      </w:r>
    </w:p>
    <w:p w14:paraId="7C57B3DE" w14:textId="2CB24660" w:rsidR="0023579C" w:rsidRDefault="0023579C" w:rsidP="003E6B61">
      <w:pPr>
        <w:rPr>
          <w:lang w:eastAsia="en-GB"/>
        </w:rPr>
      </w:pPr>
      <w:r>
        <w:rPr>
          <w:lang w:eastAsia="en-GB"/>
        </w:rPr>
        <w:t>Yahweh Orders Signs Concerning Jerusalem (4:1</w:t>
      </w:r>
      <w:r w:rsidR="00962E2B">
        <w:rPr>
          <w:lang w:eastAsia="en-GB"/>
        </w:rPr>
        <w:t>–</w:t>
      </w:r>
      <w:r>
        <w:rPr>
          <w:lang w:eastAsia="en-GB"/>
        </w:rPr>
        <w:t>5:4)</w:t>
      </w:r>
    </w:p>
    <w:p w14:paraId="7A262DE5" w14:textId="6CDE7432" w:rsidR="00D71CAF" w:rsidRDefault="00D71CAF" w:rsidP="003E6B61">
      <w:pPr>
        <w:rPr>
          <w:lang w:eastAsia="en-GB"/>
        </w:rPr>
      </w:pPr>
      <w:r>
        <w:rPr>
          <w:lang w:eastAsia="en-GB"/>
        </w:rPr>
        <w:t>Yahweh Issues Threats Concerning Jerusalem (5:5</w:t>
      </w:r>
      <w:r w:rsidR="00962E2B">
        <w:rPr>
          <w:lang w:eastAsia="en-GB"/>
        </w:rPr>
        <w:t>–</w:t>
      </w:r>
      <w:r>
        <w:rPr>
          <w:lang w:eastAsia="en-GB"/>
        </w:rPr>
        <w:t>6:14)</w:t>
      </w:r>
    </w:p>
    <w:p w14:paraId="23F1E7D5" w14:textId="42690A5D" w:rsidR="00D10D7F" w:rsidRDefault="000459CD" w:rsidP="003E6B61">
      <w:pPr>
        <w:rPr>
          <w:lang w:eastAsia="en-GB"/>
        </w:rPr>
      </w:pPr>
      <w:r>
        <w:rPr>
          <w:lang w:eastAsia="en-GB"/>
        </w:rPr>
        <w:t>Yahweh</w:t>
      </w:r>
      <w:r w:rsidR="00D10D7F">
        <w:rPr>
          <w:lang w:eastAsia="en-GB"/>
        </w:rPr>
        <w:t xml:space="preserve"> </w:t>
      </w:r>
      <w:r w:rsidR="00962E2B">
        <w:rPr>
          <w:lang w:eastAsia="en-GB"/>
        </w:rPr>
        <w:t>Decrees</w:t>
      </w:r>
      <w:r w:rsidR="00D10D7F">
        <w:rPr>
          <w:lang w:eastAsia="en-GB"/>
        </w:rPr>
        <w:t xml:space="preserve"> that the End Is Here (7:1</w:t>
      </w:r>
      <w:r w:rsidR="00962E2B">
        <w:rPr>
          <w:lang w:eastAsia="en-GB"/>
        </w:rPr>
        <w:t>–</w:t>
      </w:r>
      <w:r w:rsidR="00D10D7F">
        <w:rPr>
          <w:lang w:eastAsia="en-GB"/>
        </w:rPr>
        <w:t>27)</w:t>
      </w:r>
    </w:p>
    <w:p w14:paraId="6C624166" w14:textId="4C76B5B5" w:rsidR="00D10D7F" w:rsidRDefault="00FE124F" w:rsidP="00FE124F">
      <w:pPr>
        <w:pStyle w:val="Heading3"/>
      </w:pPr>
      <w:r>
        <w:t xml:space="preserve">Part Two: </w:t>
      </w:r>
      <w:r w:rsidR="000459CD">
        <w:t>Yahweh’s</w:t>
      </w:r>
      <w:r>
        <w:t xml:space="preserve"> Messages to Ezekiel</w:t>
      </w:r>
      <w:r w:rsidR="00A551CE">
        <w:t>, Year Six (8:1</w:t>
      </w:r>
      <w:r w:rsidR="00962E2B">
        <w:t>–</w:t>
      </w:r>
      <w:r w:rsidR="00DB067D">
        <w:t>19:14)</w:t>
      </w:r>
    </w:p>
    <w:p w14:paraId="0EF74776" w14:textId="1D5AA314" w:rsidR="00A551CE" w:rsidRDefault="00A551CE" w:rsidP="00A551CE">
      <w:pPr>
        <w:rPr>
          <w:lang w:eastAsia="en-GB"/>
        </w:rPr>
      </w:pPr>
      <w:r>
        <w:rPr>
          <w:lang w:eastAsia="en-GB"/>
        </w:rPr>
        <w:t>Outrages in the Temple (8:1</w:t>
      </w:r>
      <w:r w:rsidR="00962E2B">
        <w:rPr>
          <w:lang w:eastAsia="en-GB"/>
        </w:rPr>
        <w:t>–</w:t>
      </w:r>
      <w:r>
        <w:rPr>
          <w:lang w:eastAsia="en-GB"/>
        </w:rPr>
        <w:t>18)</w:t>
      </w:r>
    </w:p>
    <w:p w14:paraId="58F50AA5" w14:textId="583A1627" w:rsidR="000459CD" w:rsidRDefault="000459CD" w:rsidP="00A551CE">
      <w:pPr>
        <w:rPr>
          <w:lang w:eastAsia="en-GB"/>
        </w:rPr>
      </w:pPr>
      <w:r>
        <w:rPr>
          <w:lang w:eastAsia="en-GB"/>
        </w:rPr>
        <w:t>The Executioners and the Marker (9:1</w:t>
      </w:r>
      <w:r w:rsidR="00962E2B">
        <w:rPr>
          <w:lang w:eastAsia="en-GB"/>
        </w:rPr>
        <w:t>–</w:t>
      </w:r>
      <w:r>
        <w:rPr>
          <w:lang w:eastAsia="en-GB"/>
        </w:rPr>
        <w:t xml:space="preserve">11) </w:t>
      </w:r>
    </w:p>
    <w:p w14:paraId="792834F2" w14:textId="4A28625F" w:rsidR="00085930" w:rsidRDefault="00085930" w:rsidP="00A551CE">
      <w:pPr>
        <w:rPr>
          <w:lang w:eastAsia="en-GB"/>
        </w:rPr>
      </w:pPr>
      <w:r>
        <w:rPr>
          <w:lang w:eastAsia="en-GB"/>
        </w:rPr>
        <w:t>The Magnificence of Yahweh Lifts (10:</w:t>
      </w:r>
      <w:r w:rsidR="0013098A">
        <w:rPr>
          <w:lang w:eastAsia="en-GB"/>
        </w:rPr>
        <w:t>1</w:t>
      </w:r>
      <w:r w:rsidR="00962E2B">
        <w:rPr>
          <w:lang w:eastAsia="en-GB"/>
        </w:rPr>
        <w:t>–</w:t>
      </w:r>
      <w:r w:rsidR="0013098A">
        <w:rPr>
          <w:lang w:eastAsia="en-GB"/>
        </w:rPr>
        <w:t>22)</w:t>
      </w:r>
    </w:p>
    <w:p w14:paraId="1E33969A" w14:textId="21415E80" w:rsidR="0013098A" w:rsidRDefault="0013098A" w:rsidP="00A551CE">
      <w:pPr>
        <w:rPr>
          <w:lang w:eastAsia="en-GB"/>
        </w:rPr>
      </w:pPr>
      <w:r>
        <w:rPr>
          <w:lang w:eastAsia="en-GB"/>
        </w:rPr>
        <w:t>A Threat and a Promise (11:1</w:t>
      </w:r>
      <w:r w:rsidR="00962E2B">
        <w:rPr>
          <w:lang w:eastAsia="en-GB"/>
        </w:rPr>
        <w:t>–</w:t>
      </w:r>
      <w:r>
        <w:rPr>
          <w:lang w:eastAsia="en-GB"/>
        </w:rPr>
        <w:t>25)</w:t>
      </w:r>
    </w:p>
    <w:p w14:paraId="5349C4FE" w14:textId="3272AD28" w:rsidR="00DB067D" w:rsidRDefault="00E74D7A" w:rsidP="00A551CE">
      <w:pPr>
        <w:rPr>
          <w:lang w:eastAsia="en-GB"/>
        </w:rPr>
      </w:pPr>
      <w:r>
        <w:rPr>
          <w:lang w:eastAsia="en-GB"/>
        </w:rPr>
        <w:t>Getting Ready to Flee (12:1</w:t>
      </w:r>
      <w:r w:rsidR="00962E2B">
        <w:rPr>
          <w:lang w:eastAsia="en-GB"/>
        </w:rPr>
        <w:t>–</w:t>
      </w:r>
      <w:r>
        <w:rPr>
          <w:lang w:eastAsia="en-GB"/>
        </w:rPr>
        <w:t>20)</w:t>
      </w:r>
    </w:p>
    <w:p w14:paraId="2C886F9A" w14:textId="14310D6C" w:rsidR="00E74D7A" w:rsidRDefault="00E74D7A" w:rsidP="00A551CE">
      <w:pPr>
        <w:rPr>
          <w:lang w:eastAsia="en-GB"/>
        </w:rPr>
      </w:pPr>
      <w:r>
        <w:rPr>
          <w:lang w:eastAsia="en-GB"/>
        </w:rPr>
        <w:t>Prophecy and Imagination (12:21</w:t>
      </w:r>
      <w:r w:rsidR="00962E2B">
        <w:rPr>
          <w:lang w:eastAsia="en-GB"/>
        </w:rPr>
        <w:t>–</w:t>
      </w:r>
      <w:r>
        <w:rPr>
          <w:lang w:eastAsia="en-GB"/>
        </w:rPr>
        <w:t>14:11)</w:t>
      </w:r>
    </w:p>
    <w:p w14:paraId="3F60E371" w14:textId="03179DBE" w:rsidR="003F37C0" w:rsidRDefault="003F37C0" w:rsidP="00A551CE">
      <w:pPr>
        <w:rPr>
          <w:lang w:eastAsia="en-GB"/>
        </w:rPr>
      </w:pPr>
      <w:r>
        <w:rPr>
          <w:lang w:eastAsia="en-GB"/>
        </w:rPr>
        <w:t>The Utter Desolation of Jerusalem (14:12</w:t>
      </w:r>
      <w:r w:rsidR="00962E2B">
        <w:rPr>
          <w:lang w:eastAsia="en-GB"/>
        </w:rPr>
        <w:t>–</w:t>
      </w:r>
      <w:r w:rsidR="00490B04">
        <w:rPr>
          <w:lang w:eastAsia="en-GB"/>
        </w:rPr>
        <w:t>15:8)</w:t>
      </w:r>
    </w:p>
    <w:p w14:paraId="155B3C06" w14:textId="1202645B" w:rsidR="00490B04" w:rsidRDefault="00490B04" w:rsidP="00A551CE">
      <w:pPr>
        <w:rPr>
          <w:lang w:eastAsia="en-GB"/>
        </w:rPr>
      </w:pPr>
      <w:r>
        <w:rPr>
          <w:lang w:eastAsia="en-GB"/>
        </w:rPr>
        <w:t>Jerusalem’s Covenant (16:1</w:t>
      </w:r>
      <w:r w:rsidR="00962E2B">
        <w:rPr>
          <w:lang w:eastAsia="en-GB"/>
        </w:rPr>
        <w:t>–</w:t>
      </w:r>
      <w:r>
        <w:rPr>
          <w:lang w:eastAsia="en-GB"/>
        </w:rPr>
        <w:t>63)</w:t>
      </w:r>
    </w:p>
    <w:p w14:paraId="3D28ADBF" w14:textId="5F0E883E" w:rsidR="00D37670" w:rsidRDefault="00D37670" w:rsidP="00A551CE">
      <w:pPr>
        <w:rPr>
          <w:lang w:eastAsia="en-GB"/>
        </w:rPr>
      </w:pPr>
      <w:r>
        <w:rPr>
          <w:lang w:eastAsia="en-GB"/>
        </w:rPr>
        <w:t xml:space="preserve">The Eagles, the Cedars, and the Vine </w:t>
      </w:r>
      <w:r w:rsidR="00734EEB">
        <w:rPr>
          <w:lang w:eastAsia="en-GB"/>
        </w:rPr>
        <w:t>(17:1</w:t>
      </w:r>
      <w:r w:rsidR="00962E2B">
        <w:rPr>
          <w:lang w:eastAsia="en-GB"/>
        </w:rPr>
        <w:t>–</w:t>
      </w:r>
      <w:r w:rsidR="00734EEB">
        <w:rPr>
          <w:lang w:eastAsia="en-GB"/>
        </w:rPr>
        <w:t>24)</w:t>
      </w:r>
    </w:p>
    <w:p w14:paraId="7E5F255F" w14:textId="13E39FAB" w:rsidR="00734EEB" w:rsidRDefault="00734EEB" w:rsidP="00A551CE">
      <w:pPr>
        <w:rPr>
          <w:lang w:eastAsia="en-GB"/>
        </w:rPr>
      </w:pPr>
      <w:r>
        <w:rPr>
          <w:lang w:eastAsia="en-GB"/>
        </w:rPr>
        <w:t>The Freedom to Repent (18:1</w:t>
      </w:r>
      <w:r w:rsidR="00962E2B">
        <w:rPr>
          <w:lang w:eastAsia="en-GB"/>
        </w:rPr>
        <w:t>–</w:t>
      </w:r>
      <w:r>
        <w:rPr>
          <w:lang w:eastAsia="en-GB"/>
        </w:rPr>
        <w:t>32)</w:t>
      </w:r>
    </w:p>
    <w:p w14:paraId="3DAE6580" w14:textId="766DDB5E" w:rsidR="00734EEB" w:rsidRDefault="00734EEB" w:rsidP="00A551CE">
      <w:pPr>
        <w:rPr>
          <w:lang w:eastAsia="en-GB"/>
        </w:rPr>
      </w:pPr>
      <w:r>
        <w:rPr>
          <w:lang w:eastAsia="en-GB"/>
        </w:rPr>
        <w:t xml:space="preserve">Elegies for a Doomed Dynasty </w:t>
      </w:r>
      <w:r w:rsidR="002D6014">
        <w:rPr>
          <w:lang w:eastAsia="en-GB"/>
        </w:rPr>
        <w:t>and</w:t>
      </w:r>
      <w:r>
        <w:rPr>
          <w:lang w:eastAsia="en-GB"/>
        </w:rPr>
        <w:t xml:space="preserve"> a Doomed</w:t>
      </w:r>
      <w:r w:rsidR="002D6014">
        <w:rPr>
          <w:lang w:eastAsia="en-GB"/>
        </w:rPr>
        <w:t xml:space="preserve"> People (19:1</w:t>
      </w:r>
      <w:r w:rsidR="00962E2B">
        <w:rPr>
          <w:lang w:eastAsia="en-GB"/>
        </w:rPr>
        <w:t>–</w:t>
      </w:r>
      <w:r w:rsidR="002D6014">
        <w:rPr>
          <w:lang w:eastAsia="en-GB"/>
        </w:rPr>
        <w:t>14)</w:t>
      </w:r>
    </w:p>
    <w:p w14:paraId="0DC90F7D" w14:textId="743F49C9" w:rsidR="004963D0" w:rsidRDefault="004963D0" w:rsidP="004963D0">
      <w:pPr>
        <w:pStyle w:val="Heading3"/>
      </w:pPr>
      <w:r>
        <w:t>Part Three: Yahweh’s Messages to Ezekiel, Year</w:t>
      </w:r>
      <w:r w:rsidR="00A849BB">
        <w:t xml:space="preserve"> Seven (21:1</w:t>
      </w:r>
      <w:r w:rsidR="00962E2B">
        <w:t>–</w:t>
      </w:r>
      <w:r w:rsidR="00A849BB">
        <w:t>23:49)</w:t>
      </w:r>
    </w:p>
    <w:p w14:paraId="3D8CFF56" w14:textId="5495FFF9" w:rsidR="00A849BB" w:rsidRDefault="00A849BB" w:rsidP="00A849BB">
      <w:pPr>
        <w:rPr>
          <w:lang w:eastAsia="en-GB"/>
        </w:rPr>
      </w:pPr>
      <w:r>
        <w:rPr>
          <w:lang w:eastAsia="en-GB"/>
        </w:rPr>
        <w:t xml:space="preserve">A </w:t>
      </w:r>
      <w:r w:rsidR="00EC6017">
        <w:rPr>
          <w:lang w:eastAsia="en-GB"/>
        </w:rPr>
        <w:t>Confrontational</w:t>
      </w:r>
      <w:r>
        <w:rPr>
          <w:lang w:eastAsia="en-GB"/>
        </w:rPr>
        <w:t xml:space="preserve"> Stor</w:t>
      </w:r>
      <w:r w:rsidR="00611C6D">
        <w:rPr>
          <w:lang w:eastAsia="en-GB"/>
        </w:rPr>
        <w:t>y of</w:t>
      </w:r>
      <w:r w:rsidR="00EC6017">
        <w:rPr>
          <w:lang w:eastAsia="en-GB"/>
        </w:rPr>
        <w:t xml:space="preserve"> Outrages, Fury, and a Name (20:1</w:t>
      </w:r>
      <w:r w:rsidR="00962E2B">
        <w:rPr>
          <w:lang w:eastAsia="en-GB"/>
        </w:rPr>
        <w:t>–</w:t>
      </w:r>
      <w:r w:rsidR="00EC6017">
        <w:rPr>
          <w:lang w:eastAsia="en-GB"/>
        </w:rPr>
        <w:t>44)</w:t>
      </w:r>
    </w:p>
    <w:p w14:paraId="1ABE1366" w14:textId="2A23545F" w:rsidR="00EC6017" w:rsidRDefault="00EC6017" w:rsidP="00A849BB">
      <w:pPr>
        <w:rPr>
          <w:lang w:eastAsia="en-GB"/>
        </w:rPr>
      </w:pPr>
      <w:r>
        <w:rPr>
          <w:lang w:eastAsia="en-GB"/>
        </w:rPr>
        <w:t>The Sword of Damocles (20:45</w:t>
      </w:r>
      <w:r w:rsidR="00962E2B">
        <w:rPr>
          <w:lang w:eastAsia="en-GB"/>
        </w:rPr>
        <w:t>–</w:t>
      </w:r>
      <w:r>
        <w:rPr>
          <w:lang w:eastAsia="en-GB"/>
        </w:rPr>
        <w:t>21:</w:t>
      </w:r>
      <w:r w:rsidR="00066AE4">
        <w:rPr>
          <w:lang w:eastAsia="en-GB"/>
        </w:rPr>
        <w:t>32 (21:1</w:t>
      </w:r>
      <w:r w:rsidR="00962E2B">
        <w:rPr>
          <w:lang w:eastAsia="en-GB"/>
        </w:rPr>
        <w:t>–</w:t>
      </w:r>
      <w:r w:rsidR="00066AE4">
        <w:rPr>
          <w:lang w:eastAsia="en-GB"/>
        </w:rPr>
        <w:t>37)</w:t>
      </w:r>
    </w:p>
    <w:p w14:paraId="7CBBE13F" w14:textId="122C6659" w:rsidR="00066AE4" w:rsidRDefault="008B5F0E" w:rsidP="00A849BB">
      <w:pPr>
        <w:rPr>
          <w:lang w:eastAsia="en-GB"/>
        </w:rPr>
      </w:pPr>
      <w:r>
        <w:rPr>
          <w:lang w:eastAsia="en-GB"/>
        </w:rPr>
        <w:t>Bloodshed Ci</w:t>
      </w:r>
      <w:r w:rsidR="00962E2B">
        <w:rPr>
          <w:lang w:eastAsia="en-GB"/>
        </w:rPr>
        <w:t>t</w:t>
      </w:r>
      <w:r>
        <w:rPr>
          <w:lang w:eastAsia="en-GB"/>
        </w:rPr>
        <w:t xml:space="preserve">y, Slag Household, </w:t>
      </w:r>
      <w:r w:rsidR="009C0340">
        <w:rPr>
          <w:lang w:eastAsia="en-GB"/>
        </w:rPr>
        <w:t>Grunge Country (22:1</w:t>
      </w:r>
      <w:r w:rsidR="00962E2B">
        <w:rPr>
          <w:lang w:eastAsia="en-GB"/>
        </w:rPr>
        <w:t>–</w:t>
      </w:r>
      <w:r w:rsidR="009C0340">
        <w:rPr>
          <w:lang w:eastAsia="en-GB"/>
        </w:rPr>
        <w:t>31)</w:t>
      </w:r>
    </w:p>
    <w:p w14:paraId="328E68BF" w14:textId="617E6941" w:rsidR="009C0340" w:rsidRDefault="00E7454A" w:rsidP="00A849BB">
      <w:pPr>
        <w:rPr>
          <w:lang w:eastAsia="en-GB"/>
        </w:rPr>
      </w:pPr>
      <w:r>
        <w:rPr>
          <w:lang w:eastAsia="en-GB"/>
        </w:rPr>
        <w:t>The Two Sisters (23:1</w:t>
      </w:r>
      <w:r w:rsidR="00962E2B">
        <w:rPr>
          <w:lang w:eastAsia="en-GB"/>
        </w:rPr>
        <w:t>–</w:t>
      </w:r>
      <w:r>
        <w:rPr>
          <w:lang w:eastAsia="en-GB"/>
        </w:rPr>
        <w:t>49)</w:t>
      </w:r>
    </w:p>
    <w:p w14:paraId="50536A8F" w14:textId="072E7587" w:rsidR="00744499" w:rsidRDefault="00744499" w:rsidP="00744499">
      <w:pPr>
        <w:pStyle w:val="Heading3"/>
      </w:pPr>
      <w:r>
        <w:lastRenderedPageBreak/>
        <w:t>Part Four: Yahweh’s Message</w:t>
      </w:r>
      <w:r w:rsidR="0075667C">
        <w:t>s</w:t>
      </w:r>
      <w:r>
        <w:t xml:space="preserve"> to Ezekiel, Year</w:t>
      </w:r>
      <w:r w:rsidR="008C12F4">
        <w:t xml:space="preserve"> Nine (24:1</w:t>
      </w:r>
      <w:r w:rsidR="00962E2B">
        <w:t>–</w:t>
      </w:r>
      <w:r w:rsidR="001F2904">
        <w:t>33:20</w:t>
      </w:r>
      <w:r w:rsidR="00885054">
        <w:t>)</w:t>
      </w:r>
    </w:p>
    <w:p w14:paraId="42E36952" w14:textId="1379FC2C" w:rsidR="008C12F4" w:rsidRDefault="008C12F4" w:rsidP="008C12F4">
      <w:pPr>
        <w:rPr>
          <w:lang w:eastAsia="en-GB"/>
        </w:rPr>
      </w:pPr>
      <w:r>
        <w:rPr>
          <w:lang w:eastAsia="en-GB"/>
        </w:rPr>
        <w:t>The News about the Siege (24:1</w:t>
      </w:r>
      <w:r w:rsidR="00962E2B">
        <w:rPr>
          <w:lang w:eastAsia="en-GB"/>
        </w:rPr>
        <w:t>–</w:t>
      </w:r>
      <w:r>
        <w:rPr>
          <w:lang w:eastAsia="en-GB"/>
        </w:rPr>
        <w:t>14)</w:t>
      </w:r>
    </w:p>
    <w:p w14:paraId="284E0608" w14:textId="2F9F12CD" w:rsidR="008C12F4" w:rsidRDefault="001D38DB" w:rsidP="008C12F4">
      <w:pPr>
        <w:rPr>
          <w:lang w:eastAsia="en-GB"/>
        </w:rPr>
      </w:pPr>
      <w:r>
        <w:rPr>
          <w:lang w:eastAsia="en-GB"/>
        </w:rPr>
        <w:t>The Death of Ezekiel’s Wife (24:15</w:t>
      </w:r>
      <w:r w:rsidR="00962E2B">
        <w:rPr>
          <w:lang w:eastAsia="en-GB"/>
        </w:rPr>
        <w:t>–</w:t>
      </w:r>
      <w:r>
        <w:rPr>
          <w:lang w:eastAsia="en-GB"/>
        </w:rPr>
        <w:t>27)</w:t>
      </w:r>
    </w:p>
    <w:p w14:paraId="6F3AAC8C" w14:textId="34A550C7" w:rsidR="001D38DB" w:rsidRDefault="001D38DB" w:rsidP="008C12F4">
      <w:pPr>
        <w:rPr>
          <w:lang w:eastAsia="en-GB"/>
        </w:rPr>
      </w:pPr>
      <w:r>
        <w:rPr>
          <w:lang w:eastAsia="en-GB"/>
        </w:rPr>
        <w:t xml:space="preserve">The </w:t>
      </w:r>
      <w:r w:rsidR="00514976">
        <w:rPr>
          <w:lang w:eastAsia="en-GB"/>
        </w:rPr>
        <w:t>Neighbors</w:t>
      </w:r>
      <w:r>
        <w:rPr>
          <w:lang w:eastAsia="en-GB"/>
        </w:rPr>
        <w:t>: Profanation</w:t>
      </w:r>
      <w:r w:rsidR="00570012">
        <w:rPr>
          <w:lang w:eastAsia="en-GB"/>
        </w:rPr>
        <w:t xml:space="preserve"> and Redress (25:</w:t>
      </w:r>
      <w:r w:rsidR="00702CCF">
        <w:rPr>
          <w:lang w:eastAsia="en-GB"/>
        </w:rPr>
        <w:t>1</w:t>
      </w:r>
      <w:r w:rsidR="00962E2B">
        <w:rPr>
          <w:lang w:eastAsia="en-GB"/>
        </w:rPr>
        <w:t>–</w:t>
      </w:r>
      <w:r w:rsidR="00702CCF">
        <w:rPr>
          <w:lang w:eastAsia="en-GB"/>
        </w:rPr>
        <w:t>17)</w:t>
      </w:r>
    </w:p>
    <w:p w14:paraId="58EF168A" w14:textId="5F5568C6" w:rsidR="00702CCF" w:rsidRDefault="00702CCF" w:rsidP="008C12F4">
      <w:pPr>
        <w:rPr>
          <w:lang w:eastAsia="en-GB"/>
        </w:rPr>
      </w:pPr>
      <w:r>
        <w:rPr>
          <w:lang w:eastAsia="en-GB"/>
        </w:rPr>
        <w:t>I Am A Rock, I am an Island (26:1</w:t>
      </w:r>
      <w:r w:rsidR="00962E2B">
        <w:rPr>
          <w:lang w:eastAsia="en-GB"/>
        </w:rPr>
        <w:t>–</w:t>
      </w:r>
      <w:r>
        <w:rPr>
          <w:lang w:eastAsia="en-GB"/>
        </w:rPr>
        <w:t>21)</w:t>
      </w:r>
    </w:p>
    <w:p w14:paraId="60A9A619" w14:textId="4C700ADD" w:rsidR="00664789" w:rsidRDefault="00664789" w:rsidP="008C12F4">
      <w:pPr>
        <w:rPr>
          <w:lang w:eastAsia="en-GB"/>
        </w:rPr>
      </w:pPr>
      <w:r>
        <w:rPr>
          <w:lang w:eastAsia="en-GB"/>
        </w:rPr>
        <w:t>The Fall of the Titanic (27:1</w:t>
      </w:r>
      <w:r w:rsidR="00962E2B">
        <w:rPr>
          <w:lang w:eastAsia="en-GB"/>
        </w:rPr>
        <w:t>–</w:t>
      </w:r>
      <w:r>
        <w:rPr>
          <w:lang w:eastAsia="en-GB"/>
        </w:rPr>
        <w:t>36)</w:t>
      </w:r>
    </w:p>
    <w:p w14:paraId="20BE32D7" w14:textId="4C5F12CA" w:rsidR="00D35E2F" w:rsidRDefault="00D35E2F" w:rsidP="008C12F4">
      <w:pPr>
        <w:rPr>
          <w:lang w:eastAsia="en-GB"/>
        </w:rPr>
      </w:pPr>
      <w:r>
        <w:rPr>
          <w:lang w:eastAsia="en-GB"/>
        </w:rPr>
        <w:t xml:space="preserve">Paradise Lost </w:t>
      </w:r>
      <w:r w:rsidR="00962E2B">
        <w:rPr>
          <w:lang w:eastAsia="en-GB"/>
        </w:rPr>
        <w:t>a</w:t>
      </w:r>
      <w:r>
        <w:rPr>
          <w:lang w:eastAsia="en-GB"/>
        </w:rPr>
        <w:t>nd Paradise Regained (28:1</w:t>
      </w:r>
      <w:r w:rsidR="00962E2B">
        <w:rPr>
          <w:lang w:eastAsia="en-GB"/>
        </w:rPr>
        <w:t>–</w:t>
      </w:r>
      <w:r w:rsidR="008A3CBE">
        <w:rPr>
          <w:lang w:eastAsia="en-GB"/>
        </w:rPr>
        <w:t>26)</w:t>
      </w:r>
    </w:p>
    <w:p w14:paraId="1B1F0500" w14:textId="262533E3" w:rsidR="008A3CBE" w:rsidRDefault="008A3CBE" w:rsidP="008C12F4">
      <w:pPr>
        <w:rPr>
          <w:lang w:eastAsia="en-GB"/>
        </w:rPr>
      </w:pPr>
      <w:r>
        <w:rPr>
          <w:lang w:eastAsia="en-GB"/>
        </w:rPr>
        <w:t>Phara</w:t>
      </w:r>
      <w:r w:rsidR="00A52098">
        <w:rPr>
          <w:lang w:eastAsia="en-GB"/>
        </w:rPr>
        <w:t>o</w:t>
      </w:r>
      <w:r>
        <w:rPr>
          <w:lang w:eastAsia="en-GB"/>
        </w:rPr>
        <w:t>h the Dragon (29:1</w:t>
      </w:r>
      <w:r w:rsidR="00962E2B">
        <w:rPr>
          <w:lang w:eastAsia="en-GB"/>
        </w:rPr>
        <w:t>–</w:t>
      </w:r>
      <w:r>
        <w:rPr>
          <w:lang w:eastAsia="en-GB"/>
        </w:rPr>
        <w:t>16)</w:t>
      </w:r>
    </w:p>
    <w:p w14:paraId="5DC6448E" w14:textId="62B94381" w:rsidR="00FD7313" w:rsidRDefault="00FD7313" w:rsidP="008C12F4">
      <w:pPr>
        <w:rPr>
          <w:lang w:eastAsia="en-GB"/>
        </w:rPr>
      </w:pPr>
      <w:r>
        <w:rPr>
          <w:lang w:eastAsia="en-GB"/>
        </w:rPr>
        <w:t>The Serv</w:t>
      </w:r>
      <w:r w:rsidR="00A52098">
        <w:rPr>
          <w:lang w:eastAsia="en-GB"/>
        </w:rPr>
        <w:t>i</w:t>
      </w:r>
      <w:r>
        <w:rPr>
          <w:lang w:eastAsia="en-GB"/>
        </w:rPr>
        <w:t>ce and the Reward (29:17</w:t>
      </w:r>
      <w:r w:rsidR="00962E2B">
        <w:rPr>
          <w:lang w:eastAsia="en-GB"/>
        </w:rPr>
        <w:t>–</w:t>
      </w:r>
      <w:r>
        <w:rPr>
          <w:lang w:eastAsia="en-GB"/>
        </w:rPr>
        <w:t>30:</w:t>
      </w:r>
      <w:r w:rsidR="00A52098">
        <w:rPr>
          <w:lang w:eastAsia="en-GB"/>
        </w:rPr>
        <w:t>19)</w:t>
      </w:r>
    </w:p>
    <w:p w14:paraId="2D0EB7BE" w14:textId="052B89F6" w:rsidR="00125E47" w:rsidRDefault="0052414B" w:rsidP="008C12F4">
      <w:pPr>
        <w:rPr>
          <w:lang w:eastAsia="en-GB"/>
        </w:rPr>
      </w:pPr>
      <w:r>
        <w:rPr>
          <w:lang w:eastAsia="en-GB"/>
        </w:rPr>
        <w:t>Towards</w:t>
      </w:r>
      <w:r w:rsidR="00125E47">
        <w:rPr>
          <w:lang w:eastAsia="en-GB"/>
        </w:rPr>
        <w:t xml:space="preserve"> the Eve of the Fall, When </w:t>
      </w:r>
      <w:r w:rsidR="00D2200D">
        <w:rPr>
          <w:lang w:eastAsia="en-GB"/>
        </w:rPr>
        <w:t>the Egyptians Pull Out (30:20</w:t>
      </w:r>
      <w:r w:rsidR="00962E2B">
        <w:rPr>
          <w:lang w:eastAsia="en-GB"/>
        </w:rPr>
        <w:t>–</w:t>
      </w:r>
      <w:r w:rsidR="00D2200D">
        <w:rPr>
          <w:lang w:eastAsia="en-GB"/>
        </w:rPr>
        <w:t>2</w:t>
      </w:r>
      <w:r>
        <w:rPr>
          <w:lang w:eastAsia="en-GB"/>
        </w:rPr>
        <w:t>6</w:t>
      </w:r>
      <w:r w:rsidR="00D2200D">
        <w:rPr>
          <w:lang w:eastAsia="en-GB"/>
        </w:rPr>
        <w:t>)</w:t>
      </w:r>
    </w:p>
    <w:p w14:paraId="716691B7" w14:textId="419D143F" w:rsidR="0052414B" w:rsidRDefault="00E66B3E" w:rsidP="008C12F4">
      <w:pPr>
        <w:rPr>
          <w:lang w:eastAsia="en-GB"/>
        </w:rPr>
      </w:pPr>
      <w:r>
        <w:rPr>
          <w:lang w:eastAsia="en-GB"/>
        </w:rPr>
        <w:t>A Comparison for Egypt (31:1</w:t>
      </w:r>
      <w:r w:rsidR="00962E2B">
        <w:rPr>
          <w:lang w:eastAsia="en-GB"/>
        </w:rPr>
        <w:t>–</w:t>
      </w:r>
      <w:r>
        <w:rPr>
          <w:lang w:eastAsia="en-GB"/>
        </w:rPr>
        <w:t>18)</w:t>
      </w:r>
    </w:p>
    <w:p w14:paraId="3B0D750E" w14:textId="26DDE3B2" w:rsidR="00046C63" w:rsidRDefault="00046C63" w:rsidP="008C12F4">
      <w:pPr>
        <w:rPr>
          <w:lang w:eastAsia="en-GB"/>
        </w:rPr>
      </w:pPr>
      <w:r>
        <w:rPr>
          <w:lang w:eastAsia="en-GB"/>
        </w:rPr>
        <w:t>Yahweh’s Requiem Threat for Pharaoh (32:1</w:t>
      </w:r>
      <w:r w:rsidR="00962E2B">
        <w:rPr>
          <w:lang w:eastAsia="en-GB"/>
        </w:rPr>
        <w:t>–</w:t>
      </w:r>
      <w:r>
        <w:rPr>
          <w:lang w:eastAsia="en-GB"/>
        </w:rPr>
        <w:t>16)</w:t>
      </w:r>
    </w:p>
    <w:p w14:paraId="7D16B62D" w14:textId="060068A1" w:rsidR="00046C63" w:rsidRDefault="00046C63" w:rsidP="008C12F4">
      <w:pPr>
        <w:rPr>
          <w:lang w:eastAsia="en-GB"/>
        </w:rPr>
      </w:pPr>
      <w:r>
        <w:rPr>
          <w:lang w:eastAsia="en-GB"/>
        </w:rPr>
        <w:t xml:space="preserve">The </w:t>
      </w:r>
      <w:r w:rsidR="00165C36">
        <w:rPr>
          <w:lang w:eastAsia="en-GB"/>
        </w:rPr>
        <w:t>View</w:t>
      </w:r>
      <w:r>
        <w:rPr>
          <w:lang w:eastAsia="en-GB"/>
        </w:rPr>
        <w:t xml:space="preserve"> from Sheol (3</w:t>
      </w:r>
      <w:r w:rsidR="00165C36">
        <w:rPr>
          <w:lang w:eastAsia="en-GB"/>
        </w:rPr>
        <w:t>2:17</w:t>
      </w:r>
      <w:r w:rsidR="00962E2B">
        <w:rPr>
          <w:lang w:eastAsia="en-GB"/>
        </w:rPr>
        <w:t>–</w:t>
      </w:r>
      <w:r w:rsidR="00165C36">
        <w:rPr>
          <w:lang w:eastAsia="en-GB"/>
        </w:rPr>
        <w:t>32)</w:t>
      </w:r>
    </w:p>
    <w:p w14:paraId="22372F1F" w14:textId="09012FC9" w:rsidR="00165C36" w:rsidRDefault="00E55498" w:rsidP="008C12F4">
      <w:pPr>
        <w:rPr>
          <w:lang w:eastAsia="en-GB"/>
        </w:rPr>
      </w:pPr>
      <w:r>
        <w:rPr>
          <w:lang w:eastAsia="en-GB"/>
        </w:rPr>
        <w:t>Responsibility</w:t>
      </w:r>
      <w:r w:rsidR="00165C36">
        <w:rPr>
          <w:lang w:eastAsia="en-GB"/>
        </w:rPr>
        <w:t xml:space="preserve">, </w:t>
      </w:r>
      <w:r>
        <w:rPr>
          <w:lang w:eastAsia="en-GB"/>
        </w:rPr>
        <w:t>Retrospect, and Prospect (33:1</w:t>
      </w:r>
      <w:r w:rsidR="00962E2B">
        <w:rPr>
          <w:lang w:eastAsia="en-GB"/>
        </w:rPr>
        <w:t>–</w:t>
      </w:r>
      <w:r>
        <w:rPr>
          <w:lang w:eastAsia="en-GB"/>
        </w:rPr>
        <w:t>20)</w:t>
      </w:r>
    </w:p>
    <w:p w14:paraId="0D644278" w14:textId="5A04AD94" w:rsidR="001F2904" w:rsidRDefault="001F2904" w:rsidP="001F2904">
      <w:pPr>
        <w:pStyle w:val="Heading3"/>
      </w:pPr>
      <w:r>
        <w:t xml:space="preserve">Part Five: </w:t>
      </w:r>
      <w:r w:rsidR="00A65FC2">
        <w:t>The Darkness Deepens But Light Breaks</w:t>
      </w:r>
      <w:r w:rsidR="00C51067">
        <w:t xml:space="preserve">, Year </w:t>
      </w:r>
      <w:r w:rsidR="00411246">
        <w:t>Twelve</w:t>
      </w:r>
      <w:r w:rsidR="00A65FC2">
        <w:t xml:space="preserve"> (</w:t>
      </w:r>
      <w:r w:rsidR="00B22107">
        <w:t>33:21</w:t>
      </w:r>
      <w:r w:rsidR="00962E2B">
        <w:t>–</w:t>
      </w:r>
      <w:r w:rsidR="00B22107">
        <w:t>39:</w:t>
      </w:r>
      <w:r w:rsidR="00C51067">
        <w:t>29)</w:t>
      </w:r>
    </w:p>
    <w:p w14:paraId="11E83678" w14:textId="6262BCE7" w:rsidR="00F7110E" w:rsidRDefault="00E42414" w:rsidP="00F7110E">
      <w:pPr>
        <w:rPr>
          <w:lang w:eastAsia="en-GB"/>
        </w:rPr>
      </w:pPr>
      <w:r>
        <w:rPr>
          <w:lang w:eastAsia="en-GB"/>
        </w:rPr>
        <w:t>Darkness Deepens (33:21</w:t>
      </w:r>
      <w:r w:rsidR="00962E2B">
        <w:rPr>
          <w:lang w:eastAsia="en-GB"/>
        </w:rPr>
        <w:t>–</w:t>
      </w:r>
      <w:r>
        <w:rPr>
          <w:lang w:eastAsia="en-GB"/>
        </w:rPr>
        <w:t>33)</w:t>
      </w:r>
    </w:p>
    <w:p w14:paraId="5F5D0089" w14:textId="76609A88" w:rsidR="00E42414" w:rsidRDefault="00E42414" w:rsidP="00F7110E">
      <w:pPr>
        <w:rPr>
          <w:lang w:eastAsia="en-GB"/>
        </w:rPr>
      </w:pPr>
      <w:r>
        <w:rPr>
          <w:lang w:eastAsia="en-GB"/>
        </w:rPr>
        <w:t>The Shepherding Rebuke</w:t>
      </w:r>
      <w:r w:rsidR="006B5F3C">
        <w:rPr>
          <w:lang w:eastAsia="en-GB"/>
        </w:rPr>
        <w:t>d and Reconstituted (34:</w:t>
      </w:r>
      <w:r w:rsidR="006B1288">
        <w:rPr>
          <w:lang w:eastAsia="en-GB"/>
        </w:rPr>
        <w:t>1</w:t>
      </w:r>
      <w:r w:rsidR="00962E2B">
        <w:rPr>
          <w:lang w:eastAsia="en-GB"/>
        </w:rPr>
        <w:t>–</w:t>
      </w:r>
      <w:r w:rsidR="006B1288">
        <w:rPr>
          <w:lang w:eastAsia="en-GB"/>
        </w:rPr>
        <w:t>31)</w:t>
      </w:r>
    </w:p>
    <w:p w14:paraId="0F19A905" w14:textId="73155AB9" w:rsidR="006B1288" w:rsidRDefault="006B1288" w:rsidP="00F7110E">
      <w:pPr>
        <w:rPr>
          <w:lang w:eastAsia="en-GB"/>
        </w:rPr>
      </w:pPr>
      <w:r>
        <w:rPr>
          <w:lang w:eastAsia="en-GB"/>
        </w:rPr>
        <w:t>The Land Repos</w:t>
      </w:r>
      <w:r w:rsidR="00962E2B">
        <w:rPr>
          <w:lang w:eastAsia="en-GB"/>
        </w:rPr>
        <w:t>s</w:t>
      </w:r>
      <w:r>
        <w:rPr>
          <w:lang w:eastAsia="en-GB"/>
        </w:rPr>
        <w:t>essed and Renewed (35:1</w:t>
      </w:r>
      <w:r w:rsidR="00962E2B">
        <w:rPr>
          <w:lang w:eastAsia="en-GB"/>
        </w:rPr>
        <w:t>–</w:t>
      </w:r>
      <w:r>
        <w:rPr>
          <w:lang w:eastAsia="en-GB"/>
        </w:rPr>
        <w:t>36</w:t>
      </w:r>
      <w:r w:rsidR="008E2C7D">
        <w:rPr>
          <w:lang w:eastAsia="en-GB"/>
        </w:rPr>
        <w:t>:15)</w:t>
      </w:r>
    </w:p>
    <w:p w14:paraId="38AC2A38" w14:textId="15466D36" w:rsidR="008E2C7D" w:rsidRDefault="008E2C7D" w:rsidP="00F7110E">
      <w:pPr>
        <w:rPr>
          <w:lang w:eastAsia="en-GB"/>
        </w:rPr>
      </w:pPr>
      <w:r>
        <w:rPr>
          <w:lang w:eastAsia="en-GB"/>
        </w:rPr>
        <w:t>The S</w:t>
      </w:r>
      <w:r w:rsidR="00962E2B">
        <w:rPr>
          <w:lang w:eastAsia="en-GB"/>
        </w:rPr>
        <w:t>a</w:t>
      </w:r>
      <w:r>
        <w:rPr>
          <w:lang w:eastAsia="en-GB"/>
        </w:rPr>
        <w:t>credness of Yahweh Honored (36:16</w:t>
      </w:r>
      <w:r w:rsidR="00962E2B">
        <w:rPr>
          <w:lang w:eastAsia="en-GB"/>
        </w:rPr>
        <w:t>–</w:t>
      </w:r>
      <w:r w:rsidR="00F52751">
        <w:rPr>
          <w:lang w:eastAsia="en-GB"/>
        </w:rPr>
        <w:t>38)</w:t>
      </w:r>
    </w:p>
    <w:p w14:paraId="3DB800C5" w14:textId="65C37C11" w:rsidR="00F52751" w:rsidRDefault="00F52751" w:rsidP="00F7110E">
      <w:pPr>
        <w:rPr>
          <w:lang w:eastAsia="en-GB"/>
        </w:rPr>
      </w:pPr>
      <w:r>
        <w:rPr>
          <w:lang w:eastAsia="en-GB"/>
        </w:rPr>
        <w:t>The Nation Brought Back to Life (37:1</w:t>
      </w:r>
      <w:r w:rsidR="00962E2B">
        <w:rPr>
          <w:lang w:eastAsia="en-GB"/>
        </w:rPr>
        <w:t>–</w:t>
      </w:r>
      <w:r>
        <w:rPr>
          <w:lang w:eastAsia="en-GB"/>
        </w:rPr>
        <w:t>14)</w:t>
      </w:r>
    </w:p>
    <w:p w14:paraId="469EF8A9" w14:textId="7963EBFF" w:rsidR="00F52751" w:rsidRDefault="00F52751" w:rsidP="00F7110E">
      <w:pPr>
        <w:rPr>
          <w:lang w:eastAsia="en-GB"/>
        </w:rPr>
      </w:pPr>
      <w:r>
        <w:rPr>
          <w:lang w:eastAsia="en-GB"/>
        </w:rPr>
        <w:t xml:space="preserve">The Two </w:t>
      </w:r>
      <w:r w:rsidR="00C87386">
        <w:rPr>
          <w:lang w:eastAsia="en-GB"/>
        </w:rPr>
        <w:t>Households</w:t>
      </w:r>
      <w:r>
        <w:rPr>
          <w:lang w:eastAsia="en-GB"/>
        </w:rPr>
        <w:t xml:space="preserve"> Made One </w:t>
      </w:r>
      <w:r w:rsidR="00003C59">
        <w:rPr>
          <w:lang w:eastAsia="en-GB"/>
        </w:rPr>
        <w:t>for All Time (37:15</w:t>
      </w:r>
      <w:r w:rsidR="00962E2B">
        <w:rPr>
          <w:lang w:eastAsia="en-GB"/>
        </w:rPr>
        <w:t>–</w:t>
      </w:r>
      <w:r w:rsidR="00C87386">
        <w:rPr>
          <w:lang w:eastAsia="en-GB"/>
        </w:rPr>
        <w:t>28)</w:t>
      </w:r>
    </w:p>
    <w:p w14:paraId="102EA999" w14:textId="7EC1363B" w:rsidR="00116D78" w:rsidRDefault="00116D78" w:rsidP="00F7110E">
      <w:pPr>
        <w:rPr>
          <w:lang w:eastAsia="en-GB"/>
        </w:rPr>
      </w:pPr>
      <w:r>
        <w:rPr>
          <w:lang w:eastAsia="en-GB"/>
        </w:rPr>
        <w:t>The Ambitious Coalition Crushed (38:1</w:t>
      </w:r>
      <w:r w:rsidR="00962E2B">
        <w:rPr>
          <w:lang w:eastAsia="en-GB"/>
        </w:rPr>
        <w:t>–</w:t>
      </w:r>
      <w:r>
        <w:rPr>
          <w:lang w:eastAsia="en-GB"/>
        </w:rPr>
        <w:t>39:</w:t>
      </w:r>
      <w:r w:rsidR="0074685F">
        <w:rPr>
          <w:lang w:eastAsia="en-GB"/>
        </w:rPr>
        <w:t>29)</w:t>
      </w:r>
    </w:p>
    <w:p w14:paraId="2D6363CF" w14:textId="2264F900" w:rsidR="0074685F" w:rsidRDefault="0074685F" w:rsidP="0074685F">
      <w:pPr>
        <w:pStyle w:val="Heading3"/>
      </w:pPr>
      <w:r>
        <w:t>Part Six</w:t>
      </w:r>
      <w:r w:rsidR="001A41D9">
        <w:t xml:space="preserve">: </w:t>
      </w:r>
      <w:r w:rsidR="001840B4">
        <w:t xml:space="preserve">The New Sanctuary, </w:t>
      </w:r>
      <w:r w:rsidR="001A41D9">
        <w:t>Year Twenty-Five</w:t>
      </w:r>
      <w:r w:rsidR="001840B4">
        <w:t xml:space="preserve"> (4</w:t>
      </w:r>
      <w:r w:rsidR="00473F7E">
        <w:t>0:</w:t>
      </w:r>
      <w:r w:rsidR="001840B4">
        <w:t>1</w:t>
      </w:r>
      <w:r w:rsidR="00962E2B">
        <w:t>–</w:t>
      </w:r>
      <w:r w:rsidR="00473F7E">
        <w:t>48:</w:t>
      </w:r>
      <w:r w:rsidR="00281E91">
        <w:t>35)</w:t>
      </w:r>
    </w:p>
    <w:p w14:paraId="5F9ACDB3" w14:textId="49D869CA" w:rsidR="00281E91" w:rsidRDefault="00281E91" w:rsidP="00281E91">
      <w:pPr>
        <w:rPr>
          <w:lang w:eastAsia="en-GB"/>
        </w:rPr>
      </w:pPr>
      <w:r>
        <w:rPr>
          <w:lang w:eastAsia="en-GB"/>
        </w:rPr>
        <w:t>The Environs of Yahweh’s Palace (40:1</w:t>
      </w:r>
      <w:r w:rsidR="00962E2B">
        <w:rPr>
          <w:lang w:eastAsia="en-GB"/>
        </w:rPr>
        <w:t>–</w:t>
      </w:r>
      <w:r w:rsidR="00B92496">
        <w:rPr>
          <w:lang w:eastAsia="en-GB"/>
        </w:rPr>
        <w:t>46)</w:t>
      </w:r>
    </w:p>
    <w:p w14:paraId="5CB5EC02" w14:textId="51A1CEB3" w:rsidR="00B92496" w:rsidRDefault="00B92496" w:rsidP="00281E91">
      <w:pPr>
        <w:rPr>
          <w:lang w:eastAsia="en-GB"/>
        </w:rPr>
      </w:pPr>
      <w:r>
        <w:rPr>
          <w:lang w:eastAsia="en-GB"/>
        </w:rPr>
        <w:t>The Palace (40:47</w:t>
      </w:r>
      <w:r w:rsidR="00962E2B">
        <w:rPr>
          <w:lang w:eastAsia="en-GB"/>
        </w:rPr>
        <w:t>–</w:t>
      </w:r>
      <w:r>
        <w:rPr>
          <w:lang w:eastAsia="en-GB"/>
        </w:rPr>
        <w:t>42:20)</w:t>
      </w:r>
    </w:p>
    <w:p w14:paraId="07D87C7A" w14:textId="1F3142EE" w:rsidR="00634045" w:rsidRDefault="00634045" w:rsidP="00281E91">
      <w:pPr>
        <w:rPr>
          <w:lang w:eastAsia="en-GB"/>
        </w:rPr>
      </w:pPr>
      <w:r>
        <w:rPr>
          <w:lang w:eastAsia="en-GB"/>
        </w:rPr>
        <w:t>Mine Eyes Have Seen the Coming of the Glory of the Lord (4</w:t>
      </w:r>
      <w:r w:rsidR="00121A50">
        <w:rPr>
          <w:lang w:eastAsia="en-GB"/>
        </w:rPr>
        <w:t>3:1</w:t>
      </w:r>
      <w:r w:rsidR="00962E2B">
        <w:rPr>
          <w:lang w:eastAsia="en-GB"/>
        </w:rPr>
        <w:t>–</w:t>
      </w:r>
      <w:r w:rsidR="00121A50">
        <w:rPr>
          <w:lang w:eastAsia="en-GB"/>
        </w:rPr>
        <w:t>27)</w:t>
      </w:r>
    </w:p>
    <w:p w14:paraId="5EB57FBE" w14:textId="4498311B" w:rsidR="00121A50" w:rsidRDefault="00121A50" w:rsidP="00281E91">
      <w:pPr>
        <w:rPr>
          <w:lang w:eastAsia="en-GB"/>
        </w:rPr>
      </w:pPr>
      <w:r>
        <w:rPr>
          <w:lang w:eastAsia="en-GB"/>
        </w:rPr>
        <w:t>Prince, Foreigners</w:t>
      </w:r>
      <w:r w:rsidR="005510A2">
        <w:rPr>
          <w:lang w:eastAsia="en-GB"/>
        </w:rPr>
        <w:t>, Levites, and Priests (44:1</w:t>
      </w:r>
      <w:r w:rsidR="00962E2B">
        <w:rPr>
          <w:lang w:eastAsia="en-GB"/>
        </w:rPr>
        <w:t>–</w:t>
      </w:r>
      <w:r w:rsidR="00A23634">
        <w:rPr>
          <w:lang w:eastAsia="en-GB"/>
        </w:rPr>
        <w:t>31)</w:t>
      </w:r>
    </w:p>
    <w:p w14:paraId="62B13C59" w14:textId="22EC36DB" w:rsidR="00A23634" w:rsidRDefault="00A23634" w:rsidP="00281E91">
      <w:pPr>
        <w:rPr>
          <w:lang w:eastAsia="en-GB"/>
        </w:rPr>
      </w:pPr>
      <w:r>
        <w:rPr>
          <w:lang w:eastAsia="en-GB"/>
        </w:rPr>
        <w:t>Sanctuary Layout, Integrity,</w:t>
      </w:r>
      <w:r w:rsidR="004752AD">
        <w:rPr>
          <w:lang w:eastAsia="en-GB"/>
        </w:rPr>
        <w:t xml:space="preserve"> and Offerings (45:1 - </w:t>
      </w:r>
      <w:r>
        <w:rPr>
          <w:lang w:eastAsia="en-GB"/>
        </w:rPr>
        <w:t xml:space="preserve"> </w:t>
      </w:r>
      <w:r w:rsidR="00B864B4">
        <w:rPr>
          <w:lang w:eastAsia="en-GB"/>
        </w:rPr>
        <w:t>25)</w:t>
      </w:r>
    </w:p>
    <w:p w14:paraId="5A9AA909" w14:textId="3B50E0B0" w:rsidR="00B864B4" w:rsidRPr="00281E91" w:rsidRDefault="00B864B4" w:rsidP="00281E91">
      <w:pPr>
        <w:rPr>
          <w:lang w:eastAsia="en-GB"/>
        </w:rPr>
      </w:pPr>
      <w:r>
        <w:rPr>
          <w:lang w:eastAsia="en-GB"/>
        </w:rPr>
        <w:t>Sanctuary Offerings, Integrity, and Layout (46:1</w:t>
      </w:r>
      <w:r w:rsidR="00962E2B">
        <w:rPr>
          <w:lang w:eastAsia="en-GB"/>
        </w:rPr>
        <w:t>–</w:t>
      </w:r>
      <w:r w:rsidR="00237AD3">
        <w:rPr>
          <w:lang w:eastAsia="en-GB"/>
        </w:rPr>
        <w:t>24)</w:t>
      </w:r>
    </w:p>
    <w:p w14:paraId="187001F2" w14:textId="349A83A1" w:rsidR="00C87386" w:rsidRPr="00F7110E" w:rsidRDefault="00237AD3" w:rsidP="00F7110E">
      <w:pPr>
        <w:rPr>
          <w:lang w:eastAsia="en-GB"/>
        </w:rPr>
      </w:pPr>
      <w:r>
        <w:rPr>
          <w:lang w:eastAsia="en-GB"/>
        </w:rPr>
        <w:t>The Sanctuary, the River, and the Land (47:1</w:t>
      </w:r>
      <w:r w:rsidR="00962E2B">
        <w:rPr>
          <w:lang w:eastAsia="en-GB"/>
        </w:rPr>
        <w:t>–</w:t>
      </w:r>
      <w:r w:rsidR="00D22CE7">
        <w:rPr>
          <w:lang w:eastAsia="en-GB"/>
        </w:rPr>
        <w:t>23)</w:t>
      </w:r>
    </w:p>
    <w:p w14:paraId="286FEDCD" w14:textId="75704B68" w:rsidR="00A52098" w:rsidRDefault="00453992" w:rsidP="008C12F4">
      <w:pPr>
        <w:rPr>
          <w:lang w:eastAsia="en-GB"/>
        </w:rPr>
      </w:pPr>
      <w:r>
        <w:rPr>
          <w:lang w:eastAsia="en-GB"/>
        </w:rPr>
        <w:t>The Allocations, the Sanct</w:t>
      </w:r>
      <w:r w:rsidR="00962E2B">
        <w:rPr>
          <w:lang w:eastAsia="en-GB"/>
        </w:rPr>
        <w:t>u</w:t>
      </w:r>
      <w:r>
        <w:rPr>
          <w:lang w:eastAsia="en-GB"/>
        </w:rPr>
        <w:t>ary, and the City (48:1</w:t>
      </w:r>
      <w:r w:rsidR="00962E2B">
        <w:rPr>
          <w:lang w:eastAsia="en-GB"/>
        </w:rPr>
        <w:t>–</w:t>
      </w:r>
      <w:r w:rsidR="00DE5C4F">
        <w:rPr>
          <w:lang w:eastAsia="en-GB"/>
        </w:rPr>
        <w:t>35)</w:t>
      </w:r>
    </w:p>
    <w:p w14:paraId="13832E84" w14:textId="50126211" w:rsidR="008A3CBE" w:rsidRDefault="00DE5C4F" w:rsidP="00DE5C4F">
      <w:pPr>
        <w:pStyle w:val="Heading3"/>
      </w:pPr>
      <w:r>
        <w:t>List of Foreign and Technical Words</w:t>
      </w:r>
    </w:p>
    <w:p w14:paraId="00716634" w14:textId="1BCB1701" w:rsidR="00664789" w:rsidRDefault="00163006" w:rsidP="00163006">
      <w:pPr>
        <w:pStyle w:val="Heading3"/>
      </w:pPr>
      <w:r>
        <w:t>Bibliography</w:t>
      </w:r>
    </w:p>
    <w:p w14:paraId="41A097BC" w14:textId="42DE1C30" w:rsidR="00163006" w:rsidRDefault="00163006" w:rsidP="00163006">
      <w:pPr>
        <w:rPr>
          <w:lang w:eastAsia="en-GB"/>
        </w:rPr>
      </w:pPr>
      <w:r>
        <w:rPr>
          <w:lang w:eastAsia="en-GB"/>
        </w:rPr>
        <w:t>Monogr</w:t>
      </w:r>
      <w:r w:rsidR="00962E2B">
        <w:rPr>
          <w:lang w:eastAsia="en-GB"/>
        </w:rPr>
        <w:t>ap</w:t>
      </w:r>
      <w:r>
        <w:rPr>
          <w:lang w:eastAsia="en-GB"/>
        </w:rPr>
        <w:t>hs on Ezekiel</w:t>
      </w:r>
      <w:r w:rsidR="00A73830">
        <w:rPr>
          <w:lang w:eastAsia="en-GB"/>
        </w:rPr>
        <w:t xml:space="preserve"> Other </w:t>
      </w:r>
      <w:r w:rsidR="00B74CB4">
        <w:rPr>
          <w:lang w:eastAsia="en-GB"/>
        </w:rPr>
        <w:t>t</w:t>
      </w:r>
      <w:r w:rsidR="00A73830">
        <w:rPr>
          <w:lang w:eastAsia="en-GB"/>
        </w:rPr>
        <w:t>han Commentaries</w:t>
      </w:r>
    </w:p>
    <w:p w14:paraId="59741500" w14:textId="19079475" w:rsidR="00A73830" w:rsidRPr="00163006" w:rsidRDefault="00B74CB4" w:rsidP="00163006">
      <w:pPr>
        <w:rPr>
          <w:lang w:eastAsia="en-GB"/>
        </w:rPr>
      </w:pPr>
      <w:r>
        <w:rPr>
          <w:lang w:eastAsia="en-GB"/>
        </w:rPr>
        <w:t>Articles and Essays on Ezekiel</w:t>
      </w:r>
    </w:p>
    <w:p w14:paraId="4A818B6C" w14:textId="77777777" w:rsidR="00962E2B" w:rsidRDefault="00962E2B">
      <w:pPr>
        <w:spacing w:after="160"/>
        <w:ind w:firstLine="0"/>
        <w:rPr>
          <w:rFonts w:ascii="Calibri" w:eastAsiaTheme="majorEastAsia" w:hAnsi="Calibri" w:cs="Calibri"/>
          <w:sz w:val="28"/>
          <w:shd w:val="clear" w:color="auto" w:fill="FFFFFF"/>
        </w:rPr>
      </w:pPr>
      <w:r>
        <w:br w:type="page"/>
      </w:r>
    </w:p>
    <w:p w14:paraId="5D1D7F80" w14:textId="5DEC3A32" w:rsidR="00D91132" w:rsidRPr="001005B7" w:rsidRDefault="00351ECE" w:rsidP="003062B5">
      <w:pPr>
        <w:pStyle w:val="Heading2"/>
        <w:rPr>
          <w:color w:val="auto"/>
        </w:rPr>
      </w:pPr>
      <w:r w:rsidRPr="001005B7">
        <w:rPr>
          <w:color w:val="auto"/>
        </w:rPr>
        <w:t>[</w:t>
      </w:r>
      <w:r w:rsidR="004171E1" w:rsidRPr="001005B7">
        <w:rPr>
          <w:color w:val="auto"/>
        </w:rPr>
        <w:t>Epigraph i</w:t>
      </w:r>
      <w:r w:rsidRPr="001005B7">
        <w:rPr>
          <w:color w:val="auto"/>
        </w:rPr>
        <w:t>n place of a foreword]</w:t>
      </w:r>
    </w:p>
    <w:p w14:paraId="47ACFFDA" w14:textId="6E1F1090" w:rsidR="00B475BA" w:rsidRPr="001005B7" w:rsidRDefault="00B57FE4" w:rsidP="009D5598">
      <w:r w:rsidRPr="001005B7">
        <w:t>Jerome of</w:t>
      </w:r>
      <w:r w:rsidR="001B16D6" w:rsidRPr="001005B7">
        <w:t xml:space="preserve"> </w:t>
      </w:r>
      <w:proofErr w:type="spellStart"/>
      <w:r w:rsidR="001B16D6" w:rsidRPr="001005B7">
        <w:t>Stridon</w:t>
      </w:r>
      <w:proofErr w:type="spellEnd"/>
      <w:r w:rsidR="006220D2" w:rsidRPr="001005B7">
        <w:t xml:space="preserve">, </w:t>
      </w:r>
      <w:r w:rsidR="00CD41B4" w:rsidRPr="001005B7">
        <w:t xml:space="preserve">a town </w:t>
      </w:r>
      <w:r w:rsidR="00FE6824" w:rsidRPr="001005B7">
        <w:t xml:space="preserve">in </w:t>
      </w:r>
      <w:r w:rsidR="003A5DA9" w:rsidRPr="001005B7">
        <w:t>the Balkans</w:t>
      </w:r>
      <w:r w:rsidR="006220D2" w:rsidRPr="001005B7">
        <w:t>,</w:t>
      </w:r>
      <w:r w:rsidR="00FE6824" w:rsidRPr="001005B7">
        <w:t xml:space="preserve"> </w:t>
      </w:r>
      <w:r w:rsidR="00CC5727" w:rsidRPr="001005B7">
        <w:t>began</w:t>
      </w:r>
      <w:r w:rsidRPr="001005B7">
        <w:t xml:space="preserve"> his commentary on Ezekiel</w:t>
      </w:r>
      <w:r w:rsidR="00166E29" w:rsidRPr="001005B7">
        <w:t xml:space="preserve"> in the aftermath of the fall of Rome to the Visigoths in </w:t>
      </w:r>
      <w:r w:rsidR="008E1914" w:rsidRPr="001005B7">
        <w:rPr>
          <w:sz w:val="18"/>
          <w:szCs w:val="18"/>
        </w:rPr>
        <w:t xml:space="preserve">AD </w:t>
      </w:r>
      <w:r w:rsidR="00166E29" w:rsidRPr="001005B7">
        <w:t>4</w:t>
      </w:r>
      <w:r w:rsidR="008E1914" w:rsidRPr="001005B7">
        <w:t>10</w:t>
      </w:r>
      <w:r w:rsidR="003F1A5F" w:rsidRPr="001005B7">
        <w:t>. H</w:t>
      </w:r>
      <w:r w:rsidR="006A7EA8" w:rsidRPr="001005B7">
        <w:t>e was about seventy</w:t>
      </w:r>
      <w:r w:rsidR="00F53D4C" w:rsidRPr="001005B7">
        <w:t xml:space="preserve"> and his eyesight was failing</w:t>
      </w:r>
      <w:r w:rsidR="006A7EA8" w:rsidRPr="001005B7">
        <w:t xml:space="preserve">. </w:t>
      </w:r>
      <w:r w:rsidR="005F441A" w:rsidRPr="001005B7">
        <w:t>M</w:t>
      </w:r>
      <w:r w:rsidR="004D065B" w:rsidRPr="001005B7">
        <w:t xml:space="preserve">any refugees from Rome </w:t>
      </w:r>
      <w:r w:rsidR="005F441A" w:rsidRPr="001005B7">
        <w:t>were coming</w:t>
      </w:r>
      <w:r w:rsidR="004D065B" w:rsidRPr="001005B7">
        <w:t xml:space="preserve"> to Bethlehem</w:t>
      </w:r>
      <w:r w:rsidR="000B2D02" w:rsidRPr="001005B7">
        <w:t xml:space="preserve"> and </w:t>
      </w:r>
      <w:r w:rsidR="005F441A" w:rsidRPr="001005B7">
        <w:t xml:space="preserve">he explains </w:t>
      </w:r>
      <w:r w:rsidR="000B2D02" w:rsidRPr="001005B7">
        <w:t xml:space="preserve">that </w:t>
      </w:r>
      <w:r w:rsidR="00574B4F" w:rsidRPr="001005B7">
        <w:t xml:space="preserve">the demands of hospitality </w:t>
      </w:r>
      <w:r w:rsidR="009D5598" w:rsidRPr="001005B7">
        <w:t xml:space="preserve">meant </w:t>
      </w:r>
      <w:r w:rsidR="000B2D02" w:rsidRPr="001005B7">
        <w:t xml:space="preserve">it took much longer to </w:t>
      </w:r>
      <w:r w:rsidR="00772BE0" w:rsidRPr="001005B7">
        <w:t>complete</w:t>
      </w:r>
      <w:r w:rsidR="000B2D02" w:rsidRPr="001005B7">
        <w:t xml:space="preserve"> this </w:t>
      </w:r>
      <w:r w:rsidR="005E1444" w:rsidRPr="001005B7">
        <w:t>work</w:t>
      </w:r>
      <w:r w:rsidR="000B2D02" w:rsidRPr="001005B7">
        <w:t xml:space="preserve"> than his </w:t>
      </w:r>
      <w:r w:rsidR="005E1444" w:rsidRPr="001005B7">
        <w:t>work</w:t>
      </w:r>
      <w:r w:rsidR="000B2D02" w:rsidRPr="001005B7">
        <w:t xml:space="preserve"> on Isaiah</w:t>
      </w:r>
      <w:r w:rsidR="0097376D" w:rsidRPr="001005B7">
        <w:t>.</w:t>
      </w:r>
      <w:r w:rsidR="0010526F" w:rsidRPr="001005B7">
        <w:t xml:space="preserve"> H</w:t>
      </w:r>
      <w:r w:rsidR="00DA43D8" w:rsidRPr="001005B7">
        <w:t>alf way through, h</w:t>
      </w:r>
      <w:r w:rsidR="0010526F" w:rsidRPr="001005B7">
        <w:t>e says:</w:t>
      </w:r>
    </w:p>
    <w:p w14:paraId="3A642EC3" w14:textId="0ADF106B" w:rsidR="001726D1" w:rsidRPr="001005B7" w:rsidRDefault="006F721C" w:rsidP="00B91479">
      <w:pPr>
        <w:pStyle w:val="Quote"/>
        <w:rPr>
          <w:color w:val="auto"/>
        </w:rPr>
      </w:pPr>
      <w:r w:rsidRPr="001005B7">
        <w:rPr>
          <w:color w:val="auto"/>
        </w:rPr>
        <w:t>Any good our dictation does</w:t>
      </w:r>
      <w:r w:rsidR="00AC70DD" w:rsidRPr="001005B7">
        <w:rPr>
          <w:color w:val="auto"/>
        </w:rPr>
        <w:t xml:space="preserve"> in bringing the prophets to others</w:t>
      </w:r>
      <w:r w:rsidR="00435AE6" w:rsidRPr="001005B7">
        <w:rPr>
          <w:color w:val="auto"/>
        </w:rPr>
        <w:t xml:space="preserve"> belongs to the judgment of God, and to the awareness of those who</w:t>
      </w:r>
      <w:r w:rsidR="00941E0E" w:rsidRPr="001005B7">
        <w:rPr>
          <w:color w:val="auto"/>
        </w:rPr>
        <w:t xml:space="preserve"> forget about rhetorical declamations, applause, and composition of words</w:t>
      </w:r>
      <w:r w:rsidR="00001F11" w:rsidRPr="001005B7">
        <w:rPr>
          <w:color w:val="auto"/>
        </w:rPr>
        <w:t xml:space="preserve">, and desire to know what the prophetic discourse is narrating about the past, accusing in the present, </w:t>
      </w:r>
      <w:r w:rsidR="00944C64" w:rsidRPr="001005B7">
        <w:rPr>
          <w:color w:val="auto"/>
        </w:rPr>
        <w:t>or proclaiming ab</w:t>
      </w:r>
      <w:r w:rsidR="00A65285" w:rsidRPr="001005B7">
        <w:rPr>
          <w:color w:val="auto"/>
        </w:rPr>
        <w:t>o</w:t>
      </w:r>
      <w:r w:rsidR="00944C64" w:rsidRPr="001005B7">
        <w:rPr>
          <w:color w:val="auto"/>
        </w:rPr>
        <w:t>ut things to come. Meanwhile, the first benefit comes to us</w:t>
      </w:r>
      <w:r w:rsidR="007E362D" w:rsidRPr="001005B7">
        <w:rPr>
          <w:color w:val="auto"/>
        </w:rPr>
        <w:t>, for while we do this and think of nothing else</w:t>
      </w:r>
      <w:r w:rsidR="00D4154E" w:rsidRPr="001005B7">
        <w:rPr>
          <w:color w:val="auto"/>
        </w:rPr>
        <w:t>, we approach the commentary in the manner of a thief, and we compensate for the miseries of the daytime by nocturnal studies</w:t>
      </w:r>
      <w:r w:rsidR="0086073C" w:rsidRPr="001005B7">
        <w:rPr>
          <w:color w:val="auto"/>
        </w:rPr>
        <w:t>. The soul is fed and is not oblivious to the misfortunes of the age</w:t>
      </w:r>
      <w:r w:rsidR="00A646F4" w:rsidRPr="001005B7">
        <w:rPr>
          <w:color w:val="auto"/>
        </w:rPr>
        <w:t>, which groan and suffer birth pains [cf. Rom 8:22], being already set at the final end</w:t>
      </w:r>
      <w:r w:rsidR="00D1262A" w:rsidRPr="001005B7">
        <w:rPr>
          <w:color w:val="auto"/>
        </w:rPr>
        <w:t xml:space="preserve">. </w:t>
      </w:r>
      <w:r w:rsidRPr="001005B7">
        <w:rPr>
          <w:color w:val="auto"/>
        </w:rPr>
        <w:t xml:space="preserve">(Jerome, </w:t>
      </w:r>
      <w:r w:rsidR="00956904" w:rsidRPr="001005B7">
        <w:rPr>
          <w:color w:val="auto"/>
        </w:rPr>
        <w:t>278).</w:t>
      </w:r>
    </w:p>
    <w:p w14:paraId="312E39A1" w14:textId="77777777" w:rsidR="00FA00F8" w:rsidRPr="001005B7" w:rsidRDefault="00FA00F8" w:rsidP="00FA00F8"/>
    <w:p w14:paraId="353B46C5" w14:textId="5CC32989" w:rsidR="00FA00F8" w:rsidRPr="001005B7" w:rsidRDefault="00FA00F8" w:rsidP="00FA00F8">
      <w:r w:rsidRPr="001005B7">
        <w:t xml:space="preserve">Javier </w:t>
      </w:r>
      <w:proofErr w:type="spellStart"/>
      <w:r w:rsidRPr="001005B7">
        <w:t>Mar</w:t>
      </w:r>
      <w:r w:rsidR="006F5E42" w:rsidRPr="001005B7">
        <w:rPr>
          <w:rFonts w:cstheme="minorHAnsi"/>
        </w:rPr>
        <w:t>í</w:t>
      </w:r>
      <w:r w:rsidR="006F5E42" w:rsidRPr="001005B7">
        <w:t>as</w:t>
      </w:r>
      <w:proofErr w:type="spellEnd"/>
      <w:r w:rsidR="006F5E42" w:rsidRPr="001005B7">
        <w:t>, the Spanish novelist</w:t>
      </w:r>
      <w:r w:rsidR="00362163" w:rsidRPr="001005B7">
        <w:t xml:space="preserve"> and literary critic</w:t>
      </w:r>
      <w:r w:rsidR="006F5E42" w:rsidRPr="001005B7">
        <w:t xml:space="preserve">, makes this comment about </w:t>
      </w:r>
      <w:r w:rsidR="00362163" w:rsidRPr="001005B7">
        <w:t>another literary critic.</w:t>
      </w:r>
    </w:p>
    <w:p w14:paraId="1CEEFB14" w14:textId="19C752DC" w:rsidR="00367898" w:rsidRPr="001005B7" w:rsidRDefault="00367898" w:rsidP="00367898">
      <w:pPr>
        <w:pStyle w:val="Quote"/>
        <w:rPr>
          <w:color w:val="auto"/>
        </w:rPr>
      </w:pPr>
      <w:r w:rsidRPr="001005B7">
        <w:rPr>
          <w:color w:val="auto"/>
        </w:rPr>
        <w:t xml:space="preserve">I </w:t>
      </w:r>
      <w:r w:rsidR="00721655" w:rsidRPr="001005B7">
        <w:rPr>
          <w:color w:val="auto"/>
        </w:rPr>
        <w:t xml:space="preserve">managed to depress him by </w:t>
      </w:r>
      <w:r w:rsidRPr="001005B7">
        <w:rPr>
          <w:color w:val="auto"/>
        </w:rPr>
        <w:t>point</w:t>
      </w:r>
      <w:r w:rsidR="00721655" w:rsidRPr="001005B7">
        <w:rPr>
          <w:color w:val="auto"/>
        </w:rPr>
        <w:t>ing</w:t>
      </w:r>
      <w:r w:rsidRPr="001005B7">
        <w:rPr>
          <w:color w:val="auto"/>
        </w:rPr>
        <w:t xml:space="preserve"> out </w:t>
      </w:r>
      <w:r w:rsidR="00FA073F" w:rsidRPr="001005B7">
        <w:rPr>
          <w:color w:val="auto"/>
        </w:rPr>
        <w:t>that…</w:t>
      </w:r>
      <w:r w:rsidRPr="001005B7">
        <w:rPr>
          <w:color w:val="auto"/>
        </w:rPr>
        <w:t xml:space="preserve"> </w:t>
      </w:r>
      <w:r w:rsidR="00FA073F" w:rsidRPr="001005B7">
        <w:rPr>
          <w:color w:val="auto"/>
        </w:rPr>
        <w:t xml:space="preserve">his many acclaimed </w:t>
      </w:r>
      <w:r w:rsidR="009406AF" w:rsidRPr="001005B7">
        <w:rPr>
          <w:color w:val="auto"/>
        </w:rPr>
        <w:t xml:space="preserve">critical </w:t>
      </w:r>
      <w:r w:rsidR="00FA073F" w:rsidRPr="001005B7">
        <w:rPr>
          <w:color w:val="auto"/>
        </w:rPr>
        <w:t>writings</w:t>
      </w:r>
      <w:r w:rsidR="009406AF" w:rsidRPr="001005B7">
        <w:rPr>
          <w:color w:val="auto"/>
        </w:rPr>
        <w:t xml:space="preserve"> were destined to last only as long as he did. After him would come others who were </w:t>
      </w:r>
      <w:r w:rsidR="00CB14FA" w:rsidRPr="001005B7">
        <w:rPr>
          <w:color w:val="auto"/>
        </w:rPr>
        <w:t xml:space="preserve">by definition more competent, </w:t>
      </w:r>
      <w:r w:rsidR="00C34726">
        <w:rPr>
          <w:color w:val="auto"/>
        </w:rPr>
        <w:t>more</w:t>
      </w:r>
      <w:r w:rsidR="00CB14FA" w:rsidRPr="001005B7">
        <w:rPr>
          <w:color w:val="auto"/>
        </w:rPr>
        <w:t xml:space="preserve"> informed</w:t>
      </w:r>
      <w:r w:rsidR="003E1201" w:rsidRPr="001005B7">
        <w:rPr>
          <w:color w:val="auto"/>
        </w:rPr>
        <w:t xml:space="preserve"> and </w:t>
      </w:r>
      <w:r w:rsidR="00CB14FA" w:rsidRPr="001005B7">
        <w:rPr>
          <w:color w:val="auto"/>
        </w:rPr>
        <w:t>mo</w:t>
      </w:r>
      <w:r w:rsidR="003E1201" w:rsidRPr="001005B7">
        <w:rPr>
          <w:color w:val="auto"/>
        </w:rPr>
        <w:t>re</w:t>
      </w:r>
      <w:r w:rsidR="00CB14FA" w:rsidRPr="001005B7">
        <w:rPr>
          <w:color w:val="auto"/>
        </w:rPr>
        <w:t xml:space="preserve"> advan</w:t>
      </w:r>
      <w:r w:rsidR="003E1201" w:rsidRPr="001005B7">
        <w:rPr>
          <w:color w:val="auto"/>
        </w:rPr>
        <w:t>c</w:t>
      </w:r>
      <w:r w:rsidR="00CB14FA" w:rsidRPr="001005B7">
        <w:rPr>
          <w:color w:val="auto"/>
        </w:rPr>
        <w:t>ed</w:t>
      </w:r>
      <w:r w:rsidR="003E1201" w:rsidRPr="001005B7">
        <w:rPr>
          <w:color w:val="auto"/>
        </w:rPr>
        <w:t xml:space="preserve"> in their methodologies</w:t>
      </w:r>
      <w:r w:rsidR="0060308E" w:rsidRPr="001005B7">
        <w:rPr>
          <w:color w:val="auto"/>
        </w:rPr>
        <w:t xml:space="preserve">… and who would render his interpretations and </w:t>
      </w:r>
      <w:r w:rsidR="00BD0886" w:rsidRPr="001005B7">
        <w:rPr>
          <w:color w:val="auto"/>
        </w:rPr>
        <w:t>discoveries outdated or even absurd in their naivet</w:t>
      </w:r>
      <w:r w:rsidR="00EE4AAD" w:rsidRPr="001005B7">
        <w:rPr>
          <w:rFonts w:cs="Calibri"/>
          <w:color w:val="auto"/>
        </w:rPr>
        <w:t>é</w:t>
      </w:r>
      <w:r w:rsidR="00EE4AAD" w:rsidRPr="001005B7">
        <w:rPr>
          <w:color w:val="auto"/>
        </w:rPr>
        <w:t xml:space="preserve">—the past always seems </w:t>
      </w:r>
      <w:r w:rsidR="00857236" w:rsidRPr="001005B7">
        <w:rPr>
          <w:color w:val="auto"/>
        </w:rPr>
        <w:t>naïve.</w:t>
      </w:r>
    </w:p>
    <w:p w14:paraId="7D341540" w14:textId="45A6EFFE" w:rsidR="00857236" w:rsidRPr="001005B7" w:rsidRDefault="0078571A" w:rsidP="000F2613">
      <w:pPr>
        <w:ind w:firstLine="0"/>
      </w:pPr>
      <w:r w:rsidRPr="001005B7">
        <w:t xml:space="preserve">So much, perhaps, for </w:t>
      </w:r>
      <w:r w:rsidR="007A55C6" w:rsidRPr="001005B7">
        <w:t>critics</w:t>
      </w:r>
      <w:r w:rsidRPr="001005B7">
        <w:t xml:space="preserve"> and interpret</w:t>
      </w:r>
      <w:r w:rsidR="00216849" w:rsidRPr="001005B7">
        <w:t>e</w:t>
      </w:r>
      <w:r w:rsidRPr="001005B7">
        <w:t xml:space="preserve">rs. </w:t>
      </w:r>
      <w:proofErr w:type="spellStart"/>
      <w:r w:rsidR="008A656A" w:rsidRPr="001005B7">
        <w:t>Mar</w:t>
      </w:r>
      <w:r w:rsidR="008A656A" w:rsidRPr="001005B7">
        <w:rPr>
          <w:rFonts w:cstheme="minorHAnsi"/>
        </w:rPr>
        <w:t>í</w:t>
      </w:r>
      <w:r w:rsidR="008A656A" w:rsidRPr="001005B7">
        <w:t>as</w:t>
      </w:r>
      <w:proofErr w:type="spellEnd"/>
      <w:r w:rsidR="008A656A" w:rsidRPr="001005B7">
        <w:t xml:space="preserve"> adds</w:t>
      </w:r>
      <w:r w:rsidR="00CF179D" w:rsidRPr="001005B7">
        <w:t xml:space="preserve"> that he and all Spanish writers are dependent on </w:t>
      </w:r>
      <w:r w:rsidR="004D46AB" w:rsidRPr="001005B7">
        <w:t>the greatest of all Spanish writers,</w:t>
      </w:r>
      <w:r w:rsidR="00CF179D" w:rsidRPr="001005B7">
        <w:t xml:space="preserve"> </w:t>
      </w:r>
      <w:r w:rsidR="00910ECF" w:rsidRPr="001005B7">
        <w:t>Miguel de</w:t>
      </w:r>
      <w:r w:rsidR="004D46AB" w:rsidRPr="001005B7">
        <w:t xml:space="preserve"> </w:t>
      </w:r>
      <w:r w:rsidR="00CF179D" w:rsidRPr="001005B7">
        <w:t>Cervantes</w:t>
      </w:r>
      <w:r w:rsidR="004D46AB" w:rsidRPr="001005B7">
        <w:t>:</w:t>
      </w:r>
    </w:p>
    <w:p w14:paraId="7748DA4D" w14:textId="6D721DA9" w:rsidR="004D46AB" w:rsidRPr="001005B7" w:rsidRDefault="002B50E3" w:rsidP="002B50E3">
      <w:pPr>
        <w:pStyle w:val="Quote"/>
        <w:rPr>
          <w:color w:val="auto"/>
        </w:rPr>
      </w:pPr>
      <w:r w:rsidRPr="001005B7">
        <w:rPr>
          <w:color w:val="auto"/>
        </w:rPr>
        <w:t>Neither our existence nor our pages erase or annul his</w:t>
      </w:r>
      <w:r w:rsidR="00E77E8A" w:rsidRPr="001005B7">
        <w:rPr>
          <w:color w:val="auto"/>
        </w:rPr>
        <w:t xml:space="preserve">, which continue to be studied and read </w:t>
      </w:r>
      <w:r w:rsidR="00425B0F" w:rsidRPr="001005B7">
        <w:rPr>
          <w:color w:val="auto"/>
        </w:rPr>
        <w:t xml:space="preserve">without ever becoming outdated or invalid; this is a field in which </w:t>
      </w:r>
      <w:r w:rsidR="0027497D" w:rsidRPr="001005B7">
        <w:rPr>
          <w:color w:val="auto"/>
        </w:rPr>
        <w:t>the passage of additional time</w:t>
      </w:r>
      <w:r w:rsidR="00A2139A" w:rsidRPr="001005B7">
        <w:rPr>
          <w:color w:val="auto"/>
        </w:rPr>
        <w:t xml:space="preserve"> doesn’t advance or improve or determine the course of what came before.</w:t>
      </w:r>
      <w:r w:rsidR="007A55C6" w:rsidRPr="001005B7">
        <w:rPr>
          <w:rStyle w:val="FootnoteReference"/>
          <w:color w:val="auto"/>
        </w:rPr>
        <w:footnoteReference w:id="1"/>
      </w:r>
    </w:p>
    <w:p w14:paraId="0D92C4DC" w14:textId="6BB4D146" w:rsidR="00753B53" w:rsidRPr="001005B7" w:rsidRDefault="00753B53" w:rsidP="00753B53">
      <w:r w:rsidRPr="001005B7">
        <w:t xml:space="preserve">His comments are applicable to biblical interpretation and to the text it seeks </w:t>
      </w:r>
      <w:r w:rsidR="00CE0903" w:rsidRPr="001005B7">
        <w:t>to i</w:t>
      </w:r>
      <w:r w:rsidR="0055055B" w:rsidRPr="001005B7">
        <w:t>n</w:t>
      </w:r>
      <w:r w:rsidR="00CE0903" w:rsidRPr="001005B7">
        <w:t>terpret.</w:t>
      </w:r>
    </w:p>
    <w:p w14:paraId="2C90D3B0" w14:textId="77777777" w:rsidR="004D46AB" w:rsidRPr="001005B7" w:rsidRDefault="004D46AB" w:rsidP="00D83318">
      <w:pPr>
        <w:pStyle w:val="Quote"/>
        <w:rPr>
          <w:color w:val="auto"/>
        </w:rPr>
      </w:pPr>
    </w:p>
    <w:p w14:paraId="31409BEE" w14:textId="77777777" w:rsidR="00367898" w:rsidRPr="001005B7" w:rsidRDefault="00367898" w:rsidP="00FA00F8"/>
    <w:p w14:paraId="2698367F" w14:textId="77777777" w:rsidR="00312C8E" w:rsidRDefault="00312C8E">
      <w:pPr>
        <w:spacing w:after="160"/>
        <w:ind w:firstLine="0"/>
        <w:rPr>
          <w:rFonts w:ascii="Calibri" w:eastAsiaTheme="majorEastAsia" w:hAnsi="Calibri" w:cs="Calibri"/>
          <w:sz w:val="28"/>
          <w:shd w:val="clear" w:color="auto" w:fill="FFFFFF"/>
        </w:rPr>
      </w:pPr>
      <w:r>
        <w:br w:type="page"/>
      </w:r>
    </w:p>
    <w:p w14:paraId="72A32CCF" w14:textId="041B4E51" w:rsidR="00DD746C" w:rsidRPr="001005B7" w:rsidRDefault="00DD746C" w:rsidP="003062B5">
      <w:pPr>
        <w:pStyle w:val="Heading2"/>
        <w:rPr>
          <w:color w:val="auto"/>
        </w:rPr>
      </w:pPr>
      <w:r w:rsidRPr="001005B7">
        <w:rPr>
          <w:color w:val="auto"/>
        </w:rPr>
        <w:t>Abbreviations</w:t>
      </w:r>
    </w:p>
    <w:p w14:paraId="5BF8CD95" w14:textId="70D74356" w:rsidR="00811676" w:rsidRDefault="00811676" w:rsidP="00521AED">
      <w:pPr>
        <w:ind w:left="900" w:hanging="900"/>
        <w:rPr>
          <w:rFonts w:eastAsia="TimesNewRomanPSMT" w:cstheme="minorHAnsi"/>
        </w:rPr>
      </w:pPr>
      <w:r w:rsidRPr="001005B7">
        <w:rPr>
          <w:iCs/>
        </w:rPr>
        <w:t>AIIL</w:t>
      </w:r>
      <w:r w:rsidRPr="001005B7">
        <w:rPr>
          <w:iCs/>
        </w:rPr>
        <w:tab/>
      </w:r>
      <w:r w:rsidRPr="001005B7">
        <w:rPr>
          <w:rFonts w:eastAsia="TimesNewRomanPSMT" w:cstheme="minorHAnsi"/>
        </w:rPr>
        <w:t>Ancient Israel and Its Literature</w:t>
      </w:r>
    </w:p>
    <w:p w14:paraId="264A2A4A" w14:textId="2C640CF7" w:rsidR="00BB5D5F" w:rsidRPr="001005B7" w:rsidRDefault="00BB5D5F" w:rsidP="00521AED">
      <w:pPr>
        <w:ind w:left="900" w:hanging="900"/>
        <w:rPr>
          <w:iCs/>
        </w:rPr>
      </w:pPr>
      <w:r>
        <w:rPr>
          <w:iCs/>
        </w:rPr>
        <w:t>ANEM</w:t>
      </w:r>
      <w:r>
        <w:rPr>
          <w:iCs/>
        </w:rPr>
        <w:tab/>
      </w:r>
      <w:r>
        <w:t>Ancient Near Eastern Monographs</w:t>
      </w:r>
    </w:p>
    <w:p w14:paraId="7B82A0D6" w14:textId="15D632DF" w:rsidR="005E0E2C" w:rsidRPr="001005B7" w:rsidRDefault="009B6EF3" w:rsidP="005E0E2C">
      <w:pPr>
        <w:ind w:left="900" w:hanging="900"/>
        <w:rPr>
          <w:spacing w:val="7"/>
        </w:rPr>
      </w:pPr>
      <w:r w:rsidRPr="001005B7">
        <w:rPr>
          <w:i/>
        </w:rPr>
        <w:t>ANEP</w:t>
      </w:r>
      <w:r w:rsidRPr="001005B7">
        <w:rPr>
          <w:i/>
        </w:rPr>
        <w:tab/>
      </w:r>
      <w:r w:rsidR="00667E17" w:rsidRPr="001005B7">
        <w:rPr>
          <w:i/>
        </w:rPr>
        <w:t xml:space="preserve">The </w:t>
      </w:r>
      <w:r w:rsidRPr="001005B7">
        <w:rPr>
          <w:i/>
        </w:rPr>
        <w:t>Ancient Near East</w:t>
      </w:r>
      <w:r w:rsidR="00960944" w:rsidRPr="001005B7">
        <w:rPr>
          <w:i/>
        </w:rPr>
        <w:t xml:space="preserve"> In Pictures. </w:t>
      </w:r>
      <w:r w:rsidR="00960944" w:rsidRPr="001005B7">
        <w:rPr>
          <w:iCs/>
        </w:rPr>
        <w:t>Ed</w:t>
      </w:r>
      <w:r w:rsidR="00971926" w:rsidRPr="001005B7">
        <w:rPr>
          <w:iCs/>
        </w:rPr>
        <w:t>.</w:t>
      </w:r>
      <w:r w:rsidR="00960944" w:rsidRPr="001005B7">
        <w:rPr>
          <w:iCs/>
        </w:rPr>
        <w:t xml:space="preserve"> James B. Pritchard</w:t>
      </w:r>
      <w:r w:rsidR="00716806" w:rsidRPr="001005B7">
        <w:rPr>
          <w:iCs/>
        </w:rPr>
        <w:t>. 2</w:t>
      </w:r>
      <w:r w:rsidR="00716806" w:rsidRPr="001005B7">
        <w:rPr>
          <w:iCs/>
          <w:vertAlign w:val="superscript"/>
        </w:rPr>
        <w:t>nd</w:t>
      </w:r>
      <w:r w:rsidR="00716806" w:rsidRPr="001005B7">
        <w:rPr>
          <w:iCs/>
        </w:rPr>
        <w:t xml:space="preserve"> ed. </w:t>
      </w:r>
      <w:r w:rsidR="00716806" w:rsidRPr="001005B7">
        <w:rPr>
          <w:spacing w:val="7"/>
        </w:rPr>
        <w:t>Princeton: Princeton University Press, 1969</w:t>
      </w:r>
    </w:p>
    <w:p w14:paraId="63CAB6B1" w14:textId="24BEC72F" w:rsidR="005D1278" w:rsidRPr="001005B7" w:rsidRDefault="00811676" w:rsidP="005E0E2C">
      <w:pPr>
        <w:ind w:left="900" w:hanging="900"/>
        <w:rPr>
          <w:i/>
        </w:rPr>
      </w:pPr>
      <w:r w:rsidRPr="001005B7">
        <w:rPr>
          <w:i/>
        </w:rPr>
        <w:t>ANET</w:t>
      </w:r>
      <w:r w:rsidR="00A953D9" w:rsidRPr="001005B7">
        <w:rPr>
          <w:i/>
        </w:rPr>
        <w:tab/>
      </w:r>
      <w:hyperlink r:id="rId8" w:tooltip="The Ancient Near Eastern texts : relating to the Old Testament / edited by James B. Pritchard." w:history="1">
        <w:r w:rsidRPr="001005B7">
          <w:rPr>
            <w:i/>
          </w:rPr>
          <w:t>Ancient Near Eastern Texts Relating to the Old Testament</w:t>
        </w:r>
      </w:hyperlink>
      <w:r w:rsidR="00406707" w:rsidRPr="001005B7">
        <w:rPr>
          <w:iCs/>
        </w:rPr>
        <w:t>.</w:t>
      </w:r>
      <w:r w:rsidR="005D1278" w:rsidRPr="001005B7">
        <w:t xml:space="preserve"> Ed</w:t>
      </w:r>
      <w:r w:rsidR="00207CA4" w:rsidRPr="001005B7">
        <w:t>.</w:t>
      </w:r>
      <w:r w:rsidR="005D1278" w:rsidRPr="001005B7">
        <w:t xml:space="preserve"> James B. Pritchard. 3rd ed. </w:t>
      </w:r>
      <w:r w:rsidR="005D1278" w:rsidRPr="001005B7">
        <w:rPr>
          <w:spacing w:val="7"/>
        </w:rPr>
        <w:t>Princeton: Princeton University Press, 1969</w:t>
      </w:r>
    </w:p>
    <w:p w14:paraId="0C94F903" w14:textId="6C5AD5D6" w:rsidR="00811676" w:rsidRPr="001005B7" w:rsidRDefault="00811676" w:rsidP="00811676">
      <w:pPr>
        <w:ind w:left="900" w:hanging="900"/>
        <w:rPr>
          <w:rFonts w:eastAsia="MS Mincho"/>
          <w:iCs/>
        </w:rPr>
      </w:pPr>
      <w:r w:rsidRPr="001005B7">
        <w:t>Aq</w:t>
      </w:r>
      <w:r w:rsidR="006C3527" w:rsidRPr="001005B7">
        <w:t>.</w:t>
      </w:r>
      <w:r w:rsidRPr="001005B7">
        <w:tab/>
        <w:t xml:space="preserve">Aquila’s Greek translation, as documented in </w:t>
      </w:r>
      <w:r w:rsidR="008276D6" w:rsidRPr="001005B7">
        <w:t>F</w:t>
      </w:r>
      <w:r w:rsidR="00E62E05" w:rsidRPr="001005B7">
        <w:t>rederick</w:t>
      </w:r>
      <w:r w:rsidR="008276D6" w:rsidRPr="001005B7">
        <w:t xml:space="preserve"> </w:t>
      </w:r>
      <w:r w:rsidRPr="001005B7">
        <w:t xml:space="preserve">Field, </w:t>
      </w:r>
      <w:proofErr w:type="spellStart"/>
      <w:r w:rsidRPr="001005B7">
        <w:rPr>
          <w:i/>
        </w:rPr>
        <w:t>Origenis</w:t>
      </w:r>
      <w:proofErr w:type="spellEnd"/>
      <w:r w:rsidRPr="001005B7">
        <w:rPr>
          <w:i/>
        </w:rPr>
        <w:t xml:space="preserve"> </w:t>
      </w:r>
      <w:proofErr w:type="spellStart"/>
      <w:r w:rsidRPr="001005B7">
        <w:rPr>
          <w:i/>
        </w:rPr>
        <w:t>Hexaplorum</w:t>
      </w:r>
      <w:proofErr w:type="spellEnd"/>
      <w:r w:rsidRPr="001005B7">
        <w:rPr>
          <w:i/>
        </w:rPr>
        <w:t xml:space="preserve"> </w:t>
      </w:r>
      <w:proofErr w:type="spellStart"/>
      <w:r w:rsidRPr="001005B7">
        <w:rPr>
          <w:i/>
        </w:rPr>
        <w:t>quae</w:t>
      </w:r>
      <w:proofErr w:type="spellEnd"/>
      <w:r w:rsidRPr="001005B7">
        <w:rPr>
          <w:i/>
        </w:rPr>
        <w:t xml:space="preserve"> </w:t>
      </w:r>
      <w:proofErr w:type="spellStart"/>
      <w:r w:rsidRPr="001005B7">
        <w:rPr>
          <w:i/>
        </w:rPr>
        <w:t>supersunt</w:t>
      </w:r>
      <w:proofErr w:type="spellEnd"/>
      <w:r w:rsidR="008276D6" w:rsidRPr="001005B7">
        <w:rPr>
          <w:iCs/>
        </w:rPr>
        <w:t xml:space="preserve">. </w:t>
      </w:r>
      <w:r w:rsidR="008276D6" w:rsidRPr="001005B7">
        <w:t>Oxford: Clarendon, 1871</w:t>
      </w:r>
    </w:p>
    <w:p w14:paraId="044FA811" w14:textId="2116A963" w:rsidR="00811676" w:rsidRPr="001005B7" w:rsidRDefault="00811676" w:rsidP="00C31EEA">
      <w:pPr>
        <w:tabs>
          <w:tab w:val="left" w:pos="900"/>
        </w:tabs>
        <w:ind w:left="900" w:hanging="900"/>
        <w:contextualSpacing/>
      </w:pPr>
      <w:r w:rsidRPr="001005B7">
        <w:rPr>
          <w:i/>
        </w:rPr>
        <w:t>b.</w:t>
      </w:r>
      <w:r w:rsidRPr="001005B7">
        <w:tab/>
        <w:t>(followed by the name of a tractate) Babylonian Talmud</w:t>
      </w:r>
      <w:r w:rsidR="007A2773" w:rsidRPr="001005B7">
        <w:t>, as posted at sefaria.org</w:t>
      </w:r>
    </w:p>
    <w:p w14:paraId="7EEF52AA" w14:textId="77777777" w:rsidR="00811676" w:rsidRPr="001005B7" w:rsidRDefault="00811676" w:rsidP="00811676">
      <w:pPr>
        <w:tabs>
          <w:tab w:val="left" w:pos="900"/>
        </w:tabs>
        <w:ind w:left="900" w:hanging="900"/>
        <w:contextualSpacing/>
        <w:rPr>
          <w:i/>
        </w:rPr>
      </w:pPr>
      <w:r w:rsidRPr="001005B7">
        <w:rPr>
          <w:i/>
        </w:rPr>
        <w:t>BBR</w:t>
      </w:r>
      <w:r w:rsidRPr="001005B7">
        <w:rPr>
          <w:i/>
        </w:rPr>
        <w:tab/>
        <w:t>Bulletin for Biblical Research</w:t>
      </w:r>
    </w:p>
    <w:p w14:paraId="3E433054" w14:textId="77777777" w:rsidR="00811676" w:rsidRPr="001005B7" w:rsidRDefault="00811676" w:rsidP="00811676">
      <w:pPr>
        <w:tabs>
          <w:tab w:val="left" w:pos="900"/>
        </w:tabs>
        <w:ind w:left="900" w:hanging="900"/>
        <w:contextualSpacing/>
        <w:rPr>
          <w:iCs/>
        </w:rPr>
      </w:pPr>
      <w:proofErr w:type="spellStart"/>
      <w:r w:rsidRPr="001005B7">
        <w:rPr>
          <w:iCs/>
        </w:rPr>
        <w:t>BBRSup</w:t>
      </w:r>
      <w:proofErr w:type="spellEnd"/>
      <w:r w:rsidRPr="001005B7">
        <w:rPr>
          <w:iCs/>
        </w:rPr>
        <w:tab/>
        <w:t>Bulletin for Biblical Research Supplement</w:t>
      </w:r>
    </w:p>
    <w:p w14:paraId="32A1E800" w14:textId="44FCDDE6" w:rsidR="00811676" w:rsidRPr="001005B7" w:rsidRDefault="005D4A14" w:rsidP="00860703">
      <w:pPr>
        <w:pStyle w:val="PlainText"/>
        <w:ind w:left="900" w:hanging="900"/>
      </w:pPr>
      <w:r w:rsidRPr="001005B7">
        <w:t>BDB</w:t>
      </w:r>
      <w:r w:rsidRPr="001005B7">
        <w:tab/>
      </w:r>
      <w:r w:rsidRPr="001005B7">
        <w:rPr>
          <w:spacing w:val="4"/>
        </w:rPr>
        <w:t>Brown, F</w:t>
      </w:r>
      <w:r w:rsidR="003B3C49">
        <w:rPr>
          <w:spacing w:val="4"/>
        </w:rPr>
        <w:t>rancis</w:t>
      </w:r>
      <w:r w:rsidRPr="001005B7">
        <w:rPr>
          <w:spacing w:val="4"/>
        </w:rPr>
        <w:t>, S</w:t>
      </w:r>
      <w:r w:rsidR="00D209C1">
        <w:rPr>
          <w:spacing w:val="4"/>
        </w:rPr>
        <w:t>amuel</w:t>
      </w:r>
      <w:r w:rsidRPr="001005B7">
        <w:rPr>
          <w:spacing w:val="4"/>
        </w:rPr>
        <w:t xml:space="preserve"> </w:t>
      </w:r>
      <w:proofErr w:type="spellStart"/>
      <w:r w:rsidRPr="001005B7">
        <w:rPr>
          <w:spacing w:val="4"/>
        </w:rPr>
        <w:t>R</w:t>
      </w:r>
      <w:r w:rsidR="00D209C1">
        <w:rPr>
          <w:spacing w:val="4"/>
        </w:rPr>
        <w:t>olles</w:t>
      </w:r>
      <w:proofErr w:type="spellEnd"/>
      <w:r w:rsidRPr="001005B7">
        <w:rPr>
          <w:spacing w:val="4"/>
        </w:rPr>
        <w:t xml:space="preserve"> Driver, and C</w:t>
      </w:r>
      <w:r w:rsidR="00D209C1">
        <w:rPr>
          <w:spacing w:val="4"/>
        </w:rPr>
        <w:t>harles</w:t>
      </w:r>
      <w:r w:rsidRPr="001005B7">
        <w:rPr>
          <w:spacing w:val="4"/>
        </w:rPr>
        <w:t xml:space="preserve"> A. Briggs. </w:t>
      </w:r>
      <w:r w:rsidRPr="001005B7">
        <w:rPr>
          <w:i/>
          <w:iCs/>
          <w:spacing w:val="4"/>
        </w:rPr>
        <w:t xml:space="preserve">Hebrew </w:t>
      </w:r>
      <w:r w:rsidRPr="001005B7">
        <w:rPr>
          <w:i/>
          <w:iCs/>
        </w:rPr>
        <w:t>and English Lexicon of the Old Testament.</w:t>
      </w:r>
      <w:r w:rsidRPr="001005B7">
        <w:rPr>
          <w:iCs/>
        </w:rPr>
        <w:t xml:space="preserve"> Corrected ed., </w:t>
      </w:r>
      <w:r w:rsidRPr="001005B7">
        <w:t xml:space="preserve">Oxford: </w:t>
      </w:r>
      <w:r w:rsidRPr="001005B7">
        <w:rPr>
          <w:spacing w:val="8"/>
        </w:rPr>
        <w:t>Clarendon, 1962</w:t>
      </w:r>
    </w:p>
    <w:p w14:paraId="084E078B" w14:textId="77777777" w:rsidR="00811676" w:rsidRPr="001005B7" w:rsidRDefault="00811676" w:rsidP="00811676">
      <w:pPr>
        <w:tabs>
          <w:tab w:val="left" w:pos="900"/>
        </w:tabs>
        <w:ind w:left="900" w:hanging="900"/>
        <w:contextualSpacing/>
        <w:rPr>
          <w:iCs/>
        </w:rPr>
      </w:pPr>
      <w:r w:rsidRPr="001005B7">
        <w:t>BETL</w:t>
      </w:r>
      <w:r w:rsidRPr="001005B7">
        <w:tab/>
        <w:t xml:space="preserve">Bibliotheca </w:t>
      </w:r>
      <w:proofErr w:type="spellStart"/>
      <w:r w:rsidRPr="001005B7">
        <w:rPr>
          <w:iCs/>
        </w:rPr>
        <w:t>ephemeridum</w:t>
      </w:r>
      <w:proofErr w:type="spellEnd"/>
      <w:r w:rsidRPr="001005B7">
        <w:rPr>
          <w:iCs/>
        </w:rPr>
        <w:t xml:space="preserve"> </w:t>
      </w:r>
      <w:proofErr w:type="spellStart"/>
      <w:r w:rsidRPr="001005B7">
        <w:rPr>
          <w:iCs/>
        </w:rPr>
        <w:t>theologicarum</w:t>
      </w:r>
      <w:proofErr w:type="spellEnd"/>
      <w:r w:rsidRPr="001005B7">
        <w:rPr>
          <w:iCs/>
        </w:rPr>
        <w:t xml:space="preserve"> </w:t>
      </w:r>
      <w:proofErr w:type="spellStart"/>
      <w:r w:rsidRPr="001005B7">
        <w:rPr>
          <w:iCs/>
        </w:rPr>
        <w:t>Lovaniensium</w:t>
      </w:r>
      <w:proofErr w:type="spellEnd"/>
    </w:p>
    <w:p w14:paraId="417770E3" w14:textId="52F2DEFB" w:rsidR="00811676" w:rsidRDefault="00811676" w:rsidP="00554907">
      <w:pPr>
        <w:tabs>
          <w:tab w:val="left" w:pos="900"/>
        </w:tabs>
        <w:ind w:left="900" w:hanging="900"/>
        <w:contextualSpacing/>
      </w:pPr>
      <w:r w:rsidRPr="001005B7">
        <w:rPr>
          <w:i/>
        </w:rPr>
        <w:t>BHS</w:t>
      </w:r>
      <w:r w:rsidRPr="001005B7">
        <w:rPr>
          <w:i/>
        </w:rPr>
        <w:tab/>
        <w:t xml:space="preserve">Biblia Hebraica </w:t>
      </w:r>
      <w:proofErr w:type="spellStart"/>
      <w:r w:rsidRPr="001005B7">
        <w:rPr>
          <w:i/>
        </w:rPr>
        <w:t>Stuttgartensia</w:t>
      </w:r>
      <w:proofErr w:type="spellEnd"/>
      <w:r w:rsidR="00A24772" w:rsidRPr="001005B7">
        <w:rPr>
          <w:i/>
          <w:iCs/>
        </w:rPr>
        <w:t xml:space="preserve">: </w:t>
      </w:r>
      <w:r w:rsidR="00870C84" w:rsidRPr="001005B7">
        <w:rPr>
          <w:rFonts w:cstheme="minorHAnsi"/>
          <w:rtl/>
          <w:lang w:bidi="he-IL"/>
        </w:rPr>
        <w:t>ספר</w:t>
      </w:r>
      <w:r w:rsidR="001A0AC9" w:rsidRPr="001005B7">
        <w:rPr>
          <w:rFonts w:cstheme="minorHAnsi"/>
          <w:rtl/>
          <w:lang w:bidi="he-IL"/>
        </w:rPr>
        <w:t xml:space="preserve"> </w:t>
      </w:r>
      <w:r w:rsidR="00870C84" w:rsidRPr="001005B7">
        <w:rPr>
          <w:rFonts w:cstheme="minorHAnsi"/>
          <w:rtl/>
          <w:lang w:bidi="he-IL"/>
        </w:rPr>
        <w:t>יחז</w:t>
      </w:r>
      <w:r w:rsidR="00BD7B78" w:rsidRPr="001005B7">
        <w:rPr>
          <w:rFonts w:cstheme="minorHAnsi"/>
          <w:rtl/>
          <w:lang w:bidi="he-IL"/>
        </w:rPr>
        <w:t>קאל</w:t>
      </w:r>
      <w:r w:rsidR="00BD7B78" w:rsidRPr="001005B7">
        <w:rPr>
          <w:i/>
          <w:iCs/>
        </w:rPr>
        <w:t xml:space="preserve"> Liber Ezechiel</w:t>
      </w:r>
      <w:r w:rsidR="001A0AC9" w:rsidRPr="001005B7">
        <w:t>.</w:t>
      </w:r>
      <w:r w:rsidR="00A24772" w:rsidRPr="001005B7">
        <w:rPr>
          <w:i/>
          <w:iCs/>
        </w:rPr>
        <w:t xml:space="preserve"> </w:t>
      </w:r>
      <w:r w:rsidR="001A0AC9" w:rsidRPr="001005B7">
        <w:t>Ed.</w:t>
      </w:r>
      <w:r w:rsidRPr="001005B7">
        <w:t xml:space="preserve"> </w:t>
      </w:r>
      <w:r w:rsidR="001A0AC9" w:rsidRPr="001005B7">
        <w:t xml:space="preserve">K. </w:t>
      </w:r>
      <w:proofErr w:type="spellStart"/>
      <w:r w:rsidR="009D0B26" w:rsidRPr="001005B7">
        <w:t>Elliger</w:t>
      </w:r>
      <w:proofErr w:type="spellEnd"/>
      <w:r w:rsidR="001A0AC9" w:rsidRPr="001005B7">
        <w:t>.</w:t>
      </w:r>
      <w:r w:rsidR="00330EAA" w:rsidRPr="001005B7">
        <w:t xml:space="preserve"> Stuttgart: </w:t>
      </w:r>
      <w:proofErr w:type="spellStart"/>
      <w:r w:rsidR="00330EAA" w:rsidRPr="001005B7">
        <w:t>W</w:t>
      </w:r>
      <w:r w:rsidR="00E31017" w:rsidRPr="001005B7">
        <w:rPr>
          <w:rFonts w:cstheme="minorHAnsi"/>
        </w:rPr>
        <w:t>ü</w:t>
      </w:r>
      <w:r w:rsidR="00E31017" w:rsidRPr="001005B7">
        <w:t>rttembergische</w:t>
      </w:r>
      <w:proofErr w:type="spellEnd"/>
      <w:r w:rsidR="00E31017" w:rsidRPr="001005B7">
        <w:t xml:space="preserve"> </w:t>
      </w:r>
      <w:proofErr w:type="spellStart"/>
      <w:r w:rsidR="00E31017" w:rsidRPr="001005B7">
        <w:t>Bibelanstal</w:t>
      </w:r>
      <w:r w:rsidR="00382D7B" w:rsidRPr="001005B7">
        <w:t>t</w:t>
      </w:r>
      <w:proofErr w:type="spellEnd"/>
      <w:r w:rsidR="00E31017" w:rsidRPr="001005B7">
        <w:t>, 1971</w:t>
      </w:r>
    </w:p>
    <w:p w14:paraId="5D74054D" w14:textId="0C4A2120" w:rsidR="00EC2EE1" w:rsidRDefault="00EC2EE1" w:rsidP="00554907">
      <w:pPr>
        <w:tabs>
          <w:tab w:val="left" w:pos="900"/>
        </w:tabs>
        <w:ind w:left="900" w:hanging="900"/>
        <w:contextualSpacing/>
        <w:rPr>
          <w:iCs/>
        </w:rPr>
      </w:pPr>
      <w:proofErr w:type="spellStart"/>
      <w:r>
        <w:rPr>
          <w:iCs/>
        </w:rPr>
        <w:t>BibInt</w:t>
      </w:r>
      <w:proofErr w:type="spellEnd"/>
      <w:r>
        <w:rPr>
          <w:iCs/>
        </w:rPr>
        <w:tab/>
        <w:t>Biblical Interpretation Series</w:t>
      </w:r>
    </w:p>
    <w:p w14:paraId="5BD8BB61" w14:textId="3EDB82F8" w:rsidR="0018101C" w:rsidRPr="0018101C" w:rsidRDefault="0018101C" w:rsidP="00554907">
      <w:pPr>
        <w:tabs>
          <w:tab w:val="left" w:pos="900"/>
        </w:tabs>
        <w:ind w:left="900" w:hanging="900"/>
        <w:contextualSpacing/>
        <w:rPr>
          <w:i/>
        </w:rPr>
      </w:pPr>
      <w:r>
        <w:rPr>
          <w:i/>
        </w:rPr>
        <w:t>BN</w:t>
      </w:r>
      <w:r>
        <w:rPr>
          <w:i/>
        </w:rPr>
        <w:tab/>
      </w:r>
      <w:proofErr w:type="spellStart"/>
      <w:r w:rsidRPr="001005B7">
        <w:rPr>
          <w:i/>
          <w:iCs/>
        </w:rPr>
        <w:t>Biblische</w:t>
      </w:r>
      <w:proofErr w:type="spellEnd"/>
      <w:r w:rsidRPr="001005B7">
        <w:t xml:space="preserve"> </w:t>
      </w:r>
      <w:proofErr w:type="spellStart"/>
      <w:r w:rsidRPr="001005B7">
        <w:rPr>
          <w:i/>
          <w:iCs/>
        </w:rPr>
        <w:t>Notizen</w:t>
      </w:r>
      <w:proofErr w:type="spellEnd"/>
    </w:p>
    <w:p w14:paraId="1E329008" w14:textId="77777777" w:rsidR="00811676" w:rsidRPr="001005B7" w:rsidRDefault="00811676" w:rsidP="00811676">
      <w:pPr>
        <w:tabs>
          <w:tab w:val="left" w:pos="900"/>
        </w:tabs>
        <w:ind w:left="900" w:hanging="900"/>
        <w:contextualSpacing/>
        <w:rPr>
          <w:i/>
        </w:rPr>
      </w:pPr>
      <w:r w:rsidRPr="001005B7">
        <w:rPr>
          <w:i/>
        </w:rPr>
        <w:t>BZ</w:t>
      </w:r>
      <w:r w:rsidRPr="001005B7">
        <w:rPr>
          <w:i/>
        </w:rPr>
        <w:tab/>
      </w:r>
      <w:proofErr w:type="spellStart"/>
      <w:r w:rsidRPr="001005B7">
        <w:rPr>
          <w:rStyle w:val="PlainTextChar"/>
          <w:i/>
        </w:rPr>
        <w:t>Biblische</w:t>
      </w:r>
      <w:proofErr w:type="spellEnd"/>
      <w:r w:rsidRPr="001005B7">
        <w:rPr>
          <w:rStyle w:val="PlainTextChar"/>
        </w:rPr>
        <w:t xml:space="preserve"> </w:t>
      </w:r>
      <w:proofErr w:type="spellStart"/>
      <w:r w:rsidRPr="001005B7">
        <w:rPr>
          <w:rStyle w:val="PlainTextChar"/>
        </w:rPr>
        <w:t>Z</w:t>
      </w:r>
      <w:r w:rsidRPr="001005B7">
        <w:rPr>
          <w:i/>
        </w:rPr>
        <w:t>eitschrift</w:t>
      </w:r>
      <w:proofErr w:type="spellEnd"/>
    </w:p>
    <w:p w14:paraId="791B6199" w14:textId="3FE4ED44" w:rsidR="00811676" w:rsidRPr="001005B7" w:rsidRDefault="00811676" w:rsidP="00761CEB">
      <w:pPr>
        <w:tabs>
          <w:tab w:val="left" w:pos="900"/>
        </w:tabs>
        <w:ind w:left="900" w:hanging="900"/>
        <w:contextualSpacing/>
        <w:rPr>
          <w:iCs/>
        </w:rPr>
      </w:pPr>
      <w:r w:rsidRPr="001005B7">
        <w:rPr>
          <w:iCs/>
        </w:rPr>
        <w:t>BZAW</w:t>
      </w:r>
      <w:r w:rsidRPr="001005B7">
        <w:rPr>
          <w:iCs/>
        </w:rPr>
        <w:tab/>
      </w:r>
      <w:proofErr w:type="spellStart"/>
      <w:r w:rsidRPr="001005B7">
        <w:rPr>
          <w:iCs/>
        </w:rPr>
        <w:t>Beihefte</w:t>
      </w:r>
      <w:proofErr w:type="spellEnd"/>
      <w:r w:rsidRPr="001005B7">
        <w:rPr>
          <w:iCs/>
        </w:rPr>
        <w:t xml:space="preserve"> </w:t>
      </w:r>
      <w:proofErr w:type="spellStart"/>
      <w:r w:rsidRPr="001005B7">
        <w:rPr>
          <w:iCs/>
        </w:rPr>
        <w:t>zur</w:t>
      </w:r>
      <w:proofErr w:type="spellEnd"/>
      <w:r w:rsidRPr="001005B7">
        <w:rPr>
          <w:iCs/>
        </w:rPr>
        <w:t xml:space="preserve"> </w:t>
      </w:r>
      <w:proofErr w:type="spellStart"/>
      <w:r w:rsidRPr="001005B7">
        <w:rPr>
          <w:iCs/>
        </w:rPr>
        <w:t>Zeitschrift</w:t>
      </w:r>
      <w:proofErr w:type="spellEnd"/>
      <w:r w:rsidRPr="001005B7">
        <w:rPr>
          <w:iCs/>
        </w:rPr>
        <w:t xml:space="preserve"> für die </w:t>
      </w:r>
      <w:proofErr w:type="spellStart"/>
      <w:r w:rsidRPr="001005B7">
        <w:rPr>
          <w:iCs/>
        </w:rPr>
        <w:t>alttestamentliche</w:t>
      </w:r>
      <w:proofErr w:type="spellEnd"/>
      <w:r w:rsidRPr="001005B7">
        <w:rPr>
          <w:iCs/>
        </w:rPr>
        <w:t xml:space="preserve"> </w:t>
      </w:r>
      <w:proofErr w:type="spellStart"/>
      <w:r w:rsidRPr="001005B7">
        <w:rPr>
          <w:iCs/>
        </w:rPr>
        <w:t>Wissenschaf</w:t>
      </w:r>
      <w:r w:rsidR="00F933BB" w:rsidRPr="001005B7">
        <w:rPr>
          <w:iCs/>
        </w:rPr>
        <w:t>t</w:t>
      </w:r>
      <w:proofErr w:type="spellEnd"/>
      <w:r w:rsidRPr="001005B7">
        <w:t xml:space="preserve"> </w:t>
      </w:r>
    </w:p>
    <w:p w14:paraId="3A1599AC" w14:textId="20142442" w:rsidR="006859C5" w:rsidRPr="001005B7" w:rsidRDefault="006859C5" w:rsidP="00811676">
      <w:pPr>
        <w:tabs>
          <w:tab w:val="left" w:pos="900"/>
        </w:tabs>
        <w:ind w:left="900" w:hanging="900"/>
        <w:contextualSpacing/>
      </w:pPr>
      <w:r w:rsidRPr="001005B7">
        <w:t>CBH</w:t>
      </w:r>
      <w:r w:rsidR="008F1C8E" w:rsidRPr="001005B7">
        <w:tab/>
        <w:t>Classical Biblical Hebrew</w:t>
      </w:r>
    </w:p>
    <w:p w14:paraId="09098D1C" w14:textId="0D16E1EB" w:rsidR="00CC14A5" w:rsidRPr="001005B7" w:rsidRDefault="00811676" w:rsidP="00CC14A5">
      <w:pPr>
        <w:tabs>
          <w:tab w:val="left" w:pos="900"/>
        </w:tabs>
        <w:ind w:left="900" w:hanging="900"/>
        <w:contextualSpacing/>
      </w:pPr>
      <w:r w:rsidRPr="001005B7">
        <w:rPr>
          <w:i/>
        </w:rPr>
        <w:t>CD</w:t>
      </w:r>
      <w:r w:rsidRPr="001005B7">
        <w:rPr>
          <w:i/>
        </w:rPr>
        <w:tab/>
        <w:t>Church Dogmatics</w:t>
      </w:r>
      <w:r w:rsidR="002559EC">
        <w:rPr>
          <w:iCs/>
        </w:rPr>
        <w:t>,</w:t>
      </w:r>
      <w:r w:rsidR="00AC71AA" w:rsidRPr="001005B7">
        <w:rPr>
          <w:i/>
        </w:rPr>
        <w:t xml:space="preserve"> </w:t>
      </w:r>
      <w:r w:rsidR="00AC71AA" w:rsidRPr="001005B7">
        <w:rPr>
          <w:iCs/>
        </w:rPr>
        <w:t xml:space="preserve">by </w:t>
      </w:r>
      <w:r w:rsidR="008E22DB" w:rsidRPr="001005B7">
        <w:rPr>
          <w:iCs/>
        </w:rPr>
        <w:t>K. Barth</w:t>
      </w:r>
      <w:r w:rsidR="00793A90" w:rsidRPr="001005B7">
        <w:rPr>
          <w:iCs/>
        </w:rPr>
        <w:t>.</w:t>
      </w:r>
      <w:r w:rsidR="00793A90" w:rsidRPr="001005B7">
        <w:rPr>
          <w:i/>
        </w:rPr>
        <w:t xml:space="preserve"> </w:t>
      </w:r>
      <w:r w:rsidR="00A74D19" w:rsidRPr="001005B7">
        <w:t>Translated by G</w:t>
      </w:r>
      <w:r w:rsidR="00587677">
        <w:t>eoffrey</w:t>
      </w:r>
      <w:r w:rsidR="00A74D19" w:rsidRPr="001005B7">
        <w:t xml:space="preserve"> W. Bromiley et al. Edinburgh: </w:t>
      </w:r>
      <w:r w:rsidR="00A306BF" w:rsidRPr="001005B7">
        <w:t xml:space="preserve">T&amp;T </w:t>
      </w:r>
      <w:r w:rsidR="00A74D19" w:rsidRPr="001005B7">
        <w:t>Clark, 1936–69</w:t>
      </w:r>
    </w:p>
    <w:p w14:paraId="24C3E3E2" w14:textId="3A66EEFE" w:rsidR="00563761" w:rsidRPr="001005B7" w:rsidRDefault="00563761" w:rsidP="00CC14A5">
      <w:pPr>
        <w:tabs>
          <w:tab w:val="left" w:pos="900"/>
        </w:tabs>
        <w:ind w:left="900" w:hanging="900"/>
        <w:contextualSpacing/>
        <w:rPr>
          <w:iCs/>
        </w:rPr>
      </w:pPr>
      <w:r w:rsidRPr="001005B7">
        <w:rPr>
          <w:iCs/>
        </w:rPr>
        <w:t>CEB</w:t>
      </w:r>
      <w:r w:rsidRPr="001005B7">
        <w:rPr>
          <w:iCs/>
        </w:rPr>
        <w:tab/>
        <w:t>Common English Bible</w:t>
      </w:r>
    </w:p>
    <w:p w14:paraId="5B117F13" w14:textId="7DDB2F2F" w:rsidR="00E73D43" w:rsidRPr="001005B7" w:rsidRDefault="00811676" w:rsidP="00CC14A5">
      <w:pPr>
        <w:tabs>
          <w:tab w:val="left" w:pos="900"/>
        </w:tabs>
        <w:ind w:left="900" w:hanging="900"/>
        <w:contextualSpacing/>
        <w:rPr>
          <w:i/>
        </w:rPr>
      </w:pPr>
      <w:r w:rsidRPr="001005B7">
        <w:rPr>
          <w:rFonts w:ascii="Calibri" w:hAnsi="Calibri" w:cs="Calibri"/>
          <w:i/>
        </w:rPr>
        <w:t>CTAT</w:t>
      </w:r>
      <w:r w:rsidRPr="001005B7">
        <w:rPr>
          <w:rFonts w:ascii="Calibri" w:hAnsi="Calibri" w:cs="Calibri"/>
          <w:i/>
        </w:rPr>
        <w:tab/>
        <w:t xml:space="preserve">Critique </w:t>
      </w:r>
      <w:proofErr w:type="spellStart"/>
      <w:r w:rsidRPr="001005B7">
        <w:rPr>
          <w:rFonts w:ascii="Calibri" w:hAnsi="Calibri" w:cs="Calibri"/>
          <w:i/>
        </w:rPr>
        <w:t>textuelle</w:t>
      </w:r>
      <w:proofErr w:type="spellEnd"/>
      <w:r w:rsidRPr="001005B7">
        <w:rPr>
          <w:rFonts w:ascii="Calibri" w:hAnsi="Calibri" w:cs="Calibri"/>
          <w:i/>
        </w:rPr>
        <w:t xml:space="preserve"> de </w:t>
      </w:r>
      <w:proofErr w:type="spellStart"/>
      <w:r w:rsidRPr="001005B7">
        <w:rPr>
          <w:rFonts w:ascii="Calibri" w:hAnsi="Calibri" w:cs="Calibri"/>
          <w:i/>
        </w:rPr>
        <w:t>l’Ancien</w:t>
      </w:r>
      <w:proofErr w:type="spellEnd"/>
      <w:r w:rsidRPr="001005B7">
        <w:rPr>
          <w:rFonts w:ascii="Calibri" w:hAnsi="Calibri" w:cs="Calibri"/>
          <w:i/>
        </w:rPr>
        <w:t xml:space="preserve"> Testament</w:t>
      </w:r>
      <w:r w:rsidR="00F41BF4" w:rsidRPr="001005B7">
        <w:rPr>
          <w:rFonts w:ascii="Calibri" w:hAnsi="Calibri" w:cs="Calibri"/>
          <w:i/>
        </w:rPr>
        <w:t>:</w:t>
      </w:r>
      <w:r w:rsidR="00F41BF4" w:rsidRPr="001005B7">
        <w:rPr>
          <w:rFonts w:ascii="LMRoman12-Bold-Identity-H" w:hAnsi="LMRoman12-Bold-Identity-H" w:cs="LMRoman12-Bold-Identity-H"/>
          <w:i/>
          <w:sz w:val="24"/>
          <w:szCs w:val="24"/>
        </w:rPr>
        <w:t xml:space="preserve"> </w:t>
      </w:r>
      <w:r w:rsidR="005C1E9B" w:rsidRPr="001005B7">
        <w:rPr>
          <w:rFonts w:ascii="LMRoman12-Bold-Identity-H" w:hAnsi="LMRoman12-Bold-Identity-H" w:cs="LMRoman12-Bold-Identity-H"/>
          <w:i/>
          <w:sz w:val="24"/>
          <w:szCs w:val="24"/>
        </w:rPr>
        <w:t>Tome 3.</w:t>
      </w:r>
      <w:r w:rsidR="00977736" w:rsidRPr="001005B7">
        <w:rPr>
          <w:rFonts w:ascii="LMRoman12-Bold-Identity-H" w:hAnsi="LMRoman12-Bold-Identity-H" w:cs="LMRoman12-Bold-Identity-H"/>
          <w:i/>
          <w:sz w:val="24"/>
          <w:szCs w:val="24"/>
        </w:rPr>
        <w:t xml:space="preserve"> </w:t>
      </w:r>
      <w:proofErr w:type="spellStart"/>
      <w:r w:rsidR="00F41BF4" w:rsidRPr="001005B7">
        <w:rPr>
          <w:rFonts w:ascii="LMRoman12-Bold-Identity-H" w:hAnsi="LMRoman12-Bold-Identity-H" w:cs="LMRoman12-Bold-Identity-H"/>
          <w:i/>
          <w:sz w:val="24"/>
          <w:szCs w:val="24"/>
        </w:rPr>
        <w:t>Ézéchiel</w:t>
      </w:r>
      <w:proofErr w:type="spellEnd"/>
      <w:r w:rsidR="00F41BF4" w:rsidRPr="001005B7">
        <w:rPr>
          <w:rFonts w:ascii="LMRoman12-Bold-Identity-H" w:hAnsi="LMRoman12-Bold-Identity-H" w:cs="LMRoman12-Bold-Identity-H"/>
          <w:i/>
          <w:sz w:val="24"/>
          <w:szCs w:val="24"/>
        </w:rPr>
        <w:t>, Daniel et les</w:t>
      </w:r>
      <w:r w:rsidR="00CC14A5" w:rsidRPr="001005B7">
        <w:rPr>
          <w:rFonts w:ascii="LMRoman12-Bold-Identity-H" w:hAnsi="LMRoman12-Bold-Identity-H" w:cs="LMRoman12-Bold-Identity-H"/>
          <w:i/>
          <w:sz w:val="24"/>
          <w:szCs w:val="24"/>
        </w:rPr>
        <w:t xml:space="preserve"> </w:t>
      </w:r>
      <w:r w:rsidR="00F41BF4" w:rsidRPr="001005B7">
        <w:rPr>
          <w:rFonts w:ascii="LMRoman12-Bold-Identity-H" w:hAnsi="LMRoman12-Bold-Identity-H" w:cs="LMRoman12-Bold-Identity-H"/>
          <w:i/>
          <w:sz w:val="24"/>
          <w:szCs w:val="24"/>
        </w:rPr>
        <w:t>12</w:t>
      </w:r>
      <w:r w:rsidR="00CC14A5" w:rsidRPr="001005B7">
        <w:rPr>
          <w:rFonts w:ascii="LMRoman12-Bold-Identity-H" w:hAnsi="LMRoman12-Bold-Identity-H" w:cs="LMRoman12-Bold-Identity-H"/>
          <w:i/>
          <w:sz w:val="24"/>
          <w:szCs w:val="24"/>
        </w:rPr>
        <w:t xml:space="preserve"> </w:t>
      </w:r>
      <w:proofErr w:type="spellStart"/>
      <w:r w:rsidR="00F41BF4" w:rsidRPr="001005B7">
        <w:rPr>
          <w:rFonts w:ascii="LMRoman12-Bold-Identity-H" w:hAnsi="LMRoman12-Bold-Identity-H" w:cs="LMRoman12-Bold-Identity-H"/>
          <w:i/>
          <w:sz w:val="24"/>
          <w:szCs w:val="24"/>
        </w:rPr>
        <w:t>Prophètes</w:t>
      </w:r>
      <w:proofErr w:type="spellEnd"/>
      <w:r w:rsidR="008E3FE1" w:rsidRPr="001005B7">
        <w:rPr>
          <w:iCs/>
        </w:rPr>
        <w:t xml:space="preserve">, by Dominique </w:t>
      </w:r>
      <w:proofErr w:type="spellStart"/>
      <w:r w:rsidR="008E3FE1" w:rsidRPr="001005B7">
        <w:rPr>
          <w:rFonts w:ascii="Calibri" w:hAnsi="Calibri" w:cs="Calibri"/>
        </w:rPr>
        <w:t>Barthélemy</w:t>
      </w:r>
      <w:proofErr w:type="spellEnd"/>
      <w:r w:rsidR="008E3FE1" w:rsidRPr="001005B7">
        <w:rPr>
          <w:rFonts w:ascii="Calibri" w:hAnsi="Calibri" w:cs="Calibri"/>
          <w:b/>
        </w:rPr>
        <w:t>.</w:t>
      </w:r>
      <w:r w:rsidR="007157F7" w:rsidRPr="001005B7">
        <w:rPr>
          <w:rFonts w:ascii="Calibri" w:hAnsi="Calibri" w:cs="Calibri"/>
          <w:b/>
        </w:rPr>
        <w:t xml:space="preserve"> </w:t>
      </w:r>
      <w:r w:rsidR="00071DD3" w:rsidRPr="001005B7">
        <w:rPr>
          <w:rFonts w:ascii="Calibri" w:hAnsi="Calibri" w:cs="Calibri"/>
        </w:rPr>
        <w:t xml:space="preserve">Göttingen: </w:t>
      </w:r>
      <w:proofErr w:type="spellStart"/>
      <w:r w:rsidR="00071DD3" w:rsidRPr="001005B7">
        <w:rPr>
          <w:rFonts w:ascii="Calibri" w:hAnsi="Calibri" w:cs="Calibri"/>
        </w:rPr>
        <w:t>Vandenhoeck</w:t>
      </w:r>
      <w:proofErr w:type="spellEnd"/>
      <w:r w:rsidR="00FD545D">
        <w:rPr>
          <w:rFonts w:ascii="Calibri" w:hAnsi="Calibri" w:cs="Calibri"/>
        </w:rPr>
        <w:t xml:space="preserve"> &amp; Ruprech</w:t>
      </w:r>
      <w:r w:rsidR="000E091E">
        <w:rPr>
          <w:rFonts w:ascii="Calibri" w:hAnsi="Calibri" w:cs="Calibri"/>
        </w:rPr>
        <w:t>t</w:t>
      </w:r>
      <w:r w:rsidR="00071DD3" w:rsidRPr="001005B7">
        <w:rPr>
          <w:rFonts w:ascii="Calibri" w:hAnsi="Calibri" w:cs="Calibri"/>
        </w:rPr>
        <w:t>, 199</w:t>
      </w:r>
      <w:r w:rsidR="00CC14A5" w:rsidRPr="001005B7">
        <w:rPr>
          <w:rFonts w:ascii="Calibri" w:hAnsi="Calibri" w:cs="Calibri"/>
        </w:rPr>
        <w:t>2</w:t>
      </w:r>
    </w:p>
    <w:p w14:paraId="216EA61A" w14:textId="77777777" w:rsidR="003B282B" w:rsidRPr="001005B7" w:rsidRDefault="00811676" w:rsidP="003B282B">
      <w:pPr>
        <w:tabs>
          <w:tab w:val="left" w:pos="900"/>
        </w:tabs>
        <w:ind w:left="900" w:hanging="900"/>
        <w:contextualSpacing/>
        <w:rPr>
          <w:i/>
        </w:rPr>
      </w:pPr>
      <w:r w:rsidRPr="001005B7">
        <w:rPr>
          <w:i/>
        </w:rPr>
        <w:t>CTJ</w:t>
      </w:r>
      <w:r w:rsidRPr="001005B7">
        <w:rPr>
          <w:i/>
        </w:rPr>
        <w:tab/>
        <w:t>Calvin Theological Journal</w:t>
      </w:r>
    </w:p>
    <w:p w14:paraId="0779D202" w14:textId="7696D1F0" w:rsidR="003B282B" w:rsidRPr="001005B7" w:rsidRDefault="003B0D25" w:rsidP="008F2488">
      <w:pPr>
        <w:tabs>
          <w:tab w:val="left" w:pos="900"/>
        </w:tabs>
        <w:ind w:left="900" w:hanging="900"/>
        <w:contextualSpacing/>
        <w:rPr>
          <w:i/>
        </w:rPr>
      </w:pPr>
      <w:r w:rsidRPr="001005B7">
        <w:rPr>
          <w:i/>
        </w:rPr>
        <w:t>DCH</w:t>
      </w:r>
      <w:r w:rsidRPr="001005B7">
        <w:rPr>
          <w:i/>
        </w:rPr>
        <w:tab/>
        <w:t xml:space="preserve">The Dictionary of Classical Hebrew. </w:t>
      </w:r>
      <w:r w:rsidR="00280343" w:rsidRPr="001005B7">
        <w:rPr>
          <w:iCs/>
        </w:rPr>
        <w:t>Ed. D</w:t>
      </w:r>
      <w:r w:rsidR="00796096" w:rsidRPr="001005B7">
        <w:rPr>
          <w:iCs/>
        </w:rPr>
        <w:t>avid</w:t>
      </w:r>
      <w:r w:rsidR="00280343" w:rsidRPr="001005B7">
        <w:rPr>
          <w:iCs/>
        </w:rPr>
        <w:t xml:space="preserve"> J. A. Clines. </w:t>
      </w:r>
      <w:r w:rsidRPr="001005B7">
        <w:t>Sheffield: Sheffield Academic Press (vols. 1</w:t>
      </w:r>
      <w:r w:rsidR="00F46900" w:rsidRPr="001005B7">
        <w:t>–</w:t>
      </w:r>
      <w:r w:rsidRPr="001005B7">
        <w:t>5) and Sheffield Phoenix Press (vols. 6</w:t>
      </w:r>
      <w:r w:rsidR="00F46900" w:rsidRPr="001005B7">
        <w:t>–</w:t>
      </w:r>
      <w:r w:rsidRPr="001005B7">
        <w:t>8), 1993</w:t>
      </w:r>
      <w:r w:rsidR="00F46900" w:rsidRPr="001005B7">
        <w:t>–</w:t>
      </w:r>
      <w:r w:rsidRPr="001005B7">
        <w:t>2011</w:t>
      </w:r>
    </w:p>
    <w:p w14:paraId="1D2ACCE7" w14:textId="55037AAA" w:rsidR="00811676" w:rsidRPr="001005B7" w:rsidRDefault="00F52429" w:rsidP="003B282B">
      <w:pPr>
        <w:tabs>
          <w:tab w:val="left" w:pos="900"/>
        </w:tabs>
        <w:ind w:left="900" w:hanging="900"/>
        <w:contextualSpacing/>
      </w:pPr>
      <w:r w:rsidRPr="001005B7">
        <w:t>DG</w:t>
      </w:r>
      <w:r w:rsidRPr="001005B7">
        <w:tab/>
        <w:t>Gibson, J</w:t>
      </w:r>
      <w:r w:rsidR="00D65CCD">
        <w:t>ohn</w:t>
      </w:r>
      <w:r w:rsidRPr="001005B7">
        <w:t xml:space="preserve"> C. L. </w:t>
      </w:r>
      <w:r w:rsidRPr="001005B7">
        <w:rPr>
          <w:i/>
        </w:rPr>
        <w:t>Davidson's Introductory Hebrew Grammar</w:t>
      </w:r>
      <w:r w:rsidR="00F46900" w:rsidRPr="001005B7">
        <w:rPr>
          <w:i/>
        </w:rPr>
        <w:t>–</w:t>
      </w:r>
      <w:r w:rsidRPr="001005B7">
        <w:rPr>
          <w:i/>
        </w:rPr>
        <w:t>Syntax</w:t>
      </w:r>
      <w:r w:rsidRPr="001005B7">
        <w:t xml:space="preserve">. Edinburgh: </w:t>
      </w:r>
      <w:r w:rsidR="00E963E2" w:rsidRPr="001005B7">
        <w:t xml:space="preserve">T&amp;T </w:t>
      </w:r>
      <w:r w:rsidRPr="001005B7">
        <w:t>Clark, 1994</w:t>
      </w:r>
    </w:p>
    <w:p w14:paraId="4F7755DA" w14:textId="3EC7F97E" w:rsidR="00DD241A" w:rsidRPr="001005B7" w:rsidRDefault="00811676" w:rsidP="000E3D48">
      <w:pPr>
        <w:tabs>
          <w:tab w:val="left" w:pos="900"/>
        </w:tabs>
        <w:ind w:left="900" w:hanging="900"/>
        <w:contextualSpacing/>
      </w:pPr>
      <w:r w:rsidRPr="001005B7">
        <w:t xml:space="preserve">diss. </w:t>
      </w:r>
      <w:r w:rsidRPr="001005B7">
        <w:tab/>
        <w:t>dissertation</w:t>
      </w:r>
    </w:p>
    <w:p w14:paraId="492417B6" w14:textId="5E1E8FA8" w:rsidR="00DD241A" w:rsidRPr="001005B7" w:rsidRDefault="00235D7B" w:rsidP="00DD241A">
      <w:pPr>
        <w:tabs>
          <w:tab w:val="left" w:pos="900"/>
        </w:tabs>
        <w:ind w:left="900" w:hanging="900"/>
        <w:contextualSpacing/>
      </w:pPr>
      <w:r w:rsidRPr="001005B7">
        <w:rPr>
          <w:i/>
        </w:rPr>
        <w:t>DSS</w:t>
      </w:r>
      <w:r w:rsidRPr="001005B7">
        <w:rPr>
          <w:i/>
        </w:rPr>
        <w:tab/>
      </w:r>
      <w:r w:rsidRPr="001005B7">
        <w:rPr>
          <w:i/>
          <w:iCs/>
        </w:rPr>
        <w:t>The Dead Sea Scrolls</w:t>
      </w:r>
      <w:r w:rsidR="00EF7619" w:rsidRPr="001005B7">
        <w:rPr>
          <w:i/>
          <w:iCs/>
        </w:rPr>
        <w:t>: Study Edition</w:t>
      </w:r>
      <w:r w:rsidRPr="001005B7">
        <w:t xml:space="preserve">. </w:t>
      </w:r>
      <w:r w:rsidR="00EF7619" w:rsidRPr="001005B7">
        <w:t>Ed</w:t>
      </w:r>
      <w:r w:rsidR="001A102C">
        <w:t>.</w:t>
      </w:r>
      <w:r w:rsidR="00EF7619" w:rsidRPr="001005B7">
        <w:t xml:space="preserve"> </w:t>
      </w:r>
      <w:r w:rsidR="0061090D" w:rsidRPr="001005B7">
        <w:t xml:space="preserve">Florentino </w:t>
      </w:r>
      <w:r w:rsidR="00E963E2" w:rsidRPr="001005B7">
        <w:t xml:space="preserve">García Martínez and </w:t>
      </w:r>
      <w:proofErr w:type="spellStart"/>
      <w:r w:rsidR="00E963E2" w:rsidRPr="001005B7">
        <w:t>E</w:t>
      </w:r>
      <w:r w:rsidR="0061090D" w:rsidRPr="001005B7">
        <w:t>ibert</w:t>
      </w:r>
      <w:proofErr w:type="spellEnd"/>
      <w:r w:rsidR="00E963E2" w:rsidRPr="001005B7">
        <w:t xml:space="preserve"> J. C. </w:t>
      </w:r>
      <w:proofErr w:type="spellStart"/>
      <w:r w:rsidR="00E963E2" w:rsidRPr="001005B7">
        <w:t>Tigchelaar</w:t>
      </w:r>
      <w:proofErr w:type="spellEnd"/>
      <w:r w:rsidR="00E963E2" w:rsidRPr="001005B7">
        <w:t xml:space="preserve">. </w:t>
      </w:r>
      <w:r w:rsidR="001B7B81" w:rsidRPr="001005B7">
        <w:t xml:space="preserve">2 vols. </w:t>
      </w:r>
      <w:r w:rsidRPr="001005B7">
        <w:t xml:space="preserve">Reprinted </w:t>
      </w:r>
      <w:r w:rsidR="00CD11B1" w:rsidRPr="001005B7">
        <w:t>Grand Rapids: Eerdmans</w:t>
      </w:r>
      <w:r w:rsidRPr="001005B7">
        <w:t>, 2000</w:t>
      </w:r>
    </w:p>
    <w:p w14:paraId="518FA082" w14:textId="4DDD3CB7" w:rsidR="00811676" w:rsidRPr="001005B7" w:rsidRDefault="00235D7B" w:rsidP="00DD241A">
      <w:pPr>
        <w:tabs>
          <w:tab w:val="left" w:pos="900"/>
        </w:tabs>
        <w:ind w:left="900" w:hanging="900"/>
        <w:contextualSpacing/>
      </w:pPr>
      <w:r w:rsidRPr="001005B7">
        <w:rPr>
          <w:i/>
          <w:iCs/>
        </w:rPr>
        <w:t>DTT</w:t>
      </w:r>
      <w:r w:rsidRPr="001005B7">
        <w:tab/>
      </w:r>
      <w:r w:rsidR="00D463A0" w:rsidRPr="001005B7">
        <w:rPr>
          <w:i/>
        </w:rPr>
        <w:t xml:space="preserve">A </w:t>
      </w:r>
      <w:r w:rsidRPr="001005B7">
        <w:rPr>
          <w:i/>
        </w:rPr>
        <w:t xml:space="preserve">Dictionary of the </w:t>
      </w:r>
      <w:proofErr w:type="spellStart"/>
      <w:r w:rsidRPr="001005B7">
        <w:rPr>
          <w:i/>
        </w:rPr>
        <w:t>Targumim</w:t>
      </w:r>
      <w:proofErr w:type="spellEnd"/>
      <w:r w:rsidRPr="001005B7">
        <w:rPr>
          <w:i/>
        </w:rPr>
        <w:t xml:space="preserve">, the Talmud Babli and </w:t>
      </w:r>
      <w:proofErr w:type="spellStart"/>
      <w:r w:rsidRPr="001005B7">
        <w:rPr>
          <w:i/>
        </w:rPr>
        <w:t>Yerushalmi</w:t>
      </w:r>
      <w:proofErr w:type="spellEnd"/>
      <w:r w:rsidRPr="001005B7">
        <w:rPr>
          <w:i/>
        </w:rPr>
        <w:t>, and the Midrashic Literature.</w:t>
      </w:r>
      <w:r w:rsidRPr="001005B7">
        <w:t xml:space="preserve"> </w:t>
      </w:r>
      <w:r w:rsidR="00F1333A" w:rsidRPr="001005B7">
        <w:rPr>
          <w:iCs/>
        </w:rPr>
        <w:t>Comp</w:t>
      </w:r>
      <w:r w:rsidR="00D740C2" w:rsidRPr="001005B7">
        <w:rPr>
          <w:iCs/>
        </w:rPr>
        <w:t>i</w:t>
      </w:r>
      <w:r w:rsidR="00F1333A" w:rsidRPr="001005B7">
        <w:rPr>
          <w:iCs/>
        </w:rPr>
        <w:t xml:space="preserve">led by Marcus Jastrow. </w:t>
      </w:r>
      <w:r w:rsidRPr="001005B7">
        <w:t xml:space="preserve">New York: </w:t>
      </w:r>
      <w:proofErr w:type="spellStart"/>
      <w:r w:rsidRPr="001005B7">
        <w:t>Choreb</w:t>
      </w:r>
      <w:proofErr w:type="spellEnd"/>
      <w:r w:rsidRPr="001005B7">
        <w:t>, 1926</w:t>
      </w:r>
    </w:p>
    <w:p w14:paraId="337C8EAE" w14:textId="0FCA4BF9" w:rsidR="00811676" w:rsidRPr="001005B7" w:rsidRDefault="00811676" w:rsidP="00D14732">
      <w:pPr>
        <w:tabs>
          <w:tab w:val="left" w:pos="900"/>
        </w:tabs>
        <w:ind w:left="900" w:hanging="900"/>
        <w:contextualSpacing/>
      </w:pPr>
      <w:r w:rsidRPr="001005B7">
        <w:rPr>
          <w:i/>
        </w:rPr>
        <w:t>ETL</w:t>
      </w:r>
      <w:r w:rsidRPr="001005B7">
        <w:rPr>
          <w:i/>
        </w:rPr>
        <w:tab/>
        <w:t xml:space="preserve">Ephemerides </w:t>
      </w:r>
      <w:proofErr w:type="spellStart"/>
      <w:r w:rsidRPr="001005B7">
        <w:rPr>
          <w:i/>
        </w:rPr>
        <w:t>theologicae</w:t>
      </w:r>
      <w:proofErr w:type="spellEnd"/>
      <w:r w:rsidRPr="001005B7">
        <w:rPr>
          <w:i/>
        </w:rPr>
        <w:t xml:space="preserve"> </w:t>
      </w:r>
      <w:proofErr w:type="spellStart"/>
      <w:r w:rsidRPr="001005B7">
        <w:rPr>
          <w:i/>
        </w:rPr>
        <w:t>Lovanienses</w:t>
      </w:r>
      <w:proofErr w:type="spellEnd"/>
      <w:r w:rsidRPr="001005B7">
        <w:t xml:space="preserve"> </w:t>
      </w:r>
    </w:p>
    <w:p w14:paraId="397B4019" w14:textId="65FA7992" w:rsidR="005B2193" w:rsidRPr="001005B7" w:rsidRDefault="005B2193" w:rsidP="00811676">
      <w:pPr>
        <w:tabs>
          <w:tab w:val="left" w:pos="900"/>
        </w:tabs>
        <w:ind w:left="900" w:hanging="900"/>
        <w:contextualSpacing/>
      </w:pPr>
      <w:r w:rsidRPr="001005B7">
        <w:t>f.</w:t>
      </w:r>
      <w:r w:rsidRPr="001005B7">
        <w:tab/>
        <w:t>feminine</w:t>
      </w:r>
    </w:p>
    <w:p w14:paraId="4C7A6AEC" w14:textId="30DD6BBF" w:rsidR="00811676" w:rsidRPr="001005B7" w:rsidRDefault="00811676" w:rsidP="00811676">
      <w:pPr>
        <w:tabs>
          <w:tab w:val="left" w:pos="900"/>
        </w:tabs>
        <w:ind w:left="900" w:hanging="900"/>
        <w:contextualSpacing/>
      </w:pPr>
      <w:r w:rsidRPr="001005B7">
        <w:t>FAT</w:t>
      </w:r>
      <w:r w:rsidRPr="001005B7">
        <w:tab/>
      </w:r>
      <w:proofErr w:type="spellStart"/>
      <w:r w:rsidRPr="001005B7">
        <w:rPr>
          <w:rFonts w:cstheme="minorHAnsi"/>
          <w:iCs/>
        </w:rPr>
        <w:t>Forschungen</w:t>
      </w:r>
      <w:proofErr w:type="spellEnd"/>
      <w:r w:rsidRPr="001005B7">
        <w:rPr>
          <w:rFonts w:cstheme="minorHAnsi"/>
          <w:iCs/>
        </w:rPr>
        <w:t xml:space="preserve"> </w:t>
      </w:r>
      <w:proofErr w:type="spellStart"/>
      <w:r w:rsidRPr="001005B7">
        <w:rPr>
          <w:rFonts w:cstheme="minorHAnsi"/>
          <w:iCs/>
        </w:rPr>
        <w:t>zum</w:t>
      </w:r>
      <w:proofErr w:type="spellEnd"/>
      <w:r w:rsidRPr="001005B7">
        <w:rPr>
          <w:rFonts w:cstheme="minorHAnsi"/>
          <w:iCs/>
        </w:rPr>
        <w:t xml:space="preserve"> </w:t>
      </w:r>
      <w:proofErr w:type="spellStart"/>
      <w:r w:rsidRPr="001005B7">
        <w:rPr>
          <w:rFonts w:cstheme="minorHAnsi"/>
          <w:iCs/>
        </w:rPr>
        <w:t>Alten</w:t>
      </w:r>
      <w:proofErr w:type="spellEnd"/>
      <w:r w:rsidRPr="001005B7">
        <w:rPr>
          <w:rFonts w:cstheme="minorHAnsi"/>
          <w:iCs/>
        </w:rPr>
        <w:t xml:space="preserve"> Testament</w:t>
      </w:r>
    </w:p>
    <w:p w14:paraId="0F64C50A" w14:textId="77777777" w:rsidR="00811676" w:rsidRPr="001005B7" w:rsidRDefault="00811676" w:rsidP="00811676">
      <w:pPr>
        <w:tabs>
          <w:tab w:val="left" w:pos="900"/>
        </w:tabs>
        <w:ind w:left="900" w:hanging="900"/>
        <w:contextualSpacing/>
      </w:pPr>
      <w:r w:rsidRPr="001005B7">
        <w:t>FRLANT</w:t>
      </w:r>
      <w:r w:rsidRPr="001005B7">
        <w:tab/>
      </w:r>
      <w:proofErr w:type="spellStart"/>
      <w:r w:rsidRPr="001005B7">
        <w:rPr>
          <w:rStyle w:val="definition"/>
          <w:rFonts w:ascii="Calibri" w:hAnsi="Calibri" w:cs="Calibri"/>
          <w:iCs/>
        </w:rPr>
        <w:t>Forschungen</w:t>
      </w:r>
      <w:proofErr w:type="spellEnd"/>
      <w:r w:rsidRPr="001005B7">
        <w:rPr>
          <w:rStyle w:val="definition"/>
          <w:rFonts w:ascii="Calibri" w:hAnsi="Calibri" w:cs="Calibri"/>
          <w:iCs/>
        </w:rPr>
        <w:t xml:space="preserve"> </w:t>
      </w:r>
      <w:proofErr w:type="spellStart"/>
      <w:r w:rsidRPr="001005B7">
        <w:rPr>
          <w:rStyle w:val="definition"/>
          <w:rFonts w:ascii="Calibri" w:hAnsi="Calibri" w:cs="Calibri"/>
          <w:iCs/>
        </w:rPr>
        <w:t>zur</w:t>
      </w:r>
      <w:proofErr w:type="spellEnd"/>
      <w:r w:rsidRPr="001005B7">
        <w:rPr>
          <w:rStyle w:val="definition"/>
          <w:rFonts w:ascii="Calibri" w:hAnsi="Calibri" w:cs="Calibri"/>
          <w:iCs/>
        </w:rPr>
        <w:t xml:space="preserve"> Religion und Literature des </w:t>
      </w:r>
      <w:proofErr w:type="spellStart"/>
      <w:r w:rsidRPr="001005B7">
        <w:rPr>
          <w:rStyle w:val="definition"/>
          <w:rFonts w:ascii="Calibri" w:hAnsi="Calibri" w:cs="Calibri"/>
          <w:iCs/>
        </w:rPr>
        <w:t>Alten</w:t>
      </w:r>
      <w:proofErr w:type="spellEnd"/>
      <w:r w:rsidRPr="001005B7">
        <w:rPr>
          <w:rStyle w:val="definition"/>
          <w:rFonts w:ascii="Calibri" w:hAnsi="Calibri" w:cs="Calibri"/>
          <w:iCs/>
        </w:rPr>
        <w:t xml:space="preserve"> und </w:t>
      </w:r>
      <w:proofErr w:type="spellStart"/>
      <w:r w:rsidRPr="001005B7">
        <w:rPr>
          <w:rStyle w:val="definition"/>
          <w:rFonts w:ascii="Calibri" w:hAnsi="Calibri" w:cs="Calibri"/>
          <w:iCs/>
        </w:rPr>
        <w:t>Neuen</w:t>
      </w:r>
      <w:proofErr w:type="spellEnd"/>
      <w:r w:rsidRPr="001005B7">
        <w:rPr>
          <w:rStyle w:val="definition"/>
          <w:rFonts w:ascii="Calibri" w:hAnsi="Calibri" w:cs="Calibri"/>
          <w:iCs/>
        </w:rPr>
        <w:t xml:space="preserve"> Testaments</w:t>
      </w:r>
    </w:p>
    <w:p w14:paraId="27E7DA4A" w14:textId="514D551B" w:rsidR="00811676" w:rsidRPr="001005B7" w:rsidRDefault="00735998" w:rsidP="00735998">
      <w:pPr>
        <w:pStyle w:val="PlainText"/>
        <w:ind w:left="900" w:hanging="900"/>
        <w:rPr>
          <w:i/>
        </w:rPr>
      </w:pPr>
      <w:r w:rsidRPr="001005B7">
        <w:rPr>
          <w:i/>
        </w:rPr>
        <w:t>GK</w:t>
      </w:r>
      <w:r w:rsidRPr="001005B7">
        <w:rPr>
          <w:i/>
        </w:rPr>
        <w:tab/>
      </w:r>
      <w:proofErr w:type="spellStart"/>
      <w:r w:rsidRPr="001005B7">
        <w:rPr>
          <w:i/>
        </w:rPr>
        <w:t>Gesenius</w:t>
      </w:r>
      <w:proofErr w:type="spellEnd"/>
      <w:r w:rsidRPr="001005B7">
        <w:rPr>
          <w:i/>
        </w:rPr>
        <w:t>’ Hebrew Grammar</w:t>
      </w:r>
      <w:r w:rsidR="00436BCD" w:rsidRPr="001005B7">
        <w:rPr>
          <w:i/>
        </w:rPr>
        <w:t xml:space="preserve"> as Edited and </w:t>
      </w:r>
      <w:r w:rsidR="00185532" w:rsidRPr="001005B7">
        <w:rPr>
          <w:i/>
        </w:rPr>
        <w:t>E</w:t>
      </w:r>
      <w:r w:rsidR="00436BCD" w:rsidRPr="001005B7">
        <w:rPr>
          <w:i/>
        </w:rPr>
        <w:t>nla</w:t>
      </w:r>
      <w:r w:rsidR="00185532" w:rsidRPr="001005B7">
        <w:rPr>
          <w:i/>
        </w:rPr>
        <w:t>r</w:t>
      </w:r>
      <w:r w:rsidR="00436BCD" w:rsidRPr="001005B7">
        <w:rPr>
          <w:i/>
        </w:rPr>
        <w:t xml:space="preserve">ged by E. </w:t>
      </w:r>
      <w:proofErr w:type="spellStart"/>
      <w:r w:rsidR="00436BCD" w:rsidRPr="001005B7">
        <w:rPr>
          <w:i/>
        </w:rPr>
        <w:t>Kau</w:t>
      </w:r>
      <w:r w:rsidR="00185532" w:rsidRPr="001005B7">
        <w:rPr>
          <w:i/>
        </w:rPr>
        <w:t>tzsch</w:t>
      </w:r>
      <w:proofErr w:type="spellEnd"/>
      <w:r w:rsidRPr="001005B7">
        <w:t>. 2</w:t>
      </w:r>
      <w:r w:rsidRPr="001005B7">
        <w:rPr>
          <w:vertAlign w:val="superscript"/>
        </w:rPr>
        <w:t>nd</w:t>
      </w:r>
      <w:r w:rsidRPr="001005B7">
        <w:t xml:space="preserve"> </w:t>
      </w:r>
      <w:r w:rsidR="00185532" w:rsidRPr="001005B7">
        <w:t xml:space="preserve">English </w:t>
      </w:r>
      <w:r w:rsidRPr="001005B7">
        <w:t>ed.</w:t>
      </w:r>
      <w:r w:rsidR="005524FB" w:rsidRPr="001005B7">
        <w:t xml:space="preserve"> Revised by A. E. Cowley</w:t>
      </w:r>
      <w:r w:rsidRPr="001005B7">
        <w:t xml:space="preserve"> Reprinted Oxford: </w:t>
      </w:r>
      <w:r w:rsidR="00814979" w:rsidRPr="001005B7">
        <w:t>Clarendon</w:t>
      </w:r>
      <w:r w:rsidRPr="001005B7">
        <w:t xml:space="preserve"> Press, 1966</w:t>
      </w:r>
    </w:p>
    <w:p w14:paraId="04AE1191" w14:textId="6AE83720" w:rsidR="00811676" w:rsidRPr="001005B7" w:rsidRDefault="00CD6B19" w:rsidP="00CD6B19">
      <w:pPr>
        <w:pStyle w:val="PlainText"/>
        <w:ind w:left="900" w:hanging="900"/>
      </w:pPr>
      <w:r w:rsidRPr="001005B7">
        <w:rPr>
          <w:i/>
        </w:rPr>
        <w:t xml:space="preserve">HALOT  </w:t>
      </w:r>
      <w:r w:rsidRPr="001005B7">
        <w:rPr>
          <w:i/>
        </w:rPr>
        <w:tab/>
        <w:t>The Hebrew and Aramaic Lexicon of the Old Testament</w:t>
      </w:r>
      <w:r w:rsidRPr="001005B7">
        <w:t xml:space="preserve">. </w:t>
      </w:r>
      <w:r w:rsidR="00A20FA6" w:rsidRPr="001005B7">
        <w:t>By Ludwig Koehler, Walter Baumgartner</w:t>
      </w:r>
      <w:r w:rsidR="0061034D" w:rsidRPr="001005B7">
        <w:t xml:space="preserve"> et al.</w:t>
      </w:r>
      <w:r w:rsidR="00A20FA6" w:rsidRPr="001005B7">
        <w:t xml:space="preserve"> </w:t>
      </w:r>
      <w:r w:rsidRPr="001005B7">
        <w:t>Trans</w:t>
      </w:r>
      <w:r w:rsidR="00207CA4" w:rsidRPr="001005B7">
        <w:t>.</w:t>
      </w:r>
      <w:r w:rsidRPr="001005B7">
        <w:t xml:space="preserve"> </w:t>
      </w:r>
      <w:r w:rsidR="0061034D" w:rsidRPr="001005B7">
        <w:t>and ed</w:t>
      </w:r>
      <w:r w:rsidR="00207CA4" w:rsidRPr="001005B7">
        <w:t>.</w:t>
      </w:r>
      <w:r w:rsidRPr="001005B7">
        <w:t xml:space="preserve"> M</w:t>
      </w:r>
      <w:r w:rsidR="001153B6">
        <w:t>ervyn</w:t>
      </w:r>
      <w:r w:rsidRPr="001005B7">
        <w:t xml:space="preserve"> E. J. Richardson. Leiden: Brill, 2001</w:t>
      </w:r>
    </w:p>
    <w:p w14:paraId="24E4A27F" w14:textId="77777777" w:rsidR="00811676" w:rsidRPr="001005B7" w:rsidRDefault="00811676" w:rsidP="00811676">
      <w:pPr>
        <w:tabs>
          <w:tab w:val="left" w:pos="900"/>
        </w:tabs>
        <w:ind w:left="900" w:hanging="900"/>
        <w:contextualSpacing/>
      </w:pPr>
      <w:r w:rsidRPr="001005B7">
        <w:t>hapax</w:t>
      </w:r>
      <w:r w:rsidRPr="001005B7">
        <w:rPr>
          <w:i/>
        </w:rPr>
        <w:tab/>
      </w:r>
      <w:r w:rsidRPr="001005B7">
        <w:t>hapax</w:t>
      </w:r>
      <w:r w:rsidRPr="001005B7">
        <w:rPr>
          <w:i/>
        </w:rPr>
        <w:t xml:space="preserve"> </w:t>
      </w:r>
      <w:r w:rsidRPr="001005B7">
        <w:t>legomenon, a word occurring only once in the Hebrew Bible</w:t>
      </w:r>
    </w:p>
    <w:p w14:paraId="4FEBB2C7" w14:textId="5722229F" w:rsidR="00811676" w:rsidRPr="001005B7" w:rsidRDefault="00811676" w:rsidP="00CB5365">
      <w:pPr>
        <w:tabs>
          <w:tab w:val="left" w:pos="900"/>
        </w:tabs>
        <w:ind w:left="900" w:hanging="900"/>
        <w:contextualSpacing/>
      </w:pPr>
      <w:proofErr w:type="spellStart"/>
      <w:r w:rsidRPr="001005B7">
        <w:t>haplog</w:t>
      </w:r>
      <w:proofErr w:type="spellEnd"/>
      <w:r w:rsidRPr="001005B7">
        <w:tab/>
        <w:t>haplography, the accidental omission of a word or phrase similar to one next to it</w:t>
      </w:r>
    </w:p>
    <w:p w14:paraId="20366F4F" w14:textId="77777777" w:rsidR="00811676" w:rsidRPr="001005B7" w:rsidRDefault="00811676" w:rsidP="00811676">
      <w:pPr>
        <w:tabs>
          <w:tab w:val="left" w:pos="900"/>
        </w:tabs>
        <w:ind w:left="900" w:hanging="900"/>
        <w:contextualSpacing/>
        <w:rPr>
          <w:i/>
        </w:rPr>
      </w:pPr>
      <w:r w:rsidRPr="001005B7">
        <w:rPr>
          <w:i/>
        </w:rPr>
        <w:t>HBT</w:t>
      </w:r>
      <w:r w:rsidRPr="001005B7">
        <w:rPr>
          <w:i/>
        </w:rPr>
        <w:tab/>
        <w:t>Horizons in Biblical Theology</w:t>
      </w:r>
    </w:p>
    <w:p w14:paraId="6358FC91" w14:textId="2C1F2023" w:rsidR="00811676" w:rsidRDefault="004145F1" w:rsidP="002C2375">
      <w:pPr>
        <w:tabs>
          <w:tab w:val="left" w:pos="900"/>
        </w:tabs>
        <w:ind w:left="900" w:hanging="900"/>
        <w:contextualSpacing/>
        <w:rPr>
          <w:i/>
        </w:rPr>
      </w:pPr>
      <w:proofErr w:type="spellStart"/>
      <w:r w:rsidRPr="001005B7">
        <w:rPr>
          <w:i/>
        </w:rPr>
        <w:t>H</w:t>
      </w:r>
      <w:r w:rsidR="00F5382C" w:rsidRPr="001005B7">
        <w:rPr>
          <w:i/>
        </w:rPr>
        <w:t>eBAI</w:t>
      </w:r>
      <w:proofErr w:type="spellEnd"/>
      <w:r w:rsidR="00F5382C" w:rsidRPr="001005B7">
        <w:rPr>
          <w:i/>
        </w:rPr>
        <w:tab/>
        <w:t>Hebrew Bible and Ancient Israel</w:t>
      </w:r>
    </w:p>
    <w:p w14:paraId="0A0BF12E" w14:textId="64AD4DAD" w:rsidR="00686A8F" w:rsidRPr="001005B7" w:rsidRDefault="00686A8F" w:rsidP="002C2375">
      <w:pPr>
        <w:tabs>
          <w:tab w:val="left" w:pos="900"/>
        </w:tabs>
        <w:ind w:left="900" w:hanging="900"/>
        <w:contextualSpacing/>
        <w:rPr>
          <w:i/>
        </w:rPr>
      </w:pPr>
      <w:r>
        <w:rPr>
          <w:i/>
        </w:rPr>
        <w:t>HSM</w:t>
      </w:r>
      <w:r>
        <w:rPr>
          <w:i/>
        </w:rPr>
        <w:tab/>
        <w:t>Harvard Semi</w:t>
      </w:r>
      <w:r w:rsidR="00636932">
        <w:rPr>
          <w:i/>
        </w:rPr>
        <w:t>t</w:t>
      </w:r>
      <w:r>
        <w:rPr>
          <w:i/>
        </w:rPr>
        <w:t>ic Monographs</w:t>
      </w:r>
    </w:p>
    <w:p w14:paraId="67DE42D4" w14:textId="743363F4" w:rsidR="00811676" w:rsidRPr="001005B7" w:rsidRDefault="00811676" w:rsidP="00811676">
      <w:pPr>
        <w:tabs>
          <w:tab w:val="left" w:pos="900"/>
        </w:tabs>
        <w:ind w:left="900" w:hanging="900"/>
        <w:contextualSpacing/>
        <w:rPr>
          <w:i/>
        </w:rPr>
      </w:pPr>
      <w:r w:rsidRPr="001005B7">
        <w:rPr>
          <w:i/>
        </w:rPr>
        <w:t>HTS</w:t>
      </w:r>
      <w:r w:rsidRPr="001005B7">
        <w:rPr>
          <w:i/>
        </w:rPr>
        <w:tab/>
      </w:r>
      <w:proofErr w:type="spellStart"/>
      <w:r w:rsidRPr="001005B7">
        <w:rPr>
          <w:rFonts w:eastAsia="Hebraica" w:cstheme="minorHAnsi"/>
          <w:bCs/>
          <w:i/>
        </w:rPr>
        <w:t>Hervormde</w:t>
      </w:r>
      <w:proofErr w:type="spellEnd"/>
      <w:r w:rsidRPr="001005B7">
        <w:rPr>
          <w:rFonts w:eastAsia="Hebraica" w:cstheme="minorHAnsi"/>
          <w:bCs/>
          <w:i/>
        </w:rPr>
        <w:t xml:space="preserve"> </w:t>
      </w:r>
      <w:proofErr w:type="spellStart"/>
      <w:r w:rsidRPr="001005B7">
        <w:rPr>
          <w:rFonts w:eastAsia="Hebraica" w:cstheme="minorHAnsi"/>
          <w:bCs/>
          <w:i/>
        </w:rPr>
        <w:t>Teologiese</w:t>
      </w:r>
      <w:proofErr w:type="spellEnd"/>
      <w:r w:rsidRPr="001005B7">
        <w:rPr>
          <w:rFonts w:eastAsia="Hebraica" w:cstheme="minorHAnsi"/>
          <w:bCs/>
          <w:i/>
        </w:rPr>
        <w:t xml:space="preserve"> Studies</w:t>
      </w:r>
      <w:r w:rsidR="008757C2" w:rsidRPr="001005B7">
        <w:rPr>
          <w:i/>
        </w:rPr>
        <w:t>/Theological Studies</w:t>
      </w:r>
    </w:p>
    <w:p w14:paraId="54B6BE65" w14:textId="400FDFB7" w:rsidR="00811676" w:rsidRPr="001005B7" w:rsidRDefault="00811676" w:rsidP="009129FC">
      <w:pPr>
        <w:tabs>
          <w:tab w:val="left" w:pos="900"/>
        </w:tabs>
        <w:ind w:left="900" w:hanging="900"/>
        <w:contextualSpacing/>
        <w:rPr>
          <w:iCs/>
        </w:rPr>
      </w:pPr>
      <w:r w:rsidRPr="001005B7">
        <w:rPr>
          <w:i/>
        </w:rPr>
        <w:t>HUB</w:t>
      </w:r>
      <w:r w:rsidRPr="001005B7">
        <w:rPr>
          <w:i/>
        </w:rPr>
        <w:tab/>
      </w:r>
      <w:r w:rsidR="004557A6" w:rsidRPr="001005B7">
        <w:rPr>
          <w:i/>
        </w:rPr>
        <w:t>The Hebrew University Bible</w:t>
      </w:r>
      <w:r w:rsidR="00125129" w:rsidRPr="001005B7">
        <w:rPr>
          <w:i/>
        </w:rPr>
        <w:t>:</w:t>
      </w:r>
      <w:r w:rsidR="00052D56" w:rsidRPr="001005B7">
        <w:rPr>
          <w:i/>
        </w:rPr>
        <w:t xml:space="preserve"> The Book of Ezekiel</w:t>
      </w:r>
      <w:r w:rsidR="00B905B3" w:rsidRPr="001005B7">
        <w:rPr>
          <w:iCs/>
        </w:rPr>
        <w:t>.</w:t>
      </w:r>
      <w:r w:rsidR="009129FC" w:rsidRPr="001005B7">
        <w:rPr>
          <w:iCs/>
        </w:rPr>
        <w:t xml:space="preserve"> Ed</w:t>
      </w:r>
      <w:r w:rsidR="00207CA4" w:rsidRPr="001005B7">
        <w:rPr>
          <w:iCs/>
        </w:rPr>
        <w:t>.</w:t>
      </w:r>
      <w:r w:rsidR="00F44C41" w:rsidRPr="001005B7">
        <w:rPr>
          <w:iCs/>
        </w:rPr>
        <w:t xml:space="preserve"> Moshe Goshen-Gottstein and </w:t>
      </w:r>
      <w:proofErr w:type="spellStart"/>
      <w:r w:rsidR="00F44C41" w:rsidRPr="001005B7">
        <w:rPr>
          <w:iCs/>
        </w:rPr>
        <w:t>Shemaryahu</w:t>
      </w:r>
      <w:proofErr w:type="spellEnd"/>
      <w:r w:rsidR="00F44C41" w:rsidRPr="001005B7">
        <w:rPr>
          <w:iCs/>
        </w:rPr>
        <w:t xml:space="preserve"> Talmon. </w:t>
      </w:r>
      <w:r w:rsidR="00C406EC" w:rsidRPr="001005B7">
        <w:rPr>
          <w:iCs/>
        </w:rPr>
        <w:t xml:space="preserve">Jerusalem: </w:t>
      </w:r>
      <w:proofErr w:type="spellStart"/>
      <w:r w:rsidR="00C406EC" w:rsidRPr="001005B7">
        <w:rPr>
          <w:iCs/>
        </w:rPr>
        <w:t>Magnes</w:t>
      </w:r>
      <w:proofErr w:type="spellEnd"/>
      <w:r w:rsidR="00134E1D" w:rsidRPr="001005B7">
        <w:rPr>
          <w:iCs/>
        </w:rPr>
        <w:t xml:space="preserve"> Press</w:t>
      </w:r>
      <w:r w:rsidR="00DC31EA" w:rsidRPr="001005B7">
        <w:rPr>
          <w:iCs/>
        </w:rPr>
        <w:t xml:space="preserve">, </w:t>
      </w:r>
      <w:r w:rsidR="006C421F" w:rsidRPr="001005B7">
        <w:rPr>
          <w:iCs/>
        </w:rPr>
        <w:t>2004</w:t>
      </w:r>
    </w:p>
    <w:p w14:paraId="01B2FA71" w14:textId="2ED2E36B" w:rsidR="00811676" w:rsidRPr="001005B7" w:rsidRDefault="00BD7302" w:rsidP="00BD7302">
      <w:pPr>
        <w:tabs>
          <w:tab w:val="left" w:pos="900"/>
        </w:tabs>
        <w:ind w:left="900" w:hanging="900"/>
        <w:contextualSpacing/>
      </w:pPr>
      <w:r w:rsidRPr="001005B7">
        <w:rPr>
          <w:i/>
        </w:rPr>
        <w:t>IBHS</w:t>
      </w:r>
      <w:r w:rsidRPr="001005B7">
        <w:rPr>
          <w:i/>
        </w:rPr>
        <w:tab/>
      </w:r>
      <w:r w:rsidR="00912213" w:rsidRPr="001005B7">
        <w:rPr>
          <w:i/>
        </w:rPr>
        <w:t>An Introduction to Biblical Hebrew Syntax</w:t>
      </w:r>
      <w:r w:rsidR="00623CE3" w:rsidRPr="001005B7">
        <w:rPr>
          <w:i/>
        </w:rPr>
        <w:t>.</w:t>
      </w:r>
      <w:r w:rsidR="00912213" w:rsidRPr="001005B7">
        <w:t xml:space="preserve"> </w:t>
      </w:r>
      <w:r w:rsidR="00623CE3" w:rsidRPr="001005B7">
        <w:t xml:space="preserve">By Bruce K. </w:t>
      </w:r>
      <w:r w:rsidRPr="001005B7">
        <w:t>Waltke and M</w:t>
      </w:r>
      <w:r w:rsidR="00D73C4B">
        <w:t>ichael</w:t>
      </w:r>
      <w:r w:rsidRPr="001005B7">
        <w:t xml:space="preserve"> O’Connor. Winona Lake, IN: </w:t>
      </w:r>
      <w:proofErr w:type="spellStart"/>
      <w:r w:rsidRPr="001005B7">
        <w:t>Eisenbrauns</w:t>
      </w:r>
      <w:proofErr w:type="spellEnd"/>
      <w:r w:rsidRPr="001005B7">
        <w:t>, 1990</w:t>
      </w:r>
    </w:p>
    <w:p w14:paraId="4A3E7B0C" w14:textId="77777777" w:rsidR="00811676" w:rsidRPr="001005B7" w:rsidRDefault="00811676" w:rsidP="00811676">
      <w:pPr>
        <w:tabs>
          <w:tab w:val="left" w:pos="900"/>
        </w:tabs>
        <w:ind w:left="900" w:hanging="900"/>
        <w:contextualSpacing/>
        <w:rPr>
          <w:rFonts w:cstheme="minorHAnsi"/>
          <w:i/>
        </w:rPr>
      </w:pPr>
      <w:r w:rsidRPr="001005B7">
        <w:rPr>
          <w:rFonts w:cstheme="minorHAnsi"/>
          <w:i/>
        </w:rPr>
        <w:t>JANES</w:t>
      </w:r>
      <w:r w:rsidRPr="001005B7">
        <w:rPr>
          <w:rFonts w:cstheme="minorHAnsi"/>
          <w:i/>
        </w:rPr>
        <w:tab/>
        <w:t>Journal of the Ancient Near Eastern Society</w:t>
      </w:r>
      <w:r w:rsidRPr="001005B7">
        <w:rPr>
          <w:rFonts w:cstheme="minorHAnsi"/>
          <w:i/>
        </w:rPr>
        <w:tab/>
      </w:r>
    </w:p>
    <w:p w14:paraId="5A034577" w14:textId="77777777" w:rsidR="00811676" w:rsidRPr="001005B7" w:rsidRDefault="00811676" w:rsidP="00811676">
      <w:pPr>
        <w:tabs>
          <w:tab w:val="left" w:pos="900"/>
        </w:tabs>
        <w:ind w:firstLine="0"/>
        <w:contextualSpacing/>
        <w:rPr>
          <w:i/>
        </w:rPr>
      </w:pPr>
      <w:r w:rsidRPr="001005B7">
        <w:rPr>
          <w:i/>
        </w:rPr>
        <w:t>JATS</w:t>
      </w:r>
      <w:r w:rsidRPr="001005B7">
        <w:rPr>
          <w:i/>
        </w:rPr>
        <w:tab/>
      </w:r>
      <w:r w:rsidRPr="001005B7">
        <w:rPr>
          <w:rFonts w:cstheme="minorHAnsi"/>
          <w:bCs/>
          <w:i/>
        </w:rPr>
        <w:t>Journal of the Adventist Theological Society</w:t>
      </w:r>
    </w:p>
    <w:p w14:paraId="2E005491" w14:textId="77777777" w:rsidR="00C358D7" w:rsidRDefault="00811676" w:rsidP="00C358D7">
      <w:pPr>
        <w:tabs>
          <w:tab w:val="left" w:pos="900"/>
        </w:tabs>
        <w:ind w:firstLine="0"/>
        <w:contextualSpacing/>
        <w:rPr>
          <w:i/>
        </w:rPr>
      </w:pPr>
      <w:r w:rsidRPr="001005B7">
        <w:rPr>
          <w:i/>
        </w:rPr>
        <w:t>JBL</w:t>
      </w:r>
      <w:r w:rsidRPr="001005B7">
        <w:rPr>
          <w:i/>
        </w:rPr>
        <w:tab/>
        <w:t xml:space="preserve">Journal of Biblical Literature </w:t>
      </w:r>
    </w:p>
    <w:p w14:paraId="1E2E1150" w14:textId="62B199DB" w:rsidR="00C358D7" w:rsidRDefault="00C358D7" w:rsidP="00C358D7">
      <w:pPr>
        <w:tabs>
          <w:tab w:val="left" w:pos="900"/>
        </w:tabs>
        <w:ind w:firstLine="0"/>
        <w:contextualSpacing/>
        <w:rPr>
          <w:i/>
        </w:rPr>
      </w:pPr>
      <w:r>
        <w:rPr>
          <w:i/>
        </w:rPr>
        <w:t>JBQ</w:t>
      </w:r>
      <w:r>
        <w:rPr>
          <w:i/>
        </w:rPr>
        <w:tab/>
        <w:t>Jewish Biblical Quarterly</w:t>
      </w:r>
    </w:p>
    <w:p w14:paraId="1615B42D" w14:textId="5DB90628" w:rsidR="00811676" w:rsidRPr="001005B7" w:rsidRDefault="00811676" w:rsidP="00C358D7">
      <w:pPr>
        <w:tabs>
          <w:tab w:val="left" w:pos="900"/>
        </w:tabs>
        <w:ind w:firstLine="0"/>
        <w:contextualSpacing/>
      </w:pPr>
      <w:r w:rsidRPr="001005B7">
        <w:rPr>
          <w:i/>
        </w:rPr>
        <w:t>JETS</w:t>
      </w:r>
      <w:r w:rsidRPr="001005B7">
        <w:rPr>
          <w:i/>
        </w:rPr>
        <w:tab/>
        <w:t>Journal of the Evangelical Theological Society</w:t>
      </w:r>
    </w:p>
    <w:p w14:paraId="44C55050" w14:textId="3FC5A109" w:rsidR="00BD589D" w:rsidRPr="001005B7" w:rsidRDefault="00BD589D" w:rsidP="00BD589D">
      <w:pPr>
        <w:pStyle w:val="PlainText"/>
        <w:ind w:left="900" w:hanging="900"/>
      </w:pPr>
      <w:r w:rsidRPr="001005B7">
        <w:t>JM</w:t>
      </w:r>
      <w:r w:rsidRPr="001005B7">
        <w:rPr>
          <w:i/>
        </w:rPr>
        <w:tab/>
      </w:r>
      <w:proofErr w:type="spellStart"/>
      <w:r w:rsidRPr="001005B7">
        <w:t>Joüon</w:t>
      </w:r>
      <w:proofErr w:type="spellEnd"/>
      <w:r w:rsidRPr="001005B7">
        <w:t>, P</w:t>
      </w:r>
      <w:r w:rsidR="0068698F" w:rsidRPr="001005B7">
        <w:t>aul</w:t>
      </w:r>
      <w:r w:rsidRPr="001005B7">
        <w:t xml:space="preserve">. </w:t>
      </w:r>
      <w:r w:rsidRPr="001005B7">
        <w:rPr>
          <w:i/>
        </w:rPr>
        <w:t>A Grammar of Biblical Hebrew</w:t>
      </w:r>
      <w:r w:rsidRPr="001005B7">
        <w:t>. Tran</w:t>
      </w:r>
      <w:r w:rsidR="005D769C" w:rsidRPr="001005B7">
        <w:t>s.</w:t>
      </w:r>
      <w:r w:rsidRPr="001005B7">
        <w:t xml:space="preserve"> and revised by </w:t>
      </w:r>
      <w:proofErr w:type="spellStart"/>
      <w:r w:rsidRPr="001005B7">
        <w:t>T</w:t>
      </w:r>
      <w:r w:rsidR="00240AD3">
        <w:t>akamitsu</w:t>
      </w:r>
      <w:proofErr w:type="spellEnd"/>
      <w:r w:rsidRPr="001005B7">
        <w:t xml:space="preserve"> Muraoka</w:t>
      </w:r>
      <w:r w:rsidR="008E0904" w:rsidRPr="001005B7">
        <w:t xml:space="preserve">. </w:t>
      </w:r>
      <w:r w:rsidRPr="001005B7">
        <w:t xml:space="preserve">Rome: </w:t>
      </w:r>
      <w:proofErr w:type="spellStart"/>
      <w:r w:rsidR="009D2303" w:rsidRPr="001005B7">
        <w:t>Editrice</w:t>
      </w:r>
      <w:proofErr w:type="spellEnd"/>
      <w:r w:rsidR="009D2303" w:rsidRPr="001005B7">
        <w:t xml:space="preserve"> </w:t>
      </w:r>
      <w:proofErr w:type="spellStart"/>
      <w:r w:rsidR="00A2407A" w:rsidRPr="001005B7">
        <w:t>Pon</w:t>
      </w:r>
      <w:r w:rsidR="009D2303" w:rsidRPr="001005B7">
        <w:t>t</w:t>
      </w:r>
      <w:r w:rsidR="00A2407A" w:rsidRPr="001005B7">
        <w:t>i</w:t>
      </w:r>
      <w:r w:rsidR="009D2303" w:rsidRPr="001005B7">
        <w:t>f</w:t>
      </w:r>
      <w:r w:rsidR="00A2407A" w:rsidRPr="001005B7">
        <w:t>icio</w:t>
      </w:r>
      <w:proofErr w:type="spellEnd"/>
      <w:r w:rsidR="00A2407A" w:rsidRPr="001005B7">
        <w:t xml:space="preserve"> </w:t>
      </w:r>
      <w:proofErr w:type="spellStart"/>
      <w:r w:rsidR="009D2303" w:rsidRPr="001005B7">
        <w:t>Istituto</w:t>
      </w:r>
      <w:proofErr w:type="spellEnd"/>
      <w:r w:rsidR="009D2303" w:rsidRPr="001005B7">
        <w:t xml:space="preserve"> </w:t>
      </w:r>
      <w:proofErr w:type="spellStart"/>
      <w:r w:rsidR="009D2303" w:rsidRPr="001005B7">
        <w:t>Biblico</w:t>
      </w:r>
      <w:proofErr w:type="spellEnd"/>
      <w:r w:rsidRPr="001005B7">
        <w:t>, 1991</w:t>
      </w:r>
    </w:p>
    <w:p w14:paraId="3FFE127C" w14:textId="0A2899BC" w:rsidR="002F6705" w:rsidRPr="001005B7" w:rsidRDefault="00811676" w:rsidP="007B67F8">
      <w:pPr>
        <w:tabs>
          <w:tab w:val="left" w:pos="900"/>
        </w:tabs>
        <w:ind w:left="900" w:hanging="900"/>
        <w:contextualSpacing/>
        <w:rPr>
          <w:i/>
        </w:rPr>
      </w:pPr>
      <w:r w:rsidRPr="001005B7">
        <w:rPr>
          <w:i/>
        </w:rPr>
        <w:t>JNSL</w:t>
      </w:r>
      <w:r w:rsidRPr="001005B7">
        <w:rPr>
          <w:i/>
        </w:rPr>
        <w:tab/>
        <w:t>Journal of Northwest Semitic Languages</w:t>
      </w:r>
      <w:r w:rsidR="002F6705" w:rsidRPr="001005B7">
        <w:rPr>
          <w:rFonts w:ascii="Calibri" w:hAnsi="Calibri" w:cs="Calibri"/>
          <w:iCs/>
        </w:rPr>
        <w:t xml:space="preserve"> </w:t>
      </w:r>
    </w:p>
    <w:p w14:paraId="0FACAD27" w14:textId="5973868F" w:rsidR="00811676" w:rsidRPr="001005B7" w:rsidRDefault="00811676" w:rsidP="00811676">
      <w:pPr>
        <w:tabs>
          <w:tab w:val="left" w:pos="900"/>
        </w:tabs>
        <w:ind w:left="900" w:hanging="900"/>
        <w:contextualSpacing/>
        <w:rPr>
          <w:rFonts w:ascii="Calibri" w:hAnsi="Calibri" w:cs="Calibri"/>
          <w:i/>
        </w:rPr>
      </w:pPr>
      <w:proofErr w:type="spellStart"/>
      <w:r w:rsidRPr="001005B7">
        <w:rPr>
          <w:rFonts w:ascii="Calibri" w:hAnsi="Calibri" w:cs="Calibri"/>
          <w:iCs/>
        </w:rPr>
        <w:t>JSJSup</w:t>
      </w:r>
      <w:proofErr w:type="spellEnd"/>
      <w:r w:rsidRPr="001005B7">
        <w:rPr>
          <w:rFonts w:ascii="Calibri" w:hAnsi="Calibri" w:cs="Calibri"/>
          <w:iCs/>
        </w:rPr>
        <w:t xml:space="preserve"> </w:t>
      </w:r>
      <w:r w:rsidRPr="001005B7">
        <w:rPr>
          <w:rFonts w:ascii="Calibri" w:hAnsi="Calibri" w:cs="Calibri"/>
          <w:iCs/>
        </w:rPr>
        <w:tab/>
      </w:r>
      <w:r w:rsidRPr="001005B7">
        <w:rPr>
          <w:rFonts w:ascii="Calibri" w:hAnsi="Calibri" w:cs="Calibri"/>
        </w:rPr>
        <w:t>Supplements to the Journal for the Study of Judaism</w:t>
      </w:r>
    </w:p>
    <w:p w14:paraId="6E7B6611" w14:textId="77777777" w:rsidR="00811676" w:rsidRPr="001005B7" w:rsidRDefault="00811676" w:rsidP="00811676">
      <w:pPr>
        <w:tabs>
          <w:tab w:val="left" w:pos="900"/>
        </w:tabs>
        <w:ind w:left="900" w:hanging="900"/>
        <w:contextualSpacing/>
        <w:rPr>
          <w:iCs/>
        </w:rPr>
      </w:pPr>
      <w:proofErr w:type="spellStart"/>
      <w:r w:rsidRPr="001005B7">
        <w:rPr>
          <w:iCs/>
        </w:rPr>
        <w:t>JSNTSup</w:t>
      </w:r>
      <w:proofErr w:type="spellEnd"/>
      <w:r w:rsidRPr="001005B7">
        <w:rPr>
          <w:iCs/>
        </w:rPr>
        <w:tab/>
        <w:t>Journal for the Study of the New Testament Supplement</w:t>
      </w:r>
    </w:p>
    <w:p w14:paraId="0F0788A9" w14:textId="77777777" w:rsidR="00811676" w:rsidRPr="001005B7" w:rsidRDefault="00811676" w:rsidP="00811676">
      <w:pPr>
        <w:tabs>
          <w:tab w:val="left" w:pos="900"/>
        </w:tabs>
        <w:ind w:left="900" w:hanging="900"/>
        <w:contextualSpacing/>
        <w:rPr>
          <w:i/>
        </w:rPr>
      </w:pPr>
      <w:r w:rsidRPr="001005B7">
        <w:rPr>
          <w:i/>
        </w:rPr>
        <w:t>JSOT</w:t>
      </w:r>
      <w:r w:rsidRPr="001005B7">
        <w:rPr>
          <w:i/>
        </w:rPr>
        <w:tab/>
        <w:t>Journal for the Study of the Old Testament</w:t>
      </w:r>
    </w:p>
    <w:p w14:paraId="731CDCB2" w14:textId="469325B1" w:rsidR="00811676" w:rsidRPr="001005B7" w:rsidRDefault="00811676" w:rsidP="00453297">
      <w:pPr>
        <w:tabs>
          <w:tab w:val="left" w:pos="900"/>
        </w:tabs>
        <w:ind w:left="900" w:hanging="900"/>
        <w:contextualSpacing/>
        <w:rPr>
          <w:iCs/>
        </w:rPr>
      </w:pPr>
      <w:proofErr w:type="spellStart"/>
      <w:r w:rsidRPr="001005B7">
        <w:rPr>
          <w:iCs/>
        </w:rPr>
        <w:t>JSOTSup</w:t>
      </w:r>
      <w:proofErr w:type="spellEnd"/>
      <w:r w:rsidRPr="001005B7">
        <w:rPr>
          <w:iCs/>
        </w:rPr>
        <w:tab/>
        <w:t>Journal for the Study of the Old Testament Supplement</w:t>
      </w:r>
    </w:p>
    <w:p w14:paraId="354B8E61" w14:textId="77777777" w:rsidR="00811676" w:rsidRPr="001005B7" w:rsidRDefault="00811676" w:rsidP="00811676">
      <w:pPr>
        <w:tabs>
          <w:tab w:val="left" w:pos="900"/>
        </w:tabs>
        <w:ind w:left="900" w:hanging="900"/>
        <w:contextualSpacing/>
        <w:rPr>
          <w:i/>
        </w:rPr>
      </w:pPr>
      <w:r w:rsidRPr="001005B7">
        <w:rPr>
          <w:i/>
        </w:rPr>
        <w:t>JTS</w:t>
      </w:r>
      <w:r w:rsidRPr="001005B7">
        <w:rPr>
          <w:i/>
        </w:rPr>
        <w:tab/>
        <w:t>Journal of Theological Studies</w:t>
      </w:r>
    </w:p>
    <w:p w14:paraId="2EA1E081" w14:textId="7EA55CDE" w:rsidR="00811676" w:rsidRPr="001005B7" w:rsidRDefault="00811676" w:rsidP="00811676">
      <w:pPr>
        <w:tabs>
          <w:tab w:val="left" w:pos="900"/>
        </w:tabs>
        <w:ind w:left="900" w:hanging="900"/>
        <w:contextualSpacing/>
      </w:pPr>
      <w:r w:rsidRPr="001005B7">
        <w:t>K</w:t>
      </w:r>
      <w:r w:rsidRPr="001005B7">
        <w:tab/>
      </w:r>
      <w:proofErr w:type="spellStart"/>
      <w:r w:rsidRPr="001005B7">
        <w:t>Keti</w:t>
      </w:r>
      <w:r w:rsidR="00312286">
        <w:t>v</w:t>
      </w:r>
      <w:proofErr w:type="spellEnd"/>
      <w:r w:rsidRPr="001005B7">
        <w:t xml:space="preserve"> (“written”) consonantal Masoretic Text</w:t>
      </w:r>
    </w:p>
    <w:p w14:paraId="77993570" w14:textId="1B6810FE" w:rsidR="00811676" w:rsidRPr="001005B7" w:rsidRDefault="00811676" w:rsidP="00C022F0">
      <w:pPr>
        <w:tabs>
          <w:tab w:val="left" w:pos="900"/>
        </w:tabs>
        <w:ind w:left="900" w:hanging="900"/>
        <w:contextualSpacing/>
      </w:pPr>
      <w:r w:rsidRPr="001005B7">
        <w:t>KJV</w:t>
      </w:r>
      <w:r w:rsidRPr="001005B7">
        <w:tab/>
        <w:t>King James (Authorized) Version</w:t>
      </w:r>
    </w:p>
    <w:p w14:paraId="2D2D037D" w14:textId="7D7C87BA" w:rsidR="006859C5" w:rsidRPr="001005B7" w:rsidRDefault="006859C5" w:rsidP="00C022F0">
      <w:pPr>
        <w:tabs>
          <w:tab w:val="left" w:pos="900"/>
        </w:tabs>
        <w:ind w:left="900" w:hanging="900"/>
        <w:contextualSpacing/>
      </w:pPr>
      <w:r w:rsidRPr="001005B7">
        <w:t>LBH</w:t>
      </w:r>
      <w:r w:rsidRPr="001005B7">
        <w:tab/>
        <w:t>Late Biblical Hebrew</w:t>
      </w:r>
    </w:p>
    <w:p w14:paraId="4BA3F67C" w14:textId="77777777" w:rsidR="00811676" w:rsidRPr="001005B7" w:rsidRDefault="00811676" w:rsidP="00811676">
      <w:pPr>
        <w:tabs>
          <w:tab w:val="left" w:pos="900"/>
        </w:tabs>
        <w:ind w:left="900" w:hanging="900"/>
        <w:contextualSpacing/>
      </w:pPr>
      <w:r w:rsidRPr="001005B7">
        <w:rPr>
          <w:iCs/>
        </w:rPr>
        <w:t>LHBOTS</w:t>
      </w:r>
      <w:r w:rsidRPr="001005B7">
        <w:rPr>
          <w:iCs/>
        </w:rPr>
        <w:tab/>
      </w:r>
      <w:r w:rsidRPr="001005B7">
        <w:rPr>
          <w:rFonts w:cstheme="minorHAnsi"/>
          <w:shd w:val="clear" w:color="auto" w:fill="FFFFFF"/>
        </w:rPr>
        <w:t>Library of Hebrew Bible/Old Testament Studies</w:t>
      </w:r>
    </w:p>
    <w:p w14:paraId="59298423" w14:textId="382B71C9" w:rsidR="002E74F6" w:rsidRPr="001005B7" w:rsidRDefault="00811676" w:rsidP="00E0391C">
      <w:pPr>
        <w:tabs>
          <w:tab w:val="left" w:pos="900"/>
        </w:tabs>
        <w:ind w:left="900" w:hanging="900"/>
        <w:contextualSpacing/>
      </w:pPr>
      <w:r w:rsidRPr="001005B7">
        <w:rPr>
          <w:sz w:val="18"/>
          <w:szCs w:val="18"/>
        </w:rPr>
        <w:t>LXX</w:t>
      </w:r>
      <w:r w:rsidRPr="001005B7">
        <w:tab/>
        <w:t xml:space="preserve">Septuagint Greek translation, as printed in </w:t>
      </w:r>
      <w:proofErr w:type="spellStart"/>
      <w:r w:rsidRPr="001005B7">
        <w:rPr>
          <w:i/>
          <w:iCs/>
        </w:rPr>
        <w:t>Septuaginta</w:t>
      </w:r>
      <w:proofErr w:type="spellEnd"/>
      <w:r w:rsidR="00BC7BF9" w:rsidRPr="001005B7">
        <w:t>, e</w:t>
      </w:r>
      <w:r w:rsidR="008A781B" w:rsidRPr="001005B7">
        <w:t>d</w:t>
      </w:r>
      <w:r w:rsidR="00BC7BF9" w:rsidRPr="001005B7">
        <w:t>.</w:t>
      </w:r>
      <w:r w:rsidR="008A781B" w:rsidRPr="001005B7">
        <w:t xml:space="preserve"> Alfred </w:t>
      </w:r>
      <w:proofErr w:type="spellStart"/>
      <w:r w:rsidR="008A781B" w:rsidRPr="001005B7">
        <w:t>Rahlfs</w:t>
      </w:r>
      <w:proofErr w:type="spellEnd"/>
      <w:r w:rsidR="0001004F" w:rsidRPr="001005B7">
        <w:t>, revised by Rob</w:t>
      </w:r>
      <w:r w:rsidR="00A604FF" w:rsidRPr="001005B7">
        <w:t>e</w:t>
      </w:r>
      <w:r w:rsidR="0001004F" w:rsidRPr="001005B7">
        <w:t xml:space="preserve">rt </w:t>
      </w:r>
      <w:proofErr w:type="spellStart"/>
      <w:r w:rsidR="0001004F" w:rsidRPr="001005B7">
        <w:t>Hanhart</w:t>
      </w:r>
      <w:proofErr w:type="spellEnd"/>
      <w:r w:rsidR="0001004F" w:rsidRPr="001005B7">
        <w:t>.</w:t>
      </w:r>
      <w:r w:rsidR="00E0391C" w:rsidRPr="001005B7">
        <w:rPr>
          <w:i/>
          <w:iCs/>
        </w:rPr>
        <w:t xml:space="preserve"> </w:t>
      </w:r>
      <w:r w:rsidR="002E74F6" w:rsidRPr="001005B7">
        <w:t xml:space="preserve">Stuttgart: </w:t>
      </w:r>
      <w:r w:rsidR="00A604FF" w:rsidRPr="001005B7">
        <w:t xml:space="preserve">Deutsch </w:t>
      </w:r>
      <w:proofErr w:type="spellStart"/>
      <w:r w:rsidR="00A604FF" w:rsidRPr="001005B7">
        <w:t>Bibelgesellsc</w:t>
      </w:r>
      <w:r w:rsidR="006979C3" w:rsidRPr="001005B7">
        <w:t>h</w:t>
      </w:r>
      <w:r w:rsidR="00A604FF" w:rsidRPr="001005B7">
        <w:t>aft</w:t>
      </w:r>
      <w:proofErr w:type="spellEnd"/>
      <w:r w:rsidR="006979C3" w:rsidRPr="001005B7">
        <w:t>, 2006</w:t>
      </w:r>
    </w:p>
    <w:p w14:paraId="48975930" w14:textId="577CDC1D" w:rsidR="00AD07FD" w:rsidRPr="001005B7" w:rsidRDefault="00AD07FD" w:rsidP="00E0391C">
      <w:pPr>
        <w:tabs>
          <w:tab w:val="left" w:pos="900"/>
        </w:tabs>
        <w:ind w:left="900" w:hanging="900"/>
        <w:contextualSpacing/>
        <w:rPr>
          <w:sz w:val="18"/>
          <w:szCs w:val="18"/>
        </w:rPr>
      </w:pPr>
      <w:r w:rsidRPr="001005B7">
        <w:rPr>
          <w:sz w:val="18"/>
          <w:szCs w:val="18"/>
        </w:rPr>
        <w:t>LXX</w:t>
      </w:r>
      <w:r w:rsidR="0005189E" w:rsidRPr="001005B7">
        <w:rPr>
          <w:vertAlign w:val="superscript"/>
        </w:rPr>
        <w:t>L</w:t>
      </w:r>
      <w:r w:rsidR="0005189E" w:rsidRPr="001005B7">
        <w:tab/>
      </w:r>
      <w:r w:rsidR="00261D2F" w:rsidRPr="001005B7">
        <w:t xml:space="preserve">The </w:t>
      </w:r>
      <w:proofErr w:type="spellStart"/>
      <w:r w:rsidR="0005189E" w:rsidRPr="001005B7">
        <w:t>Lucianic</w:t>
      </w:r>
      <w:proofErr w:type="spellEnd"/>
      <w:r w:rsidR="0005189E" w:rsidRPr="001005B7">
        <w:t xml:space="preserve"> text of </w:t>
      </w:r>
      <w:r w:rsidR="0005189E" w:rsidRPr="001005B7">
        <w:rPr>
          <w:sz w:val="18"/>
          <w:szCs w:val="18"/>
        </w:rPr>
        <w:t>LXX</w:t>
      </w:r>
    </w:p>
    <w:p w14:paraId="6676AD98" w14:textId="497AA948" w:rsidR="005B2193" w:rsidRPr="001005B7" w:rsidRDefault="005B2193" w:rsidP="00E0391C">
      <w:pPr>
        <w:tabs>
          <w:tab w:val="left" w:pos="900"/>
        </w:tabs>
        <w:ind w:left="900" w:hanging="900"/>
        <w:contextualSpacing/>
        <w:rPr>
          <w:i/>
          <w:iCs/>
        </w:rPr>
      </w:pPr>
      <w:r w:rsidRPr="001005B7">
        <w:t>m.</w:t>
      </w:r>
      <w:r w:rsidRPr="001005B7">
        <w:tab/>
        <w:t>masculine</w:t>
      </w:r>
    </w:p>
    <w:p w14:paraId="18CC8336" w14:textId="3D5097A6" w:rsidR="00811676" w:rsidRPr="001005B7" w:rsidRDefault="00811676" w:rsidP="00811676">
      <w:pPr>
        <w:tabs>
          <w:tab w:val="left" w:pos="900"/>
          <w:tab w:val="left" w:pos="1440"/>
          <w:tab w:val="left" w:pos="2160"/>
          <w:tab w:val="left" w:pos="2880"/>
          <w:tab w:val="left" w:pos="3600"/>
          <w:tab w:val="left" w:pos="4320"/>
          <w:tab w:val="left" w:pos="5040"/>
          <w:tab w:val="left" w:pos="5700"/>
        </w:tabs>
        <w:ind w:left="360" w:hanging="360"/>
        <w:contextualSpacing/>
      </w:pPr>
      <w:r w:rsidRPr="001005B7">
        <w:rPr>
          <w:i/>
        </w:rPr>
        <w:t>m.</w:t>
      </w:r>
      <w:r w:rsidRPr="001005B7">
        <w:rPr>
          <w:i/>
        </w:rPr>
        <w:tab/>
      </w:r>
      <w:r w:rsidRPr="001005B7">
        <w:rPr>
          <w:i/>
        </w:rPr>
        <w:tab/>
      </w:r>
      <w:r w:rsidRPr="001005B7">
        <w:t>(followed by the name of a tractate) Mishnah</w:t>
      </w:r>
      <w:r w:rsidR="00B14060" w:rsidRPr="001005B7">
        <w:t>, as posted at sefaria.org</w:t>
      </w:r>
      <w:r w:rsidRPr="001005B7">
        <w:tab/>
      </w:r>
    </w:p>
    <w:p w14:paraId="78D268AF" w14:textId="77777777" w:rsidR="00811676" w:rsidRPr="001005B7" w:rsidRDefault="00811676" w:rsidP="00811676">
      <w:pPr>
        <w:tabs>
          <w:tab w:val="left" w:pos="900"/>
        </w:tabs>
        <w:ind w:left="360" w:hanging="360"/>
        <w:contextualSpacing/>
      </w:pPr>
      <w:proofErr w:type="spellStart"/>
      <w:r w:rsidRPr="001005B7">
        <w:t>ms</w:t>
      </w:r>
      <w:proofErr w:type="spellEnd"/>
      <w:r w:rsidRPr="001005B7">
        <w:t xml:space="preserve">(s) </w:t>
      </w:r>
      <w:r w:rsidRPr="001005B7">
        <w:tab/>
        <w:t>manuscript(s)</w:t>
      </w:r>
    </w:p>
    <w:p w14:paraId="42795EC6" w14:textId="15E44E31" w:rsidR="00D038CF" w:rsidRPr="001005B7" w:rsidRDefault="00D038CF" w:rsidP="00811676">
      <w:pPr>
        <w:tabs>
          <w:tab w:val="left" w:pos="900"/>
        </w:tabs>
        <w:ind w:left="360" w:hanging="360"/>
        <w:contextualSpacing/>
      </w:pPr>
      <w:r w:rsidRPr="001005B7">
        <w:t>MG</w:t>
      </w:r>
      <w:r w:rsidRPr="001005B7">
        <w:tab/>
      </w:r>
      <w:r w:rsidRPr="001005B7">
        <w:tab/>
      </w:r>
      <w:proofErr w:type="spellStart"/>
      <w:r w:rsidRPr="001005B7">
        <w:t>Miqra</w:t>
      </w:r>
      <w:r w:rsidR="007D4926" w:rsidRPr="001005B7">
        <w:rPr>
          <w:rFonts w:cstheme="minorHAnsi"/>
        </w:rPr>
        <w:t>ʾ</w:t>
      </w:r>
      <w:r w:rsidR="007D4926" w:rsidRPr="001005B7">
        <w:t>ot</w:t>
      </w:r>
      <w:proofErr w:type="spellEnd"/>
      <w:r w:rsidR="007D4926" w:rsidRPr="001005B7">
        <w:t xml:space="preserve"> </w:t>
      </w:r>
      <w:proofErr w:type="spellStart"/>
      <w:r w:rsidR="007D4926" w:rsidRPr="001005B7">
        <w:t>Gedolot</w:t>
      </w:r>
      <w:proofErr w:type="spellEnd"/>
      <w:r w:rsidR="00595969" w:rsidRPr="001005B7">
        <w:t>, as posted at sefaria.org</w:t>
      </w:r>
    </w:p>
    <w:p w14:paraId="765A0413" w14:textId="447BFDE3" w:rsidR="00F47C13" w:rsidRPr="001005B7" w:rsidRDefault="00811676" w:rsidP="00811676">
      <w:pPr>
        <w:tabs>
          <w:tab w:val="left" w:pos="900"/>
        </w:tabs>
        <w:ind w:left="900" w:hanging="900"/>
        <w:contextualSpacing/>
      </w:pPr>
      <w:r w:rsidRPr="001005B7">
        <w:rPr>
          <w:sz w:val="18"/>
          <w:szCs w:val="18"/>
        </w:rPr>
        <w:t>MT</w:t>
      </w:r>
      <w:r w:rsidRPr="001005B7">
        <w:tab/>
        <w:t>Masoretic Text</w:t>
      </w:r>
      <w:r w:rsidR="00F1144C" w:rsidRPr="001005B7">
        <w:t xml:space="preserve"> </w:t>
      </w:r>
    </w:p>
    <w:p w14:paraId="3B06F903" w14:textId="27B6D303" w:rsidR="00811676" w:rsidRPr="001005B7" w:rsidRDefault="005A4085" w:rsidP="00811676">
      <w:pPr>
        <w:tabs>
          <w:tab w:val="left" w:pos="900"/>
        </w:tabs>
        <w:ind w:left="900" w:hanging="900"/>
        <w:contextualSpacing/>
        <w:rPr>
          <w:i/>
          <w:iCs/>
        </w:rPr>
      </w:pPr>
      <w:r w:rsidRPr="001005B7">
        <w:rPr>
          <w:sz w:val="18"/>
          <w:szCs w:val="18"/>
        </w:rPr>
        <w:t>MT</w:t>
      </w:r>
      <w:r w:rsidR="00F1144C" w:rsidRPr="001005B7">
        <w:rPr>
          <w:vertAlign w:val="superscript"/>
        </w:rPr>
        <w:t>A</w:t>
      </w:r>
      <w:r w:rsidR="002E1188" w:rsidRPr="001005B7">
        <w:tab/>
        <w:t xml:space="preserve">The Aleppo manuscript of </w:t>
      </w:r>
      <w:r w:rsidRPr="001005B7">
        <w:rPr>
          <w:sz w:val="18"/>
          <w:szCs w:val="18"/>
        </w:rPr>
        <w:t>MT</w:t>
      </w:r>
      <w:r w:rsidR="00FF08C3" w:rsidRPr="001005B7">
        <w:t xml:space="preserve">, as printed in </w:t>
      </w:r>
      <w:r w:rsidR="00FF08C3" w:rsidRPr="001005B7">
        <w:rPr>
          <w:i/>
          <w:iCs/>
        </w:rPr>
        <w:t>HUB</w:t>
      </w:r>
    </w:p>
    <w:p w14:paraId="79E6C7CD" w14:textId="78BAFB11" w:rsidR="007D0B63" w:rsidRPr="001005B7" w:rsidRDefault="00992276" w:rsidP="00811676">
      <w:pPr>
        <w:tabs>
          <w:tab w:val="left" w:pos="900"/>
        </w:tabs>
        <w:ind w:left="900" w:hanging="900"/>
        <w:contextualSpacing/>
      </w:pPr>
      <w:r w:rsidRPr="001005B7">
        <w:rPr>
          <w:sz w:val="18"/>
          <w:szCs w:val="18"/>
        </w:rPr>
        <w:t>MT</w:t>
      </w:r>
      <w:r w:rsidR="007D0B63" w:rsidRPr="001005B7">
        <w:rPr>
          <w:vertAlign w:val="superscript"/>
        </w:rPr>
        <w:t>C</w:t>
      </w:r>
      <w:r w:rsidR="007D0B63" w:rsidRPr="001005B7">
        <w:tab/>
        <w:t>The Cairo manus</w:t>
      </w:r>
      <w:r w:rsidR="001E0D0D" w:rsidRPr="001005B7">
        <w:t xml:space="preserve">cript of </w:t>
      </w:r>
      <w:r w:rsidRPr="001005B7">
        <w:rPr>
          <w:sz w:val="18"/>
          <w:szCs w:val="18"/>
        </w:rPr>
        <w:t>MT</w:t>
      </w:r>
      <w:r w:rsidR="001E0D0D" w:rsidRPr="001005B7">
        <w:t xml:space="preserve">, as </w:t>
      </w:r>
      <w:r w:rsidR="000252C7" w:rsidRPr="001005B7">
        <w:t>reproduced</w:t>
      </w:r>
      <w:r w:rsidR="001E0D0D" w:rsidRPr="001005B7">
        <w:t xml:space="preserve"> in</w:t>
      </w:r>
      <w:r w:rsidR="00E61066" w:rsidRPr="001005B7">
        <w:t xml:space="preserve"> </w:t>
      </w:r>
      <w:r w:rsidR="00710478" w:rsidRPr="001005B7">
        <w:rPr>
          <w:i/>
          <w:iCs/>
        </w:rPr>
        <w:t>Codex Cairo of the Bible from the Karaite Synagogue</w:t>
      </w:r>
      <w:r w:rsidR="00833718" w:rsidRPr="001005B7">
        <w:rPr>
          <w:i/>
          <w:iCs/>
        </w:rPr>
        <w:t xml:space="preserve"> at </w:t>
      </w:r>
      <w:proofErr w:type="spellStart"/>
      <w:r w:rsidR="00833718" w:rsidRPr="001005B7">
        <w:rPr>
          <w:i/>
          <w:iCs/>
        </w:rPr>
        <w:t>Abbasiya</w:t>
      </w:r>
      <w:proofErr w:type="spellEnd"/>
      <w:r w:rsidR="00321B7C" w:rsidRPr="001005B7">
        <w:t>. Jerusalem: Makor, 1971</w:t>
      </w:r>
    </w:p>
    <w:p w14:paraId="3305D3B7" w14:textId="526C81A7" w:rsidR="002E1188" w:rsidRPr="001005B7" w:rsidRDefault="00992276" w:rsidP="008E0213">
      <w:pPr>
        <w:pStyle w:val="PlainText"/>
        <w:ind w:left="900" w:hanging="900"/>
      </w:pPr>
      <w:r w:rsidRPr="001005B7">
        <w:rPr>
          <w:sz w:val="18"/>
          <w:szCs w:val="18"/>
        </w:rPr>
        <w:t>MT</w:t>
      </w:r>
      <w:r w:rsidR="002E1188" w:rsidRPr="001005B7">
        <w:rPr>
          <w:vertAlign w:val="superscript"/>
        </w:rPr>
        <w:t>L</w:t>
      </w:r>
      <w:r w:rsidR="002E1188" w:rsidRPr="001005B7">
        <w:rPr>
          <w:i/>
        </w:rPr>
        <w:t xml:space="preserve"> </w:t>
      </w:r>
      <w:r w:rsidR="00C109BD" w:rsidRPr="001005B7">
        <w:rPr>
          <w:i/>
        </w:rPr>
        <w:tab/>
      </w:r>
      <w:r w:rsidR="00C109BD" w:rsidRPr="001005B7">
        <w:t xml:space="preserve">The Leningrad manuscript of </w:t>
      </w:r>
      <w:r w:rsidRPr="001005B7">
        <w:rPr>
          <w:sz w:val="18"/>
          <w:szCs w:val="18"/>
        </w:rPr>
        <w:t>MT</w:t>
      </w:r>
      <w:r w:rsidR="008E0213" w:rsidRPr="001005B7">
        <w:t xml:space="preserve">, as printed in </w:t>
      </w:r>
      <w:r w:rsidR="008E0213" w:rsidRPr="001005B7">
        <w:rPr>
          <w:i/>
          <w:iCs/>
        </w:rPr>
        <w:t>BHS</w:t>
      </w:r>
      <w:r w:rsidR="00FB1FFE" w:rsidRPr="001005B7">
        <w:t xml:space="preserve"> and the </w:t>
      </w:r>
      <w:proofErr w:type="spellStart"/>
      <w:r w:rsidR="00FB1FFE" w:rsidRPr="001005B7">
        <w:t>Lexham</w:t>
      </w:r>
      <w:proofErr w:type="spellEnd"/>
      <w:r w:rsidR="00FB1FFE" w:rsidRPr="001005B7">
        <w:t xml:space="preserve"> Hebrew Bible</w:t>
      </w:r>
    </w:p>
    <w:p w14:paraId="5706EB09" w14:textId="383EB011" w:rsidR="00376A5F" w:rsidRPr="001005B7" w:rsidRDefault="00992276" w:rsidP="00111361">
      <w:pPr>
        <w:pStyle w:val="PlainText"/>
        <w:ind w:left="900" w:hanging="900"/>
      </w:pPr>
      <w:r w:rsidRPr="001005B7">
        <w:rPr>
          <w:sz w:val="18"/>
          <w:szCs w:val="18"/>
        </w:rPr>
        <w:t>MT</w:t>
      </w:r>
      <w:r w:rsidR="008E5179" w:rsidRPr="001005B7">
        <w:rPr>
          <w:vertAlign w:val="superscript"/>
        </w:rPr>
        <w:t>R</w:t>
      </w:r>
      <w:r w:rsidR="008E5179" w:rsidRPr="001005B7">
        <w:t xml:space="preserve"> </w:t>
      </w:r>
      <w:r w:rsidR="008E5179" w:rsidRPr="001005B7">
        <w:tab/>
        <w:t xml:space="preserve">The </w:t>
      </w:r>
      <w:r w:rsidR="005E2D83" w:rsidRPr="001005B7">
        <w:t xml:space="preserve">Reuchlin manuscript of </w:t>
      </w:r>
      <w:r w:rsidRPr="001005B7">
        <w:rPr>
          <w:sz w:val="18"/>
          <w:szCs w:val="18"/>
        </w:rPr>
        <w:t>MT</w:t>
      </w:r>
      <w:r w:rsidR="005E2D83" w:rsidRPr="001005B7">
        <w:t xml:space="preserve">, as printed in </w:t>
      </w:r>
      <w:r w:rsidR="000F5AB3" w:rsidRPr="001005B7">
        <w:rPr>
          <w:i/>
          <w:iCs/>
        </w:rPr>
        <w:t xml:space="preserve">The Hebrew Bible with Pre-Masoretic Tiberian Vocalization: </w:t>
      </w:r>
      <w:r w:rsidR="00230647" w:rsidRPr="001005B7">
        <w:rPr>
          <w:i/>
          <w:iCs/>
        </w:rPr>
        <w:t xml:space="preserve">The Prophets according to the Codex </w:t>
      </w:r>
      <w:proofErr w:type="spellStart"/>
      <w:r w:rsidR="00230647" w:rsidRPr="001005B7">
        <w:rPr>
          <w:i/>
          <w:iCs/>
        </w:rPr>
        <w:t>Reuchli</w:t>
      </w:r>
      <w:r w:rsidR="006C1924" w:rsidRPr="001005B7">
        <w:rPr>
          <w:i/>
          <w:iCs/>
        </w:rPr>
        <w:t>ni</w:t>
      </w:r>
      <w:r w:rsidR="00230647" w:rsidRPr="001005B7">
        <w:rPr>
          <w:i/>
          <w:iCs/>
        </w:rPr>
        <w:t>anus</w:t>
      </w:r>
      <w:proofErr w:type="spellEnd"/>
      <w:r w:rsidR="00E96521" w:rsidRPr="001005B7">
        <w:t>, e</w:t>
      </w:r>
      <w:r w:rsidR="006C1924" w:rsidRPr="001005B7">
        <w:t>d. Alexander Sperber.</w:t>
      </w:r>
      <w:r w:rsidR="00CD3776" w:rsidRPr="001005B7">
        <w:t xml:space="preserve"> Leiden: Brill, 1969</w:t>
      </w:r>
      <w:r w:rsidR="005F7A83" w:rsidRPr="001005B7">
        <w:tab/>
      </w:r>
      <w:r w:rsidR="005F7A83" w:rsidRPr="001005B7">
        <w:tab/>
      </w:r>
    </w:p>
    <w:p w14:paraId="158BB040" w14:textId="3BA139CF" w:rsidR="00811676" w:rsidRPr="001005B7" w:rsidRDefault="00811676" w:rsidP="00D62F02">
      <w:pPr>
        <w:pStyle w:val="PlainText"/>
        <w:ind w:left="900" w:hanging="900"/>
      </w:pPr>
      <w:r w:rsidRPr="001005B7">
        <w:rPr>
          <w:i/>
        </w:rPr>
        <w:t>NETS</w:t>
      </w:r>
      <w:r w:rsidRPr="001005B7">
        <w:rPr>
          <w:i/>
        </w:rPr>
        <w:tab/>
      </w:r>
      <w:r w:rsidR="00D62F02" w:rsidRPr="001005B7">
        <w:rPr>
          <w:i/>
        </w:rPr>
        <w:t>A New English Translation of the Septuagint</w:t>
      </w:r>
      <w:r w:rsidR="00E96521" w:rsidRPr="001005B7">
        <w:t>, ed.</w:t>
      </w:r>
      <w:r w:rsidR="00AB59ED" w:rsidRPr="001005B7">
        <w:t xml:space="preserve"> A</w:t>
      </w:r>
      <w:r w:rsidR="002E6312" w:rsidRPr="001005B7">
        <w:t>lbert</w:t>
      </w:r>
      <w:r w:rsidR="00AB59ED" w:rsidRPr="001005B7">
        <w:t xml:space="preserve"> </w:t>
      </w:r>
      <w:proofErr w:type="spellStart"/>
      <w:r w:rsidR="00AB59ED" w:rsidRPr="001005B7">
        <w:t>Pietersma</w:t>
      </w:r>
      <w:proofErr w:type="spellEnd"/>
      <w:r w:rsidR="00AB59ED" w:rsidRPr="001005B7">
        <w:t xml:space="preserve"> and B</w:t>
      </w:r>
      <w:r w:rsidR="002E6312" w:rsidRPr="001005B7">
        <w:t>enjamin</w:t>
      </w:r>
      <w:r w:rsidR="00AB59ED" w:rsidRPr="001005B7">
        <w:t xml:space="preserve"> G. Wright. </w:t>
      </w:r>
      <w:r w:rsidR="00D62F02" w:rsidRPr="001005B7">
        <w:t>New York: Oxford University Press, 2007</w:t>
      </w:r>
      <w:r w:rsidR="00FD27AD" w:rsidRPr="001005B7">
        <w:t xml:space="preserve">. Ezekiel translated by </w:t>
      </w:r>
      <w:r w:rsidR="00A11D4A" w:rsidRPr="001005B7">
        <w:t xml:space="preserve">J. Noel </w:t>
      </w:r>
      <w:proofErr w:type="spellStart"/>
      <w:r w:rsidR="00A11D4A" w:rsidRPr="001005B7">
        <w:t>Hubler</w:t>
      </w:r>
      <w:proofErr w:type="spellEnd"/>
      <w:r w:rsidR="00A11D4A" w:rsidRPr="001005B7">
        <w:t>.</w:t>
      </w:r>
      <w:r w:rsidR="007157F7" w:rsidRPr="001005B7">
        <w:t xml:space="preserve"> </w:t>
      </w:r>
    </w:p>
    <w:p w14:paraId="1C64E88C" w14:textId="58CBC531" w:rsidR="00811676" w:rsidRPr="001005B7" w:rsidRDefault="00811676" w:rsidP="009C59CB">
      <w:pPr>
        <w:tabs>
          <w:tab w:val="left" w:pos="900"/>
        </w:tabs>
        <w:ind w:left="900" w:hanging="900"/>
        <w:contextualSpacing/>
      </w:pPr>
      <w:r w:rsidRPr="001005B7">
        <w:t>NIV</w:t>
      </w:r>
      <w:r w:rsidRPr="001005B7">
        <w:tab/>
        <w:t>New International Version</w:t>
      </w:r>
    </w:p>
    <w:p w14:paraId="663A0565" w14:textId="680801B1" w:rsidR="00811676" w:rsidRPr="001005B7" w:rsidRDefault="00811676" w:rsidP="00304269">
      <w:pPr>
        <w:pStyle w:val="PlainText"/>
        <w:ind w:left="900" w:hanging="900"/>
      </w:pPr>
      <w:r w:rsidRPr="001005B7">
        <w:t>NJPS</w:t>
      </w:r>
      <w:r w:rsidRPr="001005B7">
        <w:tab/>
      </w:r>
      <w:r w:rsidRPr="001005B7">
        <w:rPr>
          <w:i/>
        </w:rPr>
        <w:t>JPS Hebrew-English Tanakh</w:t>
      </w:r>
      <w:r w:rsidR="00304269" w:rsidRPr="001005B7">
        <w:rPr>
          <w:i/>
        </w:rPr>
        <w:t>.</w:t>
      </w:r>
      <w:r w:rsidR="0069216B" w:rsidRPr="001005B7">
        <w:t xml:space="preserve"> 2</w:t>
      </w:r>
      <w:r w:rsidR="0069216B" w:rsidRPr="001005B7">
        <w:rPr>
          <w:vertAlign w:val="superscript"/>
        </w:rPr>
        <w:t>nd</w:t>
      </w:r>
      <w:r w:rsidR="0069216B" w:rsidRPr="001005B7">
        <w:t xml:space="preserve"> ed. Philadelphia: Jewish Publication Society, 1999</w:t>
      </w:r>
    </w:p>
    <w:p w14:paraId="5AEDD8EB" w14:textId="77777777" w:rsidR="00811676" w:rsidRPr="001005B7" w:rsidRDefault="00811676" w:rsidP="00811676">
      <w:pPr>
        <w:tabs>
          <w:tab w:val="left" w:pos="900"/>
        </w:tabs>
        <w:ind w:left="900" w:hanging="900"/>
        <w:contextualSpacing/>
      </w:pPr>
      <w:r w:rsidRPr="001005B7">
        <w:t>NRSV</w:t>
      </w:r>
      <w:r w:rsidRPr="001005B7">
        <w:tab/>
        <w:t>New Revised Standard Version</w:t>
      </w:r>
    </w:p>
    <w:p w14:paraId="71A7986B" w14:textId="77777777" w:rsidR="00811676" w:rsidRPr="001005B7" w:rsidRDefault="00811676" w:rsidP="00811676">
      <w:pPr>
        <w:tabs>
          <w:tab w:val="left" w:pos="900"/>
        </w:tabs>
        <w:ind w:left="900" w:hanging="900"/>
        <w:contextualSpacing/>
        <w:rPr>
          <w:rFonts w:cstheme="minorHAnsi"/>
          <w:shd w:val="clear" w:color="auto" w:fill="FFFFFF"/>
        </w:rPr>
      </w:pPr>
      <w:r w:rsidRPr="001005B7">
        <w:t>OBO</w:t>
      </w:r>
      <w:r w:rsidRPr="001005B7">
        <w:tab/>
      </w:r>
      <w:r w:rsidRPr="001005B7">
        <w:rPr>
          <w:rFonts w:cstheme="minorHAnsi"/>
          <w:shd w:val="clear" w:color="auto" w:fill="FFFFFF"/>
        </w:rPr>
        <w:t xml:space="preserve">Orbis </w:t>
      </w:r>
      <w:proofErr w:type="spellStart"/>
      <w:r w:rsidRPr="001005B7">
        <w:rPr>
          <w:rFonts w:cstheme="minorHAnsi"/>
          <w:shd w:val="clear" w:color="auto" w:fill="FFFFFF"/>
        </w:rPr>
        <w:t>Biblicus</w:t>
      </w:r>
      <w:proofErr w:type="spellEnd"/>
      <w:r w:rsidRPr="001005B7">
        <w:rPr>
          <w:rFonts w:cstheme="minorHAnsi"/>
          <w:shd w:val="clear" w:color="auto" w:fill="FFFFFF"/>
        </w:rPr>
        <w:t xml:space="preserve"> et </w:t>
      </w:r>
      <w:proofErr w:type="spellStart"/>
      <w:r w:rsidRPr="001005B7">
        <w:rPr>
          <w:rFonts w:cstheme="minorHAnsi"/>
          <w:shd w:val="clear" w:color="auto" w:fill="FFFFFF"/>
        </w:rPr>
        <w:t>Orientalis</w:t>
      </w:r>
      <w:proofErr w:type="spellEnd"/>
    </w:p>
    <w:p w14:paraId="2B1CE281" w14:textId="457E36E7" w:rsidR="000D6A50" w:rsidRPr="001005B7" w:rsidRDefault="00570698" w:rsidP="00811676">
      <w:pPr>
        <w:tabs>
          <w:tab w:val="left" w:pos="900"/>
        </w:tabs>
        <w:ind w:left="900" w:hanging="900"/>
        <w:contextualSpacing/>
      </w:pPr>
      <w:r w:rsidRPr="001005B7">
        <w:rPr>
          <w:i/>
          <w:iCs/>
        </w:rPr>
        <w:t>OHE</w:t>
      </w:r>
      <w:r w:rsidRPr="001005B7">
        <w:rPr>
          <w:i/>
          <w:iCs/>
        </w:rPr>
        <w:tab/>
      </w:r>
      <w:r w:rsidR="001B4263" w:rsidRPr="001005B7">
        <w:rPr>
          <w:i/>
          <w:iCs/>
        </w:rPr>
        <w:t>The Oxford Handbook of Ezekiel</w:t>
      </w:r>
      <w:r w:rsidR="001B4263" w:rsidRPr="001005B7">
        <w:t xml:space="preserve">, ed. Corrine </w:t>
      </w:r>
      <w:r w:rsidR="001213F9" w:rsidRPr="001005B7">
        <w:t>Carvalho</w:t>
      </w:r>
      <w:r w:rsidR="00FF0DA1" w:rsidRPr="001005B7">
        <w:t>, o</w:t>
      </w:r>
      <w:r w:rsidR="00460B2E" w:rsidRPr="001005B7">
        <w:t>nline</w:t>
      </w:r>
    </w:p>
    <w:p w14:paraId="458F3409" w14:textId="160D1157" w:rsidR="00811676" w:rsidRPr="001005B7" w:rsidRDefault="00811676" w:rsidP="00811676">
      <w:pPr>
        <w:tabs>
          <w:tab w:val="left" w:pos="900"/>
        </w:tabs>
        <w:ind w:left="900" w:hanging="900"/>
        <w:contextualSpacing/>
      </w:pPr>
      <w:r w:rsidRPr="001005B7">
        <w:t>OL</w:t>
      </w:r>
      <w:r w:rsidRPr="001005B7">
        <w:tab/>
        <w:t xml:space="preserve">Old Latin text, as reported in </w:t>
      </w:r>
      <w:r w:rsidRPr="001005B7">
        <w:rPr>
          <w:i/>
        </w:rPr>
        <w:t>BHS</w:t>
      </w:r>
    </w:p>
    <w:p w14:paraId="21CC1E27" w14:textId="77777777" w:rsidR="00811676" w:rsidRPr="001005B7" w:rsidRDefault="00811676" w:rsidP="00811676">
      <w:pPr>
        <w:tabs>
          <w:tab w:val="left" w:pos="900"/>
        </w:tabs>
        <w:ind w:left="900" w:hanging="900"/>
        <w:contextualSpacing/>
        <w:rPr>
          <w:iCs/>
        </w:rPr>
      </w:pPr>
      <w:r w:rsidRPr="001005B7">
        <w:rPr>
          <w:i/>
        </w:rPr>
        <w:t>OTE</w:t>
      </w:r>
      <w:r w:rsidRPr="001005B7">
        <w:rPr>
          <w:i/>
        </w:rPr>
        <w:tab/>
        <w:t>Old Testament Essays</w:t>
      </w:r>
    </w:p>
    <w:p w14:paraId="2EAD92B0" w14:textId="77777777" w:rsidR="00811676" w:rsidRPr="001005B7" w:rsidRDefault="00811676" w:rsidP="00811676">
      <w:pPr>
        <w:tabs>
          <w:tab w:val="left" w:pos="900"/>
        </w:tabs>
        <w:ind w:left="900" w:hanging="900"/>
        <w:contextualSpacing/>
        <w:rPr>
          <w:iCs/>
        </w:rPr>
      </w:pPr>
      <w:r w:rsidRPr="001005B7">
        <w:rPr>
          <w:iCs/>
        </w:rPr>
        <w:t>OTL</w:t>
      </w:r>
      <w:r w:rsidRPr="001005B7">
        <w:rPr>
          <w:iCs/>
        </w:rPr>
        <w:tab/>
        <w:t>The Old Testament Library</w:t>
      </w:r>
    </w:p>
    <w:p w14:paraId="4F7750E3" w14:textId="4753FFB6" w:rsidR="0019511D" w:rsidRPr="0019511D" w:rsidRDefault="0019511D" w:rsidP="007B642A">
      <w:pPr>
        <w:tabs>
          <w:tab w:val="left" w:pos="900"/>
        </w:tabs>
        <w:ind w:left="900" w:hanging="900"/>
        <w:contextualSpacing/>
        <w:rPr>
          <w:iCs/>
        </w:rPr>
      </w:pPr>
      <w:r>
        <w:rPr>
          <w:i/>
        </w:rPr>
        <w:t>OTP</w:t>
      </w:r>
      <w:r>
        <w:rPr>
          <w:iCs/>
        </w:rPr>
        <w:tab/>
      </w:r>
      <w:r w:rsidR="00CE7CCF">
        <w:rPr>
          <w:i/>
          <w:iCs/>
          <w:lang w:val="nl-NL"/>
        </w:rPr>
        <w:t xml:space="preserve">The </w:t>
      </w:r>
      <w:r w:rsidR="00943583" w:rsidRPr="002F6BD9">
        <w:rPr>
          <w:i/>
          <w:iCs/>
          <w:lang w:val="nl-NL"/>
        </w:rPr>
        <w:t>O</w:t>
      </w:r>
      <w:r w:rsidR="00CE7CCF">
        <w:rPr>
          <w:i/>
          <w:iCs/>
          <w:lang w:val="nl-NL"/>
        </w:rPr>
        <w:t xml:space="preserve">ld </w:t>
      </w:r>
      <w:r w:rsidR="00943583" w:rsidRPr="002F6BD9">
        <w:rPr>
          <w:i/>
          <w:iCs/>
          <w:lang w:val="nl-NL"/>
        </w:rPr>
        <w:t>T</w:t>
      </w:r>
      <w:r w:rsidR="00CE7CCF">
        <w:rPr>
          <w:i/>
          <w:iCs/>
          <w:lang w:val="nl-NL"/>
        </w:rPr>
        <w:t>estament</w:t>
      </w:r>
      <w:r w:rsidR="00943583" w:rsidRPr="002F6BD9">
        <w:rPr>
          <w:i/>
          <w:iCs/>
          <w:lang w:val="nl-NL"/>
        </w:rPr>
        <w:t xml:space="preserve"> </w:t>
      </w:r>
      <w:proofErr w:type="spellStart"/>
      <w:r w:rsidR="00943583" w:rsidRPr="002F6BD9">
        <w:rPr>
          <w:i/>
          <w:iCs/>
          <w:lang w:val="nl-NL"/>
        </w:rPr>
        <w:t>Pseudepigrapha</w:t>
      </w:r>
      <w:proofErr w:type="spellEnd"/>
      <w:r w:rsidR="00943583" w:rsidRPr="002F6BD9">
        <w:rPr>
          <w:lang w:val="nl-NL"/>
        </w:rPr>
        <w:t xml:space="preserve">, </w:t>
      </w:r>
      <w:r w:rsidR="00A030E8">
        <w:rPr>
          <w:lang w:val="nl-NL"/>
        </w:rPr>
        <w:t xml:space="preserve">ed. James H. </w:t>
      </w:r>
      <w:proofErr w:type="spellStart"/>
      <w:r w:rsidR="00A030E8">
        <w:rPr>
          <w:lang w:val="nl-NL"/>
        </w:rPr>
        <w:t>Charlesworth</w:t>
      </w:r>
      <w:proofErr w:type="spellEnd"/>
      <w:r w:rsidR="00A030E8">
        <w:rPr>
          <w:lang w:val="nl-NL"/>
        </w:rPr>
        <w:t>. 2 vols</w:t>
      </w:r>
      <w:r w:rsidR="00E86668">
        <w:rPr>
          <w:lang w:val="nl-NL"/>
        </w:rPr>
        <w:t xml:space="preserve">. Garden City, NY: </w:t>
      </w:r>
      <w:proofErr w:type="spellStart"/>
      <w:r w:rsidR="00E86668">
        <w:rPr>
          <w:lang w:val="nl-NL"/>
        </w:rPr>
        <w:t>Doubleday</w:t>
      </w:r>
      <w:proofErr w:type="spellEnd"/>
      <w:r w:rsidR="00E86668">
        <w:rPr>
          <w:lang w:val="nl-NL"/>
        </w:rPr>
        <w:t>, 1983</w:t>
      </w:r>
      <w:r w:rsidR="002A2161">
        <w:rPr>
          <w:lang w:val="nl-NL"/>
        </w:rPr>
        <w:t xml:space="preserve"> </w:t>
      </w:r>
      <w:proofErr w:type="spellStart"/>
      <w:r w:rsidR="002A2161">
        <w:rPr>
          <w:lang w:val="nl-NL"/>
        </w:rPr>
        <w:t>and</w:t>
      </w:r>
      <w:proofErr w:type="spellEnd"/>
      <w:r w:rsidR="002A2161">
        <w:rPr>
          <w:lang w:val="nl-NL"/>
        </w:rPr>
        <w:t xml:space="preserve"> 1985.</w:t>
      </w:r>
    </w:p>
    <w:p w14:paraId="03510236" w14:textId="125484CC" w:rsidR="00811676" w:rsidRPr="001005B7" w:rsidRDefault="00811676" w:rsidP="007B642A">
      <w:pPr>
        <w:tabs>
          <w:tab w:val="left" w:pos="900"/>
        </w:tabs>
        <w:ind w:left="900" w:hanging="900"/>
        <w:contextualSpacing/>
        <w:rPr>
          <w:iCs/>
        </w:rPr>
      </w:pPr>
      <w:proofErr w:type="spellStart"/>
      <w:r w:rsidRPr="001005B7">
        <w:rPr>
          <w:iCs/>
        </w:rPr>
        <w:t>O</w:t>
      </w:r>
      <w:r w:rsidR="00E13FDB" w:rsidRPr="001005B7">
        <w:rPr>
          <w:iCs/>
        </w:rPr>
        <w:t>tSt</w:t>
      </w:r>
      <w:proofErr w:type="spellEnd"/>
      <w:r w:rsidRPr="001005B7">
        <w:rPr>
          <w:iCs/>
        </w:rPr>
        <w:tab/>
      </w:r>
      <w:proofErr w:type="spellStart"/>
      <w:r w:rsidRPr="001005B7">
        <w:rPr>
          <w:iCs/>
        </w:rPr>
        <w:t>Oudtestamentische</w:t>
      </w:r>
      <w:proofErr w:type="spellEnd"/>
      <w:r w:rsidRPr="001005B7">
        <w:rPr>
          <w:iCs/>
        </w:rPr>
        <w:t xml:space="preserve"> </w:t>
      </w:r>
      <w:proofErr w:type="spellStart"/>
      <w:r w:rsidRPr="001005B7">
        <w:rPr>
          <w:iCs/>
        </w:rPr>
        <w:t>Studi</w:t>
      </w:r>
      <w:r w:rsidRPr="001005B7">
        <w:rPr>
          <w:rFonts w:cstheme="minorHAnsi"/>
          <w:iCs/>
        </w:rPr>
        <w:t>ë</w:t>
      </w:r>
      <w:r w:rsidRPr="001005B7">
        <w:rPr>
          <w:iCs/>
        </w:rPr>
        <w:t>n</w:t>
      </w:r>
      <w:proofErr w:type="spellEnd"/>
      <w:r w:rsidR="006F0207" w:rsidRPr="001005B7">
        <w:rPr>
          <w:iCs/>
        </w:rPr>
        <w:t xml:space="preserve"> </w:t>
      </w:r>
    </w:p>
    <w:p w14:paraId="6EDA7B22" w14:textId="4D0552B1" w:rsidR="00811676" w:rsidRPr="001005B7" w:rsidRDefault="00815DA2" w:rsidP="00E11943">
      <w:pPr>
        <w:tabs>
          <w:tab w:val="left" w:pos="900"/>
        </w:tabs>
        <w:ind w:left="900" w:hanging="900"/>
        <w:contextualSpacing/>
        <w:rPr>
          <w:iCs/>
        </w:rPr>
      </w:pPr>
      <w:r w:rsidRPr="001005B7">
        <w:rPr>
          <w:iCs/>
        </w:rPr>
        <w:t>PBH</w:t>
      </w:r>
      <w:r w:rsidRPr="001005B7">
        <w:rPr>
          <w:iCs/>
        </w:rPr>
        <w:tab/>
        <w:t>Post-biblical Hebrew</w:t>
      </w:r>
      <w:r w:rsidR="00811676" w:rsidRPr="001005B7">
        <w:t xml:space="preserve"> </w:t>
      </w:r>
    </w:p>
    <w:p w14:paraId="17545976" w14:textId="181521C3" w:rsidR="00DA09FA" w:rsidRPr="001005B7" w:rsidRDefault="000941A0" w:rsidP="00811676">
      <w:pPr>
        <w:tabs>
          <w:tab w:val="left" w:pos="900"/>
        </w:tabs>
        <w:ind w:left="900" w:hanging="900"/>
        <w:contextualSpacing/>
      </w:pPr>
      <w:proofErr w:type="spellStart"/>
      <w:r w:rsidRPr="001005B7">
        <w:t>p</w:t>
      </w:r>
      <w:r w:rsidR="00DA09FA" w:rsidRPr="001005B7">
        <w:t>tc</w:t>
      </w:r>
      <w:proofErr w:type="spellEnd"/>
      <w:r w:rsidR="00DA09FA" w:rsidRPr="001005B7">
        <w:t>.</w:t>
      </w:r>
      <w:r w:rsidRPr="001005B7">
        <w:tab/>
        <w:t>participle</w:t>
      </w:r>
    </w:p>
    <w:p w14:paraId="4EB2AF80" w14:textId="77777777" w:rsidR="00811676" w:rsidRPr="001005B7" w:rsidRDefault="00811676" w:rsidP="00811676">
      <w:pPr>
        <w:tabs>
          <w:tab w:val="left" w:pos="900"/>
        </w:tabs>
        <w:ind w:left="900" w:hanging="900"/>
        <w:contextualSpacing/>
      </w:pPr>
      <w:r w:rsidRPr="001005B7">
        <w:t>Q</w:t>
      </w:r>
      <w:r w:rsidRPr="001005B7">
        <w:tab/>
      </w:r>
      <w:proofErr w:type="spellStart"/>
      <w:r w:rsidRPr="001005B7">
        <w:t>Qere</w:t>
      </w:r>
      <w:proofErr w:type="spellEnd"/>
      <w:r w:rsidRPr="001005B7">
        <w:t>’ (“read out”) Masoretic Text, with vowel markers</w:t>
      </w:r>
    </w:p>
    <w:p w14:paraId="2AD39600" w14:textId="516524A1" w:rsidR="00D14B0A" w:rsidRPr="001005B7" w:rsidRDefault="007552F4" w:rsidP="00811676">
      <w:pPr>
        <w:tabs>
          <w:tab w:val="left" w:pos="900"/>
        </w:tabs>
        <w:ind w:left="900" w:hanging="900"/>
        <w:contextualSpacing/>
      </w:pPr>
      <w:r w:rsidRPr="001005B7">
        <w:t>1</w:t>
      </w:r>
      <w:r w:rsidR="009C6E30" w:rsidRPr="001005B7">
        <w:t>QEze</w:t>
      </w:r>
      <w:r w:rsidR="00AC13C4" w:rsidRPr="001005B7">
        <w:t>k, 3QEzek, 4QEzek, 11QEzek</w:t>
      </w:r>
    </w:p>
    <w:p w14:paraId="00340A35" w14:textId="3AC2F4B5" w:rsidR="00811676" w:rsidRPr="001005B7" w:rsidRDefault="00741252" w:rsidP="005B1CE5">
      <w:pPr>
        <w:tabs>
          <w:tab w:val="left" w:pos="900"/>
        </w:tabs>
        <w:ind w:left="900" w:hanging="900"/>
        <w:contextualSpacing/>
      </w:pPr>
      <w:r w:rsidRPr="001005B7">
        <w:tab/>
      </w:r>
      <w:r w:rsidR="00811676" w:rsidRPr="001005B7">
        <w:t>Manuscript fragment</w:t>
      </w:r>
      <w:r w:rsidR="005B1CE5" w:rsidRPr="001005B7">
        <w:t>s</w:t>
      </w:r>
      <w:r w:rsidR="00811676" w:rsidRPr="001005B7">
        <w:t xml:space="preserve"> of </w:t>
      </w:r>
      <w:r w:rsidR="00641FEB" w:rsidRPr="001005B7">
        <w:t>Ezekiel</w:t>
      </w:r>
      <w:r w:rsidR="00811676" w:rsidRPr="001005B7">
        <w:t xml:space="preserve"> from Qumran Cave</w:t>
      </w:r>
      <w:r w:rsidR="00641FEB" w:rsidRPr="001005B7">
        <w:t>s</w:t>
      </w:r>
      <w:r w:rsidR="00811676" w:rsidRPr="001005B7">
        <w:t xml:space="preserve"> </w:t>
      </w:r>
      <w:r w:rsidR="00641FEB" w:rsidRPr="001005B7">
        <w:t>1, 2, 4, and 11</w:t>
      </w:r>
      <w:r w:rsidR="002742CF" w:rsidRPr="001005B7">
        <w:t>, as printed in Eugene Ulrich</w:t>
      </w:r>
      <w:r w:rsidRPr="001005B7">
        <w:t>,</w:t>
      </w:r>
      <w:r w:rsidR="00FE7283" w:rsidRPr="001005B7">
        <w:t xml:space="preserve"> </w:t>
      </w:r>
      <w:r w:rsidR="00FE7283" w:rsidRPr="001005B7">
        <w:rPr>
          <w:i/>
          <w:iCs/>
        </w:rPr>
        <w:t>The Biblical Qumran Scrolls</w:t>
      </w:r>
      <w:r w:rsidR="00D83ECF" w:rsidRPr="001005B7">
        <w:rPr>
          <w:i/>
          <w:iCs/>
        </w:rPr>
        <w:t>: Transcriptions and Textual Variants</w:t>
      </w:r>
      <w:r w:rsidR="00EF45EA" w:rsidRPr="001005B7">
        <w:t xml:space="preserve">. </w:t>
      </w:r>
      <w:proofErr w:type="spellStart"/>
      <w:r w:rsidR="00BB7E38" w:rsidRPr="001005B7">
        <w:t>VTSup</w:t>
      </w:r>
      <w:proofErr w:type="spellEnd"/>
      <w:r w:rsidR="00BB7E38" w:rsidRPr="001005B7">
        <w:t xml:space="preserve"> 134. </w:t>
      </w:r>
      <w:r w:rsidR="00EF45EA" w:rsidRPr="001005B7">
        <w:t>Leiden: Brill, 2010</w:t>
      </w:r>
    </w:p>
    <w:p w14:paraId="39F135CE" w14:textId="52FFC2DE" w:rsidR="008700D6" w:rsidRPr="001005B7" w:rsidRDefault="008700D6" w:rsidP="005B1CE5">
      <w:pPr>
        <w:tabs>
          <w:tab w:val="left" w:pos="900"/>
        </w:tabs>
        <w:ind w:left="900" w:hanging="900"/>
        <w:contextualSpacing/>
        <w:rPr>
          <w:i/>
          <w:iCs/>
        </w:rPr>
      </w:pPr>
      <w:r w:rsidRPr="001005B7">
        <w:rPr>
          <w:i/>
          <w:iCs/>
        </w:rPr>
        <w:t>RB</w:t>
      </w:r>
      <w:r w:rsidRPr="001005B7">
        <w:rPr>
          <w:i/>
          <w:iCs/>
        </w:rPr>
        <w:tab/>
        <w:t xml:space="preserve">Revue </w:t>
      </w:r>
      <w:proofErr w:type="spellStart"/>
      <w:r w:rsidRPr="001005B7">
        <w:rPr>
          <w:i/>
          <w:iCs/>
        </w:rPr>
        <w:t>Biblique</w:t>
      </w:r>
      <w:proofErr w:type="spellEnd"/>
    </w:p>
    <w:p w14:paraId="67785411" w14:textId="77777777" w:rsidR="00811676" w:rsidRPr="001005B7" w:rsidRDefault="00811676" w:rsidP="00811676">
      <w:pPr>
        <w:tabs>
          <w:tab w:val="left" w:pos="900"/>
        </w:tabs>
        <w:ind w:left="900" w:hanging="900"/>
        <w:contextualSpacing/>
        <w:rPr>
          <w:i/>
        </w:rPr>
      </w:pPr>
      <w:proofErr w:type="spellStart"/>
      <w:r w:rsidRPr="001005B7">
        <w:rPr>
          <w:i/>
        </w:rPr>
        <w:t>RevExp</w:t>
      </w:r>
      <w:proofErr w:type="spellEnd"/>
      <w:r w:rsidRPr="001005B7">
        <w:rPr>
          <w:i/>
        </w:rPr>
        <w:tab/>
        <w:t>Review and Expositor</w:t>
      </w:r>
    </w:p>
    <w:p w14:paraId="4F77E5FA" w14:textId="4A25A738" w:rsidR="009C4F96" w:rsidRPr="001005B7" w:rsidRDefault="009C4F96" w:rsidP="00811676">
      <w:pPr>
        <w:tabs>
          <w:tab w:val="left" w:pos="900"/>
        </w:tabs>
        <w:ind w:left="900" w:hanging="900"/>
        <w:contextualSpacing/>
        <w:rPr>
          <w:iCs/>
        </w:rPr>
      </w:pPr>
      <w:r w:rsidRPr="001005B7">
        <w:rPr>
          <w:i/>
        </w:rPr>
        <w:t>Sanh.</w:t>
      </w:r>
      <w:r w:rsidRPr="001005B7">
        <w:rPr>
          <w:i/>
        </w:rPr>
        <w:tab/>
        <w:t>Sanhedrin</w:t>
      </w:r>
    </w:p>
    <w:p w14:paraId="3C2AB9B4" w14:textId="60B2F3CA" w:rsidR="001C4807" w:rsidRPr="001005B7" w:rsidRDefault="00811676" w:rsidP="008C40F1">
      <w:pPr>
        <w:tabs>
          <w:tab w:val="left" w:pos="900"/>
        </w:tabs>
        <w:ind w:left="900" w:hanging="900"/>
        <w:contextualSpacing/>
        <w:rPr>
          <w:rFonts w:cstheme="minorHAnsi"/>
          <w:shd w:val="clear" w:color="auto" w:fill="FFFFFF"/>
        </w:rPr>
      </w:pPr>
      <w:r w:rsidRPr="001005B7">
        <w:rPr>
          <w:iCs/>
        </w:rPr>
        <w:t>SBLDS</w:t>
      </w:r>
      <w:r w:rsidRPr="001005B7">
        <w:rPr>
          <w:iCs/>
        </w:rPr>
        <w:tab/>
      </w:r>
      <w:r w:rsidRPr="001005B7">
        <w:rPr>
          <w:rFonts w:cstheme="minorHAnsi"/>
          <w:shd w:val="clear" w:color="auto" w:fill="FFFFFF"/>
        </w:rPr>
        <w:t>SBL Dissertation Series</w:t>
      </w:r>
    </w:p>
    <w:p w14:paraId="78F6D39F" w14:textId="5D3DDD02" w:rsidR="00811676" w:rsidRPr="001005B7" w:rsidRDefault="000D5495" w:rsidP="00653EEF">
      <w:pPr>
        <w:tabs>
          <w:tab w:val="left" w:pos="900"/>
        </w:tabs>
        <w:ind w:left="900" w:hanging="900"/>
        <w:contextualSpacing/>
        <w:rPr>
          <w:rFonts w:cstheme="minorHAnsi"/>
          <w:shd w:val="clear" w:color="auto" w:fill="FFFFFF"/>
        </w:rPr>
      </w:pPr>
      <w:proofErr w:type="spellStart"/>
      <w:r w:rsidRPr="001005B7">
        <w:rPr>
          <w:iCs/>
        </w:rPr>
        <w:t>SBLSymS</w:t>
      </w:r>
      <w:proofErr w:type="spellEnd"/>
      <w:r w:rsidR="00C90FFC" w:rsidRPr="001005B7">
        <w:rPr>
          <w:iCs/>
        </w:rPr>
        <w:tab/>
        <w:t>SBL Symposium Series</w:t>
      </w:r>
    </w:p>
    <w:p w14:paraId="30216084" w14:textId="1D9BEB0A" w:rsidR="00811676" w:rsidRPr="001005B7" w:rsidRDefault="008C0E81" w:rsidP="00811676">
      <w:pPr>
        <w:tabs>
          <w:tab w:val="left" w:pos="900"/>
        </w:tabs>
        <w:ind w:left="900" w:hanging="900"/>
        <w:contextualSpacing/>
        <w:rPr>
          <w:iCs/>
        </w:rPr>
      </w:pPr>
      <w:r w:rsidRPr="001005B7">
        <w:rPr>
          <w:iCs/>
        </w:rPr>
        <w:t>SBL</w:t>
      </w:r>
      <w:r w:rsidR="00811676" w:rsidRPr="001005B7">
        <w:rPr>
          <w:iCs/>
        </w:rPr>
        <w:t>SCS</w:t>
      </w:r>
      <w:r w:rsidR="00811676" w:rsidRPr="001005B7">
        <w:rPr>
          <w:iCs/>
        </w:rPr>
        <w:tab/>
        <w:t>Septuagint and Cognate Studies</w:t>
      </w:r>
    </w:p>
    <w:p w14:paraId="2CCCD6A1" w14:textId="4972FF83" w:rsidR="00811676" w:rsidRPr="001005B7" w:rsidRDefault="00811676" w:rsidP="00C47C93">
      <w:pPr>
        <w:tabs>
          <w:tab w:val="left" w:pos="900"/>
        </w:tabs>
        <w:ind w:left="900" w:hanging="900"/>
        <w:contextualSpacing/>
        <w:rPr>
          <w:i/>
        </w:rPr>
      </w:pPr>
      <w:r w:rsidRPr="001005B7">
        <w:rPr>
          <w:i/>
        </w:rPr>
        <w:t>SJOT</w:t>
      </w:r>
      <w:r w:rsidRPr="001005B7">
        <w:rPr>
          <w:i/>
        </w:rPr>
        <w:tab/>
        <w:t>Scandinavian Journal of the Old Testament</w:t>
      </w:r>
    </w:p>
    <w:p w14:paraId="4952BA80" w14:textId="408E3827" w:rsidR="00811676" w:rsidRPr="001005B7" w:rsidRDefault="00811676" w:rsidP="00811676">
      <w:pPr>
        <w:tabs>
          <w:tab w:val="left" w:pos="900"/>
        </w:tabs>
        <w:ind w:left="900" w:hanging="900"/>
        <w:contextualSpacing/>
        <w:rPr>
          <w:i/>
        </w:rPr>
      </w:pPr>
      <w:r w:rsidRPr="001005B7">
        <w:t>Sym</w:t>
      </w:r>
      <w:r w:rsidR="006C3527" w:rsidRPr="001005B7">
        <w:t>.</w:t>
      </w:r>
      <w:r w:rsidRPr="001005B7">
        <w:tab/>
        <w:t>Symmachus’s Greek translation, as documented in Field</w:t>
      </w:r>
      <w:r w:rsidR="008B6FEA" w:rsidRPr="001005B7">
        <w:t xml:space="preserve"> (see under Aq</w:t>
      </w:r>
      <w:r w:rsidR="006B3EDC" w:rsidRPr="001005B7">
        <w:t>.</w:t>
      </w:r>
      <w:r w:rsidR="008B6FEA" w:rsidRPr="001005B7">
        <w:t>)</w:t>
      </w:r>
    </w:p>
    <w:p w14:paraId="03DD15BB" w14:textId="796EF608" w:rsidR="00B70019" w:rsidRPr="001005B7" w:rsidRDefault="00B70019" w:rsidP="00811676">
      <w:pPr>
        <w:tabs>
          <w:tab w:val="left" w:pos="900"/>
        </w:tabs>
        <w:ind w:left="900" w:hanging="900"/>
        <w:contextualSpacing/>
        <w:rPr>
          <w:iCs/>
        </w:rPr>
      </w:pPr>
      <w:r w:rsidRPr="001005B7">
        <w:rPr>
          <w:iCs/>
        </w:rPr>
        <w:t>Syr</w:t>
      </w:r>
      <w:r w:rsidR="00760093" w:rsidRPr="001005B7">
        <w:rPr>
          <w:iCs/>
        </w:rPr>
        <w:t>.</w:t>
      </w:r>
      <w:r w:rsidR="00445813" w:rsidRPr="001005B7">
        <w:rPr>
          <w:iCs/>
        </w:rPr>
        <w:tab/>
        <w:t>Syriac text</w:t>
      </w:r>
      <w:r w:rsidR="00325BCE" w:rsidRPr="001005B7">
        <w:rPr>
          <w:iCs/>
        </w:rPr>
        <w:t xml:space="preserve">, </w:t>
      </w:r>
      <w:r w:rsidR="00445813" w:rsidRPr="001005B7">
        <w:rPr>
          <w:iCs/>
        </w:rPr>
        <w:t xml:space="preserve">as printed in </w:t>
      </w:r>
      <w:r w:rsidR="00E00CB4" w:rsidRPr="001005B7">
        <w:rPr>
          <w:i/>
        </w:rPr>
        <w:t xml:space="preserve">The </w:t>
      </w:r>
      <w:r w:rsidR="003713DE" w:rsidRPr="001005B7">
        <w:rPr>
          <w:i/>
        </w:rPr>
        <w:t>Syriac </w:t>
      </w:r>
      <w:proofErr w:type="spellStart"/>
      <w:r w:rsidR="003713DE" w:rsidRPr="001005B7">
        <w:rPr>
          <w:i/>
        </w:rPr>
        <w:t>Peshiṭta</w:t>
      </w:r>
      <w:proofErr w:type="spellEnd"/>
      <w:r w:rsidR="003713DE" w:rsidRPr="001005B7">
        <w:rPr>
          <w:i/>
        </w:rPr>
        <w:t xml:space="preserve"> Bible</w:t>
      </w:r>
      <w:r w:rsidR="00E00CB4" w:rsidRPr="001005B7">
        <w:rPr>
          <w:i/>
        </w:rPr>
        <w:t xml:space="preserve"> with English Translation</w:t>
      </w:r>
      <w:r w:rsidR="00305411" w:rsidRPr="001005B7">
        <w:rPr>
          <w:i/>
        </w:rPr>
        <w:t xml:space="preserve">: </w:t>
      </w:r>
      <w:r w:rsidR="003713DE" w:rsidRPr="001005B7">
        <w:rPr>
          <w:i/>
        </w:rPr>
        <w:t>Ezekiel</w:t>
      </w:r>
      <w:r w:rsidR="003713DE" w:rsidRPr="001005B7">
        <w:rPr>
          <w:iCs/>
        </w:rPr>
        <w:t>.</w:t>
      </w:r>
      <w:r w:rsidR="00E00CB4" w:rsidRPr="001005B7">
        <w:rPr>
          <w:iCs/>
        </w:rPr>
        <w:t xml:space="preserve"> Ed</w:t>
      </w:r>
      <w:r w:rsidR="00760093" w:rsidRPr="001005B7">
        <w:rPr>
          <w:iCs/>
        </w:rPr>
        <w:t>.</w:t>
      </w:r>
      <w:r w:rsidR="00305411" w:rsidRPr="001005B7">
        <w:rPr>
          <w:iCs/>
        </w:rPr>
        <w:t xml:space="preserve"> and trans</w:t>
      </w:r>
      <w:r w:rsidR="00760093" w:rsidRPr="001005B7">
        <w:rPr>
          <w:iCs/>
        </w:rPr>
        <w:t>.</w:t>
      </w:r>
      <w:r w:rsidR="00305411" w:rsidRPr="001005B7">
        <w:rPr>
          <w:iCs/>
        </w:rPr>
        <w:t xml:space="preserve"> by George</w:t>
      </w:r>
      <w:r w:rsidR="008839E4" w:rsidRPr="001005B7">
        <w:rPr>
          <w:iCs/>
        </w:rPr>
        <w:t xml:space="preserve"> A.</w:t>
      </w:r>
      <w:r w:rsidR="00305411" w:rsidRPr="001005B7">
        <w:rPr>
          <w:iCs/>
        </w:rPr>
        <w:t xml:space="preserve"> </w:t>
      </w:r>
      <w:proofErr w:type="spellStart"/>
      <w:r w:rsidR="00305411" w:rsidRPr="001005B7">
        <w:rPr>
          <w:iCs/>
        </w:rPr>
        <w:t>Kiraz</w:t>
      </w:r>
      <w:proofErr w:type="spellEnd"/>
      <w:r w:rsidR="00305411" w:rsidRPr="001005B7">
        <w:rPr>
          <w:iCs/>
        </w:rPr>
        <w:t xml:space="preserve"> et al.</w:t>
      </w:r>
      <w:r w:rsidR="008839E4" w:rsidRPr="001005B7">
        <w:rPr>
          <w:iCs/>
        </w:rPr>
        <w:t xml:space="preserve"> Piscataway, </w:t>
      </w:r>
      <w:r w:rsidR="00CD410D" w:rsidRPr="001005B7">
        <w:rPr>
          <w:iCs/>
        </w:rPr>
        <w:t>NJ: Gorgias, 2015</w:t>
      </w:r>
      <w:r w:rsidR="00305411" w:rsidRPr="001005B7">
        <w:rPr>
          <w:iCs/>
        </w:rPr>
        <w:t xml:space="preserve"> </w:t>
      </w:r>
    </w:p>
    <w:p w14:paraId="05C99C71" w14:textId="5706E582" w:rsidR="00811676" w:rsidRPr="001005B7" w:rsidRDefault="00935B44" w:rsidP="00935B44">
      <w:pPr>
        <w:pStyle w:val="PlainText"/>
        <w:ind w:left="900" w:hanging="900"/>
      </w:pPr>
      <w:r w:rsidRPr="001005B7">
        <w:rPr>
          <w:i/>
        </w:rPr>
        <w:t>TDOT</w:t>
      </w:r>
      <w:r w:rsidRPr="001005B7">
        <w:tab/>
      </w:r>
      <w:r w:rsidRPr="001005B7">
        <w:rPr>
          <w:i/>
        </w:rPr>
        <w:t>Theological Dictionary of the Old Testament</w:t>
      </w:r>
      <w:r w:rsidR="001D4B49" w:rsidRPr="001005B7">
        <w:rPr>
          <w:iCs/>
        </w:rPr>
        <w:t xml:space="preserve">, ed. </w:t>
      </w:r>
      <w:r w:rsidR="00AE56FC" w:rsidRPr="001005B7">
        <w:rPr>
          <w:iCs/>
        </w:rPr>
        <w:t xml:space="preserve">G. Johannes </w:t>
      </w:r>
      <w:proofErr w:type="spellStart"/>
      <w:r w:rsidR="00B7117D" w:rsidRPr="001005B7">
        <w:t>Botterweck</w:t>
      </w:r>
      <w:proofErr w:type="spellEnd"/>
      <w:r w:rsidR="00B7117D" w:rsidRPr="001005B7">
        <w:t xml:space="preserve"> et al.</w:t>
      </w:r>
      <w:r w:rsidR="007157F7" w:rsidRPr="001005B7">
        <w:t xml:space="preserve"> </w:t>
      </w:r>
      <w:r w:rsidRPr="001005B7">
        <w:t>Trans</w:t>
      </w:r>
      <w:r w:rsidR="00744C2B" w:rsidRPr="001005B7">
        <w:t>.</w:t>
      </w:r>
      <w:r w:rsidRPr="001005B7">
        <w:t xml:space="preserve"> J</w:t>
      </w:r>
      <w:r w:rsidR="008720AB" w:rsidRPr="001005B7">
        <w:t>ohn</w:t>
      </w:r>
      <w:r w:rsidRPr="001005B7">
        <w:t xml:space="preserve"> T. Willis et al.</w:t>
      </w:r>
      <w:r w:rsidRPr="001005B7">
        <w:rPr>
          <w:i/>
        </w:rPr>
        <w:t xml:space="preserve"> </w:t>
      </w:r>
      <w:r w:rsidR="00ED346A" w:rsidRPr="001005B7">
        <w:rPr>
          <w:iCs/>
        </w:rPr>
        <w:t>1</w:t>
      </w:r>
      <w:r w:rsidR="00F61F03" w:rsidRPr="001005B7">
        <w:rPr>
          <w:iCs/>
        </w:rPr>
        <w:t>7</w:t>
      </w:r>
      <w:r w:rsidR="00ED346A" w:rsidRPr="001005B7">
        <w:rPr>
          <w:iCs/>
        </w:rPr>
        <w:t xml:space="preserve"> vols. </w:t>
      </w:r>
      <w:r w:rsidRPr="001005B7">
        <w:t>Grand Rapids: Eerdmans, 1974</w:t>
      </w:r>
      <w:r w:rsidR="00F46900" w:rsidRPr="001005B7">
        <w:t>–</w:t>
      </w:r>
      <w:r w:rsidRPr="001005B7">
        <w:t>20</w:t>
      </w:r>
      <w:r w:rsidR="00F61F03" w:rsidRPr="001005B7">
        <w:t>21</w:t>
      </w:r>
      <w:r w:rsidR="007157F7" w:rsidRPr="001005B7">
        <w:t xml:space="preserve"> </w:t>
      </w:r>
    </w:p>
    <w:p w14:paraId="228349A9" w14:textId="3493362D" w:rsidR="00811676" w:rsidRPr="001005B7" w:rsidRDefault="00811676" w:rsidP="00811676">
      <w:pPr>
        <w:tabs>
          <w:tab w:val="left" w:pos="900"/>
        </w:tabs>
        <w:ind w:left="900" w:hanging="900"/>
        <w:contextualSpacing/>
      </w:pPr>
      <w:r w:rsidRPr="001005B7">
        <w:t>Tg</w:t>
      </w:r>
      <w:r w:rsidR="00A1124F" w:rsidRPr="001005B7">
        <w:t>.</w:t>
      </w:r>
      <w:r w:rsidRPr="001005B7">
        <w:tab/>
        <w:t>Targum, as p</w:t>
      </w:r>
      <w:r w:rsidR="00B22B38" w:rsidRPr="001005B7">
        <w:t>osted at sefaria.org</w:t>
      </w:r>
    </w:p>
    <w:p w14:paraId="21AD8B20" w14:textId="2B0CF94D" w:rsidR="00811676" w:rsidRPr="001005B7" w:rsidRDefault="00811676" w:rsidP="00811676">
      <w:pPr>
        <w:tabs>
          <w:tab w:val="left" w:pos="900"/>
        </w:tabs>
        <w:ind w:left="900" w:hanging="900"/>
        <w:contextualSpacing/>
      </w:pPr>
      <w:proofErr w:type="spellStart"/>
      <w:r w:rsidRPr="001005B7">
        <w:t>Theod</w:t>
      </w:r>
      <w:proofErr w:type="spellEnd"/>
      <w:r w:rsidR="006C3527" w:rsidRPr="001005B7">
        <w:t>.</w:t>
      </w:r>
      <w:r w:rsidRPr="001005B7">
        <w:tab/>
        <w:t>Theodotion’s Greek translation, as documented in Field</w:t>
      </w:r>
      <w:r w:rsidR="00101994" w:rsidRPr="001005B7">
        <w:t xml:space="preserve"> (see under Aq</w:t>
      </w:r>
      <w:r w:rsidR="006B3EDC" w:rsidRPr="001005B7">
        <w:t>.</w:t>
      </w:r>
      <w:r w:rsidR="00101994" w:rsidRPr="001005B7">
        <w:t>)</w:t>
      </w:r>
    </w:p>
    <w:p w14:paraId="19BEFCFB" w14:textId="2A30633E" w:rsidR="00811676" w:rsidRPr="001005B7" w:rsidRDefault="00811676" w:rsidP="00811676">
      <w:pPr>
        <w:tabs>
          <w:tab w:val="left" w:pos="900"/>
        </w:tabs>
        <w:ind w:left="900" w:hanging="900"/>
        <w:contextualSpacing/>
        <w:rPr>
          <w:iCs/>
        </w:rPr>
      </w:pPr>
      <w:r w:rsidRPr="001005B7">
        <w:rPr>
          <w:i/>
        </w:rPr>
        <w:t>TLOT</w:t>
      </w:r>
      <w:r w:rsidRPr="001005B7">
        <w:rPr>
          <w:i/>
        </w:rPr>
        <w:tab/>
        <w:t>Theological Lexicon of the Old Testament</w:t>
      </w:r>
      <w:r w:rsidR="001D4B49" w:rsidRPr="001005B7">
        <w:rPr>
          <w:iCs/>
        </w:rPr>
        <w:t>, ed.</w:t>
      </w:r>
      <w:r w:rsidR="00B87A0D" w:rsidRPr="001005B7">
        <w:rPr>
          <w:iCs/>
        </w:rPr>
        <w:t xml:space="preserve"> Ernst Jenni and Claus Westermann.</w:t>
      </w:r>
      <w:r w:rsidR="001E472E" w:rsidRPr="001005B7">
        <w:rPr>
          <w:iCs/>
        </w:rPr>
        <w:t xml:space="preserve"> Trans</w:t>
      </w:r>
      <w:r w:rsidR="00C86069">
        <w:rPr>
          <w:iCs/>
        </w:rPr>
        <w:t>.</w:t>
      </w:r>
      <w:r w:rsidR="001E472E" w:rsidRPr="001005B7">
        <w:rPr>
          <w:iCs/>
        </w:rPr>
        <w:t xml:space="preserve"> Mark </w:t>
      </w:r>
      <w:r w:rsidR="00216D32" w:rsidRPr="001005B7">
        <w:rPr>
          <w:iCs/>
        </w:rPr>
        <w:t xml:space="preserve">E. </w:t>
      </w:r>
      <w:r w:rsidR="001E472E" w:rsidRPr="001005B7">
        <w:rPr>
          <w:iCs/>
        </w:rPr>
        <w:t xml:space="preserve">Biddle. </w:t>
      </w:r>
      <w:r w:rsidR="00020D40" w:rsidRPr="001005B7">
        <w:rPr>
          <w:iCs/>
        </w:rPr>
        <w:t xml:space="preserve">Peabody, MA: </w:t>
      </w:r>
      <w:proofErr w:type="spellStart"/>
      <w:r w:rsidR="00894B3E" w:rsidRPr="001005B7">
        <w:rPr>
          <w:iCs/>
        </w:rPr>
        <w:t>Hendricksen</w:t>
      </w:r>
      <w:proofErr w:type="spellEnd"/>
      <w:r w:rsidR="00894B3E" w:rsidRPr="001005B7">
        <w:rPr>
          <w:iCs/>
        </w:rPr>
        <w:t xml:space="preserve"> 1997.</w:t>
      </w:r>
    </w:p>
    <w:p w14:paraId="4EFBDF0E" w14:textId="70A95CD0" w:rsidR="00811676" w:rsidRPr="001005B7" w:rsidRDefault="000C7EC0" w:rsidP="000C7EC0">
      <w:pPr>
        <w:tabs>
          <w:tab w:val="left" w:pos="900"/>
        </w:tabs>
        <w:ind w:left="900" w:hanging="900"/>
        <w:contextualSpacing/>
      </w:pPr>
      <w:r w:rsidRPr="001005B7">
        <w:rPr>
          <w:i/>
        </w:rPr>
        <w:t>TTH</w:t>
      </w:r>
      <w:r w:rsidRPr="001005B7">
        <w:rPr>
          <w:i/>
        </w:rPr>
        <w:tab/>
        <w:t>A Treatise on the Use of the Tenses in Hebrew and Some Other Syntactical Questions</w:t>
      </w:r>
      <w:r w:rsidRPr="001005B7">
        <w:t xml:space="preserve">. </w:t>
      </w:r>
      <w:r w:rsidR="007D7EF7" w:rsidRPr="001005B7">
        <w:t xml:space="preserve">By </w:t>
      </w:r>
      <w:r w:rsidR="00351D74" w:rsidRPr="001005B7">
        <w:t>S</w:t>
      </w:r>
      <w:r w:rsidR="00AB2030">
        <w:t>amuel</w:t>
      </w:r>
      <w:r w:rsidR="00351D74" w:rsidRPr="001005B7">
        <w:t xml:space="preserve"> </w:t>
      </w:r>
      <w:proofErr w:type="spellStart"/>
      <w:r w:rsidR="00351D74" w:rsidRPr="001005B7">
        <w:t>R</w:t>
      </w:r>
      <w:r w:rsidR="00AB2030">
        <w:t>olles</w:t>
      </w:r>
      <w:proofErr w:type="spellEnd"/>
      <w:r w:rsidR="00351D74" w:rsidRPr="001005B7">
        <w:t xml:space="preserve"> Driver. </w:t>
      </w:r>
      <w:r w:rsidRPr="001005B7">
        <w:t>3</w:t>
      </w:r>
      <w:r w:rsidRPr="001005B7">
        <w:rPr>
          <w:vertAlign w:val="superscript"/>
        </w:rPr>
        <w:t>rd</w:t>
      </w:r>
      <w:r w:rsidRPr="001005B7">
        <w:t xml:space="preserve"> ed. Oxford: Oxford University Press, 1892</w:t>
      </w:r>
    </w:p>
    <w:p w14:paraId="2FA90CEE" w14:textId="77777777" w:rsidR="00811676" w:rsidRPr="001005B7" w:rsidRDefault="00811676" w:rsidP="00811676">
      <w:pPr>
        <w:tabs>
          <w:tab w:val="left" w:pos="900"/>
        </w:tabs>
        <w:ind w:left="900" w:hanging="900"/>
        <w:contextualSpacing/>
      </w:pPr>
      <w:proofErr w:type="spellStart"/>
      <w:r w:rsidRPr="001005B7">
        <w:rPr>
          <w:i/>
        </w:rPr>
        <w:t>TynB</w:t>
      </w:r>
      <w:proofErr w:type="spellEnd"/>
      <w:r w:rsidRPr="001005B7">
        <w:rPr>
          <w:i/>
        </w:rPr>
        <w:tab/>
        <w:t>Tyndale Bulletin</w:t>
      </w:r>
    </w:p>
    <w:p w14:paraId="2EA5FA1E" w14:textId="6090689E" w:rsidR="001A5C02" w:rsidRPr="001005B7" w:rsidRDefault="00811676" w:rsidP="00DC2A1C">
      <w:pPr>
        <w:tabs>
          <w:tab w:val="left" w:pos="900"/>
        </w:tabs>
        <w:ind w:left="900" w:hanging="900"/>
        <w:contextualSpacing/>
        <w:rPr>
          <w:i/>
          <w:iCs/>
        </w:rPr>
      </w:pPr>
      <w:r w:rsidRPr="001005B7">
        <w:t>Vg</w:t>
      </w:r>
      <w:r w:rsidR="008B2036" w:rsidRPr="001005B7">
        <w:t>.</w:t>
      </w:r>
      <w:r w:rsidRPr="001005B7">
        <w:tab/>
        <w:t xml:space="preserve">Vulgate Latin translation, </w:t>
      </w:r>
      <w:r w:rsidR="001A5C02" w:rsidRPr="001005B7">
        <w:t xml:space="preserve">as printed in </w:t>
      </w:r>
      <w:r w:rsidR="001A5C02" w:rsidRPr="001005B7">
        <w:rPr>
          <w:i/>
          <w:iCs/>
        </w:rPr>
        <w:t xml:space="preserve">Biblia sacra </w:t>
      </w:r>
      <w:proofErr w:type="spellStart"/>
      <w:r w:rsidR="001A5C02" w:rsidRPr="001005B7">
        <w:rPr>
          <w:i/>
          <w:iCs/>
        </w:rPr>
        <w:t>iuxta</w:t>
      </w:r>
      <w:proofErr w:type="spellEnd"/>
      <w:r w:rsidR="001A5C02" w:rsidRPr="001005B7">
        <w:rPr>
          <w:i/>
          <w:iCs/>
        </w:rPr>
        <w:t xml:space="preserve"> </w:t>
      </w:r>
      <w:proofErr w:type="spellStart"/>
      <w:r w:rsidR="001A5C02" w:rsidRPr="001005B7">
        <w:rPr>
          <w:i/>
          <w:iCs/>
        </w:rPr>
        <w:t>vulgatam</w:t>
      </w:r>
      <w:proofErr w:type="spellEnd"/>
      <w:r w:rsidR="001A5C02" w:rsidRPr="001005B7">
        <w:rPr>
          <w:i/>
          <w:iCs/>
        </w:rPr>
        <w:t xml:space="preserve"> </w:t>
      </w:r>
      <w:proofErr w:type="spellStart"/>
      <w:r w:rsidR="001A5C02" w:rsidRPr="001005B7">
        <w:rPr>
          <w:i/>
          <w:iCs/>
        </w:rPr>
        <w:t>versionem</w:t>
      </w:r>
      <w:proofErr w:type="spellEnd"/>
      <w:r w:rsidR="00117071" w:rsidRPr="001005B7">
        <w:t>, e</w:t>
      </w:r>
      <w:r w:rsidR="00351D74" w:rsidRPr="001005B7">
        <w:t>d. R</w:t>
      </w:r>
      <w:r w:rsidR="00506169" w:rsidRPr="001005B7">
        <w:t>obert</w:t>
      </w:r>
      <w:r w:rsidR="00351D74" w:rsidRPr="001005B7">
        <w:t xml:space="preserve"> Weber. </w:t>
      </w:r>
      <w:r w:rsidR="001A5C02" w:rsidRPr="001005B7">
        <w:t>3</w:t>
      </w:r>
      <w:r w:rsidR="001A5C02" w:rsidRPr="001005B7">
        <w:rPr>
          <w:vertAlign w:val="superscript"/>
        </w:rPr>
        <w:t>rd</w:t>
      </w:r>
      <w:r w:rsidR="001A5C02" w:rsidRPr="001005B7">
        <w:t xml:space="preserve"> ed.</w:t>
      </w:r>
      <w:r w:rsidR="007157F7" w:rsidRPr="001005B7">
        <w:t xml:space="preserve"> </w:t>
      </w:r>
      <w:r w:rsidR="001A5C02" w:rsidRPr="001005B7">
        <w:t xml:space="preserve">Stuttgart: Deutsche </w:t>
      </w:r>
      <w:proofErr w:type="spellStart"/>
      <w:r w:rsidR="001A5C02" w:rsidRPr="001005B7">
        <w:t>Bibelanstalt</w:t>
      </w:r>
      <w:proofErr w:type="spellEnd"/>
      <w:r w:rsidR="001A5C02" w:rsidRPr="001005B7">
        <w:t>, 1983</w:t>
      </w:r>
    </w:p>
    <w:p w14:paraId="5A519963" w14:textId="77777777" w:rsidR="00811676" w:rsidRPr="001005B7" w:rsidRDefault="00811676" w:rsidP="00811676">
      <w:pPr>
        <w:tabs>
          <w:tab w:val="left" w:pos="900"/>
        </w:tabs>
        <w:ind w:left="360" w:hanging="360"/>
        <w:contextualSpacing/>
        <w:rPr>
          <w:i/>
        </w:rPr>
      </w:pPr>
      <w:r w:rsidRPr="001005B7">
        <w:rPr>
          <w:i/>
        </w:rPr>
        <w:t>VT</w:t>
      </w:r>
      <w:r w:rsidRPr="001005B7">
        <w:rPr>
          <w:i/>
        </w:rPr>
        <w:tab/>
      </w:r>
      <w:r w:rsidRPr="001005B7">
        <w:rPr>
          <w:i/>
        </w:rPr>
        <w:tab/>
      </w:r>
      <w:proofErr w:type="spellStart"/>
      <w:r w:rsidRPr="001005B7">
        <w:rPr>
          <w:i/>
        </w:rPr>
        <w:t>Vetus</w:t>
      </w:r>
      <w:proofErr w:type="spellEnd"/>
      <w:r w:rsidRPr="001005B7">
        <w:rPr>
          <w:i/>
        </w:rPr>
        <w:t xml:space="preserve"> </w:t>
      </w:r>
      <w:proofErr w:type="spellStart"/>
      <w:r w:rsidRPr="001005B7">
        <w:rPr>
          <w:i/>
        </w:rPr>
        <w:t>Testamentum</w:t>
      </w:r>
      <w:proofErr w:type="spellEnd"/>
    </w:p>
    <w:p w14:paraId="55270BCF" w14:textId="4CC2C9D0" w:rsidR="00811676" w:rsidRPr="001005B7" w:rsidRDefault="00811676" w:rsidP="00494E48">
      <w:pPr>
        <w:tabs>
          <w:tab w:val="left" w:pos="900"/>
        </w:tabs>
        <w:ind w:left="360" w:hanging="360"/>
        <w:contextualSpacing/>
        <w:rPr>
          <w:iCs/>
        </w:rPr>
      </w:pPr>
      <w:proofErr w:type="spellStart"/>
      <w:r w:rsidRPr="001005B7">
        <w:rPr>
          <w:rFonts w:cstheme="minorHAnsi"/>
        </w:rPr>
        <w:t>VTSup</w:t>
      </w:r>
      <w:proofErr w:type="spellEnd"/>
      <w:r w:rsidRPr="001005B7">
        <w:rPr>
          <w:rFonts w:cstheme="minorHAnsi"/>
        </w:rPr>
        <w:t xml:space="preserve"> </w:t>
      </w:r>
      <w:r w:rsidRPr="001005B7">
        <w:rPr>
          <w:rFonts w:cstheme="minorHAnsi"/>
        </w:rPr>
        <w:tab/>
      </w:r>
      <w:proofErr w:type="spellStart"/>
      <w:r w:rsidRPr="001005B7">
        <w:rPr>
          <w:iCs/>
        </w:rPr>
        <w:t>Vetus</w:t>
      </w:r>
      <w:proofErr w:type="spellEnd"/>
      <w:r w:rsidRPr="001005B7">
        <w:rPr>
          <w:iCs/>
        </w:rPr>
        <w:t xml:space="preserve"> </w:t>
      </w:r>
      <w:proofErr w:type="spellStart"/>
      <w:r w:rsidRPr="001005B7">
        <w:rPr>
          <w:iCs/>
        </w:rPr>
        <w:t>Testamentum</w:t>
      </w:r>
      <w:proofErr w:type="spellEnd"/>
      <w:r w:rsidRPr="001005B7">
        <w:rPr>
          <w:iCs/>
        </w:rPr>
        <w:t xml:space="preserve"> Supplement</w:t>
      </w:r>
    </w:p>
    <w:p w14:paraId="2D1444F3" w14:textId="547F0373" w:rsidR="00611DA1" w:rsidRPr="001005B7" w:rsidRDefault="00B9100E" w:rsidP="00494E48">
      <w:pPr>
        <w:tabs>
          <w:tab w:val="left" w:pos="900"/>
        </w:tabs>
        <w:ind w:left="360" w:hanging="360"/>
        <w:contextualSpacing/>
        <w:rPr>
          <w:iCs/>
        </w:rPr>
      </w:pPr>
      <w:r w:rsidRPr="001005B7">
        <w:rPr>
          <w:i/>
          <w:iCs/>
        </w:rPr>
        <w:t>WO</w:t>
      </w:r>
      <w:r w:rsidRPr="001005B7">
        <w:rPr>
          <w:i/>
          <w:iCs/>
        </w:rPr>
        <w:tab/>
      </w:r>
      <w:r w:rsidRPr="001005B7">
        <w:rPr>
          <w:i/>
          <w:iCs/>
        </w:rPr>
        <w:tab/>
      </w:r>
      <w:r w:rsidR="00611DA1" w:rsidRPr="001005B7">
        <w:rPr>
          <w:i/>
          <w:iCs/>
        </w:rPr>
        <w:t>Die Welt des Orients</w:t>
      </w:r>
    </w:p>
    <w:p w14:paraId="55FCDC3D" w14:textId="77777777" w:rsidR="00811676" w:rsidRPr="001005B7" w:rsidRDefault="00811676" w:rsidP="00811676">
      <w:pPr>
        <w:tabs>
          <w:tab w:val="left" w:pos="900"/>
        </w:tabs>
        <w:ind w:left="360" w:hanging="360"/>
        <w:contextualSpacing/>
        <w:rPr>
          <w:i/>
        </w:rPr>
      </w:pPr>
      <w:r w:rsidRPr="001005B7">
        <w:rPr>
          <w:i/>
        </w:rPr>
        <w:t>ZAW</w:t>
      </w:r>
      <w:r w:rsidRPr="001005B7">
        <w:rPr>
          <w:i/>
        </w:rPr>
        <w:tab/>
      </w:r>
      <w:proofErr w:type="spellStart"/>
      <w:r w:rsidRPr="001005B7">
        <w:rPr>
          <w:i/>
        </w:rPr>
        <w:t>Zeitschrift</w:t>
      </w:r>
      <w:proofErr w:type="spellEnd"/>
      <w:r w:rsidRPr="001005B7">
        <w:rPr>
          <w:i/>
        </w:rPr>
        <w:t xml:space="preserve"> für die </w:t>
      </w:r>
      <w:proofErr w:type="spellStart"/>
      <w:r w:rsidRPr="001005B7">
        <w:rPr>
          <w:i/>
        </w:rPr>
        <w:t>alttestamentliche</w:t>
      </w:r>
      <w:proofErr w:type="spellEnd"/>
      <w:r w:rsidRPr="001005B7">
        <w:rPr>
          <w:i/>
        </w:rPr>
        <w:t xml:space="preserve"> </w:t>
      </w:r>
      <w:proofErr w:type="spellStart"/>
      <w:r w:rsidRPr="001005B7">
        <w:rPr>
          <w:i/>
        </w:rPr>
        <w:t>Wissenschaft</w:t>
      </w:r>
      <w:proofErr w:type="spellEnd"/>
    </w:p>
    <w:p w14:paraId="6C3DA4DA" w14:textId="77777777" w:rsidR="004F6CF5" w:rsidRPr="001005B7" w:rsidRDefault="004F6CF5" w:rsidP="00811676">
      <w:pPr>
        <w:tabs>
          <w:tab w:val="left" w:pos="900"/>
        </w:tabs>
        <w:ind w:left="360" w:hanging="360"/>
        <w:contextualSpacing/>
        <w:rPr>
          <w:i/>
        </w:rPr>
      </w:pPr>
    </w:p>
    <w:p w14:paraId="48CB504D" w14:textId="1B59D174" w:rsidR="004F6CF5" w:rsidRPr="001005B7" w:rsidRDefault="004F6CF5" w:rsidP="00F21F34">
      <w:pPr>
        <w:pStyle w:val="PlainText"/>
        <w:ind w:firstLine="0"/>
      </w:pPr>
      <w:r w:rsidRPr="001005B7">
        <w:t>In a reference such as 20:45 [21:1], the first reference applies to English Bibles, the second to printed Hebrew Bibles</w:t>
      </w:r>
    </w:p>
    <w:p w14:paraId="1A083AFA" w14:textId="637FA9F7" w:rsidR="004F6CF5" w:rsidRPr="001005B7" w:rsidRDefault="00C87BDD" w:rsidP="00811676">
      <w:pPr>
        <w:tabs>
          <w:tab w:val="left" w:pos="900"/>
        </w:tabs>
        <w:ind w:left="360" w:hanging="360"/>
        <w:contextualSpacing/>
        <w:rPr>
          <w:iCs/>
        </w:rPr>
      </w:pPr>
      <w:r w:rsidRPr="001005B7">
        <w:rPr>
          <w:iCs/>
        </w:rPr>
        <w:t>In quotations, emphasis (italics) is always original</w:t>
      </w:r>
      <w:r w:rsidR="00426D86" w:rsidRPr="001005B7">
        <w:rPr>
          <w:iCs/>
        </w:rPr>
        <w:t xml:space="preserve"> unless otherwise noted</w:t>
      </w:r>
      <w:r w:rsidRPr="001005B7">
        <w:rPr>
          <w:iCs/>
        </w:rPr>
        <w:t>.</w:t>
      </w:r>
    </w:p>
    <w:p w14:paraId="3A0C5FB7" w14:textId="58EEB21F" w:rsidR="001C7295" w:rsidRPr="001005B7" w:rsidRDefault="001C7295" w:rsidP="00811676">
      <w:pPr>
        <w:tabs>
          <w:tab w:val="left" w:pos="900"/>
        </w:tabs>
        <w:ind w:left="360" w:hanging="360"/>
        <w:contextualSpacing/>
        <w:rPr>
          <w:iCs/>
        </w:rPr>
      </w:pPr>
      <w:r w:rsidRPr="001005B7">
        <w:rPr>
          <w:iCs/>
        </w:rPr>
        <w:t xml:space="preserve">All </w:t>
      </w:r>
      <w:r w:rsidR="00426D86" w:rsidRPr="001005B7">
        <w:rPr>
          <w:iCs/>
        </w:rPr>
        <w:t>translations are mine unless otherwise noted.</w:t>
      </w:r>
    </w:p>
    <w:p w14:paraId="5CFF5285" w14:textId="77777777" w:rsidR="00BF7E06" w:rsidRPr="001005B7" w:rsidRDefault="00BF7E06" w:rsidP="00811676">
      <w:pPr>
        <w:tabs>
          <w:tab w:val="left" w:pos="900"/>
        </w:tabs>
        <w:ind w:left="360" w:hanging="360"/>
        <w:contextualSpacing/>
        <w:rPr>
          <w:iCs/>
        </w:rPr>
      </w:pPr>
    </w:p>
    <w:p w14:paraId="5473CEAE" w14:textId="0D3C4A69" w:rsidR="00D9141D" w:rsidRPr="001005B7" w:rsidRDefault="00AF0708" w:rsidP="00811676">
      <w:pPr>
        <w:tabs>
          <w:tab w:val="left" w:pos="900"/>
        </w:tabs>
        <w:ind w:left="360" w:hanging="360"/>
        <w:contextualSpacing/>
        <w:rPr>
          <w:iCs/>
        </w:rPr>
      </w:pPr>
      <w:r w:rsidRPr="001005B7">
        <w:rPr>
          <w:iCs/>
        </w:rPr>
        <w:t xml:space="preserve">References and </w:t>
      </w:r>
      <w:r w:rsidR="00D072DE" w:rsidRPr="001005B7">
        <w:rPr>
          <w:iCs/>
        </w:rPr>
        <w:t>bibliographies in this volume work as follows.</w:t>
      </w:r>
    </w:p>
    <w:p w14:paraId="59150669" w14:textId="77777777" w:rsidR="00461B42" w:rsidRPr="001005B7" w:rsidRDefault="00461B42" w:rsidP="00811676">
      <w:pPr>
        <w:tabs>
          <w:tab w:val="left" w:pos="900"/>
        </w:tabs>
        <w:ind w:left="360" w:hanging="360"/>
        <w:contextualSpacing/>
        <w:rPr>
          <w:iCs/>
        </w:rPr>
      </w:pPr>
    </w:p>
    <w:p w14:paraId="6DCF97E2" w14:textId="7AC17866" w:rsidR="00164F7B" w:rsidRPr="001005B7" w:rsidRDefault="00AF0708" w:rsidP="00D072DE">
      <w:pPr>
        <w:pStyle w:val="Bullet"/>
      </w:pPr>
      <w:r w:rsidRPr="001005B7">
        <w:t>Commentaries are quoted sim</w:t>
      </w:r>
      <w:r w:rsidR="00164F7B" w:rsidRPr="001005B7">
        <w:t>ply by name and page number</w:t>
      </w:r>
      <w:r w:rsidR="00E80D57">
        <w:t xml:space="preserve"> or </w:t>
      </w:r>
      <w:r w:rsidR="00592F93">
        <w:t>passage reference</w:t>
      </w:r>
      <w:r w:rsidR="002534D0" w:rsidRPr="001005B7">
        <w:t>. T</w:t>
      </w:r>
      <w:r w:rsidR="00164F7B" w:rsidRPr="001005B7">
        <w:t>he commentary bibliography gives the information on them.</w:t>
      </w:r>
    </w:p>
    <w:p w14:paraId="51598570" w14:textId="6DD7CBDF" w:rsidR="003D291C" w:rsidRDefault="005F49BE" w:rsidP="000624EB">
      <w:pPr>
        <w:pStyle w:val="Bullet"/>
      </w:pPr>
      <w:r w:rsidRPr="001005B7">
        <w:t>The bibliographies at the end of th</w:t>
      </w:r>
      <w:r w:rsidR="00B67557" w:rsidRPr="001005B7">
        <w:t>e</w:t>
      </w:r>
      <w:r w:rsidRPr="001005B7">
        <w:t xml:space="preserve"> volume </w:t>
      </w:r>
      <w:r w:rsidR="00DB4351" w:rsidRPr="001005B7">
        <w:t xml:space="preserve">cover </w:t>
      </w:r>
      <w:r w:rsidR="006A2AC5">
        <w:t xml:space="preserve">other </w:t>
      </w:r>
      <w:r w:rsidR="00F42420" w:rsidRPr="001005B7">
        <w:t>works</w:t>
      </w:r>
      <w:r w:rsidR="00B67557" w:rsidRPr="001005B7">
        <w:t xml:space="preserve"> </w:t>
      </w:r>
      <w:r w:rsidR="00EA7090">
        <w:t>that relate</w:t>
      </w:r>
      <w:r w:rsidR="00361B14">
        <w:t xml:space="preserve"> broadly to</w:t>
      </w:r>
      <w:r w:rsidR="00B67557" w:rsidRPr="001005B7">
        <w:t xml:space="preserve"> the volume</w:t>
      </w:r>
      <w:r w:rsidR="00597A36" w:rsidRPr="001005B7">
        <w:t>.</w:t>
      </w:r>
    </w:p>
    <w:p w14:paraId="0F99E914" w14:textId="30A9A8E1" w:rsidR="003969DC" w:rsidRPr="001005B7" w:rsidRDefault="00361B14" w:rsidP="003969DC">
      <w:pPr>
        <w:pStyle w:val="Bullet"/>
      </w:pPr>
      <w:r>
        <w:t>For</w:t>
      </w:r>
      <w:r w:rsidR="003969DC" w:rsidRPr="001005B7">
        <w:t xml:space="preserve"> works referred to in footnotes by a short title, the “Selected Bibliography” at the end of the section gives the full information.</w:t>
      </w:r>
    </w:p>
    <w:p w14:paraId="057BFC68" w14:textId="77777777" w:rsidR="00BF7E06" w:rsidRPr="001005B7" w:rsidRDefault="00BF7E06" w:rsidP="00AF2352">
      <w:pPr>
        <w:pStyle w:val="PlainText"/>
        <w:ind w:firstLine="0"/>
      </w:pPr>
    </w:p>
    <w:p w14:paraId="046EF107" w14:textId="4513F432" w:rsidR="00AF2352" w:rsidRPr="001005B7" w:rsidRDefault="00471B3F" w:rsidP="00AF2352">
      <w:pPr>
        <w:pStyle w:val="PlainText"/>
        <w:ind w:firstLine="0"/>
      </w:pPr>
      <w:r w:rsidRPr="001005B7">
        <w:t>C. J. Conroy has</w:t>
      </w:r>
      <w:r w:rsidR="00AF2352" w:rsidRPr="001005B7">
        <w:t xml:space="preserve"> systematic bibliogra</w:t>
      </w:r>
      <w:r w:rsidR="00D1063C" w:rsidRPr="001005B7">
        <w:t>p</w:t>
      </w:r>
      <w:r w:rsidR="00AF2352" w:rsidRPr="001005B7">
        <w:t xml:space="preserve">hies on Ezekiel </w:t>
      </w:r>
      <w:r w:rsidR="009E3140" w:rsidRPr="001005B7">
        <w:t>at cjconroy.net.</w:t>
      </w:r>
    </w:p>
    <w:p w14:paraId="21BEF4D2" w14:textId="2CB93807" w:rsidR="000A62AA" w:rsidRPr="001005B7" w:rsidRDefault="000A62AA" w:rsidP="00A846BD">
      <w:pPr>
        <w:pStyle w:val="Heading2"/>
        <w:rPr>
          <w:color w:val="auto"/>
        </w:rPr>
      </w:pPr>
      <w:r w:rsidRPr="001005B7">
        <w:rPr>
          <w:color w:val="auto"/>
        </w:rPr>
        <w:t>Introduction</w:t>
      </w:r>
    </w:p>
    <w:p w14:paraId="0FCF5556" w14:textId="3646F7B8" w:rsidR="00AB3000" w:rsidRPr="001005B7" w:rsidRDefault="003E10DC" w:rsidP="00854D23">
      <w:pPr>
        <w:pStyle w:val="Quote"/>
        <w:rPr>
          <w:color w:val="auto"/>
        </w:rPr>
      </w:pPr>
      <w:r w:rsidRPr="001005B7">
        <w:rPr>
          <w:color w:val="auto"/>
        </w:rPr>
        <w:t>Now</w:t>
      </w:r>
      <w:r w:rsidR="00B91BA5" w:rsidRPr="001005B7">
        <w:rPr>
          <w:color w:val="auto"/>
        </w:rPr>
        <w:t>,</w:t>
      </w:r>
      <w:r w:rsidRPr="001005B7">
        <w:rPr>
          <w:color w:val="auto"/>
        </w:rPr>
        <w:t xml:space="preserve"> in the thirtieth year, in the fourth [month], on the fifth of the month, when I was among the exile community at the </w:t>
      </w:r>
      <w:proofErr w:type="spellStart"/>
      <w:r w:rsidRPr="001005B7">
        <w:rPr>
          <w:color w:val="auto"/>
        </w:rPr>
        <w:t>Kebar</w:t>
      </w:r>
      <w:proofErr w:type="spellEnd"/>
      <w:r w:rsidRPr="001005B7">
        <w:rPr>
          <w:color w:val="auto"/>
        </w:rPr>
        <w:t xml:space="preserve"> Waterway, the heavens opened and I saw a divine vision.</w:t>
      </w:r>
    </w:p>
    <w:p w14:paraId="6904B18E" w14:textId="60D50AC3" w:rsidR="00F24756" w:rsidRPr="001005B7" w:rsidRDefault="00F24756" w:rsidP="00F87B9F">
      <w:r w:rsidRPr="001005B7">
        <w:t>The Ezekiel scroll</w:t>
      </w:r>
      <w:r w:rsidR="00F75259">
        <w:t xml:space="preserve"> begins</w:t>
      </w:r>
      <w:r w:rsidR="00423882">
        <w:t xml:space="preserve"> as it intends to go on, taking</w:t>
      </w:r>
      <w:r w:rsidR="00F75259">
        <w:t xml:space="preserve"> </w:t>
      </w:r>
      <w:r w:rsidRPr="001005B7">
        <w:t xml:space="preserve">the form of a memoir by a priest among </w:t>
      </w:r>
      <w:r w:rsidR="000451A6">
        <w:t>people from</w:t>
      </w:r>
      <w:r w:rsidRPr="001005B7">
        <w:t xml:space="preserve"> Judah</w:t>
      </w:r>
      <w:r w:rsidR="000451A6">
        <w:t xml:space="preserve"> </w:t>
      </w:r>
      <w:r w:rsidR="00535015">
        <w:t xml:space="preserve">who are </w:t>
      </w:r>
      <w:r w:rsidR="000451A6">
        <w:t>living</w:t>
      </w:r>
      <w:r w:rsidRPr="001005B7">
        <w:t xml:space="preserve"> in </w:t>
      </w:r>
      <w:r w:rsidR="00F87B9F">
        <w:t xml:space="preserve">exile in a </w:t>
      </w:r>
      <w:r w:rsidR="00F172A8">
        <w:t xml:space="preserve">not-very-significant </w:t>
      </w:r>
      <w:r w:rsidR="001772B9">
        <w:t xml:space="preserve">settlement </w:t>
      </w:r>
      <w:r w:rsidR="002244D3">
        <w:t xml:space="preserve">fifty miles </w:t>
      </w:r>
      <w:r w:rsidRPr="001005B7">
        <w:t>south of Babyl</w:t>
      </w:r>
      <w:r w:rsidR="00DA1B01">
        <w:t xml:space="preserve">on. </w:t>
      </w:r>
      <w:r w:rsidRPr="001005B7">
        <w:t>I call it a “scroll” as a reminder that it is nothing like a “book” in the modern sense, and it differs from most other prophetic scrolls in being entirely first-person, as told by Ezekiel himself.</w:t>
      </w:r>
    </w:p>
    <w:p w14:paraId="2D7D3DF5" w14:textId="73908C8C" w:rsidR="00DE17A0" w:rsidRPr="001005B7" w:rsidRDefault="00DE17A0" w:rsidP="00493833">
      <w:pPr>
        <w:pStyle w:val="Heading3"/>
      </w:pPr>
      <w:r w:rsidRPr="001005B7">
        <w:t xml:space="preserve">The </w:t>
      </w:r>
      <w:r w:rsidR="00180758" w:rsidRPr="001005B7">
        <w:t>Prophet/Priest</w:t>
      </w:r>
    </w:p>
    <w:p w14:paraId="133B4D1C" w14:textId="0EC599F5" w:rsidR="008C47C4" w:rsidRPr="001005B7" w:rsidRDefault="00FD080B" w:rsidP="00191AB1">
      <w:r w:rsidRPr="001005B7">
        <w:t>At the turn of the sixth century</w:t>
      </w:r>
      <w:r w:rsidR="001A0581" w:rsidRPr="001005B7">
        <w:t xml:space="preserve"> </w:t>
      </w:r>
      <w:r w:rsidR="001A0581" w:rsidRPr="001005B7">
        <w:rPr>
          <w:sz w:val="18"/>
          <w:szCs w:val="18"/>
        </w:rPr>
        <w:t>BC</w:t>
      </w:r>
      <w:r w:rsidR="00CB5E69" w:rsidRPr="001005B7">
        <w:t>, Judah</w:t>
      </w:r>
      <w:r w:rsidR="00FA303A" w:rsidRPr="001005B7">
        <w:t xml:space="preserve"> </w:t>
      </w:r>
      <w:r w:rsidR="006B5E24" w:rsidRPr="001005B7">
        <w:t>declar</w:t>
      </w:r>
      <w:r w:rsidR="00CB5E69" w:rsidRPr="001005B7">
        <w:t xml:space="preserve">ed its </w:t>
      </w:r>
      <w:r w:rsidR="00406FC8" w:rsidRPr="001005B7">
        <w:t>independence from the Babylonians</w:t>
      </w:r>
      <w:r w:rsidR="00705E4D" w:rsidRPr="001005B7">
        <w:t>.</w:t>
      </w:r>
      <w:r w:rsidR="005472C5" w:rsidRPr="001005B7">
        <w:t xml:space="preserve"> </w:t>
      </w:r>
      <w:r w:rsidR="00705E4D" w:rsidRPr="001005B7">
        <w:t>I</w:t>
      </w:r>
      <w:r w:rsidR="00B77DFB" w:rsidRPr="001005B7">
        <w:t>n 597</w:t>
      </w:r>
      <w:r w:rsidR="00705E4D" w:rsidRPr="001005B7">
        <w:t>,</w:t>
      </w:r>
      <w:r w:rsidR="00B77DFB" w:rsidRPr="001005B7">
        <w:t xml:space="preserve"> </w:t>
      </w:r>
      <w:proofErr w:type="spellStart"/>
      <w:r w:rsidR="005472C5" w:rsidRPr="001005B7">
        <w:t>Nebuchad</w:t>
      </w:r>
      <w:r w:rsidR="00FA303A" w:rsidRPr="001005B7">
        <w:t>r</w:t>
      </w:r>
      <w:r w:rsidR="005472C5" w:rsidRPr="001005B7">
        <w:t>ezzar</w:t>
      </w:r>
      <w:proofErr w:type="spellEnd"/>
      <w:r w:rsidR="005472C5" w:rsidRPr="001005B7">
        <w:t xml:space="preserve"> c</w:t>
      </w:r>
      <w:r w:rsidR="000769FD" w:rsidRPr="001005B7">
        <w:t>a</w:t>
      </w:r>
      <w:r w:rsidR="005472C5" w:rsidRPr="001005B7">
        <w:t xml:space="preserve">me to </w:t>
      </w:r>
      <w:r w:rsidR="006B5E24" w:rsidRPr="001005B7">
        <w:t xml:space="preserve">reassert </w:t>
      </w:r>
      <w:r w:rsidR="003C7934" w:rsidRPr="001005B7">
        <w:t>Babylonian</w:t>
      </w:r>
      <w:r w:rsidR="006B5E24" w:rsidRPr="001005B7">
        <w:t xml:space="preserve"> authority</w:t>
      </w:r>
      <w:r w:rsidR="00282414" w:rsidRPr="001005B7">
        <w:t xml:space="preserve"> there</w:t>
      </w:r>
      <w:r w:rsidR="00705E4D" w:rsidRPr="001005B7">
        <w:t xml:space="preserve">, and </w:t>
      </w:r>
      <w:r w:rsidR="003C7934" w:rsidRPr="001005B7">
        <w:t>took</w:t>
      </w:r>
      <w:r w:rsidR="007F283F" w:rsidRPr="001005B7">
        <w:t xml:space="preserve"> back to Babylonia</w:t>
      </w:r>
      <w:r w:rsidR="003C7934" w:rsidRPr="001005B7">
        <w:t xml:space="preserve"> </w:t>
      </w:r>
      <w:r w:rsidR="00BC6A87" w:rsidRPr="001005B7">
        <w:t xml:space="preserve">much of Judah’s </w:t>
      </w:r>
      <w:r w:rsidR="003C7934" w:rsidRPr="001005B7">
        <w:t>political</w:t>
      </w:r>
      <w:r w:rsidR="000939B5" w:rsidRPr="001005B7">
        <w:t>, military,</w:t>
      </w:r>
      <w:r w:rsidR="003C7934" w:rsidRPr="001005B7">
        <w:t xml:space="preserve"> </w:t>
      </w:r>
      <w:r w:rsidR="000939B5" w:rsidRPr="001005B7">
        <w:t>and religious leadership</w:t>
      </w:r>
      <w:r w:rsidR="007F15B9" w:rsidRPr="001005B7">
        <w:t xml:space="preserve"> and its skilled </w:t>
      </w:r>
      <w:r w:rsidR="007F283F" w:rsidRPr="001005B7">
        <w:t>work</w:t>
      </w:r>
      <w:r w:rsidR="0076304B" w:rsidRPr="001005B7">
        <w:t>force</w:t>
      </w:r>
      <w:r w:rsidR="00B77DFB" w:rsidRPr="001005B7">
        <w:t>.</w:t>
      </w:r>
      <w:r w:rsidR="00123602" w:rsidRPr="001005B7">
        <w:t xml:space="preserve"> </w:t>
      </w:r>
      <w:r w:rsidR="00E80883" w:rsidRPr="001005B7">
        <w:t xml:space="preserve">He repeated the action </w:t>
      </w:r>
      <w:r w:rsidR="0088152E" w:rsidRPr="001005B7">
        <w:t xml:space="preserve">more drastically </w:t>
      </w:r>
      <w:r w:rsidR="00E80883" w:rsidRPr="001005B7">
        <w:t xml:space="preserve">in 587. </w:t>
      </w:r>
      <w:r w:rsidR="00983FCA" w:rsidRPr="001005B7">
        <w:t>Th</w:t>
      </w:r>
      <w:r w:rsidR="00677DB3" w:rsidRPr="001005B7">
        <w:t>e forced</w:t>
      </w:r>
      <w:r w:rsidR="003F45D8" w:rsidRPr="001005B7">
        <w:t xml:space="preserve"> migrants</w:t>
      </w:r>
      <w:r w:rsidR="00983FCA" w:rsidRPr="001005B7">
        <w:t xml:space="preserve"> were not </w:t>
      </w:r>
      <w:r w:rsidR="007F47ED" w:rsidRPr="001005B7">
        <w:t>im</w:t>
      </w:r>
      <w:r w:rsidR="00983FCA" w:rsidRPr="001005B7">
        <w:t>prison</w:t>
      </w:r>
      <w:r w:rsidR="007F47ED" w:rsidRPr="001005B7">
        <w:t>ed</w:t>
      </w:r>
      <w:r w:rsidR="00983FCA" w:rsidRPr="001005B7">
        <w:t xml:space="preserve"> </w:t>
      </w:r>
      <w:r w:rsidR="00C579E5" w:rsidRPr="001005B7">
        <w:t>or</w:t>
      </w:r>
      <w:r w:rsidR="001F3B7B" w:rsidRPr="001005B7">
        <w:t xml:space="preserve"> </w:t>
      </w:r>
      <w:r w:rsidR="007F47ED" w:rsidRPr="001005B7">
        <w:t>en</w:t>
      </w:r>
      <w:r w:rsidR="001F3B7B" w:rsidRPr="001005B7">
        <w:t>slave</w:t>
      </w:r>
      <w:r w:rsidR="007F47ED" w:rsidRPr="001005B7">
        <w:t>d</w:t>
      </w:r>
      <w:r w:rsidR="00964AAF" w:rsidRPr="001005B7">
        <w:t>. M</w:t>
      </w:r>
      <w:r w:rsidR="00264176" w:rsidRPr="001005B7">
        <w:t xml:space="preserve">any </w:t>
      </w:r>
      <w:r w:rsidR="005E7C51" w:rsidRPr="001005B7">
        <w:t>could</w:t>
      </w:r>
      <w:r w:rsidR="00045DF7" w:rsidRPr="001005B7">
        <w:t xml:space="preserve"> be </w:t>
      </w:r>
      <w:r w:rsidR="00264176" w:rsidRPr="001005B7">
        <w:t>put to work in ways related to their background</w:t>
      </w:r>
      <w:r w:rsidR="003C5CDB" w:rsidRPr="001005B7">
        <w:t xml:space="preserve"> and </w:t>
      </w:r>
      <w:r w:rsidR="00511082" w:rsidRPr="001005B7">
        <w:t>usefulness</w:t>
      </w:r>
      <w:r w:rsidR="00AD4A6A" w:rsidRPr="001005B7">
        <w:t>. O</w:t>
      </w:r>
      <w:r w:rsidR="00F05B71" w:rsidRPr="001005B7">
        <w:t xml:space="preserve">thers </w:t>
      </w:r>
      <w:r w:rsidR="006D7793" w:rsidRPr="001005B7">
        <w:t>would</w:t>
      </w:r>
      <w:r w:rsidR="00F05B71" w:rsidRPr="001005B7">
        <w:t xml:space="preserve"> have </w:t>
      </w:r>
      <w:r w:rsidR="00FC0705" w:rsidRPr="001005B7">
        <w:t xml:space="preserve">had to </w:t>
      </w:r>
      <w:r w:rsidR="00F05B71" w:rsidRPr="001005B7">
        <w:t>work on the land</w:t>
      </w:r>
      <w:r w:rsidR="007E514A" w:rsidRPr="001005B7">
        <w:t>,</w:t>
      </w:r>
      <w:r w:rsidR="003F0682" w:rsidRPr="001005B7">
        <w:t xml:space="preserve"> and as a community they had lost their freedom</w:t>
      </w:r>
      <w:r w:rsidR="00373586" w:rsidRPr="001005B7">
        <w:t>.</w:t>
      </w:r>
      <w:r w:rsidR="00580EFC" w:rsidRPr="001005B7">
        <w:t xml:space="preserve"> </w:t>
      </w:r>
      <w:r w:rsidR="00F6682E" w:rsidRPr="001005B7">
        <w:t xml:space="preserve">The family of </w:t>
      </w:r>
      <w:proofErr w:type="spellStart"/>
      <w:r w:rsidR="00FF7A68" w:rsidRPr="001005B7">
        <w:t>Buzi</w:t>
      </w:r>
      <w:proofErr w:type="spellEnd"/>
      <w:r w:rsidR="00F6682E" w:rsidRPr="001005B7">
        <w:t>, Ezekiel’s father</w:t>
      </w:r>
      <w:r w:rsidR="0098096F" w:rsidRPr="001005B7">
        <w:t>,</w:t>
      </w:r>
      <w:r w:rsidR="00C13256" w:rsidRPr="001005B7">
        <w:t xml:space="preserve"> </w:t>
      </w:r>
      <w:r w:rsidR="00FF7A68" w:rsidRPr="001005B7">
        <w:t>w</w:t>
      </w:r>
      <w:r w:rsidR="00F476FC" w:rsidRPr="001005B7">
        <w:t>as</w:t>
      </w:r>
      <w:r w:rsidR="00FF7A68" w:rsidRPr="001005B7">
        <w:t xml:space="preserve"> </w:t>
      </w:r>
      <w:r w:rsidR="00447673" w:rsidRPr="001005B7">
        <w:t xml:space="preserve">evidently </w:t>
      </w:r>
      <w:r w:rsidR="00FF7A68" w:rsidRPr="001005B7">
        <w:t>among a minority in the Judahite community</w:t>
      </w:r>
      <w:r w:rsidR="00C13256" w:rsidRPr="001005B7">
        <w:t xml:space="preserve"> from Jerusalem</w:t>
      </w:r>
      <w:r w:rsidR="00FF7A68" w:rsidRPr="001005B7">
        <w:t xml:space="preserve"> </w:t>
      </w:r>
      <w:r w:rsidR="002526AF" w:rsidRPr="001005B7">
        <w:t xml:space="preserve">who </w:t>
      </w:r>
      <w:r w:rsidR="00DA1598" w:rsidRPr="001005B7">
        <w:t xml:space="preserve">had </w:t>
      </w:r>
      <w:r w:rsidR="002526AF" w:rsidRPr="001005B7">
        <w:t>stayed faithful to the Torah</w:t>
      </w:r>
      <w:r w:rsidR="00DA1598" w:rsidRPr="001005B7">
        <w:t>,</w:t>
      </w:r>
      <w:r w:rsidR="006C1460" w:rsidRPr="001005B7">
        <w:t xml:space="preserve"> and </w:t>
      </w:r>
      <w:r w:rsidR="002F1C80" w:rsidRPr="001005B7">
        <w:t xml:space="preserve">when </w:t>
      </w:r>
      <w:r w:rsidR="00447673" w:rsidRPr="001005B7">
        <w:t>Ezekiel</w:t>
      </w:r>
      <w:r w:rsidR="002F1C80" w:rsidRPr="001005B7">
        <w:t xml:space="preserve"> reached the age of thirty, </w:t>
      </w:r>
      <w:r w:rsidR="006C1460" w:rsidRPr="001005B7">
        <w:t xml:space="preserve">as a priest </w:t>
      </w:r>
      <w:r w:rsidR="00C23409" w:rsidRPr="001005B7">
        <w:t>he</w:t>
      </w:r>
      <w:r w:rsidR="006C1460" w:rsidRPr="001005B7">
        <w:t xml:space="preserve"> </w:t>
      </w:r>
      <w:r w:rsidR="00E8410D" w:rsidRPr="001005B7">
        <w:t>c</w:t>
      </w:r>
      <w:r w:rsidR="006C1460" w:rsidRPr="001005B7">
        <w:t xml:space="preserve">ould have a ministry of </w:t>
      </w:r>
      <w:r w:rsidR="005925AB" w:rsidRPr="001005B7">
        <w:t xml:space="preserve">exhortation, </w:t>
      </w:r>
      <w:r w:rsidR="006C1460" w:rsidRPr="001005B7">
        <w:t>teaching</w:t>
      </w:r>
      <w:r w:rsidR="004047FC" w:rsidRPr="001005B7">
        <w:t xml:space="preserve">, </w:t>
      </w:r>
      <w:r w:rsidR="00882A69">
        <w:t xml:space="preserve">counseling, </w:t>
      </w:r>
      <w:r w:rsidR="004047FC" w:rsidRPr="001005B7">
        <w:t>and encouragement</w:t>
      </w:r>
      <w:r w:rsidR="006C1460" w:rsidRPr="001005B7">
        <w:t xml:space="preserve"> </w:t>
      </w:r>
      <w:r w:rsidR="00433E48" w:rsidRPr="001005B7">
        <w:t xml:space="preserve">to </w:t>
      </w:r>
      <w:r w:rsidR="00841C95" w:rsidRPr="001005B7">
        <w:t>the Judahites in</w:t>
      </w:r>
      <w:r w:rsidR="00433E48" w:rsidRPr="001005B7">
        <w:t xml:space="preserve"> </w:t>
      </w:r>
      <w:proofErr w:type="spellStart"/>
      <w:r w:rsidR="00433E48" w:rsidRPr="001005B7">
        <w:t>Keba</w:t>
      </w:r>
      <w:r w:rsidR="00882E6F" w:rsidRPr="001005B7">
        <w:t>r</w:t>
      </w:r>
      <w:proofErr w:type="spellEnd"/>
      <w:r w:rsidR="00954CC4" w:rsidRPr="001005B7">
        <w:t>.</w:t>
      </w:r>
      <w:r w:rsidR="005C4297" w:rsidRPr="001005B7">
        <w:rPr>
          <w:rStyle w:val="FootnoteReference"/>
        </w:rPr>
        <w:footnoteReference w:id="2"/>
      </w:r>
      <w:r w:rsidR="00433E48" w:rsidRPr="001005B7">
        <w:t xml:space="preserve"> </w:t>
      </w:r>
      <w:r w:rsidR="00954CC4" w:rsidRPr="001005B7">
        <w:t>A</w:t>
      </w:r>
      <w:r w:rsidR="00433E48" w:rsidRPr="001005B7">
        <w:t xml:space="preserve">t that point Yahweh gave him a more </w:t>
      </w:r>
      <w:r w:rsidR="0048570E" w:rsidRPr="001005B7">
        <w:t>specific</w:t>
      </w:r>
      <w:r w:rsidR="00C23409" w:rsidRPr="001005B7">
        <w:t xml:space="preserve"> and distinctive</w:t>
      </w:r>
      <w:r w:rsidR="00223879" w:rsidRPr="001005B7">
        <w:t xml:space="preserve"> commission</w:t>
      </w:r>
      <w:r w:rsidR="004047FC" w:rsidRPr="001005B7">
        <w:t xml:space="preserve"> </w:t>
      </w:r>
      <w:r w:rsidR="00AE6F6B" w:rsidRPr="001005B7">
        <w:t xml:space="preserve">of exhortation, </w:t>
      </w:r>
      <w:r w:rsidR="004C0D31" w:rsidRPr="001005B7">
        <w:t xml:space="preserve">teaching, </w:t>
      </w:r>
      <w:r w:rsidR="00193FBF">
        <w:t xml:space="preserve">counseling, </w:t>
      </w:r>
      <w:r w:rsidR="00AE6F6B" w:rsidRPr="001005B7">
        <w:t xml:space="preserve">and </w:t>
      </w:r>
      <w:r w:rsidR="00491C9F" w:rsidRPr="001005B7">
        <w:t>encouragement</w:t>
      </w:r>
      <w:r w:rsidR="00841C95" w:rsidRPr="001005B7">
        <w:t>,</w:t>
      </w:r>
      <w:r w:rsidR="00223879" w:rsidRPr="001005B7">
        <w:t xml:space="preserve"> as a prophet to </w:t>
      </w:r>
      <w:r w:rsidR="004047FC" w:rsidRPr="001005B7">
        <w:t>his</w:t>
      </w:r>
      <w:r w:rsidR="00223879" w:rsidRPr="001005B7">
        <w:t xml:space="preserve"> community</w:t>
      </w:r>
      <w:r w:rsidR="009C4DDE" w:rsidRPr="001005B7">
        <w:t xml:space="preserve">. </w:t>
      </w:r>
      <w:r w:rsidR="00F51930">
        <w:t>I</w:t>
      </w:r>
      <w:r w:rsidR="00193FBF">
        <w:t>n the scroll</w:t>
      </w:r>
      <w:r w:rsidR="00F51930">
        <w:t xml:space="preserve"> he describes how</w:t>
      </w:r>
      <w:r w:rsidR="00191AB1">
        <w:t xml:space="preserve"> he went about </w:t>
      </w:r>
      <w:r w:rsidR="006D4C33" w:rsidRPr="001005B7">
        <w:t>fulfill</w:t>
      </w:r>
      <w:r w:rsidR="00FF2A31">
        <w:t>ing</w:t>
      </w:r>
      <w:r w:rsidR="006D4C33" w:rsidRPr="001005B7">
        <w:t xml:space="preserve"> </w:t>
      </w:r>
      <w:r w:rsidR="009C4DDE" w:rsidRPr="001005B7">
        <w:t xml:space="preserve">this commission </w:t>
      </w:r>
      <w:r w:rsidR="006D4C33" w:rsidRPr="001005B7">
        <w:t>when</w:t>
      </w:r>
      <w:r w:rsidR="00804236">
        <w:t xml:space="preserve"> community </w:t>
      </w:r>
      <w:r w:rsidR="0071434D">
        <w:t>l</w:t>
      </w:r>
      <w:r w:rsidR="00804236">
        <w:t>eaders c</w:t>
      </w:r>
      <w:r w:rsidR="0071434D">
        <w:t>a</w:t>
      </w:r>
      <w:r w:rsidR="00804236">
        <w:t>me to consu</w:t>
      </w:r>
      <w:r w:rsidR="0071434D">
        <w:t>l</w:t>
      </w:r>
      <w:r w:rsidR="00804236">
        <w:t>t him</w:t>
      </w:r>
      <w:r w:rsidR="00916D46">
        <w:t>. P</w:t>
      </w:r>
      <w:r w:rsidR="00B10C63">
        <w:t>resumably</w:t>
      </w:r>
      <w:r w:rsidR="0071434D">
        <w:t xml:space="preserve"> on other occasions</w:t>
      </w:r>
      <w:r w:rsidR="00504900">
        <w:t xml:space="preserve"> </w:t>
      </w:r>
      <w:r w:rsidR="0071434D">
        <w:t>he took an init</w:t>
      </w:r>
      <w:r w:rsidR="00B10C63">
        <w:t>ia</w:t>
      </w:r>
      <w:r w:rsidR="0071434D">
        <w:t xml:space="preserve">tive in </w:t>
      </w:r>
      <w:r w:rsidR="006B0C08">
        <w:t xml:space="preserve">speaking </w:t>
      </w:r>
      <w:r w:rsidR="0071434D">
        <w:t>to the community</w:t>
      </w:r>
      <w:r w:rsidR="00F51930">
        <w:t>, perha</w:t>
      </w:r>
      <w:r w:rsidR="006B0C08">
        <w:t>p</w:t>
      </w:r>
      <w:r w:rsidR="00F51930">
        <w:t>s when it met for worship</w:t>
      </w:r>
      <w:r w:rsidR="006D4C33" w:rsidRPr="001005B7">
        <w:t xml:space="preserve"> or for other reasons</w:t>
      </w:r>
      <w:r w:rsidR="00BE5332" w:rsidRPr="001005B7">
        <w:t>.</w:t>
      </w:r>
    </w:p>
    <w:p w14:paraId="7C1DC9E2" w14:textId="2D9B0F7A" w:rsidR="00B808F3" w:rsidRPr="001005B7" w:rsidRDefault="00B808F3" w:rsidP="009C2F4D">
      <w:r w:rsidRPr="001005B7">
        <w:t>What</w:t>
      </w:r>
      <w:r w:rsidR="00907A85" w:rsidRPr="001005B7">
        <w:t xml:space="preserve"> </w:t>
      </w:r>
      <w:r w:rsidR="00AF0AF6" w:rsidRPr="001005B7">
        <w:t>would</w:t>
      </w:r>
      <w:r w:rsidR="00907A85" w:rsidRPr="001005B7">
        <w:t xml:space="preserve"> it mean to be</w:t>
      </w:r>
      <w:r w:rsidRPr="001005B7">
        <w:t xml:space="preserve"> a prophet? The variety among prophets suggests a wide range of answers. Ezekiel was a prophet to whom Yahweh gave visionary experiences, whom he grasped in a quasi-personal way, to whom </w:t>
      </w:r>
      <w:r w:rsidR="001043BF" w:rsidRPr="001005B7">
        <w:t>he</w:t>
      </w:r>
      <w:r w:rsidRPr="001005B7">
        <w:t xml:space="preserve"> gave messages </w:t>
      </w:r>
      <w:r w:rsidR="00FA6B2C">
        <w:t xml:space="preserve">for his community </w:t>
      </w:r>
      <w:r w:rsidRPr="001005B7">
        <w:t xml:space="preserve">that were designed to drive it to acknowledge </w:t>
      </w:r>
      <w:r w:rsidR="00A64C59" w:rsidRPr="001005B7">
        <w:t>Yahweh</w:t>
      </w:r>
      <w:r w:rsidRPr="001005B7">
        <w:t xml:space="preserve"> </w:t>
      </w:r>
      <w:r w:rsidR="009C2F4D" w:rsidRPr="001005B7">
        <w:t>(</w:t>
      </w:r>
      <w:r w:rsidRPr="001005B7">
        <w:t>messages often expressed in metaphors, parables,</w:t>
      </w:r>
      <w:r w:rsidR="00B4504E">
        <w:t>*</w:t>
      </w:r>
      <w:r w:rsidRPr="001005B7">
        <w:t xml:space="preserve"> and allegories</w:t>
      </w:r>
      <w:r w:rsidR="009C2F4D" w:rsidRPr="001005B7">
        <w:t>)</w:t>
      </w:r>
      <w:r w:rsidRPr="001005B7">
        <w:t>,</w:t>
      </w:r>
      <w:r w:rsidR="00B4504E">
        <w:t>*</w:t>
      </w:r>
      <w:r w:rsidRPr="001005B7">
        <w:t xml:space="preserve"> whom </w:t>
      </w:r>
      <w:r w:rsidR="002B02F9" w:rsidRPr="001005B7">
        <w:t>he</w:t>
      </w:r>
      <w:r w:rsidRPr="001005B7">
        <w:t xml:space="preserve"> instructed to enact his messages in symbolic dramas, whom </w:t>
      </w:r>
      <w:r w:rsidR="00984825" w:rsidRPr="001005B7">
        <w:t>he</w:t>
      </w:r>
      <w:r w:rsidRPr="001005B7">
        <w:t xml:space="preserve"> commissioned to confront Israel about its failure to live by the Torah, whom </w:t>
      </w:r>
      <w:r w:rsidR="00984825" w:rsidRPr="001005B7">
        <w:t>he</w:t>
      </w:r>
      <w:r w:rsidRPr="001005B7">
        <w:t xml:space="preserve"> informed about his intentions to attack Israel (and other peoples) but then to restore it.</w:t>
      </w:r>
    </w:p>
    <w:p w14:paraId="40FAD357" w14:textId="2A893C8B" w:rsidR="00B95624" w:rsidRPr="001005B7" w:rsidRDefault="00B95624" w:rsidP="00F154B9">
      <w:r w:rsidRPr="001005B7">
        <w:t xml:space="preserve">In </w:t>
      </w:r>
      <w:r w:rsidR="00C540A3" w:rsidRPr="001005B7">
        <w:t>his</w:t>
      </w:r>
      <w:r w:rsidRPr="001005B7">
        <w:t xml:space="preserve"> focus, Ezekiel compares with Jeremiah,</w:t>
      </w:r>
      <w:r w:rsidRPr="001005B7">
        <w:rPr>
          <w:rStyle w:val="FootnoteReference"/>
        </w:rPr>
        <w:footnoteReference w:id="3"/>
      </w:r>
      <w:r w:rsidRPr="001005B7">
        <w:t xml:space="preserve"> though more of the Jeremiah scroll belongs to the period before the fall of Jerusalem </w:t>
      </w:r>
      <w:r w:rsidR="00ED741D" w:rsidRPr="001005B7">
        <w:t xml:space="preserve">in 587 </w:t>
      </w:r>
      <w:r w:rsidRPr="001005B7">
        <w:t xml:space="preserve">and </w:t>
      </w:r>
      <w:r w:rsidR="00953FA0" w:rsidRPr="001005B7">
        <w:t xml:space="preserve">thus </w:t>
      </w:r>
      <w:r w:rsidR="00AB2F9E" w:rsidRPr="001005B7">
        <w:t xml:space="preserve">constitutes challenges to turn to </w:t>
      </w:r>
      <w:r w:rsidR="00E434DB" w:rsidRPr="001005B7">
        <w:t>Yahweh in order to forestall Yahweh taking action against J</w:t>
      </w:r>
      <w:r w:rsidR="00AD15E8" w:rsidRPr="001005B7">
        <w:t>udah</w:t>
      </w:r>
      <w:r w:rsidRPr="001005B7">
        <w:t>. A</w:t>
      </w:r>
      <w:r w:rsidR="00980973" w:rsidRPr="001005B7">
        <w:t>nd</w:t>
      </w:r>
      <w:r w:rsidRPr="001005B7">
        <w:t xml:space="preserve"> Jeremiah is in Jerusalem until his move to Egypt after 587, whereas Ezekiel is in Babylonia</w:t>
      </w:r>
      <w:r w:rsidR="00153769">
        <w:t xml:space="preserve">. Ezekiel is nevertheless </w:t>
      </w:r>
      <w:r w:rsidR="006E31CA">
        <w:t>preoccupied by Jerusalem, and either his community is also so pre</w:t>
      </w:r>
      <w:r w:rsidR="00944E56">
        <w:t>occupied, or he thinks they should be</w:t>
      </w:r>
      <w:r w:rsidR="00EF404C">
        <w:t>, because t</w:t>
      </w:r>
      <w:r w:rsidR="00944E56">
        <w:t xml:space="preserve">heir destiny </w:t>
      </w:r>
      <w:r w:rsidR="00B54A3E" w:rsidRPr="001005B7">
        <w:t>lies there</w:t>
      </w:r>
      <w:r w:rsidRPr="001005B7">
        <w:t>.</w:t>
      </w:r>
      <w:r w:rsidR="00BE7A87" w:rsidRPr="001005B7">
        <w:t xml:space="preserve"> Further, t</w:t>
      </w:r>
      <w:r w:rsidRPr="001005B7">
        <w:t>his prophet-priest has</w:t>
      </w:r>
      <w:r w:rsidR="00670A6A" w:rsidRPr="001005B7">
        <w:t xml:space="preserve"> more points of connection with the Torah than</w:t>
      </w:r>
      <w:r w:rsidRPr="001005B7">
        <w:t xml:space="preserve"> with Jeremiah</w:t>
      </w:r>
      <w:r w:rsidR="00F30C5C" w:rsidRPr="001005B7">
        <w:t>. H</w:t>
      </w:r>
      <w:r w:rsidR="00A50716" w:rsidRPr="001005B7">
        <w:t xml:space="preserve">e often </w:t>
      </w:r>
      <w:r w:rsidR="001A32A5" w:rsidRPr="001005B7">
        <w:t>reflects</w:t>
      </w:r>
      <w:r w:rsidRPr="001005B7">
        <w:t xml:space="preserve"> Leviticus</w:t>
      </w:r>
      <w:r w:rsidR="00F32741" w:rsidRPr="001005B7">
        <w:t xml:space="preserve">, </w:t>
      </w:r>
      <w:r w:rsidRPr="001005B7">
        <w:t xml:space="preserve">along with the second half of Exodus and Numbers </w:t>
      </w:r>
      <w:r w:rsidR="00F32741" w:rsidRPr="001005B7">
        <w:t>(</w:t>
      </w:r>
      <w:r w:rsidRPr="001005B7">
        <w:t>in other words,</w:t>
      </w:r>
      <w:r w:rsidR="00A50716" w:rsidRPr="001005B7">
        <w:t xml:space="preserve"> </w:t>
      </w:r>
      <w:r w:rsidRPr="001005B7">
        <w:t>the material that scholarly parlance designates as “Priestly” and as the “Holiness Code</w:t>
      </w:r>
      <w:r w:rsidR="00B576BD" w:rsidRPr="001005B7">
        <w:t>”</w:t>
      </w:r>
      <w:r w:rsidRPr="001005B7">
        <w:t>)</w:t>
      </w:r>
      <w:r w:rsidR="00B576BD" w:rsidRPr="001005B7">
        <w:t xml:space="preserve">. </w:t>
      </w:r>
      <w:r w:rsidR="00A94026" w:rsidRPr="001005B7">
        <w:t>L</w:t>
      </w:r>
      <w:r w:rsidR="00B576BD" w:rsidRPr="001005B7">
        <w:t>ike Jeremiah, he also</w:t>
      </w:r>
      <w:r w:rsidRPr="001005B7">
        <w:t xml:space="preserve"> </w:t>
      </w:r>
      <w:r w:rsidR="005832D5" w:rsidRPr="001005B7">
        <w:t>reflects</w:t>
      </w:r>
      <w:r w:rsidRPr="001005B7">
        <w:t xml:space="preserve"> Deuteronomy</w:t>
      </w:r>
      <w:r w:rsidR="005832D5" w:rsidRPr="001005B7">
        <w:t xml:space="preserve">. </w:t>
      </w:r>
      <w:r w:rsidR="000568DF" w:rsidRPr="001005B7">
        <w:t>But</w:t>
      </w:r>
      <w:r w:rsidR="007D4E86" w:rsidRPr="001005B7">
        <w:t xml:space="preserve"> u</w:t>
      </w:r>
      <w:r w:rsidRPr="001005B7">
        <w:t>ncertainty about the dating of material in the Torah opens up the possibility that the Torah reflects Ezekiel’s influence on it as well as vice versa. The comparison with Jeremiah and with the Torah highlights the complexity of Ezekiel’s person as both prophet and priest, and it is possible to put more emphasis on one or on the other.</w:t>
      </w:r>
      <w:r w:rsidRPr="001005B7">
        <w:rPr>
          <w:rStyle w:val="FootnoteReference"/>
        </w:rPr>
        <w:footnoteReference w:id="4"/>
      </w:r>
      <w:r w:rsidRPr="001005B7">
        <w:t xml:space="preserve"> </w:t>
      </w:r>
    </w:p>
    <w:p w14:paraId="41ED3FE9" w14:textId="42573802" w:rsidR="003E5146" w:rsidRPr="001005B7" w:rsidRDefault="003E5146" w:rsidP="003E5146">
      <w:r w:rsidRPr="001005B7">
        <w:t>Origen of Alexandr</w:t>
      </w:r>
      <w:r w:rsidR="002E7314" w:rsidRPr="001005B7">
        <w:t>ia</w:t>
      </w:r>
      <w:r w:rsidR="00D962BD" w:rsidRPr="001005B7">
        <w:t xml:space="preserve"> (</w:t>
      </w:r>
      <w:r w:rsidR="002E7314" w:rsidRPr="001005B7">
        <w:t>4</w:t>
      </w:r>
      <w:r w:rsidR="00D962BD" w:rsidRPr="001005B7">
        <w:t>14</w:t>
      </w:r>
      <w:r w:rsidR="00F46900" w:rsidRPr="001005B7">
        <w:t>–</w:t>
      </w:r>
      <w:r w:rsidR="00622434">
        <w:t>1</w:t>
      </w:r>
      <w:r w:rsidR="00D962BD" w:rsidRPr="001005B7">
        <w:t>5</w:t>
      </w:r>
      <w:r w:rsidR="002E7314" w:rsidRPr="001005B7">
        <w:t>) comments</w:t>
      </w:r>
      <w:r w:rsidRPr="001005B7">
        <w:t>:</w:t>
      </w:r>
    </w:p>
    <w:p w14:paraId="45B9A16A" w14:textId="07AED526" w:rsidR="003E5146" w:rsidRPr="001005B7" w:rsidRDefault="003E5146" w:rsidP="003E5146">
      <w:pPr>
        <w:pStyle w:val="Quote"/>
        <w:rPr>
          <w:rFonts w:ascii="MinionPro-Regular" w:hAnsi="MinionPro-Regular" w:cs="MinionPro-Regular"/>
          <w:color w:val="auto"/>
        </w:rPr>
      </w:pPr>
      <w:r w:rsidRPr="001005B7">
        <w:rPr>
          <w:color w:val="auto"/>
        </w:rPr>
        <w:t xml:space="preserve">Not all those who were led away in captivity to Babylon by Nebuchadnezzar </w:t>
      </w:r>
      <w:r w:rsidRPr="001005B7">
        <w:rPr>
          <w:rFonts w:ascii="MinionPro-Regular" w:hAnsi="MinionPro-Regular" w:cs="MinionPro-Regular"/>
          <w:color w:val="auto"/>
        </w:rPr>
        <w:t xml:space="preserve">went to Babylon because of sins.… The righteous among them did not—such as Daniel, Hananiah, Azariah, </w:t>
      </w:r>
      <w:proofErr w:type="spellStart"/>
      <w:r w:rsidRPr="001005B7">
        <w:rPr>
          <w:rFonts w:ascii="MinionPro-Regular" w:hAnsi="MinionPro-Regular" w:cs="MinionPro-Regular"/>
          <w:color w:val="auto"/>
        </w:rPr>
        <w:t>Mishael</w:t>
      </w:r>
      <w:proofErr w:type="spellEnd"/>
      <w:r w:rsidRPr="001005B7">
        <w:rPr>
          <w:rFonts w:ascii="MinionPro-Regular" w:hAnsi="MinionPro-Regular" w:cs="MinionPro-Regular"/>
          <w:color w:val="auto"/>
        </w:rPr>
        <w:t xml:space="preserve">, this Ezekiel [whom I am discussing], Zechariah, Haggai, and those like them. God, who is good, and who punishes sinners, and hands over into captivity those who are not able to be in the holy land because of their sins—for opposites cannot coexist—sends prophets along with them, so that the sinners may not be completely without help, when they have become captives. For on the assumption that the sinners had been led away to Babylon on the basis of their sin, and there had been no righteous ones among them, there was no [possibility of] healing for the sinners. Therefore, this was provided by [God’s] ineffable goodness. For he does not hand over sinners to complete abandonment, but rather watches over them through his holy ones, about whom he said, “You are the light of this world, and the salt of the earth”—he said this not only about the Apostles, but also about those who are like them. </w:t>
      </w:r>
    </w:p>
    <w:p w14:paraId="3BB0A57F" w14:textId="70BA4CAB" w:rsidR="00BA3175" w:rsidRPr="001005B7" w:rsidRDefault="007C4106" w:rsidP="00D108AF">
      <w:pPr>
        <w:rPr>
          <w:lang w:eastAsia="en-GB"/>
        </w:rPr>
      </w:pPr>
      <w:r w:rsidRPr="001005B7">
        <w:rPr>
          <w:lang w:eastAsia="en-GB"/>
        </w:rPr>
        <w:t>Ezekiel</w:t>
      </w:r>
      <w:r w:rsidR="00886AD2" w:rsidRPr="001005B7">
        <w:rPr>
          <w:lang w:eastAsia="en-GB"/>
        </w:rPr>
        <w:t xml:space="preserve"> fall</w:t>
      </w:r>
      <w:r w:rsidR="00123459">
        <w:rPr>
          <w:lang w:eastAsia="en-GB"/>
        </w:rPr>
        <w:t>s</w:t>
      </w:r>
      <w:r w:rsidR="00886AD2" w:rsidRPr="001005B7">
        <w:rPr>
          <w:lang w:eastAsia="en-GB"/>
        </w:rPr>
        <w:t xml:space="preserve"> on his face</w:t>
      </w:r>
      <w:r w:rsidR="00BA3175" w:rsidRPr="001005B7">
        <w:rPr>
          <w:lang w:eastAsia="en-GB"/>
        </w:rPr>
        <w:t xml:space="preserve"> </w:t>
      </w:r>
      <w:r w:rsidR="0040367C" w:rsidRPr="001005B7">
        <w:rPr>
          <w:lang w:eastAsia="en-GB"/>
        </w:rPr>
        <w:t>when</w:t>
      </w:r>
      <w:r w:rsidR="00BA3175" w:rsidRPr="001005B7">
        <w:rPr>
          <w:lang w:eastAsia="en-GB"/>
        </w:rPr>
        <w:t xml:space="preserve"> </w:t>
      </w:r>
      <w:r w:rsidR="0040367C" w:rsidRPr="001005B7">
        <w:rPr>
          <w:lang w:eastAsia="en-GB"/>
        </w:rPr>
        <w:t>Yahweh appears to him</w:t>
      </w:r>
      <w:r w:rsidR="00886AD2" w:rsidRPr="001005B7">
        <w:rPr>
          <w:lang w:eastAsia="en-GB"/>
        </w:rPr>
        <w:t>,</w:t>
      </w:r>
      <w:r w:rsidR="00BA3175" w:rsidRPr="001005B7">
        <w:rPr>
          <w:lang w:eastAsia="en-GB"/>
        </w:rPr>
        <w:t xml:space="preserve"> </w:t>
      </w:r>
      <w:r w:rsidR="00123459">
        <w:rPr>
          <w:lang w:eastAsia="en-GB"/>
        </w:rPr>
        <w:t xml:space="preserve">but </w:t>
      </w:r>
      <w:r w:rsidR="0040367C" w:rsidRPr="001005B7">
        <w:rPr>
          <w:lang w:eastAsia="en-GB"/>
        </w:rPr>
        <w:t>Yahweh</w:t>
      </w:r>
      <w:r w:rsidR="00BA3175" w:rsidRPr="001005B7">
        <w:rPr>
          <w:lang w:eastAsia="en-GB"/>
        </w:rPr>
        <w:t xml:space="preserve"> does not want </w:t>
      </w:r>
      <w:r w:rsidR="0040367C" w:rsidRPr="001005B7">
        <w:rPr>
          <w:lang w:eastAsia="en-GB"/>
        </w:rPr>
        <w:t xml:space="preserve">him </w:t>
      </w:r>
      <w:r w:rsidR="00BA3175" w:rsidRPr="001005B7">
        <w:rPr>
          <w:lang w:eastAsia="en-GB"/>
        </w:rPr>
        <w:t>to stay there</w:t>
      </w:r>
      <w:r w:rsidR="00370AD3" w:rsidRPr="001005B7">
        <w:rPr>
          <w:lang w:eastAsia="en-GB"/>
        </w:rPr>
        <w:t>. H</w:t>
      </w:r>
      <w:r w:rsidR="00BA3175" w:rsidRPr="001005B7">
        <w:rPr>
          <w:lang w:eastAsia="en-GB"/>
        </w:rPr>
        <w:t xml:space="preserve">e has something for him to do (1:28). </w:t>
      </w:r>
      <w:r w:rsidR="0063683C" w:rsidRPr="001005B7">
        <w:rPr>
          <w:lang w:eastAsia="en-GB"/>
        </w:rPr>
        <w:t>H</w:t>
      </w:r>
      <w:r w:rsidR="00B34700">
        <w:rPr>
          <w:lang w:eastAsia="en-GB"/>
        </w:rPr>
        <w:t xml:space="preserve">e </w:t>
      </w:r>
      <w:r w:rsidR="0063683C" w:rsidRPr="001005B7">
        <w:rPr>
          <w:lang w:eastAsia="en-GB"/>
        </w:rPr>
        <w:t>appear</w:t>
      </w:r>
      <w:r w:rsidR="00B34700">
        <w:rPr>
          <w:lang w:eastAsia="en-GB"/>
        </w:rPr>
        <w:t>s</w:t>
      </w:r>
      <w:r w:rsidR="008B6F51" w:rsidRPr="001005B7">
        <w:rPr>
          <w:lang w:eastAsia="en-GB"/>
        </w:rPr>
        <w:t xml:space="preserve"> to this one person</w:t>
      </w:r>
      <w:r w:rsidR="00BA3175" w:rsidRPr="001005B7">
        <w:rPr>
          <w:lang w:eastAsia="en-GB"/>
        </w:rPr>
        <w:t xml:space="preserve"> </w:t>
      </w:r>
      <w:r w:rsidR="00B34700">
        <w:rPr>
          <w:lang w:eastAsia="en-GB"/>
        </w:rPr>
        <w:t xml:space="preserve">so </w:t>
      </w:r>
      <w:r w:rsidR="00BA3175" w:rsidRPr="001005B7">
        <w:rPr>
          <w:lang w:eastAsia="en-GB"/>
        </w:rPr>
        <w:t xml:space="preserve">that </w:t>
      </w:r>
      <w:r w:rsidR="00326F4F" w:rsidRPr="001005B7">
        <w:rPr>
          <w:lang w:eastAsia="en-GB"/>
        </w:rPr>
        <w:t>he</w:t>
      </w:r>
      <w:r w:rsidR="00BA3175" w:rsidRPr="001005B7">
        <w:rPr>
          <w:lang w:eastAsia="en-GB"/>
        </w:rPr>
        <w:t xml:space="preserve"> may then speak in his name to other people. The Scriptures do not answer the question why </w:t>
      </w:r>
      <w:r w:rsidR="00E37FA1">
        <w:rPr>
          <w:lang w:eastAsia="en-GB"/>
        </w:rPr>
        <w:t>Yahweh</w:t>
      </w:r>
      <w:r w:rsidR="00BA3175" w:rsidRPr="001005B7">
        <w:rPr>
          <w:lang w:eastAsia="en-GB"/>
        </w:rPr>
        <w:t xml:space="preserve"> does not speak to everyone all at once</w:t>
      </w:r>
      <w:r w:rsidR="002A3F84">
        <w:rPr>
          <w:lang w:eastAsia="en-GB"/>
        </w:rPr>
        <w:t>. P</w:t>
      </w:r>
      <w:r w:rsidR="00956E30" w:rsidRPr="001005B7">
        <w:rPr>
          <w:lang w:eastAsia="en-GB"/>
        </w:rPr>
        <w:t>ossibly</w:t>
      </w:r>
      <w:r w:rsidR="00961B1B" w:rsidRPr="001005B7">
        <w:rPr>
          <w:lang w:eastAsia="en-GB"/>
        </w:rPr>
        <w:t xml:space="preserve"> the idea </w:t>
      </w:r>
      <w:r w:rsidR="002A3F84">
        <w:rPr>
          <w:lang w:eastAsia="en-GB"/>
        </w:rPr>
        <w:t xml:space="preserve">would </w:t>
      </w:r>
      <w:r w:rsidR="00961B1B" w:rsidRPr="001005B7">
        <w:rPr>
          <w:lang w:eastAsia="en-GB"/>
        </w:rPr>
        <w:t>scare people (Exod 20:19).</w:t>
      </w:r>
      <w:r w:rsidR="00851C0E" w:rsidRPr="001005B7">
        <w:rPr>
          <w:lang w:eastAsia="en-GB"/>
        </w:rPr>
        <w:t xml:space="preserve"> </w:t>
      </w:r>
      <w:r w:rsidR="002A3F84">
        <w:rPr>
          <w:lang w:eastAsia="en-GB"/>
        </w:rPr>
        <w:t xml:space="preserve">But </w:t>
      </w:r>
      <w:r w:rsidR="00BA3175" w:rsidRPr="001005B7">
        <w:rPr>
          <w:lang w:eastAsia="en-GB"/>
        </w:rPr>
        <w:t xml:space="preserve">Yahweh touches </w:t>
      </w:r>
      <w:r w:rsidR="003840E9" w:rsidRPr="001005B7">
        <w:rPr>
          <w:lang w:eastAsia="en-GB"/>
        </w:rPr>
        <w:t>Ezekiel</w:t>
      </w:r>
      <w:r w:rsidR="00BA3175" w:rsidRPr="001005B7">
        <w:rPr>
          <w:lang w:eastAsia="en-GB"/>
        </w:rPr>
        <w:t xml:space="preserve"> in a forceful way</w:t>
      </w:r>
      <w:r w:rsidR="00B069B3" w:rsidRPr="001005B7">
        <w:rPr>
          <w:lang w:eastAsia="en-GB"/>
        </w:rPr>
        <w:t xml:space="preserve"> to</w:t>
      </w:r>
      <w:r w:rsidR="00BA3175" w:rsidRPr="001005B7">
        <w:rPr>
          <w:lang w:eastAsia="en-GB"/>
        </w:rPr>
        <w:t xml:space="preserve"> propel him into action</w:t>
      </w:r>
      <w:r w:rsidR="00851C0E" w:rsidRPr="001005B7">
        <w:rPr>
          <w:lang w:eastAsia="en-GB"/>
        </w:rPr>
        <w:t>, a</w:t>
      </w:r>
      <w:r w:rsidR="00BA3175" w:rsidRPr="001005B7">
        <w:rPr>
          <w:lang w:eastAsia="en-GB"/>
        </w:rPr>
        <w:t>nd urges him not to be rebellious like his people</w:t>
      </w:r>
      <w:r w:rsidR="00AA2727" w:rsidRPr="001005B7">
        <w:rPr>
          <w:lang w:eastAsia="en-GB"/>
        </w:rPr>
        <w:t xml:space="preserve">. </w:t>
      </w:r>
      <w:r w:rsidR="0038389A">
        <w:rPr>
          <w:lang w:eastAsia="en-GB"/>
        </w:rPr>
        <w:t>He</w:t>
      </w:r>
      <w:r w:rsidR="00AA2727" w:rsidRPr="001005B7">
        <w:rPr>
          <w:lang w:eastAsia="en-GB"/>
        </w:rPr>
        <w:t xml:space="preserve"> is</w:t>
      </w:r>
      <w:r w:rsidR="00613472" w:rsidRPr="001005B7">
        <w:rPr>
          <w:lang w:eastAsia="en-GB"/>
        </w:rPr>
        <w:t xml:space="preserve"> not to </w:t>
      </w:r>
      <w:r w:rsidR="00BA3175" w:rsidRPr="001005B7">
        <w:rPr>
          <w:lang w:eastAsia="en-GB"/>
        </w:rPr>
        <w:t>be scared of them</w:t>
      </w:r>
      <w:r w:rsidR="007B2094">
        <w:rPr>
          <w:lang w:eastAsia="en-GB"/>
        </w:rPr>
        <w:t>. It</w:t>
      </w:r>
      <w:r w:rsidR="00BA3175" w:rsidRPr="001005B7">
        <w:rPr>
          <w:lang w:eastAsia="en-GB"/>
        </w:rPr>
        <w:t xml:space="preserve"> could be a temptation, because he is to talk confrontational. </w:t>
      </w:r>
      <w:r w:rsidR="007E2E01" w:rsidRPr="001005B7">
        <w:rPr>
          <w:lang w:eastAsia="en-GB"/>
        </w:rPr>
        <w:t xml:space="preserve">He is </w:t>
      </w:r>
      <w:r w:rsidR="00BA3175" w:rsidRPr="001005B7">
        <w:rPr>
          <w:lang w:eastAsia="en-GB"/>
        </w:rPr>
        <w:t xml:space="preserve">to digest Yahweh’s </w:t>
      </w:r>
      <w:r w:rsidR="007B2094">
        <w:rPr>
          <w:lang w:eastAsia="en-GB"/>
        </w:rPr>
        <w:t xml:space="preserve">confrontational </w:t>
      </w:r>
      <w:r w:rsidR="00BA3175" w:rsidRPr="001005B7">
        <w:rPr>
          <w:lang w:eastAsia="en-GB"/>
        </w:rPr>
        <w:t xml:space="preserve">message and share it with them, assimilating Yahweh’s bitter fury and sharing it, </w:t>
      </w:r>
      <w:r w:rsidR="007E2E01" w:rsidRPr="001005B7">
        <w:rPr>
          <w:lang w:eastAsia="en-GB"/>
        </w:rPr>
        <w:t>even though</w:t>
      </w:r>
      <w:r w:rsidR="00BA3175" w:rsidRPr="001005B7">
        <w:rPr>
          <w:lang w:eastAsia="en-GB"/>
        </w:rPr>
        <w:t xml:space="preserve"> being devastated by it. He needs to be tough, like them. </w:t>
      </w:r>
    </w:p>
    <w:p w14:paraId="68E2EA5B" w14:textId="327288B7" w:rsidR="00BA3175" w:rsidRPr="001005B7" w:rsidRDefault="00BA3175" w:rsidP="003810F6">
      <w:pPr>
        <w:rPr>
          <w:lang w:eastAsia="en-GB"/>
        </w:rPr>
      </w:pPr>
      <w:r w:rsidRPr="001005B7">
        <w:rPr>
          <w:lang w:eastAsia="en-GB"/>
        </w:rPr>
        <w:t>His responsibility is to be a lookout, for individuals as well as for the people (3:16</w:t>
      </w:r>
      <w:r w:rsidR="00F46900" w:rsidRPr="001005B7">
        <w:rPr>
          <w:lang w:eastAsia="en-GB"/>
        </w:rPr>
        <w:t>–</w:t>
      </w:r>
      <w:r w:rsidRPr="001005B7">
        <w:rPr>
          <w:lang w:eastAsia="en-GB"/>
        </w:rPr>
        <w:t>21). A</w:t>
      </w:r>
      <w:r w:rsidR="0042505C" w:rsidRPr="001005B7">
        <w:rPr>
          <w:lang w:eastAsia="en-GB"/>
        </w:rPr>
        <w:t>s</w:t>
      </w:r>
      <w:r w:rsidRPr="001005B7">
        <w:rPr>
          <w:lang w:eastAsia="en-GB"/>
        </w:rPr>
        <w:t xml:space="preserve"> a lookout, he </w:t>
      </w:r>
      <w:r w:rsidR="00F7464B" w:rsidRPr="001005B7">
        <w:rPr>
          <w:lang w:eastAsia="en-GB"/>
        </w:rPr>
        <w:t xml:space="preserve">will </w:t>
      </w:r>
      <w:r w:rsidRPr="001005B7">
        <w:rPr>
          <w:lang w:eastAsia="en-GB"/>
        </w:rPr>
        <w:t xml:space="preserve">see what is coming and warn people so </w:t>
      </w:r>
      <w:r w:rsidR="00EE6572" w:rsidRPr="001005B7">
        <w:rPr>
          <w:lang w:eastAsia="en-GB"/>
        </w:rPr>
        <w:t xml:space="preserve">that </w:t>
      </w:r>
      <w:r w:rsidRPr="001005B7">
        <w:rPr>
          <w:lang w:eastAsia="en-GB"/>
        </w:rPr>
        <w:t>they can take appropriate action. His words concern what Yahweh intends to do in their life</w:t>
      </w:r>
      <w:r w:rsidR="00236F84" w:rsidRPr="001005B7">
        <w:rPr>
          <w:lang w:eastAsia="en-GB"/>
        </w:rPr>
        <w:t>,</w:t>
      </w:r>
      <w:r w:rsidRPr="001005B7">
        <w:rPr>
          <w:lang w:eastAsia="en-GB"/>
        </w:rPr>
        <w:t xml:space="preserve"> and the implications of those intentions for their life now. </w:t>
      </w:r>
      <w:r w:rsidR="00EE6572" w:rsidRPr="001005B7">
        <w:rPr>
          <w:lang w:eastAsia="en-GB"/>
        </w:rPr>
        <w:t xml:space="preserve">He appeals to </w:t>
      </w:r>
      <w:r w:rsidR="009844A4" w:rsidRPr="001005B7">
        <w:rPr>
          <w:lang w:eastAsia="en-GB"/>
        </w:rPr>
        <w:t>their</w:t>
      </w:r>
      <w:r w:rsidR="00EE6572" w:rsidRPr="001005B7">
        <w:rPr>
          <w:lang w:eastAsia="en-GB"/>
        </w:rPr>
        <w:t xml:space="preserve"> imagination as well as their brains. </w:t>
      </w:r>
      <w:r w:rsidR="009844A4" w:rsidRPr="001005B7">
        <w:rPr>
          <w:lang w:eastAsia="en-GB"/>
        </w:rPr>
        <w:t>He</w:t>
      </w:r>
      <w:r w:rsidR="00EE6572" w:rsidRPr="001005B7">
        <w:rPr>
          <w:lang w:eastAsia="en-GB"/>
        </w:rPr>
        <w:t xml:space="preserve"> models things and describes himself modeling things. He is a sign or portent for th</w:t>
      </w:r>
      <w:r w:rsidR="009844A4" w:rsidRPr="001005B7">
        <w:rPr>
          <w:lang w:eastAsia="en-GB"/>
        </w:rPr>
        <w:t>e people</w:t>
      </w:r>
      <w:r w:rsidR="00EE6572" w:rsidRPr="001005B7">
        <w:rPr>
          <w:lang w:eastAsia="en-GB"/>
        </w:rPr>
        <w:t>. And he is a means of God doing things. His words are performative. He makes things happen.</w:t>
      </w:r>
      <w:r w:rsidR="003F7722" w:rsidRPr="001005B7">
        <w:rPr>
          <w:lang w:eastAsia="en-GB"/>
        </w:rPr>
        <w:t xml:space="preserve"> </w:t>
      </w:r>
      <w:r w:rsidRPr="001005B7">
        <w:rPr>
          <w:lang w:eastAsia="en-GB"/>
        </w:rPr>
        <w:t xml:space="preserve">But </w:t>
      </w:r>
      <w:r w:rsidR="004320E7" w:rsidRPr="001005B7">
        <w:rPr>
          <w:lang w:eastAsia="en-GB"/>
        </w:rPr>
        <w:t xml:space="preserve">his </w:t>
      </w:r>
      <w:r w:rsidR="00D26705" w:rsidRPr="001005B7">
        <w:rPr>
          <w:lang w:eastAsia="en-GB"/>
        </w:rPr>
        <w:t>immediate</w:t>
      </w:r>
      <w:r w:rsidRPr="001005B7">
        <w:rPr>
          <w:lang w:eastAsia="en-GB"/>
        </w:rPr>
        <w:t xml:space="preserve"> job is to build up the ruins of Judah before more devastation arrives. If he fail</w:t>
      </w:r>
      <w:r w:rsidR="0043661E" w:rsidRPr="001005B7">
        <w:rPr>
          <w:lang w:eastAsia="en-GB"/>
        </w:rPr>
        <w:t>s</w:t>
      </w:r>
      <w:r w:rsidRPr="001005B7">
        <w:rPr>
          <w:lang w:eastAsia="en-GB"/>
        </w:rPr>
        <w:t xml:space="preserve"> to fulfill this responsibility, he w</w:t>
      </w:r>
      <w:r w:rsidR="009A4FF7" w:rsidRPr="001005B7">
        <w:rPr>
          <w:lang w:eastAsia="en-GB"/>
        </w:rPr>
        <w:t>ill</w:t>
      </w:r>
      <w:r w:rsidRPr="001005B7">
        <w:rPr>
          <w:lang w:eastAsia="en-GB"/>
        </w:rPr>
        <w:t xml:space="preserve"> risk his own life. </w:t>
      </w:r>
      <w:r w:rsidR="00BE6AC8" w:rsidRPr="001005B7">
        <w:rPr>
          <w:lang w:eastAsia="en-GB"/>
        </w:rPr>
        <w:t>H</w:t>
      </w:r>
      <w:r w:rsidRPr="001005B7">
        <w:rPr>
          <w:lang w:eastAsia="en-GB"/>
        </w:rPr>
        <w:t>e is to continue to speak whether or not they listen (2:7).</w:t>
      </w:r>
      <w:r w:rsidR="003810F6" w:rsidRPr="001005B7">
        <w:rPr>
          <w:lang w:eastAsia="en-GB"/>
        </w:rPr>
        <w:t xml:space="preserve"> He describes his responsibility in this way not so that</w:t>
      </w:r>
      <w:r w:rsidRPr="001005B7">
        <w:rPr>
          <w:lang w:eastAsia="en-GB"/>
        </w:rPr>
        <w:t xml:space="preserve"> other Israelites or Christians may see themselves </w:t>
      </w:r>
      <w:r w:rsidR="00FB1ED8" w:rsidRPr="001005B7">
        <w:rPr>
          <w:lang w:eastAsia="en-GB"/>
        </w:rPr>
        <w:t xml:space="preserve">as prophets </w:t>
      </w:r>
      <w:r w:rsidRPr="001005B7">
        <w:rPr>
          <w:lang w:eastAsia="en-GB"/>
        </w:rPr>
        <w:t xml:space="preserve">or see their contemporaries </w:t>
      </w:r>
      <w:r w:rsidR="00FB1ED8" w:rsidRPr="001005B7">
        <w:rPr>
          <w:lang w:eastAsia="en-GB"/>
        </w:rPr>
        <w:t xml:space="preserve">that way, but to </w:t>
      </w:r>
      <w:r w:rsidR="002402FC" w:rsidRPr="001005B7">
        <w:rPr>
          <w:lang w:eastAsia="en-GB"/>
        </w:rPr>
        <w:t>spur</w:t>
      </w:r>
      <w:r w:rsidR="00E53C0F" w:rsidRPr="001005B7">
        <w:rPr>
          <w:lang w:eastAsia="en-GB"/>
        </w:rPr>
        <w:t xml:space="preserve"> them</w:t>
      </w:r>
      <w:r w:rsidRPr="001005B7">
        <w:rPr>
          <w:lang w:eastAsia="en-GB"/>
        </w:rPr>
        <w:t xml:space="preserve"> </w:t>
      </w:r>
      <w:r w:rsidR="00E53C0F" w:rsidRPr="001005B7">
        <w:rPr>
          <w:lang w:eastAsia="en-GB"/>
        </w:rPr>
        <w:t>to</w:t>
      </w:r>
      <w:r w:rsidRPr="001005B7">
        <w:rPr>
          <w:lang w:eastAsia="en-GB"/>
        </w:rPr>
        <w:t xml:space="preserve"> pay serious heed to this prophet’s message. </w:t>
      </w:r>
    </w:p>
    <w:p w14:paraId="5EBF4E90" w14:textId="523593CC" w:rsidR="00BA3175" w:rsidRPr="001005B7" w:rsidRDefault="00BA3175" w:rsidP="008A1A9C">
      <w:r w:rsidRPr="001005B7">
        <w:t xml:space="preserve">Prophets </w:t>
      </w:r>
      <w:r w:rsidR="00181E8C" w:rsidRPr="001005B7">
        <w:t xml:space="preserve">sometimes </w:t>
      </w:r>
      <w:r w:rsidRPr="001005B7">
        <w:t xml:space="preserve">have distinctive ways of speaking. </w:t>
      </w:r>
      <w:r w:rsidR="00370AD3" w:rsidRPr="001005B7">
        <w:rPr>
          <w:lang w:eastAsia="en-GB"/>
        </w:rPr>
        <w:t>Ezekiel</w:t>
      </w:r>
      <w:r w:rsidR="00B97412" w:rsidRPr="001005B7">
        <w:rPr>
          <w:lang w:eastAsia="en-GB"/>
        </w:rPr>
        <w:t xml:space="preserve"> </w:t>
      </w:r>
      <w:r w:rsidR="003147D5" w:rsidRPr="001005B7">
        <w:rPr>
          <w:lang w:eastAsia="en-GB"/>
        </w:rPr>
        <w:t>repeats</w:t>
      </w:r>
      <w:r w:rsidR="00B56F93" w:rsidRPr="001005B7">
        <w:rPr>
          <w:lang w:eastAsia="en-GB"/>
        </w:rPr>
        <w:t xml:space="preserve"> that people are going to </w:t>
      </w:r>
      <w:r w:rsidR="00B56F93" w:rsidRPr="001005B7">
        <w:t>“acknowledge that Yahweh is God</w:t>
      </w:r>
      <w:r w:rsidR="00E230BC" w:rsidRPr="001005B7">
        <w:t>,”</w:t>
      </w:r>
      <w:r w:rsidR="00370AD3" w:rsidRPr="001005B7">
        <w:rPr>
          <w:lang w:eastAsia="en-GB"/>
        </w:rPr>
        <w:t xml:space="preserve"> either through </w:t>
      </w:r>
      <w:r w:rsidR="003147D5" w:rsidRPr="001005B7">
        <w:rPr>
          <w:lang w:eastAsia="en-GB"/>
        </w:rPr>
        <w:t>Yahweh’s</w:t>
      </w:r>
      <w:r w:rsidR="00370AD3" w:rsidRPr="001005B7">
        <w:rPr>
          <w:lang w:eastAsia="en-GB"/>
        </w:rPr>
        <w:t xml:space="preserve"> acting against them or through his restoring them.</w:t>
      </w:r>
      <w:r w:rsidRPr="001005B7">
        <w:t xml:space="preserve"> In introducing his messages, he characteristically says not merely that “Yahweh has said this” but that “the Lord Yahweh has said this,” emphasizing </w:t>
      </w:r>
      <w:r w:rsidR="00676633" w:rsidRPr="001005B7">
        <w:t>Yahweh’s</w:t>
      </w:r>
      <w:r w:rsidRPr="001005B7">
        <w:t xml:space="preserve"> sovereignty</w:t>
      </w:r>
      <w:r w:rsidR="002E0D53">
        <w:t xml:space="preserve"> (</w:t>
      </w:r>
      <w:r w:rsidR="00D5446E">
        <w:t>some of the significance of t</w:t>
      </w:r>
      <w:r w:rsidR="002E0D53" w:rsidRPr="001005B7">
        <w:t>his usage is obscured by the convention in English translations</w:t>
      </w:r>
      <w:r w:rsidR="00D5446E">
        <w:t xml:space="preserve">, </w:t>
      </w:r>
      <w:r w:rsidR="002E0D53" w:rsidRPr="001005B7">
        <w:t xml:space="preserve">following Q, </w:t>
      </w:r>
      <w:r w:rsidR="002E0D53" w:rsidRPr="001005B7">
        <w:rPr>
          <w:sz w:val="18"/>
          <w:szCs w:val="18"/>
        </w:rPr>
        <w:t>LXX</w:t>
      </w:r>
      <w:r w:rsidR="002E0D53" w:rsidRPr="001005B7">
        <w:t>, and Vg.</w:t>
      </w:r>
      <w:r w:rsidR="00D5446E">
        <w:t>,</w:t>
      </w:r>
      <w:r w:rsidR="002E0D53" w:rsidRPr="001005B7">
        <w:t xml:space="preserve"> of replacing the name Yahweh by a word for Lord</w:t>
      </w:r>
      <w:r w:rsidR="00DD729E">
        <w:t>)</w:t>
      </w:r>
      <w:r w:rsidRPr="001005B7">
        <w:t xml:space="preserve">. </w:t>
      </w:r>
      <w:r w:rsidR="00E742F2" w:rsidRPr="001005B7">
        <w:t>On the other hand, he hardly uses the word “king” for Yahweh</w:t>
      </w:r>
      <w:r w:rsidR="001A267D">
        <w:t>,</w:t>
      </w:r>
      <w:r w:rsidR="00E742F2" w:rsidRPr="001005B7">
        <w:t xml:space="preserve"> or for a</w:t>
      </w:r>
      <w:r w:rsidR="00A14B90" w:rsidRPr="001005B7">
        <w:t xml:space="preserve"> Judahite</w:t>
      </w:r>
      <w:r w:rsidR="00E742F2" w:rsidRPr="001005B7">
        <w:t xml:space="preserve"> king</w:t>
      </w:r>
      <w:r w:rsidR="00867C4B" w:rsidRPr="001005B7">
        <w:t>, for whom he</w:t>
      </w:r>
      <w:r w:rsidR="00E742F2" w:rsidRPr="001005B7">
        <w:t xml:space="preserve"> prefers the word “prince</w:t>
      </w:r>
      <w:r w:rsidR="00034F41" w:rsidRPr="001005B7">
        <w:t>” (</w:t>
      </w:r>
      <w:r w:rsidR="007E5DD9" w:rsidRPr="001005B7">
        <w:rPr>
          <w:rFonts w:cstheme="minorHAnsi"/>
          <w:rtl/>
          <w:lang w:bidi="he-IL"/>
        </w:rPr>
        <w:t>נָשִֺיא</w:t>
      </w:r>
      <w:r w:rsidR="007E5DD9" w:rsidRPr="001005B7">
        <w:t xml:space="preserve">). </w:t>
      </w:r>
      <w:r w:rsidRPr="001005B7">
        <w:t xml:space="preserve">Yahweh has a distinctive term for Ezekiel as </w:t>
      </w:r>
      <w:r w:rsidRPr="001005B7">
        <w:rPr>
          <w:rFonts w:cstheme="minorHAnsi"/>
          <w:rtl/>
          <w:lang w:bidi="he-IL"/>
        </w:rPr>
        <w:t>בֶּן אׇדׇם</w:t>
      </w:r>
      <w:r w:rsidR="00D3329B" w:rsidRPr="001005B7">
        <w:t xml:space="preserve">, </w:t>
      </w:r>
      <w:r w:rsidRPr="001005B7">
        <w:t>literally “son of man”</w:t>
      </w:r>
      <w:r w:rsidR="00D3329B" w:rsidRPr="001005B7">
        <w:t xml:space="preserve"> (see the verse-by-verse commentary on 2:1). </w:t>
      </w:r>
      <w:r w:rsidR="00A802A6" w:rsidRPr="001005B7">
        <w:t>His</w:t>
      </w:r>
      <w:r w:rsidRPr="001005B7">
        <w:t xml:space="preserve"> distinctive term for Israel is as a “household,” commonly in the distinctive combination “rebellious household.” </w:t>
      </w:r>
      <w:r w:rsidR="00C95BEA" w:rsidRPr="001005B7">
        <w:t>Ezekiel’s</w:t>
      </w:r>
      <w:r w:rsidR="00D3329B" w:rsidRPr="001005B7">
        <w:t xml:space="preserve"> links with the Torah extend to his speaking much about</w:t>
      </w:r>
      <w:r w:rsidRPr="001005B7">
        <w:t xml:space="preserve"> sacredness and ordinariness and </w:t>
      </w:r>
      <w:r w:rsidR="00D3329B" w:rsidRPr="001005B7">
        <w:t>about</w:t>
      </w:r>
      <w:r w:rsidRPr="001005B7">
        <w:t xml:space="preserve"> cleanness and defilement</w:t>
      </w:r>
      <w:r w:rsidR="00D3329B" w:rsidRPr="001005B7">
        <w:t>, and also about</w:t>
      </w:r>
      <w:r w:rsidRPr="001005B7">
        <w:t xml:space="preserve"> “outrage” (</w:t>
      </w:r>
      <w:r w:rsidR="00D3329B" w:rsidRPr="001005B7">
        <w:rPr>
          <w:rFonts w:cstheme="minorHAnsi"/>
          <w:rtl/>
          <w:lang w:bidi="he-IL"/>
        </w:rPr>
        <w:t>תּוֺעֵבָה</w:t>
      </w:r>
      <w:r w:rsidR="00D3329B" w:rsidRPr="001005B7">
        <w:t xml:space="preserve">, </w:t>
      </w:r>
      <w:r w:rsidRPr="001005B7">
        <w:t>traditionally, “abomination</w:t>
      </w:r>
      <w:r w:rsidR="00D3329B" w:rsidRPr="001005B7">
        <w:t>)</w:t>
      </w:r>
      <w:r w:rsidR="00C90B14" w:rsidRPr="001005B7">
        <w:t>.</w:t>
      </w:r>
      <w:r w:rsidRPr="001005B7">
        <w:t xml:space="preserve">” </w:t>
      </w:r>
      <w:r w:rsidR="00C90B14" w:rsidRPr="001005B7">
        <w:t>H</w:t>
      </w:r>
      <w:r w:rsidR="00D3329B" w:rsidRPr="001005B7">
        <w:t>e has his own favorite term for idols, “lumps” (</w:t>
      </w:r>
      <w:r w:rsidR="00D3329B" w:rsidRPr="001005B7">
        <w:rPr>
          <w:rFonts w:cstheme="minorHAnsi"/>
          <w:rtl/>
          <w:lang w:bidi="he-IL"/>
        </w:rPr>
        <w:t>גִּלּוִּים</w:t>
      </w:r>
      <w:r w:rsidR="00255BF7" w:rsidRPr="001005B7">
        <w:t>)</w:t>
      </w:r>
      <w:r w:rsidR="002957AA">
        <w:rPr>
          <w:lang w:eastAsia="en-GB"/>
        </w:rPr>
        <w:t>.</w:t>
      </w:r>
      <w:r w:rsidR="00255BF7" w:rsidRPr="001005B7">
        <w:t xml:space="preserve"> He never refers to Zion and </w:t>
      </w:r>
      <w:r w:rsidR="0025784F">
        <w:t xml:space="preserve">he </w:t>
      </w:r>
      <w:r w:rsidRPr="001005B7">
        <w:t xml:space="preserve">speaks little of love or </w:t>
      </w:r>
      <w:r w:rsidR="0025784F">
        <w:t xml:space="preserve">about </w:t>
      </w:r>
      <w:r w:rsidRPr="001005B7">
        <w:t>commitment (</w:t>
      </w:r>
      <w:r w:rsidRPr="001005B7">
        <w:rPr>
          <w:rFonts w:cstheme="minorHAnsi"/>
          <w:rtl/>
          <w:lang w:bidi="he-IL"/>
        </w:rPr>
        <w:t>חֶסֶד</w:t>
      </w:r>
      <w:r w:rsidRPr="001005B7">
        <w:t>, traditionally “steadfast love”)</w:t>
      </w:r>
      <w:r w:rsidR="00C715F1" w:rsidRPr="001005B7">
        <w:t xml:space="preserve">, though </w:t>
      </w:r>
      <w:r w:rsidR="0044533A" w:rsidRPr="001005B7">
        <w:t xml:space="preserve">his </w:t>
      </w:r>
      <w:r w:rsidR="00466B4A" w:rsidRPr="001005B7">
        <w:t xml:space="preserve">not using such words might </w:t>
      </w:r>
      <w:r w:rsidR="00C715F1" w:rsidRPr="001005B7">
        <w:t>in itself not mean he</w:t>
      </w:r>
      <w:r w:rsidR="002746FA" w:rsidRPr="001005B7">
        <w:t xml:space="preserve"> is </w:t>
      </w:r>
      <w:r w:rsidR="00466B4A" w:rsidRPr="001005B7">
        <w:t>un</w:t>
      </w:r>
      <w:r w:rsidR="002746FA" w:rsidRPr="001005B7">
        <w:t>interested in the attitude</w:t>
      </w:r>
      <w:r w:rsidR="00034F41" w:rsidRPr="001005B7">
        <w:t xml:space="preserve"> </w:t>
      </w:r>
      <w:r w:rsidR="008A1A9C" w:rsidRPr="001005B7">
        <w:t>that</w:t>
      </w:r>
      <w:r w:rsidR="00391440">
        <w:t xml:space="preserve"> </w:t>
      </w:r>
      <w:r w:rsidR="002746FA" w:rsidRPr="001005B7">
        <w:t>the words represent</w:t>
      </w:r>
      <w:r w:rsidR="00255BF7" w:rsidRPr="001005B7">
        <w:t>.</w:t>
      </w:r>
      <w:r w:rsidR="002746FA" w:rsidRPr="001005B7">
        <w:rPr>
          <w:rStyle w:val="FootnoteReference"/>
        </w:rPr>
        <w:footnoteReference w:id="5"/>
      </w:r>
    </w:p>
    <w:p w14:paraId="1DD6DC0A" w14:textId="26F2AE54" w:rsidR="00B808F3" w:rsidRPr="001005B7" w:rsidRDefault="00B52FF9" w:rsidP="00493833">
      <w:pPr>
        <w:pStyle w:val="Heading3"/>
      </w:pPr>
      <w:r w:rsidRPr="001005B7">
        <w:t>The Memoir</w:t>
      </w:r>
      <w:r w:rsidR="0024446F" w:rsidRPr="001005B7">
        <w:tab/>
      </w:r>
    </w:p>
    <w:p w14:paraId="22E23052" w14:textId="33032CD7" w:rsidR="00327FEB" w:rsidRPr="001005B7" w:rsidRDefault="00A77C62" w:rsidP="00327FEB">
      <w:pPr>
        <w:rPr>
          <w:lang w:eastAsia="en-GB"/>
        </w:rPr>
      </w:pPr>
      <w:r w:rsidRPr="001005B7">
        <w:t>One can picture Ezekiel functioning like other prophet</w:t>
      </w:r>
      <w:r w:rsidR="00D544A9" w:rsidRPr="001005B7">
        <w:t>s</w:t>
      </w:r>
      <w:r w:rsidR="0044533A" w:rsidRPr="001005B7">
        <w:t>,</w:t>
      </w:r>
      <w:r w:rsidR="009341C5" w:rsidRPr="001005B7">
        <w:t xml:space="preserve"> </w:t>
      </w:r>
      <w:r w:rsidR="00076D1A" w:rsidRPr="001005B7">
        <w:t xml:space="preserve">appearing </w:t>
      </w:r>
      <w:r w:rsidR="005119A3" w:rsidRPr="001005B7">
        <w:t>in front of</w:t>
      </w:r>
      <w:r w:rsidR="00076D1A" w:rsidRPr="001005B7">
        <w:t xml:space="preserve"> members of his community</w:t>
      </w:r>
      <w:r w:rsidR="003B5D0F" w:rsidRPr="001005B7">
        <w:t xml:space="preserve"> and declaiming </w:t>
      </w:r>
      <w:r w:rsidR="009341C5" w:rsidRPr="001005B7">
        <w:t>message</w:t>
      </w:r>
      <w:r w:rsidR="00BC0DAC" w:rsidRPr="001005B7">
        <w:t>s</w:t>
      </w:r>
      <w:r w:rsidR="009341C5" w:rsidRPr="001005B7">
        <w:t xml:space="preserve"> </w:t>
      </w:r>
      <w:r w:rsidR="009C214D" w:rsidRPr="001005B7">
        <w:t xml:space="preserve">that were </w:t>
      </w:r>
      <w:r w:rsidR="00376932">
        <w:t>commonly of a length to</w:t>
      </w:r>
      <w:r w:rsidR="00AF142B" w:rsidRPr="001005B7">
        <w:t xml:space="preserve"> occupy half a page or a page in a modern Bible.</w:t>
      </w:r>
      <w:r w:rsidR="003B5D0F" w:rsidRPr="001005B7">
        <w:t xml:space="preserve"> </w:t>
      </w:r>
      <w:r w:rsidR="00BE5332" w:rsidRPr="001005B7">
        <w:t>The</w:t>
      </w:r>
      <w:r w:rsidR="002F50E1" w:rsidRPr="001005B7">
        <w:t xml:space="preserve"> </w:t>
      </w:r>
      <w:r w:rsidR="00057D33" w:rsidRPr="001005B7">
        <w:t xml:space="preserve">existence of the </w:t>
      </w:r>
      <w:r w:rsidR="002F50E1" w:rsidRPr="001005B7">
        <w:t>Ezekiel</w:t>
      </w:r>
      <w:r w:rsidR="00BE5332" w:rsidRPr="001005B7">
        <w:t xml:space="preserve"> memoir implies that </w:t>
      </w:r>
      <w:r w:rsidR="00057D33" w:rsidRPr="001005B7">
        <w:t>eventually</w:t>
      </w:r>
      <w:r w:rsidR="00D3479D" w:rsidRPr="001005B7">
        <w:t xml:space="preserve"> </w:t>
      </w:r>
      <w:r w:rsidR="00063016" w:rsidRPr="001005B7">
        <w:t>he</w:t>
      </w:r>
      <w:r w:rsidR="004F4C57" w:rsidRPr="001005B7">
        <w:t xml:space="preserve"> </w:t>
      </w:r>
      <w:r w:rsidR="00D3479D" w:rsidRPr="001005B7">
        <w:t xml:space="preserve">put </w:t>
      </w:r>
      <w:r w:rsidR="00BF4324" w:rsidRPr="001005B7">
        <w:t>these</w:t>
      </w:r>
      <w:r w:rsidR="00CE2278" w:rsidRPr="001005B7">
        <w:t xml:space="preserve"> messages into writing</w:t>
      </w:r>
      <w:r w:rsidR="00D63775" w:rsidRPr="001005B7">
        <w:t>. He becomes “a book prophet</w:t>
      </w:r>
      <w:r w:rsidR="00A407CB" w:rsidRPr="001005B7">
        <w:t>,</w:t>
      </w:r>
      <w:r w:rsidR="00D63775" w:rsidRPr="001005B7">
        <w:t>”</w:t>
      </w:r>
      <w:r w:rsidR="000F36F9" w:rsidRPr="001005B7">
        <w:rPr>
          <w:rStyle w:val="FootnoteReference"/>
        </w:rPr>
        <w:footnoteReference w:id="6"/>
      </w:r>
      <w:r w:rsidR="0099307E" w:rsidRPr="001005B7">
        <w:t xml:space="preserve"> </w:t>
      </w:r>
      <w:r w:rsidR="00967848" w:rsidRPr="001005B7">
        <w:t>with the result</w:t>
      </w:r>
      <w:r w:rsidR="0099307E" w:rsidRPr="001005B7">
        <w:t xml:space="preserve"> that t</w:t>
      </w:r>
      <w:r w:rsidR="00B8114F" w:rsidRPr="001005B7">
        <w:t xml:space="preserve">he </w:t>
      </w:r>
      <w:r w:rsidR="00262291" w:rsidRPr="001005B7">
        <w:t xml:space="preserve">scroll gives an account of </w:t>
      </w:r>
      <w:r w:rsidR="00683453" w:rsidRPr="001005B7">
        <w:t>his</w:t>
      </w:r>
      <w:r w:rsidR="00262291" w:rsidRPr="001005B7">
        <w:t xml:space="preserve"> ministry </w:t>
      </w:r>
      <w:r w:rsidR="00A05A88" w:rsidRPr="001005B7">
        <w:t xml:space="preserve">over </w:t>
      </w:r>
      <w:r w:rsidR="00491C9F" w:rsidRPr="001005B7">
        <w:t xml:space="preserve">the </w:t>
      </w:r>
      <w:r w:rsidR="00A05A88" w:rsidRPr="001005B7">
        <w:t>t</w:t>
      </w:r>
      <w:r w:rsidR="00254786" w:rsidRPr="001005B7">
        <w:t>wenty</w:t>
      </w:r>
      <w:r w:rsidR="00A05A88" w:rsidRPr="001005B7">
        <w:t xml:space="preserve"> years</w:t>
      </w:r>
      <w:r w:rsidR="00491C9F" w:rsidRPr="001005B7">
        <w:t xml:space="preserve"> </w:t>
      </w:r>
      <w:r w:rsidR="00254786" w:rsidRPr="001005B7">
        <w:t xml:space="preserve">or </w:t>
      </w:r>
      <w:r w:rsidR="00683453" w:rsidRPr="001005B7">
        <w:t xml:space="preserve">more </w:t>
      </w:r>
      <w:r w:rsidR="00491C9F" w:rsidRPr="001005B7">
        <w:t>that followed</w:t>
      </w:r>
      <w:r w:rsidR="00254786" w:rsidRPr="001005B7">
        <w:t xml:space="preserve"> </w:t>
      </w:r>
      <w:r w:rsidR="00683453" w:rsidRPr="001005B7">
        <w:t xml:space="preserve">his commission </w:t>
      </w:r>
      <w:r w:rsidR="00254786" w:rsidRPr="001005B7">
        <w:t xml:space="preserve">(see </w:t>
      </w:r>
      <w:r w:rsidR="000B0EB7" w:rsidRPr="001005B7">
        <w:t>29:17)</w:t>
      </w:r>
      <w:r w:rsidR="00A05A88" w:rsidRPr="001005B7">
        <w:t>.</w:t>
      </w:r>
      <w:r w:rsidR="00580EFC" w:rsidRPr="001005B7">
        <w:t xml:space="preserve"> </w:t>
      </w:r>
      <w:r w:rsidR="004B3CD4" w:rsidRPr="001005B7">
        <w:t>P</w:t>
      </w:r>
      <w:r w:rsidR="00263538" w:rsidRPr="001005B7">
        <w:t xml:space="preserve">utting messages into writing </w:t>
      </w:r>
      <w:r w:rsidR="00D40971" w:rsidRPr="001005B7">
        <w:t xml:space="preserve">and compiling </w:t>
      </w:r>
      <w:r w:rsidR="00CC1D62" w:rsidRPr="001005B7">
        <w:t>the</w:t>
      </w:r>
      <w:r w:rsidR="00D40971" w:rsidRPr="001005B7">
        <w:t xml:space="preserve"> memoir implies </w:t>
      </w:r>
      <w:r w:rsidR="00CC1D62" w:rsidRPr="001005B7">
        <w:t>the</w:t>
      </w:r>
      <w:r w:rsidR="00D40971" w:rsidRPr="001005B7">
        <w:t xml:space="preserve"> assumption that </w:t>
      </w:r>
      <w:r w:rsidR="00634922" w:rsidRPr="001005B7">
        <w:t>the</w:t>
      </w:r>
      <w:r w:rsidR="00D40971" w:rsidRPr="001005B7">
        <w:t xml:space="preserve"> messages from Yahweh were significant not only for the </w:t>
      </w:r>
      <w:r w:rsidR="00F25695" w:rsidRPr="001005B7">
        <w:t xml:space="preserve">occasion </w:t>
      </w:r>
      <w:r w:rsidR="000B736D">
        <w:t>when</w:t>
      </w:r>
      <w:r w:rsidR="00FF7834" w:rsidRPr="001005B7">
        <w:t xml:space="preserve"> he first delivered them but a</w:t>
      </w:r>
      <w:r w:rsidR="006E10EF">
        <w:t>t least</w:t>
      </w:r>
      <w:r w:rsidR="00FF7834" w:rsidRPr="001005B7">
        <w:t xml:space="preserve"> for the ongoing </w:t>
      </w:r>
      <w:r w:rsidR="009D54C9" w:rsidRPr="001005B7">
        <w:t xml:space="preserve">life of the </w:t>
      </w:r>
      <w:proofErr w:type="spellStart"/>
      <w:r w:rsidR="00EE3267" w:rsidRPr="001005B7">
        <w:t>Keba</w:t>
      </w:r>
      <w:r w:rsidR="000B2B9E">
        <w:t>r</w:t>
      </w:r>
      <w:proofErr w:type="spellEnd"/>
      <w:r w:rsidR="001B7498">
        <w:t xml:space="preserve"> community</w:t>
      </w:r>
      <w:r w:rsidR="00B900C8" w:rsidRPr="001005B7">
        <w:t>.</w:t>
      </w:r>
      <w:r w:rsidR="00E6694B" w:rsidRPr="001005B7">
        <w:t xml:space="preserve"> </w:t>
      </w:r>
      <w:r w:rsidR="00C76367" w:rsidRPr="001005B7">
        <w:t xml:space="preserve">Maybe, like Jeremiah, he first put his messages into writing </w:t>
      </w:r>
      <w:r w:rsidR="0080261E" w:rsidRPr="001005B7">
        <w:t xml:space="preserve">before the fall of Jerusalem, </w:t>
      </w:r>
      <w:r w:rsidR="00FB6742" w:rsidRPr="001005B7">
        <w:t xml:space="preserve">in </w:t>
      </w:r>
      <w:r w:rsidR="0080261E" w:rsidRPr="001005B7">
        <w:t xml:space="preserve">hope that </w:t>
      </w:r>
      <w:r w:rsidR="001E0FE5" w:rsidRPr="001005B7">
        <w:t xml:space="preserve">somehow people </w:t>
      </w:r>
      <w:r w:rsidR="0080261E" w:rsidRPr="001005B7">
        <w:t>might yet</w:t>
      </w:r>
      <w:r w:rsidR="00073590" w:rsidRPr="001005B7">
        <w:t xml:space="preserve"> take notice of him and</w:t>
      </w:r>
      <w:r w:rsidR="001E0FE5" w:rsidRPr="001005B7">
        <w:t xml:space="preserve"> catastrophe might </w:t>
      </w:r>
      <w:r w:rsidR="00A96806" w:rsidRPr="001005B7">
        <w:t xml:space="preserve">yet </w:t>
      </w:r>
      <w:r w:rsidR="001E0FE5" w:rsidRPr="001005B7">
        <w:t>be</w:t>
      </w:r>
      <w:r w:rsidR="0080261E" w:rsidRPr="001005B7">
        <w:t xml:space="preserve"> forestall</w:t>
      </w:r>
      <w:r w:rsidR="00DF7540" w:rsidRPr="001005B7">
        <w:t>ed</w:t>
      </w:r>
      <w:r w:rsidR="006D0223" w:rsidRPr="001005B7">
        <w:t>. Maybe he did so only after the city’s fall</w:t>
      </w:r>
      <w:r w:rsidR="00DA42BB" w:rsidRPr="001005B7">
        <w:t>,</w:t>
      </w:r>
      <w:r w:rsidR="00946C22" w:rsidRPr="001005B7">
        <w:t xml:space="preserve"> with the hope </w:t>
      </w:r>
      <w:r w:rsidR="00B757D1" w:rsidRPr="001005B7">
        <w:t xml:space="preserve">that </w:t>
      </w:r>
      <w:r w:rsidR="008D3B16" w:rsidRPr="001005B7">
        <w:t xml:space="preserve">they might </w:t>
      </w:r>
      <w:r w:rsidR="00A96806" w:rsidRPr="001005B7">
        <w:t xml:space="preserve">now </w:t>
      </w:r>
      <w:r w:rsidR="008D3B16" w:rsidRPr="001005B7">
        <w:t xml:space="preserve">come to their senses. </w:t>
      </w:r>
      <w:r w:rsidR="00DA42BB" w:rsidRPr="001005B7">
        <w:t xml:space="preserve">Maybe he (or a curator) did so only at the </w:t>
      </w:r>
      <w:r w:rsidR="00767BD8" w:rsidRPr="001005B7">
        <w:t>end</w:t>
      </w:r>
      <w:r w:rsidR="00DA42BB" w:rsidRPr="001005B7">
        <w:t xml:space="preserve"> of his </w:t>
      </w:r>
      <w:r w:rsidR="00767BD8" w:rsidRPr="001005B7">
        <w:t>ministry</w:t>
      </w:r>
      <w:r w:rsidR="00DA42BB" w:rsidRPr="001005B7">
        <w:t xml:space="preserve">. </w:t>
      </w:r>
      <w:r w:rsidR="00327FEB" w:rsidRPr="001005B7">
        <w:rPr>
          <w:lang w:eastAsia="en-GB"/>
        </w:rPr>
        <w:t xml:space="preserve">The scroll’s structuring marks it as a </w:t>
      </w:r>
      <w:r w:rsidR="00DF7540" w:rsidRPr="001005B7">
        <w:rPr>
          <w:lang w:eastAsia="en-GB"/>
        </w:rPr>
        <w:t xml:space="preserve">united </w:t>
      </w:r>
      <w:r w:rsidR="00327FEB" w:rsidRPr="001005B7">
        <w:rPr>
          <w:lang w:eastAsia="en-GB"/>
        </w:rPr>
        <w:t>whole designed to address people a</w:t>
      </w:r>
      <w:r w:rsidR="00BB4D6C">
        <w:rPr>
          <w:lang w:eastAsia="en-GB"/>
        </w:rPr>
        <w:t>t least then</w:t>
      </w:r>
      <w:r w:rsidR="00327FEB" w:rsidRPr="001005B7">
        <w:rPr>
          <w:lang w:eastAsia="en-GB"/>
        </w:rPr>
        <w:t xml:space="preserve">. </w:t>
      </w:r>
    </w:p>
    <w:p w14:paraId="105099D7" w14:textId="7F4CE1A3" w:rsidR="00F20A91" w:rsidRPr="001005B7" w:rsidRDefault="00F06F7C" w:rsidP="00F20A91">
      <w:r w:rsidRPr="001005B7">
        <w:t xml:space="preserve">While </w:t>
      </w:r>
      <w:r w:rsidR="0000726F">
        <w:t>Ezekiel</w:t>
      </w:r>
      <w:r w:rsidRPr="001005B7">
        <w:t xml:space="preserve"> might have liked the idea of leaving </w:t>
      </w:r>
      <w:r w:rsidR="00731A66" w:rsidRPr="001005B7">
        <w:t>something</w:t>
      </w:r>
      <w:r w:rsidRPr="001005B7">
        <w:t xml:space="preserve"> of his mi</w:t>
      </w:r>
      <w:r w:rsidR="00731A66" w:rsidRPr="001005B7">
        <w:t>nistry</w:t>
      </w:r>
      <w:r w:rsidRPr="001005B7">
        <w:t xml:space="preserve"> behind him, </w:t>
      </w:r>
      <w:r w:rsidR="00DD1038">
        <w:t xml:space="preserve">however, </w:t>
      </w:r>
      <w:r w:rsidRPr="001005B7">
        <w:t xml:space="preserve">he doesn’t talk </w:t>
      </w:r>
      <w:r w:rsidR="00520415" w:rsidRPr="001005B7">
        <w:t xml:space="preserve">much </w:t>
      </w:r>
      <w:r w:rsidRPr="001005B7">
        <w:t>about himsel</w:t>
      </w:r>
      <w:r w:rsidR="00731A66" w:rsidRPr="001005B7">
        <w:t>f</w:t>
      </w:r>
      <w:r w:rsidR="00C6160C">
        <w:t>, and</w:t>
      </w:r>
      <w:r w:rsidR="00BD4ED5" w:rsidRPr="001005B7">
        <w:rPr>
          <w:lang w:eastAsia="en-GB"/>
        </w:rPr>
        <w:t xml:space="preserve"> i</w:t>
      </w:r>
      <w:r w:rsidR="00C6160C">
        <w:rPr>
          <w:lang w:eastAsia="en-GB"/>
        </w:rPr>
        <w:t>t</w:t>
      </w:r>
      <w:r w:rsidR="00BD4ED5" w:rsidRPr="001005B7">
        <w:rPr>
          <w:lang w:eastAsia="en-GB"/>
        </w:rPr>
        <w:t xml:space="preserve"> </w:t>
      </w:r>
      <w:r w:rsidR="00C6160C">
        <w:rPr>
          <w:lang w:eastAsia="en-GB"/>
        </w:rPr>
        <w:t>might</w:t>
      </w:r>
      <w:r w:rsidR="00BD4ED5" w:rsidRPr="001005B7">
        <w:rPr>
          <w:lang w:eastAsia="en-GB"/>
        </w:rPr>
        <w:t xml:space="preserve"> </w:t>
      </w:r>
      <w:r w:rsidR="00C6160C">
        <w:rPr>
          <w:lang w:eastAsia="en-GB"/>
        </w:rPr>
        <w:t xml:space="preserve">be </w:t>
      </w:r>
      <w:r w:rsidR="00BD4ED5" w:rsidRPr="001005B7">
        <w:rPr>
          <w:lang w:eastAsia="en-GB"/>
        </w:rPr>
        <w:t>misleading to call the scroll a memoir</w:t>
      </w:r>
      <w:r w:rsidR="00675BD7">
        <w:rPr>
          <w:lang w:eastAsia="en-GB"/>
        </w:rPr>
        <w:t>. A</w:t>
      </w:r>
      <w:r w:rsidR="00BD4ED5" w:rsidRPr="001005B7">
        <w:rPr>
          <w:lang w:eastAsia="en-GB"/>
        </w:rPr>
        <w:t xml:space="preserve"> memoir focuses on the person who is its subject</w:t>
      </w:r>
      <w:r w:rsidR="00675BD7">
        <w:rPr>
          <w:lang w:eastAsia="en-GB"/>
        </w:rPr>
        <w:t>, and t</w:t>
      </w:r>
      <w:r w:rsidR="00BD4ED5" w:rsidRPr="001005B7">
        <w:rPr>
          <w:lang w:eastAsia="en-GB"/>
        </w:rPr>
        <w:t>he Ezekiel scroll doesn</w:t>
      </w:r>
      <w:r w:rsidR="009F4E42" w:rsidRPr="001005B7">
        <w:rPr>
          <w:lang w:eastAsia="en-GB"/>
        </w:rPr>
        <w:t>’</w:t>
      </w:r>
      <w:r w:rsidR="00BD4ED5" w:rsidRPr="001005B7">
        <w:rPr>
          <w:lang w:eastAsia="en-GB"/>
        </w:rPr>
        <w:t>t focus on Ezekiel</w:t>
      </w:r>
      <w:r w:rsidR="00675BD7">
        <w:rPr>
          <w:lang w:eastAsia="en-GB"/>
        </w:rPr>
        <w:t>. It</w:t>
      </w:r>
      <w:r w:rsidR="00BD4ED5" w:rsidRPr="001005B7">
        <w:rPr>
          <w:lang w:eastAsia="en-GB"/>
        </w:rPr>
        <w:t xml:space="preserve"> frustrates the reader who wants to know about the prophet as a person. It focuses on God.</w:t>
      </w:r>
      <w:r w:rsidR="00BD4ED5" w:rsidRPr="001005B7">
        <w:rPr>
          <w:rStyle w:val="FootnoteReference"/>
          <w:lang w:eastAsia="en-GB"/>
        </w:rPr>
        <w:footnoteReference w:id="7"/>
      </w:r>
      <w:r w:rsidR="009F4E42" w:rsidRPr="001005B7">
        <w:rPr>
          <w:lang w:eastAsia="en-GB"/>
        </w:rPr>
        <w:t xml:space="preserve"> </w:t>
      </w:r>
      <w:r w:rsidR="00F20A91" w:rsidRPr="001005B7">
        <w:rPr>
          <w:lang w:eastAsia="en-GB"/>
        </w:rPr>
        <w:t xml:space="preserve">Although the scroll is quite carefully </w:t>
      </w:r>
      <w:r w:rsidR="00FA7830" w:rsidRPr="001005B7">
        <w:rPr>
          <w:lang w:eastAsia="en-GB"/>
        </w:rPr>
        <w:t>organized</w:t>
      </w:r>
      <w:r w:rsidR="002751C6" w:rsidRPr="001005B7">
        <w:rPr>
          <w:lang w:eastAsia="en-GB"/>
        </w:rPr>
        <w:t>,</w:t>
      </w:r>
      <w:r w:rsidR="00FA7830" w:rsidRPr="001005B7">
        <w:rPr>
          <w:lang w:eastAsia="en-GB"/>
        </w:rPr>
        <w:t xml:space="preserve"> </w:t>
      </w:r>
      <w:r w:rsidR="002751C6" w:rsidRPr="001005B7">
        <w:t>i</w:t>
      </w:r>
      <w:r w:rsidR="00F20A91" w:rsidRPr="001005B7">
        <w:t xml:space="preserve">t is </w:t>
      </w:r>
      <w:r w:rsidR="002751C6" w:rsidRPr="001005B7">
        <w:t>hard</w:t>
      </w:r>
      <w:r w:rsidR="00F20A91" w:rsidRPr="001005B7">
        <w:t xml:space="preserve"> to picture someone producing </w:t>
      </w:r>
      <w:r w:rsidR="002751C6" w:rsidRPr="001005B7">
        <w:t>it</w:t>
      </w:r>
      <w:r w:rsidR="00F20A91" w:rsidRPr="001005B7">
        <w:t xml:space="preserve"> as an academic or creative exercise</w:t>
      </w:r>
      <w:r w:rsidR="006F4EEA">
        <w:t xml:space="preserve">. </w:t>
      </w:r>
      <w:r w:rsidR="00265D2B">
        <w:t>M</w:t>
      </w:r>
      <w:r w:rsidR="00F20A91" w:rsidRPr="001005B7">
        <w:t xml:space="preserve">ore likely </w:t>
      </w:r>
      <w:r w:rsidR="00DF5548" w:rsidRPr="001005B7">
        <w:t>its purpose was to persuade</w:t>
      </w:r>
      <w:r w:rsidR="001B4CF8" w:rsidRPr="001005B7">
        <w:t xml:space="preserve"> </w:t>
      </w:r>
      <w:r w:rsidR="00E93A2E" w:rsidRPr="001005B7">
        <w:t xml:space="preserve">its </w:t>
      </w:r>
      <w:r w:rsidR="00F20A91" w:rsidRPr="001005B7">
        <w:t xml:space="preserve">readers to think in the way the scroll does, about the situation of people in Babylonia and about Yahweh’s message to them in the different decades they live in, and to look at their own lives and at Yahweh’s relationship with them in light of this portrayal. Scores of times Ezekiel says that the object of a </w:t>
      </w:r>
      <w:r w:rsidR="0034543B" w:rsidRPr="001005B7">
        <w:t xml:space="preserve">particular </w:t>
      </w:r>
      <w:r w:rsidR="00F20A91" w:rsidRPr="001005B7">
        <w:t>message was that people should acknowledge that Yahweh is God, and it doesn</w:t>
      </w:r>
      <w:r w:rsidR="00265D2B">
        <w:t>’</w:t>
      </w:r>
      <w:r w:rsidR="00F20A91" w:rsidRPr="001005B7">
        <w:t xml:space="preserve">t seem a big leap to infer that this is the object of the scroll as an assembled entirety. Its </w:t>
      </w:r>
      <w:r w:rsidR="004C2906" w:rsidRPr="001005B7">
        <w:t xml:space="preserve">aim is </w:t>
      </w:r>
      <w:r w:rsidR="00F20A91" w:rsidRPr="001005B7">
        <w:t xml:space="preserve">that people should think about Yahweh as God in the way </w:t>
      </w:r>
      <w:r w:rsidR="00DD17BC" w:rsidRPr="001005B7">
        <w:t>it</w:t>
      </w:r>
      <w:r w:rsidR="00F20A91" w:rsidRPr="001005B7">
        <w:t xml:space="preserve"> describes</w:t>
      </w:r>
      <w:r w:rsidR="00DD17BC" w:rsidRPr="001005B7">
        <w:t xml:space="preserve"> him</w:t>
      </w:r>
      <w:r w:rsidR="00F20A91" w:rsidRPr="001005B7">
        <w:t xml:space="preserve"> and </w:t>
      </w:r>
      <w:r w:rsidR="00DD17BC" w:rsidRPr="001005B7">
        <w:t xml:space="preserve">to </w:t>
      </w:r>
      <w:r w:rsidR="00F20A91" w:rsidRPr="001005B7">
        <w:t xml:space="preserve">acknowledge him thus </w:t>
      </w:r>
      <w:r w:rsidR="00DD17BC" w:rsidRPr="001005B7">
        <w:t>by</w:t>
      </w:r>
      <w:r w:rsidR="00F20A91" w:rsidRPr="001005B7">
        <w:t xml:space="preserve"> liv</w:t>
      </w:r>
      <w:r w:rsidR="00DD17BC" w:rsidRPr="001005B7">
        <w:t>ing</w:t>
      </w:r>
      <w:r w:rsidR="00F20A91" w:rsidRPr="001005B7">
        <w:t xml:space="preserve"> in light of who he is. </w:t>
      </w:r>
    </w:p>
    <w:p w14:paraId="5623AF3A" w14:textId="77777777" w:rsidR="003A38D8" w:rsidRDefault="00E3005B" w:rsidP="004B017E">
      <w:pPr>
        <w:rPr>
          <w:lang w:eastAsia="en-GB"/>
        </w:rPr>
      </w:pPr>
      <w:r w:rsidRPr="001005B7">
        <w:t xml:space="preserve">One way or another, </w:t>
      </w:r>
      <w:r w:rsidR="00FE5AE3">
        <w:t xml:space="preserve">then, </w:t>
      </w:r>
      <w:r w:rsidRPr="001005B7">
        <w:t>Ezekiel’s memoir is an exercise in rhetoric</w:t>
      </w:r>
      <w:r>
        <w:t xml:space="preserve"> in the sense of an exercise in persuasion</w:t>
      </w:r>
      <w:r w:rsidRPr="001005B7">
        <w:t>.</w:t>
      </w:r>
      <w:r w:rsidR="00553842" w:rsidRPr="00553842">
        <w:rPr>
          <w:rStyle w:val="FootnoteReference"/>
        </w:rPr>
        <w:t xml:space="preserve"> </w:t>
      </w:r>
      <w:r w:rsidR="00553842" w:rsidRPr="001005B7">
        <w:rPr>
          <w:rStyle w:val="FootnoteReference"/>
        </w:rPr>
        <w:footnoteReference w:id="8"/>
      </w:r>
      <w:r>
        <w:t xml:space="preserve"> It is designed to have an </w:t>
      </w:r>
      <w:proofErr w:type="spellStart"/>
      <w:r>
        <w:t>affect</w:t>
      </w:r>
      <w:proofErr w:type="spellEnd"/>
      <w:r>
        <w:t xml:space="preserve"> on people’s thinking.</w:t>
      </w:r>
      <w:r w:rsidRPr="001005B7">
        <w:t xml:space="preserve"> </w:t>
      </w:r>
      <w:r w:rsidR="007D6A38">
        <w:t xml:space="preserve">It </w:t>
      </w:r>
      <w:r w:rsidR="00520415" w:rsidRPr="001005B7">
        <w:t>aim</w:t>
      </w:r>
      <w:r w:rsidR="00A04773" w:rsidRPr="001005B7">
        <w:t xml:space="preserve">s </w:t>
      </w:r>
      <w:r w:rsidR="00F912FD">
        <w:t xml:space="preserve">first </w:t>
      </w:r>
      <w:r w:rsidR="00A04773" w:rsidRPr="001005B7">
        <w:t>to convince people</w:t>
      </w:r>
      <w:r w:rsidR="0047130C" w:rsidRPr="001005B7">
        <w:t xml:space="preserve"> of the truth of </w:t>
      </w:r>
      <w:r w:rsidR="00C4737A" w:rsidRPr="001005B7">
        <w:t>Ezekiel’s</w:t>
      </w:r>
      <w:r w:rsidR="0047130C" w:rsidRPr="001005B7">
        <w:t xml:space="preserve"> confrontations and warnings</w:t>
      </w:r>
      <w:r w:rsidR="00584818">
        <w:t xml:space="preserve">, </w:t>
      </w:r>
      <w:r w:rsidR="0047130C" w:rsidRPr="001005B7">
        <w:t>because the warnings ha</w:t>
      </w:r>
      <w:r w:rsidR="00F912FD">
        <w:t>ve</w:t>
      </w:r>
      <w:r w:rsidR="0047130C" w:rsidRPr="001005B7">
        <w:t xml:space="preserve"> been fulfilled</w:t>
      </w:r>
      <w:r w:rsidR="00584818">
        <w:t>.</w:t>
      </w:r>
      <w:r w:rsidR="001A668F" w:rsidRPr="001A668F">
        <w:t xml:space="preserve"> </w:t>
      </w:r>
      <w:r w:rsidR="001A668F" w:rsidRPr="001005B7">
        <w:t>The scroll comes to a happy ending, but this does not mean readers can skip over the horror of its first half. The end of the story or the life does not determine the significance of the preceding episodes. Ezekiel is not simply a story offering hope.</w:t>
      </w:r>
      <w:r w:rsidR="00F912FD" w:rsidRPr="00F912FD">
        <w:t xml:space="preserve"> </w:t>
      </w:r>
      <w:r w:rsidR="00D65A99">
        <w:t>But it does aim</w:t>
      </w:r>
      <w:r w:rsidR="00781DFA" w:rsidRPr="001005B7">
        <w:t xml:space="preserve"> to give them reason for hope</w:t>
      </w:r>
      <w:r w:rsidR="0047130C" w:rsidRPr="001005B7">
        <w:t xml:space="preserve"> </w:t>
      </w:r>
      <w:r w:rsidR="00781DFA" w:rsidRPr="001005B7">
        <w:t>that Yahweh had not finished with them.</w:t>
      </w:r>
      <w:r w:rsidR="00565032" w:rsidRPr="001005B7">
        <w:t xml:space="preserve"> </w:t>
      </w:r>
      <w:r w:rsidR="00081245">
        <w:t>Both in connection with the confrontation and</w:t>
      </w:r>
      <w:r w:rsidR="003A38D8">
        <w:t xml:space="preserve"> with</w:t>
      </w:r>
      <w:r w:rsidR="00081245">
        <w:t xml:space="preserve"> the </w:t>
      </w:r>
      <w:r w:rsidR="003A38D8">
        <w:t>promises</w:t>
      </w:r>
      <w:r w:rsidR="006F0C63">
        <w:t xml:space="preserve"> </w:t>
      </w:r>
      <w:r w:rsidR="006F0C63">
        <w:rPr>
          <w:lang w:eastAsia="en-GB"/>
        </w:rPr>
        <w:t>i</w:t>
      </w:r>
      <w:r w:rsidR="005E7303">
        <w:rPr>
          <w:lang w:eastAsia="en-GB"/>
        </w:rPr>
        <w:t>t</w:t>
      </w:r>
      <w:r w:rsidR="002C1919" w:rsidRPr="001005B7">
        <w:rPr>
          <w:lang w:eastAsia="en-GB"/>
        </w:rPr>
        <w:t xml:space="preserve"> seeks to change the thinking. attitudes, and life of its hearers and readers. </w:t>
      </w:r>
    </w:p>
    <w:p w14:paraId="356F9333" w14:textId="08D5E53A" w:rsidR="00943BFA" w:rsidRPr="001005B7" w:rsidRDefault="002C1919" w:rsidP="004B017E">
      <w:r w:rsidRPr="001005B7">
        <w:rPr>
          <w:lang w:eastAsia="en-GB"/>
        </w:rPr>
        <w:t xml:space="preserve">Its </w:t>
      </w:r>
      <w:r w:rsidR="00C4466D" w:rsidRPr="001005B7">
        <w:rPr>
          <w:lang w:eastAsia="en-GB"/>
        </w:rPr>
        <w:t>opening</w:t>
      </w:r>
      <w:r w:rsidRPr="001005B7">
        <w:rPr>
          <w:lang w:eastAsia="en-GB"/>
        </w:rPr>
        <w:t xml:space="preserve"> account of Ezekiel’s vision and commission, designed to get people to heed what follows, </w:t>
      </w:r>
      <w:r w:rsidR="009E60A3">
        <w:rPr>
          <w:lang w:eastAsia="en-GB"/>
        </w:rPr>
        <w:t xml:space="preserve">immediately </w:t>
      </w:r>
      <w:r w:rsidRPr="001005B7">
        <w:rPr>
          <w:lang w:eastAsia="en-GB"/>
        </w:rPr>
        <w:t>points in that direction, as do rhetorical features of the opening chapters</w:t>
      </w:r>
      <w:r w:rsidR="005340D4" w:rsidRPr="001005B7">
        <w:rPr>
          <w:lang w:eastAsia="en-GB"/>
        </w:rPr>
        <w:t>, while</w:t>
      </w:r>
      <w:r w:rsidR="00E779A4" w:rsidRPr="001005B7">
        <w:t xml:space="preserve"> the first-person form of the memoir would suggest a claim to reliability.</w:t>
      </w:r>
      <w:r w:rsidR="00E779A4" w:rsidRPr="001005B7">
        <w:rPr>
          <w:rStyle w:val="FootnoteReference"/>
        </w:rPr>
        <w:footnoteReference w:id="9"/>
      </w:r>
      <w:r w:rsidR="00E779A4" w:rsidRPr="001005B7">
        <w:t xml:space="preserve"> </w:t>
      </w:r>
      <w:r w:rsidRPr="001005B7">
        <w:t xml:space="preserve">“Vision and rhetoric were two primary instruments by which he would urge them to imagine a future in which they would continue to be a people in covenant with </w:t>
      </w:r>
      <w:proofErr w:type="spellStart"/>
      <w:r w:rsidRPr="001005B7">
        <w:t>Yhwh</w:t>
      </w:r>
      <w:proofErr w:type="spellEnd"/>
      <w:r w:rsidRPr="001005B7">
        <w:t>.”</w:t>
      </w:r>
      <w:r w:rsidRPr="001005B7">
        <w:rPr>
          <w:rStyle w:val="FootnoteReference"/>
        </w:rPr>
        <w:footnoteReference w:id="10"/>
      </w:r>
      <w:r w:rsidR="004A0661" w:rsidRPr="001005B7">
        <w:t xml:space="preserve"> </w:t>
      </w:r>
      <w:r w:rsidR="00EE38F5" w:rsidRPr="001005B7">
        <w:rPr>
          <w:lang w:eastAsia="en-GB"/>
        </w:rPr>
        <w:t>Rhetorically, t</w:t>
      </w:r>
      <w:r w:rsidR="006F7CB6" w:rsidRPr="001005B7">
        <w:rPr>
          <w:lang w:eastAsia="en-GB"/>
        </w:rPr>
        <w:t>he material in different sections of the scroll address</w:t>
      </w:r>
      <w:r w:rsidR="00302568" w:rsidRPr="001005B7">
        <w:rPr>
          <w:lang w:eastAsia="en-GB"/>
        </w:rPr>
        <w:t>es</w:t>
      </w:r>
      <w:r w:rsidR="006F7CB6" w:rsidRPr="001005B7">
        <w:rPr>
          <w:lang w:eastAsia="en-GB"/>
        </w:rPr>
        <w:t xml:space="preserve"> different readers</w:t>
      </w:r>
      <w:r w:rsidR="00302568" w:rsidRPr="001005B7">
        <w:rPr>
          <w:lang w:eastAsia="en-GB"/>
        </w:rPr>
        <w:t>:</w:t>
      </w:r>
      <w:r w:rsidR="00391440">
        <w:rPr>
          <w:lang w:eastAsia="en-GB"/>
        </w:rPr>
        <w:t xml:space="preserve"> </w:t>
      </w:r>
      <w:r w:rsidR="006F7CB6" w:rsidRPr="001005B7">
        <w:rPr>
          <w:lang w:eastAsia="en-GB"/>
        </w:rPr>
        <w:t>Jerusalem</w:t>
      </w:r>
      <w:r w:rsidR="005A2F3E" w:rsidRPr="001005B7">
        <w:rPr>
          <w:lang w:eastAsia="en-GB"/>
        </w:rPr>
        <w:t>ites</w:t>
      </w:r>
      <w:r w:rsidR="006F7CB6" w:rsidRPr="001005B7">
        <w:rPr>
          <w:lang w:eastAsia="en-GB"/>
        </w:rPr>
        <w:t xml:space="preserve">, </w:t>
      </w:r>
      <w:r w:rsidR="005B3CAE" w:rsidRPr="001005B7">
        <w:rPr>
          <w:lang w:eastAsia="en-GB"/>
        </w:rPr>
        <w:t xml:space="preserve">Jerusalem </w:t>
      </w:r>
      <w:r w:rsidR="006F7CB6" w:rsidRPr="001005B7">
        <w:rPr>
          <w:lang w:eastAsia="en-GB"/>
        </w:rPr>
        <w:t xml:space="preserve">prophets, the Ammonites, </w:t>
      </w:r>
      <w:proofErr w:type="spellStart"/>
      <w:r w:rsidR="006F7CB6" w:rsidRPr="001005B7">
        <w:rPr>
          <w:lang w:eastAsia="en-GB"/>
        </w:rPr>
        <w:t>Nebuchadrezzar</w:t>
      </w:r>
      <w:proofErr w:type="spellEnd"/>
      <w:r w:rsidR="007C2A85" w:rsidRPr="001005B7">
        <w:rPr>
          <w:lang w:eastAsia="en-GB"/>
        </w:rPr>
        <w:t>.…</w:t>
      </w:r>
      <w:r w:rsidR="006F7CB6" w:rsidRPr="001005B7">
        <w:rPr>
          <w:rStyle w:val="FootnoteReference"/>
          <w:lang w:eastAsia="en-GB"/>
        </w:rPr>
        <w:footnoteReference w:id="11"/>
      </w:r>
      <w:r w:rsidR="006F7CB6" w:rsidRPr="001005B7">
        <w:rPr>
          <w:lang w:eastAsia="en-GB"/>
        </w:rPr>
        <w:t xml:space="preserve"> </w:t>
      </w:r>
      <w:r w:rsidR="002B0882" w:rsidRPr="001005B7">
        <w:rPr>
          <w:lang w:eastAsia="en-GB"/>
        </w:rPr>
        <w:t>B</w:t>
      </w:r>
      <w:r w:rsidR="006F7CB6" w:rsidRPr="001005B7">
        <w:rPr>
          <w:lang w:eastAsia="en-GB"/>
        </w:rPr>
        <w:t xml:space="preserve">ut it is his </w:t>
      </w:r>
      <w:r w:rsidR="002B0882" w:rsidRPr="001005B7">
        <w:rPr>
          <w:lang w:eastAsia="en-GB"/>
        </w:rPr>
        <w:t>community</w:t>
      </w:r>
      <w:r w:rsidR="006F7CB6" w:rsidRPr="001005B7">
        <w:rPr>
          <w:lang w:eastAsia="en-GB"/>
        </w:rPr>
        <w:t xml:space="preserve"> in </w:t>
      </w:r>
      <w:proofErr w:type="spellStart"/>
      <w:r w:rsidR="006F7CB6" w:rsidRPr="001005B7">
        <w:rPr>
          <w:lang w:eastAsia="en-GB"/>
        </w:rPr>
        <w:t>Kebar</w:t>
      </w:r>
      <w:proofErr w:type="spellEnd"/>
      <w:r w:rsidR="006F7CB6" w:rsidRPr="001005B7">
        <w:rPr>
          <w:lang w:eastAsia="en-GB"/>
        </w:rPr>
        <w:t xml:space="preserve"> that Ezekiel actually </w:t>
      </w:r>
      <w:r w:rsidR="005B3CAE" w:rsidRPr="001005B7">
        <w:rPr>
          <w:lang w:eastAsia="en-GB"/>
        </w:rPr>
        <w:t>addresses</w:t>
      </w:r>
      <w:r w:rsidR="006F7CB6" w:rsidRPr="001005B7">
        <w:rPr>
          <w:lang w:eastAsia="en-GB"/>
        </w:rPr>
        <w:t xml:space="preserve">. It is their thinking, attitudes, and life that he </w:t>
      </w:r>
      <w:r w:rsidR="006570E5" w:rsidRPr="001005B7">
        <w:rPr>
          <w:lang w:eastAsia="en-GB"/>
        </w:rPr>
        <w:t>wants</w:t>
      </w:r>
      <w:r w:rsidR="006F7CB6" w:rsidRPr="001005B7">
        <w:rPr>
          <w:lang w:eastAsia="en-GB"/>
        </w:rPr>
        <w:t xml:space="preserve"> to change. </w:t>
      </w:r>
      <w:r w:rsidR="009E60A3">
        <w:rPr>
          <w:lang w:eastAsia="en-GB"/>
        </w:rPr>
        <w:t xml:space="preserve">We don’t know whether he </w:t>
      </w:r>
      <w:r w:rsidR="00091E09">
        <w:rPr>
          <w:lang w:eastAsia="en-GB"/>
        </w:rPr>
        <w:t xml:space="preserve">ever </w:t>
      </w:r>
      <w:r w:rsidR="009E60A3">
        <w:rPr>
          <w:lang w:eastAsia="en-GB"/>
        </w:rPr>
        <w:t xml:space="preserve">envisaged </w:t>
      </w:r>
      <w:r w:rsidR="00BB67EA">
        <w:rPr>
          <w:lang w:eastAsia="en-GB"/>
        </w:rPr>
        <w:t>being heeded by people in Jerusalem</w:t>
      </w:r>
      <w:r w:rsidR="00091E09">
        <w:rPr>
          <w:lang w:eastAsia="en-GB"/>
        </w:rPr>
        <w:t>,</w:t>
      </w:r>
      <w:r w:rsidR="00BB67EA">
        <w:rPr>
          <w:lang w:eastAsia="en-GB"/>
        </w:rPr>
        <w:t xml:space="preserve"> the</w:t>
      </w:r>
      <w:r w:rsidR="00091E09">
        <w:rPr>
          <w:lang w:eastAsia="en-GB"/>
        </w:rPr>
        <w:t>n</w:t>
      </w:r>
      <w:r w:rsidR="00BB67EA">
        <w:rPr>
          <w:lang w:eastAsia="en-GB"/>
        </w:rPr>
        <w:t xml:space="preserve"> or later, but evidently some people saw that he should be.</w:t>
      </w:r>
    </w:p>
    <w:p w14:paraId="342C79BA" w14:textId="1BB2631D" w:rsidR="00C462EC" w:rsidRPr="001005B7" w:rsidRDefault="00C462EC" w:rsidP="00C462EC">
      <w:r w:rsidRPr="001005B7">
        <w:t xml:space="preserve">Running through the scroll is a series of dates marking when he received different messages. The dates are a distinctive feature of the scroll. They are expressed in different ways and they </w:t>
      </w:r>
      <w:r w:rsidR="00A14EA2">
        <w:t>may not</w:t>
      </w:r>
      <w:r w:rsidRPr="001005B7">
        <w:t xml:space="preserve"> always cover all the material that follows until the next date arrives</w:t>
      </w:r>
      <w:r w:rsidR="00691A6F" w:rsidRPr="001005B7">
        <w:t>, n</w:t>
      </w:r>
      <w:r w:rsidRPr="001005B7">
        <w:t xml:space="preserve">or is it explicit that they were designed to define the scroll’s structure. But a number </w:t>
      </w:r>
      <w:r w:rsidR="000F074F">
        <w:t>of them do</w:t>
      </w:r>
      <w:r w:rsidRPr="001005B7">
        <w:t xml:space="preserve"> indicate transitions in blocks of material, and they form a series of markers that readers could use as signposts. They sometimes dates events by the years in a king’s reign, sometimes by the years since the community’s expulsion from Jerusalem, and sometimes by the years of Ezekiel’s life. Relating them to a modern Western calendar is thus tricky, </w:t>
      </w:r>
      <w:r w:rsidR="001333EA" w:rsidRPr="001005B7">
        <w:t xml:space="preserve">as is the fact </w:t>
      </w:r>
      <w:r w:rsidRPr="001005B7">
        <w:t>that the ancient Near Eastern year may begin either in spring or in fall but definitely not in January.</w:t>
      </w:r>
      <w:r w:rsidRPr="001005B7">
        <w:rPr>
          <w:rStyle w:val="FootnoteReference"/>
        </w:rPr>
        <w:footnoteReference w:id="12"/>
      </w:r>
      <w:r w:rsidRPr="001005B7">
        <w:t xml:space="preserve"> If we treat some prominent and key dates as markers, they suggest seeing the scroll as follows.</w:t>
      </w:r>
    </w:p>
    <w:p w14:paraId="294695D6" w14:textId="77777777" w:rsidR="00C462EC" w:rsidRPr="001005B7" w:rsidRDefault="00C462EC" w:rsidP="00C462EC"/>
    <w:p w14:paraId="13EEEE3D" w14:textId="1317AC9F" w:rsidR="00C462EC" w:rsidRPr="001005B7" w:rsidRDefault="00C462EC" w:rsidP="00C462EC">
      <w:pPr>
        <w:ind w:firstLine="0"/>
      </w:pPr>
      <w:r w:rsidRPr="001005B7">
        <w:t>1:1</w:t>
      </w:r>
      <w:r w:rsidR="00F46900" w:rsidRPr="001005B7">
        <w:t>–</w:t>
      </w:r>
      <w:r w:rsidRPr="001005B7">
        <w:t xml:space="preserve">7:27 </w:t>
      </w:r>
      <w:r w:rsidRPr="001005B7">
        <w:tab/>
        <w:t>Messages concerning Jerusalem’s waywardness and coming fall.</w:t>
      </w:r>
    </w:p>
    <w:p w14:paraId="5036562D" w14:textId="62A1C6B4" w:rsidR="00C462EC" w:rsidRPr="001005B7" w:rsidRDefault="00C462EC" w:rsidP="00C462EC">
      <w:pPr>
        <w:ind w:left="1440" w:firstLine="0"/>
      </w:pPr>
      <w:r w:rsidRPr="001005B7">
        <w:t xml:space="preserve">They begin with references to year thirty (of Ezekiel’s life?) and year five </w:t>
      </w:r>
      <w:r w:rsidR="00967696" w:rsidRPr="001005B7">
        <w:t>after</w:t>
      </w:r>
      <w:r w:rsidRPr="001005B7">
        <w:t xml:space="preserve"> </w:t>
      </w:r>
      <w:r w:rsidR="00B75766" w:rsidRPr="001005B7">
        <w:t>his community’s</w:t>
      </w:r>
      <w:r w:rsidRPr="001005B7">
        <w:t xml:space="preserve"> </w:t>
      </w:r>
      <w:r w:rsidR="00236500">
        <w:t>transportation</w:t>
      </w:r>
      <w:r w:rsidRPr="001005B7">
        <w:t xml:space="preserve"> (593)</w:t>
      </w:r>
    </w:p>
    <w:p w14:paraId="4F94E925" w14:textId="321BE89F" w:rsidR="00C462EC" w:rsidRPr="001005B7" w:rsidRDefault="00C462EC" w:rsidP="00C462EC">
      <w:pPr>
        <w:ind w:firstLine="0"/>
      </w:pPr>
      <w:r w:rsidRPr="001005B7">
        <w:t>8:1</w:t>
      </w:r>
      <w:r w:rsidR="00F46900" w:rsidRPr="001005B7">
        <w:t>–</w:t>
      </w:r>
      <w:r w:rsidRPr="001005B7">
        <w:t>19:14</w:t>
      </w:r>
      <w:r w:rsidRPr="001005B7">
        <w:tab/>
        <w:t>More messages concerning Jerusalem’s waywardness and coming fall.</w:t>
      </w:r>
    </w:p>
    <w:p w14:paraId="1EC10064" w14:textId="516CDB68" w:rsidR="00C462EC" w:rsidRPr="001005B7" w:rsidRDefault="00C462EC" w:rsidP="00C462EC">
      <w:pPr>
        <w:ind w:firstLine="0"/>
      </w:pPr>
      <w:r w:rsidRPr="001005B7">
        <w:tab/>
      </w:r>
      <w:r w:rsidRPr="001005B7">
        <w:tab/>
        <w:t xml:space="preserve">They begin with a reference to year six, presumably </w:t>
      </w:r>
      <w:r w:rsidR="00967696" w:rsidRPr="001005B7">
        <w:t>after</w:t>
      </w:r>
      <w:r w:rsidRPr="001005B7">
        <w:t xml:space="preserve"> the transportation (592)</w:t>
      </w:r>
      <w:r w:rsidR="00424905" w:rsidRPr="001005B7">
        <w:t>.</w:t>
      </w:r>
    </w:p>
    <w:p w14:paraId="6D38CEE6" w14:textId="72D1AC90" w:rsidR="00C462EC" w:rsidRPr="001005B7" w:rsidRDefault="00C462EC" w:rsidP="00C462EC">
      <w:pPr>
        <w:ind w:firstLine="0"/>
      </w:pPr>
      <w:r w:rsidRPr="001005B7">
        <w:t>20:1</w:t>
      </w:r>
      <w:r w:rsidR="00F46900" w:rsidRPr="001005B7">
        <w:t>–</w:t>
      </w:r>
      <w:r w:rsidRPr="001005B7">
        <w:t>23:49</w:t>
      </w:r>
      <w:r w:rsidRPr="001005B7">
        <w:tab/>
        <w:t>Yet more messages concerning Jerusalem’s waywardness and coming fall.</w:t>
      </w:r>
    </w:p>
    <w:p w14:paraId="37662DD7" w14:textId="481436BD" w:rsidR="00C462EC" w:rsidRPr="001005B7" w:rsidRDefault="00C462EC" w:rsidP="00967696">
      <w:pPr>
        <w:ind w:left="1440" w:firstLine="0"/>
      </w:pPr>
      <w:r w:rsidRPr="001005B7">
        <w:t xml:space="preserve">They begin with a reference to year seven, presumably </w:t>
      </w:r>
      <w:r w:rsidR="00967696" w:rsidRPr="001005B7">
        <w:t>after</w:t>
      </w:r>
      <w:r w:rsidRPr="001005B7">
        <w:t xml:space="preserve"> the transportation (591)</w:t>
      </w:r>
      <w:r w:rsidR="00424905" w:rsidRPr="001005B7">
        <w:t>.</w:t>
      </w:r>
    </w:p>
    <w:p w14:paraId="65F95450" w14:textId="77777777" w:rsidR="00C462EC" w:rsidRPr="001005B7" w:rsidRDefault="00C462EC" w:rsidP="00C462EC">
      <w:pPr>
        <w:ind w:firstLine="0"/>
      </w:pPr>
    </w:p>
    <w:p w14:paraId="29247EA5" w14:textId="5B06B43A" w:rsidR="00C462EC" w:rsidRPr="001005B7" w:rsidRDefault="00C462EC" w:rsidP="00C462EC">
      <w:pPr>
        <w:ind w:firstLine="0"/>
      </w:pPr>
      <w:r w:rsidRPr="001005B7">
        <w:t>Through the first half of the book things are thus repetitive and more grim. Through the second half of the book, they get more positive.</w:t>
      </w:r>
    </w:p>
    <w:p w14:paraId="781B43E6" w14:textId="77777777" w:rsidR="00C462EC" w:rsidRPr="001005B7" w:rsidRDefault="00C462EC" w:rsidP="00C462EC">
      <w:pPr>
        <w:ind w:firstLine="0"/>
      </w:pPr>
    </w:p>
    <w:p w14:paraId="4908C517" w14:textId="5EDCEE5B" w:rsidR="00C462EC" w:rsidRPr="001005B7" w:rsidRDefault="00C462EC" w:rsidP="00C462EC">
      <w:pPr>
        <w:ind w:firstLine="0"/>
      </w:pPr>
      <w:r w:rsidRPr="001005B7">
        <w:t>24:1</w:t>
      </w:r>
      <w:r w:rsidR="00F46900" w:rsidRPr="001005B7">
        <w:t>–</w:t>
      </w:r>
      <w:r w:rsidRPr="001005B7">
        <w:t>33:20</w:t>
      </w:r>
      <w:r w:rsidRPr="001005B7">
        <w:tab/>
        <w:t>Yahweh’s announcement of the city’s fall, and his messages about other peoples.</w:t>
      </w:r>
    </w:p>
    <w:p w14:paraId="707DEAFB" w14:textId="2BD2CC8B" w:rsidR="00C462EC" w:rsidRPr="001005B7" w:rsidRDefault="00C462EC" w:rsidP="00C462EC">
      <w:pPr>
        <w:ind w:left="1440" w:firstLine="0"/>
      </w:pPr>
      <w:r w:rsidRPr="001005B7">
        <w:t xml:space="preserve">They begin with a reference to year nine (apparently of Zedekiah’s reign) and include references to years ten to twelve, and in a brief note out of chronological order </w:t>
      </w:r>
      <w:r w:rsidR="007164D2" w:rsidRPr="001005B7">
        <w:t xml:space="preserve">refer </w:t>
      </w:r>
      <w:r w:rsidRPr="001005B7">
        <w:t>to year twenty-seven (</w:t>
      </w:r>
      <w:r w:rsidR="00435BB8" w:rsidRPr="001005B7">
        <w:t>after</w:t>
      </w:r>
      <w:r w:rsidRPr="001005B7">
        <w:t xml:space="preserve"> the </w:t>
      </w:r>
      <w:r w:rsidR="00236500">
        <w:t>transportation</w:t>
      </w:r>
      <w:r w:rsidRPr="001005B7">
        <w:t>?) (588, 585, 571)</w:t>
      </w:r>
      <w:r w:rsidR="004770DD" w:rsidRPr="001005B7">
        <w:t>.</w:t>
      </w:r>
    </w:p>
    <w:p w14:paraId="29AC810B" w14:textId="0B9CB0A5" w:rsidR="00C462EC" w:rsidRPr="001005B7" w:rsidRDefault="00C462EC" w:rsidP="00C462EC">
      <w:pPr>
        <w:ind w:firstLine="0"/>
      </w:pPr>
      <w:r w:rsidRPr="001005B7">
        <w:t>33:21</w:t>
      </w:r>
      <w:r w:rsidR="00F46900" w:rsidRPr="001005B7">
        <w:t>–</w:t>
      </w:r>
      <w:r w:rsidRPr="001005B7">
        <w:t xml:space="preserve">39:29 </w:t>
      </w:r>
      <w:r w:rsidRPr="001005B7">
        <w:tab/>
        <w:t>Messages concerning Judah’s restoration and the putting down of Gog of Magog</w:t>
      </w:r>
      <w:r w:rsidR="004770DD" w:rsidRPr="001005B7">
        <w:t>.</w:t>
      </w:r>
    </w:p>
    <w:p w14:paraId="59DF3F2A" w14:textId="3DE61726" w:rsidR="00C462EC" w:rsidRPr="001005B7" w:rsidRDefault="00C462EC" w:rsidP="00435BB8">
      <w:pPr>
        <w:ind w:left="1440" w:firstLine="0"/>
      </w:pPr>
      <w:r w:rsidRPr="001005B7">
        <w:t xml:space="preserve">They begin with a reference to year twelve, </w:t>
      </w:r>
      <w:r w:rsidR="00EF0AA1">
        <w:t>presumably</w:t>
      </w:r>
      <w:r w:rsidRPr="001005B7">
        <w:t xml:space="preserve"> </w:t>
      </w:r>
      <w:r w:rsidR="00435BB8" w:rsidRPr="001005B7">
        <w:t xml:space="preserve">after </w:t>
      </w:r>
      <w:r w:rsidRPr="001005B7">
        <w:t xml:space="preserve">the </w:t>
      </w:r>
      <w:r w:rsidR="00B86EFC" w:rsidRPr="001005B7">
        <w:t>trans</w:t>
      </w:r>
      <w:r w:rsidRPr="001005B7">
        <w:t>portation (585)</w:t>
      </w:r>
      <w:r w:rsidR="004770DD" w:rsidRPr="001005B7">
        <w:t>.</w:t>
      </w:r>
    </w:p>
    <w:p w14:paraId="648702A0" w14:textId="20EDEE26" w:rsidR="00C462EC" w:rsidRPr="001005B7" w:rsidRDefault="00C462EC" w:rsidP="00C462EC">
      <w:pPr>
        <w:ind w:firstLine="0"/>
      </w:pPr>
      <w:r w:rsidRPr="001005B7">
        <w:t>40:1</w:t>
      </w:r>
      <w:r w:rsidR="00F46900" w:rsidRPr="001005B7">
        <w:t>–</w:t>
      </w:r>
      <w:r w:rsidRPr="001005B7">
        <w:t xml:space="preserve">48:35 </w:t>
      </w:r>
      <w:r w:rsidRPr="001005B7">
        <w:tab/>
        <w:t>A vision of a new temple and new land</w:t>
      </w:r>
      <w:r w:rsidR="004770DD" w:rsidRPr="001005B7">
        <w:t>.</w:t>
      </w:r>
    </w:p>
    <w:p w14:paraId="2A7CA232" w14:textId="0EEB7A50" w:rsidR="00C462EC" w:rsidRPr="001005B7" w:rsidRDefault="00C462EC" w:rsidP="00302A75">
      <w:pPr>
        <w:ind w:left="1440" w:firstLine="0"/>
      </w:pPr>
      <w:r w:rsidRPr="001005B7">
        <w:t>They begin with a reference to year twenty-five</w:t>
      </w:r>
      <w:r w:rsidR="00C078C8" w:rsidRPr="001005B7">
        <w:t xml:space="preserve">, </w:t>
      </w:r>
      <w:r w:rsidR="00EF0AA1">
        <w:t>presumably</w:t>
      </w:r>
      <w:r w:rsidR="00C078C8" w:rsidRPr="001005B7">
        <w:t xml:space="preserve"> </w:t>
      </w:r>
      <w:r w:rsidR="00302A75" w:rsidRPr="001005B7">
        <w:t>after the transportation</w:t>
      </w:r>
      <w:r w:rsidRPr="001005B7">
        <w:t xml:space="preserve"> (573)</w:t>
      </w:r>
      <w:r w:rsidR="004770DD" w:rsidRPr="001005B7">
        <w:t>.</w:t>
      </w:r>
      <w:r w:rsidRPr="001005B7">
        <w:rPr>
          <w:rStyle w:val="FootnoteReference"/>
        </w:rPr>
        <w:footnoteReference w:id="13"/>
      </w:r>
    </w:p>
    <w:p w14:paraId="0A672B7D" w14:textId="77777777" w:rsidR="00C462EC" w:rsidRPr="001005B7" w:rsidRDefault="00C462EC" w:rsidP="00C462EC"/>
    <w:p w14:paraId="32FC0D4A" w14:textId="77777777" w:rsidR="00C462EC" w:rsidRPr="001005B7" w:rsidRDefault="00C462EC" w:rsidP="00412128">
      <w:pPr>
        <w:ind w:firstLine="0"/>
      </w:pPr>
      <w:r w:rsidRPr="001005B7">
        <w:t xml:space="preserve">The dates thus begin in 593 </w:t>
      </w:r>
      <w:r w:rsidRPr="001005B7">
        <w:rPr>
          <w:sz w:val="18"/>
          <w:szCs w:val="18"/>
        </w:rPr>
        <w:t>BC</w:t>
      </w:r>
      <w:r w:rsidRPr="001005B7">
        <w:t xml:space="preserve">, between the two falls of Jerusalem to the Babylonians in 597 and 587. They end in 571, midway through the period of Babylonian rule over Judah. While 587 is thus not the chronological midpoint of Ezekiel’s ministry, it is the key event at the center of his memoir, and it comes near the spatial center of the scroll. The two halves of its story are then dominated by two questions: Will the city fall? And when it has fallen: Does its people now have any future? </w:t>
      </w:r>
    </w:p>
    <w:p w14:paraId="59ABC083" w14:textId="15254CF4" w:rsidR="00A04773" w:rsidRPr="001005B7" w:rsidRDefault="00E45257" w:rsidP="00493833">
      <w:pPr>
        <w:pStyle w:val="Heading3"/>
      </w:pPr>
      <w:r w:rsidRPr="001005B7">
        <w:t>The Scroll</w:t>
      </w:r>
    </w:p>
    <w:p w14:paraId="2619D9D6" w14:textId="1A68F6BA" w:rsidR="001D1B93" w:rsidRPr="001005B7" w:rsidRDefault="00C6177A" w:rsidP="005F1E54">
      <w:r w:rsidRPr="001005B7">
        <w:rPr>
          <w:lang w:eastAsia="en-GB"/>
        </w:rPr>
        <w:t xml:space="preserve">Through </w:t>
      </w:r>
      <w:r w:rsidR="00AE576E" w:rsidRPr="001005B7">
        <w:rPr>
          <w:lang w:eastAsia="en-GB"/>
        </w:rPr>
        <w:t xml:space="preserve">prophets such as </w:t>
      </w:r>
      <w:r w:rsidRPr="001005B7">
        <w:rPr>
          <w:lang w:eastAsia="en-GB"/>
        </w:rPr>
        <w:t xml:space="preserve">Ezekiel </w:t>
      </w:r>
      <w:r w:rsidR="00AE576E" w:rsidRPr="001005B7">
        <w:rPr>
          <w:lang w:eastAsia="en-GB"/>
        </w:rPr>
        <w:t>God was speaking to our spiritual ancestors (Heb 1:1). Hi</w:t>
      </w:r>
      <w:r w:rsidR="003E20D9" w:rsidRPr="001005B7">
        <w:rPr>
          <w:lang w:eastAsia="en-GB"/>
        </w:rPr>
        <w:t>s</w:t>
      </w:r>
      <w:r w:rsidR="00AE65E2" w:rsidRPr="001005B7">
        <w:rPr>
          <w:lang w:eastAsia="en-GB"/>
        </w:rPr>
        <w:t xml:space="preserve"> </w:t>
      </w:r>
      <w:r w:rsidR="003E20D9" w:rsidRPr="001005B7">
        <w:rPr>
          <w:lang w:eastAsia="en-GB"/>
        </w:rPr>
        <w:t>messages</w:t>
      </w:r>
      <w:r w:rsidR="00AE65E2" w:rsidRPr="001005B7">
        <w:rPr>
          <w:lang w:eastAsia="en-GB"/>
        </w:rPr>
        <w:t xml:space="preserve"> d</w:t>
      </w:r>
      <w:r w:rsidR="00BF6439" w:rsidRPr="001005B7">
        <w:rPr>
          <w:lang w:eastAsia="en-GB"/>
        </w:rPr>
        <w:t>id</w:t>
      </w:r>
      <w:r w:rsidR="00AE65E2" w:rsidRPr="001005B7">
        <w:rPr>
          <w:lang w:eastAsia="en-GB"/>
        </w:rPr>
        <w:t xml:space="preserve"> not </w:t>
      </w:r>
      <w:r w:rsidR="00BF6439" w:rsidRPr="001005B7">
        <w:rPr>
          <w:lang w:eastAsia="en-GB"/>
        </w:rPr>
        <w:t>concern</w:t>
      </w:r>
      <w:r w:rsidR="00AE65E2" w:rsidRPr="001005B7">
        <w:rPr>
          <w:lang w:eastAsia="en-GB"/>
        </w:rPr>
        <w:t xml:space="preserve"> events t</w:t>
      </w:r>
      <w:r w:rsidR="00E45B07" w:rsidRPr="001005B7">
        <w:rPr>
          <w:lang w:eastAsia="en-GB"/>
        </w:rPr>
        <w:t>o</w:t>
      </w:r>
      <w:r w:rsidR="00AE65E2" w:rsidRPr="001005B7">
        <w:rPr>
          <w:lang w:eastAsia="en-GB"/>
        </w:rPr>
        <w:t xml:space="preserve"> take place in</w:t>
      </w:r>
      <w:r w:rsidR="004D49B5" w:rsidRPr="001005B7">
        <w:rPr>
          <w:lang w:eastAsia="en-GB"/>
        </w:rPr>
        <w:t xml:space="preserve"> centuries’ or even in</w:t>
      </w:r>
      <w:r w:rsidR="00AE65E2" w:rsidRPr="001005B7">
        <w:rPr>
          <w:lang w:eastAsia="en-GB"/>
        </w:rPr>
        <w:t xml:space="preserve"> decades’</w:t>
      </w:r>
      <w:r w:rsidR="004D49B5" w:rsidRPr="001005B7">
        <w:rPr>
          <w:lang w:eastAsia="en-GB"/>
        </w:rPr>
        <w:t xml:space="preserve"> </w:t>
      </w:r>
      <w:r w:rsidR="00AE65E2" w:rsidRPr="001005B7">
        <w:rPr>
          <w:lang w:eastAsia="en-GB"/>
        </w:rPr>
        <w:t>time, though the preserving of his messages</w:t>
      </w:r>
      <w:r w:rsidR="00E45B07" w:rsidRPr="001005B7">
        <w:rPr>
          <w:lang w:eastAsia="en-GB"/>
        </w:rPr>
        <w:t xml:space="preserve"> might</w:t>
      </w:r>
      <w:r w:rsidR="00AE65E2" w:rsidRPr="001005B7">
        <w:rPr>
          <w:lang w:eastAsia="en-GB"/>
        </w:rPr>
        <w:t xml:space="preserve"> impl</w:t>
      </w:r>
      <w:r w:rsidR="00E45B07" w:rsidRPr="001005B7">
        <w:rPr>
          <w:lang w:eastAsia="en-GB"/>
        </w:rPr>
        <w:t>y</w:t>
      </w:r>
      <w:r w:rsidR="00AE65E2" w:rsidRPr="001005B7">
        <w:rPr>
          <w:lang w:eastAsia="en-GB"/>
        </w:rPr>
        <w:t xml:space="preserve"> the conviction that they w</w:t>
      </w:r>
      <w:r w:rsidR="00E45B07" w:rsidRPr="001005B7">
        <w:rPr>
          <w:lang w:eastAsia="en-GB"/>
        </w:rPr>
        <w:t>ould</w:t>
      </w:r>
      <w:r w:rsidR="00AE65E2" w:rsidRPr="001005B7">
        <w:rPr>
          <w:lang w:eastAsia="en-GB"/>
        </w:rPr>
        <w:t xml:space="preserve"> also speak to future generations. </w:t>
      </w:r>
      <w:r w:rsidR="00BB2C23" w:rsidRPr="001005B7">
        <w:rPr>
          <w:lang w:eastAsia="en-GB"/>
        </w:rPr>
        <w:t>T</w:t>
      </w:r>
      <w:r w:rsidR="00DD46C2" w:rsidRPr="001005B7">
        <w:t xml:space="preserve">he </w:t>
      </w:r>
      <w:r w:rsidR="002D3952" w:rsidRPr="001005B7">
        <w:t xml:space="preserve">scroll’s </w:t>
      </w:r>
      <w:r w:rsidR="006F70D0" w:rsidRPr="001005B7">
        <w:t xml:space="preserve">dates suggest </w:t>
      </w:r>
      <w:r w:rsidR="008C0CE1" w:rsidRPr="001005B7">
        <w:t xml:space="preserve">that Ezekiel delivered his messages </w:t>
      </w:r>
      <w:r w:rsidR="003410FD" w:rsidRPr="001005B7">
        <w:t xml:space="preserve">over the twenty or thirty years from the </w:t>
      </w:r>
      <w:r w:rsidR="00A23D3D" w:rsidRPr="001005B7">
        <w:t>590s to the 5</w:t>
      </w:r>
      <w:r w:rsidR="00D80445" w:rsidRPr="001005B7">
        <w:t>7</w:t>
      </w:r>
      <w:r w:rsidR="00A23D3D" w:rsidRPr="001005B7">
        <w:t>0s</w:t>
      </w:r>
      <w:r w:rsidR="00AE1606" w:rsidRPr="001005B7">
        <w:t>, after which</w:t>
      </w:r>
      <w:r w:rsidR="008C0CE1" w:rsidRPr="001005B7">
        <w:t xml:space="preserve"> he or someone else</w:t>
      </w:r>
      <w:r w:rsidR="009C65C9" w:rsidRPr="001005B7">
        <w:t xml:space="preserve"> put them into writing and </w:t>
      </w:r>
      <w:r w:rsidR="00A45F86" w:rsidRPr="001005B7">
        <w:t>assembled</w:t>
      </w:r>
      <w:r w:rsidR="009C65C9" w:rsidRPr="001005B7">
        <w:t xml:space="preserve"> them into an organized for</w:t>
      </w:r>
      <w:r w:rsidR="003801B8" w:rsidRPr="001005B7">
        <w:t>m</w:t>
      </w:r>
      <w:r w:rsidR="00E401E0">
        <w:t>. T</w:t>
      </w:r>
      <w:r w:rsidR="003801B8" w:rsidRPr="001005B7">
        <w:t>hat’s all we know about Ezekiel</w:t>
      </w:r>
      <w:r w:rsidR="00047FA1" w:rsidRPr="001005B7">
        <w:t xml:space="preserve"> and the scroll</w:t>
      </w:r>
      <w:r w:rsidR="003801B8" w:rsidRPr="001005B7">
        <w:t>. What</w:t>
      </w:r>
      <w:r w:rsidR="00450939" w:rsidRPr="001005B7">
        <w:t xml:space="preserve"> </w:t>
      </w:r>
      <w:r w:rsidR="003801B8" w:rsidRPr="001005B7">
        <w:t xml:space="preserve">happened </w:t>
      </w:r>
      <w:r w:rsidR="00245E45">
        <w:t xml:space="preserve">to </w:t>
      </w:r>
      <w:r w:rsidR="00CB73E7" w:rsidRPr="001005B7">
        <w:t>it</w:t>
      </w:r>
      <w:r w:rsidR="008C0CE1" w:rsidRPr="001005B7">
        <w:t xml:space="preserve"> </w:t>
      </w:r>
      <w:r w:rsidR="00AB396A" w:rsidRPr="001005B7">
        <w:t>over the next three or four centu</w:t>
      </w:r>
      <w:r w:rsidR="001E0417" w:rsidRPr="001005B7">
        <w:t xml:space="preserve">ries </w:t>
      </w:r>
      <w:r w:rsidR="00450939" w:rsidRPr="001005B7">
        <w:t xml:space="preserve">is </w:t>
      </w:r>
      <w:r w:rsidR="001E0417" w:rsidRPr="001005B7">
        <w:t xml:space="preserve">largely </w:t>
      </w:r>
      <w:r w:rsidR="00AB396A" w:rsidRPr="001005B7">
        <w:t>a matter of guesswork.</w:t>
      </w:r>
      <w:r w:rsidR="00604EC1" w:rsidRPr="001005B7">
        <w:t xml:space="preserve"> The prologue to Ben Sira</w:t>
      </w:r>
      <w:r w:rsidR="00E30231" w:rsidRPr="001005B7">
        <w:t xml:space="preserve"> </w:t>
      </w:r>
      <w:r w:rsidR="00DE435A">
        <w:t>f</w:t>
      </w:r>
      <w:r w:rsidR="00245E45">
        <w:t>rom about 200</w:t>
      </w:r>
      <w:r w:rsidR="00DE435A">
        <w:t xml:space="preserve"> </w:t>
      </w:r>
      <w:r w:rsidR="00DE435A" w:rsidRPr="001005B7">
        <w:rPr>
          <w:sz w:val="18"/>
          <w:szCs w:val="18"/>
        </w:rPr>
        <w:t xml:space="preserve">BC </w:t>
      </w:r>
      <w:r w:rsidR="00E30231" w:rsidRPr="001005B7">
        <w:t>tell</w:t>
      </w:r>
      <w:r w:rsidR="008472C1" w:rsidRPr="001005B7">
        <w:t>s</w:t>
      </w:r>
      <w:r w:rsidR="00E30231" w:rsidRPr="001005B7">
        <w:t xml:space="preserve"> us that</w:t>
      </w:r>
      <w:r w:rsidR="009E7D39" w:rsidRPr="001005B7">
        <w:t xml:space="preserve"> the Jewish community in Egypt </w:t>
      </w:r>
      <w:r w:rsidR="00DE435A">
        <w:t>then</w:t>
      </w:r>
      <w:r w:rsidR="009E7D39" w:rsidRPr="001005B7">
        <w:rPr>
          <w:sz w:val="18"/>
          <w:szCs w:val="18"/>
        </w:rPr>
        <w:t xml:space="preserve"> </w:t>
      </w:r>
      <w:r w:rsidR="008472C1" w:rsidRPr="001005B7">
        <w:t>had</w:t>
      </w:r>
      <w:r w:rsidR="009E7D39" w:rsidRPr="001005B7">
        <w:t xml:space="preserve"> </w:t>
      </w:r>
      <w:r w:rsidR="00CE27E3" w:rsidRPr="001005B7">
        <w:t>a collection of scrolls called the Torah and the Prophets</w:t>
      </w:r>
      <w:r w:rsidR="00DF53FC" w:rsidRPr="001005B7">
        <w:t>, which would have included Ezekiel</w:t>
      </w:r>
      <w:r w:rsidR="007D50A7">
        <w:t>, and which were i</w:t>
      </w:r>
      <w:r w:rsidR="00DF53FC" w:rsidRPr="001005B7">
        <w:t xml:space="preserve">n effect the community’s Scriptures. </w:t>
      </w:r>
      <w:r w:rsidR="00F65B5D" w:rsidRPr="001005B7">
        <w:t>And b</w:t>
      </w:r>
      <w:r w:rsidR="00611969" w:rsidRPr="001005B7">
        <w:t>y this time</w:t>
      </w:r>
      <w:r w:rsidR="000E0679" w:rsidRPr="001005B7">
        <w:t>,</w:t>
      </w:r>
      <w:r w:rsidR="00611969" w:rsidRPr="001005B7">
        <w:t xml:space="preserve"> </w:t>
      </w:r>
      <w:r w:rsidR="002224A7" w:rsidRPr="001005B7">
        <w:t>these writings</w:t>
      </w:r>
      <w:r w:rsidR="00B81DA5" w:rsidRPr="001005B7">
        <w:t xml:space="preserve"> </w:t>
      </w:r>
      <w:r w:rsidR="00611969" w:rsidRPr="001005B7">
        <w:t>were being translated into Greek</w:t>
      </w:r>
      <w:r w:rsidR="00CE2185" w:rsidRPr="001005B7">
        <w:t xml:space="preserve">, the everyday </w:t>
      </w:r>
      <w:r w:rsidR="003E0FF3" w:rsidRPr="001005B7">
        <w:t>language</w:t>
      </w:r>
      <w:r w:rsidR="00CE2185" w:rsidRPr="001005B7">
        <w:t xml:space="preserve"> of Jews in Egypt, eventually to form the </w:t>
      </w:r>
      <w:r w:rsidR="0011692C" w:rsidRPr="001005B7">
        <w:t>translation called the Septuagint</w:t>
      </w:r>
      <w:r w:rsidR="006A39D2" w:rsidRPr="001005B7">
        <w:t xml:space="preserve"> (see Olley, 4</w:t>
      </w:r>
      <w:r w:rsidR="00F46900" w:rsidRPr="001005B7">
        <w:t>–</w:t>
      </w:r>
      <w:r w:rsidR="006A39D2" w:rsidRPr="001005B7">
        <w:t>5)</w:t>
      </w:r>
      <w:r w:rsidR="0011692C" w:rsidRPr="001005B7">
        <w:t>.</w:t>
      </w:r>
      <w:r w:rsidR="00DF1237" w:rsidRPr="001005B7">
        <w:t xml:space="preserve"> </w:t>
      </w:r>
      <w:r w:rsidR="003E0FF3" w:rsidRPr="001005B7">
        <w:t>B</w:t>
      </w:r>
      <w:r w:rsidR="0006502D" w:rsidRPr="001005B7">
        <w:t>eginning</w:t>
      </w:r>
      <w:r w:rsidR="00DF1237" w:rsidRPr="001005B7">
        <w:t xml:space="preserve"> </w:t>
      </w:r>
      <w:r w:rsidR="000D316F" w:rsidRPr="001005B7">
        <w:t>in the same period</w:t>
      </w:r>
      <w:r w:rsidR="00DF1237" w:rsidRPr="001005B7">
        <w:t xml:space="preserve">, other </w:t>
      </w:r>
      <w:r w:rsidR="0006502D" w:rsidRPr="001005B7">
        <w:t xml:space="preserve">Jews </w:t>
      </w:r>
      <w:r w:rsidR="00046B7F" w:rsidRPr="001005B7">
        <w:t xml:space="preserve">in Judea </w:t>
      </w:r>
      <w:r w:rsidR="0006502D" w:rsidRPr="001005B7">
        <w:t>were making copies of these wo</w:t>
      </w:r>
      <w:r w:rsidR="007C160F" w:rsidRPr="001005B7">
        <w:t xml:space="preserve">rks that they took with them to a </w:t>
      </w:r>
      <w:r w:rsidR="006D1B98" w:rsidRPr="001005B7">
        <w:t xml:space="preserve">community they founded </w:t>
      </w:r>
      <w:r w:rsidR="008C7499" w:rsidRPr="001005B7">
        <w:t xml:space="preserve">at Qumran </w:t>
      </w:r>
      <w:r w:rsidR="006D1B98" w:rsidRPr="001005B7">
        <w:t xml:space="preserve">by the Dead Sea. </w:t>
      </w:r>
      <w:r w:rsidR="00532308" w:rsidRPr="001005B7">
        <w:t xml:space="preserve">The contents of the Greek translations </w:t>
      </w:r>
      <w:r w:rsidR="0030397B" w:rsidRPr="001005B7">
        <w:t>ar</w:t>
      </w:r>
      <w:r w:rsidR="00157F66" w:rsidRPr="001005B7">
        <w:t xml:space="preserve">e broadly the same </w:t>
      </w:r>
      <w:r w:rsidR="0030397B" w:rsidRPr="001005B7">
        <w:t>as th</w:t>
      </w:r>
      <w:r w:rsidR="00DA0B39" w:rsidRPr="001005B7">
        <w:t>ose</w:t>
      </w:r>
      <w:r w:rsidR="0030397B" w:rsidRPr="001005B7">
        <w:t xml:space="preserve"> of the Hebrew manuscripts</w:t>
      </w:r>
      <w:r w:rsidR="003123B0" w:rsidRPr="001005B7">
        <w:t>, though</w:t>
      </w:r>
      <w:r w:rsidR="00AA2040" w:rsidRPr="001005B7">
        <w:t xml:space="preserve"> </w:t>
      </w:r>
      <w:r w:rsidR="008E0B58" w:rsidRPr="001005B7">
        <w:t xml:space="preserve">translating them back into Hebrew </w:t>
      </w:r>
      <w:r w:rsidR="00DA0B39" w:rsidRPr="001005B7">
        <w:t>reveals lots of</w:t>
      </w:r>
      <w:r w:rsidR="003123B0" w:rsidRPr="001005B7">
        <w:t xml:space="preserve"> detailed difference</w:t>
      </w:r>
      <w:r w:rsidR="00ED1A5E" w:rsidRPr="001005B7">
        <w:t>s</w:t>
      </w:r>
      <w:r w:rsidR="008E0B58" w:rsidRPr="001005B7">
        <w:t xml:space="preserve"> between the versions that Jews in Egypt had and the </w:t>
      </w:r>
      <w:r w:rsidR="00AA5661" w:rsidRPr="001005B7">
        <w:t>ones</w:t>
      </w:r>
      <w:r w:rsidR="00001D32" w:rsidRPr="001005B7">
        <w:t xml:space="preserve"> that Jews in </w:t>
      </w:r>
      <w:r w:rsidR="004D64C9" w:rsidRPr="001005B7">
        <w:t>Judea</w:t>
      </w:r>
      <w:r w:rsidR="00001D32" w:rsidRPr="001005B7">
        <w:t xml:space="preserve"> had</w:t>
      </w:r>
      <w:r w:rsidR="00ED1A5E" w:rsidRPr="001005B7">
        <w:t xml:space="preserve">—a little like the differences between modern translations of the Scriptures. </w:t>
      </w:r>
      <w:r w:rsidR="00EE0FB0" w:rsidRPr="001005B7">
        <w:t>T</w:t>
      </w:r>
      <w:r w:rsidR="00F47555" w:rsidRPr="001005B7">
        <w:t xml:space="preserve">he Hebrew versions </w:t>
      </w:r>
      <w:r w:rsidR="00D863C7" w:rsidRPr="001005B7">
        <w:t xml:space="preserve">from which the Qumran copies </w:t>
      </w:r>
      <w:r w:rsidR="00F47555" w:rsidRPr="001005B7">
        <w:t xml:space="preserve">were </w:t>
      </w:r>
      <w:r w:rsidR="00D80E9C" w:rsidRPr="001005B7">
        <w:t xml:space="preserve">made were </w:t>
      </w:r>
      <w:r w:rsidR="002C449C" w:rsidRPr="001005B7">
        <w:t xml:space="preserve">perhaps </w:t>
      </w:r>
      <w:r w:rsidR="00E25556" w:rsidRPr="001005B7">
        <w:t>four to five</w:t>
      </w:r>
      <w:r w:rsidR="00F47555" w:rsidRPr="001005B7">
        <w:t xml:space="preserve"> per cent longer than the </w:t>
      </w:r>
      <w:r w:rsidR="00C23426" w:rsidRPr="001005B7">
        <w:t>ones</w:t>
      </w:r>
      <w:r w:rsidR="00E5025F" w:rsidRPr="001005B7">
        <w:t xml:space="preserve"> the Greek </w:t>
      </w:r>
      <w:r w:rsidR="009F4EDC" w:rsidRPr="001005B7">
        <w:t>translators</w:t>
      </w:r>
      <w:r w:rsidR="00E5025F" w:rsidRPr="001005B7">
        <w:t xml:space="preserve"> were working with</w:t>
      </w:r>
      <w:r w:rsidR="0055258B" w:rsidRPr="001005B7">
        <w:t xml:space="preserve"> </w:t>
      </w:r>
      <w:r w:rsidR="0055258B" w:rsidRPr="001005B7">
        <w:rPr>
          <w:lang w:eastAsia="en-GB"/>
        </w:rPr>
        <w:t>(Olley, 32).</w:t>
      </w:r>
      <w:r w:rsidR="00E5025F" w:rsidRPr="001005B7">
        <w:t xml:space="preserve"> </w:t>
      </w:r>
    </w:p>
    <w:p w14:paraId="75212345" w14:textId="6290A449" w:rsidR="00FC2DF5" w:rsidRPr="001005B7" w:rsidRDefault="00DC51C3" w:rsidP="00EA319E">
      <w:r w:rsidRPr="001005B7">
        <w:t xml:space="preserve">My guess </w:t>
      </w:r>
      <w:r w:rsidR="00FD5023" w:rsidRPr="001005B7">
        <w:t>about</w:t>
      </w:r>
      <w:r w:rsidRPr="001005B7">
        <w:t xml:space="preserve"> what happened between the 5</w:t>
      </w:r>
      <w:r w:rsidR="000D67DB" w:rsidRPr="001005B7">
        <w:t>7</w:t>
      </w:r>
      <w:r w:rsidRPr="001005B7">
        <w:t xml:space="preserve">0s and the </w:t>
      </w:r>
      <w:r w:rsidR="00872766" w:rsidRPr="001005B7">
        <w:t>200s</w:t>
      </w:r>
      <w:r w:rsidR="000D67DB" w:rsidRPr="001005B7">
        <w:t xml:space="preserve"> or 100s</w:t>
      </w:r>
      <w:r w:rsidR="00872766" w:rsidRPr="001005B7">
        <w:t xml:space="preserve"> is along the</w:t>
      </w:r>
      <w:r w:rsidR="00532E82" w:rsidRPr="001005B7">
        <w:t xml:space="preserve"> </w:t>
      </w:r>
      <w:r w:rsidR="00EC5103" w:rsidRPr="001005B7">
        <w:t>following</w:t>
      </w:r>
      <w:r w:rsidR="00872766" w:rsidRPr="001005B7">
        <w:t xml:space="preserve"> lines.</w:t>
      </w:r>
      <w:r w:rsidR="00532E82" w:rsidRPr="001005B7">
        <w:t xml:space="preserve"> In 539 Persia took over from Babylon as the imperial power in the Middle East</w:t>
      </w:r>
      <w:r w:rsidR="000D67DB" w:rsidRPr="001005B7">
        <w:t xml:space="preserve"> and</w:t>
      </w:r>
      <w:r w:rsidR="00532E82" w:rsidRPr="001005B7">
        <w:t xml:space="preserve"> </w:t>
      </w:r>
      <w:r w:rsidR="00032FF6" w:rsidRPr="001005B7">
        <w:t xml:space="preserve">permitted Judahites in Babylonia to go back </w:t>
      </w:r>
      <w:r w:rsidR="00A34204" w:rsidRPr="001005B7">
        <w:t>to Judah.</w:t>
      </w:r>
      <w:r w:rsidR="00B86490" w:rsidRPr="001005B7">
        <w:t xml:space="preserve"> By now Ezekiel would surely have passed</w:t>
      </w:r>
      <w:r w:rsidR="003C136A" w:rsidRPr="001005B7">
        <w:t>,</w:t>
      </w:r>
      <w:r w:rsidR="00B86490" w:rsidRPr="001005B7">
        <w:t xml:space="preserve"> and</w:t>
      </w:r>
      <w:r w:rsidR="00A34204" w:rsidRPr="001005B7">
        <w:t xml:space="preserve"> m</w:t>
      </w:r>
      <w:r w:rsidR="001B038A" w:rsidRPr="001005B7">
        <w:t>any</w:t>
      </w:r>
      <w:r w:rsidR="00A34204" w:rsidRPr="001005B7">
        <w:t xml:space="preserve"> of the</w:t>
      </w:r>
      <w:r w:rsidR="00B86490" w:rsidRPr="001005B7">
        <w:t xml:space="preserve"> Judahites in Babylonia </w:t>
      </w:r>
      <w:r w:rsidR="00A34204" w:rsidRPr="001005B7">
        <w:t xml:space="preserve">had been born </w:t>
      </w:r>
      <w:r w:rsidR="00B86490" w:rsidRPr="001005B7">
        <w:t>there</w:t>
      </w:r>
      <w:r w:rsidR="00A34204" w:rsidRPr="001005B7">
        <w:t xml:space="preserve"> and </w:t>
      </w:r>
      <w:r w:rsidR="00EF5FE4" w:rsidRPr="001005B7">
        <w:t xml:space="preserve">didn’t wish to </w:t>
      </w:r>
      <w:r w:rsidR="00FA394E" w:rsidRPr="001005B7">
        <w:t>move to Judah</w:t>
      </w:r>
      <w:r w:rsidR="00EF5FE4" w:rsidRPr="001005B7">
        <w:t>, but some did</w:t>
      </w:r>
      <w:r w:rsidR="00060D2F" w:rsidRPr="001005B7">
        <w:t xml:space="preserve">. </w:t>
      </w:r>
      <w:r w:rsidR="00577F53" w:rsidRPr="001005B7">
        <w:t xml:space="preserve">I assume that </w:t>
      </w:r>
      <w:r w:rsidR="00D116A5" w:rsidRPr="001005B7">
        <w:t xml:space="preserve">some copies of Ezekiel’s memoir had </w:t>
      </w:r>
      <w:r w:rsidR="006A27B0" w:rsidRPr="001005B7">
        <w:t xml:space="preserve">probably </w:t>
      </w:r>
      <w:r w:rsidR="00D116A5" w:rsidRPr="001005B7">
        <w:t>been made</w:t>
      </w:r>
      <w:r w:rsidR="00A15782">
        <w:t>,</w:t>
      </w:r>
      <w:r w:rsidR="00856B63" w:rsidRPr="001005B7">
        <w:t xml:space="preserve"> Ezekiel might have become known in J</w:t>
      </w:r>
      <w:r w:rsidR="00633906" w:rsidRPr="001005B7">
        <w:t>udah</w:t>
      </w:r>
      <w:r w:rsidR="00A15782">
        <w:t>,</w:t>
      </w:r>
      <w:r w:rsidR="00856B63" w:rsidRPr="001005B7">
        <w:t xml:space="preserve"> and copies of the memoir</w:t>
      </w:r>
      <w:r w:rsidR="00D116A5" w:rsidRPr="001005B7">
        <w:t xml:space="preserve"> </w:t>
      </w:r>
      <w:r w:rsidR="00033281" w:rsidRPr="001005B7">
        <w:t xml:space="preserve">might already have reached </w:t>
      </w:r>
      <w:r w:rsidR="00F83409" w:rsidRPr="001005B7">
        <w:t>there</w:t>
      </w:r>
      <w:r w:rsidR="00FC46B2" w:rsidRPr="001005B7">
        <w:t>. I</w:t>
      </w:r>
      <w:r w:rsidR="00F83409" w:rsidRPr="001005B7">
        <w:t xml:space="preserve">f not, </w:t>
      </w:r>
      <w:r w:rsidR="00A15782">
        <w:t xml:space="preserve">when Judahites returned from Babylonia to Jerusalem, </w:t>
      </w:r>
      <w:r w:rsidR="00713982" w:rsidRPr="001005B7">
        <w:t>copies</w:t>
      </w:r>
      <w:r w:rsidR="00B55836" w:rsidRPr="001005B7">
        <w:t xml:space="preserve"> </w:t>
      </w:r>
      <w:r w:rsidR="00C604E0" w:rsidRPr="001005B7">
        <w:t xml:space="preserve">would </w:t>
      </w:r>
      <w:r w:rsidR="00F83409" w:rsidRPr="001005B7">
        <w:t xml:space="preserve">now </w:t>
      </w:r>
      <w:r w:rsidR="00C604E0" w:rsidRPr="001005B7">
        <w:t>be taken t</w:t>
      </w:r>
      <w:r w:rsidR="00F83409" w:rsidRPr="001005B7">
        <w:t>here</w:t>
      </w:r>
      <w:r w:rsidR="00555111" w:rsidRPr="001005B7">
        <w:t>. Among the returners were many prie</w:t>
      </w:r>
      <w:r w:rsidR="00F44B9B" w:rsidRPr="001005B7">
        <w:t>sts</w:t>
      </w:r>
      <w:r w:rsidR="00555111" w:rsidRPr="001005B7">
        <w:t xml:space="preserve">, and one can imagine them ”sponsoring” the scroll with the </w:t>
      </w:r>
      <w:r w:rsidR="001148A6" w:rsidRPr="001005B7">
        <w:t>Jerusalem priests.</w:t>
      </w:r>
      <w:r w:rsidR="00B55836" w:rsidRPr="001005B7">
        <w:t xml:space="preserve"> </w:t>
      </w:r>
      <w:r w:rsidR="001148A6" w:rsidRPr="001005B7">
        <w:t xml:space="preserve">Through </w:t>
      </w:r>
      <w:r w:rsidR="00B4597D" w:rsidRPr="001005B7">
        <w:t>some such</w:t>
      </w:r>
      <w:r w:rsidR="001148A6" w:rsidRPr="001005B7">
        <w:t xml:space="preserve"> process</w:t>
      </w:r>
      <w:r w:rsidR="00B4597D" w:rsidRPr="001005B7">
        <w:t>,</w:t>
      </w:r>
      <w:r w:rsidR="001148A6" w:rsidRPr="001005B7">
        <w:t xml:space="preserve"> the scroll </w:t>
      </w:r>
      <w:r w:rsidR="00B14FA5" w:rsidRPr="001005B7">
        <w:t>came to be among that collection of “the Torah and the Prophets</w:t>
      </w:r>
      <w:r w:rsidR="00822A26" w:rsidRPr="001005B7">
        <w:t>”</w:t>
      </w:r>
      <w:r w:rsidR="00B71644">
        <w:t xml:space="preserve"> of which we hear later</w:t>
      </w:r>
      <w:r w:rsidR="00DD6408">
        <w:t>.</w:t>
      </w:r>
      <w:r w:rsidR="00FA5A4F" w:rsidRPr="001005B7">
        <w:t xml:space="preserve"> </w:t>
      </w:r>
      <w:r w:rsidR="003746AA" w:rsidRPr="001005B7">
        <w:t xml:space="preserve">One does </w:t>
      </w:r>
      <w:r w:rsidR="00FA5A4F" w:rsidRPr="001005B7">
        <w:t>wonder about the dynamics of this process</w:t>
      </w:r>
      <w:r w:rsidR="00722ED8" w:rsidRPr="001005B7">
        <w:t xml:space="preserve"> and </w:t>
      </w:r>
      <w:r w:rsidR="00FA5A4F" w:rsidRPr="001005B7">
        <w:t xml:space="preserve">about </w:t>
      </w:r>
      <w:r w:rsidR="00722ED8" w:rsidRPr="001005B7">
        <w:t>tensions between different groups</w:t>
      </w:r>
      <w:r w:rsidR="00826A14" w:rsidRPr="001005B7">
        <w:t xml:space="preserve">, of the kind that we know about </w:t>
      </w:r>
      <w:r w:rsidR="005017EE" w:rsidRPr="001005B7">
        <w:t>from when</w:t>
      </w:r>
      <w:r w:rsidR="00826A14" w:rsidRPr="001005B7">
        <w:t xml:space="preserve"> the Christian Church</w:t>
      </w:r>
      <w:r w:rsidR="00B66E99" w:rsidRPr="001005B7">
        <w:t xml:space="preserve"> worked towards having an agreed collection of New Testament Script</w:t>
      </w:r>
      <w:r w:rsidR="000F2392" w:rsidRPr="001005B7">
        <w:t>u</w:t>
      </w:r>
      <w:r w:rsidR="00B66E99" w:rsidRPr="001005B7">
        <w:t>res.</w:t>
      </w:r>
      <w:r w:rsidR="00FC2DF5" w:rsidRPr="001005B7">
        <w:t xml:space="preserve"> </w:t>
      </w:r>
      <w:r w:rsidR="00887050" w:rsidRPr="001005B7">
        <w:t>But we can only guess about the process.</w:t>
      </w:r>
    </w:p>
    <w:p w14:paraId="00EBC625" w14:textId="2491DD8E" w:rsidR="00071679" w:rsidRPr="001005B7" w:rsidRDefault="0097093D" w:rsidP="00082D4D">
      <w:r w:rsidRPr="001005B7">
        <w:t xml:space="preserve">Whereas </w:t>
      </w:r>
      <w:r w:rsidR="002262B5" w:rsidRPr="001005B7">
        <w:t>t</w:t>
      </w:r>
      <w:r w:rsidR="00265078" w:rsidRPr="001005B7">
        <w:t xml:space="preserve">he Ezekiel memoir </w:t>
      </w:r>
      <w:r w:rsidR="00B30B9D" w:rsidRPr="001005B7">
        <w:t>c</w:t>
      </w:r>
      <w:r w:rsidR="00F66472" w:rsidRPr="001005B7">
        <w:t xml:space="preserve">ould have </w:t>
      </w:r>
      <w:r w:rsidR="00265078" w:rsidRPr="001005B7">
        <w:t xml:space="preserve">functioned for the </w:t>
      </w:r>
      <w:proofErr w:type="spellStart"/>
      <w:r w:rsidR="00265078" w:rsidRPr="001005B7">
        <w:t>Ke</w:t>
      </w:r>
      <w:r w:rsidR="00D162F4" w:rsidRPr="001005B7">
        <w:t>barite</w:t>
      </w:r>
      <w:proofErr w:type="spellEnd"/>
      <w:r w:rsidR="00D162F4" w:rsidRPr="001005B7">
        <w:t xml:space="preserve"> community </w:t>
      </w:r>
      <w:r w:rsidR="002262B5" w:rsidRPr="001005B7">
        <w:t>in the 5</w:t>
      </w:r>
      <w:r w:rsidR="00D95051" w:rsidRPr="001005B7">
        <w:t>70s onwards</w:t>
      </w:r>
      <w:r w:rsidR="002262B5" w:rsidRPr="001005B7">
        <w:t xml:space="preserve"> </w:t>
      </w:r>
      <w:r w:rsidR="00D162F4" w:rsidRPr="001005B7">
        <w:t>as a contemporary version</w:t>
      </w:r>
      <w:r w:rsidR="00004AF9" w:rsidRPr="001005B7">
        <w:t xml:space="preserve"> of Ezekiel’s oral ministry</w:t>
      </w:r>
      <w:r w:rsidR="00BB013C" w:rsidRPr="001005B7">
        <w:t>,</w:t>
      </w:r>
      <w:r w:rsidR="00004AF9" w:rsidRPr="001005B7">
        <w:t xml:space="preserve"> </w:t>
      </w:r>
      <w:r w:rsidR="00541447" w:rsidRPr="001005B7">
        <w:t>in</w:t>
      </w:r>
      <w:r w:rsidR="00CE151A" w:rsidRPr="001005B7">
        <w:t xml:space="preserve"> Jerusalem</w:t>
      </w:r>
      <w:r w:rsidR="00230448" w:rsidRPr="001005B7">
        <w:t xml:space="preserve"> and elsewhere</w:t>
      </w:r>
      <w:r w:rsidR="00541447" w:rsidRPr="001005B7">
        <w:t xml:space="preserve"> i</w:t>
      </w:r>
      <w:r w:rsidR="000D2101" w:rsidRPr="001005B7">
        <w:t>n later decades and centuries</w:t>
      </w:r>
      <w:r w:rsidR="006F0437" w:rsidRPr="001005B7">
        <w:t xml:space="preserve"> it </w:t>
      </w:r>
      <w:r w:rsidR="00CC63E4" w:rsidRPr="001005B7">
        <w:t xml:space="preserve">thus </w:t>
      </w:r>
      <w:r w:rsidR="006F0437" w:rsidRPr="001005B7">
        <w:t>came to have a</w:t>
      </w:r>
      <w:r w:rsidR="007926FE" w:rsidRPr="001005B7">
        <w:t xml:space="preserve"> </w:t>
      </w:r>
      <w:r w:rsidR="00FC4145" w:rsidRPr="001005B7">
        <w:t>p</w:t>
      </w:r>
      <w:r w:rsidR="005A5988" w:rsidRPr="001005B7">
        <w:t>lace</w:t>
      </w:r>
      <w:r w:rsidR="007926FE" w:rsidRPr="001005B7">
        <w:t xml:space="preserve"> </w:t>
      </w:r>
      <w:r w:rsidR="00C5143B" w:rsidRPr="001005B7">
        <w:t xml:space="preserve">more like its </w:t>
      </w:r>
      <w:r w:rsidR="00D81273" w:rsidRPr="001005B7">
        <w:t xml:space="preserve">subsequent </w:t>
      </w:r>
      <w:r w:rsidR="00FC4145" w:rsidRPr="001005B7">
        <w:t>position</w:t>
      </w:r>
      <w:r w:rsidR="00C5143B" w:rsidRPr="001005B7">
        <w:t xml:space="preserve"> as part of the Christian Scr</w:t>
      </w:r>
      <w:r w:rsidR="00AF1350" w:rsidRPr="001005B7">
        <w:t xml:space="preserve">iptures, or the </w:t>
      </w:r>
      <w:r w:rsidR="00CC63E4" w:rsidRPr="001005B7">
        <w:t xml:space="preserve">eventual </w:t>
      </w:r>
      <w:r w:rsidR="00D36CC9" w:rsidRPr="001005B7">
        <w:t>place</w:t>
      </w:r>
      <w:r w:rsidR="00AF1350" w:rsidRPr="001005B7">
        <w:t xml:space="preserve"> of Romans or Corinthians in </w:t>
      </w:r>
      <w:r w:rsidR="006430DC" w:rsidRPr="001005B7">
        <w:t>different churches around the Mediterranean</w:t>
      </w:r>
      <w:r w:rsidR="00AF1350" w:rsidRPr="001005B7">
        <w:t>.</w:t>
      </w:r>
      <w:r w:rsidR="008F1C0C" w:rsidRPr="001005B7">
        <w:t xml:space="preserve"> They would know it </w:t>
      </w:r>
      <w:r w:rsidR="00B44F43" w:rsidRPr="001005B7">
        <w:t>had</w:t>
      </w:r>
      <w:r w:rsidR="008F1C0C" w:rsidRPr="001005B7">
        <w:t xml:space="preserve"> not </w:t>
      </w:r>
      <w:r w:rsidR="00B44F43" w:rsidRPr="001005B7">
        <w:t>originally addressed them, but they recognized it could speak to them</w:t>
      </w:r>
      <w:r w:rsidR="00D05D34" w:rsidRPr="001005B7">
        <w:t xml:space="preserve"> and demand their attention</w:t>
      </w:r>
      <w:r w:rsidR="00B44F43" w:rsidRPr="001005B7">
        <w:t>.</w:t>
      </w:r>
      <w:r w:rsidR="00720731" w:rsidRPr="001005B7">
        <w:t xml:space="preserve"> </w:t>
      </w:r>
      <w:r w:rsidR="00544D1E" w:rsidRPr="001005B7">
        <w:t>Surprisingly</w:t>
      </w:r>
      <w:r w:rsidR="003C3A62" w:rsidRPr="001005B7">
        <w:t>, perhaps,</w:t>
      </w:r>
      <w:r w:rsidR="00755501" w:rsidRPr="001005B7">
        <w:t xml:space="preserve"> the </w:t>
      </w:r>
      <w:r w:rsidR="00C10678" w:rsidRPr="001005B7">
        <w:t xml:space="preserve">later </w:t>
      </w:r>
      <w:r w:rsidR="00755501" w:rsidRPr="001005B7">
        <w:t xml:space="preserve">existence of </w:t>
      </w:r>
      <w:r w:rsidR="00890423" w:rsidRPr="001005B7">
        <w:t xml:space="preserve">those </w:t>
      </w:r>
      <w:r w:rsidR="00122E4B" w:rsidRPr="001005B7">
        <w:t xml:space="preserve">different </w:t>
      </w:r>
      <w:r w:rsidR="00755501" w:rsidRPr="001005B7">
        <w:t>forms of the Ezekiel scroll (an</w:t>
      </w:r>
      <w:r w:rsidR="00122E4B" w:rsidRPr="001005B7">
        <w:t xml:space="preserve">d </w:t>
      </w:r>
      <w:r w:rsidR="00755501" w:rsidRPr="001005B7">
        <w:t>other scrolls</w:t>
      </w:r>
      <w:r w:rsidR="00AF22ED" w:rsidRPr="001005B7">
        <w:t xml:space="preserve">) </w:t>
      </w:r>
      <w:r w:rsidR="00E9743D">
        <w:t xml:space="preserve">among Jews in Egypt </w:t>
      </w:r>
      <w:r w:rsidR="00B36905">
        <w:t xml:space="preserve">and </w:t>
      </w:r>
      <w:r w:rsidR="00E9743D">
        <w:t xml:space="preserve">Judea </w:t>
      </w:r>
      <w:r w:rsidR="00B36905">
        <w:t>(</w:t>
      </w:r>
      <w:r w:rsidR="00E9743D">
        <w:t>and elsewhere</w:t>
      </w:r>
      <w:r w:rsidR="00B36905">
        <w:t>)</w:t>
      </w:r>
      <w:r w:rsidR="00E9743D">
        <w:t xml:space="preserve"> </w:t>
      </w:r>
      <w:r w:rsidR="00AF22ED" w:rsidRPr="001005B7">
        <w:t>i</w:t>
      </w:r>
      <w:r w:rsidR="003C3A62" w:rsidRPr="001005B7">
        <w:t>mplies</w:t>
      </w:r>
      <w:r w:rsidR="000F2A1E" w:rsidRPr="001005B7">
        <w:t xml:space="preserve"> that </w:t>
      </w:r>
      <w:r w:rsidR="00882E29" w:rsidRPr="001005B7">
        <w:t xml:space="preserve">the Jewish community did not </w:t>
      </w:r>
      <w:r w:rsidR="006859ED" w:rsidRPr="001005B7">
        <w:t>seek to keep the scroll in precisely the form that it had had from the beginning.</w:t>
      </w:r>
      <w:r w:rsidR="00584227" w:rsidRPr="001005B7">
        <w:t xml:space="preserve"> </w:t>
      </w:r>
      <w:r w:rsidR="00FE40BD" w:rsidRPr="001005B7">
        <w:rPr>
          <w:lang w:eastAsia="en-GB"/>
        </w:rPr>
        <w:t>W</w:t>
      </w:r>
      <w:r w:rsidR="000F242F" w:rsidRPr="001005B7">
        <w:t xml:space="preserve">hile </w:t>
      </w:r>
      <w:r w:rsidR="0000140D" w:rsidRPr="001005B7">
        <w:t>some</w:t>
      </w:r>
      <w:r w:rsidR="000F242F" w:rsidRPr="001005B7">
        <w:t xml:space="preserve"> detailed </w:t>
      </w:r>
      <w:r w:rsidR="00122E4B" w:rsidRPr="001005B7">
        <w:t>differences</w:t>
      </w:r>
      <w:r w:rsidR="000F242F" w:rsidRPr="001005B7">
        <w:t xml:space="preserve"> </w:t>
      </w:r>
      <w:r w:rsidR="001B0F4A" w:rsidRPr="001005B7">
        <w:t>between the main forms of the scroll re</w:t>
      </w:r>
      <w:r w:rsidR="00161780" w:rsidRPr="001005B7">
        <w:t>f</w:t>
      </w:r>
      <w:r w:rsidR="001B0F4A" w:rsidRPr="001005B7">
        <w:t>lect</w:t>
      </w:r>
      <w:r w:rsidR="00161780" w:rsidRPr="001005B7">
        <w:t xml:space="preserve"> accidental omissions of </w:t>
      </w:r>
      <w:r w:rsidR="0058317F" w:rsidRPr="001005B7">
        <w:t xml:space="preserve">words </w:t>
      </w:r>
      <w:r w:rsidR="00161780" w:rsidRPr="001005B7">
        <w:t xml:space="preserve">or </w:t>
      </w:r>
      <w:r w:rsidR="0058317F" w:rsidRPr="001005B7">
        <w:t>other</w:t>
      </w:r>
      <w:r w:rsidR="008C0613" w:rsidRPr="001005B7">
        <w:t xml:space="preserve"> </w:t>
      </w:r>
      <w:r w:rsidR="00A3221E" w:rsidRPr="001005B7">
        <w:t xml:space="preserve">such </w:t>
      </w:r>
      <w:r w:rsidR="00161780" w:rsidRPr="001005B7">
        <w:t>changes</w:t>
      </w:r>
      <w:r w:rsidR="008C0613" w:rsidRPr="001005B7">
        <w:t>, other</w:t>
      </w:r>
      <w:r w:rsidR="00A3221E" w:rsidRPr="001005B7">
        <w:t xml:space="preserve"> differences</w:t>
      </w:r>
      <w:r w:rsidR="008C0613" w:rsidRPr="001005B7">
        <w:t xml:space="preserve"> suggest deliberate </w:t>
      </w:r>
      <w:r w:rsidR="004E2662" w:rsidRPr="001005B7">
        <w:t>additions or simplifications of the text.</w:t>
      </w:r>
      <w:r w:rsidR="00465DAE" w:rsidRPr="001005B7">
        <w:t xml:space="preserve"> Again there is some similarity with the dynamics of modern translation</w:t>
      </w:r>
      <w:r w:rsidR="00013BFC" w:rsidRPr="001005B7">
        <w:t>.</w:t>
      </w:r>
      <w:r w:rsidR="005712D6" w:rsidRPr="001005B7">
        <w:t xml:space="preserve"> Whereas</w:t>
      </w:r>
      <w:r w:rsidR="00082D4D" w:rsidRPr="001005B7">
        <w:rPr>
          <w:lang w:eastAsia="en-GB"/>
        </w:rPr>
        <w:t xml:space="preserve"> </w:t>
      </w:r>
      <w:r w:rsidR="005712D6" w:rsidRPr="001005B7">
        <w:t>p</w:t>
      </w:r>
      <w:r w:rsidR="002128D7" w:rsidRPr="001005B7">
        <w:t>rophets</w:t>
      </w:r>
      <w:r w:rsidR="005712D6" w:rsidRPr="001005B7">
        <w:t xml:space="preserve"> </w:t>
      </w:r>
      <w:r w:rsidR="00E70F9E">
        <w:t>had been</w:t>
      </w:r>
      <w:r w:rsidR="007035E2" w:rsidRPr="001005B7">
        <w:t xml:space="preserve"> prominent in the Assyrian and Babylonian period</w:t>
      </w:r>
      <w:r w:rsidR="00C51F58" w:rsidRPr="001005B7">
        <w:t>s,</w:t>
      </w:r>
      <w:r w:rsidR="007035E2" w:rsidRPr="001005B7">
        <w:t xml:space="preserve"> </w:t>
      </w:r>
      <w:r w:rsidR="00BC4E96" w:rsidRPr="001005B7">
        <w:t xml:space="preserve">they </w:t>
      </w:r>
      <w:r w:rsidR="007035E2" w:rsidRPr="001005B7">
        <w:t>are no longer prominent in the Persian or Hellenistic period</w:t>
      </w:r>
      <w:r w:rsidR="00E70F9E">
        <w:t>s</w:t>
      </w:r>
      <w:r w:rsidR="00802E6E">
        <w:t>. There</w:t>
      </w:r>
      <w:r w:rsidR="00EF13FD" w:rsidRPr="001005B7">
        <w:t xml:space="preserve"> </w:t>
      </w:r>
      <w:r w:rsidR="00BC4E96" w:rsidRPr="001005B7">
        <w:t>might</w:t>
      </w:r>
      <w:r w:rsidR="00EF13FD" w:rsidRPr="001005B7">
        <w:t xml:space="preserve"> </w:t>
      </w:r>
      <w:r w:rsidR="00BC4E96" w:rsidRPr="001005B7">
        <w:t xml:space="preserve">seem to be </w:t>
      </w:r>
      <w:r w:rsidR="00EF13FD" w:rsidRPr="001005B7">
        <w:t>some mystery about “the disappearing prophet</w:t>
      </w:r>
      <w:r w:rsidR="00BC4E96" w:rsidRPr="001005B7">
        <w:t>.</w:t>
      </w:r>
      <w:r w:rsidR="00EF13FD" w:rsidRPr="001005B7">
        <w:t>”</w:t>
      </w:r>
      <w:r w:rsidR="00EF13FD" w:rsidRPr="001005B7">
        <w:rPr>
          <w:rStyle w:val="FootnoteReference"/>
        </w:rPr>
        <w:footnoteReference w:id="14"/>
      </w:r>
      <w:r w:rsidR="00BC4E96" w:rsidRPr="001005B7">
        <w:t xml:space="preserve"> Bu</w:t>
      </w:r>
      <w:r w:rsidR="00EF13FD" w:rsidRPr="001005B7">
        <w:t>t the</w:t>
      </w:r>
      <w:r w:rsidR="008E055A" w:rsidRPr="001005B7">
        <w:t>re is some continuity between the ministry of</w:t>
      </w:r>
      <w:r w:rsidR="00EF13FD" w:rsidRPr="001005B7">
        <w:t xml:space="preserve"> prophets and </w:t>
      </w:r>
      <w:r w:rsidR="008E055A" w:rsidRPr="001005B7">
        <w:t>th</w:t>
      </w:r>
      <w:r w:rsidR="00AB0371" w:rsidRPr="001005B7">
        <w:t xml:space="preserve">e </w:t>
      </w:r>
      <w:r w:rsidR="00177BD3" w:rsidRPr="001005B7">
        <w:t>late</w:t>
      </w:r>
      <w:r w:rsidR="001865B9" w:rsidRPr="001005B7">
        <w:t>r work</w:t>
      </w:r>
      <w:r w:rsidR="008E055A" w:rsidRPr="001005B7">
        <w:t xml:space="preserve"> of scribes or theologians</w:t>
      </w:r>
      <w:r w:rsidR="00EF13FD" w:rsidRPr="001005B7">
        <w:t>.</w:t>
      </w:r>
      <w:r w:rsidR="00482B25" w:rsidRPr="001005B7">
        <w:t xml:space="preserve"> The</w:t>
      </w:r>
      <w:r w:rsidR="00620170" w:rsidRPr="001005B7">
        <w:t xml:space="preserve"> </w:t>
      </w:r>
      <w:r w:rsidR="00082D4D" w:rsidRPr="001005B7">
        <w:t xml:space="preserve">people </w:t>
      </w:r>
      <w:r w:rsidR="00620170" w:rsidRPr="001005B7">
        <w:t>who cop</w:t>
      </w:r>
      <w:r w:rsidR="00082D4D" w:rsidRPr="001005B7">
        <w:t>ied</w:t>
      </w:r>
      <w:r w:rsidR="00620170" w:rsidRPr="001005B7">
        <w:t xml:space="preserve"> the text of Ezekiel</w:t>
      </w:r>
      <w:r w:rsidR="00041F50" w:rsidRPr="001005B7">
        <w:t xml:space="preserve"> both</w:t>
      </w:r>
      <w:r w:rsidR="00620170" w:rsidRPr="001005B7">
        <w:t xml:space="preserve"> recognized the </w:t>
      </w:r>
      <w:r w:rsidR="00712DEF" w:rsidRPr="001005B7">
        <w:t xml:space="preserve">life in the </w:t>
      </w:r>
      <w:r w:rsidR="009E7FEB" w:rsidRPr="001005B7">
        <w:t xml:space="preserve">text of Ezekiel’s God-given messages and </w:t>
      </w:r>
      <w:r w:rsidR="00041F50" w:rsidRPr="001005B7">
        <w:t xml:space="preserve">also </w:t>
      </w:r>
      <w:r w:rsidR="009E7FEB" w:rsidRPr="001005B7">
        <w:t>sought to</w:t>
      </w:r>
      <w:r w:rsidR="00DF7D85" w:rsidRPr="001005B7">
        <w:t xml:space="preserve"> give it further expression in a way </w:t>
      </w:r>
      <w:r w:rsidR="00080F5B" w:rsidRPr="001005B7">
        <w:t>that</w:t>
      </w:r>
      <w:r w:rsidR="00DF7D85" w:rsidRPr="001005B7">
        <w:t xml:space="preserve"> spoke to the people and the situations of their day, as New Testament writers later did</w:t>
      </w:r>
      <w:r w:rsidR="004D0E81" w:rsidRPr="001005B7">
        <w:t xml:space="preserve"> when they modified the text of the Torah, the Prophets, and the Writ</w:t>
      </w:r>
      <w:r w:rsidR="00970DC9" w:rsidRPr="001005B7">
        <w:t>i</w:t>
      </w:r>
      <w:r w:rsidR="004D0E81" w:rsidRPr="001005B7">
        <w:t>ng</w:t>
      </w:r>
      <w:r w:rsidR="00970DC9" w:rsidRPr="001005B7">
        <w:t>s</w:t>
      </w:r>
      <w:r w:rsidR="00DF7D85" w:rsidRPr="001005B7">
        <w:t xml:space="preserve">. </w:t>
      </w:r>
      <w:r w:rsidR="00E74052" w:rsidRPr="001005B7">
        <w:t>T</w:t>
      </w:r>
      <w:r w:rsidR="00DF7D85" w:rsidRPr="001005B7">
        <w:t xml:space="preserve">hese prophetic scribes were people </w:t>
      </w:r>
      <w:r w:rsidR="001F5DFD" w:rsidRPr="001005B7">
        <w:t>whom the Holy Spirit enable</w:t>
      </w:r>
      <w:r w:rsidR="00F0002C" w:rsidRPr="001005B7">
        <w:t>d</w:t>
      </w:r>
      <w:r w:rsidR="001F5DFD" w:rsidRPr="001005B7">
        <w:t xml:space="preserve"> to fulfill their vocation in doing so.</w:t>
      </w:r>
      <w:r w:rsidR="00071679" w:rsidRPr="001005B7">
        <w:t xml:space="preserve"> </w:t>
      </w:r>
    </w:p>
    <w:p w14:paraId="2BF87843" w14:textId="57419F41" w:rsidR="00EF13FD" w:rsidRPr="001005B7" w:rsidRDefault="00042B0C" w:rsidP="00211B1C">
      <w:r w:rsidRPr="001005B7">
        <w:t>The dynamic</w:t>
      </w:r>
      <w:r w:rsidR="003861F8" w:rsidRPr="001005B7">
        <w:t>s</w:t>
      </w:r>
      <w:r w:rsidRPr="001005B7">
        <w:t xml:space="preserve"> of this process </w:t>
      </w:r>
      <w:r w:rsidR="003861F8" w:rsidRPr="001005B7">
        <w:t>are</w:t>
      </w:r>
      <w:r w:rsidR="00D43AB4">
        <w:t xml:space="preserve"> thus</w:t>
      </w:r>
      <w:r w:rsidRPr="001005B7">
        <w:t xml:space="preserve"> reflected in the difference</w:t>
      </w:r>
      <w:r w:rsidR="00671E92" w:rsidRPr="001005B7">
        <w:t>s</w:t>
      </w:r>
      <w:r w:rsidRPr="001005B7">
        <w:t xml:space="preserve"> between</w:t>
      </w:r>
      <w:r w:rsidR="00671E92" w:rsidRPr="001005B7">
        <w:t xml:space="preserve"> </w:t>
      </w:r>
      <w:r w:rsidR="00671E92" w:rsidRPr="001005B7">
        <w:rPr>
          <w:sz w:val="18"/>
          <w:szCs w:val="18"/>
        </w:rPr>
        <w:t>MT</w:t>
      </w:r>
      <w:r w:rsidR="00671E92" w:rsidRPr="001005B7">
        <w:rPr>
          <w:lang w:eastAsia="en-GB"/>
        </w:rPr>
        <w:t xml:space="preserve"> and </w:t>
      </w:r>
      <w:r w:rsidR="00671E92" w:rsidRPr="001005B7">
        <w:rPr>
          <w:sz w:val="18"/>
          <w:szCs w:val="18"/>
        </w:rPr>
        <w:t>LXX</w:t>
      </w:r>
      <w:r w:rsidR="00CF6B4C" w:rsidRPr="001005B7">
        <w:t xml:space="preserve">. </w:t>
      </w:r>
      <w:r w:rsidR="000D0EAE" w:rsidRPr="001005B7">
        <w:t xml:space="preserve">Both </w:t>
      </w:r>
      <w:r w:rsidR="00AD75AF" w:rsidRPr="001005B7">
        <w:t xml:space="preserve">are slightly updated versions of the scroll as one might have </w:t>
      </w:r>
      <w:r w:rsidR="00E037BA" w:rsidRPr="001005B7">
        <w:t xml:space="preserve">come across </w:t>
      </w:r>
      <w:r w:rsidR="00211B1C" w:rsidRPr="001005B7">
        <w:t>it in the Persian period</w:t>
      </w:r>
      <w:r w:rsidR="000636CB" w:rsidRPr="001005B7">
        <w:t>.</w:t>
      </w:r>
      <w:r w:rsidR="00A07C56" w:rsidRPr="001005B7">
        <w:t xml:space="preserve"> </w:t>
      </w:r>
      <w:r w:rsidR="00071679" w:rsidRPr="001005B7">
        <w:rPr>
          <w:sz w:val="18"/>
          <w:szCs w:val="18"/>
        </w:rPr>
        <w:t>MT</w:t>
      </w:r>
      <w:r w:rsidR="00071679" w:rsidRPr="001005B7">
        <w:rPr>
          <w:lang w:eastAsia="en-GB"/>
        </w:rPr>
        <w:t xml:space="preserve">’s </w:t>
      </w:r>
      <w:r w:rsidR="00211B1C" w:rsidRPr="001005B7">
        <w:rPr>
          <w:lang w:eastAsia="en-GB"/>
        </w:rPr>
        <w:t xml:space="preserve">version </w:t>
      </w:r>
      <w:r w:rsidR="000636CB" w:rsidRPr="001005B7">
        <w:rPr>
          <w:lang w:eastAsia="en-GB"/>
        </w:rPr>
        <w:t>is</w:t>
      </w:r>
      <w:r w:rsidR="00071679" w:rsidRPr="001005B7">
        <w:rPr>
          <w:lang w:eastAsia="en-GB"/>
        </w:rPr>
        <w:t xml:space="preserve"> </w:t>
      </w:r>
      <w:r w:rsidR="00F20439" w:rsidRPr="001005B7">
        <w:rPr>
          <w:lang w:eastAsia="en-GB"/>
        </w:rPr>
        <w:t>a little</w:t>
      </w:r>
      <w:r w:rsidR="00071679" w:rsidRPr="001005B7">
        <w:rPr>
          <w:lang w:eastAsia="en-GB"/>
        </w:rPr>
        <w:t xml:space="preserve"> expanded, though sometimes </w:t>
      </w:r>
      <w:r w:rsidR="00071679" w:rsidRPr="001005B7">
        <w:rPr>
          <w:sz w:val="18"/>
          <w:szCs w:val="18"/>
        </w:rPr>
        <w:t>LXX</w:t>
      </w:r>
      <w:r w:rsidR="00071679" w:rsidRPr="001005B7">
        <w:rPr>
          <w:lang w:eastAsia="en-GB"/>
        </w:rPr>
        <w:t xml:space="preserve"> </w:t>
      </w:r>
      <w:r w:rsidR="000636CB" w:rsidRPr="001005B7">
        <w:rPr>
          <w:lang w:eastAsia="en-GB"/>
        </w:rPr>
        <w:t xml:space="preserve">may </w:t>
      </w:r>
      <w:r w:rsidR="00071679" w:rsidRPr="001005B7">
        <w:rPr>
          <w:lang w:eastAsia="en-GB"/>
        </w:rPr>
        <w:t>ha</w:t>
      </w:r>
      <w:r w:rsidR="000636CB" w:rsidRPr="001005B7">
        <w:rPr>
          <w:lang w:eastAsia="en-GB"/>
        </w:rPr>
        <w:t>ve</w:t>
      </w:r>
      <w:r w:rsidR="00071679" w:rsidRPr="001005B7">
        <w:rPr>
          <w:lang w:eastAsia="en-GB"/>
        </w:rPr>
        <w:t xml:space="preserve"> lost something by accident or</w:t>
      </w:r>
      <w:r w:rsidR="002F06F0">
        <w:rPr>
          <w:lang w:eastAsia="en-GB"/>
        </w:rPr>
        <w:t xml:space="preserve"> may have</w:t>
      </w:r>
      <w:r w:rsidR="00071679" w:rsidRPr="001005B7">
        <w:rPr>
          <w:lang w:eastAsia="en-GB"/>
        </w:rPr>
        <w:t xml:space="preserve"> shortened the text where it thought it was a bit wordy. </w:t>
      </w:r>
      <w:r w:rsidR="005D69BD" w:rsidRPr="001005B7">
        <w:rPr>
          <w:lang w:eastAsia="en-GB"/>
        </w:rPr>
        <w:t xml:space="preserve">A classic difference between </w:t>
      </w:r>
      <w:r w:rsidR="00B54FBC" w:rsidRPr="001005B7">
        <w:rPr>
          <w:lang w:eastAsia="en-GB"/>
        </w:rPr>
        <w:t>them is</w:t>
      </w:r>
      <w:r w:rsidR="005D69BD" w:rsidRPr="001005B7">
        <w:rPr>
          <w:lang w:eastAsia="en-GB"/>
        </w:rPr>
        <w:t xml:space="preserve"> that </w:t>
      </w:r>
      <w:r w:rsidR="005D69BD" w:rsidRPr="001005B7">
        <w:rPr>
          <w:sz w:val="18"/>
          <w:szCs w:val="18"/>
        </w:rPr>
        <w:t>MT</w:t>
      </w:r>
      <w:r w:rsidR="005D69BD" w:rsidRPr="001005B7">
        <w:rPr>
          <w:lang w:eastAsia="en-GB"/>
        </w:rPr>
        <w:t xml:space="preserve"> commonly has “the Lord Yahweh” where </w:t>
      </w:r>
      <w:r w:rsidR="005D69BD" w:rsidRPr="001005B7">
        <w:rPr>
          <w:sz w:val="18"/>
          <w:szCs w:val="18"/>
        </w:rPr>
        <w:t>LXX</w:t>
      </w:r>
      <w:r w:rsidR="005D69BD" w:rsidRPr="001005B7">
        <w:rPr>
          <w:lang w:eastAsia="en-GB"/>
        </w:rPr>
        <w:t xml:space="preserve"> has simply “the Lord” </w:t>
      </w:r>
      <w:r w:rsidR="00BC7E8D" w:rsidRPr="001005B7">
        <w:rPr>
          <w:lang w:eastAsia="en-GB"/>
        </w:rPr>
        <w:t>as its translation of “</w:t>
      </w:r>
      <w:r w:rsidR="00B54FBC" w:rsidRPr="001005B7">
        <w:rPr>
          <w:lang w:eastAsia="en-GB"/>
        </w:rPr>
        <w:t xml:space="preserve">Yahweh” </w:t>
      </w:r>
      <w:r w:rsidR="00B17641" w:rsidRPr="001005B7">
        <w:rPr>
          <w:lang w:eastAsia="en-GB"/>
        </w:rPr>
        <w:t>(</w:t>
      </w:r>
      <w:r w:rsidR="005D69BD" w:rsidRPr="001005B7">
        <w:rPr>
          <w:lang w:eastAsia="en-GB"/>
        </w:rPr>
        <w:t>e.g., 2:4; 3:11; 5:5, 7, 8, 11)</w:t>
      </w:r>
      <w:r w:rsidR="002F06F0">
        <w:rPr>
          <w:lang w:eastAsia="en-GB"/>
        </w:rPr>
        <w:t>. In</w:t>
      </w:r>
      <w:r w:rsidR="005D69BD" w:rsidRPr="001005B7">
        <w:rPr>
          <w:lang w:eastAsia="en-GB"/>
        </w:rPr>
        <w:t xml:space="preserve"> principle </w:t>
      </w:r>
      <w:r w:rsidR="002F06F0">
        <w:rPr>
          <w:lang w:eastAsia="en-GB"/>
        </w:rPr>
        <w:t xml:space="preserve">that </w:t>
      </w:r>
      <w:r w:rsidR="005D69BD" w:rsidRPr="001005B7">
        <w:rPr>
          <w:lang w:eastAsia="en-GB"/>
        </w:rPr>
        <w:t xml:space="preserve">might mean </w:t>
      </w:r>
      <w:r w:rsidR="005D69BD" w:rsidRPr="001005B7">
        <w:rPr>
          <w:sz w:val="18"/>
          <w:szCs w:val="18"/>
        </w:rPr>
        <w:t>MT</w:t>
      </w:r>
      <w:r w:rsidR="005D69BD" w:rsidRPr="001005B7">
        <w:rPr>
          <w:lang w:eastAsia="en-GB"/>
        </w:rPr>
        <w:t xml:space="preserve"> expanded the expression or that </w:t>
      </w:r>
      <w:r w:rsidR="005D69BD" w:rsidRPr="001005B7">
        <w:rPr>
          <w:sz w:val="18"/>
          <w:szCs w:val="18"/>
        </w:rPr>
        <w:t>LXX</w:t>
      </w:r>
      <w:r w:rsidR="005D69BD" w:rsidRPr="001005B7">
        <w:rPr>
          <w:lang w:eastAsia="en-GB"/>
        </w:rPr>
        <w:t xml:space="preserve"> made it more succinct or traditional.</w:t>
      </w:r>
      <w:r w:rsidR="00BC7E8D" w:rsidRPr="001005B7">
        <w:rPr>
          <w:lang w:eastAsia="en-GB"/>
        </w:rPr>
        <w:t xml:space="preserve"> </w:t>
      </w:r>
      <w:r w:rsidR="00071679" w:rsidRPr="001005B7">
        <w:t xml:space="preserve">Sometimes </w:t>
      </w:r>
      <w:r w:rsidR="00071679" w:rsidRPr="001005B7">
        <w:rPr>
          <w:sz w:val="18"/>
          <w:szCs w:val="18"/>
        </w:rPr>
        <w:t>MT</w:t>
      </w:r>
      <w:r w:rsidR="00071679" w:rsidRPr="001005B7">
        <w:t xml:space="preserve"> has one Hebrew word or expression and </w:t>
      </w:r>
      <w:r w:rsidR="00071679" w:rsidRPr="001005B7">
        <w:rPr>
          <w:sz w:val="18"/>
          <w:szCs w:val="18"/>
        </w:rPr>
        <w:t>LXX</w:t>
      </w:r>
      <w:r w:rsidR="00071679" w:rsidRPr="001005B7">
        <w:t xml:space="preserve"> implies a different one</w:t>
      </w:r>
      <w:r w:rsidR="00E019D0" w:rsidRPr="001005B7">
        <w:t>. Sometimes</w:t>
      </w:r>
      <w:r w:rsidR="00071679" w:rsidRPr="001005B7">
        <w:rPr>
          <w:lang w:eastAsia="en-GB"/>
        </w:rPr>
        <w:t xml:space="preserve"> </w:t>
      </w:r>
      <w:r w:rsidR="00071679" w:rsidRPr="001005B7">
        <w:rPr>
          <w:sz w:val="18"/>
          <w:szCs w:val="18"/>
        </w:rPr>
        <w:t>MT</w:t>
      </w:r>
      <w:r w:rsidR="00071679" w:rsidRPr="001005B7">
        <w:rPr>
          <w:lang w:eastAsia="en-GB"/>
        </w:rPr>
        <w:t xml:space="preserve"> was seeking to clarify something in its Hebrew text or to make links with other texts in Ezekiel or with other Scriptures.</w:t>
      </w:r>
      <w:r w:rsidR="00071679" w:rsidRPr="001005B7">
        <w:rPr>
          <w:rStyle w:val="FootnoteReference"/>
          <w:lang w:eastAsia="en-GB"/>
        </w:rPr>
        <w:footnoteReference w:id="15"/>
      </w:r>
      <w:r w:rsidR="00071679" w:rsidRPr="001005B7">
        <w:rPr>
          <w:lang w:eastAsia="en-GB"/>
        </w:rPr>
        <w:t xml:space="preserve"> Likewise </w:t>
      </w:r>
      <w:r w:rsidR="00071679" w:rsidRPr="001005B7">
        <w:rPr>
          <w:sz w:val="18"/>
          <w:szCs w:val="18"/>
        </w:rPr>
        <w:t>LXX</w:t>
      </w:r>
      <w:r w:rsidR="00071679" w:rsidRPr="001005B7">
        <w:rPr>
          <w:lang w:eastAsia="en-GB"/>
        </w:rPr>
        <w:t xml:space="preserve"> can be “idiosyncratic” or “curious,” partly because of the influence of the </w:t>
      </w:r>
      <w:r w:rsidR="002F689E" w:rsidRPr="001005B7">
        <w:rPr>
          <w:sz w:val="18"/>
          <w:szCs w:val="18"/>
        </w:rPr>
        <w:t>LXX</w:t>
      </w:r>
      <w:r w:rsidR="002F689E" w:rsidRPr="001005B7">
        <w:rPr>
          <w:lang w:eastAsia="en-GB"/>
        </w:rPr>
        <w:t xml:space="preserve"> </w:t>
      </w:r>
      <w:r w:rsidR="00071679" w:rsidRPr="001005B7">
        <w:rPr>
          <w:lang w:eastAsia="en-GB"/>
        </w:rPr>
        <w:t>translation of the Torah.</w:t>
      </w:r>
      <w:r w:rsidR="00071679" w:rsidRPr="001005B7">
        <w:rPr>
          <w:rStyle w:val="FootnoteReference"/>
          <w:lang w:eastAsia="en-GB"/>
        </w:rPr>
        <w:footnoteReference w:id="16"/>
      </w:r>
      <w:r w:rsidR="00071679" w:rsidRPr="001005B7">
        <w:rPr>
          <w:lang w:eastAsia="en-GB"/>
        </w:rPr>
        <w:t xml:space="preserve"> </w:t>
      </w:r>
    </w:p>
    <w:p w14:paraId="0FBF7E37" w14:textId="4E2A5A0C" w:rsidR="00855AAF" w:rsidRPr="001005B7" w:rsidRDefault="005B36E3" w:rsidP="00855AAF">
      <w:pPr>
        <w:rPr>
          <w:lang w:eastAsia="en-GB"/>
        </w:rPr>
      </w:pPr>
      <w:r w:rsidRPr="001005B7">
        <w:rPr>
          <w:lang w:eastAsia="en-GB"/>
        </w:rPr>
        <w:t>T</w:t>
      </w:r>
      <w:r w:rsidR="00855AAF" w:rsidRPr="001005B7">
        <w:rPr>
          <w:lang w:eastAsia="en-GB"/>
        </w:rPr>
        <w:t>h</w:t>
      </w:r>
      <w:r w:rsidR="00585B59" w:rsidRPr="001005B7">
        <w:rPr>
          <w:lang w:eastAsia="en-GB"/>
        </w:rPr>
        <w:t xml:space="preserve">is process of updating </w:t>
      </w:r>
      <w:r w:rsidR="00855AAF" w:rsidRPr="001005B7">
        <w:rPr>
          <w:lang w:eastAsia="en-GB"/>
        </w:rPr>
        <w:t>continued through to the end of the Second Temple period and the fall of Jerusalem in</w:t>
      </w:r>
      <w:r w:rsidR="00855AAF" w:rsidRPr="001005B7">
        <w:rPr>
          <w:sz w:val="18"/>
          <w:szCs w:val="18"/>
          <w:lang w:eastAsia="en-GB"/>
        </w:rPr>
        <w:t xml:space="preserve"> AD </w:t>
      </w:r>
      <w:r w:rsidR="00855AAF" w:rsidRPr="001005B7">
        <w:rPr>
          <w:lang w:eastAsia="en-GB"/>
        </w:rPr>
        <w:t xml:space="preserve">70. </w:t>
      </w:r>
      <w:r w:rsidR="008D1797">
        <w:rPr>
          <w:lang w:eastAsia="en-GB"/>
        </w:rPr>
        <w:t>It might be that</w:t>
      </w:r>
      <w:r w:rsidR="00855AAF" w:rsidRPr="001005B7">
        <w:rPr>
          <w:lang w:eastAsia="en-GB"/>
        </w:rPr>
        <w:t xml:space="preserve"> th</w:t>
      </w:r>
      <w:r w:rsidR="00E20244" w:rsidRPr="001005B7">
        <w:rPr>
          <w:lang w:eastAsia="en-GB"/>
        </w:rPr>
        <w:t>is</w:t>
      </w:r>
      <w:r w:rsidR="00855AAF" w:rsidRPr="001005B7">
        <w:rPr>
          <w:lang w:eastAsia="en-GB"/>
        </w:rPr>
        <w:t xml:space="preserve"> event triggered a concern to keep the text of the Scriptures inviolable. </w:t>
      </w:r>
      <w:r w:rsidR="00E20244" w:rsidRPr="001005B7">
        <w:rPr>
          <w:lang w:eastAsia="en-GB"/>
        </w:rPr>
        <w:t>But w</w:t>
      </w:r>
      <w:r w:rsidR="00855AAF" w:rsidRPr="001005B7">
        <w:rPr>
          <w:lang w:eastAsia="en-GB"/>
        </w:rPr>
        <w:t>e know of no occasion when Ezekiel or any other works were “canonized.” As far as we</w:t>
      </w:r>
      <w:r w:rsidR="00703E80" w:rsidRPr="001005B7">
        <w:rPr>
          <w:lang w:eastAsia="en-GB"/>
        </w:rPr>
        <w:t xml:space="preserve"> can tell</w:t>
      </w:r>
      <w:r w:rsidR="00855AAF" w:rsidRPr="001005B7">
        <w:rPr>
          <w:lang w:eastAsia="en-GB"/>
        </w:rPr>
        <w:t xml:space="preserve">, that happened in an informal way. And we know of no occasion when the canon was “closed.” As far as we </w:t>
      </w:r>
      <w:r w:rsidR="002A03B7" w:rsidRPr="001005B7">
        <w:rPr>
          <w:lang w:eastAsia="en-GB"/>
        </w:rPr>
        <w:t>can tell</w:t>
      </w:r>
      <w:r w:rsidR="00855AAF" w:rsidRPr="001005B7">
        <w:rPr>
          <w:lang w:eastAsia="en-GB"/>
        </w:rPr>
        <w:t xml:space="preserve">, </w:t>
      </w:r>
      <w:r w:rsidR="00AD3AA0">
        <w:rPr>
          <w:lang w:eastAsia="en-GB"/>
        </w:rPr>
        <w:t>t</w:t>
      </w:r>
      <w:r w:rsidR="00855AAF" w:rsidRPr="001005B7">
        <w:rPr>
          <w:lang w:eastAsia="en-GB"/>
        </w:rPr>
        <w:t>he community just stopped find</w:t>
      </w:r>
      <w:r w:rsidR="002A03B7" w:rsidRPr="001005B7">
        <w:rPr>
          <w:lang w:eastAsia="en-GB"/>
        </w:rPr>
        <w:t>ing that it had to</w:t>
      </w:r>
      <w:r w:rsidR="00855AAF" w:rsidRPr="001005B7">
        <w:rPr>
          <w:lang w:eastAsia="en-GB"/>
        </w:rPr>
        <w:t xml:space="preserve"> recogniz</w:t>
      </w:r>
      <w:r w:rsidR="002A03B7" w:rsidRPr="001005B7">
        <w:rPr>
          <w:lang w:eastAsia="en-GB"/>
        </w:rPr>
        <w:t>e</w:t>
      </w:r>
      <w:r w:rsidR="00855AAF" w:rsidRPr="001005B7">
        <w:rPr>
          <w:lang w:eastAsia="en-GB"/>
        </w:rPr>
        <w:t xml:space="preserve"> any more works </w:t>
      </w:r>
      <w:r w:rsidR="007F5F69" w:rsidRPr="001005B7">
        <w:rPr>
          <w:lang w:eastAsia="en-GB"/>
        </w:rPr>
        <w:t xml:space="preserve">and add them </w:t>
      </w:r>
      <w:r w:rsidR="00855AAF" w:rsidRPr="001005B7">
        <w:rPr>
          <w:lang w:eastAsia="en-GB"/>
        </w:rPr>
        <w:t>to its collection.</w:t>
      </w:r>
    </w:p>
    <w:p w14:paraId="7AF75CB5" w14:textId="670836A4" w:rsidR="00BA76BD" w:rsidRPr="001005B7" w:rsidRDefault="00BA76BD" w:rsidP="00493833">
      <w:pPr>
        <w:pStyle w:val="Heading3"/>
      </w:pPr>
      <w:r w:rsidRPr="001005B7">
        <w:t xml:space="preserve">The </w:t>
      </w:r>
      <w:r w:rsidR="0086240C" w:rsidRPr="001005B7">
        <w:t>Theology</w:t>
      </w:r>
    </w:p>
    <w:p w14:paraId="54D380B7" w14:textId="39B65134" w:rsidR="002D180F" w:rsidRPr="001005B7" w:rsidRDefault="002E24E2" w:rsidP="00F228CC">
      <w:r w:rsidRPr="001005B7">
        <w:t>T</w:t>
      </w:r>
      <w:r w:rsidR="00080F5B" w:rsidRPr="001005B7">
        <w:t xml:space="preserve">he complexity of links </w:t>
      </w:r>
      <w:r w:rsidRPr="001005B7">
        <w:t xml:space="preserve">such as those </w:t>
      </w:r>
      <w:r w:rsidR="00080F5B" w:rsidRPr="001005B7">
        <w:t>between Ezekiel and the Torah means that in some respects the Ezekiel scroll constitutes a synthesis of Israelite thinking parallel</w:t>
      </w:r>
      <w:r w:rsidR="003A270F" w:rsidRPr="001005B7">
        <w:t>ing</w:t>
      </w:r>
      <w:r w:rsidR="00080F5B" w:rsidRPr="001005B7">
        <w:t xml:space="preserve"> that in the Torah itself.</w:t>
      </w:r>
      <w:r w:rsidR="00080F5B" w:rsidRPr="001005B7">
        <w:rPr>
          <w:rStyle w:val="FootnoteReference"/>
        </w:rPr>
        <w:footnoteReference w:id="17"/>
      </w:r>
      <w:r w:rsidR="00080F5B" w:rsidRPr="001005B7">
        <w:t xml:space="preserve"> </w:t>
      </w:r>
      <w:r w:rsidR="00F228CC" w:rsidRPr="001005B7">
        <w:t>If it is so</w:t>
      </w:r>
      <w:r w:rsidR="0042022C" w:rsidRPr="001005B7">
        <w:rPr>
          <w:lang w:eastAsia="en-GB"/>
        </w:rPr>
        <w:t>, what is th</w:t>
      </w:r>
      <w:r w:rsidR="00AA1AC1" w:rsidRPr="001005B7">
        <w:rPr>
          <w:lang w:eastAsia="en-GB"/>
        </w:rPr>
        <w:t>e</w:t>
      </w:r>
      <w:r w:rsidR="0042022C" w:rsidRPr="001005B7">
        <w:rPr>
          <w:lang w:eastAsia="en-GB"/>
        </w:rPr>
        <w:t xml:space="preserve"> faith</w:t>
      </w:r>
      <w:r w:rsidR="00AA1AC1" w:rsidRPr="001005B7">
        <w:rPr>
          <w:lang w:eastAsia="en-GB"/>
        </w:rPr>
        <w:t xml:space="preserve"> it implies</w:t>
      </w:r>
      <w:r w:rsidR="0042022C" w:rsidRPr="001005B7">
        <w:rPr>
          <w:lang w:eastAsia="en-GB"/>
        </w:rPr>
        <w:t>?</w:t>
      </w:r>
      <w:r w:rsidR="00576DA2" w:rsidRPr="001005B7">
        <w:rPr>
          <w:lang w:eastAsia="en-GB"/>
        </w:rPr>
        <w:t xml:space="preserve"> </w:t>
      </w:r>
    </w:p>
    <w:p w14:paraId="7EAC7F5D" w14:textId="5CDC6326" w:rsidR="00BA76BD" w:rsidRPr="001005B7" w:rsidRDefault="00BA76BD" w:rsidP="00BA76BD">
      <w:pPr>
        <w:rPr>
          <w:lang w:eastAsia="en-GB"/>
        </w:rPr>
      </w:pPr>
      <w:r w:rsidRPr="001005B7">
        <w:rPr>
          <w:lang w:eastAsia="en-GB"/>
        </w:rPr>
        <w:t>Ezekiel</w:t>
      </w:r>
      <w:r w:rsidR="005A3119">
        <w:rPr>
          <w:lang w:eastAsia="en-GB"/>
        </w:rPr>
        <w:t>’s</w:t>
      </w:r>
      <w:r w:rsidRPr="001005B7">
        <w:rPr>
          <w:lang w:eastAsia="en-GB"/>
        </w:rPr>
        <w:t xml:space="preserve"> </w:t>
      </w:r>
      <w:r w:rsidR="00176F39" w:rsidRPr="001005B7">
        <w:rPr>
          <w:lang w:eastAsia="en-GB"/>
        </w:rPr>
        <w:t>ongoing</w:t>
      </w:r>
      <w:r w:rsidR="00A53E41" w:rsidRPr="001005B7">
        <w:rPr>
          <w:lang w:eastAsia="en-GB"/>
        </w:rPr>
        <w:t xml:space="preserve"> </w:t>
      </w:r>
      <w:r w:rsidR="00B61350" w:rsidRPr="001005B7">
        <w:rPr>
          <w:lang w:eastAsia="en-GB"/>
        </w:rPr>
        <w:t>repet</w:t>
      </w:r>
      <w:r w:rsidR="00A53E41" w:rsidRPr="001005B7">
        <w:rPr>
          <w:lang w:eastAsia="en-GB"/>
        </w:rPr>
        <w:t>ition</w:t>
      </w:r>
      <w:r w:rsidR="00B61350" w:rsidRPr="001005B7">
        <w:rPr>
          <w:lang w:eastAsia="en-GB"/>
        </w:rPr>
        <w:t xml:space="preserve"> that</w:t>
      </w:r>
      <w:r w:rsidRPr="001005B7">
        <w:rPr>
          <w:lang w:eastAsia="en-GB"/>
        </w:rPr>
        <w:t xml:space="preserve"> Yahweh’s aim </w:t>
      </w:r>
      <w:r w:rsidR="00FD59F1" w:rsidRPr="001005B7">
        <w:rPr>
          <w:lang w:eastAsia="en-GB"/>
        </w:rPr>
        <w:t xml:space="preserve">through his messages </w:t>
      </w:r>
      <w:r w:rsidRPr="001005B7">
        <w:rPr>
          <w:lang w:eastAsia="en-GB"/>
        </w:rPr>
        <w:t xml:space="preserve">was to get people to acknowledge that Yahweh is God suggests </w:t>
      </w:r>
      <w:r w:rsidR="005B62C5" w:rsidRPr="001005B7">
        <w:rPr>
          <w:lang w:eastAsia="en-GB"/>
        </w:rPr>
        <w:t>three</w:t>
      </w:r>
      <w:r w:rsidRPr="001005B7">
        <w:rPr>
          <w:lang w:eastAsia="en-GB"/>
        </w:rPr>
        <w:t xml:space="preserve"> motifs for an understanding of </w:t>
      </w:r>
      <w:r w:rsidR="00176F39" w:rsidRPr="001005B7">
        <w:rPr>
          <w:lang w:eastAsia="en-GB"/>
        </w:rPr>
        <w:t>the</w:t>
      </w:r>
      <w:r w:rsidRPr="001005B7">
        <w:rPr>
          <w:lang w:eastAsia="en-GB"/>
        </w:rPr>
        <w:t xml:space="preserve"> message: </w:t>
      </w:r>
    </w:p>
    <w:p w14:paraId="3A9F1D7A" w14:textId="77777777" w:rsidR="00BA76BD" w:rsidRPr="001005B7" w:rsidRDefault="00BA76BD" w:rsidP="00BA76BD">
      <w:pPr>
        <w:rPr>
          <w:lang w:eastAsia="en-GB"/>
        </w:rPr>
      </w:pPr>
    </w:p>
    <w:p w14:paraId="053AB38E" w14:textId="77777777" w:rsidR="00BA76BD" w:rsidRPr="001005B7" w:rsidRDefault="00BA76BD" w:rsidP="00BA76BD">
      <w:pPr>
        <w:pStyle w:val="Bullet"/>
        <w:rPr>
          <w:lang w:eastAsia="en-GB"/>
        </w:rPr>
      </w:pPr>
      <w:r w:rsidRPr="001005B7">
        <w:rPr>
          <w:lang w:eastAsia="en-GB"/>
        </w:rPr>
        <w:t>who God is</w:t>
      </w:r>
    </w:p>
    <w:p w14:paraId="38070715" w14:textId="77777777" w:rsidR="00BA76BD" w:rsidRPr="001005B7" w:rsidRDefault="00BA76BD" w:rsidP="00BA76BD">
      <w:pPr>
        <w:pStyle w:val="Bullet"/>
        <w:rPr>
          <w:lang w:eastAsia="en-GB"/>
        </w:rPr>
      </w:pPr>
      <w:r w:rsidRPr="001005B7">
        <w:rPr>
          <w:lang w:eastAsia="en-GB"/>
        </w:rPr>
        <w:t>what it then means that Yahweh is God</w:t>
      </w:r>
    </w:p>
    <w:p w14:paraId="3638B21D" w14:textId="4AD4D92E" w:rsidR="00BA76BD" w:rsidRPr="001005B7" w:rsidRDefault="00BA76BD" w:rsidP="005B62C5">
      <w:pPr>
        <w:pStyle w:val="Bullet"/>
        <w:rPr>
          <w:lang w:eastAsia="en-GB"/>
        </w:rPr>
      </w:pPr>
      <w:r w:rsidRPr="001005B7">
        <w:rPr>
          <w:lang w:eastAsia="en-GB"/>
        </w:rPr>
        <w:t xml:space="preserve">what is involved in acknowledging Yahweh as God </w:t>
      </w:r>
    </w:p>
    <w:p w14:paraId="3815C380" w14:textId="77777777" w:rsidR="00BA76BD" w:rsidRPr="001005B7" w:rsidRDefault="00BA76BD" w:rsidP="00BA76BD">
      <w:pPr>
        <w:rPr>
          <w:lang w:eastAsia="en-GB"/>
        </w:rPr>
      </w:pPr>
    </w:p>
    <w:p w14:paraId="038E5762" w14:textId="35A296BC" w:rsidR="00C217C3" w:rsidRPr="001005B7" w:rsidRDefault="00BA76BD" w:rsidP="00BA76BD">
      <w:pPr>
        <w:rPr>
          <w:lang w:eastAsia="en-GB"/>
        </w:rPr>
      </w:pPr>
      <w:r w:rsidRPr="001005B7">
        <w:rPr>
          <w:i/>
          <w:iCs/>
          <w:lang w:eastAsia="en-GB"/>
        </w:rPr>
        <w:t>Who God Is</w:t>
      </w:r>
      <w:r w:rsidRPr="001005B7">
        <w:rPr>
          <w:lang w:eastAsia="en-GB"/>
        </w:rPr>
        <w:t>.</w:t>
      </w:r>
      <w:r w:rsidRPr="001005B7">
        <w:rPr>
          <w:i/>
          <w:iCs/>
          <w:lang w:eastAsia="en-GB"/>
        </w:rPr>
        <w:t xml:space="preserve"> </w:t>
      </w:r>
      <w:r w:rsidRPr="001005B7">
        <w:rPr>
          <w:lang w:eastAsia="en-GB"/>
        </w:rPr>
        <w:t>The scroll begins with the heavens open</w:t>
      </w:r>
      <w:r w:rsidR="002874D8" w:rsidRPr="001005B7">
        <w:rPr>
          <w:lang w:eastAsia="en-GB"/>
        </w:rPr>
        <w:t>ing</w:t>
      </w:r>
      <w:r w:rsidRPr="001005B7">
        <w:rPr>
          <w:lang w:eastAsia="en-GB"/>
        </w:rPr>
        <w:t xml:space="preserve"> and God appearing in awe-inspiring </w:t>
      </w:r>
      <w:r w:rsidR="007308EF" w:rsidRPr="001005B7">
        <w:rPr>
          <w:lang w:eastAsia="en-GB"/>
        </w:rPr>
        <w:t>magnificence</w:t>
      </w:r>
      <w:r w:rsidRPr="001005B7">
        <w:rPr>
          <w:lang w:eastAsia="en-GB"/>
        </w:rPr>
        <w:t xml:space="preserve">, speaking and putting his hand on </w:t>
      </w:r>
      <w:r w:rsidR="000B533E" w:rsidRPr="001005B7">
        <w:rPr>
          <w:lang w:eastAsia="en-GB"/>
        </w:rPr>
        <w:t>an individual</w:t>
      </w:r>
      <w:r w:rsidRPr="001005B7">
        <w:rPr>
          <w:lang w:eastAsia="en-GB"/>
        </w:rPr>
        <w:t xml:space="preserve">. So God is not essentially a being </w:t>
      </w:r>
      <w:r w:rsidR="008C0FA6" w:rsidRPr="001005B7">
        <w:rPr>
          <w:lang w:eastAsia="en-GB"/>
        </w:rPr>
        <w:t>inside</w:t>
      </w:r>
      <w:r w:rsidRPr="001005B7">
        <w:rPr>
          <w:lang w:eastAsia="en-GB"/>
        </w:rPr>
        <w:t xml:space="preserve"> the world, </w:t>
      </w:r>
      <w:r w:rsidR="008C0FA6" w:rsidRPr="001005B7">
        <w:rPr>
          <w:lang w:eastAsia="en-GB"/>
        </w:rPr>
        <w:t>inside</w:t>
      </w:r>
      <w:r w:rsidRPr="001005B7">
        <w:rPr>
          <w:lang w:eastAsia="en-GB"/>
        </w:rPr>
        <w:t xml:space="preserve"> the heavens and the earth. The implication is that even when there were no heavens and earth, God was </w:t>
      </w:r>
      <w:r w:rsidR="00167F6E" w:rsidRPr="001005B7">
        <w:rPr>
          <w:lang w:eastAsia="en-GB"/>
        </w:rPr>
        <w:t>already</w:t>
      </w:r>
      <w:r w:rsidRPr="001005B7">
        <w:rPr>
          <w:lang w:eastAsia="en-GB"/>
        </w:rPr>
        <w:t xml:space="preserve"> alive, in a different realm from the one he went on to create. He is</w:t>
      </w:r>
      <w:r w:rsidR="009D14A9" w:rsidRPr="001005B7">
        <w:rPr>
          <w:lang w:eastAsia="en-GB"/>
        </w:rPr>
        <w:t xml:space="preserve"> thus</w:t>
      </w:r>
      <w:r w:rsidRPr="001005B7">
        <w:rPr>
          <w:lang w:eastAsia="en-GB"/>
        </w:rPr>
        <w:t xml:space="preserve"> independent of the heavens and the earth</w:t>
      </w:r>
      <w:r w:rsidR="009D14A9" w:rsidRPr="001005B7">
        <w:rPr>
          <w:lang w:eastAsia="en-GB"/>
        </w:rPr>
        <w:t>, b</w:t>
      </w:r>
      <w:r w:rsidRPr="001005B7">
        <w:rPr>
          <w:lang w:eastAsia="en-GB"/>
        </w:rPr>
        <w:t xml:space="preserve">ut he gets involved with them. He appears within the world, in a way that reflects how awe-inspiring he is. </w:t>
      </w:r>
      <w:r w:rsidR="00E64609" w:rsidRPr="001005B7">
        <w:rPr>
          <w:lang w:eastAsia="en-GB"/>
        </w:rPr>
        <w:t>Ezekiel speaks in the name of</w:t>
      </w:r>
      <w:r w:rsidRPr="001005B7">
        <w:rPr>
          <w:lang w:eastAsia="en-GB"/>
        </w:rPr>
        <w:t xml:space="preserve"> “the Lord Yahweh</w:t>
      </w:r>
      <w:r w:rsidR="00BE04F3" w:rsidRPr="001005B7">
        <w:rPr>
          <w:lang w:eastAsia="en-GB"/>
        </w:rPr>
        <w:t>,” too powerful to be called a mere King.</w:t>
      </w:r>
      <w:r w:rsidRPr="001005B7">
        <w:rPr>
          <w:lang w:eastAsia="en-GB"/>
        </w:rPr>
        <w:t xml:space="preserve"> God is the great sovereign of the universe.</w:t>
      </w:r>
      <w:r w:rsidR="000E1BEE" w:rsidRPr="001005B7">
        <w:rPr>
          <w:lang w:eastAsia="en-GB"/>
        </w:rPr>
        <w:t xml:space="preserve"> </w:t>
      </w:r>
      <w:r w:rsidRPr="001005B7">
        <w:rPr>
          <w:lang w:eastAsia="en-GB"/>
        </w:rPr>
        <w:t>The world and Israel have only one Lord.</w:t>
      </w:r>
      <w:r w:rsidR="00EC4FD4" w:rsidRPr="001005B7">
        <w:rPr>
          <w:lang w:eastAsia="en-GB"/>
        </w:rPr>
        <w:t xml:space="preserve"> </w:t>
      </w:r>
      <w:r w:rsidR="00A4689E" w:rsidRPr="001005B7">
        <w:rPr>
          <w:lang w:eastAsia="en-GB"/>
        </w:rPr>
        <w:t xml:space="preserve">King </w:t>
      </w:r>
      <w:proofErr w:type="spellStart"/>
      <w:r w:rsidR="00C217C3" w:rsidRPr="001005B7">
        <w:rPr>
          <w:lang w:eastAsia="en-GB"/>
        </w:rPr>
        <w:t>Nebuchad</w:t>
      </w:r>
      <w:r w:rsidR="00CE08AB" w:rsidRPr="001005B7">
        <w:rPr>
          <w:lang w:eastAsia="en-GB"/>
        </w:rPr>
        <w:t>r</w:t>
      </w:r>
      <w:r w:rsidR="00C217C3" w:rsidRPr="001005B7">
        <w:rPr>
          <w:lang w:eastAsia="en-GB"/>
        </w:rPr>
        <w:t>ezzar</w:t>
      </w:r>
      <w:proofErr w:type="spellEnd"/>
      <w:r w:rsidR="00C217C3" w:rsidRPr="001005B7">
        <w:rPr>
          <w:lang w:eastAsia="en-GB"/>
        </w:rPr>
        <w:t xml:space="preserve"> </w:t>
      </w:r>
      <w:r w:rsidR="008F16CE" w:rsidRPr="001005B7">
        <w:rPr>
          <w:lang w:eastAsia="en-GB"/>
        </w:rPr>
        <w:t xml:space="preserve">is unwittingly </w:t>
      </w:r>
      <w:r w:rsidR="00202ED6" w:rsidRPr="001005B7">
        <w:rPr>
          <w:lang w:eastAsia="en-GB"/>
        </w:rPr>
        <w:t xml:space="preserve">the servant of </w:t>
      </w:r>
      <w:r w:rsidR="00737679" w:rsidRPr="001005B7">
        <w:rPr>
          <w:lang w:eastAsia="en-GB"/>
        </w:rPr>
        <w:t>God</w:t>
      </w:r>
      <w:r w:rsidR="00D76CA9" w:rsidRPr="001005B7">
        <w:rPr>
          <w:lang w:eastAsia="en-GB"/>
        </w:rPr>
        <w:t xml:space="preserve"> and his destiny is </w:t>
      </w:r>
      <w:r w:rsidR="00881105" w:rsidRPr="001005B7">
        <w:rPr>
          <w:lang w:eastAsia="en-GB"/>
        </w:rPr>
        <w:t xml:space="preserve">subject to </w:t>
      </w:r>
      <w:r w:rsidR="008750C4" w:rsidRPr="001005B7">
        <w:rPr>
          <w:lang w:eastAsia="en-GB"/>
        </w:rPr>
        <w:t>God’s</w:t>
      </w:r>
      <w:r w:rsidR="00881105" w:rsidRPr="001005B7">
        <w:rPr>
          <w:lang w:eastAsia="en-GB"/>
        </w:rPr>
        <w:t xml:space="preserve"> determining </w:t>
      </w:r>
      <w:r w:rsidR="00D76CA9" w:rsidRPr="001005B7">
        <w:rPr>
          <w:lang w:eastAsia="en-GB"/>
        </w:rPr>
        <w:t>(Ezek 17; 21)</w:t>
      </w:r>
      <w:r w:rsidR="006E6B2D" w:rsidRPr="001005B7">
        <w:rPr>
          <w:lang w:eastAsia="en-GB"/>
        </w:rPr>
        <w:t xml:space="preserve">. Likewise </w:t>
      </w:r>
      <w:r w:rsidR="00004099" w:rsidRPr="001005B7">
        <w:rPr>
          <w:lang w:eastAsia="en-GB"/>
        </w:rPr>
        <w:t xml:space="preserve">Ammon, Moab, Edom, </w:t>
      </w:r>
      <w:proofErr w:type="spellStart"/>
      <w:r w:rsidR="00004099" w:rsidRPr="001005B7">
        <w:rPr>
          <w:lang w:eastAsia="en-GB"/>
        </w:rPr>
        <w:t>Tyre</w:t>
      </w:r>
      <w:proofErr w:type="spellEnd"/>
      <w:r w:rsidR="00675B62" w:rsidRPr="001005B7">
        <w:rPr>
          <w:lang w:eastAsia="en-GB"/>
        </w:rPr>
        <w:t xml:space="preserve">, </w:t>
      </w:r>
      <w:r w:rsidR="00BF582E" w:rsidRPr="001005B7">
        <w:rPr>
          <w:lang w:eastAsia="en-GB"/>
        </w:rPr>
        <w:t xml:space="preserve">and </w:t>
      </w:r>
      <w:r w:rsidR="00675B62" w:rsidRPr="001005B7">
        <w:rPr>
          <w:lang w:eastAsia="en-GB"/>
        </w:rPr>
        <w:t>Egypt</w:t>
      </w:r>
      <w:r w:rsidR="00BF582E" w:rsidRPr="001005B7">
        <w:rPr>
          <w:lang w:eastAsia="en-GB"/>
        </w:rPr>
        <w:t xml:space="preserve"> are subject to </w:t>
      </w:r>
      <w:r w:rsidR="008D11FC" w:rsidRPr="001005B7">
        <w:rPr>
          <w:lang w:eastAsia="en-GB"/>
        </w:rPr>
        <w:t>God</w:t>
      </w:r>
      <w:r w:rsidR="00BF582E" w:rsidRPr="001005B7">
        <w:rPr>
          <w:lang w:eastAsia="en-GB"/>
        </w:rPr>
        <w:t>’s making decisions about them</w:t>
      </w:r>
      <w:r w:rsidR="00095FC4" w:rsidRPr="001005B7">
        <w:rPr>
          <w:lang w:eastAsia="en-GB"/>
        </w:rPr>
        <w:t xml:space="preserve"> (Ezek 25</w:t>
      </w:r>
      <w:r w:rsidR="00F46900" w:rsidRPr="001005B7">
        <w:rPr>
          <w:lang w:eastAsia="en-GB"/>
        </w:rPr>
        <w:t>–</w:t>
      </w:r>
      <w:r w:rsidR="00095FC4" w:rsidRPr="001005B7">
        <w:rPr>
          <w:lang w:eastAsia="en-GB"/>
        </w:rPr>
        <w:t>32).</w:t>
      </w:r>
    </w:p>
    <w:p w14:paraId="79CF7670" w14:textId="4D7CB056" w:rsidR="00BA76BD" w:rsidRPr="001005B7" w:rsidRDefault="00C1194E" w:rsidP="00BA76BD">
      <w:pPr>
        <w:rPr>
          <w:lang w:eastAsia="en-GB"/>
        </w:rPr>
      </w:pPr>
      <w:r w:rsidRPr="001005B7">
        <w:rPr>
          <w:lang w:eastAsia="en-GB"/>
        </w:rPr>
        <w:t xml:space="preserve">Rather than reigning like a king, </w:t>
      </w:r>
      <w:r w:rsidR="00BA76BD" w:rsidRPr="001005B7">
        <w:rPr>
          <w:lang w:eastAsia="en-GB"/>
        </w:rPr>
        <w:t>Ezekiel</w:t>
      </w:r>
      <w:r w:rsidR="0031783D" w:rsidRPr="001005B7">
        <w:rPr>
          <w:lang w:eastAsia="en-GB"/>
        </w:rPr>
        <w:t>’s</w:t>
      </w:r>
      <w:r w:rsidR="00BA76BD" w:rsidRPr="001005B7">
        <w:rPr>
          <w:lang w:eastAsia="en-GB"/>
        </w:rPr>
        <w:t xml:space="preserve"> preferred model for understanding </w:t>
      </w:r>
      <w:r w:rsidR="008D11FC" w:rsidRPr="001005B7">
        <w:rPr>
          <w:lang w:eastAsia="en-GB"/>
        </w:rPr>
        <w:t>God’s</w:t>
      </w:r>
      <w:r w:rsidR="00BA76BD" w:rsidRPr="001005B7">
        <w:rPr>
          <w:lang w:eastAsia="en-GB"/>
        </w:rPr>
        <w:t xml:space="preserve"> position is his having decisive authority</w:t>
      </w:r>
      <w:r w:rsidR="00171E12" w:rsidRPr="001005B7">
        <w:rPr>
          <w:lang w:eastAsia="en-GB"/>
        </w:rPr>
        <w:t xml:space="preserve">, </w:t>
      </w:r>
      <w:r w:rsidR="00BA76BD" w:rsidRPr="001005B7">
        <w:rPr>
          <w:lang w:eastAsia="en-GB"/>
        </w:rPr>
        <w:t xml:space="preserve">the authority and power to act </w:t>
      </w:r>
      <w:r w:rsidR="00BD46AA" w:rsidRPr="001005B7">
        <w:rPr>
          <w:lang w:eastAsia="en-GB"/>
        </w:rPr>
        <w:t xml:space="preserve">assertively </w:t>
      </w:r>
      <w:r w:rsidR="00BA76BD" w:rsidRPr="001005B7">
        <w:rPr>
          <w:lang w:eastAsia="en-GB"/>
        </w:rPr>
        <w:t>and ruthlessly in the world. The</w:t>
      </w:r>
      <w:r w:rsidR="00153CB1" w:rsidRPr="001005B7">
        <w:rPr>
          <w:lang w:eastAsia="en-GB"/>
        </w:rPr>
        <w:t xml:space="preserve"> usual</w:t>
      </w:r>
      <w:r w:rsidR="00BA76BD" w:rsidRPr="001005B7">
        <w:rPr>
          <w:lang w:eastAsia="en-GB"/>
        </w:rPr>
        <w:t xml:space="preserve"> verb for that</w:t>
      </w:r>
      <w:r w:rsidR="00791142" w:rsidRPr="001005B7">
        <w:rPr>
          <w:lang w:eastAsia="en-GB"/>
        </w:rPr>
        <w:t xml:space="preserve"> exercise of decisive power</w:t>
      </w:r>
      <w:r w:rsidR="00BA76BD" w:rsidRPr="001005B7">
        <w:rPr>
          <w:lang w:eastAsia="en-GB"/>
        </w:rPr>
        <w:t xml:space="preserve"> (</w:t>
      </w:r>
      <w:r w:rsidR="00BA76BD" w:rsidRPr="001005B7">
        <w:rPr>
          <w:rFonts w:cstheme="minorHAnsi"/>
          <w:rtl/>
          <w:lang w:eastAsia="en-GB" w:bidi="he-IL"/>
        </w:rPr>
        <w:t>שָׁפַט</w:t>
      </w:r>
      <w:r w:rsidR="00BA76BD" w:rsidRPr="001005B7">
        <w:rPr>
          <w:lang w:eastAsia="en-GB"/>
        </w:rPr>
        <w:t>) is commonly translated “judge</w:t>
      </w:r>
      <w:r w:rsidR="00791142" w:rsidRPr="001005B7">
        <w:rPr>
          <w:lang w:eastAsia="en-GB"/>
        </w:rPr>
        <w:t>,</w:t>
      </w:r>
      <w:r w:rsidR="00BA76BD" w:rsidRPr="001005B7">
        <w:rPr>
          <w:lang w:eastAsia="en-GB"/>
        </w:rPr>
        <w:t xml:space="preserve">” </w:t>
      </w:r>
      <w:r w:rsidR="00BD46AA" w:rsidRPr="001005B7">
        <w:rPr>
          <w:lang w:eastAsia="en-GB"/>
        </w:rPr>
        <w:t xml:space="preserve">with </w:t>
      </w:r>
      <w:r w:rsidR="00BA76BD" w:rsidRPr="001005B7">
        <w:rPr>
          <w:lang w:eastAsia="en-GB"/>
        </w:rPr>
        <w:t>the related nouns (</w:t>
      </w:r>
      <w:r w:rsidR="00BA76BD" w:rsidRPr="001005B7">
        <w:rPr>
          <w:rFonts w:cstheme="minorHAnsi"/>
          <w:rtl/>
          <w:lang w:eastAsia="en-GB" w:bidi="he-IL"/>
        </w:rPr>
        <w:t>מׅשְׁפָּט</w:t>
      </w:r>
      <w:r w:rsidR="00BA76BD" w:rsidRPr="001005B7">
        <w:rPr>
          <w:lang w:eastAsia="en-GB"/>
        </w:rPr>
        <w:t xml:space="preserve"> and </w:t>
      </w:r>
      <w:r w:rsidR="00BA76BD" w:rsidRPr="001005B7">
        <w:rPr>
          <w:rFonts w:cstheme="minorHAnsi"/>
          <w:rtl/>
          <w:lang w:eastAsia="en-GB" w:bidi="he-IL"/>
        </w:rPr>
        <w:t>שְׁפָטׅים</w:t>
      </w:r>
      <w:r w:rsidR="00BA76BD" w:rsidRPr="001005B7">
        <w:rPr>
          <w:lang w:eastAsia="en-GB"/>
        </w:rPr>
        <w:t xml:space="preserve">) </w:t>
      </w:r>
      <w:r w:rsidR="00BD46AA" w:rsidRPr="001005B7">
        <w:rPr>
          <w:lang w:eastAsia="en-GB"/>
        </w:rPr>
        <w:t>being</w:t>
      </w:r>
      <w:r w:rsidR="00BA76BD" w:rsidRPr="001005B7">
        <w:rPr>
          <w:lang w:eastAsia="en-GB"/>
        </w:rPr>
        <w:t xml:space="preserve"> commonly translated “judgment” or “justice</w:t>
      </w:r>
      <w:r w:rsidR="0035383D" w:rsidRPr="001005B7">
        <w:rPr>
          <w:lang w:eastAsia="en-GB"/>
        </w:rPr>
        <w:t>.</w:t>
      </w:r>
      <w:r w:rsidR="00BA76BD" w:rsidRPr="001005B7">
        <w:rPr>
          <w:lang w:eastAsia="en-GB"/>
        </w:rPr>
        <w:t xml:space="preserve">” </w:t>
      </w:r>
      <w:r w:rsidR="0035383D" w:rsidRPr="001005B7">
        <w:rPr>
          <w:lang w:eastAsia="en-GB"/>
        </w:rPr>
        <w:t>B</w:t>
      </w:r>
      <w:r w:rsidR="00BA76BD" w:rsidRPr="001005B7">
        <w:rPr>
          <w:lang w:eastAsia="en-GB"/>
        </w:rPr>
        <w:t xml:space="preserve">ut </w:t>
      </w:r>
      <w:r w:rsidR="00E23855" w:rsidRPr="001005B7">
        <w:rPr>
          <w:lang w:eastAsia="en-GB"/>
        </w:rPr>
        <w:t>“judge” and “judgment”</w:t>
      </w:r>
      <w:r w:rsidR="00BA76BD" w:rsidRPr="001005B7">
        <w:rPr>
          <w:lang w:eastAsia="en-GB"/>
        </w:rPr>
        <w:t xml:space="preserve"> </w:t>
      </w:r>
      <w:r w:rsidR="00E23855" w:rsidRPr="001005B7">
        <w:rPr>
          <w:lang w:eastAsia="en-GB"/>
        </w:rPr>
        <w:t>give</w:t>
      </w:r>
      <w:r w:rsidR="00BA76BD" w:rsidRPr="001005B7">
        <w:rPr>
          <w:lang w:eastAsia="en-GB"/>
        </w:rPr>
        <w:t xml:space="preserve"> too negative </w:t>
      </w:r>
      <w:r w:rsidR="00E23855" w:rsidRPr="001005B7">
        <w:rPr>
          <w:lang w:eastAsia="en-GB"/>
        </w:rPr>
        <w:t>an impression</w:t>
      </w:r>
      <w:r w:rsidR="00120548" w:rsidRPr="001005B7">
        <w:rPr>
          <w:lang w:eastAsia="en-GB"/>
        </w:rPr>
        <w:t>. D</w:t>
      </w:r>
      <w:r w:rsidR="00BA76BD" w:rsidRPr="001005B7">
        <w:rPr>
          <w:lang w:eastAsia="en-GB"/>
        </w:rPr>
        <w:t xml:space="preserve">ecisive authority is primarily designed to be exercised on </w:t>
      </w:r>
      <w:r w:rsidR="004D4538" w:rsidRPr="001005B7">
        <w:rPr>
          <w:lang w:eastAsia="en-GB"/>
        </w:rPr>
        <w:t xml:space="preserve">the </w:t>
      </w:r>
      <w:r w:rsidR="00BA76BD" w:rsidRPr="001005B7">
        <w:rPr>
          <w:lang w:eastAsia="en-GB"/>
        </w:rPr>
        <w:t>positive behalf of what is right</w:t>
      </w:r>
      <w:r w:rsidR="00C67313" w:rsidRPr="001005B7">
        <w:rPr>
          <w:lang w:eastAsia="en-GB"/>
        </w:rPr>
        <w:t>. A</w:t>
      </w:r>
      <w:r w:rsidR="00BA76BD" w:rsidRPr="001005B7">
        <w:rPr>
          <w:lang w:eastAsia="en-GB"/>
        </w:rPr>
        <w:t xml:space="preserve">nd </w:t>
      </w:r>
      <w:r w:rsidR="00FD71D2" w:rsidRPr="001005B7">
        <w:rPr>
          <w:lang w:eastAsia="en-GB"/>
        </w:rPr>
        <w:t>“justice”</w:t>
      </w:r>
      <w:r w:rsidR="00BA76BD" w:rsidRPr="001005B7">
        <w:rPr>
          <w:lang w:eastAsia="en-GB"/>
        </w:rPr>
        <w:t xml:space="preserve"> is too abstract and too unequivocal </w:t>
      </w:r>
      <w:r w:rsidR="00291E7F" w:rsidRPr="001005B7">
        <w:rPr>
          <w:lang w:eastAsia="en-GB"/>
        </w:rPr>
        <w:t xml:space="preserve">in its </w:t>
      </w:r>
      <w:r w:rsidR="00BA76BD" w:rsidRPr="001005B7">
        <w:rPr>
          <w:lang w:eastAsia="en-GB"/>
        </w:rPr>
        <w:t xml:space="preserve">ethical </w:t>
      </w:r>
      <w:r w:rsidR="00291E7F" w:rsidRPr="001005B7">
        <w:rPr>
          <w:lang w:eastAsia="en-GB"/>
        </w:rPr>
        <w:t>implications</w:t>
      </w:r>
      <w:r w:rsidR="00824063" w:rsidRPr="001005B7">
        <w:rPr>
          <w:lang w:eastAsia="en-GB"/>
        </w:rPr>
        <w:t>. W</w:t>
      </w:r>
      <w:r w:rsidR="00FD71D2" w:rsidRPr="001005B7">
        <w:rPr>
          <w:lang w:eastAsia="en-GB"/>
        </w:rPr>
        <w:t xml:space="preserve">hen exercised by human </w:t>
      </w:r>
      <w:r w:rsidR="009537D2" w:rsidRPr="001005B7">
        <w:rPr>
          <w:lang w:eastAsia="en-GB"/>
        </w:rPr>
        <w:t xml:space="preserve">agencies, </w:t>
      </w:r>
      <w:r w:rsidR="00BA76BD" w:rsidRPr="001005B7">
        <w:rPr>
          <w:lang w:eastAsia="en-GB"/>
        </w:rPr>
        <w:t xml:space="preserve">decisive authority is not always ethical. </w:t>
      </w:r>
      <w:r w:rsidR="00291E7F" w:rsidRPr="001005B7">
        <w:rPr>
          <w:lang w:eastAsia="en-GB"/>
        </w:rPr>
        <w:t>T</w:t>
      </w:r>
      <w:r w:rsidR="00BA76BD" w:rsidRPr="001005B7">
        <w:rPr>
          <w:lang w:eastAsia="en-GB"/>
        </w:rPr>
        <w:t>he words</w:t>
      </w:r>
      <w:r w:rsidR="00291E7F" w:rsidRPr="001005B7">
        <w:rPr>
          <w:lang w:eastAsia="en-GB"/>
        </w:rPr>
        <w:t xml:space="preserve"> suggest something more like</w:t>
      </w:r>
      <w:r w:rsidR="00BA76BD" w:rsidRPr="001005B7">
        <w:rPr>
          <w:lang w:eastAsia="en-GB"/>
        </w:rPr>
        <w:t xml:space="preserve"> “rule” and “ruling.”</w:t>
      </w:r>
      <w:r w:rsidR="00002CC7" w:rsidRPr="001005B7">
        <w:rPr>
          <w:lang w:eastAsia="en-GB"/>
        </w:rPr>
        <w:t xml:space="preserve"> </w:t>
      </w:r>
      <w:r w:rsidR="00617C18" w:rsidRPr="001005B7">
        <w:rPr>
          <w:lang w:eastAsia="en-GB"/>
        </w:rPr>
        <w:t xml:space="preserve">When </w:t>
      </w:r>
      <w:r w:rsidR="008F7C49" w:rsidRPr="001005B7">
        <w:rPr>
          <w:lang w:eastAsia="en-GB"/>
        </w:rPr>
        <w:t>God remind</w:t>
      </w:r>
      <w:r w:rsidR="009B76B4" w:rsidRPr="001005B7">
        <w:rPr>
          <w:lang w:eastAsia="en-GB"/>
        </w:rPr>
        <w:t>s</w:t>
      </w:r>
      <w:r w:rsidR="008F7C49" w:rsidRPr="001005B7">
        <w:rPr>
          <w:lang w:eastAsia="en-GB"/>
        </w:rPr>
        <w:t xml:space="preserve"> people</w:t>
      </w:r>
      <w:r w:rsidR="009B76B4" w:rsidRPr="001005B7">
        <w:rPr>
          <w:lang w:eastAsia="en-GB"/>
        </w:rPr>
        <w:t xml:space="preserve"> “I am alive”</w:t>
      </w:r>
      <w:r w:rsidR="00896AC2" w:rsidRPr="001005B7">
        <w:rPr>
          <w:lang w:eastAsia="en-GB"/>
        </w:rPr>
        <w:t xml:space="preserve"> (e.g., 5:11</w:t>
      </w:r>
      <w:r w:rsidR="001B1CAD" w:rsidRPr="001005B7">
        <w:rPr>
          <w:lang w:eastAsia="en-GB"/>
        </w:rPr>
        <w:t xml:space="preserve">; </w:t>
      </w:r>
      <w:r w:rsidR="005E02B5" w:rsidRPr="001005B7">
        <w:rPr>
          <w:lang w:eastAsia="en-GB"/>
        </w:rPr>
        <w:t>20:3; 33:11</w:t>
      </w:r>
      <w:r w:rsidR="001B1CAD" w:rsidRPr="001005B7">
        <w:rPr>
          <w:lang w:eastAsia="en-GB"/>
        </w:rPr>
        <w:t>; 35:6</w:t>
      </w:r>
      <w:r w:rsidR="00E4072B" w:rsidRPr="001005B7">
        <w:rPr>
          <w:lang w:eastAsia="en-GB"/>
        </w:rPr>
        <w:t xml:space="preserve">), </w:t>
      </w:r>
      <w:r w:rsidR="009B76B4" w:rsidRPr="001005B7">
        <w:rPr>
          <w:lang w:eastAsia="en-GB"/>
        </w:rPr>
        <w:t xml:space="preserve">it is </w:t>
      </w:r>
      <w:r w:rsidR="00E4072B" w:rsidRPr="001005B7">
        <w:rPr>
          <w:lang w:eastAsia="en-GB"/>
        </w:rPr>
        <w:t xml:space="preserve">not least to back up his </w:t>
      </w:r>
      <w:r w:rsidR="00002CC7" w:rsidRPr="001005B7">
        <w:rPr>
          <w:lang w:eastAsia="en-GB"/>
        </w:rPr>
        <w:t xml:space="preserve">declarations that he intends to exercise decisive authority. He is not </w:t>
      </w:r>
      <w:r w:rsidR="00E0077B" w:rsidRPr="001005B7">
        <w:rPr>
          <w:lang w:eastAsia="en-GB"/>
        </w:rPr>
        <w:t xml:space="preserve">merely alive as opposed to dead but lively and active, full of life. </w:t>
      </w:r>
    </w:p>
    <w:p w14:paraId="555089D5" w14:textId="49CACBF3" w:rsidR="00BA76BD" w:rsidRPr="001005B7" w:rsidRDefault="0027110B" w:rsidP="007F0570">
      <w:pPr>
        <w:rPr>
          <w:lang w:eastAsia="en-GB"/>
        </w:rPr>
      </w:pPr>
      <w:r w:rsidRPr="001005B7">
        <w:rPr>
          <w:lang w:eastAsia="en-GB"/>
        </w:rPr>
        <w:t>God</w:t>
      </w:r>
      <w:r w:rsidR="00B34FD8" w:rsidRPr="001005B7">
        <w:rPr>
          <w:lang w:eastAsia="en-GB"/>
        </w:rPr>
        <w:t xml:space="preserve"> is, in fact, full of p</w:t>
      </w:r>
      <w:r w:rsidR="00BA76BD" w:rsidRPr="001005B7">
        <w:rPr>
          <w:lang w:eastAsia="en-GB"/>
        </w:rPr>
        <w:t>assion</w:t>
      </w:r>
      <w:r w:rsidR="000F4213" w:rsidRPr="001005B7">
        <w:rPr>
          <w:lang w:eastAsia="en-GB"/>
        </w:rPr>
        <w:t xml:space="preserve"> (</w:t>
      </w:r>
      <w:r w:rsidR="000F4213" w:rsidRPr="001005B7">
        <w:rPr>
          <w:rFonts w:cstheme="minorHAnsi"/>
          <w:rtl/>
          <w:lang w:eastAsia="en-GB" w:bidi="he-IL"/>
        </w:rPr>
        <w:t>קׅ</w:t>
      </w:r>
      <w:r w:rsidR="007F14B6" w:rsidRPr="001005B7">
        <w:rPr>
          <w:rFonts w:cstheme="minorHAnsi"/>
          <w:rtl/>
          <w:lang w:eastAsia="en-GB" w:bidi="he-IL"/>
        </w:rPr>
        <w:t>נְאָה</w:t>
      </w:r>
      <w:r w:rsidR="00E87AFF" w:rsidRPr="001005B7">
        <w:rPr>
          <w:lang w:eastAsia="en-GB"/>
        </w:rPr>
        <w:t>), which</w:t>
      </w:r>
      <w:r w:rsidR="009C7F08" w:rsidRPr="001005B7">
        <w:rPr>
          <w:lang w:eastAsia="en-GB"/>
        </w:rPr>
        <w:t xml:space="preserve"> can</w:t>
      </w:r>
      <w:r w:rsidR="00E87AFF" w:rsidRPr="001005B7">
        <w:rPr>
          <w:lang w:eastAsia="en-GB"/>
        </w:rPr>
        <w:t xml:space="preserve"> express itself in fury</w:t>
      </w:r>
      <w:r w:rsidR="007B24CA" w:rsidRPr="001005B7">
        <w:rPr>
          <w:lang w:eastAsia="en-GB"/>
        </w:rPr>
        <w:t xml:space="preserve"> </w:t>
      </w:r>
      <w:r w:rsidR="00E87AFF" w:rsidRPr="001005B7">
        <w:rPr>
          <w:lang w:eastAsia="en-GB"/>
        </w:rPr>
        <w:t>(</w:t>
      </w:r>
      <w:r w:rsidR="007B24CA" w:rsidRPr="001005B7">
        <w:rPr>
          <w:lang w:eastAsia="en-GB"/>
        </w:rPr>
        <w:t>e.g.,</w:t>
      </w:r>
      <w:r w:rsidR="00E87AFF" w:rsidRPr="001005B7">
        <w:rPr>
          <w:lang w:eastAsia="en-GB"/>
        </w:rPr>
        <w:t xml:space="preserve"> </w:t>
      </w:r>
      <w:r w:rsidR="00EE3A67" w:rsidRPr="001005B7">
        <w:rPr>
          <w:lang w:eastAsia="en-GB"/>
        </w:rPr>
        <w:t xml:space="preserve">16:42). </w:t>
      </w:r>
      <w:r w:rsidR="009C7F08" w:rsidRPr="001005B7">
        <w:rPr>
          <w:lang w:eastAsia="en-GB"/>
        </w:rPr>
        <w:t>His</w:t>
      </w:r>
      <w:r w:rsidR="008E15DB" w:rsidRPr="001005B7">
        <w:rPr>
          <w:lang w:eastAsia="en-GB"/>
        </w:rPr>
        <w:t xml:space="preserve"> passionate fury form</w:t>
      </w:r>
      <w:r w:rsidR="00351BA5" w:rsidRPr="001005B7">
        <w:rPr>
          <w:lang w:eastAsia="en-GB"/>
        </w:rPr>
        <w:t>s</w:t>
      </w:r>
      <w:r w:rsidR="008E15DB" w:rsidRPr="001005B7">
        <w:rPr>
          <w:lang w:eastAsia="en-GB"/>
        </w:rPr>
        <w:t xml:space="preserve"> a reaction to </w:t>
      </w:r>
      <w:r w:rsidR="009F11CE" w:rsidRPr="001005B7">
        <w:rPr>
          <w:lang w:eastAsia="en-GB"/>
        </w:rPr>
        <w:t>the shedding of blood</w:t>
      </w:r>
      <w:r w:rsidR="00A67BA8" w:rsidRPr="001005B7">
        <w:rPr>
          <w:lang w:eastAsia="en-GB"/>
        </w:rPr>
        <w:t>, and</w:t>
      </w:r>
      <w:r w:rsidR="009F11CE" w:rsidRPr="001005B7">
        <w:rPr>
          <w:lang w:eastAsia="en-GB"/>
        </w:rPr>
        <w:t xml:space="preserve"> to </w:t>
      </w:r>
      <w:r w:rsidR="00EE634F" w:rsidRPr="001005B7">
        <w:rPr>
          <w:lang w:eastAsia="en-GB"/>
        </w:rPr>
        <w:t xml:space="preserve">people serving </w:t>
      </w:r>
      <w:r w:rsidR="00397E89" w:rsidRPr="001005B7">
        <w:rPr>
          <w:lang w:eastAsia="en-GB"/>
        </w:rPr>
        <w:t>entities</w:t>
      </w:r>
      <w:r w:rsidR="009F2EC8" w:rsidRPr="001005B7">
        <w:rPr>
          <w:lang w:eastAsia="en-GB"/>
        </w:rPr>
        <w:t xml:space="preserve"> </w:t>
      </w:r>
      <w:r w:rsidR="00CF416A" w:rsidRPr="001005B7">
        <w:rPr>
          <w:lang w:eastAsia="en-GB"/>
        </w:rPr>
        <w:t xml:space="preserve">that they might call </w:t>
      </w:r>
      <w:r w:rsidR="00EE634F" w:rsidRPr="001005B7">
        <w:rPr>
          <w:lang w:eastAsia="en-GB"/>
        </w:rPr>
        <w:t xml:space="preserve">gods </w:t>
      </w:r>
      <w:r w:rsidR="00CF416A" w:rsidRPr="001005B7">
        <w:rPr>
          <w:lang w:eastAsia="en-GB"/>
        </w:rPr>
        <w:t xml:space="preserve">but </w:t>
      </w:r>
      <w:r w:rsidR="00CA437A" w:rsidRPr="001005B7">
        <w:rPr>
          <w:lang w:eastAsia="en-GB"/>
        </w:rPr>
        <w:t xml:space="preserve">that </w:t>
      </w:r>
      <w:r w:rsidR="00CF416A" w:rsidRPr="001005B7">
        <w:rPr>
          <w:lang w:eastAsia="en-GB"/>
        </w:rPr>
        <w:t>are not worthy of the name</w:t>
      </w:r>
      <w:r w:rsidR="00EE51C9" w:rsidRPr="001005B7">
        <w:rPr>
          <w:lang w:eastAsia="en-GB"/>
        </w:rPr>
        <w:t>.</w:t>
      </w:r>
      <w:r w:rsidR="003651B6" w:rsidRPr="001005B7">
        <w:rPr>
          <w:lang w:eastAsia="en-GB"/>
        </w:rPr>
        <w:t xml:space="preserve"> </w:t>
      </w:r>
      <w:r w:rsidR="00CF416A" w:rsidRPr="001005B7">
        <w:rPr>
          <w:lang w:eastAsia="en-GB"/>
        </w:rPr>
        <w:t xml:space="preserve">Ezekiel </w:t>
      </w:r>
      <w:r w:rsidR="003F2AFF" w:rsidRPr="001005B7">
        <w:rPr>
          <w:lang w:eastAsia="en-GB"/>
        </w:rPr>
        <w:t>applies</w:t>
      </w:r>
      <w:r w:rsidR="00CF416A" w:rsidRPr="001005B7">
        <w:rPr>
          <w:lang w:eastAsia="en-GB"/>
        </w:rPr>
        <w:t xml:space="preserve"> the word </w:t>
      </w:r>
      <w:r w:rsidR="00BD7805" w:rsidRPr="001005B7">
        <w:rPr>
          <w:rFonts w:cstheme="minorHAnsi"/>
          <w:rtl/>
          <w:lang w:eastAsia="en-GB" w:bidi="he-IL"/>
        </w:rPr>
        <w:t>אֱלֹהׅ</w:t>
      </w:r>
      <w:r w:rsidR="006907ED" w:rsidRPr="001005B7">
        <w:rPr>
          <w:rFonts w:cstheme="minorHAnsi"/>
          <w:rtl/>
          <w:lang w:eastAsia="en-GB" w:bidi="he-IL"/>
        </w:rPr>
        <w:t>ים</w:t>
      </w:r>
      <w:r w:rsidR="00CF416A" w:rsidRPr="001005B7">
        <w:rPr>
          <w:lang w:eastAsia="en-GB"/>
        </w:rPr>
        <w:t xml:space="preserve"> </w:t>
      </w:r>
      <w:r w:rsidR="006907ED" w:rsidRPr="001005B7">
        <w:rPr>
          <w:lang w:eastAsia="en-GB"/>
        </w:rPr>
        <w:t xml:space="preserve">only </w:t>
      </w:r>
      <w:r w:rsidR="003F2AFF" w:rsidRPr="001005B7">
        <w:rPr>
          <w:lang w:eastAsia="en-GB"/>
        </w:rPr>
        <w:t>to</w:t>
      </w:r>
      <w:r w:rsidR="006907ED" w:rsidRPr="001005B7">
        <w:rPr>
          <w:lang w:eastAsia="en-GB"/>
        </w:rPr>
        <w:t xml:space="preserve"> the one real God. </w:t>
      </w:r>
      <w:r w:rsidR="003651B6" w:rsidRPr="001005B7">
        <w:rPr>
          <w:lang w:eastAsia="en-GB"/>
        </w:rPr>
        <w:t xml:space="preserve">An implication is that there is only one God. Monotheism is not in itself a subject that interests either Testament—its importance lies in European thinking rather than Middle Eastern thinking. But like other First Testament writings, Ezekiel does imply that there is only one God. There is no rivalry among a number of gods. </w:t>
      </w:r>
      <w:r w:rsidR="00544C11" w:rsidRPr="001005B7">
        <w:rPr>
          <w:lang w:eastAsia="en-GB"/>
        </w:rPr>
        <w:t>Further, h</w:t>
      </w:r>
      <w:r w:rsidR="004011E0" w:rsidRPr="001005B7">
        <w:rPr>
          <w:lang w:eastAsia="en-GB"/>
        </w:rPr>
        <w:t xml:space="preserve">is people </w:t>
      </w:r>
      <w:r w:rsidR="006907ED" w:rsidRPr="001005B7">
        <w:rPr>
          <w:lang w:eastAsia="en-GB"/>
        </w:rPr>
        <w:t xml:space="preserve">serve </w:t>
      </w:r>
      <w:r w:rsidR="00EB4442" w:rsidRPr="001005B7">
        <w:rPr>
          <w:lang w:eastAsia="en-GB"/>
        </w:rPr>
        <w:t xml:space="preserve">those </w:t>
      </w:r>
      <w:r w:rsidR="00BD60BB" w:rsidRPr="001005B7">
        <w:rPr>
          <w:lang w:eastAsia="en-GB"/>
        </w:rPr>
        <w:t xml:space="preserve">outrageous, </w:t>
      </w:r>
      <w:r w:rsidR="006907ED" w:rsidRPr="001005B7">
        <w:rPr>
          <w:lang w:eastAsia="en-GB"/>
        </w:rPr>
        <w:t xml:space="preserve">pathetic </w:t>
      </w:r>
      <w:r w:rsidR="007F0570" w:rsidRPr="001005B7">
        <w:rPr>
          <w:lang w:eastAsia="en-GB"/>
        </w:rPr>
        <w:t>entities</w:t>
      </w:r>
      <w:r w:rsidR="006907ED" w:rsidRPr="001005B7">
        <w:rPr>
          <w:lang w:eastAsia="en-GB"/>
        </w:rPr>
        <w:t xml:space="preserve"> for wh</w:t>
      </w:r>
      <w:r w:rsidR="007F0570" w:rsidRPr="001005B7">
        <w:rPr>
          <w:lang w:eastAsia="en-GB"/>
        </w:rPr>
        <w:t>ich</w:t>
      </w:r>
      <w:r w:rsidR="006907ED" w:rsidRPr="001005B7">
        <w:rPr>
          <w:lang w:eastAsia="en-GB"/>
        </w:rPr>
        <w:t xml:space="preserve"> </w:t>
      </w:r>
      <w:r w:rsidR="00E42D6A" w:rsidRPr="001005B7">
        <w:rPr>
          <w:lang w:eastAsia="en-GB"/>
        </w:rPr>
        <w:t>hi</w:t>
      </w:r>
      <w:r w:rsidR="006907ED" w:rsidRPr="001005B7">
        <w:rPr>
          <w:lang w:eastAsia="en-GB"/>
        </w:rPr>
        <w:t>s favorite term is “lumps</w:t>
      </w:r>
      <w:r w:rsidR="00DA730E" w:rsidRPr="001005B7">
        <w:rPr>
          <w:lang w:eastAsia="en-GB"/>
        </w:rPr>
        <w:t>,</w:t>
      </w:r>
      <w:r w:rsidR="00EE526F" w:rsidRPr="001005B7">
        <w:rPr>
          <w:lang w:eastAsia="en-GB"/>
        </w:rPr>
        <w:t xml:space="preserve">” </w:t>
      </w:r>
      <w:r w:rsidR="00DA730E" w:rsidRPr="001005B7">
        <w:rPr>
          <w:lang w:eastAsia="en-GB"/>
        </w:rPr>
        <w:t>that</w:t>
      </w:r>
      <w:r w:rsidR="00BD463A" w:rsidRPr="001005B7">
        <w:rPr>
          <w:lang w:eastAsia="en-GB"/>
        </w:rPr>
        <w:t xml:space="preserve"> </w:t>
      </w:r>
      <w:r w:rsidR="00293CF0" w:rsidRPr="001005B7">
        <w:rPr>
          <w:lang w:eastAsia="en-GB"/>
        </w:rPr>
        <w:t>hav</w:t>
      </w:r>
      <w:r w:rsidR="007F0570" w:rsidRPr="001005B7">
        <w:rPr>
          <w:lang w:eastAsia="en-GB"/>
        </w:rPr>
        <w:t>e</w:t>
      </w:r>
      <w:r w:rsidR="00BD463A" w:rsidRPr="001005B7">
        <w:rPr>
          <w:lang w:eastAsia="en-GB"/>
        </w:rPr>
        <w:t xml:space="preserve"> shrines, altars, and burners appropriate to </w:t>
      </w:r>
      <w:r w:rsidR="006F22F2" w:rsidRPr="001005B7">
        <w:rPr>
          <w:lang w:eastAsia="en-GB"/>
        </w:rPr>
        <w:t>the real God that they are not.</w:t>
      </w:r>
      <w:r w:rsidR="003F43C2" w:rsidRPr="001005B7">
        <w:rPr>
          <w:lang w:eastAsia="en-GB"/>
        </w:rPr>
        <w:t xml:space="preserve"> </w:t>
      </w:r>
      <w:r w:rsidR="004F76C8">
        <w:rPr>
          <w:lang w:eastAsia="en-GB"/>
        </w:rPr>
        <w:t xml:space="preserve">They are </w:t>
      </w:r>
      <w:r w:rsidR="004F76C8" w:rsidRPr="001005B7">
        <w:rPr>
          <w:lang w:eastAsia="en-GB"/>
        </w:rPr>
        <w:t>lumps of wood, or of something less polite, an expression “</w:t>
      </w:r>
      <w:r w:rsidR="004F76C8" w:rsidRPr="001005B7">
        <w:t>connoting a quite literal grossness.”</w:t>
      </w:r>
      <w:r w:rsidR="004F76C8" w:rsidRPr="001005B7">
        <w:rPr>
          <w:rStyle w:val="FootnoteReference"/>
        </w:rPr>
        <w:footnoteReference w:id="18"/>
      </w:r>
      <w:r w:rsidR="00391440">
        <w:t xml:space="preserve"> </w:t>
      </w:r>
      <w:r w:rsidR="003F43C2" w:rsidRPr="001005B7">
        <w:rPr>
          <w:lang w:eastAsia="en-GB"/>
        </w:rPr>
        <w:t xml:space="preserve">In Ezekiel “images are </w:t>
      </w:r>
      <w:r w:rsidR="00EB09E1" w:rsidRPr="001005B7">
        <w:rPr>
          <w:lang w:eastAsia="en-GB"/>
        </w:rPr>
        <w:t>employed</w:t>
      </w:r>
      <w:r w:rsidR="003F43C2" w:rsidRPr="001005B7">
        <w:rPr>
          <w:lang w:eastAsia="en-GB"/>
        </w:rPr>
        <w:t xml:space="preserve"> in order to reject them.”</w:t>
      </w:r>
      <w:r w:rsidR="00EB09E1" w:rsidRPr="001005B7">
        <w:rPr>
          <w:rStyle w:val="FootnoteReference"/>
          <w:lang w:eastAsia="en-GB"/>
        </w:rPr>
        <w:footnoteReference w:id="19"/>
      </w:r>
      <w:r w:rsidR="00E71EE5">
        <w:rPr>
          <w:lang w:eastAsia="en-GB"/>
        </w:rPr>
        <w:t xml:space="preserve"> God’s</w:t>
      </w:r>
      <w:r w:rsidR="00F24C38" w:rsidRPr="001005B7">
        <w:rPr>
          <w:lang w:eastAsia="en-GB"/>
        </w:rPr>
        <w:t xml:space="preserve"> </w:t>
      </w:r>
      <w:r w:rsidR="00E71EE5">
        <w:rPr>
          <w:lang w:eastAsia="en-GB"/>
        </w:rPr>
        <w:t>a</w:t>
      </w:r>
      <w:r w:rsidR="00C815EE" w:rsidRPr="001005B7">
        <w:rPr>
          <w:lang w:eastAsia="en-GB"/>
        </w:rPr>
        <w:t>uthority and sacredness</w:t>
      </w:r>
      <w:r w:rsidR="0091466F">
        <w:rPr>
          <w:lang w:eastAsia="en-GB"/>
        </w:rPr>
        <w:t xml:space="preserve"> </w:t>
      </w:r>
      <w:r w:rsidR="00E71EE5">
        <w:rPr>
          <w:lang w:eastAsia="en-GB"/>
        </w:rPr>
        <w:t>are stresses in Ezekiel. They</w:t>
      </w:r>
      <w:r w:rsidR="008C4A4F" w:rsidRPr="001005B7">
        <w:rPr>
          <w:lang w:eastAsia="en-GB"/>
        </w:rPr>
        <w:t xml:space="preserve"> are not very congenial to Western thinking, </w:t>
      </w:r>
      <w:r w:rsidR="00C3302A">
        <w:rPr>
          <w:lang w:eastAsia="en-GB"/>
        </w:rPr>
        <w:t xml:space="preserve">but they </w:t>
      </w:r>
      <w:r w:rsidR="00362F5D" w:rsidRPr="001005B7">
        <w:rPr>
          <w:lang w:eastAsia="en-GB"/>
        </w:rPr>
        <w:t xml:space="preserve">correspond to two of </w:t>
      </w:r>
      <w:r w:rsidR="00A103B7" w:rsidRPr="001005B7">
        <w:rPr>
          <w:lang w:eastAsia="en-GB"/>
        </w:rPr>
        <w:t xml:space="preserve">humanity’s </w:t>
      </w:r>
      <w:r w:rsidR="00362F5D" w:rsidRPr="001005B7">
        <w:rPr>
          <w:lang w:eastAsia="en-GB"/>
        </w:rPr>
        <w:t xml:space="preserve">fundamental </w:t>
      </w:r>
      <w:r w:rsidR="00E10A64" w:rsidRPr="001005B7">
        <w:rPr>
          <w:lang w:eastAsia="en-GB"/>
        </w:rPr>
        <w:t xml:space="preserve">transcultural </w:t>
      </w:r>
      <w:r w:rsidR="00A103B7" w:rsidRPr="001005B7">
        <w:rPr>
          <w:lang w:eastAsia="en-GB"/>
        </w:rPr>
        <w:t>ethical categories.</w:t>
      </w:r>
      <w:r w:rsidR="00A103B7" w:rsidRPr="001005B7">
        <w:rPr>
          <w:rStyle w:val="FootnoteReference"/>
          <w:lang w:eastAsia="en-GB"/>
        </w:rPr>
        <w:footnoteReference w:id="20"/>
      </w:r>
    </w:p>
    <w:p w14:paraId="484AB444" w14:textId="5C09D5BA" w:rsidR="00BA76BD" w:rsidRPr="001005B7" w:rsidRDefault="00BA76BD" w:rsidP="00BA76BD">
      <w:pPr>
        <w:rPr>
          <w:lang w:eastAsia="en-GB"/>
        </w:rPr>
      </w:pPr>
      <w:r w:rsidRPr="001005B7">
        <w:rPr>
          <w:lang w:eastAsia="en-GB"/>
        </w:rPr>
        <w:t xml:space="preserve">This </w:t>
      </w:r>
      <w:r w:rsidR="00C3302A">
        <w:rPr>
          <w:lang w:eastAsia="en-GB"/>
        </w:rPr>
        <w:t xml:space="preserve">God of whom Ezekiel speaks </w:t>
      </w:r>
      <w:r w:rsidRPr="001005B7">
        <w:rPr>
          <w:lang w:eastAsia="en-GB"/>
        </w:rPr>
        <w:t>is the God and Father of our Lord Jesus Christ</w:t>
      </w:r>
      <w:r w:rsidR="00124555" w:rsidRPr="001005B7">
        <w:rPr>
          <w:lang w:eastAsia="en-GB"/>
        </w:rPr>
        <w:t>,</w:t>
      </w:r>
      <w:r w:rsidRPr="001005B7">
        <w:rPr>
          <w:lang w:eastAsia="en-GB"/>
        </w:rPr>
        <w:t xml:space="preserve"> the God to whom Jesus introduces people and whom he makes it possible for them to know</w:t>
      </w:r>
      <w:r w:rsidR="00124555" w:rsidRPr="001005B7">
        <w:rPr>
          <w:lang w:eastAsia="en-GB"/>
        </w:rPr>
        <w:t>,</w:t>
      </w:r>
      <w:r w:rsidR="00CC3266" w:rsidRPr="001005B7">
        <w:rPr>
          <w:lang w:eastAsia="en-GB"/>
        </w:rPr>
        <w:t xml:space="preserve"> the Lord who is sovereign in the world</w:t>
      </w:r>
      <w:r w:rsidR="00C950AB">
        <w:rPr>
          <w:lang w:eastAsia="en-GB"/>
        </w:rPr>
        <w:t xml:space="preserve">. It </w:t>
      </w:r>
      <w:r w:rsidR="00222872" w:rsidRPr="001005B7">
        <w:rPr>
          <w:lang w:eastAsia="en-GB"/>
        </w:rPr>
        <w:t xml:space="preserve">is </w:t>
      </w:r>
      <w:r w:rsidR="003450DA" w:rsidRPr="001005B7">
        <w:rPr>
          <w:lang w:eastAsia="en-GB"/>
        </w:rPr>
        <w:t xml:space="preserve">an </w:t>
      </w:r>
      <w:r w:rsidR="00222872" w:rsidRPr="001005B7">
        <w:rPr>
          <w:lang w:eastAsia="en-GB"/>
        </w:rPr>
        <w:t xml:space="preserve">assurance and also </w:t>
      </w:r>
      <w:r w:rsidR="003450DA" w:rsidRPr="001005B7">
        <w:rPr>
          <w:lang w:eastAsia="en-GB"/>
        </w:rPr>
        <w:t>a</w:t>
      </w:r>
      <w:r w:rsidR="00222872" w:rsidRPr="001005B7">
        <w:rPr>
          <w:lang w:eastAsia="en-GB"/>
        </w:rPr>
        <w:t xml:space="preserve"> challenge.</w:t>
      </w:r>
    </w:p>
    <w:p w14:paraId="5987086F" w14:textId="518DAD18" w:rsidR="00795665" w:rsidRPr="001005B7" w:rsidRDefault="00BA76BD" w:rsidP="001C74F3">
      <w:pPr>
        <w:rPr>
          <w:rFonts w:cstheme="minorHAnsi"/>
        </w:rPr>
      </w:pPr>
      <w:r w:rsidRPr="001005B7">
        <w:rPr>
          <w:i/>
          <w:iCs/>
          <w:lang w:eastAsia="en-GB"/>
        </w:rPr>
        <w:t>What it means that Yahweh is God.</w:t>
      </w:r>
      <w:r w:rsidRPr="001005B7">
        <w:rPr>
          <w:lang w:eastAsia="en-GB"/>
        </w:rPr>
        <w:t xml:space="preserve"> </w:t>
      </w:r>
      <w:r w:rsidR="00A9296B" w:rsidRPr="001005B7">
        <w:rPr>
          <w:lang w:eastAsia="en-GB"/>
        </w:rPr>
        <w:t>T</w:t>
      </w:r>
      <w:r w:rsidR="00EF3F3F" w:rsidRPr="001005B7">
        <w:rPr>
          <w:lang w:eastAsia="en-GB"/>
        </w:rPr>
        <w:t xml:space="preserve">here is </w:t>
      </w:r>
      <w:r w:rsidR="00A9296B" w:rsidRPr="001005B7">
        <w:rPr>
          <w:lang w:eastAsia="en-GB"/>
        </w:rPr>
        <w:t xml:space="preserve">thus </w:t>
      </w:r>
      <w:r w:rsidR="00EF3F3F" w:rsidRPr="001005B7">
        <w:rPr>
          <w:lang w:eastAsia="en-GB"/>
        </w:rPr>
        <w:t>only one God</w:t>
      </w:r>
      <w:r w:rsidR="00052CC2" w:rsidRPr="001005B7">
        <w:rPr>
          <w:lang w:eastAsia="en-GB"/>
        </w:rPr>
        <w:t xml:space="preserve">, </w:t>
      </w:r>
      <w:r w:rsidRPr="001005B7">
        <w:rPr>
          <w:lang w:eastAsia="en-GB"/>
        </w:rPr>
        <w:t xml:space="preserve">the God of Israel. </w:t>
      </w:r>
      <w:r w:rsidR="00C950AB">
        <w:rPr>
          <w:lang w:eastAsia="en-GB"/>
        </w:rPr>
        <w:t>Yahweh</w:t>
      </w:r>
      <w:r w:rsidRPr="001005B7">
        <w:rPr>
          <w:lang w:eastAsia="en-GB"/>
        </w:rPr>
        <w:t xml:space="preserve"> is th</w:t>
      </w:r>
      <w:r w:rsidR="00B034F0" w:rsidRPr="001005B7">
        <w:rPr>
          <w:lang w:eastAsia="en-GB"/>
        </w:rPr>
        <w:t>at</w:t>
      </w:r>
      <w:r w:rsidRPr="001005B7">
        <w:rPr>
          <w:lang w:eastAsia="en-GB"/>
        </w:rPr>
        <w:t xml:space="preserve"> awe-inspiring deity. </w:t>
      </w:r>
      <w:r w:rsidR="00273F7D" w:rsidRPr="001005B7">
        <w:t>“I am Yahweh</w:t>
      </w:r>
      <w:r w:rsidR="006F0FD4" w:rsidRPr="001005B7">
        <w:t>,</w:t>
      </w:r>
      <w:r w:rsidR="00273F7D" w:rsidRPr="001005B7">
        <w:t>”</w:t>
      </w:r>
      <w:r w:rsidR="006F0FD4" w:rsidRPr="001005B7">
        <w:t xml:space="preserve"> </w:t>
      </w:r>
      <w:r w:rsidR="006F0FD4" w:rsidRPr="001005B7">
        <w:rPr>
          <w:rFonts w:cstheme="minorHAnsi"/>
          <w:rtl/>
          <w:lang w:bidi="he-IL"/>
        </w:rPr>
        <w:t>אֲנִי יהוה</w:t>
      </w:r>
      <w:r w:rsidR="006F0FD4" w:rsidRPr="001005B7">
        <w:t xml:space="preserve">, </w:t>
      </w:r>
      <w:r w:rsidR="00273F7D" w:rsidRPr="001005B7">
        <w:t xml:space="preserve">is a key way </w:t>
      </w:r>
      <w:r w:rsidR="00822C4A" w:rsidRPr="001005B7">
        <w:t xml:space="preserve">whereby he </w:t>
      </w:r>
      <w:r w:rsidR="0056093C" w:rsidRPr="001005B7">
        <w:t>makes that declaration</w:t>
      </w:r>
      <w:r w:rsidR="00273F7D" w:rsidRPr="001005B7">
        <w:rPr>
          <w:rStyle w:val="FootnoteReference"/>
        </w:rPr>
        <w:footnoteReference w:id="21"/>
      </w:r>
      <w:r w:rsidR="00945E44">
        <w:t xml:space="preserve"> It is </w:t>
      </w:r>
      <w:r w:rsidR="00795665" w:rsidRPr="001005B7">
        <w:t>a key declaration in Ezekiel (sixty-seven occurrences), though also in Leviticus (forty-five) and Exodus (seventeen).</w:t>
      </w:r>
      <w:r w:rsidR="00795665" w:rsidRPr="001005B7">
        <w:rPr>
          <w:rStyle w:val="FootnoteReference"/>
        </w:rPr>
        <w:footnoteReference w:id="22"/>
      </w:r>
      <w:r w:rsidR="00795665" w:rsidRPr="001005B7">
        <w:t xml:space="preserve"> It is a compressed expression. A Babylonian would be prepared to acknowledge that Israel’s God was Yahweh. It </w:t>
      </w:r>
      <w:r w:rsidR="00A579A2" w:rsidRPr="001005B7">
        <w:t>w</w:t>
      </w:r>
      <w:r w:rsidR="00795665" w:rsidRPr="001005B7">
        <w:t xml:space="preserve">ould </w:t>
      </w:r>
      <w:r w:rsidR="00720E77" w:rsidRPr="001005B7">
        <w:t xml:space="preserve">seem to be </w:t>
      </w:r>
      <w:r w:rsidR="00795665" w:rsidRPr="001005B7">
        <w:t xml:space="preserve">saying something uncontroversial. </w:t>
      </w:r>
      <w:r w:rsidR="00041FD8" w:rsidRPr="001005B7">
        <w:t xml:space="preserve">But </w:t>
      </w:r>
      <w:r w:rsidR="00D715A5">
        <w:t>i</w:t>
      </w:r>
      <w:r w:rsidR="00041FD8" w:rsidRPr="001005B7">
        <w:t>t implies “I am Yahweh and I am Go</w:t>
      </w:r>
      <w:r w:rsidR="0006681E" w:rsidRPr="001005B7">
        <w:t xml:space="preserve">d.” </w:t>
      </w:r>
      <w:r w:rsidR="00795665" w:rsidRPr="001005B7">
        <w:t xml:space="preserve">The replacement of “Yahweh” by </w:t>
      </w:r>
      <w:r w:rsidR="00795665" w:rsidRPr="001005B7">
        <w:rPr>
          <w:rFonts w:cstheme="minorHAnsi"/>
          <w:rtl/>
          <w:lang w:bidi="he-IL"/>
        </w:rPr>
        <w:t>אֲדׄנַי</w:t>
      </w:r>
      <w:r w:rsidR="00795665" w:rsidRPr="001005B7">
        <w:rPr>
          <w:rFonts w:cstheme="minorHAnsi"/>
        </w:rPr>
        <w:t xml:space="preserve"> </w:t>
      </w:r>
      <w:r w:rsidR="00795665" w:rsidRPr="001005B7">
        <w:t>in reading the Scriptures</w:t>
      </w:r>
      <w:r w:rsidR="00795665" w:rsidRPr="001005B7">
        <w:rPr>
          <w:rFonts w:cstheme="minorHAnsi"/>
        </w:rPr>
        <w:t>, issuing in the translation “you will acknowledge that I am the L</w:t>
      </w:r>
      <w:r w:rsidR="00795665" w:rsidRPr="001005B7">
        <w:rPr>
          <w:rFonts w:cstheme="minorHAnsi"/>
          <w:sz w:val="18"/>
          <w:szCs w:val="18"/>
        </w:rPr>
        <w:t>ORD</w:t>
      </w:r>
      <w:r w:rsidR="00795665" w:rsidRPr="001005B7">
        <w:rPr>
          <w:rFonts w:cstheme="minorHAnsi"/>
        </w:rPr>
        <w:t>,</w:t>
      </w:r>
      <w:r w:rsidR="0006681E" w:rsidRPr="001005B7">
        <w:rPr>
          <w:rFonts w:cstheme="minorHAnsi"/>
        </w:rPr>
        <w:t>”</w:t>
      </w:r>
      <w:r w:rsidR="00795665" w:rsidRPr="001005B7">
        <w:rPr>
          <w:rFonts w:cstheme="minorHAnsi"/>
        </w:rPr>
        <w:t xml:space="preserve"> generate</w:t>
      </w:r>
      <w:r w:rsidR="0006681E" w:rsidRPr="001005B7">
        <w:rPr>
          <w:rFonts w:cstheme="minorHAnsi"/>
        </w:rPr>
        <w:t>s</w:t>
      </w:r>
      <w:r w:rsidR="00795665" w:rsidRPr="001005B7">
        <w:rPr>
          <w:rFonts w:cstheme="minorHAnsi"/>
        </w:rPr>
        <w:t xml:space="preserve"> a statement that is usefully controversial: Yahweh</w:t>
      </w:r>
      <w:r w:rsidR="00A20BAA" w:rsidRPr="001005B7">
        <w:rPr>
          <w:rFonts w:cstheme="minorHAnsi"/>
        </w:rPr>
        <w:t>,</w:t>
      </w:r>
      <w:r w:rsidR="00795665" w:rsidRPr="001005B7">
        <w:rPr>
          <w:rFonts w:cstheme="minorHAnsi"/>
        </w:rPr>
        <w:t xml:space="preserve"> not </w:t>
      </w:r>
      <w:r w:rsidR="00BB6012" w:rsidRPr="001005B7">
        <w:rPr>
          <w:rFonts w:cstheme="minorHAnsi"/>
        </w:rPr>
        <w:t xml:space="preserve">(e.g.) </w:t>
      </w:r>
      <w:r w:rsidR="00795665" w:rsidRPr="001005B7">
        <w:rPr>
          <w:rFonts w:cstheme="minorHAnsi"/>
        </w:rPr>
        <w:t>Bel</w:t>
      </w:r>
      <w:r w:rsidR="00A20BAA" w:rsidRPr="001005B7">
        <w:rPr>
          <w:rFonts w:cstheme="minorHAnsi"/>
        </w:rPr>
        <w:t>,</w:t>
      </w:r>
      <w:r w:rsidR="00795665" w:rsidRPr="001005B7">
        <w:rPr>
          <w:rFonts w:cstheme="minorHAnsi"/>
        </w:rPr>
        <w:t xml:space="preserve"> is Lord. But th</w:t>
      </w:r>
      <w:r w:rsidR="00700A94" w:rsidRPr="001005B7">
        <w:rPr>
          <w:rFonts w:cstheme="minorHAnsi"/>
        </w:rPr>
        <w:t>e</w:t>
      </w:r>
      <w:r w:rsidR="00795665" w:rsidRPr="001005B7">
        <w:rPr>
          <w:rFonts w:cstheme="minorHAnsi"/>
        </w:rPr>
        <w:t xml:space="preserve"> statement makes a different and less subtle point from </w:t>
      </w:r>
      <w:r w:rsidR="00700A94" w:rsidRPr="001005B7">
        <w:rPr>
          <w:rFonts w:cstheme="minorHAnsi"/>
        </w:rPr>
        <w:t xml:space="preserve">the </w:t>
      </w:r>
      <w:r w:rsidR="00795665" w:rsidRPr="001005B7">
        <w:rPr>
          <w:rFonts w:cstheme="minorHAnsi"/>
        </w:rPr>
        <w:t xml:space="preserve">compressed one that Yahweh </w:t>
      </w:r>
      <w:r w:rsidR="00905954" w:rsidRPr="001005B7">
        <w:rPr>
          <w:rFonts w:cstheme="minorHAnsi"/>
        </w:rPr>
        <w:t xml:space="preserve">actually </w:t>
      </w:r>
      <w:r w:rsidR="00795665" w:rsidRPr="001005B7">
        <w:rPr>
          <w:rFonts w:cstheme="minorHAnsi"/>
        </w:rPr>
        <w:t xml:space="preserve">makes, </w:t>
      </w:r>
      <w:r w:rsidR="004D5A39">
        <w:rPr>
          <w:rFonts w:cstheme="minorHAnsi"/>
        </w:rPr>
        <w:t xml:space="preserve">which implies </w:t>
      </w:r>
      <w:r w:rsidR="00795665" w:rsidRPr="001005B7">
        <w:rPr>
          <w:rFonts w:cstheme="minorHAnsi"/>
        </w:rPr>
        <w:t>that Yahweh is the real God.</w:t>
      </w:r>
      <w:r w:rsidR="009B0965" w:rsidRPr="001005B7">
        <w:rPr>
          <w:rFonts w:cstheme="minorHAnsi"/>
        </w:rPr>
        <w:t xml:space="preserve"> </w:t>
      </w:r>
      <w:r w:rsidR="00FA09C4" w:rsidRPr="001005B7">
        <w:rPr>
          <w:rFonts w:cstheme="minorHAnsi"/>
        </w:rPr>
        <w:t>Through much of the first half of Ezekiel</w:t>
      </w:r>
      <w:r w:rsidR="001C74F3" w:rsidRPr="001005B7">
        <w:rPr>
          <w:rFonts w:cstheme="minorHAnsi"/>
        </w:rPr>
        <w:t xml:space="preserve">, the </w:t>
      </w:r>
      <w:r w:rsidR="006B499D" w:rsidRPr="001005B7">
        <w:rPr>
          <w:rFonts w:cstheme="minorHAnsi"/>
        </w:rPr>
        <w:t>affirmation</w:t>
      </w:r>
      <w:r w:rsidR="001C74F3" w:rsidRPr="001005B7">
        <w:rPr>
          <w:rFonts w:cstheme="minorHAnsi"/>
        </w:rPr>
        <w:t xml:space="preserve"> that Yahweh is God </w:t>
      </w:r>
      <w:r w:rsidR="00795665" w:rsidRPr="001005B7">
        <w:rPr>
          <w:rFonts w:cstheme="minorHAnsi"/>
        </w:rPr>
        <w:t>occur</w:t>
      </w:r>
      <w:r w:rsidR="006B499D" w:rsidRPr="001005B7">
        <w:rPr>
          <w:rFonts w:cstheme="minorHAnsi"/>
        </w:rPr>
        <w:t>s</w:t>
      </w:r>
      <w:r w:rsidR="00795665" w:rsidRPr="001005B7">
        <w:rPr>
          <w:rFonts w:cstheme="minorHAnsi"/>
        </w:rPr>
        <w:t xml:space="preserve"> in the context of declarations of Yahweh’s capacity and will to bring trouble on Judah for its waywardness.</w:t>
      </w:r>
      <w:r w:rsidR="007A05E5" w:rsidRPr="001005B7">
        <w:rPr>
          <w:rFonts w:cstheme="minorHAnsi"/>
        </w:rPr>
        <w:t xml:space="preserve"> In due course </w:t>
      </w:r>
      <w:r w:rsidR="00795665" w:rsidRPr="001005B7">
        <w:rPr>
          <w:rFonts w:cstheme="minorHAnsi"/>
        </w:rPr>
        <w:t xml:space="preserve">things becomes less gloomy, </w:t>
      </w:r>
      <w:r w:rsidR="00014862" w:rsidRPr="001005B7">
        <w:rPr>
          <w:rFonts w:cstheme="minorHAnsi"/>
        </w:rPr>
        <w:t>as</w:t>
      </w:r>
      <w:r w:rsidR="00795665" w:rsidRPr="001005B7">
        <w:rPr>
          <w:rFonts w:cstheme="minorHAnsi"/>
        </w:rPr>
        <w:t xml:space="preserve"> the emphasis in the occurrences of the expression lie</w:t>
      </w:r>
      <w:r w:rsidR="00606D4D" w:rsidRPr="001005B7">
        <w:rPr>
          <w:rFonts w:cstheme="minorHAnsi"/>
        </w:rPr>
        <w:t>s</w:t>
      </w:r>
      <w:r w:rsidR="00795665" w:rsidRPr="001005B7">
        <w:rPr>
          <w:rFonts w:cstheme="minorHAnsi"/>
        </w:rPr>
        <w:t xml:space="preserve"> in its asserting Yahweh’s authority</w:t>
      </w:r>
      <w:r w:rsidR="002A39E0">
        <w:rPr>
          <w:rFonts w:cstheme="minorHAnsi"/>
        </w:rPr>
        <w:t>. I</w:t>
      </w:r>
      <w:r w:rsidR="00795665" w:rsidRPr="001005B7">
        <w:rPr>
          <w:rFonts w:cstheme="minorHAnsi"/>
        </w:rPr>
        <w:t>n Ezek 25</w:t>
      </w:r>
      <w:r w:rsidR="00F46900" w:rsidRPr="001005B7">
        <w:rPr>
          <w:rFonts w:cstheme="minorHAnsi"/>
        </w:rPr>
        <w:t>–</w:t>
      </w:r>
      <w:r w:rsidR="00795665" w:rsidRPr="001005B7">
        <w:rPr>
          <w:rFonts w:cstheme="minorHAnsi"/>
        </w:rPr>
        <w:t xml:space="preserve">35 it becomes the fact proven by his bringing trouble on </w:t>
      </w:r>
      <w:r w:rsidR="00021A2C" w:rsidRPr="001005B7">
        <w:rPr>
          <w:rFonts w:cstheme="minorHAnsi"/>
        </w:rPr>
        <w:t>powers such as Egypt</w:t>
      </w:r>
      <w:r w:rsidR="00A031FA" w:rsidRPr="001005B7">
        <w:rPr>
          <w:rFonts w:cstheme="minorHAnsi"/>
        </w:rPr>
        <w:t xml:space="preserve">, then </w:t>
      </w:r>
      <w:r w:rsidR="00B83281" w:rsidRPr="001005B7">
        <w:rPr>
          <w:rFonts w:cstheme="minorHAnsi"/>
        </w:rPr>
        <w:t>in</w:t>
      </w:r>
      <w:r w:rsidR="00BE0280" w:rsidRPr="001005B7">
        <w:rPr>
          <w:rFonts w:cstheme="minorHAnsi"/>
        </w:rPr>
        <w:t xml:space="preserve"> backing </w:t>
      </w:r>
      <w:r w:rsidR="00165ACE">
        <w:rPr>
          <w:rFonts w:cstheme="minorHAnsi"/>
        </w:rPr>
        <w:t>declarations about his</w:t>
      </w:r>
      <w:r w:rsidR="00BE0280" w:rsidRPr="001005B7">
        <w:rPr>
          <w:rFonts w:cstheme="minorHAnsi"/>
        </w:rPr>
        <w:t xml:space="preserve"> restoring </w:t>
      </w:r>
      <w:r w:rsidR="005D7C51" w:rsidRPr="001005B7">
        <w:rPr>
          <w:rFonts w:cstheme="minorHAnsi"/>
        </w:rPr>
        <w:t xml:space="preserve">and renewing </w:t>
      </w:r>
      <w:r w:rsidR="00BE0280" w:rsidRPr="001005B7">
        <w:rPr>
          <w:rFonts w:cstheme="minorHAnsi"/>
        </w:rPr>
        <w:t xml:space="preserve">Judah. </w:t>
      </w:r>
    </w:p>
    <w:p w14:paraId="04728F1C" w14:textId="466A427C" w:rsidR="00BB3DC9" w:rsidRPr="001005B7" w:rsidRDefault="00BA76BD" w:rsidP="00273F7D">
      <w:r w:rsidRPr="001005B7">
        <w:rPr>
          <w:lang w:eastAsia="en-GB"/>
        </w:rPr>
        <w:t>Th</w:t>
      </w:r>
      <w:r w:rsidR="00956E7D" w:rsidRPr="001005B7">
        <w:rPr>
          <w:lang w:eastAsia="en-GB"/>
        </w:rPr>
        <w:t>e fact that Yahweh is God</w:t>
      </w:r>
      <w:r w:rsidRPr="001005B7">
        <w:rPr>
          <w:lang w:eastAsia="en-GB"/>
        </w:rPr>
        <w:t xml:space="preserve"> tells </w:t>
      </w:r>
      <w:r w:rsidR="00D3061C" w:rsidRPr="001005B7">
        <w:rPr>
          <w:lang w:eastAsia="en-GB"/>
        </w:rPr>
        <w:t xml:space="preserve">Ezekiel’s </w:t>
      </w:r>
      <w:r w:rsidRPr="001005B7">
        <w:rPr>
          <w:lang w:eastAsia="en-GB"/>
        </w:rPr>
        <w:t>audience something about God</w:t>
      </w:r>
      <w:r w:rsidR="00504BE9" w:rsidRPr="001005B7">
        <w:rPr>
          <w:lang w:eastAsia="en-GB"/>
        </w:rPr>
        <w:t xml:space="preserve"> and</w:t>
      </w:r>
      <w:r w:rsidRPr="001005B7">
        <w:rPr>
          <w:lang w:eastAsia="en-GB"/>
        </w:rPr>
        <w:t xml:space="preserve"> about Yahweh, and something about themselves and their destiny.</w:t>
      </w:r>
      <w:r w:rsidR="009525DD" w:rsidRPr="001005B7">
        <w:rPr>
          <w:lang w:eastAsia="en-GB"/>
        </w:rPr>
        <w:t xml:space="preserve"> Yahweh has been involved with Israel over the centuries in a relationship that began with his</w:t>
      </w:r>
      <w:r w:rsidR="004745A3" w:rsidRPr="001005B7">
        <w:rPr>
          <w:lang w:eastAsia="en-GB"/>
        </w:rPr>
        <w:t xml:space="preserve"> initiative</w:t>
      </w:r>
      <w:r w:rsidR="000908A7" w:rsidRPr="001005B7">
        <w:rPr>
          <w:lang w:eastAsia="en-GB"/>
        </w:rPr>
        <w:t>. It</w:t>
      </w:r>
      <w:r w:rsidR="005427A6" w:rsidRPr="001005B7">
        <w:rPr>
          <w:lang w:eastAsia="en-GB"/>
        </w:rPr>
        <w:t xml:space="preserve"> took Yahweh into a c</w:t>
      </w:r>
      <w:r w:rsidR="009525DD" w:rsidRPr="001005B7">
        <w:rPr>
          <w:lang w:eastAsia="en-GB"/>
        </w:rPr>
        <w:t>ovenant</w:t>
      </w:r>
      <w:r w:rsidR="005427A6" w:rsidRPr="001005B7">
        <w:rPr>
          <w:lang w:eastAsia="en-GB"/>
        </w:rPr>
        <w:t xml:space="preserve"> relationship with Israel</w:t>
      </w:r>
      <w:r w:rsidR="009C1474" w:rsidRPr="001005B7">
        <w:rPr>
          <w:lang w:eastAsia="en-GB"/>
        </w:rPr>
        <w:t>,</w:t>
      </w:r>
      <w:r w:rsidR="00CD6E14" w:rsidRPr="001005B7">
        <w:rPr>
          <w:lang w:eastAsia="en-GB"/>
        </w:rPr>
        <w:t xml:space="preserve"> one designed to </w:t>
      </w:r>
      <w:r w:rsidR="00FA606E" w:rsidRPr="001005B7">
        <w:rPr>
          <w:lang w:eastAsia="en-GB"/>
        </w:rPr>
        <w:t>mean that</w:t>
      </w:r>
      <w:r w:rsidR="00B2507B" w:rsidRPr="001005B7">
        <w:rPr>
          <w:lang w:eastAsia="en-GB"/>
        </w:rPr>
        <w:t xml:space="preserve"> </w:t>
      </w:r>
      <w:r w:rsidR="00FA606E" w:rsidRPr="001005B7">
        <w:rPr>
          <w:lang w:eastAsia="en-GB"/>
        </w:rPr>
        <w:t>“</w:t>
      </w:r>
      <w:r w:rsidR="00B2507B" w:rsidRPr="001005B7">
        <w:rPr>
          <w:lang w:eastAsia="en-GB"/>
        </w:rPr>
        <w:t>they will be a people for me,</w:t>
      </w:r>
      <w:r w:rsidR="00FA606E" w:rsidRPr="001005B7">
        <w:rPr>
          <w:lang w:eastAsia="en-GB"/>
        </w:rPr>
        <w:t xml:space="preserve"> </w:t>
      </w:r>
      <w:r w:rsidR="00B2507B" w:rsidRPr="001005B7">
        <w:rPr>
          <w:lang w:eastAsia="en-GB"/>
        </w:rPr>
        <w:t>and I will be God for them</w:t>
      </w:r>
      <w:r w:rsidR="00FA606E" w:rsidRPr="001005B7">
        <w:rPr>
          <w:lang w:eastAsia="en-GB"/>
        </w:rPr>
        <w:t>” (11:</w:t>
      </w:r>
      <w:r w:rsidR="00F24306" w:rsidRPr="001005B7">
        <w:rPr>
          <w:lang w:eastAsia="en-GB"/>
        </w:rPr>
        <w:t>2</w:t>
      </w:r>
      <w:r w:rsidR="00FA606E" w:rsidRPr="001005B7">
        <w:rPr>
          <w:lang w:eastAsia="en-GB"/>
        </w:rPr>
        <w:t>0).</w:t>
      </w:r>
      <w:r w:rsidR="00F24306" w:rsidRPr="001005B7">
        <w:rPr>
          <w:lang w:eastAsia="en-GB"/>
        </w:rPr>
        <w:t xml:space="preserve"> </w:t>
      </w:r>
      <w:r w:rsidR="003765D4" w:rsidRPr="001005B7">
        <w:rPr>
          <w:lang w:eastAsia="en-GB"/>
        </w:rPr>
        <w:t>Being a</w:t>
      </w:r>
      <w:r w:rsidR="00F24306" w:rsidRPr="001005B7">
        <w:rPr>
          <w:lang w:eastAsia="en-GB"/>
        </w:rPr>
        <w:t xml:space="preserve"> people implies </w:t>
      </w:r>
      <w:r w:rsidR="003B5D68" w:rsidRPr="001005B7">
        <w:rPr>
          <w:lang w:eastAsia="en-GB"/>
        </w:rPr>
        <w:t xml:space="preserve">having </w:t>
      </w:r>
      <w:r w:rsidR="00EA729A" w:rsidRPr="001005B7">
        <w:rPr>
          <w:lang w:eastAsia="en-GB"/>
        </w:rPr>
        <w:t xml:space="preserve">an ethnic </w:t>
      </w:r>
      <w:r w:rsidR="003765D4" w:rsidRPr="001005B7">
        <w:rPr>
          <w:lang w:eastAsia="en-GB"/>
        </w:rPr>
        <w:t>identity</w:t>
      </w:r>
      <w:r w:rsidR="009C1474" w:rsidRPr="001005B7">
        <w:rPr>
          <w:lang w:eastAsia="en-GB"/>
        </w:rPr>
        <w:t>, whose</w:t>
      </w:r>
      <w:r w:rsidR="00CF1727" w:rsidRPr="001005B7">
        <w:rPr>
          <w:lang w:eastAsia="en-GB"/>
        </w:rPr>
        <w:t xml:space="preserve"> significance is sharpened in one direction by Ezekiel’s emphasis on </w:t>
      </w:r>
      <w:r w:rsidR="002A5C2A" w:rsidRPr="001005B7">
        <w:rPr>
          <w:lang w:eastAsia="en-GB"/>
        </w:rPr>
        <w:t>Israel’s</w:t>
      </w:r>
      <w:r w:rsidR="00CF1727" w:rsidRPr="001005B7">
        <w:rPr>
          <w:lang w:eastAsia="en-GB"/>
        </w:rPr>
        <w:t xml:space="preserve"> being</w:t>
      </w:r>
      <w:r w:rsidR="002A5C2A" w:rsidRPr="001005B7">
        <w:rPr>
          <w:lang w:eastAsia="en-GB"/>
        </w:rPr>
        <w:t xml:space="preserve"> a household</w:t>
      </w:r>
      <w:r w:rsidR="00C54749">
        <w:rPr>
          <w:lang w:eastAsia="en-GB"/>
        </w:rPr>
        <w:t>,</w:t>
      </w:r>
      <w:r w:rsidR="00EA729A" w:rsidRPr="001005B7">
        <w:rPr>
          <w:lang w:eastAsia="en-GB"/>
        </w:rPr>
        <w:t xml:space="preserve"> something like a large family</w:t>
      </w:r>
      <w:r w:rsidR="00B642AC" w:rsidRPr="001005B7">
        <w:rPr>
          <w:lang w:eastAsia="en-GB"/>
        </w:rPr>
        <w:t xml:space="preserve"> that lives together</w:t>
      </w:r>
      <w:r w:rsidR="00EA729A" w:rsidRPr="001005B7">
        <w:rPr>
          <w:lang w:eastAsia="en-GB"/>
        </w:rPr>
        <w:t>.</w:t>
      </w:r>
      <w:r w:rsidR="00F24306" w:rsidRPr="001005B7">
        <w:rPr>
          <w:lang w:eastAsia="en-GB"/>
        </w:rPr>
        <w:t xml:space="preserve"> </w:t>
      </w:r>
      <w:r w:rsidR="002A5C2A" w:rsidRPr="001005B7">
        <w:rPr>
          <w:lang w:eastAsia="en-GB"/>
        </w:rPr>
        <w:t>It is sharpened in another direction by his describing Israel as a nation</w:t>
      </w:r>
      <w:r w:rsidR="00B642AC" w:rsidRPr="001005B7">
        <w:rPr>
          <w:lang w:eastAsia="en-GB"/>
        </w:rPr>
        <w:t xml:space="preserve">, an entity with a political </w:t>
      </w:r>
      <w:r w:rsidR="00614E15" w:rsidRPr="001005B7">
        <w:rPr>
          <w:lang w:eastAsia="en-GB"/>
        </w:rPr>
        <w:t xml:space="preserve">form </w:t>
      </w:r>
      <w:r w:rsidR="00C061A1" w:rsidRPr="001005B7">
        <w:rPr>
          <w:lang w:eastAsia="en-GB"/>
        </w:rPr>
        <w:t>that</w:t>
      </w:r>
      <w:r w:rsidR="00614E15" w:rsidRPr="001005B7">
        <w:rPr>
          <w:lang w:eastAsia="en-GB"/>
        </w:rPr>
        <w:t xml:space="preserve"> relat</w:t>
      </w:r>
      <w:r w:rsidR="00C061A1" w:rsidRPr="001005B7">
        <w:rPr>
          <w:lang w:eastAsia="en-GB"/>
        </w:rPr>
        <w:t>es</w:t>
      </w:r>
      <w:r w:rsidR="00614E15" w:rsidRPr="001005B7">
        <w:rPr>
          <w:lang w:eastAsia="en-GB"/>
        </w:rPr>
        <w:t xml:space="preserve"> to other nations</w:t>
      </w:r>
      <w:r w:rsidR="003A1603" w:rsidRPr="001005B7">
        <w:rPr>
          <w:lang w:eastAsia="en-GB"/>
        </w:rPr>
        <w:t xml:space="preserve"> such as Babylon, Ammon, </w:t>
      </w:r>
      <w:proofErr w:type="spellStart"/>
      <w:r w:rsidR="003A1603" w:rsidRPr="001005B7">
        <w:rPr>
          <w:lang w:eastAsia="en-GB"/>
        </w:rPr>
        <w:t>Tyre</w:t>
      </w:r>
      <w:proofErr w:type="spellEnd"/>
      <w:r w:rsidR="003A1603" w:rsidRPr="001005B7">
        <w:rPr>
          <w:lang w:eastAsia="en-GB"/>
        </w:rPr>
        <w:t xml:space="preserve">, and Egypt. </w:t>
      </w:r>
      <w:r w:rsidR="00563027" w:rsidRPr="001005B7">
        <w:rPr>
          <w:lang w:eastAsia="en-GB"/>
        </w:rPr>
        <w:t xml:space="preserve">The </w:t>
      </w:r>
      <w:r w:rsidR="00C460AA" w:rsidRPr="001005B7">
        <w:rPr>
          <w:lang w:eastAsia="en-GB"/>
        </w:rPr>
        <w:t xml:space="preserve">“my </w:t>
      </w:r>
      <w:r w:rsidR="00A47E6D" w:rsidRPr="001005B7">
        <w:rPr>
          <w:lang w:eastAsia="en-GB"/>
        </w:rPr>
        <w:t xml:space="preserve">people—your God” </w:t>
      </w:r>
      <w:r w:rsidR="00563027" w:rsidRPr="001005B7">
        <w:rPr>
          <w:lang w:eastAsia="en-GB"/>
        </w:rPr>
        <w:t xml:space="preserve">relationship also means that </w:t>
      </w:r>
      <w:r w:rsidR="001A52CD" w:rsidRPr="001005B7">
        <w:rPr>
          <w:lang w:eastAsia="en-GB"/>
        </w:rPr>
        <w:t xml:space="preserve">Yahweh dwells </w:t>
      </w:r>
      <w:r w:rsidR="00A47E6D" w:rsidRPr="001005B7">
        <w:rPr>
          <w:lang w:eastAsia="en-GB"/>
        </w:rPr>
        <w:t>among</w:t>
      </w:r>
      <w:r w:rsidR="001A52CD" w:rsidRPr="001005B7">
        <w:rPr>
          <w:lang w:eastAsia="en-GB"/>
        </w:rPr>
        <w:t xml:space="preserve"> Israel.</w:t>
      </w:r>
      <w:r w:rsidRPr="001005B7">
        <w:rPr>
          <w:lang w:eastAsia="en-GB"/>
        </w:rPr>
        <w:t xml:space="preserve"> Yahweh’s sanctuary</w:t>
      </w:r>
      <w:r w:rsidR="001A52CD" w:rsidRPr="001005B7">
        <w:rPr>
          <w:lang w:eastAsia="en-GB"/>
        </w:rPr>
        <w:t xml:space="preserve"> is</w:t>
      </w:r>
      <w:r w:rsidR="008B0A6B" w:rsidRPr="001005B7">
        <w:rPr>
          <w:lang w:eastAsia="en-GB"/>
        </w:rPr>
        <w:t xml:space="preserve"> with</w:t>
      </w:r>
      <w:r w:rsidR="001A52CD" w:rsidRPr="001005B7">
        <w:rPr>
          <w:lang w:eastAsia="en-GB"/>
        </w:rPr>
        <w:t>in Israel.</w:t>
      </w:r>
    </w:p>
    <w:p w14:paraId="48E7E778" w14:textId="4BF42D45" w:rsidR="001B1490" w:rsidRPr="001005B7" w:rsidRDefault="00BA76BD" w:rsidP="005F5ED6">
      <w:pPr>
        <w:rPr>
          <w:lang w:eastAsia="en-GB"/>
        </w:rPr>
      </w:pPr>
      <w:r w:rsidRPr="001005B7">
        <w:rPr>
          <w:lang w:eastAsia="en-GB"/>
        </w:rPr>
        <w:t>Unfortunately,</w:t>
      </w:r>
      <w:r w:rsidR="004E3720" w:rsidRPr="001005B7">
        <w:rPr>
          <w:lang w:eastAsia="en-GB"/>
        </w:rPr>
        <w:t xml:space="preserve"> this household</w:t>
      </w:r>
      <w:r w:rsidRPr="001005B7">
        <w:rPr>
          <w:lang w:eastAsia="en-GB"/>
        </w:rPr>
        <w:t xml:space="preserve"> is defiant, rebellious, severe of face and tough of mind, wayward, faithless, whoring</w:t>
      </w:r>
      <w:r w:rsidR="004E3720" w:rsidRPr="001005B7">
        <w:rPr>
          <w:lang w:eastAsia="en-GB"/>
        </w:rPr>
        <w:t xml:space="preserve">. </w:t>
      </w:r>
      <w:r w:rsidR="00A67964" w:rsidRPr="001005B7">
        <w:rPr>
          <w:lang w:eastAsia="en-GB"/>
        </w:rPr>
        <w:t>It has defiled Yahweh’s sanctuary</w:t>
      </w:r>
      <w:r w:rsidR="006137D7" w:rsidRPr="001005B7">
        <w:rPr>
          <w:lang w:eastAsia="en-GB"/>
        </w:rPr>
        <w:t xml:space="preserve"> with its outrages and abhorrent worship practices</w:t>
      </w:r>
      <w:r w:rsidR="00A67964" w:rsidRPr="001005B7">
        <w:rPr>
          <w:lang w:eastAsia="en-GB"/>
        </w:rPr>
        <w:t xml:space="preserve"> (</w:t>
      </w:r>
      <w:r w:rsidR="00D31F30" w:rsidRPr="001005B7">
        <w:rPr>
          <w:lang w:eastAsia="en-GB"/>
        </w:rPr>
        <w:t xml:space="preserve">Ezek </w:t>
      </w:r>
      <w:r w:rsidR="00A67964" w:rsidRPr="001005B7">
        <w:rPr>
          <w:lang w:eastAsia="en-GB"/>
        </w:rPr>
        <w:t>8</w:t>
      </w:r>
      <w:r w:rsidR="00F46900" w:rsidRPr="001005B7">
        <w:rPr>
          <w:lang w:eastAsia="en-GB"/>
        </w:rPr>
        <w:t>–</w:t>
      </w:r>
      <w:r w:rsidR="00A67964" w:rsidRPr="001005B7">
        <w:rPr>
          <w:lang w:eastAsia="en-GB"/>
        </w:rPr>
        <w:t xml:space="preserve">11). As a nation it has turned to other nations for </w:t>
      </w:r>
      <w:r w:rsidR="006137D7" w:rsidRPr="001005B7">
        <w:rPr>
          <w:lang w:eastAsia="en-GB"/>
        </w:rPr>
        <w:t>alliance and support.</w:t>
      </w:r>
      <w:r w:rsidR="00994E29" w:rsidRPr="001005B7">
        <w:rPr>
          <w:lang w:eastAsia="en-GB"/>
        </w:rPr>
        <w:t xml:space="preserve"> Its leadership is characterized by a</w:t>
      </w:r>
      <w:r w:rsidRPr="001005B7">
        <w:rPr>
          <w:lang w:eastAsia="en-GB"/>
        </w:rPr>
        <w:t>rrogance</w:t>
      </w:r>
      <w:r w:rsidR="00994E29" w:rsidRPr="001005B7">
        <w:rPr>
          <w:lang w:eastAsia="en-GB"/>
        </w:rPr>
        <w:t xml:space="preserve"> and</w:t>
      </w:r>
      <w:r w:rsidRPr="001005B7">
        <w:rPr>
          <w:lang w:eastAsia="en-GB"/>
        </w:rPr>
        <w:t xml:space="preserve"> violen</w:t>
      </w:r>
      <w:r w:rsidR="00047D4C" w:rsidRPr="001005B7">
        <w:rPr>
          <w:lang w:eastAsia="en-GB"/>
        </w:rPr>
        <w:t xml:space="preserve">ce. </w:t>
      </w:r>
      <w:r w:rsidR="00D20B64">
        <w:rPr>
          <w:lang w:eastAsia="en-GB"/>
        </w:rPr>
        <w:t>Disasters are</w:t>
      </w:r>
      <w:r w:rsidR="00DE67E4" w:rsidRPr="001005B7">
        <w:rPr>
          <w:lang w:eastAsia="en-GB"/>
        </w:rPr>
        <w:t xml:space="preserve"> therefore going to</w:t>
      </w:r>
      <w:r w:rsidRPr="001005B7">
        <w:rPr>
          <w:lang w:eastAsia="en-GB"/>
        </w:rPr>
        <w:t xml:space="preserve"> follow</w:t>
      </w:r>
      <w:r w:rsidR="00DE67E4" w:rsidRPr="001005B7">
        <w:rPr>
          <w:lang w:eastAsia="en-GB"/>
        </w:rPr>
        <w:t>: e</w:t>
      </w:r>
      <w:r w:rsidRPr="001005B7">
        <w:rPr>
          <w:lang w:eastAsia="en-GB"/>
        </w:rPr>
        <w:t>pidemic, famine, sword, destruction, wast</w:t>
      </w:r>
      <w:r w:rsidR="00692B49" w:rsidRPr="001005B7">
        <w:rPr>
          <w:lang w:eastAsia="en-GB"/>
        </w:rPr>
        <w:t>ing, c</w:t>
      </w:r>
      <w:r w:rsidRPr="001005B7">
        <w:rPr>
          <w:lang w:eastAsia="en-GB"/>
        </w:rPr>
        <w:t>ontempt, reviling</w:t>
      </w:r>
      <w:r w:rsidR="00692B49" w:rsidRPr="001005B7">
        <w:rPr>
          <w:lang w:eastAsia="en-GB"/>
        </w:rPr>
        <w:t xml:space="preserve">. </w:t>
      </w:r>
      <w:r w:rsidR="00B30440" w:rsidRPr="001005B7">
        <w:rPr>
          <w:lang w:eastAsia="en-GB"/>
        </w:rPr>
        <w:t>Its end as a people is approaching</w:t>
      </w:r>
      <w:r w:rsidRPr="001005B7">
        <w:rPr>
          <w:lang w:eastAsia="en-GB"/>
        </w:rPr>
        <w:t xml:space="preserve"> (7:1</w:t>
      </w:r>
      <w:r w:rsidR="00F46900" w:rsidRPr="001005B7">
        <w:rPr>
          <w:lang w:eastAsia="en-GB"/>
        </w:rPr>
        <w:t>–</w:t>
      </w:r>
      <w:r w:rsidRPr="001005B7">
        <w:rPr>
          <w:lang w:eastAsia="en-GB"/>
        </w:rPr>
        <w:t>6)</w:t>
      </w:r>
      <w:r w:rsidR="00B30440" w:rsidRPr="001005B7">
        <w:rPr>
          <w:lang w:eastAsia="en-GB"/>
        </w:rPr>
        <w:t xml:space="preserve">. It faces the </w:t>
      </w:r>
      <w:r w:rsidRPr="001005B7">
        <w:rPr>
          <w:lang w:eastAsia="en-GB"/>
        </w:rPr>
        <w:t xml:space="preserve">prospect of Yahweh leaving </w:t>
      </w:r>
      <w:r w:rsidR="00B30440" w:rsidRPr="001005B7">
        <w:rPr>
          <w:lang w:eastAsia="en-GB"/>
        </w:rPr>
        <w:t xml:space="preserve">his sanctuary </w:t>
      </w:r>
      <w:r w:rsidRPr="001005B7">
        <w:rPr>
          <w:lang w:eastAsia="en-GB"/>
        </w:rPr>
        <w:t>(10</w:t>
      </w:r>
      <w:r w:rsidR="00B036FC" w:rsidRPr="001005B7">
        <w:rPr>
          <w:lang w:eastAsia="en-GB"/>
        </w:rPr>
        <w:t>:</w:t>
      </w:r>
      <w:r w:rsidR="008479FF" w:rsidRPr="001005B7">
        <w:rPr>
          <w:lang w:eastAsia="en-GB"/>
        </w:rPr>
        <w:t>1</w:t>
      </w:r>
      <w:r w:rsidR="00F46900" w:rsidRPr="001005B7">
        <w:rPr>
          <w:lang w:eastAsia="en-GB"/>
        </w:rPr>
        <w:t>–</w:t>
      </w:r>
      <w:r w:rsidRPr="001005B7">
        <w:rPr>
          <w:lang w:eastAsia="en-GB"/>
        </w:rPr>
        <w:t>11</w:t>
      </w:r>
      <w:r w:rsidR="008479FF" w:rsidRPr="001005B7">
        <w:rPr>
          <w:lang w:eastAsia="en-GB"/>
        </w:rPr>
        <w:t>:23</w:t>
      </w:r>
      <w:r w:rsidRPr="001005B7">
        <w:rPr>
          <w:lang w:eastAsia="en-GB"/>
        </w:rPr>
        <w:t>)</w:t>
      </w:r>
      <w:r w:rsidR="008479FF" w:rsidRPr="001005B7">
        <w:rPr>
          <w:lang w:eastAsia="en-GB"/>
        </w:rPr>
        <w:t xml:space="preserve">. </w:t>
      </w:r>
      <w:r w:rsidR="00CD463E" w:rsidRPr="001005B7">
        <w:rPr>
          <w:lang w:eastAsia="en-GB"/>
        </w:rPr>
        <w:t xml:space="preserve">Ezekiel’s messages </w:t>
      </w:r>
      <w:r w:rsidR="00E76CB3" w:rsidRPr="001005B7">
        <w:rPr>
          <w:lang w:eastAsia="en-GB"/>
        </w:rPr>
        <w:t>are</w:t>
      </w:r>
      <w:r w:rsidR="00E34F50">
        <w:rPr>
          <w:lang w:eastAsia="en-GB"/>
        </w:rPr>
        <w:t xml:space="preserve"> thus</w:t>
      </w:r>
      <w:r w:rsidR="00A27535" w:rsidRPr="001005B7">
        <w:rPr>
          <w:lang w:eastAsia="en-GB"/>
        </w:rPr>
        <w:t xml:space="preserve"> </w:t>
      </w:r>
      <w:r w:rsidR="00577D93" w:rsidRPr="001005B7">
        <w:t>extreme</w:t>
      </w:r>
      <w:r w:rsidR="00CD463E" w:rsidRPr="001005B7">
        <w:t>,</w:t>
      </w:r>
      <w:r w:rsidR="00577D93" w:rsidRPr="001005B7">
        <w:t xml:space="preserve"> </w:t>
      </w:r>
      <w:r w:rsidR="00734853" w:rsidRPr="001005B7">
        <w:t>d</w:t>
      </w:r>
      <w:r w:rsidR="00577D93" w:rsidRPr="001005B7">
        <w:t>ark</w:t>
      </w:r>
      <w:r w:rsidR="00734853" w:rsidRPr="001005B7">
        <w:t xml:space="preserve">, and </w:t>
      </w:r>
      <w:r w:rsidR="00577D93" w:rsidRPr="001005B7">
        <w:t>horr</w:t>
      </w:r>
      <w:r w:rsidR="00734853" w:rsidRPr="001005B7">
        <w:t>ifying</w:t>
      </w:r>
      <w:r w:rsidR="0010264B" w:rsidRPr="001005B7">
        <w:t>.</w:t>
      </w:r>
      <w:r w:rsidR="0010264B" w:rsidRPr="001005B7">
        <w:rPr>
          <w:rStyle w:val="FootnoteReference"/>
        </w:rPr>
        <w:footnoteReference w:id="23"/>
      </w:r>
      <w:r w:rsidR="00734853" w:rsidRPr="001005B7">
        <w:t xml:space="preserve"> </w:t>
      </w:r>
      <w:r w:rsidR="00734853" w:rsidRPr="001005B7">
        <w:rPr>
          <w:lang w:eastAsia="en-GB"/>
        </w:rPr>
        <w:t xml:space="preserve">Yet </w:t>
      </w:r>
      <w:r w:rsidR="001B1490" w:rsidRPr="001005B7">
        <w:rPr>
          <w:lang w:eastAsia="en-GB"/>
        </w:rPr>
        <w:t xml:space="preserve">they are not just dark, and </w:t>
      </w:r>
      <w:r w:rsidR="00734853" w:rsidRPr="001005B7">
        <w:rPr>
          <w:lang w:eastAsia="en-GB"/>
        </w:rPr>
        <w:t>th</w:t>
      </w:r>
      <w:r w:rsidR="00594E7F" w:rsidRPr="001005B7">
        <w:rPr>
          <w:lang w:eastAsia="en-GB"/>
        </w:rPr>
        <w:t xml:space="preserve">e </w:t>
      </w:r>
      <w:r w:rsidR="003551EF" w:rsidRPr="001005B7">
        <w:rPr>
          <w:lang w:eastAsia="en-GB"/>
        </w:rPr>
        <w:t>threat</w:t>
      </w:r>
      <w:r w:rsidR="00594E7F" w:rsidRPr="001005B7">
        <w:rPr>
          <w:lang w:eastAsia="en-GB"/>
        </w:rPr>
        <w:t xml:space="preserve"> and the actuality of catastrophe</w:t>
      </w:r>
      <w:r w:rsidR="00E76CB3" w:rsidRPr="001005B7">
        <w:rPr>
          <w:lang w:eastAsia="en-GB"/>
        </w:rPr>
        <w:t xml:space="preserve"> portray</w:t>
      </w:r>
      <w:r w:rsidR="006416A5" w:rsidRPr="001005B7">
        <w:rPr>
          <w:lang w:eastAsia="en-GB"/>
        </w:rPr>
        <w:t>ed</w:t>
      </w:r>
      <w:r w:rsidR="00734853" w:rsidRPr="001005B7">
        <w:rPr>
          <w:lang w:eastAsia="en-GB"/>
        </w:rPr>
        <w:t xml:space="preserve"> can hardly be the end of the story.</w:t>
      </w:r>
      <w:r w:rsidR="00E76CB3" w:rsidRPr="001005B7">
        <w:rPr>
          <w:lang w:eastAsia="en-GB"/>
        </w:rPr>
        <w:t xml:space="preserve"> </w:t>
      </w:r>
      <w:r w:rsidR="00092E6E" w:rsidRPr="001005B7">
        <w:rPr>
          <w:lang w:eastAsia="en-GB"/>
        </w:rPr>
        <w:t>Yahweh</w:t>
      </w:r>
      <w:r w:rsidR="00734853" w:rsidRPr="001005B7">
        <w:rPr>
          <w:lang w:eastAsia="en-GB"/>
        </w:rPr>
        <w:t xml:space="preserve"> will restore the covenant relationship (16:60).</w:t>
      </w:r>
      <w:r w:rsidR="008240BF" w:rsidRPr="001005B7">
        <w:rPr>
          <w:lang w:eastAsia="en-GB"/>
        </w:rPr>
        <w:t xml:space="preserve"> </w:t>
      </w:r>
      <w:r w:rsidR="009A4B15" w:rsidRPr="001005B7">
        <w:rPr>
          <w:lang w:eastAsia="en-GB"/>
        </w:rPr>
        <w:t>His promises are developed in the last third of the scroll</w:t>
      </w:r>
      <w:r w:rsidR="004F1446" w:rsidRPr="001005B7">
        <w:rPr>
          <w:lang w:eastAsia="en-GB"/>
        </w:rPr>
        <w:t xml:space="preserve">, in terms of </w:t>
      </w:r>
      <w:r w:rsidR="0071102C" w:rsidRPr="001005B7">
        <w:rPr>
          <w:lang w:eastAsia="en-GB"/>
        </w:rPr>
        <w:t>a covenant relationship</w:t>
      </w:r>
      <w:r w:rsidR="007C1611" w:rsidRPr="001005B7">
        <w:rPr>
          <w:lang w:eastAsia="en-GB"/>
        </w:rPr>
        <w:t xml:space="preserve">, of a renewed people, of </w:t>
      </w:r>
      <w:r w:rsidR="007824CA" w:rsidRPr="001005B7">
        <w:rPr>
          <w:lang w:eastAsia="en-GB"/>
        </w:rPr>
        <w:t>a renewed land,</w:t>
      </w:r>
      <w:r w:rsidR="0071102C" w:rsidRPr="001005B7">
        <w:rPr>
          <w:lang w:eastAsia="en-GB"/>
        </w:rPr>
        <w:t xml:space="preserve"> but </w:t>
      </w:r>
      <w:r w:rsidR="007824CA" w:rsidRPr="001005B7">
        <w:rPr>
          <w:lang w:eastAsia="en-GB"/>
        </w:rPr>
        <w:t xml:space="preserve">especially </w:t>
      </w:r>
      <w:r w:rsidR="0071102C" w:rsidRPr="001005B7">
        <w:rPr>
          <w:lang w:eastAsia="en-GB"/>
        </w:rPr>
        <w:t xml:space="preserve">of </w:t>
      </w:r>
      <w:r w:rsidR="007C1611" w:rsidRPr="001005B7">
        <w:rPr>
          <w:lang w:eastAsia="en-GB"/>
        </w:rPr>
        <w:t xml:space="preserve">a </w:t>
      </w:r>
      <w:r w:rsidR="007824CA" w:rsidRPr="001005B7">
        <w:rPr>
          <w:lang w:eastAsia="en-GB"/>
        </w:rPr>
        <w:t xml:space="preserve">renewed </w:t>
      </w:r>
      <w:r w:rsidR="007C1611" w:rsidRPr="001005B7">
        <w:rPr>
          <w:lang w:eastAsia="en-GB"/>
        </w:rPr>
        <w:t>presence</w:t>
      </w:r>
      <w:r w:rsidR="007824CA" w:rsidRPr="001005B7">
        <w:rPr>
          <w:lang w:eastAsia="en-GB"/>
        </w:rPr>
        <w:t xml:space="preserve"> in a </w:t>
      </w:r>
      <w:r w:rsidR="001B1490" w:rsidRPr="001005B7">
        <w:rPr>
          <w:lang w:eastAsia="en-GB"/>
        </w:rPr>
        <w:t xml:space="preserve">renewed </w:t>
      </w:r>
      <w:r w:rsidR="00AE3650" w:rsidRPr="001005B7">
        <w:rPr>
          <w:lang w:eastAsia="en-GB"/>
        </w:rPr>
        <w:t>sanctuary</w:t>
      </w:r>
      <w:r w:rsidR="001B1490" w:rsidRPr="001005B7">
        <w:rPr>
          <w:lang w:eastAsia="en-GB"/>
        </w:rPr>
        <w:t>.</w:t>
      </w:r>
      <w:r w:rsidR="000D1A5E" w:rsidRPr="001005B7">
        <w:rPr>
          <w:lang w:eastAsia="en-GB"/>
        </w:rPr>
        <w:t xml:space="preserve"> </w:t>
      </w:r>
      <w:r w:rsidR="000D1A5E" w:rsidRPr="001005B7">
        <w:rPr>
          <w:rFonts w:cstheme="minorHAnsi"/>
        </w:rPr>
        <w:t xml:space="preserve">The affirmation </w:t>
      </w:r>
      <w:r w:rsidR="00874CDC" w:rsidRPr="001005B7">
        <w:rPr>
          <w:rFonts w:cstheme="minorHAnsi"/>
        </w:rPr>
        <w:t xml:space="preserve">“I am Yahweh” </w:t>
      </w:r>
      <w:r w:rsidR="000D1A5E" w:rsidRPr="001005B7">
        <w:rPr>
          <w:rFonts w:cstheme="minorHAnsi"/>
        </w:rPr>
        <w:t>does not feature in</w:t>
      </w:r>
      <w:r w:rsidR="00D00FE8" w:rsidRPr="001005B7">
        <w:rPr>
          <w:rFonts w:cstheme="minorHAnsi"/>
        </w:rPr>
        <w:t xml:space="preserve"> the vision </w:t>
      </w:r>
      <w:r w:rsidR="00E21B26" w:rsidRPr="001005B7">
        <w:rPr>
          <w:rFonts w:cstheme="minorHAnsi"/>
        </w:rPr>
        <w:t>of the new sanctuary</w:t>
      </w:r>
      <w:r w:rsidR="005D7C51" w:rsidRPr="001005B7">
        <w:rPr>
          <w:rFonts w:cstheme="minorHAnsi"/>
        </w:rPr>
        <w:t>, the new land,</w:t>
      </w:r>
      <w:r w:rsidR="00E21B26" w:rsidRPr="001005B7">
        <w:rPr>
          <w:rFonts w:cstheme="minorHAnsi"/>
        </w:rPr>
        <w:t xml:space="preserve"> and the new city</w:t>
      </w:r>
      <w:r w:rsidR="001B5072" w:rsidRPr="001005B7">
        <w:rPr>
          <w:rFonts w:cstheme="minorHAnsi"/>
        </w:rPr>
        <w:t xml:space="preserve"> in Ezek 40</w:t>
      </w:r>
      <w:r w:rsidR="00F46900" w:rsidRPr="001005B7">
        <w:rPr>
          <w:rFonts w:cstheme="minorHAnsi"/>
        </w:rPr>
        <w:t>–</w:t>
      </w:r>
      <w:r w:rsidR="001B5072" w:rsidRPr="001005B7">
        <w:rPr>
          <w:rFonts w:cstheme="minorHAnsi"/>
        </w:rPr>
        <w:t>48 (as it did not in the vision and the opening chapters in Ezek 1</w:t>
      </w:r>
      <w:r w:rsidR="00F46900" w:rsidRPr="001005B7">
        <w:rPr>
          <w:rFonts w:cstheme="minorHAnsi"/>
        </w:rPr>
        <w:t>–</w:t>
      </w:r>
      <w:r w:rsidR="001B5072" w:rsidRPr="001005B7">
        <w:rPr>
          <w:rFonts w:cstheme="minorHAnsi"/>
        </w:rPr>
        <w:t>5)</w:t>
      </w:r>
      <w:r w:rsidR="00147BED" w:rsidRPr="001005B7">
        <w:rPr>
          <w:rFonts w:cstheme="minorHAnsi"/>
        </w:rPr>
        <w:t xml:space="preserve">, but </w:t>
      </w:r>
      <w:r w:rsidR="005F0256">
        <w:rPr>
          <w:rFonts w:cstheme="minorHAnsi"/>
        </w:rPr>
        <w:t>this</w:t>
      </w:r>
      <w:r w:rsidR="00147BED" w:rsidRPr="001005B7">
        <w:rPr>
          <w:rFonts w:cstheme="minorHAnsi"/>
        </w:rPr>
        <w:t xml:space="preserve"> will be a place where supremely Yahweh is God.</w:t>
      </w:r>
      <w:r w:rsidR="00D00FE8" w:rsidRPr="001005B7">
        <w:rPr>
          <w:rFonts w:cstheme="minorHAnsi"/>
        </w:rPr>
        <w:t xml:space="preserve"> </w:t>
      </w:r>
    </w:p>
    <w:p w14:paraId="4CB0FC5B" w14:textId="066183EC" w:rsidR="009B6CF6" w:rsidRPr="001005B7" w:rsidRDefault="00BA76BD" w:rsidP="009B6CF6">
      <w:pPr>
        <w:rPr>
          <w:lang w:eastAsia="en-GB"/>
        </w:rPr>
      </w:pPr>
      <w:r w:rsidRPr="001005B7">
        <w:rPr>
          <w:lang w:eastAsia="en-GB"/>
        </w:rPr>
        <w:t>The church of Jesus Christ is a reshaped version of Israel</w:t>
      </w:r>
      <w:r w:rsidR="008A0AD3" w:rsidRPr="001005B7">
        <w:rPr>
          <w:lang w:eastAsia="en-GB"/>
        </w:rPr>
        <w:t xml:space="preserve"> as the people of Yahweh</w:t>
      </w:r>
      <w:r w:rsidRPr="001005B7">
        <w:rPr>
          <w:lang w:eastAsia="en-GB"/>
        </w:rPr>
        <w:t>.</w:t>
      </w:r>
      <w:r w:rsidR="00DA1DCD" w:rsidRPr="001005B7">
        <w:rPr>
          <w:lang w:eastAsia="en-GB"/>
        </w:rPr>
        <w:t xml:space="preserve"> Its core </w:t>
      </w:r>
      <w:r w:rsidR="00A32C97" w:rsidRPr="001005B7">
        <w:rPr>
          <w:lang w:eastAsia="en-GB"/>
        </w:rPr>
        <w:t>comprises members of Israel who ha</w:t>
      </w:r>
      <w:r w:rsidR="00FD5594" w:rsidRPr="001005B7">
        <w:rPr>
          <w:lang w:eastAsia="en-GB"/>
        </w:rPr>
        <w:t>v</w:t>
      </w:r>
      <w:r w:rsidR="00A32C97" w:rsidRPr="001005B7">
        <w:rPr>
          <w:lang w:eastAsia="en-GB"/>
        </w:rPr>
        <w:t xml:space="preserve">e come to recognize Jesus </w:t>
      </w:r>
      <w:r w:rsidR="00B416D9" w:rsidRPr="001005B7">
        <w:rPr>
          <w:lang w:eastAsia="en-GB"/>
        </w:rPr>
        <w:t>and on whom the Holy Spirit has fallen</w:t>
      </w:r>
      <w:r w:rsidR="00FD5594" w:rsidRPr="001005B7">
        <w:rPr>
          <w:lang w:eastAsia="en-GB"/>
        </w:rPr>
        <w:t xml:space="preserve">, </w:t>
      </w:r>
      <w:r w:rsidR="005F0256">
        <w:rPr>
          <w:lang w:eastAsia="en-GB"/>
        </w:rPr>
        <w:t>then</w:t>
      </w:r>
      <w:r w:rsidR="00FD5594" w:rsidRPr="001005B7">
        <w:rPr>
          <w:lang w:eastAsia="en-GB"/>
        </w:rPr>
        <w:t xml:space="preserve"> in keeping with </w:t>
      </w:r>
      <w:r w:rsidR="00624CE3" w:rsidRPr="001005B7">
        <w:rPr>
          <w:lang w:eastAsia="en-GB"/>
        </w:rPr>
        <w:t xml:space="preserve">Ezekiel’s emphasis on the nations coming to acknowledge Yahweh, </w:t>
      </w:r>
      <w:r w:rsidR="00373075" w:rsidRPr="001005B7">
        <w:rPr>
          <w:lang w:eastAsia="en-GB"/>
        </w:rPr>
        <w:t>this core is surrounded by an innumerable company</w:t>
      </w:r>
      <w:r w:rsidR="002A1CB5" w:rsidRPr="001005B7">
        <w:rPr>
          <w:lang w:eastAsia="en-GB"/>
        </w:rPr>
        <w:t xml:space="preserve"> from every people, nation, and language. </w:t>
      </w:r>
    </w:p>
    <w:p w14:paraId="2F6D1C8F" w14:textId="18A8D52B" w:rsidR="007410BB" w:rsidRPr="001005B7" w:rsidRDefault="00BA76BD" w:rsidP="00361AD0">
      <w:pPr>
        <w:rPr>
          <w:lang w:eastAsia="en-GB"/>
        </w:rPr>
      </w:pPr>
      <w:r w:rsidRPr="001005B7">
        <w:rPr>
          <w:i/>
          <w:iCs/>
          <w:lang w:eastAsia="en-GB"/>
        </w:rPr>
        <w:t>What is involved in acknowledging Yahweh as God</w:t>
      </w:r>
      <w:r w:rsidRPr="001005B7">
        <w:rPr>
          <w:lang w:eastAsia="en-GB"/>
        </w:rPr>
        <w:t xml:space="preserve">. </w:t>
      </w:r>
      <w:r w:rsidR="00000903" w:rsidRPr="001005B7">
        <w:rPr>
          <w:lang w:eastAsia="en-GB"/>
        </w:rPr>
        <w:t xml:space="preserve">The aim that people may come to acknowledge Yahweh </w:t>
      </w:r>
      <w:r w:rsidR="00CE5819" w:rsidRPr="001005B7">
        <w:rPr>
          <w:lang w:eastAsia="en-GB"/>
        </w:rPr>
        <w:t>stands a</w:t>
      </w:r>
      <w:r w:rsidRPr="001005B7">
        <w:rPr>
          <w:lang w:eastAsia="en-GB"/>
        </w:rPr>
        <w:t xml:space="preserve">longside the identity of God and the identity of Yahweh as God. </w:t>
      </w:r>
      <w:r w:rsidR="00D25499" w:rsidRPr="001005B7">
        <w:rPr>
          <w:lang w:eastAsia="en-GB"/>
        </w:rPr>
        <w:t>Ezekiel refers to this aim</w:t>
      </w:r>
      <w:r w:rsidR="00F66610" w:rsidRPr="001005B7">
        <w:t xml:space="preserve"> over seventy times.</w:t>
      </w:r>
      <w:r w:rsidR="005832DF" w:rsidRPr="001005B7">
        <w:t xml:space="preserve"> It makes </w:t>
      </w:r>
      <w:r w:rsidR="00B87E30" w:rsidRPr="001005B7">
        <w:t>the scroll</w:t>
      </w:r>
      <w:r w:rsidR="005832DF" w:rsidRPr="001005B7">
        <w:t xml:space="preserve"> a missional </w:t>
      </w:r>
      <w:r w:rsidR="000155BB" w:rsidRPr="001005B7">
        <w:t>work</w:t>
      </w:r>
      <w:r w:rsidR="000155BB" w:rsidRPr="001005B7">
        <w:rPr>
          <w:rStyle w:val="FootnoteReference"/>
        </w:rPr>
        <w:footnoteReference w:id="24"/>
      </w:r>
      <w:r w:rsidR="00625762" w:rsidRPr="001005B7">
        <w:t xml:space="preserve"> </w:t>
      </w:r>
      <w:r w:rsidR="00615F3E" w:rsidRPr="001005B7">
        <w:t xml:space="preserve">and it </w:t>
      </w:r>
      <w:r w:rsidR="00FF2473" w:rsidRPr="001005B7">
        <w:t xml:space="preserve">points </w:t>
      </w:r>
      <w:proofErr w:type="spellStart"/>
      <w:r w:rsidR="00FF2473" w:rsidRPr="001005B7">
        <w:t>ro</w:t>
      </w:r>
      <w:proofErr w:type="spellEnd"/>
      <w:r w:rsidR="00615F3E" w:rsidRPr="001005B7">
        <w:t xml:space="preserve"> the nature of mission</w:t>
      </w:r>
      <w:r w:rsidR="00FF2473" w:rsidRPr="001005B7">
        <w:t xml:space="preserve">. </w:t>
      </w:r>
      <w:r w:rsidR="00772209" w:rsidRPr="001005B7">
        <w:t xml:space="preserve">The Israelites and all the nations are destined to acknowledge Yahweh not </w:t>
      </w:r>
      <w:proofErr w:type="spellStart"/>
      <w:r w:rsidR="00772209" w:rsidRPr="001005B7">
        <w:t>Marduk</w:t>
      </w:r>
      <w:proofErr w:type="spellEnd"/>
      <w:r w:rsidR="00772209" w:rsidRPr="001005B7">
        <w:t xml:space="preserve"> </w:t>
      </w:r>
      <w:r w:rsidR="00FF2473" w:rsidRPr="001005B7">
        <w:t xml:space="preserve">as God </w:t>
      </w:r>
      <w:r w:rsidR="00772209" w:rsidRPr="001005B7">
        <w:t>(Sweeney, 15</w:t>
      </w:r>
      <w:r w:rsidR="00F46900" w:rsidRPr="001005B7">
        <w:t>–</w:t>
      </w:r>
      <w:r w:rsidR="00772209" w:rsidRPr="001005B7">
        <w:t>16</w:t>
      </w:r>
      <w:r w:rsidR="009B287D" w:rsidRPr="001005B7">
        <w:t xml:space="preserve">). </w:t>
      </w:r>
      <w:r w:rsidR="00025891" w:rsidRPr="001005B7">
        <w:rPr>
          <w:lang w:eastAsia="en-GB"/>
        </w:rPr>
        <w:t>The verb</w:t>
      </w:r>
      <w:r w:rsidR="00D40F79" w:rsidRPr="001005B7">
        <w:rPr>
          <w:lang w:eastAsia="en-GB"/>
        </w:rPr>
        <w:t xml:space="preserve"> </w:t>
      </w:r>
      <w:r w:rsidR="00886CE3" w:rsidRPr="001005B7">
        <w:rPr>
          <w:lang w:eastAsia="en-GB"/>
        </w:rPr>
        <w:t>for</w:t>
      </w:r>
      <w:r w:rsidR="00D40F79" w:rsidRPr="001005B7">
        <w:rPr>
          <w:lang w:eastAsia="en-GB"/>
        </w:rPr>
        <w:t xml:space="preserve"> “acknowledge”</w:t>
      </w:r>
      <w:r w:rsidR="00025891" w:rsidRPr="001005B7">
        <w:rPr>
          <w:lang w:eastAsia="en-GB"/>
        </w:rPr>
        <w:t xml:space="preserve"> (</w:t>
      </w:r>
      <w:r w:rsidR="00025891" w:rsidRPr="001005B7">
        <w:rPr>
          <w:rFonts w:cstheme="minorHAnsi"/>
          <w:rtl/>
          <w:lang w:eastAsia="en-GB" w:bidi="he-IL"/>
        </w:rPr>
        <w:t>י</w:t>
      </w:r>
      <w:r w:rsidR="00373ACB" w:rsidRPr="001005B7">
        <w:rPr>
          <w:rFonts w:cstheme="minorHAnsi"/>
          <w:rtl/>
          <w:lang w:eastAsia="en-GB" w:bidi="he-IL"/>
        </w:rPr>
        <w:t>ָדַע</w:t>
      </w:r>
      <w:r w:rsidR="00886CE3" w:rsidRPr="001005B7">
        <w:rPr>
          <w:lang w:eastAsia="en-GB"/>
        </w:rPr>
        <w:t>, traditionally “know</w:t>
      </w:r>
      <w:r w:rsidR="00B1286A" w:rsidRPr="001005B7">
        <w:rPr>
          <w:lang w:eastAsia="en-GB"/>
        </w:rPr>
        <w:t>”)</w:t>
      </w:r>
      <w:r w:rsidR="008650E4" w:rsidRPr="001005B7">
        <w:rPr>
          <w:lang w:eastAsia="en-GB"/>
        </w:rPr>
        <w:t xml:space="preserve"> </w:t>
      </w:r>
      <w:r w:rsidR="00221E7D" w:rsidRPr="001005B7">
        <w:rPr>
          <w:lang w:eastAsia="en-GB"/>
        </w:rPr>
        <w:t xml:space="preserve">can </w:t>
      </w:r>
      <w:r w:rsidR="00B115C7" w:rsidRPr="001005B7">
        <w:rPr>
          <w:lang w:eastAsia="en-GB"/>
        </w:rPr>
        <w:t xml:space="preserve">refer to </w:t>
      </w:r>
      <w:r w:rsidR="007028AB" w:rsidRPr="001005B7">
        <w:rPr>
          <w:lang w:eastAsia="en-GB"/>
        </w:rPr>
        <w:t>knowing people or things in the sense of being</w:t>
      </w:r>
      <w:r w:rsidR="00221E7D" w:rsidRPr="001005B7">
        <w:rPr>
          <w:lang w:eastAsia="en-GB"/>
        </w:rPr>
        <w:t xml:space="preserve"> acquainted with</w:t>
      </w:r>
      <w:r w:rsidR="007028AB" w:rsidRPr="001005B7">
        <w:rPr>
          <w:lang w:eastAsia="en-GB"/>
        </w:rPr>
        <w:t xml:space="preserve"> them,</w:t>
      </w:r>
      <w:r w:rsidR="00B4428A" w:rsidRPr="001005B7">
        <w:rPr>
          <w:lang w:eastAsia="en-GB"/>
        </w:rPr>
        <w:t xml:space="preserve"> but </w:t>
      </w:r>
      <w:r w:rsidR="00103DC3" w:rsidRPr="001005B7">
        <w:rPr>
          <w:lang w:eastAsia="en-GB"/>
        </w:rPr>
        <w:t xml:space="preserve">it </w:t>
      </w:r>
      <w:r w:rsidR="00B115C7" w:rsidRPr="001005B7">
        <w:rPr>
          <w:lang w:eastAsia="en-GB"/>
        </w:rPr>
        <w:t>commonly means</w:t>
      </w:r>
      <w:r w:rsidR="007028AB" w:rsidRPr="001005B7">
        <w:rPr>
          <w:lang w:eastAsia="en-GB"/>
        </w:rPr>
        <w:t xml:space="preserve"> </w:t>
      </w:r>
      <w:r w:rsidR="007800BA" w:rsidRPr="001005B7">
        <w:rPr>
          <w:lang w:eastAsia="en-GB"/>
        </w:rPr>
        <w:t>ackno</w:t>
      </w:r>
      <w:r w:rsidR="00ED17E2" w:rsidRPr="001005B7">
        <w:rPr>
          <w:lang w:eastAsia="en-GB"/>
        </w:rPr>
        <w:t xml:space="preserve">wledging them in the sense of </w:t>
      </w:r>
      <w:r w:rsidR="007800BA" w:rsidRPr="001005B7">
        <w:rPr>
          <w:lang w:eastAsia="en-GB"/>
        </w:rPr>
        <w:t>recognizing and submitting to them</w:t>
      </w:r>
      <w:r w:rsidR="00514F06" w:rsidRPr="001005B7">
        <w:rPr>
          <w:lang w:eastAsia="en-GB"/>
        </w:rPr>
        <w:t>, and t</w:t>
      </w:r>
      <w:r w:rsidR="00ED17E2" w:rsidRPr="001005B7">
        <w:rPr>
          <w:lang w:eastAsia="en-GB"/>
        </w:rPr>
        <w:t>he ver</w:t>
      </w:r>
      <w:r w:rsidR="005871FF" w:rsidRPr="001005B7">
        <w:rPr>
          <w:lang w:eastAsia="en-GB"/>
        </w:rPr>
        <w:t>b</w:t>
      </w:r>
      <w:r w:rsidR="00ED17E2" w:rsidRPr="001005B7">
        <w:rPr>
          <w:lang w:eastAsia="en-GB"/>
        </w:rPr>
        <w:t xml:space="preserve"> regularly has in </w:t>
      </w:r>
      <w:r w:rsidR="00FD3FD6" w:rsidRPr="001005B7">
        <w:rPr>
          <w:lang w:eastAsia="en-GB"/>
        </w:rPr>
        <w:t xml:space="preserve">this meaning in </w:t>
      </w:r>
      <w:r w:rsidR="00ED17E2" w:rsidRPr="001005B7">
        <w:rPr>
          <w:lang w:eastAsia="en-GB"/>
        </w:rPr>
        <w:t xml:space="preserve">Ezekiel. </w:t>
      </w:r>
      <w:r w:rsidR="00FD3FD6" w:rsidRPr="001005B7">
        <w:rPr>
          <w:lang w:eastAsia="en-GB"/>
        </w:rPr>
        <w:t>A</w:t>
      </w:r>
      <w:r w:rsidR="00E4406D" w:rsidRPr="001005B7">
        <w:rPr>
          <w:lang w:eastAsia="en-GB"/>
        </w:rPr>
        <w:t>cknowledg</w:t>
      </w:r>
      <w:r w:rsidR="00B359F1" w:rsidRPr="001005B7">
        <w:rPr>
          <w:lang w:eastAsia="en-GB"/>
        </w:rPr>
        <w:t>ing</w:t>
      </w:r>
      <w:r w:rsidR="00E4406D" w:rsidRPr="001005B7">
        <w:rPr>
          <w:lang w:eastAsia="en-GB"/>
        </w:rPr>
        <w:t xml:space="preserve"> that Yahweh is God i</w:t>
      </w:r>
      <w:r w:rsidR="00B359F1" w:rsidRPr="001005B7">
        <w:rPr>
          <w:lang w:eastAsia="en-GB"/>
        </w:rPr>
        <w:t>mplie</w:t>
      </w:r>
      <w:r w:rsidR="00E4406D" w:rsidRPr="001005B7">
        <w:rPr>
          <w:lang w:eastAsia="en-GB"/>
        </w:rPr>
        <w:t>s not simply be</w:t>
      </w:r>
      <w:r w:rsidR="00B359F1" w:rsidRPr="001005B7">
        <w:rPr>
          <w:lang w:eastAsia="en-GB"/>
        </w:rPr>
        <w:t>ing</w:t>
      </w:r>
      <w:r w:rsidR="00E4406D" w:rsidRPr="001005B7">
        <w:rPr>
          <w:lang w:eastAsia="en-GB"/>
        </w:rPr>
        <w:t xml:space="preserve"> aware </w:t>
      </w:r>
      <w:r w:rsidR="00B6147F" w:rsidRPr="001005B7">
        <w:rPr>
          <w:lang w:eastAsia="en-GB"/>
        </w:rPr>
        <w:t xml:space="preserve">of a theological fact </w:t>
      </w:r>
      <w:r w:rsidR="000A70FF" w:rsidRPr="001005B7">
        <w:rPr>
          <w:lang w:eastAsia="en-GB"/>
        </w:rPr>
        <w:t>but respond</w:t>
      </w:r>
      <w:r w:rsidR="00D84353" w:rsidRPr="001005B7">
        <w:rPr>
          <w:lang w:eastAsia="en-GB"/>
        </w:rPr>
        <w:t>ing</w:t>
      </w:r>
      <w:r w:rsidR="000A70FF" w:rsidRPr="001005B7">
        <w:rPr>
          <w:lang w:eastAsia="en-GB"/>
        </w:rPr>
        <w:t xml:space="preserve"> to it. </w:t>
      </w:r>
    </w:p>
    <w:p w14:paraId="7F18220E" w14:textId="69CD0755" w:rsidR="00C82C0D" w:rsidRPr="001005B7" w:rsidRDefault="00EF0EAF" w:rsidP="00C54C09">
      <w:pPr>
        <w:rPr>
          <w:lang w:eastAsia="en-GB"/>
        </w:rPr>
      </w:pPr>
      <w:r w:rsidRPr="001005B7">
        <w:rPr>
          <w:lang w:eastAsia="en-GB"/>
        </w:rPr>
        <w:t>While a</w:t>
      </w:r>
      <w:r w:rsidR="00910ACE" w:rsidRPr="001005B7">
        <w:rPr>
          <w:lang w:eastAsia="en-GB"/>
        </w:rPr>
        <w:t xml:space="preserve">n </w:t>
      </w:r>
      <w:r w:rsidR="009F5260" w:rsidRPr="001005B7">
        <w:rPr>
          <w:lang w:eastAsia="en-GB"/>
        </w:rPr>
        <w:t xml:space="preserve">appropriate </w:t>
      </w:r>
      <w:r w:rsidR="00910ACE" w:rsidRPr="001005B7">
        <w:rPr>
          <w:lang w:eastAsia="en-GB"/>
        </w:rPr>
        <w:t xml:space="preserve">symbolic </w:t>
      </w:r>
      <w:r w:rsidR="009F5260" w:rsidRPr="001005B7">
        <w:rPr>
          <w:lang w:eastAsia="en-GB"/>
        </w:rPr>
        <w:t>response</w:t>
      </w:r>
      <w:r w:rsidR="006E7E3F" w:rsidRPr="001005B7">
        <w:rPr>
          <w:lang w:eastAsia="en-GB"/>
        </w:rPr>
        <w:t xml:space="preserve"> to Yahweh</w:t>
      </w:r>
      <w:r w:rsidR="009F5260" w:rsidRPr="001005B7">
        <w:rPr>
          <w:lang w:eastAsia="en-GB"/>
        </w:rPr>
        <w:t xml:space="preserve"> is to fall on one’s face (1:28)</w:t>
      </w:r>
      <w:r w:rsidR="00420CDC" w:rsidRPr="001005B7">
        <w:rPr>
          <w:lang w:eastAsia="en-GB"/>
        </w:rPr>
        <w:t>,</w:t>
      </w:r>
      <w:r w:rsidR="00466285" w:rsidRPr="001005B7">
        <w:rPr>
          <w:lang w:eastAsia="en-GB"/>
        </w:rPr>
        <w:t xml:space="preserve"> </w:t>
      </w:r>
      <w:r w:rsidR="00420CDC" w:rsidRPr="001005B7">
        <w:rPr>
          <w:lang w:eastAsia="en-GB"/>
        </w:rPr>
        <w:t>t</w:t>
      </w:r>
      <w:r w:rsidR="00466285" w:rsidRPr="001005B7">
        <w:rPr>
          <w:lang w:eastAsia="en-GB"/>
        </w:rPr>
        <w:t>hat s</w:t>
      </w:r>
      <w:r w:rsidR="00AC1B91" w:rsidRPr="001005B7">
        <w:rPr>
          <w:lang w:eastAsia="en-GB"/>
        </w:rPr>
        <w:t>y</w:t>
      </w:r>
      <w:r w:rsidR="00466285" w:rsidRPr="001005B7">
        <w:rPr>
          <w:lang w:eastAsia="en-GB"/>
        </w:rPr>
        <w:t xml:space="preserve">mbolic submission has to find </w:t>
      </w:r>
      <w:r w:rsidR="00AC1B91" w:rsidRPr="001005B7">
        <w:rPr>
          <w:lang w:eastAsia="en-GB"/>
        </w:rPr>
        <w:t xml:space="preserve">further expression in a life lived in light of who </w:t>
      </w:r>
      <w:r w:rsidR="00420815" w:rsidRPr="001005B7">
        <w:rPr>
          <w:lang w:eastAsia="en-GB"/>
        </w:rPr>
        <w:t>Yahweh</w:t>
      </w:r>
      <w:r w:rsidR="00AC1B91" w:rsidRPr="001005B7">
        <w:rPr>
          <w:lang w:eastAsia="en-GB"/>
        </w:rPr>
        <w:t xml:space="preserve"> is and </w:t>
      </w:r>
      <w:r w:rsidR="002E3FA5" w:rsidRPr="001005B7">
        <w:rPr>
          <w:lang w:eastAsia="en-GB"/>
        </w:rPr>
        <w:t xml:space="preserve">what </w:t>
      </w:r>
      <w:r w:rsidR="00420815" w:rsidRPr="001005B7">
        <w:rPr>
          <w:lang w:eastAsia="en-GB"/>
        </w:rPr>
        <w:t>Yahweh</w:t>
      </w:r>
      <w:r w:rsidR="002E3FA5" w:rsidRPr="001005B7">
        <w:rPr>
          <w:lang w:eastAsia="en-GB"/>
        </w:rPr>
        <w:t xml:space="preserve"> expects. </w:t>
      </w:r>
      <w:r w:rsidR="009B287D" w:rsidRPr="001005B7">
        <w:t xml:space="preserve">“In the use of a range of formulae and motifs in Ezekiel we find evidence of a distinctive emphasis on the absolute centrality of YHWH and his self-manifestation, a radical </w:t>
      </w:r>
      <w:proofErr w:type="spellStart"/>
      <w:r w:rsidR="009B287D" w:rsidRPr="001005B7">
        <w:t>theocentricity</w:t>
      </w:r>
      <w:proofErr w:type="spellEnd"/>
      <w:r w:rsidR="009B287D" w:rsidRPr="001005B7">
        <w:t xml:space="preserve"> that is of an order difficult to parallel anywhere in the Hebrew Bible” (Joyce, 27).</w:t>
      </w:r>
      <w:r w:rsidR="009B287D" w:rsidRPr="001005B7">
        <w:rPr>
          <w:rStyle w:val="FootnoteReference"/>
        </w:rPr>
        <w:footnoteReference w:id="25"/>
      </w:r>
      <w:r w:rsidR="009B287D" w:rsidRPr="001005B7">
        <w:t xml:space="preserve"> </w:t>
      </w:r>
      <w:r w:rsidR="00D053AF" w:rsidRPr="001005B7">
        <w:rPr>
          <w:rFonts w:cstheme="minorHAnsi"/>
        </w:rPr>
        <w:t xml:space="preserve">God-centeredness is </w:t>
      </w:r>
      <w:r w:rsidR="00224FDE" w:rsidRPr="001005B7">
        <w:rPr>
          <w:rFonts w:cstheme="minorHAnsi"/>
        </w:rPr>
        <w:t xml:space="preserve">then </w:t>
      </w:r>
      <w:r w:rsidR="00D053AF" w:rsidRPr="001005B7">
        <w:rPr>
          <w:rFonts w:cstheme="minorHAnsi"/>
        </w:rPr>
        <w:t>Ezekiel’s key contribution to the moral transformation of Israel.</w:t>
      </w:r>
      <w:r w:rsidR="00D053AF" w:rsidRPr="001005B7">
        <w:rPr>
          <w:rStyle w:val="FootnoteReference"/>
          <w:rFonts w:cstheme="minorHAnsi"/>
        </w:rPr>
        <w:footnoteReference w:id="26"/>
      </w:r>
      <w:r w:rsidR="00885215" w:rsidRPr="001005B7">
        <w:rPr>
          <w:rFonts w:cstheme="minorHAnsi"/>
        </w:rPr>
        <w:t xml:space="preserve"> </w:t>
      </w:r>
      <w:r w:rsidR="0084787F" w:rsidRPr="001005B7">
        <w:rPr>
          <w:lang w:eastAsia="en-GB"/>
        </w:rPr>
        <w:t>The nature of that life</w:t>
      </w:r>
      <w:r w:rsidR="00BA76BD" w:rsidRPr="001005B7">
        <w:rPr>
          <w:lang w:eastAsia="en-GB"/>
        </w:rPr>
        <w:t xml:space="preserve"> </w:t>
      </w:r>
      <w:r w:rsidR="00C73D48" w:rsidRPr="001005B7">
        <w:rPr>
          <w:lang w:eastAsia="en-GB"/>
        </w:rPr>
        <w:t xml:space="preserve">to which Israel is called </w:t>
      </w:r>
      <w:r w:rsidR="00BA76BD" w:rsidRPr="001005B7">
        <w:rPr>
          <w:lang w:eastAsia="en-GB"/>
        </w:rPr>
        <w:t xml:space="preserve">comes into </w:t>
      </w:r>
      <w:r w:rsidR="00085063" w:rsidRPr="001005B7">
        <w:rPr>
          <w:lang w:eastAsia="en-GB"/>
        </w:rPr>
        <w:t xml:space="preserve">ironic </w:t>
      </w:r>
      <w:r w:rsidR="00BA76BD" w:rsidRPr="001005B7">
        <w:rPr>
          <w:lang w:eastAsia="en-GB"/>
        </w:rPr>
        <w:t>concrete focus in the scroll</w:t>
      </w:r>
      <w:r w:rsidR="00BA5B38" w:rsidRPr="001005B7">
        <w:rPr>
          <w:lang w:eastAsia="en-GB"/>
        </w:rPr>
        <w:t>,</w:t>
      </w:r>
      <w:r w:rsidR="00BA76BD" w:rsidRPr="001005B7">
        <w:rPr>
          <w:lang w:eastAsia="en-GB"/>
        </w:rPr>
        <w:t xml:space="preserve"> as Ezekiel describes the way Israel fails to acknowledge Yahweh</w:t>
      </w:r>
      <w:r w:rsidR="00B22F2C" w:rsidRPr="001005B7">
        <w:rPr>
          <w:lang w:eastAsia="en-GB"/>
        </w:rPr>
        <w:t xml:space="preserve">. </w:t>
      </w:r>
      <w:r w:rsidR="00B22F2C" w:rsidRPr="001005B7">
        <w:t xml:space="preserve">Ezekiel </w:t>
      </w:r>
      <w:r w:rsidR="00C54C09" w:rsidRPr="001005B7">
        <w:t>“</w:t>
      </w:r>
      <w:r w:rsidR="00B22F2C" w:rsidRPr="001005B7">
        <w:t>calls on his audience to reclaim a proper sense of guilt, by lining themselves up against God’s standard.”</w:t>
      </w:r>
      <w:r w:rsidR="00B22F2C" w:rsidRPr="001005B7">
        <w:rPr>
          <w:rStyle w:val="FootnoteReference"/>
        </w:rPr>
        <w:footnoteReference w:id="27"/>
      </w:r>
      <w:r w:rsidR="00C54C09" w:rsidRPr="001005B7">
        <w:rPr>
          <w:lang w:eastAsia="en-GB"/>
        </w:rPr>
        <w:t xml:space="preserve"> </w:t>
      </w:r>
      <w:r w:rsidR="00413CA9" w:rsidRPr="001005B7">
        <w:rPr>
          <w:lang w:eastAsia="en-GB"/>
        </w:rPr>
        <w:t>T</w:t>
      </w:r>
      <w:r w:rsidR="00BA76BD" w:rsidRPr="001005B7">
        <w:rPr>
          <w:lang w:eastAsia="en-GB"/>
        </w:rPr>
        <w:t>he negatives make it possible to infer the positives</w:t>
      </w:r>
      <w:r w:rsidR="00763F7A" w:rsidRPr="001005B7">
        <w:rPr>
          <w:lang w:eastAsia="en-GB"/>
        </w:rPr>
        <w:t>.</w:t>
      </w:r>
      <w:r w:rsidR="00361AD0" w:rsidRPr="001005B7">
        <w:rPr>
          <w:lang w:eastAsia="en-GB"/>
        </w:rPr>
        <w:t xml:space="preserve"> </w:t>
      </w:r>
      <w:r w:rsidR="00CF5451" w:rsidRPr="001005B7">
        <w:rPr>
          <w:lang w:eastAsia="en-GB"/>
        </w:rPr>
        <w:t>I</w:t>
      </w:r>
      <w:r w:rsidR="00DE1DD2" w:rsidRPr="001005B7">
        <w:rPr>
          <w:lang w:eastAsia="en-GB"/>
        </w:rPr>
        <w:t>n the Tor</w:t>
      </w:r>
      <w:r w:rsidR="00EA0DA5" w:rsidRPr="001005B7">
        <w:rPr>
          <w:lang w:eastAsia="en-GB"/>
        </w:rPr>
        <w:t>a</w:t>
      </w:r>
      <w:r w:rsidR="00DE1DD2" w:rsidRPr="001005B7">
        <w:rPr>
          <w:lang w:eastAsia="en-GB"/>
        </w:rPr>
        <w:t>h</w:t>
      </w:r>
      <w:r w:rsidR="00EA0DA5" w:rsidRPr="001005B7">
        <w:rPr>
          <w:lang w:eastAsia="en-GB"/>
        </w:rPr>
        <w:t>,</w:t>
      </w:r>
      <w:r w:rsidR="00DE1DD2" w:rsidRPr="001005B7">
        <w:rPr>
          <w:lang w:eastAsia="en-GB"/>
        </w:rPr>
        <w:t xml:space="preserve"> who</w:t>
      </w:r>
      <w:r w:rsidR="00EA0DA5" w:rsidRPr="001005B7">
        <w:rPr>
          <w:lang w:eastAsia="en-GB"/>
        </w:rPr>
        <w:t>se</w:t>
      </w:r>
      <w:r w:rsidR="00DE1DD2" w:rsidRPr="001005B7">
        <w:rPr>
          <w:lang w:eastAsia="en-GB"/>
        </w:rPr>
        <w:t xml:space="preserve"> biddings Ezekiel often reflects</w:t>
      </w:r>
      <w:r w:rsidR="00CF5451" w:rsidRPr="001005B7">
        <w:rPr>
          <w:lang w:eastAsia="en-GB"/>
        </w:rPr>
        <w:t>, Yahweh has laid down rulings by which he expects Israel to live</w:t>
      </w:r>
      <w:r w:rsidR="00BF3CC2" w:rsidRPr="001005B7">
        <w:rPr>
          <w:lang w:eastAsia="en-GB"/>
        </w:rPr>
        <w:t xml:space="preserve"> and thus</w:t>
      </w:r>
      <w:r w:rsidR="00763F7A" w:rsidRPr="001005B7">
        <w:rPr>
          <w:lang w:eastAsia="en-GB"/>
        </w:rPr>
        <w:t xml:space="preserve"> to acknowledge </w:t>
      </w:r>
      <w:r w:rsidR="00BF3CC2" w:rsidRPr="001005B7">
        <w:rPr>
          <w:lang w:eastAsia="en-GB"/>
        </w:rPr>
        <w:t>him</w:t>
      </w:r>
      <w:r w:rsidR="00763F7A" w:rsidRPr="001005B7">
        <w:rPr>
          <w:lang w:eastAsia="en-GB"/>
        </w:rPr>
        <w:t xml:space="preserve"> in its religious, societal, and political life</w:t>
      </w:r>
      <w:r w:rsidR="00763F7A" w:rsidRPr="001005B7">
        <w:t>.</w:t>
      </w:r>
      <w:r w:rsidR="00763F7A" w:rsidRPr="001005B7">
        <w:rPr>
          <w:rStyle w:val="FootnoteReference"/>
        </w:rPr>
        <w:footnoteReference w:id="28"/>
      </w:r>
      <w:r w:rsidR="00763F7A" w:rsidRPr="001005B7">
        <w:t xml:space="preserve"> </w:t>
      </w:r>
      <w:r w:rsidR="00A5030C" w:rsidRPr="001005B7">
        <w:rPr>
          <w:lang w:eastAsia="en-GB"/>
        </w:rPr>
        <w:t xml:space="preserve">In </w:t>
      </w:r>
      <w:r w:rsidR="00F87468" w:rsidRPr="001005B7">
        <w:rPr>
          <w:lang w:eastAsia="en-GB"/>
        </w:rPr>
        <w:t>its</w:t>
      </w:r>
      <w:r w:rsidR="00A5030C" w:rsidRPr="001005B7">
        <w:rPr>
          <w:lang w:eastAsia="en-GB"/>
        </w:rPr>
        <w:t xml:space="preserve"> religious life, it means relating to God in light of who he is, which means (for instance) not trying to make </w:t>
      </w:r>
      <w:r w:rsidR="00652794" w:rsidRPr="001005B7">
        <w:rPr>
          <w:lang w:eastAsia="en-GB"/>
        </w:rPr>
        <w:t xml:space="preserve">those </w:t>
      </w:r>
      <w:r w:rsidR="00A5030C" w:rsidRPr="001005B7">
        <w:rPr>
          <w:lang w:eastAsia="en-GB"/>
        </w:rPr>
        <w:t>images of him</w:t>
      </w:r>
      <w:r w:rsidR="00652794" w:rsidRPr="001005B7">
        <w:rPr>
          <w:lang w:eastAsia="en-GB"/>
        </w:rPr>
        <w:t xml:space="preserve"> that</w:t>
      </w:r>
      <w:r w:rsidR="00EF0FED" w:rsidRPr="001005B7">
        <w:rPr>
          <w:lang w:eastAsia="en-GB"/>
        </w:rPr>
        <w:t xml:space="preserve"> </w:t>
      </w:r>
      <w:r w:rsidR="00DB70D7" w:rsidRPr="001005B7">
        <w:rPr>
          <w:lang w:eastAsia="en-GB"/>
        </w:rPr>
        <w:t>are</w:t>
      </w:r>
      <w:r w:rsidR="00EF0FED" w:rsidRPr="001005B7">
        <w:rPr>
          <w:lang w:eastAsia="en-GB"/>
        </w:rPr>
        <w:t xml:space="preserve"> only “lumps</w:t>
      </w:r>
      <w:r w:rsidR="00713BDD" w:rsidRPr="001005B7">
        <w:rPr>
          <w:lang w:eastAsia="en-GB"/>
        </w:rPr>
        <w:t>.</w:t>
      </w:r>
      <w:r w:rsidR="00EF0FED" w:rsidRPr="001005B7">
        <w:rPr>
          <w:lang w:eastAsia="en-GB"/>
        </w:rPr>
        <w:t xml:space="preserve">” </w:t>
      </w:r>
      <w:r w:rsidR="00811AAB" w:rsidRPr="001005B7">
        <w:rPr>
          <w:lang w:eastAsia="en-GB"/>
        </w:rPr>
        <w:t xml:space="preserve">In </w:t>
      </w:r>
      <w:r w:rsidR="00465F7E" w:rsidRPr="001005B7">
        <w:rPr>
          <w:lang w:eastAsia="en-GB"/>
        </w:rPr>
        <w:t xml:space="preserve">its </w:t>
      </w:r>
      <w:r w:rsidR="00557987" w:rsidRPr="001005B7">
        <w:rPr>
          <w:lang w:eastAsia="en-GB"/>
        </w:rPr>
        <w:t>community</w:t>
      </w:r>
      <w:r w:rsidR="00811AAB" w:rsidRPr="001005B7">
        <w:rPr>
          <w:lang w:eastAsia="en-GB"/>
        </w:rPr>
        <w:t xml:space="preserve"> life, it means </w:t>
      </w:r>
      <w:r w:rsidR="003040A6" w:rsidRPr="001005B7">
        <w:rPr>
          <w:lang w:eastAsia="en-GB"/>
        </w:rPr>
        <w:t>honoring one another</w:t>
      </w:r>
      <w:r w:rsidR="00BB7D3F" w:rsidRPr="001005B7">
        <w:rPr>
          <w:lang w:eastAsia="en-GB"/>
        </w:rPr>
        <w:t xml:space="preserve"> and not cheating one another. </w:t>
      </w:r>
      <w:r w:rsidR="00143F89" w:rsidRPr="001005B7">
        <w:rPr>
          <w:lang w:eastAsia="en-GB"/>
        </w:rPr>
        <w:t>The</w:t>
      </w:r>
      <w:r w:rsidR="009710C6" w:rsidRPr="001005B7">
        <w:rPr>
          <w:lang w:eastAsia="en-GB"/>
        </w:rPr>
        <w:t xml:space="preserve"> third area is </w:t>
      </w:r>
      <w:r w:rsidR="00713BDD" w:rsidRPr="001005B7">
        <w:rPr>
          <w:lang w:eastAsia="en-GB"/>
        </w:rPr>
        <w:t xml:space="preserve">more prominent than it is in </w:t>
      </w:r>
      <w:r w:rsidR="00EA0DA5" w:rsidRPr="001005B7">
        <w:rPr>
          <w:lang w:eastAsia="en-GB"/>
        </w:rPr>
        <w:t>the Torah</w:t>
      </w:r>
      <w:r w:rsidR="004F4E43" w:rsidRPr="001005B7">
        <w:rPr>
          <w:lang w:eastAsia="en-GB"/>
        </w:rPr>
        <w:t>,</w:t>
      </w:r>
      <w:r w:rsidR="009710C6" w:rsidRPr="001005B7">
        <w:rPr>
          <w:lang w:eastAsia="en-GB"/>
        </w:rPr>
        <w:t xml:space="preserve"> that </w:t>
      </w:r>
      <w:r w:rsidR="00143F89" w:rsidRPr="001005B7">
        <w:rPr>
          <w:lang w:eastAsia="en-GB"/>
        </w:rPr>
        <w:t xml:space="preserve">it </w:t>
      </w:r>
      <w:r w:rsidR="00E72A6C" w:rsidRPr="001005B7">
        <w:rPr>
          <w:lang w:eastAsia="en-GB"/>
        </w:rPr>
        <w:t>trust</w:t>
      </w:r>
      <w:r w:rsidR="00143F89" w:rsidRPr="001005B7">
        <w:rPr>
          <w:lang w:eastAsia="en-GB"/>
        </w:rPr>
        <w:t>s</w:t>
      </w:r>
      <w:r w:rsidR="00E72A6C" w:rsidRPr="001005B7">
        <w:rPr>
          <w:lang w:eastAsia="en-GB"/>
        </w:rPr>
        <w:t xml:space="preserve"> in Yahweh for </w:t>
      </w:r>
      <w:r w:rsidR="00143F89" w:rsidRPr="001005B7">
        <w:rPr>
          <w:lang w:eastAsia="en-GB"/>
        </w:rPr>
        <w:t>its</w:t>
      </w:r>
      <w:r w:rsidR="00E72A6C" w:rsidRPr="001005B7">
        <w:rPr>
          <w:lang w:eastAsia="en-GB"/>
        </w:rPr>
        <w:t xml:space="preserve"> independence as a nation and do</w:t>
      </w:r>
      <w:r w:rsidR="00143F89" w:rsidRPr="001005B7">
        <w:rPr>
          <w:lang w:eastAsia="en-GB"/>
        </w:rPr>
        <w:t>es</w:t>
      </w:r>
      <w:r w:rsidR="00E72A6C" w:rsidRPr="001005B7">
        <w:rPr>
          <w:lang w:eastAsia="en-GB"/>
        </w:rPr>
        <w:t xml:space="preserve"> not </w:t>
      </w:r>
      <w:r w:rsidR="000621B9" w:rsidRPr="001005B7">
        <w:rPr>
          <w:lang w:eastAsia="en-GB"/>
        </w:rPr>
        <w:t>turn to other nations for support.</w:t>
      </w:r>
      <w:r w:rsidR="009710C6" w:rsidRPr="001005B7">
        <w:rPr>
          <w:lang w:eastAsia="en-GB"/>
        </w:rPr>
        <w:t xml:space="preserve"> </w:t>
      </w:r>
      <w:r w:rsidR="000621B9" w:rsidRPr="001005B7">
        <w:rPr>
          <w:lang w:eastAsia="en-GB"/>
        </w:rPr>
        <w:t xml:space="preserve">In all three realms, </w:t>
      </w:r>
      <w:r w:rsidR="004F1D76" w:rsidRPr="001005B7">
        <w:rPr>
          <w:lang w:eastAsia="en-GB"/>
        </w:rPr>
        <w:t>It</w:t>
      </w:r>
      <w:r w:rsidR="00BA76BD" w:rsidRPr="001005B7">
        <w:rPr>
          <w:lang w:eastAsia="en-GB"/>
        </w:rPr>
        <w:t xml:space="preserve"> ha</w:t>
      </w:r>
      <w:r w:rsidR="004F1D76" w:rsidRPr="001005B7">
        <w:rPr>
          <w:lang w:eastAsia="en-GB"/>
        </w:rPr>
        <w:t>s</w:t>
      </w:r>
      <w:r w:rsidR="00BA76BD" w:rsidRPr="001005B7">
        <w:rPr>
          <w:lang w:eastAsia="en-GB"/>
        </w:rPr>
        <w:t xml:space="preserve"> the responsibility and by implication t</w:t>
      </w:r>
      <w:r w:rsidR="00EA7D6B" w:rsidRPr="001005B7">
        <w:rPr>
          <w:lang w:eastAsia="en-GB"/>
        </w:rPr>
        <w:t>he</w:t>
      </w:r>
      <w:r w:rsidR="00BA76BD" w:rsidRPr="001005B7">
        <w:rPr>
          <w:lang w:eastAsia="en-GB"/>
        </w:rPr>
        <w:t xml:space="preserve"> capacity to acknowledge God</w:t>
      </w:r>
      <w:r w:rsidR="00EA7D6B" w:rsidRPr="001005B7">
        <w:rPr>
          <w:lang w:eastAsia="en-GB"/>
        </w:rPr>
        <w:t>, a</w:t>
      </w:r>
      <w:r w:rsidR="003A6B45" w:rsidRPr="001005B7">
        <w:rPr>
          <w:lang w:eastAsia="en-GB"/>
        </w:rPr>
        <w:t xml:space="preserve"> responsibility appl</w:t>
      </w:r>
      <w:r w:rsidR="00EA7D6B" w:rsidRPr="001005B7">
        <w:rPr>
          <w:lang w:eastAsia="en-GB"/>
        </w:rPr>
        <w:t>ying</w:t>
      </w:r>
      <w:r w:rsidR="003A6B45" w:rsidRPr="001005B7">
        <w:rPr>
          <w:lang w:eastAsia="en-GB"/>
        </w:rPr>
        <w:t xml:space="preserve"> to </w:t>
      </w:r>
      <w:r w:rsidR="00AA5F81">
        <w:rPr>
          <w:lang w:eastAsia="en-GB"/>
        </w:rPr>
        <w:t>Israel</w:t>
      </w:r>
      <w:r w:rsidR="003A6B45" w:rsidRPr="001005B7">
        <w:rPr>
          <w:lang w:eastAsia="en-GB"/>
        </w:rPr>
        <w:t xml:space="preserve"> as a nation</w:t>
      </w:r>
      <w:r w:rsidR="001D399D" w:rsidRPr="001005B7">
        <w:rPr>
          <w:lang w:eastAsia="en-GB"/>
        </w:rPr>
        <w:t xml:space="preserve">, </w:t>
      </w:r>
      <w:r w:rsidR="00DB1D20" w:rsidRPr="001005B7">
        <w:rPr>
          <w:lang w:eastAsia="en-GB"/>
        </w:rPr>
        <w:t>as</w:t>
      </w:r>
      <w:r w:rsidR="001D399D" w:rsidRPr="001005B7">
        <w:rPr>
          <w:lang w:eastAsia="en-GB"/>
        </w:rPr>
        <w:t xml:space="preserve"> individual</w:t>
      </w:r>
      <w:r w:rsidR="00DB1D20" w:rsidRPr="001005B7">
        <w:rPr>
          <w:lang w:eastAsia="en-GB"/>
        </w:rPr>
        <w:t>s</w:t>
      </w:r>
      <w:r w:rsidR="001D399D" w:rsidRPr="001005B7">
        <w:rPr>
          <w:lang w:eastAsia="en-GB"/>
        </w:rPr>
        <w:t xml:space="preserve">, and </w:t>
      </w:r>
      <w:r w:rsidR="00DB1D20" w:rsidRPr="001005B7">
        <w:rPr>
          <w:lang w:eastAsia="en-GB"/>
        </w:rPr>
        <w:t>as</w:t>
      </w:r>
      <w:r w:rsidR="001D399D" w:rsidRPr="001005B7">
        <w:rPr>
          <w:lang w:eastAsia="en-GB"/>
        </w:rPr>
        <w:t xml:space="preserve"> </w:t>
      </w:r>
      <w:r w:rsidR="00C82C0D" w:rsidRPr="001005B7">
        <w:rPr>
          <w:lang w:eastAsia="en-GB"/>
        </w:rPr>
        <w:t>generation</w:t>
      </w:r>
      <w:r w:rsidR="00DB1D20" w:rsidRPr="001005B7">
        <w:rPr>
          <w:lang w:eastAsia="en-GB"/>
        </w:rPr>
        <w:t>s</w:t>
      </w:r>
      <w:r w:rsidR="00C82C0D" w:rsidRPr="001005B7">
        <w:rPr>
          <w:lang w:eastAsia="en-GB"/>
        </w:rPr>
        <w:t xml:space="preserve"> </w:t>
      </w:r>
      <w:r w:rsidR="001D399D" w:rsidRPr="001005B7">
        <w:rPr>
          <w:lang w:eastAsia="en-GB"/>
        </w:rPr>
        <w:t xml:space="preserve">(Ezek </w:t>
      </w:r>
      <w:r w:rsidR="00C82C0D" w:rsidRPr="001005B7">
        <w:rPr>
          <w:lang w:eastAsia="en-GB"/>
        </w:rPr>
        <w:t>18</w:t>
      </w:r>
      <w:r w:rsidR="001D399D" w:rsidRPr="001005B7">
        <w:rPr>
          <w:lang w:eastAsia="en-GB"/>
        </w:rPr>
        <w:t>).</w:t>
      </w:r>
    </w:p>
    <w:p w14:paraId="0DA7F599" w14:textId="2F668DDB" w:rsidR="00BA76BD" w:rsidRPr="001005B7" w:rsidRDefault="00BA76BD" w:rsidP="00BA76BD">
      <w:pPr>
        <w:rPr>
          <w:lang w:eastAsia="en-GB"/>
        </w:rPr>
      </w:pPr>
      <w:r w:rsidRPr="001005B7">
        <w:rPr>
          <w:lang w:eastAsia="en-GB"/>
        </w:rPr>
        <w:t>For the church of Jesus Chris</w:t>
      </w:r>
      <w:r w:rsidR="00590B82" w:rsidRPr="001005B7">
        <w:rPr>
          <w:lang w:eastAsia="en-GB"/>
        </w:rPr>
        <w:t>t</w:t>
      </w:r>
      <w:r w:rsidR="00CE772D" w:rsidRPr="001005B7">
        <w:rPr>
          <w:lang w:eastAsia="en-GB"/>
        </w:rPr>
        <w:t xml:space="preserve">, </w:t>
      </w:r>
      <w:r w:rsidRPr="001005B7">
        <w:rPr>
          <w:lang w:eastAsia="en-GB"/>
        </w:rPr>
        <w:t>acknowledging God means</w:t>
      </w:r>
      <w:r w:rsidR="00C56170" w:rsidRPr="001005B7">
        <w:rPr>
          <w:lang w:eastAsia="en-GB"/>
        </w:rPr>
        <w:t xml:space="preserve"> living in light of his biddings in its religious life (the way it </w:t>
      </w:r>
      <w:r w:rsidR="0006460D" w:rsidRPr="001005B7">
        <w:rPr>
          <w:lang w:eastAsia="en-GB"/>
        </w:rPr>
        <w:t xml:space="preserve">worships and prays), its </w:t>
      </w:r>
      <w:r w:rsidR="00CE772D" w:rsidRPr="001005B7">
        <w:rPr>
          <w:lang w:eastAsia="en-GB"/>
        </w:rPr>
        <w:t>communal</w:t>
      </w:r>
      <w:r w:rsidR="0006460D" w:rsidRPr="001005B7">
        <w:rPr>
          <w:lang w:eastAsia="en-GB"/>
        </w:rPr>
        <w:t xml:space="preserve"> life (the way church people relate to one another), and its political life (how it lives in the world)</w:t>
      </w:r>
      <w:r w:rsidR="008E4D35" w:rsidRPr="001005B7">
        <w:rPr>
          <w:lang w:eastAsia="en-GB"/>
        </w:rPr>
        <w:t>.</w:t>
      </w:r>
    </w:p>
    <w:p w14:paraId="7F97BCFA" w14:textId="24056F9C" w:rsidR="00814FF4" w:rsidRPr="001005B7" w:rsidRDefault="00594CDA" w:rsidP="00493833">
      <w:pPr>
        <w:pStyle w:val="Heading3"/>
      </w:pPr>
      <w:r w:rsidRPr="001005B7">
        <w:t>The Origin</w:t>
      </w:r>
      <w:r w:rsidR="001B6FD5" w:rsidRPr="001005B7">
        <w:t xml:space="preserve"> of the </w:t>
      </w:r>
      <w:r w:rsidR="00416339" w:rsidRPr="001005B7">
        <w:t xml:space="preserve">Ezekiel </w:t>
      </w:r>
      <w:r w:rsidR="001B6FD5" w:rsidRPr="001005B7">
        <w:t>Scroll</w:t>
      </w:r>
    </w:p>
    <w:p w14:paraId="397F65C0" w14:textId="71D45D91" w:rsidR="001411D2" w:rsidRPr="001005B7" w:rsidRDefault="0095634D" w:rsidP="006D2E3E">
      <w:r w:rsidRPr="001005B7">
        <w:t xml:space="preserve">A memoir </w:t>
      </w:r>
      <w:r w:rsidR="00070ABF" w:rsidRPr="001005B7">
        <w:t>has the outward appearance of an a</w:t>
      </w:r>
      <w:r w:rsidR="00FB4D77" w:rsidRPr="001005B7">
        <w:t xml:space="preserve">utobiographical </w:t>
      </w:r>
      <w:r w:rsidR="00473C56" w:rsidRPr="001005B7">
        <w:t>narrative, but it need not actually be that.</w:t>
      </w:r>
      <w:r w:rsidR="00A95776" w:rsidRPr="001005B7">
        <w:t xml:space="preserve"> While </w:t>
      </w:r>
      <w:r w:rsidR="00812CA7" w:rsidRPr="001005B7">
        <w:t>its</w:t>
      </w:r>
      <w:r w:rsidR="00A95776" w:rsidRPr="001005B7">
        <w:t xml:space="preserve"> subject </w:t>
      </w:r>
      <w:r w:rsidR="006D2E3E" w:rsidRPr="001005B7">
        <w:t>m</w:t>
      </w:r>
      <w:r w:rsidR="007716C4">
        <w:t>ight</w:t>
      </w:r>
      <w:r w:rsidR="006D2E3E" w:rsidRPr="001005B7">
        <w:t xml:space="preserve"> simply </w:t>
      </w:r>
      <w:r w:rsidR="00A95776" w:rsidRPr="001005B7">
        <w:t xml:space="preserve">have </w:t>
      </w:r>
      <w:r w:rsidR="006D2E3E" w:rsidRPr="001005B7">
        <w:t>writ</w:t>
      </w:r>
      <w:r w:rsidR="00A95776" w:rsidRPr="001005B7">
        <w:t>ten</w:t>
      </w:r>
      <w:r w:rsidR="006D2E3E" w:rsidRPr="001005B7">
        <w:t xml:space="preserve"> it, someone </w:t>
      </w:r>
      <w:r w:rsidR="007D356F" w:rsidRPr="001005B7">
        <w:t>else m</w:t>
      </w:r>
      <w:r w:rsidR="005F465C">
        <w:t>ight</w:t>
      </w:r>
      <w:r w:rsidR="006D2E3E" w:rsidRPr="001005B7">
        <w:t xml:space="preserve"> </w:t>
      </w:r>
      <w:r w:rsidR="00A95776" w:rsidRPr="001005B7">
        <w:t xml:space="preserve">have </w:t>
      </w:r>
      <w:r w:rsidR="006D2E3E" w:rsidRPr="001005B7">
        <w:t>organize</w:t>
      </w:r>
      <w:r w:rsidR="00A95776" w:rsidRPr="001005B7">
        <w:t>d it,</w:t>
      </w:r>
      <w:r w:rsidR="006D2E3E" w:rsidRPr="001005B7">
        <w:t xml:space="preserve"> or edit</w:t>
      </w:r>
      <w:r w:rsidR="00A95776" w:rsidRPr="001005B7">
        <w:t>ed</w:t>
      </w:r>
      <w:r w:rsidR="006D2E3E" w:rsidRPr="001005B7">
        <w:t xml:space="preserve"> what </w:t>
      </w:r>
      <w:r w:rsidR="00936688" w:rsidRPr="001005B7">
        <w:t>the person wrote</w:t>
      </w:r>
      <w:r w:rsidR="006D2E3E" w:rsidRPr="001005B7">
        <w:t>, or a ghost writer m</w:t>
      </w:r>
      <w:r w:rsidR="005F465C">
        <w:t>ight</w:t>
      </w:r>
      <w:r w:rsidR="006D2E3E" w:rsidRPr="001005B7">
        <w:t xml:space="preserve"> </w:t>
      </w:r>
      <w:r w:rsidR="00936688" w:rsidRPr="001005B7">
        <w:t>have written</w:t>
      </w:r>
      <w:r w:rsidR="006D2E3E" w:rsidRPr="001005B7">
        <w:t xml:space="preserve"> it on the basis of material supplied by the </w:t>
      </w:r>
      <w:r w:rsidR="00270D55" w:rsidRPr="001005B7">
        <w:t>person</w:t>
      </w:r>
      <w:r w:rsidR="006D2E3E" w:rsidRPr="001005B7">
        <w:t>, or the ghostwriter m</w:t>
      </w:r>
      <w:r w:rsidR="005F465C">
        <w:t>ight</w:t>
      </w:r>
      <w:r w:rsidR="006D2E3E" w:rsidRPr="001005B7">
        <w:t xml:space="preserve"> </w:t>
      </w:r>
      <w:r w:rsidR="00270D55" w:rsidRPr="001005B7">
        <w:t xml:space="preserve">have </w:t>
      </w:r>
      <w:r w:rsidR="006D2E3E" w:rsidRPr="001005B7">
        <w:t>elaborate</w:t>
      </w:r>
      <w:r w:rsidR="00270D55" w:rsidRPr="001005B7">
        <w:t>d</w:t>
      </w:r>
      <w:r w:rsidR="006D2E3E" w:rsidRPr="001005B7">
        <w:t xml:space="preserve"> it on the basis of such material, or a creative writer m</w:t>
      </w:r>
      <w:r w:rsidR="005F465C">
        <w:t>ight</w:t>
      </w:r>
      <w:r w:rsidR="006D2E3E" w:rsidRPr="001005B7">
        <w:t xml:space="preserve"> simply </w:t>
      </w:r>
      <w:r w:rsidR="00270D55" w:rsidRPr="001005B7">
        <w:t xml:space="preserve">have </w:t>
      </w:r>
      <w:r w:rsidR="006D2E3E" w:rsidRPr="001005B7">
        <w:t>fashion</w:t>
      </w:r>
      <w:r w:rsidR="00270D55" w:rsidRPr="001005B7">
        <w:t>ed</w:t>
      </w:r>
      <w:r w:rsidR="006D2E3E" w:rsidRPr="001005B7">
        <w:t xml:space="preserve"> it from scratch on the basis of imagination. The Scriptures include material of all those kinds</w:t>
      </w:r>
      <w:r w:rsidR="0080647E">
        <w:t xml:space="preserve"> and </w:t>
      </w:r>
      <w:r w:rsidR="00890F4A" w:rsidRPr="001005B7">
        <w:t xml:space="preserve">God </w:t>
      </w:r>
      <w:r w:rsidR="00EA35C3" w:rsidRPr="001005B7">
        <w:t xml:space="preserve">evidently approves </w:t>
      </w:r>
      <w:r w:rsidR="00890F4A" w:rsidRPr="001005B7">
        <w:t>in principle of all of them</w:t>
      </w:r>
      <w:r w:rsidR="0080647E">
        <w:t>.</w:t>
      </w:r>
      <w:r w:rsidR="00CD5FFA" w:rsidRPr="001005B7">
        <w:t xml:space="preserve"> </w:t>
      </w:r>
      <w:r w:rsidR="0080647E">
        <w:t>T</w:t>
      </w:r>
      <w:r w:rsidR="00673DC8" w:rsidRPr="001005B7">
        <w:t xml:space="preserve">here are or have been scholars holding </w:t>
      </w:r>
      <w:r w:rsidR="00CD5FFA" w:rsidRPr="001005B7">
        <w:t>all these understandings of the origin of the scroll</w:t>
      </w:r>
      <w:r w:rsidR="00BA4A6E" w:rsidRPr="001005B7">
        <w:t xml:space="preserve"> and </w:t>
      </w:r>
      <w:r w:rsidR="00E41821" w:rsidRPr="001005B7">
        <w:t xml:space="preserve">there </w:t>
      </w:r>
      <w:r w:rsidR="00BA4A6E" w:rsidRPr="001005B7">
        <w:t xml:space="preserve">has not </w:t>
      </w:r>
      <w:r w:rsidR="00E41821" w:rsidRPr="001005B7">
        <w:t>been any development</w:t>
      </w:r>
      <w:r w:rsidR="00DC7735" w:rsidRPr="001005B7">
        <w:t xml:space="preserve"> in a scholarly consensus over the question.</w:t>
      </w:r>
      <w:r w:rsidR="0013063A" w:rsidRPr="001005B7">
        <w:rPr>
          <w:rStyle w:val="FootnoteReference"/>
        </w:rPr>
        <w:footnoteReference w:id="29"/>
      </w:r>
      <w:r w:rsidR="001617A8" w:rsidRPr="001005B7">
        <w:t xml:space="preserve"> Among the scholars </w:t>
      </w:r>
      <w:r w:rsidR="00014561" w:rsidRPr="001005B7">
        <w:t xml:space="preserve">over the past century </w:t>
      </w:r>
      <w:r w:rsidR="001617A8" w:rsidRPr="001005B7">
        <w:t xml:space="preserve">who have seen Ezekiel as more or less the </w:t>
      </w:r>
      <w:r w:rsidR="00482618">
        <w:t>product</w:t>
      </w:r>
      <w:r w:rsidR="00250451" w:rsidRPr="001005B7">
        <w:t xml:space="preserve"> of creative writing have been </w:t>
      </w:r>
      <w:r w:rsidR="00B808E6" w:rsidRPr="001005B7">
        <w:t xml:space="preserve">Gustav </w:t>
      </w:r>
      <w:proofErr w:type="spellStart"/>
      <w:r w:rsidR="00046D5D" w:rsidRPr="001005B7">
        <w:rPr>
          <w:rFonts w:ascii="Calibri" w:eastAsia="Times New Roman" w:hAnsi="Calibri" w:cs="Calibri"/>
          <w:lang w:eastAsia="en-GB"/>
        </w:rPr>
        <w:t>Hölscher</w:t>
      </w:r>
      <w:proofErr w:type="spellEnd"/>
      <w:r w:rsidR="00E12B05" w:rsidRPr="001005B7">
        <w:rPr>
          <w:rFonts w:ascii="Calibri" w:eastAsia="Times New Roman" w:hAnsi="Calibri" w:cs="Calibri"/>
          <w:lang w:eastAsia="en-GB"/>
        </w:rPr>
        <w:t>, Charles Cutler Torr</w:t>
      </w:r>
      <w:r w:rsidR="00CD5642" w:rsidRPr="001005B7">
        <w:rPr>
          <w:rFonts w:ascii="Calibri" w:eastAsia="Times New Roman" w:hAnsi="Calibri" w:cs="Calibri"/>
          <w:lang w:eastAsia="en-GB"/>
        </w:rPr>
        <w:t>ey</w:t>
      </w:r>
      <w:r w:rsidR="00762685" w:rsidRPr="001005B7">
        <w:rPr>
          <w:rFonts w:ascii="Calibri" w:eastAsia="Times New Roman" w:hAnsi="Calibri" w:cs="Calibri"/>
          <w:lang w:eastAsia="en-GB"/>
        </w:rPr>
        <w:t>, Joachim</w:t>
      </w:r>
      <w:r w:rsidR="00501A48" w:rsidRPr="001005B7">
        <w:rPr>
          <w:i/>
          <w:iCs/>
        </w:rPr>
        <w:t xml:space="preserve"> </w:t>
      </w:r>
      <w:r w:rsidR="00501A48" w:rsidRPr="001005B7">
        <w:rPr>
          <w:rFonts w:ascii="Calibri" w:eastAsia="Times New Roman" w:hAnsi="Calibri" w:cs="Calibri"/>
          <w:lang w:eastAsia="en-GB"/>
        </w:rPr>
        <w:t xml:space="preserve">Becker, </w:t>
      </w:r>
      <w:r w:rsidR="00014561" w:rsidRPr="001005B7">
        <w:rPr>
          <w:rFonts w:ascii="Calibri" w:eastAsia="Times New Roman" w:hAnsi="Calibri" w:cs="Calibri"/>
          <w:lang w:eastAsia="en-GB"/>
        </w:rPr>
        <w:t>U</w:t>
      </w:r>
      <w:r w:rsidR="00F547B4" w:rsidRPr="001005B7">
        <w:rPr>
          <w:rFonts w:ascii="Calibri" w:eastAsia="Times New Roman" w:hAnsi="Calibri" w:cs="Calibri"/>
          <w:lang w:eastAsia="en-GB"/>
        </w:rPr>
        <w:t>d</w:t>
      </w:r>
      <w:r w:rsidR="00014561" w:rsidRPr="001005B7">
        <w:rPr>
          <w:rFonts w:ascii="Calibri" w:eastAsia="Times New Roman" w:hAnsi="Calibri" w:cs="Calibri"/>
          <w:lang w:eastAsia="en-GB"/>
        </w:rPr>
        <w:t xml:space="preserve">o </w:t>
      </w:r>
      <w:r w:rsidR="00501A48" w:rsidRPr="001005B7">
        <w:rPr>
          <w:rFonts w:ascii="Calibri" w:eastAsia="Times New Roman" w:hAnsi="Calibri" w:cs="Calibri"/>
          <w:lang w:eastAsia="en-GB"/>
        </w:rPr>
        <w:t>Feist,</w:t>
      </w:r>
      <w:r w:rsidR="00F547B4" w:rsidRPr="001005B7">
        <w:rPr>
          <w:rFonts w:ascii="Calibri" w:eastAsia="Times New Roman" w:hAnsi="Calibri" w:cs="Calibri"/>
          <w:lang w:eastAsia="en-GB"/>
        </w:rPr>
        <w:t xml:space="preserve"> and</w:t>
      </w:r>
      <w:r w:rsidR="00501A48" w:rsidRPr="001005B7">
        <w:rPr>
          <w:rFonts w:ascii="Calibri" w:hAnsi="Calibri" w:cs="Calibri"/>
          <w:shd w:val="clear" w:color="auto" w:fill="FFFFFF"/>
        </w:rPr>
        <w:t xml:space="preserve"> </w:t>
      </w:r>
      <w:r w:rsidR="00F547B4" w:rsidRPr="001005B7">
        <w:rPr>
          <w:rFonts w:ascii="Calibri" w:hAnsi="Calibri" w:cs="Calibri"/>
          <w:shd w:val="clear" w:color="auto" w:fill="FFFFFF"/>
        </w:rPr>
        <w:t>Karin</w:t>
      </w:r>
      <w:r w:rsidR="0060644D" w:rsidRPr="001005B7">
        <w:rPr>
          <w:rFonts w:ascii="Calibri" w:hAnsi="Calibri" w:cs="Calibri"/>
          <w:shd w:val="clear" w:color="auto" w:fill="FFFFFF"/>
        </w:rPr>
        <w:t xml:space="preserve"> </w:t>
      </w:r>
      <w:proofErr w:type="spellStart"/>
      <w:r w:rsidR="00501A48" w:rsidRPr="001005B7">
        <w:rPr>
          <w:rFonts w:ascii="Calibri" w:eastAsia="Times New Roman" w:hAnsi="Calibri" w:cs="Calibri"/>
          <w:lang w:eastAsia="en-GB"/>
        </w:rPr>
        <w:t>Schöpflin</w:t>
      </w:r>
      <w:proofErr w:type="spellEnd"/>
      <w:r w:rsidR="00501A48" w:rsidRPr="001005B7">
        <w:t xml:space="preserve"> </w:t>
      </w:r>
      <w:r w:rsidR="00853C52" w:rsidRPr="001005B7">
        <w:t>(see the Selected Biogra</w:t>
      </w:r>
      <w:r w:rsidR="00144D58" w:rsidRPr="001005B7">
        <w:t>phy).</w:t>
      </w:r>
      <w:r w:rsidR="00B267FD" w:rsidRPr="001005B7">
        <w:t xml:space="preserve"> </w:t>
      </w:r>
    </w:p>
    <w:p w14:paraId="651EC38B" w14:textId="5E419979" w:rsidR="006D2E3E" w:rsidRPr="001005B7" w:rsidRDefault="001411D2" w:rsidP="006D2E3E">
      <w:r w:rsidRPr="001005B7">
        <w:t>W</w:t>
      </w:r>
      <w:r w:rsidR="00EE30FD" w:rsidRPr="001005B7">
        <w:t>hat happen</w:t>
      </w:r>
      <w:r w:rsidR="008A364E" w:rsidRPr="001005B7">
        <w:t>s</w:t>
      </w:r>
      <w:r w:rsidR="00EE30FD" w:rsidRPr="001005B7">
        <w:t xml:space="preserve"> when one c</w:t>
      </w:r>
      <w:r w:rsidR="006D2E3E" w:rsidRPr="001005B7">
        <w:t>ompar</w:t>
      </w:r>
      <w:r w:rsidR="008A364E" w:rsidRPr="001005B7">
        <w:t>es</w:t>
      </w:r>
      <w:r w:rsidR="006D2E3E" w:rsidRPr="001005B7">
        <w:t xml:space="preserve"> Ezekiel with </w:t>
      </w:r>
      <w:r w:rsidR="00ED5222" w:rsidRPr="001005B7">
        <w:t>other prophetic scrolls</w:t>
      </w:r>
      <w:r w:rsidRPr="001005B7">
        <w:t>?</w:t>
      </w:r>
    </w:p>
    <w:p w14:paraId="1AA54CE3" w14:textId="77777777" w:rsidR="004A397B" w:rsidRPr="001005B7" w:rsidRDefault="004A397B" w:rsidP="006D2E3E"/>
    <w:p w14:paraId="781BF464" w14:textId="69FCC9E6" w:rsidR="00612CBD" w:rsidRPr="001005B7" w:rsidRDefault="00612CBD" w:rsidP="003507D2">
      <w:pPr>
        <w:pStyle w:val="Bullet"/>
      </w:pPr>
      <w:r w:rsidRPr="001005B7">
        <w:t>Isaiah</w:t>
      </w:r>
      <w:r w:rsidR="00765491" w:rsidRPr="001005B7">
        <w:t>, Hosea,</w:t>
      </w:r>
      <w:r w:rsidRPr="001005B7">
        <w:t xml:space="preserve"> and Jeremiah </w:t>
      </w:r>
      <w:r w:rsidR="003507D2" w:rsidRPr="001005B7">
        <w:t xml:space="preserve">mix </w:t>
      </w:r>
      <w:r w:rsidR="007C0214" w:rsidRPr="001005B7">
        <w:t xml:space="preserve">third-person stories and references </w:t>
      </w:r>
      <w:r w:rsidR="00C23B45" w:rsidRPr="001005B7">
        <w:t xml:space="preserve">with </w:t>
      </w:r>
      <w:r w:rsidR="003507D2" w:rsidRPr="001005B7">
        <w:t xml:space="preserve">first-person </w:t>
      </w:r>
      <w:r w:rsidR="0079316E" w:rsidRPr="001005B7">
        <w:t xml:space="preserve">stories </w:t>
      </w:r>
      <w:r w:rsidR="003507D2" w:rsidRPr="001005B7">
        <w:t>more than Ezekiel does.</w:t>
      </w:r>
    </w:p>
    <w:p w14:paraId="679BA9E4" w14:textId="7A2B29DE" w:rsidR="00073909" w:rsidRPr="001005B7" w:rsidRDefault="00073909" w:rsidP="003507D2">
      <w:pPr>
        <w:pStyle w:val="Bullet"/>
      </w:pPr>
      <w:r w:rsidRPr="001005B7">
        <w:t>Ezekiel is</w:t>
      </w:r>
      <w:r w:rsidR="00C23B45" w:rsidRPr="001005B7">
        <w:t xml:space="preserve"> </w:t>
      </w:r>
      <w:r w:rsidRPr="001005B7">
        <w:t xml:space="preserve">more systematically organized than </w:t>
      </w:r>
      <w:r w:rsidR="00765491" w:rsidRPr="001005B7">
        <w:t>other scrolls</w:t>
      </w:r>
      <w:r w:rsidRPr="001005B7">
        <w:t>.</w:t>
      </w:r>
    </w:p>
    <w:p w14:paraId="2620EBDC" w14:textId="2472078F" w:rsidR="00073909" w:rsidRPr="001005B7" w:rsidRDefault="00073909" w:rsidP="003507D2">
      <w:pPr>
        <w:pStyle w:val="Bullet"/>
      </w:pPr>
      <w:r w:rsidRPr="001005B7">
        <w:t>Isaiah explicit</w:t>
      </w:r>
      <w:r w:rsidR="001B61D9" w:rsidRPr="001005B7">
        <w:t>ly</w:t>
      </w:r>
      <w:r w:rsidRPr="001005B7">
        <w:t xml:space="preserve"> refer</w:t>
      </w:r>
      <w:r w:rsidR="001B61D9" w:rsidRPr="001005B7">
        <w:t>s</w:t>
      </w:r>
      <w:r w:rsidRPr="001005B7">
        <w:t xml:space="preserve"> to people and events after the time of </w:t>
      </w:r>
      <w:r w:rsidR="00357043" w:rsidRPr="001005B7">
        <w:t xml:space="preserve">Isaiah ben Amoz—not predicting them but speaking of them as having happened. Ezekiel </w:t>
      </w:r>
      <w:r w:rsidR="005337E0" w:rsidRPr="001005B7">
        <w:t>and other prophets do not</w:t>
      </w:r>
      <w:r w:rsidR="00357043" w:rsidRPr="001005B7">
        <w:t>.</w:t>
      </w:r>
    </w:p>
    <w:p w14:paraId="096FE051" w14:textId="26989CA7" w:rsidR="00BB65D3" w:rsidRPr="001005B7" w:rsidRDefault="003A6E46" w:rsidP="00BB65D3">
      <w:pPr>
        <w:pStyle w:val="Bullet"/>
      </w:pPr>
      <w:r w:rsidRPr="001005B7">
        <w:t xml:space="preserve">Jeremiah gets someone else to write down his messages from his dictation, and </w:t>
      </w:r>
      <w:r w:rsidR="0079316E" w:rsidRPr="001005B7">
        <w:t>Isaiah may be doing the</w:t>
      </w:r>
      <w:r w:rsidR="009852A2" w:rsidRPr="001005B7">
        <w:t xml:space="preserve"> s</w:t>
      </w:r>
      <w:r w:rsidR="0079316E" w:rsidRPr="001005B7">
        <w:t>ame in Isa 8:16.</w:t>
      </w:r>
      <w:r w:rsidR="009852A2" w:rsidRPr="001005B7">
        <w:t xml:space="preserve"> </w:t>
      </w:r>
    </w:p>
    <w:p w14:paraId="25815821" w14:textId="159ED0A5" w:rsidR="00E06FF6" w:rsidRPr="001005B7" w:rsidRDefault="00BB65D3" w:rsidP="00036EFC">
      <w:pPr>
        <w:pStyle w:val="Bullet"/>
      </w:pPr>
      <w:r w:rsidRPr="001005B7">
        <w:t>Differe</w:t>
      </w:r>
      <w:r w:rsidR="00E06FF6" w:rsidRPr="001005B7">
        <w:t xml:space="preserve">nces between </w:t>
      </w:r>
      <w:r w:rsidR="00470B77" w:rsidRPr="001005B7">
        <w:rPr>
          <w:sz w:val="18"/>
          <w:szCs w:val="18"/>
        </w:rPr>
        <w:t>MT</w:t>
      </w:r>
      <w:r w:rsidR="00DC05B3" w:rsidRPr="001005B7">
        <w:t xml:space="preserve">, some </w:t>
      </w:r>
      <w:r w:rsidR="00E06FF6" w:rsidRPr="001005B7">
        <w:t>Qumran</w:t>
      </w:r>
      <w:r w:rsidR="00C50925">
        <w:t xml:space="preserve"> and </w:t>
      </w:r>
      <w:r w:rsidR="0014787E" w:rsidRPr="001005B7">
        <w:t>Masada</w:t>
      </w:r>
      <w:r w:rsidR="00E06FF6" w:rsidRPr="001005B7">
        <w:t xml:space="preserve"> manuscripts</w:t>
      </w:r>
      <w:r w:rsidR="00DC05B3" w:rsidRPr="001005B7">
        <w:t>,</w:t>
      </w:r>
      <w:r w:rsidR="00E06FF6" w:rsidRPr="001005B7">
        <w:t xml:space="preserve"> and </w:t>
      </w:r>
      <w:r w:rsidR="00711BA2" w:rsidRPr="001005B7">
        <w:rPr>
          <w:sz w:val="18"/>
          <w:szCs w:val="18"/>
        </w:rPr>
        <w:t>LXX</w:t>
      </w:r>
      <w:r w:rsidR="00E06FF6" w:rsidRPr="001005B7">
        <w:t xml:space="preserve"> suggest that through the Second Temple period the text </w:t>
      </w:r>
      <w:r w:rsidR="00A91C40" w:rsidRPr="001005B7">
        <w:t xml:space="preserve">of scrolls </w:t>
      </w:r>
      <w:r w:rsidR="00E06FF6" w:rsidRPr="001005B7">
        <w:t xml:space="preserve">continued to be </w:t>
      </w:r>
      <w:r w:rsidR="000E6608" w:rsidRPr="001005B7">
        <w:t>adapt</w:t>
      </w:r>
      <w:r w:rsidR="00E06FF6" w:rsidRPr="001005B7">
        <w:t>able in small ways</w:t>
      </w:r>
      <w:r w:rsidR="00A91C40" w:rsidRPr="001005B7">
        <w:t>, t</w:t>
      </w:r>
      <w:r w:rsidR="0085708E" w:rsidRPr="001005B7">
        <w:t>hough t</w:t>
      </w:r>
      <w:r w:rsidR="00A91C40" w:rsidRPr="001005B7">
        <w:t xml:space="preserve">he difference with Jeremiah </w:t>
      </w:r>
      <w:r w:rsidR="005E0885" w:rsidRPr="001005B7">
        <w:t xml:space="preserve">(for instance) </w:t>
      </w:r>
      <w:r w:rsidR="00A91C40" w:rsidRPr="001005B7">
        <w:t>is greater than that with Ezekiel</w:t>
      </w:r>
      <w:r w:rsidR="00966EC1" w:rsidRPr="001005B7">
        <w:t>.</w:t>
      </w:r>
    </w:p>
    <w:p w14:paraId="0AF0FC08" w14:textId="2CE1F43A" w:rsidR="00E06FF6" w:rsidRPr="001005B7" w:rsidRDefault="00B91409" w:rsidP="00615AFD">
      <w:pPr>
        <w:pStyle w:val="Bullet"/>
      </w:pPr>
      <w:r w:rsidRPr="001005B7">
        <w:t xml:space="preserve">While </w:t>
      </w:r>
      <w:r w:rsidR="00B81375" w:rsidRPr="001005B7">
        <w:t xml:space="preserve">Hosea and Amos </w:t>
      </w:r>
      <w:r w:rsidR="00EB7AA5" w:rsidRPr="001005B7">
        <w:t xml:space="preserve">worked </w:t>
      </w:r>
      <w:r w:rsidRPr="001005B7">
        <w:t>outside Judah</w:t>
      </w:r>
      <w:r w:rsidR="00E06FF6" w:rsidRPr="001005B7">
        <w:t>, their messages include notes relating them to Judah</w:t>
      </w:r>
      <w:r w:rsidR="00EB7AA5" w:rsidRPr="001005B7">
        <w:t xml:space="preserve"> that</w:t>
      </w:r>
      <w:r w:rsidR="00E06FF6" w:rsidRPr="001005B7">
        <w:t xml:space="preserve"> look like adaptations reflecting </w:t>
      </w:r>
      <w:r w:rsidR="00BE5DCE" w:rsidRPr="001005B7">
        <w:t xml:space="preserve">how </w:t>
      </w:r>
      <w:r w:rsidR="00E06FF6" w:rsidRPr="001005B7">
        <w:t xml:space="preserve">their work </w:t>
      </w:r>
      <w:r w:rsidR="00BE5DCE" w:rsidRPr="001005B7">
        <w:t>was</w:t>
      </w:r>
      <w:r w:rsidR="00E06FF6" w:rsidRPr="001005B7">
        <w:t xml:space="preserve"> taken south</w:t>
      </w:r>
      <w:r w:rsidR="0024536A" w:rsidRPr="001005B7">
        <w:t>.</w:t>
      </w:r>
      <w:r w:rsidR="00E06FF6" w:rsidRPr="001005B7">
        <w:t xml:space="preserve"> </w:t>
      </w:r>
    </w:p>
    <w:p w14:paraId="5A017228" w14:textId="77777777" w:rsidR="00E06FF6" w:rsidRPr="001005B7" w:rsidRDefault="00E06FF6" w:rsidP="00E06FF6">
      <w:pPr>
        <w:ind w:left="993" w:firstLine="0"/>
      </w:pPr>
    </w:p>
    <w:p w14:paraId="04854BAA" w14:textId="0255AFFB" w:rsidR="00E06FF6" w:rsidRPr="001005B7" w:rsidRDefault="00AF24F8" w:rsidP="00E06FF6">
      <w:r w:rsidRPr="001005B7">
        <w:t>In light of thes</w:t>
      </w:r>
      <w:r w:rsidR="00E06FF6" w:rsidRPr="001005B7">
        <w:t>e models</w:t>
      </w:r>
      <w:r w:rsidRPr="001005B7">
        <w:t xml:space="preserve">, we might </w:t>
      </w:r>
      <w:r w:rsidR="00A54326" w:rsidRPr="001005B7">
        <w:t>comment</w:t>
      </w:r>
      <w:r w:rsidR="00E06FF6" w:rsidRPr="001005B7">
        <w:t xml:space="preserve"> </w:t>
      </w:r>
      <w:r w:rsidR="000935D4" w:rsidRPr="001005B7">
        <w:t xml:space="preserve">on </w:t>
      </w:r>
      <w:r w:rsidR="00E06FF6" w:rsidRPr="001005B7">
        <w:t>the origin of Ezekiel</w:t>
      </w:r>
      <w:r w:rsidR="00A54326" w:rsidRPr="001005B7">
        <w:t xml:space="preserve"> </w:t>
      </w:r>
      <w:r w:rsidR="001E3C7E" w:rsidRPr="001005B7">
        <w:t>as</w:t>
      </w:r>
      <w:r w:rsidR="00A54326" w:rsidRPr="001005B7">
        <w:t xml:space="preserve"> follow</w:t>
      </w:r>
      <w:r w:rsidR="001E3C7E" w:rsidRPr="001005B7">
        <w:t>s</w:t>
      </w:r>
      <w:r w:rsidR="00A54326" w:rsidRPr="001005B7">
        <w:t>.</w:t>
      </w:r>
    </w:p>
    <w:p w14:paraId="08B47827" w14:textId="77777777" w:rsidR="00E06FF6" w:rsidRPr="001005B7" w:rsidRDefault="00E06FF6" w:rsidP="00E06FF6"/>
    <w:p w14:paraId="0E7216E9" w14:textId="49AE1731" w:rsidR="00E06FF6" w:rsidRPr="001005B7" w:rsidRDefault="00E06FF6" w:rsidP="00BE5DCE">
      <w:pPr>
        <w:pStyle w:val="Bullet"/>
      </w:pPr>
      <w:r w:rsidRPr="001005B7">
        <w:t xml:space="preserve">Many sections give the impression of going back to messages delivered in a setting such as a meeting of the </w:t>
      </w:r>
      <w:proofErr w:type="spellStart"/>
      <w:r w:rsidRPr="001005B7">
        <w:t>Kebar</w:t>
      </w:r>
      <w:proofErr w:type="spellEnd"/>
      <w:r w:rsidRPr="001005B7">
        <w:t xml:space="preserve"> community or a visit </w:t>
      </w:r>
      <w:r w:rsidR="00FB490B" w:rsidRPr="001005B7">
        <w:t>that</w:t>
      </w:r>
      <w:r w:rsidRPr="001005B7">
        <w:t xml:space="preserve"> people</w:t>
      </w:r>
      <w:r w:rsidR="00FB490B" w:rsidRPr="001005B7">
        <w:t xml:space="preserve"> made</w:t>
      </w:r>
      <w:r w:rsidRPr="001005B7">
        <w:t xml:space="preserve"> to Ezekiel at home</w:t>
      </w:r>
      <w:r w:rsidR="00CA76A6" w:rsidRPr="001005B7">
        <w:t>.</w:t>
      </w:r>
      <w:r w:rsidRPr="001005B7">
        <w:t xml:space="preserve"> </w:t>
      </w:r>
    </w:p>
    <w:p w14:paraId="081C0904" w14:textId="372D896A" w:rsidR="00E06FF6" w:rsidRPr="001005B7" w:rsidRDefault="00E06FF6" w:rsidP="007220F0">
      <w:pPr>
        <w:pStyle w:val="Bullet"/>
      </w:pPr>
      <w:r w:rsidRPr="001005B7">
        <w:t xml:space="preserve">The scroll is unique </w:t>
      </w:r>
      <w:r w:rsidR="004E09FF" w:rsidRPr="001005B7">
        <w:t>in being</w:t>
      </w:r>
      <w:r w:rsidRPr="001005B7">
        <w:t xml:space="preserve"> entirely in the first person (except 1:2</w:t>
      </w:r>
      <w:r w:rsidR="00F46900" w:rsidRPr="001005B7">
        <w:t>–</w:t>
      </w:r>
      <w:r w:rsidRPr="001005B7">
        <w:t xml:space="preserve">3), </w:t>
      </w:r>
      <w:r w:rsidR="00104159" w:rsidRPr="001005B7">
        <w:t xml:space="preserve">as if Ezekiel devised it. </w:t>
      </w:r>
      <w:r w:rsidR="007636A3" w:rsidRPr="001005B7">
        <w:t>It</w:t>
      </w:r>
      <w:r w:rsidRPr="001005B7">
        <w:t xml:space="preserve"> gives the impression that </w:t>
      </w:r>
      <w:r w:rsidR="00B060CA" w:rsidRPr="001005B7">
        <w:t xml:space="preserve">Ezekiel </w:t>
      </w:r>
      <w:r w:rsidRPr="001005B7">
        <w:t>lies behind the whole</w:t>
      </w:r>
      <w:r w:rsidR="00CA76A6" w:rsidRPr="001005B7">
        <w:t>.</w:t>
      </w:r>
      <w:r w:rsidR="007220F0" w:rsidRPr="001005B7">
        <w:t xml:space="preserve"> It</w:t>
      </w:r>
      <w:r w:rsidRPr="001005B7">
        <w:t xml:space="preserve"> is unique for the rigorous orderliness of its arrangement</w:t>
      </w:r>
      <w:r w:rsidR="00CA76A6" w:rsidRPr="001005B7">
        <w:t>.</w:t>
      </w:r>
      <w:r w:rsidRPr="001005B7">
        <w:t xml:space="preserve"> </w:t>
      </w:r>
    </w:p>
    <w:p w14:paraId="3692935A" w14:textId="62ACE74A" w:rsidR="00E06FF6" w:rsidRPr="001005B7" w:rsidRDefault="007F0644" w:rsidP="00370F34">
      <w:pPr>
        <w:pStyle w:val="Bullet"/>
      </w:pPr>
      <w:r w:rsidRPr="001005B7">
        <w:t xml:space="preserve">Most individual sections can stand on their own, and give the impression of having been brought into being individually, like an individual section of Isaiah or Jeremiah. </w:t>
      </w:r>
      <w:r w:rsidR="0016458F" w:rsidRPr="001005B7">
        <w:t>I</w:t>
      </w:r>
      <w:r w:rsidR="00044366" w:rsidRPr="001005B7">
        <w:t xml:space="preserve">n the scroll, </w:t>
      </w:r>
      <w:r w:rsidRPr="001005B7">
        <w:t>they read like written compositions</w:t>
      </w:r>
      <w:r w:rsidR="0016458F" w:rsidRPr="001005B7">
        <w:t>,</w:t>
      </w:r>
      <w:r w:rsidRPr="001005B7">
        <w:t xml:space="preserve"> assembled and perhaps revised on the way or reworked in small ways afterwards. </w:t>
      </w:r>
      <w:r w:rsidR="00370F34" w:rsidRPr="001005B7">
        <w:t>T</w:t>
      </w:r>
      <w:r w:rsidR="00E06FF6" w:rsidRPr="001005B7">
        <w:t xml:space="preserve">he example of Jer 36 would make one expect that </w:t>
      </w:r>
      <w:r w:rsidR="00273A75" w:rsidRPr="001005B7">
        <w:t>Ezekiel</w:t>
      </w:r>
      <w:r w:rsidR="00FC2751" w:rsidRPr="001005B7">
        <w:t xml:space="preserve"> himself might have adapted his</w:t>
      </w:r>
      <w:r w:rsidR="00273A75" w:rsidRPr="001005B7">
        <w:t xml:space="preserve"> </w:t>
      </w:r>
      <w:r w:rsidR="00E06FF6" w:rsidRPr="001005B7">
        <w:t>earlier messages so that they speak to a later context</w:t>
      </w:r>
      <w:r w:rsidR="004B0005" w:rsidRPr="001005B7">
        <w:t>,</w:t>
      </w:r>
      <w:r w:rsidR="009E21CF" w:rsidRPr="001005B7">
        <w:t xml:space="preserve"> </w:t>
      </w:r>
      <w:r w:rsidR="008F7FF7" w:rsidRPr="001005B7">
        <w:t>perhaps</w:t>
      </w:r>
      <w:r w:rsidR="00E06FF6" w:rsidRPr="001005B7">
        <w:t xml:space="preserve"> after 587</w:t>
      </w:r>
      <w:r w:rsidR="00D852BF" w:rsidRPr="001005B7">
        <w:t>.</w:t>
      </w:r>
    </w:p>
    <w:p w14:paraId="47CF20E2" w14:textId="021DBD8F" w:rsidR="00BF31FF" w:rsidRPr="001005B7" w:rsidRDefault="00BF31FF" w:rsidP="00BF31FF">
      <w:pPr>
        <w:pStyle w:val="Bullet"/>
      </w:pPr>
      <w:r w:rsidRPr="001005B7">
        <w:t>As a priest, Ezekiel would be able to write, and might have delivered his message as written compositions, or perhaps spoke orally and produced a written version later.</w:t>
      </w:r>
    </w:p>
    <w:p w14:paraId="47818C75" w14:textId="625D791A" w:rsidR="00BE7B7B" w:rsidRPr="001005B7" w:rsidRDefault="00991D33" w:rsidP="00370F34">
      <w:pPr>
        <w:pStyle w:val="Bullet"/>
      </w:pPr>
      <w:r w:rsidRPr="001005B7">
        <w:t>Th</w:t>
      </w:r>
      <w:r w:rsidR="0054086B" w:rsidRPr="001005B7">
        <w:t>e</w:t>
      </w:r>
      <w:r w:rsidRPr="001005B7">
        <w:t xml:space="preserve"> example </w:t>
      </w:r>
      <w:r w:rsidR="0054086B" w:rsidRPr="001005B7">
        <w:t xml:space="preserve">of Jer 36 </w:t>
      </w:r>
      <w:r w:rsidRPr="001005B7">
        <w:t xml:space="preserve">illustrates how adaptation </w:t>
      </w:r>
      <w:r w:rsidR="000A0469" w:rsidRPr="001005B7">
        <w:t xml:space="preserve">naturally </w:t>
      </w:r>
      <w:r w:rsidRPr="001005B7">
        <w:t xml:space="preserve">includes </w:t>
      </w:r>
      <w:r w:rsidR="00DF74AF" w:rsidRPr="001005B7">
        <w:t xml:space="preserve">the removing of </w:t>
      </w:r>
      <w:r w:rsidR="00672E6F" w:rsidRPr="001005B7">
        <w:t>specific references and names</w:t>
      </w:r>
      <w:r w:rsidR="001418EF" w:rsidRPr="001005B7">
        <w:t>,</w:t>
      </w:r>
      <w:r w:rsidR="0025092C" w:rsidRPr="001005B7">
        <w:t xml:space="preserve"> whose lack is often a feature of Ezekiel</w:t>
      </w:r>
      <w:r w:rsidR="00353A69" w:rsidRPr="001005B7">
        <w:t xml:space="preserve"> (Odell, 145).</w:t>
      </w:r>
    </w:p>
    <w:p w14:paraId="2BDEA2C6" w14:textId="11C801AD" w:rsidR="004F4E72" w:rsidRPr="001005B7" w:rsidRDefault="00E06FF6" w:rsidP="00F35BA6">
      <w:pPr>
        <w:pStyle w:val="Bullet"/>
        <w:rPr>
          <w:lang w:eastAsia="en-GB"/>
        </w:rPr>
      </w:pPr>
      <w:r w:rsidRPr="001005B7">
        <w:t xml:space="preserve">Ezekiel contains no explicit references </w:t>
      </w:r>
      <w:r w:rsidR="004A7394" w:rsidRPr="001005B7">
        <w:t>t</w:t>
      </w:r>
      <w:r w:rsidRPr="001005B7">
        <w:t>o events or people after the prophet’s lifetime</w:t>
      </w:r>
      <w:r w:rsidR="00F35BA6" w:rsidRPr="001005B7">
        <w:t>,</w:t>
      </w:r>
      <w:r w:rsidR="00082D71" w:rsidRPr="001005B7">
        <w:t xml:space="preserve"> </w:t>
      </w:r>
      <w:r w:rsidR="00407CE2" w:rsidRPr="001005B7">
        <w:t>but</w:t>
      </w:r>
      <w:r w:rsidR="00082D71" w:rsidRPr="001005B7">
        <w:t xml:space="preserve"> much knowledge of and influence by the cultural context of Babylonia in the sixth century.</w:t>
      </w:r>
      <w:r w:rsidR="00407CE2" w:rsidRPr="001005B7">
        <w:t xml:space="preserve"> </w:t>
      </w:r>
      <w:r w:rsidR="00936E8A" w:rsidRPr="001005B7">
        <w:t>The message</w:t>
      </w:r>
      <w:r w:rsidR="004F4E72" w:rsidRPr="001005B7">
        <w:rPr>
          <w:lang w:eastAsia="en-GB"/>
        </w:rPr>
        <w:t xml:space="preserve"> </w:t>
      </w:r>
      <w:r w:rsidR="00704A2E" w:rsidRPr="001005B7">
        <w:rPr>
          <w:lang w:eastAsia="en-GB"/>
        </w:rPr>
        <w:t>i</w:t>
      </w:r>
      <w:r w:rsidR="004F4E72" w:rsidRPr="001005B7">
        <w:rPr>
          <w:lang w:eastAsia="en-GB"/>
        </w:rPr>
        <w:t xml:space="preserve">s embedded in the life of a migrant community in Babylonia in a way that would be hard for a later author in another context to emulate. </w:t>
      </w:r>
      <w:r w:rsidR="00192C25" w:rsidRPr="001005B7">
        <w:rPr>
          <w:lang w:eastAsia="en-GB"/>
        </w:rPr>
        <w:t>It</w:t>
      </w:r>
      <w:r w:rsidR="004F4E72" w:rsidRPr="001005B7">
        <w:rPr>
          <w:lang w:eastAsia="en-GB"/>
        </w:rPr>
        <w:t xml:space="preserve"> manifests linguistic features suggesting a knowledge of and the influence of Akkadian</w:t>
      </w:r>
      <w:r w:rsidR="004F4E72" w:rsidRPr="001005B7">
        <w:rPr>
          <w:rStyle w:val="FootnoteReference"/>
          <w:lang w:eastAsia="en-GB"/>
        </w:rPr>
        <w:footnoteReference w:id="30"/>
      </w:r>
      <w:r w:rsidR="004F4E72" w:rsidRPr="001005B7">
        <w:rPr>
          <w:lang w:eastAsia="en-GB"/>
        </w:rPr>
        <w:t xml:space="preserve"> and </w:t>
      </w:r>
      <w:r w:rsidR="00D40A55" w:rsidRPr="001005B7">
        <w:rPr>
          <w:lang w:eastAsia="en-GB"/>
        </w:rPr>
        <w:t xml:space="preserve">an </w:t>
      </w:r>
      <w:r w:rsidR="004F4E72" w:rsidRPr="001005B7">
        <w:rPr>
          <w:lang w:eastAsia="en-GB"/>
        </w:rPr>
        <w:t>acquaintance with Babylonian culture and iconography that are hard</w:t>
      </w:r>
      <w:r w:rsidR="00F71483" w:rsidRPr="001005B7">
        <w:rPr>
          <w:lang w:eastAsia="en-GB"/>
        </w:rPr>
        <w:t>er</w:t>
      </w:r>
      <w:r w:rsidR="004F4E72" w:rsidRPr="001005B7">
        <w:rPr>
          <w:lang w:eastAsia="en-GB"/>
        </w:rPr>
        <w:t xml:space="preserve"> to fit with the idea of its being a </w:t>
      </w:r>
      <w:r w:rsidR="00F363EA" w:rsidRPr="001005B7">
        <w:rPr>
          <w:lang w:eastAsia="en-GB"/>
        </w:rPr>
        <w:t>creation</w:t>
      </w:r>
      <w:r w:rsidR="004F4E72" w:rsidRPr="001005B7">
        <w:rPr>
          <w:lang w:eastAsia="en-GB"/>
        </w:rPr>
        <w:t xml:space="preserve"> from the Persian or Hellenistic period.</w:t>
      </w:r>
      <w:r w:rsidR="004F4E72" w:rsidRPr="001005B7">
        <w:rPr>
          <w:rStyle w:val="FootnoteReference"/>
          <w:lang w:eastAsia="en-GB"/>
        </w:rPr>
        <w:footnoteReference w:id="31"/>
      </w:r>
      <w:r w:rsidR="004F4E72" w:rsidRPr="001005B7">
        <w:rPr>
          <w:lang w:eastAsia="en-GB"/>
        </w:rPr>
        <w:t xml:space="preserve"> </w:t>
      </w:r>
    </w:p>
    <w:p w14:paraId="009C24C5" w14:textId="118197C3" w:rsidR="00901B4F" w:rsidRPr="001005B7" w:rsidRDefault="00901B4F" w:rsidP="00901B4F">
      <w:pPr>
        <w:pStyle w:val="Bullet"/>
        <w:rPr>
          <w:lang w:eastAsia="en-GB"/>
        </w:rPr>
      </w:pPr>
      <w:r w:rsidRPr="001005B7">
        <w:rPr>
          <w:lang w:eastAsia="en-GB"/>
        </w:rPr>
        <w:t>Its message concerns Yahweh interacting with Israel in the Babylonian period in</w:t>
      </w:r>
      <w:r w:rsidR="009814E9">
        <w:rPr>
          <w:lang w:eastAsia="en-GB"/>
        </w:rPr>
        <w:t xml:space="preserve"> </w:t>
      </w:r>
      <w:r w:rsidR="00422698" w:rsidRPr="001005B7">
        <w:rPr>
          <w:lang w:eastAsia="en-GB"/>
        </w:rPr>
        <w:t>threatening</w:t>
      </w:r>
      <w:r w:rsidR="00391440">
        <w:rPr>
          <w:lang w:eastAsia="en-GB"/>
        </w:rPr>
        <w:t xml:space="preserve"> </w:t>
      </w:r>
      <w:r w:rsidRPr="001005B7">
        <w:rPr>
          <w:lang w:eastAsia="en-GB"/>
        </w:rPr>
        <w:t xml:space="preserve">and bringing calamity </w:t>
      </w:r>
      <w:r w:rsidR="00A80208" w:rsidRPr="001005B7">
        <w:rPr>
          <w:lang w:eastAsia="en-GB"/>
        </w:rPr>
        <w:t>because</w:t>
      </w:r>
      <w:r w:rsidRPr="001005B7">
        <w:rPr>
          <w:lang w:eastAsia="en-GB"/>
        </w:rPr>
        <w:t xml:space="preserve"> of Israel’s </w:t>
      </w:r>
      <w:r w:rsidR="00F773AA" w:rsidRPr="001005B7">
        <w:rPr>
          <w:lang w:eastAsia="en-GB"/>
        </w:rPr>
        <w:t>religious</w:t>
      </w:r>
      <w:r w:rsidR="00A80208" w:rsidRPr="001005B7">
        <w:rPr>
          <w:lang w:eastAsia="en-GB"/>
        </w:rPr>
        <w:t xml:space="preserve">, social, and political </w:t>
      </w:r>
      <w:r w:rsidR="00F773AA" w:rsidRPr="001005B7">
        <w:rPr>
          <w:lang w:eastAsia="en-GB"/>
        </w:rPr>
        <w:t>life</w:t>
      </w:r>
      <w:r w:rsidRPr="001005B7">
        <w:rPr>
          <w:lang w:eastAsia="en-GB"/>
        </w:rPr>
        <w:t>, and promising to bring restoration after calamity, with the implication that the account of this involvement brings challenge and encouragement to people reading the scroll. T</w:t>
      </w:r>
      <w:r w:rsidR="007E5383" w:rsidRPr="001005B7">
        <w:rPr>
          <w:lang w:eastAsia="en-GB"/>
        </w:rPr>
        <w:t>o</w:t>
      </w:r>
      <w:r w:rsidRPr="001005B7">
        <w:rPr>
          <w:lang w:eastAsia="en-GB"/>
        </w:rPr>
        <w:t xml:space="preserve"> present teaching about God as sovereign and speaking, when actually he does not, seems dubiously paradoxical. </w:t>
      </w:r>
      <w:r w:rsidR="009A5541" w:rsidRPr="001005B7">
        <w:rPr>
          <w:lang w:eastAsia="en-GB"/>
        </w:rPr>
        <w:t>I</w:t>
      </w:r>
      <w:r w:rsidRPr="001005B7">
        <w:rPr>
          <w:lang w:eastAsia="en-GB"/>
        </w:rPr>
        <w:t>ts ideas appeal to historical realities, and their appeal collapses.</w:t>
      </w:r>
      <w:r w:rsidR="00B9657B" w:rsidRPr="001005B7">
        <w:rPr>
          <w:lang w:eastAsia="en-GB"/>
        </w:rPr>
        <w:t xml:space="preserve"> If the scroll is the product of imagination, the message deconstructs.</w:t>
      </w:r>
    </w:p>
    <w:p w14:paraId="1A71B2AB" w14:textId="5BFAB3AB" w:rsidR="00E06FF6" w:rsidRPr="001005B7" w:rsidRDefault="00A92E95" w:rsidP="00BE5DCE">
      <w:pPr>
        <w:pStyle w:val="Bullet"/>
      </w:pPr>
      <w:r w:rsidRPr="001005B7">
        <w:t xml:space="preserve">While </w:t>
      </w:r>
      <w:r w:rsidR="00264282" w:rsidRPr="001005B7">
        <w:t>Ezekiel’s messages</w:t>
      </w:r>
      <w:r w:rsidR="00F96D17" w:rsidRPr="001005B7">
        <w:t xml:space="preserve"> </w:t>
      </w:r>
      <w:r w:rsidR="003D2597" w:rsidRPr="001005B7">
        <w:t xml:space="preserve">that </w:t>
      </w:r>
      <w:r w:rsidR="00E06FF6" w:rsidRPr="001005B7">
        <w:t xml:space="preserve">are </w:t>
      </w:r>
      <w:r w:rsidR="004A7394" w:rsidRPr="001005B7">
        <w:t>so</w:t>
      </w:r>
      <w:r w:rsidR="00E06FF6" w:rsidRPr="001005B7">
        <w:t xml:space="preserve"> interested in </w:t>
      </w:r>
      <w:r w:rsidR="00CB7B34" w:rsidRPr="001005B7">
        <w:t xml:space="preserve">and significant for </w:t>
      </w:r>
      <w:r w:rsidR="00E06FF6" w:rsidRPr="001005B7">
        <w:t>Judah and Jerusalem</w:t>
      </w:r>
      <w:r w:rsidR="00C5090E" w:rsidRPr="001005B7">
        <w:t xml:space="preserve"> </w:t>
      </w:r>
      <w:r w:rsidR="00CB7B34" w:rsidRPr="001005B7">
        <w:t xml:space="preserve">were eventually </w:t>
      </w:r>
      <w:r w:rsidR="00C5090E" w:rsidRPr="001005B7">
        <w:t>taken there</w:t>
      </w:r>
      <w:r w:rsidR="009B0BEF" w:rsidRPr="001005B7">
        <w:t xml:space="preserve"> and </w:t>
      </w:r>
      <w:r w:rsidR="00CB7B34" w:rsidRPr="001005B7">
        <w:t xml:space="preserve">might have been </w:t>
      </w:r>
      <w:r w:rsidR="009B0BEF" w:rsidRPr="001005B7">
        <w:t>reapplied there</w:t>
      </w:r>
      <w:r w:rsidR="00E06FF6" w:rsidRPr="001005B7">
        <w:t>, unlike Hosea or Amos</w:t>
      </w:r>
      <w:r w:rsidR="00C5090E" w:rsidRPr="001005B7">
        <w:t>,</w:t>
      </w:r>
      <w:r w:rsidR="00DB0C34" w:rsidRPr="001005B7">
        <w:t xml:space="preserve"> Ezekiel</w:t>
      </w:r>
      <w:r w:rsidR="00E06FF6" w:rsidRPr="001005B7">
        <w:t xml:space="preserve"> include</w:t>
      </w:r>
      <w:r w:rsidR="00DB0C34" w:rsidRPr="001005B7">
        <w:t>s</w:t>
      </w:r>
      <w:r w:rsidR="00E06FF6" w:rsidRPr="001005B7">
        <w:t xml:space="preserve"> no </w:t>
      </w:r>
      <w:r w:rsidR="00C5090E" w:rsidRPr="001005B7">
        <w:t>evid</w:t>
      </w:r>
      <w:r w:rsidR="00E06FF6" w:rsidRPr="001005B7">
        <w:t>ent reapplications to readers there</w:t>
      </w:r>
      <w:r w:rsidR="00264282" w:rsidRPr="001005B7">
        <w:t>.</w:t>
      </w:r>
    </w:p>
    <w:p w14:paraId="16DFF91B" w14:textId="5A2871FE" w:rsidR="00E06FF6" w:rsidRPr="001005B7" w:rsidRDefault="00061E94" w:rsidP="00985495">
      <w:pPr>
        <w:pStyle w:val="Bullet"/>
      </w:pPr>
      <w:r w:rsidRPr="001005B7">
        <w:t>We have noted that d</w:t>
      </w:r>
      <w:r w:rsidR="00E06FF6" w:rsidRPr="001005B7">
        <w:t xml:space="preserve">ifferences between </w:t>
      </w:r>
      <w:r w:rsidR="00BE089F" w:rsidRPr="001005B7">
        <w:rPr>
          <w:sz w:val="18"/>
          <w:szCs w:val="18"/>
        </w:rPr>
        <w:t>MT</w:t>
      </w:r>
      <w:r w:rsidR="00E06FF6" w:rsidRPr="001005B7">
        <w:t>, the Qumran</w:t>
      </w:r>
      <w:r w:rsidR="003960C7">
        <w:t xml:space="preserve"> and </w:t>
      </w:r>
      <w:r w:rsidR="00204F8E" w:rsidRPr="001005B7">
        <w:t>Masada</w:t>
      </w:r>
      <w:r w:rsidR="00E06FF6" w:rsidRPr="001005B7">
        <w:t xml:space="preserve"> manuscripts, and especially the shorter </w:t>
      </w:r>
      <w:r w:rsidR="002D3A6E" w:rsidRPr="001005B7">
        <w:rPr>
          <w:sz w:val="18"/>
          <w:szCs w:val="18"/>
        </w:rPr>
        <w:t>LXX</w:t>
      </w:r>
      <w:r w:rsidR="002D3A6E" w:rsidRPr="001005B7">
        <w:t xml:space="preserve"> </w:t>
      </w:r>
      <w:r w:rsidR="00E06FF6" w:rsidRPr="001005B7">
        <w:t>text</w:t>
      </w:r>
      <w:r w:rsidR="00C0768E" w:rsidRPr="001005B7">
        <w:t xml:space="preserve"> do</w:t>
      </w:r>
      <w:r w:rsidR="00E06FF6" w:rsidRPr="001005B7">
        <w:t xml:space="preserve"> suggest that through the Second Temple period the text continued to be </w:t>
      </w:r>
      <w:r w:rsidR="002220DA" w:rsidRPr="001005B7">
        <w:t>adapt</w:t>
      </w:r>
      <w:r w:rsidR="00E06FF6" w:rsidRPr="001005B7">
        <w:t>able</w:t>
      </w:r>
      <w:r w:rsidR="001C3A27">
        <w:t xml:space="preserve"> in detailed ways</w:t>
      </w:r>
      <w:r w:rsidR="00794058" w:rsidRPr="001005B7">
        <w:t>.</w:t>
      </w:r>
    </w:p>
    <w:p w14:paraId="29643004" w14:textId="77777777" w:rsidR="00E06FF6" w:rsidRPr="001005B7" w:rsidRDefault="00E06FF6" w:rsidP="00E06FF6">
      <w:pPr>
        <w:ind w:left="993" w:firstLine="0"/>
      </w:pPr>
    </w:p>
    <w:p w14:paraId="39241B3D" w14:textId="57F2B22F" w:rsidR="00251BC9" w:rsidRPr="001005B7" w:rsidRDefault="009059E2" w:rsidP="004D5963">
      <w:r w:rsidRPr="001005B7">
        <w:t>I</w:t>
      </w:r>
      <w:r w:rsidR="005D60D0" w:rsidRPr="001005B7">
        <w:t xml:space="preserve"> </w:t>
      </w:r>
      <w:r w:rsidR="000220CB" w:rsidRPr="001005B7">
        <w:t xml:space="preserve">thus </w:t>
      </w:r>
      <w:r w:rsidR="005D60D0" w:rsidRPr="001005B7">
        <w:t>follow</w:t>
      </w:r>
      <w:r w:rsidR="000F6C74" w:rsidRPr="001005B7">
        <w:t xml:space="preserve"> the prima facie impression</w:t>
      </w:r>
      <w:r w:rsidR="001C3A27">
        <w:t xml:space="preserve"> that emerges from</w:t>
      </w:r>
      <w:r w:rsidR="0065135D" w:rsidRPr="001005B7">
        <w:t xml:space="preserve"> </w:t>
      </w:r>
      <w:r w:rsidR="000F6C74" w:rsidRPr="001005B7">
        <w:t>the memoir</w:t>
      </w:r>
      <w:r w:rsidR="0093252C" w:rsidRPr="001005B7">
        <w:t>, that</w:t>
      </w:r>
      <w:r w:rsidR="008B43E2" w:rsidRPr="001005B7">
        <w:t xml:space="preserve"> </w:t>
      </w:r>
      <w:r w:rsidR="0093252C" w:rsidRPr="001005B7">
        <w:t>t</w:t>
      </w:r>
      <w:r w:rsidR="008B43E2" w:rsidRPr="001005B7">
        <w:t xml:space="preserve">he “I” in Ezekiel is </w:t>
      </w:r>
      <w:r w:rsidR="000220CB" w:rsidRPr="001005B7">
        <w:t>Ezekiel’s own</w:t>
      </w:r>
      <w:r w:rsidR="008B43E2" w:rsidRPr="001005B7">
        <w:t xml:space="preserve"> “I</w:t>
      </w:r>
      <w:r w:rsidR="000906F3" w:rsidRPr="001005B7">
        <w:t>,</w:t>
      </w:r>
      <w:r w:rsidR="000220CB" w:rsidRPr="001005B7">
        <w:t>”</w:t>
      </w:r>
      <w:r w:rsidR="000906F3" w:rsidRPr="001005B7">
        <w:t xml:space="preserve"> while</w:t>
      </w:r>
      <w:r w:rsidR="008B43E2" w:rsidRPr="001005B7">
        <w:t xml:space="preserve"> </w:t>
      </w:r>
      <w:r w:rsidR="000906F3" w:rsidRPr="001005B7">
        <w:t>t</w:t>
      </w:r>
      <w:r w:rsidR="008B43E2" w:rsidRPr="001005B7">
        <w:t>he “he”</w:t>
      </w:r>
      <w:r w:rsidR="00776A0C" w:rsidRPr="001005B7">
        <w:t xml:space="preserve"> </w:t>
      </w:r>
      <w:r w:rsidR="008B43E2" w:rsidRPr="001005B7">
        <w:t>in 1:</w:t>
      </w:r>
      <w:r w:rsidR="00776A0C" w:rsidRPr="001005B7">
        <w:t>2</w:t>
      </w:r>
      <w:r w:rsidR="00F46900" w:rsidRPr="001005B7">
        <w:t>–</w:t>
      </w:r>
      <w:r w:rsidR="00776A0C" w:rsidRPr="001005B7">
        <w:t xml:space="preserve">3 is </w:t>
      </w:r>
      <w:r w:rsidR="00D1641A" w:rsidRPr="001005B7">
        <w:t>a curator’s</w:t>
      </w:r>
      <w:r w:rsidR="00776A0C" w:rsidRPr="001005B7">
        <w:t xml:space="preserve"> </w:t>
      </w:r>
      <w:r w:rsidR="000906F3" w:rsidRPr="001005B7">
        <w:t>speech</w:t>
      </w:r>
      <w:r w:rsidR="002A2A7F" w:rsidRPr="001005B7">
        <w:t xml:space="preserve">. </w:t>
      </w:r>
      <w:r w:rsidR="00522B04" w:rsidRPr="001005B7">
        <w:t>T</w:t>
      </w:r>
      <w:r w:rsidR="002A2A7F" w:rsidRPr="001005B7">
        <w:t xml:space="preserve">his </w:t>
      </w:r>
      <w:r w:rsidR="00D1641A" w:rsidRPr="001005B7">
        <w:t>person</w:t>
      </w:r>
      <w:r w:rsidR="002A2A7F" w:rsidRPr="001005B7">
        <w:t xml:space="preserve"> m</w:t>
      </w:r>
      <w:r w:rsidR="001D1C67" w:rsidRPr="001005B7">
        <w:t>ight</w:t>
      </w:r>
      <w:r w:rsidR="002A2A7F" w:rsidRPr="001005B7">
        <w:t xml:space="preserve"> have </w:t>
      </w:r>
      <w:r w:rsidR="00E2477F" w:rsidRPr="001005B7">
        <w:t xml:space="preserve">been responsible for </w:t>
      </w:r>
      <w:r w:rsidR="0044096F" w:rsidRPr="001005B7">
        <w:t>writing</w:t>
      </w:r>
      <w:r w:rsidR="00E2477F" w:rsidRPr="001005B7">
        <w:t xml:space="preserve"> the </w:t>
      </w:r>
      <w:r w:rsidR="009C7C58" w:rsidRPr="001005B7">
        <w:t>s</w:t>
      </w:r>
      <w:r w:rsidR="00E2477F" w:rsidRPr="001005B7">
        <w:t xml:space="preserve">croll </w:t>
      </w:r>
      <w:r w:rsidR="0044096F" w:rsidRPr="001005B7">
        <w:t>(</w:t>
      </w:r>
      <w:r w:rsidR="00DC1D62" w:rsidRPr="001005B7">
        <w:t>like</w:t>
      </w:r>
      <w:r w:rsidR="0044096F" w:rsidRPr="001005B7">
        <w:t xml:space="preserve"> Baruch </w:t>
      </w:r>
      <w:r w:rsidR="00DC1D62" w:rsidRPr="001005B7">
        <w:t>in</w:t>
      </w:r>
      <w:r w:rsidR="0044096F" w:rsidRPr="001005B7">
        <w:t xml:space="preserve"> Jer 36) or for </w:t>
      </w:r>
      <w:r w:rsidR="00DC1D62" w:rsidRPr="001005B7">
        <w:t>arranging it</w:t>
      </w:r>
      <w:r w:rsidR="0044096F" w:rsidRPr="001005B7">
        <w:t xml:space="preserve">, including points </w:t>
      </w:r>
      <w:r w:rsidR="00EA2B36" w:rsidRPr="001005B7">
        <w:t xml:space="preserve">where </w:t>
      </w:r>
      <w:r w:rsidR="000D7D6B" w:rsidRPr="001005B7">
        <w:t>it</w:t>
      </w:r>
      <w:r w:rsidR="00EA2B36" w:rsidRPr="001005B7">
        <w:t xml:space="preserve"> looks as if it combine</w:t>
      </w:r>
      <w:r w:rsidR="0032542F" w:rsidRPr="001005B7">
        <w:t>s</w:t>
      </w:r>
      <w:r w:rsidR="00EA2B36" w:rsidRPr="001005B7">
        <w:t xml:space="preserve"> </w:t>
      </w:r>
      <w:r w:rsidR="0032542F" w:rsidRPr="001005B7">
        <w:t xml:space="preserve">messages from </w:t>
      </w:r>
      <w:r w:rsidR="00EA2B36" w:rsidRPr="001005B7">
        <w:t>Ezekiel that were not originall</w:t>
      </w:r>
      <w:r w:rsidR="008E4323" w:rsidRPr="001005B7">
        <w:t xml:space="preserve">y together (e.g., Ezek 16). </w:t>
      </w:r>
      <w:r w:rsidR="001363FB" w:rsidRPr="001005B7">
        <w:t xml:space="preserve">This working assumption </w:t>
      </w:r>
      <w:r w:rsidR="0020347B" w:rsidRPr="001005B7">
        <w:t>p</w:t>
      </w:r>
      <w:r w:rsidR="001363FB" w:rsidRPr="001005B7">
        <w:t xml:space="preserve">laces me at the </w:t>
      </w:r>
      <w:r w:rsidR="00461C1B" w:rsidRPr="001005B7">
        <w:t>conservative end of the spectrum of</w:t>
      </w:r>
      <w:r w:rsidR="00555970" w:rsidRPr="001005B7">
        <w:t xml:space="preserve"> </w:t>
      </w:r>
      <w:r w:rsidR="00461C1B" w:rsidRPr="001005B7">
        <w:t xml:space="preserve">Ezekiel scholarship, </w:t>
      </w:r>
      <w:r w:rsidR="00555970" w:rsidRPr="001005B7">
        <w:t xml:space="preserve">within which </w:t>
      </w:r>
      <w:r w:rsidR="00933E5C" w:rsidRPr="001005B7">
        <w:t>all th</w:t>
      </w:r>
      <w:r w:rsidR="00BC4BEE" w:rsidRPr="001005B7">
        <w:t>e above</w:t>
      </w:r>
      <w:r w:rsidR="00933E5C" w:rsidRPr="001005B7">
        <w:t xml:space="preserve"> understandings of what a </w:t>
      </w:r>
      <w:r w:rsidR="0051238B" w:rsidRPr="001005B7">
        <w:t>memoir might be</w:t>
      </w:r>
      <w:r w:rsidR="005C3872" w:rsidRPr="001005B7">
        <w:t xml:space="preserve"> are </w:t>
      </w:r>
      <w:r w:rsidR="00D3273C" w:rsidRPr="001005B7">
        <w:t xml:space="preserve">current or are </w:t>
      </w:r>
      <w:r w:rsidR="005C3872" w:rsidRPr="001005B7">
        <w:t>logically possible</w:t>
      </w:r>
      <w:r w:rsidR="0080202E" w:rsidRPr="001005B7">
        <w:t>.</w:t>
      </w:r>
      <w:r w:rsidR="006122F3" w:rsidRPr="001005B7">
        <w:t xml:space="preserve"> </w:t>
      </w:r>
    </w:p>
    <w:p w14:paraId="393AF684" w14:textId="0555289C" w:rsidR="00C672F8" w:rsidRPr="001005B7" w:rsidRDefault="00283357" w:rsidP="002C737F">
      <w:pPr>
        <w:rPr>
          <w:lang w:eastAsia="en-GB"/>
        </w:rPr>
      </w:pPr>
      <w:r w:rsidRPr="001005B7">
        <w:rPr>
          <w:lang w:eastAsia="en-GB"/>
        </w:rPr>
        <w:t>Actually</w:t>
      </w:r>
      <w:r w:rsidR="00A011A9" w:rsidRPr="001005B7">
        <w:rPr>
          <w:lang w:eastAsia="en-GB"/>
        </w:rPr>
        <w:t xml:space="preserve">, </w:t>
      </w:r>
      <w:r w:rsidR="00C13555" w:rsidRPr="001005B7">
        <w:rPr>
          <w:lang w:eastAsia="en-GB"/>
        </w:rPr>
        <w:t xml:space="preserve">the </w:t>
      </w:r>
      <w:r w:rsidR="004D4006">
        <w:rPr>
          <w:lang w:eastAsia="en-GB"/>
        </w:rPr>
        <w:t>persistence and recurrence</w:t>
      </w:r>
      <w:r w:rsidR="005B0861" w:rsidRPr="001005B7">
        <w:rPr>
          <w:lang w:eastAsia="en-GB"/>
        </w:rPr>
        <w:t xml:space="preserve"> of</w:t>
      </w:r>
      <w:r w:rsidR="00F32154" w:rsidRPr="001005B7">
        <w:rPr>
          <w:lang w:eastAsia="en-GB"/>
        </w:rPr>
        <w:t xml:space="preserve"> different opinions </w:t>
      </w:r>
      <w:r w:rsidR="00A73F77" w:rsidRPr="001005B7">
        <w:rPr>
          <w:lang w:eastAsia="en-GB"/>
        </w:rPr>
        <w:t>about the scroll’s origin</w:t>
      </w:r>
      <w:r w:rsidR="00F32154" w:rsidRPr="001005B7">
        <w:rPr>
          <w:lang w:eastAsia="en-GB"/>
        </w:rPr>
        <w:t xml:space="preserve"> </w:t>
      </w:r>
      <w:r w:rsidR="00E43255" w:rsidRPr="001005B7">
        <w:rPr>
          <w:lang w:eastAsia="en-GB"/>
        </w:rPr>
        <w:t xml:space="preserve">rather suggests </w:t>
      </w:r>
      <w:r w:rsidR="00F32154" w:rsidRPr="001005B7">
        <w:rPr>
          <w:lang w:eastAsia="en-GB"/>
        </w:rPr>
        <w:t xml:space="preserve">that </w:t>
      </w:r>
      <w:r w:rsidR="005845B8" w:rsidRPr="001005B7">
        <w:rPr>
          <w:lang w:eastAsia="en-GB"/>
        </w:rPr>
        <w:t>the task of</w:t>
      </w:r>
      <w:r w:rsidR="00E51FEE" w:rsidRPr="001005B7">
        <w:rPr>
          <w:lang w:eastAsia="en-GB"/>
        </w:rPr>
        <w:t xml:space="preserve"> tracing </w:t>
      </w:r>
      <w:r w:rsidR="00574B7D">
        <w:rPr>
          <w:lang w:eastAsia="en-GB"/>
        </w:rPr>
        <w:t>its</w:t>
      </w:r>
      <w:r w:rsidR="00E51FEE" w:rsidRPr="001005B7">
        <w:rPr>
          <w:lang w:eastAsia="en-GB"/>
        </w:rPr>
        <w:t xml:space="preserve"> history</w:t>
      </w:r>
      <w:r w:rsidR="00A011A9" w:rsidRPr="001005B7">
        <w:rPr>
          <w:lang w:eastAsia="en-GB"/>
        </w:rPr>
        <w:t xml:space="preserve"> will n</w:t>
      </w:r>
      <w:r w:rsidR="00FB5125" w:rsidRPr="001005B7">
        <w:rPr>
          <w:lang w:eastAsia="en-GB"/>
        </w:rPr>
        <w:t xml:space="preserve">ever be </w:t>
      </w:r>
      <w:r w:rsidR="00DC48A7" w:rsidRPr="001005B7">
        <w:rPr>
          <w:lang w:eastAsia="en-GB"/>
        </w:rPr>
        <w:t>fulfilled</w:t>
      </w:r>
      <w:r w:rsidR="00A011A9" w:rsidRPr="001005B7">
        <w:rPr>
          <w:lang w:eastAsia="en-GB"/>
        </w:rPr>
        <w:t>.</w:t>
      </w:r>
      <w:r w:rsidR="00D64AE1" w:rsidRPr="001005B7">
        <w:rPr>
          <w:lang w:eastAsia="en-GB"/>
        </w:rPr>
        <w:t xml:space="preserve"> </w:t>
      </w:r>
      <w:r w:rsidR="00F51092" w:rsidRPr="001005B7">
        <w:rPr>
          <w:lang w:eastAsia="en-GB"/>
        </w:rPr>
        <w:t xml:space="preserve">C. S. Lewis once commented on the process whereby scholars </w:t>
      </w:r>
      <w:r w:rsidR="00970E53" w:rsidRPr="001005B7">
        <w:rPr>
          <w:lang w:eastAsia="en-GB"/>
        </w:rPr>
        <w:t>formulate</w:t>
      </w:r>
      <w:r w:rsidR="00F51092" w:rsidRPr="001005B7">
        <w:rPr>
          <w:lang w:eastAsia="en-GB"/>
        </w:rPr>
        <w:t xml:space="preserve"> hypotheses concerning the origin of ancient writings and present plausible accounts of the motives and aims that lie behind the</w:t>
      </w:r>
      <w:r w:rsidR="00CC6295" w:rsidRPr="001005B7">
        <w:rPr>
          <w:lang w:eastAsia="en-GB"/>
        </w:rPr>
        <w:t>m</w:t>
      </w:r>
      <w:r w:rsidR="00F51092" w:rsidRPr="001005B7">
        <w:rPr>
          <w:lang w:eastAsia="en-GB"/>
        </w:rPr>
        <w:t>.</w:t>
      </w:r>
      <w:r w:rsidR="00F51092" w:rsidRPr="001005B7">
        <w:rPr>
          <w:rStyle w:val="FootnoteReference"/>
          <w:lang w:eastAsia="en-GB"/>
        </w:rPr>
        <w:footnoteReference w:id="32"/>
      </w:r>
      <w:r w:rsidR="00F51092" w:rsidRPr="001005B7">
        <w:rPr>
          <w:lang w:eastAsia="en-GB"/>
        </w:rPr>
        <w:t xml:space="preserve"> </w:t>
      </w:r>
      <w:r w:rsidR="00CC6295" w:rsidRPr="001005B7">
        <w:rPr>
          <w:lang w:eastAsia="en-GB"/>
        </w:rPr>
        <w:t>S</w:t>
      </w:r>
      <w:r w:rsidR="00F51092" w:rsidRPr="001005B7">
        <w:rPr>
          <w:lang w:eastAsia="en-GB"/>
        </w:rPr>
        <w:t>cholars discuss</w:t>
      </w:r>
      <w:r w:rsidR="00801203" w:rsidRPr="001005B7">
        <w:rPr>
          <w:lang w:eastAsia="en-GB"/>
        </w:rPr>
        <w:t>ing</w:t>
      </w:r>
      <w:r w:rsidR="00F51092" w:rsidRPr="001005B7">
        <w:rPr>
          <w:lang w:eastAsia="en-GB"/>
        </w:rPr>
        <w:t xml:space="preserve"> his own works often </w:t>
      </w:r>
      <w:r w:rsidR="00970E53" w:rsidRPr="001005B7">
        <w:rPr>
          <w:lang w:eastAsia="en-GB"/>
        </w:rPr>
        <w:t>formulate</w:t>
      </w:r>
      <w:r w:rsidR="009C26B9">
        <w:rPr>
          <w:lang w:eastAsia="en-GB"/>
        </w:rPr>
        <w:t>d</w:t>
      </w:r>
      <w:r w:rsidR="00F51092" w:rsidRPr="001005B7">
        <w:rPr>
          <w:lang w:eastAsia="en-GB"/>
        </w:rPr>
        <w:t xml:space="preserve"> hypotheses concerning his motives and aims, and they </w:t>
      </w:r>
      <w:r w:rsidR="009C26B9">
        <w:rPr>
          <w:lang w:eastAsia="en-GB"/>
        </w:rPr>
        <w:t>we</w:t>
      </w:r>
      <w:r w:rsidR="00F51092" w:rsidRPr="001005B7">
        <w:rPr>
          <w:lang w:eastAsia="en-GB"/>
        </w:rPr>
        <w:t>re then invariably wron</w:t>
      </w:r>
      <w:r w:rsidR="00E44344" w:rsidRPr="001005B7">
        <w:rPr>
          <w:lang w:eastAsia="en-GB"/>
        </w:rPr>
        <w:t>g</w:t>
      </w:r>
      <w:r w:rsidR="00F51092" w:rsidRPr="001005B7">
        <w:rPr>
          <w:lang w:eastAsia="en-GB"/>
        </w:rPr>
        <w:t xml:space="preserve">. If </w:t>
      </w:r>
      <w:r w:rsidR="00FC6251" w:rsidRPr="001005B7">
        <w:rPr>
          <w:lang w:eastAsia="en-GB"/>
        </w:rPr>
        <w:t xml:space="preserve">that is true of </w:t>
      </w:r>
      <w:r w:rsidR="00F51092" w:rsidRPr="001005B7">
        <w:rPr>
          <w:lang w:eastAsia="en-GB"/>
        </w:rPr>
        <w:t xml:space="preserve">modern </w:t>
      </w:r>
      <w:r w:rsidR="007263BB" w:rsidRPr="001005B7">
        <w:rPr>
          <w:lang w:eastAsia="en-GB"/>
        </w:rPr>
        <w:t>scholars</w:t>
      </w:r>
      <w:r w:rsidR="00A84E7B" w:rsidRPr="001005B7">
        <w:rPr>
          <w:lang w:eastAsia="en-GB"/>
        </w:rPr>
        <w:t>’</w:t>
      </w:r>
      <w:r w:rsidR="00F51092" w:rsidRPr="001005B7">
        <w:rPr>
          <w:lang w:eastAsia="en-GB"/>
        </w:rPr>
        <w:t xml:space="preserve"> hypotheses concerning another modern writer, it seem</w:t>
      </w:r>
      <w:r w:rsidR="00A679D5" w:rsidRPr="001005B7">
        <w:rPr>
          <w:lang w:eastAsia="en-GB"/>
        </w:rPr>
        <w:t>ed</w:t>
      </w:r>
      <w:r w:rsidR="00F51092" w:rsidRPr="001005B7">
        <w:rPr>
          <w:lang w:eastAsia="en-GB"/>
        </w:rPr>
        <w:t xml:space="preserve"> questionable whether </w:t>
      </w:r>
      <w:r w:rsidR="00FF6587" w:rsidRPr="001005B7">
        <w:rPr>
          <w:lang w:eastAsia="en-GB"/>
        </w:rPr>
        <w:t>we</w:t>
      </w:r>
      <w:r w:rsidR="00F51092" w:rsidRPr="001005B7">
        <w:rPr>
          <w:lang w:eastAsia="en-GB"/>
        </w:rPr>
        <w:t xml:space="preserve"> c</w:t>
      </w:r>
      <w:r w:rsidR="00A679D5" w:rsidRPr="001005B7">
        <w:rPr>
          <w:lang w:eastAsia="en-GB"/>
        </w:rPr>
        <w:t>an</w:t>
      </w:r>
      <w:r w:rsidR="00F51092" w:rsidRPr="001005B7">
        <w:rPr>
          <w:lang w:eastAsia="en-GB"/>
        </w:rPr>
        <w:t xml:space="preserve"> </w:t>
      </w:r>
      <w:r w:rsidR="00CB1A10" w:rsidRPr="001005B7">
        <w:rPr>
          <w:lang w:eastAsia="en-GB"/>
        </w:rPr>
        <w:t>identify</w:t>
      </w:r>
      <w:r w:rsidR="00F51092" w:rsidRPr="001005B7">
        <w:rPr>
          <w:lang w:eastAsia="en-GB"/>
        </w:rPr>
        <w:t xml:space="preserve"> motives and aims l</w:t>
      </w:r>
      <w:r w:rsidR="00CB1A10" w:rsidRPr="001005B7">
        <w:rPr>
          <w:lang w:eastAsia="en-GB"/>
        </w:rPr>
        <w:t>ying</w:t>
      </w:r>
      <w:r w:rsidR="00F51092" w:rsidRPr="001005B7">
        <w:rPr>
          <w:lang w:eastAsia="en-GB"/>
        </w:rPr>
        <w:t xml:space="preserve"> behind ancient writings from another culture</w:t>
      </w:r>
      <w:r w:rsidR="00401795" w:rsidRPr="001005B7">
        <w:rPr>
          <w:lang w:eastAsia="en-GB"/>
        </w:rPr>
        <w:t>,</w:t>
      </w:r>
      <w:r w:rsidR="002634E9" w:rsidRPr="001005B7">
        <w:rPr>
          <w:lang w:eastAsia="en-GB"/>
        </w:rPr>
        <w:t xml:space="preserve"> </w:t>
      </w:r>
      <w:r w:rsidR="00896965">
        <w:rPr>
          <w:lang w:eastAsia="en-GB"/>
        </w:rPr>
        <w:t xml:space="preserve">in keeping with </w:t>
      </w:r>
      <w:r w:rsidR="00246DB0" w:rsidRPr="001005B7">
        <w:rPr>
          <w:lang w:eastAsia="en-GB"/>
        </w:rPr>
        <w:t>the aim of</w:t>
      </w:r>
      <w:r w:rsidR="002634E9" w:rsidRPr="001005B7">
        <w:rPr>
          <w:lang w:eastAsia="en-GB"/>
        </w:rPr>
        <w:t xml:space="preserve"> </w:t>
      </w:r>
      <w:r w:rsidR="00C13860" w:rsidRPr="001005B7">
        <w:rPr>
          <w:lang w:eastAsia="en-GB"/>
        </w:rPr>
        <w:t xml:space="preserve">scholarly hypotheses </w:t>
      </w:r>
      <w:r w:rsidR="005B320E" w:rsidRPr="001005B7">
        <w:rPr>
          <w:lang w:eastAsia="en-GB"/>
        </w:rPr>
        <w:t>concerning</w:t>
      </w:r>
      <w:r w:rsidR="00C13860" w:rsidRPr="001005B7">
        <w:rPr>
          <w:lang w:eastAsia="en-GB"/>
        </w:rPr>
        <w:t xml:space="preserve"> </w:t>
      </w:r>
      <w:r w:rsidR="003619B9" w:rsidRPr="001005B7">
        <w:rPr>
          <w:lang w:eastAsia="en-GB"/>
        </w:rPr>
        <w:t>redactors</w:t>
      </w:r>
      <w:r w:rsidR="00896965">
        <w:rPr>
          <w:lang w:eastAsia="en-GB"/>
        </w:rPr>
        <w:t>’</w:t>
      </w:r>
      <w:r w:rsidR="003619B9" w:rsidRPr="001005B7">
        <w:rPr>
          <w:lang w:eastAsia="en-GB"/>
        </w:rPr>
        <w:t xml:space="preserve"> inten</w:t>
      </w:r>
      <w:r w:rsidR="00C54DAB" w:rsidRPr="001005B7">
        <w:rPr>
          <w:lang w:eastAsia="en-GB"/>
        </w:rPr>
        <w:t>tions</w:t>
      </w:r>
      <w:r w:rsidR="003619B9" w:rsidRPr="001005B7">
        <w:rPr>
          <w:lang w:eastAsia="en-GB"/>
        </w:rPr>
        <w:t xml:space="preserve"> </w:t>
      </w:r>
      <w:r w:rsidR="006B3ACE" w:rsidRPr="001005B7">
        <w:rPr>
          <w:lang w:eastAsia="en-GB"/>
        </w:rPr>
        <w:t>in</w:t>
      </w:r>
      <w:r w:rsidR="0095002C">
        <w:rPr>
          <w:lang w:eastAsia="en-GB"/>
        </w:rPr>
        <w:t xml:space="preserve"> their work on</w:t>
      </w:r>
      <w:r w:rsidR="006B3ACE" w:rsidRPr="001005B7">
        <w:rPr>
          <w:lang w:eastAsia="en-GB"/>
        </w:rPr>
        <w:t xml:space="preserve"> the text they received</w:t>
      </w:r>
      <w:r w:rsidR="004719C4" w:rsidRPr="001005B7">
        <w:rPr>
          <w:lang w:eastAsia="en-GB"/>
        </w:rPr>
        <w:t>.</w:t>
      </w:r>
      <w:r w:rsidR="00295025" w:rsidRPr="001005B7">
        <w:rPr>
          <w:lang w:eastAsia="en-GB"/>
        </w:rPr>
        <w:t xml:space="preserve"> And Ezekiel cannot answer back, but only gnash his teeth in Sheol</w:t>
      </w:r>
      <w:r w:rsidR="00534F56" w:rsidRPr="001005B7">
        <w:rPr>
          <w:lang w:eastAsia="en-GB"/>
        </w:rPr>
        <w:t xml:space="preserve">. </w:t>
      </w:r>
      <w:r w:rsidR="006E2E16" w:rsidRPr="001005B7">
        <w:rPr>
          <w:lang w:eastAsia="en-GB"/>
        </w:rPr>
        <w:t xml:space="preserve">A further paradoxical </w:t>
      </w:r>
      <w:r w:rsidR="00A15C19" w:rsidRPr="001005B7">
        <w:rPr>
          <w:lang w:eastAsia="en-GB"/>
        </w:rPr>
        <w:t xml:space="preserve">consideration </w:t>
      </w:r>
      <w:r w:rsidR="0010446C" w:rsidRPr="001005B7">
        <w:rPr>
          <w:lang w:eastAsia="en-GB"/>
        </w:rPr>
        <w:t xml:space="preserve">that threatens scholarly </w:t>
      </w:r>
      <w:r w:rsidR="009A131B" w:rsidRPr="001005B7">
        <w:rPr>
          <w:lang w:eastAsia="en-GB"/>
        </w:rPr>
        <w:t>hypotheses</w:t>
      </w:r>
      <w:r w:rsidR="006F7344" w:rsidRPr="001005B7">
        <w:rPr>
          <w:lang w:eastAsia="en-GB"/>
        </w:rPr>
        <w:t xml:space="preserve"> is th</w:t>
      </w:r>
      <w:r w:rsidR="009A131B" w:rsidRPr="001005B7">
        <w:rPr>
          <w:lang w:eastAsia="en-GB"/>
        </w:rPr>
        <w:t>e</w:t>
      </w:r>
      <w:r w:rsidR="00324503" w:rsidRPr="001005B7">
        <w:rPr>
          <w:lang w:eastAsia="en-GB"/>
        </w:rPr>
        <w:t>ir frequent</w:t>
      </w:r>
      <w:r w:rsidR="007B6D7C" w:rsidRPr="001005B7">
        <w:rPr>
          <w:lang w:eastAsia="en-GB"/>
        </w:rPr>
        <w:t xml:space="preserve"> presuppos</w:t>
      </w:r>
      <w:r w:rsidR="00324503" w:rsidRPr="001005B7">
        <w:rPr>
          <w:lang w:eastAsia="en-GB"/>
        </w:rPr>
        <w:t>ition</w:t>
      </w:r>
      <w:r w:rsidR="00C672F8" w:rsidRPr="001005B7">
        <w:rPr>
          <w:lang w:eastAsia="en-GB"/>
        </w:rPr>
        <w:t xml:space="preserve"> that redactors received a </w:t>
      </w:r>
      <w:r w:rsidR="007B6D7C" w:rsidRPr="001005B7">
        <w:rPr>
          <w:lang w:eastAsia="en-GB"/>
        </w:rPr>
        <w:t xml:space="preserve">coherent </w:t>
      </w:r>
      <w:r w:rsidR="00C672F8" w:rsidRPr="001005B7">
        <w:rPr>
          <w:lang w:eastAsia="en-GB"/>
        </w:rPr>
        <w:t>text and turned it into something less coherent. “It is axiomatic with moderns that the primary creation was free of tension and ambiguity” (Greenberg</w:t>
      </w:r>
      <w:r w:rsidR="00656A1E" w:rsidRPr="001005B7">
        <w:rPr>
          <w:lang w:eastAsia="en-GB"/>
        </w:rPr>
        <w:t>, 1:</w:t>
      </w:r>
      <w:r w:rsidR="00C672F8" w:rsidRPr="001005B7">
        <w:rPr>
          <w:lang w:eastAsia="en-GB"/>
        </w:rPr>
        <w:t xml:space="preserve">218) </w:t>
      </w:r>
      <w:r w:rsidR="00450724" w:rsidRPr="001005B7">
        <w:rPr>
          <w:lang w:eastAsia="en-GB"/>
        </w:rPr>
        <w:t xml:space="preserve">and </w:t>
      </w:r>
      <w:r w:rsidR="00586F79" w:rsidRPr="001005B7">
        <w:rPr>
          <w:lang w:eastAsia="en-GB"/>
        </w:rPr>
        <w:t xml:space="preserve">that </w:t>
      </w:r>
      <w:r w:rsidR="00450724" w:rsidRPr="001005B7">
        <w:rPr>
          <w:lang w:eastAsia="en-GB"/>
        </w:rPr>
        <w:t xml:space="preserve">editors have changed </w:t>
      </w:r>
      <w:r w:rsidR="00586F79" w:rsidRPr="001005B7">
        <w:rPr>
          <w:lang w:eastAsia="en-GB"/>
        </w:rPr>
        <w:t>i</w:t>
      </w:r>
      <w:r w:rsidR="00450724" w:rsidRPr="001005B7">
        <w:rPr>
          <w:lang w:eastAsia="en-GB"/>
        </w:rPr>
        <w:t>t</w:t>
      </w:r>
      <w:r w:rsidR="007863D9" w:rsidRPr="001005B7">
        <w:rPr>
          <w:lang w:eastAsia="en-GB"/>
        </w:rPr>
        <w:t>, even though</w:t>
      </w:r>
      <w:r w:rsidR="00C672F8" w:rsidRPr="001005B7">
        <w:rPr>
          <w:lang w:eastAsia="en-GB"/>
        </w:rPr>
        <w:t xml:space="preserve"> commentators’ own exp</w:t>
      </w:r>
      <w:r w:rsidR="007C555E" w:rsidRPr="001005B7">
        <w:rPr>
          <w:lang w:eastAsia="en-GB"/>
        </w:rPr>
        <w:t xml:space="preserve">erience </w:t>
      </w:r>
      <w:r w:rsidR="007863D9" w:rsidRPr="001005B7">
        <w:rPr>
          <w:lang w:eastAsia="en-GB"/>
        </w:rPr>
        <w:t xml:space="preserve">is that </w:t>
      </w:r>
      <w:r w:rsidR="00F01B2D" w:rsidRPr="001005B7">
        <w:rPr>
          <w:lang w:eastAsia="en-GB"/>
        </w:rPr>
        <w:t>editors</w:t>
      </w:r>
      <w:r w:rsidR="007863D9" w:rsidRPr="001005B7">
        <w:rPr>
          <w:lang w:eastAsia="en-GB"/>
        </w:rPr>
        <w:t xml:space="preserve"> </w:t>
      </w:r>
      <w:r w:rsidR="00C672F8" w:rsidRPr="001005B7">
        <w:rPr>
          <w:lang w:eastAsia="en-GB"/>
        </w:rPr>
        <w:t xml:space="preserve">seek to turn unnecessarily complicated and puzzling material into something more straightforward. </w:t>
      </w:r>
    </w:p>
    <w:p w14:paraId="190AA3CB" w14:textId="3F75A030" w:rsidR="00C07F0F" w:rsidRDefault="00172CBF" w:rsidP="00F21C9A">
      <w:pPr>
        <w:rPr>
          <w:lang w:eastAsia="en-GB"/>
        </w:rPr>
      </w:pPr>
      <w:r w:rsidRPr="001005B7">
        <w:rPr>
          <w:lang w:eastAsia="en-GB"/>
        </w:rPr>
        <w:t>A</w:t>
      </w:r>
      <w:r w:rsidR="009A3257" w:rsidRPr="001005B7">
        <w:rPr>
          <w:lang w:eastAsia="en-GB"/>
        </w:rPr>
        <w:t xml:space="preserve"> synchronous or holistic reading</w:t>
      </w:r>
      <w:r w:rsidR="00BC4576">
        <w:rPr>
          <w:lang w:eastAsia="en-GB"/>
        </w:rPr>
        <w:t xml:space="preserve"> of a work such as Ezekiel</w:t>
      </w:r>
      <w:r w:rsidR="009A3257" w:rsidRPr="001005B7">
        <w:rPr>
          <w:lang w:eastAsia="en-GB"/>
        </w:rPr>
        <w:t xml:space="preserve"> </w:t>
      </w:r>
      <w:r w:rsidRPr="001005B7">
        <w:rPr>
          <w:lang w:eastAsia="en-GB"/>
        </w:rPr>
        <w:t>c</w:t>
      </w:r>
      <w:r w:rsidR="00BC4576">
        <w:rPr>
          <w:lang w:eastAsia="en-GB"/>
        </w:rPr>
        <w:t>ould</w:t>
      </w:r>
      <w:r w:rsidR="009A3257" w:rsidRPr="001005B7">
        <w:rPr>
          <w:lang w:eastAsia="en-GB"/>
        </w:rPr>
        <w:t xml:space="preserve"> issue only in rather general theological statements,</w:t>
      </w:r>
      <w:r w:rsidR="009A3257" w:rsidRPr="001005B7">
        <w:rPr>
          <w:rStyle w:val="FootnoteReference"/>
          <w:lang w:eastAsia="en-GB"/>
        </w:rPr>
        <w:footnoteReference w:id="33"/>
      </w:r>
      <w:r w:rsidR="009A3257" w:rsidRPr="001005B7">
        <w:rPr>
          <w:lang w:eastAsia="en-GB"/>
        </w:rPr>
        <w:t xml:space="preserve"> but it need not do so</w:t>
      </w:r>
      <w:r w:rsidR="00C23002" w:rsidRPr="001005B7">
        <w:rPr>
          <w:lang w:eastAsia="en-GB"/>
        </w:rPr>
        <w:t xml:space="preserve">. </w:t>
      </w:r>
      <w:r w:rsidRPr="001005B7">
        <w:rPr>
          <w:lang w:eastAsia="en-GB"/>
        </w:rPr>
        <w:t>And</w:t>
      </w:r>
      <w:r w:rsidR="009A3257" w:rsidRPr="001005B7">
        <w:rPr>
          <w:lang w:eastAsia="en-GB"/>
        </w:rPr>
        <w:t xml:space="preserve"> a diachronic reading </w:t>
      </w:r>
      <w:r w:rsidRPr="001005B7">
        <w:rPr>
          <w:lang w:eastAsia="en-GB"/>
        </w:rPr>
        <w:t xml:space="preserve">can </w:t>
      </w:r>
      <w:r w:rsidR="009A3257" w:rsidRPr="001005B7">
        <w:rPr>
          <w:lang w:eastAsia="en-GB"/>
        </w:rPr>
        <w:t xml:space="preserve">issue in dynamic theological statements, but </w:t>
      </w:r>
      <w:r w:rsidR="002176BC" w:rsidRPr="001005B7">
        <w:rPr>
          <w:lang w:eastAsia="en-GB"/>
        </w:rPr>
        <w:t>its</w:t>
      </w:r>
      <w:r w:rsidR="009A3257" w:rsidRPr="001005B7">
        <w:rPr>
          <w:lang w:eastAsia="en-GB"/>
        </w:rPr>
        <w:t xml:space="preserve"> hypothetical nature must imply the hypothetical nature of the statement</w:t>
      </w:r>
      <w:r w:rsidR="00B31757">
        <w:rPr>
          <w:lang w:eastAsia="en-GB"/>
        </w:rPr>
        <w:t>s</w:t>
      </w:r>
      <w:r w:rsidR="009A3257" w:rsidRPr="001005B7">
        <w:rPr>
          <w:lang w:eastAsia="en-GB"/>
        </w:rPr>
        <w:t>.</w:t>
      </w:r>
      <w:r w:rsidR="00984C1B" w:rsidRPr="001005B7">
        <w:rPr>
          <w:lang w:eastAsia="en-GB"/>
        </w:rPr>
        <w:t xml:space="preserve"> </w:t>
      </w:r>
      <w:r w:rsidR="008649D9">
        <w:rPr>
          <w:lang w:eastAsia="en-GB"/>
        </w:rPr>
        <w:t>While s</w:t>
      </w:r>
      <w:r w:rsidR="006A6104" w:rsidRPr="001005B7">
        <w:rPr>
          <w:lang w:eastAsia="en-GB"/>
        </w:rPr>
        <w:t>cholarly</w:t>
      </w:r>
      <w:r w:rsidR="00BA7AED" w:rsidRPr="001005B7">
        <w:rPr>
          <w:lang w:eastAsia="en-GB"/>
        </w:rPr>
        <w:t xml:space="preserve"> hypotheses </w:t>
      </w:r>
      <w:r w:rsidR="006A6104" w:rsidRPr="001005B7">
        <w:rPr>
          <w:lang w:eastAsia="en-GB"/>
        </w:rPr>
        <w:t xml:space="preserve">can draw attention to features of the text and contribute to understanding, </w:t>
      </w:r>
      <w:r w:rsidR="008F7D6B" w:rsidRPr="001005B7">
        <w:rPr>
          <w:lang w:eastAsia="en-GB"/>
        </w:rPr>
        <w:t>t</w:t>
      </w:r>
      <w:r w:rsidR="00180451" w:rsidRPr="001005B7">
        <w:rPr>
          <w:lang w:eastAsia="en-GB"/>
        </w:rPr>
        <w:t xml:space="preserve">here are no formal or empirical criteria for determining </w:t>
      </w:r>
      <w:r w:rsidR="00C46B8E" w:rsidRPr="001005B7">
        <w:rPr>
          <w:lang w:eastAsia="en-GB"/>
        </w:rPr>
        <w:t xml:space="preserve">whether they are right or </w:t>
      </w:r>
      <w:r w:rsidR="00180451" w:rsidRPr="001005B7">
        <w:rPr>
          <w:lang w:eastAsia="en-GB"/>
        </w:rPr>
        <w:t>wh</w:t>
      </w:r>
      <w:r w:rsidR="00C46B8E" w:rsidRPr="001005B7">
        <w:rPr>
          <w:lang w:eastAsia="en-GB"/>
        </w:rPr>
        <w:t>at</w:t>
      </w:r>
      <w:r w:rsidR="00180451" w:rsidRPr="001005B7">
        <w:rPr>
          <w:lang w:eastAsia="en-GB"/>
        </w:rPr>
        <w:t xml:space="preserve"> view of </w:t>
      </w:r>
      <w:r w:rsidR="001E5F24" w:rsidRPr="001005B7">
        <w:rPr>
          <w:lang w:eastAsia="en-GB"/>
        </w:rPr>
        <w:t xml:space="preserve">Ezekiel’s </w:t>
      </w:r>
      <w:r w:rsidR="00180451" w:rsidRPr="001005B7">
        <w:rPr>
          <w:lang w:eastAsia="en-GB"/>
        </w:rPr>
        <w:t>origin i</w:t>
      </w:r>
      <w:r w:rsidR="004F48E4" w:rsidRPr="001005B7">
        <w:rPr>
          <w:lang w:eastAsia="en-GB"/>
        </w:rPr>
        <w:t>s right</w:t>
      </w:r>
      <w:r w:rsidR="008F7D6B" w:rsidRPr="001005B7">
        <w:rPr>
          <w:lang w:eastAsia="en-GB"/>
        </w:rPr>
        <w:t xml:space="preserve">. </w:t>
      </w:r>
      <w:r w:rsidR="00C54029" w:rsidRPr="001005B7">
        <w:rPr>
          <w:lang w:eastAsia="en-GB"/>
        </w:rPr>
        <w:t>Resolving</w:t>
      </w:r>
      <w:r w:rsidR="005523DD" w:rsidRPr="001005B7">
        <w:rPr>
          <w:lang w:eastAsia="en-GB"/>
        </w:rPr>
        <w:t xml:space="preserve"> that question would enhance our understanding of the scroll</w:t>
      </w:r>
      <w:r w:rsidR="001E70A3" w:rsidRPr="001005B7">
        <w:rPr>
          <w:lang w:eastAsia="en-GB"/>
        </w:rPr>
        <w:t>, but we cannot definitively</w:t>
      </w:r>
      <w:r w:rsidR="002C642B" w:rsidRPr="001005B7">
        <w:rPr>
          <w:lang w:eastAsia="en-GB"/>
        </w:rPr>
        <w:t xml:space="preserve"> </w:t>
      </w:r>
      <w:r w:rsidR="001E70A3" w:rsidRPr="001005B7">
        <w:rPr>
          <w:lang w:eastAsia="en-GB"/>
        </w:rPr>
        <w:t>resolve it.</w:t>
      </w:r>
      <w:r w:rsidR="00987F45" w:rsidRPr="001005B7">
        <w:rPr>
          <w:lang w:eastAsia="en-GB"/>
        </w:rPr>
        <w:t xml:space="preserve"> </w:t>
      </w:r>
      <w:r w:rsidR="00F053DE" w:rsidRPr="001005B7">
        <w:rPr>
          <w:lang w:eastAsia="en-GB"/>
        </w:rPr>
        <w:t>We have a scroll invit</w:t>
      </w:r>
      <w:r w:rsidR="002C642B" w:rsidRPr="001005B7">
        <w:rPr>
          <w:lang w:eastAsia="en-GB"/>
        </w:rPr>
        <w:t>ing</w:t>
      </w:r>
      <w:r w:rsidR="00F053DE" w:rsidRPr="001005B7">
        <w:rPr>
          <w:lang w:eastAsia="en-GB"/>
        </w:rPr>
        <w:t xml:space="preserve"> </w:t>
      </w:r>
      <w:r w:rsidR="00FA4F70" w:rsidRPr="001005B7">
        <w:rPr>
          <w:lang w:eastAsia="en-GB"/>
        </w:rPr>
        <w:t>readers</w:t>
      </w:r>
      <w:r w:rsidR="00F053DE" w:rsidRPr="001005B7">
        <w:rPr>
          <w:lang w:eastAsia="en-GB"/>
        </w:rPr>
        <w:t xml:space="preserve"> to take it as </w:t>
      </w:r>
      <w:r w:rsidR="002C642B" w:rsidRPr="001005B7">
        <w:rPr>
          <w:lang w:eastAsia="en-GB"/>
        </w:rPr>
        <w:t xml:space="preserve">Ezekiel’s </w:t>
      </w:r>
      <w:r w:rsidR="00F053DE" w:rsidRPr="001005B7">
        <w:rPr>
          <w:lang w:eastAsia="en-GB"/>
        </w:rPr>
        <w:t xml:space="preserve">words, and I picture Ezekiel as </w:t>
      </w:r>
      <w:r w:rsidR="008978D4" w:rsidRPr="001005B7">
        <w:rPr>
          <w:lang w:eastAsia="en-GB"/>
        </w:rPr>
        <w:t>its</w:t>
      </w:r>
      <w:r w:rsidR="00F053DE" w:rsidRPr="001005B7">
        <w:rPr>
          <w:lang w:eastAsia="en-GB"/>
        </w:rPr>
        <w:t xml:space="preserve"> author</w:t>
      </w:r>
      <w:r w:rsidR="008978D4" w:rsidRPr="001005B7">
        <w:rPr>
          <w:lang w:eastAsia="en-GB"/>
        </w:rPr>
        <w:t xml:space="preserve"> (allowing for a curator doing some arrangement)</w:t>
      </w:r>
      <w:r w:rsidR="00054E92">
        <w:rPr>
          <w:lang w:eastAsia="en-GB"/>
        </w:rPr>
        <w:t xml:space="preserve">, without basing too much on that </w:t>
      </w:r>
      <w:r w:rsidR="009E195B">
        <w:rPr>
          <w:lang w:eastAsia="en-GB"/>
        </w:rPr>
        <w:t>picture</w:t>
      </w:r>
      <w:r w:rsidR="00F053DE" w:rsidRPr="001005B7">
        <w:rPr>
          <w:lang w:eastAsia="en-GB"/>
        </w:rPr>
        <w:t>.</w:t>
      </w:r>
      <w:r w:rsidR="000D2FCD" w:rsidRPr="001005B7">
        <w:rPr>
          <w:lang w:eastAsia="en-GB"/>
        </w:rPr>
        <w:t xml:space="preserve"> I will </w:t>
      </w:r>
      <w:r w:rsidR="009E195B">
        <w:rPr>
          <w:lang w:eastAsia="en-GB"/>
        </w:rPr>
        <w:t xml:space="preserve">thus </w:t>
      </w:r>
      <w:r w:rsidR="000D2FCD" w:rsidRPr="001005B7">
        <w:rPr>
          <w:lang w:eastAsia="en-GB"/>
        </w:rPr>
        <w:t xml:space="preserve">use the expression “Ezekiel says” without </w:t>
      </w:r>
      <w:r w:rsidR="005E65C4" w:rsidRPr="001005B7">
        <w:rPr>
          <w:lang w:eastAsia="en-GB"/>
        </w:rPr>
        <w:t xml:space="preserve">thinking that </w:t>
      </w:r>
      <w:r w:rsidR="005A5E0D" w:rsidRPr="001005B7">
        <w:rPr>
          <w:lang w:eastAsia="en-GB"/>
        </w:rPr>
        <w:t>comments</w:t>
      </w:r>
      <w:r w:rsidR="00374B46" w:rsidRPr="001005B7">
        <w:rPr>
          <w:lang w:eastAsia="en-GB"/>
        </w:rPr>
        <w:t xml:space="preserve"> it introduces </w:t>
      </w:r>
      <w:r w:rsidR="005A5E0D" w:rsidRPr="001005B7">
        <w:rPr>
          <w:lang w:eastAsia="en-GB"/>
        </w:rPr>
        <w:t>collapse if</w:t>
      </w:r>
      <w:r w:rsidR="000D2FCD" w:rsidRPr="001005B7">
        <w:rPr>
          <w:lang w:eastAsia="en-GB"/>
        </w:rPr>
        <w:t xml:space="preserve"> the verses in question came from</w:t>
      </w:r>
      <w:r w:rsidR="002747C8" w:rsidRPr="001005B7">
        <w:rPr>
          <w:lang w:eastAsia="en-GB"/>
        </w:rPr>
        <w:t xml:space="preserve"> a</w:t>
      </w:r>
      <w:r w:rsidR="009E195B">
        <w:rPr>
          <w:lang w:eastAsia="en-GB"/>
        </w:rPr>
        <w:t xml:space="preserve"> later</w:t>
      </w:r>
      <w:r w:rsidR="002747C8" w:rsidRPr="001005B7">
        <w:rPr>
          <w:lang w:eastAsia="en-GB"/>
        </w:rPr>
        <w:t xml:space="preserve"> associate rather than from</w:t>
      </w:r>
      <w:r w:rsidR="000D2FCD" w:rsidRPr="001005B7">
        <w:rPr>
          <w:lang w:eastAsia="en-GB"/>
        </w:rPr>
        <w:t xml:space="preserve"> him. </w:t>
      </w:r>
    </w:p>
    <w:p w14:paraId="128E65F3" w14:textId="43AB8423" w:rsidR="000D2FCD" w:rsidRPr="001005B7" w:rsidRDefault="000D2FCD" w:rsidP="00F21C9A">
      <w:pPr>
        <w:rPr>
          <w:lang w:eastAsia="en-GB"/>
        </w:rPr>
      </w:pPr>
      <w:r w:rsidRPr="001005B7">
        <w:rPr>
          <w:lang w:eastAsia="en-GB"/>
        </w:rPr>
        <w:t xml:space="preserve">Likewise, Ezekiel </w:t>
      </w:r>
      <w:r w:rsidR="00632DD2" w:rsidRPr="001005B7">
        <w:rPr>
          <w:lang w:eastAsia="en-GB"/>
        </w:rPr>
        <w:t>(</w:t>
      </w:r>
      <w:r w:rsidRPr="001005B7">
        <w:rPr>
          <w:lang w:eastAsia="en-GB"/>
        </w:rPr>
        <w:t>or an associate</w:t>
      </w:r>
      <w:r w:rsidR="00632DD2" w:rsidRPr="001005B7">
        <w:rPr>
          <w:lang w:eastAsia="en-GB"/>
        </w:rPr>
        <w:t>)</w:t>
      </w:r>
      <w:r w:rsidRPr="001005B7">
        <w:rPr>
          <w:lang w:eastAsia="en-GB"/>
        </w:rPr>
        <w:t xml:space="preserve"> will often say “Yahweh said to me,” and it is impossible to determine whether the words came into Ezekiel’s head direct from Yahweh or whether Ezekiel devised them with Yahweh working via his mental processes. The scroll simply invites people to accept these as Yahweh’s words</w:t>
      </w:r>
      <w:r w:rsidR="005963DC" w:rsidRPr="001005B7">
        <w:rPr>
          <w:lang w:eastAsia="en-GB"/>
        </w:rPr>
        <w:t>,</w:t>
      </w:r>
      <w:r w:rsidR="00875F75" w:rsidRPr="001005B7">
        <w:rPr>
          <w:lang w:eastAsia="en-GB"/>
        </w:rPr>
        <w:t xml:space="preserve"> and</w:t>
      </w:r>
      <w:r w:rsidR="005963DC" w:rsidRPr="001005B7">
        <w:rPr>
          <w:lang w:eastAsia="en-GB"/>
        </w:rPr>
        <w:t xml:space="preserve"> the Jewish and Christian communities </w:t>
      </w:r>
      <w:r w:rsidR="00803FF3" w:rsidRPr="001005B7">
        <w:rPr>
          <w:lang w:eastAsia="en-GB"/>
        </w:rPr>
        <w:t>accepted that invitation</w:t>
      </w:r>
      <w:r w:rsidRPr="001005B7">
        <w:rPr>
          <w:lang w:eastAsia="en-GB"/>
        </w:rPr>
        <w:t xml:space="preserve">. I will thus move between “Ezekiel says” and “Yahweh says.” “Ezekiel says” </w:t>
      </w:r>
      <w:r w:rsidR="00F3348D" w:rsidRPr="001005B7">
        <w:rPr>
          <w:lang w:eastAsia="en-GB"/>
        </w:rPr>
        <w:t xml:space="preserve">also </w:t>
      </w:r>
      <w:r w:rsidRPr="001005B7">
        <w:rPr>
          <w:lang w:eastAsia="en-GB"/>
        </w:rPr>
        <w:t>mean</w:t>
      </w:r>
      <w:r w:rsidR="00F3348D" w:rsidRPr="001005B7">
        <w:rPr>
          <w:lang w:eastAsia="en-GB"/>
        </w:rPr>
        <w:t>s</w:t>
      </w:r>
      <w:r w:rsidRPr="001005B7">
        <w:rPr>
          <w:lang w:eastAsia="en-GB"/>
        </w:rPr>
        <w:t xml:space="preserve"> “Yahweh says,” an</w:t>
      </w:r>
      <w:r w:rsidR="00F3348D" w:rsidRPr="001005B7">
        <w:rPr>
          <w:lang w:eastAsia="en-GB"/>
        </w:rPr>
        <w:t xml:space="preserve">d </w:t>
      </w:r>
      <w:r w:rsidRPr="001005B7">
        <w:rPr>
          <w:lang w:eastAsia="en-GB"/>
        </w:rPr>
        <w:t xml:space="preserve">“Yahweh says” </w:t>
      </w:r>
      <w:r w:rsidR="00F3348D" w:rsidRPr="001005B7">
        <w:rPr>
          <w:lang w:eastAsia="en-GB"/>
        </w:rPr>
        <w:t>also</w:t>
      </w:r>
      <w:r w:rsidRPr="001005B7">
        <w:rPr>
          <w:lang w:eastAsia="en-GB"/>
        </w:rPr>
        <w:t xml:space="preserve"> mean</w:t>
      </w:r>
      <w:r w:rsidR="00F3348D" w:rsidRPr="001005B7">
        <w:rPr>
          <w:lang w:eastAsia="en-GB"/>
        </w:rPr>
        <w:t>s</w:t>
      </w:r>
      <w:r w:rsidRPr="001005B7">
        <w:rPr>
          <w:lang w:eastAsia="en-GB"/>
        </w:rPr>
        <w:t xml:space="preserve"> “Ezekiel says.” I will refer to Ezekiel’s hearers as well as his readers, aware that originally he communicated by speaking</w:t>
      </w:r>
      <w:r w:rsidR="00D13C67" w:rsidRPr="001005B7">
        <w:rPr>
          <w:lang w:eastAsia="en-GB"/>
        </w:rPr>
        <w:t xml:space="preserve"> but later by writing</w:t>
      </w:r>
      <w:r w:rsidR="0037393E">
        <w:rPr>
          <w:lang w:eastAsia="en-GB"/>
        </w:rPr>
        <w:t xml:space="preserve">. </w:t>
      </w:r>
      <w:r w:rsidR="008D4E5C">
        <w:rPr>
          <w:lang w:eastAsia="en-GB"/>
        </w:rPr>
        <w:t>And I am also aware</w:t>
      </w:r>
      <w:r w:rsidR="00853747" w:rsidRPr="001005B7">
        <w:rPr>
          <w:lang w:eastAsia="en-GB"/>
        </w:rPr>
        <w:t xml:space="preserve"> that the</w:t>
      </w:r>
      <w:r w:rsidRPr="001005B7">
        <w:rPr>
          <w:lang w:eastAsia="en-GB"/>
        </w:rPr>
        <w:t xml:space="preserve"> scroll was designed to be read</w:t>
      </w:r>
      <w:r w:rsidR="000754D8" w:rsidRPr="001005B7">
        <w:rPr>
          <w:lang w:eastAsia="en-GB"/>
        </w:rPr>
        <w:t xml:space="preserve"> out</w:t>
      </w:r>
      <w:r w:rsidR="008D4E5C">
        <w:rPr>
          <w:lang w:eastAsia="en-GB"/>
        </w:rPr>
        <w:t>, and further that h</w:t>
      </w:r>
      <w:r w:rsidRPr="001005B7">
        <w:rPr>
          <w:lang w:eastAsia="en-GB"/>
        </w:rPr>
        <w:t xml:space="preserve">ardly </w:t>
      </w:r>
      <w:r w:rsidR="000775BB" w:rsidRPr="001005B7">
        <w:rPr>
          <w:lang w:eastAsia="en-GB"/>
        </w:rPr>
        <w:t xml:space="preserve">a </w:t>
      </w:r>
      <w:r w:rsidRPr="001005B7">
        <w:rPr>
          <w:lang w:eastAsia="en-GB"/>
        </w:rPr>
        <w:t>Jew or Christian would possess a copy</w:t>
      </w:r>
      <w:r w:rsidR="00A74B19" w:rsidRPr="001005B7">
        <w:rPr>
          <w:lang w:eastAsia="en-GB"/>
        </w:rPr>
        <w:t xml:space="preserve"> until recent centuries</w:t>
      </w:r>
      <w:r w:rsidR="006D6093" w:rsidRPr="001005B7">
        <w:rPr>
          <w:lang w:eastAsia="en-GB"/>
        </w:rPr>
        <w:t xml:space="preserve">, so that most people became acquainted with it by hearing it read, not by reading it for themselves. </w:t>
      </w:r>
      <w:r w:rsidR="00D35DAD">
        <w:rPr>
          <w:lang w:eastAsia="en-GB"/>
        </w:rPr>
        <w:t>Indeed, e</w:t>
      </w:r>
      <w:r w:rsidRPr="001005B7">
        <w:rPr>
          <w:lang w:eastAsia="en-GB"/>
        </w:rPr>
        <w:t xml:space="preserve">ven in the context of modernity, </w:t>
      </w:r>
      <w:r w:rsidR="00EE6B73" w:rsidRPr="001005B7">
        <w:rPr>
          <w:lang w:eastAsia="en-GB"/>
        </w:rPr>
        <w:t xml:space="preserve">most </w:t>
      </w:r>
      <w:r w:rsidRPr="001005B7">
        <w:rPr>
          <w:lang w:eastAsia="en-GB"/>
        </w:rPr>
        <w:t xml:space="preserve">acquaintance with Ezekiel </w:t>
      </w:r>
      <w:r w:rsidR="007D4B3C" w:rsidRPr="001005B7">
        <w:rPr>
          <w:lang w:eastAsia="en-GB"/>
        </w:rPr>
        <w:t>comes</w:t>
      </w:r>
      <w:r w:rsidRPr="001005B7">
        <w:rPr>
          <w:lang w:eastAsia="en-GB"/>
        </w:rPr>
        <w:t xml:space="preserve"> through hearing it read, in synagogue or in church. Ezekiel ha</w:t>
      </w:r>
      <w:r w:rsidR="009018FC" w:rsidRPr="001005B7">
        <w:rPr>
          <w:lang w:eastAsia="en-GB"/>
        </w:rPr>
        <w:t>s always had</w:t>
      </w:r>
      <w:r w:rsidRPr="001005B7">
        <w:rPr>
          <w:lang w:eastAsia="en-GB"/>
        </w:rPr>
        <w:t xml:space="preserve"> </w:t>
      </w:r>
      <w:r w:rsidR="00125EDB" w:rsidRPr="001005B7">
        <w:rPr>
          <w:lang w:eastAsia="en-GB"/>
        </w:rPr>
        <w:t xml:space="preserve">more </w:t>
      </w:r>
      <w:r w:rsidRPr="001005B7">
        <w:rPr>
          <w:lang w:eastAsia="en-GB"/>
        </w:rPr>
        <w:t xml:space="preserve">hearers </w:t>
      </w:r>
      <w:r w:rsidR="00125EDB" w:rsidRPr="001005B7">
        <w:rPr>
          <w:lang w:eastAsia="en-GB"/>
        </w:rPr>
        <w:t>than</w:t>
      </w:r>
      <w:r w:rsidRPr="001005B7">
        <w:rPr>
          <w:lang w:eastAsia="en-GB"/>
        </w:rPr>
        <w:t xml:space="preserve"> readers</w:t>
      </w:r>
      <w:r w:rsidR="009018FC" w:rsidRPr="001005B7">
        <w:rPr>
          <w:lang w:eastAsia="en-GB"/>
        </w:rPr>
        <w:t>. I</w:t>
      </w:r>
      <w:r w:rsidRPr="001005B7">
        <w:rPr>
          <w:lang w:eastAsia="en-GB"/>
        </w:rPr>
        <w:t>t has been so throughout history.</w:t>
      </w:r>
    </w:p>
    <w:p w14:paraId="145D2CFB" w14:textId="11C2DC71" w:rsidR="00152AF4" w:rsidRPr="001005B7" w:rsidRDefault="00152AF4" w:rsidP="00493833">
      <w:pPr>
        <w:pStyle w:val="Heading3"/>
      </w:pPr>
      <w:r w:rsidRPr="001005B7">
        <w:t>The Text</w:t>
      </w:r>
      <w:r w:rsidR="00080AD4" w:rsidRPr="001005B7">
        <w:t xml:space="preserve"> of the Scroll</w:t>
      </w:r>
    </w:p>
    <w:p w14:paraId="6510F712" w14:textId="7433C2FB" w:rsidR="0056105C" w:rsidRPr="001005B7" w:rsidRDefault="0071124D" w:rsidP="00E366E4">
      <w:r w:rsidRPr="001005B7">
        <w:t>T</w:t>
      </w:r>
      <w:r w:rsidR="00751C78" w:rsidRPr="001005B7">
        <w:t xml:space="preserve">hree main </w:t>
      </w:r>
      <w:r w:rsidR="00152AF4" w:rsidRPr="001005B7">
        <w:t>form</w:t>
      </w:r>
      <w:r w:rsidR="00545B79" w:rsidRPr="001005B7">
        <w:t>s</w:t>
      </w:r>
      <w:r w:rsidR="00152AF4" w:rsidRPr="001005B7">
        <w:t xml:space="preserve"> of the text </w:t>
      </w:r>
      <w:r w:rsidRPr="001005B7">
        <w:t>of Ezekiel</w:t>
      </w:r>
      <w:r w:rsidR="00152AF4" w:rsidRPr="001005B7">
        <w:t xml:space="preserve"> exist today</w:t>
      </w:r>
      <w:r w:rsidR="00C02A9A" w:rsidRPr="001005B7">
        <w:t>,</w:t>
      </w:r>
      <w:r w:rsidR="0075501A" w:rsidRPr="001005B7">
        <w:rPr>
          <w:rStyle w:val="FootnoteReference"/>
        </w:rPr>
        <w:footnoteReference w:id="34"/>
      </w:r>
      <w:r w:rsidR="007B3B08" w:rsidRPr="001005B7">
        <w:t xml:space="preserve"> </w:t>
      </w:r>
      <w:r w:rsidR="00C02A9A" w:rsidRPr="001005B7">
        <w:t>though t</w:t>
      </w:r>
      <w:r w:rsidR="007B3B08" w:rsidRPr="001005B7">
        <w:t>he</w:t>
      </w:r>
      <w:r w:rsidR="00152AF4" w:rsidRPr="001005B7">
        <w:t xml:space="preserve"> differences between them</w:t>
      </w:r>
      <w:r w:rsidR="00777AC1" w:rsidRPr="001005B7">
        <w:t xml:space="preserve"> </w:t>
      </w:r>
      <w:r w:rsidR="00C00174" w:rsidRPr="001005B7">
        <w:t>are</w:t>
      </w:r>
      <w:r w:rsidR="00152AF4" w:rsidRPr="001005B7">
        <w:t xml:space="preserve"> </w:t>
      </w:r>
      <w:r w:rsidR="00DF0C54">
        <w:t xml:space="preserve">again </w:t>
      </w:r>
      <w:r w:rsidR="009E1612" w:rsidRPr="001005B7">
        <w:t xml:space="preserve">a little </w:t>
      </w:r>
      <w:r w:rsidR="00152AF4" w:rsidRPr="001005B7">
        <w:t xml:space="preserve">like the differences between </w:t>
      </w:r>
      <w:r w:rsidR="00FB69DE" w:rsidRPr="001005B7">
        <w:t xml:space="preserve">modern </w:t>
      </w:r>
      <w:r w:rsidR="00152AF4" w:rsidRPr="001005B7">
        <w:t>translations</w:t>
      </w:r>
      <w:r w:rsidR="00511813" w:rsidRPr="001005B7">
        <w:rPr>
          <w:i/>
          <w:iCs/>
        </w:rPr>
        <w:t xml:space="preserve"> </w:t>
      </w:r>
      <w:r w:rsidR="00E15ED2" w:rsidRPr="001005B7">
        <w:t xml:space="preserve">(so the invention of the printing </w:t>
      </w:r>
      <w:r w:rsidR="007B3B08" w:rsidRPr="001005B7">
        <w:t>p</w:t>
      </w:r>
      <w:r w:rsidR="00E15ED2" w:rsidRPr="001005B7">
        <w:t>ress didn’t make so much difference)</w:t>
      </w:r>
      <w:r w:rsidR="00C02A9A" w:rsidRPr="001005B7">
        <w:t>,</w:t>
      </w:r>
      <w:r w:rsidR="00785AC2" w:rsidRPr="001005B7">
        <w:t xml:space="preserve"> and</w:t>
      </w:r>
      <w:r w:rsidR="00107626" w:rsidRPr="001005B7">
        <w:t xml:space="preserve"> they</w:t>
      </w:r>
      <w:r w:rsidR="00785AC2" w:rsidRPr="001005B7">
        <w:t xml:space="preserve"> </w:t>
      </w:r>
      <w:r w:rsidR="00B23942">
        <w:t xml:space="preserve">thus </w:t>
      </w:r>
      <w:r w:rsidR="00152AF4" w:rsidRPr="001005B7">
        <w:t>don’t imply</w:t>
      </w:r>
      <w:r w:rsidR="00245457" w:rsidRPr="001005B7">
        <w:t xml:space="preserve"> significant</w:t>
      </w:r>
      <w:r w:rsidR="00152AF4" w:rsidRPr="001005B7">
        <w:t xml:space="preserve"> differences over the </w:t>
      </w:r>
      <w:r w:rsidR="00777AC1" w:rsidRPr="001005B7">
        <w:t>substance</w:t>
      </w:r>
      <w:r w:rsidR="00152AF4" w:rsidRPr="001005B7">
        <w:t xml:space="preserve"> of the </w:t>
      </w:r>
      <w:r w:rsidR="00DB5007" w:rsidRPr="001005B7">
        <w:t>scroll</w:t>
      </w:r>
      <w:r w:rsidR="00152AF4" w:rsidRPr="001005B7">
        <w:t>.</w:t>
      </w:r>
      <w:r w:rsidR="008526C6" w:rsidRPr="001005B7">
        <w:t xml:space="preserve"> With </w:t>
      </w:r>
      <w:r w:rsidR="00E31592" w:rsidRPr="001005B7">
        <w:t>translations</w:t>
      </w:r>
      <w:r w:rsidR="008526C6" w:rsidRPr="001005B7">
        <w:t xml:space="preserve">, </w:t>
      </w:r>
      <w:r w:rsidR="00D26261" w:rsidRPr="001005B7">
        <w:t>there are</w:t>
      </w:r>
      <w:r w:rsidR="008526C6" w:rsidRPr="001005B7">
        <w:t xml:space="preserve"> traditions such as KJV</w:t>
      </w:r>
      <w:r w:rsidR="00E31592" w:rsidRPr="001005B7">
        <w:t>—ASV</w:t>
      </w:r>
      <w:r w:rsidR="00175F0B" w:rsidRPr="001005B7">
        <w:t>—</w:t>
      </w:r>
      <w:r w:rsidR="002D7178" w:rsidRPr="001005B7">
        <w:rPr>
          <w:sz w:val="18"/>
          <w:szCs w:val="18"/>
        </w:rPr>
        <w:t xml:space="preserve"> NRSV</w:t>
      </w:r>
      <w:r w:rsidR="00175F0B" w:rsidRPr="001005B7">
        <w:t xml:space="preserve">, </w:t>
      </w:r>
      <w:r w:rsidR="00514B01" w:rsidRPr="001005B7">
        <w:t xml:space="preserve">the </w:t>
      </w:r>
      <w:r w:rsidR="001D0C37" w:rsidRPr="001005B7">
        <w:t xml:space="preserve">various editions of the </w:t>
      </w:r>
      <w:r w:rsidR="00175F0B" w:rsidRPr="001005B7">
        <w:rPr>
          <w:sz w:val="18"/>
          <w:szCs w:val="18"/>
        </w:rPr>
        <w:t>NIV</w:t>
      </w:r>
      <w:r w:rsidR="00175F0B" w:rsidRPr="001005B7">
        <w:t>, the Jer</w:t>
      </w:r>
      <w:r w:rsidR="000A2125" w:rsidRPr="001005B7">
        <w:t>usalem Bible—New Jerusalem</w:t>
      </w:r>
      <w:r w:rsidR="00384220" w:rsidRPr="001005B7">
        <w:t xml:space="preserve"> Bible, </w:t>
      </w:r>
      <w:r w:rsidR="004F7EE1" w:rsidRPr="001005B7">
        <w:t xml:space="preserve">and </w:t>
      </w:r>
      <w:r w:rsidR="00384220" w:rsidRPr="001005B7">
        <w:t>the NJPS</w:t>
      </w:r>
      <w:r w:rsidR="000A2125" w:rsidRPr="001005B7">
        <w:t xml:space="preserve"> Bible</w:t>
      </w:r>
      <w:r w:rsidR="00167FBB" w:rsidRPr="001005B7">
        <w:t>, each of which represented a fresh start in Bible translation.</w:t>
      </w:r>
      <w:r w:rsidR="000A2125" w:rsidRPr="001005B7">
        <w:t xml:space="preserve"> </w:t>
      </w:r>
      <w:r w:rsidR="008B57F7" w:rsidRPr="001005B7">
        <w:t>With the</w:t>
      </w:r>
      <w:r w:rsidR="00D43B2C" w:rsidRPr="001005B7">
        <w:t xml:space="preserve"> text of the </w:t>
      </w:r>
      <w:r w:rsidR="003E7F31" w:rsidRPr="001005B7">
        <w:t>First Testament</w:t>
      </w:r>
      <w:r w:rsidR="00D43B2C" w:rsidRPr="001005B7">
        <w:t xml:space="preserve">, </w:t>
      </w:r>
      <w:r w:rsidR="008B57F7" w:rsidRPr="001005B7">
        <w:t>t</w:t>
      </w:r>
      <w:r w:rsidR="00152AF4" w:rsidRPr="001005B7">
        <w:t xml:space="preserve">he </w:t>
      </w:r>
      <w:r w:rsidR="00C7499E" w:rsidRPr="001005B7">
        <w:t>main</w:t>
      </w:r>
      <w:r w:rsidR="00152AF4" w:rsidRPr="001005B7">
        <w:t xml:space="preserve"> traditions are</w:t>
      </w:r>
      <w:r w:rsidR="00F05A0E" w:rsidRPr="001005B7">
        <w:t xml:space="preserve"> t</w:t>
      </w:r>
      <w:r w:rsidR="00152AF4" w:rsidRPr="001005B7">
        <w:t>he Masoretic Text</w:t>
      </w:r>
      <w:r w:rsidR="00F05A0E" w:rsidRPr="001005B7">
        <w:t>, t</w:t>
      </w:r>
      <w:r w:rsidR="00152AF4" w:rsidRPr="001005B7">
        <w:t>he Septuagint</w:t>
      </w:r>
      <w:r w:rsidR="00F05A0E" w:rsidRPr="001005B7">
        <w:t>, and t</w:t>
      </w:r>
      <w:r w:rsidR="00152AF4" w:rsidRPr="001005B7">
        <w:t>he text reconstructed by scholarly study</w:t>
      </w:r>
      <w:r w:rsidR="007779F8" w:rsidRPr="001005B7">
        <w:t>, each of which has se</w:t>
      </w:r>
      <w:r w:rsidR="00D33AE0" w:rsidRPr="001005B7">
        <w:t>veral sub-versions</w:t>
      </w:r>
      <w:r w:rsidR="00B36FF5" w:rsidRPr="001005B7">
        <w:t xml:space="preserve">. </w:t>
      </w:r>
    </w:p>
    <w:p w14:paraId="56E35FF4" w14:textId="10CDD1D5" w:rsidR="0056105C" w:rsidRPr="001005B7" w:rsidRDefault="0056105C" w:rsidP="0056105C">
      <w:r w:rsidRPr="001005B7">
        <w:t xml:space="preserve">The standard source for the text </w:t>
      </w:r>
      <w:r w:rsidR="00B2537B" w:rsidRPr="001005B7">
        <w:t xml:space="preserve">of Ezekiel </w:t>
      </w:r>
      <w:r w:rsidRPr="001005B7">
        <w:t xml:space="preserve">reconstructed by scholarly study is </w:t>
      </w:r>
      <w:r w:rsidRPr="001005B7">
        <w:rPr>
          <w:i/>
          <w:iCs/>
        </w:rPr>
        <w:t xml:space="preserve">Biblical Hebraica </w:t>
      </w:r>
      <w:proofErr w:type="spellStart"/>
      <w:r w:rsidRPr="001005B7">
        <w:rPr>
          <w:i/>
          <w:iCs/>
        </w:rPr>
        <w:t>Stuttgartensia</w:t>
      </w:r>
      <w:proofErr w:type="spellEnd"/>
      <w:r w:rsidRPr="001005B7">
        <w:t xml:space="preserve"> or </w:t>
      </w:r>
      <w:r w:rsidRPr="001005B7">
        <w:rPr>
          <w:i/>
          <w:iCs/>
        </w:rPr>
        <w:t>BHS</w:t>
      </w:r>
      <w:r w:rsidR="00EB1D4E" w:rsidRPr="001005B7">
        <w:t xml:space="preserve">, edited </w:t>
      </w:r>
      <w:r w:rsidR="00B2537B" w:rsidRPr="001005B7">
        <w:t xml:space="preserve">by Karl </w:t>
      </w:r>
      <w:proofErr w:type="spellStart"/>
      <w:r w:rsidR="00B2537B" w:rsidRPr="001005B7">
        <w:t>Elliger</w:t>
      </w:r>
      <w:proofErr w:type="spellEnd"/>
      <w:r w:rsidRPr="001005B7">
        <w:t xml:space="preserve">. </w:t>
      </w:r>
      <w:r w:rsidR="00CA191A" w:rsidRPr="001005B7">
        <w:t>I</w:t>
      </w:r>
      <w:r w:rsidRPr="001005B7">
        <w:t xml:space="preserve">t prints </w:t>
      </w:r>
      <w:r w:rsidRPr="001005B7">
        <w:rPr>
          <w:sz w:val="18"/>
          <w:szCs w:val="18"/>
        </w:rPr>
        <w:t>MT</w:t>
      </w:r>
      <w:r w:rsidRPr="001005B7">
        <w:t xml:space="preserve">, </w:t>
      </w:r>
      <w:r w:rsidR="00CA191A" w:rsidRPr="001005B7">
        <w:t xml:space="preserve">but </w:t>
      </w:r>
      <w:r w:rsidRPr="001005B7">
        <w:t>in the margin notes ways in which one should emend the text</w:t>
      </w:r>
      <w:r w:rsidR="00C104B1">
        <w:t>,</w:t>
      </w:r>
      <w:r w:rsidRPr="001005B7">
        <w:t xml:space="preserve"> as well as possible variants from other editions of the text and from the ancient translations. </w:t>
      </w:r>
      <w:r w:rsidR="00E71D9D" w:rsidRPr="001005B7">
        <w:t xml:space="preserve">By the time this commentary is published, </w:t>
      </w:r>
      <w:r w:rsidR="00E71D9D" w:rsidRPr="001005B7">
        <w:rPr>
          <w:i/>
          <w:iCs/>
        </w:rPr>
        <w:t>BHS</w:t>
      </w:r>
      <w:r w:rsidR="00E71D9D" w:rsidRPr="001005B7">
        <w:t xml:space="preserve"> Ezekiel may have been </w:t>
      </w:r>
      <w:r w:rsidR="00146339" w:rsidRPr="001005B7">
        <w:t>rep</w:t>
      </w:r>
      <w:r w:rsidR="008B7CB8" w:rsidRPr="001005B7">
        <w:t>l</w:t>
      </w:r>
      <w:r w:rsidR="00146339" w:rsidRPr="001005B7">
        <w:t xml:space="preserve">aced </w:t>
      </w:r>
      <w:r w:rsidR="008B7CB8" w:rsidRPr="001005B7">
        <w:t>by</w:t>
      </w:r>
      <w:r w:rsidR="00C104B1">
        <w:t xml:space="preserve"> the</w:t>
      </w:r>
      <w:r w:rsidR="008B7CB8" w:rsidRPr="001005B7">
        <w:t xml:space="preserve"> </w:t>
      </w:r>
      <w:r w:rsidR="008B7CB8" w:rsidRPr="001005B7">
        <w:rPr>
          <w:i/>
          <w:iCs/>
        </w:rPr>
        <w:t>Biblia Hebraica Quinta</w:t>
      </w:r>
      <w:r w:rsidR="00EB1D4E" w:rsidRPr="001005B7">
        <w:t xml:space="preserve"> </w:t>
      </w:r>
      <w:r w:rsidR="00C104B1">
        <w:t xml:space="preserve">text </w:t>
      </w:r>
      <w:r w:rsidR="00EB1D4E" w:rsidRPr="001005B7">
        <w:t>edited by Johan Lust.</w:t>
      </w:r>
      <w:r w:rsidR="00B2537B" w:rsidRPr="001005B7">
        <w:t xml:space="preserve"> </w:t>
      </w:r>
      <w:r w:rsidR="002F48D4" w:rsidRPr="001005B7">
        <w:t xml:space="preserve">In due course, </w:t>
      </w:r>
      <w:r w:rsidR="00B54113" w:rsidRPr="001005B7">
        <w:t xml:space="preserve">a </w:t>
      </w:r>
      <w:r w:rsidR="002F48D4" w:rsidRPr="001005B7">
        <w:t>more radica</w:t>
      </w:r>
      <w:r w:rsidR="00B54113" w:rsidRPr="001005B7">
        <w:t>l version of the scholarly tradition will be</w:t>
      </w:r>
      <w:r w:rsidR="00D009E4" w:rsidRPr="001005B7">
        <w:t xml:space="preserve"> the </w:t>
      </w:r>
      <w:r w:rsidR="00C4132E" w:rsidRPr="001005B7">
        <w:t>text</w:t>
      </w:r>
      <w:r w:rsidR="00D009E4" w:rsidRPr="001005B7">
        <w:t xml:space="preserve"> of Ezekiel in</w:t>
      </w:r>
      <w:r w:rsidR="005E2709" w:rsidRPr="001005B7">
        <w:t xml:space="preserve"> </w:t>
      </w:r>
      <w:r w:rsidR="009263C4" w:rsidRPr="001005B7">
        <w:rPr>
          <w:i/>
          <w:iCs/>
        </w:rPr>
        <w:t>The</w:t>
      </w:r>
      <w:r w:rsidR="009263C4" w:rsidRPr="001005B7">
        <w:t xml:space="preserve"> </w:t>
      </w:r>
      <w:r w:rsidR="009263C4" w:rsidRPr="001005B7">
        <w:rPr>
          <w:i/>
          <w:iCs/>
        </w:rPr>
        <w:t>Hebrew</w:t>
      </w:r>
      <w:r w:rsidR="009263C4" w:rsidRPr="001005B7">
        <w:t xml:space="preserve"> </w:t>
      </w:r>
      <w:r w:rsidR="009263C4" w:rsidRPr="001005B7">
        <w:rPr>
          <w:i/>
          <w:iCs/>
        </w:rPr>
        <w:t>Bible</w:t>
      </w:r>
      <w:r w:rsidR="009263C4" w:rsidRPr="001005B7">
        <w:t>:</w:t>
      </w:r>
      <w:r w:rsidR="00E54036" w:rsidRPr="001005B7">
        <w:t xml:space="preserve"> </w:t>
      </w:r>
      <w:r w:rsidR="00E54036" w:rsidRPr="001005B7">
        <w:rPr>
          <w:i/>
          <w:iCs/>
        </w:rPr>
        <w:t>A</w:t>
      </w:r>
      <w:r w:rsidR="009263C4" w:rsidRPr="001005B7">
        <w:t xml:space="preserve"> </w:t>
      </w:r>
      <w:r w:rsidR="009263C4" w:rsidRPr="001005B7">
        <w:rPr>
          <w:i/>
          <w:iCs/>
        </w:rPr>
        <w:t>Critical</w:t>
      </w:r>
      <w:r w:rsidR="009263C4" w:rsidRPr="001005B7">
        <w:t xml:space="preserve"> </w:t>
      </w:r>
      <w:r w:rsidR="009263C4" w:rsidRPr="001005B7">
        <w:rPr>
          <w:i/>
          <w:iCs/>
        </w:rPr>
        <w:t>Edition</w:t>
      </w:r>
      <w:r w:rsidR="00E54036" w:rsidRPr="001005B7">
        <w:rPr>
          <w:i/>
          <w:iCs/>
        </w:rPr>
        <w:t xml:space="preserve"> </w:t>
      </w:r>
      <w:r w:rsidR="00E54036" w:rsidRPr="001005B7">
        <w:t xml:space="preserve">(originally </w:t>
      </w:r>
      <w:r w:rsidR="00243F07" w:rsidRPr="001005B7">
        <w:t xml:space="preserve">entitled </w:t>
      </w:r>
      <w:r w:rsidR="00243F07" w:rsidRPr="001005B7">
        <w:rPr>
          <w:i/>
          <w:iCs/>
        </w:rPr>
        <w:t>The Oxford Hebrew Bible</w:t>
      </w:r>
      <w:r w:rsidR="00243F07" w:rsidRPr="001005B7">
        <w:t>)</w:t>
      </w:r>
      <w:r w:rsidR="009263C4" w:rsidRPr="001005B7">
        <w:t xml:space="preserve">. </w:t>
      </w:r>
      <w:r w:rsidR="005E2709" w:rsidRPr="001005B7">
        <w:t>It</w:t>
      </w:r>
      <w:r w:rsidR="00D009E4" w:rsidRPr="001005B7">
        <w:t xml:space="preserve"> will </w:t>
      </w:r>
      <w:r w:rsidR="00A70C66" w:rsidRPr="001005B7">
        <w:t>be a</w:t>
      </w:r>
      <w:r w:rsidR="004C1D4F" w:rsidRPr="001005B7">
        <w:t>n eclectic text</w:t>
      </w:r>
      <w:r w:rsidR="00A70C66" w:rsidRPr="001005B7">
        <w:t xml:space="preserve"> </w:t>
      </w:r>
      <w:r w:rsidR="005E3FF6" w:rsidRPr="001005B7">
        <w:t xml:space="preserve">more </w:t>
      </w:r>
      <w:r w:rsidR="00A70C66" w:rsidRPr="001005B7">
        <w:t>like edit</w:t>
      </w:r>
      <w:r w:rsidR="00CF0BCD" w:rsidRPr="001005B7">
        <w:t>i</w:t>
      </w:r>
      <w:r w:rsidR="00A70C66" w:rsidRPr="001005B7">
        <w:t>ons of the Greek New Testament</w:t>
      </w:r>
      <w:r w:rsidR="00CF2160" w:rsidRPr="001005B7">
        <w:t xml:space="preserve">, </w:t>
      </w:r>
      <w:r w:rsidR="00A70C66" w:rsidRPr="001005B7">
        <w:t xml:space="preserve">not </w:t>
      </w:r>
      <w:r w:rsidR="005E2709" w:rsidRPr="001005B7">
        <w:t xml:space="preserve">simply </w:t>
      </w:r>
      <w:r w:rsidR="00A70C66" w:rsidRPr="001005B7">
        <w:t>reproduc</w:t>
      </w:r>
      <w:r w:rsidR="005E2709" w:rsidRPr="001005B7">
        <w:t>ing</w:t>
      </w:r>
      <w:r w:rsidR="00CF0BCD" w:rsidRPr="001005B7">
        <w:t xml:space="preserve"> the Masoretic Text but</w:t>
      </w:r>
      <w:r w:rsidR="006C7278" w:rsidRPr="001005B7">
        <w:t xml:space="preserve"> seek</w:t>
      </w:r>
      <w:r w:rsidR="005F2AFC" w:rsidRPr="001005B7">
        <w:t>ing</w:t>
      </w:r>
      <w:r w:rsidR="006C7278" w:rsidRPr="001005B7">
        <w:t xml:space="preserve"> to construct the text </w:t>
      </w:r>
      <w:r w:rsidR="00F41FE8" w:rsidRPr="001005B7">
        <w:t>underl</w:t>
      </w:r>
      <w:r w:rsidR="0073385E" w:rsidRPr="001005B7">
        <w:t>ying</w:t>
      </w:r>
      <w:r w:rsidR="00F41FE8" w:rsidRPr="001005B7">
        <w:t xml:space="preserve"> </w:t>
      </w:r>
      <w:r w:rsidR="006C7278" w:rsidRPr="001005B7">
        <w:t xml:space="preserve">all available textual </w:t>
      </w:r>
      <w:r w:rsidR="002333AF" w:rsidRPr="001005B7">
        <w:t>resources in the way that a critical commentary does</w:t>
      </w:r>
      <w:r w:rsidR="00BE0EC5" w:rsidRPr="001005B7">
        <w:t>, and possibly printing different ancient versions of the text in parallel</w:t>
      </w:r>
      <w:r w:rsidR="002333AF" w:rsidRPr="001005B7">
        <w:t>.</w:t>
      </w:r>
      <w:r w:rsidR="0073385E" w:rsidRPr="001005B7">
        <w:rPr>
          <w:rStyle w:val="FootnoteReference"/>
        </w:rPr>
        <w:footnoteReference w:id="35"/>
      </w:r>
    </w:p>
    <w:p w14:paraId="233959E8" w14:textId="3B4BFD3A" w:rsidR="00B40C4D" w:rsidRPr="001005B7" w:rsidRDefault="00D33AE0" w:rsidP="00E366E4">
      <w:pPr>
        <w:rPr>
          <w:rFonts w:ascii="Calibri" w:hAnsi="Calibri" w:cs="Calibri"/>
        </w:rPr>
      </w:pPr>
      <w:r w:rsidRPr="001005B7">
        <w:t>T</w:t>
      </w:r>
      <w:r w:rsidR="00D24E09" w:rsidRPr="001005B7">
        <w:t>he</w:t>
      </w:r>
      <w:r w:rsidR="00E4638B" w:rsidRPr="001005B7">
        <w:t xml:space="preserve"> </w:t>
      </w:r>
      <w:r w:rsidR="00D24E09" w:rsidRPr="001005B7">
        <w:t xml:space="preserve">text in the </w:t>
      </w:r>
      <w:r w:rsidR="00F05A0E" w:rsidRPr="001005B7">
        <w:t>Qumran</w:t>
      </w:r>
      <w:r w:rsidR="00735CB9">
        <w:t xml:space="preserve"> and </w:t>
      </w:r>
      <w:r w:rsidR="00A84B2A" w:rsidRPr="001005B7">
        <w:t>Masada</w:t>
      </w:r>
      <w:r w:rsidR="00D24E09" w:rsidRPr="001005B7">
        <w:t xml:space="preserve"> scrolls</w:t>
      </w:r>
      <w:r w:rsidR="00A84B2A" w:rsidRPr="001005B7">
        <w:t xml:space="preserve"> is</w:t>
      </w:r>
      <w:r w:rsidR="00353241" w:rsidRPr="001005B7">
        <w:t xml:space="preserve"> a thousand years older than </w:t>
      </w:r>
      <w:r w:rsidR="000A2F5E" w:rsidRPr="001005B7">
        <w:rPr>
          <w:sz w:val="18"/>
          <w:szCs w:val="18"/>
        </w:rPr>
        <w:t>MT</w:t>
      </w:r>
      <w:r w:rsidR="00D24E09" w:rsidRPr="001005B7">
        <w:t xml:space="preserve">, </w:t>
      </w:r>
      <w:r w:rsidR="00A9422F" w:rsidRPr="001005B7">
        <w:rPr>
          <w:rFonts w:ascii="Calibri" w:hAnsi="Calibri" w:cs="Calibri"/>
        </w:rPr>
        <w:t>but</w:t>
      </w:r>
      <w:r w:rsidR="00D24E09" w:rsidRPr="001005B7">
        <w:rPr>
          <w:rFonts w:ascii="Calibri" w:hAnsi="Calibri" w:cs="Calibri"/>
        </w:rPr>
        <w:t xml:space="preserve"> </w:t>
      </w:r>
      <w:r w:rsidR="002F24B6" w:rsidRPr="001005B7">
        <w:rPr>
          <w:rFonts w:ascii="Calibri" w:hAnsi="Calibri" w:cs="Calibri"/>
        </w:rPr>
        <w:t>there are only a few</w:t>
      </w:r>
      <w:r w:rsidR="00D24E09" w:rsidRPr="001005B7">
        <w:rPr>
          <w:rFonts w:ascii="Calibri" w:hAnsi="Calibri" w:cs="Calibri"/>
        </w:rPr>
        <w:t xml:space="preserve"> </w:t>
      </w:r>
      <w:r w:rsidR="00F57985" w:rsidRPr="001005B7">
        <w:rPr>
          <w:rFonts w:ascii="Calibri" w:hAnsi="Calibri" w:cs="Calibri"/>
        </w:rPr>
        <w:t xml:space="preserve">readable </w:t>
      </w:r>
      <w:r w:rsidR="00D24E09" w:rsidRPr="001005B7">
        <w:rPr>
          <w:rFonts w:ascii="Calibri" w:hAnsi="Calibri" w:cs="Calibri"/>
        </w:rPr>
        <w:t xml:space="preserve">fragments </w:t>
      </w:r>
      <w:r w:rsidR="002F24B6" w:rsidRPr="001005B7">
        <w:rPr>
          <w:rFonts w:ascii="Calibri" w:hAnsi="Calibri" w:cs="Calibri"/>
        </w:rPr>
        <w:t>of Ezekiel</w:t>
      </w:r>
      <w:r w:rsidR="0073564E" w:rsidRPr="001005B7">
        <w:rPr>
          <w:rFonts w:ascii="Calibri" w:hAnsi="Calibri" w:cs="Calibri"/>
        </w:rPr>
        <w:t>, manifesting</w:t>
      </w:r>
      <w:r w:rsidR="00266367" w:rsidRPr="001005B7">
        <w:rPr>
          <w:rFonts w:ascii="Calibri" w:hAnsi="Calibri" w:cs="Calibri"/>
        </w:rPr>
        <w:t xml:space="preserve"> only very slight differences from </w:t>
      </w:r>
      <w:r w:rsidR="00381DA7" w:rsidRPr="001005B7">
        <w:rPr>
          <w:sz w:val="18"/>
          <w:szCs w:val="18"/>
        </w:rPr>
        <w:t>MT</w:t>
      </w:r>
      <w:r w:rsidR="002F24B6" w:rsidRPr="001005B7">
        <w:rPr>
          <w:rFonts w:ascii="Calibri" w:hAnsi="Calibri" w:cs="Calibri"/>
        </w:rPr>
        <w:t>.</w:t>
      </w:r>
      <w:r w:rsidR="00E366E4" w:rsidRPr="001005B7">
        <w:rPr>
          <w:rFonts w:ascii="Calibri" w:hAnsi="Calibri" w:cs="Calibri"/>
        </w:rPr>
        <w:t xml:space="preserve"> </w:t>
      </w:r>
      <w:r w:rsidR="00DA09C7" w:rsidRPr="001005B7">
        <w:t>We</w:t>
      </w:r>
      <w:r w:rsidR="00E70F93" w:rsidRPr="001005B7">
        <w:t xml:space="preserve"> have</w:t>
      </w:r>
      <w:r w:rsidR="004E2965" w:rsidRPr="001005B7">
        <w:t xml:space="preserve"> some</w:t>
      </w:r>
      <w:r w:rsidR="00E70F93" w:rsidRPr="001005B7">
        <w:t xml:space="preserve"> fragments </w:t>
      </w:r>
      <w:r w:rsidR="00171687" w:rsidRPr="001005B7">
        <w:t xml:space="preserve">older than </w:t>
      </w:r>
      <w:r w:rsidR="004C07E0" w:rsidRPr="001005B7">
        <w:rPr>
          <w:sz w:val="18"/>
          <w:szCs w:val="18"/>
        </w:rPr>
        <w:t>MT</w:t>
      </w:r>
      <w:r w:rsidR="00E70F93" w:rsidRPr="001005B7">
        <w:t xml:space="preserve"> from the Cairo </w:t>
      </w:r>
      <w:proofErr w:type="spellStart"/>
      <w:r w:rsidR="00E70F93" w:rsidRPr="001005B7">
        <w:t>Geniza</w:t>
      </w:r>
      <w:proofErr w:type="spellEnd"/>
      <w:r w:rsidR="006C02AB" w:rsidRPr="001005B7">
        <w:t xml:space="preserve">, </w:t>
      </w:r>
      <w:r w:rsidR="00E70F93" w:rsidRPr="001005B7">
        <w:t xml:space="preserve">the </w:t>
      </w:r>
      <w:r w:rsidR="00171687" w:rsidRPr="001005B7">
        <w:t>stor</w:t>
      </w:r>
      <w:r w:rsidR="00B620DF" w:rsidRPr="001005B7">
        <w:t>er</w:t>
      </w:r>
      <w:r w:rsidR="00171687" w:rsidRPr="001005B7">
        <w:t xml:space="preserve">oom at the </w:t>
      </w:r>
      <w:r w:rsidR="00E70F93" w:rsidRPr="001005B7">
        <w:t>Cairo synagogue</w:t>
      </w:r>
      <w:r w:rsidR="00D85A82" w:rsidRPr="001005B7">
        <w:t xml:space="preserve">. </w:t>
      </w:r>
      <w:r w:rsidR="00705A93" w:rsidRPr="001005B7">
        <w:t xml:space="preserve">When </w:t>
      </w:r>
      <w:r w:rsidR="009C581E" w:rsidRPr="001005B7">
        <w:rPr>
          <w:i/>
          <w:iCs/>
        </w:rPr>
        <w:t>BHS</w:t>
      </w:r>
      <w:r w:rsidR="00DB180C" w:rsidRPr="001005B7">
        <w:t xml:space="preserve">, </w:t>
      </w:r>
      <w:r w:rsidR="00705A93" w:rsidRPr="001005B7">
        <w:t xml:space="preserve">modern </w:t>
      </w:r>
      <w:r w:rsidR="00DB180C" w:rsidRPr="001005B7">
        <w:t>translations</w:t>
      </w:r>
      <w:r w:rsidR="00705A93" w:rsidRPr="001005B7">
        <w:t>,</w:t>
      </w:r>
      <w:r w:rsidR="009C581E" w:rsidRPr="001005B7">
        <w:t xml:space="preserve"> </w:t>
      </w:r>
      <w:r w:rsidR="006B7EED" w:rsidRPr="001005B7">
        <w:t xml:space="preserve">and commentaries </w:t>
      </w:r>
      <w:r w:rsidR="009C581E" w:rsidRPr="001005B7">
        <w:t xml:space="preserve">refer to readings in </w:t>
      </w:r>
      <w:r w:rsidR="006B7EED" w:rsidRPr="001005B7">
        <w:t xml:space="preserve">other Hebrew manuscripts, </w:t>
      </w:r>
      <w:r w:rsidR="006B473B" w:rsidRPr="001005B7">
        <w:t>these are</w:t>
      </w:r>
      <w:r w:rsidR="00DB180C" w:rsidRPr="001005B7">
        <w:t xml:space="preserve"> </w:t>
      </w:r>
      <w:r w:rsidR="0011739B">
        <w:t xml:space="preserve">mostly </w:t>
      </w:r>
      <w:r w:rsidR="005326BD" w:rsidRPr="001005B7">
        <w:t xml:space="preserve">manuscripts later than </w:t>
      </w:r>
      <w:r w:rsidR="00381DA7" w:rsidRPr="001005B7">
        <w:rPr>
          <w:sz w:val="18"/>
          <w:szCs w:val="18"/>
        </w:rPr>
        <w:t>MT</w:t>
      </w:r>
      <w:r w:rsidR="00D978A8" w:rsidRPr="001005B7">
        <w:t xml:space="preserve"> </w:t>
      </w:r>
      <w:r w:rsidR="002F3D1E" w:rsidRPr="001005B7">
        <w:t>that are likely</w:t>
      </w:r>
      <w:r w:rsidR="002C6078" w:rsidRPr="001005B7">
        <w:t xml:space="preserve"> to have come into being after </w:t>
      </w:r>
      <w:r w:rsidR="00381DA7" w:rsidRPr="001005B7">
        <w:rPr>
          <w:sz w:val="18"/>
          <w:szCs w:val="18"/>
        </w:rPr>
        <w:t>MT</w:t>
      </w:r>
      <w:r w:rsidR="002C6078" w:rsidRPr="001005B7">
        <w:t xml:space="preserve"> </w:t>
      </w:r>
      <w:r w:rsidR="002F543C" w:rsidRPr="001005B7">
        <w:t xml:space="preserve">and </w:t>
      </w:r>
      <w:r w:rsidR="008C7F4A" w:rsidRPr="001005B7">
        <w:t xml:space="preserve">are </w:t>
      </w:r>
      <w:r w:rsidR="003127C6" w:rsidRPr="001005B7">
        <w:t>un</w:t>
      </w:r>
      <w:r w:rsidR="002F543C" w:rsidRPr="001005B7">
        <w:t xml:space="preserve">likely very often to be </w:t>
      </w:r>
      <w:r w:rsidR="002C6078" w:rsidRPr="001005B7">
        <w:t xml:space="preserve">preserving readings older than </w:t>
      </w:r>
      <w:r w:rsidR="00381DA7" w:rsidRPr="001005B7">
        <w:rPr>
          <w:sz w:val="18"/>
          <w:szCs w:val="18"/>
        </w:rPr>
        <w:t>MT</w:t>
      </w:r>
      <w:r w:rsidR="002C6078" w:rsidRPr="001005B7">
        <w:t>.</w:t>
      </w:r>
    </w:p>
    <w:p w14:paraId="5E9DBA7B" w14:textId="49C212AD" w:rsidR="00700F96" w:rsidRPr="001005B7" w:rsidRDefault="00152AF4" w:rsidP="00DF103F">
      <w:r w:rsidRPr="001005B7">
        <w:rPr>
          <w:rFonts w:ascii="Calibri" w:hAnsi="Calibri" w:cs="Calibri"/>
        </w:rPr>
        <w:t xml:space="preserve">Our oldest copies of the </w:t>
      </w:r>
      <w:r w:rsidR="0011686E" w:rsidRPr="001005B7">
        <w:rPr>
          <w:rFonts w:ascii="Calibri" w:hAnsi="Calibri" w:cs="Calibri"/>
        </w:rPr>
        <w:t xml:space="preserve">complete </w:t>
      </w:r>
      <w:r w:rsidRPr="001005B7">
        <w:rPr>
          <w:rFonts w:ascii="Calibri" w:hAnsi="Calibri" w:cs="Calibri"/>
        </w:rPr>
        <w:t>Hebrew text of Ezekiel</w:t>
      </w:r>
      <w:r w:rsidR="002F3D1E" w:rsidRPr="001005B7">
        <w:rPr>
          <w:rFonts w:ascii="Calibri" w:hAnsi="Calibri" w:cs="Calibri"/>
        </w:rPr>
        <w:t>, then,</w:t>
      </w:r>
      <w:r w:rsidRPr="001005B7">
        <w:rPr>
          <w:rFonts w:ascii="Calibri" w:hAnsi="Calibri" w:cs="Calibri"/>
        </w:rPr>
        <w:t xml:space="preserve"> are in the </w:t>
      </w:r>
      <w:r w:rsidR="00ED641F" w:rsidRPr="001005B7">
        <w:rPr>
          <w:rFonts w:ascii="Calibri" w:hAnsi="Calibri" w:cs="Calibri"/>
        </w:rPr>
        <w:t>copies of the Masoretic Text,</w:t>
      </w:r>
      <w:r w:rsidR="00D877C6" w:rsidRPr="001005B7">
        <w:rPr>
          <w:rFonts w:ascii="Calibri" w:hAnsi="Calibri" w:cs="Calibri"/>
        </w:rPr>
        <w:t xml:space="preserve"> </w:t>
      </w:r>
      <w:r w:rsidR="002E2B38">
        <w:rPr>
          <w:rFonts w:ascii="Calibri" w:hAnsi="Calibri" w:cs="Calibri"/>
        </w:rPr>
        <w:t xml:space="preserve">from between about </w:t>
      </w:r>
      <w:r w:rsidR="009125EB" w:rsidRPr="001005B7">
        <w:rPr>
          <w:rFonts w:ascii="Calibri" w:hAnsi="Calibri" w:cs="Calibri"/>
          <w:sz w:val="18"/>
          <w:szCs w:val="18"/>
        </w:rPr>
        <w:t>AD</w:t>
      </w:r>
      <w:r w:rsidR="009125EB" w:rsidRPr="001005B7">
        <w:rPr>
          <w:rFonts w:ascii="Calibri" w:hAnsi="Calibri" w:cs="Calibri"/>
        </w:rPr>
        <w:t xml:space="preserve"> </w:t>
      </w:r>
      <w:r w:rsidR="002E2B38">
        <w:rPr>
          <w:rFonts w:ascii="Calibri" w:hAnsi="Calibri" w:cs="Calibri"/>
        </w:rPr>
        <w:t>900 and 1100</w:t>
      </w:r>
      <w:r w:rsidR="009125EB">
        <w:rPr>
          <w:rFonts w:ascii="Calibri" w:hAnsi="Calibri" w:cs="Calibri"/>
        </w:rPr>
        <w:t>,</w:t>
      </w:r>
      <w:r w:rsidR="002E2B38">
        <w:rPr>
          <w:rFonts w:ascii="Calibri" w:hAnsi="Calibri" w:cs="Calibri"/>
        </w:rPr>
        <w:t xml:space="preserve"> </w:t>
      </w:r>
      <w:r w:rsidR="00F643D4" w:rsidRPr="001005B7">
        <w:rPr>
          <w:rFonts w:ascii="Calibri" w:hAnsi="Calibri" w:cs="Calibri"/>
        </w:rPr>
        <w:t>of which the most complete or most famous</w:t>
      </w:r>
      <w:r w:rsidR="00B61EBD" w:rsidRPr="001005B7">
        <w:rPr>
          <w:rFonts w:ascii="Calibri" w:hAnsi="Calibri" w:cs="Calibri"/>
        </w:rPr>
        <w:t>,</w:t>
      </w:r>
      <w:r w:rsidR="00870DBA">
        <w:rPr>
          <w:rFonts w:ascii="Calibri" w:hAnsi="Calibri" w:cs="Calibri"/>
        </w:rPr>
        <w:t xml:space="preserve"> mostly made in Tiberias but</w:t>
      </w:r>
      <w:r w:rsidR="00B8067A" w:rsidRPr="001005B7">
        <w:rPr>
          <w:rFonts w:ascii="Calibri" w:hAnsi="Calibri" w:cs="Calibri"/>
        </w:rPr>
        <w:t xml:space="preserve"> </w:t>
      </w:r>
      <w:r w:rsidR="009057E8" w:rsidRPr="001005B7">
        <w:rPr>
          <w:rFonts w:ascii="Calibri" w:hAnsi="Calibri" w:cs="Calibri"/>
        </w:rPr>
        <w:t>named after where they were long kept</w:t>
      </w:r>
      <w:r w:rsidR="00B61EBD" w:rsidRPr="001005B7">
        <w:rPr>
          <w:rFonts w:ascii="Calibri" w:hAnsi="Calibri" w:cs="Calibri"/>
        </w:rPr>
        <w:t>, are</w:t>
      </w:r>
      <w:r w:rsidR="002E6E8F" w:rsidRPr="001005B7">
        <w:rPr>
          <w:rFonts w:ascii="Calibri" w:hAnsi="Calibri" w:cs="Calibri"/>
        </w:rPr>
        <w:t xml:space="preserve"> </w:t>
      </w:r>
      <w:r w:rsidR="00D877C6" w:rsidRPr="001005B7">
        <w:rPr>
          <w:rFonts w:ascii="Calibri" w:hAnsi="Calibri" w:cs="Calibri"/>
        </w:rPr>
        <w:t xml:space="preserve">the </w:t>
      </w:r>
      <w:r w:rsidRPr="001005B7">
        <w:rPr>
          <w:rFonts w:ascii="Calibri" w:hAnsi="Calibri" w:cs="Calibri"/>
        </w:rPr>
        <w:t>Aleppo Codex</w:t>
      </w:r>
      <w:r w:rsidR="00786AAB" w:rsidRPr="001005B7">
        <w:rPr>
          <w:rFonts w:ascii="Calibri" w:hAnsi="Calibri" w:cs="Calibri"/>
        </w:rPr>
        <w:t xml:space="preserve">, </w:t>
      </w:r>
      <w:r w:rsidR="00786AAB" w:rsidRPr="001005B7">
        <w:rPr>
          <w:sz w:val="18"/>
          <w:szCs w:val="18"/>
        </w:rPr>
        <w:t>MT</w:t>
      </w:r>
      <w:r w:rsidR="00786AAB" w:rsidRPr="001005B7">
        <w:rPr>
          <w:rFonts w:ascii="Calibri" w:hAnsi="Calibri" w:cs="Calibri"/>
          <w:vertAlign w:val="superscript"/>
        </w:rPr>
        <w:t xml:space="preserve"> A</w:t>
      </w:r>
      <w:r w:rsidR="00D877C6" w:rsidRPr="001005B7">
        <w:rPr>
          <w:rFonts w:ascii="Calibri" w:hAnsi="Calibri" w:cs="Calibri"/>
        </w:rPr>
        <w:t xml:space="preserve">, </w:t>
      </w:r>
      <w:r w:rsidRPr="001005B7">
        <w:rPr>
          <w:rFonts w:ascii="Calibri" w:hAnsi="Calibri" w:cs="Calibri"/>
        </w:rPr>
        <w:t>the Len</w:t>
      </w:r>
      <w:r w:rsidR="00D55BC3" w:rsidRPr="001005B7">
        <w:rPr>
          <w:rFonts w:ascii="Calibri" w:hAnsi="Calibri" w:cs="Calibri"/>
        </w:rPr>
        <w:t>in</w:t>
      </w:r>
      <w:r w:rsidRPr="001005B7">
        <w:rPr>
          <w:rFonts w:ascii="Calibri" w:hAnsi="Calibri" w:cs="Calibri"/>
        </w:rPr>
        <w:t>grad Codex</w:t>
      </w:r>
      <w:r w:rsidR="000979A9" w:rsidRPr="001005B7">
        <w:rPr>
          <w:rFonts w:ascii="Calibri" w:hAnsi="Calibri" w:cs="Calibri"/>
        </w:rPr>
        <w:t xml:space="preserve">, </w:t>
      </w:r>
      <w:r w:rsidR="000979A9" w:rsidRPr="001005B7">
        <w:rPr>
          <w:sz w:val="18"/>
          <w:szCs w:val="18"/>
        </w:rPr>
        <w:t>MT</w:t>
      </w:r>
      <w:r w:rsidR="000979A9" w:rsidRPr="001005B7">
        <w:rPr>
          <w:rFonts w:ascii="Calibri" w:hAnsi="Calibri" w:cs="Calibri"/>
          <w:vertAlign w:val="superscript"/>
        </w:rPr>
        <w:t xml:space="preserve"> L</w:t>
      </w:r>
      <w:r w:rsidR="009420C1" w:rsidRPr="001005B7">
        <w:rPr>
          <w:rFonts w:ascii="Calibri" w:hAnsi="Calibri" w:cs="Calibri"/>
        </w:rPr>
        <w:t xml:space="preserve">, </w:t>
      </w:r>
      <w:r w:rsidR="006D0D34" w:rsidRPr="001005B7">
        <w:rPr>
          <w:rFonts w:ascii="Calibri" w:hAnsi="Calibri" w:cs="Calibri"/>
        </w:rPr>
        <w:t>t</w:t>
      </w:r>
      <w:r w:rsidR="00833613" w:rsidRPr="001005B7">
        <w:rPr>
          <w:rFonts w:ascii="Calibri" w:hAnsi="Calibri" w:cs="Calibri"/>
        </w:rPr>
        <w:t>he Cairo Codex</w:t>
      </w:r>
      <w:r w:rsidR="000979A9" w:rsidRPr="001005B7">
        <w:rPr>
          <w:rFonts w:ascii="Calibri" w:hAnsi="Calibri" w:cs="Calibri"/>
        </w:rPr>
        <w:t xml:space="preserve">, </w:t>
      </w:r>
      <w:r w:rsidR="000979A9" w:rsidRPr="001005B7">
        <w:rPr>
          <w:sz w:val="18"/>
          <w:szCs w:val="18"/>
        </w:rPr>
        <w:t>MT</w:t>
      </w:r>
      <w:r w:rsidR="000979A9" w:rsidRPr="001005B7">
        <w:rPr>
          <w:rFonts w:ascii="Calibri" w:hAnsi="Calibri" w:cs="Calibri"/>
          <w:vertAlign w:val="superscript"/>
        </w:rPr>
        <w:t xml:space="preserve"> C</w:t>
      </w:r>
      <w:r w:rsidR="00BE0EC4">
        <w:rPr>
          <w:rFonts w:ascii="Calibri" w:hAnsi="Calibri" w:cs="Calibri"/>
        </w:rPr>
        <w:t>, and the Reuchlin Codex</w:t>
      </w:r>
      <w:r w:rsidR="00870DBA">
        <w:rPr>
          <w:rFonts w:ascii="Calibri" w:hAnsi="Calibri" w:cs="Calibri"/>
        </w:rPr>
        <w:t xml:space="preserve">, </w:t>
      </w:r>
      <w:r w:rsidR="00870DBA" w:rsidRPr="001005B7">
        <w:rPr>
          <w:sz w:val="18"/>
          <w:szCs w:val="18"/>
        </w:rPr>
        <w:t>MT</w:t>
      </w:r>
      <w:r w:rsidR="00870DBA">
        <w:rPr>
          <w:rFonts w:ascii="Calibri" w:hAnsi="Calibri" w:cs="Calibri"/>
          <w:vertAlign w:val="superscript"/>
        </w:rPr>
        <w:t>R</w:t>
      </w:r>
      <w:r w:rsidR="00234E62" w:rsidRPr="001005B7">
        <w:rPr>
          <w:rFonts w:ascii="Calibri" w:hAnsi="Calibri" w:cs="Calibri"/>
        </w:rPr>
        <w:t xml:space="preserve">. </w:t>
      </w:r>
      <w:r w:rsidR="00B17377" w:rsidRPr="001005B7">
        <w:rPr>
          <w:sz w:val="18"/>
          <w:szCs w:val="18"/>
        </w:rPr>
        <w:t>MT</w:t>
      </w:r>
      <w:r w:rsidR="00B17377" w:rsidRPr="001005B7">
        <w:rPr>
          <w:rFonts w:ascii="Calibri" w:hAnsi="Calibri" w:cs="Calibri"/>
          <w:vertAlign w:val="superscript"/>
        </w:rPr>
        <w:t xml:space="preserve"> A</w:t>
      </w:r>
      <w:r w:rsidR="00B17377" w:rsidRPr="001005B7">
        <w:rPr>
          <w:rFonts w:ascii="Calibri" w:hAnsi="Calibri" w:cs="Calibri"/>
        </w:rPr>
        <w:t xml:space="preserve"> is in print in </w:t>
      </w:r>
      <w:r w:rsidR="00B17377" w:rsidRPr="001005B7">
        <w:rPr>
          <w:rFonts w:ascii="Calibri" w:hAnsi="Calibri" w:cs="Calibri"/>
          <w:i/>
          <w:iCs/>
        </w:rPr>
        <w:t>HUB</w:t>
      </w:r>
      <w:r w:rsidR="00B17377" w:rsidRPr="001005B7">
        <w:rPr>
          <w:rFonts w:ascii="Calibri" w:hAnsi="Calibri" w:cs="Calibri"/>
        </w:rPr>
        <w:t xml:space="preserve">, </w:t>
      </w:r>
      <w:r w:rsidR="00B17377" w:rsidRPr="001005B7">
        <w:rPr>
          <w:sz w:val="18"/>
          <w:szCs w:val="18"/>
        </w:rPr>
        <w:t>MT</w:t>
      </w:r>
      <w:r w:rsidR="00B17377" w:rsidRPr="001005B7">
        <w:rPr>
          <w:rFonts w:ascii="Calibri" w:hAnsi="Calibri" w:cs="Calibri"/>
          <w:vertAlign w:val="superscript"/>
        </w:rPr>
        <w:t xml:space="preserve"> L</w:t>
      </w:r>
      <w:r w:rsidR="00B17377" w:rsidRPr="001005B7">
        <w:rPr>
          <w:rFonts w:ascii="Calibri" w:hAnsi="Calibri" w:cs="Calibri"/>
        </w:rPr>
        <w:t xml:space="preserve"> in </w:t>
      </w:r>
      <w:r w:rsidR="00B17377" w:rsidRPr="001005B7">
        <w:rPr>
          <w:rFonts w:ascii="Calibri" w:hAnsi="Calibri" w:cs="Calibri"/>
          <w:i/>
          <w:iCs/>
        </w:rPr>
        <w:t>BHS</w:t>
      </w:r>
      <w:r w:rsidR="00B17377" w:rsidRPr="001005B7">
        <w:rPr>
          <w:rFonts w:ascii="Calibri" w:hAnsi="Calibri" w:cs="Calibri"/>
        </w:rPr>
        <w:t xml:space="preserve">, and the texts are also available online. </w:t>
      </w:r>
      <w:r w:rsidR="009420C1" w:rsidRPr="001005B7">
        <w:rPr>
          <w:rFonts w:ascii="Calibri" w:hAnsi="Calibri" w:cs="Calibri"/>
        </w:rPr>
        <w:t>They</w:t>
      </w:r>
      <w:r w:rsidRPr="001005B7">
        <w:rPr>
          <w:rFonts w:ascii="Calibri" w:hAnsi="Calibri" w:cs="Calibri"/>
        </w:rPr>
        <w:t xml:space="preserve"> issue</w:t>
      </w:r>
      <w:r w:rsidR="009420C1" w:rsidRPr="001005B7">
        <w:rPr>
          <w:rFonts w:ascii="Calibri" w:hAnsi="Calibri" w:cs="Calibri"/>
        </w:rPr>
        <w:t>d</w:t>
      </w:r>
      <w:r w:rsidRPr="001005B7">
        <w:rPr>
          <w:rFonts w:ascii="Calibri" w:hAnsi="Calibri" w:cs="Calibri"/>
        </w:rPr>
        <w:t xml:space="preserve"> from the work of Jewish scholars who had been guarding the traditional </w:t>
      </w:r>
      <w:r w:rsidR="00321E2A" w:rsidRPr="001005B7">
        <w:rPr>
          <w:rFonts w:ascii="Calibri" w:hAnsi="Calibri" w:cs="Calibri"/>
        </w:rPr>
        <w:t xml:space="preserve">consonantal </w:t>
      </w:r>
      <w:r w:rsidRPr="001005B7">
        <w:rPr>
          <w:rFonts w:ascii="Calibri" w:hAnsi="Calibri" w:cs="Calibri"/>
        </w:rPr>
        <w:t>text</w:t>
      </w:r>
      <w:r w:rsidR="006376A1" w:rsidRPr="001005B7">
        <w:rPr>
          <w:rFonts w:ascii="Calibri" w:hAnsi="Calibri" w:cs="Calibri"/>
        </w:rPr>
        <w:t>, its vocalization,</w:t>
      </w:r>
      <w:r w:rsidRPr="001005B7">
        <w:rPr>
          <w:rFonts w:ascii="Calibri" w:hAnsi="Calibri" w:cs="Calibri"/>
        </w:rPr>
        <w:t xml:space="preserve"> </w:t>
      </w:r>
      <w:r w:rsidR="00354464" w:rsidRPr="001005B7">
        <w:rPr>
          <w:rFonts w:ascii="Calibri" w:hAnsi="Calibri" w:cs="Calibri"/>
        </w:rPr>
        <w:t>and the notes preserv</w:t>
      </w:r>
      <w:r w:rsidR="005F5458" w:rsidRPr="001005B7">
        <w:rPr>
          <w:rFonts w:ascii="Calibri" w:hAnsi="Calibri" w:cs="Calibri"/>
        </w:rPr>
        <w:t>ing</w:t>
      </w:r>
      <w:r w:rsidR="00354464" w:rsidRPr="001005B7">
        <w:rPr>
          <w:rFonts w:ascii="Calibri" w:hAnsi="Calibri" w:cs="Calibri"/>
        </w:rPr>
        <w:t xml:space="preserve"> </w:t>
      </w:r>
      <w:r w:rsidR="006376A1" w:rsidRPr="001005B7">
        <w:rPr>
          <w:rFonts w:ascii="Calibri" w:hAnsi="Calibri" w:cs="Calibri"/>
        </w:rPr>
        <w:t xml:space="preserve">other </w:t>
      </w:r>
      <w:r w:rsidR="007B6AB7" w:rsidRPr="001005B7">
        <w:rPr>
          <w:rFonts w:ascii="Calibri" w:hAnsi="Calibri" w:cs="Calibri"/>
        </w:rPr>
        <w:t>aspects</w:t>
      </w:r>
      <w:r w:rsidR="00354464" w:rsidRPr="001005B7">
        <w:rPr>
          <w:rFonts w:ascii="Calibri" w:hAnsi="Calibri" w:cs="Calibri"/>
        </w:rPr>
        <w:t xml:space="preserve"> </w:t>
      </w:r>
      <w:r w:rsidR="00B07F56" w:rsidRPr="001005B7">
        <w:rPr>
          <w:rFonts w:ascii="Calibri" w:hAnsi="Calibri" w:cs="Calibri"/>
        </w:rPr>
        <w:t xml:space="preserve">of </w:t>
      </w:r>
      <w:r w:rsidR="00354464" w:rsidRPr="001005B7">
        <w:rPr>
          <w:rFonts w:ascii="Calibri" w:hAnsi="Calibri" w:cs="Calibri"/>
        </w:rPr>
        <w:t xml:space="preserve">its interpretation </w:t>
      </w:r>
      <w:r w:rsidR="00894776" w:rsidRPr="001005B7">
        <w:rPr>
          <w:rFonts w:ascii="Calibri" w:hAnsi="Calibri" w:cs="Calibri"/>
        </w:rPr>
        <w:t>through</w:t>
      </w:r>
      <w:r w:rsidRPr="001005B7">
        <w:rPr>
          <w:rFonts w:ascii="Calibri" w:hAnsi="Calibri" w:cs="Calibri"/>
        </w:rPr>
        <w:t xml:space="preserve"> the centuries</w:t>
      </w:r>
      <w:r w:rsidR="00B07F56" w:rsidRPr="001005B7">
        <w:rPr>
          <w:rFonts w:ascii="Calibri" w:hAnsi="Calibri" w:cs="Calibri"/>
        </w:rPr>
        <w:t xml:space="preserve"> following</w:t>
      </w:r>
      <w:r w:rsidRPr="001005B7">
        <w:rPr>
          <w:rFonts w:ascii="Calibri" w:hAnsi="Calibri" w:cs="Calibri"/>
        </w:rPr>
        <w:t xml:space="preserve"> </w:t>
      </w:r>
      <w:r w:rsidR="009D0F28" w:rsidRPr="001005B7">
        <w:rPr>
          <w:rFonts w:ascii="Calibri" w:hAnsi="Calibri" w:cs="Calibri"/>
        </w:rPr>
        <w:t xml:space="preserve">the </w:t>
      </w:r>
      <w:r w:rsidR="00B07F56" w:rsidRPr="001005B7">
        <w:rPr>
          <w:rFonts w:ascii="Calibri" w:hAnsi="Calibri" w:cs="Calibri"/>
        </w:rPr>
        <w:t xml:space="preserve">temple </w:t>
      </w:r>
      <w:r w:rsidR="009D0F28" w:rsidRPr="001005B7">
        <w:rPr>
          <w:rFonts w:ascii="Calibri" w:hAnsi="Calibri" w:cs="Calibri"/>
        </w:rPr>
        <w:t xml:space="preserve">destruction </w:t>
      </w:r>
      <w:r w:rsidRPr="001005B7">
        <w:rPr>
          <w:rFonts w:ascii="Calibri" w:hAnsi="Calibri" w:cs="Calibri"/>
        </w:rPr>
        <w:t xml:space="preserve">in </w:t>
      </w:r>
      <w:r w:rsidRPr="001005B7">
        <w:rPr>
          <w:rFonts w:ascii="Calibri" w:hAnsi="Calibri" w:cs="Calibri"/>
          <w:sz w:val="18"/>
          <w:szCs w:val="18"/>
        </w:rPr>
        <w:t>AD</w:t>
      </w:r>
      <w:r w:rsidRPr="001005B7">
        <w:rPr>
          <w:rFonts w:ascii="Calibri" w:hAnsi="Calibri" w:cs="Calibri"/>
        </w:rPr>
        <w:t xml:space="preserve"> 70. </w:t>
      </w:r>
      <w:r w:rsidR="00A32AC4" w:rsidRPr="001005B7">
        <w:rPr>
          <w:rFonts w:ascii="Calibri" w:hAnsi="Calibri" w:cs="Calibri"/>
        </w:rPr>
        <w:t xml:space="preserve">This preserving </w:t>
      </w:r>
      <w:r w:rsidR="008E51D1" w:rsidRPr="001005B7">
        <w:rPr>
          <w:rFonts w:ascii="Calibri" w:hAnsi="Calibri" w:cs="Calibri"/>
        </w:rPr>
        <w:t xml:space="preserve">could </w:t>
      </w:r>
      <w:r w:rsidR="00A32AC4" w:rsidRPr="001005B7">
        <w:rPr>
          <w:rFonts w:ascii="Calibri" w:hAnsi="Calibri" w:cs="Calibri"/>
        </w:rPr>
        <w:t>incl</w:t>
      </w:r>
      <w:r w:rsidR="00E96B90" w:rsidRPr="001005B7">
        <w:rPr>
          <w:rFonts w:ascii="Calibri" w:hAnsi="Calibri" w:cs="Calibri"/>
        </w:rPr>
        <w:t>ude two versions of particular words</w:t>
      </w:r>
      <w:r w:rsidR="00A469FE" w:rsidRPr="001005B7">
        <w:rPr>
          <w:rFonts w:ascii="Calibri" w:hAnsi="Calibri" w:cs="Calibri"/>
        </w:rPr>
        <w:t xml:space="preserve"> in</w:t>
      </w:r>
      <w:r w:rsidR="00E96B90" w:rsidRPr="001005B7">
        <w:rPr>
          <w:rFonts w:ascii="Calibri" w:hAnsi="Calibri" w:cs="Calibri"/>
        </w:rPr>
        <w:t xml:space="preserve"> the</w:t>
      </w:r>
      <w:r w:rsidR="00A469FE" w:rsidRPr="001005B7">
        <w:rPr>
          <w:rFonts w:ascii="Calibri" w:hAnsi="Calibri" w:cs="Calibri"/>
        </w:rPr>
        <w:t xml:space="preserve"> text</w:t>
      </w:r>
      <w:r w:rsidR="009218E3" w:rsidRPr="001005B7">
        <w:rPr>
          <w:rFonts w:ascii="Calibri" w:hAnsi="Calibri" w:cs="Calibri"/>
        </w:rPr>
        <w:t>,</w:t>
      </w:r>
      <w:r w:rsidR="00A469FE" w:rsidRPr="001005B7">
        <w:rPr>
          <w:rFonts w:ascii="Calibri" w:hAnsi="Calibri" w:cs="Calibri"/>
        </w:rPr>
        <w:t xml:space="preserve"> </w:t>
      </w:r>
      <w:r w:rsidR="00D02D74" w:rsidRPr="001005B7">
        <w:rPr>
          <w:rFonts w:ascii="Calibri" w:hAnsi="Calibri" w:cs="Calibri"/>
        </w:rPr>
        <w:t xml:space="preserve">the text </w:t>
      </w:r>
      <w:r w:rsidR="00A469FE" w:rsidRPr="001005B7">
        <w:rPr>
          <w:rFonts w:ascii="Calibri" w:hAnsi="Calibri" w:cs="Calibri"/>
        </w:rPr>
        <w:t>as written</w:t>
      </w:r>
      <w:r w:rsidR="002536E3">
        <w:rPr>
          <w:rFonts w:ascii="Calibri" w:hAnsi="Calibri" w:cs="Calibri"/>
        </w:rPr>
        <w:t xml:space="preserve">, </w:t>
      </w:r>
      <w:r w:rsidR="00A469FE" w:rsidRPr="001005B7">
        <w:rPr>
          <w:rFonts w:ascii="Calibri" w:hAnsi="Calibri" w:cs="Calibri"/>
        </w:rPr>
        <w:t xml:space="preserve">the </w:t>
      </w:r>
      <w:proofErr w:type="spellStart"/>
      <w:r w:rsidR="00A469FE" w:rsidRPr="002536E3">
        <w:rPr>
          <w:rFonts w:ascii="Calibri" w:hAnsi="Calibri" w:cs="Calibri"/>
        </w:rPr>
        <w:t>Ke</w:t>
      </w:r>
      <w:r w:rsidR="002D1A52" w:rsidRPr="002536E3">
        <w:rPr>
          <w:rFonts w:ascii="Calibri" w:hAnsi="Calibri" w:cs="Calibri"/>
        </w:rPr>
        <w:t>t</w:t>
      </w:r>
      <w:r w:rsidR="00A469FE" w:rsidRPr="002536E3">
        <w:rPr>
          <w:rFonts w:ascii="Calibri" w:hAnsi="Calibri" w:cs="Calibri"/>
        </w:rPr>
        <w:t>i</w:t>
      </w:r>
      <w:r w:rsidR="00D3470F" w:rsidRPr="002536E3">
        <w:rPr>
          <w:rFonts w:ascii="Calibri" w:hAnsi="Calibri" w:cs="Calibri"/>
        </w:rPr>
        <w:t>v</w:t>
      </w:r>
      <w:proofErr w:type="spellEnd"/>
      <w:r w:rsidR="00D3470F">
        <w:rPr>
          <w:rFonts w:ascii="Calibri" w:hAnsi="Calibri" w:cs="Calibri"/>
          <w:i/>
          <w:iCs/>
        </w:rPr>
        <w:t xml:space="preserve"> </w:t>
      </w:r>
      <w:r w:rsidR="00D3470F" w:rsidRPr="00D9290E">
        <w:rPr>
          <w:rFonts w:ascii="Calibri" w:hAnsi="Calibri" w:cs="Calibri"/>
        </w:rPr>
        <w:t>or</w:t>
      </w:r>
      <w:r w:rsidR="00D9290E">
        <w:rPr>
          <w:rFonts w:ascii="Calibri" w:hAnsi="Calibri" w:cs="Calibri"/>
        </w:rPr>
        <w:t xml:space="preserve"> K</w:t>
      </w:r>
      <w:r w:rsidR="002536E3">
        <w:rPr>
          <w:rFonts w:ascii="Calibri" w:hAnsi="Calibri" w:cs="Calibri"/>
        </w:rPr>
        <w:t>,</w:t>
      </w:r>
      <w:r w:rsidR="00A469FE" w:rsidRPr="001005B7">
        <w:rPr>
          <w:rFonts w:ascii="Calibri" w:hAnsi="Calibri" w:cs="Calibri"/>
        </w:rPr>
        <w:t xml:space="preserve"> and the text as read out</w:t>
      </w:r>
      <w:r w:rsidR="002536E3">
        <w:rPr>
          <w:rFonts w:ascii="Calibri" w:hAnsi="Calibri" w:cs="Calibri"/>
        </w:rPr>
        <w:t xml:space="preserve">, </w:t>
      </w:r>
      <w:r w:rsidR="009218E3" w:rsidRPr="001005B7">
        <w:rPr>
          <w:rFonts w:ascii="Calibri" w:hAnsi="Calibri" w:cs="Calibri"/>
        </w:rPr>
        <w:t xml:space="preserve">the </w:t>
      </w:r>
      <w:proofErr w:type="spellStart"/>
      <w:r w:rsidR="009218E3" w:rsidRPr="001005B7">
        <w:rPr>
          <w:rFonts w:ascii="Calibri" w:hAnsi="Calibri" w:cs="Calibri"/>
        </w:rPr>
        <w:t>Qere</w:t>
      </w:r>
      <w:proofErr w:type="spellEnd"/>
      <w:r w:rsidR="002536E3">
        <w:rPr>
          <w:rFonts w:ascii="Calibri" w:hAnsi="Calibri" w:cs="Calibri"/>
        </w:rPr>
        <w:t xml:space="preserve"> or Q</w:t>
      </w:r>
      <w:r w:rsidR="009218E3" w:rsidRPr="001005B7">
        <w:rPr>
          <w:rFonts w:ascii="Calibri" w:hAnsi="Calibri" w:cs="Calibri"/>
        </w:rPr>
        <w:t>.</w:t>
      </w:r>
      <w:r w:rsidR="00A469FE" w:rsidRPr="001005B7">
        <w:rPr>
          <w:rFonts w:ascii="Calibri" w:hAnsi="Calibri" w:cs="Calibri"/>
        </w:rPr>
        <w:t xml:space="preserve"> </w:t>
      </w:r>
      <w:r w:rsidR="00700F96" w:rsidRPr="001005B7">
        <w:t xml:space="preserve">With K and Q, similar considerations apply to </w:t>
      </w:r>
      <w:r w:rsidR="002139EF">
        <w:t xml:space="preserve">some of </w:t>
      </w:r>
      <w:r w:rsidR="00700F96" w:rsidRPr="001005B7">
        <w:t xml:space="preserve">those implied by differences between </w:t>
      </w:r>
      <w:r w:rsidR="00700F96" w:rsidRPr="001005B7">
        <w:rPr>
          <w:sz w:val="18"/>
          <w:szCs w:val="18"/>
        </w:rPr>
        <w:t>MT</w:t>
      </w:r>
      <w:r w:rsidR="00700F96" w:rsidRPr="001005B7">
        <w:t xml:space="preserve"> and </w:t>
      </w:r>
      <w:r w:rsidR="00700F96" w:rsidRPr="001005B7">
        <w:rPr>
          <w:sz w:val="18"/>
          <w:szCs w:val="18"/>
        </w:rPr>
        <w:t>LXX</w:t>
      </w:r>
      <w:r w:rsidR="00700F96" w:rsidRPr="001005B7">
        <w:t xml:space="preserve">. </w:t>
      </w:r>
      <w:r w:rsidR="00D342FB" w:rsidRPr="001005B7">
        <w:t xml:space="preserve">For instance, </w:t>
      </w:r>
      <w:r w:rsidR="00700F96" w:rsidRPr="001005B7">
        <w:t xml:space="preserve">Q may sometimes simply be clarifying spelling, notably where Q explicitly has pl. and K </w:t>
      </w:r>
      <w:r w:rsidR="00D342FB" w:rsidRPr="001005B7">
        <w:t xml:space="preserve">might </w:t>
      </w:r>
      <w:r w:rsidR="00700F96" w:rsidRPr="001005B7">
        <w:t xml:space="preserve">be sg. </w:t>
      </w:r>
      <w:r w:rsidR="00D342FB" w:rsidRPr="001005B7">
        <w:t>(e</w:t>
      </w:r>
      <w:r w:rsidR="00700F96" w:rsidRPr="001005B7">
        <w:t xml:space="preserve">.g., </w:t>
      </w:r>
      <w:r w:rsidR="00700F96" w:rsidRPr="001005B7">
        <w:rPr>
          <w:rFonts w:cstheme="minorHAnsi"/>
        </w:rPr>
        <w:t>3:20; 18:21, 24; 31:5; 33:13, 16; 37:16</w:t>
      </w:r>
      <w:r w:rsidR="00D342FB" w:rsidRPr="001005B7">
        <w:rPr>
          <w:rFonts w:cstheme="minorHAnsi"/>
        </w:rPr>
        <w:t>)</w:t>
      </w:r>
      <w:r w:rsidR="00700F96" w:rsidRPr="001005B7">
        <w:rPr>
          <w:rFonts w:cstheme="minorHAnsi"/>
        </w:rPr>
        <w:t xml:space="preserve">. Or </w:t>
      </w:r>
      <w:r w:rsidR="00700F96" w:rsidRPr="001005B7">
        <w:t>Q may be correcting or clarifying a difficult K reading</w:t>
      </w:r>
      <w:r w:rsidR="00692AD3" w:rsidRPr="001005B7">
        <w:t xml:space="preserve"> (e</w:t>
      </w:r>
      <w:r w:rsidR="00700F96" w:rsidRPr="001005B7">
        <w:t>.g., 1:8; 3:15</w:t>
      </w:r>
      <w:r w:rsidR="00692AD3" w:rsidRPr="001005B7">
        <w:t>)</w:t>
      </w:r>
      <w:r w:rsidR="00700F96" w:rsidRPr="001005B7">
        <w:t>.</w:t>
      </w:r>
    </w:p>
    <w:p w14:paraId="250E7923" w14:textId="080542BF" w:rsidR="005F5549" w:rsidRPr="001005B7" w:rsidRDefault="00BC2B35" w:rsidP="004008D3">
      <w:pPr>
        <w:rPr>
          <w:rFonts w:ascii="Calibri" w:hAnsi="Calibri" w:cs="Calibri"/>
        </w:rPr>
      </w:pPr>
      <w:r w:rsidRPr="001005B7">
        <w:rPr>
          <w:rFonts w:ascii="Calibri" w:hAnsi="Calibri" w:cs="Calibri"/>
        </w:rPr>
        <w:t>“Tradition” is</w:t>
      </w:r>
      <w:r w:rsidR="00DD7B45" w:rsidRPr="001005B7">
        <w:rPr>
          <w:rFonts w:ascii="Calibri" w:hAnsi="Calibri" w:cs="Calibri"/>
        </w:rPr>
        <w:t xml:space="preserve"> </w:t>
      </w:r>
      <w:proofErr w:type="spellStart"/>
      <w:r w:rsidR="00DD7B45" w:rsidRPr="001005B7">
        <w:rPr>
          <w:rFonts w:ascii="Calibri" w:hAnsi="Calibri" w:cs="Calibri"/>
          <w:i/>
          <w:iCs/>
        </w:rPr>
        <w:t>masora</w:t>
      </w:r>
      <w:proofErr w:type="spellEnd"/>
      <w:r w:rsidR="004B6397" w:rsidRPr="001005B7">
        <w:rPr>
          <w:rFonts w:ascii="Calibri" w:hAnsi="Calibri" w:cs="Calibri"/>
        </w:rPr>
        <w:t xml:space="preserve"> </w:t>
      </w:r>
      <w:r w:rsidR="00DD7B45" w:rsidRPr="001005B7">
        <w:rPr>
          <w:rFonts w:ascii="Calibri" w:hAnsi="Calibri" w:cs="Calibri"/>
        </w:rPr>
        <w:t>(</w:t>
      </w:r>
      <w:r w:rsidR="00327CCD" w:rsidRPr="001005B7">
        <w:rPr>
          <w:rFonts w:ascii="Calibri" w:hAnsi="Calibri" w:cs="Calibri"/>
          <w:rtl/>
          <w:lang w:bidi="he-IL"/>
        </w:rPr>
        <w:t>מׇסֹרׇ</w:t>
      </w:r>
      <w:r w:rsidR="00DD7B45" w:rsidRPr="001005B7">
        <w:rPr>
          <w:rFonts w:ascii="Calibri" w:hAnsi="Calibri" w:cs="Calibri"/>
          <w:rtl/>
          <w:lang w:bidi="he-IL"/>
        </w:rPr>
        <w:t>ה</w:t>
      </w:r>
      <w:r w:rsidR="00DD7B45" w:rsidRPr="001005B7">
        <w:rPr>
          <w:rFonts w:ascii="Calibri" w:hAnsi="Calibri" w:cs="Calibri"/>
        </w:rPr>
        <w:t>)</w:t>
      </w:r>
      <w:r w:rsidR="00080BA1">
        <w:rPr>
          <w:rFonts w:ascii="Calibri" w:hAnsi="Calibri" w:cs="Calibri"/>
        </w:rPr>
        <w:t>, and it</w:t>
      </w:r>
      <w:r w:rsidR="00F17A0F" w:rsidRPr="001005B7">
        <w:rPr>
          <w:rFonts w:ascii="Calibri" w:hAnsi="Calibri" w:cs="Calibri"/>
        </w:rPr>
        <w:t xml:space="preserve"> is</w:t>
      </w:r>
      <w:r w:rsidR="0009235B" w:rsidRPr="001005B7">
        <w:rPr>
          <w:rFonts w:ascii="Calibri" w:hAnsi="Calibri" w:cs="Calibri"/>
        </w:rPr>
        <w:t xml:space="preserve"> hence</w:t>
      </w:r>
      <w:r w:rsidR="002452ED" w:rsidRPr="001005B7">
        <w:rPr>
          <w:rFonts w:ascii="Calibri" w:hAnsi="Calibri" w:cs="Calibri"/>
        </w:rPr>
        <w:t xml:space="preserve"> </w:t>
      </w:r>
      <w:r w:rsidR="00F17A0F" w:rsidRPr="001005B7">
        <w:rPr>
          <w:rFonts w:ascii="Calibri" w:hAnsi="Calibri" w:cs="Calibri"/>
        </w:rPr>
        <w:t xml:space="preserve">that </w:t>
      </w:r>
      <w:r w:rsidR="002452ED" w:rsidRPr="001005B7">
        <w:rPr>
          <w:rFonts w:ascii="Calibri" w:hAnsi="Calibri" w:cs="Calibri"/>
        </w:rPr>
        <w:t>these scholars</w:t>
      </w:r>
      <w:r w:rsidR="002E0688" w:rsidRPr="001005B7">
        <w:rPr>
          <w:rFonts w:ascii="Calibri" w:hAnsi="Calibri" w:cs="Calibri"/>
        </w:rPr>
        <w:t xml:space="preserve"> were the </w:t>
      </w:r>
      <w:proofErr w:type="spellStart"/>
      <w:r w:rsidR="002E0688" w:rsidRPr="001005B7">
        <w:rPr>
          <w:rFonts w:ascii="Calibri" w:hAnsi="Calibri" w:cs="Calibri"/>
        </w:rPr>
        <w:t>Masoretes</w:t>
      </w:r>
      <w:proofErr w:type="spellEnd"/>
      <w:r w:rsidRPr="001005B7">
        <w:rPr>
          <w:rFonts w:ascii="Calibri" w:hAnsi="Calibri" w:cs="Calibri"/>
        </w:rPr>
        <w:t xml:space="preserve">. </w:t>
      </w:r>
      <w:r w:rsidR="005F5549" w:rsidRPr="001005B7">
        <w:rPr>
          <w:rFonts w:ascii="Calibri" w:hAnsi="Calibri" w:cs="Calibri"/>
        </w:rPr>
        <w:t>Th</w:t>
      </w:r>
      <w:r w:rsidR="00B17377" w:rsidRPr="001005B7">
        <w:rPr>
          <w:rFonts w:ascii="Calibri" w:hAnsi="Calibri" w:cs="Calibri"/>
        </w:rPr>
        <w:t xml:space="preserve">ey also preserved </w:t>
      </w:r>
      <w:r w:rsidR="00871CA9" w:rsidRPr="001005B7">
        <w:rPr>
          <w:rFonts w:ascii="Calibri" w:hAnsi="Calibri" w:cs="Calibri"/>
        </w:rPr>
        <w:t>the traditional division of the text</w:t>
      </w:r>
      <w:r w:rsidR="00A83693" w:rsidRPr="001005B7">
        <w:rPr>
          <w:rFonts w:ascii="Calibri" w:hAnsi="Calibri" w:cs="Calibri"/>
        </w:rPr>
        <w:t xml:space="preserve"> by</w:t>
      </w:r>
      <w:r w:rsidR="005F5549" w:rsidRPr="001005B7">
        <w:t xml:space="preserve"> paragraph marker</w:t>
      </w:r>
      <w:r w:rsidR="004008D3" w:rsidRPr="001005B7">
        <w:t>s</w:t>
      </w:r>
      <w:r w:rsidR="005F5549" w:rsidRPr="001005B7">
        <w:t xml:space="preserve"> (a setumah)</w:t>
      </w:r>
      <w:r w:rsidR="00E96282" w:rsidRPr="001005B7">
        <w:t>*</w:t>
      </w:r>
      <w:r w:rsidR="005F5549" w:rsidRPr="001005B7">
        <w:t xml:space="preserve"> </w:t>
      </w:r>
      <w:r w:rsidR="004008D3" w:rsidRPr="001005B7">
        <w:t>and</w:t>
      </w:r>
      <w:r w:rsidR="005F5549" w:rsidRPr="001005B7">
        <w:t xml:space="preserve"> chapter marker</w:t>
      </w:r>
      <w:r w:rsidR="004008D3" w:rsidRPr="001005B7">
        <w:t>s</w:t>
      </w:r>
      <w:r w:rsidR="005F5549" w:rsidRPr="001005B7">
        <w:t xml:space="preserve"> (a petu</w:t>
      </w:r>
      <w:r w:rsidR="00510130" w:rsidRPr="001005B7">
        <w:t>h</w:t>
      </w:r>
      <w:r w:rsidR="005F5549" w:rsidRPr="001005B7">
        <w:t>ah).</w:t>
      </w:r>
      <w:r w:rsidR="00E96282" w:rsidRPr="001005B7">
        <w:t>*</w:t>
      </w:r>
      <w:r w:rsidR="005F5549" w:rsidRPr="001005B7">
        <w:t xml:space="preserve"> </w:t>
      </w:r>
      <w:r w:rsidR="004008D3" w:rsidRPr="001005B7">
        <w:t xml:space="preserve">The different copies of </w:t>
      </w:r>
      <w:r w:rsidR="004C07E0" w:rsidRPr="001005B7">
        <w:rPr>
          <w:sz w:val="18"/>
          <w:szCs w:val="18"/>
        </w:rPr>
        <w:t>MT</w:t>
      </w:r>
      <w:r w:rsidR="004008D3" w:rsidRPr="001005B7">
        <w:t xml:space="preserve"> </w:t>
      </w:r>
      <w:r w:rsidR="005F5549" w:rsidRPr="001005B7">
        <w:t xml:space="preserve">often </w:t>
      </w:r>
      <w:r w:rsidR="00E96282" w:rsidRPr="001005B7">
        <w:t xml:space="preserve">differ over </w:t>
      </w:r>
      <w:r w:rsidR="008C6A64" w:rsidRPr="001005B7">
        <w:t>these</w:t>
      </w:r>
      <w:r w:rsidR="00D5379F" w:rsidRPr="001005B7">
        <w:t>, as</w:t>
      </w:r>
      <w:r w:rsidR="008C6A64" w:rsidRPr="001005B7">
        <w:t xml:space="preserve"> </w:t>
      </w:r>
      <w:r w:rsidR="00A83693" w:rsidRPr="001005B7">
        <w:t>t</w:t>
      </w:r>
      <w:r w:rsidR="008C6A64" w:rsidRPr="001005B7">
        <w:t>h</w:t>
      </w:r>
      <w:r w:rsidR="00A83693" w:rsidRPr="001005B7">
        <w:t>e</w:t>
      </w:r>
      <w:r w:rsidR="008C6A64" w:rsidRPr="001005B7">
        <w:t>y do not differ over the text itself</w:t>
      </w:r>
      <w:r w:rsidR="005F5549" w:rsidRPr="001005B7">
        <w:t xml:space="preserve">, and </w:t>
      </w:r>
      <w:r w:rsidR="00D5379F" w:rsidRPr="001005B7">
        <w:t xml:space="preserve">the textual notes in this </w:t>
      </w:r>
      <w:r w:rsidR="00265936" w:rsidRPr="001005B7">
        <w:t xml:space="preserve">commentary </w:t>
      </w:r>
      <w:r w:rsidR="005F5549" w:rsidRPr="001005B7">
        <w:t>thus usually refer</w:t>
      </w:r>
      <w:r w:rsidR="00265936" w:rsidRPr="001005B7">
        <w:t>s</w:t>
      </w:r>
      <w:r w:rsidR="005F5549" w:rsidRPr="001005B7">
        <w:t xml:space="preserve"> to them </w:t>
      </w:r>
      <w:r w:rsidR="00265936" w:rsidRPr="001005B7">
        <w:t xml:space="preserve">simply </w:t>
      </w:r>
      <w:r w:rsidR="005F5549" w:rsidRPr="001005B7">
        <w:t>as “markers.” The</w:t>
      </w:r>
      <w:r w:rsidR="0050260A" w:rsidRPr="001005B7">
        <w:t>se marker</w:t>
      </w:r>
      <w:r w:rsidR="002867C4" w:rsidRPr="001005B7">
        <w:t>s</w:t>
      </w:r>
      <w:r w:rsidR="005F5549" w:rsidRPr="001005B7">
        <w:t xml:space="preserve"> indicate something of the way </w:t>
      </w:r>
      <w:r w:rsidR="005F5549" w:rsidRPr="001005B7">
        <w:rPr>
          <w:sz w:val="18"/>
          <w:szCs w:val="18"/>
        </w:rPr>
        <w:t>MT</w:t>
      </w:r>
      <w:r w:rsidR="005F5549" w:rsidRPr="001005B7">
        <w:t xml:space="preserve"> interprets the text</w:t>
      </w:r>
      <w:r w:rsidR="0050260A" w:rsidRPr="001005B7">
        <w:t>,</w:t>
      </w:r>
      <w:r w:rsidR="005F5549" w:rsidRPr="001005B7">
        <w:t xml:space="preserve"> and </w:t>
      </w:r>
      <w:r w:rsidR="00303007">
        <w:t xml:space="preserve">they </w:t>
      </w:r>
      <w:r w:rsidR="005F5549" w:rsidRPr="001005B7">
        <w:t>offer a useful check on the chapter divisions in printed Bibles which were added to the text only in the late medieval period.</w:t>
      </w:r>
      <w:r w:rsidR="005F5549" w:rsidRPr="001005B7">
        <w:rPr>
          <w:rStyle w:val="FootnoteReference"/>
        </w:rPr>
        <w:footnoteReference w:id="36"/>
      </w:r>
    </w:p>
    <w:p w14:paraId="63CA91F6" w14:textId="1AD18061" w:rsidR="00152AF4" w:rsidRPr="001005B7" w:rsidRDefault="00152AF4" w:rsidP="00152AF4">
      <w:r w:rsidRPr="001005B7">
        <w:t>The fragments of Ezekiel from the Qumran Scrolls</w:t>
      </w:r>
      <w:r w:rsidR="005A2F0A" w:rsidRPr="001005B7">
        <w:t xml:space="preserve"> </w:t>
      </w:r>
      <w:r w:rsidR="00A33076" w:rsidRPr="001005B7">
        <w:t>are</w:t>
      </w:r>
      <w:r w:rsidRPr="001005B7">
        <w:t>:</w:t>
      </w:r>
    </w:p>
    <w:p w14:paraId="6D4E84DF" w14:textId="77777777" w:rsidR="00152AF4" w:rsidRPr="001005B7" w:rsidRDefault="00152AF4" w:rsidP="00152AF4"/>
    <w:p w14:paraId="784C5E89" w14:textId="75C795B5" w:rsidR="00152AF4" w:rsidRPr="001005B7" w:rsidRDefault="00152AF4" w:rsidP="00152AF4">
      <w:r w:rsidRPr="001005B7">
        <w:t xml:space="preserve">1QEzek: </w:t>
      </w:r>
      <w:r w:rsidRPr="001005B7">
        <w:tab/>
        <w:t>4:16</w:t>
      </w:r>
      <w:r w:rsidR="00F46900" w:rsidRPr="001005B7">
        <w:t>–</w:t>
      </w:r>
      <w:r w:rsidRPr="001005B7">
        <w:t>5:1</w:t>
      </w:r>
    </w:p>
    <w:p w14:paraId="24D3B3F8" w14:textId="6C7558EB" w:rsidR="00152AF4" w:rsidRPr="001005B7" w:rsidRDefault="00152AF4" w:rsidP="00152AF4">
      <w:r w:rsidRPr="001005B7">
        <w:t xml:space="preserve">3QEzek: </w:t>
      </w:r>
      <w:r w:rsidRPr="001005B7">
        <w:tab/>
        <w:t>16:31</w:t>
      </w:r>
      <w:r w:rsidR="00F46900" w:rsidRPr="001005B7">
        <w:t>–</w:t>
      </w:r>
      <w:r w:rsidRPr="001005B7">
        <w:t>33</w:t>
      </w:r>
    </w:p>
    <w:p w14:paraId="68ABF0DB" w14:textId="147DF005" w:rsidR="00152AF4" w:rsidRPr="001005B7" w:rsidRDefault="00152AF4" w:rsidP="00152AF4">
      <w:r w:rsidRPr="001005B7">
        <w:t>4QEzek</w:t>
      </w:r>
      <w:r w:rsidRPr="001005B7">
        <w:rPr>
          <w:vertAlign w:val="superscript"/>
        </w:rPr>
        <w:t>a</w:t>
      </w:r>
      <w:r w:rsidRPr="001005B7">
        <w:t xml:space="preserve">: </w:t>
      </w:r>
      <w:r w:rsidRPr="001005B7">
        <w:tab/>
        <w:t>10:6</w:t>
      </w:r>
      <w:r w:rsidR="00F46900" w:rsidRPr="001005B7">
        <w:t>–</w:t>
      </w:r>
      <w:r w:rsidRPr="001005B7">
        <w:t>16, 10:17</w:t>
      </w:r>
      <w:r w:rsidR="00F46900" w:rsidRPr="001005B7">
        <w:t>–</w:t>
      </w:r>
      <w:r w:rsidRPr="001005B7">
        <w:t>11:11; 23:14</w:t>
      </w:r>
      <w:r w:rsidR="00F46900" w:rsidRPr="001005B7">
        <w:t>–</w:t>
      </w:r>
      <w:r w:rsidRPr="001005B7">
        <w:t>15, 17</w:t>
      </w:r>
      <w:r w:rsidR="00F46900" w:rsidRPr="001005B7">
        <w:t>–</w:t>
      </w:r>
      <w:r w:rsidRPr="001005B7">
        <w:t>18, 44</w:t>
      </w:r>
      <w:r w:rsidR="00F46900" w:rsidRPr="001005B7">
        <w:t>–</w:t>
      </w:r>
      <w:r w:rsidRPr="001005B7">
        <w:t>47; 41:3</w:t>
      </w:r>
      <w:r w:rsidR="00F46900" w:rsidRPr="001005B7">
        <w:t>–</w:t>
      </w:r>
      <w:r w:rsidRPr="001005B7">
        <w:t>6</w:t>
      </w:r>
    </w:p>
    <w:p w14:paraId="2743F181" w14:textId="64C6C12E" w:rsidR="00152AF4" w:rsidRPr="001005B7" w:rsidRDefault="00152AF4" w:rsidP="00152AF4">
      <w:r w:rsidRPr="001005B7">
        <w:t>4QEzek</w:t>
      </w:r>
      <w:r w:rsidRPr="001005B7">
        <w:rPr>
          <w:vertAlign w:val="superscript"/>
        </w:rPr>
        <w:t>b</w:t>
      </w:r>
      <w:r w:rsidRPr="001005B7">
        <w:t xml:space="preserve">: </w:t>
      </w:r>
      <w:r w:rsidRPr="001005B7">
        <w:tab/>
        <w:t>1:10</w:t>
      </w:r>
      <w:r w:rsidR="00F46900" w:rsidRPr="001005B7">
        <w:t>–</w:t>
      </w:r>
      <w:r w:rsidRPr="001005B7">
        <w:t>13, 16</w:t>
      </w:r>
      <w:r w:rsidR="00F46900" w:rsidRPr="001005B7">
        <w:t>–</w:t>
      </w:r>
      <w:r w:rsidRPr="001005B7">
        <w:t>17, 19, 20</w:t>
      </w:r>
      <w:r w:rsidR="00F46900" w:rsidRPr="001005B7">
        <w:t>–</w:t>
      </w:r>
      <w:r w:rsidRPr="001005B7">
        <w:t>24</w:t>
      </w:r>
    </w:p>
    <w:p w14:paraId="7494A393" w14:textId="3C5FB2A2" w:rsidR="00152AF4" w:rsidRPr="001005B7" w:rsidRDefault="00152AF4" w:rsidP="00152AF4">
      <w:r w:rsidRPr="001005B7">
        <w:t>4QEzek</w:t>
      </w:r>
      <w:r w:rsidRPr="001005B7">
        <w:rPr>
          <w:vertAlign w:val="superscript"/>
        </w:rPr>
        <w:t>c</w:t>
      </w:r>
      <w:r w:rsidRPr="001005B7">
        <w:t xml:space="preserve">: </w:t>
      </w:r>
      <w:r w:rsidRPr="001005B7">
        <w:tab/>
        <w:t>24:2</w:t>
      </w:r>
      <w:r w:rsidR="00F46900" w:rsidRPr="001005B7">
        <w:t>–</w:t>
      </w:r>
      <w:r w:rsidRPr="001005B7">
        <w:t>3</w:t>
      </w:r>
    </w:p>
    <w:p w14:paraId="055423B6" w14:textId="0299312C" w:rsidR="00152AF4" w:rsidRPr="001005B7" w:rsidRDefault="00152AF4" w:rsidP="00152AF4">
      <w:r w:rsidRPr="001005B7">
        <w:t xml:space="preserve">11QEzek: </w:t>
      </w:r>
      <w:r w:rsidRPr="001005B7">
        <w:tab/>
        <w:t>1:8</w:t>
      </w:r>
      <w:r w:rsidR="00F46900" w:rsidRPr="001005B7">
        <w:t>–</w:t>
      </w:r>
      <w:r w:rsidRPr="001005B7">
        <w:t>10; 4:3</w:t>
      </w:r>
      <w:r w:rsidR="00F46900" w:rsidRPr="001005B7">
        <w:t>–</w:t>
      </w:r>
      <w:r w:rsidRPr="001005B7">
        <w:t>5, 6, 9</w:t>
      </w:r>
      <w:r w:rsidR="00F46900" w:rsidRPr="001005B7">
        <w:t>–</w:t>
      </w:r>
      <w:r w:rsidRPr="001005B7">
        <w:t>10; 5:11</w:t>
      </w:r>
      <w:r w:rsidR="00F46900" w:rsidRPr="001005B7">
        <w:t>–</w:t>
      </w:r>
      <w:r w:rsidRPr="001005B7">
        <w:t>17; 7:9</w:t>
      </w:r>
      <w:r w:rsidR="00F46900" w:rsidRPr="001005B7">
        <w:t>–</w:t>
      </w:r>
      <w:r w:rsidRPr="001005B7">
        <w:t>12</w:t>
      </w:r>
      <w:r w:rsidR="00282213" w:rsidRPr="001005B7">
        <w:rPr>
          <w:rStyle w:val="FootnoteReference"/>
        </w:rPr>
        <w:footnoteReference w:id="37"/>
      </w:r>
    </w:p>
    <w:p w14:paraId="07EAA06A" w14:textId="77777777" w:rsidR="00152AF4" w:rsidRPr="001005B7" w:rsidRDefault="00152AF4" w:rsidP="00152AF4"/>
    <w:p w14:paraId="53585F74" w14:textId="0C9DC866" w:rsidR="00060C01" w:rsidRPr="001005B7" w:rsidRDefault="0060123E" w:rsidP="0060123E">
      <w:pPr>
        <w:ind w:firstLine="0"/>
      </w:pPr>
      <w:r w:rsidRPr="001005B7">
        <w:t>E</w:t>
      </w:r>
      <w:r w:rsidR="00133274" w:rsidRPr="001005B7">
        <w:t xml:space="preserve">xamples of differences in the Qumran texts from </w:t>
      </w:r>
      <w:r w:rsidR="00201F85" w:rsidRPr="001005B7">
        <w:rPr>
          <w:sz w:val="18"/>
          <w:szCs w:val="18"/>
        </w:rPr>
        <w:t>MT</w:t>
      </w:r>
      <w:r w:rsidR="00133274" w:rsidRPr="001005B7">
        <w:t xml:space="preserve"> are</w:t>
      </w:r>
      <w:r w:rsidR="00060C01" w:rsidRPr="001005B7">
        <w:t xml:space="preserve">: </w:t>
      </w:r>
    </w:p>
    <w:p w14:paraId="0052D5D6" w14:textId="77777777" w:rsidR="00060C01" w:rsidRPr="001005B7" w:rsidRDefault="00060C01" w:rsidP="00060C01"/>
    <w:p w14:paraId="04E22D6A" w14:textId="6796D45C" w:rsidR="00060C01" w:rsidRPr="001005B7" w:rsidRDefault="00060C01" w:rsidP="00060C01">
      <w:pPr>
        <w:pStyle w:val="Bullet"/>
      </w:pPr>
      <w:r w:rsidRPr="001005B7">
        <w:t xml:space="preserve">In 1:10 </w:t>
      </w:r>
      <w:r w:rsidR="00201F85" w:rsidRPr="001005B7">
        <w:rPr>
          <w:sz w:val="18"/>
          <w:szCs w:val="18"/>
        </w:rPr>
        <w:t>MT</w:t>
      </w:r>
      <w:r w:rsidRPr="001005B7">
        <w:t xml:space="preserve"> has </w:t>
      </w:r>
      <w:r w:rsidR="00F35668" w:rsidRPr="001005B7">
        <w:t>m</w:t>
      </w:r>
      <w:r w:rsidR="00810DCC" w:rsidRPr="001005B7">
        <w:t>.</w:t>
      </w:r>
      <w:r w:rsidRPr="001005B7">
        <w:t xml:space="preserve"> </w:t>
      </w:r>
      <w:r w:rsidR="00320FD3" w:rsidRPr="001005B7">
        <w:rPr>
          <w:rFonts w:cstheme="minorHAnsi"/>
          <w:rtl/>
          <w:lang w:bidi="he-IL"/>
        </w:rPr>
        <w:t>לְאַרְב</w:t>
      </w:r>
      <w:r w:rsidR="0048739C" w:rsidRPr="001005B7">
        <w:rPr>
          <w:rFonts w:cstheme="minorHAnsi"/>
          <w:rtl/>
          <w:lang w:bidi="he-IL"/>
        </w:rPr>
        <w:t>ַ</w:t>
      </w:r>
      <w:r w:rsidR="00320FD3" w:rsidRPr="001005B7">
        <w:rPr>
          <w:rFonts w:cstheme="minorHAnsi"/>
          <w:rtl/>
          <w:lang w:bidi="he-IL"/>
        </w:rPr>
        <w:t>ּ</w:t>
      </w:r>
      <w:r w:rsidR="00433CE4" w:rsidRPr="001005B7">
        <w:rPr>
          <w:rFonts w:cstheme="minorHAnsi"/>
          <w:rtl/>
          <w:lang w:bidi="he-IL"/>
        </w:rPr>
        <w:t>עְתׇּם</w:t>
      </w:r>
      <w:r w:rsidR="00E43E42" w:rsidRPr="001005B7">
        <w:t xml:space="preserve"> </w:t>
      </w:r>
      <w:r w:rsidRPr="001005B7">
        <w:t>“the four of them” in 1:10a, then</w:t>
      </w:r>
      <w:r w:rsidR="00114FC0" w:rsidRPr="001005B7">
        <w:t xml:space="preserve"> </w:t>
      </w:r>
      <w:r w:rsidR="00810DCC" w:rsidRPr="001005B7">
        <w:t>f.</w:t>
      </w:r>
      <w:r w:rsidR="004E023F" w:rsidRPr="001005B7">
        <w:t xml:space="preserve"> </w:t>
      </w:r>
      <w:r w:rsidR="004E023F" w:rsidRPr="001005B7">
        <w:rPr>
          <w:rFonts w:cstheme="minorHAnsi"/>
          <w:rtl/>
          <w:lang w:bidi="he-IL"/>
        </w:rPr>
        <w:t>לְאַרְבַּעְתׇּ</w:t>
      </w:r>
      <w:r w:rsidR="001702CD" w:rsidRPr="001005B7">
        <w:rPr>
          <w:rFonts w:cstheme="minorHAnsi"/>
          <w:rtl/>
          <w:lang w:bidi="he-IL"/>
        </w:rPr>
        <w:t>ן</w:t>
      </w:r>
      <w:r w:rsidRPr="001005B7">
        <w:t xml:space="preserve"> in 1:10b</w:t>
      </w:r>
      <w:r w:rsidR="00B36FF5" w:rsidRPr="001005B7">
        <w:t>.</w:t>
      </w:r>
      <w:r w:rsidRPr="001005B7">
        <w:t xml:space="preserve"> 4QEzek</w:t>
      </w:r>
      <w:r w:rsidRPr="001005B7">
        <w:rPr>
          <w:vertAlign w:val="superscript"/>
        </w:rPr>
        <w:t>b</w:t>
      </w:r>
      <w:r w:rsidRPr="001005B7">
        <w:t xml:space="preserve"> has m</w:t>
      </w:r>
      <w:r w:rsidR="001D44E9" w:rsidRPr="001005B7">
        <w:t>.</w:t>
      </w:r>
      <w:r w:rsidR="001A5356" w:rsidRPr="001005B7">
        <w:t xml:space="preserve"> </w:t>
      </w:r>
      <w:r w:rsidR="00F00B65" w:rsidRPr="001005B7">
        <w:rPr>
          <w:rFonts w:cstheme="minorHAnsi"/>
          <w:rtl/>
          <w:lang w:bidi="he-IL"/>
        </w:rPr>
        <w:t>לארבעתם</w:t>
      </w:r>
      <w:r w:rsidRPr="001005B7">
        <w:t xml:space="preserve"> in 1:10b. </w:t>
      </w:r>
    </w:p>
    <w:p w14:paraId="73F4F799" w14:textId="51CEB226" w:rsidR="00060C01" w:rsidRPr="001005B7" w:rsidRDefault="00060C01" w:rsidP="00060C01">
      <w:pPr>
        <w:pStyle w:val="Bullet"/>
      </w:pPr>
      <w:r w:rsidRPr="001005B7">
        <w:t xml:space="preserve">In 1:22, </w:t>
      </w:r>
      <w:r w:rsidR="00201F85" w:rsidRPr="001005B7">
        <w:rPr>
          <w:sz w:val="18"/>
          <w:szCs w:val="18"/>
        </w:rPr>
        <w:t>MT</w:t>
      </w:r>
      <w:r w:rsidRPr="001005B7">
        <w:t xml:space="preserve"> has</w:t>
      </w:r>
      <w:r w:rsidR="00135B92" w:rsidRPr="001005B7">
        <w:t xml:space="preserve"> </w:t>
      </w:r>
      <w:r w:rsidR="00103507" w:rsidRPr="001005B7">
        <w:rPr>
          <w:rFonts w:cstheme="minorHAnsi"/>
          <w:rtl/>
          <w:lang w:bidi="he-IL"/>
        </w:rPr>
        <w:t>וּד</w:t>
      </w:r>
      <w:r w:rsidR="00F71815" w:rsidRPr="001005B7">
        <w:rPr>
          <w:rFonts w:cstheme="minorHAnsi"/>
          <w:rtl/>
          <w:lang w:bidi="he-IL"/>
        </w:rPr>
        <w:t>ְמוּת</w:t>
      </w:r>
      <w:r w:rsidRPr="001005B7">
        <w:t xml:space="preserve"> “and </w:t>
      </w:r>
      <w:r w:rsidR="00135B92" w:rsidRPr="001005B7">
        <w:t>a</w:t>
      </w:r>
      <w:r w:rsidRPr="001005B7">
        <w:t xml:space="preserve"> form,” 4QEzek</w:t>
      </w:r>
      <w:r w:rsidRPr="001005B7">
        <w:rPr>
          <w:vertAlign w:val="superscript"/>
        </w:rPr>
        <w:t>b</w:t>
      </w:r>
      <w:r w:rsidRPr="001005B7">
        <w:t xml:space="preserve"> has </w:t>
      </w:r>
      <w:r w:rsidR="002A3873" w:rsidRPr="001005B7">
        <w:rPr>
          <w:rFonts w:cstheme="minorHAnsi"/>
          <w:rtl/>
          <w:lang w:bidi="he-IL"/>
        </w:rPr>
        <w:t>ודמות</w:t>
      </w:r>
      <w:r w:rsidR="00F815D9" w:rsidRPr="001005B7">
        <w:rPr>
          <w:rFonts w:cstheme="minorHAnsi"/>
          <w:rtl/>
          <w:lang w:bidi="he-IL"/>
        </w:rPr>
        <w:t>ם</w:t>
      </w:r>
      <w:r w:rsidR="002A3873" w:rsidRPr="001005B7">
        <w:t xml:space="preserve"> </w:t>
      </w:r>
      <w:r w:rsidRPr="001005B7">
        <w:t xml:space="preserve">“and their form.” </w:t>
      </w:r>
    </w:p>
    <w:p w14:paraId="17CBAAB9" w14:textId="75C9B595" w:rsidR="00060C01" w:rsidRPr="001005B7" w:rsidRDefault="00060C01" w:rsidP="00060C01">
      <w:pPr>
        <w:pStyle w:val="Bullet"/>
      </w:pPr>
      <w:r w:rsidRPr="001005B7">
        <w:t>In 5:15, 4QEzek</w:t>
      </w:r>
      <w:r w:rsidRPr="001005B7">
        <w:rPr>
          <w:vertAlign w:val="superscript"/>
        </w:rPr>
        <w:t>b</w:t>
      </w:r>
      <w:r w:rsidRPr="001005B7">
        <w:t xml:space="preserve"> lacks the</w:t>
      </w:r>
      <w:r w:rsidR="00A01376" w:rsidRPr="001005B7">
        <w:t xml:space="preserve"> </w:t>
      </w:r>
      <w:r w:rsidR="00A01376" w:rsidRPr="001005B7">
        <w:rPr>
          <w:rFonts w:cstheme="minorHAnsi"/>
          <w:rtl/>
          <w:lang w:bidi="he-IL"/>
        </w:rPr>
        <w:t>ו</w:t>
      </w:r>
      <w:r w:rsidRPr="001005B7">
        <w:t xml:space="preserve"> “and” </w:t>
      </w:r>
      <w:r w:rsidR="00BC2F05" w:rsidRPr="001005B7">
        <w:t xml:space="preserve">in </w:t>
      </w:r>
      <w:r w:rsidR="00F66D96" w:rsidRPr="001005B7">
        <w:rPr>
          <w:rFonts w:cstheme="minorHAnsi"/>
          <w:rtl/>
          <w:lang w:bidi="he-IL"/>
        </w:rPr>
        <w:t>וּבְתֹ</w:t>
      </w:r>
      <w:r w:rsidR="00107D7E" w:rsidRPr="001005B7">
        <w:rPr>
          <w:rFonts w:cstheme="minorHAnsi"/>
          <w:rtl/>
          <w:lang w:bidi="he-IL"/>
        </w:rPr>
        <w:t>כְחוֹת</w:t>
      </w:r>
      <w:r w:rsidRPr="001005B7">
        <w:t xml:space="preserve"> “</w:t>
      </w:r>
      <w:r w:rsidR="0032398B" w:rsidRPr="001005B7">
        <w:t>and in chastisements</w:t>
      </w:r>
      <w:r w:rsidRPr="001005B7">
        <w:t>.”</w:t>
      </w:r>
    </w:p>
    <w:p w14:paraId="7B612B62" w14:textId="346DCCAB" w:rsidR="00060C01" w:rsidRPr="001005B7" w:rsidRDefault="00060C01" w:rsidP="00060C01">
      <w:pPr>
        <w:pStyle w:val="Bullet"/>
      </w:pPr>
      <w:r w:rsidRPr="001005B7">
        <w:t xml:space="preserve">In 10:8, </w:t>
      </w:r>
      <w:r w:rsidR="00201F85" w:rsidRPr="001005B7">
        <w:rPr>
          <w:sz w:val="18"/>
          <w:szCs w:val="18"/>
        </w:rPr>
        <w:t>MT</w:t>
      </w:r>
      <w:r w:rsidRPr="001005B7">
        <w:t xml:space="preserve"> has </w:t>
      </w:r>
      <w:r w:rsidR="00A608C7" w:rsidRPr="001005B7">
        <w:rPr>
          <w:rFonts w:cstheme="minorHAnsi"/>
          <w:rtl/>
          <w:lang w:bidi="he-IL"/>
        </w:rPr>
        <w:t>יַ</w:t>
      </w:r>
      <w:r w:rsidR="007D145A" w:rsidRPr="001005B7">
        <w:rPr>
          <w:rFonts w:cstheme="minorHAnsi"/>
          <w:rtl/>
          <w:lang w:bidi="he-IL"/>
        </w:rPr>
        <w:t>ד</w:t>
      </w:r>
      <w:r w:rsidR="00A608C7" w:rsidRPr="001005B7">
        <w:t xml:space="preserve"> </w:t>
      </w:r>
      <w:r w:rsidRPr="001005B7">
        <w:t>“hand</w:t>
      </w:r>
      <w:r w:rsidR="00973BBC" w:rsidRPr="001005B7">
        <w:t xml:space="preserve"> of</w:t>
      </w:r>
      <w:r w:rsidRPr="001005B7">
        <w:t>,” 4QEzek</w:t>
      </w:r>
      <w:r w:rsidRPr="001005B7">
        <w:rPr>
          <w:vertAlign w:val="superscript"/>
        </w:rPr>
        <w:t>b</w:t>
      </w:r>
      <w:r w:rsidRPr="001005B7">
        <w:t xml:space="preserve"> has</w:t>
      </w:r>
      <w:r w:rsidR="007D145A" w:rsidRPr="001005B7">
        <w:t xml:space="preserve"> </w:t>
      </w:r>
      <w:r w:rsidR="007D145A" w:rsidRPr="001005B7">
        <w:rPr>
          <w:rFonts w:cstheme="minorHAnsi"/>
          <w:rtl/>
          <w:lang w:bidi="he-IL"/>
        </w:rPr>
        <w:t>יד</w:t>
      </w:r>
      <w:r w:rsidR="00973BBC" w:rsidRPr="001005B7">
        <w:rPr>
          <w:rFonts w:cstheme="minorHAnsi"/>
          <w:rtl/>
          <w:lang w:bidi="he-IL"/>
        </w:rPr>
        <w:t>י</w:t>
      </w:r>
      <w:r w:rsidRPr="001005B7">
        <w:t xml:space="preserve"> “hands</w:t>
      </w:r>
      <w:r w:rsidR="00973BBC" w:rsidRPr="001005B7">
        <w:t xml:space="preserve"> of</w:t>
      </w:r>
      <w:r w:rsidRPr="001005B7">
        <w:t>.”</w:t>
      </w:r>
    </w:p>
    <w:p w14:paraId="59CA46EF" w14:textId="03D20C24" w:rsidR="00060C01" w:rsidRPr="001005B7" w:rsidRDefault="00060C01" w:rsidP="00060C01">
      <w:pPr>
        <w:pStyle w:val="Bullet"/>
      </w:pPr>
      <w:r w:rsidRPr="001005B7">
        <w:t xml:space="preserve">In 10:21, </w:t>
      </w:r>
      <w:r w:rsidR="00201F85" w:rsidRPr="001005B7">
        <w:rPr>
          <w:sz w:val="18"/>
          <w:szCs w:val="18"/>
        </w:rPr>
        <w:t>MT</w:t>
      </w:r>
      <w:r w:rsidR="00201F85" w:rsidRPr="001005B7">
        <w:t xml:space="preserve"> </w:t>
      </w:r>
      <w:r w:rsidRPr="001005B7">
        <w:t>has m</w:t>
      </w:r>
      <w:r w:rsidR="001D44E9" w:rsidRPr="001005B7">
        <w:t>.</w:t>
      </w:r>
      <w:r w:rsidRPr="001005B7">
        <w:t xml:space="preserve"> </w:t>
      </w:r>
      <w:r w:rsidR="00816925" w:rsidRPr="001005B7">
        <w:rPr>
          <w:rFonts w:cstheme="minorHAnsi"/>
          <w:rtl/>
          <w:lang w:bidi="he-IL"/>
        </w:rPr>
        <w:t>וְ</w:t>
      </w:r>
      <w:r w:rsidR="00231374" w:rsidRPr="001005B7">
        <w:rPr>
          <w:rFonts w:cstheme="minorHAnsi"/>
          <w:rtl/>
          <w:lang w:bidi="he-IL"/>
        </w:rPr>
        <w:t>אַ</w:t>
      </w:r>
      <w:r w:rsidR="00816925" w:rsidRPr="001005B7">
        <w:rPr>
          <w:rFonts w:cstheme="minorHAnsi"/>
          <w:rtl/>
          <w:lang w:bidi="he-IL"/>
        </w:rPr>
        <w:t>רְבַּע</w:t>
      </w:r>
      <w:r w:rsidRPr="001005B7">
        <w:t xml:space="preserve"> </w:t>
      </w:r>
      <w:r w:rsidR="00466A08" w:rsidRPr="001005B7">
        <w:t>“</w:t>
      </w:r>
      <w:r w:rsidR="00231374" w:rsidRPr="001005B7">
        <w:t xml:space="preserve">and </w:t>
      </w:r>
      <w:r w:rsidRPr="001005B7">
        <w:t>four</w:t>
      </w:r>
      <w:r w:rsidR="00466A08" w:rsidRPr="001005B7">
        <w:t>”</w:t>
      </w:r>
      <w:r w:rsidRPr="001005B7">
        <w:t xml:space="preserve"> following two f</w:t>
      </w:r>
      <w:r w:rsidR="001D44E9" w:rsidRPr="001005B7">
        <w:t>.</w:t>
      </w:r>
      <w:r w:rsidRPr="001005B7">
        <w:t xml:space="preserve"> </w:t>
      </w:r>
      <w:r w:rsidR="00973BBC" w:rsidRPr="001005B7">
        <w:t>forms</w:t>
      </w:r>
      <w:r w:rsidR="00231374" w:rsidRPr="001005B7">
        <w:t>,</w:t>
      </w:r>
      <w:r w:rsidR="000708E4" w:rsidRPr="001005B7">
        <w:t xml:space="preserve"> </w:t>
      </w:r>
      <w:r w:rsidR="000708E4" w:rsidRPr="001005B7">
        <w:rPr>
          <w:rFonts w:cstheme="minorHAnsi"/>
          <w:rtl/>
          <w:lang w:bidi="he-IL"/>
        </w:rPr>
        <w:t>אַרְב</w:t>
      </w:r>
      <w:r w:rsidR="000129F8" w:rsidRPr="001005B7">
        <w:rPr>
          <w:rFonts w:cstheme="minorHAnsi"/>
          <w:rtl/>
          <w:lang w:bidi="he-IL"/>
        </w:rPr>
        <w:t>ׇּעׇה</w:t>
      </w:r>
      <w:r w:rsidR="0059722A" w:rsidRPr="001005B7">
        <w:t>.</w:t>
      </w:r>
      <w:r w:rsidRPr="001005B7">
        <w:t xml:space="preserve"> 4QEzek</w:t>
      </w:r>
      <w:r w:rsidRPr="001005B7">
        <w:rPr>
          <w:vertAlign w:val="superscript"/>
        </w:rPr>
        <w:t>b</w:t>
      </w:r>
      <w:r w:rsidRPr="001005B7">
        <w:t xml:space="preserve"> has</w:t>
      </w:r>
      <w:r w:rsidR="009A6D1E" w:rsidRPr="001005B7">
        <w:t xml:space="preserve"> </w:t>
      </w:r>
      <w:r w:rsidRPr="001005B7">
        <w:t>f</w:t>
      </w:r>
      <w:r w:rsidR="001D44E9" w:rsidRPr="001005B7">
        <w:t>.</w:t>
      </w:r>
      <w:r w:rsidR="007B3172" w:rsidRPr="001005B7">
        <w:t xml:space="preserve"> </w:t>
      </w:r>
      <w:r w:rsidR="0059663D" w:rsidRPr="001005B7">
        <w:rPr>
          <w:rFonts w:cstheme="minorHAnsi"/>
          <w:rtl/>
          <w:lang w:bidi="he-IL"/>
        </w:rPr>
        <w:t>ו</w:t>
      </w:r>
      <w:r w:rsidR="007B3172" w:rsidRPr="001005B7">
        <w:rPr>
          <w:rFonts w:cstheme="minorHAnsi"/>
          <w:rtl/>
          <w:lang w:bidi="he-IL"/>
        </w:rPr>
        <w:t>ארבעה</w:t>
      </w:r>
      <w:r w:rsidR="009A6D1E" w:rsidRPr="001005B7">
        <w:t>.</w:t>
      </w:r>
      <w:r w:rsidRPr="001005B7">
        <w:t xml:space="preserve"> </w:t>
      </w:r>
    </w:p>
    <w:p w14:paraId="4010343D" w14:textId="2980C11A" w:rsidR="00060C01" w:rsidRPr="001005B7" w:rsidRDefault="00060C01" w:rsidP="00060C01">
      <w:pPr>
        <w:pStyle w:val="Bullet"/>
      </w:pPr>
      <w:r w:rsidRPr="001005B7">
        <w:t>In 23:44</w:t>
      </w:r>
      <w:r w:rsidR="009A6D1E" w:rsidRPr="001005B7">
        <w:t>,</w:t>
      </w:r>
      <w:r w:rsidRPr="001005B7">
        <w:t xml:space="preserve"> </w:t>
      </w:r>
      <w:r w:rsidR="00545B3C" w:rsidRPr="001005B7">
        <w:t>for</w:t>
      </w:r>
      <w:r w:rsidRPr="001005B7">
        <w:t xml:space="preserve"> </w:t>
      </w:r>
      <w:r w:rsidRPr="001005B7">
        <w:rPr>
          <w:rFonts w:cstheme="minorHAnsi"/>
          <w:rtl/>
          <w:lang w:bidi="he-IL"/>
        </w:rPr>
        <w:t>וַיָּבוֹא</w:t>
      </w:r>
      <w:r w:rsidR="00C523E1" w:rsidRPr="001005B7">
        <w:t xml:space="preserve"> </w:t>
      </w:r>
      <w:r w:rsidR="00A729B7" w:rsidRPr="001005B7">
        <w:t xml:space="preserve">“so someone </w:t>
      </w:r>
      <w:r w:rsidR="001B5D63" w:rsidRPr="001005B7">
        <w:t>went in</w:t>
      </w:r>
      <w:r w:rsidR="00A729B7" w:rsidRPr="001005B7">
        <w:t>,”</w:t>
      </w:r>
      <w:r w:rsidRPr="001005B7">
        <w:t xml:space="preserve"> 4QEzek</w:t>
      </w:r>
      <w:r w:rsidRPr="001005B7">
        <w:rPr>
          <w:vertAlign w:val="superscript"/>
        </w:rPr>
        <w:t>a</w:t>
      </w:r>
      <w:r w:rsidRPr="001005B7">
        <w:t xml:space="preserve"> has pl</w:t>
      </w:r>
      <w:r w:rsidR="00B84432" w:rsidRPr="001005B7">
        <w:t>.</w:t>
      </w:r>
      <w:r w:rsidRPr="001005B7">
        <w:t xml:space="preserve"> </w:t>
      </w:r>
      <w:r w:rsidRPr="001005B7">
        <w:rPr>
          <w:rFonts w:cstheme="minorHAnsi"/>
          <w:rtl/>
          <w:lang w:bidi="he-IL"/>
        </w:rPr>
        <w:t>ויבאו</w:t>
      </w:r>
      <w:r w:rsidR="00A729B7" w:rsidRPr="001005B7">
        <w:t xml:space="preserve"> “</w:t>
      </w:r>
      <w:r w:rsidR="009A68C2" w:rsidRPr="001005B7">
        <w:t xml:space="preserve">so they </w:t>
      </w:r>
      <w:r w:rsidR="001B5D63" w:rsidRPr="001005B7">
        <w:t>went in,”</w:t>
      </w:r>
      <w:r w:rsidRPr="001005B7">
        <w:t xml:space="preserve"> which</w:t>
      </w:r>
      <w:r w:rsidR="00711BA2" w:rsidRPr="001005B7">
        <w:rPr>
          <w:sz w:val="18"/>
          <w:szCs w:val="18"/>
        </w:rPr>
        <w:t xml:space="preserve"> LXX</w:t>
      </w:r>
      <w:r w:rsidRPr="001005B7">
        <w:t xml:space="preserve">, </w:t>
      </w:r>
      <w:r w:rsidR="00573675" w:rsidRPr="001005B7">
        <w:t xml:space="preserve">Vg. </w:t>
      </w:r>
      <w:r w:rsidRPr="001005B7">
        <w:t>also imply.</w:t>
      </w:r>
    </w:p>
    <w:p w14:paraId="38B8DD7E" w14:textId="6BF9AE3A" w:rsidR="00AB0DC7" w:rsidRPr="001005B7" w:rsidRDefault="00AB0DC7" w:rsidP="006B6259">
      <w:pPr>
        <w:pStyle w:val="Bullet"/>
        <w:rPr>
          <w:lang w:eastAsia="en-GB"/>
        </w:rPr>
      </w:pPr>
      <w:r w:rsidRPr="001005B7">
        <w:rPr>
          <w:lang w:eastAsia="en-GB"/>
        </w:rPr>
        <w:t>In</w:t>
      </w:r>
      <w:r w:rsidRPr="001005B7">
        <w:rPr>
          <w:b/>
          <w:bCs/>
          <w:lang w:eastAsia="en-GB"/>
        </w:rPr>
        <w:t xml:space="preserve"> </w:t>
      </w:r>
      <w:r w:rsidRPr="001005B7">
        <w:rPr>
          <w:lang w:eastAsia="en-GB"/>
        </w:rPr>
        <w:t>41</w:t>
      </w:r>
      <w:r w:rsidR="00933C07" w:rsidRPr="001005B7">
        <w:rPr>
          <w:lang w:eastAsia="en-GB"/>
        </w:rPr>
        <w:t>:5, f</w:t>
      </w:r>
      <w:r w:rsidRPr="001005B7">
        <w:rPr>
          <w:lang w:eastAsia="en-GB"/>
        </w:rPr>
        <w:t>or</w:t>
      </w:r>
      <w:r w:rsidR="006B6259" w:rsidRPr="001005B7">
        <w:rPr>
          <w:lang w:eastAsia="en-GB"/>
        </w:rPr>
        <w:t xml:space="preserve"> </w:t>
      </w:r>
      <w:r w:rsidRPr="001005B7">
        <w:rPr>
          <w:rFonts w:cstheme="minorHAnsi"/>
          <w:rtl/>
          <w:lang w:eastAsia="en-GB" w:bidi="he-IL"/>
        </w:rPr>
        <w:t>סׇביב סׇביב</w:t>
      </w:r>
      <w:r w:rsidRPr="001005B7">
        <w:rPr>
          <w:lang w:eastAsia="en-GB"/>
        </w:rPr>
        <w:t>, “all round,” 4QEzek</w:t>
      </w:r>
      <w:r w:rsidRPr="001005B7">
        <w:rPr>
          <w:vertAlign w:val="superscript"/>
          <w:lang w:eastAsia="en-GB"/>
        </w:rPr>
        <w:t>a</w:t>
      </w:r>
      <w:r w:rsidRPr="001005B7">
        <w:rPr>
          <w:lang w:eastAsia="en-GB"/>
        </w:rPr>
        <w:t xml:space="preserve"> has simply </w:t>
      </w:r>
      <w:r w:rsidRPr="001005B7">
        <w:rPr>
          <w:rFonts w:cstheme="minorHAnsi"/>
          <w:rtl/>
          <w:lang w:eastAsia="en-GB" w:bidi="he-IL"/>
        </w:rPr>
        <w:t>סביב</w:t>
      </w:r>
      <w:r w:rsidRPr="001005B7">
        <w:rPr>
          <w:lang w:eastAsia="en-GB"/>
        </w:rPr>
        <w:t>, “around.”</w:t>
      </w:r>
    </w:p>
    <w:p w14:paraId="1AACC830" w14:textId="77777777" w:rsidR="007A142D" w:rsidRPr="001005B7" w:rsidRDefault="007A142D" w:rsidP="00060C01"/>
    <w:p w14:paraId="48B0D3D6" w14:textId="68B86CAC" w:rsidR="00060C01" w:rsidRPr="001005B7" w:rsidRDefault="00AC0D9A" w:rsidP="0057544A">
      <w:pPr>
        <w:ind w:firstLine="0"/>
      </w:pPr>
      <w:r w:rsidRPr="001005B7">
        <w:t xml:space="preserve">The </w:t>
      </w:r>
      <w:r w:rsidR="00374C5D" w:rsidRPr="001005B7">
        <w:t xml:space="preserve">text of the </w:t>
      </w:r>
      <w:r w:rsidRPr="001005B7">
        <w:t>fragments of Ezek</w:t>
      </w:r>
      <w:r w:rsidR="00374C5D" w:rsidRPr="001005B7">
        <w:t xml:space="preserve">iel from Masada </w:t>
      </w:r>
      <w:r w:rsidR="00420065" w:rsidRPr="001005B7">
        <w:t>comes from</w:t>
      </w:r>
      <w:r w:rsidRPr="001005B7">
        <w:t xml:space="preserve"> </w:t>
      </w:r>
      <w:r w:rsidR="00420065" w:rsidRPr="001005B7">
        <w:t xml:space="preserve">Ezek </w:t>
      </w:r>
      <w:r w:rsidRPr="001005B7">
        <w:t>34</w:t>
      </w:r>
      <w:r w:rsidR="00420065" w:rsidRPr="001005B7">
        <w:t>. It</w:t>
      </w:r>
      <w:r w:rsidR="00007B90" w:rsidRPr="001005B7">
        <w:t xml:space="preserve"> </w:t>
      </w:r>
      <w:r w:rsidR="00542313" w:rsidRPr="001005B7">
        <w:t xml:space="preserve">also </w:t>
      </w:r>
      <w:r w:rsidR="00516207" w:rsidRPr="001005B7">
        <w:t>resembles</w:t>
      </w:r>
      <w:r w:rsidR="00007B90" w:rsidRPr="001005B7">
        <w:t xml:space="preserve"> th</w:t>
      </w:r>
      <w:r w:rsidR="00C00583" w:rsidRPr="001005B7">
        <w:t>e text in</w:t>
      </w:r>
      <w:r w:rsidR="00007B90" w:rsidRPr="001005B7">
        <w:t xml:space="preserve"> </w:t>
      </w:r>
      <w:r w:rsidR="00141699" w:rsidRPr="001005B7">
        <w:rPr>
          <w:sz w:val="18"/>
          <w:szCs w:val="18"/>
        </w:rPr>
        <w:t>MT</w:t>
      </w:r>
      <w:r w:rsidR="00821DD1" w:rsidRPr="001005B7">
        <w:t xml:space="preserve"> rather than that in </w:t>
      </w:r>
      <w:r w:rsidR="00711BA2" w:rsidRPr="001005B7">
        <w:rPr>
          <w:sz w:val="18"/>
          <w:szCs w:val="18"/>
        </w:rPr>
        <w:t>LXX</w:t>
      </w:r>
      <w:r w:rsidR="007B00FE" w:rsidRPr="001005B7">
        <w:t>.</w:t>
      </w:r>
      <w:r w:rsidR="007B00FE" w:rsidRPr="001005B7">
        <w:rPr>
          <w:rStyle w:val="FootnoteReference"/>
        </w:rPr>
        <w:footnoteReference w:id="38"/>
      </w:r>
    </w:p>
    <w:p w14:paraId="74B5B943" w14:textId="669E53A4" w:rsidR="004F520C" w:rsidRPr="001005B7" w:rsidRDefault="002B4BB5" w:rsidP="004F520C">
      <w:r w:rsidRPr="001005B7">
        <w:t xml:space="preserve">Much older than </w:t>
      </w:r>
      <w:r w:rsidR="007A142D" w:rsidRPr="001005B7">
        <w:t xml:space="preserve">the copies of </w:t>
      </w:r>
      <w:r w:rsidR="00201F85" w:rsidRPr="001005B7">
        <w:rPr>
          <w:sz w:val="18"/>
          <w:szCs w:val="18"/>
        </w:rPr>
        <w:t>MT</w:t>
      </w:r>
      <w:r w:rsidRPr="001005B7">
        <w:t>, w</w:t>
      </w:r>
      <w:r w:rsidR="00152AF4" w:rsidRPr="001005B7">
        <w:t xml:space="preserve">e have </w:t>
      </w:r>
      <w:r w:rsidR="00FA00E9" w:rsidRPr="001005B7">
        <w:t xml:space="preserve">a </w:t>
      </w:r>
      <w:r w:rsidR="00152AF4" w:rsidRPr="001005B7">
        <w:t>cop</w:t>
      </w:r>
      <w:r w:rsidR="00FA00E9" w:rsidRPr="001005B7">
        <w:t>y</w:t>
      </w:r>
      <w:r w:rsidR="00152AF4" w:rsidRPr="001005B7">
        <w:t xml:space="preserve"> of a translation of </w:t>
      </w:r>
      <w:r w:rsidR="00FA00E9" w:rsidRPr="001005B7">
        <w:t xml:space="preserve">most of </w:t>
      </w:r>
      <w:r w:rsidR="00152AF4" w:rsidRPr="001005B7">
        <w:t xml:space="preserve">Ezekiel into Greek </w:t>
      </w:r>
      <w:r w:rsidR="000A209E" w:rsidRPr="001005B7">
        <w:t xml:space="preserve">from about </w:t>
      </w:r>
      <w:r w:rsidR="00A771FE" w:rsidRPr="001005B7">
        <w:rPr>
          <w:sz w:val="18"/>
          <w:szCs w:val="18"/>
        </w:rPr>
        <w:t>AD</w:t>
      </w:r>
      <w:r w:rsidR="000A209E" w:rsidRPr="001005B7">
        <w:t xml:space="preserve"> 200</w:t>
      </w:r>
      <w:r w:rsidR="00A771FE" w:rsidRPr="001005B7">
        <w:t xml:space="preserve">, in </w:t>
      </w:r>
      <w:r w:rsidR="00F4130C" w:rsidRPr="001005B7">
        <w:t xml:space="preserve">Chester Beatty </w:t>
      </w:r>
      <w:r w:rsidR="00A771FE" w:rsidRPr="001005B7">
        <w:t>Papyrus</w:t>
      </w:r>
      <w:r w:rsidR="00394297" w:rsidRPr="001005B7">
        <w:t xml:space="preserve"> 967</w:t>
      </w:r>
      <w:r w:rsidR="00695BD5" w:rsidRPr="001005B7">
        <w:t>,</w:t>
      </w:r>
      <w:r w:rsidR="00312390" w:rsidRPr="001005B7">
        <w:rPr>
          <w:rStyle w:val="FootnoteReference"/>
        </w:rPr>
        <w:footnoteReference w:id="39"/>
      </w:r>
      <w:r w:rsidR="007976A4" w:rsidRPr="001005B7">
        <w:t xml:space="preserve"> and complete </w:t>
      </w:r>
      <w:r w:rsidR="006E3ACD" w:rsidRPr="001005B7">
        <w:t>manuscripts of the Septuagint</w:t>
      </w:r>
      <w:r w:rsidR="007976A4" w:rsidRPr="001005B7">
        <w:t xml:space="preserve"> </w:t>
      </w:r>
      <w:r w:rsidR="00152AF4" w:rsidRPr="001005B7">
        <w:t>from the fourth or fifth century</w:t>
      </w:r>
      <w:r w:rsidR="00E71DAA" w:rsidRPr="001005B7">
        <w:t xml:space="preserve"> </w:t>
      </w:r>
      <w:r w:rsidR="00644199" w:rsidRPr="001005B7">
        <w:rPr>
          <w:sz w:val="18"/>
          <w:szCs w:val="18"/>
        </w:rPr>
        <w:t>AD</w:t>
      </w:r>
      <w:r w:rsidR="00EE4135" w:rsidRPr="001005B7">
        <w:t>,</w:t>
      </w:r>
      <w:r w:rsidR="00152AF4" w:rsidRPr="001005B7">
        <w:t xml:space="preserve"> the Vatican Codex and the Alexandrian Codex. Th</w:t>
      </w:r>
      <w:r w:rsidR="001B21D6" w:rsidRPr="001005B7">
        <w:t>us th</w:t>
      </w:r>
      <w:r w:rsidR="008F6D25" w:rsidRPr="001005B7">
        <w:t>e</w:t>
      </w:r>
      <w:r w:rsidR="00282D96" w:rsidRPr="001005B7">
        <w:t xml:space="preserve"> </w:t>
      </w:r>
      <w:r w:rsidR="00CF2D2D" w:rsidRPr="001005B7">
        <w:rPr>
          <w:sz w:val="18"/>
          <w:szCs w:val="18"/>
        </w:rPr>
        <w:t>LXX</w:t>
      </w:r>
      <w:r w:rsidR="001627DD" w:rsidRPr="001005B7">
        <w:t xml:space="preserve"> </w:t>
      </w:r>
      <w:r w:rsidR="001627DD" w:rsidRPr="001005B7">
        <w:rPr>
          <w:lang w:eastAsia="en-GB"/>
        </w:rPr>
        <w:t>has its own history, extend</w:t>
      </w:r>
      <w:r w:rsidR="00AA035E" w:rsidRPr="001005B7">
        <w:rPr>
          <w:lang w:eastAsia="en-GB"/>
        </w:rPr>
        <w:t>ing</w:t>
      </w:r>
      <w:r w:rsidR="001627DD" w:rsidRPr="001005B7">
        <w:rPr>
          <w:lang w:eastAsia="en-GB"/>
        </w:rPr>
        <w:t xml:space="preserve"> back </w:t>
      </w:r>
      <w:r w:rsidR="000901E0" w:rsidRPr="001005B7">
        <w:rPr>
          <w:lang w:eastAsia="en-GB"/>
        </w:rPr>
        <w:t>into P 967</w:t>
      </w:r>
      <w:r w:rsidR="000901E0">
        <w:rPr>
          <w:lang w:eastAsia="en-GB"/>
        </w:rPr>
        <w:t xml:space="preserve"> </w:t>
      </w:r>
      <w:r w:rsidR="001627DD" w:rsidRPr="001005B7">
        <w:rPr>
          <w:lang w:eastAsia="en-GB"/>
        </w:rPr>
        <w:t>before the text represented by the Vatican and Alexandrian manuscripts, and continu</w:t>
      </w:r>
      <w:r w:rsidR="00AA035E" w:rsidRPr="001005B7">
        <w:rPr>
          <w:lang w:eastAsia="en-GB"/>
        </w:rPr>
        <w:t>ing</w:t>
      </w:r>
      <w:r w:rsidR="001627DD" w:rsidRPr="001005B7">
        <w:rPr>
          <w:lang w:eastAsia="en-GB"/>
        </w:rPr>
        <w:t xml:space="preserve"> after it in the </w:t>
      </w:r>
      <w:proofErr w:type="spellStart"/>
      <w:r w:rsidR="001627DD" w:rsidRPr="001005B7">
        <w:rPr>
          <w:lang w:eastAsia="en-GB"/>
        </w:rPr>
        <w:t>Lucianic</w:t>
      </w:r>
      <w:proofErr w:type="spellEnd"/>
      <w:r w:rsidR="001627DD" w:rsidRPr="001005B7">
        <w:rPr>
          <w:lang w:eastAsia="en-GB"/>
        </w:rPr>
        <w:t xml:space="preserve"> text.</w:t>
      </w:r>
      <w:r w:rsidR="001627DD" w:rsidRPr="001005B7">
        <w:rPr>
          <w:rStyle w:val="FootnoteReference"/>
          <w:lang w:eastAsia="en-GB"/>
        </w:rPr>
        <w:footnoteReference w:id="40"/>
      </w:r>
      <w:r w:rsidR="00F64A59" w:rsidRPr="001005B7">
        <w:rPr>
          <w:lang w:eastAsia="en-GB"/>
        </w:rPr>
        <w:t xml:space="preserve"> </w:t>
      </w:r>
      <w:r w:rsidR="006D5D1F" w:rsidRPr="001005B7">
        <w:rPr>
          <w:lang w:eastAsia="en-GB"/>
        </w:rPr>
        <w:t>I</w:t>
      </w:r>
      <w:r w:rsidR="004A15A2" w:rsidRPr="001005B7">
        <w:rPr>
          <w:lang w:eastAsia="en-GB"/>
        </w:rPr>
        <w:t>n principle one m</w:t>
      </w:r>
      <w:r w:rsidR="002C61F6" w:rsidRPr="001005B7">
        <w:rPr>
          <w:lang w:eastAsia="en-GB"/>
        </w:rPr>
        <w:t>ay</w:t>
      </w:r>
      <w:r w:rsidR="004A15A2" w:rsidRPr="001005B7">
        <w:rPr>
          <w:lang w:eastAsia="en-GB"/>
        </w:rPr>
        <w:t xml:space="preserve"> seek to recon</w:t>
      </w:r>
      <w:r w:rsidR="00076290" w:rsidRPr="001005B7">
        <w:rPr>
          <w:lang w:eastAsia="en-GB"/>
        </w:rPr>
        <w:t xml:space="preserve">struct from </w:t>
      </w:r>
      <w:r w:rsidR="00D87E8D" w:rsidRPr="001005B7">
        <w:rPr>
          <w:sz w:val="18"/>
          <w:szCs w:val="18"/>
        </w:rPr>
        <w:t>MT</w:t>
      </w:r>
      <w:r w:rsidR="00076290" w:rsidRPr="001005B7">
        <w:rPr>
          <w:lang w:eastAsia="en-GB"/>
        </w:rPr>
        <w:t xml:space="preserve"> and </w:t>
      </w:r>
      <w:r w:rsidR="00711BA2" w:rsidRPr="001005B7">
        <w:rPr>
          <w:sz w:val="18"/>
          <w:szCs w:val="18"/>
        </w:rPr>
        <w:t>LXX</w:t>
      </w:r>
      <w:r w:rsidR="00076290" w:rsidRPr="001005B7">
        <w:rPr>
          <w:lang w:eastAsia="en-GB"/>
        </w:rPr>
        <w:t xml:space="preserve"> a version of the Hebrew text that </w:t>
      </w:r>
      <w:r w:rsidR="002C61F6" w:rsidRPr="001005B7">
        <w:rPr>
          <w:lang w:eastAsia="en-GB"/>
        </w:rPr>
        <w:t>i</w:t>
      </w:r>
      <w:r w:rsidR="00076290" w:rsidRPr="001005B7">
        <w:rPr>
          <w:lang w:eastAsia="en-GB"/>
        </w:rPr>
        <w:t>s older than either</w:t>
      </w:r>
      <w:r w:rsidR="00632D82" w:rsidRPr="001005B7">
        <w:rPr>
          <w:lang w:eastAsia="en-GB"/>
        </w:rPr>
        <w:t>.</w:t>
      </w:r>
      <w:r w:rsidR="00451FC5" w:rsidRPr="001005B7">
        <w:rPr>
          <w:rStyle w:val="FootnoteReference"/>
          <w:lang w:eastAsia="en-GB"/>
        </w:rPr>
        <w:footnoteReference w:id="41"/>
      </w:r>
      <w:r w:rsidR="004A22A3" w:rsidRPr="001005B7">
        <w:rPr>
          <w:lang w:eastAsia="en-GB"/>
        </w:rPr>
        <w:t xml:space="preserve"> </w:t>
      </w:r>
      <w:r w:rsidR="00680120">
        <w:rPr>
          <w:lang w:eastAsia="en-GB"/>
        </w:rPr>
        <w:t xml:space="preserve">While </w:t>
      </w:r>
      <w:r w:rsidR="0004020B">
        <w:rPr>
          <w:lang w:eastAsia="en-GB"/>
        </w:rPr>
        <w:t>v</w:t>
      </w:r>
      <w:r w:rsidR="000F557D" w:rsidRPr="001005B7">
        <w:t>iews</w:t>
      </w:r>
      <w:r w:rsidR="009F186D" w:rsidRPr="001005B7">
        <w:t xml:space="preserve"> </w:t>
      </w:r>
      <w:r w:rsidR="000F557D" w:rsidRPr="001005B7">
        <w:t xml:space="preserve">differ </w:t>
      </w:r>
      <w:r w:rsidR="00D45B1B" w:rsidRPr="001005B7">
        <w:t>over</w:t>
      </w:r>
      <w:r w:rsidR="000F557D" w:rsidRPr="001005B7">
        <w:t xml:space="preserve"> whether P 967 may evidence an older version of Ezekiel than that in </w:t>
      </w:r>
      <w:r w:rsidR="000F557D" w:rsidRPr="001005B7">
        <w:rPr>
          <w:sz w:val="18"/>
          <w:szCs w:val="18"/>
        </w:rPr>
        <w:t>MT</w:t>
      </w:r>
      <w:r w:rsidR="000E74BF" w:rsidRPr="001005B7">
        <w:t xml:space="preserve">, which will carry </w:t>
      </w:r>
      <w:r w:rsidR="00514CB4" w:rsidRPr="001005B7">
        <w:t>implications</w:t>
      </w:r>
      <w:r w:rsidR="000E74BF" w:rsidRPr="001005B7">
        <w:t xml:space="preserve"> for this projec</w:t>
      </w:r>
      <w:r w:rsidR="00514CB4" w:rsidRPr="001005B7">
        <w:t>t</w:t>
      </w:r>
      <w:r w:rsidR="00B52763" w:rsidRPr="001005B7">
        <w:t>,</w:t>
      </w:r>
      <w:r w:rsidR="00C62827" w:rsidRPr="001005B7">
        <w:t xml:space="preserve"> </w:t>
      </w:r>
      <w:r w:rsidR="00B136D0" w:rsidRPr="001005B7">
        <w:t>there is no evidence of P 967 before the common era or in the first century</w:t>
      </w:r>
      <w:r w:rsidR="00BC6383" w:rsidRPr="001005B7">
        <w:t>,</w:t>
      </w:r>
      <w:r w:rsidR="00632D82" w:rsidRPr="001005B7">
        <w:t xml:space="preserve"> t</w:t>
      </w:r>
      <w:r w:rsidR="009F186D" w:rsidRPr="001005B7">
        <w:t>he Qumran</w:t>
      </w:r>
      <w:r w:rsidR="00694C5B">
        <w:t xml:space="preserve"> and </w:t>
      </w:r>
      <w:r w:rsidR="009F186D" w:rsidRPr="001005B7">
        <w:t>Masada m</w:t>
      </w:r>
      <w:r w:rsidR="00EC2BBB" w:rsidRPr="001005B7">
        <w:t>anuscripts</w:t>
      </w:r>
      <w:r w:rsidR="009F186D" w:rsidRPr="001005B7">
        <w:t xml:space="preserve"> are similar to </w:t>
      </w:r>
      <w:r w:rsidR="009F186D" w:rsidRPr="001005B7">
        <w:rPr>
          <w:sz w:val="18"/>
          <w:szCs w:val="18"/>
        </w:rPr>
        <w:t>MT</w:t>
      </w:r>
      <w:r w:rsidR="009F186D" w:rsidRPr="001005B7">
        <w:t xml:space="preserve"> in their text and sequence, and</w:t>
      </w:r>
      <w:r w:rsidR="00EC2BBB" w:rsidRPr="001005B7">
        <w:t xml:space="preserve"> </w:t>
      </w:r>
      <w:r w:rsidR="00105EA7" w:rsidRPr="001005B7">
        <w:t>a Qumran text called</w:t>
      </w:r>
      <w:r w:rsidR="009F186D" w:rsidRPr="001005B7">
        <w:t xml:space="preserve"> Pseudo-Ezekiel carries the same implication</w:t>
      </w:r>
      <w:r w:rsidR="00F31A06" w:rsidRPr="001005B7">
        <w:t>.</w:t>
      </w:r>
      <w:r w:rsidR="00F31A06" w:rsidRPr="001005B7">
        <w:rPr>
          <w:rStyle w:val="FootnoteReference"/>
        </w:rPr>
        <w:footnoteReference w:id="42"/>
      </w:r>
      <w:r w:rsidR="00C20282" w:rsidRPr="001005B7">
        <w:t xml:space="preserve"> </w:t>
      </w:r>
      <w:r w:rsidR="00FD3E2C" w:rsidRPr="001005B7">
        <w:t>T</w:t>
      </w:r>
      <w:r w:rsidR="00152AF4" w:rsidRPr="001005B7">
        <w:rPr>
          <w:lang w:eastAsia="en-GB"/>
        </w:rPr>
        <w:t xml:space="preserve">he textual notes </w:t>
      </w:r>
      <w:r w:rsidR="00FD3E2C" w:rsidRPr="001005B7">
        <w:rPr>
          <w:lang w:eastAsia="en-GB"/>
        </w:rPr>
        <w:t xml:space="preserve">in this commentary </w:t>
      </w:r>
      <w:r w:rsidR="00152AF4" w:rsidRPr="001005B7">
        <w:rPr>
          <w:lang w:eastAsia="en-GB"/>
        </w:rPr>
        <w:t xml:space="preserve">draw attention to differences between </w:t>
      </w:r>
      <w:r w:rsidR="00201F85" w:rsidRPr="001005B7">
        <w:rPr>
          <w:sz w:val="18"/>
          <w:szCs w:val="18"/>
        </w:rPr>
        <w:t>MT</w:t>
      </w:r>
      <w:r w:rsidR="00152AF4" w:rsidRPr="001005B7">
        <w:rPr>
          <w:lang w:eastAsia="en-GB"/>
        </w:rPr>
        <w:t xml:space="preserve"> and </w:t>
      </w:r>
      <w:r w:rsidR="00152AF4" w:rsidRPr="001005B7">
        <w:rPr>
          <w:sz w:val="18"/>
          <w:szCs w:val="18"/>
          <w:lang w:eastAsia="en-GB"/>
        </w:rPr>
        <w:t>LXX</w:t>
      </w:r>
      <w:r w:rsidR="00152AF4" w:rsidRPr="001005B7">
        <w:rPr>
          <w:lang w:eastAsia="en-GB"/>
        </w:rPr>
        <w:t xml:space="preserve">, from which </w:t>
      </w:r>
      <w:r w:rsidR="001460A8" w:rsidRPr="001005B7">
        <w:rPr>
          <w:lang w:eastAsia="en-GB"/>
        </w:rPr>
        <w:t>one might</w:t>
      </w:r>
      <w:r w:rsidR="00152AF4" w:rsidRPr="001005B7">
        <w:rPr>
          <w:lang w:eastAsia="en-GB"/>
        </w:rPr>
        <w:t xml:space="preserve"> guess where </w:t>
      </w:r>
      <w:r w:rsidR="004B13A6" w:rsidRPr="001005B7">
        <w:rPr>
          <w:sz w:val="18"/>
          <w:szCs w:val="18"/>
        </w:rPr>
        <w:t>LXX</w:t>
      </w:r>
      <w:r w:rsidR="00152AF4" w:rsidRPr="001005B7">
        <w:rPr>
          <w:lang w:eastAsia="en-GB"/>
        </w:rPr>
        <w:t xml:space="preserve"> has lost something or </w:t>
      </w:r>
      <w:r w:rsidR="00201F85" w:rsidRPr="001005B7">
        <w:rPr>
          <w:sz w:val="18"/>
          <w:szCs w:val="18"/>
        </w:rPr>
        <w:t>MT</w:t>
      </w:r>
      <w:r w:rsidR="00152AF4" w:rsidRPr="001005B7">
        <w:rPr>
          <w:lang w:eastAsia="en-GB"/>
        </w:rPr>
        <w:t xml:space="preserve"> has added something</w:t>
      </w:r>
      <w:r w:rsidR="00AC767A" w:rsidRPr="001005B7">
        <w:rPr>
          <w:lang w:eastAsia="en-GB"/>
        </w:rPr>
        <w:t>, but</w:t>
      </w:r>
      <w:r w:rsidR="00152AF4" w:rsidRPr="001005B7">
        <w:rPr>
          <w:lang w:eastAsia="en-GB"/>
        </w:rPr>
        <w:t xml:space="preserve"> </w:t>
      </w:r>
      <w:r w:rsidR="004B13A6" w:rsidRPr="001005B7">
        <w:rPr>
          <w:sz w:val="18"/>
          <w:szCs w:val="18"/>
        </w:rPr>
        <w:t>LXX</w:t>
      </w:r>
      <w:r w:rsidR="00152AF4" w:rsidRPr="001005B7">
        <w:rPr>
          <w:lang w:eastAsia="en-GB"/>
        </w:rPr>
        <w:t xml:space="preserve"> is also interesting for the way it indicates how Jews in its </w:t>
      </w:r>
      <w:r w:rsidR="00F20979" w:rsidRPr="001005B7">
        <w:rPr>
          <w:lang w:eastAsia="en-GB"/>
        </w:rPr>
        <w:t>context</w:t>
      </w:r>
      <w:r w:rsidR="00152AF4" w:rsidRPr="001005B7">
        <w:rPr>
          <w:lang w:eastAsia="en-GB"/>
        </w:rPr>
        <w:t xml:space="preserve"> interpreted the text</w:t>
      </w:r>
      <w:r w:rsidR="007B5EB2" w:rsidRPr="001005B7">
        <w:rPr>
          <w:lang w:eastAsia="en-GB"/>
        </w:rPr>
        <w:t xml:space="preserve"> and were led to bring home its significance for people</w:t>
      </w:r>
      <w:r w:rsidR="00F20979" w:rsidRPr="001005B7">
        <w:rPr>
          <w:lang w:eastAsia="en-GB"/>
        </w:rPr>
        <w:t>.</w:t>
      </w:r>
      <w:r w:rsidR="00D32433" w:rsidRPr="001005B7">
        <w:rPr>
          <w:lang w:eastAsia="en-GB"/>
        </w:rPr>
        <w:t xml:space="preserve"> </w:t>
      </w:r>
    </w:p>
    <w:p w14:paraId="4F18A4D3" w14:textId="6DF4E6A0" w:rsidR="00152AF4" w:rsidRPr="001005B7" w:rsidRDefault="00AE582B" w:rsidP="004F520C">
      <w:r>
        <w:rPr>
          <w:lang w:eastAsia="en-GB"/>
        </w:rPr>
        <w:t>Further i</w:t>
      </w:r>
      <w:r w:rsidR="00F01649" w:rsidRPr="001005B7">
        <w:rPr>
          <w:lang w:eastAsia="en-GB"/>
        </w:rPr>
        <w:t>nsight on the way</w:t>
      </w:r>
      <w:r w:rsidR="007024A5" w:rsidRPr="001005B7">
        <w:rPr>
          <w:lang w:eastAsia="en-GB"/>
        </w:rPr>
        <w:t xml:space="preserve"> Jews and Christians interpreted the Scriptures issues from the</w:t>
      </w:r>
      <w:r w:rsidR="00ED00B1" w:rsidRPr="001005B7">
        <w:rPr>
          <w:lang w:eastAsia="en-GB"/>
        </w:rPr>
        <w:t xml:space="preserve"> other old </w:t>
      </w:r>
      <w:r w:rsidR="004A22A3" w:rsidRPr="001005B7">
        <w:rPr>
          <w:lang w:eastAsia="en-GB"/>
        </w:rPr>
        <w:t>translations</w:t>
      </w:r>
      <w:r w:rsidR="00204979" w:rsidRPr="001005B7">
        <w:rPr>
          <w:lang w:eastAsia="en-GB"/>
        </w:rPr>
        <w:t>,</w:t>
      </w:r>
      <w:r w:rsidR="00152AF4" w:rsidRPr="001005B7">
        <w:rPr>
          <w:lang w:eastAsia="en-GB"/>
        </w:rPr>
        <w:t xml:space="preserve"> </w:t>
      </w:r>
      <w:r w:rsidR="0099639D" w:rsidRPr="001005B7">
        <w:rPr>
          <w:lang w:eastAsia="en-GB"/>
        </w:rPr>
        <w:t xml:space="preserve">notably </w:t>
      </w:r>
      <w:r w:rsidR="00152AF4" w:rsidRPr="001005B7">
        <w:rPr>
          <w:lang w:eastAsia="en-GB"/>
        </w:rPr>
        <w:t>the Latin Vulgate (Vg</w:t>
      </w:r>
      <w:r w:rsidR="00D426D1" w:rsidRPr="001005B7">
        <w:rPr>
          <w:lang w:eastAsia="en-GB"/>
        </w:rPr>
        <w:t>.</w:t>
      </w:r>
      <w:r w:rsidR="00152AF4" w:rsidRPr="001005B7">
        <w:rPr>
          <w:lang w:eastAsia="en-GB"/>
        </w:rPr>
        <w:t>)</w:t>
      </w:r>
      <w:r w:rsidR="00F81DC4" w:rsidRPr="001005B7">
        <w:rPr>
          <w:lang w:eastAsia="en-GB"/>
        </w:rPr>
        <w:t>, the Syria</w:t>
      </w:r>
      <w:r w:rsidR="000B46CC" w:rsidRPr="001005B7">
        <w:rPr>
          <w:lang w:eastAsia="en-GB"/>
        </w:rPr>
        <w:t xml:space="preserve">c </w:t>
      </w:r>
      <w:r w:rsidR="004030DC" w:rsidRPr="001005B7">
        <w:rPr>
          <w:lang w:eastAsia="en-GB"/>
        </w:rPr>
        <w:t xml:space="preserve">or </w:t>
      </w:r>
      <w:proofErr w:type="spellStart"/>
      <w:r w:rsidR="004030DC" w:rsidRPr="001005B7">
        <w:rPr>
          <w:lang w:eastAsia="en-GB"/>
        </w:rPr>
        <w:t>Peshi</w:t>
      </w:r>
      <w:r w:rsidR="00CE7479" w:rsidRPr="001005B7">
        <w:rPr>
          <w:rFonts w:cstheme="minorHAnsi"/>
          <w:lang w:eastAsia="en-GB"/>
        </w:rPr>
        <w:t>ṭ</w:t>
      </w:r>
      <w:r w:rsidR="004030DC" w:rsidRPr="001005B7">
        <w:rPr>
          <w:lang w:eastAsia="en-GB"/>
        </w:rPr>
        <w:t>ta</w:t>
      </w:r>
      <w:proofErr w:type="spellEnd"/>
      <w:r w:rsidR="004030DC" w:rsidRPr="001005B7">
        <w:rPr>
          <w:lang w:eastAsia="en-GB"/>
        </w:rPr>
        <w:t xml:space="preserve"> </w:t>
      </w:r>
      <w:r w:rsidR="000B46CC" w:rsidRPr="001005B7">
        <w:rPr>
          <w:lang w:eastAsia="en-GB"/>
        </w:rPr>
        <w:t>(Syr</w:t>
      </w:r>
      <w:r w:rsidR="00D426D1" w:rsidRPr="001005B7">
        <w:rPr>
          <w:lang w:eastAsia="en-GB"/>
        </w:rPr>
        <w:t>.</w:t>
      </w:r>
      <w:r w:rsidR="000B46CC" w:rsidRPr="001005B7">
        <w:rPr>
          <w:lang w:eastAsia="en-GB"/>
        </w:rPr>
        <w:t>)</w:t>
      </w:r>
      <w:r w:rsidR="00F937C3" w:rsidRPr="001005B7">
        <w:rPr>
          <w:lang w:eastAsia="en-GB"/>
        </w:rPr>
        <w:t>,</w:t>
      </w:r>
      <w:r w:rsidR="00DE6C72" w:rsidRPr="001005B7">
        <w:rPr>
          <w:rStyle w:val="FootnoteReference"/>
          <w:lang w:eastAsia="en-GB"/>
        </w:rPr>
        <w:footnoteReference w:id="43"/>
      </w:r>
      <w:r w:rsidR="00152AF4" w:rsidRPr="001005B7">
        <w:rPr>
          <w:lang w:eastAsia="en-GB"/>
        </w:rPr>
        <w:t xml:space="preserve"> and</w:t>
      </w:r>
      <w:r w:rsidR="00F937C3" w:rsidRPr="001005B7">
        <w:rPr>
          <w:lang w:eastAsia="en-GB"/>
        </w:rPr>
        <w:t xml:space="preserve"> </w:t>
      </w:r>
      <w:r w:rsidR="00BC3D13" w:rsidRPr="001005B7">
        <w:rPr>
          <w:lang w:eastAsia="en-GB"/>
        </w:rPr>
        <w:t>surviving</w:t>
      </w:r>
      <w:r w:rsidR="00856CF3" w:rsidRPr="001005B7">
        <w:rPr>
          <w:lang w:eastAsia="en-GB"/>
        </w:rPr>
        <w:t xml:space="preserve"> fragment</w:t>
      </w:r>
      <w:r w:rsidR="00BC3D13" w:rsidRPr="001005B7">
        <w:rPr>
          <w:lang w:eastAsia="en-GB"/>
        </w:rPr>
        <w:t>s</w:t>
      </w:r>
      <w:r w:rsidR="00856CF3" w:rsidRPr="001005B7">
        <w:rPr>
          <w:lang w:eastAsia="en-GB"/>
        </w:rPr>
        <w:t xml:space="preserve"> of the </w:t>
      </w:r>
      <w:r w:rsidR="00152AF4" w:rsidRPr="001005B7">
        <w:rPr>
          <w:lang w:eastAsia="en-GB"/>
        </w:rPr>
        <w:t>other Greek translations</w:t>
      </w:r>
      <w:r w:rsidR="004F520C" w:rsidRPr="001005B7">
        <w:rPr>
          <w:lang w:eastAsia="en-GB"/>
        </w:rPr>
        <w:t xml:space="preserve"> </w:t>
      </w:r>
      <w:r w:rsidR="00F937C3" w:rsidRPr="001005B7">
        <w:rPr>
          <w:lang w:eastAsia="en-GB"/>
        </w:rPr>
        <w:t>bear</w:t>
      </w:r>
      <w:r w:rsidR="00094DA0" w:rsidRPr="001005B7">
        <w:rPr>
          <w:lang w:eastAsia="en-GB"/>
        </w:rPr>
        <w:t>ing</w:t>
      </w:r>
      <w:r w:rsidR="000A2C41" w:rsidRPr="001005B7">
        <w:rPr>
          <w:lang w:eastAsia="en-GB"/>
        </w:rPr>
        <w:t xml:space="preserve"> </w:t>
      </w:r>
      <w:r w:rsidR="00152AF4" w:rsidRPr="001005B7">
        <w:rPr>
          <w:lang w:eastAsia="en-GB"/>
        </w:rPr>
        <w:t>the names of Aquila, Symmachus, and Theodotion (Aq</w:t>
      </w:r>
      <w:r w:rsidR="00C00E2B" w:rsidRPr="001005B7">
        <w:rPr>
          <w:lang w:eastAsia="en-GB"/>
        </w:rPr>
        <w:t>.</w:t>
      </w:r>
      <w:r w:rsidR="00152AF4" w:rsidRPr="001005B7">
        <w:rPr>
          <w:lang w:eastAsia="en-GB"/>
        </w:rPr>
        <w:t>, Sym</w:t>
      </w:r>
      <w:r w:rsidR="00C00E2B" w:rsidRPr="001005B7">
        <w:rPr>
          <w:lang w:eastAsia="en-GB"/>
        </w:rPr>
        <w:t>.</w:t>
      </w:r>
      <w:r w:rsidR="00152AF4" w:rsidRPr="001005B7">
        <w:rPr>
          <w:lang w:eastAsia="en-GB"/>
        </w:rPr>
        <w:t xml:space="preserve">, and </w:t>
      </w:r>
      <w:proofErr w:type="spellStart"/>
      <w:r w:rsidR="00152AF4" w:rsidRPr="001005B7">
        <w:rPr>
          <w:lang w:eastAsia="en-GB"/>
        </w:rPr>
        <w:t>Theod</w:t>
      </w:r>
      <w:proofErr w:type="spellEnd"/>
      <w:r w:rsidR="00C00E2B" w:rsidRPr="001005B7">
        <w:rPr>
          <w:lang w:eastAsia="en-GB"/>
        </w:rPr>
        <w:t>.</w:t>
      </w:r>
      <w:r w:rsidR="00152AF4" w:rsidRPr="001005B7">
        <w:rPr>
          <w:lang w:eastAsia="en-GB"/>
        </w:rPr>
        <w:t xml:space="preserve">). </w:t>
      </w:r>
      <w:r w:rsidR="000B46CC" w:rsidRPr="001005B7">
        <w:rPr>
          <w:lang w:eastAsia="en-GB"/>
        </w:rPr>
        <w:t xml:space="preserve">The Vulgate and the other Greek </w:t>
      </w:r>
      <w:r w:rsidR="00E4282E" w:rsidRPr="001005B7">
        <w:rPr>
          <w:lang w:eastAsia="en-GB"/>
        </w:rPr>
        <w:t>translation</w:t>
      </w:r>
      <w:r w:rsidR="00211BC9" w:rsidRPr="001005B7">
        <w:rPr>
          <w:lang w:eastAsia="en-GB"/>
        </w:rPr>
        <w:t>s</w:t>
      </w:r>
      <w:r w:rsidR="000B46CC" w:rsidRPr="001005B7">
        <w:rPr>
          <w:lang w:eastAsia="en-GB"/>
        </w:rPr>
        <w:t xml:space="preserve"> generally </w:t>
      </w:r>
      <w:r w:rsidR="00E4282E" w:rsidRPr="001005B7">
        <w:rPr>
          <w:lang w:eastAsia="en-GB"/>
        </w:rPr>
        <w:t xml:space="preserve">correspond more to </w:t>
      </w:r>
      <w:r w:rsidR="00A103A3" w:rsidRPr="001005B7">
        <w:rPr>
          <w:sz w:val="18"/>
          <w:szCs w:val="18"/>
        </w:rPr>
        <w:t>MT</w:t>
      </w:r>
      <w:r w:rsidR="00E4282E" w:rsidRPr="001005B7">
        <w:rPr>
          <w:lang w:eastAsia="en-GB"/>
        </w:rPr>
        <w:t xml:space="preserve"> than </w:t>
      </w:r>
      <w:r w:rsidR="00711BA2" w:rsidRPr="001005B7">
        <w:rPr>
          <w:sz w:val="18"/>
          <w:szCs w:val="18"/>
        </w:rPr>
        <w:t>LXX</w:t>
      </w:r>
      <w:r w:rsidR="00E4282E" w:rsidRPr="001005B7">
        <w:rPr>
          <w:lang w:eastAsia="en-GB"/>
        </w:rPr>
        <w:t xml:space="preserve"> does, </w:t>
      </w:r>
      <w:r w:rsidR="00211BC9" w:rsidRPr="001005B7">
        <w:rPr>
          <w:lang w:eastAsia="en-GB"/>
        </w:rPr>
        <w:t>while</w:t>
      </w:r>
      <w:r w:rsidR="00E4282E" w:rsidRPr="001005B7">
        <w:rPr>
          <w:lang w:eastAsia="en-GB"/>
        </w:rPr>
        <w:t xml:space="preserve"> Syr</w:t>
      </w:r>
      <w:r w:rsidR="000C7BDE" w:rsidRPr="001005B7">
        <w:rPr>
          <w:lang w:eastAsia="en-GB"/>
        </w:rPr>
        <w:t>.</w:t>
      </w:r>
      <w:r w:rsidR="00E4282E" w:rsidRPr="001005B7">
        <w:rPr>
          <w:lang w:eastAsia="en-GB"/>
        </w:rPr>
        <w:t xml:space="preserve"> generally corresponds to </w:t>
      </w:r>
      <w:r w:rsidR="00711BA2" w:rsidRPr="001005B7">
        <w:rPr>
          <w:sz w:val="18"/>
          <w:szCs w:val="18"/>
        </w:rPr>
        <w:t>LXX</w:t>
      </w:r>
      <w:r w:rsidR="00211BC9" w:rsidRPr="001005B7">
        <w:rPr>
          <w:lang w:eastAsia="en-GB"/>
        </w:rPr>
        <w:t>,</w:t>
      </w:r>
      <w:r w:rsidR="00E14266" w:rsidRPr="001005B7">
        <w:rPr>
          <w:lang w:eastAsia="en-GB"/>
        </w:rPr>
        <w:t xml:space="preserve"> </w:t>
      </w:r>
      <w:r w:rsidR="00211BC9" w:rsidRPr="001005B7">
        <w:rPr>
          <w:lang w:eastAsia="en-GB"/>
        </w:rPr>
        <w:t>b</w:t>
      </w:r>
      <w:r w:rsidR="00E14266" w:rsidRPr="001005B7">
        <w:rPr>
          <w:lang w:eastAsia="en-GB"/>
        </w:rPr>
        <w:t>ut t</w:t>
      </w:r>
      <w:r w:rsidR="00152AF4" w:rsidRPr="001005B7">
        <w:rPr>
          <w:lang w:eastAsia="en-GB"/>
        </w:rPr>
        <w:t xml:space="preserve">hey </w:t>
      </w:r>
      <w:r w:rsidR="00E14266" w:rsidRPr="001005B7">
        <w:rPr>
          <w:lang w:eastAsia="en-GB"/>
        </w:rPr>
        <w:t>may</w:t>
      </w:r>
      <w:r w:rsidR="00152AF4" w:rsidRPr="001005B7">
        <w:rPr>
          <w:lang w:eastAsia="en-GB"/>
        </w:rPr>
        <w:t xml:space="preserve"> occasionally put us on the track of different forms of the text</w:t>
      </w:r>
      <w:r w:rsidR="0041174D" w:rsidRPr="001005B7">
        <w:rPr>
          <w:lang w:eastAsia="en-GB"/>
        </w:rPr>
        <w:t xml:space="preserve">. The </w:t>
      </w:r>
      <w:r w:rsidR="0081749A" w:rsidRPr="001005B7">
        <w:rPr>
          <w:lang w:eastAsia="en-GB"/>
        </w:rPr>
        <w:t xml:space="preserve">approach to translation in the </w:t>
      </w:r>
      <w:r w:rsidR="0065724A" w:rsidRPr="001005B7">
        <w:rPr>
          <w:lang w:eastAsia="en-GB"/>
        </w:rPr>
        <w:t xml:space="preserve">Aramaic </w:t>
      </w:r>
      <w:r w:rsidR="00AA3BA4" w:rsidRPr="001005B7">
        <w:rPr>
          <w:lang w:eastAsia="en-GB"/>
        </w:rPr>
        <w:t>paraphrase</w:t>
      </w:r>
      <w:r w:rsidR="0065724A" w:rsidRPr="001005B7">
        <w:rPr>
          <w:lang w:eastAsia="en-GB"/>
        </w:rPr>
        <w:t xml:space="preserve"> in the </w:t>
      </w:r>
      <w:r w:rsidR="0041174D" w:rsidRPr="001005B7">
        <w:rPr>
          <w:lang w:eastAsia="en-GB"/>
        </w:rPr>
        <w:t>Targum</w:t>
      </w:r>
      <w:r w:rsidR="00152AF4" w:rsidRPr="001005B7">
        <w:rPr>
          <w:lang w:eastAsia="en-GB"/>
        </w:rPr>
        <w:t xml:space="preserve"> </w:t>
      </w:r>
      <w:r w:rsidR="0062576D" w:rsidRPr="001005B7">
        <w:rPr>
          <w:lang w:eastAsia="en-GB"/>
        </w:rPr>
        <w:t xml:space="preserve">is </w:t>
      </w:r>
      <w:r w:rsidR="00152AF4" w:rsidRPr="001005B7">
        <w:rPr>
          <w:lang w:eastAsia="en-GB"/>
        </w:rPr>
        <w:t xml:space="preserve">more like </w:t>
      </w:r>
      <w:r w:rsidR="00152AF4" w:rsidRPr="001005B7">
        <w:rPr>
          <w:i/>
          <w:iCs/>
          <w:lang w:eastAsia="en-GB"/>
        </w:rPr>
        <w:t>The Message</w:t>
      </w:r>
      <w:r w:rsidR="004C3409" w:rsidRPr="001A23DA">
        <w:rPr>
          <w:rStyle w:val="FootnoteReference"/>
          <w:lang w:eastAsia="en-GB"/>
        </w:rPr>
        <w:footnoteReference w:id="44"/>
      </w:r>
      <w:r w:rsidR="00152AF4" w:rsidRPr="001A23DA">
        <w:rPr>
          <w:lang w:eastAsia="en-GB"/>
        </w:rPr>
        <w:t xml:space="preserve"> </w:t>
      </w:r>
      <w:r w:rsidR="00152AF4" w:rsidRPr="001005B7">
        <w:rPr>
          <w:lang w:eastAsia="en-GB"/>
        </w:rPr>
        <w:t xml:space="preserve">than </w:t>
      </w:r>
      <w:r w:rsidR="0062576D" w:rsidRPr="001005B7">
        <w:rPr>
          <w:lang w:eastAsia="en-GB"/>
        </w:rPr>
        <w:t>other modern versions</w:t>
      </w:r>
      <w:r w:rsidR="00D72E3D" w:rsidRPr="001005B7">
        <w:rPr>
          <w:lang w:eastAsia="en-GB"/>
        </w:rPr>
        <w:t>, but it also reveals ways in which Jews in its context were understanding the text</w:t>
      </w:r>
      <w:r w:rsidR="00152AF4" w:rsidRPr="001005B7">
        <w:rPr>
          <w:lang w:eastAsia="en-GB"/>
        </w:rPr>
        <w:t xml:space="preserve">. </w:t>
      </w:r>
    </w:p>
    <w:p w14:paraId="5DAB0C15" w14:textId="5B459C3F" w:rsidR="00654758" w:rsidRPr="001005B7" w:rsidRDefault="001A7762" w:rsidP="00864A0D">
      <w:pPr>
        <w:rPr>
          <w:sz w:val="18"/>
          <w:szCs w:val="18"/>
        </w:rPr>
      </w:pPr>
      <w:r w:rsidRPr="001005B7">
        <w:t xml:space="preserve">It is quite possible and valid to write a commentary on the text implied by any of the three traditions, the text reconstructed by scholarly study (see </w:t>
      </w:r>
      <w:proofErr w:type="spellStart"/>
      <w:r w:rsidRPr="001005B7">
        <w:t>Zimmerli</w:t>
      </w:r>
      <w:proofErr w:type="spellEnd"/>
      <w:r w:rsidRPr="001005B7">
        <w:t xml:space="preserve"> and Allen), </w:t>
      </w:r>
      <w:r w:rsidR="00E26403" w:rsidRPr="001005B7">
        <w:rPr>
          <w:sz w:val="18"/>
          <w:szCs w:val="18"/>
        </w:rPr>
        <w:t>LXX</w:t>
      </w:r>
      <w:r w:rsidRPr="001005B7">
        <w:t xml:space="preserve"> (see Olley and Lilly), or </w:t>
      </w:r>
      <w:r w:rsidRPr="001005B7">
        <w:rPr>
          <w:sz w:val="18"/>
          <w:szCs w:val="18"/>
        </w:rPr>
        <w:t>MT</w:t>
      </w:r>
      <w:r w:rsidR="00942908" w:rsidRPr="001005B7">
        <w:t xml:space="preserve"> (</w:t>
      </w:r>
      <w:r w:rsidR="00462090">
        <w:t xml:space="preserve">see </w:t>
      </w:r>
      <w:r w:rsidR="00942908" w:rsidRPr="001005B7">
        <w:t>Greenberg</w:t>
      </w:r>
      <w:r w:rsidR="000670CF">
        <w:t xml:space="preserve"> </w:t>
      </w:r>
      <w:r w:rsidR="00462090">
        <w:t>and Ganzel</w:t>
      </w:r>
      <w:r w:rsidR="00942908" w:rsidRPr="001005B7">
        <w:t>). I</w:t>
      </w:r>
      <w:r w:rsidR="00516D5A" w:rsidRPr="001005B7">
        <w:t>n t</w:t>
      </w:r>
      <w:r w:rsidR="001C79C1" w:rsidRPr="001005B7">
        <w:t>h</w:t>
      </w:r>
      <w:r w:rsidR="001D26E9" w:rsidRPr="001005B7">
        <w:t xml:space="preserve">is commentary </w:t>
      </w:r>
      <w:r w:rsidR="00516D5A" w:rsidRPr="001005B7">
        <w:t xml:space="preserve">I </w:t>
      </w:r>
      <w:r w:rsidR="00D41DC2" w:rsidRPr="001005B7">
        <w:t xml:space="preserve">work </w:t>
      </w:r>
      <w:r w:rsidR="009E7459" w:rsidRPr="001005B7">
        <w:t>with</w:t>
      </w:r>
      <w:r w:rsidR="00152AF4" w:rsidRPr="001005B7">
        <w:t xml:space="preserve"> </w:t>
      </w:r>
      <w:r w:rsidR="001F47B3" w:rsidRPr="001005B7">
        <w:rPr>
          <w:sz w:val="18"/>
          <w:szCs w:val="18"/>
        </w:rPr>
        <w:t>MT</w:t>
      </w:r>
      <w:r w:rsidR="00133C43" w:rsidRPr="001005B7">
        <w:t>, except where I think</w:t>
      </w:r>
      <w:r w:rsidR="002B001E" w:rsidRPr="001005B7">
        <w:t xml:space="preserve"> it may have suffered accidental alteration</w:t>
      </w:r>
      <w:r w:rsidR="001F271E" w:rsidRPr="001005B7">
        <w:t>.</w:t>
      </w:r>
      <w:r w:rsidR="008404F8" w:rsidRPr="001005B7">
        <w:t xml:space="preserve"> </w:t>
      </w:r>
      <w:r w:rsidR="00F70EEB" w:rsidRPr="001005B7">
        <w:t>This policy is more conservative than that assumed by translations such as NRSV and NIV, and the textual notes in the commentary</w:t>
      </w:r>
      <w:r w:rsidR="006214BE" w:rsidRPr="001005B7">
        <w:t xml:space="preserve"> </w:t>
      </w:r>
      <w:r w:rsidR="00F70EEB" w:rsidRPr="001005B7">
        <w:t>mention where the</w:t>
      </w:r>
      <w:r w:rsidR="0070551D" w:rsidRPr="001005B7">
        <w:t>y</w:t>
      </w:r>
      <w:r w:rsidR="00CE7486" w:rsidRPr="001005B7">
        <w:t xml:space="preserve"> presuppose a</w:t>
      </w:r>
      <w:r w:rsidR="00F70EEB" w:rsidRPr="001005B7">
        <w:t xml:space="preserve"> text </w:t>
      </w:r>
      <w:r w:rsidR="00CE7486" w:rsidRPr="001005B7">
        <w:t>differing from</w:t>
      </w:r>
      <w:r w:rsidR="00F70EEB" w:rsidRPr="001005B7">
        <w:t xml:space="preserve"> </w:t>
      </w:r>
      <w:r w:rsidR="00F70EEB" w:rsidRPr="001005B7">
        <w:rPr>
          <w:sz w:val="18"/>
          <w:szCs w:val="18"/>
        </w:rPr>
        <w:t>MT</w:t>
      </w:r>
      <w:r w:rsidR="00F70EEB" w:rsidRPr="001005B7">
        <w:t>.</w:t>
      </w:r>
      <w:r w:rsidR="008C19CA" w:rsidRPr="001005B7">
        <w:t xml:space="preserve"> </w:t>
      </w:r>
      <w:r w:rsidR="001F271E" w:rsidRPr="001005B7">
        <w:t>I am influenced by the consideration that d</w:t>
      </w:r>
      <w:r w:rsidR="008404F8" w:rsidRPr="001005B7">
        <w:t>ifferences between scholarly opinions</w:t>
      </w:r>
      <w:r w:rsidR="008E3FC0">
        <w:t xml:space="preserve"> about the scriptural text</w:t>
      </w:r>
      <w:r w:rsidR="008D7817">
        <w:t xml:space="preserve"> parallel</w:t>
      </w:r>
      <w:r w:rsidR="008E3FC0">
        <w:t xml:space="preserve"> differences about the development of the scroll</w:t>
      </w:r>
      <w:r w:rsidR="00D56ECC">
        <w:t>. They</w:t>
      </w:r>
      <w:r w:rsidR="008404F8" w:rsidRPr="001005B7">
        <w:t xml:space="preserve"> suggest that we cannot with conviction revise </w:t>
      </w:r>
      <w:r w:rsidR="008404F8" w:rsidRPr="001005B7">
        <w:rPr>
          <w:sz w:val="18"/>
          <w:szCs w:val="18"/>
        </w:rPr>
        <w:t>MT</w:t>
      </w:r>
      <w:r w:rsidR="008404F8" w:rsidRPr="001005B7">
        <w:t xml:space="preserve"> so as to reach an earlier text corresponding closer to Ezekiel’s</w:t>
      </w:r>
      <w:r w:rsidR="005343E6" w:rsidRPr="001005B7">
        <w:t>. C</w:t>
      </w:r>
      <w:r w:rsidR="008404F8" w:rsidRPr="001005B7">
        <w:t xml:space="preserve">hanges we make </w:t>
      </w:r>
      <w:r w:rsidR="003717F1" w:rsidRPr="001005B7">
        <w:t>may</w:t>
      </w:r>
      <w:r w:rsidR="008404F8" w:rsidRPr="001005B7">
        <w:t xml:space="preserve"> sometimes be right but sometimes be wrong, so that the end result is no nearer Ezekiel then </w:t>
      </w:r>
      <w:r w:rsidR="008404F8" w:rsidRPr="001005B7">
        <w:rPr>
          <w:sz w:val="18"/>
          <w:szCs w:val="18"/>
        </w:rPr>
        <w:t>MT</w:t>
      </w:r>
      <w:r w:rsidR="00133C43" w:rsidRPr="001005B7">
        <w:t>.</w:t>
      </w:r>
      <w:r w:rsidR="00152AF4" w:rsidRPr="001005B7">
        <w:t xml:space="preserve"> </w:t>
      </w:r>
      <w:r w:rsidR="00CB78AD" w:rsidRPr="001005B7">
        <w:t>I</w:t>
      </w:r>
      <w:r w:rsidR="00152AF4" w:rsidRPr="001005B7">
        <w:t xml:space="preserve"> am </w:t>
      </w:r>
      <w:r w:rsidR="00034C9E" w:rsidRPr="001005B7">
        <w:t>also</w:t>
      </w:r>
      <w:r w:rsidR="00CB78AD" w:rsidRPr="001005B7">
        <w:t xml:space="preserve"> </w:t>
      </w:r>
      <w:r w:rsidR="00152AF4" w:rsidRPr="001005B7">
        <w:t>happy to</w:t>
      </w:r>
      <w:r w:rsidR="00E54A5A" w:rsidRPr="001005B7">
        <w:t xml:space="preserve"> focus on </w:t>
      </w:r>
      <w:r w:rsidR="00E54A5A" w:rsidRPr="001005B7">
        <w:rPr>
          <w:sz w:val="18"/>
          <w:szCs w:val="18"/>
        </w:rPr>
        <w:t xml:space="preserve">MT as </w:t>
      </w:r>
      <w:r w:rsidR="00E54A5A" w:rsidRPr="001005B7">
        <w:t>the traditional Jewish text of the Scriptures</w:t>
      </w:r>
      <w:r w:rsidR="00E54A5A" w:rsidRPr="001005B7">
        <w:rPr>
          <w:rStyle w:val="FootnoteReference"/>
        </w:rPr>
        <w:footnoteReference w:id="45"/>
      </w:r>
      <w:r w:rsidR="00E54A5A" w:rsidRPr="001005B7">
        <w:t xml:space="preserve"> and to </w:t>
      </w:r>
      <w:r w:rsidR="00152AF4" w:rsidRPr="001005B7">
        <w:t>operate with what might look like “Masoretic fundamentalism</w:t>
      </w:r>
      <w:r w:rsidR="005979CF" w:rsidRPr="001005B7">
        <w:t>,</w:t>
      </w:r>
      <w:r w:rsidR="00152AF4" w:rsidRPr="001005B7">
        <w:t>”</w:t>
      </w:r>
      <w:r w:rsidR="00152AF4" w:rsidRPr="001005B7">
        <w:rPr>
          <w:rStyle w:val="FootnoteReference"/>
        </w:rPr>
        <w:footnoteReference w:id="46"/>
      </w:r>
      <w:r w:rsidR="00152AF4" w:rsidRPr="001005B7">
        <w:t xml:space="preserve"> on the assumption that</w:t>
      </w:r>
      <w:r w:rsidR="00BD4315" w:rsidRPr="001005B7">
        <w:t xml:space="preserve"> an </w:t>
      </w:r>
      <w:r w:rsidR="00BD4315" w:rsidRPr="001005B7">
        <w:rPr>
          <w:sz w:val="18"/>
          <w:szCs w:val="18"/>
        </w:rPr>
        <w:t>MT</w:t>
      </w:r>
      <w:r w:rsidR="00BD4315" w:rsidRPr="001005B7">
        <w:t>-type</w:t>
      </w:r>
      <w:r w:rsidR="00152AF4" w:rsidRPr="001005B7">
        <w:t xml:space="preserve"> text is one that the Holy Spirit was</w:t>
      </w:r>
      <w:r w:rsidR="006C372E" w:rsidRPr="001005B7">
        <w:t xml:space="preserve"> </w:t>
      </w:r>
      <w:r w:rsidR="00152AF4" w:rsidRPr="001005B7">
        <w:t>happy with.</w:t>
      </w:r>
      <w:r w:rsidR="007158B1" w:rsidRPr="001005B7">
        <w:t xml:space="preserve"> </w:t>
      </w:r>
      <w:r w:rsidR="001E1AC3" w:rsidRPr="001005B7">
        <w:t>And I am</w:t>
      </w:r>
      <w:r w:rsidR="005B6E42" w:rsidRPr="001005B7">
        <w:t xml:space="preserve"> </w:t>
      </w:r>
      <w:r w:rsidR="00075B1E" w:rsidRPr="001005B7">
        <w:t>happy</w:t>
      </w:r>
      <w:r w:rsidR="00AF5D71" w:rsidRPr="001005B7">
        <w:t xml:space="preserve"> to follow the traditional Hebrew text because it is expressed in the language of Ezekiel </w:t>
      </w:r>
      <w:r w:rsidR="00BF6636" w:rsidRPr="001005B7">
        <w:t>and</w:t>
      </w:r>
      <w:r w:rsidR="00AF5D71" w:rsidRPr="001005B7">
        <w:t xml:space="preserve"> his curators</w:t>
      </w:r>
      <w:r w:rsidR="00DB2E36" w:rsidRPr="001005B7">
        <w:t xml:space="preserve"> and is</w:t>
      </w:r>
      <w:r w:rsidR="00AF5D71" w:rsidRPr="001005B7">
        <w:t xml:space="preserve"> not a translation.</w:t>
      </w:r>
      <w:r w:rsidR="00DF78B7" w:rsidRPr="001005B7">
        <w:t xml:space="preserve"> It is a converse to the view</w:t>
      </w:r>
      <w:r w:rsidR="00FF5AD1" w:rsidRPr="001005B7">
        <w:t xml:space="preserve"> now held among</w:t>
      </w:r>
      <w:r w:rsidR="008A0155" w:rsidRPr="001005B7">
        <w:t xml:space="preserve"> Septuagint</w:t>
      </w:r>
      <w:r w:rsidR="00FF5AD1" w:rsidRPr="001005B7">
        <w:t xml:space="preserve"> scholars, that </w:t>
      </w:r>
      <w:r w:rsidR="00634E14" w:rsidRPr="001005B7">
        <w:rPr>
          <w:sz w:val="18"/>
          <w:szCs w:val="18"/>
        </w:rPr>
        <w:t>LXX</w:t>
      </w:r>
      <w:r w:rsidR="00FF5AD1" w:rsidRPr="001005B7">
        <w:t xml:space="preserve"> should be considered and interpreted as a work in its own right and not simply </w:t>
      </w:r>
      <w:r w:rsidR="00EB00E6" w:rsidRPr="001005B7">
        <w:t>quarried for help with the Hebrew text</w:t>
      </w:r>
      <w:r w:rsidR="00885AEE" w:rsidRPr="001005B7">
        <w:t xml:space="preserve"> (see </w:t>
      </w:r>
      <w:r w:rsidR="006F0797" w:rsidRPr="001005B7">
        <w:t>Olley).</w:t>
      </w:r>
      <w:r w:rsidR="00131AE8" w:rsidRPr="001005B7">
        <w:t xml:space="preserve"> </w:t>
      </w:r>
    </w:p>
    <w:p w14:paraId="704B6D89" w14:textId="7BE0CA9B" w:rsidR="00A6172C" w:rsidRPr="001005B7" w:rsidRDefault="00A6172C" w:rsidP="00493833">
      <w:pPr>
        <w:pStyle w:val="Heading3"/>
      </w:pPr>
      <w:r w:rsidRPr="001005B7">
        <w:t xml:space="preserve">The </w:t>
      </w:r>
      <w:r w:rsidR="00505BDD" w:rsidRPr="001005B7">
        <w:t>Poetry</w:t>
      </w:r>
      <w:r w:rsidR="007C4870">
        <w:t>,</w:t>
      </w:r>
      <w:r w:rsidR="00505BDD" w:rsidRPr="001005B7">
        <w:t xml:space="preserve"> the </w:t>
      </w:r>
      <w:r w:rsidRPr="001005B7">
        <w:t>Prose</w:t>
      </w:r>
      <w:r w:rsidR="007C4870">
        <w:t>, and the Translation</w:t>
      </w:r>
    </w:p>
    <w:p w14:paraId="7D108307" w14:textId="4541C7A7" w:rsidR="000B0E7F" w:rsidRPr="001005B7" w:rsidRDefault="00997855" w:rsidP="0019434A">
      <w:pPr>
        <w:rPr>
          <w:lang w:eastAsia="en-GB"/>
        </w:rPr>
      </w:pPr>
      <w:r w:rsidRPr="001005B7">
        <w:rPr>
          <w:lang w:eastAsia="en-GB"/>
        </w:rPr>
        <w:t>The bul</w:t>
      </w:r>
      <w:r w:rsidR="00485796" w:rsidRPr="001005B7">
        <w:rPr>
          <w:lang w:eastAsia="en-GB"/>
        </w:rPr>
        <w:t>k of Ezekiel is prose</w:t>
      </w:r>
      <w:r w:rsidR="00485CF5" w:rsidRPr="001005B7">
        <w:rPr>
          <w:lang w:eastAsia="en-GB"/>
        </w:rPr>
        <w:t>, which</w:t>
      </w:r>
      <w:r w:rsidR="00485796" w:rsidRPr="001005B7">
        <w:rPr>
          <w:lang w:eastAsia="en-GB"/>
        </w:rPr>
        <w:t xml:space="preserve"> distinguishes </w:t>
      </w:r>
      <w:r w:rsidR="00D03510" w:rsidRPr="001005B7">
        <w:rPr>
          <w:lang w:eastAsia="en-GB"/>
        </w:rPr>
        <w:t>t</w:t>
      </w:r>
      <w:r w:rsidR="00485796" w:rsidRPr="001005B7">
        <w:rPr>
          <w:lang w:eastAsia="en-GB"/>
        </w:rPr>
        <w:t xml:space="preserve">his scroll from </w:t>
      </w:r>
      <w:r w:rsidR="004A4949" w:rsidRPr="001005B7">
        <w:rPr>
          <w:lang w:eastAsia="en-GB"/>
        </w:rPr>
        <w:t xml:space="preserve">the </w:t>
      </w:r>
      <w:r w:rsidR="00CF07D6" w:rsidRPr="001005B7">
        <w:rPr>
          <w:lang w:eastAsia="en-GB"/>
        </w:rPr>
        <w:t>other</w:t>
      </w:r>
      <w:r w:rsidR="00A93E1D" w:rsidRPr="001005B7">
        <w:rPr>
          <w:lang w:eastAsia="en-GB"/>
        </w:rPr>
        <w:t xml:space="preserve"> p</w:t>
      </w:r>
      <w:r w:rsidR="004A4949" w:rsidRPr="001005B7">
        <w:rPr>
          <w:lang w:eastAsia="en-GB"/>
        </w:rPr>
        <w:t>rophets</w:t>
      </w:r>
      <w:r w:rsidR="00485796" w:rsidRPr="001005B7">
        <w:rPr>
          <w:lang w:eastAsia="en-GB"/>
        </w:rPr>
        <w:t>.</w:t>
      </w:r>
      <w:r w:rsidR="00296A0B" w:rsidRPr="001005B7">
        <w:rPr>
          <w:lang w:eastAsia="en-GB"/>
        </w:rPr>
        <w:t xml:space="preserve"> Perhaps</w:t>
      </w:r>
      <w:r w:rsidR="00D86FBC" w:rsidRPr="001005B7">
        <w:rPr>
          <w:lang w:eastAsia="en-GB"/>
        </w:rPr>
        <w:t xml:space="preserve"> </w:t>
      </w:r>
      <w:r w:rsidR="00C4310A" w:rsidRPr="001005B7">
        <w:rPr>
          <w:lang w:eastAsia="en-GB"/>
        </w:rPr>
        <w:t>Ezekiel</w:t>
      </w:r>
      <w:r w:rsidR="002860E2" w:rsidRPr="001005B7">
        <w:rPr>
          <w:lang w:eastAsia="en-GB"/>
        </w:rPr>
        <w:t xml:space="preserve"> spoke more in prose than other prophets</w:t>
      </w:r>
      <w:r w:rsidR="002D354C" w:rsidRPr="001005B7">
        <w:rPr>
          <w:lang w:eastAsia="en-GB"/>
        </w:rPr>
        <w:t xml:space="preserve"> did</w:t>
      </w:r>
      <w:r w:rsidR="00CF07D6" w:rsidRPr="001005B7">
        <w:rPr>
          <w:lang w:eastAsia="en-GB"/>
        </w:rPr>
        <w:t xml:space="preserve">, or perhaps </w:t>
      </w:r>
      <w:r w:rsidR="002C2DEE" w:rsidRPr="001005B7">
        <w:rPr>
          <w:lang w:eastAsia="en-GB"/>
        </w:rPr>
        <w:t>he spoke in poetry but put</w:t>
      </w:r>
      <w:r w:rsidR="00CA144A" w:rsidRPr="001005B7">
        <w:rPr>
          <w:lang w:eastAsia="en-GB"/>
        </w:rPr>
        <w:t xml:space="preserve"> his</w:t>
      </w:r>
      <w:r w:rsidR="002C2DEE" w:rsidRPr="001005B7">
        <w:rPr>
          <w:lang w:eastAsia="en-GB"/>
        </w:rPr>
        <w:t xml:space="preserve"> messages into prose when writing his memoir</w:t>
      </w:r>
      <w:r w:rsidR="002860E2" w:rsidRPr="001005B7">
        <w:rPr>
          <w:lang w:eastAsia="en-GB"/>
        </w:rPr>
        <w:t>.</w:t>
      </w:r>
      <w:r w:rsidR="007B06E2" w:rsidRPr="001005B7">
        <w:rPr>
          <w:rStyle w:val="FootnoteReference"/>
          <w:lang w:eastAsia="en-GB"/>
        </w:rPr>
        <w:footnoteReference w:id="47"/>
      </w:r>
      <w:r w:rsidR="00FF5818" w:rsidRPr="001005B7">
        <w:rPr>
          <w:lang w:eastAsia="en-GB"/>
        </w:rPr>
        <w:t xml:space="preserve"> </w:t>
      </w:r>
    </w:p>
    <w:p w14:paraId="41B6A2C1" w14:textId="13D36AAC" w:rsidR="00B477A0" w:rsidRPr="001005B7" w:rsidRDefault="00B80189" w:rsidP="00B477A0">
      <w:pPr>
        <w:rPr>
          <w:lang w:eastAsia="en-GB"/>
        </w:rPr>
      </w:pPr>
      <w:r w:rsidRPr="001005B7">
        <w:rPr>
          <w:lang w:eastAsia="en-GB"/>
        </w:rPr>
        <w:t xml:space="preserve">In Hebrew the distinction between prose and poetry can be </w:t>
      </w:r>
      <w:r w:rsidR="00672040" w:rsidRPr="001005B7">
        <w:rPr>
          <w:lang w:eastAsia="en-GB"/>
        </w:rPr>
        <w:t>fuzzy</w:t>
      </w:r>
      <w:r w:rsidR="00A559A3" w:rsidRPr="001005B7">
        <w:rPr>
          <w:lang w:eastAsia="en-GB"/>
        </w:rPr>
        <w:t>. Prose can be poetic and poetry can be prosaic, and translations vary over how much of Ezekiel they print as poetry.</w:t>
      </w:r>
      <w:r w:rsidRPr="001005B7">
        <w:rPr>
          <w:lang w:eastAsia="en-GB"/>
        </w:rPr>
        <w:t xml:space="preserve"> </w:t>
      </w:r>
      <w:r w:rsidR="00106F84" w:rsidRPr="001005B7">
        <w:rPr>
          <w:lang w:eastAsia="en-GB"/>
        </w:rPr>
        <w:t xml:space="preserve">Hebrew poetry has three </w:t>
      </w:r>
      <w:r w:rsidR="002512C3" w:rsidRPr="001005B7">
        <w:rPr>
          <w:lang w:eastAsia="en-GB"/>
        </w:rPr>
        <w:t>classic formal</w:t>
      </w:r>
      <w:r w:rsidR="00106F84" w:rsidRPr="001005B7">
        <w:rPr>
          <w:lang w:eastAsia="en-GB"/>
        </w:rPr>
        <w:t xml:space="preserve"> </w:t>
      </w:r>
      <w:r w:rsidR="00D7299C" w:rsidRPr="001005B7">
        <w:rPr>
          <w:lang w:eastAsia="en-GB"/>
        </w:rPr>
        <w:t xml:space="preserve">markers. Its sentences are </w:t>
      </w:r>
      <w:r w:rsidR="0088446D" w:rsidRPr="001005B7">
        <w:rPr>
          <w:lang w:eastAsia="en-GB"/>
        </w:rPr>
        <w:t xml:space="preserve">generally </w:t>
      </w:r>
      <w:r w:rsidR="00D7299C" w:rsidRPr="001005B7">
        <w:rPr>
          <w:lang w:eastAsia="en-GB"/>
        </w:rPr>
        <w:t>short, comprising four to eight words</w:t>
      </w:r>
      <w:r w:rsidR="003068C2" w:rsidRPr="001005B7">
        <w:rPr>
          <w:lang w:eastAsia="en-GB"/>
        </w:rPr>
        <w:t>, though</w:t>
      </w:r>
      <w:r w:rsidR="002222D6" w:rsidRPr="001005B7">
        <w:rPr>
          <w:lang w:eastAsia="en-GB"/>
        </w:rPr>
        <w:t xml:space="preserve"> a poet can cheat by hyphenating words</w:t>
      </w:r>
      <w:r w:rsidR="003068C2" w:rsidRPr="001005B7">
        <w:rPr>
          <w:lang w:eastAsia="en-GB"/>
        </w:rPr>
        <w:t>, and</w:t>
      </w:r>
      <w:r w:rsidR="00DB47ED" w:rsidRPr="001005B7">
        <w:rPr>
          <w:lang w:eastAsia="en-GB"/>
        </w:rPr>
        <w:t xml:space="preserve"> </w:t>
      </w:r>
      <w:r w:rsidR="00DB47ED" w:rsidRPr="001005B7">
        <w:t xml:space="preserve">sometimes </w:t>
      </w:r>
      <w:r w:rsidR="003068C2" w:rsidRPr="001005B7">
        <w:t>one</w:t>
      </w:r>
      <w:r w:rsidR="00DB47ED" w:rsidRPr="001005B7">
        <w:t xml:space="preserve"> line </w:t>
      </w:r>
      <w:r w:rsidR="003068C2" w:rsidRPr="001005B7">
        <w:t xml:space="preserve">can </w:t>
      </w:r>
      <w:r w:rsidR="00DB47ED" w:rsidRPr="001005B7">
        <w:t>flow into the next by enjambment (e.g., 7:11</w:t>
      </w:r>
      <w:r w:rsidR="00F46900" w:rsidRPr="001005B7">
        <w:t>–</w:t>
      </w:r>
      <w:r w:rsidR="00DB47ED" w:rsidRPr="001005B7">
        <w:t>12, 16).</w:t>
      </w:r>
      <w:r w:rsidR="00D7299C" w:rsidRPr="001005B7">
        <w:rPr>
          <w:lang w:eastAsia="en-GB"/>
        </w:rPr>
        <w:t xml:space="preserve"> </w:t>
      </w:r>
      <w:r w:rsidR="009C229F" w:rsidRPr="001005B7">
        <w:rPr>
          <w:lang w:eastAsia="en-GB"/>
        </w:rPr>
        <w:t>Second, t</w:t>
      </w:r>
      <w:r w:rsidR="005B0E20" w:rsidRPr="001005B7">
        <w:rPr>
          <w:lang w:eastAsia="en-GB"/>
        </w:rPr>
        <w:t>he</w:t>
      </w:r>
      <w:r w:rsidR="00DB47ED" w:rsidRPr="001005B7">
        <w:rPr>
          <w:lang w:eastAsia="en-GB"/>
        </w:rPr>
        <w:t xml:space="preserve"> lines</w:t>
      </w:r>
      <w:r w:rsidR="005B0E20" w:rsidRPr="001005B7">
        <w:rPr>
          <w:lang w:eastAsia="en-GB"/>
        </w:rPr>
        <w:t xml:space="preserve"> </w:t>
      </w:r>
      <w:r w:rsidR="0063360B" w:rsidRPr="001005B7">
        <w:rPr>
          <w:lang w:eastAsia="en-GB"/>
        </w:rPr>
        <w:t xml:space="preserve">are </w:t>
      </w:r>
      <w:r w:rsidR="007D2F5E" w:rsidRPr="001005B7">
        <w:rPr>
          <w:lang w:eastAsia="en-GB"/>
        </w:rPr>
        <w:t xml:space="preserve">generally </w:t>
      </w:r>
      <w:proofErr w:type="spellStart"/>
      <w:r w:rsidR="0063360B" w:rsidRPr="001005B7">
        <w:rPr>
          <w:lang w:eastAsia="en-GB"/>
        </w:rPr>
        <w:t>bicola</w:t>
      </w:r>
      <w:proofErr w:type="spellEnd"/>
      <w:r w:rsidR="0063360B" w:rsidRPr="001005B7">
        <w:rPr>
          <w:lang w:eastAsia="en-GB"/>
        </w:rPr>
        <w:t>,</w:t>
      </w:r>
      <w:r w:rsidR="00EA1EEE" w:rsidRPr="001005B7">
        <w:rPr>
          <w:lang w:eastAsia="en-GB"/>
        </w:rPr>
        <w:t>*</w:t>
      </w:r>
      <w:r w:rsidR="005B0E20" w:rsidRPr="001005B7">
        <w:rPr>
          <w:lang w:eastAsia="en-GB"/>
        </w:rPr>
        <w:t xml:space="preserve"> with not more than four word</w:t>
      </w:r>
      <w:r w:rsidR="002512C3" w:rsidRPr="001005B7">
        <w:rPr>
          <w:lang w:eastAsia="en-GB"/>
        </w:rPr>
        <w:t>s in each</w:t>
      </w:r>
      <w:r w:rsidR="00952D15" w:rsidRPr="001005B7">
        <w:rPr>
          <w:lang w:eastAsia="en-GB"/>
        </w:rPr>
        <w:t xml:space="preserve"> colon</w:t>
      </w:r>
      <w:r w:rsidR="00311539" w:rsidRPr="001005B7">
        <w:rPr>
          <w:lang w:eastAsia="en-GB"/>
        </w:rPr>
        <w:t>.</w:t>
      </w:r>
      <w:r w:rsidR="00026D1F" w:rsidRPr="001005B7">
        <w:rPr>
          <w:lang w:eastAsia="en-GB"/>
        </w:rPr>
        <w:t>*</w:t>
      </w:r>
      <w:r w:rsidR="00311539" w:rsidRPr="001005B7">
        <w:rPr>
          <w:lang w:eastAsia="en-GB"/>
        </w:rPr>
        <w:t xml:space="preserve"> Third, </w:t>
      </w:r>
      <w:r w:rsidR="002512C3" w:rsidRPr="001005B7">
        <w:rPr>
          <w:lang w:eastAsia="en-GB"/>
        </w:rPr>
        <w:t xml:space="preserve">the second </w:t>
      </w:r>
      <w:r w:rsidR="003A2956" w:rsidRPr="001005B7">
        <w:rPr>
          <w:lang w:eastAsia="en-GB"/>
        </w:rPr>
        <w:t>half</w:t>
      </w:r>
      <w:r w:rsidR="002512C3" w:rsidRPr="001005B7">
        <w:rPr>
          <w:lang w:eastAsia="en-GB"/>
        </w:rPr>
        <w:t xml:space="preserve"> restat</w:t>
      </w:r>
      <w:r w:rsidR="00C3379E" w:rsidRPr="001005B7">
        <w:rPr>
          <w:lang w:eastAsia="en-GB"/>
        </w:rPr>
        <w:t>es</w:t>
      </w:r>
      <w:r w:rsidR="003A2956" w:rsidRPr="001005B7">
        <w:rPr>
          <w:lang w:eastAsia="en-GB"/>
        </w:rPr>
        <w:t>,</w:t>
      </w:r>
      <w:r w:rsidR="002512C3" w:rsidRPr="001005B7">
        <w:rPr>
          <w:lang w:eastAsia="en-GB"/>
        </w:rPr>
        <w:t xml:space="preserve"> contrast</w:t>
      </w:r>
      <w:r w:rsidR="00C3379E" w:rsidRPr="001005B7">
        <w:rPr>
          <w:lang w:eastAsia="en-GB"/>
        </w:rPr>
        <w:t>s</w:t>
      </w:r>
      <w:r w:rsidR="002512C3" w:rsidRPr="001005B7">
        <w:rPr>
          <w:lang w:eastAsia="en-GB"/>
        </w:rPr>
        <w:t xml:space="preserve"> with</w:t>
      </w:r>
      <w:r w:rsidR="003A2956" w:rsidRPr="001005B7">
        <w:rPr>
          <w:lang w:eastAsia="en-GB"/>
        </w:rPr>
        <w:t>,</w:t>
      </w:r>
      <w:r w:rsidR="002512C3" w:rsidRPr="001005B7">
        <w:rPr>
          <w:lang w:eastAsia="en-GB"/>
        </w:rPr>
        <w:t xml:space="preserve"> or complet</w:t>
      </w:r>
      <w:r w:rsidR="00C3379E" w:rsidRPr="001005B7">
        <w:rPr>
          <w:lang w:eastAsia="en-GB"/>
        </w:rPr>
        <w:t>es</w:t>
      </w:r>
      <w:r w:rsidR="002512C3" w:rsidRPr="001005B7">
        <w:rPr>
          <w:lang w:eastAsia="en-GB"/>
        </w:rPr>
        <w:t xml:space="preserve"> the first</w:t>
      </w:r>
      <w:r w:rsidR="007D2F5E" w:rsidRPr="001005B7">
        <w:rPr>
          <w:lang w:eastAsia="en-GB"/>
        </w:rPr>
        <w:t xml:space="preserve"> half</w:t>
      </w:r>
      <w:r w:rsidR="003F3A87" w:rsidRPr="001005B7">
        <w:rPr>
          <w:lang w:eastAsia="en-GB"/>
        </w:rPr>
        <w:t xml:space="preserve">, with </w:t>
      </w:r>
      <w:r w:rsidR="00F06885" w:rsidRPr="001005B7">
        <w:t>a verb</w:t>
      </w:r>
      <w:r w:rsidR="001C1192">
        <w:t xml:space="preserve"> or some other element</w:t>
      </w:r>
      <w:r w:rsidR="00F06885" w:rsidRPr="001005B7">
        <w:t xml:space="preserve"> in the first colon </w:t>
      </w:r>
      <w:r w:rsidR="00757BDA" w:rsidRPr="001005B7">
        <w:t>sometimes</w:t>
      </w:r>
      <w:r w:rsidR="00F06885" w:rsidRPr="001005B7">
        <w:t xml:space="preserve"> also apply</w:t>
      </w:r>
      <w:r w:rsidR="00757BDA" w:rsidRPr="001005B7">
        <w:t>ing</w:t>
      </w:r>
      <w:r w:rsidR="00F06885" w:rsidRPr="001005B7">
        <w:t xml:space="preserve"> in the second (e.g., 7:4b, 21). </w:t>
      </w:r>
      <w:r w:rsidR="00E93665" w:rsidRPr="001005B7">
        <w:rPr>
          <w:lang w:eastAsia="en-GB"/>
        </w:rPr>
        <w:t xml:space="preserve">The poetry may </w:t>
      </w:r>
      <w:r w:rsidR="00155533" w:rsidRPr="001005B7">
        <w:t>make use of anaphora</w:t>
      </w:r>
      <w:r w:rsidR="00E93665" w:rsidRPr="001005B7">
        <w:t>*</w:t>
      </w:r>
      <w:r w:rsidR="00155533" w:rsidRPr="001005B7">
        <w:t xml:space="preserve"> (e.g., 7:2, 5, 6</w:t>
      </w:r>
      <w:r w:rsidR="00F46900" w:rsidRPr="001005B7">
        <w:t>–</w:t>
      </w:r>
      <w:r w:rsidR="00155533" w:rsidRPr="001005B7">
        <w:t>7)</w:t>
      </w:r>
      <w:r w:rsidR="00F50EF1" w:rsidRPr="001005B7">
        <w:t>,</w:t>
      </w:r>
      <w:r w:rsidR="00D47909" w:rsidRPr="001005B7">
        <w:t xml:space="preserve"> s</w:t>
      </w:r>
      <w:r w:rsidR="00155533" w:rsidRPr="001005B7">
        <w:t xml:space="preserve">ometimes </w:t>
      </w:r>
      <w:r w:rsidR="00951F8E" w:rsidRPr="001005B7">
        <w:t>a tr</w:t>
      </w:r>
      <w:r w:rsidR="00D40137" w:rsidRPr="001005B7">
        <w:t>i</w:t>
      </w:r>
      <w:r w:rsidR="00951F8E" w:rsidRPr="001005B7">
        <w:t>colon</w:t>
      </w:r>
      <w:r w:rsidR="00D40137" w:rsidRPr="001005B7">
        <w:t>*</w:t>
      </w:r>
      <w:r w:rsidR="007863BA" w:rsidRPr="001005B7">
        <w:t xml:space="preserve"> </w:t>
      </w:r>
      <w:r w:rsidR="00155533" w:rsidRPr="001005B7">
        <w:t>may open</w:t>
      </w:r>
      <w:r w:rsidR="007863BA" w:rsidRPr="001005B7">
        <w:t xml:space="preserve"> or close</w:t>
      </w:r>
      <w:r w:rsidR="00155533" w:rsidRPr="001005B7">
        <w:t xml:space="preserve"> a section (e.g., 7:4b, 21</w:t>
      </w:r>
      <w:r w:rsidR="007863BA" w:rsidRPr="001005B7">
        <w:t>, 23</w:t>
      </w:r>
      <w:r w:rsidR="00951F8E" w:rsidRPr="001005B7">
        <w:t>)</w:t>
      </w:r>
      <w:r w:rsidR="00F50EF1" w:rsidRPr="001005B7">
        <w:t>, a</w:t>
      </w:r>
      <w:r w:rsidR="004E0C46" w:rsidRPr="001005B7">
        <w:t xml:space="preserve">nd sometimes a long or short colon may add emphasis (e.g., 7:8; 17:9; 22:3; 25:7; 27:34) or </w:t>
      </w:r>
      <w:r w:rsidR="00AB490A" w:rsidRPr="001005B7">
        <w:t xml:space="preserve">may </w:t>
      </w:r>
      <w:r w:rsidR="004E0C46" w:rsidRPr="001005B7">
        <w:t>signal closure (7:9).</w:t>
      </w:r>
      <w:r w:rsidR="00B477A0" w:rsidRPr="001005B7">
        <w:t xml:space="preserve"> </w:t>
      </w:r>
      <w:r w:rsidR="00F41A84" w:rsidRPr="001005B7">
        <w:rPr>
          <w:lang w:eastAsia="en-GB"/>
        </w:rPr>
        <w:t>On the basis of the presence of rhythm and parallelism,</w:t>
      </w:r>
      <w:r w:rsidR="00B06C56" w:rsidRPr="001005B7">
        <w:rPr>
          <w:lang w:eastAsia="en-GB"/>
        </w:rPr>
        <w:t xml:space="preserve">* </w:t>
      </w:r>
      <w:r w:rsidR="00693A57" w:rsidRPr="001005B7">
        <w:rPr>
          <w:lang w:eastAsia="en-GB"/>
        </w:rPr>
        <w:t>I</w:t>
      </w:r>
      <w:r w:rsidR="007665E8" w:rsidRPr="001005B7">
        <w:rPr>
          <w:lang w:eastAsia="en-GB"/>
        </w:rPr>
        <w:t xml:space="preserve"> </w:t>
      </w:r>
      <w:r w:rsidR="009D03D5" w:rsidRPr="001005B7">
        <w:rPr>
          <w:lang w:eastAsia="en-GB"/>
        </w:rPr>
        <w:t>maximize the extent to which I lay out the messages as poetry</w:t>
      </w:r>
      <w:r w:rsidR="00B06C56" w:rsidRPr="001005B7">
        <w:rPr>
          <w:lang w:eastAsia="en-GB"/>
        </w:rPr>
        <w:t>.</w:t>
      </w:r>
      <w:r w:rsidR="004B59C3" w:rsidRPr="001005B7">
        <w:rPr>
          <w:lang w:eastAsia="en-GB"/>
        </w:rPr>
        <w:t xml:space="preserve"> </w:t>
      </w:r>
    </w:p>
    <w:p w14:paraId="77497550" w14:textId="4AE7A059" w:rsidR="00C55EB6" w:rsidRPr="001005B7" w:rsidRDefault="00F9281A" w:rsidP="00B477A0">
      <w:pPr>
        <w:rPr>
          <w:lang w:eastAsia="en-GB"/>
        </w:rPr>
      </w:pPr>
      <w:r w:rsidRPr="001005B7">
        <w:rPr>
          <w:lang w:eastAsia="en-GB"/>
        </w:rPr>
        <w:t xml:space="preserve">Poetry’s </w:t>
      </w:r>
      <w:r w:rsidR="004B59C3" w:rsidRPr="001005B7">
        <w:rPr>
          <w:lang w:eastAsia="en-GB"/>
        </w:rPr>
        <w:t xml:space="preserve">nature is also to be succinct and </w:t>
      </w:r>
      <w:r w:rsidR="001E019F" w:rsidRPr="001005B7">
        <w:rPr>
          <w:lang w:eastAsia="en-GB"/>
        </w:rPr>
        <w:t xml:space="preserve">to </w:t>
      </w:r>
      <w:r w:rsidR="00DB05FE" w:rsidRPr="001005B7">
        <w:rPr>
          <w:lang w:eastAsia="en-GB"/>
        </w:rPr>
        <w:t>make l</w:t>
      </w:r>
      <w:r w:rsidRPr="001005B7">
        <w:rPr>
          <w:lang w:eastAsia="en-GB"/>
        </w:rPr>
        <w:t>ess</w:t>
      </w:r>
      <w:r w:rsidR="00DB05FE" w:rsidRPr="001005B7">
        <w:rPr>
          <w:lang w:eastAsia="en-GB"/>
        </w:rPr>
        <w:t xml:space="preserve"> use of the little words that facilitate communication in prose</w:t>
      </w:r>
      <w:r w:rsidR="00A06FB5" w:rsidRPr="001005B7">
        <w:rPr>
          <w:lang w:eastAsia="en-GB"/>
        </w:rPr>
        <w:t xml:space="preserve"> (the object marker, the relative, and even prepositions). This helps po</w:t>
      </w:r>
      <w:r w:rsidR="001A4817" w:rsidRPr="001005B7">
        <w:rPr>
          <w:lang w:eastAsia="en-GB"/>
        </w:rPr>
        <w:t>e</w:t>
      </w:r>
      <w:r w:rsidR="00A06FB5" w:rsidRPr="001005B7">
        <w:rPr>
          <w:lang w:eastAsia="en-GB"/>
        </w:rPr>
        <w:t xml:space="preserve">try be dense and </w:t>
      </w:r>
      <w:r w:rsidR="005104D4" w:rsidRPr="001005B7">
        <w:rPr>
          <w:lang w:eastAsia="en-GB"/>
        </w:rPr>
        <w:t xml:space="preserve">it </w:t>
      </w:r>
      <w:r w:rsidR="001A4817" w:rsidRPr="001005B7">
        <w:rPr>
          <w:lang w:eastAsia="en-GB"/>
        </w:rPr>
        <w:t xml:space="preserve">drives listeners to be more attentive and </w:t>
      </w:r>
      <w:r w:rsidR="00B070FC" w:rsidRPr="001005B7">
        <w:rPr>
          <w:lang w:eastAsia="en-GB"/>
        </w:rPr>
        <w:t xml:space="preserve">to </w:t>
      </w:r>
      <w:r w:rsidR="001A4817" w:rsidRPr="001005B7">
        <w:rPr>
          <w:lang w:eastAsia="en-GB"/>
        </w:rPr>
        <w:t>think hard if they want to understand.</w:t>
      </w:r>
      <w:r w:rsidR="00B4110D" w:rsidRPr="001005B7">
        <w:rPr>
          <w:lang w:eastAsia="en-GB"/>
        </w:rPr>
        <w:t xml:space="preserve"> </w:t>
      </w:r>
      <w:r w:rsidR="00242572" w:rsidRPr="001005B7">
        <w:rPr>
          <w:lang w:eastAsia="en-GB"/>
        </w:rPr>
        <w:t>I</w:t>
      </w:r>
      <w:r w:rsidR="006478EE" w:rsidRPr="001005B7">
        <w:rPr>
          <w:lang w:eastAsia="en-GB"/>
        </w:rPr>
        <w:t>t</w:t>
      </w:r>
      <w:r w:rsidR="00242572" w:rsidRPr="001005B7">
        <w:rPr>
          <w:lang w:eastAsia="en-GB"/>
        </w:rPr>
        <w:t xml:space="preserve"> can </w:t>
      </w:r>
      <w:r w:rsidR="00B070FC" w:rsidRPr="001005B7">
        <w:rPr>
          <w:lang w:eastAsia="en-GB"/>
        </w:rPr>
        <w:t xml:space="preserve">also </w:t>
      </w:r>
      <w:r w:rsidR="00242572" w:rsidRPr="001005B7">
        <w:rPr>
          <w:lang w:eastAsia="en-GB"/>
        </w:rPr>
        <w:t>make the poetry elliptical,</w:t>
      </w:r>
      <w:r w:rsidR="00B05F11">
        <w:rPr>
          <w:lang w:eastAsia="en-GB"/>
        </w:rPr>
        <w:t>*</w:t>
      </w:r>
      <w:r w:rsidR="002B1315" w:rsidRPr="001005B7">
        <w:rPr>
          <w:lang w:eastAsia="en-GB"/>
        </w:rPr>
        <w:t xml:space="preserve"> a factor that </w:t>
      </w:r>
      <w:r w:rsidR="00242572" w:rsidRPr="001005B7">
        <w:rPr>
          <w:lang w:eastAsia="en-GB"/>
        </w:rPr>
        <w:t>prompts</w:t>
      </w:r>
      <w:r w:rsidR="002B1315" w:rsidRPr="001005B7">
        <w:rPr>
          <w:lang w:eastAsia="en-GB"/>
        </w:rPr>
        <w:t xml:space="preserve"> editors to emend the text to make it more straightforward. </w:t>
      </w:r>
      <w:r w:rsidR="0050416F" w:rsidRPr="001005B7">
        <w:rPr>
          <w:lang w:eastAsia="en-GB"/>
        </w:rPr>
        <w:t>Denseness and challenge also issue from</w:t>
      </w:r>
      <w:r w:rsidR="00D7425C" w:rsidRPr="001005B7">
        <w:rPr>
          <w:lang w:eastAsia="en-GB"/>
        </w:rPr>
        <w:t xml:space="preserve"> poetry’s use of imagery, though Ezekiel’s poetic language is not very different from his prose</w:t>
      </w:r>
      <w:r w:rsidR="00345B50" w:rsidRPr="001005B7">
        <w:rPr>
          <w:lang w:eastAsia="en-GB"/>
        </w:rPr>
        <w:t>, and h</w:t>
      </w:r>
      <w:r w:rsidR="00D7425C" w:rsidRPr="001005B7">
        <w:rPr>
          <w:lang w:eastAsia="en-GB"/>
        </w:rPr>
        <w:t>is prose is also colorful</w:t>
      </w:r>
      <w:r w:rsidR="009C3C2A" w:rsidRPr="001005B7">
        <w:rPr>
          <w:lang w:eastAsia="en-GB"/>
        </w:rPr>
        <w:t xml:space="preserve"> in </w:t>
      </w:r>
      <w:r w:rsidR="00DF2AAF" w:rsidRPr="001005B7">
        <w:rPr>
          <w:lang w:eastAsia="en-GB"/>
        </w:rPr>
        <w:t>i</w:t>
      </w:r>
      <w:r w:rsidR="009C3C2A" w:rsidRPr="001005B7">
        <w:rPr>
          <w:lang w:eastAsia="en-GB"/>
        </w:rPr>
        <w:t xml:space="preserve">ts use of imagery, </w:t>
      </w:r>
      <w:r w:rsidR="0029206C" w:rsidRPr="001005B7">
        <w:rPr>
          <w:lang w:eastAsia="en-GB"/>
        </w:rPr>
        <w:t xml:space="preserve">simile, </w:t>
      </w:r>
      <w:r w:rsidR="005714BC" w:rsidRPr="001005B7">
        <w:rPr>
          <w:lang w:eastAsia="en-GB"/>
        </w:rPr>
        <w:t>metaphor</w:t>
      </w:r>
      <w:r w:rsidR="00851FBB" w:rsidRPr="001005B7">
        <w:rPr>
          <w:lang w:eastAsia="en-GB"/>
        </w:rPr>
        <w:t>,</w:t>
      </w:r>
      <w:r w:rsidR="005714BC" w:rsidRPr="001005B7">
        <w:rPr>
          <w:lang w:eastAsia="en-GB"/>
        </w:rPr>
        <w:t xml:space="preserve"> </w:t>
      </w:r>
      <w:r w:rsidR="0029206C" w:rsidRPr="001005B7">
        <w:rPr>
          <w:lang w:eastAsia="en-GB"/>
        </w:rPr>
        <w:t>parable,</w:t>
      </w:r>
      <w:r w:rsidR="00F14EA6" w:rsidRPr="001005B7">
        <w:rPr>
          <w:lang w:eastAsia="en-GB"/>
        </w:rPr>
        <w:t>*</w:t>
      </w:r>
      <w:r w:rsidR="0029206C" w:rsidRPr="001005B7">
        <w:rPr>
          <w:lang w:eastAsia="en-GB"/>
        </w:rPr>
        <w:t xml:space="preserve"> and allegory.</w:t>
      </w:r>
      <w:r w:rsidR="00F14EA6" w:rsidRPr="001005B7">
        <w:rPr>
          <w:lang w:eastAsia="en-GB"/>
        </w:rPr>
        <w:t>*</w:t>
      </w:r>
      <w:r w:rsidR="0029206C" w:rsidRPr="001005B7">
        <w:rPr>
          <w:lang w:eastAsia="en-GB"/>
        </w:rPr>
        <w:t xml:space="preserve"> </w:t>
      </w:r>
      <w:r w:rsidR="00C55EB6" w:rsidRPr="001005B7">
        <w:rPr>
          <w:lang w:eastAsia="en-GB"/>
        </w:rPr>
        <w:t>The creativity and vividness of Ezekiel’s use of</w:t>
      </w:r>
      <w:r w:rsidR="00851FBB" w:rsidRPr="001005B7">
        <w:rPr>
          <w:lang w:eastAsia="en-GB"/>
        </w:rPr>
        <w:t xml:space="preserve"> </w:t>
      </w:r>
      <w:r w:rsidR="00640968" w:rsidRPr="001005B7">
        <w:rPr>
          <w:lang w:eastAsia="en-GB"/>
        </w:rPr>
        <w:t>image</w:t>
      </w:r>
      <w:r w:rsidR="00851FBB" w:rsidRPr="001005B7">
        <w:rPr>
          <w:lang w:eastAsia="en-GB"/>
        </w:rPr>
        <w:t>ry</w:t>
      </w:r>
      <w:r w:rsidR="00640968" w:rsidRPr="001005B7">
        <w:rPr>
          <w:lang w:eastAsia="en-GB"/>
        </w:rPr>
        <w:t xml:space="preserve">, </w:t>
      </w:r>
      <w:r w:rsidR="00C55EB6" w:rsidRPr="001005B7">
        <w:rPr>
          <w:lang w:eastAsia="en-GB"/>
        </w:rPr>
        <w:t>metaphor and simile</w:t>
      </w:r>
      <w:r w:rsidR="002D72AF" w:rsidRPr="001005B7">
        <w:rPr>
          <w:lang w:eastAsia="en-GB"/>
        </w:rPr>
        <w:t>,</w:t>
      </w:r>
      <w:r w:rsidR="00C55EB6" w:rsidRPr="001005B7">
        <w:rPr>
          <w:lang w:eastAsia="en-GB"/>
        </w:rPr>
        <w:t xml:space="preserve"> </w:t>
      </w:r>
      <w:r w:rsidR="006C07BB" w:rsidRPr="001005B7">
        <w:rPr>
          <w:lang w:eastAsia="en-GB"/>
        </w:rPr>
        <w:t>go along with</w:t>
      </w:r>
      <w:r w:rsidR="00480D99" w:rsidRPr="001005B7">
        <w:rPr>
          <w:lang w:eastAsia="en-GB"/>
        </w:rPr>
        <w:t xml:space="preserve"> his insistence on the illegitimacy of </w:t>
      </w:r>
      <w:r w:rsidR="00640968" w:rsidRPr="001005B7">
        <w:rPr>
          <w:lang w:eastAsia="en-GB"/>
        </w:rPr>
        <w:t>material images.</w:t>
      </w:r>
      <w:r w:rsidR="0035594D" w:rsidRPr="001005B7">
        <w:rPr>
          <w:rStyle w:val="FootnoteReference"/>
          <w:lang w:eastAsia="en-GB"/>
        </w:rPr>
        <w:footnoteReference w:id="48"/>
      </w:r>
    </w:p>
    <w:p w14:paraId="28D4AD3D" w14:textId="5DDF8578" w:rsidR="00AD168D" w:rsidRDefault="00D96882" w:rsidP="003C67AE">
      <w:pPr>
        <w:rPr>
          <w:lang w:eastAsia="en-GB"/>
        </w:rPr>
      </w:pPr>
      <w:r>
        <w:rPr>
          <w:lang w:eastAsia="en-GB"/>
        </w:rPr>
        <w:t>Ezekiel’s prose has a number of distinctive features</w:t>
      </w:r>
      <w:r w:rsidR="00BD760E">
        <w:rPr>
          <w:lang w:eastAsia="en-GB"/>
        </w:rPr>
        <w:t xml:space="preserve"> that</w:t>
      </w:r>
      <w:r w:rsidR="003510E1">
        <w:rPr>
          <w:lang w:eastAsia="en-GB"/>
        </w:rPr>
        <w:t xml:space="preserve"> </w:t>
      </w:r>
      <w:r w:rsidR="00157137" w:rsidRPr="001005B7">
        <w:rPr>
          <w:lang w:eastAsia="en-GB"/>
        </w:rPr>
        <w:t>English translations m</w:t>
      </w:r>
      <w:r w:rsidR="005C2565">
        <w:rPr>
          <w:lang w:eastAsia="en-GB"/>
        </w:rPr>
        <w:t>ay</w:t>
      </w:r>
      <w:r w:rsidR="00157137" w:rsidRPr="001005B7">
        <w:rPr>
          <w:lang w:eastAsia="en-GB"/>
        </w:rPr>
        <w:t xml:space="preserve"> ignor</w:t>
      </w:r>
      <w:r w:rsidR="005B1398">
        <w:rPr>
          <w:lang w:eastAsia="en-GB"/>
        </w:rPr>
        <w:t>e</w:t>
      </w:r>
      <w:r w:rsidR="003C67AE">
        <w:rPr>
          <w:lang w:eastAsia="en-GB"/>
        </w:rPr>
        <w:t>,</w:t>
      </w:r>
      <w:r w:rsidR="00157137" w:rsidRPr="001005B7">
        <w:rPr>
          <w:lang w:eastAsia="en-GB"/>
        </w:rPr>
        <w:t xml:space="preserve"> and </w:t>
      </w:r>
      <w:r w:rsidR="003C67AE">
        <w:rPr>
          <w:lang w:eastAsia="en-GB"/>
        </w:rPr>
        <w:t>I</w:t>
      </w:r>
      <w:r w:rsidR="00157137" w:rsidRPr="001005B7">
        <w:rPr>
          <w:lang w:eastAsia="en-GB"/>
        </w:rPr>
        <w:t xml:space="preserve"> do not usually comment on them</w:t>
      </w:r>
      <w:r w:rsidR="003510E1">
        <w:rPr>
          <w:lang w:eastAsia="en-GB"/>
        </w:rPr>
        <w:t>,</w:t>
      </w:r>
      <w:r w:rsidR="00157137" w:rsidRPr="001005B7">
        <w:rPr>
          <w:lang w:eastAsia="en-GB"/>
        </w:rPr>
        <w:t xml:space="preserve"> </w:t>
      </w:r>
      <w:r w:rsidR="003C67AE">
        <w:rPr>
          <w:lang w:eastAsia="en-GB"/>
        </w:rPr>
        <w:t xml:space="preserve">but </w:t>
      </w:r>
      <w:r w:rsidR="00157137" w:rsidRPr="001005B7">
        <w:rPr>
          <w:lang w:eastAsia="en-GB"/>
        </w:rPr>
        <w:t>some</w:t>
      </w:r>
      <w:r w:rsidR="005B1398">
        <w:rPr>
          <w:lang w:eastAsia="en-GB"/>
        </w:rPr>
        <w:t xml:space="preserve"> </w:t>
      </w:r>
      <w:r w:rsidR="00157137" w:rsidRPr="001005B7">
        <w:rPr>
          <w:lang w:eastAsia="en-GB"/>
        </w:rPr>
        <w:t xml:space="preserve">make a difference to translation. </w:t>
      </w:r>
      <w:r w:rsidR="00AD168D">
        <w:rPr>
          <w:lang w:eastAsia="en-GB"/>
        </w:rPr>
        <w:t xml:space="preserve">The most significant </w:t>
      </w:r>
      <w:r w:rsidR="00661CF8">
        <w:rPr>
          <w:lang w:eastAsia="en-GB"/>
        </w:rPr>
        <w:t xml:space="preserve">relate to </w:t>
      </w:r>
      <w:r w:rsidR="00DB004C">
        <w:rPr>
          <w:lang w:eastAsia="en-GB"/>
        </w:rPr>
        <w:t xml:space="preserve">variations from </w:t>
      </w:r>
      <w:r w:rsidR="00661CF8">
        <w:rPr>
          <w:lang w:eastAsia="en-GB"/>
        </w:rPr>
        <w:t xml:space="preserve">the basic form a Hebrew sentence. </w:t>
      </w:r>
      <w:r w:rsidR="004908D3">
        <w:rPr>
          <w:lang w:eastAsia="en-GB"/>
        </w:rPr>
        <w:t>A typical</w:t>
      </w:r>
      <w:r w:rsidR="00444509">
        <w:rPr>
          <w:lang w:eastAsia="en-GB"/>
        </w:rPr>
        <w:t xml:space="preserve"> Hebrew sentence </w:t>
      </w:r>
      <w:r w:rsidR="001C3954">
        <w:rPr>
          <w:lang w:eastAsia="en-GB"/>
        </w:rPr>
        <w:t>r</w:t>
      </w:r>
      <w:r w:rsidR="00444509">
        <w:rPr>
          <w:lang w:eastAsia="en-GB"/>
        </w:rPr>
        <w:t xml:space="preserve">uns:  </w:t>
      </w:r>
    </w:p>
    <w:p w14:paraId="6BF70D91" w14:textId="77777777" w:rsidR="005074BD" w:rsidRPr="00391D85" w:rsidRDefault="005074BD" w:rsidP="00157137">
      <w:pPr>
        <w:rPr>
          <w:rFonts w:ascii="Calibri" w:hAnsi="Calibri" w:cs="Calibri"/>
          <w:lang w:eastAsia="en-GB"/>
        </w:rPr>
      </w:pPr>
    </w:p>
    <w:p w14:paraId="67D3AE94" w14:textId="71652E82" w:rsidR="00CE1E8B" w:rsidRPr="00391D85" w:rsidRDefault="005074BD" w:rsidP="00B477A0">
      <w:pPr>
        <w:rPr>
          <w:rFonts w:ascii="Calibri" w:hAnsi="Calibri" w:cs="Calibri"/>
          <w:color w:val="000000"/>
          <w:shd w:val="clear" w:color="auto" w:fill="FFFFFF"/>
        </w:rPr>
      </w:pPr>
      <w:proofErr w:type="spellStart"/>
      <w:r w:rsidRPr="00391D85">
        <w:rPr>
          <w:rFonts w:ascii="Calibri" w:hAnsi="Calibri" w:cs="Calibri"/>
          <w:color w:val="000000"/>
          <w:shd w:val="clear" w:color="auto" w:fill="FFFFFF"/>
        </w:rPr>
        <w:t>וַת</w:t>
      </w:r>
      <w:proofErr w:type="spellEnd"/>
      <w:r w:rsidRPr="00391D85">
        <w:rPr>
          <w:rFonts w:ascii="Calibri" w:hAnsi="Calibri" w:cs="Calibri"/>
          <w:color w:val="000000"/>
          <w:shd w:val="clear" w:color="auto" w:fill="FFFFFF"/>
        </w:rPr>
        <w:t xml:space="preserve">ִּשָּׂ֣א </w:t>
      </w:r>
      <w:proofErr w:type="spellStart"/>
      <w:r w:rsidRPr="00391D85">
        <w:rPr>
          <w:rFonts w:ascii="Calibri" w:hAnsi="Calibri" w:cs="Calibri"/>
          <w:color w:val="000000"/>
          <w:shd w:val="clear" w:color="auto" w:fill="FFFFFF"/>
        </w:rPr>
        <w:t>אֹת</w:t>
      </w:r>
      <w:proofErr w:type="spellEnd"/>
      <w:r w:rsidRPr="00391D85">
        <w:rPr>
          <w:rFonts w:ascii="Calibri" w:hAnsi="Calibri" w:cs="Calibri"/>
          <w:color w:val="000000"/>
          <w:shd w:val="clear" w:color="auto" w:fill="FFFFFF"/>
        </w:rPr>
        <w:t xml:space="preserve">ִ֣י </w:t>
      </w:r>
      <w:proofErr w:type="spellStart"/>
      <w:r w:rsidRPr="00391D85">
        <w:rPr>
          <w:rFonts w:ascii="Calibri" w:hAnsi="Calibri" w:cs="Calibri"/>
          <w:color w:val="000000"/>
          <w:shd w:val="clear" w:color="auto" w:fill="FFFFFF"/>
        </w:rPr>
        <w:t>ר֣וּח</w:t>
      </w:r>
      <w:proofErr w:type="spellEnd"/>
      <w:r w:rsidRPr="00391D85">
        <w:rPr>
          <w:rFonts w:ascii="Calibri" w:hAnsi="Calibri" w:cs="Calibri"/>
          <w:color w:val="000000"/>
          <w:shd w:val="clear" w:color="auto" w:fill="FFFFFF"/>
        </w:rPr>
        <w:t>ַ בֵּֽ</w:t>
      </w:r>
      <w:proofErr w:type="spellStart"/>
      <w:r w:rsidRPr="00391D85">
        <w:rPr>
          <w:rFonts w:ascii="Calibri" w:hAnsi="Calibri" w:cs="Calibri"/>
          <w:color w:val="000000"/>
          <w:shd w:val="clear" w:color="auto" w:fill="FFFFFF"/>
        </w:rPr>
        <w:t>ין־הָא</w:t>
      </w:r>
      <w:proofErr w:type="spellEnd"/>
      <w:r w:rsidRPr="00391D85">
        <w:rPr>
          <w:rFonts w:ascii="Calibri" w:hAnsi="Calibri" w:cs="Calibri"/>
          <w:color w:val="000000"/>
          <w:shd w:val="clear" w:color="auto" w:fill="FFFFFF"/>
        </w:rPr>
        <w:t>ָ֣</w:t>
      </w:r>
      <w:proofErr w:type="spellStart"/>
      <w:r w:rsidRPr="00391D85">
        <w:rPr>
          <w:rFonts w:ascii="Calibri" w:hAnsi="Calibri" w:cs="Calibri"/>
          <w:color w:val="000000"/>
          <w:shd w:val="clear" w:color="auto" w:fill="FFFFFF"/>
        </w:rPr>
        <w:t>רֶץ</w:t>
      </w:r>
      <w:proofErr w:type="spellEnd"/>
      <w:r w:rsidRPr="00391D85">
        <w:rPr>
          <w:rFonts w:ascii="Calibri" w:hAnsi="Calibri" w:cs="Calibri"/>
          <w:color w:val="000000"/>
          <w:shd w:val="clear" w:color="auto" w:fill="FFFFFF"/>
        </w:rPr>
        <w:t xml:space="preserve"> </w:t>
      </w:r>
      <w:proofErr w:type="spellStart"/>
      <w:r w:rsidRPr="00391D85">
        <w:rPr>
          <w:rFonts w:ascii="Calibri" w:hAnsi="Calibri" w:cs="Calibri"/>
          <w:color w:val="000000"/>
          <w:shd w:val="clear" w:color="auto" w:fill="FFFFFF"/>
        </w:rPr>
        <w:t>וּב</w:t>
      </w:r>
      <w:proofErr w:type="spellEnd"/>
      <w:r w:rsidRPr="00391D85">
        <w:rPr>
          <w:rFonts w:ascii="Calibri" w:hAnsi="Calibri" w:cs="Calibri"/>
          <w:color w:val="000000"/>
          <w:shd w:val="clear" w:color="auto" w:fill="FFFFFF"/>
        </w:rPr>
        <w:t>ֵֽ</w:t>
      </w:r>
      <w:proofErr w:type="spellStart"/>
      <w:r w:rsidRPr="00391D85">
        <w:rPr>
          <w:rFonts w:ascii="Calibri" w:hAnsi="Calibri" w:cs="Calibri"/>
          <w:color w:val="000000"/>
          <w:shd w:val="clear" w:color="auto" w:fill="FFFFFF"/>
        </w:rPr>
        <w:t>ין־הַש</w:t>
      </w:r>
      <w:proofErr w:type="spellEnd"/>
      <w:r w:rsidRPr="00391D85">
        <w:rPr>
          <w:rFonts w:ascii="Calibri" w:hAnsi="Calibri" w:cs="Calibri"/>
          <w:color w:val="000000"/>
          <w:shd w:val="clear" w:color="auto" w:fill="FFFFFF"/>
        </w:rPr>
        <w:t>ָּׁמַ֡</w:t>
      </w:r>
      <w:proofErr w:type="spellStart"/>
      <w:r w:rsidRPr="00391D85">
        <w:rPr>
          <w:rFonts w:ascii="Calibri" w:hAnsi="Calibri" w:cs="Calibri"/>
          <w:color w:val="000000"/>
          <w:shd w:val="clear" w:color="auto" w:fill="FFFFFF"/>
        </w:rPr>
        <w:t>יִם</w:t>
      </w:r>
      <w:proofErr w:type="spellEnd"/>
      <w:r w:rsidRPr="00391D85">
        <w:rPr>
          <w:rFonts w:ascii="Calibri" w:hAnsi="Calibri" w:cs="Calibri"/>
          <w:color w:val="000000"/>
          <w:shd w:val="clear" w:color="auto" w:fill="FFFFFF"/>
        </w:rPr>
        <w:t> </w:t>
      </w:r>
    </w:p>
    <w:p w14:paraId="30D686F3" w14:textId="73BCBC92" w:rsidR="0007668C" w:rsidRDefault="002F53A3" w:rsidP="003D1669">
      <w:r>
        <w:t>A</w:t>
      </w:r>
      <w:r w:rsidRPr="001005B7">
        <w:t>nd a spirit lifted me between the earth and the heavens</w:t>
      </w:r>
      <w:r w:rsidR="006D7A6C">
        <w:t>. (8:3)</w:t>
      </w:r>
    </w:p>
    <w:p w14:paraId="22D7A193" w14:textId="77777777" w:rsidR="002F53A3" w:rsidRDefault="002F53A3" w:rsidP="00B477A0"/>
    <w:p w14:paraId="080F332B" w14:textId="71F1827B" w:rsidR="003D1669" w:rsidRDefault="00216F8C" w:rsidP="00C55C92">
      <w:pPr>
        <w:ind w:firstLine="0"/>
      </w:pPr>
      <w:r>
        <w:t>Such a sentence</w:t>
      </w:r>
      <w:r w:rsidR="009D4F36">
        <w:t>’</w:t>
      </w:r>
      <w:r>
        <w:t>s standard features are t</w:t>
      </w:r>
      <w:r w:rsidR="00D76BC2">
        <w:t>o</w:t>
      </w:r>
      <w:r>
        <w:t xml:space="preserve"> link onto the previous sentence</w:t>
      </w:r>
      <w:r w:rsidR="009358B0">
        <w:t xml:space="preserve">, </w:t>
      </w:r>
      <w:r w:rsidR="00D76BC2">
        <w:t>to</w:t>
      </w:r>
      <w:r w:rsidR="009358B0">
        <w:t xml:space="preserve"> begin with the verb, </w:t>
      </w:r>
      <w:r w:rsidR="003F1FBE">
        <w:t xml:space="preserve">and </w:t>
      </w:r>
      <w:r w:rsidR="00737B55">
        <w:t xml:space="preserve">then </w:t>
      </w:r>
      <w:r w:rsidR="00FF0684">
        <w:t xml:space="preserve">to </w:t>
      </w:r>
      <w:r w:rsidR="00737B55">
        <w:t xml:space="preserve">come </w:t>
      </w:r>
      <w:r w:rsidR="00FF0684">
        <w:t xml:space="preserve">to </w:t>
      </w:r>
      <w:r w:rsidR="009358B0">
        <w:t>the subject and object</w:t>
      </w:r>
      <w:r w:rsidR="00C12C1C">
        <w:t xml:space="preserve"> (in this case the object and subject</w:t>
      </w:r>
      <w:r w:rsidR="004D24F2">
        <w:t>, with</w:t>
      </w:r>
      <w:r w:rsidR="00737B55">
        <w:t xml:space="preserve"> an adverbial expression follow</w:t>
      </w:r>
      <w:r w:rsidR="004D24F2">
        <w:t>ing)</w:t>
      </w:r>
      <w:r w:rsidR="00737B55">
        <w:t xml:space="preserve">. </w:t>
      </w:r>
      <w:r w:rsidR="00C55C92">
        <w:t xml:space="preserve">But </w:t>
      </w:r>
      <w:r w:rsidR="00C42D1F">
        <w:t>one</w:t>
      </w:r>
      <w:r w:rsidR="00B12D73">
        <w:t xml:space="preserve"> common </w:t>
      </w:r>
      <w:r w:rsidR="00C42D1F">
        <w:t xml:space="preserve">variation is </w:t>
      </w:r>
      <w:r w:rsidR="00B12D73">
        <w:t>to place the subject or object before the verb and thus give it emphasis</w:t>
      </w:r>
      <w:r w:rsidR="00E729A0">
        <w:t xml:space="preserve"> (GK 142)</w:t>
      </w:r>
      <w:r w:rsidR="008B6FBC">
        <w:t>:</w:t>
      </w:r>
    </w:p>
    <w:p w14:paraId="0A067BAC" w14:textId="77777777" w:rsidR="009244A0" w:rsidRDefault="009244A0" w:rsidP="00B477A0"/>
    <w:p w14:paraId="1A88BCBB" w14:textId="51F21605" w:rsidR="009244A0" w:rsidRDefault="009244A0" w:rsidP="00B477A0">
      <w:pPr>
        <w:rPr>
          <w:lang w:eastAsia="en-GB"/>
        </w:rPr>
      </w:pPr>
      <w:r w:rsidRPr="001005B7">
        <w:rPr>
          <w:lang w:eastAsia="en-GB"/>
        </w:rPr>
        <w:t xml:space="preserve">Then, while I prophesied, </w:t>
      </w:r>
      <w:proofErr w:type="spellStart"/>
      <w:r w:rsidRPr="001005B7">
        <w:rPr>
          <w:lang w:eastAsia="en-GB"/>
        </w:rPr>
        <w:t>Pelatyahu</w:t>
      </w:r>
      <w:proofErr w:type="spellEnd"/>
      <w:r w:rsidRPr="001005B7">
        <w:rPr>
          <w:lang w:eastAsia="en-GB"/>
        </w:rPr>
        <w:t xml:space="preserve"> ben </w:t>
      </w:r>
      <w:proofErr w:type="spellStart"/>
      <w:r w:rsidRPr="001005B7">
        <w:rPr>
          <w:lang w:eastAsia="en-GB"/>
        </w:rPr>
        <w:t>Benayah</w:t>
      </w:r>
      <w:r>
        <w:rPr>
          <w:lang w:eastAsia="en-GB"/>
        </w:rPr>
        <w:t>u</w:t>
      </w:r>
      <w:proofErr w:type="spellEnd"/>
      <w:r>
        <w:rPr>
          <w:lang w:eastAsia="en-GB"/>
        </w:rPr>
        <w:t xml:space="preserve">—he </w:t>
      </w:r>
      <w:r w:rsidRPr="001005B7">
        <w:rPr>
          <w:lang w:eastAsia="en-GB"/>
        </w:rPr>
        <w:t>died.</w:t>
      </w:r>
      <w:r w:rsidR="00995C48">
        <w:rPr>
          <w:lang w:eastAsia="en-GB"/>
        </w:rPr>
        <w:t xml:space="preserve"> (11:13)</w:t>
      </w:r>
    </w:p>
    <w:p w14:paraId="1D2B451B" w14:textId="4196DC14" w:rsidR="00655F4C" w:rsidRDefault="00655F4C" w:rsidP="00B477A0">
      <w:r w:rsidRPr="00550961">
        <w:t>The person who offends</w:t>
      </w:r>
      <w:r w:rsidR="007A295C">
        <w:t>—he i</w:t>
      </w:r>
      <w:r>
        <w:t>s the one who will die.</w:t>
      </w:r>
      <w:r w:rsidR="00002BB5">
        <w:t xml:space="preserve"> (18:4)</w:t>
      </w:r>
    </w:p>
    <w:p w14:paraId="2C5D03EE" w14:textId="77777777" w:rsidR="00FA020D" w:rsidRDefault="00FA020D" w:rsidP="00B477A0"/>
    <w:p w14:paraId="6A86620D" w14:textId="0A076FC6" w:rsidR="00FA020D" w:rsidRDefault="001D620A" w:rsidP="00FA376D">
      <w:pPr>
        <w:ind w:firstLine="0"/>
        <w:rPr>
          <w:lang w:eastAsia="en-GB"/>
        </w:rPr>
      </w:pPr>
      <w:r>
        <w:rPr>
          <w:lang w:eastAsia="en-GB"/>
        </w:rPr>
        <w:t>I</w:t>
      </w:r>
      <w:r w:rsidR="004B140D">
        <w:rPr>
          <w:lang w:eastAsia="en-GB"/>
        </w:rPr>
        <w:t>t is also quite common for a sentence to be asyndetic</w:t>
      </w:r>
      <w:r w:rsidR="00FA376D">
        <w:rPr>
          <w:lang w:eastAsia="en-GB"/>
        </w:rPr>
        <w:t>,*</w:t>
      </w:r>
      <w:r w:rsidR="00085508">
        <w:rPr>
          <w:lang w:eastAsia="en-GB"/>
        </w:rPr>
        <w:t xml:space="preserve"> </w:t>
      </w:r>
      <w:r w:rsidR="00D223DF">
        <w:rPr>
          <w:lang w:eastAsia="en-GB"/>
        </w:rPr>
        <w:t xml:space="preserve">not </w:t>
      </w:r>
      <w:r w:rsidR="00085508">
        <w:rPr>
          <w:lang w:eastAsia="en-GB"/>
        </w:rPr>
        <w:t>link</w:t>
      </w:r>
      <w:r w:rsidR="00FA376D">
        <w:rPr>
          <w:lang w:eastAsia="en-GB"/>
        </w:rPr>
        <w:t>ing</w:t>
      </w:r>
      <w:r w:rsidR="00085508">
        <w:rPr>
          <w:lang w:eastAsia="en-GB"/>
        </w:rPr>
        <w:t xml:space="preserve"> onto to the preceding sentence</w:t>
      </w:r>
      <w:r>
        <w:rPr>
          <w:lang w:eastAsia="en-GB"/>
        </w:rPr>
        <w:t>.</w:t>
      </w:r>
      <w:r w:rsidR="00406F79">
        <w:rPr>
          <w:lang w:eastAsia="en-GB"/>
        </w:rPr>
        <w:t xml:space="preserve"> </w:t>
      </w:r>
      <w:r>
        <w:rPr>
          <w:lang w:eastAsia="en-GB"/>
        </w:rPr>
        <w:t>This</w:t>
      </w:r>
      <w:r w:rsidR="00406F79">
        <w:rPr>
          <w:lang w:eastAsia="en-GB"/>
        </w:rPr>
        <w:t xml:space="preserve"> </w:t>
      </w:r>
      <w:r w:rsidR="003D73FC">
        <w:rPr>
          <w:lang w:eastAsia="en-GB"/>
        </w:rPr>
        <w:t xml:space="preserve">has a slightly jerky effect. </w:t>
      </w:r>
      <w:r w:rsidR="00174D83">
        <w:rPr>
          <w:lang w:eastAsia="en-GB"/>
        </w:rPr>
        <w:t>The translation commonly marks this</w:t>
      </w:r>
      <w:r w:rsidR="003D73FC">
        <w:rPr>
          <w:lang w:eastAsia="en-GB"/>
        </w:rPr>
        <w:t xml:space="preserve"> asyndeton</w:t>
      </w:r>
      <w:r w:rsidR="00174D83">
        <w:rPr>
          <w:lang w:eastAsia="en-GB"/>
        </w:rPr>
        <w:t xml:space="preserve"> by a dash</w:t>
      </w:r>
      <w:r w:rsidR="00FD66D1">
        <w:rPr>
          <w:lang w:eastAsia="en-GB"/>
        </w:rPr>
        <w:t>:</w:t>
      </w:r>
    </w:p>
    <w:p w14:paraId="07DE42B1" w14:textId="77777777" w:rsidR="00DD7D51" w:rsidRDefault="00DD7D51" w:rsidP="00B477A0">
      <w:pPr>
        <w:rPr>
          <w:lang w:eastAsia="en-GB"/>
        </w:rPr>
      </w:pPr>
    </w:p>
    <w:p w14:paraId="4F2193B0" w14:textId="2A225F82" w:rsidR="00DD7D51" w:rsidRDefault="003F25CF" w:rsidP="00B477A0">
      <w:pPr>
        <w:rPr>
          <w:lang w:eastAsia="en-GB"/>
        </w:rPr>
      </w:pPr>
      <w:r>
        <w:rPr>
          <w:lang w:eastAsia="en-GB"/>
        </w:rPr>
        <w:t>W</w:t>
      </w:r>
      <w:r w:rsidR="00DD7D51" w:rsidRPr="001005B7">
        <w:rPr>
          <w:lang w:eastAsia="en-GB"/>
        </w:rPr>
        <w:t>hat you find, eat</w:t>
      </w:r>
      <w:r w:rsidR="00DD7D51">
        <w:rPr>
          <w:lang w:eastAsia="en-GB"/>
        </w:rPr>
        <w:t>—</w:t>
      </w:r>
      <w:r w:rsidR="00DD7D51" w:rsidRPr="001005B7">
        <w:rPr>
          <w:lang w:eastAsia="en-GB"/>
        </w:rPr>
        <w:t>eat this scroll</w:t>
      </w:r>
      <w:r>
        <w:rPr>
          <w:lang w:eastAsia="en-GB"/>
        </w:rPr>
        <w:t xml:space="preserve"> (3:1)</w:t>
      </w:r>
    </w:p>
    <w:p w14:paraId="45450653" w14:textId="7204786D" w:rsidR="0047055C" w:rsidRDefault="0047055C" w:rsidP="00B477A0">
      <w:pPr>
        <w:rPr>
          <w:lang w:eastAsia="en-GB"/>
        </w:rPr>
      </w:pPr>
      <w:r w:rsidRPr="00550961">
        <w:t>Say, I am your portent—as I did, so it will be done for them</w:t>
      </w:r>
      <w:r>
        <w:t xml:space="preserve"> (12:11)</w:t>
      </w:r>
    </w:p>
    <w:p w14:paraId="511E8C23" w14:textId="77777777" w:rsidR="008B6FBC" w:rsidRDefault="008B6FBC" w:rsidP="00B477A0">
      <w:pPr>
        <w:rPr>
          <w:lang w:eastAsia="en-GB"/>
        </w:rPr>
      </w:pPr>
    </w:p>
    <w:p w14:paraId="07F4D33B" w14:textId="45ECF324" w:rsidR="00B83DCD" w:rsidRDefault="00303DDE" w:rsidP="0031382A">
      <w:pPr>
        <w:rPr>
          <w:lang w:eastAsia="en-GB"/>
        </w:rPr>
      </w:pPr>
      <w:r>
        <w:rPr>
          <w:lang w:eastAsia="en-GB"/>
        </w:rPr>
        <w:t>M</w:t>
      </w:r>
      <w:r w:rsidR="00A408D2">
        <w:rPr>
          <w:lang w:eastAsia="en-GB"/>
        </w:rPr>
        <w:t>uch less common</w:t>
      </w:r>
      <w:r>
        <w:rPr>
          <w:lang w:eastAsia="en-GB"/>
        </w:rPr>
        <w:t xml:space="preserve">ly, </w:t>
      </w:r>
      <w:r w:rsidR="00981512">
        <w:rPr>
          <w:lang w:eastAsia="en-GB"/>
        </w:rPr>
        <w:t xml:space="preserve">a sentence </w:t>
      </w:r>
      <w:r>
        <w:rPr>
          <w:lang w:eastAsia="en-GB"/>
        </w:rPr>
        <w:t>can</w:t>
      </w:r>
      <w:r w:rsidR="00981512">
        <w:rPr>
          <w:lang w:eastAsia="en-GB"/>
        </w:rPr>
        <w:t xml:space="preserve"> combine asyndeton with placing </w:t>
      </w:r>
      <w:r w:rsidR="00CA0697">
        <w:rPr>
          <w:lang w:eastAsia="en-GB"/>
        </w:rPr>
        <w:t>the subject or object before the verb</w:t>
      </w:r>
      <w:r w:rsidR="00D76E2C">
        <w:rPr>
          <w:lang w:eastAsia="en-GB"/>
        </w:rPr>
        <w:t>. T</w:t>
      </w:r>
      <w:r w:rsidR="0031382A">
        <w:rPr>
          <w:lang w:eastAsia="en-GB"/>
        </w:rPr>
        <w:t>hat</w:t>
      </w:r>
      <w:r w:rsidR="00CA0697">
        <w:rPr>
          <w:lang w:eastAsia="en-GB"/>
        </w:rPr>
        <w:t xml:space="preserve"> </w:t>
      </w:r>
      <w:r w:rsidR="00D76E2C">
        <w:rPr>
          <w:lang w:eastAsia="en-GB"/>
        </w:rPr>
        <w:t xml:space="preserve">usage </w:t>
      </w:r>
      <w:r w:rsidR="00FA42E0">
        <w:rPr>
          <w:lang w:eastAsia="en-GB"/>
        </w:rPr>
        <w:t xml:space="preserve">suggests a circumstantial </w:t>
      </w:r>
      <w:r w:rsidR="00EE649F">
        <w:rPr>
          <w:lang w:eastAsia="en-GB"/>
        </w:rPr>
        <w:t>or other subordinate clause</w:t>
      </w:r>
      <w:r w:rsidR="0020421F">
        <w:rPr>
          <w:lang w:eastAsia="en-GB"/>
        </w:rPr>
        <w:t>, which may</w:t>
      </w:r>
      <w:r w:rsidR="003E38D3">
        <w:rPr>
          <w:lang w:eastAsia="en-GB"/>
        </w:rPr>
        <w:t xml:space="preserve"> then</w:t>
      </w:r>
      <w:r w:rsidR="0020421F">
        <w:rPr>
          <w:lang w:eastAsia="en-GB"/>
        </w:rPr>
        <w:t xml:space="preserve"> follow or precede a main clause</w:t>
      </w:r>
      <w:r w:rsidR="00DC0B52">
        <w:rPr>
          <w:lang w:eastAsia="en-GB"/>
        </w:rPr>
        <w:t xml:space="preserve"> (</w:t>
      </w:r>
      <w:r w:rsidR="00DC0B52" w:rsidRPr="001005B7">
        <w:rPr>
          <w:lang w:eastAsia="en-GB"/>
        </w:rPr>
        <w:t xml:space="preserve">GK 156; </w:t>
      </w:r>
      <w:r w:rsidR="00DC0B52" w:rsidRPr="001005B7">
        <w:rPr>
          <w:i/>
          <w:iCs/>
        </w:rPr>
        <w:t>TTH</w:t>
      </w:r>
      <w:r w:rsidR="00DC0B52" w:rsidRPr="001005B7">
        <w:t xml:space="preserve"> 156–69, especially 163, Observation</w:t>
      </w:r>
      <w:r w:rsidR="00DC0B52">
        <w:t>)</w:t>
      </w:r>
      <w:r w:rsidR="00D87E34">
        <w:rPr>
          <w:lang w:eastAsia="en-GB"/>
        </w:rPr>
        <w:t>.</w:t>
      </w:r>
      <w:r w:rsidR="00B83DCD">
        <w:rPr>
          <w:lang w:eastAsia="en-GB"/>
        </w:rPr>
        <w:t xml:space="preserve"> T</w:t>
      </w:r>
      <w:r w:rsidR="00EE649F">
        <w:rPr>
          <w:lang w:eastAsia="en-GB"/>
        </w:rPr>
        <w:t>his usage is common in Ezek</w:t>
      </w:r>
      <w:r w:rsidR="00B83DCD">
        <w:rPr>
          <w:lang w:eastAsia="en-GB"/>
        </w:rPr>
        <w:t>iel</w:t>
      </w:r>
      <w:r w:rsidR="00827AF9">
        <w:rPr>
          <w:lang w:eastAsia="en-GB"/>
        </w:rPr>
        <w:t>. I</w:t>
      </w:r>
      <w:r w:rsidR="007608B3">
        <w:rPr>
          <w:lang w:eastAsia="en-GB"/>
        </w:rPr>
        <w:t xml:space="preserve">t </w:t>
      </w:r>
      <w:r w:rsidR="00AF3F8F">
        <w:rPr>
          <w:lang w:eastAsia="en-GB"/>
        </w:rPr>
        <w:t>is a</w:t>
      </w:r>
      <w:r w:rsidR="00FF72FC">
        <w:rPr>
          <w:lang w:eastAsia="en-GB"/>
        </w:rPr>
        <w:t xml:space="preserve"> noteworthy feature of </w:t>
      </w:r>
      <w:r w:rsidR="00F200D1">
        <w:rPr>
          <w:lang w:eastAsia="en-GB"/>
        </w:rPr>
        <w:t>h</w:t>
      </w:r>
      <w:r w:rsidR="009641A4">
        <w:rPr>
          <w:lang w:eastAsia="en-GB"/>
        </w:rPr>
        <w:t>is</w:t>
      </w:r>
      <w:r w:rsidR="00FF72FC">
        <w:rPr>
          <w:lang w:eastAsia="en-GB"/>
        </w:rPr>
        <w:t xml:space="preserve"> Hebrew</w:t>
      </w:r>
      <w:r w:rsidR="00E92D31">
        <w:rPr>
          <w:lang w:eastAsia="en-GB"/>
        </w:rPr>
        <w:t>, and</w:t>
      </w:r>
      <w:r w:rsidR="00014E28">
        <w:rPr>
          <w:lang w:eastAsia="en-GB"/>
        </w:rPr>
        <w:t xml:space="preserve"> it </w:t>
      </w:r>
      <w:r w:rsidR="009641A4">
        <w:rPr>
          <w:lang w:eastAsia="en-GB"/>
        </w:rPr>
        <w:t xml:space="preserve">can </w:t>
      </w:r>
      <w:r w:rsidR="00014E28">
        <w:rPr>
          <w:lang w:eastAsia="en-GB"/>
        </w:rPr>
        <w:t xml:space="preserve">make a difference to the </w:t>
      </w:r>
      <w:r w:rsidR="00D8704E">
        <w:rPr>
          <w:lang w:eastAsia="en-GB"/>
        </w:rPr>
        <w:t xml:space="preserve">text’s </w:t>
      </w:r>
      <w:r w:rsidR="00014E28">
        <w:rPr>
          <w:lang w:eastAsia="en-GB"/>
        </w:rPr>
        <w:t xml:space="preserve">meaning. </w:t>
      </w:r>
      <w:r w:rsidR="00D8704E">
        <w:rPr>
          <w:lang w:eastAsia="en-GB"/>
        </w:rPr>
        <w:t>The translation in</w:t>
      </w:r>
      <w:r w:rsidR="00CB76E5">
        <w:rPr>
          <w:lang w:eastAsia="en-GB"/>
        </w:rPr>
        <w:t xml:space="preserve"> this commentary </w:t>
      </w:r>
      <w:r w:rsidR="005C5FF9">
        <w:rPr>
          <w:lang w:eastAsia="en-GB"/>
        </w:rPr>
        <w:t xml:space="preserve">includes many examples of clauses beginning with </w:t>
      </w:r>
      <w:r w:rsidR="001D07AC">
        <w:rPr>
          <w:lang w:eastAsia="en-GB"/>
        </w:rPr>
        <w:t xml:space="preserve">expressions such as </w:t>
      </w:r>
      <w:r w:rsidR="005C5FF9">
        <w:rPr>
          <w:lang w:eastAsia="en-GB"/>
        </w:rPr>
        <w:t>“in that”</w:t>
      </w:r>
      <w:r w:rsidR="00CB76E5">
        <w:rPr>
          <w:lang w:eastAsia="en-GB"/>
        </w:rPr>
        <w:t xml:space="preserve"> </w:t>
      </w:r>
      <w:r w:rsidR="001D07AC">
        <w:rPr>
          <w:lang w:eastAsia="en-GB"/>
        </w:rPr>
        <w:t>or “as</w:t>
      </w:r>
      <w:r w:rsidR="00AA6F88">
        <w:rPr>
          <w:lang w:eastAsia="en-GB"/>
        </w:rPr>
        <w:t>,</w:t>
      </w:r>
      <w:r w:rsidR="00A46DF9">
        <w:rPr>
          <w:lang w:eastAsia="en-GB"/>
        </w:rPr>
        <w:t>” or translated with a hanging participle</w:t>
      </w:r>
      <w:r w:rsidR="0011625F">
        <w:rPr>
          <w:lang w:eastAsia="en-GB"/>
        </w:rPr>
        <w:t>. T</w:t>
      </w:r>
      <w:r w:rsidR="00F42FC3">
        <w:rPr>
          <w:lang w:eastAsia="en-GB"/>
        </w:rPr>
        <w:t>hese translations usually represent</w:t>
      </w:r>
      <w:r w:rsidR="002E7538">
        <w:rPr>
          <w:lang w:eastAsia="en-GB"/>
        </w:rPr>
        <w:t xml:space="preserve"> </w:t>
      </w:r>
      <w:r w:rsidR="00F42FC3">
        <w:rPr>
          <w:lang w:eastAsia="en-GB"/>
        </w:rPr>
        <w:t>asyndetic cl</w:t>
      </w:r>
      <w:r w:rsidR="00760005">
        <w:rPr>
          <w:lang w:eastAsia="en-GB"/>
        </w:rPr>
        <w:t>a</w:t>
      </w:r>
      <w:r w:rsidR="00F42FC3">
        <w:rPr>
          <w:lang w:eastAsia="en-GB"/>
        </w:rPr>
        <w:t>use</w:t>
      </w:r>
      <w:r w:rsidR="00AA6F88">
        <w:rPr>
          <w:lang w:eastAsia="en-GB"/>
        </w:rPr>
        <w:t>s</w:t>
      </w:r>
      <w:r w:rsidR="00F42FC3">
        <w:rPr>
          <w:lang w:eastAsia="en-GB"/>
        </w:rPr>
        <w:t xml:space="preserve"> </w:t>
      </w:r>
      <w:r w:rsidR="00FB7AB9">
        <w:rPr>
          <w:lang w:eastAsia="en-GB"/>
        </w:rPr>
        <w:t xml:space="preserve">of this kind </w:t>
      </w:r>
      <w:r w:rsidR="00760005">
        <w:rPr>
          <w:lang w:eastAsia="en-GB"/>
        </w:rPr>
        <w:t>whose verb</w:t>
      </w:r>
      <w:r w:rsidR="0022398C">
        <w:rPr>
          <w:i/>
          <w:iCs/>
          <w:lang w:eastAsia="en-GB"/>
        </w:rPr>
        <w:t xml:space="preserve"> </w:t>
      </w:r>
      <w:r w:rsidR="00760005">
        <w:rPr>
          <w:lang w:eastAsia="en-GB"/>
        </w:rPr>
        <w:t xml:space="preserve">occurs later in the </w:t>
      </w:r>
      <w:r w:rsidR="00C067D2">
        <w:rPr>
          <w:lang w:eastAsia="en-GB"/>
        </w:rPr>
        <w:t xml:space="preserve">Hebrew </w:t>
      </w:r>
      <w:r w:rsidR="00760005">
        <w:rPr>
          <w:lang w:eastAsia="en-GB"/>
        </w:rPr>
        <w:t xml:space="preserve">clause </w:t>
      </w:r>
      <w:r w:rsidR="00C067D2">
        <w:rPr>
          <w:lang w:eastAsia="en-GB"/>
        </w:rPr>
        <w:t>than one expects</w:t>
      </w:r>
      <w:r w:rsidR="00760005">
        <w:rPr>
          <w:lang w:eastAsia="en-GB"/>
        </w:rPr>
        <w:t xml:space="preserve">. </w:t>
      </w:r>
    </w:p>
    <w:p w14:paraId="63BB63FB" w14:textId="77777777" w:rsidR="003868D8" w:rsidRDefault="003868D8" w:rsidP="0031382A">
      <w:pPr>
        <w:rPr>
          <w:lang w:eastAsia="en-GB"/>
        </w:rPr>
      </w:pPr>
    </w:p>
    <w:p w14:paraId="011BC1A0" w14:textId="22A3566C" w:rsidR="003868D8" w:rsidRDefault="003868D8" w:rsidP="004C4676">
      <w:pPr>
        <w:ind w:left="720" w:firstLine="0"/>
      </w:pPr>
      <w:r w:rsidRPr="00550961">
        <w:t>No longer will any message of mine delay</w:t>
      </w:r>
      <w:r>
        <w:t>, in that</w:t>
      </w:r>
      <w:r w:rsidRPr="00B4618F">
        <w:t xml:space="preserve"> </w:t>
      </w:r>
      <w:r w:rsidRPr="00550961">
        <w:t xml:space="preserve">I </w:t>
      </w:r>
      <w:r>
        <w:t xml:space="preserve">will </w:t>
      </w:r>
      <w:r w:rsidRPr="00550961">
        <w:t>speak a message</w:t>
      </w:r>
      <w:r>
        <w:t xml:space="preserve"> and</w:t>
      </w:r>
      <w:r w:rsidRPr="00550961">
        <w:t xml:space="preserve"> it </w:t>
      </w:r>
      <w:r>
        <w:t xml:space="preserve">will </w:t>
      </w:r>
      <w:r w:rsidRPr="00550961">
        <w:t>happen</w:t>
      </w:r>
      <w:r>
        <w:t xml:space="preserve"> (12:28)</w:t>
      </w:r>
    </w:p>
    <w:p w14:paraId="3E6CF68D" w14:textId="77777777" w:rsidR="00F200D1" w:rsidRDefault="004C4676" w:rsidP="00F200D1">
      <w:pPr>
        <w:ind w:left="720" w:firstLine="0"/>
        <w:rPr>
          <w:lang w:eastAsia="en-GB"/>
        </w:rPr>
      </w:pPr>
      <w:r>
        <w:rPr>
          <w:lang w:bidi="he-IL"/>
        </w:rPr>
        <w:t>In</w:t>
      </w:r>
      <w:r w:rsidRPr="00550961">
        <w:rPr>
          <w:lang w:bidi="he-IL"/>
        </w:rPr>
        <w:t xml:space="preserve"> that you have </w:t>
      </w:r>
      <w:r>
        <w:rPr>
          <w:lang w:bidi="he-IL"/>
        </w:rPr>
        <w:t xml:space="preserve">acted more </w:t>
      </w:r>
      <w:r w:rsidR="00B578A4">
        <w:rPr>
          <w:lang w:bidi="he-IL"/>
        </w:rPr>
        <w:t>outrageously</w:t>
      </w:r>
      <w:r w:rsidRPr="00550961">
        <w:rPr>
          <w:lang w:bidi="he-IL"/>
        </w:rPr>
        <w:t xml:space="preserve"> than them</w:t>
      </w:r>
      <w:r>
        <w:rPr>
          <w:lang w:bidi="he-IL"/>
        </w:rPr>
        <w:t xml:space="preserve">, </w:t>
      </w:r>
      <w:r w:rsidRPr="00550961">
        <w:rPr>
          <w:lang w:bidi="he-IL"/>
        </w:rPr>
        <w:t>they are more faithful than you</w:t>
      </w:r>
      <w:r>
        <w:rPr>
          <w:lang w:bidi="he-IL"/>
        </w:rPr>
        <w:t xml:space="preserve"> (16:52)</w:t>
      </w:r>
    </w:p>
    <w:p w14:paraId="04854FCE" w14:textId="77777777" w:rsidR="005A7780" w:rsidRDefault="005A7780" w:rsidP="00911DDD">
      <w:pPr>
        <w:ind w:firstLine="0"/>
      </w:pPr>
    </w:p>
    <w:p w14:paraId="3C5DE8B2" w14:textId="635C5AF4" w:rsidR="00FB1F1D" w:rsidRDefault="00AA53BA" w:rsidP="00285886">
      <w:pPr>
        <w:ind w:firstLine="0"/>
        <w:rPr>
          <w:lang w:eastAsia="en-GB"/>
        </w:rPr>
      </w:pPr>
      <w:r>
        <w:t xml:space="preserve">Occasionally, </w:t>
      </w:r>
      <w:r w:rsidR="00F25D1E" w:rsidRPr="001005B7">
        <w:t>th</w:t>
      </w:r>
      <w:r>
        <w:t>at</w:t>
      </w:r>
      <w:r w:rsidR="00F25D1E" w:rsidRPr="001005B7">
        <w:t xml:space="preserve"> word order may suggest subordination</w:t>
      </w:r>
      <w:r>
        <w:t xml:space="preserve"> </w:t>
      </w:r>
      <w:r w:rsidR="001300C5">
        <w:t>e</w:t>
      </w:r>
      <w:r w:rsidR="001300C5" w:rsidRPr="001005B7">
        <w:t xml:space="preserve">ven where the sequence is not asyndetic </w:t>
      </w:r>
      <w:r w:rsidR="005A7780">
        <w:t xml:space="preserve"> (e.g., </w:t>
      </w:r>
      <w:r w:rsidR="00F25D1E" w:rsidRPr="001005B7">
        <w:t>37:22</w:t>
      </w:r>
      <w:r w:rsidR="005A7780">
        <w:t>)</w:t>
      </w:r>
      <w:r w:rsidR="00937E2A">
        <w:t>. C</w:t>
      </w:r>
      <w:r w:rsidR="00F25D1E">
        <w:t>onversely</w:t>
      </w:r>
      <w:r w:rsidR="006A459F">
        <w:t>,</w:t>
      </w:r>
      <w:r w:rsidR="00F25D1E">
        <w:t xml:space="preserve"> </w:t>
      </w:r>
      <w:proofErr w:type="spellStart"/>
      <w:r w:rsidR="00F25D1E">
        <w:t>asyndesis</w:t>
      </w:r>
      <w:proofErr w:type="spellEnd"/>
      <w:r w:rsidR="00F25D1E">
        <w:t xml:space="preserve"> may </w:t>
      </w:r>
      <w:r w:rsidR="003D36B9">
        <w:t>suggest</w:t>
      </w:r>
      <w:r w:rsidR="00F25D1E">
        <w:t xml:space="preserve"> subordination</w:t>
      </w:r>
      <w:r w:rsidR="001300C5">
        <w:t xml:space="preserve"> even where a clause has the regular word order </w:t>
      </w:r>
      <w:r w:rsidR="007A1EBD">
        <w:t xml:space="preserve"> (e.g.,</w:t>
      </w:r>
      <w:r w:rsidR="00F25D1E">
        <w:t xml:space="preserve"> 11:7; 20:47</w:t>
      </w:r>
      <w:r w:rsidR="00302342">
        <w:t>).</w:t>
      </w:r>
      <w:r w:rsidR="00DC112E">
        <w:t xml:space="preserve"> </w:t>
      </w:r>
      <w:r w:rsidR="00586134">
        <w:t>And p</w:t>
      </w:r>
      <w:r w:rsidR="00DD25B5">
        <w:t>assage</w:t>
      </w:r>
      <w:r w:rsidR="00E42C27">
        <w:t>s</w:t>
      </w:r>
      <w:r w:rsidR="00DD25B5">
        <w:t xml:space="preserve"> such as </w:t>
      </w:r>
      <w:r w:rsidR="00E42C27">
        <w:t>36:</w:t>
      </w:r>
      <w:r w:rsidR="00DD25B5">
        <w:t xml:space="preserve">15 </w:t>
      </w:r>
      <w:r w:rsidR="004A1518">
        <w:t>have</w:t>
      </w:r>
      <w:r w:rsidR="00E42C27">
        <w:t xml:space="preserve"> an unexpected word </w:t>
      </w:r>
      <w:r w:rsidR="004B4C88">
        <w:t xml:space="preserve">order </w:t>
      </w:r>
      <w:r w:rsidR="00586134">
        <w:t>so as</w:t>
      </w:r>
      <w:r w:rsidR="004B4C88">
        <w:t xml:space="preserve"> to generate an </w:t>
      </w:r>
      <w:proofErr w:type="spellStart"/>
      <w:r w:rsidR="004B4C88">
        <w:t>ab</w:t>
      </w:r>
      <w:r w:rsidR="00CB217B">
        <w:t>b</w:t>
      </w:r>
      <w:r w:rsidR="00826029">
        <w:rPr>
          <w:rFonts w:cstheme="minorHAnsi"/>
        </w:rPr>
        <w:t>′</w:t>
      </w:r>
      <w:r w:rsidR="00CB217B">
        <w:rPr>
          <w:rFonts w:cstheme="minorHAnsi"/>
        </w:rPr>
        <w:t>a</w:t>
      </w:r>
      <w:proofErr w:type="spellEnd"/>
      <w:r w:rsidR="00CB217B">
        <w:rPr>
          <w:rFonts w:cstheme="minorHAnsi"/>
        </w:rPr>
        <w:t>′ sequence</w:t>
      </w:r>
      <w:r w:rsidR="008B15A5">
        <w:rPr>
          <w:rFonts w:cstheme="minorHAnsi"/>
        </w:rPr>
        <w:t>, a</w:t>
      </w:r>
      <w:r w:rsidR="008D4FD2">
        <w:rPr>
          <w:rFonts w:cstheme="minorHAnsi"/>
        </w:rPr>
        <w:t xml:space="preserve"> </w:t>
      </w:r>
      <w:r w:rsidR="00C80BD4">
        <w:rPr>
          <w:rFonts w:cstheme="minorHAnsi"/>
        </w:rPr>
        <w:t xml:space="preserve">pattern </w:t>
      </w:r>
      <w:r w:rsidR="008B15A5">
        <w:rPr>
          <w:rFonts w:cstheme="minorHAnsi"/>
        </w:rPr>
        <w:t xml:space="preserve">that </w:t>
      </w:r>
      <w:r w:rsidR="008D4FD2">
        <w:rPr>
          <w:rFonts w:cstheme="minorHAnsi"/>
        </w:rPr>
        <w:t>is</w:t>
      </w:r>
      <w:r w:rsidR="00C80BD4">
        <w:rPr>
          <w:rFonts w:cstheme="minorHAnsi"/>
        </w:rPr>
        <w:t xml:space="preserve"> more poetic than prosaic</w:t>
      </w:r>
      <w:r w:rsidR="008B15A5">
        <w:rPr>
          <w:rFonts w:cstheme="minorHAnsi"/>
        </w:rPr>
        <w:t>. Actually,</w:t>
      </w:r>
      <w:r w:rsidR="008D4FD2">
        <w:rPr>
          <w:rFonts w:cstheme="minorHAnsi"/>
        </w:rPr>
        <w:t xml:space="preserve"> in genera</w:t>
      </w:r>
      <w:r w:rsidR="008D21E9">
        <w:rPr>
          <w:rFonts w:cstheme="minorHAnsi"/>
        </w:rPr>
        <w:t>l</w:t>
      </w:r>
      <w:r w:rsidR="008D4FD2">
        <w:rPr>
          <w:rFonts w:cstheme="minorHAnsi"/>
        </w:rPr>
        <w:t xml:space="preserve"> </w:t>
      </w:r>
      <w:proofErr w:type="spellStart"/>
      <w:r w:rsidR="007A1EBD">
        <w:rPr>
          <w:rFonts w:cstheme="minorHAnsi"/>
        </w:rPr>
        <w:t>asyndesis</w:t>
      </w:r>
      <w:proofErr w:type="spellEnd"/>
      <w:r w:rsidR="007A1EBD">
        <w:rPr>
          <w:rFonts w:cstheme="minorHAnsi"/>
        </w:rPr>
        <w:t xml:space="preserve"> is more common in </w:t>
      </w:r>
      <w:r w:rsidR="008D21E9">
        <w:rPr>
          <w:rFonts w:cstheme="minorHAnsi"/>
        </w:rPr>
        <w:t xml:space="preserve">Hebrew </w:t>
      </w:r>
      <w:r w:rsidR="007A1EBD">
        <w:rPr>
          <w:rFonts w:cstheme="minorHAnsi"/>
        </w:rPr>
        <w:t>poetry than in prose</w:t>
      </w:r>
      <w:r w:rsidR="00640320">
        <w:rPr>
          <w:rFonts w:cstheme="minorHAnsi"/>
        </w:rPr>
        <w:t>. Indeed, t</w:t>
      </w:r>
      <w:r w:rsidR="00B26A85">
        <w:rPr>
          <w:rFonts w:cstheme="minorHAnsi"/>
        </w:rPr>
        <w:t>he line between prose and poetry can be hard to draw, not least in Ezekiel</w:t>
      </w:r>
      <w:r w:rsidR="00285886">
        <w:rPr>
          <w:rFonts w:cstheme="minorHAnsi"/>
        </w:rPr>
        <w:t xml:space="preserve">. So </w:t>
      </w:r>
      <w:r w:rsidR="008373B8">
        <w:rPr>
          <w:rFonts w:cstheme="minorHAnsi"/>
        </w:rPr>
        <w:t>distinctive</w:t>
      </w:r>
      <w:r w:rsidR="00285886">
        <w:rPr>
          <w:rFonts w:cstheme="minorHAnsi"/>
        </w:rPr>
        <w:t xml:space="preserve"> feature</w:t>
      </w:r>
      <w:r w:rsidR="008373B8">
        <w:rPr>
          <w:rFonts w:cstheme="minorHAnsi"/>
        </w:rPr>
        <w:t>s</w:t>
      </w:r>
      <w:r w:rsidR="00285886">
        <w:rPr>
          <w:rFonts w:cstheme="minorHAnsi"/>
        </w:rPr>
        <w:t xml:space="preserve"> of Ezekiel’s </w:t>
      </w:r>
      <w:r w:rsidR="00FB1F1D" w:rsidRPr="001005B7">
        <w:rPr>
          <w:lang w:eastAsia="en-GB"/>
        </w:rPr>
        <w:t>prose may reflect the overlap between prose and poetic expression</w:t>
      </w:r>
      <w:r w:rsidR="00F66924">
        <w:rPr>
          <w:lang w:eastAsia="en-GB"/>
        </w:rPr>
        <w:t xml:space="preserve"> in the scroll</w:t>
      </w:r>
      <w:r w:rsidR="00FB1F1D" w:rsidRPr="001005B7">
        <w:rPr>
          <w:lang w:eastAsia="en-GB"/>
        </w:rPr>
        <w:t>.</w:t>
      </w:r>
    </w:p>
    <w:p w14:paraId="36664560" w14:textId="15EE2791" w:rsidR="00924EE1" w:rsidRPr="001005B7" w:rsidRDefault="00F66924" w:rsidP="0091405E">
      <w:pPr>
        <w:rPr>
          <w:lang w:eastAsia="en-GB"/>
        </w:rPr>
      </w:pPr>
      <w:r>
        <w:rPr>
          <w:lang w:eastAsia="en-GB"/>
        </w:rPr>
        <w:t>Ezekiel</w:t>
      </w:r>
      <w:r w:rsidR="00407E00">
        <w:rPr>
          <w:lang w:eastAsia="en-GB"/>
        </w:rPr>
        <w:t xml:space="preserve"> uses other expressions </w:t>
      </w:r>
      <w:r w:rsidR="003F4EC6">
        <w:rPr>
          <w:lang w:eastAsia="en-GB"/>
        </w:rPr>
        <w:t xml:space="preserve">that can seem puzzling </w:t>
      </w:r>
      <w:r w:rsidR="00D57F38">
        <w:rPr>
          <w:lang w:eastAsia="en-GB"/>
        </w:rPr>
        <w:t xml:space="preserve">but </w:t>
      </w:r>
      <w:r w:rsidR="00407E00">
        <w:rPr>
          <w:lang w:eastAsia="en-GB"/>
        </w:rPr>
        <w:t xml:space="preserve">that he has in common with other </w:t>
      </w:r>
      <w:r w:rsidR="004D3BA4">
        <w:rPr>
          <w:lang w:eastAsia="en-GB"/>
        </w:rPr>
        <w:t xml:space="preserve">First Testament </w:t>
      </w:r>
      <w:r w:rsidR="0089388A">
        <w:rPr>
          <w:lang w:eastAsia="en-GB"/>
        </w:rPr>
        <w:t>writings</w:t>
      </w:r>
      <w:r w:rsidR="008F7C31">
        <w:rPr>
          <w:lang w:eastAsia="en-GB"/>
        </w:rPr>
        <w:t>, and</w:t>
      </w:r>
      <w:r w:rsidR="008F7C31" w:rsidRPr="001005B7">
        <w:rPr>
          <w:lang w:eastAsia="en-GB"/>
        </w:rPr>
        <w:t xml:space="preserve"> </w:t>
      </w:r>
      <w:r w:rsidR="008F7C31">
        <w:rPr>
          <w:lang w:eastAsia="en-GB"/>
        </w:rPr>
        <w:t>yet other</w:t>
      </w:r>
      <w:r w:rsidR="00EB0A24">
        <w:rPr>
          <w:lang w:eastAsia="en-GB"/>
        </w:rPr>
        <w:t>s</w:t>
      </w:r>
      <w:r w:rsidR="008F7C31" w:rsidRPr="001005B7">
        <w:rPr>
          <w:lang w:eastAsia="en-GB"/>
        </w:rPr>
        <w:t xml:space="preserve"> that</w:t>
      </w:r>
      <w:r w:rsidR="008F7C31">
        <w:rPr>
          <w:lang w:eastAsia="en-GB"/>
        </w:rPr>
        <w:t xml:space="preserve"> </w:t>
      </w:r>
      <w:r w:rsidR="008F7C31" w:rsidRPr="001005B7">
        <w:rPr>
          <w:lang w:eastAsia="en-GB"/>
        </w:rPr>
        <w:t xml:space="preserve">occur </w:t>
      </w:r>
      <w:r w:rsidR="003E696B">
        <w:rPr>
          <w:lang w:eastAsia="en-GB"/>
        </w:rPr>
        <w:t>elsewhere</w:t>
      </w:r>
      <w:r w:rsidR="008F7C31" w:rsidRPr="001005B7">
        <w:rPr>
          <w:lang w:eastAsia="en-GB"/>
        </w:rPr>
        <w:t xml:space="preserve"> but are more noticeable in Ezekiel</w:t>
      </w:r>
      <w:r w:rsidR="008F7C31">
        <w:rPr>
          <w:lang w:eastAsia="en-GB"/>
        </w:rPr>
        <w:t>.</w:t>
      </w:r>
      <w:r w:rsidR="0091405E">
        <w:rPr>
          <w:lang w:eastAsia="en-GB"/>
        </w:rPr>
        <w:t xml:space="preserve"> </w:t>
      </w:r>
      <w:r w:rsidR="00191F8D">
        <w:rPr>
          <w:lang w:eastAsia="en-GB"/>
        </w:rPr>
        <w:t>F</w:t>
      </w:r>
      <w:r w:rsidR="0091405E">
        <w:rPr>
          <w:lang w:eastAsia="en-GB"/>
        </w:rPr>
        <w:t>urther,</w:t>
      </w:r>
      <w:r w:rsidR="00924EE1">
        <w:rPr>
          <w:lang w:eastAsia="en-GB"/>
        </w:rPr>
        <w:t xml:space="preserve"> if</w:t>
      </w:r>
      <w:r w:rsidR="00924EE1" w:rsidRPr="001005B7">
        <w:rPr>
          <w:lang w:eastAsia="en-GB"/>
        </w:rPr>
        <w:t xml:space="preserve"> </w:t>
      </w:r>
      <w:r w:rsidR="00924EE1" w:rsidRPr="001005B7">
        <w:t>Classical Biblical Hebrew can be distinguished from Late Biblical Hebrew,</w:t>
      </w:r>
      <w:r w:rsidR="00924EE1" w:rsidRPr="001005B7">
        <w:rPr>
          <w:rStyle w:val="FootnoteReference"/>
        </w:rPr>
        <w:footnoteReference w:id="49"/>
      </w:r>
      <w:r w:rsidR="00924EE1" w:rsidRPr="001005B7">
        <w:t xml:space="preserve"> </w:t>
      </w:r>
      <w:r w:rsidR="007A0F15">
        <w:t>i</w:t>
      </w:r>
      <w:r w:rsidR="00C55334">
        <w:t xml:space="preserve">n </w:t>
      </w:r>
      <w:r w:rsidR="00266A18">
        <w:t>hi</w:t>
      </w:r>
      <w:r w:rsidR="00C55334">
        <w:t>s time the langu</w:t>
      </w:r>
      <w:r w:rsidR="006201EA">
        <w:t>ag</w:t>
      </w:r>
      <w:r w:rsidR="00C55334">
        <w:t xml:space="preserve">e is changing, </w:t>
      </w:r>
      <w:r w:rsidR="00D57F38">
        <w:t>and he</w:t>
      </w:r>
      <w:r w:rsidR="00924EE1" w:rsidRPr="001005B7">
        <w:t xml:space="preserve"> stands between the two</w:t>
      </w:r>
      <w:r w:rsidR="00F901B9">
        <w:t>.</w:t>
      </w:r>
      <w:r w:rsidR="00924EE1" w:rsidRPr="001005B7">
        <w:rPr>
          <w:rStyle w:val="FootnoteReference"/>
        </w:rPr>
        <w:footnoteReference w:id="50"/>
      </w:r>
      <w:r w:rsidR="00924EE1" w:rsidRPr="001005B7">
        <w:t xml:space="preserve"> </w:t>
      </w:r>
      <w:r w:rsidR="003A451E">
        <w:rPr>
          <w:lang w:eastAsia="en-GB"/>
        </w:rPr>
        <w:t xml:space="preserve">So </w:t>
      </w:r>
      <w:r w:rsidR="00514EBB">
        <w:rPr>
          <w:lang w:eastAsia="en-GB"/>
        </w:rPr>
        <w:t xml:space="preserve">his </w:t>
      </w:r>
      <w:r w:rsidR="002D5B5F">
        <w:rPr>
          <w:lang w:eastAsia="en-GB"/>
        </w:rPr>
        <w:t xml:space="preserve">forms of </w:t>
      </w:r>
      <w:r w:rsidR="00514EBB">
        <w:rPr>
          <w:lang w:eastAsia="en-GB"/>
        </w:rPr>
        <w:t xml:space="preserve">expression </w:t>
      </w:r>
      <w:r w:rsidR="00924EE1" w:rsidRPr="001005B7">
        <w:rPr>
          <w:lang w:eastAsia="en-GB"/>
        </w:rPr>
        <w:t>m</w:t>
      </w:r>
      <w:r w:rsidR="00924EE1">
        <w:rPr>
          <w:lang w:eastAsia="en-GB"/>
        </w:rPr>
        <w:t xml:space="preserve">ay </w:t>
      </w:r>
      <w:r w:rsidR="00514EBB">
        <w:rPr>
          <w:lang w:eastAsia="en-GB"/>
        </w:rPr>
        <w:t>ju</w:t>
      </w:r>
      <w:r w:rsidR="00D400CE">
        <w:rPr>
          <w:lang w:eastAsia="en-GB"/>
        </w:rPr>
        <w:t>st</w:t>
      </w:r>
      <w:r w:rsidR="00514EBB">
        <w:rPr>
          <w:lang w:eastAsia="en-GB"/>
        </w:rPr>
        <w:t xml:space="preserve"> be regular Hebrew, or may </w:t>
      </w:r>
      <w:r w:rsidR="00D400CE">
        <w:rPr>
          <w:lang w:eastAsia="en-GB"/>
        </w:rPr>
        <w:t>be aspects of</w:t>
      </w:r>
      <w:r w:rsidR="00924EE1" w:rsidRPr="001005B7">
        <w:rPr>
          <w:lang w:eastAsia="en-GB"/>
        </w:rPr>
        <w:t xml:space="preserve"> his</w:t>
      </w:r>
      <w:r w:rsidR="003A451E">
        <w:rPr>
          <w:lang w:eastAsia="en-GB"/>
        </w:rPr>
        <w:t xml:space="preserve"> </w:t>
      </w:r>
      <w:r w:rsidR="00924EE1" w:rsidRPr="001005B7">
        <w:rPr>
          <w:lang w:eastAsia="en-GB"/>
        </w:rPr>
        <w:t xml:space="preserve">distinctive form of Hebrew, or </w:t>
      </w:r>
      <w:r w:rsidR="00F307CA">
        <w:rPr>
          <w:lang w:eastAsia="en-GB"/>
        </w:rPr>
        <w:t xml:space="preserve">may reflect </w:t>
      </w:r>
      <w:r w:rsidR="0032595C">
        <w:rPr>
          <w:lang w:eastAsia="en-GB"/>
        </w:rPr>
        <w:t xml:space="preserve">the context in which he lives, or </w:t>
      </w:r>
      <w:r w:rsidR="00F307CA">
        <w:rPr>
          <w:lang w:eastAsia="en-GB"/>
        </w:rPr>
        <w:t xml:space="preserve">may show </w:t>
      </w:r>
      <w:r w:rsidR="00924EE1" w:rsidRPr="001005B7">
        <w:rPr>
          <w:lang w:eastAsia="en-GB"/>
        </w:rPr>
        <w:t xml:space="preserve">the influence of Aramaic. </w:t>
      </w:r>
      <w:r w:rsidR="002D5B5F">
        <w:rPr>
          <w:lang w:eastAsia="en-GB"/>
        </w:rPr>
        <w:t>Here are examples:</w:t>
      </w:r>
    </w:p>
    <w:p w14:paraId="0F62331E" w14:textId="6D2503A3" w:rsidR="00CC7197" w:rsidRPr="001005B7" w:rsidRDefault="00CC7197" w:rsidP="0032595C">
      <w:pPr>
        <w:ind w:firstLine="0"/>
        <w:rPr>
          <w:lang w:eastAsia="en-GB"/>
        </w:rPr>
      </w:pPr>
    </w:p>
    <w:p w14:paraId="5CAB89CB" w14:textId="7F53A0D0" w:rsidR="0072413A" w:rsidRPr="001005B7" w:rsidRDefault="002D5B5F" w:rsidP="0072413A">
      <w:pPr>
        <w:pStyle w:val="Bullet"/>
        <w:rPr>
          <w:lang w:eastAsia="en-GB"/>
        </w:rPr>
      </w:pPr>
      <w:r>
        <w:rPr>
          <w:lang w:eastAsia="en-GB"/>
        </w:rPr>
        <w:t>He</w:t>
      </w:r>
      <w:r w:rsidR="0072413A" w:rsidRPr="001005B7">
        <w:rPr>
          <w:lang w:eastAsia="en-GB"/>
        </w:rPr>
        <w:t xml:space="preserve"> can use </w:t>
      </w:r>
      <w:proofErr w:type="spellStart"/>
      <w:r w:rsidR="0072413A" w:rsidRPr="001005B7">
        <w:rPr>
          <w:i/>
          <w:iCs/>
          <w:lang w:eastAsia="en-GB"/>
        </w:rPr>
        <w:t>weqatal</w:t>
      </w:r>
      <w:proofErr w:type="spellEnd"/>
      <w:r w:rsidR="0072413A">
        <w:rPr>
          <w:lang w:eastAsia="en-GB"/>
        </w:rPr>
        <w:t>*</w:t>
      </w:r>
      <w:r w:rsidR="0072413A" w:rsidRPr="001005B7">
        <w:rPr>
          <w:lang w:eastAsia="en-GB"/>
        </w:rPr>
        <w:t xml:space="preserve"> in narrative instead of </w:t>
      </w:r>
      <w:r w:rsidR="0072413A" w:rsidRPr="001005B7">
        <w:rPr>
          <w:i/>
          <w:iCs/>
          <w:lang w:eastAsia="en-GB"/>
        </w:rPr>
        <w:t>wayyiqtol</w:t>
      </w:r>
      <w:r w:rsidR="0072413A" w:rsidRPr="001005B7">
        <w:t>.</w:t>
      </w:r>
      <w:r w:rsidR="00AB009E">
        <w:t>*</w:t>
      </w:r>
      <w:r w:rsidR="0072413A" w:rsidRPr="001005B7">
        <w:t xml:space="preserve"> </w:t>
      </w:r>
      <w:r w:rsidR="008B62DC">
        <w:t>While s</w:t>
      </w:r>
      <w:r w:rsidR="0072413A" w:rsidRPr="001005B7">
        <w:t xml:space="preserve">ome </w:t>
      </w:r>
      <w:r w:rsidR="008B62DC">
        <w:t>examples</w:t>
      </w:r>
      <w:r w:rsidR="0072413A" w:rsidRPr="001005B7">
        <w:t xml:space="preserve"> may indicate that the verb has frequentative significance, some occur where one would expect a </w:t>
      </w:r>
      <w:proofErr w:type="spellStart"/>
      <w:r w:rsidR="0072413A" w:rsidRPr="005D3CC3">
        <w:rPr>
          <w:i/>
          <w:iCs/>
        </w:rPr>
        <w:t>wayyiqtol</w:t>
      </w:r>
      <w:proofErr w:type="spellEnd"/>
      <w:r w:rsidR="0072413A" w:rsidRPr="001005B7">
        <w:t>. E.g., 37:2, 7, 8, 10; 40:24, 35 (see GK 112).</w:t>
      </w:r>
    </w:p>
    <w:p w14:paraId="7F321401" w14:textId="43B4B898" w:rsidR="003B5D5A" w:rsidRPr="001005B7" w:rsidRDefault="00682206" w:rsidP="003B5D5A">
      <w:pPr>
        <w:pStyle w:val="Bullet"/>
        <w:rPr>
          <w:lang w:eastAsia="en-GB"/>
        </w:rPr>
      </w:pPr>
      <w:r>
        <w:rPr>
          <w:lang w:eastAsia="en-GB"/>
        </w:rPr>
        <w:t>A</w:t>
      </w:r>
      <w:r w:rsidR="003B5D5A" w:rsidRPr="001005B7">
        <w:rPr>
          <w:lang w:eastAsia="en-GB"/>
        </w:rPr>
        <w:t xml:space="preserve"> </w:t>
      </w:r>
      <w:r w:rsidR="003B5D5A" w:rsidRPr="001005B7">
        <w:rPr>
          <w:i/>
          <w:iCs/>
          <w:lang w:eastAsia="en-GB"/>
        </w:rPr>
        <w:t>waw-</w:t>
      </w:r>
      <w:r w:rsidR="003B5D5A" w:rsidRPr="001005B7">
        <w:rPr>
          <w:lang w:eastAsia="en-GB"/>
        </w:rPr>
        <w:t>consecutive</w:t>
      </w:r>
      <w:r w:rsidR="003B5D5A" w:rsidRPr="001005B7">
        <w:rPr>
          <w:i/>
          <w:iCs/>
          <w:lang w:eastAsia="en-GB"/>
        </w:rPr>
        <w:t xml:space="preserve"> </w:t>
      </w:r>
      <w:proofErr w:type="spellStart"/>
      <w:r w:rsidR="003B5D5A" w:rsidRPr="001005B7">
        <w:rPr>
          <w:i/>
          <w:iCs/>
          <w:lang w:eastAsia="en-GB"/>
        </w:rPr>
        <w:t>weqatal</w:t>
      </w:r>
      <w:proofErr w:type="spellEnd"/>
      <w:r w:rsidR="003B5D5A" w:rsidRPr="001005B7">
        <w:rPr>
          <w:lang w:eastAsia="en-GB"/>
        </w:rPr>
        <w:t xml:space="preserve"> may carry the connotations of a purpose clause</w:t>
      </w:r>
      <w:r w:rsidR="0072413A">
        <w:rPr>
          <w:lang w:eastAsia="en-GB"/>
        </w:rPr>
        <w:t>.</w:t>
      </w:r>
      <w:r w:rsidR="00430EDF">
        <w:rPr>
          <w:lang w:eastAsia="en-GB"/>
        </w:rPr>
        <w:t>*</w:t>
      </w:r>
      <w:r w:rsidR="0072413A">
        <w:rPr>
          <w:lang w:eastAsia="en-GB"/>
        </w:rPr>
        <w:t xml:space="preserve"> T</w:t>
      </w:r>
      <w:r w:rsidR="003B5D5A">
        <w:rPr>
          <w:lang w:eastAsia="en-GB"/>
        </w:rPr>
        <w:t>he translation renders</w:t>
      </w:r>
      <w:r w:rsidR="003B5D5A" w:rsidRPr="001005B7">
        <w:rPr>
          <w:lang w:eastAsia="en-GB"/>
        </w:rPr>
        <w:t xml:space="preserve"> these as simply future statements</w:t>
      </w:r>
      <w:r w:rsidR="00BC5543">
        <w:rPr>
          <w:lang w:eastAsia="en-GB"/>
        </w:rPr>
        <w:t>,</w:t>
      </w:r>
      <w:r w:rsidR="003B5D5A" w:rsidRPr="001005B7">
        <w:rPr>
          <w:lang w:eastAsia="en-GB"/>
        </w:rPr>
        <w:t xml:space="preserve"> to mark the form that is featuring. E.g., 2:4; </w:t>
      </w:r>
      <w:r w:rsidR="003B5D5A">
        <w:rPr>
          <w:lang w:eastAsia="en-GB"/>
        </w:rPr>
        <w:t xml:space="preserve">11:20; </w:t>
      </w:r>
      <w:r w:rsidR="003B5D5A" w:rsidRPr="001005B7">
        <w:rPr>
          <w:lang w:eastAsia="en-GB"/>
        </w:rPr>
        <w:t>37:17 (see GK 112).</w:t>
      </w:r>
    </w:p>
    <w:p w14:paraId="163E98F4" w14:textId="16E722A1" w:rsidR="00DD0585" w:rsidRPr="001005B7" w:rsidRDefault="00EC13BC" w:rsidP="00255E3C">
      <w:pPr>
        <w:pStyle w:val="Bullet"/>
        <w:rPr>
          <w:lang w:eastAsia="en-GB"/>
        </w:rPr>
      </w:pPr>
      <w:r w:rsidRPr="001005B7">
        <w:rPr>
          <w:lang w:eastAsia="en-GB"/>
        </w:rPr>
        <w:t xml:space="preserve">A </w:t>
      </w:r>
      <w:r w:rsidR="002637EB" w:rsidRPr="001005B7">
        <w:rPr>
          <w:lang w:eastAsia="en-GB"/>
        </w:rPr>
        <w:t xml:space="preserve">volitional or </w:t>
      </w:r>
      <w:r w:rsidRPr="001005B7">
        <w:rPr>
          <w:lang w:eastAsia="en-GB"/>
        </w:rPr>
        <w:t>non-finite verb (imperative, infi</w:t>
      </w:r>
      <w:r w:rsidR="00354170" w:rsidRPr="001005B7">
        <w:rPr>
          <w:lang w:eastAsia="en-GB"/>
        </w:rPr>
        <w:t>n</w:t>
      </w:r>
      <w:r w:rsidRPr="001005B7">
        <w:rPr>
          <w:lang w:eastAsia="en-GB"/>
        </w:rPr>
        <w:t>iti</w:t>
      </w:r>
      <w:r w:rsidR="00354170" w:rsidRPr="001005B7">
        <w:rPr>
          <w:lang w:eastAsia="en-GB"/>
        </w:rPr>
        <w:t>v</w:t>
      </w:r>
      <w:r w:rsidRPr="001005B7">
        <w:rPr>
          <w:lang w:eastAsia="en-GB"/>
        </w:rPr>
        <w:t>e, participle</w:t>
      </w:r>
      <w:r w:rsidR="00354170" w:rsidRPr="001005B7">
        <w:rPr>
          <w:lang w:eastAsia="en-GB"/>
        </w:rPr>
        <w:t>)</w:t>
      </w:r>
      <w:r w:rsidRPr="001005B7">
        <w:rPr>
          <w:lang w:eastAsia="en-GB"/>
        </w:rPr>
        <w:t xml:space="preserve"> can be followed</w:t>
      </w:r>
      <w:r w:rsidR="00354170" w:rsidRPr="001005B7">
        <w:rPr>
          <w:lang w:eastAsia="en-GB"/>
        </w:rPr>
        <w:t xml:space="preserve"> by a </w:t>
      </w:r>
      <w:r w:rsidR="00354170" w:rsidRPr="001005B7">
        <w:rPr>
          <w:i/>
          <w:iCs/>
          <w:lang w:eastAsia="en-GB"/>
        </w:rPr>
        <w:t>waw</w:t>
      </w:r>
      <w:r w:rsidR="00354170" w:rsidRPr="001005B7">
        <w:rPr>
          <w:lang w:eastAsia="en-GB"/>
        </w:rPr>
        <w:t>-consecutive</w:t>
      </w:r>
      <w:r w:rsidR="00B5029E" w:rsidRPr="001005B7">
        <w:rPr>
          <w:lang w:eastAsia="en-GB"/>
        </w:rPr>
        <w:t xml:space="preserve"> or other finite verb</w:t>
      </w:r>
      <w:r w:rsidR="00354170" w:rsidRPr="001005B7">
        <w:rPr>
          <w:lang w:eastAsia="en-GB"/>
        </w:rPr>
        <w:t xml:space="preserve"> that continues the </w:t>
      </w:r>
      <w:r w:rsidR="00C10628" w:rsidRPr="001005B7">
        <w:rPr>
          <w:lang w:eastAsia="en-GB"/>
        </w:rPr>
        <w:t>sense</w:t>
      </w:r>
      <w:r w:rsidR="00DF3315" w:rsidRPr="001005B7">
        <w:rPr>
          <w:lang w:eastAsia="en-GB"/>
        </w:rPr>
        <w:t xml:space="preserve"> of the preceding </w:t>
      </w:r>
      <w:r w:rsidR="0034126D" w:rsidRPr="001005B7">
        <w:rPr>
          <w:lang w:eastAsia="en-GB"/>
        </w:rPr>
        <w:t xml:space="preserve">volitional or </w:t>
      </w:r>
      <w:r w:rsidR="00DF3315" w:rsidRPr="001005B7">
        <w:rPr>
          <w:lang w:eastAsia="en-GB"/>
        </w:rPr>
        <w:t>non-finite verb. E.g.,</w:t>
      </w:r>
      <w:r w:rsidR="003505ED" w:rsidRPr="001005B7">
        <w:rPr>
          <w:lang w:eastAsia="en-GB"/>
        </w:rPr>
        <w:t xml:space="preserve"> 3:11;</w:t>
      </w:r>
      <w:r w:rsidR="00DF3315" w:rsidRPr="001005B7">
        <w:rPr>
          <w:lang w:eastAsia="en-GB"/>
        </w:rPr>
        <w:t xml:space="preserve"> </w:t>
      </w:r>
      <w:r w:rsidR="00A5577E" w:rsidRPr="001005B7">
        <w:t xml:space="preserve">22:3; </w:t>
      </w:r>
      <w:r w:rsidR="0002031A" w:rsidRPr="001005B7">
        <w:rPr>
          <w:lang w:eastAsia="en-GB"/>
        </w:rPr>
        <w:t>37:</w:t>
      </w:r>
      <w:r w:rsidR="00A8507B" w:rsidRPr="001005B7">
        <w:rPr>
          <w:lang w:eastAsia="en-GB"/>
        </w:rPr>
        <w:t>19</w:t>
      </w:r>
      <w:r w:rsidR="00191A92" w:rsidRPr="001005B7">
        <w:rPr>
          <w:lang w:eastAsia="en-GB"/>
        </w:rPr>
        <w:t>, 21</w:t>
      </w:r>
      <w:r w:rsidR="0002031A" w:rsidRPr="001005B7">
        <w:rPr>
          <w:lang w:eastAsia="en-GB"/>
        </w:rPr>
        <w:t xml:space="preserve"> </w:t>
      </w:r>
      <w:r w:rsidR="000635FD" w:rsidRPr="001005B7">
        <w:rPr>
          <w:lang w:eastAsia="en-GB"/>
        </w:rPr>
        <w:t>(</w:t>
      </w:r>
      <w:r w:rsidR="00DF7D53" w:rsidRPr="001005B7">
        <w:rPr>
          <w:lang w:eastAsia="en-GB"/>
        </w:rPr>
        <w:t xml:space="preserve">see </w:t>
      </w:r>
      <w:r w:rsidR="000635FD" w:rsidRPr="001005B7">
        <w:rPr>
          <w:lang w:eastAsia="en-GB"/>
        </w:rPr>
        <w:t xml:space="preserve">GK </w:t>
      </w:r>
      <w:r w:rsidR="008B5C96" w:rsidRPr="001005B7">
        <w:rPr>
          <w:lang w:eastAsia="en-GB"/>
        </w:rPr>
        <w:t>112</w:t>
      </w:r>
      <w:r w:rsidR="00F46900" w:rsidRPr="001005B7">
        <w:rPr>
          <w:lang w:eastAsia="en-GB"/>
        </w:rPr>
        <w:t>–</w:t>
      </w:r>
      <w:r w:rsidR="00ED5D58" w:rsidRPr="001005B7">
        <w:rPr>
          <w:lang w:eastAsia="en-GB"/>
        </w:rPr>
        <w:t>14</w:t>
      </w:r>
      <w:r w:rsidR="008B5C96" w:rsidRPr="001005B7">
        <w:rPr>
          <w:lang w:eastAsia="en-GB"/>
        </w:rPr>
        <w:t>).</w:t>
      </w:r>
    </w:p>
    <w:p w14:paraId="03BE6BD3" w14:textId="6BC7287C" w:rsidR="00131BC5" w:rsidRPr="001005B7" w:rsidRDefault="001B7C92" w:rsidP="005B6337">
      <w:pPr>
        <w:pStyle w:val="Bullet"/>
        <w:rPr>
          <w:lang w:eastAsia="en-GB"/>
        </w:rPr>
      </w:pPr>
      <w:r w:rsidRPr="001005B7">
        <w:rPr>
          <w:lang w:eastAsia="en-GB"/>
        </w:rPr>
        <w:t xml:space="preserve">A </w:t>
      </w:r>
      <w:r w:rsidRPr="005D3CC3">
        <w:rPr>
          <w:i/>
          <w:iCs/>
          <w:lang w:eastAsia="en-GB"/>
        </w:rPr>
        <w:t>qata</w:t>
      </w:r>
      <w:r w:rsidR="00175EC0" w:rsidRPr="005D3CC3">
        <w:rPr>
          <w:i/>
          <w:iCs/>
          <w:lang w:eastAsia="en-GB"/>
        </w:rPr>
        <w:t>l</w:t>
      </w:r>
      <w:r w:rsidR="00B6363E">
        <w:rPr>
          <w:i/>
          <w:iCs/>
          <w:lang w:eastAsia="en-GB"/>
        </w:rPr>
        <w:t>*</w:t>
      </w:r>
      <w:r w:rsidR="00175EC0" w:rsidRPr="001005B7">
        <w:rPr>
          <w:lang w:eastAsia="en-GB"/>
        </w:rPr>
        <w:t xml:space="preserve"> can refer to an event that is future but is so certain it can be spoken of as if it has already happened</w:t>
      </w:r>
      <w:r w:rsidR="005651E9" w:rsidRPr="001005B7">
        <w:rPr>
          <w:lang w:eastAsia="en-GB"/>
        </w:rPr>
        <w:t>,</w:t>
      </w:r>
      <w:r w:rsidR="00773BF9" w:rsidRPr="001005B7">
        <w:rPr>
          <w:lang w:eastAsia="en-GB"/>
        </w:rPr>
        <w:t xml:space="preserve"> </w:t>
      </w:r>
      <w:r w:rsidR="00463645" w:rsidRPr="001005B7">
        <w:rPr>
          <w:lang w:eastAsia="en-GB"/>
        </w:rPr>
        <w:t>or</w:t>
      </w:r>
      <w:r w:rsidR="00773BF9" w:rsidRPr="001005B7">
        <w:rPr>
          <w:lang w:eastAsia="en-GB"/>
        </w:rPr>
        <w:t xml:space="preserve"> </w:t>
      </w:r>
      <w:r w:rsidR="00882B5C">
        <w:rPr>
          <w:lang w:eastAsia="en-GB"/>
        </w:rPr>
        <w:t xml:space="preserve">to </w:t>
      </w:r>
      <w:r w:rsidR="007D2AF2">
        <w:rPr>
          <w:lang w:eastAsia="en-GB"/>
        </w:rPr>
        <w:t>something</w:t>
      </w:r>
      <w:r w:rsidR="00B960A3">
        <w:rPr>
          <w:lang w:eastAsia="en-GB"/>
        </w:rPr>
        <w:t xml:space="preserve"> </w:t>
      </w:r>
      <w:r w:rsidR="005651E9" w:rsidRPr="001005B7">
        <w:rPr>
          <w:lang w:eastAsia="en-GB"/>
        </w:rPr>
        <w:t xml:space="preserve">that the speaker intends to make happen, so that </w:t>
      </w:r>
      <w:r w:rsidR="00DE1B7F" w:rsidRPr="001005B7">
        <w:rPr>
          <w:lang w:eastAsia="en-GB"/>
        </w:rPr>
        <w:t xml:space="preserve">the expression is </w:t>
      </w:r>
      <w:r w:rsidR="00613679" w:rsidRPr="001005B7">
        <w:rPr>
          <w:lang w:eastAsia="en-GB"/>
        </w:rPr>
        <w:t>performative</w:t>
      </w:r>
      <w:r w:rsidR="00E82B91" w:rsidRPr="001005B7">
        <w:rPr>
          <w:lang w:eastAsia="en-GB"/>
        </w:rPr>
        <w:t xml:space="preserve">. I translate such </w:t>
      </w:r>
      <w:r w:rsidR="00E82B91" w:rsidRPr="009B6463">
        <w:rPr>
          <w:i/>
          <w:iCs/>
          <w:lang w:eastAsia="en-GB"/>
        </w:rPr>
        <w:t>qatals</w:t>
      </w:r>
      <w:r w:rsidR="00E82B91" w:rsidRPr="001005B7">
        <w:rPr>
          <w:lang w:eastAsia="en-GB"/>
        </w:rPr>
        <w:t xml:space="preserve"> with present continuous verb</w:t>
      </w:r>
      <w:r w:rsidR="005E4796">
        <w:rPr>
          <w:lang w:eastAsia="en-GB"/>
        </w:rPr>
        <w:t>s</w:t>
      </w:r>
      <w:r w:rsidR="00E82B91" w:rsidRPr="001005B7">
        <w:rPr>
          <w:lang w:eastAsia="en-GB"/>
        </w:rPr>
        <w:t xml:space="preserve">. E.g., </w:t>
      </w:r>
      <w:r w:rsidR="00386714" w:rsidRPr="001005B7">
        <w:rPr>
          <w:lang w:eastAsia="en-GB"/>
        </w:rPr>
        <w:t>3:</w:t>
      </w:r>
      <w:r w:rsidR="00792EEF" w:rsidRPr="001005B7">
        <w:rPr>
          <w:lang w:eastAsia="en-GB"/>
        </w:rPr>
        <w:t xml:space="preserve">17, </w:t>
      </w:r>
      <w:r w:rsidR="00386714" w:rsidRPr="001005B7">
        <w:rPr>
          <w:lang w:eastAsia="en-GB"/>
        </w:rPr>
        <w:t xml:space="preserve">25; </w:t>
      </w:r>
      <w:r w:rsidR="00F34D3A" w:rsidRPr="001005B7">
        <w:rPr>
          <w:lang w:eastAsia="en-GB"/>
        </w:rPr>
        <w:t>12:</w:t>
      </w:r>
      <w:r w:rsidR="001A41B1" w:rsidRPr="001005B7">
        <w:rPr>
          <w:lang w:eastAsia="en-GB"/>
        </w:rPr>
        <w:t>6</w:t>
      </w:r>
      <w:r w:rsidR="004563B6">
        <w:rPr>
          <w:lang w:eastAsia="en-GB"/>
        </w:rPr>
        <w:t>, 23</w:t>
      </w:r>
      <w:r w:rsidR="00F34D3A" w:rsidRPr="001005B7">
        <w:rPr>
          <w:lang w:eastAsia="en-GB"/>
        </w:rPr>
        <w:t xml:space="preserve">; </w:t>
      </w:r>
      <w:r w:rsidR="00561688" w:rsidRPr="001005B7">
        <w:rPr>
          <w:lang w:eastAsia="en-GB"/>
        </w:rPr>
        <w:t>14:4</w:t>
      </w:r>
      <w:r w:rsidR="003E5A6D" w:rsidRPr="001005B7">
        <w:rPr>
          <w:lang w:eastAsia="en-GB"/>
        </w:rPr>
        <w:t xml:space="preserve"> (</w:t>
      </w:r>
      <w:r w:rsidR="00097F34">
        <w:rPr>
          <w:lang w:eastAsia="en-GB"/>
        </w:rPr>
        <w:t xml:space="preserve">see </w:t>
      </w:r>
      <w:r w:rsidR="003E5A6D" w:rsidRPr="001005B7">
        <w:rPr>
          <w:lang w:eastAsia="en-GB"/>
        </w:rPr>
        <w:t>GK 106).</w:t>
      </w:r>
    </w:p>
    <w:p w14:paraId="1615DD8D" w14:textId="7799CBE9" w:rsidR="005E71AC" w:rsidRPr="001005B7" w:rsidRDefault="007514E4" w:rsidP="005E71AC">
      <w:pPr>
        <w:pStyle w:val="Bullet"/>
        <w:rPr>
          <w:lang w:eastAsia="en-GB"/>
        </w:rPr>
      </w:pPr>
      <w:r>
        <w:t>Ezekiel</w:t>
      </w:r>
      <w:r w:rsidR="005E71AC" w:rsidRPr="001005B7">
        <w:t xml:space="preserve"> c</w:t>
      </w:r>
      <w:r w:rsidR="005E71AC">
        <w:t>an</w:t>
      </w:r>
      <w:r w:rsidR="005E71AC" w:rsidRPr="001005B7">
        <w:t xml:space="preserve"> open the beginning of sections with </w:t>
      </w:r>
      <w:r w:rsidR="005E71AC" w:rsidRPr="001005B7">
        <w:rPr>
          <w:rFonts w:cstheme="minorHAnsi"/>
          <w:rtl/>
          <w:lang w:bidi="he-IL"/>
        </w:rPr>
        <w:t>וַיְהִי</w:t>
      </w:r>
      <w:r w:rsidR="005E71AC" w:rsidRPr="001005B7">
        <w:t xml:space="preserve">, </w:t>
      </w:r>
      <w:r w:rsidR="00E35A07">
        <w:t xml:space="preserve">translated </w:t>
      </w:r>
      <w:r w:rsidR="005E71AC">
        <w:t>“then,”</w:t>
      </w:r>
      <w:r w:rsidR="00E35A07">
        <w:t xml:space="preserve"> but</w:t>
      </w:r>
      <w:r w:rsidR="005E71AC">
        <w:t xml:space="preserve"> </w:t>
      </w:r>
      <w:r w:rsidR="005E71AC" w:rsidRPr="001005B7">
        <w:t>literally</w:t>
      </w:r>
      <w:r w:rsidR="00C00151">
        <w:t xml:space="preserve"> meaning</w:t>
      </w:r>
      <w:r w:rsidR="005E71AC" w:rsidRPr="001005B7">
        <w:t xml:space="preserve"> “and it happened,” especially </w:t>
      </w:r>
      <w:r w:rsidR="003427CE">
        <w:t xml:space="preserve">to introduce </w:t>
      </w:r>
      <w:r w:rsidR="005E71AC" w:rsidRPr="001005B7">
        <w:t>extraposed* statements. E.g., 1:1</w:t>
      </w:r>
      <w:r w:rsidR="005E71AC">
        <w:t xml:space="preserve"> (where the translation is “now”)</w:t>
      </w:r>
      <w:r w:rsidR="005E71AC" w:rsidRPr="001005B7">
        <w:t>; 3:16; 8:1</w:t>
      </w:r>
      <w:r w:rsidR="005E71AC">
        <w:t>.</w:t>
      </w:r>
    </w:p>
    <w:p w14:paraId="5FE12497" w14:textId="38473B71" w:rsidR="005E71AC" w:rsidRDefault="005E71AC" w:rsidP="005E71AC">
      <w:pPr>
        <w:pStyle w:val="Bullet"/>
        <w:rPr>
          <w:lang w:eastAsia="en-GB"/>
        </w:rPr>
      </w:pPr>
      <w:r w:rsidRPr="001005B7">
        <w:rPr>
          <w:lang w:eastAsia="en-GB"/>
        </w:rPr>
        <w:t>The rhetorical interrogative</w:t>
      </w:r>
      <w:r>
        <w:rPr>
          <w:lang w:eastAsia="en-GB"/>
        </w:rPr>
        <w:t xml:space="preserve">s </w:t>
      </w:r>
      <w:r w:rsidRPr="001005B7">
        <w:rPr>
          <w:rFonts w:cstheme="minorHAnsi"/>
          <w:rtl/>
          <w:lang w:eastAsia="en-GB" w:bidi="he-IL"/>
        </w:rPr>
        <w:t>הֲ</w:t>
      </w:r>
      <w:r w:rsidRPr="001005B7">
        <w:rPr>
          <w:lang w:eastAsia="en-GB"/>
        </w:rPr>
        <w:t xml:space="preserve"> </w:t>
      </w:r>
      <w:r>
        <w:rPr>
          <w:lang w:eastAsia="en-GB"/>
        </w:rPr>
        <w:t xml:space="preserve">and </w:t>
      </w:r>
      <w:r w:rsidRPr="001005B7">
        <w:rPr>
          <w:rFonts w:cstheme="minorHAnsi"/>
          <w:rtl/>
          <w:lang w:eastAsia="en-GB" w:bidi="he-IL"/>
        </w:rPr>
        <w:t>הֲלֹא</w:t>
      </w:r>
      <w:r w:rsidRPr="001005B7">
        <w:rPr>
          <w:lang w:eastAsia="en-GB"/>
        </w:rPr>
        <w:t xml:space="preserve">, </w:t>
      </w:r>
      <w:r>
        <w:rPr>
          <w:lang w:eastAsia="en-GB"/>
        </w:rPr>
        <w:t>“did</w:t>
      </w:r>
      <w:r w:rsidR="00706E18">
        <w:rPr>
          <w:lang w:eastAsia="en-GB"/>
        </w:rPr>
        <w:t>?</w:t>
      </w:r>
      <w:r>
        <w:rPr>
          <w:lang w:eastAsia="en-GB"/>
        </w:rPr>
        <w:t xml:space="preserve">” and </w:t>
      </w:r>
      <w:r w:rsidRPr="001005B7">
        <w:rPr>
          <w:lang w:eastAsia="en-GB"/>
        </w:rPr>
        <w:t xml:space="preserve">“didn’t?” </w:t>
      </w:r>
      <w:r>
        <w:rPr>
          <w:lang w:eastAsia="en-GB"/>
        </w:rPr>
        <w:t>can</w:t>
      </w:r>
      <w:r w:rsidRPr="001005B7">
        <w:rPr>
          <w:lang w:eastAsia="en-GB"/>
        </w:rPr>
        <w:t xml:space="preserve"> </w:t>
      </w:r>
      <w:r>
        <w:rPr>
          <w:lang w:eastAsia="en-GB"/>
        </w:rPr>
        <w:t>introduce something</w:t>
      </w:r>
      <w:r w:rsidR="00246086">
        <w:rPr>
          <w:lang w:eastAsia="en-GB"/>
        </w:rPr>
        <w:t xml:space="preserve"> that is</w:t>
      </w:r>
      <w:r>
        <w:rPr>
          <w:lang w:eastAsia="en-GB"/>
        </w:rPr>
        <w:t xml:space="preserve"> more a</w:t>
      </w:r>
      <w:r w:rsidRPr="001005B7">
        <w:rPr>
          <w:lang w:eastAsia="en-GB"/>
        </w:rPr>
        <w:t xml:space="preserve"> statement than a question, like </w:t>
      </w:r>
      <w:r>
        <w:rPr>
          <w:lang w:eastAsia="en-GB"/>
        </w:rPr>
        <w:t>their</w:t>
      </w:r>
      <w:r w:rsidRPr="001005B7">
        <w:rPr>
          <w:lang w:eastAsia="en-GB"/>
        </w:rPr>
        <w:t xml:space="preserve"> English equivalent</w:t>
      </w:r>
      <w:r>
        <w:rPr>
          <w:lang w:eastAsia="en-GB"/>
        </w:rPr>
        <w:t>s</w:t>
      </w:r>
      <w:r w:rsidRPr="001005B7">
        <w:rPr>
          <w:lang w:eastAsia="en-GB"/>
        </w:rPr>
        <w:t xml:space="preserve">, and </w:t>
      </w:r>
      <w:r>
        <w:rPr>
          <w:lang w:eastAsia="en-GB"/>
        </w:rPr>
        <w:t xml:space="preserve">they </w:t>
      </w:r>
      <w:r w:rsidRPr="001005B7">
        <w:rPr>
          <w:lang w:eastAsia="en-GB"/>
        </w:rPr>
        <w:t>hardly require a question mark. E.g., 8:6, 12, 15, 17.</w:t>
      </w:r>
      <w:r>
        <w:rPr>
          <w:lang w:eastAsia="en-GB"/>
        </w:rPr>
        <w:t xml:space="preserve"> </w:t>
      </w:r>
    </w:p>
    <w:p w14:paraId="5B45A1CD" w14:textId="52E44480" w:rsidR="005E71AC" w:rsidRPr="001005B7" w:rsidRDefault="005E71AC" w:rsidP="005E71AC">
      <w:pPr>
        <w:pStyle w:val="Bullet"/>
        <w:rPr>
          <w:lang w:eastAsia="en-GB"/>
        </w:rPr>
      </w:pPr>
      <w:r>
        <w:rPr>
          <w:lang w:eastAsia="en-GB"/>
        </w:rPr>
        <w:t>Something similar applies to ironic</w:t>
      </w:r>
      <w:r>
        <w:rPr>
          <w:rFonts w:cstheme="minorHAnsi"/>
        </w:rPr>
        <w:t xml:space="preserve"> </w:t>
      </w:r>
      <w:r>
        <w:rPr>
          <w:rFonts w:cstheme="minorHAnsi"/>
          <w:rtl/>
          <w:lang w:bidi="he-IL"/>
        </w:rPr>
        <w:t>נָא</w:t>
      </w:r>
      <w:r>
        <w:rPr>
          <w:rFonts w:cstheme="minorHAnsi"/>
        </w:rPr>
        <w:t xml:space="preserve"> (traditionally “please</w:t>
      </w:r>
      <w:r w:rsidR="007E1A2C">
        <w:rPr>
          <w:rFonts w:cstheme="minorHAnsi"/>
        </w:rPr>
        <w:t>”)</w:t>
      </w:r>
      <w:r w:rsidR="007201E2">
        <w:rPr>
          <w:rFonts w:cstheme="minorHAnsi"/>
        </w:rPr>
        <w:t>, translated “will you</w:t>
      </w:r>
      <w:r>
        <w:rPr>
          <w:rFonts w:cstheme="minorHAnsi"/>
        </w:rPr>
        <w:t>.</w:t>
      </w:r>
      <w:r w:rsidR="007E1A2C">
        <w:rPr>
          <w:rFonts w:cstheme="minorHAnsi"/>
        </w:rPr>
        <w:t>”</w:t>
      </w:r>
      <w:r>
        <w:rPr>
          <w:rFonts w:cstheme="minorHAnsi"/>
        </w:rPr>
        <w:t xml:space="preserve"> E.g., 8:5, 8.</w:t>
      </w:r>
    </w:p>
    <w:p w14:paraId="195D135C" w14:textId="1C902E3C" w:rsidR="005E71AC" w:rsidRPr="001005B7" w:rsidRDefault="009E32AB" w:rsidP="005E71AC">
      <w:pPr>
        <w:pStyle w:val="Bullet"/>
        <w:rPr>
          <w:lang w:eastAsia="en-GB"/>
        </w:rPr>
      </w:pPr>
      <w:r>
        <w:rPr>
          <w:lang w:eastAsia="en-GB"/>
        </w:rPr>
        <w:t>Ezekiel</w:t>
      </w:r>
      <w:r w:rsidR="005E71AC" w:rsidRPr="001005B7">
        <w:rPr>
          <w:lang w:eastAsia="en-GB"/>
        </w:rPr>
        <w:t xml:space="preserve"> commonly prefaces </w:t>
      </w:r>
      <w:r w:rsidR="00484D46">
        <w:rPr>
          <w:lang w:eastAsia="en-GB"/>
        </w:rPr>
        <w:t xml:space="preserve">quotations of </w:t>
      </w:r>
      <w:r w:rsidR="00A85544">
        <w:rPr>
          <w:lang w:eastAsia="en-GB"/>
        </w:rPr>
        <w:t>someone’s</w:t>
      </w:r>
      <w:r w:rsidR="00484D46">
        <w:rPr>
          <w:lang w:eastAsia="en-GB"/>
        </w:rPr>
        <w:t xml:space="preserve"> </w:t>
      </w:r>
      <w:r w:rsidR="005E71AC" w:rsidRPr="001005B7">
        <w:rPr>
          <w:lang w:eastAsia="en-GB"/>
        </w:rPr>
        <w:t xml:space="preserve">words with </w:t>
      </w:r>
      <w:r w:rsidR="005E71AC" w:rsidRPr="001005B7">
        <w:rPr>
          <w:rFonts w:cstheme="minorHAnsi"/>
          <w:rtl/>
          <w:lang w:eastAsia="en-GB" w:bidi="he-IL"/>
        </w:rPr>
        <w:t>לֵאמֹר</w:t>
      </w:r>
      <w:r w:rsidR="005E71AC" w:rsidRPr="001005B7">
        <w:rPr>
          <w:lang w:eastAsia="en-GB"/>
        </w:rPr>
        <w:t xml:space="preserve">, “[in] saying,” which functions like quotation marks in English. </w:t>
      </w:r>
      <w:r w:rsidR="005E71AC">
        <w:rPr>
          <w:lang w:eastAsia="en-GB"/>
        </w:rPr>
        <w:t xml:space="preserve">The translation </w:t>
      </w:r>
      <w:r w:rsidR="005E71AC" w:rsidRPr="001005B7">
        <w:rPr>
          <w:lang w:eastAsia="en-GB"/>
        </w:rPr>
        <w:t>mark</w:t>
      </w:r>
      <w:r w:rsidR="005E71AC">
        <w:rPr>
          <w:lang w:eastAsia="en-GB"/>
        </w:rPr>
        <w:t>s</w:t>
      </w:r>
      <w:r w:rsidR="005E71AC" w:rsidRPr="001005B7">
        <w:rPr>
          <w:lang w:eastAsia="en-GB"/>
        </w:rPr>
        <w:t xml:space="preserve"> the expression by the use of a colon. E.g., 3:16; 12:1; 13:1</w:t>
      </w:r>
      <w:r w:rsidR="005E71AC">
        <w:rPr>
          <w:lang w:eastAsia="en-GB"/>
        </w:rPr>
        <w:t>.</w:t>
      </w:r>
    </w:p>
    <w:p w14:paraId="22BC7AC1" w14:textId="7C6F9BFA" w:rsidR="005E71AC" w:rsidRPr="001005B7" w:rsidRDefault="00FF6D19" w:rsidP="005E71AC">
      <w:pPr>
        <w:pStyle w:val="Bullet"/>
        <w:rPr>
          <w:lang w:eastAsia="en-GB"/>
        </w:rPr>
      </w:pPr>
      <w:r>
        <w:rPr>
          <w:lang w:eastAsia="en-GB"/>
        </w:rPr>
        <w:t>Ezekiel</w:t>
      </w:r>
      <w:r w:rsidR="005E71AC" w:rsidRPr="001005B7">
        <w:rPr>
          <w:lang w:eastAsia="en-GB"/>
        </w:rPr>
        <w:t xml:space="preserve"> uses </w:t>
      </w:r>
      <w:r w:rsidR="005E71AC" w:rsidRPr="001005B7">
        <w:rPr>
          <w:rFonts w:cstheme="minorHAnsi"/>
          <w:rtl/>
          <w:lang w:eastAsia="en-GB" w:bidi="he-IL"/>
        </w:rPr>
        <w:t>עַל</w:t>
      </w:r>
      <w:r w:rsidR="005E71AC" w:rsidRPr="001005B7">
        <w:rPr>
          <w:lang w:eastAsia="en-GB"/>
        </w:rPr>
        <w:t xml:space="preserve"> (</w:t>
      </w:r>
      <w:r w:rsidR="00FB2536">
        <w:rPr>
          <w:lang w:eastAsia="en-GB"/>
        </w:rPr>
        <w:t xml:space="preserve">strictly </w:t>
      </w:r>
      <w:r w:rsidR="005E71AC" w:rsidRPr="001005B7">
        <w:rPr>
          <w:lang w:eastAsia="en-GB"/>
        </w:rPr>
        <w:t xml:space="preserve">“on” or “against”) and </w:t>
      </w:r>
      <w:r w:rsidR="005E71AC" w:rsidRPr="001005B7">
        <w:rPr>
          <w:rFonts w:cstheme="minorHAnsi"/>
          <w:rtl/>
          <w:lang w:eastAsia="en-GB" w:bidi="he-IL"/>
        </w:rPr>
        <w:t>אֶל</w:t>
      </w:r>
      <w:r w:rsidR="005E71AC" w:rsidRPr="001005B7">
        <w:rPr>
          <w:lang w:eastAsia="en-GB"/>
        </w:rPr>
        <w:t xml:space="preserve"> (“to”) with similar meaning to signify “to” or “on.”</w:t>
      </w:r>
      <w:r w:rsidR="005E71AC" w:rsidRPr="001005B7">
        <w:rPr>
          <w:rFonts w:cstheme="minorHAnsi"/>
        </w:rPr>
        <w:t xml:space="preserve"> </w:t>
      </w:r>
      <w:r w:rsidR="005E71AC">
        <w:rPr>
          <w:rFonts w:cstheme="minorHAnsi"/>
        </w:rPr>
        <w:t>T</w:t>
      </w:r>
      <w:r w:rsidR="005E71AC" w:rsidRPr="001005B7">
        <w:rPr>
          <w:rFonts w:cstheme="minorHAnsi"/>
        </w:rPr>
        <w:t>he translation preserve</w:t>
      </w:r>
      <w:r w:rsidR="005E71AC">
        <w:rPr>
          <w:rFonts w:cstheme="minorHAnsi"/>
        </w:rPr>
        <w:t>s</w:t>
      </w:r>
      <w:r w:rsidR="005E71AC" w:rsidRPr="001005B7">
        <w:rPr>
          <w:rFonts w:cstheme="minorHAnsi"/>
        </w:rPr>
        <w:t xml:space="preserve"> the difference where possible. E.g., 1:9, 12, 17.</w:t>
      </w:r>
    </w:p>
    <w:p w14:paraId="33BDF8C9" w14:textId="7E2097C3" w:rsidR="005E71AC" w:rsidRPr="001005B7" w:rsidRDefault="00197BCD" w:rsidP="005E71AC">
      <w:pPr>
        <w:pStyle w:val="Bullet"/>
        <w:rPr>
          <w:lang w:eastAsia="en-GB"/>
        </w:rPr>
      </w:pPr>
      <w:r>
        <w:rPr>
          <w:rFonts w:cstheme="minorHAnsi"/>
        </w:rPr>
        <w:t>He</w:t>
      </w:r>
      <w:r w:rsidR="005E71AC" w:rsidRPr="001005B7">
        <w:rPr>
          <w:rFonts w:cstheme="minorHAnsi"/>
        </w:rPr>
        <w:t xml:space="preserve"> uses the relative particle </w:t>
      </w:r>
      <w:r w:rsidR="005E71AC" w:rsidRPr="001005B7">
        <w:rPr>
          <w:rFonts w:cstheme="minorHAnsi"/>
          <w:rtl/>
          <w:lang w:bidi="he-IL"/>
        </w:rPr>
        <w:t>אֲשֶׁר</w:t>
      </w:r>
      <w:r w:rsidR="005E71AC" w:rsidRPr="001005B7">
        <w:rPr>
          <w:rFonts w:cstheme="minorHAnsi"/>
        </w:rPr>
        <w:t xml:space="preserve"> to introduce a word or phrase,</w:t>
      </w:r>
      <w:r w:rsidR="00ED1140">
        <w:rPr>
          <w:rFonts w:cstheme="minorHAnsi"/>
        </w:rPr>
        <w:t xml:space="preserve"> </w:t>
      </w:r>
      <w:r w:rsidR="005E71AC" w:rsidRPr="001005B7">
        <w:rPr>
          <w:rFonts w:cstheme="minorHAnsi"/>
        </w:rPr>
        <w:t xml:space="preserve">not only a relative clause. </w:t>
      </w:r>
      <w:r w:rsidR="005E71AC">
        <w:rPr>
          <w:rFonts w:cstheme="minorHAnsi"/>
        </w:rPr>
        <w:t>The translation</w:t>
      </w:r>
      <w:r w:rsidR="005E71AC" w:rsidRPr="001005B7">
        <w:rPr>
          <w:rFonts w:cstheme="minorHAnsi"/>
        </w:rPr>
        <w:t xml:space="preserve"> commonly mark</w:t>
      </w:r>
      <w:r w:rsidR="005E71AC">
        <w:rPr>
          <w:rFonts w:cstheme="minorHAnsi"/>
        </w:rPr>
        <w:t>s</w:t>
      </w:r>
      <w:r w:rsidR="005E71AC" w:rsidRPr="001005B7">
        <w:rPr>
          <w:rFonts w:cstheme="minorHAnsi"/>
        </w:rPr>
        <w:t xml:space="preserve"> this with a comma. E.g., 6:7, 8, 14, 15</w:t>
      </w:r>
      <w:r w:rsidR="005E71AC">
        <w:rPr>
          <w:rFonts w:cstheme="minorHAnsi"/>
        </w:rPr>
        <w:t>.</w:t>
      </w:r>
    </w:p>
    <w:p w14:paraId="19FDF31D" w14:textId="77777777" w:rsidR="005E71AC" w:rsidRPr="001005B7" w:rsidRDefault="005E71AC" w:rsidP="005E71AC">
      <w:pPr>
        <w:pStyle w:val="Bullet"/>
        <w:rPr>
          <w:lang w:eastAsia="en-GB"/>
        </w:rPr>
      </w:pPr>
      <w:r>
        <w:rPr>
          <w:rFonts w:cstheme="minorHAnsi"/>
        </w:rPr>
        <w:t>He</w:t>
      </w:r>
      <w:r w:rsidRPr="001005B7">
        <w:rPr>
          <w:rFonts w:cstheme="minorHAnsi"/>
        </w:rPr>
        <w:t xml:space="preserve"> switch</w:t>
      </w:r>
      <w:r>
        <w:rPr>
          <w:rFonts w:cstheme="minorHAnsi"/>
        </w:rPr>
        <w:t>es</w:t>
      </w:r>
      <w:r w:rsidRPr="001005B7">
        <w:rPr>
          <w:rFonts w:cstheme="minorHAnsi"/>
        </w:rPr>
        <w:t xml:space="preserve"> without announcement between second and third person, between speaking to people and speaking about them. E.g.</w:t>
      </w:r>
      <w:r>
        <w:rPr>
          <w:rFonts w:cstheme="minorHAnsi"/>
        </w:rPr>
        <w:t>, in</w:t>
      </w:r>
      <w:r w:rsidRPr="001005B7">
        <w:rPr>
          <w:rFonts w:cstheme="minorHAnsi"/>
        </w:rPr>
        <w:t xml:space="preserve"> 5:14–15; 6:11–13 he is </w:t>
      </w:r>
      <w:r>
        <w:rPr>
          <w:rFonts w:cstheme="minorHAnsi"/>
        </w:rPr>
        <w:t>rhetorically addressing</w:t>
      </w:r>
      <w:r w:rsidRPr="001005B7">
        <w:rPr>
          <w:rFonts w:cstheme="minorHAnsi"/>
        </w:rPr>
        <w:t xml:space="preserve"> Jerusalem</w:t>
      </w:r>
      <w:r>
        <w:rPr>
          <w:rFonts w:cstheme="minorHAnsi"/>
        </w:rPr>
        <w:t xml:space="preserve"> because the message concerns it</w:t>
      </w:r>
      <w:r w:rsidRPr="001005B7">
        <w:rPr>
          <w:rFonts w:cstheme="minorHAnsi"/>
        </w:rPr>
        <w:t xml:space="preserve">, but </w:t>
      </w:r>
      <w:r>
        <w:rPr>
          <w:rFonts w:cstheme="minorHAnsi"/>
        </w:rPr>
        <w:t xml:space="preserve">he </w:t>
      </w:r>
      <w:r w:rsidRPr="001005B7">
        <w:rPr>
          <w:rFonts w:cstheme="minorHAnsi"/>
        </w:rPr>
        <w:t xml:space="preserve">also speaking about it because he is directly addressing the </w:t>
      </w:r>
      <w:proofErr w:type="spellStart"/>
      <w:r w:rsidRPr="001005B7">
        <w:rPr>
          <w:rFonts w:cstheme="minorHAnsi"/>
        </w:rPr>
        <w:t>Kebarites</w:t>
      </w:r>
      <w:proofErr w:type="spellEnd"/>
      <w:r>
        <w:rPr>
          <w:rFonts w:cstheme="minorHAnsi"/>
        </w:rPr>
        <w:t>.</w:t>
      </w:r>
    </w:p>
    <w:p w14:paraId="3E646CF0" w14:textId="77777777" w:rsidR="005E71AC" w:rsidRPr="001005B7" w:rsidRDefault="005E71AC" w:rsidP="005E71AC">
      <w:pPr>
        <w:pStyle w:val="Bullet"/>
        <w:rPr>
          <w:lang w:eastAsia="en-GB"/>
        </w:rPr>
      </w:pPr>
      <w:r>
        <w:t>He similarly switches</w:t>
      </w:r>
      <w:r w:rsidRPr="001005B7">
        <w:t xml:space="preserve"> between using “I” of Yahweh because he speaks Yahweh’s words and using “he” of Yahweh because it is he who is </w:t>
      </w:r>
      <w:r>
        <w:t>s</w:t>
      </w:r>
      <w:r w:rsidRPr="001005B7">
        <w:t>peaking</w:t>
      </w:r>
      <w:r>
        <w:t>,</w:t>
      </w:r>
      <w:r w:rsidRPr="001005B7">
        <w:t xml:space="preserve"> about Yahweh. </w:t>
      </w:r>
    </w:p>
    <w:p w14:paraId="2DB3FF04" w14:textId="04A74E19" w:rsidR="005E71AC" w:rsidRDefault="005E71AC" w:rsidP="005E71AC">
      <w:pPr>
        <w:pStyle w:val="Bullet"/>
        <w:rPr>
          <w:lang w:eastAsia="en-GB"/>
        </w:rPr>
      </w:pPr>
      <w:r>
        <w:t>He</w:t>
      </w:r>
      <w:r w:rsidRPr="001005B7">
        <w:t xml:space="preserve"> </w:t>
      </w:r>
      <w:r w:rsidR="003C07B8">
        <w:t>can</w:t>
      </w:r>
      <w:r w:rsidRPr="001005B7">
        <w:t xml:space="preserve"> us</w:t>
      </w:r>
      <w:r w:rsidR="003C07B8">
        <w:t>e</w:t>
      </w:r>
      <w:r w:rsidRPr="001005B7">
        <w:t xml:space="preserve"> varying forms of words, such as variant forms of verbs. E.g.</w:t>
      </w:r>
      <w:r>
        <w:t>,</w:t>
      </w:r>
      <w:r w:rsidRPr="001005B7">
        <w:t xml:space="preserve"> 14:6; 18:30; 37:16; 38:7.</w:t>
      </w:r>
      <w:r w:rsidRPr="00663D8C">
        <w:rPr>
          <w:lang w:eastAsia="en-GB"/>
        </w:rPr>
        <w:t xml:space="preserve"> </w:t>
      </w:r>
    </w:p>
    <w:p w14:paraId="6D4B0F65" w14:textId="5A598379" w:rsidR="005E71AC" w:rsidRPr="001005B7" w:rsidRDefault="005E71AC" w:rsidP="005E71AC">
      <w:pPr>
        <w:pStyle w:val="Bullet"/>
        <w:rPr>
          <w:lang w:eastAsia="en-GB"/>
        </w:rPr>
      </w:pPr>
      <w:r>
        <w:rPr>
          <w:lang w:eastAsia="en-GB"/>
        </w:rPr>
        <w:t>He</w:t>
      </w:r>
      <w:r w:rsidRPr="001005B7">
        <w:rPr>
          <w:lang w:eastAsia="en-GB"/>
        </w:rPr>
        <w:t xml:space="preserve"> </w:t>
      </w:r>
      <w:r w:rsidR="00832FA2">
        <w:rPr>
          <w:lang w:eastAsia="en-GB"/>
        </w:rPr>
        <w:t>can</w:t>
      </w:r>
      <w:r w:rsidRPr="001005B7">
        <w:rPr>
          <w:lang w:eastAsia="en-GB"/>
        </w:rPr>
        <w:t xml:space="preserve"> juxtapos</w:t>
      </w:r>
      <w:r w:rsidR="00832FA2">
        <w:rPr>
          <w:lang w:eastAsia="en-GB"/>
        </w:rPr>
        <w:t>e</w:t>
      </w:r>
      <w:r w:rsidRPr="001005B7">
        <w:rPr>
          <w:lang w:eastAsia="en-GB"/>
        </w:rPr>
        <w:t xml:space="preserve"> verbs with their related nouns</w:t>
      </w:r>
      <w:r>
        <w:rPr>
          <w:lang w:eastAsia="en-GB"/>
        </w:rPr>
        <w:t>. E.g., the</w:t>
      </w:r>
      <w:r w:rsidRPr="001005B7">
        <w:rPr>
          <w:lang w:eastAsia="en-GB"/>
        </w:rPr>
        <w:t xml:space="preserve"> expression “defiant people who have defied me</w:t>
      </w:r>
      <w:r>
        <w:rPr>
          <w:lang w:eastAsia="en-GB"/>
        </w:rPr>
        <w:t>,” 2:3.</w:t>
      </w:r>
    </w:p>
    <w:p w14:paraId="739A98D0" w14:textId="46830CA8" w:rsidR="005E71AC" w:rsidRPr="001005B7" w:rsidRDefault="005E71AC" w:rsidP="005E71AC">
      <w:pPr>
        <w:pStyle w:val="Bullet"/>
        <w:rPr>
          <w:lang w:eastAsia="en-GB"/>
        </w:rPr>
      </w:pPr>
      <w:r w:rsidRPr="001005B7">
        <w:t xml:space="preserve">In keeping with regular Hebrew convention, </w:t>
      </w:r>
      <w:r>
        <w:t>he</w:t>
      </w:r>
      <w:r w:rsidRPr="001005B7">
        <w:t xml:space="preserve"> uses masculine singular to refer to individuals who might be male or female, and in keeping with the policy of this commentary series, th</w:t>
      </w:r>
      <w:r w:rsidR="00410174">
        <w:t xml:space="preserve">is volume </w:t>
      </w:r>
      <w:r w:rsidRPr="001005B7">
        <w:t>do</w:t>
      </w:r>
      <w:r>
        <w:t>es</w:t>
      </w:r>
      <w:r w:rsidRPr="001005B7">
        <w:t xml:space="preserve"> the same with English he/him.</w:t>
      </w:r>
    </w:p>
    <w:p w14:paraId="0CE55EF9" w14:textId="2A189A95" w:rsidR="005E71AC" w:rsidRPr="001005B7" w:rsidRDefault="005E71AC" w:rsidP="005E71AC">
      <w:pPr>
        <w:pStyle w:val="Bullet"/>
        <w:rPr>
          <w:lang w:eastAsia="en-GB"/>
        </w:rPr>
      </w:pPr>
      <w:r w:rsidRPr="001005B7">
        <w:t xml:space="preserve">On the other hand, Hebrew distinguishes between “you” singular and plural and </w:t>
      </w:r>
      <w:r w:rsidR="00322D4E">
        <w:t xml:space="preserve">between </w:t>
      </w:r>
      <w:r w:rsidRPr="001005B7">
        <w:t>“you” masculine and feminine, and the translation sometimes add</w:t>
      </w:r>
      <w:r>
        <w:t>s</w:t>
      </w:r>
      <w:r w:rsidRPr="001005B7">
        <w:t xml:space="preserve"> expressions in square brackets to clarify which it is</w:t>
      </w:r>
      <w:r w:rsidR="00AF0F4E">
        <w:t>. E</w:t>
      </w:r>
      <w:r w:rsidRPr="001005B7">
        <w:t xml:space="preserve">.g., </w:t>
      </w:r>
      <w:r w:rsidR="00940E9C">
        <w:t>“[</w:t>
      </w:r>
      <w:r w:rsidRPr="001005B7">
        <w:t>Jerusalem</w:t>
      </w:r>
      <w:r w:rsidR="00940E9C">
        <w:t>]”</w:t>
      </w:r>
      <w:r w:rsidRPr="001005B7">
        <w:t xml:space="preserve"> when “you” is feminine singular.</w:t>
      </w:r>
    </w:p>
    <w:p w14:paraId="5679303A" w14:textId="0CEF0D9D" w:rsidR="005E71AC" w:rsidRPr="001005B7" w:rsidRDefault="005E71AC" w:rsidP="005E71AC">
      <w:pPr>
        <w:pStyle w:val="Bullet"/>
        <w:rPr>
          <w:lang w:eastAsia="en-GB"/>
        </w:rPr>
      </w:pPr>
      <w:r w:rsidRPr="001005B7">
        <w:rPr>
          <w:lang w:eastAsia="en-GB"/>
        </w:rPr>
        <w:t>An infinitive absolute can precede (or follow) the finite form of the same verb to emphasize the actuality of the event or action. E.g., 1:3, 12; 3:16, 18, 21 (see GK 113).</w:t>
      </w:r>
    </w:p>
    <w:p w14:paraId="023BFCA3" w14:textId="049D3238" w:rsidR="005E71AC" w:rsidRPr="001005B7" w:rsidRDefault="005E71AC" w:rsidP="005E71AC">
      <w:pPr>
        <w:pStyle w:val="Bullet"/>
        <w:rPr>
          <w:lang w:eastAsia="en-GB"/>
        </w:rPr>
      </w:pPr>
      <w:r w:rsidRPr="001005B7">
        <w:rPr>
          <w:lang w:eastAsia="en-GB"/>
        </w:rPr>
        <w:t>Yahweh can</w:t>
      </w:r>
      <w:r w:rsidR="00876FB1">
        <w:rPr>
          <w:lang w:eastAsia="en-GB"/>
        </w:rPr>
        <w:t xml:space="preserve"> use the convention of</w:t>
      </w:r>
      <w:r w:rsidRPr="001005B7">
        <w:rPr>
          <w:lang w:eastAsia="en-GB"/>
        </w:rPr>
        <w:t xml:space="preserve"> </w:t>
      </w:r>
      <w:r w:rsidR="00516AD7">
        <w:rPr>
          <w:lang w:eastAsia="en-GB"/>
        </w:rPr>
        <w:t>say</w:t>
      </w:r>
      <w:r w:rsidR="006742AE">
        <w:rPr>
          <w:lang w:eastAsia="en-GB"/>
        </w:rPr>
        <w:t>ing</w:t>
      </w:r>
      <w:r>
        <w:rPr>
          <w:lang w:eastAsia="en-GB"/>
        </w:rPr>
        <w:t xml:space="preserve"> </w:t>
      </w:r>
      <w:r w:rsidR="00516AD7">
        <w:rPr>
          <w:lang w:eastAsia="en-GB"/>
        </w:rPr>
        <w:t>“</w:t>
      </w:r>
      <w:r>
        <w:rPr>
          <w:lang w:eastAsia="en-GB"/>
        </w:rPr>
        <w:t>if</w:t>
      </w:r>
      <w:r w:rsidR="00516AD7">
        <w:rPr>
          <w:lang w:eastAsia="en-GB"/>
        </w:rPr>
        <w:t>”</w:t>
      </w:r>
      <w:r>
        <w:rPr>
          <w:lang w:eastAsia="en-GB"/>
        </w:rPr>
        <w:t xml:space="preserve"> or </w:t>
      </w:r>
      <w:r w:rsidRPr="001005B7">
        <w:rPr>
          <w:lang w:eastAsia="en-GB"/>
        </w:rPr>
        <w:t>“</w:t>
      </w:r>
      <w:r w:rsidR="008038EC">
        <w:rPr>
          <w:lang w:eastAsia="en-GB"/>
        </w:rPr>
        <w:t>i</w:t>
      </w:r>
      <w:r w:rsidRPr="001005B7">
        <w:rPr>
          <w:lang w:eastAsia="en-GB"/>
        </w:rPr>
        <w:t>f I do not”</w:t>
      </w:r>
      <w:r>
        <w:rPr>
          <w:lang w:eastAsia="en-GB"/>
        </w:rPr>
        <w:t xml:space="preserve"> </w:t>
      </w:r>
      <w:r w:rsidR="008038EC">
        <w:rPr>
          <w:lang w:eastAsia="en-GB"/>
        </w:rPr>
        <w:t xml:space="preserve">to introduce a </w:t>
      </w:r>
      <w:r>
        <w:rPr>
          <w:lang w:eastAsia="en-GB"/>
        </w:rPr>
        <w:t>clause</w:t>
      </w:r>
      <w:r w:rsidRPr="001005B7">
        <w:rPr>
          <w:lang w:eastAsia="en-GB"/>
        </w:rPr>
        <w:t xml:space="preserve"> </w:t>
      </w:r>
      <w:r>
        <w:rPr>
          <w:lang w:eastAsia="en-GB"/>
        </w:rPr>
        <w:t>that</w:t>
      </w:r>
      <w:r w:rsidR="00E15C8C">
        <w:rPr>
          <w:lang w:eastAsia="en-GB"/>
        </w:rPr>
        <w:t xml:space="preserve"> makes one expect</w:t>
      </w:r>
      <w:r w:rsidRPr="001005B7">
        <w:rPr>
          <w:lang w:eastAsia="en-GB"/>
        </w:rPr>
        <w:t xml:space="preserve"> a</w:t>
      </w:r>
      <w:r w:rsidR="00707E6F">
        <w:rPr>
          <w:lang w:eastAsia="en-GB"/>
        </w:rPr>
        <w:t>n apodosis*</w:t>
      </w:r>
      <w:r w:rsidR="00E15C8C">
        <w:rPr>
          <w:lang w:eastAsia="en-GB"/>
        </w:rPr>
        <w:t xml:space="preserve"> </w:t>
      </w:r>
      <w:r w:rsidRPr="001005B7">
        <w:rPr>
          <w:lang w:eastAsia="en-GB"/>
        </w:rPr>
        <w:t>stat</w:t>
      </w:r>
      <w:r w:rsidR="00707E6F">
        <w:rPr>
          <w:lang w:eastAsia="en-GB"/>
        </w:rPr>
        <w:t>ing</w:t>
      </w:r>
      <w:r w:rsidRPr="001005B7">
        <w:rPr>
          <w:lang w:eastAsia="en-GB"/>
        </w:rPr>
        <w:t xml:space="preserve"> </w:t>
      </w:r>
      <w:r>
        <w:rPr>
          <w:lang w:eastAsia="en-GB"/>
        </w:rPr>
        <w:t>what will follow</w:t>
      </w:r>
      <w:r w:rsidRPr="001005B7">
        <w:rPr>
          <w:lang w:eastAsia="en-GB"/>
        </w:rPr>
        <w:t xml:space="preserve"> </w:t>
      </w:r>
      <w:r>
        <w:rPr>
          <w:lang w:eastAsia="en-GB"/>
        </w:rPr>
        <w:t>or</w:t>
      </w:r>
      <w:r w:rsidRPr="001005B7">
        <w:rPr>
          <w:lang w:eastAsia="en-GB"/>
        </w:rPr>
        <w:t xml:space="preserve"> of the way one would punish oneself for failing to </w:t>
      </w:r>
      <w:r>
        <w:rPr>
          <w:lang w:eastAsia="en-GB"/>
        </w:rPr>
        <w:t>act</w:t>
      </w:r>
      <w:r w:rsidRPr="001005B7">
        <w:rPr>
          <w:lang w:eastAsia="en-GB"/>
        </w:rPr>
        <w:t xml:space="preserve">, but </w:t>
      </w:r>
      <w:r w:rsidR="00B10ED1">
        <w:rPr>
          <w:lang w:eastAsia="en-GB"/>
        </w:rPr>
        <w:t xml:space="preserve">that </w:t>
      </w:r>
      <w:r w:rsidRPr="001005B7">
        <w:rPr>
          <w:lang w:eastAsia="en-GB"/>
        </w:rPr>
        <w:t>let</w:t>
      </w:r>
      <w:r w:rsidR="009B347A">
        <w:rPr>
          <w:lang w:eastAsia="en-GB"/>
        </w:rPr>
        <w:t>s</w:t>
      </w:r>
      <w:r w:rsidRPr="001005B7">
        <w:rPr>
          <w:lang w:eastAsia="en-GB"/>
        </w:rPr>
        <w:t xml:space="preserve"> </w:t>
      </w:r>
      <w:r>
        <w:rPr>
          <w:lang w:eastAsia="en-GB"/>
        </w:rPr>
        <w:t>what will follow remain unstated</w:t>
      </w:r>
      <w:r w:rsidRPr="001005B7">
        <w:t>. E.g., 5:11; 16:48; 17:16, 19.</w:t>
      </w:r>
    </w:p>
    <w:p w14:paraId="5257AB57" w14:textId="2003FB25" w:rsidR="005E71AC" w:rsidRPr="001005B7" w:rsidRDefault="005E71AC" w:rsidP="005E71AC">
      <w:pPr>
        <w:pStyle w:val="Bullet"/>
        <w:rPr>
          <w:lang w:eastAsia="en-GB"/>
        </w:rPr>
      </w:pPr>
      <w:r w:rsidRPr="001005B7">
        <w:rPr>
          <w:lang w:eastAsia="en-GB"/>
        </w:rPr>
        <w:t>A participle can refer to an event that is going to happen</w:t>
      </w:r>
      <w:r w:rsidR="002D7F46">
        <w:rPr>
          <w:lang w:eastAsia="en-GB"/>
        </w:rPr>
        <w:t xml:space="preserve"> rather than happening now</w:t>
      </w:r>
      <w:r w:rsidRPr="001005B7">
        <w:rPr>
          <w:lang w:eastAsia="en-GB"/>
        </w:rPr>
        <w:t>, as when one says in English “I’m coming” when one has not yet set out. E.g., 37:19, 21; 39:17 (GK 116).</w:t>
      </w:r>
    </w:p>
    <w:p w14:paraId="0855164E" w14:textId="77777777" w:rsidR="005E71AC" w:rsidRPr="001005B7" w:rsidRDefault="005E71AC" w:rsidP="005E71AC">
      <w:pPr>
        <w:pStyle w:val="Bullet"/>
        <w:rPr>
          <w:lang w:eastAsia="en-GB"/>
        </w:rPr>
      </w:pPr>
      <w:r w:rsidRPr="001005B7">
        <w:rPr>
          <w:lang w:eastAsia="en-GB"/>
        </w:rPr>
        <w:t xml:space="preserve">Where English would use an expression such as “three on each side,” Ezekiel uses a repetition such as </w:t>
      </w:r>
      <w:r w:rsidRPr="001005B7">
        <w:t>“</w:t>
      </w:r>
      <w:r w:rsidRPr="001005B7">
        <w:rPr>
          <w:lang w:eastAsia="en-GB"/>
        </w:rPr>
        <w:t>three on a side and three on a side.” E.g., 1:23; 5:6; 40:10, 12</w:t>
      </w:r>
      <w:r>
        <w:rPr>
          <w:lang w:eastAsia="en-GB"/>
        </w:rPr>
        <w:t>.</w:t>
      </w:r>
    </w:p>
    <w:p w14:paraId="5EC0CA61" w14:textId="02CE2A29" w:rsidR="00020422" w:rsidRDefault="00020422" w:rsidP="00401234">
      <w:pPr>
        <w:pStyle w:val="Bullet"/>
        <w:numPr>
          <w:ilvl w:val="0"/>
          <w:numId w:val="0"/>
        </w:numPr>
        <w:ind w:left="924" w:hanging="357"/>
        <w:rPr>
          <w:lang w:eastAsia="en-GB"/>
        </w:rPr>
      </w:pPr>
    </w:p>
    <w:p w14:paraId="6BF3F7CB" w14:textId="090341B8" w:rsidR="003376B6" w:rsidRPr="001005B7" w:rsidRDefault="00291A3E" w:rsidP="00493833">
      <w:pPr>
        <w:pStyle w:val="Heading3"/>
      </w:pPr>
      <w:r w:rsidRPr="001005B7">
        <w:t xml:space="preserve">Ezekiel </w:t>
      </w:r>
      <w:r w:rsidR="00B21369" w:rsidRPr="001005B7">
        <w:t>over the Millennia</w:t>
      </w:r>
    </w:p>
    <w:p w14:paraId="41146767" w14:textId="1F69CA8E" w:rsidR="00D03444" w:rsidRPr="001005B7" w:rsidRDefault="002D5087" w:rsidP="005544B7">
      <w:r w:rsidRPr="001005B7">
        <w:t>T</w:t>
      </w:r>
      <w:r w:rsidR="008B7BB1" w:rsidRPr="001005B7">
        <w:t>he study of Ezekiel takes place in historical and social contexts</w:t>
      </w:r>
      <w:r w:rsidR="00621E47" w:rsidRPr="001005B7">
        <w:t xml:space="preserve">, and different contexts allow </w:t>
      </w:r>
      <w:r w:rsidR="005973CA" w:rsidRPr="001005B7">
        <w:t>some aspects of a</w:t>
      </w:r>
      <w:r w:rsidR="00865490">
        <w:t>ny</w:t>
      </w:r>
      <w:r w:rsidR="005973CA" w:rsidRPr="001005B7">
        <w:t xml:space="preserve"> work to emerge more clearly or less clearly. </w:t>
      </w:r>
      <w:r w:rsidR="00C94A11" w:rsidRPr="001005B7">
        <w:t>As times go by, s</w:t>
      </w:r>
      <w:r w:rsidR="002950C1" w:rsidRPr="001005B7">
        <w:t xml:space="preserve">cholarly </w:t>
      </w:r>
      <w:r w:rsidR="005E0078" w:rsidRPr="001005B7">
        <w:t>approaches to</w:t>
      </w:r>
      <w:r w:rsidR="002950C1" w:rsidRPr="001005B7">
        <w:t xml:space="preserve"> Ezekiel </w:t>
      </w:r>
      <w:r w:rsidR="00205DE3" w:rsidRPr="001005B7">
        <w:t xml:space="preserve">thus </w:t>
      </w:r>
      <w:r w:rsidR="002950C1" w:rsidRPr="001005B7">
        <w:t>change</w:t>
      </w:r>
      <w:r w:rsidR="00205DE3" w:rsidRPr="001005B7">
        <w:t xml:space="preserve">. </w:t>
      </w:r>
      <w:r w:rsidR="00D85DFA">
        <w:t>W</w:t>
      </w:r>
      <w:r w:rsidR="002950C1" w:rsidRPr="001005B7">
        <w:t xml:space="preserve">e should </w:t>
      </w:r>
      <w:r w:rsidR="00D85DFA">
        <w:t xml:space="preserve">perhaps not </w:t>
      </w:r>
      <w:r w:rsidR="002950C1" w:rsidRPr="001005B7">
        <w:t>think of them a</w:t>
      </w:r>
      <w:r w:rsidR="00205DE3" w:rsidRPr="001005B7">
        <w:t>s advancing</w:t>
      </w:r>
      <w:r w:rsidR="000C69FD" w:rsidRPr="001005B7">
        <w:t>,</w:t>
      </w:r>
      <w:r w:rsidR="00205DE3" w:rsidRPr="001005B7">
        <w:t xml:space="preserve"> in the sense of </w:t>
      </w:r>
      <w:r w:rsidR="005C7D35" w:rsidRPr="001005B7">
        <w:t>growing significantly in insight</w:t>
      </w:r>
      <w:r w:rsidR="0053430E" w:rsidRPr="001005B7">
        <w:t xml:space="preserve">. </w:t>
      </w:r>
      <w:r w:rsidR="005C7D35" w:rsidRPr="001005B7">
        <w:t>New</w:t>
      </w:r>
      <w:r w:rsidR="0053430E" w:rsidRPr="001005B7">
        <w:t xml:space="preserve"> theories </w:t>
      </w:r>
      <w:r w:rsidR="009C75C8" w:rsidRPr="001005B7">
        <w:t xml:space="preserve">are not necessarily more reliable than earlier </w:t>
      </w:r>
      <w:r w:rsidR="00E27E57" w:rsidRPr="001005B7">
        <w:t>theories</w:t>
      </w:r>
      <w:r w:rsidR="009C75C8" w:rsidRPr="001005B7">
        <w:t xml:space="preserve">, and </w:t>
      </w:r>
      <w:r w:rsidR="00E27E57" w:rsidRPr="001005B7">
        <w:t xml:space="preserve">one </w:t>
      </w:r>
      <w:r w:rsidR="00DF3506" w:rsidRPr="001005B7">
        <w:t>c</w:t>
      </w:r>
      <w:r w:rsidR="00E27E57" w:rsidRPr="001005B7">
        <w:t xml:space="preserve">an be sure that more recent theories </w:t>
      </w:r>
      <w:r w:rsidR="00DF3506" w:rsidRPr="001005B7">
        <w:t>will</w:t>
      </w:r>
      <w:r w:rsidR="00E27E57" w:rsidRPr="001005B7">
        <w:t xml:space="preserve"> be out of date shortly.</w:t>
      </w:r>
      <w:r w:rsidR="005544B7" w:rsidRPr="001005B7">
        <w:t xml:space="preserve"> </w:t>
      </w:r>
      <w:r w:rsidR="009003D6" w:rsidRPr="001005B7">
        <w:t>E</w:t>
      </w:r>
      <w:r w:rsidR="006C4D2B">
        <w:t xml:space="preserve">zekiel </w:t>
      </w:r>
      <w:r w:rsidR="005A5423">
        <w:t xml:space="preserve">in particular </w:t>
      </w:r>
      <w:r w:rsidR="009003D6" w:rsidRPr="001005B7">
        <w:t>has been studied</w:t>
      </w:r>
      <w:r w:rsidR="005B2A9A" w:rsidRPr="001005B7">
        <w:t xml:space="preserve"> more unevenly over the centuries than Isaiah and Jeremiah</w:t>
      </w:r>
      <w:r w:rsidR="006C4D2B">
        <w:t xml:space="preserve">, </w:t>
      </w:r>
      <w:r w:rsidR="005A5423">
        <w:t xml:space="preserve">but </w:t>
      </w:r>
      <w:r w:rsidR="00AE70DB" w:rsidRPr="001005B7">
        <w:t xml:space="preserve">it </w:t>
      </w:r>
      <w:r w:rsidR="00CA23CC" w:rsidRPr="001005B7">
        <w:t xml:space="preserve">has </w:t>
      </w:r>
      <w:r w:rsidR="003B2DF3" w:rsidRPr="001005B7">
        <w:t xml:space="preserve">continued to </w:t>
      </w:r>
      <w:r w:rsidR="00417A4C" w:rsidRPr="001005B7">
        <w:t>rai</w:t>
      </w:r>
      <w:r w:rsidR="003B2DF3" w:rsidRPr="001005B7">
        <w:t>s</w:t>
      </w:r>
      <w:r w:rsidR="00417A4C" w:rsidRPr="001005B7">
        <w:t>e intriguing issues</w:t>
      </w:r>
      <w:r w:rsidR="00E15911" w:rsidRPr="001005B7">
        <w:t xml:space="preserve"> and offer insight</w:t>
      </w:r>
      <w:r w:rsidR="007E23B7" w:rsidRPr="001005B7">
        <w:t>.</w:t>
      </w:r>
      <w:r w:rsidR="00417A4C" w:rsidRPr="001005B7">
        <w:rPr>
          <w:rStyle w:val="FootnoteReference"/>
        </w:rPr>
        <w:footnoteReference w:id="51"/>
      </w:r>
      <w:r w:rsidR="00B41540" w:rsidRPr="001005B7">
        <w:t xml:space="preserve"> </w:t>
      </w:r>
      <w:r w:rsidR="00B37019">
        <w:t>And</w:t>
      </w:r>
      <w:r w:rsidR="00594726" w:rsidRPr="001005B7">
        <w:t xml:space="preserve"> it has </w:t>
      </w:r>
      <w:r w:rsidR="001B701A" w:rsidRPr="001005B7">
        <w:t xml:space="preserve">caught up more with other prophetic scrolls over recent decades, </w:t>
      </w:r>
      <w:r w:rsidR="007E23B7" w:rsidRPr="001005B7">
        <w:t>perhaps</w:t>
      </w:r>
      <w:r w:rsidR="001B701A" w:rsidRPr="001005B7">
        <w:t xml:space="preserve"> partly because some of </w:t>
      </w:r>
      <w:r w:rsidR="001D7D80" w:rsidRPr="001005B7">
        <w:t>it</w:t>
      </w:r>
      <w:r w:rsidR="00210B44" w:rsidRPr="001005B7">
        <w:t xml:space="preserve"> happens to </w:t>
      </w:r>
      <w:r w:rsidR="001B701A" w:rsidRPr="001005B7">
        <w:t>resona</w:t>
      </w:r>
      <w:r w:rsidR="00210B44" w:rsidRPr="001005B7">
        <w:t>te</w:t>
      </w:r>
      <w:r w:rsidR="001B701A" w:rsidRPr="001005B7">
        <w:t xml:space="preserve"> </w:t>
      </w:r>
      <w:r w:rsidR="001D7D80" w:rsidRPr="001005B7">
        <w:t>with</w:t>
      </w:r>
      <w:r w:rsidR="001B701A" w:rsidRPr="001005B7">
        <w:t xml:space="preserve"> t</w:t>
      </w:r>
      <w:r w:rsidR="001D7D80" w:rsidRPr="001005B7">
        <w:t>h</w:t>
      </w:r>
      <w:r w:rsidR="001B701A" w:rsidRPr="001005B7">
        <w:t xml:space="preserve">emes </w:t>
      </w:r>
      <w:r w:rsidR="002848C0">
        <w:t xml:space="preserve">on which </w:t>
      </w:r>
      <w:r w:rsidR="001B701A" w:rsidRPr="001005B7">
        <w:t xml:space="preserve">we will </w:t>
      </w:r>
      <w:r w:rsidR="002848C0">
        <w:t>comment</w:t>
      </w:r>
      <w:r w:rsidR="001338F2" w:rsidRPr="001005B7">
        <w:t xml:space="preserve"> </w:t>
      </w:r>
      <w:r w:rsidR="001B701A" w:rsidRPr="001005B7">
        <w:t>here</w:t>
      </w:r>
      <w:r w:rsidR="001338F2" w:rsidRPr="001005B7">
        <w:t>, a</w:t>
      </w:r>
      <w:r w:rsidR="00EA663D" w:rsidRPr="001005B7">
        <w:t>s well as</w:t>
      </w:r>
      <w:r w:rsidR="001338F2" w:rsidRPr="001005B7">
        <w:t xml:space="preserve"> because </w:t>
      </w:r>
      <w:r w:rsidR="00204E79" w:rsidRPr="001005B7">
        <w:t>scholarly</w:t>
      </w:r>
      <w:r w:rsidR="001338F2" w:rsidRPr="001005B7">
        <w:t xml:space="preserve"> research</w:t>
      </w:r>
      <w:r w:rsidR="00204E79" w:rsidRPr="001005B7">
        <w:t xml:space="preserve"> need</w:t>
      </w:r>
      <w:r w:rsidR="00EA663D" w:rsidRPr="001005B7">
        <w:t>s</w:t>
      </w:r>
      <w:r w:rsidR="001338F2" w:rsidRPr="001005B7">
        <w:t xml:space="preserve"> to find </w:t>
      </w:r>
      <w:r w:rsidR="00204E79" w:rsidRPr="001005B7">
        <w:t>topics to study</w:t>
      </w:r>
      <w:r w:rsidR="00151FD9" w:rsidRPr="001005B7">
        <w:t>.</w:t>
      </w:r>
      <w:r w:rsidR="001B701A" w:rsidRPr="001005B7">
        <w:t xml:space="preserve"> </w:t>
      </w:r>
      <w:r w:rsidR="00151FD9" w:rsidRPr="001005B7">
        <w:t>We</w:t>
      </w:r>
      <w:r w:rsidR="00B41540" w:rsidRPr="001005B7">
        <w:t xml:space="preserve"> </w:t>
      </w:r>
      <w:r w:rsidR="008B594E" w:rsidRPr="001005B7">
        <w:t xml:space="preserve">here </w:t>
      </w:r>
      <w:r w:rsidR="00B41540" w:rsidRPr="001005B7">
        <w:t xml:space="preserve">note a </w:t>
      </w:r>
      <w:r w:rsidR="008B594E" w:rsidRPr="001005B7">
        <w:t xml:space="preserve">number </w:t>
      </w:r>
      <w:r w:rsidR="00B41540" w:rsidRPr="001005B7">
        <w:t xml:space="preserve">of approaches to Ezekiel that have flourished over the </w:t>
      </w:r>
      <w:r w:rsidR="00087D47" w:rsidRPr="001005B7">
        <w:t xml:space="preserve">millennia, </w:t>
      </w:r>
      <w:r w:rsidR="00723EBC" w:rsidRPr="001005B7">
        <w:t>without implying</w:t>
      </w:r>
      <w:r w:rsidR="00087D47" w:rsidRPr="001005B7">
        <w:t xml:space="preserve"> that</w:t>
      </w:r>
      <w:r w:rsidR="002A0DDF" w:rsidRPr="001005B7">
        <w:t xml:space="preserve"> they have flourished one by one, or that a particular scholar will </w:t>
      </w:r>
      <w:r w:rsidR="00EA1C96" w:rsidRPr="001005B7">
        <w:t xml:space="preserve">work with only one approach. </w:t>
      </w:r>
    </w:p>
    <w:p w14:paraId="29BF409C" w14:textId="77777777" w:rsidR="00CA23CC" w:rsidRPr="001005B7" w:rsidRDefault="00CA23CC" w:rsidP="002D7BBC"/>
    <w:p w14:paraId="40890F0D" w14:textId="5C4DB555" w:rsidR="0063357D" w:rsidRPr="001005B7" w:rsidRDefault="003124B6" w:rsidP="00C43265">
      <w:pPr>
        <w:pStyle w:val="Bullet"/>
      </w:pPr>
      <w:r w:rsidRPr="001005B7">
        <w:t xml:space="preserve">In the </w:t>
      </w:r>
      <w:r w:rsidR="00CE7BC5" w:rsidRPr="001005B7">
        <w:t xml:space="preserve">section on the </w:t>
      </w:r>
      <w:r w:rsidR="00484E2A" w:rsidRPr="001005B7">
        <w:t xml:space="preserve">scroll’s </w:t>
      </w:r>
      <w:r w:rsidR="00CE7BC5" w:rsidRPr="001005B7">
        <w:t>text, we have noted that Second Temple Judaism</w:t>
      </w:r>
      <w:r w:rsidR="005E5A88">
        <w:t xml:space="preserve"> somehow</w:t>
      </w:r>
      <w:r w:rsidR="00A40E5D" w:rsidRPr="001005B7">
        <w:t xml:space="preserve"> came to include Ezekiel in its Scriptures</w:t>
      </w:r>
      <w:r w:rsidR="00050282" w:rsidRPr="001005B7">
        <w:t xml:space="preserve">, that the Qumran community and the Masada community had copies, and the Qumran community also </w:t>
      </w:r>
      <w:r w:rsidR="00531728" w:rsidRPr="001005B7">
        <w:t>generated works that built on Ezekiel.</w:t>
      </w:r>
      <w:r w:rsidR="00A07D15" w:rsidRPr="001005B7">
        <w:rPr>
          <w:rStyle w:val="FootnoteReference"/>
        </w:rPr>
        <w:footnoteReference w:id="52"/>
      </w:r>
      <w:r w:rsidR="00A40E5D" w:rsidRPr="001005B7">
        <w:t xml:space="preserve"> </w:t>
      </w:r>
      <w:r w:rsidR="006626DE" w:rsidRPr="001005B7">
        <w:t xml:space="preserve">Within </w:t>
      </w:r>
      <w:r w:rsidR="00531728" w:rsidRPr="001005B7">
        <w:t xml:space="preserve">subsequent </w:t>
      </w:r>
      <w:r w:rsidR="006626DE" w:rsidRPr="001005B7">
        <w:t xml:space="preserve">Judaism, </w:t>
      </w:r>
      <w:r w:rsidR="00BA5EF4" w:rsidRPr="001005B7">
        <w:t>a</w:t>
      </w:r>
      <w:r w:rsidR="006626DE" w:rsidRPr="001005B7">
        <w:t xml:space="preserve"> main focus of </w:t>
      </w:r>
      <w:r w:rsidR="00BA5EF4" w:rsidRPr="001005B7">
        <w:t xml:space="preserve">the study of Ezekiel has been the vision </w:t>
      </w:r>
      <w:r w:rsidR="00D32C91" w:rsidRPr="001005B7">
        <w:t>in Ezek 1</w:t>
      </w:r>
      <w:r w:rsidR="00205AFB" w:rsidRPr="001005B7">
        <w:t xml:space="preserve">, and a main significance of Ezekiel has been </w:t>
      </w:r>
      <w:r w:rsidR="007E3475" w:rsidRPr="001005B7">
        <w:t>the related development of Kabbalah</w:t>
      </w:r>
      <w:r w:rsidR="003A3AC0" w:rsidRPr="001005B7">
        <w:rPr>
          <w:rStyle w:val="FootnoteReference"/>
        </w:rPr>
        <w:footnoteReference w:id="53"/>
      </w:r>
      <w:r w:rsidR="00D32C91" w:rsidRPr="001005B7">
        <w:t xml:space="preserve"> </w:t>
      </w:r>
      <w:r w:rsidR="007E3475" w:rsidRPr="001005B7">
        <w:t xml:space="preserve">and </w:t>
      </w:r>
      <w:r w:rsidR="000A06F5" w:rsidRPr="001005B7">
        <w:t>Hasidism (Sweeney, 21).</w:t>
      </w:r>
      <w:r w:rsidR="002539D6" w:rsidRPr="001005B7">
        <w:rPr>
          <w:rStyle w:val="FootnoteReference"/>
        </w:rPr>
        <w:footnoteReference w:id="54"/>
      </w:r>
    </w:p>
    <w:p w14:paraId="2E942362" w14:textId="3EA1E77D" w:rsidR="00F63255" w:rsidRPr="001005B7" w:rsidRDefault="008441AA" w:rsidP="00C43265">
      <w:pPr>
        <w:pStyle w:val="Bullet"/>
      </w:pPr>
      <w:r w:rsidRPr="001005B7">
        <w:t xml:space="preserve">As an aspect of </w:t>
      </w:r>
      <w:r w:rsidR="00665A92">
        <w:t>Ezekiel’s</w:t>
      </w:r>
      <w:r w:rsidRPr="001005B7">
        <w:t xml:space="preserve"> being the least-remembered of the prophets,</w:t>
      </w:r>
      <w:r w:rsidRPr="001005B7">
        <w:rPr>
          <w:rStyle w:val="FootnoteReference"/>
        </w:rPr>
        <w:footnoteReference w:id="55"/>
      </w:r>
      <w:r w:rsidR="008174BA" w:rsidRPr="001005B7">
        <w:t xml:space="preserve"> </w:t>
      </w:r>
      <w:r w:rsidR="00BD141E" w:rsidRPr="001005B7">
        <w:t>Ezekiel is not quoted in the New Testament</w:t>
      </w:r>
      <w:r w:rsidR="004E3A0B" w:rsidRPr="001005B7">
        <w:t xml:space="preserve">, though </w:t>
      </w:r>
      <w:r w:rsidR="00435A1D" w:rsidRPr="001005B7">
        <w:t>the scroll’s</w:t>
      </w:r>
      <w:r w:rsidR="003618E5" w:rsidRPr="001005B7">
        <w:t xml:space="preserve"> imagery and thinking is influential on John in Revelation</w:t>
      </w:r>
      <w:r w:rsidR="00521F94">
        <w:t>.</w:t>
      </w:r>
      <w:r w:rsidR="00E2154A" w:rsidRPr="001005B7">
        <w:t xml:space="preserve"> </w:t>
      </w:r>
      <w:r w:rsidR="008B0F45">
        <w:t xml:space="preserve">Indeed, </w:t>
      </w:r>
      <w:r w:rsidR="00E2154A" w:rsidRPr="001005B7">
        <w:t xml:space="preserve">John has been called a new </w:t>
      </w:r>
      <w:r w:rsidR="00BD70DF" w:rsidRPr="001005B7">
        <w:t>Ezekiel</w:t>
      </w:r>
      <w:r w:rsidR="008B0F45">
        <w:t>.</w:t>
      </w:r>
      <w:r w:rsidR="00D54FC2" w:rsidRPr="001005B7">
        <w:rPr>
          <w:rStyle w:val="FootnoteReference"/>
        </w:rPr>
        <w:footnoteReference w:id="56"/>
      </w:r>
      <w:r w:rsidR="00B630A6" w:rsidRPr="001005B7">
        <w:t xml:space="preserve"> </w:t>
      </w:r>
      <w:r w:rsidR="00386050" w:rsidRPr="001005B7">
        <w:t>Ezekiel also finds echoes in John</w:t>
      </w:r>
      <w:r w:rsidR="009B16DC" w:rsidRPr="001005B7">
        <w:t>’s Gospel</w:t>
      </w:r>
      <w:r w:rsidR="00386050" w:rsidRPr="001005B7">
        <w:t>.</w:t>
      </w:r>
      <w:r w:rsidR="00C652D9" w:rsidRPr="001005B7">
        <w:rPr>
          <w:rStyle w:val="FootnoteReference"/>
        </w:rPr>
        <w:footnoteReference w:id="57"/>
      </w:r>
      <w:r w:rsidR="00386050" w:rsidRPr="001005B7">
        <w:t xml:space="preserve"> </w:t>
      </w:r>
      <w:r w:rsidR="00D32C91" w:rsidRPr="001005B7">
        <w:t xml:space="preserve">Within Christian faith, </w:t>
      </w:r>
      <w:r w:rsidR="00862E2F" w:rsidRPr="001005B7">
        <w:t xml:space="preserve">a main </w:t>
      </w:r>
      <w:r w:rsidR="00537BFF" w:rsidRPr="001005B7">
        <w:t xml:space="preserve">ongoing </w:t>
      </w:r>
      <w:r w:rsidR="00862E2F" w:rsidRPr="001005B7">
        <w:t xml:space="preserve">focus has been the conviction that the coming of the Holy Spirit </w:t>
      </w:r>
      <w:r w:rsidR="00A32754" w:rsidRPr="001005B7">
        <w:t>brought the fulfilment of the vision in Ezek 37</w:t>
      </w:r>
      <w:r w:rsidR="00E13623">
        <w:t>:1–14</w:t>
      </w:r>
      <w:r w:rsidR="00B630A6" w:rsidRPr="001005B7">
        <w:t xml:space="preserve">, and this passage has a prominent place in </w:t>
      </w:r>
      <w:r w:rsidR="00537BFF" w:rsidRPr="001005B7">
        <w:t>Christian</w:t>
      </w:r>
      <w:r w:rsidR="00B630A6" w:rsidRPr="001005B7">
        <w:t xml:space="preserve"> reading of the Scriptures at Pentecost</w:t>
      </w:r>
      <w:r w:rsidR="00F57835" w:rsidRPr="001005B7">
        <w:t>. Other passages that feat</w:t>
      </w:r>
      <w:r w:rsidR="00251882" w:rsidRPr="001005B7">
        <w:t>ure in church lectionaries are:</w:t>
      </w:r>
      <w:r w:rsidR="00711B9D" w:rsidRPr="001005B7">
        <w:t xml:space="preserve"> </w:t>
      </w:r>
    </w:p>
    <w:p w14:paraId="3DEB6D84" w14:textId="7E66454A" w:rsidR="00711B9D" w:rsidRPr="001005B7" w:rsidRDefault="001D5966" w:rsidP="006F5BB0">
      <w:pPr>
        <w:pStyle w:val="ListParagraph"/>
        <w:rPr>
          <w:color w:val="auto"/>
          <w:lang w:val="en-US"/>
        </w:rPr>
      </w:pPr>
      <w:r w:rsidRPr="001005B7">
        <w:rPr>
          <w:color w:val="auto"/>
          <w:lang w:val="en-US"/>
        </w:rPr>
        <w:tab/>
      </w:r>
      <w:r w:rsidR="00A404A6">
        <w:rPr>
          <w:color w:val="auto"/>
          <w:lang w:val="en-US"/>
        </w:rPr>
        <w:tab/>
      </w:r>
      <w:r w:rsidR="00711B9D" w:rsidRPr="001005B7">
        <w:rPr>
          <w:color w:val="auto"/>
          <w:lang w:val="en-US"/>
        </w:rPr>
        <w:t>2:1</w:t>
      </w:r>
      <w:r w:rsidR="00F46900" w:rsidRPr="001005B7">
        <w:rPr>
          <w:color w:val="auto"/>
          <w:lang w:val="en-US"/>
        </w:rPr>
        <w:t>–</w:t>
      </w:r>
      <w:r w:rsidR="00711B9D" w:rsidRPr="001005B7">
        <w:rPr>
          <w:color w:val="auto"/>
          <w:lang w:val="en-US"/>
        </w:rPr>
        <w:t>5 (commonly alongside Mark 6:1</w:t>
      </w:r>
      <w:r w:rsidR="00F46900" w:rsidRPr="001005B7">
        <w:rPr>
          <w:color w:val="auto"/>
          <w:lang w:val="en-US"/>
        </w:rPr>
        <w:t>–</w:t>
      </w:r>
      <w:r w:rsidR="00711B9D" w:rsidRPr="001005B7">
        <w:rPr>
          <w:color w:val="auto"/>
          <w:lang w:val="en-US"/>
        </w:rPr>
        <w:t>13; 2</w:t>
      </w:r>
      <w:r w:rsidR="00A744AA" w:rsidRPr="001005B7">
        <w:rPr>
          <w:color w:val="auto"/>
          <w:lang w:val="en-US"/>
        </w:rPr>
        <w:t> Cor</w:t>
      </w:r>
      <w:r w:rsidR="00711B9D" w:rsidRPr="001005B7">
        <w:rPr>
          <w:color w:val="auto"/>
          <w:lang w:val="en-US"/>
        </w:rPr>
        <w:t xml:space="preserve"> 12:2</w:t>
      </w:r>
      <w:r w:rsidR="00F46900" w:rsidRPr="001005B7">
        <w:rPr>
          <w:color w:val="auto"/>
          <w:lang w:val="en-US"/>
        </w:rPr>
        <w:t>–</w:t>
      </w:r>
      <w:r w:rsidR="00711B9D" w:rsidRPr="001005B7">
        <w:rPr>
          <w:color w:val="auto"/>
          <w:lang w:val="en-US"/>
        </w:rPr>
        <w:t>10)</w:t>
      </w:r>
    </w:p>
    <w:p w14:paraId="0BD5255E" w14:textId="04AEE0DC" w:rsidR="00711B9D" w:rsidRPr="001005B7" w:rsidRDefault="00711B9D" w:rsidP="00711B9D">
      <w:pPr>
        <w:ind w:left="720"/>
      </w:pPr>
      <w:r w:rsidRPr="001005B7">
        <w:t>17:22</w:t>
      </w:r>
      <w:r w:rsidR="00F46900" w:rsidRPr="001005B7">
        <w:t>–</w:t>
      </w:r>
      <w:r w:rsidRPr="001005B7">
        <w:t>24 (commonly alongside Mark 4:26</w:t>
      </w:r>
      <w:r w:rsidR="00F46900" w:rsidRPr="001005B7">
        <w:t>–</w:t>
      </w:r>
      <w:r w:rsidRPr="001005B7">
        <w:t>34; 2</w:t>
      </w:r>
      <w:r w:rsidR="00A744AA" w:rsidRPr="001005B7">
        <w:t> Cor</w:t>
      </w:r>
      <w:r w:rsidRPr="001005B7">
        <w:t xml:space="preserve"> 5:6</w:t>
      </w:r>
      <w:r w:rsidR="00F46900" w:rsidRPr="001005B7">
        <w:t>–</w:t>
      </w:r>
      <w:r w:rsidRPr="001005B7">
        <w:t>17)</w:t>
      </w:r>
    </w:p>
    <w:p w14:paraId="0B073469" w14:textId="4DAF337D" w:rsidR="00711B9D" w:rsidRPr="001005B7" w:rsidRDefault="00711B9D" w:rsidP="00711B9D">
      <w:pPr>
        <w:ind w:left="720"/>
      </w:pPr>
      <w:r w:rsidRPr="001005B7">
        <w:t>18:1</w:t>
      </w:r>
      <w:r w:rsidR="00F46900" w:rsidRPr="001005B7">
        <w:t>–</w:t>
      </w:r>
      <w:r w:rsidRPr="001005B7">
        <w:t>4, 25</w:t>
      </w:r>
      <w:r w:rsidR="00F46900" w:rsidRPr="001005B7">
        <w:t>–</w:t>
      </w:r>
      <w:r w:rsidRPr="001005B7">
        <w:t>32 (commonly alongside Matt 21:23</w:t>
      </w:r>
      <w:r w:rsidR="00F46900" w:rsidRPr="001005B7">
        <w:t>–</w:t>
      </w:r>
      <w:r w:rsidRPr="001005B7">
        <w:t>32; Phil 2:1</w:t>
      </w:r>
      <w:r w:rsidR="00F46900" w:rsidRPr="001005B7">
        <w:t>–</w:t>
      </w:r>
      <w:r w:rsidRPr="001005B7">
        <w:t>13)</w:t>
      </w:r>
    </w:p>
    <w:p w14:paraId="2E724888" w14:textId="17112395" w:rsidR="00711B9D" w:rsidRPr="001005B7" w:rsidRDefault="00711B9D" w:rsidP="00711B9D">
      <w:pPr>
        <w:ind w:left="720"/>
      </w:pPr>
      <w:r w:rsidRPr="001005B7">
        <w:t>20:1</w:t>
      </w:r>
      <w:r w:rsidR="00F46900" w:rsidRPr="001005B7">
        <w:t>–</w:t>
      </w:r>
      <w:r w:rsidRPr="001005B7">
        <w:t>8, 33</w:t>
      </w:r>
      <w:r w:rsidR="00F46900" w:rsidRPr="001005B7">
        <w:t>–</w:t>
      </w:r>
      <w:r w:rsidRPr="001005B7">
        <w:t>44 (commonly alongside Mark 8:27</w:t>
      </w:r>
      <w:r w:rsidR="00F46900" w:rsidRPr="001005B7">
        <w:t>–</w:t>
      </w:r>
      <w:r w:rsidRPr="001005B7">
        <w:t>38; Acts 20:17</w:t>
      </w:r>
      <w:r w:rsidR="00F46900" w:rsidRPr="001005B7">
        <w:t>–</w:t>
      </w:r>
      <w:r w:rsidRPr="001005B7">
        <w:t>38)</w:t>
      </w:r>
    </w:p>
    <w:p w14:paraId="71555F92" w14:textId="10CDECE4" w:rsidR="00711B9D" w:rsidRPr="001005B7" w:rsidRDefault="00711B9D" w:rsidP="00711B9D">
      <w:pPr>
        <w:ind w:left="720"/>
      </w:pPr>
      <w:r w:rsidRPr="001005B7">
        <w:t>33:7</w:t>
      </w:r>
      <w:r w:rsidR="00F46900" w:rsidRPr="001005B7">
        <w:t>–</w:t>
      </w:r>
      <w:r w:rsidRPr="001005B7">
        <w:t>11 (commonly alongside Matt 18:15</w:t>
      </w:r>
      <w:r w:rsidR="00F46900" w:rsidRPr="001005B7">
        <w:t>–</w:t>
      </w:r>
      <w:r w:rsidRPr="001005B7">
        <w:t>20; Rom 13:8</w:t>
      </w:r>
      <w:r w:rsidR="00F46900" w:rsidRPr="001005B7">
        <w:t>–</w:t>
      </w:r>
      <w:r w:rsidRPr="001005B7">
        <w:t>14)</w:t>
      </w:r>
    </w:p>
    <w:p w14:paraId="73405FE5" w14:textId="24B06F31" w:rsidR="00711B9D" w:rsidRPr="001005B7" w:rsidRDefault="00711B9D" w:rsidP="00711B9D">
      <w:pPr>
        <w:ind w:left="720"/>
      </w:pPr>
      <w:r w:rsidRPr="001005B7">
        <w:t>34:11</w:t>
      </w:r>
      <w:r w:rsidR="00F46900" w:rsidRPr="001005B7">
        <w:t>–</w:t>
      </w:r>
      <w:r w:rsidRPr="001005B7">
        <w:t>16, 20</w:t>
      </w:r>
      <w:r w:rsidR="00F46900" w:rsidRPr="001005B7">
        <w:t>–</w:t>
      </w:r>
      <w:r w:rsidRPr="001005B7">
        <w:t>24 (commonly alongside Matt 25:31</w:t>
      </w:r>
      <w:r w:rsidR="00F46900" w:rsidRPr="001005B7">
        <w:t>–</w:t>
      </w:r>
      <w:r w:rsidRPr="001005B7">
        <w:t>46; Eph 1:15</w:t>
      </w:r>
      <w:r w:rsidR="00F46900" w:rsidRPr="001005B7">
        <w:t>–</w:t>
      </w:r>
      <w:r w:rsidRPr="001005B7">
        <w:t>23)</w:t>
      </w:r>
    </w:p>
    <w:p w14:paraId="5E6A5D1E" w14:textId="724104B2" w:rsidR="0063357D" w:rsidRPr="001005B7" w:rsidRDefault="00110B2D" w:rsidP="00C43265">
      <w:pPr>
        <w:pStyle w:val="Bullet"/>
      </w:pPr>
      <w:r w:rsidRPr="001005B7">
        <w:t>The land is a key theme in Ezekiel</w:t>
      </w:r>
      <w:r w:rsidRPr="001005B7">
        <w:rPr>
          <w:rStyle w:val="FootnoteReference"/>
        </w:rPr>
        <w:footnoteReference w:id="58"/>
      </w:r>
      <w:r w:rsidR="002E6E5B" w:rsidRPr="001005B7">
        <w:t xml:space="preserve"> and i</w:t>
      </w:r>
      <w:r w:rsidR="00CC0C42" w:rsidRPr="001005B7">
        <w:t xml:space="preserve">n some circles within Judaism and Christian faith, </w:t>
      </w:r>
      <w:r w:rsidR="00A27DFE" w:rsidRPr="001005B7">
        <w:t>especially</w:t>
      </w:r>
      <w:r w:rsidR="00662B15" w:rsidRPr="001005B7">
        <w:t xml:space="preserve"> since the late nineteenth century, </w:t>
      </w:r>
      <w:r w:rsidR="009447CE" w:rsidRPr="001005B7">
        <w:t>particular significance has attached t</w:t>
      </w:r>
      <w:r w:rsidR="008E4112" w:rsidRPr="001005B7">
        <w:t>o Ezekiel’s</w:t>
      </w:r>
      <w:r w:rsidR="00095B57" w:rsidRPr="001005B7">
        <w:t xml:space="preserve"> </w:t>
      </w:r>
      <w:r w:rsidR="00C16E73" w:rsidRPr="001005B7">
        <w:t>messages</w:t>
      </w:r>
      <w:r w:rsidR="00095B57" w:rsidRPr="001005B7">
        <w:t xml:space="preserve"> concerning Israel’s return to the land</w:t>
      </w:r>
      <w:r w:rsidR="00036CFF" w:rsidRPr="001005B7">
        <w:t>,</w:t>
      </w:r>
      <w:r w:rsidR="00451CEC" w:rsidRPr="001005B7">
        <w:t xml:space="preserve"> </w:t>
      </w:r>
      <w:r w:rsidR="00A84EBC" w:rsidRPr="001005B7">
        <w:t xml:space="preserve">concerning </w:t>
      </w:r>
      <w:r w:rsidR="00451CEC" w:rsidRPr="001005B7">
        <w:t>Gog and Magog</w:t>
      </w:r>
      <w:r w:rsidR="008E4112" w:rsidRPr="001005B7">
        <w:t>, and</w:t>
      </w:r>
      <w:r w:rsidR="002E4318" w:rsidRPr="001005B7">
        <w:t xml:space="preserve"> concerning</w:t>
      </w:r>
      <w:r w:rsidR="008E4112" w:rsidRPr="001005B7">
        <w:t xml:space="preserve"> </w:t>
      </w:r>
      <w:r w:rsidR="00965C8D" w:rsidRPr="001005B7">
        <w:t>the building of a new temple</w:t>
      </w:r>
      <w:r w:rsidR="00886106" w:rsidRPr="001005B7">
        <w:t>.</w:t>
      </w:r>
      <w:r w:rsidR="008B72D0" w:rsidRPr="001005B7">
        <w:rPr>
          <w:rStyle w:val="FootnoteReference"/>
        </w:rPr>
        <w:footnoteReference w:id="59"/>
      </w:r>
      <w:r w:rsidR="00886106" w:rsidRPr="001005B7">
        <w:t xml:space="preserve"> </w:t>
      </w:r>
      <w:r w:rsidR="001D0B70" w:rsidRPr="001005B7">
        <w:t xml:space="preserve">Other circles </w:t>
      </w:r>
      <w:r w:rsidR="008051EF">
        <w:t>have been</w:t>
      </w:r>
      <w:r w:rsidR="001D0B70" w:rsidRPr="001005B7">
        <w:t xml:space="preserve"> intrigued by the possibility that Ezekiel might have seen a spac</w:t>
      </w:r>
      <w:r w:rsidR="00753F81" w:rsidRPr="001005B7">
        <w:t>eship.</w:t>
      </w:r>
      <w:r w:rsidR="00753F81" w:rsidRPr="001005B7">
        <w:rPr>
          <w:rStyle w:val="FootnoteReference"/>
        </w:rPr>
        <w:footnoteReference w:id="60"/>
      </w:r>
    </w:p>
    <w:p w14:paraId="4D3E87AF" w14:textId="77777777" w:rsidR="00B26368" w:rsidRPr="001005B7" w:rsidRDefault="004E3A0B" w:rsidP="00C43265">
      <w:pPr>
        <w:pStyle w:val="Bullet"/>
      </w:pPr>
      <w:r w:rsidRPr="001005B7">
        <w:t xml:space="preserve">The background to </w:t>
      </w:r>
      <w:r w:rsidR="003A0D35" w:rsidRPr="001005B7">
        <w:t>scholarly</w:t>
      </w:r>
      <w:r w:rsidRPr="001005B7">
        <w:t xml:space="preserve"> focus on tracing the development of the Ezekiel scroll is the development of historical criticism in the nineteenth century. </w:t>
      </w:r>
      <w:r w:rsidR="00704481" w:rsidRPr="001005B7">
        <w:t>While</w:t>
      </w:r>
      <w:r w:rsidRPr="001005B7">
        <w:t xml:space="preserve"> the scroll c</w:t>
      </w:r>
      <w:r w:rsidR="00704481" w:rsidRPr="001005B7">
        <w:t>ould</w:t>
      </w:r>
      <w:r w:rsidRPr="001005B7">
        <w:t xml:space="preserve"> only benefit from a more rigorously historical </w:t>
      </w:r>
      <w:r w:rsidR="005F6AF3" w:rsidRPr="001005B7">
        <w:t>approach</w:t>
      </w:r>
      <w:r w:rsidRPr="001005B7">
        <w:t xml:space="preserve"> than had been built into the premodern era</w:t>
      </w:r>
      <w:r w:rsidR="005F6AF3" w:rsidRPr="001005B7">
        <w:t>,</w:t>
      </w:r>
      <w:r w:rsidRPr="001005B7">
        <w:t xml:space="preserve"> the stress on history in the context of modernity (“history is God nowadays”)</w:t>
      </w:r>
      <w:r w:rsidRPr="001005B7">
        <w:rPr>
          <w:rStyle w:val="FootnoteReference"/>
        </w:rPr>
        <w:footnoteReference w:id="61"/>
      </w:r>
      <w:r w:rsidRPr="001005B7">
        <w:t xml:space="preserve"> risk</w:t>
      </w:r>
      <w:r w:rsidR="005F6AF3" w:rsidRPr="001005B7">
        <w:t>ed</w:t>
      </w:r>
      <w:r w:rsidRPr="001005B7">
        <w:t xml:space="preserve"> </w:t>
      </w:r>
      <w:r w:rsidR="00394F31" w:rsidRPr="001005B7">
        <w:t>the scroll’s</w:t>
      </w:r>
      <w:r w:rsidRPr="001005B7">
        <w:t xml:space="preserve"> inherent significance getting lost through </w:t>
      </w:r>
      <w:r w:rsidR="008B5106" w:rsidRPr="001005B7">
        <w:t>a</w:t>
      </w:r>
      <w:r w:rsidRPr="001005B7">
        <w:t xml:space="preserve"> focus on the history </w:t>
      </w:r>
      <w:r w:rsidR="008B5106" w:rsidRPr="001005B7">
        <w:t>lying</w:t>
      </w:r>
      <w:r w:rsidRPr="001005B7">
        <w:t xml:space="preserve"> behind the scroll as we have it.</w:t>
      </w:r>
      <w:r w:rsidR="003922B1" w:rsidRPr="001005B7">
        <w:t xml:space="preserve"> The world of scholarship </w:t>
      </w:r>
      <w:r w:rsidR="00E85EA1" w:rsidRPr="001005B7">
        <w:t>has subsequently been</w:t>
      </w:r>
      <w:r w:rsidR="003922B1" w:rsidRPr="001005B7">
        <w:t xml:space="preserve"> engaged in an unresolved debate between </w:t>
      </w:r>
      <w:r w:rsidR="000C2D16" w:rsidRPr="001005B7">
        <w:t>diachronic</w:t>
      </w:r>
      <w:r w:rsidR="00655E44" w:rsidRPr="001005B7">
        <w:t xml:space="preserve"> and synchronic approaches to</w:t>
      </w:r>
      <w:r w:rsidR="00B26368" w:rsidRPr="001005B7">
        <w:t xml:space="preserve"> </w:t>
      </w:r>
      <w:r w:rsidR="00655E44" w:rsidRPr="001005B7">
        <w:t>Ezekiel.</w:t>
      </w:r>
      <w:r w:rsidR="00655E44" w:rsidRPr="001005B7">
        <w:rPr>
          <w:rStyle w:val="FootnoteReference"/>
        </w:rPr>
        <w:footnoteReference w:id="62"/>
      </w:r>
      <w:r w:rsidR="0019769A" w:rsidRPr="001005B7">
        <w:t xml:space="preserve"> </w:t>
      </w:r>
      <w:r w:rsidR="00722827" w:rsidRPr="001005B7">
        <w:t>T</w:t>
      </w:r>
      <w:r w:rsidR="00EC7EEB" w:rsidRPr="001005B7">
        <w:t>he question of the relationship between Ezekiel and the Torah</w:t>
      </w:r>
      <w:r w:rsidR="00E0509D" w:rsidRPr="001005B7">
        <w:t xml:space="preserve"> overlaps with this </w:t>
      </w:r>
      <w:r w:rsidR="009518C8" w:rsidRPr="001005B7">
        <w:t>top</w:t>
      </w:r>
      <w:r w:rsidR="00B26368" w:rsidRPr="001005B7">
        <w:t>i</w:t>
      </w:r>
      <w:r w:rsidR="009518C8" w:rsidRPr="001005B7">
        <w:t>c</w:t>
      </w:r>
      <w:r w:rsidR="001F4990" w:rsidRPr="001005B7">
        <w:t>, being capable of being open both to a historical focus and to a substantial one.</w:t>
      </w:r>
    </w:p>
    <w:p w14:paraId="6E623005" w14:textId="54936EFA" w:rsidR="00B26368" w:rsidRPr="001005B7" w:rsidRDefault="001640FD" w:rsidP="00C43265">
      <w:pPr>
        <w:pStyle w:val="Bullet"/>
      </w:pPr>
      <w:r w:rsidRPr="001005B7">
        <w:t>Although the scroll tells readers little about Ezekiel’s personality or character</w:t>
      </w:r>
      <w:r w:rsidR="0019769A" w:rsidRPr="001005B7">
        <w:t>,</w:t>
      </w:r>
      <w:r w:rsidR="00CD3214" w:rsidRPr="001005B7">
        <w:t xml:space="preserve"> so that</w:t>
      </w:r>
      <w:r w:rsidR="0019769A" w:rsidRPr="001005B7">
        <w:t xml:space="preserve"> he has been called</w:t>
      </w:r>
      <w:r w:rsidR="00CD3214" w:rsidRPr="001005B7">
        <w:t xml:space="preserve"> a prophet without characteristics</w:t>
      </w:r>
      <w:r w:rsidR="00FA3DE0" w:rsidRPr="001005B7">
        <w:t>,</w:t>
      </w:r>
      <w:r w:rsidR="00CD3214" w:rsidRPr="001005B7">
        <w:rPr>
          <w:rStyle w:val="FootnoteReference"/>
        </w:rPr>
        <w:footnoteReference w:id="63"/>
      </w:r>
      <w:r w:rsidR="00FA3DE0" w:rsidRPr="001005B7">
        <w:t xml:space="preserve"> his </w:t>
      </w:r>
      <w:r w:rsidR="00420F38" w:rsidRPr="001005B7">
        <w:t>revelations do give the impressi</w:t>
      </w:r>
      <w:r w:rsidR="00C5003E" w:rsidRPr="001005B7">
        <w:t>on</w:t>
      </w:r>
      <w:r w:rsidR="00420F38" w:rsidRPr="001005B7">
        <w:t xml:space="preserve"> that </w:t>
      </w:r>
      <w:r w:rsidR="00C5003E" w:rsidRPr="001005B7">
        <w:t>he</w:t>
      </w:r>
      <w:r w:rsidR="00420F38" w:rsidRPr="001005B7">
        <w:t xml:space="preserve"> might be ra</w:t>
      </w:r>
      <w:r w:rsidR="00C050A3" w:rsidRPr="001005B7">
        <w:t>t</w:t>
      </w:r>
      <w:r w:rsidR="00420F38" w:rsidRPr="001005B7">
        <w:t>her an exot</w:t>
      </w:r>
      <w:r w:rsidR="00C050A3" w:rsidRPr="001005B7">
        <w:t>i</w:t>
      </w:r>
      <w:r w:rsidR="00420F38" w:rsidRPr="001005B7">
        <w:t>c pro</w:t>
      </w:r>
      <w:r w:rsidR="00C050A3" w:rsidRPr="001005B7">
        <w:t xml:space="preserve">phet, and </w:t>
      </w:r>
      <w:r w:rsidR="00420F38" w:rsidRPr="001005B7">
        <w:t>the development of psychology in the twentieth century</w:t>
      </w:r>
      <w:r w:rsidR="00C050A3" w:rsidRPr="001005B7">
        <w:t xml:space="preserve"> has encouraged </w:t>
      </w:r>
      <w:r w:rsidR="00DE6B7E" w:rsidRPr="001005B7">
        <w:t xml:space="preserve">efforts to understand </w:t>
      </w:r>
      <w:r w:rsidR="00B23608">
        <w:t>him</w:t>
      </w:r>
      <w:r w:rsidR="00DE6B7E" w:rsidRPr="001005B7">
        <w:t xml:space="preserve"> in light of vari</w:t>
      </w:r>
      <w:r w:rsidR="0042377D" w:rsidRPr="001005B7">
        <w:t>o</w:t>
      </w:r>
      <w:r w:rsidR="00DE6B7E" w:rsidRPr="001005B7">
        <w:t xml:space="preserve">us possible </w:t>
      </w:r>
      <w:r w:rsidR="00E347E6" w:rsidRPr="001005B7">
        <w:t>theories</w:t>
      </w:r>
      <w:r w:rsidR="00DE6B7E" w:rsidRPr="001005B7">
        <w:t xml:space="preserve"> about his psychology.</w:t>
      </w:r>
      <w:r w:rsidR="00D74584" w:rsidRPr="001005B7">
        <w:t xml:space="preserve"> </w:t>
      </w:r>
      <w:r w:rsidR="00D16F53" w:rsidRPr="001005B7">
        <w:t>H</w:t>
      </w:r>
      <w:r w:rsidR="00D74584" w:rsidRPr="001005B7">
        <w:t>is</w:t>
      </w:r>
      <w:r w:rsidR="00C510A4" w:rsidRPr="001005B7">
        <w:t xml:space="preserve"> “dread and loathing of female sexuality</w:t>
      </w:r>
      <w:r w:rsidR="00D74584" w:rsidRPr="001005B7">
        <w:t>,</w:t>
      </w:r>
      <w:r w:rsidR="00C510A4" w:rsidRPr="001005B7">
        <w:t xml:space="preserve">” </w:t>
      </w:r>
      <w:r w:rsidR="00C726C3" w:rsidRPr="001005B7">
        <w:t>f</w:t>
      </w:r>
      <w:r w:rsidR="00D74584" w:rsidRPr="001005B7">
        <w:t xml:space="preserve">or instance, </w:t>
      </w:r>
      <w:r w:rsidR="00A07D6B" w:rsidRPr="001005B7">
        <w:t>might</w:t>
      </w:r>
      <w:r w:rsidR="00C510A4" w:rsidRPr="001005B7">
        <w:t xml:space="preserve"> convey to us “the pain of his elemental human wounds.”</w:t>
      </w:r>
      <w:r w:rsidR="00C510A4" w:rsidRPr="001005B7">
        <w:rPr>
          <w:rStyle w:val="FootnoteReference"/>
        </w:rPr>
        <w:footnoteReference w:id="64"/>
      </w:r>
      <w:r w:rsidR="00C510A4" w:rsidRPr="001005B7">
        <w:t xml:space="preserve"> </w:t>
      </w:r>
      <w:r w:rsidR="008467A0" w:rsidRPr="001005B7">
        <w:t>While p</w:t>
      </w:r>
      <w:r w:rsidR="000055A6" w:rsidRPr="001005B7">
        <w:t>sychology has</w:t>
      </w:r>
      <w:r w:rsidR="008467A0" w:rsidRPr="001005B7">
        <w:t xml:space="preserve"> thus</w:t>
      </w:r>
      <w:r w:rsidR="000055A6" w:rsidRPr="001005B7">
        <w:t xml:space="preserve"> been an aid in understanding </w:t>
      </w:r>
      <w:r w:rsidR="00057DD7" w:rsidRPr="001005B7">
        <w:t xml:space="preserve">Ezekiel as someone </w:t>
      </w:r>
      <w:r w:rsidR="00250544" w:rsidRPr="001005B7">
        <w:t xml:space="preserve">malformed or </w:t>
      </w:r>
      <w:r w:rsidR="00057DD7" w:rsidRPr="001005B7">
        <w:t>sick</w:t>
      </w:r>
      <w:r w:rsidR="00250544" w:rsidRPr="001005B7">
        <w:t>,</w:t>
      </w:r>
      <w:r w:rsidR="001B688B" w:rsidRPr="001005B7">
        <w:t xml:space="preserve"> it has</w:t>
      </w:r>
      <w:r w:rsidR="00250544" w:rsidRPr="001005B7">
        <w:t xml:space="preserve"> also </w:t>
      </w:r>
      <w:r w:rsidR="000E5C42" w:rsidRPr="001005B7">
        <w:t xml:space="preserve">been suggestive in connection with a </w:t>
      </w:r>
      <w:r w:rsidR="004323DF" w:rsidRPr="001005B7">
        <w:t>more sympathetic understanding.</w:t>
      </w:r>
      <w:r w:rsidR="001B688B" w:rsidRPr="001005B7">
        <w:rPr>
          <w:rStyle w:val="FootnoteReference"/>
        </w:rPr>
        <w:footnoteReference w:id="65"/>
      </w:r>
    </w:p>
    <w:p w14:paraId="177E8BAC" w14:textId="54C4571D" w:rsidR="00B26368" w:rsidRPr="001005B7" w:rsidRDefault="001A1DBB" w:rsidP="00C43265">
      <w:pPr>
        <w:pStyle w:val="Bullet"/>
      </w:pPr>
      <w:r w:rsidRPr="001005B7">
        <w:t>L</w:t>
      </w:r>
      <w:r w:rsidR="00E347E6" w:rsidRPr="001005B7">
        <w:t xml:space="preserve">ate-twentieth century </w:t>
      </w:r>
      <w:r w:rsidR="00C94E1A" w:rsidRPr="001005B7">
        <w:t>emphas</w:t>
      </w:r>
      <w:r w:rsidR="008A4D9B" w:rsidRPr="001005B7">
        <w:t>is</w:t>
      </w:r>
      <w:r w:rsidR="00C94E1A" w:rsidRPr="001005B7">
        <w:t xml:space="preserve"> in </w:t>
      </w:r>
      <w:r w:rsidR="00B63206" w:rsidRPr="001005B7">
        <w:t xml:space="preserve">wider Western culture </w:t>
      </w:r>
      <w:r w:rsidR="007D517F" w:rsidRPr="001005B7">
        <w:t xml:space="preserve">on theodicy </w:t>
      </w:r>
      <w:r w:rsidR="00B63206" w:rsidRPr="001005B7">
        <w:t>ha</w:t>
      </w:r>
      <w:r w:rsidR="007D517F" w:rsidRPr="001005B7">
        <w:t>s</w:t>
      </w:r>
      <w:r w:rsidR="00B63206" w:rsidRPr="001005B7">
        <w:t xml:space="preserve"> contributed to the shaping of </w:t>
      </w:r>
      <w:r w:rsidR="00E80D8B" w:rsidRPr="001005B7">
        <w:t>the agenda</w:t>
      </w:r>
      <w:r w:rsidR="007D517F" w:rsidRPr="001005B7">
        <w:t xml:space="preserve"> </w:t>
      </w:r>
      <w:r w:rsidR="00E80D8B" w:rsidRPr="001005B7">
        <w:t>for Ezekiel</w:t>
      </w:r>
      <w:r w:rsidR="007D517F" w:rsidRPr="001005B7">
        <w:t xml:space="preserve"> as for other works</w:t>
      </w:r>
      <w:r w:rsidR="00E80D8B" w:rsidRPr="001005B7">
        <w:t>.</w:t>
      </w:r>
      <w:r w:rsidR="00CB1F88" w:rsidRPr="001005B7">
        <w:t xml:space="preserve"> </w:t>
      </w:r>
      <w:r w:rsidR="00A410B2" w:rsidRPr="001005B7">
        <w:t>A</w:t>
      </w:r>
      <w:r w:rsidR="00CB1F88" w:rsidRPr="001005B7">
        <w:t xml:space="preserve"> premodern context was inclined to assume that humanity’s problem was </w:t>
      </w:r>
      <w:proofErr w:type="spellStart"/>
      <w:r w:rsidR="00CB1F88" w:rsidRPr="001005B7">
        <w:t>anthropodicy</w:t>
      </w:r>
      <w:proofErr w:type="spellEnd"/>
      <w:r w:rsidR="00CB1F88" w:rsidRPr="001005B7">
        <w:t xml:space="preserve"> rather than theodicy, the justification of human beings rather than the justification of God</w:t>
      </w:r>
      <w:r w:rsidR="00A410B2" w:rsidRPr="001005B7">
        <w:t>, and humanity’s obligation was to “acknowledge Yahweh</w:t>
      </w:r>
      <w:r w:rsidR="00CB1F88" w:rsidRPr="001005B7">
        <w:t>.</w:t>
      </w:r>
      <w:r w:rsidR="00E333EB" w:rsidRPr="001005B7">
        <w:t>”</w:t>
      </w:r>
      <w:r w:rsidR="00E80D8B" w:rsidRPr="001005B7">
        <w:t xml:space="preserve"> </w:t>
      </w:r>
      <w:r w:rsidR="00BC4CA0" w:rsidRPr="001005B7">
        <w:t>T</w:t>
      </w:r>
      <w:r w:rsidR="00CF0AD7" w:rsidRPr="001005B7">
        <w:t xml:space="preserve">he justifying of God’s action or non-action in the world </w:t>
      </w:r>
      <w:r w:rsidR="00E333EB" w:rsidRPr="001005B7">
        <w:t xml:space="preserve">now </w:t>
      </w:r>
      <w:r w:rsidR="00CF0AD7" w:rsidRPr="001005B7">
        <w:t>became an important question,</w:t>
      </w:r>
      <w:r w:rsidR="00E333EB" w:rsidRPr="001005B7">
        <w:t xml:space="preserve"> which</w:t>
      </w:r>
      <w:r w:rsidR="00423C37" w:rsidRPr="001005B7">
        <w:t xml:space="preserve"> can be asked of an event such as the fall of Jerusalem in 587. </w:t>
      </w:r>
      <w:r w:rsidR="00100715" w:rsidRPr="001005B7">
        <w:t>Ezekiel</w:t>
      </w:r>
      <w:r w:rsidR="00905C19">
        <w:t xml:space="preserve"> has been called</w:t>
      </w:r>
      <w:r w:rsidR="00100715" w:rsidRPr="001005B7">
        <w:t xml:space="preserve"> </w:t>
      </w:r>
      <w:r w:rsidR="002142C3" w:rsidRPr="001005B7">
        <w:t>“</w:t>
      </w:r>
      <w:r w:rsidR="00100715" w:rsidRPr="001005B7">
        <w:t>fundamentally a book of theodicy” that attempts to explain the disaster of 587 as the righteous action of God.</w:t>
      </w:r>
      <w:r w:rsidR="00100715" w:rsidRPr="001005B7">
        <w:rPr>
          <w:rStyle w:val="FootnoteReference"/>
        </w:rPr>
        <w:footnoteReference w:id="66"/>
      </w:r>
      <w:r w:rsidR="00FE78DB" w:rsidRPr="001005B7">
        <w:t xml:space="preserve"> </w:t>
      </w:r>
      <w:r w:rsidR="004642E6" w:rsidRPr="001005B7">
        <w:t>And if one asks that question</w:t>
      </w:r>
      <w:r w:rsidR="00516360">
        <w:t xml:space="preserve"> about 587</w:t>
      </w:r>
      <w:r w:rsidR="004642E6" w:rsidRPr="001005B7">
        <w:t xml:space="preserve">, then Ezekiel provides the same firm answer as </w:t>
      </w:r>
      <w:r w:rsidR="00310488" w:rsidRPr="001005B7">
        <w:t>2 K</w:t>
      </w:r>
      <w:r w:rsidR="002F63A3" w:rsidRPr="001005B7">
        <w:t>ings or Jeremiah</w:t>
      </w:r>
      <w:r w:rsidR="00D45019" w:rsidRPr="001005B7">
        <w:t xml:space="preserve">. </w:t>
      </w:r>
      <w:r w:rsidR="00CB1F88" w:rsidRPr="001005B7">
        <w:t xml:space="preserve">“His primary concern was not to call the people of Jerusalem to repentance but to expound in various ways upon the justice of YHWH </w:t>
      </w:r>
      <w:r w:rsidR="00CB1F88" w:rsidRPr="001005B7">
        <w:rPr>
          <w:i/>
          <w:iCs/>
        </w:rPr>
        <w:t>to the exiles</w:t>
      </w:r>
      <w:r w:rsidR="00CB1F88" w:rsidRPr="001005B7">
        <w:t>.”</w:t>
      </w:r>
      <w:r w:rsidR="00CB1F88" w:rsidRPr="001005B7">
        <w:rPr>
          <w:rStyle w:val="FootnoteReference"/>
        </w:rPr>
        <w:footnoteReference w:id="67"/>
      </w:r>
    </w:p>
    <w:p w14:paraId="6C993F45" w14:textId="7C82EB7E" w:rsidR="009668C7" w:rsidRPr="001005B7" w:rsidRDefault="002142C3" w:rsidP="00226820">
      <w:pPr>
        <w:pStyle w:val="Bullet"/>
      </w:pPr>
      <w:r w:rsidRPr="001005B7">
        <w:t>C</w:t>
      </w:r>
      <w:r w:rsidR="00912252" w:rsidRPr="001005B7">
        <w:t>op</w:t>
      </w:r>
      <w:r w:rsidRPr="001005B7">
        <w:t>ing</w:t>
      </w:r>
      <w:r w:rsidR="00912252" w:rsidRPr="001005B7">
        <w:t xml:space="preserve"> with </w:t>
      </w:r>
      <w:r w:rsidR="00EA596C" w:rsidRPr="001005B7">
        <w:t>trauma</w:t>
      </w:r>
      <w:r w:rsidR="00912252" w:rsidRPr="001005B7">
        <w:t xml:space="preserve"> </w:t>
      </w:r>
      <w:r w:rsidR="00634AD8" w:rsidRPr="001005B7">
        <w:t>is</w:t>
      </w:r>
      <w:r w:rsidR="003252A0" w:rsidRPr="001005B7">
        <w:t xml:space="preserve"> a related question that </w:t>
      </w:r>
      <w:r w:rsidR="00912252" w:rsidRPr="001005B7">
        <w:t>has gained traction in biblical stud</w:t>
      </w:r>
      <w:r w:rsidR="0032301C" w:rsidRPr="001005B7">
        <w:t>ies</w:t>
      </w:r>
      <w:r w:rsidR="00BD1A5F" w:rsidRPr="001005B7">
        <w:t>.</w:t>
      </w:r>
      <w:r w:rsidR="006218E1" w:rsidRPr="001005B7">
        <w:t xml:space="preserve"> Bowen </w:t>
      </w:r>
      <w:r w:rsidR="00BD1A5F" w:rsidRPr="001005B7">
        <w:t>(</w:t>
      </w:r>
      <w:r w:rsidR="006218E1" w:rsidRPr="001005B7">
        <w:t>xv</w:t>
      </w:r>
      <w:r w:rsidR="00F46900" w:rsidRPr="001005B7">
        <w:t>–</w:t>
      </w:r>
      <w:r w:rsidR="006218E1" w:rsidRPr="001005B7">
        <w:t>xix</w:t>
      </w:r>
      <w:r w:rsidR="00BD1A5F" w:rsidRPr="001005B7">
        <w:t>)</w:t>
      </w:r>
      <w:r w:rsidR="006218E1" w:rsidRPr="001005B7">
        <w:t xml:space="preserve"> begins her commentary by discussing “Ezekiel and Trauma.”</w:t>
      </w:r>
      <w:r w:rsidR="006218E1" w:rsidRPr="001005B7">
        <w:rPr>
          <w:rStyle w:val="FootnoteReference"/>
        </w:rPr>
        <w:footnoteReference w:id="68"/>
      </w:r>
      <w:r w:rsidR="001F21ED" w:rsidRPr="001005B7">
        <w:t xml:space="preserve"> </w:t>
      </w:r>
      <w:r w:rsidR="0032301C" w:rsidRPr="001005B7">
        <w:t>Ezekiel</w:t>
      </w:r>
      <w:r w:rsidR="007B7FD1" w:rsidRPr="001005B7">
        <w:t xml:space="preserve"> and his</w:t>
      </w:r>
      <w:r w:rsidR="0032301C" w:rsidRPr="001005B7">
        <w:t xml:space="preserve"> contemporaries </w:t>
      </w:r>
      <w:r w:rsidR="007B7FD1" w:rsidRPr="001005B7">
        <w:t>went</w:t>
      </w:r>
      <w:r w:rsidR="00547CF2" w:rsidRPr="001005B7">
        <w:t xml:space="preserve"> through </w:t>
      </w:r>
      <w:r w:rsidR="00B07DC4" w:rsidRPr="001005B7">
        <w:t xml:space="preserve">a </w:t>
      </w:r>
      <w:r w:rsidR="001F6CBF" w:rsidRPr="001005B7">
        <w:t xml:space="preserve">sequence of </w:t>
      </w:r>
      <w:r w:rsidR="00AB59AA" w:rsidRPr="001005B7">
        <w:t>traumatic</w:t>
      </w:r>
      <w:r w:rsidR="00B07DC4" w:rsidRPr="001005B7">
        <w:t xml:space="preserve"> experience</w:t>
      </w:r>
      <w:r w:rsidR="001F6CBF" w:rsidRPr="001005B7">
        <w:t>s in the first decade or two of the sixth century</w:t>
      </w:r>
      <w:r w:rsidR="00504353" w:rsidRPr="001005B7">
        <w:t>, and in a sense Yahweh did, too.</w:t>
      </w:r>
      <w:r w:rsidR="00504353" w:rsidRPr="001005B7">
        <w:rPr>
          <w:rStyle w:val="FootnoteReference"/>
        </w:rPr>
        <w:footnoteReference w:id="69"/>
      </w:r>
      <w:r w:rsidR="0025524E" w:rsidRPr="001005B7">
        <w:t xml:space="preserve"> </w:t>
      </w:r>
      <w:r w:rsidR="0053324C" w:rsidRPr="001005B7">
        <w:t>Lamentations is a witness to th</w:t>
      </w:r>
      <w:r w:rsidR="001D0401" w:rsidRPr="001005B7">
        <w:t>e people’s</w:t>
      </w:r>
      <w:r w:rsidR="0053324C" w:rsidRPr="001005B7">
        <w:t xml:space="preserve"> trauma</w:t>
      </w:r>
      <w:r w:rsidR="005C6A85" w:rsidRPr="001005B7">
        <w:t xml:space="preserve">, </w:t>
      </w:r>
      <w:r w:rsidR="001D0401" w:rsidRPr="001005B7">
        <w:t>which</w:t>
      </w:r>
      <w:r w:rsidR="00503270" w:rsidRPr="001005B7">
        <w:t xml:space="preserve"> it</w:t>
      </w:r>
      <w:r w:rsidR="005C733D" w:rsidRPr="001005B7">
        <w:t xml:space="preserve"> </w:t>
      </w:r>
      <w:r w:rsidR="001D0401" w:rsidRPr="001005B7">
        <w:t>sees</w:t>
      </w:r>
      <w:r w:rsidR="005C6A85" w:rsidRPr="001005B7">
        <w:t xml:space="preserve"> as the intended result of Yahweh’s action</w:t>
      </w:r>
      <w:r w:rsidR="005174B5" w:rsidRPr="001005B7">
        <w:t xml:space="preserve">. </w:t>
      </w:r>
      <w:r w:rsidR="00825086" w:rsidRPr="001005B7">
        <w:t>It is a plausible hypothesis that writing and reading the first half of the Ezekiel scroll would cause people to relive the trauma of living with the aftermath of 597 (Bowen, 150).</w:t>
      </w:r>
      <w:r w:rsidR="004C66F4" w:rsidRPr="001005B7">
        <w:t xml:space="preserve"> </w:t>
      </w:r>
      <w:r w:rsidR="006D2267" w:rsidRPr="001005B7">
        <w:t xml:space="preserve">Yahweh’s promises could then have </w:t>
      </w:r>
      <w:r w:rsidR="00F8224F" w:rsidRPr="001005B7">
        <w:t>the</w:t>
      </w:r>
      <w:r w:rsidR="006D2267" w:rsidRPr="001005B7">
        <w:t xml:space="preserve"> effect of applying a balm to trauma</w:t>
      </w:r>
      <w:r w:rsidR="00CF1B92" w:rsidRPr="001005B7">
        <w:t>.</w:t>
      </w:r>
      <w:r w:rsidR="00061624" w:rsidRPr="001005B7">
        <w:t xml:space="preserve"> </w:t>
      </w:r>
      <w:r w:rsidR="0076324C" w:rsidRPr="001005B7">
        <w:t xml:space="preserve">Ezekiel is </w:t>
      </w:r>
      <w:r w:rsidR="0076324C">
        <w:t xml:space="preserve">then </w:t>
      </w:r>
      <w:r w:rsidR="0076324C" w:rsidRPr="001005B7">
        <w:t>“making sense of the past, imagining the future.”</w:t>
      </w:r>
      <w:r w:rsidR="0076324C" w:rsidRPr="001005B7">
        <w:rPr>
          <w:rStyle w:val="FootnoteReference"/>
        </w:rPr>
        <w:footnoteReference w:id="70"/>
      </w:r>
      <w:r w:rsidR="0076324C" w:rsidRPr="001005B7">
        <w:t xml:space="preserve"> </w:t>
      </w:r>
      <w:r w:rsidR="00D174DC" w:rsidRPr="001005B7">
        <w:t xml:space="preserve">Admittedly, </w:t>
      </w:r>
      <w:r w:rsidR="00B04182" w:rsidRPr="001005B7">
        <w:t>i</w:t>
      </w:r>
      <w:r w:rsidR="005C3236" w:rsidRPr="001005B7">
        <w:t>t</w:t>
      </w:r>
      <w:r w:rsidR="00B04182" w:rsidRPr="001005B7">
        <w:t xml:space="preserve"> has</w:t>
      </w:r>
      <w:r w:rsidR="005C3236" w:rsidRPr="001005B7">
        <w:t xml:space="preserve"> been said that </w:t>
      </w:r>
      <w:r w:rsidR="00313570" w:rsidRPr="001005B7">
        <w:t xml:space="preserve">the trauma plot has </w:t>
      </w:r>
      <w:r w:rsidR="00F61269" w:rsidRPr="001005B7">
        <w:t>become prominent in modern literature</w:t>
      </w:r>
      <w:r w:rsidR="002D2CF9" w:rsidRPr="001005B7">
        <w:t xml:space="preserve"> </w:t>
      </w:r>
      <w:r w:rsidR="00B652D7" w:rsidRPr="001005B7">
        <w:t xml:space="preserve">because </w:t>
      </w:r>
      <w:r w:rsidR="0034775F">
        <w:t xml:space="preserve">in a modern context </w:t>
      </w:r>
      <w:r w:rsidR="00B652D7" w:rsidRPr="001005B7">
        <w:t xml:space="preserve">the notion of trauma has become </w:t>
      </w:r>
      <w:r w:rsidR="000F79D4" w:rsidRPr="001005B7">
        <w:t>“</w:t>
      </w:r>
      <w:r w:rsidR="008C2015" w:rsidRPr="001005B7">
        <w:t>all-engulfing</w:t>
      </w:r>
      <w:r w:rsidR="00BD7605" w:rsidRPr="001005B7">
        <w:t>” through the prevalence of war</w:t>
      </w:r>
      <w:r w:rsidR="00E11C5B" w:rsidRPr="001005B7">
        <w:t>,</w:t>
      </w:r>
      <w:r w:rsidR="00BD7605" w:rsidRPr="001005B7">
        <w:t xml:space="preserve"> sexual violence</w:t>
      </w:r>
      <w:r w:rsidR="00A838CD" w:rsidRPr="001005B7">
        <w:t>,</w:t>
      </w:r>
      <w:r w:rsidR="00E11C5B" w:rsidRPr="001005B7">
        <w:t xml:space="preserve"> </w:t>
      </w:r>
      <w:r w:rsidR="00A37DB8" w:rsidRPr="001005B7">
        <w:t xml:space="preserve">racism, </w:t>
      </w:r>
      <w:r w:rsidR="00E11C5B" w:rsidRPr="001005B7">
        <w:t>and other horrific experiences.</w:t>
      </w:r>
      <w:r w:rsidR="00B33FE4" w:rsidRPr="001005B7">
        <w:rPr>
          <w:rStyle w:val="FootnoteReference"/>
        </w:rPr>
        <w:footnoteReference w:id="71"/>
      </w:r>
      <w:r w:rsidR="007157F7" w:rsidRPr="001005B7">
        <w:t xml:space="preserve"> </w:t>
      </w:r>
    </w:p>
    <w:p w14:paraId="221600D3" w14:textId="2CD97BF8" w:rsidR="009668C7" w:rsidRPr="001005B7" w:rsidRDefault="00F03CB8" w:rsidP="00226820">
      <w:pPr>
        <w:pStyle w:val="Bullet"/>
      </w:pPr>
      <w:r w:rsidRPr="001005B7">
        <w:t xml:space="preserve">Sexual violence is </w:t>
      </w:r>
      <w:r w:rsidR="0010791C" w:rsidRPr="001005B7">
        <w:t>a motif in Ezekiel</w:t>
      </w:r>
      <w:r w:rsidR="0040659F" w:rsidRPr="001005B7">
        <w:t>, and feminis</w:t>
      </w:r>
      <w:r w:rsidR="006206DE" w:rsidRPr="001005B7">
        <w:t>t biblical study has paid particular attention to Ezek 16 and 23.</w:t>
      </w:r>
      <w:r w:rsidR="00372129" w:rsidRPr="001005B7">
        <w:t xml:space="preserve"> Ezekiel has been </w:t>
      </w:r>
      <w:r w:rsidR="00E2380A">
        <w:t>seen</w:t>
      </w:r>
      <w:r w:rsidR="00372129" w:rsidRPr="001005B7">
        <w:t xml:space="preserve"> as having a</w:t>
      </w:r>
      <w:r w:rsidR="00175778" w:rsidRPr="001005B7">
        <w:t xml:space="preserve"> </w:t>
      </w:r>
      <w:r w:rsidR="00246C29" w:rsidRPr="001005B7">
        <w:t>“negative view of women</w:t>
      </w:r>
      <w:r w:rsidR="00175E1D" w:rsidRPr="001005B7">
        <w:t>.</w:t>
      </w:r>
      <w:r w:rsidR="00E77A07" w:rsidRPr="001005B7">
        <w:t>”</w:t>
      </w:r>
      <w:r w:rsidR="00E77A07" w:rsidRPr="001005B7">
        <w:rPr>
          <w:rStyle w:val="FootnoteReference"/>
        </w:rPr>
        <w:footnoteReference w:id="72"/>
      </w:r>
    </w:p>
    <w:p w14:paraId="3C401455" w14:textId="0BB9C76C" w:rsidR="005570AF" w:rsidRPr="001005B7" w:rsidRDefault="00495BC8" w:rsidP="00226820">
      <w:pPr>
        <w:pStyle w:val="Bullet"/>
      </w:pPr>
      <w:r w:rsidRPr="001005B7">
        <w:t xml:space="preserve">The </w:t>
      </w:r>
      <w:r w:rsidR="003D23E7" w:rsidRPr="001005B7">
        <w:t>p</w:t>
      </w:r>
      <w:r w:rsidR="00A235E4" w:rsidRPr="001005B7">
        <w:t>ostcolonial</w:t>
      </w:r>
      <w:r w:rsidR="003D23E7" w:rsidRPr="001005B7">
        <w:t xml:space="preserve"> and continuing colonial experience of human communities </w:t>
      </w:r>
      <w:r w:rsidR="006241D0" w:rsidRPr="001005B7">
        <w:t xml:space="preserve">overlaps with that of Israel through much of its history, especially </w:t>
      </w:r>
      <w:r w:rsidR="00E06E73" w:rsidRPr="001005B7">
        <w:t>with the experience of Judahites in Babylonia and in Judah in Ezekiel’s time</w:t>
      </w:r>
      <w:r w:rsidR="00962431" w:rsidRPr="001005B7">
        <w:t>,</w:t>
      </w:r>
      <w:r w:rsidR="00AA726F" w:rsidRPr="001005B7">
        <w:rPr>
          <w:rStyle w:val="FootnoteReference"/>
        </w:rPr>
        <w:footnoteReference w:id="73"/>
      </w:r>
      <w:r w:rsidR="00962431" w:rsidRPr="001005B7">
        <w:t xml:space="preserve"> while </w:t>
      </w:r>
      <w:r w:rsidR="005A1B08" w:rsidRPr="001005B7">
        <w:t xml:space="preserve">postcolonial insights </w:t>
      </w:r>
      <w:r w:rsidR="00B61017" w:rsidRPr="001005B7">
        <w:t>have</w:t>
      </w:r>
      <w:r w:rsidR="005A1B08" w:rsidRPr="001005B7">
        <w:t xml:space="preserve"> also be</w:t>
      </w:r>
      <w:r w:rsidR="00B61017" w:rsidRPr="001005B7">
        <w:t>en</w:t>
      </w:r>
      <w:r w:rsidR="005A1B08" w:rsidRPr="001005B7">
        <w:t xml:space="preserve"> a basis for critiquing Ezekiel itself.</w:t>
      </w:r>
      <w:r w:rsidR="00A90A4A" w:rsidRPr="001005B7">
        <w:rPr>
          <w:rStyle w:val="FootnoteReference"/>
        </w:rPr>
        <w:footnoteReference w:id="74"/>
      </w:r>
      <w:r w:rsidR="00CF5A76" w:rsidRPr="001005B7">
        <w:t xml:space="preserve"> </w:t>
      </w:r>
      <w:r w:rsidR="005570AF" w:rsidRPr="001005B7">
        <w:t xml:space="preserve">Related </w:t>
      </w:r>
      <w:r w:rsidR="002100B2" w:rsidRPr="001005B7">
        <w:t>are broader soci</w:t>
      </w:r>
      <w:r w:rsidR="002F77AE" w:rsidRPr="001005B7">
        <w:t>ological approaches to Ezekiel a</w:t>
      </w:r>
      <w:r w:rsidR="00B5312B" w:rsidRPr="001005B7">
        <w:t>n</w:t>
      </w:r>
      <w:r w:rsidR="002F77AE" w:rsidRPr="001005B7">
        <w:t>d question</w:t>
      </w:r>
      <w:r w:rsidR="00792F6E" w:rsidRPr="001005B7">
        <w:t>s</w:t>
      </w:r>
      <w:r w:rsidR="002F77AE" w:rsidRPr="001005B7">
        <w:t xml:space="preserve"> such a</w:t>
      </w:r>
      <w:r w:rsidR="005570AF" w:rsidRPr="001005B7">
        <w:t xml:space="preserve">s the </w:t>
      </w:r>
      <w:r w:rsidR="00792F6E" w:rsidRPr="001005B7">
        <w:t xml:space="preserve">possible </w:t>
      </w:r>
      <w:r w:rsidR="005570AF" w:rsidRPr="001005B7">
        <w:t xml:space="preserve">difference </w:t>
      </w:r>
      <w:r w:rsidR="00676C04" w:rsidRPr="001005B7">
        <w:t>between</w:t>
      </w:r>
      <w:r w:rsidR="005570AF" w:rsidRPr="001005B7">
        <w:t xml:space="preserve"> liv</w:t>
      </w:r>
      <w:r w:rsidR="00676C04" w:rsidRPr="001005B7">
        <w:t>ing</w:t>
      </w:r>
      <w:r w:rsidR="005570AF" w:rsidRPr="001005B7">
        <w:t xml:space="preserve"> in an imperial center such as Babylon or a rural and agricultural context</w:t>
      </w:r>
      <w:r w:rsidR="00981EE9">
        <w:t>,</w:t>
      </w:r>
      <w:r w:rsidR="005570AF" w:rsidRPr="001005B7">
        <w:t xml:space="preserve"> as most Judahite</w:t>
      </w:r>
      <w:r w:rsidR="008C7480" w:rsidRPr="001005B7">
        <w:t>s in Babylonia likely</w:t>
      </w:r>
      <w:r w:rsidR="005570AF" w:rsidRPr="001005B7">
        <w:t xml:space="preserve"> did.</w:t>
      </w:r>
      <w:r w:rsidR="005570AF" w:rsidRPr="001005B7">
        <w:rPr>
          <w:rStyle w:val="FootnoteReference"/>
        </w:rPr>
        <w:footnoteReference w:id="75"/>
      </w:r>
    </w:p>
    <w:p w14:paraId="75BCAB55" w14:textId="1EBF7483" w:rsidR="005845BE" w:rsidRPr="001005B7" w:rsidRDefault="005845BE" w:rsidP="00226820">
      <w:pPr>
        <w:pStyle w:val="Bullet"/>
      </w:pPr>
      <w:r w:rsidRPr="001005B7">
        <w:t>In turn</w:t>
      </w:r>
      <w:r w:rsidR="00EE3DD3" w:rsidRPr="001005B7">
        <w:t>,</w:t>
      </w:r>
      <w:r w:rsidRPr="001005B7">
        <w:t xml:space="preserve"> f</w:t>
      </w:r>
      <w:r w:rsidR="0015403A" w:rsidRPr="001005B7">
        <w:t>orced migration</w:t>
      </w:r>
      <w:r w:rsidR="00373171" w:rsidRPr="001005B7">
        <w:t xml:space="preserve"> is a related focus</w:t>
      </w:r>
      <w:r w:rsidR="00B32393" w:rsidRPr="001005B7">
        <w:t xml:space="preserve"> in the study of Ezekiel</w:t>
      </w:r>
      <w:r w:rsidR="003A1E4D" w:rsidRPr="001005B7">
        <w:t>,</w:t>
      </w:r>
      <w:r w:rsidR="00AB4718" w:rsidRPr="001005B7">
        <w:rPr>
          <w:rStyle w:val="FootnoteReference"/>
        </w:rPr>
        <w:footnoteReference w:id="76"/>
      </w:r>
      <w:r w:rsidR="00C5525A" w:rsidRPr="001005B7">
        <w:t xml:space="preserve"> </w:t>
      </w:r>
      <w:r w:rsidR="003A1E4D" w:rsidRPr="001005B7">
        <w:t>and also a focus that relates to the question of trauma</w:t>
      </w:r>
      <w:r w:rsidR="00370440" w:rsidRPr="001005B7">
        <w:t>.</w:t>
      </w:r>
      <w:r w:rsidR="00370440" w:rsidRPr="001005B7">
        <w:rPr>
          <w:rStyle w:val="FootnoteReference"/>
        </w:rPr>
        <w:footnoteReference w:id="77"/>
      </w:r>
      <w:r w:rsidR="00370440" w:rsidRPr="001005B7">
        <w:t xml:space="preserve"> </w:t>
      </w:r>
      <w:r w:rsidR="009E4C15" w:rsidRPr="001005B7">
        <w:t>Ezekiel’s community are not people in power</w:t>
      </w:r>
      <w:r w:rsidR="00EE3DD3" w:rsidRPr="001005B7">
        <w:t xml:space="preserve"> but</w:t>
      </w:r>
      <w:r w:rsidR="009E4C15" w:rsidRPr="001005B7">
        <w:t xml:space="preserve"> refugees.</w:t>
      </w:r>
      <w:r w:rsidR="009E4C15" w:rsidRPr="001005B7">
        <w:rPr>
          <w:rStyle w:val="FootnoteReference"/>
        </w:rPr>
        <w:footnoteReference w:id="78"/>
      </w:r>
      <w:r w:rsidR="003A1E4D" w:rsidRPr="001005B7">
        <w:t xml:space="preserve"> </w:t>
      </w:r>
      <w:r w:rsidR="00B32393" w:rsidRPr="001005B7">
        <w:t>Not surprisingly,</w:t>
      </w:r>
      <w:r w:rsidR="00C5525A" w:rsidRPr="001005B7">
        <w:t xml:space="preserve"> Ezekiel shows </w:t>
      </w:r>
      <w:r w:rsidR="00164B31" w:rsidRPr="001005B7">
        <w:t>a “visceral”</w:t>
      </w:r>
      <w:r w:rsidR="00C5525A" w:rsidRPr="001005B7">
        <w:t xml:space="preserve"> interest in the land tha</w:t>
      </w:r>
      <w:r w:rsidR="00362CD0" w:rsidRPr="001005B7">
        <w:t>t makes for a contrast with</w:t>
      </w:r>
      <w:r w:rsidR="00C5525A" w:rsidRPr="001005B7">
        <w:t xml:space="preserve"> Jeremiah</w:t>
      </w:r>
      <w:r w:rsidR="00362CD0" w:rsidRPr="001005B7">
        <w:t>.</w:t>
      </w:r>
      <w:r w:rsidR="00362CD0" w:rsidRPr="001005B7">
        <w:rPr>
          <w:rStyle w:val="FootnoteReference"/>
        </w:rPr>
        <w:footnoteReference w:id="79"/>
      </w:r>
    </w:p>
    <w:p w14:paraId="7D0126EE" w14:textId="4762766D" w:rsidR="007D3A23" w:rsidRDefault="003B520C" w:rsidP="00BE0C3C">
      <w:pPr>
        <w:pStyle w:val="Bullet"/>
      </w:pPr>
      <w:r w:rsidRPr="001005B7">
        <w:t>Concern about humanity’</w:t>
      </w:r>
      <w:r w:rsidR="00F71503" w:rsidRPr="001005B7">
        <w:t>s</w:t>
      </w:r>
      <w:r w:rsidRPr="001005B7">
        <w:t xml:space="preserve"> devastation </w:t>
      </w:r>
      <w:r w:rsidR="00F71503" w:rsidRPr="001005B7">
        <w:t>of the earth raises concern over Ezekiel</w:t>
      </w:r>
      <w:r w:rsidR="00981EE9">
        <w:t>’s</w:t>
      </w:r>
      <w:r w:rsidR="00F71503" w:rsidRPr="001005B7">
        <w:t xml:space="preserve"> portray</w:t>
      </w:r>
      <w:r w:rsidR="007B10C2" w:rsidRPr="001005B7">
        <w:t>al of</w:t>
      </w:r>
      <w:r w:rsidR="00F71503" w:rsidRPr="001005B7">
        <w:t xml:space="preserve"> Yahweh’s devastation of the earth</w:t>
      </w:r>
      <w:r w:rsidR="007C2091" w:rsidRPr="001005B7">
        <w:t>,</w:t>
      </w:r>
      <w:r w:rsidR="00273318" w:rsidRPr="001005B7">
        <w:t xml:space="preserve"> </w:t>
      </w:r>
      <w:r w:rsidR="007C2091" w:rsidRPr="001005B7">
        <w:t>though it also</w:t>
      </w:r>
      <w:r w:rsidR="00273318" w:rsidRPr="001005B7">
        <w:t xml:space="preserve"> </w:t>
      </w:r>
      <w:r w:rsidR="005E03B2" w:rsidRPr="001005B7">
        <w:t>points up Ezekiel’s appr</w:t>
      </w:r>
      <w:r w:rsidR="00AC1201" w:rsidRPr="001005B7">
        <w:t>eciat</w:t>
      </w:r>
      <w:r w:rsidR="005E03B2" w:rsidRPr="001005B7">
        <w:t>ion for the created world.</w:t>
      </w:r>
      <w:r w:rsidR="00A6005D" w:rsidRPr="001005B7">
        <w:t xml:space="preserve"> </w:t>
      </w:r>
      <w:r w:rsidR="006D5479" w:rsidRPr="001005B7">
        <w:t>I</w:t>
      </w:r>
      <w:r w:rsidR="002E3824" w:rsidRPr="001005B7">
        <w:t>n Ezekiel, “f</w:t>
      </w:r>
      <w:r w:rsidR="00A6005D" w:rsidRPr="001005B7">
        <w:t>or the most part, Earth is the passive object of horrifying maltreatment</w:t>
      </w:r>
      <w:r w:rsidR="008D312D">
        <w:t>.…</w:t>
      </w:r>
      <w:r w:rsidR="00A6005D" w:rsidRPr="001005B7">
        <w:t xml:space="preserve"> largely meted out by God in the process of punishing human misdeeds</w:t>
      </w:r>
      <w:r w:rsidR="004E640E" w:rsidRPr="001005B7">
        <w:t>.” And “while Earth is sometimes animated, it never speaks up for itself.</w:t>
      </w:r>
      <w:r w:rsidR="003A4211" w:rsidRPr="001005B7">
        <w:t>”</w:t>
      </w:r>
      <w:r w:rsidR="00F71503" w:rsidRPr="001005B7">
        <w:rPr>
          <w:rStyle w:val="FootnoteReference"/>
        </w:rPr>
        <w:footnoteReference w:id="80"/>
      </w:r>
      <w:r w:rsidR="00633EED" w:rsidRPr="001005B7">
        <w:t xml:space="preserve"> </w:t>
      </w:r>
      <w:r w:rsidR="0009627C">
        <w:t>It</w:t>
      </w:r>
      <w:r w:rsidR="00633EED" w:rsidRPr="001005B7">
        <w:t xml:space="preserve"> exists for humanity’s sake.</w:t>
      </w:r>
      <w:r w:rsidR="00633EED" w:rsidRPr="001005B7">
        <w:rPr>
          <w:rStyle w:val="FootnoteReference"/>
        </w:rPr>
        <w:footnoteReference w:id="81"/>
      </w:r>
      <w:r w:rsidR="0065336A" w:rsidRPr="001005B7">
        <w:t xml:space="preserve"> </w:t>
      </w:r>
      <w:r w:rsidR="00F97885" w:rsidRPr="001005B7">
        <w:t>But</w:t>
      </w:r>
      <w:r w:rsidR="00F77033" w:rsidRPr="001005B7">
        <w:t xml:space="preserve"> </w:t>
      </w:r>
      <w:r w:rsidR="00CD0652" w:rsidRPr="001005B7">
        <w:t>Ezekiel</w:t>
      </w:r>
      <w:r w:rsidR="002564FE" w:rsidRPr="001005B7">
        <w:t xml:space="preserve"> </w:t>
      </w:r>
      <w:r w:rsidR="00F97885" w:rsidRPr="001005B7">
        <w:t xml:space="preserve">does </w:t>
      </w:r>
      <w:r w:rsidR="002564FE" w:rsidRPr="001005B7">
        <w:t>inter</w:t>
      </w:r>
      <w:r w:rsidR="00B55A79" w:rsidRPr="001005B7">
        <w:t>w</w:t>
      </w:r>
      <w:r w:rsidR="002564FE" w:rsidRPr="001005B7">
        <w:t>eave</w:t>
      </w:r>
      <w:r w:rsidR="00B55A79" w:rsidRPr="001005B7">
        <w:t xml:space="preserve"> talk of a positive </w:t>
      </w:r>
      <w:r w:rsidR="00AE64A1" w:rsidRPr="001005B7">
        <w:t xml:space="preserve">transformation and </w:t>
      </w:r>
      <w:r w:rsidR="00B55A79" w:rsidRPr="001005B7">
        <w:t>blessing</w:t>
      </w:r>
      <w:r w:rsidR="00AE64A1" w:rsidRPr="001005B7">
        <w:t xml:space="preserve"> of created rea</w:t>
      </w:r>
      <w:r w:rsidR="00C227FE" w:rsidRPr="001005B7">
        <w:t>l</w:t>
      </w:r>
      <w:r w:rsidR="00AE64A1" w:rsidRPr="001005B7">
        <w:t>ity</w:t>
      </w:r>
      <w:r w:rsidR="00F77033" w:rsidRPr="001005B7">
        <w:t xml:space="preserve"> with his talk of a restoration and </w:t>
      </w:r>
      <w:r w:rsidR="007D3A23" w:rsidRPr="001005B7">
        <w:t>blessing of his pe</w:t>
      </w:r>
      <w:r w:rsidR="00A76723" w:rsidRPr="001005B7">
        <w:t>o</w:t>
      </w:r>
      <w:r w:rsidR="007D3A23" w:rsidRPr="001005B7">
        <w:t>ple</w:t>
      </w:r>
      <w:r w:rsidR="005B5F45" w:rsidRPr="001005B7">
        <w:t>.</w:t>
      </w:r>
      <w:r w:rsidR="005B5F45" w:rsidRPr="001005B7">
        <w:rPr>
          <w:rStyle w:val="FootnoteReference"/>
        </w:rPr>
        <w:footnoteReference w:id="82"/>
      </w:r>
    </w:p>
    <w:p w14:paraId="0F132AE6" w14:textId="77777777" w:rsidR="0009627C" w:rsidRPr="001005B7" w:rsidRDefault="0009627C" w:rsidP="0009627C">
      <w:pPr>
        <w:pStyle w:val="Bullet"/>
        <w:numPr>
          <w:ilvl w:val="0"/>
          <w:numId w:val="0"/>
        </w:numPr>
        <w:ind w:left="924"/>
      </w:pPr>
    </w:p>
    <w:p w14:paraId="5F4126A8" w14:textId="319B4917" w:rsidR="001603F8" w:rsidRPr="001005B7" w:rsidRDefault="001603F8" w:rsidP="00493833">
      <w:pPr>
        <w:pStyle w:val="Heading3"/>
      </w:pPr>
      <w:r w:rsidRPr="001005B7">
        <w:t>Selected Bibliography</w:t>
      </w:r>
    </w:p>
    <w:p w14:paraId="55553EA8" w14:textId="32023A48" w:rsidR="00F53806" w:rsidRDefault="00F53806" w:rsidP="00F53806">
      <w:pPr>
        <w:spacing w:after="60" w:line="240" w:lineRule="auto"/>
        <w:ind w:left="567" w:hanging="567"/>
        <w:rPr>
          <w:lang w:val="en-GB"/>
        </w:rPr>
      </w:pPr>
      <w:r>
        <w:rPr>
          <w:rFonts w:ascii="Calibri" w:eastAsia="Times New Roman" w:hAnsi="Calibri" w:cs="Calibri"/>
          <w:color w:val="000000"/>
          <w:lang w:val="de-DE" w:eastAsia="en-GB"/>
        </w:rPr>
        <w:t xml:space="preserve">Ahn, John J., and Jill </w:t>
      </w:r>
      <w:proofErr w:type="spellStart"/>
      <w:r>
        <w:rPr>
          <w:rFonts w:ascii="Calibri" w:eastAsia="Times New Roman" w:hAnsi="Calibri" w:cs="Calibri"/>
          <w:color w:val="000000"/>
          <w:lang w:val="de-DE" w:eastAsia="en-GB"/>
        </w:rPr>
        <w:t>Middlemas</w:t>
      </w:r>
      <w:proofErr w:type="spellEnd"/>
      <w:r>
        <w:rPr>
          <w:rFonts w:ascii="Calibri" w:eastAsia="Times New Roman" w:hAnsi="Calibri" w:cs="Calibri"/>
          <w:color w:val="000000"/>
          <w:lang w:val="de-DE" w:eastAsia="en-GB"/>
        </w:rPr>
        <w:t xml:space="preserve">, </w:t>
      </w:r>
      <w:proofErr w:type="spellStart"/>
      <w:r>
        <w:rPr>
          <w:rFonts w:ascii="Calibri" w:eastAsia="Times New Roman" w:hAnsi="Calibri" w:cs="Calibri"/>
          <w:color w:val="000000"/>
          <w:lang w:val="de-DE" w:eastAsia="en-GB"/>
        </w:rPr>
        <w:t>ed</w:t>
      </w:r>
      <w:proofErr w:type="spellEnd"/>
      <w:r>
        <w:rPr>
          <w:rFonts w:ascii="Calibri" w:eastAsia="Times New Roman" w:hAnsi="Calibri" w:cs="Calibri"/>
          <w:color w:val="000000"/>
          <w:lang w:val="de-DE" w:eastAsia="en-GB"/>
        </w:rPr>
        <w:t xml:space="preserve">. </w:t>
      </w:r>
      <w:r w:rsidRPr="008D07B9">
        <w:rPr>
          <w:i/>
          <w:iCs/>
          <w:lang w:val="en-GB"/>
        </w:rPr>
        <w:t>By the</w:t>
      </w:r>
      <w:r w:rsidRPr="008D07B9">
        <w:rPr>
          <w:rFonts w:ascii="Calibri" w:eastAsia="Times New Roman" w:hAnsi="Calibri" w:cs="Calibri"/>
          <w:i/>
          <w:iCs/>
          <w:color w:val="000000"/>
          <w:lang w:val="de-DE" w:eastAsia="en-GB"/>
        </w:rPr>
        <w:t xml:space="preserve"> </w:t>
      </w:r>
      <w:r w:rsidRPr="008D07B9">
        <w:rPr>
          <w:i/>
          <w:iCs/>
          <w:lang w:val="en-GB"/>
        </w:rPr>
        <w:t>Irrigation Canals of Babylon: Approaches to the Study of Exile.</w:t>
      </w:r>
      <w:r>
        <w:rPr>
          <w:lang w:val="en-GB"/>
        </w:rPr>
        <w:t xml:space="preserve"> LHBOTS 526. London: T&amp;T Clark, 2012. </w:t>
      </w:r>
    </w:p>
    <w:p w14:paraId="5A452783" w14:textId="17E447DF" w:rsidR="00E44129" w:rsidRPr="001005B7" w:rsidRDefault="00E44129" w:rsidP="006F5BB0">
      <w:pPr>
        <w:pStyle w:val="ListParagraph"/>
        <w:rPr>
          <w:color w:val="auto"/>
          <w:lang w:val="en-US"/>
        </w:rPr>
      </w:pPr>
      <w:r w:rsidRPr="001005B7">
        <w:rPr>
          <w:color w:val="auto"/>
          <w:lang w:val="en-US"/>
        </w:rPr>
        <w:t xml:space="preserve">Becker, </w:t>
      </w:r>
      <w:r w:rsidR="009B5426" w:rsidRPr="001005B7">
        <w:rPr>
          <w:color w:val="auto"/>
          <w:lang w:val="en-US"/>
        </w:rPr>
        <w:t xml:space="preserve">Joachim. </w:t>
      </w:r>
      <w:r w:rsidRPr="001005B7">
        <w:rPr>
          <w:color w:val="auto"/>
          <w:lang w:val="en-US"/>
        </w:rPr>
        <w:t>"</w:t>
      </w:r>
      <w:proofErr w:type="spellStart"/>
      <w:r w:rsidRPr="001005B7">
        <w:rPr>
          <w:color w:val="auto"/>
          <w:lang w:val="en-US"/>
        </w:rPr>
        <w:t>Erwägungen</w:t>
      </w:r>
      <w:proofErr w:type="spellEnd"/>
      <w:r w:rsidRPr="001005B7">
        <w:rPr>
          <w:color w:val="auto"/>
          <w:lang w:val="en-US"/>
        </w:rPr>
        <w:t xml:space="preserve"> </w:t>
      </w:r>
      <w:proofErr w:type="spellStart"/>
      <w:r w:rsidRPr="001005B7">
        <w:rPr>
          <w:color w:val="auto"/>
          <w:lang w:val="en-US"/>
        </w:rPr>
        <w:t>zur</w:t>
      </w:r>
      <w:proofErr w:type="spellEnd"/>
      <w:r w:rsidRPr="001005B7">
        <w:rPr>
          <w:color w:val="auto"/>
          <w:lang w:val="en-US"/>
        </w:rPr>
        <w:t xml:space="preserve"> </w:t>
      </w:r>
      <w:proofErr w:type="spellStart"/>
      <w:r w:rsidRPr="001005B7">
        <w:rPr>
          <w:color w:val="auto"/>
          <w:lang w:val="en-US"/>
        </w:rPr>
        <w:t>ezechielischen</w:t>
      </w:r>
      <w:proofErr w:type="spellEnd"/>
      <w:r w:rsidRPr="001005B7">
        <w:rPr>
          <w:color w:val="auto"/>
          <w:lang w:val="en-US"/>
        </w:rPr>
        <w:t xml:space="preserve"> Frage</w:t>
      </w:r>
      <w:r w:rsidR="00587728" w:rsidRPr="001005B7">
        <w:rPr>
          <w:color w:val="auto"/>
          <w:lang w:val="en-US"/>
        </w:rPr>
        <w:t>.</w:t>
      </w:r>
      <w:r w:rsidRPr="001005B7">
        <w:rPr>
          <w:color w:val="auto"/>
          <w:lang w:val="en-US"/>
        </w:rPr>
        <w:t xml:space="preserve">" </w:t>
      </w:r>
      <w:r w:rsidR="00587728" w:rsidRPr="001005B7">
        <w:rPr>
          <w:color w:val="auto"/>
          <w:lang w:val="en-US"/>
        </w:rPr>
        <w:t>I</w:t>
      </w:r>
      <w:r w:rsidRPr="001005B7">
        <w:rPr>
          <w:color w:val="auto"/>
          <w:lang w:val="en-US"/>
        </w:rPr>
        <w:t>n Lothar Ruppert, Peter Weimar, and Eric Zenger, ed., </w:t>
      </w:r>
      <w:proofErr w:type="spellStart"/>
      <w:r w:rsidRPr="001005B7">
        <w:rPr>
          <w:i/>
          <w:iCs/>
          <w:color w:val="auto"/>
          <w:lang w:val="en-US"/>
        </w:rPr>
        <w:t>Künder</w:t>
      </w:r>
      <w:proofErr w:type="spellEnd"/>
      <w:r w:rsidRPr="001005B7">
        <w:rPr>
          <w:color w:val="auto"/>
          <w:lang w:val="en-US"/>
        </w:rPr>
        <w:t xml:space="preserve"> </w:t>
      </w:r>
      <w:r w:rsidRPr="001005B7">
        <w:rPr>
          <w:i/>
          <w:iCs/>
          <w:color w:val="auto"/>
          <w:lang w:val="en-US"/>
        </w:rPr>
        <w:t>des</w:t>
      </w:r>
      <w:r w:rsidRPr="001005B7">
        <w:rPr>
          <w:color w:val="auto"/>
          <w:lang w:val="en-US"/>
        </w:rPr>
        <w:t xml:space="preserve"> </w:t>
      </w:r>
      <w:proofErr w:type="spellStart"/>
      <w:r w:rsidRPr="001005B7">
        <w:rPr>
          <w:i/>
          <w:iCs/>
          <w:color w:val="auto"/>
          <w:lang w:val="en-US"/>
        </w:rPr>
        <w:t>Wortes</w:t>
      </w:r>
      <w:proofErr w:type="spellEnd"/>
      <w:r w:rsidRPr="001005B7">
        <w:rPr>
          <w:i/>
          <w:iCs/>
          <w:color w:val="auto"/>
          <w:lang w:val="en-US"/>
        </w:rPr>
        <w:t>:</w:t>
      </w:r>
      <w:r w:rsidRPr="001005B7">
        <w:rPr>
          <w:color w:val="auto"/>
          <w:lang w:val="en-US"/>
        </w:rPr>
        <w:t xml:space="preserve"> </w:t>
      </w:r>
      <w:proofErr w:type="spellStart"/>
      <w:r w:rsidRPr="001005B7">
        <w:rPr>
          <w:i/>
          <w:iCs/>
          <w:color w:val="auto"/>
          <w:lang w:val="en-US"/>
        </w:rPr>
        <w:t>Beiträge</w:t>
      </w:r>
      <w:proofErr w:type="spellEnd"/>
      <w:r w:rsidRPr="001005B7">
        <w:rPr>
          <w:color w:val="auto"/>
          <w:lang w:val="en-US"/>
        </w:rPr>
        <w:t xml:space="preserve"> </w:t>
      </w:r>
      <w:proofErr w:type="spellStart"/>
      <w:r w:rsidRPr="001005B7">
        <w:rPr>
          <w:i/>
          <w:iCs/>
          <w:color w:val="auto"/>
          <w:lang w:val="en-US"/>
        </w:rPr>
        <w:t>zur</w:t>
      </w:r>
      <w:proofErr w:type="spellEnd"/>
      <w:r w:rsidRPr="001005B7">
        <w:rPr>
          <w:color w:val="auto"/>
          <w:lang w:val="en-US"/>
        </w:rPr>
        <w:t xml:space="preserve"> </w:t>
      </w:r>
      <w:proofErr w:type="spellStart"/>
      <w:r w:rsidRPr="001005B7">
        <w:rPr>
          <w:i/>
          <w:iCs/>
          <w:color w:val="auto"/>
          <w:lang w:val="en-US"/>
        </w:rPr>
        <w:t>Theologie</w:t>
      </w:r>
      <w:proofErr w:type="spellEnd"/>
      <w:r w:rsidRPr="001005B7">
        <w:rPr>
          <w:color w:val="auto"/>
          <w:lang w:val="en-US"/>
        </w:rPr>
        <w:t xml:space="preserve"> </w:t>
      </w:r>
      <w:r w:rsidRPr="001005B7">
        <w:rPr>
          <w:i/>
          <w:iCs/>
          <w:color w:val="auto"/>
          <w:lang w:val="en-US"/>
        </w:rPr>
        <w:t>der</w:t>
      </w:r>
      <w:r w:rsidRPr="001005B7">
        <w:rPr>
          <w:color w:val="auto"/>
          <w:lang w:val="en-US"/>
        </w:rPr>
        <w:t xml:space="preserve"> </w:t>
      </w:r>
      <w:proofErr w:type="spellStart"/>
      <w:r w:rsidRPr="001005B7">
        <w:rPr>
          <w:i/>
          <w:iCs/>
          <w:color w:val="auto"/>
          <w:lang w:val="en-US"/>
        </w:rPr>
        <w:t>Propheten</w:t>
      </w:r>
      <w:proofErr w:type="spellEnd"/>
      <w:r w:rsidR="00477599" w:rsidRPr="001005B7">
        <w:rPr>
          <w:color w:val="auto"/>
          <w:lang w:val="en-US"/>
        </w:rPr>
        <w:t>, 137</w:t>
      </w:r>
      <w:r w:rsidR="00F46900" w:rsidRPr="001005B7">
        <w:rPr>
          <w:color w:val="auto"/>
          <w:lang w:val="en-US"/>
        </w:rPr>
        <w:t>–</w:t>
      </w:r>
      <w:r w:rsidR="00477599" w:rsidRPr="001005B7">
        <w:rPr>
          <w:color w:val="auto"/>
          <w:lang w:val="en-US"/>
        </w:rPr>
        <w:t>49</w:t>
      </w:r>
      <w:r w:rsidR="00587728" w:rsidRPr="001005B7">
        <w:rPr>
          <w:color w:val="auto"/>
          <w:lang w:val="en-US"/>
        </w:rPr>
        <w:t xml:space="preserve">. </w:t>
      </w:r>
      <w:r w:rsidRPr="001005B7">
        <w:rPr>
          <w:color w:val="auto"/>
          <w:lang w:val="en-US"/>
        </w:rPr>
        <w:t xml:space="preserve">Würzburg: </w:t>
      </w:r>
      <w:proofErr w:type="spellStart"/>
      <w:r w:rsidRPr="001005B7">
        <w:rPr>
          <w:color w:val="auto"/>
          <w:lang w:val="en-US"/>
        </w:rPr>
        <w:t>Echter</w:t>
      </w:r>
      <w:proofErr w:type="spellEnd"/>
      <w:r w:rsidRPr="001005B7">
        <w:rPr>
          <w:color w:val="auto"/>
          <w:lang w:val="en-US"/>
        </w:rPr>
        <w:t>, 1982)</w:t>
      </w:r>
      <w:r w:rsidR="00587728" w:rsidRPr="001005B7">
        <w:rPr>
          <w:color w:val="auto"/>
          <w:lang w:val="en-US"/>
        </w:rPr>
        <w:t>.</w:t>
      </w:r>
    </w:p>
    <w:p w14:paraId="5F4509A5" w14:textId="4F39D9A6" w:rsidR="00EA5AFD" w:rsidRPr="001005B7" w:rsidRDefault="00EA5AFD" w:rsidP="00EA5AFD">
      <w:pPr>
        <w:spacing w:after="60" w:line="240" w:lineRule="auto"/>
        <w:ind w:left="567" w:hanging="567"/>
        <w:rPr>
          <w:rFonts w:cstheme="minorHAnsi"/>
        </w:rPr>
      </w:pPr>
      <w:r w:rsidRPr="001005B7">
        <w:rPr>
          <w:rFonts w:cstheme="minorHAnsi"/>
        </w:rPr>
        <w:t xml:space="preserve">Betts, Terry J. </w:t>
      </w:r>
      <w:r w:rsidRPr="001005B7">
        <w:rPr>
          <w:rFonts w:cstheme="minorHAnsi"/>
          <w:i/>
          <w:iCs/>
        </w:rPr>
        <w:t xml:space="preserve">Ezekiel the Priest: A Custodian of </w:t>
      </w:r>
      <w:proofErr w:type="spellStart"/>
      <w:r w:rsidRPr="001005B7">
        <w:rPr>
          <w:rFonts w:cstheme="minorHAnsi"/>
          <w:i/>
          <w:iCs/>
        </w:rPr>
        <w:t>Tôrâ</w:t>
      </w:r>
      <w:proofErr w:type="spellEnd"/>
      <w:r w:rsidRPr="001005B7">
        <w:rPr>
          <w:rFonts w:cstheme="minorHAnsi"/>
        </w:rPr>
        <w:t>. New York: Lang, 2005.</w:t>
      </w:r>
    </w:p>
    <w:p w14:paraId="0284FB66" w14:textId="77777777" w:rsidR="006242EC" w:rsidRPr="001005B7" w:rsidRDefault="006242EC" w:rsidP="006F5BB0">
      <w:pPr>
        <w:pStyle w:val="ListParagraph"/>
        <w:rPr>
          <w:color w:val="auto"/>
          <w:lang w:val="en-US"/>
        </w:rPr>
      </w:pPr>
      <w:proofErr w:type="spellStart"/>
      <w:r w:rsidRPr="001005B7">
        <w:rPr>
          <w:color w:val="auto"/>
          <w:lang w:val="en-US"/>
        </w:rPr>
        <w:t>Blumrich</w:t>
      </w:r>
      <w:proofErr w:type="spellEnd"/>
      <w:r w:rsidRPr="001005B7">
        <w:rPr>
          <w:color w:val="auto"/>
          <w:lang w:val="en-US"/>
        </w:rPr>
        <w:t xml:space="preserve">, Josef F. </w:t>
      </w:r>
      <w:r w:rsidRPr="001005B7">
        <w:rPr>
          <w:i/>
          <w:iCs/>
          <w:color w:val="auto"/>
          <w:lang w:val="en-US"/>
        </w:rPr>
        <w:t>The Spaceships</w:t>
      </w:r>
      <w:r w:rsidRPr="001005B7">
        <w:rPr>
          <w:color w:val="auto"/>
          <w:lang w:val="en-US"/>
        </w:rPr>
        <w:t xml:space="preserve"> </w:t>
      </w:r>
      <w:r w:rsidRPr="001005B7">
        <w:rPr>
          <w:i/>
          <w:iCs/>
          <w:color w:val="auto"/>
          <w:lang w:val="en-US"/>
        </w:rPr>
        <w:t>of</w:t>
      </w:r>
      <w:r w:rsidRPr="001005B7">
        <w:rPr>
          <w:color w:val="auto"/>
          <w:lang w:val="en-US"/>
        </w:rPr>
        <w:t xml:space="preserve"> </w:t>
      </w:r>
      <w:r w:rsidRPr="001005B7">
        <w:rPr>
          <w:i/>
          <w:iCs/>
          <w:color w:val="auto"/>
          <w:lang w:val="en-US"/>
        </w:rPr>
        <w:t>Ezekiel</w:t>
      </w:r>
      <w:r w:rsidRPr="001005B7">
        <w:rPr>
          <w:color w:val="auto"/>
          <w:lang w:val="en-US"/>
        </w:rPr>
        <w:t>. London: Transworld, 1974.</w:t>
      </w:r>
    </w:p>
    <w:p w14:paraId="706D7964" w14:textId="04160E7D" w:rsidR="006C74AA" w:rsidRPr="001005B7" w:rsidRDefault="00F0332D" w:rsidP="006F5BB0">
      <w:pPr>
        <w:pStyle w:val="ListParagraph"/>
        <w:rPr>
          <w:color w:val="auto"/>
          <w:lang w:val="en-US"/>
        </w:rPr>
      </w:pPr>
      <w:r w:rsidRPr="001005B7">
        <w:rPr>
          <w:color w:val="auto"/>
          <w:lang w:val="en-US"/>
        </w:rPr>
        <w:t>Boyd, Samuel</w:t>
      </w:r>
      <w:r w:rsidR="007A3989" w:rsidRPr="001005B7">
        <w:rPr>
          <w:color w:val="auto"/>
          <w:lang w:val="en-US"/>
        </w:rPr>
        <w:t xml:space="preserve"> L</w:t>
      </w:r>
      <w:r w:rsidR="00F81038" w:rsidRPr="001005B7">
        <w:rPr>
          <w:color w:val="auto"/>
          <w:lang w:val="en-US"/>
        </w:rPr>
        <w:t xml:space="preserve">. </w:t>
      </w:r>
      <w:r w:rsidR="00D463B0" w:rsidRPr="001005B7">
        <w:rPr>
          <w:color w:val="auto"/>
          <w:lang w:val="en-US"/>
        </w:rPr>
        <w:t>"Language Contact and the Book of Ezekiel."</w:t>
      </w:r>
      <w:r w:rsidR="005E6760" w:rsidRPr="001005B7">
        <w:rPr>
          <w:color w:val="auto"/>
          <w:lang w:val="en-US"/>
        </w:rPr>
        <w:t xml:space="preserve"> In Samuel L. Boyd,</w:t>
      </w:r>
      <w:r w:rsidR="00391440">
        <w:rPr>
          <w:color w:val="auto"/>
          <w:lang w:val="en-US"/>
        </w:rPr>
        <w:t xml:space="preserve"> </w:t>
      </w:r>
      <w:r w:rsidR="006C74AA" w:rsidRPr="001005B7">
        <w:rPr>
          <w:i/>
          <w:iCs/>
          <w:color w:val="auto"/>
          <w:lang w:val="en-US"/>
        </w:rPr>
        <w:t xml:space="preserve">Language </w:t>
      </w:r>
      <w:r w:rsidR="00F714D3" w:rsidRPr="001005B7">
        <w:rPr>
          <w:i/>
          <w:iCs/>
          <w:color w:val="auto"/>
          <w:lang w:val="en-US"/>
        </w:rPr>
        <w:t>C</w:t>
      </w:r>
      <w:r w:rsidR="006C74AA" w:rsidRPr="001005B7">
        <w:rPr>
          <w:i/>
          <w:iCs/>
          <w:color w:val="auto"/>
          <w:lang w:val="en-US"/>
        </w:rPr>
        <w:t xml:space="preserve">ontact, </w:t>
      </w:r>
      <w:r w:rsidR="00F714D3" w:rsidRPr="001005B7">
        <w:rPr>
          <w:i/>
          <w:iCs/>
          <w:color w:val="auto"/>
          <w:lang w:val="en-US"/>
        </w:rPr>
        <w:t>Co</w:t>
      </w:r>
      <w:r w:rsidR="006C74AA" w:rsidRPr="001005B7">
        <w:rPr>
          <w:i/>
          <w:iCs/>
          <w:color w:val="auto"/>
          <w:lang w:val="en-US"/>
        </w:rPr>
        <w:t xml:space="preserve">lonial </w:t>
      </w:r>
      <w:r w:rsidR="00F714D3" w:rsidRPr="001005B7">
        <w:rPr>
          <w:i/>
          <w:iCs/>
          <w:color w:val="auto"/>
          <w:lang w:val="en-US"/>
        </w:rPr>
        <w:t>A</w:t>
      </w:r>
      <w:r w:rsidR="006C74AA" w:rsidRPr="001005B7">
        <w:rPr>
          <w:i/>
          <w:iCs/>
          <w:color w:val="auto"/>
          <w:lang w:val="en-US"/>
        </w:rPr>
        <w:t xml:space="preserve">dministration, and the </w:t>
      </w:r>
      <w:r w:rsidR="00F714D3" w:rsidRPr="001005B7">
        <w:rPr>
          <w:i/>
          <w:iCs/>
          <w:color w:val="auto"/>
          <w:lang w:val="en-US"/>
        </w:rPr>
        <w:t>C</w:t>
      </w:r>
      <w:r w:rsidR="006C74AA" w:rsidRPr="001005B7">
        <w:rPr>
          <w:i/>
          <w:iCs/>
          <w:color w:val="auto"/>
          <w:lang w:val="en-US"/>
        </w:rPr>
        <w:t xml:space="preserve">onstruction of </w:t>
      </w:r>
      <w:r w:rsidR="00F714D3" w:rsidRPr="001005B7">
        <w:rPr>
          <w:i/>
          <w:iCs/>
          <w:color w:val="auto"/>
          <w:lang w:val="en-US"/>
        </w:rPr>
        <w:t>I</w:t>
      </w:r>
      <w:r w:rsidR="006C74AA" w:rsidRPr="001005B7">
        <w:rPr>
          <w:i/>
          <w:iCs/>
          <w:color w:val="auto"/>
          <w:lang w:val="en-US"/>
        </w:rPr>
        <w:t xml:space="preserve">dentity in </w:t>
      </w:r>
      <w:r w:rsidR="00F714D3" w:rsidRPr="001005B7">
        <w:rPr>
          <w:i/>
          <w:iCs/>
          <w:color w:val="auto"/>
          <w:lang w:val="en-US"/>
        </w:rPr>
        <w:t>A</w:t>
      </w:r>
      <w:r w:rsidR="006C74AA" w:rsidRPr="001005B7">
        <w:rPr>
          <w:i/>
          <w:iCs/>
          <w:color w:val="auto"/>
          <w:lang w:val="en-US"/>
        </w:rPr>
        <w:t xml:space="preserve">ncient Israel: </w:t>
      </w:r>
      <w:r w:rsidR="00F714D3" w:rsidRPr="001005B7">
        <w:rPr>
          <w:i/>
          <w:iCs/>
          <w:color w:val="auto"/>
          <w:lang w:val="en-US"/>
        </w:rPr>
        <w:t>C</w:t>
      </w:r>
      <w:r w:rsidR="006C74AA" w:rsidRPr="001005B7">
        <w:rPr>
          <w:i/>
          <w:iCs/>
          <w:color w:val="auto"/>
          <w:lang w:val="en-US"/>
        </w:rPr>
        <w:t xml:space="preserve">onstructing the </w:t>
      </w:r>
      <w:r w:rsidR="00F714D3" w:rsidRPr="001005B7">
        <w:rPr>
          <w:i/>
          <w:iCs/>
          <w:color w:val="auto"/>
          <w:lang w:val="en-US"/>
        </w:rPr>
        <w:t>C</w:t>
      </w:r>
      <w:r w:rsidR="006C74AA" w:rsidRPr="001005B7">
        <w:rPr>
          <w:i/>
          <w:iCs/>
          <w:color w:val="auto"/>
          <w:lang w:val="en-US"/>
        </w:rPr>
        <w:t xml:space="preserve">ontext for </w:t>
      </w:r>
      <w:r w:rsidR="00F714D3" w:rsidRPr="001005B7">
        <w:rPr>
          <w:i/>
          <w:iCs/>
          <w:color w:val="auto"/>
          <w:lang w:val="en-US"/>
        </w:rPr>
        <w:t>C</w:t>
      </w:r>
      <w:r w:rsidR="006C74AA" w:rsidRPr="001005B7">
        <w:rPr>
          <w:i/>
          <w:iCs/>
          <w:color w:val="auto"/>
          <w:lang w:val="en-US"/>
        </w:rPr>
        <w:t>ontact</w:t>
      </w:r>
      <w:r w:rsidR="00835D21" w:rsidRPr="001005B7">
        <w:rPr>
          <w:color w:val="auto"/>
          <w:lang w:val="en-US"/>
        </w:rPr>
        <w:t>, 229</w:t>
      </w:r>
      <w:r w:rsidR="00F46900" w:rsidRPr="001005B7">
        <w:rPr>
          <w:color w:val="auto"/>
          <w:lang w:val="en-US"/>
        </w:rPr>
        <w:t>–</w:t>
      </w:r>
      <w:r w:rsidR="00835D21" w:rsidRPr="001005B7">
        <w:rPr>
          <w:color w:val="auto"/>
          <w:lang w:val="en-US"/>
        </w:rPr>
        <w:t>303</w:t>
      </w:r>
      <w:r w:rsidR="00DD188D" w:rsidRPr="001005B7">
        <w:rPr>
          <w:color w:val="auto"/>
          <w:lang w:val="en-US"/>
        </w:rPr>
        <w:t xml:space="preserve">. </w:t>
      </w:r>
      <w:r w:rsidR="00EA6328" w:rsidRPr="001005B7">
        <w:rPr>
          <w:color w:val="auto"/>
          <w:lang w:val="en-US"/>
        </w:rPr>
        <w:t>Leiden: Brill, 2021.</w:t>
      </w:r>
    </w:p>
    <w:p w14:paraId="707A922E" w14:textId="43CEFD91" w:rsidR="00383555" w:rsidRPr="001005B7" w:rsidRDefault="00383555" w:rsidP="006F5BB0">
      <w:pPr>
        <w:pStyle w:val="ListParagraph"/>
        <w:rPr>
          <w:color w:val="auto"/>
          <w:lang w:val="en-US"/>
        </w:rPr>
      </w:pPr>
      <w:r w:rsidRPr="001005B7">
        <w:rPr>
          <w:color w:val="auto"/>
          <w:lang w:val="en-US"/>
        </w:rPr>
        <w:t>Carley, Keith. “Ezekiel’s Formula of De</w:t>
      </w:r>
      <w:r w:rsidR="00393302" w:rsidRPr="001005B7">
        <w:rPr>
          <w:color w:val="auto"/>
          <w:lang w:val="en-US"/>
        </w:rPr>
        <w:t>solat</w:t>
      </w:r>
      <w:r w:rsidRPr="001005B7">
        <w:rPr>
          <w:color w:val="auto"/>
          <w:lang w:val="en-US"/>
        </w:rPr>
        <w:t xml:space="preserve">ion: Harsh Justice for the Land/Earth.” In </w:t>
      </w:r>
      <w:r w:rsidR="00FD70DC" w:rsidRPr="001005B7">
        <w:rPr>
          <w:color w:val="auto"/>
          <w:lang w:val="en-US"/>
        </w:rPr>
        <w:t>Norman</w:t>
      </w:r>
      <w:r w:rsidR="008B5FA1" w:rsidRPr="001005B7">
        <w:rPr>
          <w:color w:val="auto"/>
          <w:lang w:val="en-US"/>
        </w:rPr>
        <w:t xml:space="preserve"> C. </w:t>
      </w:r>
      <w:proofErr w:type="spellStart"/>
      <w:r w:rsidRPr="001005B7">
        <w:rPr>
          <w:color w:val="auto"/>
          <w:lang w:val="en-US"/>
        </w:rPr>
        <w:t>H</w:t>
      </w:r>
      <w:r w:rsidR="008B5FA1" w:rsidRPr="001005B7">
        <w:rPr>
          <w:color w:val="auto"/>
          <w:lang w:val="en-US"/>
        </w:rPr>
        <w:t>abel</w:t>
      </w:r>
      <w:proofErr w:type="spellEnd"/>
      <w:r w:rsidR="008B5FA1" w:rsidRPr="001005B7">
        <w:rPr>
          <w:color w:val="auto"/>
          <w:lang w:val="en-US"/>
        </w:rPr>
        <w:t xml:space="preserve">, ed., </w:t>
      </w:r>
      <w:r w:rsidR="00771B82" w:rsidRPr="001005B7">
        <w:rPr>
          <w:i/>
          <w:iCs/>
          <w:color w:val="auto"/>
          <w:lang w:val="en-US"/>
        </w:rPr>
        <w:t xml:space="preserve">The </w:t>
      </w:r>
      <w:r w:rsidR="008B5FA1" w:rsidRPr="001005B7">
        <w:rPr>
          <w:i/>
          <w:iCs/>
          <w:color w:val="auto"/>
          <w:lang w:val="en-US"/>
        </w:rPr>
        <w:t>Earth Story in the Psalms and the Prophets</w:t>
      </w:r>
      <w:r w:rsidR="000E6193" w:rsidRPr="001005B7">
        <w:rPr>
          <w:color w:val="auto"/>
          <w:lang w:val="en-US"/>
        </w:rPr>
        <w:t>, 143</w:t>
      </w:r>
      <w:r w:rsidR="00F46900" w:rsidRPr="001005B7">
        <w:rPr>
          <w:color w:val="auto"/>
          <w:lang w:val="en-US"/>
        </w:rPr>
        <w:t>–</w:t>
      </w:r>
      <w:r w:rsidR="000E6193" w:rsidRPr="001005B7">
        <w:rPr>
          <w:color w:val="auto"/>
          <w:lang w:val="en-US"/>
        </w:rPr>
        <w:t xml:space="preserve">57. </w:t>
      </w:r>
      <w:r w:rsidR="00117636" w:rsidRPr="001005B7">
        <w:rPr>
          <w:color w:val="auto"/>
          <w:lang w:val="en-US"/>
        </w:rPr>
        <w:t xml:space="preserve">The Earth Bible 4. </w:t>
      </w:r>
      <w:r w:rsidR="00771B82" w:rsidRPr="001005B7">
        <w:rPr>
          <w:color w:val="auto"/>
          <w:lang w:val="en-US"/>
        </w:rPr>
        <w:t>Sheffield, UK</w:t>
      </w:r>
      <w:r w:rsidR="000B42F9" w:rsidRPr="001005B7">
        <w:rPr>
          <w:color w:val="auto"/>
          <w:lang w:val="en-US"/>
        </w:rPr>
        <w:t xml:space="preserve">: Sheffield Academic, 2001. </w:t>
      </w:r>
    </w:p>
    <w:p w14:paraId="54E10DAE" w14:textId="11FBEE77" w:rsidR="00393302" w:rsidRPr="001005B7" w:rsidRDefault="008237CA" w:rsidP="006F5BB0">
      <w:pPr>
        <w:pStyle w:val="ListParagraph"/>
        <w:rPr>
          <w:color w:val="auto"/>
          <w:lang w:val="en-US"/>
        </w:rPr>
      </w:pPr>
      <w:r w:rsidRPr="001005B7">
        <w:rPr>
          <w:i/>
          <w:iCs/>
          <w:color w:val="auto"/>
          <w:lang w:val="en-US"/>
        </w:rPr>
        <w:t xml:space="preserve">––– </w:t>
      </w:r>
      <w:r w:rsidR="00393302" w:rsidRPr="001005B7">
        <w:rPr>
          <w:color w:val="auto"/>
          <w:lang w:val="en-US"/>
        </w:rPr>
        <w:t>“From Harshness to Hope: The Implications for Earth of Hierarchy in Ezekiel.” In Cook and</w:t>
      </w:r>
      <w:r w:rsidR="00391440">
        <w:rPr>
          <w:color w:val="auto"/>
          <w:lang w:val="en-US"/>
        </w:rPr>
        <w:t xml:space="preserve"> </w:t>
      </w:r>
      <w:r w:rsidR="00393302" w:rsidRPr="001005B7">
        <w:rPr>
          <w:color w:val="auto"/>
          <w:lang w:val="en-US"/>
        </w:rPr>
        <w:t xml:space="preserve">Patton, </w:t>
      </w:r>
      <w:r w:rsidR="00393302" w:rsidRPr="001005B7">
        <w:rPr>
          <w:i/>
          <w:iCs/>
          <w:color w:val="auto"/>
          <w:lang w:val="en-US"/>
        </w:rPr>
        <w:t>Hierarchical World</w:t>
      </w:r>
      <w:r w:rsidR="00D437D1" w:rsidRPr="001005B7">
        <w:rPr>
          <w:i/>
          <w:iCs/>
          <w:color w:val="auto"/>
          <w:lang w:val="en-US"/>
        </w:rPr>
        <w:t xml:space="preserve"> </w:t>
      </w:r>
      <w:r w:rsidR="00D437D1" w:rsidRPr="001005B7">
        <w:rPr>
          <w:color w:val="auto"/>
          <w:lang w:val="en-US"/>
        </w:rPr>
        <w:t>[see below]</w:t>
      </w:r>
      <w:r w:rsidR="00393302" w:rsidRPr="001005B7">
        <w:rPr>
          <w:color w:val="auto"/>
          <w:lang w:val="en-US"/>
        </w:rPr>
        <w:t xml:space="preserve">, </w:t>
      </w:r>
      <w:r w:rsidR="00AB357D" w:rsidRPr="001005B7">
        <w:rPr>
          <w:color w:val="auto"/>
          <w:lang w:val="en-US"/>
        </w:rPr>
        <w:t>109</w:t>
      </w:r>
      <w:r w:rsidR="00F46900" w:rsidRPr="001005B7">
        <w:rPr>
          <w:color w:val="auto"/>
          <w:lang w:val="en-US"/>
        </w:rPr>
        <w:t>–</w:t>
      </w:r>
      <w:r w:rsidR="00AA76FE" w:rsidRPr="001005B7">
        <w:rPr>
          <w:color w:val="auto"/>
          <w:lang w:val="en-US"/>
        </w:rPr>
        <w:t>26</w:t>
      </w:r>
      <w:r w:rsidR="00393302" w:rsidRPr="001005B7">
        <w:rPr>
          <w:color w:val="auto"/>
          <w:lang w:val="en-US"/>
        </w:rPr>
        <w:t>.</w:t>
      </w:r>
    </w:p>
    <w:p w14:paraId="58CA8854" w14:textId="7A758A9A" w:rsidR="00E77A07" w:rsidRPr="001005B7" w:rsidRDefault="00E77A07" w:rsidP="006F5BB0">
      <w:pPr>
        <w:pStyle w:val="ListParagraph"/>
        <w:rPr>
          <w:color w:val="auto"/>
          <w:lang w:val="en-US"/>
        </w:rPr>
      </w:pPr>
      <w:r w:rsidRPr="001005B7">
        <w:rPr>
          <w:color w:val="auto"/>
          <w:lang w:val="en-US"/>
        </w:rPr>
        <w:t xml:space="preserve">Carvalho, Corrine </w:t>
      </w:r>
      <w:r w:rsidR="00193235" w:rsidRPr="001005B7">
        <w:rPr>
          <w:color w:val="auto"/>
          <w:lang w:val="en-US"/>
        </w:rPr>
        <w:t>L. “Sex and the Single Prophet: Marital Status and Gender</w:t>
      </w:r>
      <w:r w:rsidR="0097627D" w:rsidRPr="001005B7">
        <w:rPr>
          <w:color w:val="auto"/>
          <w:lang w:val="en-US"/>
        </w:rPr>
        <w:t xml:space="preserve"> in Jeremiah and Ezekiel.” In </w:t>
      </w:r>
      <w:r w:rsidR="00AA1837" w:rsidRPr="001005B7">
        <w:rPr>
          <w:color w:val="auto"/>
          <w:lang w:val="en-US"/>
        </w:rPr>
        <w:t xml:space="preserve">Jonathan </w:t>
      </w:r>
      <w:proofErr w:type="spellStart"/>
      <w:r w:rsidR="00AA1837" w:rsidRPr="001005B7">
        <w:rPr>
          <w:color w:val="auto"/>
          <w:lang w:val="en-US"/>
        </w:rPr>
        <w:t>Stökl</w:t>
      </w:r>
      <w:proofErr w:type="spellEnd"/>
      <w:r w:rsidR="0033352F" w:rsidRPr="001005B7">
        <w:rPr>
          <w:color w:val="auto"/>
          <w:lang w:val="en-US"/>
        </w:rPr>
        <w:t xml:space="preserve"> and </w:t>
      </w:r>
      <w:r w:rsidR="00AB3FAC" w:rsidRPr="001005B7">
        <w:rPr>
          <w:color w:val="auto"/>
          <w:lang w:val="en-US"/>
        </w:rPr>
        <w:t>Corrine</w:t>
      </w:r>
      <w:r w:rsidR="0033352F" w:rsidRPr="001005B7">
        <w:rPr>
          <w:color w:val="auto"/>
          <w:lang w:val="en-US"/>
        </w:rPr>
        <w:t xml:space="preserve"> L. </w:t>
      </w:r>
      <w:r w:rsidR="00AB3FAC" w:rsidRPr="001005B7">
        <w:rPr>
          <w:color w:val="auto"/>
          <w:lang w:val="en-US"/>
        </w:rPr>
        <w:t>C</w:t>
      </w:r>
      <w:r w:rsidR="0033352F" w:rsidRPr="001005B7">
        <w:rPr>
          <w:color w:val="auto"/>
          <w:lang w:val="en-US"/>
        </w:rPr>
        <w:t>arvalho</w:t>
      </w:r>
      <w:r w:rsidR="00AB3FAC" w:rsidRPr="001005B7">
        <w:rPr>
          <w:color w:val="auto"/>
          <w:lang w:val="en-US"/>
        </w:rPr>
        <w:t>,</w:t>
      </w:r>
      <w:r w:rsidR="00AA1837" w:rsidRPr="001005B7">
        <w:rPr>
          <w:color w:val="auto"/>
          <w:lang w:val="en-US"/>
        </w:rPr>
        <w:t xml:space="preserve"> ed., </w:t>
      </w:r>
      <w:r w:rsidR="00AA1837" w:rsidRPr="001005B7">
        <w:rPr>
          <w:i/>
          <w:iCs/>
          <w:color w:val="auto"/>
          <w:lang w:val="en-US"/>
        </w:rPr>
        <w:t>Prophets Male and Female: Gender and Prophecy In the Hebrew Bible, the Eastern Mediterranean, and the Ancient Near East</w:t>
      </w:r>
      <w:r w:rsidR="00AA1837" w:rsidRPr="001005B7">
        <w:rPr>
          <w:color w:val="auto"/>
          <w:lang w:val="en-US"/>
        </w:rPr>
        <w:t xml:space="preserve">, </w:t>
      </w:r>
      <w:r w:rsidR="00D40833" w:rsidRPr="001005B7">
        <w:rPr>
          <w:color w:val="auto"/>
          <w:lang w:val="en-US"/>
        </w:rPr>
        <w:t>237</w:t>
      </w:r>
      <w:r w:rsidR="00F46900" w:rsidRPr="001005B7">
        <w:rPr>
          <w:i/>
          <w:iCs/>
          <w:color w:val="auto"/>
          <w:lang w:val="en-US"/>
        </w:rPr>
        <w:t>–</w:t>
      </w:r>
      <w:r w:rsidR="00D40833" w:rsidRPr="001005B7">
        <w:rPr>
          <w:color w:val="auto"/>
          <w:lang w:val="en-US"/>
        </w:rPr>
        <w:t>67</w:t>
      </w:r>
      <w:r w:rsidR="00D40833" w:rsidRPr="001005B7">
        <w:rPr>
          <w:i/>
          <w:iCs/>
          <w:color w:val="auto"/>
          <w:lang w:val="en-US"/>
        </w:rPr>
        <w:t>.</w:t>
      </w:r>
      <w:r w:rsidR="00AA1837" w:rsidRPr="001005B7">
        <w:rPr>
          <w:color w:val="auto"/>
          <w:lang w:val="en-US"/>
        </w:rPr>
        <w:t xml:space="preserve"> </w:t>
      </w:r>
      <w:r w:rsidR="00EB47DD" w:rsidRPr="001005B7">
        <w:rPr>
          <w:color w:val="auto"/>
          <w:lang w:val="en-US"/>
        </w:rPr>
        <w:t>A</w:t>
      </w:r>
      <w:r w:rsidR="005632D3" w:rsidRPr="001005B7">
        <w:rPr>
          <w:color w:val="auto"/>
          <w:lang w:val="en-US"/>
        </w:rPr>
        <w:t>IIL</w:t>
      </w:r>
      <w:r w:rsidR="00EB47DD" w:rsidRPr="001005B7">
        <w:rPr>
          <w:color w:val="auto"/>
          <w:lang w:val="en-US"/>
        </w:rPr>
        <w:t xml:space="preserve"> 15. </w:t>
      </w:r>
      <w:r w:rsidR="00AA1837" w:rsidRPr="001005B7">
        <w:rPr>
          <w:color w:val="auto"/>
          <w:lang w:val="en-US"/>
        </w:rPr>
        <w:t>Atlanta: SBL, 2013</w:t>
      </w:r>
      <w:r w:rsidR="00233AB4" w:rsidRPr="001005B7">
        <w:rPr>
          <w:color w:val="auto"/>
          <w:lang w:val="en-US"/>
        </w:rPr>
        <w:t>.</w:t>
      </w:r>
    </w:p>
    <w:p w14:paraId="5BF33694" w14:textId="6BDC72F9" w:rsidR="008D375A" w:rsidRPr="001005B7" w:rsidRDefault="008D375A" w:rsidP="006F5BB0">
      <w:pPr>
        <w:pStyle w:val="ListParagraph"/>
        <w:rPr>
          <w:color w:val="auto"/>
          <w:lang w:val="en-US"/>
        </w:rPr>
      </w:pPr>
      <w:r w:rsidRPr="001005B7">
        <w:rPr>
          <w:color w:val="auto"/>
          <w:lang w:val="en-US"/>
        </w:rPr>
        <w:t xml:space="preserve">Chapman, Colin. </w:t>
      </w:r>
      <w:r w:rsidRPr="001005B7">
        <w:rPr>
          <w:i/>
          <w:iCs/>
          <w:color w:val="auto"/>
          <w:lang w:val="en-US"/>
        </w:rPr>
        <w:t>Prophecy Fulfilled Toda</w:t>
      </w:r>
      <w:r w:rsidR="00722AAD" w:rsidRPr="001005B7">
        <w:rPr>
          <w:i/>
          <w:iCs/>
          <w:color w:val="auto"/>
          <w:lang w:val="en-US"/>
        </w:rPr>
        <w:t xml:space="preserve">y? Does Ezekiel Have </w:t>
      </w:r>
      <w:r w:rsidR="007B0072" w:rsidRPr="001005B7">
        <w:rPr>
          <w:i/>
          <w:iCs/>
          <w:color w:val="auto"/>
          <w:lang w:val="en-US"/>
        </w:rPr>
        <w:t>Anything</w:t>
      </w:r>
      <w:r w:rsidR="00722AAD" w:rsidRPr="001005B7">
        <w:rPr>
          <w:i/>
          <w:iCs/>
          <w:color w:val="auto"/>
          <w:lang w:val="en-US"/>
        </w:rPr>
        <w:t xml:space="preserve"> to S</w:t>
      </w:r>
      <w:r w:rsidR="007B0072" w:rsidRPr="001005B7">
        <w:rPr>
          <w:i/>
          <w:iCs/>
          <w:color w:val="auto"/>
          <w:lang w:val="en-US"/>
        </w:rPr>
        <w:t>ay about the</w:t>
      </w:r>
      <w:r w:rsidR="00722AAD" w:rsidRPr="001005B7">
        <w:rPr>
          <w:i/>
          <w:iCs/>
          <w:color w:val="auto"/>
          <w:lang w:val="en-US"/>
        </w:rPr>
        <w:t xml:space="preserve"> Modern State of Israel?</w:t>
      </w:r>
      <w:r w:rsidRPr="001005B7">
        <w:rPr>
          <w:color w:val="auto"/>
          <w:lang w:val="en-US"/>
        </w:rPr>
        <w:t xml:space="preserve"> Cambridge: Grove Books, 2018.</w:t>
      </w:r>
    </w:p>
    <w:p w14:paraId="7E9498E5" w14:textId="77777777" w:rsidR="00A150A1" w:rsidRPr="001005B7" w:rsidRDefault="00A150A1" w:rsidP="00A150A1">
      <w:pPr>
        <w:pStyle w:val="ListParagraph"/>
        <w:rPr>
          <w:color w:val="auto"/>
          <w:lang w:val="en-US"/>
        </w:rPr>
      </w:pPr>
      <w:r w:rsidRPr="001005B7">
        <w:rPr>
          <w:color w:val="auto"/>
          <w:lang w:val="en-US"/>
        </w:rPr>
        <w:t xml:space="preserve">Cook, Christopher C. H. “Psychiatry in Scripture: Sacred Texts and Psychopathology.” </w:t>
      </w:r>
      <w:r w:rsidRPr="001005B7">
        <w:rPr>
          <w:i/>
          <w:iCs/>
          <w:color w:val="auto"/>
          <w:lang w:val="en-US"/>
        </w:rPr>
        <w:t>The</w:t>
      </w:r>
      <w:r w:rsidRPr="001005B7">
        <w:rPr>
          <w:color w:val="auto"/>
          <w:lang w:val="en-US"/>
        </w:rPr>
        <w:t xml:space="preserve"> </w:t>
      </w:r>
      <w:r w:rsidRPr="001005B7">
        <w:rPr>
          <w:i/>
          <w:iCs/>
          <w:color w:val="auto"/>
          <w:lang w:val="en-US"/>
        </w:rPr>
        <w:t>Psychiatrist</w:t>
      </w:r>
      <w:r w:rsidRPr="001005B7">
        <w:rPr>
          <w:color w:val="auto"/>
          <w:lang w:val="en-US"/>
        </w:rPr>
        <w:t xml:space="preserve"> 36/6 (2012): 225-229.</w:t>
      </w:r>
    </w:p>
    <w:p w14:paraId="166291B6" w14:textId="0CACCAF8" w:rsidR="00CD37B4" w:rsidRPr="001005B7" w:rsidRDefault="00E166F9" w:rsidP="006F5BB0">
      <w:pPr>
        <w:pStyle w:val="ListParagraph"/>
        <w:rPr>
          <w:color w:val="auto"/>
          <w:lang w:val="en-US"/>
        </w:rPr>
      </w:pPr>
      <w:r w:rsidRPr="001005B7">
        <w:rPr>
          <w:color w:val="auto"/>
          <w:lang w:val="en-US"/>
        </w:rPr>
        <w:t xml:space="preserve">Cook, Stephen L., and Corrine L. Patton, ed., </w:t>
      </w:r>
      <w:r w:rsidR="00CD37B4" w:rsidRPr="001005B7">
        <w:rPr>
          <w:i/>
          <w:iCs/>
          <w:color w:val="auto"/>
          <w:lang w:val="en-US"/>
        </w:rPr>
        <w:t xml:space="preserve">Ezekiel’s Hierarchical World: </w:t>
      </w:r>
      <w:r w:rsidR="00EB5360" w:rsidRPr="001005B7">
        <w:rPr>
          <w:i/>
          <w:iCs/>
          <w:color w:val="auto"/>
          <w:lang w:val="en-US"/>
        </w:rPr>
        <w:t>Wrestling</w:t>
      </w:r>
      <w:r w:rsidR="00CD37B4" w:rsidRPr="001005B7">
        <w:rPr>
          <w:i/>
          <w:iCs/>
          <w:color w:val="auto"/>
          <w:lang w:val="en-US"/>
        </w:rPr>
        <w:t xml:space="preserve"> with a Tiered Reality</w:t>
      </w:r>
      <w:r w:rsidR="00CD37B4" w:rsidRPr="001005B7">
        <w:rPr>
          <w:color w:val="auto"/>
          <w:lang w:val="en-US"/>
        </w:rPr>
        <w:t xml:space="preserve">. </w:t>
      </w:r>
      <w:proofErr w:type="spellStart"/>
      <w:r w:rsidR="00895B86" w:rsidRPr="001005B7">
        <w:rPr>
          <w:color w:val="auto"/>
          <w:lang w:val="en-US"/>
        </w:rPr>
        <w:t>SBLSymS</w:t>
      </w:r>
      <w:proofErr w:type="spellEnd"/>
      <w:r w:rsidR="00895B86" w:rsidRPr="001005B7">
        <w:rPr>
          <w:color w:val="auto"/>
          <w:lang w:val="en-US"/>
        </w:rPr>
        <w:t xml:space="preserve"> 31. Atlanta: SBL, </w:t>
      </w:r>
      <w:r w:rsidR="001A1B1F" w:rsidRPr="001005B7">
        <w:rPr>
          <w:color w:val="auto"/>
          <w:lang w:val="en-US"/>
        </w:rPr>
        <w:t>2004.</w:t>
      </w:r>
    </w:p>
    <w:p w14:paraId="0876C7A6" w14:textId="10BBBD2E" w:rsidR="000C31CA" w:rsidRPr="001005B7" w:rsidRDefault="000C31CA" w:rsidP="006F5BB0">
      <w:pPr>
        <w:pStyle w:val="ListParagraph"/>
        <w:rPr>
          <w:color w:val="auto"/>
          <w:lang w:val="en-US"/>
        </w:rPr>
      </w:pPr>
      <w:r w:rsidRPr="001005B7">
        <w:rPr>
          <w:color w:val="auto"/>
          <w:lang w:val="en-US"/>
        </w:rPr>
        <w:t>Crouch, C</w:t>
      </w:r>
      <w:r w:rsidR="007E1AE7" w:rsidRPr="001005B7">
        <w:rPr>
          <w:color w:val="auto"/>
          <w:lang w:val="en-US"/>
        </w:rPr>
        <w:t>arly</w:t>
      </w:r>
      <w:r w:rsidRPr="001005B7">
        <w:rPr>
          <w:color w:val="auto"/>
          <w:lang w:val="en-US"/>
        </w:rPr>
        <w:t xml:space="preserve"> L. “Before and </w:t>
      </w:r>
      <w:r w:rsidR="004B5D18" w:rsidRPr="001005B7">
        <w:rPr>
          <w:color w:val="auto"/>
          <w:lang w:val="en-US"/>
        </w:rPr>
        <w:t>after Exile: Involuntary Migration and Ideas of Israel.”</w:t>
      </w:r>
      <w:r w:rsidR="00CE116D" w:rsidRPr="001005B7">
        <w:rPr>
          <w:color w:val="auto"/>
          <w:lang w:val="en-US"/>
        </w:rPr>
        <w:t xml:space="preserve"> </w:t>
      </w:r>
      <w:proofErr w:type="spellStart"/>
      <w:r w:rsidR="00CE116D" w:rsidRPr="001005B7">
        <w:rPr>
          <w:i/>
          <w:iCs/>
          <w:color w:val="auto"/>
          <w:lang w:val="en-US"/>
        </w:rPr>
        <w:t>HeBAI</w:t>
      </w:r>
      <w:proofErr w:type="spellEnd"/>
      <w:r w:rsidR="00CE116D" w:rsidRPr="001005B7">
        <w:rPr>
          <w:color w:val="auto"/>
          <w:lang w:val="en-US"/>
        </w:rPr>
        <w:t xml:space="preserve"> 7 (2018): 334–358.</w:t>
      </w:r>
    </w:p>
    <w:p w14:paraId="21896B4E" w14:textId="3F6AD14A" w:rsidR="008A201E" w:rsidRPr="001005B7" w:rsidRDefault="00082168" w:rsidP="006F5BB0">
      <w:pPr>
        <w:pStyle w:val="ListParagraph"/>
        <w:rPr>
          <w:color w:val="auto"/>
          <w:lang w:val="en-US"/>
        </w:rPr>
      </w:pPr>
      <w:r w:rsidRPr="001005B7">
        <w:rPr>
          <w:color w:val="auto"/>
          <w:lang w:val="en-US"/>
        </w:rPr>
        <w:t xml:space="preserve">––– </w:t>
      </w:r>
      <w:r w:rsidR="008C4BF8" w:rsidRPr="001005B7">
        <w:rPr>
          <w:i/>
          <w:iCs/>
          <w:color w:val="auto"/>
          <w:lang w:val="en-US"/>
        </w:rPr>
        <w:t>Israel and Judah Redefined: Migration, Trauma, and Empire in the Sixth Century BCE</w:t>
      </w:r>
      <w:r w:rsidR="008A201E" w:rsidRPr="001005B7">
        <w:rPr>
          <w:i/>
          <w:iCs/>
          <w:color w:val="auto"/>
          <w:lang w:val="en-US"/>
        </w:rPr>
        <w:t>.</w:t>
      </w:r>
      <w:r w:rsidR="007F1B42" w:rsidRPr="001005B7">
        <w:rPr>
          <w:i/>
          <w:iCs/>
          <w:color w:val="auto"/>
          <w:lang w:val="en-US"/>
        </w:rPr>
        <w:t xml:space="preserve"> </w:t>
      </w:r>
      <w:r w:rsidR="008A201E" w:rsidRPr="001005B7">
        <w:rPr>
          <w:color w:val="auto"/>
          <w:lang w:val="en-US"/>
        </w:rPr>
        <w:t xml:space="preserve">Cambridge: </w:t>
      </w:r>
      <w:proofErr w:type="spellStart"/>
      <w:r w:rsidR="008A201E" w:rsidRPr="001005B7">
        <w:rPr>
          <w:color w:val="auto"/>
          <w:lang w:val="en-US"/>
        </w:rPr>
        <w:t>Campridge</w:t>
      </w:r>
      <w:proofErr w:type="spellEnd"/>
      <w:r w:rsidR="008A201E" w:rsidRPr="001005B7">
        <w:rPr>
          <w:color w:val="auto"/>
          <w:lang w:val="en-US"/>
        </w:rPr>
        <w:t xml:space="preserve"> University Press, 2021.</w:t>
      </w:r>
    </w:p>
    <w:p w14:paraId="592DC472" w14:textId="06521310" w:rsidR="00651133" w:rsidRPr="001005B7" w:rsidRDefault="001E420C" w:rsidP="006F5BB0">
      <w:pPr>
        <w:pStyle w:val="ListParagraph"/>
        <w:rPr>
          <w:color w:val="auto"/>
          <w:lang w:val="en-US"/>
        </w:rPr>
      </w:pPr>
      <w:r w:rsidRPr="001005B7">
        <w:rPr>
          <w:color w:val="auto"/>
          <w:lang w:val="en-US"/>
        </w:rPr>
        <w:t xml:space="preserve">Church, </w:t>
      </w:r>
      <w:r w:rsidR="008B71FD" w:rsidRPr="001005B7">
        <w:rPr>
          <w:color w:val="auto"/>
          <w:lang w:val="en-US"/>
        </w:rPr>
        <w:t xml:space="preserve">Philip, Peter Walker, </w:t>
      </w:r>
      <w:r w:rsidR="00B836DF" w:rsidRPr="001005B7">
        <w:rPr>
          <w:color w:val="auto"/>
          <w:lang w:val="en-US"/>
        </w:rPr>
        <w:t xml:space="preserve">Tim </w:t>
      </w:r>
      <w:proofErr w:type="spellStart"/>
      <w:r w:rsidR="00B836DF" w:rsidRPr="001005B7">
        <w:rPr>
          <w:color w:val="auto"/>
          <w:lang w:val="en-US"/>
        </w:rPr>
        <w:t>Bulkeley</w:t>
      </w:r>
      <w:proofErr w:type="spellEnd"/>
      <w:r w:rsidR="00B836DF" w:rsidRPr="001005B7">
        <w:rPr>
          <w:color w:val="auto"/>
          <w:lang w:val="en-US"/>
        </w:rPr>
        <w:t xml:space="preserve">, and Tim Meadowcroft, ed. </w:t>
      </w:r>
      <w:r w:rsidR="00651133" w:rsidRPr="001005B7">
        <w:rPr>
          <w:i/>
          <w:iCs/>
          <w:color w:val="auto"/>
          <w:lang w:val="en-US"/>
        </w:rPr>
        <w:t xml:space="preserve">The </w:t>
      </w:r>
      <w:r w:rsidR="00814F0B" w:rsidRPr="001005B7">
        <w:rPr>
          <w:i/>
          <w:iCs/>
          <w:color w:val="auto"/>
          <w:lang w:val="en-US"/>
        </w:rPr>
        <w:t>G</w:t>
      </w:r>
      <w:r w:rsidR="00651133" w:rsidRPr="001005B7">
        <w:rPr>
          <w:i/>
          <w:iCs/>
          <w:color w:val="auto"/>
          <w:lang w:val="en-US"/>
        </w:rPr>
        <w:t xml:space="preserve">ospel and the </w:t>
      </w:r>
      <w:r w:rsidR="00814F0B" w:rsidRPr="001005B7">
        <w:rPr>
          <w:i/>
          <w:iCs/>
          <w:color w:val="auto"/>
          <w:lang w:val="en-US"/>
        </w:rPr>
        <w:t>L</w:t>
      </w:r>
      <w:r w:rsidR="00651133" w:rsidRPr="001005B7">
        <w:rPr>
          <w:i/>
          <w:iCs/>
          <w:color w:val="auto"/>
          <w:lang w:val="en-US"/>
        </w:rPr>
        <w:t xml:space="preserve">and of </w:t>
      </w:r>
      <w:r w:rsidR="00814F0B" w:rsidRPr="001005B7">
        <w:rPr>
          <w:i/>
          <w:iCs/>
          <w:color w:val="auto"/>
          <w:lang w:val="en-US"/>
        </w:rPr>
        <w:t>P</w:t>
      </w:r>
      <w:r w:rsidR="00651133" w:rsidRPr="001005B7">
        <w:rPr>
          <w:i/>
          <w:iCs/>
          <w:color w:val="auto"/>
          <w:lang w:val="en-US"/>
        </w:rPr>
        <w:t>romise: </w:t>
      </w:r>
      <w:r w:rsidR="00651133" w:rsidRPr="001005B7">
        <w:rPr>
          <w:rStyle w:val="Strong"/>
          <w:b w:val="0"/>
          <w:bCs w:val="0"/>
          <w:i/>
          <w:iCs/>
          <w:color w:val="auto"/>
          <w:lang w:val="en-US"/>
        </w:rPr>
        <w:t>Christian</w:t>
      </w:r>
      <w:r w:rsidR="00651133" w:rsidRPr="001005B7">
        <w:rPr>
          <w:i/>
          <w:iCs/>
          <w:color w:val="auto"/>
          <w:lang w:val="en-US"/>
        </w:rPr>
        <w:t> </w:t>
      </w:r>
      <w:r w:rsidR="00814F0B" w:rsidRPr="001005B7">
        <w:rPr>
          <w:i/>
          <w:iCs/>
          <w:color w:val="auto"/>
          <w:lang w:val="en-US"/>
        </w:rPr>
        <w:t>A</w:t>
      </w:r>
      <w:r w:rsidR="00651133" w:rsidRPr="001005B7">
        <w:rPr>
          <w:i/>
          <w:iCs/>
          <w:color w:val="auto"/>
          <w:lang w:val="en-US"/>
        </w:rPr>
        <w:t xml:space="preserve">pproaches to the </w:t>
      </w:r>
      <w:r w:rsidR="00814F0B" w:rsidRPr="001005B7">
        <w:rPr>
          <w:i/>
          <w:iCs/>
          <w:color w:val="auto"/>
          <w:lang w:val="en-US"/>
        </w:rPr>
        <w:t>L</w:t>
      </w:r>
      <w:r w:rsidR="00651133" w:rsidRPr="001005B7">
        <w:rPr>
          <w:i/>
          <w:iCs/>
          <w:color w:val="auto"/>
          <w:lang w:val="en-US"/>
        </w:rPr>
        <w:t>and of the Bible</w:t>
      </w:r>
      <w:r w:rsidR="00814F0B" w:rsidRPr="001005B7">
        <w:rPr>
          <w:color w:val="auto"/>
          <w:lang w:val="en-US"/>
        </w:rPr>
        <w:t xml:space="preserve">. </w:t>
      </w:r>
      <w:r w:rsidR="00651133" w:rsidRPr="001005B7">
        <w:rPr>
          <w:rStyle w:val="muitypography-root"/>
          <w:color w:val="auto"/>
          <w:lang w:val="en-US"/>
        </w:rPr>
        <w:t>Eugene, O</w:t>
      </w:r>
      <w:r w:rsidR="00BA50DA" w:rsidRPr="001005B7">
        <w:rPr>
          <w:rStyle w:val="muitypography-root"/>
          <w:color w:val="auto"/>
          <w:lang w:val="en-US"/>
        </w:rPr>
        <w:t>R</w:t>
      </w:r>
      <w:r w:rsidR="00651133" w:rsidRPr="001005B7">
        <w:rPr>
          <w:rStyle w:val="muitypography-root"/>
          <w:color w:val="auto"/>
          <w:lang w:val="en-US"/>
        </w:rPr>
        <w:t>: Pickwick, 2011.</w:t>
      </w:r>
    </w:p>
    <w:p w14:paraId="07982F46" w14:textId="5305A7EE" w:rsidR="00A60962" w:rsidRPr="001005B7" w:rsidRDefault="00A60962" w:rsidP="006F5BB0">
      <w:pPr>
        <w:pStyle w:val="ListParagraph"/>
        <w:rPr>
          <w:color w:val="auto"/>
          <w:lang w:val="en-US"/>
        </w:rPr>
      </w:pPr>
      <w:r w:rsidRPr="001005B7">
        <w:rPr>
          <w:color w:val="auto"/>
          <w:lang w:val="en-US"/>
        </w:rPr>
        <w:t xml:space="preserve">von </w:t>
      </w:r>
      <w:proofErr w:type="spellStart"/>
      <w:r w:rsidRPr="001005B7">
        <w:rPr>
          <w:color w:val="auto"/>
          <w:lang w:val="en-US"/>
        </w:rPr>
        <w:t>Däniken</w:t>
      </w:r>
      <w:proofErr w:type="spellEnd"/>
      <w:r w:rsidRPr="001005B7">
        <w:rPr>
          <w:color w:val="auto"/>
          <w:lang w:val="en-US"/>
        </w:rPr>
        <w:t xml:space="preserve">, Erich. </w:t>
      </w:r>
      <w:r w:rsidRPr="001005B7">
        <w:rPr>
          <w:i/>
          <w:iCs/>
          <w:color w:val="auto"/>
          <w:lang w:val="en-US"/>
        </w:rPr>
        <w:t>Chari</w:t>
      </w:r>
      <w:r w:rsidR="008973F1" w:rsidRPr="001005B7">
        <w:rPr>
          <w:i/>
          <w:iCs/>
          <w:color w:val="auto"/>
          <w:lang w:val="en-US"/>
        </w:rPr>
        <w:t>ots of the Gods</w:t>
      </w:r>
      <w:r w:rsidR="00B363F0" w:rsidRPr="001005B7">
        <w:rPr>
          <w:i/>
          <w:iCs/>
          <w:color w:val="auto"/>
          <w:lang w:val="en-US"/>
        </w:rPr>
        <w:t>: Unsolved Mysteries of the Past</w:t>
      </w:r>
      <w:r w:rsidR="008973F1" w:rsidRPr="001005B7">
        <w:rPr>
          <w:color w:val="auto"/>
          <w:lang w:val="en-US"/>
        </w:rPr>
        <w:t xml:space="preserve">. </w:t>
      </w:r>
      <w:r w:rsidR="00E00A1B" w:rsidRPr="001005B7">
        <w:rPr>
          <w:color w:val="auto"/>
          <w:lang w:val="en-US"/>
        </w:rPr>
        <w:t>London: Souvenir, 1969.</w:t>
      </w:r>
    </w:p>
    <w:p w14:paraId="264812DE" w14:textId="50233402" w:rsidR="00865CEB" w:rsidRPr="001005B7" w:rsidRDefault="0075287A" w:rsidP="006F5BB0">
      <w:pPr>
        <w:pStyle w:val="ListParagraph"/>
        <w:rPr>
          <w:color w:val="auto"/>
          <w:lang w:val="en-US"/>
        </w:rPr>
      </w:pPr>
      <w:proofErr w:type="spellStart"/>
      <w:r w:rsidRPr="001005B7">
        <w:rPr>
          <w:color w:val="auto"/>
          <w:lang w:val="en-US"/>
        </w:rPr>
        <w:t>Darr</w:t>
      </w:r>
      <w:proofErr w:type="spellEnd"/>
      <w:r w:rsidRPr="001005B7">
        <w:rPr>
          <w:color w:val="auto"/>
          <w:lang w:val="en-US"/>
        </w:rPr>
        <w:t xml:space="preserve">, Katheryn </w:t>
      </w:r>
      <w:proofErr w:type="spellStart"/>
      <w:r w:rsidRPr="001005B7">
        <w:rPr>
          <w:color w:val="auto"/>
          <w:lang w:val="en-US"/>
        </w:rPr>
        <w:t>Pfisterer</w:t>
      </w:r>
      <w:proofErr w:type="spellEnd"/>
      <w:r w:rsidRPr="001005B7">
        <w:rPr>
          <w:color w:val="auto"/>
          <w:lang w:val="en-US"/>
        </w:rPr>
        <w:t xml:space="preserve">. </w:t>
      </w:r>
      <w:r w:rsidR="002C48DA" w:rsidRPr="001005B7">
        <w:rPr>
          <w:color w:val="auto"/>
          <w:lang w:val="en-US"/>
        </w:rPr>
        <w:t xml:space="preserve">“Ezekiel among the Critics.” </w:t>
      </w:r>
      <w:r w:rsidR="002C48DA" w:rsidRPr="001005B7">
        <w:rPr>
          <w:i/>
          <w:iCs/>
          <w:color w:val="auto"/>
          <w:lang w:val="en-US"/>
        </w:rPr>
        <w:t>Currents in Research: Biblical Studies</w:t>
      </w:r>
      <w:r w:rsidR="006D3BDC" w:rsidRPr="001005B7">
        <w:rPr>
          <w:color w:val="auto"/>
          <w:lang w:val="en-US"/>
        </w:rPr>
        <w:t xml:space="preserve"> 2 (1994): </w:t>
      </w:r>
      <w:r w:rsidR="00A8206D" w:rsidRPr="001005B7">
        <w:rPr>
          <w:color w:val="auto"/>
          <w:lang w:val="en-US"/>
        </w:rPr>
        <w:t>9</w:t>
      </w:r>
      <w:r w:rsidR="00F46900" w:rsidRPr="001005B7">
        <w:rPr>
          <w:color w:val="auto"/>
          <w:lang w:val="en-US"/>
        </w:rPr>
        <w:t>–</w:t>
      </w:r>
      <w:r w:rsidR="00A8206D" w:rsidRPr="001005B7">
        <w:rPr>
          <w:color w:val="auto"/>
          <w:lang w:val="en-US"/>
        </w:rPr>
        <w:t>24.</w:t>
      </w:r>
    </w:p>
    <w:p w14:paraId="50FB9A1D" w14:textId="2CF3376D" w:rsidR="00181AA4" w:rsidRPr="001005B7" w:rsidRDefault="002C48DA" w:rsidP="006F5BB0">
      <w:pPr>
        <w:pStyle w:val="ListParagraph"/>
        <w:rPr>
          <w:color w:val="auto"/>
          <w:lang w:val="en-US"/>
        </w:rPr>
      </w:pPr>
      <w:r w:rsidRPr="001005B7">
        <w:rPr>
          <w:color w:val="auto"/>
          <w:lang w:val="en-US"/>
        </w:rPr>
        <w:t xml:space="preserve">––– </w:t>
      </w:r>
      <w:r w:rsidR="00181AA4" w:rsidRPr="001005B7">
        <w:rPr>
          <w:color w:val="auto"/>
          <w:lang w:val="en-US"/>
        </w:rPr>
        <w:t xml:space="preserve">“The God Ezekiel Envisions.” In </w:t>
      </w:r>
      <w:r w:rsidR="0009515F" w:rsidRPr="001005B7">
        <w:rPr>
          <w:color w:val="auto"/>
          <w:shd w:val="clear" w:color="auto" w:fill="FFFFFF"/>
          <w:lang w:val="en-US"/>
        </w:rPr>
        <w:t>Paul M. Joyce and Dalit Rom-</w:t>
      </w:r>
      <w:proofErr w:type="spellStart"/>
      <w:r w:rsidR="0009515F" w:rsidRPr="001005B7">
        <w:rPr>
          <w:color w:val="auto"/>
          <w:shd w:val="clear" w:color="auto" w:fill="FFFFFF"/>
          <w:lang w:val="en-US"/>
        </w:rPr>
        <w:t>Shiloni</w:t>
      </w:r>
      <w:proofErr w:type="spellEnd"/>
      <w:r w:rsidR="00284E0A" w:rsidRPr="001005B7">
        <w:rPr>
          <w:color w:val="auto"/>
          <w:shd w:val="clear" w:color="auto" w:fill="FFFFFF"/>
          <w:lang w:val="en-US"/>
        </w:rPr>
        <w:t>, ed.,</w:t>
      </w:r>
      <w:r w:rsidR="002429DA" w:rsidRPr="001005B7">
        <w:rPr>
          <w:color w:val="auto"/>
          <w:shd w:val="clear" w:color="auto" w:fill="FFFFFF"/>
          <w:lang w:val="en-US"/>
        </w:rPr>
        <w:t xml:space="preserve"> </w:t>
      </w:r>
      <w:r w:rsidR="00790560" w:rsidRPr="001005B7">
        <w:rPr>
          <w:i/>
          <w:iCs/>
          <w:color w:val="auto"/>
          <w:lang w:val="en-US"/>
        </w:rPr>
        <w:t>The God Ezekiel Creates,</w:t>
      </w:r>
      <w:r w:rsidR="00391440">
        <w:rPr>
          <w:i/>
          <w:iCs/>
          <w:color w:val="auto"/>
          <w:lang w:val="en-US"/>
        </w:rPr>
        <w:t xml:space="preserve"> </w:t>
      </w:r>
      <w:r w:rsidR="00327D2B" w:rsidRPr="001005B7">
        <w:rPr>
          <w:color w:val="auto"/>
          <w:lang w:val="en-US"/>
        </w:rPr>
        <w:t>1</w:t>
      </w:r>
      <w:r w:rsidR="00F46900" w:rsidRPr="001005B7">
        <w:rPr>
          <w:color w:val="auto"/>
          <w:lang w:val="en-US"/>
        </w:rPr>
        <w:t>–</w:t>
      </w:r>
      <w:r w:rsidR="00327D2B" w:rsidRPr="001005B7">
        <w:rPr>
          <w:color w:val="auto"/>
          <w:lang w:val="en-US"/>
        </w:rPr>
        <w:t xml:space="preserve">23. </w:t>
      </w:r>
      <w:r w:rsidR="00206C2E" w:rsidRPr="001005B7">
        <w:rPr>
          <w:color w:val="auto"/>
          <w:lang w:val="en-US"/>
        </w:rPr>
        <w:t>LHBOTS 607. London: T&amp;T Clark, 2015.</w:t>
      </w:r>
    </w:p>
    <w:p w14:paraId="36B13216" w14:textId="7EFF4DD8" w:rsidR="004E3ADC" w:rsidRPr="001005B7" w:rsidRDefault="004E3ADC" w:rsidP="004E3ADC">
      <w:pPr>
        <w:tabs>
          <w:tab w:val="left" w:pos="900"/>
        </w:tabs>
        <w:ind w:left="900" w:hanging="900"/>
        <w:contextualSpacing/>
      </w:pPr>
      <w:r w:rsidRPr="001005B7">
        <w:t xml:space="preserve">Davidson, Steed </w:t>
      </w:r>
      <w:proofErr w:type="spellStart"/>
      <w:r w:rsidRPr="001005B7">
        <w:t>Vernyl</w:t>
      </w:r>
      <w:proofErr w:type="spellEnd"/>
      <w:r w:rsidRPr="001005B7">
        <w:t xml:space="preserve"> Davidson. “Ezekiel Imperialized Geographies in the Nation Oracles,</w:t>
      </w:r>
      <w:r w:rsidR="00117CB1">
        <w:t>”</w:t>
      </w:r>
      <w:r w:rsidRPr="001005B7">
        <w:t xml:space="preserve"> in </w:t>
      </w:r>
      <w:r w:rsidRPr="001005B7">
        <w:rPr>
          <w:i/>
          <w:iCs/>
        </w:rPr>
        <w:t>O</w:t>
      </w:r>
      <w:r w:rsidR="00117CB1">
        <w:rPr>
          <w:i/>
          <w:iCs/>
        </w:rPr>
        <w:t>H</w:t>
      </w:r>
      <w:r w:rsidRPr="001005B7">
        <w:rPr>
          <w:i/>
          <w:iCs/>
        </w:rPr>
        <w:t>E</w:t>
      </w:r>
      <w:r w:rsidRPr="001005B7">
        <w:t>.</w:t>
      </w:r>
    </w:p>
    <w:p w14:paraId="1EAC5B98" w14:textId="6E890984" w:rsidR="006242EC" w:rsidRPr="001005B7" w:rsidRDefault="006242EC" w:rsidP="006F5BB0">
      <w:pPr>
        <w:pStyle w:val="ListParagraph"/>
        <w:rPr>
          <w:color w:val="auto"/>
          <w:lang w:val="en-US"/>
        </w:rPr>
      </w:pPr>
      <w:r w:rsidRPr="001005B7">
        <w:rPr>
          <w:color w:val="auto"/>
          <w:lang w:val="en-US"/>
        </w:rPr>
        <w:t>Davidson, R</w:t>
      </w:r>
      <w:r w:rsidR="00FB6F8F" w:rsidRPr="001005B7">
        <w:rPr>
          <w:color w:val="auto"/>
          <w:lang w:val="en-US"/>
        </w:rPr>
        <w:t>ichard M. “</w:t>
      </w:r>
      <w:r w:rsidRPr="001005B7">
        <w:rPr>
          <w:color w:val="auto"/>
          <w:lang w:val="en-US"/>
        </w:rPr>
        <w:t>The Chiastic Literary Structure of</w:t>
      </w:r>
      <w:r w:rsidR="00FB6F8F" w:rsidRPr="001005B7">
        <w:rPr>
          <w:color w:val="auto"/>
          <w:lang w:val="en-US"/>
        </w:rPr>
        <w:t xml:space="preserve"> </w:t>
      </w:r>
      <w:r w:rsidRPr="001005B7">
        <w:rPr>
          <w:color w:val="auto"/>
          <w:lang w:val="en-US"/>
        </w:rPr>
        <w:t>the Book o</w:t>
      </w:r>
      <w:r w:rsidR="0053161F" w:rsidRPr="001005B7">
        <w:rPr>
          <w:color w:val="auto"/>
          <w:lang w:val="en-US"/>
        </w:rPr>
        <w:t xml:space="preserve">f </w:t>
      </w:r>
      <w:r w:rsidRPr="001005B7">
        <w:rPr>
          <w:color w:val="auto"/>
          <w:lang w:val="en-US"/>
        </w:rPr>
        <w:t>Ezekiel</w:t>
      </w:r>
      <w:r w:rsidR="00FB6F8F" w:rsidRPr="001005B7">
        <w:rPr>
          <w:color w:val="auto"/>
          <w:lang w:val="en-US"/>
        </w:rPr>
        <w:t xml:space="preserve">.” In </w:t>
      </w:r>
      <w:r w:rsidR="00F63688" w:rsidRPr="001005B7">
        <w:rPr>
          <w:i/>
          <w:iCs/>
          <w:color w:val="auto"/>
          <w:lang w:val="en-US"/>
        </w:rPr>
        <w:t xml:space="preserve">To Understand the </w:t>
      </w:r>
      <w:r w:rsidR="00862B7E" w:rsidRPr="001005B7">
        <w:rPr>
          <w:i/>
          <w:iCs/>
          <w:color w:val="auto"/>
          <w:lang w:val="en-US"/>
        </w:rPr>
        <w:t>Scriptures”: Essays in Honor of William H. Shea</w:t>
      </w:r>
      <w:r w:rsidR="00862B7E" w:rsidRPr="001005B7">
        <w:rPr>
          <w:color w:val="auto"/>
          <w:lang w:val="en-US"/>
        </w:rPr>
        <w:t xml:space="preserve">, </w:t>
      </w:r>
      <w:r w:rsidR="00171A01" w:rsidRPr="001005B7">
        <w:rPr>
          <w:color w:val="auto"/>
          <w:lang w:val="en-US"/>
        </w:rPr>
        <w:t>71</w:t>
      </w:r>
      <w:r w:rsidR="00F46900" w:rsidRPr="001005B7">
        <w:rPr>
          <w:color w:val="auto"/>
          <w:lang w:val="en-US"/>
        </w:rPr>
        <w:t>–</w:t>
      </w:r>
      <w:r w:rsidR="00171A01" w:rsidRPr="001005B7">
        <w:rPr>
          <w:color w:val="auto"/>
          <w:lang w:val="en-US"/>
        </w:rPr>
        <w:t>93.</w:t>
      </w:r>
      <w:r w:rsidR="00862B7E" w:rsidRPr="001005B7">
        <w:rPr>
          <w:color w:val="auto"/>
          <w:lang w:val="en-US"/>
        </w:rPr>
        <w:t xml:space="preserve"> Berrien Springs, MI: Institute of Archaeology, 199</w:t>
      </w:r>
      <w:r w:rsidR="00171A01" w:rsidRPr="001005B7">
        <w:rPr>
          <w:color w:val="auto"/>
          <w:lang w:val="en-US"/>
        </w:rPr>
        <w:t>7.</w:t>
      </w:r>
    </w:p>
    <w:p w14:paraId="2C9201B7" w14:textId="2071917A" w:rsidR="002D2980" w:rsidRPr="001005B7" w:rsidRDefault="00A736D5" w:rsidP="006F5BB0">
      <w:pPr>
        <w:pStyle w:val="ListParagraph"/>
        <w:rPr>
          <w:color w:val="auto"/>
          <w:lang w:val="en-US"/>
        </w:rPr>
      </w:pPr>
      <w:r w:rsidRPr="001005B7">
        <w:rPr>
          <w:color w:val="auto"/>
          <w:lang w:val="en-US"/>
        </w:rPr>
        <w:t>Davis, Ellen</w:t>
      </w:r>
      <w:r w:rsidR="008D08D9" w:rsidRPr="001005B7">
        <w:rPr>
          <w:color w:val="auto"/>
          <w:lang w:val="en-US"/>
        </w:rPr>
        <w:t xml:space="preserve"> F. </w:t>
      </w:r>
      <w:r w:rsidR="008D08D9" w:rsidRPr="0014070D">
        <w:rPr>
          <w:i/>
          <w:iCs/>
          <w:color w:val="auto"/>
          <w:lang w:val="en-US"/>
        </w:rPr>
        <w:t>Swallowing the Scroll</w:t>
      </w:r>
      <w:r w:rsidR="00513C43" w:rsidRPr="0014070D">
        <w:rPr>
          <w:i/>
          <w:iCs/>
          <w:color w:val="auto"/>
          <w:lang w:val="en-US"/>
        </w:rPr>
        <w:t>:</w:t>
      </w:r>
      <w:r w:rsidR="008D08D9" w:rsidRPr="0014070D">
        <w:rPr>
          <w:i/>
          <w:iCs/>
          <w:color w:val="auto"/>
          <w:lang w:val="en-US"/>
        </w:rPr>
        <w:t xml:space="preserve"> Textuality and the Dynamics of Discourse in Ezekiel's Prophecy</w:t>
      </w:r>
      <w:r w:rsidR="008D08D9" w:rsidRPr="001005B7">
        <w:rPr>
          <w:color w:val="auto"/>
          <w:lang w:val="en-US"/>
        </w:rPr>
        <w:t xml:space="preserve">. </w:t>
      </w:r>
      <w:proofErr w:type="spellStart"/>
      <w:r w:rsidR="00C12026" w:rsidRPr="001005B7">
        <w:rPr>
          <w:color w:val="auto"/>
          <w:lang w:val="en-US"/>
        </w:rPr>
        <w:t>JSOTSup</w:t>
      </w:r>
      <w:proofErr w:type="spellEnd"/>
      <w:r w:rsidR="00C12026" w:rsidRPr="001005B7">
        <w:rPr>
          <w:color w:val="auto"/>
          <w:lang w:val="en-US"/>
        </w:rPr>
        <w:t xml:space="preserve"> 78. Sheffield: Almond Press, 1989.</w:t>
      </w:r>
    </w:p>
    <w:p w14:paraId="56C1F762" w14:textId="7FBD6B24" w:rsidR="00C017A9" w:rsidRPr="001005B7" w:rsidRDefault="00C017A9" w:rsidP="00C017A9">
      <w:pPr>
        <w:spacing w:after="60" w:line="240" w:lineRule="auto"/>
        <w:ind w:left="567" w:hanging="567"/>
        <w:rPr>
          <w:rFonts w:ascii="Calibri" w:eastAsia="Times New Roman" w:hAnsi="Calibri" w:cs="Calibri"/>
          <w:lang w:eastAsia="en-GB"/>
        </w:rPr>
      </w:pPr>
      <w:r w:rsidRPr="001005B7">
        <w:t>Deeley</w:t>
      </w:r>
      <w:r w:rsidR="00853389" w:rsidRPr="001005B7">
        <w:t>,</w:t>
      </w:r>
      <w:r w:rsidRPr="001005B7">
        <w:t xml:space="preserve"> M</w:t>
      </w:r>
      <w:r w:rsidR="00D85A70" w:rsidRPr="001005B7">
        <w:t>ary</w:t>
      </w:r>
      <w:r w:rsidRPr="001005B7">
        <w:t xml:space="preserve"> K</w:t>
      </w:r>
      <w:r w:rsidR="00D85A70" w:rsidRPr="001005B7">
        <w:t>atharine</w:t>
      </w:r>
      <w:r w:rsidRPr="001005B7">
        <w:t xml:space="preserve">. </w:t>
      </w:r>
      <w:r w:rsidR="00C80747" w:rsidRPr="001005B7">
        <w:t>“</w:t>
      </w:r>
      <w:r w:rsidRPr="001005B7">
        <w:t>Ezekiel's Shepherd and John's Jesus: A Case Study in the Appropriation of Biblical Texts.</w:t>
      </w:r>
      <w:r w:rsidR="00C80747" w:rsidRPr="001005B7">
        <w:t>”</w:t>
      </w:r>
      <w:r w:rsidRPr="001005B7">
        <w:t xml:space="preserve"> </w:t>
      </w:r>
      <w:r w:rsidR="00E30BE3" w:rsidRPr="001005B7">
        <w:t>I</w:t>
      </w:r>
      <w:r w:rsidRPr="001005B7">
        <w:t>n C</w:t>
      </w:r>
      <w:r w:rsidR="00BE022F" w:rsidRPr="001005B7">
        <w:t>raig</w:t>
      </w:r>
      <w:r w:rsidRPr="001005B7">
        <w:t xml:space="preserve"> A. Evans and J</w:t>
      </w:r>
      <w:r w:rsidR="00221034" w:rsidRPr="001005B7">
        <w:t>ames</w:t>
      </w:r>
      <w:r w:rsidRPr="001005B7">
        <w:t xml:space="preserve"> A. Sanders</w:t>
      </w:r>
      <w:r w:rsidR="00C80747" w:rsidRPr="001005B7">
        <w:t xml:space="preserve">, </w:t>
      </w:r>
      <w:r w:rsidR="00221034" w:rsidRPr="001005B7">
        <w:t xml:space="preserve">ed., </w:t>
      </w:r>
      <w:r w:rsidR="00E30BE3" w:rsidRPr="001005B7">
        <w:rPr>
          <w:i/>
          <w:iCs/>
        </w:rPr>
        <w:t>Early Christian Interpretation of the Scriptures of Israel</w:t>
      </w:r>
      <w:r w:rsidR="00221034" w:rsidRPr="001005B7">
        <w:t>,</w:t>
      </w:r>
      <w:r w:rsidR="00E30BE3" w:rsidRPr="001005B7">
        <w:t xml:space="preserve"> </w:t>
      </w:r>
      <w:r w:rsidR="00C80747" w:rsidRPr="001005B7">
        <w:t>252</w:t>
      </w:r>
      <w:r w:rsidR="00F46900" w:rsidRPr="001005B7">
        <w:t>–</w:t>
      </w:r>
      <w:r w:rsidR="00C80747" w:rsidRPr="001005B7">
        <w:t>64.</w:t>
      </w:r>
      <w:r w:rsidR="008E6714" w:rsidRPr="001005B7">
        <w:t xml:space="preserve"> </w:t>
      </w:r>
      <w:r w:rsidRPr="001005B7">
        <w:t>Sheffield: Sheffield Academic Press</w:t>
      </w:r>
      <w:r w:rsidR="00C80747" w:rsidRPr="001005B7">
        <w:t>, 1997.</w:t>
      </w:r>
    </w:p>
    <w:p w14:paraId="1E587186" w14:textId="222F0A7E" w:rsidR="00230F0A" w:rsidRPr="001005B7" w:rsidRDefault="00230F0A" w:rsidP="006F5BB0">
      <w:pPr>
        <w:pStyle w:val="ListParagraph"/>
        <w:rPr>
          <w:color w:val="auto"/>
          <w:lang w:val="en-US"/>
        </w:rPr>
      </w:pPr>
      <w:r w:rsidRPr="001005B7">
        <w:rPr>
          <w:color w:val="auto"/>
          <w:lang w:val="en-US"/>
        </w:rPr>
        <w:t xml:space="preserve">Dempsey, </w:t>
      </w:r>
      <w:r w:rsidR="00007939" w:rsidRPr="001005B7">
        <w:rPr>
          <w:color w:val="auto"/>
          <w:lang w:val="en-US"/>
        </w:rPr>
        <w:t xml:space="preserve">Carol J. </w:t>
      </w:r>
      <w:r w:rsidRPr="001005B7">
        <w:rPr>
          <w:color w:val="auto"/>
          <w:lang w:val="en-US"/>
        </w:rPr>
        <w:t>“Hope Amidst Crisis: A Prophetic Vision of Cosmic Redemption</w:t>
      </w:r>
      <w:r w:rsidR="00007939" w:rsidRPr="001005B7">
        <w:rPr>
          <w:color w:val="auto"/>
          <w:lang w:val="en-US"/>
        </w:rPr>
        <w:t>.</w:t>
      </w:r>
      <w:r w:rsidRPr="001005B7">
        <w:rPr>
          <w:color w:val="auto"/>
          <w:lang w:val="en-US"/>
        </w:rPr>
        <w:t xml:space="preserve">” in </w:t>
      </w:r>
      <w:r w:rsidR="00007939" w:rsidRPr="001005B7">
        <w:rPr>
          <w:color w:val="auto"/>
          <w:lang w:val="en-US"/>
        </w:rPr>
        <w:t>Carol J. Dempsey and R</w:t>
      </w:r>
      <w:r w:rsidR="00C156A0" w:rsidRPr="001005B7">
        <w:rPr>
          <w:color w:val="auto"/>
          <w:lang w:val="en-US"/>
        </w:rPr>
        <w:t>ussell</w:t>
      </w:r>
      <w:r w:rsidR="00007939" w:rsidRPr="001005B7">
        <w:rPr>
          <w:color w:val="auto"/>
          <w:lang w:val="en-US"/>
        </w:rPr>
        <w:t xml:space="preserve"> A. Butkus</w:t>
      </w:r>
      <w:r w:rsidR="00DE5087" w:rsidRPr="001005B7">
        <w:rPr>
          <w:color w:val="auto"/>
          <w:lang w:val="en-US"/>
        </w:rPr>
        <w:t>, ed.,</w:t>
      </w:r>
      <w:r w:rsidR="00007939" w:rsidRPr="001005B7">
        <w:rPr>
          <w:color w:val="auto"/>
          <w:lang w:val="en-US"/>
        </w:rPr>
        <w:t xml:space="preserve"> </w:t>
      </w:r>
      <w:r w:rsidRPr="001005B7">
        <w:rPr>
          <w:i/>
          <w:iCs/>
          <w:color w:val="auto"/>
          <w:lang w:val="en-US"/>
        </w:rPr>
        <w:t>All Creation is Groaning: An Interdisciplinary Vision for Life in a Sacred Universe,</w:t>
      </w:r>
      <w:r w:rsidR="00103B2D" w:rsidRPr="001005B7">
        <w:rPr>
          <w:color w:val="auto"/>
          <w:lang w:val="en-US"/>
        </w:rPr>
        <w:t xml:space="preserve"> 269</w:t>
      </w:r>
      <w:r w:rsidR="00F46900" w:rsidRPr="001005B7">
        <w:rPr>
          <w:color w:val="auto"/>
          <w:lang w:val="en-US"/>
        </w:rPr>
        <w:t>–</w:t>
      </w:r>
      <w:r w:rsidR="00103B2D" w:rsidRPr="001005B7">
        <w:rPr>
          <w:color w:val="auto"/>
          <w:lang w:val="en-US"/>
        </w:rPr>
        <w:t>8</w:t>
      </w:r>
      <w:r w:rsidR="004B3A40" w:rsidRPr="001005B7">
        <w:rPr>
          <w:color w:val="auto"/>
          <w:lang w:val="en-US"/>
        </w:rPr>
        <w:t>4</w:t>
      </w:r>
      <w:r w:rsidR="00103B2D" w:rsidRPr="001005B7">
        <w:rPr>
          <w:color w:val="auto"/>
          <w:lang w:val="en-US"/>
        </w:rPr>
        <w:t>.</w:t>
      </w:r>
      <w:r w:rsidRPr="001005B7">
        <w:rPr>
          <w:color w:val="auto"/>
          <w:lang w:val="en-US"/>
        </w:rPr>
        <w:t xml:space="preserve"> Collegeville</w:t>
      </w:r>
      <w:r w:rsidR="000B55FD" w:rsidRPr="001005B7">
        <w:rPr>
          <w:color w:val="auto"/>
          <w:lang w:val="en-US"/>
        </w:rPr>
        <w:t>, MN</w:t>
      </w:r>
      <w:r w:rsidRPr="001005B7">
        <w:rPr>
          <w:color w:val="auto"/>
          <w:lang w:val="en-US"/>
        </w:rPr>
        <w:t>: Liturgical Press, 2000</w:t>
      </w:r>
      <w:r w:rsidR="000B55FD" w:rsidRPr="001005B7">
        <w:rPr>
          <w:color w:val="auto"/>
          <w:lang w:val="en-US"/>
        </w:rPr>
        <w:t>.</w:t>
      </w:r>
    </w:p>
    <w:p w14:paraId="0D129668" w14:textId="2FA789FD" w:rsidR="00F457EB" w:rsidRPr="001005B7" w:rsidRDefault="00F457EB" w:rsidP="006F5BB0">
      <w:pPr>
        <w:pStyle w:val="ListParagraph"/>
        <w:rPr>
          <w:color w:val="auto"/>
          <w:lang w:val="en-US"/>
        </w:rPr>
      </w:pPr>
      <w:r w:rsidRPr="001005B7">
        <w:rPr>
          <w:color w:val="auto"/>
          <w:lang w:val="en-US"/>
        </w:rPr>
        <w:t xml:space="preserve">Diesel, </w:t>
      </w:r>
      <w:r w:rsidR="00657189" w:rsidRPr="001005B7">
        <w:rPr>
          <w:color w:val="auto"/>
          <w:lang w:val="en-US"/>
        </w:rPr>
        <w:t xml:space="preserve">Anja Angela. </w:t>
      </w:r>
      <w:r w:rsidRPr="001005B7">
        <w:rPr>
          <w:color w:val="auto"/>
          <w:lang w:val="en-US"/>
        </w:rPr>
        <w:t>“</w:t>
      </w:r>
      <w:r w:rsidRPr="001005B7">
        <w:rPr>
          <w:i/>
          <w:iCs/>
          <w:color w:val="auto"/>
          <w:lang w:val="en-US"/>
        </w:rPr>
        <w:t xml:space="preserve">Ich bin </w:t>
      </w:r>
      <w:proofErr w:type="spellStart"/>
      <w:r w:rsidRPr="001005B7">
        <w:rPr>
          <w:i/>
          <w:iCs/>
          <w:color w:val="auto"/>
          <w:lang w:val="en-US"/>
        </w:rPr>
        <w:t>Jahwe</w:t>
      </w:r>
      <w:proofErr w:type="spellEnd"/>
      <w:r w:rsidRPr="001005B7">
        <w:rPr>
          <w:i/>
          <w:iCs/>
          <w:color w:val="auto"/>
          <w:lang w:val="en-US"/>
        </w:rPr>
        <w:t>”: D</w:t>
      </w:r>
      <w:hyperlink r:id="rId9" w:history="1">
        <w:r w:rsidRPr="001005B7">
          <w:rPr>
            <w:rStyle w:val="Hyperlink"/>
            <w:i/>
            <w:iCs/>
            <w:color w:val="auto"/>
            <w:u w:val="none"/>
            <w:lang w:val="en-US"/>
          </w:rPr>
          <w:t xml:space="preserve">er </w:t>
        </w:r>
        <w:proofErr w:type="spellStart"/>
        <w:r w:rsidRPr="001005B7">
          <w:rPr>
            <w:rStyle w:val="Hyperlink"/>
            <w:i/>
            <w:iCs/>
            <w:color w:val="auto"/>
            <w:u w:val="none"/>
            <w:lang w:val="en-US"/>
          </w:rPr>
          <w:t>Aufstieg</w:t>
        </w:r>
        <w:proofErr w:type="spellEnd"/>
        <w:r w:rsidRPr="001005B7">
          <w:rPr>
            <w:rStyle w:val="Hyperlink"/>
            <w:i/>
            <w:iCs/>
            <w:color w:val="auto"/>
            <w:u w:val="none"/>
            <w:lang w:val="en-US"/>
          </w:rPr>
          <w:t xml:space="preserve"> der Ich-bin-</w:t>
        </w:r>
        <w:proofErr w:type="spellStart"/>
        <w:r w:rsidRPr="001005B7">
          <w:rPr>
            <w:rStyle w:val="Hyperlink"/>
            <w:i/>
            <w:iCs/>
            <w:color w:val="auto"/>
            <w:u w:val="none"/>
            <w:lang w:val="en-US"/>
          </w:rPr>
          <w:t>Jahwe</w:t>
        </w:r>
        <w:proofErr w:type="spellEnd"/>
        <w:r w:rsidRPr="001005B7">
          <w:rPr>
            <w:rStyle w:val="Hyperlink"/>
            <w:i/>
            <w:iCs/>
            <w:color w:val="auto"/>
            <w:u w:val="none"/>
            <w:lang w:val="en-US"/>
          </w:rPr>
          <w:t>-</w:t>
        </w:r>
        <w:proofErr w:type="spellStart"/>
        <w:r w:rsidRPr="001005B7">
          <w:rPr>
            <w:rStyle w:val="Hyperlink"/>
            <w:i/>
            <w:iCs/>
            <w:color w:val="auto"/>
            <w:u w:val="none"/>
            <w:lang w:val="en-US"/>
          </w:rPr>
          <w:t>Aussage</w:t>
        </w:r>
        <w:proofErr w:type="spellEnd"/>
        <w:r w:rsidRPr="001005B7">
          <w:rPr>
            <w:rStyle w:val="Hyperlink"/>
            <w:i/>
            <w:iCs/>
            <w:color w:val="auto"/>
            <w:u w:val="none"/>
            <w:lang w:val="en-US"/>
          </w:rPr>
          <w:t xml:space="preserve"> </w:t>
        </w:r>
        <w:proofErr w:type="spellStart"/>
        <w:r w:rsidRPr="001005B7">
          <w:rPr>
            <w:rStyle w:val="Hyperlink"/>
            <w:i/>
            <w:iCs/>
            <w:color w:val="auto"/>
            <w:u w:val="none"/>
            <w:lang w:val="en-US"/>
          </w:rPr>
          <w:t>zum</w:t>
        </w:r>
        <w:proofErr w:type="spellEnd"/>
        <w:r w:rsidRPr="001005B7">
          <w:rPr>
            <w:rStyle w:val="Hyperlink"/>
            <w:i/>
            <w:iCs/>
            <w:color w:val="auto"/>
            <w:u w:val="none"/>
            <w:lang w:val="en-US"/>
          </w:rPr>
          <w:t xml:space="preserve"> </w:t>
        </w:r>
        <w:proofErr w:type="spellStart"/>
        <w:r w:rsidRPr="001005B7">
          <w:rPr>
            <w:rStyle w:val="Hyperlink"/>
            <w:i/>
            <w:iCs/>
            <w:color w:val="auto"/>
            <w:u w:val="none"/>
            <w:lang w:val="en-US"/>
          </w:rPr>
          <w:t>Schlüsselwort</w:t>
        </w:r>
        <w:proofErr w:type="spellEnd"/>
        <w:r w:rsidRPr="001005B7">
          <w:rPr>
            <w:rStyle w:val="Hyperlink"/>
            <w:i/>
            <w:iCs/>
            <w:color w:val="auto"/>
            <w:u w:val="none"/>
            <w:lang w:val="en-US"/>
          </w:rPr>
          <w:t xml:space="preserve"> des </w:t>
        </w:r>
        <w:proofErr w:type="spellStart"/>
        <w:r w:rsidRPr="001005B7">
          <w:rPr>
            <w:rStyle w:val="Hyperlink"/>
            <w:i/>
            <w:iCs/>
            <w:color w:val="auto"/>
            <w:u w:val="none"/>
            <w:lang w:val="en-US"/>
          </w:rPr>
          <w:t>alttestamentlichen</w:t>
        </w:r>
        <w:proofErr w:type="spellEnd"/>
        <w:r w:rsidRPr="001005B7">
          <w:rPr>
            <w:rStyle w:val="Hyperlink"/>
            <w:i/>
            <w:iCs/>
            <w:color w:val="auto"/>
            <w:u w:val="none"/>
            <w:lang w:val="en-US"/>
          </w:rPr>
          <w:t xml:space="preserve"> </w:t>
        </w:r>
        <w:proofErr w:type="spellStart"/>
        <w:r w:rsidRPr="001005B7">
          <w:rPr>
            <w:rStyle w:val="Hyperlink"/>
            <w:i/>
            <w:iCs/>
            <w:color w:val="auto"/>
            <w:u w:val="none"/>
            <w:lang w:val="en-US"/>
          </w:rPr>
          <w:t>Monotheismus</w:t>
        </w:r>
        <w:proofErr w:type="spellEnd"/>
      </w:hyperlink>
      <w:r w:rsidR="00E72563" w:rsidRPr="001005B7">
        <w:rPr>
          <w:rStyle w:val="Hyperlink"/>
          <w:color w:val="auto"/>
          <w:u w:val="none"/>
          <w:lang w:val="en-US"/>
        </w:rPr>
        <w:t>.</w:t>
      </w:r>
      <w:r w:rsidR="00086714" w:rsidRPr="001005B7">
        <w:rPr>
          <w:rStyle w:val="Hyperlink"/>
          <w:color w:val="auto"/>
          <w:u w:val="none"/>
          <w:lang w:val="en-US"/>
        </w:rPr>
        <w:t xml:space="preserve"> </w:t>
      </w:r>
      <w:proofErr w:type="spellStart"/>
      <w:r w:rsidR="00086714" w:rsidRPr="001005B7">
        <w:rPr>
          <w:color w:val="auto"/>
          <w:lang w:val="en-US"/>
        </w:rPr>
        <w:t>Neukirchen</w:t>
      </w:r>
      <w:proofErr w:type="spellEnd"/>
      <w:r w:rsidR="00086714" w:rsidRPr="001005B7">
        <w:rPr>
          <w:color w:val="auto"/>
          <w:lang w:val="en-US"/>
        </w:rPr>
        <w:t xml:space="preserve">: </w:t>
      </w:r>
      <w:proofErr w:type="spellStart"/>
      <w:r w:rsidR="00086714" w:rsidRPr="001005B7">
        <w:rPr>
          <w:color w:val="auto"/>
          <w:lang w:val="en-US"/>
        </w:rPr>
        <w:t>Neukirchener</w:t>
      </w:r>
      <w:proofErr w:type="spellEnd"/>
      <w:r w:rsidR="00086714" w:rsidRPr="001005B7">
        <w:rPr>
          <w:color w:val="auto"/>
          <w:lang w:val="en-US"/>
        </w:rPr>
        <w:t>, 2006.</w:t>
      </w:r>
      <w:r w:rsidR="00E72563" w:rsidRPr="001005B7">
        <w:rPr>
          <w:rStyle w:val="Hyperlink"/>
          <w:color w:val="auto"/>
          <w:u w:val="none"/>
          <w:lang w:val="en-US"/>
        </w:rPr>
        <w:t xml:space="preserve"> </w:t>
      </w:r>
    </w:p>
    <w:p w14:paraId="46D723B5" w14:textId="6D941638" w:rsidR="003112CB" w:rsidRPr="001005B7" w:rsidRDefault="003112CB" w:rsidP="003112CB">
      <w:pPr>
        <w:spacing w:after="60" w:line="240" w:lineRule="auto"/>
        <w:ind w:left="567" w:hanging="567"/>
        <w:rPr>
          <w:rFonts w:ascii="Calibri" w:eastAsia="Times New Roman" w:hAnsi="Calibri" w:cs="Calibri"/>
          <w:lang w:eastAsia="en-GB"/>
        </w:rPr>
      </w:pPr>
      <w:proofErr w:type="spellStart"/>
      <w:r w:rsidRPr="001005B7">
        <w:t>Ellens</w:t>
      </w:r>
      <w:proofErr w:type="spellEnd"/>
      <w:r w:rsidR="00E4463D" w:rsidRPr="001005B7">
        <w:t>, J. Harold,</w:t>
      </w:r>
      <w:r w:rsidRPr="001005B7">
        <w:t xml:space="preserve"> and Wayne G. Rollins, ed. </w:t>
      </w:r>
      <w:r w:rsidRPr="001005B7">
        <w:rPr>
          <w:i/>
          <w:iCs/>
        </w:rPr>
        <w:t>Psychology and the Bible: A New Way to Read the Scriptures, From Genesis to Apocalyptic Visio</w:t>
      </w:r>
      <w:r w:rsidR="00B2038C">
        <w:rPr>
          <w:i/>
          <w:iCs/>
        </w:rPr>
        <w:t>n</w:t>
      </w:r>
      <w:r w:rsidRPr="001005B7">
        <w:t>. Westport: Praeger, 2004.</w:t>
      </w:r>
    </w:p>
    <w:p w14:paraId="728A07F0" w14:textId="255A613A" w:rsidR="00B5133A" w:rsidRPr="001005B7" w:rsidRDefault="00BF7FE1" w:rsidP="006F5BB0">
      <w:pPr>
        <w:pStyle w:val="ListParagraph"/>
        <w:rPr>
          <w:color w:val="auto"/>
          <w:lang w:val="en-US"/>
        </w:rPr>
      </w:pPr>
      <w:r w:rsidRPr="001005B7">
        <w:rPr>
          <w:color w:val="auto"/>
          <w:lang w:val="en-US"/>
        </w:rPr>
        <w:t xml:space="preserve">Evans, John F. </w:t>
      </w:r>
      <w:r w:rsidRPr="001005B7">
        <w:rPr>
          <w:i/>
          <w:iCs/>
          <w:color w:val="auto"/>
          <w:lang w:val="en-US"/>
        </w:rPr>
        <w:t>You</w:t>
      </w:r>
      <w:r w:rsidRPr="001005B7">
        <w:rPr>
          <w:color w:val="auto"/>
          <w:lang w:val="en-US"/>
        </w:rPr>
        <w:t> </w:t>
      </w:r>
      <w:r w:rsidR="00E668EF" w:rsidRPr="001005B7">
        <w:rPr>
          <w:rStyle w:val="Strong"/>
          <w:b w:val="0"/>
          <w:bCs w:val="0"/>
          <w:i/>
          <w:iCs/>
          <w:color w:val="auto"/>
          <w:lang w:val="en-US"/>
        </w:rPr>
        <w:t>S</w:t>
      </w:r>
      <w:r w:rsidRPr="001005B7">
        <w:rPr>
          <w:rStyle w:val="Strong"/>
          <w:b w:val="0"/>
          <w:bCs w:val="0"/>
          <w:i/>
          <w:iCs/>
          <w:color w:val="auto"/>
          <w:lang w:val="en-US"/>
        </w:rPr>
        <w:t>hall</w:t>
      </w:r>
      <w:r w:rsidRPr="001005B7">
        <w:rPr>
          <w:color w:val="auto"/>
          <w:lang w:val="en-US"/>
        </w:rPr>
        <w:t> </w:t>
      </w:r>
      <w:r w:rsidR="00E668EF" w:rsidRPr="001005B7">
        <w:rPr>
          <w:rStyle w:val="Strong"/>
          <w:b w:val="0"/>
          <w:bCs w:val="0"/>
          <w:i/>
          <w:iCs/>
          <w:color w:val="auto"/>
          <w:lang w:val="en-US"/>
        </w:rPr>
        <w:t>K</w:t>
      </w:r>
      <w:r w:rsidRPr="001005B7">
        <w:rPr>
          <w:rStyle w:val="Strong"/>
          <w:b w:val="0"/>
          <w:bCs w:val="0"/>
          <w:i/>
          <w:iCs/>
          <w:color w:val="auto"/>
          <w:lang w:val="en-US"/>
        </w:rPr>
        <w:t>now</w:t>
      </w:r>
      <w:r w:rsidRPr="001005B7">
        <w:rPr>
          <w:color w:val="auto"/>
          <w:lang w:val="en-US"/>
        </w:rPr>
        <w:t> </w:t>
      </w:r>
      <w:r w:rsidR="00E668EF" w:rsidRPr="001005B7">
        <w:rPr>
          <w:color w:val="auto"/>
          <w:lang w:val="en-US"/>
        </w:rPr>
        <w:t>T</w:t>
      </w:r>
      <w:r w:rsidRPr="001005B7">
        <w:rPr>
          <w:color w:val="auto"/>
          <w:lang w:val="en-US"/>
        </w:rPr>
        <w:t>hat </w:t>
      </w:r>
      <w:r w:rsidRPr="001005B7">
        <w:rPr>
          <w:rStyle w:val="Strong"/>
          <w:b w:val="0"/>
          <w:bCs w:val="0"/>
          <w:i/>
          <w:iCs/>
          <w:color w:val="auto"/>
          <w:lang w:val="en-US"/>
        </w:rPr>
        <w:t>I</w:t>
      </w:r>
      <w:r w:rsidRPr="001005B7">
        <w:rPr>
          <w:color w:val="auto"/>
          <w:lang w:val="en-US"/>
        </w:rPr>
        <w:t> </w:t>
      </w:r>
      <w:r w:rsidR="00E668EF" w:rsidRPr="001005B7">
        <w:rPr>
          <w:color w:val="auto"/>
          <w:lang w:val="en-US"/>
        </w:rPr>
        <w:t>A</w:t>
      </w:r>
      <w:r w:rsidRPr="001005B7">
        <w:rPr>
          <w:color w:val="auto"/>
          <w:lang w:val="en-US"/>
        </w:rPr>
        <w:t>m </w:t>
      </w:r>
      <w:r w:rsidRPr="001005B7">
        <w:rPr>
          <w:rStyle w:val="Strong"/>
          <w:b w:val="0"/>
          <w:bCs w:val="0"/>
          <w:i/>
          <w:iCs/>
          <w:color w:val="auto"/>
          <w:lang w:val="en-US"/>
        </w:rPr>
        <w:t>Yahweh</w:t>
      </w:r>
      <w:r w:rsidRPr="001005B7">
        <w:rPr>
          <w:color w:val="auto"/>
          <w:lang w:val="en-US"/>
        </w:rPr>
        <w:t xml:space="preserve">: </w:t>
      </w:r>
      <w:r w:rsidR="002D2980" w:rsidRPr="001005B7">
        <w:rPr>
          <w:color w:val="auto"/>
          <w:lang w:val="en-US"/>
        </w:rPr>
        <w:t>A</w:t>
      </w:r>
      <w:r w:rsidRPr="001005B7">
        <w:rPr>
          <w:color w:val="auto"/>
          <w:lang w:val="en-US"/>
        </w:rPr>
        <w:t>n </w:t>
      </w:r>
      <w:r w:rsidR="002D2980" w:rsidRPr="001005B7">
        <w:rPr>
          <w:rStyle w:val="Strong"/>
          <w:b w:val="0"/>
          <w:bCs w:val="0"/>
          <w:i/>
          <w:iCs/>
          <w:color w:val="auto"/>
          <w:lang w:val="en-US"/>
        </w:rPr>
        <w:t>I</w:t>
      </w:r>
      <w:r w:rsidRPr="001005B7">
        <w:rPr>
          <w:rStyle w:val="Strong"/>
          <w:b w:val="0"/>
          <w:bCs w:val="0"/>
          <w:i/>
          <w:iCs/>
          <w:color w:val="auto"/>
          <w:lang w:val="en-US"/>
        </w:rPr>
        <w:t>nne</w:t>
      </w:r>
      <w:r w:rsidR="002D2980" w:rsidRPr="001005B7">
        <w:rPr>
          <w:rStyle w:val="Strong"/>
          <w:b w:val="0"/>
          <w:bCs w:val="0"/>
          <w:i/>
          <w:iCs/>
          <w:color w:val="auto"/>
          <w:lang w:val="en-US"/>
        </w:rPr>
        <w:t>r-b</w:t>
      </w:r>
      <w:r w:rsidR="00356CD9" w:rsidRPr="001005B7">
        <w:rPr>
          <w:rStyle w:val="Strong"/>
          <w:b w:val="0"/>
          <w:bCs w:val="0"/>
          <w:i/>
          <w:iCs/>
          <w:color w:val="auto"/>
          <w:lang w:val="en-US"/>
        </w:rPr>
        <w:t>iblical interpretation of Ezekiel’s Recognition Formula</w:t>
      </w:r>
      <w:r w:rsidR="00356CD9" w:rsidRPr="001005B7">
        <w:rPr>
          <w:rStyle w:val="Strong"/>
          <w:b w:val="0"/>
          <w:bCs w:val="0"/>
          <w:color w:val="auto"/>
          <w:lang w:val="en-US"/>
        </w:rPr>
        <w:t xml:space="preserve">. </w:t>
      </w:r>
      <w:proofErr w:type="spellStart"/>
      <w:r w:rsidR="00D57CF1" w:rsidRPr="001005B7">
        <w:rPr>
          <w:rStyle w:val="Strong"/>
          <w:b w:val="0"/>
          <w:bCs w:val="0"/>
          <w:color w:val="auto"/>
          <w:lang w:val="en-US"/>
        </w:rPr>
        <w:t>BBRSup</w:t>
      </w:r>
      <w:proofErr w:type="spellEnd"/>
      <w:r w:rsidR="00D57CF1" w:rsidRPr="001005B7">
        <w:rPr>
          <w:rStyle w:val="Strong"/>
          <w:b w:val="0"/>
          <w:bCs w:val="0"/>
          <w:color w:val="auto"/>
          <w:lang w:val="en-US"/>
        </w:rPr>
        <w:t xml:space="preserve"> 2</w:t>
      </w:r>
      <w:r w:rsidR="001F2549" w:rsidRPr="001005B7">
        <w:rPr>
          <w:rStyle w:val="Strong"/>
          <w:b w:val="0"/>
          <w:bCs w:val="0"/>
          <w:color w:val="auto"/>
          <w:lang w:val="en-US"/>
        </w:rPr>
        <w:t>5</w:t>
      </w:r>
      <w:r w:rsidR="00D57CF1" w:rsidRPr="001005B7">
        <w:rPr>
          <w:rStyle w:val="Strong"/>
          <w:b w:val="0"/>
          <w:bCs w:val="0"/>
          <w:color w:val="auto"/>
          <w:lang w:val="en-US"/>
        </w:rPr>
        <w:t xml:space="preserve">. </w:t>
      </w:r>
      <w:r w:rsidR="00356CD9" w:rsidRPr="001005B7">
        <w:rPr>
          <w:rStyle w:val="Strong"/>
          <w:b w:val="0"/>
          <w:bCs w:val="0"/>
          <w:color w:val="auto"/>
          <w:lang w:val="en-US"/>
        </w:rPr>
        <w:t xml:space="preserve">University Park, PA: </w:t>
      </w:r>
      <w:proofErr w:type="spellStart"/>
      <w:r w:rsidR="00356CD9" w:rsidRPr="001005B7">
        <w:rPr>
          <w:rStyle w:val="Strong"/>
          <w:b w:val="0"/>
          <w:bCs w:val="0"/>
          <w:color w:val="auto"/>
          <w:lang w:val="en-US"/>
        </w:rPr>
        <w:t>Ei</w:t>
      </w:r>
      <w:r w:rsidR="00FA1C52" w:rsidRPr="001005B7">
        <w:rPr>
          <w:rStyle w:val="Strong"/>
          <w:b w:val="0"/>
          <w:bCs w:val="0"/>
          <w:color w:val="auto"/>
          <w:lang w:val="en-US"/>
        </w:rPr>
        <w:t>senbrauns</w:t>
      </w:r>
      <w:proofErr w:type="spellEnd"/>
      <w:r w:rsidR="00FA1C52" w:rsidRPr="001005B7">
        <w:rPr>
          <w:rStyle w:val="Strong"/>
          <w:b w:val="0"/>
          <w:bCs w:val="0"/>
          <w:color w:val="auto"/>
          <w:lang w:val="en-US"/>
        </w:rPr>
        <w:t>, 2019.</w:t>
      </w:r>
    </w:p>
    <w:p w14:paraId="1EB5D8DA" w14:textId="19823D96" w:rsidR="001D75A5" w:rsidRPr="001005B7" w:rsidRDefault="001D75A5" w:rsidP="006F5BB0">
      <w:pPr>
        <w:pStyle w:val="ListParagraph"/>
        <w:rPr>
          <w:color w:val="auto"/>
          <w:lang w:val="en-US"/>
        </w:rPr>
      </w:pPr>
      <w:r w:rsidRPr="001005B7">
        <w:rPr>
          <w:color w:val="auto"/>
          <w:lang w:val="en-US"/>
        </w:rPr>
        <w:t>Fabry, Heinz-Josef. “Ezechiel in Qumran und Masada–</w:t>
      </w:r>
      <w:proofErr w:type="spellStart"/>
      <w:r w:rsidRPr="001005B7">
        <w:rPr>
          <w:color w:val="auto"/>
          <w:lang w:val="en-US"/>
        </w:rPr>
        <w:t>Bezeugung</w:t>
      </w:r>
      <w:proofErr w:type="spellEnd"/>
      <w:r w:rsidRPr="001005B7">
        <w:rPr>
          <w:color w:val="auto"/>
          <w:lang w:val="en-US"/>
        </w:rPr>
        <w:t xml:space="preserve"> und </w:t>
      </w:r>
      <w:proofErr w:type="spellStart"/>
      <w:r w:rsidRPr="001005B7">
        <w:rPr>
          <w:color w:val="auto"/>
          <w:lang w:val="en-US"/>
        </w:rPr>
        <w:t>Rezeption</w:t>
      </w:r>
      <w:proofErr w:type="spellEnd"/>
      <w:r w:rsidRPr="001005B7">
        <w:rPr>
          <w:color w:val="auto"/>
          <w:lang w:val="en-US"/>
        </w:rPr>
        <w:t>.”</w:t>
      </w:r>
      <w:r w:rsidR="00EE30A9" w:rsidRPr="001005B7">
        <w:rPr>
          <w:color w:val="auto"/>
          <w:lang w:val="en-US"/>
        </w:rPr>
        <w:t xml:space="preserve"> In </w:t>
      </w:r>
      <w:r w:rsidR="00BA154D" w:rsidRPr="001005B7">
        <w:rPr>
          <w:color w:val="auto"/>
          <w:lang w:val="en-US"/>
        </w:rPr>
        <w:t xml:space="preserve">Jan Christian Gertz, Corinna </w:t>
      </w:r>
      <w:proofErr w:type="spellStart"/>
      <w:r w:rsidR="00BA154D" w:rsidRPr="001005B7">
        <w:rPr>
          <w:color w:val="auto"/>
          <w:lang w:val="en-US"/>
        </w:rPr>
        <w:t>Körting</w:t>
      </w:r>
      <w:proofErr w:type="spellEnd"/>
      <w:r w:rsidR="00BA154D" w:rsidRPr="001005B7">
        <w:rPr>
          <w:color w:val="auto"/>
          <w:lang w:val="en-US"/>
        </w:rPr>
        <w:t xml:space="preserve"> und Markus Witte, ed., </w:t>
      </w:r>
      <w:r w:rsidR="00736C35" w:rsidRPr="001005B7">
        <w:rPr>
          <w:i/>
          <w:iCs/>
          <w:color w:val="auto"/>
          <w:lang w:val="en-US"/>
        </w:rPr>
        <w:t xml:space="preserve">Das Buch Ezechiel: </w:t>
      </w:r>
      <w:proofErr w:type="spellStart"/>
      <w:r w:rsidR="00736C35" w:rsidRPr="001005B7">
        <w:rPr>
          <w:i/>
          <w:iCs/>
          <w:color w:val="auto"/>
          <w:lang w:val="en-US"/>
        </w:rPr>
        <w:t>Komposition</w:t>
      </w:r>
      <w:proofErr w:type="spellEnd"/>
      <w:r w:rsidR="00736C35" w:rsidRPr="001005B7">
        <w:rPr>
          <w:i/>
          <w:iCs/>
          <w:color w:val="auto"/>
          <w:lang w:val="en-US"/>
        </w:rPr>
        <w:t xml:space="preserve">, </w:t>
      </w:r>
      <w:proofErr w:type="spellStart"/>
      <w:r w:rsidR="00736C35" w:rsidRPr="001005B7">
        <w:rPr>
          <w:i/>
          <w:iCs/>
          <w:color w:val="auto"/>
          <w:lang w:val="en-US"/>
        </w:rPr>
        <w:t>Redaktion</w:t>
      </w:r>
      <w:proofErr w:type="spellEnd"/>
      <w:r w:rsidR="00736C35" w:rsidRPr="001005B7">
        <w:rPr>
          <w:i/>
          <w:iCs/>
          <w:color w:val="auto"/>
          <w:lang w:val="en-US"/>
        </w:rPr>
        <w:t xml:space="preserve"> und </w:t>
      </w:r>
      <w:proofErr w:type="spellStart"/>
      <w:r w:rsidR="00736C35" w:rsidRPr="001005B7">
        <w:rPr>
          <w:i/>
          <w:iCs/>
          <w:color w:val="auto"/>
          <w:lang w:val="en-US"/>
        </w:rPr>
        <w:t>Rezeption</w:t>
      </w:r>
      <w:proofErr w:type="spellEnd"/>
      <w:r w:rsidR="00736C35" w:rsidRPr="001005B7">
        <w:rPr>
          <w:color w:val="auto"/>
          <w:lang w:val="en-US"/>
        </w:rPr>
        <w:t>, 1</w:t>
      </w:r>
      <w:r w:rsidR="00F46900" w:rsidRPr="001005B7">
        <w:rPr>
          <w:color w:val="auto"/>
          <w:lang w:val="en-US"/>
        </w:rPr>
        <w:t>–</w:t>
      </w:r>
      <w:r w:rsidR="00F43A80" w:rsidRPr="001005B7">
        <w:rPr>
          <w:color w:val="auto"/>
          <w:lang w:val="en-US"/>
        </w:rPr>
        <w:t xml:space="preserve">41. BZAW </w:t>
      </w:r>
      <w:r w:rsidR="00EE3DAE" w:rsidRPr="001005B7">
        <w:rPr>
          <w:color w:val="auto"/>
          <w:lang w:val="en-US"/>
        </w:rPr>
        <w:t>516. Berlin: de Gruyter, 2020.</w:t>
      </w:r>
    </w:p>
    <w:p w14:paraId="76A8EE34" w14:textId="09A51F7E" w:rsidR="00587728" w:rsidRPr="001005B7" w:rsidRDefault="00587728" w:rsidP="006F5BB0">
      <w:pPr>
        <w:pStyle w:val="ListParagraph"/>
        <w:rPr>
          <w:color w:val="auto"/>
          <w:shd w:val="clear" w:color="auto" w:fill="FFFFFF"/>
          <w:lang w:val="en-US"/>
        </w:rPr>
      </w:pPr>
      <w:r w:rsidRPr="001005B7">
        <w:rPr>
          <w:color w:val="auto"/>
          <w:lang w:val="en-US"/>
        </w:rPr>
        <w:t xml:space="preserve">Feist, </w:t>
      </w:r>
      <w:r w:rsidR="00DA4CFF" w:rsidRPr="001005B7">
        <w:rPr>
          <w:color w:val="auto"/>
          <w:lang w:val="en-US"/>
        </w:rPr>
        <w:t xml:space="preserve">Udo. </w:t>
      </w:r>
      <w:r w:rsidRPr="001005B7">
        <w:rPr>
          <w:i/>
          <w:iCs/>
          <w:color w:val="auto"/>
          <w:shd w:val="clear" w:color="auto" w:fill="FFFFFF"/>
          <w:lang w:val="en-US"/>
        </w:rPr>
        <w:t xml:space="preserve">Ezechiel: Das </w:t>
      </w:r>
      <w:proofErr w:type="spellStart"/>
      <w:r w:rsidRPr="001005B7">
        <w:rPr>
          <w:i/>
          <w:iCs/>
          <w:color w:val="auto"/>
          <w:shd w:val="clear" w:color="auto" w:fill="FFFFFF"/>
          <w:lang w:val="en-US"/>
        </w:rPr>
        <w:t>literarische</w:t>
      </w:r>
      <w:proofErr w:type="spellEnd"/>
      <w:r w:rsidRPr="001005B7">
        <w:rPr>
          <w:i/>
          <w:iCs/>
          <w:color w:val="auto"/>
          <w:shd w:val="clear" w:color="auto" w:fill="FFFFFF"/>
          <w:lang w:val="en-US"/>
        </w:rPr>
        <w:t xml:space="preserve"> Problem des Buches </w:t>
      </w:r>
      <w:proofErr w:type="spellStart"/>
      <w:r w:rsidRPr="001005B7">
        <w:rPr>
          <w:i/>
          <w:iCs/>
          <w:color w:val="auto"/>
          <w:shd w:val="clear" w:color="auto" w:fill="FFFFFF"/>
          <w:lang w:val="en-US"/>
        </w:rPr>
        <w:t>forschungsgeschichtlich</w:t>
      </w:r>
      <w:proofErr w:type="spellEnd"/>
      <w:r w:rsidRPr="001005B7">
        <w:rPr>
          <w:i/>
          <w:iCs/>
          <w:color w:val="auto"/>
          <w:shd w:val="clear" w:color="auto" w:fill="FFFFFF"/>
          <w:lang w:val="en-US"/>
        </w:rPr>
        <w:t xml:space="preserve"> </w:t>
      </w:r>
      <w:proofErr w:type="spellStart"/>
      <w:r w:rsidRPr="001005B7">
        <w:rPr>
          <w:i/>
          <w:iCs/>
          <w:color w:val="auto"/>
          <w:shd w:val="clear" w:color="auto" w:fill="FFFFFF"/>
          <w:lang w:val="en-US"/>
        </w:rPr>
        <w:t>betrachtet</w:t>
      </w:r>
      <w:proofErr w:type="spellEnd"/>
      <w:r w:rsidR="00DA4CFF" w:rsidRPr="001005B7">
        <w:rPr>
          <w:color w:val="auto"/>
          <w:shd w:val="clear" w:color="auto" w:fill="FFFFFF"/>
          <w:lang w:val="en-US"/>
        </w:rPr>
        <w:t>.</w:t>
      </w:r>
      <w:r w:rsidR="006B4DCF" w:rsidRPr="001005B7">
        <w:rPr>
          <w:color w:val="auto"/>
          <w:shd w:val="clear" w:color="auto" w:fill="FFFFFF"/>
          <w:lang w:val="en-US"/>
        </w:rPr>
        <w:t xml:space="preserve"> </w:t>
      </w:r>
      <w:r w:rsidRPr="001005B7">
        <w:rPr>
          <w:color w:val="auto"/>
          <w:shd w:val="clear" w:color="auto" w:fill="FFFFFF"/>
          <w:lang w:val="en-US"/>
        </w:rPr>
        <w:t xml:space="preserve">Stuttgart: </w:t>
      </w:r>
      <w:proofErr w:type="spellStart"/>
      <w:r w:rsidRPr="001005B7">
        <w:rPr>
          <w:color w:val="auto"/>
          <w:shd w:val="clear" w:color="auto" w:fill="FFFFFF"/>
          <w:lang w:val="en-US"/>
        </w:rPr>
        <w:t>Kohlhammer</w:t>
      </w:r>
      <w:proofErr w:type="spellEnd"/>
      <w:r w:rsidRPr="001005B7">
        <w:rPr>
          <w:color w:val="auto"/>
          <w:shd w:val="clear" w:color="auto" w:fill="FFFFFF"/>
          <w:lang w:val="en-US"/>
        </w:rPr>
        <w:t>, 19</w:t>
      </w:r>
      <w:r w:rsidR="00A7421F" w:rsidRPr="001005B7">
        <w:rPr>
          <w:color w:val="auto"/>
          <w:shd w:val="clear" w:color="auto" w:fill="FFFFFF"/>
          <w:lang w:val="en-US"/>
        </w:rPr>
        <w:t>95.</w:t>
      </w:r>
    </w:p>
    <w:p w14:paraId="6F368C1C" w14:textId="602EC28F" w:rsidR="005A329A" w:rsidRPr="001005B7" w:rsidRDefault="00DE1619" w:rsidP="006F5BB0">
      <w:pPr>
        <w:pStyle w:val="ListParagraph"/>
        <w:rPr>
          <w:color w:val="auto"/>
          <w:lang w:val="en-US"/>
        </w:rPr>
      </w:pPr>
      <w:proofErr w:type="spellStart"/>
      <w:r w:rsidRPr="001005B7">
        <w:rPr>
          <w:color w:val="auto"/>
          <w:shd w:val="clear" w:color="auto" w:fill="FFFFFF"/>
          <w:lang w:val="en-US"/>
        </w:rPr>
        <w:t>Finsterbusch</w:t>
      </w:r>
      <w:proofErr w:type="spellEnd"/>
      <w:r w:rsidR="00B00001" w:rsidRPr="001005B7">
        <w:rPr>
          <w:color w:val="auto"/>
          <w:shd w:val="clear" w:color="auto" w:fill="FFFFFF"/>
          <w:lang w:val="en-US"/>
        </w:rPr>
        <w:t>, Karin.</w:t>
      </w:r>
      <w:r w:rsidRPr="001005B7">
        <w:rPr>
          <w:color w:val="auto"/>
          <w:shd w:val="clear" w:color="auto" w:fill="FFFFFF"/>
          <w:lang w:val="en-US"/>
        </w:rPr>
        <w:t xml:space="preserve"> </w:t>
      </w:r>
      <w:r w:rsidRPr="001005B7">
        <w:rPr>
          <w:color w:val="auto"/>
          <w:lang w:val="en-US"/>
        </w:rPr>
        <w:t>“The Non-Masoretic Hebrew Vorlage of the Old Greek Ezekiel (LXX967/LXXB), Other Non-Masoretic and Proto-Masoretic Ezekiel Texts: Evidence from Quotations of and Allusions to Ezekiel in Second Temple Judaism</w:t>
      </w:r>
      <w:r w:rsidR="00300E32" w:rsidRPr="001005B7">
        <w:rPr>
          <w:color w:val="auto"/>
          <w:lang w:val="en-US"/>
        </w:rPr>
        <w:t xml:space="preserve">.” </w:t>
      </w:r>
      <w:r w:rsidR="00300E32" w:rsidRPr="001005B7">
        <w:rPr>
          <w:i/>
          <w:iCs/>
          <w:color w:val="auto"/>
          <w:lang w:val="en-US"/>
        </w:rPr>
        <w:t xml:space="preserve">VT </w:t>
      </w:r>
      <w:r w:rsidR="00583E10" w:rsidRPr="001005B7">
        <w:rPr>
          <w:color w:val="auto"/>
          <w:lang w:val="en-US"/>
        </w:rPr>
        <w:t>71 (2021): 329</w:t>
      </w:r>
      <w:r w:rsidR="00F46900" w:rsidRPr="001005B7">
        <w:rPr>
          <w:color w:val="auto"/>
          <w:lang w:val="en-US"/>
        </w:rPr>
        <w:t>–</w:t>
      </w:r>
      <w:r w:rsidR="00583E10" w:rsidRPr="001005B7">
        <w:rPr>
          <w:color w:val="auto"/>
          <w:lang w:val="en-US"/>
        </w:rPr>
        <w:t>51.</w:t>
      </w:r>
    </w:p>
    <w:p w14:paraId="60AD997A" w14:textId="56C860A8" w:rsidR="008535E6" w:rsidRPr="001005B7" w:rsidRDefault="008237CA" w:rsidP="006F5BB0">
      <w:pPr>
        <w:pStyle w:val="ListParagraph"/>
        <w:rPr>
          <w:color w:val="auto"/>
          <w:shd w:val="clear" w:color="auto" w:fill="FFFFFF"/>
          <w:lang w:val="en-US"/>
        </w:rPr>
      </w:pPr>
      <w:r w:rsidRPr="001005B7">
        <w:rPr>
          <w:i/>
          <w:iCs/>
          <w:color w:val="auto"/>
          <w:lang w:val="en-US"/>
        </w:rPr>
        <w:t xml:space="preserve">––– </w:t>
      </w:r>
      <w:r w:rsidR="005801EB" w:rsidRPr="001005B7">
        <w:rPr>
          <w:color w:val="auto"/>
          <w:shd w:val="clear" w:color="auto" w:fill="FFFFFF"/>
          <w:lang w:val="en-US"/>
        </w:rPr>
        <w:t>“</w:t>
      </w:r>
      <w:r w:rsidR="008535E6" w:rsidRPr="001005B7">
        <w:rPr>
          <w:color w:val="auto"/>
          <w:lang w:val="en-US"/>
        </w:rPr>
        <w:t>Traditional Textual Criticism Reconsidered: MT (</w:t>
      </w:r>
      <w:r w:rsidR="005801EB" w:rsidRPr="001005B7">
        <w:rPr>
          <w:color w:val="auto"/>
          <w:lang w:val="en-US"/>
        </w:rPr>
        <w:t>C</w:t>
      </w:r>
      <w:r w:rsidR="008535E6" w:rsidRPr="001005B7">
        <w:rPr>
          <w:color w:val="auto"/>
          <w:lang w:val="en-US"/>
        </w:rPr>
        <w:t>odex L)</w:t>
      </w:r>
      <w:r w:rsidR="005801EB" w:rsidRPr="001005B7">
        <w:rPr>
          <w:color w:val="auto"/>
          <w:lang w:val="en-US"/>
        </w:rPr>
        <w:t>—</w:t>
      </w:r>
      <w:r w:rsidR="008535E6" w:rsidRPr="001005B7">
        <w:rPr>
          <w:color w:val="auto"/>
          <w:lang w:val="en-US"/>
        </w:rPr>
        <w:t>Ezek 35, LXX (papyrus 967)</w:t>
      </w:r>
      <w:r w:rsidR="005801EB" w:rsidRPr="001005B7">
        <w:rPr>
          <w:color w:val="auto"/>
          <w:lang w:val="en-US"/>
        </w:rPr>
        <w:t>—</w:t>
      </w:r>
      <w:r w:rsidR="008535E6" w:rsidRPr="001005B7">
        <w:rPr>
          <w:color w:val="auto"/>
          <w:lang w:val="en-US"/>
        </w:rPr>
        <w:t xml:space="preserve">Ezek 35 and its Hebrew Vorlage as Variant Editions and the Implications for the Search for the </w:t>
      </w:r>
      <w:r w:rsidR="00BF6D97" w:rsidRPr="001005B7">
        <w:rPr>
          <w:color w:val="auto"/>
          <w:lang w:val="en-US"/>
        </w:rPr>
        <w:t>‘</w:t>
      </w:r>
      <w:r w:rsidR="008535E6" w:rsidRPr="001005B7">
        <w:rPr>
          <w:color w:val="auto"/>
          <w:lang w:val="en-US"/>
        </w:rPr>
        <w:t>Original</w:t>
      </w:r>
      <w:r w:rsidR="00BF6D97" w:rsidRPr="001005B7">
        <w:rPr>
          <w:color w:val="auto"/>
          <w:lang w:val="en-US"/>
        </w:rPr>
        <w:t>’</w:t>
      </w:r>
      <w:r w:rsidR="008535E6" w:rsidRPr="001005B7">
        <w:rPr>
          <w:color w:val="auto"/>
          <w:lang w:val="en-US"/>
        </w:rPr>
        <w:t xml:space="preserve"> Text</w:t>
      </w:r>
      <w:r w:rsidR="00BF6D97" w:rsidRPr="001005B7">
        <w:rPr>
          <w:color w:val="auto"/>
          <w:lang w:val="en-US"/>
        </w:rPr>
        <w:t xml:space="preserve">.” </w:t>
      </w:r>
      <w:proofErr w:type="spellStart"/>
      <w:r w:rsidR="00BF6D97" w:rsidRPr="001005B7">
        <w:rPr>
          <w:i/>
          <w:iCs/>
          <w:color w:val="auto"/>
          <w:lang w:val="en-US"/>
        </w:rPr>
        <w:t>HeBAI</w:t>
      </w:r>
      <w:proofErr w:type="spellEnd"/>
      <w:r w:rsidR="001A12BC" w:rsidRPr="001005B7">
        <w:rPr>
          <w:i/>
          <w:iCs/>
          <w:color w:val="auto"/>
          <w:lang w:val="en-US"/>
        </w:rPr>
        <w:t xml:space="preserve"> </w:t>
      </w:r>
      <w:r w:rsidR="0024430E" w:rsidRPr="001005B7">
        <w:rPr>
          <w:color w:val="auto"/>
          <w:lang w:val="en-US"/>
        </w:rPr>
        <w:t xml:space="preserve">9 </w:t>
      </w:r>
      <w:r w:rsidR="009D637A" w:rsidRPr="001005B7">
        <w:rPr>
          <w:color w:val="auto"/>
          <w:lang w:val="en-US"/>
        </w:rPr>
        <w:t>(2020): 334</w:t>
      </w:r>
      <w:r w:rsidR="00F46900" w:rsidRPr="001005B7">
        <w:rPr>
          <w:color w:val="auto"/>
          <w:lang w:val="en-US"/>
        </w:rPr>
        <w:t>–</w:t>
      </w:r>
      <w:r w:rsidR="009D637A" w:rsidRPr="001005B7">
        <w:rPr>
          <w:color w:val="auto"/>
          <w:lang w:val="en-US"/>
        </w:rPr>
        <w:t>47.</w:t>
      </w:r>
    </w:p>
    <w:p w14:paraId="45F93E58" w14:textId="4E5DD2F6" w:rsidR="00AF4B5C" w:rsidRPr="001005B7" w:rsidRDefault="00DA3E2B" w:rsidP="006F5BB0">
      <w:pPr>
        <w:pStyle w:val="ListParagraph"/>
        <w:rPr>
          <w:color w:val="auto"/>
          <w:shd w:val="clear" w:color="auto" w:fill="FFFFFF"/>
          <w:lang w:val="en-US"/>
        </w:rPr>
      </w:pPr>
      <w:proofErr w:type="spellStart"/>
      <w:r w:rsidRPr="001005B7">
        <w:rPr>
          <w:color w:val="auto"/>
          <w:shd w:val="clear" w:color="auto" w:fill="FFFFFF"/>
          <w:lang w:val="en-US"/>
        </w:rPr>
        <w:t>Fishbane</w:t>
      </w:r>
      <w:proofErr w:type="spellEnd"/>
      <w:r w:rsidRPr="001005B7">
        <w:rPr>
          <w:color w:val="auto"/>
          <w:shd w:val="clear" w:color="auto" w:fill="FFFFFF"/>
          <w:lang w:val="en-US"/>
        </w:rPr>
        <w:t xml:space="preserve">, Michael. </w:t>
      </w:r>
      <w:r w:rsidR="00CD4767" w:rsidRPr="001005B7">
        <w:rPr>
          <w:color w:val="auto"/>
          <w:shd w:val="clear" w:color="auto" w:fill="FFFFFF"/>
          <w:lang w:val="en-US"/>
        </w:rPr>
        <w:t xml:space="preserve">“Sin and Judgment in the Prophecies of Ezekiel.” </w:t>
      </w:r>
      <w:r w:rsidR="00CD4767" w:rsidRPr="001005B7">
        <w:rPr>
          <w:i/>
          <w:iCs/>
          <w:color w:val="auto"/>
          <w:shd w:val="clear" w:color="auto" w:fill="FFFFFF"/>
          <w:lang w:val="en-US"/>
        </w:rPr>
        <w:t xml:space="preserve">Interpretation </w:t>
      </w:r>
      <w:r w:rsidR="00433598" w:rsidRPr="001005B7">
        <w:rPr>
          <w:color w:val="auto"/>
          <w:shd w:val="clear" w:color="auto" w:fill="FFFFFF"/>
          <w:lang w:val="en-US"/>
        </w:rPr>
        <w:t xml:space="preserve">38 </w:t>
      </w:r>
      <w:r w:rsidR="00CD4767" w:rsidRPr="001005B7">
        <w:rPr>
          <w:color w:val="auto"/>
          <w:shd w:val="clear" w:color="auto" w:fill="FFFFFF"/>
          <w:lang w:val="en-US"/>
        </w:rPr>
        <w:t>(1984):</w:t>
      </w:r>
      <w:r w:rsidR="00A7421F" w:rsidRPr="001005B7">
        <w:rPr>
          <w:color w:val="auto"/>
          <w:shd w:val="clear" w:color="auto" w:fill="FFFFFF"/>
          <w:lang w:val="en-US"/>
        </w:rPr>
        <w:t xml:space="preserve"> 131</w:t>
      </w:r>
      <w:r w:rsidR="00F46900" w:rsidRPr="001005B7">
        <w:rPr>
          <w:color w:val="auto"/>
          <w:shd w:val="clear" w:color="auto" w:fill="FFFFFF"/>
          <w:lang w:val="en-US"/>
        </w:rPr>
        <w:t>–</w:t>
      </w:r>
      <w:r w:rsidR="00A7421F" w:rsidRPr="001005B7">
        <w:rPr>
          <w:color w:val="auto"/>
          <w:shd w:val="clear" w:color="auto" w:fill="FFFFFF"/>
          <w:lang w:val="en-US"/>
        </w:rPr>
        <w:t xml:space="preserve">50. </w:t>
      </w:r>
    </w:p>
    <w:p w14:paraId="3362EC48" w14:textId="147607B7" w:rsidR="00363B31" w:rsidRPr="001005B7" w:rsidRDefault="00363B31" w:rsidP="006F5BB0">
      <w:pPr>
        <w:pStyle w:val="ListParagraph"/>
        <w:rPr>
          <w:color w:val="auto"/>
          <w:shd w:val="clear" w:color="auto" w:fill="FFFFFF"/>
          <w:lang w:val="en-US"/>
        </w:rPr>
      </w:pPr>
      <w:r w:rsidRPr="001005B7">
        <w:rPr>
          <w:color w:val="auto"/>
          <w:shd w:val="clear" w:color="auto" w:fill="FFFFFF"/>
          <w:lang w:val="en-US"/>
        </w:rPr>
        <w:t xml:space="preserve">Fowler, </w:t>
      </w:r>
      <w:r w:rsidR="00082343" w:rsidRPr="001005B7">
        <w:rPr>
          <w:color w:val="auto"/>
          <w:shd w:val="clear" w:color="auto" w:fill="FFFFFF"/>
          <w:lang w:val="en-US"/>
        </w:rPr>
        <w:t xml:space="preserve">William G., and </w:t>
      </w:r>
      <w:r w:rsidRPr="001005B7">
        <w:rPr>
          <w:color w:val="auto"/>
          <w:shd w:val="clear" w:color="auto" w:fill="FFFFFF"/>
          <w:lang w:val="en-US"/>
        </w:rPr>
        <w:t xml:space="preserve">Michael </w:t>
      </w:r>
      <w:r w:rsidR="0068491D" w:rsidRPr="001005B7">
        <w:rPr>
          <w:color w:val="auto"/>
          <w:shd w:val="clear" w:color="auto" w:fill="FFFFFF"/>
          <w:lang w:val="en-US"/>
        </w:rPr>
        <w:t>Strickland</w:t>
      </w:r>
      <w:r w:rsidR="00082343" w:rsidRPr="001005B7">
        <w:rPr>
          <w:color w:val="auto"/>
          <w:shd w:val="clear" w:color="auto" w:fill="FFFFFF"/>
          <w:lang w:val="en-US"/>
        </w:rPr>
        <w:t>.</w:t>
      </w:r>
      <w:r w:rsidR="00D6146B" w:rsidRPr="001005B7">
        <w:rPr>
          <w:color w:val="auto"/>
          <w:shd w:val="clear" w:color="auto" w:fill="FFFFFF"/>
          <w:lang w:val="en-US"/>
        </w:rPr>
        <w:t xml:space="preserve"> </w:t>
      </w:r>
      <w:r w:rsidR="00D6146B" w:rsidRPr="001005B7">
        <w:rPr>
          <w:i/>
          <w:iCs/>
          <w:color w:val="auto"/>
          <w:shd w:val="clear" w:color="auto" w:fill="FFFFFF"/>
          <w:lang w:val="en-US"/>
        </w:rPr>
        <w:t>The Influence of Ezekiel in the Fourth Gospel</w:t>
      </w:r>
      <w:r w:rsidR="00AF4B5C" w:rsidRPr="001005B7">
        <w:rPr>
          <w:i/>
          <w:iCs/>
          <w:color w:val="auto"/>
          <w:shd w:val="clear" w:color="auto" w:fill="FFFFFF"/>
          <w:lang w:val="en-US"/>
        </w:rPr>
        <w:t>: Intertextuality and Interpretation</w:t>
      </w:r>
      <w:r w:rsidR="00D6146B" w:rsidRPr="001005B7">
        <w:rPr>
          <w:i/>
          <w:iCs/>
          <w:color w:val="auto"/>
          <w:shd w:val="clear" w:color="auto" w:fill="FFFFFF"/>
          <w:lang w:val="en-US"/>
        </w:rPr>
        <w:t>.</w:t>
      </w:r>
      <w:r w:rsidR="00D6146B" w:rsidRPr="001005B7">
        <w:rPr>
          <w:color w:val="auto"/>
          <w:shd w:val="clear" w:color="auto" w:fill="FFFFFF"/>
          <w:lang w:val="en-US"/>
        </w:rPr>
        <w:t xml:space="preserve"> </w:t>
      </w:r>
      <w:proofErr w:type="spellStart"/>
      <w:r w:rsidR="00EC2EE1">
        <w:rPr>
          <w:color w:val="auto"/>
          <w:shd w:val="clear" w:color="auto" w:fill="FFFFFF"/>
          <w:lang w:val="en-US"/>
        </w:rPr>
        <w:t>BibInt</w:t>
      </w:r>
      <w:proofErr w:type="spellEnd"/>
      <w:r w:rsidR="00EC2EE1">
        <w:rPr>
          <w:color w:val="auto"/>
          <w:shd w:val="clear" w:color="auto" w:fill="FFFFFF"/>
          <w:lang w:val="en-US"/>
        </w:rPr>
        <w:t xml:space="preserve"> 167. </w:t>
      </w:r>
      <w:r w:rsidR="00D6146B" w:rsidRPr="001005B7">
        <w:rPr>
          <w:color w:val="auto"/>
          <w:shd w:val="clear" w:color="auto" w:fill="FFFFFF"/>
          <w:lang w:val="en-US"/>
        </w:rPr>
        <w:t xml:space="preserve">Leiden: Brill, </w:t>
      </w:r>
      <w:r w:rsidR="0068491D" w:rsidRPr="001005B7">
        <w:rPr>
          <w:color w:val="auto"/>
          <w:shd w:val="clear" w:color="auto" w:fill="FFFFFF"/>
          <w:lang w:val="en-US"/>
        </w:rPr>
        <w:t>2018.</w:t>
      </w:r>
    </w:p>
    <w:p w14:paraId="16FFB4B1" w14:textId="5638E8FA" w:rsidR="00A12108" w:rsidRPr="001005B7" w:rsidRDefault="00A12108" w:rsidP="006F5BB0">
      <w:pPr>
        <w:pStyle w:val="ListParagraph"/>
        <w:rPr>
          <w:color w:val="auto"/>
          <w:shd w:val="clear" w:color="auto" w:fill="FFFFFF"/>
          <w:lang w:val="en-US"/>
        </w:rPr>
      </w:pPr>
      <w:r w:rsidRPr="001005B7">
        <w:rPr>
          <w:color w:val="auto"/>
          <w:shd w:val="clear" w:color="auto" w:fill="FFFFFF"/>
          <w:lang w:val="en-US"/>
        </w:rPr>
        <w:t xml:space="preserve">Furman, Rafael. </w:t>
      </w:r>
      <w:r w:rsidR="008F59A8" w:rsidRPr="001005B7">
        <w:rPr>
          <w:color w:val="auto"/>
          <w:shd w:val="clear" w:color="auto" w:fill="FFFFFF"/>
          <w:lang w:val="en-US"/>
        </w:rPr>
        <w:t xml:space="preserve">“Trauma and Post-Trauma in the Book of Ezekiel.” </w:t>
      </w:r>
      <w:r w:rsidR="008F59A8" w:rsidRPr="001005B7">
        <w:rPr>
          <w:i/>
          <w:iCs/>
          <w:color w:val="auto"/>
          <w:shd w:val="clear" w:color="auto" w:fill="FFFFFF"/>
          <w:lang w:val="en-US"/>
        </w:rPr>
        <w:t xml:space="preserve">OTE </w:t>
      </w:r>
      <w:r w:rsidR="008F59A8" w:rsidRPr="001005B7">
        <w:rPr>
          <w:color w:val="auto"/>
          <w:shd w:val="clear" w:color="auto" w:fill="FFFFFF"/>
          <w:lang w:val="en-US"/>
        </w:rPr>
        <w:t>33 (2020): 32</w:t>
      </w:r>
      <w:r w:rsidR="00F46900" w:rsidRPr="001005B7">
        <w:rPr>
          <w:color w:val="auto"/>
          <w:shd w:val="clear" w:color="auto" w:fill="FFFFFF"/>
          <w:lang w:val="en-US"/>
        </w:rPr>
        <w:t>–</w:t>
      </w:r>
      <w:r w:rsidR="008F59A8" w:rsidRPr="001005B7">
        <w:rPr>
          <w:color w:val="auto"/>
          <w:shd w:val="clear" w:color="auto" w:fill="FFFFFF"/>
          <w:lang w:val="en-US"/>
        </w:rPr>
        <w:t>59.</w:t>
      </w:r>
    </w:p>
    <w:p w14:paraId="6EC3DDDD" w14:textId="452EC6E8" w:rsidR="003202CE" w:rsidRPr="001005B7" w:rsidRDefault="003202CE" w:rsidP="006F5BB0">
      <w:pPr>
        <w:pStyle w:val="ListParagraph"/>
        <w:rPr>
          <w:color w:val="auto"/>
          <w:shd w:val="clear" w:color="auto" w:fill="FFFFFF"/>
          <w:lang w:val="en-US"/>
        </w:rPr>
      </w:pPr>
      <w:proofErr w:type="spellStart"/>
      <w:r w:rsidRPr="001005B7">
        <w:rPr>
          <w:color w:val="auto"/>
          <w:shd w:val="clear" w:color="auto" w:fill="FFFFFF"/>
          <w:lang w:val="en-US"/>
        </w:rPr>
        <w:t>Galambush</w:t>
      </w:r>
      <w:proofErr w:type="spellEnd"/>
      <w:r w:rsidRPr="001005B7">
        <w:rPr>
          <w:color w:val="auto"/>
          <w:shd w:val="clear" w:color="auto" w:fill="FFFFFF"/>
          <w:lang w:val="en-US"/>
        </w:rPr>
        <w:t>, Julie. Th</w:t>
      </w:r>
      <w:r w:rsidRPr="001005B7">
        <w:rPr>
          <w:color w:val="auto"/>
          <w:lang w:val="en-US"/>
        </w:rPr>
        <w:t xml:space="preserve">is Land Is My Land: On Nature as Property in the Book of Ezekiel.” In </w:t>
      </w:r>
      <w:r w:rsidR="00734F3A" w:rsidRPr="001005B7">
        <w:rPr>
          <w:color w:val="auto"/>
          <w:lang w:val="en-US"/>
        </w:rPr>
        <w:t xml:space="preserve">Lester L. </w:t>
      </w:r>
      <w:proofErr w:type="spellStart"/>
      <w:r w:rsidR="00734F3A" w:rsidRPr="001005B7">
        <w:rPr>
          <w:color w:val="auto"/>
          <w:lang w:val="en-US"/>
        </w:rPr>
        <w:t>Grabbe</w:t>
      </w:r>
      <w:proofErr w:type="spellEnd"/>
      <w:r w:rsidR="00734F3A" w:rsidRPr="001005B7">
        <w:rPr>
          <w:color w:val="auto"/>
          <w:lang w:val="en-US"/>
        </w:rPr>
        <w:t xml:space="preserve"> and Robert D. </w:t>
      </w:r>
      <w:proofErr w:type="spellStart"/>
      <w:r w:rsidR="00734F3A" w:rsidRPr="001005B7">
        <w:rPr>
          <w:color w:val="auto"/>
          <w:lang w:val="en-US"/>
        </w:rPr>
        <w:t>Haak</w:t>
      </w:r>
      <w:proofErr w:type="spellEnd"/>
      <w:r w:rsidR="00752359" w:rsidRPr="001005B7">
        <w:rPr>
          <w:color w:val="auto"/>
          <w:lang w:val="en-US"/>
        </w:rPr>
        <w:t>, ed.,</w:t>
      </w:r>
      <w:r w:rsidR="00734F3A" w:rsidRPr="001005B7">
        <w:rPr>
          <w:color w:val="auto"/>
          <w:lang w:val="en-US"/>
        </w:rPr>
        <w:t xml:space="preserve"> </w:t>
      </w:r>
      <w:r w:rsidR="00734F3A" w:rsidRPr="001005B7">
        <w:rPr>
          <w:i/>
          <w:iCs/>
          <w:color w:val="auto"/>
          <w:lang w:val="en-US"/>
        </w:rPr>
        <w:t>Every City Shall Be Forsaken</w:t>
      </w:r>
      <w:r w:rsidR="00752359" w:rsidRPr="001005B7">
        <w:rPr>
          <w:i/>
          <w:iCs/>
          <w:color w:val="auto"/>
          <w:lang w:val="en-US"/>
        </w:rPr>
        <w:t>”</w:t>
      </w:r>
      <w:r w:rsidR="00734F3A" w:rsidRPr="001005B7">
        <w:rPr>
          <w:i/>
          <w:iCs/>
          <w:color w:val="auto"/>
          <w:lang w:val="en-US"/>
        </w:rPr>
        <w:t>: Urbanism and Prophecy in Ancient Israel and the Near Eas</w:t>
      </w:r>
      <w:r w:rsidR="00057D5F" w:rsidRPr="001005B7">
        <w:rPr>
          <w:i/>
          <w:iCs/>
          <w:color w:val="auto"/>
          <w:lang w:val="en-US"/>
        </w:rPr>
        <w:t>t</w:t>
      </w:r>
      <w:r w:rsidR="00057D5F" w:rsidRPr="001005B7">
        <w:rPr>
          <w:color w:val="auto"/>
          <w:lang w:val="en-US"/>
        </w:rPr>
        <w:t xml:space="preserve">, </w:t>
      </w:r>
      <w:r w:rsidR="00095FF0" w:rsidRPr="001005B7">
        <w:rPr>
          <w:color w:val="auto"/>
          <w:lang w:val="en-US"/>
        </w:rPr>
        <w:t>71</w:t>
      </w:r>
      <w:r w:rsidR="00F46900" w:rsidRPr="001005B7">
        <w:rPr>
          <w:color w:val="auto"/>
          <w:lang w:val="en-US"/>
        </w:rPr>
        <w:t>–</w:t>
      </w:r>
      <w:r w:rsidR="00095FF0" w:rsidRPr="001005B7">
        <w:rPr>
          <w:color w:val="auto"/>
          <w:lang w:val="en-US"/>
        </w:rPr>
        <w:t>94</w:t>
      </w:r>
      <w:r w:rsidR="00FB74C9" w:rsidRPr="001005B7">
        <w:rPr>
          <w:color w:val="auto"/>
          <w:lang w:val="en-US"/>
        </w:rPr>
        <w:t xml:space="preserve">. </w:t>
      </w:r>
      <w:proofErr w:type="spellStart"/>
      <w:r w:rsidR="00B07CF2" w:rsidRPr="001005B7">
        <w:rPr>
          <w:color w:val="auto"/>
          <w:lang w:val="en-US"/>
        </w:rPr>
        <w:t>JSOTSup</w:t>
      </w:r>
      <w:proofErr w:type="spellEnd"/>
      <w:r w:rsidR="00B07CF2" w:rsidRPr="001005B7">
        <w:rPr>
          <w:color w:val="auto"/>
          <w:lang w:val="en-US"/>
        </w:rPr>
        <w:t xml:space="preserve"> 330. </w:t>
      </w:r>
      <w:r w:rsidR="00FB74C9" w:rsidRPr="001005B7">
        <w:rPr>
          <w:color w:val="auto"/>
          <w:lang w:val="en-US"/>
        </w:rPr>
        <w:t>Sheffield: Sheffield Academic Press, 200</w:t>
      </w:r>
      <w:r w:rsidR="00151B29" w:rsidRPr="001005B7">
        <w:rPr>
          <w:color w:val="auto"/>
          <w:lang w:val="en-US"/>
        </w:rPr>
        <w:t>1</w:t>
      </w:r>
      <w:r w:rsidR="00FB74C9" w:rsidRPr="001005B7">
        <w:rPr>
          <w:color w:val="auto"/>
          <w:lang w:val="en-US"/>
        </w:rPr>
        <w:t>.</w:t>
      </w:r>
    </w:p>
    <w:p w14:paraId="4A9F1193" w14:textId="1FDBFCE5" w:rsidR="00D77AE7" w:rsidRPr="001005B7" w:rsidRDefault="00352E9E" w:rsidP="006F5BB0">
      <w:pPr>
        <w:pStyle w:val="ListParagraph"/>
        <w:rPr>
          <w:color w:val="auto"/>
          <w:lang w:val="en-US"/>
        </w:rPr>
      </w:pPr>
      <w:r w:rsidRPr="001005B7">
        <w:rPr>
          <w:color w:val="auto"/>
          <w:lang w:val="en-US"/>
        </w:rPr>
        <w:t>Garber, David G. “‘</w:t>
      </w:r>
      <w:r w:rsidR="008C3210" w:rsidRPr="001005B7">
        <w:rPr>
          <w:color w:val="auto"/>
          <w:lang w:val="en-US"/>
        </w:rPr>
        <w:t>I</w:t>
      </w:r>
      <w:r w:rsidRPr="001005B7">
        <w:rPr>
          <w:color w:val="auto"/>
          <w:lang w:val="en-US"/>
        </w:rPr>
        <w:t xml:space="preserve"> </w:t>
      </w:r>
      <w:r w:rsidR="008C3210" w:rsidRPr="001005B7">
        <w:rPr>
          <w:color w:val="auto"/>
          <w:lang w:val="en-US"/>
        </w:rPr>
        <w:t>W</w:t>
      </w:r>
      <w:r w:rsidRPr="001005B7">
        <w:rPr>
          <w:color w:val="auto"/>
          <w:lang w:val="en-US"/>
        </w:rPr>
        <w:t xml:space="preserve">ent in </w:t>
      </w:r>
      <w:r w:rsidR="008C3210" w:rsidRPr="001005B7">
        <w:rPr>
          <w:color w:val="auto"/>
          <w:lang w:val="en-US"/>
        </w:rPr>
        <w:t>B</w:t>
      </w:r>
      <w:r w:rsidRPr="001005B7">
        <w:rPr>
          <w:color w:val="auto"/>
          <w:lang w:val="en-US"/>
        </w:rPr>
        <w:t>itterness’: Th</w:t>
      </w:r>
      <w:r w:rsidR="008004F8" w:rsidRPr="001005B7">
        <w:rPr>
          <w:color w:val="auto"/>
          <w:lang w:val="en-US"/>
        </w:rPr>
        <w:t>eolo</w:t>
      </w:r>
      <w:r w:rsidRPr="001005B7">
        <w:rPr>
          <w:color w:val="auto"/>
          <w:lang w:val="en-US"/>
        </w:rPr>
        <w:t>g</w:t>
      </w:r>
      <w:r w:rsidR="008004F8" w:rsidRPr="001005B7">
        <w:rPr>
          <w:color w:val="auto"/>
          <w:lang w:val="en-US"/>
        </w:rPr>
        <w:t>i</w:t>
      </w:r>
      <w:r w:rsidRPr="001005B7">
        <w:rPr>
          <w:color w:val="auto"/>
          <w:lang w:val="en-US"/>
        </w:rPr>
        <w:t xml:space="preserve">cal </w:t>
      </w:r>
      <w:r w:rsidR="008004F8" w:rsidRPr="001005B7">
        <w:rPr>
          <w:color w:val="auto"/>
          <w:lang w:val="en-US"/>
        </w:rPr>
        <w:t>I</w:t>
      </w:r>
      <w:r w:rsidRPr="001005B7">
        <w:rPr>
          <w:color w:val="auto"/>
          <w:lang w:val="en-US"/>
        </w:rPr>
        <w:t xml:space="preserve">mplications of a </w:t>
      </w:r>
      <w:r w:rsidR="008004F8" w:rsidRPr="001005B7">
        <w:rPr>
          <w:color w:val="auto"/>
          <w:lang w:val="en-US"/>
        </w:rPr>
        <w:t>T</w:t>
      </w:r>
      <w:r w:rsidRPr="001005B7">
        <w:rPr>
          <w:color w:val="auto"/>
          <w:lang w:val="en-US"/>
        </w:rPr>
        <w:t xml:space="preserve">rauma </w:t>
      </w:r>
      <w:r w:rsidR="008004F8" w:rsidRPr="001005B7">
        <w:rPr>
          <w:color w:val="auto"/>
          <w:lang w:val="en-US"/>
        </w:rPr>
        <w:t>T</w:t>
      </w:r>
      <w:r w:rsidRPr="001005B7">
        <w:rPr>
          <w:color w:val="auto"/>
          <w:lang w:val="en-US"/>
        </w:rPr>
        <w:t xml:space="preserve">heory </w:t>
      </w:r>
      <w:r w:rsidR="008004F8" w:rsidRPr="001005B7">
        <w:rPr>
          <w:color w:val="auto"/>
          <w:lang w:val="en-US"/>
        </w:rPr>
        <w:t>R</w:t>
      </w:r>
      <w:r w:rsidRPr="001005B7">
        <w:rPr>
          <w:color w:val="auto"/>
          <w:lang w:val="en-US"/>
        </w:rPr>
        <w:t>eading of Ezekiel</w:t>
      </w:r>
      <w:r w:rsidR="008004F8" w:rsidRPr="001005B7">
        <w:rPr>
          <w:color w:val="auto"/>
          <w:lang w:val="en-US"/>
        </w:rPr>
        <w:t xml:space="preserve">.” </w:t>
      </w:r>
      <w:proofErr w:type="spellStart"/>
      <w:r w:rsidR="008004F8" w:rsidRPr="001005B7">
        <w:rPr>
          <w:i/>
          <w:iCs/>
          <w:color w:val="auto"/>
          <w:lang w:val="en-US"/>
        </w:rPr>
        <w:t>RevExp</w:t>
      </w:r>
      <w:proofErr w:type="spellEnd"/>
      <w:r w:rsidR="008004F8" w:rsidRPr="001005B7">
        <w:rPr>
          <w:i/>
          <w:iCs/>
          <w:color w:val="auto"/>
          <w:lang w:val="en-US"/>
        </w:rPr>
        <w:t xml:space="preserve"> </w:t>
      </w:r>
      <w:r w:rsidR="00982829" w:rsidRPr="001005B7">
        <w:rPr>
          <w:color w:val="auto"/>
          <w:lang w:val="en-US"/>
        </w:rPr>
        <w:t>111 (2014): 346</w:t>
      </w:r>
      <w:r w:rsidR="00F46900" w:rsidRPr="001005B7">
        <w:rPr>
          <w:color w:val="auto"/>
          <w:lang w:val="en-US"/>
        </w:rPr>
        <w:t>–</w:t>
      </w:r>
      <w:r w:rsidR="00982829" w:rsidRPr="001005B7">
        <w:rPr>
          <w:color w:val="auto"/>
          <w:lang w:val="en-US"/>
        </w:rPr>
        <w:t xml:space="preserve">57. </w:t>
      </w:r>
    </w:p>
    <w:p w14:paraId="661EEEF8" w14:textId="68161097" w:rsidR="00612DFE" w:rsidRPr="001005B7" w:rsidRDefault="00427E18" w:rsidP="006F5BB0">
      <w:pPr>
        <w:pStyle w:val="ListParagraph"/>
        <w:rPr>
          <w:color w:val="auto"/>
          <w:lang w:val="en-US"/>
        </w:rPr>
      </w:pPr>
      <w:r w:rsidRPr="001005B7">
        <w:rPr>
          <w:i/>
          <w:iCs/>
          <w:color w:val="auto"/>
          <w:lang w:val="en-US"/>
        </w:rPr>
        <w:t>–––</w:t>
      </w:r>
      <w:r w:rsidR="00612DFE" w:rsidRPr="001005B7">
        <w:rPr>
          <w:color w:val="auto"/>
          <w:lang w:val="en-US"/>
        </w:rPr>
        <w:t>“A Vocabulary of Trauma in the Exilic Writings</w:t>
      </w:r>
      <w:r w:rsidR="00BA17CB" w:rsidRPr="001005B7">
        <w:rPr>
          <w:color w:val="auto"/>
          <w:lang w:val="en-US"/>
        </w:rPr>
        <w:t>.</w:t>
      </w:r>
      <w:r w:rsidR="00612DFE" w:rsidRPr="001005B7">
        <w:rPr>
          <w:color w:val="auto"/>
          <w:lang w:val="en-US"/>
        </w:rPr>
        <w:t xml:space="preserve">” in </w:t>
      </w:r>
      <w:r w:rsidR="00FE1004" w:rsidRPr="001005B7">
        <w:rPr>
          <w:color w:val="auto"/>
          <w:lang w:val="en-US"/>
        </w:rPr>
        <w:t>B</w:t>
      </w:r>
      <w:r w:rsidR="001C241B" w:rsidRPr="001005B7">
        <w:rPr>
          <w:color w:val="auto"/>
          <w:lang w:val="en-US"/>
        </w:rPr>
        <w:t>rad E.</w:t>
      </w:r>
      <w:r w:rsidR="00FE1004" w:rsidRPr="001005B7">
        <w:rPr>
          <w:color w:val="auto"/>
          <w:lang w:val="en-US"/>
        </w:rPr>
        <w:t xml:space="preserve"> Kelle, F</w:t>
      </w:r>
      <w:r w:rsidR="00835B25" w:rsidRPr="001005B7">
        <w:rPr>
          <w:color w:val="auto"/>
          <w:lang w:val="en-US"/>
        </w:rPr>
        <w:t>rank R.</w:t>
      </w:r>
      <w:r w:rsidR="00FE1004" w:rsidRPr="001005B7">
        <w:rPr>
          <w:color w:val="auto"/>
          <w:lang w:val="en-US"/>
        </w:rPr>
        <w:t xml:space="preserve"> Ames, and J</w:t>
      </w:r>
      <w:r w:rsidR="00087944" w:rsidRPr="001005B7">
        <w:rPr>
          <w:color w:val="auto"/>
          <w:lang w:val="en-US"/>
        </w:rPr>
        <w:t>acob L.</w:t>
      </w:r>
      <w:r w:rsidR="00FE1004" w:rsidRPr="001005B7">
        <w:rPr>
          <w:color w:val="auto"/>
          <w:lang w:val="en-US"/>
        </w:rPr>
        <w:t xml:space="preserve"> Wright, ed.</w:t>
      </w:r>
      <w:r w:rsidR="00146315" w:rsidRPr="001005B7">
        <w:rPr>
          <w:color w:val="auto"/>
          <w:lang w:val="en-US"/>
        </w:rPr>
        <w:t>,</w:t>
      </w:r>
      <w:r w:rsidR="00FE1004" w:rsidRPr="001005B7">
        <w:rPr>
          <w:i/>
          <w:iCs/>
          <w:color w:val="auto"/>
          <w:lang w:val="en-US"/>
        </w:rPr>
        <w:t xml:space="preserve"> </w:t>
      </w:r>
      <w:r w:rsidR="00612DFE" w:rsidRPr="001005B7">
        <w:rPr>
          <w:i/>
          <w:iCs/>
          <w:color w:val="auto"/>
          <w:lang w:val="en-US"/>
        </w:rPr>
        <w:t>Interpreting Exile: Displacement and Deportation in Biblical and Modern Contexts</w:t>
      </w:r>
      <w:r w:rsidR="00146315" w:rsidRPr="001005B7">
        <w:rPr>
          <w:color w:val="auto"/>
          <w:lang w:val="en-US"/>
        </w:rPr>
        <w:t>, 309</w:t>
      </w:r>
      <w:r w:rsidR="00F46900" w:rsidRPr="001005B7">
        <w:rPr>
          <w:color w:val="auto"/>
          <w:lang w:val="en-US"/>
        </w:rPr>
        <w:t>–</w:t>
      </w:r>
      <w:r w:rsidR="00146315" w:rsidRPr="001005B7">
        <w:rPr>
          <w:color w:val="auto"/>
          <w:lang w:val="en-US"/>
        </w:rPr>
        <w:t>22.</w:t>
      </w:r>
      <w:r w:rsidR="00612DFE" w:rsidRPr="001005B7">
        <w:rPr>
          <w:color w:val="auto"/>
          <w:lang w:val="en-US"/>
        </w:rPr>
        <w:t xml:space="preserve"> SBLAIL 10</w:t>
      </w:r>
      <w:r w:rsidR="00146315" w:rsidRPr="001005B7">
        <w:rPr>
          <w:color w:val="auto"/>
          <w:lang w:val="en-US"/>
        </w:rPr>
        <w:t>.</w:t>
      </w:r>
      <w:r w:rsidR="00612DFE" w:rsidRPr="001005B7">
        <w:rPr>
          <w:color w:val="auto"/>
          <w:lang w:val="en-US"/>
        </w:rPr>
        <w:t xml:space="preserve"> Atlanta: S</w:t>
      </w:r>
      <w:r w:rsidR="00146315" w:rsidRPr="001005B7">
        <w:rPr>
          <w:color w:val="auto"/>
          <w:lang w:val="en-US"/>
        </w:rPr>
        <w:t>BL</w:t>
      </w:r>
      <w:r w:rsidR="00612DFE" w:rsidRPr="001005B7">
        <w:rPr>
          <w:color w:val="auto"/>
          <w:lang w:val="en-US"/>
        </w:rPr>
        <w:t>, 2011</w:t>
      </w:r>
      <w:r w:rsidR="00146315" w:rsidRPr="001005B7">
        <w:rPr>
          <w:color w:val="auto"/>
          <w:lang w:val="en-US"/>
        </w:rPr>
        <w:t>.</w:t>
      </w:r>
    </w:p>
    <w:p w14:paraId="43D04E87" w14:textId="325151E9" w:rsidR="00A427DF" w:rsidRPr="001005B7" w:rsidRDefault="00A427DF" w:rsidP="006F5BB0">
      <w:pPr>
        <w:pStyle w:val="ListParagraph"/>
        <w:rPr>
          <w:color w:val="auto"/>
          <w:lang w:val="en-US"/>
        </w:rPr>
      </w:pPr>
      <w:r w:rsidRPr="001005B7">
        <w:rPr>
          <w:color w:val="auto"/>
          <w:lang w:val="en-US"/>
        </w:rPr>
        <w:t xml:space="preserve">García Martínez, Florentino. "The Apocalyptic Interpretation of Ezekiel in the Dead Sea Scrolls." In Florentino García Martínez, Marc </w:t>
      </w:r>
      <w:proofErr w:type="spellStart"/>
      <w:r w:rsidRPr="001005B7">
        <w:rPr>
          <w:color w:val="auto"/>
          <w:lang w:val="en-US"/>
        </w:rPr>
        <w:t>Vervenne</w:t>
      </w:r>
      <w:proofErr w:type="spellEnd"/>
      <w:r w:rsidRPr="001005B7">
        <w:rPr>
          <w:color w:val="auto"/>
          <w:lang w:val="en-US"/>
        </w:rPr>
        <w:t xml:space="preserve">, and Brian Doyle, ed., </w:t>
      </w:r>
      <w:r w:rsidRPr="001005B7">
        <w:rPr>
          <w:i/>
          <w:iCs/>
          <w:color w:val="auto"/>
          <w:lang w:val="en-US"/>
        </w:rPr>
        <w:t xml:space="preserve">Interpreting Translation: Studies on the LXX and Ezekiel in </w:t>
      </w:r>
      <w:proofErr w:type="spellStart"/>
      <w:r w:rsidRPr="001005B7">
        <w:rPr>
          <w:i/>
          <w:iCs/>
          <w:color w:val="auto"/>
          <w:lang w:val="en-US"/>
        </w:rPr>
        <w:t>Honour</w:t>
      </w:r>
      <w:proofErr w:type="spellEnd"/>
      <w:r w:rsidRPr="001005B7">
        <w:rPr>
          <w:i/>
          <w:iCs/>
          <w:color w:val="auto"/>
          <w:lang w:val="en-US"/>
        </w:rPr>
        <w:t xml:space="preserve"> of Johan Lust</w:t>
      </w:r>
      <w:r w:rsidRPr="001005B7">
        <w:rPr>
          <w:color w:val="auto"/>
          <w:lang w:val="en-US"/>
        </w:rPr>
        <w:t>, 163</w:t>
      </w:r>
      <w:r w:rsidR="00F46900" w:rsidRPr="001005B7">
        <w:rPr>
          <w:color w:val="auto"/>
          <w:lang w:val="en-US"/>
        </w:rPr>
        <w:t>–</w:t>
      </w:r>
      <w:r w:rsidRPr="001005B7">
        <w:rPr>
          <w:color w:val="auto"/>
          <w:lang w:val="en-US"/>
        </w:rPr>
        <w:t xml:space="preserve">76. BETL 192. Leuven: </w:t>
      </w:r>
      <w:proofErr w:type="spellStart"/>
      <w:r w:rsidRPr="001005B7">
        <w:rPr>
          <w:color w:val="auto"/>
          <w:lang w:val="en-US"/>
        </w:rPr>
        <w:t>Peeters</w:t>
      </w:r>
      <w:proofErr w:type="spellEnd"/>
      <w:r w:rsidRPr="001005B7">
        <w:rPr>
          <w:color w:val="auto"/>
          <w:lang w:val="en-US"/>
        </w:rPr>
        <w:t>, 2005.</w:t>
      </w:r>
    </w:p>
    <w:p w14:paraId="301352AE" w14:textId="34D41B00" w:rsidR="007D7AD6" w:rsidRPr="001005B7" w:rsidRDefault="00066059" w:rsidP="006F5BB0">
      <w:pPr>
        <w:pStyle w:val="ListParagraph"/>
        <w:rPr>
          <w:color w:val="auto"/>
          <w:lang w:val="en-US"/>
        </w:rPr>
      </w:pPr>
      <w:proofErr w:type="spellStart"/>
      <w:r w:rsidRPr="001005B7">
        <w:rPr>
          <w:color w:val="auto"/>
          <w:lang w:val="en-US"/>
        </w:rPr>
        <w:t>Gile</w:t>
      </w:r>
      <w:proofErr w:type="spellEnd"/>
      <w:r w:rsidRPr="001005B7">
        <w:rPr>
          <w:color w:val="auto"/>
          <w:lang w:val="en-US"/>
        </w:rPr>
        <w:t xml:space="preserve">, Jason. </w:t>
      </w:r>
      <w:r w:rsidRPr="001005B7">
        <w:rPr>
          <w:i/>
          <w:iCs/>
          <w:color w:val="auto"/>
          <w:lang w:val="en-US"/>
        </w:rPr>
        <w:t>Ezekiel and the Wo</w:t>
      </w:r>
      <w:r w:rsidR="005B1A54" w:rsidRPr="001005B7">
        <w:rPr>
          <w:i/>
          <w:iCs/>
          <w:color w:val="auto"/>
          <w:lang w:val="en-US"/>
        </w:rPr>
        <w:t>r</w:t>
      </w:r>
      <w:r w:rsidRPr="001005B7">
        <w:rPr>
          <w:i/>
          <w:iCs/>
          <w:color w:val="auto"/>
          <w:lang w:val="en-US"/>
        </w:rPr>
        <w:t>ld of Deuteronomy</w:t>
      </w:r>
      <w:r w:rsidRPr="001005B7">
        <w:rPr>
          <w:color w:val="auto"/>
          <w:lang w:val="en-US"/>
        </w:rPr>
        <w:t xml:space="preserve">. LHBOTS </w:t>
      </w:r>
      <w:r w:rsidR="00511D56" w:rsidRPr="001005B7">
        <w:rPr>
          <w:color w:val="auto"/>
          <w:lang w:val="en-US"/>
        </w:rPr>
        <w:t>703. London: T&amp;T Clark, 2021.</w:t>
      </w:r>
    </w:p>
    <w:p w14:paraId="4B8A1A76" w14:textId="7E692591" w:rsidR="009F39F8" w:rsidRPr="001005B7" w:rsidRDefault="009F39F8" w:rsidP="006F5BB0">
      <w:pPr>
        <w:pStyle w:val="ListParagraph"/>
        <w:rPr>
          <w:color w:val="auto"/>
          <w:lang w:val="en-US"/>
        </w:rPr>
      </w:pPr>
      <w:r w:rsidRPr="001005B7">
        <w:rPr>
          <w:color w:val="auto"/>
          <w:lang w:val="en-US"/>
        </w:rPr>
        <w:t>Greenber</w:t>
      </w:r>
      <w:r w:rsidR="00F66DDC" w:rsidRPr="001005B7">
        <w:rPr>
          <w:color w:val="auto"/>
          <w:lang w:val="en-US"/>
        </w:rPr>
        <w:t>g</w:t>
      </w:r>
      <w:r w:rsidRPr="001005B7">
        <w:rPr>
          <w:color w:val="auto"/>
          <w:lang w:val="en-US"/>
        </w:rPr>
        <w:t>, Moshe</w:t>
      </w:r>
      <w:r w:rsidR="00F66DDC" w:rsidRPr="001005B7">
        <w:rPr>
          <w:color w:val="auto"/>
          <w:lang w:val="en-US"/>
        </w:rPr>
        <w:t xml:space="preserve">. </w:t>
      </w:r>
      <w:r w:rsidR="00F66DDC" w:rsidRPr="001005B7">
        <w:rPr>
          <w:i/>
          <w:iCs/>
          <w:color w:val="auto"/>
          <w:lang w:val="en-US"/>
        </w:rPr>
        <w:t>Studies in the Bible and Je</w:t>
      </w:r>
      <w:r w:rsidR="00965972" w:rsidRPr="001005B7">
        <w:rPr>
          <w:i/>
          <w:iCs/>
          <w:color w:val="auto"/>
          <w:lang w:val="en-US"/>
        </w:rPr>
        <w:t>w</w:t>
      </w:r>
      <w:r w:rsidR="00F66DDC" w:rsidRPr="001005B7">
        <w:rPr>
          <w:i/>
          <w:iCs/>
          <w:color w:val="auto"/>
          <w:lang w:val="en-US"/>
        </w:rPr>
        <w:t>ish Thought.</w:t>
      </w:r>
      <w:r w:rsidR="00A97AAA" w:rsidRPr="001005B7">
        <w:rPr>
          <w:i/>
          <w:iCs/>
          <w:color w:val="auto"/>
          <w:lang w:val="en-US"/>
        </w:rPr>
        <w:t xml:space="preserve"> </w:t>
      </w:r>
      <w:r w:rsidR="00A97AAA" w:rsidRPr="001005B7">
        <w:rPr>
          <w:color w:val="auto"/>
          <w:lang w:val="en-US"/>
        </w:rPr>
        <w:t>Philadelphia: Jewish Publication Society, 1995.</w:t>
      </w:r>
    </w:p>
    <w:p w14:paraId="3213E217" w14:textId="21A6937D" w:rsidR="00BA2FE8" w:rsidRPr="001005B7" w:rsidRDefault="005D0925" w:rsidP="006F5BB0">
      <w:pPr>
        <w:pStyle w:val="ListParagraph"/>
        <w:rPr>
          <w:rFonts w:ascii="Helvetica" w:hAnsi="Helvetica" w:cs="Helvetica"/>
          <w:color w:val="auto"/>
          <w:sz w:val="20"/>
          <w:szCs w:val="20"/>
          <w:lang w:val="en-US"/>
        </w:rPr>
      </w:pPr>
      <w:r w:rsidRPr="001005B7">
        <w:rPr>
          <w:rStyle w:val="medium-font"/>
          <w:rFonts w:ascii="Helvetica" w:hAnsi="Helvetica" w:cs="Helvetica"/>
          <w:color w:val="auto"/>
          <w:sz w:val="20"/>
          <w:szCs w:val="20"/>
          <w:bdr w:val="none" w:sz="0" w:space="0" w:color="auto" w:frame="1"/>
          <w:lang w:val="en-US"/>
        </w:rPr>
        <w:t>Gros, Jeffrey</w:t>
      </w:r>
      <w:r w:rsidRPr="001005B7">
        <w:rPr>
          <w:rFonts w:ascii="Helvetica" w:hAnsi="Helvetica" w:cs="Helvetica"/>
          <w:color w:val="auto"/>
          <w:sz w:val="20"/>
          <w:szCs w:val="20"/>
          <w:lang w:val="en-US"/>
        </w:rPr>
        <w:t xml:space="preserve">. </w:t>
      </w:r>
      <w:r w:rsidR="00BA2FE8" w:rsidRPr="001005B7">
        <w:rPr>
          <w:color w:val="auto"/>
          <w:bdr w:val="none" w:sz="0" w:space="0" w:color="auto" w:frame="1"/>
          <w:lang w:val="en-US"/>
        </w:rPr>
        <w:t>The </w:t>
      </w:r>
      <w:r w:rsidR="003218A9" w:rsidRPr="001005B7">
        <w:rPr>
          <w:rStyle w:val="Strong"/>
          <w:b w:val="0"/>
          <w:bCs w:val="0"/>
          <w:i/>
          <w:iCs/>
          <w:color w:val="auto"/>
          <w:bdr w:val="none" w:sz="0" w:space="0" w:color="auto" w:frame="1"/>
          <w:lang w:val="en-US"/>
        </w:rPr>
        <w:t>O</w:t>
      </w:r>
      <w:r w:rsidR="00BA2FE8" w:rsidRPr="001005B7">
        <w:rPr>
          <w:rStyle w:val="Strong"/>
          <w:b w:val="0"/>
          <w:bCs w:val="0"/>
          <w:i/>
          <w:iCs/>
          <w:color w:val="auto"/>
          <w:bdr w:val="none" w:sz="0" w:space="0" w:color="auto" w:frame="1"/>
          <w:lang w:val="en-US"/>
        </w:rPr>
        <w:t>rigins</w:t>
      </w:r>
      <w:r w:rsidR="00BA2FE8" w:rsidRPr="001005B7">
        <w:rPr>
          <w:color w:val="auto"/>
          <w:bdr w:val="none" w:sz="0" w:space="0" w:color="auto" w:frame="1"/>
          <w:lang w:val="en-US"/>
        </w:rPr>
        <w:t> of </w:t>
      </w:r>
      <w:r w:rsidR="00BA2FE8" w:rsidRPr="001005B7">
        <w:rPr>
          <w:rStyle w:val="Strong"/>
          <w:b w:val="0"/>
          <w:bCs w:val="0"/>
          <w:i/>
          <w:iCs/>
          <w:color w:val="auto"/>
          <w:bdr w:val="none" w:sz="0" w:space="0" w:color="auto" w:frame="1"/>
          <w:lang w:val="en-US"/>
        </w:rPr>
        <w:t>Christian</w:t>
      </w:r>
      <w:r w:rsidR="00BA2FE8" w:rsidRPr="001005B7">
        <w:rPr>
          <w:color w:val="auto"/>
          <w:bdr w:val="none" w:sz="0" w:space="0" w:color="auto" w:frame="1"/>
          <w:lang w:val="en-US"/>
        </w:rPr>
        <w:t> </w:t>
      </w:r>
      <w:r w:rsidR="00BA2FE8" w:rsidRPr="001005B7">
        <w:rPr>
          <w:rStyle w:val="Strong"/>
          <w:b w:val="0"/>
          <w:bCs w:val="0"/>
          <w:i/>
          <w:iCs/>
          <w:color w:val="auto"/>
          <w:bdr w:val="none" w:sz="0" w:space="0" w:color="auto" w:frame="1"/>
          <w:lang w:val="en-US"/>
        </w:rPr>
        <w:t>Zionism</w:t>
      </w:r>
      <w:r w:rsidR="00BA2FE8" w:rsidRPr="001005B7">
        <w:rPr>
          <w:i/>
          <w:iCs/>
          <w:color w:val="auto"/>
          <w:bdr w:val="none" w:sz="0" w:space="0" w:color="auto" w:frame="1"/>
          <w:lang w:val="en-US"/>
        </w:rPr>
        <w:t xml:space="preserve">: Lord Shaftesbury and </w:t>
      </w:r>
      <w:r w:rsidR="003218A9" w:rsidRPr="001005B7">
        <w:rPr>
          <w:i/>
          <w:iCs/>
          <w:color w:val="auto"/>
          <w:bdr w:val="none" w:sz="0" w:space="0" w:color="auto" w:frame="1"/>
          <w:lang w:val="en-US"/>
        </w:rPr>
        <w:t>E</w:t>
      </w:r>
      <w:r w:rsidR="00BA2FE8" w:rsidRPr="001005B7">
        <w:rPr>
          <w:i/>
          <w:iCs/>
          <w:color w:val="auto"/>
          <w:bdr w:val="none" w:sz="0" w:space="0" w:color="auto" w:frame="1"/>
          <w:lang w:val="en-US"/>
        </w:rPr>
        <w:t xml:space="preserve">vangelical </w:t>
      </w:r>
      <w:r w:rsidR="003218A9" w:rsidRPr="001005B7">
        <w:rPr>
          <w:i/>
          <w:iCs/>
          <w:color w:val="auto"/>
          <w:bdr w:val="none" w:sz="0" w:space="0" w:color="auto" w:frame="1"/>
          <w:lang w:val="en-US"/>
        </w:rPr>
        <w:t>S</w:t>
      </w:r>
      <w:r w:rsidR="00BA2FE8" w:rsidRPr="001005B7">
        <w:rPr>
          <w:i/>
          <w:iCs/>
          <w:color w:val="auto"/>
          <w:bdr w:val="none" w:sz="0" w:space="0" w:color="auto" w:frame="1"/>
          <w:lang w:val="en-US"/>
        </w:rPr>
        <w:t xml:space="preserve">upport for a Jewish </w:t>
      </w:r>
      <w:r w:rsidR="003218A9" w:rsidRPr="001005B7">
        <w:rPr>
          <w:i/>
          <w:iCs/>
          <w:color w:val="auto"/>
          <w:bdr w:val="none" w:sz="0" w:space="0" w:color="auto" w:frame="1"/>
          <w:lang w:val="en-US"/>
        </w:rPr>
        <w:t>H</w:t>
      </w:r>
      <w:r w:rsidR="00BA2FE8" w:rsidRPr="001005B7">
        <w:rPr>
          <w:i/>
          <w:iCs/>
          <w:color w:val="auto"/>
          <w:bdr w:val="none" w:sz="0" w:space="0" w:color="auto" w:frame="1"/>
          <w:lang w:val="en-US"/>
        </w:rPr>
        <w:t>o</w:t>
      </w:r>
      <w:r w:rsidR="00BA2FE8" w:rsidRPr="001005B7">
        <w:rPr>
          <w:i/>
          <w:iCs/>
          <w:color w:val="auto"/>
          <w:lang w:val="en-US"/>
        </w:rPr>
        <w:t>me</w:t>
      </w:r>
      <w:r w:rsidR="003218A9" w:rsidRPr="001005B7">
        <w:rPr>
          <w:i/>
          <w:iCs/>
          <w:color w:val="auto"/>
          <w:lang w:val="en-US"/>
        </w:rPr>
        <w:t>land</w:t>
      </w:r>
      <w:r w:rsidR="00BA2FE8" w:rsidRPr="001005B7">
        <w:rPr>
          <w:i/>
          <w:iCs/>
          <w:color w:val="auto"/>
          <w:lang w:val="en-US"/>
        </w:rPr>
        <w:t>.</w:t>
      </w:r>
      <w:r w:rsidR="00D06F33" w:rsidRPr="001005B7">
        <w:rPr>
          <w:i/>
          <w:iCs/>
          <w:color w:val="auto"/>
          <w:lang w:val="en-US"/>
        </w:rPr>
        <w:t xml:space="preserve"> </w:t>
      </w:r>
      <w:r w:rsidR="00761998" w:rsidRPr="001005B7">
        <w:rPr>
          <w:color w:val="auto"/>
          <w:lang w:val="en-US"/>
        </w:rPr>
        <w:t>Cambridge</w:t>
      </w:r>
      <w:r w:rsidR="00BA2FE8" w:rsidRPr="001005B7">
        <w:rPr>
          <w:color w:val="auto"/>
          <w:lang w:val="en-US"/>
        </w:rPr>
        <w:t>: Cambridge University Press, 2010.</w:t>
      </w:r>
    </w:p>
    <w:p w14:paraId="46349232" w14:textId="53FB4F41" w:rsidR="00903627" w:rsidRPr="001005B7" w:rsidRDefault="00295792" w:rsidP="006F5BB0">
      <w:pPr>
        <w:pStyle w:val="ListParagraph"/>
        <w:rPr>
          <w:color w:val="auto"/>
          <w:lang w:val="en-US"/>
        </w:rPr>
      </w:pPr>
      <w:proofErr w:type="spellStart"/>
      <w:r w:rsidRPr="001005B7">
        <w:rPr>
          <w:color w:val="auto"/>
          <w:lang w:val="en-US"/>
        </w:rPr>
        <w:t>Grünwaldt,</w:t>
      </w:r>
      <w:r w:rsidR="003A0A93" w:rsidRPr="001005B7">
        <w:rPr>
          <w:color w:val="auto"/>
          <w:lang w:val="en-US"/>
        </w:rPr>
        <w:t>Klaus</w:t>
      </w:r>
      <w:proofErr w:type="spellEnd"/>
      <w:r w:rsidR="003A0A93" w:rsidRPr="001005B7">
        <w:rPr>
          <w:color w:val="auto"/>
          <w:lang w:val="en-US"/>
        </w:rPr>
        <w:t xml:space="preserve">. </w:t>
      </w:r>
      <w:r w:rsidR="00903627" w:rsidRPr="001005B7">
        <w:rPr>
          <w:color w:val="auto"/>
          <w:lang w:val="en-US"/>
        </w:rPr>
        <w:t>Das </w:t>
      </w:r>
      <w:proofErr w:type="spellStart"/>
      <w:r w:rsidR="00903627" w:rsidRPr="001005B7">
        <w:rPr>
          <w:rStyle w:val="Strong"/>
          <w:b w:val="0"/>
          <w:bCs w:val="0"/>
          <w:i/>
          <w:iCs/>
          <w:color w:val="auto"/>
          <w:lang w:val="en-US"/>
        </w:rPr>
        <w:t>Heiligkeitsgesetz</w:t>
      </w:r>
      <w:proofErr w:type="spellEnd"/>
      <w:r w:rsidR="00903627" w:rsidRPr="001005B7">
        <w:rPr>
          <w:i/>
          <w:iCs/>
          <w:color w:val="auto"/>
          <w:lang w:val="en-US"/>
        </w:rPr>
        <w:t xml:space="preserve"> Leviticus 17-26: </w:t>
      </w:r>
      <w:proofErr w:type="spellStart"/>
      <w:r w:rsidR="00903627" w:rsidRPr="001005B7">
        <w:rPr>
          <w:i/>
          <w:iCs/>
          <w:color w:val="auto"/>
          <w:lang w:val="en-US"/>
        </w:rPr>
        <w:t>Ursprüngliche</w:t>
      </w:r>
      <w:proofErr w:type="spellEnd"/>
      <w:r w:rsidR="00903627" w:rsidRPr="001005B7">
        <w:rPr>
          <w:i/>
          <w:iCs/>
          <w:color w:val="auto"/>
          <w:lang w:val="en-US"/>
        </w:rPr>
        <w:t xml:space="preserve"> Gestalt, Tradition und </w:t>
      </w:r>
      <w:proofErr w:type="spellStart"/>
      <w:r w:rsidR="00903627" w:rsidRPr="001005B7">
        <w:rPr>
          <w:i/>
          <w:iCs/>
          <w:color w:val="auto"/>
          <w:lang w:val="en-US"/>
        </w:rPr>
        <w:t>Theologi</w:t>
      </w:r>
      <w:r w:rsidR="00903627" w:rsidRPr="001005B7">
        <w:rPr>
          <w:color w:val="auto"/>
          <w:lang w:val="en-US"/>
        </w:rPr>
        <w:t>e</w:t>
      </w:r>
      <w:proofErr w:type="spellEnd"/>
      <w:r w:rsidR="00E1480A" w:rsidRPr="001005B7">
        <w:rPr>
          <w:color w:val="auto"/>
          <w:lang w:val="en-US"/>
        </w:rPr>
        <w:t xml:space="preserve">. BZAW 271. Berlin: </w:t>
      </w:r>
      <w:r w:rsidR="00EA5294">
        <w:rPr>
          <w:color w:val="auto"/>
          <w:lang w:val="en-US"/>
        </w:rPr>
        <w:t>d</w:t>
      </w:r>
      <w:r w:rsidR="00E1480A" w:rsidRPr="001005B7">
        <w:rPr>
          <w:color w:val="auto"/>
          <w:lang w:val="en-US"/>
        </w:rPr>
        <w:t xml:space="preserve">e Gruyter, </w:t>
      </w:r>
      <w:r w:rsidR="001222B2" w:rsidRPr="001005B7">
        <w:rPr>
          <w:color w:val="auto"/>
          <w:lang w:val="en-US"/>
        </w:rPr>
        <w:t>1999.</w:t>
      </w:r>
    </w:p>
    <w:p w14:paraId="1BB6CC0D" w14:textId="08E739E0" w:rsidR="00576F15" w:rsidRPr="001005B7" w:rsidRDefault="00576F15" w:rsidP="006F5BB0">
      <w:pPr>
        <w:pStyle w:val="ListParagraph"/>
        <w:rPr>
          <w:color w:val="auto"/>
          <w:lang w:val="en-US"/>
        </w:rPr>
      </w:pPr>
      <w:r w:rsidRPr="001005B7">
        <w:rPr>
          <w:color w:val="auto"/>
          <w:lang w:val="en-US"/>
        </w:rPr>
        <w:t xml:space="preserve">Guillaume, </w:t>
      </w:r>
      <w:r w:rsidR="006B4FE1" w:rsidRPr="001005B7">
        <w:rPr>
          <w:color w:val="auto"/>
          <w:lang w:val="en-US"/>
        </w:rPr>
        <w:t>Philippe</w:t>
      </w:r>
      <w:r w:rsidRPr="001005B7">
        <w:rPr>
          <w:color w:val="auto"/>
          <w:lang w:val="en-US"/>
        </w:rPr>
        <w:t xml:space="preserve">. </w:t>
      </w:r>
      <w:r w:rsidR="00E37B21" w:rsidRPr="001005B7">
        <w:rPr>
          <w:color w:val="auto"/>
          <w:lang w:val="en-US"/>
        </w:rPr>
        <w:t xml:space="preserve">“The Chronological Limits of Reshaping Social Memory in the Presence of Written Sources: The Case of Ezekiel in Late Persian and Early Hellenistic </w:t>
      </w:r>
      <w:proofErr w:type="spellStart"/>
      <w:r w:rsidR="00E37B21" w:rsidRPr="001005B7">
        <w:rPr>
          <w:color w:val="auto"/>
          <w:lang w:val="en-US"/>
        </w:rPr>
        <w:t>Yehud</w:t>
      </w:r>
      <w:proofErr w:type="spellEnd"/>
      <w:r w:rsidR="00E37B21" w:rsidRPr="001005B7">
        <w:rPr>
          <w:color w:val="auto"/>
          <w:lang w:val="en-US"/>
        </w:rPr>
        <w:t xml:space="preserve">.” In </w:t>
      </w:r>
      <w:r w:rsidR="00387601" w:rsidRPr="001005B7">
        <w:rPr>
          <w:color w:val="auto"/>
          <w:lang w:val="en-US"/>
        </w:rPr>
        <w:t>Ian Douglas Wilson</w:t>
      </w:r>
      <w:r w:rsidR="00F93364" w:rsidRPr="001005B7">
        <w:rPr>
          <w:color w:val="auto"/>
          <w:lang w:val="en-US"/>
        </w:rPr>
        <w:t xml:space="preserve"> and</w:t>
      </w:r>
      <w:r w:rsidR="00387601" w:rsidRPr="001005B7">
        <w:rPr>
          <w:color w:val="auto"/>
          <w:lang w:val="en-US"/>
        </w:rPr>
        <w:t xml:space="preserve"> </w:t>
      </w:r>
      <w:r w:rsidR="00F93364" w:rsidRPr="001005B7">
        <w:rPr>
          <w:color w:val="auto"/>
          <w:lang w:val="en-US"/>
        </w:rPr>
        <w:t xml:space="preserve">Diane </w:t>
      </w:r>
      <w:proofErr w:type="spellStart"/>
      <w:r w:rsidR="00387601" w:rsidRPr="001005B7">
        <w:rPr>
          <w:color w:val="auto"/>
          <w:lang w:val="en-US"/>
        </w:rPr>
        <w:t>Gersoni</w:t>
      </w:r>
      <w:proofErr w:type="spellEnd"/>
      <w:r w:rsidR="00387601" w:rsidRPr="001005B7">
        <w:rPr>
          <w:color w:val="auto"/>
          <w:lang w:val="en-US"/>
        </w:rPr>
        <w:t xml:space="preserve">-Edelman, </w:t>
      </w:r>
      <w:r w:rsidR="00F14E2A" w:rsidRPr="001005B7">
        <w:rPr>
          <w:color w:val="auto"/>
          <w:lang w:val="en-US"/>
        </w:rPr>
        <w:t xml:space="preserve">ed., </w:t>
      </w:r>
      <w:r w:rsidR="00387601" w:rsidRPr="001005B7">
        <w:rPr>
          <w:i/>
          <w:iCs/>
          <w:color w:val="auto"/>
          <w:lang w:val="en-US"/>
        </w:rPr>
        <w:t xml:space="preserve">History, Memory, Hebrew Scriptures: A Festschrift for Ehud Ben </w:t>
      </w:r>
      <w:proofErr w:type="spellStart"/>
      <w:r w:rsidR="00387601" w:rsidRPr="001005B7">
        <w:rPr>
          <w:i/>
          <w:iCs/>
          <w:color w:val="auto"/>
          <w:lang w:val="en-US"/>
        </w:rPr>
        <w:t>Zvi</w:t>
      </w:r>
      <w:proofErr w:type="spellEnd"/>
      <w:r w:rsidR="00CF2C83" w:rsidRPr="001005B7">
        <w:rPr>
          <w:color w:val="auto"/>
          <w:lang w:val="en-US"/>
        </w:rPr>
        <w:t>, 187</w:t>
      </w:r>
      <w:r w:rsidR="00F46900" w:rsidRPr="001005B7">
        <w:rPr>
          <w:color w:val="auto"/>
          <w:lang w:val="en-US"/>
        </w:rPr>
        <w:t>–</w:t>
      </w:r>
      <w:r w:rsidR="00CF2C83" w:rsidRPr="001005B7">
        <w:rPr>
          <w:color w:val="auto"/>
          <w:lang w:val="en-US"/>
        </w:rPr>
        <w:t xml:space="preserve">96. Winona Lake, IN: </w:t>
      </w:r>
      <w:proofErr w:type="spellStart"/>
      <w:r w:rsidR="00CF2C83" w:rsidRPr="001005B7">
        <w:rPr>
          <w:color w:val="auto"/>
          <w:lang w:val="en-US"/>
        </w:rPr>
        <w:t>Eisenbrauns</w:t>
      </w:r>
      <w:proofErr w:type="spellEnd"/>
      <w:r w:rsidR="00CF2C83" w:rsidRPr="001005B7">
        <w:rPr>
          <w:color w:val="auto"/>
          <w:lang w:val="en-US"/>
        </w:rPr>
        <w:t xml:space="preserve">, 2015. </w:t>
      </w:r>
    </w:p>
    <w:p w14:paraId="0EFCF925" w14:textId="318A8DC8" w:rsidR="008042BB" w:rsidRPr="008904A5" w:rsidRDefault="008042BB" w:rsidP="0017130F">
      <w:pPr>
        <w:spacing w:after="60" w:line="240" w:lineRule="auto"/>
        <w:ind w:left="567" w:hanging="567"/>
        <w:rPr>
          <w:rFonts w:ascii="Calibri" w:eastAsia="Times New Roman" w:hAnsi="Calibri" w:cs="Calibri"/>
          <w:color w:val="000000"/>
          <w:lang w:eastAsia="en-GB"/>
        </w:rPr>
      </w:pPr>
      <w:r w:rsidRPr="00947CF4">
        <w:t>Halperin, David J.</w:t>
      </w:r>
      <w:r>
        <w:rPr>
          <w:rFonts w:ascii="Calibri" w:eastAsia="Times New Roman" w:hAnsi="Calibri" w:cs="Calibri"/>
          <w:i/>
          <w:iCs/>
          <w:color w:val="000000"/>
          <w:lang w:eastAsia="en-GB"/>
        </w:rPr>
        <w:t xml:space="preserve"> </w:t>
      </w:r>
      <w:r w:rsidRPr="007727D0">
        <w:rPr>
          <w:rFonts w:ascii="Calibri" w:eastAsia="Times New Roman" w:hAnsi="Calibri" w:cs="Calibri"/>
          <w:i/>
          <w:iCs/>
          <w:color w:val="000000"/>
          <w:lang w:eastAsia="en-GB"/>
        </w:rPr>
        <w:t>Seeking Ezekiel: Text and Psychology</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University Park, PA: Pennsylvania State University Press, 1993.</w:t>
      </w:r>
    </w:p>
    <w:p w14:paraId="63670F4B" w14:textId="10DD8714" w:rsidR="002058A0" w:rsidRPr="001005B7" w:rsidRDefault="00831127" w:rsidP="006F5BB0">
      <w:pPr>
        <w:pStyle w:val="ListParagraph"/>
        <w:rPr>
          <w:color w:val="auto"/>
          <w:shd w:val="clear" w:color="auto" w:fill="FFFFFF"/>
          <w:lang w:val="en-US"/>
        </w:rPr>
      </w:pPr>
      <w:proofErr w:type="spellStart"/>
      <w:r w:rsidRPr="001005B7">
        <w:rPr>
          <w:color w:val="auto"/>
          <w:lang w:val="en-US"/>
        </w:rPr>
        <w:t>H</w:t>
      </w:r>
      <w:r w:rsidR="00C43D01" w:rsidRPr="001005B7">
        <w:rPr>
          <w:color w:val="auto"/>
          <w:lang w:val="en-US"/>
        </w:rPr>
        <w:t>äner</w:t>
      </w:r>
      <w:proofErr w:type="spellEnd"/>
      <w:r w:rsidR="00C43D01" w:rsidRPr="001005B7">
        <w:rPr>
          <w:color w:val="auto"/>
          <w:lang w:val="en-US"/>
        </w:rPr>
        <w:t xml:space="preserve">, Tobias. “‘Ich bin das </w:t>
      </w:r>
      <w:proofErr w:type="spellStart"/>
      <w:r w:rsidR="00C43D01" w:rsidRPr="001005B7">
        <w:rPr>
          <w:color w:val="auto"/>
          <w:lang w:val="en-US"/>
        </w:rPr>
        <w:t>Zeichen</w:t>
      </w:r>
      <w:proofErr w:type="spellEnd"/>
      <w:r w:rsidR="00C43D01" w:rsidRPr="001005B7">
        <w:rPr>
          <w:color w:val="auto"/>
          <w:lang w:val="en-US"/>
        </w:rPr>
        <w:t xml:space="preserve"> für </w:t>
      </w:r>
      <w:proofErr w:type="spellStart"/>
      <w:r w:rsidR="00C43D01" w:rsidRPr="001005B7">
        <w:rPr>
          <w:color w:val="auto"/>
          <w:lang w:val="en-US"/>
        </w:rPr>
        <w:t>euch</w:t>
      </w:r>
      <w:proofErr w:type="spellEnd"/>
      <w:r w:rsidR="00C43D01" w:rsidRPr="001005B7">
        <w:rPr>
          <w:color w:val="auto"/>
          <w:lang w:val="en-US"/>
        </w:rPr>
        <w:t>’ (</w:t>
      </w:r>
      <w:proofErr w:type="spellStart"/>
      <w:r w:rsidR="00C43D01" w:rsidRPr="001005B7">
        <w:rPr>
          <w:color w:val="auto"/>
          <w:lang w:val="en-US"/>
        </w:rPr>
        <w:t>Ez</w:t>
      </w:r>
      <w:proofErr w:type="spellEnd"/>
      <w:r w:rsidR="00C43D01" w:rsidRPr="001005B7">
        <w:rPr>
          <w:color w:val="auto"/>
          <w:lang w:val="en-US"/>
        </w:rPr>
        <w:t xml:space="preserve"> 12, 11): Zur </w:t>
      </w:r>
      <w:proofErr w:type="spellStart"/>
      <w:r w:rsidR="00C43D01" w:rsidRPr="001005B7">
        <w:rPr>
          <w:color w:val="auto"/>
          <w:lang w:val="en-US"/>
        </w:rPr>
        <w:t>Erzählperspektive</w:t>
      </w:r>
      <w:proofErr w:type="spellEnd"/>
      <w:r w:rsidR="00C43D01" w:rsidRPr="001005B7">
        <w:rPr>
          <w:color w:val="auto"/>
          <w:lang w:val="en-US"/>
        </w:rPr>
        <w:t xml:space="preserve"> </w:t>
      </w:r>
      <w:proofErr w:type="spellStart"/>
      <w:r w:rsidR="00C43D01" w:rsidRPr="001005B7">
        <w:rPr>
          <w:color w:val="auto"/>
          <w:lang w:val="en-US"/>
        </w:rPr>
        <w:t>im</w:t>
      </w:r>
      <w:proofErr w:type="spellEnd"/>
      <w:r w:rsidR="00C43D01" w:rsidRPr="001005B7">
        <w:rPr>
          <w:color w:val="auto"/>
          <w:lang w:val="en-US"/>
        </w:rPr>
        <w:t xml:space="preserve"> </w:t>
      </w:r>
      <w:proofErr w:type="spellStart"/>
      <w:r w:rsidR="00C43D01" w:rsidRPr="001005B7">
        <w:rPr>
          <w:color w:val="auto"/>
          <w:lang w:val="en-US"/>
        </w:rPr>
        <w:t>Ezechielbuch</w:t>
      </w:r>
      <w:proofErr w:type="spellEnd"/>
      <w:r w:rsidRPr="001005B7">
        <w:rPr>
          <w:color w:val="auto"/>
          <w:lang w:val="en-US"/>
        </w:rPr>
        <w:t>.”</w:t>
      </w:r>
      <w:r w:rsidR="00CB53B1" w:rsidRPr="001005B7">
        <w:rPr>
          <w:color w:val="auto"/>
          <w:shd w:val="clear" w:color="auto" w:fill="FFFFFF"/>
          <w:lang w:val="en-US"/>
        </w:rPr>
        <w:t> </w:t>
      </w:r>
      <w:r w:rsidR="00A862A4" w:rsidRPr="001005B7">
        <w:rPr>
          <w:color w:val="auto"/>
          <w:shd w:val="clear" w:color="auto" w:fill="FFFFFF"/>
          <w:lang w:val="en-US"/>
        </w:rPr>
        <w:t xml:space="preserve">In </w:t>
      </w:r>
      <w:r w:rsidR="006B4FE1" w:rsidRPr="001005B7">
        <w:rPr>
          <w:color w:val="auto"/>
          <w:shd w:val="clear" w:color="auto" w:fill="FFFFFF"/>
          <w:lang w:val="en-US"/>
        </w:rPr>
        <w:t>I</w:t>
      </w:r>
      <w:r w:rsidR="00A97889" w:rsidRPr="001005B7">
        <w:rPr>
          <w:color w:val="auto"/>
          <w:shd w:val="clear" w:color="auto" w:fill="FFFFFF"/>
          <w:lang w:val="en-US"/>
        </w:rPr>
        <w:t>ls</w:t>
      </w:r>
      <w:r w:rsidR="006B4FE1" w:rsidRPr="001005B7">
        <w:rPr>
          <w:color w:val="auto"/>
          <w:shd w:val="clear" w:color="auto" w:fill="FFFFFF"/>
          <w:lang w:val="en-US"/>
        </w:rPr>
        <w:t>e</w:t>
      </w:r>
      <w:r w:rsidR="00A97889" w:rsidRPr="001005B7">
        <w:rPr>
          <w:color w:val="auto"/>
          <w:shd w:val="clear" w:color="auto" w:fill="FFFFFF"/>
          <w:lang w:val="en-US"/>
        </w:rPr>
        <w:t xml:space="preserve"> </w:t>
      </w:r>
      <w:proofErr w:type="spellStart"/>
      <w:r w:rsidR="00A97889" w:rsidRPr="001005B7">
        <w:rPr>
          <w:color w:val="auto"/>
          <w:shd w:val="clear" w:color="auto" w:fill="FFFFFF"/>
          <w:lang w:val="en-US"/>
        </w:rPr>
        <w:t>Mü</w:t>
      </w:r>
      <w:r w:rsidR="006B4FE1" w:rsidRPr="001005B7">
        <w:rPr>
          <w:color w:val="auto"/>
          <w:shd w:val="clear" w:color="auto" w:fill="FFFFFF"/>
          <w:lang w:val="en-US"/>
        </w:rPr>
        <w:t>llner</w:t>
      </w:r>
      <w:proofErr w:type="spellEnd"/>
      <w:r w:rsidR="006B4FE1" w:rsidRPr="001005B7">
        <w:rPr>
          <w:color w:val="auto"/>
          <w:shd w:val="clear" w:color="auto" w:fill="FFFFFF"/>
          <w:lang w:val="en-US"/>
        </w:rPr>
        <w:t xml:space="preserve"> and </w:t>
      </w:r>
      <w:r w:rsidR="00A862A4" w:rsidRPr="001005B7">
        <w:rPr>
          <w:color w:val="auto"/>
          <w:shd w:val="clear" w:color="auto" w:fill="FFFFFF"/>
          <w:lang w:val="en-US"/>
        </w:rPr>
        <w:t xml:space="preserve">Barbara </w:t>
      </w:r>
      <w:r w:rsidR="00D5412E" w:rsidRPr="001005B7">
        <w:rPr>
          <w:color w:val="auto"/>
          <w:shd w:val="clear" w:color="auto" w:fill="FFFFFF"/>
          <w:lang w:val="en-US"/>
        </w:rPr>
        <w:t>Schmitz</w:t>
      </w:r>
      <w:r w:rsidR="006B4FE1" w:rsidRPr="001005B7">
        <w:rPr>
          <w:color w:val="auto"/>
          <w:shd w:val="clear" w:color="auto" w:fill="FFFFFF"/>
          <w:lang w:val="en-US"/>
        </w:rPr>
        <w:t xml:space="preserve">, ed., </w:t>
      </w:r>
      <w:proofErr w:type="spellStart"/>
      <w:r w:rsidR="00CB53B1" w:rsidRPr="001005B7">
        <w:rPr>
          <w:i/>
          <w:iCs/>
          <w:color w:val="auto"/>
          <w:shd w:val="clear" w:color="auto" w:fill="FFFFFF"/>
          <w:lang w:val="en-US"/>
        </w:rPr>
        <w:t>Biblische</w:t>
      </w:r>
      <w:proofErr w:type="spellEnd"/>
      <w:r w:rsidR="00CB53B1" w:rsidRPr="001005B7">
        <w:rPr>
          <w:i/>
          <w:iCs/>
          <w:color w:val="auto"/>
          <w:shd w:val="clear" w:color="auto" w:fill="FFFFFF"/>
          <w:lang w:val="en-US"/>
        </w:rPr>
        <w:t xml:space="preserve"> </w:t>
      </w:r>
      <w:proofErr w:type="spellStart"/>
      <w:r w:rsidR="00CB53B1" w:rsidRPr="001005B7">
        <w:rPr>
          <w:i/>
          <w:iCs/>
          <w:color w:val="auto"/>
          <w:shd w:val="clear" w:color="auto" w:fill="FFFFFF"/>
          <w:lang w:val="en-US"/>
        </w:rPr>
        <w:t>Texte</w:t>
      </w:r>
      <w:proofErr w:type="spellEnd"/>
      <w:r w:rsidR="00CB53B1" w:rsidRPr="001005B7">
        <w:rPr>
          <w:i/>
          <w:iCs/>
          <w:color w:val="auto"/>
          <w:shd w:val="clear" w:color="auto" w:fill="FFFFFF"/>
          <w:lang w:val="en-US"/>
        </w:rPr>
        <w:t xml:space="preserve"> und </w:t>
      </w:r>
      <w:proofErr w:type="spellStart"/>
      <w:r w:rsidR="00CB53B1" w:rsidRPr="001005B7">
        <w:rPr>
          <w:i/>
          <w:iCs/>
          <w:color w:val="auto"/>
          <w:shd w:val="clear" w:color="auto" w:fill="FFFFFF"/>
          <w:lang w:val="en-US"/>
        </w:rPr>
        <w:t>Narratologie</w:t>
      </w:r>
      <w:proofErr w:type="spellEnd"/>
      <w:r w:rsidR="00854830" w:rsidRPr="001005B7">
        <w:rPr>
          <w:color w:val="auto"/>
          <w:shd w:val="clear" w:color="auto" w:fill="FFFFFF"/>
          <w:lang w:val="en-US"/>
        </w:rPr>
        <w:t>, 335</w:t>
      </w:r>
      <w:r w:rsidR="00F46900" w:rsidRPr="001005B7">
        <w:rPr>
          <w:color w:val="auto"/>
          <w:shd w:val="clear" w:color="auto" w:fill="FFFFFF"/>
          <w:lang w:val="en-US"/>
        </w:rPr>
        <w:t>–</w:t>
      </w:r>
      <w:r w:rsidR="00854830" w:rsidRPr="001005B7">
        <w:rPr>
          <w:color w:val="auto"/>
          <w:shd w:val="clear" w:color="auto" w:fill="FFFFFF"/>
          <w:lang w:val="en-US"/>
        </w:rPr>
        <w:t xml:space="preserve">61. Stuttgart: KBW, </w:t>
      </w:r>
      <w:r w:rsidR="00C44A89" w:rsidRPr="001005B7">
        <w:rPr>
          <w:color w:val="auto"/>
          <w:shd w:val="clear" w:color="auto" w:fill="FFFFFF"/>
          <w:lang w:val="en-US"/>
        </w:rPr>
        <w:t xml:space="preserve">2018. </w:t>
      </w:r>
    </w:p>
    <w:p w14:paraId="73B7980D" w14:textId="4B5E0B9B" w:rsidR="003749B0" w:rsidRPr="001005B7" w:rsidRDefault="00DA77C7" w:rsidP="006F5BB0">
      <w:pPr>
        <w:pStyle w:val="ListParagraph"/>
        <w:rPr>
          <w:color w:val="auto"/>
          <w:lang w:val="en-US"/>
        </w:rPr>
      </w:pPr>
      <w:r w:rsidRPr="001005B7">
        <w:rPr>
          <w:color w:val="auto"/>
          <w:shd w:val="clear" w:color="auto" w:fill="FFFFFF"/>
          <w:lang w:val="en-US"/>
        </w:rPr>
        <w:t xml:space="preserve">Haran, </w:t>
      </w:r>
      <w:r w:rsidR="00C626A5" w:rsidRPr="001005B7">
        <w:rPr>
          <w:color w:val="auto"/>
          <w:shd w:val="clear" w:color="auto" w:fill="FFFFFF"/>
          <w:lang w:val="en-US"/>
        </w:rPr>
        <w:t>Menahem. “</w:t>
      </w:r>
      <w:r w:rsidR="00C626A5" w:rsidRPr="001005B7">
        <w:rPr>
          <w:color w:val="auto"/>
          <w:lang w:val="en-US"/>
        </w:rPr>
        <w:t>Observations on Ezekiel as a Book Prophet.” In</w:t>
      </w:r>
      <w:r w:rsidR="001F54EF" w:rsidRPr="001005B7">
        <w:rPr>
          <w:color w:val="auto"/>
          <w:lang w:val="en-US"/>
        </w:rPr>
        <w:t xml:space="preserve"> </w:t>
      </w:r>
      <w:r w:rsidR="001F54EF" w:rsidRPr="001005B7">
        <w:rPr>
          <w:rStyle w:val="displayname"/>
          <w:color w:val="auto"/>
          <w:shd w:val="clear" w:color="auto" w:fill="FFFFFF"/>
          <w:lang w:val="en-US"/>
        </w:rPr>
        <w:t>Ronald L. Troxel</w:t>
      </w:r>
      <w:r w:rsidR="001F54EF" w:rsidRPr="001005B7">
        <w:rPr>
          <w:rStyle w:val="contributor"/>
          <w:color w:val="auto"/>
          <w:shd w:val="clear" w:color="auto" w:fill="FFFFFF"/>
          <w:lang w:val="en-US"/>
        </w:rPr>
        <w:t> </w:t>
      </w:r>
      <w:r w:rsidR="001F54EF" w:rsidRPr="001005B7">
        <w:rPr>
          <w:rStyle w:val="comma"/>
          <w:rFonts w:eastAsiaTheme="majorEastAsia"/>
          <w:color w:val="auto"/>
          <w:lang w:val="en-US"/>
        </w:rPr>
        <w:t>, </w:t>
      </w:r>
      <w:r w:rsidR="001F54EF" w:rsidRPr="001005B7">
        <w:rPr>
          <w:rStyle w:val="displayname"/>
          <w:color w:val="auto"/>
          <w:shd w:val="clear" w:color="auto" w:fill="FFFFFF"/>
          <w:lang w:val="en-US"/>
        </w:rPr>
        <w:t xml:space="preserve">Kelvin G. </w:t>
      </w:r>
      <w:proofErr w:type="spellStart"/>
      <w:r w:rsidR="001F54EF" w:rsidRPr="001005B7">
        <w:rPr>
          <w:rStyle w:val="displayname"/>
          <w:color w:val="auto"/>
          <w:shd w:val="clear" w:color="auto" w:fill="FFFFFF"/>
          <w:lang w:val="en-US"/>
        </w:rPr>
        <w:t>Friebel</w:t>
      </w:r>
      <w:proofErr w:type="spellEnd"/>
      <w:r w:rsidR="008E19AC" w:rsidRPr="001005B7">
        <w:rPr>
          <w:rStyle w:val="displayname"/>
          <w:color w:val="auto"/>
          <w:shd w:val="clear" w:color="auto" w:fill="FFFFFF"/>
          <w:lang w:val="en-US"/>
        </w:rPr>
        <w:t>,</w:t>
      </w:r>
      <w:r w:rsidR="001F54EF" w:rsidRPr="001005B7">
        <w:rPr>
          <w:rStyle w:val="contributor"/>
          <w:color w:val="auto"/>
          <w:shd w:val="clear" w:color="auto" w:fill="FFFFFF"/>
          <w:lang w:val="en-US"/>
        </w:rPr>
        <w:t> </w:t>
      </w:r>
      <w:r w:rsidR="001F54EF" w:rsidRPr="001005B7">
        <w:rPr>
          <w:color w:val="auto"/>
          <w:shd w:val="clear" w:color="auto" w:fill="FFFFFF"/>
          <w:lang w:val="en-US"/>
        </w:rPr>
        <w:t>and </w:t>
      </w:r>
      <w:r w:rsidR="001F54EF" w:rsidRPr="001005B7">
        <w:rPr>
          <w:rStyle w:val="displayname"/>
          <w:color w:val="auto"/>
          <w:shd w:val="clear" w:color="auto" w:fill="FFFFFF"/>
          <w:lang w:val="en-US"/>
        </w:rPr>
        <w:t xml:space="preserve">Dennis R. </w:t>
      </w:r>
      <w:proofErr w:type="spellStart"/>
      <w:r w:rsidR="001F54EF" w:rsidRPr="001005B7">
        <w:rPr>
          <w:rStyle w:val="displayname"/>
          <w:color w:val="auto"/>
          <w:shd w:val="clear" w:color="auto" w:fill="FFFFFF"/>
          <w:lang w:val="en-US"/>
        </w:rPr>
        <w:t>Magary</w:t>
      </w:r>
      <w:proofErr w:type="spellEnd"/>
      <w:r w:rsidR="00A82320" w:rsidRPr="001005B7">
        <w:rPr>
          <w:rStyle w:val="displayname"/>
          <w:color w:val="auto"/>
          <w:shd w:val="clear" w:color="auto" w:fill="FFFFFF"/>
          <w:lang w:val="en-US"/>
        </w:rPr>
        <w:t>, ed.,</w:t>
      </w:r>
      <w:r w:rsidR="00C626A5" w:rsidRPr="001005B7">
        <w:rPr>
          <w:color w:val="auto"/>
          <w:lang w:val="en-US"/>
        </w:rPr>
        <w:t xml:space="preserve"> </w:t>
      </w:r>
      <w:r w:rsidR="00C87201" w:rsidRPr="001005B7">
        <w:rPr>
          <w:i/>
          <w:iCs/>
          <w:color w:val="auto"/>
          <w:lang w:val="en-US"/>
        </w:rPr>
        <w:t>Seeking Out the Wisdom of the Ancients</w:t>
      </w:r>
      <w:r w:rsidR="003749B0" w:rsidRPr="001005B7">
        <w:rPr>
          <w:i/>
          <w:iCs/>
          <w:color w:val="auto"/>
          <w:lang w:val="en-US"/>
        </w:rPr>
        <w:t>: Essays Offered to Honor Michael V. Fox on the Occasion of His Sixty-Fifth Birthday</w:t>
      </w:r>
      <w:r w:rsidR="00A82320" w:rsidRPr="001005B7">
        <w:rPr>
          <w:color w:val="auto"/>
          <w:lang w:val="en-US"/>
        </w:rPr>
        <w:t>, 3</w:t>
      </w:r>
      <w:r w:rsidR="00F46900" w:rsidRPr="001005B7">
        <w:rPr>
          <w:color w:val="auto"/>
          <w:lang w:val="en-US"/>
        </w:rPr>
        <w:t>–</w:t>
      </w:r>
      <w:r w:rsidR="00A82320" w:rsidRPr="001005B7">
        <w:rPr>
          <w:color w:val="auto"/>
          <w:lang w:val="en-US"/>
        </w:rPr>
        <w:t xml:space="preserve">19. </w:t>
      </w:r>
      <w:r w:rsidR="003062B5" w:rsidRPr="001005B7">
        <w:rPr>
          <w:color w:val="auto"/>
          <w:lang w:val="en-US"/>
        </w:rPr>
        <w:t xml:space="preserve">Winona Lake, IN: </w:t>
      </w:r>
      <w:proofErr w:type="spellStart"/>
      <w:r w:rsidR="002058A0" w:rsidRPr="001005B7">
        <w:rPr>
          <w:color w:val="auto"/>
          <w:lang w:val="en-US"/>
        </w:rPr>
        <w:t>Eisenbrauns</w:t>
      </w:r>
      <w:proofErr w:type="spellEnd"/>
      <w:r w:rsidR="002058A0" w:rsidRPr="001005B7">
        <w:rPr>
          <w:color w:val="auto"/>
          <w:lang w:val="en-US"/>
        </w:rPr>
        <w:t xml:space="preserve">, </w:t>
      </w:r>
      <w:r w:rsidR="003062B5" w:rsidRPr="001005B7">
        <w:rPr>
          <w:color w:val="auto"/>
          <w:lang w:val="en-US"/>
        </w:rPr>
        <w:t xml:space="preserve">2005. </w:t>
      </w:r>
    </w:p>
    <w:p w14:paraId="5DCDCB4A" w14:textId="204F7F2C" w:rsidR="00B34CC9" w:rsidRPr="001005B7" w:rsidRDefault="00D23B20" w:rsidP="006F5BB0">
      <w:pPr>
        <w:pStyle w:val="ListParagraph"/>
        <w:rPr>
          <w:color w:val="auto"/>
          <w:lang w:val="en-US"/>
        </w:rPr>
      </w:pPr>
      <w:r w:rsidRPr="001005B7">
        <w:rPr>
          <w:color w:val="auto"/>
          <w:lang w:val="en-US"/>
        </w:rPr>
        <w:t>Hendel</w:t>
      </w:r>
      <w:r w:rsidR="00057281" w:rsidRPr="001005B7">
        <w:rPr>
          <w:color w:val="auto"/>
          <w:lang w:val="en-US"/>
        </w:rPr>
        <w:t>, Ronald</w:t>
      </w:r>
      <w:r w:rsidR="009A01EB" w:rsidRPr="001005B7">
        <w:rPr>
          <w:color w:val="auto"/>
          <w:lang w:val="en-US"/>
        </w:rPr>
        <w:t>. “</w:t>
      </w:r>
      <w:r w:rsidR="00B34CC9" w:rsidRPr="001005B7">
        <w:rPr>
          <w:color w:val="auto"/>
          <w:lang w:val="en-US"/>
        </w:rPr>
        <w:t>The Oxford Hebrew Bible: Prologue to a New Critical Edition</w:t>
      </w:r>
      <w:r w:rsidR="00C5641A" w:rsidRPr="001005B7">
        <w:rPr>
          <w:color w:val="auto"/>
          <w:lang w:val="en-US"/>
        </w:rPr>
        <w:t xml:space="preserve">.“ </w:t>
      </w:r>
      <w:r w:rsidR="00C5641A" w:rsidRPr="001005B7">
        <w:rPr>
          <w:i/>
          <w:iCs/>
          <w:color w:val="auto"/>
          <w:lang w:val="en-US"/>
        </w:rPr>
        <w:t>VT</w:t>
      </w:r>
      <w:r w:rsidR="00C5641A" w:rsidRPr="001005B7">
        <w:rPr>
          <w:color w:val="auto"/>
          <w:lang w:val="en-US"/>
        </w:rPr>
        <w:t xml:space="preserve"> 58 (2008): 324</w:t>
      </w:r>
      <w:r w:rsidR="00F46900" w:rsidRPr="001005B7">
        <w:rPr>
          <w:color w:val="auto"/>
          <w:lang w:val="en-US"/>
        </w:rPr>
        <w:t>–</w:t>
      </w:r>
      <w:r w:rsidR="00C5641A" w:rsidRPr="001005B7">
        <w:rPr>
          <w:color w:val="auto"/>
          <w:lang w:val="en-US"/>
        </w:rPr>
        <w:t xml:space="preserve">51. </w:t>
      </w:r>
    </w:p>
    <w:p w14:paraId="546AE3ED" w14:textId="1F78EAA5" w:rsidR="00876FBB" w:rsidRPr="001005B7" w:rsidRDefault="004F0643" w:rsidP="006F5BB0">
      <w:pPr>
        <w:pStyle w:val="ListParagraph"/>
        <w:rPr>
          <w:color w:val="auto"/>
          <w:lang w:val="en-US"/>
        </w:rPr>
      </w:pPr>
      <w:proofErr w:type="spellStart"/>
      <w:r w:rsidRPr="001005B7">
        <w:rPr>
          <w:color w:val="auto"/>
          <w:lang w:val="en-US"/>
        </w:rPr>
        <w:t>Hieke</w:t>
      </w:r>
      <w:proofErr w:type="spellEnd"/>
      <w:r w:rsidRPr="001005B7">
        <w:rPr>
          <w:color w:val="auto"/>
          <w:lang w:val="en-US"/>
        </w:rPr>
        <w:t>, Thomas. "Der </w:t>
      </w:r>
      <w:proofErr w:type="spellStart"/>
      <w:r w:rsidRPr="001005B7">
        <w:rPr>
          <w:rStyle w:val="Strong"/>
          <w:b w:val="0"/>
          <w:bCs w:val="0"/>
          <w:color w:val="auto"/>
          <w:bdr w:val="none" w:sz="0" w:space="0" w:color="auto" w:frame="1"/>
          <w:lang w:val="en-US"/>
        </w:rPr>
        <w:t>Seher</w:t>
      </w:r>
      <w:proofErr w:type="spellEnd"/>
      <w:r w:rsidRPr="001005B7">
        <w:rPr>
          <w:color w:val="auto"/>
          <w:lang w:val="en-US"/>
        </w:rPr>
        <w:t xml:space="preserve"> Johannes </w:t>
      </w:r>
      <w:proofErr w:type="spellStart"/>
      <w:r w:rsidRPr="001005B7">
        <w:rPr>
          <w:color w:val="auto"/>
          <w:lang w:val="en-US"/>
        </w:rPr>
        <w:t>als</w:t>
      </w:r>
      <w:proofErr w:type="spellEnd"/>
      <w:r w:rsidRPr="001005B7">
        <w:rPr>
          <w:color w:val="auto"/>
          <w:lang w:val="en-US"/>
        </w:rPr>
        <w:t xml:space="preserve"> </w:t>
      </w:r>
      <w:proofErr w:type="spellStart"/>
      <w:r w:rsidRPr="001005B7">
        <w:rPr>
          <w:color w:val="auto"/>
          <w:lang w:val="en-US"/>
        </w:rPr>
        <w:t>neuer</w:t>
      </w:r>
      <w:proofErr w:type="spellEnd"/>
      <w:r w:rsidRPr="001005B7">
        <w:rPr>
          <w:color w:val="auto"/>
          <w:lang w:val="en-US"/>
        </w:rPr>
        <w:t xml:space="preserve"> Ezechiel</w:t>
      </w:r>
      <w:r w:rsidR="00265D16" w:rsidRPr="001005B7">
        <w:rPr>
          <w:color w:val="auto"/>
          <w:lang w:val="en-US"/>
        </w:rPr>
        <w:t>:</w:t>
      </w:r>
      <w:r w:rsidRPr="001005B7">
        <w:rPr>
          <w:color w:val="auto"/>
          <w:lang w:val="en-US"/>
        </w:rPr>
        <w:t xml:space="preserve"> Die </w:t>
      </w:r>
      <w:proofErr w:type="spellStart"/>
      <w:r w:rsidRPr="001005B7">
        <w:rPr>
          <w:color w:val="auto"/>
          <w:lang w:val="en-US"/>
        </w:rPr>
        <w:t>Offenbarung</w:t>
      </w:r>
      <w:proofErr w:type="spellEnd"/>
      <w:r w:rsidRPr="001005B7">
        <w:rPr>
          <w:color w:val="auto"/>
          <w:lang w:val="en-US"/>
        </w:rPr>
        <w:t xml:space="preserve"> Johannes </w:t>
      </w:r>
      <w:proofErr w:type="spellStart"/>
      <w:r w:rsidRPr="001005B7">
        <w:rPr>
          <w:color w:val="auto"/>
          <w:lang w:val="en-US"/>
        </w:rPr>
        <w:t>vom</w:t>
      </w:r>
      <w:proofErr w:type="spellEnd"/>
      <w:r w:rsidRPr="001005B7">
        <w:rPr>
          <w:color w:val="auto"/>
          <w:lang w:val="en-US"/>
        </w:rPr>
        <w:t xml:space="preserve"> </w:t>
      </w:r>
      <w:proofErr w:type="spellStart"/>
      <w:r w:rsidRPr="001005B7">
        <w:rPr>
          <w:color w:val="auto"/>
          <w:lang w:val="en-US"/>
        </w:rPr>
        <w:t>Ezechielbuch</w:t>
      </w:r>
      <w:proofErr w:type="spellEnd"/>
      <w:r w:rsidRPr="001005B7">
        <w:rPr>
          <w:color w:val="auto"/>
          <w:lang w:val="en-US"/>
        </w:rPr>
        <w:t xml:space="preserve"> her </w:t>
      </w:r>
      <w:proofErr w:type="spellStart"/>
      <w:r w:rsidRPr="001005B7">
        <w:rPr>
          <w:color w:val="auto"/>
          <w:lang w:val="en-US"/>
        </w:rPr>
        <w:t>gelesen</w:t>
      </w:r>
      <w:proofErr w:type="spellEnd"/>
      <w:r w:rsidR="00876FBB" w:rsidRPr="001005B7">
        <w:rPr>
          <w:color w:val="auto"/>
          <w:lang w:val="en-US"/>
        </w:rPr>
        <w:t xml:space="preserve">.” </w:t>
      </w:r>
      <w:r w:rsidR="000B0F9C" w:rsidRPr="001005B7">
        <w:rPr>
          <w:color w:val="auto"/>
          <w:lang w:val="en-US"/>
        </w:rPr>
        <w:t>In</w:t>
      </w:r>
      <w:r w:rsidR="003C1042" w:rsidRPr="001005B7">
        <w:rPr>
          <w:color w:val="auto"/>
          <w:lang w:val="en-US"/>
        </w:rPr>
        <w:t xml:space="preserve"> Dieter </w:t>
      </w:r>
      <w:proofErr w:type="spellStart"/>
      <w:r w:rsidR="003C1042" w:rsidRPr="001005B7">
        <w:rPr>
          <w:color w:val="auto"/>
          <w:lang w:val="en-US"/>
        </w:rPr>
        <w:t>S</w:t>
      </w:r>
      <w:r w:rsidR="006E46EF" w:rsidRPr="001005B7">
        <w:rPr>
          <w:color w:val="auto"/>
          <w:lang w:val="en-US"/>
        </w:rPr>
        <w:t>änger</w:t>
      </w:r>
      <w:proofErr w:type="spellEnd"/>
      <w:r w:rsidR="006E46EF" w:rsidRPr="001005B7">
        <w:rPr>
          <w:color w:val="auto"/>
          <w:lang w:val="en-US"/>
        </w:rPr>
        <w:t>, ed.,</w:t>
      </w:r>
      <w:r w:rsidR="00265D16" w:rsidRPr="001005B7">
        <w:rPr>
          <w:color w:val="auto"/>
          <w:lang w:val="en-US"/>
        </w:rPr>
        <w:t xml:space="preserve"> </w:t>
      </w:r>
      <w:r w:rsidR="003C1042" w:rsidRPr="001005B7">
        <w:rPr>
          <w:i/>
          <w:iCs/>
          <w:color w:val="auto"/>
          <w:lang w:val="en-US"/>
        </w:rPr>
        <w:t xml:space="preserve">Das </w:t>
      </w:r>
      <w:proofErr w:type="spellStart"/>
      <w:r w:rsidR="003C1042" w:rsidRPr="001005B7">
        <w:rPr>
          <w:i/>
          <w:iCs/>
          <w:color w:val="auto"/>
          <w:lang w:val="en-US"/>
        </w:rPr>
        <w:t>Ezechielbuch</w:t>
      </w:r>
      <w:proofErr w:type="spellEnd"/>
      <w:r w:rsidR="003C1042" w:rsidRPr="001005B7">
        <w:rPr>
          <w:i/>
          <w:iCs/>
          <w:color w:val="auto"/>
          <w:lang w:val="en-US"/>
        </w:rPr>
        <w:t xml:space="preserve"> in der </w:t>
      </w:r>
      <w:proofErr w:type="spellStart"/>
      <w:r w:rsidR="003C1042" w:rsidRPr="001005B7">
        <w:rPr>
          <w:i/>
          <w:iCs/>
          <w:color w:val="auto"/>
          <w:lang w:val="en-US"/>
        </w:rPr>
        <w:t>Johannesoffenbarun</w:t>
      </w:r>
      <w:r w:rsidR="003C1042" w:rsidRPr="001005B7">
        <w:rPr>
          <w:color w:val="auto"/>
          <w:lang w:val="en-US"/>
        </w:rPr>
        <w:t>g</w:t>
      </w:r>
      <w:proofErr w:type="spellEnd"/>
      <w:r w:rsidR="006E46EF" w:rsidRPr="001005B7">
        <w:rPr>
          <w:color w:val="auto"/>
          <w:lang w:val="en-US"/>
        </w:rPr>
        <w:t>, 1</w:t>
      </w:r>
      <w:r w:rsidR="00F46900" w:rsidRPr="001005B7">
        <w:rPr>
          <w:color w:val="auto"/>
          <w:lang w:val="en-US"/>
        </w:rPr>
        <w:t>–</w:t>
      </w:r>
      <w:r w:rsidR="006E46EF" w:rsidRPr="001005B7">
        <w:rPr>
          <w:color w:val="auto"/>
          <w:lang w:val="en-US"/>
        </w:rPr>
        <w:t>30.</w:t>
      </w:r>
      <w:r w:rsidR="00034B89" w:rsidRPr="001005B7">
        <w:rPr>
          <w:color w:val="auto"/>
          <w:lang w:val="en-US"/>
        </w:rPr>
        <w:t xml:space="preserve"> </w:t>
      </w:r>
      <w:proofErr w:type="spellStart"/>
      <w:r w:rsidR="006E46EF" w:rsidRPr="001005B7">
        <w:rPr>
          <w:color w:val="auto"/>
          <w:lang w:val="en-US"/>
        </w:rPr>
        <w:t>Neukirchen</w:t>
      </w:r>
      <w:proofErr w:type="spellEnd"/>
      <w:r w:rsidR="006E46EF" w:rsidRPr="001005B7">
        <w:rPr>
          <w:color w:val="auto"/>
          <w:lang w:val="en-US"/>
        </w:rPr>
        <w:t xml:space="preserve">: </w:t>
      </w:r>
      <w:proofErr w:type="spellStart"/>
      <w:r w:rsidR="006E46EF" w:rsidRPr="001005B7">
        <w:rPr>
          <w:color w:val="auto"/>
          <w:lang w:val="en-US"/>
        </w:rPr>
        <w:t>Neukirchener</w:t>
      </w:r>
      <w:proofErr w:type="spellEnd"/>
      <w:r w:rsidR="006E46EF" w:rsidRPr="001005B7">
        <w:rPr>
          <w:color w:val="auto"/>
          <w:lang w:val="en-US"/>
        </w:rPr>
        <w:t>, 2006.</w:t>
      </w:r>
    </w:p>
    <w:p w14:paraId="7A465CF2" w14:textId="1E704745" w:rsidR="00892921" w:rsidRPr="001005B7" w:rsidRDefault="00E70180" w:rsidP="006F5BB0">
      <w:pPr>
        <w:pStyle w:val="ListParagraph"/>
        <w:rPr>
          <w:color w:val="auto"/>
          <w:shd w:val="clear" w:color="auto" w:fill="FFFFFF"/>
          <w:lang w:val="en-US"/>
        </w:rPr>
      </w:pPr>
      <w:proofErr w:type="spellStart"/>
      <w:r w:rsidRPr="001005B7">
        <w:rPr>
          <w:color w:val="auto"/>
          <w:lang w:val="en-US"/>
        </w:rPr>
        <w:t>Hölscher</w:t>
      </w:r>
      <w:proofErr w:type="spellEnd"/>
      <w:r w:rsidRPr="001005B7">
        <w:rPr>
          <w:color w:val="auto"/>
          <w:lang w:val="en-US"/>
        </w:rPr>
        <w:t xml:space="preserve">, Gustav. </w:t>
      </w:r>
      <w:proofErr w:type="spellStart"/>
      <w:r w:rsidRPr="001005B7">
        <w:rPr>
          <w:i/>
          <w:iCs/>
          <w:color w:val="auto"/>
          <w:lang w:val="en-US"/>
        </w:rPr>
        <w:t>Hesekiel</w:t>
      </w:r>
      <w:proofErr w:type="spellEnd"/>
      <w:r w:rsidRPr="001005B7">
        <w:rPr>
          <w:i/>
          <w:iCs/>
          <w:color w:val="auto"/>
          <w:lang w:val="en-US"/>
        </w:rPr>
        <w:t>, der Dichter und das Buch</w:t>
      </w:r>
      <w:r w:rsidRPr="001005B7">
        <w:rPr>
          <w:i/>
          <w:iCs/>
          <w:color w:val="auto"/>
          <w:shd w:val="clear" w:color="auto" w:fill="FFFFFF"/>
          <w:lang w:val="en-US"/>
        </w:rPr>
        <w:t xml:space="preserve">: Eine </w:t>
      </w:r>
      <w:proofErr w:type="spellStart"/>
      <w:r w:rsidRPr="001005B7">
        <w:rPr>
          <w:i/>
          <w:iCs/>
          <w:color w:val="auto"/>
          <w:shd w:val="clear" w:color="auto" w:fill="FFFFFF"/>
          <w:lang w:val="en-US"/>
        </w:rPr>
        <w:t>literarkritische</w:t>
      </w:r>
      <w:proofErr w:type="spellEnd"/>
      <w:r w:rsidRPr="001005B7">
        <w:rPr>
          <w:i/>
          <w:iCs/>
          <w:color w:val="auto"/>
          <w:shd w:val="clear" w:color="auto" w:fill="FFFFFF"/>
          <w:lang w:val="en-US"/>
        </w:rPr>
        <w:t xml:space="preserve"> </w:t>
      </w:r>
      <w:proofErr w:type="spellStart"/>
      <w:r w:rsidRPr="001005B7">
        <w:rPr>
          <w:i/>
          <w:iCs/>
          <w:color w:val="auto"/>
          <w:shd w:val="clear" w:color="auto" w:fill="FFFFFF"/>
          <w:lang w:val="en-US"/>
        </w:rPr>
        <w:t>Untersuchung</w:t>
      </w:r>
      <w:proofErr w:type="spellEnd"/>
      <w:r w:rsidR="005637DB" w:rsidRPr="001005B7">
        <w:rPr>
          <w:color w:val="auto"/>
          <w:shd w:val="clear" w:color="auto" w:fill="FFFFFF"/>
          <w:lang w:val="en-US"/>
        </w:rPr>
        <w:t>.</w:t>
      </w:r>
      <w:r w:rsidRPr="001005B7">
        <w:rPr>
          <w:color w:val="auto"/>
          <w:shd w:val="clear" w:color="auto" w:fill="FFFFFF"/>
          <w:lang w:val="en-US"/>
        </w:rPr>
        <w:t xml:space="preserve"> BZAW 39</w:t>
      </w:r>
      <w:r w:rsidR="005637DB" w:rsidRPr="001005B7">
        <w:rPr>
          <w:color w:val="auto"/>
          <w:shd w:val="clear" w:color="auto" w:fill="FFFFFF"/>
          <w:lang w:val="en-US"/>
        </w:rPr>
        <w:t>.</w:t>
      </w:r>
      <w:r w:rsidRPr="001005B7">
        <w:rPr>
          <w:color w:val="auto"/>
          <w:shd w:val="clear" w:color="auto" w:fill="FFFFFF"/>
          <w:lang w:val="en-US"/>
        </w:rPr>
        <w:t xml:space="preserve"> Giessen: </w:t>
      </w:r>
      <w:proofErr w:type="spellStart"/>
      <w:r w:rsidRPr="001005B7">
        <w:rPr>
          <w:color w:val="auto"/>
          <w:shd w:val="clear" w:color="auto" w:fill="FFFFFF"/>
          <w:lang w:val="en-US"/>
        </w:rPr>
        <w:t>Töpelmann</w:t>
      </w:r>
      <w:proofErr w:type="spellEnd"/>
      <w:r w:rsidRPr="001005B7">
        <w:rPr>
          <w:color w:val="auto"/>
          <w:shd w:val="clear" w:color="auto" w:fill="FFFFFF"/>
          <w:lang w:val="en-US"/>
        </w:rPr>
        <w:t>, 1924.</w:t>
      </w:r>
    </w:p>
    <w:p w14:paraId="3BCDE047" w14:textId="2083A1E7" w:rsidR="00E95E91" w:rsidRPr="001005B7" w:rsidRDefault="00E95E91" w:rsidP="00E95E91">
      <w:pPr>
        <w:spacing w:after="60" w:line="240" w:lineRule="auto"/>
        <w:ind w:left="567" w:hanging="567"/>
        <w:rPr>
          <w:rFonts w:ascii="Calibri" w:eastAsia="Times New Roman" w:hAnsi="Calibri" w:cs="Calibri"/>
          <w:lang w:val="de-DE" w:eastAsia="en-GB"/>
        </w:rPr>
      </w:pPr>
      <w:proofErr w:type="spellStart"/>
      <w:r w:rsidRPr="001005B7">
        <w:rPr>
          <w:rFonts w:ascii="Calibri" w:eastAsia="Times New Roman" w:hAnsi="Calibri" w:cs="Calibri"/>
          <w:lang w:val="de-DE" w:eastAsia="en-GB"/>
        </w:rPr>
        <w:t>Hossfeld</w:t>
      </w:r>
      <w:proofErr w:type="spellEnd"/>
      <w:r w:rsidRPr="001005B7">
        <w:rPr>
          <w:rFonts w:ascii="Calibri" w:eastAsia="Times New Roman" w:hAnsi="Calibri" w:cs="Calibri"/>
          <w:lang w:val="de-DE" w:eastAsia="en-GB"/>
        </w:rPr>
        <w:t xml:space="preserve">, </w:t>
      </w:r>
      <w:r w:rsidR="0084074B" w:rsidRPr="001005B7">
        <w:rPr>
          <w:rFonts w:ascii="Arial" w:hAnsi="Arial" w:cs="Arial"/>
          <w:sz w:val="20"/>
          <w:szCs w:val="20"/>
          <w:shd w:val="clear" w:color="auto" w:fill="FFFFFF"/>
        </w:rPr>
        <w:t>Frank-Lothar</w:t>
      </w:r>
      <w:r w:rsidR="007C0258" w:rsidRPr="001005B7">
        <w:rPr>
          <w:rFonts w:ascii="Arial" w:hAnsi="Arial" w:cs="Arial"/>
          <w:sz w:val="20"/>
          <w:szCs w:val="20"/>
          <w:shd w:val="clear" w:color="auto" w:fill="FFFFFF"/>
        </w:rPr>
        <w:t>.</w:t>
      </w:r>
      <w:r w:rsidRPr="001005B7">
        <w:rPr>
          <w:rFonts w:ascii="Calibri" w:eastAsia="Times New Roman" w:hAnsi="Calibri" w:cs="Calibri"/>
          <w:lang w:val="de-DE" w:eastAsia="en-GB"/>
        </w:rPr>
        <w:t xml:space="preserve"> "Ezechiel und die deuteronomisch-deuteronomistische Bewegung</w:t>
      </w:r>
      <w:r w:rsidR="00231DD9" w:rsidRPr="001005B7">
        <w:rPr>
          <w:rFonts w:ascii="Calibri" w:eastAsia="Times New Roman" w:hAnsi="Calibri" w:cs="Calibri"/>
          <w:lang w:val="de-DE" w:eastAsia="en-GB"/>
        </w:rPr>
        <w:t>.“</w:t>
      </w:r>
      <w:r w:rsidRPr="001005B7">
        <w:rPr>
          <w:rFonts w:ascii="Calibri" w:eastAsia="Times New Roman" w:hAnsi="Calibri" w:cs="Calibri"/>
          <w:lang w:val="de-DE" w:eastAsia="en-GB"/>
        </w:rPr>
        <w:t xml:space="preserve"> </w:t>
      </w:r>
      <w:r w:rsidR="00231DD9" w:rsidRPr="001005B7">
        <w:rPr>
          <w:rFonts w:ascii="Calibri" w:eastAsia="Times New Roman" w:hAnsi="Calibri" w:cs="Calibri"/>
          <w:lang w:val="de-DE" w:eastAsia="en-GB"/>
        </w:rPr>
        <w:t>I</w:t>
      </w:r>
      <w:r w:rsidRPr="001005B7">
        <w:rPr>
          <w:rFonts w:ascii="Calibri" w:eastAsia="Times New Roman" w:hAnsi="Calibri" w:cs="Calibri"/>
          <w:lang w:val="de-DE" w:eastAsia="en-GB"/>
        </w:rPr>
        <w:t>n</w:t>
      </w:r>
      <w:r w:rsidR="009E3CB3" w:rsidRPr="001005B7">
        <w:rPr>
          <w:rFonts w:ascii="Calibri" w:eastAsia="Times New Roman" w:hAnsi="Calibri" w:cs="Calibri"/>
          <w:lang w:val="de-DE" w:eastAsia="en-GB"/>
        </w:rPr>
        <w:t xml:space="preserve"> </w:t>
      </w:r>
      <w:r w:rsidR="006756A2" w:rsidRPr="001005B7">
        <w:rPr>
          <w:rFonts w:eastAsia="Times New Roman" w:cs="Calibri"/>
          <w:lang w:eastAsia="en-GB"/>
        </w:rPr>
        <w:t xml:space="preserve">Walter Gross, </w:t>
      </w:r>
      <w:proofErr w:type="spellStart"/>
      <w:r w:rsidR="00231DD9" w:rsidRPr="001005B7">
        <w:rPr>
          <w:rFonts w:ascii="Calibri" w:eastAsia="Times New Roman" w:hAnsi="Calibri" w:cs="Calibri"/>
          <w:lang w:val="de-DE" w:eastAsia="en-GB"/>
        </w:rPr>
        <w:t>ed</w:t>
      </w:r>
      <w:proofErr w:type="spellEnd"/>
      <w:r w:rsidR="00231DD9" w:rsidRPr="001005B7">
        <w:rPr>
          <w:rFonts w:ascii="Calibri" w:eastAsia="Times New Roman" w:hAnsi="Calibri" w:cs="Calibri"/>
          <w:lang w:val="de-DE" w:eastAsia="en-GB"/>
        </w:rPr>
        <w:t>.,</w:t>
      </w:r>
      <w:r w:rsidRPr="001005B7">
        <w:rPr>
          <w:rFonts w:ascii="Calibri" w:eastAsia="Times New Roman" w:hAnsi="Calibri" w:cs="Calibri"/>
          <w:lang w:val="de-DE" w:eastAsia="en-GB"/>
        </w:rPr>
        <w:t xml:space="preserve"> </w:t>
      </w:r>
      <w:r w:rsidRPr="001005B7">
        <w:rPr>
          <w:rFonts w:ascii="Calibri" w:eastAsia="Times New Roman" w:hAnsi="Calibri" w:cs="Calibri"/>
          <w:i/>
          <w:iCs/>
          <w:lang w:val="de-DE" w:eastAsia="en-GB"/>
        </w:rPr>
        <w:t>Jeremia und die "deuteronomistische Bewegung</w:t>
      </w:r>
      <w:r w:rsidR="00231DD9" w:rsidRPr="001005B7">
        <w:rPr>
          <w:rFonts w:ascii="Calibri" w:eastAsia="Times New Roman" w:hAnsi="Calibri" w:cs="Calibri"/>
          <w:lang w:val="de-DE" w:eastAsia="en-GB"/>
        </w:rPr>
        <w:t>,</w:t>
      </w:r>
      <w:r w:rsidR="008F6ABD" w:rsidRPr="001005B7">
        <w:rPr>
          <w:rFonts w:ascii="Calibri" w:eastAsia="Times New Roman" w:hAnsi="Calibri" w:cs="Calibri"/>
          <w:lang w:val="de-DE" w:eastAsia="en-GB"/>
        </w:rPr>
        <w:t>“</w:t>
      </w:r>
      <w:r w:rsidR="00231DD9" w:rsidRPr="001005B7">
        <w:rPr>
          <w:rFonts w:ascii="Calibri" w:eastAsia="Times New Roman" w:hAnsi="Calibri" w:cs="Calibri"/>
          <w:lang w:val="de-DE" w:eastAsia="en-GB"/>
        </w:rPr>
        <w:t xml:space="preserve"> 271–95.</w:t>
      </w:r>
      <w:r w:rsidRPr="001005B7">
        <w:rPr>
          <w:rFonts w:ascii="Calibri" w:eastAsia="Times New Roman" w:hAnsi="Calibri" w:cs="Calibri"/>
          <w:lang w:val="de-DE" w:eastAsia="en-GB"/>
        </w:rPr>
        <w:t> Weinheim: Beltz, 1995.</w:t>
      </w:r>
    </w:p>
    <w:p w14:paraId="4FE94F7F" w14:textId="347415C3" w:rsidR="0054194C" w:rsidRPr="001005B7" w:rsidRDefault="0054194C" w:rsidP="006F5BB0">
      <w:pPr>
        <w:pStyle w:val="ListParagraph"/>
        <w:rPr>
          <w:color w:val="auto"/>
          <w:lang w:val="en-US"/>
        </w:rPr>
      </w:pPr>
      <w:proofErr w:type="spellStart"/>
      <w:r w:rsidRPr="001005B7">
        <w:rPr>
          <w:color w:val="auto"/>
          <w:lang w:val="en-US"/>
        </w:rPr>
        <w:t>Hurvitz</w:t>
      </w:r>
      <w:proofErr w:type="spellEnd"/>
      <w:r w:rsidRPr="001005B7">
        <w:rPr>
          <w:color w:val="auto"/>
          <w:lang w:val="en-US"/>
        </w:rPr>
        <w:t>, A</w:t>
      </w:r>
      <w:r w:rsidR="003A6A91" w:rsidRPr="001005B7">
        <w:rPr>
          <w:color w:val="auto"/>
          <w:lang w:val="en-US"/>
        </w:rPr>
        <w:t>vi</w:t>
      </w:r>
      <w:r w:rsidRPr="001005B7">
        <w:rPr>
          <w:i/>
          <w:iCs/>
          <w:color w:val="auto"/>
          <w:lang w:val="en-US"/>
        </w:rPr>
        <w:t>. A Linguistic Study of the Relationship between the Priestly Source and the Book of Ezekiel: A New Approach to an Old Problem</w:t>
      </w:r>
      <w:r w:rsidR="0040067C" w:rsidRPr="001005B7">
        <w:rPr>
          <w:color w:val="auto"/>
          <w:lang w:val="en-US"/>
        </w:rPr>
        <w:t xml:space="preserve">. </w:t>
      </w:r>
      <w:r w:rsidRPr="001005B7">
        <w:rPr>
          <w:color w:val="auto"/>
          <w:lang w:val="en-US"/>
        </w:rPr>
        <w:t xml:space="preserve">Paris: </w:t>
      </w:r>
      <w:proofErr w:type="spellStart"/>
      <w:r w:rsidRPr="001005B7">
        <w:rPr>
          <w:color w:val="auto"/>
          <w:lang w:val="en-US"/>
        </w:rPr>
        <w:t>Gabalda</w:t>
      </w:r>
      <w:proofErr w:type="spellEnd"/>
      <w:r w:rsidRPr="001005B7">
        <w:rPr>
          <w:color w:val="auto"/>
          <w:lang w:val="en-US"/>
        </w:rPr>
        <w:t>, 1982.</w:t>
      </w:r>
    </w:p>
    <w:p w14:paraId="3C8D89CF" w14:textId="17306690" w:rsidR="00E35F99" w:rsidRPr="001005B7" w:rsidRDefault="00E35F99" w:rsidP="006F5BB0">
      <w:pPr>
        <w:pStyle w:val="ListParagraph"/>
        <w:rPr>
          <w:color w:val="auto"/>
          <w:lang w:val="en-US"/>
        </w:rPr>
      </w:pPr>
      <w:r w:rsidRPr="001005B7">
        <w:rPr>
          <w:color w:val="auto"/>
          <w:lang w:val="en-US"/>
        </w:rPr>
        <w:t>Joo,</w:t>
      </w:r>
      <w:r w:rsidR="00A15EAF" w:rsidRPr="001005B7">
        <w:rPr>
          <w:color w:val="auto"/>
          <w:lang w:val="en-US"/>
        </w:rPr>
        <w:t xml:space="preserve"> Samantha. “</w:t>
      </w:r>
      <w:r w:rsidR="009821C5" w:rsidRPr="001005B7">
        <w:rPr>
          <w:color w:val="auto"/>
          <w:lang w:val="en-US"/>
        </w:rPr>
        <w:t xml:space="preserve">‘Off-centering’ in </w:t>
      </w:r>
      <w:r w:rsidR="009D241C" w:rsidRPr="001005B7">
        <w:rPr>
          <w:i/>
          <w:iCs/>
          <w:color w:val="auto"/>
          <w:lang w:val="en-US"/>
        </w:rPr>
        <w:t xml:space="preserve">The </w:t>
      </w:r>
      <w:r w:rsidR="009821C5" w:rsidRPr="001005B7">
        <w:rPr>
          <w:i/>
          <w:iCs/>
          <w:color w:val="auto"/>
          <w:lang w:val="en-US"/>
        </w:rPr>
        <w:t>Satanic Veress</w:t>
      </w:r>
      <w:r w:rsidRPr="001005B7">
        <w:rPr>
          <w:color w:val="auto"/>
          <w:lang w:val="en-US"/>
        </w:rPr>
        <w:t xml:space="preserve"> and the Book of</w:t>
      </w:r>
      <w:r w:rsidR="005B5ECF" w:rsidRPr="001005B7">
        <w:rPr>
          <w:color w:val="auto"/>
          <w:lang w:val="en-US"/>
        </w:rPr>
        <w:t xml:space="preserve"> </w:t>
      </w:r>
      <w:proofErr w:type="spellStart"/>
      <w:r w:rsidRPr="001005B7">
        <w:rPr>
          <w:color w:val="auto"/>
          <w:lang w:val="en-US"/>
        </w:rPr>
        <w:t>Ezekiei</w:t>
      </w:r>
      <w:proofErr w:type="spellEnd"/>
      <w:r w:rsidRPr="001005B7">
        <w:rPr>
          <w:color w:val="auto"/>
          <w:lang w:val="en-US"/>
        </w:rPr>
        <w:t>: Post</w:t>
      </w:r>
      <w:r w:rsidR="005B5ECF" w:rsidRPr="001005B7">
        <w:rPr>
          <w:color w:val="auto"/>
          <w:lang w:val="en-US"/>
        </w:rPr>
        <w:t>c</w:t>
      </w:r>
      <w:r w:rsidRPr="001005B7">
        <w:rPr>
          <w:color w:val="auto"/>
          <w:lang w:val="en-US"/>
        </w:rPr>
        <w:t>olonial Response to Alienation</w:t>
      </w:r>
      <w:r w:rsidR="005B5ECF" w:rsidRPr="001005B7">
        <w:rPr>
          <w:color w:val="auto"/>
          <w:lang w:val="en-US"/>
        </w:rPr>
        <w:t>.”</w:t>
      </w:r>
      <w:r w:rsidR="0092717F" w:rsidRPr="001005B7">
        <w:rPr>
          <w:color w:val="auto"/>
          <w:lang w:val="en-US"/>
        </w:rPr>
        <w:t xml:space="preserve"> </w:t>
      </w:r>
      <w:r w:rsidR="0092717F" w:rsidRPr="001005B7">
        <w:rPr>
          <w:i/>
          <w:iCs/>
          <w:color w:val="auto"/>
          <w:lang w:val="en-US"/>
        </w:rPr>
        <w:t>JSOT</w:t>
      </w:r>
      <w:r w:rsidR="0092717F" w:rsidRPr="001005B7">
        <w:rPr>
          <w:color w:val="auto"/>
          <w:lang w:val="en-US"/>
        </w:rPr>
        <w:t xml:space="preserve"> 39 (2014): </w:t>
      </w:r>
      <w:r w:rsidR="00D60842" w:rsidRPr="001005B7">
        <w:rPr>
          <w:color w:val="auto"/>
          <w:lang w:val="en-US"/>
        </w:rPr>
        <w:t>55</w:t>
      </w:r>
      <w:r w:rsidR="00F46900" w:rsidRPr="001005B7">
        <w:rPr>
          <w:color w:val="auto"/>
          <w:lang w:val="en-US"/>
        </w:rPr>
        <w:t>–</w:t>
      </w:r>
      <w:r w:rsidR="00D60842" w:rsidRPr="001005B7">
        <w:rPr>
          <w:color w:val="auto"/>
          <w:lang w:val="en-US"/>
        </w:rPr>
        <w:t>78.</w:t>
      </w:r>
    </w:p>
    <w:p w14:paraId="1CA3ADF9" w14:textId="188AEBA4" w:rsidR="005C02AD" w:rsidRPr="001005B7" w:rsidRDefault="006C3D0F" w:rsidP="006F5BB0">
      <w:pPr>
        <w:pStyle w:val="ListParagraph"/>
        <w:rPr>
          <w:color w:val="auto"/>
          <w:lang w:val="en-US"/>
        </w:rPr>
      </w:pPr>
      <w:proofErr w:type="spellStart"/>
      <w:r w:rsidRPr="001005B7">
        <w:rPr>
          <w:color w:val="auto"/>
          <w:lang w:val="en-US"/>
        </w:rPr>
        <w:t>Jost</w:t>
      </w:r>
      <w:proofErr w:type="spellEnd"/>
      <w:r w:rsidRPr="001005B7">
        <w:rPr>
          <w:color w:val="auto"/>
          <w:lang w:val="en-US"/>
        </w:rPr>
        <w:t xml:space="preserve">, Renate, and Elke Seifert. </w:t>
      </w:r>
      <w:r w:rsidR="004D4DBC" w:rsidRPr="001005B7">
        <w:rPr>
          <w:color w:val="auto"/>
          <w:lang w:val="en-US"/>
        </w:rPr>
        <w:t>“Ezekiel: Male Prophecy with Female Imagery.”</w:t>
      </w:r>
      <w:r w:rsidR="00E01A17" w:rsidRPr="001005B7">
        <w:rPr>
          <w:color w:val="auto"/>
          <w:lang w:val="en-US"/>
        </w:rPr>
        <w:t xml:space="preserve"> In </w:t>
      </w:r>
      <w:proofErr w:type="spellStart"/>
      <w:r w:rsidR="00E01A17" w:rsidRPr="001005B7">
        <w:rPr>
          <w:color w:val="auto"/>
          <w:shd w:val="clear" w:color="auto" w:fill="FBFBFB"/>
          <w:lang w:val="en-US"/>
        </w:rPr>
        <w:t>Luise</w:t>
      </w:r>
      <w:proofErr w:type="spellEnd"/>
      <w:r w:rsidR="00E01A17" w:rsidRPr="001005B7">
        <w:rPr>
          <w:color w:val="auto"/>
          <w:shd w:val="clear" w:color="auto" w:fill="FBFBFB"/>
          <w:lang w:val="en-US"/>
        </w:rPr>
        <w:t xml:space="preserve"> </w:t>
      </w:r>
      <w:proofErr w:type="spellStart"/>
      <w:r w:rsidR="00E01A17" w:rsidRPr="001005B7">
        <w:rPr>
          <w:color w:val="auto"/>
          <w:shd w:val="clear" w:color="auto" w:fill="FBFBFB"/>
          <w:lang w:val="en-US"/>
        </w:rPr>
        <w:t>Schottroff</w:t>
      </w:r>
      <w:proofErr w:type="spellEnd"/>
      <w:r w:rsidR="00E01A17" w:rsidRPr="001005B7">
        <w:rPr>
          <w:color w:val="auto"/>
          <w:shd w:val="clear" w:color="auto" w:fill="FBFBFB"/>
          <w:lang w:val="en-US"/>
        </w:rPr>
        <w:t xml:space="preserve"> and Marie-</w:t>
      </w:r>
      <w:proofErr w:type="spellStart"/>
      <w:r w:rsidR="00E01A17" w:rsidRPr="001005B7">
        <w:rPr>
          <w:color w:val="auto"/>
          <w:shd w:val="clear" w:color="auto" w:fill="FBFBFB"/>
          <w:lang w:val="en-US"/>
        </w:rPr>
        <w:t>Theres</w:t>
      </w:r>
      <w:proofErr w:type="spellEnd"/>
      <w:r w:rsidR="00E01A17" w:rsidRPr="001005B7">
        <w:rPr>
          <w:color w:val="auto"/>
          <w:shd w:val="clear" w:color="auto" w:fill="FBFBFB"/>
          <w:lang w:val="en-US"/>
        </w:rPr>
        <w:t xml:space="preserve"> Wacker</w:t>
      </w:r>
      <w:r w:rsidR="006B095A" w:rsidRPr="001005B7">
        <w:rPr>
          <w:color w:val="auto"/>
          <w:shd w:val="clear" w:color="auto" w:fill="FBFBFB"/>
          <w:lang w:val="en-US"/>
        </w:rPr>
        <w:t xml:space="preserve">, ed., </w:t>
      </w:r>
      <w:r w:rsidR="00D5412E" w:rsidRPr="001005B7">
        <w:rPr>
          <w:i/>
          <w:iCs/>
          <w:color w:val="auto"/>
          <w:lang w:val="en-US"/>
        </w:rPr>
        <w:t xml:space="preserve">Feminist Biblical Interpretation: A Compendium </w:t>
      </w:r>
      <w:r w:rsidR="00983F9C" w:rsidRPr="001005B7">
        <w:rPr>
          <w:i/>
          <w:iCs/>
          <w:color w:val="auto"/>
          <w:lang w:val="en-US"/>
        </w:rPr>
        <w:t>o</w:t>
      </w:r>
      <w:r w:rsidR="00D5412E" w:rsidRPr="001005B7">
        <w:rPr>
          <w:i/>
          <w:iCs/>
          <w:color w:val="auto"/>
          <w:lang w:val="en-US"/>
        </w:rPr>
        <w:t xml:space="preserve">f Critical Commentary </w:t>
      </w:r>
      <w:r w:rsidR="00983F9C" w:rsidRPr="001005B7">
        <w:rPr>
          <w:i/>
          <w:iCs/>
          <w:color w:val="auto"/>
          <w:lang w:val="en-US"/>
        </w:rPr>
        <w:t>o</w:t>
      </w:r>
      <w:r w:rsidR="00D5412E" w:rsidRPr="001005B7">
        <w:rPr>
          <w:i/>
          <w:iCs/>
          <w:color w:val="auto"/>
          <w:lang w:val="en-US"/>
        </w:rPr>
        <w:t xml:space="preserve">n </w:t>
      </w:r>
      <w:r w:rsidR="00983F9C" w:rsidRPr="001005B7">
        <w:rPr>
          <w:i/>
          <w:iCs/>
          <w:color w:val="auto"/>
          <w:lang w:val="en-US"/>
        </w:rPr>
        <w:t>t</w:t>
      </w:r>
      <w:r w:rsidR="00D5412E" w:rsidRPr="001005B7">
        <w:rPr>
          <w:i/>
          <w:iCs/>
          <w:color w:val="auto"/>
          <w:lang w:val="en-US"/>
        </w:rPr>
        <w:t xml:space="preserve">he Books </w:t>
      </w:r>
      <w:r w:rsidR="00983F9C" w:rsidRPr="001005B7">
        <w:rPr>
          <w:i/>
          <w:iCs/>
          <w:color w:val="auto"/>
          <w:lang w:val="en-US"/>
        </w:rPr>
        <w:t>o</w:t>
      </w:r>
      <w:r w:rsidR="00D5412E" w:rsidRPr="001005B7">
        <w:rPr>
          <w:i/>
          <w:iCs/>
          <w:color w:val="auto"/>
          <w:lang w:val="en-US"/>
        </w:rPr>
        <w:t xml:space="preserve">f </w:t>
      </w:r>
      <w:r w:rsidR="00983F9C" w:rsidRPr="001005B7">
        <w:rPr>
          <w:i/>
          <w:iCs/>
          <w:color w:val="auto"/>
          <w:lang w:val="en-US"/>
        </w:rPr>
        <w:t>t</w:t>
      </w:r>
      <w:r w:rsidR="00D5412E" w:rsidRPr="001005B7">
        <w:rPr>
          <w:i/>
          <w:iCs/>
          <w:color w:val="auto"/>
          <w:lang w:val="en-US"/>
        </w:rPr>
        <w:t xml:space="preserve">he Bible </w:t>
      </w:r>
      <w:r w:rsidR="00983F9C" w:rsidRPr="001005B7">
        <w:rPr>
          <w:i/>
          <w:iCs/>
          <w:color w:val="auto"/>
          <w:lang w:val="en-US"/>
        </w:rPr>
        <w:t>a</w:t>
      </w:r>
      <w:r w:rsidR="00D5412E" w:rsidRPr="001005B7">
        <w:rPr>
          <w:i/>
          <w:iCs/>
          <w:color w:val="auto"/>
          <w:lang w:val="en-US"/>
        </w:rPr>
        <w:t>nd Related Literature</w:t>
      </w:r>
      <w:r w:rsidR="00863AFC" w:rsidRPr="001005B7">
        <w:rPr>
          <w:color w:val="auto"/>
          <w:lang w:val="en-US"/>
        </w:rPr>
        <w:t xml:space="preserve">, </w:t>
      </w:r>
      <w:r w:rsidR="00DA52CB" w:rsidRPr="001005B7">
        <w:rPr>
          <w:color w:val="auto"/>
          <w:lang w:val="en-US"/>
        </w:rPr>
        <w:t>345</w:t>
      </w:r>
      <w:r w:rsidR="00F46900" w:rsidRPr="001005B7">
        <w:rPr>
          <w:color w:val="auto"/>
          <w:lang w:val="en-US"/>
        </w:rPr>
        <w:t>–</w:t>
      </w:r>
      <w:r w:rsidR="00DA52CB" w:rsidRPr="001005B7">
        <w:rPr>
          <w:color w:val="auto"/>
          <w:lang w:val="en-US"/>
        </w:rPr>
        <w:t xml:space="preserve">60. </w:t>
      </w:r>
      <w:r w:rsidR="00A73AB2" w:rsidRPr="001005B7">
        <w:rPr>
          <w:color w:val="auto"/>
          <w:lang w:val="en-US"/>
        </w:rPr>
        <w:t>Trans. Linda M. Maloney.</w:t>
      </w:r>
      <w:r w:rsidR="00EC149B" w:rsidRPr="001005B7">
        <w:rPr>
          <w:color w:val="auto"/>
          <w:lang w:val="en-US"/>
        </w:rPr>
        <w:t xml:space="preserve"> </w:t>
      </w:r>
      <w:r w:rsidR="00DA52CB" w:rsidRPr="001005B7">
        <w:rPr>
          <w:color w:val="auto"/>
          <w:lang w:val="en-US"/>
        </w:rPr>
        <w:t xml:space="preserve">Grand Rapids: Eerdmans, </w:t>
      </w:r>
      <w:r w:rsidR="003857AD" w:rsidRPr="001005B7">
        <w:rPr>
          <w:color w:val="auto"/>
          <w:lang w:val="en-US"/>
        </w:rPr>
        <w:t xml:space="preserve">2012. </w:t>
      </w:r>
    </w:p>
    <w:p w14:paraId="2DE0DE2A" w14:textId="692DD89C" w:rsidR="00DF4ECF" w:rsidRPr="001005B7" w:rsidRDefault="0028437E" w:rsidP="006F5BB0">
      <w:pPr>
        <w:pStyle w:val="ListParagraph"/>
        <w:rPr>
          <w:color w:val="auto"/>
          <w:lang w:val="en-US"/>
        </w:rPr>
      </w:pPr>
      <w:r w:rsidRPr="001005B7">
        <w:rPr>
          <w:color w:val="auto"/>
          <w:lang w:val="en-US"/>
        </w:rPr>
        <w:t>Joyce, Paul</w:t>
      </w:r>
      <w:r w:rsidR="009C1272" w:rsidRPr="001005B7">
        <w:rPr>
          <w:color w:val="auto"/>
          <w:lang w:val="en-US"/>
        </w:rPr>
        <w:t xml:space="preserve"> M</w:t>
      </w:r>
      <w:r w:rsidRPr="001005B7">
        <w:rPr>
          <w:color w:val="auto"/>
          <w:lang w:val="en-US"/>
        </w:rPr>
        <w:t xml:space="preserve">. </w:t>
      </w:r>
      <w:r w:rsidRPr="001005B7">
        <w:rPr>
          <w:i/>
          <w:iCs/>
          <w:color w:val="auto"/>
          <w:lang w:val="en-US"/>
        </w:rPr>
        <w:t>Divine Initiative and Human Response in Ezekiel</w:t>
      </w:r>
      <w:r w:rsidRPr="001005B7">
        <w:rPr>
          <w:color w:val="auto"/>
          <w:lang w:val="en-US"/>
        </w:rPr>
        <w:t xml:space="preserve">. </w:t>
      </w:r>
      <w:proofErr w:type="spellStart"/>
      <w:r w:rsidRPr="001005B7">
        <w:rPr>
          <w:color w:val="auto"/>
          <w:lang w:val="en-US"/>
        </w:rPr>
        <w:t>JSOTSup</w:t>
      </w:r>
      <w:proofErr w:type="spellEnd"/>
      <w:r w:rsidRPr="001005B7">
        <w:rPr>
          <w:color w:val="auto"/>
          <w:lang w:val="en-US"/>
        </w:rPr>
        <w:t xml:space="preserve"> 51. Sheffield: JSOT Press, 1989.</w:t>
      </w:r>
    </w:p>
    <w:p w14:paraId="6496CB72" w14:textId="2D97CC03" w:rsidR="009C1272" w:rsidRPr="001005B7" w:rsidRDefault="003A40F0" w:rsidP="009C1272">
      <w:pPr>
        <w:spacing w:after="60" w:line="240" w:lineRule="auto"/>
        <w:ind w:left="567" w:hanging="567"/>
        <w:rPr>
          <w:rFonts w:ascii="Calibri" w:eastAsia="Times New Roman" w:hAnsi="Calibri" w:cs="Calibri"/>
          <w:lang w:eastAsia="en-GB"/>
        </w:rPr>
      </w:pPr>
      <w:r w:rsidRPr="001005B7">
        <w:rPr>
          <w:i/>
          <w:iCs/>
        </w:rPr>
        <w:t xml:space="preserve">––– </w:t>
      </w:r>
      <w:r w:rsidRPr="001005B7">
        <w:t>“</w:t>
      </w:r>
      <w:r w:rsidR="009C1272" w:rsidRPr="001005B7">
        <w:rPr>
          <w:rFonts w:ascii="Calibri" w:eastAsia="Times New Roman" w:hAnsi="Calibri" w:cs="Calibri"/>
          <w:lang w:eastAsia="en-GB"/>
        </w:rPr>
        <w:t>Ezekiel</w:t>
      </w:r>
      <w:r w:rsidR="00AA39D9" w:rsidRPr="001005B7">
        <w:rPr>
          <w:rFonts w:ascii="Calibri" w:eastAsia="Times New Roman" w:hAnsi="Calibri" w:cs="Calibri"/>
          <w:lang w:eastAsia="en-GB"/>
        </w:rPr>
        <w:t>.</w:t>
      </w:r>
      <w:r w:rsidRPr="001005B7">
        <w:rPr>
          <w:rFonts w:ascii="Calibri" w:eastAsia="Times New Roman" w:hAnsi="Calibri" w:cs="Calibri"/>
          <w:lang w:eastAsia="en-GB"/>
        </w:rPr>
        <w:t>”</w:t>
      </w:r>
      <w:r w:rsidR="009C1272" w:rsidRPr="001005B7">
        <w:rPr>
          <w:rFonts w:ascii="Calibri" w:eastAsia="Times New Roman" w:hAnsi="Calibri" w:cs="Calibri"/>
          <w:lang w:eastAsia="en-GB"/>
        </w:rPr>
        <w:t xml:space="preserve"> </w:t>
      </w:r>
      <w:r w:rsidR="00AA39D9" w:rsidRPr="001005B7">
        <w:rPr>
          <w:rFonts w:ascii="Calibri" w:eastAsia="Times New Roman" w:hAnsi="Calibri" w:cs="Calibri"/>
          <w:lang w:eastAsia="en-GB"/>
        </w:rPr>
        <w:t>I</w:t>
      </w:r>
      <w:r w:rsidR="009C1272" w:rsidRPr="001005B7">
        <w:rPr>
          <w:rFonts w:ascii="Calibri" w:eastAsia="Times New Roman" w:hAnsi="Calibri" w:cs="Calibri"/>
          <w:lang w:eastAsia="en-GB"/>
        </w:rPr>
        <w:t xml:space="preserve">n </w:t>
      </w:r>
      <w:r w:rsidR="00030092" w:rsidRPr="001005B7">
        <w:rPr>
          <w:rFonts w:ascii="Calibri" w:eastAsia="Times New Roman" w:hAnsi="Calibri" w:cs="Calibri"/>
          <w:lang w:eastAsia="en-GB"/>
        </w:rPr>
        <w:t xml:space="preserve">Michael </w:t>
      </w:r>
      <w:proofErr w:type="spellStart"/>
      <w:r w:rsidR="009C1272" w:rsidRPr="001005B7">
        <w:rPr>
          <w:rFonts w:ascii="Calibri" w:eastAsia="Times New Roman" w:hAnsi="Calibri" w:cs="Calibri"/>
          <w:lang w:eastAsia="en-GB"/>
        </w:rPr>
        <w:t>Lieb</w:t>
      </w:r>
      <w:proofErr w:type="spellEnd"/>
      <w:r w:rsidR="00030092" w:rsidRPr="001005B7">
        <w:rPr>
          <w:rFonts w:ascii="Calibri" w:eastAsia="Times New Roman" w:hAnsi="Calibri" w:cs="Calibri"/>
          <w:lang w:eastAsia="en-GB"/>
        </w:rPr>
        <w:t>,</w:t>
      </w:r>
      <w:r w:rsidR="009C1272" w:rsidRPr="001005B7">
        <w:rPr>
          <w:rFonts w:ascii="Calibri" w:eastAsia="Times New Roman" w:hAnsi="Calibri" w:cs="Calibri"/>
          <w:lang w:eastAsia="en-GB"/>
        </w:rPr>
        <w:t xml:space="preserve"> E</w:t>
      </w:r>
      <w:r w:rsidR="00E0113B" w:rsidRPr="001005B7">
        <w:rPr>
          <w:rFonts w:ascii="Calibri" w:eastAsia="Times New Roman" w:hAnsi="Calibri" w:cs="Calibri"/>
          <w:lang w:eastAsia="en-GB"/>
        </w:rPr>
        <w:t>mma</w:t>
      </w:r>
      <w:r w:rsidR="009C1272" w:rsidRPr="001005B7">
        <w:rPr>
          <w:rFonts w:ascii="Calibri" w:eastAsia="Times New Roman" w:hAnsi="Calibri" w:cs="Calibri"/>
          <w:lang w:eastAsia="en-GB"/>
        </w:rPr>
        <w:t xml:space="preserve"> Mason</w:t>
      </w:r>
      <w:r w:rsidR="00E0113B" w:rsidRPr="001005B7">
        <w:rPr>
          <w:rFonts w:ascii="Calibri" w:eastAsia="Times New Roman" w:hAnsi="Calibri" w:cs="Calibri"/>
          <w:lang w:eastAsia="en-GB"/>
        </w:rPr>
        <w:t>, and</w:t>
      </w:r>
      <w:r w:rsidR="009C1272" w:rsidRPr="001005B7">
        <w:rPr>
          <w:rFonts w:ascii="Calibri" w:eastAsia="Times New Roman" w:hAnsi="Calibri" w:cs="Calibri"/>
          <w:lang w:eastAsia="en-GB"/>
        </w:rPr>
        <w:t xml:space="preserve"> J</w:t>
      </w:r>
      <w:r w:rsidR="00C81160" w:rsidRPr="001005B7">
        <w:rPr>
          <w:rFonts w:ascii="Calibri" w:eastAsia="Times New Roman" w:hAnsi="Calibri" w:cs="Calibri"/>
          <w:lang w:eastAsia="en-GB"/>
        </w:rPr>
        <w:t>onathan</w:t>
      </w:r>
      <w:r w:rsidR="009C1272" w:rsidRPr="001005B7">
        <w:rPr>
          <w:rFonts w:ascii="Calibri" w:eastAsia="Times New Roman" w:hAnsi="Calibri" w:cs="Calibri"/>
          <w:lang w:eastAsia="en-GB"/>
        </w:rPr>
        <w:t xml:space="preserve"> Roberts</w:t>
      </w:r>
      <w:r w:rsidR="00C81160" w:rsidRPr="001005B7">
        <w:rPr>
          <w:rFonts w:ascii="Calibri" w:eastAsia="Times New Roman" w:hAnsi="Calibri" w:cs="Calibri"/>
          <w:lang w:eastAsia="en-GB"/>
        </w:rPr>
        <w:t xml:space="preserve">, </w:t>
      </w:r>
      <w:r w:rsidR="009C1272" w:rsidRPr="001005B7">
        <w:rPr>
          <w:rFonts w:ascii="Calibri" w:eastAsia="Times New Roman" w:hAnsi="Calibri" w:cs="Calibri"/>
          <w:lang w:eastAsia="en-GB"/>
        </w:rPr>
        <w:t>ed., </w:t>
      </w:r>
      <w:r w:rsidR="009C1272" w:rsidRPr="001005B7">
        <w:rPr>
          <w:rFonts w:ascii="Calibri" w:eastAsia="Times New Roman" w:hAnsi="Calibri" w:cs="Calibri"/>
          <w:i/>
          <w:iCs/>
          <w:lang w:eastAsia="en-GB"/>
        </w:rPr>
        <w:t>The Oxford Handbook of the Reception History of the Bible</w:t>
      </w:r>
      <w:r w:rsidR="00C81160" w:rsidRPr="001005B7">
        <w:rPr>
          <w:rFonts w:ascii="Calibri" w:eastAsia="Times New Roman" w:hAnsi="Calibri" w:cs="Calibri"/>
          <w:lang w:eastAsia="en-GB"/>
        </w:rPr>
        <w:t>, 64</w:t>
      </w:r>
      <w:r w:rsidR="00F46900" w:rsidRPr="001005B7">
        <w:rPr>
          <w:rFonts w:ascii="Calibri" w:eastAsia="Times New Roman" w:hAnsi="Calibri" w:cs="Calibri"/>
          <w:lang w:eastAsia="en-GB"/>
        </w:rPr>
        <w:t>–</w:t>
      </w:r>
      <w:r w:rsidR="00C81160" w:rsidRPr="001005B7">
        <w:rPr>
          <w:rFonts w:ascii="Calibri" w:eastAsia="Times New Roman" w:hAnsi="Calibri" w:cs="Calibri"/>
          <w:lang w:eastAsia="en-GB"/>
        </w:rPr>
        <w:t>76.</w:t>
      </w:r>
      <w:r w:rsidR="009C1272" w:rsidRPr="001005B7">
        <w:rPr>
          <w:rFonts w:ascii="Calibri" w:eastAsia="Times New Roman" w:hAnsi="Calibri" w:cs="Calibri"/>
          <w:lang w:eastAsia="en-GB"/>
        </w:rPr>
        <w:t> Oxford: Oxford University Press, 2011.</w:t>
      </w:r>
    </w:p>
    <w:p w14:paraId="7B9B07D2" w14:textId="790FD007" w:rsidR="004D497F" w:rsidRPr="001005B7" w:rsidRDefault="00427E18" w:rsidP="006F5BB0">
      <w:pPr>
        <w:pStyle w:val="ListParagraph"/>
        <w:rPr>
          <w:color w:val="auto"/>
          <w:lang w:val="en-US"/>
        </w:rPr>
      </w:pPr>
      <w:r w:rsidRPr="001005B7">
        <w:rPr>
          <w:i/>
          <w:iCs/>
          <w:color w:val="auto"/>
          <w:lang w:val="en-US"/>
        </w:rPr>
        <w:t xml:space="preserve">––– </w:t>
      </w:r>
      <w:r w:rsidR="004D497F" w:rsidRPr="001005B7">
        <w:rPr>
          <w:color w:val="auto"/>
          <w:lang w:val="en-US"/>
        </w:rPr>
        <w:t xml:space="preserve">“Ezekiel and Moral Transformation.” </w:t>
      </w:r>
      <w:r w:rsidR="003747F7" w:rsidRPr="001005B7">
        <w:rPr>
          <w:color w:val="auto"/>
          <w:lang w:val="en-US"/>
        </w:rPr>
        <w:t xml:space="preserve">In </w:t>
      </w:r>
      <w:proofErr w:type="spellStart"/>
      <w:r w:rsidR="00032968" w:rsidRPr="001005B7">
        <w:rPr>
          <w:color w:val="auto"/>
          <w:lang w:val="en-US"/>
        </w:rPr>
        <w:t>Tooman</w:t>
      </w:r>
      <w:proofErr w:type="spellEnd"/>
      <w:r w:rsidR="00032968" w:rsidRPr="001005B7">
        <w:rPr>
          <w:color w:val="auto"/>
          <w:lang w:val="en-US"/>
        </w:rPr>
        <w:t xml:space="preserve"> and Lyons, </w:t>
      </w:r>
      <w:r w:rsidR="003747F7" w:rsidRPr="001005B7">
        <w:rPr>
          <w:i/>
          <w:iCs/>
          <w:color w:val="auto"/>
          <w:lang w:val="en-US"/>
        </w:rPr>
        <w:t xml:space="preserve">Transformations </w:t>
      </w:r>
      <w:r w:rsidR="00405297" w:rsidRPr="001005B7">
        <w:rPr>
          <w:color w:val="auto"/>
          <w:lang w:val="en-US"/>
        </w:rPr>
        <w:t>[see below]</w:t>
      </w:r>
      <w:r w:rsidR="003747F7" w:rsidRPr="001005B7">
        <w:rPr>
          <w:color w:val="auto"/>
          <w:lang w:val="en-US"/>
        </w:rPr>
        <w:t xml:space="preserve">, </w:t>
      </w:r>
      <w:r w:rsidR="00136CE3" w:rsidRPr="001005B7">
        <w:rPr>
          <w:color w:val="auto"/>
          <w:lang w:val="en-US"/>
        </w:rPr>
        <w:t>139</w:t>
      </w:r>
      <w:r w:rsidR="00F46900" w:rsidRPr="001005B7">
        <w:rPr>
          <w:color w:val="auto"/>
          <w:lang w:val="en-US"/>
        </w:rPr>
        <w:t>–</w:t>
      </w:r>
      <w:r w:rsidR="00136CE3" w:rsidRPr="001005B7">
        <w:rPr>
          <w:color w:val="auto"/>
          <w:lang w:val="en-US"/>
        </w:rPr>
        <w:t>58</w:t>
      </w:r>
      <w:r w:rsidR="003747F7" w:rsidRPr="001005B7">
        <w:rPr>
          <w:color w:val="auto"/>
          <w:lang w:val="en-US"/>
        </w:rPr>
        <w:t>.</w:t>
      </w:r>
    </w:p>
    <w:p w14:paraId="0858B884" w14:textId="2D319D23" w:rsidR="00124CC4" w:rsidRPr="001005B7" w:rsidRDefault="00427E18" w:rsidP="006F5BB0">
      <w:pPr>
        <w:pStyle w:val="ListParagraph"/>
        <w:rPr>
          <w:color w:val="auto"/>
          <w:lang w:val="en-US"/>
        </w:rPr>
      </w:pPr>
      <w:r w:rsidRPr="001005B7">
        <w:rPr>
          <w:i/>
          <w:iCs/>
          <w:color w:val="auto"/>
          <w:lang w:val="en-US"/>
        </w:rPr>
        <w:t xml:space="preserve">––– </w:t>
      </w:r>
      <w:r w:rsidR="00DF4ECF" w:rsidRPr="001005B7">
        <w:rPr>
          <w:color w:val="auto"/>
          <w:lang w:val="en-US"/>
        </w:rPr>
        <w:t>“</w:t>
      </w:r>
      <w:r w:rsidR="001C488F" w:rsidRPr="001005B7">
        <w:rPr>
          <w:rStyle w:val="Emphasis"/>
          <w:i w:val="0"/>
          <w:iCs w:val="0"/>
          <w:color w:val="auto"/>
          <w:shd w:val="clear" w:color="auto" w:fill="FFFFFF"/>
          <w:lang w:val="en-US"/>
        </w:rPr>
        <w:t>A Rebirth of Images</w:t>
      </w:r>
      <w:r w:rsidR="001C488F" w:rsidRPr="001005B7">
        <w:rPr>
          <w:color w:val="auto"/>
          <w:shd w:val="clear" w:color="auto" w:fill="FFFFFF"/>
          <w:lang w:val="en-US"/>
        </w:rPr>
        <w:t>? Theme and Motif in Jeremiah and Ezekiel</w:t>
      </w:r>
      <w:r w:rsidR="00896095" w:rsidRPr="001005B7">
        <w:rPr>
          <w:color w:val="auto"/>
          <w:shd w:val="clear" w:color="auto" w:fill="FFFFFF"/>
          <w:lang w:val="en-US"/>
        </w:rPr>
        <w:t xml:space="preserve">.” In </w:t>
      </w:r>
      <w:r w:rsidR="00FD272E" w:rsidRPr="001005B7">
        <w:rPr>
          <w:color w:val="auto"/>
          <w:lang w:val="en-US"/>
        </w:rPr>
        <w:t xml:space="preserve">Jesper </w:t>
      </w:r>
      <w:proofErr w:type="spellStart"/>
      <w:r w:rsidR="00FD272E" w:rsidRPr="001005B7">
        <w:rPr>
          <w:color w:val="auto"/>
          <w:lang w:val="en-US"/>
        </w:rPr>
        <w:t>Høgenhaven</w:t>
      </w:r>
      <w:proofErr w:type="spellEnd"/>
      <w:r w:rsidR="00FD272E" w:rsidRPr="001005B7">
        <w:rPr>
          <w:color w:val="auto"/>
          <w:lang w:val="en-US"/>
        </w:rPr>
        <w:t>, Frederik Poulsen</w:t>
      </w:r>
      <w:r w:rsidR="00DD52F8" w:rsidRPr="001005B7">
        <w:rPr>
          <w:color w:val="auto"/>
          <w:lang w:val="en-US"/>
        </w:rPr>
        <w:t>,</w:t>
      </w:r>
      <w:r w:rsidR="00FD272E" w:rsidRPr="001005B7">
        <w:rPr>
          <w:color w:val="auto"/>
          <w:lang w:val="en-US"/>
        </w:rPr>
        <w:t xml:space="preserve"> and Cian Power</w:t>
      </w:r>
      <w:r w:rsidR="00176B15" w:rsidRPr="001005B7">
        <w:rPr>
          <w:color w:val="auto"/>
          <w:lang w:val="en-US"/>
        </w:rPr>
        <w:t xml:space="preserve">, ed. </w:t>
      </w:r>
      <w:r w:rsidR="00A136B2" w:rsidRPr="001005B7">
        <w:rPr>
          <w:rStyle w:val="Strong"/>
          <w:b w:val="0"/>
          <w:bCs w:val="0"/>
          <w:i/>
          <w:iCs/>
          <w:color w:val="auto"/>
          <w:lang w:val="en-US"/>
        </w:rPr>
        <w:t>Images</w:t>
      </w:r>
      <w:r w:rsidR="00A136B2" w:rsidRPr="001005B7">
        <w:rPr>
          <w:i/>
          <w:iCs/>
          <w:color w:val="auto"/>
          <w:lang w:val="en-US"/>
        </w:rPr>
        <w:t> of </w:t>
      </w:r>
      <w:r w:rsidR="00A136B2" w:rsidRPr="001005B7">
        <w:rPr>
          <w:rStyle w:val="Strong"/>
          <w:b w:val="0"/>
          <w:bCs w:val="0"/>
          <w:i/>
          <w:iCs/>
          <w:color w:val="auto"/>
          <w:lang w:val="en-US"/>
        </w:rPr>
        <w:t>Exile</w:t>
      </w:r>
      <w:r w:rsidR="00A136B2" w:rsidRPr="001005B7">
        <w:rPr>
          <w:i/>
          <w:iCs/>
          <w:color w:val="auto"/>
          <w:lang w:val="en-US"/>
        </w:rPr>
        <w:t> in the </w:t>
      </w:r>
      <w:r w:rsidR="00A136B2" w:rsidRPr="001005B7">
        <w:rPr>
          <w:rStyle w:val="Strong"/>
          <w:b w:val="0"/>
          <w:bCs w:val="0"/>
          <w:i/>
          <w:iCs/>
          <w:color w:val="auto"/>
          <w:lang w:val="en-US"/>
        </w:rPr>
        <w:t>Prophetic</w:t>
      </w:r>
      <w:r w:rsidR="00A136B2" w:rsidRPr="001005B7">
        <w:rPr>
          <w:i/>
          <w:iCs/>
          <w:color w:val="auto"/>
          <w:lang w:val="en-US"/>
        </w:rPr>
        <w:t> </w:t>
      </w:r>
      <w:r w:rsidR="00A136B2" w:rsidRPr="001005B7">
        <w:rPr>
          <w:rStyle w:val="Strong"/>
          <w:b w:val="0"/>
          <w:bCs w:val="0"/>
          <w:i/>
          <w:iCs/>
          <w:color w:val="auto"/>
          <w:lang w:val="en-US"/>
        </w:rPr>
        <w:t>Literature</w:t>
      </w:r>
      <w:r w:rsidR="004F762C" w:rsidRPr="001005B7">
        <w:rPr>
          <w:color w:val="auto"/>
          <w:lang w:val="en-US"/>
        </w:rPr>
        <w:t>, 81</w:t>
      </w:r>
      <w:r w:rsidR="00F46900" w:rsidRPr="001005B7">
        <w:rPr>
          <w:color w:val="auto"/>
          <w:lang w:val="en-US"/>
        </w:rPr>
        <w:t>–</w:t>
      </w:r>
      <w:r w:rsidR="004F762C" w:rsidRPr="001005B7">
        <w:rPr>
          <w:color w:val="auto"/>
          <w:lang w:val="en-US"/>
        </w:rPr>
        <w:t>95.</w:t>
      </w:r>
      <w:r w:rsidR="00391440">
        <w:rPr>
          <w:i/>
          <w:iCs/>
          <w:color w:val="auto"/>
          <w:lang w:val="en-US"/>
        </w:rPr>
        <w:t xml:space="preserve"> </w:t>
      </w:r>
      <w:r w:rsidR="00176B15" w:rsidRPr="001005B7">
        <w:rPr>
          <w:color w:val="auto"/>
          <w:lang w:val="en-US"/>
        </w:rPr>
        <w:t>F</w:t>
      </w:r>
      <w:r w:rsidR="004F762C" w:rsidRPr="001005B7">
        <w:rPr>
          <w:color w:val="auto"/>
          <w:lang w:val="en-US"/>
        </w:rPr>
        <w:t>AT</w:t>
      </w:r>
      <w:r w:rsidR="00176B15" w:rsidRPr="001005B7">
        <w:rPr>
          <w:color w:val="auto"/>
          <w:lang w:val="en-US"/>
        </w:rPr>
        <w:t xml:space="preserve"> 2.103. </w:t>
      </w:r>
      <w:proofErr w:type="spellStart"/>
      <w:r w:rsidR="00176B15" w:rsidRPr="001005B7">
        <w:rPr>
          <w:color w:val="auto"/>
          <w:lang w:val="en-US"/>
        </w:rPr>
        <w:t>Tübingen</w:t>
      </w:r>
      <w:proofErr w:type="spellEnd"/>
      <w:r w:rsidR="00176B15" w:rsidRPr="001005B7">
        <w:rPr>
          <w:color w:val="auto"/>
          <w:lang w:val="en-US"/>
        </w:rPr>
        <w:t xml:space="preserve">: Mohr </w:t>
      </w:r>
      <w:proofErr w:type="spellStart"/>
      <w:r w:rsidR="00176B15" w:rsidRPr="001005B7">
        <w:rPr>
          <w:color w:val="auto"/>
          <w:lang w:val="en-US"/>
        </w:rPr>
        <w:t>Siebeck</w:t>
      </w:r>
      <w:proofErr w:type="spellEnd"/>
      <w:r w:rsidR="00176B15" w:rsidRPr="001005B7">
        <w:rPr>
          <w:color w:val="auto"/>
          <w:lang w:val="en-US"/>
        </w:rPr>
        <w:t>, 2019.</w:t>
      </w:r>
    </w:p>
    <w:p w14:paraId="2628A837" w14:textId="140B1FCA" w:rsidR="005D2FA0" w:rsidRPr="001005B7" w:rsidRDefault="00427E18" w:rsidP="006F5BB0">
      <w:pPr>
        <w:pStyle w:val="ListParagraph"/>
        <w:rPr>
          <w:rFonts w:asciiTheme="minorHAnsi" w:hAnsiTheme="minorHAnsi" w:cstheme="minorHAnsi"/>
          <w:i/>
          <w:iCs/>
          <w:color w:val="auto"/>
          <w:lang w:val="en-US"/>
        </w:rPr>
      </w:pPr>
      <w:r w:rsidRPr="001005B7">
        <w:rPr>
          <w:i/>
          <w:iCs/>
          <w:color w:val="auto"/>
          <w:lang w:val="en-US"/>
        </w:rPr>
        <w:t xml:space="preserve">––– </w:t>
      </w:r>
      <w:r w:rsidR="005D2FA0" w:rsidRPr="001005B7">
        <w:rPr>
          <w:color w:val="auto"/>
          <w:lang w:val="en-US"/>
        </w:rPr>
        <w:t>“Synchronic and Diachronic Perspectives on Ezekiel.”</w:t>
      </w:r>
      <w:r w:rsidR="0083465C" w:rsidRPr="001005B7">
        <w:rPr>
          <w:color w:val="auto"/>
          <w:lang w:val="en-US"/>
        </w:rPr>
        <w:t xml:space="preserve"> In </w:t>
      </w:r>
      <w:r w:rsidR="00A948A8" w:rsidRPr="001005B7">
        <w:rPr>
          <w:color w:val="auto"/>
          <w:lang w:val="en-US"/>
        </w:rPr>
        <w:t>Johannes</w:t>
      </w:r>
      <w:r w:rsidR="007016B2" w:rsidRPr="001005B7">
        <w:rPr>
          <w:color w:val="auto"/>
          <w:lang w:val="en-US"/>
        </w:rPr>
        <w:t xml:space="preserve"> de Moor, ed., </w:t>
      </w:r>
      <w:r w:rsidR="0083465C" w:rsidRPr="001005B7">
        <w:rPr>
          <w:i/>
          <w:iCs/>
          <w:color w:val="auto"/>
          <w:lang w:val="en-US"/>
        </w:rPr>
        <w:t>Synchronic or Diachronic</w:t>
      </w:r>
      <w:r w:rsidR="0083465C" w:rsidRPr="001005B7">
        <w:rPr>
          <w:rFonts w:asciiTheme="minorHAnsi" w:hAnsiTheme="minorHAnsi" w:cstheme="minorHAnsi"/>
          <w:i/>
          <w:iCs/>
          <w:color w:val="auto"/>
          <w:lang w:val="en-US"/>
        </w:rPr>
        <w:t>: A Debate on Method in Old Testament Exegesis</w:t>
      </w:r>
      <w:r w:rsidR="00124CC4" w:rsidRPr="001005B7">
        <w:rPr>
          <w:rFonts w:asciiTheme="minorHAnsi" w:hAnsiTheme="minorHAnsi" w:cstheme="minorHAnsi"/>
          <w:i/>
          <w:iCs/>
          <w:color w:val="auto"/>
          <w:lang w:val="en-US"/>
        </w:rPr>
        <w:t xml:space="preserve">, </w:t>
      </w:r>
      <w:r w:rsidR="00124CC4" w:rsidRPr="001005B7">
        <w:rPr>
          <w:rFonts w:asciiTheme="minorHAnsi" w:hAnsiTheme="minorHAnsi" w:cstheme="minorHAnsi"/>
          <w:color w:val="auto"/>
          <w:lang w:val="en-US"/>
        </w:rPr>
        <w:t>115</w:t>
      </w:r>
      <w:r w:rsidR="00F46900" w:rsidRPr="001005B7">
        <w:rPr>
          <w:rFonts w:asciiTheme="minorHAnsi" w:hAnsiTheme="minorHAnsi" w:cstheme="minorHAnsi"/>
          <w:i/>
          <w:iCs/>
          <w:color w:val="auto"/>
          <w:lang w:val="en-US"/>
        </w:rPr>
        <w:t>–</w:t>
      </w:r>
      <w:r w:rsidR="00124CC4" w:rsidRPr="001005B7">
        <w:rPr>
          <w:rFonts w:asciiTheme="minorHAnsi" w:hAnsiTheme="minorHAnsi" w:cstheme="minorHAnsi"/>
          <w:color w:val="auto"/>
          <w:lang w:val="en-US"/>
        </w:rPr>
        <w:t>28</w:t>
      </w:r>
      <w:r w:rsidR="00124CC4" w:rsidRPr="001005B7">
        <w:rPr>
          <w:rFonts w:asciiTheme="minorHAnsi" w:hAnsiTheme="minorHAnsi" w:cstheme="minorHAnsi"/>
          <w:i/>
          <w:iCs/>
          <w:color w:val="auto"/>
          <w:lang w:val="en-US"/>
        </w:rPr>
        <w:t xml:space="preserve">. </w:t>
      </w:r>
      <w:proofErr w:type="spellStart"/>
      <w:r w:rsidR="00143CEC" w:rsidRPr="001005B7">
        <w:rPr>
          <w:rFonts w:asciiTheme="minorHAnsi" w:hAnsiTheme="minorHAnsi" w:cstheme="minorHAnsi"/>
          <w:color w:val="auto"/>
          <w:lang w:val="en-US"/>
        </w:rPr>
        <w:t>O</w:t>
      </w:r>
      <w:r w:rsidR="004F3CFA" w:rsidRPr="001005B7">
        <w:rPr>
          <w:rFonts w:asciiTheme="minorHAnsi" w:hAnsiTheme="minorHAnsi" w:cstheme="minorHAnsi"/>
          <w:color w:val="auto"/>
          <w:lang w:val="en-US"/>
        </w:rPr>
        <w:t>tSt</w:t>
      </w:r>
      <w:proofErr w:type="spellEnd"/>
      <w:r w:rsidR="00143CEC" w:rsidRPr="001005B7">
        <w:rPr>
          <w:rFonts w:asciiTheme="minorHAnsi" w:hAnsiTheme="minorHAnsi" w:cstheme="minorHAnsi"/>
          <w:i/>
          <w:iCs/>
          <w:color w:val="auto"/>
          <w:lang w:val="en-US"/>
        </w:rPr>
        <w:t xml:space="preserve"> </w:t>
      </w:r>
      <w:r w:rsidR="00143CEC" w:rsidRPr="001005B7">
        <w:rPr>
          <w:rFonts w:asciiTheme="minorHAnsi" w:hAnsiTheme="minorHAnsi" w:cstheme="minorHAnsi"/>
          <w:color w:val="auto"/>
          <w:lang w:val="en-US"/>
        </w:rPr>
        <w:t>34</w:t>
      </w:r>
      <w:r w:rsidR="00143CEC" w:rsidRPr="001005B7">
        <w:rPr>
          <w:rFonts w:asciiTheme="minorHAnsi" w:hAnsiTheme="minorHAnsi" w:cstheme="minorHAnsi"/>
          <w:i/>
          <w:iCs/>
          <w:color w:val="auto"/>
          <w:lang w:val="en-US"/>
        </w:rPr>
        <w:t xml:space="preserve">. </w:t>
      </w:r>
      <w:r w:rsidR="00143CEC" w:rsidRPr="001005B7">
        <w:rPr>
          <w:rFonts w:asciiTheme="minorHAnsi" w:hAnsiTheme="minorHAnsi" w:cstheme="minorHAnsi"/>
          <w:color w:val="auto"/>
          <w:lang w:val="en-US"/>
        </w:rPr>
        <w:t>Leiden</w:t>
      </w:r>
      <w:r w:rsidR="00143CEC" w:rsidRPr="001005B7">
        <w:rPr>
          <w:rFonts w:asciiTheme="minorHAnsi" w:hAnsiTheme="minorHAnsi" w:cstheme="minorHAnsi"/>
          <w:i/>
          <w:iCs/>
          <w:color w:val="auto"/>
          <w:lang w:val="en-US"/>
        </w:rPr>
        <w:t xml:space="preserve">: </w:t>
      </w:r>
      <w:r w:rsidR="00143CEC" w:rsidRPr="001005B7">
        <w:rPr>
          <w:rFonts w:asciiTheme="minorHAnsi" w:hAnsiTheme="minorHAnsi" w:cstheme="minorHAnsi"/>
          <w:color w:val="auto"/>
          <w:lang w:val="en-US"/>
        </w:rPr>
        <w:t>Brill</w:t>
      </w:r>
      <w:r w:rsidR="00143CEC" w:rsidRPr="001005B7">
        <w:rPr>
          <w:rFonts w:asciiTheme="minorHAnsi" w:hAnsiTheme="minorHAnsi" w:cstheme="minorHAnsi"/>
          <w:i/>
          <w:iCs/>
          <w:color w:val="auto"/>
          <w:lang w:val="en-US"/>
        </w:rPr>
        <w:t xml:space="preserve">, </w:t>
      </w:r>
      <w:r w:rsidR="00A948A8" w:rsidRPr="001005B7">
        <w:rPr>
          <w:rFonts w:asciiTheme="minorHAnsi" w:hAnsiTheme="minorHAnsi" w:cstheme="minorHAnsi"/>
          <w:color w:val="auto"/>
          <w:lang w:val="en-US"/>
        </w:rPr>
        <w:t>1995</w:t>
      </w:r>
      <w:r w:rsidR="00A948A8" w:rsidRPr="001005B7">
        <w:rPr>
          <w:rFonts w:asciiTheme="minorHAnsi" w:hAnsiTheme="minorHAnsi" w:cstheme="minorHAnsi"/>
          <w:i/>
          <w:iCs/>
          <w:color w:val="auto"/>
          <w:lang w:val="en-US"/>
        </w:rPr>
        <w:t>.</w:t>
      </w:r>
    </w:p>
    <w:p w14:paraId="37F91DDD" w14:textId="2C29EFD2" w:rsidR="003C5393" w:rsidRPr="001005B7" w:rsidRDefault="00E02471" w:rsidP="006F5BB0">
      <w:pPr>
        <w:pStyle w:val="ListParagraph"/>
        <w:rPr>
          <w:rFonts w:asciiTheme="minorHAnsi" w:hAnsiTheme="minorHAnsi" w:cstheme="minorHAnsi"/>
          <w:color w:val="auto"/>
          <w:lang w:val="en-US"/>
        </w:rPr>
      </w:pPr>
      <w:r w:rsidRPr="001005B7">
        <w:rPr>
          <w:color w:val="auto"/>
          <w:lang w:val="en-US"/>
        </w:rPr>
        <w:t xml:space="preserve">Joyce, Paul M., and Andrew Mein, ed. </w:t>
      </w:r>
      <w:r w:rsidRPr="001005B7">
        <w:rPr>
          <w:i/>
          <w:iCs/>
          <w:color w:val="auto"/>
          <w:lang w:val="en-US"/>
        </w:rPr>
        <w:t>After Ezekiel: Essays on the Reception of a Difficult Prophet</w:t>
      </w:r>
      <w:r w:rsidR="0073793D" w:rsidRPr="001005B7">
        <w:rPr>
          <w:color w:val="auto"/>
          <w:lang w:val="en-US"/>
        </w:rPr>
        <w:t>.</w:t>
      </w:r>
      <w:r w:rsidR="004A4781" w:rsidRPr="001005B7">
        <w:rPr>
          <w:color w:val="auto"/>
          <w:lang w:val="en-US"/>
        </w:rPr>
        <w:t xml:space="preserve"> LHBOTS 535. </w:t>
      </w:r>
      <w:r w:rsidR="00776A9E" w:rsidRPr="001005B7">
        <w:rPr>
          <w:color w:val="auto"/>
          <w:lang w:val="en-US"/>
        </w:rPr>
        <w:t>London: T&amp;T Clark, 2014.</w:t>
      </w:r>
    </w:p>
    <w:p w14:paraId="3A913003" w14:textId="6CEDA777" w:rsidR="00717BB6" w:rsidRPr="001005B7" w:rsidRDefault="00D95BA0" w:rsidP="006F5BB0">
      <w:pPr>
        <w:pStyle w:val="ListParagraph"/>
        <w:rPr>
          <w:color w:val="auto"/>
          <w:lang w:val="en-US"/>
        </w:rPr>
      </w:pPr>
      <w:r w:rsidRPr="001005B7">
        <w:rPr>
          <w:color w:val="auto"/>
          <w:lang w:val="en-US"/>
        </w:rPr>
        <w:t>Joyce, Paul, et al. “Ezekiel (Book and Pers</w:t>
      </w:r>
      <w:r w:rsidR="00084B7A" w:rsidRPr="001005B7">
        <w:rPr>
          <w:color w:val="auto"/>
          <w:lang w:val="en-US"/>
        </w:rPr>
        <w:t xml:space="preserve">on).” In </w:t>
      </w:r>
      <w:r w:rsidR="00084B7A" w:rsidRPr="001005B7">
        <w:rPr>
          <w:i/>
          <w:iCs/>
          <w:color w:val="auto"/>
          <w:lang w:val="en-US"/>
        </w:rPr>
        <w:t xml:space="preserve">Encyclopedia of the Bible and Its Reception </w:t>
      </w:r>
      <w:r w:rsidR="00084B7A" w:rsidRPr="001005B7">
        <w:rPr>
          <w:color w:val="auto"/>
          <w:lang w:val="en-US"/>
        </w:rPr>
        <w:t>8:583</w:t>
      </w:r>
      <w:r w:rsidR="00F46900" w:rsidRPr="001005B7">
        <w:rPr>
          <w:color w:val="auto"/>
          <w:lang w:val="en-US"/>
        </w:rPr>
        <w:t>–</w:t>
      </w:r>
      <w:r w:rsidR="00084B7A" w:rsidRPr="001005B7">
        <w:rPr>
          <w:color w:val="auto"/>
          <w:lang w:val="en-US"/>
        </w:rPr>
        <w:t>618.</w:t>
      </w:r>
      <w:r w:rsidR="003B1843" w:rsidRPr="001005B7">
        <w:rPr>
          <w:color w:val="auto"/>
          <w:lang w:val="en-US"/>
        </w:rPr>
        <w:t xml:space="preserve"> Online</w:t>
      </w:r>
      <w:r w:rsidR="00D5702B" w:rsidRPr="001005B7">
        <w:rPr>
          <w:color w:val="auto"/>
          <w:lang w:val="en-US"/>
        </w:rPr>
        <w:t>.</w:t>
      </w:r>
    </w:p>
    <w:p w14:paraId="5005F4D2" w14:textId="77777777" w:rsidR="005D3CFC" w:rsidRPr="001005B7" w:rsidRDefault="005D3CFC" w:rsidP="006F5BB0">
      <w:pPr>
        <w:pStyle w:val="ListParagraph"/>
        <w:rPr>
          <w:color w:val="auto"/>
          <w:lang w:val="en-US"/>
        </w:rPr>
      </w:pPr>
      <w:r w:rsidRPr="001005B7">
        <w:rPr>
          <w:color w:val="auto"/>
          <w:lang w:val="en-US"/>
        </w:rPr>
        <w:t xml:space="preserve">Kaplan, Aryeh. </w:t>
      </w:r>
      <w:r w:rsidRPr="001005B7">
        <w:rPr>
          <w:i/>
          <w:iCs/>
          <w:color w:val="auto"/>
          <w:lang w:val="en-US"/>
        </w:rPr>
        <w:t>Inner Space : Introduction to Kabbalah, Meditation, and Prophecy</w:t>
      </w:r>
      <w:r w:rsidRPr="001005B7">
        <w:rPr>
          <w:color w:val="auto"/>
          <w:lang w:val="en-US"/>
        </w:rPr>
        <w:t xml:space="preserve">. New York : </w:t>
      </w:r>
      <w:proofErr w:type="spellStart"/>
      <w:r w:rsidRPr="001005B7">
        <w:rPr>
          <w:color w:val="auto"/>
          <w:lang w:val="en-US"/>
        </w:rPr>
        <w:t>Moznaim</w:t>
      </w:r>
      <w:proofErr w:type="spellEnd"/>
      <w:r w:rsidRPr="001005B7">
        <w:rPr>
          <w:color w:val="auto"/>
          <w:lang w:val="en-US"/>
        </w:rPr>
        <w:t>, 1990.</w:t>
      </w:r>
    </w:p>
    <w:p w14:paraId="6352205A" w14:textId="19093FBB" w:rsidR="00970B5C" w:rsidRPr="001005B7" w:rsidRDefault="00E958C2" w:rsidP="006F5BB0">
      <w:pPr>
        <w:pStyle w:val="ListParagraph"/>
        <w:rPr>
          <w:color w:val="auto"/>
          <w:shd w:val="clear" w:color="auto" w:fill="FFFFFF"/>
          <w:lang w:val="en-US"/>
        </w:rPr>
      </w:pPr>
      <w:r w:rsidRPr="001005B7">
        <w:rPr>
          <w:color w:val="auto"/>
          <w:shd w:val="clear" w:color="auto" w:fill="FFFFFF"/>
          <w:lang w:val="en-US"/>
        </w:rPr>
        <w:t>Kelle, Brad E. “</w:t>
      </w:r>
      <w:r w:rsidRPr="001005B7">
        <w:rPr>
          <w:rStyle w:val="Emphasis"/>
          <w:i w:val="0"/>
          <w:iCs w:val="0"/>
          <w:color w:val="auto"/>
          <w:shd w:val="clear" w:color="auto" w:fill="FFFFFF"/>
          <w:lang w:val="en-US"/>
        </w:rPr>
        <w:t>Creation and Trauma: The Devastation and Rejuvenation of Nature in Ezekiel</w:t>
      </w:r>
      <w:r w:rsidRPr="001005B7">
        <w:rPr>
          <w:color w:val="auto"/>
          <w:shd w:val="clear" w:color="auto" w:fill="FFFFFF"/>
          <w:lang w:val="en-US"/>
        </w:rPr>
        <w:t xml:space="preserve">.” </w:t>
      </w:r>
      <w:r w:rsidRPr="001005B7">
        <w:rPr>
          <w:i/>
          <w:iCs/>
          <w:color w:val="auto"/>
          <w:shd w:val="clear" w:color="auto" w:fill="FFFFFF"/>
          <w:lang w:val="en-US"/>
        </w:rPr>
        <w:t>Wesleyan Theological Journal</w:t>
      </w:r>
      <w:r w:rsidRPr="001005B7">
        <w:rPr>
          <w:color w:val="auto"/>
          <w:shd w:val="clear" w:color="auto" w:fill="FFFFFF"/>
          <w:lang w:val="en-US"/>
        </w:rPr>
        <w:t xml:space="preserve"> 44 (2009): 70</w:t>
      </w:r>
      <w:r w:rsidR="00F46900" w:rsidRPr="001005B7">
        <w:rPr>
          <w:color w:val="auto"/>
          <w:shd w:val="clear" w:color="auto" w:fill="FFFFFF"/>
          <w:lang w:val="en-US"/>
        </w:rPr>
        <w:t>–</w:t>
      </w:r>
      <w:r w:rsidRPr="001005B7">
        <w:rPr>
          <w:color w:val="auto"/>
          <w:shd w:val="clear" w:color="auto" w:fill="FFFFFF"/>
          <w:lang w:val="en-US"/>
        </w:rPr>
        <w:t>90</w:t>
      </w:r>
      <w:r w:rsidR="006260E7" w:rsidRPr="001005B7">
        <w:rPr>
          <w:color w:val="auto"/>
          <w:shd w:val="clear" w:color="auto" w:fill="FFFFFF"/>
          <w:lang w:val="en-US"/>
        </w:rPr>
        <w:t>.</w:t>
      </w:r>
    </w:p>
    <w:p w14:paraId="64EA17B4" w14:textId="04539517" w:rsidR="00EA7580" w:rsidRPr="001005B7" w:rsidRDefault="00427E18" w:rsidP="006F5BB0">
      <w:pPr>
        <w:pStyle w:val="ListParagraph"/>
        <w:rPr>
          <w:color w:val="auto"/>
          <w:lang w:val="en-US"/>
        </w:rPr>
      </w:pPr>
      <w:r w:rsidRPr="001005B7">
        <w:rPr>
          <w:i/>
          <w:iCs/>
          <w:color w:val="auto"/>
          <w:lang w:val="en-US"/>
        </w:rPr>
        <w:t xml:space="preserve">––– </w:t>
      </w:r>
      <w:r w:rsidR="00015509" w:rsidRPr="001005B7">
        <w:rPr>
          <w:color w:val="auto"/>
          <w:shd w:val="clear" w:color="auto" w:fill="FFFFFF"/>
          <w:lang w:val="en-US"/>
        </w:rPr>
        <w:t>“</w:t>
      </w:r>
      <w:r w:rsidR="006260E7" w:rsidRPr="001005B7">
        <w:rPr>
          <w:color w:val="auto"/>
          <w:lang w:val="en-US"/>
        </w:rPr>
        <w:t>Dealing with the Trauma of Defeat: The Rhetoric of the Devastation and Rejuvenation of Nature in Ezekiel</w:t>
      </w:r>
      <w:r w:rsidR="00015509" w:rsidRPr="001005B7">
        <w:rPr>
          <w:color w:val="auto"/>
          <w:lang w:val="en-US"/>
        </w:rPr>
        <w:t xml:space="preserve">.” </w:t>
      </w:r>
      <w:r w:rsidR="00015509" w:rsidRPr="001005B7">
        <w:rPr>
          <w:i/>
          <w:iCs/>
          <w:color w:val="auto"/>
          <w:lang w:val="en-US"/>
        </w:rPr>
        <w:t>JBL</w:t>
      </w:r>
      <w:r w:rsidR="00015509" w:rsidRPr="001005B7">
        <w:rPr>
          <w:color w:val="auto"/>
          <w:lang w:val="en-US"/>
        </w:rPr>
        <w:t xml:space="preserve"> 123 (2009): 469</w:t>
      </w:r>
      <w:r w:rsidR="00F46900" w:rsidRPr="001005B7">
        <w:rPr>
          <w:color w:val="auto"/>
          <w:lang w:val="en-US"/>
        </w:rPr>
        <w:t>–</w:t>
      </w:r>
      <w:r w:rsidR="00015509" w:rsidRPr="001005B7">
        <w:rPr>
          <w:color w:val="auto"/>
          <w:lang w:val="en-US"/>
        </w:rPr>
        <w:t xml:space="preserve">90. </w:t>
      </w:r>
    </w:p>
    <w:p w14:paraId="1A8E7934" w14:textId="5E05AE92" w:rsidR="00331B7A" w:rsidRPr="001005B7" w:rsidRDefault="00331B7A" w:rsidP="006F5BB0">
      <w:pPr>
        <w:pStyle w:val="ListParagraph"/>
        <w:rPr>
          <w:color w:val="auto"/>
          <w:lang w:val="en-US"/>
        </w:rPr>
      </w:pPr>
      <w:r w:rsidRPr="001005B7">
        <w:rPr>
          <w:color w:val="auto"/>
          <w:lang w:val="en-US"/>
        </w:rPr>
        <w:t>Kim, Dong-Hyuk.</w:t>
      </w:r>
      <w:r w:rsidR="00BC09AC" w:rsidRPr="001005B7">
        <w:rPr>
          <w:color w:val="auto"/>
          <w:lang w:val="en-US"/>
        </w:rPr>
        <w:t xml:space="preserve"> </w:t>
      </w:r>
      <w:r w:rsidR="00BC09AC" w:rsidRPr="001005B7">
        <w:rPr>
          <w:i/>
          <w:iCs/>
          <w:color w:val="auto"/>
          <w:lang w:val="en-US"/>
        </w:rPr>
        <w:t>Ear</w:t>
      </w:r>
      <w:r w:rsidR="00316633" w:rsidRPr="001005B7">
        <w:rPr>
          <w:i/>
          <w:iCs/>
          <w:color w:val="auto"/>
          <w:lang w:val="en-US"/>
        </w:rPr>
        <w:t>l</w:t>
      </w:r>
      <w:r w:rsidR="00BC09AC" w:rsidRPr="001005B7">
        <w:rPr>
          <w:i/>
          <w:iCs/>
          <w:color w:val="auto"/>
          <w:lang w:val="en-US"/>
        </w:rPr>
        <w:t>y</w:t>
      </w:r>
      <w:r w:rsidR="00316633" w:rsidRPr="001005B7">
        <w:rPr>
          <w:i/>
          <w:iCs/>
          <w:color w:val="auto"/>
          <w:lang w:val="en-US"/>
        </w:rPr>
        <w:t xml:space="preserve"> Biblical Hebrew, Late Biblical Hebrew, and Linguistic Variability</w:t>
      </w:r>
      <w:r w:rsidR="001B52D5" w:rsidRPr="001005B7">
        <w:rPr>
          <w:i/>
          <w:iCs/>
          <w:color w:val="auto"/>
          <w:lang w:val="en-US"/>
        </w:rPr>
        <w:t>: A S</w:t>
      </w:r>
      <w:r w:rsidR="00782849" w:rsidRPr="001005B7">
        <w:rPr>
          <w:i/>
          <w:iCs/>
          <w:color w:val="auto"/>
          <w:lang w:val="en-US"/>
        </w:rPr>
        <w:t>o</w:t>
      </w:r>
      <w:r w:rsidR="001B52D5" w:rsidRPr="001005B7">
        <w:rPr>
          <w:i/>
          <w:iCs/>
          <w:color w:val="auto"/>
          <w:lang w:val="en-US"/>
        </w:rPr>
        <w:t>ciolinguistic Evalua</w:t>
      </w:r>
      <w:r w:rsidR="00782849" w:rsidRPr="001005B7">
        <w:rPr>
          <w:i/>
          <w:iCs/>
          <w:color w:val="auto"/>
          <w:lang w:val="en-US"/>
        </w:rPr>
        <w:t>t</w:t>
      </w:r>
      <w:r w:rsidR="001B52D5" w:rsidRPr="001005B7">
        <w:rPr>
          <w:i/>
          <w:iCs/>
          <w:color w:val="auto"/>
          <w:lang w:val="en-US"/>
        </w:rPr>
        <w:t>ion of the Linguistic Dating o</w:t>
      </w:r>
      <w:r w:rsidR="00EA7580" w:rsidRPr="001005B7">
        <w:rPr>
          <w:i/>
          <w:iCs/>
          <w:color w:val="auto"/>
          <w:lang w:val="en-US"/>
        </w:rPr>
        <w:t>f</w:t>
      </w:r>
      <w:r w:rsidR="001B52D5" w:rsidRPr="001005B7">
        <w:rPr>
          <w:i/>
          <w:iCs/>
          <w:color w:val="auto"/>
          <w:lang w:val="en-US"/>
        </w:rPr>
        <w:t xml:space="preserve"> Biblical Texts</w:t>
      </w:r>
      <w:r w:rsidR="00782849" w:rsidRPr="001005B7">
        <w:rPr>
          <w:color w:val="auto"/>
          <w:lang w:val="en-US"/>
        </w:rPr>
        <w:t>.</w:t>
      </w:r>
      <w:r w:rsidR="00BC09AC" w:rsidRPr="001005B7">
        <w:rPr>
          <w:color w:val="auto"/>
          <w:lang w:val="en-US"/>
        </w:rPr>
        <w:t xml:space="preserve"> </w:t>
      </w:r>
      <w:proofErr w:type="spellStart"/>
      <w:r w:rsidR="00F61D2C" w:rsidRPr="001005B7">
        <w:rPr>
          <w:color w:val="auto"/>
          <w:lang w:val="en-US"/>
        </w:rPr>
        <w:t>VTSup</w:t>
      </w:r>
      <w:proofErr w:type="spellEnd"/>
      <w:r w:rsidR="00F61D2C" w:rsidRPr="001005B7">
        <w:rPr>
          <w:color w:val="auto"/>
          <w:lang w:val="en-US"/>
        </w:rPr>
        <w:t xml:space="preserve"> 156. Leiden:</w:t>
      </w:r>
      <w:r w:rsidR="00C22BC1" w:rsidRPr="001005B7">
        <w:rPr>
          <w:color w:val="auto"/>
          <w:lang w:val="en-US"/>
        </w:rPr>
        <w:t xml:space="preserve"> Brill,</w:t>
      </w:r>
      <w:r w:rsidR="00391440">
        <w:rPr>
          <w:color w:val="auto"/>
          <w:lang w:val="en-US"/>
        </w:rPr>
        <w:t xml:space="preserve"> </w:t>
      </w:r>
      <w:r w:rsidRPr="001005B7">
        <w:rPr>
          <w:color w:val="auto"/>
          <w:lang w:val="en-US"/>
        </w:rPr>
        <w:t>2012</w:t>
      </w:r>
      <w:r w:rsidR="00C22BC1" w:rsidRPr="001005B7">
        <w:rPr>
          <w:rStyle w:val="media-delimiter"/>
          <w:color w:val="auto"/>
          <w:lang w:val="en-US"/>
        </w:rPr>
        <w:t>.</w:t>
      </w:r>
    </w:p>
    <w:p w14:paraId="52547FDF" w14:textId="1DEC4B3D" w:rsidR="0093399E" w:rsidRPr="001005B7" w:rsidRDefault="00257F54" w:rsidP="006F5BB0">
      <w:pPr>
        <w:pStyle w:val="ListParagraph"/>
        <w:rPr>
          <w:color w:val="auto"/>
          <w:lang w:val="en-US"/>
        </w:rPr>
      </w:pPr>
      <w:r w:rsidRPr="001005B7">
        <w:rPr>
          <w:color w:val="auto"/>
          <w:lang w:val="en-US"/>
        </w:rPr>
        <w:t xml:space="preserve">Kim, Soo J. </w:t>
      </w:r>
      <w:r w:rsidR="00917AD2" w:rsidRPr="001005B7">
        <w:rPr>
          <w:color w:val="auto"/>
          <w:lang w:val="en-US"/>
        </w:rPr>
        <w:t>“Was Ezekiel a Messenger? A Manager? Or a Moving Sanctuary? A Beckettian Reading of the Book of Ezekiel in the Inquiry of the Divine Presence.” In Shelley L. Bird</w:t>
      </w:r>
      <w:r w:rsidR="00175ED5" w:rsidRPr="001005B7">
        <w:rPr>
          <w:color w:val="auto"/>
          <w:lang w:val="en-US"/>
        </w:rPr>
        <w:t>s</w:t>
      </w:r>
      <w:r w:rsidR="00917AD2" w:rsidRPr="001005B7">
        <w:rPr>
          <w:color w:val="auto"/>
          <w:lang w:val="en-US"/>
        </w:rPr>
        <w:t xml:space="preserve">ong and </w:t>
      </w:r>
      <w:r w:rsidR="00175ED5" w:rsidRPr="001005B7">
        <w:rPr>
          <w:color w:val="auto"/>
          <w:lang w:val="en-US"/>
        </w:rPr>
        <w:t xml:space="preserve">Serge </w:t>
      </w:r>
      <w:r w:rsidR="00487D73" w:rsidRPr="001005B7">
        <w:rPr>
          <w:color w:val="auto"/>
          <w:lang w:val="en-US"/>
        </w:rPr>
        <w:t>Frolov</w:t>
      </w:r>
      <w:r w:rsidR="00175ED5" w:rsidRPr="001005B7">
        <w:rPr>
          <w:color w:val="auto"/>
          <w:lang w:val="en-US"/>
        </w:rPr>
        <w:t xml:space="preserve">, </w:t>
      </w:r>
      <w:r w:rsidR="00881804" w:rsidRPr="001005B7">
        <w:rPr>
          <w:color w:val="auto"/>
          <w:lang w:val="en-US"/>
        </w:rPr>
        <w:t xml:space="preserve">ed., </w:t>
      </w:r>
      <w:r w:rsidR="00175ED5" w:rsidRPr="001005B7">
        <w:rPr>
          <w:i/>
          <w:iCs/>
          <w:color w:val="auto"/>
          <w:lang w:val="en-US"/>
        </w:rPr>
        <w:t>Theological and Critical Readings of the Bible in Honor of Marvin A. Sweeney</w:t>
      </w:r>
      <w:r w:rsidR="00881804" w:rsidRPr="001005B7">
        <w:rPr>
          <w:color w:val="auto"/>
          <w:lang w:val="en-US"/>
        </w:rPr>
        <w:t>, 337</w:t>
      </w:r>
      <w:r w:rsidR="00F46900" w:rsidRPr="001005B7">
        <w:rPr>
          <w:color w:val="auto"/>
          <w:lang w:val="en-US"/>
        </w:rPr>
        <w:t>–</w:t>
      </w:r>
      <w:r w:rsidR="00881804" w:rsidRPr="001005B7">
        <w:rPr>
          <w:color w:val="auto"/>
          <w:lang w:val="en-US"/>
        </w:rPr>
        <w:t xml:space="preserve">50. Claremont: Claremont Press, </w:t>
      </w:r>
      <w:r w:rsidR="0028705B" w:rsidRPr="001005B7">
        <w:rPr>
          <w:color w:val="auto"/>
          <w:lang w:val="en-US"/>
        </w:rPr>
        <w:t xml:space="preserve">2017. </w:t>
      </w:r>
    </w:p>
    <w:p w14:paraId="1F9ADCF4" w14:textId="1A2017A5" w:rsidR="00346B88" w:rsidRPr="001005B7" w:rsidRDefault="00346B88" w:rsidP="006F5BB0">
      <w:pPr>
        <w:pStyle w:val="ListParagraph"/>
        <w:rPr>
          <w:color w:val="auto"/>
          <w:lang w:val="en-US"/>
        </w:rPr>
      </w:pPr>
      <w:proofErr w:type="spellStart"/>
      <w:r w:rsidRPr="001005B7">
        <w:rPr>
          <w:color w:val="auto"/>
          <w:lang w:val="en-US"/>
        </w:rPr>
        <w:t>Konkel</w:t>
      </w:r>
      <w:proofErr w:type="spellEnd"/>
      <w:r w:rsidRPr="001005B7">
        <w:rPr>
          <w:color w:val="auto"/>
          <w:lang w:val="en-US"/>
        </w:rPr>
        <w:t xml:space="preserve">, </w:t>
      </w:r>
      <w:r w:rsidR="003931ED" w:rsidRPr="001005B7">
        <w:rPr>
          <w:color w:val="auto"/>
          <w:lang w:val="en-US"/>
        </w:rPr>
        <w:t>Michael. “</w:t>
      </w:r>
      <w:r w:rsidR="00DC2BA5" w:rsidRPr="001005B7">
        <w:rPr>
          <w:color w:val="auto"/>
          <w:lang w:val="en-US"/>
        </w:rPr>
        <w:t>Ezechiel</w:t>
      </w:r>
      <w:r w:rsidR="003931ED" w:rsidRPr="001005B7">
        <w:rPr>
          <w:color w:val="auto"/>
          <w:lang w:val="en-US"/>
        </w:rPr>
        <w:t>—</w:t>
      </w:r>
      <w:r w:rsidR="00DC2BA5" w:rsidRPr="001005B7">
        <w:rPr>
          <w:color w:val="auto"/>
          <w:lang w:val="en-US"/>
        </w:rPr>
        <w:t xml:space="preserve">Prophet </w:t>
      </w:r>
      <w:proofErr w:type="spellStart"/>
      <w:r w:rsidR="00DC2BA5" w:rsidRPr="001005B7">
        <w:rPr>
          <w:color w:val="auto"/>
          <w:lang w:val="en-US"/>
        </w:rPr>
        <w:t>ohne</w:t>
      </w:r>
      <w:proofErr w:type="spellEnd"/>
      <w:r w:rsidR="00DC2BA5" w:rsidRPr="001005B7">
        <w:rPr>
          <w:color w:val="auto"/>
          <w:lang w:val="en-US"/>
        </w:rPr>
        <w:t xml:space="preserve"> </w:t>
      </w:r>
      <w:proofErr w:type="spellStart"/>
      <w:r w:rsidR="00DC2BA5" w:rsidRPr="001005B7">
        <w:rPr>
          <w:color w:val="auto"/>
          <w:lang w:val="en-US"/>
        </w:rPr>
        <w:t>Eigenschaften</w:t>
      </w:r>
      <w:proofErr w:type="spellEnd"/>
      <w:r w:rsidR="003931ED" w:rsidRPr="001005B7">
        <w:rPr>
          <w:color w:val="auto"/>
          <w:lang w:val="en-US"/>
        </w:rPr>
        <w:t xml:space="preserve">: </w:t>
      </w:r>
      <w:proofErr w:type="spellStart"/>
      <w:r w:rsidR="00DC2BA5" w:rsidRPr="001005B7">
        <w:rPr>
          <w:color w:val="auto"/>
          <w:lang w:val="en-US"/>
        </w:rPr>
        <w:t>Biographie</w:t>
      </w:r>
      <w:proofErr w:type="spellEnd"/>
      <w:r w:rsidR="00DC2BA5" w:rsidRPr="001005B7">
        <w:rPr>
          <w:color w:val="auto"/>
          <w:lang w:val="en-US"/>
        </w:rPr>
        <w:t xml:space="preserve"> </w:t>
      </w:r>
      <w:proofErr w:type="spellStart"/>
      <w:r w:rsidR="00DC2BA5" w:rsidRPr="001005B7">
        <w:rPr>
          <w:color w:val="auto"/>
          <w:lang w:val="en-US"/>
        </w:rPr>
        <w:t>zwischen</w:t>
      </w:r>
      <w:proofErr w:type="spellEnd"/>
      <w:r w:rsidR="00DC2BA5" w:rsidRPr="001005B7">
        <w:rPr>
          <w:color w:val="auto"/>
          <w:lang w:val="en-US"/>
        </w:rPr>
        <w:t xml:space="preserve"> </w:t>
      </w:r>
      <w:proofErr w:type="spellStart"/>
      <w:r w:rsidR="00DC2BA5" w:rsidRPr="001005B7">
        <w:rPr>
          <w:color w:val="auto"/>
          <w:lang w:val="en-US"/>
        </w:rPr>
        <w:t>Theologie</w:t>
      </w:r>
      <w:proofErr w:type="spellEnd"/>
      <w:r w:rsidR="00DC2BA5" w:rsidRPr="001005B7">
        <w:rPr>
          <w:color w:val="auto"/>
          <w:lang w:val="en-US"/>
        </w:rPr>
        <w:t xml:space="preserve"> und Anthropologie.</w:t>
      </w:r>
      <w:r w:rsidR="003931ED" w:rsidRPr="001005B7">
        <w:rPr>
          <w:color w:val="auto"/>
          <w:lang w:val="en-US"/>
        </w:rPr>
        <w:t>”</w:t>
      </w:r>
      <w:r w:rsidR="00963A9A" w:rsidRPr="001005B7">
        <w:rPr>
          <w:color w:val="auto"/>
          <w:lang w:val="en-US"/>
        </w:rPr>
        <w:t xml:space="preserve"> In </w:t>
      </w:r>
      <w:r w:rsidR="009206FE" w:rsidRPr="001005B7">
        <w:rPr>
          <w:color w:val="auto"/>
          <w:lang w:val="en-US"/>
        </w:rPr>
        <w:t xml:space="preserve">Christian </w:t>
      </w:r>
      <w:proofErr w:type="spellStart"/>
      <w:r w:rsidR="009206FE" w:rsidRPr="001005B7">
        <w:rPr>
          <w:color w:val="auto"/>
          <w:lang w:val="en-US"/>
        </w:rPr>
        <w:t>Frevel</w:t>
      </w:r>
      <w:proofErr w:type="spellEnd"/>
      <w:r w:rsidR="009206FE" w:rsidRPr="001005B7">
        <w:rPr>
          <w:color w:val="auto"/>
          <w:lang w:val="en-US"/>
        </w:rPr>
        <w:t xml:space="preserve">, ed., </w:t>
      </w:r>
      <w:proofErr w:type="spellStart"/>
      <w:r w:rsidR="009206FE" w:rsidRPr="001005B7">
        <w:rPr>
          <w:i/>
          <w:iCs/>
          <w:color w:val="auto"/>
          <w:lang w:val="en-US"/>
        </w:rPr>
        <w:t>Biblische</w:t>
      </w:r>
      <w:proofErr w:type="spellEnd"/>
      <w:r w:rsidR="009206FE" w:rsidRPr="001005B7">
        <w:rPr>
          <w:i/>
          <w:iCs/>
          <w:color w:val="auto"/>
          <w:lang w:val="en-US"/>
        </w:rPr>
        <w:t xml:space="preserve"> Anthropologie: Neue </w:t>
      </w:r>
      <w:proofErr w:type="spellStart"/>
      <w:r w:rsidR="009206FE" w:rsidRPr="001005B7">
        <w:rPr>
          <w:i/>
          <w:iCs/>
          <w:color w:val="auto"/>
          <w:lang w:val="en-US"/>
        </w:rPr>
        <w:t>Einsichten</w:t>
      </w:r>
      <w:proofErr w:type="spellEnd"/>
      <w:r w:rsidR="009206FE" w:rsidRPr="001005B7">
        <w:rPr>
          <w:i/>
          <w:iCs/>
          <w:color w:val="auto"/>
          <w:lang w:val="en-US"/>
        </w:rPr>
        <w:t xml:space="preserve"> </w:t>
      </w:r>
      <w:proofErr w:type="spellStart"/>
      <w:r w:rsidR="009206FE" w:rsidRPr="001005B7">
        <w:rPr>
          <w:i/>
          <w:iCs/>
          <w:color w:val="auto"/>
          <w:lang w:val="en-US"/>
        </w:rPr>
        <w:t>aus</w:t>
      </w:r>
      <w:proofErr w:type="spellEnd"/>
      <w:r w:rsidR="009206FE" w:rsidRPr="001005B7">
        <w:rPr>
          <w:i/>
          <w:iCs/>
          <w:color w:val="auto"/>
          <w:lang w:val="en-US"/>
        </w:rPr>
        <w:t xml:space="preserve"> dem </w:t>
      </w:r>
      <w:proofErr w:type="spellStart"/>
      <w:r w:rsidR="009206FE" w:rsidRPr="001005B7">
        <w:rPr>
          <w:i/>
          <w:iCs/>
          <w:color w:val="auto"/>
          <w:lang w:val="en-US"/>
        </w:rPr>
        <w:t>Alten</w:t>
      </w:r>
      <w:proofErr w:type="spellEnd"/>
      <w:r w:rsidR="009206FE" w:rsidRPr="001005B7">
        <w:rPr>
          <w:i/>
          <w:iCs/>
          <w:color w:val="auto"/>
          <w:lang w:val="en-US"/>
        </w:rPr>
        <w:t xml:space="preserve"> Testament</w:t>
      </w:r>
      <w:r w:rsidR="009206FE" w:rsidRPr="001005B7">
        <w:rPr>
          <w:color w:val="auto"/>
          <w:lang w:val="en-US"/>
        </w:rPr>
        <w:t>, 216</w:t>
      </w:r>
      <w:r w:rsidR="00F46900" w:rsidRPr="001005B7">
        <w:rPr>
          <w:color w:val="auto"/>
          <w:lang w:val="en-US"/>
        </w:rPr>
        <w:t>–</w:t>
      </w:r>
      <w:r w:rsidR="009206FE" w:rsidRPr="001005B7">
        <w:rPr>
          <w:color w:val="auto"/>
          <w:lang w:val="en-US"/>
        </w:rPr>
        <w:t>42. Basel: Herder, 2010.</w:t>
      </w:r>
    </w:p>
    <w:p w14:paraId="4EAD4B1B" w14:textId="635B3F2E" w:rsidR="00330376" w:rsidRPr="001005B7" w:rsidRDefault="009206FE" w:rsidP="006F5BB0">
      <w:pPr>
        <w:pStyle w:val="ListParagraph"/>
        <w:rPr>
          <w:color w:val="auto"/>
          <w:lang w:val="en-US"/>
        </w:rPr>
      </w:pPr>
      <w:r w:rsidRPr="001005B7">
        <w:rPr>
          <w:color w:val="auto"/>
          <w:lang w:val="en-US"/>
        </w:rPr>
        <w:t xml:space="preserve">Kowalski, </w:t>
      </w:r>
      <w:proofErr w:type="spellStart"/>
      <w:r w:rsidRPr="001005B7">
        <w:rPr>
          <w:color w:val="auto"/>
          <w:lang w:val="en-US"/>
        </w:rPr>
        <w:t>Beate</w:t>
      </w:r>
      <w:proofErr w:type="spellEnd"/>
      <w:r w:rsidRPr="001005B7">
        <w:rPr>
          <w:color w:val="auto"/>
          <w:lang w:val="en-US"/>
        </w:rPr>
        <w:t xml:space="preserve">. “Transformation </w:t>
      </w:r>
      <w:r w:rsidR="000304BC" w:rsidRPr="001005B7">
        <w:rPr>
          <w:color w:val="auto"/>
          <w:lang w:val="en-US"/>
        </w:rPr>
        <w:t>o</w:t>
      </w:r>
      <w:r w:rsidRPr="001005B7">
        <w:rPr>
          <w:color w:val="auto"/>
          <w:lang w:val="en-US"/>
        </w:rPr>
        <w:t xml:space="preserve">f Ezekiel </w:t>
      </w:r>
      <w:r w:rsidR="00687D71" w:rsidRPr="001005B7">
        <w:rPr>
          <w:color w:val="auto"/>
          <w:lang w:val="en-US"/>
        </w:rPr>
        <w:t xml:space="preserve">in John’s Revelation.” In </w:t>
      </w:r>
      <w:proofErr w:type="spellStart"/>
      <w:r w:rsidR="00AC1D55" w:rsidRPr="001005B7">
        <w:rPr>
          <w:color w:val="auto"/>
          <w:lang w:val="en-US"/>
        </w:rPr>
        <w:t>Tooman</w:t>
      </w:r>
      <w:proofErr w:type="spellEnd"/>
      <w:r w:rsidR="00AC1D55" w:rsidRPr="001005B7">
        <w:rPr>
          <w:color w:val="auto"/>
          <w:lang w:val="en-US"/>
        </w:rPr>
        <w:t xml:space="preserve"> and Lyons, </w:t>
      </w:r>
      <w:r w:rsidR="00AC1D55" w:rsidRPr="001005B7">
        <w:rPr>
          <w:i/>
          <w:iCs/>
          <w:color w:val="auto"/>
          <w:lang w:val="en-US"/>
        </w:rPr>
        <w:t xml:space="preserve">Transformations </w:t>
      </w:r>
      <w:r w:rsidR="00AC1D55" w:rsidRPr="001005B7">
        <w:rPr>
          <w:color w:val="auto"/>
          <w:lang w:val="en-US"/>
        </w:rPr>
        <w:t>[see below</w:t>
      </w:r>
      <w:r w:rsidR="00BE436E" w:rsidRPr="001005B7">
        <w:rPr>
          <w:color w:val="auto"/>
          <w:lang w:val="en-US"/>
        </w:rPr>
        <w:t>]</w:t>
      </w:r>
      <w:r w:rsidR="007D3959" w:rsidRPr="001005B7">
        <w:rPr>
          <w:color w:val="auto"/>
          <w:lang w:val="en-US"/>
        </w:rPr>
        <w:t xml:space="preserve">, </w:t>
      </w:r>
      <w:r w:rsidR="00104CE8" w:rsidRPr="001005B7">
        <w:rPr>
          <w:color w:val="auto"/>
          <w:lang w:val="en-US"/>
        </w:rPr>
        <w:t>279</w:t>
      </w:r>
      <w:r w:rsidR="00F46900" w:rsidRPr="001005B7">
        <w:rPr>
          <w:color w:val="auto"/>
          <w:lang w:val="en-US"/>
        </w:rPr>
        <w:t>–</w:t>
      </w:r>
      <w:r w:rsidR="00104CE8" w:rsidRPr="001005B7">
        <w:rPr>
          <w:color w:val="auto"/>
          <w:lang w:val="en-US"/>
        </w:rPr>
        <w:t>311</w:t>
      </w:r>
      <w:r w:rsidR="007D3959" w:rsidRPr="001005B7">
        <w:rPr>
          <w:color w:val="auto"/>
          <w:lang w:val="en-US"/>
        </w:rPr>
        <w:t>.</w:t>
      </w:r>
    </w:p>
    <w:p w14:paraId="7DB3581B" w14:textId="5C2DA4A8" w:rsidR="00CA578A" w:rsidRPr="001005B7" w:rsidRDefault="00CA578A" w:rsidP="00CA578A">
      <w:pPr>
        <w:spacing w:after="60" w:line="240" w:lineRule="auto"/>
        <w:ind w:left="567" w:hanging="567"/>
        <w:rPr>
          <w:rFonts w:ascii="Calibri" w:eastAsia="Times New Roman" w:hAnsi="Calibri" w:cs="Calibri"/>
          <w:lang w:eastAsia="en-GB"/>
        </w:rPr>
      </w:pPr>
      <w:proofErr w:type="spellStart"/>
      <w:r w:rsidRPr="001005B7">
        <w:rPr>
          <w:rFonts w:ascii="Calibri" w:eastAsia="Times New Roman" w:hAnsi="Calibri" w:cs="Calibri"/>
          <w:lang w:eastAsia="en-GB"/>
        </w:rPr>
        <w:t>Kutsch</w:t>
      </w:r>
      <w:proofErr w:type="spellEnd"/>
      <w:r w:rsidRPr="001005B7">
        <w:rPr>
          <w:rFonts w:ascii="Calibri" w:eastAsia="Times New Roman" w:hAnsi="Calibri" w:cs="Calibri"/>
          <w:lang w:eastAsia="en-GB"/>
        </w:rPr>
        <w:t>, Ernst. </w:t>
      </w:r>
      <w:r w:rsidRPr="001005B7">
        <w:rPr>
          <w:rFonts w:ascii="Calibri" w:eastAsia="Times New Roman" w:hAnsi="Calibri" w:cs="Calibri"/>
          <w:i/>
          <w:iCs/>
          <w:lang w:eastAsia="en-GB"/>
        </w:rPr>
        <w:t xml:space="preserve">Die </w:t>
      </w:r>
      <w:proofErr w:type="spellStart"/>
      <w:r w:rsidRPr="001005B7">
        <w:rPr>
          <w:rFonts w:ascii="Calibri" w:eastAsia="Times New Roman" w:hAnsi="Calibri" w:cs="Calibri"/>
          <w:i/>
          <w:iCs/>
          <w:lang w:eastAsia="en-GB"/>
        </w:rPr>
        <w:t>chronologische</w:t>
      </w:r>
      <w:proofErr w:type="spellEnd"/>
      <w:r w:rsidRPr="001005B7">
        <w:rPr>
          <w:rFonts w:ascii="Calibri" w:eastAsia="Times New Roman" w:hAnsi="Calibri" w:cs="Calibri"/>
          <w:i/>
          <w:iCs/>
          <w:lang w:eastAsia="en-GB"/>
        </w:rPr>
        <w:t xml:space="preserve"> </w:t>
      </w:r>
      <w:proofErr w:type="spellStart"/>
      <w:r w:rsidRPr="001005B7">
        <w:rPr>
          <w:rFonts w:ascii="Calibri" w:eastAsia="Times New Roman" w:hAnsi="Calibri" w:cs="Calibri"/>
          <w:i/>
          <w:iCs/>
          <w:lang w:eastAsia="en-GB"/>
        </w:rPr>
        <w:t>Daten</w:t>
      </w:r>
      <w:proofErr w:type="spellEnd"/>
      <w:r w:rsidRPr="001005B7">
        <w:rPr>
          <w:rFonts w:ascii="Calibri" w:eastAsia="Times New Roman" w:hAnsi="Calibri" w:cs="Calibri"/>
          <w:i/>
          <w:iCs/>
          <w:lang w:eastAsia="en-GB"/>
        </w:rPr>
        <w:t xml:space="preserve"> des </w:t>
      </w:r>
      <w:proofErr w:type="spellStart"/>
      <w:r w:rsidRPr="001005B7">
        <w:rPr>
          <w:rFonts w:ascii="Calibri" w:eastAsia="Times New Roman" w:hAnsi="Calibri" w:cs="Calibri"/>
          <w:i/>
          <w:iCs/>
          <w:lang w:eastAsia="en-GB"/>
        </w:rPr>
        <w:t>Ezechielbuches</w:t>
      </w:r>
      <w:proofErr w:type="spellEnd"/>
      <w:r w:rsidRPr="001005B7">
        <w:rPr>
          <w:rFonts w:ascii="Calibri" w:eastAsia="Times New Roman" w:hAnsi="Calibri" w:cs="Calibri"/>
          <w:lang w:eastAsia="en-GB"/>
        </w:rPr>
        <w:t xml:space="preserve">. OBO 62. Göttingen: </w:t>
      </w:r>
      <w:proofErr w:type="spellStart"/>
      <w:r w:rsidRPr="001005B7">
        <w:rPr>
          <w:rFonts w:ascii="Calibri" w:eastAsia="Times New Roman" w:hAnsi="Calibri" w:cs="Calibri"/>
          <w:lang w:eastAsia="en-GB"/>
        </w:rPr>
        <w:t>Vandenhoeck</w:t>
      </w:r>
      <w:proofErr w:type="spellEnd"/>
      <w:r w:rsidR="000E091E">
        <w:rPr>
          <w:rFonts w:ascii="Calibri" w:eastAsia="Times New Roman" w:hAnsi="Calibri" w:cs="Calibri"/>
          <w:lang w:eastAsia="en-GB"/>
        </w:rPr>
        <w:t xml:space="preserve"> </w:t>
      </w:r>
      <w:r w:rsidR="000E091E">
        <w:rPr>
          <w:rFonts w:ascii="Calibri" w:hAnsi="Calibri" w:cs="Calibri"/>
        </w:rPr>
        <w:t>&amp; Ruprecht</w:t>
      </w:r>
      <w:r w:rsidRPr="001005B7">
        <w:rPr>
          <w:rFonts w:ascii="Calibri" w:eastAsia="Times New Roman" w:hAnsi="Calibri" w:cs="Calibri"/>
          <w:lang w:eastAsia="en-GB"/>
        </w:rPr>
        <w:t>, 1985.</w:t>
      </w:r>
    </w:p>
    <w:p w14:paraId="0167412A" w14:textId="49A033B1" w:rsidR="00896AD7" w:rsidRPr="001005B7" w:rsidRDefault="00B50155" w:rsidP="006F5BB0">
      <w:pPr>
        <w:pStyle w:val="ListParagraph"/>
        <w:rPr>
          <w:color w:val="auto"/>
          <w:lang w:val="en-US"/>
        </w:rPr>
      </w:pPr>
      <w:proofErr w:type="spellStart"/>
      <w:r w:rsidRPr="001005B7">
        <w:rPr>
          <w:color w:val="auto"/>
          <w:lang w:val="en-US"/>
        </w:rPr>
        <w:t>Kutsko</w:t>
      </w:r>
      <w:proofErr w:type="spellEnd"/>
      <w:r w:rsidR="00896AD7" w:rsidRPr="001005B7">
        <w:rPr>
          <w:color w:val="auto"/>
          <w:lang w:val="en-US"/>
        </w:rPr>
        <w:t xml:space="preserve">, John F. </w:t>
      </w:r>
      <w:r w:rsidR="00896AD7" w:rsidRPr="001005B7">
        <w:rPr>
          <w:i/>
          <w:iCs/>
          <w:color w:val="auto"/>
          <w:lang w:val="en-US"/>
        </w:rPr>
        <w:t>Between Heaven and Earth: Divine Presence and Absence in the Book of Ezekiel</w:t>
      </w:r>
      <w:r w:rsidR="00896AD7" w:rsidRPr="001005B7">
        <w:rPr>
          <w:color w:val="auto"/>
          <w:lang w:val="en-US"/>
        </w:rPr>
        <w:t xml:space="preserve">. Winona Lake, IN: </w:t>
      </w:r>
      <w:proofErr w:type="spellStart"/>
      <w:r w:rsidR="00896AD7" w:rsidRPr="001005B7">
        <w:rPr>
          <w:color w:val="auto"/>
          <w:lang w:val="en-US"/>
        </w:rPr>
        <w:t>Eisenbrauns</w:t>
      </w:r>
      <w:proofErr w:type="spellEnd"/>
      <w:r w:rsidR="00896AD7" w:rsidRPr="001005B7">
        <w:rPr>
          <w:color w:val="auto"/>
          <w:lang w:val="en-US"/>
        </w:rPr>
        <w:t>, 2000</w:t>
      </w:r>
      <w:r w:rsidR="00BE2B94" w:rsidRPr="001005B7">
        <w:rPr>
          <w:color w:val="auto"/>
          <w:lang w:val="en-US"/>
        </w:rPr>
        <w:t>.</w:t>
      </w:r>
    </w:p>
    <w:p w14:paraId="0774149A" w14:textId="4D3BDC37" w:rsidR="00330376" w:rsidRPr="001005B7" w:rsidRDefault="00330376" w:rsidP="006F5BB0">
      <w:pPr>
        <w:pStyle w:val="ListParagraph"/>
        <w:rPr>
          <w:color w:val="auto"/>
          <w:lang w:val="en-US"/>
        </w:rPr>
      </w:pPr>
      <w:proofErr w:type="spellStart"/>
      <w:r w:rsidRPr="001005B7">
        <w:rPr>
          <w:color w:val="auto"/>
          <w:lang w:val="en-US"/>
        </w:rPr>
        <w:t>Launderville</w:t>
      </w:r>
      <w:proofErr w:type="spellEnd"/>
      <w:r w:rsidRPr="001005B7">
        <w:rPr>
          <w:color w:val="auto"/>
          <w:lang w:val="en-US"/>
        </w:rPr>
        <w:t xml:space="preserve">, Dale F. </w:t>
      </w:r>
      <w:r w:rsidRPr="001005B7">
        <w:rPr>
          <w:i/>
          <w:iCs/>
          <w:color w:val="auto"/>
          <w:lang w:val="en-US"/>
        </w:rPr>
        <w:t>Spirit and Reason: The Embodied Character of Ezekiel’s Symbolic Thinking</w:t>
      </w:r>
      <w:r w:rsidR="00100A85" w:rsidRPr="001005B7">
        <w:rPr>
          <w:color w:val="auto"/>
          <w:lang w:val="en-US"/>
        </w:rPr>
        <w:t>.</w:t>
      </w:r>
      <w:r w:rsidRPr="001005B7">
        <w:rPr>
          <w:color w:val="auto"/>
          <w:lang w:val="en-US"/>
        </w:rPr>
        <w:t xml:space="preserve"> Waco, TX: Baylor University Press, 2007</w:t>
      </w:r>
      <w:r w:rsidR="00100A85" w:rsidRPr="001005B7">
        <w:rPr>
          <w:color w:val="auto"/>
          <w:lang w:val="en-US"/>
        </w:rPr>
        <w:t>.</w:t>
      </w:r>
    </w:p>
    <w:p w14:paraId="03AEA6D4" w14:textId="77777777" w:rsidR="007D381A" w:rsidRDefault="001F2E6C" w:rsidP="007D381A">
      <w:pPr>
        <w:pStyle w:val="ListParagraph"/>
        <w:rPr>
          <w:color w:val="auto"/>
          <w:lang w:val="en-US"/>
        </w:rPr>
      </w:pPr>
      <w:r w:rsidRPr="001005B7">
        <w:rPr>
          <w:color w:val="auto"/>
          <w:lang w:val="en-US"/>
        </w:rPr>
        <w:t xml:space="preserve">Levitt </w:t>
      </w:r>
      <w:r w:rsidR="00036C23" w:rsidRPr="001005B7">
        <w:rPr>
          <w:color w:val="auto"/>
          <w:lang w:val="en-US"/>
        </w:rPr>
        <w:t>K</w:t>
      </w:r>
      <w:r w:rsidRPr="001005B7">
        <w:rPr>
          <w:color w:val="auto"/>
          <w:lang w:val="en-US"/>
        </w:rPr>
        <w:t>o</w:t>
      </w:r>
      <w:r w:rsidR="00983C97" w:rsidRPr="001005B7">
        <w:rPr>
          <w:color w:val="auto"/>
          <w:lang w:val="en-US"/>
        </w:rPr>
        <w:t>hn</w:t>
      </w:r>
      <w:r w:rsidRPr="001005B7">
        <w:rPr>
          <w:color w:val="auto"/>
          <w:lang w:val="en-US"/>
        </w:rPr>
        <w:t xml:space="preserve">, Risa. </w:t>
      </w:r>
      <w:r w:rsidR="00B641C2" w:rsidRPr="001005B7">
        <w:rPr>
          <w:i/>
          <w:iCs/>
          <w:color w:val="auto"/>
          <w:lang w:val="en-US"/>
        </w:rPr>
        <w:t>A New Heart and a New Soul</w:t>
      </w:r>
      <w:r w:rsidR="00BF2443" w:rsidRPr="001005B7">
        <w:rPr>
          <w:i/>
          <w:iCs/>
          <w:color w:val="auto"/>
          <w:lang w:val="en-US"/>
        </w:rPr>
        <w:t>:</w:t>
      </w:r>
      <w:r w:rsidR="00B641C2" w:rsidRPr="001005B7">
        <w:rPr>
          <w:i/>
          <w:iCs/>
          <w:color w:val="auto"/>
          <w:lang w:val="en-US"/>
        </w:rPr>
        <w:t xml:space="preserve"> Ezekiel, the Exile and the Torah. </w:t>
      </w:r>
      <w:proofErr w:type="spellStart"/>
      <w:r w:rsidR="00B641C2" w:rsidRPr="001005B7">
        <w:rPr>
          <w:color w:val="auto"/>
          <w:lang w:val="en-US"/>
        </w:rPr>
        <w:t>JSOTSup</w:t>
      </w:r>
      <w:proofErr w:type="spellEnd"/>
      <w:r w:rsidR="00B641C2" w:rsidRPr="001005B7">
        <w:rPr>
          <w:color w:val="auto"/>
          <w:lang w:val="en-US"/>
        </w:rPr>
        <w:t xml:space="preserve"> </w:t>
      </w:r>
      <w:r w:rsidR="00607D0E" w:rsidRPr="001005B7">
        <w:rPr>
          <w:color w:val="auto"/>
          <w:lang w:val="en-US"/>
        </w:rPr>
        <w:t>358.</w:t>
      </w:r>
      <w:r w:rsidR="00A10446" w:rsidRPr="001005B7">
        <w:rPr>
          <w:color w:val="auto"/>
          <w:lang w:val="en-US"/>
        </w:rPr>
        <w:t xml:space="preserve"> London: Sheffield Academic Press, 2002.</w:t>
      </w:r>
    </w:p>
    <w:p w14:paraId="435C9DE0" w14:textId="77777777" w:rsidR="00197658" w:rsidRDefault="00BE6414" w:rsidP="00197658">
      <w:pPr>
        <w:pStyle w:val="ListParagraph"/>
        <w:rPr>
          <w:color w:val="auto"/>
          <w:lang w:val="en-US"/>
        </w:rPr>
      </w:pPr>
      <w:r w:rsidRPr="001005B7">
        <w:rPr>
          <w:i/>
          <w:iCs/>
          <w:color w:val="auto"/>
          <w:lang w:val="en-US"/>
        </w:rPr>
        <w:t>–––</w:t>
      </w:r>
      <w:r w:rsidR="00391440">
        <w:rPr>
          <w:i/>
          <w:iCs/>
          <w:color w:val="auto"/>
          <w:lang w:val="en-US"/>
        </w:rPr>
        <w:t xml:space="preserve"> </w:t>
      </w:r>
      <w:r w:rsidR="001F2E6C" w:rsidRPr="001005B7">
        <w:rPr>
          <w:color w:val="auto"/>
          <w:lang w:val="en-US"/>
        </w:rPr>
        <w:t>“A Prophet Lik</w:t>
      </w:r>
      <w:r w:rsidR="001D5D0D" w:rsidRPr="001005B7">
        <w:rPr>
          <w:color w:val="auto"/>
          <w:lang w:val="en-US"/>
        </w:rPr>
        <w:t>e</w:t>
      </w:r>
      <w:r w:rsidR="001F2E6C" w:rsidRPr="001005B7">
        <w:rPr>
          <w:color w:val="auto"/>
          <w:lang w:val="en-US"/>
        </w:rPr>
        <w:t xml:space="preserve"> Moses? </w:t>
      </w:r>
      <w:r w:rsidR="001D5D0D" w:rsidRPr="001005B7">
        <w:rPr>
          <w:color w:val="auto"/>
          <w:lang w:val="en-US"/>
        </w:rPr>
        <w:t>Rethinking Ezeki</w:t>
      </w:r>
      <w:r w:rsidR="005B1C67" w:rsidRPr="001005B7">
        <w:rPr>
          <w:color w:val="auto"/>
          <w:lang w:val="en-US"/>
        </w:rPr>
        <w:t>el’s</w:t>
      </w:r>
      <w:r w:rsidR="001D5D0D" w:rsidRPr="001005B7">
        <w:rPr>
          <w:color w:val="auto"/>
          <w:lang w:val="en-US"/>
        </w:rPr>
        <w:t xml:space="preserve"> </w:t>
      </w:r>
      <w:r w:rsidR="005B1C67" w:rsidRPr="001005B7">
        <w:rPr>
          <w:color w:val="auto"/>
          <w:lang w:val="en-US"/>
        </w:rPr>
        <w:t>Relationship to the Torah.</w:t>
      </w:r>
      <w:r w:rsidR="001336E4" w:rsidRPr="001005B7">
        <w:rPr>
          <w:color w:val="auto"/>
          <w:lang w:val="en-US"/>
        </w:rPr>
        <w:t>”</w:t>
      </w:r>
      <w:r w:rsidR="005B1C67" w:rsidRPr="001005B7">
        <w:rPr>
          <w:color w:val="auto"/>
          <w:lang w:val="en-US"/>
        </w:rPr>
        <w:t xml:space="preserve"> </w:t>
      </w:r>
      <w:r w:rsidR="005B1C67" w:rsidRPr="001005B7">
        <w:rPr>
          <w:i/>
          <w:iCs/>
          <w:color w:val="auto"/>
          <w:lang w:val="en-US"/>
        </w:rPr>
        <w:t>ZAW</w:t>
      </w:r>
      <w:r w:rsidR="005B1C67" w:rsidRPr="001005B7">
        <w:rPr>
          <w:color w:val="auto"/>
          <w:lang w:val="en-US"/>
        </w:rPr>
        <w:t xml:space="preserve"> </w:t>
      </w:r>
      <w:r w:rsidR="00D26E08" w:rsidRPr="001005B7">
        <w:rPr>
          <w:color w:val="auto"/>
          <w:lang w:val="en-US"/>
        </w:rPr>
        <w:t>114 (2002)</w:t>
      </w:r>
      <w:r w:rsidR="001336E4" w:rsidRPr="001005B7">
        <w:rPr>
          <w:color w:val="auto"/>
          <w:lang w:val="en-US"/>
        </w:rPr>
        <w:t>: 236</w:t>
      </w:r>
      <w:r w:rsidR="00F46900" w:rsidRPr="001005B7">
        <w:rPr>
          <w:color w:val="auto"/>
          <w:lang w:val="en-US"/>
        </w:rPr>
        <w:t>–</w:t>
      </w:r>
      <w:r w:rsidR="001336E4" w:rsidRPr="001005B7">
        <w:rPr>
          <w:color w:val="auto"/>
          <w:lang w:val="en-US"/>
        </w:rPr>
        <w:t>54.</w:t>
      </w:r>
    </w:p>
    <w:p w14:paraId="0D33C114" w14:textId="02B05FEC" w:rsidR="00C12F37" w:rsidRPr="00197658" w:rsidRDefault="00287728" w:rsidP="00197658">
      <w:pPr>
        <w:pStyle w:val="ListParagraph"/>
        <w:rPr>
          <w:color w:val="auto"/>
          <w:lang w:val="en-US"/>
        </w:rPr>
      </w:pPr>
      <w:r w:rsidRPr="001005B7">
        <w:rPr>
          <w:i/>
          <w:iCs/>
        </w:rPr>
        <w:t>–––</w:t>
      </w:r>
      <w:r w:rsidR="00391440">
        <w:rPr>
          <w:i/>
          <w:iCs/>
        </w:rPr>
        <w:t xml:space="preserve"> </w:t>
      </w:r>
      <w:r w:rsidR="00C12F37" w:rsidRPr="001005B7">
        <w:t xml:space="preserve">"Ezekiel at </w:t>
      </w:r>
      <w:proofErr w:type="spellStart"/>
      <w:r w:rsidR="00C12F37" w:rsidRPr="001005B7">
        <w:t>the</w:t>
      </w:r>
      <w:proofErr w:type="spellEnd"/>
      <w:r w:rsidR="00C12F37" w:rsidRPr="001005B7">
        <w:t xml:space="preserve"> Turn </w:t>
      </w:r>
      <w:proofErr w:type="spellStart"/>
      <w:r w:rsidR="00C12F37" w:rsidRPr="001005B7">
        <w:t>of</w:t>
      </w:r>
      <w:proofErr w:type="spellEnd"/>
      <w:r w:rsidR="00C12F37" w:rsidRPr="001005B7">
        <w:t xml:space="preserve"> </w:t>
      </w:r>
      <w:proofErr w:type="spellStart"/>
      <w:r w:rsidR="00C12F37" w:rsidRPr="001005B7">
        <w:t>the</w:t>
      </w:r>
      <w:proofErr w:type="spellEnd"/>
      <w:r w:rsidR="00C12F37" w:rsidRPr="001005B7">
        <w:t xml:space="preserve"> Century"</w:t>
      </w:r>
      <w:r w:rsidR="00B66DBB" w:rsidRPr="001005B7">
        <w:t xml:space="preserve"> and “Ezekiel Update,” in </w:t>
      </w:r>
      <w:r w:rsidR="00C12F37" w:rsidRPr="001005B7">
        <w:t>A</w:t>
      </w:r>
      <w:r w:rsidR="00B30117" w:rsidRPr="001005B7">
        <w:t>lan</w:t>
      </w:r>
      <w:r w:rsidR="00C12F37" w:rsidRPr="001005B7">
        <w:t xml:space="preserve"> J. Hauser</w:t>
      </w:r>
      <w:r w:rsidR="00B30117" w:rsidRPr="001005B7">
        <w:t xml:space="preserve">, </w:t>
      </w:r>
      <w:proofErr w:type="spellStart"/>
      <w:r w:rsidR="00C12F37" w:rsidRPr="001005B7">
        <w:t>ed</w:t>
      </w:r>
      <w:proofErr w:type="spellEnd"/>
      <w:r w:rsidR="00C12F37" w:rsidRPr="001005B7">
        <w:t>., </w:t>
      </w:r>
      <w:proofErr w:type="spellStart"/>
      <w:r w:rsidR="00C12F37" w:rsidRPr="001005B7">
        <w:rPr>
          <w:i/>
          <w:iCs/>
        </w:rPr>
        <w:t>Recent</w:t>
      </w:r>
      <w:proofErr w:type="spellEnd"/>
      <w:r w:rsidR="00C12F37" w:rsidRPr="001005B7">
        <w:rPr>
          <w:i/>
          <w:iCs/>
        </w:rPr>
        <w:t xml:space="preserve"> Research on </w:t>
      </w:r>
      <w:proofErr w:type="spellStart"/>
      <w:r w:rsidR="00C12F37" w:rsidRPr="001005B7">
        <w:rPr>
          <w:i/>
          <w:iCs/>
        </w:rPr>
        <w:t>the</w:t>
      </w:r>
      <w:proofErr w:type="spellEnd"/>
      <w:r w:rsidR="00C12F37" w:rsidRPr="001005B7">
        <w:rPr>
          <w:i/>
          <w:iCs/>
        </w:rPr>
        <w:t xml:space="preserve"> Major </w:t>
      </w:r>
      <w:proofErr w:type="spellStart"/>
      <w:r w:rsidR="00C12F37" w:rsidRPr="001005B7">
        <w:rPr>
          <w:i/>
          <w:iCs/>
        </w:rPr>
        <w:t>Prophets</w:t>
      </w:r>
      <w:proofErr w:type="spellEnd"/>
      <w:r w:rsidR="00343497" w:rsidRPr="001005B7">
        <w:t xml:space="preserve">, </w:t>
      </w:r>
      <w:r w:rsidR="00A47F76" w:rsidRPr="001005B7">
        <w:t>260</w:t>
      </w:r>
      <w:r w:rsidR="00F440C0">
        <w:t>–</w:t>
      </w:r>
      <w:r w:rsidR="00A47F76" w:rsidRPr="001005B7">
        <w:t xml:space="preserve">72 and </w:t>
      </w:r>
      <w:r w:rsidR="00343497" w:rsidRPr="001005B7">
        <w:t>273</w:t>
      </w:r>
      <w:r w:rsidR="00F46900" w:rsidRPr="001005B7">
        <w:t>–</w:t>
      </w:r>
      <w:r w:rsidR="00343497" w:rsidRPr="001005B7">
        <w:t>77.</w:t>
      </w:r>
      <w:r w:rsidR="00C12F37" w:rsidRPr="001005B7">
        <w:t> Sheffield: Sheffield Phoenix Press, 2008.</w:t>
      </w:r>
    </w:p>
    <w:p w14:paraId="5278270E" w14:textId="26CCE72D" w:rsidR="0055629E" w:rsidRPr="001005B7" w:rsidRDefault="0055629E" w:rsidP="006F5BB0">
      <w:pPr>
        <w:pStyle w:val="ListParagraph"/>
        <w:rPr>
          <w:color w:val="auto"/>
          <w:lang w:val="en-US"/>
        </w:rPr>
      </w:pPr>
      <w:r w:rsidRPr="001005B7">
        <w:rPr>
          <w:color w:val="auto"/>
          <w:lang w:val="en-US"/>
        </w:rPr>
        <w:t xml:space="preserve">Lewis, C. S. “Modern Theology and Biblical Criticism.” in </w:t>
      </w:r>
      <w:r w:rsidR="00D53F11" w:rsidRPr="001005B7">
        <w:rPr>
          <w:color w:val="auto"/>
          <w:lang w:val="en-US"/>
        </w:rPr>
        <w:t xml:space="preserve">C. S. </w:t>
      </w:r>
      <w:r w:rsidRPr="001005B7">
        <w:rPr>
          <w:color w:val="auto"/>
          <w:lang w:val="en-US"/>
        </w:rPr>
        <w:t xml:space="preserve">Lewis, </w:t>
      </w:r>
      <w:r w:rsidRPr="001005B7">
        <w:rPr>
          <w:i/>
          <w:iCs/>
          <w:color w:val="auto"/>
          <w:lang w:val="en-US"/>
        </w:rPr>
        <w:t>Christian Reflections</w:t>
      </w:r>
      <w:r w:rsidR="00AE714B" w:rsidRPr="001005B7">
        <w:rPr>
          <w:color w:val="auto"/>
          <w:lang w:val="en-US"/>
        </w:rPr>
        <w:t>, 152</w:t>
      </w:r>
      <w:r w:rsidR="00F46900" w:rsidRPr="001005B7">
        <w:rPr>
          <w:color w:val="auto"/>
          <w:lang w:val="en-US"/>
        </w:rPr>
        <w:t>–</w:t>
      </w:r>
      <w:r w:rsidR="00AE714B" w:rsidRPr="001005B7">
        <w:rPr>
          <w:color w:val="auto"/>
          <w:lang w:val="en-US"/>
        </w:rPr>
        <w:t xml:space="preserve">66. </w:t>
      </w:r>
      <w:r w:rsidRPr="001005B7">
        <w:rPr>
          <w:color w:val="auto"/>
          <w:lang w:val="en-US"/>
        </w:rPr>
        <w:t>Grand Rapids: Eerdmans, 1967</w:t>
      </w:r>
      <w:r w:rsidR="00AE714B" w:rsidRPr="001005B7">
        <w:rPr>
          <w:color w:val="auto"/>
          <w:lang w:val="en-US"/>
        </w:rPr>
        <w:t>.</w:t>
      </w:r>
    </w:p>
    <w:p w14:paraId="38D0740B" w14:textId="7561ED40" w:rsidR="009F0BCD" w:rsidRPr="001005B7" w:rsidRDefault="009F0BCD" w:rsidP="009F0BCD">
      <w:pPr>
        <w:spacing w:after="60" w:line="240" w:lineRule="auto"/>
        <w:ind w:left="567" w:hanging="567"/>
        <w:rPr>
          <w:rFonts w:ascii="Calibri" w:eastAsia="Times New Roman" w:hAnsi="Calibri" w:cs="Calibri"/>
          <w:lang w:eastAsia="en-GB"/>
        </w:rPr>
      </w:pPr>
      <w:proofErr w:type="spellStart"/>
      <w:r w:rsidRPr="001005B7">
        <w:rPr>
          <w:rFonts w:ascii="Calibri" w:eastAsia="Times New Roman" w:hAnsi="Calibri" w:cs="Calibri"/>
          <w:lang w:eastAsia="en-GB"/>
        </w:rPr>
        <w:t>Lieb</w:t>
      </w:r>
      <w:proofErr w:type="spellEnd"/>
      <w:r w:rsidRPr="001005B7">
        <w:rPr>
          <w:rFonts w:ascii="Calibri" w:eastAsia="Times New Roman" w:hAnsi="Calibri" w:cs="Calibri"/>
          <w:lang w:eastAsia="en-GB"/>
        </w:rPr>
        <w:t xml:space="preserve">, Michael. </w:t>
      </w:r>
      <w:r w:rsidRPr="001005B7">
        <w:rPr>
          <w:rFonts w:ascii="Calibri" w:eastAsia="Times New Roman" w:hAnsi="Calibri" w:cs="Calibri"/>
          <w:i/>
          <w:iCs/>
          <w:lang w:eastAsia="en-GB"/>
        </w:rPr>
        <w:t>Children</w:t>
      </w:r>
      <w:r w:rsidRPr="001005B7">
        <w:rPr>
          <w:rFonts w:ascii="Calibri" w:eastAsia="Times New Roman" w:hAnsi="Calibri" w:cs="Calibri"/>
          <w:lang w:eastAsia="en-GB"/>
        </w:rPr>
        <w:t xml:space="preserve"> </w:t>
      </w:r>
      <w:r w:rsidRPr="001005B7">
        <w:rPr>
          <w:rFonts w:ascii="Calibri" w:eastAsia="Times New Roman" w:hAnsi="Calibri" w:cs="Calibri"/>
          <w:i/>
          <w:iCs/>
          <w:lang w:eastAsia="en-GB"/>
        </w:rPr>
        <w:t>of</w:t>
      </w:r>
      <w:r w:rsidRPr="001005B7">
        <w:rPr>
          <w:rFonts w:ascii="Calibri" w:eastAsia="Times New Roman" w:hAnsi="Calibri" w:cs="Calibri"/>
          <w:lang w:eastAsia="en-GB"/>
        </w:rPr>
        <w:t xml:space="preserve"> </w:t>
      </w:r>
      <w:r w:rsidRPr="001005B7">
        <w:rPr>
          <w:rFonts w:ascii="Calibri" w:eastAsia="Times New Roman" w:hAnsi="Calibri" w:cs="Calibri"/>
          <w:i/>
          <w:iCs/>
          <w:lang w:eastAsia="en-GB"/>
        </w:rPr>
        <w:t>Ezekiel: A</w:t>
      </w:r>
      <w:r w:rsidR="00F638BA" w:rsidRPr="001005B7">
        <w:rPr>
          <w:rFonts w:ascii="Calibri" w:eastAsia="Times New Roman" w:hAnsi="Calibri" w:cs="Calibri"/>
          <w:i/>
          <w:iCs/>
          <w:lang w:eastAsia="en-GB"/>
        </w:rPr>
        <w:t xml:space="preserve">liens, UFOs, the Crisis of Rece, and </w:t>
      </w:r>
      <w:r w:rsidR="002F2346" w:rsidRPr="001005B7">
        <w:rPr>
          <w:rFonts w:ascii="Calibri" w:eastAsia="Times New Roman" w:hAnsi="Calibri" w:cs="Calibri"/>
          <w:i/>
          <w:iCs/>
          <w:lang w:eastAsia="en-GB"/>
        </w:rPr>
        <w:t>the Advent of En</w:t>
      </w:r>
      <w:r w:rsidR="00086F10" w:rsidRPr="001005B7">
        <w:rPr>
          <w:rFonts w:ascii="Calibri" w:eastAsia="Times New Roman" w:hAnsi="Calibri" w:cs="Calibri"/>
          <w:i/>
          <w:iCs/>
          <w:lang w:eastAsia="en-GB"/>
        </w:rPr>
        <w:t>d Time</w:t>
      </w:r>
      <w:r w:rsidR="00F021CB" w:rsidRPr="001005B7">
        <w:rPr>
          <w:rFonts w:ascii="Calibri" w:eastAsia="Times New Roman" w:hAnsi="Calibri" w:cs="Calibri"/>
          <w:lang w:eastAsia="en-GB"/>
        </w:rPr>
        <w:t>.</w:t>
      </w:r>
      <w:r w:rsidR="00391440">
        <w:rPr>
          <w:rFonts w:ascii="Calibri" w:hAnsi="Calibri" w:cs="Calibri"/>
        </w:rPr>
        <w:t xml:space="preserve"> </w:t>
      </w:r>
      <w:r w:rsidRPr="001005B7">
        <w:rPr>
          <w:rFonts w:ascii="Calibri" w:hAnsi="Calibri" w:cs="Calibri"/>
        </w:rPr>
        <w:t>Durham, NC: Duke University Press, 1998.</w:t>
      </w:r>
    </w:p>
    <w:p w14:paraId="43DB3F86" w14:textId="3FF12171" w:rsidR="00DA1744" w:rsidRPr="001005B7" w:rsidRDefault="009273BE" w:rsidP="006F5BB0">
      <w:pPr>
        <w:pStyle w:val="ListParagraph"/>
        <w:rPr>
          <w:color w:val="auto"/>
          <w:lang w:val="en-US"/>
        </w:rPr>
      </w:pPr>
      <w:r w:rsidRPr="001005B7">
        <w:rPr>
          <w:color w:val="auto"/>
          <w:lang w:val="en-US"/>
        </w:rPr>
        <w:t xml:space="preserve">Lilly, Ingrid E. </w:t>
      </w:r>
      <w:r w:rsidR="00DA1744" w:rsidRPr="001005B7">
        <w:rPr>
          <w:rStyle w:val="Strong"/>
          <w:rFonts w:eastAsiaTheme="majorEastAsia"/>
          <w:b w:val="0"/>
          <w:bCs w:val="0"/>
          <w:i/>
          <w:iCs/>
          <w:color w:val="auto"/>
          <w:lang w:val="en-US"/>
        </w:rPr>
        <w:t>Two</w:t>
      </w:r>
      <w:r w:rsidR="00DA1744" w:rsidRPr="001005B7">
        <w:rPr>
          <w:color w:val="auto"/>
          <w:lang w:val="en-US"/>
        </w:rPr>
        <w:t> </w:t>
      </w:r>
      <w:r w:rsidR="00487404" w:rsidRPr="001005B7">
        <w:rPr>
          <w:rStyle w:val="Strong"/>
          <w:rFonts w:eastAsiaTheme="majorEastAsia"/>
          <w:b w:val="0"/>
          <w:bCs w:val="0"/>
          <w:i/>
          <w:iCs/>
          <w:color w:val="auto"/>
          <w:lang w:val="en-US"/>
        </w:rPr>
        <w:t>Bo</w:t>
      </w:r>
      <w:r w:rsidR="00DA1744" w:rsidRPr="001005B7">
        <w:rPr>
          <w:rStyle w:val="Strong"/>
          <w:rFonts w:eastAsiaTheme="majorEastAsia"/>
          <w:b w:val="0"/>
          <w:bCs w:val="0"/>
          <w:i/>
          <w:iCs/>
          <w:color w:val="auto"/>
          <w:lang w:val="en-US"/>
        </w:rPr>
        <w:t>oks</w:t>
      </w:r>
      <w:r w:rsidR="00DA1744" w:rsidRPr="001005B7">
        <w:rPr>
          <w:color w:val="auto"/>
          <w:lang w:val="en-US"/>
        </w:rPr>
        <w:t> of </w:t>
      </w:r>
      <w:r w:rsidR="00DA1744" w:rsidRPr="001005B7">
        <w:rPr>
          <w:rStyle w:val="Strong"/>
          <w:rFonts w:eastAsiaTheme="majorEastAsia"/>
          <w:b w:val="0"/>
          <w:bCs w:val="0"/>
          <w:i/>
          <w:iCs/>
          <w:color w:val="auto"/>
          <w:lang w:val="en-US"/>
        </w:rPr>
        <w:t>Ezekiel</w:t>
      </w:r>
      <w:r w:rsidR="00DA1744" w:rsidRPr="001005B7">
        <w:rPr>
          <w:i/>
          <w:iCs/>
          <w:color w:val="auto"/>
          <w:lang w:val="en-US"/>
        </w:rPr>
        <w:t>: Papyrus 967 and the Masoretic Text as Variant Literary Editions</w:t>
      </w:r>
      <w:r w:rsidR="00DA1744" w:rsidRPr="001005B7">
        <w:rPr>
          <w:color w:val="auto"/>
          <w:lang w:val="en-US"/>
        </w:rPr>
        <w:t>.</w:t>
      </w:r>
      <w:r w:rsidR="006F5432" w:rsidRPr="001005B7">
        <w:rPr>
          <w:color w:val="auto"/>
          <w:lang w:val="en-US"/>
        </w:rPr>
        <w:t xml:space="preserve"> </w:t>
      </w:r>
      <w:proofErr w:type="spellStart"/>
      <w:r w:rsidR="006F5432" w:rsidRPr="001005B7">
        <w:rPr>
          <w:color w:val="auto"/>
          <w:lang w:val="en-US"/>
        </w:rPr>
        <w:t>VTSup</w:t>
      </w:r>
      <w:proofErr w:type="spellEnd"/>
      <w:r w:rsidR="006F5432" w:rsidRPr="001005B7">
        <w:rPr>
          <w:color w:val="auto"/>
          <w:lang w:val="en-US"/>
        </w:rPr>
        <w:t xml:space="preserve"> 150. Leiden: Brill, </w:t>
      </w:r>
      <w:r w:rsidR="00312390" w:rsidRPr="001005B7">
        <w:rPr>
          <w:color w:val="auto"/>
          <w:lang w:val="en-US"/>
        </w:rPr>
        <w:t>2012.</w:t>
      </w:r>
    </w:p>
    <w:p w14:paraId="504A9432" w14:textId="0307669F" w:rsidR="00032A77" w:rsidRPr="001005B7" w:rsidRDefault="00DD421D" w:rsidP="006F5BB0">
      <w:pPr>
        <w:pStyle w:val="ListParagraph"/>
        <w:rPr>
          <w:color w:val="auto"/>
          <w:lang w:val="en-US"/>
        </w:rPr>
      </w:pPr>
      <w:r w:rsidRPr="001005B7">
        <w:rPr>
          <w:color w:val="auto"/>
          <w:lang w:val="en-US"/>
        </w:rPr>
        <w:t>Lindsey</w:t>
      </w:r>
      <w:r w:rsidR="00032A77" w:rsidRPr="001005B7">
        <w:rPr>
          <w:color w:val="auto"/>
          <w:lang w:val="en-US"/>
        </w:rPr>
        <w:t xml:space="preserve">, Hal, with C. C. Carlson. </w:t>
      </w:r>
      <w:r w:rsidR="00032A77" w:rsidRPr="001005B7">
        <w:rPr>
          <w:i/>
          <w:iCs/>
          <w:color w:val="auto"/>
          <w:lang w:val="en-US"/>
        </w:rPr>
        <w:t>The Late Great Planet Earth</w:t>
      </w:r>
      <w:r w:rsidR="00032A77" w:rsidRPr="001005B7">
        <w:rPr>
          <w:color w:val="auto"/>
          <w:lang w:val="en-US"/>
        </w:rPr>
        <w:t>. Grand Rapids: Zondervan, 1970.</w:t>
      </w:r>
    </w:p>
    <w:p w14:paraId="1A45213F" w14:textId="6C6BA56E" w:rsidR="00D32B15" w:rsidRPr="001005B7" w:rsidRDefault="00D32B15" w:rsidP="006F5BB0">
      <w:pPr>
        <w:pStyle w:val="ListParagraph"/>
        <w:rPr>
          <w:color w:val="auto"/>
          <w:lang w:val="en-US"/>
        </w:rPr>
      </w:pPr>
      <w:r w:rsidRPr="001005B7">
        <w:rPr>
          <w:color w:val="auto"/>
          <w:lang w:val="en-US"/>
        </w:rPr>
        <w:t>Lust, Johan. “The Ezekiel Text.</w:t>
      </w:r>
      <w:r w:rsidR="0031161A" w:rsidRPr="001005B7">
        <w:rPr>
          <w:color w:val="auto"/>
          <w:lang w:val="en-US"/>
        </w:rPr>
        <w:t xml:space="preserve">” In </w:t>
      </w:r>
      <w:r w:rsidR="00296EB6" w:rsidRPr="001005B7">
        <w:rPr>
          <w:color w:val="auto"/>
          <w:lang w:val="en-US"/>
        </w:rPr>
        <w:t>Yohanan Goldman, A</w:t>
      </w:r>
      <w:r w:rsidR="0031161A" w:rsidRPr="001005B7">
        <w:rPr>
          <w:color w:val="auto"/>
          <w:lang w:val="en-US"/>
        </w:rPr>
        <w:t>rie</w:t>
      </w:r>
      <w:r w:rsidR="00296EB6" w:rsidRPr="001005B7">
        <w:rPr>
          <w:color w:val="auto"/>
          <w:lang w:val="en-US"/>
        </w:rPr>
        <w:t xml:space="preserve"> van der </w:t>
      </w:r>
      <w:proofErr w:type="spellStart"/>
      <w:r w:rsidR="00296EB6" w:rsidRPr="001005B7">
        <w:rPr>
          <w:color w:val="auto"/>
          <w:lang w:val="en-US"/>
        </w:rPr>
        <w:t>Kooij</w:t>
      </w:r>
      <w:proofErr w:type="spellEnd"/>
      <w:r w:rsidR="00296EB6" w:rsidRPr="001005B7">
        <w:rPr>
          <w:color w:val="auto"/>
          <w:lang w:val="en-US"/>
        </w:rPr>
        <w:t xml:space="preserve">, </w:t>
      </w:r>
      <w:r w:rsidR="0031161A" w:rsidRPr="001005B7">
        <w:rPr>
          <w:color w:val="auto"/>
          <w:lang w:val="en-US"/>
        </w:rPr>
        <w:t xml:space="preserve">and </w:t>
      </w:r>
      <w:r w:rsidR="00296EB6" w:rsidRPr="001005B7">
        <w:rPr>
          <w:color w:val="auto"/>
          <w:lang w:val="en-US"/>
        </w:rPr>
        <w:t>Richard Weis</w:t>
      </w:r>
      <w:r w:rsidR="0031161A" w:rsidRPr="001005B7">
        <w:rPr>
          <w:color w:val="auto"/>
          <w:lang w:val="en-US"/>
        </w:rPr>
        <w:t>,</w:t>
      </w:r>
      <w:r w:rsidR="00296EB6" w:rsidRPr="001005B7">
        <w:rPr>
          <w:color w:val="auto"/>
          <w:lang w:val="en-US"/>
        </w:rPr>
        <w:t xml:space="preserve"> </w:t>
      </w:r>
      <w:r w:rsidR="00432983" w:rsidRPr="001005B7">
        <w:rPr>
          <w:color w:val="auto"/>
          <w:lang w:val="en-US"/>
        </w:rPr>
        <w:t xml:space="preserve">ed., </w:t>
      </w:r>
      <w:proofErr w:type="spellStart"/>
      <w:r w:rsidR="00296EB6" w:rsidRPr="001005B7">
        <w:rPr>
          <w:i/>
          <w:iCs/>
          <w:color w:val="auto"/>
          <w:lang w:val="en-US"/>
        </w:rPr>
        <w:t>S</w:t>
      </w:r>
      <w:r w:rsidR="00D32F86" w:rsidRPr="001005B7">
        <w:rPr>
          <w:i/>
          <w:iCs/>
          <w:color w:val="auto"/>
          <w:lang w:val="en-US"/>
        </w:rPr>
        <w:t>ô</w:t>
      </w:r>
      <w:r w:rsidR="00296EB6" w:rsidRPr="001005B7">
        <w:rPr>
          <w:i/>
          <w:iCs/>
          <w:color w:val="auto"/>
          <w:lang w:val="en-US"/>
        </w:rPr>
        <w:t>fer</w:t>
      </w:r>
      <w:proofErr w:type="spellEnd"/>
      <w:r w:rsidR="00296EB6" w:rsidRPr="001005B7">
        <w:rPr>
          <w:i/>
          <w:iCs/>
          <w:color w:val="auto"/>
          <w:lang w:val="en-US"/>
        </w:rPr>
        <w:t xml:space="preserve"> </w:t>
      </w:r>
      <w:proofErr w:type="spellStart"/>
      <w:r w:rsidR="00296EB6" w:rsidRPr="001005B7">
        <w:rPr>
          <w:i/>
          <w:iCs/>
          <w:color w:val="auto"/>
          <w:lang w:val="en-US"/>
        </w:rPr>
        <w:t>Mah</w:t>
      </w:r>
      <w:r w:rsidR="00D32F86" w:rsidRPr="001005B7">
        <w:rPr>
          <w:i/>
          <w:iCs/>
          <w:color w:val="auto"/>
          <w:lang w:val="en-US"/>
        </w:rPr>
        <w:t>î</w:t>
      </w:r>
      <w:r w:rsidR="00296EB6" w:rsidRPr="001005B7">
        <w:rPr>
          <w:i/>
          <w:iCs/>
          <w:color w:val="auto"/>
          <w:lang w:val="en-US"/>
        </w:rPr>
        <w:t>r</w:t>
      </w:r>
      <w:proofErr w:type="spellEnd"/>
      <w:r w:rsidR="00296EB6" w:rsidRPr="001005B7">
        <w:rPr>
          <w:i/>
          <w:iCs/>
          <w:color w:val="auto"/>
          <w:lang w:val="en-US"/>
        </w:rPr>
        <w:t xml:space="preserve">: Essays in </w:t>
      </w:r>
      <w:proofErr w:type="spellStart"/>
      <w:r w:rsidR="00296EB6" w:rsidRPr="001005B7">
        <w:rPr>
          <w:i/>
          <w:iCs/>
          <w:color w:val="auto"/>
          <w:lang w:val="en-US"/>
        </w:rPr>
        <w:t>Honour</w:t>
      </w:r>
      <w:proofErr w:type="spellEnd"/>
      <w:r w:rsidR="00296EB6" w:rsidRPr="001005B7">
        <w:rPr>
          <w:i/>
          <w:iCs/>
          <w:color w:val="auto"/>
          <w:lang w:val="en-US"/>
        </w:rPr>
        <w:t xml:space="preserve"> of Adrian Schenker Offered by Editors of Biblia</w:t>
      </w:r>
      <w:r w:rsidR="002B397A" w:rsidRPr="001005B7">
        <w:rPr>
          <w:i/>
          <w:iCs/>
          <w:color w:val="auto"/>
          <w:lang w:val="en-US"/>
        </w:rPr>
        <w:t xml:space="preserve"> Hebraica Quinta</w:t>
      </w:r>
      <w:r w:rsidR="002B397A" w:rsidRPr="001005B7">
        <w:rPr>
          <w:color w:val="auto"/>
          <w:lang w:val="en-US"/>
        </w:rPr>
        <w:t xml:space="preserve">, </w:t>
      </w:r>
      <w:r w:rsidR="00B31729" w:rsidRPr="001005B7">
        <w:rPr>
          <w:color w:val="auto"/>
          <w:lang w:val="en-US"/>
        </w:rPr>
        <w:t>153</w:t>
      </w:r>
      <w:r w:rsidR="00F46900" w:rsidRPr="001005B7">
        <w:rPr>
          <w:color w:val="auto"/>
          <w:lang w:val="en-US"/>
        </w:rPr>
        <w:t>–</w:t>
      </w:r>
      <w:r w:rsidR="00B31729" w:rsidRPr="001005B7">
        <w:rPr>
          <w:color w:val="auto"/>
          <w:lang w:val="en-US"/>
        </w:rPr>
        <w:t xml:space="preserve">67. </w:t>
      </w:r>
      <w:proofErr w:type="spellStart"/>
      <w:r w:rsidR="00300ECE" w:rsidRPr="001005B7">
        <w:rPr>
          <w:color w:val="auto"/>
          <w:lang w:val="en-US"/>
        </w:rPr>
        <w:t>VTSup</w:t>
      </w:r>
      <w:proofErr w:type="spellEnd"/>
      <w:r w:rsidR="00300ECE" w:rsidRPr="001005B7">
        <w:rPr>
          <w:color w:val="auto"/>
          <w:lang w:val="en-US"/>
        </w:rPr>
        <w:t xml:space="preserve"> 110. Leiden: Brill, </w:t>
      </w:r>
      <w:r w:rsidR="00432983" w:rsidRPr="001005B7">
        <w:rPr>
          <w:color w:val="auto"/>
          <w:lang w:val="en-US"/>
        </w:rPr>
        <w:t>2006.</w:t>
      </w:r>
    </w:p>
    <w:p w14:paraId="4748B331" w14:textId="096157C4" w:rsidR="00046C9E" w:rsidRPr="001005B7" w:rsidRDefault="00046C9E" w:rsidP="006F5BB0">
      <w:pPr>
        <w:pStyle w:val="ListParagraph"/>
        <w:rPr>
          <w:color w:val="auto"/>
          <w:lang w:val="en-US"/>
        </w:rPr>
      </w:pPr>
      <w:r w:rsidRPr="001005B7">
        <w:rPr>
          <w:color w:val="auto"/>
          <w:lang w:val="en-US"/>
        </w:rPr>
        <w:t xml:space="preserve">Luther, Martin. </w:t>
      </w:r>
      <w:r w:rsidR="002D7305" w:rsidRPr="001005B7">
        <w:rPr>
          <w:color w:val="auto"/>
          <w:lang w:val="en-US"/>
        </w:rPr>
        <w:t>“</w:t>
      </w:r>
      <w:r w:rsidR="007E20FE" w:rsidRPr="001005B7">
        <w:rPr>
          <w:color w:val="auto"/>
          <w:lang w:val="en-US"/>
        </w:rPr>
        <w:t>A New Preface to the Prophet Ezekiel</w:t>
      </w:r>
      <w:r w:rsidR="002D7305" w:rsidRPr="001005B7">
        <w:rPr>
          <w:color w:val="auto"/>
          <w:lang w:val="en-US"/>
        </w:rPr>
        <w:t>.</w:t>
      </w:r>
      <w:r w:rsidR="007E20FE" w:rsidRPr="001005B7">
        <w:rPr>
          <w:color w:val="auto"/>
          <w:lang w:val="en-US"/>
        </w:rPr>
        <w:t xml:space="preserve">” </w:t>
      </w:r>
      <w:r w:rsidR="002D7305" w:rsidRPr="001005B7">
        <w:rPr>
          <w:color w:val="auto"/>
          <w:lang w:val="en-US"/>
        </w:rPr>
        <w:t>I</w:t>
      </w:r>
      <w:r w:rsidR="007E20FE" w:rsidRPr="001005B7">
        <w:rPr>
          <w:color w:val="auto"/>
          <w:lang w:val="en-US"/>
        </w:rPr>
        <w:t xml:space="preserve">n </w:t>
      </w:r>
      <w:r w:rsidR="00DB4DC2" w:rsidRPr="001005B7">
        <w:rPr>
          <w:i/>
          <w:iCs/>
          <w:color w:val="auto"/>
          <w:lang w:val="en-US"/>
        </w:rPr>
        <w:t xml:space="preserve">Works of Martin </w:t>
      </w:r>
      <w:r w:rsidR="007E20FE" w:rsidRPr="001005B7">
        <w:rPr>
          <w:i/>
          <w:iCs/>
          <w:color w:val="auto"/>
          <w:lang w:val="en-US"/>
        </w:rPr>
        <w:t>Luther</w:t>
      </w:r>
      <w:r w:rsidR="00B24FA2" w:rsidRPr="001005B7">
        <w:rPr>
          <w:i/>
          <w:iCs/>
          <w:color w:val="auto"/>
          <w:lang w:val="en-US"/>
        </w:rPr>
        <w:t xml:space="preserve"> Translated with Introductions and Notes</w:t>
      </w:r>
      <w:r w:rsidR="00FB2886" w:rsidRPr="001005B7">
        <w:rPr>
          <w:color w:val="auto"/>
          <w:lang w:val="en-US"/>
        </w:rPr>
        <w:t xml:space="preserve"> </w:t>
      </w:r>
      <w:r w:rsidR="00B24FA2" w:rsidRPr="001005B7">
        <w:rPr>
          <w:color w:val="auto"/>
          <w:lang w:val="en-US"/>
        </w:rPr>
        <w:t>6:412</w:t>
      </w:r>
      <w:r w:rsidR="00F46900" w:rsidRPr="001005B7">
        <w:rPr>
          <w:color w:val="auto"/>
          <w:lang w:val="en-US"/>
        </w:rPr>
        <w:t>–</w:t>
      </w:r>
      <w:r w:rsidR="00B24FA2" w:rsidRPr="001005B7">
        <w:rPr>
          <w:color w:val="auto"/>
          <w:lang w:val="en-US"/>
        </w:rPr>
        <w:t xml:space="preserve">20. </w:t>
      </w:r>
      <w:r w:rsidR="00FB2886" w:rsidRPr="001005B7">
        <w:rPr>
          <w:color w:val="auto"/>
          <w:lang w:val="en-US"/>
        </w:rPr>
        <w:t xml:space="preserve">Philadelphia: Holman, </w:t>
      </w:r>
      <w:r w:rsidR="00B270C6" w:rsidRPr="001005B7">
        <w:rPr>
          <w:color w:val="auto"/>
          <w:lang w:val="en-US"/>
        </w:rPr>
        <w:t>1932</w:t>
      </w:r>
      <w:r w:rsidR="000109B8" w:rsidRPr="001005B7">
        <w:rPr>
          <w:color w:val="auto"/>
          <w:lang w:val="en-US"/>
        </w:rPr>
        <w:t xml:space="preserve">. </w:t>
      </w:r>
    </w:p>
    <w:p w14:paraId="31B7F0CF" w14:textId="5A53CE6F" w:rsidR="00E972B1" w:rsidRPr="001005B7" w:rsidRDefault="00E972B1" w:rsidP="006F5BB0">
      <w:pPr>
        <w:pStyle w:val="ListParagraph"/>
        <w:rPr>
          <w:color w:val="auto"/>
          <w:lang w:val="en-US"/>
        </w:rPr>
      </w:pPr>
      <w:r w:rsidRPr="001005B7">
        <w:rPr>
          <w:color w:val="auto"/>
          <w:lang w:val="en-US"/>
        </w:rPr>
        <w:t xml:space="preserve">Lyons, Michael A. </w:t>
      </w:r>
      <w:r w:rsidR="00540E93" w:rsidRPr="001005B7">
        <w:rPr>
          <w:color w:val="auto"/>
          <w:lang w:val="en-US"/>
        </w:rPr>
        <w:t xml:space="preserve">“The Book of Ezekiel: A Help or a Hindrance for Environmental Ethics?” </w:t>
      </w:r>
      <w:r w:rsidR="00540E93" w:rsidRPr="001005B7">
        <w:rPr>
          <w:i/>
          <w:iCs/>
          <w:color w:val="auto"/>
          <w:lang w:val="en-US"/>
        </w:rPr>
        <w:t>Biblical Theology Bulletin</w:t>
      </w:r>
      <w:r w:rsidR="00540E93" w:rsidRPr="001005B7">
        <w:rPr>
          <w:color w:val="auto"/>
          <w:lang w:val="en-US"/>
        </w:rPr>
        <w:t xml:space="preserve"> </w:t>
      </w:r>
      <w:r w:rsidR="008E4FE2" w:rsidRPr="001005B7">
        <w:rPr>
          <w:color w:val="auto"/>
          <w:lang w:val="en-US"/>
        </w:rPr>
        <w:t>43 (2021): 1</w:t>
      </w:r>
      <w:r w:rsidR="00F46900" w:rsidRPr="001005B7">
        <w:rPr>
          <w:color w:val="auto"/>
          <w:lang w:val="en-US"/>
        </w:rPr>
        <w:t>–</w:t>
      </w:r>
      <w:r w:rsidR="008E4FE2" w:rsidRPr="001005B7">
        <w:rPr>
          <w:color w:val="auto"/>
          <w:lang w:val="en-US"/>
        </w:rPr>
        <w:t xml:space="preserve">21. </w:t>
      </w:r>
    </w:p>
    <w:p w14:paraId="422AF6DC" w14:textId="565835C9" w:rsidR="00932CCD" w:rsidRPr="001005B7" w:rsidRDefault="00427E18" w:rsidP="006F5BB0">
      <w:pPr>
        <w:pStyle w:val="ListParagraph"/>
        <w:rPr>
          <w:color w:val="auto"/>
          <w:lang w:val="en-US"/>
        </w:rPr>
      </w:pPr>
      <w:r w:rsidRPr="001005B7">
        <w:rPr>
          <w:i/>
          <w:iCs/>
          <w:color w:val="auto"/>
          <w:lang w:val="en-US"/>
        </w:rPr>
        <w:t xml:space="preserve">––– </w:t>
      </w:r>
      <w:r w:rsidR="00932CCD" w:rsidRPr="001005B7">
        <w:rPr>
          <w:color w:val="auto"/>
          <w:lang w:val="en-US"/>
        </w:rPr>
        <w:t xml:space="preserve">“Persuasion </w:t>
      </w:r>
      <w:r w:rsidR="001E4BA7" w:rsidRPr="001005B7">
        <w:rPr>
          <w:color w:val="auto"/>
          <w:lang w:val="en-US"/>
        </w:rPr>
        <w:t>and Allusion The Rhetoric of Text-Referencing in Ezekie</w:t>
      </w:r>
      <w:r w:rsidR="00506364" w:rsidRPr="001005B7">
        <w:rPr>
          <w:color w:val="auto"/>
          <w:lang w:val="en-US"/>
        </w:rPr>
        <w:t>l.”</w:t>
      </w:r>
      <w:r w:rsidR="00A971B6" w:rsidRPr="001005B7">
        <w:rPr>
          <w:color w:val="auto"/>
          <w:lang w:val="en-US"/>
        </w:rPr>
        <w:t xml:space="preserve"> In </w:t>
      </w:r>
      <w:r w:rsidR="00A971B6" w:rsidRPr="001005B7">
        <w:rPr>
          <w:color w:val="auto"/>
          <w:shd w:val="clear" w:color="auto" w:fill="FFFFFF"/>
          <w:lang w:val="en-US"/>
        </w:rPr>
        <w:t>R</w:t>
      </w:r>
      <w:r w:rsidR="00815847" w:rsidRPr="001005B7">
        <w:rPr>
          <w:color w:val="auto"/>
          <w:shd w:val="clear" w:color="auto" w:fill="FFFFFF"/>
          <w:lang w:val="en-US"/>
        </w:rPr>
        <w:t>obert</w:t>
      </w:r>
      <w:r w:rsidR="00A971B6" w:rsidRPr="001005B7">
        <w:rPr>
          <w:color w:val="auto"/>
          <w:shd w:val="clear" w:color="auto" w:fill="FFFFFF"/>
          <w:lang w:val="en-US"/>
        </w:rPr>
        <w:t xml:space="preserve"> L</w:t>
      </w:r>
      <w:r w:rsidR="004775D1" w:rsidRPr="001005B7">
        <w:rPr>
          <w:color w:val="auto"/>
          <w:shd w:val="clear" w:color="auto" w:fill="FFFFFF"/>
          <w:lang w:val="en-US"/>
        </w:rPr>
        <w:t>.</w:t>
      </w:r>
      <w:r w:rsidR="00A971B6" w:rsidRPr="001005B7">
        <w:rPr>
          <w:color w:val="auto"/>
          <w:shd w:val="clear" w:color="auto" w:fill="FFFFFF"/>
          <w:lang w:val="en-US"/>
        </w:rPr>
        <w:t xml:space="preserve"> Cole </w:t>
      </w:r>
      <w:r w:rsidR="004775D1" w:rsidRPr="001005B7">
        <w:rPr>
          <w:color w:val="auto"/>
          <w:shd w:val="clear" w:color="auto" w:fill="FFFFFF"/>
          <w:lang w:val="en-US"/>
        </w:rPr>
        <w:t>and</w:t>
      </w:r>
      <w:r w:rsidR="00A971B6" w:rsidRPr="001005B7">
        <w:rPr>
          <w:color w:val="auto"/>
          <w:shd w:val="clear" w:color="auto" w:fill="FFFFFF"/>
          <w:lang w:val="en-US"/>
        </w:rPr>
        <w:t xml:space="preserve"> P</w:t>
      </w:r>
      <w:r w:rsidR="004775D1" w:rsidRPr="001005B7">
        <w:rPr>
          <w:color w:val="auto"/>
          <w:shd w:val="clear" w:color="auto" w:fill="FFFFFF"/>
          <w:lang w:val="en-US"/>
        </w:rPr>
        <w:t>aul</w:t>
      </w:r>
      <w:r w:rsidR="00A971B6" w:rsidRPr="001005B7">
        <w:rPr>
          <w:color w:val="auto"/>
          <w:shd w:val="clear" w:color="auto" w:fill="FFFFFF"/>
          <w:lang w:val="en-US"/>
        </w:rPr>
        <w:t xml:space="preserve"> J</w:t>
      </w:r>
      <w:r w:rsidR="004775D1" w:rsidRPr="001005B7">
        <w:rPr>
          <w:color w:val="auto"/>
          <w:shd w:val="clear" w:color="auto" w:fill="FFFFFF"/>
          <w:lang w:val="en-US"/>
        </w:rPr>
        <w:t>.</w:t>
      </w:r>
      <w:r w:rsidR="00A971B6" w:rsidRPr="001005B7">
        <w:rPr>
          <w:color w:val="auto"/>
          <w:shd w:val="clear" w:color="auto" w:fill="FFFFFF"/>
          <w:lang w:val="en-US"/>
        </w:rPr>
        <w:t xml:space="preserve"> Kissling</w:t>
      </w:r>
      <w:r w:rsidR="004775D1" w:rsidRPr="001005B7">
        <w:rPr>
          <w:color w:val="auto"/>
          <w:shd w:val="clear" w:color="auto" w:fill="FFFFFF"/>
          <w:lang w:val="en-US"/>
        </w:rPr>
        <w:t>,</w:t>
      </w:r>
      <w:r w:rsidR="00A971B6" w:rsidRPr="001005B7">
        <w:rPr>
          <w:color w:val="auto"/>
          <w:shd w:val="clear" w:color="auto" w:fill="FFFFFF"/>
          <w:lang w:val="en-US"/>
        </w:rPr>
        <w:t xml:space="preserve"> ed</w:t>
      </w:r>
      <w:r w:rsidR="004775D1" w:rsidRPr="001005B7">
        <w:rPr>
          <w:color w:val="auto"/>
          <w:shd w:val="clear" w:color="auto" w:fill="FFFFFF"/>
          <w:lang w:val="en-US"/>
        </w:rPr>
        <w:t>.</w:t>
      </w:r>
      <w:r w:rsidR="00A971B6" w:rsidRPr="001005B7">
        <w:rPr>
          <w:color w:val="auto"/>
          <w:shd w:val="clear" w:color="auto" w:fill="FFFFFF"/>
          <w:lang w:val="en-US"/>
        </w:rPr>
        <w:t xml:space="preserve">, </w:t>
      </w:r>
      <w:r w:rsidR="00A971B6" w:rsidRPr="001005B7">
        <w:rPr>
          <w:i/>
          <w:iCs/>
          <w:color w:val="auto"/>
          <w:shd w:val="clear" w:color="auto" w:fill="FFFFFF"/>
          <w:lang w:val="en-US"/>
        </w:rPr>
        <w:t xml:space="preserve">Text and Canon: Essays in Honor of John H. </w:t>
      </w:r>
      <w:proofErr w:type="spellStart"/>
      <w:r w:rsidR="00A971B6" w:rsidRPr="001005B7">
        <w:rPr>
          <w:i/>
          <w:iCs/>
          <w:color w:val="auto"/>
          <w:shd w:val="clear" w:color="auto" w:fill="FFFFFF"/>
          <w:lang w:val="en-US"/>
        </w:rPr>
        <w:t>Sailhamer</w:t>
      </w:r>
      <w:proofErr w:type="spellEnd"/>
      <w:r w:rsidR="004775D1" w:rsidRPr="001005B7">
        <w:rPr>
          <w:color w:val="auto"/>
          <w:shd w:val="clear" w:color="auto" w:fill="FFFFFF"/>
          <w:lang w:val="en-US"/>
        </w:rPr>
        <w:t>, 76</w:t>
      </w:r>
      <w:r w:rsidR="00F46900" w:rsidRPr="001005B7">
        <w:rPr>
          <w:color w:val="auto"/>
          <w:shd w:val="clear" w:color="auto" w:fill="FFFFFF"/>
          <w:lang w:val="en-US"/>
        </w:rPr>
        <w:t>–</w:t>
      </w:r>
      <w:r w:rsidR="004775D1" w:rsidRPr="001005B7">
        <w:rPr>
          <w:color w:val="auto"/>
          <w:shd w:val="clear" w:color="auto" w:fill="FFFFFF"/>
          <w:lang w:val="en-US"/>
        </w:rPr>
        <w:t>89.</w:t>
      </w:r>
      <w:r w:rsidR="00A971B6" w:rsidRPr="001005B7">
        <w:rPr>
          <w:color w:val="auto"/>
          <w:shd w:val="clear" w:color="auto" w:fill="FFFFFF"/>
          <w:lang w:val="en-US"/>
        </w:rPr>
        <w:t xml:space="preserve">. </w:t>
      </w:r>
      <w:r w:rsidR="00B37A36" w:rsidRPr="001005B7">
        <w:rPr>
          <w:color w:val="auto"/>
          <w:shd w:val="clear" w:color="auto" w:fill="FFFFFF"/>
          <w:lang w:val="en-US"/>
        </w:rPr>
        <w:t xml:space="preserve">Eugene, OR: </w:t>
      </w:r>
      <w:r w:rsidR="00A971B6" w:rsidRPr="001005B7">
        <w:rPr>
          <w:color w:val="auto"/>
          <w:shd w:val="clear" w:color="auto" w:fill="FFFFFF"/>
          <w:lang w:val="en-US"/>
        </w:rPr>
        <w:t>Pickwick</w:t>
      </w:r>
      <w:r w:rsidR="00B37A36" w:rsidRPr="001005B7">
        <w:rPr>
          <w:color w:val="auto"/>
          <w:shd w:val="clear" w:color="auto" w:fill="FFFFFF"/>
          <w:lang w:val="en-US"/>
        </w:rPr>
        <w:t>, 2017.</w:t>
      </w:r>
    </w:p>
    <w:p w14:paraId="79636241" w14:textId="50F3B379" w:rsidR="00D75557" w:rsidRPr="001005B7" w:rsidRDefault="00427E18" w:rsidP="006F5BB0">
      <w:pPr>
        <w:pStyle w:val="ListParagraph"/>
        <w:rPr>
          <w:color w:val="auto"/>
          <w:lang w:val="en-US"/>
        </w:rPr>
      </w:pPr>
      <w:r w:rsidRPr="001005B7">
        <w:rPr>
          <w:i/>
          <w:iCs/>
          <w:color w:val="auto"/>
          <w:lang w:val="en-US"/>
        </w:rPr>
        <w:t xml:space="preserve">––– </w:t>
      </w:r>
      <w:r w:rsidR="00D75557" w:rsidRPr="001005B7">
        <w:rPr>
          <w:color w:val="auto"/>
          <w:lang w:val="en-US"/>
        </w:rPr>
        <w:t>“Transformation of Law</w:t>
      </w:r>
      <w:r w:rsidR="00FB62BD" w:rsidRPr="001005B7">
        <w:rPr>
          <w:color w:val="auto"/>
          <w:lang w:val="en-US"/>
        </w:rPr>
        <w:t>: Ezekiel’s Use of the Holiness Code (Leviticus 17–26).”</w:t>
      </w:r>
      <w:r w:rsidR="00AB799A" w:rsidRPr="001005B7">
        <w:rPr>
          <w:color w:val="auto"/>
          <w:lang w:val="en-US"/>
        </w:rPr>
        <w:t xml:space="preserve"> In</w:t>
      </w:r>
      <w:r w:rsidR="00610CF3" w:rsidRPr="001005B7">
        <w:rPr>
          <w:color w:val="auto"/>
          <w:lang w:val="en-US"/>
        </w:rPr>
        <w:t xml:space="preserve"> </w:t>
      </w:r>
      <w:proofErr w:type="spellStart"/>
      <w:r w:rsidR="00610CF3" w:rsidRPr="001005B7">
        <w:rPr>
          <w:color w:val="auto"/>
          <w:lang w:val="en-US"/>
        </w:rPr>
        <w:t>Tooman</w:t>
      </w:r>
      <w:proofErr w:type="spellEnd"/>
      <w:r w:rsidR="00610CF3" w:rsidRPr="001005B7">
        <w:rPr>
          <w:color w:val="auto"/>
          <w:lang w:val="en-US"/>
        </w:rPr>
        <w:t xml:space="preserve"> and Lyons, </w:t>
      </w:r>
      <w:r w:rsidR="00610CF3" w:rsidRPr="001005B7">
        <w:rPr>
          <w:i/>
          <w:iCs/>
          <w:color w:val="auto"/>
          <w:lang w:val="en-US"/>
        </w:rPr>
        <w:t xml:space="preserve">Transformations </w:t>
      </w:r>
      <w:r w:rsidR="00610CF3" w:rsidRPr="001005B7">
        <w:rPr>
          <w:color w:val="auto"/>
          <w:lang w:val="en-US"/>
        </w:rPr>
        <w:t>[see below</w:t>
      </w:r>
      <w:r w:rsidR="00794593" w:rsidRPr="001005B7">
        <w:rPr>
          <w:color w:val="auto"/>
          <w:lang w:val="en-US"/>
        </w:rPr>
        <w:t>]</w:t>
      </w:r>
      <w:r w:rsidR="00AB799A" w:rsidRPr="001005B7">
        <w:rPr>
          <w:color w:val="auto"/>
          <w:lang w:val="en-US"/>
        </w:rPr>
        <w:t xml:space="preserve">, </w:t>
      </w:r>
      <w:r w:rsidR="004C35AF" w:rsidRPr="001005B7">
        <w:rPr>
          <w:color w:val="auto"/>
          <w:lang w:val="en-US"/>
        </w:rPr>
        <w:t>1</w:t>
      </w:r>
      <w:r w:rsidR="00F46900" w:rsidRPr="001005B7">
        <w:rPr>
          <w:color w:val="auto"/>
          <w:lang w:val="en-US"/>
        </w:rPr>
        <w:t>–</w:t>
      </w:r>
      <w:r w:rsidR="004C35AF" w:rsidRPr="001005B7">
        <w:rPr>
          <w:color w:val="auto"/>
          <w:lang w:val="en-US"/>
        </w:rPr>
        <w:t>32</w:t>
      </w:r>
      <w:r w:rsidR="00AB799A" w:rsidRPr="001005B7">
        <w:rPr>
          <w:color w:val="auto"/>
          <w:lang w:val="en-US"/>
        </w:rPr>
        <w:t>.</w:t>
      </w:r>
    </w:p>
    <w:p w14:paraId="6F806E56" w14:textId="0AB80F98" w:rsidR="00153A2B" w:rsidRPr="001005B7" w:rsidRDefault="00A70DCA" w:rsidP="006F5BB0">
      <w:pPr>
        <w:pStyle w:val="ListParagraph"/>
        <w:rPr>
          <w:color w:val="auto"/>
          <w:lang w:val="en-US"/>
        </w:rPr>
      </w:pPr>
      <w:r w:rsidRPr="001005B7">
        <w:rPr>
          <w:color w:val="auto"/>
          <w:lang w:val="en-US"/>
        </w:rPr>
        <w:t xml:space="preserve">Mackie, Timothy P. </w:t>
      </w:r>
      <w:r w:rsidR="00A52B09" w:rsidRPr="001005B7">
        <w:rPr>
          <w:i/>
          <w:color w:val="auto"/>
          <w:lang w:val="en-US"/>
        </w:rPr>
        <w:t xml:space="preserve">Expanding Ezekiel: The Hermeneutics of Scribal Addition in the Ancient Text Witnesses of the Book of Ezekiel. </w:t>
      </w:r>
      <w:r w:rsidR="001707AD" w:rsidRPr="001005B7">
        <w:rPr>
          <w:rStyle w:val="definition"/>
          <w:iCs/>
          <w:color w:val="auto"/>
          <w:lang w:val="en-US"/>
        </w:rPr>
        <w:t>F</w:t>
      </w:r>
      <w:r w:rsidR="00171880" w:rsidRPr="001005B7">
        <w:rPr>
          <w:rStyle w:val="definition"/>
          <w:iCs/>
          <w:color w:val="auto"/>
          <w:lang w:val="en-US"/>
        </w:rPr>
        <w:t>RLANT</w:t>
      </w:r>
      <w:r w:rsidR="00566981" w:rsidRPr="001005B7">
        <w:rPr>
          <w:color w:val="auto"/>
          <w:lang w:val="en-US"/>
        </w:rPr>
        <w:t xml:space="preserve"> 257.</w:t>
      </w:r>
      <w:r w:rsidR="00391440">
        <w:rPr>
          <w:color w:val="auto"/>
          <w:lang w:val="en-US"/>
        </w:rPr>
        <w:t xml:space="preserve"> </w:t>
      </w:r>
      <w:r w:rsidR="00CE5A96" w:rsidRPr="001005B7">
        <w:rPr>
          <w:color w:val="auto"/>
          <w:lang w:val="en-US"/>
        </w:rPr>
        <w:t xml:space="preserve">Göttingen: </w:t>
      </w:r>
      <w:proofErr w:type="spellStart"/>
      <w:r w:rsidR="00CE5A96" w:rsidRPr="001005B7">
        <w:rPr>
          <w:color w:val="auto"/>
          <w:lang w:val="en-US"/>
        </w:rPr>
        <w:t>Vandenhoeck</w:t>
      </w:r>
      <w:proofErr w:type="spellEnd"/>
      <w:r w:rsidR="000E091E">
        <w:rPr>
          <w:color w:val="auto"/>
          <w:lang w:val="en-US"/>
        </w:rPr>
        <w:t xml:space="preserve"> </w:t>
      </w:r>
      <w:r w:rsidR="000E091E">
        <w:t>&amp; Ruprecht</w:t>
      </w:r>
      <w:r w:rsidR="00CE5A96" w:rsidRPr="001005B7">
        <w:rPr>
          <w:color w:val="auto"/>
          <w:lang w:val="en-US"/>
        </w:rPr>
        <w:t xml:space="preserve">, </w:t>
      </w:r>
      <w:r w:rsidR="001F14F2" w:rsidRPr="001005B7">
        <w:rPr>
          <w:color w:val="auto"/>
          <w:lang w:val="en-US"/>
        </w:rPr>
        <w:t>2015.</w:t>
      </w:r>
    </w:p>
    <w:p w14:paraId="5B163272" w14:textId="14BD2E57" w:rsidR="007E5D1D" w:rsidRPr="001005B7" w:rsidRDefault="007E5D1D" w:rsidP="007E5D1D">
      <w:pPr>
        <w:spacing w:after="60" w:line="240" w:lineRule="auto"/>
        <w:ind w:left="567" w:hanging="567"/>
        <w:rPr>
          <w:rFonts w:ascii="Calibri" w:eastAsia="Times New Roman" w:hAnsi="Calibri" w:cs="Calibri"/>
          <w:lang w:eastAsia="en-GB"/>
        </w:rPr>
      </w:pPr>
      <w:proofErr w:type="spellStart"/>
      <w:r w:rsidRPr="001005B7">
        <w:rPr>
          <w:rFonts w:ascii="Calibri" w:eastAsia="Times New Roman" w:hAnsi="Calibri" w:cs="Calibri"/>
          <w:lang w:eastAsia="en-GB"/>
        </w:rPr>
        <w:t>Maierhofer</w:t>
      </w:r>
      <w:proofErr w:type="spellEnd"/>
      <w:r w:rsidRPr="001005B7">
        <w:rPr>
          <w:rFonts w:ascii="Calibri" w:eastAsia="Times New Roman" w:hAnsi="Calibri" w:cs="Calibri"/>
          <w:lang w:eastAsia="en-GB"/>
        </w:rPr>
        <w:t xml:space="preserve">, Veronika. </w:t>
      </w:r>
      <w:r w:rsidR="0001540C" w:rsidRPr="001005B7">
        <w:rPr>
          <w:rFonts w:ascii="Calibri" w:eastAsia="Times New Roman" w:hAnsi="Calibri" w:cs="Calibri"/>
          <w:lang w:eastAsia="en-GB"/>
        </w:rPr>
        <w:t>“‘H</w:t>
      </w:r>
      <w:r w:rsidRPr="001005B7">
        <w:rPr>
          <w:rFonts w:ascii="Calibri" w:eastAsia="Times New Roman" w:hAnsi="Calibri" w:cs="Calibri"/>
          <w:lang w:eastAsia="en-GB"/>
        </w:rPr>
        <w:t>olistic Interpretation</w:t>
      </w:r>
      <w:r w:rsidR="0001540C" w:rsidRPr="001005B7">
        <w:rPr>
          <w:rFonts w:ascii="Calibri" w:eastAsia="Times New Roman" w:hAnsi="Calibri" w:cs="Calibri"/>
          <w:lang w:eastAsia="en-GB"/>
        </w:rPr>
        <w:t>’</w:t>
      </w:r>
      <w:r w:rsidRPr="001005B7">
        <w:rPr>
          <w:rFonts w:ascii="Calibri" w:eastAsia="Times New Roman" w:hAnsi="Calibri" w:cs="Calibri"/>
          <w:lang w:eastAsia="en-GB"/>
        </w:rPr>
        <w:t xml:space="preserve"> </w:t>
      </w:r>
      <w:proofErr w:type="spellStart"/>
      <w:r w:rsidRPr="001005B7">
        <w:rPr>
          <w:rFonts w:ascii="Calibri" w:eastAsia="Times New Roman" w:hAnsi="Calibri" w:cs="Calibri"/>
          <w:lang w:eastAsia="en-GB"/>
        </w:rPr>
        <w:t>als</w:t>
      </w:r>
      <w:proofErr w:type="spellEnd"/>
      <w:r w:rsidRPr="001005B7">
        <w:rPr>
          <w:rFonts w:ascii="Calibri" w:eastAsia="Times New Roman" w:hAnsi="Calibri" w:cs="Calibri"/>
          <w:lang w:eastAsia="en-GB"/>
        </w:rPr>
        <w:t xml:space="preserve"> </w:t>
      </w:r>
      <w:proofErr w:type="spellStart"/>
      <w:r w:rsidRPr="001005B7">
        <w:rPr>
          <w:rFonts w:ascii="Calibri" w:eastAsia="Times New Roman" w:hAnsi="Calibri" w:cs="Calibri"/>
          <w:lang w:eastAsia="en-GB"/>
        </w:rPr>
        <w:t>Kommentierung</w:t>
      </w:r>
      <w:proofErr w:type="spellEnd"/>
      <w:r w:rsidRPr="001005B7">
        <w:rPr>
          <w:rFonts w:ascii="Calibri" w:eastAsia="Times New Roman" w:hAnsi="Calibri" w:cs="Calibri"/>
          <w:lang w:eastAsia="en-GB"/>
        </w:rPr>
        <w:t xml:space="preserve">? </w:t>
      </w:r>
      <w:proofErr w:type="spellStart"/>
      <w:r w:rsidRPr="001005B7">
        <w:rPr>
          <w:rFonts w:ascii="Calibri" w:eastAsia="Times New Roman" w:hAnsi="Calibri" w:cs="Calibri"/>
          <w:lang w:eastAsia="en-GB"/>
        </w:rPr>
        <w:t>Annäherung</w:t>
      </w:r>
      <w:proofErr w:type="spellEnd"/>
      <w:r w:rsidRPr="001005B7">
        <w:rPr>
          <w:rFonts w:ascii="Calibri" w:eastAsia="Times New Roman" w:hAnsi="Calibri" w:cs="Calibri"/>
          <w:lang w:eastAsia="en-GB"/>
        </w:rPr>
        <w:t xml:space="preserve"> an </w:t>
      </w:r>
      <w:proofErr w:type="spellStart"/>
      <w:r w:rsidRPr="001005B7">
        <w:rPr>
          <w:rFonts w:ascii="Calibri" w:eastAsia="Times New Roman" w:hAnsi="Calibri" w:cs="Calibri"/>
          <w:lang w:eastAsia="en-GB"/>
        </w:rPr>
        <w:t>eine</w:t>
      </w:r>
      <w:proofErr w:type="spellEnd"/>
      <w:r w:rsidRPr="001005B7">
        <w:rPr>
          <w:rFonts w:ascii="Calibri" w:eastAsia="Times New Roman" w:hAnsi="Calibri" w:cs="Calibri"/>
          <w:lang w:eastAsia="en-GB"/>
        </w:rPr>
        <w:t xml:space="preserve"> </w:t>
      </w:r>
      <w:proofErr w:type="spellStart"/>
      <w:r w:rsidRPr="001005B7">
        <w:rPr>
          <w:rFonts w:ascii="Calibri" w:eastAsia="Times New Roman" w:hAnsi="Calibri" w:cs="Calibri"/>
          <w:lang w:eastAsia="en-GB"/>
        </w:rPr>
        <w:t>jüdische</w:t>
      </w:r>
      <w:proofErr w:type="spellEnd"/>
      <w:r w:rsidRPr="001005B7">
        <w:rPr>
          <w:rFonts w:ascii="Calibri" w:eastAsia="Times New Roman" w:hAnsi="Calibri" w:cs="Calibri"/>
          <w:lang w:eastAsia="en-GB"/>
        </w:rPr>
        <w:t xml:space="preserve"> </w:t>
      </w:r>
      <w:proofErr w:type="spellStart"/>
      <w:r w:rsidRPr="001005B7">
        <w:rPr>
          <w:rFonts w:ascii="Calibri" w:eastAsia="Times New Roman" w:hAnsi="Calibri" w:cs="Calibri"/>
          <w:lang w:eastAsia="en-GB"/>
        </w:rPr>
        <w:t>Lesweise</w:t>
      </w:r>
      <w:proofErr w:type="spellEnd"/>
      <w:r w:rsidRPr="001005B7">
        <w:rPr>
          <w:rFonts w:ascii="Calibri" w:eastAsia="Times New Roman" w:hAnsi="Calibri" w:cs="Calibri"/>
          <w:lang w:eastAsia="en-GB"/>
        </w:rPr>
        <w:t xml:space="preserve"> des </w:t>
      </w:r>
      <w:proofErr w:type="spellStart"/>
      <w:r w:rsidRPr="001005B7">
        <w:rPr>
          <w:rFonts w:ascii="Calibri" w:eastAsia="Times New Roman" w:hAnsi="Calibri" w:cs="Calibri"/>
          <w:lang w:eastAsia="en-GB"/>
        </w:rPr>
        <w:t>Ezechielbuches</w:t>
      </w:r>
      <w:proofErr w:type="spellEnd"/>
      <w:r w:rsidR="0001540C" w:rsidRPr="001005B7">
        <w:rPr>
          <w:rFonts w:ascii="Calibri" w:eastAsia="Times New Roman" w:hAnsi="Calibri" w:cs="Calibri"/>
          <w:lang w:eastAsia="en-GB"/>
        </w:rPr>
        <w:t>.</w:t>
      </w:r>
      <w:r w:rsidRPr="001005B7">
        <w:rPr>
          <w:rFonts w:ascii="Calibri" w:eastAsia="Times New Roman" w:hAnsi="Calibri" w:cs="Calibri"/>
          <w:lang w:eastAsia="en-GB"/>
        </w:rPr>
        <w:t xml:space="preserve">" </w:t>
      </w:r>
      <w:r w:rsidR="0001540C" w:rsidRPr="001005B7">
        <w:rPr>
          <w:rFonts w:ascii="Calibri" w:eastAsia="Times New Roman" w:hAnsi="Calibri" w:cs="Calibri"/>
          <w:lang w:eastAsia="en-GB"/>
        </w:rPr>
        <w:t>I</w:t>
      </w:r>
      <w:r w:rsidRPr="001005B7">
        <w:rPr>
          <w:rFonts w:ascii="Calibri" w:eastAsia="Times New Roman" w:hAnsi="Calibri" w:cs="Calibri"/>
          <w:lang w:eastAsia="en-GB"/>
        </w:rPr>
        <w:t>n C</w:t>
      </w:r>
      <w:r w:rsidR="0001540C" w:rsidRPr="001005B7">
        <w:rPr>
          <w:rFonts w:ascii="Calibri" w:eastAsia="Times New Roman" w:hAnsi="Calibri" w:cs="Calibri"/>
          <w:lang w:eastAsia="en-GB"/>
        </w:rPr>
        <w:t>hristop</w:t>
      </w:r>
      <w:r w:rsidR="00CA773B" w:rsidRPr="001005B7">
        <w:rPr>
          <w:rFonts w:ascii="Calibri" w:eastAsia="Times New Roman" w:hAnsi="Calibri" w:cs="Calibri"/>
          <w:lang w:eastAsia="en-GB"/>
        </w:rPr>
        <w:t>h</w:t>
      </w:r>
      <w:r w:rsidRPr="001005B7">
        <w:rPr>
          <w:rFonts w:ascii="Calibri" w:eastAsia="Times New Roman" w:hAnsi="Calibri" w:cs="Calibri"/>
          <w:lang w:eastAsia="en-GB"/>
        </w:rPr>
        <w:t xml:space="preserve"> </w:t>
      </w:r>
      <w:proofErr w:type="spellStart"/>
      <w:r w:rsidRPr="001005B7">
        <w:rPr>
          <w:rFonts w:ascii="Calibri" w:eastAsia="Times New Roman" w:hAnsi="Calibri" w:cs="Calibri"/>
          <w:lang w:eastAsia="en-GB"/>
        </w:rPr>
        <w:t>Dohlmen</w:t>
      </w:r>
      <w:proofErr w:type="spellEnd"/>
      <w:r w:rsidR="00CA773B" w:rsidRPr="001005B7">
        <w:rPr>
          <w:rFonts w:ascii="Calibri" w:eastAsia="Times New Roman" w:hAnsi="Calibri" w:cs="Calibri"/>
          <w:lang w:eastAsia="en-GB"/>
        </w:rPr>
        <w:t xml:space="preserve">, </w:t>
      </w:r>
      <w:r w:rsidRPr="001005B7">
        <w:rPr>
          <w:rFonts w:ascii="Calibri" w:eastAsia="Times New Roman" w:hAnsi="Calibri" w:cs="Calibri"/>
          <w:lang w:eastAsia="en-GB"/>
        </w:rPr>
        <w:t>ed., </w:t>
      </w:r>
      <w:r w:rsidRPr="001005B7">
        <w:rPr>
          <w:rFonts w:ascii="Calibri" w:eastAsia="Times New Roman" w:hAnsi="Calibri" w:cs="Calibri"/>
          <w:i/>
          <w:iCs/>
          <w:lang w:eastAsia="en-GB"/>
        </w:rPr>
        <w:t xml:space="preserve">Das Alte Testament und seine </w:t>
      </w:r>
      <w:proofErr w:type="spellStart"/>
      <w:r w:rsidRPr="001005B7">
        <w:rPr>
          <w:rFonts w:ascii="Calibri" w:eastAsia="Times New Roman" w:hAnsi="Calibri" w:cs="Calibri"/>
          <w:i/>
          <w:iCs/>
          <w:lang w:eastAsia="en-GB"/>
        </w:rPr>
        <w:t>Kommentare</w:t>
      </w:r>
      <w:proofErr w:type="spellEnd"/>
      <w:r w:rsidRPr="001005B7">
        <w:rPr>
          <w:rFonts w:ascii="Calibri" w:eastAsia="Times New Roman" w:hAnsi="Calibri" w:cs="Calibri"/>
          <w:i/>
          <w:iCs/>
          <w:lang w:eastAsia="en-GB"/>
        </w:rPr>
        <w:t xml:space="preserve">: </w:t>
      </w:r>
      <w:proofErr w:type="spellStart"/>
      <w:r w:rsidRPr="001005B7">
        <w:rPr>
          <w:rFonts w:ascii="Calibri" w:eastAsia="Times New Roman" w:hAnsi="Calibri" w:cs="Calibri"/>
          <w:i/>
          <w:iCs/>
          <w:lang w:eastAsia="en-GB"/>
        </w:rPr>
        <w:t>literarische</w:t>
      </w:r>
      <w:proofErr w:type="spellEnd"/>
      <w:r w:rsidRPr="001005B7">
        <w:rPr>
          <w:rFonts w:ascii="Calibri" w:eastAsia="Times New Roman" w:hAnsi="Calibri" w:cs="Calibri"/>
          <w:i/>
          <w:iCs/>
          <w:lang w:eastAsia="en-GB"/>
        </w:rPr>
        <w:t xml:space="preserve"> und </w:t>
      </w:r>
      <w:proofErr w:type="spellStart"/>
      <w:r w:rsidRPr="001005B7">
        <w:rPr>
          <w:rFonts w:ascii="Calibri" w:eastAsia="Times New Roman" w:hAnsi="Calibri" w:cs="Calibri"/>
          <w:i/>
          <w:iCs/>
          <w:lang w:eastAsia="en-GB"/>
        </w:rPr>
        <w:t>hermeneutische</w:t>
      </w:r>
      <w:proofErr w:type="spellEnd"/>
      <w:r w:rsidRPr="001005B7">
        <w:rPr>
          <w:rFonts w:ascii="Calibri" w:eastAsia="Times New Roman" w:hAnsi="Calibri" w:cs="Calibri"/>
          <w:i/>
          <w:iCs/>
          <w:lang w:eastAsia="en-GB"/>
        </w:rPr>
        <w:t xml:space="preserve"> </w:t>
      </w:r>
      <w:proofErr w:type="spellStart"/>
      <w:r w:rsidRPr="001005B7">
        <w:rPr>
          <w:rFonts w:ascii="Calibri" w:eastAsia="Times New Roman" w:hAnsi="Calibri" w:cs="Calibri"/>
          <w:i/>
          <w:iCs/>
          <w:lang w:eastAsia="en-GB"/>
        </w:rPr>
        <w:t>Orientierungen</w:t>
      </w:r>
      <w:proofErr w:type="spellEnd"/>
      <w:r w:rsidR="00CA773B" w:rsidRPr="001005B7">
        <w:rPr>
          <w:rFonts w:ascii="Calibri" w:eastAsia="Times New Roman" w:hAnsi="Calibri" w:cs="Calibri"/>
          <w:lang w:eastAsia="en-GB"/>
        </w:rPr>
        <w:t>, 365</w:t>
      </w:r>
      <w:r w:rsidR="00F46900" w:rsidRPr="001005B7">
        <w:rPr>
          <w:rFonts w:ascii="Calibri" w:eastAsia="Times New Roman" w:hAnsi="Calibri" w:cs="Calibri"/>
          <w:lang w:eastAsia="en-GB"/>
        </w:rPr>
        <w:t>–</w:t>
      </w:r>
      <w:r w:rsidR="00CA773B" w:rsidRPr="001005B7">
        <w:rPr>
          <w:rFonts w:ascii="Calibri" w:eastAsia="Times New Roman" w:hAnsi="Calibri" w:cs="Calibri"/>
          <w:lang w:eastAsia="en-GB"/>
        </w:rPr>
        <w:t>80.</w:t>
      </w:r>
      <w:r w:rsidRPr="001005B7">
        <w:rPr>
          <w:rFonts w:ascii="Calibri" w:eastAsia="Times New Roman" w:hAnsi="Calibri" w:cs="Calibri"/>
          <w:lang w:eastAsia="en-GB"/>
        </w:rPr>
        <w:t> Stuttgart: KBW, 2021.</w:t>
      </w:r>
    </w:p>
    <w:p w14:paraId="20134639" w14:textId="15C4E9BB" w:rsidR="006A2263" w:rsidRPr="001005B7" w:rsidRDefault="006A2263" w:rsidP="006F5BB0">
      <w:pPr>
        <w:pStyle w:val="ListParagraph"/>
        <w:rPr>
          <w:color w:val="auto"/>
          <w:lang w:val="en-US"/>
        </w:rPr>
      </w:pPr>
      <w:r w:rsidRPr="001005B7">
        <w:rPr>
          <w:color w:val="auto"/>
          <w:lang w:val="en-US"/>
        </w:rPr>
        <w:t>Manning</w:t>
      </w:r>
      <w:r w:rsidR="008A3736" w:rsidRPr="001005B7">
        <w:rPr>
          <w:color w:val="auto"/>
          <w:lang w:val="en-US"/>
        </w:rPr>
        <w:t>, Gary</w:t>
      </w:r>
      <w:r w:rsidRPr="001005B7">
        <w:rPr>
          <w:color w:val="auto"/>
          <w:lang w:val="en-US"/>
        </w:rPr>
        <w:t xml:space="preserve"> </w:t>
      </w:r>
      <w:r w:rsidR="008A3736" w:rsidRPr="001005B7">
        <w:rPr>
          <w:color w:val="auto"/>
          <w:lang w:val="en-US"/>
        </w:rPr>
        <w:t>T</w:t>
      </w:r>
      <w:r w:rsidR="006B663F" w:rsidRPr="001005B7">
        <w:rPr>
          <w:color w:val="auto"/>
          <w:lang w:val="en-US"/>
        </w:rPr>
        <w:t>.</w:t>
      </w:r>
      <w:r w:rsidRPr="001005B7">
        <w:rPr>
          <w:color w:val="auto"/>
          <w:lang w:val="en-US"/>
        </w:rPr>
        <w:t xml:space="preserve"> </w:t>
      </w:r>
      <w:r w:rsidRPr="001005B7">
        <w:rPr>
          <w:i/>
          <w:iCs/>
          <w:color w:val="auto"/>
          <w:lang w:val="en-US"/>
        </w:rPr>
        <w:t>Echoes of a Prophet The Use of Ezekiel in the Gospel of John and in Literature of the Second Temple Period</w:t>
      </w:r>
      <w:r w:rsidR="006B663F" w:rsidRPr="001005B7">
        <w:rPr>
          <w:color w:val="auto"/>
          <w:lang w:val="en-US"/>
        </w:rPr>
        <w:t xml:space="preserve">. </w:t>
      </w:r>
      <w:proofErr w:type="spellStart"/>
      <w:r w:rsidR="005F3E1C" w:rsidRPr="001005B7">
        <w:rPr>
          <w:color w:val="auto"/>
          <w:lang w:val="en-US"/>
        </w:rPr>
        <w:t>JSNTSup</w:t>
      </w:r>
      <w:proofErr w:type="spellEnd"/>
      <w:r w:rsidR="005F3E1C" w:rsidRPr="001005B7">
        <w:rPr>
          <w:color w:val="auto"/>
          <w:lang w:val="en-US"/>
        </w:rPr>
        <w:t xml:space="preserve"> </w:t>
      </w:r>
      <w:r w:rsidR="00747F1B" w:rsidRPr="001005B7">
        <w:rPr>
          <w:color w:val="auto"/>
          <w:lang w:val="en-US"/>
        </w:rPr>
        <w:t xml:space="preserve">270. London: T&amp;T Clark, </w:t>
      </w:r>
      <w:r w:rsidR="005D144D" w:rsidRPr="001005B7">
        <w:rPr>
          <w:color w:val="auto"/>
          <w:lang w:val="en-US"/>
        </w:rPr>
        <w:t>2004.</w:t>
      </w:r>
    </w:p>
    <w:p w14:paraId="12FDBF0F" w14:textId="09758FA2" w:rsidR="001E4BA7" w:rsidRPr="001005B7" w:rsidRDefault="001E4BA7" w:rsidP="006F5BB0">
      <w:pPr>
        <w:pStyle w:val="ListParagraph"/>
        <w:rPr>
          <w:color w:val="auto"/>
          <w:lang w:val="en-US"/>
        </w:rPr>
      </w:pPr>
      <w:r w:rsidRPr="001005B7">
        <w:rPr>
          <w:color w:val="auto"/>
          <w:lang w:val="en-US"/>
        </w:rPr>
        <w:t xml:space="preserve">Martens, Elmer. “Ezekiel's Contribution to a Biblical Theology of Mission.” In Stephan </w:t>
      </w:r>
      <w:proofErr w:type="spellStart"/>
      <w:r w:rsidRPr="001005B7">
        <w:rPr>
          <w:color w:val="auto"/>
          <w:lang w:val="en-US"/>
        </w:rPr>
        <w:t>Holthaus</w:t>
      </w:r>
      <w:proofErr w:type="spellEnd"/>
      <w:r w:rsidRPr="001005B7">
        <w:rPr>
          <w:color w:val="auto"/>
          <w:lang w:val="en-US"/>
        </w:rPr>
        <w:t xml:space="preserve"> and Klaus W. Mueller, ed., </w:t>
      </w:r>
      <w:r w:rsidRPr="001005B7">
        <w:rPr>
          <w:i/>
          <w:iCs/>
          <w:color w:val="auto"/>
          <w:lang w:val="en-US"/>
        </w:rPr>
        <w:t xml:space="preserve">Die Mission der </w:t>
      </w:r>
      <w:proofErr w:type="spellStart"/>
      <w:r w:rsidRPr="001005B7">
        <w:rPr>
          <w:i/>
          <w:iCs/>
          <w:color w:val="auto"/>
          <w:lang w:val="en-US"/>
        </w:rPr>
        <w:t>Theologie</w:t>
      </w:r>
      <w:proofErr w:type="spellEnd"/>
      <w:r w:rsidRPr="001005B7">
        <w:rPr>
          <w:i/>
          <w:iCs/>
          <w:color w:val="auto"/>
          <w:lang w:val="en-US"/>
        </w:rPr>
        <w:t xml:space="preserve">: Festschrift fur Hans </w:t>
      </w:r>
      <w:proofErr w:type="spellStart"/>
      <w:r w:rsidRPr="001005B7">
        <w:rPr>
          <w:i/>
          <w:iCs/>
          <w:color w:val="auto"/>
          <w:lang w:val="en-US"/>
        </w:rPr>
        <w:t>Kasdorf</w:t>
      </w:r>
      <w:proofErr w:type="spellEnd"/>
      <w:r w:rsidRPr="001005B7">
        <w:rPr>
          <w:i/>
          <w:iCs/>
          <w:color w:val="auto"/>
          <w:lang w:val="en-US"/>
        </w:rPr>
        <w:t xml:space="preserve"> </w:t>
      </w:r>
      <w:proofErr w:type="spellStart"/>
      <w:r w:rsidRPr="001005B7">
        <w:rPr>
          <w:i/>
          <w:iCs/>
          <w:color w:val="auto"/>
          <w:lang w:val="en-US"/>
        </w:rPr>
        <w:t>zum</w:t>
      </w:r>
      <w:proofErr w:type="spellEnd"/>
      <w:r w:rsidRPr="001005B7">
        <w:rPr>
          <w:i/>
          <w:iCs/>
          <w:color w:val="auto"/>
          <w:lang w:val="en-US"/>
        </w:rPr>
        <w:t xml:space="preserve"> 70. </w:t>
      </w:r>
      <w:proofErr w:type="spellStart"/>
      <w:r w:rsidRPr="001005B7">
        <w:rPr>
          <w:i/>
          <w:iCs/>
          <w:color w:val="auto"/>
          <w:lang w:val="en-US"/>
        </w:rPr>
        <w:t>Geburtstag</w:t>
      </w:r>
      <w:proofErr w:type="spellEnd"/>
      <w:r w:rsidRPr="001005B7">
        <w:rPr>
          <w:color w:val="auto"/>
          <w:lang w:val="en-US"/>
        </w:rPr>
        <w:t>, 46</w:t>
      </w:r>
      <w:r w:rsidR="00F46900" w:rsidRPr="001005B7">
        <w:rPr>
          <w:color w:val="auto"/>
          <w:lang w:val="en-US"/>
        </w:rPr>
        <w:t>–</w:t>
      </w:r>
      <w:r w:rsidRPr="001005B7">
        <w:rPr>
          <w:color w:val="auto"/>
          <w:lang w:val="en-US"/>
        </w:rPr>
        <w:t xml:space="preserve">57. Bonn: Verlag für Kultur und </w:t>
      </w:r>
      <w:proofErr w:type="spellStart"/>
      <w:r w:rsidRPr="001005B7">
        <w:rPr>
          <w:color w:val="auto"/>
          <w:lang w:val="en-US"/>
        </w:rPr>
        <w:t>Wissenschaft</w:t>
      </w:r>
      <w:proofErr w:type="spellEnd"/>
      <w:r w:rsidRPr="001005B7">
        <w:rPr>
          <w:color w:val="auto"/>
          <w:lang w:val="en-US"/>
        </w:rPr>
        <w:t>, 1998.</w:t>
      </w:r>
    </w:p>
    <w:p w14:paraId="4BC92D9E" w14:textId="633AC672" w:rsidR="00D96A75" w:rsidRPr="001005B7" w:rsidRDefault="00877CF2" w:rsidP="006F5BB0">
      <w:pPr>
        <w:pStyle w:val="ListParagraph"/>
        <w:rPr>
          <w:color w:val="auto"/>
          <w:lang w:val="en-US"/>
        </w:rPr>
      </w:pPr>
      <w:r w:rsidRPr="001005B7">
        <w:rPr>
          <w:color w:val="auto"/>
          <w:shd w:val="clear" w:color="auto" w:fill="FFFFFF"/>
          <w:lang w:val="en-US"/>
        </w:rPr>
        <w:t>Mayfield, Tyler D.. </w:t>
      </w:r>
      <w:r w:rsidRPr="001005B7">
        <w:rPr>
          <w:i/>
          <w:iCs/>
          <w:color w:val="auto"/>
          <w:lang w:val="en-US"/>
        </w:rPr>
        <w:t>Literary Structure and Setting in Ezekiel</w:t>
      </w:r>
      <w:r w:rsidRPr="001005B7">
        <w:rPr>
          <w:color w:val="auto"/>
          <w:shd w:val="clear" w:color="auto" w:fill="FFFFFF"/>
          <w:lang w:val="en-US"/>
        </w:rPr>
        <w:t>. FAT 2.43. T</w:t>
      </w:r>
      <w:r w:rsidRPr="001005B7">
        <w:rPr>
          <w:color w:val="auto"/>
          <w:lang w:val="en-US"/>
        </w:rPr>
        <w:t xml:space="preserve">übingen: Mohr </w:t>
      </w:r>
      <w:proofErr w:type="spellStart"/>
      <w:r w:rsidRPr="001005B7">
        <w:rPr>
          <w:color w:val="auto"/>
          <w:lang w:val="en-US"/>
        </w:rPr>
        <w:t>Siebeck</w:t>
      </w:r>
      <w:proofErr w:type="spellEnd"/>
      <w:r w:rsidRPr="001005B7">
        <w:rPr>
          <w:color w:val="auto"/>
          <w:lang w:val="en-US"/>
        </w:rPr>
        <w:t>, 2010</w:t>
      </w:r>
      <w:r w:rsidR="007C451E" w:rsidRPr="001005B7">
        <w:rPr>
          <w:color w:val="auto"/>
          <w:lang w:val="en-US"/>
        </w:rPr>
        <w:t>.</w:t>
      </w:r>
    </w:p>
    <w:p w14:paraId="55A1CE3B" w14:textId="79EAD028" w:rsidR="00A4625D" w:rsidRPr="001005B7" w:rsidRDefault="00BC3018" w:rsidP="006F5BB0">
      <w:pPr>
        <w:pStyle w:val="ListParagraph"/>
        <w:rPr>
          <w:color w:val="auto"/>
          <w:lang w:val="en-US"/>
        </w:rPr>
      </w:pPr>
      <w:r w:rsidRPr="001005B7">
        <w:rPr>
          <w:rFonts w:asciiTheme="minorHAnsi" w:hAnsiTheme="minorHAnsi" w:cstheme="minorHAnsi"/>
          <w:color w:val="auto"/>
          <w:shd w:val="clear" w:color="auto" w:fill="FFFFFF"/>
          <w:lang w:val="en-US"/>
        </w:rPr>
        <w:t>Mein, Andrew</w:t>
      </w:r>
      <w:r w:rsidRPr="001005B7">
        <w:rPr>
          <w:color w:val="auto"/>
          <w:lang w:val="en-US"/>
        </w:rPr>
        <w:t xml:space="preserve">. </w:t>
      </w:r>
      <w:r w:rsidR="00A4625D" w:rsidRPr="001005B7">
        <w:rPr>
          <w:i/>
          <w:iCs/>
          <w:color w:val="auto"/>
          <w:lang w:val="en-US"/>
        </w:rPr>
        <w:t>Ezekiel and the Ethics of Exile</w:t>
      </w:r>
      <w:r w:rsidR="00A4625D" w:rsidRPr="001005B7">
        <w:rPr>
          <w:color w:val="auto"/>
          <w:lang w:val="en-US"/>
        </w:rPr>
        <w:t>.</w:t>
      </w:r>
      <w:r w:rsidR="00A4625D" w:rsidRPr="001005B7">
        <w:rPr>
          <w:i/>
          <w:iCs/>
          <w:color w:val="auto"/>
          <w:lang w:val="en-US"/>
        </w:rPr>
        <w:t xml:space="preserve"> </w:t>
      </w:r>
      <w:r w:rsidR="00A4625D" w:rsidRPr="001005B7">
        <w:rPr>
          <w:color w:val="auto"/>
          <w:lang w:val="en-US"/>
        </w:rPr>
        <w:t>Oxford: Oxford University Press, 2001.</w:t>
      </w:r>
    </w:p>
    <w:p w14:paraId="2F254CEE" w14:textId="145A451B" w:rsidR="00F60E9B" w:rsidRPr="001005B7" w:rsidRDefault="00886DA4" w:rsidP="00F60E9B">
      <w:pPr>
        <w:spacing w:after="60" w:line="240" w:lineRule="auto"/>
        <w:ind w:left="567" w:hanging="567"/>
        <w:rPr>
          <w:rFonts w:ascii="Calibri" w:eastAsia="Times New Roman" w:hAnsi="Calibri" w:cs="Calibri"/>
          <w:lang w:eastAsia="en-GB"/>
        </w:rPr>
      </w:pPr>
      <w:r w:rsidRPr="001005B7">
        <w:rPr>
          <w:i/>
          <w:iCs/>
        </w:rPr>
        <w:t xml:space="preserve">––– </w:t>
      </w:r>
      <w:r w:rsidR="00F60E9B" w:rsidRPr="001005B7">
        <w:rPr>
          <w:rFonts w:ascii="Calibri" w:eastAsia="Times New Roman" w:hAnsi="Calibri" w:cs="Calibri"/>
          <w:lang w:eastAsia="en-GB"/>
        </w:rPr>
        <w:t>"Ezekiel as a Priest in Exile." In Johannes C. de Moor, ed., </w:t>
      </w:r>
      <w:r w:rsidR="00F60E9B" w:rsidRPr="001005B7">
        <w:rPr>
          <w:rFonts w:ascii="Calibri" w:eastAsia="Times New Roman" w:hAnsi="Calibri" w:cs="Calibri"/>
          <w:i/>
          <w:iCs/>
          <w:lang w:eastAsia="en-GB"/>
        </w:rPr>
        <w:t>The Elusive Prophet: The Prophet as a Historical Person, Literary Character and Anonymous Artist</w:t>
      </w:r>
      <w:r w:rsidR="00F60E9B" w:rsidRPr="001005B7">
        <w:rPr>
          <w:rFonts w:ascii="Calibri" w:eastAsia="Times New Roman" w:hAnsi="Calibri" w:cs="Calibri"/>
          <w:lang w:eastAsia="en-GB"/>
        </w:rPr>
        <w:t>, 199</w:t>
      </w:r>
      <w:r w:rsidR="00F440C0">
        <w:rPr>
          <w:rFonts w:ascii="Calibri" w:eastAsia="Times New Roman" w:hAnsi="Calibri" w:cs="Calibri"/>
          <w:lang w:eastAsia="en-GB"/>
        </w:rPr>
        <w:t>–</w:t>
      </w:r>
      <w:r w:rsidR="00F60E9B" w:rsidRPr="001005B7">
        <w:rPr>
          <w:rFonts w:ascii="Calibri" w:eastAsia="Times New Roman" w:hAnsi="Calibri" w:cs="Calibri"/>
          <w:lang w:eastAsia="en-GB"/>
        </w:rPr>
        <w:t>213. </w:t>
      </w:r>
      <w:proofErr w:type="spellStart"/>
      <w:r w:rsidR="00F60E9B" w:rsidRPr="001005B7">
        <w:rPr>
          <w:rFonts w:ascii="Calibri" w:eastAsia="Times New Roman" w:hAnsi="Calibri" w:cs="Calibri"/>
          <w:lang w:eastAsia="en-GB"/>
        </w:rPr>
        <w:t>OtSt</w:t>
      </w:r>
      <w:proofErr w:type="spellEnd"/>
      <w:r w:rsidR="00F60E9B" w:rsidRPr="001005B7">
        <w:rPr>
          <w:rFonts w:ascii="Calibri" w:eastAsia="Times New Roman" w:hAnsi="Calibri" w:cs="Calibri"/>
          <w:lang w:eastAsia="en-GB"/>
        </w:rPr>
        <w:t xml:space="preserve"> 45. Leiden: Brill, 2001.</w:t>
      </w:r>
    </w:p>
    <w:p w14:paraId="77BB5745" w14:textId="264CBB3D" w:rsidR="00021C9F" w:rsidRPr="00EF50E8" w:rsidRDefault="00021CE4" w:rsidP="00EF50E8">
      <w:pPr>
        <w:pStyle w:val="ListParagraph"/>
        <w:rPr>
          <w:color w:val="auto"/>
          <w:lang w:val="en-US"/>
        </w:rPr>
      </w:pPr>
      <w:r w:rsidRPr="001005B7">
        <w:rPr>
          <w:i/>
          <w:iCs/>
          <w:color w:val="auto"/>
          <w:lang w:val="en-US"/>
        </w:rPr>
        <w:t xml:space="preserve">––– </w:t>
      </w:r>
      <w:r w:rsidR="00591AE1" w:rsidRPr="001005B7">
        <w:rPr>
          <w:color w:val="auto"/>
          <w:lang w:val="en-US"/>
        </w:rPr>
        <w:t>“</w:t>
      </w:r>
      <w:r w:rsidR="00BC3018" w:rsidRPr="001005B7">
        <w:rPr>
          <w:color w:val="auto"/>
          <w:lang w:val="en-US"/>
        </w:rPr>
        <w:t xml:space="preserve">Ezekiel's Awkward God: Atheism, Idolatry and the </w:t>
      </w:r>
      <w:r w:rsidR="00BC3018" w:rsidRPr="001005B7">
        <w:rPr>
          <w:i/>
          <w:iCs/>
          <w:color w:val="auto"/>
          <w:lang w:val="en-US"/>
        </w:rPr>
        <w:t>Via</w:t>
      </w:r>
      <w:r w:rsidR="00BC3018" w:rsidRPr="001005B7">
        <w:rPr>
          <w:color w:val="auto"/>
          <w:lang w:val="en-US"/>
        </w:rPr>
        <w:t xml:space="preserve"> </w:t>
      </w:r>
      <w:proofErr w:type="spellStart"/>
      <w:r w:rsidR="00BC3018" w:rsidRPr="001005B7">
        <w:rPr>
          <w:i/>
          <w:iCs/>
          <w:color w:val="auto"/>
          <w:lang w:val="en-US"/>
        </w:rPr>
        <w:t>Negativa</w:t>
      </w:r>
      <w:proofErr w:type="spellEnd"/>
      <w:r w:rsidR="00591AE1" w:rsidRPr="001005B7">
        <w:rPr>
          <w:color w:val="auto"/>
          <w:lang w:val="en-US"/>
        </w:rPr>
        <w:t xml:space="preserve">.” </w:t>
      </w:r>
      <w:r w:rsidR="005A2461" w:rsidRPr="001005B7">
        <w:rPr>
          <w:i/>
          <w:iCs/>
          <w:color w:val="auto"/>
          <w:lang w:val="en-US"/>
        </w:rPr>
        <w:t xml:space="preserve">SJT </w:t>
      </w:r>
      <w:r w:rsidR="005A2461" w:rsidRPr="001005B7">
        <w:rPr>
          <w:color w:val="auto"/>
          <w:lang w:val="en-US"/>
        </w:rPr>
        <w:t>66 (2013</w:t>
      </w:r>
      <w:r w:rsidR="0015753B" w:rsidRPr="001005B7">
        <w:rPr>
          <w:color w:val="auto"/>
          <w:lang w:val="en-US"/>
        </w:rPr>
        <w:t>): 261</w:t>
      </w:r>
      <w:r w:rsidR="00F46900" w:rsidRPr="001005B7">
        <w:rPr>
          <w:color w:val="auto"/>
          <w:lang w:val="en-US"/>
        </w:rPr>
        <w:t>–</w:t>
      </w:r>
      <w:r w:rsidR="0015753B" w:rsidRPr="001005B7">
        <w:rPr>
          <w:color w:val="auto"/>
          <w:lang w:val="en-US"/>
        </w:rPr>
        <w:t xml:space="preserve">77. </w:t>
      </w:r>
    </w:p>
    <w:p w14:paraId="21CF1479" w14:textId="70A9A5B9" w:rsidR="00532A3D" w:rsidRPr="001005B7" w:rsidRDefault="00A93E3F" w:rsidP="006F5BB0">
      <w:pPr>
        <w:pStyle w:val="ListParagraph"/>
        <w:rPr>
          <w:color w:val="auto"/>
          <w:lang w:val="en-US"/>
        </w:rPr>
      </w:pPr>
      <w:r w:rsidRPr="001005B7">
        <w:rPr>
          <w:rFonts w:asciiTheme="minorHAnsi" w:hAnsiTheme="minorHAnsi" w:cstheme="minorHAnsi"/>
          <w:color w:val="auto"/>
          <w:shd w:val="clear" w:color="auto" w:fill="FFFFFF"/>
          <w:lang w:val="en-US"/>
        </w:rPr>
        <w:t>Meyers, Carol</w:t>
      </w:r>
      <w:r w:rsidR="00F33466" w:rsidRPr="001005B7">
        <w:rPr>
          <w:rFonts w:asciiTheme="minorHAnsi" w:hAnsiTheme="minorHAnsi" w:cstheme="minorHAnsi"/>
          <w:color w:val="auto"/>
          <w:shd w:val="clear" w:color="auto" w:fill="FFFFFF"/>
          <w:lang w:val="en-US"/>
        </w:rPr>
        <w:t>. “</w:t>
      </w:r>
      <w:r w:rsidR="00F33466" w:rsidRPr="001005B7">
        <w:rPr>
          <w:color w:val="auto"/>
          <w:lang w:val="en-US"/>
        </w:rPr>
        <w:t>Engendering Ezekiel: Female Figures Reconsidered.” In</w:t>
      </w:r>
      <w:r w:rsidR="00840AF7" w:rsidRPr="001005B7">
        <w:rPr>
          <w:color w:val="auto"/>
          <w:lang w:val="en-US"/>
        </w:rPr>
        <w:t xml:space="preserve"> Chaim Cohen, Victor Avigdor </w:t>
      </w:r>
      <w:proofErr w:type="spellStart"/>
      <w:r w:rsidR="00840AF7" w:rsidRPr="001005B7">
        <w:rPr>
          <w:color w:val="auto"/>
          <w:lang w:val="en-US"/>
        </w:rPr>
        <w:t>Hurowitz</w:t>
      </w:r>
      <w:proofErr w:type="spellEnd"/>
      <w:r w:rsidR="00840AF7" w:rsidRPr="001005B7">
        <w:rPr>
          <w:color w:val="auto"/>
          <w:lang w:val="en-US"/>
        </w:rPr>
        <w:t xml:space="preserve">, Avi M. </w:t>
      </w:r>
      <w:proofErr w:type="spellStart"/>
      <w:r w:rsidR="00840AF7" w:rsidRPr="001005B7">
        <w:rPr>
          <w:color w:val="auto"/>
          <w:lang w:val="en-US"/>
        </w:rPr>
        <w:t>Hurvitz</w:t>
      </w:r>
      <w:proofErr w:type="spellEnd"/>
      <w:r w:rsidR="00840AF7" w:rsidRPr="001005B7">
        <w:rPr>
          <w:color w:val="auto"/>
          <w:lang w:val="en-US"/>
        </w:rPr>
        <w:t xml:space="preserve">, </w:t>
      </w:r>
      <w:proofErr w:type="spellStart"/>
      <w:r w:rsidR="00840AF7" w:rsidRPr="001005B7">
        <w:rPr>
          <w:color w:val="auto"/>
          <w:lang w:val="en-US"/>
        </w:rPr>
        <w:t>Yochanan</w:t>
      </w:r>
      <w:proofErr w:type="spellEnd"/>
      <w:r w:rsidR="00840AF7" w:rsidRPr="001005B7">
        <w:rPr>
          <w:color w:val="auto"/>
          <w:lang w:val="en-US"/>
        </w:rPr>
        <w:t xml:space="preserve"> Muffs, Baruch J. Schwartz, and Jeffrey H. </w:t>
      </w:r>
      <w:proofErr w:type="spellStart"/>
      <w:r w:rsidR="00840AF7" w:rsidRPr="001005B7">
        <w:rPr>
          <w:color w:val="auto"/>
          <w:lang w:val="en-US"/>
        </w:rPr>
        <w:t>Tigay</w:t>
      </w:r>
      <w:proofErr w:type="spellEnd"/>
      <w:r w:rsidR="00131C8A" w:rsidRPr="001005B7">
        <w:rPr>
          <w:color w:val="auto"/>
          <w:lang w:val="en-US"/>
        </w:rPr>
        <w:t>, ed.,</w:t>
      </w:r>
      <w:r w:rsidR="00AB2121" w:rsidRPr="001005B7">
        <w:rPr>
          <w:color w:val="auto"/>
          <w:lang w:val="en-US"/>
        </w:rPr>
        <w:t xml:space="preserve"> </w:t>
      </w:r>
      <w:proofErr w:type="spellStart"/>
      <w:r w:rsidR="00532A3D" w:rsidRPr="001005B7">
        <w:rPr>
          <w:i/>
          <w:iCs/>
          <w:color w:val="auto"/>
          <w:lang w:val="en-US"/>
        </w:rPr>
        <w:t>Birkat</w:t>
      </w:r>
      <w:proofErr w:type="spellEnd"/>
      <w:r w:rsidR="00532A3D" w:rsidRPr="001005B7">
        <w:rPr>
          <w:i/>
          <w:iCs/>
          <w:color w:val="auto"/>
          <w:lang w:val="en-US"/>
        </w:rPr>
        <w:t xml:space="preserve"> Shalom: Studies in the Bible, Ancient Near Eastern Literature, and Postbiblical Judaism Presented to Shalom M. Paul on the Occasion of His Seventieth Birthday</w:t>
      </w:r>
      <w:r w:rsidR="00AB2121" w:rsidRPr="001005B7">
        <w:rPr>
          <w:color w:val="auto"/>
          <w:lang w:val="en-US"/>
        </w:rPr>
        <w:t>, 281</w:t>
      </w:r>
      <w:r w:rsidR="00F46900" w:rsidRPr="001005B7">
        <w:rPr>
          <w:color w:val="auto"/>
          <w:lang w:val="en-US"/>
        </w:rPr>
        <w:t>–</w:t>
      </w:r>
      <w:r w:rsidR="00AB2121" w:rsidRPr="001005B7">
        <w:rPr>
          <w:color w:val="auto"/>
          <w:lang w:val="en-US"/>
        </w:rPr>
        <w:t>97.</w:t>
      </w:r>
      <w:r w:rsidR="00532A3D" w:rsidRPr="001005B7">
        <w:rPr>
          <w:color w:val="auto"/>
          <w:lang w:val="en-US"/>
        </w:rPr>
        <w:t xml:space="preserve"> Winona Lake, IN: </w:t>
      </w:r>
      <w:proofErr w:type="spellStart"/>
      <w:r w:rsidR="00532A3D" w:rsidRPr="001005B7">
        <w:rPr>
          <w:color w:val="auto"/>
          <w:lang w:val="en-US"/>
        </w:rPr>
        <w:t>Eisenbrauns</w:t>
      </w:r>
      <w:proofErr w:type="spellEnd"/>
      <w:r w:rsidR="00532A3D" w:rsidRPr="001005B7">
        <w:rPr>
          <w:color w:val="auto"/>
          <w:lang w:val="en-US"/>
        </w:rPr>
        <w:t>, 2008.</w:t>
      </w:r>
    </w:p>
    <w:p w14:paraId="504F0CDD" w14:textId="501435EA" w:rsidR="0002493E" w:rsidRPr="001005B7" w:rsidRDefault="00161299" w:rsidP="006F5BB0">
      <w:pPr>
        <w:pStyle w:val="ListParagraph"/>
        <w:rPr>
          <w:color w:val="auto"/>
          <w:lang w:val="en-US"/>
        </w:rPr>
      </w:pPr>
      <w:proofErr w:type="spellStart"/>
      <w:r w:rsidRPr="001005B7">
        <w:rPr>
          <w:rFonts w:asciiTheme="minorHAnsi" w:hAnsiTheme="minorHAnsi" w:cstheme="minorHAnsi"/>
          <w:color w:val="auto"/>
          <w:shd w:val="clear" w:color="auto" w:fill="FFFFFF"/>
          <w:lang w:val="en-US"/>
        </w:rPr>
        <w:t>Middlemas</w:t>
      </w:r>
      <w:proofErr w:type="spellEnd"/>
      <w:r w:rsidRPr="001005B7">
        <w:rPr>
          <w:rFonts w:asciiTheme="minorHAnsi" w:hAnsiTheme="minorHAnsi" w:cstheme="minorHAnsi"/>
          <w:color w:val="auto"/>
          <w:shd w:val="clear" w:color="auto" w:fill="FFFFFF"/>
          <w:lang w:val="en-US"/>
        </w:rPr>
        <w:t>, Jill</w:t>
      </w:r>
      <w:r w:rsidRPr="001005B7">
        <w:rPr>
          <w:color w:val="auto"/>
          <w:lang w:val="en-US"/>
        </w:rPr>
        <w:t xml:space="preserve">. </w:t>
      </w:r>
      <w:r w:rsidR="0002493E" w:rsidRPr="001005B7">
        <w:rPr>
          <w:color w:val="auto"/>
          <w:lang w:val="en-US"/>
        </w:rPr>
        <w:t xml:space="preserve">“Divine Presence in Absence: Aniconism and Multiple Imaging in the Prophets.” </w:t>
      </w:r>
      <w:r w:rsidR="00C23F22" w:rsidRPr="001005B7">
        <w:rPr>
          <w:color w:val="auto"/>
          <w:lang w:val="en-US"/>
        </w:rPr>
        <w:t xml:space="preserve">In </w:t>
      </w:r>
      <w:r w:rsidR="00894AD2" w:rsidRPr="001005B7">
        <w:rPr>
          <w:color w:val="auto"/>
          <w:lang w:val="en-US"/>
        </w:rPr>
        <w:t xml:space="preserve">Izaak J. de </w:t>
      </w:r>
      <w:proofErr w:type="spellStart"/>
      <w:r w:rsidR="00894AD2" w:rsidRPr="001005B7">
        <w:rPr>
          <w:color w:val="auto"/>
          <w:lang w:val="en-US"/>
        </w:rPr>
        <w:t>Hulster</w:t>
      </w:r>
      <w:proofErr w:type="spellEnd"/>
      <w:r w:rsidR="00894AD2" w:rsidRPr="001005B7">
        <w:rPr>
          <w:color w:val="auto"/>
          <w:lang w:val="en-US"/>
        </w:rPr>
        <w:t xml:space="preserve"> and Nathan MacDonald, ed., </w:t>
      </w:r>
      <w:r w:rsidR="00894AD2" w:rsidRPr="001005B7">
        <w:rPr>
          <w:i/>
          <w:iCs/>
          <w:color w:val="auto"/>
          <w:lang w:val="en-US"/>
        </w:rPr>
        <w:t>Divine Presence and Absence in Exilic and Post-Exilic Judaism</w:t>
      </w:r>
      <w:r w:rsidR="00894AD2" w:rsidRPr="001005B7">
        <w:rPr>
          <w:color w:val="auto"/>
          <w:lang w:val="en-US"/>
        </w:rPr>
        <w:t>, 1</w:t>
      </w:r>
      <w:r w:rsidR="00C23F22" w:rsidRPr="001005B7">
        <w:rPr>
          <w:color w:val="auto"/>
          <w:lang w:val="en-US"/>
        </w:rPr>
        <w:t>84</w:t>
      </w:r>
      <w:r w:rsidR="00F46900" w:rsidRPr="001005B7">
        <w:rPr>
          <w:color w:val="auto"/>
          <w:lang w:val="en-US"/>
        </w:rPr>
        <w:t>–</w:t>
      </w:r>
      <w:r w:rsidR="00894AD2" w:rsidRPr="001005B7">
        <w:rPr>
          <w:color w:val="auto"/>
          <w:lang w:val="en-US"/>
        </w:rPr>
        <w:t>21</w:t>
      </w:r>
      <w:r w:rsidR="00C23F22" w:rsidRPr="001005B7">
        <w:rPr>
          <w:color w:val="auto"/>
          <w:lang w:val="en-US"/>
        </w:rPr>
        <w:t>1</w:t>
      </w:r>
      <w:r w:rsidR="00894AD2" w:rsidRPr="001005B7">
        <w:rPr>
          <w:color w:val="auto"/>
          <w:lang w:val="en-US"/>
        </w:rPr>
        <w:t>. Tübingen: Mohr</w:t>
      </w:r>
      <w:r w:rsidR="00E32EE2" w:rsidRPr="001005B7">
        <w:rPr>
          <w:color w:val="auto"/>
          <w:lang w:val="en-US"/>
        </w:rPr>
        <w:t xml:space="preserve"> </w:t>
      </w:r>
      <w:proofErr w:type="spellStart"/>
      <w:r w:rsidR="00E32EE2" w:rsidRPr="001005B7">
        <w:rPr>
          <w:color w:val="auto"/>
          <w:lang w:val="en-US"/>
        </w:rPr>
        <w:t>Siebeck</w:t>
      </w:r>
      <w:proofErr w:type="spellEnd"/>
      <w:r w:rsidR="00894AD2" w:rsidRPr="001005B7">
        <w:rPr>
          <w:color w:val="auto"/>
          <w:lang w:val="en-US"/>
        </w:rPr>
        <w:t>, 2013.</w:t>
      </w:r>
    </w:p>
    <w:p w14:paraId="1022702F" w14:textId="6CE2E5ED" w:rsidR="00161299" w:rsidRPr="001005B7" w:rsidRDefault="00FE001A" w:rsidP="006F5BB0">
      <w:pPr>
        <w:pStyle w:val="ListParagraph"/>
        <w:rPr>
          <w:color w:val="auto"/>
          <w:lang w:val="en-US"/>
        </w:rPr>
      </w:pPr>
      <w:r w:rsidRPr="001005B7">
        <w:rPr>
          <w:i/>
          <w:iCs/>
          <w:color w:val="auto"/>
          <w:lang w:val="en-US"/>
        </w:rPr>
        <w:t xml:space="preserve">––– </w:t>
      </w:r>
      <w:r w:rsidR="00161299" w:rsidRPr="001005B7">
        <w:rPr>
          <w:color w:val="auto"/>
          <w:lang w:val="en-US"/>
        </w:rPr>
        <w:t>“Tran</w:t>
      </w:r>
      <w:r w:rsidR="00130954" w:rsidRPr="001005B7">
        <w:rPr>
          <w:color w:val="auto"/>
          <w:lang w:val="en-US"/>
        </w:rPr>
        <w:t xml:space="preserve">sformation of the Image.” In </w:t>
      </w:r>
      <w:proofErr w:type="spellStart"/>
      <w:r w:rsidR="0031733B" w:rsidRPr="001005B7">
        <w:rPr>
          <w:color w:val="auto"/>
          <w:lang w:val="en-US"/>
        </w:rPr>
        <w:t>Tooman</w:t>
      </w:r>
      <w:proofErr w:type="spellEnd"/>
      <w:r w:rsidR="0031733B" w:rsidRPr="001005B7">
        <w:rPr>
          <w:color w:val="auto"/>
          <w:lang w:val="en-US"/>
        </w:rPr>
        <w:t xml:space="preserve"> and Lyons, </w:t>
      </w:r>
      <w:r w:rsidR="0031733B" w:rsidRPr="001005B7">
        <w:rPr>
          <w:i/>
          <w:iCs/>
          <w:color w:val="auto"/>
          <w:lang w:val="en-US"/>
        </w:rPr>
        <w:t xml:space="preserve">Transformations </w:t>
      </w:r>
      <w:r w:rsidR="0031733B" w:rsidRPr="001005B7">
        <w:rPr>
          <w:color w:val="auto"/>
          <w:lang w:val="en-US"/>
        </w:rPr>
        <w:t>[see below]</w:t>
      </w:r>
      <w:r w:rsidR="000E2A3E" w:rsidRPr="001005B7">
        <w:rPr>
          <w:color w:val="auto"/>
          <w:lang w:val="en-US"/>
        </w:rPr>
        <w:t>, 113</w:t>
      </w:r>
      <w:r w:rsidR="00F46900" w:rsidRPr="001005B7">
        <w:rPr>
          <w:color w:val="auto"/>
          <w:lang w:val="en-US"/>
        </w:rPr>
        <w:t>–</w:t>
      </w:r>
      <w:r w:rsidR="000E2A3E" w:rsidRPr="001005B7">
        <w:rPr>
          <w:color w:val="auto"/>
          <w:lang w:val="en-US"/>
        </w:rPr>
        <w:t>38.</w:t>
      </w:r>
    </w:p>
    <w:p w14:paraId="1EFA9BCE" w14:textId="49565B36" w:rsidR="00AC332B" w:rsidRPr="001005B7" w:rsidRDefault="00AC332B" w:rsidP="006F5BB0">
      <w:pPr>
        <w:pStyle w:val="ListParagraph"/>
        <w:rPr>
          <w:color w:val="auto"/>
          <w:lang w:val="en-US"/>
        </w:rPr>
      </w:pPr>
      <w:proofErr w:type="spellStart"/>
      <w:r w:rsidRPr="001005B7">
        <w:rPr>
          <w:rFonts w:asciiTheme="minorHAnsi" w:hAnsiTheme="minorHAnsi" w:cstheme="minorHAnsi"/>
          <w:color w:val="auto"/>
          <w:shd w:val="clear" w:color="auto" w:fill="FFFFFF"/>
          <w:lang w:val="en-US"/>
        </w:rPr>
        <w:t>Mo</w:t>
      </w:r>
      <w:r w:rsidR="00323614" w:rsidRPr="001005B7">
        <w:rPr>
          <w:rFonts w:asciiTheme="minorHAnsi" w:hAnsiTheme="minorHAnsi" w:cstheme="minorHAnsi"/>
          <w:color w:val="auto"/>
          <w:shd w:val="clear" w:color="auto" w:fill="FFFFFF"/>
          <w:lang w:val="en-US"/>
        </w:rPr>
        <w:t>yise</w:t>
      </w:r>
      <w:proofErr w:type="spellEnd"/>
      <w:r w:rsidR="00323614" w:rsidRPr="001005B7">
        <w:rPr>
          <w:rFonts w:asciiTheme="minorHAnsi" w:hAnsiTheme="minorHAnsi" w:cstheme="minorHAnsi"/>
          <w:color w:val="auto"/>
          <w:shd w:val="clear" w:color="auto" w:fill="FFFFFF"/>
          <w:lang w:val="en-US"/>
        </w:rPr>
        <w:t>, Steve.</w:t>
      </w:r>
      <w:r w:rsidR="00323614" w:rsidRPr="001005B7">
        <w:rPr>
          <w:color w:val="auto"/>
          <w:lang w:val="en-US"/>
        </w:rPr>
        <w:t xml:space="preserve"> </w:t>
      </w:r>
      <w:r w:rsidR="00323614" w:rsidRPr="001005B7">
        <w:rPr>
          <w:i/>
          <w:iCs/>
          <w:color w:val="auto"/>
          <w:lang w:val="en-US"/>
        </w:rPr>
        <w:t>The Old Testament in the Book of Revelation</w:t>
      </w:r>
      <w:r w:rsidR="00323614" w:rsidRPr="001005B7">
        <w:rPr>
          <w:color w:val="auto"/>
          <w:lang w:val="en-US"/>
        </w:rPr>
        <w:t xml:space="preserve">. </w:t>
      </w:r>
      <w:proofErr w:type="spellStart"/>
      <w:r w:rsidR="00B9019F" w:rsidRPr="001005B7">
        <w:rPr>
          <w:color w:val="auto"/>
          <w:lang w:val="en-US"/>
        </w:rPr>
        <w:t>JSNTSup</w:t>
      </w:r>
      <w:proofErr w:type="spellEnd"/>
      <w:r w:rsidR="00B9019F" w:rsidRPr="001005B7">
        <w:rPr>
          <w:color w:val="auto"/>
          <w:lang w:val="en-US"/>
        </w:rPr>
        <w:t xml:space="preserve"> 115. </w:t>
      </w:r>
      <w:r w:rsidR="00FA540D" w:rsidRPr="001005B7">
        <w:rPr>
          <w:color w:val="auto"/>
          <w:lang w:val="en-US"/>
        </w:rPr>
        <w:t>Sheffield: Sh</w:t>
      </w:r>
      <w:r w:rsidR="00B9019F" w:rsidRPr="001005B7">
        <w:rPr>
          <w:color w:val="auto"/>
          <w:lang w:val="en-US"/>
        </w:rPr>
        <w:t>e</w:t>
      </w:r>
      <w:r w:rsidR="00FA540D" w:rsidRPr="001005B7">
        <w:rPr>
          <w:color w:val="auto"/>
          <w:lang w:val="en-US"/>
        </w:rPr>
        <w:t>ffield Acad</w:t>
      </w:r>
      <w:r w:rsidR="00AD1021" w:rsidRPr="001005B7">
        <w:rPr>
          <w:color w:val="auto"/>
          <w:lang w:val="en-US"/>
        </w:rPr>
        <w:t>e</w:t>
      </w:r>
      <w:r w:rsidR="00FA540D" w:rsidRPr="001005B7">
        <w:rPr>
          <w:color w:val="auto"/>
          <w:lang w:val="en-US"/>
        </w:rPr>
        <w:t>mic Press, 1995.</w:t>
      </w:r>
    </w:p>
    <w:p w14:paraId="03B89EA0" w14:textId="39AAF210" w:rsidR="00B975F1" w:rsidRPr="001005B7" w:rsidRDefault="00B975F1" w:rsidP="006F5BB0">
      <w:pPr>
        <w:pStyle w:val="ListParagraph"/>
        <w:rPr>
          <w:color w:val="auto"/>
          <w:lang w:val="en-US"/>
        </w:rPr>
      </w:pPr>
      <w:r w:rsidRPr="001005B7">
        <w:rPr>
          <w:rFonts w:asciiTheme="minorHAnsi" w:hAnsiTheme="minorHAnsi" w:cstheme="minorHAnsi"/>
          <w:color w:val="auto"/>
          <w:shd w:val="clear" w:color="auto" w:fill="FFFFFF"/>
          <w:lang w:val="en-US"/>
        </w:rPr>
        <w:t xml:space="preserve">Murray, </w:t>
      </w:r>
      <w:r w:rsidR="00242B06" w:rsidRPr="001005B7">
        <w:rPr>
          <w:rFonts w:asciiTheme="minorHAnsi" w:hAnsiTheme="minorHAnsi" w:cstheme="minorHAnsi"/>
          <w:color w:val="auto"/>
          <w:shd w:val="clear" w:color="auto" w:fill="FFFFFF"/>
          <w:lang w:val="en-US"/>
        </w:rPr>
        <w:t>Iain</w:t>
      </w:r>
      <w:r w:rsidRPr="001005B7">
        <w:rPr>
          <w:rFonts w:asciiTheme="minorHAnsi" w:hAnsiTheme="minorHAnsi" w:cstheme="minorHAnsi"/>
          <w:color w:val="auto"/>
          <w:shd w:val="clear" w:color="auto" w:fill="FFFFFF"/>
          <w:lang w:val="en-US"/>
        </w:rPr>
        <w:t xml:space="preserve"> H</w:t>
      </w:r>
      <w:r w:rsidRPr="001005B7">
        <w:rPr>
          <w:color w:val="auto"/>
          <w:lang w:val="en-US"/>
        </w:rPr>
        <w:t xml:space="preserve">. </w:t>
      </w:r>
      <w:r w:rsidRPr="001005B7">
        <w:rPr>
          <w:i/>
          <w:iCs/>
          <w:color w:val="auto"/>
          <w:lang w:val="en-US"/>
        </w:rPr>
        <w:t xml:space="preserve">The Puritan Hope: </w:t>
      </w:r>
      <w:r w:rsidR="00D24B04" w:rsidRPr="001005B7">
        <w:rPr>
          <w:i/>
          <w:iCs/>
          <w:color w:val="auto"/>
          <w:lang w:val="en-US"/>
        </w:rPr>
        <w:t xml:space="preserve">A Study in Revival and the Interpretation of </w:t>
      </w:r>
      <w:r w:rsidR="00242B06" w:rsidRPr="001005B7">
        <w:rPr>
          <w:i/>
          <w:iCs/>
          <w:color w:val="auto"/>
          <w:lang w:val="en-US"/>
        </w:rPr>
        <w:t>Prophecy</w:t>
      </w:r>
      <w:r w:rsidR="00D24B04" w:rsidRPr="001005B7">
        <w:rPr>
          <w:color w:val="auto"/>
          <w:lang w:val="en-US"/>
        </w:rPr>
        <w:t xml:space="preserve">. </w:t>
      </w:r>
      <w:r w:rsidR="001D50FA" w:rsidRPr="001005B7">
        <w:rPr>
          <w:color w:val="auto"/>
          <w:lang w:val="en-US"/>
        </w:rPr>
        <w:t>London</w:t>
      </w:r>
      <w:r w:rsidR="00D24B04" w:rsidRPr="001005B7">
        <w:rPr>
          <w:color w:val="auto"/>
          <w:lang w:val="en-US"/>
        </w:rPr>
        <w:t>: Banner of Truth, 1971.</w:t>
      </w:r>
    </w:p>
    <w:p w14:paraId="6AB969EF" w14:textId="0967D53E" w:rsidR="00ED785B" w:rsidRPr="001005B7" w:rsidRDefault="00ED785B" w:rsidP="006F5BB0">
      <w:pPr>
        <w:pStyle w:val="ListParagraph"/>
        <w:rPr>
          <w:color w:val="auto"/>
          <w:lang w:val="en-US"/>
        </w:rPr>
      </w:pPr>
      <w:proofErr w:type="spellStart"/>
      <w:r w:rsidRPr="001005B7">
        <w:rPr>
          <w:color w:val="auto"/>
          <w:lang w:val="en-US"/>
        </w:rPr>
        <w:t>Mushayabasa</w:t>
      </w:r>
      <w:proofErr w:type="spellEnd"/>
      <w:r w:rsidRPr="001005B7">
        <w:rPr>
          <w:color w:val="auto"/>
          <w:lang w:val="en-US"/>
        </w:rPr>
        <w:t xml:space="preserve">, Godwin. “The Text-Critical Utility of the Peshitta to Ezekiel in View of Recent Research.” </w:t>
      </w:r>
      <w:r w:rsidRPr="001005B7">
        <w:rPr>
          <w:i/>
          <w:color w:val="auto"/>
          <w:lang w:val="en-US"/>
        </w:rPr>
        <w:t>VT</w:t>
      </w:r>
      <w:r w:rsidRPr="001005B7">
        <w:rPr>
          <w:color w:val="auto"/>
          <w:lang w:val="en-US"/>
        </w:rPr>
        <w:t xml:space="preserve"> 67 (2017): 42</w:t>
      </w:r>
      <w:r w:rsidR="00F46900" w:rsidRPr="001005B7">
        <w:rPr>
          <w:color w:val="auto"/>
          <w:lang w:val="en-US"/>
        </w:rPr>
        <w:t>–</w:t>
      </w:r>
      <w:r w:rsidRPr="001005B7">
        <w:rPr>
          <w:color w:val="auto"/>
          <w:lang w:val="en-US"/>
        </w:rPr>
        <w:t>58.</w:t>
      </w:r>
    </w:p>
    <w:p w14:paraId="72D39FBB" w14:textId="29888B90" w:rsidR="008579A8" w:rsidRPr="001005B7" w:rsidRDefault="008579A8" w:rsidP="008579A8">
      <w:pPr>
        <w:spacing w:after="60" w:line="240" w:lineRule="auto"/>
        <w:ind w:left="567" w:hanging="567"/>
        <w:rPr>
          <w:rFonts w:ascii="Calibri" w:eastAsia="Times New Roman" w:hAnsi="Calibri" w:cs="Calibri"/>
          <w:lang w:eastAsia="en-GB"/>
        </w:rPr>
      </w:pPr>
      <w:r w:rsidRPr="001005B7">
        <w:rPr>
          <w:rFonts w:ascii="Calibri" w:eastAsia="Times New Roman" w:hAnsi="Calibri" w:cs="Calibri"/>
          <w:lang w:eastAsia="en-GB"/>
        </w:rPr>
        <w:t>Newsom, Carol A. "Moral 'Recipes' in Deuteronomy and Ezekiel: Divine Authority and Human Agency</w:t>
      </w:r>
      <w:r w:rsidR="00553A39" w:rsidRPr="001005B7">
        <w:rPr>
          <w:rFonts w:ascii="Calibri" w:eastAsia="Times New Roman" w:hAnsi="Calibri" w:cs="Calibri"/>
          <w:lang w:eastAsia="en-GB"/>
        </w:rPr>
        <w:t>.</w:t>
      </w:r>
      <w:r w:rsidRPr="001005B7">
        <w:rPr>
          <w:rFonts w:ascii="Calibri" w:eastAsia="Times New Roman" w:hAnsi="Calibri" w:cs="Calibri"/>
          <w:lang w:eastAsia="en-GB"/>
        </w:rPr>
        <w:t>" </w:t>
      </w:r>
      <w:proofErr w:type="spellStart"/>
      <w:r w:rsidRPr="001005B7">
        <w:rPr>
          <w:rFonts w:ascii="Calibri" w:eastAsia="Times New Roman" w:hAnsi="Calibri" w:cs="Calibri"/>
          <w:i/>
          <w:iCs/>
          <w:lang w:eastAsia="en-GB"/>
        </w:rPr>
        <w:t>HeBAI</w:t>
      </w:r>
      <w:proofErr w:type="spellEnd"/>
      <w:r w:rsidRPr="001005B7">
        <w:rPr>
          <w:rFonts w:ascii="Calibri" w:eastAsia="Times New Roman" w:hAnsi="Calibri" w:cs="Calibri"/>
          <w:lang w:eastAsia="en-GB"/>
        </w:rPr>
        <w:t> 6 (2017)</w:t>
      </w:r>
      <w:r w:rsidR="00553A39" w:rsidRPr="001005B7">
        <w:rPr>
          <w:rFonts w:ascii="Calibri" w:eastAsia="Times New Roman" w:hAnsi="Calibri" w:cs="Calibri"/>
          <w:lang w:eastAsia="en-GB"/>
        </w:rPr>
        <w:t>:</w:t>
      </w:r>
      <w:r w:rsidRPr="001005B7">
        <w:rPr>
          <w:rFonts w:ascii="Calibri" w:eastAsia="Times New Roman" w:hAnsi="Calibri" w:cs="Calibri"/>
          <w:lang w:eastAsia="en-GB"/>
        </w:rPr>
        <w:t> 488</w:t>
      </w:r>
      <w:r w:rsidR="00F46900" w:rsidRPr="001005B7">
        <w:rPr>
          <w:rFonts w:ascii="Calibri" w:eastAsia="Times New Roman" w:hAnsi="Calibri" w:cs="Calibri"/>
          <w:lang w:eastAsia="en-GB"/>
        </w:rPr>
        <w:t>–</w:t>
      </w:r>
      <w:r w:rsidRPr="001005B7">
        <w:rPr>
          <w:rFonts w:ascii="Calibri" w:eastAsia="Times New Roman" w:hAnsi="Calibri" w:cs="Calibri"/>
          <w:lang w:eastAsia="en-GB"/>
        </w:rPr>
        <w:t>509.</w:t>
      </w:r>
    </w:p>
    <w:p w14:paraId="7A94D192" w14:textId="416DCADC" w:rsidR="00336870" w:rsidRPr="001005B7" w:rsidRDefault="00336870" w:rsidP="006F5BB0">
      <w:pPr>
        <w:pStyle w:val="ListParagraph"/>
        <w:rPr>
          <w:color w:val="auto"/>
          <w:lang w:val="en-US"/>
        </w:rPr>
      </w:pPr>
      <w:proofErr w:type="spellStart"/>
      <w:r w:rsidRPr="001005B7">
        <w:rPr>
          <w:color w:val="auto"/>
          <w:lang w:val="en-US"/>
        </w:rPr>
        <w:t>Nihan</w:t>
      </w:r>
      <w:proofErr w:type="spellEnd"/>
      <w:r w:rsidRPr="001005B7">
        <w:rPr>
          <w:color w:val="auto"/>
          <w:lang w:val="en-US"/>
        </w:rPr>
        <w:t xml:space="preserve">, </w:t>
      </w:r>
      <w:r w:rsidR="00105936" w:rsidRPr="001005B7">
        <w:rPr>
          <w:color w:val="auto"/>
          <w:lang w:val="en-US"/>
        </w:rPr>
        <w:t>Christophe</w:t>
      </w:r>
      <w:r w:rsidR="00105936" w:rsidRPr="001005B7">
        <w:rPr>
          <w:i/>
          <w:iCs/>
          <w:color w:val="auto"/>
          <w:lang w:val="en-US"/>
        </w:rPr>
        <w:t xml:space="preserve">. </w:t>
      </w:r>
      <w:r w:rsidRPr="001005B7">
        <w:rPr>
          <w:i/>
          <w:iCs/>
          <w:color w:val="auto"/>
          <w:lang w:val="en-US"/>
        </w:rPr>
        <w:t>From Priestly Torah to Pentateuch</w:t>
      </w:r>
      <w:r w:rsidR="004E0812" w:rsidRPr="001005B7">
        <w:rPr>
          <w:i/>
          <w:iCs/>
          <w:color w:val="auto"/>
          <w:lang w:val="en-US"/>
        </w:rPr>
        <w:t xml:space="preserve">: A Study in the </w:t>
      </w:r>
      <w:r w:rsidR="00105936" w:rsidRPr="001005B7">
        <w:rPr>
          <w:i/>
          <w:iCs/>
          <w:color w:val="auto"/>
          <w:lang w:val="en-US"/>
        </w:rPr>
        <w:t>Composition</w:t>
      </w:r>
      <w:r w:rsidR="004E0812" w:rsidRPr="001005B7">
        <w:rPr>
          <w:i/>
          <w:iCs/>
          <w:color w:val="auto"/>
          <w:lang w:val="en-US"/>
        </w:rPr>
        <w:t xml:space="preserve"> of the Book of Leviticus</w:t>
      </w:r>
      <w:r w:rsidR="004E0812" w:rsidRPr="001005B7">
        <w:rPr>
          <w:color w:val="auto"/>
          <w:lang w:val="en-US"/>
        </w:rPr>
        <w:t xml:space="preserve">. FAT </w:t>
      </w:r>
      <w:r w:rsidR="008C06DC" w:rsidRPr="001005B7">
        <w:rPr>
          <w:color w:val="auto"/>
          <w:lang w:val="en-US"/>
        </w:rPr>
        <w:t>2.25. Tübingen: Mohr</w:t>
      </w:r>
      <w:r w:rsidR="00AA4916" w:rsidRPr="001005B7">
        <w:rPr>
          <w:color w:val="auto"/>
          <w:lang w:val="en-US"/>
        </w:rPr>
        <w:t xml:space="preserve"> </w:t>
      </w:r>
      <w:proofErr w:type="spellStart"/>
      <w:r w:rsidR="00AA4916" w:rsidRPr="001005B7">
        <w:rPr>
          <w:color w:val="auto"/>
          <w:lang w:val="en-US"/>
        </w:rPr>
        <w:t>Siebeck</w:t>
      </w:r>
      <w:proofErr w:type="spellEnd"/>
      <w:r w:rsidR="008C06DC" w:rsidRPr="001005B7">
        <w:rPr>
          <w:color w:val="auto"/>
          <w:lang w:val="en-US"/>
        </w:rPr>
        <w:t>, 20</w:t>
      </w:r>
      <w:r w:rsidR="00105936" w:rsidRPr="001005B7">
        <w:rPr>
          <w:color w:val="auto"/>
          <w:lang w:val="en-US"/>
        </w:rPr>
        <w:t>07.</w:t>
      </w:r>
    </w:p>
    <w:p w14:paraId="651A85A5" w14:textId="7E8FC80A" w:rsidR="003F45FF" w:rsidRPr="001005B7" w:rsidRDefault="00FE001A" w:rsidP="006F5BB0">
      <w:pPr>
        <w:pStyle w:val="ListParagraph"/>
        <w:rPr>
          <w:color w:val="auto"/>
          <w:lang w:val="en-US"/>
        </w:rPr>
      </w:pPr>
      <w:r w:rsidRPr="001005B7">
        <w:rPr>
          <w:i/>
          <w:iCs/>
          <w:color w:val="auto"/>
          <w:lang w:val="en-US"/>
        </w:rPr>
        <w:t xml:space="preserve">––– </w:t>
      </w:r>
      <w:r w:rsidR="003F45FF" w:rsidRPr="001005B7">
        <w:rPr>
          <w:color w:val="auto"/>
          <w:lang w:val="en-US"/>
        </w:rPr>
        <w:t>“T</w:t>
      </w:r>
      <w:r w:rsidRPr="001005B7">
        <w:rPr>
          <w:color w:val="auto"/>
          <w:lang w:val="en-US"/>
        </w:rPr>
        <w:t>h</w:t>
      </w:r>
      <w:r w:rsidR="003F45FF" w:rsidRPr="001005B7">
        <w:rPr>
          <w:color w:val="auto"/>
          <w:lang w:val="en-US"/>
        </w:rPr>
        <w:t>e Holiness Code between D and P: Some Comments on the Function and Significance of Leviticus 17–26 in the Composition of the Torah</w:t>
      </w:r>
      <w:r w:rsidRPr="001005B7">
        <w:rPr>
          <w:color w:val="auto"/>
          <w:lang w:val="en-US"/>
        </w:rPr>
        <w:t>.</w:t>
      </w:r>
      <w:r w:rsidR="003F45FF" w:rsidRPr="001005B7">
        <w:rPr>
          <w:color w:val="auto"/>
          <w:lang w:val="en-US"/>
        </w:rPr>
        <w:t xml:space="preserve">” in </w:t>
      </w:r>
      <w:r w:rsidR="00F26D02" w:rsidRPr="001005B7">
        <w:rPr>
          <w:color w:val="auto"/>
          <w:lang w:val="en-US"/>
        </w:rPr>
        <w:t>Eckart Otto and Reinhard Achenbach</w:t>
      </w:r>
      <w:r w:rsidR="00F0249C" w:rsidRPr="001005B7">
        <w:rPr>
          <w:color w:val="auto"/>
          <w:lang w:val="en-US"/>
        </w:rPr>
        <w:t>, ed.,</w:t>
      </w:r>
      <w:r w:rsidR="00F26D02" w:rsidRPr="001005B7">
        <w:rPr>
          <w:i/>
          <w:iCs/>
          <w:color w:val="auto"/>
          <w:lang w:val="en-US"/>
        </w:rPr>
        <w:t xml:space="preserve"> </w:t>
      </w:r>
      <w:r w:rsidR="003F45FF" w:rsidRPr="001005B7">
        <w:rPr>
          <w:i/>
          <w:iCs/>
          <w:color w:val="auto"/>
          <w:lang w:val="en-US"/>
        </w:rPr>
        <w:t xml:space="preserve">Das </w:t>
      </w:r>
      <w:proofErr w:type="spellStart"/>
      <w:r w:rsidR="003F45FF" w:rsidRPr="001005B7">
        <w:rPr>
          <w:i/>
          <w:iCs/>
          <w:color w:val="auto"/>
          <w:lang w:val="en-US"/>
        </w:rPr>
        <w:t>Deuteronomium</w:t>
      </w:r>
      <w:proofErr w:type="spellEnd"/>
      <w:r w:rsidR="003F45FF" w:rsidRPr="001005B7">
        <w:rPr>
          <w:i/>
          <w:iCs/>
          <w:color w:val="auto"/>
          <w:lang w:val="en-US"/>
        </w:rPr>
        <w:t xml:space="preserve"> </w:t>
      </w:r>
      <w:proofErr w:type="spellStart"/>
      <w:r w:rsidR="003F45FF" w:rsidRPr="001005B7">
        <w:rPr>
          <w:i/>
          <w:iCs/>
          <w:color w:val="auto"/>
          <w:lang w:val="en-US"/>
        </w:rPr>
        <w:t>zwischen</w:t>
      </w:r>
      <w:proofErr w:type="spellEnd"/>
      <w:r w:rsidR="003F45FF" w:rsidRPr="001005B7">
        <w:rPr>
          <w:i/>
          <w:iCs/>
          <w:color w:val="auto"/>
          <w:lang w:val="en-US"/>
        </w:rPr>
        <w:t xml:space="preserve"> Pentateuch und </w:t>
      </w:r>
      <w:proofErr w:type="spellStart"/>
      <w:r w:rsidR="003F45FF" w:rsidRPr="001005B7">
        <w:rPr>
          <w:i/>
          <w:iCs/>
          <w:color w:val="auto"/>
          <w:lang w:val="en-US"/>
        </w:rPr>
        <w:t>Deuteronomistischem</w:t>
      </w:r>
      <w:proofErr w:type="spellEnd"/>
      <w:r w:rsidR="003F45FF" w:rsidRPr="001005B7">
        <w:rPr>
          <w:i/>
          <w:iCs/>
          <w:color w:val="auto"/>
          <w:lang w:val="en-US"/>
        </w:rPr>
        <w:t xml:space="preserve"> </w:t>
      </w:r>
      <w:proofErr w:type="spellStart"/>
      <w:r w:rsidR="003F45FF" w:rsidRPr="001005B7">
        <w:rPr>
          <w:i/>
          <w:iCs/>
          <w:color w:val="auto"/>
          <w:lang w:val="en-US"/>
        </w:rPr>
        <w:t>Geschichtswerk</w:t>
      </w:r>
      <w:proofErr w:type="spellEnd"/>
      <w:r w:rsidR="00B82464" w:rsidRPr="001005B7">
        <w:rPr>
          <w:color w:val="auto"/>
          <w:lang w:val="en-US"/>
        </w:rPr>
        <w:t>, 81–122</w:t>
      </w:r>
      <w:r w:rsidR="00C35DA6" w:rsidRPr="001005B7">
        <w:rPr>
          <w:color w:val="auto"/>
          <w:lang w:val="en-US"/>
        </w:rPr>
        <w:t>.</w:t>
      </w:r>
      <w:r w:rsidR="00B82464" w:rsidRPr="001005B7">
        <w:rPr>
          <w:color w:val="auto"/>
          <w:lang w:val="en-US"/>
        </w:rPr>
        <w:t xml:space="preserve"> FRLANT 206</w:t>
      </w:r>
      <w:r w:rsidR="00C35DA6" w:rsidRPr="001005B7">
        <w:rPr>
          <w:color w:val="auto"/>
          <w:lang w:val="en-US"/>
        </w:rPr>
        <w:t xml:space="preserve">. </w:t>
      </w:r>
      <w:r w:rsidR="00B82464" w:rsidRPr="001005B7">
        <w:rPr>
          <w:color w:val="auto"/>
          <w:lang w:val="en-US"/>
        </w:rPr>
        <w:t xml:space="preserve">Göttingen: </w:t>
      </w:r>
      <w:proofErr w:type="spellStart"/>
      <w:r w:rsidR="00B82464" w:rsidRPr="001005B7">
        <w:rPr>
          <w:color w:val="auto"/>
          <w:lang w:val="en-US"/>
        </w:rPr>
        <w:t>Vandenhoeck</w:t>
      </w:r>
      <w:proofErr w:type="spellEnd"/>
      <w:r w:rsidR="00B82464" w:rsidRPr="001005B7">
        <w:rPr>
          <w:color w:val="auto"/>
          <w:lang w:val="en-US"/>
        </w:rPr>
        <w:t xml:space="preserve"> &amp; Ruprecht, 2004</w:t>
      </w:r>
      <w:r w:rsidR="00C35DA6" w:rsidRPr="001005B7">
        <w:rPr>
          <w:color w:val="auto"/>
          <w:lang w:val="en-US"/>
        </w:rPr>
        <w:t>.</w:t>
      </w:r>
    </w:p>
    <w:p w14:paraId="6FC511B0" w14:textId="32C28295" w:rsidR="0019231F" w:rsidRPr="001005B7" w:rsidRDefault="0019231F" w:rsidP="0019231F">
      <w:pPr>
        <w:spacing w:after="60" w:line="240" w:lineRule="auto"/>
        <w:ind w:left="567" w:hanging="567"/>
        <w:rPr>
          <w:rFonts w:ascii="Calibri" w:eastAsia="Times New Roman" w:hAnsi="Calibri" w:cs="Calibri"/>
          <w:lang w:eastAsia="en-GB"/>
        </w:rPr>
      </w:pPr>
      <w:proofErr w:type="spellStart"/>
      <w:r w:rsidRPr="001005B7">
        <w:rPr>
          <w:rFonts w:ascii="Calibri" w:eastAsia="Times New Roman" w:hAnsi="Calibri" w:cs="Calibri"/>
          <w:lang w:eastAsia="en-GB"/>
        </w:rPr>
        <w:t>Nissinen</w:t>
      </w:r>
      <w:proofErr w:type="spellEnd"/>
      <w:r w:rsidRPr="001005B7">
        <w:rPr>
          <w:rFonts w:ascii="Calibri" w:eastAsia="Times New Roman" w:hAnsi="Calibri" w:cs="Calibri"/>
          <w:lang w:eastAsia="en-GB"/>
        </w:rPr>
        <w:t xml:space="preserve">, </w:t>
      </w:r>
      <w:proofErr w:type="spellStart"/>
      <w:r w:rsidRPr="001005B7">
        <w:rPr>
          <w:rFonts w:ascii="Calibri" w:eastAsia="Times New Roman" w:hAnsi="Calibri" w:cs="Calibri"/>
          <w:lang w:eastAsia="en-GB"/>
        </w:rPr>
        <w:t>M</w:t>
      </w:r>
      <w:r w:rsidR="001E3AC0" w:rsidRPr="001005B7">
        <w:rPr>
          <w:rFonts w:ascii="Calibri" w:eastAsia="Times New Roman" w:hAnsi="Calibri" w:cs="Calibri"/>
          <w:lang w:eastAsia="en-GB"/>
        </w:rPr>
        <w:t>artti</w:t>
      </w:r>
      <w:proofErr w:type="spellEnd"/>
      <w:r w:rsidRPr="001005B7">
        <w:rPr>
          <w:rFonts w:ascii="Calibri" w:eastAsia="Times New Roman" w:hAnsi="Calibri" w:cs="Calibri"/>
          <w:lang w:eastAsia="en-GB"/>
        </w:rPr>
        <w:t xml:space="preserve">. </w:t>
      </w:r>
      <w:r w:rsidR="004964A1" w:rsidRPr="001005B7">
        <w:rPr>
          <w:rFonts w:ascii="Calibri" w:eastAsia="Times New Roman" w:hAnsi="Calibri" w:cs="Calibri"/>
          <w:lang w:eastAsia="en-GB"/>
        </w:rPr>
        <w:t>“</w:t>
      </w:r>
      <w:r w:rsidRPr="001005B7">
        <w:rPr>
          <w:rFonts w:ascii="Calibri" w:eastAsia="Times New Roman" w:hAnsi="Calibri" w:cs="Calibri"/>
          <w:lang w:eastAsia="en-GB"/>
        </w:rPr>
        <w:t>(How) Does the Book of Ezekiel Reveal Its Babylonian Context?" </w:t>
      </w:r>
      <w:r w:rsidRPr="001005B7">
        <w:rPr>
          <w:rFonts w:ascii="Calibri" w:eastAsia="Times New Roman" w:hAnsi="Calibri" w:cs="Calibri"/>
          <w:i/>
          <w:iCs/>
          <w:lang w:eastAsia="en-GB"/>
        </w:rPr>
        <w:t>WO</w:t>
      </w:r>
      <w:r w:rsidRPr="001005B7">
        <w:rPr>
          <w:rFonts w:ascii="Calibri" w:eastAsia="Times New Roman" w:hAnsi="Calibri" w:cs="Calibri"/>
          <w:lang w:eastAsia="en-GB"/>
        </w:rPr>
        <w:t> 45 (2015)</w:t>
      </w:r>
      <w:r w:rsidR="004964A1" w:rsidRPr="001005B7">
        <w:rPr>
          <w:rFonts w:ascii="Calibri" w:eastAsia="Times New Roman" w:hAnsi="Calibri" w:cs="Calibri"/>
          <w:lang w:eastAsia="en-GB"/>
        </w:rPr>
        <w:t>:</w:t>
      </w:r>
      <w:r w:rsidRPr="001005B7">
        <w:rPr>
          <w:rFonts w:ascii="Calibri" w:eastAsia="Times New Roman" w:hAnsi="Calibri" w:cs="Calibri"/>
          <w:lang w:eastAsia="en-GB"/>
        </w:rPr>
        <w:t> 85</w:t>
      </w:r>
      <w:r w:rsidR="00F46900" w:rsidRPr="001005B7">
        <w:rPr>
          <w:rFonts w:ascii="Calibri" w:eastAsia="Times New Roman" w:hAnsi="Calibri" w:cs="Calibri"/>
          <w:lang w:eastAsia="en-GB"/>
        </w:rPr>
        <w:t>–</w:t>
      </w:r>
      <w:r w:rsidRPr="001005B7">
        <w:rPr>
          <w:rFonts w:ascii="Calibri" w:eastAsia="Times New Roman" w:hAnsi="Calibri" w:cs="Calibri"/>
          <w:lang w:eastAsia="en-GB"/>
        </w:rPr>
        <w:t>98.</w:t>
      </w:r>
    </w:p>
    <w:p w14:paraId="2EDF0672" w14:textId="51BA6BAA" w:rsidR="00AD14AF" w:rsidRPr="001005B7" w:rsidRDefault="00DC7045" w:rsidP="006F5BB0">
      <w:pPr>
        <w:pStyle w:val="ListParagraph"/>
        <w:rPr>
          <w:color w:val="auto"/>
          <w:lang w:val="en-US"/>
        </w:rPr>
      </w:pPr>
      <w:r w:rsidRPr="001005B7">
        <w:rPr>
          <w:color w:val="auto"/>
          <w:lang w:val="en-US"/>
        </w:rPr>
        <w:t>Olley, John W. “</w:t>
      </w:r>
      <w:r w:rsidR="00AD14AF" w:rsidRPr="001005B7">
        <w:rPr>
          <w:color w:val="auto"/>
          <w:lang w:val="en-US"/>
        </w:rPr>
        <w:t>Trajectories of Ezekiel</w:t>
      </w:r>
      <w:r w:rsidRPr="001005B7">
        <w:rPr>
          <w:color w:val="auto"/>
          <w:lang w:val="en-US"/>
        </w:rPr>
        <w:t xml:space="preserve">.” </w:t>
      </w:r>
      <w:r w:rsidRPr="001005B7">
        <w:rPr>
          <w:i/>
          <w:iCs/>
          <w:color w:val="auto"/>
          <w:lang w:val="en-US"/>
        </w:rPr>
        <w:t>Currents in Bibl</w:t>
      </w:r>
      <w:r w:rsidR="005D150D" w:rsidRPr="001005B7">
        <w:rPr>
          <w:i/>
          <w:iCs/>
          <w:color w:val="auto"/>
          <w:lang w:val="en-US"/>
        </w:rPr>
        <w:t>i</w:t>
      </w:r>
      <w:r w:rsidRPr="001005B7">
        <w:rPr>
          <w:i/>
          <w:iCs/>
          <w:color w:val="auto"/>
          <w:lang w:val="en-US"/>
        </w:rPr>
        <w:t>cal Research</w:t>
      </w:r>
      <w:r w:rsidR="005D150D" w:rsidRPr="001005B7">
        <w:rPr>
          <w:color w:val="auto"/>
          <w:lang w:val="en-US"/>
        </w:rPr>
        <w:t xml:space="preserve"> 9 (2011): 137</w:t>
      </w:r>
      <w:r w:rsidR="00F46900" w:rsidRPr="001005B7">
        <w:rPr>
          <w:color w:val="auto"/>
          <w:lang w:val="en-US"/>
        </w:rPr>
        <w:t>–</w:t>
      </w:r>
      <w:r w:rsidR="005D150D" w:rsidRPr="001005B7">
        <w:rPr>
          <w:color w:val="auto"/>
          <w:lang w:val="en-US"/>
        </w:rPr>
        <w:t>70;</w:t>
      </w:r>
      <w:r w:rsidR="00AA791C" w:rsidRPr="001005B7">
        <w:rPr>
          <w:color w:val="auto"/>
          <w:lang w:val="en-US"/>
        </w:rPr>
        <w:t xml:space="preserve"> 10 (20</w:t>
      </w:r>
      <w:r w:rsidR="000C4393" w:rsidRPr="001005B7">
        <w:rPr>
          <w:color w:val="auto"/>
          <w:lang w:val="en-US"/>
        </w:rPr>
        <w:t>11): 53</w:t>
      </w:r>
      <w:r w:rsidR="00F46900" w:rsidRPr="001005B7">
        <w:rPr>
          <w:color w:val="auto"/>
          <w:lang w:val="en-US"/>
        </w:rPr>
        <w:t>–</w:t>
      </w:r>
      <w:r w:rsidR="000C4393" w:rsidRPr="001005B7">
        <w:rPr>
          <w:color w:val="auto"/>
          <w:lang w:val="en-US"/>
        </w:rPr>
        <w:t>70.</w:t>
      </w:r>
    </w:p>
    <w:p w14:paraId="41C5EC62" w14:textId="0D385073" w:rsidR="0090264F" w:rsidRPr="001005B7" w:rsidRDefault="00472102" w:rsidP="006F5BB0">
      <w:pPr>
        <w:pStyle w:val="ListParagraph"/>
        <w:rPr>
          <w:color w:val="auto"/>
          <w:lang w:val="en-US"/>
        </w:rPr>
      </w:pPr>
      <w:r w:rsidRPr="001005B7">
        <w:rPr>
          <w:color w:val="auto"/>
          <w:lang w:val="en-US"/>
        </w:rPr>
        <w:t>Parker</w:t>
      </w:r>
      <w:r w:rsidR="0011092A" w:rsidRPr="001005B7">
        <w:rPr>
          <w:color w:val="auto"/>
          <w:lang w:val="en-US"/>
        </w:rPr>
        <w:t>, Richard A.,</w:t>
      </w:r>
      <w:r w:rsidRPr="001005B7">
        <w:rPr>
          <w:color w:val="auto"/>
          <w:lang w:val="en-US"/>
        </w:rPr>
        <w:t xml:space="preserve"> and Waldo A. </w:t>
      </w:r>
      <w:proofErr w:type="spellStart"/>
      <w:r w:rsidRPr="001005B7">
        <w:rPr>
          <w:color w:val="auto"/>
          <w:lang w:val="en-US"/>
        </w:rPr>
        <w:t>Dubberstein</w:t>
      </w:r>
      <w:proofErr w:type="spellEnd"/>
      <w:r w:rsidR="00E20362" w:rsidRPr="001005B7">
        <w:rPr>
          <w:color w:val="auto"/>
          <w:lang w:val="en-US"/>
        </w:rPr>
        <w:t>.</w:t>
      </w:r>
      <w:r w:rsidRPr="001005B7">
        <w:rPr>
          <w:i/>
          <w:iCs/>
          <w:color w:val="auto"/>
          <w:lang w:val="en-US"/>
        </w:rPr>
        <w:t xml:space="preserve"> Babylonian Chronology 626 B.C.—A.D. </w:t>
      </w:r>
      <w:r w:rsidRPr="001005B7">
        <w:rPr>
          <w:color w:val="auto"/>
          <w:lang w:val="en-US"/>
        </w:rPr>
        <w:t>Chicago: University of Chicago Press, 1942.</w:t>
      </w:r>
    </w:p>
    <w:p w14:paraId="5E65AD61" w14:textId="4A20A4DB" w:rsidR="001553F1" w:rsidRPr="001005B7" w:rsidRDefault="001553F1" w:rsidP="006F5BB0">
      <w:pPr>
        <w:pStyle w:val="ListParagraph"/>
        <w:rPr>
          <w:color w:val="auto"/>
          <w:lang w:val="en-US"/>
        </w:rPr>
      </w:pPr>
      <w:r w:rsidRPr="001005B7">
        <w:rPr>
          <w:color w:val="auto"/>
          <w:lang w:val="en-US"/>
        </w:rPr>
        <w:t xml:space="preserve">Patmore, </w:t>
      </w:r>
      <w:r w:rsidR="006C4772" w:rsidRPr="001005B7">
        <w:rPr>
          <w:color w:val="auto"/>
          <w:lang w:val="en-US"/>
        </w:rPr>
        <w:t xml:space="preserve">Hector M. “The Shorter and Longer Texts of Ezekiel: The Implications of the Manuscript Finds from Masada and Qumran.” </w:t>
      </w:r>
      <w:r w:rsidR="006C4772" w:rsidRPr="001005B7">
        <w:rPr>
          <w:i/>
          <w:iCs/>
          <w:color w:val="auto"/>
          <w:lang w:val="en-US"/>
        </w:rPr>
        <w:t>JSOT</w:t>
      </w:r>
      <w:r w:rsidR="006C4772" w:rsidRPr="001005B7">
        <w:rPr>
          <w:color w:val="auto"/>
          <w:lang w:val="en-US"/>
        </w:rPr>
        <w:t xml:space="preserve"> 32 (2007): 231</w:t>
      </w:r>
      <w:r w:rsidR="00F46900" w:rsidRPr="001005B7">
        <w:rPr>
          <w:color w:val="auto"/>
          <w:lang w:val="en-US"/>
        </w:rPr>
        <w:t>–</w:t>
      </w:r>
      <w:r w:rsidR="006C4772" w:rsidRPr="001005B7">
        <w:rPr>
          <w:color w:val="auto"/>
          <w:lang w:val="en-US"/>
        </w:rPr>
        <w:t>42.</w:t>
      </w:r>
    </w:p>
    <w:p w14:paraId="58A3F75D" w14:textId="59172CD8" w:rsidR="000C0865" w:rsidRPr="001005B7" w:rsidRDefault="000C0865" w:rsidP="006F5BB0">
      <w:pPr>
        <w:pStyle w:val="ListParagraph"/>
        <w:rPr>
          <w:color w:val="auto"/>
          <w:lang w:val="en-US"/>
        </w:rPr>
      </w:pPr>
      <w:r w:rsidRPr="001005B7">
        <w:rPr>
          <w:color w:val="auto"/>
          <w:lang w:val="en-US"/>
        </w:rPr>
        <w:t>Patton</w:t>
      </w:r>
      <w:r w:rsidR="00714A91" w:rsidRPr="001005B7">
        <w:rPr>
          <w:color w:val="auto"/>
          <w:lang w:val="en-US"/>
        </w:rPr>
        <w:t>, Corrine. “Pan-</w:t>
      </w:r>
      <w:proofErr w:type="spellStart"/>
      <w:r w:rsidR="00714A91" w:rsidRPr="001005B7">
        <w:rPr>
          <w:color w:val="auto"/>
          <w:lang w:val="en-US"/>
        </w:rPr>
        <w:t>Deuteronomism</w:t>
      </w:r>
      <w:proofErr w:type="spellEnd"/>
      <w:r w:rsidR="00714A91" w:rsidRPr="001005B7">
        <w:rPr>
          <w:color w:val="auto"/>
          <w:lang w:val="en-US"/>
        </w:rPr>
        <w:t xml:space="preserve"> and the Book of Ezekiel.”</w:t>
      </w:r>
      <w:r w:rsidR="007748E4" w:rsidRPr="001005B7">
        <w:rPr>
          <w:color w:val="auto"/>
          <w:lang w:val="en-US"/>
        </w:rPr>
        <w:t xml:space="preserve"> In Linda S. </w:t>
      </w:r>
      <w:proofErr w:type="spellStart"/>
      <w:r w:rsidR="007748E4" w:rsidRPr="001005B7">
        <w:rPr>
          <w:color w:val="auto"/>
          <w:lang w:val="en-US"/>
        </w:rPr>
        <w:t>Schearing</w:t>
      </w:r>
      <w:proofErr w:type="spellEnd"/>
      <w:r w:rsidR="00981798" w:rsidRPr="001005B7">
        <w:rPr>
          <w:color w:val="auto"/>
          <w:lang w:val="en-US"/>
        </w:rPr>
        <w:t xml:space="preserve"> and</w:t>
      </w:r>
      <w:r w:rsidR="007748E4" w:rsidRPr="001005B7">
        <w:rPr>
          <w:color w:val="auto"/>
          <w:lang w:val="en-US"/>
        </w:rPr>
        <w:t xml:space="preserve"> Steven L. McKenzie</w:t>
      </w:r>
      <w:r w:rsidR="00981798" w:rsidRPr="001005B7">
        <w:rPr>
          <w:color w:val="auto"/>
          <w:lang w:val="en-US"/>
        </w:rPr>
        <w:t>, ed.,</w:t>
      </w:r>
      <w:r w:rsidR="007748E4" w:rsidRPr="001005B7">
        <w:rPr>
          <w:color w:val="auto"/>
          <w:lang w:val="en-US"/>
        </w:rPr>
        <w:t xml:space="preserve"> </w:t>
      </w:r>
      <w:r w:rsidR="007748E4" w:rsidRPr="001005B7">
        <w:rPr>
          <w:i/>
          <w:iCs/>
          <w:color w:val="auto"/>
          <w:lang w:val="en-US"/>
        </w:rPr>
        <w:t xml:space="preserve">Those Elusive Deuteronomists: </w:t>
      </w:r>
      <w:r w:rsidR="00981798" w:rsidRPr="001005B7">
        <w:rPr>
          <w:i/>
          <w:iCs/>
          <w:color w:val="auto"/>
          <w:lang w:val="en-US"/>
        </w:rPr>
        <w:t>“</w:t>
      </w:r>
      <w:proofErr w:type="spellStart"/>
      <w:r w:rsidR="007748E4" w:rsidRPr="001005B7">
        <w:rPr>
          <w:i/>
          <w:iCs/>
          <w:color w:val="auto"/>
          <w:lang w:val="en-US"/>
        </w:rPr>
        <w:t>Pandeuteronomism</w:t>
      </w:r>
      <w:proofErr w:type="spellEnd"/>
      <w:r w:rsidR="00981798" w:rsidRPr="001005B7">
        <w:rPr>
          <w:i/>
          <w:iCs/>
          <w:color w:val="auto"/>
          <w:lang w:val="en-US"/>
        </w:rPr>
        <w:t>”</w:t>
      </w:r>
      <w:r w:rsidR="007748E4" w:rsidRPr="001005B7">
        <w:rPr>
          <w:i/>
          <w:iCs/>
          <w:color w:val="auto"/>
          <w:lang w:val="en-US"/>
        </w:rPr>
        <w:t xml:space="preserve"> and Scholarship in the Nineties</w:t>
      </w:r>
      <w:r w:rsidR="00A83885" w:rsidRPr="001005B7">
        <w:rPr>
          <w:i/>
          <w:iCs/>
          <w:color w:val="auto"/>
          <w:lang w:val="en-US"/>
        </w:rPr>
        <w:t xml:space="preserve">, </w:t>
      </w:r>
      <w:r w:rsidR="00A83885" w:rsidRPr="001005B7">
        <w:rPr>
          <w:color w:val="auto"/>
          <w:lang w:val="en-US"/>
        </w:rPr>
        <w:t>200</w:t>
      </w:r>
      <w:r w:rsidR="00F46900" w:rsidRPr="001005B7">
        <w:rPr>
          <w:color w:val="auto"/>
          <w:lang w:val="en-US"/>
        </w:rPr>
        <w:t>–</w:t>
      </w:r>
      <w:r w:rsidR="00A83885" w:rsidRPr="001005B7">
        <w:rPr>
          <w:color w:val="auto"/>
          <w:lang w:val="en-US"/>
        </w:rPr>
        <w:t xml:space="preserve">15. </w:t>
      </w:r>
      <w:proofErr w:type="spellStart"/>
      <w:r w:rsidR="00203E61">
        <w:rPr>
          <w:color w:val="auto"/>
          <w:lang w:val="en-US"/>
        </w:rPr>
        <w:t>JSOTSup</w:t>
      </w:r>
      <w:proofErr w:type="spellEnd"/>
      <w:r w:rsidR="00203E61">
        <w:rPr>
          <w:color w:val="auto"/>
          <w:lang w:val="en-US"/>
        </w:rPr>
        <w:t xml:space="preserve"> 268. </w:t>
      </w:r>
      <w:r w:rsidR="000B7F31">
        <w:rPr>
          <w:color w:val="auto"/>
          <w:lang w:val="en-US"/>
        </w:rPr>
        <w:t>Sheffield: Sheffield Academic Press, 1999.</w:t>
      </w:r>
    </w:p>
    <w:p w14:paraId="1FAEFB46" w14:textId="76F30B8A" w:rsidR="0090680B" w:rsidRPr="001005B7" w:rsidRDefault="00F66063" w:rsidP="006F5BB0">
      <w:pPr>
        <w:pStyle w:val="ListParagraph"/>
        <w:rPr>
          <w:color w:val="auto"/>
          <w:lang w:val="en-US"/>
        </w:rPr>
      </w:pPr>
      <w:r w:rsidRPr="001005B7">
        <w:rPr>
          <w:color w:val="auto"/>
          <w:lang w:val="en-US"/>
        </w:rPr>
        <w:t xml:space="preserve">Pearce, </w:t>
      </w:r>
      <w:r w:rsidR="0090680B" w:rsidRPr="001005B7">
        <w:rPr>
          <w:color w:val="auto"/>
          <w:lang w:val="en-US"/>
        </w:rPr>
        <w:t xml:space="preserve">Laurie E. </w:t>
      </w:r>
      <w:r w:rsidRPr="001005B7">
        <w:rPr>
          <w:color w:val="auto"/>
          <w:lang w:val="en-US"/>
        </w:rPr>
        <w:t>“</w:t>
      </w:r>
      <w:r w:rsidR="0090680B" w:rsidRPr="001005B7">
        <w:rPr>
          <w:color w:val="auto"/>
          <w:lang w:val="en-US"/>
        </w:rPr>
        <w:t>Continuity and Normality in Sources Relating to the Judean Exile</w:t>
      </w:r>
      <w:r w:rsidRPr="001005B7">
        <w:rPr>
          <w:color w:val="auto"/>
          <w:lang w:val="en-US"/>
        </w:rPr>
        <w:t xml:space="preserve">.” </w:t>
      </w:r>
      <w:proofErr w:type="spellStart"/>
      <w:r w:rsidRPr="001005B7">
        <w:rPr>
          <w:i/>
          <w:iCs/>
          <w:color w:val="auto"/>
          <w:lang w:val="en-US"/>
        </w:rPr>
        <w:t>HeBAI</w:t>
      </w:r>
      <w:proofErr w:type="spellEnd"/>
      <w:r w:rsidRPr="001005B7">
        <w:rPr>
          <w:color w:val="auto"/>
          <w:lang w:val="en-US"/>
        </w:rPr>
        <w:t xml:space="preserve"> 3 (2014): </w:t>
      </w:r>
      <w:r w:rsidR="005C1B31" w:rsidRPr="001005B7">
        <w:rPr>
          <w:color w:val="auto"/>
          <w:lang w:val="en-US"/>
        </w:rPr>
        <w:t>163</w:t>
      </w:r>
      <w:r w:rsidR="00F46900" w:rsidRPr="001005B7">
        <w:rPr>
          <w:color w:val="auto"/>
          <w:lang w:val="en-US"/>
        </w:rPr>
        <w:t>–</w:t>
      </w:r>
      <w:r w:rsidR="005C1B31" w:rsidRPr="001005B7">
        <w:rPr>
          <w:color w:val="auto"/>
          <w:lang w:val="en-US"/>
        </w:rPr>
        <w:t>84.</w:t>
      </w:r>
    </w:p>
    <w:p w14:paraId="0B627EB6" w14:textId="2825235B" w:rsidR="00D4540C" w:rsidRPr="001005B7" w:rsidRDefault="00D4540C" w:rsidP="006F5BB0">
      <w:pPr>
        <w:pStyle w:val="ListParagraph"/>
        <w:rPr>
          <w:color w:val="auto"/>
          <w:lang w:val="en-US"/>
        </w:rPr>
      </w:pPr>
      <w:r w:rsidRPr="001005B7">
        <w:rPr>
          <w:color w:val="auto"/>
          <w:lang w:val="en-US"/>
        </w:rPr>
        <w:t>Peterson, Brian Ne</w:t>
      </w:r>
      <w:r w:rsidR="00E84DF0" w:rsidRPr="001005B7">
        <w:rPr>
          <w:color w:val="auto"/>
          <w:lang w:val="en-US"/>
        </w:rPr>
        <w:t>i</w:t>
      </w:r>
      <w:r w:rsidRPr="001005B7">
        <w:rPr>
          <w:color w:val="auto"/>
          <w:lang w:val="en-US"/>
        </w:rPr>
        <w:t xml:space="preserve">l. </w:t>
      </w:r>
      <w:r w:rsidRPr="001005B7">
        <w:rPr>
          <w:i/>
          <w:iCs/>
          <w:color w:val="auto"/>
          <w:lang w:val="en-US"/>
        </w:rPr>
        <w:t>Ezekiel in Context</w:t>
      </w:r>
      <w:r w:rsidR="008A2738" w:rsidRPr="001005B7">
        <w:rPr>
          <w:i/>
          <w:iCs/>
          <w:color w:val="auto"/>
          <w:lang w:val="en-US"/>
        </w:rPr>
        <w:t xml:space="preserve">: </w:t>
      </w:r>
      <w:r w:rsidR="00F865E5" w:rsidRPr="001005B7">
        <w:rPr>
          <w:rStyle w:val="Strong"/>
          <w:rFonts w:asciiTheme="minorHAnsi" w:hAnsiTheme="minorHAnsi" w:cstheme="minorHAnsi"/>
          <w:b w:val="0"/>
          <w:bCs w:val="0"/>
          <w:i/>
          <w:iCs/>
          <w:color w:val="auto"/>
          <w:lang w:val="en-US"/>
        </w:rPr>
        <w:t>Ezekiel's</w:t>
      </w:r>
      <w:r w:rsidR="00F865E5" w:rsidRPr="001005B7">
        <w:rPr>
          <w:i/>
          <w:iCs/>
          <w:color w:val="auto"/>
          <w:lang w:val="en-US"/>
        </w:rPr>
        <w:t> Message Understood in its Historical Setting of Covenant Curses and Ancient Near Eastern Mythological Motifs</w:t>
      </w:r>
      <w:r w:rsidR="00690AE2" w:rsidRPr="001005B7">
        <w:rPr>
          <w:color w:val="auto"/>
          <w:lang w:val="en-US"/>
        </w:rPr>
        <w:t xml:space="preserve">. </w:t>
      </w:r>
      <w:r w:rsidR="00C504E0" w:rsidRPr="001005B7">
        <w:rPr>
          <w:color w:val="auto"/>
          <w:lang w:val="en-US"/>
        </w:rPr>
        <w:t xml:space="preserve">Eugene, OR: </w:t>
      </w:r>
      <w:r w:rsidR="00F3458A" w:rsidRPr="001005B7">
        <w:rPr>
          <w:color w:val="auto"/>
          <w:lang w:val="en-US"/>
        </w:rPr>
        <w:t>Pickwick, 2012.</w:t>
      </w:r>
    </w:p>
    <w:p w14:paraId="577F8F62" w14:textId="25F4E708" w:rsidR="00F86845" w:rsidRDefault="00F86845" w:rsidP="00F86845">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Peterson, B</w:t>
      </w:r>
      <w:r>
        <w:rPr>
          <w:rFonts w:ascii="Calibri" w:eastAsia="Times New Roman" w:hAnsi="Calibri" w:cs="Calibri"/>
          <w:color w:val="000000"/>
          <w:lang w:eastAsia="en-GB"/>
        </w:rPr>
        <w:t>rian</w:t>
      </w:r>
      <w:r w:rsidRPr="005469A6">
        <w:rPr>
          <w:rFonts w:ascii="Calibri" w:eastAsia="Times New Roman" w:hAnsi="Calibri" w:cs="Calibri"/>
          <w:color w:val="000000"/>
          <w:lang w:eastAsia="en-GB"/>
        </w:rPr>
        <w:t xml:space="preserve"> N</w:t>
      </w:r>
      <w:r>
        <w:rPr>
          <w:rFonts w:ascii="Calibri" w:eastAsia="Times New Roman" w:hAnsi="Calibri" w:cs="Calibri"/>
          <w:color w:val="000000"/>
          <w:lang w:eastAsia="en-GB"/>
        </w:rPr>
        <w:t>eil.</w:t>
      </w:r>
      <w:r w:rsidRPr="005469A6">
        <w:rPr>
          <w:rFonts w:ascii="Calibri" w:eastAsia="Times New Roman" w:hAnsi="Calibri" w:cs="Calibri"/>
          <w:color w:val="000000"/>
          <w:lang w:eastAsia="en-GB"/>
        </w:rPr>
        <w:t> </w:t>
      </w:r>
      <w:r w:rsidRPr="00D6796C">
        <w:rPr>
          <w:rFonts w:ascii="Calibri" w:eastAsia="Times New Roman" w:hAnsi="Calibri" w:cs="Calibri"/>
          <w:i/>
          <w:iCs/>
          <w:color w:val="000000"/>
          <w:lang w:eastAsia="en-GB"/>
        </w:rPr>
        <w:t>John's Use of Ezekiel: Understanding the Unique Perspective of the Fourth Gospel</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Minneapolis, MN: Fortress, 2015.</w:t>
      </w:r>
    </w:p>
    <w:p w14:paraId="0DD3CC00" w14:textId="550C9871" w:rsidR="007C5677" w:rsidRPr="001005B7" w:rsidRDefault="007C5677" w:rsidP="006F5BB0">
      <w:pPr>
        <w:pStyle w:val="ListParagraph"/>
        <w:rPr>
          <w:color w:val="auto"/>
          <w:lang w:val="en-US"/>
        </w:rPr>
      </w:pPr>
      <w:proofErr w:type="spellStart"/>
      <w:r w:rsidRPr="001005B7">
        <w:rPr>
          <w:color w:val="auto"/>
          <w:lang w:val="en-US"/>
        </w:rPr>
        <w:t>Pikor</w:t>
      </w:r>
      <w:proofErr w:type="spellEnd"/>
      <w:r w:rsidRPr="001005B7">
        <w:rPr>
          <w:color w:val="auto"/>
          <w:lang w:val="en-US"/>
        </w:rPr>
        <w:t xml:space="preserve">, </w:t>
      </w:r>
      <w:r w:rsidR="005C4A4B" w:rsidRPr="001005B7">
        <w:rPr>
          <w:color w:val="auto"/>
          <w:lang w:val="en-US"/>
        </w:rPr>
        <w:t>Wojc</w:t>
      </w:r>
      <w:r w:rsidR="0007757E" w:rsidRPr="001005B7">
        <w:rPr>
          <w:color w:val="auto"/>
          <w:lang w:val="en-US"/>
        </w:rPr>
        <w:t xml:space="preserve">iech. </w:t>
      </w:r>
      <w:r w:rsidR="005027E3" w:rsidRPr="001005B7">
        <w:rPr>
          <w:i/>
          <w:iCs/>
          <w:color w:val="auto"/>
          <w:lang w:val="en-US"/>
        </w:rPr>
        <w:t>The Land of Israel in the Book of Ezekiel</w:t>
      </w:r>
      <w:r w:rsidR="005027E3" w:rsidRPr="001005B7">
        <w:rPr>
          <w:color w:val="auto"/>
          <w:lang w:val="en-US"/>
        </w:rPr>
        <w:t xml:space="preserve">. </w:t>
      </w:r>
      <w:r w:rsidR="00434D05" w:rsidRPr="001005B7">
        <w:rPr>
          <w:color w:val="auto"/>
          <w:lang w:val="en-US"/>
        </w:rPr>
        <w:t xml:space="preserve">LHBOTS 667. </w:t>
      </w:r>
      <w:r w:rsidR="004954B2" w:rsidRPr="001005B7">
        <w:rPr>
          <w:color w:val="auto"/>
          <w:lang w:val="en-US"/>
        </w:rPr>
        <w:t xml:space="preserve">London: T&amp;T Clark, </w:t>
      </w:r>
      <w:r w:rsidR="009E24F1" w:rsidRPr="001005B7">
        <w:rPr>
          <w:color w:val="auto"/>
          <w:lang w:val="en-US"/>
        </w:rPr>
        <w:t>2018.</w:t>
      </w:r>
    </w:p>
    <w:p w14:paraId="5B963BA8" w14:textId="061C2BBD" w:rsidR="00370D41" w:rsidRDefault="00370D41" w:rsidP="00370D41">
      <w:pPr>
        <w:spacing w:after="60" w:line="240" w:lineRule="auto"/>
        <w:ind w:left="567" w:hanging="567"/>
      </w:pPr>
      <w:r>
        <w:t xml:space="preserve">Pilch. John J. </w:t>
      </w:r>
      <w:r w:rsidR="00757A39">
        <w:t>“</w:t>
      </w:r>
      <w:r>
        <w:t>Ezekiel: An Altered State of Consciousness Experience.</w:t>
      </w:r>
      <w:r w:rsidR="0065794D">
        <w:t xml:space="preserve">” In Philip S. </w:t>
      </w:r>
      <w:proofErr w:type="spellStart"/>
      <w:r w:rsidR="0065794D">
        <w:t>Esler</w:t>
      </w:r>
      <w:proofErr w:type="spellEnd"/>
      <w:r w:rsidR="0065794D">
        <w:t>, ed.,</w:t>
      </w:r>
      <w:r>
        <w:t xml:space="preserve"> </w:t>
      </w:r>
      <w:r w:rsidRPr="00BB35EC">
        <w:rPr>
          <w:i/>
          <w:iCs/>
        </w:rPr>
        <w:t>Ancient Israel: The Old Testament in Its Social Context</w:t>
      </w:r>
      <w:r w:rsidR="0065794D">
        <w:t>, 208–22</w:t>
      </w:r>
      <w:r>
        <w:t>. London: SCM</w:t>
      </w:r>
      <w:r w:rsidR="00757A39">
        <w:t>, 2009.</w:t>
      </w:r>
    </w:p>
    <w:p w14:paraId="5567A43D" w14:textId="7F44CC2D" w:rsidR="00BD0F12" w:rsidRPr="001005B7" w:rsidRDefault="004C79C7" w:rsidP="006F5BB0">
      <w:pPr>
        <w:pStyle w:val="ListParagraph"/>
        <w:rPr>
          <w:rStyle w:val="main-heading"/>
          <w:color w:val="auto"/>
          <w:bdr w:val="none" w:sz="0" w:space="0" w:color="auto" w:frame="1"/>
          <w:lang w:val="en-US"/>
        </w:rPr>
      </w:pPr>
      <w:proofErr w:type="spellStart"/>
      <w:r w:rsidRPr="001005B7">
        <w:rPr>
          <w:color w:val="auto"/>
          <w:lang w:val="en-US"/>
        </w:rPr>
        <w:t>Pohlmann</w:t>
      </w:r>
      <w:proofErr w:type="spellEnd"/>
      <w:r w:rsidRPr="001005B7">
        <w:rPr>
          <w:color w:val="auto"/>
          <w:lang w:val="en-US"/>
        </w:rPr>
        <w:t xml:space="preserve">, Karl-Friedrich. “La question </w:t>
      </w:r>
      <w:r w:rsidR="00F14900" w:rsidRPr="001005B7">
        <w:rPr>
          <w:color w:val="auto"/>
          <w:lang w:val="en-US"/>
        </w:rPr>
        <w:t xml:space="preserve">de la formation du livre </w:t>
      </w:r>
      <w:proofErr w:type="spellStart"/>
      <w:r w:rsidR="00F14900" w:rsidRPr="001005B7">
        <w:rPr>
          <w:color w:val="auto"/>
          <w:lang w:val="en-US"/>
        </w:rPr>
        <w:t>d’Ez</w:t>
      </w:r>
      <w:r w:rsidR="00C550F9" w:rsidRPr="001005B7">
        <w:rPr>
          <w:color w:val="auto"/>
          <w:lang w:val="en-US"/>
        </w:rPr>
        <w:t>échiel</w:t>
      </w:r>
      <w:proofErr w:type="spellEnd"/>
      <w:r w:rsidR="00C550F9" w:rsidRPr="001005B7">
        <w:rPr>
          <w:color w:val="auto"/>
          <w:lang w:val="en-US"/>
        </w:rPr>
        <w:t xml:space="preserve">.” </w:t>
      </w:r>
      <w:r w:rsidR="00AE1D24" w:rsidRPr="001005B7">
        <w:rPr>
          <w:color w:val="auto"/>
          <w:lang w:val="en-US"/>
        </w:rPr>
        <w:t xml:space="preserve">In </w:t>
      </w:r>
      <w:r w:rsidR="00FD6BD7" w:rsidRPr="001005B7">
        <w:rPr>
          <w:color w:val="auto"/>
          <w:lang w:val="en-US"/>
        </w:rPr>
        <w:t xml:space="preserve">Jean-Daniel </w:t>
      </w:r>
      <w:hyperlink r:id="rId10" w:tooltip="Macchi, Jean-Daniel; Römer, Thomas" w:history="1">
        <w:proofErr w:type="spellStart"/>
        <w:r w:rsidR="00920C13" w:rsidRPr="001005B7">
          <w:rPr>
            <w:rStyle w:val="large"/>
            <w:color w:val="auto"/>
            <w:bdr w:val="none" w:sz="0" w:space="0" w:color="auto" w:frame="1"/>
            <w:lang w:val="en-US"/>
          </w:rPr>
          <w:t>Macchi</w:t>
        </w:r>
        <w:proofErr w:type="spellEnd"/>
        <w:r w:rsidR="00920C13" w:rsidRPr="001005B7">
          <w:rPr>
            <w:rStyle w:val="large"/>
            <w:color w:val="auto"/>
            <w:bdr w:val="none" w:sz="0" w:space="0" w:color="auto" w:frame="1"/>
            <w:lang w:val="en-US"/>
          </w:rPr>
          <w:t xml:space="preserve">, </w:t>
        </w:r>
        <w:r w:rsidR="00EE35B8" w:rsidRPr="001005B7">
          <w:rPr>
            <w:rStyle w:val="large"/>
            <w:color w:val="auto"/>
            <w:bdr w:val="none" w:sz="0" w:space="0" w:color="auto" w:frame="1"/>
            <w:lang w:val="en-US"/>
          </w:rPr>
          <w:t xml:space="preserve">Christoph </w:t>
        </w:r>
        <w:proofErr w:type="spellStart"/>
        <w:r w:rsidR="00EE35B8" w:rsidRPr="001005B7">
          <w:rPr>
            <w:rStyle w:val="large"/>
            <w:color w:val="auto"/>
            <w:bdr w:val="none" w:sz="0" w:space="0" w:color="auto" w:frame="1"/>
            <w:lang w:val="en-US"/>
          </w:rPr>
          <w:t>Nihan</w:t>
        </w:r>
        <w:proofErr w:type="spellEnd"/>
        <w:r w:rsidR="00EE35B8" w:rsidRPr="001005B7">
          <w:rPr>
            <w:rStyle w:val="large"/>
            <w:color w:val="auto"/>
            <w:bdr w:val="none" w:sz="0" w:space="0" w:color="auto" w:frame="1"/>
            <w:lang w:val="en-US"/>
          </w:rPr>
          <w:t xml:space="preserve">, </w:t>
        </w:r>
        <w:r w:rsidR="00FD6BD7" w:rsidRPr="001005B7">
          <w:rPr>
            <w:rStyle w:val="large"/>
            <w:color w:val="auto"/>
            <w:bdr w:val="none" w:sz="0" w:space="0" w:color="auto" w:frame="1"/>
            <w:lang w:val="en-US"/>
          </w:rPr>
          <w:t>T</w:t>
        </w:r>
        <w:r w:rsidR="00EE35B8" w:rsidRPr="001005B7">
          <w:rPr>
            <w:rStyle w:val="large"/>
            <w:color w:val="auto"/>
            <w:bdr w:val="none" w:sz="0" w:space="0" w:color="auto" w:frame="1"/>
            <w:lang w:val="en-US"/>
          </w:rPr>
          <w:t>h</w:t>
        </w:r>
        <w:r w:rsidR="00FD6BD7" w:rsidRPr="001005B7">
          <w:rPr>
            <w:rStyle w:val="large"/>
            <w:color w:val="auto"/>
            <w:bdr w:val="none" w:sz="0" w:space="0" w:color="auto" w:frame="1"/>
            <w:lang w:val="en-US"/>
          </w:rPr>
          <w:t>omas</w:t>
        </w:r>
        <w:r w:rsidR="00920C13" w:rsidRPr="001005B7">
          <w:rPr>
            <w:rStyle w:val="large"/>
            <w:color w:val="auto"/>
            <w:bdr w:val="none" w:sz="0" w:space="0" w:color="auto" w:frame="1"/>
            <w:lang w:val="en-US"/>
          </w:rPr>
          <w:t xml:space="preserve"> </w:t>
        </w:r>
        <w:proofErr w:type="spellStart"/>
        <w:r w:rsidR="00920C13" w:rsidRPr="001005B7">
          <w:rPr>
            <w:rStyle w:val="large"/>
            <w:color w:val="auto"/>
            <w:bdr w:val="none" w:sz="0" w:space="0" w:color="auto" w:frame="1"/>
            <w:lang w:val="en-US"/>
          </w:rPr>
          <w:t>Römer</w:t>
        </w:r>
        <w:proofErr w:type="spellEnd"/>
        <w:r w:rsidR="00920C13" w:rsidRPr="001005B7">
          <w:rPr>
            <w:rStyle w:val="large"/>
            <w:color w:val="auto"/>
            <w:bdr w:val="none" w:sz="0" w:space="0" w:color="auto" w:frame="1"/>
            <w:lang w:val="en-US"/>
          </w:rPr>
          <w:t xml:space="preserve">, </w:t>
        </w:r>
      </w:hyperlink>
      <w:r w:rsidR="00E14961" w:rsidRPr="001005B7">
        <w:rPr>
          <w:color w:val="auto"/>
          <w:lang w:val="en-US"/>
        </w:rPr>
        <w:t xml:space="preserve">and Jan </w:t>
      </w:r>
      <w:proofErr w:type="spellStart"/>
      <w:r w:rsidR="00E14961" w:rsidRPr="001005B7">
        <w:rPr>
          <w:color w:val="auto"/>
          <w:lang w:val="en-US"/>
        </w:rPr>
        <w:t>R</w:t>
      </w:r>
      <w:r w:rsidR="00AE1D24" w:rsidRPr="001005B7">
        <w:rPr>
          <w:color w:val="auto"/>
          <w:lang w:val="en-US"/>
        </w:rPr>
        <w:t>ück</w:t>
      </w:r>
      <w:proofErr w:type="spellEnd"/>
      <w:r w:rsidR="00AE1D24" w:rsidRPr="001005B7">
        <w:rPr>
          <w:color w:val="auto"/>
          <w:lang w:val="en-US"/>
        </w:rPr>
        <w:t xml:space="preserve">, ed., </w:t>
      </w:r>
      <w:r w:rsidR="00FD6BD7" w:rsidRPr="001005B7">
        <w:rPr>
          <w:rStyle w:val="main-heading"/>
          <w:i/>
          <w:iCs/>
          <w:color w:val="auto"/>
          <w:bdr w:val="none" w:sz="0" w:space="0" w:color="auto" w:frame="1"/>
          <w:lang w:val="en-US"/>
        </w:rPr>
        <w:t xml:space="preserve">Les </w:t>
      </w:r>
      <w:proofErr w:type="spellStart"/>
      <w:r w:rsidR="00FD6BD7" w:rsidRPr="001005B7">
        <w:rPr>
          <w:rStyle w:val="main-heading"/>
          <w:i/>
          <w:iCs/>
          <w:color w:val="auto"/>
          <w:bdr w:val="none" w:sz="0" w:space="0" w:color="auto" w:frame="1"/>
          <w:lang w:val="en-US"/>
        </w:rPr>
        <w:t>recueils</w:t>
      </w:r>
      <w:proofErr w:type="spellEnd"/>
      <w:r w:rsidR="00FD6BD7" w:rsidRPr="001005B7">
        <w:rPr>
          <w:rStyle w:val="main-heading"/>
          <w:i/>
          <w:iCs/>
          <w:color w:val="auto"/>
          <w:bdr w:val="none" w:sz="0" w:space="0" w:color="auto" w:frame="1"/>
          <w:lang w:val="en-US"/>
        </w:rPr>
        <w:t xml:space="preserve"> </w:t>
      </w:r>
      <w:proofErr w:type="spellStart"/>
      <w:r w:rsidR="00FD6BD7" w:rsidRPr="001005B7">
        <w:rPr>
          <w:rStyle w:val="main-heading"/>
          <w:i/>
          <w:iCs/>
          <w:color w:val="auto"/>
          <w:bdr w:val="none" w:sz="0" w:space="0" w:color="auto" w:frame="1"/>
          <w:lang w:val="en-US"/>
        </w:rPr>
        <w:t>prophétiques</w:t>
      </w:r>
      <w:proofErr w:type="spellEnd"/>
      <w:r w:rsidR="00FD6BD7" w:rsidRPr="001005B7">
        <w:rPr>
          <w:rStyle w:val="main-heading"/>
          <w:i/>
          <w:iCs/>
          <w:color w:val="auto"/>
          <w:bdr w:val="none" w:sz="0" w:space="0" w:color="auto" w:frame="1"/>
          <w:lang w:val="en-US"/>
        </w:rPr>
        <w:t xml:space="preserve"> de la Bible: </w:t>
      </w:r>
      <w:proofErr w:type="spellStart"/>
      <w:r w:rsidR="00FD6BD7" w:rsidRPr="001005B7">
        <w:rPr>
          <w:rStyle w:val="main-heading"/>
          <w:i/>
          <w:iCs/>
          <w:color w:val="auto"/>
          <w:bdr w:val="none" w:sz="0" w:space="0" w:color="auto" w:frame="1"/>
          <w:lang w:val="en-US"/>
        </w:rPr>
        <w:t>Origines</w:t>
      </w:r>
      <w:proofErr w:type="spellEnd"/>
      <w:r w:rsidR="00FD6BD7" w:rsidRPr="001005B7">
        <w:rPr>
          <w:rStyle w:val="main-heading"/>
          <w:i/>
          <w:iCs/>
          <w:color w:val="auto"/>
          <w:bdr w:val="none" w:sz="0" w:space="0" w:color="auto" w:frame="1"/>
          <w:lang w:val="en-US"/>
        </w:rPr>
        <w:t xml:space="preserve">, milieux et </w:t>
      </w:r>
      <w:proofErr w:type="spellStart"/>
      <w:r w:rsidR="00FD6BD7" w:rsidRPr="001005B7">
        <w:rPr>
          <w:rStyle w:val="main-heading"/>
          <w:i/>
          <w:iCs/>
          <w:color w:val="auto"/>
          <w:bdr w:val="none" w:sz="0" w:space="0" w:color="auto" w:frame="1"/>
          <w:lang w:val="en-US"/>
        </w:rPr>
        <w:t>contexte</w:t>
      </w:r>
      <w:proofErr w:type="spellEnd"/>
      <w:r w:rsidR="00FD6BD7" w:rsidRPr="001005B7">
        <w:rPr>
          <w:rStyle w:val="main-heading"/>
          <w:i/>
          <w:iCs/>
          <w:color w:val="auto"/>
          <w:bdr w:val="none" w:sz="0" w:space="0" w:color="auto" w:frame="1"/>
          <w:lang w:val="en-US"/>
        </w:rPr>
        <w:t xml:space="preserve"> </w:t>
      </w:r>
      <w:proofErr w:type="spellStart"/>
      <w:r w:rsidR="00FD6BD7" w:rsidRPr="001005B7">
        <w:rPr>
          <w:rStyle w:val="main-heading"/>
          <w:i/>
          <w:iCs/>
          <w:color w:val="auto"/>
          <w:bdr w:val="none" w:sz="0" w:space="0" w:color="auto" w:frame="1"/>
          <w:lang w:val="en-US"/>
        </w:rPr>
        <w:t>proche</w:t>
      </w:r>
      <w:proofErr w:type="spellEnd"/>
      <w:r w:rsidR="00FD6BD7" w:rsidRPr="001005B7">
        <w:rPr>
          <w:rStyle w:val="main-heading"/>
          <w:i/>
          <w:iCs/>
          <w:color w:val="auto"/>
          <w:bdr w:val="none" w:sz="0" w:space="0" w:color="auto" w:frame="1"/>
          <w:lang w:val="en-US"/>
        </w:rPr>
        <w:t>-oriental</w:t>
      </w:r>
      <w:r w:rsidR="00357E94" w:rsidRPr="001005B7">
        <w:rPr>
          <w:rStyle w:val="main-heading"/>
          <w:color w:val="auto"/>
          <w:bdr w:val="none" w:sz="0" w:space="0" w:color="auto" w:frame="1"/>
          <w:lang w:val="en-US"/>
        </w:rPr>
        <w:t xml:space="preserve">, </w:t>
      </w:r>
      <w:r w:rsidR="00444BFB" w:rsidRPr="001005B7">
        <w:rPr>
          <w:rStyle w:val="main-heading"/>
          <w:color w:val="auto"/>
          <w:bdr w:val="none" w:sz="0" w:space="0" w:color="auto" w:frame="1"/>
          <w:lang w:val="en-US"/>
        </w:rPr>
        <w:t>309</w:t>
      </w:r>
      <w:r w:rsidR="00F46900" w:rsidRPr="001005B7">
        <w:rPr>
          <w:rStyle w:val="main-heading"/>
          <w:color w:val="auto"/>
          <w:bdr w:val="none" w:sz="0" w:space="0" w:color="auto" w:frame="1"/>
          <w:lang w:val="en-US"/>
        </w:rPr>
        <w:t>–</w:t>
      </w:r>
      <w:r w:rsidR="00444BFB" w:rsidRPr="001005B7">
        <w:rPr>
          <w:rStyle w:val="main-heading"/>
          <w:color w:val="auto"/>
          <w:bdr w:val="none" w:sz="0" w:space="0" w:color="auto" w:frame="1"/>
          <w:lang w:val="en-US"/>
        </w:rPr>
        <w:t>36.</w:t>
      </w:r>
      <w:r w:rsidR="005F1FEA" w:rsidRPr="001005B7">
        <w:rPr>
          <w:rStyle w:val="main-heading"/>
          <w:color w:val="auto"/>
          <w:bdr w:val="none" w:sz="0" w:space="0" w:color="auto" w:frame="1"/>
          <w:lang w:val="en-US"/>
        </w:rPr>
        <w:t xml:space="preserve"> </w:t>
      </w:r>
      <w:r w:rsidR="00B308EE" w:rsidRPr="001005B7">
        <w:rPr>
          <w:rStyle w:val="main-heading"/>
          <w:color w:val="auto"/>
          <w:bdr w:val="none" w:sz="0" w:space="0" w:color="auto" w:frame="1"/>
          <w:lang w:val="en-US"/>
        </w:rPr>
        <w:t>Geneva</w:t>
      </w:r>
      <w:r w:rsidR="00224CE7" w:rsidRPr="001005B7">
        <w:rPr>
          <w:rStyle w:val="main-heading"/>
          <w:color w:val="auto"/>
          <w:bdr w:val="none" w:sz="0" w:space="0" w:color="auto" w:frame="1"/>
          <w:lang w:val="en-US"/>
        </w:rPr>
        <w:t>: Labor et Fides, 2012.</w:t>
      </w:r>
    </w:p>
    <w:p w14:paraId="42DAB2CA" w14:textId="7AE87512" w:rsidR="00BD0F12" w:rsidRPr="001005B7" w:rsidRDefault="00033DFC" w:rsidP="006F5BB0">
      <w:pPr>
        <w:pStyle w:val="ListParagraph"/>
        <w:rPr>
          <w:color w:val="auto"/>
          <w:lang w:val="en-US"/>
        </w:rPr>
      </w:pPr>
      <w:r w:rsidRPr="001005B7">
        <w:rPr>
          <w:i/>
          <w:iCs/>
          <w:color w:val="auto"/>
          <w:lang w:val="en-US"/>
        </w:rPr>
        <w:t>–––</w:t>
      </w:r>
      <w:r w:rsidR="00CD0F5B" w:rsidRPr="001005B7">
        <w:rPr>
          <w:rStyle w:val="main-heading"/>
          <w:color w:val="auto"/>
          <w:bdr w:val="none" w:sz="0" w:space="0" w:color="auto" w:frame="1"/>
          <w:lang w:val="en-US"/>
        </w:rPr>
        <w:t>“</w:t>
      </w:r>
      <w:proofErr w:type="spellStart"/>
      <w:r w:rsidR="00CD0F5B" w:rsidRPr="001005B7">
        <w:rPr>
          <w:rStyle w:val="main-heading"/>
          <w:color w:val="auto"/>
          <w:bdr w:val="none" w:sz="0" w:space="0" w:color="auto" w:frame="1"/>
          <w:lang w:val="en-US"/>
        </w:rPr>
        <w:t>Synchrone</w:t>
      </w:r>
      <w:proofErr w:type="spellEnd"/>
      <w:r w:rsidR="0060363A" w:rsidRPr="001005B7">
        <w:rPr>
          <w:rStyle w:val="main-heading"/>
          <w:color w:val="auto"/>
          <w:bdr w:val="none" w:sz="0" w:space="0" w:color="auto" w:frame="1"/>
          <w:lang w:val="en-US"/>
        </w:rPr>
        <w:t xml:space="preserve"> </w:t>
      </w:r>
      <w:r w:rsidR="009D1208" w:rsidRPr="001005B7">
        <w:rPr>
          <w:color w:val="auto"/>
          <w:bdr w:val="none" w:sz="0" w:space="0" w:color="auto" w:frame="1"/>
          <w:lang w:val="en-US"/>
        </w:rPr>
        <w:t xml:space="preserve">und </w:t>
      </w:r>
      <w:proofErr w:type="spellStart"/>
      <w:r w:rsidR="009D1208" w:rsidRPr="001005B7">
        <w:rPr>
          <w:color w:val="auto"/>
          <w:bdr w:val="none" w:sz="0" w:space="0" w:color="auto" w:frame="1"/>
          <w:lang w:val="en-US"/>
        </w:rPr>
        <w:t>diachrone</w:t>
      </w:r>
      <w:proofErr w:type="spellEnd"/>
      <w:r w:rsidR="009D1208" w:rsidRPr="001005B7">
        <w:rPr>
          <w:color w:val="auto"/>
          <w:bdr w:val="none" w:sz="0" w:space="0" w:color="auto" w:frame="1"/>
          <w:lang w:val="en-US"/>
        </w:rPr>
        <w:t xml:space="preserve"> </w:t>
      </w:r>
      <w:proofErr w:type="spellStart"/>
      <w:r w:rsidR="009D1208" w:rsidRPr="001005B7">
        <w:rPr>
          <w:color w:val="auto"/>
          <w:bdr w:val="none" w:sz="0" w:space="0" w:color="auto" w:frame="1"/>
          <w:lang w:val="en-US"/>
        </w:rPr>
        <w:t>Texterschließung</w:t>
      </w:r>
      <w:proofErr w:type="spellEnd"/>
      <w:r w:rsidR="009D1208" w:rsidRPr="001005B7">
        <w:rPr>
          <w:color w:val="auto"/>
          <w:bdr w:val="none" w:sz="0" w:space="0" w:color="auto" w:frame="1"/>
          <w:lang w:val="en-US"/>
        </w:rPr>
        <w:t xml:space="preserve"> </w:t>
      </w:r>
      <w:proofErr w:type="spellStart"/>
      <w:r w:rsidR="009D1208" w:rsidRPr="001005B7">
        <w:rPr>
          <w:color w:val="auto"/>
          <w:bdr w:val="none" w:sz="0" w:space="0" w:color="auto" w:frame="1"/>
          <w:lang w:val="en-US"/>
        </w:rPr>
        <w:t>im</w:t>
      </w:r>
      <w:proofErr w:type="spellEnd"/>
      <w:r w:rsidR="009D1208" w:rsidRPr="001005B7">
        <w:rPr>
          <w:color w:val="auto"/>
          <w:bdr w:val="none" w:sz="0" w:space="0" w:color="auto" w:frame="1"/>
          <w:lang w:val="en-US"/>
        </w:rPr>
        <w:t xml:space="preserve"> </w:t>
      </w:r>
      <w:proofErr w:type="spellStart"/>
      <w:r w:rsidR="009D1208" w:rsidRPr="001005B7">
        <w:rPr>
          <w:color w:val="auto"/>
          <w:bdr w:val="none" w:sz="0" w:space="0" w:color="auto" w:frame="1"/>
          <w:lang w:val="en-US"/>
        </w:rPr>
        <w:t>Ezechielbuch</w:t>
      </w:r>
      <w:proofErr w:type="spellEnd"/>
      <w:r w:rsidR="0060363A" w:rsidRPr="001005B7">
        <w:rPr>
          <w:color w:val="auto"/>
          <w:bdr w:val="none" w:sz="0" w:space="0" w:color="auto" w:frame="1"/>
          <w:lang w:val="en-US"/>
        </w:rPr>
        <w:t xml:space="preserve">.” </w:t>
      </w:r>
      <w:proofErr w:type="spellStart"/>
      <w:r w:rsidR="0060363A" w:rsidRPr="001005B7">
        <w:rPr>
          <w:i/>
          <w:iCs/>
          <w:color w:val="auto"/>
          <w:lang w:val="en-US"/>
        </w:rPr>
        <w:t>HeBAI</w:t>
      </w:r>
      <w:proofErr w:type="spellEnd"/>
      <w:r w:rsidR="0060363A" w:rsidRPr="001005B7">
        <w:rPr>
          <w:color w:val="auto"/>
          <w:lang w:val="en-US"/>
        </w:rPr>
        <w:t xml:space="preserve"> 1 (2012): 246</w:t>
      </w:r>
      <w:r w:rsidR="00F46900" w:rsidRPr="001005B7">
        <w:rPr>
          <w:color w:val="auto"/>
          <w:lang w:val="en-US"/>
        </w:rPr>
        <w:t>–</w:t>
      </w:r>
      <w:r w:rsidR="0060363A" w:rsidRPr="001005B7">
        <w:rPr>
          <w:color w:val="auto"/>
          <w:lang w:val="en-US"/>
        </w:rPr>
        <w:t>70.</w:t>
      </w:r>
    </w:p>
    <w:p w14:paraId="405A2955" w14:textId="77777777" w:rsidR="00A17306" w:rsidRPr="001005B7" w:rsidRDefault="00A17306" w:rsidP="006F5BB0">
      <w:pPr>
        <w:pStyle w:val="ListParagraph"/>
        <w:rPr>
          <w:color w:val="auto"/>
          <w:lang w:val="en-US"/>
        </w:rPr>
      </w:pPr>
      <w:r w:rsidRPr="001005B7">
        <w:rPr>
          <w:color w:val="auto"/>
          <w:lang w:val="en-US"/>
        </w:rPr>
        <w:t xml:space="preserve">Poser, Ruth. </w:t>
      </w:r>
      <w:r w:rsidRPr="001005B7">
        <w:rPr>
          <w:i/>
          <w:iCs/>
          <w:color w:val="auto"/>
          <w:lang w:val="en-US"/>
        </w:rPr>
        <w:t xml:space="preserve">Das </w:t>
      </w:r>
      <w:proofErr w:type="spellStart"/>
      <w:r w:rsidRPr="001005B7">
        <w:rPr>
          <w:i/>
          <w:iCs/>
          <w:color w:val="auto"/>
          <w:lang w:val="en-US"/>
        </w:rPr>
        <w:t>Ezechielbuch</w:t>
      </w:r>
      <w:proofErr w:type="spellEnd"/>
      <w:r w:rsidRPr="001005B7">
        <w:rPr>
          <w:i/>
          <w:iCs/>
          <w:color w:val="auto"/>
          <w:lang w:val="en-US"/>
        </w:rPr>
        <w:t xml:space="preserve"> </w:t>
      </w:r>
      <w:proofErr w:type="spellStart"/>
      <w:r w:rsidRPr="001005B7">
        <w:rPr>
          <w:i/>
          <w:iCs/>
          <w:color w:val="auto"/>
          <w:lang w:val="en-US"/>
        </w:rPr>
        <w:t>als</w:t>
      </w:r>
      <w:proofErr w:type="spellEnd"/>
      <w:r w:rsidRPr="001005B7">
        <w:rPr>
          <w:i/>
          <w:iCs/>
          <w:color w:val="auto"/>
          <w:lang w:val="en-US"/>
        </w:rPr>
        <w:t xml:space="preserve"> Trauma-</w:t>
      </w:r>
      <w:proofErr w:type="spellStart"/>
      <w:r w:rsidRPr="001005B7">
        <w:rPr>
          <w:i/>
          <w:iCs/>
          <w:color w:val="auto"/>
          <w:lang w:val="en-US"/>
        </w:rPr>
        <w:t>Literatur</w:t>
      </w:r>
      <w:proofErr w:type="spellEnd"/>
      <w:r w:rsidRPr="001005B7">
        <w:rPr>
          <w:color w:val="auto"/>
          <w:lang w:val="en-US"/>
        </w:rPr>
        <w:t xml:space="preserve">. </w:t>
      </w:r>
      <w:proofErr w:type="spellStart"/>
      <w:r w:rsidRPr="001005B7">
        <w:rPr>
          <w:color w:val="auto"/>
          <w:lang w:val="en-US"/>
        </w:rPr>
        <w:t>VTSup</w:t>
      </w:r>
      <w:proofErr w:type="spellEnd"/>
      <w:r w:rsidRPr="001005B7">
        <w:rPr>
          <w:color w:val="auto"/>
          <w:lang w:val="en-US"/>
        </w:rPr>
        <w:t xml:space="preserve"> 154. Leiden: Brill, 2012.</w:t>
      </w:r>
    </w:p>
    <w:p w14:paraId="75C9E901" w14:textId="55EA15AE" w:rsidR="00D151E9" w:rsidRPr="001005B7" w:rsidRDefault="005331EA" w:rsidP="006F5BB0">
      <w:pPr>
        <w:pStyle w:val="ListParagraph"/>
        <w:rPr>
          <w:color w:val="auto"/>
          <w:lang w:val="en-US"/>
        </w:rPr>
      </w:pPr>
      <w:r w:rsidRPr="001005B7">
        <w:rPr>
          <w:i/>
          <w:iCs/>
          <w:color w:val="auto"/>
          <w:lang w:val="en-US"/>
        </w:rPr>
        <w:t>–––</w:t>
      </w:r>
      <w:r w:rsidRPr="001005B7">
        <w:rPr>
          <w:color w:val="auto"/>
          <w:lang w:val="en-US"/>
        </w:rPr>
        <w:t xml:space="preserve"> </w:t>
      </w:r>
      <w:r w:rsidR="00D151E9" w:rsidRPr="001005B7">
        <w:rPr>
          <w:color w:val="auto"/>
          <w:lang w:val="en-US"/>
        </w:rPr>
        <w:t xml:space="preserve">“No Words: The Book of Ezekiel as Trauma Literature and a Response to Exile.” </w:t>
      </w:r>
      <w:r w:rsidR="00E9421C" w:rsidRPr="001005B7">
        <w:rPr>
          <w:color w:val="auto"/>
          <w:lang w:val="en-US"/>
        </w:rPr>
        <w:t xml:space="preserve">In </w:t>
      </w:r>
      <w:r w:rsidR="008C0BAC" w:rsidRPr="001005B7">
        <w:rPr>
          <w:color w:val="auto"/>
          <w:lang w:val="en-US"/>
        </w:rPr>
        <w:t xml:space="preserve">Elizabeth </w:t>
      </w:r>
      <w:proofErr w:type="spellStart"/>
      <w:r w:rsidR="008C0BAC" w:rsidRPr="001005B7">
        <w:rPr>
          <w:color w:val="auto"/>
          <w:lang w:val="en-US"/>
        </w:rPr>
        <w:t>Boase</w:t>
      </w:r>
      <w:proofErr w:type="spellEnd"/>
      <w:r w:rsidR="008C0BAC" w:rsidRPr="001005B7">
        <w:rPr>
          <w:color w:val="auto"/>
          <w:lang w:val="en-US"/>
        </w:rPr>
        <w:t xml:space="preserve"> and Christopher G. Frechette, ed., </w:t>
      </w:r>
      <w:r w:rsidR="00E9421C" w:rsidRPr="001005B7">
        <w:rPr>
          <w:i/>
          <w:iCs/>
          <w:color w:val="auto"/>
          <w:lang w:val="en-US"/>
        </w:rPr>
        <w:t>Bible Through the Lens of Trauma</w:t>
      </w:r>
      <w:r w:rsidR="00E9421C" w:rsidRPr="001005B7">
        <w:rPr>
          <w:color w:val="auto"/>
          <w:lang w:val="en-US"/>
        </w:rPr>
        <w:t xml:space="preserve">, </w:t>
      </w:r>
      <w:r w:rsidR="008A68B8" w:rsidRPr="001005B7">
        <w:rPr>
          <w:color w:val="auto"/>
          <w:lang w:val="en-US"/>
        </w:rPr>
        <w:t>27</w:t>
      </w:r>
      <w:r w:rsidR="00F46900" w:rsidRPr="001005B7">
        <w:rPr>
          <w:color w:val="auto"/>
          <w:lang w:val="en-US"/>
        </w:rPr>
        <w:t>–</w:t>
      </w:r>
      <w:r w:rsidR="008A68B8" w:rsidRPr="001005B7">
        <w:rPr>
          <w:color w:val="auto"/>
          <w:lang w:val="en-US"/>
        </w:rPr>
        <w:t xml:space="preserve">48. </w:t>
      </w:r>
      <w:r w:rsidR="00AD6743" w:rsidRPr="001005B7">
        <w:rPr>
          <w:color w:val="auto"/>
          <w:lang w:val="en-US"/>
        </w:rPr>
        <w:t>Semeia Studies 86. Atlanta: SBL</w:t>
      </w:r>
      <w:r w:rsidR="00E9421C" w:rsidRPr="001005B7">
        <w:rPr>
          <w:color w:val="auto"/>
          <w:lang w:val="en-US"/>
        </w:rPr>
        <w:t>, 2016</w:t>
      </w:r>
    </w:p>
    <w:p w14:paraId="6CDC2CB7" w14:textId="3292248A" w:rsidR="00122354" w:rsidRPr="001005B7" w:rsidRDefault="00687A7B" w:rsidP="006F5BB0">
      <w:pPr>
        <w:pStyle w:val="ListParagraph"/>
        <w:rPr>
          <w:color w:val="auto"/>
          <w:lang w:val="en-US"/>
        </w:rPr>
      </w:pPr>
      <w:r w:rsidRPr="001005B7">
        <w:rPr>
          <w:color w:val="auto"/>
          <w:lang w:val="en-US"/>
        </w:rPr>
        <w:t xml:space="preserve">Presser, </w:t>
      </w:r>
      <w:r w:rsidR="00122354" w:rsidRPr="001005B7">
        <w:rPr>
          <w:color w:val="auto"/>
          <w:lang w:val="en-US"/>
        </w:rPr>
        <w:t>Nicolás</w:t>
      </w:r>
      <w:r w:rsidRPr="001005B7">
        <w:rPr>
          <w:color w:val="auto"/>
          <w:lang w:val="en-US"/>
        </w:rPr>
        <w:t xml:space="preserve">. </w:t>
      </w:r>
      <w:r w:rsidR="00DD4483" w:rsidRPr="001005B7">
        <w:rPr>
          <w:color w:val="auto"/>
          <w:lang w:val="en-US"/>
        </w:rPr>
        <w:t xml:space="preserve">“La </w:t>
      </w:r>
      <w:proofErr w:type="spellStart"/>
      <w:r w:rsidR="00DD4483" w:rsidRPr="001005B7">
        <w:rPr>
          <w:color w:val="auto"/>
          <w:lang w:val="en-US"/>
        </w:rPr>
        <w:t>Escatología</w:t>
      </w:r>
      <w:proofErr w:type="spellEnd"/>
      <w:r w:rsidR="00DD4483" w:rsidRPr="001005B7">
        <w:rPr>
          <w:color w:val="auto"/>
          <w:lang w:val="en-US"/>
        </w:rPr>
        <w:t xml:space="preserve"> </w:t>
      </w:r>
      <w:proofErr w:type="spellStart"/>
      <w:r w:rsidR="00DD4483" w:rsidRPr="001005B7">
        <w:rPr>
          <w:color w:val="auto"/>
          <w:lang w:val="en-US"/>
        </w:rPr>
        <w:t>Apocalíptica</w:t>
      </w:r>
      <w:proofErr w:type="spellEnd"/>
      <w:r w:rsidR="00DD4483" w:rsidRPr="001005B7">
        <w:rPr>
          <w:color w:val="auto"/>
          <w:lang w:val="en-US"/>
        </w:rPr>
        <w:t xml:space="preserve"> de Ezequiel </w:t>
      </w:r>
      <w:proofErr w:type="spellStart"/>
      <w:r w:rsidR="00DD4483" w:rsidRPr="001005B7">
        <w:rPr>
          <w:color w:val="auto"/>
          <w:lang w:val="en-US"/>
        </w:rPr>
        <w:t>en</w:t>
      </w:r>
      <w:proofErr w:type="spellEnd"/>
      <w:r w:rsidR="00DD4483" w:rsidRPr="001005B7">
        <w:rPr>
          <w:color w:val="auto"/>
          <w:lang w:val="en-US"/>
        </w:rPr>
        <w:t xml:space="preserve"> la </w:t>
      </w:r>
      <w:proofErr w:type="spellStart"/>
      <w:r w:rsidR="00DD4483" w:rsidRPr="001005B7">
        <w:rPr>
          <w:color w:val="auto"/>
          <w:lang w:val="en-US"/>
        </w:rPr>
        <w:t>Revelación</w:t>
      </w:r>
      <w:proofErr w:type="spellEnd"/>
      <w:r w:rsidR="00DD4483" w:rsidRPr="001005B7">
        <w:rPr>
          <w:color w:val="auto"/>
          <w:lang w:val="en-US"/>
        </w:rPr>
        <w:t xml:space="preserve"> </w:t>
      </w:r>
      <w:r w:rsidR="00BC6FF4" w:rsidRPr="001005B7">
        <w:rPr>
          <w:color w:val="auto"/>
          <w:lang w:val="en-US"/>
        </w:rPr>
        <w:t>d</w:t>
      </w:r>
      <w:r w:rsidR="00DD4483" w:rsidRPr="001005B7">
        <w:rPr>
          <w:color w:val="auto"/>
          <w:lang w:val="en-US"/>
        </w:rPr>
        <w:t>e Juan</w:t>
      </w:r>
      <w:r w:rsidR="00BC6FF4" w:rsidRPr="001005B7">
        <w:rPr>
          <w:color w:val="auto"/>
          <w:lang w:val="en-US"/>
        </w:rPr>
        <w:t>.”</w:t>
      </w:r>
      <w:r w:rsidR="00651B1B" w:rsidRPr="001005B7">
        <w:rPr>
          <w:color w:val="auto"/>
          <w:lang w:val="en-US"/>
        </w:rPr>
        <w:t xml:space="preserve"> </w:t>
      </w:r>
      <w:proofErr w:type="spellStart"/>
      <w:r w:rsidR="00651B1B" w:rsidRPr="001005B7">
        <w:rPr>
          <w:i/>
          <w:iCs/>
          <w:color w:val="auto"/>
          <w:lang w:val="en-US"/>
        </w:rPr>
        <w:t>DavarLogos</w:t>
      </w:r>
      <w:proofErr w:type="spellEnd"/>
      <w:r w:rsidR="00651B1B" w:rsidRPr="001005B7">
        <w:rPr>
          <w:color w:val="auto"/>
          <w:lang w:val="en-US"/>
        </w:rPr>
        <w:t xml:space="preserve"> </w:t>
      </w:r>
      <w:r w:rsidR="00BD0F12" w:rsidRPr="001005B7">
        <w:rPr>
          <w:color w:val="auto"/>
          <w:lang w:val="en-US"/>
        </w:rPr>
        <w:t xml:space="preserve">12 </w:t>
      </w:r>
      <w:r w:rsidR="00651B1B" w:rsidRPr="001005B7">
        <w:rPr>
          <w:color w:val="auto"/>
          <w:lang w:val="en-US"/>
        </w:rPr>
        <w:t>(2013): 129</w:t>
      </w:r>
      <w:r w:rsidR="00F46900" w:rsidRPr="001005B7">
        <w:rPr>
          <w:color w:val="auto"/>
          <w:lang w:val="en-US"/>
        </w:rPr>
        <w:t>–</w:t>
      </w:r>
      <w:r w:rsidR="00651B1B" w:rsidRPr="001005B7">
        <w:rPr>
          <w:color w:val="auto"/>
          <w:lang w:val="en-US"/>
        </w:rPr>
        <w:t>146</w:t>
      </w:r>
      <w:r w:rsidR="00BD0F12" w:rsidRPr="001005B7">
        <w:rPr>
          <w:color w:val="auto"/>
          <w:lang w:val="en-US"/>
        </w:rPr>
        <w:t>.</w:t>
      </w:r>
    </w:p>
    <w:p w14:paraId="57CA61AE" w14:textId="07C4D63B" w:rsidR="003323BC" w:rsidRPr="001005B7" w:rsidRDefault="003323BC" w:rsidP="006F5BB0">
      <w:pPr>
        <w:pStyle w:val="ListParagraph"/>
        <w:rPr>
          <w:color w:val="auto"/>
          <w:bdr w:val="none" w:sz="0" w:space="0" w:color="auto" w:frame="1"/>
          <w:lang w:val="en-US"/>
        </w:rPr>
      </w:pPr>
      <w:r w:rsidRPr="001005B7">
        <w:rPr>
          <w:color w:val="auto"/>
          <w:lang w:val="en-US"/>
        </w:rPr>
        <w:t xml:space="preserve">Renz, Thomas. </w:t>
      </w:r>
      <w:r w:rsidRPr="001005B7">
        <w:rPr>
          <w:i/>
          <w:iCs/>
          <w:color w:val="auto"/>
          <w:lang w:val="en-US"/>
        </w:rPr>
        <w:t>The Rhetorical Function of the Book of Ezekiel</w:t>
      </w:r>
      <w:r w:rsidRPr="001005B7">
        <w:rPr>
          <w:color w:val="auto"/>
          <w:lang w:val="en-US"/>
        </w:rPr>
        <w:t xml:space="preserve">. </w:t>
      </w:r>
      <w:proofErr w:type="spellStart"/>
      <w:r w:rsidRPr="001005B7">
        <w:rPr>
          <w:color w:val="auto"/>
          <w:lang w:val="en-US"/>
        </w:rPr>
        <w:t>VTSup</w:t>
      </w:r>
      <w:proofErr w:type="spellEnd"/>
      <w:r w:rsidRPr="001005B7">
        <w:rPr>
          <w:color w:val="auto"/>
          <w:lang w:val="en-US"/>
        </w:rPr>
        <w:t xml:space="preserve"> </w:t>
      </w:r>
      <w:r w:rsidR="00CF4DDE" w:rsidRPr="001005B7">
        <w:rPr>
          <w:color w:val="auto"/>
          <w:lang w:val="en-US"/>
        </w:rPr>
        <w:t>76. Leiden: Brill, 2002.</w:t>
      </w:r>
    </w:p>
    <w:p w14:paraId="69ABBEA4" w14:textId="736F7B78" w:rsidR="00892921" w:rsidRPr="001005B7" w:rsidRDefault="00E56F48" w:rsidP="006F5BB0">
      <w:pPr>
        <w:pStyle w:val="ListParagraph"/>
        <w:rPr>
          <w:color w:val="auto"/>
          <w:lang w:val="en-US"/>
        </w:rPr>
      </w:pPr>
      <w:r w:rsidRPr="001005B7">
        <w:rPr>
          <w:color w:val="auto"/>
          <w:lang w:val="en-US"/>
        </w:rPr>
        <w:t>Rom-</w:t>
      </w:r>
      <w:proofErr w:type="spellStart"/>
      <w:r w:rsidRPr="001005B7">
        <w:rPr>
          <w:color w:val="auto"/>
          <w:lang w:val="en-US"/>
        </w:rPr>
        <w:t>Shiloni</w:t>
      </w:r>
      <w:proofErr w:type="spellEnd"/>
      <w:r w:rsidRPr="001005B7">
        <w:rPr>
          <w:color w:val="auto"/>
          <w:lang w:val="en-US"/>
        </w:rPr>
        <w:t xml:space="preserve">, Dalit. “Ezekiel among the Exiles.” </w:t>
      </w:r>
      <w:r w:rsidR="00985DE1" w:rsidRPr="001005B7">
        <w:rPr>
          <w:color w:val="auto"/>
          <w:lang w:val="en-US"/>
        </w:rPr>
        <w:t>I</w:t>
      </w:r>
      <w:r w:rsidRPr="001005B7">
        <w:rPr>
          <w:color w:val="auto"/>
          <w:lang w:val="en-US"/>
        </w:rPr>
        <w:t xml:space="preserve">n </w:t>
      </w:r>
      <w:r w:rsidR="00985DE1" w:rsidRPr="001005B7">
        <w:rPr>
          <w:i/>
          <w:iCs/>
          <w:color w:val="auto"/>
          <w:lang w:val="en-US"/>
        </w:rPr>
        <w:t>OHE</w:t>
      </w:r>
      <w:r w:rsidRPr="001005B7">
        <w:rPr>
          <w:color w:val="auto"/>
          <w:lang w:val="en-US"/>
        </w:rPr>
        <w:t>.</w:t>
      </w:r>
    </w:p>
    <w:p w14:paraId="4B6C2BC6" w14:textId="64C81C1F" w:rsidR="00F850E4" w:rsidRPr="001005B7" w:rsidRDefault="005331EA" w:rsidP="006F5BB0">
      <w:pPr>
        <w:pStyle w:val="ListParagraph"/>
        <w:rPr>
          <w:color w:val="auto"/>
          <w:lang w:val="en-US"/>
        </w:rPr>
      </w:pPr>
      <w:r w:rsidRPr="001005B7">
        <w:rPr>
          <w:i/>
          <w:iCs/>
          <w:color w:val="auto"/>
          <w:lang w:val="en-US"/>
        </w:rPr>
        <w:t xml:space="preserve">––– </w:t>
      </w:r>
      <w:r w:rsidR="00F850E4" w:rsidRPr="001005B7">
        <w:rPr>
          <w:color w:val="auto"/>
          <w:lang w:val="en-US"/>
        </w:rPr>
        <w:t>“Forced/Involuntary Migration, Diaspora Studies, and More: Notes on Methodologies</w:t>
      </w:r>
      <w:r w:rsidR="00396416" w:rsidRPr="001005B7">
        <w:rPr>
          <w:color w:val="auto"/>
          <w:lang w:val="en-US"/>
        </w:rPr>
        <w:t xml:space="preserve">.” </w:t>
      </w:r>
      <w:proofErr w:type="spellStart"/>
      <w:r w:rsidR="00396416" w:rsidRPr="001005B7">
        <w:rPr>
          <w:i/>
          <w:iCs/>
          <w:color w:val="auto"/>
          <w:lang w:val="en-US"/>
        </w:rPr>
        <w:t>HeBAI</w:t>
      </w:r>
      <w:proofErr w:type="spellEnd"/>
      <w:r w:rsidR="00396416" w:rsidRPr="001005B7">
        <w:rPr>
          <w:color w:val="auto"/>
          <w:lang w:val="en-US"/>
        </w:rPr>
        <w:t xml:space="preserve"> 7 </w:t>
      </w:r>
      <w:r w:rsidR="00FF6FBF" w:rsidRPr="001005B7">
        <w:rPr>
          <w:color w:val="auto"/>
          <w:lang w:val="en-US"/>
        </w:rPr>
        <w:t>(2018): 376</w:t>
      </w:r>
      <w:r w:rsidR="00F46900" w:rsidRPr="001005B7">
        <w:rPr>
          <w:color w:val="auto"/>
          <w:lang w:val="en-US"/>
        </w:rPr>
        <w:t>–</w:t>
      </w:r>
      <w:r w:rsidR="00FF6FBF" w:rsidRPr="001005B7">
        <w:rPr>
          <w:color w:val="auto"/>
          <w:lang w:val="en-US"/>
        </w:rPr>
        <w:t>9</w:t>
      </w:r>
      <w:r w:rsidR="002B5F60" w:rsidRPr="001005B7">
        <w:rPr>
          <w:color w:val="auto"/>
          <w:lang w:val="en-US"/>
        </w:rPr>
        <w:t>8.</w:t>
      </w:r>
    </w:p>
    <w:p w14:paraId="3687A288" w14:textId="4BBF2E3A" w:rsidR="00311803" w:rsidRPr="001005B7" w:rsidRDefault="005331EA" w:rsidP="006F5BB0">
      <w:pPr>
        <w:pStyle w:val="ListParagraph"/>
        <w:rPr>
          <w:color w:val="auto"/>
          <w:lang w:val="en-US"/>
        </w:rPr>
      </w:pPr>
      <w:r w:rsidRPr="001005B7">
        <w:rPr>
          <w:i/>
          <w:iCs/>
          <w:color w:val="auto"/>
          <w:lang w:val="en-US"/>
        </w:rPr>
        <w:t xml:space="preserve">––– </w:t>
      </w:r>
      <w:r w:rsidR="00B74608" w:rsidRPr="001005B7">
        <w:rPr>
          <w:color w:val="auto"/>
          <w:lang w:val="en-US"/>
        </w:rPr>
        <w:t xml:space="preserve">“From Prophetic Words to Prophetic Literature: Challenging Paradigms </w:t>
      </w:r>
      <w:r w:rsidR="00AE5371" w:rsidRPr="001005B7">
        <w:rPr>
          <w:color w:val="auto"/>
          <w:lang w:val="en-US"/>
        </w:rPr>
        <w:t>T</w:t>
      </w:r>
      <w:r w:rsidR="00B74608" w:rsidRPr="001005B7">
        <w:rPr>
          <w:color w:val="auto"/>
          <w:lang w:val="en-US"/>
        </w:rPr>
        <w:t xml:space="preserve">hat Control Our Academic Thought on Jeremiah and Ezekiel.” </w:t>
      </w:r>
      <w:r w:rsidR="00B74608" w:rsidRPr="001005B7">
        <w:rPr>
          <w:i/>
          <w:iCs/>
          <w:color w:val="auto"/>
          <w:lang w:val="en-US"/>
        </w:rPr>
        <w:t>JBL</w:t>
      </w:r>
      <w:r w:rsidR="00B74608" w:rsidRPr="001005B7">
        <w:rPr>
          <w:color w:val="auto"/>
          <w:lang w:val="en-US"/>
        </w:rPr>
        <w:t xml:space="preserve"> 138 (2019): </w:t>
      </w:r>
      <w:r w:rsidR="005A5BCD" w:rsidRPr="001005B7">
        <w:rPr>
          <w:color w:val="auto"/>
          <w:lang w:val="en-US"/>
        </w:rPr>
        <w:t>565</w:t>
      </w:r>
      <w:r w:rsidR="00F46900" w:rsidRPr="001005B7">
        <w:rPr>
          <w:color w:val="auto"/>
          <w:lang w:val="en-US"/>
        </w:rPr>
        <w:t>–</w:t>
      </w:r>
      <w:r w:rsidR="005A5BCD" w:rsidRPr="001005B7">
        <w:rPr>
          <w:color w:val="auto"/>
          <w:lang w:val="en-US"/>
        </w:rPr>
        <w:t>86.</w:t>
      </w:r>
    </w:p>
    <w:p w14:paraId="4609BD37" w14:textId="4BA76613" w:rsidR="00C16321" w:rsidRPr="001005B7" w:rsidRDefault="005331EA" w:rsidP="006F5BB0">
      <w:pPr>
        <w:pStyle w:val="ListParagraph"/>
        <w:rPr>
          <w:color w:val="auto"/>
          <w:lang w:val="en-US"/>
        </w:rPr>
      </w:pPr>
      <w:r w:rsidRPr="001005B7">
        <w:rPr>
          <w:color w:val="auto"/>
          <w:lang w:val="en-US"/>
        </w:rPr>
        <w:t xml:space="preserve">––– </w:t>
      </w:r>
      <w:r w:rsidR="00C16321" w:rsidRPr="001005B7">
        <w:rPr>
          <w:i/>
          <w:iCs/>
          <w:color w:val="auto"/>
          <w:lang w:val="en-US"/>
        </w:rPr>
        <w:t>Voices from the Ruins: Theodicy and the Fall of Jerusalem in the Hebrew Bible</w:t>
      </w:r>
      <w:r w:rsidR="001C377A" w:rsidRPr="001005B7">
        <w:rPr>
          <w:color w:val="auto"/>
          <w:lang w:val="en-US"/>
        </w:rPr>
        <w:t xml:space="preserve">. </w:t>
      </w:r>
      <w:r w:rsidR="00C16321" w:rsidRPr="001005B7">
        <w:rPr>
          <w:color w:val="auto"/>
          <w:lang w:val="en-US"/>
        </w:rPr>
        <w:t>Grand Rapids, MI: Eerdmans, 2021</w:t>
      </w:r>
      <w:r w:rsidR="001C377A" w:rsidRPr="001005B7">
        <w:rPr>
          <w:color w:val="auto"/>
          <w:lang w:val="en-US"/>
        </w:rPr>
        <w:t>.</w:t>
      </w:r>
    </w:p>
    <w:p w14:paraId="7235BB48" w14:textId="3D75C24C" w:rsidR="00457091" w:rsidRPr="001005B7" w:rsidRDefault="00457091" w:rsidP="006F5BB0">
      <w:pPr>
        <w:pStyle w:val="ListParagraph"/>
        <w:rPr>
          <w:color w:val="auto"/>
          <w:lang w:val="en-US"/>
        </w:rPr>
      </w:pPr>
      <w:proofErr w:type="spellStart"/>
      <w:r w:rsidRPr="001005B7">
        <w:rPr>
          <w:color w:val="auto"/>
          <w:lang w:val="en-US"/>
        </w:rPr>
        <w:t>Rooker</w:t>
      </w:r>
      <w:proofErr w:type="spellEnd"/>
      <w:r w:rsidRPr="001005B7">
        <w:rPr>
          <w:color w:val="auto"/>
          <w:lang w:val="en-US"/>
        </w:rPr>
        <w:t xml:space="preserve">. Mark F. </w:t>
      </w:r>
      <w:r w:rsidRPr="001005B7">
        <w:rPr>
          <w:i/>
          <w:iCs/>
          <w:color w:val="auto"/>
          <w:lang w:val="en-US"/>
        </w:rPr>
        <w:t>Biblical Hebrew in Transition: The Language of the Book of Ezekiel</w:t>
      </w:r>
      <w:r w:rsidRPr="001005B7">
        <w:rPr>
          <w:color w:val="auto"/>
          <w:lang w:val="en-US"/>
        </w:rPr>
        <w:t xml:space="preserve">. </w:t>
      </w:r>
      <w:proofErr w:type="spellStart"/>
      <w:r w:rsidRPr="001005B7">
        <w:rPr>
          <w:color w:val="auto"/>
          <w:lang w:val="en-US"/>
        </w:rPr>
        <w:t>JSOTSup</w:t>
      </w:r>
      <w:proofErr w:type="spellEnd"/>
      <w:r w:rsidR="00177628" w:rsidRPr="001005B7">
        <w:rPr>
          <w:color w:val="auto"/>
          <w:lang w:val="en-US"/>
        </w:rPr>
        <w:t xml:space="preserve"> 90. </w:t>
      </w:r>
      <w:r w:rsidR="00C525E3" w:rsidRPr="001005B7">
        <w:rPr>
          <w:color w:val="auto"/>
          <w:lang w:val="en-US"/>
        </w:rPr>
        <w:t>Sheffield: JSOT Press, 1990.</w:t>
      </w:r>
    </w:p>
    <w:p w14:paraId="4501A1B4" w14:textId="1713DF5A" w:rsidR="00723087" w:rsidRPr="001005B7" w:rsidRDefault="00723087" w:rsidP="006F5BB0">
      <w:pPr>
        <w:pStyle w:val="ListParagraph"/>
        <w:rPr>
          <w:color w:val="auto"/>
          <w:lang w:val="en-US"/>
        </w:rPr>
      </w:pPr>
      <w:r w:rsidRPr="001005B7">
        <w:rPr>
          <w:color w:val="auto"/>
          <w:lang w:val="en-US"/>
        </w:rPr>
        <w:t xml:space="preserve">Ruiz, Jean-Pierre. “An Exile’s Baggage: A Postcolonial Reading of Exodus 20.” In Ruiz, </w:t>
      </w:r>
      <w:r w:rsidRPr="001005B7">
        <w:rPr>
          <w:rStyle w:val="a-size-extra-large"/>
          <w:i/>
          <w:iCs/>
          <w:color w:val="auto"/>
          <w:lang w:val="en-US"/>
        </w:rPr>
        <w:t>Readings from the Edges: The Bible and People on the Move</w:t>
      </w:r>
      <w:r w:rsidRPr="001005B7">
        <w:rPr>
          <w:rStyle w:val="a-size-extra-large"/>
          <w:color w:val="auto"/>
          <w:lang w:val="en-US"/>
        </w:rPr>
        <w:t>, 66</w:t>
      </w:r>
      <w:r w:rsidR="00F46900" w:rsidRPr="001005B7">
        <w:rPr>
          <w:rStyle w:val="a-size-extra-large"/>
          <w:color w:val="auto"/>
          <w:lang w:val="en-US"/>
        </w:rPr>
        <w:t>–</w:t>
      </w:r>
      <w:r w:rsidRPr="001005B7">
        <w:rPr>
          <w:rStyle w:val="a-size-extra-large"/>
          <w:color w:val="auto"/>
          <w:lang w:val="en-US"/>
        </w:rPr>
        <w:t>77. Maryknoll, NY: Orbis</w:t>
      </w:r>
      <w:r w:rsidRPr="001005B7">
        <w:rPr>
          <w:color w:val="auto"/>
          <w:lang w:val="en-US"/>
        </w:rPr>
        <w:t>, 2011.</w:t>
      </w:r>
    </w:p>
    <w:p w14:paraId="4BFC7083" w14:textId="0186C3F1" w:rsidR="006A3E06" w:rsidRPr="001005B7" w:rsidRDefault="00B87F6E" w:rsidP="00B87F6E">
      <w:pPr>
        <w:spacing w:after="60" w:line="240" w:lineRule="auto"/>
        <w:ind w:left="567" w:hanging="567"/>
        <w:rPr>
          <w:rFonts w:ascii="Calibri" w:eastAsia="Times New Roman" w:hAnsi="Calibri" w:cs="Calibri"/>
          <w:lang w:eastAsia="en-GB"/>
        </w:rPr>
      </w:pPr>
      <w:r w:rsidRPr="001005B7">
        <w:rPr>
          <w:i/>
          <w:iCs/>
        </w:rPr>
        <w:t>–––</w:t>
      </w:r>
      <w:r w:rsidR="006A3E06" w:rsidRPr="001005B7">
        <w:rPr>
          <w:rFonts w:ascii="Calibri" w:eastAsia="Times New Roman" w:hAnsi="Calibri" w:cs="Calibri"/>
          <w:lang w:eastAsia="en-GB"/>
        </w:rPr>
        <w:t> </w:t>
      </w:r>
      <w:r w:rsidR="006A3E06" w:rsidRPr="001005B7">
        <w:rPr>
          <w:rFonts w:ascii="Calibri" w:eastAsia="Times New Roman" w:hAnsi="Calibri" w:cs="Calibri"/>
          <w:i/>
          <w:iCs/>
          <w:lang w:eastAsia="en-GB"/>
        </w:rPr>
        <w:t>Ezekiel in the Apocalypse: The Transformation of Prophetic Language in Revelation 16,17</w:t>
      </w:r>
      <w:r w:rsidR="00F46900" w:rsidRPr="001005B7">
        <w:rPr>
          <w:rFonts w:ascii="Calibri" w:eastAsia="Times New Roman" w:hAnsi="Calibri" w:cs="Calibri"/>
          <w:i/>
          <w:iCs/>
          <w:lang w:eastAsia="en-GB"/>
        </w:rPr>
        <w:t>–</w:t>
      </w:r>
      <w:r w:rsidR="006A3E06" w:rsidRPr="001005B7">
        <w:rPr>
          <w:rFonts w:ascii="Calibri" w:eastAsia="Times New Roman" w:hAnsi="Calibri" w:cs="Calibri"/>
          <w:i/>
          <w:iCs/>
          <w:lang w:eastAsia="en-GB"/>
        </w:rPr>
        <w:t>19,10</w:t>
      </w:r>
      <w:r w:rsidR="0054213C" w:rsidRPr="001005B7">
        <w:rPr>
          <w:rFonts w:ascii="Calibri" w:eastAsia="Times New Roman" w:hAnsi="Calibri" w:cs="Calibri"/>
          <w:lang w:eastAsia="en-GB"/>
        </w:rPr>
        <w:t xml:space="preserve">. </w:t>
      </w:r>
      <w:r w:rsidR="006A3E06" w:rsidRPr="001005B7">
        <w:rPr>
          <w:rFonts w:ascii="Calibri" w:eastAsia="Times New Roman" w:hAnsi="Calibri" w:cs="Calibri"/>
          <w:lang w:eastAsia="en-GB"/>
        </w:rPr>
        <w:t>Frankfurt: Lang, 1989.</w:t>
      </w:r>
    </w:p>
    <w:p w14:paraId="54507F70" w14:textId="46D6B915" w:rsidR="0082557E" w:rsidRPr="001005B7" w:rsidRDefault="0082557E" w:rsidP="006F5BB0">
      <w:pPr>
        <w:pStyle w:val="ListParagraph"/>
        <w:rPr>
          <w:color w:val="auto"/>
          <w:lang w:val="en-US"/>
        </w:rPr>
      </w:pPr>
      <w:proofErr w:type="spellStart"/>
      <w:r w:rsidRPr="001005B7">
        <w:rPr>
          <w:color w:val="auto"/>
          <w:lang w:val="en-US"/>
        </w:rPr>
        <w:t>Scatolini</w:t>
      </w:r>
      <w:proofErr w:type="spellEnd"/>
      <w:r w:rsidRPr="001005B7">
        <w:rPr>
          <w:color w:val="auto"/>
          <w:lang w:val="en-US"/>
        </w:rPr>
        <w:t xml:space="preserve">, Silvio Sergio. “Imagining Ezekiel.” </w:t>
      </w:r>
      <w:r w:rsidRPr="001005B7">
        <w:rPr>
          <w:i/>
          <w:iCs/>
          <w:color w:val="auto"/>
          <w:lang w:val="en-US"/>
        </w:rPr>
        <w:t>JHS</w:t>
      </w:r>
      <w:r w:rsidRPr="001005B7">
        <w:rPr>
          <w:color w:val="auto"/>
          <w:lang w:val="en-US"/>
        </w:rPr>
        <w:t xml:space="preserve"> 8/13 (2008).</w:t>
      </w:r>
    </w:p>
    <w:p w14:paraId="3B566B3D" w14:textId="69641359" w:rsidR="00DA4CFF" w:rsidRPr="001005B7" w:rsidRDefault="00DA4CFF" w:rsidP="006F5BB0">
      <w:pPr>
        <w:pStyle w:val="ListParagraph"/>
        <w:rPr>
          <w:color w:val="auto"/>
          <w:lang w:val="en-US"/>
        </w:rPr>
      </w:pPr>
      <w:proofErr w:type="spellStart"/>
      <w:r w:rsidRPr="001005B7">
        <w:rPr>
          <w:color w:val="auto"/>
          <w:lang w:val="en-US"/>
        </w:rPr>
        <w:t>Schöpflin</w:t>
      </w:r>
      <w:proofErr w:type="spellEnd"/>
      <w:r w:rsidRPr="001005B7">
        <w:rPr>
          <w:color w:val="auto"/>
          <w:lang w:val="en-US"/>
        </w:rPr>
        <w:t xml:space="preserve">, Karin. </w:t>
      </w:r>
      <w:proofErr w:type="spellStart"/>
      <w:r w:rsidRPr="001005B7">
        <w:rPr>
          <w:i/>
          <w:iCs/>
          <w:color w:val="auto"/>
          <w:lang w:val="en-US"/>
        </w:rPr>
        <w:t>Theologie</w:t>
      </w:r>
      <w:proofErr w:type="spellEnd"/>
      <w:r w:rsidRPr="001005B7">
        <w:rPr>
          <w:i/>
          <w:iCs/>
          <w:color w:val="auto"/>
          <w:lang w:val="en-US"/>
        </w:rPr>
        <w:t xml:space="preserve"> </w:t>
      </w:r>
      <w:proofErr w:type="spellStart"/>
      <w:r w:rsidRPr="001005B7">
        <w:rPr>
          <w:i/>
          <w:iCs/>
          <w:color w:val="auto"/>
          <w:lang w:val="en-US"/>
        </w:rPr>
        <w:t>als</w:t>
      </w:r>
      <w:proofErr w:type="spellEnd"/>
      <w:r w:rsidRPr="001005B7">
        <w:rPr>
          <w:i/>
          <w:iCs/>
          <w:color w:val="auto"/>
          <w:lang w:val="en-US"/>
        </w:rPr>
        <w:t xml:space="preserve"> </w:t>
      </w:r>
      <w:proofErr w:type="spellStart"/>
      <w:r w:rsidRPr="001005B7">
        <w:rPr>
          <w:i/>
          <w:iCs/>
          <w:color w:val="auto"/>
          <w:lang w:val="en-US"/>
        </w:rPr>
        <w:t>Biographie</w:t>
      </w:r>
      <w:proofErr w:type="spellEnd"/>
      <w:r w:rsidRPr="001005B7">
        <w:rPr>
          <w:i/>
          <w:iCs/>
          <w:color w:val="auto"/>
          <w:lang w:val="en-US"/>
        </w:rPr>
        <w:t xml:space="preserve"> </w:t>
      </w:r>
      <w:proofErr w:type="spellStart"/>
      <w:r w:rsidRPr="001005B7">
        <w:rPr>
          <w:i/>
          <w:iCs/>
          <w:color w:val="auto"/>
          <w:lang w:val="en-US"/>
        </w:rPr>
        <w:t>im</w:t>
      </w:r>
      <w:proofErr w:type="spellEnd"/>
      <w:r w:rsidRPr="001005B7">
        <w:rPr>
          <w:i/>
          <w:iCs/>
          <w:color w:val="auto"/>
          <w:lang w:val="en-US"/>
        </w:rPr>
        <w:t xml:space="preserve"> </w:t>
      </w:r>
      <w:proofErr w:type="spellStart"/>
      <w:r w:rsidRPr="001005B7">
        <w:rPr>
          <w:i/>
          <w:iCs/>
          <w:color w:val="auto"/>
          <w:lang w:val="en-US"/>
        </w:rPr>
        <w:t>Ezechielbuch</w:t>
      </w:r>
      <w:proofErr w:type="spellEnd"/>
      <w:r w:rsidRPr="001005B7">
        <w:rPr>
          <w:i/>
          <w:iCs/>
          <w:color w:val="auto"/>
          <w:lang w:val="en-US"/>
        </w:rPr>
        <w:t xml:space="preserve">: Ein </w:t>
      </w:r>
      <w:proofErr w:type="spellStart"/>
      <w:r w:rsidRPr="001005B7">
        <w:rPr>
          <w:i/>
          <w:iCs/>
          <w:color w:val="auto"/>
          <w:lang w:val="en-US"/>
        </w:rPr>
        <w:t>Beitrag</w:t>
      </w:r>
      <w:proofErr w:type="spellEnd"/>
      <w:r w:rsidRPr="001005B7">
        <w:rPr>
          <w:i/>
          <w:iCs/>
          <w:color w:val="auto"/>
          <w:lang w:val="en-US"/>
        </w:rPr>
        <w:t xml:space="preserve"> </w:t>
      </w:r>
      <w:proofErr w:type="spellStart"/>
      <w:r w:rsidRPr="001005B7">
        <w:rPr>
          <w:i/>
          <w:iCs/>
          <w:color w:val="auto"/>
          <w:lang w:val="en-US"/>
        </w:rPr>
        <w:t>zur</w:t>
      </w:r>
      <w:proofErr w:type="spellEnd"/>
      <w:r w:rsidRPr="001005B7">
        <w:rPr>
          <w:i/>
          <w:iCs/>
          <w:color w:val="auto"/>
          <w:lang w:val="en-US"/>
        </w:rPr>
        <w:t xml:space="preserve"> </w:t>
      </w:r>
      <w:proofErr w:type="spellStart"/>
      <w:r w:rsidRPr="001005B7">
        <w:rPr>
          <w:i/>
          <w:iCs/>
          <w:color w:val="auto"/>
          <w:lang w:val="en-US"/>
        </w:rPr>
        <w:t>Konzeption</w:t>
      </w:r>
      <w:proofErr w:type="spellEnd"/>
      <w:r w:rsidRPr="001005B7">
        <w:rPr>
          <w:i/>
          <w:iCs/>
          <w:color w:val="auto"/>
          <w:lang w:val="en-US"/>
        </w:rPr>
        <w:t xml:space="preserve"> </w:t>
      </w:r>
      <w:proofErr w:type="spellStart"/>
      <w:r w:rsidRPr="001005B7">
        <w:rPr>
          <w:i/>
          <w:iCs/>
          <w:color w:val="auto"/>
          <w:lang w:val="en-US"/>
        </w:rPr>
        <w:t>alttestamentlicher</w:t>
      </w:r>
      <w:proofErr w:type="spellEnd"/>
      <w:r w:rsidRPr="001005B7">
        <w:rPr>
          <w:i/>
          <w:iCs/>
          <w:color w:val="auto"/>
          <w:lang w:val="en-US"/>
        </w:rPr>
        <w:t xml:space="preserve"> </w:t>
      </w:r>
      <w:proofErr w:type="spellStart"/>
      <w:r w:rsidRPr="001005B7">
        <w:rPr>
          <w:i/>
          <w:iCs/>
          <w:color w:val="auto"/>
          <w:lang w:val="en-US"/>
        </w:rPr>
        <w:t>Prophetie</w:t>
      </w:r>
      <w:proofErr w:type="spellEnd"/>
      <w:r w:rsidRPr="001005B7">
        <w:rPr>
          <w:color w:val="auto"/>
          <w:lang w:val="en-US"/>
        </w:rPr>
        <w:t xml:space="preserve">. FAT 36. Tübingen: Mohr </w:t>
      </w:r>
      <w:proofErr w:type="spellStart"/>
      <w:r w:rsidRPr="001005B7">
        <w:rPr>
          <w:color w:val="auto"/>
          <w:lang w:val="en-US"/>
        </w:rPr>
        <w:t>Siebeck</w:t>
      </w:r>
      <w:proofErr w:type="spellEnd"/>
      <w:r w:rsidRPr="001005B7">
        <w:rPr>
          <w:color w:val="auto"/>
          <w:lang w:val="en-US"/>
        </w:rPr>
        <w:t>, 2002.</w:t>
      </w:r>
    </w:p>
    <w:p w14:paraId="6C496D9D" w14:textId="69761C20" w:rsidR="00010539" w:rsidRPr="001005B7" w:rsidRDefault="00103143" w:rsidP="006F5BB0">
      <w:pPr>
        <w:pStyle w:val="ListParagraph"/>
        <w:rPr>
          <w:color w:val="auto"/>
          <w:lang w:val="en-US"/>
        </w:rPr>
      </w:pPr>
      <w:r w:rsidRPr="001005B7">
        <w:rPr>
          <w:color w:val="auto"/>
          <w:lang w:val="en-US"/>
        </w:rPr>
        <w:t xml:space="preserve">Signer, Michael A. “Vision and History: Nicholas of Lyra on the Prophet Ezechiel.” In </w:t>
      </w:r>
      <w:r w:rsidR="000522B8" w:rsidRPr="001005B7">
        <w:rPr>
          <w:color w:val="auto"/>
          <w:lang w:val="en-US"/>
        </w:rPr>
        <w:t xml:space="preserve">Philip D. W. </w:t>
      </w:r>
      <w:proofErr w:type="spellStart"/>
      <w:r w:rsidR="000522B8" w:rsidRPr="001005B7">
        <w:rPr>
          <w:color w:val="auto"/>
          <w:lang w:val="en-US"/>
        </w:rPr>
        <w:t>Krey</w:t>
      </w:r>
      <w:proofErr w:type="spellEnd"/>
      <w:r w:rsidR="000522B8" w:rsidRPr="001005B7">
        <w:rPr>
          <w:color w:val="auto"/>
          <w:lang w:val="en-US"/>
        </w:rPr>
        <w:t xml:space="preserve"> and Lesley Smith, ed., </w:t>
      </w:r>
      <w:r w:rsidR="000522B8" w:rsidRPr="001005B7">
        <w:rPr>
          <w:i/>
          <w:iCs/>
          <w:color w:val="auto"/>
          <w:lang w:val="en-US"/>
        </w:rPr>
        <w:t>Nicholas of Lyra: The Senses of Scripture</w:t>
      </w:r>
      <w:r w:rsidR="000522B8" w:rsidRPr="001005B7">
        <w:rPr>
          <w:color w:val="auto"/>
          <w:lang w:val="en-US"/>
        </w:rPr>
        <w:t>, 147</w:t>
      </w:r>
      <w:r w:rsidR="00F46900" w:rsidRPr="001005B7">
        <w:rPr>
          <w:color w:val="auto"/>
          <w:lang w:val="en-US"/>
        </w:rPr>
        <w:t>–</w:t>
      </w:r>
      <w:r w:rsidR="000522B8" w:rsidRPr="001005B7">
        <w:rPr>
          <w:color w:val="auto"/>
          <w:lang w:val="en-US"/>
        </w:rPr>
        <w:t>71. Leiden: Brill, 2000.</w:t>
      </w:r>
    </w:p>
    <w:p w14:paraId="78480646" w14:textId="596F2C66" w:rsidR="00853852" w:rsidRPr="001005B7" w:rsidRDefault="00D50995" w:rsidP="006F5BB0">
      <w:pPr>
        <w:pStyle w:val="ListParagraph"/>
        <w:rPr>
          <w:color w:val="auto"/>
          <w:lang w:val="en-US"/>
        </w:rPr>
      </w:pPr>
      <w:r w:rsidRPr="001005B7">
        <w:rPr>
          <w:color w:val="auto"/>
          <w:lang w:val="en-US"/>
        </w:rPr>
        <w:t>Smith-Christopher, Daniel L.</w:t>
      </w:r>
      <w:r w:rsidR="00853852" w:rsidRPr="001005B7">
        <w:rPr>
          <w:color w:val="auto"/>
          <w:lang w:val="en-US"/>
        </w:rPr>
        <w:t xml:space="preserve"> </w:t>
      </w:r>
      <w:r w:rsidRPr="001005B7">
        <w:rPr>
          <w:i/>
          <w:iCs/>
          <w:color w:val="auto"/>
          <w:lang w:val="en-US"/>
        </w:rPr>
        <w:t>A Biblical Theology of Exile</w:t>
      </w:r>
      <w:r w:rsidR="00853852" w:rsidRPr="001005B7">
        <w:rPr>
          <w:i/>
          <w:iCs/>
          <w:color w:val="auto"/>
          <w:lang w:val="en-US"/>
        </w:rPr>
        <w:t xml:space="preserve">. </w:t>
      </w:r>
      <w:r w:rsidRPr="001005B7">
        <w:rPr>
          <w:color w:val="auto"/>
          <w:lang w:val="en-US"/>
        </w:rPr>
        <w:t>Minneapolis: Fortress, 2002</w:t>
      </w:r>
      <w:r w:rsidR="00853852" w:rsidRPr="001005B7">
        <w:rPr>
          <w:color w:val="auto"/>
          <w:lang w:val="en-US"/>
        </w:rPr>
        <w:t>.</w:t>
      </w:r>
      <w:r w:rsidR="00391440">
        <w:rPr>
          <w:color w:val="auto"/>
          <w:lang w:val="en-US"/>
        </w:rPr>
        <w:t xml:space="preserve"> </w:t>
      </w:r>
    </w:p>
    <w:p w14:paraId="67F0DAB8" w14:textId="2A47B395" w:rsidR="00B126C4" w:rsidRPr="001005B7" w:rsidRDefault="002428FC" w:rsidP="006F5BB0">
      <w:pPr>
        <w:pStyle w:val="ListParagraph"/>
        <w:rPr>
          <w:color w:val="auto"/>
          <w:lang w:val="en-US"/>
        </w:rPr>
      </w:pPr>
      <w:r w:rsidRPr="001005B7">
        <w:rPr>
          <w:i/>
          <w:iCs/>
          <w:color w:val="auto"/>
          <w:lang w:val="en-US"/>
        </w:rPr>
        <w:t xml:space="preserve">––– </w:t>
      </w:r>
      <w:r w:rsidR="00B126C4" w:rsidRPr="001005B7">
        <w:rPr>
          <w:color w:val="auto"/>
          <w:lang w:val="en-US"/>
        </w:rPr>
        <w:t xml:space="preserve">“Ezekiel in Abu Ghraib: Rereading Ezekiel 16:37–39 in the Context of Imperial Conquest.” In Cook and Patton, </w:t>
      </w:r>
      <w:r w:rsidR="00B126C4" w:rsidRPr="001005B7">
        <w:rPr>
          <w:i/>
          <w:iCs/>
          <w:color w:val="auto"/>
          <w:lang w:val="en-US"/>
        </w:rPr>
        <w:t>Hierarchical World</w:t>
      </w:r>
      <w:r w:rsidR="00D773EC" w:rsidRPr="001005B7">
        <w:rPr>
          <w:i/>
          <w:iCs/>
          <w:color w:val="auto"/>
          <w:lang w:val="en-US"/>
        </w:rPr>
        <w:t xml:space="preserve"> </w:t>
      </w:r>
      <w:r w:rsidR="00D773EC" w:rsidRPr="001005B7">
        <w:rPr>
          <w:color w:val="auto"/>
          <w:lang w:val="en-US"/>
        </w:rPr>
        <w:t>[see above]</w:t>
      </w:r>
      <w:r w:rsidR="00B126C4" w:rsidRPr="001005B7">
        <w:rPr>
          <w:color w:val="auto"/>
          <w:lang w:val="en-US"/>
        </w:rPr>
        <w:t>, 141</w:t>
      </w:r>
      <w:r w:rsidR="00F46900" w:rsidRPr="001005B7">
        <w:rPr>
          <w:color w:val="auto"/>
          <w:lang w:val="en-US"/>
        </w:rPr>
        <w:t>–</w:t>
      </w:r>
      <w:r w:rsidR="00B126C4" w:rsidRPr="001005B7">
        <w:rPr>
          <w:color w:val="auto"/>
          <w:lang w:val="en-US"/>
        </w:rPr>
        <w:t>58.</w:t>
      </w:r>
    </w:p>
    <w:p w14:paraId="26E308E1" w14:textId="4BE7F391" w:rsidR="00B97620" w:rsidRPr="001005B7" w:rsidRDefault="005819B6" w:rsidP="006F5BB0">
      <w:pPr>
        <w:pStyle w:val="ListParagraph"/>
        <w:rPr>
          <w:color w:val="auto"/>
          <w:lang w:val="en-US"/>
        </w:rPr>
      </w:pPr>
      <w:r w:rsidRPr="001005B7">
        <w:rPr>
          <w:i/>
          <w:iCs/>
          <w:color w:val="auto"/>
          <w:lang w:val="en-US"/>
        </w:rPr>
        <w:t xml:space="preserve">––– </w:t>
      </w:r>
      <w:r w:rsidR="00AA26FF" w:rsidRPr="001005B7">
        <w:rPr>
          <w:color w:val="auto"/>
          <w:lang w:val="en-US"/>
        </w:rPr>
        <w:t>“</w:t>
      </w:r>
      <w:r w:rsidR="0091557C" w:rsidRPr="001005B7">
        <w:rPr>
          <w:color w:val="auto"/>
          <w:lang w:val="en-US"/>
        </w:rPr>
        <w:t xml:space="preserve">Ezekiel on Fanon's Couch A </w:t>
      </w:r>
      <w:proofErr w:type="spellStart"/>
      <w:r w:rsidR="0091557C" w:rsidRPr="001005B7">
        <w:rPr>
          <w:color w:val="auto"/>
          <w:lang w:val="en-US"/>
        </w:rPr>
        <w:t>Postcolonialist</w:t>
      </w:r>
      <w:proofErr w:type="spellEnd"/>
      <w:r w:rsidR="0091557C" w:rsidRPr="001005B7">
        <w:rPr>
          <w:color w:val="auto"/>
          <w:lang w:val="en-US"/>
        </w:rPr>
        <w:t xml:space="preserve"> Dialogue with David Halperin's Seeking Ezekiel</w:t>
      </w:r>
      <w:r w:rsidR="00AA26FF" w:rsidRPr="001005B7">
        <w:rPr>
          <w:color w:val="auto"/>
          <w:lang w:val="en-US"/>
        </w:rPr>
        <w:t>.”</w:t>
      </w:r>
      <w:r w:rsidR="00583415" w:rsidRPr="001005B7">
        <w:rPr>
          <w:color w:val="auto"/>
          <w:lang w:val="en-US"/>
        </w:rPr>
        <w:t xml:space="preserve"> In </w:t>
      </w:r>
      <w:r w:rsidR="00B97620" w:rsidRPr="001005B7">
        <w:rPr>
          <w:rStyle w:val="titlerespstmt"/>
          <w:color w:val="auto"/>
          <w:lang w:val="en-US"/>
        </w:rPr>
        <w:t>Ted</w:t>
      </w:r>
      <w:r w:rsidR="00B97620" w:rsidRPr="001005B7">
        <w:rPr>
          <w:rStyle w:val="titlerespstmt"/>
          <w:i/>
          <w:iCs/>
          <w:color w:val="auto"/>
          <w:lang w:val="en-US"/>
        </w:rPr>
        <w:t xml:space="preserve"> </w:t>
      </w:r>
      <w:r w:rsidR="00B97620" w:rsidRPr="001005B7">
        <w:rPr>
          <w:rStyle w:val="titlerespstmt"/>
          <w:color w:val="auto"/>
          <w:lang w:val="en-US"/>
        </w:rPr>
        <w:t>Grimsrud</w:t>
      </w:r>
      <w:r w:rsidR="00B97620" w:rsidRPr="001005B7">
        <w:rPr>
          <w:rStyle w:val="titlerespstmt"/>
          <w:i/>
          <w:iCs/>
          <w:color w:val="auto"/>
          <w:lang w:val="en-US"/>
        </w:rPr>
        <w:t xml:space="preserve"> </w:t>
      </w:r>
      <w:r w:rsidR="00B97620" w:rsidRPr="001005B7">
        <w:rPr>
          <w:rStyle w:val="titlerespstmt"/>
          <w:color w:val="auto"/>
          <w:lang w:val="en-US"/>
        </w:rPr>
        <w:t>and</w:t>
      </w:r>
      <w:r w:rsidR="00B97620" w:rsidRPr="001005B7">
        <w:rPr>
          <w:rStyle w:val="titlerespstmt"/>
          <w:i/>
          <w:iCs/>
          <w:color w:val="auto"/>
          <w:lang w:val="en-US"/>
        </w:rPr>
        <w:t xml:space="preserve"> </w:t>
      </w:r>
      <w:r w:rsidR="00B97620" w:rsidRPr="001005B7">
        <w:rPr>
          <w:rStyle w:val="titlerespstmt"/>
          <w:color w:val="auto"/>
          <w:lang w:val="en-US"/>
        </w:rPr>
        <w:t>Loren L. Johns</w:t>
      </w:r>
      <w:r w:rsidR="00FE38A7" w:rsidRPr="001005B7">
        <w:rPr>
          <w:rStyle w:val="titlerespstmt"/>
          <w:color w:val="auto"/>
          <w:lang w:val="en-US"/>
        </w:rPr>
        <w:t xml:space="preserve">, </w:t>
      </w:r>
      <w:r w:rsidR="00B97620" w:rsidRPr="001005B7">
        <w:rPr>
          <w:i/>
          <w:iCs/>
          <w:color w:val="auto"/>
          <w:lang w:val="en-US"/>
        </w:rPr>
        <w:t xml:space="preserve">Peace and </w:t>
      </w:r>
      <w:r w:rsidR="00CC4B81" w:rsidRPr="001005B7">
        <w:rPr>
          <w:i/>
          <w:iCs/>
          <w:color w:val="auto"/>
          <w:lang w:val="en-US"/>
        </w:rPr>
        <w:t>J</w:t>
      </w:r>
      <w:r w:rsidR="00B97620" w:rsidRPr="001005B7">
        <w:rPr>
          <w:i/>
          <w:iCs/>
          <w:color w:val="auto"/>
          <w:lang w:val="en-US"/>
        </w:rPr>
        <w:t xml:space="preserve">ustice </w:t>
      </w:r>
      <w:r w:rsidR="00CC4B81" w:rsidRPr="001005B7">
        <w:rPr>
          <w:i/>
          <w:iCs/>
          <w:color w:val="auto"/>
          <w:lang w:val="en-US"/>
        </w:rPr>
        <w:t>S</w:t>
      </w:r>
      <w:r w:rsidR="00B97620" w:rsidRPr="001005B7">
        <w:rPr>
          <w:i/>
          <w:iCs/>
          <w:color w:val="auto"/>
          <w:lang w:val="en-US"/>
        </w:rPr>
        <w:t xml:space="preserve">hall </w:t>
      </w:r>
      <w:r w:rsidR="00CC4B81" w:rsidRPr="001005B7">
        <w:rPr>
          <w:i/>
          <w:iCs/>
          <w:color w:val="auto"/>
          <w:lang w:val="en-US"/>
        </w:rPr>
        <w:t>E</w:t>
      </w:r>
      <w:r w:rsidR="00B97620" w:rsidRPr="001005B7">
        <w:rPr>
          <w:i/>
          <w:iCs/>
          <w:color w:val="auto"/>
          <w:lang w:val="en-US"/>
        </w:rPr>
        <w:t xml:space="preserve">mbrace: </w:t>
      </w:r>
      <w:r w:rsidR="00CC4B81" w:rsidRPr="001005B7">
        <w:rPr>
          <w:i/>
          <w:iCs/>
          <w:color w:val="auto"/>
          <w:lang w:val="en-US"/>
        </w:rPr>
        <w:t>P</w:t>
      </w:r>
      <w:r w:rsidR="00B97620" w:rsidRPr="001005B7">
        <w:rPr>
          <w:i/>
          <w:iCs/>
          <w:color w:val="auto"/>
          <w:lang w:val="en-US"/>
        </w:rPr>
        <w:t xml:space="preserve">ower and </w:t>
      </w:r>
      <w:proofErr w:type="spellStart"/>
      <w:r w:rsidR="00CC4B81" w:rsidRPr="001005B7">
        <w:rPr>
          <w:i/>
          <w:iCs/>
          <w:color w:val="auto"/>
          <w:lang w:val="en-US"/>
        </w:rPr>
        <w:t>T</w:t>
      </w:r>
      <w:r w:rsidR="00B97620" w:rsidRPr="001005B7">
        <w:rPr>
          <w:i/>
          <w:iCs/>
          <w:color w:val="auto"/>
          <w:lang w:val="en-US"/>
        </w:rPr>
        <w:t>heopolitics</w:t>
      </w:r>
      <w:proofErr w:type="spellEnd"/>
      <w:r w:rsidR="00B97620" w:rsidRPr="001005B7">
        <w:rPr>
          <w:i/>
          <w:iCs/>
          <w:color w:val="auto"/>
          <w:lang w:val="en-US"/>
        </w:rPr>
        <w:t xml:space="preserve"> in the Bible</w:t>
      </w:r>
      <w:r w:rsidR="00CC4B81" w:rsidRPr="001005B7">
        <w:rPr>
          <w:i/>
          <w:iCs/>
          <w:color w:val="auto"/>
          <w:lang w:val="en-US"/>
        </w:rPr>
        <w:t>. E</w:t>
      </w:r>
      <w:r w:rsidR="00B97620" w:rsidRPr="001005B7">
        <w:rPr>
          <w:i/>
          <w:iCs/>
          <w:color w:val="auto"/>
          <w:lang w:val="en-US"/>
        </w:rPr>
        <w:t xml:space="preserve">ssays in </w:t>
      </w:r>
      <w:r w:rsidR="00E462D8" w:rsidRPr="001005B7">
        <w:rPr>
          <w:i/>
          <w:iCs/>
          <w:color w:val="auto"/>
          <w:lang w:val="en-US"/>
        </w:rPr>
        <w:t>H</w:t>
      </w:r>
      <w:r w:rsidR="00B97620" w:rsidRPr="001005B7">
        <w:rPr>
          <w:i/>
          <w:iCs/>
          <w:color w:val="auto"/>
          <w:lang w:val="en-US"/>
        </w:rPr>
        <w:t>onor of Millard Lind</w:t>
      </w:r>
      <w:r w:rsidR="00E462D8" w:rsidRPr="001005B7">
        <w:rPr>
          <w:color w:val="auto"/>
          <w:lang w:val="en-US"/>
        </w:rPr>
        <w:t>, 108</w:t>
      </w:r>
      <w:r w:rsidR="00F46900" w:rsidRPr="001005B7">
        <w:rPr>
          <w:color w:val="auto"/>
          <w:lang w:val="en-US"/>
        </w:rPr>
        <w:t>–</w:t>
      </w:r>
      <w:r w:rsidR="000120DB" w:rsidRPr="001005B7">
        <w:rPr>
          <w:color w:val="auto"/>
          <w:lang w:val="en-US"/>
        </w:rPr>
        <w:t>44.</w:t>
      </w:r>
    </w:p>
    <w:p w14:paraId="09CB5855" w14:textId="0712A619" w:rsidR="000B44AA" w:rsidRPr="001005B7" w:rsidRDefault="000B44AA" w:rsidP="000B44AA">
      <w:pPr>
        <w:spacing w:after="60" w:line="240" w:lineRule="auto"/>
        <w:ind w:left="567" w:hanging="567"/>
        <w:rPr>
          <w:rFonts w:ascii="Calibri" w:eastAsia="Times New Roman" w:hAnsi="Calibri" w:cs="Calibri"/>
          <w:lang w:eastAsia="en-GB"/>
        </w:rPr>
      </w:pPr>
      <w:proofErr w:type="spellStart"/>
      <w:r w:rsidRPr="001005B7">
        <w:rPr>
          <w:rFonts w:ascii="Calibri" w:eastAsia="Times New Roman" w:hAnsi="Calibri" w:cs="Calibri"/>
          <w:lang w:eastAsia="en-GB"/>
        </w:rPr>
        <w:t>Stiebert</w:t>
      </w:r>
      <w:proofErr w:type="spellEnd"/>
      <w:r w:rsidRPr="001005B7">
        <w:rPr>
          <w:rFonts w:ascii="Calibri" w:eastAsia="Times New Roman" w:hAnsi="Calibri" w:cs="Calibri"/>
          <w:lang w:eastAsia="en-GB"/>
        </w:rPr>
        <w:t xml:space="preserve">, Johanna. </w:t>
      </w:r>
      <w:r w:rsidRPr="001005B7">
        <w:rPr>
          <w:rFonts w:ascii="Calibri" w:eastAsia="Times New Roman" w:hAnsi="Calibri" w:cs="Calibri"/>
          <w:i/>
          <w:iCs/>
          <w:lang w:eastAsia="en-GB"/>
        </w:rPr>
        <w:t>The Exile and the Prophet’s Wife</w:t>
      </w:r>
      <w:r w:rsidRPr="001005B7">
        <w:rPr>
          <w:rFonts w:ascii="Calibri" w:eastAsia="Times New Roman" w:hAnsi="Calibri" w:cs="Calibri"/>
          <w:lang w:eastAsia="en-GB"/>
        </w:rPr>
        <w:t>. Collegeville</w:t>
      </w:r>
      <w:r w:rsidR="00DA33DA" w:rsidRPr="001005B7">
        <w:rPr>
          <w:rFonts w:ascii="Calibri" w:eastAsia="Times New Roman" w:hAnsi="Calibri" w:cs="Calibri"/>
          <w:lang w:eastAsia="en-GB"/>
        </w:rPr>
        <w:t>, MN</w:t>
      </w:r>
      <w:r w:rsidRPr="001005B7">
        <w:rPr>
          <w:rFonts w:ascii="Calibri" w:eastAsia="Times New Roman" w:hAnsi="Calibri" w:cs="Calibri"/>
          <w:lang w:eastAsia="en-GB"/>
        </w:rPr>
        <w:t>: Liturgical</w:t>
      </w:r>
      <w:r w:rsidR="00DA33DA" w:rsidRPr="001005B7">
        <w:rPr>
          <w:rFonts w:ascii="Calibri" w:eastAsia="Times New Roman" w:hAnsi="Calibri" w:cs="Calibri"/>
          <w:lang w:eastAsia="en-GB"/>
        </w:rPr>
        <w:t xml:space="preserve"> Press</w:t>
      </w:r>
      <w:r w:rsidRPr="001005B7">
        <w:rPr>
          <w:rFonts w:ascii="Calibri" w:eastAsia="Times New Roman" w:hAnsi="Calibri" w:cs="Calibri"/>
          <w:lang w:eastAsia="en-GB"/>
        </w:rPr>
        <w:t>, 2005.</w:t>
      </w:r>
    </w:p>
    <w:p w14:paraId="612EB72B" w14:textId="7D826319" w:rsidR="00B665C6" w:rsidRPr="001005B7" w:rsidRDefault="00E027DC" w:rsidP="006F5BB0">
      <w:pPr>
        <w:pStyle w:val="ListParagraph"/>
        <w:rPr>
          <w:color w:val="auto"/>
          <w:lang w:val="en-US"/>
        </w:rPr>
      </w:pPr>
      <w:proofErr w:type="spellStart"/>
      <w:r w:rsidRPr="001005B7">
        <w:rPr>
          <w:color w:val="auto"/>
          <w:lang w:val="en-US"/>
        </w:rPr>
        <w:t>Stökl</w:t>
      </w:r>
      <w:proofErr w:type="spellEnd"/>
      <w:r w:rsidRPr="001005B7">
        <w:rPr>
          <w:color w:val="auto"/>
          <w:lang w:val="en-US"/>
        </w:rPr>
        <w:t xml:space="preserve">, </w:t>
      </w:r>
      <w:r w:rsidR="00FF676F" w:rsidRPr="001005B7">
        <w:rPr>
          <w:color w:val="auto"/>
          <w:lang w:val="en-US"/>
        </w:rPr>
        <w:t xml:space="preserve">Jonathan. </w:t>
      </w:r>
      <w:r w:rsidR="00B665C6" w:rsidRPr="001005B7">
        <w:rPr>
          <w:color w:val="auto"/>
          <w:lang w:val="en-US"/>
        </w:rPr>
        <w:t>“Schoolboy Ezekiel: Remarks on the Transmission of Learning</w:t>
      </w:r>
      <w:r w:rsidR="008437EA" w:rsidRPr="001005B7">
        <w:rPr>
          <w:color w:val="auto"/>
          <w:lang w:val="en-US"/>
        </w:rPr>
        <w:t xml:space="preserve">.” </w:t>
      </w:r>
      <w:r w:rsidR="008437EA" w:rsidRPr="001005B7">
        <w:rPr>
          <w:i/>
          <w:iCs/>
          <w:color w:val="auto"/>
          <w:lang w:val="en-US"/>
        </w:rPr>
        <w:t>WO</w:t>
      </w:r>
      <w:r w:rsidR="008437EA" w:rsidRPr="001005B7">
        <w:rPr>
          <w:color w:val="auto"/>
          <w:lang w:val="en-US"/>
        </w:rPr>
        <w:t xml:space="preserve"> </w:t>
      </w:r>
      <w:r w:rsidR="008F253C" w:rsidRPr="001005B7">
        <w:rPr>
          <w:color w:val="auto"/>
          <w:lang w:val="en-US"/>
        </w:rPr>
        <w:t>45 (2015): 50</w:t>
      </w:r>
      <w:r w:rsidR="00F46900" w:rsidRPr="001005B7">
        <w:rPr>
          <w:color w:val="auto"/>
          <w:lang w:val="en-US"/>
        </w:rPr>
        <w:t>–</w:t>
      </w:r>
      <w:r w:rsidR="008F253C" w:rsidRPr="001005B7">
        <w:rPr>
          <w:color w:val="auto"/>
          <w:lang w:val="en-US"/>
        </w:rPr>
        <w:t>61.</w:t>
      </w:r>
    </w:p>
    <w:p w14:paraId="2CB759B0" w14:textId="175CCA60" w:rsidR="00E027DC" w:rsidRPr="001005B7" w:rsidRDefault="0097482E" w:rsidP="006F5BB0">
      <w:pPr>
        <w:pStyle w:val="ListParagraph"/>
        <w:rPr>
          <w:color w:val="auto"/>
          <w:lang w:val="en-US"/>
        </w:rPr>
      </w:pPr>
      <w:r w:rsidRPr="001005B7">
        <w:rPr>
          <w:i/>
          <w:iCs/>
          <w:color w:val="auto"/>
          <w:lang w:val="en-US"/>
        </w:rPr>
        <w:t xml:space="preserve">––– </w:t>
      </w:r>
      <w:r w:rsidR="00E027DC" w:rsidRPr="001005B7">
        <w:rPr>
          <w:color w:val="auto"/>
          <w:lang w:val="en-US"/>
        </w:rPr>
        <w:t>“‘A Youth without Blemish, Handsome, Proficient in All Wisdom, Knowledgeable and Intelligent</w:t>
      </w:r>
      <w:r w:rsidR="00046ABC">
        <w:rPr>
          <w:color w:val="auto"/>
          <w:lang w:val="en-US"/>
        </w:rPr>
        <w:t>’</w:t>
      </w:r>
      <w:r w:rsidR="00E027DC" w:rsidRPr="001005B7">
        <w:rPr>
          <w:color w:val="auto"/>
          <w:lang w:val="en-US"/>
        </w:rPr>
        <w:t>: Ezekiel’s Access to Babylonian Culture</w:t>
      </w:r>
      <w:r w:rsidR="00C27D15" w:rsidRPr="001005B7">
        <w:rPr>
          <w:color w:val="auto"/>
          <w:lang w:val="en-US"/>
        </w:rPr>
        <w:t>.</w:t>
      </w:r>
      <w:r w:rsidR="00E027DC" w:rsidRPr="001005B7">
        <w:rPr>
          <w:color w:val="auto"/>
          <w:lang w:val="en-US"/>
        </w:rPr>
        <w:t xml:space="preserve">” </w:t>
      </w:r>
      <w:r w:rsidR="00C27D15" w:rsidRPr="001005B7">
        <w:rPr>
          <w:color w:val="auto"/>
          <w:lang w:val="en-US"/>
        </w:rPr>
        <w:t xml:space="preserve">In </w:t>
      </w:r>
      <w:r w:rsidR="00C23619" w:rsidRPr="001005B7">
        <w:rPr>
          <w:color w:val="auto"/>
          <w:lang w:val="en-US"/>
        </w:rPr>
        <w:t xml:space="preserve">Caroline </w:t>
      </w:r>
      <w:proofErr w:type="spellStart"/>
      <w:r w:rsidR="00C23619" w:rsidRPr="001005B7">
        <w:rPr>
          <w:color w:val="auto"/>
          <w:lang w:val="en-US"/>
        </w:rPr>
        <w:t>Waerzeggers</w:t>
      </w:r>
      <w:proofErr w:type="spellEnd"/>
      <w:r w:rsidR="00C23619" w:rsidRPr="001005B7">
        <w:rPr>
          <w:color w:val="auto"/>
          <w:lang w:val="en-US"/>
        </w:rPr>
        <w:t xml:space="preserve"> and Jonathan </w:t>
      </w:r>
      <w:proofErr w:type="spellStart"/>
      <w:r w:rsidR="00C23619" w:rsidRPr="001005B7">
        <w:rPr>
          <w:color w:val="auto"/>
          <w:lang w:val="en-US"/>
        </w:rPr>
        <w:t>Stökl</w:t>
      </w:r>
      <w:proofErr w:type="spellEnd"/>
      <w:r w:rsidR="00C23619" w:rsidRPr="001005B7">
        <w:rPr>
          <w:color w:val="auto"/>
          <w:lang w:val="en-US"/>
        </w:rPr>
        <w:t xml:space="preserve">, </w:t>
      </w:r>
      <w:r w:rsidR="00C27D15" w:rsidRPr="001005B7">
        <w:rPr>
          <w:color w:val="auto"/>
          <w:lang w:val="en-US"/>
        </w:rPr>
        <w:t xml:space="preserve">ed., </w:t>
      </w:r>
      <w:r w:rsidR="00E027DC" w:rsidRPr="001005B7">
        <w:rPr>
          <w:i/>
          <w:iCs/>
          <w:color w:val="auto"/>
          <w:lang w:val="en-US"/>
        </w:rPr>
        <w:t>Exile and Return: The Babylonian Context</w:t>
      </w:r>
      <w:r w:rsidR="00E027DC" w:rsidRPr="001005B7">
        <w:rPr>
          <w:color w:val="auto"/>
          <w:lang w:val="en-US"/>
        </w:rPr>
        <w:t xml:space="preserve">, </w:t>
      </w:r>
      <w:r w:rsidR="009244C5" w:rsidRPr="001005B7">
        <w:rPr>
          <w:color w:val="auto"/>
          <w:lang w:val="en-US"/>
        </w:rPr>
        <w:t>223</w:t>
      </w:r>
      <w:r w:rsidR="00F46900" w:rsidRPr="001005B7">
        <w:rPr>
          <w:color w:val="auto"/>
          <w:lang w:val="en-US"/>
        </w:rPr>
        <w:t>–</w:t>
      </w:r>
      <w:r w:rsidR="009244C5" w:rsidRPr="001005B7">
        <w:rPr>
          <w:color w:val="auto"/>
          <w:lang w:val="en-US"/>
        </w:rPr>
        <w:t>52.</w:t>
      </w:r>
      <w:r w:rsidR="00E027DC" w:rsidRPr="001005B7">
        <w:rPr>
          <w:color w:val="auto"/>
          <w:lang w:val="en-US"/>
        </w:rPr>
        <w:t xml:space="preserve"> BZAW </w:t>
      </w:r>
      <w:r w:rsidR="006B028F" w:rsidRPr="001005B7">
        <w:rPr>
          <w:color w:val="auto"/>
          <w:lang w:val="en-US"/>
        </w:rPr>
        <w:t xml:space="preserve">478. </w:t>
      </w:r>
      <w:r w:rsidR="001E22D3" w:rsidRPr="001005B7">
        <w:rPr>
          <w:color w:val="auto"/>
          <w:lang w:val="en-US"/>
        </w:rPr>
        <w:t>B</w:t>
      </w:r>
      <w:r w:rsidR="00E027DC" w:rsidRPr="001005B7">
        <w:rPr>
          <w:color w:val="auto"/>
          <w:lang w:val="en-US"/>
        </w:rPr>
        <w:t>erlin: de Gruyter, 2015</w:t>
      </w:r>
      <w:r w:rsidR="001E22D3" w:rsidRPr="001005B7">
        <w:rPr>
          <w:color w:val="auto"/>
          <w:lang w:val="en-US"/>
        </w:rPr>
        <w:t>.</w:t>
      </w:r>
      <w:r w:rsidR="00E027DC" w:rsidRPr="001005B7">
        <w:rPr>
          <w:color w:val="auto"/>
          <w:lang w:val="en-US"/>
        </w:rPr>
        <w:t xml:space="preserve"> </w:t>
      </w:r>
    </w:p>
    <w:p w14:paraId="23560212" w14:textId="157EDA15" w:rsidR="00B601FA" w:rsidRPr="001005B7" w:rsidRDefault="00CC66F0" w:rsidP="006F5BB0">
      <w:pPr>
        <w:pStyle w:val="ListParagraph"/>
        <w:rPr>
          <w:color w:val="auto"/>
          <w:lang w:val="en-US"/>
        </w:rPr>
      </w:pPr>
      <w:proofErr w:type="spellStart"/>
      <w:r w:rsidRPr="001005B7">
        <w:rPr>
          <w:color w:val="auto"/>
          <w:lang w:val="en-US"/>
        </w:rPr>
        <w:t>Strine</w:t>
      </w:r>
      <w:proofErr w:type="spellEnd"/>
      <w:r w:rsidRPr="001005B7">
        <w:rPr>
          <w:color w:val="auto"/>
          <w:lang w:val="en-US"/>
        </w:rPr>
        <w:t xml:space="preserve">, </w:t>
      </w:r>
      <w:r w:rsidR="00764F5A" w:rsidRPr="001005B7">
        <w:rPr>
          <w:color w:val="auto"/>
          <w:lang w:val="en-US"/>
        </w:rPr>
        <w:t>Casey A.</w:t>
      </w:r>
      <w:r w:rsidR="00B601FA" w:rsidRPr="001005B7">
        <w:rPr>
          <w:color w:val="auto"/>
          <w:lang w:val="en-US"/>
        </w:rPr>
        <w:t xml:space="preserve"> </w:t>
      </w:r>
      <w:r w:rsidR="00383901" w:rsidRPr="001005B7">
        <w:rPr>
          <w:color w:val="auto"/>
          <w:lang w:val="en-US"/>
        </w:rPr>
        <w:t>“</w:t>
      </w:r>
      <w:r w:rsidR="00B601FA" w:rsidRPr="001005B7">
        <w:rPr>
          <w:color w:val="auto"/>
          <w:lang w:val="en-US"/>
        </w:rPr>
        <w:t xml:space="preserve">Is </w:t>
      </w:r>
      <w:r w:rsidR="00383901" w:rsidRPr="001005B7">
        <w:rPr>
          <w:color w:val="auto"/>
          <w:lang w:val="en-US"/>
        </w:rPr>
        <w:t>‘</w:t>
      </w:r>
      <w:r w:rsidR="00B641DA" w:rsidRPr="001005B7">
        <w:rPr>
          <w:color w:val="auto"/>
          <w:lang w:val="en-US"/>
        </w:rPr>
        <w:t>E</w:t>
      </w:r>
      <w:r w:rsidR="00B601FA" w:rsidRPr="001005B7">
        <w:rPr>
          <w:color w:val="auto"/>
          <w:lang w:val="en-US"/>
        </w:rPr>
        <w:t>xile</w:t>
      </w:r>
      <w:r w:rsidR="00383901" w:rsidRPr="001005B7">
        <w:rPr>
          <w:color w:val="auto"/>
          <w:lang w:val="en-US"/>
        </w:rPr>
        <w:t>’</w:t>
      </w:r>
      <w:r w:rsidR="00B601FA" w:rsidRPr="001005B7">
        <w:rPr>
          <w:color w:val="auto"/>
          <w:lang w:val="en-US"/>
        </w:rPr>
        <w:t xml:space="preserve"> </w:t>
      </w:r>
      <w:r w:rsidR="00B641DA" w:rsidRPr="001005B7">
        <w:rPr>
          <w:color w:val="auto"/>
          <w:lang w:val="en-US"/>
        </w:rPr>
        <w:t>E</w:t>
      </w:r>
      <w:r w:rsidR="00B601FA" w:rsidRPr="001005B7">
        <w:rPr>
          <w:color w:val="auto"/>
          <w:lang w:val="en-US"/>
        </w:rPr>
        <w:t xml:space="preserve">nough? Jeremiah, Ezekiel, and the </w:t>
      </w:r>
      <w:r w:rsidR="00492566" w:rsidRPr="001005B7">
        <w:rPr>
          <w:color w:val="auto"/>
          <w:lang w:val="en-US"/>
        </w:rPr>
        <w:t>N</w:t>
      </w:r>
      <w:r w:rsidR="00B601FA" w:rsidRPr="001005B7">
        <w:rPr>
          <w:color w:val="auto"/>
          <w:lang w:val="en-US"/>
        </w:rPr>
        <w:t xml:space="preserve">eed for a </w:t>
      </w:r>
      <w:r w:rsidR="00492566" w:rsidRPr="001005B7">
        <w:rPr>
          <w:color w:val="auto"/>
          <w:lang w:val="en-US"/>
        </w:rPr>
        <w:t>T</w:t>
      </w:r>
      <w:r w:rsidR="00B601FA" w:rsidRPr="001005B7">
        <w:rPr>
          <w:color w:val="auto"/>
          <w:lang w:val="en-US"/>
        </w:rPr>
        <w:t xml:space="preserve">axonomy of </w:t>
      </w:r>
      <w:proofErr w:type="spellStart"/>
      <w:r w:rsidR="00B601FA" w:rsidRPr="001005B7">
        <w:rPr>
          <w:color w:val="auto"/>
          <w:lang w:val="en-US"/>
        </w:rPr>
        <w:t>i</w:t>
      </w:r>
      <w:r w:rsidR="00492566" w:rsidRPr="001005B7">
        <w:rPr>
          <w:color w:val="auto"/>
          <w:lang w:val="en-US"/>
        </w:rPr>
        <w:t>I</w:t>
      </w:r>
      <w:r w:rsidR="00B601FA" w:rsidRPr="001005B7">
        <w:rPr>
          <w:color w:val="auto"/>
          <w:lang w:val="en-US"/>
        </w:rPr>
        <w:t>nvoluntary</w:t>
      </w:r>
      <w:proofErr w:type="spellEnd"/>
      <w:r w:rsidR="00B601FA" w:rsidRPr="001005B7">
        <w:rPr>
          <w:color w:val="auto"/>
          <w:lang w:val="en-US"/>
        </w:rPr>
        <w:t xml:space="preserve"> </w:t>
      </w:r>
      <w:r w:rsidR="00383901" w:rsidRPr="001005B7">
        <w:rPr>
          <w:color w:val="auto"/>
          <w:lang w:val="en-US"/>
        </w:rPr>
        <w:t>M</w:t>
      </w:r>
      <w:r w:rsidR="00B601FA" w:rsidRPr="001005B7">
        <w:rPr>
          <w:color w:val="auto"/>
          <w:lang w:val="en-US"/>
        </w:rPr>
        <w:t xml:space="preserve">igration. </w:t>
      </w:r>
      <w:proofErr w:type="spellStart"/>
      <w:r w:rsidR="00B601FA" w:rsidRPr="001005B7">
        <w:rPr>
          <w:i/>
          <w:iCs/>
          <w:color w:val="auto"/>
          <w:lang w:val="en-US"/>
        </w:rPr>
        <w:t>HeBAI</w:t>
      </w:r>
      <w:proofErr w:type="spellEnd"/>
      <w:r w:rsidR="00B601FA" w:rsidRPr="001005B7">
        <w:rPr>
          <w:color w:val="auto"/>
          <w:lang w:val="en-US"/>
        </w:rPr>
        <w:t>) 7 (</w:t>
      </w:r>
      <w:r w:rsidR="00272C4F" w:rsidRPr="001005B7">
        <w:rPr>
          <w:color w:val="auto"/>
          <w:lang w:val="en-US"/>
        </w:rPr>
        <w:t>201</w:t>
      </w:r>
      <w:r w:rsidR="00202447" w:rsidRPr="001005B7">
        <w:rPr>
          <w:color w:val="auto"/>
          <w:lang w:val="en-US"/>
        </w:rPr>
        <w:t>8</w:t>
      </w:r>
      <w:r w:rsidR="00B601FA" w:rsidRPr="001005B7">
        <w:rPr>
          <w:color w:val="auto"/>
          <w:lang w:val="en-US"/>
        </w:rPr>
        <w:t>)</w:t>
      </w:r>
      <w:r w:rsidR="00272C4F" w:rsidRPr="001005B7">
        <w:rPr>
          <w:color w:val="auto"/>
          <w:lang w:val="en-US"/>
        </w:rPr>
        <w:t>:</w:t>
      </w:r>
      <w:r w:rsidR="00B601FA" w:rsidRPr="001005B7">
        <w:rPr>
          <w:color w:val="auto"/>
          <w:lang w:val="en-US"/>
        </w:rPr>
        <w:t xml:space="preserve"> 289</w:t>
      </w:r>
      <w:r w:rsidR="00F46900" w:rsidRPr="001005B7">
        <w:rPr>
          <w:color w:val="auto"/>
          <w:lang w:val="en-US"/>
        </w:rPr>
        <w:t>–</w:t>
      </w:r>
      <w:r w:rsidR="00B601FA" w:rsidRPr="001005B7">
        <w:rPr>
          <w:color w:val="auto"/>
          <w:lang w:val="en-US"/>
        </w:rPr>
        <w:t>315.</w:t>
      </w:r>
    </w:p>
    <w:p w14:paraId="43B18431" w14:textId="772C6122" w:rsidR="00CC66F0" w:rsidRPr="001005B7" w:rsidRDefault="0097482E" w:rsidP="006F5BB0">
      <w:pPr>
        <w:pStyle w:val="ListParagraph"/>
        <w:rPr>
          <w:color w:val="auto"/>
          <w:lang w:val="en-US"/>
        </w:rPr>
      </w:pPr>
      <w:r w:rsidRPr="001005B7">
        <w:rPr>
          <w:i/>
          <w:iCs/>
          <w:color w:val="auto"/>
          <w:lang w:val="en-US"/>
        </w:rPr>
        <w:t xml:space="preserve">––– </w:t>
      </w:r>
      <w:r w:rsidR="00CC66F0" w:rsidRPr="001005B7">
        <w:rPr>
          <w:color w:val="auto"/>
          <w:lang w:val="en-US"/>
        </w:rPr>
        <w:t>“</w:t>
      </w:r>
      <w:r w:rsidR="00764F5A" w:rsidRPr="001005B7">
        <w:rPr>
          <w:color w:val="auto"/>
          <w:lang w:val="en-US"/>
        </w:rPr>
        <w:t>Theological Anthropology and Anthropological Theology in the Book of Ezekiel</w:t>
      </w:r>
      <w:r w:rsidR="00CC66F0" w:rsidRPr="001005B7">
        <w:rPr>
          <w:color w:val="auto"/>
          <w:lang w:val="en-US"/>
        </w:rPr>
        <w:t>.” In</w:t>
      </w:r>
      <w:r w:rsidR="00764F5A" w:rsidRPr="001005B7">
        <w:rPr>
          <w:color w:val="auto"/>
          <w:lang w:val="en-US"/>
        </w:rPr>
        <w:t xml:space="preserve"> </w:t>
      </w:r>
      <w:r w:rsidR="002A22C0" w:rsidRPr="001005B7">
        <w:rPr>
          <w:color w:val="auto"/>
          <w:lang w:val="en-US"/>
        </w:rPr>
        <w:t xml:space="preserve">Jan Christian Gertz, Corinna </w:t>
      </w:r>
      <w:proofErr w:type="spellStart"/>
      <w:r w:rsidR="002A22C0" w:rsidRPr="001005B7">
        <w:rPr>
          <w:color w:val="auto"/>
          <w:lang w:val="en-US"/>
        </w:rPr>
        <w:t>Körting</w:t>
      </w:r>
      <w:proofErr w:type="spellEnd"/>
      <w:r w:rsidR="002A22C0" w:rsidRPr="001005B7">
        <w:rPr>
          <w:color w:val="auto"/>
          <w:lang w:val="en-US"/>
        </w:rPr>
        <w:t xml:space="preserve"> und Markus Witte, ed., </w:t>
      </w:r>
      <w:r w:rsidR="002A22C0" w:rsidRPr="001005B7">
        <w:rPr>
          <w:i/>
          <w:iCs/>
          <w:color w:val="auto"/>
          <w:lang w:val="en-US"/>
        </w:rPr>
        <w:t xml:space="preserve">Das Buch Ezechiel: </w:t>
      </w:r>
      <w:proofErr w:type="spellStart"/>
      <w:r w:rsidR="002A22C0" w:rsidRPr="001005B7">
        <w:rPr>
          <w:i/>
          <w:iCs/>
          <w:color w:val="auto"/>
          <w:lang w:val="en-US"/>
        </w:rPr>
        <w:t>Komposition</w:t>
      </w:r>
      <w:proofErr w:type="spellEnd"/>
      <w:r w:rsidR="002A22C0" w:rsidRPr="001005B7">
        <w:rPr>
          <w:i/>
          <w:iCs/>
          <w:color w:val="auto"/>
          <w:lang w:val="en-US"/>
        </w:rPr>
        <w:t xml:space="preserve">, </w:t>
      </w:r>
      <w:proofErr w:type="spellStart"/>
      <w:r w:rsidR="002A22C0" w:rsidRPr="001005B7">
        <w:rPr>
          <w:i/>
          <w:iCs/>
          <w:color w:val="auto"/>
          <w:lang w:val="en-US"/>
        </w:rPr>
        <w:t>Redaktion</w:t>
      </w:r>
      <w:proofErr w:type="spellEnd"/>
      <w:r w:rsidR="002A22C0" w:rsidRPr="001005B7">
        <w:rPr>
          <w:i/>
          <w:iCs/>
          <w:color w:val="auto"/>
          <w:lang w:val="en-US"/>
        </w:rPr>
        <w:t xml:space="preserve"> und </w:t>
      </w:r>
      <w:proofErr w:type="spellStart"/>
      <w:r w:rsidR="002A22C0" w:rsidRPr="001005B7">
        <w:rPr>
          <w:i/>
          <w:iCs/>
          <w:color w:val="auto"/>
          <w:lang w:val="en-US"/>
        </w:rPr>
        <w:t>Rezeption</w:t>
      </w:r>
      <w:proofErr w:type="spellEnd"/>
      <w:r w:rsidR="002A22C0" w:rsidRPr="001005B7">
        <w:rPr>
          <w:color w:val="auto"/>
          <w:lang w:val="en-US"/>
        </w:rPr>
        <w:t xml:space="preserve">, </w:t>
      </w:r>
      <w:r w:rsidR="00AC4215" w:rsidRPr="001005B7">
        <w:rPr>
          <w:color w:val="auto"/>
          <w:lang w:val="en-US"/>
        </w:rPr>
        <w:t>233</w:t>
      </w:r>
      <w:r w:rsidR="00F46900" w:rsidRPr="001005B7">
        <w:rPr>
          <w:color w:val="auto"/>
          <w:lang w:val="en-US"/>
        </w:rPr>
        <w:t>–</w:t>
      </w:r>
      <w:r w:rsidR="00AC4215" w:rsidRPr="001005B7">
        <w:rPr>
          <w:color w:val="auto"/>
          <w:lang w:val="en-US"/>
        </w:rPr>
        <w:t>54</w:t>
      </w:r>
      <w:r w:rsidR="002A22C0" w:rsidRPr="001005B7">
        <w:rPr>
          <w:color w:val="auto"/>
          <w:lang w:val="en-US"/>
        </w:rPr>
        <w:t>. BZAW 516. Berlin: de Gruyter, 2020.</w:t>
      </w:r>
    </w:p>
    <w:p w14:paraId="30966F58" w14:textId="292C41F6" w:rsidR="00BB0762" w:rsidRPr="001005B7" w:rsidRDefault="00BB0762" w:rsidP="006F5BB0">
      <w:pPr>
        <w:pStyle w:val="ListParagraph"/>
        <w:rPr>
          <w:color w:val="auto"/>
          <w:lang w:val="en-US"/>
        </w:rPr>
      </w:pPr>
      <w:r w:rsidRPr="001005B7">
        <w:rPr>
          <w:color w:val="auto"/>
          <w:lang w:val="en-US"/>
        </w:rPr>
        <w:t>Str</w:t>
      </w:r>
      <w:r w:rsidR="003555D0" w:rsidRPr="001005B7">
        <w:rPr>
          <w:color w:val="auto"/>
          <w:lang w:val="en-US"/>
        </w:rPr>
        <w:t>o</w:t>
      </w:r>
      <w:r w:rsidRPr="001005B7">
        <w:rPr>
          <w:color w:val="auto"/>
          <w:lang w:val="en-US"/>
        </w:rPr>
        <w:t xml:space="preserve">ng, John T. </w:t>
      </w:r>
      <w:r w:rsidR="00D43CA5" w:rsidRPr="001005B7">
        <w:rPr>
          <w:color w:val="auto"/>
          <w:lang w:val="en-US"/>
        </w:rPr>
        <w:t xml:space="preserve">“Reading the Scroll of Ezekiel for the Love of God.” </w:t>
      </w:r>
      <w:r w:rsidR="00D43CA5" w:rsidRPr="001005B7">
        <w:rPr>
          <w:i/>
          <w:iCs/>
          <w:color w:val="auto"/>
          <w:lang w:val="en-US"/>
        </w:rPr>
        <w:t>Reflections</w:t>
      </w:r>
      <w:r w:rsidR="003555D0" w:rsidRPr="001005B7">
        <w:rPr>
          <w:i/>
          <w:iCs/>
          <w:color w:val="auto"/>
          <w:lang w:val="en-US"/>
        </w:rPr>
        <w:t xml:space="preserve">: A </w:t>
      </w:r>
      <w:r w:rsidR="007C6C19" w:rsidRPr="001005B7">
        <w:rPr>
          <w:i/>
          <w:iCs/>
          <w:color w:val="auto"/>
          <w:lang w:val="en-US"/>
        </w:rPr>
        <w:t>Publication</w:t>
      </w:r>
      <w:r w:rsidR="003555D0" w:rsidRPr="001005B7">
        <w:rPr>
          <w:i/>
          <w:iCs/>
          <w:color w:val="auto"/>
          <w:lang w:val="en-US"/>
        </w:rPr>
        <w:t xml:space="preserve"> of the Missionary Church Historical Society</w:t>
      </w:r>
      <w:r w:rsidR="007C6C19" w:rsidRPr="001005B7">
        <w:rPr>
          <w:color w:val="auto"/>
          <w:lang w:val="en-US"/>
        </w:rPr>
        <w:t xml:space="preserve"> 16</w:t>
      </w:r>
      <w:r w:rsidR="00F46900" w:rsidRPr="001005B7">
        <w:rPr>
          <w:color w:val="auto"/>
          <w:lang w:val="en-US"/>
        </w:rPr>
        <w:t>–</w:t>
      </w:r>
      <w:r w:rsidR="007C6C19" w:rsidRPr="001005B7">
        <w:rPr>
          <w:color w:val="auto"/>
          <w:lang w:val="en-US"/>
        </w:rPr>
        <w:t>17 (</w:t>
      </w:r>
      <w:r w:rsidR="00CC01E6" w:rsidRPr="001005B7">
        <w:rPr>
          <w:color w:val="auto"/>
          <w:lang w:val="en-US"/>
        </w:rPr>
        <w:t>2014</w:t>
      </w:r>
      <w:r w:rsidR="00F46900" w:rsidRPr="001005B7">
        <w:rPr>
          <w:color w:val="auto"/>
          <w:lang w:val="en-US"/>
        </w:rPr>
        <w:t>–</w:t>
      </w:r>
      <w:r w:rsidR="00CC01E6" w:rsidRPr="001005B7">
        <w:rPr>
          <w:color w:val="auto"/>
          <w:lang w:val="en-US"/>
        </w:rPr>
        <w:t xml:space="preserve">2015): </w:t>
      </w:r>
      <w:r w:rsidR="00B709DC" w:rsidRPr="001005B7">
        <w:rPr>
          <w:color w:val="auto"/>
          <w:lang w:val="en-US"/>
        </w:rPr>
        <w:t>39</w:t>
      </w:r>
      <w:r w:rsidR="00F46900" w:rsidRPr="001005B7">
        <w:rPr>
          <w:color w:val="auto"/>
          <w:lang w:val="en-US"/>
        </w:rPr>
        <w:t>–</w:t>
      </w:r>
      <w:r w:rsidR="00B709DC" w:rsidRPr="001005B7">
        <w:rPr>
          <w:color w:val="auto"/>
          <w:lang w:val="en-US"/>
        </w:rPr>
        <w:t xml:space="preserve">55. </w:t>
      </w:r>
    </w:p>
    <w:p w14:paraId="13E16EBC" w14:textId="5BB40ACE" w:rsidR="0085437E" w:rsidRPr="001005B7" w:rsidRDefault="0085437E" w:rsidP="006F5BB0">
      <w:pPr>
        <w:pStyle w:val="ListParagraph"/>
        <w:rPr>
          <w:color w:val="auto"/>
          <w:lang w:val="en-US"/>
        </w:rPr>
      </w:pPr>
      <w:r w:rsidRPr="001005B7">
        <w:rPr>
          <w:color w:val="auto"/>
          <w:lang w:val="en-US"/>
        </w:rPr>
        <w:t xml:space="preserve">Stulman, </w:t>
      </w:r>
      <w:r w:rsidR="008A3018" w:rsidRPr="001005B7">
        <w:rPr>
          <w:color w:val="auto"/>
          <w:lang w:val="en-US"/>
        </w:rPr>
        <w:t xml:space="preserve">Louis. “Ezekiel as Disaster/Survival Literature: Speaking on Behalf of the Losers.” In </w:t>
      </w:r>
      <w:r w:rsidR="00480C3C" w:rsidRPr="001005B7">
        <w:rPr>
          <w:color w:val="auto"/>
          <w:lang w:val="en-US"/>
        </w:rPr>
        <w:t xml:space="preserve">Mark J. </w:t>
      </w:r>
      <w:proofErr w:type="spellStart"/>
      <w:r w:rsidR="00480C3C" w:rsidRPr="001005B7">
        <w:rPr>
          <w:color w:val="auto"/>
          <w:lang w:val="en-US"/>
        </w:rPr>
        <w:t>Boda</w:t>
      </w:r>
      <w:proofErr w:type="spellEnd"/>
      <w:r w:rsidR="00480C3C" w:rsidRPr="001005B7">
        <w:rPr>
          <w:color w:val="auto"/>
          <w:lang w:val="en-US"/>
        </w:rPr>
        <w:t xml:space="preserve">, Frank </w:t>
      </w:r>
      <w:proofErr w:type="spellStart"/>
      <w:r w:rsidR="00480C3C" w:rsidRPr="001005B7">
        <w:rPr>
          <w:color w:val="auto"/>
          <w:lang w:val="en-US"/>
        </w:rPr>
        <w:t>Ritchel</w:t>
      </w:r>
      <w:proofErr w:type="spellEnd"/>
      <w:r w:rsidR="00480C3C" w:rsidRPr="001005B7">
        <w:rPr>
          <w:color w:val="auto"/>
          <w:lang w:val="en-US"/>
        </w:rPr>
        <w:t xml:space="preserve"> Ames, John Ahn, and Mark </w:t>
      </w:r>
      <w:proofErr w:type="spellStart"/>
      <w:r w:rsidR="00480C3C" w:rsidRPr="001005B7">
        <w:rPr>
          <w:color w:val="auto"/>
          <w:lang w:val="en-US"/>
        </w:rPr>
        <w:t>Leuchter</w:t>
      </w:r>
      <w:proofErr w:type="spellEnd"/>
      <w:r w:rsidR="00480C3C" w:rsidRPr="001005B7">
        <w:rPr>
          <w:color w:val="auto"/>
          <w:lang w:val="en-US"/>
        </w:rPr>
        <w:t xml:space="preserve">, ed., </w:t>
      </w:r>
      <w:r w:rsidR="00480C3C" w:rsidRPr="001005B7">
        <w:rPr>
          <w:i/>
          <w:iCs/>
          <w:color w:val="auto"/>
          <w:lang w:val="en-US"/>
        </w:rPr>
        <w:t>The Prophets Speak on Forced Migration</w:t>
      </w:r>
      <w:r w:rsidR="00480C3C" w:rsidRPr="001005B7">
        <w:rPr>
          <w:color w:val="auto"/>
          <w:lang w:val="en-US"/>
        </w:rPr>
        <w:t>, 1</w:t>
      </w:r>
      <w:r w:rsidR="007E529A" w:rsidRPr="001005B7">
        <w:rPr>
          <w:color w:val="auto"/>
          <w:lang w:val="en-US"/>
        </w:rPr>
        <w:t>33</w:t>
      </w:r>
      <w:r w:rsidR="00F46900" w:rsidRPr="001005B7">
        <w:rPr>
          <w:color w:val="auto"/>
          <w:lang w:val="en-US"/>
        </w:rPr>
        <w:t>–</w:t>
      </w:r>
      <w:r w:rsidR="007E529A" w:rsidRPr="001005B7">
        <w:rPr>
          <w:color w:val="auto"/>
          <w:lang w:val="en-US"/>
        </w:rPr>
        <w:t>45</w:t>
      </w:r>
      <w:r w:rsidR="00480C3C" w:rsidRPr="001005B7">
        <w:rPr>
          <w:color w:val="auto"/>
          <w:lang w:val="en-US"/>
        </w:rPr>
        <w:t>. A</w:t>
      </w:r>
      <w:r w:rsidR="003E379E" w:rsidRPr="001005B7">
        <w:rPr>
          <w:color w:val="auto"/>
          <w:lang w:val="en-US"/>
        </w:rPr>
        <w:t>IIL</w:t>
      </w:r>
      <w:r w:rsidR="00480C3C" w:rsidRPr="001005B7">
        <w:rPr>
          <w:color w:val="auto"/>
          <w:lang w:val="en-US"/>
        </w:rPr>
        <w:t xml:space="preserve"> 21. Atlanta: SBL, 2015.</w:t>
      </w:r>
    </w:p>
    <w:p w14:paraId="367A496C" w14:textId="5A4CE28D" w:rsidR="007802B5" w:rsidRPr="001005B7" w:rsidRDefault="006C73D8" w:rsidP="006F5BB0">
      <w:pPr>
        <w:pStyle w:val="ListParagraph"/>
        <w:rPr>
          <w:color w:val="auto"/>
          <w:lang w:val="en-US"/>
        </w:rPr>
      </w:pPr>
      <w:r w:rsidRPr="001005B7">
        <w:rPr>
          <w:color w:val="auto"/>
          <w:lang w:val="en-US"/>
        </w:rPr>
        <w:t xml:space="preserve">Sweeney, Marvin A. “Eschatology in </w:t>
      </w:r>
      <w:r w:rsidR="00A86D0F" w:rsidRPr="001005B7">
        <w:rPr>
          <w:color w:val="auto"/>
          <w:lang w:val="en-US"/>
        </w:rPr>
        <w:t xml:space="preserve">the Book of </w:t>
      </w:r>
      <w:r w:rsidRPr="001005B7">
        <w:rPr>
          <w:color w:val="auto"/>
          <w:lang w:val="en-US"/>
        </w:rPr>
        <w:t>Ezekiel.”</w:t>
      </w:r>
      <w:r w:rsidR="00A86D0F" w:rsidRPr="001005B7">
        <w:rPr>
          <w:color w:val="auto"/>
          <w:lang w:val="en-US"/>
        </w:rPr>
        <w:t xml:space="preserve"> In </w:t>
      </w:r>
      <w:r w:rsidR="00604C83" w:rsidRPr="001005B7">
        <w:rPr>
          <w:color w:val="auto"/>
          <w:lang w:val="en-US"/>
        </w:rPr>
        <w:t xml:space="preserve">David J. A. Clines, Jacob L. Wright, and Kent Harold Richards, </w:t>
      </w:r>
      <w:r w:rsidR="009E3761" w:rsidRPr="001005B7">
        <w:rPr>
          <w:color w:val="auto"/>
          <w:lang w:val="en-US"/>
        </w:rPr>
        <w:t xml:space="preserve">ed., </w:t>
      </w:r>
      <w:r w:rsidR="007802B5" w:rsidRPr="001005B7">
        <w:rPr>
          <w:i/>
          <w:iCs/>
          <w:color w:val="auto"/>
          <w:lang w:val="en-US"/>
        </w:rPr>
        <w:t xml:space="preserve">Making a Difference: Essays on the Bible and Judaism in Honor of Tamara Cohn </w:t>
      </w:r>
      <w:proofErr w:type="spellStart"/>
      <w:r w:rsidR="007802B5" w:rsidRPr="001005B7">
        <w:rPr>
          <w:i/>
          <w:iCs/>
          <w:color w:val="auto"/>
          <w:lang w:val="en-US"/>
        </w:rPr>
        <w:t>Eskenazi</w:t>
      </w:r>
      <w:proofErr w:type="spellEnd"/>
      <w:r w:rsidR="009E3761" w:rsidRPr="001005B7">
        <w:rPr>
          <w:color w:val="auto"/>
          <w:lang w:val="en-US"/>
        </w:rPr>
        <w:t xml:space="preserve">, </w:t>
      </w:r>
      <w:r w:rsidR="00CF1701" w:rsidRPr="001005B7">
        <w:rPr>
          <w:color w:val="auto"/>
          <w:lang w:val="en-US"/>
        </w:rPr>
        <w:t>277</w:t>
      </w:r>
      <w:r w:rsidR="00F46900" w:rsidRPr="001005B7">
        <w:rPr>
          <w:color w:val="auto"/>
          <w:lang w:val="en-US"/>
        </w:rPr>
        <w:t>–</w:t>
      </w:r>
      <w:r w:rsidR="00CF1701" w:rsidRPr="001005B7">
        <w:rPr>
          <w:color w:val="auto"/>
          <w:lang w:val="en-US"/>
        </w:rPr>
        <w:t xml:space="preserve">91. Sheffield: Sheffield Phoenix, </w:t>
      </w:r>
      <w:r w:rsidR="005D5AC2" w:rsidRPr="001005B7">
        <w:rPr>
          <w:color w:val="auto"/>
          <w:lang w:val="en-US"/>
        </w:rPr>
        <w:t>2012.</w:t>
      </w:r>
    </w:p>
    <w:p w14:paraId="67E23319" w14:textId="4B19FEE1" w:rsidR="00C67115" w:rsidRPr="001005B7" w:rsidRDefault="00C67115" w:rsidP="006F5BB0">
      <w:pPr>
        <w:pStyle w:val="ListParagraph"/>
        <w:rPr>
          <w:color w:val="auto"/>
          <w:lang w:val="en-US"/>
        </w:rPr>
      </w:pPr>
      <w:r w:rsidRPr="001005B7">
        <w:rPr>
          <w:i/>
          <w:iCs/>
          <w:color w:val="auto"/>
          <w:lang w:val="en-US"/>
        </w:rPr>
        <w:t xml:space="preserve">––– </w:t>
      </w:r>
      <w:r w:rsidRPr="001005B7">
        <w:rPr>
          <w:color w:val="auto"/>
          <w:lang w:val="en-US"/>
        </w:rPr>
        <w:t>“</w:t>
      </w:r>
      <w:r w:rsidR="00577B05" w:rsidRPr="001005B7">
        <w:rPr>
          <w:color w:val="auto"/>
          <w:lang w:val="en-US"/>
        </w:rPr>
        <w:t>Ezekiel, Zadokite Priest and Visionary Prophet of the Exile.</w:t>
      </w:r>
      <w:r w:rsidR="008D3940" w:rsidRPr="001005B7">
        <w:rPr>
          <w:color w:val="auto"/>
          <w:lang w:val="en-US"/>
        </w:rPr>
        <w:t>” In Marvin A. Sweeney, </w:t>
      </w:r>
      <w:r w:rsidR="008D3940" w:rsidRPr="001005B7">
        <w:rPr>
          <w:i/>
          <w:iCs/>
          <w:color w:val="auto"/>
          <w:lang w:val="en-US"/>
        </w:rPr>
        <w:t>Form and Intertextuality in Prophetic and Apocalyptic Literature</w:t>
      </w:r>
      <w:r w:rsidR="008D3940" w:rsidRPr="001005B7">
        <w:rPr>
          <w:color w:val="auto"/>
          <w:lang w:val="en-US"/>
        </w:rPr>
        <w:t>,</w:t>
      </w:r>
      <w:r w:rsidR="00310FF7" w:rsidRPr="001005B7">
        <w:rPr>
          <w:color w:val="auto"/>
          <w:lang w:val="en-US"/>
        </w:rPr>
        <w:t xml:space="preserve"> </w:t>
      </w:r>
      <w:r w:rsidR="003E5FC0" w:rsidRPr="001005B7">
        <w:rPr>
          <w:color w:val="auto"/>
          <w:lang w:val="en-US"/>
        </w:rPr>
        <w:t>125</w:t>
      </w:r>
      <w:r w:rsidR="00F46900" w:rsidRPr="001005B7">
        <w:rPr>
          <w:color w:val="auto"/>
          <w:lang w:val="en-US"/>
        </w:rPr>
        <w:t>–</w:t>
      </w:r>
      <w:r w:rsidR="003E5FC0" w:rsidRPr="001005B7">
        <w:rPr>
          <w:color w:val="auto"/>
          <w:lang w:val="en-US"/>
        </w:rPr>
        <w:t xml:space="preserve">43. </w:t>
      </w:r>
      <w:r w:rsidR="00310FF7" w:rsidRPr="001005B7">
        <w:rPr>
          <w:color w:val="auto"/>
          <w:lang w:val="en-US"/>
        </w:rPr>
        <w:t>FAT 45. Tübingen: Mohr</w:t>
      </w:r>
      <w:r w:rsidR="00AA4916" w:rsidRPr="001005B7">
        <w:rPr>
          <w:color w:val="auto"/>
          <w:lang w:val="en-US"/>
        </w:rPr>
        <w:t xml:space="preserve"> </w:t>
      </w:r>
      <w:proofErr w:type="spellStart"/>
      <w:r w:rsidR="00AA4916" w:rsidRPr="001005B7">
        <w:rPr>
          <w:color w:val="auto"/>
          <w:lang w:val="en-US"/>
        </w:rPr>
        <w:t>Siebeck</w:t>
      </w:r>
      <w:proofErr w:type="spellEnd"/>
      <w:r w:rsidR="00AA4916" w:rsidRPr="001005B7">
        <w:rPr>
          <w:color w:val="auto"/>
          <w:lang w:val="en-US"/>
        </w:rPr>
        <w:t>,</w:t>
      </w:r>
      <w:r w:rsidR="00310FF7" w:rsidRPr="001005B7">
        <w:rPr>
          <w:color w:val="auto"/>
          <w:lang w:val="en-US"/>
        </w:rPr>
        <w:t xml:space="preserve"> 2005.</w:t>
      </w:r>
      <w:r w:rsidR="00577B05" w:rsidRPr="001005B7">
        <w:rPr>
          <w:color w:val="auto"/>
          <w:lang w:val="en-US"/>
        </w:rPr>
        <w:t xml:space="preserve"> </w:t>
      </w:r>
    </w:p>
    <w:p w14:paraId="648B8C73" w14:textId="46070751" w:rsidR="00E416CD" w:rsidRPr="001005B7" w:rsidRDefault="00E416CD" w:rsidP="006F5BB0">
      <w:pPr>
        <w:pStyle w:val="ListParagraph"/>
        <w:rPr>
          <w:color w:val="auto"/>
          <w:lang w:val="en-US"/>
        </w:rPr>
      </w:pPr>
      <w:r w:rsidRPr="001005B7">
        <w:rPr>
          <w:color w:val="auto"/>
          <w:lang w:val="en-US"/>
        </w:rPr>
        <w:t xml:space="preserve">Talmon, </w:t>
      </w:r>
      <w:proofErr w:type="spellStart"/>
      <w:r w:rsidR="006966DB" w:rsidRPr="001005B7">
        <w:rPr>
          <w:color w:val="auto"/>
          <w:lang w:val="en-US"/>
        </w:rPr>
        <w:t>Shemaryahu</w:t>
      </w:r>
      <w:proofErr w:type="spellEnd"/>
      <w:r w:rsidR="006966DB" w:rsidRPr="001005B7">
        <w:rPr>
          <w:color w:val="auto"/>
          <w:lang w:val="en-US"/>
        </w:rPr>
        <w:t xml:space="preserve">. </w:t>
      </w:r>
      <w:r w:rsidRPr="001005B7">
        <w:rPr>
          <w:color w:val="auto"/>
          <w:lang w:val="en-US"/>
        </w:rPr>
        <w:t>“Fragments of an Ezekiel Scroll from Masada (Ezek 35:11- 38:14) 1043</w:t>
      </w:r>
      <w:r w:rsidR="00080679" w:rsidRPr="001005B7">
        <w:rPr>
          <w:color w:val="auto"/>
          <w:lang w:val="en-US"/>
        </w:rPr>
        <w:t>-</w:t>
      </w:r>
      <w:r w:rsidRPr="001005B7">
        <w:rPr>
          <w:color w:val="auto"/>
          <w:lang w:val="en-US"/>
        </w:rPr>
        <w:t>2220</w:t>
      </w:r>
      <w:r w:rsidR="000402E0" w:rsidRPr="001005B7">
        <w:rPr>
          <w:color w:val="auto"/>
          <w:lang w:val="en-US"/>
        </w:rPr>
        <w:t>,</w:t>
      </w:r>
      <w:r w:rsidRPr="001005B7">
        <w:rPr>
          <w:color w:val="auto"/>
          <w:lang w:val="en-US"/>
        </w:rPr>
        <w:t xml:space="preserve"> Mas </w:t>
      </w:r>
      <w:r w:rsidR="00240D8B" w:rsidRPr="001005B7">
        <w:rPr>
          <w:color w:val="auto"/>
          <w:lang w:val="en-US"/>
        </w:rPr>
        <w:t>1</w:t>
      </w:r>
      <w:r w:rsidR="00CC115F" w:rsidRPr="001005B7">
        <w:rPr>
          <w:color w:val="auto"/>
          <w:lang w:val="en-US"/>
        </w:rPr>
        <w:t>D</w:t>
      </w:r>
      <w:r w:rsidR="006419B0" w:rsidRPr="001005B7">
        <w:rPr>
          <w:color w:val="auto"/>
          <w:lang w:val="en-US"/>
        </w:rPr>
        <w:t xml:space="preserve">.” </w:t>
      </w:r>
      <w:r w:rsidR="006419B0" w:rsidRPr="001005B7">
        <w:rPr>
          <w:rStyle w:val="Strong"/>
          <w:b w:val="0"/>
          <w:bCs w:val="0"/>
          <w:i/>
          <w:iCs/>
          <w:color w:val="auto"/>
          <w:shd w:val="clear" w:color="auto" w:fill="FFFFFF"/>
          <w:lang w:val="en-US"/>
        </w:rPr>
        <w:t xml:space="preserve">Orientalia </w:t>
      </w:r>
      <w:proofErr w:type="spellStart"/>
      <w:r w:rsidR="006419B0" w:rsidRPr="001005B7">
        <w:rPr>
          <w:rStyle w:val="Strong"/>
          <w:b w:val="0"/>
          <w:bCs w:val="0"/>
          <w:i/>
          <w:iCs/>
          <w:color w:val="auto"/>
          <w:shd w:val="clear" w:color="auto" w:fill="FFFFFF"/>
          <w:lang w:val="en-US"/>
        </w:rPr>
        <w:t>Lovaniensia</w:t>
      </w:r>
      <w:proofErr w:type="spellEnd"/>
      <w:r w:rsidR="006419B0" w:rsidRPr="001005B7">
        <w:rPr>
          <w:rStyle w:val="Strong"/>
          <w:b w:val="0"/>
          <w:bCs w:val="0"/>
          <w:i/>
          <w:iCs/>
          <w:color w:val="auto"/>
          <w:shd w:val="clear" w:color="auto" w:fill="FFFFFF"/>
          <w:lang w:val="en-US"/>
        </w:rPr>
        <w:t xml:space="preserve"> </w:t>
      </w:r>
      <w:proofErr w:type="spellStart"/>
      <w:r w:rsidR="006419B0" w:rsidRPr="001005B7">
        <w:rPr>
          <w:rStyle w:val="Strong"/>
          <w:b w:val="0"/>
          <w:bCs w:val="0"/>
          <w:i/>
          <w:iCs/>
          <w:color w:val="auto"/>
          <w:shd w:val="clear" w:color="auto" w:fill="FFFFFF"/>
          <w:lang w:val="en-US"/>
        </w:rPr>
        <w:t>periodica</w:t>
      </w:r>
      <w:proofErr w:type="spellEnd"/>
      <w:r w:rsidRPr="001005B7">
        <w:rPr>
          <w:color w:val="auto"/>
          <w:lang w:val="en-US"/>
        </w:rPr>
        <w:t xml:space="preserve"> 27 (1996)</w:t>
      </w:r>
      <w:r w:rsidR="008C251B" w:rsidRPr="001005B7">
        <w:rPr>
          <w:color w:val="auto"/>
          <w:lang w:val="en-US"/>
        </w:rPr>
        <w:t>:</w:t>
      </w:r>
      <w:r w:rsidRPr="001005B7">
        <w:rPr>
          <w:color w:val="auto"/>
          <w:lang w:val="en-US"/>
        </w:rPr>
        <w:t xml:space="preserve"> 29-49</w:t>
      </w:r>
      <w:r w:rsidR="003561BE" w:rsidRPr="001005B7">
        <w:rPr>
          <w:color w:val="auto"/>
          <w:lang w:val="en-US"/>
        </w:rPr>
        <w:t>.</w:t>
      </w:r>
    </w:p>
    <w:p w14:paraId="2A87B352" w14:textId="308C0370" w:rsidR="00F86479" w:rsidRPr="001005B7" w:rsidRDefault="00DB66FA" w:rsidP="006F5BB0">
      <w:pPr>
        <w:pStyle w:val="ListParagraph"/>
        <w:rPr>
          <w:color w:val="auto"/>
          <w:lang w:val="en-US"/>
        </w:rPr>
      </w:pPr>
      <w:proofErr w:type="spellStart"/>
      <w:r w:rsidRPr="001005B7">
        <w:rPr>
          <w:color w:val="auto"/>
          <w:lang w:val="en-US"/>
        </w:rPr>
        <w:t>Tiemeyer</w:t>
      </w:r>
      <w:proofErr w:type="spellEnd"/>
      <w:r w:rsidRPr="001005B7">
        <w:rPr>
          <w:color w:val="auto"/>
          <w:lang w:val="en-US"/>
        </w:rPr>
        <w:t>, Lena-Sofia. “To Read</w:t>
      </w:r>
      <w:r w:rsidR="00F46900" w:rsidRPr="001005B7">
        <w:rPr>
          <w:color w:val="auto"/>
          <w:lang w:val="en-US"/>
        </w:rPr>
        <w:t>–</w:t>
      </w:r>
      <w:r w:rsidRPr="001005B7">
        <w:rPr>
          <w:color w:val="auto"/>
          <w:lang w:val="en-US"/>
        </w:rPr>
        <w:t>Or Not to Read</w:t>
      </w:r>
      <w:r w:rsidR="00F46900" w:rsidRPr="001005B7">
        <w:rPr>
          <w:color w:val="auto"/>
          <w:lang w:val="en-US"/>
        </w:rPr>
        <w:t>–</w:t>
      </w:r>
      <w:r w:rsidRPr="001005B7">
        <w:rPr>
          <w:color w:val="auto"/>
          <w:lang w:val="en-US"/>
        </w:rPr>
        <w:t xml:space="preserve">Ezekiel as Christian Scripture.” </w:t>
      </w:r>
      <w:proofErr w:type="spellStart"/>
      <w:r w:rsidRPr="001005B7">
        <w:rPr>
          <w:i/>
          <w:iCs/>
          <w:color w:val="auto"/>
          <w:lang w:val="en-US"/>
        </w:rPr>
        <w:t>ExpT</w:t>
      </w:r>
      <w:proofErr w:type="spellEnd"/>
      <w:r w:rsidRPr="001005B7">
        <w:rPr>
          <w:i/>
          <w:iCs/>
          <w:color w:val="auto"/>
          <w:lang w:val="en-US"/>
        </w:rPr>
        <w:t xml:space="preserve"> </w:t>
      </w:r>
      <w:r w:rsidR="008F56BC" w:rsidRPr="001005B7">
        <w:rPr>
          <w:color w:val="auto"/>
          <w:lang w:val="en-US"/>
        </w:rPr>
        <w:t>121 (2009</w:t>
      </w:r>
      <w:r w:rsidR="00F46900" w:rsidRPr="001005B7">
        <w:rPr>
          <w:color w:val="auto"/>
          <w:lang w:val="en-US"/>
        </w:rPr>
        <w:t>–</w:t>
      </w:r>
      <w:r w:rsidR="008F56BC" w:rsidRPr="001005B7">
        <w:rPr>
          <w:color w:val="auto"/>
          <w:lang w:val="en-US"/>
        </w:rPr>
        <w:t xml:space="preserve">10): </w:t>
      </w:r>
      <w:r w:rsidR="00257589" w:rsidRPr="001005B7">
        <w:rPr>
          <w:color w:val="auto"/>
          <w:lang w:val="en-US"/>
        </w:rPr>
        <w:t>481</w:t>
      </w:r>
      <w:r w:rsidR="00F46900" w:rsidRPr="001005B7">
        <w:rPr>
          <w:color w:val="auto"/>
          <w:lang w:val="en-US"/>
        </w:rPr>
        <w:t>–</w:t>
      </w:r>
      <w:r w:rsidR="00257589" w:rsidRPr="001005B7">
        <w:rPr>
          <w:color w:val="auto"/>
          <w:lang w:val="en-US"/>
        </w:rPr>
        <w:t xml:space="preserve">88. </w:t>
      </w:r>
    </w:p>
    <w:p w14:paraId="5264B8C1" w14:textId="11A67DC8" w:rsidR="003561BE" w:rsidRPr="001005B7" w:rsidRDefault="003561BE" w:rsidP="006F5BB0">
      <w:pPr>
        <w:pStyle w:val="ListParagraph"/>
        <w:rPr>
          <w:color w:val="auto"/>
          <w:lang w:val="en-US"/>
        </w:rPr>
      </w:pPr>
      <w:proofErr w:type="spellStart"/>
      <w:r w:rsidRPr="001005B7">
        <w:rPr>
          <w:color w:val="auto"/>
          <w:lang w:val="en-US"/>
        </w:rPr>
        <w:t>T</w:t>
      </w:r>
      <w:r w:rsidR="00FF5587" w:rsidRPr="001005B7">
        <w:rPr>
          <w:color w:val="auto"/>
          <w:lang w:val="en-US"/>
        </w:rPr>
        <w:t>i</w:t>
      </w:r>
      <w:r w:rsidRPr="001005B7">
        <w:rPr>
          <w:color w:val="auto"/>
          <w:lang w:val="en-US"/>
        </w:rPr>
        <w:t>gchelaar</w:t>
      </w:r>
      <w:proofErr w:type="spellEnd"/>
      <w:r w:rsidRPr="001005B7">
        <w:rPr>
          <w:color w:val="auto"/>
          <w:lang w:val="en-US"/>
        </w:rPr>
        <w:t xml:space="preserve">, </w:t>
      </w:r>
      <w:proofErr w:type="spellStart"/>
      <w:r w:rsidRPr="001005B7">
        <w:rPr>
          <w:color w:val="auto"/>
          <w:lang w:val="en-US"/>
        </w:rPr>
        <w:t>Eibert</w:t>
      </w:r>
      <w:proofErr w:type="spellEnd"/>
      <w:r w:rsidR="00FF5587" w:rsidRPr="001005B7">
        <w:rPr>
          <w:color w:val="auto"/>
          <w:lang w:val="en-US"/>
        </w:rPr>
        <w:t>. “Notes on the Ezekiel Scroll from Masada (</w:t>
      </w:r>
      <w:proofErr w:type="spellStart"/>
      <w:r w:rsidR="00FF5587" w:rsidRPr="001005B7">
        <w:rPr>
          <w:color w:val="auto"/>
          <w:lang w:val="en-US"/>
        </w:rPr>
        <w:t>Masezek</w:t>
      </w:r>
      <w:proofErr w:type="spellEnd"/>
      <w:r w:rsidR="00FF5587" w:rsidRPr="001005B7">
        <w:rPr>
          <w:color w:val="auto"/>
          <w:lang w:val="en-US"/>
        </w:rPr>
        <w:t xml:space="preserve">).” </w:t>
      </w:r>
      <w:r w:rsidR="00B41973" w:rsidRPr="001005B7">
        <w:rPr>
          <w:color w:val="auto"/>
          <w:lang w:val="en-US"/>
        </w:rPr>
        <w:t>269</w:t>
      </w:r>
      <w:r w:rsidR="00F46900" w:rsidRPr="001005B7">
        <w:rPr>
          <w:color w:val="auto"/>
          <w:lang w:val="en-US"/>
        </w:rPr>
        <w:t>–</w:t>
      </w:r>
      <w:r w:rsidR="00B41973" w:rsidRPr="001005B7">
        <w:rPr>
          <w:color w:val="auto"/>
          <w:lang w:val="en-US"/>
        </w:rPr>
        <w:t xml:space="preserve">75. </w:t>
      </w:r>
    </w:p>
    <w:p w14:paraId="451AD45B" w14:textId="09E1D214" w:rsidR="00606608" w:rsidRPr="001005B7" w:rsidRDefault="00606608" w:rsidP="006F5BB0">
      <w:pPr>
        <w:pStyle w:val="ListParagraph"/>
        <w:rPr>
          <w:color w:val="auto"/>
          <w:lang w:val="en-US"/>
        </w:rPr>
      </w:pPr>
      <w:proofErr w:type="spellStart"/>
      <w:r w:rsidRPr="001005B7">
        <w:rPr>
          <w:color w:val="auto"/>
          <w:lang w:val="en-US"/>
        </w:rPr>
        <w:t>Tooman</w:t>
      </w:r>
      <w:proofErr w:type="spellEnd"/>
      <w:r w:rsidRPr="001005B7">
        <w:rPr>
          <w:color w:val="auto"/>
          <w:lang w:val="en-US"/>
        </w:rPr>
        <w:t>, William A., and Michael A. Lyons, ed.</w:t>
      </w:r>
      <w:r w:rsidRPr="001005B7">
        <w:rPr>
          <w:i/>
          <w:iCs/>
          <w:color w:val="auto"/>
          <w:lang w:val="en-US"/>
        </w:rPr>
        <w:t xml:space="preserve"> Transformations of Text, Tradition and Theology in Ezekiel</w:t>
      </w:r>
      <w:r w:rsidRPr="001005B7">
        <w:rPr>
          <w:color w:val="auto"/>
          <w:lang w:val="en-US"/>
        </w:rPr>
        <w:t>. Cambridge: Clarke, 2010.</w:t>
      </w:r>
    </w:p>
    <w:p w14:paraId="1E85107D" w14:textId="77777777" w:rsidR="00966D32" w:rsidRDefault="0090264F" w:rsidP="00966D32">
      <w:pPr>
        <w:pStyle w:val="ListParagraph"/>
        <w:rPr>
          <w:color w:val="auto"/>
          <w:lang w:val="en-US"/>
        </w:rPr>
      </w:pPr>
      <w:r w:rsidRPr="001005B7">
        <w:rPr>
          <w:color w:val="auto"/>
          <w:lang w:val="en-US"/>
        </w:rPr>
        <w:t xml:space="preserve">Torrey, Charles Cutler. </w:t>
      </w:r>
      <w:r w:rsidRPr="001005B7">
        <w:rPr>
          <w:i/>
          <w:iCs/>
          <w:color w:val="auto"/>
          <w:lang w:val="en-US"/>
        </w:rPr>
        <w:t>Pseudo-Ezekiel and the Original Prophecy</w:t>
      </w:r>
      <w:r w:rsidR="00063581" w:rsidRPr="001005B7">
        <w:rPr>
          <w:color w:val="auto"/>
          <w:lang w:val="en-US"/>
        </w:rPr>
        <w:t xml:space="preserve">. </w:t>
      </w:r>
      <w:r w:rsidRPr="001005B7">
        <w:rPr>
          <w:color w:val="auto"/>
          <w:lang w:val="en-US"/>
        </w:rPr>
        <w:t>New Haven: Yale University Press, 1930</w:t>
      </w:r>
      <w:r w:rsidR="00063581" w:rsidRPr="001005B7">
        <w:rPr>
          <w:color w:val="auto"/>
          <w:lang w:val="en-US"/>
        </w:rPr>
        <w:t>.</w:t>
      </w:r>
    </w:p>
    <w:p w14:paraId="399D2F14" w14:textId="4C1FBEBF" w:rsidR="00951B14" w:rsidRPr="001005B7" w:rsidRDefault="00951B14" w:rsidP="00966D32">
      <w:pPr>
        <w:pStyle w:val="ListParagraph"/>
        <w:rPr>
          <w:color w:val="auto"/>
          <w:lang w:val="en-US"/>
        </w:rPr>
      </w:pPr>
      <w:r w:rsidRPr="001005B7">
        <w:rPr>
          <w:color w:val="auto"/>
          <w:lang w:val="en-US"/>
        </w:rPr>
        <w:t xml:space="preserve">Tov, </w:t>
      </w:r>
      <w:r w:rsidR="003F57FF" w:rsidRPr="001005B7">
        <w:rPr>
          <w:color w:val="auto"/>
          <w:lang w:val="en-US"/>
        </w:rPr>
        <w:t xml:space="preserve">Emanuel. </w:t>
      </w:r>
      <w:r w:rsidR="00E67ADB" w:rsidRPr="001005B7">
        <w:rPr>
          <w:color w:val="auto"/>
          <w:lang w:val="en-US"/>
        </w:rPr>
        <w:t xml:space="preserve">“The Nature of the Large-Scale Differences between the LXX and MT S T V, Compared </w:t>
      </w:r>
      <w:r w:rsidR="0009024C" w:rsidRPr="001005B7">
        <w:rPr>
          <w:color w:val="auto"/>
          <w:lang w:val="en-US"/>
        </w:rPr>
        <w:t>w</w:t>
      </w:r>
      <w:r w:rsidR="00E67ADB" w:rsidRPr="001005B7">
        <w:rPr>
          <w:color w:val="auto"/>
          <w:lang w:val="en-US"/>
        </w:rPr>
        <w:t>ith S</w:t>
      </w:r>
      <w:r w:rsidR="007831D4" w:rsidRPr="001005B7">
        <w:rPr>
          <w:color w:val="auto"/>
          <w:lang w:val="en-US"/>
        </w:rPr>
        <w:t>i</w:t>
      </w:r>
      <w:r w:rsidR="0009024C" w:rsidRPr="001005B7">
        <w:rPr>
          <w:color w:val="auto"/>
          <w:lang w:val="en-US"/>
        </w:rPr>
        <w:t>mi</w:t>
      </w:r>
      <w:r w:rsidR="00E67ADB" w:rsidRPr="001005B7">
        <w:rPr>
          <w:color w:val="auto"/>
          <w:lang w:val="en-US"/>
        </w:rPr>
        <w:t xml:space="preserve">lar Evidence </w:t>
      </w:r>
      <w:r w:rsidR="0009024C" w:rsidRPr="001005B7">
        <w:rPr>
          <w:color w:val="auto"/>
          <w:lang w:val="en-US"/>
        </w:rPr>
        <w:t>i</w:t>
      </w:r>
      <w:r w:rsidR="00E67ADB" w:rsidRPr="001005B7">
        <w:rPr>
          <w:color w:val="auto"/>
          <w:lang w:val="en-US"/>
        </w:rPr>
        <w:t>n Other Source</w:t>
      </w:r>
      <w:r w:rsidR="0009024C" w:rsidRPr="001005B7">
        <w:rPr>
          <w:color w:val="auto"/>
          <w:lang w:val="en-US"/>
        </w:rPr>
        <w:t xml:space="preserve">s.” </w:t>
      </w:r>
      <w:r w:rsidRPr="001005B7">
        <w:rPr>
          <w:color w:val="auto"/>
          <w:lang w:val="en-US"/>
        </w:rPr>
        <w:t xml:space="preserve">In Adrian Schenker, ed., </w:t>
      </w:r>
      <w:r w:rsidRPr="001005B7">
        <w:rPr>
          <w:i/>
          <w:iCs/>
          <w:color w:val="auto"/>
          <w:lang w:val="en-US"/>
        </w:rPr>
        <w:t>The Earliest Text of the</w:t>
      </w:r>
      <w:r w:rsidR="00391440">
        <w:rPr>
          <w:i/>
          <w:iCs/>
          <w:color w:val="auto"/>
          <w:lang w:val="en-US"/>
        </w:rPr>
        <w:t xml:space="preserve"> </w:t>
      </w:r>
      <w:r w:rsidRPr="001005B7">
        <w:rPr>
          <w:i/>
          <w:iCs/>
          <w:color w:val="auto"/>
          <w:lang w:val="en-US"/>
        </w:rPr>
        <w:t>Hebrew Bible: The Relationship between the Masoretic Text and the Hebrew Base of the Septuagint Reconsidered</w:t>
      </w:r>
      <w:r w:rsidRPr="001005B7">
        <w:rPr>
          <w:color w:val="auto"/>
          <w:lang w:val="en-US"/>
        </w:rPr>
        <w:t xml:space="preserve">, </w:t>
      </w:r>
      <w:r w:rsidR="00C45123" w:rsidRPr="001005B7">
        <w:rPr>
          <w:color w:val="auto"/>
          <w:lang w:val="en-US"/>
        </w:rPr>
        <w:t>121</w:t>
      </w:r>
      <w:r w:rsidR="00F46900" w:rsidRPr="001005B7">
        <w:rPr>
          <w:color w:val="auto"/>
          <w:lang w:val="en-US"/>
        </w:rPr>
        <w:t>–</w:t>
      </w:r>
      <w:r w:rsidRPr="001005B7">
        <w:rPr>
          <w:color w:val="auto"/>
          <w:lang w:val="en-US"/>
        </w:rPr>
        <w:t>44. S</w:t>
      </w:r>
      <w:r w:rsidR="00DD369E" w:rsidRPr="001005B7">
        <w:rPr>
          <w:color w:val="auto"/>
          <w:lang w:val="en-US"/>
        </w:rPr>
        <w:t>BLSCS</w:t>
      </w:r>
      <w:r w:rsidRPr="001005B7">
        <w:rPr>
          <w:color w:val="auto"/>
          <w:lang w:val="en-US"/>
        </w:rPr>
        <w:t xml:space="preserve"> 52. Atlanta: SBL, 2003.</w:t>
      </w:r>
    </w:p>
    <w:p w14:paraId="0609EC55" w14:textId="2A56244A" w:rsidR="005C5CFF" w:rsidRPr="001005B7" w:rsidRDefault="005C5CFF" w:rsidP="006F5BB0">
      <w:pPr>
        <w:pStyle w:val="ListParagraph"/>
        <w:rPr>
          <w:color w:val="auto"/>
          <w:lang w:val="en-US"/>
        </w:rPr>
      </w:pPr>
      <w:proofErr w:type="spellStart"/>
      <w:r w:rsidRPr="001005B7">
        <w:rPr>
          <w:color w:val="auto"/>
          <w:lang w:val="en-US"/>
        </w:rPr>
        <w:t>Uehlinger</w:t>
      </w:r>
      <w:proofErr w:type="spellEnd"/>
      <w:r w:rsidRPr="001005B7">
        <w:rPr>
          <w:color w:val="auto"/>
          <w:lang w:val="en-US"/>
        </w:rPr>
        <w:t xml:space="preserve">, Christoph, and Susanne Müller </w:t>
      </w:r>
      <w:proofErr w:type="spellStart"/>
      <w:r w:rsidRPr="001005B7">
        <w:rPr>
          <w:color w:val="auto"/>
          <w:lang w:val="en-US"/>
        </w:rPr>
        <w:t>Trufaut</w:t>
      </w:r>
      <w:proofErr w:type="spellEnd"/>
      <w:r w:rsidRPr="001005B7">
        <w:rPr>
          <w:color w:val="auto"/>
          <w:lang w:val="en-US"/>
        </w:rPr>
        <w:t>. "Ezekiel 1, Babylonian Cosmological Scholarship and Iconography: Attempts at Further Refinement</w:t>
      </w:r>
      <w:r w:rsidR="00451569" w:rsidRPr="001005B7">
        <w:rPr>
          <w:color w:val="auto"/>
          <w:lang w:val="en-US"/>
        </w:rPr>
        <w:t>.</w:t>
      </w:r>
      <w:r w:rsidRPr="001005B7">
        <w:rPr>
          <w:color w:val="auto"/>
          <w:lang w:val="en-US"/>
        </w:rPr>
        <w:t>" </w:t>
      </w:r>
      <w:proofErr w:type="spellStart"/>
      <w:r w:rsidRPr="001005B7">
        <w:rPr>
          <w:i/>
          <w:color w:val="auto"/>
          <w:lang w:val="en-US"/>
        </w:rPr>
        <w:t>T</w:t>
      </w:r>
      <w:r w:rsidR="00C27B7D" w:rsidRPr="001005B7">
        <w:rPr>
          <w:i/>
          <w:color w:val="auto"/>
          <w:lang w:val="en-US"/>
        </w:rPr>
        <w:t>heologische</w:t>
      </w:r>
      <w:proofErr w:type="spellEnd"/>
      <w:r w:rsidR="00C27B7D" w:rsidRPr="001005B7">
        <w:rPr>
          <w:i/>
          <w:color w:val="auto"/>
          <w:lang w:val="en-US"/>
        </w:rPr>
        <w:t xml:space="preserve"> </w:t>
      </w:r>
      <w:proofErr w:type="spellStart"/>
      <w:r w:rsidRPr="001005B7">
        <w:rPr>
          <w:i/>
          <w:color w:val="auto"/>
          <w:lang w:val="en-US"/>
        </w:rPr>
        <w:t>Z</w:t>
      </w:r>
      <w:r w:rsidR="00C27B7D" w:rsidRPr="001005B7">
        <w:rPr>
          <w:i/>
          <w:color w:val="auto"/>
          <w:lang w:val="en-US"/>
        </w:rPr>
        <w:t>eits</w:t>
      </w:r>
      <w:r w:rsidR="001140F2" w:rsidRPr="001005B7">
        <w:rPr>
          <w:i/>
          <w:color w:val="auto"/>
          <w:lang w:val="en-US"/>
        </w:rPr>
        <w:t>chrift</w:t>
      </w:r>
      <w:proofErr w:type="spellEnd"/>
      <w:r w:rsidRPr="001005B7">
        <w:rPr>
          <w:color w:val="auto"/>
          <w:lang w:val="en-US"/>
        </w:rPr>
        <w:t> (Basel) 57 (2001): 140</w:t>
      </w:r>
      <w:r w:rsidR="00F46900" w:rsidRPr="001005B7">
        <w:rPr>
          <w:color w:val="auto"/>
          <w:lang w:val="en-US"/>
        </w:rPr>
        <w:t>–</w:t>
      </w:r>
      <w:r w:rsidRPr="001005B7">
        <w:rPr>
          <w:color w:val="auto"/>
          <w:lang w:val="en-US"/>
        </w:rPr>
        <w:t>71.</w:t>
      </w:r>
    </w:p>
    <w:p w14:paraId="35D37568" w14:textId="0F8D2512" w:rsidR="004E7FE1" w:rsidRPr="001005B7" w:rsidRDefault="004E7FE1" w:rsidP="006F5BB0">
      <w:pPr>
        <w:pStyle w:val="ListParagraph"/>
        <w:rPr>
          <w:color w:val="auto"/>
          <w:lang w:val="en-US"/>
        </w:rPr>
      </w:pPr>
      <w:r w:rsidRPr="001005B7">
        <w:rPr>
          <w:color w:val="auto"/>
          <w:lang w:val="en-US"/>
        </w:rPr>
        <w:t xml:space="preserve">Ulrich, Eugene. </w:t>
      </w:r>
      <w:r w:rsidRPr="001005B7">
        <w:rPr>
          <w:i/>
          <w:iCs/>
          <w:color w:val="auto"/>
          <w:lang w:val="en-US"/>
        </w:rPr>
        <w:t>The Biblical Qumran Scrolls: Transcriptions and Textual Variants</w:t>
      </w:r>
      <w:r w:rsidRPr="001005B7">
        <w:rPr>
          <w:color w:val="auto"/>
          <w:lang w:val="en-US"/>
        </w:rPr>
        <w:t xml:space="preserve">. </w:t>
      </w:r>
      <w:proofErr w:type="spellStart"/>
      <w:r w:rsidRPr="001005B7">
        <w:rPr>
          <w:color w:val="auto"/>
          <w:lang w:val="en-US"/>
        </w:rPr>
        <w:t>VTSup</w:t>
      </w:r>
      <w:proofErr w:type="spellEnd"/>
      <w:r w:rsidRPr="001005B7">
        <w:rPr>
          <w:color w:val="auto"/>
          <w:lang w:val="en-US"/>
        </w:rPr>
        <w:t xml:space="preserve"> 134. Leiden: Brill, 2010.</w:t>
      </w:r>
    </w:p>
    <w:p w14:paraId="208BDCC6" w14:textId="30527A2B" w:rsidR="00B746D3" w:rsidRPr="001005B7" w:rsidRDefault="00EA745A" w:rsidP="006F5BB0">
      <w:pPr>
        <w:pStyle w:val="ListParagraph"/>
        <w:rPr>
          <w:color w:val="auto"/>
          <w:lang w:val="en-US"/>
        </w:rPr>
      </w:pPr>
      <w:proofErr w:type="spellStart"/>
      <w:r w:rsidRPr="001005B7">
        <w:rPr>
          <w:color w:val="auto"/>
          <w:lang w:val="en-US"/>
        </w:rPr>
        <w:t>Vanderhooft</w:t>
      </w:r>
      <w:proofErr w:type="spellEnd"/>
      <w:r w:rsidRPr="001005B7">
        <w:rPr>
          <w:color w:val="auto"/>
          <w:lang w:val="en-US"/>
        </w:rPr>
        <w:t>, D</w:t>
      </w:r>
      <w:r w:rsidR="000E7C50" w:rsidRPr="001005B7">
        <w:rPr>
          <w:color w:val="auto"/>
          <w:lang w:val="en-US"/>
        </w:rPr>
        <w:t>avid</w:t>
      </w:r>
      <w:r w:rsidRPr="001005B7">
        <w:rPr>
          <w:color w:val="auto"/>
          <w:lang w:val="en-US"/>
        </w:rPr>
        <w:t xml:space="preserve"> S. “</w:t>
      </w:r>
      <w:r w:rsidR="00B746D3" w:rsidRPr="001005B7">
        <w:rPr>
          <w:color w:val="auto"/>
          <w:lang w:val="en-US"/>
        </w:rPr>
        <w:t>Ezekiel in and on Babylon</w:t>
      </w:r>
      <w:r w:rsidRPr="001005B7">
        <w:rPr>
          <w:color w:val="auto"/>
          <w:lang w:val="en-US"/>
        </w:rPr>
        <w:t>.”</w:t>
      </w:r>
      <w:r w:rsidR="000459EE" w:rsidRPr="001005B7">
        <w:rPr>
          <w:color w:val="auto"/>
          <w:lang w:val="en-US"/>
        </w:rPr>
        <w:t xml:space="preserve"> </w:t>
      </w:r>
      <w:proofErr w:type="spellStart"/>
      <w:r w:rsidR="000459EE" w:rsidRPr="001005B7">
        <w:rPr>
          <w:i/>
          <w:iCs/>
          <w:color w:val="auto"/>
          <w:lang w:val="en-US"/>
        </w:rPr>
        <w:t>Transeuphratè</w:t>
      </w:r>
      <w:r w:rsidR="00014F71" w:rsidRPr="001005B7">
        <w:rPr>
          <w:i/>
          <w:iCs/>
          <w:color w:val="auto"/>
          <w:lang w:val="en-US"/>
        </w:rPr>
        <w:t>ne</w:t>
      </w:r>
      <w:proofErr w:type="spellEnd"/>
      <w:r w:rsidR="00014F71" w:rsidRPr="001005B7">
        <w:rPr>
          <w:color w:val="auto"/>
          <w:lang w:val="en-US"/>
        </w:rPr>
        <w:t xml:space="preserve"> 46 </w:t>
      </w:r>
      <w:r w:rsidR="007F09C5" w:rsidRPr="001005B7">
        <w:rPr>
          <w:color w:val="auto"/>
          <w:lang w:val="en-US"/>
        </w:rPr>
        <w:t>(</w:t>
      </w:r>
      <w:r w:rsidR="00014F71" w:rsidRPr="001005B7">
        <w:rPr>
          <w:color w:val="auto"/>
          <w:lang w:val="en-US"/>
        </w:rPr>
        <w:t>2014): 99</w:t>
      </w:r>
      <w:r w:rsidR="00F46900" w:rsidRPr="001005B7">
        <w:rPr>
          <w:color w:val="auto"/>
          <w:lang w:val="en-US"/>
        </w:rPr>
        <w:t>–</w:t>
      </w:r>
      <w:r w:rsidR="00014F71" w:rsidRPr="001005B7">
        <w:rPr>
          <w:color w:val="auto"/>
          <w:lang w:val="en-US"/>
        </w:rPr>
        <w:t>119.</w:t>
      </w:r>
      <w:r w:rsidR="00B60C9F" w:rsidRPr="001005B7">
        <w:rPr>
          <w:color w:val="auto"/>
          <w:lang w:val="en-US"/>
        </w:rPr>
        <w:t xml:space="preserve"> </w:t>
      </w:r>
    </w:p>
    <w:p w14:paraId="73A08CAA" w14:textId="2719C06E" w:rsidR="00A07168" w:rsidRPr="001005B7" w:rsidRDefault="00A07168" w:rsidP="006F5BB0">
      <w:pPr>
        <w:pStyle w:val="ListParagraph"/>
        <w:rPr>
          <w:color w:val="auto"/>
          <w:lang w:val="en-US"/>
        </w:rPr>
      </w:pPr>
      <w:r w:rsidRPr="001005B7">
        <w:rPr>
          <w:color w:val="auto"/>
          <w:lang w:val="en-US"/>
        </w:rPr>
        <w:t xml:space="preserve">van </w:t>
      </w:r>
      <w:proofErr w:type="spellStart"/>
      <w:r w:rsidRPr="001005B7">
        <w:rPr>
          <w:color w:val="auto"/>
          <w:lang w:val="en-US"/>
        </w:rPr>
        <w:t>Rooy</w:t>
      </w:r>
      <w:proofErr w:type="spellEnd"/>
      <w:r w:rsidRPr="001005B7">
        <w:rPr>
          <w:color w:val="auto"/>
          <w:lang w:val="en-US"/>
        </w:rPr>
        <w:t xml:space="preserve">, </w:t>
      </w:r>
      <w:proofErr w:type="spellStart"/>
      <w:r w:rsidRPr="001005B7">
        <w:rPr>
          <w:color w:val="auto"/>
          <w:lang w:val="en-US"/>
        </w:rPr>
        <w:t>Herrie</w:t>
      </w:r>
      <w:proofErr w:type="spellEnd"/>
      <w:r w:rsidRPr="001005B7">
        <w:rPr>
          <w:color w:val="auto"/>
          <w:lang w:val="en-US"/>
        </w:rPr>
        <w:t xml:space="preserve"> F. “Agreement between the Peshitta and Old Greek and the Textual Criticism of Ezekiel in </w:t>
      </w:r>
      <w:r w:rsidR="001E512A" w:rsidRPr="001005B7">
        <w:rPr>
          <w:color w:val="auto"/>
          <w:lang w:val="en-US"/>
        </w:rPr>
        <w:t>t</w:t>
      </w:r>
      <w:r w:rsidRPr="001005B7">
        <w:rPr>
          <w:color w:val="auto"/>
          <w:lang w:val="en-US"/>
        </w:rPr>
        <w:t>he Hebrew Bible</w:t>
      </w:r>
      <w:r w:rsidR="001E512A" w:rsidRPr="001005B7">
        <w:rPr>
          <w:color w:val="auto"/>
          <w:lang w:val="en-US"/>
        </w:rPr>
        <w:t>.”</w:t>
      </w:r>
      <w:r w:rsidR="007B6325" w:rsidRPr="001005B7">
        <w:rPr>
          <w:color w:val="auto"/>
          <w:lang w:val="en-US"/>
        </w:rPr>
        <w:t xml:space="preserve"> </w:t>
      </w:r>
      <w:r w:rsidR="00504329" w:rsidRPr="001005B7">
        <w:rPr>
          <w:i/>
          <w:iCs/>
          <w:color w:val="auto"/>
          <w:lang w:val="en-US"/>
        </w:rPr>
        <w:t xml:space="preserve">Acta Theologica </w:t>
      </w:r>
      <w:proofErr w:type="spellStart"/>
      <w:r w:rsidR="001D5B7D" w:rsidRPr="001005B7">
        <w:rPr>
          <w:color w:val="auto"/>
          <w:lang w:val="en-US"/>
        </w:rPr>
        <w:t>Supple</w:t>
      </w:r>
      <w:r w:rsidR="008A0476" w:rsidRPr="001005B7">
        <w:rPr>
          <w:color w:val="auto"/>
          <w:lang w:val="en-US"/>
        </w:rPr>
        <w:t>me</w:t>
      </w:r>
      <w:r w:rsidR="001D5B7D" w:rsidRPr="001005B7">
        <w:rPr>
          <w:color w:val="auto"/>
          <w:lang w:val="en-US"/>
        </w:rPr>
        <w:t>nt</w:t>
      </w:r>
      <w:r w:rsidR="005033C6" w:rsidRPr="001005B7">
        <w:rPr>
          <w:color w:val="auto"/>
          <w:lang w:val="en-US"/>
        </w:rPr>
        <w:t>um</w:t>
      </w:r>
      <w:proofErr w:type="spellEnd"/>
      <w:r w:rsidR="001D5B7D" w:rsidRPr="001005B7">
        <w:rPr>
          <w:color w:val="auto"/>
          <w:lang w:val="en-US"/>
        </w:rPr>
        <w:t xml:space="preserve"> 26 </w:t>
      </w:r>
      <w:r w:rsidR="008A0476" w:rsidRPr="001005B7">
        <w:rPr>
          <w:color w:val="auto"/>
          <w:lang w:val="en-US"/>
        </w:rPr>
        <w:t>(</w:t>
      </w:r>
      <w:r w:rsidR="001D5B7D" w:rsidRPr="001005B7">
        <w:rPr>
          <w:color w:val="auto"/>
          <w:lang w:val="en-US"/>
        </w:rPr>
        <w:t>2018)</w:t>
      </w:r>
      <w:r w:rsidR="008A0476" w:rsidRPr="001005B7">
        <w:rPr>
          <w:color w:val="auto"/>
          <w:lang w:val="en-US"/>
        </w:rPr>
        <w:t>: 170</w:t>
      </w:r>
      <w:r w:rsidR="00F46900" w:rsidRPr="001005B7">
        <w:rPr>
          <w:color w:val="auto"/>
          <w:lang w:val="en-US"/>
        </w:rPr>
        <w:t>–</w:t>
      </w:r>
      <w:r w:rsidR="008A0476" w:rsidRPr="001005B7">
        <w:rPr>
          <w:color w:val="auto"/>
          <w:lang w:val="en-US"/>
        </w:rPr>
        <w:t>86.</w:t>
      </w:r>
    </w:p>
    <w:p w14:paraId="387CD887" w14:textId="51EA7A5E" w:rsidR="00C04B64" w:rsidRPr="001005B7" w:rsidRDefault="00C04B64" w:rsidP="00C04B64">
      <w:pPr>
        <w:spacing w:after="60" w:line="240" w:lineRule="auto"/>
        <w:ind w:left="567" w:hanging="567"/>
        <w:rPr>
          <w:rFonts w:ascii="Calibri" w:eastAsia="Times New Roman" w:hAnsi="Calibri" w:cs="Calibri"/>
          <w:lang w:eastAsia="en-GB"/>
        </w:rPr>
      </w:pPr>
      <w:proofErr w:type="spellStart"/>
      <w:r w:rsidRPr="001005B7">
        <w:rPr>
          <w:rFonts w:ascii="Calibri" w:eastAsia="Times New Roman" w:hAnsi="Calibri" w:cs="Calibri"/>
          <w:lang w:eastAsia="en-GB"/>
        </w:rPr>
        <w:t>Vieweger</w:t>
      </w:r>
      <w:proofErr w:type="spellEnd"/>
      <w:r w:rsidRPr="001005B7">
        <w:rPr>
          <w:rFonts w:ascii="Calibri" w:eastAsia="Times New Roman" w:hAnsi="Calibri" w:cs="Calibri"/>
          <w:lang w:eastAsia="en-GB"/>
        </w:rPr>
        <w:t>, D</w:t>
      </w:r>
      <w:r w:rsidR="00A20855" w:rsidRPr="001005B7">
        <w:rPr>
          <w:rFonts w:ascii="Calibri" w:eastAsia="Times New Roman" w:hAnsi="Calibri" w:cs="Calibri"/>
          <w:lang w:eastAsia="en-GB"/>
        </w:rPr>
        <w:t>ieter</w:t>
      </w:r>
      <w:r w:rsidRPr="001005B7">
        <w:rPr>
          <w:rFonts w:ascii="Calibri" w:eastAsia="Times New Roman" w:hAnsi="Calibri" w:cs="Calibri"/>
          <w:lang w:eastAsia="en-GB"/>
        </w:rPr>
        <w:t>. </w:t>
      </w:r>
      <w:r w:rsidRPr="001005B7">
        <w:rPr>
          <w:rFonts w:ascii="Calibri" w:eastAsia="Times New Roman" w:hAnsi="Calibri" w:cs="Calibri"/>
          <w:i/>
          <w:iCs/>
          <w:lang w:eastAsia="en-GB"/>
        </w:rPr>
        <w:t xml:space="preserve">Die </w:t>
      </w:r>
      <w:proofErr w:type="spellStart"/>
      <w:r w:rsidRPr="001005B7">
        <w:rPr>
          <w:rFonts w:ascii="Calibri" w:eastAsia="Times New Roman" w:hAnsi="Calibri" w:cs="Calibri"/>
          <w:i/>
          <w:iCs/>
          <w:lang w:eastAsia="en-GB"/>
        </w:rPr>
        <w:t>literarischen</w:t>
      </w:r>
      <w:proofErr w:type="spellEnd"/>
      <w:r w:rsidRPr="001005B7">
        <w:rPr>
          <w:rFonts w:ascii="Calibri" w:eastAsia="Times New Roman" w:hAnsi="Calibri" w:cs="Calibri"/>
          <w:i/>
          <w:iCs/>
          <w:lang w:eastAsia="en-GB"/>
        </w:rPr>
        <w:t xml:space="preserve"> </w:t>
      </w:r>
      <w:proofErr w:type="spellStart"/>
      <w:r w:rsidRPr="001005B7">
        <w:rPr>
          <w:rFonts w:ascii="Calibri" w:eastAsia="Times New Roman" w:hAnsi="Calibri" w:cs="Calibri"/>
          <w:i/>
          <w:iCs/>
          <w:lang w:eastAsia="en-GB"/>
        </w:rPr>
        <w:t>Beziehungen</w:t>
      </w:r>
      <w:proofErr w:type="spellEnd"/>
      <w:r w:rsidRPr="001005B7">
        <w:rPr>
          <w:rFonts w:ascii="Calibri" w:eastAsia="Times New Roman" w:hAnsi="Calibri" w:cs="Calibri"/>
          <w:i/>
          <w:iCs/>
          <w:lang w:eastAsia="en-GB"/>
        </w:rPr>
        <w:t xml:space="preserve"> </w:t>
      </w:r>
      <w:proofErr w:type="spellStart"/>
      <w:r w:rsidRPr="001005B7">
        <w:rPr>
          <w:rFonts w:ascii="Calibri" w:eastAsia="Times New Roman" w:hAnsi="Calibri" w:cs="Calibri"/>
          <w:i/>
          <w:iCs/>
          <w:lang w:eastAsia="en-GB"/>
        </w:rPr>
        <w:t>zwischen</w:t>
      </w:r>
      <w:proofErr w:type="spellEnd"/>
      <w:r w:rsidRPr="001005B7">
        <w:rPr>
          <w:rFonts w:ascii="Calibri" w:eastAsia="Times New Roman" w:hAnsi="Calibri" w:cs="Calibri"/>
          <w:i/>
          <w:iCs/>
          <w:lang w:eastAsia="en-GB"/>
        </w:rPr>
        <w:t xml:space="preserve"> den </w:t>
      </w:r>
      <w:proofErr w:type="spellStart"/>
      <w:r w:rsidRPr="001005B7">
        <w:rPr>
          <w:rFonts w:ascii="Calibri" w:eastAsia="Times New Roman" w:hAnsi="Calibri" w:cs="Calibri"/>
          <w:i/>
          <w:iCs/>
          <w:lang w:eastAsia="en-GB"/>
        </w:rPr>
        <w:t>Büchern</w:t>
      </w:r>
      <w:proofErr w:type="spellEnd"/>
      <w:r w:rsidRPr="001005B7">
        <w:rPr>
          <w:rFonts w:ascii="Calibri" w:eastAsia="Times New Roman" w:hAnsi="Calibri" w:cs="Calibri"/>
          <w:i/>
          <w:iCs/>
          <w:lang w:eastAsia="en-GB"/>
        </w:rPr>
        <w:t xml:space="preserve"> Jeremia und Ezechiel</w:t>
      </w:r>
      <w:r w:rsidRPr="001005B7">
        <w:rPr>
          <w:rFonts w:ascii="Calibri" w:eastAsia="Times New Roman" w:hAnsi="Calibri" w:cs="Calibri"/>
          <w:lang w:eastAsia="en-GB"/>
        </w:rPr>
        <w:t>. Frankfurt am Main: Lang, 1993.</w:t>
      </w:r>
    </w:p>
    <w:p w14:paraId="3DE5E520" w14:textId="456C0B04" w:rsidR="00451170" w:rsidRPr="001005B7" w:rsidRDefault="0009538A" w:rsidP="006F5BB0">
      <w:pPr>
        <w:pStyle w:val="ListParagraph"/>
        <w:rPr>
          <w:color w:val="auto"/>
          <w:lang w:val="en-US"/>
        </w:rPr>
      </w:pPr>
      <w:proofErr w:type="spellStart"/>
      <w:r w:rsidRPr="001005B7">
        <w:rPr>
          <w:color w:val="auto"/>
          <w:lang w:val="en-US"/>
        </w:rPr>
        <w:t>Waschke</w:t>
      </w:r>
      <w:proofErr w:type="spellEnd"/>
      <w:r w:rsidRPr="001005B7">
        <w:rPr>
          <w:color w:val="auto"/>
          <w:lang w:val="en-US"/>
        </w:rPr>
        <w:t>, E</w:t>
      </w:r>
      <w:r w:rsidR="00987D80" w:rsidRPr="001005B7">
        <w:rPr>
          <w:color w:val="auto"/>
          <w:lang w:val="en-US"/>
        </w:rPr>
        <w:t>rnst</w:t>
      </w:r>
      <w:r w:rsidRPr="001005B7">
        <w:rPr>
          <w:color w:val="auto"/>
          <w:lang w:val="en-US"/>
        </w:rPr>
        <w:t>-J</w:t>
      </w:r>
      <w:r w:rsidR="00987D80" w:rsidRPr="001005B7">
        <w:rPr>
          <w:color w:val="auto"/>
          <w:lang w:val="en-US"/>
        </w:rPr>
        <w:t>oachim</w:t>
      </w:r>
      <w:r w:rsidRPr="001005B7">
        <w:rPr>
          <w:color w:val="auto"/>
          <w:lang w:val="en-US"/>
        </w:rPr>
        <w:t>. "</w:t>
      </w:r>
      <w:proofErr w:type="spellStart"/>
      <w:r w:rsidRPr="001005B7">
        <w:rPr>
          <w:color w:val="auto"/>
          <w:lang w:val="en-US"/>
        </w:rPr>
        <w:t>Zum</w:t>
      </w:r>
      <w:proofErr w:type="spellEnd"/>
      <w:r w:rsidRPr="001005B7">
        <w:rPr>
          <w:color w:val="auto"/>
          <w:lang w:val="en-US"/>
        </w:rPr>
        <w:t xml:space="preserve"> </w:t>
      </w:r>
      <w:proofErr w:type="spellStart"/>
      <w:r w:rsidRPr="001005B7">
        <w:rPr>
          <w:color w:val="auto"/>
          <w:lang w:val="en-US"/>
        </w:rPr>
        <w:t>Theodizee</w:t>
      </w:r>
      <w:proofErr w:type="spellEnd"/>
      <w:r w:rsidRPr="001005B7">
        <w:rPr>
          <w:color w:val="auto"/>
          <w:lang w:val="en-US"/>
        </w:rPr>
        <w:t>-Problem</w:t>
      </w:r>
      <w:r w:rsidR="00987D80" w:rsidRPr="001005B7">
        <w:rPr>
          <w:color w:val="auto"/>
          <w:lang w:val="en-US"/>
        </w:rPr>
        <w:t xml:space="preserve"> </w:t>
      </w:r>
      <w:proofErr w:type="spellStart"/>
      <w:r w:rsidR="00987D80" w:rsidRPr="001005B7">
        <w:rPr>
          <w:color w:val="auto"/>
          <w:lang w:val="en-US"/>
        </w:rPr>
        <w:t>im</w:t>
      </w:r>
      <w:proofErr w:type="spellEnd"/>
      <w:r w:rsidR="00987D80" w:rsidRPr="001005B7">
        <w:rPr>
          <w:color w:val="auto"/>
          <w:lang w:val="en-US"/>
        </w:rPr>
        <w:t xml:space="preserve"> </w:t>
      </w:r>
      <w:proofErr w:type="spellStart"/>
      <w:r w:rsidR="00987D80" w:rsidRPr="001005B7">
        <w:rPr>
          <w:color w:val="auto"/>
          <w:lang w:val="en-US"/>
        </w:rPr>
        <w:t>Verhältnis</w:t>
      </w:r>
      <w:proofErr w:type="spellEnd"/>
      <w:r w:rsidR="00987D80" w:rsidRPr="001005B7">
        <w:rPr>
          <w:color w:val="auto"/>
          <w:lang w:val="en-US"/>
        </w:rPr>
        <w:t xml:space="preserve"> von Individuum und </w:t>
      </w:r>
      <w:proofErr w:type="spellStart"/>
      <w:r w:rsidR="00987D80" w:rsidRPr="001005B7">
        <w:rPr>
          <w:color w:val="auto"/>
          <w:lang w:val="en-US"/>
        </w:rPr>
        <w:t>Kollektiv</w:t>
      </w:r>
      <w:proofErr w:type="spellEnd"/>
      <w:r w:rsidR="00987D80" w:rsidRPr="001005B7">
        <w:rPr>
          <w:color w:val="auto"/>
          <w:lang w:val="en-US"/>
        </w:rPr>
        <w:t xml:space="preserve"> (Response </w:t>
      </w:r>
      <w:proofErr w:type="spellStart"/>
      <w:r w:rsidR="00987D80" w:rsidRPr="001005B7">
        <w:rPr>
          <w:color w:val="auto"/>
          <w:lang w:val="en-US"/>
        </w:rPr>
        <w:t>zu</w:t>
      </w:r>
      <w:proofErr w:type="spellEnd"/>
      <w:r w:rsidR="00987D80" w:rsidRPr="001005B7">
        <w:rPr>
          <w:color w:val="auto"/>
          <w:lang w:val="en-US"/>
        </w:rPr>
        <w:t xml:space="preserve"> M. Saur)</w:t>
      </w:r>
      <w:r w:rsidR="008608CE" w:rsidRPr="001005B7">
        <w:rPr>
          <w:color w:val="auto"/>
          <w:lang w:val="en-US"/>
        </w:rPr>
        <w:t>.</w:t>
      </w:r>
      <w:r w:rsidR="00987D80" w:rsidRPr="001005B7">
        <w:rPr>
          <w:color w:val="auto"/>
          <w:lang w:val="en-US"/>
        </w:rPr>
        <w:t>"</w:t>
      </w:r>
      <w:r w:rsidR="008608CE" w:rsidRPr="001005B7">
        <w:rPr>
          <w:color w:val="auto"/>
          <w:lang w:val="en-US"/>
        </w:rPr>
        <w:t xml:space="preserve"> I</w:t>
      </w:r>
      <w:r w:rsidR="00987D80" w:rsidRPr="001005B7">
        <w:rPr>
          <w:color w:val="auto"/>
          <w:lang w:val="en-US"/>
        </w:rPr>
        <w:t>n</w:t>
      </w:r>
      <w:r w:rsidR="009E3EE9" w:rsidRPr="001005B7">
        <w:rPr>
          <w:color w:val="auto"/>
          <w:lang w:val="en-US"/>
        </w:rPr>
        <w:t xml:space="preserve"> Andreas Wagner and Jürgen van </w:t>
      </w:r>
      <w:proofErr w:type="spellStart"/>
      <w:r w:rsidR="009E3EE9" w:rsidRPr="001005B7">
        <w:rPr>
          <w:color w:val="auto"/>
          <w:lang w:val="en-US"/>
        </w:rPr>
        <w:t>Orschot</w:t>
      </w:r>
      <w:proofErr w:type="spellEnd"/>
      <w:r w:rsidR="009E3EE9" w:rsidRPr="001005B7">
        <w:rPr>
          <w:color w:val="auto"/>
          <w:lang w:val="en-US"/>
        </w:rPr>
        <w:t>, ed</w:t>
      </w:r>
      <w:r w:rsidR="009E3EE9" w:rsidRPr="001005B7">
        <w:rPr>
          <w:i/>
          <w:iCs/>
          <w:color w:val="auto"/>
          <w:lang w:val="en-US"/>
        </w:rPr>
        <w:t xml:space="preserve">., </w:t>
      </w:r>
      <w:proofErr w:type="spellStart"/>
      <w:r w:rsidR="009E3EE9" w:rsidRPr="001005B7">
        <w:rPr>
          <w:i/>
          <w:iCs/>
          <w:color w:val="auto"/>
          <w:lang w:val="en-US"/>
        </w:rPr>
        <w:t>Individualität</w:t>
      </w:r>
      <w:proofErr w:type="spellEnd"/>
      <w:r w:rsidR="009E3EE9" w:rsidRPr="001005B7">
        <w:rPr>
          <w:i/>
          <w:iCs/>
          <w:color w:val="auto"/>
          <w:lang w:val="en-US"/>
        </w:rPr>
        <w:t xml:space="preserve"> und </w:t>
      </w:r>
      <w:proofErr w:type="spellStart"/>
      <w:r w:rsidR="009E3EE9" w:rsidRPr="001005B7">
        <w:rPr>
          <w:i/>
          <w:iCs/>
          <w:color w:val="auto"/>
          <w:lang w:val="en-US"/>
        </w:rPr>
        <w:t>Selbstreflexion</w:t>
      </w:r>
      <w:proofErr w:type="spellEnd"/>
      <w:r w:rsidR="009E3EE9" w:rsidRPr="001005B7">
        <w:rPr>
          <w:i/>
          <w:iCs/>
          <w:color w:val="auto"/>
          <w:lang w:val="en-US"/>
        </w:rPr>
        <w:t xml:space="preserve"> in den </w:t>
      </w:r>
      <w:proofErr w:type="spellStart"/>
      <w:r w:rsidR="009E3EE9" w:rsidRPr="001005B7">
        <w:rPr>
          <w:i/>
          <w:iCs/>
          <w:color w:val="auto"/>
          <w:lang w:val="en-US"/>
        </w:rPr>
        <w:t>Literaturen</w:t>
      </w:r>
      <w:proofErr w:type="spellEnd"/>
      <w:r w:rsidR="009E3EE9" w:rsidRPr="001005B7">
        <w:rPr>
          <w:i/>
          <w:iCs/>
          <w:color w:val="auto"/>
          <w:lang w:val="en-US"/>
        </w:rPr>
        <w:t xml:space="preserve"> des </w:t>
      </w:r>
      <w:proofErr w:type="spellStart"/>
      <w:r w:rsidR="009E3EE9" w:rsidRPr="001005B7">
        <w:rPr>
          <w:i/>
          <w:iCs/>
          <w:color w:val="auto"/>
          <w:lang w:val="en-US"/>
        </w:rPr>
        <w:t>Alten</w:t>
      </w:r>
      <w:proofErr w:type="spellEnd"/>
      <w:r w:rsidR="009E3EE9" w:rsidRPr="001005B7">
        <w:rPr>
          <w:i/>
          <w:iCs/>
          <w:color w:val="auto"/>
          <w:lang w:val="en-US"/>
        </w:rPr>
        <w:t xml:space="preserve"> Testaments,</w:t>
      </w:r>
      <w:r w:rsidR="009E3EE9" w:rsidRPr="001005B7">
        <w:rPr>
          <w:color w:val="auto"/>
          <w:lang w:val="en-US"/>
        </w:rPr>
        <w:t xml:space="preserve"> </w:t>
      </w:r>
      <w:r w:rsidR="00624A66" w:rsidRPr="001005B7">
        <w:rPr>
          <w:color w:val="auto"/>
          <w:lang w:val="en-US"/>
        </w:rPr>
        <w:t>211</w:t>
      </w:r>
      <w:r w:rsidR="00F46900" w:rsidRPr="001005B7">
        <w:rPr>
          <w:color w:val="auto"/>
          <w:lang w:val="en-US"/>
        </w:rPr>
        <w:t>–</w:t>
      </w:r>
      <w:r w:rsidR="00624A66" w:rsidRPr="001005B7">
        <w:rPr>
          <w:color w:val="auto"/>
          <w:lang w:val="en-US"/>
        </w:rPr>
        <w:t>17</w:t>
      </w:r>
      <w:r w:rsidR="009E3EE9" w:rsidRPr="001005B7">
        <w:rPr>
          <w:color w:val="auto"/>
          <w:lang w:val="en-US"/>
        </w:rPr>
        <w:t>.</w:t>
      </w:r>
      <w:r w:rsidR="00987D80" w:rsidRPr="001005B7">
        <w:rPr>
          <w:color w:val="auto"/>
          <w:lang w:val="en-US"/>
        </w:rPr>
        <w:t xml:space="preserve"> [Saur's essay is noted </w:t>
      </w:r>
      <w:r w:rsidR="0014375A" w:rsidRPr="001005B7">
        <w:rPr>
          <w:color w:val="auto"/>
          <w:lang w:val="en-US"/>
        </w:rPr>
        <w:t xml:space="preserve">in the </w:t>
      </w:r>
      <w:r w:rsidR="001A4BC0" w:rsidRPr="001005B7">
        <w:rPr>
          <w:color w:val="auto"/>
          <w:lang w:val="en-US"/>
        </w:rPr>
        <w:t xml:space="preserve">Selected Bibliography to </w:t>
      </w:r>
      <w:r w:rsidR="00EB391A" w:rsidRPr="001005B7">
        <w:rPr>
          <w:color w:val="auto"/>
          <w:lang w:val="en-US"/>
        </w:rPr>
        <w:t>Ezek 18</w:t>
      </w:r>
      <w:r w:rsidR="001A4BC0" w:rsidRPr="001005B7">
        <w:rPr>
          <w:color w:val="auto"/>
          <w:lang w:val="en-US"/>
        </w:rPr>
        <w:t>.]</w:t>
      </w:r>
    </w:p>
    <w:p w14:paraId="68D5FCE0" w14:textId="383F4889" w:rsidR="008B5517" w:rsidRPr="001005B7" w:rsidRDefault="008B5517" w:rsidP="006F5BB0">
      <w:pPr>
        <w:pStyle w:val="ListParagraph"/>
        <w:rPr>
          <w:color w:val="auto"/>
          <w:lang w:val="en-US"/>
        </w:rPr>
      </w:pPr>
      <w:proofErr w:type="spellStart"/>
      <w:r w:rsidRPr="001005B7">
        <w:rPr>
          <w:color w:val="auto"/>
          <w:lang w:val="en-US"/>
        </w:rPr>
        <w:t>Wevers</w:t>
      </w:r>
      <w:proofErr w:type="spellEnd"/>
      <w:r w:rsidRPr="001005B7">
        <w:rPr>
          <w:color w:val="auto"/>
          <w:lang w:val="en-US"/>
        </w:rPr>
        <w:t>, John William</w:t>
      </w:r>
      <w:r w:rsidR="001E39A6" w:rsidRPr="001005B7">
        <w:rPr>
          <w:color w:val="auto"/>
          <w:lang w:val="en-US"/>
        </w:rPr>
        <w:t xml:space="preserve">, and </w:t>
      </w:r>
      <w:r w:rsidRPr="001005B7">
        <w:rPr>
          <w:color w:val="auto"/>
          <w:lang w:val="en-US"/>
        </w:rPr>
        <w:t>De</w:t>
      </w:r>
      <w:r w:rsidR="00C207EA" w:rsidRPr="001005B7">
        <w:rPr>
          <w:color w:val="auto"/>
          <w:lang w:val="en-US"/>
        </w:rPr>
        <w:t>t</w:t>
      </w:r>
      <w:r w:rsidR="001E39A6" w:rsidRPr="001005B7">
        <w:rPr>
          <w:color w:val="auto"/>
          <w:lang w:val="en-US"/>
        </w:rPr>
        <w:t>lef</w:t>
      </w:r>
      <w:r w:rsidRPr="001005B7">
        <w:rPr>
          <w:color w:val="auto"/>
          <w:lang w:val="en-US"/>
        </w:rPr>
        <w:t xml:space="preserve"> Fraenkel</w:t>
      </w:r>
      <w:r w:rsidR="00C207EA" w:rsidRPr="001005B7">
        <w:rPr>
          <w:color w:val="auto"/>
          <w:lang w:val="en-US"/>
        </w:rPr>
        <w:t>.</w:t>
      </w:r>
      <w:r w:rsidRPr="001005B7">
        <w:rPr>
          <w:color w:val="auto"/>
          <w:lang w:val="en-US"/>
        </w:rPr>
        <w:t xml:space="preserve"> </w:t>
      </w:r>
      <w:r w:rsidRPr="001005B7">
        <w:rPr>
          <w:i/>
          <w:iCs/>
          <w:color w:val="auto"/>
          <w:lang w:val="en-US"/>
        </w:rPr>
        <w:t>Studies in the Text Histories of Deuteronomy and Ezekie</w:t>
      </w:r>
      <w:r w:rsidR="00C207EA" w:rsidRPr="001005B7">
        <w:rPr>
          <w:i/>
          <w:iCs/>
          <w:color w:val="auto"/>
          <w:lang w:val="en-US"/>
        </w:rPr>
        <w:t xml:space="preserve">l. </w:t>
      </w:r>
      <w:r w:rsidR="003F35E8" w:rsidRPr="001005B7">
        <w:rPr>
          <w:color w:val="auto"/>
          <w:lang w:val="en-US"/>
        </w:rPr>
        <w:t xml:space="preserve">Göttingen: </w:t>
      </w:r>
      <w:proofErr w:type="spellStart"/>
      <w:r w:rsidR="003F35E8" w:rsidRPr="001005B7">
        <w:rPr>
          <w:color w:val="auto"/>
          <w:lang w:val="en-US"/>
        </w:rPr>
        <w:t>Vandenhoeck</w:t>
      </w:r>
      <w:proofErr w:type="spellEnd"/>
      <w:r w:rsidR="000E091E">
        <w:rPr>
          <w:color w:val="auto"/>
          <w:lang w:val="en-US"/>
        </w:rPr>
        <w:t xml:space="preserve"> </w:t>
      </w:r>
      <w:r w:rsidR="000E091E">
        <w:t>&amp; Ruprecht</w:t>
      </w:r>
      <w:r w:rsidR="003F35E8" w:rsidRPr="001005B7">
        <w:rPr>
          <w:color w:val="auto"/>
          <w:lang w:val="en-US"/>
        </w:rPr>
        <w:t xml:space="preserve">, </w:t>
      </w:r>
      <w:r w:rsidR="00C40FE3" w:rsidRPr="001005B7">
        <w:rPr>
          <w:color w:val="auto"/>
          <w:lang w:val="en-US"/>
        </w:rPr>
        <w:t>2003.</w:t>
      </w:r>
    </w:p>
    <w:p w14:paraId="0A84276E" w14:textId="685120CE" w:rsidR="006E7187" w:rsidRPr="001005B7" w:rsidRDefault="006E7187" w:rsidP="006F5BB0">
      <w:pPr>
        <w:pStyle w:val="ListParagraph"/>
        <w:rPr>
          <w:color w:val="auto"/>
          <w:lang w:val="en-US"/>
        </w:rPr>
      </w:pPr>
      <w:r w:rsidRPr="001005B7">
        <w:rPr>
          <w:color w:val="auto"/>
          <w:lang w:val="en-US"/>
        </w:rPr>
        <w:t xml:space="preserve">Wiesel, Elie. “Ezekiel.” In David Rosenberg, ed., </w:t>
      </w:r>
      <w:r w:rsidRPr="001005B7">
        <w:rPr>
          <w:i/>
          <w:iCs/>
          <w:color w:val="auto"/>
          <w:lang w:val="en-US"/>
        </w:rPr>
        <w:t xml:space="preserve">Congregation: Contemporary Writers Read the Jewish Bible, </w:t>
      </w:r>
      <w:r w:rsidRPr="001005B7">
        <w:rPr>
          <w:color w:val="auto"/>
          <w:lang w:val="en-US"/>
        </w:rPr>
        <w:t>167</w:t>
      </w:r>
      <w:r w:rsidR="00F46900" w:rsidRPr="001005B7">
        <w:rPr>
          <w:color w:val="auto"/>
          <w:lang w:val="en-US"/>
        </w:rPr>
        <w:t>–</w:t>
      </w:r>
      <w:r w:rsidRPr="001005B7">
        <w:rPr>
          <w:color w:val="auto"/>
          <w:lang w:val="en-US"/>
        </w:rPr>
        <w:t>86. San Diego: Harcourt, 1987.</w:t>
      </w:r>
    </w:p>
    <w:p w14:paraId="49A923F2" w14:textId="71BA1000" w:rsidR="009A2DA1" w:rsidRPr="001005B7" w:rsidRDefault="009A2DA1" w:rsidP="006F5BB0">
      <w:pPr>
        <w:pStyle w:val="ListParagraph"/>
        <w:rPr>
          <w:rFonts w:eastAsiaTheme="minorHAnsi"/>
          <w:color w:val="auto"/>
          <w:lang w:val="en-US" w:eastAsia="en-US"/>
        </w:rPr>
      </w:pPr>
      <w:r w:rsidRPr="001005B7">
        <w:rPr>
          <w:color w:val="auto"/>
          <w:lang w:val="en-US"/>
        </w:rPr>
        <w:t>Wilkinson</w:t>
      </w:r>
      <w:r w:rsidR="00044398" w:rsidRPr="001005B7">
        <w:rPr>
          <w:color w:val="auto"/>
          <w:lang w:val="en-US"/>
        </w:rPr>
        <w:t>,</w:t>
      </w:r>
      <w:r w:rsidRPr="001005B7">
        <w:rPr>
          <w:color w:val="auto"/>
          <w:lang w:val="en-US"/>
        </w:rPr>
        <w:t xml:space="preserve"> Paul Richard</w:t>
      </w:r>
      <w:r w:rsidR="00044398" w:rsidRPr="001005B7">
        <w:rPr>
          <w:color w:val="auto"/>
          <w:lang w:val="en-US"/>
        </w:rPr>
        <w:t xml:space="preserve">. </w:t>
      </w:r>
      <w:r w:rsidR="00044398" w:rsidRPr="001005B7">
        <w:rPr>
          <w:i/>
          <w:iCs/>
          <w:color w:val="auto"/>
          <w:lang w:val="en-US"/>
        </w:rPr>
        <w:t>For Zion’s Sake: Christian Zionism</w:t>
      </w:r>
      <w:r w:rsidR="006024A8" w:rsidRPr="001005B7">
        <w:rPr>
          <w:i/>
          <w:iCs/>
          <w:color w:val="auto"/>
          <w:lang w:val="en-US"/>
        </w:rPr>
        <w:t xml:space="preserve"> and the Role of John Nelson Darby.</w:t>
      </w:r>
      <w:r w:rsidR="006024A8" w:rsidRPr="001005B7">
        <w:rPr>
          <w:color w:val="auto"/>
          <w:lang w:val="en-US"/>
        </w:rPr>
        <w:t xml:space="preserve"> Eugene: Wipf and Stoc</w:t>
      </w:r>
      <w:r w:rsidR="00063BC8" w:rsidRPr="001005B7">
        <w:rPr>
          <w:color w:val="auto"/>
          <w:lang w:val="en-US"/>
        </w:rPr>
        <w:t>k, 2007.</w:t>
      </w:r>
    </w:p>
    <w:p w14:paraId="4C59DEA3" w14:textId="26C6F2B3" w:rsidR="008C2CBE" w:rsidRPr="001005B7" w:rsidRDefault="008C2CBE" w:rsidP="008C2CBE">
      <w:pPr>
        <w:spacing w:after="60" w:line="240" w:lineRule="auto"/>
        <w:ind w:left="567" w:hanging="567"/>
        <w:rPr>
          <w:rFonts w:ascii="Calibri" w:eastAsia="Times New Roman" w:hAnsi="Calibri" w:cs="Calibri"/>
          <w:lang w:eastAsia="en-GB"/>
        </w:rPr>
      </w:pPr>
      <w:proofErr w:type="spellStart"/>
      <w:r w:rsidRPr="001005B7">
        <w:rPr>
          <w:rFonts w:ascii="Calibri" w:eastAsia="Times New Roman" w:hAnsi="Calibri" w:cs="Calibri"/>
          <w:lang w:eastAsia="en-GB"/>
        </w:rPr>
        <w:t>Winitzer</w:t>
      </w:r>
      <w:proofErr w:type="spellEnd"/>
      <w:r w:rsidRPr="001005B7">
        <w:rPr>
          <w:rFonts w:ascii="Calibri" w:eastAsia="Times New Roman" w:hAnsi="Calibri" w:cs="Calibri"/>
          <w:lang w:eastAsia="en-GB"/>
        </w:rPr>
        <w:t xml:space="preserve">, Abraham., "Assyriology and Jewish Studies in Tel Aviv: Ezekiel among the Babylonian </w:t>
      </w:r>
      <w:r w:rsidRPr="001005B7">
        <w:rPr>
          <w:rFonts w:ascii="Calibri" w:eastAsia="Times New Roman" w:hAnsi="Calibri" w:cs="Calibri"/>
          <w:i/>
          <w:iCs/>
          <w:lang w:eastAsia="en-GB"/>
        </w:rPr>
        <w:t>literati</w:t>
      </w:r>
      <w:r w:rsidR="007F4C2F" w:rsidRPr="001005B7">
        <w:rPr>
          <w:rFonts w:ascii="Calibri" w:eastAsia="Times New Roman" w:hAnsi="Calibri" w:cs="Calibri"/>
          <w:i/>
          <w:iCs/>
          <w:lang w:eastAsia="en-GB"/>
        </w:rPr>
        <w:t>.</w:t>
      </w:r>
      <w:r w:rsidR="007F4C2F" w:rsidRPr="001005B7">
        <w:rPr>
          <w:rFonts w:ascii="Calibri" w:eastAsia="Times New Roman" w:hAnsi="Calibri" w:cs="Calibri"/>
          <w:lang w:eastAsia="en-GB"/>
        </w:rPr>
        <w:t>” I</w:t>
      </w:r>
      <w:r w:rsidRPr="001005B7">
        <w:rPr>
          <w:rFonts w:ascii="Calibri" w:eastAsia="Times New Roman" w:hAnsi="Calibri" w:cs="Calibri"/>
          <w:lang w:eastAsia="en-GB"/>
        </w:rPr>
        <w:t xml:space="preserve">n Uri </w:t>
      </w:r>
      <w:proofErr w:type="spellStart"/>
      <w:r w:rsidRPr="001005B7">
        <w:rPr>
          <w:rFonts w:ascii="Calibri" w:eastAsia="Times New Roman" w:hAnsi="Calibri" w:cs="Calibri"/>
          <w:lang w:eastAsia="en-GB"/>
        </w:rPr>
        <w:t>Gabbay</w:t>
      </w:r>
      <w:proofErr w:type="spellEnd"/>
      <w:r w:rsidRPr="001005B7">
        <w:rPr>
          <w:rFonts w:ascii="Calibri" w:eastAsia="Times New Roman" w:hAnsi="Calibri" w:cs="Calibri"/>
          <w:lang w:eastAsia="en-GB"/>
        </w:rPr>
        <w:t xml:space="preserve"> </w:t>
      </w:r>
      <w:r w:rsidR="007F4C2F" w:rsidRPr="001005B7">
        <w:rPr>
          <w:rFonts w:ascii="Calibri" w:eastAsia="Times New Roman" w:hAnsi="Calibri" w:cs="Calibri"/>
          <w:lang w:eastAsia="en-GB"/>
        </w:rPr>
        <w:t>and</w:t>
      </w:r>
      <w:r w:rsidRPr="001005B7">
        <w:rPr>
          <w:rFonts w:ascii="Calibri" w:eastAsia="Times New Roman" w:hAnsi="Calibri" w:cs="Calibri"/>
          <w:lang w:eastAsia="en-GB"/>
        </w:rPr>
        <w:t xml:space="preserve"> Shai </w:t>
      </w:r>
      <w:proofErr w:type="spellStart"/>
      <w:r w:rsidRPr="001005B7">
        <w:rPr>
          <w:rFonts w:ascii="Calibri" w:eastAsia="Times New Roman" w:hAnsi="Calibri" w:cs="Calibri"/>
          <w:lang w:eastAsia="en-GB"/>
        </w:rPr>
        <w:t>Secunda</w:t>
      </w:r>
      <w:proofErr w:type="spellEnd"/>
      <w:r w:rsidR="007F4C2F" w:rsidRPr="001005B7">
        <w:rPr>
          <w:rFonts w:ascii="Calibri" w:eastAsia="Times New Roman" w:hAnsi="Calibri" w:cs="Calibri"/>
          <w:lang w:eastAsia="en-GB"/>
        </w:rPr>
        <w:t xml:space="preserve">, </w:t>
      </w:r>
      <w:r w:rsidRPr="001005B7">
        <w:rPr>
          <w:rFonts w:ascii="Calibri" w:eastAsia="Times New Roman" w:hAnsi="Calibri" w:cs="Calibri"/>
          <w:lang w:eastAsia="en-GB"/>
        </w:rPr>
        <w:t>ed., </w:t>
      </w:r>
      <w:r w:rsidRPr="001005B7">
        <w:rPr>
          <w:rFonts w:ascii="Calibri" w:eastAsia="Times New Roman" w:hAnsi="Calibri" w:cs="Calibri"/>
          <w:i/>
          <w:iCs/>
          <w:lang w:eastAsia="en-GB"/>
        </w:rPr>
        <w:t>Encounters by the Rivers of Babylon: Scholarly Conversations Between Jews, Iranians, and Babylonians in Antiquity</w:t>
      </w:r>
      <w:r w:rsidR="001F0591" w:rsidRPr="001005B7">
        <w:rPr>
          <w:rFonts w:ascii="Calibri" w:eastAsia="Times New Roman" w:hAnsi="Calibri" w:cs="Calibri"/>
          <w:lang w:eastAsia="en-GB"/>
        </w:rPr>
        <w:t>, 163</w:t>
      </w:r>
      <w:r w:rsidR="00F46900" w:rsidRPr="001005B7">
        <w:rPr>
          <w:rFonts w:ascii="Calibri" w:eastAsia="Times New Roman" w:hAnsi="Calibri" w:cs="Calibri"/>
          <w:lang w:eastAsia="en-GB"/>
        </w:rPr>
        <w:t>–</w:t>
      </w:r>
      <w:r w:rsidR="001F0591" w:rsidRPr="001005B7">
        <w:rPr>
          <w:rFonts w:ascii="Calibri" w:eastAsia="Times New Roman" w:hAnsi="Calibri" w:cs="Calibri"/>
          <w:lang w:eastAsia="en-GB"/>
        </w:rPr>
        <w:t>216.</w:t>
      </w:r>
      <w:r w:rsidRPr="001005B7">
        <w:rPr>
          <w:rFonts w:ascii="Calibri" w:eastAsia="Times New Roman" w:hAnsi="Calibri" w:cs="Calibri"/>
          <w:lang w:eastAsia="en-GB"/>
        </w:rPr>
        <w:t xml:space="preserve"> Tübingen: Mohr</w:t>
      </w:r>
      <w:r w:rsidR="00132E8F" w:rsidRPr="001005B7">
        <w:t xml:space="preserve"> </w:t>
      </w:r>
      <w:proofErr w:type="spellStart"/>
      <w:r w:rsidR="00132E8F" w:rsidRPr="001005B7">
        <w:t>Siebeck</w:t>
      </w:r>
      <w:proofErr w:type="spellEnd"/>
      <w:r w:rsidR="00132E8F" w:rsidRPr="001005B7">
        <w:t>,</w:t>
      </w:r>
      <w:r w:rsidRPr="001005B7">
        <w:rPr>
          <w:rFonts w:ascii="Calibri" w:eastAsia="Times New Roman" w:hAnsi="Calibri" w:cs="Calibri"/>
          <w:lang w:eastAsia="en-GB"/>
        </w:rPr>
        <w:t xml:space="preserve"> 2014.</w:t>
      </w:r>
    </w:p>
    <w:p w14:paraId="3D7DDEB0" w14:textId="28D46FA2" w:rsidR="007D2ABA" w:rsidRPr="001005B7" w:rsidRDefault="007D2ABA" w:rsidP="006F5BB0">
      <w:pPr>
        <w:pStyle w:val="ListParagraph"/>
        <w:rPr>
          <w:color w:val="auto"/>
          <w:lang w:val="en-US"/>
        </w:rPr>
      </w:pPr>
      <w:r w:rsidRPr="001005B7">
        <w:rPr>
          <w:color w:val="auto"/>
          <w:lang w:val="en-US"/>
        </w:rPr>
        <w:t xml:space="preserve">Wu, Daniel Y. </w:t>
      </w:r>
      <w:r w:rsidRPr="001005B7">
        <w:rPr>
          <w:i/>
          <w:iCs/>
          <w:color w:val="auto"/>
          <w:lang w:val="en-US"/>
        </w:rPr>
        <w:t>Honor, Shame, and Guilt: Social-Scientific Approaches to the Book of Ezekiel</w:t>
      </w:r>
      <w:r w:rsidRPr="001005B7">
        <w:rPr>
          <w:color w:val="auto"/>
          <w:lang w:val="en-US"/>
        </w:rPr>
        <w:t xml:space="preserve">. </w:t>
      </w:r>
      <w:proofErr w:type="spellStart"/>
      <w:r w:rsidRPr="001005B7">
        <w:rPr>
          <w:color w:val="auto"/>
          <w:lang w:val="en-US"/>
        </w:rPr>
        <w:t>B</w:t>
      </w:r>
      <w:r w:rsidR="008C3ABA" w:rsidRPr="001005B7">
        <w:rPr>
          <w:color w:val="auto"/>
          <w:lang w:val="en-US"/>
        </w:rPr>
        <w:t>BR</w:t>
      </w:r>
      <w:r w:rsidRPr="001005B7">
        <w:rPr>
          <w:color w:val="auto"/>
          <w:lang w:val="en-US"/>
        </w:rPr>
        <w:t>Sup</w:t>
      </w:r>
      <w:proofErr w:type="spellEnd"/>
      <w:r w:rsidRPr="001005B7">
        <w:rPr>
          <w:color w:val="auto"/>
          <w:lang w:val="en-US"/>
        </w:rPr>
        <w:t xml:space="preserve"> 14. Winona Lake, IN: </w:t>
      </w:r>
      <w:proofErr w:type="spellStart"/>
      <w:r w:rsidRPr="001005B7">
        <w:rPr>
          <w:color w:val="auto"/>
          <w:lang w:val="en-US"/>
        </w:rPr>
        <w:t>Eisenbrauns</w:t>
      </w:r>
      <w:proofErr w:type="spellEnd"/>
      <w:r w:rsidRPr="001005B7">
        <w:rPr>
          <w:color w:val="auto"/>
          <w:lang w:val="en-US"/>
        </w:rPr>
        <w:t>, 2016.</w:t>
      </w:r>
    </w:p>
    <w:p w14:paraId="5439391A" w14:textId="62D0D669" w:rsidR="00EF3274" w:rsidRPr="001005B7" w:rsidRDefault="00EF3274" w:rsidP="006F5BB0">
      <w:pPr>
        <w:pStyle w:val="ListParagraph"/>
        <w:rPr>
          <w:color w:val="auto"/>
          <w:lang w:val="en-US"/>
        </w:rPr>
      </w:pPr>
      <w:proofErr w:type="spellStart"/>
      <w:r w:rsidRPr="001005B7">
        <w:rPr>
          <w:color w:val="auto"/>
          <w:lang w:val="en-US"/>
        </w:rPr>
        <w:t>Würthwein</w:t>
      </w:r>
      <w:proofErr w:type="spellEnd"/>
      <w:r w:rsidRPr="001005B7">
        <w:rPr>
          <w:color w:val="auto"/>
          <w:lang w:val="en-US"/>
        </w:rPr>
        <w:t xml:space="preserve">, Ernst. </w:t>
      </w:r>
      <w:r w:rsidRPr="001005B7">
        <w:rPr>
          <w:i/>
          <w:iCs/>
          <w:color w:val="auto"/>
          <w:lang w:val="en-US"/>
        </w:rPr>
        <w:t>The Text of the Old Testament</w:t>
      </w:r>
      <w:r w:rsidR="00F05792" w:rsidRPr="001005B7">
        <w:rPr>
          <w:i/>
          <w:iCs/>
          <w:color w:val="auto"/>
          <w:lang w:val="en-US"/>
        </w:rPr>
        <w:t xml:space="preserve">: An Introduction to the </w:t>
      </w:r>
      <w:r w:rsidR="00F05792" w:rsidRPr="001005B7">
        <w:rPr>
          <w:color w:val="auto"/>
          <w:lang w:val="en-US"/>
        </w:rPr>
        <w:t>Biblica</w:t>
      </w:r>
      <w:r w:rsidR="00F05792" w:rsidRPr="001005B7">
        <w:rPr>
          <w:i/>
          <w:iCs/>
          <w:color w:val="auto"/>
          <w:lang w:val="en-US"/>
        </w:rPr>
        <w:t xml:space="preserve"> </w:t>
      </w:r>
      <w:r w:rsidR="00F05792" w:rsidRPr="001005B7">
        <w:rPr>
          <w:color w:val="auto"/>
          <w:lang w:val="en-US"/>
        </w:rPr>
        <w:t>Hebraica, third ed., r</w:t>
      </w:r>
      <w:r w:rsidR="00C20D3E" w:rsidRPr="001005B7">
        <w:rPr>
          <w:color w:val="auto"/>
          <w:lang w:val="en-US"/>
        </w:rPr>
        <w:t>e</w:t>
      </w:r>
      <w:r w:rsidR="00F05792" w:rsidRPr="001005B7">
        <w:rPr>
          <w:color w:val="auto"/>
          <w:lang w:val="en-US"/>
        </w:rPr>
        <w:t>vis</w:t>
      </w:r>
      <w:r w:rsidR="00C20D3E" w:rsidRPr="001005B7">
        <w:rPr>
          <w:color w:val="auto"/>
          <w:lang w:val="en-US"/>
        </w:rPr>
        <w:t>e</w:t>
      </w:r>
      <w:r w:rsidR="00F05792" w:rsidRPr="001005B7">
        <w:rPr>
          <w:color w:val="auto"/>
          <w:lang w:val="en-US"/>
        </w:rPr>
        <w:t xml:space="preserve">d and expanded by </w:t>
      </w:r>
      <w:r w:rsidR="00650F21" w:rsidRPr="001005B7">
        <w:rPr>
          <w:color w:val="auto"/>
          <w:lang w:val="en-US"/>
        </w:rPr>
        <w:t>Alexander Achilles Fischer, tra</w:t>
      </w:r>
      <w:r w:rsidR="00C20D3E" w:rsidRPr="001005B7">
        <w:rPr>
          <w:color w:val="auto"/>
          <w:lang w:val="en-US"/>
        </w:rPr>
        <w:t>n</w:t>
      </w:r>
      <w:r w:rsidR="00650F21" w:rsidRPr="001005B7">
        <w:rPr>
          <w:color w:val="auto"/>
          <w:lang w:val="en-US"/>
        </w:rPr>
        <w:t>s</w:t>
      </w:r>
      <w:r w:rsidR="002F0D3F" w:rsidRPr="001005B7">
        <w:rPr>
          <w:color w:val="auto"/>
          <w:lang w:val="en-US"/>
        </w:rPr>
        <w:t>.</w:t>
      </w:r>
      <w:r w:rsidR="00650F21" w:rsidRPr="001005B7">
        <w:rPr>
          <w:color w:val="auto"/>
          <w:lang w:val="en-US"/>
        </w:rPr>
        <w:t xml:space="preserve"> Erroll F. Rhodes</w:t>
      </w:r>
      <w:r w:rsidR="00A73EF4" w:rsidRPr="001005B7">
        <w:rPr>
          <w:color w:val="auto"/>
          <w:lang w:val="en-US"/>
        </w:rPr>
        <w:t xml:space="preserve">. Grand Rapids: Eerdmans, </w:t>
      </w:r>
      <w:r w:rsidR="00C20D3E" w:rsidRPr="001005B7">
        <w:rPr>
          <w:color w:val="auto"/>
          <w:lang w:val="en-US"/>
        </w:rPr>
        <w:t>2014.</w:t>
      </w:r>
    </w:p>
    <w:p w14:paraId="77F818D0" w14:textId="45B9B501" w:rsidR="0056400A" w:rsidRPr="001005B7" w:rsidRDefault="003B639E" w:rsidP="00237D99">
      <w:pPr>
        <w:pStyle w:val="ListParagraph"/>
        <w:rPr>
          <w:color w:val="auto"/>
          <w:lang w:val="en-US"/>
        </w:rPr>
      </w:pPr>
      <w:r w:rsidRPr="001005B7">
        <w:rPr>
          <w:color w:val="auto"/>
          <w:lang w:val="en-US"/>
        </w:rPr>
        <w:t>Yang,</w:t>
      </w:r>
      <w:r w:rsidR="00391440">
        <w:rPr>
          <w:color w:val="auto"/>
          <w:lang w:val="en-US"/>
        </w:rPr>
        <w:t xml:space="preserve"> </w:t>
      </w:r>
      <w:proofErr w:type="spellStart"/>
      <w:r w:rsidR="0056400A" w:rsidRPr="001005B7">
        <w:rPr>
          <w:color w:val="auto"/>
          <w:lang w:val="en-US"/>
        </w:rPr>
        <w:t>Inchol</w:t>
      </w:r>
      <w:proofErr w:type="spellEnd"/>
      <w:r w:rsidR="0056400A" w:rsidRPr="001005B7">
        <w:rPr>
          <w:color w:val="auto"/>
          <w:lang w:val="en-US"/>
        </w:rPr>
        <w:t xml:space="preserve"> </w:t>
      </w:r>
      <w:r w:rsidR="00521C26" w:rsidRPr="001005B7">
        <w:rPr>
          <w:color w:val="auto"/>
          <w:lang w:val="en-US"/>
        </w:rPr>
        <w:t>“</w:t>
      </w:r>
      <w:r w:rsidRPr="001005B7">
        <w:rPr>
          <w:color w:val="auto"/>
          <w:lang w:val="en-US"/>
        </w:rPr>
        <w:t xml:space="preserve">The Presence and Absence of </w:t>
      </w:r>
      <w:proofErr w:type="spellStart"/>
      <w:r w:rsidRPr="001005B7">
        <w:rPr>
          <w:color w:val="auto"/>
          <w:lang w:val="en-US"/>
        </w:rPr>
        <w:t>Marduk</w:t>
      </w:r>
      <w:proofErr w:type="spellEnd"/>
      <w:r w:rsidRPr="001005B7">
        <w:rPr>
          <w:color w:val="auto"/>
          <w:lang w:val="en-US"/>
        </w:rPr>
        <w:t xml:space="preserve"> and YHWH</w:t>
      </w:r>
      <w:r w:rsidR="00521C26" w:rsidRPr="001005B7">
        <w:rPr>
          <w:color w:val="auto"/>
          <w:lang w:val="en-US"/>
        </w:rPr>
        <w:t xml:space="preserve">.” </w:t>
      </w:r>
      <w:r w:rsidR="00521C26" w:rsidRPr="001005B7">
        <w:rPr>
          <w:i/>
          <w:iCs/>
          <w:color w:val="auto"/>
          <w:lang w:val="en-US"/>
        </w:rPr>
        <w:t>SJOT</w:t>
      </w:r>
      <w:r w:rsidR="00521C26" w:rsidRPr="001005B7">
        <w:rPr>
          <w:color w:val="auto"/>
          <w:lang w:val="en-US"/>
        </w:rPr>
        <w:t xml:space="preserve"> </w:t>
      </w:r>
      <w:r w:rsidR="00DE2ABC" w:rsidRPr="001005B7">
        <w:rPr>
          <w:color w:val="auto"/>
          <w:lang w:val="en-US"/>
        </w:rPr>
        <w:t>35 (2021):</w:t>
      </w:r>
      <w:r w:rsidR="00521C26" w:rsidRPr="001005B7">
        <w:rPr>
          <w:color w:val="auto"/>
          <w:lang w:val="en-US"/>
        </w:rPr>
        <w:t xml:space="preserve"> 187</w:t>
      </w:r>
      <w:r w:rsidR="00F46900" w:rsidRPr="001005B7">
        <w:rPr>
          <w:color w:val="auto"/>
          <w:lang w:val="en-US"/>
        </w:rPr>
        <w:t>–</w:t>
      </w:r>
      <w:r w:rsidR="00521C26" w:rsidRPr="001005B7">
        <w:rPr>
          <w:color w:val="auto"/>
          <w:lang w:val="en-US"/>
        </w:rPr>
        <w:t>200</w:t>
      </w:r>
      <w:r w:rsidR="00DE2ABC" w:rsidRPr="001005B7">
        <w:rPr>
          <w:color w:val="auto"/>
          <w:lang w:val="en-US"/>
        </w:rPr>
        <w:t>.</w:t>
      </w:r>
    </w:p>
    <w:p w14:paraId="6174E919" w14:textId="77777777" w:rsidR="001603F8" w:rsidRPr="001005B7" w:rsidRDefault="001603F8" w:rsidP="001603F8"/>
    <w:p w14:paraId="6676F486" w14:textId="10C4D026" w:rsidR="00850875" w:rsidRPr="001005B7" w:rsidRDefault="00B02183" w:rsidP="001F601F">
      <w:pPr>
        <w:pStyle w:val="Heading2"/>
      </w:pPr>
      <w:r w:rsidRPr="001005B7">
        <w:t>Commentar</w:t>
      </w:r>
      <w:r w:rsidR="0036462F" w:rsidRPr="001005B7">
        <w:t>y Bibliography</w:t>
      </w:r>
    </w:p>
    <w:p w14:paraId="6993D9FD" w14:textId="0F662780" w:rsidR="00F37081" w:rsidRPr="001005B7" w:rsidRDefault="00F37081" w:rsidP="00F37081">
      <w:pPr>
        <w:tabs>
          <w:tab w:val="left" w:pos="3328"/>
        </w:tabs>
        <w:spacing w:after="60" w:line="240" w:lineRule="auto"/>
        <w:ind w:left="567" w:hanging="567"/>
      </w:pPr>
      <w:r w:rsidRPr="001005B7">
        <w:t>Abarbanel</w:t>
      </w:r>
      <w:r w:rsidR="006A5E15" w:rsidRPr="001005B7">
        <w:t>, Don Isaac.</w:t>
      </w:r>
      <w:r w:rsidRPr="001005B7">
        <w:t xml:space="preserve"> </w:t>
      </w:r>
      <w:r w:rsidR="00155FA6" w:rsidRPr="001005B7">
        <w:rPr>
          <w:rFonts w:cstheme="minorHAnsi"/>
          <w:rtl/>
          <w:lang w:bidi="he-IL"/>
        </w:rPr>
        <w:t>פירוש</w:t>
      </w:r>
      <w:r w:rsidR="008D3A44" w:rsidRPr="001005B7">
        <w:rPr>
          <w:rFonts w:cstheme="minorHAnsi"/>
          <w:rtl/>
          <w:lang w:bidi="he-IL"/>
        </w:rPr>
        <w:t xml:space="preserve"> </w:t>
      </w:r>
      <w:r w:rsidR="001E0813" w:rsidRPr="001005B7">
        <w:rPr>
          <w:rFonts w:cstheme="minorHAnsi"/>
          <w:rtl/>
          <w:lang w:bidi="he-IL"/>
        </w:rPr>
        <w:t>על</w:t>
      </w:r>
      <w:r w:rsidR="008D3A44" w:rsidRPr="001005B7">
        <w:rPr>
          <w:rFonts w:cstheme="minorHAnsi"/>
          <w:rtl/>
          <w:lang w:bidi="he-IL"/>
        </w:rPr>
        <w:t xml:space="preserve"> </w:t>
      </w:r>
      <w:r w:rsidR="001E0813" w:rsidRPr="001005B7">
        <w:rPr>
          <w:rFonts w:cstheme="minorHAnsi"/>
          <w:rtl/>
          <w:lang w:bidi="he-IL"/>
        </w:rPr>
        <w:t>נביאים</w:t>
      </w:r>
      <w:r w:rsidR="008D3A44" w:rsidRPr="001005B7">
        <w:rPr>
          <w:rFonts w:cstheme="minorHAnsi"/>
          <w:rtl/>
          <w:lang w:bidi="he-IL"/>
        </w:rPr>
        <w:t xml:space="preserve"> </w:t>
      </w:r>
      <w:r w:rsidR="00C97A44" w:rsidRPr="001005B7">
        <w:rPr>
          <w:rFonts w:cstheme="minorHAnsi"/>
          <w:rtl/>
          <w:lang w:bidi="he-IL"/>
        </w:rPr>
        <w:t>אחרונים</w:t>
      </w:r>
      <w:r w:rsidR="00C97A44" w:rsidRPr="001005B7">
        <w:t xml:space="preserve">. </w:t>
      </w:r>
      <w:r w:rsidR="002F2A96">
        <w:t xml:space="preserve">Reprinted </w:t>
      </w:r>
      <w:r w:rsidR="00FE18E7" w:rsidRPr="001005B7">
        <w:rPr>
          <w:rFonts w:ascii="Calibri" w:hAnsi="Calibri" w:cs="Calibri"/>
        </w:rPr>
        <w:t>Jerusalem</w:t>
      </w:r>
      <w:r w:rsidR="00E11AAC" w:rsidRPr="001005B7">
        <w:rPr>
          <w:rFonts w:ascii="Calibri" w:hAnsi="Calibri" w:cs="Calibri"/>
        </w:rPr>
        <w:t xml:space="preserve">: Torah </w:t>
      </w:r>
      <w:proofErr w:type="spellStart"/>
      <w:r w:rsidR="00E11AAC" w:rsidRPr="001005B7">
        <w:rPr>
          <w:rFonts w:ascii="Calibri" w:hAnsi="Calibri" w:cs="Calibri"/>
        </w:rPr>
        <w:t>ve</w:t>
      </w:r>
      <w:r w:rsidR="00E148C9" w:rsidRPr="001005B7">
        <w:rPr>
          <w:rFonts w:ascii="Calibri" w:hAnsi="Calibri" w:cs="Calibri"/>
        </w:rPr>
        <w:t>-</w:t>
      </w:r>
      <w:r w:rsidR="00E11AAC" w:rsidRPr="001005B7">
        <w:rPr>
          <w:rFonts w:ascii="Calibri" w:hAnsi="Calibri" w:cs="Calibri"/>
        </w:rPr>
        <w:t>D</w:t>
      </w:r>
      <w:r w:rsidR="00E11AAC" w:rsidRPr="001005B7">
        <w:rPr>
          <w:rStyle w:val="alay-prec"/>
          <w:rFonts w:ascii="Calibri" w:hAnsi="Calibri" w:cs="Calibri"/>
          <w:spacing w:val="-48"/>
        </w:rPr>
        <w:t>a</w:t>
      </w:r>
      <w:r w:rsidR="00E11AAC" w:rsidRPr="001005B7">
        <w:rPr>
          <w:rStyle w:val="alay"/>
          <w:rFonts w:ascii="Calibri" w:hAnsi="Calibri" w:cs="Calibri"/>
          <w:spacing w:val="-24"/>
        </w:rPr>
        <w:t>ʿ</w:t>
      </w:r>
      <w:r w:rsidR="00E11AAC" w:rsidRPr="001005B7">
        <w:rPr>
          <w:rFonts w:ascii="Calibri" w:hAnsi="Calibri" w:cs="Calibri"/>
        </w:rPr>
        <w:t>at</w:t>
      </w:r>
      <w:proofErr w:type="spellEnd"/>
      <w:r w:rsidR="00E11AAC" w:rsidRPr="001005B7">
        <w:rPr>
          <w:rFonts w:ascii="Calibri" w:hAnsi="Calibri" w:cs="Calibri"/>
        </w:rPr>
        <w:t xml:space="preserve"> </w:t>
      </w:r>
      <w:r w:rsidR="00E148C9" w:rsidRPr="001005B7">
        <w:rPr>
          <w:rFonts w:ascii="Calibri" w:hAnsi="Calibri" w:cs="Calibri"/>
        </w:rPr>
        <w:t>[</w:t>
      </w:r>
      <w:r w:rsidR="002F2A96">
        <w:rPr>
          <w:rFonts w:ascii="Calibri" w:hAnsi="Calibri" w:cs="Calibri"/>
        </w:rPr>
        <w:t>?</w:t>
      </w:r>
      <w:r w:rsidR="00E11AAC" w:rsidRPr="001005B7">
        <w:rPr>
          <w:rFonts w:ascii="Calibri" w:hAnsi="Calibri" w:cs="Calibri"/>
        </w:rPr>
        <w:t>1957</w:t>
      </w:r>
      <w:r w:rsidR="00E148C9" w:rsidRPr="001005B7">
        <w:rPr>
          <w:rFonts w:ascii="Calibri" w:hAnsi="Calibri" w:cs="Calibri"/>
        </w:rPr>
        <w:t>]</w:t>
      </w:r>
      <w:r w:rsidR="00E11AAC" w:rsidRPr="001005B7">
        <w:rPr>
          <w:rFonts w:ascii="Calibri" w:hAnsi="Calibri" w:cs="Calibri"/>
        </w:rPr>
        <w:t>)</w:t>
      </w:r>
      <w:r w:rsidR="003D708E" w:rsidRPr="001005B7">
        <w:rPr>
          <w:rFonts w:ascii="Calibri" w:hAnsi="Calibri" w:cs="Calibri"/>
        </w:rPr>
        <w:t>.</w:t>
      </w:r>
      <w:r w:rsidR="00AE2158" w:rsidRPr="001005B7">
        <w:rPr>
          <w:rFonts w:ascii="Calibri" w:hAnsi="Calibri" w:cs="Calibri"/>
        </w:rPr>
        <w:t xml:space="preserve"> </w:t>
      </w:r>
    </w:p>
    <w:p w14:paraId="3042FBE7" w14:textId="239D7E40" w:rsidR="00CF5E7C" w:rsidRPr="001005B7" w:rsidRDefault="00A70F8A" w:rsidP="006F5BB0">
      <w:pPr>
        <w:pStyle w:val="ListParagraph"/>
        <w:rPr>
          <w:color w:val="auto"/>
          <w:lang w:val="en-US"/>
        </w:rPr>
      </w:pPr>
      <w:r w:rsidRPr="001005B7">
        <w:rPr>
          <w:color w:val="auto"/>
          <w:lang w:val="en-US"/>
        </w:rPr>
        <w:t>Allen, Leslie C. </w:t>
      </w:r>
      <w:r w:rsidRPr="001005B7">
        <w:rPr>
          <w:i/>
          <w:color w:val="auto"/>
          <w:lang w:val="en-US"/>
        </w:rPr>
        <w:t>Ezekiel 1</w:t>
      </w:r>
      <w:r w:rsidR="00F46900" w:rsidRPr="001005B7">
        <w:rPr>
          <w:i/>
          <w:color w:val="auto"/>
          <w:lang w:val="en-US"/>
        </w:rPr>
        <w:t>–</w:t>
      </w:r>
      <w:r w:rsidRPr="001005B7">
        <w:rPr>
          <w:i/>
          <w:color w:val="auto"/>
          <w:lang w:val="en-US"/>
        </w:rPr>
        <w:t>19.</w:t>
      </w:r>
      <w:r w:rsidRPr="001005B7">
        <w:rPr>
          <w:color w:val="auto"/>
          <w:lang w:val="en-US"/>
        </w:rPr>
        <w:t xml:space="preserve"> Word Biblical Commentary 28. Dallas: Word, 1994.</w:t>
      </w:r>
    </w:p>
    <w:p w14:paraId="1261CD54" w14:textId="03FEF24D" w:rsidR="003B53F6" w:rsidRPr="001005B7" w:rsidRDefault="0067205C" w:rsidP="006F5BB0">
      <w:pPr>
        <w:pStyle w:val="ListParagraph"/>
        <w:rPr>
          <w:color w:val="auto"/>
          <w:lang w:val="en-US"/>
        </w:rPr>
      </w:pPr>
      <w:r w:rsidRPr="001005B7">
        <w:rPr>
          <w:i/>
          <w:iCs/>
          <w:color w:val="auto"/>
          <w:lang w:val="en-US"/>
        </w:rPr>
        <w:t xml:space="preserve">––– </w:t>
      </w:r>
      <w:r w:rsidR="00A70F8A" w:rsidRPr="001005B7">
        <w:rPr>
          <w:i/>
          <w:color w:val="auto"/>
          <w:lang w:val="en-US"/>
        </w:rPr>
        <w:t>Ezekiel 20</w:t>
      </w:r>
      <w:r w:rsidR="00F46900" w:rsidRPr="001005B7">
        <w:rPr>
          <w:i/>
          <w:color w:val="auto"/>
          <w:lang w:val="en-US"/>
        </w:rPr>
        <w:t>–</w:t>
      </w:r>
      <w:r w:rsidR="00A70F8A" w:rsidRPr="001005B7">
        <w:rPr>
          <w:i/>
          <w:color w:val="auto"/>
          <w:lang w:val="en-US"/>
        </w:rPr>
        <w:t>48.</w:t>
      </w:r>
      <w:r w:rsidR="00A70F8A" w:rsidRPr="001005B7">
        <w:rPr>
          <w:color w:val="auto"/>
          <w:lang w:val="en-US"/>
        </w:rPr>
        <w:t xml:space="preserve"> Word Biblical Commentary 29. Dallas: Word, 1990.</w:t>
      </w:r>
    </w:p>
    <w:p w14:paraId="681E744F" w14:textId="6EB1F03A" w:rsidR="00360AD1" w:rsidRPr="001005B7" w:rsidRDefault="00534A90" w:rsidP="006F5BB0">
      <w:pPr>
        <w:pStyle w:val="ListParagraph"/>
        <w:rPr>
          <w:color w:val="auto"/>
          <w:lang w:val="en-US"/>
        </w:rPr>
      </w:pPr>
      <w:proofErr w:type="spellStart"/>
      <w:r w:rsidRPr="001005B7">
        <w:rPr>
          <w:color w:val="auto"/>
          <w:lang w:val="en-US"/>
        </w:rPr>
        <w:t>Altschuler</w:t>
      </w:r>
      <w:proofErr w:type="spellEnd"/>
      <w:r w:rsidRPr="001005B7">
        <w:rPr>
          <w:color w:val="auto"/>
          <w:lang w:val="en-US"/>
        </w:rPr>
        <w:t xml:space="preserve">, David. </w:t>
      </w:r>
      <w:r w:rsidR="000B4897" w:rsidRPr="001005B7">
        <w:rPr>
          <w:color w:val="auto"/>
          <w:rtl/>
          <w:lang w:val="en-US" w:bidi="he-IL"/>
        </w:rPr>
        <w:t>מצו</w:t>
      </w:r>
      <w:r w:rsidR="00DF23E2" w:rsidRPr="001005B7">
        <w:rPr>
          <w:color w:val="auto"/>
          <w:rtl/>
          <w:lang w:val="en-US" w:bidi="he-IL"/>
        </w:rPr>
        <w:t>דת</w:t>
      </w:r>
      <w:r w:rsidR="00360AD1" w:rsidRPr="001005B7">
        <w:rPr>
          <w:color w:val="auto"/>
          <w:rtl/>
          <w:lang w:val="en-US" w:bidi="he-IL"/>
        </w:rPr>
        <w:t xml:space="preserve"> </w:t>
      </w:r>
      <w:r w:rsidR="00DF23E2" w:rsidRPr="001005B7">
        <w:rPr>
          <w:color w:val="auto"/>
          <w:rtl/>
          <w:lang w:val="en-US" w:bidi="he-IL"/>
        </w:rPr>
        <w:t>ד</w:t>
      </w:r>
      <w:r w:rsidR="00B30E59" w:rsidRPr="001005B7">
        <w:rPr>
          <w:color w:val="auto"/>
          <w:rtl/>
          <w:lang w:val="en-US" w:bidi="he-IL"/>
        </w:rPr>
        <w:t>וד</w:t>
      </w:r>
      <w:r w:rsidR="00D31AA4" w:rsidRPr="001005B7">
        <w:rPr>
          <w:color w:val="auto"/>
          <w:lang w:val="en-US"/>
        </w:rPr>
        <w:t>. In MG, as posted on Sefaria.org.</w:t>
      </w:r>
    </w:p>
    <w:p w14:paraId="2EA2F0D5" w14:textId="77777777" w:rsidR="008C1CCF" w:rsidRPr="001005B7" w:rsidRDefault="00360AD1" w:rsidP="006F5BB0">
      <w:pPr>
        <w:pStyle w:val="ListParagraph"/>
        <w:rPr>
          <w:color w:val="auto"/>
          <w:lang w:val="en-US"/>
        </w:rPr>
      </w:pPr>
      <w:r w:rsidRPr="001005B7">
        <w:rPr>
          <w:color w:val="auto"/>
          <w:lang w:val="en-US"/>
        </w:rPr>
        <w:t>B</w:t>
      </w:r>
      <w:r w:rsidR="003430E4" w:rsidRPr="001005B7">
        <w:rPr>
          <w:color w:val="auto"/>
          <w:lang w:val="en-US"/>
        </w:rPr>
        <w:t>eckwith</w:t>
      </w:r>
      <w:r w:rsidR="009439CF" w:rsidRPr="001005B7">
        <w:rPr>
          <w:color w:val="auto"/>
          <w:lang w:val="en-US"/>
        </w:rPr>
        <w:t>, Carl L.</w:t>
      </w:r>
      <w:r w:rsidR="00CB353E" w:rsidRPr="001005B7">
        <w:rPr>
          <w:color w:val="auto"/>
          <w:lang w:val="en-US"/>
        </w:rPr>
        <w:t>, ed.</w:t>
      </w:r>
      <w:r w:rsidR="009439CF" w:rsidRPr="001005B7">
        <w:rPr>
          <w:color w:val="auto"/>
          <w:lang w:val="en-US"/>
        </w:rPr>
        <w:t xml:space="preserve"> </w:t>
      </w:r>
      <w:r w:rsidR="009439CF" w:rsidRPr="001005B7">
        <w:rPr>
          <w:i/>
          <w:color w:val="auto"/>
          <w:lang w:val="en-US"/>
        </w:rPr>
        <w:t>Ezekiel, Daniel</w:t>
      </w:r>
      <w:r w:rsidR="009439CF" w:rsidRPr="001005B7">
        <w:rPr>
          <w:color w:val="auto"/>
          <w:lang w:val="en-US"/>
        </w:rPr>
        <w:t xml:space="preserve">. </w:t>
      </w:r>
      <w:r w:rsidR="00073FE7" w:rsidRPr="001005B7">
        <w:rPr>
          <w:color w:val="auto"/>
          <w:lang w:val="en-US"/>
        </w:rPr>
        <w:t>Reformation Comm</w:t>
      </w:r>
      <w:r w:rsidR="003A3DBF" w:rsidRPr="001005B7">
        <w:rPr>
          <w:color w:val="auto"/>
          <w:lang w:val="en-US"/>
        </w:rPr>
        <w:t>entary on Scripture: Old Testament 1</w:t>
      </w:r>
      <w:r w:rsidR="00276DBF" w:rsidRPr="001005B7">
        <w:rPr>
          <w:color w:val="auto"/>
          <w:lang w:val="en-US"/>
        </w:rPr>
        <w:t>2</w:t>
      </w:r>
      <w:r w:rsidR="003A3DBF" w:rsidRPr="001005B7">
        <w:rPr>
          <w:color w:val="auto"/>
          <w:lang w:val="en-US"/>
        </w:rPr>
        <w:t xml:space="preserve">. Downers Grove, IL: InterVarsity, </w:t>
      </w:r>
      <w:r w:rsidR="00CF5E7C" w:rsidRPr="001005B7">
        <w:rPr>
          <w:color w:val="auto"/>
          <w:lang w:val="en-US"/>
        </w:rPr>
        <w:t>2012.</w:t>
      </w:r>
    </w:p>
    <w:p w14:paraId="0D2AA7B5" w14:textId="00D868F7" w:rsidR="008C1CCF" w:rsidRPr="001005B7" w:rsidRDefault="002639BD" w:rsidP="006F5BB0">
      <w:pPr>
        <w:pStyle w:val="ListParagraph"/>
        <w:rPr>
          <w:color w:val="auto"/>
          <w:lang w:val="en-US"/>
        </w:rPr>
      </w:pPr>
      <w:proofErr w:type="spellStart"/>
      <w:r w:rsidRPr="001005B7">
        <w:rPr>
          <w:color w:val="auto"/>
          <w:lang w:val="en-US"/>
        </w:rPr>
        <w:t>Billington</w:t>
      </w:r>
      <w:proofErr w:type="spellEnd"/>
      <w:r w:rsidRPr="001005B7">
        <w:rPr>
          <w:color w:val="auto"/>
          <w:lang w:val="en-US"/>
        </w:rPr>
        <w:t>, Antony</w:t>
      </w:r>
      <w:r w:rsidRPr="001005B7">
        <w:rPr>
          <w:i/>
          <w:color w:val="auto"/>
          <w:lang w:val="en-US"/>
        </w:rPr>
        <w:t>. Ezekiel</w:t>
      </w:r>
      <w:r w:rsidR="00E260B8" w:rsidRPr="001005B7">
        <w:rPr>
          <w:i/>
          <w:color w:val="auto"/>
          <w:lang w:val="en-US"/>
        </w:rPr>
        <w:t>:</w:t>
      </w:r>
      <w:r w:rsidRPr="001005B7">
        <w:rPr>
          <w:i/>
          <w:color w:val="auto"/>
          <w:lang w:val="en-US"/>
        </w:rPr>
        <w:t xml:space="preserve"> Living in the Light of God’s Presence</w:t>
      </w:r>
      <w:r w:rsidRPr="001005B7">
        <w:rPr>
          <w:color w:val="auto"/>
          <w:lang w:val="en-US"/>
        </w:rPr>
        <w:t>. London: Inter-Varsity, 2020.</w:t>
      </w:r>
    </w:p>
    <w:p w14:paraId="3A7A10FD" w14:textId="088FBBF7" w:rsidR="00A021B3" w:rsidRPr="001005B7" w:rsidRDefault="00A021B3" w:rsidP="006F5BB0">
      <w:pPr>
        <w:pStyle w:val="ListParagraph"/>
        <w:rPr>
          <w:color w:val="auto"/>
          <w:lang w:val="en-US"/>
        </w:rPr>
      </w:pPr>
      <w:r w:rsidRPr="001005B7">
        <w:rPr>
          <w:color w:val="auto"/>
          <w:lang w:val="en-US"/>
        </w:rPr>
        <w:t xml:space="preserve">Blenkinsopp, Joseph. </w:t>
      </w:r>
      <w:r w:rsidRPr="001005B7">
        <w:rPr>
          <w:i/>
          <w:color w:val="auto"/>
          <w:lang w:val="en-US"/>
        </w:rPr>
        <w:t>Ezekiel</w:t>
      </w:r>
      <w:r w:rsidRPr="001005B7">
        <w:rPr>
          <w:color w:val="auto"/>
          <w:lang w:val="en-US"/>
        </w:rPr>
        <w:t>. Interpretation: A Bible Commentary for Teaching and Preaching. Louisville: John Knox, 1990.</w:t>
      </w:r>
    </w:p>
    <w:p w14:paraId="74B61275" w14:textId="75CA78B4" w:rsidR="00CF5E7C" w:rsidRPr="001005B7" w:rsidRDefault="00FF164F" w:rsidP="006F5BB0">
      <w:pPr>
        <w:pStyle w:val="ListParagraph"/>
        <w:rPr>
          <w:color w:val="auto"/>
          <w:lang w:val="en-US"/>
        </w:rPr>
      </w:pPr>
      <w:r w:rsidRPr="001005B7">
        <w:rPr>
          <w:color w:val="auto"/>
          <w:lang w:val="en-US"/>
        </w:rPr>
        <w:t>Block, Daniel I. </w:t>
      </w:r>
      <w:r w:rsidRPr="001005B7">
        <w:rPr>
          <w:i/>
          <w:color w:val="auto"/>
          <w:lang w:val="en-US"/>
        </w:rPr>
        <w:t>The Book of Ezekiel Chapters 1</w:t>
      </w:r>
      <w:r w:rsidR="00F46900" w:rsidRPr="001005B7">
        <w:rPr>
          <w:i/>
          <w:color w:val="auto"/>
          <w:lang w:val="en-US"/>
        </w:rPr>
        <w:t>–</w:t>
      </w:r>
      <w:r w:rsidRPr="001005B7">
        <w:rPr>
          <w:i/>
          <w:color w:val="auto"/>
          <w:lang w:val="en-US"/>
        </w:rPr>
        <w:t>24</w:t>
      </w:r>
      <w:r w:rsidRPr="001005B7">
        <w:rPr>
          <w:color w:val="auto"/>
          <w:lang w:val="en-US"/>
        </w:rPr>
        <w:t xml:space="preserve">. </w:t>
      </w:r>
      <w:r w:rsidR="000153EF" w:rsidRPr="001005B7">
        <w:rPr>
          <w:color w:val="auto"/>
          <w:lang w:val="en-US"/>
        </w:rPr>
        <w:t xml:space="preserve">New International Commentary on the Old </w:t>
      </w:r>
      <w:r w:rsidR="00EA017C" w:rsidRPr="001005B7">
        <w:rPr>
          <w:color w:val="auto"/>
          <w:lang w:val="en-US"/>
        </w:rPr>
        <w:t>Testament</w:t>
      </w:r>
      <w:r w:rsidR="000153EF" w:rsidRPr="001005B7">
        <w:rPr>
          <w:color w:val="auto"/>
          <w:lang w:val="en-US"/>
        </w:rPr>
        <w:t xml:space="preserve"> </w:t>
      </w:r>
      <w:r w:rsidRPr="001005B7">
        <w:rPr>
          <w:color w:val="auto"/>
          <w:lang w:val="en-US"/>
        </w:rPr>
        <w:t>. Grand Rapids: Eerdmans, 1997.</w:t>
      </w:r>
    </w:p>
    <w:p w14:paraId="6D1D846F" w14:textId="675A3883" w:rsidR="00CF5E7C" w:rsidRPr="001005B7" w:rsidRDefault="0067205C" w:rsidP="006F5BB0">
      <w:pPr>
        <w:pStyle w:val="ListParagraph"/>
        <w:rPr>
          <w:color w:val="auto"/>
          <w:lang w:val="en-US"/>
        </w:rPr>
      </w:pPr>
      <w:r w:rsidRPr="001005B7">
        <w:rPr>
          <w:color w:val="auto"/>
          <w:lang w:val="en-US"/>
        </w:rPr>
        <w:t xml:space="preserve">––– </w:t>
      </w:r>
      <w:r w:rsidR="00FF164F" w:rsidRPr="0040036D">
        <w:rPr>
          <w:i/>
          <w:iCs/>
          <w:color w:val="auto"/>
          <w:lang w:val="en-US"/>
        </w:rPr>
        <w:t>The Book of Ezekiel Chapters 25</w:t>
      </w:r>
      <w:r w:rsidR="00F46900" w:rsidRPr="0040036D">
        <w:rPr>
          <w:i/>
          <w:iCs/>
          <w:color w:val="auto"/>
          <w:lang w:val="en-US"/>
        </w:rPr>
        <w:t>–</w:t>
      </w:r>
      <w:r w:rsidR="00FF164F" w:rsidRPr="0040036D">
        <w:rPr>
          <w:i/>
          <w:iCs/>
          <w:color w:val="auto"/>
          <w:lang w:val="en-US"/>
        </w:rPr>
        <w:t>48</w:t>
      </w:r>
      <w:r w:rsidR="00FF164F" w:rsidRPr="001005B7">
        <w:rPr>
          <w:color w:val="auto"/>
          <w:lang w:val="en-US"/>
        </w:rPr>
        <w:t xml:space="preserve">. </w:t>
      </w:r>
      <w:r w:rsidR="00EA017C" w:rsidRPr="001005B7">
        <w:rPr>
          <w:color w:val="auto"/>
          <w:lang w:val="en-US"/>
        </w:rPr>
        <w:t>New International Commentary on the Old Testament</w:t>
      </w:r>
      <w:r w:rsidR="00FF164F" w:rsidRPr="001005B7">
        <w:rPr>
          <w:color w:val="auto"/>
          <w:lang w:val="en-US"/>
        </w:rPr>
        <w:t>. Grand Rapids: Eerdmans, 1998.</w:t>
      </w:r>
    </w:p>
    <w:p w14:paraId="594A9F84" w14:textId="77777777" w:rsidR="00CF5E7C" w:rsidRPr="001005B7" w:rsidRDefault="00A91BCB" w:rsidP="006F5BB0">
      <w:pPr>
        <w:pStyle w:val="ListParagraph"/>
        <w:rPr>
          <w:color w:val="auto"/>
          <w:lang w:val="en-US"/>
        </w:rPr>
      </w:pPr>
      <w:r w:rsidRPr="001005B7">
        <w:rPr>
          <w:color w:val="auto"/>
          <w:lang w:val="en-US"/>
        </w:rPr>
        <w:t>Bowen, Nancy R. </w:t>
      </w:r>
      <w:r w:rsidRPr="001005B7">
        <w:rPr>
          <w:i/>
          <w:color w:val="auto"/>
          <w:lang w:val="en-US"/>
        </w:rPr>
        <w:t>Ezekiel</w:t>
      </w:r>
      <w:r w:rsidRPr="001005B7">
        <w:rPr>
          <w:color w:val="auto"/>
          <w:lang w:val="en-US"/>
        </w:rPr>
        <w:t>. Abingdon Old Testament Commentaries. Nashville: Abingdon, 2010.</w:t>
      </w:r>
    </w:p>
    <w:p w14:paraId="547562EB" w14:textId="5BD24D8E" w:rsidR="00F943DE" w:rsidRPr="001005B7" w:rsidRDefault="009A39E1" w:rsidP="006F5BB0">
      <w:pPr>
        <w:pStyle w:val="ListParagraph"/>
        <w:rPr>
          <w:color w:val="auto"/>
          <w:lang w:val="en-US"/>
        </w:rPr>
      </w:pPr>
      <w:r w:rsidRPr="001005B7">
        <w:rPr>
          <w:color w:val="auto"/>
          <w:lang w:val="en-US"/>
        </w:rPr>
        <w:t>Brownlee</w:t>
      </w:r>
      <w:r w:rsidR="008A4A51" w:rsidRPr="001005B7">
        <w:rPr>
          <w:color w:val="auto"/>
          <w:lang w:val="en-US"/>
        </w:rPr>
        <w:t xml:space="preserve">, William H. </w:t>
      </w:r>
      <w:r w:rsidR="008A4A51" w:rsidRPr="001005B7">
        <w:rPr>
          <w:i/>
          <w:color w:val="auto"/>
          <w:lang w:val="en-US"/>
        </w:rPr>
        <w:t>Ezekiel 1-19.</w:t>
      </w:r>
      <w:r w:rsidR="008A4A51" w:rsidRPr="001005B7">
        <w:rPr>
          <w:color w:val="auto"/>
          <w:lang w:val="en-US"/>
        </w:rPr>
        <w:t xml:space="preserve"> W</w:t>
      </w:r>
      <w:r w:rsidR="003534C0" w:rsidRPr="001005B7">
        <w:rPr>
          <w:color w:val="auto"/>
          <w:lang w:val="en-US"/>
        </w:rPr>
        <w:t xml:space="preserve">ord </w:t>
      </w:r>
      <w:r w:rsidR="008A4A51" w:rsidRPr="001005B7">
        <w:rPr>
          <w:color w:val="auto"/>
          <w:lang w:val="en-US"/>
        </w:rPr>
        <w:t>B</w:t>
      </w:r>
      <w:r w:rsidR="003534C0" w:rsidRPr="001005B7">
        <w:rPr>
          <w:color w:val="auto"/>
          <w:lang w:val="en-US"/>
        </w:rPr>
        <w:t xml:space="preserve">iblical </w:t>
      </w:r>
      <w:r w:rsidR="008A4A51" w:rsidRPr="001005B7">
        <w:rPr>
          <w:color w:val="auto"/>
          <w:lang w:val="en-US"/>
        </w:rPr>
        <w:t>C</w:t>
      </w:r>
      <w:r w:rsidR="003534C0" w:rsidRPr="001005B7">
        <w:rPr>
          <w:color w:val="auto"/>
          <w:lang w:val="en-US"/>
        </w:rPr>
        <w:t>ommentary</w:t>
      </w:r>
      <w:r w:rsidR="008A4A51" w:rsidRPr="001005B7">
        <w:rPr>
          <w:color w:val="auto"/>
          <w:lang w:val="en-US"/>
        </w:rPr>
        <w:t xml:space="preserve"> 28. Waco, TX: Word, 1986. </w:t>
      </w:r>
    </w:p>
    <w:p w14:paraId="66D1DC7D" w14:textId="0313FEEA" w:rsidR="00F943DE" w:rsidRPr="001005B7" w:rsidRDefault="00613DC9" w:rsidP="006F5BB0">
      <w:pPr>
        <w:pStyle w:val="ListParagraph"/>
        <w:rPr>
          <w:color w:val="auto"/>
          <w:lang w:val="en-US"/>
        </w:rPr>
      </w:pPr>
      <w:r w:rsidRPr="001005B7">
        <w:rPr>
          <w:color w:val="auto"/>
          <w:lang w:val="en-US"/>
        </w:rPr>
        <w:t>Calvin, Jean</w:t>
      </w:r>
      <w:r w:rsidRPr="001005B7">
        <w:rPr>
          <w:i/>
          <w:color w:val="auto"/>
          <w:lang w:val="en-US"/>
        </w:rPr>
        <w:t xml:space="preserve">. </w:t>
      </w:r>
      <w:r w:rsidR="00943177" w:rsidRPr="001005B7">
        <w:rPr>
          <w:i/>
          <w:color w:val="auto"/>
          <w:lang w:val="en-US"/>
        </w:rPr>
        <w:t>Commentary on Ezekiel</w:t>
      </w:r>
      <w:r w:rsidR="00943177" w:rsidRPr="001005B7">
        <w:rPr>
          <w:color w:val="auto"/>
          <w:lang w:val="en-US"/>
        </w:rPr>
        <w:t xml:space="preserve">. 2 volumes. </w:t>
      </w:r>
      <w:r w:rsidR="00E502AF" w:rsidRPr="001005B7">
        <w:rPr>
          <w:color w:val="auto"/>
          <w:lang w:val="en-US"/>
        </w:rPr>
        <w:t xml:space="preserve">1563. </w:t>
      </w:r>
      <w:r w:rsidR="006D0F52" w:rsidRPr="001005B7">
        <w:rPr>
          <w:color w:val="auto"/>
          <w:lang w:val="en-US"/>
        </w:rPr>
        <w:t>Reprinted Grand Rapids: C</w:t>
      </w:r>
      <w:r w:rsidR="00933267" w:rsidRPr="001005B7">
        <w:rPr>
          <w:color w:val="auto"/>
          <w:lang w:val="en-US"/>
        </w:rPr>
        <w:t>hristian Classics Ethereal Library</w:t>
      </w:r>
      <w:r w:rsidR="006D0F52" w:rsidRPr="001005B7">
        <w:rPr>
          <w:color w:val="auto"/>
          <w:lang w:val="en-US"/>
        </w:rPr>
        <w:t>, no date.</w:t>
      </w:r>
    </w:p>
    <w:p w14:paraId="16426092" w14:textId="3F9B23ED" w:rsidR="005B61F9" w:rsidRPr="001005B7" w:rsidRDefault="00A16846" w:rsidP="006F5BB0">
      <w:pPr>
        <w:pStyle w:val="ListParagraph"/>
        <w:rPr>
          <w:color w:val="auto"/>
          <w:lang w:val="en-US"/>
        </w:rPr>
      </w:pPr>
      <w:r w:rsidRPr="001005B7">
        <w:rPr>
          <w:color w:val="auto"/>
          <w:lang w:val="en-US"/>
        </w:rPr>
        <w:t xml:space="preserve">Carvalho, Corrine L., and Paul V. </w:t>
      </w:r>
      <w:proofErr w:type="spellStart"/>
      <w:r w:rsidRPr="001005B7">
        <w:rPr>
          <w:color w:val="auto"/>
          <w:lang w:val="en-US"/>
        </w:rPr>
        <w:t>Niskanen</w:t>
      </w:r>
      <w:proofErr w:type="spellEnd"/>
      <w:r w:rsidRPr="001005B7">
        <w:rPr>
          <w:color w:val="auto"/>
          <w:lang w:val="en-US"/>
        </w:rPr>
        <w:t>. </w:t>
      </w:r>
      <w:r w:rsidRPr="001005B7">
        <w:rPr>
          <w:i/>
          <w:color w:val="auto"/>
          <w:lang w:val="en-US"/>
        </w:rPr>
        <w:t>Ezekiel, Daniel</w:t>
      </w:r>
      <w:r w:rsidRPr="001005B7">
        <w:rPr>
          <w:color w:val="auto"/>
          <w:lang w:val="en-US"/>
        </w:rPr>
        <w:t>. New Collegeville Bible Commentary. Collegeville</w:t>
      </w:r>
      <w:r w:rsidR="00B8685F" w:rsidRPr="001005B7">
        <w:rPr>
          <w:color w:val="auto"/>
          <w:lang w:val="en-US"/>
        </w:rPr>
        <w:t>, MN</w:t>
      </w:r>
      <w:r w:rsidRPr="001005B7">
        <w:rPr>
          <w:color w:val="auto"/>
          <w:lang w:val="en-US"/>
        </w:rPr>
        <w:t>: Liturgical</w:t>
      </w:r>
      <w:r w:rsidR="00B8685F" w:rsidRPr="001005B7">
        <w:rPr>
          <w:color w:val="auto"/>
          <w:lang w:val="en-US"/>
        </w:rPr>
        <w:t xml:space="preserve"> Press</w:t>
      </w:r>
      <w:r w:rsidRPr="001005B7">
        <w:rPr>
          <w:color w:val="auto"/>
          <w:lang w:val="en-US"/>
        </w:rPr>
        <w:t>, 201</w:t>
      </w:r>
      <w:r w:rsidR="007432DB" w:rsidRPr="001005B7">
        <w:rPr>
          <w:color w:val="auto"/>
          <w:lang w:val="en-US"/>
        </w:rPr>
        <w:t>2</w:t>
      </w:r>
      <w:r w:rsidRPr="001005B7">
        <w:rPr>
          <w:color w:val="auto"/>
          <w:lang w:val="en-US"/>
        </w:rPr>
        <w:t xml:space="preserve">. </w:t>
      </w:r>
    </w:p>
    <w:p w14:paraId="58432C75" w14:textId="77777777" w:rsidR="00E90C1F" w:rsidRPr="001005B7" w:rsidRDefault="00176DF3" w:rsidP="006F5BB0">
      <w:pPr>
        <w:pStyle w:val="ListParagraph"/>
        <w:rPr>
          <w:color w:val="auto"/>
          <w:lang w:val="en-US"/>
        </w:rPr>
      </w:pPr>
      <w:r w:rsidRPr="001005B7">
        <w:rPr>
          <w:color w:val="auto"/>
          <w:lang w:val="en-US"/>
        </w:rPr>
        <w:t xml:space="preserve">Clements, Ronald E. </w:t>
      </w:r>
      <w:r w:rsidRPr="001005B7">
        <w:rPr>
          <w:i/>
          <w:color w:val="auto"/>
          <w:lang w:val="en-US"/>
        </w:rPr>
        <w:t>Ezekiel</w:t>
      </w:r>
      <w:r w:rsidRPr="001005B7">
        <w:rPr>
          <w:color w:val="auto"/>
          <w:lang w:val="en-US"/>
        </w:rPr>
        <w:t>. Westminster Bible Companion. Louisville: Westminster John Knox, 1996.</w:t>
      </w:r>
    </w:p>
    <w:p w14:paraId="049F1D2A" w14:textId="5719B26B" w:rsidR="00D16DD8" w:rsidRPr="001005B7" w:rsidRDefault="00D16DD8" w:rsidP="006F5BB0">
      <w:pPr>
        <w:pStyle w:val="ListParagraph"/>
        <w:rPr>
          <w:color w:val="auto"/>
          <w:lang w:val="en-US"/>
        </w:rPr>
      </w:pPr>
      <w:r w:rsidRPr="001005B7">
        <w:rPr>
          <w:color w:val="auto"/>
          <w:lang w:val="en-US"/>
        </w:rPr>
        <w:t>Cook, S</w:t>
      </w:r>
      <w:r w:rsidR="007A7110" w:rsidRPr="001005B7">
        <w:rPr>
          <w:color w:val="auto"/>
          <w:lang w:val="en-US"/>
        </w:rPr>
        <w:t>te</w:t>
      </w:r>
      <w:r w:rsidR="008B423B" w:rsidRPr="001005B7">
        <w:rPr>
          <w:color w:val="auto"/>
          <w:lang w:val="en-US"/>
        </w:rPr>
        <w:t>phen</w:t>
      </w:r>
      <w:r w:rsidRPr="001005B7">
        <w:rPr>
          <w:color w:val="auto"/>
          <w:lang w:val="en-US"/>
        </w:rPr>
        <w:t xml:space="preserve"> L. </w:t>
      </w:r>
      <w:r w:rsidRPr="001005B7">
        <w:rPr>
          <w:i/>
          <w:iCs/>
          <w:color w:val="auto"/>
          <w:lang w:val="en-US"/>
        </w:rPr>
        <w:t>Ezekiel 38</w:t>
      </w:r>
      <w:r w:rsidR="00F46900" w:rsidRPr="001005B7">
        <w:rPr>
          <w:i/>
          <w:iCs/>
          <w:color w:val="auto"/>
          <w:lang w:val="en-US"/>
        </w:rPr>
        <w:t>–</w:t>
      </w:r>
      <w:r w:rsidRPr="001005B7">
        <w:rPr>
          <w:i/>
          <w:iCs/>
          <w:color w:val="auto"/>
          <w:lang w:val="en-US"/>
        </w:rPr>
        <w:t>48: A New Translation with Introduction and Commentary</w:t>
      </w:r>
      <w:r w:rsidR="00004704" w:rsidRPr="001005B7">
        <w:rPr>
          <w:color w:val="auto"/>
          <w:lang w:val="en-US"/>
        </w:rPr>
        <w:t xml:space="preserve">. </w:t>
      </w:r>
      <w:r w:rsidR="00386340" w:rsidRPr="001005B7">
        <w:rPr>
          <w:color w:val="auto"/>
          <w:lang w:val="en-US"/>
        </w:rPr>
        <w:t xml:space="preserve">The </w:t>
      </w:r>
      <w:r w:rsidRPr="001005B7">
        <w:rPr>
          <w:color w:val="auto"/>
          <w:lang w:val="en-US"/>
        </w:rPr>
        <w:t>A</w:t>
      </w:r>
      <w:r w:rsidR="0090383A" w:rsidRPr="001005B7">
        <w:rPr>
          <w:color w:val="auto"/>
          <w:lang w:val="en-US"/>
        </w:rPr>
        <w:t xml:space="preserve">nchor </w:t>
      </w:r>
      <w:r w:rsidRPr="001005B7">
        <w:rPr>
          <w:color w:val="auto"/>
          <w:lang w:val="en-US"/>
        </w:rPr>
        <w:t>Y</w:t>
      </w:r>
      <w:r w:rsidR="00B41CBE" w:rsidRPr="001005B7">
        <w:rPr>
          <w:color w:val="auto"/>
          <w:lang w:val="en-US"/>
        </w:rPr>
        <w:t xml:space="preserve">ale </w:t>
      </w:r>
      <w:r w:rsidRPr="001005B7">
        <w:rPr>
          <w:color w:val="auto"/>
          <w:lang w:val="en-US"/>
        </w:rPr>
        <w:t>B</w:t>
      </w:r>
      <w:r w:rsidR="00B41CBE" w:rsidRPr="001005B7">
        <w:rPr>
          <w:color w:val="auto"/>
          <w:lang w:val="en-US"/>
        </w:rPr>
        <w:t>ible</w:t>
      </w:r>
      <w:r w:rsidRPr="001005B7">
        <w:rPr>
          <w:color w:val="auto"/>
          <w:lang w:val="en-US"/>
        </w:rPr>
        <w:t xml:space="preserve"> 22B</w:t>
      </w:r>
      <w:r w:rsidR="00004704" w:rsidRPr="001005B7">
        <w:rPr>
          <w:color w:val="auto"/>
          <w:lang w:val="en-US"/>
        </w:rPr>
        <w:t>.</w:t>
      </w:r>
      <w:r w:rsidRPr="001005B7">
        <w:rPr>
          <w:color w:val="auto"/>
          <w:lang w:val="en-US"/>
        </w:rPr>
        <w:t xml:space="preserve"> New Haven, CT: Yale University Press, 2018</w:t>
      </w:r>
      <w:r w:rsidR="00E90C1F" w:rsidRPr="001005B7">
        <w:rPr>
          <w:color w:val="auto"/>
          <w:lang w:val="en-US"/>
        </w:rPr>
        <w:t>.</w:t>
      </w:r>
    </w:p>
    <w:p w14:paraId="10755223" w14:textId="2D6BE87E" w:rsidR="005A20EC" w:rsidRPr="001005B7" w:rsidRDefault="00F96DB1" w:rsidP="006F5BB0">
      <w:pPr>
        <w:pStyle w:val="ListParagraph"/>
        <w:rPr>
          <w:color w:val="auto"/>
          <w:lang w:val="en-US"/>
        </w:rPr>
      </w:pPr>
      <w:r w:rsidRPr="001005B7">
        <w:rPr>
          <w:color w:val="auto"/>
          <w:lang w:val="en-US"/>
        </w:rPr>
        <w:t>Cooke, G</w:t>
      </w:r>
      <w:r w:rsidR="00E200E8" w:rsidRPr="001005B7">
        <w:rPr>
          <w:color w:val="auto"/>
          <w:lang w:val="en-US"/>
        </w:rPr>
        <w:t>eorge</w:t>
      </w:r>
      <w:r w:rsidRPr="001005B7">
        <w:rPr>
          <w:color w:val="auto"/>
          <w:lang w:val="en-US"/>
        </w:rPr>
        <w:t xml:space="preserve"> A</w:t>
      </w:r>
      <w:r w:rsidR="00E200E8" w:rsidRPr="001005B7">
        <w:rPr>
          <w:color w:val="auto"/>
          <w:lang w:val="en-US"/>
        </w:rPr>
        <w:t>lbert</w:t>
      </w:r>
      <w:r w:rsidRPr="001005B7">
        <w:rPr>
          <w:color w:val="auto"/>
          <w:lang w:val="en-US"/>
        </w:rPr>
        <w:t>. </w:t>
      </w:r>
      <w:r w:rsidRPr="001005B7">
        <w:rPr>
          <w:i/>
          <w:color w:val="auto"/>
          <w:lang w:val="en-US"/>
        </w:rPr>
        <w:t>A Critical and Exegetical Commentary on the Book of Ezekiel</w:t>
      </w:r>
      <w:r w:rsidRPr="001005B7">
        <w:rPr>
          <w:color w:val="auto"/>
          <w:lang w:val="en-US"/>
        </w:rPr>
        <w:t>. International Critical Commentary. Edinburgh: Clark, 1936.</w:t>
      </w:r>
    </w:p>
    <w:p w14:paraId="31B1D365" w14:textId="77777777" w:rsidR="00D93D96" w:rsidRPr="001005B7" w:rsidRDefault="005A20EC" w:rsidP="006F5BB0">
      <w:pPr>
        <w:pStyle w:val="ListParagraph"/>
        <w:rPr>
          <w:color w:val="auto"/>
          <w:lang w:val="en-US"/>
        </w:rPr>
      </w:pPr>
      <w:r w:rsidRPr="001005B7">
        <w:rPr>
          <w:color w:val="auto"/>
          <w:lang w:val="en-US"/>
        </w:rPr>
        <w:t xml:space="preserve">Cooper, Lamar Eugene. </w:t>
      </w:r>
      <w:r w:rsidRPr="001005B7">
        <w:rPr>
          <w:i/>
          <w:color w:val="auto"/>
          <w:lang w:val="en-US"/>
        </w:rPr>
        <w:t>Ezekiel: An Exegetical and Theological Exposition of Holy Scripture</w:t>
      </w:r>
      <w:r w:rsidRPr="001005B7">
        <w:rPr>
          <w:color w:val="auto"/>
          <w:lang w:val="en-US"/>
        </w:rPr>
        <w:t>. New American Commentary 17. Nashville: Broadman, 1994.</w:t>
      </w:r>
    </w:p>
    <w:p w14:paraId="01B4D36C" w14:textId="0F2DB527" w:rsidR="00D92B34" w:rsidRPr="001005B7" w:rsidRDefault="00D92B34" w:rsidP="006F5BB0">
      <w:pPr>
        <w:pStyle w:val="ListParagraph"/>
        <w:rPr>
          <w:color w:val="auto"/>
          <w:lang w:val="en-US"/>
        </w:rPr>
      </w:pPr>
      <w:proofErr w:type="spellStart"/>
      <w:r w:rsidRPr="001005B7">
        <w:rPr>
          <w:color w:val="auto"/>
          <w:lang w:val="en-US"/>
        </w:rPr>
        <w:t>Cornill</w:t>
      </w:r>
      <w:proofErr w:type="spellEnd"/>
      <w:r w:rsidRPr="001005B7">
        <w:rPr>
          <w:color w:val="auto"/>
          <w:lang w:val="en-US"/>
        </w:rPr>
        <w:t xml:space="preserve">, </w:t>
      </w:r>
      <w:r w:rsidR="0020227C" w:rsidRPr="001005B7">
        <w:rPr>
          <w:color w:val="auto"/>
          <w:lang w:val="en-US"/>
        </w:rPr>
        <w:t xml:space="preserve">Carl Heinrich. </w:t>
      </w:r>
      <w:r w:rsidR="0020227C" w:rsidRPr="001005B7">
        <w:rPr>
          <w:i/>
          <w:color w:val="auto"/>
          <w:lang w:val="en-US"/>
        </w:rPr>
        <w:t xml:space="preserve">Das Buch des </w:t>
      </w:r>
      <w:proofErr w:type="spellStart"/>
      <w:r w:rsidR="0020227C" w:rsidRPr="001005B7">
        <w:rPr>
          <w:i/>
          <w:color w:val="auto"/>
          <w:lang w:val="en-US"/>
        </w:rPr>
        <w:t>Prophet</w:t>
      </w:r>
      <w:r w:rsidR="00A3340E" w:rsidRPr="001005B7">
        <w:rPr>
          <w:i/>
          <w:color w:val="auto"/>
          <w:lang w:val="en-US"/>
        </w:rPr>
        <w:t>en</w:t>
      </w:r>
      <w:proofErr w:type="spellEnd"/>
      <w:r w:rsidR="00A3340E" w:rsidRPr="001005B7">
        <w:rPr>
          <w:i/>
          <w:color w:val="auto"/>
          <w:lang w:val="en-US"/>
        </w:rPr>
        <w:t xml:space="preserve"> Ezechiel</w:t>
      </w:r>
      <w:r w:rsidR="00A3340E" w:rsidRPr="001005B7">
        <w:rPr>
          <w:color w:val="auto"/>
          <w:lang w:val="en-US"/>
        </w:rPr>
        <w:t>.</w:t>
      </w:r>
      <w:r w:rsidR="0020227C" w:rsidRPr="001005B7">
        <w:rPr>
          <w:color w:val="auto"/>
          <w:lang w:val="en-US"/>
        </w:rPr>
        <w:t xml:space="preserve"> </w:t>
      </w:r>
      <w:r w:rsidR="008D7C90" w:rsidRPr="001005B7">
        <w:rPr>
          <w:color w:val="auto"/>
          <w:lang w:val="en-US"/>
        </w:rPr>
        <w:t xml:space="preserve">Leipzig: Hinrich, </w:t>
      </w:r>
      <w:r w:rsidR="00624D51" w:rsidRPr="001005B7">
        <w:rPr>
          <w:color w:val="auto"/>
          <w:lang w:val="en-US"/>
        </w:rPr>
        <w:t>1886.</w:t>
      </w:r>
    </w:p>
    <w:p w14:paraId="7C145B20" w14:textId="67B7B490" w:rsidR="006A3017" w:rsidRPr="001005B7" w:rsidRDefault="00D93D96" w:rsidP="006F5BB0">
      <w:pPr>
        <w:pStyle w:val="ListParagraph"/>
        <w:rPr>
          <w:color w:val="auto"/>
          <w:lang w:val="en-US"/>
        </w:rPr>
      </w:pPr>
      <w:proofErr w:type="spellStart"/>
      <w:r w:rsidRPr="001005B7">
        <w:rPr>
          <w:color w:val="auto"/>
          <w:lang w:val="en-US"/>
        </w:rPr>
        <w:t>Darr</w:t>
      </w:r>
      <w:proofErr w:type="spellEnd"/>
      <w:r w:rsidRPr="001005B7">
        <w:rPr>
          <w:color w:val="auto"/>
          <w:lang w:val="en-US"/>
        </w:rPr>
        <w:t xml:space="preserve">, Katheryn </w:t>
      </w:r>
      <w:proofErr w:type="spellStart"/>
      <w:r w:rsidRPr="001005B7">
        <w:rPr>
          <w:color w:val="auto"/>
          <w:lang w:val="en-US"/>
        </w:rPr>
        <w:t>Pfisterer</w:t>
      </w:r>
      <w:proofErr w:type="spellEnd"/>
      <w:r w:rsidRPr="001005B7">
        <w:rPr>
          <w:color w:val="auto"/>
          <w:lang w:val="en-US"/>
        </w:rPr>
        <w:t>. "The Book of Ezekiel: Introduction, Commentary, and Reflections." In L. E. Keck, ed., </w:t>
      </w:r>
      <w:r w:rsidRPr="001005B7">
        <w:rPr>
          <w:i/>
          <w:color w:val="auto"/>
          <w:lang w:val="en-US"/>
        </w:rPr>
        <w:t>The New Interpreter's Bible</w:t>
      </w:r>
      <w:r w:rsidRPr="001005B7">
        <w:rPr>
          <w:color w:val="auto"/>
          <w:lang w:val="en-US"/>
        </w:rPr>
        <w:t xml:space="preserve"> 6:1073</w:t>
      </w:r>
      <w:r w:rsidR="00F46900" w:rsidRPr="001005B7">
        <w:rPr>
          <w:color w:val="auto"/>
          <w:lang w:val="en-US"/>
        </w:rPr>
        <w:t>–</w:t>
      </w:r>
      <w:r w:rsidRPr="001005B7">
        <w:rPr>
          <w:color w:val="auto"/>
          <w:lang w:val="en-US"/>
        </w:rPr>
        <w:t>1607. Nashville: Abingdon, 2001.</w:t>
      </w:r>
    </w:p>
    <w:p w14:paraId="3CF79D43" w14:textId="77777777" w:rsidR="00C557BA" w:rsidRPr="001005B7" w:rsidRDefault="006A3017" w:rsidP="006F5BB0">
      <w:pPr>
        <w:pStyle w:val="ListParagraph"/>
        <w:rPr>
          <w:color w:val="auto"/>
          <w:lang w:val="en-US"/>
        </w:rPr>
      </w:pPr>
      <w:r w:rsidRPr="001005B7">
        <w:rPr>
          <w:color w:val="auto"/>
          <w:lang w:val="en-US"/>
        </w:rPr>
        <w:t>Davidson, A</w:t>
      </w:r>
      <w:r w:rsidR="009123D6" w:rsidRPr="001005B7">
        <w:rPr>
          <w:color w:val="auto"/>
          <w:lang w:val="en-US"/>
        </w:rPr>
        <w:t>ndrew</w:t>
      </w:r>
      <w:r w:rsidRPr="001005B7">
        <w:rPr>
          <w:color w:val="auto"/>
          <w:lang w:val="en-US"/>
        </w:rPr>
        <w:t xml:space="preserve"> B</w:t>
      </w:r>
      <w:r w:rsidR="009123D6" w:rsidRPr="001005B7">
        <w:rPr>
          <w:color w:val="auto"/>
          <w:lang w:val="en-US"/>
        </w:rPr>
        <w:t>ruce</w:t>
      </w:r>
      <w:r w:rsidRPr="001005B7">
        <w:rPr>
          <w:color w:val="auto"/>
          <w:lang w:val="en-US"/>
        </w:rPr>
        <w:t>. </w:t>
      </w:r>
      <w:r w:rsidRPr="001005B7">
        <w:rPr>
          <w:i/>
          <w:color w:val="auto"/>
          <w:lang w:val="en-US"/>
        </w:rPr>
        <w:t>The Book of the Prophet Ezekiel, with Notes and Introduction</w:t>
      </w:r>
      <w:r w:rsidRPr="001005B7">
        <w:rPr>
          <w:color w:val="auto"/>
          <w:lang w:val="en-US"/>
        </w:rPr>
        <w:t>. Cambridge Bible for Schools and Colleges. Cambridge: Cambridge University Press, 1892.</w:t>
      </w:r>
    </w:p>
    <w:p w14:paraId="13A7F7D8" w14:textId="2CCFDA54" w:rsidR="00C557BA" w:rsidRPr="001005B7" w:rsidRDefault="00C557BA" w:rsidP="006F5BB0">
      <w:pPr>
        <w:pStyle w:val="ListParagraph"/>
        <w:rPr>
          <w:color w:val="auto"/>
          <w:lang w:val="en-US"/>
        </w:rPr>
      </w:pPr>
      <w:r w:rsidRPr="001005B7">
        <w:rPr>
          <w:color w:val="auto"/>
          <w:lang w:val="en-US"/>
        </w:rPr>
        <w:t xml:space="preserve">[Davies], Lady Eleanor. </w:t>
      </w:r>
      <w:r w:rsidRPr="001005B7">
        <w:rPr>
          <w:i/>
          <w:color w:val="auto"/>
          <w:lang w:val="en-US"/>
        </w:rPr>
        <w:t>Ezekiel the Prophet</w:t>
      </w:r>
      <w:r w:rsidRPr="001005B7">
        <w:rPr>
          <w:color w:val="auto"/>
          <w:lang w:val="en-US"/>
        </w:rPr>
        <w:t>. London: 1647.</w:t>
      </w:r>
    </w:p>
    <w:p w14:paraId="5864E2F4" w14:textId="77777777" w:rsidR="007B0276" w:rsidRDefault="001F0757" w:rsidP="007B0276">
      <w:pPr>
        <w:pStyle w:val="ListParagraph"/>
        <w:rPr>
          <w:color w:val="auto"/>
          <w:lang w:val="en-US"/>
        </w:rPr>
      </w:pPr>
      <w:r w:rsidRPr="001005B7">
        <w:rPr>
          <w:color w:val="auto"/>
          <w:lang w:val="en-US"/>
        </w:rPr>
        <w:t>Duguid, Iain. M. </w:t>
      </w:r>
      <w:r w:rsidRPr="001005B7">
        <w:rPr>
          <w:i/>
          <w:color w:val="auto"/>
          <w:lang w:val="en-US"/>
        </w:rPr>
        <w:t>Ezekiel</w:t>
      </w:r>
      <w:r w:rsidRPr="001005B7">
        <w:rPr>
          <w:color w:val="auto"/>
          <w:lang w:val="en-US"/>
        </w:rPr>
        <w:t>. The NIV Application Commentary. Grand Rapids: Zondervan, 1999.</w:t>
      </w:r>
    </w:p>
    <w:p w14:paraId="76BAEEA4" w14:textId="1D55FFE7" w:rsidR="00074E20" w:rsidRPr="0063365D" w:rsidRDefault="00267408" w:rsidP="007B0276">
      <w:pPr>
        <w:pStyle w:val="ListParagraph"/>
        <w:rPr>
          <w:color w:val="auto"/>
          <w:lang w:val="en-US"/>
        </w:rPr>
      </w:pPr>
      <w:r w:rsidRPr="00074E20">
        <w:rPr>
          <w:color w:val="auto"/>
          <w:lang w:val="en-US"/>
        </w:rPr>
        <w:t>Ehr</w:t>
      </w:r>
      <w:r w:rsidR="00DB1962" w:rsidRPr="00074E20">
        <w:rPr>
          <w:color w:val="auto"/>
          <w:lang w:val="en-US"/>
        </w:rPr>
        <w:t xml:space="preserve">lich, </w:t>
      </w:r>
      <w:r w:rsidR="000B6F90" w:rsidRPr="00074E20">
        <w:rPr>
          <w:color w:val="auto"/>
          <w:lang w:val="en-US"/>
        </w:rPr>
        <w:t xml:space="preserve">Arnold B. </w:t>
      </w:r>
      <w:r w:rsidR="00074E20" w:rsidRPr="00074E20">
        <w:rPr>
          <w:rStyle w:val="Strong"/>
          <w:rFonts w:eastAsiaTheme="majorEastAsia"/>
          <w:b w:val="0"/>
          <w:bCs w:val="0"/>
        </w:rPr>
        <w:t>Ran</w:t>
      </w:r>
      <w:r w:rsidR="00074E20" w:rsidRPr="0063365D">
        <w:rPr>
          <w:rStyle w:val="Strong"/>
          <w:rFonts w:eastAsiaTheme="majorEastAsia"/>
          <w:b w:val="0"/>
          <w:bCs w:val="0"/>
          <w:i/>
          <w:iCs/>
        </w:rPr>
        <w:t>dglossen</w:t>
      </w:r>
      <w:r w:rsidR="00074E20" w:rsidRPr="0063365D">
        <w:rPr>
          <w:i/>
          <w:iCs/>
        </w:rPr>
        <w:t xml:space="preserve"> zur </w:t>
      </w:r>
      <w:proofErr w:type="spellStart"/>
      <w:r w:rsidR="00074E20" w:rsidRPr="0063365D">
        <w:rPr>
          <w:i/>
          <w:iCs/>
        </w:rPr>
        <w:t>Hebräischen</w:t>
      </w:r>
      <w:proofErr w:type="spellEnd"/>
      <w:r w:rsidR="00074E20" w:rsidRPr="0063365D">
        <w:rPr>
          <w:i/>
          <w:iCs/>
        </w:rPr>
        <w:t xml:space="preserve"> Bibel; textkritisches, sprachliches und sachliches</w:t>
      </w:r>
      <w:r w:rsidR="007B0276" w:rsidRPr="0063365D">
        <w:rPr>
          <w:i/>
          <w:iCs/>
        </w:rPr>
        <w:t xml:space="preserve">. </w:t>
      </w:r>
      <w:r w:rsidR="0063365D">
        <w:t xml:space="preserve">Volume 5. </w:t>
      </w:r>
      <w:r w:rsidR="00996290" w:rsidRPr="001005B7">
        <w:rPr>
          <w:color w:val="auto"/>
          <w:lang w:val="en-US"/>
        </w:rPr>
        <w:t>Leipzig: Hinrich, 1</w:t>
      </w:r>
      <w:r w:rsidR="00996290">
        <w:rPr>
          <w:color w:val="auto"/>
          <w:lang w:val="en-US"/>
        </w:rPr>
        <w:t>912.</w:t>
      </w:r>
    </w:p>
    <w:p w14:paraId="27757F7E" w14:textId="11ABA19C" w:rsidR="00971A78" w:rsidRPr="001005B7" w:rsidRDefault="00F44139" w:rsidP="006F5BB0">
      <w:pPr>
        <w:pStyle w:val="ListParagraph"/>
        <w:rPr>
          <w:color w:val="auto"/>
          <w:lang w:val="en-US"/>
        </w:rPr>
      </w:pPr>
      <w:proofErr w:type="spellStart"/>
      <w:r w:rsidRPr="001005B7">
        <w:rPr>
          <w:color w:val="auto"/>
          <w:lang w:val="en-US"/>
        </w:rPr>
        <w:t>Eichrodt</w:t>
      </w:r>
      <w:proofErr w:type="spellEnd"/>
      <w:r w:rsidRPr="001005B7">
        <w:rPr>
          <w:color w:val="auto"/>
          <w:lang w:val="en-US"/>
        </w:rPr>
        <w:t xml:space="preserve">, Walther. </w:t>
      </w:r>
      <w:r w:rsidRPr="001005B7">
        <w:rPr>
          <w:i/>
          <w:color w:val="auto"/>
          <w:lang w:val="en-US"/>
        </w:rPr>
        <w:t>Ezekiel: A Commentary</w:t>
      </w:r>
      <w:r w:rsidRPr="001005B7">
        <w:rPr>
          <w:color w:val="auto"/>
          <w:lang w:val="en-US"/>
        </w:rPr>
        <w:t>. O</w:t>
      </w:r>
      <w:r w:rsidR="00177EA7" w:rsidRPr="001005B7">
        <w:rPr>
          <w:color w:val="auto"/>
          <w:lang w:val="en-US"/>
        </w:rPr>
        <w:t>TL</w:t>
      </w:r>
      <w:r w:rsidRPr="001005B7">
        <w:rPr>
          <w:color w:val="auto"/>
          <w:lang w:val="en-US"/>
        </w:rPr>
        <w:t>. London: SCM, 1970.</w:t>
      </w:r>
    </w:p>
    <w:p w14:paraId="53129B4B" w14:textId="77777777" w:rsidR="00AD5ED0" w:rsidRPr="001005B7" w:rsidRDefault="00971A78" w:rsidP="006F5BB0">
      <w:pPr>
        <w:pStyle w:val="ListParagraph"/>
        <w:rPr>
          <w:color w:val="auto"/>
          <w:lang w:val="en-US"/>
        </w:rPr>
      </w:pPr>
      <w:r w:rsidRPr="001005B7">
        <w:rPr>
          <w:color w:val="auto"/>
          <w:lang w:val="en-US"/>
        </w:rPr>
        <w:t>Ellison, H</w:t>
      </w:r>
      <w:r w:rsidR="00F4044F" w:rsidRPr="001005B7">
        <w:rPr>
          <w:color w:val="auto"/>
          <w:lang w:val="en-US"/>
        </w:rPr>
        <w:t>enry</w:t>
      </w:r>
      <w:r w:rsidRPr="001005B7">
        <w:rPr>
          <w:color w:val="auto"/>
          <w:lang w:val="en-US"/>
        </w:rPr>
        <w:t xml:space="preserve"> L. </w:t>
      </w:r>
      <w:r w:rsidRPr="001005B7">
        <w:rPr>
          <w:i/>
          <w:color w:val="auto"/>
          <w:lang w:val="en-US"/>
        </w:rPr>
        <w:t>Ezekiel: The Man and His Message</w:t>
      </w:r>
      <w:r w:rsidRPr="001005B7">
        <w:rPr>
          <w:color w:val="auto"/>
          <w:lang w:val="en-US"/>
        </w:rPr>
        <w:t>. Reprinted Exeter: Paternoster, 1967</w:t>
      </w:r>
      <w:r w:rsidR="00261830" w:rsidRPr="001005B7">
        <w:rPr>
          <w:color w:val="auto"/>
          <w:lang w:val="en-US"/>
        </w:rPr>
        <w:t>.</w:t>
      </w:r>
    </w:p>
    <w:p w14:paraId="366B6D9A" w14:textId="00E1481D" w:rsidR="00F007A0" w:rsidRPr="001005B7" w:rsidRDefault="00F007A0" w:rsidP="006F5BB0">
      <w:pPr>
        <w:pStyle w:val="ListParagraph"/>
        <w:rPr>
          <w:color w:val="auto"/>
          <w:lang w:val="en-US"/>
        </w:rPr>
      </w:pPr>
      <w:r w:rsidRPr="001005B7">
        <w:rPr>
          <w:color w:val="auto"/>
          <w:lang w:val="en-US"/>
        </w:rPr>
        <w:t>von Ewald, Georg Heinrich August. </w:t>
      </w:r>
      <w:proofErr w:type="spellStart"/>
      <w:r w:rsidR="000B4C5C" w:rsidRPr="001005B7">
        <w:rPr>
          <w:i/>
          <w:color w:val="auto"/>
          <w:lang w:val="en-US"/>
        </w:rPr>
        <w:t>Hézeqiél</w:t>
      </w:r>
      <w:proofErr w:type="spellEnd"/>
      <w:r w:rsidR="000B4C5C" w:rsidRPr="001005B7">
        <w:rPr>
          <w:i/>
          <w:color w:val="auto"/>
          <w:lang w:val="en-US"/>
        </w:rPr>
        <w:t>, "</w:t>
      </w:r>
      <w:proofErr w:type="spellStart"/>
      <w:r w:rsidR="000B4C5C" w:rsidRPr="001005B7">
        <w:rPr>
          <w:i/>
          <w:color w:val="auto"/>
          <w:lang w:val="en-US"/>
        </w:rPr>
        <w:t>Yesaya</w:t>
      </w:r>
      <w:proofErr w:type="spellEnd"/>
      <w:r w:rsidR="000B4C5C" w:rsidRPr="001005B7">
        <w:rPr>
          <w:i/>
          <w:color w:val="auto"/>
          <w:lang w:val="en-US"/>
        </w:rPr>
        <w:t>," xl.-lxvi</w:t>
      </w:r>
      <w:r w:rsidR="000B4C5C" w:rsidRPr="001005B7">
        <w:rPr>
          <w:color w:val="auto"/>
          <w:lang w:val="en-US"/>
        </w:rPr>
        <w:t xml:space="preserve">. </w:t>
      </w:r>
      <w:r w:rsidRPr="001005B7">
        <w:rPr>
          <w:color w:val="auto"/>
          <w:lang w:val="en-US"/>
        </w:rPr>
        <w:t>Commentary on the Prophets of the Old Testament</w:t>
      </w:r>
      <w:r w:rsidR="007677F9" w:rsidRPr="001005B7">
        <w:rPr>
          <w:color w:val="auto"/>
          <w:lang w:val="en-US"/>
        </w:rPr>
        <w:t xml:space="preserve"> Vol. IV</w:t>
      </w:r>
      <w:r w:rsidRPr="001005B7">
        <w:rPr>
          <w:color w:val="auto"/>
          <w:lang w:val="en-US"/>
        </w:rPr>
        <w:t>.</w:t>
      </w:r>
      <w:r w:rsidR="00E908ED" w:rsidRPr="001005B7">
        <w:rPr>
          <w:color w:val="auto"/>
          <w:lang w:val="en-US"/>
        </w:rPr>
        <w:t xml:space="preserve"> </w:t>
      </w:r>
      <w:r w:rsidR="004E1BE2" w:rsidRPr="001005B7">
        <w:rPr>
          <w:color w:val="auto"/>
          <w:lang w:val="en-US"/>
        </w:rPr>
        <w:t>Translated by J. Frederick Smith</w:t>
      </w:r>
      <w:r w:rsidR="00A77973" w:rsidRPr="001005B7">
        <w:rPr>
          <w:color w:val="auto"/>
          <w:lang w:val="en-US"/>
        </w:rPr>
        <w:t>.</w:t>
      </w:r>
      <w:r w:rsidR="004E1BE2" w:rsidRPr="001005B7">
        <w:rPr>
          <w:color w:val="auto"/>
          <w:lang w:val="en-US"/>
        </w:rPr>
        <w:t xml:space="preserve"> </w:t>
      </w:r>
      <w:r w:rsidRPr="001005B7">
        <w:rPr>
          <w:color w:val="auto"/>
          <w:lang w:val="en-US"/>
        </w:rPr>
        <w:t>London: Williams and Norgate, 1880.</w:t>
      </w:r>
    </w:p>
    <w:p w14:paraId="135458FC" w14:textId="77777777" w:rsidR="000E52B0" w:rsidRPr="001005B7" w:rsidRDefault="00261830" w:rsidP="006F5BB0">
      <w:pPr>
        <w:pStyle w:val="ListParagraph"/>
        <w:rPr>
          <w:color w:val="auto"/>
          <w:lang w:val="en-US"/>
        </w:rPr>
      </w:pPr>
      <w:r w:rsidRPr="001005B7">
        <w:rPr>
          <w:color w:val="auto"/>
          <w:lang w:val="en-US"/>
        </w:rPr>
        <w:t>Fairbairn, Patrick. </w:t>
      </w:r>
      <w:r w:rsidRPr="001005B7">
        <w:rPr>
          <w:i/>
          <w:iCs/>
          <w:color w:val="auto"/>
          <w:lang w:val="en-US"/>
        </w:rPr>
        <w:t>Ezekiel, and the Book of his Prophecy: An Exposition</w:t>
      </w:r>
      <w:r w:rsidRPr="001005B7">
        <w:rPr>
          <w:color w:val="auto"/>
          <w:lang w:val="en-US"/>
        </w:rPr>
        <w:t>. Second ed. Edinburgh: T&amp;T Clark, 1855.</w:t>
      </w:r>
    </w:p>
    <w:p w14:paraId="51CC0DAB" w14:textId="4288C0AC" w:rsidR="00222122" w:rsidRPr="001005B7" w:rsidRDefault="00222122" w:rsidP="006F5BB0">
      <w:pPr>
        <w:pStyle w:val="ListParagraph"/>
        <w:rPr>
          <w:color w:val="auto"/>
          <w:lang w:val="en-US"/>
        </w:rPr>
      </w:pPr>
      <w:proofErr w:type="spellStart"/>
      <w:r w:rsidRPr="001005B7">
        <w:rPr>
          <w:color w:val="auto"/>
          <w:lang w:val="en-US"/>
        </w:rPr>
        <w:t>Fishbane</w:t>
      </w:r>
      <w:proofErr w:type="spellEnd"/>
      <w:r w:rsidRPr="001005B7">
        <w:rPr>
          <w:color w:val="auto"/>
          <w:lang w:val="en-US"/>
        </w:rPr>
        <w:t xml:space="preserve">, Michael. </w:t>
      </w:r>
      <w:r w:rsidRPr="001005B7">
        <w:rPr>
          <w:i/>
          <w:iCs/>
          <w:color w:val="auto"/>
          <w:lang w:val="en-US"/>
        </w:rPr>
        <w:t xml:space="preserve">The JPS Bible Commentary: </w:t>
      </w:r>
      <w:proofErr w:type="spellStart"/>
      <w:r w:rsidRPr="001005B7">
        <w:rPr>
          <w:i/>
          <w:iCs/>
          <w:color w:val="auto"/>
          <w:lang w:val="en-US"/>
        </w:rPr>
        <w:t>Haftarot</w:t>
      </w:r>
      <w:proofErr w:type="spellEnd"/>
      <w:r w:rsidRPr="001005B7">
        <w:rPr>
          <w:color w:val="auto"/>
          <w:lang w:val="en-US"/>
        </w:rPr>
        <w:t>. Philadelphia: JPS, 2002.</w:t>
      </w:r>
    </w:p>
    <w:p w14:paraId="28C729F4" w14:textId="74ECBAD0" w:rsidR="00D6479C" w:rsidRPr="00200723" w:rsidRDefault="00C35FC9" w:rsidP="006F5BB0">
      <w:pPr>
        <w:pStyle w:val="ListParagraph"/>
        <w:rPr>
          <w:color w:val="auto"/>
          <w:lang w:val="en-US"/>
        </w:rPr>
      </w:pPr>
      <w:r w:rsidRPr="001005B7">
        <w:rPr>
          <w:color w:val="auto"/>
          <w:lang w:val="en-US"/>
        </w:rPr>
        <w:t xml:space="preserve">Ganzel, Tova. </w:t>
      </w:r>
      <w:r w:rsidR="00D6479C">
        <w:rPr>
          <w:i/>
          <w:iCs/>
          <w:color w:val="auto"/>
          <w:lang w:val="en-US"/>
        </w:rPr>
        <w:t>Ezekiel: From Destruction to Restoration</w:t>
      </w:r>
      <w:r w:rsidR="00200723">
        <w:rPr>
          <w:color w:val="auto"/>
          <w:lang w:val="en-US"/>
        </w:rPr>
        <w:t xml:space="preserve">. Trans. </w:t>
      </w:r>
      <w:proofErr w:type="spellStart"/>
      <w:r w:rsidR="00200723">
        <w:rPr>
          <w:color w:val="auto"/>
          <w:lang w:val="en-US"/>
        </w:rPr>
        <w:t>Kaeren</w:t>
      </w:r>
      <w:proofErr w:type="spellEnd"/>
      <w:r w:rsidR="00200723">
        <w:rPr>
          <w:color w:val="auto"/>
          <w:lang w:val="en-US"/>
        </w:rPr>
        <w:t xml:space="preserve"> Fish. </w:t>
      </w:r>
      <w:r w:rsidR="00056107">
        <w:rPr>
          <w:color w:val="auto"/>
          <w:lang w:val="en-US"/>
        </w:rPr>
        <w:t>New Milford, CT: Maggid, 2020.</w:t>
      </w:r>
    </w:p>
    <w:p w14:paraId="27FDD585" w14:textId="4A0AE832" w:rsidR="00C35FC9" w:rsidRPr="001005B7" w:rsidRDefault="00B313EB" w:rsidP="006F5BB0">
      <w:pPr>
        <w:pStyle w:val="ListParagraph"/>
        <w:rPr>
          <w:color w:val="auto"/>
          <w:lang w:val="en-US"/>
        </w:rPr>
      </w:pPr>
      <w:r w:rsidRPr="001005B7">
        <w:rPr>
          <w:i/>
          <w:iCs/>
          <w:color w:val="auto"/>
          <w:lang w:val="en-US"/>
        </w:rPr>
        <w:t xml:space="preserve">––– </w:t>
      </w:r>
      <w:r w:rsidR="005A740F" w:rsidRPr="001005B7">
        <w:rPr>
          <w:color w:val="auto"/>
          <w:lang w:val="en-US"/>
        </w:rPr>
        <w:t>“</w:t>
      </w:r>
      <w:r w:rsidR="00A45FB4" w:rsidRPr="001005B7">
        <w:rPr>
          <w:color w:val="auto"/>
          <w:rtl/>
          <w:lang w:val="en-US" w:bidi="he-IL"/>
        </w:rPr>
        <w:t>י</w:t>
      </w:r>
      <w:r w:rsidR="0054758E" w:rsidRPr="001005B7">
        <w:rPr>
          <w:color w:val="auto"/>
          <w:rtl/>
          <w:lang w:val="en-US" w:bidi="he-IL"/>
        </w:rPr>
        <w:t>חזקאל</w:t>
      </w:r>
      <w:r w:rsidR="005A740F" w:rsidRPr="001005B7">
        <w:rPr>
          <w:color w:val="auto"/>
          <w:lang w:val="en-US"/>
        </w:rPr>
        <w:t xml:space="preserve"> </w:t>
      </w:r>
      <w:r w:rsidR="00A45FB4" w:rsidRPr="001005B7">
        <w:rPr>
          <w:color w:val="auto"/>
          <w:lang w:val="en-US"/>
        </w:rPr>
        <w:t xml:space="preserve">Ezekiel.” </w:t>
      </w:r>
      <w:r w:rsidR="00BE7C04" w:rsidRPr="001005B7">
        <w:rPr>
          <w:color w:val="auto"/>
          <w:lang w:val="en-US"/>
        </w:rPr>
        <w:t xml:space="preserve">In Adele Berlin and Marc </w:t>
      </w:r>
      <w:proofErr w:type="spellStart"/>
      <w:r w:rsidR="00BE7C04" w:rsidRPr="001005B7">
        <w:rPr>
          <w:color w:val="auto"/>
          <w:lang w:val="en-US"/>
        </w:rPr>
        <w:t>Zvi</w:t>
      </w:r>
      <w:proofErr w:type="spellEnd"/>
      <w:r w:rsidR="00BE7C04" w:rsidRPr="001005B7">
        <w:rPr>
          <w:color w:val="auto"/>
          <w:lang w:val="en-US"/>
        </w:rPr>
        <w:t xml:space="preserve"> </w:t>
      </w:r>
      <w:proofErr w:type="spellStart"/>
      <w:r w:rsidR="00BE7C04" w:rsidRPr="001005B7">
        <w:rPr>
          <w:color w:val="auto"/>
          <w:lang w:val="en-US"/>
        </w:rPr>
        <w:t>Brettler</w:t>
      </w:r>
      <w:proofErr w:type="spellEnd"/>
      <w:r w:rsidR="00BE7C04" w:rsidRPr="001005B7">
        <w:rPr>
          <w:color w:val="auto"/>
          <w:lang w:val="en-US"/>
        </w:rPr>
        <w:t xml:space="preserve">, ed., </w:t>
      </w:r>
      <w:r w:rsidR="00E40225" w:rsidRPr="001005B7">
        <w:rPr>
          <w:i/>
          <w:iCs/>
          <w:color w:val="auto"/>
          <w:lang w:val="en-US"/>
        </w:rPr>
        <w:t>The Jewis</w:t>
      </w:r>
      <w:r w:rsidR="005A1F57" w:rsidRPr="001005B7">
        <w:rPr>
          <w:i/>
          <w:iCs/>
          <w:color w:val="auto"/>
          <w:lang w:val="en-US"/>
        </w:rPr>
        <w:t>h</w:t>
      </w:r>
      <w:r w:rsidR="00E40225" w:rsidRPr="001005B7">
        <w:rPr>
          <w:i/>
          <w:iCs/>
          <w:color w:val="auto"/>
          <w:lang w:val="en-US"/>
        </w:rPr>
        <w:t xml:space="preserve"> Study Bible</w:t>
      </w:r>
      <w:r w:rsidR="00E40225" w:rsidRPr="001005B7">
        <w:rPr>
          <w:color w:val="auto"/>
          <w:lang w:val="en-US"/>
        </w:rPr>
        <w:t>, 1033</w:t>
      </w:r>
      <w:r w:rsidR="00F46900" w:rsidRPr="001005B7">
        <w:rPr>
          <w:color w:val="auto"/>
          <w:lang w:val="en-US"/>
        </w:rPr>
        <w:t>–</w:t>
      </w:r>
      <w:r w:rsidR="00E40225" w:rsidRPr="001005B7">
        <w:rPr>
          <w:color w:val="auto"/>
          <w:lang w:val="en-US"/>
        </w:rPr>
        <w:t xml:space="preserve">1123. Second edition. Oxford: Oxford University Press, </w:t>
      </w:r>
      <w:r w:rsidR="008109D7" w:rsidRPr="001005B7">
        <w:rPr>
          <w:color w:val="auto"/>
          <w:lang w:val="en-US"/>
        </w:rPr>
        <w:t>2014.</w:t>
      </w:r>
    </w:p>
    <w:p w14:paraId="16860C37" w14:textId="25085023" w:rsidR="004E5D04" w:rsidRPr="001005B7" w:rsidRDefault="004E5D04" w:rsidP="006F5BB0">
      <w:pPr>
        <w:pStyle w:val="ListParagraph"/>
        <w:rPr>
          <w:color w:val="auto"/>
          <w:lang w:val="en-US"/>
        </w:rPr>
      </w:pPr>
      <w:r w:rsidRPr="001005B7">
        <w:rPr>
          <w:color w:val="auto"/>
          <w:lang w:val="en-US"/>
        </w:rPr>
        <w:t>Greenberg, M</w:t>
      </w:r>
      <w:r w:rsidR="007439D5" w:rsidRPr="001005B7">
        <w:rPr>
          <w:color w:val="auto"/>
          <w:lang w:val="en-US"/>
        </w:rPr>
        <w:t>oshe</w:t>
      </w:r>
      <w:r w:rsidRPr="001005B7">
        <w:rPr>
          <w:color w:val="auto"/>
          <w:lang w:val="en-US"/>
        </w:rPr>
        <w:t>. </w:t>
      </w:r>
      <w:r w:rsidRPr="001005B7">
        <w:rPr>
          <w:i/>
          <w:iCs/>
          <w:color w:val="auto"/>
          <w:lang w:val="en-US"/>
        </w:rPr>
        <w:t>Ezekiel 1</w:t>
      </w:r>
      <w:r w:rsidR="00F46900" w:rsidRPr="001005B7">
        <w:rPr>
          <w:i/>
          <w:iCs/>
          <w:color w:val="auto"/>
          <w:lang w:val="en-US"/>
        </w:rPr>
        <w:t>–</w:t>
      </w:r>
      <w:r w:rsidRPr="001005B7">
        <w:rPr>
          <w:i/>
          <w:iCs/>
          <w:color w:val="auto"/>
          <w:lang w:val="en-US"/>
        </w:rPr>
        <w:t>20</w:t>
      </w:r>
      <w:r w:rsidR="007765A1" w:rsidRPr="001005B7">
        <w:rPr>
          <w:i/>
          <w:iCs/>
          <w:color w:val="auto"/>
          <w:lang w:val="en-US"/>
        </w:rPr>
        <w:t>.</w:t>
      </w:r>
      <w:r w:rsidR="007765A1" w:rsidRPr="001005B7">
        <w:rPr>
          <w:color w:val="auto"/>
          <w:lang w:val="en-US"/>
        </w:rPr>
        <w:t xml:space="preserve"> </w:t>
      </w:r>
      <w:r w:rsidR="00E22861" w:rsidRPr="001005B7">
        <w:rPr>
          <w:color w:val="auto"/>
          <w:lang w:val="en-US"/>
        </w:rPr>
        <w:t xml:space="preserve">The </w:t>
      </w:r>
      <w:r w:rsidR="007765A1" w:rsidRPr="001005B7">
        <w:rPr>
          <w:color w:val="auto"/>
          <w:lang w:val="en-US"/>
        </w:rPr>
        <w:t>Anc</w:t>
      </w:r>
      <w:r w:rsidR="00AF6E70" w:rsidRPr="001005B7">
        <w:rPr>
          <w:color w:val="auto"/>
          <w:lang w:val="en-US"/>
        </w:rPr>
        <w:t>hor Bible</w:t>
      </w:r>
      <w:r w:rsidR="007765A1" w:rsidRPr="001005B7">
        <w:rPr>
          <w:color w:val="auto"/>
          <w:lang w:val="en-US"/>
        </w:rPr>
        <w:t xml:space="preserve"> 22. Garden City, NY: Doubleday, 1983.</w:t>
      </w:r>
    </w:p>
    <w:p w14:paraId="0F7C9980" w14:textId="01891E90" w:rsidR="00AC1BED" w:rsidRPr="001005B7" w:rsidRDefault="0067205C" w:rsidP="006F5BB0">
      <w:pPr>
        <w:pStyle w:val="ListParagraph"/>
        <w:rPr>
          <w:color w:val="auto"/>
          <w:lang w:val="en-US"/>
        </w:rPr>
      </w:pPr>
      <w:r w:rsidRPr="001005B7">
        <w:rPr>
          <w:i/>
          <w:iCs/>
          <w:color w:val="auto"/>
          <w:lang w:val="en-US"/>
        </w:rPr>
        <w:t xml:space="preserve">––– </w:t>
      </w:r>
      <w:r w:rsidR="004E5D04" w:rsidRPr="001005B7">
        <w:rPr>
          <w:i/>
          <w:iCs/>
          <w:color w:val="auto"/>
          <w:lang w:val="en-US"/>
        </w:rPr>
        <w:t>Ezekiel 21</w:t>
      </w:r>
      <w:r w:rsidR="00F46900" w:rsidRPr="001005B7">
        <w:rPr>
          <w:i/>
          <w:iCs/>
          <w:color w:val="auto"/>
          <w:lang w:val="en-US"/>
        </w:rPr>
        <w:t>–</w:t>
      </w:r>
      <w:r w:rsidR="004E5D04" w:rsidRPr="001005B7">
        <w:rPr>
          <w:i/>
          <w:iCs/>
          <w:color w:val="auto"/>
          <w:lang w:val="en-US"/>
        </w:rPr>
        <w:t>37</w:t>
      </w:r>
      <w:r w:rsidR="00FE1106" w:rsidRPr="001005B7">
        <w:rPr>
          <w:color w:val="auto"/>
          <w:lang w:val="en-US"/>
        </w:rPr>
        <w:t xml:space="preserve">. </w:t>
      </w:r>
      <w:r w:rsidR="00E22861" w:rsidRPr="001005B7">
        <w:rPr>
          <w:color w:val="auto"/>
          <w:lang w:val="en-US"/>
        </w:rPr>
        <w:t xml:space="preserve">The </w:t>
      </w:r>
      <w:r w:rsidR="004E5D04" w:rsidRPr="001005B7">
        <w:rPr>
          <w:color w:val="auto"/>
          <w:lang w:val="en-US"/>
        </w:rPr>
        <w:t>A</w:t>
      </w:r>
      <w:r w:rsidR="00FE1106" w:rsidRPr="001005B7">
        <w:rPr>
          <w:color w:val="auto"/>
          <w:lang w:val="en-US"/>
        </w:rPr>
        <w:t>nc</w:t>
      </w:r>
      <w:r w:rsidR="00E22861" w:rsidRPr="001005B7">
        <w:rPr>
          <w:color w:val="auto"/>
          <w:lang w:val="en-US"/>
        </w:rPr>
        <w:t>hor Bible</w:t>
      </w:r>
      <w:r w:rsidR="004E5D04" w:rsidRPr="001005B7">
        <w:rPr>
          <w:color w:val="auto"/>
          <w:lang w:val="en-US"/>
        </w:rPr>
        <w:t xml:space="preserve"> 22A</w:t>
      </w:r>
      <w:r w:rsidR="00FE1106" w:rsidRPr="001005B7">
        <w:rPr>
          <w:color w:val="auto"/>
          <w:lang w:val="en-US"/>
        </w:rPr>
        <w:t>.</w:t>
      </w:r>
      <w:r w:rsidR="004E5D04" w:rsidRPr="001005B7">
        <w:rPr>
          <w:color w:val="auto"/>
          <w:lang w:val="en-US"/>
        </w:rPr>
        <w:t xml:space="preserve"> Garden City, NY: Doubleday, 1997. </w:t>
      </w:r>
    </w:p>
    <w:p w14:paraId="44CE9FA7" w14:textId="5E6D7643" w:rsidR="00C309BE" w:rsidRPr="001005B7" w:rsidRDefault="00AC1BED" w:rsidP="006F5BB0">
      <w:pPr>
        <w:pStyle w:val="ListParagraph"/>
        <w:rPr>
          <w:color w:val="auto"/>
          <w:lang w:val="en-US"/>
        </w:rPr>
      </w:pPr>
      <w:r w:rsidRPr="001005B7">
        <w:rPr>
          <w:color w:val="auto"/>
          <w:lang w:val="en-US"/>
        </w:rPr>
        <w:t xml:space="preserve">Greenhill, William. </w:t>
      </w:r>
      <w:r w:rsidRPr="001005B7">
        <w:rPr>
          <w:i/>
          <w:iCs/>
          <w:color w:val="auto"/>
          <w:lang w:val="en-US"/>
        </w:rPr>
        <w:t>An Exposition of Ezekiel</w:t>
      </w:r>
      <w:r w:rsidRPr="001005B7">
        <w:rPr>
          <w:color w:val="auto"/>
          <w:lang w:val="en-US"/>
        </w:rPr>
        <w:t>. 5 volumes. London: Allen, 1645</w:t>
      </w:r>
      <w:r w:rsidR="00F46900" w:rsidRPr="001005B7">
        <w:rPr>
          <w:color w:val="auto"/>
          <w:lang w:val="en-US"/>
        </w:rPr>
        <w:t>–</w:t>
      </w:r>
      <w:r w:rsidRPr="001005B7">
        <w:rPr>
          <w:color w:val="auto"/>
          <w:lang w:val="en-US"/>
        </w:rPr>
        <w:t>1667.</w:t>
      </w:r>
      <w:r w:rsidR="00FB0E78" w:rsidRPr="001005B7">
        <w:rPr>
          <w:color w:val="auto"/>
          <w:lang w:val="en-US"/>
        </w:rPr>
        <w:t xml:space="preserve"> Revised and corrected ed., London: Holdsworth, 1837.</w:t>
      </w:r>
    </w:p>
    <w:p w14:paraId="487EEF4C" w14:textId="77777777" w:rsidR="00435483" w:rsidRPr="001005B7" w:rsidRDefault="00C309BE" w:rsidP="006F5BB0">
      <w:pPr>
        <w:pStyle w:val="ListParagraph"/>
        <w:rPr>
          <w:color w:val="auto"/>
          <w:lang w:val="en-US"/>
        </w:rPr>
      </w:pPr>
      <w:r w:rsidRPr="001005B7">
        <w:rPr>
          <w:color w:val="auto"/>
          <w:lang w:val="en-US"/>
        </w:rPr>
        <w:t xml:space="preserve">Gregory the Great. </w:t>
      </w:r>
      <w:r w:rsidRPr="001005B7">
        <w:rPr>
          <w:i/>
          <w:iCs/>
          <w:color w:val="auto"/>
          <w:lang w:val="en-US"/>
        </w:rPr>
        <w:t>The Homilies on the Book of the Prophet Ezekiel</w:t>
      </w:r>
      <w:r w:rsidRPr="001005B7">
        <w:rPr>
          <w:color w:val="auto"/>
          <w:lang w:val="en-US"/>
        </w:rPr>
        <w:t>. Translated by Theodosia Tomkinson. Second ed. Etna, CA: Center for Traditionalist Orthodox Studies, 2008.</w:t>
      </w:r>
    </w:p>
    <w:p w14:paraId="5990BE4B" w14:textId="70D5788F" w:rsidR="00435483" w:rsidRPr="001005B7" w:rsidRDefault="00435483" w:rsidP="006F5BB0">
      <w:pPr>
        <w:pStyle w:val="ListParagraph"/>
        <w:rPr>
          <w:color w:val="auto"/>
          <w:lang w:val="en-US"/>
        </w:rPr>
      </w:pPr>
      <w:r w:rsidRPr="001005B7">
        <w:rPr>
          <w:color w:val="auto"/>
          <w:lang w:val="en-US"/>
        </w:rPr>
        <w:t>Hals, Ronald M. </w:t>
      </w:r>
      <w:r w:rsidRPr="001005B7">
        <w:rPr>
          <w:i/>
          <w:iCs/>
          <w:color w:val="auto"/>
          <w:lang w:val="en-US"/>
        </w:rPr>
        <w:t>Ezekiel</w:t>
      </w:r>
      <w:r w:rsidRPr="001005B7">
        <w:rPr>
          <w:color w:val="auto"/>
          <w:lang w:val="en-US"/>
        </w:rPr>
        <w:t>. The Forms of the Old Testament Literature 19. Grand Rapids: Eerdmans, 1989.</w:t>
      </w:r>
    </w:p>
    <w:p w14:paraId="66E33D86" w14:textId="77777777" w:rsidR="00284F63" w:rsidRPr="001005B7" w:rsidRDefault="00067495" w:rsidP="006F5BB0">
      <w:pPr>
        <w:pStyle w:val="ListParagraph"/>
        <w:rPr>
          <w:color w:val="auto"/>
          <w:lang w:val="en-US"/>
        </w:rPr>
      </w:pPr>
      <w:proofErr w:type="spellStart"/>
      <w:r w:rsidRPr="001005B7">
        <w:rPr>
          <w:color w:val="auto"/>
          <w:lang w:val="en-US"/>
        </w:rPr>
        <w:t>Häner</w:t>
      </w:r>
      <w:proofErr w:type="spellEnd"/>
      <w:r w:rsidRPr="001005B7">
        <w:rPr>
          <w:color w:val="auto"/>
          <w:lang w:val="en-US"/>
        </w:rPr>
        <w:t xml:space="preserve">, Tobias. </w:t>
      </w:r>
      <w:proofErr w:type="spellStart"/>
      <w:r w:rsidRPr="001005B7">
        <w:rPr>
          <w:color w:val="auto"/>
          <w:lang w:val="en-US"/>
        </w:rPr>
        <w:t>Bleibendes</w:t>
      </w:r>
      <w:proofErr w:type="spellEnd"/>
      <w:r w:rsidRPr="001005B7">
        <w:rPr>
          <w:color w:val="auto"/>
          <w:lang w:val="en-US"/>
        </w:rPr>
        <w:t xml:space="preserve"> </w:t>
      </w:r>
      <w:proofErr w:type="spellStart"/>
      <w:r w:rsidRPr="001005B7">
        <w:rPr>
          <w:color w:val="auto"/>
          <w:lang w:val="en-US"/>
        </w:rPr>
        <w:t>Nachwirken</w:t>
      </w:r>
      <w:proofErr w:type="spellEnd"/>
      <w:r w:rsidRPr="001005B7">
        <w:rPr>
          <w:color w:val="auto"/>
          <w:lang w:val="en-US"/>
        </w:rPr>
        <w:t xml:space="preserve"> des </w:t>
      </w:r>
      <w:proofErr w:type="spellStart"/>
      <w:r w:rsidRPr="001005B7">
        <w:rPr>
          <w:color w:val="auto"/>
          <w:lang w:val="en-US"/>
        </w:rPr>
        <w:t>Exils</w:t>
      </w:r>
      <w:proofErr w:type="spellEnd"/>
      <w:r w:rsidRPr="001005B7">
        <w:rPr>
          <w:color w:val="auto"/>
          <w:lang w:val="en-US"/>
        </w:rPr>
        <w:t xml:space="preserve">: </w:t>
      </w:r>
      <w:proofErr w:type="spellStart"/>
      <w:r w:rsidRPr="001005B7">
        <w:rPr>
          <w:color w:val="auto"/>
          <w:lang w:val="en-US"/>
        </w:rPr>
        <w:t>Untersuchen</w:t>
      </w:r>
      <w:proofErr w:type="spellEnd"/>
      <w:r w:rsidRPr="001005B7">
        <w:rPr>
          <w:color w:val="auto"/>
          <w:lang w:val="en-US"/>
        </w:rPr>
        <w:t xml:space="preserve"> </w:t>
      </w:r>
      <w:proofErr w:type="spellStart"/>
      <w:r w:rsidRPr="001005B7">
        <w:rPr>
          <w:color w:val="auto"/>
          <w:lang w:val="en-US"/>
        </w:rPr>
        <w:t>zur</w:t>
      </w:r>
      <w:proofErr w:type="spellEnd"/>
      <w:r w:rsidRPr="001005B7">
        <w:rPr>
          <w:color w:val="auto"/>
          <w:lang w:val="en-US"/>
        </w:rPr>
        <w:t xml:space="preserve"> </w:t>
      </w:r>
      <w:proofErr w:type="spellStart"/>
      <w:r w:rsidRPr="001005B7">
        <w:rPr>
          <w:color w:val="auto"/>
          <w:lang w:val="en-US"/>
        </w:rPr>
        <w:t>kanonischen</w:t>
      </w:r>
      <w:proofErr w:type="spellEnd"/>
      <w:r w:rsidRPr="001005B7">
        <w:rPr>
          <w:color w:val="auto"/>
          <w:lang w:val="en-US"/>
        </w:rPr>
        <w:t xml:space="preserve"> </w:t>
      </w:r>
      <w:proofErr w:type="spellStart"/>
      <w:r w:rsidRPr="001005B7">
        <w:rPr>
          <w:color w:val="auto"/>
          <w:lang w:val="en-US"/>
        </w:rPr>
        <w:t>Endgestalt</w:t>
      </w:r>
      <w:proofErr w:type="spellEnd"/>
      <w:r w:rsidRPr="001005B7">
        <w:rPr>
          <w:color w:val="auto"/>
          <w:lang w:val="en-US"/>
        </w:rPr>
        <w:t xml:space="preserve"> des </w:t>
      </w:r>
      <w:proofErr w:type="spellStart"/>
      <w:r w:rsidRPr="001005B7">
        <w:rPr>
          <w:color w:val="auto"/>
          <w:lang w:val="en-US"/>
        </w:rPr>
        <w:t>Ezechielsbuches</w:t>
      </w:r>
      <w:proofErr w:type="spellEnd"/>
      <w:r w:rsidRPr="001005B7">
        <w:rPr>
          <w:color w:val="auto"/>
          <w:lang w:val="en-US"/>
        </w:rPr>
        <w:t xml:space="preserve">. Herders </w:t>
      </w:r>
      <w:proofErr w:type="spellStart"/>
      <w:r w:rsidRPr="001005B7">
        <w:rPr>
          <w:color w:val="auto"/>
          <w:lang w:val="en-US"/>
        </w:rPr>
        <w:t>Biblische</w:t>
      </w:r>
      <w:proofErr w:type="spellEnd"/>
      <w:r w:rsidRPr="001005B7">
        <w:rPr>
          <w:color w:val="auto"/>
          <w:lang w:val="en-US"/>
        </w:rPr>
        <w:t xml:space="preserve"> </w:t>
      </w:r>
      <w:proofErr w:type="spellStart"/>
      <w:r w:rsidRPr="001005B7">
        <w:rPr>
          <w:color w:val="auto"/>
          <w:lang w:val="en-US"/>
        </w:rPr>
        <w:t>Studien</w:t>
      </w:r>
      <w:proofErr w:type="spellEnd"/>
      <w:r w:rsidRPr="001005B7">
        <w:rPr>
          <w:color w:val="auto"/>
          <w:lang w:val="en-US"/>
        </w:rPr>
        <w:t xml:space="preserve"> 78. Freiburg: Herder, 2014. </w:t>
      </w:r>
    </w:p>
    <w:p w14:paraId="1D975522" w14:textId="73496EB0" w:rsidR="00FD5BCA" w:rsidRPr="001005B7" w:rsidRDefault="00FD5BCA" w:rsidP="006F5BB0">
      <w:pPr>
        <w:pStyle w:val="ListParagraph"/>
        <w:rPr>
          <w:color w:val="auto"/>
          <w:lang w:val="en-US"/>
        </w:rPr>
      </w:pPr>
      <w:proofErr w:type="spellStart"/>
      <w:r w:rsidRPr="001005B7">
        <w:rPr>
          <w:rStyle w:val="Emphasis"/>
          <w:i w:val="0"/>
          <w:iCs w:val="0"/>
          <w:color w:val="auto"/>
          <w:shd w:val="clear" w:color="auto" w:fill="FFFFFF"/>
          <w:lang w:val="en-US"/>
        </w:rPr>
        <w:t>Hävernick</w:t>
      </w:r>
      <w:proofErr w:type="spellEnd"/>
      <w:r w:rsidRPr="001005B7">
        <w:rPr>
          <w:color w:val="auto"/>
          <w:shd w:val="clear" w:color="auto" w:fill="FFFFFF"/>
          <w:lang w:val="en-US"/>
        </w:rPr>
        <w:t xml:space="preserve">, Heinrich Andreas Christoph. </w:t>
      </w:r>
      <w:proofErr w:type="spellStart"/>
      <w:r w:rsidRPr="001005B7">
        <w:rPr>
          <w:i/>
          <w:iCs/>
          <w:color w:val="auto"/>
          <w:shd w:val="clear" w:color="auto" w:fill="FFFFFF"/>
          <w:lang w:val="en-US"/>
        </w:rPr>
        <w:t>Commentar</w:t>
      </w:r>
      <w:proofErr w:type="spellEnd"/>
      <w:r w:rsidRPr="001005B7">
        <w:rPr>
          <w:i/>
          <w:iCs/>
          <w:color w:val="auto"/>
          <w:shd w:val="clear" w:color="auto" w:fill="FFFFFF"/>
          <w:lang w:val="en-US"/>
        </w:rPr>
        <w:t xml:space="preserve"> </w:t>
      </w:r>
      <w:proofErr w:type="spellStart"/>
      <w:r w:rsidRPr="001005B7">
        <w:rPr>
          <w:i/>
          <w:iCs/>
          <w:color w:val="auto"/>
          <w:shd w:val="clear" w:color="auto" w:fill="FFFFFF"/>
          <w:lang w:val="en-US"/>
        </w:rPr>
        <w:t>über</w:t>
      </w:r>
      <w:proofErr w:type="spellEnd"/>
      <w:r w:rsidRPr="001005B7">
        <w:rPr>
          <w:i/>
          <w:iCs/>
          <w:color w:val="auto"/>
          <w:shd w:val="clear" w:color="auto" w:fill="FFFFFF"/>
          <w:lang w:val="en-US"/>
        </w:rPr>
        <w:t xml:space="preserve"> den </w:t>
      </w:r>
      <w:proofErr w:type="spellStart"/>
      <w:r w:rsidRPr="001005B7">
        <w:rPr>
          <w:i/>
          <w:iCs/>
          <w:color w:val="auto"/>
          <w:shd w:val="clear" w:color="auto" w:fill="FFFFFF"/>
          <w:lang w:val="en-US"/>
        </w:rPr>
        <w:t>Propheten</w:t>
      </w:r>
      <w:proofErr w:type="spellEnd"/>
      <w:r w:rsidRPr="001005B7">
        <w:rPr>
          <w:i/>
          <w:iCs/>
          <w:color w:val="auto"/>
          <w:shd w:val="clear" w:color="auto" w:fill="FFFFFF"/>
          <w:lang w:val="en-US"/>
        </w:rPr>
        <w:t> </w:t>
      </w:r>
      <w:r w:rsidRPr="001005B7">
        <w:rPr>
          <w:rStyle w:val="Emphasis"/>
          <w:color w:val="auto"/>
          <w:shd w:val="clear" w:color="auto" w:fill="FFFFFF"/>
          <w:lang w:val="en-US"/>
        </w:rPr>
        <w:t>Ezechiel</w:t>
      </w:r>
      <w:r w:rsidRPr="001005B7">
        <w:rPr>
          <w:color w:val="auto"/>
          <w:shd w:val="clear" w:color="auto" w:fill="FFFFFF"/>
          <w:lang w:val="en-US"/>
        </w:rPr>
        <w:t xml:space="preserve">. </w:t>
      </w:r>
      <w:r w:rsidR="0082717A" w:rsidRPr="001005B7">
        <w:rPr>
          <w:color w:val="auto"/>
          <w:shd w:val="clear" w:color="auto" w:fill="FFFFFF"/>
          <w:lang w:val="en-US"/>
        </w:rPr>
        <w:t>Erlange</w:t>
      </w:r>
      <w:r w:rsidR="000810BD" w:rsidRPr="001005B7">
        <w:rPr>
          <w:color w:val="auto"/>
          <w:shd w:val="clear" w:color="auto" w:fill="FFFFFF"/>
          <w:lang w:val="en-US"/>
        </w:rPr>
        <w:t xml:space="preserve">n: </w:t>
      </w:r>
      <w:proofErr w:type="spellStart"/>
      <w:r w:rsidR="000810BD" w:rsidRPr="001005B7">
        <w:rPr>
          <w:color w:val="auto"/>
          <w:shd w:val="clear" w:color="auto" w:fill="FFFFFF"/>
          <w:lang w:val="en-US"/>
        </w:rPr>
        <w:t>Heyder</w:t>
      </w:r>
      <w:proofErr w:type="spellEnd"/>
      <w:r w:rsidR="000810BD" w:rsidRPr="001005B7">
        <w:rPr>
          <w:color w:val="auto"/>
          <w:shd w:val="clear" w:color="auto" w:fill="FFFFFF"/>
          <w:lang w:val="en-US"/>
        </w:rPr>
        <w:t>, 1843</w:t>
      </w:r>
      <w:r w:rsidR="009869C0" w:rsidRPr="001005B7">
        <w:rPr>
          <w:color w:val="auto"/>
          <w:shd w:val="clear" w:color="auto" w:fill="FFFFFF"/>
          <w:lang w:val="en-US"/>
        </w:rPr>
        <w:t>.</w:t>
      </w:r>
    </w:p>
    <w:p w14:paraId="34C1FE58" w14:textId="443778B5" w:rsidR="001744D1" w:rsidRPr="001005B7" w:rsidRDefault="001744D1" w:rsidP="006F5BB0">
      <w:pPr>
        <w:pStyle w:val="ListParagraph"/>
        <w:rPr>
          <w:color w:val="auto"/>
          <w:lang w:val="en-US"/>
        </w:rPr>
      </w:pPr>
      <w:r w:rsidRPr="001005B7">
        <w:rPr>
          <w:color w:val="auto"/>
          <w:lang w:val="en-US"/>
        </w:rPr>
        <w:t xml:space="preserve">Henry, Matthew. </w:t>
      </w:r>
      <w:r w:rsidR="00EE2085" w:rsidRPr="001005B7">
        <w:rPr>
          <w:color w:val="auto"/>
          <w:lang w:val="en-US"/>
        </w:rPr>
        <w:t xml:space="preserve">“Ezekiel.” In Henry, </w:t>
      </w:r>
      <w:r w:rsidR="00F92FEB" w:rsidRPr="001005B7">
        <w:rPr>
          <w:i/>
          <w:iCs/>
          <w:color w:val="auto"/>
          <w:lang w:val="en-US"/>
        </w:rPr>
        <w:t>Comm</w:t>
      </w:r>
      <w:r w:rsidR="0072533F" w:rsidRPr="001005B7">
        <w:rPr>
          <w:i/>
          <w:iCs/>
          <w:color w:val="auto"/>
          <w:lang w:val="en-US"/>
        </w:rPr>
        <w:t>e</w:t>
      </w:r>
      <w:r w:rsidR="00F92FEB" w:rsidRPr="001005B7">
        <w:rPr>
          <w:i/>
          <w:iCs/>
          <w:color w:val="auto"/>
          <w:lang w:val="en-US"/>
        </w:rPr>
        <w:t>ntary on the Whole Bible</w:t>
      </w:r>
      <w:r w:rsidR="00755F51" w:rsidRPr="001005B7">
        <w:rPr>
          <w:color w:val="auto"/>
          <w:lang w:val="en-US"/>
        </w:rPr>
        <w:t xml:space="preserve"> (1706</w:t>
      </w:r>
      <w:r w:rsidR="00F46900" w:rsidRPr="001005B7">
        <w:rPr>
          <w:color w:val="auto"/>
          <w:lang w:val="en-US"/>
        </w:rPr>
        <w:t>–</w:t>
      </w:r>
      <w:r w:rsidR="00755F51" w:rsidRPr="001005B7">
        <w:rPr>
          <w:color w:val="auto"/>
          <w:lang w:val="en-US"/>
        </w:rPr>
        <w:t>1721)</w:t>
      </w:r>
      <w:r w:rsidR="00CB5713" w:rsidRPr="001005B7">
        <w:rPr>
          <w:color w:val="auto"/>
          <w:lang w:val="en-US"/>
        </w:rPr>
        <w:t xml:space="preserve"> 4:1072</w:t>
      </w:r>
      <w:r w:rsidR="00F46900" w:rsidRPr="001005B7">
        <w:rPr>
          <w:color w:val="auto"/>
          <w:lang w:val="en-US"/>
        </w:rPr>
        <w:t>–</w:t>
      </w:r>
      <w:r w:rsidR="00A261EC" w:rsidRPr="001005B7">
        <w:rPr>
          <w:color w:val="auto"/>
          <w:lang w:val="en-US"/>
        </w:rPr>
        <w:t>1455</w:t>
      </w:r>
      <w:r w:rsidR="00D713CF" w:rsidRPr="001005B7">
        <w:rPr>
          <w:color w:val="auto"/>
          <w:lang w:val="en-US"/>
        </w:rPr>
        <w:t xml:space="preserve">. Reprinted </w:t>
      </w:r>
      <w:r w:rsidR="006D2B65" w:rsidRPr="001005B7">
        <w:rPr>
          <w:color w:val="auto"/>
          <w:lang w:val="en-US"/>
        </w:rPr>
        <w:t>Wheaton, IL</w:t>
      </w:r>
      <w:r w:rsidR="00626721" w:rsidRPr="001005B7">
        <w:rPr>
          <w:color w:val="auto"/>
          <w:lang w:val="en-US"/>
        </w:rPr>
        <w:t xml:space="preserve">: CCEL, </w:t>
      </w:r>
      <w:r w:rsidR="00BF2F5A" w:rsidRPr="001005B7">
        <w:rPr>
          <w:color w:val="auto"/>
          <w:lang w:val="en-US"/>
        </w:rPr>
        <w:t>2000</w:t>
      </w:r>
      <w:r w:rsidR="00626721" w:rsidRPr="001005B7">
        <w:rPr>
          <w:color w:val="auto"/>
          <w:lang w:val="en-US"/>
        </w:rPr>
        <w:t>.</w:t>
      </w:r>
    </w:p>
    <w:p w14:paraId="1FA7180A" w14:textId="6D2C47FF" w:rsidR="00485CCA" w:rsidRPr="001005B7" w:rsidRDefault="00D90ADF" w:rsidP="006F5BB0">
      <w:pPr>
        <w:pStyle w:val="ListParagraph"/>
        <w:rPr>
          <w:color w:val="auto"/>
          <w:lang w:val="en-US"/>
        </w:rPr>
      </w:pPr>
      <w:r w:rsidRPr="001005B7">
        <w:rPr>
          <w:color w:val="auto"/>
          <w:lang w:val="en-US"/>
        </w:rPr>
        <w:t>Hitzig,</w:t>
      </w:r>
      <w:r w:rsidR="00B2148F" w:rsidRPr="001005B7">
        <w:rPr>
          <w:color w:val="auto"/>
          <w:lang w:val="en-US"/>
        </w:rPr>
        <w:t xml:space="preserve"> Ferdinand.</w:t>
      </w:r>
      <w:r w:rsidRPr="001005B7">
        <w:rPr>
          <w:color w:val="auto"/>
          <w:lang w:val="en-US"/>
        </w:rPr>
        <w:t xml:space="preserve"> </w:t>
      </w:r>
      <w:r w:rsidR="00923C86" w:rsidRPr="001005B7">
        <w:rPr>
          <w:i/>
          <w:iCs/>
          <w:color w:val="auto"/>
          <w:lang w:val="en-US"/>
        </w:rPr>
        <w:t>Der Prophet Ezechiel</w:t>
      </w:r>
      <w:r w:rsidR="00923C86" w:rsidRPr="001005B7">
        <w:rPr>
          <w:color w:val="auto"/>
          <w:lang w:val="en-US"/>
        </w:rPr>
        <w:t>.</w:t>
      </w:r>
      <w:r w:rsidR="00BA4158" w:rsidRPr="001005B7">
        <w:rPr>
          <w:color w:val="auto"/>
          <w:lang w:val="en-US"/>
        </w:rPr>
        <w:t xml:space="preserve"> </w:t>
      </w:r>
      <w:proofErr w:type="spellStart"/>
      <w:r w:rsidR="00485CCA" w:rsidRPr="001005B7">
        <w:rPr>
          <w:color w:val="auto"/>
          <w:lang w:val="en-US"/>
        </w:rPr>
        <w:t>Kurzgefasstes</w:t>
      </w:r>
      <w:proofErr w:type="spellEnd"/>
      <w:r w:rsidR="00485CCA" w:rsidRPr="001005B7">
        <w:rPr>
          <w:color w:val="auto"/>
          <w:lang w:val="en-US"/>
        </w:rPr>
        <w:t xml:space="preserve"> </w:t>
      </w:r>
      <w:proofErr w:type="spellStart"/>
      <w:r w:rsidR="00485CCA" w:rsidRPr="001005B7">
        <w:rPr>
          <w:color w:val="auto"/>
          <w:lang w:val="en-US"/>
        </w:rPr>
        <w:t>exegetisches</w:t>
      </w:r>
      <w:proofErr w:type="spellEnd"/>
      <w:r w:rsidR="00485CCA" w:rsidRPr="001005B7">
        <w:rPr>
          <w:color w:val="auto"/>
          <w:lang w:val="en-US"/>
        </w:rPr>
        <w:t xml:space="preserve"> </w:t>
      </w:r>
      <w:proofErr w:type="spellStart"/>
      <w:r w:rsidR="00485CCA" w:rsidRPr="001005B7">
        <w:rPr>
          <w:color w:val="auto"/>
          <w:lang w:val="en-US"/>
        </w:rPr>
        <w:t>Handbuch</w:t>
      </w:r>
      <w:proofErr w:type="spellEnd"/>
      <w:r w:rsidR="00485CCA" w:rsidRPr="001005B7">
        <w:rPr>
          <w:color w:val="auto"/>
          <w:lang w:val="en-US"/>
        </w:rPr>
        <w:t xml:space="preserve"> </w:t>
      </w:r>
      <w:proofErr w:type="spellStart"/>
      <w:r w:rsidR="00485CCA" w:rsidRPr="001005B7">
        <w:rPr>
          <w:color w:val="auto"/>
          <w:lang w:val="en-US"/>
        </w:rPr>
        <w:t>Zum</w:t>
      </w:r>
      <w:proofErr w:type="spellEnd"/>
      <w:r w:rsidR="00485CCA" w:rsidRPr="001005B7">
        <w:rPr>
          <w:color w:val="auto"/>
          <w:lang w:val="en-US"/>
        </w:rPr>
        <w:t xml:space="preserve"> </w:t>
      </w:r>
      <w:proofErr w:type="spellStart"/>
      <w:r w:rsidR="00485CCA" w:rsidRPr="001005B7">
        <w:rPr>
          <w:color w:val="auto"/>
          <w:lang w:val="en-US"/>
        </w:rPr>
        <w:t>Alten</w:t>
      </w:r>
      <w:proofErr w:type="spellEnd"/>
      <w:r w:rsidR="00485CCA" w:rsidRPr="001005B7">
        <w:rPr>
          <w:color w:val="auto"/>
          <w:lang w:val="en-US"/>
        </w:rPr>
        <w:t xml:space="preserve"> Testament </w:t>
      </w:r>
      <w:r w:rsidR="0008164A" w:rsidRPr="001005B7">
        <w:rPr>
          <w:color w:val="auto"/>
          <w:lang w:val="en-US"/>
        </w:rPr>
        <w:t>8</w:t>
      </w:r>
      <w:r w:rsidR="00485CCA" w:rsidRPr="001005B7">
        <w:rPr>
          <w:color w:val="auto"/>
          <w:lang w:val="en-US"/>
        </w:rPr>
        <w:t>.</w:t>
      </w:r>
      <w:r w:rsidR="0008164A" w:rsidRPr="001005B7">
        <w:rPr>
          <w:color w:val="auto"/>
          <w:lang w:val="en-US"/>
        </w:rPr>
        <w:t xml:space="preserve"> Leipzig</w:t>
      </w:r>
      <w:r w:rsidR="00E45D92" w:rsidRPr="001005B7">
        <w:rPr>
          <w:color w:val="auto"/>
          <w:lang w:val="en-US"/>
        </w:rPr>
        <w:t xml:space="preserve">: </w:t>
      </w:r>
      <w:proofErr w:type="spellStart"/>
      <w:r w:rsidR="00E45D92" w:rsidRPr="001005B7">
        <w:rPr>
          <w:color w:val="auto"/>
          <w:lang w:val="en-US"/>
        </w:rPr>
        <w:t>Weidmann</w:t>
      </w:r>
      <w:proofErr w:type="spellEnd"/>
      <w:r w:rsidR="00E45D92" w:rsidRPr="001005B7">
        <w:rPr>
          <w:color w:val="auto"/>
          <w:lang w:val="en-US"/>
        </w:rPr>
        <w:t>, 1847.</w:t>
      </w:r>
    </w:p>
    <w:p w14:paraId="626BEFF9" w14:textId="715FD5ED" w:rsidR="0003549E" w:rsidRPr="001005B7" w:rsidRDefault="00F91C8B" w:rsidP="006F5BB0">
      <w:pPr>
        <w:pStyle w:val="ListParagraph"/>
        <w:rPr>
          <w:color w:val="auto"/>
          <w:lang w:val="en-US"/>
        </w:rPr>
      </w:pPr>
      <w:r w:rsidRPr="001005B7">
        <w:rPr>
          <w:color w:val="auto"/>
          <w:lang w:val="en-US"/>
        </w:rPr>
        <w:t>Hummel, H</w:t>
      </w:r>
      <w:r w:rsidR="009779A5" w:rsidRPr="001005B7">
        <w:rPr>
          <w:color w:val="auto"/>
          <w:lang w:val="en-US"/>
        </w:rPr>
        <w:t>orace</w:t>
      </w:r>
      <w:r w:rsidRPr="001005B7">
        <w:rPr>
          <w:color w:val="auto"/>
          <w:lang w:val="en-US"/>
        </w:rPr>
        <w:t xml:space="preserve"> D. </w:t>
      </w:r>
      <w:r w:rsidRPr="001005B7">
        <w:rPr>
          <w:i/>
          <w:iCs/>
          <w:color w:val="auto"/>
          <w:lang w:val="en-US"/>
        </w:rPr>
        <w:t>Ezekiel 1</w:t>
      </w:r>
      <w:r w:rsidR="00F46900" w:rsidRPr="001005B7">
        <w:rPr>
          <w:i/>
          <w:iCs/>
          <w:color w:val="auto"/>
          <w:lang w:val="en-US"/>
        </w:rPr>
        <w:t>–</w:t>
      </w:r>
      <w:r w:rsidRPr="001005B7">
        <w:rPr>
          <w:i/>
          <w:iCs/>
          <w:color w:val="auto"/>
          <w:lang w:val="en-US"/>
        </w:rPr>
        <w:t>20.</w:t>
      </w:r>
      <w:r w:rsidRPr="001005B7">
        <w:rPr>
          <w:color w:val="auto"/>
          <w:lang w:val="en-US"/>
        </w:rPr>
        <w:t xml:space="preserve"> Concordia Commentary</w:t>
      </w:r>
      <w:r w:rsidR="00195EE3" w:rsidRPr="001005B7">
        <w:rPr>
          <w:color w:val="auto"/>
          <w:lang w:val="en-US"/>
        </w:rPr>
        <w:t>.</w:t>
      </w:r>
      <w:r w:rsidRPr="001005B7">
        <w:rPr>
          <w:color w:val="auto"/>
          <w:lang w:val="en-US"/>
        </w:rPr>
        <w:t xml:space="preserve"> St Louis, MO: Concordia, 2005.</w:t>
      </w:r>
      <w:r w:rsidR="00BD4469" w:rsidRPr="001005B7">
        <w:rPr>
          <w:color w:val="auto"/>
          <w:lang w:val="en-US"/>
        </w:rPr>
        <w:t xml:space="preserve"> </w:t>
      </w:r>
    </w:p>
    <w:p w14:paraId="6809BB6E" w14:textId="5AD5FA80" w:rsidR="00DC390D" w:rsidRPr="001005B7" w:rsidRDefault="0067205C" w:rsidP="006F5BB0">
      <w:pPr>
        <w:pStyle w:val="ListParagraph"/>
        <w:rPr>
          <w:color w:val="auto"/>
          <w:lang w:val="en-US"/>
        </w:rPr>
      </w:pPr>
      <w:r w:rsidRPr="001005B7">
        <w:rPr>
          <w:i/>
          <w:iCs/>
          <w:color w:val="auto"/>
          <w:lang w:val="en-US"/>
        </w:rPr>
        <w:t xml:space="preserve">––– </w:t>
      </w:r>
      <w:r w:rsidR="00DC390D" w:rsidRPr="001005B7">
        <w:rPr>
          <w:i/>
          <w:iCs/>
          <w:color w:val="auto"/>
          <w:lang w:val="en-US"/>
        </w:rPr>
        <w:t>Ezekiel 21</w:t>
      </w:r>
      <w:r w:rsidR="00F46900" w:rsidRPr="001005B7">
        <w:rPr>
          <w:i/>
          <w:iCs/>
          <w:color w:val="auto"/>
          <w:lang w:val="en-US"/>
        </w:rPr>
        <w:t>–</w:t>
      </w:r>
      <w:r w:rsidR="00DC390D" w:rsidRPr="001005B7">
        <w:rPr>
          <w:i/>
          <w:iCs/>
          <w:color w:val="auto"/>
          <w:lang w:val="en-US"/>
        </w:rPr>
        <w:t>48.</w:t>
      </w:r>
      <w:r w:rsidR="00DC390D" w:rsidRPr="001005B7">
        <w:rPr>
          <w:color w:val="auto"/>
          <w:lang w:val="en-US"/>
        </w:rPr>
        <w:t xml:space="preserve"> Concordia Commentary. St Louis, MO: Concordia, 2007. </w:t>
      </w:r>
    </w:p>
    <w:p w14:paraId="13F5FF8A" w14:textId="77777777" w:rsidR="00CD51DB" w:rsidRPr="001005B7" w:rsidRDefault="00B82E3D" w:rsidP="006F5BB0">
      <w:pPr>
        <w:pStyle w:val="ListParagraph"/>
        <w:rPr>
          <w:color w:val="auto"/>
          <w:lang w:val="en-US"/>
        </w:rPr>
      </w:pPr>
      <w:r w:rsidRPr="001005B7">
        <w:rPr>
          <w:color w:val="auto"/>
          <w:lang w:val="en-US"/>
        </w:rPr>
        <w:t>Jenson, R</w:t>
      </w:r>
      <w:r w:rsidR="00ED72A0" w:rsidRPr="001005B7">
        <w:rPr>
          <w:color w:val="auto"/>
          <w:lang w:val="en-US"/>
        </w:rPr>
        <w:t>obert</w:t>
      </w:r>
      <w:r w:rsidRPr="001005B7">
        <w:rPr>
          <w:color w:val="auto"/>
          <w:lang w:val="en-US"/>
        </w:rPr>
        <w:t xml:space="preserve"> W. </w:t>
      </w:r>
      <w:r w:rsidRPr="001005B7">
        <w:rPr>
          <w:i/>
          <w:iCs/>
          <w:color w:val="auto"/>
          <w:lang w:val="en-US"/>
        </w:rPr>
        <w:t>Ezekiel</w:t>
      </w:r>
      <w:r w:rsidRPr="001005B7">
        <w:rPr>
          <w:color w:val="auto"/>
          <w:lang w:val="en-US"/>
        </w:rPr>
        <w:t>. Brazos Theological Commentary on the Bible. Grand Rapids: Brazos, 2009.</w:t>
      </w:r>
    </w:p>
    <w:p w14:paraId="7A7D79FF" w14:textId="027AB86A" w:rsidR="00CD51DB" w:rsidRPr="001005B7" w:rsidRDefault="00CD51DB" w:rsidP="006F5BB0">
      <w:pPr>
        <w:pStyle w:val="ListParagraph"/>
        <w:rPr>
          <w:color w:val="auto"/>
          <w:lang w:val="en-US"/>
        </w:rPr>
      </w:pPr>
      <w:r w:rsidRPr="001005B7">
        <w:rPr>
          <w:color w:val="auto"/>
          <w:lang w:val="en-US"/>
        </w:rPr>
        <w:t>Jerome</w:t>
      </w:r>
      <w:r w:rsidR="00134F19" w:rsidRPr="001005B7">
        <w:rPr>
          <w:color w:val="auto"/>
          <w:lang w:val="en-US"/>
        </w:rPr>
        <w:t xml:space="preserve"> of </w:t>
      </w:r>
      <w:proofErr w:type="spellStart"/>
      <w:r w:rsidR="00134F19" w:rsidRPr="001005B7">
        <w:rPr>
          <w:color w:val="auto"/>
          <w:lang w:val="en-US"/>
        </w:rPr>
        <w:t>Stridon</w:t>
      </w:r>
      <w:proofErr w:type="spellEnd"/>
      <w:r w:rsidRPr="001005B7">
        <w:rPr>
          <w:color w:val="auto"/>
          <w:lang w:val="en-US"/>
        </w:rPr>
        <w:t xml:space="preserve">. </w:t>
      </w:r>
      <w:r w:rsidRPr="001005B7">
        <w:rPr>
          <w:i/>
          <w:iCs/>
          <w:color w:val="auto"/>
          <w:lang w:val="en-US"/>
        </w:rPr>
        <w:t>Commentary on Ezekiel</w:t>
      </w:r>
      <w:r w:rsidRPr="001005B7">
        <w:rPr>
          <w:color w:val="auto"/>
          <w:lang w:val="en-US"/>
        </w:rPr>
        <w:t xml:space="preserve">. </w:t>
      </w:r>
      <w:r w:rsidR="006F61DD" w:rsidRPr="001005B7">
        <w:rPr>
          <w:color w:val="auto"/>
          <w:lang w:val="en-US"/>
        </w:rPr>
        <w:t xml:space="preserve">414 AD. </w:t>
      </w:r>
      <w:r w:rsidRPr="001005B7">
        <w:rPr>
          <w:color w:val="auto"/>
          <w:lang w:val="en-US"/>
        </w:rPr>
        <w:t>Translated by Thomas P. Scheck. Ancient Christian Writers 71. New York: Newman, 2017.</w:t>
      </w:r>
    </w:p>
    <w:p w14:paraId="6144AE3D" w14:textId="77777777" w:rsidR="00B4226F" w:rsidRPr="001005B7" w:rsidRDefault="003978D6" w:rsidP="006F5BB0">
      <w:pPr>
        <w:pStyle w:val="ListParagraph"/>
        <w:rPr>
          <w:color w:val="auto"/>
          <w:lang w:val="en-US"/>
        </w:rPr>
      </w:pPr>
      <w:r w:rsidRPr="001005B7">
        <w:rPr>
          <w:color w:val="auto"/>
          <w:lang w:val="en-US"/>
        </w:rPr>
        <w:t>Joyce, Paul M. </w:t>
      </w:r>
      <w:r w:rsidRPr="001005B7">
        <w:rPr>
          <w:i/>
          <w:iCs/>
          <w:color w:val="auto"/>
          <w:lang w:val="en-US"/>
        </w:rPr>
        <w:t>Ezekiel: A Commentary</w:t>
      </w:r>
      <w:r w:rsidR="002377A9" w:rsidRPr="001005B7">
        <w:rPr>
          <w:color w:val="auto"/>
          <w:lang w:val="en-US"/>
        </w:rPr>
        <w:t xml:space="preserve">. </w:t>
      </w:r>
      <w:r w:rsidRPr="001005B7">
        <w:rPr>
          <w:color w:val="auto"/>
          <w:lang w:val="en-US"/>
        </w:rPr>
        <w:t>LHBOTS 482</w:t>
      </w:r>
      <w:r w:rsidR="002377A9" w:rsidRPr="001005B7">
        <w:rPr>
          <w:color w:val="auto"/>
          <w:lang w:val="en-US"/>
        </w:rPr>
        <w:t>.</w:t>
      </w:r>
      <w:r w:rsidRPr="001005B7">
        <w:rPr>
          <w:color w:val="auto"/>
          <w:lang w:val="en-US"/>
        </w:rPr>
        <w:t xml:space="preserve"> London: T&amp;T Clark, 2007.</w:t>
      </w:r>
    </w:p>
    <w:p w14:paraId="3120A911" w14:textId="77777777" w:rsidR="00113646" w:rsidRPr="001005B7" w:rsidRDefault="00B4226F" w:rsidP="006F5BB0">
      <w:pPr>
        <w:pStyle w:val="ListParagraph"/>
        <w:rPr>
          <w:color w:val="auto"/>
          <w:lang w:val="en-US"/>
        </w:rPr>
      </w:pPr>
      <w:r w:rsidRPr="001005B7">
        <w:rPr>
          <w:color w:val="auto"/>
          <w:lang w:val="en-US"/>
        </w:rPr>
        <w:t>Keil, Carl Friedrich. </w:t>
      </w:r>
      <w:r w:rsidRPr="001005B7">
        <w:rPr>
          <w:i/>
          <w:iCs/>
          <w:color w:val="auto"/>
          <w:lang w:val="en-US"/>
        </w:rPr>
        <w:t>Biblical Commentary on the Prophecies of Ezekiel</w:t>
      </w:r>
      <w:r w:rsidRPr="001005B7">
        <w:rPr>
          <w:color w:val="auto"/>
          <w:lang w:val="en-US"/>
        </w:rPr>
        <w:t>. Translated by James Martin. 2 volumes. Clark's Foreign Theological Library. Edinburgh: T&amp;T Clark, 1876.</w:t>
      </w:r>
    </w:p>
    <w:p w14:paraId="32630508" w14:textId="0BE574D4" w:rsidR="000B0F44" w:rsidRPr="001005B7" w:rsidRDefault="000B0F44" w:rsidP="006F5BB0">
      <w:pPr>
        <w:pStyle w:val="ListParagraph"/>
        <w:rPr>
          <w:color w:val="auto"/>
          <w:lang w:val="en-US"/>
        </w:rPr>
      </w:pPr>
      <w:proofErr w:type="spellStart"/>
      <w:r w:rsidRPr="001005B7">
        <w:rPr>
          <w:color w:val="auto"/>
          <w:lang w:val="en-US"/>
        </w:rPr>
        <w:t>Kraetzschmar</w:t>
      </w:r>
      <w:proofErr w:type="spellEnd"/>
      <w:r w:rsidRPr="001005B7">
        <w:rPr>
          <w:color w:val="auto"/>
          <w:lang w:val="en-US"/>
        </w:rPr>
        <w:t xml:space="preserve">, Richard. </w:t>
      </w:r>
      <w:r w:rsidR="00852518" w:rsidRPr="001005B7">
        <w:rPr>
          <w:i/>
          <w:iCs/>
          <w:color w:val="auto"/>
          <w:lang w:val="en-US"/>
        </w:rPr>
        <w:t>Das Buch Ezechiel</w:t>
      </w:r>
      <w:r w:rsidR="00852518" w:rsidRPr="001005B7">
        <w:rPr>
          <w:color w:val="auto"/>
          <w:lang w:val="en-US"/>
        </w:rPr>
        <w:t xml:space="preserve">. </w:t>
      </w:r>
      <w:proofErr w:type="spellStart"/>
      <w:r w:rsidR="001C4001" w:rsidRPr="001005B7">
        <w:rPr>
          <w:color w:val="auto"/>
          <w:lang w:val="en-US"/>
        </w:rPr>
        <w:t>Handkommentar</w:t>
      </w:r>
      <w:proofErr w:type="spellEnd"/>
      <w:r w:rsidR="00EE60D6" w:rsidRPr="001005B7">
        <w:rPr>
          <w:color w:val="auto"/>
          <w:lang w:val="en-US"/>
        </w:rPr>
        <w:t xml:space="preserve"> </w:t>
      </w:r>
      <w:proofErr w:type="spellStart"/>
      <w:r w:rsidR="009C1576" w:rsidRPr="001005B7">
        <w:rPr>
          <w:color w:val="auto"/>
          <w:lang w:val="en-US"/>
        </w:rPr>
        <w:t>zum</w:t>
      </w:r>
      <w:proofErr w:type="spellEnd"/>
      <w:r w:rsidR="009C1576" w:rsidRPr="001005B7">
        <w:rPr>
          <w:color w:val="auto"/>
          <w:lang w:val="en-US"/>
        </w:rPr>
        <w:t xml:space="preserve"> </w:t>
      </w:r>
      <w:proofErr w:type="spellStart"/>
      <w:r w:rsidR="00EE60D6" w:rsidRPr="001005B7">
        <w:rPr>
          <w:color w:val="auto"/>
          <w:lang w:val="en-US"/>
        </w:rPr>
        <w:t>Alten</w:t>
      </w:r>
      <w:proofErr w:type="spellEnd"/>
      <w:r w:rsidR="00EE60D6" w:rsidRPr="001005B7">
        <w:rPr>
          <w:color w:val="auto"/>
          <w:lang w:val="en-US"/>
        </w:rPr>
        <w:t xml:space="preserve"> </w:t>
      </w:r>
      <w:proofErr w:type="spellStart"/>
      <w:r w:rsidR="00EE60D6" w:rsidRPr="001005B7">
        <w:rPr>
          <w:color w:val="auto"/>
          <w:lang w:val="en-US"/>
        </w:rPr>
        <w:t>Textament</w:t>
      </w:r>
      <w:proofErr w:type="spellEnd"/>
      <w:r w:rsidR="00EE60D6" w:rsidRPr="001005B7">
        <w:rPr>
          <w:color w:val="auto"/>
          <w:lang w:val="en-US"/>
        </w:rPr>
        <w:t xml:space="preserve"> III, 3/1. Göttingen: </w:t>
      </w:r>
      <w:proofErr w:type="spellStart"/>
      <w:r w:rsidR="00EE60D6" w:rsidRPr="001005B7">
        <w:rPr>
          <w:color w:val="auto"/>
          <w:lang w:val="en-US"/>
        </w:rPr>
        <w:t>Vandenhoeck</w:t>
      </w:r>
      <w:proofErr w:type="spellEnd"/>
      <w:r w:rsidR="00217B38">
        <w:rPr>
          <w:color w:val="auto"/>
          <w:lang w:val="en-US"/>
        </w:rPr>
        <w:t xml:space="preserve"> </w:t>
      </w:r>
      <w:r w:rsidR="00217B38">
        <w:t>&amp; Ruprecht</w:t>
      </w:r>
      <w:r w:rsidR="00EE60D6" w:rsidRPr="001005B7">
        <w:rPr>
          <w:color w:val="auto"/>
          <w:lang w:val="en-US"/>
        </w:rPr>
        <w:t>, 1900.</w:t>
      </w:r>
    </w:p>
    <w:p w14:paraId="5ED1674E" w14:textId="77777777" w:rsidR="00E202B5" w:rsidRPr="001005B7" w:rsidRDefault="00113646" w:rsidP="006F5BB0">
      <w:pPr>
        <w:pStyle w:val="ListParagraph"/>
        <w:rPr>
          <w:color w:val="auto"/>
          <w:lang w:val="en-US"/>
        </w:rPr>
      </w:pPr>
      <w:r w:rsidRPr="001005B7">
        <w:rPr>
          <w:color w:val="auto"/>
          <w:lang w:val="en-US"/>
        </w:rPr>
        <w:t xml:space="preserve">Lind, Millard C. </w:t>
      </w:r>
      <w:r w:rsidRPr="001005B7">
        <w:rPr>
          <w:i/>
          <w:iCs/>
          <w:color w:val="auto"/>
          <w:lang w:val="en-US"/>
        </w:rPr>
        <w:t>Ezekiel</w:t>
      </w:r>
      <w:r w:rsidRPr="001005B7">
        <w:rPr>
          <w:color w:val="auto"/>
          <w:lang w:val="en-US"/>
        </w:rPr>
        <w:t>. Believers Church Bible Commentary. Scottdale, PA: Herald, 1996.</w:t>
      </w:r>
    </w:p>
    <w:p w14:paraId="7161748D" w14:textId="4829AC5E" w:rsidR="00660BB6" w:rsidRPr="001005B7" w:rsidRDefault="00E202B5" w:rsidP="006F5BB0">
      <w:pPr>
        <w:pStyle w:val="ListParagraph"/>
        <w:rPr>
          <w:color w:val="auto"/>
          <w:lang w:val="en-US"/>
        </w:rPr>
      </w:pPr>
      <w:r w:rsidRPr="001005B7">
        <w:rPr>
          <w:color w:val="auto"/>
          <w:lang w:val="en-US"/>
        </w:rPr>
        <w:t>Lofthouse, W</w:t>
      </w:r>
      <w:r w:rsidR="00BB3B7B" w:rsidRPr="001005B7">
        <w:rPr>
          <w:color w:val="auto"/>
          <w:lang w:val="en-US"/>
        </w:rPr>
        <w:t>illiam</w:t>
      </w:r>
      <w:r w:rsidRPr="001005B7">
        <w:rPr>
          <w:color w:val="auto"/>
          <w:lang w:val="en-US"/>
        </w:rPr>
        <w:t xml:space="preserve"> F. </w:t>
      </w:r>
      <w:r w:rsidRPr="001005B7">
        <w:rPr>
          <w:i/>
          <w:iCs/>
          <w:color w:val="auto"/>
          <w:lang w:val="en-US"/>
        </w:rPr>
        <w:t>Ezekiel: Introduction, Revised Version with Notes, Illustrations</w:t>
      </w:r>
      <w:r w:rsidR="00AE145A" w:rsidRPr="001005B7">
        <w:rPr>
          <w:color w:val="auto"/>
          <w:lang w:val="en-US"/>
        </w:rPr>
        <w:t xml:space="preserve">. </w:t>
      </w:r>
      <w:r w:rsidRPr="001005B7">
        <w:rPr>
          <w:color w:val="auto"/>
          <w:lang w:val="en-US"/>
        </w:rPr>
        <w:t>The Century Bible 18</w:t>
      </w:r>
      <w:r w:rsidR="00472E46" w:rsidRPr="001005B7">
        <w:rPr>
          <w:color w:val="auto"/>
          <w:lang w:val="en-US"/>
        </w:rPr>
        <w:t>.</w:t>
      </w:r>
      <w:r w:rsidRPr="001005B7">
        <w:rPr>
          <w:color w:val="auto"/>
          <w:lang w:val="en-US"/>
        </w:rPr>
        <w:t xml:space="preserve"> Edinburgh: T. C. &amp; E. C. Jack, 1901.</w:t>
      </w:r>
    </w:p>
    <w:p w14:paraId="2F6C861B" w14:textId="51D22AA9" w:rsidR="00660BB6" w:rsidRPr="001005B7" w:rsidRDefault="00660BB6" w:rsidP="007430BF">
      <w:pPr>
        <w:tabs>
          <w:tab w:val="left" w:pos="3328"/>
        </w:tabs>
        <w:spacing w:after="60" w:line="240" w:lineRule="auto"/>
        <w:ind w:left="567" w:hanging="567"/>
        <w:rPr>
          <w:rFonts w:ascii="Calibri" w:hAnsi="Calibri" w:cs="Calibri"/>
        </w:rPr>
      </w:pPr>
      <w:proofErr w:type="spellStart"/>
      <w:r w:rsidRPr="001005B7">
        <w:rPr>
          <w:rFonts w:ascii="Calibri" w:hAnsi="Calibri" w:cs="Calibri"/>
        </w:rPr>
        <w:t>Luzzato</w:t>
      </w:r>
      <w:proofErr w:type="spellEnd"/>
      <w:r w:rsidR="00D85F5A" w:rsidRPr="001005B7">
        <w:rPr>
          <w:rFonts w:ascii="Calibri" w:hAnsi="Calibri" w:cs="Calibri"/>
        </w:rPr>
        <w:t>, Samuel David</w:t>
      </w:r>
      <w:r w:rsidR="00D45485" w:rsidRPr="001005B7">
        <w:rPr>
          <w:rFonts w:ascii="Calibri" w:hAnsi="Calibri" w:cs="Calibri"/>
        </w:rPr>
        <w:t xml:space="preserve">. </w:t>
      </w:r>
      <w:proofErr w:type="spellStart"/>
      <w:r w:rsidRPr="001005B7">
        <w:rPr>
          <w:rFonts w:ascii="Calibri" w:hAnsi="Calibri" w:cs="Calibri"/>
          <w:shd w:val="clear" w:color="auto" w:fill="FFFFFF"/>
        </w:rPr>
        <w:t>פירושי</w:t>
      </w:r>
      <w:proofErr w:type="spellEnd"/>
      <w:r w:rsidRPr="001005B7">
        <w:rPr>
          <w:rFonts w:ascii="Calibri" w:hAnsi="Calibri" w:cs="Calibri"/>
          <w:shd w:val="clear" w:color="auto" w:fill="FFFFFF"/>
        </w:rPr>
        <w:t xml:space="preserve"> </w:t>
      </w:r>
      <w:proofErr w:type="spellStart"/>
      <w:r w:rsidRPr="001005B7">
        <w:rPr>
          <w:rFonts w:ascii="Calibri" w:hAnsi="Calibri" w:cs="Calibri"/>
          <w:shd w:val="clear" w:color="auto" w:fill="FFFFFF"/>
        </w:rPr>
        <w:t>שד״ל</w:t>
      </w:r>
      <w:proofErr w:type="spellEnd"/>
      <w:r w:rsidRPr="001005B7">
        <w:rPr>
          <w:rFonts w:ascii="Calibri" w:hAnsi="Calibri" w:cs="Calibri"/>
          <w:shd w:val="clear" w:color="auto" w:fill="FFFFFF"/>
        </w:rPr>
        <w:t xml:space="preserve"> </w:t>
      </w:r>
      <w:proofErr w:type="spellStart"/>
      <w:r w:rsidRPr="001005B7">
        <w:rPr>
          <w:rFonts w:ascii="Calibri" w:hAnsi="Calibri" w:cs="Calibri"/>
          <w:shd w:val="clear" w:color="auto" w:fill="FFFFFF"/>
        </w:rPr>
        <w:t>זʺל</w:t>
      </w:r>
      <w:proofErr w:type="spellEnd"/>
      <w:r w:rsidRPr="001005B7">
        <w:rPr>
          <w:rFonts w:ascii="Calibri" w:hAnsi="Calibri" w:cs="Calibri"/>
          <w:shd w:val="clear" w:color="auto" w:fill="FFFFFF"/>
        </w:rPr>
        <w:t xml:space="preserve"> </w:t>
      </w:r>
      <w:proofErr w:type="spellStart"/>
      <w:r w:rsidRPr="001005B7">
        <w:rPr>
          <w:rFonts w:ascii="Calibri" w:hAnsi="Calibri" w:cs="Calibri"/>
          <w:shd w:val="clear" w:color="auto" w:fill="FFFFFF"/>
        </w:rPr>
        <w:t>על</w:t>
      </w:r>
      <w:proofErr w:type="spellEnd"/>
      <w:r w:rsidRPr="001005B7">
        <w:rPr>
          <w:rFonts w:ascii="Calibri" w:hAnsi="Calibri" w:cs="Calibri"/>
          <w:shd w:val="clear" w:color="auto" w:fill="FFFFFF"/>
        </w:rPr>
        <w:t xml:space="preserve"> </w:t>
      </w:r>
      <w:proofErr w:type="spellStart"/>
      <w:r w:rsidRPr="001005B7">
        <w:rPr>
          <w:rFonts w:ascii="Calibri" w:hAnsi="Calibri" w:cs="Calibri"/>
          <w:shd w:val="clear" w:color="auto" w:fill="FFFFFF"/>
        </w:rPr>
        <w:t>ירמיה</w:t>
      </w:r>
      <w:proofErr w:type="spellEnd"/>
      <w:r w:rsidRPr="001005B7">
        <w:rPr>
          <w:rFonts w:ascii="Calibri" w:hAnsi="Calibri" w:cs="Calibri"/>
          <w:shd w:val="clear" w:color="auto" w:fill="FFFFFF"/>
        </w:rPr>
        <w:t xml:space="preserve">, </w:t>
      </w:r>
      <w:proofErr w:type="spellStart"/>
      <w:r w:rsidRPr="001005B7">
        <w:rPr>
          <w:rFonts w:ascii="Calibri" w:hAnsi="Calibri" w:cs="Calibri"/>
          <w:shd w:val="clear" w:color="auto" w:fill="FFFFFF"/>
        </w:rPr>
        <w:t>יחזקאל</w:t>
      </w:r>
      <w:proofErr w:type="spellEnd"/>
      <w:r w:rsidRPr="001005B7">
        <w:rPr>
          <w:rFonts w:ascii="Calibri" w:hAnsi="Calibri" w:cs="Calibri"/>
          <w:shd w:val="clear" w:color="auto" w:fill="FFFFFF"/>
        </w:rPr>
        <w:t xml:space="preserve">, </w:t>
      </w:r>
      <w:proofErr w:type="spellStart"/>
      <w:r w:rsidRPr="001005B7">
        <w:rPr>
          <w:rFonts w:ascii="Calibri" w:hAnsi="Calibri" w:cs="Calibri"/>
          <w:shd w:val="clear" w:color="auto" w:fill="FFFFFF"/>
        </w:rPr>
        <w:t>משלי</w:t>
      </w:r>
      <w:proofErr w:type="spellEnd"/>
      <w:r w:rsidRPr="001005B7">
        <w:rPr>
          <w:rFonts w:ascii="Calibri" w:hAnsi="Calibri" w:cs="Calibri"/>
          <w:shd w:val="clear" w:color="auto" w:fill="FFFFFF"/>
        </w:rPr>
        <w:t xml:space="preserve"> </w:t>
      </w:r>
      <w:proofErr w:type="spellStart"/>
      <w:r w:rsidRPr="001005B7">
        <w:rPr>
          <w:rFonts w:ascii="Calibri" w:hAnsi="Calibri" w:cs="Calibri"/>
          <w:shd w:val="clear" w:color="auto" w:fill="FFFFFF"/>
        </w:rPr>
        <w:t>ואיוב</w:t>
      </w:r>
      <w:proofErr w:type="spellEnd"/>
      <w:r w:rsidRPr="001005B7">
        <w:rPr>
          <w:rFonts w:ascii="Calibri" w:hAnsi="Calibri" w:cs="Calibri"/>
          <w:shd w:val="clear" w:color="auto" w:fill="FFFFFF"/>
        </w:rPr>
        <w:t>.</w:t>
      </w:r>
      <w:r w:rsidR="00D61BB3" w:rsidRPr="001005B7">
        <w:rPr>
          <w:rFonts w:ascii="Calibri" w:hAnsi="Calibri" w:cs="Calibri"/>
          <w:shd w:val="clear" w:color="auto" w:fill="FFFFFF"/>
        </w:rPr>
        <w:t xml:space="preserve"> Lemberg: Menkes, </w:t>
      </w:r>
      <w:r w:rsidR="00904170" w:rsidRPr="001005B7">
        <w:rPr>
          <w:rFonts w:ascii="Calibri" w:hAnsi="Calibri" w:cs="Calibri"/>
          <w:shd w:val="clear" w:color="auto" w:fill="FFFFFF"/>
        </w:rPr>
        <w:t>1876.</w:t>
      </w:r>
    </w:p>
    <w:p w14:paraId="2CF02A46" w14:textId="77777777" w:rsidR="00364F99" w:rsidRPr="001005B7" w:rsidRDefault="00551C5D" w:rsidP="006F5BB0">
      <w:pPr>
        <w:pStyle w:val="ListParagraph"/>
        <w:rPr>
          <w:color w:val="auto"/>
          <w:lang w:val="en-US"/>
        </w:rPr>
      </w:pPr>
      <w:proofErr w:type="spellStart"/>
      <w:r w:rsidRPr="001005B7">
        <w:rPr>
          <w:color w:val="auto"/>
          <w:lang w:val="en-US"/>
        </w:rPr>
        <w:t>Malaty</w:t>
      </w:r>
      <w:proofErr w:type="spellEnd"/>
      <w:r w:rsidRPr="001005B7">
        <w:rPr>
          <w:color w:val="auto"/>
          <w:lang w:val="en-US"/>
        </w:rPr>
        <w:t xml:space="preserve">, </w:t>
      </w:r>
      <w:proofErr w:type="spellStart"/>
      <w:r w:rsidRPr="001005B7">
        <w:rPr>
          <w:color w:val="auto"/>
          <w:lang w:val="en-US"/>
        </w:rPr>
        <w:t>Tadros</w:t>
      </w:r>
      <w:proofErr w:type="spellEnd"/>
      <w:r w:rsidRPr="001005B7">
        <w:rPr>
          <w:color w:val="auto"/>
          <w:lang w:val="en-US"/>
        </w:rPr>
        <w:t xml:space="preserve"> Y. </w:t>
      </w:r>
      <w:r w:rsidRPr="001005B7">
        <w:rPr>
          <w:i/>
          <w:iCs/>
          <w:color w:val="auto"/>
          <w:lang w:val="en-US"/>
        </w:rPr>
        <w:t>Ezekiel. A Patristic Commentary</w:t>
      </w:r>
      <w:r w:rsidRPr="001005B7">
        <w:rPr>
          <w:color w:val="auto"/>
          <w:lang w:val="en-US"/>
        </w:rPr>
        <w:t>. Orange, CA: Coptic Orthodox Christian Center, 2004.</w:t>
      </w:r>
    </w:p>
    <w:p w14:paraId="1D717066" w14:textId="77777777" w:rsidR="00805F22" w:rsidRPr="001005B7" w:rsidRDefault="00364F99" w:rsidP="006F5BB0">
      <w:pPr>
        <w:pStyle w:val="ListParagraph"/>
        <w:rPr>
          <w:color w:val="auto"/>
          <w:lang w:val="en-US"/>
        </w:rPr>
      </w:pPr>
      <w:r w:rsidRPr="001005B7">
        <w:rPr>
          <w:color w:val="auto"/>
          <w:lang w:val="en-US"/>
        </w:rPr>
        <w:t>Mayer, John. A Commentary upon All the Prophets Both Great and Small. London: Miller and Cotes, 1652.</w:t>
      </w:r>
    </w:p>
    <w:p w14:paraId="1397A9D7" w14:textId="09A26038" w:rsidR="008B394B" w:rsidRPr="001005B7" w:rsidRDefault="008B394B" w:rsidP="006F5BB0">
      <w:pPr>
        <w:pStyle w:val="ListParagraph"/>
        <w:rPr>
          <w:color w:val="auto"/>
          <w:lang w:val="en-US"/>
        </w:rPr>
      </w:pPr>
      <w:r w:rsidRPr="001005B7">
        <w:rPr>
          <w:color w:val="auto"/>
          <w:lang w:val="en-US"/>
        </w:rPr>
        <w:t>Milgrom, J</w:t>
      </w:r>
      <w:r w:rsidR="000A519D" w:rsidRPr="001005B7">
        <w:rPr>
          <w:color w:val="auto"/>
          <w:lang w:val="en-US"/>
        </w:rPr>
        <w:t>acob,</w:t>
      </w:r>
      <w:r w:rsidRPr="001005B7">
        <w:rPr>
          <w:color w:val="auto"/>
          <w:lang w:val="en-US"/>
        </w:rPr>
        <w:t xml:space="preserve"> </w:t>
      </w:r>
      <w:r w:rsidR="000470B3" w:rsidRPr="001005B7">
        <w:rPr>
          <w:color w:val="auto"/>
          <w:lang w:val="en-US"/>
        </w:rPr>
        <w:t>and</w:t>
      </w:r>
      <w:r w:rsidRPr="001005B7">
        <w:rPr>
          <w:color w:val="auto"/>
          <w:lang w:val="en-US"/>
        </w:rPr>
        <w:t xml:space="preserve"> D</w:t>
      </w:r>
      <w:r w:rsidR="00622EC4" w:rsidRPr="001005B7">
        <w:rPr>
          <w:color w:val="auto"/>
          <w:lang w:val="en-US"/>
        </w:rPr>
        <w:t>aniel</w:t>
      </w:r>
      <w:r w:rsidRPr="001005B7">
        <w:rPr>
          <w:color w:val="auto"/>
          <w:lang w:val="en-US"/>
        </w:rPr>
        <w:t xml:space="preserve"> I. Block</w:t>
      </w:r>
      <w:r w:rsidR="000470B3" w:rsidRPr="001005B7">
        <w:rPr>
          <w:color w:val="auto"/>
          <w:lang w:val="en-US"/>
        </w:rPr>
        <w:t>.</w:t>
      </w:r>
      <w:r w:rsidRPr="001005B7">
        <w:rPr>
          <w:color w:val="auto"/>
          <w:lang w:val="en-US"/>
        </w:rPr>
        <w:t> </w:t>
      </w:r>
      <w:r w:rsidRPr="001005B7">
        <w:rPr>
          <w:i/>
          <w:iCs/>
          <w:color w:val="auto"/>
          <w:lang w:val="en-US"/>
        </w:rPr>
        <w:t>Ezekiel's Hope: A Commentary on Ezekiel 38</w:t>
      </w:r>
      <w:r w:rsidR="00F46900" w:rsidRPr="001005B7">
        <w:rPr>
          <w:i/>
          <w:iCs/>
          <w:color w:val="auto"/>
          <w:lang w:val="en-US"/>
        </w:rPr>
        <w:t>–</w:t>
      </w:r>
      <w:r w:rsidRPr="001005B7">
        <w:rPr>
          <w:i/>
          <w:iCs/>
          <w:color w:val="auto"/>
          <w:lang w:val="en-US"/>
        </w:rPr>
        <w:t>48</w:t>
      </w:r>
      <w:r w:rsidR="000470B3" w:rsidRPr="001005B7">
        <w:rPr>
          <w:i/>
          <w:iCs/>
          <w:color w:val="auto"/>
          <w:lang w:val="en-US"/>
        </w:rPr>
        <w:t>.</w:t>
      </w:r>
      <w:r w:rsidR="000470B3" w:rsidRPr="001005B7">
        <w:rPr>
          <w:color w:val="auto"/>
          <w:lang w:val="en-US"/>
        </w:rPr>
        <w:t xml:space="preserve"> </w:t>
      </w:r>
      <w:r w:rsidRPr="001005B7">
        <w:rPr>
          <w:color w:val="auto"/>
          <w:lang w:val="en-US"/>
        </w:rPr>
        <w:t>Eugene, OR: Cascade Books, 2012.</w:t>
      </w:r>
      <w:r w:rsidR="00CC3199" w:rsidRPr="001005B7">
        <w:rPr>
          <w:color w:val="auto"/>
          <w:lang w:val="en-US"/>
        </w:rPr>
        <w:t xml:space="preserve"> (cited as “Milgrom”)</w:t>
      </w:r>
    </w:p>
    <w:p w14:paraId="55114015" w14:textId="2CEE9A60" w:rsidR="008A576A" w:rsidRPr="001005B7" w:rsidRDefault="008A576A" w:rsidP="006F5BB0">
      <w:pPr>
        <w:pStyle w:val="ListParagraph"/>
        <w:rPr>
          <w:color w:val="auto"/>
          <w:lang w:val="en-US"/>
        </w:rPr>
      </w:pPr>
      <w:r w:rsidRPr="001005B7">
        <w:rPr>
          <w:color w:val="auto"/>
          <w:lang w:val="en-US"/>
        </w:rPr>
        <w:t>Mos</w:t>
      </w:r>
      <w:r w:rsidR="0096617D" w:rsidRPr="001005B7">
        <w:rPr>
          <w:color w:val="auto"/>
          <w:lang w:val="en-US"/>
        </w:rPr>
        <w:t>he</w:t>
      </w:r>
      <w:r w:rsidRPr="001005B7">
        <w:rPr>
          <w:color w:val="auto"/>
          <w:lang w:val="en-US"/>
        </w:rPr>
        <w:t xml:space="preserve"> ben </w:t>
      </w:r>
      <w:proofErr w:type="spellStart"/>
      <w:r w:rsidRPr="001005B7">
        <w:rPr>
          <w:color w:val="auto"/>
          <w:lang w:val="en-US"/>
        </w:rPr>
        <w:t>S</w:t>
      </w:r>
      <w:r w:rsidR="008755F8" w:rsidRPr="001005B7">
        <w:rPr>
          <w:color w:val="auto"/>
          <w:lang w:val="en-US"/>
        </w:rPr>
        <w:t>he</w:t>
      </w:r>
      <w:r w:rsidR="00F448EA" w:rsidRPr="001005B7">
        <w:rPr>
          <w:color w:val="auto"/>
          <w:lang w:val="en-US"/>
        </w:rPr>
        <w:t>shet</w:t>
      </w:r>
      <w:r w:rsidR="0096617D" w:rsidRPr="001005B7">
        <w:rPr>
          <w:color w:val="auto"/>
          <w:lang w:val="en-US"/>
        </w:rPr>
        <w:t>h</w:t>
      </w:r>
      <w:proofErr w:type="spellEnd"/>
      <w:r w:rsidR="00F448EA" w:rsidRPr="001005B7">
        <w:rPr>
          <w:color w:val="auto"/>
          <w:lang w:val="en-US"/>
        </w:rPr>
        <w:t xml:space="preserve">. </w:t>
      </w:r>
      <w:r w:rsidR="00D75989" w:rsidRPr="001005B7">
        <w:rPr>
          <w:i/>
          <w:iCs/>
          <w:color w:val="auto"/>
          <w:lang w:val="en-US"/>
        </w:rPr>
        <w:t xml:space="preserve">A Commentary upon </w:t>
      </w:r>
      <w:r w:rsidR="0096617D" w:rsidRPr="001005B7">
        <w:rPr>
          <w:i/>
          <w:iCs/>
          <w:color w:val="auto"/>
          <w:lang w:val="en-US"/>
        </w:rPr>
        <w:t xml:space="preserve">the Books of </w:t>
      </w:r>
      <w:r w:rsidR="00D75989" w:rsidRPr="001005B7">
        <w:rPr>
          <w:i/>
          <w:iCs/>
          <w:color w:val="auto"/>
          <w:lang w:val="en-US"/>
        </w:rPr>
        <w:t xml:space="preserve">Jeremiah and </w:t>
      </w:r>
      <w:proofErr w:type="spellStart"/>
      <w:r w:rsidR="00D75989" w:rsidRPr="001005B7">
        <w:rPr>
          <w:i/>
          <w:iCs/>
          <w:color w:val="auto"/>
          <w:lang w:val="en-US"/>
        </w:rPr>
        <w:t>Eze</w:t>
      </w:r>
      <w:r w:rsidR="0058523B" w:rsidRPr="001005B7">
        <w:rPr>
          <w:i/>
          <w:iCs/>
          <w:color w:val="auto"/>
          <w:lang w:val="en-US"/>
        </w:rPr>
        <w:t>q</w:t>
      </w:r>
      <w:r w:rsidR="00D75989" w:rsidRPr="001005B7">
        <w:rPr>
          <w:i/>
          <w:iCs/>
          <w:color w:val="auto"/>
          <w:lang w:val="en-US"/>
        </w:rPr>
        <w:t>iel</w:t>
      </w:r>
      <w:proofErr w:type="spellEnd"/>
      <w:r w:rsidR="00D75989" w:rsidRPr="001005B7">
        <w:rPr>
          <w:i/>
          <w:iCs/>
          <w:color w:val="auto"/>
          <w:lang w:val="en-US"/>
        </w:rPr>
        <w:t xml:space="preserve">. </w:t>
      </w:r>
      <w:r w:rsidR="00EF6BAA" w:rsidRPr="001005B7">
        <w:rPr>
          <w:color w:val="auto"/>
          <w:lang w:val="en-US"/>
        </w:rPr>
        <w:t>12</w:t>
      </w:r>
      <w:r w:rsidR="00EF6BAA" w:rsidRPr="001005B7">
        <w:rPr>
          <w:color w:val="auto"/>
          <w:vertAlign w:val="superscript"/>
          <w:lang w:val="en-US"/>
        </w:rPr>
        <w:t>th</w:t>
      </w:r>
      <w:r w:rsidR="00EF6BAA" w:rsidRPr="001005B7">
        <w:rPr>
          <w:color w:val="auto"/>
          <w:lang w:val="en-US"/>
        </w:rPr>
        <w:t xml:space="preserve"> century</w:t>
      </w:r>
      <w:r w:rsidR="00995DF5" w:rsidRPr="001005B7">
        <w:rPr>
          <w:color w:val="auto"/>
          <w:lang w:val="en-US"/>
        </w:rPr>
        <w:t xml:space="preserve"> (</w:t>
      </w:r>
      <w:r w:rsidR="000B08EA" w:rsidRPr="001005B7">
        <w:rPr>
          <w:color w:val="auto"/>
          <w:lang w:val="en-US"/>
        </w:rPr>
        <w:t>?)</w:t>
      </w:r>
      <w:r w:rsidR="00EF6BAA" w:rsidRPr="001005B7">
        <w:rPr>
          <w:color w:val="auto"/>
          <w:lang w:val="en-US"/>
        </w:rPr>
        <w:t xml:space="preserve">. </w:t>
      </w:r>
      <w:r w:rsidR="00645EED" w:rsidRPr="001005B7">
        <w:rPr>
          <w:color w:val="auto"/>
          <w:lang w:val="en-US"/>
        </w:rPr>
        <w:t>Edited and t</w:t>
      </w:r>
      <w:r w:rsidR="00D75989" w:rsidRPr="001005B7">
        <w:rPr>
          <w:color w:val="auto"/>
          <w:lang w:val="en-US"/>
        </w:rPr>
        <w:t>ranslated by S. R. Driver. Lon</w:t>
      </w:r>
      <w:r w:rsidR="00442D38" w:rsidRPr="001005B7">
        <w:rPr>
          <w:color w:val="auto"/>
          <w:lang w:val="en-US"/>
        </w:rPr>
        <w:t xml:space="preserve">don: </w:t>
      </w:r>
      <w:r w:rsidR="000B08EA" w:rsidRPr="001005B7">
        <w:rPr>
          <w:color w:val="auto"/>
          <w:lang w:val="en-US"/>
        </w:rPr>
        <w:t>Williams</w:t>
      </w:r>
      <w:r w:rsidR="00442D38" w:rsidRPr="001005B7">
        <w:rPr>
          <w:color w:val="auto"/>
          <w:lang w:val="en-US"/>
        </w:rPr>
        <w:t xml:space="preserve"> and Norgate, </w:t>
      </w:r>
      <w:r w:rsidR="00EF6BAA" w:rsidRPr="001005B7">
        <w:rPr>
          <w:color w:val="auto"/>
          <w:lang w:val="en-US"/>
        </w:rPr>
        <w:t>1871.</w:t>
      </w:r>
    </w:p>
    <w:p w14:paraId="2DF6DA92" w14:textId="77777777" w:rsidR="0035649C" w:rsidRPr="001005B7" w:rsidRDefault="002229F2" w:rsidP="006F5BB0">
      <w:pPr>
        <w:pStyle w:val="ListParagraph"/>
        <w:rPr>
          <w:color w:val="auto"/>
          <w:lang w:val="en-US"/>
        </w:rPr>
      </w:pPr>
      <w:r w:rsidRPr="001005B7">
        <w:rPr>
          <w:color w:val="auto"/>
          <w:lang w:val="en-US"/>
        </w:rPr>
        <w:t>Odell, Margaret S. </w:t>
      </w:r>
      <w:r w:rsidRPr="001005B7">
        <w:rPr>
          <w:i/>
          <w:iCs/>
          <w:color w:val="auto"/>
          <w:lang w:val="en-US"/>
        </w:rPr>
        <w:t>Ezekiel</w:t>
      </w:r>
      <w:r w:rsidRPr="001005B7">
        <w:rPr>
          <w:color w:val="auto"/>
          <w:lang w:val="en-US"/>
        </w:rPr>
        <w:t xml:space="preserve">. Smyth &amp; </w:t>
      </w:r>
      <w:proofErr w:type="spellStart"/>
      <w:r w:rsidRPr="001005B7">
        <w:rPr>
          <w:color w:val="auto"/>
          <w:lang w:val="en-US"/>
        </w:rPr>
        <w:t>Helwys</w:t>
      </w:r>
      <w:proofErr w:type="spellEnd"/>
      <w:r w:rsidRPr="001005B7">
        <w:rPr>
          <w:color w:val="auto"/>
          <w:lang w:val="en-US"/>
        </w:rPr>
        <w:t xml:space="preserve"> Bible Commentary 16. Macon, GA: Smyth &amp; </w:t>
      </w:r>
      <w:proofErr w:type="spellStart"/>
      <w:r w:rsidRPr="001005B7">
        <w:rPr>
          <w:color w:val="auto"/>
          <w:lang w:val="en-US"/>
        </w:rPr>
        <w:t>Helwys</w:t>
      </w:r>
      <w:proofErr w:type="spellEnd"/>
      <w:r w:rsidRPr="001005B7">
        <w:rPr>
          <w:color w:val="auto"/>
          <w:lang w:val="en-US"/>
        </w:rPr>
        <w:t>, 2005.</w:t>
      </w:r>
    </w:p>
    <w:p w14:paraId="36BD9CE0" w14:textId="5D9811FC" w:rsidR="0035649C" w:rsidRPr="001005B7" w:rsidRDefault="0035649C" w:rsidP="006F5BB0">
      <w:pPr>
        <w:pStyle w:val="ListParagraph"/>
        <w:rPr>
          <w:color w:val="auto"/>
          <w:lang w:val="en-US"/>
        </w:rPr>
      </w:pPr>
      <w:proofErr w:type="spellStart"/>
      <w:r w:rsidRPr="001005B7">
        <w:rPr>
          <w:color w:val="auto"/>
          <w:shd w:val="clear" w:color="auto" w:fill="FFFFFF"/>
          <w:lang w:val="en-US"/>
        </w:rPr>
        <w:t>Oecolampadius</w:t>
      </w:r>
      <w:proofErr w:type="spellEnd"/>
      <w:r w:rsidRPr="001005B7">
        <w:rPr>
          <w:color w:val="auto"/>
          <w:shd w:val="clear" w:color="auto" w:fill="FFFFFF"/>
          <w:lang w:val="en-US"/>
        </w:rPr>
        <w:t xml:space="preserve">, Johannes. </w:t>
      </w:r>
      <w:r w:rsidRPr="001005B7">
        <w:rPr>
          <w:i/>
          <w:iCs/>
          <w:color w:val="auto"/>
          <w:shd w:val="clear" w:color="auto" w:fill="FFFFFF"/>
          <w:lang w:val="en-US"/>
        </w:rPr>
        <w:t xml:space="preserve">In </w:t>
      </w:r>
      <w:proofErr w:type="spellStart"/>
      <w:r w:rsidRPr="001005B7">
        <w:rPr>
          <w:i/>
          <w:iCs/>
          <w:color w:val="auto"/>
          <w:shd w:val="clear" w:color="auto" w:fill="FFFFFF"/>
          <w:lang w:val="en-US"/>
        </w:rPr>
        <w:t>Prophetam</w:t>
      </w:r>
      <w:proofErr w:type="spellEnd"/>
      <w:r w:rsidRPr="001005B7">
        <w:rPr>
          <w:i/>
          <w:iCs/>
          <w:color w:val="auto"/>
          <w:shd w:val="clear" w:color="auto" w:fill="FFFFFF"/>
          <w:lang w:val="en-US"/>
        </w:rPr>
        <w:t> </w:t>
      </w:r>
      <w:proofErr w:type="spellStart"/>
      <w:r w:rsidRPr="001005B7">
        <w:rPr>
          <w:i/>
          <w:iCs/>
          <w:color w:val="auto"/>
          <w:lang w:val="en-US"/>
        </w:rPr>
        <w:t>Ezechielem</w:t>
      </w:r>
      <w:proofErr w:type="spellEnd"/>
      <w:r w:rsidRPr="001005B7">
        <w:rPr>
          <w:i/>
          <w:iCs/>
          <w:color w:val="auto"/>
          <w:lang w:val="en-US"/>
        </w:rPr>
        <w:t xml:space="preserve"> </w:t>
      </w:r>
      <w:proofErr w:type="spellStart"/>
      <w:r w:rsidRPr="001005B7">
        <w:rPr>
          <w:i/>
          <w:iCs/>
          <w:color w:val="auto"/>
          <w:lang w:val="en-US"/>
        </w:rPr>
        <w:t>Commentarius</w:t>
      </w:r>
      <w:proofErr w:type="spellEnd"/>
      <w:r w:rsidRPr="001005B7">
        <w:rPr>
          <w:color w:val="auto"/>
          <w:shd w:val="clear" w:color="auto" w:fill="FFFFFF"/>
          <w:lang w:val="en-US"/>
        </w:rPr>
        <w:t xml:space="preserve">. Strasbourg: </w:t>
      </w:r>
      <w:proofErr w:type="spellStart"/>
      <w:r w:rsidRPr="001005B7">
        <w:rPr>
          <w:color w:val="auto"/>
          <w:shd w:val="clear" w:color="auto" w:fill="FFFFFF"/>
          <w:lang w:val="en-US"/>
        </w:rPr>
        <w:t>Apiarius</w:t>
      </w:r>
      <w:proofErr w:type="spellEnd"/>
      <w:r w:rsidRPr="001005B7">
        <w:rPr>
          <w:color w:val="auto"/>
          <w:shd w:val="clear" w:color="auto" w:fill="FFFFFF"/>
          <w:lang w:val="en-US"/>
        </w:rPr>
        <w:t>, 1534.</w:t>
      </w:r>
    </w:p>
    <w:p w14:paraId="2048790E" w14:textId="3CD49741" w:rsidR="007022F1" w:rsidRPr="001005B7" w:rsidRDefault="008E65F1" w:rsidP="006F5BB0">
      <w:pPr>
        <w:pStyle w:val="ListParagraph"/>
        <w:rPr>
          <w:color w:val="auto"/>
          <w:lang w:val="en-US"/>
        </w:rPr>
      </w:pPr>
      <w:r w:rsidRPr="001005B7">
        <w:rPr>
          <w:color w:val="auto"/>
          <w:lang w:val="en-US"/>
        </w:rPr>
        <w:t>Olley, John W. </w:t>
      </w:r>
      <w:r w:rsidRPr="001005B7">
        <w:rPr>
          <w:i/>
          <w:iCs/>
          <w:color w:val="auto"/>
          <w:lang w:val="en-US"/>
        </w:rPr>
        <w:t xml:space="preserve">Ezekiel: A Commentary Based on </w:t>
      </w:r>
      <w:proofErr w:type="spellStart"/>
      <w:r w:rsidRPr="001005B7">
        <w:rPr>
          <w:i/>
          <w:iCs/>
          <w:color w:val="auto"/>
          <w:lang w:val="en-US"/>
        </w:rPr>
        <w:t>Iezekiēl</w:t>
      </w:r>
      <w:proofErr w:type="spellEnd"/>
      <w:r w:rsidRPr="001005B7">
        <w:rPr>
          <w:i/>
          <w:iCs/>
          <w:color w:val="auto"/>
          <w:lang w:val="en-US"/>
        </w:rPr>
        <w:t xml:space="preserve"> in Codex </w:t>
      </w:r>
      <w:proofErr w:type="spellStart"/>
      <w:r w:rsidRPr="001005B7">
        <w:rPr>
          <w:i/>
          <w:iCs/>
          <w:color w:val="auto"/>
          <w:lang w:val="en-US"/>
        </w:rPr>
        <w:t>Vaticanus</w:t>
      </w:r>
      <w:proofErr w:type="spellEnd"/>
      <w:r w:rsidRPr="001005B7">
        <w:rPr>
          <w:color w:val="auto"/>
          <w:lang w:val="en-US"/>
        </w:rPr>
        <w:t>. Septuagint Commentary Series. Leiden: Brill, 2009.</w:t>
      </w:r>
    </w:p>
    <w:p w14:paraId="3EAB767B" w14:textId="408716AD" w:rsidR="002A72A9" w:rsidRPr="001005B7" w:rsidRDefault="007022F1" w:rsidP="006F5BB0">
      <w:pPr>
        <w:pStyle w:val="ListParagraph"/>
        <w:rPr>
          <w:color w:val="auto"/>
          <w:lang w:val="en-US"/>
        </w:rPr>
      </w:pPr>
      <w:r w:rsidRPr="001005B7">
        <w:rPr>
          <w:color w:val="auto"/>
          <w:lang w:val="en-US"/>
        </w:rPr>
        <w:t>Origen of Alexa</w:t>
      </w:r>
      <w:r w:rsidR="00336FBD" w:rsidRPr="001005B7">
        <w:rPr>
          <w:color w:val="auto"/>
          <w:lang w:val="en-US"/>
        </w:rPr>
        <w:t>n</w:t>
      </w:r>
      <w:r w:rsidRPr="001005B7">
        <w:rPr>
          <w:color w:val="auto"/>
          <w:lang w:val="en-US"/>
        </w:rPr>
        <w:t>dria. </w:t>
      </w:r>
      <w:r w:rsidR="000A10F4" w:rsidRPr="001005B7">
        <w:rPr>
          <w:i/>
          <w:iCs/>
          <w:color w:val="auto"/>
          <w:lang w:val="en-US"/>
        </w:rPr>
        <w:t>E</w:t>
      </w:r>
      <w:r w:rsidR="000758F0" w:rsidRPr="001005B7">
        <w:rPr>
          <w:i/>
          <w:iCs/>
          <w:color w:val="auto"/>
          <w:lang w:val="en-US"/>
        </w:rPr>
        <w:t xml:space="preserve">xegetical Works </w:t>
      </w:r>
      <w:r w:rsidRPr="001005B7">
        <w:rPr>
          <w:i/>
          <w:iCs/>
          <w:color w:val="auto"/>
          <w:lang w:val="en-US"/>
        </w:rPr>
        <w:t>on Ezekiel.</w:t>
      </w:r>
      <w:r w:rsidRPr="001005B7">
        <w:rPr>
          <w:color w:val="auto"/>
          <w:lang w:val="en-US"/>
        </w:rPr>
        <w:t xml:space="preserve"> Translat</w:t>
      </w:r>
      <w:r w:rsidR="000758F0" w:rsidRPr="001005B7">
        <w:rPr>
          <w:color w:val="auto"/>
          <w:lang w:val="en-US"/>
        </w:rPr>
        <w:t>ed by Mischa Hooker.</w:t>
      </w:r>
      <w:r w:rsidRPr="001005B7">
        <w:rPr>
          <w:color w:val="auto"/>
          <w:lang w:val="en-US"/>
        </w:rPr>
        <w:t xml:space="preserve"> Ancient </w:t>
      </w:r>
      <w:r w:rsidR="000758F0" w:rsidRPr="001005B7">
        <w:rPr>
          <w:color w:val="auto"/>
          <w:lang w:val="en-US"/>
        </w:rPr>
        <w:t xml:space="preserve">Texts in Translation </w:t>
      </w:r>
      <w:r w:rsidRPr="001005B7">
        <w:rPr>
          <w:color w:val="auto"/>
          <w:lang w:val="en-US"/>
        </w:rPr>
        <w:t xml:space="preserve">2. </w:t>
      </w:r>
      <w:r w:rsidR="000758F0" w:rsidRPr="001005B7">
        <w:rPr>
          <w:color w:val="auto"/>
          <w:lang w:val="en-US"/>
        </w:rPr>
        <w:t>Ipswich, UK: Chieftain Publishing, 2014.</w:t>
      </w:r>
    </w:p>
    <w:p w14:paraId="046FCFE7" w14:textId="5D45468F" w:rsidR="00532CE5" w:rsidRPr="001005B7" w:rsidRDefault="002A72A9" w:rsidP="006F5BB0">
      <w:pPr>
        <w:pStyle w:val="ListParagraph"/>
        <w:rPr>
          <w:color w:val="auto"/>
          <w:lang w:val="en-US"/>
        </w:rPr>
      </w:pPr>
      <w:proofErr w:type="spellStart"/>
      <w:r w:rsidRPr="001005B7">
        <w:rPr>
          <w:color w:val="auto"/>
          <w:lang w:val="en-US"/>
        </w:rPr>
        <w:t>Pohlmann</w:t>
      </w:r>
      <w:proofErr w:type="spellEnd"/>
      <w:r w:rsidRPr="001005B7">
        <w:rPr>
          <w:color w:val="auto"/>
          <w:lang w:val="en-US"/>
        </w:rPr>
        <w:t>, K</w:t>
      </w:r>
      <w:r w:rsidR="00DD0B69" w:rsidRPr="001005B7">
        <w:rPr>
          <w:color w:val="auto"/>
          <w:lang w:val="en-US"/>
        </w:rPr>
        <w:t>arl</w:t>
      </w:r>
      <w:r w:rsidRPr="001005B7">
        <w:rPr>
          <w:color w:val="auto"/>
          <w:lang w:val="en-US"/>
        </w:rPr>
        <w:t>-F</w:t>
      </w:r>
      <w:r w:rsidR="00DD0B69" w:rsidRPr="001005B7">
        <w:rPr>
          <w:color w:val="auto"/>
          <w:lang w:val="en-US"/>
        </w:rPr>
        <w:t>riedrich</w:t>
      </w:r>
      <w:r w:rsidRPr="001005B7">
        <w:rPr>
          <w:color w:val="auto"/>
          <w:lang w:val="en-US"/>
        </w:rPr>
        <w:t>. </w:t>
      </w:r>
      <w:r w:rsidRPr="001005B7">
        <w:rPr>
          <w:i/>
          <w:iCs/>
          <w:color w:val="auto"/>
          <w:lang w:val="en-US"/>
        </w:rPr>
        <w:t xml:space="preserve">Das Buch des </w:t>
      </w:r>
      <w:proofErr w:type="spellStart"/>
      <w:r w:rsidRPr="001005B7">
        <w:rPr>
          <w:i/>
          <w:iCs/>
          <w:color w:val="auto"/>
          <w:lang w:val="en-US"/>
        </w:rPr>
        <w:t>Propheten</w:t>
      </w:r>
      <w:proofErr w:type="spellEnd"/>
      <w:r w:rsidRPr="001005B7">
        <w:rPr>
          <w:i/>
          <w:iCs/>
          <w:color w:val="auto"/>
          <w:lang w:val="en-US"/>
        </w:rPr>
        <w:t xml:space="preserve"> </w:t>
      </w:r>
      <w:proofErr w:type="spellStart"/>
      <w:r w:rsidRPr="001005B7">
        <w:rPr>
          <w:i/>
          <w:iCs/>
          <w:color w:val="auto"/>
          <w:lang w:val="en-US"/>
        </w:rPr>
        <w:t>Hesekiel</w:t>
      </w:r>
      <w:proofErr w:type="spellEnd"/>
      <w:r w:rsidRPr="001005B7">
        <w:rPr>
          <w:i/>
          <w:iCs/>
          <w:color w:val="auto"/>
          <w:lang w:val="en-US"/>
        </w:rPr>
        <w:t xml:space="preserve"> (Ezechiel) </w:t>
      </w:r>
      <w:proofErr w:type="spellStart"/>
      <w:r w:rsidRPr="001005B7">
        <w:rPr>
          <w:i/>
          <w:iCs/>
          <w:color w:val="auto"/>
          <w:lang w:val="en-US"/>
        </w:rPr>
        <w:t>Kapitel</w:t>
      </w:r>
      <w:proofErr w:type="spellEnd"/>
      <w:r w:rsidRPr="001005B7">
        <w:rPr>
          <w:i/>
          <w:iCs/>
          <w:color w:val="auto"/>
          <w:lang w:val="en-US"/>
        </w:rPr>
        <w:t xml:space="preserve"> 1</w:t>
      </w:r>
      <w:r w:rsidR="00F46900" w:rsidRPr="001005B7">
        <w:rPr>
          <w:i/>
          <w:iCs/>
          <w:color w:val="auto"/>
          <w:lang w:val="en-US"/>
        </w:rPr>
        <w:t>–</w:t>
      </w:r>
      <w:r w:rsidRPr="001005B7">
        <w:rPr>
          <w:i/>
          <w:iCs/>
          <w:color w:val="auto"/>
          <w:lang w:val="en-US"/>
        </w:rPr>
        <w:t>19</w:t>
      </w:r>
      <w:r w:rsidR="00532CE5" w:rsidRPr="001005B7">
        <w:rPr>
          <w:color w:val="auto"/>
          <w:lang w:val="en-US"/>
        </w:rPr>
        <w:t xml:space="preserve">. </w:t>
      </w:r>
      <w:r w:rsidRPr="001005B7">
        <w:rPr>
          <w:color w:val="auto"/>
          <w:lang w:val="en-US"/>
        </w:rPr>
        <w:t>ATD 22/1</w:t>
      </w:r>
      <w:r w:rsidR="00532CE5" w:rsidRPr="001005B7">
        <w:rPr>
          <w:color w:val="auto"/>
          <w:lang w:val="en-US"/>
        </w:rPr>
        <w:t>.</w:t>
      </w:r>
      <w:r w:rsidRPr="001005B7">
        <w:rPr>
          <w:color w:val="auto"/>
          <w:lang w:val="en-US"/>
        </w:rPr>
        <w:t xml:space="preserve"> Göttingen: </w:t>
      </w:r>
      <w:proofErr w:type="spellStart"/>
      <w:r w:rsidRPr="001005B7">
        <w:rPr>
          <w:color w:val="auto"/>
          <w:lang w:val="en-US"/>
        </w:rPr>
        <w:t>Vandenhoeck</w:t>
      </w:r>
      <w:proofErr w:type="spellEnd"/>
      <w:r w:rsidR="00217B38">
        <w:rPr>
          <w:color w:val="auto"/>
          <w:lang w:val="en-US"/>
        </w:rPr>
        <w:t xml:space="preserve"> </w:t>
      </w:r>
      <w:r w:rsidR="00217B38">
        <w:t>&amp; Ruprecht</w:t>
      </w:r>
      <w:r w:rsidRPr="001005B7">
        <w:rPr>
          <w:color w:val="auto"/>
          <w:lang w:val="en-US"/>
        </w:rPr>
        <w:t>, 1996.</w:t>
      </w:r>
    </w:p>
    <w:p w14:paraId="2610DE1F" w14:textId="26A55EC8" w:rsidR="00ED0EDF" w:rsidRPr="001005B7" w:rsidRDefault="00C513CB" w:rsidP="006F5BB0">
      <w:pPr>
        <w:pStyle w:val="ListParagraph"/>
        <w:rPr>
          <w:color w:val="auto"/>
          <w:lang w:val="en-US"/>
        </w:rPr>
      </w:pPr>
      <w:r w:rsidRPr="001005B7">
        <w:rPr>
          <w:color w:val="auto"/>
          <w:lang w:val="en-US"/>
        </w:rPr>
        <w:t xml:space="preserve">––– </w:t>
      </w:r>
      <w:r w:rsidR="002A72A9" w:rsidRPr="001005B7">
        <w:rPr>
          <w:i/>
          <w:iCs/>
          <w:color w:val="auto"/>
          <w:lang w:val="en-US"/>
        </w:rPr>
        <w:t xml:space="preserve">Das Buch des </w:t>
      </w:r>
      <w:proofErr w:type="spellStart"/>
      <w:r w:rsidR="002A72A9" w:rsidRPr="001005B7">
        <w:rPr>
          <w:i/>
          <w:iCs/>
          <w:color w:val="auto"/>
          <w:lang w:val="en-US"/>
        </w:rPr>
        <w:t>Propheten</w:t>
      </w:r>
      <w:proofErr w:type="spellEnd"/>
      <w:r w:rsidR="002A72A9" w:rsidRPr="001005B7">
        <w:rPr>
          <w:i/>
          <w:iCs/>
          <w:color w:val="auto"/>
          <w:lang w:val="en-US"/>
        </w:rPr>
        <w:t xml:space="preserve"> </w:t>
      </w:r>
      <w:proofErr w:type="spellStart"/>
      <w:r w:rsidR="002A72A9" w:rsidRPr="001005B7">
        <w:rPr>
          <w:i/>
          <w:iCs/>
          <w:color w:val="auto"/>
          <w:lang w:val="en-US"/>
        </w:rPr>
        <w:t>Hesekiel</w:t>
      </w:r>
      <w:proofErr w:type="spellEnd"/>
      <w:r w:rsidR="002A72A9" w:rsidRPr="001005B7">
        <w:rPr>
          <w:i/>
          <w:iCs/>
          <w:color w:val="auto"/>
          <w:lang w:val="en-US"/>
        </w:rPr>
        <w:t xml:space="preserve"> (Ezechiel) </w:t>
      </w:r>
      <w:proofErr w:type="spellStart"/>
      <w:r w:rsidR="002A72A9" w:rsidRPr="001005B7">
        <w:rPr>
          <w:i/>
          <w:iCs/>
          <w:color w:val="auto"/>
          <w:lang w:val="en-US"/>
        </w:rPr>
        <w:t>Kapitel</w:t>
      </w:r>
      <w:proofErr w:type="spellEnd"/>
      <w:r w:rsidR="002A72A9" w:rsidRPr="001005B7">
        <w:rPr>
          <w:i/>
          <w:iCs/>
          <w:color w:val="auto"/>
          <w:lang w:val="en-US"/>
        </w:rPr>
        <w:t xml:space="preserve"> 20</w:t>
      </w:r>
      <w:r w:rsidR="00F46900" w:rsidRPr="001005B7">
        <w:rPr>
          <w:i/>
          <w:iCs/>
          <w:color w:val="auto"/>
          <w:lang w:val="en-US"/>
        </w:rPr>
        <w:t>–</w:t>
      </w:r>
      <w:r w:rsidR="002A72A9" w:rsidRPr="00212A19">
        <w:rPr>
          <w:i/>
          <w:iCs/>
          <w:color w:val="auto"/>
          <w:lang w:val="en-US"/>
        </w:rPr>
        <w:t>48</w:t>
      </w:r>
      <w:r w:rsidR="003134DD">
        <w:rPr>
          <w:i/>
          <w:iCs/>
          <w:color w:val="auto"/>
          <w:lang w:val="en-US"/>
        </w:rPr>
        <w:t>.…</w:t>
      </w:r>
      <w:r w:rsidR="002A72A9" w:rsidRPr="00212A19">
        <w:rPr>
          <w:i/>
          <w:iCs/>
          <w:color w:val="auto"/>
          <w:lang w:val="en-US"/>
        </w:rPr>
        <w:t xml:space="preserve"> </w:t>
      </w:r>
      <w:proofErr w:type="spellStart"/>
      <w:r w:rsidR="002A72A9" w:rsidRPr="00212A19">
        <w:rPr>
          <w:i/>
          <w:iCs/>
          <w:color w:val="auto"/>
          <w:lang w:val="en-US"/>
        </w:rPr>
        <w:t>Mit</w:t>
      </w:r>
      <w:proofErr w:type="spellEnd"/>
      <w:r w:rsidR="002A72A9" w:rsidRPr="00212A19">
        <w:rPr>
          <w:i/>
          <w:iCs/>
          <w:color w:val="auto"/>
          <w:lang w:val="en-US"/>
        </w:rPr>
        <w:t xml:space="preserve"> </w:t>
      </w:r>
      <w:proofErr w:type="spellStart"/>
      <w:r w:rsidR="002A72A9" w:rsidRPr="00212A19">
        <w:rPr>
          <w:i/>
          <w:iCs/>
          <w:color w:val="auto"/>
          <w:lang w:val="en-US"/>
        </w:rPr>
        <w:t>einem</w:t>
      </w:r>
      <w:proofErr w:type="spellEnd"/>
      <w:r w:rsidR="002A72A9" w:rsidRPr="00212A19">
        <w:rPr>
          <w:i/>
          <w:iCs/>
          <w:color w:val="auto"/>
          <w:lang w:val="en-US"/>
        </w:rPr>
        <w:t xml:space="preserve"> </w:t>
      </w:r>
      <w:proofErr w:type="spellStart"/>
      <w:r w:rsidR="002A72A9" w:rsidRPr="00212A19">
        <w:rPr>
          <w:i/>
          <w:iCs/>
          <w:color w:val="auto"/>
          <w:lang w:val="en-US"/>
        </w:rPr>
        <w:t>Beitrag</w:t>
      </w:r>
      <w:proofErr w:type="spellEnd"/>
      <w:r w:rsidR="002A72A9" w:rsidRPr="00212A19">
        <w:rPr>
          <w:i/>
          <w:iCs/>
          <w:color w:val="auto"/>
          <w:lang w:val="en-US"/>
        </w:rPr>
        <w:t xml:space="preserve"> von </w:t>
      </w:r>
      <w:proofErr w:type="spellStart"/>
      <w:r w:rsidR="002A72A9" w:rsidRPr="00212A19">
        <w:rPr>
          <w:i/>
          <w:iCs/>
          <w:color w:val="auto"/>
          <w:lang w:val="en-US"/>
        </w:rPr>
        <w:t>T</w:t>
      </w:r>
      <w:r w:rsidR="000F1760">
        <w:rPr>
          <w:i/>
          <w:iCs/>
          <w:color w:val="auto"/>
          <w:lang w:val="en-US"/>
        </w:rPr>
        <w:t>hilo</w:t>
      </w:r>
      <w:proofErr w:type="spellEnd"/>
      <w:r w:rsidR="002A72A9" w:rsidRPr="00212A19">
        <w:rPr>
          <w:i/>
          <w:iCs/>
          <w:color w:val="auto"/>
          <w:lang w:val="en-US"/>
        </w:rPr>
        <w:t xml:space="preserve"> A</w:t>
      </w:r>
      <w:r w:rsidR="000F1760">
        <w:rPr>
          <w:i/>
          <w:iCs/>
          <w:color w:val="auto"/>
          <w:lang w:val="en-US"/>
        </w:rPr>
        <w:t>lexander</w:t>
      </w:r>
      <w:r w:rsidR="002A72A9" w:rsidRPr="00212A19">
        <w:rPr>
          <w:i/>
          <w:iCs/>
          <w:color w:val="auto"/>
          <w:lang w:val="en-US"/>
        </w:rPr>
        <w:t xml:space="preserve"> </w:t>
      </w:r>
      <w:proofErr w:type="spellStart"/>
      <w:r w:rsidR="002A72A9" w:rsidRPr="00212A19">
        <w:rPr>
          <w:i/>
          <w:iCs/>
          <w:color w:val="auto"/>
          <w:lang w:val="en-US"/>
        </w:rPr>
        <w:t>Rudnig</w:t>
      </w:r>
      <w:proofErr w:type="spellEnd"/>
      <w:r w:rsidR="004F56A1" w:rsidRPr="00212A19">
        <w:rPr>
          <w:i/>
          <w:iCs/>
          <w:color w:val="auto"/>
          <w:lang w:val="en-US"/>
        </w:rPr>
        <w:t>.</w:t>
      </w:r>
      <w:r w:rsidR="002A72A9" w:rsidRPr="001005B7">
        <w:rPr>
          <w:color w:val="auto"/>
          <w:lang w:val="en-US"/>
        </w:rPr>
        <w:t xml:space="preserve"> ATD 22/2</w:t>
      </w:r>
      <w:r w:rsidR="004F56A1" w:rsidRPr="001005B7">
        <w:rPr>
          <w:color w:val="auto"/>
          <w:lang w:val="en-US"/>
        </w:rPr>
        <w:t>.</w:t>
      </w:r>
      <w:r w:rsidR="002A72A9" w:rsidRPr="001005B7">
        <w:rPr>
          <w:color w:val="auto"/>
          <w:lang w:val="en-US"/>
        </w:rPr>
        <w:t xml:space="preserve"> Göttingen: </w:t>
      </w:r>
      <w:proofErr w:type="spellStart"/>
      <w:r w:rsidR="002A72A9" w:rsidRPr="001005B7">
        <w:rPr>
          <w:color w:val="auto"/>
          <w:lang w:val="en-US"/>
        </w:rPr>
        <w:t>Vandenhoeck</w:t>
      </w:r>
      <w:proofErr w:type="spellEnd"/>
      <w:r w:rsidR="00217B38">
        <w:rPr>
          <w:color w:val="auto"/>
          <w:lang w:val="en-US"/>
        </w:rPr>
        <w:t xml:space="preserve"> </w:t>
      </w:r>
      <w:r w:rsidR="00217B38">
        <w:t>&amp; Ruprecht</w:t>
      </w:r>
      <w:r w:rsidR="002A72A9" w:rsidRPr="001005B7">
        <w:rPr>
          <w:color w:val="auto"/>
          <w:lang w:val="en-US"/>
        </w:rPr>
        <w:t>, 2001.</w:t>
      </w:r>
    </w:p>
    <w:p w14:paraId="3D3E0DAD" w14:textId="4EB5DB80" w:rsidR="00ED0EDF" w:rsidRPr="001005B7" w:rsidRDefault="007F226C" w:rsidP="006F5BB0">
      <w:pPr>
        <w:pStyle w:val="ListParagraph"/>
        <w:rPr>
          <w:color w:val="auto"/>
          <w:lang w:val="en-US"/>
        </w:rPr>
      </w:pPr>
      <w:proofErr w:type="spellStart"/>
      <w:r w:rsidRPr="001005B7">
        <w:rPr>
          <w:color w:val="auto"/>
          <w:lang w:val="en-US"/>
        </w:rPr>
        <w:t>Qim</w:t>
      </w:r>
      <w:r w:rsidR="00AB7EEC" w:rsidRPr="001005B7">
        <w:rPr>
          <w:color w:val="auto"/>
          <w:lang w:val="en-US"/>
        </w:rPr>
        <w:t>h</w:t>
      </w:r>
      <w:r w:rsidRPr="001005B7">
        <w:rPr>
          <w:color w:val="auto"/>
          <w:lang w:val="en-US"/>
        </w:rPr>
        <w:t>i</w:t>
      </w:r>
      <w:proofErr w:type="spellEnd"/>
      <w:r w:rsidR="00197B75" w:rsidRPr="001005B7">
        <w:rPr>
          <w:color w:val="auto"/>
          <w:lang w:val="en-US"/>
        </w:rPr>
        <w:t xml:space="preserve">, David </w:t>
      </w:r>
      <w:r w:rsidR="00036C61" w:rsidRPr="001005B7">
        <w:rPr>
          <w:color w:val="auto"/>
          <w:lang w:val="en-US"/>
        </w:rPr>
        <w:t>[</w:t>
      </w:r>
      <w:proofErr w:type="spellStart"/>
      <w:r w:rsidR="00036C61" w:rsidRPr="001005B7">
        <w:rPr>
          <w:color w:val="auto"/>
          <w:lang w:val="en-US"/>
        </w:rPr>
        <w:t>Radak</w:t>
      </w:r>
      <w:proofErr w:type="spellEnd"/>
      <w:r w:rsidR="00036C61" w:rsidRPr="001005B7">
        <w:rPr>
          <w:color w:val="auto"/>
          <w:lang w:val="en-US"/>
        </w:rPr>
        <w:t>]</w:t>
      </w:r>
      <w:r w:rsidR="00EF432F" w:rsidRPr="001005B7">
        <w:rPr>
          <w:color w:val="auto"/>
          <w:lang w:val="en-US"/>
        </w:rPr>
        <w:t xml:space="preserve">. </w:t>
      </w:r>
      <w:proofErr w:type="spellStart"/>
      <w:r w:rsidR="009C06AE" w:rsidRPr="001005B7">
        <w:rPr>
          <w:color w:val="auto"/>
          <w:rtl/>
          <w:lang w:val="en-US"/>
        </w:rPr>
        <w:t>י</w:t>
      </w:r>
      <w:r w:rsidR="00CC6A8F" w:rsidRPr="001005B7">
        <w:rPr>
          <w:color w:val="auto"/>
          <w:rtl/>
          <w:lang w:val="en-US"/>
        </w:rPr>
        <w:t>חזקאל</w:t>
      </w:r>
      <w:proofErr w:type="spellEnd"/>
      <w:r w:rsidR="00197B75" w:rsidRPr="001005B7">
        <w:rPr>
          <w:color w:val="auto"/>
          <w:lang w:val="en-US"/>
        </w:rPr>
        <w:t xml:space="preserve">. </w:t>
      </w:r>
      <w:r w:rsidR="00EF432F" w:rsidRPr="001005B7">
        <w:rPr>
          <w:color w:val="auto"/>
          <w:lang w:val="en-US"/>
        </w:rPr>
        <w:t>In MG, as posted on Sefaria.org.</w:t>
      </w:r>
    </w:p>
    <w:p w14:paraId="41FC50AE" w14:textId="51C8572B" w:rsidR="00ED0EDF" w:rsidRPr="001005B7" w:rsidRDefault="007F226C" w:rsidP="006F5BB0">
      <w:pPr>
        <w:pStyle w:val="ListParagraph"/>
        <w:rPr>
          <w:color w:val="auto"/>
          <w:lang w:val="en-US"/>
        </w:rPr>
      </w:pPr>
      <w:r w:rsidRPr="001005B7">
        <w:rPr>
          <w:color w:val="auto"/>
          <w:lang w:val="en-US"/>
        </w:rPr>
        <w:t>Rashi</w:t>
      </w:r>
      <w:r w:rsidR="00D879F5" w:rsidRPr="001005B7">
        <w:rPr>
          <w:color w:val="auto"/>
          <w:lang w:val="en-US"/>
        </w:rPr>
        <w:t xml:space="preserve"> </w:t>
      </w:r>
      <w:r w:rsidR="00EE5812" w:rsidRPr="001005B7">
        <w:rPr>
          <w:color w:val="auto"/>
          <w:lang w:val="en-US"/>
        </w:rPr>
        <w:t xml:space="preserve">[Rabbi Shlomo </w:t>
      </w:r>
      <w:proofErr w:type="spellStart"/>
      <w:r w:rsidR="00EE5812" w:rsidRPr="001005B7">
        <w:rPr>
          <w:color w:val="auto"/>
          <w:lang w:val="en-US"/>
        </w:rPr>
        <w:t>Yitzhaki</w:t>
      </w:r>
      <w:proofErr w:type="spellEnd"/>
      <w:r w:rsidR="00EE5812" w:rsidRPr="001005B7">
        <w:rPr>
          <w:color w:val="auto"/>
          <w:lang w:val="en-US"/>
        </w:rPr>
        <w:t>]</w:t>
      </w:r>
      <w:r w:rsidR="00197B75" w:rsidRPr="001005B7">
        <w:rPr>
          <w:color w:val="auto"/>
          <w:lang w:val="en-US"/>
        </w:rPr>
        <w:t xml:space="preserve">. </w:t>
      </w:r>
      <w:proofErr w:type="spellStart"/>
      <w:r w:rsidR="00197B75" w:rsidRPr="001005B7">
        <w:rPr>
          <w:color w:val="auto"/>
          <w:rtl/>
          <w:lang w:val="en-US"/>
        </w:rPr>
        <w:t>יחזקאל</w:t>
      </w:r>
      <w:proofErr w:type="spellEnd"/>
      <w:r w:rsidR="00197B75" w:rsidRPr="001005B7">
        <w:rPr>
          <w:color w:val="auto"/>
          <w:lang w:val="en-US"/>
        </w:rPr>
        <w:t xml:space="preserve">. </w:t>
      </w:r>
      <w:r w:rsidR="00EF432F" w:rsidRPr="001005B7">
        <w:rPr>
          <w:color w:val="auto"/>
          <w:lang w:val="en-US"/>
        </w:rPr>
        <w:t>In MG, as posted on Sefaria.org.</w:t>
      </w:r>
    </w:p>
    <w:p w14:paraId="730AD5DC" w14:textId="77777777" w:rsidR="00ED0EDF" w:rsidRPr="001005B7" w:rsidRDefault="00591835" w:rsidP="006F5BB0">
      <w:pPr>
        <w:pStyle w:val="ListParagraph"/>
        <w:rPr>
          <w:color w:val="auto"/>
          <w:lang w:val="en-US"/>
        </w:rPr>
      </w:pPr>
      <w:proofErr w:type="spellStart"/>
      <w:r w:rsidRPr="001005B7">
        <w:rPr>
          <w:color w:val="auto"/>
          <w:lang w:val="en-US"/>
        </w:rPr>
        <w:t>Rooker</w:t>
      </w:r>
      <w:proofErr w:type="spellEnd"/>
      <w:r w:rsidRPr="001005B7">
        <w:rPr>
          <w:color w:val="auto"/>
          <w:lang w:val="en-US"/>
        </w:rPr>
        <w:t xml:space="preserve">, Mark. </w:t>
      </w:r>
      <w:r w:rsidRPr="001005B7">
        <w:rPr>
          <w:i/>
          <w:iCs/>
          <w:color w:val="auto"/>
          <w:lang w:val="en-US"/>
        </w:rPr>
        <w:t>Ezekiel</w:t>
      </w:r>
      <w:r w:rsidRPr="001005B7">
        <w:rPr>
          <w:color w:val="auto"/>
          <w:lang w:val="en-US"/>
        </w:rPr>
        <w:t>. Holman Old Testament Commentary. Nashville: Broadman and Holman, 2005.</w:t>
      </w:r>
    </w:p>
    <w:p w14:paraId="0DAF8E95" w14:textId="77777777" w:rsidR="00FE60D0" w:rsidRPr="001005B7" w:rsidRDefault="00705702" w:rsidP="006F5BB0">
      <w:pPr>
        <w:pStyle w:val="ListParagraph"/>
        <w:rPr>
          <w:color w:val="auto"/>
          <w:lang w:val="en-US"/>
        </w:rPr>
      </w:pPr>
      <w:r w:rsidRPr="001005B7">
        <w:rPr>
          <w:color w:val="auto"/>
          <w:lang w:val="en-US"/>
        </w:rPr>
        <w:t xml:space="preserve">Rosenberg, </w:t>
      </w:r>
      <w:r w:rsidR="0067483E" w:rsidRPr="001005B7">
        <w:rPr>
          <w:color w:val="auto"/>
          <w:lang w:val="en-US"/>
        </w:rPr>
        <w:t xml:space="preserve">A. J. </w:t>
      </w:r>
      <w:r w:rsidR="0067483E" w:rsidRPr="001005B7">
        <w:rPr>
          <w:i/>
          <w:iCs/>
          <w:color w:val="auto"/>
          <w:lang w:val="en-US"/>
        </w:rPr>
        <w:t>The Book of Ezekiel</w:t>
      </w:r>
      <w:r w:rsidR="00A72A28" w:rsidRPr="001005B7">
        <w:rPr>
          <w:i/>
          <w:iCs/>
          <w:color w:val="auto"/>
          <w:lang w:val="en-US"/>
        </w:rPr>
        <w:t>: A New English Translation</w:t>
      </w:r>
      <w:r w:rsidR="00A72A28" w:rsidRPr="001005B7">
        <w:rPr>
          <w:color w:val="auto"/>
          <w:lang w:val="en-US"/>
        </w:rPr>
        <w:t>. Translation of Text,</w:t>
      </w:r>
      <w:r w:rsidR="00615385" w:rsidRPr="001005B7">
        <w:rPr>
          <w:color w:val="auto"/>
          <w:lang w:val="en-US"/>
        </w:rPr>
        <w:t xml:space="preserve"> Rashi and Other Commentaries. 2 vols. New York: Judaica, </w:t>
      </w:r>
      <w:r w:rsidR="00C87058" w:rsidRPr="001005B7">
        <w:rPr>
          <w:color w:val="auto"/>
          <w:lang w:val="en-US"/>
        </w:rPr>
        <w:t>1991</w:t>
      </w:r>
      <w:r w:rsidR="001E24DE" w:rsidRPr="001005B7">
        <w:rPr>
          <w:color w:val="auto"/>
          <w:lang w:val="en-US"/>
        </w:rPr>
        <w:t>.</w:t>
      </w:r>
    </w:p>
    <w:p w14:paraId="28A9FE57" w14:textId="118DF2FD" w:rsidR="00FE60D0" w:rsidRPr="001005B7" w:rsidRDefault="00FE60D0" w:rsidP="006F5BB0">
      <w:pPr>
        <w:pStyle w:val="ListParagraph"/>
        <w:rPr>
          <w:color w:val="auto"/>
          <w:lang w:val="en-US"/>
        </w:rPr>
      </w:pPr>
      <w:proofErr w:type="spellStart"/>
      <w:r w:rsidRPr="001005B7">
        <w:rPr>
          <w:color w:val="auto"/>
          <w:lang w:val="en-US"/>
        </w:rPr>
        <w:t>Rosenmüller</w:t>
      </w:r>
      <w:proofErr w:type="spellEnd"/>
      <w:r w:rsidRPr="001005B7">
        <w:rPr>
          <w:color w:val="auto"/>
          <w:lang w:val="en-US"/>
        </w:rPr>
        <w:t xml:space="preserve">, Ernst Friedrich Karl. </w:t>
      </w:r>
      <w:r w:rsidRPr="001005B7">
        <w:rPr>
          <w:i/>
          <w:iCs/>
          <w:color w:val="auto"/>
          <w:lang w:val="en-US"/>
        </w:rPr>
        <w:t xml:space="preserve">Scholia in </w:t>
      </w:r>
      <w:proofErr w:type="spellStart"/>
      <w:r w:rsidRPr="001005B7">
        <w:rPr>
          <w:i/>
          <w:iCs/>
          <w:color w:val="auto"/>
          <w:lang w:val="en-US"/>
        </w:rPr>
        <w:t>Vetus</w:t>
      </w:r>
      <w:proofErr w:type="spellEnd"/>
      <w:r w:rsidRPr="001005B7">
        <w:rPr>
          <w:i/>
          <w:iCs/>
          <w:color w:val="auto"/>
          <w:lang w:val="en-US"/>
        </w:rPr>
        <w:t xml:space="preserve"> </w:t>
      </w:r>
      <w:proofErr w:type="spellStart"/>
      <w:r w:rsidRPr="001005B7">
        <w:rPr>
          <w:i/>
          <w:iCs/>
          <w:color w:val="auto"/>
          <w:lang w:val="en-US"/>
        </w:rPr>
        <w:t>Testamentum</w:t>
      </w:r>
      <w:proofErr w:type="spellEnd"/>
      <w:r w:rsidRPr="001005B7">
        <w:rPr>
          <w:i/>
          <w:iCs/>
          <w:color w:val="auto"/>
          <w:lang w:val="en-US"/>
        </w:rPr>
        <w:t xml:space="preserve">. Partis </w:t>
      </w:r>
      <w:proofErr w:type="spellStart"/>
      <w:r w:rsidRPr="001005B7">
        <w:rPr>
          <w:i/>
          <w:iCs/>
          <w:color w:val="auto"/>
          <w:lang w:val="en-US"/>
        </w:rPr>
        <w:t>sextae</w:t>
      </w:r>
      <w:proofErr w:type="spellEnd"/>
      <w:r w:rsidRPr="001005B7">
        <w:rPr>
          <w:i/>
          <w:iCs/>
          <w:color w:val="auto"/>
          <w:lang w:val="en-US"/>
        </w:rPr>
        <w:t xml:space="preserve">: </w:t>
      </w:r>
      <w:proofErr w:type="spellStart"/>
      <w:r w:rsidRPr="001005B7">
        <w:rPr>
          <w:i/>
          <w:iCs/>
          <w:color w:val="auto"/>
          <w:lang w:val="en-US"/>
        </w:rPr>
        <w:t>Ezechielis</w:t>
      </w:r>
      <w:proofErr w:type="spellEnd"/>
      <w:r w:rsidRPr="001005B7">
        <w:rPr>
          <w:i/>
          <w:iCs/>
          <w:color w:val="auto"/>
          <w:lang w:val="en-US"/>
        </w:rPr>
        <w:t xml:space="preserve"> </w:t>
      </w:r>
      <w:proofErr w:type="spellStart"/>
      <w:r w:rsidRPr="001005B7">
        <w:rPr>
          <w:i/>
          <w:iCs/>
          <w:color w:val="auto"/>
          <w:lang w:val="en-US"/>
        </w:rPr>
        <w:t>vaticinia</w:t>
      </w:r>
      <w:proofErr w:type="spellEnd"/>
      <w:r w:rsidRPr="001005B7">
        <w:rPr>
          <w:i/>
          <w:iCs/>
          <w:color w:val="auto"/>
          <w:lang w:val="en-US"/>
        </w:rPr>
        <w:t xml:space="preserve"> </w:t>
      </w:r>
      <w:proofErr w:type="spellStart"/>
      <w:r w:rsidRPr="001005B7">
        <w:rPr>
          <w:i/>
          <w:iCs/>
          <w:color w:val="auto"/>
          <w:lang w:val="en-US"/>
        </w:rPr>
        <w:t>continentis</w:t>
      </w:r>
      <w:proofErr w:type="spellEnd"/>
      <w:r w:rsidRPr="001005B7">
        <w:rPr>
          <w:color w:val="auto"/>
          <w:lang w:val="en-US"/>
        </w:rPr>
        <w:t>. 2 vols. Second ed. Leipzig: Barth, 1826.</w:t>
      </w:r>
    </w:p>
    <w:p w14:paraId="183EA818" w14:textId="0A0E8CD0" w:rsidR="00CB4D9A" w:rsidRPr="001005B7" w:rsidRDefault="00CB4D9A" w:rsidP="006F5BB0">
      <w:pPr>
        <w:pStyle w:val="ListParagraph"/>
        <w:rPr>
          <w:color w:val="auto"/>
          <w:lang w:val="en-US"/>
        </w:rPr>
      </w:pPr>
      <w:proofErr w:type="spellStart"/>
      <w:r w:rsidRPr="001005B7">
        <w:rPr>
          <w:color w:val="auto"/>
          <w:lang w:val="en-US"/>
        </w:rPr>
        <w:t>Sedlmeier</w:t>
      </w:r>
      <w:proofErr w:type="spellEnd"/>
      <w:r w:rsidR="00E640EA" w:rsidRPr="001005B7">
        <w:rPr>
          <w:color w:val="auto"/>
          <w:lang w:val="en-US"/>
        </w:rPr>
        <w:t xml:space="preserve">, Franz. </w:t>
      </w:r>
      <w:r w:rsidR="00E640EA" w:rsidRPr="001005B7">
        <w:rPr>
          <w:i/>
          <w:color w:val="auto"/>
          <w:lang w:val="en-US"/>
        </w:rPr>
        <w:t xml:space="preserve">Das </w:t>
      </w:r>
      <w:r w:rsidR="000B6E26" w:rsidRPr="001005B7">
        <w:rPr>
          <w:i/>
          <w:color w:val="auto"/>
          <w:lang w:val="en-US"/>
        </w:rPr>
        <w:t>Buch Ezechiel</w:t>
      </w:r>
      <w:r w:rsidR="000B6E26" w:rsidRPr="001005B7">
        <w:rPr>
          <w:color w:val="auto"/>
          <w:lang w:val="en-US"/>
        </w:rPr>
        <w:t xml:space="preserve">. </w:t>
      </w:r>
      <w:proofErr w:type="spellStart"/>
      <w:r w:rsidR="000B6E26" w:rsidRPr="001005B7">
        <w:rPr>
          <w:color w:val="auto"/>
          <w:lang w:val="en-US"/>
        </w:rPr>
        <w:t>Neuer</w:t>
      </w:r>
      <w:proofErr w:type="spellEnd"/>
      <w:r w:rsidR="000B6E26" w:rsidRPr="001005B7">
        <w:rPr>
          <w:color w:val="auto"/>
          <w:lang w:val="en-US"/>
        </w:rPr>
        <w:t xml:space="preserve"> </w:t>
      </w:r>
      <w:proofErr w:type="spellStart"/>
      <w:r w:rsidR="000B6E26" w:rsidRPr="001005B7">
        <w:rPr>
          <w:color w:val="auto"/>
          <w:lang w:val="en-US"/>
        </w:rPr>
        <w:t>Stuttgarter</w:t>
      </w:r>
      <w:proofErr w:type="spellEnd"/>
      <w:r w:rsidR="000B6E26" w:rsidRPr="001005B7">
        <w:rPr>
          <w:color w:val="auto"/>
          <w:lang w:val="en-US"/>
        </w:rPr>
        <w:t xml:space="preserve"> </w:t>
      </w:r>
      <w:proofErr w:type="spellStart"/>
      <w:r w:rsidR="000B6E26" w:rsidRPr="001005B7">
        <w:rPr>
          <w:color w:val="auto"/>
          <w:lang w:val="en-US"/>
        </w:rPr>
        <w:t>Kommentar</w:t>
      </w:r>
      <w:proofErr w:type="spellEnd"/>
      <w:r w:rsidR="00275F76" w:rsidRPr="001005B7">
        <w:rPr>
          <w:color w:val="auto"/>
          <w:lang w:val="en-US"/>
        </w:rPr>
        <w:t xml:space="preserve">: </w:t>
      </w:r>
      <w:proofErr w:type="spellStart"/>
      <w:r w:rsidR="00275F76" w:rsidRPr="001005B7">
        <w:rPr>
          <w:color w:val="auto"/>
          <w:lang w:val="en-US"/>
        </w:rPr>
        <w:t>Altes</w:t>
      </w:r>
      <w:proofErr w:type="spellEnd"/>
      <w:r w:rsidR="00275F76" w:rsidRPr="001005B7">
        <w:rPr>
          <w:color w:val="auto"/>
          <w:lang w:val="en-US"/>
        </w:rPr>
        <w:t xml:space="preserve"> Testament 21. </w:t>
      </w:r>
      <w:r w:rsidR="0010389F" w:rsidRPr="001005B7">
        <w:rPr>
          <w:color w:val="auto"/>
          <w:lang w:val="en-US"/>
        </w:rPr>
        <w:t xml:space="preserve">2 vols. </w:t>
      </w:r>
      <w:r w:rsidR="00275F76" w:rsidRPr="001005B7">
        <w:rPr>
          <w:color w:val="auto"/>
          <w:lang w:val="en-US"/>
        </w:rPr>
        <w:t>Stuttgart:</w:t>
      </w:r>
      <w:r w:rsidR="0010389F" w:rsidRPr="001005B7">
        <w:rPr>
          <w:color w:val="auto"/>
          <w:lang w:val="en-US"/>
        </w:rPr>
        <w:t xml:space="preserve"> KBW, </w:t>
      </w:r>
      <w:r w:rsidR="005A407C" w:rsidRPr="001005B7">
        <w:rPr>
          <w:color w:val="auto"/>
          <w:lang w:val="en-US"/>
        </w:rPr>
        <w:t xml:space="preserve">2002 and </w:t>
      </w:r>
      <w:r w:rsidR="00365783" w:rsidRPr="001005B7">
        <w:rPr>
          <w:color w:val="auto"/>
          <w:lang w:val="en-US"/>
        </w:rPr>
        <w:t>2013.</w:t>
      </w:r>
    </w:p>
    <w:p w14:paraId="31FB8CED" w14:textId="1532FB0B" w:rsidR="005C1E61" w:rsidRPr="001005B7" w:rsidRDefault="005C1E61" w:rsidP="006F5BB0">
      <w:pPr>
        <w:pStyle w:val="ListParagraph"/>
        <w:rPr>
          <w:color w:val="auto"/>
          <w:lang w:val="en-US"/>
        </w:rPr>
      </w:pPr>
      <w:r w:rsidRPr="001005B7">
        <w:rPr>
          <w:color w:val="auto"/>
          <w:lang w:val="en-US"/>
        </w:rPr>
        <w:t>Skinner, John</w:t>
      </w:r>
      <w:r w:rsidR="00CB61D6" w:rsidRPr="001005B7">
        <w:rPr>
          <w:color w:val="auto"/>
          <w:lang w:val="en-US"/>
        </w:rPr>
        <w:t xml:space="preserve">. </w:t>
      </w:r>
      <w:r w:rsidR="0098590B" w:rsidRPr="001005B7">
        <w:rPr>
          <w:i/>
          <w:color w:val="auto"/>
          <w:lang w:val="en-US"/>
        </w:rPr>
        <w:t xml:space="preserve">The Book of </w:t>
      </w:r>
      <w:r w:rsidR="00E1614A" w:rsidRPr="001005B7">
        <w:rPr>
          <w:i/>
          <w:color w:val="auto"/>
          <w:lang w:val="en-US"/>
        </w:rPr>
        <w:t>Ezekiel</w:t>
      </w:r>
      <w:r w:rsidR="00E1614A" w:rsidRPr="001005B7">
        <w:rPr>
          <w:color w:val="auto"/>
          <w:lang w:val="en-US"/>
        </w:rPr>
        <w:t>. The Expositor’s Bible</w:t>
      </w:r>
      <w:r w:rsidR="00E1614A" w:rsidRPr="001005B7">
        <w:rPr>
          <w:i/>
          <w:color w:val="auto"/>
          <w:lang w:val="en-US"/>
        </w:rPr>
        <w:t xml:space="preserve">. </w:t>
      </w:r>
      <w:r w:rsidR="00CB61D6" w:rsidRPr="001005B7">
        <w:rPr>
          <w:color w:val="auto"/>
          <w:lang w:val="en-US"/>
        </w:rPr>
        <w:t>London: Hodder, 1895.</w:t>
      </w:r>
    </w:p>
    <w:p w14:paraId="220113B0" w14:textId="2561016B" w:rsidR="005A2236" w:rsidRPr="001005B7" w:rsidRDefault="005A2236" w:rsidP="006F5BB0">
      <w:pPr>
        <w:pStyle w:val="ListParagraph"/>
        <w:rPr>
          <w:color w:val="auto"/>
          <w:lang w:val="en-US"/>
        </w:rPr>
      </w:pPr>
      <w:proofErr w:type="spellStart"/>
      <w:r w:rsidRPr="001005B7">
        <w:rPr>
          <w:color w:val="auto"/>
          <w:lang w:val="en-US"/>
        </w:rPr>
        <w:t>Sme</w:t>
      </w:r>
      <w:r w:rsidR="008B606F" w:rsidRPr="001005B7">
        <w:rPr>
          <w:color w:val="auto"/>
          <w:lang w:val="en-US"/>
        </w:rPr>
        <w:t>n</w:t>
      </w:r>
      <w:r w:rsidRPr="001005B7">
        <w:rPr>
          <w:color w:val="auto"/>
          <w:lang w:val="en-US"/>
        </w:rPr>
        <w:t>d</w:t>
      </w:r>
      <w:proofErr w:type="spellEnd"/>
      <w:r w:rsidRPr="001005B7">
        <w:rPr>
          <w:color w:val="auto"/>
          <w:lang w:val="en-US"/>
        </w:rPr>
        <w:t>, R</w:t>
      </w:r>
      <w:r w:rsidR="00D53CAF" w:rsidRPr="001005B7">
        <w:rPr>
          <w:color w:val="auto"/>
          <w:lang w:val="en-US"/>
        </w:rPr>
        <w:t>udolf</w:t>
      </w:r>
      <w:r w:rsidRPr="001005B7">
        <w:rPr>
          <w:color w:val="auto"/>
          <w:lang w:val="en-US"/>
        </w:rPr>
        <w:t xml:space="preserve">. </w:t>
      </w:r>
      <w:r w:rsidRPr="001005B7">
        <w:rPr>
          <w:i/>
          <w:iCs/>
          <w:color w:val="auto"/>
          <w:lang w:val="en-US"/>
        </w:rPr>
        <w:t>Der Prophet Ezechiel</w:t>
      </w:r>
      <w:r w:rsidR="00836939" w:rsidRPr="001005B7">
        <w:rPr>
          <w:color w:val="auto"/>
          <w:lang w:val="en-US"/>
        </w:rPr>
        <w:t xml:space="preserve">. </w:t>
      </w:r>
      <w:proofErr w:type="spellStart"/>
      <w:r w:rsidR="00836939" w:rsidRPr="001005B7">
        <w:rPr>
          <w:color w:val="auto"/>
          <w:lang w:val="en-US"/>
        </w:rPr>
        <w:t>Kurtgefasstes</w:t>
      </w:r>
      <w:proofErr w:type="spellEnd"/>
      <w:r w:rsidR="00836939" w:rsidRPr="001005B7">
        <w:rPr>
          <w:color w:val="auto"/>
          <w:lang w:val="en-US"/>
        </w:rPr>
        <w:t xml:space="preserve"> </w:t>
      </w:r>
      <w:proofErr w:type="spellStart"/>
      <w:r w:rsidR="00836939" w:rsidRPr="001005B7">
        <w:rPr>
          <w:color w:val="auto"/>
          <w:lang w:val="en-US"/>
        </w:rPr>
        <w:t>exegetisches</w:t>
      </w:r>
      <w:proofErr w:type="spellEnd"/>
      <w:r w:rsidR="00836939" w:rsidRPr="001005B7">
        <w:rPr>
          <w:color w:val="auto"/>
          <w:lang w:val="en-US"/>
        </w:rPr>
        <w:t xml:space="preserve"> </w:t>
      </w:r>
      <w:proofErr w:type="spellStart"/>
      <w:r w:rsidR="00836939" w:rsidRPr="001005B7">
        <w:rPr>
          <w:color w:val="auto"/>
          <w:lang w:val="en-US"/>
        </w:rPr>
        <w:t>Handbuch</w:t>
      </w:r>
      <w:proofErr w:type="spellEnd"/>
      <w:r w:rsidR="00836939" w:rsidRPr="001005B7">
        <w:rPr>
          <w:color w:val="auto"/>
          <w:lang w:val="en-US"/>
        </w:rPr>
        <w:t xml:space="preserve"> </w:t>
      </w:r>
      <w:proofErr w:type="spellStart"/>
      <w:r w:rsidR="00836939" w:rsidRPr="001005B7">
        <w:rPr>
          <w:color w:val="auto"/>
          <w:lang w:val="en-US"/>
        </w:rPr>
        <w:t>zum</w:t>
      </w:r>
      <w:proofErr w:type="spellEnd"/>
      <w:r w:rsidR="00836939" w:rsidRPr="001005B7">
        <w:rPr>
          <w:color w:val="auto"/>
          <w:lang w:val="en-US"/>
        </w:rPr>
        <w:t xml:space="preserve"> </w:t>
      </w:r>
      <w:proofErr w:type="spellStart"/>
      <w:r w:rsidR="00836939" w:rsidRPr="001005B7">
        <w:rPr>
          <w:color w:val="auto"/>
          <w:lang w:val="en-US"/>
        </w:rPr>
        <w:t>Alten</w:t>
      </w:r>
      <w:proofErr w:type="spellEnd"/>
      <w:r w:rsidR="00836939" w:rsidRPr="001005B7">
        <w:rPr>
          <w:color w:val="auto"/>
          <w:lang w:val="en-US"/>
        </w:rPr>
        <w:t xml:space="preserve"> Testament</w:t>
      </w:r>
      <w:r w:rsidR="00EC79EF" w:rsidRPr="001005B7">
        <w:rPr>
          <w:color w:val="auto"/>
          <w:lang w:val="en-US"/>
        </w:rPr>
        <w:t xml:space="preserve">. </w:t>
      </w:r>
      <w:r w:rsidR="00E13EB3" w:rsidRPr="001005B7">
        <w:rPr>
          <w:color w:val="auto"/>
          <w:lang w:val="en-US"/>
        </w:rPr>
        <w:t xml:space="preserve">Leipzig: </w:t>
      </w:r>
      <w:proofErr w:type="spellStart"/>
      <w:r w:rsidR="00E13EB3" w:rsidRPr="001005B7">
        <w:rPr>
          <w:color w:val="auto"/>
          <w:lang w:val="en-US"/>
        </w:rPr>
        <w:t>Hirzel</w:t>
      </w:r>
      <w:proofErr w:type="spellEnd"/>
      <w:r w:rsidR="00E13EB3" w:rsidRPr="001005B7">
        <w:rPr>
          <w:color w:val="auto"/>
          <w:lang w:val="en-US"/>
        </w:rPr>
        <w:t>, 1880.</w:t>
      </w:r>
    </w:p>
    <w:p w14:paraId="78588C40" w14:textId="4C69C3AB" w:rsidR="00DD501B" w:rsidRPr="001005B7" w:rsidRDefault="00DD501B" w:rsidP="006F5BB0">
      <w:pPr>
        <w:pStyle w:val="ListParagraph"/>
        <w:rPr>
          <w:color w:val="auto"/>
          <w:lang w:val="en-US"/>
        </w:rPr>
      </w:pPr>
      <w:r w:rsidRPr="001005B7">
        <w:rPr>
          <w:color w:val="auto"/>
          <w:lang w:val="en-US"/>
        </w:rPr>
        <w:t>Stevenson</w:t>
      </w:r>
      <w:r w:rsidR="007F4C7D" w:rsidRPr="001005B7">
        <w:rPr>
          <w:color w:val="auto"/>
          <w:lang w:val="en-US"/>
        </w:rPr>
        <w:t>, Kenneth</w:t>
      </w:r>
      <w:r w:rsidR="007116B7" w:rsidRPr="001005B7">
        <w:rPr>
          <w:color w:val="auto"/>
          <w:lang w:val="en-US"/>
        </w:rPr>
        <w:t>, ed</w:t>
      </w:r>
      <w:r w:rsidR="007F4C7D" w:rsidRPr="001005B7">
        <w:rPr>
          <w:color w:val="auto"/>
          <w:lang w:val="en-US"/>
        </w:rPr>
        <w:t xml:space="preserve">. </w:t>
      </w:r>
      <w:r w:rsidR="007F4C7D" w:rsidRPr="001005B7">
        <w:rPr>
          <w:i/>
          <w:iCs/>
          <w:color w:val="auto"/>
          <w:lang w:val="en-US"/>
        </w:rPr>
        <w:t>Ezekiel, Daniel</w:t>
      </w:r>
      <w:r w:rsidR="007F4C7D" w:rsidRPr="001005B7">
        <w:rPr>
          <w:color w:val="auto"/>
          <w:lang w:val="en-US"/>
        </w:rPr>
        <w:t>. Ancient Christian Commentary on Scripture</w:t>
      </w:r>
      <w:r w:rsidR="00D04B73" w:rsidRPr="001005B7">
        <w:rPr>
          <w:color w:val="auto"/>
          <w:lang w:val="en-US"/>
        </w:rPr>
        <w:t xml:space="preserve"> 13. Downers Grove, IL: InterVarsity, </w:t>
      </w:r>
      <w:r w:rsidR="007116B7" w:rsidRPr="001005B7">
        <w:rPr>
          <w:color w:val="auto"/>
          <w:lang w:val="en-US"/>
        </w:rPr>
        <w:t>2008.</w:t>
      </w:r>
    </w:p>
    <w:p w14:paraId="70565F92" w14:textId="23752EA8" w:rsidR="00DD501B" w:rsidRPr="001005B7" w:rsidRDefault="00A73AD9" w:rsidP="006F5BB0">
      <w:pPr>
        <w:pStyle w:val="ListParagraph"/>
        <w:rPr>
          <w:color w:val="auto"/>
          <w:lang w:val="en-US"/>
        </w:rPr>
      </w:pPr>
      <w:r w:rsidRPr="001005B7">
        <w:rPr>
          <w:color w:val="auto"/>
          <w:lang w:val="en-US"/>
        </w:rPr>
        <w:t>Sweeney, M</w:t>
      </w:r>
      <w:r w:rsidR="00EF75D4" w:rsidRPr="001005B7">
        <w:rPr>
          <w:color w:val="auto"/>
          <w:lang w:val="en-US"/>
        </w:rPr>
        <w:t>arvin</w:t>
      </w:r>
      <w:r w:rsidRPr="001005B7">
        <w:rPr>
          <w:color w:val="auto"/>
          <w:lang w:val="en-US"/>
        </w:rPr>
        <w:t xml:space="preserve"> A. </w:t>
      </w:r>
      <w:r w:rsidRPr="001005B7">
        <w:rPr>
          <w:i/>
          <w:iCs/>
          <w:color w:val="auto"/>
          <w:lang w:val="en-US"/>
        </w:rPr>
        <w:t>Reading Ezekiel: A Literary and Theological Commentary</w:t>
      </w:r>
      <w:r w:rsidRPr="001005B7">
        <w:rPr>
          <w:color w:val="auto"/>
          <w:lang w:val="en-US"/>
        </w:rPr>
        <w:t> </w:t>
      </w:r>
      <w:r w:rsidR="00ED0EDF" w:rsidRPr="001005B7">
        <w:rPr>
          <w:color w:val="auto"/>
          <w:lang w:val="en-US"/>
        </w:rPr>
        <w:t>.</w:t>
      </w:r>
      <w:r w:rsidRPr="001005B7">
        <w:rPr>
          <w:color w:val="auto"/>
          <w:lang w:val="en-US"/>
        </w:rPr>
        <w:t>Reading the Old Testament</w:t>
      </w:r>
      <w:r w:rsidR="002D013C" w:rsidRPr="001005B7">
        <w:rPr>
          <w:color w:val="auto"/>
          <w:lang w:val="en-US"/>
        </w:rPr>
        <w:t>.</w:t>
      </w:r>
      <w:r w:rsidRPr="001005B7">
        <w:rPr>
          <w:color w:val="auto"/>
          <w:lang w:val="en-US"/>
        </w:rPr>
        <w:t xml:space="preserve"> Macon, GA: Smyth &amp; </w:t>
      </w:r>
      <w:proofErr w:type="spellStart"/>
      <w:r w:rsidRPr="001005B7">
        <w:rPr>
          <w:color w:val="auto"/>
          <w:lang w:val="en-US"/>
        </w:rPr>
        <w:t>Helwys</w:t>
      </w:r>
      <w:proofErr w:type="spellEnd"/>
      <w:r w:rsidRPr="001005B7">
        <w:rPr>
          <w:color w:val="auto"/>
          <w:lang w:val="en-US"/>
        </w:rPr>
        <w:t>, 2013.</w:t>
      </w:r>
    </w:p>
    <w:p w14:paraId="593325F4" w14:textId="322A6F23" w:rsidR="00DD501B" w:rsidRPr="001005B7" w:rsidRDefault="007F226C" w:rsidP="006F5BB0">
      <w:pPr>
        <w:pStyle w:val="ListParagraph"/>
        <w:rPr>
          <w:color w:val="auto"/>
          <w:lang w:val="en-US"/>
        </w:rPr>
      </w:pPr>
      <w:r w:rsidRPr="001005B7">
        <w:rPr>
          <w:color w:val="auto"/>
          <w:lang w:val="en-US"/>
        </w:rPr>
        <w:t>Taylor</w:t>
      </w:r>
      <w:r w:rsidR="007B601C" w:rsidRPr="001005B7">
        <w:rPr>
          <w:color w:val="auto"/>
          <w:lang w:val="en-US"/>
        </w:rPr>
        <w:t xml:space="preserve">, John B. </w:t>
      </w:r>
      <w:r w:rsidR="00930A2F" w:rsidRPr="001005B7">
        <w:rPr>
          <w:i/>
          <w:iCs/>
          <w:color w:val="auto"/>
          <w:lang w:val="en-US"/>
        </w:rPr>
        <w:t>Ezekiel: An Introduction and Commentary</w:t>
      </w:r>
      <w:r w:rsidR="00930A2F" w:rsidRPr="001005B7">
        <w:rPr>
          <w:color w:val="auto"/>
          <w:lang w:val="en-US"/>
        </w:rPr>
        <w:t>.</w:t>
      </w:r>
      <w:r w:rsidR="00C05C1D" w:rsidRPr="001005B7">
        <w:rPr>
          <w:color w:val="auto"/>
          <w:lang w:val="en-US"/>
        </w:rPr>
        <w:t xml:space="preserve"> Tyndale Old Testament Commentaries. London: Tyndale</w:t>
      </w:r>
      <w:r w:rsidR="00123E88" w:rsidRPr="001005B7">
        <w:rPr>
          <w:color w:val="auto"/>
          <w:lang w:val="en-US"/>
        </w:rPr>
        <w:t xml:space="preserve"> Press</w:t>
      </w:r>
      <w:r w:rsidR="00C05C1D" w:rsidRPr="001005B7">
        <w:rPr>
          <w:color w:val="auto"/>
          <w:lang w:val="en-US"/>
        </w:rPr>
        <w:t>, 1969.</w:t>
      </w:r>
      <w:r w:rsidR="00930A2F" w:rsidRPr="001005B7">
        <w:rPr>
          <w:color w:val="auto"/>
          <w:lang w:val="en-US"/>
        </w:rPr>
        <w:t xml:space="preserve"> </w:t>
      </w:r>
      <w:r w:rsidR="00AF6F33">
        <w:rPr>
          <w:color w:val="auto"/>
          <w:lang w:val="en-US"/>
        </w:rPr>
        <w:t>[</w:t>
      </w:r>
      <w:r w:rsidR="00291BDF">
        <w:rPr>
          <w:color w:val="auto"/>
          <w:lang w:val="en-US"/>
        </w:rPr>
        <w:t>cited</w:t>
      </w:r>
      <w:r w:rsidR="00AF6F33">
        <w:rPr>
          <w:color w:val="auto"/>
          <w:lang w:val="en-US"/>
        </w:rPr>
        <w:t xml:space="preserve"> sim</w:t>
      </w:r>
      <w:r w:rsidR="002029D0">
        <w:rPr>
          <w:color w:val="auto"/>
          <w:lang w:val="en-US"/>
        </w:rPr>
        <w:t>p</w:t>
      </w:r>
      <w:r w:rsidR="00AF6F33">
        <w:rPr>
          <w:color w:val="auto"/>
          <w:lang w:val="en-US"/>
        </w:rPr>
        <w:t>ly as Taylor]</w:t>
      </w:r>
    </w:p>
    <w:p w14:paraId="43749CA8" w14:textId="7FF9C552" w:rsidR="005244B6" w:rsidRPr="001005B7" w:rsidRDefault="005244B6" w:rsidP="006F5BB0">
      <w:pPr>
        <w:pStyle w:val="ListParagraph"/>
        <w:rPr>
          <w:color w:val="auto"/>
          <w:lang w:val="en-US"/>
        </w:rPr>
      </w:pPr>
      <w:r w:rsidRPr="001005B7">
        <w:rPr>
          <w:color w:val="auto"/>
          <w:lang w:val="en-US"/>
        </w:rPr>
        <w:t>Taylor, M</w:t>
      </w:r>
      <w:r w:rsidR="00A229B3" w:rsidRPr="001005B7">
        <w:rPr>
          <w:color w:val="auto"/>
          <w:lang w:val="en-US"/>
        </w:rPr>
        <w:t xml:space="preserve">arion </w:t>
      </w:r>
      <w:r w:rsidRPr="001005B7">
        <w:rPr>
          <w:color w:val="auto"/>
          <w:lang w:val="en-US"/>
        </w:rPr>
        <w:t>A</w:t>
      </w:r>
      <w:r w:rsidR="00A229B3" w:rsidRPr="001005B7">
        <w:rPr>
          <w:color w:val="auto"/>
          <w:lang w:val="en-US"/>
        </w:rPr>
        <w:t>nn</w:t>
      </w:r>
      <w:r w:rsidRPr="001005B7">
        <w:rPr>
          <w:color w:val="auto"/>
          <w:lang w:val="en-US"/>
        </w:rPr>
        <w:t xml:space="preserve">. </w:t>
      </w:r>
      <w:r w:rsidR="00D036D8" w:rsidRPr="001005B7">
        <w:rPr>
          <w:color w:val="auto"/>
          <w:lang w:val="en-US"/>
        </w:rPr>
        <w:t>“</w:t>
      </w:r>
      <w:r w:rsidRPr="001005B7">
        <w:rPr>
          <w:color w:val="auto"/>
          <w:lang w:val="en-US"/>
        </w:rPr>
        <w:t>Ezekiel</w:t>
      </w:r>
      <w:r w:rsidR="00D036D8" w:rsidRPr="001005B7">
        <w:rPr>
          <w:color w:val="auto"/>
          <w:lang w:val="en-US"/>
        </w:rPr>
        <w:t>.”</w:t>
      </w:r>
      <w:r w:rsidRPr="001005B7">
        <w:rPr>
          <w:color w:val="auto"/>
          <w:lang w:val="en-US"/>
        </w:rPr>
        <w:t xml:space="preserve"> </w:t>
      </w:r>
      <w:r w:rsidR="00D036D8" w:rsidRPr="001005B7">
        <w:rPr>
          <w:color w:val="auto"/>
          <w:lang w:val="en-US"/>
        </w:rPr>
        <w:t>I</w:t>
      </w:r>
      <w:r w:rsidRPr="001005B7">
        <w:rPr>
          <w:color w:val="auto"/>
          <w:lang w:val="en-US"/>
        </w:rPr>
        <w:t>n C</w:t>
      </w:r>
      <w:r w:rsidR="00FE66DB" w:rsidRPr="001005B7">
        <w:rPr>
          <w:color w:val="auto"/>
          <w:lang w:val="en-US"/>
        </w:rPr>
        <w:t xml:space="preserve">atherine </w:t>
      </w:r>
      <w:r w:rsidRPr="001005B7">
        <w:rPr>
          <w:color w:val="auto"/>
          <w:lang w:val="en-US"/>
        </w:rPr>
        <w:t>C</w:t>
      </w:r>
      <w:r w:rsidR="00FE66DB" w:rsidRPr="001005B7">
        <w:rPr>
          <w:color w:val="auto"/>
          <w:lang w:val="en-US"/>
        </w:rPr>
        <w:t>l</w:t>
      </w:r>
      <w:r w:rsidR="00220FED" w:rsidRPr="001005B7">
        <w:rPr>
          <w:color w:val="auto"/>
          <w:lang w:val="en-US"/>
        </w:rPr>
        <w:t>ark</w:t>
      </w:r>
      <w:r w:rsidRPr="001005B7">
        <w:rPr>
          <w:color w:val="auto"/>
          <w:lang w:val="en-US"/>
        </w:rPr>
        <w:t xml:space="preserve"> Kroeger </w:t>
      </w:r>
      <w:r w:rsidR="00213CCC" w:rsidRPr="001005B7">
        <w:rPr>
          <w:color w:val="auto"/>
          <w:lang w:val="en-US"/>
        </w:rPr>
        <w:t>and</w:t>
      </w:r>
      <w:r w:rsidRPr="001005B7">
        <w:rPr>
          <w:color w:val="auto"/>
          <w:lang w:val="en-US"/>
        </w:rPr>
        <w:t xml:space="preserve"> M</w:t>
      </w:r>
      <w:r w:rsidR="00220FED" w:rsidRPr="001005B7">
        <w:rPr>
          <w:color w:val="auto"/>
          <w:lang w:val="en-US"/>
        </w:rPr>
        <w:t xml:space="preserve">ary </w:t>
      </w:r>
      <w:r w:rsidRPr="001005B7">
        <w:rPr>
          <w:color w:val="auto"/>
          <w:lang w:val="en-US"/>
        </w:rPr>
        <w:t>J. Evans</w:t>
      </w:r>
      <w:r w:rsidR="00220FED" w:rsidRPr="001005B7">
        <w:rPr>
          <w:color w:val="auto"/>
          <w:lang w:val="en-US"/>
        </w:rPr>
        <w:t xml:space="preserve">, </w:t>
      </w:r>
      <w:r w:rsidRPr="001005B7">
        <w:rPr>
          <w:color w:val="auto"/>
          <w:lang w:val="en-US"/>
        </w:rPr>
        <w:t xml:space="preserve">ed., </w:t>
      </w:r>
      <w:r w:rsidRPr="001005B7">
        <w:rPr>
          <w:i/>
          <w:iCs/>
          <w:color w:val="auto"/>
          <w:lang w:val="en-US"/>
        </w:rPr>
        <w:t xml:space="preserve">The IVP </w:t>
      </w:r>
      <w:r w:rsidR="00D342EF" w:rsidRPr="001005B7">
        <w:rPr>
          <w:i/>
          <w:iCs/>
          <w:color w:val="auto"/>
          <w:lang w:val="en-US"/>
        </w:rPr>
        <w:t>W</w:t>
      </w:r>
      <w:r w:rsidRPr="001005B7">
        <w:rPr>
          <w:i/>
          <w:iCs/>
          <w:color w:val="auto"/>
          <w:lang w:val="en-US"/>
        </w:rPr>
        <w:t>omen</w:t>
      </w:r>
      <w:r w:rsidR="00D342EF" w:rsidRPr="001005B7">
        <w:rPr>
          <w:i/>
          <w:iCs/>
          <w:color w:val="auto"/>
          <w:lang w:val="en-US"/>
        </w:rPr>
        <w:t>’s</w:t>
      </w:r>
      <w:r w:rsidRPr="001005B7">
        <w:rPr>
          <w:i/>
          <w:iCs/>
          <w:color w:val="auto"/>
          <w:lang w:val="en-US"/>
        </w:rPr>
        <w:t xml:space="preserve"> Bible </w:t>
      </w:r>
      <w:r w:rsidR="00213CCC" w:rsidRPr="001005B7">
        <w:rPr>
          <w:i/>
          <w:iCs/>
          <w:color w:val="auto"/>
          <w:lang w:val="en-US"/>
        </w:rPr>
        <w:t>C</w:t>
      </w:r>
      <w:r w:rsidRPr="001005B7">
        <w:rPr>
          <w:i/>
          <w:iCs/>
          <w:color w:val="auto"/>
          <w:lang w:val="en-US"/>
        </w:rPr>
        <w:t>ommentary</w:t>
      </w:r>
      <w:r w:rsidRPr="001005B7">
        <w:rPr>
          <w:color w:val="auto"/>
          <w:lang w:val="en-US"/>
        </w:rPr>
        <w:t>, 396–421</w:t>
      </w:r>
      <w:r w:rsidR="0074071E" w:rsidRPr="001005B7">
        <w:rPr>
          <w:color w:val="auto"/>
          <w:lang w:val="en-US"/>
        </w:rPr>
        <w:t>. Downers Grove, IL:</w:t>
      </w:r>
      <w:r w:rsidRPr="001005B7">
        <w:rPr>
          <w:color w:val="auto"/>
          <w:lang w:val="en-US"/>
        </w:rPr>
        <w:t xml:space="preserve"> Inter-Varsity Pres</w:t>
      </w:r>
      <w:r w:rsidR="0074071E" w:rsidRPr="001005B7">
        <w:rPr>
          <w:color w:val="auto"/>
          <w:lang w:val="en-US"/>
        </w:rPr>
        <w:t>s</w:t>
      </w:r>
      <w:r w:rsidR="00637584" w:rsidRPr="001005B7">
        <w:rPr>
          <w:color w:val="auto"/>
          <w:lang w:val="en-US"/>
        </w:rPr>
        <w:t>, 2002.</w:t>
      </w:r>
      <w:r w:rsidR="002029D0">
        <w:rPr>
          <w:color w:val="auto"/>
          <w:lang w:val="en-US"/>
        </w:rPr>
        <w:t xml:space="preserve"> [cited as M. A. Taylor]</w:t>
      </w:r>
    </w:p>
    <w:p w14:paraId="6C81B468" w14:textId="25F6B135" w:rsidR="00672CB2" w:rsidRPr="001005B7" w:rsidRDefault="00DD501B" w:rsidP="006F5BB0">
      <w:pPr>
        <w:pStyle w:val="ListParagraph"/>
        <w:rPr>
          <w:color w:val="auto"/>
          <w:lang w:val="en-US"/>
        </w:rPr>
      </w:pPr>
      <w:proofErr w:type="spellStart"/>
      <w:r w:rsidRPr="001005B7">
        <w:rPr>
          <w:color w:val="auto"/>
          <w:lang w:val="en-US"/>
        </w:rPr>
        <w:t>Theodoret</w:t>
      </w:r>
      <w:proofErr w:type="spellEnd"/>
      <w:r w:rsidRPr="001005B7">
        <w:rPr>
          <w:color w:val="auto"/>
          <w:lang w:val="en-US"/>
        </w:rPr>
        <w:t xml:space="preserve"> of Cyrus. </w:t>
      </w:r>
      <w:r w:rsidRPr="001005B7">
        <w:rPr>
          <w:i/>
          <w:iCs/>
          <w:color w:val="auto"/>
          <w:lang w:val="en-US"/>
        </w:rPr>
        <w:t>Commentary on the Prophet Ezekiel</w:t>
      </w:r>
      <w:r w:rsidRPr="001005B7">
        <w:rPr>
          <w:color w:val="auto"/>
          <w:lang w:val="en-US"/>
        </w:rPr>
        <w:t>.</w:t>
      </w:r>
      <w:r w:rsidR="00011C97" w:rsidRPr="001005B7">
        <w:rPr>
          <w:color w:val="auto"/>
          <w:lang w:val="en-US"/>
        </w:rPr>
        <w:t xml:space="preserve"> </w:t>
      </w:r>
      <w:r w:rsidRPr="001005B7">
        <w:rPr>
          <w:color w:val="auto"/>
          <w:lang w:val="en-US"/>
        </w:rPr>
        <w:t>Commentaries on the Prophets 2. Brookline, MA: Holy Cross Orthodox Press, 2007.</w:t>
      </w:r>
    </w:p>
    <w:p w14:paraId="7492CCEE" w14:textId="77777777" w:rsidR="00F600C7" w:rsidRPr="001005B7" w:rsidRDefault="00672CB2" w:rsidP="006F5BB0">
      <w:pPr>
        <w:pStyle w:val="ListParagraph"/>
        <w:rPr>
          <w:color w:val="auto"/>
          <w:lang w:val="en-US"/>
        </w:rPr>
      </w:pPr>
      <w:r w:rsidRPr="001005B7">
        <w:rPr>
          <w:color w:val="auto"/>
          <w:lang w:val="en-US"/>
        </w:rPr>
        <w:t xml:space="preserve">Trapp, John. </w:t>
      </w:r>
      <w:r w:rsidRPr="001005B7">
        <w:rPr>
          <w:i/>
          <w:iCs/>
          <w:color w:val="auto"/>
          <w:lang w:val="en-US"/>
        </w:rPr>
        <w:t>A Commentary or Exposition upon These Following Books of Holy Scripture: Proverbs of Solomon, Ecclesiastes, the Song of Songs, Isaiah, Jeremiah, Lamentations, Ezekiel &amp; Daniel</w:t>
      </w:r>
      <w:r w:rsidRPr="001005B7">
        <w:rPr>
          <w:color w:val="auto"/>
          <w:lang w:val="en-US"/>
        </w:rPr>
        <w:t>. London: Simmons, 1660.</w:t>
      </w:r>
    </w:p>
    <w:p w14:paraId="30A4C46A" w14:textId="421EDF87" w:rsidR="008E4D48" w:rsidRPr="001005B7" w:rsidRDefault="00F600C7" w:rsidP="006F5BB0">
      <w:pPr>
        <w:pStyle w:val="ListParagraph"/>
        <w:rPr>
          <w:color w:val="auto"/>
          <w:lang w:val="en-US"/>
        </w:rPr>
      </w:pPr>
      <w:proofErr w:type="spellStart"/>
      <w:r w:rsidRPr="001005B7">
        <w:rPr>
          <w:color w:val="auto"/>
          <w:lang w:val="en-US"/>
        </w:rPr>
        <w:t>Tuell</w:t>
      </w:r>
      <w:proofErr w:type="spellEnd"/>
      <w:r w:rsidRPr="001005B7">
        <w:rPr>
          <w:color w:val="auto"/>
          <w:lang w:val="en-US"/>
        </w:rPr>
        <w:t>, S</w:t>
      </w:r>
      <w:r w:rsidR="00AE3759" w:rsidRPr="001005B7">
        <w:rPr>
          <w:color w:val="auto"/>
          <w:lang w:val="en-US"/>
        </w:rPr>
        <w:t>teven</w:t>
      </w:r>
      <w:r w:rsidRPr="001005B7">
        <w:rPr>
          <w:color w:val="auto"/>
          <w:lang w:val="en-US"/>
        </w:rPr>
        <w:t xml:space="preserve"> S. </w:t>
      </w:r>
      <w:r w:rsidRPr="001005B7">
        <w:rPr>
          <w:i/>
          <w:iCs/>
          <w:color w:val="auto"/>
          <w:lang w:val="en-US"/>
        </w:rPr>
        <w:t>Ezekiel</w:t>
      </w:r>
      <w:r w:rsidR="0055181D" w:rsidRPr="001005B7">
        <w:rPr>
          <w:color w:val="auto"/>
          <w:lang w:val="en-US"/>
        </w:rPr>
        <w:t>.</w:t>
      </w:r>
      <w:r w:rsidRPr="001005B7">
        <w:rPr>
          <w:color w:val="auto"/>
          <w:lang w:val="en-US"/>
        </w:rPr>
        <w:t> New International Biblical Commentary</w:t>
      </w:r>
      <w:r w:rsidR="00AE3759" w:rsidRPr="001005B7">
        <w:rPr>
          <w:color w:val="auto"/>
          <w:lang w:val="en-US"/>
        </w:rPr>
        <w:t>:</w:t>
      </w:r>
      <w:r w:rsidRPr="001005B7">
        <w:rPr>
          <w:color w:val="auto"/>
          <w:lang w:val="en-US"/>
        </w:rPr>
        <w:t xml:space="preserve"> Old Testament Series 15</w:t>
      </w:r>
      <w:r w:rsidR="00AE3759" w:rsidRPr="001005B7">
        <w:rPr>
          <w:color w:val="auto"/>
          <w:lang w:val="en-US"/>
        </w:rPr>
        <w:t>.</w:t>
      </w:r>
      <w:r w:rsidRPr="001005B7">
        <w:rPr>
          <w:color w:val="auto"/>
          <w:lang w:val="en-US"/>
        </w:rPr>
        <w:t xml:space="preserve"> Peabody, MA: Hendrickson, 2009.</w:t>
      </w:r>
    </w:p>
    <w:p w14:paraId="03AAA7E7" w14:textId="31CA4D91" w:rsidR="00D549B7" w:rsidRPr="001005B7" w:rsidRDefault="008E4D48" w:rsidP="006F5BB0">
      <w:pPr>
        <w:pStyle w:val="ListParagraph"/>
        <w:rPr>
          <w:color w:val="auto"/>
          <w:lang w:val="en-US"/>
        </w:rPr>
      </w:pPr>
      <w:proofErr w:type="spellStart"/>
      <w:r w:rsidRPr="001005B7">
        <w:rPr>
          <w:color w:val="auto"/>
          <w:lang w:val="en-US"/>
        </w:rPr>
        <w:t>Vawter</w:t>
      </w:r>
      <w:proofErr w:type="spellEnd"/>
      <w:r w:rsidRPr="001005B7">
        <w:rPr>
          <w:color w:val="auto"/>
          <w:lang w:val="en-US"/>
        </w:rPr>
        <w:t>, B</w:t>
      </w:r>
      <w:r w:rsidR="0004405D" w:rsidRPr="001005B7">
        <w:rPr>
          <w:color w:val="auto"/>
          <w:lang w:val="en-US"/>
        </w:rPr>
        <w:t>ruce</w:t>
      </w:r>
      <w:r w:rsidR="00535368" w:rsidRPr="001005B7">
        <w:rPr>
          <w:color w:val="auto"/>
          <w:lang w:val="en-US"/>
        </w:rPr>
        <w:t>, and</w:t>
      </w:r>
      <w:r w:rsidRPr="001005B7">
        <w:rPr>
          <w:color w:val="auto"/>
          <w:lang w:val="en-US"/>
        </w:rPr>
        <w:t xml:space="preserve"> L</w:t>
      </w:r>
      <w:r w:rsidR="0004405D" w:rsidRPr="001005B7">
        <w:rPr>
          <w:color w:val="auto"/>
          <w:lang w:val="en-US"/>
        </w:rPr>
        <w:t>eslie</w:t>
      </w:r>
      <w:r w:rsidRPr="001005B7">
        <w:rPr>
          <w:color w:val="auto"/>
          <w:lang w:val="en-US"/>
        </w:rPr>
        <w:t xml:space="preserve"> J. Hoppe</w:t>
      </w:r>
      <w:r w:rsidR="0004405D" w:rsidRPr="001005B7">
        <w:rPr>
          <w:color w:val="auto"/>
          <w:lang w:val="en-US"/>
        </w:rPr>
        <w:t>.</w:t>
      </w:r>
      <w:r w:rsidRPr="001005B7">
        <w:rPr>
          <w:color w:val="auto"/>
          <w:lang w:val="en-US"/>
        </w:rPr>
        <w:t> </w:t>
      </w:r>
      <w:r w:rsidRPr="001005B7">
        <w:rPr>
          <w:i/>
          <w:iCs/>
          <w:color w:val="auto"/>
          <w:lang w:val="en-US"/>
        </w:rPr>
        <w:t>A New Heart. A Commentary on the Book of Ezekiel</w:t>
      </w:r>
      <w:r w:rsidR="00535368" w:rsidRPr="001005B7">
        <w:rPr>
          <w:color w:val="auto"/>
          <w:lang w:val="en-US"/>
        </w:rPr>
        <w:t xml:space="preserve">. </w:t>
      </w:r>
      <w:r w:rsidRPr="001005B7">
        <w:rPr>
          <w:color w:val="auto"/>
          <w:lang w:val="en-US"/>
        </w:rPr>
        <w:t>International Theological Comment</w:t>
      </w:r>
      <w:r w:rsidR="00535368" w:rsidRPr="001005B7">
        <w:rPr>
          <w:color w:val="auto"/>
          <w:lang w:val="en-US"/>
        </w:rPr>
        <w:t>a</w:t>
      </w:r>
      <w:r w:rsidRPr="001005B7">
        <w:rPr>
          <w:color w:val="auto"/>
          <w:lang w:val="en-US"/>
        </w:rPr>
        <w:t>ry</w:t>
      </w:r>
      <w:r w:rsidR="002D013C" w:rsidRPr="001005B7">
        <w:rPr>
          <w:color w:val="auto"/>
          <w:lang w:val="en-US"/>
        </w:rPr>
        <w:t>.</w:t>
      </w:r>
      <w:r w:rsidRPr="001005B7">
        <w:rPr>
          <w:color w:val="auto"/>
          <w:lang w:val="en-US"/>
        </w:rPr>
        <w:t xml:space="preserve"> Grand Rapids: Eerdmans</w:t>
      </w:r>
      <w:r w:rsidR="00004704" w:rsidRPr="001005B7">
        <w:rPr>
          <w:color w:val="auto"/>
          <w:lang w:val="en-US"/>
        </w:rPr>
        <w:t>,</w:t>
      </w:r>
      <w:r w:rsidRPr="001005B7">
        <w:rPr>
          <w:color w:val="auto"/>
          <w:lang w:val="en-US"/>
        </w:rPr>
        <w:t xml:space="preserve"> 1991.</w:t>
      </w:r>
    </w:p>
    <w:p w14:paraId="1D538625" w14:textId="248DD21C" w:rsidR="00D549B7" w:rsidRPr="001005B7" w:rsidRDefault="00D549B7" w:rsidP="006F5BB0">
      <w:pPr>
        <w:pStyle w:val="ListParagraph"/>
        <w:rPr>
          <w:color w:val="auto"/>
          <w:lang w:val="en-US"/>
        </w:rPr>
      </w:pPr>
      <w:proofErr w:type="spellStart"/>
      <w:r w:rsidRPr="001005B7">
        <w:rPr>
          <w:color w:val="auto"/>
          <w:lang w:val="en-US"/>
        </w:rPr>
        <w:t>Wevers</w:t>
      </w:r>
      <w:proofErr w:type="spellEnd"/>
      <w:r w:rsidRPr="001005B7">
        <w:rPr>
          <w:color w:val="auto"/>
          <w:lang w:val="en-US"/>
        </w:rPr>
        <w:t>, J</w:t>
      </w:r>
      <w:r w:rsidR="00F66537" w:rsidRPr="001005B7">
        <w:rPr>
          <w:color w:val="auto"/>
          <w:lang w:val="en-US"/>
        </w:rPr>
        <w:t>ohn</w:t>
      </w:r>
      <w:r w:rsidRPr="001005B7">
        <w:rPr>
          <w:color w:val="auto"/>
          <w:lang w:val="en-US"/>
        </w:rPr>
        <w:t xml:space="preserve"> W. </w:t>
      </w:r>
      <w:r w:rsidRPr="001005B7">
        <w:rPr>
          <w:i/>
          <w:iCs/>
          <w:color w:val="auto"/>
          <w:lang w:val="en-US"/>
        </w:rPr>
        <w:t>Ezekiel</w:t>
      </w:r>
      <w:r w:rsidR="002D013C" w:rsidRPr="001005B7">
        <w:rPr>
          <w:color w:val="auto"/>
          <w:lang w:val="en-US"/>
        </w:rPr>
        <w:t xml:space="preserve">. </w:t>
      </w:r>
      <w:r w:rsidRPr="001005B7">
        <w:rPr>
          <w:color w:val="auto"/>
          <w:lang w:val="en-US"/>
        </w:rPr>
        <w:t>New Century Bible</w:t>
      </w:r>
      <w:r w:rsidR="002D013C" w:rsidRPr="001005B7">
        <w:rPr>
          <w:color w:val="auto"/>
          <w:lang w:val="en-US"/>
        </w:rPr>
        <w:t>.</w:t>
      </w:r>
      <w:r w:rsidRPr="001005B7">
        <w:rPr>
          <w:color w:val="auto"/>
          <w:lang w:val="en-US"/>
        </w:rPr>
        <w:t xml:space="preserve"> London: Nelson, 1969. </w:t>
      </w:r>
    </w:p>
    <w:p w14:paraId="4C84D90C" w14:textId="019AD0F4" w:rsidR="009C74E7" w:rsidRPr="001005B7" w:rsidRDefault="00A56588" w:rsidP="006F5BB0">
      <w:pPr>
        <w:pStyle w:val="ListParagraph"/>
        <w:rPr>
          <w:color w:val="auto"/>
          <w:lang w:val="en-US"/>
        </w:rPr>
      </w:pPr>
      <w:r w:rsidRPr="001005B7">
        <w:rPr>
          <w:color w:val="auto"/>
          <w:lang w:val="en-US"/>
        </w:rPr>
        <w:t>Wright, C</w:t>
      </w:r>
      <w:r w:rsidR="000F64E3" w:rsidRPr="001005B7">
        <w:rPr>
          <w:color w:val="auto"/>
          <w:lang w:val="en-US"/>
        </w:rPr>
        <w:t>hristopher</w:t>
      </w:r>
      <w:r w:rsidRPr="001005B7">
        <w:rPr>
          <w:color w:val="auto"/>
          <w:lang w:val="en-US"/>
        </w:rPr>
        <w:t xml:space="preserve"> J. H. </w:t>
      </w:r>
      <w:r w:rsidRPr="001005B7">
        <w:rPr>
          <w:i/>
          <w:iCs/>
          <w:color w:val="auto"/>
          <w:lang w:val="en-US"/>
        </w:rPr>
        <w:t>The Message of Ezekiel: A New Heart and a New Spirit.</w:t>
      </w:r>
      <w:r w:rsidRPr="001005B7">
        <w:rPr>
          <w:color w:val="auto"/>
          <w:lang w:val="en-US"/>
        </w:rPr>
        <w:t xml:space="preserve"> The Bible Speaks Today. Leicester: InterVarsity Press, 2001. </w:t>
      </w:r>
    </w:p>
    <w:p w14:paraId="4C0FF9F6" w14:textId="435528ED" w:rsidR="00412724" w:rsidRPr="001005B7" w:rsidRDefault="00412724" w:rsidP="006F5BB0">
      <w:pPr>
        <w:pStyle w:val="ListParagraph"/>
        <w:rPr>
          <w:color w:val="auto"/>
          <w:lang w:val="en-US"/>
        </w:rPr>
      </w:pPr>
      <w:proofErr w:type="spellStart"/>
      <w:r w:rsidRPr="001005B7">
        <w:rPr>
          <w:color w:val="auto"/>
          <w:lang w:val="en-US"/>
        </w:rPr>
        <w:t>Zimmerli</w:t>
      </w:r>
      <w:proofErr w:type="spellEnd"/>
      <w:r w:rsidRPr="001005B7">
        <w:rPr>
          <w:color w:val="auto"/>
          <w:lang w:val="en-US"/>
        </w:rPr>
        <w:t>, W</w:t>
      </w:r>
      <w:r w:rsidR="00A525CB" w:rsidRPr="001005B7">
        <w:rPr>
          <w:color w:val="auto"/>
          <w:lang w:val="en-US"/>
        </w:rPr>
        <w:t>alther</w:t>
      </w:r>
      <w:r w:rsidRPr="001005B7">
        <w:rPr>
          <w:color w:val="auto"/>
          <w:lang w:val="en-US"/>
        </w:rPr>
        <w:t>.</w:t>
      </w:r>
      <w:r w:rsidR="009C74E7" w:rsidRPr="001005B7">
        <w:rPr>
          <w:color w:val="auto"/>
          <w:lang w:val="en-US"/>
        </w:rPr>
        <w:t xml:space="preserve"> </w:t>
      </w:r>
      <w:r w:rsidRPr="001005B7">
        <w:rPr>
          <w:i/>
          <w:iCs/>
          <w:color w:val="auto"/>
          <w:lang w:val="en-US"/>
        </w:rPr>
        <w:t>Ezekiel I</w:t>
      </w:r>
      <w:r w:rsidR="00C13FB6" w:rsidRPr="001005B7">
        <w:rPr>
          <w:i/>
          <w:iCs/>
          <w:color w:val="auto"/>
          <w:lang w:val="en-US"/>
        </w:rPr>
        <w:t>: A Commentary on the Book of the Pr</w:t>
      </w:r>
      <w:r w:rsidR="001B3554" w:rsidRPr="001005B7">
        <w:rPr>
          <w:i/>
          <w:iCs/>
          <w:color w:val="auto"/>
          <w:lang w:val="en-US"/>
        </w:rPr>
        <w:t>o</w:t>
      </w:r>
      <w:r w:rsidR="00C13FB6" w:rsidRPr="001005B7">
        <w:rPr>
          <w:i/>
          <w:iCs/>
          <w:color w:val="auto"/>
          <w:lang w:val="en-US"/>
        </w:rPr>
        <w:t>phet Ezekiel</w:t>
      </w:r>
      <w:r w:rsidR="0094498F" w:rsidRPr="001005B7">
        <w:rPr>
          <w:i/>
          <w:iCs/>
          <w:color w:val="auto"/>
          <w:lang w:val="en-US"/>
        </w:rPr>
        <w:t>, Chapters 1</w:t>
      </w:r>
      <w:r w:rsidR="00F46900" w:rsidRPr="001005B7">
        <w:rPr>
          <w:i/>
          <w:iCs/>
          <w:color w:val="auto"/>
          <w:lang w:val="en-US"/>
        </w:rPr>
        <w:t>–</w:t>
      </w:r>
      <w:r w:rsidR="0094498F" w:rsidRPr="001005B7">
        <w:rPr>
          <w:i/>
          <w:iCs/>
          <w:color w:val="auto"/>
          <w:lang w:val="en-US"/>
        </w:rPr>
        <w:t>24.</w:t>
      </w:r>
      <w:r w:rsidR="009C74E7" w:rsidRPr="001005B7">
        <w:rPr>
          <w:color w:val="auto"/>
          <w:lang w:val="en-US"/>
        </w:rPr>
        <w:t xml:space="preserve"> </w:t>
      </w:r>
      <w:proofErr w:type="spellStart"/>
      <w:r w:rsidRPr="001005B7">
        <w:rPr>
          <w:color w:val="auto"/>
          <w:lang w:val="en-US"/>
        </w:rPr>
        <w:t>Hermeneia</w:t>
      </w:r>
      <w:proofErr w:type="spellEnd"/>
      <w:r w:rsidR="009C74E7" w:rsidRPr="001005B7">
        <w:rPr>
          <w:color w:val="auto"/>
          <w:lang w:val="en-US"/>
        </w:rPr>
        <w:t>.</w:t>
      </w:r>
      <w:r w:rsidRPr="001005B7">
        <w:rPr>
          <w:color w:val="auto"/>
          <w:lang w:val="en-US"/>
        </w:rPr>
        <w:t xml:space="preserve"> Philadelphia: Fortress, 1979.</w:t>
      </w:r>
    </w:p>
    <w:p w14:paraId="5A6157A1" w14:textId="3E0918F4" w:rsidR="00A525CB" w:rsidRPr="001005B7" w:rsidRDefault="00711455" w:rsidP="006F5BB0">
      <w:pPr>
        <w:pStyle w:val="ListParagraph"/>
        <w:rPr>
          <w:color w:val="auto"/>
          <w:lang w:val="en-US"/>
        </w:rPr>
      </w:pPr>
      <w:r w:rsidRPr="001005B7">
        <w:rPr>
          <w:color w:val="auto"/>
          <w:lang w:val="en-US"/>
        </w:rPr>
        <w:t xml:space="preserve">––– </w:t>
      </w:r>
      <w:r w:rsidR="00A525CB" w:rsidRPr="001005B7">
        <w:rPr>
          <w:i/>
          <w:iCs/>
          <w:color w:val="auto"/>
          <w:lang w:val="en-US"/>
        </w:rPr>
        <w:t>Ezekiel II</w:t>
      </w:r>
      <w:r w:rsidR="00684468" w:rsidRPr="001005B7">
        <w:rPr>
          <w:i/>
          <w:iCs/>
          <w:color w:val="auto"/>
          <w:lang w:val="en-US"/>
        </w:rPr>
        <w:t>:</w:t>
      </w:r>
      <w:r w:rsidR="00BD3E67" w:rsidRPr="001005B7">
        <w:rPr>
          <w:i/>
          <w:iCs/>
          <w:color w:val="auto"/>
          <w:lang w:val="en-US"/>
        </w:rPr>
        <w:t xml:space="preserve"> A Commentary on the Book of the Pr</w:t>
      </w:r>
      <w:r w:rsidR="001B3554" w:rsidRPr="001005B7">
        <w:rPr>
          <w:i/>
          <w:iCs/>
          <w:color w:val="auto"/>
          <w:lang w:val="en-US"/>
        </w:rPr>
        <w:t>o</w:t>
      </w:r>
      <w:r w:rsidR="00BD3E67" w:rsidRPr="001005B7">
        <w:rPr>
          <w:i/>
          <w:iCs/>
          <w:color w:val="auto"/>
          <w:lang w:val="en-US"/>
        </w:rPr>
        <w:t xml:space="preserve">phet Ezekiel, Chapters </w:t>
      </w:r>
      <w:r w:rsidR="00684468" w:rsidRPr="001005B7">
        <w:rPr>
          <w:i/>
          <w:iCs/>
          <w:color w:val="auto"/>
          <w:lang w:val="en-US"/>
        </w:rPr>
        <w:t>25</w:t>
      </w:r>
      <w:r w:rsidR="00F46900" w:rsidRPr="001005B7">
        <w:rPr>
          <w:i/>
          <w:iCs/>
          <w:color w:val="auto"/>
          <w:lang w:val="en-US"/>
        </w:rPr>
        <w:t>–</w:t>
      </w:r>
      <w:r w:rsidR="00BD3E67" w:rsidRPr="001005B7">
        <w:rPr>
          <w:i/>
          <w:iCs/>
          <w:color w:val="auto"/>
          <w:lang w:val="en-US"/>
        </w:rPr>
        <w:t>4</w:t>
      </w:r>
      <w:r w:rsidR="00684468" w:rsidRPr="001005B7">
        <w:rPr>
          <w:i/>
          <w:iCs/>
          <w:color w:val="auto"/>
          <w:lang w:val="en-US"/>
        </w:rPr>
        <w:t>8</w:t>
      </w:r>
      <w:r w:rsidR="00BD3E67" w:rsidRPr="001005B7">
        <w:rPr>
          <w:i/>
          <w:iCs/>
          <w:color w:val="auto"/>
          <w:lang w:val="en-US"/>
        </w:rPr>
        <w:t>.</w:t>
      </w:r>
      <w:r w:rsidR="00BD3E67" w:rsidRPr="001005B7">
        <w:rPr>
          <w:color w:val="auto"/>
          <w:lang w:val="en-US"/>
        </w:rPr>
        <w:t xml:space="preserve"> </w:t>
      </w:r>
      <w:proofErr w:type="spellStart"/>
      <w:r w:rsidR="00A525CB" w:rsidRPr="001005B7">
        <w:rPr>
          <w:color w:val="auto"/>
          <w:lang w:val="en-US"/>
        </w:rPr>
        <w:t>Hermeneia</w:t>
      </w:r>
      <w:proofErr w:type="spellEnd"/>
      <w:r w:rsidR="00A525CB" w:rsidRPr="001005B7">
        <w:rPr>
          <w:color w:val="auto"/>
          <w:lang w:val="en-US"/>
        </w:rPr>
        <w:t>. Philadelphia: Fortress, 1983.</w:t>
      </w:r>
    </w:p>
    <w:p w14:paraId="418E9AAD" w14:textId="119BA4ED" w:rsidR="00166C9A" w:rsidRPr="001005B7" w:rsidRDefault="00166C9A" w:rsidP="006F5BB0">
      <w:pPr>
        <w:pStyle w:val="ListParagraph"/>
        <w:rPr>
          <w:color w:val="auto"/>
          <w:lang w:val="en-US"/>
        </w:rPr>
      </w:pPr>
    </w:p>
    <w:p w14:paraId="3183ACFF" w14:textId="27066AB5" w:rsidR="00C76784" w:rsidRPr="001005B7" w:rsidRDefault="00617C8D" w:rsidP="003062B5">
      <w:pPr>
        <w:pStyle w:val="Heading2"/>
        <w:rPr>
          <w:color w:val="auto"/>
        </w:rPr>
      </w:pPr>
      <w:r w:rsidRPr="001005B7">
        <w:rPr>
          <w:color w:val="auto"/>
        </w:rPr>
        <w:t>P</w:t>
      </w:r>
      <w:r w:rsidR="007135EA" w:rsidRPr="001005B7">
        <w:rPr>
          <w:color w:val="auto"/>
        </w:rPr>
        <w:t xml:space="preserve">art One: </w:t>
      </w:r>
      <w:r w:rsidR="00C76784" w:rsidRPr="001005B7">
        <w:rPr>
          <w:color w:val="auto"/>
        </w:rPr>
        <w:t>Yahweh’s Message</w:t>
      </w:r>
      <w:r w:rsidR="003E6DC9" w:rsidRPr="001005B7">
        <w:rPr>
          <w:color w:val="auto"/>
        </w:rPr>
        <w:t>s</w:t>
      </w:r>
      <w:r w:rsidR="00C76784" w:rsidRPr="001005B7">
        <w:rPr>
          <w:color w:val="auto"/>
        </w:rPr>
        <w:t xml:space="preserve"> to Ezekiel</w:t>
      </w:r>
      <w:r w:rsidR="002D0D0E" w:rsidRPr="001005B7">
        <w:rPr>
          <w:color w:val="auto"/>
        </w:rPr>
        <w:t xml:space="preserve">, </w:t>
      </w:r>
      <w:r w:rsidR="00C76784" w:rsidRPr="001005B7">
        <w:rPr>
          <w:color w:val="auto"/>
        </w:rPr>
        <w:t>Year Five</w:t>
      </w:r>
      <w:r w:rsidR="00D326C9" w:rsidRPr="001005B7">
        <w:rPr>
          <w:color w:val="auto"/>
        </w:rPr>
        <w:t xml:space="preserve"> (1:1</w:t>
      </w:r>
      <w:r w:rsidR="00F46900" w:rsidRPr="001005B7">
        <w:rPr>
          <w:color w:val="auto"/>
        </w:rPr>
        <w:t>–</w:t>
      </w:r>
      <w:r w:rsidR="00D326C9" w:rsidRPr="001005B7">
        <w:rPr>
          <w:color w:val="auto"/>
        </w:rPr>
        <w:t>7:</w:t>
      </w:r>
      <w:r w:rsidR="00C3637D" w:rsidRPr="001005B7">
        <w:rPr>
          <w:color w:val="auto"/>
        </w:rPr>
        <w:t>27</w:t>
      </w:r>
      <w:r w:rsidR="00C76784" w:rsidRPr="001005B7">
        <w:rPr>
          <w:color w:val="auto"/>
        </w:rPr>
        <w:t>)</w:t>
      </w:r>
    </w:p>
    <w:p w14:paraId="5D384A5E" w14:textId="14ED24C3" w:rsidR="001858F2" w:rsidRPr="001005B7" w:rsidRDefault="00F509D4" w:rsidP="002715C0">
      <w:r w:rsidRPr="001005B7">
        <w:t>Part One of the Ezekiel Scroll comprises Ezekiel’s account o</w:t>
      </w:r>
      <w:r w:rsidR="00D0473C" w:rsidRPr="001005B7">
        <w:t>f Yahweh’s</w:t>
      </w:r>
      <w:r w:rsidR="00123EB9" w:rsidRPr="001005B7">
        <w:t xml:space="preserve"> </w:t>
      </w:r>
      <w:r w:rsidR="00FE5C7B" w:rsidRPr="001005B7">
        <w:t>commissioning him as a prophet</w:t>
      </w:r>
      <w:r w:rsidR="00A3609F" w:rsidRPr="001005B7">
        <w:t xml:space="preserve"> and</w:t>
      </w:r>
      <w:r w:rsidR="00FE5C7B" w:rsidRPr="001005B7">
        <w:t xml:space="preserve"> </w:t>
      </w:r>
      <w:r w:rsidR="00E36927" w:rsidRPr="001005B7">
        <w:t xml:space="preserve">giving him </w:t>
      </w:r>
      <w:r w:rsidR="004E5D92" w:rsidRPr="001005B7">
        <w:t>his initial messages</w:t>
      </w:r>
      <w:r w:rsidR="00F27975" w:rsidRPr="001005B7">
        <w:t>, which</w:t>
      </w:r>
      <w:r w:rsidR="000D171C" w:rsidRPr="001005B7">
        <w:t xml:space="preserve"> focus on </w:t>
      </w:r>
      <w:r w:rsidR="00AD51E9" w:rsidRPr="001005B7">
        <w:t xml:space="preserve">warnings </w:t>
      </w:r>
      <w:r w:rsidR="00F27975" w:rsidRPr="001005B7">
        <w:t>of</w:t>
      </w:r>
      <w:r w:rsidR="00AD51E9" w:rsidRPr="001005B7">
        <w:t xml:space="preserve"> </w:t>
      </w:r>
      <w:r w:rsidR="000D171C" w:rsidRPr="001005B7">
        <w:t>the upcoming fall of Jerusalem</w:t>
      </w:r>
      <w:r w:rsidR="00014722" w:rsidRPr="001005B7">
        <w:t xml:space="preserve"> and devastation of the country of Israel</w:t>
      </w:r>
      <w:r w:rsidR="00A22F11" w:rsidRPr="001005B7">
        <w:t>.</w:t>
      </w:r>
      <w:r w:rsidR="00330028" w:rsidRPr="001005B7">
        <w:t xml:space="preserve"> </w:t>
      </w:r>
      <w:r w:rsidR="00C2493F" w:rsidRPr="001005B7">
        <w:t xml:space="preserve">The same </w:t>
      </w:r>
      <w:r w:rsidR="00FC261F" w:rsidRPr="001005B7">
        <w:t xml:space="preserve">will be </w:t>
      </w:r>
      <w:r w:rsidR="00C2493F" w:rsidRPr="001005B7">
        <w:t>true about Part</w:t>
      </w:r>
      <w:r w:rsidR="00E20E4A" w:rsidRPr="001005B7">
        <w:t>s</w:t>
      </w:r>
      <w:r w:rsidR="00C2493F" w:rsidRPr="001005B7">
        <w:t xml:space="preserve"> Two and Three of the scroll</w:t>
      </w:r>
      <w:r w:rsidR="00540F3F" w:rsidRPr="001005B7">
        <w:t>, though th</w:t>
      </w:r>
      <w:r w:rsidR="00FC261F" w:rsidRPr="001005B7">
        <w:t>ere will be more focus</w:t>
      </w:r>
      <w:r w:rsidR="00AD567B" w:rsidRPr="001005B7">
        <w:t xml:space="preserve"> there</w:t>
      </w:r>
      <w:r w:rsidR="00FC261F" w:rsidRPr="001005B7">
        <w:t xml:space="preserve"> on the reasons fo</w:t>
      </w:r>
      <w:r w:rsidR="00665FB5" w:rsidRPr="001005B7">
        <w:t>r the coming catastrophe, increasing</w:t>
      </w:r>
      <w:r w:rsidR="00A511B2" w:rsidRPr="001005B7">
        <w:t xml:space="preserve"> star</w:t>
      </w:r>
      <w:r w:rsidR="00504CC2" w:rsidRPr="001005B7">
        <w:t>kness in the portrayal</w:t>
      </w:r>
      <w:r w:rsidR="00A511B2" w:rsidRPr="001005B7">
        <w:t xml:space="preserve"> of Israel’s prospects</w:t>
      </w:r>
      <w:r w:rsidR="00416CC9" w:rsidRPr="001005B7">
        <w:t>, but also notes of promise as well as threat</w:t>
      </w:r>
      <w:r w:rsidR="00504CC2" w:rsidRPr="001005B7">
        <w:t xml:space="preserve">. </w:t>
      </w:r>
      <w:r w:rsidR="00A87040" w:rsidRPr="001005B7">
        <w:t>T</w:t>
      </w:r>
      <w:r w:rsidR="00504CC2" w:rsidRPr="001005B7">
        <w:t xml:space="preserve">he arrangement of </w:t>
      </w:r>
      <w:r w:rsidR="00FD3254" w:rsidRPr="001005B7">
        <w:t>Ezek 1</w:t>
      </w:r>
      <w:r w:rsidR="00F46900" w:rsidRPr="001005B7">
        <w:t>–</w:t>
      </w:r>
      <w:r w:rsidR="00FD3254" w:rsidRPr="001005B7">
        <w:t>23</w:t>
      </w:r>
      <w:r w:rsidR="00A87040" w:rsidRPr="001005B7">
        <w:t xml:space="preserve"> thus</w:t>
      </w:r>
      <w:r w:rsidR="00FD3254" w:rsidRPr="001005B7">
        <w:t xml:space="preserve"> combines the chronological and </w:t>
      </w:r>
      <w:r w:rsidR="002912F1" w:rsidRPr="001005B7">
        <w:t xml:space="preserve">the </w:t>
      </w:r>
      <w:r w:rsidR="00FD3254" w:rsidRPr="001005B7">
        <w:t>thematic</w:t>
      </w:r>
      <w:r w:rsidR="002912F1" w:rsidRPr="001005B7">
        <w:t>,</w:t>
      </w:r>
      <w:r w:rsidR="00DD42FC" w:rsidRPr="001005B7">
        <w:t xml:space="preserve"> and</w:t>
      </w:r>
      <w:r w:rsidR="00A77837" w:rsidRPr="001005B7">
        <w:t xml:space="preserve"> t</w:t>
      </w:r>
      <w:r w:rsidR="00731EC8" w:rsidRPr="001005B7">
        <w:t>he date</w:t>
      </w:r>
      <w:r w:rsidR="00991222" w:rsidRPr="001005B7">
        <w:t xml:space="preserve">s in Ezek 1, </w:t>
      </w:r>
      <w:r w:rsidR="009E18C6" w:rsidRPr="001005B7">
        <w:t xml:space="preserve">8, and </w:t>
      </w:r>
      <w:r w:rsidR="007E421A" w:rsidRPr="001005B7">
        <w:t xml:space="preserve">20 </w:t>
      </w:r>
      <w:r w:rsidR="00DB554F" w:rsidRPr="001005B7">
        <w:t>link with the theme</w:t>
      </w:r>
      <w:r w:rsidR="00E71288" w:rsidRPr="001005B7">
        <w:t>. They</w:t>
      </w:r>
      <w:r w:rsidR="005C308C" w:rsidRPr="001005B7">
        <w:t xml:space="preserve"> </w:t>
      </w:r>
      <w:r w:rsidR="00DB554F" w:rsidRPr="001005B7">
        <w:t xml:space="preserve">may carry no implication </w:t>
      </w:r>
      <w:r w:rsidR="00862A58" w:rsidRPr="001005B7">
        <w:t xml:space="preserve">concerning the </w:t>
      </w:r>
      <w:r w:rsidR="00313894" w:rsidRPr="001005B7">
        <w:t xml:space="preserve">precise </w:t>
      </w:r>
      <w:r w:rsidR="00862A58" w:rsidRPr="001005B7">
        <w:t>date of the material within each part</w:t>
      </w:r>
      <w:r w:rsidR="00313894" w:rsidRPr="001005B7">
        <w:t>,</w:t>
      </w:r>
      <w:r w:rsidR="00E71288" w:rsidRPr="001005B7">
        <w:t xml:space="preserve"> except that it </w:t>
      </w:r>
      <w:r w:rsidR="00C77316" w:rsidRPr="001005B7">
        <w:t>re</w:t>
      </w:r>
      <w:r w:rsidR="00891D62" w:rsidRPr="001005B7">
        <w:t>l</w:t>
      </w:r>
      <w:r w:rsidR="00C77316" w:rsidRPr="001005B7">
        <w:t xml:space="preserve">ates to that </w:t>
      </w:r>
      <w:r w:rsidR="00891D62" w:rsidRPr="001005B7">
        <w:t>upcoming catastrophe</w:t>
      </w:r>
      <w:r w:rsidR="0013645F" w:rsidRPr="001005B7">
        <w:t>. In other word</w:t>
      </w:r>
      <w:r w:rsidR="00891D62" w:rsidRPr="001005B7">
        <w:t>s</w:t>
      </w:r>
      <w:r w:rsidR="0013645F" w:rsidRPr="001005B7">
        <w:t xml:space="preserve">, Ezek 6 and 7, for instance, </w:t>
      </w:r>
      <w:r w:rsidR="00412D90" w:rsidRPr="001005B7">
        <w:t>might not come from year five</w:t>
      </w:r>
      <w:r w:rsidR="00684EE4" w:rsidRPr="001005B7">
        <w:t xml:space="preserve"> but might</w:t>
      </w:r>
      <w:r w:rsidR="003054D5" w:rsidRPr="001005B7">
        <w:t xml:space="preserve"> appear here because they fit the plot of Ezek 1</w:t>
      </w:r>
      <w:r w:rsidR="00F46900" w:rsidRPr="001005B7">
        <w:t>–</w:t>
      </w:r>
      <w:r w:rsidR="003054D5" w:rsidRPr="001005B7">
        <w:t>23</w:t>
      </w:r>
      <w:r w:rsidR="000625B1" w:rsidRPr="001005B7">
        <w:t>.</w:t>
      </w:r>
    </w:p>
    <w:p w14:paraId="1CEADA66" w14:textId="1020F51A" w:rsidR="00B75C40" w:rsidRPr="001005B7" w:rsidRDefault="00B27365" w:rsidP="00B75C40">
      <w:r w:rsidRPr="001005B7">
        <w:t>T</w:t>
      </w:r>
      <w:r w:rsidR="00B75C40" w:rsidRPr="001005B7">
        <w:t xml:space="preserve">he first </w:t>
      </w:r>
      <w:r w:rsidR="00523D1C" w:rsidRPr="001005B7">
        <w:t>segment</w:t>
      </w:r>
      <w:r w:rsidR="00B75C40" w:rsidRPr="001005B7">
        <w:t xml:space="preserve"> (1:1</w:t>
      </w:r>
      <w:r w:rsidR="00F46900" w:rsidRPr="001005B7">
        <w:t>–</w:t>
      </w:r>
      <w:r w:rsidR="00B75C40" w:rsidRPr="001005B7">
        <w:t>3:15)</w:t>
      </w:r>
      <w:r w:rsidR="00F1727B" w:rsidRPr="001005B7">
        <w:t xml:space="preserve"> relates</w:t>
      </w:r>
      <w:r w:rsidR="00B75C40" w:rsidRPr="001005B7">
        <w:t xml:space="preserve"> a vision that leads into </w:t>
      </w:r>
      <w:r w:rsidR="00AD3AF2" w:rsidRPr="001005B7">
        <w:t xml:space="preserve">the giving of </w:t>
      </w:r>
      <w:r w:rsidR="00B6290A" w:rsidRPr="001005B7">
        <w:t>a</w:t>
      </w:r>
      <w:r w:rsidR="00AD3AF2" w:rsidRPr="001005B7">
        <w:t xml:space="preserve"> message</w:t>
      </w:r>
      <w:r w:rsidR="00B75C40" w:rsidRPr="001005B7">
        <w:t>:</w:t>
      </w:r>
    </w:p>
    <w:p w14:paraId="78C9296F" w14:textId="77777777" w:rsidR="00B75C40" w:rsidRPr="001005B7" w:rsidRDefault="00B75C40" w:rsidP="00B75C40"/>
    <w:p w14:paraId="584771DF" w14:textId="77777777" w:rsidR="00B75C40" w:rsidRPr="001005B7" w:rsidRDefault="00B75C40" w:rsidP="001C5C56">
      <w:r w:rsidRPr="001005B7">
        <w:t>A summary of the vision (1:1)</w:t>
      </w:r>
    </w:p>
    <w:p w14:paraId="47E85D3D" w14:textId="3077852F" w:rsidR="00B75C40" w:rsidRPr="001005B7" w:rsidRDefault="00B75C40" w:rsidP="00B75C40">
      <w:r w:rsidRPr="001005B7">
        <w:t xml:space="preserve">A </w:t>
      </w:r>
      <w:r w:rsidR="00BF2748" w:rsidRPr="001005B7">
        <w:t xml:space="preserve">third-person </w:t>
      </w:r>
      <w:r w:rsidRPr="001005B7">
        <w:t xml:space="preserve">summary of the </w:t>
      </w:r>
      <w:r w:rsidR="001B373B" w:rsidRPr="001005B7">
        <w:t>giving of the message</w:t>
      </w:r>
      <w:r w:rsidRPr="001005B7">
        <w:t xml:space="preserve"> (1:2</w:t>
      </w:r>
      <w:r w:rsidR="00F46900" w:rsidRPr="001005B7">
        <w:t>–</w:t>
      </w:r>
      <w:r w:rsidRPr="001005B7">
        <w:t>3)</w:t>
      </w:r>
    </w:p>
    <w:p w14:paraId="384DD636" w14:textId="692DBBFE" w:rsidR="00B75C40" w:rsidRPr="001005B7" w:rsidRDefault="00B75C40" w:rsidP="00B75C40">
      <w:pPr>
        <w:rPr>
          <w:rFonts w:cstheme="minorHAnsi"/>
        </w:rPr>
      </w:pPr>
      <w:r w:rsidRPr="001005B7">
        <w:t>An account of the vision (1:4</w:t>
      </w:r>
      <w:r w:rsidR="00F46900" w:rsidRPr="001005B7">
        <w:t>–</w:t>
      </w:r>
      <w:r w:rsidRPr="001005B7">
        <w:t>18b</w:t>
      </w:r>
      <w:r w:rsidRPr="001005B7">
        <w:rPr>
          <w:rFonts w:cstheme="minorHAnsi"/>
        </w:rPr>
        <w:t>α)</w:t>
      </w:r>
    </w:p>
    <w:p w14:paraId="1D1FA26C" w14:textId="6956F2CA" w:rsidR="00B75C40" w:rsidRPr="001005B7" w:rsidRDefault="00B75C40" w:rsidP="00B75C40">
      <w:r w:rsidRPr="001005B7">
        <w:t xml:space="preserve">An account of the </w:t>
      </w:r>
      <w:r w:rsidR="001B373B" w:rsidRPr="001005B7">
        <w:t xml:space="preserve">giving of the </w:t>
      </w:r>
      <w:r w:rsidR="00B6290A" w:rsidRPr="001005B7">
        <w:t>message</w:t>
      </w:r>
      <w:r w:rsidRPr="001005B7">
        <w:t xml:space="preserve"> (1:18b</w:t>
      </w:r>
      <w:r w:rsidRPr="001005B7">
        <w:rPr>
          <w:rFonts w:cstheme="minorHAnsi"/>
        </w:rPr>
        <w:t>β</w:t>
      </w:r>
      <w:r w:rsidR="00F46900" w:rsidRPr="001005B7">
        <w:t>–</w:t>
      </w:r>
      <w:r w:rsidRPr="001005B7">
        <w:t>3:15)</w:t>
      </w:r>
    </w:p>
    <w:p w14:paraId="7FD4C9C5" w14:textId="3659119E" w:rsidR="00D359D5" w:rsidRPr="001005B7" w:rsidRDefault="00D359D5" w:rsidP="00113973"/>
    <w:p w14:paraId="33A3FDD7" w14:textId="582A34A2" w:rsidR="00D359D5" w:rsidRPr="001005B7" w:rsidRDefault="00E065C5" w:rsidP="00B6290A">
      <w:pPr>
        <w:ind w:firstLine="0"/>
      </w:pPr>
      <w:r w:rsidRPr="001005B7">
        <w:t xml:space="preserve">The middle </w:t>
      </w:r>
      <w:r w:rsidR="007F380A" w:rsidRPr="001005B7">
        <w:t>segment</w:t>
      </w:r>
      <w:r w:rsidRPr="001005B7">
        <w:t xml:space="preserve"> (3:16</w:t>
      </w:r>
      <w:r w:rsidR="00F46900" w:rsidRPr="001005B7">
        <w:t>–</w:t>
      </w:r>
      <w:r w:rsidRPr="001005B7">
        <w:t>5:4) gives precision to the c</w:t>
      </w:r>
      <w:r w:rsidR="00F100A1" w:rsidRPr="001005B7">
        <w:t>harge</w:t>
      </w:r>
      <w:r w:rsidR="00FD7827" w:rsidRPr="001005B7">
        <w:t xml:space="preserve"> Yahweh is giving Ezekiel</w:t>
      </w:r>
      <w:r w:rsidR="00D05540" w:rsidRPr="001005B7">
        <w:t>:</w:t>
      </w:r>
    </w:p>
    <w:p w14:paraId="6EC23A32" w14:textId="77777777" w:rsidR="00D05540" w:rsidRPr="001005B7" w:rsidRDefault="00D05540" w:rsidP="00113973"/>
    <w:p w14:paraId="1A257F6B" w14:textId="26E257DF" w:rsidR="00D05540" w:rsidRPr="001005B7" w:rsidRDefault="00D05540" w:rsidP="00113973">
      <w:r w:rsidRPr="001005B7">
        <w:t>An account of a commission to be a lookout (3:16</w:t>
      </w:r>
      <w:r w:rsidR="00F46900" w:rsidRPr="001005B7">
        <w:t>–</w:t>
      </w:r>
      <w:r w:rsidR="0099762C" w:rsidRPr="001005B7">
        <w:t>27)</w:t>
      </w:r>
    </w:p>
    <w:p w14:paraId="0B5C2B5E" w14:textId="6347C867" w:rsidR="0099762C" w:rsidRPr="001005B7" w:rsidRDefault="0099762C" w:rsidP="00113973">
      <w:r w:rsidRPr="001005B7">
        <w:t>An account of action</w:t>
      </w:r>
      <w:r w:rsidR="00335A4B" w:rsidRPr="001005B7">
        <w:t>s</w:t>
      </w:r>
      <w:r w:rsidRPr="001005B7">
        <w:t xml:space="preserve"> he is to take (</w:t>
      </w:r>
      <w:r w:rsidR="00E974AA" w:rsidRPr="001005B7">
        <w:t>4:1</w:t>
      </w:r>
      <w:r w:rsidR="00F46900" w:rsidRPr="001005B7">
        <w:t>–</w:t>
      </w:r>
      <w:r w:rsidR="00E974AA" w:rsidRPr="001005B7">
        <w:t xml:space="preserve">5:4) </w:t>
      </w:r>
    </w:p>
    <w:p w14:paraId="304FC360" w14:textId="77777777" w:rsidR="00D05540" w:rsidRPr="001005B7" w:rsidRDefault="00D05540" w:rsidP="00113973"/>
    <w:p w14:paraId="1EDCDBFD" w14:textId="51AA3D7A" w:rsidR="007534D7" w:rsidRPr="001005B7" w:rsidRDefault="007B47FF" w:rsidP="00057679">
      <w:pPr>
        <w:pStyle w:val="PlainText"/>
        <w:ind w:firstLine="0"/>
      </w:pPr>
      <w:r w:rsidRPr="001005B7">
        <w:t xml:space="preserve">The third </w:t>
      </w:r>
      <w:r w:rsidR="007F380A" w:rsidRPr="001005B7">
        <w:t>segmen</w:t>
      </w:r>
      <w:r w:rsidRPr="001005B7">
        <w:t>t (5:5</w:t>
      </w:r>
      <w:r w:rsidR="00F46900" w:rsidRPr="001005B7">
        <w:t>–</w:t>
      </w:r>
      <w:r w:rsidRPr="001005B7">
        <w:t xml:space="preserve">7:27) is </w:t>
      </w:r>
      <w:r w:rsidR="007F380A" w:rsidRPr="001005B7">
        <w:t>a</w:t>
      </w:r>
      <w:r w:rsidR="00772964" w:rsidRPr="001005B7">
        <w:t xml:space="preserve"> sequence of reports of messages Yahweh gives Ezekiel</w:t>
      </w:r>
      <w:r w:rsidR="00AB3DC6" w:rsidRPr="001005B7">
        <w:t xml:space="preserve">, which in the context </w:t>
      </w:r>
      <w:r w:rsidR="00D515A9" w:rsidRPr="001005B7">
        <w:t xml:space="preserve">explain the significance of the actions </w:t>
      </w:r>
      <w:r w:rsidR="00EF6953" w:rsidRPr="001005B7">
        <w:t>he</w:t>
      </w:r>
      <w:r w:rsidR="00D515A9" w:rsidRPr="001005B7">
        <w:t xml:space="preserve"> b</w:t>
      </w:r>
      <w:r w:rsidR="00335A4B" w:rsidRPr="001005B7">
        <w:t>ade</w:t>
      </w:r>
      <w:r w:rsidR="00D515A9" w:rsidRPr="001005B7">
        <w:t xml:space="preserve"> Ezekiel under</w:t>
      </w:r>
      <w:r w:rsidR="007534D7" w:rsidRPr="001005B7">
        <w:t>take</w:t>
      </w:r>
      <w:r w:rsidR="00EF6953" w:rsidRPr="001005B7">
        <w:t>:</w:t>
      </w:r>
      <w:r w:rsidR="00683E01" w:rsidRPr="001005B7">
        <w:t xml:space="preserve"> </w:t>
      </w:r>
    </w:p>
    <w:p w14:paraId="2F48139A" w14:textId="77777777" w:rsidR="007534D7" w:rsidRPr="001005B7" w:rsidRDefault="007534D7" w:rsidP="006F5BB0">
      <w:pPr>
        <w:pStyle w:val="ListParagraph"/>
        <w:rPr>
          <w:color w:val="auto"/>
          <w:lang w:val="en-US"/>
        </w:rPr>
      </w:pPr>
    </w:p>
    <w:p w14:paraId="0FBC9B72" w14:textId="635B09FF" w:rsidR="00587F6B" w:rsidRPr="001005B7" w:rsidRDefault="00587F6B" w:rsidP="00EB7A6D">
      <w:r w:rsidRPr="001005B7">
        <w:t xml:space="preserve">A message </w:t>
      </w:r>
      <w:r w:rsidR="00FD013D" w:rsidRPr="001005B7">
        <w:t>addressed to</w:t>
      </w:r>
      <w:r w:rsidRPr="001005B7">
        <w:t xml:space="preserve"> Jerusalem (5:5</w:t>
      </w:r>
      <w:r w:rsidR="00F46900" w:rsidRPr="001005B7">
        <w:t>–</w:t>
      </w:r>
      <w:r w:rsidRPr="001005B7">
        <w:t>17)</w:t>
      </w:r>
    </w:p>
    <w:p w14:paraId="2773750A" w14:textId="05B13B5E" w:rsidR="00B8727D" w:rsidRPr="001005B7" w:rsidRDefault="00587F6B" w:rsidP="00113973">
      <w:r w:rsidRPr="001005B7">
        <w:t xml:space="preserve">A message </w:t>
      </w:r>
      <w:r w:rsidR="00FD013D" w:rsidRPr="001005B7">
        <w:t>addressed to</w:t>
      </w:r>
      <w:r w:rsidRPr="001005B7">
        <w:t xml:space="preserve"> the mountains of </w:t>
      </w:r>
      <w:r w:rsidR="00B8727D" w:rsidRPr="001005B7">
        <w:t>Israel (6:1</w:t>
      </w:r>
      <w:r w:rsidR="00F46900" w:rsidRPr="001005B7">
        <w:t>–</w:t>
      </w:r>
      <w:r w:rsidR="00B8727D" w:rsidRPr="001005B7">
        <w:t>14)</w:t>
      </w:r>
    </w:p>
    <w:p w14:paraId="6D25BC5E" w14:textId="44355ABE" w:rsidR="00113973" w:rsidRPr="001005B7" w:rsidRDefault="00B8727D" w:rsidP="00113973">
      <w:r w:rsidRPr="001005B7">
        <w:t xml:space="preserve">A message </w:t>
      </w:r>
      <w:r w:rsidR="00FD013D" w:rsidRPr="001005B7">
        <w:t>addressed to</w:t>
      </w:r>
      <w:r w:rsidRPr="001005B7">
        <w:t xml:space="preserve"> the land of Israel (7:1</w:t>
      </w:r>
      <w:r w:rsidR="00F46900" w:rsidRPr="001005B7">
        <w:t>–</w:t>
      </w:r>
      <w:r w:rsidR="00183BF8" w:rsidRPr="001005B7">
        <w:t>27)</w:t>
      </w:r>
      <w:r w:rsidR="00D515A9" w:rsidRPr="001005B7">
        <w:t xml:space="preserve"> </w:t>
      </w:r>
    </w:p>
    <w:p w14:paraId="541E3B44" w14:textId="77777777" w:rsidR="00786DE9" w:rsidRPr="001005B7" w:rsidRDefault="00786DE9" w:rsidP="00113973"/>
    <w:p w14:paraId="3A183CC4" w14:textId="2AF55014" w:rsidR="008756FC" w:rsidRPr="001005B7" w:rsidRDefault="00EF04ED" w:rsidP="00536B93">
      <w:pPr>
        <w:ind w:firstLine="0"/>
      </w:pPr>
      <w:r w:rsidRPr="001005B7">
        <w:t>E</w:t>
      </w:r>
      <w:r w:rsidR="00F100A1" w:rsidRPr="001005B7">
        <w:t xml:space="preserve">ach </w:t>
      </w:r>
      <w:r w:rsidRPr="001005B7">
        <w:t xml:space="preserve">of these units has </w:t>
      </w:r>
      <w:r w:rsidR="00F100A1" w:rsidRPr="001005B7">
        <w:t>a formal beginning (5:5; 6:1; 7:1) and a formal ending (5:17b</w:t>
      </w:r>
      <w:r w:rsidR="00F100A1" w:rsidRPr="001005B7">
        <w:rPr>
          <w:rFonts w:cstheme="minorHAnsi"/>
        </w:rPr>
        <w:t>β</w:t>
      </w:r>
      <w:r w:rsidR="00F100A1" w:rsidRPr="001005B7">
        <w:t>; 6:14b; 7:27b</w:t>
      </w:r>
      <w:r w:rsidR="00F100A1" w:rsidRPr="001005B7">
        <w:rPr>
          <w:rFonts w:cstheme="minorHAnsi"/>
        </w:rPr>
        <w:t>β</w:t>
      </w:r>
      <w:r w:rsidR="00F100A1" w:rsidRPr="001005B7">
        <w:t xml:space="preserve">). They are separable, though </w:t>
      </w:r>
      <w:r w:rsidR="00FE68DE" w:rsidRPr="001005B7">
        <w:t xml:space="preserve">similar </w:t>
      </w:r>
      <w:r w:rsidR="00F100A1" w:rsidRPr="001005B7">
        <w:t>in content</w:t>
      </w:r>
      <w:r w:rsidR="00F23D39" w:rsidRPr="001005B7">
        <w:t>,</w:t>
      </w:r>
      <w:r w:rsidR="00F100A1" w:rsidRPr="001005B7">
        <w:t xml:space="preserve"> in announcing the actions Yahweh intends to take in his fury, by sword, famine, and epidemic, </w:t>
      </w:r>
      <w:r w:rsidR="00AF41F1" w:rsidRPr="001005B7">
        <w:t>indic</w:t>
      </w:r>
      <w:r w:rsidR="00DD5C58" w:rsidRPr="001005B7">
        <w:t>a</w:t>
      </w:r>
      <w:r w:rsidR="00AF41F1" w:rsidRPr="001005B7">
        <w:t xml:space="preserve">ting </w:t>
      </w:r>
      <w:r w:rsidR="00F100A1" w:rsidRPr="001005B7">
        <w:t xml:space="preserve">the rationale for these actions in the outrages Israel has committed, and </w:t>
      </w:r>
      <w:r w:rsidR="00AF41F1" w:rsidRPr="001005B7">
        <w:t xml:space="preserve">stating </w:t>
      </w:r>
      <w:r w:rsidR="00F100A1" w:rsidRPr="001005B7">
        <w:t>the aim that Israel should thereby acknowledge Yahweh.</w:t>
      </w:r>
    </w:p>
    <w:p w14:paraId="0F434194" w14:textId="65057B26" w:rsidR="00104DF8" w:rsidRPr="001005B7" w:rsidRDefault="005319C4" w:rsidP="00551866">
      <w:r w:rsidRPr="001005B7">
        <w:t>The</w:t>
      </w:r>
      <w:r w:rsidR="00771143" w:rsidRPr="001005B7">
        <w:t xml:space="preserve"> three segments lead into one another</w:t>
      </w:r>
      <w:r w:rsidR="00A204A0" w:rsidRPr="001005B7">
        <w:t xml:space="preserve">, </w:t>
      </w:r>
      <w:r w:rsidR="006E3D5B" w:rsidRPr="001005B7">
        <w:t>as</w:t>
      </w:r>
      <w:r w:rsidR="008B5C91" w:rsidRPr="001005B7">
        <w:t xml:space="preserve"> </w:t>
      </w:r>
      <w:r w:rsidR="00DD3A51" w:rsidRPr="001005B7">
        <w:t>3:12</w:t>
      </w:r>
      <w:r w:rsidR="00F46900" w:rsidRPr="001005B7">
        <w:t>–</w:t>
      </w:r>
      <w:r w:rsidR="00DD3A51" w:rsidRPr="001005B7">
        <w:t>15 leads into 3:16</w:t>
      </w:r>
      <w:r w:rsidR="00F46900" w:rsidRPr="001005B7">
        <w:t>–</w:t>
      </w:r>
      <w:r w:rsidR="00DD3A51" w:rsidRPr="001005B7">
        <w:t>21</w:t>
      </w:r>
      <w:r w:rsidR="002C5BA2" w:rsidRPr="001005B7">
        <w:t xml:space="preserve"> and</w:t>
      </w:r>
      <w:r w:rsidR="006E30CC" w:rsidRPr="001005B7">
        <w:t xml:space="preserve"> 5:1</w:t>
      </w:r>
      <w:r w:rsidR="00F46900" w:rsidRPr="001005B7">
        <w:t>–</w:t>
      </w:r>
      <w:r w:rsidR="006E30CC" w:rsidRPr="001005B7">
        <w:t>4 leads into 5:5</w:t>
      </w:r>
      <w:r w:rsidR="00F46900" w:rsidRPr="001005B7">
        <w:t>–</w:t>
      </w:r>
      <w:r w:rsidR="00DC6C5F" w:rsidRPr="001005B7">
        <w:t xml:space="preserve">17. </w:t>
      </w:r>
      <w:r w:rsidR="00020960" w:rsidRPr="001005B7">
        <w:t xml:space="preserve">A </w:t>
      </w:r>
      <w:r w:rsidR="00F40C3C" w:rsidRPr="001005B7">
        <w:t xml:space="preserve">continuous </w:t>
      </w:r>
      <w:r w:rsidR="00020960" w:rsidRPr="001005B7">
        <w:t>narrati</w:t>
      </w:r>
      <w:r w:rsidR="00F40C3C" w:rsidRPr="001005B7">
        <w:t xml:space="preserve">ve account of Yahweh’s dealings with Ezekiel </w:t>
      </w:r>
      <w:r w:rsidR="008E0890" w:rsidRPr="001005B7">
        <w:t xml:space="preserve">thus </w:t>
      </w:r>
      <w:r w:rsidR="00F40C3C" w:rsidRPr="001005B7">
        <w:t xml:space="preserve">runs through </w:t>
      </w:r>
      <w:r w:rsidR="00260191" w:rsidRPr="001005B7">
        <w:t>1:1</w:t>
      </w:r>
      <w:r w:rsidR="00F46900" w:rsidRPr="001005B7">
        <w:t>–</w:t>
      </w:r>
      <w:r w:rsidR="00260191" w:rsidRPr="001005B7">
        <w:t xml:space="preserve">5:17, without sharp breaks. </w:t>
      </w:r>
      <w:r w:rsidR="00104DF8" w:rsidRPr="001005B7">
        <w:t>I</w:t>
      </w:r>
      <w:r w:rsidR="00E36911" w:rsidRPr="001005B7">
        <w:t xml:space="preserve">n a broader sense there is a narrative plot about </w:t>
      </w:r>
      <w:r w:rsidR="00FB6ED9" w:rsidRPr="001005B7">
        <w:t>Ezek 1</w:t>
      </w:r>
      <w:r w:rsidR="00F46900" w:rsidRPr="001005B7">
        <w:t>–</w:t>
      </w:r>
      <w:r w:rsidR="00FB6ED9" w:rsidRPr="001005B7">
        <w:t>7 as a whole:</w:t>
      </w:r>
    </w:p>
    <w:p w14:paraId="1685715B" w14:textId="77777777" w:rsidR="00FB6ED9" w:rsidRPr="001005B7" w:rsidRDefault="00FB6ED9" w:rsidP="00551866"/>
    <w:p w14:paraId="14F1690A" w14:textId="58B10349" w:rsidR="00612DD4" w:rsidRPr="001005B7" w:rsidRDefault="00875EEC" w:rsidP="00612DD4">
      <w:pPr>
        <w:pStyle w:val="Bullet"/>
      </w:pPr>
      <w:r w:rsidRPr="001005B7">
        <w:t>How Yahweh appeared to me in a storm wind (1:1</w:t>
      </w:r>
      <w:r w:rsidR="00F46900" w:rsidRPr="001005B7">
        <w:t>–</w:t>
      </w:r>
      <w:r w:rsidR="00612DD4" w:rsidRPr="001005B7">
        <w:rPr>
          <w:rFonts w:cs="Calibri"/>
        </w:rPr>
        <w:t xml:space="preserve">28bα) </w:t>
      </w:r>
    </w:p>
    <w:p w14:paraId="3B6C7090" w14:textId="0D099446" w:rsidR="00612DD4" w:rsidRPr="001005B7" w:rsidRDefault="00612DD4" w:rsidP="00612DD4">
      <w:pPr>
        <w:pStyle w:val="Bullet"/>
      </w:pPr>
      <w:r w:rsidRPr="001005B7">
        <w:rPr>
          <w:rFonts w:cs="Calibri"/>
        </w:rPr>
        <w:t xml:space="preserve">Why did he do that? </w:t>
      </w:r>
      <w:r w:rsidR="006544E1" w:rsidRPr="001005B7">
        <w:rPr>
          <w:rFonts w:cs="Calibri"/>
        </w:rPr>
        <w:t>Because he was appointing me</w:t>
      </w:r>
      <w:r w:rsidR="00E80D98" w:rsidRPr="001005B7">
        <w:rPr>
          <w:rFonts w:cs="Calibri"/>
        </w:rPr>
        <w:t xml:space="preserve"> to give warnings to</w:t>
      </w:r>
      <w:r w:rsidR="00EA1D6D" w:rsidRPr="001005B7">
        <w:rPr>
          <w:rFonts w:cs="Calibri"/>
        </w:rPr>
        <w:t xml:space="preserve"> Israel</w:t>
      </w:r>
      <w:r w:rsidR="00E45116" w:rsidRPr="001005B7">
        <w:rPr>
          <w:rFonts w:cs="Calibri"/>
        </w:rPr>
        <w:t xml:space="preserve"> as a rebellious household</w:t>
      </w:r>
      <w:r w:rsidR="00EA1D6D" w:rsidRPr="001005B7">
        <w:rPr>
          <w:rFonts w:cs="Calibri"/>
        </w:rPr>
        <w:t xml:space="preserve"> (</w:t>
      </w:r>
      <w:r w:rsidR="0064181B" w:rsidRPr="001005B7">
        <w:rPr>
          <w:rFonts w:eastAsia="Times New Roman"/>
          <w:lang w:eastAsia="en-GB"/>
        </w:rPr>
        <w:t>1:28b</w:t>
      </w:r>
      <w:r w:rsidR="0064181B" w:rsidRPr="001005B7">
        <w:rPr>
          <w:rFonts w:eastAsia="Times New Roman" w:cstheme="majorHAnsi"/>
          <w:lang w:eastAsia="en-GB"/>
        </w:rPr>
        <w:t>β</w:t>
      </w:r>
      <w:r w:rsidR="00F46900" w:rsidRPr="001005B7">
        <w:rPr>
          <w:rFonts w:eastAsia="Times New Roman"/>
          <w:lang w:eastAsia="en-GB"/>
        </w:rPr>
        <w:t>–</w:t>
      </w:r>
      <w:r w:rsidR="0064181B" w:rsidRPr="001005B7">
        <w:rPr>
          <w:rFonts w:eastAsia="Times New Roman"/>
          <w:lang w:eastAsia="en-GB"/>
        </w:rPr>
        <w:t>3:15)</w:t>
      </w:r>
    </w:p>
    <w:p w14:paraId="21F265B9" w14:textId="1FDB4A91" w:rsidR="00D8381B" w:rsidRPr="001005B7" w:rsidRDefault="00D8381B" w:rsidP="00612DD4">
      <w:pPr>
        <w:pStyle w:val="Bullet"/>
      </w:pPr>
      <w:r w:rsidRPr="001005B7">
        <w:rPr>
          <w:rFonts w:eastAsia="Times New Roman"/>
          <w:lang w:eastAsia="en-GB"/>
        </w:rPr>
        <w:t>How was I to go about this work</w:t>
      </w:r>
      <w:r w:rsidR="00E80D98" w:rsidRPr="001005B7">
        <w:rPr>
          <w:rFonts w:eastAsia="Times New Roman"/>
          <w:lang w:eastAsia="en-GB"/>
        </w:rPr>
        <w:t xml:space="preserve">? By </w:t>
      </w:r>
      <w:r w:rsidR="00914394" w:rsidRPr="001005B7">
        <w:rPr>
          <w:rFonts w:eastAsia="Times New Roman"/>
          <w:lang w:eastAsia="en-GB"/>
        </w:rPr>
        <w:t xml:space="preserve">acting out signs of what threatened </w:t>
      </w:r>
      <w:r w:rsidR="0039586E" w:rsidRPr="001005B7">
        <w:rPr>
          <w:rFonts w:eastAsia="Times New Roman"/>
          <w:lang w:eastAsia="en-GB"/>
        </w:rPr>
        <w:t>Jerusalem</w:t>
      </w:r>
      <w:r w:rsidR="00914394" w:rsidRPr="001005B7">
        <w:rPr>
          <w:rFonts w:eastAsia="Times New Roman"/>
          <w:lang w:eastAsia="en-GB"/>
        </w:rPr>
        <w:t xml:space="preserve"> (4:1</w:t>
      </w:r>
      <w:r w:rsidR="00F46900" w:rsidRPr="001005B7">
        <w:rPr>
          <w:rFonts w:eastAsia="Times New Roman"/>
          <w:lang w:eastAsia="en-GB"/>
        </w:rPr>
        <w:t>–</w:t>
      </w:r>
      <w:r w:rsidR="00914394" w:rsidRPr="001005B7">
        <w:rPr>
          <w:rFonts w:eastAsia="Times New Roman"/>
          <w:lang w:eastAsia="en-GB"/>
        </w:rPr>
        <w:t>5:4)</w:t>
      </w:r>
    </w:p>
    <w:p w14:paraId="72BB3A66" w14:textId="32E58C43" w:rsidR="005607E0" w:rsidRPr="001005B7" w:rsidRDefault="005607E0" w:rsidP="00612DD4">
      <w:pPr>
        <w:pStyle w:val="Bullet"/>
      </w:pPr>
      <w:r w:rsidRPr="001005B7">
        <w:rPr>
          <w:rFonts w:eastAsia="Times New Roman"/>
          <w:lang w:eastAsia="en-GB"/>
        </w:rPr>
        <w:t>Wh</w:t>
      </w:r>
      <w:r w:rsidR="00046F9E" w:rsidRPr="001005B7">
        <w:rPr>
          <w:rFonts w:eastAsia="Times New Roman"/>
          <w:lang w:eastAsia="en-GB"/>
        </w:rPr>
        <w:t>at did the signs signify</w:t>
      </w:r>
      <w:r w:rsidR="00C302F3" w:rsidRPr="001005B7">
        <w:rPr>
          <w:rFonts w:eastAsia="Times New Roman"/>
          <w:lang w:eastAsia="en-GB"/>
        </w:rPr>
        <w:t xml:space="preserve"> for </w:t>
      </w:r>
      <w:r w:rsidR="0039586E" w:rsidRPr="001005B7">
        <w:rPr>
          <w:rFonts w:eastAsia="Times New Roman"/>
          <w:lang w:eastAsia="en-GB"/>
        </w:rPr>
        <w:t>the city</w:t>
      </w:r>
      <w:r w:rsidR="00046F9E" w:rsidRPr="001005B7">
        <w:rPr>
          <w:rFonts w:eastAsia="Times New Roman"/>
          <w:lang w:eastAsia="en-GB"/>
        </w:rPr>
        <w:t>? Cataclysmic disaster</w:t>
      </w:r>
      <w:r w:rsidR="008A788B" w:rsidRPr="001005B7">
        <w:rPr>
          <w:rFonts w:eastAsia="Times New Roman"/>
          <w:lang w:eastAsia="en-GB"/>
        </w:rPr>
        <w:t xml:space="preserve"> </w:t>
      </w:r>
      <w:r w:rsidR="00CF4731" w:rsidRPr="001005B7">
        <w:rPr>
          <w:rFonts w:eastAsia="Times New Roman"/>
          <w:lang w:eastAsia="en-GB"/>
        </w:rPr>
        <w:t xml:space="preserve">for its rebellion </w:t>
      </w:r>
      <w:r w:rsidR="008A788B" w:rsidRPr="001005B7">
        <w:rPr>
          <w:rFonts w:eastAsia="Times New Roman"/>
          <w:lang w:eastAsia="en-GB"/>
        </w:rPr>
        <w:t>(5:5</w:t>
      </w:r>
      <w:r w:rsidR="00F46900" w:rsidRPr="001005B7">
        <w:rPr>
          <w:rFonts w:eastAsia="Times New Roman"/>
          <w:lang w:eastAsia="en-GB"/>
        </w:rPr>
        <w:t>–</w:t>
      </w:r>
      <w:r w:rsidR="008A788B" w:rsidRPr="001005B7">
        <w:rPr>
          <w:rFonts w:eastAsia="Times New Roman"/>
          <w:lang w:eastAsia="en-GB"/>
        </w:rPr>
        <w:t>17)</w:t>
      </w:r>
    </w:p>
    <w:p w14:paraId="5BDE4D54" w14:textId="392729A7" w:rsidR="008A788B" w:rsidRPr="001005B7" w:rsidRDefault="008A788B" w:rsidP="00612DD4">
      <w:pPr>
        <w:pStyle w:val="Bullet"/>
      </w:pPr>
      <w:r w:rsidRPr="001005B7">
        <w:rPr>
          <w:rFonts w:eastAsia="Times New Roman"/>
          <w:lang w:eastAsia="en-GB"/>
        </w:rPr>
        <w:t>Wh</w:t>
      </w:r>
      <w:r w:rsidR="00EF3B75" w:rsidRPr="001005B7">
        <w:rPr>
          <w:rFonts w:eastAsia="Times New Roman"/>
          <w:lang w:eastAsia="en-GB"/>
        </w:rPr>
        <w:t>at about the country more broadly? It will also experience disaster</w:t>
      </w:r>
      <w:r w:rsidR="003B68C1" w:rsidRPr="001005B7">
        <w:rPr>
          <w:rFonts w:eastAsia="Times New Roman"/>
          <w:lang w:eastAsia="en-GB"/>
        </w:rPr>
        <w:t xml:space="preserve"> for its faithlessness</w:t>
      </w:r>
      <w:r w:rsidR="00EF3B75" w:rsidRPr="001005B7">
        <w:rPr>
          <w:rFonts w:eastAsia="Times New Roman"/>
          <w:lang w:eastAsia="en-GB"/>
        </w:rPr>
        <w:t xml:space="preserve"> (6:1</w:t>
      </w:r>
      <w:r w:rsidR="00F46900" w:rsidRPr="001005B7">
        <w:rPr>
          <w:rFonts w:eastAsia="Times New Roman"/>
          <w:lang w:eastAsia="en-GB"/>
        </w:rPr>
        <w:t>–</w:t>
      </w:r>
      <w:r w:rsidR="003B68C1" w:rsidRPr="001005B7">
        <w:rPr>
          <w:rFonts w:eastAsia="Times New Roman"/>
          <w:lang w:eastAsia="en-GB"/>
        </w:rPr>
        <w:t>14</w:t>
      </w:r>
      <w:r w:rsidR="00E45116" w:rsidRPr="001005B7">
        <w:rPr>
          <w:rFonts w:eastAsia="Times New Roman"/>
          <w:lang w:eastAsia="en-GB"/>
        </w:rPr>
        <w:t>)</w:t>
      </w:r>
    </w:p>
    <w:p w14:paraId="1F9D096C" w14:textId="771E3E49" w:rsidR="00E27738" w:rsidRPr="001005B7" w:rsidRDefault="00E27738" w:rsidP="00612DD4">
      <w:pPr>
        <w:pStyle w:val="Bullet"/>
      </w:pPr>
      <w:r w:rsidRPr="001005B7">
        <w:rPr>
          <w:rFonts w:eastAsia="Times New Roman"/>
          <w:lang w:eastAsia="en-GB"/>
        </w:rPr>
        <w:t xml:space="preserve">How grim will it be? It will be the </w:t>
      </w:r>
      <w:r w:rsidR="0078724C" w:rsidRPr="001005B7">
        <w:rPr>
          <w:rFonts w:eastAsia="Times New Roman"/>
          <w:lang w:eastAsia="en-GB"/>
        </w:rPr>
        <w:t xml:space="preserve">end of the </w:t>
      </w:r>
      <w:r w:rsidR="00733DC0" w:rsidRPr="001005B7">
        <w:rPr>
          <w:rFonts w:eastAsia="Times New Roman"/>
          <w:lang w:eastAsia="en-GB"/>
        </w:rPr>
        <w:t xml:space="preserve">city and the </w:t>
      </w:r>
      <w:r w:rsidR="0078724C" w:rsidRPr="001005B7">
        <w:rPr>
          <w:rFonts w:eastAsia="Times New Roman"/>
          <w:lang w:eastAsia="en-GB"/>
        </w:rPr>
        <w:t xml:space="preserve">country </w:t>
      </w:r>
      <w:r w:rsidR="00733DC0" w:rsidRPr="001005B7">
        <w:rPr>
          <w:rFonts w:eastAsia="Times New Roman"/>
          <w:lang w:eastAsia="en-GB"/>
        </w:rPr>
        <w:t>for their waywardness (7:1</w:t>
      </w:r>
      <w:r w:rsidR="00F46900" w:rsidRPr="001005B7">
        <w:rPr>
          <w:rFonts w:eastAsia="Times New Roman"/>
          <w:lang w:eastAsia="en-GB"/>
        </w:rPr>
        <w:t>–</w:t>
      </w:r>
      <w:r w:rsidR="00733DC0" w:rsidRPr="001005B7">
        <w:rPr>
          <w:rFonts w:eastAsia="Times New Roman"/>
          <w:lang w:eastAsia="en-GB"/>
        </w:rPr>
        <w:t>27)</w:t>
      </w:r>
    </w:p>
    <w:p w14:paraId="5D0694DE" w14:textId="77777777" w:rsidR="00FB6ED9" w:rsidRPr="001005B7" w:rsidRDefault="00FB6ED9" w:rsidP="00551866"/>
    <w:p w14:paraId="406CF97D" w14:textId="079DDA8D" w:rsidR="00786DE9" w:rsidRPr="001005B7" w:rsidRDefault="00AA00AA" w:rsidP="00551866">
      <w:r w:rsidRPr="001005B7">
        <w:t xml:space="preserve">Adding to the difference between </w:t>
      </w:r>
      <w:r w:rsidR="00424036" w:rsidRPr="001005B7">
        <w:rPr>
          <w:sz w:val="18"/>
          <w:szCs w:val="18"/>
        </w:rPr>
        <w:t>MT</w:t>
      </w:r>
      <w:r w:rsidR="006A513F" w:rsidRPr="001005B7">
        <w:t xml:space="preserve"> and t</w:t>
      </w:r>
      <w:r w:rsidR="00210076" w:rsidRPr="001005B7">
        <w:t>he medieval chapter system, commentaries differ about how to divide up the text.</w:t>
      </w:r>
      <w:r w:rsidR="00551866" w:rsidRPr="001005B7">
        <w:t xml:space="preserve"> </w:t>
      </w:r>
      <w:r w:rsidR="004D4F81" w:rsidRPr="001005B7">
        <w:t>The divisions between the</w:t>
      </w:r>
      <w:r w:rsidR="00DC6C5F" w:rsidRPr="001005B7">
        <w:t xml:space="preserve"> segments</w:t>
      </w:r>
      <w:r w:rsidR="004D4F81" w:rsidRPr="001005B7">
        <w:t xml:space="preserve"> are</w:t>
      </w:r>
      <w:r w:rsidR="00DC6C5F" w:rsidRPr="001005B7">
        <w:t xml:space="preserve"> </w:t>
      </w:r>
      <w:r w:rsidR="004D4F81" w:rsidRPr="001005B7">
        <w:t xml:space="preserve">not watertight. One </w:t>
      </w:r>
      <w:r w:rsidR="00FA509D" w:rsidRPr="001005B7">
        <w:t>chapter may raise an issue that a succeeding ch</w:t>
      </w:r>
      <w:r w:rsidR="00551866" w:rsidRPr="001005B7">
        <w:t>a</w:t>
      </w:r>
      <w:r w:rsidR="00FA509D" w:rsidRPr="001005B7">
        <w:t xml:space="preserve">pter will come back to. </w:t>
      </w:r>
      <w:r w:rsidR="00A3286B" w:rsidRPr="001005B7">
        <w:t xml:space="preserve">While </w:t>
      </w:r>
      <w:r w:rsidR="00786DE9" w:rsidRPr="001005B7">
        <w:t xml:space="preserve">I picture Ezekiel as the author of </w:t>
      </w:r>
      <w:r w:rsidR="00FA509D" w:rsidRPr="001005B7">
        <w:t>the whole,</w:t>
      </w:r>
      <w:r w:rsidR="00786DE9" w:rsidRPr="001005B7">
        <w:t xml:space="preserve"> this is not to imply that the</w:t>
      </w:r>
      <w:r w:rsidR="0038118C" w:rsidRPr="001005B7">
        <w:t xml:space="preserve"> segments</w:t>
      </w:r>
      <w:r w:rsidR="00786DE9" w:rsidRPr="001005B7">
        <w:t xml:space="preserve"> are </w:t>
      </w:r>
      <w:r w:rsidR="00D35631" w:rsidRPr="001005B7">
        <w:t xml:space="preserve">his transcript of events as they happened. </w:t>
      </w:r>
      <w:r w:rsidR="00672AE5" w:rsidRPr="001005B7">
        <w:t>They form a literary and rhetorical construction</w:t>
      </w:r>
      <w:r w:rsidR="00FC33FE" w:rsidRPr="001005B7">
        <w:t xml:space="preserve"> in which one chapter may raise questions or open up issues that are taken up and taken further later. </w:t>
      </w:r>
      <w:r w:rsidR="00DC0BA7" w:rsidRPr="001005B7">
        <w:t>Part One</w:t>
      </w:r>
      <w:r w:rsidR="00D35631" w:rsidRPr="001005B7">
        <w:t xml:space="preserve"> </w:t>
      </w:r>
      <w:r w:rsidR="0035066E" w:rsidRPr="001005B7">
        <w:t>is</w:t>
      </w:r>
      <w:r w:rsidR="00D35631" w:rsidRPr="001005B7">
        <w:t xml:space="preserve"> a work of </w:t>
      </w:r>
      <w:r w:rsidR="006D1470" w:rsidRPr="001005B7">
        <w:t xml:space="preserve">creative </w:t>
      </w:r>
      <w:r w:rsidR="00D35631" w:rsidRPr="001005B7">
        <w:t>imagination in which</w:t>
      </w:r>
      <w:r w:rsidR="00672AE5" w:rsidRPr="001005B7">
        <w:t xml:space="preserve"> Ezekiel</w:t>
      </w:r>
      <w:r w:rsidR="000403F8" w:rsidRPr="001005B7">
        <w:t xml:space="preserve"> </w:t>
      </w:r>
      <w:r w:rsidR="00383685" w:rsidRPr="001005B7">
        <w:t>reconstructs how things happened at the beginning</w:t>
      </w:r>
      <w:r w:rsidR="00060CD7" w:rsidRPr="001005B7">
        <w:t xml:space="preserve"> and puts into writing </w:t>
      </w:r>
      <w:r w:rsidR="00DA6B76" w:rsidRPr="001005B7">
        <w:t xml:space="preserve">the </w:t>
      </w:r>
      <w:r w:rsidR="000403F8" w:rsidRPr="001005B7">
        <w:t xml:space="preserve">messages </w:t>
      </w:r>
      <w:r w:rsidR="00C9645B" w:rsidRPr="001005B7">
        <w:t xml:space="preserve">Yahweh </w:t>
      </w:r>
      <w:r w:rsidR="00DA6B76" w:rsidRPr="001005B7">
        <w:t xml:space="preserve">then </w:t>
      </w:r>
      <w:r w:rsidR="00C9645B" w:rsidRPr="001005B7">
        <w:t xml:space="preserve">gave him, and builds </w:t>
      </w:r>
      <w:r w:rsidR="00CF3CBB" w:rsidRPr="001005B7">
        <w:t xml:space="preserve">the whole </w:t>
      </w:r>
      <w:r w:rsidR="00C9645B" w:rsidRPr="001005B7">
        <w:t xml:space="preserve">into a coherent </w:t>
      </w:r>
      <w:r w:rsidR="00A87748" w:rsidRPr="001005B7">
        <w:t>narrative and sequence.</w:t>
      </w:r>
      <w:r w:rsidR="00551866" w:rsidRPr="001005B7">
        <w:t xml:space="preserve"> The whole is designed to communicate, as </w:t>
      </w:r>
      <w:r w:rsidR="0011419C" w:rsidRPr="001005B7">
        <w:t>a continuous piece of work that someone might read</w:t>
      </w:r>
      <w:r w:rsidR="007071DC" w:rsidRPr="001005B7">
        <w:t xml:space="preserve">. Any individual section within it </w:t>
      </w:r>
      <w:r w:rsidR="00522E59" w:rsidRPr="001005B7">
        <w:t xml:space="preserve">makes </w:t>
      </w:r>
      <w:r w:rsidR="007071DC" w:rsidRPr="001005B7">
        <w:t>sense on its own</w:t>
      </w:r>
      <w:r w:rsidR="00595CA7" w:rsidRPr="001005B7">
        <w:t>, but the whole is greater than the parts.</w:t>
      </w:r>
    </w:p>
    <w:p w14:paraId="314D628A" w14:textId="1908B6AF" w:rsidR="00407A76" w:rsidRPr="001005B7" w:rsidRDefault="00100E31" w:rsidP="003062B5">
      <w:pPr>
        <w:pStyle w:val="Heading2"/>
        <w:rPr>
          <w:color w:val="auto"/>
        </w:rPr>
      </w:pPr>
      <w:r w:rsidRPr="001005B7">
        <w:rPr>
          <w:color w:val="auto"/>
        </w:rPr>
        <w:t>Preface</w:t>
      </w:r>
      <w:r w:rsidR="002D1E8A" w:rsidRPr="001005B7">
        <w:rPr>
          <w:color w:val="auto"/>
        </w:rPr>
        <w:t xml:space="preserve"> </w:t>
      </w:r>
      <w:r w:rsidR="00FD7382" w:rsidRPr="001005B7">
        <w:rPr>
          <w:color w:val="auto"/>
        </w:rPr>
        <w:t>(1:1</w:t>
      </w:r>
      <w:r w:rsidR="00F46900" w:rsidRPr="001005B7">
        <w:rPr>
          <w:color w:val="auto"/>
        </w:rPr>
        <w:t>–</w:t>
      </w:r>
      <w:r w:rsidR="00FD7382" w:rsidRPr="001005B7">
        <w:rPr>
          <w:color w:val="auto"/>
        </w:rPr>
        <w:t>3)</w:t>
      </w:r>
    </w:p>
    <w:p w14:paraId="39F08446" w14:textId="77777777" w:rsidR="00C2600F" w:rsidRPr="001005B7" w:rsidRDefault="00C2600F" w:rsidP="00493833">
      <w:pPr>
        <w:pStyle w:val="Heading3"/>
      </w:pPr>
      <w:r w:rsidRPr="001005B7">
        <w:t>Outline</w:t>
      </w:r>
    </w:p>
    <w:p w14:paraId="67C4FFA2" w14:textId="2125516C" w:rsidR="00192749" w:rsidRPr="001005B7" w:rsidRDefault="007C6005" w:rsidP="00FA3256">
      <w:r w:rsidRPr="001005B7">
        <w:t xml:space="preserve">A book’s </w:t>
      </w:r>
      <w:r w:rsidR="003F24F5" w:rsidRPr="001005B7">
        <w:t xml:space="preserve">preface may </w:t>
      </w:r>
      <w:r w:rsidR="005545D1" w:rsidRPr="001005B7">
        <w:t xml:space="preserve">incorporate something from the </w:t>
      </w:r>
      <w:r w:rsidR="00F72673" w:rsidRPr="001005B7">
        <w:t>editor</w:t>
      </w:r>
      <w:r w:rsidR="005545D1" w:rsidRPr="001005B7">
        <w:t xml:space="preserve"> and something from the </w:t>
      </w:r>
      <w:r w:rsidR="00F72673" w:rsidRPr="001005B7">
        <w:t>author, and th</w:t>
      </w:r>
      <w:r w:rsidR="00E10DAE" w:rsidRPr="001005B7">
        <w:t>at</w:t>
      </w:r>
      <w:r w:rsidR="00F72673" w:rsidRPr="001005B7">
        <w:t xml:space="preserve"> is</w:t>
      </w:r>
      <w:r w:rsidR="00100CE0" w:rsidRPr="001005B7">
        <w:t xml:space="preserve"> true of</w:t>
      </w:r>
      <w:r w:rsidR="00F72673" w:rsidRPr="001005B7">
        <w:t xml:space="preserve"> the Ezekiel scroll</w:t>
      </w:r>
      <w:r w:rsidR="00252909" w:rsidRPr="001005B7">
        <w:t xml:space="preserve">, though this preface is </w:t>
      </w:r>
      <w:r w:rsidR="00F15353" w:rsidRPr="001005B7">
        <w:t xml:space="preserve">the introduction to Part One of the scroll rather than the whole work. </w:t>
      </w:r>
      <w:r w:rsidR="00595222" w:rsidRPr="001005B7">
        <w:t>First Ezekiel introduces his vision</w:t>
      </w:r>
      <w:r w:rsidR="00376359" w:rsidRPr="001005B7">
        <w:t xml:space="preserve"> (1:1)</w:t>
      </w:r>
      <w:r w:rsidR="00595222" w:rsidRPr="001005B7">
        <w:t xml:space="preserve">. Then his editor introduces </w:t>
      </w:r>
      <w:r w:rsidR="00415AD8" w:rsidRPr="001005B7">
        <w:t xml:space="preserve">how </w:t>
      </w:r>
      <w:r w:rsidR="00D065DB" w:rsidRPr="001005B7">
        <w:t>his message</w:t>
      </w:r>
      <w:r w:rsidR="00FF0579" w:rsidRPr="001005B7">
        <w:t xml:space="preserve"> </w:t>
      </w:r>
      <w:r w:rsidR="00415AD8" w:rsidRPr="001005B7">
        <w:t xml:space="preserve">came </w:t>
      </w:r>
      <w:r w:rsidR="00FF0579" w:rsidRPr="001005B7">
        <w:t>from Yahweh</w:t>
      </w:r>
      <w:r w:rsidR="00376359" w:rsidRPr="001005B7">
        <w:t xml:space="preserve"> (1:2</w:t>
      </w:r>
      <w:r w:rsidR="00F46900" w:rsidRPr="001005B7">
        <w:t>–</w:t>
      </w:r>
      <w:r w:rsidR="00376359" w:rsidRPr="001005B7">
        <w:t>3)</w:t>
      </w:r>
      <w:r w:rsidR="00FF0579" w:rsidRPr="001005B7">
        <w:t>.</w:t>
      </w:r>
    </w:p>
    <w:p w14:paraId="7027A8BB" w14:textId="40A206E9" w:rsidR="00C87033" w:rsidRPr="001005B7" w:rsidRDefault="008A0781" w:rsidP="00FA3256">
      <w:r w:rsidRPr="001005B7">
        <w:t xml:space="preserve">The twofold </w:t>
      </w:r>
      <w:r w:rsidR="008C229D" w:rsidRPr="001005B7">
        <w:t>preface</w:t>
      </w:r>
      <w:r w:rsidRPr="001005B7">
        <w:t xml:space="preserve"> fulfills a twofold function. Ezekiel’s own </w:t>
      </w:r>
      <w:r w:rsidR="00914B9B" w:rsidRPr="001005B7">
        <w:t xml:space="preserve">summary </w:t>
      </w:r>
      <w:r w:rsidRPr="001005B7">
        <w:t xml:space="preserve">introduction to the vision that will follow compares with Isaiah’s introduction to his vision </w:t>
      </w:r>
      <w:r w:rsidR="00BB36E3" w:rsidRPr="001005B7">
        <w:t>of Yah</w:t>
      </w:r>
      <w:r w:rsidR="00F5013E" w:rsidRPr="001005B7">
        <w:t xml:space="preserve">weh enthroned </w:t>
      </w:r>
      <w:r w:rsidR="00337395" w:rsidRPr="001005B7">
        <w:t>(</w:t>
      </w:r>
      <w:r w:rsidRPr="001005B7">
        <w:t>Isa 6:1</w:t>
      </w:r>
      <w:r w:rsidR="00337395" w:rsidRPr="001005B7">
        <w:t>)</w:t>
      </w:r>
      <w:r w:rsidRPr="001005B7">
        <w:t xml:space="preserve">. The </w:t>
      </w:r>
      <w:r w:rsidR="00EC4581" w:rsidRPr="001005B7">
        <w:t xml:space="preserve">following </w:t>
      </w:r>
      <w:r w:rsidR="00233972" w:rsidRPr="001005B7">
        <w:t>summary introduction to the commission</w:t>
      </w:r>
      <w:r w:rsidR="00CF2BDA" w:rsidRPr="001005B7">
        <w:t>, the only third-person passage in the scroll,</w:t>
      </w:r>
      <w:r w:rsidR="00436327" w:rsidRPr="001005B7">
        <w:t xml:space="preserve"> </w:t>
      </w:r>
      <w:r w:rsidR="00037B57" w:rsidRPr="001005B7">
        <w:t xml:space="preserve">was </w:t>
      </w:r>
      <w:r w:rsidR="00436327" w:rsidRPr="001005B7">
        <w:t>a</w:t>
      </w:r>
      <w:r w:rsidR="00BB0DCE" w:rsidRPr="001005B7">
        <w:t>pparently</w:t>
      </w:r>
      <w:r w:rsidR="00436327" w:rsidRPr="001005B7">
        <w:t xml:space="preserve"> </w:t>
      </w:r>
      <w:r w:rsidR="00F5013E" w:rsidRPr="001005B7">
        <w:t>provide</w:t>
      </w:r>
      <w:r w:rsidR="00436327" w:rsidRPr="001005B7">
        <w:t>d by a curator</w:t>
      </w:r>
      <w:r w:rsidR="0058306F" w:rsidRPr="001005B7">
        <w:t xml:space="preserve">. </w:t>
      </w:r>
      <w:r w:rsidR="00CF2BDA" w:rsidRPr="001005B7">
        <w:t>I</w:t>
      </w:r>
      <w:r w:rsidR="001F2778" w:rsidRPr="001005B7">
        <w:t xml:space="preserve">t </w:t>
      </w:r>
      <w:r w:rsidRPr="001005B7">
        <w:t xml:space="preserve">compares with the </w:t>
      </w:r>
      <w:r w:rsidR="001F2778" w:rsidRPr="001005B7">
        <w:t xml:space="preserve">third-person </w:t>
      </w:r>
      <w:r w:rsidRPr="001005B7">
        <w:t>introduction to the Isaiah scroll</w:t>
      </w:r>
      <w:r w:rsidR="00337395" w:rsidRPr="001005B7">
        <w:t xml:space="preserve"> (</w:t>
      </w:r>
      <w:r w:rsidRPr="001005B7">
        <w:t>Isa 1:1</w:t>
      </w:r>
      <w:r w:rsidR="00337395" w:rsidRPr="001005B7">
        <w:t>)</w:t>
      </w:r>
      <w:r w:rsidR="000B72CD" w:rsidRPr="001005B7">
        <w:t xml:space="preserve">, </w:t>
      </w:r>
      <w:r w:rsidR="00337395" w:rsidRPr="001005B7">
        <w:t>and</w:t>
      </w:r>
      <w:r w:rsidR="00677881" w:rsidRPr="001005B7">
        <w:t xml:space="preserve"> </w:t>
      </w:r>
      <w:r w:rsidRPr="001005B7">
        <w:t xml:space="preserve">more </w:t>
      </w:r>
      <w:r w:rsidR="00677881" w:rsidRPr="001005B7">
        <w:t xml:space="preserve">closely </w:t>
      </w:r>
      <w:r w:rsidRPr="001005B7">
        <w:t xml:space="preserve">with the introductions to the Jeremiah scroll </w:t>
      </w:r>
      <w:r w:rsidR="00337395" w:rsidRPr="001005B7">
        <w:t>(</w:t>
      </w:r>
      <w:r w:rsidRPr="001005B7">
        <w:t>Jer 1:1</w:t>
      </w:r>
      <w:r w:rsidR="00F46900" w:rsidRPr="001005B7">
        <w:t>–</w:t>
      </w:r>
      <w:r w:rsidRPr="001005B7">
        <w:t>3</w:t>
      </w:r>
      <w:r w:rsidR="00337395" w:rsidRPr="001005B7">
        <w:t>)</w:t>
      </w:r>
      <w:r w:rsidRPr="001005B7">
        <w:t xml:space="preserve"> and to most of the Twelve Prophets</w:t>
      </w:r>
      <w:r w:rsidR="00677881" w:rsidRPr="001005B7">
        <w:t>.</w:t>
      </w:r>
      <w:r w:rsidR="00FA3256" w:rsidRPr="001005B7">
        <w:t xml:space="preserve"> </w:t>
      </w:r>
      <w:r w:rsidR="00B4083B" w:rsidRPr="001005B7">
        <w:t>It</w:t>
      </w:r>
      <w:r w:rsidRPr="001005B7">
        <w:t xml:space="preserve"> </w:t>
      </w:r>
      <w:r w:rsidR="00331CA3" w:rsidRPr="001005B7">
        <w:t>provide</w:t>
      </w:r>
      <w:r w:rsidR="00FC3B38" w:rsidRPr="001005B7">
        <w:t>s</w:t>
      </w:r>
      <w:r w:rsidR="00331CA3" w:rsidRPr="001005B7">
        <w:t xml:space="preserve"> </w:t>
      </w:r>
      <w:r w:rsidRPr="001005B7">
        <w:t xml:space="preserve">a </w:t>
      </w:r>
      <w:r w:rsidR="00331CA3" w:rsidRPr="001005B7">
        <w:t xml:space="preserve">clearer </w:t>
      </w:r>
      <w:r w:rsidRPr="001005B7">
        <w:t>chronological framework</w:t>
      </w:r>
      <w:r w:rsidR="00B4083B" w:rsidRPr="001005B7">
        <w:t xml:space="preserve"> than Ezekiel’s own introduction</w:t>
      </w:r>
      <w:r w:rsidRPr="001005B7">
        <w:t xml:space="preserve">, some personal background, and the geographical context. The curator </w:t>
      </w:r>
      <w:r w:rsidR="00B83BB0" w:rsidRPr="001005B7">
        <w:t>evidently</w:t>
      </w:r>
      <w:r w:rsidRPr="001005B7">
        <w:t xml:space="preserve"> had information about the date in relation to the deportation of 597, about Ezekiel’s father, and about his priestly status</w:t>
      </w:r>
      <w:r w:rsidR="00FC3B38" w:rsidRPr="001005B7">
        <w:t>. T</w:t>
      </w:r>
      <w:r w:rsidRPr="001005B7">
        <w:t xml:space="preserve">he description of </w:t>
      </w:r>
      <w:r w:rsidR="005B1818" w:rsidRPr="001005B7">
        <w:t>how Yahweh’s</w:t>
      </w:r>
      <w:r w:rsidRPr="001005B7">
        <w:t xml:space="preserve"> message </w:t>
      </w:r>
      <w:r w:rsidR="00B20FCF" w:rsidRPr="001005B7">
        <w:t>c</w:t>
      </w:r>
      <w:r w:rsidR="006F13D4" w:rsidRPr="001005B7">
        <w:t>ame</w:t>
      </w:r>
      <w:r w:rsidR="00B20FCF" w:rsidRPr="001005B7">
        <w:t xml:space="preserve"> </w:t>
      </w:r>
      <w:r w:rsidR="008D260E" w:rsidRPr="001005B7">
        <w:t xml:space="preserve">to Ezekiel </w:t>
      </w:r>
      <w:r w:rsidRPr="001005B7">
        <w:t xml:space="preserve">and </w:t>
      </w:r>
      <w:r w:rsidR="005B1818" w:rsidRPr="001005B7">
        <w:t xml:space="preserve">how </w:t>
      </w:r>
      <w:r w:rsidRPr="001005B7">
        <w:t>Yahweh’s hand c</w:t>
      </w:r>
      <w:r w:rsidR="006F13D4" w:rsidRPr="001005B7">
        <w:t>ame</w:t>
      </w:r>
      <w:r w:rsidRPr="001005B7">
        <w:t xml:space="preserve"> </w:t>
      </w:r>
      <w:r w:rsidR="00B20FCF" w:rsidRPr="001005B7">
        <w:t xml:space="preserve">on him </w:t>
      </w:r>
      <w:r w:rsidRPr="001005B7">
        <w:t xml:space="preserve">could derive from </w:t>
      </w:r>
      <w:r w:rsidR="005B1818" w:rsidRPr="001005B7">
        <w:t>ma</w:t>
      </w:r>
      <w:r w:rsidR="002D78EB" w:rsidRPr="001005B7">
        <w:t xml:space="preserve">terial in </w:t>
      </w:r>
      <w:r w:rsidRPr="001005B7">
        <w:t xml:space="preserve">the scroll. </w:t>
      </w:r>
    </w:p>
    <w:p w14:paraId="4B2157FC" w14:textId="68DD603C" w:rsidR="003F7B79" w:rsidRPr="001005B7" w:rsidRDefault="00F77D85" w:rsidP="00FA3256">
      <w:r w:rsidRPr="001005B7">
        <w:t xml:space="preserve">In combination with </w:t>
      </w:r>
      <w:r w:rsidR="00BF7110" w:rsidRPr="001005B7">
        <w:t>Ezekiel’s own introduction in 1:1, t</w:t>
      </w:r>
      <w:r w:rsidR="00391FB2" w:rsidRPr="001005B7">
        <w:t xml:space="preserve">his sole personal appearance by Ezekiel’s curator </w:t>
      </w:r>
      <w:r w:rsidR="000B5EB1" w:rsidRPr="001005B7">
        <w:t>makes it possible for the</w:t>
      </w:r>
      <w:r w:rsidR="003F7B79" w:rsidRPr="001005B7">
        <w:t xml:space="preserve"> </w:t>
      </w:r>
      <w:r w:rsidR="000B5EB1" w:rsidRPr="001005B7">
        <w:t>opening</w:t>
      </w:r>
      <w:r w:rsidR="003F7B79" w:rsidRPr="001005B7">
        <w:t xml:space="preserve"> three verses </w:t>
      </w:r>
      <w:r w:rsidR="000B5EB1" w:rsidRPr="001005B7">
        <w:t>to function like</w:t>
      </w:r>
      <w:r w:rsidR="003F7B79" w:rsidRPr="001005B7">
        <w:t xml:space="preserve"> a headline for the </w:t>
      </w:r>
      <w:r w:rsidR="009D6647" w:rsidRPr="001005B7">
        <w:t xml:space="preserve">scroll’s </w:t>
      </w:r>
      <w:r w:rsidR="003F7B79" w:rsidRPr="001005B7">
        <w:t>first thre</w:t>
      </w:r>
      <w:r w:rsidR="00E507B6" w:rsidRPr="001005B7">
        <w:t>e</w:t>
      </w:r>
      <w:r w:rsidR="003F7B79" w:rsidRPr="001005B7">
        <w:t xml:space="preserve"> chapters</w:t>
      </w:r>
      <w:r w:rsidR="005A231F" w:rsidRPr="001005B7">
        <w:t xml:space="preserve">. </w:t>
      </w:r>
      <w:r w:rsidR="00055751" w:rsidRPr="001005B7">
        <w:t>They</w:t>
      </w:r>
      <w:r w:rsidR="00E507B6" w:rsidRPr="001005B7">
        <w:t xml:space="preserve"> tell readers in outline what to expect </w:t>
      </w:r>
      <w:r w:rsidR="00D056D6" w:rsidRPr="001005B7">
        <w:t xml:space="preserve">in </w:t>
      </w:r>
      <w:r w:rsidR="006064CD" w:rsidRPr="001005B7">
        <w:t>1:1</w:t>
      </w:r>
      <w:r w:rsidR="00F46900" w:rsidRPr="001005B7">
        <w:t>–</w:t>
      </w:r>
      <w:r w:rsidR="006064CD" w:rsidRPr="001005B7">
        <w:t xml:space="preserve">3:15 </w:t>
      </w:r>
      <w:r w:rsidR="00E507B6" w:rsidRPr="001005B7">
        <w:t xml:space="preserve">and </w:t>
      </w:r>
      <w:r w:rsidR="00E256A9" w:rsidRPr="001005B7">
        <w:t xml:space="preserve">encourage them to read on to discover the content of these visions </w:t>
      </w:r>
      <w:r w:rsidR="009C4CC4" w:rsidRPr="001005B7">
        <w:t>and the nature of th</w:t>
      </w:r>
      <w:r w:rsidR="00031FFB" w:rsidRPr="001005B7">
        <w:t>e</w:t>
      </w:r>
      <w:r w:rsidR="009C4CC4" w:rsidRPr="001005B7">
        <w:t xml:space="preserve"> message from Yahweh.</w:t>
      </w:r>
    </w:p>
    <w:p w14:paraId="2F920A76" w14:textId="77777777" w:rsidR="00DA33F5" w:rsidRPr="001005B7" w:rsidRDefault="00DA33F5" w:rsidP="00AB341C"/>
    <w:p w14:paraId="7FA4974B" w14:textId="22F593D1" w:rsidR="00C95865" w:rsidRPr="001005B7" w:rsidRDefault="00C95865" w:rsidP="00493833">
      <w:pPr>
        <w:pStyle w:val="Heading3"/>
      </w:pPr>
      <w:r w:rsidRPr="001005B7">
        <w:t>Translation</w:t>
      </w:r>
    </w:p>
    <w:p w14:paraId="16676911" w14:textId="1ECA746C" w:rsidR="008701E6" w:rsidRPr="001005B7" w:rsidRDefault="000C6E84" w:rsidP="00DA33F5">
      <w:r w:rsidRPr="001005B7">
        <w:rPr>
          <w:vertAlign w:val="superscript"/>
        </w:rPr>
        <w:t>1</w:t>
      </w:r>
      <w:r w:rsidR="0006783B" w:rsidRPr="001005B7">
        <w:t>Now</w:t>
      </w:r>
      <w:r w:rsidR="00D7664D" w:rsidRPr="001005B7">
        <w:t>,</w:t>
      </w:r>
      <w:r w:rsidR="0006783B" w:rsidRPr="001005B7">
        <w:t xml:space="preserve"> i</w:t>
      </w:r>
      <w:r w:rsidRPr="001005B7">
        <w:t>n the thirtieth year, in the fourth [month], on the fifth of the month</w:t>
      </w:r>
      <w:r w:rsidR="00BB0231" w:rsidRPr="001005B7">
        <w:t xml:space="preserve">, when I was among the exile community at the </w:t>
      </w:r>
      <w:proofErr w:type="spellStart"/>
      <w:r w:rsidR="00BB0231" w:rsidRPr="001005B7">
        <w:t>Kebar</w:t>
      </w:r>
      <w:proofErr w:type="spellEnd"/>
      <w:r w:rsidR="00BB0231" w:rsidRPr="001005B7">
        <w:t xml:space="preserve"> </w:t>
      </w:r>
      <w:r w:rsidR="005076C1" w:rsidRPr="001005B7">
        <w:t>Waterway</w:t>
      </w:r>
      <w:r w:rsidR="00BB0231" w:rsidRPr="001005B7">
        <w:t xml:space="preserve">, the heavens opened and I </w:t>
      </w:r>
      <w:r w:rsidR="00467006" w:rsidRPr="001005B7">
        <w:t>saw</w:t>
      </w:r>
      <w:r w:rsidR="00BB0231" w:rsidRPr="001005B7">
        <w:t xml:space="preserve"> a</w:t>
      </w:r>
      <w:r w:rsidR="006B5E41" w:rsidRPr="001005B7">
        <w:t xml:space="preserve"> divine vision</w:t>
      </w:r>
      <w:r w:rsidR="00FC3F76" w:rsidRPr="001005B7">
        <w:t>.</w:t>
      </w:r>
      <w:r w:rsidR="00BB0231" w:rsidRPr="001005B7">
        <w:t xml:space="preserve"> </w:t>
      </w:r>
      <w:r w:rsidR="00BB0231" w:rsidRPr="001005B7">
        <w:rPr>
          <w:vertAlign w:val="superscript"/>
        </w:rPr>
        <w:t>2</w:t>
      </w:r>
      <w:r w:rsidR="00BB0231" w:rsidRPr="001005B7">
        <w:t>On the fifth of the month (i.e., the fifth year of King Jehoiachin</w:t>
      </w:r>
      <w:r w:rsidR="00752B10" w:rsidRPr="001005B7">
        <w:t>’s exile</w:t>
      </w:r>
      <w:r w:rsidR="00BB0231" w:rsidRPr="001005B7">
        <w:t xml:space="preserve">), </w:t>
      </w:r>
      <w:r w:rsidR="00BB0231" w:rsidRPr="001005B7">
        <w:rPr>
          <w:vertAlign w:val="superscript"/>
        </w:rPr>
        <w:t>3</w:t>
      </w:r>
      <w:r w:rsidR="00BB0231" w:rsidRPr="001005B7">
        <w:t xml:space="preserve">Yahweh’s message </w:t>
      </w:r>
      <w:r w:rsidR="006F0D5B" w:rsidRPr="001005B7">
        <w:t>indeed</w:t>
      </w:r>
      <w:r w:rsidR="00615834" w:rsidRPr="001005B7">
        <w:t xml:space="preserve"> </w:t>
      </w:r>
      <w:r w:rsidR="00BB0231" w:rsidRPr="001005B7">
        <w:t xml:space="preserve">came to </w:t>
      </w:r>
      <w:r w:rsidR="00AD5A7C" w:rsidRPr="001005B7">
        <w:t xml:space="preserve">Ezekiel ben </w:t>
      </w:r>
      <w:proofErr w:type="spellStart"/>
      <w:r w:rsidR="00AD5A7C" w:rsidRPr="001005B7">
        <w:t>Buzi</w:t>
      </w:r>
      <w:proofErr w:type="spellEnd"/>
      <w:r w:rsidR="00E759FA" w:rsidRPr="001005B7">
        <w:t>,</w:t>
      </w:r>
      <w:r w:rsidR="00AD5A7C" w:rsidRPr="001005B7">
        <w:t xml:space="preserve"> the priest, in the country of </w:t>
      </w:r>
      <w:r w:rsidR="009A71CD" w:rsidRPr="001005B7">
        <w:t>Chaldea</w:t>
      </w:r>
      <w:r w:rsidR="00AD5A7C" w:rsidRPr="001005B7">
        <w:t>,</w:t>
      </w:r>
      <w:r w:rsidR="00535914" w:rsidRPr="001005B7">
        <w:rPr>
          <w:rStyle w:val="FootnoteReference"/>
        </w:rPr>
        <w:footnoteReference w:id="83"/>
      </w:r>
      <w:r w:rsidR="00AD5A7C" w:rsidRPr="001005B7">
        <w:t xml:space="preserve"> at the </w:t>
      </w:r>
      <w:proofErr w:type="spellStart"/>
      <w:r w:rsidR="005076C1" w:rsidRPr="001005B7">
        <w:t>Kebar</w:t>
      </w:r>
      <w:proofErr w:type="spellEnd"/>
      <w:r w:rsidR="005076C1" w:rsidRPr="001005B7">
        <w:t xml:space="preserve"> Waterway</w:t>
      </w:r>
      <w:r w:rsidR="003F2AE9" w:rsidRPr="001005B7">
        <w:t>.</w:t>
      </w:r>
      <w:r w:rsidR="00AD5A7C" w:rsidRPr="001005B7">
        <w:t xml:space="preserve"> Yahweh’s hand came on hi</w:t>
      </w:r>
      <w:r w:rsidR="00810C77" w:rsidRPr="001005B7">
        <w:t>m</w:t>
      </w:r>
      <w:r w:rsidR="00AD5A7C" w:rsidRPr="001005B7">
        <w:t xml:space="preserve"> there.</w:t>
      </w:r>
    </w:p>
    <w:p w14:paraId="165B3ED1" w14:textId="77777777" w:rsidR="00DA33F5" w:rsidRPr="001005B7" w:rsidRDefault="00DA33F5" w:rsidP="00DA33F5"/>
    <w:p w14:paraId="11D019E5" w14:textId="77777777" w:rsidR="00D4676D" w:rsidRPr="001005B7" w:rsidRDefault="00165527" w:rsidP="00493833">
      <w:pPr>
        <w:pStyle w:val="Heading3"/>
      </w:pPr>
      <w:r w:rsidRPr="001005B7">
        <w:t>Textual Notes</w:t>
      </w:r>
      <w:r w:rsidR="00A04154" w:rsidRPr="001005B7">
        <w:t xml:space="preserve"> </w:t>
      </w:r>
    </w:p>
    <w:p w14:paraId="1C14EABB" w14:textId="1ABC3FB1" w:rsidR="006019AF" w:rsidRPr="001005B7" w:rsidRDefault="00247B8C" w:rsidP="000E1FC0">
      <w:pPr>
        <w:ind w:firstLine="0"/>
        <w:rPr>
          <w:rFonts w:cstheme="minorHAnsi"/>
        </w:rPr>
      </w:pPr>
      <w:r w:rsidRPr="001005B7">
        <w:rPr>
          <w:b/>
          <w:bCs/>
        </w:rPr>
        <w:t xml:space="preserve">1:3 </w:t>
      </w:r>
      <w:r w:rsidR="006019AF" w:rsidRPr="001005B7">
        <w:t>For</w:t>
      </w:r>
      <w:r w:rsidR="001E6CB9" w:rsidRPr="001005B7">
        <w:t xml:space="preserve"> </w:t>
      </w:r>
      <w:r w:rsidR="000735B0" w:rsidRPr="001005B7">
        <w:rPr>
          <w:rFonts w:cstheme="minorHAnsi"/>
          <w:rtl/>
          <w:lang w:bidi="he-IL"/>
        </w:rPr>
        <w:t>ע</w:t>
      </w:r>
      <w:r w:rsidR="00B23C93" w:rsidRPr="001005B7">
        <w:rPr>
          <w:rFonts w:cstheme="minorHAnsi"/>
          <w:rtl/>
          <w:lang w:bidi="he-IL"/>
        </w:rPr>
        <w:t>ָלָי</w:t>
      </w:r>
      <w:r w:rsidR="00C15B97" w:rsidRPr="001005B7">
        <w:rPr>
          <w:rFonts w:cstheme="minorHAnsi"/>
          <w:rtl/>
          <w:lang w:bidi="he-IL"/>
        </w:rPr>
        <w:t>ו</w:t>
      </w:r>
      <w:r w:rsidR="00F8734D" w:rsidRPr="001005B7">
        <w:t xml:space="preserve">, </w:t>
      </w:r>
      <w:r w:rsidR="00BA7714" w:rsidRPr="001005B7">
        <w:rPr>
          <w:sz w:val="18"/>
          <w:szCs w:val="18"/>
        </w:rPr>
        <w:t>LXX</w:t>
      </w:r>
      <w:r w:rsidR="00B2370E" w:rsidRPr="001005B7">
        <w:t xml:space="preserve"> implies</w:t>
      </w:r>
      <w:r w:rsidR="00B74D2E" w:rsidRPr="001005B7">
        <w:t xml:space="preserve"> </w:t>
      </w:r>
      <w:r w:rsidR="00372886" w:rsidRPr="001005B7">
        <w:rPr>
          <w:rFonts w:cstheme="minorHAnsi"/>
          <w:rtl/>
          <w:lang w:bidi="he-IL"/>
        </w:rPr>
        <w:t>ע</w:t>
      </w:r>
      <w:r w:rsidR="00B74D2E" w:rsidRPr="001005B7">
        <w:rPr>
          <w:rFonts w:cstheme="minorHAnsi"/>
          <w:rtl/>
          <w:lang w:bidi="he-IL"/>
        </w:rPr>
        <w:t>ָלָי</w:t>
      </w:r>
      <w:r w:rsidR="00B2370E" w:rsidRPr="001005B7">
        <w:t xml:space="preserve"> </w:t>
      </w:r>
      <w:r w:rsidR="00F31DDE" w:rsidRPr="001005B7">
        <w:rPr>
          <w:rFonts w:cstheme="minorHAnsi"/>
        </w:rPr>
        <w:t>“</w:t>
      </w:r>
      <w:r w:rsidR="00CC150F" w:rsidRPr="001005B7">
        <w:rPr>
          <w:rFonts w:cstheme="minorHAnsi"/>
        </w:rPr>
        <w:t>on me.”</w:t>
      </w:r>
      <w:r w:rsidR="00194136" w:rsidRPr="001005B7">
        <w:rPr>
          <w:rFonts w:cstheme="minorHAnsi"/>
        </w:rPr>
        <w:t xml:space="preserve"> </w:t>
      </w:r>
      <w:r w:rsidR="0042084A" w:rsidRPr="001005B7">
        <w:rPr>
          <w:rFonts w:cstheme="minorHAnsi"/>
        </w:rPr>
        <w:t>1:</w:t>
      </w:r>
      <w:r w:rsidR="00194136" w:rsidRPr="001005B7">
        <w:rPr>
          <w:rFonts w:cstheme="minorHAnsi"/>
        </w:rPr>
        <w:t>3b then becomes the in</w:t>
      </w:r>
      <w:r w:rsidR="009F1BD6" w:rsidRPr="001005B7">
        <w:rPr>
          <w:rFonts w:cstheme="minorHAnsi"/>
        </w:rPr>
        <w:t xml:space="preserve">troduction to </w:t>
      </w:r>
      <w:r w:rsidR="0042084A" w:rsidRPr="001005B7">
        <w:rPr>
          <w:rFonts w:cstheme="minorHAnsi"/>
        </w:rPr>
        <w:t>1:</w:t>
      </w:r>
      <w:r w:rsidR="009F1BD6" w:rsidRPr="001005B7">
        <w:rPr>
          <w:rFonts w:cstheme="minorHAnsi"/>
        </w:rPr>
        <w:t>4</w:t>
      </w:r>
      <w:r w:rsidR="00F46900" w:rsidRPr="001005B7">
        <w:rPr>
          <w:rFonts w:cstheme="minorHAnsi"/>
        </w:rPr>
        <w:t>–</w:t>
      </w:r>
      <w:r w:rsidR="00111709" w:rsidRPr="001005B7">
        <w:rPr>
          <w:rFonts w:cstheme="minorHAnsi"/>
        </w:rPr>
        <w:t>28bα.</w:t>
      </w:r>
      <w:r w:rsidR="009F1BD6" w:rsidRPr="001005B7">
        <w:rPr>
          <w:rFonts w:cstheme="minorHAnsi"/>
        </w:rPr>
        <w:t xml:space="preserve"> </w:t>
      </w:r>
    </w:p>
    <w:p w14:paraId="303DEE9A" w14:textId="77777777" w:rsidR="00D4676D" w:rsidRPr="001005B7" w:rsidRDefault="00D4676D" w:rsidP="008701E6"/>
    <w:p w14:paraId="32F9B4C5" w14:textId="10A5655D" w:rsidR="002D1E8A" w:rsidRPr="001005B7" w:rsidRDefault="00382685" w:rsidP="00493833">
      <w:pPr>
        <w:pStyle w:val="Heading3"/>
      </w:pPr>
      <w:r w:rsidRPr="001005B7">
        <w:t>Vers</w:t>
      </w:r>
      <w:r w:rsidR="002D3E42" w:rsidRPr="001005B7">
        <w:t>e</w:t>
      </w:r>
      <w:r w:rsidRPr="001005B7">
        <w:t>-by-</w:t>
      </w:r>
      <w:r w:rsidR="003E5DFE" w:rsidRPr="001005B7">
        <w:t>V</w:t>
      </w:r>
      <w:r w:rsidRPr="001005B7">
        <w:t>ers</w:t>
      </w:r>
      <w:r w:rsidR="003E5DFE" w:rsidRPr="001005B7">
        <w:t xml:space="preserve">e </w:t>
      </w:r>
      <w:r w:rsidR="006E7403" w:rsidRPr="001005B7">
        <w:t>Comment</w:t>
      </w:r>
      <w:r w:rsidR="001E0FB5" w:rsidRPr="001005B7">
        <w:t>ary</w:t>
      </w:r>
    </w:p>
    <w:p w14:paraId="5B378F37" w14:textId="69A4FC1E" w:rsidR="003708C1" w:rsidRPr="001005B7" w:rsidRDefault="008501C3" w:rsidP="008701E6">
      <w:r w:rsidRPr="001005B7">
        <w:rPr>
          <w:b/>
          <w:bCs/>
        </w:rPr>
        <w:t>1</w:t>
      </w:r>
      <w:r w:rsidR="00102145" w:rsidRPr="001005B7">
        <w:rPr>
          <w:b/>
          <w:bCs/>
        </w:rPr>
        <w:t>:1</w:t>
      </w:r>
      <w:r w:rsidRPr="001005B7">
        <w:rPr>
          <w:b/>
          <w:bCs/>
        </w:rPr>
        <w:t xml:space="preserve"> </w:t>
      </w:r>
      <w:r w:rsidR="00975E3B" w:rsidRPr="001005B7">
        <w:t xml:space="preserve">In </w:t>
      </w:r>
      <w:r w:rsidR="00897EB7" w:rsidRPr="001005B7">
        <w:t>starting with a reference to himself, Ezekiel is unusual.</w:t>
      </w:r>
      <w:r w:rsidR="00897EB7" w:rsidRPr="001005B7">
        <w:rPr>
          <w:rStyle w:val="FootnoteReference"/>
        </w:rPr>
        <w:footnoteReference w:id="84"/>
      </w:r>
      <w:r w:rsidR="00897EB7" w:rsidRPr="001005B7">
        <w:t xml:space="preserve"> In </w:t>
      </w:r>
      <w:r w:rsidR="00975E3B" w:rsidRPr="001005B7">
        <w:t>referring to t</w:t>
      </w:r>
      <w:r w:rsidR="00B10EF2" w:rsidRPr="001005B7">
        <w:t>he thirtieth year</w:t>
      </w:r>
      <w:r w:rsidR="00975E3B" w:rsidRPr="001005B7">
        <w:t>, Ezekiel</w:t>
      </w:r>
      <w:r w:rsidR="00EE71BD" w:rsidRPr="001005B7">
        <w:t xml:space="preserve"> </w:t>
      </w:r>
      <w:r w:rsidR="00CB5375" w:rsidRPr="001005B7">
        <w:t xml:space="preserve">might be </w:t>
      </w:r>
      <w:r w:rsidR="00EE71BD" w:rsidRPr="001005B7">
        <w:t>counting</w:t>
      </w:r>
      <w:r w:rsidR="00643CC7" w:rsidRPr="001005B7">
        <w:t xml:space="preserve"> from Hilkiah’s discovery of the Torah book</w:t>
      </w:r>
      <w:r w:rsidR="003560F7" w:rsidRPr="001005B7">
        <w:t xml:space="preserve"> </w:t>
      </w:r>
      <w:r w:rsidR="00643CC7" w:rsidRPr="001005B7">
        <w:t>(2</w:t>
      </w:r>
      <w:r w:rsidR="00BE19A3" w:rsidRPr="001005B7">
        <w:t> </w:t>
      </w:r>
      <w:r w:rsidR="006558CA" w:rsidRPr="001005B7">
        <w:t>Kgs</w:t>
      </w:r>
      <w:r w:rsidR="00643CC7" w:rsidRPr="001005B7">
        <w:t xml:space="preserve"> 22</w:t>
      </w:r>
      <w:r w:rsidR="00AD4E5B" w:rsidRPr="001005B7">
        <w:t>:8</w:t>
      </w:r>
      <w:r w:rsidR="00643CC7" w:rsidRPr="001005B7">
        <w:t>)</w:t>
      </w:r>
      <w:r w:rsidR="00E64D0A" w:rsidRPr="001005B7">
        <w:t xml:space="preserve"> (so Tg</w:t>
      </w:r>
      <w:r w:rsidR="003D7FDA" w:rsidRPr="001005B7">
        <w:t>.</w:t>
      </w:r>
      <w:r w:rsidR="00E64D0A" w:rsidRPr="001005B7">
        <w:t>)</w:t>
      </w:r>
      <w:r w:rsidR="00EE71BD" w:rsidRPr="001005B7">
        <w:t xml:space="preserve">, or from the </w:t>
      </w:r>
      <w:r w:rsidR="00943B14" w:rsidRPr="001005B7">
        <w:t xml:space="preserve">jubilee </w:t>
      </w:r>
      <w:r w:rsidR="00DC18D1" w:rsidRPr="001005B7">
        <w:t>(Rashi</w:t>
      </w:r>
      <w:r w:rsidR="002E5690" w:rsidRPr="001005B7">
        <w:t>,</w:t>
      </w:r>
      <w:r w:rsidR="00DC18D1" w:rsidRPr="001005B7">
        <w:t xml:space="preserve"> in MG)</w:t>
      </w:r>
      <w:r w:rsidR="00EE71BD" w:rsidRPr="001005B7">
        <w:t>, or from</w:t>
      </w:r>
      <w:r w:rsidR="00C1570F" w:rsidRPr="001005B7">
        <w:t xml:space="preserve"> the beginning</w:t>
      </w:r>
      <w:r w:rsidR="00B10EF2" w:rsidRPr="001005B7">
        <w:t xml:space="preserve"> o</w:t>
      </w:r>
      <w:r w:rsidR="005076C1" w:rsidRPr="001005B7">
        <w:t>f</w:t>
      </w:r>
      <w:r w:rsidR="00B10EF2" w:rsidRPr="001005B7">
        <w:t xml:space="preserve"> </w:t>
      </w:r>
      <w:r w:rsidR="00CE10D7" w:rsidRPr="001005B7">
        <w:t>his own</w:t>
      </w:r>
      <w:r w:rsidR="00B10EF2" w:rsidRPr="001005B7">
        <w:t xml:space="preserve"> life</w:t>
      </w:r>
      <w:r w:rsidR="00A0722C" w:rsidRPr="001005B7">
        <w:t>. I</w:t>
      </w:r>
      <w:r w:rsidR="007C68B5" w:rsidRPr="001005B7">
        <w:t>f he were still in Jerusalem, it</w:t>
      </w:r>
      <w:r w:rsidR="000027D2" w:rsidRPr="001005B7">
        <w:t xml:space="preserve"> would </w:t>
      </w:r>
      <w:r w:rsidR="00CE10D7" w:rsidRPr="001005B7">
        <w:t xml:space="preserve">then </w:t>
      </w:r>
      <w:r w:rsidR="000027D2" w:rsidRPr="001005B7">
        <w:t xml:space="preserve">be when he </w:t>
      </w:r>
      <w:r w:rsidR="00170099" w:rsidRPr="001005B7">
        <w:t xml:space="preserve">might have </w:t>
      </w:r>
      <w:r w:rsidR="00377F5C" w:rsidRPr="001005B7">
        <w:t>been ordained</w:t>
      </w:r>
      <w:r w:rsidR="00396B51" w:rsidRPr="001005B7">
        <w:t>,</w:t>
      </w:r>
      <w:r w:rsidR="00170099" w:rsidRPr="001005B7">
        <w:t xml:space="preserve"> according to the </w:t>
      </w:r>
      <w:r w:rsidR="00445FE2" w:rsidRPr="001005B7">
        <w:t>canons</w:t>
      </w:r>
      <w:r w:rsidR="00170099" w:rsidRPr="001005B7">
        <w:t xml:space="preserve"> </w:t>
      </w:r>
      <w:r w:rsidR="00445FE2" w:rsidRPr="001005B7">
        <w:t xml:space="preserve">in </w:t>
      </w:r>
      <w:r w:rsidR="00F648DB" w:rsidRPr="001005B7">
        <w:t>Num 4:3</w:t>
      </w:r>
      <w:r w:rsidR="00445FE2" w:rsidRPr="001005B7">
        <w:t xml:space="preserve"> </w:t>
      </w:r>
      <w:r w:rsidR="00D95C46" w:rsidRPr="001005B7">
        <w:t xml:space="preserve">(but </w:t>
      </w:r>
      <w:r w:rsidR="00445FE2" w:rsidRPr="001005B7">
        <w:t xml:space="preserve">contrast Num </w:t>
      </w:r>
      <w:r w:rsidR="00D95C46" w:rsidRPr="001005B7">
        <w:t xml:space="preserve">8:24; Ezra </w:t>
      </w:r>
      <w:r w:rsidR="004047B3" w:rsidRPr="001005B7">
        <w:t>3:</w:t>
      </w:r>
      <w:r w:rsidR="00D95C46" w:rsidRPr="001005B7">
        <w:t>8)</w:t>
      </w:r>
      <w:r w:rsidR="00803696" w:rsidRPr="001005B7">
        <w:t>. I</w:t>
      </w:r>
      <w:r w:rsidR="0006686E" w:rsidRPr="001005B7">
        <w:t xml:space="preserve">t </w:t>
      </w:r>
      <w:r w:rsidR="005256EA" w:rsidRPr="001005B7">
        <w:t xml:space="preserve">would also anticipate Jesus </w:t>
      </w:r>
      <w:r w:rsidR="0006686E" w:rsidRPr="001005B7">
        <w:t>(</w:t>
      </w:r>
      <w:r w:rsidR="005256EA" w:rsidRPr="001005B7">
        <w:t>Origen</w:t>
      </w:r>
      <w:r w:rsidR="0098509E" w:rsidRPr="001005B7">
        <w:t xml:space="preserve"> </w:t>
      </w:r>
      <w:r w:rsidR="00FC79C0">
        <w:t>[</w:t>
      </w:r>
      <w:r w:rsidR="004C66F0" w:rsidRPr="001005B7">
        <w:t>Homily 1:4</w:t>
      </w:r>
      <w:r w:rsidR="00FC79C0">
        <w:t>]</w:t>
      </w:r>
      <w:r w:rsidR="005256EA" w:rsidRPr="001005B7">
        <w:t xml:space="preserve">, </w:t>
      </w:r>
      <w:r w:rsidR="004C66F0" w:rsidRPr="001005B7">
        <w:t>28</w:t>
      </w:r>
      <w:r w:rsidR="00F46900" w:rsidRPr="001005B7">
        <w:t>–</w:t>
      </w:r>
      <w:r w:rsidR="004C66F0" w:rsidRPr="001005B7">
        <w:t>29</w:t>
      </w:r>
      <w:r w:rsidR="005256EA" w:rsidRPr="001005B7">
        <w:t>)</w:t>
      </w:r>
      <w:r w:rsidR="00396B51" w:rsidRPr="001005B7">
        <w:t>.</w:t>
      </w:r>
      <w:r w:rsidR="00FF6E06" w:rsidRPr="001005B7">
        <w:t xml:space="preserve"> </w:t>
      </w:r>
      <w:r w:rsidR="00644F54" w:rsidRPr="001005B7">
        <w:t>It might</w:t>
      </w:r>
      <w:r w:rsidR="00200AB9" w:rsidRPr="001005B7">
        <w:t xml:space="preserve"> the thirtieth year after the fall of Jerusalem in 597, the usual starting point for dates in Ezekiel</w:t>
      </w:r>
      <w:r w:rsidR="00F03764" w:rsidRPr="001005B7">
        <w:t>, and then be</w:t>
      </w:r>
      <w:r w:rsidR="00200AB9" w:rsidRPr="001005B7">
        <w:t xml:space="preserve"> </w:t>
      </w:r>
      <w:r w:rsidR="00644F54" w:rsidRPr="001005B7">
        <w:t>the date of his</w:t>
      </w:r>
      <w:r w:rsidR="00FF6B0D" w:rsidRPr="001005B7">
        <w:t xml:space="preserve"> </w:t>
      </w:r>
      <w:r w:rsidR="00BA2CCF" w:rsidRPr="001005B7">
        <w:t>vision</w:t>
      </w:r>
      <w:r w:rsidR="00B00523" w:rsidRPr="001005B7">
        <w:t>s</w:t>
      </w:r>
      <w:r w:rsidR="00FF6B0D" w:rsidRPr="001005B7">
        <w:t xml:space="preserve"> of restoration</w:t>
      </w:r>
      <w:r w:rsidR="00B00523" w:rsidRPr="001005B7">
        <w:rPr>
          <w:rStyle w:val="FootnoteReference"/>
        </w:rPr>
        <w:footnoteReference w:id="85"/>
      </w:r>
      <w:r w:rsidR="00B00523" w:rsidRPr="001005B7">
        <w:t xml:space="preserve"> </w:t>
      </w:r>
      <w:r w:rsidR="00E07BD6" w:rsidRPr="001005B7">
        <w:t xml:space="preserve">or </w:t>
      </w:r>
      <w:r w:rsidR="00C67937" w:rsidRPr="001005B7">
        <w:t>of the completion of the scroll (Joyce, 66)</w:t>
      </w:r>
      <w:r w:rsidR="00A0722C" w:rsidRPr="001005B7">
        <w:t>. I</w:t>
      </w:r>
      <w:r w:rsidR="009503E0" w:rsidRPr="001005B7">
        <w:t xml:space="preserve">t </w:t>
      </w:r>
      <w:r w:rsidR="00F03764" w:rsidRPr="001005B7">
        <w:t xml:space="preserve">could </w:t>
      </w:r>
      <w:r w:rsidR="009503E0" w:rsidRPr="001005B7">
        <w:t xml:space="preserve">then mediate between the </w:t>
      </w:r>
      <w:r w:rsidR="008A5DA7" w:rsidRPr="001005B7">
        <w:t>forty years of 4:</w:t>
      </w:r>
      <w:r w:rsidR="00074592" w:rsidRPr="001005B7">
        <w:t>6</w:t>
      </w:r>
      <w:r w:rsidR="008A5DA7" w:rsidRPr="001005B7">
        <w:t xml:space="preserve"> and the seventy years of Jer </w:t>
      </w:r>
      <w:r w:rsidR="00074592" w:rsidRPr="001005B7">
        <w:t>25</w:t>
      </w:r>
      <w:r w:rsidR="007E0294" w:rsidRPr="001005B7">
        <w:t>:11</w:t>
      </w:r>
      <w:r w:rsidR="00F46900" w:rsidRPr="001005B7">
        <w:t>–</w:t>
      </w:r>
      <w:r w:rsidR="007E0294" w:rsidRPr="001005B7">
        <w:t>12</w:t>
      </w:r>
      <w:r w:rsidR="004B6CC4" w:rsidRPr="001005B7">
        <w:t xml:space="preserve"> (</w:t>
      </w:r>
      <w:proofErr w:type="spellStart"/>
      <w:r w:rsidR="004B6CC4" w:rsidRPr="001005B7">
        <w:t>Pohlmann</w:t>
      </w:r>
      <w:proofErr w:type="spellEnd"/>
      <w:r w:rsidR="00656A1E" w:rsidRPr="001005B7">
        <w:rPr>
          <w:i/>
          <w:iCs/>
        </w:rPr>
        <w:t xml:space="preserve">, </w:t>
      </w:r>
      <w:r w:rsidR="00656A1E" w:rsidRPr="001005B7">
        <w:t>1:</w:t>
      </w:r>
      <w:r w:rsidR="004B6CC4" w:rsidRPr="001005B7">
        <w:t>48</w:t>
      </w:r>
      <w:r w:rsidR="00707B60" w:rsidRPr="001005B7">
        <w:t>).</w:t>
      </w:r>
      <w:r w:rsidR="007E0294" w:rsidRPr="001005B7">
        <w:t xml:space="preserve"> </w:t>
      </w:r>
      <w:r w:rsidR="00711C7F" w:rsidRPr="001005B7">
        <w:t>The</w:t>
      </w:r>
      <w:r w:rsidR="00C84D56" w:rsidRPr="001005B7">
        <w:t xml:space="preserve"> </w:t>
      </w:r>
      <w:r w:rsidR="00643CC7" w:rsidRPr="001005B7">
        <w:t xml:space="preserve">fourth month would be </w:t>
      </w:r>
      <w:r w:rsidR="00C7281E" w:rsidRPr="001005B7">
        <w:t>June/</w:t>
      </w:r>
      <w:r w:rsidR="00643CC7" w:rsidRPr="001005B7">
        <w:t>July</w:t>
      </w:r>
      <w:r w:rsidR="000E0D07" w:rsidRPr="001005B7">
        <w:t>. M</w:t>
      </w:r>
      <w:r w:rsidR="007E7FF3" w:rsidRPr="001005B7">
        <w:t xml:space="preserve">ore precisely, the date </w:t>
      </w:r>
      <w:r w:rsidR="00805C3F" w:rsidRPr="001005B7">
        <w:t>has been calculated to be</w:t>
      </w:r>
      <w:r w:rsidR="007E7FF3" w:rsidRPr="001005B7">
        <w:t xml:space="preserve"> </w:t>
      </w:r>
      <w:r w:rsidR="007F305F" w:rsidRPr="001005B7">
        <w:t xml:space="preserve">July </w:t>
      </w:r>
      <w:r w:rsidR="00440A42" w:rsidRPr="001005B7">
        <w:t>31</w:t>
      </w:r>
      <w:r w:rsidR="007F305F" w:rsidRPr="001005B7">
        <w:t xml:space="preserve">, </w:t>
      </w:r>
      <w:r w:rsidR="00440A42" w:rsidRPr="001005B7">
        <w:t>593</w:t>
      </w:r>
      <w:r w:rsidR="00EA6A07" w:rsidRPr="001005B7">
        <w:t xml:space="preserve"> (</w:t>
      </w:r>
      <w:r w:rsidR="007F305F" w:rsidRPr="001005B7">
        <w:t>A</w:t>
      </w:r>
      <w:r w:rsidR="00EA6A07" w:rsidRPr="001005B7">
        <w:t>llen</w:t>
      </w:r>
      <w:r w:rsidR="00656A1E" w:rsidRPr="001005B7">
        <w:t>,</w:t>
      </w:r>
      <w:r w:rsidR="00EA6A07" w:rsidRPr="001005B7">
        <w:t xml:space="preserve"> 1:23)</w:t>
      </w:r>
      <w:r w:rsidR="00440A42" w:rsidRPr="001005B7">
        <w:t>.</w:t>
      </w:r>
      <w:r w:rsidR="0029125D" w:rsidRPr="001005B7">
        <w:t xml:space="preserve"> </w:t>
      </w:r>
    </w:p>
    <w:p w14:paraId="043B46C6" w14:textId="4674BD23" w:rsidR="003B0E91" w:rsidRPr="001005B7" w:rsidRDefault="005076C1" w:rsidP="00481AF5">
      <w:r w:rsidRPr="001005B7">
        <w:t xml:space="preserve">The </w:t>
      </w:r>
      <w:proofErr w:type="spellStart"/>
      <w:r w:rsidRPr="001005B7">
        <w:t>Kebar</w:t>
      </w:r>
      <w:proofErr w:type="spellEnd"/>
      <w:r w:rsidRPr="001005B7">
        <w:t xml:space="preserve"> Waterway (see further 3:15, 23; </w:t>
      </w:r>
      <w:r w:rsidR="0008161E" w:rsidRPr="001005B7">
        <w:t xml:space="preserve">10:15, 20, 22; 43:3) </w:t>
      </w:r>
      <w:r w:rsidRPr="001005B7">
        <w:t>was part of the Babylonian irrigation and transport system</w:t>
      </w:r>
      <w:r w:rsidR="006B3D85" w:rsidRPr="001005B7">
        <w:t xml:space="preserve">. </w:t>
      </w:r>
      <w:r w:rsidR="00B82CDB" w:rsidRPr="001005B7">
        <w:t>A</w:t>
      </w:r>
      <w:r w:rsidR="006B3D85" w:rsidRPr="001005B7">
        <w:t xml:space="preserve"> </w:t>
      </w:r>
      <w:r w:rsidR="00A25F62" w:rsidRPr="001005B7">
        <w:t>century</w:t>
      </w:r>
      <w:r w:rsidR="006B3D85" w:rsidRPr="001005B7">
        <w:t xml:space="preserve"> after Ezekiel’s time</w:t>
      </w:r>
      <w:r w:rsidR="00B82CDB" w:rsidRPr="001005B7">
        <w:t>, it features</w:t>
      </w:r>
      <w:r w:rsidR="006B3D85" w:rsidRPr="001005B7">
        <w:t xml:space="preserve"> in </w:t>
      </w:r>
      <w:r w:rsidR="007078E4" w:rsidRPr="001005B7">
        <w:t xml:space="preserve">an archive </w:t>
      </w:r>
      <w:r w:rsidR="00DE7872" w:rsidRPr="001005B7">
        <w:t>related to</w:t>
      </w:r>
      <w:r w:rsidR="007078E4" w:rsidRPr="001005B7">
        <w:t xml:space="preserve"> the </w:t>
      </w:r>
      <w:r w:rsidR="008720EE" w:rsidRPr="001005B7">
        <w:t xml:space="preserve">business of the </w:t>
      </w:r>
      <w:proofErr w:type="spellStart"/>
      <w:r w:rsidR="006B3D85" w:rsidRPr="001005B7">
        <w:t>Murashu</w:t>
      </w:r>
      <w:proofErr w:type="spellEnd"/>
      <w:r w:rsidR="006B3D85" w:rsidRPr="001005B7">
        <w:t xml:space="preserve"> </w:t>
      </w:r>
      <w:r w:rsidR="00CF534C" w:rsidRPr="001005B7">
        <w:t>family</w:t>
      </w:r>
      <w:r w:rsidR="00F86A4D" w:rsidRPr="001005B7">
        <w:t xml:space="preserve"> that was</w:t>
      </w:r>
      <w:r w:rsidR="00DE7872" w:rsidRPr="001005B7">
        <w:t xml:space="preserve"> found in its </w:t>
      </w:r>
      <w:r w:rsidR="00CF534C" w:rsidRPr="001005B7">
        <w:t>house in</w:t>
      </w:r>
      <w:r w:rsidR="006B3D85" w:rsidRPr="001005B7">
        <w:t xml:space="preserve"> Nippur, </w:t>
      </w:r>
      <w:r w:rsidR="0008161E" w:rsidRPr="001005B7">
        <w:t>east of Babylon itself</w:t>
      </w:r>
      <w:r w:rsidR="00764B60" w:rsidRPr="001005B7">
        <w:t>.</w:t>
      </w:r>
      <w:r w:rsidR="008612DF" w:rsidRPr="001005B7">
        <w:rPr>
          <w:rStyle w:val="FootnoteReference"/>
        </w:rPr>
        <w:footnoteReference w:id="86"/>
      </w:r>
      <w:r w:rsidR="00764B60" w:rsidRPr="001005B7">
        <w:t xml:space="preserve"> </w:t>
      </w:r>
      <w:r w:rsidR="001B570B" w:rsidRPr="001005B7">
        <w:t xml:space="preserve">So the </w:t>
      </w:r>
      <w:r w:rsidR="00F67B8F" w:rsidRPr="001005B7">
        <w:t>waterway was</w:t>
      </w:r>
      <w:r w:rsidR="006B3D85" w:rsidRPr="001005B7">
        <w:t xml:space="preserve"> presumably</w:t>
      </w:r>
      <w:r w:rsidR="00E17052" w:rsidRPr="001005B7">
        <w:t xml:space="preserve"> </w:t>
      </w:r>
      <w:r w:rsidR="00F67B8F" w:rsidRPr="001005B7">
        <w:t>near Nippur</w:t>
      </w:r>
      <w:r w:rsidR="00B81FB9" w:rsidRPr="001005B7">
        <w:t xml:space="preserve">. </w:t>
      </w:r>
      <w:r w:rsidR="000F7886" w:rsidRPr="001005B7">
        <w:t>Apparently</w:t>
      </w:r>
      <w:r w:rsidR="0008161E" w:rsidRPr="001005B7">
        <w:t xml:space="preserve"> Ezekiel</w:t>
      </w:r>
      <w:r w:rsidR="00FE4385" w:rsidRPr="001005B7">
        <w:t xml:space="preserve"> and his</w:t>
      </w:r>
      <w:r w:rsidR="0008161E" w:rsidRPr="001005B7">
        <w:t xml:space="preserve"> family lived with </w:t>
      </w:r>
      <w:r w:rsidR="00694EBB" w:rsidRPr="001005B7">
        <w:t>a</w:t>
      </w:r>
      <w:r w:rsidR="0008161E" w:rsidRPr="001005B7">
        <w:t xml:space="preserve"> group of Judahites </w:t>
      </w:r>
      <w:r w:rsidR="006B3D85" w:rsidRPr="001005B7">
        <w:t xml:space="preserve">by the </w:t>
      </w:r>
      <w:proofErr w:type="spellStart"/>
      <w:r w:rsidR="006B3D85" w:rsidRPr="001005B7">
        <w:t>Kebar</w:t>
      </w:r>
      <w:proofErr w:type="spellEnd"/>
      <w:r w:rsidR="00EC4FF3" w:rsidRPr="001005B7">
        <w:t xml:space="preserve"> (cf. 3:15)</w:t>
      </w:r>
      <w:r w:rsidR="008F1543" w:rsidRPr="001005B7">
        <w:t xml:space="preserve"> in what might have been rather like a refugee camp</w:t>
      </w:r>
      <w:r w:rsidR="00B95219" w:rsidRPr="001005B7">
        <w:t>.</w:t>
      </w:r>
      <w:r w:rsidR="00B95219" w:rsidRPr="001005B7">
        <w:rPr>
          <w:rStyle w:val="FootnoteReference"/>
        </w:rPr>
        <w:footnoteReference w:id="87"/>
      </w:r>
    </w:p>
    <w:p w14:paraId="7239D9C0" w14:textId="6A70B7AE" w:rsidR="00481AF5" w:rsidRPr="001005B7" w:rsidRDefault="000E7FBD" w:rsidP="00481AF5">
      <w:r w:rsidRPr="001005B7">
        <w:t>Not</w:t>
      </w:r>
      <w:r w:rsidR="0008161E" w:rsidRPr="001005B7">
        <w:t xml:space="preserve"> all the Judahites </w:t>
      </w:r>
      <w:r w:rsidR="00D81C7E" w:rsidRPr="001005B7">
        <w:t xml:space="preserve">in Babylonia </w:t>
      </w:r>
      <w:r w:rsidR="00CA3DDC" w:rsidRPr="001005B7">
        <w:t xml:space="preserve">would be </w:t>
      </w:r>
      <w:r w:rsidR="0008161E" w:rsidRPr="001005B7">
        <w:t>liv</w:t>
      </w:r>
      <w:r w:rsidR="00CA3DDC" w:rsidRPr="001005B7">
        <w:t>ing</w:t>
      </w:r>
      <w:r w:rsidR="0008161E" w:rsidRPr="001005B7">
        <w:t xml:space="preserve"> there</w:t>
      </w:r>
      <w:r w:rsidR="0014611B" w:rsidRPr="001005B7">
        <w:t>.</w:t>
      </w:r>
      <w:r w:rsidR="000971BC" w:rsidRPr="001005B7">
        <w:t xml:space="preserve"> </w:t>
      </w:r>
      <w:r w:rsidR="00F06538" w:rsidRPr="001005B7">
        <w:t>P</w:t>
      </w:r>
      <w:r w:rsidR="00AC7461" w:rsidRPr="001005B7">
        <w:t>eople of more significance for the empire</w:t>
      </w:r>
      <w:r w:rsidR="0067372D" w:rsidRPr="001005B7">
        <w:t xml:space="preserve">, such as </w:t>
      </w:r>
      <w:r w:rsidR="00B95659" w:rsidRPr="001005B7">
        <w:t xml:space="preserve">people </w:t>
      </w:r>
      <w:r w:rsidR="000C29F4" w:rsidRPr="001005B7">
        <w:t xml:space="preserve">who had been </w:t>
      </w:r>
      <w:r w:rsidR="00B95659" w:rsidRPr="001005B7">
        <w:t xml:space="preserve">involved in the </w:t>
      </w:r>
      <w:r w:rsidR="000C29F4" w:rsidRPr="001005B7">
        <w:t xml:space="preserve">Jerusalem </w:t>
      </w:r>
      <w:r w:rsidR="00B95659" w:rsidRPr="001005B7">
        <w:t>admin</w:t>
      </w:r>
      <w:r w:rsidR="0067372D" w:rsidRPr="001005B7">
        <w:t>is</w:t>
      </w:r>
      <w:r w:rsidR="00B95659" w:rsidRPr="001005B7">
        <w:t>tration</w:t>
      </w:r>
      <w:r w:rsidR="00BE2DCD" w:rsidRPr="001005B7">
        <w:t xml:space="preserve">, </w:t>
      </w:r>
      <w:r w:rsidR="006A6945" w:rsidRPr="001005B7">
        <w:t>might be</w:t>
      </w:r>
      <w:r w:rsidR="00BE2DCD" w:rsidRPr="001005B7">
        <w:t xml:space="preserve"> in Babylon</w:t>
      </w:r>
      <w:r w:rsidR="009E0EF6" w:rsidRPr="001005B7">
        <w:t xml:space="preserve">, </w:t>
      </w:r>
      <w:r w:rsidR="007F6565" w:rsidRPr="001005B7">
        <w:t>F</w:t>
      </w:r>
      <w:r w:rsidR="009E0EF6" w:rsidRPr="001005B7">
        <w:t>arm</w:t>
      </w:r>
      <w:r w:rsidR="00EA477A" w:rsidRPr="001005B7">
        <w:t>ers</w:t>
      </w:r>
      <w:r w:rsidR="009E0EF6" w:rsidRPr="001005B7">
        <w:t xml:space="preserve"> w</w:t>
      </w:r>
      <w:r w:rsidR="00EA477A" w:rsidRPr="001005B7">
        <w:t>ould be</w:t>
      </w:r>
      <w:r w:rsidR="009E0EF6" w:rsidRPr="001005B7">
        <w:t xml:space="preserve"> in a location such as </w:t>
      </w:r>
      <w:proofErr w:type="spellStart"/>
      <w:r w:rsidR="009E0EF6" w:rsidRPr="001005B7">
        <w:t>Kebar</w:t>
      </w:r>
      <w:proofErr w:type="spellEnd"/>
      <w:r w:rsidR="00EA477A" w:rsidRPr="001005B7">
        <w:t xml:space="preserve">, </w:t>
      </w:r>
      <w:r w:rsidR="009E0EF6" w:rsidRPr="001005B7">
        <w:t xml:space="preserve">though it </w:t>
      </w:r>
      <w:r w:rsidR="00067BF5" w:rsidRPr="001005B7">
        <w:t>m</w:t>
      </w:r>
      <w:r w:rsidR="00EA477A" w:rsidRPr="001005B7">
        <w:t>ay</w:t>
      </w:r>
      <w:r w:rsidR="009E0EF6" w:rsidRPr="001005B7">
        <w:t xml:space="preserve"> then</w:t>
      </w:r>
      <w:r w:rsidR="00067BF5" w:rsidRPr="001005B7">
        <w:t xml:space="preserve"> be</w:t>
      </w:r>
      <w:r w:rsidR="009E0EF6" w:rsidRPr="001005B7">
        <w:t xml:space="preserve"> </w:t>
      </w:r>
      <w:r w:rsidR="00067BF5" w:rsidRPr="001005B7">
        <w:t xml:space="preserve">puzzling that </w:t>
      </w:r>
      <w:proofErr w:type="spellStart"/>
      <w:r w:rsidR="00067BF5" w:rsidRPr="001005B7">
        <w:t>Buzi’s</w:t>
      </w:r>
      <w:proofErr w:type="spellEnd"/>
      <w:r w:rsidR="000C29F4" w:rsidRPr="001005B7">
        <w:t xml:space="preserve"> priestly</w:t>
      </w:r>
      <w:r w:rsidR="00067BF5" w:rsidRPr="001005B7">
        <w:t xml:space="preserve"> family was there.</w:t>
      </w:r>
      <w:r w:rsidR="00067BF5" w:rsidRPr="001005B7">
        <w:rPr>
          <w:rStyle w:val="FootnoteReference"/>
        </w:rPr>
        <w:footnoteReference w:id="88"/>
      </w:r>
      <w:r w:rsidR="00641245" w:rsidRPr="001005B7">
        <w:t xml:space="preserve"> </w:t>
      </w:r>
      <w:proofErr w:type="spellStart"/>
      <w:r w:rsidR="00641245" w:rsidRPr="001005B7">
        <w:t>Ps</w:t>
      </w:r>
      <w:r w:rsidR="005B03A7" w:rsidRPr="001005B7">
        <w:t>a</w:t>
      </w:r>
      <w:proofErr w:type="spellEnd"/>
      <w:r w:rsidR="00641245" w:rsidRPr="001005B7">
        <w:t xml:space="preserve"> 137</w:t>
      </w:r>
      <w:r w:rsidR="009E0B6A" w:rsidRPr="001005B7">
        <w:t>:1</w:t>
      </w:r>
      <w:r w:rsidR="00641245" w:rsidRPr="001005B7">
        <w:t xml:space="preserve"> speaks of</w:t>
      </w:r>
      <w:r w:rsidR="009E0B6A" w:rsidRPr="001005B7">
        <w:t xml:space="preserve"> </w:t>
      </w:r>
      <w:r w:rsidR="001F0EFE" w:rsidRPr="001005B7">
        <w:t>proximity to</w:t>
      </w:r>
      <w:r w:rsidR="009E0B6A" w:rsidRPr="001005B7">
        <w:t xml:space="preserve"> Babylonian water</w:t>
      </w:r>
      <w:r w:rsidR="001C289C" w:rsidRPr="001005B7">
        <w:t>w</w:t>
      </w:r>
      <w:r w:rsidR="009E0B6A" w:rsidRPr="001005B7">
        <w:t>ays more generally</w:t>
      </w:r>
      <w:r w:rsidR="00322921" w:rsidRPr="001005B7">
        <w:t>.</w:t>
      </w:r>
      <w:r w:rsidR="001C289C" w:rsidRPr="001005B7">
        <w:t xml:space="preserve"> </w:t>
      </w:r>
      <w:r w:rsidR="00B40D3F" w:rsidRPr="001005B7">
        <w:t>Judahites</w:t>
      </w:r>
      <w:r w:rsidR="005E722D" w:rsidRPr="001005B7">
        <w:t xml:space="preserve"> might </w:t>
      </w:r>
      <w:r w:rsidR="006F062D" w:rsidRPr="001005B7">
        <w:t>gather in</w:t>
      </w:r>
      <w:r w:rsidR="00C86A28" w:rsidRPr="001005B7">
        <w:t xml:space="preserve"> such locations</w:t>
      </w:r>
      <w:r w:rsidR="005E722D" w:rsidRPr="001005B7">
        <w:t xml:space="preserve"> </w:t>
      </w:r>
      <w:r w:rsidR="00924FEE" w:rsidRPr="001005B7">
        <w:t xml:space="preserve">for worship (cf. Acts 16:13) </w:t>
      </w:r>
      <w:r w:rsidR="005E722D" w:rsidRPr="001005B7">
        <w:t>so as to have access to water for p</w:t>
      </w:r>
      <w:r w:rsidR="009821D6" w:rsidRPr="001005B7">
        <w:t>urification rituals</w:t>
      </w:r>
      <w:r w:rsidR="00616ACB" w:rsidRPr="001005B7">
        <w:t>.</w:t>
      </w:r>
      <w:r w:rsidR="003A3D6E" w:rsidRPr="001005B7">
        <w:t xml:space="preserve"> John the baptizer, Jesus, and his disciples </w:t>
      </w:r>
      <w:r w:rsidR="00616ACB" w:rsidRPr="001005B7">
        <w:t xml:space="preserve">will likewise </w:t>
      </w:r>
      <w:r w:rsidR="003A3D6E" w:rsidRPr="001005B7">
        <w:t xml:space="preserve">preach by the Jordan </w:t>
      </w:r>
      <w:r w:rsidR="00774B7C" w:rsidRPr="001005B7">
        <w:t>and thus be able to baptize there</w:t>
      </w:r>
      <w:r w:rsidR="00183739" w:rsidRPr="001005B7">
        <w:t xml:space="preserve"> ( </w:t>
      </w:r>
      <w:r w:rsidR="00F278EB" w:rsidRPr="001005B7">
        <w:t>e.g.,</w:t>
      </w:r>
      <w:r w:rsidR="00133D5F" w:rsidRPr="001005B7">
        <w:t xml:space="preserve"> John 3:22</w:t>
      </w:r>
      <w:r w:rsidR="00F46900" w:rsidRPr="001005B7">
        <w:t>–</w:t>
      </w:r>
      <w:r w:rsidR="00133D5F" w:rsidRPr="001005B7">
        <w:t>23</w:t>
      </w:r>
      <w:r w:rsidR="00B90859" w:rsidRPr="001005B7">
        <w:t>, 26</w:t>
      </w:r>
      <w:r w:rsidR="00A274C5" w:rsidRPr="001005B7">
        <w:t>; 4:1</w:t>
      </w:r>
      <w:r w:rsidR="00F46900" w:rsidRPr="001005B7">
        <w:t>–</w:t>
      </w:r>
      <w:r w:rsidR="00A274C5" w:rsidRPr="001005B7">
        <w:t>2</w:t>
      </w:r>
      <w:r w:rsidR="00183739" w:rsidRPr="001005B7">
        <w:t>)</w:t>
      </w:r>
      <w:r w:rsidR="00774B7C" w:rsidRPr="001005B7">
        <w:t>.</w:t>
      </w:r>
      <w:r w:rsidR="003F762E" w:rsidRPr="001005B7">
        <w:t xml:space="preserve"> </w:t>
      </w:r>
      <w:r w:rsidR="00216196" w:rsidRPr="001005B7">
        <w:t>T</w:t>
      </w:r>
      <w:r w:rsidR="00B51ECC" w:rsidRPr="001005B7">
        <w:t>he location</w:t>
      </w:r>
      <w:r w:rsidR="005C2A90" w:rsidRPr="001005B7">
        <w:t xml:space="preserve"> </w:t>
      </w:r>
      <w:r w:rsidR="003F762E" w:rsidRPr="001005B7">
        <w:t xml:space="preserve">seems </w:t>
      </w:r>
      <w:r w:rsidR="000409E2" w:rsidRPr="001005B7">
        <w:t xml:space="preserve">to have </w:t>
      </w:r>
      <w:r w:rsidR="003F762E" w:rsidRPr="001005B7">
        <w:t xml:space="preserve">no significance </w:t>
      </w:r>
      <w:r w:rsidR="000409E2" w:rsidRPr="001005B7">
        <w:t>as</w:t>
      </w:r>
      <w:r w:rsidR="003F762E" w:rsidRPr="001005B7">
        <w:t xml:space="preserve"> a </w:t>
      </w:r>
      <w:r w:rsidR="000409E2" w:rsidRPr="001005B7">
        <w:t xml:space="preserve">place for a </w:t>
      </w:r>
      <w:r w:rsidR="00F1684B" w:rsidRPr="001005B7">
        <w:t>visionary experience</w:t>
      </w:r>
      <w:r w:rsidR="00B2723D" w:rsidRPr="001005B7">
        <w:t>.</w:t>
      </w:r>
      <w:r w:rsidR="00F1684B" w:rsidRPr="001005B7">
        <w:t xml:space="preserve"> </w:t>
      </w:r>
      <w:r w:rsidR="00B51ECC" w:rsidRPr="001005B7">
        <w:t>Ezekiel’s</w:t>
      </w:r>
      <w:r w:rsidR="00BB55B0" w:rsidRPr="001005B7">
        <w:t xml:space="preserve"> next vision happens </w:t>
      </w:r>
      <w:r w:rsidR="00A463B6" w:rsidRPr="001005B7">
        <w:t>in his house</w:t>
      </w:r>
      <w:r w:rsidR="00BB55B0" w:rsidRPr="001005B7">
        <w:t xml:space="preserve"> (8:1</w:t>
      </w:r>
      <w:r w:rsidR="00F46900" w:rsidRPr="001005B7">
        <w:t>–</w:t>
      </w:r>
      <w:r w:rsidR="00BB55B0" w:rsidRPr="001005B7">
        <w:t>3</w:t>
      </w:r>
      <w:r w:rsidR="0079325D" w:rsidRPr="001005B7">
        <w:t>; and see 43:3</w:t>
      </w:r>
      <w:r w:rsidR="00BB55B0" w:rsidRPr="001005B7">
        <w:t>).</w:t>
      </w:r>
      <w:r w:rsidR="000409E2" w:rsidRPr="001005B7">
        <w:t xml:space="preserve"> </w:t>
      </w:r>
      <w:r w:rsidR="00996A2A" w:rsidRPr="001005B7">
        <w:t>He</w:t>
      </w:r>
      <w:r w:rsidR="00685012" w:rsidRPr="001005B7">
        <w:t xml:space="preserve"> gives no hint of </w:t>
      </w:r>
      <w:r w:rsidR="00B467EE" w:rsidRPr="001005B7">
        <w:t xml:space="preserve">whether </w:t>
      </w:r>
      <w:r w:rsidR="00D20F40" w:rsidRPr="001005B7">
        <w:t>th</w:t>
      </w:r>
      <w:r w:rsidR="004678D0" w:rsidRPr="001005B7">
        <w:t>is</w:t>
      </w:r>
      <w:r w:rsidR="00D20F40" w:rsidRPr="001005B7">
        <w:t xml:space="preserve"> vision </w:t>
      </w:r>
      <w:r w:rsidR="00685012" w:rsidRPr="001005B7">
        <w:t xml:space="preserve">was </w:t>
      </w:r>
      <w:r w:rsidR="0007791F" w:rsidRPr="001005B7">
        <w:t xml:space="preserve">expected or </w:t>
      </w:r>
      <w:r w:rsidR="000B7468" w:rsidRPr="001005B7">
        <w:t>a su</w:t>
      </w:r>
      <w:r w:rsidR="00681BA5" w:rsidRPr="001005B7">
        <w:t>r</w:t>
      </w:r>
      <w:r w:rsidR="000B7468" w:rsidRPr="001005B7">
        <w:t>prise</w:t>
      </w:r>
      <w:r w:rsidR="00685012" w:rsidRPr="001005B7">
        <w:t>.</w:t>
      </w:r>
    </w:p>
    <w:p w14:paraId="272B5FFC" w14:textId="5834B4F2" w:rsidR="00613862" w:rsidRPr="001005B7" w:rsidRDefault="00AB3604" w:rsidP="00BF23ED">
      <w:r w:rsidRPr="001005B7">
        <w:t>“</w:t>
      </w:r>
      <w:r w:rsidR="000B7468" w:rsidRPr="001005B7">
        <w:t>T</w:t>
      </w:r>
      <w:r w:rsidR="006B3D85" w:rsidRPr="001005B7">
        <w:t>he heavens opened</w:t>
      </w:r>
      <w:r w:rsidRPr="001005B7">
        <w:t>”</w:t>
      </w:r>
      <w:r w:rsidR="006B3D85" w:rsidRPr="001005B7">
        <w:t xml:space="preserve"> </w:t>
      </w:r>
      <w:r w:rsidR="00C03A52" w:rsidRPr="001005B7">
        <w:t>(</w:t>
      </w:r>
      <w:r w:rsidR="00F34121" w:rsidRPr="001005B7">
        <w:rPr>
          <w:rFonts w:cstheme="minorHAnsi"/>
          <w:rtl/>
          <w:lang w:bidi="he-IL"/>
        </w:rPr>
        <w:t>נ</w:t>
      </w:r>
      <w:r w:rsidR="0018029C" w:rsidRPr="001005B7">
        <w:rPr>
          <w:rFonts w:cstheme="minorHAnsi"/>
          <w:rtl/>
          <w:lang w:bidi="he-IL"/>
        </w:rPr>
        <w:t>ִפְתְּ</w:t>
      </w:r>
      <w:r w:rsidR="009E4C3B" w:rsidRPr="001005B7">
        <w:rPr>
          <w:rFonts w:cstheme="minorHAnsi"/>
          <w:rtl/>
          <w:lang w:bidi="he-IL"/>
        </w:rPr>
        <w:t>חוּ</w:t>
      </w:r>
      <w:r w:rsidR="003C00B6" w:rsidRPr="001005B7">
        <w:rPr>
          <w:rFonts w:cstheme="minorHAnsi"/>
          <w:rtl/>
          <w:lang w:bidi="he-IL"/>
        </w:rPr>
        <w:t xml:space="preserve"> </w:t>
      </w:r>
      <w:r w:rsidR="007258F4" w:rsidRPr="001005B7">
        <w:rPr>
          <w:rFonts w:cstheme="minorHAnsi"/>
          <w:rtl/>
          <w:lang w:bidi="he-IL"/>
        </w:rPr>
        <w:t>שׇׁמַיִ</w:t>
      </w:r>
      <w:r w:rsidR="003C00B6" w:rsidRPr="001005B7">
        <w:rPr>
          <w:rFonts w:cstheme="minorHAnsi"/>
          <w:rtl/>
          <w:lang w:bidi="he-IL"/>
        </w:rPr>
        <w:t>ם</w:t>
      </w:r>
      <w:r w:rsidR="003C00B6" w:rsidRPr="001005B7">
        <w:t xml:space="preserve">) </w:t>
      </w:r>
      <w:r w:rsidR="0006644B" w:rsidRPr="001005B7">
        <w:t xml:space="preserve">points to the objective reality of the event and </w:t>
      </w:r>
      <w:r w:rsidR="00681BA5" w:rsidRPr="001005B7">
        <w:t xml:space="preserve">(in due course) </w:t>
      </w:r>
      <w:r w:rsidR="00BC03F5" w:rsidRPr="001005B7">
        <w:t>to the reality of</w:t>
      </w:r>
      <w:r w:rsidR="0006644B" w:rsidRPr="001005B7">
        <w:t xml:space="preserve"> God’s </w:t>
      </w:r>
      <w:r w:rsidR="006F4FD9" w:rsidRPr="001005B7">
        <w:t>presence the other side of the heavens</w:t>
      </w:r>
      <w:r w:rsidR="004F6618" w:rsidRPr="001005B7">
        <w:t xml:space="preserve">, </w:t>
      </w:r>
      <w:r w:rsidR="006367D6" w:rsidRPr="001005B7">
        <w:t xml:space="preserve">the location from where </w:t>
      </w:r>
      <w:r w:rsidR="00D46585" w:rsidRPr="001005B7">
        <w:t>God</w:t>
      </w:r>
      <w:r w:rsidR="000F0162" w:rsidRPr="001005B7">
        <w:t>’</w:t>
      </w:r>
      <w:r w:rsidR="006367D6" w:rsidRPr="001005B7">
        <w:t>s entourage came</w:t>
      </w:r>
      <w:r w:rsidR="00C3169C" w:rsidRPr="001005B7">
        <w:t>. T</w:t>
      </w:r>
      <w:r w:rsidR="006F4FD9" w:rsidRPr="001005B7">
        <w:t xml:space="preserve">he heavens, in other words, means the sky </w:t>
      </w:r>
      <w:r w:rsidR="00D91415" w:rsidRPr="001005B7">
        <w:t xml:space="preserve">God created </w:t>
      </w:r>
      <w:r w:rsidR="006F4FD9" w:rsidRPr="001005B7">
        <w:t>(Gen 1:1) rather than the place where God lives</w:t>
      </w:r>
      <w:r w:rsidR="00924DA8" w:rsidRPr="001005B7">
        <w:t>.</w:t>
      </w:r>
      <w:r w:rsidR="00A14A79" w:rsidRPr="001005B7">
        <w:rPr>
          <w:rStyle w:val="FootnoteReference"/>
        </w:rPr>
        <w:footnoteReference w:id="89"/>
      </w:r>
      <w:r w:rsidR="00924DA8" w:rsidRPr="001005B7">
        <w:t xml:space="preserve"> </w:t>
      </w:r>
      <w:r w:rsidR="001E65E6" w:rsidRPr="001005B7">
        <w:t>I</w:t>
      </w:r>
      <w:r w:rsidR="00F34FF0" w:rsidRPr="001005B7">
        <w:t>t</w:t>
      </w:r>
      <w:r w:rsidR="002A5328" w:rsidRPr="001005B7">
        <w:t>’</w:t>
      </w:r>
      <w:r w:rsidR="00F34FF0" w:rsidRPr="001005B7">
        <w:t xml:space="preserve">s </w:t>
      </w:r>
      <w:r w:rsidR="002A5328" w:rsidRPr="001005B7">
        <w:t xml:space="preserve">not explicit that </w:t>
      </w:r>
      <w:r w:rsidR="003857DA" w:rsidRPr="001005B7">
        <w:t>Ezekiel sees anything of what lies beyond the heaven</w:t>
      </w:r>
      <w:r w:rsidR="00AF4830" w:rsidRPr="001005B7">
        <w:t>s. T</w:t>
      </w:r>
      <w:r w:rsidR="003857DA" w:rsidRPr="001005B7">
        <w:t xml:space="preserve">heir opening </w:t>
      </w:r>
      <w:r w:rsidR="006551F9" w:rsidRPr="001005B7">
        <w:t xml:space="preserve">is more the means whereby </w:t>
      </w:r>
      <w:r w:rsidR="003C00B6" w:rsidRPr="001005B7">
        <w:t>Yahweh’s</w:t>
      </w:r>
      <w:r w:rsidR="006551F9" w:rsidRPr="001005B7">
        <w:t xml:space="preserve"> entourage is able to come into the wo</w:t>
      </w:r>
      <w:r w:rsidR="0056142A" w:rsidRPr="001005B7">
        <w:t>r</w:t>
      </w:r>
      <w:r w:rsidR="006551F9" w:rsidRPr="001005B7">
        <w:t>ld</w:t>
      </w:r>
      <w:r w:rsidR="00F61916" w:rsidRPr="001005B7">
        <w:t xml:space="preserve">. </w:t>
      </w:r>
      <w:r w:rsidR="00E903A6" w:rsidRPr="001005B7">
        <w:t>The</w:t>
      </w:r>
      <w:r w:rsidR="0042329F" w:rsidRPr="001005B7">
        <w:t xml:space="preserve"> implication is thus different from </w:t>
      </w:r>
      <w:r w:rsidR="00AD3984" w:rsidRPr="001005B7">
        <w:t>the</w:t>
      </w:r>
      <w:r w:rsidR="007D182F" w:rsidRPr="001005B7">
        <w:t xml:space="preserve"> heavens’</w:t>
      </w:r>
      <w:r w:rsidR="00E903A6" w:rsidRPr="001005B7">
        <w:t xml:space="preserve"> open</w:t>
      </w:r>
      <w:r w:rsidR="007D182F" w:rsidRPr="001005B7">
        <w:t>ing</w:t>
      </w:r>
      <w:r w:rsidR="00E903A6" w:rsidRPr="001005B7">
        <w:t xml:space="preserve"> in connection with Stephen’s martyrdom, where Stephen sees into the realm beyond the sky</w:t>
      </w:r>
      <w:r w:rsidR="00C11201" w:rsidRPr="001005B7">
        <w:t xml:space="preserve">, as John </w:t>
      </w:r>
      <w:r w:rsidR="006A4EA6" w:rsidRPr="001005B7">
        <w:t xml:space="preserve">also </w:t>
      </w:r>
      <w:r w:rsidR="00C11201" w:rsidRPr="001005B7">
        <w:t>does</w:t>
      </w:r>
      <w:r w:rsidR="00E903A6" w:rsidRPr="001005B7">
        <w:t xml:space="preserve"> (Acts 7:56; Rev 4:</w:t>
      </w:r>
      <w:r w:rsidR="00E903A6" w:rsidRPr="001005B7">
        <w:rPr>
          <w:rFonts w:ascii="Calibri" w:hAnsi="Calibri" w:cs="Calibri"/>
        </w:rPr>
        <w:t xml:space="preserve">1). </w:t>
      </w:r>
      <w:r w:rsidR="00BF23ED" w:rsidRPr="001005B7">
        <w:t xml:space="preserve">The heavens may look like a firmament (KJV), a </w:t>
      </w:r>
      <w:r w:rsidR="00BF23ED" w:rsidRPr="001005B7">
        <w:rPr>
          <w:rFonts w:cstheme="minorHAnsi"/>
          <w:rtl/>
          <w:lang w:bidi="he-IL"/>
        </w:rPr>
        <w:t>רָקִיַע</w:t>
      </w:r>
      <w:r w:rsidR="00BF23ED" w:rsidRPr="001005B7">
        <w:t xml:space="preserve"> (Gen 1:6), but they are not rigid. God can open them.</w:t>
      </w:r>
      <w:r w:rsidR="00BF23ED" w:rsidRPr="001005B7">
        <w:rPr>
          <w:rStyle w:val="FootnoteReference"/>
        </w:rPr>
        <w:footnoteReference w:id="90"/>
      </w:r>
      <w:r w:rsidR="00BF23ED" w:rsidRPr="001005B7">
        <w:t xml:space="preserve"> </w:t>
      </w:r>
      <w:r w:rsidR="00865329" w:rsidRPr="001005B7">
        <w:t>Elsewhere, the opening of the heavens lead</w:t>
      </w:r>
      <w:r w:rsidR="002870D6" w:rsidRPr="001005B7">
        <w:t>s</w:t>
      </w:r>
      <w:r w:rsidR="00865329" w:rsidRPr="001005B7">
        <w:t xml:space="preserve"> in to something happening on earth (Isa 63:19; Mark 1:10; Rev 19:11), which </w:t>
      </w:r>
      <w:r w:rsidR="00B9475A" w:rsidRPr="001005B7">
        <w:t xml:space="preserve">would be the implication here, though </w:t>
      </w:r>
      <w:r w:rsidR="00A715EE" w:rsidRPr="001005B7">
        <w:t xml:space="preserve">Ezekiel </w:t>
      </w:r>
      <w:r w:rsidR="00B9475A" w:rsidRPr="001005B7">
        <w:t xml:space="preserve">actually </w:t>
      </w:r>
      <w:r w:rsidR="00A715EE" w:rsidRPr="001005B7">
        <w:t xml:space="preserve">sees </w:t>
      </w:r>
      <w:r w:rsidR="009A0F91" w:rsidRPr="001005B7">
        <w:t>something coming from the north</w:t>
      </w:r>
      <w:r w:rsidR="003F0E2C" w:rsidRPr="001005B7">
        <w:t xml:space="preserve"> rather than from the heavens</w:t>
      </w:r>
      <w:r w:rsidR="009F6F8A" w:rsidRPr="001005B7">
        <w:t>.</w:t>
      </w:r>
    </w:p>
    <w:p w14:paraId="4B2861E3" w14:textId="2210809E" w:rsidR="009F6F8A" w:rsidRPr="001005B7" w:rsidRDefault="00AB3604" w:rsidP="00F34024">
      <w:r w:rsidRPr="001005B7">
        <w:t>“</w:t>
      </w:r>
      <w:r w:rsidR="00BA4934" w:rsidRPr="001005B7">
        <w:t>V</w:t>
      </w:r>
      <w:r w:rsidR="002330E8" w:rsidRPr="001005B7">
        <w:t>ision</w:t>
      </w:r>
      <w:r w:rsidRPr="001005B7">
        <w:t>”</w:t>
      </w:r>
      <w:r w:rsidR="0078419A" w:rsidRPr="001005B7">
        <w:rPr>
          <w:i/>
          <w:iCs/>
        </w:rPr>
        <w:t xml:space="preserve"> </w:t>
      </w:r>
      <w:r w:rsidR="00775B3D" w:rsidRPr="001005B7">
        <w:t>(</w:t>
      </w:r>
      <w:r w:rsidR="00775B3D" w:rsidRPr="001005B7">
        <w:rPr>
          <w:rFonts w:cstheme="minorHAnsi"/>
          <w:rtl/>
          <w:lang w:bidi="he-IL"/>
        </w:rPr>
        <w:t>מַרְאוֺת</w:t>
      </w:r>
      <w:r w:rsidR="00775B3D" w:rsidRPr="001005B7">
        <w:t>)</w:t>
      </w:r>
      <w:r w:rsidR="0078419A" w:rsidRPr="001005B7">
        <w:t xml:space="preserve"> is plural</w:t>
      </w:r>
      <w:r w:rsidR="008B19CC" w:rsidRPr="001005B7">
        <w:t>, suggesting</w:t>
      </w:r>
      <w:r w:rsidR="009F6F8A" w:rsidRPr="001005B7">
        <w:t xml:space="preserve"> the complex</w:t>
      </w:r>
      <w:r w:rsidR="008B19CC" w:rsidRPr="001005B7">
        <w:t>,</w:t>
      </w:r>
      <w:r w:rsidR="009F6F8A" w:rsidRPr="001005B7">
        <w:t xml:space="preserve"> multiform nature of what Ezekiel sees (GK 124). </w:t>
      </w:r>
      <w:r w:rsidR="00711BA2" w:rsidRPr="001005B7">
        <w:rPr>
          <w:sz w:val="18"/>
          <w:szCs w:val="18"/>
        </w:rPr>
        <w:t>LXX</w:t>
      </w:r>
      <w:r w:rsidR="00F34024" w:rsidRPr="001005B7">
        <w:t xml:space="preserve">, </w:t>
      </w:r>
      <w:r w:rsidR="00573675" w:rsidRPr="001005B7">
        <w:t xml:space="preserve">Vg. </w:t>
      </w:r>
      <w:r w:rsidR="009F6F8A" w:rsidRPr="001005B7">
        <w:t xml:space="preserve">have Ezekiel seeing </w:t>
      </w:r>
      <w:r w:rsidR="005C3DDD" w:rsidRPr="001005B7">
        <w:t>“</w:t>
      </w:r>
      <w:r w:rsidR="009F6F8A" w:rsidRPr="001005B7">
        <w:t>visions of God,</w:t>
      </w:r>
      <w:r w:rsidR="00C035A3" w:rsidRPr="001005B7">
        <w:t>”</w:t>
      </w:r>
      <w:r w:rsidR="009F6F8A" w:rsidRPr="001005B7">
        <w:t xml:space="preserve"> which implies seeing God, but Ezek 1 </w:t>
      </w:r>
      <w:r w:rsidR="00C035A3" w:rsidRPr="001005B7">
        <w:t xml:space="preserve">is not really </w:t>
      </w:r>
      <w:r w:rsidR="009F6F8A" w:rsidRPr="001005B7">
        <w:t>a vision of God, and the phrase does not imply a vision of Go</w:t>
      </w:r>
      <w:r w:rsidR="003F4410" w:rsidRPr="001005B7">
        <w:t>d</w:t>
      </w:r>
      <w:r w:rsidR="009F6F8A" w:rsidRPr="001005B7">
        <w:t xml:space="preserve"> in 8:3; 40:2. </w:t>
      </w:r>
      <w:r w:rsidR="003F4410" w:rsidRPr="001005B7">
        <w:t>Ezekiel does not use the usual word for a vision (</w:t>
      </w:r>
      <w:r w:rsidR="003F4410" w:rsidRPr="001005B7">
        <w:rPr>
          <w:rFonts w:cstheme="minorHAnsi"/>
          <w:rtl/>
          <w:lang w:bidi="he-IL"/>
        </w:rPr>
        <w:t>חָזוֺן</w:t>
      </w:r>
      <w:r w:rsidR="003F4410" w:rsidRPr="001005B7">
        <w:rPr>
          <w:rFonts w:cstheme="minorHAnsi"/>
        </w:rPr>
        <w:t>)</w:t>
      </w:r>
      <w:r w:rsidR="003F4410" w:rsidRPr="001005B7">
        <w:t xml:space="preserve">. </w:t>
      </w:r>
      <w:r w:rsidR="00635F81" w:rsidRPr="001005B7">
        <w:t xml:space="preserve">The form </w:t>
      </w:r>
      <w:r w:rsidR="00635F81" w:rsidRPr="001005B7">
        <w:rPr>
          <w:rFonts w:cstheme="minorHAnsi"/>
          <w:rtl/>
          <w:lang w:bidi="he-IL"/>
        </w:rPr>
        <w:t>מַרְאֶה</w:t>
      </w:r>
      <w:r w:rsidR="00635F81" w:rsidRPr="001005B7">
        <w:t>, “appearance,” subsequently</w:t>
      </w:r>
      <w:r w:rsidR="00635F81" w:rsidRPr="001005B7">
        <w:rPr>
          <w:i/>
          <w:iCs/>
        </w:rPr>
        <w:t xml:space="preserve"> </w:t>
      </w:r>
      <w:r w:rsidR="00635F81" w:rsidRPr="001005B7">
        <w:t xml:space="preserve">recurs through the chapter. </w:t>
      </w:r>
      <w:r w:rsidR="00A12412" w:rsidRPr="001005B7">
        <w:t>B</w:t>
      </w:r>
      <w:r w:rsidR="00125A5E" w:rsidRPr="001005B7">
        <w:t xml:space="preserve">oth </w:t>
      </w:r>
      <w:r w:rsidR="009F6F8A" w:rsidRPr="001005B7">
        <w:rPr>
          <w:rFonts w:cstheme="minorHAnsi"/>
          <w:rtl/>
          <w:lang w:bidi="he-IL"/>
        </w:rPr>
        <w:t>מַרְאָה</w:t>
      </w:r>
      <w:r w:rsidR="009F6F8A" w:rsidRPr="001005B7">
        <w:t xml:space="preserve"> </w:t>
      </w:r>
      <w:r w:rsidR="00125A5E" w:rsidRPr="001005B7">
        <w:t xml:space="preserve">and </w:t>
      </w:r>
      <w:r w:rsidR="0089625F" w:rsidRPr="001005B7">
        <w:rPr>
          <w:rFonts w:cstheme="minorHAnsi"/>
          <w:rtl/>
          <w:lang w:bidi="he-IL"/>
        </w:rPr>
        <w:t>מַרְאֶה</w:t>
      </w:r>
      <w:r w:rsidR="0089625F" w:rsidRPr="001005B7">
        <w:t xml:space="preserve"> </w:t>
      </w:r>
      <w:r w:rsidR="009F6F8A" w:rsidRPr="001005B7">
        <w:t xml:space="preserve">likely refer to what </w:t>
      </w:r>
      <w:r w:rsidR="00FA56CD" w:rsidRPr="001005B7">
        <w:t>Ezekiel</w:t>
      </w:r>
      <w:r w:rsidR="009F6F8A" w:rsidRPr="001005B7">
        <w:t xml:space="preserve"> sees (a sight, an appearance, a revelation) rather than the process of seeing. </w:t>
      </w:r>
      <w:r w:rsidR="00FA56CD" w:rsidRPr="001005B7">
        <w:t>Th</w:t>
      </w:r>
      <w:r w:rsidR="002F5A51" w:rsidRPr="001005B7">
        <w:t>e</w:t>
      </w:r>
      <w:r w:rsidR="00FA56CD" w:rsidRPr="001005B7">
        <w:t xml:space="preserve"> word in </w:t>
      </w:r>
      <w:r w:rsidR="0042084A" w:rsidRPr="001005B7">
        <w:t>1:</w:t>
      </w:r>
      <w:r w:rsidR="00FA56CD" w:rsidRPr="001005B7">
        <w:t>1</w:t>
      </w:r>
      <w:r w:rsidR="009F6F8A" w:rsidRPr="001005B7">
        <w:t xml:space="preserve"> </w:t>
      </w:r>
      <w:r w:rsidR="00FA56CD" w:rsidRPr="001005B7">
        <w:t xml:space="preserve">thus </w:t>
      </w:r>
      <w:r w:rsidR="009F6F8A" w:rsidRPr="001005B7">
        <w:t xml:space="preserve">affirms that the vision was divinely-given. But </w:t>
      </w:r>
      <w:r w:rsidR="002F5A51" w:rsidRPr="001005B7">
        <w:t>it</w:t>
      </w:r>
      <w:r w:rsidR="009F6F8A" w:rsidRPr="001005B7">
        <w:t xml:space="preserve"> is only the first of many ambiguous or allusive expressions in the chapter, and at the end we might look back and say, “it was in a way a vision of God” or “an appearance of God.” </w:t>
      </w:r>
    </w:p>
    <w:p w14:paraId="0A99F7BF" w14:textId="24299ECD" w:rsidR="00BC71D9" w:rsidRPr="001005B7" w:rsidRDefault="00102145" w:rsidP="007D6194">
      <w:pPr>
        <w:pStyle w:val="FootnoteText"/>
        <w:rPr>
          <w:sz w:val="22"/>
          <w:szCs w:val="22"/>
        </w:rPr>
      </w:pPr>
      <w:r w:rsidRPr="001005B7">
        <w:rPr>
          <w:b/>
          <w:bCs/>
          <w:sz w:val="22"/>
          <w:szCs w:val="22"/>
        </w:rPr>
        <w:t>1:</w:t>
      </w:r>
      <w:r w:rsidR="00DE74AF" w:rsidRPr="001005B7">
        <w:rPr>
          <w:b/>
          <w:bCs/>
          <w:sz w:val="22"/>
          <w:szCs w:val="22"/>
        </w:rPr>
        <w:t>2</w:t>
      </w:r>
      <w:r w:rsidR="00DE74AF" w:rsidRPr="001005B7">
        <w:rPr>
          <w:sz w:val="22"/>
          <w:szCs w:val="22"/>
        </w:rPr>
        <w:t xml:space="preserve"> </w:t>
      </w:r>
      <w:r w:rsidR="005E4BF6" w:rsidRPr="001005B7">
        <w:rPr>
          <w:sz w:val="22"/>
          <w:szCs w:val="22"/>
        </w:rPr>
        <w:t xml:space="preserve">There follows a transition to a </w:t>
      </w:r>
      <w:r w:rsidR="00DC5E24" w:rsidRPr="001005B7">
        <w:rPr>
          <w:sz w:val="22"/>
          <w:szCs w:val="22"/>
        </w:rPr>
        <w:t xml:space="preserve">third-person account </w:t>
      </w:r>
      <w:r w:rsidR="00C91451" w:rsidRPr="001005B7">
        <w:rPr>
          <w:sz w:val="22"/>
          <w:szCs w:val="22"/>
        </w:rPr>
        <w:t xml:space="preserve">of </w:t>
      </w:r>
      <w:r w:rsidR="009405C5" w:rsidRPr="001005B7">
        <w:rPr>
          <w:sz w:val="22"/>
          <w:szCs w:val="22"/>
        </w:rPr>
        <w:t xml:space="preserve">a message coming to </w:t>
      </w:r>
      <w:r w:rsidR="00C91451" w:rsidRPr="001005B7">
        <w:rPr>
          <w:sz w:val="22"/>
          <w:szCs w:val="22"/>
        </w:rPr>
        <w:t>Ezekiel</w:t>
      </w:r>
      <w:r w:rsidR="00800628" w:rsidRPr="001005B7">
        <w:rPr>
          <w:sz w:val="22"/>
          <w:szCs w:val="22"/>
        </w:rPr>
        <w:t xml:space="preserve">, which </w:t>
      </w:r>
      <w:r w:rsidR="00CF3788" w:rsidRPr="001005B7">
        <w:rPr>
          <w:sz w:val="22"/>
          <w:szCs w:val="22"/>
        </w:rPr>
        <w:t>he</w:t>
      </w:r>
      <w:r w:rsidR="00800628" w:rsidRPr="001005B7">
        <w:rPr>
          <w:sz w:val="22"/>
          <w:szCs w:val="22"/>
        </w:rPr>
        <w:t xml:space="preserve"> himself will recount in 2:1</w:t>
      </w:r>
      <w:r w:rsidR="00F46900" w:rsidRPr="001005B7">
        <w:rPr>
          <w:sz w:val="22"/>
          <w:szCs w:val="22"/>
        </w:rPr>
        <w:t>–</w:t>
      </w:r>
      <w:r w:rsidR="00800628" w:rsidRPr="001005B7">
        <w:rPr>
          <w:sz w:val="22"/>
          <w:szCs w:val="22"/>
        </w:rPr>
        <w:t>3:12</w:t>
      </w:r>
      <w:r w:rsidR="00C91451" w:rsidRPr="001005B7">
        <w:rPr>
          <w:sz w:val="22"/>
          <w:szCs w:val="22"/>
        </w:rPr>
        <w:t xml:space="preserve">. </w:t>
      </w:r>
      <w:r w:rsidR="006F3308" w:rsidRPr="001005B7">
        <w:rPr>
          <w:sz w:val="22"/>
          <w:szCs w:val="22"/>
        </w:rPr>
        <w:t xml:space="preserve">The provision of a date </w:t>
      </w:r>
      <w:r w:rsidR="00E31073" w:rsidRPr="001005B7">
        <w:rPr>
          <w:sz w:val="22"/>
          <w:szCs w:val="22"/>
        </w:rPr>
        <w:t xml:space="preserve">for a message coming </w:t>
      </w:r>
      <w:r w:rsidR="006F3308" w:rsidRPr="001005B7">
        <w:rPr>
          <w:sz w:val="22"/>
          <w:szCs w:val="22"/>
        </w:rPr>
        <w:t>compares with Jer 1:</w:t>
      </w:r>
      <w:r w:rsidR="00387C8D" w:rsidRPr="001005B7">
        <w:rPr>
          <w:sz w:val="22"/>
          <w:szCs w:val="22"/>
        </w:rPr>
        <w:t>1</w:t>
      </w:r>
      <w:r w:rsidR="00F46900" w:rsidRPr="001005B7">
        <w:rPr>
          <w:sz w:val="22"/>
          <w:szCs w:val="22"/>
        </w:rPr>
        <w:t>–</w:t>
      </w:r>
      <w:r w:rsidR="00387C8D" w:rsidRPr="001005B7">
        <w:rPr>
          <w:sz w:val="22"/>
          <w:szCs w:val="22"/>
        </w:rPr>
        <w:t>2</w:t>
      </w:r>
      <w:r w:rsidR="00A1575F" w:rsidRPr="001005B7">
        <w:rPr>
          <w:sz w:val="22"/>
          <w:szCs w:val="22"/>
        </w:rPr>
        <w:t>; Hag 1:</w:t>
      </w:r>
      <w:r w:rsidR="009B0C2A" w:rsidRPr="001005B7">
        <w:rPr>
          <w:sz w:val="22"/>
          <w:szCs w:val="22"/>
        </w:rPr>
        <w:t>1; Zech 1:1</w:t>
      </w:r>
      <w:r w:rsidR="00134B97" w:rsidRPr="001005B7">
        <w:rPr>
          <w:sz w:val="22"/>
          <w:szCs w:val="22"/>
        </w:rPr>
        <w:t>. T</w:t>
      </w:r>
      <w:r w:rsidR="009B0C2A" w:rsidRPr="001005B7">
        <w:rPr>
          <w:sz w:val="22"/>
          <w:szCs w:val="22"/>
        </w:rPr>
        <w:t>hese three prophets</w:t>
      </w:r>
      <w:r w:rsidR="00387C8D" w:rsidRPr="001005B7">
        <w:rPr>
          <w:sz w:val="22"/>
          <w:szCs w:val="22"/>
        </w:rPr>
        <w:t xml:space="preserve"> </w:t>
      </w:r>
      <w:r w:rsidR="0053371C" w:rsidRPr="001005B7">
        <w:rPr>
          <w:sz w:val="22"/>
          <w:szCs w:val="22"/>
        </w:rPr>
        <w:t>also sometimes give dates for subsequent messages, like Ezekiel</w:t>
      </w:r>
      <w:r w:rsidR="00166343" w:rsidRPr="001005B7">
        <w:rPr>
          <w:sz w:val="22"/>
          <w:szCs w:val="22"/>
        </w:rPr>
        <w:t>.</w:t>
      </w:r>
      <w:r w:rsidR="007473AE" w:rsidRPr="001005B7">
        <w:rPr>
          <w:sz w:val="22"/>
          <w:szCs w:val="22"/>
        </w:rPr>
        <w:t xml:space="preserve"> </w:t>
      </w:r>
      <w:r w:rsidR="00F44478" w:rsidRPr="001005B7">
        <w:rPr>
          <w:sz w:val="22"/>
          <w:szCs w:val="22"/>
        </w:rPr>
        <w:t>As i</w:t>
      </w:r>
      <w:r w:rsidR="00134B97" w:rsidRPr="001005B7">
        <w:rPr>
          <w:sz w:val="22"/>
          <w:szCs w:val="22"/>
        </w:rPr>
        <w:t>n</w:t>
      </w:r>
      <w:r w:rsidR="00F44478" w:rsidRPr="001005B7">
        <w:rPr>
          <w:sz w:val="22"/>
          <w:szCs w:val="22"/>
        </w:rPr>
        <w:t xml:space="preserve"> the</w:t>
      </w:r>
      <w:r w:rsidR="00134B97" w:rsidRPr="001005B7">
        <w:rPr>
          <w:sz w:val="22"/>
          <w:szCs w:val="22"/>
        </w:rPr>
        <w:t>ir</w:t>
      </w:r>
      <w:r w:rsidR="00F44478" w:rsidRPr="001005B7">
        <w:rPr>
          <w:sz w:val="22"/>
          <w:szCs w:val="22"/>
        </w:rPr>
        <w:t xml:space="preserve"> case, </w:t>
      </w:r>
      <w:r w:rsidR="008D50DF" w:rsidRPr="001005B7">
        <w:rPr>
          <w:sz w:val="22"/>
          <w:szCs w:val="22"/>
        </w:rPr>
        <w:t>th</w:t>
      </w:r>
      <w:r w:rsidR="001C4BE4" w:rsidRPr="001005B7">
        <w:rPr>
          <w:sz w:val="22"/>
          <w:szCs w:val="22"/>
        </w:rPr>
        <w:t>e</w:t>
      </w:r>
      <w:r w:rsidR="008D50DF" w:rsidRPr="001005B7">
        <w:rPr>
          <w:sz w:val="22"/>
          <w:szCs w:val="22"/>
        </w:rPr>
        <w:t xml:space="preserve"> date </w:t>
      </w:r>
      <w:r w:rsidR="009C422B" w:rsidRPr="001005B7">
        <w:rPr>
          <w:sz w:val="22"/>
          <w:szCs w:val="22"/>
        </w:rPr>
        <w:t xml:space="preserve">may </w:t>
      </w:r>
      <w:r w:rsidR="00AA091F" w:rsidRPr="001005B7">
        <w:rPr>
          <w:sz w:val="22"/>
          <w:szCs w:val="22"/>
        </w:rPr>
        <w:t xml:space="preserve">have significance beyond </w:t>
      </w:r>
      <w:r w:rsidR="009029BF" w:rsidRPr="001005B7">
        <w:rPr>
          <w:sz w:val="22"/>
          <w:szCs w:val="22"/>
        </w:rPr>
        <w:t>simply fixing the even</w:t>
      </w:r>
      <w:r w:rsidR="0093059A" w:rsidRPr="001005B7">
        <w:rPr>
          <w:sz w:val="22"/>
          <w:szCs w:val="22"/>
        </w:rPr>
        <w:t>t</w:t>
      </w:r>
      <w:r w:rsidR="009029BF" w:rsidRPr="001005B7">
        <w:rPr>
          <w:sz w:val="22"/>
          <w:szCs w:val="22"/>
        </w:rPr>
        <w:t xml:space="preserve"> chronologically</w:t>
      </w:r>
      <w:r w:rsidR="00CC4986" w:rsidRPr="001005B7">
        <w:rPr>
          <w:sz w:val="22"/>
          <w:szCs w:val="22"/>
        </w:rPr>
        <w:t>.</w:t>
      </w:r>
      <w:r w:rsidR="009029BF" w:rsidRPr="001005B7">
        <w:rPr>
          <w:sz w:val="22"/>
          <w:szCs w:val="22"/>
        </w:rPr>
        <w:t xml:space="preserve"> </w:t>
      </w:r>
      <w:r w:rsidR="003107FE" w:rsidRPr="001005B7">
        <w:rPr>
          <w:sz w:val="22"/>
          <w:szCs w:val="22"/>
        </w:rPr>
        <w:t>Jeremiah’s clash with Hananiah and a</w:t>
      </w:r>
      <w:r w:rsidR="000E24EA" w:rsidRPr="001005B7">
        <w:rPr>
          <w:sz w:val="22"/>
          <w:szCs w:val="22"/>
        </w:rPr>
        <w:t xml:space="preserve"> visit by </w:t>
      </w:r>
      <w:r w:rsidR="009029BF" w:rsidRPr="001005B7">
        <w:rPr>
          <w:sz w:val="22"/>
          <w:szCs w:val="22"/>
        </w:rPr>
        <w:t xml:space="preserve">Zedekiah </w:t>
      </w:r>
      <w:r w:rsidR="004814FC" w:rsidRPr="001005B7">
        <w:rPr>
          <w:sz w:val="22"/>
          <w:szCs w:val="22"/>
        </w:rPr>
        <w:t>to Babylo</w:t>
      </w:r>
      <w:r w:rsidR="000E24EA" w:rsidRPr="001005B7">
        <w:rPr>
          <w:sz w:val="22"/>
          <w:szCs w:val="22"/>
        </w:rPr>
        <w:t>n</w:t>
      </w:r>
      <w:r w:rsidR="00E10C99" w:rsidRPr="001005B7">
        <w:rPr>
          <w:sz w:val="22"/>
          <w:szCs w:val="22"/>
        </w:rPr>
        <w:t xml:space="preserve"> </w:t>
      </w:r>
      <w:r w:rsidR="009C4A78" w:rsidRPr="001005B7">
        <w:rPr>
          <w:sz w:val="22"/>
          <w:szCs w:val="22"/>
        </w:rPr>
        <w:t xml:space="preserve">happened </w:t>
      </w:r>
      <w:r w:rsidR="00E10C99" w:rsidRPr="001005B7">
        <w:rPr>
          <w:sz w:val="22"/>
          <w:szCs w:val="22"/>
        </w:rPr>
        <w:t xml:space="preserve">at </w:t>
      </w:r>
      <w:r w:rsidR="009C4A78" w:rsidRPr="001005B7">
        <w:rPr>
          <w:sz w:val="22"/>
          <w:szCs w:val="22"/>
        </w:rPr>
        <w:t xml:space="preserve">about </w:t>
      </w:r>
      <w:r w:rsidR="00E10C99" w:rsidRPr="001005B7">
        <w:rPr>
          <w:sz w:val="22"/>
          <w:szCs w:val="22"/>
        </w:rPr>
        <w:t>this time</w:t>
      </w:r>
      <w:r w:rsidR="00A61D5E" w:rsidRPr="001005B7">
        <w:rPr>
          <w:sz w:val="22"/>
          <w:szCs w:val="22"/>
        </w:rPr>
        <w:t xml:space="preserve"> (Jer 28:1; 51:59).</w:t>
      </w:r>
      <w:r w:rsidR="006B7E83" w:rsidRPr="001005B7">
        <w:rPr>
          <w:sz w:val="22"/>
          <w:szCs w:val="22"/>
        </w:rPr>
        <w:t xml:space="preserve"> It wouldn’t be surprising if hopes </w:t>
      </w:r>
      <w:r w:rsidR="000D24E0" w:rsidRPr="001005B7">
        <w:rPr>
          <w:sz w:val="22"/>
          <w:szCs w:val="22"/>
        </w:rPr>
        <w:t xml:space="preserve">for a speedy return home </w:t>
      </w:r>
      <w:r w:rsidR="006B7E83" w:rsidRPr="001005B7">
        <w:rPr>
          <w:sz w:val="22"/>
          <w:szCs w:val="22"/>
        </w:rPr>
        <w:t xml:space="preserve">were high among </w:t>
      </w:r>
      <w:r w:rsidR="003E3F40" w:rsidRPr="001005B7">
        <w:rPr>
          <w:sz w:val="22"/>
          <w:szCs w:val="22"/>
        </w:rPr>
        <w:t xml:space="preserve">some of </w:t>
      </w:r>
      <w:r w:rsidR="006B7E83" w:rsidRPr="001005B7">
        <w:rPr>
          <w:sz w:val="22"/>
          <w:szCs w:val="22"/>
        </w:rPr>
        <w:t xml:space="preserve">the </w:t>
      </w:r>
      <w:r w:rsidR="00854362" w:rsidRPr="001005B7">
        <w:rPr>
          <w:sz w:val="22"/>
          <w:szCs w:val="22"/>
        </w:rPr>
        <w:t>displaced Judahites</w:t>
      </w:r>
      <w:r w:rsidR="006B7E83" w:rsidRPr="001005B7">
        <w:rPr>
          <w:sz w:val="22"/>
          <w:szCs w:val="22"/>
        </w:rPr>
        <w:t xml:space="preserve"> </w:t>
      </w:r>
      <w:r w:rsidR="006E3639" w:rsidRPr="001005B7">
        <w:rPr>
          <w:sz w:val="22"/>
          <w:szCs w:val="22"/>
        </w:rPr>
        <w:t>(cf. Jer 29)</w:t>
      </w:r>
      <w:r w:rsidR="00F3568C" w:rsidRPr="001005B7">
        <w:rPr>
          <w:sz w:val="22"/>
          <w:szCs w:val="22"/>
        </w:rPr>
        <w:t>, especially</w:t>
      </w:r>
      <w:r w:rsidR="000D24E0" w:rsidRPr="001005B7">
        <w:rPr>
          <w:sz w:val="22"/>
          <w:szCs w:val="22"/>
        </w:rPr>
        <w:t xml:space="preserve"> </w:t>
      </w:r>
      <w:r w:rsidR="00F3568C" w:rsidRPr="001005B7">
        <w:rPr>
          <w:sz w:val="22"/>
          <w:szCs w:val="22"/>
        </w:rPr>
        <w:t xml:space="preserve">if they knew they were </w:t>
      </w:r>
      <w:r w:rsidR="009E2FF0" w:rsidRPr="001005B7">
        <w:rPr>
          <w:sz w:val="22"/>
          <w:szCs w:val="22"/>
        </w:rPr>
        <w:t xml:space="preserve">the </w:t>
      </w:r>
      <w:r w:rsidR="00F3568C" w:rsidRPr="001005B7">
        <w:rPr>
          <w:sz w:val="22"/>
          <w:szCs w:val="22"/>
        </w:rPr>
        <w:t>good figs</w:t>
      </w:r>
      <w:r w:rsidR="003E3F40" w:rsidRPr="001005B7">
        <w:rPr>
          <w:sz w:val="22"/>
          <w:szCs w:val="22"/>
        </w:rPr>
        <w:t xml:space="preserve"> </w:t>
      </w:r>
      <w:r w:rsidR="00F3568C" w:rsidRPr="001005B7">
        <w:rPr>
          <w:sz w:val="22"/>
          <w:szCs w:val="22"/>
        </w:rPr>
        <w:t>(</w:t>
      </w:r>
      <w:r w:rsidR="00B400ED" w:rsidRPr="001005B7">
        <w:rPr>
          <w:sz w:val="22"/>
          <w:szCs w:val="22"/>
        </w:rPr>
        <w:t xml:space="preserve">see </w:t>
      </w:r>
      <w:r w:rsidR="00F3568C" w:rsidRPr="001005B7">
        <w:rPr>
          <w:sz w:val="22"/>
          <w:szCs w:val="22"/>
        </w:rPr>
        <w:t xml:space="preserve">Jer 24), </w:t>
      </w:r>
      <w:r w:rsidR="00E530D1" w:rsidRPr="001005B7">
        <w:rPr>
          <w:sz w:val="22"/>
          <w:szCs w:val="22"/>
        </w:rPr>
        <w:t xml:space="preserve">and </w:t>
      </w:r>
      <w:r w:rsidR="003E3F40" w:rsidRPr="001005B7">
        <w:rPr>
          <w:sz w:val="22"/>
          <w:szCs w:val="22"/>
        </w:rPr>
        <w:t xml:space="preserve">even if some were </w:t>
      </w:r>
      <w:r w:rsidR="00F90389" w:rsidRPr="001005B7">
        <w:rPr>
          <w:sz w:val="22"/>
          <w:szCs w:val="22"/>
        </w:rPr>
        <w:t>weeping by the waterways (</w:t>
      </w:r>
      <w:proofErr w:type="spellStart"/>
      <w:r w:rsidR="00F90389" w:rsidRPr="001005B7">
        <w:rPr>
          <w:sz w:val="22"/>
          <w:szCs w:val="22"/>
        </w:rPr>
        <w:t>Ps</w:t>
      </w:r>
      <w:r w:rsidR="003C7039" w:rsidRPr="001005B7">
        <w:rPr>
          <w:sz w:val="22"/>
          <w:szCs w:val="22"/>
        </w:rPr>
        <w:t>a</w:t>
      </w:r>
      <w:proofErr w:type="spellEnd"/>
      <w:r w:rsidR="00F90389" w:rsidRPr="001005B7">
        <w:rPr>
          <w:sz w:val="22"/>
          <w:szCs w:val="22"/>
        </w:rPr>
        <w:t xml:space="preserve"> 137)</w:t>
      </w:r>
      <w:r w:rsidR="00810677" w:rsidRPr="001005B7">
        <w:rPr>
          <w:sz w:val="22"/>
          <w:szCs w:val="22"/>
        </w:rPr>
        <w:t xml:space="preserve">. </w:t>
      </w:r>
      <w:r w:rsidR="00AC1296" w:rsidRPr="001005B7">
        <w:rPr>
          <w:sz w:val="22"/>
          <w:szCs w:val="22"/>
        </w:rPr>
        <w:t xml:space="preserve">For </w:t>
      </w:r>
      <w:r w:rsidR="00A16163" w:rsidRPr="001005B7">
        <w:rPr>
          <w:sz w:val="22"/>
          <w:szCs w:val="22"/>
        </w:rPr>
        <w:t xml:space="preserve">Ezekiel, </w:t>
      </w:r>
      <w:r w:rsidR="00A16163" w:rsidRPr="001005B7">
        <w:rPr>
          <w:rFonts w:ascii="Calibri" w:hAnsi="Calibri" w:cs="Calibri"/>
          <w:sz w:val="22"/>
          <w:szCs w:val="22"/>
        </w:rPr>
        <w:t>w</w:t>
      </w:r>
      <w:r w:rsidR="00030748" w:rsidRPr="001005B7">
        <w:rPr>
          <w:rFonts w:ascii="Calibri" w:hAnsi="Calibri" w:cs="Calibri"/>
          <w:sz w:val="22"/>
          <w:szCs w:val="22"/>
        </w:rPr>
        <w:t>ith some parallel to the experience of Stephen and John,</w:t>
      </w:r>
      <w:r w:rsidR="00E82180" w:rsidRPr="001005B7">
        <w:rPr>
          <w:rFonts w:ascii="Calibri" w:hAnsi="Calibri" w:cs="Calibri"/>
          <w:sz w:val="22"/>
          <w:szCs w:val="22"/>
        </w:rPr>
        <w:t xml:space="preserve"> perhaps the heavens open</w:t>
      </w:r>
      <w:r w:rsidR="00030748" w:rsidRPr="001005B7">
        <w:rPr>
          <w:rFonts w:ascii="Calibri" w:hAnsi="Calibri" w:cs="Calibri"/>
          <w:sz w:val="22"/>
          <w:szCs w:val="22"/>
        </w:rPr>
        <w:t xml:space="preserve"> </w:t>
      </w:r>
      <w:r w:rsidR="00F70188" w:rsidRPr="001005B7">
        <w:rPr>
          <w:rFonts w:ascii="Calibri" w:hAnsi="Calibri" w:cs="Calibri"/>
          <w:sz w:val="22"/>
          <w:szCs w:val="22"/>
        </w:rPr>
        <w:t xml:space="preserve">partly </w:t>
      </w:r>
      <w:r w:rsidR="00030748" w:rsidRPr="001005B7">
        <w:rPr>
          <w:rFonts w:ascii="Calibri" w:hAnsi="Calibri" w:cs="Calibri"/>
          <w:sz w:val="22"/>
          <w:szCs w:val="22"/>
        </w:rPr>
        <w:t>“that he might not feel the pains of the captivity. Below he sees troubles, but above, when he lifts up his eyes, he takes in ‘the heavens opened’”</w:t>
      </w:r>
      <w:r w:rsidR="00850F06" w:rsidRPr="001005B7">
        <w:rPr>
          <w:rFonts w:ascii="Calibri" w:hAnsi="Calibri" w:cs="Calibri"/>
          <w:sz w:val="22"/>
          <w:szCs w:val="22"/>
        </w:rPr>
        <w:t xml:space="preserve"> (</w:t>
      </w:r>
      <w:r w:rsidR="00850F06" w:rsidRPr="001005B7">
        <w:rPr>
          <w:sz w:val="22"/>
          <w:szCs w:val="22"/>
        </w:rPr>
        <w:t>Origen</w:t>
      </w:r>
      <w:r w:rsidR="0098509E" w:rsidRPr="001005B7">
        <w:rPr>
          <w:sz w:val="22"/>
          <w:szCs w:val="22"/>
        </w:rPr>
        <w:t xml:space="preserve"> </w:t>
      </w:r>
      <w:r w:rsidR="00FC79C0">
        <w:rPr>
          <w:sz w:val="22"/>
          <w:szCs w:val="22"/>
        </w:rPr>
        <w:t>[</w:t>
      </w:r>
      <w:r w:rsidR="004C66F0" w:rsidRPr="001005B7">
        <w:rPr>
          <w:sz w:val="22"/>
          <w:szCs w:val="22"/>
        </w:rPr>
        <w:t>Homily 3:1</w:t>
      </w:r>
      <w:r w:rsidR="00FC79C0">
        <w:rPr>
          <w:sz w:val="22"/>
          <w:szCs w:val="22"/>
        </w:rPr>
        <w:t>]</w:t>
      </w:r>
      <w:r w:rsidR="004C66F0" w:rsidRPr="001005B7">
        <w:rPr>
          <w:sz w:val="22"/>
          <w:szCs w:val="22"/>
        </w:rPr>
        <w:t>, 17</w:t>
      </w:r>
      <w:r w:rsidR="007D6194" w:rsidRPr="001005B7">
        <w:rPr>
          <w:sz w:val="22"/>
          <w:szCs w:val="22"/>
        </w:rPr>
        <w:t>).</w:t>
      </w:r>
      <w:r w:rsidR="00030748" w:rsidRPr="001005B7">
        <w:rPr>
          <w:rFonts w:ascii="Calibri" w:hAnsi="Calibri" w:cs="Calibri"/>
          <w:sz w:val="22"/>
          <w:szCs w:val="22"/>
        </w:rPr>
        <w:t xml:space="preserve"> </w:t>
      </w:r>
      <w:r w:rsidR="00D27AA2" w:rsidRPr="001005B7">
        <w:rPr>
          <w:sz w:val="22"/>
          <w:szCs w:val="22"/>
        </w:rPr>
        <w:t>The date</w:t>
      </w:r>
      <w:r w:rsidR="002F48C6" w:rsidRPr="001005B7">
        <w:rPr>
          <w:sz w:val="22"/>
          <w:szCs w:val="22"/>
        </w:rPr>
        <w:t xml:space="preserve"> with </w:t>
      </w:r>
      <w:r w:rsidR="00A91A6A" w:rsidRPr="001005B7">
        <w:rPr>
          <w:sz w:val="22"/>
          <w:szCs w:val="22"/>
        </w:rPr>
        <w:t xml:space="preserve">its </w:t>
      </w:r>
      <w:r w:rsidR="002F48C6" w:rsidRPr="001005B7">
        <w:rPr>
          <w:sz w:val="22"/>
          <w:szCs w:val="22"/>
        </w:rPr>
        <w:t xml:space="preserve">reference to Jehoiachin </w:t>
      </w:r>
      <w:r w:rsidR="00A91A6A" w:rsidRPr="001005B7">
        <w:rPr>
          <w:sz w:val="22"/>
          <w:szCs w:val="22"/>
        </w:rPr>
        <w:t xml:space="preserve">also </w:t>
      </w:r>
      <w:r w:rsidR="00D611FF" w:rsidRPr="001005B7">
        <w:rPr>
          <w:sz w:val="22"/>
          <w:szCs w:val="22"/>
        </w:rPr>
        <w:t>arou</w:t>
      </w:r>
      <w:r w:rsidR="00604670" w:rsidRPr="001005B7">
        <w:rPr>
          <w:sz w:val="22"/>
          <w:szCs w:val="22"/>
        </w:rPr>
        <w:t>ses wondering about</w:t>
      </w:r>
      <w:r w:rsidR="002F48C6" w:rsidRPr="001005B7">
        <w:rPr>
          <w:sz w:val="22"/>
          <w:szCs w:val="22"/>
        </w:rPr>
        <w:t xml:space="preserve"> the relationship between Jehoi</w:t>
      </w:r>
      <w:r w:rsidR="00AD543D" w:rsidRPr="001005B7">
        <w:rPr>
          <w:sz w:val="22"/>
          <w:szCs w:val="22"/>
        </w:rPr>
        <w:t>a</w:t>
      </w:r>
      <w:r w:rsidR="002F48C6" w:rsidRPr="001005B7">
        <w:rPr>
          <w:sz w:val="22"/>
          <w:szCs w:val="22"/>
        </w:rPr>
        <w:t>chin in Babylon and Zedekiah in Jerusalem</w:t>
      </w:r>
      <w:r w:rsidR="000663EE" w:rsidRPr="001005B7">
        <w:rPr>
          <w:sz w:val="22"/>
          <w:szCs w:val="22"/>
        </w:rPr>
        <w:t>. Ezek</w:t>
      </w:r>
      <w:r w:rsidR="009866AA" w:rsidRPr="001005B7">
        <w:rPr>
          <w:sz w:val="22"/>
          <w:szCs w:val="22"/>
        </w:rPr>
        <w:t xml:space="preserve"> </w:t>
      </w:r>
      <w:r w:rsidR="00007A37" w:rsidRPr="001005B7">
        <w:rPr>
          <w:sz w:val="22"/>
          <w:szCs w:val="22"/>
        </w:rPr>
        <w:t xml:space="preserve">17:12 </w:t>
      </w:r>
      <w:r w:rsidR="00AD543D" w:rsidRPr="001005B7">
        <w:rPr>
          <w:sz w:val="22"/>
          <w:szCs w:val="22"/>
        </w:rPr>
        <w:t xml:space="preserve">refers to Jehoiachin </w:t>
      </w:r>
      <w:r w:rsidR="00871953" w:rsidRPr="001005B7">
        <w:rPr>
          <w:sz w:val="22"/>
          <w:szCs w:val="22"/>
        </w:rPr>
        <w:t xml:space="preserve">as king </w:t>
      </w:r>
      <w:r w:rsidR="00AD543D" w:rsidRPr="001005B7">
        <w:rPr>
          <w:sz w:val="22"/>
          <w:szCs w:val="22"/>
        </w:rPr>
        <w:t xml:space="preserve">and 7:27 to Zedekiah </w:t>
      </w:r>
      <w:r w:rsidR="009866AA" w:rsidRPr="001005B7">
        <w:rPr>
          <w:sz w:val="22"/>
          <w:szCs w:val="22"/>
        </w:rPr>
        <w:t>as king</w:t>
      </w:r>
      <w:r w:rsidR="00AD543D" w:rsidRPr="001005B7">
        <w:rPr>
          <w:sz w:val="22"/>
          <w:szCs w:val="22"/>
        </w:rPr>
        <w:t>.</w:t>
      </w:r>
      <w:r w:rsidR="00871953" w:rsidRPr="001005B7">
        <w:rPr>
          <w:sz w:val="22"/>
          <w:szCs w:val="22"/>
        </w:rPr>
        <w:t xml:space="preserve"> Ezekiel, like Jeremiah,</w:t>
      </w:r>
      <w:r w:rsidR="00C52FED" w:rsidRPr="001005B7">
        <w:rPr>
          <w:sz w:val="22"/>
          <w:szCs w:val="22"/>
        </w:rPr>
        <w:t xml:space="preserve"> however,</w:t>
      </w:r>
      <w:r w:rsidR="00871953" w:rsidRPr="001005B7">
        <w:rPr>
          <w:sz w:val="22"/>
          <w:szCs w:val="22"/>
        </w:rPr>
        <w:t xml:space="preserve"> might be pr</w:t>
      </w:r>
      <w:r w:rsidR="00E218FD" w:rsidRPr="001005B7">
        <w:rPr>
          <w:sz w:val="22"/>
          <w:szCs w:val="22"/>
        </w:rPr>
        <w:t>epared to declare</w:t>
      </w:r>
      <w:r w:rsidR="003B3FFB" w:rsidRPr="001005B7">
        <w:rPr>
          <w:sz w:val="22"/>
          <w:szCs w:val="22"/>
        </w:rPr>
        <w:t xml:space="preserve"> “a plague o</w:t>
      </w:r>
      <w:r w:rsidR="00A72D34" w:rsidRPr="001005B7">
        <w:rPr>
          <w:sz w:val="22"/>
          <w:szCs w:val="22"/>
        </w:rPr>
        <w:t>’</w:t>
      </w:r>
      <w:r w:rsidR="003B3FFB" w:rsidRPr="001005B7">
        <w:rPr>
          <w:sz w:val="22"/>
          <w:szCs w:val="22"/>
        </w:rPr>
        <w:t xml:space="preserve"> both your houses</w:t>
      </w:r>
      <w:r w:rsidR="005E5D63" w:rsidRPr="001005B7">
        <w:rPr>
          <w:sz w:val="22"/>
          <w:szCs w:val="22"/>
        </w:rPr>
        <w:t>.”</w:t>
      </w:r>
      <w:r w:rsidR="00A72D34" w:rsidRPr="001005B7">
        <w:rPr>
          <w:rStyle w:val="FootnoteReference"/>
          <w:sz w:val="22"/>
          <w:szCs w:val="22"/>
        </w:rPr>
        <w:footnoteReference w:id="91"/>
      </w:r>
      <w:r w:rsidR="00871953" w:rsidRPr="001005B7">
        <w:rPr>
          <w:sz w:val="22"/>
          <w:szCs w:val="22"/>
        </w:rPr>
        <w:t xml:space="preserve"> </w:t>
      </w:r>
    </w:p>
    <w:p w14:paraId="3F3DE279" w14:textId="7B11E585" w:rsidR="00E8529C" w:rsidRPr="001005B7" w:rsidRDefault="00EB72D4" w:rsidP="00D47105">
      <w:r w:rsidRPr="001005B7">
        <w:rPr>
          <w:b/>
          <w:bCs/>
        </w:rPr>
        <w:t>1:</w:t>
      </w:r>
      <w:r w:rsidR="008021DC" w:rsidRPr="001005B7">
        <w:rPr>
          <w:b/>
          <w:bCs/>
        </w:rPr>
        <w:t xml:space="preserve">3 </w:t>
      </w:r>
      <w:r w:rsidR="00D63D21" w:rsidRPr="001005B7">
        <w:t>“</w:t>
      </w:r>
      <w:r w:rsidR="0062674E" w:rsidRPr="001005B7">
        <w:t xml:space="preserve">Yahweh’s </w:t>
      </w:r>
      <w:r w:rsidR="00051A6D" w:rsidRPr="001005B7">
        <w:t>message</w:t>
      </w:r>
      <w:r w:rsidR="0062674E" w:rsidRPr="001005B7">
        <w:t xml:space="preserve"> </w:t>
      </w:r>
      <w:r w:rsidR="00994436" w:rsidRPr="001005B7">
        <w:t>indeed</w:t>
      </w:r>
      <w:r w:rsidR="00071080" w:rsidRPr="001005B7">
        <w:t xml:space="preserve"> </w:t>
      </w:r>
      <w:r w:rsidR="0062674E" w:rsidRPr="001005B7">
        <w:t>came</w:t>
      </w:r>
      <w:r w:rsidR="00476BBA" w:rsidRPr="001005B7">
        <w:t xml:space="preserve"> to Ezekiel</w:t>
      </w:r>
      <w:r w:rsidR="005D55D0" w:rsidRPr="001005B7">
        <w:t>”</w:t>
      </w:r>
      <w:r w:rsidR="006337DF" w:rsidRPr="001005B7">
        <w:t xml:space="preserve"> is a variant </w:t>
      </w:r>
      <w:r w:rsidR="004166BC" w:rsidRPr="001005B7">
        <w:t xml:space="preserve">on a standard expression in Ezekiel </w:t>
      </w:r>
      <w:r w:rsidR="00516A15" w:rsidRPr="001005B7">
        <w:t>(</w:t>
      </w:r>
      <w:r w:rsidR="006E7E5A" w:rsidRPr="001005B7">
        <w:t>e.g.,</w:t>
      </w:r>
      <w:r w:rsidR="00516A15" w:rsidRPr="001005B7">
        <w:t xml:space="preserve"> 3:16</w:t>
      </w:r>
      <w:r w:rsidR="006E7E5A" w:rsidRPr="001005B7">
        <w:t>; 6:</w:t>
      </w:r>
      <w:r w:rsidR="004E2783" w:rsidRPr="001005B7">
        <w:t>1; 7:1</w:t>
      </w:r>
      <w:r w:rsidR="008B114F" w:rsidRPr="001005B7">
        <w:t>; 11:14)</w:t>
      </w:r>
      <w:r w:rsidR="00204EBD" w:rsidRPr="001005B7">
        <w:t xml:space="preserve"> and Jeremiah</w:t>
      </w:r>
      <w:r w:rsidR="008F0397" w:rsidRPr="001005B7">
        <w:t xml:space="preserve"> </w:t>
      </w:r>
      <w:r w:rsidR="00862400" w:rsidRPr="001005B7">
        <w:t>(</w:t>
      </w:r>
      <w:r w:rsidR="008F0397" w:rsidRPr="001005B7">
        <w:t>1:4</w:t>
      </w:r>
      <w:r w:rsidR="003A2293" w:rsidRPr="001005B7">
        <w:t>, 11</w:t>
      </w:r>
      <w:r w:rsidR="00862400" w:rsidRPr="001005B7">
        <w:t>, 13; 2:1)</w:t>
      </w:r>
      <w:r w:rsidR="00476BBA" w:rsidRPr="001005B7">
        <w:rPr>
          <w:i/>
          <w:iCs/>
        </w:rPr>
        <w:t xml:space="preserve">. </w:t>
      </w:r>
      <w:r w:rsidR="00051979" w:rsidRPr="001005B7">
        <w:rPr>
          <w:i/>
          <w:iCs/>
        </w:rPr>
        <w:t>“</w:t>
      </w:r>
      <w:r w:rsidR="002D3C4C" w:rsidRPr="001005B7">
        <w:t>M</w:t>
      </w:r>
      <w:r w:rsidR="00476BBA" w:rsidRPr="001005B7">
        <w:t>essage</w:t>
      </w:r>
      <w:r w:rsidR="00051979" w:rsidRPr="001005B7">
        <w:t>”</w:t>
      </w:r>
      <w:r w:rsidR="00476BBA" w:rsidRPr="001005B7">
        <w:t xml:space="preserve"> is </w:t>
      </w:r>
      <w:r w:rsidR="00820E9A" w:rsidRPr="001005B7">
        <w:rPr>
          <w:rFonts w:cstheme="minorHAnsi"/>
          <w:rtl/>
          <w:lang w:bidi="he-IL"/>
        </w:rPr>
        <w:t>דּ</w:t>
      </w:r>
      <w:r w:rsidR="000B3300" w:rsidRPr="001005B7">
        <w:rPr>
          <w:rFonts w:cstheme="minorHAnsi"/>
          <w:rtl/>
          <w:lang w:bidi="he-IL"/>
        </w:rPr>
        <w:t>ָ</w:t>
      </w:r>
      <w:r w:rsidR="00820E9A" w:rsidRPr="001005B7">
        <w:rPr>
          <w:rFonts w:cstheme="minorHAnsi"/>
          <w:rtl/>
          <w:lang w:bidi="he-IL"/>
        </w:rPr>
        <w:t>ב</w:t>
      </w:r>
      <w:r w:rsidR="00F9648A" w:rsidRPr="001005B7">
        <w:rPr>
          <w:rFonts w:cstheme="minorHAnsi"/>
          <w:rtl/>
          <w:lang w:bidi="he-IL"/>
        </w:rPr>
        <w:t>ַר</w:t>
      </w:r>
      <w:r w:rsidR="00F9648A" w:rsidRPr="001005B7">
        <w:t xml:space="preserve">, </w:t>
      </w:r>
      <w:r w:rsidR="00476BBA" w:rsidRPr="001005B7">
        <w:t>the ordinary term for “wor</w:t>
      </w:r>
      <w:r w:rsidR="00574160" w:rsidRPr="001005B7">
        <w:t>d</w:t>
      </w:r>
      <w:r w:rsidR="00710877" w:rsidRPr="001005B7">
        <w:t>.” Its</w:t>
      </w:r>
      <w:r w:rsidR="000B3300" w:rsidRPr="001005B7">
        <w:t xml:space="preserve"> </w:t>
      </w:r>
      <w:r w:rsidR="00574160" w:rsidRPr="001005B7">
        <w:t xml:space="preserve">use in </w:t>
      </w:r>
      <w:r w:rsidR="00710877" w:rsidRPr="001005B7">
        <w:t>this</w:t>
      </w:r>
      <w:r w:rsidR="00574160" w:rsidRPr="001005B7">
        <w:t xml:space="preserve"> broader sense </w:t>
      </w:r>
      <w:r w:rsidR="001D6B09" w:rsidRPr="001005B7">
        <w:t>will be picked up in (e.g.) John 1:1</w:t>
      </w:r>
      <w:r w:rsidR="009D27C4" w:rsidRPr="001005B7">
        <w:t>, 14; 8:31</w:t>
      </w:r>
      <w:r w:rsidR="00B05BC6" w:rsidRPr="001005B7">
        <w:t xml:space="preserve">; Acts 2:41; </w:t>
      </w:r>
      <w:r w:rsidR="00AB28A1" w:rsidRPr="001005B7">
        <w:t xml:space="preserve">4:31. </w:t>
      </w:r>
      <w:r w:rsidR="00D16312" w:rsidRPr="001005B7">
        <w:t xml:space="preserve">While </w:t>
      </w:r>
      <w:r w:rsidR="000D26DF" w:rsidRPr="001005B7">
        <w:t xml:space="preserve">the First Testament </w:t>
      </w:r>
      <w:r w:rsidR="0012732B" w:rsidRPr="001005B7">
        <w:t xml:space="preserve">sometimes </w:t>
      </w:r>
      <w:r w:rsidR="000D26DF" w:rsidRPr="001005B7">
        <w:t xml:space="preserve">describes </w:t>
      </w:r>
      <w:r w:rsidR="006F053C" w:rsidRPr="001005B7">
        <w:t xml:space="preserve">Yahweh </w:t>
      </w:r>
      <w:r w:rsidR="0012732B" w:rsidRPr="001005B7">
        <w:t>c</w:t>
      </w:r>
      <w:r w:rsidR="006F053C" w:rsidRPr="001005B7">
        <w:t>oming</w:t>
      </w:r>
      <w:r w:rsidR="0012732B" w:rsidRPr="001005B7">
        <w:t xml:space="preserve"> to </w:t>
      </w:r>
      <w:r w:rsidR="00D16312" w:rsidRPr="001005B7">
        <w:t>prophet</w:t>
      </w:r>
      <w:r w:rsidR="006F053C" w:rsidRPr="001005B7">
        <w:t>s</w:t>
      </w:r>
      <w:r w:rsidR="00D16312" w:rsidRPr="001005B7">
        <w:t xml:space="preserve"> </w:t>
      </w:r>
      <w:r w:rsidR="0012732B" w:rsidRPr="001005B7">
        <w:t>and sp</w:t>
      </w:r>
      <w:r w:rsidR="006F053C" w:rsidRPr="001005B7">
        <w:t xml:space="preserve">eaking to </w:t>
      </w:r>
      <w:r w:rsidR="0012732B" w:rsidRPr="001005B7">
        <w:t>them in a person-to-person way,</w:t>
      </w:r>
      <w:r w:rsidR="00AA34E6" w:rsidRPr="001005B7">
        <w:t xml:space="preserve"> </w:t>
      </w:r>
      <w:r w:rsidR="00B46DA0" w:rsidRPr="001005B7">
        <w:t xml:space="preserve">more often </w:t>
      </w:r>
      <w:r w:rsidR="00513797" w:rsidRPr="001005B7">
        <w:t xml:space="preserve">it </w:t>
      </w:r>
      <w:r w:rsidR="000728CB" w:rsidRPr="001005B7">
        <w:t>give</w:t>
      </w:r>
      <w:r w:rsidR="00955500" w:rsidRPr="001005B7">
        <w:t>s the impression of</w:t>
      </w:r>
      <w:r w:rsidR="00AA34E6" w:rsidRPr="001005B7">
        <w:t xml:space="preserve"> a message coming into their heads</w:t>
      </w:r>
      <w:r w:rsidR="008B114F" w:rsidRPr="001005B7">
        <w:t>.</w:t>
      </w:r>
      <w:r w:rsidR="00AE71C7" w:rsidRPr="001005B7">
        <w:t xml:space="preserve"> </w:t>
      </w:r>
      <w:r w:rsidR="00AB28A1" w:rsidRPr="001005B7">
        <w:t>The emphatic expression</w:t>
      </w:r>
      <w:r w:rsidR="00F65197" w:rsidRPr="001005B7">
        <w:t xml:space="preserve"> “indeed</w:t>
      </w:r>
      <w:r w:rsidR="00AB28A1" w:rsidRPr="001005B7">
        <w:rPr>
          <w:i/>
          <w:iCs/>
        </w:rPr>
        <w:t xml:space="preserve"> </w:t>
      </w:r>
      <w:r w:rsidR="00AB28A1" w:rsidRPr="001005B7">
        <w:t>came</w:t>
      </w:r>
      <w:r w:rsidR="00F65197" w:rsidRPr="001005B7">
        <w:t>”</w:t>
      </w:r>
      <w:r w:rsidR="00AB28A1" w:rsidRPr="001005B7">
        <w:rPr>
          <w:i/>
          <w:iCs/>
        </w:rPr>
        <w:t xml:space="preserve"> </w:t>
      </w:r>
      <w:r w:rsidR="00AB28A1" w:rsidRPr="001005B7">
        <w:t>(</w:t>
      </w:r>
      <w:r w:rsidR="00F62797" w:rsidRPr="001005B7">
        <w:rPr>
          <w:rFonts w:cstheme="minorHAnsi"/>
          <w:rtl/>
          <w:lang w:bidi="he-IL"/>
        </w:rPr>
        <w:t>הׇיֹה</w:t>
      </w:r>
      <w:r w:rsidR="00BD7298" w:rsidRPr="001005B7">
        <w:rPr>
          <w:rFonts w:cstheme="minorHAnsi"/>
          <w:rtl/>
          <w:lang w:bidi="he-IL"/>
        </w:rPr>
        <w:t xml:space="preserve"> </w:t>
      </w:r>
      <w:r w:rsidR="00F62797" w:rsidRPr="001005B7">
        <w:rPr>
          <w:rFonts w:cstheme="minorHAnsi"/>
          <w:rtl/>
          <w:lang w:bidi="he-IL"/>
        </w:rPr>
        <w:t>הׇיׇה</w:t>
      </w:r>
      <w:r w:rsidR="00BD7298" w:rsidRPr="001005B7">
        <w:t xml:space="preserve">, </w:t>
      </w:r>
      <w:r w:rsidR="003D3498" w:rsidRPr="001005B7">
        <w:t xml:space="preserve">more </w:t>
      </w:r>
      <w:r w:rsidR="00AB28A1" w:rsidRPr="001005B7">
        <w:t xml:space="preserve">literally, </w:t>
      </w:r>
      <w:r w:rsidR="0077716F" w:rsidRPr="001005B7">
        <w:t>“</w:t>
      </w:r>
      <w:r w:rsidR="00F65197" w:rsidRPr="001005B7">
        <w:t xml:space="preserve">in </w:t>
      </w:r>
      <w:r w:rsidR="00411FC0" w:rsidRPr="001005B7">
        <w:t>happening</w:t>
      </w:r>
      <w:r w:rsidR="00DD4B8D" w:rsidRPr="001005B7">
        <w:t xml:space="preserve"> </w:t>
      </w:r>
      <w:r w:rsidR="0077716F" w:rsidRPr="001005B7">
        <w:t>happene</w:t>
      </w:r>
      <w:r w:rsidR="003D3498" w:rsidRPr="001005B7">
        <w:t>d</w:t>
      </w:r>
      <w:r w:rsidR="008F2622" w:rsidRPr="001005B7">
        <w:t>”</w:t>
      </w:r>
      <w:r w:rsidR="0077716F" w:rsidRPr="001005B7">
        <w:t>)</w:t>
      </w:r>
      <w:r w:rsidR="00DD4B8D" w:rsidRPr="001005B7">
        <w:t xml:space="preserve"> draw</w:t>
      </w:r>
      <w:r w:rsidR="008D3D17" w:rsidRPr="001005B7">
        <w:t>s</w:t>
      </w:r>
      <w:r w:rsidR="00DD4B8D" w:rsidRPr="001005B7">
        <w:t xml:space="preserve"> readers’ attention to the really important event in </w:t>
      </w:r>
      <w:r w:rsidR="002F2A01" w:rsidRPr="001005B7">
        <w:t>the chapters that will follow</w:t>
      </w:r>
      <w:r w:rsidR="00640870" w:rsidRPr="001005B7">
        <w:t>, which is</w:t>
      </w:r>
      <w:r w:rsidR="002F2A01" w:rsidRPr="001005B7">
        <w:t xml:space="preserve"> not the vision </w:t>
      </w:r>
      <w:r w:rsidR="00411FC0" w:rsidRPr="001005B7">
        <w:t xml:space="preserve">in Ezek 1 </w:t>
      </w:r>
      <w:r w:rsidR="002F2A01" w:rsidRPr="001005B7">
        <w:t>but the message</w:t>
      </w:r>
      <w:r w:rsidR="0044500D" w:rsidRPr="001005B7">
        <w:t xml:space="preserve"> it introduces</w:t>
      </w:r>
      <w:r w:rsidR="002F2A01" w:rsidRPr="001005B7">
        <w:t xml:space="preserve">. </w:t>
      </w:r>
      <w:r w:rsidR="003C49AD" w:rsidRPr="001005B7">
        <w:t>The message’s importance</w:t>
      </w:r>
      <w:r w:rsidR="00672189" w:rsidRPr="001005B7">
        <w:t xml:space="preserve"> </w:t>
      </w:r>
      <w:r w:rsidR="00A03D52" w:rsidRPr="001005B7">
        <w:t xml:space="preserve">is underlined </w:t>
      </w:r>
      <w:r w:rsidR="00672189" w:rsidRPr="001005B7">
        <w:t xml:space="preserve">further </w:t>
      </w:r>
      <w:r w:rsidR="00FC529D" w:rsidRPr="001005B7">
        <w:t>by</w:t>
      </w:r>
      <w:r w:rsidR="00672189" w:rsidRPr="001005B7">
        <w:t xml:space="preserve"> the </w:t>
      </w:r>
      <w:r w:rsidR="0049779B" w:rsidRPr="001005B7">
        <w:t xml:space="preserve">formulation </w:t>
      </w:r>
      <w:r w:rsidR="00051979" w:rsidRPr="001005B7">
        <w:t>“</w:t>
      </w:r>
      <w:r w:rsidR="0049779B" w:rsidRPr="001005B7">
        <w:t>Yahweh’s</w:t>
      </w:r>
      <w:r w:rsidR="0049779B" w:rsidRPr="001005B7">
        <w:rPr>
          <w:i/>
          <w:iCs/>
        </w:rPr>
        <w:t xml:space="preserve"> </w:t>
      </w:r>
      <w:r w:rsidR="0049779B" w:rsidRPr="001005B7">
        <w:t>hand</w:t>
      </w:r>
      <w:r w:rsidR="0049779B" w:rsidRPr="001005B7">
        <w:rPr>
          <w:i/>
          <w:iCs/>
        </w:rPr>
        <w:t xml:space="preserve"> </w:t>
      </w:r>
      <w:r w:rsidR="0049779B" w:rsidRPr="001005B7">
        <w:t>came</w:t>
      </w:r>
      <w:r w:rsidR="0049779B" w:rsidRPr="001005B7">
        <w:rPr>
          <w:i/>
          <w:iCs/>
        </w:rPr>
        <w:t xml:space="preserve"> </w:t>
      </w:r>
      <w:r w:rsidR="0062674E" w:rsidRPr="001005B7">
        <w:t>on</w:t>
      </w:r>
      <w:r w:rsidR="0062674E" w:rsidRPr="001005B7">
        <w:rPr>
          <w:i/>
          <w:iCs/>
        </w:rPr>
        <w:t xml:space="preserve"> </w:t>
      </w:r>
      <w:r w:rsidR="0062674E" w:rsidRPr="001005B7">
        <w:t>him</w:t>
      </w:r>
      <w:r w:rsidR="0062674E" w:rsidRPr="001005B7">
        <w:rPr>
          <w:i/>
          <w:iCs/>
        </w:rPr>
        <w:t xml:space="preserve"> </w:t>
      </w:r>
      <w:r w:rsidR="0062674E" w:rsidRPr="001005B7">
        <w:t>there</w:t>
      </w:r>
      <w:r w:rsidR="00756634" w:rsidRPr="001005B7">
        <w:t>”</w:t>
      </w:r>
      <w:r w:rsidR="00752979" w:rsidRPr="001005B7">
        <w:rPr>
          <w:i/>
          <w:iCs/>
        </w:rPr>
        <w:t xml:space="preserve"> </w:t>
      </w:r>
      <w:r w:rsidR="00752979" w:rsidRPr="001005B7">
        <w:t>(again, literally, “</w:t>
      </w:r>
      <w:r w:rsidR="00380DD6" w:rsidRPr="001005B7">
        <w:t>happened</w:t>
      </w:r>
      <w:r w:rsidR="00995F72" w:rsidRPr="001005B7">
        <w:t xml:space="preserve"> on him</w:t>
      </w:r>
      <w:r w:rsidR="001113F9" w:rsidRPr="001005B7">
        <w:t>,</w:t>
      </w:r>
      <w:r w:rsidR="00752979" w:rsidRPr="001005B7">
        <w:t>”</w:t>
      </w:r>
      <w:r w:rsidR="007D4B8C" w:rsidRPr="001005B7">
        <w:t xml:space="preserve"> </w:t>
      </w:r>
      <w:r w:rsidR="00B2191C" w:rsidRPr="001005B7">
        <w:rPr>
          <w:rFonts w:cstheme="minorHAnsi"/>
          <w:rtl/>
          <w:lang w:bidi="he-IL"/>
        </w:rPr>
        <w:t>וַ</w:t>
      </w:r>
      <w:r w:rsidR="00D04123" w:rsidRPr="001005B7">
        <w:rPr>
          <w:rFonts w:cstheme="minorHAnsi"/>
          <w:rtl/>
          <w:lang w:bidi="he-IL"/>
        </w:rPr>
        <w:t>תְּהִי</w:t>
      </w:r>
      <w:r w:rsidR="008D3CD8" w:rsidRPr="001005B7">
        <w:rPr>
          <w:rFonts w:cstheme="minorHAnsi"/>
          <w:rtl/>
          <w:lang w:bidi="he-IL"/>
        </w:rPr>
        <w:t xml:space="preserve"> </w:t>
      </w:r>
      <w:r w:rsidR="00D04123" w:rsidRPr="001005B7">
        <w:rPr>
          <w:rFonts w:cstheme="minorHAnsi"/>
          <w:rtl/>
          <w:lang w:bidi="he-IL"/>
        </w:rPr>
        <w:t>עׇל</w:t>
      </w:r>
      <w:r w:rsidR="008D3CD8" w:rsidRPr="001005B7">
        <w:rPr>
          <w:rFonts w:cstheme="minorHAnsi"/>
          <w:rtl/>
          <w:lang w:bidi="he-IL"/>
        </w:rPr>
        <w:t>יו</w:t>
      </w:r>
      <w:r w:rsidR="00752979" w:rsidRPr="001005B7">
        <w:t>)</w:t>
      </w:r>
      <w:r w:rsidR="002B2068" w:rsidRPr="001005B7">
        <w:t>, which also</w:t>
      </w:r>
      <w:r w:rsidR="008A3A40" w:rsidRPr="001005B7">
        <w:t xml:space="preserve"> </w:t>
      </w:r>
      <w:r w:rsidR="00893C5F" w:rsidRPr="001005B7">
        <w:t>increases</w:t>
      </w:r>
      <w:r w:rsidR="00B94DE3" w:rsidRPr="001005B7">
        <w:t xml:space="preserve"> the </w:t>
      </w:r>
      <w:r w:rsidR="00DA3C15" w:rsidRPr="001005B7">
        <w:t>emphasis on</w:t>
      </w:r>
      <w:r w:rsidR="00B94DE3" w:rsidRPr="001005B7">
        <w:t xml:space="preserve"> </w:t>
      </w:r>
      <w:r w:rsidR="0062674E" w:rsidRPr="001005B7">
        <w:t xml:space="preserve">the objective </w:t>
      </w:r>
      <w:r w:rsidR="007E770E" w:rsidRPr="001005B7">
        <w:t>actuali</w:t>
      </w:r>
      <w:r w:rsidR="0062674E" w:rsidRPr="001005B7">
        <w:t>ty of the event</w:t>
      </w:r>
      <w:r w:rsidR="009F1A91" w:rsidRPr="001005B7">
        <w:t xml:space="preserve">. </w:t>
      </w:r>
      <w:r w:rsidR="00F40F38" w:rsidRPr="001005B7">
        <w:t>It</w:t>
      </w:r>
      <w:r w:rsidR="0062674E" w:rsidRPr="001005B7">
        <w:t xml:space="preserve"> </w:t>
      </w:r>
      <w:r w:rsidR="00445747" w:rsidRPr="001005B7">
        <w:t>addit</w:t>
      </w:r>
      <w:r w:rsidR="0022323F" w:rsidRPr="001005B7">
        <w:t>i</w:t>
      </w:r>
      <w:r w:rsidR="00445747" w:rsidRPr="001005B7">
        <w:t>onally</w:t>
      </w:r>
      <w:r w:rsidR="00F40F38" w:rsidRPr="001005B7">
        <w:t xml:space="preserve"> </w:t>
      </w:r>
      <w:r w:rsidR="0062674E" w:rsidRPr="001005B7">
        <w:t xml:space="preserve">points forcibly to the way the vision affected Ezekiel. </w:t>
      </w:r>
      <w:r w:rsidR="00EC74BD" w:rsidRPr="001005B7">
        <w:t>Even if the coming of the message was not a person-to-per</w:t>
      </w:r>
      <w:r w:rsidR="00C03629" w:rsidRPr="001005B7">
        <w:t xml:space="preserve">son event, </w:t>
      </w:r>
      <w:r w:rsidR="0062674E" w:rsidRPr="001005B7">
        <w:t>God</w:t>
      </w:r>
      <w:r w:rsidR="00C03629" w:rsidRPr="001005B7">
        <w:t>’s</w:t>
      </w:r>
      <w:r w:rsidR="0062674E" w:rsidRPr="001005B7">
        <w:t xml:space="preserve"> </w:t>
      </w:r>
      <w:r w:rsidR="005D78F5" w:rsidRPr="001005B7">
        <w:t xml:space="preserve">conveying </w:t>
      </w:r>
      <w:r w:rsidR="00C03629" w:rsidRPr="001005B7">
        <w:t>it</w:t>
      </w:r>
      <w:r w:rsidR="005D78F5" w:rsidRPr="001005B7">
        <w:t xml:space="preserve"> </w:t>
      </w:r>
      <w:r w:rsidR="0062674E" w:rsidRPr="001005B7">
        <w:t>was a perceptible reality in his body.</w:t>
      </w:r>
      <w:r w:rsidR="008A51C5" w:rsidRPr="001005B7">
        <w:rPr>
          <w:rStyle w:val="FootnoteReference"/>
        </w:rPr>
        <w:footnoteReference w:id="92"/>
      </w:r>
      <w:r w:rsidR="00077B17" w:rsidRPr="001005B7">
        <w:t xml:space="preserve"> Yahweh’s hand is often the means by which he acts </w:t>
      </w:r>
      <w:r w:rsidR="001B25F1" w:rsidRPr="001005B7">
        <w:t xml:space="preserve">and </w:t>
      </w:r>
      <w:r w:rsidR="00077B17" w:rsidRPr="001005B7">
        <w:t xml:space="preserve">makes his presence felt or takes hold of </w:t>
      </w:r>
      <w:r w:rsidR="00516832" w:rsidRPr="001005B7">
        <w:t>Ezekiel in connection with speaking</w:t>
      </w:r>
      <w:r w:rsidR="001E5AE1" w:rsidRPr="001005B7">
        <w:t xml:space="preserve"> and revealing things</w:t>
      </w:r>
      <w:r w:rsidR="00B8591E" w:rsidRPr="001005B7">
        <w:t xml:space="preserve"> (</w:t>
      </w:r>
      <w:r w:rsidR="00B40322" w:rsidRPr="001005B7">
        <w:t>3:14</w:t>
      </w:r>
      <w:r w:rsidR="000B1ECB" w:rsidRPr="001005B7">
        <w:t xml:space="preserve">, 22; 8:1; </w:t>
      </w:r>
      <w:r w:rsidR="005763DB" w:rsidRPr="001005B7">
        <w:t xml:space="preserve">33:22; 37:1; </w:t>
      </w:r>
      <w:r w:rsidR="008A3A27" w:rsidRPr="001005B7">
        <w:t>40:1</w:t>
      </w:r>
      <w:r w:rsidR="001E5AE1" w:rsidRPr="001005B7">
        <w:t>).</w:t>
      </w:r>
      <w:r w:rsidR="005A03FB" w:rsidRPr="001005B7">
        <w:t xml:space="preserve"> </w:t>
      </w:r>
    </w:p>
    <w:p w14:paraId="1355F96A" w14:textId="3099E905" w:rsidR="00D47105" w:rsidRPr="001005B7" w:rsidRDefault="00AF6DBB" w:rsidP="00D47105">
      <w:pPr>
        <w:rPr>
          <w:vertAlign w:val="superscript"/>
        </w:rPr>
      </w:pPr>
      <w:r w:rsidRPr="001005B7">
        <w:t xml:space="preserve">Grammatically, </w:t>
      </w:r>
      <w:r w:rsidR="00AC0D51" w:rsidRPr="001005B7">
        <w:t xml:space="preserve">the </w:t>
      </w:r>
      <w:r w:rsidR="00D23077" w:rsidRPr="001005B7">
        <w:t xml:space="preserve">text could be describing either </w:t>
      </w:r>
      <w:r w:rsidRPr="001005B7">
        <w:t xml:space="preserve">Ezekiel or </w:t>
      </w:r>
      <w:proofErr w:type="spellStart"/>
      <w:r w:rsidRPr="001005B7">
        <w:t>Buzi</w:t>
      </w:r>
      <w:proofErr w:type="spellEnd"/>
      <w:r w:rsidR="00270105" w:rsidRPr="001005B7">
        <w:t>, his father</w:t>
      </w:r>
      <w:r w:rsidR="00D23077" w:rsidRPr="001005B7">
        <w:t>, as a priest</w:t>
      </w:r>
      <w:r w:rsidR="00FF066B" w:rsidRPr="001005B7">
        <w:t>, and the word</w:t>
      </w:r>
      <w:r w:rsidRPr="001005B7">
        <w:t xml:space="preserve"> would apply to both</w:t>
      </w:r>
      <w:r w:rsidR="00FF1660" w:rsidRPr="001005B7">
        <w:t xml:space="preserve"> if it applied to one</w:t>
      </w:r>
      <w:r w:rsidR="00190BD8" w:rsidRPr="001005B7">
        <w:t xml:space="preserve">. </w:t>
      </w:r>
      <w:r w:rsidR="00FB762B" w:rsidRPr="001005B7">
        <w:t xml:space="preserve">But in itself </w:t>
      </w:r>
      <w:r w:rsidR="003D0851" w:rsidRPr="001005B7">
        <w:t xml:space="preserve">Ezekiel’s father’s position is </w:t>
      </w:r>
      <w:r w:rsidR="0082351D" w:rsidRPr="001005B7">
        <w:t>ir</w:t>
      </w:r>
      <w:r w:rsidR="003D0851" w:rsidRPr="001005B7">
        <w:t xml:space="preserve">relevant here, whereas </w:t>
      </w:r>
      <w:r w:rsidR="00B267DC" w:rsidRPr="001005B7">
        <w:t xml:space="preserve">Ezekiel’s priestly </w:t>
      </w:r>
      <w:r w:rsidR="00B55478" w:rsidRPr="001005B7">
        <w:t xml:space="preserve">position will be significant throughout the scroll in shaping its </w:t>
      </w:r>
      <w:r w:rsidR="00C94BF7" w:rsidRPr="001005B7">
        <w:t>concerns</w:t>
      </w:r>
      <w:r w:rsidR="00B55478" w:rsidRPr="001005B7">
        <w:t xml:space="preserve"> and its </w:t>
      </w:r>
      <w:r w:rsidR="003C68BA" w:rsidRPr="001005B7">
        <w:t>way of seeing and describing things</w:t>
      </w:r>
      <w:r w:rsidR="00FF1660" w:rsidRPr="001005B7">
        <w:t>.</w:t>
      </w:r>
      <w:r w:rsidR="00D7788C" w:rsidRPr="001005B7">
        <w:t xml:space="preserve"> Jeremiah</w:t>
      </w:r>
      <w:r w:rsidR="006A1F6A" w:rsidRPr="001005B7">
        <w:t xml:space="preserve"> </w:t>
      </w:r>
      <w:r w:rsidR="002330D1" w:rsidRPr="001005B7">
        <w:t xml:space="preserve">also </w:t>
      </w:r>
      <w:r w:rsidR="006A1F6A" w:rsidRPr="001005B7">
        <w:t>came</w:t>
      </w:r>
      <w:r w:rsidR="00D7788C" w:rsidRPr="001005B7">
        <w:t xml:space="preserve"> from </w:t>
      </w:r>
      <w:r w:rsidR="002330D1" w:rsidRPr="001005B7">
        <w:t xml:space="preserve">a priestly family, in </w:t>
      </w:r>
      <w:proofErr w:type="spellStart"/>
      <w:r w:rsidR="00D7788C" w:rsidRPr="001005B7">
        <w:t>Anatot</w:t>
      </w:r>
      <w:proofErr w:type="spellEnd"/>
      <w:r w:rsidR="006A1F6A" w:rsidRPr="001005B7">
        <w:t xml:space="preserve">, </w:t>
      </w:r>
      <w:r w:rsidR="00D7788C" w:rsidRPr="001005B7">
        <w:t>but Ezekiel’s involvement as a young man with the Jerusalem temple is more formative for his message than Jeremiah’s</w:t>
      </w:r>
      <w:r w:rsidR="00791407" w:rsidRPr="001005B7">
        <w:t xml:space="preserve"> </w:t>
      </w:r>
      <w:r w:rsidR="00D7788C" w:rsidRPr="001005B7">
        <w:t xml:space="preserve">priestly background. </w:t>
      </w:r>
      <w:r w:rsidR="00256989" w:rsidRPr="001005B7">
        <w:t>Chaldea</w:t>
      </w:r>
      <w:r w:rsidR="00256989" w:rsidRPr="001005B7">
        <w:rPr>
          <w:i/>
          <w:iCs/>
        </w:rPr>
        <w:t xml:space="preserve"> </w:t>
      </w:r>
      <w:r w:rsidR="001E3AE3" w:rsidRPr="001005B7">
        <w:t>received its name</w:t>
      </w:r>
      <w:r w:rsidR="00FA74E2" w:rsidRPr="001005B7">
        <w:t xml:space="preserve"> </w:t>
      </w:r>
      <w:r w:rsidR="001E3AE3" w:rsidRPr="001005B7">
        <w:t>from</w:t>
      </w:r>
      <w:r w:rsidR="00C51088" w:rsidRPr="001005B7">
        <w:t xml:space="preserve"> a people </w:t>
      </w:r>
      <w:r w:rsidR="001E3AE3" w:rsidRPr="001005B7">
        <w:t>in</w:t>
      </w:r>
      <w:r w:rsidR="00C51088" w:rsidRPr="001005B7">
        <w:t xml:space="preserve"> Southern Bab</w:t>
      </w:r>
      <w:r w:rsidR="00ED263C" w:rsidRPr="001005B7">
        <w:t xml:space="preserve">ylonia who gained control </w:t>
      </w:r>
      <w:r w:rsidR="0025024F" w:rsidRPr="001005B7">
        <w:t>in</w:t>
      </w:r>
      <w:r w:rsidR="00ED263C" w:rsidRPr="001005B7">
        <w:t xml:space="preserve"> B</w:t>
      </w:r>
      <w:r w:rsidR="00485978" w:rsidRPr="001005B7">
        <w:t>a</w:t>
      </w:r>
      <w:r w:rsidR="00ED263C" w:rsidRPr="001005B7">
        <w:t>bylon</w:t>
      </w:r>
      <w:r w:rsidR="00485978" w:rsidRPr="001005B7">
        <w:t>.</w:t>
      </w:r>
      <w:r w:rsidR="00226892" w:rsidRPr="001005B7">
        <w:t xml:space="preserve"> </w:t>
      </w:r>
      <w:r w:rsidR="0083276E" w:rsidRPr="001005B7">
        <w:t xml:space="preserve">The Judahites being back in </w:t>
      </w:r>
      <w:r w:rsidR="00DA4B75" w:rsidRPr="001005B7">
        <w:t>Chaldea</w:t>
      </w:r>
      <w:r w:rsidR="0083276E" w:rsidRPr="001005B7">
        <w:t xml:space="preserve"> is a sad irony, </w:t>
      </w:r>
      <w:r w:rsidR="0001233A" w:rsidRPr="001005B7">
        <w:t xml:space="preserve">given that </w:t>
      </w:r>
      <w:r w:rsidR="00606EC5" w:rsidRPr="001005B7">
        <w:t>their</w:t>
      </w:r>
      <w:r w:rsidR="004D3991" w:rsidRPr="001005B7">
        <w:t xml:space="preserve"> </w:t>
      </w:r>
      <w:r w:rsidR="00FA74E2" w:rsidRPr="001005B7">
        <w:t>ancestors</w:t>
      </w:r>
      <w:r w:rsidR="004D3991" w:rsidRPr="001005B7">
        <w:t xml:space="preserve"> originally came from</w:t>
      </w:r>
      <w:r w:rsidR="000564A2" w:rsidRPr="001005B7">
        <w:t xml:space="preserve"> there</w:t>
      </w:r>
      <w:r w:rsidR="00FA74E2" w:rsidRPr="001005B7">
        <w:t xml:space="preserve"> (Gen 11:27</w:t>
      </w:r>
      <w:r w:rsidR="00F46900" w:rsidRPr="001005B7">
        <w:t>–</w:t>
      </w:r>
      <w:r w:rsidR="00FA74E2" w:rsidRPr="001005B7">
        <w:t>31)</w:t>
      </w:r>
      <w:r w:rsidR="00D47105" w:rsidRPr="001005B7">
        <w:t>.</w:t>
      </w:r>
    </w:p>
    <w:p w14:paraId="770C761B" w14:textId="6A26CDB0" w:rsidR="00FF48B2" w:rsidRPr="001005B7" w:rsidRDefault="00B76A2E" w:rsidP="00493833">
      <w:pPr>
        <w:pStyle w:val="Heading3"/>
      </w:pPr>
      <w:r w:rsidRPr="001005B7">
        <w:t xml:space="preserve">Biblical Theology Comments </w:t>
      </w:r>
    </w:p>
    <w:p w14:paraId="398C2AD1" w14:textId="38B35446" w:rsidR="002643A4" w:rsidRPr="001005B7" w:rsidRDefault="00C04AD8" w:rsidP="008036C0">
      <w:r w:rsidRPr="001005B7">
        <w:t>Although Yahweh is most at home in Canaan, t</w:t>
      </w:r>
      <w:r w:rsidR="00ED0DAF" w:rsidRPr="001005B7">
        <w:t xml:space="preserve">here is nothing surprising about </w:t>
      </w:r>
      <w:r w:rsidR="00B220DD" w:rsidRPr="001005B7">
        <w:t>his</w:t>
      </w:r>
      <w:r w:rsidR="00EC3ED7" w:rsidRPr="001005B7">
        <w:t xml:space="preserve"> showing the capacity to reveal things and speak in a foreign land. He has spoken and acted in </w:t>
      </w:r>
      <w:r w:rsidR="006F7298" w:rsidRPr="001005B7">
        <w:t xml:space="preserve">Mesopotamia before, as he has in Egypt and in the region between Egypt and Canaan. </w:t>
      </w:r>
      <w:r w:rsidR="00141FF0" w:rsidRPr="001005B7">
        <w:t xml:space="preserve">But it might </w:t>
      </w:r>
      <w:r w:rsidR="00B220DD" w:rsidRPr="001005B7">
        <w:t xml:space="preserve">have </w:t>
      </w:r>
      <w:r w:rsidR="00141FF0" w:rsidRPr="001005B7">
        <w:t>be</w:t>
      </w:r>
      <w:r w:rsidR="00B220DD" w:rsidRPr="001005B7">
        <w:t>en</w:t>
      </w:r>
      <w:r w:rsidR="00141FF0" w:rsidRPr="001005B7">
        <w:t xml:space="preserve"> a question</w:t>
      </w:r>
      <w:r w:rsidR="00B220DD" w:rsidRPr="001005B7">
        <w:t xml:space="preserve"> in </w:t>
      </w:r>
      <w:r w:rsidR="00310BC9" w:rsidRPr="001005B7">
        <w:t>Ezekiel’s</w:t>
      </w:r>
      <w:r w:rsidR="00B220DD" w:rsidRPr="001005B7">
        <w:t xml:space="preserve"> mind</w:t>
      </w:r>
      <w:r w:rsidR="00141FF0" w:rsidRPr="001005B7">
        <w:t xml:space="preserve"> whether he </w:t>
      </w:r>
      <w:r w:rsidR="000F5106" w:rsidRPr="001005B7">
        <w:t xml:space="preserve">would </w:t>
      </w:r>
      <w:r w:rsidR="00141FF0" w:rsidRPr="001005B7">
        <w:t xml:space="preserve">wish to reveal himself or speak here, at the moment. The </w:t>
      </w:r>
      <w:r w:rsidR="00AC2164" w:rsidRPr="001005B7">
        <w:t>Judahites</w:t>
      </w:r>
      <w:r w:rsidR="00B434A0" w:rsidRPr="001005B7">
        <w:t xml:space="preserve"> are</w:t>
      </w:r>
      <w:r w:rsidR="000F5106" w:rsidRPr="001005B7">
        <w:t xml:space="preserve"> </w:t>
      </w:r>
      <w:r w:rsidR="00BC5B88" w:rsidRPr="001005B7">
        <w:t xml:space="preserve">in </w:t>
      </w:r>
      <w:r w:rsidR="00364D19" w:rsidRPr="001005B7">
        <w:t>this</w:t>
      </w:r>
      <w:r w:rsidR="00BC5B88" w:rsidRPr="001005B7">
        <w:t xml:space="preserve"> alien country because they ha</w:t>
      </w:r>
      <w:r w:rsidR="00364D19" w:rsidRPr="001005B7">
        <w:t>d</w:t>
      </w:r>
      <w:r w:rsidR="00BC5B88" w:rsidRPr="001005B7">
        <w:t xml:space="preserve"> lived </w:t>
      </w:r>
      <w:r w:rsidR="00C67B5E" w:rsidRPr="001005B7">
        <w:t>in impiety</w:t>
      </w:r>
      <w:r w:rsidR="00083797" w:rsidRPr="001005B7">
        <w:t xml:space="preserve"> in Yahweh’s country</w:t>
      </w:r>
      <w:r w:rsidR="00364D19" w:rsidRPr="001005B7">
        <w:t xml:space="preserve"> and</w:t>
      </w:r>
      <w:r w:rsidR="00361D27" w:rsidRPr="001005B7">
        <w:t xml:space="preserve"> Yahweh has thrown them out</w:t>
      </w:r>
      <w:r w:rsidR="00046C33" w:rsidRPr="001005B7">
        <w:t xml:space="preserve"> from there</w:t>
      </w:r>
      <w:r w:rsidR="00361D27" w:rsidRPr="001005B7">
        <w:t>. It might seem</w:t>
      </w:r>
      <w:r w:rsidR="00364D19" w:rsidRPr="001005B7">
        <w:t xml:space="preserve"> </w:t>
      </w:r>
      <w:r w:rsidR="00361D27" w:rsidRPr="001005B7">
        <w:t xml:space="preserve">that </w:t>
      </w:r>
      <w:r w:rsidR="0036377D" w:rsidRPr="001005B7">
        <w:t>he would</w:t>
      </w:r>
      <w:r w:rsidR="00361D27" w:rsidRPr="001005B7">
        <w:t xml:space="preserve"> not wish to relate to them </w:t>
      </w:r>
      <w:r w:rsidR="003C55F6" w:rsidRPr="001005B7">
        <w:t>here</w:t>
      </w:r>
      <w:r w:rsidR="00361D27" w:rsidRPr="001005B7">
        <w:t xml:space="preserve">. </w:t>
      </w:r>
      <w:r w:rsidR="0036377D" w:rsidRPr="001005B7">
        <w:t>Hi</w:t>
      </w:r>
      <w:r w:rsidR="00F55FCC" w:rsidRPr="001005B7">
        <w:t>s appearing to Ezekiel suggests it is not so.</w:t>
      </w:r>
      <w:r w:rsidR="006C7976" w:rsidRPr="001005B7">
        <w:t xml:space="preserve"> Yahweh is God all over the world and </w:t>
      </w:r>
      <w:r w:rsidR="008337A7" w:rsidRPr="001005B7">
        <w:t xml:space="preserve">he </w:t>
      </w:r>
      <w:r w:rsidR="006C7976" w:rsidRPr="001005B7">
        <w:t>can appear wherever he wishes</w:t>
      </w:r>
      <w:r w:rsidR="00F47FA2" w:rsidRPr="001005B7">
        <w:t>. Perhaps it is not so surprising that he</w:t>
      </w:r>
      <w:r w:rsidR="006C7976" w:rsidRPr="001005B7">
        <w:t xml:space="preserve"> now appears </w:t>
      </w:r>
      <w:r w:rsidR="00F47FA2" w:rsidRPr="001005B7">
        <w:t>“</w:t>
      </w:r>
      <w:r w:rsidR="009916CF" w:rsidRPr="001005B7">
        <w:t>in</w:t>
      </w:r>
      <w:r w:rsidR="009916CF" w:rsidRPr="001005B7">
        <w:rPr>
          <w:i/>
          <w:iCs/>
        </w:rPr>
        <w:t xml:space="preserve"> </w:t>
      </w:r>
      <w:r w:rsidR="009916CF" w:rsidRPr="001005B7">
        <w:t>the</w:t>
      </w:r>
      <w:r w:rsidR="009916CF" w:rsidRPr="001005B7">
        <w:rPr>
          <w:i/>
          <w:iCs/>
        </w:rPr>
        <w:t xml:space="preserve"> </w:t>
      </w:r>
      <w:r w:rsidR="009916CF" w:rsidRPr="001005B7">
        <w:t>country</w:t>
      </w:r>
      <w:r w:rsidR="009916CF" w:rsidRPr="001005B7">
        <w:rPr>
          <w:i/>
          <w:iCs/>
        </w:rPr>
        <w:t xml:space="preserve"> </w:t>
      </w:r>
      <w:r w:rsidR="009916CF" w:rsidRPr="001005B7">
        <w:t>of</w:t>
      </w:r>
      <w:r w:rsidR="009916CF" w:rsidRPr="001005B7">
        <w:rPr>
          <w:i/>
          <w:iCs/>
        </w:rPr>
        <w:t xml:space="preserve"> </w:t>
      </w:r>
      <w:r w:rsidR="00DA4B75" w:rsidRPr="001005B7">
        <w:t>Chaldea</w:t>
      </w:r>
      <w:r w:rsidR="00467461" w:rsidRPr="001005B7">
        <w:t>,</w:t>
      </w:r>
      <w:r w:rsidR="009916CF" w:rsidRPr="001005B7">
        <w:t xml:space="preserve"> </w:t>
      </w:r>
      <w:r w:rsidR="00046C33" w:rsidRPr="001005B7">
        <w:t>at</w:t>
      </w:r>
      <w:r w:rsidR="006C7976" w:rsidRPr="001005B7">
        <w:rPr>
          <w:i/>
          <w:iCs/>
        </w:rPr>
        <w:t xml:space="preserve"> </w:t>
      </w:r>
      <w:r w:rsidR="006C7976" w:rsidRPr="001005B7">
        <w:t>the</w:t>
      </w:r>
      <w:r w:rsidR="006C7976" w:rsidRPr="001005B7">
        <w:rPr>
          <w:i/>
          <w:iCs/>
        </w:rPr>
        <w:t xml:space="preserve"> </w:t>
      </w:r>
      <w:proofErr w:type="spellStart"/>
      <w:r w:rsidR="006C7976" w:rsidRPr="001005B7">
        <w:t>Kebar</w:t>
      </w:r>
      <w:proofErr w:type="spellEnd"/>
      <w:r w:rsidR="006C7976" w:rsidRPr="001005B7">
        <w:rPr>
          <w:i/>
          <w:iCs/>
        </w:rPr>
        <w:t xml:space="preserve"> </w:t>
      </w:r>
      <w:r w:rsidR="006C7976" w:rsidRPr="001005B7">
        <w:t>Waterway</w:t>
      </w:r>
      <w:r w:rsidR="00F721C7" w:rsidRPr="001005B7">
        <w:t>,</w:t>
      </w:r>
      <w:r w:rsidR="00467461" w:rsidRPr="001005B7">
        <w:t>”</w:t>
      </w:r>
      <w:r w:rsidR="00F721C7" w:rsidRPr="001005B7">
        <w:t xml:space="preserve"> given </w:t>
      </w:r>
      <w:r w:rsidR="00B50927" w:rsidRPr="001005B7">
        <w:t xml:space="preserve">that </w:t>
      </w:r>
      <w:r w:rsidR="0078516A" w:rsidRPr="001005B7">
        <w:t xml:space="preserve">he first related to the Israelites’ ancestors </w:t>
      </w:r>
      <w:r w:rsidR="00FD59EC" w:rsidRPr="001005B7">
        <w:t>in Chaldea</w:t>
      </w:r>
      <w:r w:rsidR="00CD6CA8" w:rsidRPr="001005B7">
        <w:t>.</w:t>
      </w:r>
      <w:r w:rsidR="00C33745" w:rsidRPr="001005B7">
        <w:t xml:space="preserve"> Perhaps Yahweh could start again here</w:t>
      </w:r>
      <w:r w:rsidR="000C1866" w:rsidRPr="001005B7">
        <w:t>, and</w:t>
      </w:r>
      <w:r w:rsidR="00C33745" w:rsidRPr="001005B7">
        <w:t xml:space="preserve"> there could be a</w:t>
      </w:r>
      <w:r w:rsidR="00236820" w:rsidRPr="001005B7">
        <w:t xml:space="preserve"> </w:t>
      </w:r>
      <w:r w:rsidR="00C33745" w:rsidRPr="001005B7">
        <w:t>new beginning.</w:t>
      </w:r>
      <w:r w:rsidR="00236820" w:rsidRPr="001005B7">
        <w:t xml:space="preserve"> </w:t>
      </w:r>
    </w:p>
    <w:p w14:paraId="7807E4EE" w14:textId="3F003BDD" w:rsidR="00A41494" w:rsidRPr="001005B7" w:rsidRDefault="00236820" w:rsidP="008036C0">
      <w:r w:rsidRPr="001005B7">
        <w:t xml:space="preserve">The same possibility might emerge from the fact that the </w:t>
      </w:r>
      <w:r w:rsidR="00721243" w:rsidRPr="001005B7">
        <w:t>First Testament’s</w:t>
      </w:r>
      <w:r w:rsidR="00655BB6" w:rsidRPr="001005B7">
        <w:t xml:space="preserve"> one</w:t>
      </w:r>
      <w:r w:rsidR="00721243" w:rsidRPr="001005B7">
        <w:t xml:space="preserve"> pre</w:t>
      </w:r>
      <w:r w:rsidR="00227F2A" w:rsidRPr="001005B7">
        <w:t xml:space="preserve">vious </w:t>
      </w:r>
      <w:r w:rsidRPr="001005B7">
        <w:t>reference</w:t>
      </w:r>
      <w:r w:rsidR="00523FF8" w:rsidRPr="001005B7">
        <w:t xml:space="preserve"> to </w:t>
      </w:r>
      <w:r w:rsidR="00B9470D" w:rsidRPr="001005B7">
        <w:rPr>
          <w:rFonts w:cstheme="minorHAnsi"/>
          <w:rtl/>
          <w:lang w:bidi="he-IL"/>
        </w:rPr>
        <w:t>מַרְאוֺת</w:t>
      </w:r>
      <w:r w:rsidR="00114C28" w:rsidRPr="001005B7">
        <w:t>, “</w:t>
      </w:r>
      <w:r w:rsidR="00F709FD" w:rsidRPr="001005B7">
        <w:t>a vision</w:t>
      </w:r>
      <w:r w:rsidR="00211B3D" w:rsidRPr="001005B7">
        <w:t>” (pl.)</w:t>
      </w:r>
      <w:r w:rsidR="00A71C26" w:rsidRPr="001005B7">
        <w:t xml:space="preserve"> </w:t>
      </w:r>
      <w:r w:rsidR="002B732A" w:rsidRPr="001005B7">
        <w:t>occurs</w:t>
      </w:r>
      <w:r w:rsidR="005824C8" w:rsidRPr="001005B7">
        <w:t xml:space="preserve"> when Jacob is on his way out of the promised land</w:t>
      </w:r>
      <w:r w:rsidR="00F82F52" w:rsidRPr="001005B7">
        <w:t xml:space="preserve"> </w:t>
      </w:r>
      <w:r w:rsidR="003A6E60" w:rsidRPr="001005B7">
        <w:t xml:space="preserve">(Gen 46:2) </w:t>
      </w:r>
      <w:r w:rsidR="00F82F52" w:rsidRPr="001005B7">
        <w:t xml:space="preserve">and </w:t>
      </w:r>
      <w:r w:rsidR="009C5EC9" w:rsidRPr="001005B7">
        <w:t xml:space="preserve">leads into a </w:t>
      </w:r>
      <w:r w:rsidR="00F82F52" w:rsidRPr="001005B7">
        <w:t>promis</w:t>
      </w:r>
      <w:r w:rsidR="009C5EC9" w:rsidRPr="001005B7">
        <w:t>e</w:t>
      </w:r>
      <w:r w:rsidR="00F82F52" w:rsidRPr="001005B7">
        <w:t xml:space="preserve"> </w:t>
      </w:r>
      <w:r w:rsidR="009C5EC9" w:rsidRPr="001005B7">
        <w:t xml:space="preserve">that </w:t>
      </w:r>
      <w:r w:rsidR="00721243" w:rsidRPr="001005B7">
        <w:t>Jacob</w:t>
      </w:r>
      <w:r w:rsidR="00F82F52" w:rsidRPr="001005B7">
        <w:t xml:space="preserve"> </w:t>
      </w:r>
      <w:r w:rsidR="00C03606" w:rsidRPr="001005B7">
        <w:t xml:space="preserve">need not fear going to live in </w:t>
      </w:r>
      <w:r w:rsidR="00985EF6" w:rsidRPr="001005B7">
        <w:t>a foreign country</w:t>
      </w:r>
      <w:r w:rsidR="00CC78C7" w:rsidRPr="001005B7">
        <w:t>,</w:t>
      </w:r>
      <w:r w:rsidR="00C03606" w:rsidRPr="001005B7">
        <w:t xml:space="preserve"> because Yahweh would be with him there</w:t>
      </w:r>
      <w:r w:rsidR="00934197" w:rsidRPr="001005B7">
        <w:t xml:space="preserve">, would make of him a great nation (the same promise </w:t>
      </w:r>
      <w:r w:rsidR="00FD11C4" w:rsidRPr="001005B7">
        <w:t>Yahweh</w:t>
      </w:r>
      <w:r w:rsidR="00934197" w:rsidRPr="001005B7">
        <w:t xml:space="preserve"> made to Abraham</w:t>
      </w:r>
      <w:r w:rsidR="00D73060" w:rsidRPr="001005B7">
        <w:t>: see Gen 12:2</w:t>
      </w:r>
      <w:r w:rsidR="009D3E4F" w:rsidRPr="001005B7">
        <w:t xml:space="preserve">) and </w:t>
      </w:r>
      <w:r w:rsidR="00FF360A" w:rsidRPr="001005B7">
        <w:t xml:space="preserve">would </w:t>
      </w:r>
      <w:r w:rsidR="009D3E4F" w:rsidRPr="001005B7">
        <w:t xml:space="preserve">then bring him back. </w:t>
      </w:r>
      <w:r w:rsidR="002511E7" w:rsidRPr="001005B7">
        <w:t xml:space="preserve">On the other hand, </w:t>
      </w:r>
      <w:r w:rsidR="00574597" w:rsidRPr="001005B7">
        <w:t xml:space="preserve">in Ezekiel </w:t>
      </w:r>
      <w:r w:rsidR="002511E7" w:rsidRPr="001005B7">
        <w:t xml:space="preserve">we </w:t>
      </w:r>
      <w:r w:rsidR="00F01F94" w:rsidRPr="001005B7">
        <w:t>will discover that there are big obstac</w:t>
      </w:r>
      <w:r w:rsidR="00E446AE" w:rsidRPr="001005B7">
        <w:t>l</w:t>
      </w:r>
      <w:r w:rsidR="00F01F94" w:rsidRPr="001005B7">
        <w:t xml:space="preserve">es in the way before Yahweh can start again, and </w:t>
      </w:r>
      <w:r w:rsidR="00E446AE" w:rsidRPr="001005B7">
        <w:t>such a positive message is not what is harbingered by the sight that Ezekiel sees.</w:t>
      </w:r>
      <w:r w:rsidR="002643A4" w:rsidRPr="001005B7">
        <w:t xml:space="preserve"> </w:t>
      </w:r>
      <w:r w:rsidR="007F4F97" w:rsidRPr="001005B7">
        <w:t>Th</w:t>
      </w:r>
      <w:r w:rsidR="00404302" w:rsidRPr="001005B7">
        <w:t>e</w:t>
      </w:r>
      <w:r w:rsidR="007F4F97" w:rsidRPr="001005B7">
        <w:t xml:space="preserve"> </w:t>
      </w:r>
      <w:r w:rsidR="00404302" w:rsidRPr="001005B7">
        <w:t xml:space="preserve">parallel with </w:t>
      </w:r>
      <w:r w:rsidR="00574597" w:rsidRPr="001005B7">
        <w:t>Jacob</w:t>
      </w:r>
      <w:r w:rsidR="00404302" w:rsidRPr="001005B7">
        <w:t xml:space="preserve"> does</w:t>
      </w:r>
      <w:r w:rsidR="007F4F97" w:rsidRPr="001005B7">
        <w:t xml:space="preserve"> </w:t>
      </w:r>
      <w:r w:rsidR="00D660F4" w:rsidRPr="001005B7">
        <w:t>fit</w:t>
      </w:r>
      <w:r w:rsidR="004A1BDD" w:rsidRPr="001005B7">
        <w:t xml:space="preserve"> </w:t>
      </w:r>
      <w:r w:rsidR="001A5CDE" w:rsidRPr="001005B7">
        <w:t xml:space="preserve">the </w:t>
      </w:r>
      <w:r w:rsidR="004A1BDD" w:rsidRPr="001005B7">
        <w:t>significance of</w:t>
      </w:r>
      <w:r w:rsidR="008B7FAF" w:rsidRPr="001005B7">
        <w:t xml:space="preserve"> the vision that </w:t>
      </w:r>
      <w:r w:rsidR="00D154B0" w:rsidRPr="001005B7">
        <w:t xml:space="preserve">will </w:t>
      </w:r>
      <w:r w:rsidR="008B7FAF" w:rsidRPr="001005B7">
        <w:t>follow</w:t>
      </w:r>
      <w:r w:rsidR="001A5CDE" w:rsidRPr="001005B7">
        <w:t>,</w:t>
      </w:r>
      <w:r w:rsidR="008B7FAF" w:rsidRPr="001005B7">
        <w:t xml:space="preserve"> not as a </w:t>
      </w:r>
      <w:r w:rsidR="0040688F" w:rsidRPr="001005B7">
        <w:t>supernatural experience</w:t>
      </w:r>
      <w:r w:rsidR="008B7FAF" w:rsidRPr="001005B7">
        <w:t xml:space="preserve"> in its own right</w:t>
      </w:r>
      <w:r w:rsidR="002248B7" w:rsidRPr="001005B7">
        <w:t xml:space="preserve"> but as</w:t>
      </w:r>
      <w:r w:rsidR="008B7FAF" w:rsidRPr="001005B7">
        <w:t xml:space="preserve"> the setting for a message from Yahweh</w:t>
      </w:r>
      <w:r w:rsidR="008F4464" w:rsidRPr="001005B7">
        <w:t xml:space="preserve">. </w:t>
      </w:r>
      <w:r w:rsidR="00B35A08" w:rsidRPr="001005B7">
        <w:t>The same applies to</w:t>
      </w:r>
      <w:r w:rsidR="001014FE" w:rsidRPr="001005B7">
        <w:t xml:space="preserve"> other references to a </w:t>
      </w:r>
      <w:r w:rsidR="00D154B0" w:rsidRPr="001005B7">
        <w:t>“</w:t>
      </w:r>
      <w:r w:rsidR="00D71C56" w:rsidRPr="001005B7">
        <w:t>vision</w:t>
      </w:r>
      <w:r w:rsidR="0018050F" w:rsidRPr="001005B7">
        <w:t>”</w:t>
      </w:r>
      <w:r w:rsidR="00F83127" w:rsidRPr="001005B7">
        <w:t xml:space="preserve"> using this same rare </w:t>
      </w:r>
      <w:r w:rsidR="00884514" w:rsidRPr="001005B7">
        <w:t>word</w:t>
      </w:r>
      <w:r w:rsidR="00D3102E" w:rsidRPr="001005B7">
        <w:t xml:space="preserve"> </w:t>
      </w:r>
      <w:r w:rsidR="00D3102E" w:rsidRPr="001005B7">
        <w:rPr>
          <w:rFonts w:cstheme="minorHAnsi"/>
          <w:rtl/>
          <w:lang w:bidi="he-IL"/>
        </w:rPr>
        <w:t>מַ</w:t>
      </w:r>
      <w:r w:rsidR="001F24F8" w:rsidRPr="001005B7">
        <w:rPr>
          <w:rFonts w:cstheme="minorHAnsi"/>
          <w:rtl/>
          <w:lang w:bidi="he-IL"/>
        </w:rPr>
        <w:t>רְאׇה</w:t>
      </w:r>
      <w:r w:rsidR="00CE4FE1" w:rsidRPr="001005B7">
        <w:t xml:space="preserve"> (sg.), </w:t>
      </w:r>
      <w:r w:rsidR="001014FE" w:rsidRPr="001005B7">
        <w:t>in</w:t>
      </w:r>
      <w:r w:rsidR="008B7FAF" w:rsidRPr="001005B7">
        <w:t xml:space="preserve"> </w:t>
      </w:r>
      <w:r w:rsidR="001014FE" w:rsidRPr="001005B7">
        <w:t>Num 12:6; 1</w:t>
      </w:r>
      <w:r w:rsidR="000113AC" w:rsidRPr="001005B7">
        <w:t> </w:t>
      </w:r>
      <w:r w:rsidR="001014FE" w:rsidRPr="001005B7">
        <w:t xml:space="preserve">Sam </w:t>
      </w:r>
      <w:r w:rsidR="000367D5" w:rsidRPr="001005B7">
        <w:t>3:15.</w:t>
      </w:r>
      <w:r w:rsidR="00AD6922" w:rsidRPr="001005B7">
        <w:t xml:space="preserve"> Thus the transition from </w:t>
      </w:r>
      <w:r w:rsidR="00AF6448" w:rsidRPr="001005B7">
        <w:t xml:space="preserve">Ezekiel’s own </w:t>
      </w:r>
      <w:r w:rsidR="00AD6922" w:rsidRPr="001005B7">
        <w:t xml:space="preserve">talk of </w:t>
      </w:r>
      <w:r w:rsidR="0068416D" w:rsidRPr="001005B7">
        <w:t>his vision</w:t>
      </w:r>
      <w:r w:rsidR="00884514" w:rsidRPr="001005B7">
        <w:t xml:space="preserve"> in </w:t>
      </w:r>
      <w:r w:rsidR="0042084A" w:rsidRPr="001005B7">
        <w:t>1:</w:t>
      </w:r>
      <w:r w:rsidR="00884514" w:rsidRPr="001005B7">
        <w:t>1</w:t>
      </w:r>
      <w:r w:rsidR="00AF6448" w:rsidRPr="001005B7">
        <w:t xml:space="preserve"> to his curator’s talk of </w:t>
      </w:r>
      <w:r w:rsidR="00330D66" w:rsidRPr="001005B7">
        <w:t xml:space="preserve">Yahweh’s </w:t>
      </w:r>
      <w:r w:rsidR="00E83130" w:rsidRPr="001005B7">
        <w:t>message</w:t>
      </w:r>
      <w:r w:rsidR="00884514" w:rsidRPr="001005B7">
        <w:t xml:space="preserve"> in </w:t>
      </w:r>
      <w:r w:rsidR="0042084A" w:rsidRPr="001005B7">
        <w:t>1:</w:t>
      </w:r>
      <w:r w:rsidR="00186A84" w:rsidRPr="001005B7">
        <w:t>3</w:t>
      </w:r>
      <w:r w:rsidR="00330D66" w:rsidRPr="001005B7">
        <w:t xml:space="preserve"> is natura</w:t>
      </w:r>
      <w:r w:rsidR="000B223D" w:rsidRPr="001005B7">
        <w:t>l</w:t>
      </w:r>
      <w:r w:rsidR="00330D66" w:rsidRPr="001005B7">
        <w:t xml:space="preserve">. </w:t>
      </w:r>
    </w:p>
    <w:p w14:paraId="4BC6D1B1" w14:textId="111148F1" w:rsidR="00D4676D" w:rsidRPr="001005B7" w:rsidRDefault="00EF0C46" w:rsidP="00EF0C46">
      <w:r w:rsidRPr="001005B7">
        <w:rPr>
          <w:rFonts w:ascii="Calibri" w:hAnsi="Calibri" w:cs="Calibri"/>
        </w:rPr>
        <w:t>Ezekiel would recognize the truth in</w:t>
      </w:r>
      <w:r w:rsidRPr="001005B7">
        <w:t xml:space="preserve"> Solomon’s declaration that “the heavens and the most heavenly heavens cannot contain God”</w:t>
      </w:r>
      <w:r w:rsidR="001E11D4" w:rsidRPr="001005B7">
        <w:t xml:space="preserve"> </w:t>
      </w:r>
      <w:r w:rsidRPr="001005B7">
        <w:t>(</w:t>
      </w:r>
      <w:r w:rsidR="00017ED0" w:rsidRPr="001005B7">
        <w:t>1 Kgs</w:t>
      </w:r>
      <w:r w:rsidRPr="001005B7">
        <w:t xml:space="preserve"> 8:27). </w:t>
      </w:r>
      <w:r w:rsidR="00B755EC" w:rsidRPr="001005B7">
        <w:t xml:space="preserve">While </w:t>
      </w:r>
      <w:r w:rsidRPr="001005B7">
        <w:t>“</w:t>
      </w:r>
      <w:r w:rsidR="00B755EC" w:rsidRPr="001005B7">
        <w:rPr>
          <w:rFonts w:ascii="Calibri" w:hAnsi="Calibri" w:cs="Calibri"/>
        </w:rPr>
        <w:t>i</w:t>
      </w:r>
      <w:r w:rsidRPr="001005B7">
        <w:rPr>
          <w:rFonts w:ascii="Calibri" w:hAnsi="Calibri" w:cs="Calibri"/>
        </w:rPr>
        <w:t>n the theological tradition, heaven is the part of creation that the Creator has made as his own place within his creation”</w:t>
      </w:r>
      <w:r w:rsidR="002D77BE" w:rsidRPr="001005B7">
        <w:rPr>
          <w:rFonts w:ascii="Calibri" w:hAnsi="Calibri" w:cs="Calibri"/>
        </w:rPr>
        <w:t>(</w:t>
      </w:r>
      <w:r w:rsidR="002D77BE" w:rsidRPr="001005B7">
        <w:t xml:space="preserve">Jenson, </w:t>
      </w:r>
      <w:r w:rsidR="00E10B67" w:rsidRPr="001005B7">
        <w:t>33</w:t>
      </w:r>
      <w:r w:rsidR="002D77BE" w:rsidRPr="001005B7">
        <w:t>),</w:t>
      </w:r>
      <w:r w:rsidRPr="001005B7">
        <w:t xml:space="preserve"> it is unlikely that First Testament theologians thought of God as living in a physical location above the sky dome, any more than Stephen or John did. They knew that God </w:t>
      </w:r>
      <w:r w:rsidR="00C14C9B" w:rsidRPr="001005B7">
        <w:t>i</w:t>
      </w:r>
      <w:r w:rsidRPr="001005B7">
        <w:t xml:space="preserve">s not a physical being and </w:t>
      </w:r>
      <w:r w:rsidR="002842DF" w:rsidRPr="001005B7">
        <w:t xml:space="preserve">they </w:t>
      </w:r>
      <w:r w:rsidRPr="001005B7">
        <w:t xml:space="preserve">more likely thought of him as dwelling in another realm or dimension. It would be one reason why he could be present anywhere in the physical realm. </w:t>
      </w:r>
      <w:r w:rsidR="000D1AF8" w:rsidRPr="001005B7">
        <w:t>H</w:t>
      </w:r>
      <w:r w:rsidRPr="001005B7">
        <w:t>e live</w:t>
      </w:r>
      <w:r w:rsidR="005A365B" w:rsidRPr="001005B7">
        <w:t>s</w:t>
      </w:r>
      <w:r w:rsidRPr="001005B7">
        <w:t xml:space="preserve"> in a different dimension to which humanity d</w:t>
      </w:r>
      <w:r w:rsidR="005A365B" w:rsidRPr="001005B7">
        <w:t>oes</w:t>
      </w:r>
      <w:r w:rsidRPr="001005B7">
        <w:t xml:space="preserve"> not have regular access, </w:t>
      </w:r>
      <w:r w:rsidR="00054C6E" w:rsidRPr="001005B7">
        <w:t>but</w:t>
      </w:r>
      <w:r w:rsidRPr="001005B7">
        <w:t xml:space="preserve"> the heavens open</w:t>
      </w:r>
      <w:r w:rsidR="005A365B" w:rsidRPr="001005B7">
        <w:t>ing s</w:t>
      </w:r>
      <w:r w:rsidR="00F066F1" w:rsidRPr="001005B7">
        <w:t>y</w:t>
      </w:r>
      <w:r w:rsidR="005A365B" w:rsidRPr="001005B7">
        <w:t>mbolizes</w:t>
      </w:r>
      <w:r w:rsidRPr="001005B7">
        <w:t xml:space="preserve"> </w:t>
      </w:r>
      <w:r w:rsidR="00F066F1" w:rsidRPr="001005B7">
        <w:t>the possibility of</w:t>
      </w:r>
      <w:r w:rsidRPr="001005B7">
        <w:t xml:space="preserve"> movement between the two realms</w:t>
      </w:r>
      <w:r w:rsidR="00F066F1" w:rsidRPr="001005B7">
        <w:t xml:space="preserve"> when God wills it.</w:t>
      </w:r>
      <w:r w:rsidRPr="001005B7">
        <w:t xml:space="preserve"> </w:t>
      </w:r>
    </w:p>
    <w:p w14:paraId="502853AD" w14:textId="39A46C96" w:rsidR="00452BD9" w:rsidRPr="001005B7" w:rsidRDefault="006B1296" w:rsidP="00493833">
      <w:pPr>
        <w:pStyle w:val="Heading3"/>
      </w:pPr>
      <w:r w:rsidRPr="001005B7">
        <w:t xml:space="preserve">Application and Devotional Implications </w:t>
      </w:r>
    </w:p>
    <w:p w14:paraId="7994C639" w14:textId="11AFC6FA" w:rsidR="0038570C" w:rsidRPr="001005B7" w:rsidRDefault="00E76692" w:rsidP="00B406C8">
      <w:pPr>
        <w:tabs>
          <w:tab w:val="left" w:pos="6237"/>
        </w:tabs>
      </w:pPr>
      <w:r w:rsidRPr="001005B7">
        <w:t>Th</w:t>
      </w:r>
      <w:r w:rsidR="00054C6E" w:rsidRPr="001005B7">
        <w:t>is preface</w:t>
      </w:r>
      <w:r w:rsidRPr="001005B7">
        <w:t xml:space="preserve"> to Ezekiel </w:t>
      </w:r>
      <w:r w:rsidR="00687930" w:rsidRPr="001005B7">
        <w:t xml:space="preserve">in </w:t>
      </w:r>
      <w:r w:rsidRPr="001005B7">
        <w:t>parallels th</w:t>
      </w:r>
      <w:r w:rsidR="00687930" w:rsidRPr="001005B7">
        <w:t xml:space="preserve">e </w:t>
      </w:r>
      <w:r w:rsidR="00054C6E" w:rsidRPr="001005B7">
        <w:t>preface</w:t>
      </w:r>
      <w:r w:rsidR="00687930" w:rsidRPr="001005B7">
        <w:t>s</w:t>
      </w:r>
      <w:r w:rsidRPr="001005B7">
        <w:t xml:space="preserve"> to other prophetic scrolls in reminding readers </w:t>
      </w:r>
      <w:r w:rsidR="00E05900" w:rsidRPr="001005B7">
        <w:t xml:space="preserve">of two sorts of fact that they need </w:t>
      </w:r>
      <w:r w:rsidR="00CD3F1A" w:rsidRPr="001005B7">
        <w:t>to keep in mind in reading it. T</w:t>
      </w:r>
      <w:r w:rsidRPr="001005B7">
        <w:t>he contents of the scroll a</w:t>
      </w:r>
      <w:r w:rsidR="00CD3F1A" w:rsidRPr="001005B7">
        <w:t>re</w:t>
      </w:r>
      <w:r w:rsidRPr="001005B7">
        <w:t xml:space="preserve"> chronologically and geographically rooted in the person of a specific Judahite whose human distinctiveness will be clear in what follows</w:t>
      </w:r>
      <w:r w:rsidR="00657C11" w:rsidRPr="001005B7">
        <w:t>. They</w:t>
      </w:r>
      <w:r w:rsidRPr="001005B7">
        <w:t xml:space="preserve"> also hav</w:t>
      </w:r>
      <w:r w:rsidR="00657C11" w:rsidRPr="001005B7">
        <w:t>e</w:t>
      </w:r>
      <w:r w:rsidRPr="001005B7">
        <w:t xml:space="preserve"> an origin in Yahweh</w:t>
      </w:r>
      <w:r w:rsidR="00E95F91" w:rsidRPr="001005B7">
        <w:t xml:space="preserve"> to which</w:t>
      </w:r>
      <w:r w:rsidR="0088769C" w:rsidRPr="001005B7">
        <w:t xml:space="preserve"> </w:t>
      </w:r>
      <w:r w:rsidRPr="001005B7">
        <w:t xml:space="preserve">subsequent generations of Israelites </w:t>
      </w:r>
      <w:r w:rsidR="00E95F91" w:rsidRPr="001005B7">
        <w:t xml:space="preserve">need </w:t>
      </w:r>
      <w:r w:rsidRPr="001005B7">
        <w:t>to pay attention</w:t>
      </w:r>
      <w:r w:rsidR="001B22E9" w:rsidRPr="001005B7">
        <w:t xml:space="preserve">, </w:t>
      </w:r>
      <w:r w:rsidRPr="001005B7">
        <w:t>as is confirmed by the New Testament</w:t>
      </w:r>
      <w:r w:rsidR="00B83EF5" w:rsidRPr="001005B7">
        <w:t>’s</w:t>
      </w:r>
      <w:r w:rsidRPr="001005B7">
        <w:t xml:space="preserve"> treat</w:t>
      </w:r>
      <w:r w:rsidR="00B83EF5" w:rsidRPr="001005B7">
        <w:t>ing</w:t>
      </w:r>
      <w:r w:rsidRPr="001005B7">
        <w:t xml:space="preserve"> the collection of writings to which </w:t>
      </w:r>
      <w:r w:rsidR="00B83EF5" w:rsidRPr="001005B7">
        <w:t>Ezekiel</w:t>
      </w:r>
      <w:r w:rsidRPr="001005B7">
        <w:t xml:space="preserve"> belongs as “God-breathed” and profitable for shaping the lives of people who trust in Jesus (2 Tim 3:16</w:t>
      </w:r>
      <w:r w:rsidR="00F46900" w:rsidRPr="001005B7">
        <w:t>–</w:t>
      </w:r>
      <w:r w:rsidRPr="001005B7">
        <w:t xml:space="preserve">17). </w:t>
      </w:r>
      <w:r w:rsidR="005E28A2" w:rsidRPr="001005B7">
        <w:t>“</w:t>
      </w:r>
      <w:r w:rsidR="00F22B5A" w:rsidRPr="001005B7">
        <w:t xml:space="preserve">Yahweh’s message </w:t>
      </w:r>
      <w:r w:rsidR="0084230D" w:rsidRPr="001005B7">
        <w:t>indeed</w:t>
      </w:r>
      <w:r w:rsidR="00F22B5A" w:rsidRPr="001005B7">
        <w:t xml:space="preserve"> came to Ezek</w:t>
      </w:r>
      <w:r w:rsidR="00AA5F6E" w:rsidRPr="001005B7">
        <w:t>i</w:t>
      </w:r>
      <w:r w:rsidR="00F22B5A" w:rsidRPr="001005B7">
        <w:t xml:space="preserve">el ben </w:t>
      </w:r>
      <w:proofErr w:type="spellStart"/>
      <w:r w:rsidR="00F22B5A" w:rsidRPr="001005B7">
        <w:t>Buzi</w:t>
      </w:r>
      <w:proofErr w:type="spellEnd"/>
      <w:r w:rsidR="00AA5F6E" w:rsidRPr="001005B7">
        <w:t>.</w:t>
      </w:r>
      <w:r w:rsidR="005E28A2" w:rsidRPr="001005B7">
        <w:t>”</w:t>
      </w:r>
      <w:r w:rsidR="00AA5F6E" w:rsidRPr="001005B7">
        <w:t xml:space="preserve"> </w:t>
      </w:r>
      <w:r w:rsidR="008C06BF" w:rsidRPr="001005B7">
        <w:t xml:space="preserve">It was </w:t>
      </w:r>
      <w:r w:rsidR="00C97121" w:rsidRPr="001005B7">
        <w:t xml:space="preserve">aided rather than </w:t>
      </w:r>
      <w:r w:rsidR="008C06BF" w:rsidRPr="001005B7">
        <w:t>hindered by who Ezekiel was</w:t>
      </w:r>
      <w:r w:rsidR="00C97121" w:rsidRPr="001005B7">
        <w:t xml:space="preserve">—a priest in a foreign country living among people who </w:t>
      </w:r>
      <w:r w:rsidR="00CA3044" w:rsidRPr="001005B7">
        <w:t>could be depressed and cynical</w:t>
      </w:r>
      <w:r w:rsidR="008C06BF" w:rsidRPr="001005B7">
        <w:t>.</w:t>
      </w:r>
      <w:r w:rsidR="00696937" w:rsidRPr="001005B7">
        <w:t xml:space="preserve"> </w:t>
      </w:r>
      <w:r w:rsidR="00243674" w:rsidRPr="001005B7">
        <w:t xml:space="preserve">The importance of </w:t>
      </w:r>
      <w:r w:rsidR="00870556" w:rsidRPr="001005B7">
        <w:t xml:space="preserve">the </w:t>
      </w:r>
      <w:r w:rsidR="00243674" w:rsidRPr="001005B7">
        <w:t xml:space="preserve">Ezekiel </w:t>
      </w:r>
      <w:r w:rsidR="00870556" w:rsidRPr="001005B7">
        <w:t xml:space="preserve">scroll </w:t>
      </w:r>
      <w:r w:rsidR="00243674" w:rsidRPr="001005B7">
        <w:t>for the church derives from the fact that it</w:t>
      </w:r>
      <w:r w:rsidR="00870556" w:rsidRPr="001005B7">
        <w:t xml:space="preserve"> issued from a special revelation from God</w:t>
      </w:r>
      <w:r w:rsidR="00432696" w:rsidRPr="001005B7">
        <w:t>, which</w:t>
      </w:r>
      <w:r w:rsidR="00870556" w:rsidRPr="001005B7">
        <w:t xml:space="preserve"> is important for the church not because we </w:t>
      </w:r>
      <w:r w:rsidR="00B931D8" w:rsidRPr="001005B7">
        <w:t xml:space="preserve">too </w:t>
      </w:r>
      <w:r w:rsidR="00870556" w:rsidRPr="001005B7">
        <w:t xml:space="preserve">may receive revelations </w:t>
      </w:r>
      <w:r w:rsidR="002B44D6" w:rsidRPr="001005B7">
        <w:t>as Ezekiel did</w:t>
      </w:r>
      <w:r w:rsidR="00432696" w:rsidRPr="001005B7">
        <w:t>,</w:t>
      </w:r>
      <w:r w:rsidR="00870556" w:rsidRPr="001005B7">
        <w:t xml:space="preserve"> but because </w:t>
      </w:r>
      <w:r w:rsidR="005944EE" w:rsidRPr="001005B7">
        <w:t xml:space="preserve">distinctive importance attaches to the revelation God gave Ezekiel. </w:t>
      </w:r>
      <w:r w:rsidR="0019748D" w:rsidRPr="001005B7">
        <w:t>“</w:t>
      </w:r>
      <w:r w:rsidR="009D4A72" w:rsidRPr="001005B7">
        <w:t>God spoke to our ancestors</w:t>
      </w:r>
      <w:r w:rsidR="0019748D" w:rsidRPr="001005B7">
        <w:t>” through prophets such as Ezekiel (Heb 1:1)</w:t>
      </w:r>
      <w:r w:rsidR="009D4A72" w:rsidRPr="001005B7">
        <w:t xml:space="preserve"> </w:t>
      </w:r>
      <w:r w:rsidR="0019748D" w:rsidRPr="001005B7">
        <w:t xml:space="preserve">and </w:t>
      </w:r>
      <w:r w:rsidR="00E321BC" w:rsidRPr="001005B7">
        <w:t>w</w:t>
      </w:r>
      <w:r w:rsidR="00870556" w:rsidRPr="001005B7">
        <w:t xml:space="preserve">e </w:t>
      </w:r>
      <w:r w:rsidR="0098589C" w:rsidRPr="001005B7">
        <w:t>have inherited</w:t>
      </w:r>
      <w:r w:rsidR="00870556" w:rsidRPr="001005B7">
        <w:t xml:space="preserve"> the </w:t>
      </w:r>
      <w:r w:rsidR="00AD242B" w:rsidRPr="001005B7">
        <w:t xml:space="preserve">messages </w:t>
      </w:r>
      <w:r w:rsidR="00E321BC" w:rsidRPr="001005B7">
        <w:t>he spoke</w:t>
      </w:r>
      <w:r w:rsidR="00AD242B" w:rsidRPr="001005B7">
        <w:t xml:space="preserve">. </w:t>
      </w:r>
      <w:r w:rsidR="00311E8A" w:rsidRPr="001005B7">
        <w:t>This revelation</w:t>
      </w:r>
      <w:r w:rsidR="00AD242B" w:rsidRPr="001005B7">
        <w:t xml:space="preserve"> therefore demands our attentiveness.</w:t>
      </w:r>
      <w:r w:rsidR="00011C97" w:rsidRPr="001005B7">
        <w:t xml:space="preserve"> </w:t>
      </w:r>
    </w:p>
    <w:p w14:paraId="1605FB9D" w14:textId="1157AC6E" w:rsidR="00C35D22" w:rsidRPr="001005B7" w:rsidRDefault="00696937" w:rsidP="00B406C8">
      <w:pPr>
        <w:tabs>
          <w:tab w:val="left" w:pos="6237"/>
        </w:tabs>
      </w:pPr>
      <w:r w:rsidRPr="001005B7">
        <w:t xml:space="preserve">Perhaps </w:t>
      </w:r>
      <w:r w:rsidR="002D76CD" w:rsidRPr="001005B7">
        <w:t>t</w:t>
      </w:r>
      <w:r w:rsidR="006756CE" w:rsidRPr="001005B7">
        <w:t>he heavens open by the faith of the believer</w:t>
      </w:r>
      <w:r w:rsidR="003600AB" w:rsidRPr="001005B7">
        <w:t xml:space="preserve"> (Jerome, 17)</w:t>
      </w:r>
      <w:r w:rsidR="00220764" w:rsidRPr="001005B7">
        <w:t xml:space="preserve">. </w:t>
      </w:r>
      <w:r w:rsidR="002D76CD" w:rsidRPr="001005B7">
        <w:t xml:space="preserve">But </w:t>
      </w:r>
      <w:r w:rsidR="00D83A76" w:rsidRPr="001005B7">
        <w:t xml:space="preserve">Ezekiel </w:t>
      </w:r>
      <w:r w:rsidR="004C67FF" w:rsidRPr="001005B7">
        <w:t>say</w:t>
      </w:r>
      <w:r w:rsidR="00E83F55" w:rsidRPr="001005B7">
        <w:t>s</w:t>
      </w:r>
      <w:r w:rsidR="004C67FF" w:rsidRPr="001005B7">
        <w:t xml:space="preserve"> </w:t>
      </w:r>
      <w:r w:rsidR="00E83F55" w:rsidRPr="001005B7">
        <w:t>no</w:t>
      </w:r>
      <w:r w:rsidR="004C67FF" w:rsidRPr="001005B7">
        <w:t>thing about being</w:t>
      </w:r>
      <w:r w:rsidR="00D83A76" w:rsidRPr="001005B7">
        <w:t xml:space="preserve"> engaged in</w:t>
      </w:r>
      <w:r w:rsidR="00F97BA8" w:rsidRPr="001005B7">
        <w:t xml:space="preserve"> prayer</w:t>
      </w:r>
      <w:r w:rsidR="00D83A76" w:rsidRPr="001005B7">
        <w:t xml:space="preserve"> when his revelation came. </w:t>
      </w:r>
      <w:r w:rsidR="00F97BA8" w:rsidRPr="001005B7">
        <w:t>S</w:t>
      </w:r>
      <w:r w:rsidR="0045056B" w:rsidRPr="001005B7">
        <w:rPr>
          <w:rFonts w:ascii="Calibri" w:eastAsia="Times New Roman" w:hAnsi="Calibri" w:cs="Calibri"/>
          <w:lang w:eastAsia="en-GB"/>
        </w:rPr>
        <w:t xml:space="preserve">ome </w:t>
      </w:r>
      <w:r w:rsidR="000958B1" w:rsidRPr="001005B7">
        <w:rPr>
          <w:rFonts w:ascii="Calibri" w:eastAsia="Times New Roman" w:hAnsi="Calibri" w:cs="Calibri"/>
          <w:lang w:eastAsia="en-GB"/>
        </w:rPr>
        <w:t>accounts of a divine commission</w:t>
      </w:r>
      <w:r w:rsidR="003A0928" w:rsidRPr="001005B7">
        <w:rPr>
          <w:rFonts w:ascii="Calibri" w:eastAsia="Times New Roman" w:hAnsi="Calibri" w:cs="Calibri"/>
          <w:lang w:eastAsia="en-GB"/>
        </w:rPr>
        <w:t xml:space="preserve"> </w:t>
      </w:r>
      <w:r w:rsidR="0045056B" w:rsidRPr="001005B7">
        <w:rPr>
          <w:rFonts w:ascii="Calibri" w:eastAsia="Times New Roman" w:hAnsi="Calibri" w:cs="Calibri"/>
          <w:lang w:eastAsia="en-GB"/>
        </w:rPr>
        <w:t xml:space="preserve">make a point of noting that the </w:t>
      </w:r>
      <w:r w:rsidR="001C396A" w:rsidRPr="001005B7">
        <w:rPr>
          <w:rFonts w:ascii="Calibri" w:eastAsia="Times New Roman" w:hAnsi="Calibri" w:cs="Calibri"/>
          <w:lang w:eastAsia="en-GB"/>
        </w:rPr>
        <w:t>person commissioned was not looking for such an experience but just going about their life</w:t>
      </w:r>
      <w:r w:rsidR="00AC6A17" w:rsidRPr="001005B7">
        <w:rPr>
          <w:rFonts w:ascii="Calibri" w:eastAsia="Times New Roman" w:hAnsi="Calibri" w:cs="Calibri"/>
          <w:lang w:eastAsia="en-GB"/>
        </w:rPr>
        <w:t xml:space="preserve"> </w:t>
      </w:r>
      <w:r w:rsidR="000958B1" w:rsidRPr="001005B7">
        <w:rPr>
          <w:rFonts w:ascii="Calibri" w:eastAsia="Times New Roman" w:hAnsi="Calibri" w:cs="Calibri"/>
          <w:lang w:eastAsia="en-GB"/>
        </w:rPr>
        <w:t xml:space="preserve">(e.g., Exod </w:t>
      </w:r>
      <w:r w:rsidR="00715614" w:rsidRPr="001005B7">
        <w:rPr>
          <w:rFonts w:ascii="Calibri" w:eastAsia="Times New Roman" w:hAnsi="Calibri" w:cs="Calibri"/>
          <w:lang w:eastAsia="en-GB"/>
        </w:rPr>
        <w:t xml:space="preserve">3; </w:t>
      </w:r>
      <w:r w:rsidR="007425BB" w:rsidRPr="001005B7">
        <w:rPr>
          <w:rFonts w:ascii="Calibri" w:eastAsia="Times New Roman" w:hAnsi="Calibri" w:cs="Calibri"/>
          <w:lang w:eastAsia="en-GB"/>
        </w:rPr>
        <w:t xml:space="preserve">Judg 6; </w:t>
      </w:r>
      <w:r w:rsidR="00FE370E" w:rsidRPr="001005B7">
        <w:rPr>
          <w:rFonts w:ascii="Calibri" w:eastAsia="Times New Roman" w:hAnsi="Calibri" w:cs="Calibri"/>
          <w:lang w:eastAsia="en-GB"/>
        </w:rPr>
        <w:t xml:space="preserve">Amos 7; </w:t>
      </w:r>
      <w:r w:rsidR="00715614" w:rsidRPr="001005B7">
        <w:rPr>
          <w:rFonts w:ascii="Calibri" w:eastAsia="Times New Roman" w:hAnsi="Calibri" w:cs="Calibri"/>
          <w:lang w:eastAsia="en-GB"/>
        </w:rPr>
        <w:t>Acts 9</w:t>
      </w:r>
      <w:r w:rsidR="00AC6A17" w:rsidRPr="001005B7">
        <w:rPr>
          <w:rFonts w:ascii="Calibri" w:eastAsia="Times New Roman" w:hAnsi="Calibri" w:cs="Calibri"/>
          <w:lang w:eastAsia="en-GB"/>
        </w:rPr>
        <w:t>)</w:t>
      </w:r>
      <w:r w:rsidR="00985A6E" w:rsidRPr="001005B7">
        <w:rPr>
          <w:rFonts w:ascii="Calibri" w:eastAsia="Times New Roman" w:hAnsi="Calibri" w:cs="Calibri"/>
          <w:lang w:eastAsia="en-GB"/>
        </w:rPr>
        <w:t>.</w:t>
      </w:r>
      <w:r w:rsidR="00DB2B62" w:rsidRPr="001005B7">
        <w:rPr>
          <w:rFonts w:ascii="Calibri" w:eastAsia="Times New Roman" w:hAnsi="Calibri" w:cs="Calibri"/>
          <w:lang w:eastAsia="en-GB"/>
        </w:rPr>
        <w:t xml:space="preserve"> Ezekiel’s account compares with th</w:t>
      </w:r>
      <w:r w:rsidR="00532EF0" w:rsidRPr="001005B7">
        <w:rPr>
          <w:rFonts w:ascii="Calibri" w:eastAsia="Times New Roman" w:hAnsi="Calibri" w:cs="Calibri"/>
          <w:lang w:eastAsia="en-GB"/>
        </w:rPr>
        <w:t>e</w:t>
      </w:r>
      <w:r w:rsidR="00DB2B62" w:rsidRPr="001005B7">
        <w:rPr>
          <w:rFonts w:ascii="Calibri" w:eastAsia="Times New Roman" w:hAnsi="Calibri" w:cs="Calibri"/>
          <w:lang w:eastAsia="en-GB"/>
        </w:rPr>
        <w:t>m</w:t>
      </w:r>
      <w:r w:rsidR="00390CE3" w:rsidRPr="001005B7">
        <w:rPr>
          <w:rFonts w:ascii="Calibri" w:eastAsia="Times New Roman" w:hAnsi="Calibri" w:cs="Calibri"/>
          <w:lang w:eastAsia="en-GB"/>
        </w:rPr>
        <w:t xml:space="preserve">. </w:t>
      </w:r>
      <w:r w:rsidR="00390CE3" w:rsidRPr="001005B7">
        <w:t>If anything, he</w:t>
      </w:r>
      <w:r w:rsidR="00450853" w:rsidRPr="001005B7">
        <w:t xml:space="preserve"> implies that</w:t>
      </w:r>
      <w:r w:rsidR="00450853" w:rsidRPr="001005B7">
        <w:rPr>
          <w:rFonts w:ascii="Calibri" w:hAnsi="Calibri" w:cs="Calibri"/>
        </w:rPr>
        <w:t xml:space="preserve"> </w:t>
      </w:r>
      <w:r w:rsidR="00450853" w:rsidRPr="001005B7">
        <w:rPr>
          <w:rFonts w:ascii="Calibri" w:eastAsia="Times New Roman" w:hAnsi="Calibri" w:cs="Calibri"/>
          <w:lang w:eastAsia="en-GB"/>
        </w:rPr>
        <w:t>“the Key of Heaven is in the hand of God</w:t>
      </w:r>
      <w:r w:rsidR="00CA4A4A" w:rsidRPr="001005B7">
        <w:rPr>
          <w:rFonts w:ascii="Calibri" w:eastAsia="Times New Roman" w:hAnsi="Calibri" w:cs="Calibri"/>
          <w:lang w:eastAsia="en-GB"/>
        </w:rPr>
        <w:t>” (Greenhill</w:t>
      </w:r>
      <w:r w:rsidR="00B20A58" w:rsidRPr="001005B7">
        <w:rPr>
          <w:rFonts w:ascii="Calibri" w:eastAsia="Times New Roman" w:hAnsi="Calibri" w:cs="Calibri"/>
          <w:lang w:eastAsia="en-GB"/>
        </w:rPr>
        <w:t xml:space="preserve">, </w:t>
      </w:r>
      <w:r w:rsidR="00BD6A2C" w:rsidRPr="001005B7">
        <w:rPr>
          <w:rFonts w:ascii="Calibri" w:eastAsia="Times New Roman" w:hAnsi="Calibri" w:cs="Calibri"/>
          <w:lang w:eastAsia="en-GB"/>
        </w:rPr>
        <w:t>17)</w:t>
      </w:r>
      <w:r w:rsidR="00B20A58" w:rsidRPr="001005B7">
        <w:rPr>
          <w:rFonts w:ascii="Calibri" w:eastAsia="Times New Roman" w:hAnsi="Calibri" w:cs="Calibri"/>
          <w:lang w:eastAsia="en-GB"/>
        </w:rPr>
        <w:t>.</w:t>
      </w:r>
    </w:p>
    <w:p w14:paraId="14578437" w14:textId="3DEE2A65" w:rsidR="00796D5E" w:rsidRPr="001005B7" w:rsidRDefault="00782659" w:rsidP="00493833">
      <w:pPr>
        <w:pStyle w:val="Heading3"/>
      </w:pPr>
      <w:r w:rsidRPr="001005B7">
        <w:t xml:space="preserve">Selected </w:t>
      </w:r>
      <w:r w:rsidR="00796D5E" w:rsidRPr="001005B7">
        <w:t>Bibliography</w:t>
      </w:r>
    </w:p>
    <w:p w14:paraId="47F06890" w14:textId="06D4B2A4" w:rsidR="00627F25" w:rsidRPr="001005B7" w:rsidRDefault="00405D39" w:rsidP="006F5BB0">
      <w:pPr>
        <w:pStyle w:val="ListParagraph"/>
        <w:rPr>
          <w:color w:val="auto"/>
          <w:lang w:val="en-US"/>
        </w:rPr>
      </w:pPr>
      <w:r w:rsidRPr="001005B7">
        <w:rPr>
          <w:color w:val="auto"/>
          <w:lang w:val="en-US"/>
        </w:rPr>
        <w:t xml:space="preserve">Graybill, Rhiannon. </w:t>
      </w:r>
      <w:r w:rsidR="00627F25" w:rsidRPr="001005B7">
        <w:rPr>
          <w:i/>
          <w:iCs/>
          <w:color w:val="auto"/>
          <w:lang w:val="en-US"/>
        </w:rPr>
        <w:t>Are We Not Men? Unstable Masculinity in the Hebrew Prophets</w:t>
      </w:r>
      <w:r w:rsidR="0076799E" w:rsidRPr="001005B7">
        <w:rPr>
          <w:color w:val="auto"/>
          <w:lang w:val="en-US"/>
        </w:rPr>
        <w:t xml:space="preserve">. </w:t>
      </w:r>
      <w:r w:rsidR="007724FC" w:rsidRPr="001005B7">
        <w:rPr>
          <w:color w:val="auto"/>
          <w:lang w:val="en-US"/>
        </w:rPr>
        <w:t>New York:</w:t>
      </w:r>
      <w:r w:rsidR="0076799E" w:rsidRPr="001005B7">
        <w:rPr>
          <w:color w:val="auto"/>
          <w:lang w:val="en-US"/>
        </w:rPr>
        <w:t xml:space="preserve"> Ox</w:t>
      </w:r>
      <w:r w:rsidR="007724FC" w:rsidRPr="001005B7">
        <w:rPr>
          <w:color w:val="auto"/>
          <w:lang w:val="en-US"/>
        </w:rPr>
        <w:t>f</w:t>
      </w:r>
      <w:r w:rsidR="0076799E" w:rsidRPr="001005B7">
        <w:rPr>
          <w:color w:val="auto"/>
          <w:lang w:val="en-US"/>
        </w:rPr>
        <w:t xml:space="preserve">ord University Press, </w:t>
      </w:r>
      <w:r w:rsidR="007724FC" w:rsidRPr="001005B7">
        <w:rPr>
          <w:color w:val="auto"/>
          <w:lang w:val="en-US"/>
        </w:rPr>
        <w:t>2016.</w:t>
      </w:r>
    </w:p>
    <w:p w14:paraId="5CE4D115" w14:textId="59485BA3" w:rsidR="00F87B71" w:rsidRPr="001005B7" w:rsidRDefault="009A43BD" w:rsidP="006F5BB0">
      <w:pPr>
        <w:pStyle w:val="ListParagraph"/>
        <w:rPr>
          <w:color w:val="auto"/>
          <w:lang w:val="en-US"/>
        </w:rPr>
      </w:pPr>
      <w:proofErr w:type="spellStart"/>
      <w:r w:rsidRPr="001005B7">
        <w:rPr>
          <w:color w:val="auto"/>
          <w:lang w:val="en-US"/>
        </w:rPr>
        <w:t>Hil</w:t>
      </w:r>
      <w:r w:rsidR="005F1F57" w:rsidRPr="001005B7">
        <w:rPr>
          <w:color w:val="auto"/>
          <w:lang w:val="en-US"/>
        </w:rPr>
        <w:t>p</w:t>
      </w:r>
      <w:r w:rsidRPr="001005B7">
        <w:rPr>
          <w:color w:val="auto"/>
          <w:lang w:val="en-US"/>
        </w:rPr>
        <w:t>recht</w:t>
      </w:r>
      <w:proofErr w:type="spellEnd"/>
      <w:r w:rsidR="005F1F57" w:rsidRPr="001005B7">
        <w:rPr>
          <w:color w:val="auto"/>
          <w:lang w:val="en-US"/>
        </w:rPr>
        <w:t xml:space="preserve">, H. V., and A. T. Clay. </w:t>
      </w:r>
      <w:r w:rsidR="00F87B71" w:rsidRPr="001005B7">
        <w:rPr>
          <w:i/>
          <w:iCs/>
          <w:color w:val="auto"/>
          <w:lang w:val="en-US"/>
        </w:rPr>
        <w:t xml:space="preserve">Business Documents of </w:t>
      </w:r>
      <w:proofErr w:type="spellStart"/>
      <w:r w:rsidR="00F87B71" w:rsidRPr="001005B7">
        <w:rPr>
          <w:i/>
          <w:iCs/>
          <w:color w:val="auto"/>
          <w:lang w:val="en-US"/>
        </w:rPr>
        <w:t>Murash</w:t>
      </w:r>
      <w:r w:rsidR="0043324F" w:rsidRPr="001005B7">
        <w:rPr>
          <w:i/>
          <w:iCs/>
          <w:color w:val="auto"/>
          <w:lang w:val="en-US"/>
        </w:rPr>
        <w:t>u</w:t>
      </w:r>
      <w:proofErr w:type="spellEnd"/>
      <w:r w:rsidR="00F87B71" w:rsidRPr="001005B7">
        <w:rPr>
          <w:i/>
          <w:iCs/>
          <w:color w:val="auto"/>
          <w:lang w:val="en-US"/>
        </w:rPr>
        <w:t xml:space="preserve"> Sons of Nippur: Dated in the Reign of Artaxerxes I (464-424 B.C.)</w:t>
      </w:r>
      <w:r w:rsidR="009B5E21" w:rsidRPr="001005B7">
        <w:rPr>
          <w:i/>
          <w:iCs/>
          <w:color w:val="auto"/>
          <w:lang w:val="en-US"/>
        </w:rPr>
        <w:t>.</w:t>
      </w:r>
      <w:r w:rsidR="009B5E21" w:rsidRPr="001005B7">
        <w:rPr>
          <w:color w:val="auto"/>
          <w:lang w:val="en-US"/>
        </w:rPr>
        <w:t xml:space="preserve"> </w:t>
      </w:r>
      <w:r w:rsidR="005C4DAB" w:rsidRPr="001005B7">
        <w:rPr>
          <w:color w:val="auto"/>
          <w:lang w:val="en-US"/>
        </w:rPr>
        <w:t>Reprinted Philadelphia: University of Philadelphia, 201</w:t>
      </w:r>
      <w:r w:rsidR="00D005DE" w:rsidRPr="001005B7">
        <w:rPr>
          <w:color w:val="auto"/>
          <w:lang w:val="en-US"/>
        </w:rPr>
        <w:t>6</w:t>
      </w:r>
      <w:r w:rsidR="005C4DAB" w:rsidRPr="001005B7">
        <w:rPr>
          <w:color w:val="auto"/>
          <w:lang w:val="en-US"/>
        </w:rPr>
        <w:t>.</w:t>
      </w:r>
    </w:p>
    <w:p w14:paraId="6BB9CDC7" w14:textId="63BC6116" w:rsidR="00DB0650" w:rsidRPr="001005B7" w:rsidRDefault="00C920D7" w:rsidP="006F5BB0">
      <w:pPr>
        <w:pStyle w:val="ListParagraph"/>
        <w:rPr>
          <w:color w:val="auto"/>
          <w:lang w:val="en-US"/>
        </w:rPr>
      </w:pPr>
      <w:r w:rsidRPr="001005B7">
        <w:rPr>
          <w:color w:val="auto"/>
          <w:lang w:val="en-US"/>
        </w:rPr>
        <w:t>Koch</w:t>
      </w:r>
      <w:r w:rsidR="000D712D" w:rsidRPr="001005B7">
        <w:rPr>
          <w:color w:val="auto"/>
          <w:lang w:val="en-US"/>
        </w:rPr>
        <w:t>, Christoph</w:t>
      </w:r>
      <w:r w:rsidR="00DB0650" w:rsidRPr="001005B7">
        <w:rPr>
          <w:color w:val="auto"/>
          <w:lang w:val="en-US"/>
        </w:rPr>
        <w:t>.</w:t>
      </w:r>
      <w:r w:rsidR="00B406C8" w:rsidRPr="001005B7">
        <w:rPr>
          <w:color w:val="auto"/>
          <w:lang w:val="en-US"/>
        </w:rPr>
        <w:t xml:space="preserve"> </w:t>
      </w:r>
      <w:proofErr w:type="spellStart"/>
      <w:r w:rsidR="00DB0650" w:rsidRPr="001005B7">
        <w:rPr>
          <w:rStyle w:val="Strong"/>
          <w:b w:val="0"/>
          <w:bCs w:val="0"/>
          <w:i/>
          <w:iCs/>
          <w:color w:val="auto"/>
          <w:bdr w:val="none" w:sz="0" w:space="0" w:color="auto" w:frame="1"/>
          <w:lang w:val="en-US"/>
        </w:rPr>
        <w:t>Gottes</w:t>
      </w:r>
      <w:proofErr w:type="spellEnd"/>
      <w:r w:rsidR="00DB0650" w:rsidRPr="001005B7">
        <w:rPr>
          <w:color w:val="auto"/>
          <w:bdr w:val="none" w:sz="0" w:space="0" w:color="auto" w:frame="1"/>
          <w:lang w:val="en-US"/>
        </w:rPr>
        <w:t> </w:t>
      </w:r>
      <w:proofErr w:type="spellStart"/>
      <w:r w:rsidR="00DB0650" w:rsidRPr="001005B7">
        <w:rPr>
          <w:rStyle w:val="Strong"/>
          <w:b w:val="0"/>
          <w:bCs w:val="0"/>
          <w:i/>
          <w:iCs/>
          <w:color w:val="auto"/>
          <w:bdr w:val="none" w:sz="0" w:space="0" w:color="auto" w:frame="1"/>
          <w:lang w:val="en-US"/>
        </w:rPr>
        <w:t>himmlische</w:t>
      </w:r>
      <w:proofErr w:type="spellEnd"/>
      <w:r w:rsidR="00DB0650" w:rsidRPr="001005B7">
        <w:rPr>
          <w:color w:val="auto"/>
          <w:bdr w:val="none" w:sz="0" w:space="0" w:color="auto" w:frame="1"/>
          <w:lang w:val="en-US"/>
        </w:rPr>
        <w:t> </w:t>
      </w:r>
      <w:proofErr w:type="spellStart"/>
      <w:r w:rsidR="00DB0650" w:rsidRPr="001005B7">
        <w:rPr>
          <w:rStyle w:val="Strong"/>
          <w:b w:val="0"/>
          <w:bCs w:val="0"/>
          <w:i/>
          <w:iCs/>
          <w:color w:val="auto"/>
          <w:bdr w:val="none" w:sz="0" w:space="0" w:color="auto" w:frame="1"/>
          <w:lang w:val="en-US"/>
        </w:rPr>
        <w:t>Wohnstatt</w:t>
      </w:r>
      <w:proofErr w:type="spellEnd"/>
      <w:r w:rsidR="00B406C8" w:rsidRPr="001005B7">
        <w:rPr>
          <w:i/>
          <w:iCs/>
          <w:color w:val="auto"/>
          <w:bdr w:val="none" w:sz="0" w:space="0" w:color="auto" w:frame="1"/>
          <w:lang w:val="en-US"/>
        </w:rPr>
        <w:t>:</w:t>
      </w:r>
      <w:r w:rsidR="00DB0650" w:rsidRPr="001005B7">
        <w:rPr>
          <w:i/>
          <w:iCs/>
          <w:color w:val="auto"/>
          <w:bdr w:val="none" w:sz="0" w:space="0" w:color="auto" w:frame="1"/>
          <w:lang w:val="en-US"/>
        </w:rPr>
        <w:t xml:space="preserve"> </w:t>
      </w:r>
      <w:proofErr w:type="spellStart"/>
      <w:r w:rsidR="00DB0650" w:rsidRPr="001005B7">
        <w:rPr>
          <w:i/>
          <w:iCs/>
          <w:color w:val="auto"/>
          <w:bdr w:val="none" w:sz="0" w:space="0" w:color="auto" w:frame="1"/>
          <w:lang w:val="en-US"/>
        </w:rPr>
        <w:t>Transformationen</w:t>
      </w:r>
      <w:proofErr w:type="spellEnd"/>
      <w:r w:rsidR="00DB0650" w:rsidRPr="001005B7">
        <w:rPr>
          <w:i/>
          <w:iCs/>
          <w:color w:val="auto"/>
          <w:bdr w:val="none" w:sz="0" w:space="0" w:color="auto" w:frame="1"/>
          <w:lang w:val="en-US"/>
        </w:rPr>
        <w:t xml:space="preserve"> </w:t>
      </w:r>
      <w:proofErr w:type="spellStart"/>
      <w:r w:rsidR="00DB0650" w:rsidRPr="001005B7">
        <w:rPr>
          <w:i/>
          <w:iCs/>
          <w:color w:val="auto"/>
          <w:bdr w:val="none" w:sz="0" w:space="0" w:color="auto" w:frame="1"/>
          <w:lang w:val="en-US"/>
        </w:rPr>
        <w:t>im</w:t>
      </w:r>
      <w:proofErr w:type="spellEnd"/>
      <w:r w:rsidR="00DB0650" w:rsidRPr="001005B7">
        <w:rPr>
          <w:i/>
          <w:iCs/>
          <w:color w:val="auto"/>
          <w:bdr w:val="none" w:sz="0" w:space="0" w:color="auto" w:frame="1"/>
          <w:lang w:val="en-US"/>
        </w:rPr>
        <w:t xml:space="preserve"> </w:t>
      </w:r>
      <w:proofErr w:type="spellStart"/>
      <w:r w:rsidR="00DB0650" w:rsidRPr="001005B7">
        <w:rPr>
          <w:i/>
          <w:iCs/>
          <w:color w:val="auto"/>
          <w:bdr w:val="none" w:sz="0" w:space="0" w:color="auto" w:frame="1"/>
          <w:lang w:val="en-US"/>
        </w:rPr>
        <w:t>Verhältnis</w:t>
      </w:r>
      <w:proofErr w:type="spellEnd"/>
      <w:r w:rsidR="00DB0650" w:rsidRPr="001005B7">
        <w:rPr>
          <w:i/>
          <w:iCs/>
          <w:color w:val="auto"/>
          <w:bdr w:val="none" w:sz="0" w:space="0" w:color="auto" w:frame="1"/>
          <w:lang w:val="en-US"/>
        </w:rPr>
        <w:t xml:space="preserve"> von Gott und Himmel in </w:t>
      </w:r>
      <w:proofErr w:type="spellStart"/>
      <w:r w:rsidR="00DB0650" w:rsidRPr="001005B7">
        <w:rPr>
          <w:i/>
          <w:iCs/>
          <w:color w:val="auto"/>
          <w:bdr w:val="none" w:sz="0" w:space="0" w:color="auto" w:frame="1"/>
          <w:lang w:val="en-US"/>
        </w:rPr>
        <w:t>tempeltheologischen</w:t>
      </w:r>
      <w:proofErr w:type="spellEnd"/>
      <w:r w:rsidR="00DB0650" w:rsidRPr="001005B7">
        <w:rPr>
          <w:i/>
          <w:iCs/>
          <w:color w:val="auto"/>
          <w:bdr w:val="none" w:sz="0" w:space="0" w:color="auto" w:frame="1"/>
          <w:lang w:val="en-US"/>
        </w:rPr>
        <w:t xml:space="preserve"> </w:t>
      </w:r>
      <w:proofErr w:type="spellStart"/>
      <w:r w:rsidR="00DB0650" w:rsidRPr="001005B7">
        <w:rPr>
          <w:i/>
          <w:iCs/>
          <w:color w:val="auto"/>
          <w:bdr w:val="none" w:sz="0" w:space="0" w:color="auto" w:frame="1"/>
          <w:lang w:val="en-US"/>
        </w:rPr>
        <w:t>Entwürfen</w:t>
      </w:r>
      <w:proofErr w:type="spellEnd"/>
      <w:r w:rsidR="00DB0650" w:rsidRPr="001005B7">
        <w:rPr>
          <w:i/>
          <w:iCs/>
          <w:color w:val="auto"/>
          <w:bdr w:val="none" w:sz="0" w:space="0" w:color="auto" w:frame="1"/>
          <w:lang w:val="en-US"/>
        </w:rPr>
        <w:t xml:space="preserve"> des </w:t>
      </w:r>
      <w:proofErr w:type="spellStart"/>
      <w:r w:rsidR="00DB0650" w:rsidRPr="001005B7">
        <w:rPr>
          <w:i/>
          <w:iCs/>
          <w:color w:val="auto"/>
          <w:bdr w:val="none" w:sz="0" w:space="0" w:color="auto" w:frame="1"/>
          <w:lang w:val="en-US"/>
        </w:rPr>
        <w:t>Alten</w:t>
      </w:r>
      <w:proofErr w:type="spellEnd"/>
      <w:r w:rsidR="00DB0650" w:rsidRPr="001005B7">
        <w:rPr>
          <w:i/>
          <w:iCs/>
          <w:color w:val="auto"/>
          <w:bdr w:val="none" w:sz="0" w:space="0" w:color="auto" w:frame="1"/>
          <w:lang w:val="en-US"/>
        </w:rPr>
        <w:t xml:space="preserve"> Testaments in der </w:t>
      </w:r>
      <w:proofErr w:type="spellStart"/>
      <w:r w:rsidR="00DB0650" w:rsidRPr="001005B7">
        <w:rPr>
          <w:i/>
          <w:iCs/>
          <w:color w:val="auto"/>
          <w:bdr w:val="none" w:sz="0" w:space="0" w:color="auto" w:frame="1"/>
          <w:lang w:val="en-US"/>
        </w:rPr>
        <w:t>Exilszeit</w:t>
      </w:r>
      <w:proofErr w:type="spellEnd"/>
      <w:r w:rsidR="008F1EE0" w:rsidRPr="001005B7">
        <w:rPr>
          <w:color w:val="auto"/>
          <w:bdr w:val="none" w:sz="0" w:space="0" w:color="auto" w:frame="1"/>
          <w:lang w:val="en-US"/>
        </w:rPr>
        <w:t xml:space="preserve">. FAT </w:t>
      </w:r>
      <w:r w:rsidR="009F377B" w:rsidRPr="001005B7">
        <w:rPr>
          <w:color w:val="auto"/>
          <w:bdr w:val="none" w:sz="0" w:space="0" w:color="auto" w:frame="1"/>
          <w:lang w:val="en-US"/>
        </w:rPr>
        <w:t xml:space="preserve">119. </w:t>
      </w:r>
      <w:r w:rsidR="00F94CE7" w:rsidRPr="001005B7">
        <w:rPr>
          <w:color w:val="auto"/>
          <w:lang w:val="en-US"/>
        </w:rPr>
        <w:t>Tübingen: Mohr</w:t>
      </w:r>
      <w:r w:rsidR="00132E8F" w:rsidRPr="001005B7">
        <w:rPr>
          <w:color w:val="auto"/>
          <w:lang w:val="en-US"/>
        </w:rPr>
        <w:t xml:space="preserve"> </w:t>
      </w:r>
      <w:proofErr w:type="spellStart"/>
      <w:r w:rsidR="00132E8F" w:rsidRPr="001005B7">
        <w:rPr>
          <w:color w:val="auto"/>
          <w:lang w:val="en-US"/>
        </w:rPr>
        <w:t>Siebeck</w:t>
      </w:r>
      <w:proofErr w:type="spellEnd"/>
      <w:r w:rsidR="00132E8F" w:rsidRPr="001005B7">
        <w:rPr>
          <w:color w:val="auto"/>
          <w:lang w:val="en-US"/>
        </w:rPr>
        <w:t>,</w:t>
      </w:r>
      <w:r w:rsidR="009F377B" w:rsidRPr="001005B7">
        <w:rPr>
          <w:color w:val="auto"/>
          <w:bdr w:val="none" w:sz="0" w:space="0" w:color="auto" w:frame="1"/>
          <w:lang w:val="en-US"/>
        </w:rPr>
        <w:t xml:space="preserve"> 2018.</w:t>
      </w:r>
    </w:p>
    <w:p w14:paraId="281CF742" w14:textId="65771454" w:rsidR="009A43BD" w:rsidRPr="001005B7" w:rsidRDefault="009E1F9D" w:rsidP="006F5BB0">
      <w:pPr>
        <w:pStyle w:val="ListParagraph"/>
        <w:rPr>
          <w:color w:val="auto"/>
          <w:lang w:val="en-US"/>
        </w:rPr>
      </w:pPr>
      <w:r w:rsidRPr="001005B7">
        <w:rPr>
          <w:color w:val="auto"/>
          <w:lang w:val="en-US"/>
        </w:rPr>
        <w:t>Lust, J</w:t>
      </w:r>
      <w:r w:rsidR="006C150E" w:rsidRPr="001005B7">
        <w:rPr>
          <w:color w:val="auto"/>
          <w:lang w:val="en-US"/>
        </w:rPr>
        <w:t>ohan</w:t>
      </w:r>
      <w:r w:rsidRPr="001005B7">
        <w:rPr>
          <w:color w:val="auto"/>
          <w:lang w:val="en-US"/>
        </w:rPr>
        <w:t xml:space="preserve">. </w:t>
      </w:r>
      <w:r w:rsidR="00651B04" w:rsidRPr="001005B7">
        <w:rPr>
          <w:color w:val="auto"/>
          <w:lang w:val="en-US"/>
        </w:rPr>
        <w:t>“Notes to the Septuagint: Ezekiel 1</w:t>
      </w:r>
      <w:r w:rsidR="00F46900" w:rsidRPr="001005B7">
        <w:rPr>
          <w:color w:val="auto"/>
          <w:lang w:val="en-US"/>
        </w:rPr>
        <w:t>–</w:t>
      </w:r>
      <w:r w:rsidR="00651B04" w:rsidRPr="001005B7">
        <w:rPr>
          <w:color w:val="auto"/>
          <w:lang w:val="en-US"/>
        </w:rPr>
        <w:t xml:space="preserve">2.” </w:t>
      </w:r>
      <w:r w:rsidR="00651B04" w:rsidRPr="001005B7">
        <w:rPr>
          <w:i/>
          <w:iCs/>
          <w:color w:val="auto"/>
          <w:lang w:val="en-US"/>
        </w:rPr>
        <w:t>ETL</w:t>
      </w:r>
      <w:r w:rsidR="00651B04" w:rsidRPr="001005B7">
        <w:rPr>
          <w:color w:val="auto"/>
          <w:lang w:val="en-US"/>
        </w:rPr>
        <w:t xml:space="preserve"> 75 (1999): 5</w:t>
      </w:r>
      <w:r w:rsidR="00F46900" w:rsidRPr="001005B7">
        <w:rPr>
          <w:color w:val="auto"/>
          <w:lang w:val="en-US"/>
        </w:rPr>
        <w:t>–</w:t>
      </w:r>
      <w:r w:rsidR="00651B04" w:rsidRPr="001005B7">
        <w:rPr>
          <w:color w:val="auto"/>
          <w:lang w:val="en-US"/>
        </w:rPr>
        <w:t>31.</w:t>
      </w:r>
    </w:p>
    <w:p w14:paraId="2697730E" w14:textId="77777777" w:rsidR="004D14DA" w:rsidRDefault="00353D27" w:rsidP="004D14DA">
      <w:pPr>
        <w:pStyle w:val="ListParagraph"/>
        <w:rPr>
          <w:color w:val="auto"/>
          <w:lang w:val="en-US"/>
        </w:rPr>
      </w:pPr>
      <w:r w:rsidRPr="001005B7">
        <w:rPr>
          <w:color w:val="auto"/>
          <w:lang w:val="en-US"/>
        </w:rPr>
        <w:t xml:space="preserve">Miller, James E. “The Thirtieth Year of Ezekiel 1:1.” </w:t>
      </w:r>
      <w:r w:rsidRPr="001005B7">
        <w:rPr>
          <w:i/>
          <w:iCs/>
          <w:color w:val="auto"/>
          <w:lang w:val="en-US"/>
        </w:rPr>
        <w:t>RB</w:t>
      </w:r>
      <w:r w:rsidRPr="001005B7">
        <w:rPr>
          <w:color w:val="auto"/>
          <w:lang w:val="en-US"/>
        </w:rPr>
        <w:t xml:space="preserve"> 99 (1992): 499</w:t>
      </w:r>
      <w:r w:rsidR="00F46900" w:rsidRPr="001005B7">
        <w:rPr>
          <w:color w:val="auto"/>
          <w:lang w:val="en-US"/>
        </w:rPr>
        <w:t>–</w:t>
      </w:r>
      <w:r w:rsidRPr="001005B7">
        <w:rPr>
          <w:color w:val="auto"/>
          <w:lang w:val="en-US"/>
        </w:rPr>
        <w:t xml:space="preserve">503. </w:t>
      </w:r>
    </w:p>
    <w:p w14:paraId="5A6DE29C" w14:textId="16F0952C" w:rsidR="00AB4097" w:rsidRPr="004D14DA" w:rsidRDefault="00AB4097" w:rsidP="004D14DA">
      <w:pPr>
        <w:pStyle w:val="ListParagraph"/>
        <w:rPr>
          <w:color w:val="auto"/>
          <w:lang w:val="en-US"/>
        </w:rPr>
      </w:pPr>
      <w:r w:rsidRPr="001005B7">
        <w:t>Mills, Mary E.</w:t>
      </w:r>
      <w:r w:rsidR="00391440">
        <w:t xml:space="preserve"> </w:t>
      </w:r>
      <w:proofErr w:type="spellStart"/>
      <w:r w:rsidRPr="001005B7">
        <w:rPr>
          <w:i/>
          <w:iCs/>
        </w:rPr>
        <w:t>Alterity</w:t>
      </w:r>
      <w:proofErr w:type="spellEnd"/>
      <w:r w:rsidRPr="001005B7">
        <w:rPr>
          <w:i/>
          <w:iCs/>
        </w:rPr>
        <w:t xml:space="preserve">, Pain, and </w:t>
      </w:r>
      <w:proofErr w:type="spellStart"/>
      <w:r w:rsidRPr="001005B7">
        <w:rPr>
          <w:i/>
          <w:iCs/>
        </w:rPr>
        <w:t>Suffering</w:t>
      </w:r>
      <w:proofErr w:type="spellEnd"/>
      <w:r w:rsidRPr="001005B7">
        <w:rPr>
          <w:i/>
          <w:iCs/>
        </w:rPr>
        <w:t xml:space="preserve"> in Isaiah, Jeremiah, and Ezekiel</w:t>
      </w:r>
      <w:r w:rsidRPr="001005B7">
        <w:t>. LHBOTS 479. London: T&amp;T Clark, 2007.</w:t>
      </w:r>
    </w:p>
    <w:p w14:paraId="46100033" w14:textId="7B4752EC" w:rsidR="00863189" w:rsidRPr="001005B7" w:rsidRDefault="00B671B3" w:rsidP="00863189">
      <w:pPr>
        <w:spacing w:after="60" w:line="240" w:lineRule="auto"/>
        <w:ind w:left="567" w:hanging="567"/>
        <w:rPr>
          <w:rFonts w:ascii="Calibri" w:eastAsia="Times New Roman" w:hAnsi="Calibri" w:cs="Calibri"/>
          <w:lang w:eastAsia="en-GB"/>
        </w:rPr>
      </w:pPr>
      <w:r w:rsidRPr="001005B7">
        <w:rPr>
          <w:rFonts w:ascii="Calibri" w:eastAsia="Times New Roman" w:hAnsi="Calibri" w:cs="Calibri"/>
          <w:lang w:eastAsia="en-GB"/>
        </w:rPr>
        <w:t>Pearce, L. E. "Continuity and Normality in Sources Relating to the Judean Exile</w:t>
      </w:r>
      <w:r w:rsidR="00B2575E" w:rsidRPr="001005B7">
        <w:rPr>
          <w:rFonts w:ascii="Calibri" w:eastAsia="Times New Roman" w:hAnsi="Calibri" w:cs="Calibri"/>
          <w:lang w:eastAsia="en-GB"/>
        </w:rPr>
        <w:t>.</w:t>
      </w:r>
      <w:r w:rsidRPr="001005B7">
        <w:rPr>
          <w:rFonts w:ascii="Calibri" w:eastAsia="Times New Roman" w:hAnsi="Calibri" w:cs="Calibri"/>
          <w:lang w:eastAsia="en-GB"/>
        </w:rPr>
        <w:t>" </w:t>
      </w:r>
      <w:proofErr w:type="spellStart"/>
      <w:r w:rsidRPr="001005B7">
        <w:rPr>
          <w:rFonts w:ascii="Calibri" w:eastAsia="Times New Roman" w:hAnsi="Calibri" w:cs="Calibri"/>
          <w:i/>
          <w:iCs/>
          <w:lang w:eastAsia="en-GB"/>
        </w:rPr>
        <w:t>HeBAI</w:t>
      </w:r>
      <w:proofErr w:type="spellEnd"/>
      <w:r w:rsidRPr="001005B7">
        <w:rPr>
          <w:rFonts w:ascii="Calibri" w:eastAsia="Times New Roman" w:hAnsi="Calibri" w:cs="Calibri"/>
          <w:lang w:eastAsia="en-GB"/>
        </w:rPr>
        <w:t> 3 (2014)</w:t>
      </w:r>
      <w:r w:rsidR="00B2575E" w:rsidRPr="001005B7">
        <w:rPr>
          <w:rFonts w:ascii="Calibri" w:eastAsia="Times New Roman" w:hAnsi="Calibri" w:cs="Calibri"/>
          <w:lang w:eastAsia="en-GB"/>
        </w:rPr>
        <w:t>:</w:t>
      </w:r>
      <w:r w:rsidRPr="001005B7">
        <w:rPr>
          <w:rFonts w:ascii="Calibri" w:eastAsia="Times New Roman" w:hAnsi="Calibri" w:cs="Calibri"/>
          <w:lang w:eastAsia="en-GB"/>
        </w:rPr>
        <w:t xml:space="preserve"> 163</w:t>
      </w:r>
      <w:r w:rsidR="00F46900" w:rsidRPr="001005B7">
        <w:rPr>
          <w:rFonts w:ascii="Calibri" w:eastAsia="Times New Roman" w:hAnsi="Calibri" w:cs="Calibri"/>
          <w:lang w:eastAsia="en-GB"/>
        </w:rPr>
        <w:t>–</w:t>
      </w:r>
      <w:r w:rsidRPr="001005B7">
        <w:rPr>
          <w:rFonts w:ascii="Calibri" w:eastAsia="Times New Roman" w:hAnsi="Calibri" w:cs="Calibri"/>
          <w:lang w:eastAsia="en-GB"/>
        </w:rPr>
        <w:t>84.</w:t>
      </w:r>
    </w:p>
    <w:p w14:paraId="58C75CB0" w14:textId="49F673F1" w:rsidR="00B42416" w:rsidRPr="001005B7" w:rsidRDefault="0082465D" w:rsidP="00863189">
      <w:pPr>
        <w:spacing w:after="60" w:line="240" w:lineRule="auto"/>
        <w:ind w:left="567" w:hanging="567"/>
        <w:rPr>
          <w:rFonts w:ascii="Calibri" w:eastAsia="Times New Roman" w:hAnsi="Calibri" w:cs="Calibri"/>
          <w:lang w:eastAsia="en-GB"/>
        </w:rPr>
      </w:pPr>
      <w:r w:rsidRPr="001005B7">
        <w:rPr>
          <w:rFonts w:ascii="Calibri" w:eastAsia="Times New Roman" w:hAnsi="Calibri" w:cs="Calibri"/>
          <w:lang w:eastAsia="en-GB"/>
        </w:rPr>
        <w:t xml:space="preserve">Phinney, D. Nathan. </w:t>
      </w:r>
      <w:r w:rsidR="00B42416" w:rsidRPr="001005B7">
        <w:rPr>
          <w:rFonts w:ascii="Calibri" w:eastAsia="Times New Roman" w:hAnsi="Calibri" w:cs="Calibri"/>
          <w:lang w:eastAsia="en-GB"/>
        </w:rPr>
        <w:t xml:space="preserve">“Life Writing in Ezekiel and </w:t>
      </w:r>
      <w:r w:rsidR="000845CE" w:rsidRPr="001005B7">
        <w:rPr>
          <w:rFonts w:ascii="Calibri" w:eastAsia="Times New Roman" w:hAnsi="Calibri" w:cs="Calibri"/>
          <w:lang w:eastAsia="en-GB"/>
        </w:rPr>
        <w:t xml:space="preserve">First </w:t>
      </w:r>
      <w:r w:rsidR="00B42416" w:rsidRPr="001005B7">
        <w:rPr>
          <w:rFonts w:ascii="Calibri" w:eastAsia="Times New Roman" w:hAnsi="Calibri" w:cs="Calibri"/>
          <w:lang w:eastAsia="en-GB"/>
        </w:rPr>
        <w:t>Zechariah.”</w:t>
      </w:r>
      <w:r w:rsidR="00424767" w:rsidRPr="001005B7">
        <w:rPr>
          <w:rFonts w:ascii="Calibri" w:eastAsia="Times New Roman" w:hAnsi="Calibri" w:cs="Calibri"/>
          <w:lang w:eastAsia="en-GB"/>
        </w:rPr>
        <w:t xml:space="preserve"> </w:t>
      </w:r>
      <w:r w:rsidR="00424767" w:rsidRPr="001005B7">
        <w:t xml:space="preserve">In Mark J. </w:t>
      </w:r>
      <w:proofErr w:type="spellStart"/>
      <w:r w:rsidR="00424767" w:rsidRPr="001005B7">
        <w:t>Boda</w:t>
      </w:r>
      <w:proofErr w:type="spellEnd"/>
      <w:r w:rsidR="00424767" w:rsidRPr="001005B7">
        <w:t xml:space="preserve"> and Michael Floyd, ed., </w:t>
      </w:r>
      <w:r w:rsidR="00424767" w:rsidRPr="001005B7">
        <w:rPr>
          <w:i/>
          <w:iCs/>
        </w:rPr>
        <w:t>Tradition in Transition: Haggai and Zechariah 1</w:t>
      </w:r>
      <w:r w:rsidR="00F46900" w:rsidRPr="001005B7">
        <w:rPr>
          <w:i/>
          <w:iCs/>
        </w:rPr>
        <w:t>–</w:t>
      </w:r>
      <w:r w:rsidR="00424767" w:rsidRPr="001005B7">
        <w:rPr>
          <w:i/>
          <w:iCs/>
        </w:rPr>
        <w:t>8 in the Trajectory of Hebrew Theology</w:t>
      </w:r>
      <w:r w:rsidR="000579A0" w:rsidRPr="001005B7">
        <w:t xml:space="preserve">, </w:t>
      </w:r>
      <w:r w:rsidR="0064137C" w:rsidRPr="001005B7">
        <w:t>83</w:t>
      </w:r>
      <w:r w:rsidR="00F46900" w:rsidRPr="001005B7">
        <w:t>–</w:t>
      </w:r>
      <w:r w:rsidR="0064137C" w:rsidRPr="001005B7">
        <w:t>103.</w:t>
      </w:r>
      <w:r w:rsidR="005B307B" w:rsidRPr="001005B7">
        <w:t xml:space="preserve"> </w:t>
      </w:r>
      <w:r w:rsidR="00BD2B26" w:rsidRPr="001005B7">
        <w:t xml:space="preserve">LHBOTS </w:t>
      </w:r>
      <w:r w:rsidR="005B307B" w:rsidRPr="001005B7">
        <w:t xml:space="preserve">475. </w:t>
      </w:r>
      <w:r w:rsidR="00BD2B26" w:rsidRPr="001005B7">
        <w:t>London: T&amp;T Clark, 2008.</w:t>
      </w:r>
    </w:p>
    <w:p w14:paraId="2ACF2B29" w14:textId="15583896" w:rsidR="0082465D" w:rsidRPr="001005B7" w:rsidRDefault="003B0FF6" w:rsidP="00863189">
      <w:pPr>
        <w:spacing w:after="60" w:line="240" w:lineRule="auto"/>
        <w:ind w:left="567" w:hanging="567"/>
      </w:pPr>
      <w:r w:rsidRPr="001005B7">
        <w:rPr>
          <w:i/>
          <w:iCs/>
        </w:rPr>
        <w:t xml:space="preserve">––– </w:t>
      </w:r>
      <w:r w:rsidR="00EB1BD1" w:rsidRPr="001005B7">
        <w:rPr>
          <w:rFonts w:ascii="Calibri" w:eastAsia="Times New Roman" w:hAnsi="Calibri" w:cs="Calibri"/>
          <w:lang w:eastAsia="en-GB"/>
        </w:rPr>
        <w:t>“</w:t>
      </w:r>
      <w:r w:rsidR="00B42416" w:rsidRPr="001005B7">
        <w:rPr>
          <w:rFonts w:ascii="Calibri" w:eastAsia="Times New Roman" w:hAnsi="Calibri" w:cs="Calibri"/>
          <w:lang w:eastAsia="en-GB"/>
        </w:rPr>
        <w:t>Portraying</w:t>
      </w:r>
      <w:r w:rsidR="00EB1BD1" w:rsidRPr="001005B7">
        <w:rPr>
          <w:rFonts w:ascii="Calibri" w:eastAsia="Times New Roman" w:hAnsi="Calibri" w:cs="Calibri"/>
          <w:lang w:eastAsia="en-GB"/>
        </w:rPr>
        <w:t xml:space="preserve"> Prophetic Experience and Tradition in Ezekiel.”</w:t>
      </w:r>
      <w:r w:rsidR="004D4DBF" w:rsidRPr="001005B7">
        <w:rPr>
          <w:rFonts w:ascii="Calibri" w:eastAsia="Times New Roman" w:hAnsi="Calibri" w:cs="Calibri"/>
          <w:lang w:eastAsia="en-GB"/>
        </w:rPr>
        <w:t xml:space="preserve"> In </w:t>
      </w:r>
      <w:r w:rsidR="004D4DBF" w:rsidRPr="001005B7">
        <w:t xml:space="preserve">John J. Ahn and Stephen L. Cook, ed., </w:t>
      </w:r>
      <w:r w:rsidR="004D4DBF" w:rsidRPr="001005B7">
        <w:rPr>
          <w:i/>
          <w:iCs/>
        </w:rPr>
        <w:t>Thus Says the LORD: Essays on the Former and Latter Prophets in Honor of Robert R. Wilson</w:t>
      </w:r>
      <w:r w:rsidR="004D4DBF" w:rsidRPr="001005B7">
        <w:t xml:space="preserve">, </w:t>
      </w:r>
      <w:r w:rsidR="006C76E1" w:rsidRPr="001005B7">
        <w:t>234</w:t>
      </w:r>
      <w:r w:rsidR="00F46900" w:rsidRPr="001005B7">
        <w:t>–</w:t>
      </w:r>
      <w:r w:rsidR="006C76E1" w:rsidRPr="001005B7">
        <w:t xml:space="preserve">43. </w:t>
      </w:r>
      <w:r w:rsidR="008D0338" w:rsidRPr="001005B7">
        <w:t>LHBOTS 502. London: T&amp;T Clark, 2009.</w:t>
      </w:r>
    </w:p>
    <w:p w14:paraId="08C0BFA6" w14:textId="5C7F7E8A" w:rsidR="00863189" w:rsidRPr="001005B7" w:rsidRDefault="00863189" w:rsidP="00863189">
      <w:pPr>
        <w:spacing w:after="60" w:line="240" w:lineRule="auto"/>
        <w:ind w:left="567" w:hanging="567"/>
        <w:rPr>
          <w:rFonts w:ascii="Calibri" w:eastAsia="Times New Roman" w:hAnsi="Calibri" w:cs="Calibri"/>
          <w:lang w:eastAsia="en-GB"/>
        </w:rPr>
      </w:pPr>
      <w:proofErr w:type="spellStart"/>
      <w:r w:rsidRPr="001005B7">
        <w:t>Strine</w:t>
      </w:r>
      <w:proofErr w:type="spellEnd"/>
      <w:r w:rsidRPr="001005B7">
        <w:t>, C. A. “Was the Book of Ezekiel Written in a Refugee Camp? An Investigation</w:t>
      </w:r>
      <w:r w:rsidR="00282B04" w:rsidRPr="001005B7">
        <w:t>.</w:t>
      </w:r>
      <w:r w:rsidRPr="001005B7">
        <w:t xml:space="preserve">” </w:t>
      </w:r>
      <w:proofErr w:type="spellStart"/>
      <w:r w:rsidR="00451EC5" w:rsidRPr="001005B7">
        <w:rPr>
          <w:i/>
          <w:iCs/>
        </w:rPr>
        <w:t>HeBAI</w:t>
      </w:r>
      <w:proofErr w:type="spellEnd"/>
      <w:r w:rsidR="00451EC5" w:rsidRPr="001005B7">
        <w:rPr>
          <w:i/>
          <w:iCs/>
        </w:rPr>
        <w:t xml:space="preserve"> </w:t>
      </w:r>
      <w:r w:rsidR="00451EC5" w:rsidRPr="001005B7">
        <w:t>11 Supplement (2022)</w:t>
      </w:r>
      <w:r w:rsidR="00970730" w:rsidRPr="001005B7">
        <w:t>: 189</w:t>
      </w:r>
      <w:r w:rsidR="00F46900" w:rsidRPr="001005B7">
        <w:t>–</w:t>
      </w:r>
      <w:r w:rsidR="00970730" w:rsidRPr="001005B7">
        <w:t>203.</w:t>
      </w:r>
    </w:p>
    <w:p w14:paraId="68638F87" w14:textId="33870FC0" w:rsidR="004060D1" w:rsidRPr="001005B7" w:rsidRDefault="004060D1" w:rsidP="006F5BB0">
      <w:pPr>
        <w:pStyle w:val="ListParagraph"/>
        <w:rPr>
          <w:color w:val="auto"/>
          <w:lang w:val="en-US"/>
        </w:rPr>
      </w:pPr>
      <w:r w:rsidRPr="001005B7">
        <w:rPr>
          <w:color w:val="auto"/>
          <w:lang w:val="en-US"/>
        </w:rPr>
        <w:t>York, Anthony D. "Ezekiel 1: Inaugural and Restoration Visions?" </w:t>
      </w:r>
      <w:r w:rsidRPr="001005B7">
        <w:rPr>
          <w:i/>
          <w:iCs/>
          <w:color w:val="auto"/>
          <w:lang w:val="en-US"/>
        </w:rPr>
        <w:t>VT</w:t>
      </w:r>
      <w:r w:rsidRPr="001005B7">
        <w:rPr>
          <w:color w:val="auto"/>
          <w:lang w:val="en-US"/>
        </w:rPr>
        <w:t> 27 (1977)</w:t>
      </w:r>
      <w:r w:rsidR="000F6813" w:rsidRPr="001005B7">
        <w:rPr>
          <w:color w:val="auto"/>
          <w:lang w:val="en-US"/>
        </w:rPr>
        <w:t>:</w:t>
      </w:r>
      <w:r w:rsidRPr="001005B7">
        <w:rPr>
          <w:color w:val="auto"/>
          <w:lang w:val="en-US"/>
        </w:rPr>
        <w:t xml:space="preserve"> 82</w:t>
      </w:r>
      <w:r w:rsidR="00F46900" w:rsidRPr="001005B7">
        <w:rPr>
          <w:color w:val="auto"/>
          <w:lang w:val="en-US"/>
        </w:rPr>
        <w:t>–</w:t>
      </w:r>
      <w:r w:rsidRPr="001005B7">
        <w:rPr>
          <w:color w:val="auto"/>
          <w:lang w:val="en-US"/>
        </w:rPr>
        <w:t>98.</w:t>
      </w:r>
    </w:p>
    <w:p w14:paraId="2DB47BD8" w14:textId="77777777" w:rsidR="00ED0526" w:rsidRPr="001005B7" w:rsidRDefault="00ED0526" w:rsidP="006F5BB0">
      <w:pPr>
        <w:pStyle w:val="ListParagraph"/>
        <w:rPr>
          <w:color w:val="auto"/>
          <w:lang w:val="en-US"/>
        </w:rPr>
      </w:pPr>
    </w:p>
    <w:p w14:paraId="233EF6C6" w14:textId="1789FAC1" w:rsidR="002D1E8A" w:rsidRPr="001005B7" w:rsidRDefault="00984869" w:rsidP="003062B5">
      <w:pPr>
        <w:pStyle w:val="Heading2"/>
        <w:rPr>
          <w:color w:val="auto"/>
        </w:rPr>
      </w:pPr>
      <w:r w:rsidRPr="001005B7">
        <w:rPr>
          <w:color w:val="auto"/>
        </w:rPr>
        <w:t>Yahweh Appears</w:t>
      </w:r>
      <w:r w:rsidR="00673BC7" w:rsidRPr="001005B7">
        <w:rPr>
          <w:color w:val="auto"/>
        </w:rPr>
        <w:t xml:space="preserve"> </w:t>
      </w:r>
      <w:r w:rsidR="00180CEB" w:rsidRPr="001005B7">
        <w:rPr>
          <w:color w:val="auto"/>
        </w:rPr>
        <w:t>in His Magnificence</w:t>
      </w:r>
      <w:r w:rsidR="005F6B07" w:rsidRPr="001005B7">
        <w:rPr>
          <w:color w:val="auto"/>
        </w:rPr>
        <w:t xml:space="preserve"> </w:t>
      </w:r>
      <w:r w:rsidR="00673BC7" w:rsidRPr="001005B7">
        <w:rPr>
          <w:color w:val="auto"/>
        </w:rPr>
        <w:t>(1:4</w:t>
      </w:r>
      <w:r w:rsidR="00F46900" w:rsidRPr="001005B7">
        <w:rPr>
          <w:color w:val="auto"/>
        </w:rPr>
        <w:t>–</w:t>
      </w:r>
      <w:r w:rsidR="00673BC7" w:rsidRPr="001005B7">
        <w:rPr>
          <w:color w:val="auto"/>
        </w:rPr>
        <w:t>28bα</w:t>
      </w:r>
      <w:r w:rsidR="00B431E3" w:rsidRPr="001005B7">
        <w:rPr>
          <w:color w:val="auto"/>
        </w:rPr>
        <w:t>)</w:t>
      </w:r>
    </w:p>
    <w:p w14:paraId="79AB7BA2" w14:textId="66492A92" w:rsidR="002762F1" w:rsidRPr="001005B7" w:rsidRDefault="00B367C3" w:rsidP="00493833">
      <w:pPr>
        <w:pStyle w:val="Heading3"/>
      </w:pPr>
      <w:r w:rsidRPr="001005B7">
        <w:t>Outline</w:t>
      </w:r>
    </w:p>
    <w:p w14:paraId="1B3BFA4E" w14:textId="77777777" w:rsidR="002A6C9A" w:rsidRPr="001005B7" w:rsidRDefault="00F275FA" w:rsidP="002A6C9A">
      <w:r w:rsidRPr="001005B7">
        <w:t>Ezekiel reports what he saw after the heavens opened</w:t>
      </w:r>
      <w:r w:rsidR="00CF64DE" w:rsidRPr="001005B7">
        <w:t>:</w:t>
      </w:r>
      <w:r w:rsidR="002538A7" w:rsidRPr="001005B7">
        <w:t xml:space="preserve"> an entourage coming from the north,</w:t>
      </w:r>
      <w:r w:rsidR="00F27B13" w:rsidRPr="001005B7">
        <w:t xml:space="preserve"> </w:t>
      </w:r>
      <w:r w:rsidR="002538A7" w:rsidRPr="001005B7">
        <w:t xml:space="preserve">the direction from which </w:t>
      </w:r>
      <w:r w:rsidR="00E039C5" w:rsidRPr="001005B7">
        <w:t>trouble</w:t>
      </w:r>
      <w:r w:rsidR="002538A7" w:rsidRPr="001005B7">
        <w:t xml:space="preserve"> commonly comes. Born by the wind are four </w:t>
      </w:r>
      <w:r w:rsidR="00115513" w:rsidRPr="001005B7">
        <w:t>b</w:t>
      </w:r>
      <w:r w:rsidR="00B13D4F" w:rsidRPr="001005B7">
        <w:t>lazing</w:t>
      </w:r>
      <w:r w:rsidR="002538A7" w:rsidRPr="001005B7">
        <w:t xml:space="preserve"> creatures </w:t>
      </w:r>
      <w:r w:rsidR="00E039C5" w:rsidRPr="001005B7">
        <w:t>that</w:t>
      </w:r>
      <w:r w:rsidR="002538A7" w:rsidRPr="001005B7">
        <w:t xml:space="preserve"> combine human, animal, and bird </w:t>
      </w:r>
      <w:r w:rsidR="0090263F" w:rsidRPr="001005B7">
        <w:t>form. They</w:t>
      </w:r>
      <w:r w:rsidR="006F0C35" w:rsidRPr="001005B7">
        <w:t xml:space="preserve"> are</w:t>
      </w:r>
      <w:r w:rsidR="002538A7" w:rsidRPr="001005B7">
        <w:t xml:space="preserve"> interconnected</w:t>
      </w:r>
      <w:r w:rsidR="006F0C35" w:rsidRPr="001005B7">
        <w:t xml:space="preserve"> and have</w:t>
      </w:r>
      <w:r w:rsidR="002538A7" w:rsidRPr="001005B7">
        <w:t xml:space="preserve"> the capacity to face and move in any direction. Alongside them are wheels, crisscrossed to facilitate</w:t>
      </w:r>
      <w:r w:rsidR="0077468F" w:rsidRPr="001005B7">
        <w:t xml:space="preserve"> their</w:t>
      </w:r>
      <w:r w:rsidR="002538A7" w:rsidRPr="001005B7">
        <w:t xml:space="preserve"> moving in any direction. Through</w:t>
      </w:r>
      <w:r w:rsidR="0071015A" w:rsidRPr="001005B7">
        <w:t>out</w:t>
      </w:r>
      <w:r w:rsidR="0077468F" w:rsidRPr="001005B7">
        <w:t>,</w:t>
      </w:r>
      <w:r w:rsidR="002538A7" w:rsidRPr="001005B7">
        <w:t xml:space="preserve"> the vision emphas</w:t>
      </w:r>
      <w:r w:rsidR="0077468F" w:rsidRPr="001005B7">
        <w:t xml:space="preserve">es </w:t>
      </w:r>
      <w:r w:rsidR="002538A7" w:rsidRPr="001005B7">
        <w:t>brightness</w:t>
      </w:r>
      <w:r w:rsidR="0077468F" w:rsidRPr="001005B7">
        <w:t xml:space="preserve"> and</w:t>
      </w:r>
      <w:r w:rsidR="002538A7" w:rsidRPr="001005B7">
        <w:t xml:space="preserve"> </w:t>
      </w:r>
      <w:r w:rsidR="00EE4F3E" w:rsidRPr="001005B7">
        <w:t>brilliance</w:t>
      </w:r>
      <w:r w:rsidR="00191AAF" w:rsidRPr="001005B7">
        <w:t>.</w:t>
      </w:r>
      <w:r w:rsidR="002538A7" w:rsidRPr="001005B7">
        <w:t xml:space="preserve"> Above the</w:t>
      </w:r>
      <w:r w:rsidR="00191AAF" w:rsidRPr="001005B7">
        <w:t xml:space="preserve"> creatures</w:t>
      </w:r>
      <w:r w:rsidR="002538A7" w:rsidRPr="001005B7">
        <w:t xml:space="preserve"> is a shining platform, on it </w:t>
      </w:r>
      <w:r w:rsidR="00EE4F3E" w:rsidRPr="001005B7">
        <w:t xml:space="preserve">there is </w:t>
      </w:r>
      <w:r w:rsidR="002538A7" w:rsidRPr="001005B7">
        <w:t xml:space="preserve">a throne, and on the throne </w:t>
      </w:r>
      <w:r w:rsidR="0068781C" w:rsidRPr="001005B7">
        <w:t xml:space="preserve">there </w:t>
      </w:r>
      <w:r w:rsidR="00EE4F3E" w:rsidRPr="001005B7">
        <w:t xml:space="preserve">is </w:t>
      </w:r>
      <w:r w:rsidR="002538A7" w:rsidRPr="001005B7">
        <w:t>a fiery human-like being</w:t>
      </w:r>
      <w:r w:rsidR="00FE54EB" w:rsidRPr="001005B7">
        <w:t>.</w:t>
      </w:r>
      <w:r w:rsidR="002538A7" w:rsidRPr="001005B7">
        <w:t xml:space="preserve"> Aware that he is seeing Yahweh</w:t>
      </w:r>
      <w:r w:rsidR="00180CEB" w:rsidRPr="001005B7">
        <w:t xml:space="preserve"> in his</w:t>
      </w:r>
      <w:r w:rsidR="002538A7" w:rsidRPr="001005B7">
        <w:t xml:space="preserve"> </w:t>
      </w:r>
      <w:r w:rsidR="00180CEB" w:rsidRPr="001005B7">
        <w:t>magnificence</w:t>
      </w:r>
      <w:r w:rsidR="002538A7" w:rsidRPr="001005B7">
        <w:t xml:space="preserve">, Ezekiel falls on his face. </w:t>
      </w:r>
      <w:r w:rsidR="00864BB2" w:rsidRPr="001005B7">
        <w:t>If r</w:t>
      </w:r>
      <w:r w:rsidR="009C6B97" w:rsidRPr="001005B7">
        <w:t>eaders might wonder if there i</w:t>
      </w:r>
      <w:r w:rsidR="00452776" w:rsidRPr="001005B7">
        <w:t xml:space="preserve">s something that </w:t>
      </w:r>
      <w:r w:rsidR="002538A7" w:rsidRPr="001005B7">
        <w:t>the vision harbinger</w:t>
      </w:r>
      <w:r w:rsidR="00452776" w:rsidRPr="001005B7">
        <w:t>s</w:t>
      </w:r>
      <w:r w:rsidR="00864BB2" w:rsidRPr="001005B7">
        <w:t>, i</w:t>
      </w:r>
      <w:r w:rsidR="00301034" w:rsidRPr="001005B7">
        <w:t>t will transpire that there is</w:t>
      </w:r>
      <w:r w:rsidR="00864BB2" w:rsidRPr="001005B7">
        <w:t>,</w:t>
      </w:r>
      <w:r w:rsidR="00F102A2" w:rsidRPr="001005B7">
        <w:t xml:space="preserve"> </w:t>
      </w:r>
      <w:r w:rsidR="0068781C" w:rsidRPr="001005B7">
        <w:t>b</w:t>
      </w:r>
      <w:r w:rsidR="00301034" w:rsidRPr="001005B7">
        <w:t xml:space="preserve">ut </w:t>
      </w:r>
      <w:r w:rsidR="00525966" w:rsidRPr="001005B7">
        <w:t>in this “overture”</w:t>
      </w:r>
      <w:r w:rsidR="004F3AAC" w:rsidRPr="001005B7">
        <w:t xml:space="preserve"> </w:t>
      </w:r>
      <w:r w:rsidR="000C36FF" w:rsidRPr="001005B7">
        <w:t>(</w:t>
      </w:r>
      <w:proofErr w:type="spellStart"/>
      <w:r w:rsidR="000C36FF" w:rsidRPr="001005B7">
        <w:t>H</w:t>
      </w:r>
      <w:r w:rsidR="000C36FF" w:rsidRPr="001005B7">
        <w:rPr>
          <w:rFonts w:cstheme="minorHAnsi"/>
        </w:rPr>
        <w:t>ä</w:t>
      </w:r>
      <w:r w:rsidR="000C36FF" w:rsidRPr="001005B7">
        <w:t>ner</w:t>
      </w:r>
      <w:proofErr w:type="spellEnd"/>
      <w:r w:rsidR="000C36FF" w:rsidRPr="001005B7">
        <w:t xml:space="preserve">, 49) </w:t>
      </w:r>
      <w:r w:rsidR="002538A7" w:rsidRPr="001005B7">
        <w:t>Ezekiel does not tell us</w:t>
      </w:r>
      <w:r w:rsidR="001C4EA4" w:rsidRPr="001005B7">
        <w:t xml:space="preserve"> what it is</w:t>
      </w:r>
      <w:r w:rsidR="002A6C9A" w:rsidRPr="001005B7">
        <w:t>.</w:t>
      </w:r>
    </w:p>
    <w:p w14:paraId="078C397F" w14:textId="09820D84" w:rsidR="00A60DF9" w:rsidRPr="001005B7" w:rsidRDefault="00A60DF9" w:rsidP="002A6C9A">
      <w:r w:rsidRPr="001005B7">
        <w:t xml:space="preserve">Olley </w:t>
      </w:r>
      <w:r w:rsidR="002A6C9A" w:rsidRPr="001005B7">
        <w:t>(</w:t>
      </w:r>
      <w:r w:rsidRPr="001005B7">
        <w:t>238</w:t>
      </w:r>
      <w:r w:rsidR="002A6C9A" w:rsidRPr="001005B7">
        <w:t>)</w:t>
      </w:r>
      <w:r w:rsidRPr="001005B7">
        <w:t xml:space="preserve"> comment</w:t>
      </w:r>
      <w:r w:rsidR="002A6C9A" w:rsidRPr="001005B7">
        <w:t>s</w:t>
      </w:r>
      <w:r w:rsidRPr="001005B7">
        <w:t xml:space="preserve"> </w:t>
      </w:r>
      <w:r w:rsidR="002A6C9A" w:rsidRPr="001005B7">
        <w:t>(</w:t>
      </w:r>
      <w:r w:rsidRPr="001005B7">
        <w:t>on the</w:t>
      </w:r>
      <w:r w:rsidRPr="001005B7">
        <w:rPr>
          <w:sz w:val="18"/>
        </w:rPr>
        <w:t xml:space="preserve"> LXX</w:t>
      </w:r>
      <w:r w:rsidRPr="001005B7">
        <w:t xml:space="preserve"> text)</w:t>
      </w:r>
      <w:r w:rsidR="002A6C9A" w:rsidRPr="001005B7">
        <w:t>:</w:t>
      </w:r>
    </w:p>
    <w:p w14:paraId="59ECF629" w14:textId="777EFCF9" w:rsidR="00D865F1" w:rsidRPr="001005B7" w:rsidRDefault="006A7F1F" w:rsidP="00846AFC">
      <w:pPr>
        <w:pStyle w:val="Quote"/>
        <w:rPr>
          <w:color w:val="auto"/>
        </w:rPr>
      </w:pPr>
      <w:r w:rsidRPr="001005B7">
        <w:rPr>
          <w:color w:val="auto"/>
        </w:rPr>
        <w:t>T</w:t>
      </w:r>
      <w:r w:rsidR="002762F1" w:rsidRPr="001005B7">
        <w:rPr>
          <w:color w:val="auto"/>
        </w:rPr>
        <w:t>here is detail, but no quiet reflective meditation on elements; rather</w:t>
      </w:r>
      <w:r w:rsidR="00766AB1" w:rsidRPr="001005B7">
        <w:rPr>
          <w:color w:val="auto"/>
        </w:rPr>
        <w:t xml:space="preserve"> </w:t>
      </w:r>
      <w:r w:rsidR="002762F1" w:rsidRPr="001005B7">
        <w:rPr>
          <w:color w:val="auto"/>
        </w:rPr>
        <w:t>there is an impression of</w:t>
      </w:r>
      <w:r w:rsidR="00E3450D" w:rsidRPr="001005B7">
        <w:rPr>
          <w:color w:val="auto"/>
        </w:rPr>
        <w:t xml:space="preserve"> </w:t>
      </w:r>
      <w:r w:rsidR="002762F1" w:rsidRPr="001005B7">
        <w:rPr>
          <w:color w:val="auto"/>
        </w:rPr>
        <w:t>being overwhelmed as words pour out in an</w:t>
      </w:r>
      <w:r w:rsidR="00E3450D" w:rsidRPr="001005B7">
        <w:rPr>
          <w:color w:val="auto"/>
        </w:rPr>
        <w:t xml:space="preserve"> </w:t>
      </w:r>
      <w:r w:rsidR="002762F1" w:rsidRPr="001005B7">
        <w:rPr>
          <w:color w:val="auto"/>
        </w:rPr>
        <w:t>effort to adequately communicate what is seen—but the very words</w:t>
      </w:r>
      <w:r w:rsidR="00E3450D" w:rsidRPr="001005B7">
        <w:rPr>
          <w:color w:val="auto"/>
        </w:rPr>
        <w:t xml:space="preserve"> </w:t>
      </w:r>
      <w:r w:rsidR="002762F1" w:rsidRPr="001005B7">
        <w:rPr>
          <w:color w:val="auto"/>
        </w:rPr>
        <w:t>and their structure point to inadequacy. Words that are</w:t>
      </w:r>
      <w:r w:rsidR="003B545F" w:rsidRPr="001005B7">
        <w:rPr>
          <w:color w:val="auto"/>
        </w:rPr>
        <w:t xml:space="preserve"> of </w:t>
      </w:r>
      <w:r w:rsidR="002762F1" w:rsidRPr="001005B7">
        <w:rPr>
          <w:color w:val="auto"/>
        </w:rPr>
        <w:t>necessity placed in serial order are unable to describe the ultimately</w:t>
      </w:r>
      <w:r w:rsidR="003B545F" w:rsidRPr="001005B7">
        <w:rPr>
          <w:color w:val="auto"/>
        </w:rPr>
        <w:t xml:space="preserve"> </w:t>
      </w:r>
      <w:r w:rsidR="002762F1" w:rsidRPr="001005B7">
        <w:rPr>
          <w:color w:val="auto"/>
        </w:rPr>
        <w:t>indescribable</w:t>
      </w:r>
      <w:r w:rsidR="00904982" w:rsidRPr="001005B7">
        <w:rPr>
          <w:color w:val="auto"/>
        </w:rPr>
        <w:t>.</w:t>
      </w:r>
      <w:r w:rsidR="0094707D" w:rsidRPr="001005B7">
        <w:rPr>
          <w:color w:val="auto"/>
        </w:rPr>
        <w:t xml:space="preserve"> </w:t>
      </w:r>
    </w:p>
    <w:p w14:paraId="6131E5CC" w14:textId="198A404C" w:rsidR="00D37F63" w:rsidRPr="001005B7" w:rsidRDefault="001C567A" w:rsidP="009D2BA7">
      <w:r w:rsidRPr="001005B7">
        <w:t xml:space="preserve">Ezekiel underlines the point by repeating </w:t>
      </w:r>
      <w:r w:rsidR="003B3AB1" w:rsidRPr="001005B7">
        <w:t xml:space="preserve">various </w:t>
      </w:r>
      <w:r w:rsidR="003411DA" w:rsidRPr="001005B7">
        <w:t>expressions</w:t>
      </w:r>
      <w:r w:rsidR="003B3AB1" w:rsidRPr="001005B7">
        <w:t>:</w:t>
      </w:r>
      <w:r w:rsidR="003411DA" w:rsidRPr="001005B7">
        <w:t xml:space="preserve"> </w:t>
      </w:r>
      <w:r w:rsidR="006D32B7" w:rsidRPr="001005B7">
        <w:t xml:space="preserve">something like, </w:t>
      </w:r>
      <w:r w:rsidR="00DD5A96" w:rsidRPr="001005B7">
        <w:t>the look of</w:t>
      </w:r>
      <w:r w:rsidR="00293DF0" w:rsidRPr="001005B7">
        <w:t>, the form of,</w:t>
      </w:r>
      <w:r w:rsidR="0053740A" w:rsidRPr="001005B7">
        <w:t xml:space="preserve"> their appearance, </w:t>
      </w:r>
      <w:r w:rsidR="00EA74F8" w:rsidRPr="001005B7">
        <w:t>often in combinations</w:t>
      </w:r>
      <w:r w:rsidR="00624175" w:rsidRPr="001005B7">
        <w:t xml:space="preserve"> such as </w:t>
      </w:r>
      <w:r w:rsidR="009C090A" w:rsidRPr="001005B7">
        <w:t>“</w:t>
      </w:r>
      <w:r w:rsidR="00624175" w:rsidRPr="001005B7">
        <w:t>a profile something like the appearance of</w:t>
      </w:r>
      <w:r w:rsidR="00521DC7" w:rsidRPr="001005B7">
        <w:t>.</w:t>
      </w:r>
      <w:r w:rsidR="009C090A" w:rsidRPr="001005B7">
        <w:t>”</w:t>
      </w:r>
      <w:r w:rsidR="00521DC7" w:rsidRPr="001005B7">
        <w:t xml:space="preserve"> He</w:t>
      </w:r>
      <w:r w:rsidR="002F175A" w:rsidRPr="001005B7">
        <w:t xml:space="preserve"> thereby enhanc</w:t>
      </w:r>
      <w:r w:rsidR="00521DC7" w:rsidRPr="001005B7">
        <w:t>es</w:t>
      </w:r>
      <w:r w:rsidR="002F175A" w:rsidRPr="001005B7">
        <w:t xml:space="preserve"> the impression of </w:t>
      </w:r>
      <w:r w:rsidR="006261D3" w:rsidRPr="001005B7">
        <w:t xml:space="preserve">describing something and </w:t>
      </w:r>
      <w:r w:rsidR="005032A8" w:rsidRPr="001005B7">
        <w:t>simultaneously</w:t>
      </w:r>
      <w:r w:rsidR="006261D3" w:rsidRPr="001005B7">
        <w:t xml:space="preserve"> warning </w:t>
      </w:r>
      <w:r w:rsidR="005032A8" w:rsidRPr="001005B7">
        <w:t xml:space="preserve">readers </w:t>
      </w:r>
      <w:r w:rsidR="006261D3" w:rsidRPr="001005B7">
        <w:t xml:space="preserve">against </w:t>
      </w:r>
      <w:r w:rsidR="002A05CE" w:rsidRPr="001005B7">
        <w:t>relying on the description</w:t>
      </w:r>
      <w:r w:rsidR="005F3857" w:rsidRPr="001005B7">
        <w:t xml:space="preserve"> to clarify things</w:t>
      </w:r>
      <w:r w:rsidR="002A05CE" w:rsidRPr="001005B7">
        <w:t xml:space="preserve">. </w:t>
      </w:r>
      <w:r w:rsidR="006E1EC9" w:rsidRPr="001005B7">
        <w:t>Consequently,</w:t>
      </w:r>
      <w:r w:rsidR="00795080" w:rsidRPr="001005B7">
        <w:t xml:space="preserve"> </w:t>
      </w:r>
      <w:r w:rsidR="00905AA1" w:rsidRPr="001005B7">
        <w:t>“</w:t>
      </w:r>
      <w:r w:rsidR="00C702C0" w:rsidRPr="001005B7">
        <w:t xml:space="preserve">if </w:t>
      </w:r>
      <w:proofErr w:type="spellStart"/>
      <w:r w:rsidR="00C702C0" w:rsidRPr="001005B7">
        <w:t>any one</w:t>
      </w:r>
      <w:proofErr w:type="spellEnd"/>
      <w:r w:rsidR="00C702C0" w:rsidRPr="001005B7">
        <w:t xml:space="preserve"> asks whether the vision is lucid, I confess its obscurity, and that I can scarcely understand it”</w:t>
      </w:r>
      <w:r w:rsidR="007C0510" w:rsidRPr="001005B7">
        <w:t xml:space="preserve"> (Calvin</w:t>
      </w:r>
      <w:r w:rsidR="00656A1E" w:rsidRPr="001005B7">
        <w:t>,</w:t>
      </w:r>
      <w:r w:rsidR="007C0510" w:rsidRPr="001005B7">
        <w:t xml:space="preserve"> 1:40).</w:t>
      </w:r>
      <w:r w:rsidR="00905AA1" w:rsidRPr="001005B7">
        <w:t xml:space="preserve"> </w:t>
      </w:r>
      <w:r w:rsidR="00F41A82" w:rsidRPr="001005B7">
        <w:t>“</w:t>
      </w:r>
      <w:r w:rsidR="000A10F4" w:rsidRPr="001005B7">
        <w:rPr>
          <w:rFonts w:ascii="MinionPro-Regular" w:hAnsi="MinionPro-Regular" w:cs="MinionPro-Regular"/>
        </w:rPr>
        <w:t>Who is able to explain these things one by one? Who is so receptive</w:t>
      </w:r>
      <w:r w:rsidR="000A10F4" w:rsidRPr="001005B7">
        <w:t xml:space="preserve"> </w:t>
      </w:r>
      <w:r w:rsidR="000A10F4" w:rsidRPr="001005B7">
        <w:rPr>
          <w:rFonts w:ascii="MinionPro-Regular" w:hAnsi="MinionPro-Regular" w:cs="MinionPro-Regular"/>
        </w:rPr>
        <w:t>of the Spirit of God as to make clear these holy mysteries?</w:t>
      </w:r>
      <w:r w:rsidR="000A10F4" w:rsidRPr="001005B7">
        <w:t xml:space="preserve"> </w:t>
      </w:r>
      <w:r w:rsidR="00E15518" w:rsidRPr="001005B7">
        <w:t>(</w:t>
      </w:r>
      <w:r w:rsidR="0054287C" w:rsidRPr="001005B7">
        <w:t>Origen</w:t>
      </w:r>
      <w:r w:rsidR="0064491F" w:rsidRPr="001005B7">
        <w:t xml:space="preserve"> </w:t>
      </w:r>
      <w:r w:rsidR="00FC79C0">
        <w:t>[</w:t>
      </w:r>
      <w:r w:rsidR="000A10F4" w:rsidRPr="001005B7">
        <w:t>Homily 1:11</w:t>
      </w:r>
      <w:r w:rsidR="00FC79C0">
        <w:t>]</w:t>
      </w:r>
      <w:r w:rsidR="0054287C" w:rsidRPr="001005B7">
        <w:t xml:space="preserve">, </w:t>
      </w:r>
      <w:r w:rsidR="000A10F4" w:rsidRPr="001005B7">
        <w:t>48</w:t>
      </w:r>
      <w:r w:rsidR="00F46900" w:rsidRPr="001005B7">
        <w:t>–</w:t>
      </w:r>
      <w:r w:rsidR="000A10F4" w:rsidRPr="001005B7">
        <w:t>49</w:t>
      </w:r>
      <w:r w:rsidR="0054287C" w:rsidRPr="001005B7">
        <w:t>).</w:t>
      </w:r>
      <w:r w:rsidR="00FA5C2B" w:rsidRPr="001005B7">
        <w:t xml:space="preserve"> </w:t>
      </w:r>
      <w:r w:rsidR="003C42B8" w:rsidRPr="001005B7">
        <w:t xml:space="preserve">Indeed, </w:t>
      </w:r>
      <w:r w:rsidR="00844F61" w:rsidRPr="001005B7">
        <w:t xml:space="preserve">Ezekiel’s account of </w:t>
      </w:r>
      <w:r w:rsidR="0087081D" w:rsidRPr="001005B7">
        <w:t>his</w:t>
      </w:r>
      <w:r w:rsidR="00844F61" w:rsidRPr="001005B7">
        <w:t xml:space="preserve"> vision is as much a series of disconnected notes and observations, with repetitions, as a connected report.</w:t>
      </w:r>
      <w:r w:rsidR="009D2BA7" w:rsidRPr="001005B7">
        <w:t xml:space="preserve"> It</w:t>
      </w:r>
      <w:r w:rsidR="00D37F63" w:rsidRPr="001005B7">
        <w:t xml:space="preserve"> </w:t>
      </w:r>
      <w:r w:rsidR="00C96CF3" w:rsidRPr="001005B7">
        <w:t>unfold</w:t>
      </w:r>
      <w:r w:rsidR="00FE22E0" w:rsidRPr="001005B7">
        <w:t>s</w:t>
      </w:r>
      <w:r w:rsidR="00D37F63" w:rsidRPr="001005B7">
        <w:t>:</w:t>
      </w:r>
    </w:p>
    <w:p w14:paraId="1EB45295" w14:textId="77777777" w:rsidR="00D37F63" w:rsidRPr="001005B7" w:rsidRDefault="00D37F63" w:rsidP="00D37F63"/>
    <w:p w14:paraId="0B1778BD" w14:textId="02F1CC86" w:rsidR="00CB6817" w:rsidRPr="001005B7" w:rsidRDefault="00CB6817" w:rsidP="00D37F63">
      <w:r w:rsidRPr="001005B7">
        <w:t>A storm (</w:t>
      </w:r>
      <w:r w:rsidR="0042084A" w:rsidRPr="001005B7">
        <w:t>1:</w:t>
      </w:r>
      <w:r w:rsidRPr="001005B7">
        <w:t>4)</w:t>
      </w:r>
    </w:p>
    <w:p w14:paraId="1619C10F" w14:textId="262FC23C" w:rsidR="00D37F63" w:rsidRPr="001005B7" w:rsidRDefault="005857EB" w:rsidP="00D37F63">
      <w:r w:rsidRPr="001005B7">
        <w:t>F</w:t>
      </w:r>
      <w:r w:rsidR="00F64AB6" w:rsidRPr="001005B7">
        <w:t>our living beings</w:t>
      </w:r>
      <w:r w:rsidR="00106B95" w:rsidRPr="001005B7">
        <w:t xml:space="preserve">, their faces, </w:t>
      </w:r>
      <w:r w:rsidR="00764CDF" w:rsidRPr="001005B7">
        <w:t>wings, legs</w:t>
      </w:r>
      <w:r w:rsidR="007C1C27" w:rsidRPr="001005B7">
        <w:t>, hand</w:t>
      </w:r>
      <w:r w:rsidR="004C16B2" w:rsidRPr="001005B7">
        <w:t>s</w:t>
      </w:r>
      <w:r w:rsidR="007C1C27" w:rsidRPr="001005B7">
        <w:t xml:space="preserve"> </w:t>
      </w:r>
      <w:r w:rsidR="004C16B2" w:rsidRPr="001005B7">
        <w:t>(</w:t>
      </w:r>
      <w:r w:rsidR="0042084A" w:rsidRPr="001005B7">
        <w:t>1:</w:t>
      </w:r>
      <w:r w:rsidR="00106B95" w:rsidRPr="001005B7">
        <w:t>5</w:t>
      </w:r>
      <w:r w:rsidR="00F46900" w:rsidRPr="001005B7">
        <w:t>–</w:t>
      </w:r>
      <w:r w:rsidR="00070AA7" w:rsidRPr="001005B7">
        <w:t>14)</w:t>
      </w:r>
    </w:p>
    <w:p w14:paraId="6F89A53F" w14:textId="2B5BB007" w:rsidR="00070AA7" w:rsidRPr="001005B7" w:rsidRDefault="00D52084" w:rsidP="00D37F63">
      <w:r w:rsidRPr="001005B7">
        <w:t>Four</w:t>
      </w:r>
      <w:r w:rsidR="00070AA7" w:rsidRPr="001005B7">
        <w:t xml:space="preserve"> wheels and their role</w:t>
      </w:r>
      <w:r w:rsidR="00F33BA4" w:rsidRPr="001005B7">
        <w:t xml:space="preserve"> in the living beings’ movement (</w:t>
      </w:r>
      <w:r w:rsidR="0042084A" w:rsidRPr="001005B7">
        <w:t>1:</w:t>
      </w:r>
      <w:r w:rsidR="00F33BA4" w:rsidRPr="001005B7">
        <w:t>15</w:t>
      </w:r>
      <w:r w:rsidR="00F46900" w:rsidRPr="001005B7">
        <w:t>–</w:t>
      </w:r>
      <w:r w:rsidR="00063126" w:rsidRPr="001005B7">
        <w:t>21)</w:t>
      </w:r>
    </w:p>
    <w:p w14:paraId="51FB8539" w14:textId="07EC254D" w:rsidR="000148AD" w:rsidRPr="001005B7" w:rsidRDefault="00D52084" w:rsidP="00D37F63">
      <w:r w:rsidRPr="001005B7">
        <w:t xml:space="preserve">A </w:t>
      </w:r>
      <w:r w:rsidR="00CA49F2" w:rsidRPr="001005B7">
        <w:t>platform</w:t>
      </w:r>
      <w:r w:rsidR="000148AD" w:rsidRPr="001005B7">
        <w:t xml:space="preserve"> </w:t>
      </w:r>
      <w:r w:rsidR="00EE0CD3" w:rsidRPr="001005B7">
        <w:t xml:space="preserve">and some sound </w:t>
      </w:r>
      <w:r w:rsidR="000148AD" w:rsidRPr="001005B7">
        <w:t>(</w:t>
      </w:r>
      <w:r w:rsidR="0042084A" w:rsidRPr="001005B7">
        <w:t>1:</w:t>
      </w:r>
      <w:r w:rsidR="000148AD" w:rsidRPr="001005B7">
        <w:t>22</w:t>
      </w:r>
      <w:r w:rsidR="00F46900" w:rsidRPr="001005B7">
        <w:t>–</w:t>
      </w:r>
      <w:r w:rsidR="000148AD" w:rsidRPr="001005B7">
        <w:t>25)</w:t>
      </w:r>
      <w:r w:rsidR="00011C97" w:rsidRPr="001005B7">
        <w:t xml:space="preserve"> </w:t>
      </w:r>
    </w:p>
    <w:p w14:paraId="717BEF93" w14:textId="343BDFE7" w:rsidR="00063126" w:rsidRPr="001005B7" w:rsidRDefault="00D52084" w:rsidP="00D37F63">
      <w:r w:rsidRPr="001005B7">
        <w:t>A</w:t>
      </w:r>
      <w:r w:rsidR="00CA49F2" w:rsidRPr="001005B7">
        <w:t xml:space="preserve"> throne and </w:t>
      </w:r>
      <w:r w:rsidRPr="001005B7">
        <w:t>a</w:t>
      </w:r>
      <w:r w:rsidR="00CA49F2" w:rsidRPr="001005B7">
        <w:t xml:space="preserve"> figure </w:t>
      </w:r>
      <w:r w:rsidR="005857EB" w:rsidRPr="001005B7">
        <w:t>seat</w:t>
      </w:r>
      <w:r w:rsidR="00CA49F2" w:rsidRPr="001005B7">
        <w:t>ed (</w:t>
      </w:r>
      <w:r w:rsidR="0042084A" w:rsidRPr="001005B7">
        <w:t>1:</w:t>
      </w:r>
      <w:r w:rsidR="00CA49F2" w:rsidRPr="001005B7">
        <w:t>2</w:t>
      </w:r>
      <w:r w:rsidR="00C921DD" w:rsidRPr="001005B7">
        <w:t>6</w:t>
      </w:r>
      <w:r w:rsidR="00F46900" w:rsidRPr="001005B7">
        <w:t>–</w:t>
      </w:r>
      <w:r w:rsidR="00E56A3B" w:rsidRPr="001005B7">
        <w:t>2</w:t>
      </w:r>
      <w:r w:rsidR="00C921DD" w:rsidRPr="001005B7">
        <w:t>8</w:t>
      </w:r>
      <w:r w:rsidR="00300AAD" w:rsidRPr="001005B7">
        <w:t>a</w:t>
      </w:r>
      <w:r w:rsidR="004D1743" w:rsidRPr="001005B7">
        <w:rPr>
          <w:rFonts w:cstheme="minorHAnsi"/>
        </w:rPr>
        <w:t>α</w:t>
      </w:r>
      <w:r w:rsidR="00E56A3B" w:rsidRPr="001005B7">
        <w:t>)</w:t>
      </w:r>
    </w:p>
    <w:p w14:paraId="4C58B7C2" w14:textId="2EAED9FC" w:rsidR="00300AAD" w:rsidRPr="001005B7" w:rsidRDefault="00300AAD" w:rsidP="00D37F63">
      <w:r w:rsidRPr="001005B7">
        <w:t>Ezekiel’s falling down</w:t>
      </w:r>
      <w:r w:rsidR="004D1743" w:rsidRPr="001005B7">
        <w:t xml:space="preserve"> (</w:t>
      </w:r>
      <w:r w:rsidR="0042084A" w:rsidRPr="001005B7">
        <w:t>1:</w:t>
      </w:r>
      <w:r w:rsidR="004D1743" w:rsidRPr="001005B7">
        <w:t>28</w:t>
      </w:r>
      <w:r w:rsidR="001A4580" w:rsidRPr="001005B7">
        <w:t>a</w:t>
      </w:r>
      <w:r w:rsidR="001A4580" w:rsidRPr="001005B7">
        <w:rPr>
          <w:rFonts w:cstheme="minorHAnsi"/>
        </w:rPr>
        <w:t>β</w:t>
      </w:r>
      <w:r w:rsidR="001A4580" w:rsidRPr="001005B7">
        <w:t>b</w:t>
      </w:r>
      <w:r w:rsidR="001A4580" w:rsidRPr="001005B7">
        <w:rPr>
          <w:rFonts w:cstheme="minorHAnsi"/>
        </w:rPr>
        <w:t>α</w:t>
      </w:r>
      <w:r w:rsidR="00712EE4" w:rsidRPr="001005B7">
        <w:rPr>
          <w:rFonts w:cstheme="minorHAnsi"/>
        </w:rPr>
        <w:t>)</w:t>
      </w:r>
    </w:p>
    <w:p w14:paraId="21E64E52" w14:textId="77777777" w:rsidR="00C921DD" w:rsidRPr="001005B7" w:rsidRDefault="00C921DD" w:rsidP="00D37F63"/>
    <w:p w14:paraId="1CF7573F" w14:textId="1C898F3D" w:rsidR="007C38CA" w:rsidRPr="001005B7" w:rsidRDefault="009D53B2" w:rsidP="007648D9">
      <w:r w:rsidRPr="001005B7">
        <w:t xml:space="preserve">The outline points to </w:t>
      </w:r>
      <w:r w:rsidR="000261EF" w:rsidRPr="001005B7">
        <w:t>an aspect of</w:t>
      </w:r>
      <w:r w:rsidRPr="001005B7">
        <w:t xml:space="preserve"> </w:t>
      </w:r>
      <w:r w:rsidR="000261EF" w:rsidRPr="001005B7">
        <w:t xml:space="preserve">the way the passage works rhetorically. </w:t>
      </w:r>
      <w:r w:rsidR="002C29BB" w:rsidRPr="001005B7">
        <w:t xml:space="preserve">We know </w:t>
      </w:r>
      <w:r w:rsidR="00156BB3" w:rsidRPr="001005B7">
        <w:t xml:space="preserve">that </w:t>
      </w:r>
      <w:r w:rsidR="002C29BB" w:rsidRPr="001005B7">
        <w:t xml:space="preserve">we are to </w:t>
      </w:r>
      <w:r w:rsidR="00156BB3" w:rsidRPr="001005B7">
        <w:t>learn</w:t>
      </w:r>
      <w:r w:rsidR="002C29BB" w:rsidRPr="001005B7">
        <w:t xml:space="preserve"> of </w:t>
      </w:r>
      <w:r w:rsidR="00F93973" w:rsidRPr="001005B7">
        <w:t>“</w:t>
      </w:r>
      <w:r w:rsidR="001E13CC" w:rsidRPr="001005B7">
        <w:t xml:space="preserve">a </w:t>
      </w:r>
      <w:r w:rsidR="00631B45" w:rsidRPr="001005B7">
        <w:t>divine vision</w:t>
      </w:r>
      <w:r w:rsidR="000D3C94" w:rsidRPr="001005B7">
        <w:t>,</w:t>
      </w:r>
      <w:r w:rsidR="00F93973" w:rsidRPr="001005B7">
        <w:t>”</w:t>
      </w:r>
      <w:r w:rsidR="000D3C94" w:rsidRPr="001005B7">
        <w:t xml:space="preserve"> perhaps of </w:t>
      </w:r>
      <w:r w:rsidR="008D25FE" w:rsidRPr="001005B7">
        <w:t>an appearance of God.</w:t>
      </w:r>
      <w:r w:rsidR="00E50F17" w:rsidRPr="001005B7">
        <w:t xml:space="preserve"> Yet for </w:t>
      </w:r>
      <w:r w:rsidR="00B66C74" w:rsidRPr="001005B7">
        <w:t>te</w:t>
      </w:r>
      <w:r w:rsidR="00A114D0" w:rsidRPr="001005B7">
        <w:t xml:space="preserve">n verses we hear </w:t>
      </w:r>
      <w:r w:rsidR="000D3C94" w:rsidRPr="001005B7">
        <w:t xml:space="preserve">only </w:t>
      </w:r>
      <w:r w:rsidR="00A114D0" w:rsidRPr="001005B7">
        <w:t xml:space="preserve">about four </w:t>
      </w:r>
      <w:r w:rsidR="00801C36" w:rsidRPr="001005B7">
        <w:t>creatures</w:t>
      </w:r>
      <w:r w:rsidR="00A114D0" w:rsidRPr="001005B7">
        <w:t>, and</w:t>
      </w:r>
      <w:r w:rsidRPr="001005B7">
        <w:t xml:space="preserve"> </w:t>
      </w:r>
      <w:r w:rsidR="006001F1" w:rsidRPr="001005B7">
        <w:t xml:space="preserve">then for seven verses about </w:t>
      </w:r>
      <w:r w:rsidR="00E912D1" w:rsidRPr="001005B7">
        <w:t>the way</w:t>
      </w:r>
      <w:r w:rsidR="006001F1" w:rsidRPr="001005B7">
        <w:t xml:space="preserve"> they get around, neither of which sub</w:t>
      </w:r>
      <w:r w:rsidR="008549A7" w:rsidRPr="001005B7">
        <w:t>j</w:t>
      </w:r>
      <w:r w:rsidR="006001F1" w:rsidRPr="001005B7">
        <w:t xml:space="preserve">ects seems </w:t>
      </w:r>
      <w:r w:rsidR="008549A7" w:rsidRPr="001005B7">
        <w:t xml:space="preserve">so important. Then we hear of a platform and </w:t>
      </w:r>
      <w:r w:rsidR="000A2513" w:rsidRPr="001005B7">
        <w:t>of</w:t>
      </w:r>
      <w:r w:rsidR="008549A7" w:rsidRPr="001005B7">
        <w:t xml:space="preserve"> </w:t>
      </w:r>
      <w:r w:rsidR="00EE0CD3" w:rsidRPr="001005B7">
        <w:t>some noise that</w:t>
      </w:r>
      <w:r w:rsidR="0010238C" w:rsidRPr="001005B7">
        <w:t xml:space="preserve"> seems quite important. Only</w:t>
      </w:r>
      <w:r w:rsidR="007648D9" w:rsidRPr="001005B7">
        <w:t xml:space="preserve"> a</w:t>
      </w:r>
      <w:r w:rsidR="0010238C" w:rsidRPr="001005B7">
        <w:t xml:space="preserve">fter </w:t>
      </w:r>
      <w:r w:rsidR="000D1657" w:rsidRPr="001005B7">
        <w:t xml:space="preserve">twenty-one verses do we hear of surely the important thing for which we have been waiting, the throne and the figure on the throne. </w:t>
      </w:r>
      <w:r w:rsidR="009D1BE9" w:rsidRPr="001005B7">
        <w:t>H</w:t>
      </w:r>
      <w:r w:rsidR="00A15105" w:rsidRPr="001005B7">
        <w:t>ere,</w:t>
      </w:r>
      <w:r w:rsidR="000D1657" w:rsidRPr="001005B7">
        <w:t xml:space="preserve"> the lack of detail</w:t>
      </w:r>
      <w:r w:rsidR="00A15105" w:rsidRPr="001005B7">
        <w:t xml:space="preserve"> </w:t>
      </w:r>
      <w:r w:rsidR="00207397" w:rsidRPr="001005B7">
        <w:t>contrast</w:t>
      </w:r>
      <w:r w:rsidR="00A15105" w:rsidRPr="001005B7">
        <w:t>s</w:t>
      </w:r>
      <w:r w:rsidR="00207397" w:rsidRPr="001005B7">
        <w:t xml:space="preserve"> with what precedes</w:t>
      </w:r>
      <w:r w:rsidR="008231E4" w:rsidRPr="001005B7">
        <w:t>,</w:t>
      </w:r>
      <w:r w:rsidR="00207397" w:rsidRPr="001005B7">
        <w:t xml:space="preserve"> </w:t>
      </w:r>
      <w:r w:rsidR="000D1657" w:rsidRPr="001005B7">
        <w:t xml:space="preserve">and this </w:t>
      </w:r>
      <w:r w:rsidR="008231E4" w:rsidRPr="001005B7">
        <w:t>climactic part</w:t>
      </w:r>
      <w:r w:rsidR="00AC21C2" w:rsidRPr="001005B7">
        <w:t xml:space="preserve"> of the </w:t>
      </w:r>
      <w:r w:rsidR="00D30DB3" w:rsidRPr="001005B7">
        <w:t>vision</w:t>
      </w:r>
      <w:r w:rsidR="00ED5636" w:rsidRPr="001005B7">
        <w:t xml:space="preserve"> is </w:t>
      </w:r>
      <w:r w:rsidR="009D1BE9" w:rsidRPr="001005B7">
        <w:t xml:space="preserve">quite </w:t>
      </w:r>
      <w:r w:rsidR="00ED5636" w:rsidRPr="001005B7">
        <w:t>allusive</w:t>
      </w:r>
      <w:r w:rsidR="008231E4" w:rsidRPr="001005B7">
        <w:t>. Y</w:t>
      </w:r>
      <w:r w:rsidR="009D1BE9" w:rsidRPr="001005B7">
        <w:t>et</w:t>
      </w:r>
      <w:r w:rsidR="00AC21C2" w:rsidRPr="001005B7">
        <w:t xml:space="preserve"> </w:t>
      </w:r>
      <w:r w:rsidR="00D30DB3" w:rsidRPr="001005B7">
        <w:t xml:space="preserve">the </w:t>
      </w:r>
      <w:r w:rsidR="00D45852" w:rsidRPr="001005B7">
        <w:t>laco</w:t>
      </w:r>
      <w:r w:rsidR="00C3014B" w:rsidRPr="001005B7">
        <w:t>nic</w:t>
      </w:r>
      <w:r w:rsidR="00892E8C" w:rsidRPr="001005B7">
        <w:t xml:space="preserve"> </w:t>
      </w:r>
      <w:r w:rsidR="00803A1E" w:rsidRPr="001005B7">
        <w:t>description</w:t>
      </w:r>
      <w:r w:rsidR="00AC21C2" w:rsidRPr="001005B7">
        <w:t xml:space="preserve"> has extra impact after the raising of </w:t>
      </w:r>
      <w:r w:rsidR="00913727" w:rsidRPr="001005B7">
        <w:t>anticipation</w:t>
      </w:r>
      <w:r w:rsidR="00AC21C2" w:rsidRPr="001005B7">
        <w:t xml:space="preserve"> through </w:t>
      </w:r>
      <w:r w:rsidR="0042084A" w:rsidRPr="001005B7">
        <w:t>1:</w:t>
      </w:r>
      <w:r w:rsidR="00AC21C2" w:rsidRPr="001005B7">
        <w:t>4</w:t>
      </w:r>
      <w:r w:rsidR="00F46900" w:rsidRPr="001005B7">
        <w:t>–</w:t>
      </w:r>
      <w:r w:rsidR="009B2424" w:rsidRPr="001005B7">
        <w:t>25</w:t>
      </w:r>
      <w:r w:rsidR="002419FF" w:rsidRPr="001005B7">
        <w:t>. It</w:t>
      </w:r>
      <w:r w:rsidR="009B2424" w:rsidRPr="001005B7">
        <w:t xml:space="preserve"> also </w:t>
      </w:r>
      <w:r w:rsidR="0070710F" w:rsidRPr="001005B7">
        <w:t>rais</w:t>
      </w:r>
      <w:r w:rsidR="002419FF" w:rsidRPr="001005B7">
        <w:t>es</w:t>
      </w:r>
      <w:r w:rsidR="0070710F" w:rsidRPr="001005B7">
        <w:t xml:space="preserve"> suspense of its own as it</w:t>
      </w:r>
      <w:r w:rsidR="006C1E73" w:rsidRPr="001005B7">
        <w:t xml:space="preserve"> </w:t>
      </w:r>
      <w:r w:rsidR="00EE26E4" w:rsidRPr="001005B7">
        <w:t>gives</w:t>
      </w:r>
      <w:r w:rsidR="006C1E73" w:rsidRPr="001005B7">
        <w:t xml:space="preserve"> no</w:t>
      </w:r>
      <w:r w:rsidR="009B2424" w:rsidRPr="001005B7">
        <w:t xml:space="preserve"> explan</w:t>
      </w:r>
      <w:r w:rsidR="00EE26E4" w:rsidRPr="001005B7">
        <w:t>ation of</w:t>
      </w:r>
      <w:r w:rsidR="009B2424" w:rsidRPr="001005B7">
        <w:t xml:space="preserve"> </w:t>
      </w:r>
      <w:r w:rsidR="00123B45" w:rsidRPr="001005B7">
        <w:t xml:space="preserve">the troublesome report </w:t>
      </w:r>
      <w:r w:rsidR="00725904" w:rsidRPr="001005B7">
        <w:t>about</w:t>
      </w:r>
      <w:r w:rsidR="00123B45" w:rsidRPr="001005B7">
        <w:t xml:space="preserve"> the noise in </w:t>
      </w:r>
      <w:r w:rsidR="0042084A" w:rsidRPr="001005B7">
        <w:t>1:</w:t>
      </w:r>
      <w:r w:rsidR="00A85840" w:rsidRPr="001005B7">
        <w:t>24</w:t>
      </w:r>
      <w:r w:rsidR="004B3229" w:rsidRPr="001005B7">
        <w:t>,</w:t>
      </w:r>
      <w:r w:rsidR="002419FF" w:rsidRPr="001005B7">
        <w:t xml:space="preserve"> and</w:t>
      </w:r>
      <w:r w:rsidR="00725904" w:rsidRPr="001005B7">
        <w:t xml:space="preserve"> </w:t>
      </w:r>
      <w:r w:rsidR="00A85840" w:rsidRPr="001005B7">
        <w:t xml:space="preserve">leaves </w:t>
      </w:r>
      <w:r w:rsidR="00AC7C56" w:rsidRPr="001005B7">
        <w:t>this</w:t>
      </w:r>
      <w:r w:rsidR="00A85840" w:rsidRPr="001005B7">
        <w:t xml:space="preserve"> as agenda that will need taking up later</w:t>
      </w:r>
      <w:r w:rsidR="00F102A2" w:rsidRPr="001005B7">
        <w:t xml:space="preserve">. </w:t>
      </w:r>
    </w:p>
    <w:p w14:paraId="63570FC7" w14:textId="50FD77D7" w:rsidR="00E43DCF" w:rsidRPr="001005B7" w:rsidRDefault="00F102A2" w:rsidP="007648D9">
      <w:r w:rsidRPr="001005B7">
        <w:t>Meanwhile, t</w:t>
      </w:r>
      <w:r w:rsidR="007718A1" w:rsidRPr="001005B7">
        <w:t xml:space="preserve">he </w:t>
      </w:r>
      <w:r w:rsidR="00446977" w:rsidRPr="001005B7">
        <w:t xml:space="preserve">main part of the </w:t>
      </w:r>
      <w:r w:rsidR="0044377A" w:rsidRPr="001005B7">
        <w:t xml:space="preserve">report of the vision unfolds with rhetorical </w:t>
      </w:r>
      <w:r w:rsidR="00963AA2" w:rsidRPr="001005B7">
        <w:t>drama and building of suspense.</w:t>
      </w:r>
      <w:r w:rsidR="00474D19" w:rsidRPr="001005B7">
        <w:t xml:space="preserve"> It</w:t>
      </w:r>
      <w:r w:rsidR="0040256D" w:rsidRPr="001005B7">
        <w:t xml:space="preserve"> raises questions </w:t>
      </w:r>
      <w:r w:rsidR="00474D19" w:rsidRPr="001005B7">
        <w:t xml:space="preserve">about particulars </w:t>
      </w:r>
      <w:r w:rsidR="0040256D" w:rsidRPr="001005B7">
        <w:t xml:space="preserve">to which </w:t>
      </w:r>
      <w:r w:rsidR="000301F6" w:rsidRPr="001005B7">
        <w:t>it subsequently gives partial</w:t>
      </w:r>
      <w:r w:rsidR="0052772E" w:rsidRPr="001005B7">
        <w:t xml:space="preserve"> though incomplete</w:t>
      </w:r>
      <w:r w:rsidR="000301F6" w:rsidRPr="001005B7">
        <w:t xml:space="preserve"> answers</w:t>
      </w:r>
      <w:r w:rsidR="0076742D" w:rsidRPr="001005B7">
        <w:t>.</w:t>
      </w:r>
      <w:r w:rsidR="000301F6" w:rsidRPr="001005B7">
        <w:t xml:space="preserve"> </w:t>
      </w:r>
      <w:r w:rsidR="00C62114" w:rsidRPr="001005B7">
        <w:t xml:space="preserve">Why </w:t>
      </w:r>
      <w:r w:rsidR="003F2F0D" w:rsidRPr="001005B7">
        <w:t xml:space="preserve">is there flashing fire? </w:t>
      </w:r>
      <w:r w:rsidR="0076742D" w:rsidRPr="001005B7">
        <w:t>It talks about</w:t>
      </w:r>
      <w:r w:rsidR="00C742EC" w:rsidRPr="001005B7">
        <w:t xml:space="preserve"> a </w:t>
      </w:r>
      <w:proofErr w:type="spellStart"/>
      <w:r w:rsidR="00E8095D" w:rsidRPr="001005B7">
        <w:rPr>
          <w:i/>
          <w:iCs/>
        </w:rPr>
        <w:t>hashmal</w:t>
      </w:r>
      <w:proofErr w:type="spellEnd"/>
      <w:r w:rsidR="0076742D" w:rsidRPr="001005B7">
        <w:t>—what is that?</w:t>
      </w:r>
      <w:r w:rsidR="00E8095D" w:rsidRPr="001005B7">
        <w:rPr>
          <w:i/>
          <w:iCs/>
        </w:rPr>
        <w:t xml:space="preserve"> </w:t>
      </w:r>
      <w:r w:rsidR="007C67CF" w:rsidRPr="001005B7">
        <w:t xml:space="preserve">What are the four living creatures for? </w:t>
      </w:r>
      <w:r w:rsidR="002F078D" w:rsidRPr="001005B7">
        <w:t>It raises other questions to which it does not provide answers but perhaps expects people to be able to work them out</w:t>
      </w:r>
      <w:r w:rsidR="00CA4878" w:rsidRPr="001005B7">
        <w:t>,</w:t>
      </w:r>
      <w:r w:rsidR="002F078D" w:rsidRPr="001005B7">
        <w:t xml:space="preserve"> given things they know</w:t>
      </w:r>
      <w:r w:rsidR="00AA4F0A" w:rsidRPr="001005B7">
        <w:t>.</w:t>
      </w:r>
      <w:r w:rsidR="002F078D" w:rsidRPr="001005B7">
        <w:t xml:space="preserve"> Why do the creatures have those particular four faces? </w:t>
      </w:r>
      <w:r w:rsidR="007C38CA" w:rsidRPr="001005B7">
        <w:t>W</w:t>
      </w:r>
      <w:r w:rsidR="00CA4878" w:rsidRPr="001005B7">
        <w:t>hy do the</w:t>
      </w:r>
      <w:r w:rsidR="00891B4A" w:rsidRPr="001005B7">
        <w:t>y</w:t>
      </w:r>
      <w:r w:rsidR="00CA4878" w:rsidRPr="001005B7">
        <w:t xml:space="preserve"> have wings and wheels with eyes?</w:t>
      </w:r>
      <w:r w:rsidR="007C38CA" w:rsidRPr="001005B7">
        <w:t xml:space="preserve"> </w:t>
      </w:r>
      <w:r w:rsidR="00093E01" w:rsidRPr="001005B7">
        <w:t xml:space="preserve">It raises </w:t>
      </w:r>
      <w:r w:rsidR="00887F24" w:rsidRPr="001005B7">
        <w:t xml:space="preserve">yet </w:t>
      </w:r>
      <w:r w:rsidR="00093E01" w:rsidRPr="001005B7">
        <w:t xml:space="preserve">other questions to which </w:t>
      </w:r>
      <w:r w:rsidR="0040256D" w:rsidRPr="001005B7">
        <w:t>readers would like to have answers</w:t>
      </w:r>
      <w:r w:rsidR="00AA4F0A" w:rsidRPr="001005B7">
        <w:t>,</w:t>
      </w:r>
      <w:r w:rsidR="00093E01" w:rsidRPr="001005B7">
        <w:t xml:space="preserve"> but </w:t>
      </w:r>
      <w:r w:rsidR="00AA4F0A" w:rsidRPr="001005B7">
        <w:t>only later in the scroll will they get</w:t>
      </w:r>
      <w:r w:rsidR="00093E01" w:rsidRPr="001005B7">
        <w:t xml:space="preserve"> at least</w:t>
      </w:r>
      <w:r w:rsidR="00351581" w:rsidRPr="001005B7">
        <w:t xml:space="preserve"> or at most</w:t>
      </w:r>
      <w:r w:rsidR="00093E01" w:rsidRPr="001005B7">
        <w:t xml:space="preserve"> partial </w:t>
      </w:r>
      <w:r w:rsidR="00986379" w:rsidRPr="001005B7">
        <w:t>ones</w:t>
      </w:r>
      <w:r w:rsidR="0056300D" w:rsidRPr="001005B7">
        <w:t>.</w:t>
      </w:r>
      <w:r w:rsidR="00093E01" w:rsidRPr="001005B7">
        <w:t xml:space="preserve"> </w:t>
      </w:r>
      <w:r w:rsidR="008A3C05" w:rsidRPr="001005B7">
        <w:t>W</w:t>
      </w:r>
      <w:r w:rsidR="002B5878" w:rsidRPr="001005B7">
        <w:t>hy do the creatures have hands?</w:t>
      </w:r>
      <w:r w:rsidR="003F4D1C" w:rsidRPr="001005B7">
        <w:t xml:space="preserve"> What is the spirit</w:t>
      </w:r>
      <w:r w:rsidR="00BB7ABB" w:rsidRPr="001005B7">
        <w:t xml:space="preserve"> that goes and that the creatures follow?</w:t>
      </w:r>
      <w:r w:rsidR="00735D14" w:rsidRPr="001005B7">
        <w:t xml:space="preserve"> Why is </w:t>
      </w:r>
      <w:r w:rsidR="006F3767" w:rsidRPr="001005B7">
        <w:t xml:space="preserve">the wind stormy and why is there thunder and </w:t>
      </w:r>
      <w:r w:rsidR="005208BC" w:rsidRPr="001005B7">
        <w:t>the sound of an army</w:t>
      </w:r>
      <w:r w:rsidR="006F3767" w:rsidRPr="001005B7">
        <w:t>?</w:t>
      </w:r>
    </w:p>
    <w:p w14:paraId="507961CA" w14:textId="2D0370AA" w:rsidR="00991848" w:rsidRPr="001005B7" w:rsidRDefault="00FC4FE4" w:rsidP="00FC4FE4">
      <w:r w:rsidRPr="001005B7">
        <w:t xml:space="preserve">God gives </w:t>
      </w:r>
      <w:r w:rsidR="00241B61" w:rsidRPr="001005B7">
        <w:t>the</w:t>
      </w:r>
      <w:r w:rsidRPr="001005B7">
        <w:t xml:space="preserve"> vision to Ezekiel and Ezekiel passes it on to his people in a way that makes use of ways of God’s revealing himself </w:t>
      </w:r>
      <w:r w:rsidR="00E70589" w:rsidRPr="001005B7">
        <w:t xml:space="preserve">that are familiar </w:t>
      </w:r>
      <w:r w:rsidRPr="001005B7">
        <w:t>from what they kn</w:t>
      </w:r>
      <w:r w:rsidR="000D6FC7" w:rsidRPr="001005B7">
        <w:t>o</w:t>
      </w:r>
      <w:r w:rsidRPr="001005B7">
        <w:t>w in the Scriptures</w:t>
      </w:r>
      <w:r w:rsidR="00BA4857" w:rsidRPr="001005B7">
        <w:t xml:space="preserve"> or in </w:t>
      </w:r>
      <w:r w:rsidR="00BD60A8" w:rsidRPr="001005B7">
        <w:t>potentially-scriptural traditions</w:t>
      </w:r>
      <w:r w:rsidR="000D6FC7" w:rsidRPr="001005B7">
        <w:t xml:space="preserve">, </w:t>
      </w:r>
      <w:r w:rsidR="003C223B" w:rsidRPr="001005B7">
        <w:t>or from</w:t>
      </w:r>
      <w:r w:rsidR="00BD60A8" w:rsidRPr="001005B7">
        <w:t xml:space="preserve"> </w:t>
      </w:r>
      <w:r w:rsidRPr="001005B7">
        <w:t xml:space="preserve">things they were familiar with in </w:t>
      </w:r>
      <w:r w:rsidR="005B42F2" w:rsidRPr="001005B7">
        <w:t>B</w:t>
      </w:r>
      <w:r w:rsidRPr="001005B7">
        <w:t>abylon</w:t>
      </w:r>
      <w:r w:rsidR="003C223B" w:rsidRPr="001005B7">
        <w:t>ia</w:t>
      </w:r>
      <w:r w:rsidRPr="001005B7">
        <w:t xml:space="preserve">. </w:t>
      </w:r>
      <w:r w:rsidR="00E057A9" w:rsidRPr="001005B7">
        <w:t xml:space="preserve">The exotic and detailed description of the living beings has </w:t>
      </w:r>
      <w:r w:rsidR="008775E2" w:rsidRPr="001005B7">
        <w:t xml:space="preserve">partial </w:t>
      </w:r>
      <w:r w:rsidR="00E057A9" w:rsidRPr="001005B7">
        <w:t>parallel</w:t>
      </w:r>
      <w:r w:rsidR="001C72D0" w:rsidRPr="001005B7">
        <w:t>s</w:t>
      </w:r>
      <w:r w:rsidR="00E057A9" w:rsidRPr="001005B7">
        <w:t xml:space="preserve"> with other Scriptures and mo</w:t>
      </w:r>
      <w:r w:rsidR="001C72D0" w:rsidRPr="001005B7">
        <w:t>re</w:t>
      </w:r>
      <w:r w:rsidR="00E057A9" w:rsidRPr="001005B7">
        <w:t xml:space="preserve"> parallel</w:t>
      </w:r>
      <w:r w:rsidR="001C72D0" w:rsidRPr="001005B7">
        <w:t>s</w:t>
      </w:r>
      <w:r w:rsidR="00E057A9" w:rsidRPr="001005B7">
        <w:t xml:space="preserve"> with aspects of Mesopotamian culture that Judahites in Babylon</w:t>
      </w:r>
      <w:r w:rsidR="001C72D0" w:rsidRPr="001005B7">
        <w:t>ia</w:t>
      </w:r>
      <w:r w:rsidR="00E057A9" w:rsidRPr="001005B7">
        <w:t xml:space="preserve"> might be familiar with. </w:t>
      </w:r>
      <w:r w:rsidR="00BF5FEC" w:rsidRPr="001005B7">
        <w:t>As a whole, t</w:t>
      </w:r>
      <w:r w:rsidR="0030283F" w:rsidRPr="001005B7">
        <w:t>he account</w:t>
      </w:r>
      <w:r w:rsidR="00BA4857" w:rsidRPr="001005B7">
        <w:t xml:space="preserve"> i</w:t>
      </w:r>
      <w:r w:rsidRPr="001005B7">
        <w:t>s like and unlike Exod 24</w:t>
      </w:r>
      <w:r w:rsidR="00F43772" w:rsidRPr="001005B7">
        <w:t xml:space="preserve">, </w:t>
      </w:r>
      <w:r w:rsidR="00F20F1D" w:rsidRPr="001005B7">
        <w:t>w</w:t>
      </w:r>
      <w:r w:rsidR="0044247D" w:rsidRPr="001005B7">
        <w:t>here there is</w:t>
      </w:r>
      <w:r w:rsidR="00F20F1D" w:rsidRPr="001005B7">
        <w:t xml:space="preserve"> a platform </w:t>
      </w:r>
      <w:r w:rsidR="00194243" w:rsidRPr="001005B7">
        <w:t>on which</w:t>
      </w:r>
      <w:r w:rsidR="00547B19" w:rsidRPr="001005B7">
        <w:t xml:space="preserve"> God appears</w:t>
      </w:r>
      <w:r w:rsidR="00CB00A2" w:rsidRPr="001005B7">
        <w:t>, but no</w:t>
      </w:r>
      <w:r w:rsidRPr="001005B7">
        <w:t xml:space="preserve"> </w:t>
      </w:r>
      <w:r w:rsidR="00CB00A2" w:rsidRPr="001005B7">
        <w:t xml:space="preserve">creatures and no </w:t>
      </w:r>
      <w:r w:rsidRPr="001005B7">
        <w:t>prophetic commission</w:t>
      </w:r>
      <w:r w:rsidR="00F43772" w:rsidRPr="001005B7">
        <w:t>. It’s</w:t>
      </w:r>
      <w:r w:rsidRPr="001005B7">
        <w:t xml:space="preserve"> like and unlike Jer 1</w:t>
      </w:r>
      <w:r w:rsidR="00F43772" w:rsidRPr="001005B7">
        <w:t xml:space="preserve">, </w:t>
      </w:r>
      <w:r w:rsidR="00444B1B" w:rsidRPr="001005B7">
        <w:t>w</w:t>
      </w:r>
      <w:r w:rsidR="0044247D" w:rsidRPr="001005B7">
        <w:t>here there is</w:t>
      </w:r>
      <w:r w:rsidR="00444B1B" w:rsidRPr="001005B7">
        <w:t xml:space="preserve"> a commission</w:t>
      </w:r>
      <w:r w:rsidR="00DE51D0" w:rsidRPr="001005B7">
        <w:t>,</w:t>
      </w:r>
      <w:r w:rsidR="00444B1B" w:rsidRPr="001005B7">
        <w:t xml:space="preserve"> something </w:t>
      </w:r>
      <w:r w:rsidR="008D57D8" w:rsidRPr="001005B7">
        <w:t>to see</w:t>
      </w:r>
      <w:r w:rsidR="00DE51D0" w:rsidRPr="001005B7">
        <w:t>,</w:t>
      </w:r>
      <w:r w:rsidR="008D57D8" w:rsidRPr="001005B7">
        <w:t xml:space="preserve"> and something </w:t>
      </w:r>
      <w:r w:rsidR="00444B1B" w:rsidRPr="001005B7">
        <w:t>po</w:t>
      </w:r>
      <w:r w:rsidR="00F92528" w:rsidRPr="001005B7">
        <w:t>u</w:t>
      </w:r>
      <w:r w:rsidR="00444B1B" w:rsidRPr="001005B7">
        <w:t>ring out from the north</w:t>
      </w:r>
      <w:r w:rsidR="00F92528" w:rsidRPr="001005B7">
        <w:t>, but no</w:t>
      </w:r>
      <w:r w:rsidRPr="001005B7">
        <w:t xml:space="preserve"> appearance of God</w:t>
      </w:r>
      <w:r w:rsidR="00F43772" w:rsidRPr="001005B7">
        <w:t>. And it’s</w:t>
      </w:r>
      <w:r w:rsidR="008D57D8" w:rsidRPr="001005B7">
        <w:t xml:space="preserve"> </w:t>
      </w:r>
      <w:r w:rsidRPr="001005B7">
        <w:t xml:space="preserve">like </w:t>
      </w:r>
      <w:r w:rsidR="008D57D8" w:rsidRPr="001005B7">
        <w:t xml:space="preserve">and unlike </w:t>
      </w:r>
      <w:r w:rsidRPr="001005B7">
        <w:t>Isa 6</w:t>
      </w:r>
      <w:r w:rsidR="00C13E11" w:rsidRPr="001005B7">
        <w:t>,</w:t>
      </w:r>
      <w:r w:rsidR="0024447C" w:rsidRPr="001005B7">
        <w:t xml:space="preserve"> w</w:t>
      </w:r>
      <w:r w:rsidR="00DE51D0" w:rsidRPr="001005B7">
        <w:t>here there is</w:t>
      </w:r>
      <w:r w:rsidR="0024447C" w:rsidRPr="001005B7">
        <w:t xml:space="preserve"> an appearance</w:t>
      </w:r>
      <w:r w:rsidR="00DE51D0" w:rsidRPr="001005B7">
        <w:t>,</w:t>
      </w:r>
      <w:r w:rsidR="00640A6B" w:rsidRPr="001005B7">
        <w:t xml:space="preserve"> the </w:t>
      </w:r>
      <w:r w:rsidR="00194243" w:rsidRPr="001005B7">
        <w:t xml:space="preserve">presence of the </w:t>
      </w:r>
      <w:r w:rsidR="00640A6B" w:rsidRPr="001005B7">
        <w:t>seraphim</w:t>
      </w:r>
      <w:r w:rsidR="00EA0DE6" w:rsidRPr="001005B7">
        <w:t>,</w:t>
      </w:r>
      <w:r w:rsidR="00640A6B" w:rsidRPr="001005B7">
        <w:t xml:space="preserve"> </w:t>
      </w:r>
      <w:r w:rsidR="0024447C" w:rsidRPr="001005B7">
        <w:t xml:space="preserve">and a prophetic commission, but </w:t>
      </w:r>
      <w:r w:rsidR="00AC0A9D" w:rsidRPr="001005B7">
        <w:t>the vision</w:t>
      </w:r>
      <w:r w:rsidR="00EA0DE6" w:rsidRPr="001005B7">
        <w:t xml:space="preserve"> </w:t>
      </w:r>
      <w:r w:rsidR="0024447C" w:rsidRPr="001005B7">
        <w:t>tak</w:t>
      </w:r>
      <w:r w:rsidR="00EA0DE6" w:rsidRPr="001005B7">
        <w:t>es</w:t>
      </w:r>
      <w:r w:rsidR="0024447C" w:rsidRPr="001005B7">
        <w:t xml:space="preserve"> place in Jerusalem</w:t>
      </w:r>
      <w:r w:rsidRPr="001005B7">
        <w:t xml:space="preserve">. </w:t>
      </w:r>
      <w:r w:rsidR="00A65A53" w:rsidRPr="001005B7">
        <w:t>Ezekiel give</w:t>
      </w:r>
      <w:r w:rsidR="00AE6D7F" w:rsidRPr="001005B7">
        <w:t>s</w:t>
      </w:r>
      <w:r w:rsidR="00A65A53" w:rsidRPr="001005B7">
        <w:t xml:space="preserve"> </w:t>
      </w:r>
      <w:r w:rsidR="00AE6D7F" w:rsidRPr="001005B7">
        <w:t xml:space="preserve">more </w:t>
      </w:r>
      <w:r w:rsidR="00A65A53" w:rsidRPr="001005B7">
        <w:t>detail compared with Isaiah 6</w:t>
      </w:r>
      <w:r w:rsidR="00712E78" w:rsidRPr="001005B7">
        <w:t>, and</w:t>
      </w:r>
      <w:r w:rsidR="00A65A53" w:rsidRPr="001005B7">
        <w:t xml:space="preserve"> </w:t>
      </w:r>
      <w:r w:rsidR="00A65A53" w:rsidRPr="001005B7">
        <w:rPr>
          <w:i/>
          <w:iCs/>
        </w:rPr>
        <w:t>B. Hagigah</w:t>
      </w:r>
      <w:r w:rsidR="00A65A53" w:rsidRPr="001005B7">
        <w:t xml:space="preserve"> </w:t>
      </w:r>
      <w:r w:rsidR="00C21035" w:rsidRPr="001005B7">
        <w:t xml:space="preserve">13b </w:t>
      </w:r>
      <w:r w:rsidR="00A65A53" w:rsidRPr="001005B7">
        <w:t xml:space="preserve">hints that </w:t>
      </w:r>
      <w:r w:rsidR="00712E78" w:rsidRPr="001005B7">
        <w:t xml:space="preserve">this is </w:t>
      </w:r>
      <w:r w:rsidR="00AB68CE" w:rsidRPr="001005B7">
        <w:t>because</w:t>
      </w:r>
      <w:r w:rsidR="00A65A53" w:rsidRPr="001005B7">
        <w:t xml:space="preserve"> </w:t>
      </w:r>
      <w:r w:rsidR="00276FE4" w:rsidRPr="001005B7">
        <w:t xml:space="preserve">Ezekiel </w:t>
      </w:r>
      <w:r w:rsidR="00AB68CE" w:rsidRPr="001005B7">
        <w:t>is</w:t>
      </w:r>
      <w:r w:rsidR="00276FE4" w:rsidRPr="001005B7">
        <w:t xml:space="preserve"> </w:t>
      </w:r>
      <w:r w:rsidR="00A65A53" w:rsidRPr="001005B7">
        <w:t xml:space="preserve">an excited villager and </w:t>
      </w:r>
      <w:r w:rsidR="00276FE4" w:rsidRPr="001005B7">
        <w:t xml:space="preserve">Isaiah </w:t>
      </w:r>
      <w:r w:rsidR="00AB68CE" w:rsidRPr="001005B7">
        <w:t>is</w:t>
      </w:r>
      <w:r w:rsidR="00276FE4" w:rsidRPr="001005B7">
        <w:t xml:space="preserve"> </w:t>
      </w:r>
      <w:r w:rsidR="00A65A53" w:rsidRPr="001005B7">
        <w:t xml:space="preserve">a quiet city-dweller. Ezekiel’s </w:t>
      </w:r>
      <w:r w:rsidR="00456419" w:rsidRPr="001005B7">
        <w:t>report is</w:t>
      </w:r>
      <w:r w:rsidR="00EE6989" w:rsidRPr="001005B7">
        <w:t xml:space="preserve"> also like and unlike</w:t>
      </w:r>
      <w:r w:rsidRPr="001005B7">
        <w:t xml:space="preserve"> Mark 1</w:t>
      </w:r>
      <w:r w:rsidR="009A4BA4" w:rsidRPr="001005B7">
        <w:t xml:space="preserve">, </w:t>
      </w:r>
      <w:r w:rsidR="00BD1532" w:rsidRPr="001005B7">
        <w:t>with the heavens opening and a</w:t>
      </w:r>
      <w:r w:rsidR="00837CA3" w:rsidRPr="001005B7">
        <w:t>n implicit</w:t>
      </w:r>
      <w:r w:rsidR="00BD1532" w:rsidRPr="001005B7">
        <w:t xml:space="preserve"> commi</w:t>
      </w:r>
      <w:r w:rsidR="00837CA3" w:rsidRPr="001005B7">
        <w:t>s</w:t>
      </w:r>
      <w:r w:rsidR="00BD1532" w:rsidRPr="001005B7">
        <w:t>sion</w:t>
      </w:r>
      <w:r w:rsidR="00837CA3" w:rsidRPr="001005B7">
        <w:t xml:space="preserve">, but </w:t>
      </w:r>
      <w:r w:rsidR="00AD2B87" w:rsidRPr="001005B7">
        <w:t>no appearance of God</w:t>
      </w:r>
      <w:r w:rsidR="00376756" w:rsidRPr="001005B7">
        <w:t xml:space="preserve">. It’s </w:t>
      </w:r>
      <w:r w:rsidR="00AD2B87" w:rsidRPr="001005B7">
        <w:t>like and unlike</w:t>
      </w:r>
      <w:r w:rsidRPr="001005B7">
        <w:t xml:space="preserve"> Acts 9</w:t>
      </w:r>
      <w:r w:rsidR="00B41499" w:rsidRPr="001005B7">
        <w:t xml:space="preserve">, </w:t>
      </w:r>
      <w:r w:rsidR="008A6081" w:rsidRPr="001005B7">
        <w:t xml:space="preserve">with light from heaven and a commission </w:t>
      </w:r>
      <w:r w:rsidR="00051202" w:rsidRPr="001005B7">
        <w:t>but no appearance of God</w:t>
      </w:r>
      <w:r w:rsidR="00BE7CCC" w:rsidRPr="001005B7">
        <w:t>. D</w:t>
      </w:r>
      <w:r w:rsidR="001E3388" w:rsidRPr="001005B7">
        <w:t xml:space="preserve">azzling </w:t>
      </w:r>
      <w:r w:rsidR="005610C1" w:rsidRPr="001005B7">
        <w:t>light</w:t>
      </w:r>
      <w:r w:rsidR="001E3388" w:rsidRPr="001005B7">
        <w:t xml:space="preserve"> </w:t>
      </w:r>
      <w:r w:rsidR="004C389A" w:rsidRPr="001005B7">
        <w:t xml:space="preserve">also </w:t>
      </w:r>
      <w:r w:rsidR="001E3388" w:rsidRPr="001005B7">
        <w:t>makes for a</w:t>
      </w:r>
      <w:r w:rsidR="008F37F1" w:rsidRPr="001005B7">
        <w:t xml:space="preserve"> link</w:t>
      </w:r>
      <w:r w:rsidR="00A7445F" w:rsidRPr="001005B7">
        <w:t xml:space="preserve"> with Acts 9</w:t>
      </w:r>
      <w:r w:rsidR="008F37F1" w:rsidRPr="001005B7">
        <w:t xml:space="preserve">, since Ezekiel speaks so much of </w:t>
      </w:r>
      <w:r w:rsidR="006D7508" w:rsidRPr="001005B7">
        <w:t>brightness</w:t>
      </w:r>
      <w:r w:rsidR="00AB72B1" w:rsidRPr="001005B7">
        <w:t xml:space="preserve">, sparkling, polished bronze, </w:t>
      </w:r>
      <w:r w:rsidR="00F639EC" w:rsidRPr="001005B7">
        <w:t>torches</w:t>
      </w:r>
      <w:r w:rsidR="007F00E1" w:rsidRPr="001005B7">
        <w:t xml:space="preserve">, lightning, beryl, </w:t>
      </w:r>
      <w:r w:rsidR="007A6C77" w:rsidRPr="001005B7">
        <w:t xml:space="preserve">crystal, </w:t>
      </w:r>
      <w:r w:rsidR="00221B16" w:rsidRPr="001005B7">
        <w:t>sapphire</w:t>
      </w:r>
      <w:r w:rsidR="008555A5" w:rsidRPr="001005B7">
        <w:t xml:space="preserve">, and also </w:t>
      </w:r>
      <w:r w:rsidR="00397518" w:rsidRPr="001005B7">
        <w:t>of fire, burning</w:t>
      </w:r>
      <w:r w:rsidR="004C04E4" w:rsidRPr="001005B7">
        <w:t>, coal</w:t>
      </w:r>
      <w:r w:rsidR="00C506DC" w:rsidRPr="001005B7">
        <w:t>s</w:t>
      </w:r>
      <w:r w:rsidR="00A302FF" w:rsidRPr="001005B7">
        <w:t xml:space="preserve">, </w:t>
      </w:r>
      <w:r w:rsidR="00C506DC" w:rsidRPr="001005B7">
        <w:t xml:space="preserve">and </w:t>
      </w:r>
      <w:proofErr w:type="spellStart"/>
      <w:r w:rsidR="00C506DC" w:rsidRPr="001005B7">
        <w:rPr>
          <w:i/>
          <w:iCs/>
        </w:rPr>
        <w:t>hashmal</w:t>
      </w:r>
      <w:proofErr w:type="spellEnd"/>
      <w:r w:rsidR="00C506DC" w:rsidRPr="001005B7">
        <w:t>.</w:t>
      </w:r>
      <w:r w:rsidR="00F639EC" w:rsidRPr="001005B7">
        <w:t xml:space="preserve"> </w:t>
      </w:r>
    </w:p>
    <w:p w14:paraId="24CB7AA9" w14:textId="7F725610" w:rsidR="009F37E0" w:rsidRPr="001005B7" w:rsidRDefault="009F37E0" w:rsidP="00493833">
      <w:pPr>
        <w:pStyle w:val="Heading3"/>
      </w:pPr>
      <w:r w:rsidRPr="001005B7">
        <w:t>Translation</w:t>
      </w:r>
    </w:p>
    <w:p w14:paraId="2D2D6742" w14:textId="3AB357BB" w:rsidR="009F37E0" w:rsidRPr="001005B7" w:rsidRDefault="009F37E0" w:rsidP="009F37E0">
      <w:r w:rsidRPr="001005B7">
        <w:rPr>
          <w:vertAlign w:val="superscript"/>
        </w:rPr>
        <w:t>4</w:t>
      </w:r>
      <w:r w:rsidRPr="001005B7">
        <w:t xml:space="preserve">I </w:t>
      </w:r>
      <w:r w:rsidR="00506FCB" w:rsidRPr="001005B7">
        <w:t>saw</w:t>
      </w:r>
      <w:r w:rsidRPr="001005B7">
        <w:t>, and there: a storm wind</w:t>
      </w:r>
      <w:r w:rsidR="0029125D" w:rsidRPr="001005B7">
        <w:t xml:space="preserve"> </w:t>
      </w:r>
      <w:r w:rsidRPr="001005B7">
        <w:t>coming</w:t>
      </w:r>
      <w:r w:rsidR="00532B93" w:rsidRPr="001005B7">
        <w:rPr>
          <w:rStyle w:val="FootnoteReference"/>
        </w:rPr>
        <w:footnoteReference w:id="93"/>
      </w:r>
      <w:r w:rsidRPr="001005B7">
        <w:t xml:space="preserve"> from the nort</w:t>
      </w:r>
      <w:r w:rsidR="00483D8F" w:rsidRPr="001005B7">
        <w:t>h</w:t>
      </w:r>
      <w:r w:rsidR="00965719" w:rsidRPr="001005B7">
        <w:t>,</w:t>
      </w:r>
      <w:r w:rsidR="00483D8F" w:rsidRPr="001005B7">
        <w:t xml:space="preserve"> </w:t>
      </w:r>
      <w:r w:rsidR="00965719" w:rsidRPr="001005B7">
        <w:t>a</w:t>
      </w:r>
      <w:r w:rsidRPr="001005B7">
        <w:t xml:space="preserve"> big cloud</w:t>
      </w:r>
      <w:r w:rsidR="00C853BC" w:rsidRPr="001005B7">
        <w:t xml:space="preserve">, and </w:t>
      </w:r>
      <w:r w:rsidRPr="001005B7">
        <w:t xml:space="preserve">fire </w:t>
      </w:r>
      <w:r w:rsidR="00483D8F" w:rsidRPr="001005B7">
        <w:t>consuming</w:t>
      </w:r>
      <w:r w:rsidRPr="001005B7">
        <w:t xml:space="preserve"> itself</w:t>
      </w:r>
      <w:r w:rsidR="002F4750" w:rsidRPr="001005B7">
        <w:t>.</w:t>
      </w:r>
      <w:r w:rsidR="00E246FC" w:rsidRPr="001005B7">
        <w:rPr>
          <w:rStyle w:val="FootnoteReference"/>
        </w:rPr>
        <w:footnoteReference w:id="94"/>
      </w:r>
      <w:r w:rsidR="0048273A" w:rsidRPr="001005B7">
        <w:t xml:space="preserve"> </w:t>
      </w:r>
      <w:r w:rsidR="002F4750" w:rsidRPr="001005B7">
        <w:t>I</w:t>
      </w:r>
      <w:r w:rsidR="000F65F6" w:rsidRPr="001005B7">
        <w:t xml:space="preserve">t had </w:t>
      </w:r>
      <w:r w:rsidR="0048273A" w:rsidRPr="001005B7">
        <w:t>b</w:t>
      </w:r>
      <w:r w:rsidRPr="001005B7">
        <w:t xml:space="preserve">rightness all </w:t>
      </w:r>
      <w:r w:rsidR="002951D4" w:rsidRPr="001005B7">
        <w:t>a</w:t>
      </w:r>
      <w:r w:rsidRPr="001005B7">
        <w:t xml:space="preserve">round, and </w:t>
      </w:r>
      <w:r w:rsidR="006B0FA6" w:rsidRPr="001005B7">
        <w:t>from</w:t>
      </w:r>
      <w:r w:rsidRPr="001005B7">
        <w:t xml:space="preserve"> </w:t>
      </w:r>
      <w:r w:rsidR="00900643" w:rsidRPr="001005B7">
        <w:t>the middle of it</w:t>
      </w:r>
      <w:r w:rsidRPr="001005B7">
        <w:t xml:space="preserve"> </w:t>
      </w:r>
      <w:r w:rsidR="00EB1EC7" w:rsidRPr="001005B7">
        <w:t>something like</w:t>
      </w:r>
      <w:r w:rsidR="008F6865" w:rsidRPr="001005B7">
        <w:rPr>
          <w:rStyle w:val="FootnoteReference"/>
        </w:rPr>
        <w:footnoteReference w:id="95"/>
      </w:r>
      <w:r w:rsidR="00F924F7" w:rsidRPr="001005B7">
        <w:t xml:space="preserve"> </w:t>
      </w:r>
      <w:r w:rsidR="000B7853" w:rsidRPr="001005B7">
        <w:t xml:space="preserve">the </w:t>
      </w:r>
      <w:r w:rsidR="004D3366" w:rsidRPr="001005B7">
        <w:t>look</w:t>
      </w:r>
      <w:r w:rsidR="00D13DCD" w:rsidRPr="001005B7">
        <w:t xml:space="preserve"> of</w:t>
      </w:r>
      <w:r w:rsidR="00280E78" w:rsidRPr="001005B7">
        <w:rPr>
          <w:rStyle w:val="FootnoteReference"/>
        </w:rPr>
        <w:footnoteReference w:id="96"/>
      </w:r>
      <w:r w:rsidR="0028544F" w:rsidRPr="001005B7">
        <w:t xml:space="preserve"> </w:t>
      </w:r>
      <w:proofErr w:type="spellStart"/>
      <w:r w:rsidR="00D313A4" w:rsidRPr="001005B7">
        <w:rPr>
          <w:i/>
          <w:iCs/>
        </w:rPr>
        <w:t>has</w:t>
      </w:r>
      <w:r w:rsidR="00AA4EDA" w:rsidRPr="001005B7">
        <w:rPr>
          <w:i/>
          <w:iCs/>
        </w:rPr>
        <w:t>hmal</w:t>
      </w:r>
      <w:proofErr w:type="spellEnd"/>
      <w:r w:rsidRPr="001005B7">
        <w:t>,</w:t>
      </w:r>
      <w:r w:rsidR="00D73960" w:rsidRPr="001005B7">
        <w:rPr>
          <w:rStyle w:val="FootnoteReference"/>
        </w:rPr>
        <w:footnoteReference w:id="97"/>
      </w:r>
      <w:r w:rsidRPr="001005B7">
        <w:t xml:space="preserve"> </w:t>
      </w:r>
      <w:r w:rsidR="00E3416F" w:rsidRPr="001005B7">
        <w:t>from</w:t>
      </w:r>
      <w:r w:rsidRPr="001005B7">
        <w:t xml:space="preserve"> the middle of the fire</w:t>
      </w:r>
      <w:r w:rsidR="007A5138" w:rsidRPr="001005B7">
        <w:t>.</w:t>
      </w:r>
      <w:r w:rsidRPr="001005B7">
        <w:t xml:space="preserve"> </w:t>
      </w:r>
      <w:r w:rsidRPr="001005B7">
        <w:rPr>
          <w:vertAlign w:val="superscript"/>
        </w:rPr>
        <w:t>5</w:t>
      </w:r>
      <w:r w:rsidR="00954E83" w:rsidRPr="001005B7">
        <w:t>And f</w:t>
      </w:r>
      <w:r w:rsidR="00830CA9" w:rsidRPr="001005B7">
        <w:t>rom</w:t>
      </w:r>
      <w:r w:rsidRPr="001005B7">
        <w:t xml:space="preserve"> the middle of it</w:t>
      </w:r>
      <w:r w:rsidR="00134D83" w:rsidRPr="001005B7">
        <w:t>:</w:t>
      </w:r>
      <w:r w:rsidR="000C5D98" w:rsidRPr="001005B7">
        <w:t xml:space="preserve"> </w:t>
      </w:r>
      <w:r w:rsidRPr="001005B7">
        <w:t xml:space="preserve">the </w:t>
      </w:r>
      <w:r w:rsidR="00694CB8" w:rsidRPr="001005B7">
        <w:t>form</w:t>
      </w:r>
      <w:r w:rsidRPr="001005B7">
        <w:t xml:space="preserve"> of four living beings</w:t>
      </w:r>
      <w:r w:rsidR="00EF2187" w:rsidRPr="001005B7">
        <w:t>. T</w:t>
      </w:r>
      <w:r w:rsidR="00830CA9" w:rsidRPr="001005B7">
        <w:t>his t</w:t>
      </w:r>
      <w:r w:rsidRPr="001005B7">
        <w:t xml:space="preserve">heir appearance: </w:t>
      </w:r>
      <w:r w:rsidR="00590D96" w:rsidRPr="001005B7">
        <w:t xml:space="preserve">they had </w:t>
      </w:r>
      <w:r w:rsidRPr="001005B7">
        <w:t xml:space="preserve">the </w:t>
      </w:r>
      <w:r w:rsidR="008D2741" w:rsidRPr="001005B7">
        <w:t>form</w:t>
      </w:r>
      <w:r w:rsidRPr="001005B7">
        <w:t xml:space="preserve"> of a human being, </w:t>
      </w:r>
      <w:r w:rsidRPr="001005B7">
        <w:rPr>
          <w:vertAlign w:val="superscript"/>
        </w:rPr>
        <w:t>6</w:t>
      </w:r>
      <w:r w:rsidRPr="001005B7">
        <w:t>but</w:t>
      </w:r>
      <w:r w:rsidR="00BA5FC9" w:rsidRPr="001005B7">
        <w:t xml:space="preserve"> they</w:t>
      </w:r>
      <w:r w:rsidR="00A81CC3" w:rsidRPr="001005B7">
        <w:rPr>
          <w:rStyle w:val="FootnoteReference"/>
        </w:rPr>
        <w:footnoteReference w:id="98"/>
      </w:r>
      <w:r w:rsidR="00BA5FC9" w:rsidRPr="001005B7">
        <w:t xml:space="preserve"> had </w:t>
      </w:r>
      <w:r w:rsidRPr="001005B7">
        <w:t>four faces each and four wings each</w:t>
      </w:r>
      <w:r w:rsidR="00A12AA4" w:rsidRPr="001005B7">
        <w:t xml:space="preserve"> of them</w:t>
      </w:r>
      <w:r w:rsidR="00E211B5" w:rsidRPr="001005B7">
        <w:t>.</w:t>
      </w:r>
      <w:r w:rsidRPr="001005B7">
        <w:t xml:space="preserve"> </w:t>
      </w:r>
      <w:r w:rsidRPr="001005B7">
        <w:rPr>
          <w:vertAlign w:val="superscript"/>
        </w:rPr>
        <w:t>7</w:t>
      </w:r>
      <w:r w:rsidR="00E211B5" w:rsidRPr="001005B7">
        <w:t>T</w:t>
      </w:r>
      <w:r w:rsidRPr="001005B7">
        <w:t>heir legs</w:t>
      </w:r>
      <w:r w:rsidR="000B1DBC" w:rsidRPr="001005B7">
        <w:t>:</w:t>
      </w:r>
      <w:r w:rsidRPr="001005B7">
        <w:t xml:space="preserve"> a straight leg, </w:t>
      </w:r>
      <w:r w:rsidR="00A01070" w:rsidRPr="001005B7">
        <w:t>and</w:t>
      </w:r>
      <w:r w:rsidRPr="001005B7">
        <w:t xml:space="preserve"> the sole of their feet </w:t>
      </w:r>
      <w:r w:rsidR="00F924F7" w:rsidRPr="001005B7">
        <w:t xml:space="preserve">something </w:t>
      </w:r>
      <w:r w:rsidRPr="001005B7">
        <w:t>like the sole of a calf’s foot, and</w:t>
      </w:r>
      <w:r w:rsidR="00D34941" w:rsidRPr="001005B7">
        <w:t xml:space="preserve"> </w:t>
      </w:r>
      <w:r w:rsidR="008F13E5" w:rsidRPr="001005B7">
        <w:t xml:space="preserve">they </w:t>
      </w:r>
      <w:r w:rsidR="00765E87" w:rsidRPr="001005B7">
        <w:t xml:space="preserve">were </w:t>
      </w:r>
      <w:r w:rsidRPr="001005B7">
        <w:t>sparkl</w:t>
      </w:r>
      <w:r w:rsidR="00D8721F" w:rsidRPr="001005B7">
        <w:t>ing</w:t>
      </w:r>
      <w:r w:rsidRPr="001005B7">
        <w:t xml:space="preserve"> </w:t>
      </w:r>
      <w:r w:rsidR="00D56EB8" w:rsidRPr="001005B7">
        <w:t>with</w:t>
      </w:r>
      <w:r w:rsidR="00C135E5" w:rsidRPr="001005B7">
        <w:t xml:space="preserve"> </w:t>
      </w:r>
      <w:r w:rsidR="00F578CD" w:rsidRPr="001005B7">
        <w:t>something like</w:t>
      </w:r>
      <w:r w:rsidR="00831CD7" w:rsidRPr="001005B7">
        <w:t xml:space="preserve"> </w:t>
      </w:r>
      <w:r w:rsidR="00D70065" w:rsidRPr="001005B7">
        <w:t>the</w:t>
      </w:r>
      <w:r w:rsidRPr="001005B7">
        <w:t xml:space="preserve"> </w:t>
      </w:r>
      <w:r w:rsidR="00D57F4B" w:rsidRPr="001005B7">
        <w:t>look</w:t>
      </w:r>
      <w:r w:rsidRPr="001005B7">
        <w:t xml:space="preserve"> of polished bronze</w:t>
      </w:r>
      <w:r w:rsidR="007508C7" w:rsidRPr="001005B7">
        <w:t>.</w:t>
      </w:r>
      <w:r w:rsidRPr="001005B7">
        <w:t xml:space="preserve"> </w:t>
      </w:r>
      <w:r w:rsidRPr="001005B7">
        <w:rPr>
          <w:vertAlign w:val="superscript"/>
        </w:rPr>
        <w:t>8</w:t>
      </w:r>
      <w:r w:rsidR="00C2309F" w:rsidRPr="001005B7">
        <w:t>H</w:t>
      </w:r>
      <w:r w:rsidRPr="001005B7">
        <w:t xml:space="preserve">uman hands </w:t>
      </w:r>
      <w:r w:rsidR="001F2993" w:rsidRPr="001005B7">
        <w:t xml:space="preserve">from </w:t>
      </w:r>
      <w:r w:rsidRPr="001005B7">
        <w:t>under their wings on their four sides</w:t>
      </w:r>
      <w:r w:rsidR="00F40032" w:rsidRPr="001005B7">
        <w:t>. T</w:t>
      </w:r>
      <w:r w:rsidR="00C968C4" w:rsidRPr="001005B7">
        <w:t xml:space="preserve">he four of them had </w:t>
      </w:r>
      <w:r w:rsidR="00607D6D" w:rsidRPr="001005B7">
        <w:t>t</w:t>
      </w:r>
      <w:r w:rsidRPr="001005B7">
        <w:t>heir faces and their wings</w:t>
      </w:r>
      <w:r w:rsidR="00187B21" w:rsidRPr="001005B7">
        <w:t>,</w:t>
      </w:r>
      <w:r w:rsidRPr="001005B7">
        <w:t xml:space="preserve"> </w:t>
      </w:r>
      <w:r w:rsidRPr="001005B7">
        <w:rPr>
          <w:vertAlign w:val="superscript"/>
        </w:rPr>
        <w:t>9</w:t>
      </w:r>
      <w:r w:rsidR="00470F2C" w:rsidRPr="001005B7">
        <w:t>t</w:t>
      </w:r>
      <w:r w:rsidRPr="001005B7">
        <w:t xml:space="preserve">heir wings touching one </w:t>
      </w:r>
      <w:r w:rsidR="00F261F8" w:rsidRPr="001005B7">
        <w:t>to</w:t>
      </w:r>
      <w:r w:rsidR="00210154" w:rsidRPr="001005B7">
        <w:t xml:space="preserve"> </w:t>
      </w:r>
      <w:r w:rsidRPr="001005B7">
        <w:t>another. They would</w:t>
      </w:r>
      <w:r w:rsidR="0069155B" w:rsidRPr="001005B7">
        <w:t xml:space="preserve"> </w:t>
      </w:r>
      <w:r w:rsidRPr="001005B7">
        <w:t>n</w:t>
      </w:r>
      <w:r w:rsidR="0069155B" w:rsidRPr="001005B7">
        <w:t>o</w:t>
      </w:r>
      <w:r w:rsidRPr="001005B7">
        <w:t>t turn when they went</w:t>
      </w:r>
      <w:r w:rsidR="007055EC" w:rsidRPr="001005B7">
        <w:t>—</w:t>
      </w:r>
      <w:r w:rsidR="00DE29A9" w:rsidRPr="001005B7">
        <w:t>straight forward</w:t>
      </w:r>
      <w:r w:rsidR="00604823" w:rsidRPr="001005B7">
        <w:rPr>
          <w:rStyle w:val="FootnoteReference"/>
        </w:rPr>
        <w:footnoteReference w:id="99"/>
      </w:r>
      <w:r w:rsidRPr="001005B7">
        <w:t xml:space="preserve"> they would </w:t>
      </w:r>
      <w:r w:rsidR="0013171A" w:rsidRPr="001005B7">
        <w:t>individually</w:t>
      </w:r>
      <w:r w:rsidR="00FC5E2E" w:rsidRPr="001005B7">
        <w:rPr>
          <w:rStyle w:val="FootnoteReference"/>
        </w:rPr>
        <w:footnoteReference w:id="100"/>
      </w:r>
      <w:r w:rsidR="00137593" w:rsidRPr="001005B7">
        <w:t xml:space="preserve"> </w:t>
      </w:r>
      <w:r w:rsidRPr="001005B7">
        <w:t>go</w:t>
      </w:r>
      <w:r w:rsidR="00904D0A" w:rsidRPr="001005B7">
        <w:t>.</w:t>
      </w:r>
      <w:r w:rsidRPr="001005B7">
        <w:t xml:space="preserve"> </w:t>
      </w:r>
      <w:r w:rsidRPr="001005B7">
        <w:rPr>
          <w:vertAlign w:val="superscript"/>
        </w:rPr>
        <w:t>10</w:t>
      </w:r>
      <w:r w:rsidR="00904D0A" w:rsidRPr="001005B7">
        <w:t>T</w:t>
      </w:r>
      <w:r w:rsidRPr="001005B7">
        <w:t xml:space="preserve">he </w:t>
      </w:r>
      <w:r w:rsidR="006E1443" w:rsidRPr="001005B7">
        <w:t>form</w:t>
      </w:r>
      <w:r w:rsidRPr="001005B7">
        <w:t xml:space="preserve"> of their faces: a human face, </w:t>
      </w:r>
      <w:r w:rsidR="00904D0A" w:rsidRPr="001005B7">
        <w:t>and</w:t>
      </w:r>
      <w:r w:rsidRPr="001005B7">
        <w:t xml:space="preserve"> </w:t>
      </w:r>
      <w:r w:rsidR="004078AA" w:rsidRPr="001005B7">
        <w:t>the</w:t>
      </w:r>
      <w:r w:rsidR="0073504A" w:rsidRPr="001005B7">
        <w:t xml:space="preserve"> four of them had </w:t>
      </w:r>
      <w:r w:rsidRPr="001005B7">
        <w:t xml:space="preserve">a lion’s face </w:t>
      </w:r>
      <w:r w:rsidR="00334E2C" w:rsidRPr="001005B7">
        <w:t>to</w:t>
      </w:r>
      <w:r w:rsidRPr="001005B7">
        <w:t xml:space="preserve"> the right, and </w:t>
      </w:r>
      <w:r w:rsidR="004078AA" w:rsidRPr="001005B7">
        <w:t xml:space="preserve">the four of them had </w:t>
      </w:r>
      <w:r w:rsidRPr="001005B7">
        <w:t xml:space="preserve">an ox’s face on the left, and </w:t>
      </w:r>
      <w:r w:rsidR="004078AA" w:rsidRPr="001005B7">
        <w:t xml:space="preserve">the four of them had </w:t>
      </w:r>
      <w:r w:rsidRPr="001005B7">
        <w:t xml:space="preserve">an eagle’s face. </w:t>
      </w:r>
      <w:r w:rsidRPr="001005B7">
        <w:rPr>
          <w:vertAlign w:val="superscript"/>
        </w:rPr>
        <w:t>11</w:t>
      </w:r>
      <w:r w:rsidRPr="001005B7">
        <w:t>So their faces</w:t>
      </w:r>
      <w:r w:rsidR="00F32EE4" w:rsidRPr="001005B7">
        <w:t xml:space="preserve">. </w:t>
      </w:r>
      <w:r w:rsidR="00C0270E" w:rsidRPr="001005B7">
        <w:t>T</w:t>
      </w:r>
      <w:r w:rsidR="00405E27" w:rsidRPr="001005B7">
        <w:t>hey</w:t>
      </w:r>
      <w:r w:rsidR="00292030" w:rsidRPr="001005B7">
        <w:t xml:space="preserve"> had </w:t>
      </w:r>
      <w:r w:rsidR="0024593F" w:rsidRPr="001005B7">
        <w:t>t</w:t>
      </w:r>
      <w:r w:rsidRPr="001005B7">
        <w:t>heir wings spread out</w:t>
      </w:r>
      <w:r w:rsidR="00DD229A" w:rsidRPr="001005B7">
        <w:t xml:space="preserve"> </w:t>
      </w:r>
      <w:r w:rsidRPr="001005B7">
        <w:t>above</w:t>
      </w:r>
      <w:r w:rsidR="00C0270E" w:rsidRPr="001005B7">
        <w:t xml:space="preserve"> individually</w:t>
      </w:r>
      <w:r w:rsidR="00052172" w:rsidRPr="001005B7">
        <w:t>,</w:t>
      </w:r>
      <w:r w:rsidR="003359F4" w:rsidRPr="001005B7">
        <w:t xml:space="preserve"> </w:t>
      </w:r>
      <w:r w:rsidR="009A1DF1" w:rsidRPr="001005B7">
        <w:t>t</w:t>
      </w:r>
      <w:r w:rsidRPr="001005B7">
        <w:t xml:space="preserve">wo touching </w:t>
      </w:r>
      <w:r w:rsidR="00C1160C" w:rsidRPr="001005B7">
        <w:t xml:space="preserve">individually </w:t>
      </w:r>
      <w:r w:rsidRPr="001005B7">
        <w:t>and two covering their bodies</w:t>
      </w:r>
      <w:r w:rsidR="00C7110D" w:rsidRPr="001005B7">
        <w:t>.</w:t>
      </w:r>
      <w:r w:rsidRPr="001005B7">
        <w:t xml:space="preserve"> </w:t>
      </w:r>
      <w:r w:rsidRPr="001005B7">
        <w:rPr>
          <w:vertAlign w:val="superscript"/>
        </w:rPr>
        <w:t>12</w:t>
      </w:r>
      <w:r w:rsidR="00182044" w:rsidRPr="001005B7">
        <w:t>S</w:t>
      </w:r>
      <w:r w:rsidR="00A16FFD" w:rsidRPr="001005B7">
        <w:t>traight</w:t>
      </w:r>
      <w:r w:rsidR="008271E2" w:rsidRPr="001005B7">
        <w:t xml:space="preserve"> </w:t>
      </w:r>
      <w:r w:rsidR="00A16FFD" w:rsidRPr="001005B7">
        <w:t xml:space="preserve">forward </w:t>
      </w:r>
      <w:r w:rsidRPr="001005B7">
        <w:t xml:space="preserve">they would </w:t>
      </w:r>
      <w:r w:rsidR="002A2E9E" w:rsidRPr="001005B7">
        <w:t>indi</w:t>
      </w:r>
      <w:r w:rsidR="0012665A" w:rsidRPr="001005B7">
        <w:t>v</w:t>
      </w:r>
      <w:r w:rsidR="008452D4" w:rsidRPr="001005B7">
        <w:t>id</w:t>
      </w:r>
      <w:r w:rsidR="002A2E9E" w:rsidRPr="001005B7">
        <w:t>ually</w:t>
      </w:r>
      <w:r w:rsidR="0080292F" w:rsidRPr="001005B7">
        <w:t xml:space="preserve"> </w:t>
      </w:r>
      <w:r w:rsidRPr="001005B7">
        <w:t xml:space="preserve">go. Where the spirit would be, they would </w:t>
      </w:r>
      <w:r w:rsidR="005B7E49" w:rsidRPr="001005B7">
        <w:t xml:space="preserve">definitely </w:t>
      </w:r>
      <w:r w:rsidRPr="001005B7">
        <w:t>go</w:t>
      </w:r>
      <w:r w:rsidR="00C7110D" w:rsidRPr="001005B7">
        <w:t>—</w:t>
      </w:r>
      <w:r w:rsidR="00BC18CD" w:rsidRPr="001005B7">
        <w:t>t</w:t>
      </w:r>
      <w:r w:rsidRPr="001005B7">
        <w:t xml:space="preserve">hey would not turn around as they went. </w:t>
      </w:r>
      <w:r w:rsidRPr="001005B7">
        <w:rPr>
          <w:vertAlign w:val="superscript"/>
        </w:rPr>
        <w:t>13</w:t>
      </w:r>
      <w:r w:rsidRPr="001005B7">
        <w:t xml:space="preserve">So the </w:t>
      </w:r>
      <w:r w:rsidR="006E1443" w:rsidRPr="001005B7">
        <w:t>form</w:t>
      </w:r>
      <w:r w:rsidRPr="001005B7">
        <w:t xml:space="preserve"> of the living beings. Their appearance</w:t>
      </w:r>
      <w:r w:rsidR="00B219B2" w:rsidRPr="001005B7">
        <w:t>:</w:t>
      </w:r>
      <w:r w:rsidRPr="001005B7">
        <w:t xml:space="preserve"> </w:t>
      </w:r>
      <w:r w:rsidR="00FB5428" w:rsidRPr="001005B7">
        <w:t>something like</w:t>
      </w:r>
      <w:r w:rsidRPr="001005B7">
        <w:t xml:space="preserve"> coals of fire burning,</w:t>
      </w:r>
      <w:r w:rsidR="00C135E5" w:rsidRPr="001005B7">
        <w:t xml:space="preserve"> </w:t>
      </w:r>
      <w:r w:rsidR="00FB5428" w:rsidRPr="001005B7">
        <w:t xml:space="preserve">something like </w:t>
      </w:r>
      <w:r w:rsidR="00470AF8" w:rsidRPr="001005B7">
        <w:t>the</w:t>
      </w:r>
      <w:r w:rsidR="00AA2714" w:rsidRPr="001005B7">
        <w:t xml:space="preserve"> </w:t>
      </w:r>
      <w:r w:rsidRPr="001005B7">
        <w:t>appearance of torches</w:t>
      </w:r>
      <w:r w:rsidR="005A32E9" w:rsidRPr="001005B7">
        <w:t>—</w:t>
      </w:r>
      <w:r w:rsidRPr="001005B7">
        <w:t xml:space="preserve">going about </w:t>
      </w:r>
      <w:r w:rsidR="001B32E0" w:rsidRPr="001005B7">
        <w:t>between</w:t>
      </w:r>
      <w:r w:rsidRPr="001005B7">
        <w:t xml:space="preserve"> the living beings</w:t>
      </w:r>
      <w:r w:rsidR="005744F3" w:rsidRPr="001005B7">
        <w:t>. T</w:t>
      </w:r>
      <w:r w:rsidR="00916BA0" w:rsidRPr="001005B7">
        <w:t xml:space="preserve">he fire had </w:t>
      </w:r>
      <w:r w:rsidR="00EB74B5" w:rsidRPr="001005B7">
        <w:t>a</w:t>
      </w:r>
      <w:r w:rsidRPr="001005B7">
        <w:t xml:space="preserve"> brightness, </w:t>
      </w:r>
      <w:r w:rsidR="00AC6BCF" w:rsidRPr="001005B7">
        <w:t>with lightning going out</w:t>
      </w:r>
      <w:r w:rsidRPr="001005B7">
        <w:t xml:space="preserve"> </w:t>
      </w:r>
      <w:r w:rsidR="00875193" w:rsidRPr="001005B7">
        <w:t>from the fire,</w:t>
      </w:r>
      <w:r w:rsidRPr="001005B7">
        <w:t xml:space="preserve"> </w:t>
      </w:r>
      <w:r w:rsidRPr="001005B7">
        <w:rPr>
          <w:vertAlign w:val="superscript"/>
        </w:rPr>
        <w:t>14</w:t>
      </w:r>
      <w:r w:rsidR="00875193" w:rsidRPr="001005B7">
        <w:t>and t</w:t>
      </w:r>
      <w:r w:rsidRPr="001005B7">
        <w:t>he living beings running and returning</w:t>
      </w:r>
      <w:r w:rsidR="00655CDF" w:rsidRPr="001005B7">
        <w:t>,</w:t>
      </w:r>
      <w:r w:rsidRPr="001005B7">
        <w:t xml:space="preserve"> </w:t>
      </w:r>
      <w:r w:rsidR="00197A09" w:rsidRPr="001005B7">
        <w:t xml:space="preserve">something like </w:t>
      </w:r>
      <w:r w:rsidR="00470AF8" w:rsidRPr="001005B7">
        <w:t>the</w:t>
      </w:r>
      <w:r w:rsidR="00197A09" w:rsidRPr="001005B7">
        <w:t xml:space="preserve"> </w:t>
      </w:r>
      <w:r w:rsidRPr="001005B7">
        <w:t xml:space="preserve">appearance of </w:t>
      </w:r>
      <w:r w:rsidR="005E5B27" w:rsidRPr="001005B7">
        <w:t>a</w:t>
      </w:r>
      <w:r w:rsidR="00C92CD5" w:rsidRPr="001005B7">
        <w:t xml:space="preserve"> </w:t>
      </w:r>
      <w:r w:rsidR="00902A59" w:rsidRPr="001005B7">
        <w:t>flash</w:t>
      </w:r>
      <w:r w:rsidR="005567E7" w:rsidRPr="001005B7">
        <w:t>.</w:t>
      </w:r>
      <w:r w:rsidR="005567E7" w:rsidRPr="001005B7">
        <w:rPr>
          <w:rStyle w:val="FootnoteReference"/>
        </w:rPr>
        <w:footnoteReference w:id="101"/>
      </w:r>
    </w:p>
    <w:p w14:paraId="4D546F2C" w14:textId="65FA3C8E" w:rsidR="003F0B7F" w:rsidRPr="001005B7" w:rsidRDefault="009F37E0" w:rsidP="009F37E0">
      <w:r w:rsidRPr="001005B7">
        <w:rPr>
          <w:vertAlign w:val="superscript"/>
        </w:rPr>
        <w:t>15</w:t>
      </w:r>
      <w:r w:rsidRPr="001005B7">
        <w:t xml:space="preserve">I </w:t>
      </w:r>
      <w:r w:rsidR="00201D1C" w:rsidRPr="001005B7">
        <w:t>saw</w:t>
      </w:r>
      <w:r w:rsidRPr="001005B7">
        <w:t xml:space="preserve"> the living beings</w:t>
      </w:r>
      <w:r w:rsidR="00D75BA4" w:rsidRPr="001005B7">
        <w:t>,</w:t>
      </w:r>
      <w:r w:rsidRPr="001005B7">
        <w:t xml:space="preserve"> and there: </w:t>
      </w:r>
      <w:r w:rsidR="00075609" w:rsidRPr="001005B7">
        <w:t>a single</w:t>
      </w:r>
      <w:r w:rsidRPr="001005B7">
        <w:t xml:space="preserve"> wheel on the earth beside</w:t>
      </w:r>
      <w:r w:rsidR="00201D1C" w:rsidRPr="001005B7">
        <w:t xml:space="preserve"> </w:t>
      </w:r>
      <w:r w:rsidRPr="001005B7">
        <w:t xml:space="preserve">the living beings </w:t>
      </w:r>
      <w:r w:rsidR="00201D1C" w:rsidRPr="001005B7">
        <w:t xml:space="preserve">with </w:t>
      </w:r>
      <w:r w:rsidRPr="001005B7">
        <w:t xml:space="preserve">its four faces. </w:t>
      </w:r>
      <w:r w:rsidRPr="001005B7">
        <w:rPr>
          <w:vertAlign w:val="superscript"/>
        </w:rPr>
        <w:t>16</w:t>
      </w:r>
      <w:r w:rsidRPr="001005B7">
        <w:t>The wheels’ appearance and their construction:</w:t>
      </w:r>
      <w:r w:rsidR="00C135E5" w:rsidRPr="001005B7">
        <w:t xml:space="preserve"> </w:t>
      </w:r>
      <w:r w:rsidR="00197A09" w:rsidRPr="001005B7">
        <w:t xml:space="preserve">something like </w:t>
      </w:r>
      <w:r w:rsidR="00470AF8" w:rsidRPr="001005B7">
        <w:t>the</w:t>
      </w:r>
      <w:r w:rsidR="0035379A" w:rsidRPr="001005B7">
        <w:t xml:space="preserve"> </w:t>
      </w:r>
      <w:r w:rsidR="00D57F4B" w:rsidRPr="001005B7">
        <w:t>look</w:t>
      </w:r>
      <w:r w:rsidRPr="001005B7">
        <w:t xml:space="preserve"> of beryl, and </w:t>
      </w:r>
      <w:r w:rsidR="00A47B42" w:rsidRPr="001005B7">
        <w:t xml:space="preserve">the four of them had </w:t>
      </w:r>
      <w:r w:rsidRPr="001005B7">
        <w:t xml:space="preserve">one </w:t>
      </w:r>
      <w:r w:rsidR="009C5E76" w:rsidRPr="001005B7">
        <w:t>form</w:t>
      </w:r>
      <w:r w:rsidR="00EC05D3" w:rsidRPr="001005B7">
        <w:t>. T</w:t>
      </w:r>
      <w:r w:rsidRPr="001005B7">
        <w:t>heir appearance and their construction</w:t>
      </w:r>
      <w:r w:rsidR="00D12671" w:rsidRPr="001005B7">
        <w:t>:</w:t>
      </w:r>
      <w:r w:rsidR="006F4135" w:rsidRPr="001005B7">
        <w:t xml:space="preserve"> </w:t>
      </w:r>
      <w:r w:rsidR="005A3650" w:rsidRPr="001005B7">
        <w:t>something like</w:t>
      </w:r>
      <w:r w:rsidR="00677C60" w:rsidRPr="001005B7">
        <w:t xml:space="preserve"> what</w:t>
      </w:r>
      <w:r w:rsidRPr="001005B7">
        <w:t xml:space="preserve"> a wheel in the middle of a wheel</w:t>
      </w:r>
      <w:r w:rsidR="002A76AC" w:rsidRPr="001005B7">
        <w:t xml:space="preserve"> would be</w:t>
      </w:r>
      <w:r w:rsidR="00085504" w:rsidRPr="001005B7">
        <w:t xml:space="preserve"> </w:t>
      </w:r>
      <w:r w:rsidRPr="001005B7">
        <w:rPr>
          <w:vertAlign w:val="superscript"/>
        </w:rPr>
        <w:t>17</w:t>
      </w:r>
      <w:r w:rsidR="00FC4025" w:rsidRPr="001005B7">
        <w:t>o</w:t>
      </w:r>
      <w:r w:rsidR="00977D8D" w:rsidRPr="001005B7">
        <w:t>n</w:t>
      </w:r>
      <w:r w:rsidRPr="001005B7">
        <w:t xml:space="preserve"> their four </w:t>
      </w:r>
      <w:r w:rsidR="00C36AC7" w:rsidRPr="001005B7">
        <w:t>quarters</w:t>
      </w:r>
      <w:r w:rsidR="00494969" w:rsidRPr="001005B7">
        <w:t xml:space="preserve"> as</w:t>
      </w:r>
      <w:r w:rsidRPr="001005B7">
        <w:t xml:space="preserve"> they went</w:t>
      </w:r>
      <w:r w:rsidR="00494969" w:rsidRPr="001005B7">
        <w:t>—when</w:t>
      </w:r>
      <w:r w:rsidR="00CF30A6" w:rsidRPr="001005B7">
        <w:t xml:space="preserve"> </w:t>
      </w:r>
      <w:r w:rsidRPr="001005B7">
        <w:t>they would go</w:t>
      </w:r>
      <w:r w:rsidR="00494969" w:rsidRPr="001005B7">
        <w:t>,</w:t>
      </w:r>
      <w:r w:rsidR="00430ABB" w:rsidRPr="001005B7">
        <w:t xml:space="preserve"> t</w:t>
      </w:r>
      <w:r w:rsidRPr="001005B7">
        <w:t>hey would not turn</w:t>
      </w:r>
      <w:r w:rsidR="00CF30A6" w:rsidRPr="001005B7">
        <w:t xml:space="preserve"> </w:t>
      </w:r>
      <w:r w:rsidR="00494969" w:rsidRPr="001005B7">
        <w:t>as</w:t>
      </w:r>
      <w:r w:rsidRPr="001005B7">
        <w:t xml:space="preserve"> they w</w:t>
      </w:r>
      <w:r w:rsidR="00C92E35" w:rsidRPr="001005B7">
        <w:t>ent</w:t>
      </w:r>
      <w:r w:rsidR="00834AFD" w:rsidRPr="001005B7">
        <w:t>.</w:t>
      </w:r>
      <w:r w:rsidRPr="001005B7">
        <w:t xml:space="preserve"> </w:t>
      </w:r>
      <w:r w:rsidRPr="001005B7">
        <w:rPr>
          <w:vertAlign w:val="superscript"/>
        </w:rPr>
        <w:t>18</w:t>
      </w:r>
      <w:r w:rsidR="00141502" w:rsidRPr="001005B7">
        <w:t>T</w:t>
      </w:r>
      <w:r w:rsidRPr="001005B7">
        <w:t>he</w:t>
      </w:r>
      <w:r w:rsidR="00716F81" w:rsidRPr="001005B7">
        <w:t>ir r</w:t>
      </w:r>
      <w:r w:rsidRPr="001005B7">
        <w:t>ims</w:t>
      </w:r>
      <w:r w:rsidR="00EF1150" w:rsidRPr="001005B7">
        <w:t xml:space="preserve"> had</w:t>
      </w:r>
      <w:r w:rsidRPr="001005B7">
        <w:t xml:space="preserve"> both </w:t>
      </w:r>
      <w:r w:rsidR="007010F2" w:rsidRPr="001005B7">
        <w:t>height</w:t>
      </w:r>
      <w:r w:rsidRPr="001005B7">
        <w:t xml:space="preserve"> and awesome</w:t>
      </w:r>
      <w:r w:rsidR="007010F2" w:rsidRPr="001005B7">
        <w:t>ness</w:t>
      </w:r>
      <w:r w:rsidRPr="001005B7">
        <w:t xml:space="preserve">, and </w:t>
      </w:r>
      <w:r w:rsidR="00BC33DC" w:rsidRPr="001005B7">
        <w:t>the</w:t>
      </w:r>
      <w:r w:rsidR="009C1099" w:rsidRPr="001005B7">
        <w:t xml:space="preserve"> four of them </w:t>
      </w:r>
      <w:r w:rsidR="00BC33DC" w:rsidRPr="001005B7">
        <w:t>had</w:t>
      </w:r>
      <w:r w:rsidR="009C1099" w:rsidRPr="001005B7">
        <w:t xml:space="preserve"> </w:t>
      </w:r>
      <w:r w:rsidRPr="001005B7">
        <w:t xml:space="preserve">their rims full of eyes all </w:t>
      </w:r>
      <w:r w:rsidR="006F4361" w:rsidRPr="001005B7">
        <w:t>a</w:t>
      </w:r>
      <w:r w:rsidRPr="001005B7">
        <w:t>round</w:t>
      </w:r>
      <w:r w:rsidR="00170673" w:rsidRPr="001005B7">
        <w:t>.</w:t>
      </w:r>
      <w:r w:rsidR="00430ABB" w:rsidRPr="001005B7">
        <w:t xml:space="preserve"> </w:t>
      </w:r>
      <w:r w:rsidRPr="001005B7">
        <w:rPr>
          <w:vertAlign w:val="superscript"/>
        </w:rPr>
        <w:t>19</w:t>
      </w:r>
      <w:r w:rsidR="00170673" w:rsidRPr="001005B7">
        <w:t>W</w:t>
      </w:r>
      <w:r w:rsidRPr="001005B7">
        <w:t>hen the living beings went, the wheels would go beside them</w:t>
      </w:r>
      <w:r w:rsidR="001F267B" w:rsidRPr="001005B7">
        <w:t>, and w</w:t>
      </w:r>
      <w:r w:rsidRPr="001005B7">
        <w:t xml:space="preserve">hen the living beings lifted from on the earth, the wheels would lift. </w:t>
      </w:r>
      <w:r w:rsidRPr="001005B7">
        <w:rPr>
          <w:vertAlign w:val="superscript"/>
        </w:rPr>
        <w:t>20</w:t>
      </w:r>
      <w:r w:rsidRPr="001005B7">
        <w:t xml:space="preserve">Wherever the spirit would </w:t>
      </w:r>
      <w:r w:rsidR="002355E2" w:rsidRPr="001005B7">
        <w:t>be</w:t>
      </w:r>
      <w:r w:rsidRPr="001005B7">
        <w:t xml:space="preserve">, they would definitely go </w:t>
      </w:r>
      <w:r w:rsidR="00130160" w:rsidRPr="001005B7">
        <w:t>(</w:t>
      </w:r>
      <w:r w:rsidRPr="001005B7">
        <w:t>the spirit going</w:t>
      </w:r>
      <w:r w:rsidR="00A21BAE" w:rsidRPr="001005B7">
        <w:t>)</w:t>
      </w:r>
      <w:r w:rsidRPr="001005B7">
        <w:t>, and the wheels would lift along</w:t>
      </w:r>
      <w:r w:rsidR="00CE1912" w:rsidRPr="001005B7">
        <w:t>side</w:t>
      </w:r>
      <w:r w:rsidRPr="001005B7">
        <w:t xml:space="preserve"> them, because the living being’s spirit </w:t>
      </w:r>
      <w:r w:rsidR="00D47D5B" w:rsidRPr="001005B7">
        <w:t xml:space="preserve">was </w:t>
      </w:r>
      <w:r w:rsidRPr="001005B7">
        <w:t>in the wheels</w:t>
      </w:r>
      <w:r w:rsidR="00765F89" w:rsidRPr="001005B7">
        <w:t>—</w:t>
      </w:r>
      <w:r w:rsidRPr="001005B7">
        <w:rPr>
          <w:vertAlign w:val="superscript"/>
        </w:rPr>
        <w:t>21</w:t>
      </w:r>
      <w:r w:rsidR="00D61976" w:rsidRPr="001005B7">
        <w:t>w</w:t>
      </w:r>
      <w:r w:rsidRPr="001005B7">
        <w:t>hen they went, they would go, when they stood still, they would stand still</w:t>
      </w:r>
      <w:r w:rsidR="002122EC" w:rsidRPr="001005B7">
        <w:t>, and w</w:t>
      </w:r>
      <w:r w:rsidRPr="001005B7">
        <w:t xml:space="preserve">hen they lifted from on the earth, the wheels would lift alongside them, because the living being’s spirit was in the wheels. </w:t>
      </w:r>
    </w:p>
    <w:p w14:paraId="1A769B7C" w14:textId="2DEAF55C" w:rsidR="001D63CB" w:rsidRPr="001005B7" w:rsidRDefault="009F37E0" w:rsidP="009F37E0">
      <w:r w:rsidRPr="001005B7">
        <w:rPr>
          <w:vertAlign w:val="superscript"/>
        </w:rPr>
        <w:t>22</w:t>
      </w:r>
      <w:r w:rsidRPr="001005B7">
        <w:t xml:space="preserve">A </w:t>
      </w:r>
      <w:r w:rsidR="009C5E76" w:rsidRPr="001005B7">
        <w:t>form</w:t>
      </w:r>
      <w:r w:rsidRPr="001005B7">
        <w:t xml:space="preserve"> over the heads of the living beings, a platform,</w:t>
      </w:r>
      <w:r w:rsidR="005C1F4F" w:rsidRPr="001005B7">
        <w:t xml:space="preserve"> </w:t>
      </w:r>
      <w:r w:rsidR="00BA6401" w:rsidRPr="001005B7">
        <w:t>something lik</w:t>
      </w:r>
      <w:r w:rsidR="00904FE8" w:rsidRPr="001005B7">
        <w:t xml:space="preserve">e </w:t>
      </w:r>
      <w:r w:rsidR="00470AF8" w:rsidRPr="001005B7">
        <w:t>the</w:t>
      </w:r>
      <w:r w:rsidRPr="001005B7">
        <w:t xml:space="preserve"> </w:t>
      </w:r>
      <w:r w:rsidR="00D57F4B" w:rsidRPr="001005B7">
        <w:t>look</w:t>
      </w:r>
      <w:r w:rsidRPr="001005B7">
        <w:t xml:space="preserve"> of crystal, awesome, spread over their heads</w:t>
      </w:r>
      <w:r w:rsidR="008811E0" w:rsidRPr="001005B7">
        <w:t>,</w:t>
      </w:r>
      <w:r w:rsidRPr="001005B7">
        <w:t xml:space="preserve"> above</w:t>
      </w:r>
      <w:r w:rsidR="003867FC" w:rsidRPr="001005B7">
        <w:t>.</w:t>
      </w:r>
      <w:r w:rsidR="00C331B0" w:rsidRPr="001005B7">
        <w:t xml:space="preserve"> </w:t>
      </w:r>
      <w:r w:rsidRPr="001005B7">
        <w:rPr>
          <w:vertAlign w:val="superscript"/>
        </w:rPr>
        <w:t>23</w:t>
      </w:r>
      <w:r w:rsidR="00C331B0" w:rsidRPr="001005B7">
        <w:t>A</w:t>
      </w:r>
      <w:r w:rsidR="00811A9C" w:rsidRPr="001005B7">
        <w:t>nd b</w:t>
      </w:r>
      <w:r w:rsidRPr="001005B7">
        <w:t xml:space="preserve">eneath the platform, their wings straight, one </w:t>
      </w:r>
      <w:r w:rsidR="00F261F8" w:rsidRPr="001005B7">
        <w:t>to</w:t>
      </w:r>
      <w:r w:rsidRPr="001005B7">
        <w:t xml:space="preserve"> another</w:t>
      </w:r>
      <w:r w:rsidR="00D146AB" w:rsidRPr="001005B7">
        <w:t xml:space="preserve">, </w:t>
      </w:r>
      <w:r w:rsidR="00646E8A" w:rsidRPr="001005B7">
        <w:t>individually having</w:t>
      </w:r>
      <w:r w:rsidRPr="001005B7">
        <w:t xml:space="preserve"> two covering their bodies </w:t>
      </w:r>
      <w:r w:rsidR="00BC4B5C" w:rsidRPr="001005B7">
        <w:t xml:space="preserve">for </w:t>
      </w:r>
      <w:r w:rsidR="005A5AC4" w:rsidRPr="001005B7">
        <w:t>them</w:t>
      </w:r>
      <w:r w:rsidR="001D573E" w:rsidRPr="001005B7">
        <w:t>.</w:t>
      </w:r>
      <w:r w:rsidRPr="001005B7">
        <w:t xml:space="preserve"> </w:t>
      </w:r>
      <w:r w:rsidRPr="001005B7">
        <w:rPr>
          <w:vertAlign w:val="superscript"/>
        </w:rPr>
        <w:t>24</w:t>
      </w:r>
      <w:r w:rsidR="00632988" w:rsidRPr="001005B7">
        <w:t>I</w:t>
      </w:r>
      <w:r w:rsidRPr="001005B7">
        <w:t xml:space="preserve"> heard the sound of their wings, </w:t>
      </w:r>
      <w:r w:rsidR="00904FE8" w:rsidRPr="001005B7">
        <w:t xml:space="preserve">something like </w:t>
      </w:r>
      <w:r w:rsidR="00470AF8" w:rsidRPr="001005B7">
        <w:t>the</w:t>
      </w:r>
      <w:r w:rsidR="00BD1B6C" w:rsidRPr="001005B7">
        <w:t xml:space="preserve"> </w:t>
      </w:r>
      <w:r w:rsidRPr="001005B7">
        <w:t xml:space="preserve">sound of much water, </w:t>
      </w:r>
      <w:r w:rsidR="00110E55" w:rsidRPr="001005B7">
        <w:t xml:space="preserve">something like </w:t>
      </w:r>
      <w:r w:rsidR="00470AF8" w:rsidRPr="001005B7">
        <w:t>the</w:t>
      </w:r>
      <w:r w:rsidR="00BD1B6C" w:rsidRPr="001005B7">
        <w:t xml:space="preserve"> </w:t>
      </w:r>
      <w:r w:rsidRPr="001005B7">
        <w:t xml:space="preserve">sound of </w:t>
      </w:r>
      <w:proofErr w:type="spellStart"/>
      <w:r w:rsidRPr="001005B7">
        <w:t>Shadday</w:t>
      </w:r>
      <w:proofErr w:type="spellEnd"/>
      <w:r w:rsidRPr="001005B7">
        <w:t>, when they went</w:t>
      </w:r>
      <w:r w:rsidR="00DB51F6" w:rsidRPr="001005B7">
        <w:t>,</w:t>
      </w:r>
      <w:r w:rsidRPr="001005B7">
        <w:t xml:space="preserve"> the sound of a tumult, </w:t>
      </w:r>
      <w:r w:rsidR="00110E55" w:rsidRPr="001005B7">
        <w:t>something lik</w:t>
      </w:r>
      <w:r w:rsidR="00286868" w:rsidRPr="001005B7">
        <w:t>e</w:t>
      </w:r>
      <w:r w:rsidR="00110E55" w:rsidRPr="001005B7">
        <w:t xml:space="preserve"> </w:t>
      </w:r>
      <w:r w:rsidR="00470AF8" w:rsidRPr="001005B7">
        <w:t>the</w:t>
      </w:r>
      <w:r w:rsidR="00BD1B6C" w:rsidRPr="001005B7">
        <w:t xml:space="preserve"> </w:t>
      </w:r>
      <w:r w:rsidRPr="001005B7">
        <w:t>sound of an army</w:t>
      </w:r>
      <w:r w:rsidR="006A3C32" w:rsidRPr="001005B7">
        <w:t>—</w:t>
      </w:r>
      <w:r w:rsidR="00BF5F2D" w:rsidRPr="001005B7">
        <w:t>w</w:t>
      </w:r>
      <w:r w:rsidRPr="001005B7">
        <w:t>hen they stood still, they would re</w:t>
      </w:r>
      <w:r w:rsidR="008D3B43" w:rsidRPr="001005B7">
        <w:t>lax</w:t>
      </w:r>
      <w:r w:rsidRPr="001005B7">
        <w:t xml:space="preserve"> their wings</w:t>
      </w:r>
      <w:r w:rsidR="00A47350" w:rsidRPr="001005B7">
        <w:t>.</w:t>
      </w:r>
      <w:r w:rsidRPr="001005B7">
        <w:t xml:space="preserve"> </w:t>
      </w:r>
    </w:p>
    <w:p w14:paraId="54213738" w14:textId="01A43849" w:rsidR="000F51ED" w:rsidRPr="001005B7" w:rsidRDefault="009F37E0" w:rsidP="009F37E0">
      <w:pPr>
        <w:rPr>
          <w:vertAlign w:val="superscript"/>
        </w:rPr>
      </w:pPr>
      <w:r w:rsidRPr="001005B7">
        <w:rPr>
          <w:vertAlign w:val="superscript"/>
        </w:rPr>
        <w:t>25</w:t>
      </w:r>
      <w:r w:rsidR="00A47350" w:rsidRPr="001005B7">
        <w:t>So</w:t>
      </w:r>
      <w:r w:rsidR="00BC68BC" w:rsidRPr="001005B7">
        <w:t xml:space="preserve"> </w:t>
      </w:r>
      <w:r w:rsidR="00921EA7" w:rsidRPr="001005B7">
        <w:t xml:space="preserve">there was </w:t>
      </w:r>
      <w:r w:rsidR="00BC68BC" w:rsidRPr="001005B7">
        <w:t>a</w:t>
      </w:r>
      <w:r w:rsidRPr="001005B7">
        <w:t xml:space="preserve"> sound from above the platform that was </w:t>
      </w:r>
      <w:r w:rsidR="0086158A" w:rsidRPr="001005B7">
        <w:t>over</w:t>
      </w:r>
      <w:r w:rsidRPr="001005B7">
        <w:t xml:space="preserve"> their head</w:t>
      </w:r>
      <w:r w:rsidR="001705C5" w:rsidRPr="001005B7">
        <w:t>—w</w:t>
      </w:r>
      <w:r w:rsidRPr="001005B7">
        <w:t xml:space="preserve">hen they stood still, they would relax their wings. </w:t>
      </w:r>
      <w:r w:rsidRPr="001005B7">
        <w:rPr>
          <w:vertAlign w:val="superscript"/>
        </w:rPr>
        <w:t>26</w:t>
      </w:r>
      <w:r w:rsidRPr="001005B7">
        <w:t>A</w:t>
      </w:r>
      <w:r w:rsidR="003A1837" w:rsidRPr="001005B7">
        <w:t>nd a</w:t>
      </w:r>
      <w:r w:rsidRPr="001005B7">
        <w:t>bove the platform that was over their head</w:t>
      </w:r>
      <w:r w:rsidR="00ED0DE3" w:rsidRPr="001005B7">
        <w:t>,</w:t>
      </w:r>
      <w:r w:rsidRPr="001005B7">
        <w:t xml:space="preserve"> </w:t>
      </w:r>
      <w:r w:rsidR="00286868" w:rsidRPr="001005B7">
        <w:t xml:space="preserve">something like </w:t>
      </w:r>
      <w:r w:rsidR="00935EB8" w:rsidRPr="001005B7">
        <w:t>the</w:t>
      </w:r>
      <w:r w:rsidR="00487A34" w:rsidRPr="001005B7">
        <w:t xml:space="preserve"> </w:t>
      </w:r>
      <w:r w:rsidRPr="001005B7">
        <w:t xml:space="preserve">appearance of </w:t>
      </w:r>
      <w:r w:rsidR="00F01ABB" w:rsidRPr="001005B7">
        <w:t>sapphire</w:t>
      </w:r>
      <w:r w:rsidRPr="001005B7">
        <w:t xml:space="preserve"> stone, the </w:t>
      </w:r>
      <w:r w:rsidR="006A08D9" w:rsidRPr="001005B7">
        <w:t>form</w:t>
      </w:r>
      <w:r w:rsidRPr="001005B7">
        <w:t xml:space="preserve"> of a throne, and on the </w:t>
      </w:r>
      <w:r w:rsidR="006A08D9" w:rsidRPr="001005B7">
        <w:t>form</w:t>
      </w:r>
      <w:r w:rsidRPr="001005B7">
        <w:t xml:space="preserve"> of the throne a </w:t>
      </w:r>
      <w:r w:rsidR="00694CB8" w:rsidRPr="001005B7">
        <w:t>profile</w:t>
      </w:r>
      <w:r w:rsidRPr="001005B7">
        <w:t xml:space="preserve"> </w:t>
      </w:r>
      <w:r w:rsidR="00657B1B" w:rsidRPr="001005B7">
        <w:t xml:space="preserve">something like </w:t>
      </w:r>
      <w:r w:rsidR="006B7050" w:rsidRPr="001005B7">
        <w:t>the</w:t>
      </w:r>
      <w:r w:rsidR="00487A34" w:rsidRPr="001005B7">
        <w:t xml:space="preserve"> </w:t>
      </w:r>
      <w:r w:rsidRPr="001005B7">
        <w:t>appearance of a human being on it</w:t>
      </w:r>
      <w:r w:rsidR="000C32F0" w:rsidRPr="001005B7">
        <w:t>,</w:t>
      </w:r>
      <w:r w:rsidRPr="001005B7">
        <w:t xml:space="preserve"> above. </w:t>
      </w:r>
      <w:r w:rsidRPr="001005B7">
        <w:rPr>
          <w:vertAlign w:val="superscript"/>
        </w:rPr>
        <w:t>27</w:t>
      </w:r>
      <w:r w:rsidRPr="001005B7">
        <w:t xml:space="preserve">I saw </w:t>
      </w:r>
      <w:r w:rsidR="00657B1B" w:rsidRPr="001005B7">
        <w:t xml:space="preserve">something like </w:t>
      </w:r>
      <w:r w:rsidR="00935EB8" w:rsidRPr="001005B7">
        <w:t>the</w:t>
      </w:r>
      <w:r w:rsidR="002B05EA" w:rsidRPr="001005B7">
        <w:t xml:space="preserve"> </w:t>
      </w:r>
      <w:r w:rsidR="00D57F4B" w:rsidRPr="001005B7">
        <w:t>look</w:t>
      </w:r>
      <w:r w:rsidRPr="001005B7">
        <w:t xml:space="preserve"> of </w:t>
      </w:r>
      <w:proofErr w:type="spellStart"/>
      <w:r w:rsidR="00BA5D9F" w:rsidRPr="001005B7">
        <w:rPr>
          <w:i/>
          <w:iCs/>
        </w:rPr>
        <w:t>hashmal</w:t>
      </w:r>
      <w:proofErr w:type="spellEnd"/>
      <w:r w:rsidRPr="001005B7">
        <w:t xml:space="preserve">, </w:t>
      </w:r>
      <w:r w:rsidR="00657B1B" w:rsidRPr="001005B7">
        <w:t xml:space="preserve">something like </w:t>
      </w:r>
      <w:r w:rsidR="00935EB8" w:rsidRPr="001005B7">
        <w:t>the</w:t>
      </w:r>
      <w:r w:rsidR="00396191" w:rsidRPr="001005B7">
        <w:t xml:space="preserve"> </w:t>
      </w:r>
      <w:r w:rsidRPr="001005B7">
        <w:t>appearance of fire</w:t>
      </w:r>
      <w:r w:rsidR="008A1294" w:rsidRPr="001005B7">
        <w:t>—I</w:t>
      </w:r>
      <w:r w:rsidR="005E7B5B" w:rsidRPr="001005B7">
        <w:t xml:space="preserve">t had </w:t>
      </w:r>
      <w:r w:rsidR="00000D40" w:rsidRPr="001005B7">
        <w:t>h</w:t>
      </w:r>
      <w:r w:rsidRPr="001005B7">
        <w:t>ousing</w:t>
      </w:r>
      <w:r w:rsidR="00385988" w:rsidRPr="001005B7">
        <w:t xml:space="preserve"> </w:t>
      </w:r>
      <w:r w:rsidRPr="001005B7">
        <w:t xml:space="preserve">all </w:t>
      </w:r>
      <w:r w:rsidR="00131C4C" w:rsidRPr="001005B7">
        <w:t>a</w:t>
      </w:r>
      <w:r w:rsidRPr="001005B7">
        <w:t xml:space="preserve">round, from the appearance of its </w:t>
      </w:r>
      <w:r w:rsidR="00F67B0D" w:rsidRPr="001005B7">
        <w:t>wa</w:t>
      </w:r>
      <w:r w:rsidR="00666379" w:rsidRPr="001005B7">
        <w:t>i</w:t>
      </w:r>
      <w:r w:rsidR="00F67B0D" w:rsidRPr="001005B7">
        <w:t>st</w:t>
      </w:r>
      <w:r w:rsidRPr="001005B7">
        <w:t xml:space="preserve"> </w:t>
      </w:r>
      <w:r w:rsidR="00DD2470" w:rsidRPr="001005B7">
        <w:t>an</w:t>
      </w:r>
      <w:r w:rsidR="007406E5" w:rsidRPr="001005B7">
        <w:t xml:space="preserve">d </w:t>
      </w:r>
      <w:r w:rsidR="00527A1C" w:rsidRPr="001005B7">
        <w:t>upward</w:t>
      </w:r>
      <w:r w:rsidRPr="001005B7">
        <w:t xml:space="preserve">, and from the appearance of its </w:t>
      </w:r>
      <w:r w:rsidR="00F67B0D" w:rsidRPr="001005B7">
        <w:t>wa</w:t>
      </w:r>
      <w:r w:rsidR="00666379" w:rsidRPr="001005B7">
        <w:t>i</w:t>
      </w:r>
      <w:r w:rsidR="00F67B0D" w:rsidRPr="001005B7">
        <w:t>st</w:t>
      </w:r>
      <w:r w:rsidRPr="001005B7">
        <w:t xml:space="preserve"> </w:t>
      </w:r>
      <w:r w:rsidR="007406E5" w:rsidRPr="001005B7">
        <w:t xml:space="preserve">and </w:t>
      </w:r>
      <w:r w:rsidR="00CB15F4" w:rsidRPr="001005B7">
        <w:t>downward</w:t>
      </w:r>
      <w:r w:rsidR="003B0950" w:rsidRPr="001005B7">
        <w:t>—</w:t>
      </w:r>
      <w:r w:rsidRPr="001005B7">
        <w:t xml:space="preserve">I saw </w:t>
      </w:r>
      <w:r w:rsidR="00DC238F" w:rsidRPr="001005B7">
        <w:t xml:space="preserve">something like </w:t>
      </w:r>
      <w:r w:rsidR="00EB7B7C" w:rsidRPr="001005B7">
        <w:t>the</w:t>
      </w:r>
      <w:r w:rsidR="00CE28A2" w:rsidRPr="001005B7">
        <w:t xml:space="preserve"> </w:t>
      </w:r>
      <w:r w:rsidRPr="001005B7">
        <w:t>appearance of fire</w:t>
      </w:r>
      <w:r w:rsidR="007C6744" w:rsidRPr="001005B7">
        <w:t xml:space="preserve">, and </w:t>
      </w:r>
      <w:r w:rsidR="0086482F" w:rsidRPr="001005B7">
        <w:t xml:space="preserve">it had </w:t>
      </w:r>
      <w:r w:rsidR="0073249D" w:rsidRPr="001005B7">
        <w:t>brightness</w:t>
      </w:r>
      <w:r w:rsidRPr="001005B7">
        <w:t xml:space="preserve"> all round</w:t>
      </w:r>
      <w:r w:rsidR="007C6744" w:rsidRPr="001005B7">
        <w:t>,</w:t>
      </w:r>
      <w:r w:rsidRPr="001005B7">
        <w:t xml:space="preserve"> </w:t>
      </w:r>
      <w:r w:rsidRPr="001005B7">
        <w:rPr>
          <w:vertAlign w:val="superscript"/>
        </w:rPr>
        <w:t>28</w:t>
      </w:r>
      <w:r w:rsidR="00DC238F" w:rsidRPr="001005B7">
        <w:t xml:space="preserve">something like </w:t>
      </w:r>
      <w:r w:rsidR="00EB7B7C" w:rsidRPr="001005B7">
        <w:t>the</w:t>
      </w:r>
      <w:r w:rsidR="00CE28A2" w:rsidRPr="001005B7">
        <w:t xml:space="preserve"> </w:t>
      </w:r>
      <w:r w:rsidRPr="001005B7">
        <w:t xml:space="preserve">appearance of the bow that </w:t>
      </w:r>
      <w:r w:rsidR="00E75734" w:rsidRPr="001005B7">
        <w:t>would be</w:t>
      </w:r>
      <w:r w:rsidRPr="001005B7">
        <w:t xml:space="preserve"> in a cloud on a rainy day</w:t>
      </w:r>
      <w:r w:rsidR="0040267C" w:rsidRPr="001005B7">
        <w:t>—</w:t>
      </w:r>
      <w:r w:rsidR="00E80829" w:rsidRPr="001005B7">
        <w:t>s</w:t>
      </w:r>
      <w:r w:rsidRPr="001005B7">
        <w:t xml:space="preserve">uch the appearance of the </w:t>
      </w:r>
      <w:r w:rsidR="00593C4A" w:rsidRPr="001005B7">
        <w:t>brightness</w:t>
      </w:r>
      <w:r w:rsidR="0089703B" w:rsidRPr="001005B7">
        <w:t xml:space="preserve"> a</w:t>
      </w:r>
      <w:r w:rsidRPr="001005B7">
        <w:t xml:space="preserve">ll </w:t>
      </w:r>
      <w:r w:rsidR="00BD2E68" w:rsidRPr="001005B7">
        <w:t>a</w:t>
      </w:r>
      <w:r w:rsidRPr="001005B7">
        <w:t xml:space="preserve">round. </w:t>
      </w:r>
    </w:p>
    <w:p w14:paraId="41DF1BDA" w14:textId="7271F892" w:rsidR="009F37E0" w:rsidRPr="001005B7" w:rsidRDefault="009F37E0" w:rsidP="009F37E0">
      <w:r w:rsidRPr="001005B7">
        <w:t>Th</w:t>
      </w:r>
      <w:r w:rsidR="00B80733" w:rsidRPr="001005B7">
        <w:t>at</w:t>
      </w:r>
      <w:r w:rsidR="00766205" w:rsidRPr="001005B7">
        <w:t>:</w:t>
      </w:r>
      <w:r w:rsidRPr="001005B7">
        <w:t xml:space="preserve"> the appearance of the </w:t>
      </w:r>
      <w:r w:rsidR="0089703B" w:rsidRPr="001005B7">
        <w:t>form</w:t>
      </w:r>
      <w:r w:rsidRPr="001005B7">
        <w:t xml:space="preserve"> of Yahweh’s </w:t>
      </w:r>
      <w:r w:rsidR="007908AE" w:rsidRPr="001005B7">
        <w:t>ma</w:t>
      </w:r>
      <w:r w:rsidR="00043847" w:rsidRPr="001005B7">
        <w:t>gnifi</w:t>
      </w:r>
      <w:r w:rsidR="00FD28C5" w:rsidRPr="001005B7">
        <w:t>cence</w:t>
      </w:r>
      <w:r w:rsidRPr="001005B7">
        <w:t>. I saw</w:t>
      </w:r>
      <w:r w:rsidR="006E233D" w:rsidRPr="001005B7">
        <w:t>,</w:t>
      </w:r>
      <w:r w:rsidRPr="001005B7">
        <w:t xml:space="preserve"> and I fell on my face. </w:t>
      </w:r>
    </w:p>
    <w:p w14:paraId="7C7C8E4C" w14:textId="77777777" w:rsidR="00991848" w:rsidRPr="001005B7" w:rsidRDefault="00991848" w:rsidP="009F37E0"/>
    <w:p w14:paraId="273C61F9" w14:textId="28F7E7C7" w:rsidR="009F37E0" w:rsidRPr="001005B7" w:rsidRDefault="003B7431" w:rsidP="00493833">
      <w:pPr>
        <w:pStyle w:val="Heading3"/>
      </w:pPr>
      <w:r w:rsidRPr="001005B7">
        <w:t>T</w:t>
      </w:r>
      <w:r w:rsidR="00EF7150" w:rsidRPr="001005B7">
        <w:t>extual</w:t>
      </w:r>
      <w:r w:rsidRPr="001005B7">
        <w:t xml:space="preserve"> Notes</w:t>
      </w:r>
    </w:p>
    <w:p w14:paraId="09EA2643" w14:textId="5C556A0D" w:rsidR="00F8342A" w:rsidRPr="001005B7" w:rsidRDefault="0087081D" w:rsidP="00F8342A">
      <w:r w:rsidRPr="001005B7">
        <w:t xml:space="preserve">The report </w:t>
      </w:r>
      <w:r w:rsidR="00F15344" w:rsidRPr="001005B7">
        <w:t>is</w:t>
      </w:r>
      <w:r w:rsidR="004D4A6C" w:rsidRPr="001005B7">
        <w:t xml:space="preserve"> slightly less jerky in Hebrew than in English because Hebrew is used to </w:t>
      </w:r>
      <w:r w:rsidR="00972D30" w:rsidRPr="001005B7">
        <w:t xml:space="preserve">verbless sentences </w:t>
      </w:r>
      <w:r w:rsidR="00326C52" w:rsidRPr="001005B7">
        <w:t>in</w:t>
      </w:r>
      <w:r w:rsidR="00972D30" w:rsidRPr="001005B7">
        <w:t xml:space="preserve"> which readers a</w:t>
      </w:r>
      <w:r w:rsidR="00C32F17" w:rsidRPr="001005B7">
        <w:t xml:space="preserve">re </w:t>
      </w:r>
      <w:r w:rsidR="00B747DE" w:rsidRPr="001005B7">
        <w:t>accustomed</w:t>
      </w:r>
      <w:r w:rsidR="00C32F17" w:rsidRPr="001005B7">
        <w:t xml:space="preserve"> to</w:t>
      </w:r>
      <w:r w:rsidR="00972D30" w:rsidRPr="001005B7">
        <w:t xml:space="preserve"> </w:t>
      </w:r>
      <w:r w:rsidR="00326C52" w:rsidRPr="001005B7">
        <w:t>doing without</w:t>
      </w:r>
      <w:r w:rsidR="00972D30" w:rsidRPr="001005B7">
        <w:t xml:space="preserve"> </w:t>
      </w:r>
      <w:r w:rsidR="00EC378E" w:rsidRPr="001005B7">
        <w:t>a</w:t>
      </w:r>
      <w:r w:rsidR="00972D30" w:rsidRPr="001005B7">
        <w:t xml:space="preserve"> word such as “is</w:t>
      </w:r>
      <w:r w:rsidR="006032BA" w:rsidRPr="001005B7">
        <w:t xml:space="preserve">,” though in </w:t>
      </w:r>
      <w:r w:rsidR="00C03286" w:rsidRPr="001005B7">
        <w:t xml:space="preserve">another </w:t>
      </w:r>
      <w:r w:rsidR="00CD0856" w:rsidRPr="001005B7">
        <w:t>respect</w:t>
      </w:r>
      <w:r w:rsidR="00C03286" w:rsidRPr="001005B7">
        <w:t xml:space="preserve"> it </w:t>
      </w:r>
      <w:r w:rsidR="00EC378E" w:rsidRPr="001005B7">
        <w:t>is</w:t>
      </w:r>
      <w:r w:rsidR="007C46BF" w:rsidRPr="001005B7">
        <w:t xml:space="preserve"> </w:t>
      </w:r>
      <w:r w:rsidR="00EC378E" w:rsidRPr="001005B7">
        <w:t>jerk</w:t>
      </w:r>
      <w:r w:rsidR="00920FA0" w:rsidRPr="001005B7">
        <w:t>ier</w:t>
      </w:r>
      <w:r w:rsidR="00EC378E" w:rsidRPr="001005B7">
        <w:t xml:space="preserve"> </w:t>
      </w:r>
      <w:r w:rsidR="00C03286" w:rsidRPr="001005B7">
        <w:t xml:space="preserve">than Hebrew </w:t>
      </w:r>
      <w:r w:rsidR="00405382" w:rsidRPr="001005B7">
        <w:t>regular</w:t>
      </w:r>
      <w:r w:rsidR="00734017" w:rsidRPr="001005B7">
        <w:t xml:space="preserve">ly is </w:t>
      </w:r>
      <w:r w:rsidR="00FA67FB" w:rsidRPr="001005B7">
        <w:t>becaus</w:t>
      </w:r>
      <w:r w:rsidR="002F39A9" w:rsidRPr="001005B7">
        <w:t>e of its use of asy</w:t>
      </w:r>
      <w:r w:rsidR="00793851" w:rsidRPr="001005B7">
        <w:t>n</w:t>
      </w:r>
      <w:r w:rsidR="002F39A9" w:rsidRPr="001005B7">
        <w:t>deton</w:t>
      </w:r>
      <w:r w:rsidR="00CD662E" w:rsidRPr="001005B7">
        <w:t>.</w:t>
      </w:r>
      <w:r w:rsidR="006032BA" w:rsidRPr="001005B7">
        <w:t>*</w:t>
      </w:r>
      <w:r w:rsidR="007C46BF" w:rsidRPr="001005B7">
        <w:t xml:space="preserve"> </w:t>
      </w:r>
      <w:r w:rsidR="00CC5C1B" w:rsidRPr="001005B7">
        <w:rPr>
          <w:sz w:val="18"/>
          <w:szCs w:val="18"/>
        </w:rPr>
        <w:t>LXX</w:t>
      </w:r>
      <w:r w:rsidR="00CC5C1B" w:rsidRPr="001005B7">
        <w:t xml:space="preserve"> lacks some of </w:t>
      </w:r>
      <w:r w:rsidR="00424036" w:rsidRPr="001005B7">
        <w:rPr>
          <w:sz w:val="18"/>
          <w:szCs w:val="18"/>
        </w:rPr>
        <w:t>MT</w:t>
      </w:r>
      <w:r w:rsidR="00CC5C1B" w:rsidRPr="001005B7">
        <w:t>’s repetitions</w:t>
      </w:r>
      <w:r w:rsidR="0049149C" w:rsidRPr="001005B7">
        <w:rPr>
          <w:rStyle w:val="FootnoteReference"/>
        </w:rPr>
        <w:footnoteReference w:id="102"/>
      </w:r>
      <w:r w:rsidR="006054FA" w:rsidRPr="001005B7">
        <w:t xml:space="preserve"> </w:t>
      </w:r>
      <w:r w:rsidR="0040670E" w:rsidRPr="001005B7">
        <w:t xml:space="preserve">and </w:t>
      </w:r>
      <w:proofErr w:type="spellStart"/>
      <w:r w:rsidR="00C165E9" w:rsidRPr="001005B7">
        <w:t>Zimmerli</w:t>
      </w:r>
      <w:proofErr w:type="spellEnd"/>
      <w:r w:rsidR="00C165E9" w:rsidRPr="001005B7">
        <w:t xml:space="preserve"> (1:81</w:t>
      </w:r>
      <w:r w:rsidR="00F46900" w:rsidRPr="001005B7">
        <w:t>–</w:t>
      </w:r>
      <w:r w:rsidR="00C165E9" w:rsidRPr="001005B7">
        <w:t>88) comments extensively on different phrases that seem clumsy, awkward, superfluous, uneven, dispensable, or out of place, and therefore secondary</w:t>
      </w:r>
      <w:r w:rsidR="0040670E" w:rsidRPr="001005B7">
        <w:t>. B</w:t>
      </w:r>
      <w:r w:rsidR="004C1B1E" w:rsidRPr="001005B7">
        <w:t>u</w:t>
      </w:r>
      <w:r w:rsidR="00914479" w:rsidRPr="001005B7">
        <w:t>t</w:t>
      </w:r>
      <w:r w:rsidR="002A6EB2" w:rsidRPr="001005B7">
        <w:t xml:space="preserve"> attempts to recover an earlier version of Ezekiel’s report vary. </w:t>
      </w:r>
      <w:r w:rsidR="004353AF" w:rsidRPr="001005B7">
        <w:t>Given that e</w:t>
      </w:r>
      <w:r w:rsidR="00360F89" w:rsidRPr="001005B7">
        <w:t>ditorial</w:t>
      </w:r>
      <w:r w:rsidR="0056092E" w:rsidRPr="001005B7">
        <w:t xml:space="preserve"> work usually makes texts </w:t>
      </w:r>
      <w:r w:rsidR="002655C3" w:rsidRPr="001005B7">
        <w:t xml:space="preserve">smoother rather than </w:t>
      </w:r>
      <w:r w:rsidR="0056092E" w:rsidRPr="001005B7">
        <w:t xml:space="preserve">rougher </w:t>
      </w:r>
      <w:r w:rsidR="009C529B" w:rsidRPr="001005B7">
        <w:t>and may be more inclined to eliminate repetition than to intr</w:t>
      </w:r>
      <w:r w:rsidR="00D52E2E" w:rsidRPr="001005B7">
        <w:t>od</w:t>
      </w:r>
      <w:r w:rsidR="009C529B" w:rsidRPr="001005B7">
        <w:t>uce it</w:t>
      </w:r>
      <w:r w:rsidR="004C1B1E" w:rsidRPr="001005B7">
        <w:t>,</w:t>
      </w:r>
      <w:r w:rsidR="00A9258B" w:rsidRPr="001005B7">
        <w:t xml:space="preserve"> it is </w:t>
      </w:r>
      <w:r w:rsidR="00832682" w:rsidRPr="001005B7">
        <w:t>plausible</w:t>
      </w:r>
      <w:r w:rsidR="00512680" w:rsidRPr="001005B7">
        <w:t xml:space="preserve"> </w:t>
      </w:r>
      <w:r w:rsidR="00A9258B" w:rsidRPr="001005B7">
        <w:t xml:space="preserve">that </w:t>
      </w:r>
      <w:r w:rsidR="00806540" w:rsidRPr="001005B7">
        <w:t>Ezekiel</w:t>
      </w:r>
      <w:r w:rsidR="002D275D" w:rsidRPr="001005B7">
        <w:t xml:space="preserve"> </w:t>
      </w:r>
      <w:r w:rsidR="00806540" w:rsidRPr="001005B7">
        <w:t xml:space="preserve">composed </w:t>
      </w:r>
      <w:r w:rsidR="0058489A" w:rsidRPr="001005B7">
        <w:t>something</w:t>
      </w:r>
      <w:r w:rsidR="00806540" w:rsidRPr="001005B7">
        <w:t xml:space="preserve"> jerky</w:t>
      </w:r>
      <w:r w:rsidR="0025553F" w:rsidRPr="001005B7">
        <w:t xml:space="preserve"> </w:t>
      </w:r>
      <w:r w:rsidR="00DC2A02" w:rsidRPr="001005B7">
        <w:t xml:space="preserve">and repetitive </w:t>
      </w:r>
      <w:r w:rsidR="0025553F" w:rsidRPr="001005B7">
        <w:t xml:space="preserve">that ancient and modern </w:t>
      </w:r>
      <w:r w:rsidR="008D6B83" w:rsidRPr="001005B7">
        <w:t>readers are inclined to make smoother</w:t>
      </w:r>
      <w:r w:rsidR="00553D8E" w:rsidRPr="001005B7">
        <w:t>.</w:t>
      </w:r>
      <w:r w:rsidR="00B126B1" w:rsidRPr="001005B7">
        <w:t xml:space="preserve"> </w:t>
      </w:r>
      <w:r w:rsidR="000E2619" w:rsidRPr="001005B7">
        <w:t>While h</w:t>
      </w:r>
      <w:r w:rsidR="00AB104A" w:rsidRPr="001005B7">
        <w:t>is</w:t>
      </w:r>
      <w:r w:rsidR="008D6B83" w:rsidRPr="001005B7">
        <w:t xml:space="preserve"> account</w:t>
      </w:r>
      <w:r w:rsidR="00483575" w:rsidRPr="001005B7">
        <w:t xml:space="preserve"> mi</w:t>
      </w:r>
      <w:r w:rsidR="00B126B1" w:rsidRPr="001005B7">
        <w:t xml:space="preserve">ght </w:t>
      </w:r>
      <w:r w:rsidR="000E2619" w:rsidRPr="001005B7">
        <w:t xml:space="preserve">then </w:t>
      </w:r>
      <w:r w:rsidR="00B126B1" w:rsidRPr="001005B7">
        <w:t xml:space="preserve">correspond to the jerky impression </w:t>
      </w:r>
      <w:r w:rsidR="00D33EB9" w:rsidRPr="001005B7">
        <w:t xml:space="preserve">or disturbing effect that </w:t>
      </w:r>
      <w:r w:rsidR="00B126B1" w:rsidRPr="001005B7">
        <w:t>th</w:t>
      </w:r>
      <w:r w:rsidR="00030858" w:rsidRPr="001005B7">
        <w:t>e vision</w:t>
      </w:r>
      <w:r w:rsidR="00B126B1" w:rsidRPr="001005B7">
        <w:t xml:space="preserve"> made on him, </w:t>
      </w:r>
      <w:r w:rsidR="008E47A5" w:rsidRPr="001005B7">
        <w:t xml:space="preserve">or </w:t>
      </w:r>
      <w:r w:rsidR="00B126B1" w:rsidRPr="001005B7">
        <w:t>the dist</w:t>
      </w:r>
      <w:r w:rsidR="00EC7052" w:rsidRPr="001005B7">
        <w:t>urbing situation of his communit</w:t>
      </w:r>
      <w:r w:rsidR="008E47A5" w:rsidRPr="001005B7">
        <w:t>y</w:t>
      </w:r>
      <w:r w:rsidR="00F31D7D" w:rsidRPr="001005B7">
        <w:t>,</w:t>
      </w:r>
      <w:r w:rsidR="00CC12A2" w:rsidRPr="001005B7">
        <w:rPr>
          <w:rStyle w:val="FootnoteReference"/>
        </w:rPr>
        <w:footnoteReference w:id="103"/>
      </w:r>
      <w:r w:rsidR="00D058C3" w:rsidRPr="001005B7">
        <w:t xml:space="preserve"> </w:t>
      </w:r>
      <w:r w:rsidR="00241A2D" w:rsidRPr="001005B7">
        <w:t>t</w:t>
      </w:r>
      <w:r w:rsidR="00D6243A" w:rsidRPr="001005B7">
        <w:t>he</w:t>
      </w:r>
      <w:r w:rsidR="00241A2D" w:rsidRPr="001005B7">
        <w:t xml:space="preserve"> text’s</w:t>
      </w:r>
      <w:r w:rsidR="00D6243A" w:rsidRPr="001005B7">
        <w:t xml:space="preserve"> nature </w:t>
      </w:r>
      <w:r w:rsidR="00241A2D" w:rsidRPr="001005B7">
        <w:t>in</w:t>
      </w:r>
      <w:r w:rsidR="0077335D" w:rsidRPr="001005B7">
        <w:t xml:space="preserve"> any case </w:t>
      </w:r>
      <w:r w:rsidR="007577D3" w:rsidRPr="001005B7">
        <w:t>contribute</w:t>
      </w:r>
      <w:r w:rsidR="00D058C3" w:rsidRPr="001005B7">
        <w:t>s</w:t>
      </w:r>
      <w:r w:rsidR="007577D3" w:rsidRPr="001005B7">
        <w:t xml:space="preserve"> to the </w:t>
      </w:r>
      <w:r w:rsidR="0024070A" w:rsidRPr="001005B7">
        <w:t xml:space="preserve">passage’s </w:t>
      </w:r>
      <w:r w:rsidR="007577D3" w:rsidRPr="001005B7">
        <w:t>rheto</w:t>
      </w:r>
      <w:r w:rsidR="00A15339" w:rsidRPr="001005B7">
        <w:t>rical effect</w:t>
      </w:r>
      <w:r w:rsidR="006D7B43" w:rsidRPr="001005B7">
        <w:t>.</w:t>
      </w:r>
      <w:r w:rsidR="008963BA" w:rsidRPr="001005B7">
        <w:t xml:space="preserve"> </w:t>
      </w:r>
    </w:p>
    <w:p w14:paraId="34B42136" w14:textId="77777777" w:rsidR="00D245C4" w:rsidRPr="001005B7" w:rsidRDefault="00D245C4" w:rsidP="009F37E0">
      <w:pPr>
        <w:rPr>
          <w:vertAlign w:val="superscript"/>
        </w:rPr>
      </w:pPr>
    </w:p>
    <w:p w14:paraId="1CE103AE" w14:textId="3DEFC9AE" w:rsidR="009F37E0" w:rsidRPr="001005B7" w:rsidRDefault="00FF6655" w:rsidP="000E1FC0">
      <w:pPr>
        <w:ind w:firstLine="0"/>
      </w:pPr>
      <w:r w:rsidRPr="001005B7">
        <w:rPr>
          <w:b/>
          <w:bCs/>
        </w:rPr>
        <w:t xml:space="preserve">1:8 </w:t>
      </w:r>
      <w:r w:rsidR="00A34EC4" w:rsidRPr="001005B7">
        <w:t xml:space="preserve">Whereas Q has </w:t>
      </w:r>
      <w:r w:rsidR="004975EA" w:rsidRPr="001005B7">
        <w:rPr>
          <w:rFonts w:cstheme="minorHAnsi"/>
          <w:rtl/>
          <w:lang w:bidi="he-IL"/>
        </w:rPr>
        <w:t>יְ</w:t>
      </w:r>
      <w:r w:rsidR="00104544" w:rsidRPr="001005B7">
        <w:rPr>
          <w:rFonts w:cstheme="minorHAnsi"/>
          <w:rtl/>
          <w:lang w:bidi="he-IL"/>
        </w:rPr>
        <w:t>דֵי</w:t>
      </w:r>
      <w:r w:rsidR="004975EA" w:rsidRPr="001005B7">
        <w:t xml:space="preserve"> </w:t>
      </w:r>
      <w:r w:rsidR="00594B2A" w:rsidRPr="001005B7">
        <w:rPr>
          <w:rFonts w:cstheme="minorHAnsi"/>
        </w:rPr>
        <w:t>“the hands of [a human being</w:t>
      </w:r>
      <w:r w:rsidR="006379F6" w:rsidRPr="001005B7">
        <w:rPr>
          <w:rFonts w:cstheme="minorHAnsi"/>
        </w:rPr>
        <w:t>],”</w:t>
      </w:r>
      <w:r w:rsidR="00B94847" w:rsidRPr="001005B7">
        <w:rPr>
          <w:rFonts w:cstheme="minorHAnsi"/>
        </w:rPr>
        <w:t xml:space="preserve"> K</w:t>
      </w:r>
      <w:r w:rsidR="009F37E0" w:rsidRPr="001005B7">
        <w:t xml:space="preserve"> has</w:t>
      </w:r>
      <w:r w:rsidR="001E2D98" w:rsidRPr="001005B7">
        <w:t xml:space="preserve"> </w:t>
      </w:r>
      <w:r w:rsidR="001E2D98" w:rsidRPr="001005B7">
        <w:rPr>
          <w:rFonts w:cstheme="minorHAnsi"/>
          <w:rtl/>
          <w:lang w:bidi="he-IL"/>
        </w:rPr>
        <w:t>ידו</w:t>
      </w:r>
      <w:r w:rsidR="005B43B1" w:rsidRPr="001005B7">
        <w:rPr>
          <w:i/>
          <w:iCs/>
        </w:rPr>
        <w:t xml:space="preserve"> </w:t>
      </w:r>
      <w:r w:rsidR="005B43B1" w:rsidRPr="001005B7">
        <w:t>“</w:t>
      </w:r>
      <w:r w:rsidR="006379F6" w:rsidRPr="001005B7">
        <w:t>his/</w:t>
      </w:r>
      <w:r w:rsidR="009F37E0" w:rsidRPr="001005B7">
        <w:t>its hand</w:t>
      </w:r>
      <w:r w:rsidR="005139F5" w:rsidRPr="001005B7">
        <w:t>[s]</w:t>
      </w:r>
      <w:r w:rsidR="00641BD9" w:rsidRPr="001005B7">
        <w:t xml:space="preserve"> [</w:t>
      </w:r>
      <w:r w:rsidR="00B948BD" w:rsidRPr="001005B7">
        <w:t>a human being</w:t>
      </w:r>
      <w:r w:rsidR="00AB3276" w:rsidRPr="001005B7">
        <w:t>’s</w:t>
      </w:r>
      <w:r w:rsidR="00641BD9" w:rsidRPr="001005B7">
        <w:t>]</w:t>
      </w:r>
      <w:r w:rsidR="005F0FCE" w:rsidRPr="001005B7">
        <w:t>”</w:t>
      </w:r>
      <w:r w:rsidR="00273910" w:rsidRPr="001005B7">
        <w:t xml:space="preserve"> </w:t>
      </w:r>
      <w:r w:rsidR="00426A0B" w:rsidRPr="001005B7">
        <w:t>(see Keil, 23).</w:t>
      </w:r>
      <w:r w:rsidR="005F0FCE" w:rsidRPr="001005B7">
        <w:t xml:space="preserve"> </w:t>
      </w:r>
      <w:r w:rsidR="00426A0B" w:rsidRPr="001005B7">
        <w:t>C</w:t>
      </w:r>
      <w:r w:rsidR="005F0FCE" w:rsidRPr="001005B7">
        <w:t>f. 10:7</w:t>
      </w:r>
      <w:r w:rsidR="00A302A4" w:rsidRPr="001005B7">
        <w:t>.</w:t>
      </w:r>
    </w:p>
    <w:p w14:paraId="229D734C" w14:textId="676F5464" w:rsidR="003C5BE4" w:rsidRPr="001005B7" w:rsidRDefault="000E1FC0" w:rsidP="000E1FC0">
      <w:pPr>
        <w:ind w:firstLine="0"/>
      </w:pPr>
      <w:r w:rsidRPr="001005B7">
        <w:rPr>
          <w:b/>
          <w:bCs/>
        </w:rPr>
        <w:t xml:space="preserve">1:11 </w:t>
      </w:r>
      <w:r w:rsidR="005F5335" w:rsidRPr="001005B7">
        <w:rPr>
          <w:sz w:val="18"/>
          <w:szCs w:val="18"/>
        </w:rPr>
        <w:t>LXX</w:t>
      </w:r>
      <w:r w:rsidR="001B0343" w:rsidRPr="001005B7">
        <w:t xml:space="preserve"> lacks </w:t>
      </w:r>
      <w:r w:rsidR="00B60017" w:rsidRPr="001005B7">
        <w:t>“</w:t>
      </w:r>
      <w:r w:rsidR="001B0343" w:rsidRPr="001005B7">
        <w:t>so their faces</w:t>
      </w:r>
      <w:r w:rsidR="00D344D4" w:rsidRPr="001005B7">
        <w:t>,</w:t>
      </w:r>
      <w:r w:rsidR="00B60017" w:rsidRPr="001005B7">
        <w:t>”</w:t>
      </w:r>
      <w:r w:rsidR="00D344D4" w:rsidRPr="001005B7">
        <w:t xml:space="preserve"> which makes the text simpler</w:t>
      </w:r>
      <w:r w:rsidR="002A6CA1" w:rsidRPr="001005B7">
        <w:t>. T</w:t>
      </w:r>
      <w:r w:rsidR="006461E5" w:rsidRPr="001005B7">
        <w:t xml:space="preserve">he same applies to a number of the </w:t>
      </w:r>
      <w:r w:rsidR="00720CF3" w:rsidRPr="001005B7">
        <w:t>lack</w:t>
      </w:r>
      <w:r w:rsidR="001808F0" w:rsidRPr="001005B7">
        <w:t>s</w:t>
      </w:r>
      <w:r w:rsidR="00720CF3" w:rsidRPr="001005B7">
        <w:t xml:space="preserve"> in</w:t>
      </w:r>
      <w:r w:rsidR="005F5335" w:rsidRPr="001005B7">
        <w:t xml:space="preserve"> </w:t>
      </w:r>
      <w:r w:rsidR="005F5335" w:rsidRPr="001005B7">
        <w:rPr>
          <w:sz w:val="18"/>
          <w:szCs w:val="18"/>
        </w:rPr>
        <w:t>LXX</w:t>
      </w:r>
      <w:r w:rsidR="002703BC" w:rsidRPr="001005B7">
        <w:rPr>
          <w:sz w:val="18"/>
          <w:szCs w:val="18"/>
        </w:rPr>
        <w:t xml:space="preserve"> </w:t>
      </w:r>
      <w:r w:rsidR="00720CF3" w:rsidRPr="001005B7">
        <w:t>noted below.</w:t>
      </w:r>
    </w:p>
    <w:p w14:paraId="7F56F9EE" w14:textId="209DC056" w:rsidR="009F37E0" w:rsidRPr="001005B7" w:rsidRDefault="000E1FC0" w:rsidP="000E1FC0">
      <w:pPr>
        <w:ind w:firstLine="0"/>
      </w:pPr>
      <w:r w:rsidRPr="001005B7">
        <w:rPr>
          <w:b/>
          <w:bCs/>
        </w:rPr>
        <w:t>1:13</w:t>
      </w:r>
      <w:r w:rsidR="009F37E0" w:rsidRPr="001005B7">
        <w:t xml:space="preserve"> </w:t>
      </w:r>
      <w:r w:rsidR="00D34978" w:rsidRPr="001005B7">
        <w:t>For</w:t>
      </w:r>
      <w:r w:rsidR="003C5BE4" w:rsidRPr="001005B7">
        <w:t xml:space="preserve"> </w:t>
      </w:r>
      <w:r w:rsidR="002C77FE" w:rsidRPr="001005B7">
        <w:rPr>
          <w:rFonts w:cstheme="minorHAnsi"/>
          <w:rtl/>
          <w:lang w:bidi="he-IL"/>
        </w:rPr>
        <w:t>וּדְמ</w:t>
      </w:r>
      <w:r w:rsidR="00D20743" w:rsidRPr="001005B7">
        <w:rPr>
          <w:rFonts w:cstheme="minorHAnsi"/>
          <w:rtl/>
          <w:lang w:bidi="he-IL"/>
        </w:rPr>
        <w:t>וּת</w:t>
      </w:r>
      <w:r w:rsidR="00A20AE1" w:rsidRPr="001005B7">
        <w:t>,</w:t>
      </w:r>
      <w:r w:rsidR="002703BC" w:rsidRPr="001005B7">
        <w:rPr>
          <w:rFonts w:cstheme="minorHAnsi"/>
          <w:i/>
          <w:iCs/>
        </w:rPr>
        <w:t xml:space="preserve"> </w:t>
      </w:r>
      <w:r w:rsidR="002703BC" w:rsidRPr="001005B7">
        <w:rPr>
          <w:sz w:val="18"/>
          <w:szCs w:val="18"/>
        </w:rPr>
        <w:t>LXX</w:t>
      </w:r>
      <w:r w:rsidR="009F37E0" w:rsidRPr="001005B7">
        <w:t xml:space="preserve"> </w:t>
      </w:r>
      <w:r w:rsidR="009E6D03" w:rsidRPr="001005B7">
        <w:t>“</w:t>
      </w:r>
      <w:r w:rsidR="008C7E87" w:rsidRPr="001005B7">
        <w:t xml:space="preserve">and </w:t>
      </w:r>
      <w:r w:rsidR="009F37E0" w:rsidRPr="001005B7">
        <w:t>in the middle of</w:t>
      </w:r>
      <w:r w:rsidR="009E6D03" w:rsidRPr="001005B7">
        <w:t>”</w:t>
      </w:r>
      <w:r w:rsidR="00214B9F" w:rsidRPr="001005B7">
        <w:t xml:space="preserve"> </w:t>
      </w:r>
      <w:r w:rsidR="00C05297" w:rsidRPr="001005B7">
        <w:t xml:space="preserve">could </w:t>
      </w:r>
      <w:r w:rsidR="002B0392" w:rsidRPr="001005B7">
        <w:t>suggest</w:t>
      </w:r>
      <w:r w:rsidR="00A20AE1" w:rsidRPr="001005B7">
        <w:t xml:space="preserve"> </w:t>
      </w:r>
      <w:r w:rsidR="00A20AE1" w:rsidRPr="001005B7">
        <w:rPr>
          <w:rFonts w:cstheme="minorHAnsi"/>
          <w:rtl/>
          <w:lang w:bidi="he-IL"/>
        </w:rPr>
        <w:t>וּ</w:t>
      </w:r>
      <w:r w:rsidR="009E3067" w:rsidRPr="001005B7">
        <w:rPr>
          <w:rFonts w:cstheme="minorHAnsi"/>
          <w:rtl/>
          <w:lang w:bidi="he-IL"/>
        </w:rPr>
        <w:t>בְתוֺך</w:t>
      </w:r>
      <w:r w:rsidR="008B0D4D" w:rsidRPr="001005B7">
        <w:rPr>
          <w:rFonts w:cstheme="minorHAnsi"/>
          <w:rtl/>
          <w:lang w:bidi="he-IL"/>
        </w:rPr>
        <w:t>ְ</w:t>
      </w:r>
      <w:r w:rsidR="00A51A07" w:rsidRPr="001005B7">
        <w:rPr>
          <w:rFonts w:cstheme="minorHAnsi"/>
        </w:rPr>
        <w:t xml:space="preserve"> (cf. </w:t>
      </w:r>
      <w:r w:rsidR="003D7256" w:rsidRPr="001005B7">
        <w:rPr>
          <w:sz w:val="18"/>
          <w:szCs w:val="18"/>
        </w:rPr>
        <w:t>NRSV</w:t>
      </w:r>
      <w:r w:rsidR="00A51A07" w:rsidRPr="001005B7">
        <w:rPr>
          <w:rFonts w:cstheme="minorHAnsi"/>
        </w:rPr>
        <w:t>)</w:t>
      </w:r>
      <w:r w:rsidR="00C05297" w:rsidRPr="001005B7">
        <w:rPr>
          <w:rFonts w:cstheme="minorHAnsi"/>
        </w:rPr>
        <w:t xml:space="preserve">, but </w:t>
      </w:r>
      <w:r w:rsidR="00D74578" w:rsidRPr="001005B7">
        <w:rPr>
          <w:rFonts w:cstheme="minorHAnsi"/>
          <w:i/>
          <w:iCs/>
        </w:rPr>
        <w:t>HUB</w:t>
      </w:r>
      <w:r w:rsidR="00D74578" w:rsidRPr="001005B7">
        <w:rPr>
          <w:rFonts w:cstheme="minorHAnsi"/>
        </w:rPr>
        <w:t xml:space="preserve"> compares 10:2 </w:t>
      </w:r>
      <w:r w:rsidR="00D74578" w:rsidRPr="001005B7">
        <w:rPr>
          <w:rFonts w:cstheme="minorHAnsi"/>
          <w:sz w:val="18"/>
          <w:szCs w:val="18"/>
        </w:rPr>
        <w:t>LXX</w:t>
      </w:r>
      <w:r w:rsidR="00A51A07" w:rsidRPr="001005B7">
        <w:rPr>
          <w:rFonts w:cstheme="minorHAnsi"/>
        </w:rPr>
        <w:t>.</w:t>
      </w:r>
    </w:p>
    <w:p w14:paraId="6F5276A8" w14:textId="71E6B78C" w:rsidR="00480A48" w:rsidRPr="001005B7" w:rsidRDefault="00ED7835" w:rsidP="00ED7835">
      <w:pPr>
        <w:ind w:firstLine="0"/>
        <w:rPr>
          <w:rFonts w:cstheme="minorHAnsi"/>
          <w:i/>
          <w:iCs/>
        </w:rPr>
      </w:pPr>
      <w:r w:rsidRPr="001005B7">
        <w:rPr>
          <w:rFonts w:cstheme="minorHAnsi"/>
          <w:b/>
          <w:bCs/>
        </w:rPr>
        <w:t xml:space="preserve">1:13 </w:t>
      </w:r>
      <w:r w:rsidR="002703BC" w:rsidRPr="001005B7">
        <w:rPr>
          <w:sz w:val="18"/>
          <w:szCs w:val="18"/>
        </w:rPr>
        <w:t>LXX</w:t>
      </w:r>
      <w:r w:rsidR="002703BC" w:rsidRPr="001005B7">
        <w:t xml:space="preserve"> </w:t>
      </w:r>
      <w:r w:rsidR="00480A48" w:rsidRPr="001005B7">
        <w:rPr>
          <w:rFonts w:cstheme="minorHAnsi"/>
        </w:rPr>
        <w:t xml:space="preserve">lacks </w:t>
      </w:r>
      <w:r w:rsidR="00B60017" w:rsidRPr="001005B7">
        <w:rPr>
          <w:rFonts w:cstheme="minorHAnsi"/>
        </w:rPr>
        <w:t>“</w:t>
      </w:r>
      <w:r w:rsidR="00480A48" w:rsidRPr="001005B7">
        <w:rPr>
          <w:rFonts w:cstheme="minorHAnsi"/>
        </w:rPr>
        <w:t>the living beings</w:t>
      </w:r>
      <w:r w:rsidR="00B60017" w:rsidRPr="001005B7">
        <w:rPr>
          <w:rFonts w:cstheme="minorHAnsi"/>
        </w:rPr>
        <w:t>”</w:t>
      </w:r>
      <w:r w:rsidR="00F011F6" w:rsidRPr="001005B7">
        <w:rPr>
          <w:rFonts w:cstheme="minorHAnsi"/>
          <w:i/>
          <w:iCs/>
        </w:rPr>
        <w:t xml:space="preserve"> </w:t>
      </w:r>
      <w:r w:rsidR="00F011F6" w:rsidRPr="001005B7">
        <w:rPr>
          <w:rFonts w:cstheme="minorHAnsi"/>
        </w:rPr>
        <w:t xml:space="preserve">(cf. </w:t>
      </w:r>
      <w:r w:rsidR="006C24EB" w:rsidRPr="001005B7">
        <w:rPr>
          <w:rFonts w:cstheme="minorHAnsi"/>
        </w:rPr>
        <w:t xml:space="preserve">the wording in </w:t>
      </w:r>
      <w:r w:rsidR="00F011F6" w:rsidRPr="001005B7">
        <w:rPr>
          <w:rFonts w:cstheme="minorHAnsi"/>
        </w:rPr>
        <w:t>10:9)</w:t>
      </w:r>
      <w:r w:rsidR="00480A48" w:rsidRPr="001005B7">
        <w:rPr>
          <w:rFonts w:cstheme="minorHAnsi"/>
          <w:i/>
          <w:iCs/>
        </w:rPr>
        <w:t>.</w:t>
      </w:r>
    </w:p>
    <w:p w14:paraId="43469E27" w14:textId="606BCF26" w:rsidR="003B0F77" w:rsidRPr="001005B7" w:rsidRDefault="00ED7835" w:rsidP="00ED7835">
      <w:pPr>
        <w:ind w:firstLine="0"/>
        <w:rPr>
          <w:rFonts w:cstheme="minorHAnsi"/>
        </w:rPr>
      </w:pPr>
      <w:r w:rsidRPr="001005B7">
        <w:rPr>
          <w:rFonts w:cstheme="minorHAnsi"/>
          <w:b/>
          <w:bCs/>
        </w:rPr>
        <w:t>1:16</w:t>
      </w:r>
      <w:r w:rsidR="00DF272E" w:rsidRPr="001005B7">
        <w:rPr>
          <w:rFonts w:cstheme="minorHAnsi"/>
        </w:rPr>
        <w:t xml:space="preserve"> </w:t>
      </w:r>
      <w:r w:rsidR="002703BC" w:rsidRPr="001005B7">
        <w:rPr>
          <w:sz w:val="18"/>
          <w:szCs w:val="18"/>
        </w:rPr>
        <w:t>LXX</w:t>
      </w:r>
      <w:r w:rsidR="002703BC" w:rsidRPr="001005B7">
        <w:t xml:space="preserve"> </w:t>
      </w:r>
      <w:r w:rsidR="00DF272E" w:rsidRPr="001005B7">
        <w:rPr>
          <w:rFonts w:cstheme="minorHAnsi"/>
        </w:rPr>
        <w:t xml:space="preserve">lacks </w:t>
      </w:r>
      <w:r w:rsidR="00B60017" w:rsidRPr="001005B7">
        <w:rPr>
          <w:rFonts w:cstheme="minorHAnsi"/>
        </w:rPr>
        <w:t>“</w:t>
      </w:r>
      <w:r w:rsidR="00DF272E" w:rsidRPr="001005B7">
        <w:rPr>
          <w:rFonts w:cstheme="minorHAnsi"/>
        </w:rPr>
        <w:t>and their construction</w:t>
      </w:r>
      <w:r w:rsidR="00B60017" w:rsidRPr="001005B7">
        <w:rPr>
          <w:rFonts w:cstheme="minorHAnsi"/>
        </w:rPr>
        <w:t>,”</w:t>
      </w:r>
      <w:r w:rsidR="00380664" w:rsidRPr="001005B7">
        <w:rPr>
          <w:rFonts w:cstheme="minorHAnsi"/>
        </w:rPr>
        <w:t xml:space="preserve"> also</w:t>
      </w:r>
      <w:r w:rsidR="002A512B" w:rsidRPr="001005B7">
        <w:rPr>
          <w:rFonts w:cstheme="minorHAnsi"/>
        </w:rPr>
        <w:t xml:space="preserve"> </w:t>
      </w:r>
      <w:r w:rsidR="00B60017" w:rsidRPr="001005B7">
        <w:rPr>
          <w:rFonts w:cstheme="minorHAnsi"/>
        </w:rPr>
        <w:t>“</w:t>
      </w:r>
      <w:r w:rsidR="002A512B" w:rsidRPr="001005B7">
        <w:rPr>
          <w:rFonts w:cstheme="minorHAnsi"/>
        </w:rPr>
        <w:t>and their appearance.</w:t>
      </w:r>
      <w:r w:rsidR="00B60017" w:rsidRPr="001005B7">
        <w:rPr>
          <w:rFonts w:cstheme="minorHAnsi"/>
        </w:rPr>
        <w:t>”</w:t>
      </w:r>
    </w:p>
    <w:p w14:paraId="6C5C8E1E" w14:textId="652EDDDC" w:rsidR="00A51125" w:rsidRPr="001005B7" w:rsidRDefault="00ED7835" w:rsidP="00ED7835">
      <w:pPr>
        <w:ind w:firstLine="0"/>
        <w:rPr>
          <w:rFonts w:cstheme="minorHAnsi"/>
          <w:vertAlign w:val="superscript"/>
        </w:rPr>
      </w:pPr>
      <w:r w:rsidRPr="001005B7">
        <w:rPr>
          <w:rFonts w:cstheme="minorHAnsi"/>
          <w:b/>
          <w:bCs/>
        </w:rPr>
        <w:t>1:17</w:t>
      </w:r>
      <w:r w:rsidR="00505FA9" w:rsidRPr="001005B7">
        <w:rPr>
          <w:rFonts w:cstheme="minorHAnsi"/>
        </w:rPr>
        <w:t xml:space="preserve"> </w:t>
      </w:r>
      <w:r w:rsidR="00DF450B" w:rsidRPr="001005B7">
        <w:rPr>
          <w:sz w:val="18"/>
          <w:szCs w:val="18"/>
        </w:rPr>
        <w:t>LXX</w:t>
      </w:r>
      <w:r w:rsidR="00DF450B" w:rsidRPr="001005B7">
        <w:t xml:space="preserve"> </w:t>
      </w:r>
      <w:r w:rsidR="00505FA9" w:rsidRPr="001005B7">
        <w:rPr>
          <w:rFonts w:cstheme="minorHAnsi"/>
        </w:rPr>
        <w:t xml:space="preserve">lacks </w:t>
      </w:r>
      <w:r w:rsidR="00B60017" w:rsidRPr="001005B7">
        <w:rPr>
          <w:rFonts w:cstheme="minorHAnsi"/>
        </w:rPr>
        <w:t>“</w:t>
      </w:r>
      <w:r w:rsidR="00505FA9" w:rsidRPr="001005B7">
        <w:rPr>
          <w:rFonts w:cstheme="minorHAnsi"/>
        </w:rPr>
        <w:t>as they went.</w:t>
      </w:r>
      <w:r w:rsidR="00B60017" w:rsidRPr="001005B7">
        <w:rPr>
          <w:rFonts w:cstheme="minorHAnsi"/>
        </w:rPr>
        <w:t>”</w:t>
      </w:r>
    </w:p>
    <w:p w14:paraId="0CAF5035" w14:textId="3B0A2B46" w:rsidR="00250C8D" w:rsidRPr="001005B7" w:rsidRDefault="00320E1F" w:rsidP="00320E1F">
      <w:pPr>
        <w:ind w:firstLine="0"/>
        <w:rPr>
          <w:rFonts w:cstheme="minorHAnsi"/>
        </w:rPr>
      </w:pPr>
      <w:r w:rsidRPr="001005B7">
        <w:rPr>
          <w:rFonts w:cstheme="minorHAnsi"/>
          <w:b/>
          <w:bCs/>
        </w:rPr>
        <w:t xml:space="preserve">1:20 </w:t>
      </w:r>
      <w:r w:rsidR="00DF450B" w:rsidRPr="001005B7">
        <w:rPr>
          <w:sz w:val="18"/>
          <w:szCs w:val="18"/>
        </w:rPr>
        <w:t>LXX</w:t>
      </w:r>
      <w:r w:rsidR="00DF450B" w:rsidRPr="001005B7">
        <w:t xml:space="preserve"> </w:t>
      </w:r>
      <w:r w:rsidR="00250C8D" w:rsidRPr="001005B7">
        <w:rPr>
          <w:rFonts w:cstheme="minorHAnsi"/>
        </w:rPr>
        <w:t xml:space="preserve">lacks </w:t>
      </w:r>
      <w:r w:rsidR="00F54CEE" w:rsidRPr="001005B7">
        <w:rPr>
          <w:rFonts w:cstheme="minorHAnsi"/>
        </w:rPr>
        <w:t>“</w:t>
      </w:r>
      <w:r w:rsidR="00425C1A" w:rsidRPr="001005B7">
        <w:rPr>
          <w:rFonts w:cstheme="minorHAnsi"/>
        </w:rPr>
        <w:t>(the spirit going).</w:t>
      </w:r>
      <w:r w:rsidR="00F54CEE" w:rsidRPr="001005B7">
        <w:rPr>
          <w:rFonts w:cstheme="minorHAnsi"/>
        </w:rPr>
        <w:t>”</w:t>
      </w:r>
    </w:p>
    <w:p w14:paraId="58BD7EE4" w14:textId="50104690" w:rsidR="00812E1C" w:rsidRPr="001005B7" w:rsidRDefault="00320E1F" w:rsidP="00320E1F">
      <w:pPr>
        <w:ind w:firstLine="0"/>
        <w:rPr>
          <w:rFonts w:cstheme="minorHAnsi"/>
        </w:rPr>
      </w:pPr>
      <w:r w:rsidRPr="001005B7">
        <w:rPr>
          <w:rFonts w:cstheme="minorHAnsi"/>
          <w:b/>
          <w:bCs/>
        </w:rPr>
        <w:t>1:21</w:t>
      </w:r>
      <w:r w:rsidR="00812E1C" w:rsidRPr="001005B7">
        <w:rPr>
          <w:rFonts w:cstheme="minorHAnsi"/>
        </w:rPr>
        <w:t xml:space="preserve"> </w:t>
      </w:r>
      <w:r w:rsidR="00DF450B" w:rsidRPr="001005B7">
        <w:rPr>
          <w:sz w:val="18"/>
          <w:szCs w:val="18"/>
        </w:rPr>
        <w:t>LXX</w:t>
      </w:r>
      <w:r w:rsidR="00DF450B" w:rsidRPr="001005B7">
        <w:t xml:space="preserve"> </w:t>
      </w:r>
      <w:r w:rsidR="00812E1C" w:rsidRPr="001005B7">
        <w:rPr>
          <w:rFonts w:cstheme="minorHAnsi"/>
        </w:rPr>
        <w:t xml:space="preserve">lacks </w:t>
      </w:r>
      <w:r w:rsidR="00F54CEE" w:rsidRPr="001005B7">
        <w:rPr>
          <w:rFonts w:cstheme="minorHAnsi"/>
        </w:rPr>
        <w:t>“</w:t>
      </w:r>
      <w:r w:rsidR="00812E1C" w:rsidRPr="001005B7">
        <w:rPr>
          <w:rFonts w:cstheme="minorHAnsi"/>
        </w:rPr>
        <w:t>the</w:t>
      </w:r>
      <w:r w:rsidR="00812E1C" w:rsidRPr="001005B7">
        <w:rPr>
          <w:rFonts w:cstheme="minorHAnsi"/>
          <w:i/>
          <w:iCs/>
        </w:rPr>
        <w:t xml:space="preserve"> </w:t>
      </w:r>
      <w:r w:rsidR="00812E1C" w:rsidRPr="001005B7">
        <w:rPr>
          <w:rFonts w:cstheme="minorHAnsi"/>
        </w:rPr>
        <w:t>wheels.</w:t>
      </w:r>
      <w:r w:rsidR="00F54CEE" w:rsidRPr="001005B7">
        <w:rPr>
          <w:rFonts w:cstheme="minorHAnsi"/>
        </w:rPr>
        <w:t>”</w:t>
      </w:r>
    </w:p>
    <w:p w14:paraId="68C0DD80" w14:textId="2A2CD4B8" w:rsidR="0043248A" w:rsidRPr="001005B7" w:rsidRDefault="00320E1F" w:rsidP="00320E1F">
      <w:pPr>
        <w:ind w:firstLine="0"/>
        <w:rPr>
          <w:rFonts w:cstheme="minorHAnsi"/>
        </w:rPr>
      </w:pPr>
      <w:r w:rsidRPr="001005B7">
        <w:rPr>
          <w:rFonts w:cstheme="minorHAnsi"/>
          <w:b/>
          <w:bCs/>
        </w:rPr>
        <w:t>1:22</w:t>
      </w:r>
      <w:r w:rsidR="00DF450B" w:rsidRPr="001005B7">
        <w:rPr>
          <w:rFonts w:cstheme="minorHAnsi"/>
        </w:rPr>
        <w:t xml:space="preserve"> </w:t>
      </w:r>
      <w:r w:rsidR="00DF450B" w:rsidRPr="001005B7">
        <w:rPr>
          <w:sz w:val="18"/>
          <w:szCs w:val="18"/>
        </w:rPr>
        <w:t>LXX</w:t>
      </w:r>
      <w:r w:rsidR="0043248A" w:rsidRPr="001005B7">
        <w:rPr>
          <w:rFonts w:cstheme="minorHAnsi"/>
        </w:rPr>
        <w:t xml:space="preserve"> lacks </w:t>
      </w:r>
      <w:r w:rsidR="00F54CEE" w:rsidRPr="001005B7">
        <w:rPr>
          <w:rFonts w:cstheme="minorHAnsi"/>
        </w:rPr>
        <w:t>“</w:t>
      </w:r>
      <w:r w:rsidR="0043248A" w:rsidRPr="001005B7">
        <w:rPr>
          <w:rFonts w:cstheme="minorHAnsi"/>
        </w:rPr>
        <w:t>awesome</w:t>
      </w:r>
      <w:r w:rsidR="007403A4" w:rsidRPr="001005B7">
        <w:rPr>
          <w:rFonts w:cstheme="minorHAnsi"/>
        </w:rPr>
        <w:t>,</w:t>
      </w:r>
      <w:r w:rsidR="00F54CEE" w:rsidRPr="001005B7">
        <w:rPr>
          <w:rFonts w:cstheme="minorHAnsi"/>
        </w:rPr>
        <w:t>”</w:t>
      </w:r>
      <w:r w:rsidR="007403A4" w:rsidRPr="001005B7">
        <w:rPr>
          <w:rFonts w:cstheme="minorHAnsi"/>
        </w:rPr>
        <w:t xml:space="preserve"> </w:t>
      </w:r>
      <w:r w:rsidR="00676EB2" w:rsidRPr="001005B7">
        <w:rPr>
          <w:rFonts w:cstheme="minorHAnsi"/>
        </w:rPr>
        <w:t>perhaps</w:t>
      </w:r>
      <w:r w:rsidR="007403A4" w:rsidRPr="001005B7">
        <w:rPr>
          <w:rFonts w:cstheme="minorHAnsi"/>
        </w:rPr>
        <w:t xml:space="preserve"> an </w:t>
      </w:r>
      <w:r w:rsidR="00475CE3" w:rsidRPr="001005B7">
        <w:rPr>
          <w:sz w:val="18"/>
          <w:szCs w:val="18"/>
        </w:rPr>
        <w:t>MT</w:t>
      </w:r>
      <w:r w:rsidR="007403A4" w:rsidRPr="001005B7">
        <w:rPr>
          <w:rFonts w:cstheme="minorHAnsi"/>
        </w:rPr>
        <w:t xml:space="preserve"> elaboration</w:t>
      </w:r>
      <w:r w:rsidR="00100C50" w:rsidRPr="001005B7">
        <w:rPr>
          <w:rFonts w:cstheme="minorHAnsi"/>
        </w:rPr>
        <w:t xml:space="preserve"> </w:t>
      </w:r>
      <w:r w:rsidR="001319C0" w:rsidRPr="001005B7">
        <w:rPr>
          <w:rFonts w:cstheme="minorHAnsi"/>
        </w:rPr>
        <w:t>(</w:t>
      </w:r>
      <w:r w:rsidR="00100C50" w:rsidRPr="001005B7">
        <w:rPr>
          <w:rFonts w:cstheme="minorHAnsi"/>
        </w:rPr>
        <w:t xml:space="preserve">cf. </w:t>
      </w:r>
      <w:r w:rsidR="00444500" w:rsidRPr="001005B7">
        <w:rPr>
          <w:rFonts w:cstheme="minorHAnsi"/>
        </w:rPr>
        <w:t xml:space="preserve">the </w:t>
      </w:r>
      <w:r w:rsidR="0077172A" w:rsidRPr="001005B7">
        <w:rPr>
          <w:rFonts w:cstheme="minorHAnsi"/>
        </w:rPr>
        <w:t xml:space="preserve">textual </w:t>
      </w:r>
      <w:r w:rsidR="00100C50" w:rsidRPr="001005B7">
        <w:rPr>
          <w:rFonts w:cstheme="minorHAnsi"/>
        </w:rPr>
        <w:t xml:space="preserve">notes </w:t>
      </w:r>
      <w:r w:rsidR="00444500" w:rsidRPr="001005B7">
        <w:rPr>
          <w:rFonts w:cstheme="minorHAnsi"/>
        </w:rPr>
        <w:t xml:space="preserve">on </w:t>
      </w:r>
      <w:r w:rsidR="0042084A" w:rsidRPr="001005B7">
        <w:rPr>
          <w:rFonts w:cstheme="minorHAnsi"/>
        </w:rPr>
        <w:t>1:</w:t>
      </w:r>
      <w:r w:rsidR="00100C50" w:rsidRPr="001005B7">
        <w:rPr>
          <w:rFonts w:cstheme="minorHAnsi"/>
        </w:rPr>
        <w:t>24 and 27</w:t>
      </w:r>
      <w:r w:rsidR="001319C0" w:rsidRPr="001005B7">
        <w:rPr>
          <w:rFonts w:cstheme="minorHAnsi"/>
        </w:rPr>
        <w:t>)</w:t>
      </w:r>
      <w:r w:rsidR="00227DCE" w:rsidRPr="001005B7">
        <w:rPr>
          <w:rFonts w:cstheme="minorHAnsi"/>
        </w:rPr>
        <w:t>.</w:t>
      </w:r>
      <w:r w:rsidR="00227DCE" w:rsidRPr="001005B7">
        <w:rPr>
          <w:rStyle w:val="FootnoteReference"/>
          <w:rFonts w:cstheme="minorHAnsi"/>
        </w:rPr>
        <w:footnoteReference w:id="104"/>
      </w:r>
    </w:p>
    <w:p w14:paraId="45DD583F" w14:textId="0EDD86A6" w:rsidR="00131C4C" w:rsidRPr="001005B7" w:rsidRDefault="000514F5" w:rsidP="000514F5">
      <w:pPr>
        <w:ind w:firstLine="0"/>
      </w:pPr>
      <w:r w:rsidRPr="001005B7">
        <w:rPr>
          <w:rFonts w:cstheme="minorHAnsi"/>
          <w:b/>
          <w:bCs/>
        </w:rPr>
        <w:t>1:24</w:t>
      </w:r>
      <w:r w:rsidR="00024AEF" w:rsidRPr="001005B7">
        <w:rPr>
          <w:rFonts w:cstheme="minorHAnsi"/>
        </w:rPr>
        <w:t xml:space="preserve"> </w:t>
      </w:r>
      <w:r w:rsidR="00DF450B" w:rsidRPr="001005B7">
        <w:rPr>
          <w:sz w:val="18"/>
          <w:szCs w:val="18"/>
        </w:rPr>
        <w:t>LXX</w:t>
      </w:r>
      <w:r w:rsidR="00024AEF" w:rsidRPr="001005B7">
        <w:rPr>
          <w:rFonts w:cstheme="minorHAnsi"/>
        </w:rPr>
        <w:t xml:space="preserve"> lacks </w:t>
      </w:r>
      <w:r w:rsidR="00622F5A" w:rsidRPr="001005B7">
        <w:rPr>
          <w:rFonts w:cstheme="minorHAnsi"/>
        </w:rPr>
        <w:t>“</w:t>
      </w:r>
      <w:r w:rsidR="00024AEF" w:rsidRPr="001005B7">
        <w:rPr>
          <w:rFonts w:cstheme="minorHAnsi"/>
        </w:rPr>
        <w:t xml:space="preserve">something like the </w:t>
      </w:r>
      <w:r w:rsidR="003806D0" w:rsidRPr="001005B7">
        <w:rPr>
          <w:rFonts w:cstheme="minorHAnsi"/>
        </w:rPr>
        <w:t>sound</w:t>
      </w:r>
      <w:r w:rsidR="00024AEF" w:rsidRPr="001005B7">
        <w:rPr>
          <w:rFonts w:cstheme="minorHAnsi"/>
        </w:rPr>
        <w:t xml:space="preserve"> of </w:t>
      </w:r>
      <w:proofErr w:type="spellStart"/>
      <w:r w:rsidR="00024AEF" w:rsidRPr="001005B7">
        <w:rPr>
          <w:rFonts w:cstheme="minorHAnsi"/>
        </w:rPr>
        <w:t>Sha</w:t>
      </w:r>
      <w:r w:rsidR="003806D0" w:rsidRPr="001005B7">
        <w:rPr>
          <w:rFonts w:cstheme="minorHAnsi"/>
        </w:rPr>
        <w:t>dday</w:t>
      </w:r>
      <w:proofErr w:type="spellEnd"/>
      <w:r w:rsidR="00307236" w:rsidRPr="001005B7">
        <w:rPr>
          <w:rFonts w:cstheme="minorHAnsi"/>
        </w:rPr>
        <w:t xml:space="preserve"> and </w:t>
      </w:r>
      <w:r w:rsidR="00307236" w:rsidRPr="001005B7">
        <w:t>the sound of a tumult, something like the sound of an army</w:t>
      </w:r>
      <w:r w:rsidR="00BA659E" w:rsidRPr="001005B7">
        <w:t>.</w:t>
      </w:r>
      <w:r w:rsidR="00622F5A" w:rsidRPr="001005B7">
        <w:t>”</w:t>
      </w:r>
    </w:p>
    <w:p w14:paraId="00CBDCB4" w14:textId="55E6DBF9" w:rsidR="00024AEF" w:rsidRPr="001005B7" w:rsidRDefault="000514F5" w:rsidP="000514F5">
      <w:pPr>
        <w:ind w:firstLine="0"/>
        <w:rPr>
          <w:rFonts w:cstheme="minorHAnsi"/>
        </w:rPr>
      </w:pPr>
      <w:r w:rsidRPr="001005B7">
        <w:rPr>
          <w:b/>
          <w:bCs/>
        </w:rPr>
        <w:t>1:27</w:t>
      </w:r>
      <w:r w:rsidR="00131C4C" w:rsidRPr="001005B7">
        <w:t xml:space="preserve"> </w:t>
      </w:r>
      <w:r w:rsidR="00DF450B" w:rsidRPr="001005B7">
        <w:rPr>
          <w:sz w:val="18"/>
          <w:szCs w:val="18"/>
        </w:rPr>
        <w:t>L</w:t>
      </w:r>
      <w:r w:rsidR="000D2D7E" w:rsidRPr="001005B7">
        <w:rPr>
          <w:sz w:val="18"/>
          <w:szCs w:val="18"/>
        </w:rPr>
        <w:t>XX</w:t>
      </w:r>
      <w:r w:rsidR="00131C4C" w:rsidRPr="001005B7">
        <w:t xml:space="preserve"> lacks </w:t>
      </w:r>
      <w:r w:rsidR="00622F5A" w:rsidRPr="001005B7">
        <w:t>“</w:t>
      </w:r>
      <w:r w:rsidR="00131C4C" w:rsidRPr="001005B7">
        <w:t>something like the appearance of fire—It had housing all round.</w:t>
      </w:r>
      <w:r w:rsidR="00622F5A" w:rsidRPr="001005B7">
        <w:t>”</w:t>
      </w:r>
    </w:p>
    <w:p w14:paraId="5D08CEF6" w14:textId="35AB0771" w:rsidR="00766F32" w:rsidRPr="001005B7" w:rsidRDefault="00EF7150" w:rsidP="00493833">
      <w:pPr>
        <w:pStyle w:val="Heading3"/>
      </w:pPr>
      <w:r w:rsidRPr="001005B7">
        <w:t>Verse</w:t>
      </w:r>
      <w:r w:rsidR="00B31B68" w:rsidRPr="001005B7">
        <w:t>-</w:t>
      </w:r>
      <w:r w:rsidRPr="001005B7">
        <w:t>by-</w:t>
      </w:r>
      <w:r w:rsidR="00B31B68" w:rsidRPr="001005B7">
        <w:t>V</w:t>
      </w:r>
      <w:r w:rsidRPr="001005B7">
        <w:t>ers</w:t>
      </w:r>
      <w:r w:rsidR="00B31B68" w:rsidRPr="001005B7">
        <w:t>e</w:t>
      </w:r>
      <w:r w:rsidRPr="001005B7">
        <w:t xml:space="preserve"> Comm</w:t>
      </w:r>
      <w:r w:rsidR="00784A4F" w:rsidRPr="001005B7">
        <w:t>e</w:t>
      </w:r>
      <w:r w:rsidRPr="001005B7">
        <w:t>ntary</w:t>
      </w:r>
    </w:p>
    <w:p w14:paraId="477EAFB0" w14:textId="48A65EC2" w:rsidR="00653468" w:rsidRPr="001005B7" w:rsidRDefault="0066746A" w:rsidP="001C551F">
      <w:r w:rsidRPr="001005B7">
        <w:rPr>
          <w:b/>
          <w:bCs/>
        </w:rPr>
        <w:t>1:4</w:t>
      </w:r>
      <w:r w:rsidR="008860B0" w:rsidRPr="001005B7">
        <w:t xml:space="preserve"> </w:t>
      </w:r>
      <w:r w:rsidR="00B81666" w:rsidRPr="001005B7">
        <w:t xml:space="preserve">“I saw” </w:t>
      </w:r>
      <w:r w:rsidR="008D3D2C" w:rsidRPr="001005B7">
        <w:t>(</w:t>
      </w:r>
      <w:r w:rsidR="00903235" w:rsidRPr="001005B7">
        <w:rPr>
          <w:rFonts w:cstheme="minorHAnsi"/>
          <w:rtl/>
          <w:lang w:bidi="he-IL"/>
        </w:rPr>
        <w:t>וׇאֵר</w:t>
      </w:r>
      <w:r w:rsidR="00963DBF" w:rsidRPr="001005B7">
        <w:rPr>
          <w:rFonts w:cstheme="minorHAnsi"/>
          <w:rtl/>
          <w:lang w:bidi="he-IL"/>
        </w:rPr>
        <w:t>ֶה</w:t>
      </w:r>
      <w:r w:rsidR="00963DBF" w:rsidRPr="001005B7">
        <w:t xml:space="preserve">), </w:t>
      </w:r>
      <w:r w:rsidR="00506FCB" w:rsidRPr="001005B7">
        <w:t>Ezekiel says</w:t>
      </w:r>
      <w:r w:rsidR="006F4543" w:rsidRPr="001005B7">
        <w:t xml:space="preserve"> </w:t>
      </w:r>
      <w:r w:rsidR="00B37F8F" w:rsidRPr="001005B7">
        <w:t xml:space="preserve">again </w:t>
      </w:r>
      <w:r w:rsidR="006F4543" w:rsidRPr="001005B7">
        <w:t>(cf.</w:t>
      </w:r>
      <w:r w:rsidR="00506FCB" w:rsidRPr="001005B7">
        <w:t xml:space="preserve"> </w:t>
      </w:r>
      <w:r w:rsidR="0042084A" w:rsidRPr="001005B7">
        <w:t>1:</w:t>
      </w:r>
      <w:r w:rsidR="00506FCB" w:rsidRPr="001005B7">
        <w:t>1</w:t>
      </w:r>
      <w:r w:rsidR="006F4543" w:rsidRPr="001005B7">
        <w:t>)</w:t>
      </w:r>
      <w:r w:rsidR="00940DE6" w:rsidRPr="001005B7">
        <w:t>. He</w:t>
      </w:r>
      <w:r w:rsidR="000C28A1" w:rsidRPr="001005B7">
        <w:t xml:space="preserve"> </w:t>
      </w:r>
      <w:r w:rsidR="00830D62" w:rsidRPr="001005B7">
        <w:t xml:space="preserve">now </w:t>
      </w:r>
      <w:r w:rsidR="000C28A1" w:rsidRPr="001005B7">
        <w:t xml:space="preserve">sees something </w:t>
      </w:r>
      <w:r w:rsidR="00D116CB" w:rsidRPr="001005B7">
        <w:t xml:space="preserve">with </w:t>
      </w:r>
      <w:r w:rsidR="00B237B9" w:rsidRPr="001005B7">
        <w:t>specifically</w:t>
      </w:r>
      <w:r w:rsidR="0033783C" w:rsidRPr="001005B7">
        <w:t xml:space="preserve"> this-worldly </w:t>
      </w:r>
      <w:r w:rsidR="00BC4E85" w:rsidRPr="001005B7">
        <w:t>associations</w:t>
      </w:r>
      <w:r w:rsidR="001E2093" w:rsidRPr="001005B7">
        <w:t>: a wind, a storm, the north, a cloud.</w:t>
      </w:r>
      <w:r w:rsidR="00FF62B9" w:rsidRPr="001005B7">
        <w:rPr>
          <w:rStyle w:val="PageNumber"/>
          <w:rFonts w:cstheme="minorHAnsi"/>
        </w:rPr>
        <w:t>…</w:t>
      </w:r>
      <w:r w:rsidR="00547DE9" w:rsidRPr="001005B7">
        <w:rPr>
          <w:rStyle w:val="PageNumber"/>
        </w:rPr>
        <w:t xml:space="preserve"> </w:t>
      </w:r>
      <w:r w:rsidR="009A074D" w:rsidRPr="001005B7">
        <w:t>T</w:t>
      </w:r>
      <w:r w:rsidR="00C45F66" w:rsidRPr="001005B7">
        <w:t>h</w:t>
      </w:r>
      <w:r w:rsidR="00940DE6" w:rsidRPr="001005B7">
        <w:t>e</w:t>
      </w:r>
      <w:r w:rsidR="00C45F66" w:rsidRPr="001005B7">
        <w:t xml:space="preserve"> sight is not in the supra-heavenly realm and </w:t>
      </w:r>
      <w:r w:rsidR="009A074D" w:rsidRPr="001005B7">
        <w:t>Ezekiel</w:t>
      </w:r>
      <w:r w:rsidR="00C45F66" w:rsidRPr="001005B7">
        <w:t xml:space="preserve"> does</w:t>
      </w:r>
      <w:r w:rsidR="005F1DC7" w:rsidRPr="001005B7">
        <w:t xml:space="preserve">n’t </w:t>
      </w:r>
      <w:r w:rsidR="00C45F66" w:rsidRPr="001005B7">
        <w:t>explain its relationship with th</w:t>
      </w:r>
      <w:r w:rsidR="00DE0272" w:rsidRPr="001005B7">
        <w:t>at</w:t>
      </w:r>
      <w:r w:rsidR="00C45F66" w:rsidRPr="001005B7">
        <w:t xml:space="preserve"> realm. </w:t>
      </w:r>
      <w:r w:rsidR="0064181A" w:rsidRPr="001005B7">
        <w:t xml:space="preserve">Perhaps </w:t>
      </w:r>
      <w:r w:rsidR="00B81666" w:rsidRPr="001005B7">
        <w:t>“</w:t>
      </w:r>
      <w:r w:rsidR="0064181A" w:rsidRPr="001005B7">
        <w:t>the</w:t>
      </w:r>
      <w:r w:rsidR="0064181A" w:rsidRPr="001005B7">
        <w:rPr>
          <w:i/>
          <w:iCs/>
        </w:rPr>
        <w:t xml:space="preserve"> </w:t>
      </w:r>
      <w:r w:rsidR="0064181A" w:rsidRPr="001005B7">
        <w:t>heavens</w:t>
      </w:r>
      <w:r w:rsidR="0064181A" w:rsidRPr="001005B7">
        <w:rPr>
          <w:i/>
          <w:iCs/>
        </w:rPr>
        <w:t xml:space="preserve"> </w:t>
      </w:r>
      <w:r w:rsidR="0064181A" w:rsidRPr="001005B7">
        <w:t>opened</w:t>
      </w:r>
      <w:r w:rsidR="0042119A" w:rsidRPr="001005B7">
        <w:rPr>
          <w:i/>
          <w:iCs/>
        </w:rPr>
        <w:t>”</w:t>
      </w:r>
      <w:r w:rsidR="0064181A" w:rsidRPr="001005B7">
        <w:rPr>
          <w:i/>
          <w:iCs/>
        </w:rPr>
        <w:t xml:space="preserve"> </w:t>
      </w:r>
      <w:r w:rsidR="0064181A" w:rsidRPr="001005B7">
        <w:t>was a met</w:t>
      </w:r>
      <w:r w:rsidR="008B3FB0" w:rsidRPr="001005B7">
        <w:t>a</w:t>
      </w:r>
      <w:r w:rsidR="0064181A" w:rsidRPr="001005B7">
        <w:t>phor</w:t>
      </w:r>
      <w:r w:rsidR="008B3FB0" w:rsidRPr="001005B7">
        <w:t xml:space="preserve">, or perhaps the entourage he </w:t>
      </w:r>
      <w:r w:rsidR="008F6E11" w:rsidRPr="001005B7">
        <w:t xml:space="preserve">will </w:t>
      </w:r>
      <w:r w:rsidR="008B3FB0" w:rsidRPr="001005B7">
        <w:t>describe came out of the heavens</w:t>
      </w:r>
      <w:r w:rsidR="008F6E11" w:rsidRPr="001005B7">
        <w:t>,</w:t>
      </w:r>
      <w:r w:rsidR="008B3FB0" w:rsidRPr="001005B7">
        <w:t xml:space="preserve"> </w:t>
      </w:r>
      <w:r w:rsidR="00F40744" w:rsidRPr="001005B7">
        <w:t>set down</w:t>
      </w:r>
      <w:r w:rsidR="00FB780A" w:rsidRPr="001005B7">
        <w:t xml:space="preserve"> north of where Ezekiel was, and from that direction</w:t>
      </w:r>
      <w:r w:rsidR="0035713E" w:rsidRPr="001005B7">
        <w:t xml:space="preserve"> came towards him. </w:t>
      </w:r>
      <w:r w:rsidR="00A11C36" w:rsidRPr="001005B7">
        <w:t xml:space="preserve">But </w:t>
      </w:r>
      <w:r w:rsidR="001C551F" w:rsidRPr="001005B7">
        <w:t>Ezekiel</w:t>
      </w:r>
      <w:r w:rsidR="00A11C36" w:rsidRPr="001005B7">
        <w:t xml:space="preserve"> skips any explanation of the link between the heavens opening and the sight he sees. </w:t>
      </w:r>
      <w:r w:rsidR="00CB01AE" w:rsidRPr="001005B7">
        <w:t>While t</w:t>
      </w:r>
      <w:r w:rsidR="00C70DD2" w:rsidRPr="001005B7">
        <w:t>h</w:t>
      </w:r>
      <w:r w:rsidR="000A1AFB" w:rsidRPr="001005B7">
        <w:t>e</w:t>
      </w:r>
      <w:r w:rsidR="000A1AFB" w:rsidRPr="001005B7">
        <w:rPr>
          <w:i/>
          <w:iCs/>
        </w:rPr>
        <w:t xml:space="preserve"> </w:t>
      </w:r>
      <w:r w:rsidR="000A1AFB" w:rsidRPr="001005B7">
        <w:t>north</w:t>
      </w:r>
      <w:r w:rsidR="002D4E37" w:rsidRPr="001005B7">
        <w:t xml:space="preserve">, </w:t>
      </w:r>
      <w:proofErr w:type="spellStart"/>
      <w:r w:rsidR="002D4E37" w:rsidRPr="001005B7">
        <w:t>Zaphon</w:t>
      </w:r>
      <w:proofErr w:type="spellEnd"/>
      <w:r w:rsidR="002D4E37" w:rsidRPr="001005B7">
        <w:t>,</w:t>
      </w:r>
      <w:r w:rsidR="000A1AFB" w:rsidRPr="001005B7">
        <w:t xml:space="preserve"> can be th</w:t>
      </w:r>
      <w:r w:rsidR="003015C6" w:rsidRPr="001005B7">
        <w:t>e symbolic</w:t>
      </w:r>
      <w:r w:rsidR="000A1AFB" w:rsidRPr="001005B7">
        <w:t xml:space="preserve"> </w:t>
      </w:r>
      <w:r w:rsidR="00C20140" w:rsidRPr="001005B7">
        <w:t>location of God’s dwelling (</w:t>
      </w:r>
      <w:proofErr w:type="spellStart"/>
      <w:r w:rsidR="00C20140" w:rsidRPr="001005B7">
        <w:t>Ps</w:t>
      </w:r>
      <w:r w:rsidR="009872C0" w:rsidRPr="001005B7">
        <w:t>a</w:t>
      </w:r>
      <w:proofErr w:type="spellEnd"/>
      <w:r w:rsidR="00C20140" w:rsidRPr="001005B7">
        <w:t xml:space="preserve"> </w:t>
      </w:r>
      <w:r w:rsidR="002C3811" w:rsidRPr="001005B7">
        <w:t>48:2 [3])</w:t>
      </w:r>
      <w:r w:rsidR="002D4E37" w:rsidRPr="001005B7">
        <w:t>; Isa 14:13</w:t>
      </w:r>
      <w:r w:rsidR="001D5E27" w:rsidRPr="001005B7">
        <w:t>)</w:t>
      </w:r>
      <w:r w:rsidR="00381C15" w:rsidRPr="001005B7">
        <w:t>,</w:t>
      </w:r>
      <w:r w:rsidR="001D5E27" w:rsidRPr="001005B7">
        <w:t xml:space="preserve"> </w:t>
      </w:r>
      <w:r w:rsidR="00CB01AE" w:rsidRPr="001005B7">
        <w:t>it</w:t>
      </w:r>
      <w:r w:rsidR="0027367F" w:rsidRPr="001005B7">
        <w:t xml:space="preserve"> is </w:t>
      </w:r>
      <w:r w:rsidR="001D5E27" w:rsidRPr="001005B7">
        <w:t>more often</w:t>
      </w:r>
      <w:r w:rsidR="0027367F" w:rsidRPr="001005B7">
        <w:t xml:space="preserve"> </w:t>
      </w:r>
      <w:r w:rsidR="001D5E27" w:rsidRPr="001005B7">
        <w:t xml:space="preserve">the direction from which </w:t>
      </w:r>
      <w:r w:rsidR="00E72310" w:rsidRPr="001005B7">
        <w:t>disaster</w:t>
      </w:r>
      <w:r w:rsidR="000D7B38" w:rsidRPr="001005B7">
        <w:t xml:space="preserve"> comes, perhaps both because th</w:t>
      </w:r>
      <w:r w:rsidR="00DE0A94" w:rsidRPr="001005B7">
        <w:t>e north</w:t>
      </w:r>
      <w:r w:rsidR="000D7B38" w:rsidRPr="001005B7">
        <w:t xml:space="preserve"> is God’s location and because </w:t>
      </w:r>
      <w:r w:rsidR="00FE3701" w:rsidRPr="001005B7">
        <w:t>ca</w:t>
      </w:r>
      <w:r w:rsidR="00DE0A94" w:rsidRPr="001005B7">
        <w:t>lamity</w:t>
      </w:r>
      <w:r w:rsidR="00FE3701" w:rsidRPr="001005B7">
        <w:t xml:space="preserve"> often </w:t>
      </w:r>
      <w:r w:rsidR="00C14F4A" w:rsidRPr="001005B7">
        <w:t xml:space="preserve">does </w:t>
      </w:r>
      <w:r w:rsidR="00FE3701" w:rsidRPr="001005B7">
        <w:t>come to Judah from the north</w:t>
      </w:r>
      <w:r w:rsidR="008E68C1" w:rsidRPr="001005B7">
        <w:t xml:space="preserve">. The motif goes back to </w:t>
      </w:r>
      <w:r w:rsidR="0035318C" w:rsidRPr="001005B7">
        <w:t>Yahweh</w:t>
      </w:r>
      <w:r w:rsidR="008E68C1" w:rsidRPr="001005B7">
        <w:t>’s</w:t>
      </w:r>
      <w:r w:rsidR="0035318C" w:rsidRPr="001005B7">
        <w:t xml:space="preserve"> commission</w:t>
      </w:r>
      <w:r w:rsidR="008E68C1" w:rsidRPr="001005B7">
        <w:t xml:space="preserve"> of</w:t>
      </w:r>
      <w:r w:rsidR="00550ACA" w:rsidRPr="001005B7">
        <w:t xml:space="preserve"> Jeremiah</w:t>
      </w:r>
      <w:r w:rsidR="0035318C" w:rsidRPr="001005B7">
        <w:t xml:space="preserve"> (1:13</w:t>
      </w:r>
      <w:r w:rsidR="00F46900" w:rsidRPr="001005B7">
        <w:t>–</w:t>
      </w:r>
      <w:r w:rsidR="00106AB9" w:rsidRPr="001005B7">
        <w:t>15</w:t>
      </w:r>
      <w:r w:rsidR="0035318C" w:rsidRPr="001005B7">
        <w:t>; also</w:t>
      </w:r>
      <w:r w:rsidR="003A545F" w:rsidRPr="001005B7">
        <w:t>,</w:t>
      </w:r>
      <w:r w:rsidR="00561E41" w:rsidRPr="001005B7">
        <w:t xml:space="preserve"> </w:t>
      </w:r>
      <w:r w:rsidR="003A545F" w:rsidRPr="001005B7">
        <w:t xml:space="preserve">e.g., </w:t>
      </w:r>
      <w:r w:rsidR="00561E41" w:rsidRPr="001005B7">
        <w:t>4:</w:t>
      </w:r>
      <w:r w:rsidR="007D21FD" w:rsidRPr="001005B7">
        <w:t>6</w:t>
      </w:r>
      <w:r w:rsidR="00403242" w:rsidRPr="001005B7">
        <w:t>; 6:1, 22; 10:22</w:t>
      </w:r>
      <w:r w:rsidR="00950B78" w:rsidRPr="001005B7">
        <w:t>)</w:t>
      </w:r>
      <w:r w:rsidR="00C14F4A" w:rsidRPr="001005B7">
        <w:t>. Jeremiah</w:t>
      </w:r>
      <w:r w:rsidR="00950B78" w:rsidRPr="001005B7">
        <w:t xml:space="preserve"> eventually identifies the northern </w:t>
      </w:r>
      <w:r w:rsidR="001553BE" w:rsidRPr="001005B7">
        <w:t>entity as Babylon</w:t>
      </w:r>
      <w:r w:rsidR="00403242" w:rsidRPr="001005B7">
        <w:t xml:space="preserve"> </w:t>
      </w:r>
      <w:r w:rsidR="001553BE" w:rsidRPr="001005B7">
        <w:t>(</w:t>
      </w:r>
      <w:r w:rsidR="001E0E8A" w:rsidRPr="001005B7">
        <w:t>25:9</w:t>
      </w:r>
      <w:r w:rsidR="001553BE" w:rsidRPr="001005B7">
        <w:t>)</w:t>
      </w:r>
      <w:r w:rsidR="00256E7A" w:rsidRPr="001005B7">
        <w:t>,</w:t>
      </w:r>
      <w:r w:rsidR="001553BE" w:rsidRPr="001005B7">
        <w:t xml:space="preserve"> but also </w:t>
      </w:r>
      <w:r w:rsidR="00743A4E" w:rsidRPr="001005B7">
        <w:t xml:space="preserve">recycles the expression in order to speak metaphorically </w:t>
      </w:r>
      <w:r w:rsidR="00BF066D" w:rsidRPr="001005B7">
        <w:t>about</w:t>
      </w:r>
      <w:r w:rsidR="000B70AC" w:rsidRPr="001005B7">
        <w:t xml:space="preserve"> the fate of other peoples including Babylon itself</w:t>
      </w:r>
      <w:r w:rsidR="00743A4E" w:rsidRPr="001005B7">
        <w:t xml:space="preserve"> </w:t>
      </w:r>
      <w:r w:rsidR="00CF31B5" w:rsidRPr="001005B7">
        <w:t xml:space="preserve">(e.g., </w:t>
      </w:r>
      <w:r w:rsidR="00AF71EF" w:rsidRPr="001005B7">
        <w:t>50:3, 9, 41; 51:48</w:t>
      </w:r>
      <w:r w:rsidR="00CF31B5" w:rsidRPr="001005B7">
        <w:t>), as in due course does Ezekiel (</w:t>
      </w:r>
      <w:r w:rsidR="00CF31B5" w:rsidRPr="001005B7">
        <w:rPr>
          <w:rFonts w:ascii="MinionPro-Regular" w:hAnsi="MinionPro-Regular" w:cs="MinionPro-Regular"/>
        </w:rPr>
        <w:t>26:7; 38:6, 15; 39:2).</w:t>
      </w:r>
      <w:r w:rsidR="00E6070A" w:rsidRPr="001005B7">
        <w:rPr>
          <w:rFonts w:ascii="MinionPro-Regular" w:hAnsi="MinionPro-Regular" w:cs="MinionPro-Regular"/>
        </w:rPr>
        <w:t xml:space="preserve"> </w:t>
      </w:r>
    </w:p>
    <w:p w14:paraId="5CC10AFB" w14:textId="248A38AE" w:rsidR="00E269FA" w:rsidRPr="001005B7" w:rsidRDefault="00587EC1" w:rsidP="00E269FA">
      <w:r w:rsidRPr="001005B7">
        <w:rPr>
          <w:rFonts w:ascii="MinionPro-Regular" w:hAnsi="MinionPro-Regular" w:cs="MinionPro-Regular"/>
        </w:rPr>
        <w:t>It fits, then, that</w:t>
      </w:r>
      <w:r w:rsidR="00B53A50" w:rsidRPr="001005B7">
        <w:rPr>
          <w:rFonts w:ascii="MinionPro-Regular" w:hAnsi="MinionPro-Regular" w:cs="MinionPro-Regular"/>
        </w:rPr>
        <w:t xml:space="preserve"> it is</w:t>
      </w:r>
      <w:r w:rsidRPr="001005B7">
        <w:rPr>
          <w:rFonts w:ascii="MinionPro-Regular" w:hAnsi="MinionPro-Regular" w:cs="MinionPro-Regular"/>
        </w:rPr>
        <w:t xml:space="preserve"> </w:t>
      </w:r>
      <w:r w:rsidR="00B53A50" w:rsidRPr="001005B7">
        <w:rPr>
          <w:rFonts w:ascii="MinionPro-Regular" w:hAnsi="MinionPro-Regular" w:cs="MinionPro-Regular"/>
        </w:rPr>
        <w:t>a</w:t>
      </w:r>
      <w:r w:rsidRPr="001005B7">
        <w:rPr>
          <w:rFonts w:ascii="MinionPro-Regular" w:hAnsi="MinionPro-Regular" w:cs="MinionPro-Regular"/>
        </w:rPr>
        <w:t xml:space="preserve"> storm wind</w:t>
      </w:r>
      <w:r w:rsidRPr="001005B7">
        <w:rPr>
          <w:rFonts w:ascii="MinionPro-Regular" w:hAnsi="MinionPro-Regular" w:cs="MinionPro-Regular"/>
          <w:i/>
          <w:iCs/>
        </w:rPr>
        <w:t xml:space="preserve"> </w:t>
      </w:r>
      <w:r w:rsidRPr="001005B7">
        <w:rPr>
          <w:rFonts w:ascii="MinionPro-Regular" w:hAnsi="MinionPro-Regular" w:cs="MinionPro-Regular"/>
        </w:rPr>
        <w:t>that comes fr</w:t>
      </w:r>
      <w:r w:rsidR="00256E7A" w:rsidRPr="001005B7">
        <w:rPr>
          <w:rFonts w:ascii="MinionPro-Regular" w:hAnsi="MinionPro-Regular" w:cs="MinionPro-Regular"/>
        </w:rPr>
        <w:t>o</w:t>
      </w:r>
      <w:r w:rsidRPr="001005B7">
        <w:rPr>
          <w:rFonts w:ascii="MinionPro-Regular" w:hAnsi="MinionPro-Regular" w:cs="MinionPro-Regular"/>
        </w:rPr>
        <w:t>m the north</w:t>
      </w:r>
      <w:r w:rsidR="00D2382E" w:rsidRPr="001005B7">
        <w:rPr>
          <w:rFonts w:ascii="MinionPro-Regular" w:hAnsi="MinionPro-Regular" w:cs="MinionPro-Regular"/>
        </w:rPr>
        <w:t xml:space="preserve">. </w:t>
      </w:r>
      <w:r w:rsidR="002E5937" w:rsidRPr="001005B7">
        <w:rPr>
          <w:rFonts w:ascii="MinionPro-Regular" w:hAnsi="MinionPro-Regular" w:cs="MinionPro-Regular"/>
        </w:rPr>
        <w:t>M</w:t>
      </w:r>
      <w:r w:rsidR="00FA4F37" w:rsidRPr="001005B7">
        <w:rPr>
          <w:rFonts w:ascii="MinionPro-Regular" w:hAnsi="MinionPro-Regular" w:cs="MinionPro-Regular"/>
        </w:rPr>
        <w:t>eteor</w:t>
      </w:r>
      <w:r w:rsidR="00B84BE8" w:rsidRPr="001005B7">
        <w:rPr>
          <w:rFonts w:ascii="MinionPro-Regular" w:hAnsi="MinionPro-Regular" w:cs="MinionPro-Regular"/>
        </w:rPr>
        <w:t>o</w:t>
      </w:r>
      <w:r w:rsidR="00B53A50" w:rsidRPr="001005B7">
        <w:rPr>
          <w:rFonts w:ascii="MinionPro-Regular" w:hAnsi="MinionPro-Regular" w:cs="MinionPro-Regular"/>
        </w:rPr>
        <w:t>logi</w:t>
      </w:r>
      <w:r w:rsidR="00FA4F37" w:rsidRPr="001005B7">
        <w:rPr>
          <w:rFonts w:ascii="MinionPro-Regular" w:hAnsi="MinionPro-Regular" w:cs="MinionPro-Regular"/>
        </w:rPr>
        <w:t>cally that would make sense in Babylon</w:t>
      </w:r>
      <w:r w:rsidR="003461BB" w:rsidRPr="001005B7">
        <w:rPr>
          <w:rFonts w:ascii="MinionPro-Regular" w:hAnsi="MinionPro-Regular" w:cs="MinionPro-Regular"/>
        </w:rPr>
        <w:t>ia</w:t>
      </w:r>
      <w:r w:rsidR="00FA4F37" w:rsidRPr="001005B7">
        <w:rPr>
          <w:rFonts w:ascii="MinionPro-Regular" w:hAnsi="MinionPro-Regular" w:cs="MinionPro-Regular"/>
        </w:rPr>
        <w:t xml:space="preserve">, </w:t>
      </w:r>
      <w:r w:rsidR="00246910" w:rsidRPr="001005B7">
        <w:rPr>
          <w:rFonts w:ascii="MinionPro-Regular" w:hAnsi="MinionPro-Regular" w:cs="MinionPro-Regular"/>
        </w:rPr>
        <w:t xml:space="preserve">but </w:t>
      </w:r>
      <w:r w:rsidR="0005746A" w:rsidRPr="001005B7">
        <w:rPr>
          <w:rFonts w:ascii="MinionPro-Regular" w:hAnsi="MinionPro-Regular" w:cs="MinionPro-Regular"/>
        </w:rPr>
        <w:t>it</w:t>
      </w:r>
      <w:r w:rsidR="00B84BE8" w:rsidRPr="001005B7">
        <w:rPr>
          <w:rFonts w:ascii="MinionPro-Regular" w:hAnsi="MinionPro-Regular" w:cs="MinionPro-Regular"/>
        </w:rPr>
        <w:t xml:space="preserve"> </w:t>
      </w:r>
      <w:r w:rsidR="00857FCB" w:rsidRPr="001005B7">
        <w:rPr>
          <w:rFonts w:ascii="MinionPro-Regular" w:hAnsi="MinionPro-Regular" w:cs="MinionPro-Regular"/>
        </w:rPr>
        <w:t>would be surpris</w:t>
      </w:r>
      <w:r w:rsidR="0005746A" w:rsidRPr="001005B7">
        <w:rPr>
          <w:rFonts w:ascii="MinionPro-Regular" w:hAnsi="MinionPro-Regular" w:cs="MinionPro-Regular"/>
        </w:rPr>
        <w:t>ing</w:t>
      </w:r>
      <w:r w:rsidR="00857FCB" w:rsidRPr="001005B7">
        <w:rPr>
          <w:rFonts w:ascii="MinionPro-Regular" w:hAnsi="MinionPro-Regular" w:cs="MinionPro-Regular"/>
        </w:rPr>
        <w:t xml:space="preserve"> i</w:t>
      </w:r>
      <w:r w:rsidR="00B84BE8" w:rsidRPr="001005B7">
        <w:rPr>
          <w:rFonts w:ascii="MinionPro-Regular" w:hAnsi="MinionPro-Regular" w:cs="MinionPro-Regular"/>
        </w:rPr>
        <w:t>f</w:t>
      </w:r>
      <w:r w:rsidR="00857FCB" w:rsidRPr="001005B7">
        <w:rPr>
          <w:rFonts w:ascii="MinionPro-Regular" w:hAnsi="MinionPro-Regular" w:cs="MinionPro-Regular"/>
        </w:rPr>
        <w:t xml:space="preserve"> th</w:t>
      </w:r>
      <w:r w:rsidR="00806F24" w:rsidRPr="001005B7">
        <w:rPr>
          <w:rFonts w:ascii="MinionPro-Regular" w:hAnsi="MinionPro-Regular" w:cs="MinionPro-Regular"/>
        </w:rPr>
        <w:t>is</w:t>
      </w:r>
      <w:r w:rsidR="00857FCB" w:rsidRPr="001005B7">
        <w:rPr>
          <w:rFonts w:ascii="MinionPro-Regular" w:hAnsi="MinionPro-Regular" w:cs="MinionPro-Regular"/>
        </w:rPr>
        <w:t xml:space="preserve"> was all Ezekiel meant. </w:t>
      </w:r>
      <w:r w:rsidR="00082A0F" w:rsidRPr="001005B7">
        <w:rPr>
          <w:rFonts w:ascii="MinionPro-Regular" w:hAnsi="MinionPro-Regular" w:cs="MinionPro-Regular"/>
        </w:rPr>
        <w:t>W</w:t>
      </w:r>
      <w:r w:rsidR="009472CC" w:rsidRPr="001005B7">
        <w:rPr>
          <w:rFonts w:ascii="MinionPro-Regular" w:hAnsi="MinionPro-Regular" w:cs="MinionPro-Regular"/>
        </w:rPr>
        <w:t>hereas</w:t>
      </w:r>
      <w:r w:rsidR="00082A0F" w:rsidRPr="001005B7">
        <w:rPr>
          <w:rFonts w:ascii="MinionPro-Regular" w:hAnsi="MinionPro-Regular" w:cs="MinionPro-Regular"/>
        </w:rPr>
        <w:t xml:space="preserve"> a</w:t>
      </w:r>
      <w:r w:rsidR="00857FCB" w:rsidRPr="001005B7">
        <w:rPr>
          <w:rFonts w:ascii="MinionPro-Regular" w:hAnsi="MinionPro-Regular" w:cs="MinionPro-Regular"/>
        </w:rPr>
        <w:t xml:space="preserve"> storm wind </w:t>
      </w:r>
      <w:r w:rsidR="00BC1B4B" w:rsidRPr="001005B7">
        <w:rPr>
          <w:rFonts w:ascii="MinionPro-Regular" w:hAnsi="MinionPro-Regular" w:cs="MinionPro-Regular"/>
        </w:rPr>
        <w:t xml:space="preserve">need not be </w:t>
      </w:r>
      <w:r w:rsidR="000A5EDD" w:rsidRPr="001005B7">
        <w:rPr>
          <w:rFonts w:ascii="MinionPro-Regular" w:hAnsi="MinionPro-Regular" w:cs="MinionPro-Regular"/>
        </w:rPr>
        <w:t>threatening or</w:t>
      </w:r>
      <w:r w:rsidR="00B372ED" w:rsidRPr="001005B7">
        <w:rPr>
          <w:rFonts w:ascii="MinionPro-Regular" w:hAnsi="MinionPro-Regular" w:cs="MinionPro-Regular"/>
        </w:rPr>
        <w:t xml:space="preserve"> </w:t>
      </w:r>
      <w:r w:rsidR="00BC1B4B" w:rsidRPr="001005B7">
        <w:rPr>
          <w:rFonts w:ascii="MinionPro-Regular" w:hAnsi="MinionPro-Regular" w:cs="MinionPro-Regular"/>
        </w:rPr>
        <w:t>destructive (</w:t>
      </w:r>
      <w:r w:rsidR="00630180" w:rsidRPr="001005B7">
        <w:rPr>
          <w:rFonts w:ascii="MinionPro-Regular" w:hAnsi="MinionPro-Regular" w:cs="MinionPro-Regular"/>
        </w:rPr>
        <w:t>e.g., 2</w:t>
      </w:r>
      <w:r w:rsidR="00A7466A" w:rsidRPr="001005B7">
        <w:rPr>
          <w:rFonts w:ascii="MinionPro-Regular" w:hAnsi="MinionPro-Regular" w:cs="MinionPro-Regular"/>
        </w:rPr>
        <w:t> </w:t>
      </w:r>
      <w:r w:rsidR="006558CA" w:rsidRPr="001005B7">
        <w:rPr>
          <w:rFonts w:ascii="MinionPro-Regular" w:hAnsi="MinionPro-Regular" w:cs="MinionPro-Regular"/>
        </w:rPr>
        <w:t>Kgs</w:t>
      </w:r>
      <w:r w:rsidR="00630180" w:rsidRPr="001005B7">
        <w:rPr>
          <w:rFonts w:ascii="MinionPro-Regular" w:hAnsi="MinionPro-Regular" w:cs="MinionPro-Regular"/>
        </w:rPr>
        <w:t xml:space="preserve"> 2:1, 11)</w:t>
      </w:r>
      <w:r w:rsidR="000A5EDD" w:rsidRPr="001005B7">
        <w:rPr>
          <w:rFonts w:ascii="MinionPro-Regular" w:hAnsi="MinionPro-Regular" w:cs="MinionPro-Regular"/>
        </w:rPr>
        <w:t>, it usually is (</w:t>
      </w:r>
      <w:r w:rsidR="006001A3" w:rsidRPr="001005B7">
        <w:rPr>
          <w:rFonts w:ascii="MinionPro-Regular" w:hAnsi="MinionPro-Regular" w:cs="MinionPro-Regular"/>
        </w:rPr>
        <w:t xml:space="preserve">e.g., </w:t>
      </w:r>
      <w:r w:rsidR="00EB352D" w:rsidRPr="001005B7">
        <w:rPr>
          <w:rFonts w:ascii="MinionPro-Regular" w:hAnsi="MinionPro-Regular" w:cs="MinionPro-Regular"/>
        </w:rPr>
        <w:t>Ezek 13:11, 13</w:t>
      </w:r>
      <w:r w:rsidR="003F2B0D" w:rsidRPr="001005B7">
        <w:rPr>
          <w:rFonts w:ascii="MinionPro-Regular" w:hAnsi="MinionPro-Regular" w:cs="MinionPro-Regular"/>
        </w:rPr>
        <w:t xml:space="preserve">; </w:t>
      </w:r>
      <w:r w:rsidR="006001A3" w:rsidRPr="001005B7">
        <w:rPr>
          <w:rFonts w:ascii="MinionPro-Regular" w:hAnsi="MinionPro-Regular" w:cs="MinionPro-Regular"/>
        </w:rPr>
        <w:t>Isa 29:6</w:t>
      </w:r>
      <w:r w:rsidR="00C301DB" w:rsidRPr="001005B7">
        <w:rPr>
          <w:rFonts w:ascii="MinionPro-Regular" w:hAnsi="MinionPro-Regular" w:cs="MinionPro-Regular"/>
        </w:rPr>
        <w:t>; 40:24; 41:16</w:t>
      </w:r>
      <w:r w:rsidR="006001A3" w:rsidRPr="001005B7">
        <w:rPr>
          <w:rFonts w:ascii="MinionPro-Regular" w:hAnsi="MinionPro-Regular" w:cs="MinionPro-Regular"/>
        </w:rPr>
        <w:t>)</w:t>
      </w:r>
      <w:r w:rsidR="00C363D6" w:rsidRPr="001005B7">
        <w:rPr>
          <w:rFonts w:ascii="MinionPro-Regular" w:hAnsi="MinionPro-Regular" w:cs="MinionPro-Regular"/>
        </w:rPr>
        <w:t xml:space="preserve"> (Rashi</w:t>
      </w:r>
      <w:r w:rsidR="006B0E25" w:rsidRPr="001005B7">
        <w:rPr>
          <w:rFonts w:ascii="MinionPro-Regular" w:hAnsi="MinionPro-Regular" w:cs="MinionPro-Regular"/>
        </w:rPr>
        <w:t>,</w:t>
      </w:r>
      <w:r w:rsidR="00C363D6" w:rsidRPr="001005B7">
        <w:rPr>
          <w:rFonts w:ascii="MinionPro-Regular" w:hAnsi="MinionPro-Regular" w:cs="MinionPro-Regular"/>
        </w:rPr>
        <w:t xml:space="preserve"> in MG)</w:t>
      </w:r>
      <w:r w:rsidR="001F6091" w:rsidRPr="001005B7">
        <w:t>.</w:t>
      </w:r>
      <w:r w:rsidR="00E6070A" w:rsidRPr="001005B7">
        <w:rPr>
          <w:rStyle w:val="FootnoteReference"/>
        </w:rPr>
        <w:footnoteReference w:id="105"/>
      </w:r>
      <w:r w:rsidR="009700A8" w:rsidRPr="001005B7">
        <w:rPr>
          <w:rFonts w:ascii="MinionPro-Regular" w:hAnsi="MinionPro-Regular" w:cs="MinionPro-Regular"/>
        </w:rPr>
        <w:t xml:space="preserve"> </w:t>
      </w:r>
      <w:r w:rsidR="00AE63FA" w:rsidRPr="001005B7">
        <w:rPr>
          <w:lang w:eastAsia="en-GB"/>
        </w:rPr>
        <w:t>With overlapping ambiguity, a</w:t>
      </w:r>
      <w:r w:rsidR="005C1602" w:rsidRPr="001005B7">
        <w:rPr>
          <w:rFonts w:ascii="MinionPro-Regular" w:hAnsi="MinionPro-Regular" w:cs="MinionPro-Regular"/>
        </w:rPr>
        <w:t xml:space="preserve"> cloud </w:t>
      </w:r>
      <w:r w:rsidR="00AE63FA" w:rsidRPr="001005B7">
        <w:rPr>
          <w:rFonts w:ascii="MinionPro-Regular" w:hAnsi="MinionPro-Regular" w:cs="MinionPro-Regular"/>
        </w:rPr>
        <w:t xml:space="preserve">can </w:t>
      </w:r>
      <w:r w:rsidR="005C1602" w:rsidRPr="001005B7">
        <w:rPr>
          <w:rFonts w:ascii="MinionPro-Regular" w:hAnsi="MinionPro-Regular" w:cs="MinionPro-Regular"/>
        </w:rPr>
        <w:t xml:space="preserve">both suggest and conceal the presence of </w:t>
      </w:r>
      <w:r w:rsidR="002C1716" w:rsidRPr="001005B7">
        <w:rPr>
          <w:rFonts w:ascii="MinionPro-Regular" w:hAnsi="MinionPro-Regular" w:cs="MinionPro-Regular"/>
        </w:rPr>
        <w:t>God</w:t>
      </w:r>
      <w:r w:rsidR="0057288E" w:rsidRPr="001005B7">
        <w:rPr>
          <w:rFonts w:ascii="MinionPro-Regular" w:hAnsi="MinionPro-Regular" w:cs="MinionPro-Regular"/>
        </w:rPr>
        <w:t>. F</w:t>
      </w:r>
      <w:r w:rsidR="00793978" w:rsidRPr="001005B7">
        <w:rPr>
          <w:rFonts w:ascii="MinionPro-Regular" w:hAnsi="MinionPro-Regular" w:cs="MinionPro-Regular"/>
        </w:rPr>
        <w:t>ire</w:t>
      </w:r>
      <w:r w:rsidR="005D3B9C" w:rsidRPr="001005B7">
        <w:rPr>
          <w:rFonts w:ascii="MinionPro-Regular" w:hAnsi="MinionPro-Regular" w:cs="MinionPro-Regular"/>
        </w:rPr>
        <w:t xml:space="preserve">, too, </w:t>
      </w:r>
      <w:r w:rsidR="00793978" w:rsidRPr="001005B7">
        <w:rPr>
          <w:rFonts w:ascii="MinionPro-Regular" w:hAnsi="MinionPro-Regular" w:cs="MinionPro-Regular"/>
        </w:rPr>
        <w:t xml:space="preserve">suggests </w:t>
      </w:r>
      <w:r w:rsidR="006E683F" w:rsidRPr="001005B7">
        <w:rPr>
          <w:rFonts w:ascii="MinionPro-Regular" w:hAnsi="MinionPro-Regular" w:cs="MinionPro-Regular"/>
        </w:rPr>
        <w:t xml:space="preserve">both </w:t>
      </w:r>
      <w:r w:rsidR="00567F4A" w:rsidRPr="001005B7">
        <w:rPr>
          <w:rFonts w:ascii="MinionPro-Regular" w:hAnsi="MinionPro-Regular" w:cs="MinionPro-Regular"/>
        </w:rPr>
        <w:t>God’s</w:t>
      </w:r>
      <w:r w:rsidR="00793978" w:rsidRPr="001005B7">
        <w:rPr>
          <w:rFonts w:ascii="MinionPro-Regular" w:hAnsi="MinionPro-Regular" w:cs="MinionPro-Regular"/>
        </w:rPr>
        <w:t xml:space="preserve"> presence</w:t>
      </w:r>
      <w:r w:rsidR="00C70321" w:rsidRPr="001005B7">
        <w:rPr>
          <w:rFonts w:ascii="MinionPro-Regular" w:hAnsi="MinionPro-Regular" w:cs="MinionPro-Regular"/>
        </w:rPr>
        <w:t xml:space="preserve"> </w:t>
      </w:r>
      <w:r w:rsidR="00831F6C" w:rsidRPr="001005B7">
        <w:rPr>
          <w:rFonts w:ascii="MinionPro-Regular" w:hAnsi="MinionPro-Regular" w:cs="MinionPro-Regular"/>
        </w:rPr>
        <w:t xml:space="preserve">and </w:t>
      </w:r>
      <w:r w:rsidR="005551CA" w:rsidRPr="001005B7">
        <w:rPr>
          <w:rFonts w:ascii="MinionPro-Regular" w:hAnsi="MinionPro-Regular" w:cs="MinionPro-Regular"/>
        </w:rPr>
        <w:t xml:space="preserve">the </w:t>
      </w:r>
      <w:r w:rsidR="00C70321" w:rsidRPr="001005B7">
        <w:rPr>
          <w:rFonts w:ascii="MinionPro-Regular" w:hAnsi="MinionPro-Regular" w:cs="MinionPro-Regular"/>
        </w:rPr>
        <w:t>power an</w:t>
      </w:r>
      <w:r w:rsidR="009D32DB" w:rsidRPr="001005B7">
        <w:rPr>
          <w:rFonts w:ascii="MinionPro-Regular" w:hAnsi="MinionPro-Regular" w:cs="MinionPro-Regular"/>
        </w:rPr>
        <w:t>d dange</w:t>
      </w:r>
      <w:r w:rsidR="00831F6C" w:rsidRPr="001005B7">
        <w:rPr>
          <w:rFonts w:ascii="MinionPro-Regular" w:hAnsi="MinionPro-Regular" w:cs="MinionPro-Regular"/>
        </w:rPr>
        <w:t>r</w:t>
      </w:r>
      <w:r w:rsidR="005551CA" w:rsidRPr="001005B7">
        <w:rPr>
          <w:rFonts w:ascii="MinionPro-Regular" w:hAnsi="MinionPro-Regular" w:cs="MinionPro-Regular"/>
        </w:rPr>
        <w:t xml:space="preserve"> of that presence,</w:t>
      </w:r>
      <w:r w:rsidR="00C70321" w:rsidRPr="001005B7">
        <w:rPr>
          <w:rFonts w:ascii="MinionPro-Regular" w:hAnsi="MinionPro-Regular" w:cs="MinionPro-Regular"/>
        </w:rPr>
        <w:t xml:space="preserve"> </w:t>
      </w:r>
      <w:r w:rsidR="009D32DB" w:rsidRPr="001005B7">
        <w:rPr>
          <w:rFonts w:ascii="MinionPro-Regular" w:hAnsi="MinionPro-Regular" w:cs="MinionPro-Regular"/>
        </w:rPr>
        <w:t>like</w:t>
      </w:r>
      <w:r w:rsidR="00C70321" w:rsidRPr="001005B7">
        <w:rPr>
          <w:rFonts w:ascii="MinionPro-Regular" w:hAnsi="MinionPro-Regular" w:cs="MinionPro-Regular"/>
        </w:rPr>
        <w:t xml:space="preserve"> </w:t>
      </w:r>
      <w:r w:rsidR="005551CA" w:rsidRPr="001005B7">
        <w:rPr>
          <w:rFonts w:ascii="MinionPro-Regular" w:hAnsi="MinionPro-Regular" w:cs="MinionPro-Regular"/>
        </w:rPr>
        <w:t>th</w:t>
      </w:r>
      <w:r w:rsidR="00831F6C" w:rsidRPr="001005B7">
        <w:rPr>
          <w:rFonts w:ascii="MinionPro-Regular" w:hAnsi="MinionPro-Regular" w:cs="MinionPro-Regular"/>
        </w:rPr>
        <w:t>at of</w:t>
      </w:r>
      <w:r w:rsidR="00CC2DE5" w:rsidRPr="001005B7">
        <w:rPr>
          <w:rFonts w:ascii="MinionPro-Regular" w:hAnsi="MinionPro-Regular" w:cs="MinionPro-Regular"/>
        </w:rPr>
        <w:t xml:space="preserve"> </w:t>
      </w:r>
      <w:r w:rsidR="00C70321" w:rsidRPr="001005B7">
        <w:rPr>
          <w:rFonts w:ascii="MinionPro-Regular" w:hAnsi="MinionPro-Regular" w:cs="MinionPro-Regular"/>
        </w:rPr>
        <w:t xml:space="preserve">the sun (e.g., </w:t>
      </w:r>
      <w:r w:rsidR="0092498D" w:rsidRPr="001005B7">
        <w:rPr>
          <w:rFonts w:ascii="MinionPro-Regular" w:hAnsi="MinionPro-Regular" w:cs="MinionPro-Regular"/>
        </w:rPr>
        <w:t>Exod 13:21</w:t>
      </w:r>
      <w:r w:rsidR="00F46900" w:rsidRPr="001005B7">
        <w:rPr>
          <w:rFonts w:ascii="MinionPro-Regular" w:hAnsi="MinionPro-Regular" w:cs="MinionPro-Regular"/>
        </w:rPr>
        <w:t>–</w:t>
      </w:r>
      <w:r w:rsidR="0092498D" w:rsidRPr="001005B7">
        <w:rPr>
          <w:rFonts w:ascii="MinionPro-Regular" w:hAnsi="MinionPro-Regular" w:cs="MinionPro-Regular"/>
        </w:rPr>
        <w:t>22</w:t>
      </w:r>
      <w:r w:rsidR="00487D21" w:rsidRPr="001005B7">
        <w:rPr>
          <w:rFonts w:ascii="MinionPro-Regular" w:hAnsi="MinionPro-Regular" w:cs="MinionPro-Regular"/>
        </w:rPr>
        <w:t>; 19:</w:t>
      </w:r>
      <w:r w:rsidR="0089563C" w:rsidRPr="001005B7">
        <w:rPr>
          <w:rFonts w:ascii="MinionPro-Regular" w:hAnsi="MinionPro-Regular" w:cs="MinionPro-Regular"/>
        </w:rPr>
        <w:t>9</w:t>
      </w:r>
      <w:r w:rsidR="00F46900" w:rsidRPr="001005B7">
        <w:rPr>
          <w:rFonts w:ascii="MinionPro-Regular" w:hAnsi="MinionPro-Regular" w:cs="MinionPro-Regular"/>
        </w:rPr>
        <w:t>–</w:t>
      </w:r>
      <w:r w:rsidR="0089563C" w:rsidRPr="001005B7">
        <w:rPr>
          <w:rFonts w:ascii="MinionPro-Regular" w:hAnsi="MinionPro-Regular" w:cs="MinionPro-Regular"/>
        </w:rPr>
        <w:t>18</w:t>
      </w:r>
      <w:r w:rsidR="0092498D" w:rsidRPr="001005B7">
        <w:rPr>
          <w:rFonts w:ascii="MinionPro-Regular" w:hAnsi="MinionPro-Regular" w:cs="MinionPro-Regular"/>
        </w:rPr>
        <w:t>).</w:t>
      </w:r>
      <w:r w:rsidR="00653385" w:rsidRPr="001005B7">
        <w:rPr>
          <w:rFonts w:ascii="MinionPro-Regular" w:hAnsi="MinionPro-Regular" w:cs="MinionPro-Regular"/>
        </w:rPr>
        <w:t xml:space="preserve"> Typically, Ezekiel enhances the images: it’s a </w:t>
      </w:r>
      <w:r w:rsidR="00E35C47" w:rsidRPr="001005B7">
        <w:rPr>
          <w:rFonts w:ascii="MinionPro-Regular" w:hAnsi="MinionPro-Regular" w:cs="MinionPro-Regular"/>
        </w:rPr>
        <w:t>big</w:t>
      </w:r>
      <w:r w:rsidR="00E35C47" w:rsidRPr="001005B7">
        <w:rPr>
          <w:rFonts w:ascii="MinionPro-Regular" w:hAnsi="MinionPro-Regular" w:cs="MinionPro-Regular"/>
          <w:i/>
          <w:iCs/>
        </w:rPr>
        <w:t xml:space="preserve"> </w:t>
      </w:r>
      <w:r w:rsidR="00E35C47" w:rsidRPr="001005B7">
        <w:rPr>
          <w:rFonts w:ascii="MinionPro-Regular" w:hAnsi="MinionPro-Regular" w:cs="MinionPro-Regular"/>
        </w:rPr>
        <w:t>cloud</w:t>
      </w:r>
      <w:r w:rsidR="001A690E" w:rsidRPr="001005B7">
        <w:rPr>
          <w:rFonts w:ascii="MinionPro-Regular" w:hAnsi="MinionPro-Regular" w:cs="MinionPro-Regular"/>
        </w:rPr>
        <w:t>,</w:t>
      </w:r>
      <w:r w:rsidR="00E35C47" w:rsidRPr="001005B7">
        <w:rPr>
          <w:rFonts w:ascii="MinionPro-Regular" w:hAnsi="MinionPro-Regular" w:cs="MinionPro-Regular"/>
        </w:rPr>
        <w:t xml:space="preserve"> the fire is </w:t>
      </w:r>
      <w:r w:rsidR="00CF6D9E" w:rsidRPr="001005B7">
        <w:rPr>
          <w:rFonts w:ascii="MinionPro-Regular" w:hAnsi="MinionPro-Regular" w:cs="MinionPro-Regular"/>
        </w:rPr>
        <w:t>consuming</w:t>
      </w:r>
      <w:r w:rsidR="00CF6D9E" w:rsidRPr="001005B7">
        <w:rPr>
          <w:rFonts w:ascii="MinionPro-Regular" w:hAnsi="MinionPro-Regular" w:cs="MinionPro-Regular"/>
          <w:i/>
          <w:iCs/>
        </w:rPr>
        <w:t xml:space="preserve"> </w:t>
      </w:r>
      <w:r w:rsidR="00CF6D9E" w:rsidRPr="001005B7">
        <w:rPr>
          <w:rFonts w:ascii="MinionPro-Regular" w:hAnsi="MinionPro-Regular" w:cs="MinionPro-Regular"/>
        </w:rPr>
        <w:t>itself</w:t>
      </w:r>
      <w:r w:rsidR="00942D6E" w:rsidRPr="001005B7">
        <w:rPr>
          <w:rFonts w:ascii="MinionPro-Regular" w:hAnsi="MinionPro-Regular" w:cs="MinionPro-Regular"/>
        </w:rPr>
        <w:t>,</w:t>
      </w:r>
      <w:r w:rsidR="009436FC" w:rsidRPr="001005B7">
        <w:rPr>
          <w:rFonts w:ascii="MinionPro-Regular" w:hAnsi="MinionPro-Regular" w:cs="MinionPro-Regular"/>
        </w:rPr>
        <w:t xml:space="preserve"> and </w:t>
      </w:r>
      <w:r w:rsidR="00C365DE" w:rsidRPr="001005B7">
        <w:rPr>
          <w:rFonts w:ascii="MinionPro-Regular" w:hAnsi="MinionPro-Regular" w:cs="MinionPro-Regular"/>
        </w:rPr>
        <w:t xml:space="preserve">it </w:t>
      </w:r>
      <w:r w:rsidR="009436FC" w:rsidRPr="001005B7">
        <w:rPr>
          <w:rFonts w:ascii="MinionPro-Regular" w:hAnsi="MinionPro-Regular" w:cs="MinionPro-Regular"/>
        </w:rPr>
        <w:t xml:space="preserve">has </w:t>
      </w:r>
      <w:r w:rsidR="00E40F87" w:rsidRPr="001005B7">
        <w:rPr>
          <w:rFonts w:ascii="MinionPro-Regular" w:hAnsi="MinionPro-Regular" w:cs="MinionPro-Regular"/>
        </w:rPr>
        <w:t>the</w:t>
      </w:r>
      <w:r w:rsidR="009436FC" w:rsidRPr="001005B7">
        <w:rPr>
          <w:rFonts w:ascii="MinionPro-Regular" w:hAnsi="MinionPro-Regular" w:cs="MinionPro-Regular"/>
        </w:rPr>
        <w:t xml:space="preserve"> brightness associated with fire </w:t>
      </w:r>
      <w:r w:rsidR="009E3FD0" w:rsidRPr="001005B7">
        <w:rPr>
          <w:rFonts w:ascii="MinionPro-Regular" w:hAnsi="MinionPro-Regular" w:cs="MinionPro-Regular"/>
        </w:rPr>
        <w:t xml:space="preserve">and </w:t>
      </w:r>
      <w:r w:rsidR="00E40F87" w:rsidRPr="001005B7">
        <w:rPr>
          <w:rFonts w:ascii="MinionPro-Regular" w:hAnsi="MinionPro-Regular" w:cs="MinionPro-Regular"/>
        </w:rPr>
        <w:t xml:space="preserve">with the bright </w:t>
      </w:r>
      <w:r w:rsidR="001C642A" w:rsidRPr="001005B7">
        <w:rPr>
          <w:rFonts w:ascii="MinionPro-Regular" w:hAnsi="MinionPro-Regular" w:cs="MinionPro-Regular"/>
        </w:rPr>
        <w:t xml:space="preserve">light of </w:t>
      </w:r>
      <w:r w:rsidR="005E6249" w:rsidRPr="001005B7">
        <w:rPr>
          <w:rFonts w:ascii="MinionPro-Regular" w:hAnsi="MinionPro-Regular" w:cs="MinionPro-Regular"/>
        </w:rPr>
        <w:t xml:space="preserve">the </w:t>
      </w:r>
      <w:r w:rsidR="00E40F87" w:rsidRPr="001005B7">
        <w:rPr>
          <w:rFonts w:ascii="MinionPro-Regular" w:hAnsi="MinionPro-Regular" w:cs="MinionPro-Regular"/>
        </w:rPr>
        <w:t>sun that</w:t>
      </w:r>
      <w:r w:rsidR="001C642A" w:rsidRPr="001005B7">
        <w:rPr>
          <w:rFonts w:ascii="MinionPro-Regular" w:hAnsi="MinionPro-Regular" w:cs="MinionPro-Regular"/>
        </w:rPr>
        <w:t xml:space="preserve"> </w:t>
      </w:r>
      <w:r w:rsidR="00C06015" w:rsidRPr="001005B7">
        <w:rPr>
          <w:rFonts w:ascii="MinionPro-Regular" w:hAnsi="MinionPro-Regular" w:cs="MinionPro-Regular"/>
        </w:rPr>
        <w:t xml:space="preserve">can surround </w:t>
      </w:r>
      <w:r w:rsidR="009E3FD0" w:rsidRPr="001005B7">
        <w:rPr>
          <w:rFonts w:ascii="MinionPro-Regular" w:hAnsi="MinionPro-Regular" w:cs="MinionPro-Regular"/>
        </w:rPr>
        <w:t>cl</w:t>
      </w:r>
      <w:r w:rsidR="006073C4" w:rsidRPr="001005B7">
        <w:rPr>
          <w:rFonts w:ascii="MinionPro-Regular" w:hAnsi="MinionPro-Regular" w:cs="MinionPro-Regular"/>
        </w:rPr>
        <w:t>o</w:t>
      </w:r>
      <w:r w:rsidR="009E3FD0" w:rsidRPr="001005B7">
        <w:rPr>
          <w:rFonts w:ascii="MinionPro-Regular" w:hAnsi="MinionPro-Regular" w:cs="MinionPro-Regular"/>
        </w:rPr>
        <w:t>uds</w:t>
      </w:r>
      <w:r w:rsidR="004A14FE" w:rsidRPr="001005B7">
        <w:rPr>
          <w:rFonts w:ascii="MinionPro-Regular" w:hAnsi="MinionPro-Regular" w:cs="MinionPro-Regular"/>
        </w:rPr>
        <w:t>, all</w:t>
      </w:r>
      <w:r w:rsidR="004A14FE" w:rsidRPr="001005B7">
        <w:rPr>
          <w:rFonts w:ascii="MinionPro-Regular" w:hAnsi="MinionPro-Regular" w:cs="MinionPro-Regular"/>
          <w:i/>
          <w:iCs/>
        </w:rPr>
        <w:t xml:space="preserve"> </w:t>
      </w:r>
      <w:r w:rsidR="004A14FE" w:rsidRPr="001005B7">
        <w:rPr>
          <w:rFonts w:ascii="MinionPro-Regular" w:hAnsi="MinionPro-Regular" w:cs="MinionPro-Regular"/>
        </w:rPr>
        <w:t>around,</w:t>
      </w:r>
      <w:r w:rsidR="009E3FD0" w:rsidRPr="001005B7">
        <w:rPr>
          <w:rFonts w:ascii="MinionPro-Regular" w:hAnsi="MinionPro-Regular" w:cs="MinionPro-Regular"/>
        </w:rPr>
        <w:t xml:space="preserve"> </w:t>
      </w:r>
      <w:r w:rsidR="00A31AEA" w:rsidRPr="001005B7">
        <w:rPr>
          <w:rFonts w:ascii="MinionPro-Regular" w:hAnsi="MinionPro-Regular" w:cs="MinionPro-Regular"/>
        </w:rPr>
        <w:t>and break through them</w:t>
      </w:r>
      <w:r w:rsidR="006B0075" w:rsidRPr="001005B7">
        <w:rPr>
          <w:rFonts w:ascii="MinionPro-Regular" w:hAnsi="MinionPro-Regular" w:cs="MinionPro-Regular"/>
        </w:rPr>
        <w:t>. It happens</w:t>
      </w:r>
      <w:r w:rsidR="00A31AEA" w:rsidRPr="001005B7">
        <w:rPr>
          <w:rFonts w:ascii="MinionPro-Regular" w:hAnsi="MinionPro-Regular" w:cs="MinionPro-Regular"/>
        </w:rPr>
        <w:t xml:space="preserve"> </w:t>
      </w:r>
      <w:r w:rsidR="0026223D" w:rsidRPr="001005B7">
        <w:rPr>
          <w:rFonts w:ascii="MinionPro-Regular" w:hAnsi="MinionPro-Regular" w:cs="MinionPro-Regular"/>
        </w:rPr>
        <w:t xml:space="preserve">when </w:t>
      </w:r>
      <w:r w:rsidR="006073C4" w:rsidRPr="001005B7">
        <w:rPr>
          <w:rFonts w:ascii="MinionPro-Regular" w:hAnsi="MinionPro-Regular" w:cs="MinionPro-Regular"/>
        </w:rPr>
        <w:t>Yahweh com</w:t>
      </w:r>
      <w:r w:rsidR="0026223D" w:rsidRPr="001005B7">
        <w:rPr>
          <w:rFonts w:ascii="MinionPro-Regular" w:hAnsi="MinionPro-Regular" w:cs="MinionPro-Regular"/>
        </w:rPr>
        <w:t>es</w:t>
      </w:r>
      <w:r w:rsidR="006073C4" w:rsidRPr="001005B7">
        <w:rPr>
          <w:rFonts w:ascii="MinionPro-Regular" w:hAnsi="MinionPro-Regular" w:cs="MinionPro-Regular"/>
        </w:rPr>
        <w:t xml:space="preserve"> in</w:t>
      </w:r>
      <w:r w:rsidR="009E3FD0" w:rsidRPr="001005B7">
        <w:rPr>
          <w:rFonts w:ascii="MinionPro-Regular" w:hAnsi="MinionPro-Regular" w:cs="MinionPro-Regular"/>
        </w:rPr>
        <w:t xml:space="preserve"> </w:t>
      </w:r>
      <w:r w:rsidR="006073C4" w:rsidRPr="001005B7">
        <w:rPr>
          <w:rFonts w:ascii="MinionPro-Regular" w:hAnsi="MinionPro-Regular" w:cs="MinionPro-Regular"/>
        </w:rPr>
        <w:t xml:space="preserve">force in </w:t>
      </w:r>
      <w:proofErr w:type="spellStart"/>
      <w:r w:rsidR="006073C4" w:rsidRPr="001005B7">
        <w:rPr>
          <w:rFonts w:ascii="MinionPro-Regular" w:hAnsi="MinionPro-Regular" w:cs="MinionPro-Regular"/>
        </w:rPr>
        <w:t>Ps</w:t>
      </w:r>
      <w:r w:rsidR="00234BED" w:rsidRPr="001005B7">
        <w:rPr>
          <w:rFonts w:ascii="MinionPro-Regular" w:hAnsi="MinionPro-Regular" w:cs="MinionPro-Regular"/>
        </w:rPr>
        <w:t>a</w:t>
      </w:r>
      <w:proofErr w:type="spellEnd"/>
      <w:r w:rsidR="006073C4" w:rsidRPr="001005B7">
        <w:rPr>
          <w:rFonts w:ascii="MinionPro-Regular" w:hAnsi="MinionPro-Regular" w:cs="MinionPro-Regular"/>
        </w:rPr>
        <w:t xml:space="preserve"> 18:</w:t>
      </w:r>
      <w:r w:rsidR="00845854" w:rsidRPr="001005B7">
        <w:rPr>
          <w:rFonts w:ascii="MinionPro-Regular" w:hAnsi="MinionPro-Regular" w:cs="MinionPro-Regular"/>
        </w:rPr>
        <w:t>7</w:t>
      </w:r>
      <w:r w:rsidR="00F46900" w:rsidRPr="001005B7">
        <w:rPr>
          <w:rFonts w:ascii="MinionPro-Regular" w:hAnsi="MinionPro-Regular" w:cs="MinionPro-Regular"/>
        </w:rPr>
        <w:t>–</w:t>
      </w:r>
      <w:r w:rsidR="00845854" w:rsidRPr="001005B7">
        <w:rPr>
          <w:rFonts w:ascii="MinionPro-Regular" w:hAnsi="MinionPro-Regular" w:cs="MinionPro-Regular"/>
        </w:rPr>
        <w:t>15 [</w:t>
      </w:r>
      <w:r w:rsidR="003804E1" w:rsidRPr="001005B7">
        <w:rPr>
          <w:rFonts w:ascii="MinionPro-Regular" w:hAnsi="MinionPro-Regular" w:cs="MinionPro-Regular"/>
        </w:rPr>
        <w:t>8</w:t>
      </w:r>
      <w:r w:rsidR="00F46900" w:rsidRPr="001005B7">
        <w:rPr>
          <w:rFonts w:ascii="MinionPro-Regular" w:hAnsi="MinionPro-Regular" w:cs="MinionPro-Regular"/>
        </w:rPr>
        <w:t>–</w:t>
      </w:r>
      <w:r w:rsidR="00845854" w:rsidRPr="001005B7">
        <w:rPr>
          <w:rFonts w:ascii="MinionPro-Regular" w:hAnsi="MinionPro-Regular" w:cs="MinionPro-Regular"/>
        </w:rPr>
        <w:t>1</w:t>
      </w:r>
      <w:r w:rsidR="003804E1" w:rsidRPr="001005B7">
        <w:rPr>
          <w:rFonts w:ascii="MinionPro-Regular" w:hAnsi="MinionPro-Regular" w:cs="MinionPro-Regular"/>
        </w:rPr>
        <w:t>6</w:t>
      </w:r>
      <w:r w:rsidR="00845854" w:rsidRPr="001005B7">
        <w:rPr>
          <w:rFonts w:ascii="MinionPro-Regular" w:hAnsi="MinionPro-Regular" w:cs="MinionPro-Regular"/>
        </w:rPr>
        <w:t>])</w:t>
      </w:r>
      <w:r w:rsidR="00CB519F" w:rsidRPr="001005B7">
        <w:rPr>
          <w:rFonts w:ascii="MinionPro-Regular" w:hAnsi="MinionPro-Regular" w:cs="MinionPro-Regular"/>
        </w:rPr>
        <w:t xml:space="preserve">. </w:t>
      </w:r>
      <w:r w:rsidR="00F167AB" w:rsidRPr="001005B7">
        <w:rPr>
          <w:rFonts w:cstheme="minorHAnsi"/>
        </w:rPr>
        <w:t>The enigma in this descr</w:t>
      </w:r>
      <w:r w:rsidR="00C31E41" w:rsidRPr="001005B7">
        <w:rPr>
          <w:rFonts w:cstheme="minorHAnsi"/>
        </w:rPr>
        <w:t>iption</w:t>
      </w:r>
      <w:r w:rsidR="00F167AB" w:rsidRPr="001005B7">
        <w:rPr>
          <w:rFonts w:cstheme="minorHAnsi"/>
        </w:rPr>
        <w:t xml:space="preserve"> is</w:t>
      </w:r>
      <w:r w:rsidR="00C25311" w:rsidRPr="001005B7">
        <w:rPr>
          <w:rFonts w:cstheme="minorHAnsi"/>
        </w:rPr>
        <w:t xml:space="preserve"> </w:t>
      </w:r>
      <w:r w:rsidR="00BB3952" w:rsidRPr="001005B7">
        <w:rPr>
          <w:rFonts w:cstheme="minorHAnsi"/>
          <w:rtl/>
          <w:lang w:bidi="he-IL"/>
        </w:rPr>
        <w:t>חַשְׁמ</w:t>
      </w:r>
      <w:r w:rsidR="00FD2039" w:rsidRPr="001005B7">
        <w:rPr>
          <w:rFonts w:cstheme="minorHAnsi"/>
          <w:rtl/>
          <w:lang w:bidi="he-IL"/>
        </w:rPr>
        <w:t>ַל</w:t>
      </w:r>
      <w:r w:rsidR="00DE340A" w:rsidRPr="001005B7">
        <w:rPr>
          <w:rFonts w:cstheme="minorHAnsi"/>
        </w:rPr>
        <w:t>,</w:t>
      </w:r>
      <w:r w:rsidR="003002A7" w:rsidRPr="001005B7">
        <w:rPr>
          <w:rFonts w:cstheme="minorHAnsi"/>
        </w:rPr>
        <w:t xml:space="preserve"> </w:t>
      </w:r>
      <w:r w:rsidR="00566B35" w:rsidRPr="001005B7">
        <w:rPr>
          <w:rFonts w:cstheme="minorHAnsi"/>
        </w:rPr>
        <w:t>transliterated as “</w:t>
      </w:r>
      <w:proofErr w:type="spellStart"/>
      <w:r w:rsidR="00566B35" w:rsidRPr="001005B7">
        <w:rPr>
          <w:rFonts w:cstheme="minorHAnsi"/>
        </w:rPr>
        <w:t>has</w:t>
      </w:r>
      <w:r w:rsidR="009A3605" w:rsidRPr="001005B7">
        <w:rPr>
          <w:rFonts w:cstheme="minorHAnsi"/>
        </w:rPr>
        <w:t>h</w:t>
      </w:r>
      <w:r w:rsidR="00566B35" w:rsidRPr="001005B7">
        <w:rPr>
          <w:rFonts w:cstheme="minorHAnsi"/>
        </w:rPr>
        <w:t>mal</w:t>
      </w:r>
      <w:proofErr w:type="spellEnd"/>
      <w:r w:rsidR="00566B35" w:rsidRPr="001005B7">
        <w:rPr>
          <w:rFonts w:cstheme="minorHAnsi"/>
        </w:rPr>
        <w:t>,”</w:t>
      </w:r>
      <w:r w:rsidR="00F167AB" w:rsidRPr="001005B7">
        <w:rPr>
          <w:rFonts w:cstheme="minorHAnsi"/>
        </w:rPr>
        <w:t>whose mystery was a stimulus to Jewish reflection on Ezekiel’s vision</w:t>
      </w:r>
      <w:r w:rsidR="0057029F" w:rsidRPr="001005B7">
        <w:rPr>
          <w:rFonts w:cstheme="minorHAnsi"/>
        </w:rPr>
        <w:t>.</w:t>
      </w:r>
      <w:r w:rsidR="003244D3" w:rsidRPr="001005B7">
        <w:rPr>
          <w:rStyle w:val="FootnoteReference"/>
          <w:rFonts w:cstheme="minorHAnsi"/>
        </w:rPr>
        <w:footnoteReference w:id="106"/>
      </w:r>
      <w:r w:rsidR="00C31E41" w:rsidRPr="001005B7">
        <w:rPr>
          <w:rFonts w:cstheme="minorHAnsi"/>
        </w:rPr>
        <w:t xml:space="preserve"> </w:t>
      </w:r>
      <w:r w:rsidR="0057029F" w:rsidRPr="001005B7">
        <w:rPr>
          <w:rFonts w:cstheme="minorHAnsi"/>
        </w:rPr>
        <w:t>I</w:t>
      </w:r>
      <w:r w:rsidR="00F167AB" w:rsidRPr="001005B7">
        <w:rPr>
          <w:rFonts w:cstheme="minorHAnsi"/>
        </w:rPr>
        <w:t>t was perhaps a mystery to Ezekiel’s readers until they get a little clarification at the end of his testimony.</w:t>
      </w:r>
      <w:r w:rsidR="00533411" w:rsidRPr="001005B7">
        <w:rPr>
          <w:rFonts w:cstheme="minorHAnsi"/>
        </w:rPr>
        <w:t xml:space="preserve"> </w:t>
      </w:r>
      <w:r w:rsidR="00D738B3" w:rsidRPr="001005B7">
        <w:rPr>
          <w:rFonts w:cstheme="minorHAnsi"/>
        </w:rPr>
        <w:t xml:space="preserve">In 9:3 </w:t>
      </w:r>
      <w:r w:rsidR="00533411" w:rsidRPr="001005B7">
        <w:rPr>
          <w:rFonts w:ascii="MinionPro-Regular" w:hAnsi="MinionPro-Regular" w:cs="MinionPro-Regular"/>
        </w:rPr>
        <w:t>Ezekiel will identify the living creatures</w:t>
      </w:r>
      <w:r w:rsidR="006315C6" w:rsidRPr="001005B7">
        <w:rPr>
          <w:rFonts w:ascii="MinionPro-Regular" w:hAnsi="MinionPro-Regular" w:cs="MinionPro-Regular"/>
        </w:rPr>
        <w:t xml:space="preserve"> as </w:t>
      </w:r>
      <w:r w:rsidR="00CF3F3D" w:rsidRPr="001005B7">
        <w:rPr>
          <w:rFonts w:ascii="Calibri" w:hAnsi="Calibri" w:cs="Calibri"/>
          <w:rtl/>
          <w:lang w:bidi="he-IL"/>
        </w:rPr>
        <w:t>כְּרוּב</w:t>
      </w:r>
      <w:r w:rsidR="00D50420" w:rsidRPr="001005B7">
        <w:rPr>
          <w:rFonts w:ascii="Calibri" w:hAnsi="Calibri" w:cs="Calibri"/>
          <w:rtl/>
          <w:lang w:bidi="he-IL"/>
        </w:rPr>
        <w:t>ִי</w:t>
      </w:r>
      <w:r w:rsidR="004519AC" w:rsidRPr="001005B7">
        <w:rPr>
          <w:rFonts w:ascii="Calibri" w:hAnsi="Calibri" w:cs="Calibri"/>
          <w:rtl/>
          <w:lang w:bidi="he-IL"/>
        </w:rPr>
        <w:t>ם</w:t>
      </w:r>
      <w:r w:rsidR="003E55E3" w:rsidRPr="001005B7">
        <w:rPr>
          <w:rFonts w:cstheme="minorHAnsi"/>
        </w:rPr>
        <w:t xml:space="preserve">, </w:t>
      </w:r>
      <w:r w:rsidR="003E55E3" w:rsidRPr="001005B7">
        <w:rPr>
          <w:rFonts w:ascii="Calibri" w:hAnsi="Calibri" w:cs="Calibri"/>
        </w:rPr>
        <w:t>traditionally transliterated “cherubim”</w:t>
      </w:r>
      <w:r w:rsidR="003E55E3" w:rsidRPr="001005B7">
        <w:rPr>
          <w:rFonts w:ascii="MinionPro-Regular" w:hAnsi="MinionPro-Regular" w:cs="MinionPro-Regular"/>
        </w:rPr>
        <w:t xml:space="preserve"> </w:t>
      </w:r>
      <w:r w:rsidR="00461AC9" w:rsidRPr="001005B7">
        <w:rPr>
          <w:rFonts w:ascii="MinionPro-Regular" w:hAnsi="MinionPro-Regular" w:cs="MinionPro-Regular"/>
        </w:rPr>
        <w:t>(cf. 1:8 Tg</w:t>
      </w:r>
      <w:r w:rsidR="003D7FDA" w:rsidRPr="001005B7">
        <w:rPr>
          <w:rFonts w:ascii="MinionPro-Regular" w:hAnsi="MinionPro-Regular" w:cs="MinionPro-Regular"/>
        </w:rPr>
        <w:t>.</w:t>
      </w:r>
      <w:r w:rsidR="00461AC9" w:rsidRPr="001005B7">
        <w:rPr>
          <w:rFonts w:ascii="MinionPro-Regular" w:hAnsi="MinionPro-Regular" w:cs="MinionPro-Regular"/>
        </w:rPr>
        <w:t>)</w:t>
      </w:r>
      <w:r w:rsidR="00AE5C64" w:rsidRPr="001005B7">
        <w:rPr>
          <w:rFonts w:ascii="MinionPro-Regular" w:hAnsi="MinionPro-Regular" w:cs="MinionPro-Regular"/>
        </w:rPr>
        <w:t>,</w:t>
      </w:r>
      <w:r w:rsidR="00461AC9" w:rsidRPr="001005B7">
        <w:rPr>
          <w:rFonts w:ascii="MinionPro-Regular" w:hAnsi="MinionPro-Regular" w:cs="MinionPro-Regular"/>
        </w:rPr>
        <w:t xml:space="preserve"> </w:t>
      </w:r>
      <w:r w:rsidR="006C2EBB" w:rsidRPr="001005B7">
        <w:rPr>
          <w:rFonts w:ascii="MinionPro-Regular" w:hAnsi="MinionPro-Regular" w:cs="MinionPro-Regular"/>
        </w:rPr>
        <w:t>which is also the term for</w:t>
      </w:r>
      <w:r w:rsidR="005D5213" w:rsidRPr="001005B7">
        <w:rPr>
          <w:rFonts w:ascii="MinionPro-Regular" w:hAnsi="MinionPro-Regular" w:cs="MinionPro-Regular"/>
        </w:rPr>
        <w:t xml:space="preserve"> the </w:t>
      </w:r>
      <w:r w:rsidR="00D5558C" w:rsidRPr="001005B7">
        <w:rPr>
          <w:rFonts w:ascii="MinionPro-Regular" w:hAnsi="MinionPro-Regular" w:cs="MinionPro-Regular"/>
        </w:rPr>
        <w:t>beings</w:t>
      </w:r>
      <w:r w:rsidR="005D5213" w:rsidRPr="001005B7">
        <w:rPr>
          <w:rFonts w:ascii="MinionPro-Regular" w:hAnsi="MinionPro-Regular" w:cs="MinionPro-Regular"/>
        </w:rPr>
        <w:t xml:space="preserve"> ass</w:t>
      </w:r>
      <w:r w:rsidR="009433C0" w:rsidRPr="001005B7">
        <w:rPr>
          <w:rFonts w:ascii="MinionPro-Regular" w:hAnsi="MinionPro-Regular" w:cs="MinionPro-Regular"/>
        </w:rPr>
        <w:t>oc</w:t>
      </w:r>
      <w:r w:rsidR="005D5213" w:rsidRPr="001005B7">
        <w:rPr>
          <w:rFonts w:ascii="MinionPro-Regular" w:hAnsi="MinionPro-Regular" w:cs="MinionPro-Regular"/>
        </w:rPr>
        <w:t xml:space="preserve">iated with the </w:t>
      </w:r>
      <w:r w:rsidR="00A72290" w:rsidRPr="001005B7">
        <w:rPr>
          <w:rFonts w:ascii="MinionPro-Regular" w:hAnsi="MinionPro-Regular" w:cs="MinionPro-Regular"/>
        </w:rPr>
        <w:t xml:space="preserve">covenant </w:t>
      </w:r>
      <w:r w:rsidR="0087474A" w:rsidRPr="001005B7">
        <w:rPr>
          <w:rFonts w:ascii="MinionPro-Regular" w:hAnsi="MinionPro-Regular" w:cs="MinionPro-Regular"/>
        </w:rPr>
        <w:t>chest in</w:t>
      </w:r>
      <w:r w:rsidR="00154462" w:rsidRPr="001005B7">
        <w:t xml:space="preserve"> </w:t>
      </w:r>
      <w:r w:rsidR="005D5213" w:rsidRPr="001005B7">
        <w:t>1</w:t>
      </w:r>
      <w:r w:rsidR="00946048" w:rsidRPr="001005B7">
        <w:t> </w:t>
      </w:r>
      <w:r w:rsidR="005D5213" w:rsidRPr="001005B7">
        <w:t>Sam 4:4; 2</w:t>
      </w:r>
      <w:r w:rsidR="00946048" w:rsidRPr="001005B7">
        <w:t> </w:t>
      </w:r>
      <w:r w:rsidR="005D5213" w:rsidRPr="001005B7">
        <w:t>Sam 6:2</w:t>
      </w:r>
      <w:r w:rsidR="002D17AE" w:rsidRPr="001005B7">
        <w:t>, while</w:t>
      </w:r>
      <w:r w:rsidR="003B39BC" w:rsidRPr="001005B7">
        <w:rPr>
          <w:rFonts w:cstheme="minorHAnsi"/>
        </w:rPr>
        <w:t xml:space="preserve"> in 2 Sam 22:11 </w:t>
      </w:r>
      <w:r w:rsidR="003B39BC" w:rsidRPr="001005B7">
        <w:rPr>
          <w:rFonts w:ascii="MinionPro-Regular" w:hAnsi="MinionPro-Regular" w:cs="MinionPro-Regular"/>
        </w:rPr>
        <w:t>Yahweh rides on a</w:t>
      </w:r>
      <w:r w:rsidR="003B39BC" w:rsidRPr="001005B7">
        <w:rPr>
          <w:rFonts w:ascii="Calibri" w:hAnsi="Calibri" w:cs="Calibri"/>
          <w:rtl/>
          <w:lang w:bidi="he-IL"/>
        </w:rPr>
        <w:t xml:space="preserve">כְּרוּב </w:t>
      </w:r>
      <w:r w:rsidR="003B39BC" w:rsidRPr="001005B7">
        <w:rPr>
          <w:rFonts w:ascii="MinionPro-Regular" w:hAnsi="MinionPro-Regular" w:cs="MinionPro-Regular"/>
        </w:rPr>
        <w:t>.</w:t>
      </w:r>
      <w:r w:rsidR="005B3729" w:rsidRPr="001005B7">
        <w:t xml:space="preserve"> </w:t>
      </w:r>
      <w:r w:rsidR="00350DE1" w:rsidRPr="001005B7">
        <w:t>One way or another, t</w:t>
      </w:r>
      <w:r w:rsidR="00B56A40" w:rsidRPr="001005B7">
        <w:rPr>
          <w:rFonts w:ascii="MinionPro-Regular" w:hAnsi="MinionPro-Regular" w:cs="MinionPro-Regular"/>
        </w:rPr>
        <w:t xml:space="preserve">he </w:t>
      </w:r>
      <w:r w:rsidR="005A266C" w:rsidRPr="001005B7">
        <w:rPr>
          <w:rFonts w:ascii="MinionPro-Regular" w:hAnsi="MinionPro-Regular" w:cs="MinionPro-Regular"/>
        </w:rPr>
        <w:t>vision</w:t>
      </w:r>
      <w:r w:rsidR="00B56A40" w:rsidRPr="001005B7">
        <w:rPr>
          <w:rFonts w:ascii="MinionPro-Regular" w:hAnsi="MinionPro-Regular" w:cs="MinionPro-Regular"/>
        </w:rPr>
        <w:t xml:space="preserve"> present</w:t>
      </w:r>
      <w:r w:rsidR="00B51A64" w:rsidRPr="001005B7">
        <w:rPr>
          <w:rFonts w:ascii="MinionPro-Regular" w:hAnsi="MinionPro-Regular" w:cs="MinionPro-Regular"/>
        </w:rPr>
        <w:t>s</w:t>
      </w:r>
      <w:r w:rsidR="00B56A40" w:rsidRPr="001005B7">
        <w:rPr>
          <w:rFonts w:ascii="MinionPro-Regular" w:hAnsi="MinionPro-Regular" w:cs="MinionPro-Regular"/>
        </w:rPr>
        <w:t xml:space="preserve"> Ezek</w:t>
      </w:r>
      <w:r w:rsidR="00CA5B0F" w:rsidRPr="001005B7">
        <w:rPr>
          <w:rFonts w:ascii="MinionPro-Regular" w:hAnsi="MinionPro-Regular" w:cs="MinionPro-Regular"/>
        </w:rPr>
        <w:t>iel</w:t>
      </w:r>
      <w:r w:rsidR="00274A59" w:rsidRPr="001005B7">
        <w:rPr>
          <w:rFonts w:ascii="MinionPro-Regular" w:hAnsi="MinionPro-Regular" w:cs="MinionPro-Regular"/>
        </w:rPr>
        <w:t>’s</w:t>
      </w:r>
      <w:r w:rsidR="00CA5B0F" w:rsidRPr="001005B7">
        <w:rPr>
          <w:rFonts w:ascii="MinionPro-Regular" w:hAnsi="MinionPro-Regular" w:cs="MinionPro-Regular"/>
        </w:rPr>
        <w:t xml:space="preserve"> read</w:t>
      </w:r>
      <w:r w:rsidR="00B51A64" w:rsidRPr="001005B7">
        <w:rPr>
          <w:rFonts w:ascii="MinionPro-Regular" w:hAnsi="MinionPro-Regular" w:cs="MinionPro-Regular"/>
        </w:rPr>
        <w:t>ers</w:t>
      </w:r>
      <w:r w:rsidR="00CA5B0F" w:rsidRPr="001005B7">
        <w:rPr>
          <w:rFonts w:ascii="MinionPro-Regular" w:hAnsi="MinionPro-Regular" w:cs="MinionPro-Regular"/>
        </w:rPr>
        <w:t xml:space="preserve"> with a revelation that would fit with what they know</w:t>
      </w:r>
      <w:r w:rsidR="0007732D" w:rsidRPr="001005B7">
        <w:rPr>
          <w:rFonts w:ascii="MinionPro-Regular" w:hAnsi="MinionPro-Regular" w:cs="MinionPro-Regular"/>
        </w:rPr>
        <w:t xml:space="preserve"> about Yahweh</w:t>
      </w:r>
      <w:r w:rsidR="00D76DC9" w:rsidRPr="001005B7">
        <w:rPr>
          <w:rFonts w:ascii="MinionPro-Regular" w:hAnsi="MinionPro-Regular" w:cs="MinionPro-Regular"/>
        </w:rPr>
        <w:t>,</w:t>
      </w:r>
      <w:r w:rsidR="0007732D" w:rsidRPr="001005B7">
        <w:rPr>
          <w:rFonts w:ascii="MinionPro-Regular" w:hAnsi="MinionPro-Regular" w:cs="MinionPro-Regular"/>
        </w:rPr>
        <w:t xml:space="preserve"> but </w:t>
      </w:r>
      <w:r w:rsidR="00873C5F" w:rsidRPr="001005B7">
        <w:rPr>
          <w:rFonts w:ascii="MinionPro-Regular" w:hAnsi="MinionPro-Regular" w:cs="MinionPro-Regular"/>
        </w:rPr>
        <w:t>its implications would not be clear</w:t>
      </w:r>
      <w:r w:rsidR="00DA7D19" w:rsidRPr="001005B7">
        <w:rPr>
          <w:rFonts w:ascii="MinionPro-Regular" w:hAnsi="MinionPro-Regular" w:cs="MinionPro-Regular"/>
        </w:rPr>
        <w:t xml:space="preserve">. </w:t>
      </w:r>
      <w:r w:rsidR="007163A6" w:rsidRPr="001005B7">
        <w:rPr>
          <w:rFonts w:ascii="MinionPro-Regular" w:hAnsi="MinionPro-Regular" w:cs="MinionPro-Regular"/>
        </w:rPr>
        <w:t>The storm’s victims could be Israel’s enemies, and Ezekiel’s listeners might have hopes in that direction</w:t>
      </w:r>
      <w:r w:rsidR="000F5B01" w:rsidRPr="001005B7">
        <w:rPr>
          <w:rFonts w:ascii="MinionPro-Regular" w:hAnsi="MinionPro-Regular" w:cs="MinionPro-Regular"/>
        </w:rPr>
        <w:t xml:space="preserve">. </w:t>
      </w:r>
      <w:r w:rsidR="0045452E" w:rsidRPr="001005B7">
        <w:t>Perhaps</w:t>
      </w:r>
      <w:r w:rsidR="000F5B01" w:rsidRPr="001005B7">
        <w:t xml:space="preserve"> the wind </w:t>
      </w:r>
      <w:r w:rsidR="0045452E" w:rsidRPr="001005B7">
        <w:t xml:space="preserve">is </w:t>
      </w:r>
      <w:r w:rsidR="000F5B01" w:rsidRPr="001005B7">
        <w:t>going</w:t>
      </w:r>
      <w:r w:rsidR="0045452E" w:rsidRPr="001005B7">
        <w:t xml:space="preserve"> t</w:t>
      </w:r>
      <w:r w:rsidR="000F5B01" w:rsidRPr="001005B7">
        <w:t xml:space="preserve">o deal with </w:t>
      </w:r>
      <w:proofErr w:type="spellStart"/>
      <w:r w:rsidR="000F5B01" w:rsidRPr="001005B7">
        <w:t>Nebuchad</w:t>
      </w:r>
      <w:r w:rsidR="00BE7F57" w:rsidRPr="001005B7">
        <w:t>r</w:t>
      </w:r>
      <w:r w:rsidR="000F5B01" w:rsidRPr="001005B7">
        <w:t>ezzar</w:t>
      </w:r>
      <w:proofErr w:type="spellEnd"/>
      <w:r w:rsidR="000F5B01" w:rsidRPr="001005B7">
        <w:t xml:space="preserve"> </w:t>
      </w:r>
      <w:r w:rsidR="0045452E" w:rsidRPr="001005B7">
        <w:t>(</w:t>
      </w:r>
      <w:r w:rsidR="000F5B01" w:rsidRPr="001005B7">
        <w:rPr>
          <w:i/>
          <w:iCs/>
        </w:rPr>
        <w:t xml:space="preserve">b. Hagigah </w:t>
      </w:r>
      <w:r w:rsidR="000F5B01" w:rsidRPr="001005B7">
        <w:t>13b</w:t>
      </w:r>
      <w:r w:rsidR="0045452E" w:rsidRPr="001005B7">
        <w:t>)</w:t>
      </w:r>
      <w:r w:rsidR="000F5B01" w:rsidRPr="001005B7">
        <w:t xml:space="preserve">. </w:t>
      </w:r>
      <w:r w:rsidR="004E1011" w:rsidRPr="001005B7">
        <w:t>He</w:t>
      </w:r>
      <w:r w:rsidR="000F5B01" w:rsidRPr="001005B7">
        <w:t xml:space="preserve"> will</w:t>
      </w:r>
      <w:r w:rsidR="008F686B" w:rsidRPr="001005B7">
        <w:t xml:space="preserve"> indeed</w:t>
      </w:r>
      <w:r w:rsidR="000F5B01" w:rsidRPr="001005B7">
        <w:t xml:space="preserve"> </w:t>
      </w:r>
      <w:r w:rsidR="004E1011" w:rsidRPr="001005B7">
        <w:t>meet his fate</w:t>
      </w:r>
      <w:r w:rsidR="000F5B01" w:rsidRPr="001005B7">
        <w:t xml:space="preserve"> in due course. But at this opening point</w:t>
      </w:r>
      <w:r w:rsidR="00535AD4" w:rsidRPr="001005B7">
        <w:t>, already</w:t>
      </w:r>
      <w:r w:rsidR="000F5B01" w:rsidRPr="001005B7">
        <w:t xml:space="preserve"> “the prophet</w:t>
      </w:r>
      <w:r w:rsidR="000F5B01" w:rsidRPr="001005B7">
        <w:rPr>
          <w:rFonts w:ascii="MinionPro-Regular" w:hAnsi="MinionPro-Regular" w:cs="MinionPro-Regular"/>
        </w:rPr>
        <w:t xml:space="preserve"> </w:t>
      </w:r>
      <w:r w:rsidR="000F5B01" w:rsidRPr="001005B7">
        <w:t>makes us aware of the terrible judgment of the</w:t>
      </w:r>
      <w:r w:rsidR="000F5B01" w:rsidRPr="001005B7">
        <w:rPr>
          <w:rFonts w:ascii="MinionPro-Regular" w:hAnsi="MinionPro-Regular" w:cs="MinionPro-Regular"/>
        </w:rPr>
        <w:t xml:space="preserve"> </w:t>
      </w:r>
      <w:r w:rsidR="000F5B01" w:rsidRPr="001005B7">
        <w:t>Lord against Jerusalem”</w:t>
      </w:r>
      <w:r w:rsidR="00761C30" w:rsidRPr="001005B7">
        <w:t xml:space="preserve"> (</w:t>
      </w:r>
      <w:proofErr w:type="spellStart"/>
      <w:r w:rsidR="00761C30" w:rsidRPr="001005B7">
        <w:rPr>
          <w:rFonts w:ascii="Calibri" w:hAnsi="Calibri" w:cs="Calibri"/>
        </w:rPr>
        <w:t>Oecolampad</w:t>
      </w:r>
      <w:r w:rsidR="006637CB" w:rsidRPr="001005B7">
        <w:rPr>
          <w:rFonts w:ascii="Calibri" w:hAnsi="Calibri" w:cs="Calibri"/>
        </w:rPr>
        <w:t>ius</w:t>
      </w:r>
      <w:proofErr w:type="spellEnd"/>
      <w:r w:rsidR="00761C30" w:rsidRPr="001005B7">
        <w:rPr>
          <w:rFonts w:ascii="Calibri" w:eastAsia="AJensonPro-Lt" w:hAnsi="Calibri" w:cs="Calibri"/>
        </w:rPr>
        <w:t xml:space="preserve">, </w:t>
      </w:r>
      <w:r w:rsidR="00907DB1" w:rsidRPr="001005B7">
        <w:t>5</w:t>
      </w:r>
      <w:r w:rsidR="00761C30" w:rsidRPr="001005B7">
        <w:t>; cf. Beckwith,</w:t>
      </w:r>
      <w:r w:rsidR="00761C30" w:rsidRPr="001005B7">
        <w:rPr>
          <w:i/>
          <w:iCs/>
        </w:rPr>
        <w:t xml:space="preserve"> </w:t>
      </w:r>
      <w:r w:rsidR="00761C30" w:rsidRPr="001005B7">
        <w:t>9</w:t>
      </w:r>
      <w:r w:rsidR="006637CB" w:rsidRPr="001005B7">
        <w:t>).</w:t>
      </w:r>
      <w:r w:rsidR="000F5B01" w:rsidRPr="001005B7">
        <w:t xml:space="preserve"> </w:t>
      </w:r>
      <w:r w:rsidR="000F5B01" w:rsidRPr="001005B7">
        <w:rPr>
          <w:rFonts w:ascii="MinionPro-Regular" w:hAnsi="MinionPro-Regular" w:cs="MinionPro-Regular"/>
        </w:rPr>
        <w:t>I</w:t>
      </w:r>
      <w:r w:rsidR="00F5764C" w:rsidRPr="001005B7">
        <w:rPr>
          <w:rFonts w:ascii="MinionPro-Regular" w:hAnsi="MinionPro-Regular" w:cs="MinionPro-Regular"/>
        </w:rPr>
        <w:t xml:space="preserve">n this vision </w:t>
      </w:r>
      <w:r w:rsidR="00B860D8" w:rsidRPr="001005B7">
        <w:rPr>
          <w:rFonts w:ascii="MinionPro-Regular" w:hAnsi="MinionPro-Regular" w:cs="MinionPro-Regular"/>
        </w:rPr>
        <w:t>“God wished first to invest his servant with authority, and then to inspire the people with terror”</w:t>
      </w:r>
      <w:r w:rsidR="006637CB" w:rsidRPr="001005B7">
        <w:rPr>
          <w:rFonts w:ascii="MinionPro-Regular" w:hAnsi="MinionPro-Regular" w:cs="MinionPro-Regular"/>
        </w:rPr>
        <w:t xml:space="preserve"> (Calv</w:t>
      </w:r>
      <w:r w:rsidR="007D0092" w:rsidRPr="001005B7">
        <w:rPr>
          <w:rFonts w:ascii="MinionPro-Regular" w:hAnsi="MinionPro-Regular" w:cs="MinionPro-Regular"/>
        </w:rPr>
        <w:t>i</w:t>
      </w:r>
      <w:r w:rsidR="006637CB" w:rsidRPr="001005B7">
        <w:rPr>
          <w:rFonts w:ascii="MinionPro-Regular" w:hAnsi="MinionPro-Regular" w:cs="MinionPro-Regular"/>
        </w:rPr>
        <w:t>n</w:t>
      </w:r>
      <w:r w:rsidR="00656A1E" w:rsidRPr="001005B7">
        <w:rPr>
          <w:rFonts w:ascii="MinionPro-Regular" w:hAnsi="MinionPro-Regular" w:cs="MinionPro-Regular"/>
        </w:rPr>
        <w:t>,</w:t>
      </w:r>
      <w:r w:rsidR="006637CB" w:rsidRPr="001005B7">
        <w:rPr>
          <w:rFonts w:ascii="MinionPro-Regular" w:hAnsi="MinionPro-Regular" w:cs="MinionPro-Regular"/>
        </w:rPr>
        <w:t xml:space="preserve"> 1:41)</w:t>
      </w:r>
      <w:r w:rsidR="007D0092" w:rsidRPr="001005B7">
        <w:rPr>
          <w:rFonts w:ascii="MinionPro-Regular" w:hAnsi="MinionPro-Regular" w:cs="MinionPro-Regular"/>
        </w:rPr>
        <w:t>.</w:t>
      </w:r>
      <w:r w:rsidR="00B860D8" w:rsidRPr="001005B7">
        <w:rPr>
          <w:rFonts w:ascii="MinionPro-Regular" w:hAnsi="MinionPro-Regular" w:cs="MinionPro-Regular"/>
        </w:rPr>
        <w:t xml:space="preserve"> </w:t>
      </w:r>
      <w:r w:rsidR="007163A6" w:rsidRPr="001005B7">
        <w:t>Ezek 1 is “the initial programmatic statement of the book’s theme of Yahweh’s campaign to bring the rebellious house of Israel once again under his rule.”</w:t>
      </w:r>
      <w:r w:rsidR="007163A6" w:rsidRPr="001005B7">
        <w:rPr>
          <w:rStyle w:val="FootnoteReference"/>
        </w:rPr>
        <w:footnoteReference w:id="107"/>
      </w:r>
      <w:r w:rsidR="00235E68" w:rsidRPr="001005B7">
        <w:t xml:space="preserve"> </w:t>
      </w:r>
      <w:r w:rsidR="00E269FA" w:rsidRPr="001005B7">
        <w:t>While the imagery of Yahweh coming in a storm can be positive</w:t>
      </w:r>
      <w:r w:rsidR="002D5EED" w:rsidRPr="001005B7">
        <w:t>, then</w:t>
      </w:r>
      <w:r w:rsidR="00E269FA" w:rsidRPr="001005B7">
        <w:t xml:space="preserve"> (e.g., </w:t>
      </w:r>
      <w:proofErr w:type="spellStart"/>
      <w:r w:rsidR="00E269FA" w:rsidRPr="001005B7">
        <w:t>Pss</w:t>
      </w:r>
      <w:proofErr w:type="spellEnd"/>
      <w:r w:rsidR="00E269FA" w:rsidRPr="001005B7">
        <w:t xml:space="preserve"> 18; 77; 97), here </w:t>
      </w:r>
      <w:r w:rsidR="00C91D94" w:rsidRPr="001005B7">
        <w:t xml:space="preserve">it will have the opposite </w:t>
      </w:r>
      <w:r w:rsidR="00E269FA" w:rsidRPr="001005B7">
        <w:t xml:space="preserve">significance </w:t>
      </w:r>
      <w:r w:rsidR="00374587" w:rsidRPr="001005B7">
        <w:t xml:space="preserve">(cf. </w:t>
      </w:r>
      <w:r w:rsidR="00E269FA" w:rsidRPr="001005B7">
        <w:t>Mic</w:t>
      </w:r>
      <w:r w:rsidR="00374587" w:rsidRPr="001005B7">
        <w:t xml:space="preserve"> </w:t>
      </w:r>
      <w:r w:rsidR="00E269FA" w:rsidRPr="001005B7">
        <w:t>1:3</w:t>
      </w:r>
      <w:r w:rsidR="00F46900" w:rsidRPr="001005B7">
        <w:t>–</w:t>
      </w:r>
      <w:r w:rsidR="00E269FA" w:rsidRPr="001005B7">
        <w:t>6</w:t>
      </w:r>
      <w:r w:rsidR="00374587" w:rsidRPr="001005B7">
        <w:t xml:space="preserve">; </w:t>
      </w:r>
      <w:r w:rsidR="004D33BC" w:rsidRPr="001005B7">
        <w:t>Allen</w:t>
      </w:r>
      <w:r w:rsidR="00656A1E" w:rsidRPr="001005B7">
        <w:t>,</w:t>
      </w:r>
      <w:r w:rsidR="008B7C8E" w:rsidRPr="001005B7">
        <w:t xml:space="preserve"> 1:</w:t>
      </w:r>
      <w:r w:rsidR="004D33BC" w:rsidRPr="001005B7">
        <w:t>24</w:t>
      </w:r>
      <w:r w:rsidR="00F46900" w:rsidRPr="001005B7">
        <w:t>–</w:t>
      </w:r>
      <w:r w:rsidR="004D33BC" w:rsidRPr="001005B7">
        <w:t>25</w:t>
      </w:r>
      <w:r w:rsidR="008B7C8E" w:rsidRPr="001005B7">
        <w:t>).</w:t>
      </w:r>
    </w:p>
    <w:p w14:paraId="32F139C2" w14:textId="2251BADE" w:rsidR="000C3042" w:rsidRPr="001005B7" w:rsidRDefault="00191AC0" w:rsidP="007F0DD4">
      <w:pPr>
        <w:tabs>
          <w:tab w:val="left" w:pos="8310"/>
        </w:tabs>
        <w:rPr>
          <w:rFonts w:cstheme="minorHAnsi"/>
        </w:rPr>
      </w:pPr>
      <w:r w:rsidRPr="001005B7">
        <w:rPr>
          <w:rFonts w:cstheme="minorHAnsi"/>
          <w:b/>
          <w:bCs/>
        </w:rPr>
        <w:t>1:</w:t>
      </w:r>
      <w:r w:rsidR="005C321D" w:rsidRPr="001005B7">
        <w:rPr>
          <w:rFonts w:cstheme="minorHAnsi"/>
          <w:b/>
          <w:bCs/>
        </w:rPr>
        <w:t xml:space="preserve">5 </w:t>
      </w:r>
      <w:r w:rsidR="00BF575A" w:rsidRPr="001005B7">
        <w:rPr>
          <w:rFonts w:cstheme="minorHAnsi"/>
        </w:rPr>
        <w:t>Meanwhile, instead of any explicit reference to Yahweh</w:t>
      </w:r>
      <w:r w:rsidR="00C600C7" w:rsidRPr="001005B7">
        <w:rPr>
          <w:rFonts w:cstheme="minorHAnsi"/>
        </w:rPr>
        <w:t xml:space="preserve"> appearing</w:t>
      </w:r>
      <w:r w:rsidR="00BF575A" w:rsidRPr="001005B7">
        <w:rPr>
          <w:rFonts w:cstheme="minorHAnsi"/>
        </w:rPr>
        <w:t xml:space="preserve">, </w:t>
      </w:r>
      <w:r w:rsidR="005C321D" w:rsidRPr="001005B7">
        <w:rPr>
          <w:rFonts w:cstheme="minorHAnsi"/>
        </w:rPr>
        <w:t>from the middle of the fire</w:t>
      </w:r>
      <w:r w:rsidR="0003241D" w:rsidRPr="001005B7">
        <w:rPr>
          <w:rFonts w:cstheme="minorHAnsi"/>
        </w:rPr>
        <w:t xml:space="preserve"> </w:t>
      </w:r>
      <w:r w:rsidR="00E0317D" w:rsidRPr="001005B7">
        <w:rPr>
          <w:rFonts w:cstheme="minorHAnsi"/>
        </w:rPr>
        <w:t xml:space="preserve">there </w:t>
      </w:r>
      <w:r w:rsidR="00F9415F" w:rsidRPr="001005B7">
        <w:rPr>
          <w:rFonts w:cstheme="minorHAnsi"/>
        </w:rPr>
        <w:t>emerged</w:t>
      </w:r>
      <w:r w:rsidR="0003241D" w:rsidRPr="001005B7">
        <w:rPr>
          <w:rFonts w:cstheme="minorHAnsi"/>
        </w:rPr>
        <w:t xml:space="preserve"> the </w:t>
      </w:r>
      <w:r w:rsidR="00E8469B" w:rsidRPr="001005B7">
        <w:rPr>
          <w:rFonts w:cstheme="minorHAnsi"/>
        </w:rPr>
        <w:t>form</w:t>
      </w:r>
      <w:r w:rsidR="0003241D" w:rsidRPr="001005B7">
        <w:rPr>
          <w:rFonts w:cstheme="minorHAnsi"/>
        </w:rPr>
        <w:t xml:space="preserve"> of four living </w:t>
      </w:r>
      <w:r w:rsidR="004E5EB3" w:rsidRPr="001005B7">
        <w:rPr>
          <w:rFonts w:cstheme="minorHAnsi"/>
        </w:rPr>
        <w:t>beings</w:t>
      </w:r>
      <w:r w:rsidR="00943A92" w:rsidRPr="001005B7">
        <w:rPr>
          <w:rFonts w:cstheme="minorHAnsi"/>
        </w:rPr>
        <w:t xml:space="preserve"> (</w:t>
      </w:r>
      <w:r w:rsidR="00846995" w:rsidRPr="001005B7">
        <w:rPr>
          <w:rFonts w:cstheme="minorHAnsi"/>
          <w:rtl/>
          <w:lang w:bidi="he-IL"/>
        </w:rPr>
        <w:t>חַי</w:t>
      </w:r>
      <w:r w:rsidR="00FD29E0" w:rsidRPr="001005B7">
        <w:rPr>
          <w:rFonts w:cstheme="minorHAnsi"/>
          <w:rtl/>
          <w:lang w:bidi="he-IL"/>
        </w:rPr>
        <w:t>ּוֹת</w:t>
      </w:r>
      <w:r w:rsidR="00FD29E0" w:rsidRPr="001005B7">
        <w:rPr>
          <w:rFonts w:cstheme="minorHAnsi"/>
        </w:rPr>
        <w:t>)</w:t>
      </w:r>
      <w:r w:rsidR="00BA064A" w:rsidRPr="001005B7">
        <w:rPr>
          <w:rFonts w:cstheme="minorHAnsi"/>
        </w:rPr>
        <w:t xml:space="preserve">. The </w:t>
      </w:r>
      <w:r w:rsidR="007F0DD4" w:rsidRPr="001005B7">
        <w:rPr>
          <w:rFonts w:cstheme="minorHAnsi"/>
        </w:rPr>
        <w:t>phraseology</w:t>
      </w:r>
      <w:r w:rsidR="00E60572" w:rsidRPr="001005B7">
        <w:rPr>
          <w:rFonts w:cstheme="minorHAnsi"/>
        </w:rPr>
        <w:t xml:space="preserve"> suggests </w:t>
      </w:r>
      <w:r w:rsidR="00694CB8" w:rsidRPr="001005B7">
        <w:rPr>
          <w:rFonts w:cstheme="minorHAnsi"/>
        </w:rPr>
        <w:t xml:space="preserve">something that </w:t>
      </w:r>
      <w:r w:rsidR="00F9415F" w:rsidRPr="001005B7">
        <w:rPr>
          <w:rFonts w:cstheme="minorHAnsi"/>
        </w:rPr>
        <w:t>could</w:t>
      </w:r>
      <w:r w:rsidR="00694CB8" w:rsidRPr="001005B7">
        <w:rPr>
          <w:rFonts w:cstheme="minorHAnsi"/>
        </w:rPr>
        <w:t xml:space="preserve"> represent </w:t>
      </w:r>
      <w:r w:rsidR="007F0DD4" w:rsidRPr="001005B7">
        <w:rPr>
          <w:rFonts w:cstheme="minorHAnsi"/>
        </w:rPr>
        <w:t>living beings</w:t>
      </w:r>
      <w:r w:rsidR="00694CB8" w:rsidRPr="001005B7">
        <w:rPr>
          <w:rFonts w:cstheme="minorHAnsi"/>
        </w:rPr>
        <w:t xml:space="preserve"> or </w:t>
      </w:r>
      <w:r w:rsidR="00F50D87" w:rsidRPr="001005B7">
        <w:rPr>
          <w:rFonts w:cstheme="minorHAnsi"/>
        </w:rPr>
        <w:t>could resemble</w:t>
      </w:r>
      <w:r w:rsidR="00694CB8" w:rsidRPr="001005B7">
        <w:rPr>
          <w:rFonts w:cstheme="minorHAnsi"/>
        </w:rPr>
        <w:t xml:space="preserve"> them</w:t>
      </w:r>
      <w:r w:rsidR="004F1A87" w:rsidRPr="001005B7">
        <w:rPr>
          <w:rFonts w:cstheme="minorHAnsi"/>
        </w:rPr>
        <w:t xml:space="preserve">, even if </w:t>
      </w:r>
      <w:r w:rsidR="00350F33" w:rsidRPr="001005B7">
        <w:rPr>
          <w:rFonts w:cstheme="minorHAnsi"/>
        </w:rPr>
        <w:t>it was</w:t>
      </w:r>
      <w:r w:rsidR="004F1A87" w:rsidRPr="001005B7">
        <w:rPr>
          <w:rFonts w:cstheme="minorHAnsi"/>
        </w:rPr>
        <w:t xml:space="preserve"> not</w:t>
      </w:r>
      <w:r w:rsidR="00424662" w:rsidRPr="001005B7">
        <w:rPr>
          <w:rFonts w:cstheme="minorHAnsi"/>
        </w:rPr>
        <w:t xml:space="preserve"> a</w:t>
      </w:r>
      <w:r w:rsidR="004F1A87" w:rsidRPr="001005B7">
        <w:rPr>
          <w:rFonts w:cstheme="minorHAnsi"/>
        </w:rPr>
        <w:t xml:space="preserve"> real thing</w:t>
      </w:r>
      <w:r w:rsidR="00387DB5" w:rsidRPr="001005B7">
        <w:rPr>
          <w:rFonts w:cstheme="minorHAnsi"/>
        </w:rPr>
        <w:t xml:space="preserve">. </w:t>
      </w:r>
      <w:r w:rsidR="00424662" w:rsidRPr="001005B7">
        <w:rPr>
          <w:rFonts w:cstheme="minorHAnsi"/>
        </w:rPr>
        <w:t>Like</w:t>
      </w:r>
      <w:r w:rsidR="00387DB5" w:rsidRPr="001005B7">
        <w:rPr>
          <w:rFonts w:cstheme="minorHAnsi"/>
        </w:rPr>
        <w:t xml:space="preserve"> </w:t>
      </w:r>
      <w:proofErr w:type="spellStart"/>
      <w:r w:rsidR="00387DB5" w:rsidRPr="001005B7">
        <w:rPr>
          <w:rFonts w:cstheme="minorHAnsi"/>
          <w:i/>
          <w:iCs/>
        </w:rPr>
        <w:t>hashmal</w:t>
      </w:r>
      <w:proofErr w:type="spellEnd"/>
      <w:r w:rsidR="00387DB5" w:rsidRPr="001005B7">
        <w:rPr>
          <w:rFonts w:cstheme="minorHAnsi"/>
        </w:rPr>
        <w:t>, these composite creatures do not have a biblical background</w:t>
      </w:r>
      <w:r w:rsidR="00471E22" w:rsidRPr="001005B7">
        <w:rPr>
          <w:rFonts w:cstheme="minorHAnsi"/>
        </w:rPr>
        <w:t>,</w:t>
      </w:r>
      <w:r w:rsidR="00387DB5" w:rsidRPr="001005B7">
        <w:rPr>
          <w:rFonts w:cstheme="minorHAnsi"/>
        </w:rPr>
        <w:t xml:space="preserve"> but </w:t>
      </w:r>
      <w:r w:rsidR="00471E22" w:rsidRPr="001005B7">
        <w:rPr>
          <w:rFonts w:cstheme="minorHAnsi"/>
        </w:rPr>
        <w:t xml:space="preserve">they </w:t>
      </w:r>
      <w:r w:rsidR="00350F33" w:rsidRPr="001005B7">
        <w:rPr>
          <w:rFonts w:cstheme="minorHAnsi"/>
        </w:rPr>
        <w:t>do</w:t>
      </w:r>
      <w:r w:rsidR="00387DB5" w:rsidRPr="001005B7">
        <w:rPr>
          <w:rFonts w:cstheme="minorHAnsi"/>
        </w:rPr>
        <w:t xml:space="preserve"> have a background in Assyrian </w:t>
      </w:r>
      <w:r w:rsidR="00556949" w:rsidRPr="001005B7">
        <w:rPr>
          <w:rFonts w:cstheme="minorHAnsi"/>
        </w:rPr>
        <w:t>scul</w:t>
      </w:r>
      <w:r w:rsidR="00FF7578" w:rsidRPr="001005B7">
        <w:rPr>
          <w:rFonts w:cstheme="minorHAnsi"/>
        </w:rPr>
        <w:t>ptures and figurines</w:t>
      </w:r>
      <w:r w:rsidR="00387DB5" w:rsidRPr="001005B7">
        <w:rPr>
          <w:rFonts w:cstheme="minorHAnsi"/>
        </w:rPr>
        <w:t xml:space="preserve"> that could have been familiar in Babylon</w:t>
      </w:r>
      <w:r w:rsidR="00471E22" w:rsidRPr="001005B7">
        <w:rPr>
          <w:rFonts w:cstheme="minorHAnsi"/>
        </w:rPr>
        <w:t>ia</w:t>
      </w:r>
      <w:r w:rsidR="00387DB5" w:rsidRPr="001005B7">
        <w:rPr>
          <w:rFonts w:cstheme="minorHAnsi"/>
        </w:rPr>
        <w:t xml:space="preserve"> to Ezekiel and to some of his community</w:t>
      </w:r>
      <w:r w:rsidR="00FC4AF1" w:rsidRPr="001005B7">
        <w:rPr>
          <w:rFonts w:cstheme="minorHAnsi"/>
        </w:rPr>
        <w:t>.</w:t>
      </w:r>
      <w:r w:rsidR="00A919B0" w:rsidRPr="001005B7">
        <w:rPr>
          <w:rStyle w:val="FootnoteReference"/>
          <w:rFonts w:cstheme="minorHAnsi"/>
        </w:rPr>
        <w:footnoteReference w:id="108"/>
      </w:r>
      <w:r w:rsidR="00B3274E" w:rsidRPr="001005B7">
        <w:rPr>
          <w:rFonts w:cstheme="minorHAnsi"/>
        </w:rPr>
        <w:t xml:space="preserve"> </w:t>
      </w:r>
      <w:r w:rsidR="00FC4AF1" w:rsidRPr="001005B7">
        <w:rPr>
          <w:rFonts w:cstheme="minorHAnsi"/>
        </w:rPr>
        <w:t>T</w:t>
      </w:r>
      <w:r w:rsidR="00B3274E" w:rsidRPr="001005B7">
        <w:rPr>
          <w:rFonts w:cstheme="minorHAnsi"/>
        </w:rPr>
        <w:t>hey may also link with astrology.</w:t>
      </w:r>
      <w:r w:rsidR="00B3274E" w:rsidRPr="001005B7">
        <w:rPr>
          <w:rStyle w:val="FootnoteReference"/>
          <w:rFonts w:cstheme="minorHAnsi"/>
        </w:rPr>
        <w:footnoteReference w:id="109"/>
      </w:r>
      <w:r w:rsidR="00F95B24" w:rsidRPr="001005B7">
        <w:rPr>
          <w:rFonts w:cstheme="minorHAnsi"/>
        </w:rPr>
        <w:t xml:space="preserve"> </w:t>
      </w:r>
      <w:r w:rsidR="009E4758" w:rsidRPr="001005B7">
        <w:rPr>
          <w:rFonts w:cstheme="minorHAnsi"/>
        </w:rPr>
        <w:t>T</w:t>
      </w:r>
      <w:r w:rsidR="00F95B24" w:rsidRPr="001005B7">
        <w:rPr>
          <w:rFonts w:cstheme="minorHAnsi"/>
        </w:rPr>
        <w:t xml:space="preserve">hey </w:t>
      </w:r>
      <w:r w:rsidRPr="001005B7">
        <w:rPr>
          <w:rFonts w:cstheme="minorHAnsi"/>
        </w:rPr>
        <w:t>are</w:t>
      </w:r>
      <w:r w:rsidR="00F95B24" w:rsidRPr="001005B7">
        <w:rPr>
          <w:rFonts w:cstheme="minorHAnsi"/>
        </w:rPr>
        <w:t xml:space="preserve"> in some respects human-like, perhaps in standing upright</w:t>
      </w:r>
      <w:r w:rsidR="0063578F" w:rsidRPr="001005B7">
        <w:rPr>
          <w:rFonts w:cstheme="minorHAnsi"/>
        </w:rPr>
        <w:t>.</w:t>
      </w:r>
    </w:p>
    <w:p w14:paraId="2395CB26" w14:textId="3E20105E" w:rsidR="00193726" w:rsidRPr="001005B7" w:rsidRDefault="00191AC0" w:rsidP="00193726">
      <w:r w:rsidRPr="001005B7">
        <w:rPr>
          <w:rFonts w:cstheme="minorHAnsi"/>
          <w:b/>
          <w:bCs/>
        </w:rPr>
        <w:t>1:</w:t>
      </w:r>
      <w:r w:rsidR="00F95B24" w:rsidRPr="001005B7">
        <w:rPr>
          <w:rFonts w:cstheme="minorHAnsi"/>
          <w:b/>
          <w:bCs/>
        </w:rPr>
        <w:t>6</w:t>
      </w:r>
      <w:r w:rsidR="00F46900" w:rsidRPr="001005B7">
        <w:rPr>
          <w:rFonts w:cstheme="minorHAnsi"/>
          <w:b/>
          <w:bCs/>
        </w:rPr>
        <w:t>–</w:t>
      </w:r>
      <w:r w:rsidR="00A01070" w:rsidRPr="001005B7">
        <w:rPr>
          <w:rFonts w:cstheme="minorHAnsi"/>
          <w:b/>
          <w:bCs/>
        </w:rPr>
        <w:t>1</w:t>
      </w:r>
      <w:r w:rsidR="00E00DFA" w:rsidRPr="001005B7">
        <w:rPr>
          <w:rFonts w:cstheme="minorHAnsi"/>
          <w:b/>
          <w:bCs/>
        </w:rPr>
        <w:t>2</w:t>
      </w:r>
      <w:r w:rsidR="00F95B24" w:rsidRPr="001005B7">
        <w:rPr>
          <w:rFonts w:cstheme="minorHAnsi"/>
        </w:rPr>
        <w:t xml:space="preserve"> </w:t>
      </w:r>
      <w:r w:rsidR="00092592" w:rsidRPr="001005B7">
        <w:rPr>
          <w:rFonts w:cstheme="minorHAnsi"/>
        </w:rPr>
        <w:t>T</w:t>
      </w:r>
      <w:r w:rsidR="006663B2" w:rsidRPr="001005B7">
        <w:rPr>
          <w:rFonts w:cstheme="minorHAnsi"/>
        </w:rPr>
        <w:t xml:space="preserve">hroughout the description, </w:t>
      </w:r>
      <w:r w:rsidR="00B73393" w:rsidRPr="001005B7">
        <w:rPr>
          <w:rFonts w:cstheme="minorHAnsi"/>
        </w:rPr>
        <w:t>four</w:t>
      </w:r>
      <w:r w:rsidR="006663B2" w:rsidRPr="001005B7">
        <w:rPr>
          <w:rFonts w:cstheme="minorHAnsi"/>
        </w:rPr>
        <w:t xml:space="preserve"> suggests totality. </w:t>
      </w:r>
      <w:r w:rsidR="00FA2DE3" w:rsidRPr="001005B7">
        <w:rPr>
          <w:rFonts w:cstheme="minorHAnsi"/>
        </w:rPr>
        <w:t>The</w:t>
      </w:r>
      <w:r w:rsidR="00C86EC9" w:rsidRPr="001005B7">
        <w:rPr>
          <w:rFonts w:cstheme="minorHAnsi"/>
        </w:rPr>
        <w:t xml:space="preserve"> beings’</w:t>
      </w:r>
      <w:r w:rsidR="00F60FCA" w:rsidRPr="001005B7">
        <w:rPr>
          <w:rFonts w:cstheme="minorHAnsi"/>
        </w:rPr>
        <w:t xml:space="preserve"> </w:t>
      </w:r>
      <w:r w:rsidR="00F95B24" w:rsidRPr="001005B7">
        <w:rPr>
          <w:rFonts w:cstheme="minorHAnsi"/>
        </w:rPr>
        <w:t xml:space="preserve">four </w:t>
      </w:r>
      <w:r w:rsidR="00B414DD" w:rsidRPr="001005B7">
        <w:rPr>
          <w:rFonts w:cstheme="minorHAnsi"/>
        </w:rPr>
        <w:t>visages</w:t>
      </w:r>
      <w:r w:rsidR="00F95B24" w:rsidRPr="001005B7">
        <w:rPr>
          <w:rFonts w:cstheme="minorHAnsi"/>
        </w:rPr>
        <w:t xml:space="preserve"> enable them to face in all directions</w:t>
      </w:r>
      <w:r w:rsidR="00A01070" w:rsidRPr="001005B7">
        <w:rPr>
          <w:rFonts w:cstheme="minorHAnsi"/>
        </w:rPr>
        <w:t xml:space="preserve"> and move without turning</w:t>
      </w:r>
      <w:r w:rsidR="00FC4AF1" w:rsidRPr="001005B7">
        <w:rPr>
          <w:rFonts w:cstheme="minorHAnsi"/>
        </w:rPr>
        <w:t>.</w:t>
      </w:r>
      <w:r w:rsidR="00F25DC4" w:rsidRPr="001005B7">
        <w:rPr>
          <w:rFonts w:cstheme="minorHAnsi"/>
        </w:rPr>
        <w:t xml:space="preserve"> </w:t>
      </w:r>
      <w:r w:rsidR="00CB1BF7" w:rsidRPr="001005B7">
        <w:rPr>
          <w:rFonts w:cstheme="minorHAnsi"/>
        </w:rPr>
        <w:t>T</w:t>
      </w:r>
      <w:r w:rsidR="00AE764E" w:rsidRPr="001005B7">
        <w:rPr>
          <w:rFonts w:cstheme="minorHAnsi"/>
        </w:rPr>
        <w:t>he</w:t>
      </w:r>
      <w:r w:rsidR="006B3A16" w:rsidRPr="001005B7">
        <w:rPr>
          <w:rFonts w:cstheme="minorHAnsi"/>
        </w:rPr>
        <w:t>ir</w:t>
      </w:r>
      <w:r w:rsidR="00AE764E" w:rsidRPr="001005B7">
        <w:rPr>
          <w:rFonts w:cstheme="minorHAnsi"/>
        </w:rPr>
        <w:t xml:space="preserve"> </w:t>
      </w:r>
      <w:r w:rsidR="00831F2F" w:rsidRPr="001005B7">
        <w:rPr>
          <w:rFonts w:cstheme="minorHAnsi"/>
        </w:rPr>
        <w:t>wings</w:t>
      </w:r>
      <w:r w:rsidR="00CF0030" w:rsidRPr="001005B7">
        <w:rPr>
          <w:rFonts w:cstheme="minorHAnsi"/>
        </w:rPr>
        <w:t xml:space="preserve"> </w:t>
      </w:r>
      <w:r w:rsidR="00AE764E" w:rsidRPr="001005B7">
        <w:rPr>
          <w:rFonts w:cstheme="minorHAnsi"/>
        </w:rPr>
        <w:t>enable th</w:t>
      </w:r>
      <w:r w:rsidR="00A90092" w:rsidRPr="001005B7">
        <w:rPr>
          <w:rFonts w:cstheme="minorHAnsi"/>
        </w:rPr>
        <w:t>e</w:t>
      </w:r>
      <w:r w:rsidR="00F64578" w:rsidRPr="001005B7">
        <w:rPr>
          <w:rFonts w:cstheme="minorHAnsi"/>
        </w:rPr>
        <w:t>m</w:t>
      </w:r>
      <w:r w:rsidR="00AE764E" w:rsidRPr="001005B7">
        <w:rPr>
          <w:rFonts w:cstheme="minorHAnsi"/>
        </w:rPr>
        <w:t xml:space="preserve"> </w:t>
      </w:r>
      <w:r w:rsidR="00CF0030" w:rsidRPr="001005B7">
        <w:rPr>
          <w:rFonts w:cstheme="minorHAnsi"/>
        </w:rPr>
        <w:t xml:space="preserve">both </w:t>
      </w:r>
      <w:r w:rsidR="00AE764E" w:rsidRPr="001005B7">
        <w:rPr>
          <w:rFonts w:cstheme="minorHAnsi"/>
        </w:rPr>
        <w:t xml:space="preserve">to </w:t>
      </w:r>
      <w:r w:rsidR="00B65D0E" w:rsidRPr="001005B7">
        <w:rPr>
          <w:rFonts w:cstheme="minorHAnsi"/>
        </w:rPr>
        <w:t>move</w:t>
      </w:r>
      <w:r w:rsidR="00AE764E" w:rsidRPr="001005B7">
        <w:rPr>
          <w:rFonts w:cstheme="minorHAnsi"/>
        </w:rPr>
        <w:t xml:space="preserve"> (though th</w:t>
      </w:r>
      <w:r w:rsidR="00B65D0E" w:rsidRPr="001005B7">
        <w:rPr>
          <w:rFonts w:cstheme="minorHAnsi"/>
        </w:rPr>
        <w:t>e</w:t>
      </w:r>
      <w:r w:rsidR="00AE764E" w:rsidRPr="001005B7">
        <w:rPr>
          <w:rFonts w:cstheme="minorHAnsi"/>
        </w:rPr>
        <w:t xml:space="preserve"> verb </w:t>
      </w:r>
      <w:r w:rsidR="009A09DE" w:rsidRPr="001005B7">
        <w:rPr>
          <w:rFonts w:cstheme="minorHAnsi"/>
        </w:rPr>
        <w:t>“</w:t>
      </w:r>
      <w:r w:rsidR="00B65D0E" w:rsidRPr="001005B7">
        <w:rPr>
          <w:rFonts w:cstheme="minorHAnsi"/>
        </w:rPr>
        <w:t>fly</w:t>
      </w:r>
      <w:r w:rsidR="009A09DE" w:rsidRPr="001005B7">
        <w:rPr>
          <w:rFonts w:cstheme="minorHAnsi"/>
        </w:rPr>
        <w:t>”</w:t>
      </w:r>
      <w:r w:rsidR="00B65D0E" w:rsidRPr="001005B7">
        <w:rPr>
          <w:rFonts w:cstheme="minorHAnsi"/>
          <w:i/>
          <w:iCs/>
        </w:rPr>
        <w:t xml:space="preserve"> </w:t>
      </w:r>
      <w:r w:rsidR="00AE764E" w:rsidRPr="001005B7">
        <w:rPr>
          <w:rFonts w:cstheme="minorHAnsi"/>
        </w:rPr>
        <w:t>will not occur until Ezek 1</w:t>
      </w:r>
      <w:r w:rsidR="00C10193" w:rsidRPr="001005B7">
        <w:rPr>
          <w:rFonts w:cstheme="minorHAnsi"/>
        </w:rPr>
        <w:t>0</w:t>
      </w:r>
      <w:r w:rsidR="00AE764E" w:rsidRPr="001005B7">
        <w:rPr>
          <w:rFonts w:cstheme="minorHAnsi"/>
        </w:rPr>
        <w:t>)</w:t>
      </w:r>
      <w:r w:rsidR="00F25DC4" w:rsidRPr="001005B7">
        <w:rPr>
          <w:rFonts w:cstheme="minorHAnsi"/>
        </w:rPr>
        <w:t xml:space="preserve"> </w:t>
      </w:r>
      <w:r w:rsidR="00CF0030" w:rsidRPr="001005B7">
        <w:rPr>
          <w:rFonts w:cstheme="minorHAnsi"/>
        </w:rPr>
        <w:t>and</w:t>
      </w:r>
      <w:r w:rsidR="003025BF" w:rsidRPr="001005B7">
        <w:rPr>
          <w:rFonts w:cstheme="minorHAnsi"/>
        </w:rPr>
        <w:t xml:space="preserve"> to cover </w:t>
      </w:r>
      <w:r w:rsidR="00A90092" w:rsidRPr="001005B7">
        <w:rPr>
          <w:rFonts w:cstheme="minorHAnsi"/>
        </w:rPr>
        <w:t xml:space="preserve">their </w:t>
      </w:r>
      <w:r w:rsidR="005254E4" w:rsidRPr="001005B7">
        <w:rPr>
          <w:rFonts w:cstheme="minorHAnsi"/>
        </w:rPr>
        <w:t>bodies</w:t>
      </w:r>
      <w:r w:rsidR="00E80717" w:rsidRPr="001005B7">
        <w:rPr>
          <w:rFonts w:cstheme="minorHAnsi"/>
        </w:rPr>
        <w:t xml:space="preserve">, </w:t>
      </w:r>
      <w:r w:rsidR="00794500" w:rsidRPr="001005B7">
        <w:rPr>
          <w:rFonts w:cstheme="minorHAnsi"/>
        </w:rPr>
        <w:t xml:space="preserve">like the </w:t>
      </w:r>
      <w:r w:rsidR="00E80717" w:rsidRPr="001005B7">
        <w:rPr>
          <w:rFonts w:cstheme="minorHAnsi"/>
        </w:rPr>
        <w:t xml:space="preserve">six-winged </w:t>
      </w:r>
      <w:r w:rsidR="00794500" w:rsidRPr="001005B7">
        <w:rPr>
          <w:rFonts w:cstheme="minorHAnsi"/>
        </w:rPr>
        <w:t xml:space="preserve">seraphs in </w:t>
      </w:r>
      <w:r w:rsidR="005B4355" w:rsidRPr="001005B7">
        <w:rPr>
          <w:rFonts w:cstheme="minorHAnsi"/>
        </w:rPr>
        <w:t>Isa 6:2</w:t>
      </w:r>
      <w:r w:rsidR="007771E9" w:rsidRPr="001005B7">
        <w:rPr>
          <w:rFonts w:cstheme="minorHAnsi"/>
        </w:rPr>
        <w:t>. T</w:t>
      </w:r>
      <w:r w:rsidR="00E80717" w:rsidRPr="001005B7">
        <w:rPr>
          <w:rFonts w:cstheme="minorHAnsi"/>
        </w:rPr>
        <w:t xml:space="preserve">he </w:t>
      </w:r>
      <w:r w:rsidR="007541C8" w:rsidRPr="001005B7">
        <w:rPr>
          <w:rFonts w:cstheme="minorHAnsi"/>
        </w:rPr>
        <w:t xml:space="preserve">wooden </w:t>
      </w:r>
      <w:r w:rsidR="007554E9" w:rsidRPr="001005B7">
        <w:rPr>
          <w:rFonts w:cstheme="minorHAnsi"/>
        </w:rPr>
        <w:t>equivalents</w:t>
      </w:r>
      <w:r w:rsidR="00A22F42" w:rsidRPr="001005B7">
        <w:t xml:space="preserve"> </w:t>
      </w:r>
      <w:r w:rsidR="007D6523" w:rsidRPr="001005B7">
        <w:t xml:space="preserve">in the temple had </w:t>
      </w:r>
      <w:r w:rsidR="00C10193" w:rsidRPr="001005B7">
        <w:t xml:space="preserve">just </w:t>
      </w:r>
      <w:r w:rsidR="007D6523" w:rsidRPr="001005B7">
        <w:t>two</w:t>
      </w:r>
      <w:r w:rsidR="001470F5" w:rsidRPr="001005B7">
        <w:t xml:space="preserve"> wings</w:t>
      </w:r>
      <w:r w:rsidR="004E4771" w:rsidRPr="001005B7">
        <w:t xml:space="preserve">, </w:t>
      </w:r>
      <w:r w:rsidR="00253D18" w:rsidRPr="001005B7">
        <w:t xml:space="preserve">but they were also </w:t>
      </w:r>
      <w:r w:rsidR="004E4771" w:rsidRPr="001005B7">
        <w:t>touching, like these creatures</w:t>
      </w:r>
      <w:r w:rsidR="00C20584" w:rsidRPr="001005B7">
        <w:t>’ wings</w:t>
      </w:r>
      <w:r w:rsidR="00FD730A" w:rsidRPr="001005B7">
        <w:t xml:space="preserve">. </w:t>
      </w:r>
      <w:r w:rsidR="003C2E1F" w:rsidRPr="001005B7">
        <w:t>The</w:t>
      </w:r>
      <w:r w:rsidR="00D31A5C" w:rsidRPr="001005B7">
        <w:t xml:space="preserve">ir </w:t>
      </w:r>
      <w:r w:rsidR="00F95B24" w:rsidRPr="001005B7">
        <w:rPr>
          <w:rFonts w:cstheme="minorHAnsi"/>
        </w:rPr>
        <w:t>straight leg</w:t>
      </w:r>
      <w:r w:rsidR="00352E1A" w:rsidRPr="001005B7">
        <w:rPr>
          <w:rFonts w:cstheme="minorHAnsi"/>
        </w:rPr>
        <w:t xml:space="preserve">s </w:t>
      </w:r>
      <w:r w:rsidR="000C2803" w:rsidRPr="001005B7">
        <w:rPr>
          <w:rFonts w:cstheme="minorHAnsi"/>
        </w:rPr>
        <w:t xml:space="preserve">and </w:t>
      </w:r>
      <w:r w:rsidR="00810236" w:rsidRPr="001005B7">
        <w:rPr>
          <w:rFonts w:cstheme="minorHAnsi"/>
        </w:rPr>
        <w:t>joint</w:t>
      </w:r>
      <w:r w:rsidR="00BA5F13" w:rsidRPr="001005B7">
        <w:rPr>
          <w:rFonts w:cstheme="minorHAnsi"/>
        </w:rPr>
        <w:t>l</w:t>
      </w:r>
      <w:r w:rsidR="00810236" w:rsidRPr="001005B7">
        <w:rPr>
          <w:rFonts w:cstheme="minorHAnsi"/>
        </w:rPr>
        <w:t xml:space="preserve">ess feet </w:t>
      </w:r>
      <w:r w:rsidR="00E61470" w:rsidRPr="001005B7">
        <w:rPr>
          <w:rFonts w:cstheme="minorHAnsi"/>
        </w:rPr>
        <w:t xml:space="preserve">perhaps </w:t>
      </w:r>
      <w:r w:rsidR="00272AE1" w:rsidRPr="001005B7">
        <w:rPr>
          <w:rFonts w:cstheme="minorHAnsi"/>
        </w:rPr>
        <w:t xml:space="preserve">enhance their </w:t>
      </w:r>
      <w:r w:rsidR="00A9149C" w:rsidRPr="001005B7">
        <w:rPr>
          <w:rFonts w:cstheme="minorHAnsi"/>
        </w:rPr>
        <w:t>appearance</w:t>
      </w:r>
      <w:r w:rsidR="003C1177" w:rsidRPr="001005B7">
        <w:rPr>
          <w:rFonts w:cstheme="minorHAnsi"/>
        </w:rPr>
        <w:t>. Th</w:t>
      </w:r>
      <w:r w:rsidR="00C20584" w:rsidRPr="001005B7">
        <w:rPr>
          <w:rFonts w:cstheme="minorHAnsi"/>
        </w:rPr>
        <w:t>e</w:t>
      </w:r>
      <w:r w:rsidR="003C1177" w:rsidRPr="001005B7">
        <w:rPr>
          <w:rFonts w:cstheme="minorHAnsi"/>
        </w:rPr>
        <w:t xml:space="preserve"> description</w:t>
      </w:r>
      <w:r w:rsidR="00A9149C" w:rsidRPr="001005B7">
        <w:rPr>
          <w:rFonts w:cstheme="minorHAnsi"/>
        </w:rPr>
        <w:t xml:space="preserve"> leads into the </w:t>
      </w:r>
      <w:r w:rsidR="00B7770A" w:rsidRPr="001005B7">
        <w:rPr>
          <w:rFonts w:cstheme="minorHAnsi"/>
        </w:rPr>
        <w:t>portrayal</w:t>
      </w:r>
      <w:r w:rsidR="00A9149C" w:rsidRPr="001005B7">
        <w:rPr>
          <w:rFonts w:cstheme="minorHAnsi"/>
        </w:rPr>
        <w:t xml:space="preserve"> of their sparkle</w:t>
      </w:r>
      <w:r w:rsidR="00707F7F" w:rsidRPr="001005B7">
        <w:rPr>
          <w:rFonts w:cstheme="minorHAnsi"/>
        </w:rPr>
        <w:t xml:space="preserve"> (</w:t>
      </w:r>
      <w:proofErr w:type="spellStart"/>
      <w:r w:rsidR="00707F7F" w:rsidRPr="001005B7">
        <w:t>Zimmerli</w:t>
      </w:r>
      <w:proofErr w:type="spellEnd"/>
      <w:r w:rsidR="00656A1E" w:rsidRPr="001005B7">
        <w:t>,</w:t>
      </w:r>
      <w:r w:rsidR="00707F7F" w:rsidRPr="001005B7">
        <w:rPr>
          <w:i/>
          <w:iCs/>
        </w:rPr>
        <w:t xml:space="preserve"> </w:t>
      </w:r>
      <w:r w:rsidR="00707F7F" w:rsidRPr="001005B7">
        <w:t>1:126</w:t>
      </w:r>
      <w:r w:rsidR="00992612" w:rsidRPr="001005B7">
        <w:t>)</w:t>
      </w:r>
      <w:r w:rsidR="00A9149C" w:rsidRPr="001005B7">
        <w:rPr>
          <w:rFonts w:cstheme="minorHAnsi"/>
        </w:rPr>
        <w:t xml:space="preserve">. </w:t>
      </w:r>
      <w:r w:rsidR="00A01070" w:rsidRPr="001005B7">
        <w:rPr>
          <w:rFonts w:cstheme="minorHAnsi"/>
        </w:rPr>
        <w:t>The</w:t>
      </w:r>
      <w:r w:rsidR="00D31A5C" w:rsidRPr="001005B7">
        <w:rPr>
          <w:rFonts w:cstheme="minorHAnsi"/>
        </w:rPr>
        <w:t>ir</w:t>
      </w:r>
      <w:r w:rsidR="00A01070" w:rsidRPr="001005B7">
        <w:rPr>
          <w:rFonts w:cstheme="minorHAnsi"/>
        </w:rPr>
        <w:t xml:space="preserve"> hands would enable them to </w:t>
      </w:r>
      <w:r w:rsidR="0024409F" w:rsidRPr="001005B7">
        <w:rPr>
          <w:rFonts w:cstheme="minorHAnsi"/>
        </w:rPr>
        <w:t>act in the way Eze</w:t>
      </w:r>
      <w:r w:rsidR="00F56B38" w:rsidRPr="001005B7">
        <w:rPr>
          <w:rFonts w:cstheme="minorHAnsi"/>
        </w:rPr>
        <w:t>k</w:t>
      </w:r>
      <w:r w:rsidR="0024409F" w:rsidRPr="001005B7">
        <w:rPr>
          <w:rFonts w:cstheme="minorHAnsi"/>
        </w:rPr>
        <w:t xml:space="preserve"> 10 will describe</w:t>
      </w:r>
      <w:r w:rsidR="00A01070" w:rsidRPr="001005B7">
        <w:rPr>
          <w:rFonts w:cstheme="minorHAnsi"/>
        </w:rPr>
        <w:t>. As well as a human face, they ha</w:t>
      </w:r>
      <w:r w:rsidR="00962EC1" w:rsidRPr="001005B7">
        <w:rPr>
          <w:rFonts w:cstheme="minorHAnsi"/>
        </w:rPr>
        <w:t>ve</w:t>
      </w:r>
      <w:r w:rsidR="00A01070" w:rsidRPr="001005B7">
        <w:rPr>
          <w:rFonts w:cstheme="minorHAnsi"/>
        </w:rPr>
        <w:t xml:space="preserve"> </w:t>
      </w:r>
      <w:r w:rsidR="00D03992" w:rsidRPr="001005B7">
        <w:rPr>
          <w:rFonts w:cstheme="minorHAnsi"/>
        </w:rPr>
        <w:t xml:space="preserve">a lion’s </w:t>
      </w:r>
      <w:r w:rsidR="004C1209" w:rsidRPr="001005B7">
        <w:rPr>
          <w:rFonts w:cstheme="minorHAnsi"/>
        </w:rPr>
        <w:t>face</w:t>
      </w:r>
      <w:r w:rsidR="00616390" w:rsidRPr="001005B7">
        <w:rPr>
          <w:rFonts w:cstheme="minorHAnsi"/>
        </w:rPr>
        <w:t>,</w:t>
      </w:r>
      <w:r w:rsidR="00683D0F" w:rsidRPr="001005B7">
        <w:rPr>
          <w:rFonts w:cstheme="minorHAnsi"/>
        </w:rPr>
        <w:t xml:space="preserve"> suggest</w:t>
      </w:r>
      <w:r w:rsidR="003D5590" w:rsidRPr="001005B7">
        <w:rPr>
          <w:rFonts w:cstheme="minorHAnsi"/>
        </w:rPr>
        <w:t>ing</w:t>
      </w:r>
      <w:r w:rsidR="00A01070" w:rsidRPr="001005B7">
        <w:rPr>
          <w:rFonts w:cstheme="minorHAnsi"/>
        </w:rPr>
        <w:t xml:space="preserve"> fierceness</w:t>
      </w:r>
      <w:r w:rsidR="00683D0F" w:rsidRPr="001005B7">
        <w:rPr>
          <w:rFonts w:cstheme="minorHAnsi"/>
        </w:rPr>
        <w:t xml:space="preserve"> (Job </w:t>
      </w:r>
      <w:r w:rsidR="00DF6576" w:rsidRPr="001005B7">
        <w:rPr>
          <w:rFonts w:cstheme="minorHAnsi"/>
        </w:rPr>
        <w:t>4:10</w:t>
      </w:r>
      <w:r w:rsidR="00A01070" w:rsidRPr="001005B7">
        <w:rPr>
          <w:rFonts w:cstheme="minorHAnsi"/>
        </w:rPr>
        <w:t xml:space="preserve">), </w:t>
      </w:r>
      <w:r w:rsidR="004C1209" w:rsidRPr="001005B7">
        <w:rPr>
          <w:rFonts w:cstheme="minorHAnsi"/>
        </w:rPr>
        <w:t>an</w:t>
      </w:r>
      <w:r w:rsidR="00A01070" w:rsidRPr="001005B7">
        <w:rPr>
          <w:rFonts w:cstheme="minorHAnsi"/>
        </w:rPr>
        <w:t xml:space="preserve"> </w:t>
      </w:r>
      <w:r w:rsidR="004C1209" w:rsidRPr="001005B7">
        <w:rPr>
          <w:rFonts w:cstheme="minorHAnsi"/>
        </w:rPr>
        <w:t>ox</w:t>
      </w:r>
      <w:r w:rsidR="00D03992" w:rsidRPr="001005B7">
        <w:rPr>
          <w:rFonts w:cstheme="minorHAnsi"/>
        </w:rPr>
        <w:t>’s face</w:t>
      </w:r>
      <w:r w:rsidR="00810F11" w:rsidRPr="001005B7">
        <w:rPr>
          <w:rFonts w:cstheme="minorHAnsi"/>
        </w:rPr>
        <w:t>, suggest</w:t>
      </w:r>
      <w:r w:rsidR="003D5590" w:rsidRPr="001005B7">
        <w:rPr>
          <w:rFonts w:cstheme="minorHAnsi"/>
        </w:rPr>
        <w:t>ing</w:t>
      </w:r>
      <w:r w:rsidR="00A01070" w:rsidRPr="001005B7">
        <w:rPr>
          <w:rFonts w:cstheme="minorHAnsi"/>
        </w:rPr>
        <w:t xml:space="preserve"> strength</w:t>
      </w:r>
      <w:r w:rsidR="00810F11" w:rsidRPr="001005B7">
        <w:rPr>
          <w:rFonts w:cstheme="minorHAnsi"/>
        </w:rPr>
        <w:t xml:space="preserve"> (</w:t>
      </w:r>
      <w:proofErr w:type="spellStart"/>
      <w:r w:rsidR="00E12B22" w:rsidRPr="001005B7">
        <w:rPr>
          <w:rFonts w:cstheme="minorHAnsi"/>
        </w:rPr>
        <w:t>Ps</w:t>
      </w:r>
      <w:r w:rsidR="009872C0" w:rsidRPr="001005B7">
        <w:rPr>
          <w:rFonts w:cstheme="minorHAnsi"/>
        </w:rPr>
        <w:t>a</w:t>
      </w:r>
      <w:proofErr w:type="spellEnd"/>
      <w:r w:rsidR="00E12B22" w:rsidRPr="001005B7">
        <w:rPr>
          <w:rFonts w:cstheme="minorHAnsi"/>
        </w:rPr>
        <w:t xml:space="preserve"> 144:14</w:t>
      </w:r>
      <w:r w:rsidR="00A01070" w:rsidRPr="001005B7">
        <w:rPr>
          <w:rFonts w:cstheme="minorHAnsi"/>
        </w:rPr>
        <w:t xml:space="preserve">), and </w:t>
      </w:r>
      <w:r w:rsidR="004C1209" w:rsidRPr="001005B7">
        <w:rPr>
          <w:rFonts w:cstheme="minorHAnsi"/>
        </w:rPr>
        <w:t>an</w:t>
      </w:r>
      <w:r w:rsidR="00A01070" w:rsidRPr="001005B7">
        <w:rPr>
          <w:rFonts w:cstheme="minorHAnsi"/>
        </w:rPr>
        <w:t xml:space="preserve"> eagle</w:t>
      </w:r>
      <w:r w:rsidR="00D03992" w:rsidRPr="001005B7">
        <w:rPr>
          <w:rFonts w:cstheme="minorHAnsi"/>
        </w:rPr>
        <w:t>’s face</w:t>
      </w:r>
      <w:r w:rsidR="00DF6576" w:rsidRPr="001005B7">
        <w:rPr>
          <w:rFonts w:cstheme="minorHAnsi"/>
        </w:rPr>
        <w:t xml:space="preserve">, </w:t>
      </w:r>
      <w:r w:rsidR="007275AD" w:rsidRPr="001005B7">
        <w:rPr>
          <w:rFonts w:cstheme="minorHAnsi"/>
        </w:rPr>
        <w:t>suggest</w:t>
      </w:r>
      <w:r w:rsidR="003D5590" w:rsidRPr="001005B7">
        <w:rPr>
          <w:rFonts w:cstheme="minorHAnsi"/>
        </w:rPr>
        <w:t>ing</w:t>
      </w:r>
      <w:r w:rsidR="007275AD" w:rsidRPr="001005B7">
        <w:rPr>
          <w:rFonts w:cstheme="minorHAnsi"/>
        </w:rPr>
        <w:t xml:space="preserve"> speed</w:t>
      </w:r>
      <w:r w:rsidR="00A01070" w:rsidRPr="001005B7">
        <w:rPr>
          <w:rFonts w:cstheme="minorHAnsi"/>
        </w:rPr>
        <w:t xml:space="preserve"> (</w:t>
      </w:r>
      <w:r w:rsidR="00507902" w:rsidRPr="001005B7">
        <w:rPr>
          <w:rFonts w:cstheme="minorHAnsi"/>
        </w:rPr>
        <w:t>Deut 28:49</w:t>
      </w:r>
      <w:r w:rsidR="00A01070" w:rsidRPr="001005B7">
        <w:rPr>
          <w:rFonts w:cstheme="minorHAnsi"/>
        </w:rPr>
        <w:t>)</w:t>
      </w:r>
      <w:r w:rsidR="00C94E88" w:rsidRPr="001005B7">
        <w:rPr>
          <w:rFonts w:cstheme="minorHAnsi"/>
        </w:rPr>
        <w:t xml:space="preserve">. </w:t>
      </w:r>
      <w:r w:rsidR="00965EBA" w:rsidRPr="001005B7">
        <w:rPr>
          <w:rFonts w:cstheme="minorHAnsi"/>
        </w:rPr>
        <w:t>“</w:t>
      </w:r>
      <w:r w:rsidR="00193726" w:rsidRPr="001005B7">
        <w:t>Where</w:t>
      </w:r>
      <w:r w:rsidR="00193726" w:rsidRPr="001005B7">
        <w:rPr>
          <w:i/>
          <w:iCs/>
        </w:rPr>
        <w:t xml:space="preserve"> </w:t>
      </w:r>
      <w:r w:rsidR="00155384" w:rsidRPr="001005B7">
        <w:rPr>
          <w:rFonts w:cstheme="minorHAnsi"/>
          <w:rtl/>
          <w:lang w:bidi="he-IL"/>
        </w:rPr>
        <w:t>הׇרו</w:t>
      </w:r>
      <w:r w:rsidR="00BB73FB" w:rsidRPr="001005B7">
        <w:rPr>
          <w:rFonts w:cstheme="minorHAnsi"/>
          <w:rtl/>
          <w:lang w:bidi="he-IL"/>
        </w:rPr>
        <w:t>ּ</w:t>
      </w:r>
      <w:r w:rsidR="004D200E" w:rsidRPr="001005B7">
        <w:rPr>
          <w:rFonts w:cstheme="minorHAnsi"/>
          <w:rtl/>
          <w:lang w:bidi="he-IL"/>
        </w:rPr>
        <w:t>ַ</w:t>
      </w:r>
      <w:r w:rsidR="00BB73FB" w:rsidRPr="001005B7">
        <w:rPr>
          <w:rFonts w:cstheme="minorHAnsi"/>
          <w:rtl/>
          <w:lang w:bidi="he-IL"/>
        </w:rPr>
        <w:t>ח</w:t>
      </w:r>
      <w:r w:rsidR="00193726" w:rsidRPr="001005B7">
        <w:rPr>
          <w:i/>
          <w:iCs/>
        </w:rPr>
        <w:t xml:space="preserve"> </w:t>
      </w:r>
      <w:r w:rsidR="00193726" w:rsidRPr="001005B7">
        <w:t>would</w:t>
      </w:r>
      <w:r w:rsidR="00193726" w:rsidRPr="001005B7">
        <w:rPr>
          <w:i/>
          <w:iCs/>
        </w:rPr>
        <w:t xml:space="preserve"> </w:t>
      </w:r>
      <w:r w:rsidR="00193726" w:rsidRPr="001005B7">
        <w:t>be</w:t>
      </w:r>
      <w:r w:rsidR="00193726" w:rsidRPr="001005B7">
        <w:rPr>
          <w:i/>
          <w:iCs/>
        </w:rPr>
        <w:t xml:space="preserve">, </w:t>
      </w:r>
      <w:r w:rsidR="00193726" w:rsidRPr="001005B7">
        <w:t>they</w:t>
      </w:r>
      <w:r w:rsidR="00193726" w:rsidRPr="001005B7">
        <w:rPr>
          <w:i/>
          <w:iCs/>
        </w:rPr>
        <w:t xml:space="preserve"> </w:t>
      </w:r>
      <w:r w:rsidR="00193726" w:rsidRPr="001005B7">
        <w:t>would</w:t>
      </w:r>
      <w:r w:rsidR="00193726" w:rsidRPr="001005B7">
        <w:rPr>
          <w:i/>
          <w:iCs/>
        </w:rPr>
        <w:t xml:space="preserve"> </w:t>
      </w:r>
      <w:r w:rsidR="00193726" w:rsidRPr="001005B7">
        <w:t>definitely</w:t>
      </w:r>
      <w:r w:rsidR="00193726" w:rsidRPr="001005B7">
        <w:rPr>
          <w:i/>
          <w:iCs/>
        </w:rPr>
        <w:t xml:space="preserve"> </w:t>
      </w:r>
      <w:r w:rsidR="00193726" w:rsidRPr="001005B7">
        <w:t>go</w:t>
      </w:r>
      <w:r w:rsidR="00915643" w:rsidRPr="001005B7">
        <w:t>”</w:t>
      </w:r>
      <w:r w:rsidR="00193726" w:rsidRPr="001005B7">
        <w:t xml:space="preserve">: </w:t>
      </w:r>
      <w:r w:rsidR="009E274E" w:rsidRPr="001005B7">
        <w:t xml:space="preserve">the ambiguity of the word for </w:t>
      </w:r>
      <w:r w:rsidR="00193726" w:rsidRPr="001005B7">
        <w:t>spirit</w:t>
      </w:r>
      <w:r w:rsidR="009E274E" w:rsidRPr="001005B7">
        <w:t xml:space="preserve"> or</w:t>
      </w:r>
      <w:r w:rsidR="00162FAD" w:rsidRPr="001005B7">
        <w:t xml:space="preserve"> wind</w:t>
      </w:r>
      <w:r w:rsidR="00A8348F" w:rsidRPr="001005B7">
        <w:rPr>
          <w:rFonts w:cstheme="minorHAnsi"/>
        </w:rPr>
        <w:t xml:space="preserve"> </w:t>
      </w:r>
      <w:r w:rsidR="009E274E" w:rsidRPr="001005B7">
        <w:rPr>
          <w:rFonts w:cstheme="minorHAnsi"/>
        </w:rPr>
        <w:t xml:space="preserve">is </w:t>
      </w:r>
      <w:r w:rsidR="00F15233" w:rsidRPr="001005B7">
        <w:t>a fur</w:t>
      </w:r>
      <w:r w:rsidR="00193726" w:rsidRPr="001005B7">
        <w:t>ther</w:t>
      </w:r>
      <w:r w:rsidR="00B7759C" w:rsidRPr="001005B7">
        <w:t xml:space="preserve"> </w:t>
      </w:r>
      <w:r w:rsidR="00497E85" w:rsidRPr="001005B7">
        <w:t xml:space="preserve">tantalizing </w:t>
      </w:r>
      <w:r w:rsidR="00FA61EB" w:rsidRPr="001005B7">
        <w:t>note</w:t>
      </w:r>
      <w:r w:rsidR="00193726" w:rsidRPr="001005B7">
        <w:t xml:space="preserve"> that Ezekiel does not clarify</w:t>
      </w:r>
      <w:r w:rsidR="001E64CB" w:rsidRPr="001005B7">
        <w:t xml:space="preserve"> </w:t>
      </w:r>
      <w:r w:rsidR="004715FA" w:rsidRPr="001005B7">
        <w:t>here</w:t>
      </w:r>
      <w:r w:rsidR="00193726" w:rsidRPr="001005B7">
        <w:t>, but later</w:t>
      </w:r>
      <w:r w:rsidR="0043009E" w:rsidRPr="001005B7">
        <w:t xml:space="preserve"> </w:t>
      </w:r>
      <w:r w:rsidR="00193726" w:rsidRPr="001005B7">
        <w:t>will</w:t>
      </w:r>
      <w:r w:rsidR="00497E85" w:rsidRPr="001005B7">
        <w:t>.</w:t>
      </w:r>
    </w:p>
    <w:p w14:paraId="387FE837" w14:textId="5649E064" w:rsidR="00E00DFA" w:rsidRPr="001005B7" w:rsidRDefault="004B3F53" w:rsidP="00193726">
      <w:pPr>
        <w:rPr>
          <w:rFonts w:cstheme="minorHAnsi"/>
          <w:i/>
          <w:iCs/>
        </w:rPr>
      </w:pPr>
      <w:r w:rsidRPr="001005B7">
        <w:rPr>
          <w:b/>
          <w:bCs/>
        </w:rPr>
        <w:t>1:</w:t>
      </w:r>
      <w:r w:rsidR="00E00DFA" w:rsidRPr="001005B7">
        <w:rPr>
          <w:b/>
          <w:bCs/>
        </w:rPr>
        <w:t>13</w:t>
      </w:r>
      <w:r w:rsidR="00F46900" w:rsidRPr="001005B7">
        <w:rPr>
          <w:b/>
          <w:bCs/>
        </w:rPr>
        <w:t>–</w:t>
      </w:r>
      <w:r w:rsidR="00E00DFA" w:rsidRPr="001005B7">
        <w:rPr>
          <w:b/>
          <w:bCs/>
        </w:rPr>
        <w:t>14</w:t>
      </w:r>
      <w:r w:rsidRPr="001005B7">
        <w:rPr>
          <w:b/>
          <w:bCs/>
        </w:rPr>
        <w:t xml:space="preserve"> </w:t>
      </w:r>
      <w:r w:rsidR="00620A92" w:rsidRPr="001005B7">
        <w:rPr>
          <w:rFonts w:cstheme="minorHAnsi"/>
          <w:rtl/>
          <w:lang w:bidi="he-IL"/>
        </w:rPr>
        <w:t>וּ</w:t>
      </w:r>
      <w:r w:rsidR="00AD5E03" w:rsidRPr="001005B7">
        <w:rPr>
          <w:rFonts w:cstheme="minorHAnsi"/>
          <w:rtl/>
          <w:lang w:bidi="he-IL"/>
        </w:rPr>
        <w:t>דְמוּת</w:t>
      </w:r>
      <w:r w:rsidR="00B0012B" w:rsidRPr="001005B7">
        <w:t>,</w:t>
      </w:r>
      <w:r w:rsidR="00B0012B" w:rsidRPr="001005B7">
        <w:rPr>
          <w:b/>
          <w:bCs/>
        </w:rPr>
        <w:t xml:space="preserve"> </w:t>
      </w:r>
      <w:r w:rsidR="00B0012B" w:rsidRPr="001005B7">
        <w:t>“so</w:t>
      </w:r>
      <w:r w:rsidR="001F4173" w:rsidRPr="001005B7">
        <w:rPr>
          <w:i/>
          <w:iCs/>
        </w:rPr>
        <w:t xml:space="preserve"> </w:t>
      </w:r>
      <w:r w:rsidR="001F4173" w:rsidRPr="001005B7">
        <w:t>the</w:t>
      </w:r>
      <w:r w:rsidR="001F4173" w:rsidRPr="001005B7">
        <w:rPr>
          <w:i/>
          <w:iCs/>
        </w:rPr>
        <w:t xml:space="preserve"> </w:t>
      </w:r>
      <w:r w:rsidR="00FC3293" w:rsidRPr="001005B7">
        <w:t>form</w:t>
      </w:r>
      <w:r w:rsidR="00B0012B" w:rsidRPr="001005B7">
        <w:t>,</w:t>
      </w:r>
      <w:r w:rsidR="00547212" w:rsidRPr="001005B7">
        <w:t>”</w:t>
      </w:r>
      <w:r w:rsidR="001F4173" w:rsidRPr="001005B7">
        <w:t xml:space="preserve"> introduces a resumptive further description of the creatures that picks up </w:t>
      </w:r>
      <w:r w:rsidR="006143E7" w:rsidRPr="001005B7">
        <w:t>the fire and brigh</w:t>
      </w:r>
      <w:r w:rsidR="00FB11C2" w:rsidRPr="001005B7">
        <w:t>t</w:t>
      </w:r>
      <w:r w:rsidR="006143E7" w:rsidRPr="001005B7">
        <w:t>ness</w:t>
      </w:r>
      <w:r w:rsidR="001F4173" w:rsidRPr="001005B7">
        <w:t xml:space="preserve"> from </w:t>
      </w:r>
      <w:r w:rsidR="00B63999" w:rsidRPr="001005B7">
        <w:t xml:space="preserve">the beginning in </w:t>
      </w:r>
      <w:r w:rsidR="0042084A" w:rsidRPr="001005B7">
        <w:t>1:</w:t>
      </w:r>
      <w:r w:rsidR="00B63999" w:rsidRPr="001005B7">
        <w:t>4</w:t>
      </w:r>
      <w:r w:rsidR="006143E7" w:rsidRPr="001005B7">
        <w:t xml:space="preserve"> </w:t>
      </w:r>
      <w:r w:rsidR="00D167F2" w:rsidRPr="001005B7">
        <w:t>and elaborates it</w:t>
      </w:r>
      <w:r w:rsidR="006143E7" w:rsidRPr="001005B7">
        <w:t>.</w:t>
      </w:r>
    </w:p>
    <w:p w14:paraId="23D91F62" w14:textId="032940B5" w:rsidR="00DD7579" w:rsidRPr="001005B7" w:rsidRDefault="004B3F53" w:rsidP="00E149D3">
      <w:pPr>
        <w:rPr>
          <w:rFonts w:cstheme="minorHAnsi"/>
        </w:rPr>
      </w:pPr>
      <w:r w:rsidRPr="001005B7">
        <w:rPr>
          <w:rFonts w:cstheme="minorHAnsi"/>
          <w:b/>
          <w:bCs/>
        </w:rPr>
        <w:t>1:</w:t>
      </w:r>
      <w:r w:rsidR="00F25DC4" w:rsidRPr="001005B7">
        <w:rPr>
          <w:rFonts w:cstheme="minorHAnsi"/>
          <w:b/>
          <w:bCs/>
        </w:rPr>
        <w:t>15</w:t>
      </w:r>
      <w:r w:rsidR="00F46900" w:rsidRPr="001005B7">
        <w:rPr>
          <w:rFonts w:cstheme="minorHAnsi"/>
          <w:b/>
          <w:bCs/>
        </w:rPr>
        <w:t>–</w:t>
      </w:r>
      <w:r w:rsidR="00201D1C" w:rsidRPr="001005B7">
        <w:rPr>
          <w:rFonts w:cstheme="minorHAnsi"/>
          <w:b/>
          <w:bCs/>
        </w:rPr>
        <w:t xml:space="preserve">21 </w:t>
      </w:r>
      <w:r w:rsidR="00A759AC" w:rsidRPr="001005B7">
        <w:rPr>
          <w:rFonts w:cstheme="minorHAnsi"/>
        </w:rPr>
        <w:t>Ezekiel</w:t>
      </w:r>
      <w:r w:rsidR="00A759AC" w:rsidRPr="001005B7">
        <w:rPr>
          <w:rFonts w:cstheme="minorHAnsi"/>
          <w:b/>
          <w:bCs/>
        </w:rPr>
        <w:t xml:space="preserve"> </w:t>
      </w:r>
      <w:r w:rsidR="00645428" w:rsidRPr="001005B7">
        <w:rPr>
          <w:rFonts w:cstheme="minorHAnsi"/>
        </w:rPr>
        <w:t>continue to</w:t>
      </w:r>
      <w:r w:rsidR="00A759AC" w:rsidRPr="001005B7">
        <w:rPr>
          <w:rFonts w:cstheme="minorHAnsi"/>
        </w:rPr>
        <w:t xml:space="preserve"> keep readers in suspense over what the</w:t>
      </w:r>
      <w:r w:rsidR="0039606F" w:rsidRPr="001005B7">
        <w:rPr>
          <w:rFonts w:cstheme="minorHAnsi"/>
        </w:rPr>
        <w:t xml:space="preserve"> living beings</w:t>
      </w:r>
      <w:r w:rsidR="00A759AC" w:rsidRPr="001005B7">
        <w:rPr>
          <w:rFonts w:cstheme="minorHAnsi"/>
        </w:rPr>
        <w:t xml:space="preserve"> signify and how Yahweh comes into the picture, </w:t>
      </w:r>
      <w:r w:rsidR="005416D1" w:rsidRPr="001005B7">
        <w:rPr>
          <w:rFonts w:cstheme="minorHAnsi"/>
        </w:rPr>
        <w:t xml:space="preserve">as he now describes the </w:t>
      </w:r>
      <w:r w:rsidR="00FE6659" w:rsidRPr="001005B7">
        <w:rPr>
          <w:rFonts w:cstheme="minorHAnsi"/>
        </w:rPr>
        <w:t>wheels alongside the</w:t>
      </w:r>
      <w:r w:rsidR="00156E9A" w:rsidRPr="001005B7">
        <w:rPr>
          <w:rFonts w:cstheme="minorHAnsi"/>
        </w:rPr>
        <w:t xml:space="preserve"> living beings</w:t>
      </w:r>
      <w:r w:rsidR="007E6931" w:rsidRPr="001005B7">
        <w:rPr>
          <w:rFonts w:cstheme="minorHAnsi"/>
        </w:rPr>
        <w:t xml:space="preserve">. </w:t>
      </w:r>
      <w:r w:rsidR="00AE3748" w:rsidRPr="001005B7">
        <w:rPr>
          <w:rFonts w:cstheme="minorHAnsi"/>
        </w:rPr>
        <w:t xml:space="preserve">Presumably </w:t>
      </w:r>
      <w:r w:rsidR="00CC5F15" w:rsidRPr="001005B7">
        <w:rPr>
          <w:rFonts w:cstheme="minorHAnsi"/>
        </w:rPr>
        <w:t xml:space="preserve">the wheels make travel possible across land, </w:t>
      </w:r>
      <w:r w:rsidR="00AE3748" w:rsidRPr="001005B7">
        <w:rPr>
          <w:rFonts w:cstheme="minorHAnsi"/>
        </w:rPr>
        <w:t>the wings through the air</w:t>
      </w:r>
      <w:r w:rsidR="00CC5F15" w:rsidRPr="001005B7">
        <w:rPr>
          <w:rFonts w:cstheme="minorHAnsi"/>
        </w:rPr>
        <w:t>.</w:t>
      </w:r>
      <w:r w:rsidR="00AE3748" w:rsidRPr="001005B7">
        <w:rPr>
          <w:rFonts w:cstheme="minorHAnsi"/>
        </w:rPr>
        <w:t xml:space="preserve"> </w:t>
      </w:r>
      <w:r w:rsidR="00370ACE" w:rsidRPr="001005B7">
        <w:rPr>
          <w:rFonts w:cstheme="minorHAnsi"/>
        </w:rPr>
        <w:t>E</w:t>
      </w:r>
      <w:r w:rsidR="00C816CB" w:rsidRPr="001005B7">
        <w:rPr>
          <w:rFonts w:cstheme="minorHAnsi"/>
        </w:rPr>
        <w:t xml:space="preserve">ach </w:t>
      </w:r>
      <w:r w:rsidR="00AE3748" w:rsidRPr="001005B7">
        <w:rPr>
          <w:rFonts w:cstheme="minorHAnsi"/>
        </w:rPr>
        <w:t>wheel</w:t>
      </w:r>
      <w:r w:rsidR="00B0760B" w:rsidRPr="001005B7">
        <w:rPr>
          <w:rFonts w:cstheme="minorHAnsi"/>
        </w:rPr>
        <w:t>’s</w:t>
      </w:r>
      <w:r w:rsidR="00AE3748" w:rsidRPr="001005B7">
        <w:rPr>
          <w:rFonts w:cstheme="minorHAnsi"/>
        </w:rPr>
        <w:t xml:space="preserve"> </w:t>
      </w:r>
      <w:r w:rsidR="00B6299B" w:rsidRPr="001005B7">
        <w:rPr>
          <w:rFonts w:cstheme="minorHAnsi"/>
        </w:rPr>
        <w:t>compris</w:t>
      </w:r>
      <w:r w:rsidR="00507CFB" w:rsidRPr="001005B7">
        <w:rPr>
          <w:rFonts w:cstheme="minorHAnsi"/>
        </w:rPr>
        <w:t>ing</w:t>
      </w:r>
      <w:r w:rsidR="00C816CB" w:rsidRPr="001005B7">
        <w:rPr>
          <w:rFonts w:cstheme="minorHAnsi"/>
        </w:rPr>
        <w:t xml:space="preserve"> a wheel within a wheel might mean they </w:t>
      </w:r>
      <w:r w:rsidR="0051279B" w:rsidRPr="001005B7">
        <w:rPr>
          <w:rFonts w:cstheme="minorHAnsi"/>
        </w:rPr>
        <w:t xml:space="preserve">interrelate </w:t>
      </w:r>
      <w:r w:rsidR="00C816CB" w:rsidRPr="001005B7">
        <w:rPr>
          <w:rFonts w:cstheme="minorHAnsi"/>
        </w:rPr>
        <w:t>concentric</w:t>
      </w:r>
      <w:r w:rsidR="0051279B" w:rsidRPr="001005B7">
        <w:rPr>
          <w:rFonts w:cstheme="minorHAnsi"/>
        </w:rPr>
        <w:t>ally</w:t>
      </w:r>
      <w:r w:rsidR="004A4A11" w:rsidRPr="001005B7">
        <w:rPr>
          <w:rFonts w:cstheme="minorHAnsi"/>
        </w:rPr>
        <w:t>, though it’s not clear what would be the point of that</w:t>
      </w:r>
      <w:r w:rsidR="00474643" w:rsidRPr="001005B7">
        <w:rPr>
          <w:rFonts w:cstheme="minorHAnsi"/>
        </w:rPr>
        <w:t xml:space="preserve"> or how it would wor</w:t>
      </w:r>
      <w:r w:rsidR="006C7A86" w:rsidRPr="001005B7">
        <w:rPr>
          <w:rFonts w:cstheme="minorHAnsi"/>
        </w:rPr>
        <w:t>k</w:t>
      </w:r>
      <w:r w:rsidR="003C1177" w:rsidRPr="001005B7">
        <w:rPr>
          <w:rFonts w:cstheme="minorHAnsi"/>
        </w:rPr>
        <w:t>. B</w:t>
      </w:r>
      <w:r w:rsidR="006C7A86" w:rsidRPr="001005B7">
        <w:rPr>
          <w:rFonts w:cstheme="minorHAnsi"/>
        </w:rPr>
        <w:t>ut then, this is not supposed to be the description of something that is possible in earthly terms</w:t>
      </w:r>
      <w:r w:rsidR="00992612" w:rsidRPr="001005B7">
        <w:rPr>
          <w:rFonts w:cstheme="minorHAnsi"/>
        </w:rPr>
        <w:t xml:space="preserve"> (</w:t>
      </w:r>
      <w:r w:rsidR="00992612" w:rsidRPr="001005B7">
        <w:t>Sweeney, 64).</w:t>
      </w:r>
      <w:r w:rsidR="004A4A11" w:rsidRPr="001005B7">
        <w:rPr>
          <w:rFonts w:cstheme="minorHAnsi"/>
        </w:rPr>
        <w:t xml:space="preserve"> More likely th</w:t>
      </w:r>
      <w:r w:rsidR="009E3872" w:rsidRPr="001005B7">
        <w:rPr>
          <w:rFonts w:cstheme="minorHAnsi"/>
        </w:rPr>
        <w:t>e</w:t>
      </w:r>
      <w:r w:rsidR="004A4A11" w:rsidRPr="001005B7">
        <w:rPr>
          <w:rFonts w:cstheme="minorHAnsi"/>
        </w:rPr>
        <w:t>y</w:t>
      </w:r>
      <w:r w:rsidR="00B0760B" w:rsidRPr="001005B7">
        <w:rPr>
          <w:rFonts w:cstheme="minorHAnsi"/>
        </w:rPr>
        <w:t xml:space="preserve"> </w:t>
      </w:r>
      <w:r w:rsidR="00F26D98" w:rsidRPr="001005B7">
        <w:rPr>
          <w:rFonts w:cstheme="minorHAnsi"/>
        </w:rPr>
        <w:t xml:space="preserve">interrelate </w:t>
      </w:r>
      <w:r w:rsidR="004A4A11" w:rsidRPr="001005B7">
        <w:rPr>
          <w:rFonts w:cstheme="minorHAnsi"/>
        </w:rPr>
        <w:t>at right angles</w:t>
      </w:r>
      <w:r w:rsidR="0051279B" w:rsidRPr="001005B7">
        <w:rPr>
          <w:rFonts w:cstheme="minorHAnsi"/>
        </w:rPr>
        <w:t xml:space="preserve"> like a gyroscope</w:t>
      </w:r>
      <w:r w:rsidR="001C4539" w:rsidRPr="001005B7">
        <w:rPr>
          <w:rFonts w:cstheme="minorHAnsi"/>
        </w:rPr>
        <w:t>,</w:t>
      </w:r>
      <w:r w:rsidR="0051279B" w:rsidRPr="001005B7">
        <w:rPr>
          <w:rFonts w:cstheme="minorHAnsi"/>
        </w:rPr>
        <w:t xml:space="preserve"> </w:t>
      </w:r>
      <w:r w:rsidR="00510CE0" w:rsidRPr="001005B7">
        <w:rPr>
          <w:rFonts w:cstheme="minorHAnsi"/>
        </w:rPr>
        <w:t>to</w:t>
      </w:r>
      <w:r w:rsidR="004A4A11" w:rsidRPr="001005B7">
        <w:rPr>
          <w:rFonts w:cstheme="minorHAnsi"/>
        </w:rPr>
        <w:t xml:space="preserve"> </w:t>
      </w:r>
      <w:r w:rsidR="009E3872" w:rsidRPr="001005B7">
        <w:rPr>
          <w:rFonts w:cstheme="minorHAnsi"/>
        </w:rPr>
        <w:t>facilitate turning in different ways</w:t>
      </w:r>
      <w:r w:rsidR="007E5928" w:rsidRPr="001005B7">
        <w:rPr>
          <w:rFonts w:cstheme="minorHAnsi"/>
        </w:rPr>
        <w:t>, though</w:t>
      </w:r>
      <w:r w:rsidR="009E3872" w:rsidRPr="001005B7">
        <w:rPr>
          <w:rFonts w:cstheme="minorHAnsi"/>
        </w:rPr>
        <w:t xml:space="preserve"> </w:t>
      </w:r>
      <w:r w:rsidR="005C587E" w:rsidRPr="001005B7">
        <w:rPr>
          <w:rFonts w:cstheme="minorHAnsi"/>
        </w:rPr>
        <w:t xml:space="preserve">practically </w:t>
      </w:r>
      <w:r w:rsidR="009E3872" w:rsidRPr="001005B7">
        <w:rPr>
          <w:rFonts w:cstheme="minorHAnsi"/>
        </w:rPr>
        <w:t>i</w:t>
      </w:r>
      <w:r w:rsidR="007E5928" w:rsidRPr="001005B7">
        <w:rPr>
          <w:rFonts w:cstheme="minorHAnsi"/>
        </w:rPr>
        <w:t>t’s not clear how that would work</w:t>
      </w:r>
      <w:r w:rsidR="00B74276" w:rsidRPr="001005B7">
        <w:rPr>
          <w:rFonts w:cstheme="minorHAnsi"/>
        </w:rPr>
        <w:t>, either</w:t>
      </w:r>
      <w:r w:rsidR="007E5928" w:rsidRPr="001005B7">
        <w:rPr>
          <w:rFonts w:cstheme="minorHAnsi"/>
        </w:rPr>
        <w:t>.</w:t>
      </w:r>
      <w:r w:rsidR="009755B4" w:rsidRPr="001005B7">
        <w:rPr>
          <w:rFonts w:cstheme="minorHAnsi"/>
        </w:rPr>
        <w:t xml:space="preserve"> They </w:t>
      </w:r>
      <w:r w:rsidR="00F928D3" w:rsidRPr="001005B7">
        <w:rPr>
          <w:rFonts w:cstheme="minorHAnsi"/>
        </w:rPr>
        <w:t>a</w:t>
      </w:r>
      <w:r w:rsidR="009755B4" w:rsidRPr="001005B7">
        <w:rPr>
          <w:rFonts w:cstheme="minorHAnsi"/>
        </w:rPr>
        <w:t xml:space="preserve">re of impressive </w:t>
      </w:r>
      <w:r w:rsidR="004009EB" w:rsidRPr="001005B7">
        <w:rPr>
          <w:rFonts w:cstheme="minorHAnsi"/>
        </w:rPr>
        <w:t xml:space="preserve">size and their rims </w:t>
      </w:r>
      <w:r w:rsidR="00F928D3" w:rsidRPr="001005B7">
        <w:rPr>
          <w:rFonts w:cstheme="minorHAnsi"/>
        </w:rPr>
        <w:t>a</w:t>
      </w:r>
      <w:r w:rsidR="004009EB" w:rsidRPr="001005B7">
        <w:rPr>
          <w:rFonts w:cstheme="minorHAnsi"/>
        </w:rPr>
        <w:t>re full of eye</w:t>
      </w:r>
      <w:r w:rsidR="00681FBA" w:rsidRPr="001005B7">
        <w:rPr>
          <w:rFonts w:cstheme="minorHAnsi"/>
        </w:rPr>
        <w:t>s</w:t>
      </w:r>
      <w:r w:rsidR="004009EB" w:rsidRPr="001005B7">
        <w:rPr>
          <w:rFonts w:cstheme="minorHAnsi"/>
        </w:rPr>
        <w:t>, which presumably enable</w:t>
      </w:r>
      <w:r w:rsidR="00F928D3" w:rsidRPr="001005B7">
        <w:rPr>
          <w:rFonts w:cstheme="minorHAnsi"/>
        </w:rPr>
        <w:t>s</w:t>
      </w:r>
      <w:r w:rsidR="004009EB" w:rsidRPr="001005B7">
        <w:rPr>
          <w:rFonts w:cstheme="minorHAnsi"/>
        </w:rPr>
        <w:t xml:space="preserve"> them to see </w:t>
      </w:r>
      <w:r w:rsidR="00567F73" w:rsidRPr="001005B7">
        <w:rPr>
          <w:rFonts w:cstheme="minorHAnsi"/>
        </w:rPr>
        <w:t>any</w:t>
      </w:r>
      <w:r w:rsidR="004009EB" w:rsidRPr="001005B7">
        <w:rPr>
          <w:rFonts w:cstheme="minorHAnsi"/>
        </w:rPr>
        <w:t xml:space="preserve">where they </w:t>
      </w:r>
      <w:r w:rsidR="00567F73" w:rsidRPr="001005B7">
        <w:rPr>
          <w:rFonts w:cstheme="minorHAnsi"/>
        </w:rPr>
        <w:t>need to go</w:t>
      </w:r>
      <w:r w:rsidR="004009EB" w:rsidRPr="001005B7">
        <w:rPr>
          <w:rFonts w:cstheme="minorHAnsi"/>
        </w:rPr>
        <w:t>.</w:t>
      </w:r>
      <w:r w:rsidR="00BD3EEE" w:rsidRPr="001005B7">
        <w:rPr>
          <w:rFonts w:cstheme="minorHAnsi"/>
        </w:rPr>
        <w:t xml:space="preserve"> </w:t>
      </w:r>
      <w:r w:rsidR="003E5321" w:rsidRPr="001005B7">
        <w:rPr>
          <w:rFonts w:cstheme="minorHAnsi"/>
        </w:rPr>
        <w:t xml:space="preserve">Although the description does not establish a physical connection between wheels and creatures, </w:t>
      </w:r>
      <w:r w:rsidR="00A941A8" w:rsidRPr="001005B7">
        <w:rPr>
          <w:rFonts w:cstheme="minorHAnsi"/>
        </w:rPr>
        <w:t xml:space="preserve">it </w:t>
      </w:r>
      <w:r w:rsidR="003E5321" w:rsidRPr="001005B7">
        <w:rPr>
          <w:rFonts w:cstheme="minorHAnsi"/>
        </w:rPr>
        <w:t>affirm</w:t>
      </w:r>
      <w:r w:rsidR="00567F73" w:rsidRPr="001005B7">
        <w:rPr>
          <w:rFonts w:cstheme="minorHAnsi"/>
        </w:rPr>
        <w:t>s</w:t>
      </w:r>
      <w:r w:rsidR="003E5321" w:rsidRPr="001005B7">
        <w:rPr>
          <w:rFonts w:cstheme="minorHAnsi"/>
        </w:rPr>
        <w:t xml:space="preserve"> a connection by virtue </w:t>
      </w:r>
      <w:r w:rsidR="0075602D" w:rsidRPr="001005B7">
        <w:rPr>
          <w:rFonts w:cstheme="minorHAnsi"/>
        </w:rPr>
        <w:t>of</w:t>
      </w:r>
      <w:r w:rsidR="007E76F2" w:rsidRPr="001005B7">
        <w:rPr>
          <w:rFonts w:cstheme="minorHAnsi"/>
        </w:rPr>
        <w:t xml:space="preserve"> </w:t>
      </w:r>
      <w:r w:rsidR="00D36C7F" w:rsidRPr="001005B7">
        <w:rPr>
          <w:rFonts w:cstheme="minorHAnsi"/>
          <w:rtl/>
          <w:lang w:bidi="he-IL"/>
        </w:rPr>
        <w:t>רוּחַ</w:t>
      </w:r>
      <w:r w:rsidR="005049C2" w:rsidRPr="001005B7">
        <w:rPr>
          <w:rFonts w:cstheme="minorHAnsi"/>
          <w:rtl/>
          <w:lang w:bidi="he-IL"/>
        </w:rPr>
        <w:t xml:space="preserve"> </w:t>
      </w:r>
      <w:r w:rsidR="00E901C1" w:rsidRPr="001005B7">
        <w:rPr>
          <w:rFonts w:cstheme="minorHAnsi"/>
          <w:rtl/>
          <w:lang w:bidi="he-IL"/>
        </w:rPr>
        <w:t>הַחַיׇּ</w:t>
      </w:r>
      <w:r w:rsidR="005049C2" w:rsidRPr="001005B7">
        <w:rPr>
          <w:rFonts w:cstheme="minorHAnsi"/>
          <w:rtl/>
          <w:lang w:bidi="he-IL"/>
        </w:rPr>
        <w:t>ה</w:t>
      </w:r>
      <w:r w:rsidR="005049C2" w:rsidRPr="001005B7">
        <w:rPr>
          <w:rFonts w:cstheme="minorHAnsi"/>
        </w:rPr>
        <w:t xml:space="preserve">, </w:t>
      </w:r>
      <w:r w:rsidR="00922E66" w:rsidRPr="001005B7">
        <w:rPr>
          <w:rFonts w:cstheme="minorHAnsi"/>
        </w:rPr>
        <w:t>“</w:t>
      </w:r>
      <w:r w:rsidR="0075602D" w:rsidRPr="001005B7">
        <w:rPr>
          <w:rFonts w:cstheme="minorHAnsi"/>
        </w:rPr>
        <w:t>the</w:t>
      </w:r>
      <w:r w:rsidR="0075602D" w:rsidRPr="001005B7">
        <w:rPr>
          <w:rFonts w:cstheme="minorHAnsi"/>
          <w:i/>
          <w:iCs/>
        </w:rPr>
        <w:t xml:space="preserve"> </w:t>
      </w:r>
      <w:r w:rsidR="0075602D" w:rsidRPr="001005B7">
        <w:rPr>
          <w:rFonts w:cstheme="minorHAnsi"/>
        </w:rPr>
        <w:t>living</w:t>
      </w:r>
      <w:r w:rsidR="0075602D" w:rsidRPr="001005B7">
        <w:rPr>
          <w:rFonts w:cstheme="minorHAnsi"/>
          <w:i/>
          <w:iCs/>
        </w:rPr>
        <w:t xml:space="preserve"> </w:t>
      </w:r>
      <w:r w:rsidR="0075602D" w:rsidRPr="001005B7">
        <w:rPr>
          <w:rFonts w:cstheme="minorHAnsi"/>
        </w:rPr>
        <w:t>being’s</w:t>
      </w:r>
      <w:r w:rsidR="0075602D" w:rsidRPr="001005B7">
        <w:rPr>
          <w:rFonts w:cstheme="minorHAnsi"/>
          <w:i/>
          <w:iCs/>
        </w:rPr>
        <w:t xml:space="preserve"> </w:t>
      </w:r>
      <w:r w:rsidR="0075602D" w:rsidRPr="001005B7">
        <w:rPr>
          <w:rFonts w:cstheme="minorHAnsi"/>
        </w:rPr>
        <w:t>spirit</w:t>
      </w:r>
      <w:r w:rsidR="00A23E53" w:rsidRPr="001005B7">
        <w:rPr>
          <w:rFonts w:cstheme="minorHAnsi"/>
        </w:rPr>
        <w:t>,</w:t>
      </w:r>
      <w:r w:rsidR="00922E66" w:rsidRPr="001005B7">
        <w:rPr>
          <w:rFonts w:cstheme="minorHAnsi"/>
        </w:rPr>
        <w:t>”</w:t>
      </w:r>
      <w:r w:rsidR="00A23E53" w:rsidRPr="001005B7">
        <w:rPr>
          <w:rFonts w:cstheme="minorHAnsi"/>
        </w:rPr>
        <w:t xml:space="preserve"> which </w:t>
      </w:r>
      <w:r w:rsidR="002B34F2" w:rsidRPr="001005B7">
        <w:rPr>
          <w:rFonts w:cstheme="minorHAnsi"/>
        </w:rPr>
        <w:t xml:space="preserve">spells out the </w:t>
      </w:r>
      <w:r w:rsidR="00200D61" w:rsidRPr="001005B7">
        <w:rPr>
          <w:rFonts w:cstheme="minorHAnsi"/>
        </w:rPr>
        <w:t>implications of</w:t>
      </w:r>
      <w:r w:rsidR="00306CF3" w:rsidRPr="001005B7">
        <w:rPr>
          <w:rFonts w:cstheme="minorHAnsi"/>
        </w:rPr>
        <w:t xml:space="preserve"> </w:t>
      </w:r>
      <w:r w:rsidR="00922E66" w:rsidRPr="001005B7">
        <w:rPr>
          <w:rFonts w:cstheme="minorHAnsi"/>
        </w:rPr>
        <w:t>“</w:t>
      </w:r>
      <w:r w:rsidR="00306CF3" w:rsidRPr="001005B7">
        <w:rPr>
          <w:rFonts w:cstheme="minorHAnsi"/>
        </w:rPr>
        <w:t>the</w:t>
      </w:r>
      <w:r w:rsidR="0075602D" w:rsidRPr="001005B7">
        <w:rPr>
          <w:rFonts w:cstheme="minorHAnsi"/>
        </w:rPr>
        <w:t xml:space="preserve"> spirit</w:t>
      </w:r>
      <w:r w:rsidR="008D2022" w:rsidRPr="001005B7">
        <w:rPr>
          <w:rFonts w:cstheme="minorHAnsi"/>
        </w:rPr>
        <w:t>”</w:t>
      </w:r>
      <w:r w:rsidR="00A23E53" w:rsidRPr="001005B7">
        <w:rPr>
          <w:rFonts w:cstheme="minorHAnsi"/>
        </w:rPr>
        <w:t xml:space="preserve"> in </w:t>
      </w:r>
      <w:r w:rsidR="0042084A" w:rsidRPr="001005B7">
        <w:rPr>
          <w:rFonts w:cstheme="minorHAnsi"/>
        </w:rPr>
        <w:t>1:</w:t>
      </w:r>
      <w:r w:rsidR="003036AE" w:rsidRPr="001005B7">
        <w:rPr>
          <w:rFonts w:cstheme="minorHAnsi"/>
        </w:rPr>
        <w:t xml:space="preserve">12 and </w:t>
      </w:r>
      <w:r w:rsidR="00A23E53" w:rsidRPr="001005B7">
        <w:rPr>
          <w:rFonts w:cstheme="minorHAnsi"/>
        </w:rPr>
        <w:t>2</w:t>
      </w:r>
      <w:r w:rsidR="00501AF8" w:rsidRPr="001005B7">
        <w:rPr>
          <w:rFonts w:cstheme="minorHAnsi"/>
        </w:rPr>
        <w:t>0</w:t>
      </w:r>
      <w:r w:rsidR="003449F9" w:rsidRPr="001005B7">
        <w:rPr>
          <w:rFonts w:cstheme="minorHAnsi"/>
        </w:rPr>
        <w:t>a</w:t>
      </w:r>
      <w:r w:rsidR="007A05CE" w:rsidRPr="001005B7">
        <w:rPr>
          <w:rFonts w:cstheme="minorHAnsi"/>
        </w:rPr>
        <w:t>: t</w:t>
      </w:r>
      <w:r w:rsidR="00AB3F6C" w:rsidRPr="001005B7">
        <w:rPr>
          <w:rFonts w:cstheme="minorHAnsi"/>
        </w:rPr>
        <w:t>he creature knows where it must go and it goes there</w:t>
      </w:r>
      <w:r w:rsidR="006C1E69" w:rsidRPr="001005B7">
        <w:rPr>
          <w:rFonts w:cstheme="minorHAnsi"/>
        </w:rPr>
        <w:t>.</w:t>
      </w:r>
    </w:p>
    <w:p w14:paraId="5D97B31B" w14:textId="0504D09F" w:rsidR="009944CC" w:rsidRPr="001005B7" w:rsidRDefault="00851E00" w:rsidP="00866641">
      <w:pPr>
        <w:rPr>
          <w:rFonts w:cstheme="minorHAnsi"/>
          <w:i/>
          <w:iCs/>
        </w:rPr>
      </w:pPr>
      <w:r w:rsidRPr="001005B7">
        <w:rPr>
          <w:rFonts w:cstheme="minorHAnsi"/>
          <w:b/>
          <w:bCs/>
        </w:rPr>
        <w:t>1:</w:t>
      </w:r>
      <w:r w:rsidR="00D1395E" w:rsidRPr="001005B7">
        <w:rPr>
          <w:rFonts w:cstheme="minorHAnsi"/>
          <w:b/>
          <w:bCs/>
        </w:rPr>
        <w:t>22</w:t>
      </w:r>
      <w:r w:rsidR="00F46900" w:rsidRPr="001005B7">
        <w:rPr>
          <w:rFonts w:cstheme="minorHAnsi"/>
          <w:b/>
          <w:bCs/>
        </w:rPr>
        <w:t>–</w:t>
      </w:r>
      <w:r w:rsidR="00D1395E" w:rsidRPr="001005B7">
        <w:rPr>
          <w:rFonts w:cstheme="minorHAnsi"/>
          <w:b/>
          <w:bCs/>
        </w:rPr>
        <w:t xml:space="preserve">25 </w:t>
      </w:r>
      <w:r w:rsidR="00663F90" w:rsidRPr="001005B7">
        <w:rPr>
          <w:rFonts w:cstheme="minorHAnsi"/>
        </w:rPr>
        <w:t xml:space="preserve">Ezekiel’s description </w:t>
      </w:r>
      <w:r w:rsidR="00AA3AEA" w:rsidRPr="001005B7">
        <w:rPr>
          <w:rFonts w:cstheme="minorHAnsi"/>
        </w:rPr>
        <w:t xml:space="preserve">relieves the suspense a little as he </w:t>
      </w:r>
      <w:r w:rsidR="00663F90" w:rsidRPr="001005B7">
        <w:rPr>
          <w:rFonts w:cstheme="minorHAnsi"/>
        </w:rPr>
        <w:t xml:space="preserve">takes the portrait </w:t>
      </w:r>
      <w:r w:rsidR="008529F7" w:rsidRPr="001005B7">
        <w:rPr>
          <w:rFonts w:cstheme="minorHAnsi"/>
        </w:rPr>
        <w:t>further</w:t>
      </w:r>
      <w:r w:rsidR="00AA3AEA" w:rsidRPr="001005B7">
        <w:rPr>
          <w:rFonts w:cstheme="minorHAnsi"/>
        </w:rPr>
        <w:t xml:space="preserve">, </w:t>
      </w:r>
      <w:r w:rsidR="00C576D2" w:rsidRPr="001005B7">
        <w:rPr>
          <w:rFonts w:cstheme="minorHAnsi"/>
        </w:rPr>
        <w:t>though</w:t>
      </w:r>
      <w:r w:rsidR="00AA3AEA" w:rsidRPr="001005B7">
        <w:rPr>
          <w:rFonts w:cstheme="minorHAnsi"/>
        </w:rPr>
        <w:t xml:space="preserve"> in another sense </w:t>
      </w:r>
      <w:r w:rsidR="00C576D2" w:rsidRPr="001005B7">
        <w:rPr>
          <w:rFonts w:cstheme="minorHAnsi"/>
        </w:rPr>
        <w:t xml:space="preserve">he </w:t>
      </w:r>
      <w:r w:rsidR="00AA3AEA" w:rsidRPr="001005B7">
        <w:rPr>
          <w:rFonts w:cstheme="minorHAnsi"/>
        </w:rPr>
        <w:t xml:space="preserve">increases </w:t>
      </w:r>
      <w:r w:rsidR="00B50B9C" w:rsidRPr="001005B7">
        <w:rPr>
          <w:rFonts w:cstheme="minorHAnsi"/>
        </w:rPr>
        <w:t>the suspense</w:t>
      </w:r>
      <w:r w:rsidR="00AA3AEA" w:rsidRPr="001005B7">
        <w:rPr>
          <w:rFonts w:cstheme="minorHAnsi"/>
        </w:rPr>
        <w:t>. The</w:t>
      </w:r>
      <w:r w:rsidR="00D6405C" w:rsidRPr="001005B7">
        <w:rPr>
          <w:rFonts w:cstheme="minorHAnsi"/>
          <w:rtl/>
          <w:lang w:bidi="he-IL"/>
        </w:rPr>
        <w:t>ר</w:t>
      </w:r>
      <w:r w:rsidR="0019072A" w:rsidRPr="001005B7">
        <w:rPr>
          <w:rFonts w:cstheme="minorHAnsi"/>
          <w:rtl/>
          <w:lang w:bidi="he-IL"/>
        </w:rPr>
        <w:t>ָקִיע</w:t>
      </w:r>
      <w:r w:rsidR="0018774A" w:rsidRPr="001005B7">
        <w:rPr>
          <w:rFonts w:cstheme="minorHAnsi"/>
          <w:rtl/>
          <w:lang w:bidi="he-IL"/>
        </w:rPr>
        <w:t>ַ</w:t>
      </w:r>
      <w:r w:rsidR="00011C97" w:rsidRPr="001005B7">
        <w:rPr>
          <w:rFonts w:cstheme="minorHAnsi"/>
          <w:rtl/>
          <w:lang w:bidi="he-IL"/>
        </w:rPr>
        <w:t xml:space="preserve"> </w:t>
      </w:r>
      <w:r w:rsidR="003F4615" w:rsidRPr="001005B7">
        <w:rPr>
          <w:rFonts w:cstheme="minorHAnsi"/>
        </w:rPr>
        <w:t>, “</w:t>
      </w:r>
      <w:r w:rsidR="00866641" w:rsidRPr="001005B7">
        <w:rPr>
          <w:rFonts w:cstheme="minorHAnsi"/>
        </w:rPr>
        <w:t>p</w:t>
      </w:r>
      <w:r w:rsidR="00463A46" w:rsidRPr="001005B7">
        <w:rPr>
          <w:rFonts w:cstheme="minorHAnsi"/>
        </w:rPr>
        <w:t>latform</w:t>
      </w:r>
      <w:r w:rsidR="00AE03DC" w:rsidRPr="001005B7">
        <w:rPr>
          <w:rFonts w:cstheme="minorHAnsi"/>
        </w:rPr>
        <w:t>,”</w:t>
      </w:r>
      <w:r w:rsidR="00BC4EDF" w:rsidRPr="001005B7">
        <w:rPr>
          <w:rFonts w:cstheme="minorHAnsi"/>
        </w:rPr>
        <w:t xml:space="preserve"> is </w:t>
      </w:r>
      <w:r w:rsidR="009672E6" w:rsidRPr="001005B7">
        <w:rPr>
          <w:rFonts w:cstheme="minorHAnsi"/>
        </w:rPr>
        <w:t>elsewhere</w:t>
      </w:r>
      <w:r w:rsidR="00BC4EDF" w:rsidRPr="001005B7">
        <w:rPr>
          <w:rFonts w:cstheme="minorHAnsi"/>
        </w:rPr>
        <w:t xml:space="preserve"> the vault of the sky</w:t>
      </w:r>
      <w:r w:rsidR="001275E7" w:rsidRPr="001005B7">
        <w:rPr>
          <w:rFonts w:cstheme="minorHAnsi"/>
        </w:rPr>
        <w:t>, mainly in Gen 1</w:t>
      </w:r>
      <w:r w:rsidR="00DE62EC" w:rsidRPr="001005B7">
        <w:rPr>
          <w:rFonts w:cstheme="minorHAnsi"/>
        </w:rPr>
        <w:t>:</w:t>
      </w:r>
      <w:r w:rsidR="000249CC" w:rsidRPr="001005B7">
        <w:rPr>
          <w:rFonts w:cstheme="minorHAnsi"/>
        </w:rPr>
        <w:t>6</w:t>
      </w:r>
      <w:r w:rsidR="00F46900" w:rsidRPr="001005B7">
        <w:rPr>
          <w:rFonts w:cstheme="minorHAnsi"/>
        </w:rPr>
        <w:t>–</w:t>
      </w:r>
      <w:r w:rsidR="000249CC" w:rsidRPr="001005B7">
        <w:rPr>
          <w:rFonts w:cstheme="minorHAnsi"/>
        </w:rPr>
        <w:t>8, 14</w:t>
      </w:r>
      <w:r w:rsidR="00F46900" w:rsidRPr="001005B7">
        <w:rPr>
          <w:rFonts w:cstheme="minorHAnsi"/>
        </w:rPr>
        <w:t>–</w:t>
      </w:r>
      <w:r w:rsidR="000249CC" w:rsidRPr="001005B7">
        <w:rPr>
          <w:rFonts w:cstheme="minorHAnsi"/>
        </w:rPr>
        <w:t>20</w:t>
      </w:r>
      <w:r w:rsidR="00853AFD" w:rsidRPr="001005B7">
        <w:rPr>
          <w:rFonts w:cstheme="minorHAnsi"/>
        </w:rPr>
        <w:t>, while i</w:t>
      </w:r>
      <w:r w:rsidR="00997514" w:rsidRPr="001005B7">
        <w:rPr>
          <w:rFonts w:cstheme="minorHAnsi"/>
        </w:rPr>
        <w:t>n</w:t>
      </w:r>
      <w:r w:rsidR="005F222D" w:rsidRPr="001005B7">
        <w:rPr>
          <w:rFonts w:cstheme="minorHAnsi"/>
        </w:rPr>
        <w:t xml:space="preserve"> Exod 24:10</w:t>
      </w:r>
      <w:r w:rsidR="00997514" w:rsidRPr="001005B7">
        <w:rPr>
          <w:rFonts w:cstheme="minorHAnsi"/>
        </w:rPr>
        <w:t>, the</w:t>
      </w:r>
      <w:r w:rsidR="005F222D" w:rsidRPr="001005B7">
        <w:rPr>
          <w:rFonts w:cstheme="minorHAnsi"/>
        </w:rPr>
        <w:t xml:space="preserve"> platform </w:t>
      </w:r>
      <w:r w:rsidR="005B2732" w:rsidRPr="001005B7">
        <w:rPr>
          <w:rFonts w:cstheme="minorHAnsi"/>
        </w:rPr>
        <w:t>where</w:t>
      </w:r>
      <w:r w:rsidR="00832182" w:rsidRPr="001005B7">
        <w:rPr>
          <w:rFonts w:cstheme="minorHAnsi"/>
        </w:rPr>
        <w:t xml:space="preserve"> </w:t>
      </w:r>
      <w:r w:rsidR="005F222D" w:rsidRPr="001005B7">
        <w:rPr>
          <w:rFonts w:cstheme="minorHAnsi"/>
        </w:rPr>
        <w:t>Yahweh</w:t>
      </w:r>
      <w:r w:rsidR="008F1E68" w:rsidRPr="001005B7">
        <w:rPr>
          <w:rFonts w:cstheme="minorHAnsi"/>
        </w:rPr>
        <w:t xml:space="preserve"> sits is a pi</w:t>
      </w:r>
      <w:r w:rsidR="00052246" w:rsidRPr="001005B7">
        <w:rPr>
          <w:rFonts w:cstheme="minorHAnsi"/>
        </w:rPr>
        <w:t>e</w:t>
      </w:r>
      <w:r w:rsidR="008F1E68" w:rsidRPr="001005B7">
        <w:rPr>
          <w:rFonts w:cstheme="minorHAnsi"/>
        </w:rPr>
        <w:t xml:space="preserve">ce of </w:t>
      </w:r>
      <w:r w:rsidR="00A1047F" w:rsidRPr="001005B7">
        <w:rPr>
          <w:rFonts w:cstheme="minorHAnsi"/>
        </w:rPr>
        <w:t>brickwork, a pavement</w:t>
      </w:r>
      <w:r w:rsidR="00B6656C" w:rsidRPr="001005B7">
        <w:rPr>
          <w:rFonts w:cstheme="minorHAnsi"/>
        </w:rPr>
        <w:t>. P</w:t>
      </w:r>
      <w:r w:rsidR="00D13229" w:rsidRPr="001005B7">
        <w:rPr>
          <w:rFonts w:cstheme="minorHAnsi"/>
        </w:rPr>
        <w:t xml:space="preserve">erhaps </w:t>
      </w:r>
      <w:r w:rsidR="00C249C5" w:rsidRPr="001005B7">
        <w:rPr>
          <w:rFonts w:cstheme="minorHAnsi"/>
        </w:rPr>
        <w:t>Ezeki</w:t>
      </w:r>
      <w:r w:rsidR="00D13229" w:rsidRPr="001005B7">
        <w:rPr>
          <w:rFonts w:cstheme="minorHAnsi"/>
        </w:rPr>
        <w:t>el</w:t>
      </w:r>
      <w:r w:rsidR="00C249C5" w:rsidRPr="001005B7">
        <w:rPr>
          <w:rFonts w:cstheme="minorHAnsi"/>
        </w:rPr>
        <w:t xml:space="preserve"> </w:t>
      </w:r>
      <w:r w:rsidR="00F244AD" w:rsidRPr="001005B7">
        <w:rPr>
          <w:rFonts w:cstheme="minorHAnsi"/>
        </w:rPr>
        <w:t>makes a point of using words that are puzzling a</w:t>
      </w:r>
      <w:r w:rsidR="000B6746" w:rsidRPr="001005B7">
        <w:rPr>
          <w:rFonts w:cstheme="minorHAnsi"/>
        </w:rPr>
        <w:t>longside</w:t>
      </w:r>
      <w:r w:rsidR="00F244AD" w:rsidRPr="001005B7">
        <w:rPr>
          <w:rFonts w:cstheme="minorHAnsi"/>
        </w:rPr>
        <w:t xml:space="preserve"> </w:t>
      </w:r>
      <w:r w:rsidR="00C249C5" w:rsidRPr="001005B7">
        <w:rPr>
          <w:rFonts w:cstheme="minorHAnsi"/>
        </w:rPr>
        <w:t>avoid</w:t>
      </w:r>
      <w:r w:rsidR="00F244AD" w:rsidRPr="001005B7">
        <w:rPr>
          <w:rFonts w:cstheme="minorHAnsi"/>
        </w:rPr>
        <w:t>ing</w:t>
      </w:r>
      <w:r w:rsidR="00C249C5" w:rsidRPr="001005B7">
        <w:rPr>
          <w:rFonts w:cstheme="minorHAnsi"/>
        </w:rPr>
        <w:t xml:space="preserve"> words that might make the scene </w:t>
      </w:r>
      <w:r w:rsidR="00364A27" w:rsidRPr="001005B7">
        <w:rPr>
          <w:rFonts w:cstheme="minorHAnsi"/>
        </w:rPr>
        <w:t>seem familiar</w:t>
      </w:r>
      <w:r w:rsidR="00990152" w:rsidRPr="001005B7">
        <w:rPr>
          <w:rFonts w:cstheme="minorHAnsi"/>
        </w:rPr>
        <w:t>. A</w:t>
      </w:r>
      <w:r w:rsidR="007F60DC" w:rsidRPr="001005B7">
        <w:rPr>
          <w:rFonts w:cstheme="minorHAnsi"/>
        </w:rPr>
        <w:t xml:space="preserve">s well as there being no </w:t>
      </w:r>
      <w:r w:rsidR="00C878E5" w:rsidRPr="001005B7">
        <w:rPr>
          <w:rFonts w:cstheme="minorHAnsi"/>
        </w:rPr>
        <w:t xml:space="preserve">specific </w:t>
      </w:r>
      <w:r w:rsidR="007F60DC" w:rsidRPr="001005B7">
        <w:rPr>
          <w:rFonts w:cstheme="minorHAnsi"/>
        </w:rPr>
        <w:t>term for the creatures</w:t>
      </w:r>
      <w:r w:rsidR="00F35361" w:rsidRPr="001005B7">
        <w:rPr>
          <w:rFonts w:cstheme="minorHAnsi"/>
        </w:rPr>
        <w:t xml:space="preserve"> in Ezek 1</w:t>
      </w:r>
      <w:r w:rsidR="007F60DC" w:rsidRPr="001005B7">
        <w:rPr>
          <w:rFonts w:cstheme="minorHAnsi"/>
        </w:rPr>
        <w:t xml:space="preserve">, there is no </w:t>
      </w:r>
      <w:r w:rsidR="005A636F" w:rsidRPr="001005B7">
        <w:rPr>
          <w:rFonts w:cstheme="minorHAnsi"/>
        </w:rPr>
        <w:t>“chariot</w:t>
      </w:r>
      <w:r w:rsidR="00787486" w:rsidRPr="001005B7">
        <w:rPr>
          <w:rFonts w:cstheme="minorHAnsi"/>
        </w:rPr>
        <w:t>”</w:t>
      </w:r>
      <w:r w:rsidR="007F60DC" w:rsidRPr="001005B7">
        <w:rPr>
          <w:rFonts w:cstheme="minorHAnsi"/>
        </w:rPr>
        <w:t xml:space="preserve"> (</w:t>
      </w:r>
      <w:r w:rsidR="00F46A6C" w:rsidRPr="001005B7">
        <w:rPr>
          <w:rFonts w:cstheme="minorHAnsi"/>
          <w:rtl/>
          <w:lang w:bidi="he-IL"/>
        </w:rPr>
        <w:t>מֶר</w:t>
      </w:r>
      <w:r w:rsidR="00520DA3" w:rsidRPr="001005B7">
        <w:rPr>
          <w:rFonts w:cstheme="minorHAnsi"/>
          <w:rtl/>
          <w:lang w:bidi="he-IL"/>
        </w:rPr>
        <w:t>ְ</w:t>
      </w:r>
      <w:r w:rsidR="00F46A6C" w:rsidRPr="001005B7">
        <w:rPr>
          <w:rFonts w:cstheme="minorHAnsi"/>
          <w:rtl/>
          <w:lang w:bidi="he-IL"/>
        </w:rPr>
        <w:t>כ</w:t>
      </w:r>
      <w:r w:rsidR="00520DA3" w:rsidRPr="001005B7">
        <w:rPr>
          <w:rFonts w:cstheme="minorHAnsi"/>
          <w:rtl/>
          <w:lang w:bidi="he-IL"/>
        </w:rPr>
        <w:t>ּ</w:t>
      </w:r>
      <w:r w:rsidR="00F46A6C" w:rsidRPr="001005B7">
        <w:rPr>
          <w:rFonts w:cstheme="minorHAnsi"/>
          <w:rtl/>
          <w:lang w:bidi="he-IL"/>
        </w:rPr>
        <w:t>ָבָה</w:t>
      </w:r>
      <w:r w:rsidR="00396931" w:rsidRPr="001005B7">
        <w:rPr>
          <w:rFonts w:cstheme="minorHAnsi"/>
        </w:rPr>
        <w:t>)</w:t>
      </w:r>
      <w:r w:rsidR="005A636F" w:rsidRPr="001005B7">
        <w:rPr>
          <w:rFonts w:cstheme="minorHAnsi"/>
        </w:rPr>
        <w:t xml:space="preserve">, which became the regular term for </w:t>
      </w:r>
      <w:r w:rsidR="009C388F" w:rsidRPr="001005B7">
        <w:rPr>
          <w:rFonts w:cstheme="minorHAnsi"/>
        </w:rPr>
        <w:t xml:space="preserve">the </w:t>
      </w:r>
      <w:r w:rsidR="00F35361" w:rsidRPr="001005B7">
        <w:rPr>
          <w:rFonts w:cstheme="minorHAnsi"/>
        </w:rPr>
        <w:t>conveyance</w:t>
      </w:r>
      <w:r w:rsidR="007D4CF9" w:rsidRPr="001005B7">
        <w:rPr>
          <w:rFonts w:cstheme="minorHAnsi"/>
        </w:rPr>
        <w:t xml:space="preserve"> but does not feature in Ezekiel</w:t>
      </w:r>
      <w:r w:rsidR="001D2C2B" w:rsidRPr="001005B7">
        <w:rPr>
          <w:rFonts w:cstheme="minorHAnsi"/>
        </w:rPr>
        <w:t>. The platform</w:t>
      </w:r>
      <w:r w:rsidR="009D2495" w:rsidRPr="001005B7">
        <w:rPr>
          <w:rFonts w:cstheme="minorHAnsi"/>
        </w:rPr>
        <w:t xml:space="preserve"> on the backs of the living being</w:t>
      </w:r>
      <w:r w:rsidR="00396931" w:rsidRPr="001005B7">
        <w:rPr>
          <w:rFonts w:cstheme="minorHAnsi"/>
        </w:rPr>
        <w:t>s</w:t>
      </w:r>
      <w:r w:rsidR="009D2495" w:rsidRPr="001005B7">
        <w:rPr>
          <w:rFonts w:cstheme="minorHAnsi"/>
        </w:rPr>
        <w:t xml:space="preserve"> suggests someone sitting on it</w:t>
      </w:r>
      <w:r w:rsidR="000E420D" w:rsidRPr="001005B7">
        <w:rPr>
          <w:rFonts w:cstheme="minorHAnsi"/>
        </w:rPr>
        <w:t xml:space="preserve">, but nothing is said of </w:t>
      </w:r>
      <w:r w:rsidR="008D73DF" w:rsidRPr="001005B7">
        <w:rPr>
          <w:rFonts w:cstheme="minorHAnsi"/>
          <w:rtl/>
          <w:lang w:bidi="he-IL"/>
        </w:rPr>
        <w:t>t</w:t>
      </w:r>
      <w:r w:rsidR="000E420D" w:rsidRPr="001005B7">
        <w:rPr>
          <w:rFonts w:cstheme="minorHAnsi"/>
        </w:rPr>
        <w:t>hat at this point</w:t>
      </w:r>
      <w:r w:rsidR="0031525B" w:rsidRPr="001005B7">
        <w:rPr>
          <w:rFonts w:cstheme="minorHAnsi"/>
        </w:rPr>
        <w:t xml:space="preserve">. </w:t>
      </w:r>
      <w:r w:rsidR="00F36D14" w:rsidRPr="001005B7">
        <w:rPr>
          <w:rFonts w:cstheme="minorHAnsi"/>
        </w:rPr>
        <w:t>Rather</w:t>
      </w:r>
      <w:r w:rsidR="006C2E77" w:rsidRPr="001005B7">
        <w:rPr>
          <w:rFonts w:cstheme="minorHAnsi"/>
        </w:rPr>
        <w:t xml:space="preserve"> we learn of </w:t>
      </w:r>
      <w:r w:rsidR="00871D7A" w:rsidRPr="001005B7">
        <w:rPr>
          <w:rFonts w:cstheme="minorHAnsi"/>
        </w:rPr>
        <w:t xml:space="preserve">the </w:t>
      </w:r>
      <w:r w:rsidR="006C2E77" w:rsidRPr="001005B7">
        <w:rPr>
          <w:rFonts w:cstheme="minorHAnsi"/>
        </w:rPr>
        <w:t>sound</w:t>
      </w:r>
      <w:r w:rsidR="00871D7A" w:rsidRPr="001005B7">
        <w:rPr>
          <w:rFonts w:cstheme="minorHAnsi"/>
        </w:rPr>
        <w:t xml:space="preserve"> of the </w:t>
      </w:r>
      <w:r w:rsidR="00F36D14" w:rsidRPr="001005B7">
        <w:rPr>
          <w:rFonts w:cstheme="minorHAnsi"/>
        </w:rPr>
        <w:t xml:space="preserve">creatures’ </w:t>
      </w:r>
      <w:r w:rsidR="00871D7A" w:rsidRPr="001005B7">
        <w:rPr>
          <w:rFonts w:cstheme="minorHAnsi"/>
        </w:rPr>
        <w:t>wings</w:t>
      </w:r>
      <w:r w:rsidR="00496218" w:rsidRPr="001005B7">
        <w:rPr>
          <w:rFonts w:cstheme="minorHAnsi"/>
        </w:rPr>
        <w:t>,</w:t>
      </w:r>
      <w:r w:rsidR="0031366A" w:rsidRPr="001005B7">
        <w:rPr>
          <w:rFonts w:cstheme="minorHAnsi"/>
        </w:rPr>
        <w:t xml:space="preserve"> </w:t>
      </w:r>
      <w:r w:rsidR="00F16E67" w:rsidRPr="001005B7">
        <w:rPr>
          <w:rFonts w:cstheme="minorHAnsi"/>
        </w:rPr>
        <w:t>the</w:t>
      </w:r>
      <w:r w:rsidR="00F16E67" w:rsidRPr="001005B7">
        <w:rPr>
          <w:rFonts w:cstheme="minorHAnsi"/>
          <w:i/>
          <w:iCs/>
        </w:rPr>
        <w:t xml:space="preserve"> </w:t>
      </w:r>
      <w:r w:rsidR="00F16E67" w:rsidRPr="001005B7">
        <w:rPr>
          <w:rFonts w:cstheme="minorHAnsi"/>
        </w:rPr>
        <w:t>sound</w:t>
      </w:r>
      <w:r w:rsidR="00F16E67" w:rsidRPr="001005B7">
        <w:rPr>
          <w:rFonts w:cstheme="minorHAnsi"/>
          <w:i/>
          <w:iCs/>
        </w:rPr>
        <w:t xml:space="preserve"> </w:t>
      </w:r>
      <w:r w:rsidR="00F16E67" w:rsidRPr="001005B7">
        <w:rPr>
          <w:rFonts w:cstheme="minorHAnsi"/>
        </w:rPr>
        <w:t>of</w:t>
      </w:r>
      <w:r w:rsidR="00F16E67" w:rsidRPr="001005B7">
        <w:rPr>
          <w:rFonts w:cstheme="minorHAnsi"/>
          <w:i/>
          <w:iCs/>
        </w:rPr>
        <w:t xml:space="preserve"> </w:t>
      </w:r>
      <w:r w:rsidR="00F16E67" w:rsidRPr="001005B7">
        <w:rPr>
          <w:rFonts w:cstheme="minorHAnsi"/>
        </w:rPr>
        <w:t>much</w:t>
      </w:r>
      <w:r w:rsidR="00F16E67" w:rsidRPr="001005B7">
        <w:rPr>
          <w:rFonts w:cstheme="minorHAnsi"/>
          <w:i/>
          <w:iCs/>
        </w:rPr>
        <w:t xml:space="preserve"> </w:t>
      </w:r>
      <w:r w:rsidR="00F16E67" w:rsidRPr="001005B7">
        <w:rPr>
          <w:rFonts w:cstheme="minorHAnsi"/>
        </w:rPr>
        <w:t xml:space="preserve">water, a threatening, </w:t>
      </w:r>
      <w:r w:rsidR="00140B4D" w:rsidRPr="001005B7">
        <w:rPr>
          <w:rFonts w:cstheme="minorHAnsi"/>
        </w:rPr>
        <w:t xml:space="preserve">potentially </w:t>
      </w:r>
      <w:r w:rsidR="00F16E67" w:rsidRPr="001005B7">
        <w:rPr>
          <w:rFonts w:cstheme="minorHAnsi"/>
        </w:rPr>
        <w:t>overwhelming sound, not waving but dro</w:t>
      </w:r>
      <w:r w:rsidR="009944CC" w:rsidRPr="001005B7">
        <w:rPr>
          <w:rFonts w:cstheme="minorHAnsi"/>
        </w:rPr>
        <w:t>wning (</w:t>
      </w:r>
      <w:proofErr w:type="spellStart"/>
      <w:r w:rsidR="009944CC" w:rsidRPr="001005B7">
        <w:t>Pss</w:t>
      </w:r>
      <w:proofErr w:type="spellEnd"/>
      <w:r w:rsidR="009944CC" w:rsidRPr="001005B7">
        <w:t xml:space="preserve"> 18:16</w:t>
      </w:r>
      <w:r w:rsidR="004F7AA1" w:rsidRPr="001005B7">
        <w:t xml:space="preserve"> [17]</w:t>
      </w:r>
      <w:r w:rsidR="009944CC" w:rsidRPr="001005B7">
        <w:t xml:space="preserve">; </w:t>
      </w:r>
      <w:r w:rsidR="0077603C" w:rsidRPr="001005B7">
        <w:t xml:space="preserve">29:3; </w:t>
      </w:r>
      <w:r w:rsidR="009944CC" w:rsidRPr="001005B7">
        <w:t>32:6;</w:t>
      </w:r>
      <w:r w:rsidR="00EC5B2E" w:rsidRPr="001005B7">
        <w:t xml:space="preserve"> 93:4;</w:t>
      </w:r>
      <w:r w:rsidR="009944CC" w:rsidRPr="001005B7">
        <w:t xml:space="preserve"> 144:7</w:t>
      </w:r>
      <w:r w:rsidR="00EC5B2E" w:rsidRPr="001005B7">
        <w:t>).</w:t>
      </w:r>
      <w:r w:rsidR="00140B4D" w:rsidRPr="001005B7">
        <w:t xml:space="preserve"> It suggests the sound of</w:t>
      </w:r>
      <w:r w:rsidR="00C668D6" w:rsidRPr="001005B7">
        <w:t xml:space="preserve"> </w:t>
      </w:r>
      <w:r w:rsidR="00C668D6" w:rsidRPr="001005B7">
        <w:rPr>
          <w:rFonts w:cstheme="minorHAnsi"/>
          <w:rtl/>
          <w:lang w:bidi="he-IL"/>
        </w:rPr>
        <w:t>שַׁדּ</w:t>
      </w:r>
      <w:r w:rsidR="009E2149" w:rsidRPr="001005B7">
        <w:rPr>
          <w:rFonts w:cstheme="minorHAnsi"/>
          <w:rtl/>
          <w:lang w:bidi="he-IL"/>
        </w:rPr>
        <w:t>ַי</w:t>
      </w:r>
      <w:r w:rsidR="008E2BFB" w:rsidRPr="001005B7">
        <w:t>, “</w:t>
      </w:r>
      <w:proofErr w:type="spellStart"/>
      <w:r w:rsidR="008E2BFB" w:rsidRPr="001005B7">
        <w:t>Shadday</w:t>
      </w:r>
      <w:proofErr w:type="spellEnd"/>
      <w:r w:rsidR="008E2BFB" w:rsidRPr="001005B7">
        <w:t>.”</w:t>
      </w:r>
      <w:r w:rsidR="00010874" w:rsidRPr="001005B7">
        <w:t xml:space="preserve"> T</w:t>
      </w:r>
      <w:r w:rsidR="008B7234" w:rsidRPr="001005B7">
        <w:t>h</w:t>
      </w:r>
      <w:r w:rsidR="00010874" w:rsidRPr="001005B7">
        <w:t>at</w:t>
      </w:r>
      <w:r w:rsidR="00496218" w:rsidRPr="001005B7">
        <w:t xml:space="preserve"> is </w:t>
      </w:r>
      <w:r w:rsidR="00F23547" w:rsidRPr="001005B7">
        <w:t>simply a name for God</w:t>
      </w:r>
      <w:r w:rsidR="0044470E" w:rsidRPr="001005B7">
        <w:t xml:space="preserve"> in</w:t>
      </w:r>
      <w:r w:rsidR="006005F3" w:rsidRPr="001005B7">
        <w:t xml:space="preserve"> most of the First Testament</w:t>
      </w:r>
      <w:r w:rsidR="00AC591D" w:rsidRPr="001005B7">
        <w:t xml:space="preserve"> (e.g., </w:t>
      </w:r>
      <w:r w:rsidR="003B0852" w:rsidRPr="001005B7">
        <w:t xml:space="preserve">Num 24:4; </w:t>
      </w:r>
      <w:r w:rsidR="00B372D2" w:rsidRPr="001005B7">
        <w:t>Ruth 1:20</w:t>
      </w:r>
      <w:r w:rsidR="00BB3684" w:rsidRPr="001005B7">
        <w:t>; Job 5:17)</w:t>
      </w:r>
      <w:r w:rsidR="008B7234" w:rsidRPr="001005B7">
        <w:t>, b</w:t>
      </w:r>
      <w:r w:rsidR="006005F3" w:rsidRPr="001005B7">
        <w:t xml:space="preserve">ut when there is </w:t>
      </w:r>
      <w:r w:rsidR="001E1464" w:rsidRPr="001005B7">
        <w:t>reference</w:t>
      </w:r>
      <w:r w:rsidR="006005F3" w:rsidRPr="001005B7">
        <w:t xml:space="preserve"> to the </w:t>
      </w:r>
      <w:r w:rsidR="001E1464" w:rsidRPr="001005B7">
        <w:t>name’s possible meaning</w:t>
      </w:r>
      <w:r w:rsidR="006D684C" w:rsidRPr="001005B7">
        <w:t xml:space="preserve"> in Isa 13:6; Joel 1:15</w:t>
      </w:r>
      <w:r w:rsidR="001E1464" w:rsidRPr="001005B7">
        <w:t xml:space="preserve">, it </w:t>
      </w:r>
      <w:r w:rsidR="002C7AC9" w:rsidRPr="001005B7">
        <w:t>is</w:t>
      </w:r>
      <w:r w:rsidR="001E1464" w:rsidRPr="001005B7">
        <w:t xml:space="preserve"> given a connection with</w:t>
      </w:r>
      <w:r w:rsidR="003B038A" w:rsidRPr="001005B7">
        <w:t xml:space="preserve"> </w:t>
      </w:r>
      <w:r w:rsidR="008E57A1" w:rsidRPr="001005B7">
        <w:rPr>
          <w:rFonts w:cstheme="minorHAnsi"/>
          <w:rtl/>
          <w:lang w:bidi="he-IL"/>
        </w:rPr>
        <w:t>שָׁדַד</w:t>
      </w:r>
      <w:r w:rsidR="002C7AC9" w:rsidRPr="001005B7">
        <w:t xml:space="preserve">, </w:t>
      </w:r>
      <w:r w:rsidR="00C16471" w:rsidRPr="001005B7">
        <w:t>“destroy</w:t>
      </w:r>
      <w:r w:rsidR="00F7188B" w:rsidRPr="001005B7">
        <w:t>.</w:t>
      </w:r>
      <w:r w:rsidR="00C16471" w:rsidRPr="001005B7">
        <w:t>”</w:t>
      </w:r>
      <w:r w:rsidR="00FE51A6" w:rsidRPr="001005B7">
        <w:t xml:space="preserve"> </w:t>
      </w:r>
      <w:r w:rsidR="0050589B" w:rsidRPr="001005B7">
        <w:t xml:space="preserve">Jeremiah frequent uses this verb and the noun </w:t>
      </w:r>
      <w:r w:rsidR="0050589B" w:rsidRPr="001005B7">
        <w:rPr>
          <w:rFonts w:cstheme="minorHAnsi"/>
          <w:rtl/>
          <w:lang w:bidi="he-IL"/>
        </w:rPr>
        <w:t>שׁוֺד</w:t>
      </w:r>
      <w:r w:rsidR="0050589B" w:rsidRPr="001005B7">
        <w:t xml:space="preserve">. </w:t>
      </w:r>
      <w:r w:rsidR="0014311C" w:rsidRPr="001005B7">
        <w:t>Here</w:t>
      </w:r>
      <w:r w:rsidR="00FE51A6" w:rsidRPr="001005B7">
        <w:t xml:space="preserve">, </w:t>
      </w:r>
      <w:r w:rsidR="005E57B0" w:rsidRPr="001005B7">
        <w:t xml:space="preserve">then, </w:t>
      </w:r>
      <w:r w:rsidR="00FE51A6" w:rsidRPr="001005B7">
        <w:t xml:space="preserve">the sound of </w:t>
      </w:r>
      <w:proofErr w:type="spellStart"/>
      <w:r w:rsidR="00FE51A6" w:rsidRPr="001005B7">
        <w:t>Shadday</w:t>
      </w:r>
      <w:proofErr w:type="spellEnd"/>
      <w:r w:rsidR="00FE51A6" w:rsidRPr="001005B7">
        <w:t xml:space="preserve"> </w:t>
      </w:r>
      <w:r w:rsidR="000D1813" w:rsidRPr="001005B7">
        <w:t xml:space="preserve">would </w:t>
      </w:r>
      <w:r w:rsidR="006973BD" w:rsidRPr="001005B7">
        <w:t>point to</w:t>
      </w:r>
      <w:r w:rsidR="00FE51A6" w:rsidRPr="001005B7">
        <w:t xml:space="preserve"> the sound of de</w:t>
      </w:r>
      <w:r w:rsidR="001F38C9" w:rsidRPr="001005B7">
        <w:t>struc</w:t>
      </w:r>
      <w:r w:rsidR="00FE51A6" w:rsidRPr="001005B7">
        <w:t>ti</w:t>
      </w:r>
      <w:r w:rsidR="005B2465" w:rsidRPr="001005B7">
        <w:t>on</w:t>
      </w:r>
      <w:r w:rsidR="00BA0F84" w:rsidRPr="001005B7">
        <w:t xml:space="preserve"> or of the destroyer</w:t>
      </w:r>
      <w:r w:rsidR="00A84552" w:rsidRPr="001005B7">
        <w:t>.</w:t>
      </w:r>
      <w:r w:rsidR="00495D5E" w:rsidRPr="001005B7">
        <w:t xml:space="preserve"> </w:t>
      </w:r>
      <w:r w:rsidR="00BE1D9E" w:rsidRPr="001005B7">
        <w:t>The sound of the wings also suggests</w:t>
      </w:r>
      <w:r w:rsidR="001E1464" w:rsidRPr="001005B7">
        <w:t xml:space="preserve"> </w:t>
      </w:r>
      <w:r w:rsidR="00A70045" w:rsidRPr="001005B7">
        <w:t>“</w:t>
      </w:r>
      <w:r w:rsidR="00C5066D" w:rsidRPr="001005B7">
        <w:t>the</w:t>
      </w:r>
      <w:r w:rsidR="00C5066D" w:rsidRPr="001005B7">
        <w:rPr>
          <w:i/>
          <w:iCs/>
        </w:rPr>
        <w:t xml:space="preserve"> </w:t>
      </w:r>
      <w:r w:rsidR="00C5066D" w:rsidRPr="001005B7">
        <w:t>sound</w:t>
      </w:r>
      <w:r w:rsidR="00C5066D" w:rsidRPr="001005B7">
        <w:rPr>
          <w:i/>
          <w:iCs/>
        </w:rPr>
        <w:t xml:space="preserve"> </w:t>
      </w:r>
      <w:r w:rsidR="00C5066D" w:rsidRPr="001005B7">
        <w:t>of</w:t>
      </w:r>
      <w:r w:rsidR="00A70045" w:rsidRPr="001005B7">
        <w:t xml:space="preserve"> a </w:t>
      </w:r>
      <w:r w:rsidR="00E0292C" w:rsidRPr="001005B7">
        <w:t>tum</w:t>
      </w:r>
      <w:r w:rsidR="00FD63E6" w:rsidRPr="001005B7">
        <w:t>u</w:t>
      </w:r>
      <w:r w:rsidR="00E0292C" w:rsidRPr="001005B7">
        <w:t>lt</w:t>
      </w:r>
      <w:r w:rsidR="00A70045" w:rsidRPr="001005B7">
        <w:t>”</w:t>
      </w:r>
      <w:r w:rsidR="00AD28BD" w:rsidRPr="001005B7">
        <w:t xml:space="preserve"> (</w:t>
      </w:r>
      <w:r w:rsidR="00304E21" w:rsidRPr="001005B7">
        <w:rPr>
          <w:rFonts w:cstheme="minorHAnsi"/>
          <w:rtl/>
          <w:lang w:bidi="he-IL"/>
        </w:rPr>
        <w:t>הֲמֻלָּה</w:t>
      </w:r>
      <w:r w:rsidR="00AD28BD" w:rsidRPr="001005B7">
        <w:t>)</w:t>
      </w:r>
      <w:r w:rsidR="00721FD5" w:rsidRPr="001005B7">
        <w:t>. This word</w:t>
      </w:r>
      <w:r w:rsidR="00554C3E" w:rsidRPr="001005B7">
        <w:t xml:space="preserve"> occurs only once more</w:t>
      </w:r>
      <w:r w:rsidR="00F232EA" w:rsidRPr="001005B7">
        <w:t xml:space="preserve">, </w:t>
      </w:r>
      <w:r w:rsidR="00945DCC" w:rsidRPr="001005B7">
        <w:t>in connection with Ya</w:t>
      </w:r>
      <w:r w:rsidR="00836987" w:rsidRPr="001005B7">
        <w:t xml:space="preserve">hweh setting </w:t>
      </w:r>
      <w:r w:rsidR="003D0577" w:rsidRPr="001005B7">
        <w:t>Zion</w:t>
      </w:r>
      <w:r w:rsidR="00836987" w:rsidRPr="001005B7">
        <w:t xml:space="preserve"> on fire</w:t>
      </w:r>
      <w:r w:rsidR="00F232EA" w:rsidRPr="001005B7">
        <w:t xml:space="preserve"> (Jer 11:16)</w:t>
      </w:r>
      <w:r w:rsidR="00E868C6" w:rsidRPr="001005B7">
        <w:t>. H</w:t>
      </w:r>
      <w:r w:rsidR="001343C7" w:rsidRPr="001005B7">
        <w:t>ere</w:t>
      </w:r>
      <w:r w:rsidR="00721FD5" w:rsidRPr="001005B7">
        <w:t>,</w:t>
      </w:r>
      <w:r w:rsidR="00D320E2" w:rsidRPr="001005B7">
        <w:t xml:space="preserve"> that </w:t>
      </w:r>
      <w:r w:rsidR="00462CDE" w:rsidRPr="001005B7">
        <w:t>noise</w:t>
      </w:r>
      <w:r w:rsidR="00D320E2" w:rsidRPr="001005B7">
        <w:t xml:space="preserve"> </w:t>
      </w:r>
      <w:r w:rsidR="00E42BFF" w:rsidRPr="001005B7">
        <w:t>while the wings were flappi</w:t>
      </w:r>
      <w:r w:rsidR="00C6157E" w:rsidRPr="001005B7">
        <w:t>n</w:t>
      </w:r>
      <w:r w:rsidR="00E42BFF" w:rsidRPr="001005B7">
        <w:t xml:space="preserve">g </w:t>
      </w:r>
      <w:r w:rsidR="00D320E2" w:rsidRPr="001005B7">
        <w:t xml:space="preserve">suggests </w:t>
      </w:r>
      <w:r w:rsidR="00BA35E8" w:rsidRPr="001005B7">
        <w:t xml:space="preserve">the </w:t>
      </w:r>
      <w:r w:rsidR="003665FD" w:rsidRPr="001005B7">
        <w:t>“</w:t>
      </w:r>
      <w:r w:rsidR="00BA35E8" w:rsidRPr="001005B7">
        <w:t>sound</w:t>
      </w:r>
      <w:r w:rsidR="00BA35E8" w:rsidRPr="001005B7">
        <w:rPr>
          <w:i/>
          <w:iCs/>
        </w:rPr>
        <w:t xml:space="preserve"> </w:t>
      </w:r>
      <w:r w:rsidR="00BA35E8" w:rsidRPr="001005B7">
        <w:t>of</w:t>
      </w:r>
      <w:r w:rsidR="00BA35E8" w:rsidRPr="001005B7">
        <w:rPr>
          <w:i/>
          <w:iCs/>
        </w:rPr>
        <w:t xml:space="preserve"> </w:t>
      </w:r>
      <w:r w:rsidR="00BA35E8" w:rsidRPr="001005B7">
        <w:t>an</w:t>
      </w:r>
      <w:r w:rsidR="00BA35E8" w:rsidRPr="001005B7">
        <w:rPr>
          <w:i/>
          <w:iCs/>
        </w:rPr>
        <w:t xml:space="preserve"> </w:t>
      </w:r>
      <w:r w:rsidR="00BA35E8" w:rsidRPr="001005B7">
        <w:t>arm</w:t>
      </w:r>
      <w:r w:rsidR="00E42BFF" w:rsidRPr="001005B7">
        <w:t>y</w:t>
      </w:r>
      <w:r w:rsidR="00E82460" w:rsidRPr="001005B7">
        <w:t>.</w:t>
      </w:r>
      <w:r w:rsidR="003665FD" w:rsidRPr="001005B7">
        <w:t>”</w:t>
      </w:r>
      <w:r w:rsidR="00E42BFF" w:rsidRPr="001005B7">
        <w:t xml:space="preserve"> </w:t>
      </w:r>
      <w:r w:rsidR="00CA5F77" w:rsidRPr="001005B7">
        <w:t>The sound of th</w:t>
      </w:r>
      <w:r w:rsidR="00820189" w:rsidRPr="001005B7">
        <w:t>is</w:t>
      </w:r>
      <w:r w:rsidR="00CA5F77" w:rsidRPr="001005B7">
        <w:t xml:space="preserve"> entourage is sinister.</w:t>
      </w:r>
      <w:r w:rsidR="0069122D" w:rsidRPr="001005B7">
        <w:t xml:space="preserve"> </w:t>
      </w:r>
      <w:r w:rsidR="00F92A1E" w:rsidRPr="001005B7">
        <w:t>Yahweh’s</w:t>
      </w:r>
      <w:r w:rsidR="0069122D" w:rsidRPr="001005B7">
        <w:t xml:space="preserve"> visionary appearances </w:t>
      </w:r>
      <w:r w:rsidR="00F92A1E" w:rsidRPr="001005B7">
        <w:t>“</w:t>
      </w:r>
      <w:r w:rsidR="0069122D" w:rsidRPr="001005B7">
        <w:t>inspire awe rather than comfort</w:t>
      </w:r>
      <w:r w:rsidR="00F92A1E" w:rsidRPr="001005B7">
        <w:t>.</w:t>
      </w:r>
      <w:r w:rsidR="00B877C7" w:rsidRPr="001005B7">
        <w:t>”</w:t>
      </w:r>
      <w:r w:rsidR="00B877C7" w:rsidRPr="001005B7">
        <w:rPr>
          <w:rStyle w:val="FootnoteReference"/>
        </w:rPr>
        <w:footnoteReference w:id="110"/>
      </w:r>
    </w:p>
    <w:p w14:paraId="426E9DA7" w14:textId="15E42CDD" w:rsidR="0010370C" w:rsidRPr="001005B7" w:rsidRDefault="002C348E" w:rsidP="0010370C">
      <w:r w:rsidRPr="001005B7">
        <w:rPr>
          <w:rFonts w:cstheme="minorHAnsi"/>
          <w:b/>
          <w:bCs/>
        </w:rPr>
        <w:t>26</w:t>
      </w:r>
      <w:r w:rsidR="00F46900" w:rsidRPr="001005B7">
        <w:rPr>
          <w:rFonts w:cstheme="minorHAnsi"/>
          <w:b/>
          <w:bCs/>
        </w:rPr>
        <w:t>–</w:t>
      </w:r>
      <w:r w:rsidR="00027275" w:rsidRPr="001005B7">
        <w:rPr>
          <w:rFonts w:cstheme="minorHAnsi"/>
          <w:b/>
          <w:bCs/>
        </w:rPr>
        <w:t>28a</w:t>
      </w:r>
      <w:r w:rsidR="007D1EF0" w:rsidRPr="001005B7">
        <w:rPr>
          <w:rFonts w:cstheme="minorHAnsi"/>
          <w:b/>
          <w:bCs/>
        </w:rPr>
        <w:t xml:space="preserve">. </w:t>
      </w:r>
      <w:r w:rsidR="004C3A3E" w:rsidRPr="001005B7">
        <w:rPr>
          <w:rFonts w:cstheme="minorHAnsi"/>
        </w:rPr>
        <w:t>M</w:t>
      </w:r>
      <w:r w:rsidR="00820189" w:rsidRPr="001005B7">
        <w:rPr>
          <w:rFonts w:cstheme="minorHAnsi"/>
        </w:rPr>
        <w:t xml:space="preserve">uch </w:t>
      </w:r>
      <w:r w:rsidR="00F743E6" w:rsidRPr="001005B7">
        <w:rPr>
          <w:rFonts w:cstheme="minorHAnsi"/>
        </w:rPr>
        <w:t xml:space="preserve">suspense is </w:t>
      </w:r>
      <w:r w:rsidR="004C3A3E" w:rsidRPr="001005B7">
        <w:rPr>
          <w:rFonts w:cstheme="minorHAnsi"/>
        </w:rPr>
        <w:t xml:space="preserve">now </w:t>
      </w:r>
      <w:r w:rsidR="00F743E6" w:rsidRPr="001005B7">
        <w:rPr>
          <w:rFonts w:cstheme="minorHAnsi"/>
        </w:rPr>
        <w:t>resolved by the description of the throne and the one sitting there.</w:t>
      </w:r>
      <w:r w:rsidR="00CA1BA4" w:rsidRPr="001005B7">
        <w:rPr>
          <w:rFonts w:cstheme="minorHAnsi"/>
        </w:rPr>
        <w:t xml:space="preserve"> </w:t>
      </w:r>
      <w:r w:rsidR="007F11FC" w:rsidRPr="001005B7">
        <w:rPr>
          <w:rFonts w:cstheme="minorHAnsi"/>
        </w:rPr>
        <w:t>He</w:t>
      </w:r>
      <w:r w:rsidR="00CA1BA4" w:rsidRPr="001005B7">
        <w:rPr>
          <w:rFonts w:cstheme="minorHAnsi"/>
        </w:rPr>
        <w:t xml:space="preserve"> is like a human being</w:t>
      </w:r>
      <w:r w:rsidR="004D4E27" w:rsidRPr="001005B7">
        <w:rPr>
          <w:rFonts w:cstheme="minorHAnsi"/>
        </w:rPr>
        <w:t xml:space="preserve"> (which naturally makes Christian exegetes wonder about th</w:t>
      </w:r>
      <w:r w:rsidR="00BA4845" w:rsidRPr="001005B7">
        <w:rPr>
          <w:rFonts w:cstheme="minorHAnsi"/>
        </w:rPr>
        <w:t>e relationship of this figure to God’s becoming incarnate)</w:t>
      </w:r>
      <w:r w:rsidR="00CA1BA4" w:rsidRPr="001005B7">
        <w:rPr>
          <w:rFonts w:cstheme="minorHAnsi"/>
        </w:rPr>
        <w:t>.</w:t>
      </w:r>
      <w:r w:rsidR="00BA4845" w:rsidRPr="001005B7">
        <w:rPr>
          <w:rStyle w:val="FootnoteReference"/>
          <w:rFonts w:cstheme="minorHAnsi"/>
        </w:rPr>
        <w:footnoteReference w:id="111"/>
      </w:r>
      <w:r w:rsidR="006809FE" w:rsidRPr="001005B7">
        <w:rPr>
          <w:rFonts w:cstheme="minorHAnsi"/>
        </w:rPr>
        <w:t xml:space="preserve"> </w:t>
      </w:r>
      <w:r w:rsidR="007C7E51" w:rsidRPr="001005B7">
        <w:rPr>
          <w:rFonts w:cstheme="minorHAnsi"/>
        </w:rPr>
        <w:t xml:space="preserve">Again there is </w:t>
      </w:r>
      <w:proofErr w:type="spellStart"/>
      <w:r w:rsidR="00C12036" w:rsidRPr="001005B7">
        <w:rPr>
          <w:rFonts w:cstheme="minorHAnsi"/>
          <w:i/>
          <w:iCs/>
        </w:rPr>
        <w:t>hashmal</w:t>
      </w:r>
      <w:proofErr w:type="spellEnd"/>
      <w:r w:rsidR="008465C6" w:rsidRPr="001005B7">
        <w:rPr>
          <w:rFonts w:cstheme="minorHAnsi"/>
        </w:rPr>
        <w:t>,</w:t>
      </w:r>
      <w:r w:rsidR="00C12036" w:rsidRPr="001005B7">
        <w:rPr>
          <w:rFonts w:cstheme="minorHAnsi"/>
        </w:rPr>
        <w:t xml:space="preserve"> </w:t>
      </w:r>
      <w:r w:rsidR="002B40AE" w:rsidRPr="001005B7">
        <w:rPr>
          <w:rFonts w:cstheme="minorHAnsi"/>
        </w:rPr>
        <w:t>f</w:t>
      </w:r>
      <w:r w:rsidR="00C12036" w:rsidRPr="001005B7">
        <w:rPr>
          <w:rFonts w:cstheme="minorHAnsi"/>
        </w:rPr>
        <w:t>ire</w:t>
      </w:r>
      <w:r w:rsidR="008465C6" w:rsidRPr="001005B7">
        <w:rPr>
          <w:rFonts w:cstheme="minorHAnsi"/>
        </w:rPr>
        <w:t>,</w:t>
      </w:r>
      <w:r w:rsidR="001A33DE" w:rsidRPr="001005B7">
        <w:t xml:space="preserve"> </w:t>
      </w:r>
      <w:r w:rsidR="00C12036" w:rsidRPr="001005B7">
        <w:t xml:space="preserve">and brightness, as there was in </w:t>
      </w:r>
      <w:r w:rsidR="0042084A" w:rsidRPr="001005B7">
        <w:t>1:</w:t>
      </w:r>
      <w:r w:rsidR="002B40AE" w:rsidRPr="001005B7">
        <w:t>4 without any reference to a figure</w:t>
      </w:r>
      <w:r w:rsidR="00A43C42" w:rsidRPr="001005B7">
        <w:t>. N</w:t>
      </w:r>
      <w:r w:rsidR="002B40AE" w:rsidRPr="001005B7">
        <w:t>ow th</w:t>
      </w:r>
      <w:r w:rsidR="008715CD" w:rsidRPr="001005B7">
        <w:t>ose features</w:t>
      </w:r>
      <w:r w:rsidR="002B40AE" w:rsidRPr="001005B7">
        <w:t xml:space="preserve"> are revealed to be the encompassing of the figure</w:t>
      </w:r>
      <w:r w:rsidR="001C0CB2" w:rsidRPr="001005B7">
        <w:t>,</w:t>
      </w:r>
      <w:r w:rsidR="006D7A21" w:rsidRPr="001005B7">
        <w:t xml:space="preserve"> from the</w:t>
      </w:r>
      <w:r w:rsidR="002B40AE" w:rsidRPr="001005B7">
        <w:t xml:space="preserve"> </w:t>
      </w:r>
      <w:r w:rsidR="00F67B0D" w:rsidRPr="001005B7">
        <w:t>wa</w:t>
      </w:r>
      <w:r w:rsidR="00666379" w:rsidRPr="001005B7">
        <w:t>i</w:t>
      </w:r>
      <w:r w:rsidR="00F67B0D" w:rsidRPr="001005B7">
        <w:t>st</w:t>
      </w:r>
      <w:r w:rsidR="001C0CB2" w:rsidRPr="001005B7">
        <w:t>,</w:t>
      </w:r>
      <w:r w:rsidR="00934D7E" w:rsidRPr="001005B7">
        <w:t xml:space="preserve"> up</w:t>
      </w:r>
      <w:r w:rsidR="006D7A21" w:rsidRPr="001005B7">
        <w:t>ward</w:t>
      </w:r>
      <w:r w:rsidR="00934D7E" w:rsidRPr="001005B7">
        <w:t xml:space="preserve"> and down</w:t>
      </w:r>
      <w:r w:rsidR="006D7A21" w:rsidRPr="001005B7">
        <w:t>ward</w:t>
      </w:r>
      <w:r w:rsidR="00BD011A" w:rsidRPr="001005B7">
        <w:t>.</w:t>
      </w:r>
      <w:r w:rsidR="00670D46" w:rsidRPr="001005B7">
        <w:t xml:space="preserve"> </w:t>
      </w:r>
      <w:r w:rsidR="00C75903" w:rsidRPr="001005B7">
        <w:t xml:space="preserve">This </w:t>
      </w:r>
      <w:r w:rsidR="00D01855" w:rsidRPr="001005B7">
        <w:t xml:space="preserve">description </w:t>
      </w:r>
      <w:r w:rsidR="00393DDA" w:rsidRPr="001005B7">
        <w:t>m</w:t>
      </w:r>
      <w:r w:rsidR="00A00243" w:rsidRPr="001005B7">
        <w:t>ay</w:t>
      </w:r>
      <w:r w:rsidR="00393DDA" w:rsidRPr="001005B7">
        <w:t xml:space="preserve"> </w:t>
      </w:r>
      <w:r w:rsidR="00D53343" w:rsidRPr="001005B7">
        <w:t>reflect</w:t>
      </w:r>
      <w:r w:rsidR="00393DDA" w:rsidRPr="001005B7">
        <w:t xml:space="preserve"> another</w:t>
      </w:r>
      <w:r w:rsidR="00C75903" w:rsidRPr="001005B7">
        <w:t xml:space="preserve"> Assyrian</w:t>
      </w:r>
      <w:r w:rsidR="00393DDA" w:rsidRPr="001005B7">
        <w:t xml:space="preserve"> motif, the</w:t>
      </w:r>
      <w:r w:rsidR="00C75903" w:rsidRPr="001005B7">
        <w:t xml:space="preserve"> </w:t>
      </w:r>
      <w:proofErr w:type="spellStart"/>
      <w:r w:rsidR="00C75903" w:rsidRPr="001005B7">
        <w:rPr>
          <w:i/>
          <w:iCs/>
        </w:rPr>
        <w:t>melammu</w:t>
      </w:r>
      <w:proofErr w:type="spellEnd"/>
      <w:r w:rsidR="006C0E53" w:rsidRPr="001005B7">
        <w:t xml:space="preserve"> or divine radiance that surrounds the deity</w:t>
      </w:r>
      <w:r w:rsidR="00A00243" w:rsidRPr="001005B7">
        <w:t xml:space="preserve">, which here becomes combined with more </w:t>
      </w:r>
      <w:r w:rsidR="004804C9" w:rsidRPr="001005B7">
        <w:t>traditional Israelite ways of picturing Yahweh</w:t>
      </w:r>
      <w:r w:rsidR="006A2F90" w:rsidRPr="001005B7">
        <w:t>,</w:t>
      </w:r>
      <w:r w:rsidR="004804C9" w:rsidRPr="001005B7">
        <w:t xml:space="preserve"> and </w:t>
      </w:r>
      <w:r w:rsidR="00A1751B" w:rsidRPr="001005B7">
        <w:t xml:space="preserve">in the terms of a Babylonian way of picturing things </w:t>
      </w:r>
      <w:r w:rsidR="00BC38A2" w:rsidRPr="001005B7">
        <w:t xml:space="preserve">affirms </w:t>
      </w:r>
      <w:r w:rsidR="004804C9" w:rsidRPr="001005B7">
        <w:t xml:space="preserve">that he is </w:t>
      </w:r>
      <w:r w:rsidR="00A1751B" w:rsidRPr="001005B7">
        <w:t xml:space="preserve">present as </w:t>
      </w:r>
      <w:r w:rsidR="004804C9" w:rsidRPr="001005B7">
        <w:t>the real God</w:t>
      </w:r>
      <w:r w:rsidR="006C0E53" w:rsidRPr="001005B7">
        <w:t>.</w:t>
      </w:r>
      <w:r w:rsidR="00784843" w:rsidRPr="001005B7">
        <w:rPr>
          <w:rStyle w:val="FootnoteReference"/>
        </w:rPr>
        <w:footnoteReference w:id="112"/>
      </w:r>
      <w:r w:rsidR="00C75903" w:rsidRPr="001005B7">
        <w:t xml:space="preserve"> </w:t>
      </w:r>
      <w:r w:rsidR="006A280A" w:rsidRPr="001005B7">
        <w:t>F</w:t>
      </w:r>
      <w:r w:rsidR="00DD1897" w:rsidRPr="001005B7">
        <w:t>ire and brightness enhance the impressiveness of Yahweh’s appearance but also</w:t>
      </w:r>
      <w:r w:rsidR="00F428AD" w:rsidRPr="001005B7">
        <w:t xml:space="preserve"> </w:t>
      </w:r>
      <w:r w:rsidR="00DD1897" w:rsidRPr="001005B7">
        <w:t xml:space="preserve">indicate that it was impossible to look at. </w:t>
      </w:r>
      <w:r w:rsidR="005529EE" w:rsidRPr="001005B7">
        <w:t xml:space="preserve">Ezekiel adds one more motif, </w:t>
      </w:r>
      <w:r w:rsidR="00BD011A" w:rsidRPr="001005B7">
        <w:t>a bow</w:t>
      </w:r>
      <w:r w:rsidR="00313E5B" w:rsidRPr="001005B7">
        <w:t xml:space="preserve"> as bright as a rainbow</w:t>
      </w:r>
      <w:r w:rsidR="005529EE" w:rsidRPr="001005B7">
        <w:t>. I</w:t>
      </w:r>
      <w:r w:rsidR="00313E5B" w:rsidRPr="001005B7">
        <w:t>n the context</w:t>
      </w:r>
      <w:r w:rsidR="005529EE" w:rsidRPr="001005B7">
        <w:t>,</w:t>
      </w:r>
      <w:r w:rsidR="00313E5B" w:rsidRPr="001005B7">
        <w:t xml:space="preserve"> </w:t>
      </w:r>
      <w:r w:rsidR="00D80C06" w:rsidRPr="001005B7">
        <w:t xml:space="preserve">it is not a bow with the transformed positive sense </w:t>
      </w:r>
      <w:r w:rsidR="0092716D" w:rsidRPr="001005B7">
        <w:t>that obtains in</w:t>
      </w:r>
      <w:r w:rsidR="00D80C06" w:rsidRPr="001005B7">
        <w:t xml:space="preserve"> Gen 9:</w:t>
      </w:r>
      <w:r w:rsidR="0059774E" w:rsidRPr="001005B7">
        <w:t>8</w:t>
      </w:r>
      <w:r w:rsidR="00F46900" w:rsidRPr="001005B7">
        <w:t>–</w:t>
      </w:r>
      <w:r w:rsidR="0059774E" w:rsidRPr="001005B7">
        <w:t>17</w:t>
      </w:r>
      <w:r w:rsidR="00A43C42" w:rsidRPr="001005B7">
        <w:t>. F</w:t>
      </w:r>
      <w:r w:rsidR="00D2470B" w:rsidRPr="001005B7">
        <w:t xml:space="preserve">ollowing on </w:t>
      </w:r>
      <w:r w:rsidR="0042084A" w:rsidRPr="001005B7">
        <w:t>1:</w:t>
      </w:r>
      <w:r w:rsidR="005E7D61" w:rsidRPr="001005B7">
        <w:t>24,</w:t>
      </w:r>
      <w:r w:rsidR="00D2470B" w:rsidRPr="001005B7">
        <w:t xml:space="preserve"> </w:t>
      </w:r>
      <w:r w:rsidR="00BF07D6" w:rsidRPr="001005B7">
        <w:t>it</w:t>
      </w:r>
      <w:r w:rsidR="00D2470B" w:rsidRPr="001005B7">
        <w:t xml:space="preserve"> is a bow with its regular significance</w:t>
      </w:r>
      <w:r w:rsidR="00034451" w:rsidRPr="001005B7">
        <w:t>, as a weapon</w:t>
      </w:r>
      <w:r w:rsidR="00D2470B" w:rsidRPr="001005B7">
        <w:t>.</w:t>
      </w:r>
      <w:r w:rsidR="0045413B" w:rsidRPr="001005B7">
        <w:rPr>
          <w:rStyle w:val="FootnoteReference"/>
        </w:rPr>
        <w:footnoteReference w:id="113"/>
      </w:r>
      <w:r w:rsidR="00F32353" w:rsidRPr="001005B7">
        <w:t xml:space="preserve"> </w:t>
      </w:r>
      <w:r w:rsidR="009D5FA9" w:rsidRPr="001005B7">
        <w:t>Even though</w:t>
      </w:r>
      <w:r w:rsidR="00B820A6" w:rsidRPr="001005B7">
        <w:t xml:space="preserve"> </w:t>
      </w:r>
      <w:r w:rsidR="00B820A6" w:rsidRPr="001005B7">
        <w:rPr>
          <w:rFonts w:cstheme="minorHAnsi"/>
        </w:rPr>
        <w:t xml:space="preserve">Ezekiel </w:t>
      </w:r>
      <w:r w:rsidR="006B4428" w:rsidRPr="001005B7">
        <w:rPr>
          <w:rFonts w:cstheme="minorHAnsi"/>
        </w:rPr>
        <w:t>has</w:t>
      </w:r>
      <w:r w:rsidR="00B820A6" w:rsidRPr="001005B7">
        <w:rPr>
          <w:rFonts w:cstheme="minorHAnsi"/>
        </w:rPr>
        <w:t xml:space="preserve"> not sp</w:t>
      </w:r>
      <w:r w:rsidR="006B4428" w:rsidRPr="001005B7">
        <w:rPr>
          <w:rFonts w:cstheme="minorHAnsi"/>
        </w:rPr>
        <w:t>oken</w:t>
      </w:r>
      <w:r w:rsidR="00B820A6" w:rsidRPr="001005B7">
        <w:rPr>
          <w:rFonts w:cstheme="minorHAnsi"/>
        </w:rPr>
        <w:t xml:space="preserve"> of the structure </w:t>
      </w:r>
      <w:r w:rsidR="006B4428" w:rsidRPr="001005B7">
        <w:rPr>
          <w:rFonts w:cstheme="minorHAnsi"/>
        </w:rPr>
        <w:t xml:space="preserve">in this chapter </w:t>
      </w:r>
      <w:r w:rsidR="00B820A6" w:rsidRPr="001005B7">
        <w:rPr>
          <w:rFonts w:cstheme="minorHAnsi"/>
        </w:rPr>
        <w:t>as a chariot</w:t>
      </w:r>
      <w:r w:rsidR="00787486" w:rsidRPr="001005B7">
        <w:rPr>
          <w:rFonts w:cstheme="minorHAnsi"/>
        </w:rPr>
        <w:t>,</w:t>
      </w:r>
      <w:r w:rsidR="00B820A6" w:rsidRPr="001005B7">
        <w:rPr>
          <w:rFonts w:cstheme="minorHAnsi"/>
        </w:rPr>
        <w:t xml:space="preserve"> his description has recalled the war chariots of </w:t>
      </w:r>
      <w:r w:rsidR="00B820A6" w:rsidRPr="001005B7">
        <w:t xml:space="preserve">Isa 66:15; Jer 4:13; </w:t>
      </w:r>
      <w:proofErr w:type="spellStart"/>
      <w:r w:rsidR="00B820A6" w:rsidRPr="001005B7">
        <w:t>Hab</w:t>
      </w:r>
      <w:proofErr w:type="spellEnd"/>
      <w:r w:rsidR="00B820A6" w:rsidRPr="001005B7">
        <w:t xml:space="preserve"> 3:8.</w:t>
      </w:r>
      <w:r w:rsidR="00C07C27" w:rsidRPr="001005B7">
        <w:t xml:space="preserve"> </w:t>
      </w:r>
      <w:r w:rsidR="00EA0259" w:rsidRPr="001005B7">
        <w:t xml:space="preserve">And when </w:t>
      </w:r>
      <w:r w:rsidR="000A3CA4" w:rsidRPr="001005B7">
        <w:t xml:space="preserve">brightness recurs </w:t>
      </w:r>
      <w:r w:rsidR="00C641A5" w:rsidRPr="001005B7">
        <w:t>in the</w:t>
      </w:r>
      <w:r w:rsidR="000A3CA4" w:rsidRPr="001005B7">
        <w:t xml:space="preserve"> summary of the scene at the end of </w:t>
      </w:r>
      <w:r w:rsidR="0042084A" w:rsidRPr="001005B7">
        <w:t>1:</w:t>
      </w:r>
      <w:r w:rsidR="000A3CA4" w:rsidRPr="001005B7">
        <w:t>28a</w:t>
      </w:r>
      <w:r w:rsidR="003A4317" w:rsidRPr="001005B7">
        <w:t xml:space="preserve">, </w:t>
      </w:r>
      <w:r w:rsidR="000D7BC2" w:rsidRPr="001005B7">
        <w:t xml:space="preserve">it </w:t>
      </w:r>
      <w:r w:rsidR="003A4317" w:rsidRPr="001005B7">
        <w:t>underscor</w:t>
      </w:r>
      <w:r w:rsidR="000D7BC2" w:rsidRPr="001005B7">
        <w:t>es</w:t>
      </w:r>
      <w:r w:rsidR="003A4317" w:rsidRPr="001005B7">
        <w:t xml:space="preserve"> </w:t>
      </w:r>
      <w:r w:rsidR="00EA0259" w:rsidRPr="001005B7">
        <w:t xml:space="preserve">the </w:t>
      </w:r>
      <w:r w:rsidR="00846A4C" w:rsidRPr="001005B7">
        <w:t>sc</w:t>
      </w:r>
      <w:r w:rsidR="00EA0259" w:rsidRPr="001005B7">
        <w:t>ene’s</w:t>
      </w:r>
      <w:r w:rsidR="003A4317" w:rsidRPr="001005B7">
        <w:t xml:space="preserve"> </w:t>
      </w:r>
      <w:r w:rsidR="00047524" w:rsidRPr="001005B7">
        <w:t>scary nature.</w:t>
      </w:r>
      <w:r w:rsidR="0010370C" w:rsidRPr="001005B7">
        <w:t xml:space="preserve"> </w:t>
      </w:r>
    </w:p>
    <w:p w14:paraId="2DA78BEA" w14:textId="0B2735FE" w:rsidR="00007AE7" w:rsidRPr="001005B7" w:rsidRDefault="009A2F48" w:rsidP="00701856">
      <w:r w:rsidRPr="001005B7">
        <w:rPr>
          <w:b/>
          <w:bCs/>
        </w:rPr>
        <w:t>28b</w:t>
      </w:r>
      <w:r w:rsidRPr="001005B7">
        <w:rPr>
          <w:rFonts w:cstheme="minorHAnsi"/>
          <w:b/>
          <w:bCs/>
        </w:rPr>
        <w:t xml:space="preserve">α. </w:t>
      </w:r>
      <w:r w:rsidRPr="001005B7">
        <w:rPr>
          <w:rFonts w:cstheme="minorHAnsi"/>
        </w:rPr>
        <w:t>The figure was Yahweh in his</w:t>
      </w:r>
      <w:r w:rsidR="003A6E3D" w:rsidRPr="001005B7">
        <w:rPr>
          <w:rFonts w:cstheme="minorHAnsi"/>
        </w:rPr>
        <w:t xml:space="preserve"> </w:t>
      </w:r>
      <w:r w:rsidR="003B4F19" w:rsidRPr="001005B7">
        <w:rPr>
          <w:rFonts w:cstheme="minorHAnsi"/>
          <w:rtl/>
          <w:lang w:bidi="he-IL"/>
        </w:rPr>
        <w:t>כ</w:t>
      </w:r>
      <w:r w:rsidR="00E3361E" w:rsidRPr="001005B7">
        <w:rPr>
          <w:rFonts w:cstheme="minorHAnsi"/>
          <w:rtl/>
          <w:lang w:bidi="he-IL"/>
        </w:rPr>
        <w:t>ּ</w:t>
      </w:r>
      <w:r w:rsidR="003B4F19" w:rsidRPr="001005B7">
        <w:rPr>
          <w:rFonts w:cstheme="minorHAnsi"/>
          <w:rtl/>
          <w:lang w:bidi="he-IL"/>
        </w:rPr>
        <w:t>ָ</w:t>
      </w:r>
      <w:r w:rsidR="005C5CCB" w:rsidRPr="001005B7">
        <w:rPr>
          <w:rFonts w:cstheme="minorHAnsi"/>
          <w:rtl/>
          <w:lang w:bidi="he-IL"/>
        </w:rPr>
        <w:t>בוֺד</w:t>
      </w:r>
      <w:r w:rsidR="00702BE5" w:rsidRPr="001005B7">
        <w:t>,</w:t>
      </w:r>
      <w:r w:rsidR="00702BE5" w:rsidRPr="001005B7">
        <w:rPr>
          <w:i/>
          <w:iCs/>
        </w:rPr>
        <w:t xml:space="preserve"> </w:t>
      </w:r>
      <w:r w:rsidR="003A6E3D" w:rsidRPr="001005B7">
        <w:t>“</w:t>
      </w:r>
      <w:r w:rsidR="00180CEB" w:rsidRPr="001005B7">
        <w:t>magnificence</w:t>
      </w:r>
      <w:r w:rsidR="003A6E3D" w:rsidRPr="001005B7">
        <w:t xml:space="preserve">,” </w:t>
      </w:r>
      <w:r w:rsidR="00AF1CAB" w:rsidRPr="001005B7">
        <w:t>traditionally, “glory</w:t>
      </w:r>
      <w:r w:rsidR="00A0650C" w:rsidRPr="001005B7">
        <w:t>.</w:t>
      </w:r>
      <w:r w:rsidR="005F6B07" w:rsidRPr="001005B7">
        <w:t>”</w:t>
      </w:r>
      <w:r w:rsidR="00D80E68" w:rsidRPr="001005B7">
        <w:rPr>
          <w:rStyle w:val="FootnoteReference"/>
        </w:rPr>
        <w:footnoteReference w:id="114"/>
      </w:r>
      <w:r w:rsidR="008009B9" w:rsidRPr="001005B7">
        <w:t xml:space="preserve"> The term </w:t>
      </w:r>
      <w:r w:rsidR="00576F1C" w:rsidRPr="001005B7">
        <w:t>denotes the splendor that attaches to a monarch, a splendor of outw</w:t>
      </w:r>
      <w:r w:rsidR="00C2115D" w:rsidRPr="001005B7">
        <w:t xml:space="preserve">ard magnificence (I write a few weeks before the coronation of King Charles III) </w:t>
      </w:r>
      <w:r w:rsidR="00DE2574" w:rsidRPr="001005B7">
        <w:t>that is the ou</w:t>
      </w:r>
      <w:r w:rsidR="00DB4C20" w:rsidRPr="001005B7">
        <w:t>tward</w:t>
      </w:r>
      <w:r w:rsidR="00073D8A" w:rsidRPr="001005B7">
        <w:t xml:space="preserve">, formal, </w:t>
      </w:r>
      <w:r w:rsidR="00DB4C20" w:rsidRPr="001005B7">
        <w:t>expression of an inherent power and honor</w:t>
      </w:r>
      <w:r w:rsidR="003B4E99" w:rsidRPr="001005B7">
        <w:t xml:space="preserve">. </w:t>
      </w:r>
      <w:r w:rsidR="005C57DA" w:rsidRPr="001005B7">
        <w:t>Th</w:t>
      </w:r>
      <w:r w:rsidR="00755017" w:rsidRPr="001005B7">
        <w:t>e</w:t>
      </w:r>
      <w:r w:rsidR="005C57DA" w:rsidRPr="001005B7">
        <w:t xml:space="preserve"> </w:t>
      </w:r>
      <w:r w:rsidR="00394127" w:rsidRPr="001005B7">
        <w:t>observation</w:t>
      </w:r>
      <w:r w:rsidR="00FD19CC" w:rsidRPr="001005B7">
        <w:t xml:space="preserve"> </w:t>
      </w:r>
      <w:r w:rsidR="00755017" w:rsidRPr="001005B7">
        <w:t xml:space="preserve">about Yahweh’s magnificence </w:t>
      </w:r>
      <w:r w:rsidR="00AF1CAB" w:rsidRPr="001005B7">
        <w:t xml:space="preserve">brings the </w:t>
      </w:r>
      <w:r w:rsidR="003A6E3D" w:rsidRPr="001005B7">
        <w:t xml:space="preserve">vision </w:t>
      </w:r>
      <w:r w:rsidR="00AF1CAB" w:rsidRPr="001005B7">
        <w:t>account to its climax.</w:t>
      </w:r>
      <w:r w:rsidR="005C57DA" w:rsidRPr="001005B7">
        <w:t xml:space="preserve"> </w:t>
      </w:r>
      <w:r w:rsidR="002C17A4" w:rsidRPr="001005B7">
        <w:rPr>
          <w:rFonts w:cstheme="minorHAnsi"/>
        </w:rPr>
        <w:t>T</w:t>
      </w:r>
      <w:r w:rsidR="00AF697E" w:rsidRPr="001005B7">
        <w:rPr>
          <w:rFonts w:cstheme="minorHAnsi"/>
        </w:rPr>
        <w:t xml:space="preserve">here might be multiple reasons for falling down </w:t>
      </w:r>
      <w:r w:rsidR="00E95E2A" w:rsidRPr="001005B7">
        <w:rPr>
          <w:rFonts w:cstheme="minorHAnsi"/>
        </w:rPr>
        <w:t>in front of</w:t>
      </w:r>
      <w:r w:rsidR="00AF697E" w:rsidRPr="001005B7">
        <w:rPr>
          <w:rFonts w:cstheme="minorHAnsi"/>
        </w:rPr>
        <w:t xml:space="preserve"> </w:t>
      </w:r>
      <w:r w:rsidR="005C57DA" w:rsidRPr="001005B7">
        <w:rPr>
          <w:rFonts w:cstheme="minorHAnsi"/>
        </w:rPr>
        <w:t>Yahweh</w:t>
      </w:r>
      <w:r w:rsidR="007D6CAF" w:rsidRPr="001005B7">
        <w:rPr>
          <w:rFonts w:cstheme="minorHAnsi"/>
        </w:rPr>
        <w:t xml:space="preserve"> at th</w:t>
      </w:r>
      <w:r w:rsidR="00FD19CC" w:rsidRPr="001005B7">
        <w:rPr>
          <w:rFonts w:cstheme="minorHAnsi"/>
        </w:rPr>
        <w:t>is</w:t>
      </w:r>
      <w:r w:rsidR="007D6CAF" w:rsidRPr="001005B7">
        <w:rPr>
          <w:rFonts w:cstheme="minorHAnsi"/>
        </w:rPr>
        <w:t xml:space="preserve"> awareness. Isaiah’s reason was his </w:t>
      </w:r>
      <w:r w:rsidR="0046670D" w:rsidRPr="001005B7">
        <w:rPr>
          <w:rFonts w:cstheme="minorHAnsi"/>
        </w:rPr>
        <w:t>sense</w:t>
      </w:r>
      <w:r w:rsidR="007D6CAF" w:rsidRPr="001005B7">
        <w:rPr>
          <w:rFonts w:cstheme="minorHAnsi"/>
        </w:rPr>
        <w:t xml:space="preserve"> of his </w:t>
      </w:r>
      <w:r w:rsidR="001E3348" w:rsidRPr="001005B7">
        <w:rPr>
          <w:rFonts w:cstheme="minorHAnsi"/>
        </w:rPr>
        <w:t>defilement</w:t>
      </w:r>
      <w:r w:rsidR="007D6CAF" w:rsidRPr="001005B7">
        <w:rPr>
          <w:rFonts w:cstheme="minorHAnsi"/>
        </w:rPr>
        <w:t xml:space="preserve"> and that of his people</w:t>
      </w:r>
      <w:r w:rsidR="00D05E0E" w:rsidRPr="001005B7">
        <w:rPr>
          <w:rFonts w:cstheme="minorHAnsi"/>
        </w:rPr>
        <w:t>, but he</w:t>
      </w:r>
      <w:r w:rsidR="004C0125" w:rsidRPr="001005B7">
        <w:rPr>
          <w:rFonts w:cstheme="minorHAnsi"/>
        </w:rPr>
        <w:t xml:space="preserve"> might</w:t>
      </w:r>
      <w:r w:rsidR="00D05E0E" w:rsidRPr="001005B7">
        <w:rPr>
          <w:rFonts w:cstheme="minorHAnsi"/>
        </w:rPr>
        <w:t xml:space="preserve"> also </w:t>
      </w:r>
      <w:r w:rsidR="004C0125" w:rsidRPr="001005B7">
        <w:rPr>
          <w:rFonts w:cstheme="minorHAnsi"/>
        </w:rPr>
        <w:t xml:space="preserve">be </w:t>
      </w:r>
      <w:r w:rsidR="00D05E0E" w:rsidRPr="001005B7">
        <w:rPr>
          <w:rFonts w:cstheme="minorHAnsi"/>
        </w:rPr>
        <w:t xml:space="preserve">worried about </w:t>
      </w:r>
      <w:r w:rsidR="00BC3AA6" w:rsidRPr="001005B7">
        <w:rPr>
          <w:rFonts w:cstheme="minorHAnsi"/>
        </w:rPr>
        <w:t xml:space="preserve">what </w:t>
      </w:r>
      <w:r w:rsidR="006E2FDC" w:rsidRPr="001005B7">
        <w:rPr>
          <w:rFonts w:cstheme="minorHAnsi"/>
        </w:rPr>
        <w:t>could</w:t>
      </w:r>
      <w:r w:rsidR="00BC3AA6" w:rsidRPr="001005B7">
        <w:rPr>
          <w:rFonts w:cstheme="minorHAnsi"/>
        </w:rPr>
        <w:t xml:space="preserve"> follow on that </w:t>
      </w:r>
      <w:r w:rsidR="001E3348" w:rsidRPr="001005B7">
        <w:rPr>
          <w:rFonts w:cstheme="minorHAnsi"/>
        </w:rPr>
        <w:t>defilement</w:t>
      </w:r>
      <w:r w:rsidR="00D05E0E" w:rsidRPr="001005B7">
        <w:rPr>
          <w:rFonts w:cstheme="minorHAnsi"/>
        </w:rPr>
        <w:t>.</w:t>
      </w:r>
      <w:r w:rsidR="00307F79" w:rsidRPr="001005B7">
        <w:rPr>
          <w:rFonts w:cstheme="minorHAnsi"/>
        </w:rPr>
        <w:t xml:space="preserve"> Ezekiel is </w:t>
      </w:r>
      <w:r w:rsidR="00832586" w:rsidRPr="001005B7">
        <w:rPr>
          <w:rFonts w:cstheme="minorHAnsi"/>
        </w:rPr>
        <w:t xml:space="preserve">perhaps </w:t>
      </w:r>
      <w:r w:rsidR="00307F79" w:rsidRPr="001005B7">
        <w:rPr>
          <w:rFonts w:cstheme="minorHAnsi"/>
        </w:rPr>
        <w:t xml:space="preserve">overwhelmed by a </w:t>
      </w:r>
      <w:r w:rsidR="00EE5DFA" w:rsidRPr="001005B7">
        <w:rPr>
          <w:rFonts w:cstheme="minorHAnsi"/>
        </w:rPr>
        <w:t>sense</w:t>
      </w:r>
      <w:r w:rsidR="00307F79" w:rsidRPr="001005B7">
        <w:rPr>
          <w:rFonts w:cstheme="minorHAnsi"/>
        </w:rPr>
        <w:t xml:space="preserve"> </w:t>
      </w:r>
      <w:r w:rsidR="00F9271B" w:rsidRPr="001005B7">
        <w:rPr>
          <w:rFonts w:cstheme="minorHAnsi"/>
        </w:rPr>
        <w:t xml:space="preserve">that </w:t>
      </w:r>
      <w:r w:rsidR="006F646B" w:rsidRPr="001005B7">
        <w:rPr>
          <w:rFonts w:cstheme="minorHAnsi"/>
        </w:rPr>
        <w:t>Yahweh’s</w:t>
      </w:r>
      <w:r w:rsidR="00F9271B" w:rsidRPr="001005B7">
        <w:rPr>
          <w:rFonts w:cstheme="minorHAnsi"/>
        </w:rPr>
        <w:t xml:space="preserve"> coming will</w:t>
      </w:r>
      <w:r w:rsidR="00D05E0E" w:rsidRPr="001005B7">
        <w:rPr>
          <w:rFonts w:cstheme="minorHAnsi"/>
        </w:rPr>
        <w:t xml:space="preserve"> </w:t>
      </w:r>
      <w:r w:rsidR="00F9271B" w:rsidRPr="001005B7">
        <w:rPr>
          <w:rFonts w:cstheme="minorHAnsi"/>
        </w:rPr>
        <w:t xml:space="preserve">bring </w:t>
      </w:r>
      <w:r w:rsidR="003C6470" w:rsidRPr="001005B7">
        <w:rPr>
          <w:rFonts w:cstheme="minorHAnsi"/>
        </w:rPr>
        <w:t xml:space="preserve">catastrophe </w:t>
      </w:r>
      <w:r w:rsidR="00F9271B" w:rsidRPr="001005B7">
        <w:rPr>
          <w:rFonts w:cstheme="minorHAnsi"/>
        </w:rPr>
        <w:t>to his community</w:t>
      </w:r>
      <w:r w:rsidR="00FC14BE" w:rsidRPr="001005B7">
        <w:t>.</w:t>
      </w:r>
      <w:r w:rsidR="00622DFD" w:rsidRPr="001005B7">
        <w:t xml:space="preserve"> But we </w:t>
      </w:r>
      <w:r w:rsidR="006F646B" w:rsidRPr="001005B7">
        <w:t>d</w:t>
      </w:r>
      <w:r w:rsidR="00622DFD" w:rsidRPr="001005B7">
        <w:t xml:space="preserve">on’t know </w:t>
      </w:r>
      <w:r w:rsidR="006F646B" w:rsidRPr="001005B7">
        <w:t>yet.</w:t>
      </w:r>
      <w:r w:rsidR="00011C97" w:rsidRPr="001005B7">
        <w:t xml:space="preserve"> </w:t>
      </w:r>
    </w:p>
    <w:p w14:paraId="4056586D" w14:textId="77777777" w:rsidR="00171E6E" w:rsidRPr="001005B7" w:rsidRDefault="00171E6E" w:rsidP="00493833">
      <w:pPr>
        <w:pStyle w:val="Heading3"/>
      </w:pPr>
      <w:r w:rsidRPr="001005B7">
        <w:t xml:space="preserve">Biblical Theology Comments </w:t>
      </w:r>
    </w:p>
    <w:p w14:paraId="5D2D0519" w14:textId="1D4DF765" w:rsidR="00477C19" w:rsidRPr="001005B7" w:rsidRDefault="00EB4F3F" w:rsidP="00AB46D2">
      <w:r w:rsidRPr="001005B7">
        <w:t>Yahweh</w:t>
      </w:r>
      <w:r w:rsidR="00CE0BE9" w:rsidRPr="001005B7">
        <w:t xml:space="preserve">’s </w:t>
      </w:r>
      <w:r w:rsidR="00E56790" w:rsidRPr="001005B7">
        <w:t xml:space="preserve">home </w:t>
      </w:r>
      <w:r w:rsidR="00CE0BE9" w:rsidRPr="001005B7">
        <w:t xml:space="preserve">as God </w:t>
      </w:r>
      <w:r w:rsidR="00E56790" w:rsidRPr="001005B7">
        <w:t xml:space="preserve">lies </w:t>
      </w:r>
      <w:r w:rsidR="009E3EBF" w:rsidRPr="001005B7">
        <w:t xml:space="preserve">in a realm outside the </w:t>
      </w:r>
      <w:r w:rsidR="00A160DA" w:rsidRPr="001005B7">
        <w:t xml:space="preserve">world, </w:t>
      </w:r>
      <w:r w:rsidR="005F7C34" w:rsidRPr="001005B7">
        <w:t xml:space="preserve">though he also made a home </w:t>
      </w:r>
      <w:r w:rsidR="003E486E" w:rsidRPr="001005B7">
        <w:t xml:space="preserve">among his people </w:t>
      </w:r>
      <w:r w:rsidR="005F7C34" w:rsidRPr="001005B7">
        <w:t>in the temple in Jerusalem</w:t>
      </w:r>
      <w:r w:rsidR="00005C01" w:rsidRPr="001005B7">
        <w:t xml:space="preserve"> a</w:t>
      </w:r>
      <w:r w:rsidR="000B2BB4" w:rsidRPr="001005B7">
        <w:t>nd</w:t>
      </w:r>
      <w:r w:rsidR="00492A94" w:rsidRPr="001005B7">
        <w:t xml:space="preserve"> he </w:t>
      </w:r>
      <w:r w:rsidR="00D90B76" w:rsidRPr="001005B7">
        <w:t xml:space="preserve">will </w:t>
      </w:r>
      <w:r w:rsidR="00005C01" w:rsidRPr="001005B7">
        <w:t xml:space="preserve">later </w:t>
      </w:r>
      <w:r w:rsidR="00492A94" w:rsidRPr="001005B7">
        <w:t xml:space="preserve">make his presence felt in the gathering of </w:t>
      </w:r>
      <w:r w:rsidR="00005C01" w:rsidRPr="001005B7">
        <w:t>people who believe in Jesus. In addition,</w:t>
      </w:r>
      <w:r w:rsidR="00A160DA" w:rsidRPr="001005B7">
        <w:t xml:space="preserve"> from time to time </w:t>
      </w:r>
      <w:r w:rsidR="00D90B76" w:rsidRPr="001005B7">
        <w:t xml:space="preserve">he </w:t>
      </w:r>
      <w:r w:rsidR="00324FE7" w:rsidRPr="001005B7">
        <w:t>reaches into the world to</w:t>
      </w:r>
      <w:r w:rsidR="00A160DA" w:rsidRPr="001005B7">
        <w:t xml:space="preserve"> take action within </w:t>
      </w:r>
      <w:r w:rsidR="00324FE7" w:rsidRPr="001005B7">
        <w:t>it</w:t>
      </w:r>
      <w:r w:rsidR="008F76A1" w:rsidRPr="001005B7">
        <w:t>.</w:t>
      </w:r>
      <w:r w:rsidR="008F76A1" w:rsidRPr="001005B7">
        <w:rPr>
          <w:rStyle w:val="FootnoteReference"/>
        </w:rPr>
        <w:footnoteReference w:id="115"/>
      </w:r>
      <w:r w:rsidR="00D90B76" w:rsidRPr="001005B7">
        <w:t xml:space="preserve"> He has done so in</w:t>
      </w:r>
      <w:r w:rsidR="00F079AF" w:rsidRPr="001005B7">
        <w:t xml:space="preserve"> many locations.</w:t>
      </w:r>
      <w:r w:rsidR="00D90B76" w:rsidRPr="001005B7">
        <w:t xml:space="preserve"> </w:t>
      </w:r>
      <w:r w:rsidR="003F505B" w:rsidRPr="001005B7">
        <w:t xml:space="preserve">Ezekiel gives no hint </w:t>
      </w:r>
      <w:r w:rsidR="00D66BCB" w:rsidRPr="001005B7">
        <w:t>of there being anything surprising about Yahweh b</w:t>
      </w:r>
      <w:r w:rsidR="00F079AF" w:rsidRPr="001005B7">
        <w:t>e</w:t>
      </w:r>
      <w:r w:rsidR="00D66BCB" w:rsidRPr="001005B7">
        <w:t>ing present in Babylonia.</w:t>
      </w:r>
      <w:r w:rsidR="00F079AF" w:rsidRPr="001005B7">
        <w:t xml:space="preserve"> </w:t>
      </w:r>
      <w:r w:rsidR="00522DFC" w:rsidRPr="001005B7">
        <w:t>But</w:t>
      </w:r>
      <w:r w:rsidR="00F079AF" w:rsidRPr="001005B7">
        <w:t xml:space="preserve"> </w:t>
      </w:r>
      <w:r w:rsidR="00657A07" w:rsidRPr="001005B7">
        <w:t>h</w:t>
      </w:r>
      <w:r w:rsidR="00324FE7" w:rsidRPr="001005B7">
        <w:t>i</w:t>
      </w:r>
      <w:r w:rsidR="004A0233" w:rsidRPr="001005B7">
        <w:t>s</w:t>
      </w:r>
      <w:r w:rsidR="00657A07" w:rsidRPr="001005B7">
        <w:t xml:space="preserve"> making his presence </w:t>
      </w:r>
      <w:r w:rsidR="00956F13" w:rsidRPr="001005B7">
        <w:t xml:space="preserve">felt </w:t>
      </w:r>
      <w:r w:rsidR="00657A07" w:rsidRPr="001005B7">
        <w:t>in the world</w:t>
      </w:r>
      <w:r w:rsidR="00324FE7" w:rsidRPr="001005B7">
        <w:t xml:space="preserve"> can mean disaster.</w:t>
      </w:r>
      <w:r w:rsidR="004A0233" w:rsidRPr="001005B7">
        <w:t xml:space="preserve"> </w:t>
      </w:r>
      <w:r w:rsidR="00412F6A" w:rsidRPr="001005B7">
        <w:t>T</w:t>
      </w:r>
      <w:r w:rsidR="004A0233" w:rsidRPr="001005B7">
        <w:t>ak</w:t>
      </w:r>
      <w:r w:rsidR="00956F13" w:rsidRPr="001005B7">
        <w:t>ing</w:t>
      </w:r>
      <w:r w:rsidR="004A0233" w:rsidRPr="001005B7">
        <w:t xml:space="preserve"> </w:t>
      </w:r>
      <w:r w:rsidR="00956F13" w:rsidRPr="001005B7">
        <w:t xml:space="preserve">such </w:t>
      </w:r>
      <w:r w:rsidR="004A0233" w:rsidRPr="001005B7">
        <w:t>action</w:t>
      </w:r>
      <w:r w:rsidR="00DD6B05" w:rsidRPr="001005B7">
        <w:t xml:space="preserve"> does not usually involve</w:t>
      </w:r>
      <w:r w:rsidR="00F538D1" w:rsidRPr="001005B7">
        <w:t xml:space="preserve"> mak</w:t>
      </w:r>
      <w:r w:rsidR="00DD6B05" w:rsidRPr="001005B7">
        <w:t>ing</w:t>
      </w:r>
      <w:r w:rsidR="00F538D1" w:rsidRPr="001005B7">
        <w:t xml:space="preserve"> him</w:t>
      </w:r>
      <w:r w:rsidR="00DD6B05" w:rsidRPr="001005B7">
        <w:t>sel</w:t>
      </w:r>
      <w:r w:rsidR="00B43119" w:rsidRPr="001005B7">
        <w:t>f</w:t>
      </w:r>
      <w:r w:rsidR="00F538D1" w:rsidRPr="001005B7">
        <w:t xml:space="preserve"> visible</w:t>
      </w:r>
      <w:r w:rsidR="00C8262F" w:rsidRPr="001005B7">
        <w:t xml:space="preserve">, though he may </w:t>
      </w:r>
      <w:r w:rsidR="009E096A" w:rsidRPr="001005B7">
        <w:t>do so</w:t>
      </w:r>
      <w:r w:rsidR="009905CE" w:rsidRPr="001005B7">
        <w:t>, and t</w:t>
      </w:r>
      <w:r w:rsidR="00787948" w:rsidRPr="001005B7">
        <w:t>he Scriptures are appropriately ambiguous about whether anyone ever sees God. God is not a physical being</w:t>
      </w:r>
      <w:r w:rsidR="003E67C6" w:rsidRPr="001005B7">
        <w:t>,</w:t>
      </w:r>
      <w:r w:rsidR="00787948" w:rsidRPr="001005B7">
        <w:t xml:space="preserve"> and therefore logically </w:t>
      </w:r>
      <w:r w:rsidR="003E67C6" w:rsidRPr="001005B7">
        <w:t xml:space="preserve">he </w:t>
      </w:r>
      <w:r w:rsidR="00787948" w:rsidRPr="001005B7">
        <w:t xml:space="preserve">cannot be seen. </w:t>
      </w:r>
      <w:r w:rsidR="00B06099" w:rsidRPr="001005B7">
        <w:t>If he makes himself visible in some sense, his</w:t>
      </w:r>
      <w:r w:rsidR="00631F04" w:rsidRPr="001005B7">
        <w:t xml:space="preserve"> visibility may </w:t>
      </w:r>
      <w:r w:rsidR="00134F2A" w:rsidRPr="001005B7">
        <w:t>take</w:t>
      </w:r>
      <w:r w:rsidR="00631F04" w:rsidRPr="001005B7">
        <w:t xml:space="preserve"> an abstract </w:t>
      </w:r>
      <w:r w:rsidR="00134F2A" w:rsidRPr="001005B7">
        <w:t xml:space="preserve">form </w:t>
      </w:r>
      <w:r w:rsidR="00631F04" w:rsidRPr="001005B7">
        <w:t>such as brightness</w:t>
      </w:r>
      <w:r w:rsidR="00134F2A" w:rsidRPr="001005B7">
        <w:t>, though</w:t>
      </w:r>
      <w:r w:rsidR="00BE4A81" w:rsidRPr="001005B7">
        <w:t xml:space="preserve"> </w:t>
      </w:r>
      <w:r w:rsidR="00B16801" w:rsidRPr="001005B7">
        <w:t>he would then be</w:t>
      </w:r>
      <w:r w:rsidR="00BE4A81" w:rsidRPr="001005B7">
        <w:t xml:space="preserve"> many times more dazzling and fiery than the sun, and </w:t>
      </w:r>
      <w:r w:rsidR="0087627C" w:rsidRPr="001005B7">
        <w:t xml:space="preserve">his brightness </w:t>
      </w:r>
      <w:r w:rsidR="00BE4A81" w:rsidRPr="001005B7">
        <w:t>c</w:t>
      </w:r>
      <w:r w:rsidR="00B16801" w:rsidRPr="001005B7">
        <w:t xml:space="preserve">ould </w:t>
      </w:r>
      <w:r w:rsidR="00BE4A81" w:rsidRPr="001005B7">
        <w:t>not safely be seen.</w:t>
      </w:r>
      <w:r w:rsidR="000F7C01" w:rsidRPr="001005B7">
        <w:t xml:space="preserve"> </w:t>
      </w:r>
      <w:r w:rsidR="0087627C" w:rsidRPr="001005B7">
        <w:t>Hi</w:t>
      </w:r>
      <w:r w:rsidR="001F1121" w:rsidRPr="001005B7">
        <w:t>s</w:t>
      </w:r>
      <w:r w:rsidR="0087627C" w:rsidRPr="001005B7">
        <w:t xml:space="preserve"> </w:t>
      </w:r>
      <w:r w:rsidR="001F1121" w:rsidRPr="001005B7">
        <w:t xml:space="preserve">becoming </w:t>
      </w:r>
      <w:r w:rsidR="0087627C" w:rsidRPr="001005B7">
        <w:t>visib</w:t>
      </w:r>
      <w:r w:rsidR="001F1121" w:rsidRPr="001005B7">
        <w:t>le</w:t>
      </w:r>
      <w:r w:rsidR="0087627C" w:rsidRPr="001005B7">
        <w:t xml:space="preserve"> may </w:t>
      </w:r>
      <w:r w:rsidR="00177FB2" w:rsidRPr="001005B7">
        <w:t xml:space="preserve">also </w:t>
      </w:r>
      <w:r w:rsidR="001F1121" w:rsidRPr="001005B7">
        <w:t>take</w:t>
      </w:r>
      <w:r w:rsidR="0087627C" w:rsidRPr="001005B7">
        <w:t xml:space="preserve"> concrete</w:t>
      </w:r>
      <w:r w:rsidR="001F1121" w:rsidRPr="001005B7">
        <w:t xml:space="preserve"> form</w:t>
      </w:r>
      <w:r w:rsidR="00951DE3" w:rsidRPr="001005B7">
        <w:t>,</w:t>
      </w:r>
      <w:r w:rsidR="00631F04" w:rsidRPr="001005B7">
        <w:t xml:space="preserve"> usually a human form</w:t>
      </w:r>
      <w:r w:rsidR="00DB3AD8" w:rsidRPr="001005B7">
        <w:t xml:space="preserve">, </w:t>
      </w:r>
      <w:r w:rsidR="00631F04" w:rsidRPr="001005B7">
        <w:t xml:space="preserve">though a form such as a lion might be possible. </w:t>
      </w:r>
      <w:r w:rsidR="00A1439A" w:rsidRPr="001005B7">
        <w:t>Taking human form</w:t>
      </w:r>
      <w:r w:rsidR="00A57E8B" w:rsidRPr="001005B7">
        <w:t xml:space="preserve"> fits the</w:t>
      </w:r>
      <w:r w:rsidR="00DB3AD8" w:rsidRPr="001005B7">
        <w:t>re being some</w:t>
      </w:r>
      <w:r w:rsidR="00062FCF" w:rsidRPr="001005B7">
        <w:t xml:space="preserve"> </w:t>
      </w:r>
      <w:r w:rsidR="00470EC6" w:rsidRPr="001005B7">
        <w:t xml:space="preserve">correspondence between human beings and God </w:t>
      </w:r>
      <w:r w:rsidR="008439F1" w:rsidRPr="001005B7">
        <w:t>such as the possession of mind, will, and emotions</w:t>
      </w:r>
      <w:r w:rsidR="00847CB2" w:rsidRPr="001005B7">
        <w:t>, and the capacity for relationship, which reflect humanity’s being made in God’s image</w:t>
      </w:r>
      <w:r w:rsidR="0096103C" w:rsidRPr="001005B7">
        <w:t xml:space="preserve">. </w:t>
      </w:r>
      <w:r w:rsidR="00CE1C43" w:rsidRPr="001005B7">
        <w:t>So</w:t>
      </w:r>
      <w:r w:rsidR="00360330" w:rsidRPr="001005B7">
        <w:t xml:space="preserve"> God can take a physical form or clothing to </w:t>
      </w:r>
      <w:r w:rsidR="005009AA" w:rsidRPr="001005B7">
        <w:t xml:space="preserve">enable </w:t>
      </w:r>
      <w:r w:rsidR="00360330" w:rsidRPr="001005B7">
        <w:t>someone to see him</w:t>
      </w:r>
      <w:r w:rsidR="00CE1C43" w:rsidRPr="001005B7">
        <w:t xml:space="preserve">, </w:t>
      </w:r>
      <w:r w:rsidR="000914B8" w:rsidRPr="001005B7">
        <w:t>though</w:t>
      </w:r>
      <w:r w:rsidR="000053E9" w:rsidRPr="001005B7">
        <w:t xml:space="preserve"> seeing the human body may not then exactly imply seeing God</w:t>
      </w:r>
      <w:r w:rsidR="00360330" w:rsidRPr="001005B7">
        <w:t xml:space="preserve">. </w:t>
      </w:r>
      <w:r w:rsidR="005009AA" w:rsidRPr="001005B7">
        <w:t>I</w:t>
      </w:r>
      <w:r w:rsidR="000914B8" w:rsidRPr="001005B7">
        <w:t xml:space="preserve">n </w:t>
      </w:r>
      <w:r w:rsidR="00360330" w:rsidRPr="001005B7">
        <w:t xml:space="preserve">Jesus he </w:t>
      </w:r>
      <w:r w:rsidR="00CE1C43" w:rsidRPr="001005B7">
        <w:t>takes human form in a more radical</w:t>
      </w:r>
      <w:r w:rsidR="005009AA" w:rsidRPr="001005B7">
        <w:t>,</w:t>
      </w:r>
      <w:r w:rsidR="00CF2876" w:rsidRPr="001005B7">
        <w:t xml:space="preserve"> </w:t>
      </w:r>
      <w:r w:rsidR="009773D6" w:rsidRPr="001005B7">
        <w:t>profound</w:t>
      </w:r>
      <w:r w:rsidR="00104B06" w:rsidRPr="001005B7">
        <w:t>,</w:t>
      </w:r>
      <w:r w:rsidR="009773D6" w:rsidRPr="001005B7">
        <w:t xml:space="preserve"> </w:t>
      </w:r>
      <w:r w:rsidR="00CF2876" w:rsidRPr="001005B7">
        <w:t>or deep-root</w:t>
      </w:r>
      <w:r w:rsidR="00DD7C4A" w:rsidRPr="001005B7">
        <w:t>e</w:t>
      </w:r>
      <w:r w:rsidR="00CF2876" w:rsidRPr="001005B7">
        <w:t xml:space="preserve">d </w:t>
      </w:r>
      <w:r w:rsidR="00DD7C4A" w:rsidRPr="001005B7">
        <w:t>and</w:t>
      </w:r>
      <w:r w:rsidR="00360330" w:rsidRPr="001005B7">
        <w:t xml:space="preserve"> permanent sense. </w:t>
      </w:r>
    </w:p>
    <w:p w14:paraId="63ECD259" w14:textId="30B97AD6" w:rsidR="00007AE7" w:rsidRPr="001005B7" w:rsidRDefault="00360330" w:rsidP="008B4860">
      <w:r w:rsidRPr="001005B7">
        <w:t xml:space="preserve">Here, Ezekiel does not say he saw God when the heavens opened, but he implies </w:t>
      </w:r>
      <w:r w:rsidR="0036157C" w:rsidRPr="001005B7">
        <w:t>seeing</w:t>
      </w:r>
      <w:r w:rsidRPr="001005B7">
        <w:t xml:space="preserve"> God in the manifestation on the throne.</w:t>
      </w:r>
      <w:r w:rsidR="000F7C01" w:rsidRPr="001005B7">
        <w:t xml:space="preserve"> </w:t>
      </w:r>
      <w:r w:rsidR="00CF16AF" w:rsidRPr="001005B7">
        <w:t xml:space="preserve">It </w:t>
      </w:r>
      <w:r w:rsidR="00104B06" w:rsidRPr="001005B7">
        <w:t>would be</w:t>
      </w:r>
      <w:r w:rsidR="00CF16AF" w:rsidRPr="001005B7">
        <w:t xml:space="preserve"> adventu</w:t>
      </w:r>
      <w:r w:rsidR="00435B7C" w:rsidRPr="001005B7">
        <w:t xml:space="preserve">rous to hypothesize that the figure on the throne is a pre-incarnate </w:t>
      </w:r>
      <w:r w:rsidR="00F7575E" w:rsidRPr="001005B7">
        <w:t xml:space="preserve">Jesus, but </w:t>
      </w:r>
      <w:r w:rsidR="00DD587B" w:rsidRPr="001005B7">
        <w:t xml:space="preserve">it would </w:t>
      </w:r>
      <w:r w:rsidR="00B65B44" w:rsidRPr="001005B7">
        <w:t>be possible</w:t>
      </w:r>
      <w:r w:rsidR="00DD587B" w:rsidRPr="001005B7">
        <w:t xml:space="preserve"> to </w:t>
      </w:r>
      <w:r w:rsidR="006D5713" w:rsidRPr="001005B7">
        <w:t xml:space="preserve">make a link between </w:t>
      </w:r>
      <w:r w:rsidR="00EE789C" w:rsidRPr="001005B7">
        <w:t xml:space="preserve">an understanding of God as Father, Son, and Spirit </w:t>
      </w:r>
      <w:r w:rsidR="009F4D11" w:rsidRPr="001005B7">
        <w:t xml:space="preserve">and </w:t>
      </w:r>
      <w:r w:rsidR="00F7575E" w:rsidRPr="001005B7">
        <w:t xml:space="preserve">the complementarity of </w:t>
      </w:r>
      <w:r w:rsidR="002422C8" w:rsidRPr="001005B7">
        <w:t xml:space="preserve">(a) </w:t>
      </w:r>
      <w:r w:rsidR="00F7575E" w:rsidRPr="001005B7">
        <w:t xml:space="preserve">God’s </w:t>
      </w:r>
      <w:r w:rsidR="009C2051" w:rsidRPr="001005B7">
        <w:t>dwell</w:t>
      </w:r>
      <w:r w:rsidR="00F7575E" w:rsidRPr="001005B7">
        <w:t>ing in the realm beyond the heavens</w:t>
      </w:r>
      <w:r w:rsidR="005300D7" w:rsidRPr="001005B7">
        <w:t>,</w:t>
      </w:r>
      <w:r w:rsidR="00F7575E" w:rsidRPr="001005B7">
        <w:t xml:space="preserve"> </w:t>
      </w:r>
      <w:r w:rsidR="002422C8" w:rsidRPr="001005B7">
        <w:t xml:space="preserve">(b) </w:t>
      </w:r>
      <w:r w:rsidR="00291BA6" w:rsidRPr="001005B7">
        <w:t>th</w:t>
      </w:r>
      <w:r w:rsidR="005452C0" w:rsidRPr="001005B7">
        <w:t>ere being a</w:t>
      </w:r>
      <w:r w:rsidR="008F2358" w:rsidRPr="001005B7">
        <w:t xml:space="preserve"> figure</w:t>
      </w:r>
      <w:r w:rsidR="00EC18D7" w:rsidRPr="001005B7">
        <w:t xml:space="preserve"> </w:t>
      </w:r>
      <w:r w:rsidR="00F7575E" w:rsidRPr="001005B7">
        <w:t>on the throne upheld by the living creatures, a</w:t>
      </w:r>
      <w:r w:rsidR="005300D7" w:rsidRPr="001005B7">
        <w:t>nd</w:t>
      </w:r>
      <w:r w:rsidR="00F7575E" w:rsidRPr="001005B7">
        <w:t xml:space="preserve"> </w:t>
      </w:r>
      <w:r w:rsidR="00EC18D7" w:rsidRPr="001005B7">
        <w:t xml:space="preserve">(c) </w:t>
      </w:r>
      <w:r w:rsidR="00913D98" w:rsidRPr="001005B7">
        <w:t>the spirit</w:t>
      </w:r>
      <w:r w:rsidR="006D5713" w:rsidRPr="001005B7">
        <w:t>’s</w:t>
      </w:r>
      <w:r w:rsidR="00913D98" w:rsidRPr="001005B7">
        <w:t xml:space="preserve"> direct</w:t>
      </w:r>
      <w:r w:rsidR="006D5713" w:rsidRPr="001005B7">
        <w:t>ing</w:t>
      </w:r>
      <w:r w:rsidR="00913D98" w:rsidRPr="001005B7">
        <w:t xml:space="preserve"> the throne structure’s movement</w:t>
      </w:r>
      <w:r w:rsidR="003F5E0A" w:rsidRPr="001005B7">
        <w:t xml:space="preserve">. </w:t>
      </w:r>
      <w:r w:rsidR="00291BA6" w:rsidRPr="001005B7">
        <w:t>But</w:t>
      </w:r>
      <w:r w:rsidR="00463D21" w:rsidRPr="001005B7">
        <w:t xml:space="preserve"> t</w:t>
      </w:r>
      <w:r w:rsidR="008B4860" w:rsidRPr="001005B7">
        <w:t>he forms of expression in th</w:t>
      </w:r>
      <w:r w:rsidR="003A0467" w:rsidRPr="001005B7">
        <w:t>is</w:t>
      </w:r>
      <w:r w:rsidR="008B4860" w:rsidRPr="001005B7">
        <w:t xml:space="preserve"> chapter</w:t>
      </w:r>
      <w:r w:rsidR="00463D21" w:rsidRPr="001005B7">
        <w:t xml:space="preserve"> </w:t>
      </w:r>
      <w:r w:rsidR="00E638E9" w:rsidRPr="001005B7">
        <w:t xml:space="preserve">underline </w:t>
      </w:r>
      <w:r w:rsidR="00783EC3" w:rsidRPr="001005B7">
        <w:t>the impossibility of</w:t>
      </w:r>
      <w:r w:rsidR="00E638E9" w:rsidRPr="001005B7">
        <w:t xml:space="preserve"> </w:t>
      </w:r>
      <w:r w:rsidR="008B4860" w:rsidRPr="001005B7">
        <w:t>comprehend</w:t>
      </w:r>
      <w:r w:rsidR="00783EC3" w:rsidRPr="001005B7">
        <w:t>ing</w:t>
      </w:r>
      <w:r w:rsidR="008B4860" w:rsidRPr="001005B7">
        <w:t xml:space="preserve"> the beings </w:t>
      </w:r>
      <w:r w:rsidR="00467E03" w:rsidRPr="001005B7">
        <w:t xml:space="preserve">in the vision </w:t>
      </w:r>
      <w:r w:rsidR="0052573B" w:rsidRPr="001005B7">
        <w:t xml:space="preserve">(the creatures, </w:t>
      </w:r>
      <w:r w:rsidR="008B4860" w:rsidRPr="001005B7">
        <w:t>the platform, the throne</w:t>
      </w:r>
      <w:r w:rsidR="0052573B" w:rsidRPr="001005B7">
        <w:t>).</w:t>
      </w:r>
      <w:r w:rsidR="008B4860" w:rsidRPr="001005B7">
        <w:t xml:space="preserve"> </w:t>
      </w:r>
      <w:r w:rsidR="0052573B" w:rsidRPr="001005B7">
        <w:t>H</w:t>
      </w:r>
      <w:r w:rsidR="008B4860" w:rsidRPr="001005B7">
        <w:t>ow much less</w:t>
      </w:r>
      <w:r w:rsidR="00D35C0A" w:rsidRPr="001005B7">
        <w:t>, therefore,</w:t>
      </w:r>
      <w:r w:rsidR="008B4860" w:rsidRPr="001005B7">
        <w:t xml:space="preserve"> can we comprehend the one who sits on it.</w:t>
      </w:r>
      <w:r w:rsidR="008B4860" w:rsidRPr="001005B7">
        <w:rPr>
          <w:rStyle w:val="FootnoteReference"/>
        </w:rPr>
        <w:footnoteReference w:id="116"/>
      </w:r>
      <w:r w:rsidR="00F559B1" w:rsidRPr="001005B7">
        <w:t xml:space="preserve"> </w:t>
      </w:r>
    </w:p>
    <w:p w14:paraId="42DF0E82" w14:textId="77777777" w:rsidR="0087059F" w:rsidRPr="001005B7" w:rsidRDefault="0087059F" w:rsidP="0087059F">
      <w:pPr>
        <w:pStyle w:val="Heading3"/>
      </w:pPr>
      <w:r w:rsidRPr="001005B7">
        <w:t>Selected Bibliography</w:t>
      </w:r>
    </w:p>
    <w:p w14:paraId="023C6F91" w14:textId="77777777" w:rsidR="0087059F" w:rsidRPr="001005B7" w:rsidRDefault="0087059F" w:rsidP="0087059F">
      <w:pPr>
        <w:pStyle w:val="ListParagraph"/>
        <w:rPr>
          <w:color w:val="auto"/>
          <w:lang w:val="en-US"/>
        </w:rPr>
      </w:pPr>
      <w:r w:rsidRPr="001005B7">
        <w:rPr>
          <w:color w:val="auto"/>
          <w:lang w:val="en-US"/>
        </w:rPr>
        <w:t xml:space="preserve">Allen, Leslie C. “The Structure and Intention of Ezekiel 1.” </w:t>
      </w:r>
      <w:r w:rsidRPr="001005B7">
        <w:rPr>
          <w:i/>
          <w:color w:val="auto"/>
          <w:lang w:val="en-US"/>
        </w:rPr>
        <w:t>VT</w:t>
      </w:r>
      <w:r w:rsidRPr="001005B7">
        <w:rPr>
          <w:color w:val="auto"/>
          <w:lang w:val="en-US"/>
        </w:rPr>
        <w:t xml:space="preserve"> 43 (1993): 145–61. </w:t>
      </w:r>
    </w:p>
    <w:p w14:paraId="6390B516" w14:textId="77777777" w:rsidR="0087059F" w:rsidRPr="001005B7" w:rsidRDefault="0087059F" w:rsidP="0087059F">
      <w:pPr>
        <w:pStyle w:val="ListParagraph"/>
        <w:rPr>
          <w:color w:val="auto"/>
          <w:lang w:val="en-US"/>
        </w:rPr>
      </w:pPr>
      <w:r w:rsidRPr="001005B7">
        <w:rPr>
          <w:color w:val="auto"/>
          <w:lang w:val="en-US"/>
        </w:rPr>
        <w:t xml:space="preserve">Aster, Shawn Zelig. “Ezekiel’s Adaptation of Mesopotamian </w:t>
      </w:r>
      <w:proofErr w:type="spellStart"/>
      <w:r w:rsidRPr="001005B7">
        <w:rPr>
          <w:i/>
          <w:color w:val="auto"/>
          <w:lang w:val="en-US"/>
        </w:rPr>
        <w:t>Melammu</w:t>
      </w:r>
      <w:proofErr w:type="spellEnd"/>
      <w:r w:rsidRPr="001005B7">
        <w:rPr>
          <w:color w:val="auto"/>
          <w:lang w:val="en-US"/>
        </w:rPr>
        <w:t xml:space="preserve">.” </w:t>
      </w:r>
      <w:r w:rsidRPr="001005B7">
        <w:rPr>
          <w:i/>
          <w:color w:val="auto"/>
          <w:lang w:val="en-US"/>
        </w:rPr>
        <w:t>WO</w:t>
      </w:r>
      <w:r w:rsidRPr="001005B7">
        <w:rPr>
          <w:color w:val="auto"/>
          <w:lang w:val="en-US"/>
        </w:rPr>
        <w:t xml:space="preserve"> 45 (2015): 10–21.</w:t>
      </w:r>
    </w:p>
    <w:p w14:paraId="417FFBAA" w14:textId="77777777" w:rsidR="0087059F" w:rsidRPr="001005B7" w:rsidRDefault="0087059F" w:rsidP="0087059F">
      <w:pPr>
        <w:pStyle w:val="ListParagraph"/>
        <w:rPr>
          <w:color w:val="auto"/>
          <w:lang w:val="en-US"/>
        </w:rPr>
      </w:pPr>
      <w:proofErr w:type="spellStart"/>
      <w:r w:rsidRPr="001005B7">
        <w:rPr>
          <w:color w:val="auto"/>
          <w:lang w:val="en-US"/>
        </w:rPr>
        <w:t>Bergren</w:t>
      </w:r>
      <w:proofErr w:type="spellEnd"/>
      <w:r w:rsidRPr="001005B7">
        <w:rPr>
          <w:color w:val="auto"/>
          <w:lang w:val="en-US"/>
        </w:rPr>
        <w:t xml:space="preserve">, Theodore A. “Plato's ‘Myth of Er’ and Ezekiel's ‘Throne Vision’: A Common Paradigm?” </w:t>
      </w:r>
      <w:r w:rsidRPr="001005B7">
        <w:rPr>
          <w:i/>
          <w:color w:val="auto"/>
          <w:lang w:val="en-US"/>
        </w:rPr>
        <w:t>Numen</w:t>
      </w:r>
      <w:r w:rsidRPr="001005B7">
        <w:rPr>
          <w:color w:val="auto"/>
          <w:lang w:val="en-US"/>
        </w:rPr>
        <w:t xml:space="preserve"> 64 (2017): 153–82.</w:t>
      </w:r>
    </w:p>
    <w:p w14:paraId="65E67E19" w14:textId="77777777" w:rsidR="0087059F" w:rsidRPr="001005B7" w:rsidRDefault="0087059F" w:rsidP="0087059F">
      <w:pPr>
        <w:pStyle w:val="ListParagraph"/>
        <w:rPr>
          <w:color w:val="auto"/>
          <w:lang w:val="en-US"/>
        </w:rPr>
      </w:pPr>
      <w:r w:rsidRPr="001005B7">
        <w:rPr>
          <w:color w:val="auto"/>
          <w:lang w:val="en-US"/>
        </w:rPr>
        <w:t xml:space="preserve">Block, Daniel I. “Text and Emotion: A Study in the ‘Corruptions’ in Ezekiel’s Inaugural Vision (Ezekiel 1:4–28).” </w:t>
      </w:r>
      <w:r w:rsidRPr="001005B7">
        <w:rPr>
          <w:i/>
          <w:color w:val="auto"/>
          <w:lang w:val="en-US"/>
        </w:rPr>
        <w:t xml:space="preserve">CBQ </w:t>
      </w:r>
      <w:r w:rsidRPr="001005B7">
        <w:rPr>
          <w:color w:val="auto"/>
          <w:lang w:val="en-US"/>
        </w:rPr>
        <w:t xml:space="preserve">50 (1988): 1–25. </w:t>
      </w:r>
    </w:p>
    <w:p w14:paraId="56808103" w14:textId="77777777" w:rsidR="0087059F" w:rsidRPr="001005B7" w:rsidRDefault="0087059F" w:rsidP="0087059F">
      <w:pPr>
        <w:pStyle w:val="ListParagraph"/>
        <w:rPr>
          <w:color w:val="auto"/>
          <w:lang w:val="en-US"/>
        </w:rPr>
      </w:pPr>
      <w:proofErr w:type="spellStart"/>
      <w:r w:rsidRPr="001005B7">
        <w:rPr>
          <w:color w:val="auto"/>
          <w:lang w:val="en-US"/>
        </w:rPr>
        <w:t>Christman</w:t>
      </w:r>
      <w:proofErr w:type="spellEnd"/>
      <w:r w:rsidRPr="001005B7">
        <w:rPr>
          <w:color w:val="auto"/>
          <w:lang w:val="en-US"/>
        </w:rPr>
        <w:t>, Angela Russell</w:t>
      </w:r>
      <w:r w:rsidRPr="001005B7">
        <w:rPr>
          <w:i/>
          <w:iCs/>
          <w:color w:val="auto"/>
          <w:lang w:val="en-US"/>
        </w:rPr>
        <w:t>. “What Did Ezekiel See?“ Christian Exegesis of Ezekiel’s Vision of the Chariot from Irenaeus to Gregory the Great.</w:t>
      </w:r>
      <w:r w:rsidRPr="001005B7">
        <w:rPr>
          <w:color w:val="auto"/>
          <w:lang w:val="en-US"/>
        </w:rPr>
        <w:t xml:space="preserve"> Leiden: Brill, 2005.</w:t>
      </w:r>
    </w:p>
    <w:p w14:paraId="1AE23A91" w14:textId="77777777" w:rsidR="0087059F" w:rsidRPr="001005B7" w:rsidRDefault="0087059F" w:rsidP="0087059F">
      <w:pPr>
        <w:pStyle w:val="ListParagraph"/>
        <w:rPr>
          <w:color w:val="auto"/>
          <w:lang w:val="en-US"/>
        </w:rPr>
      </w:pPr>
      <w:r w:rsidRPr="001005B7">
        <w:rPr>
          <w:color w:val="auto"/>
          <w:lang w:val="en-US"/>
        </w:rPr>
        <w:t xml:space="preserve">de Vries, Pieter. </w:t>
      </w:r>
      <w:r w:rsidRPr="001005B7">
        <w:rPr>
          <w:i/>
          <w:iCs/>
          <w:color w:val="auto"/>
          <w:lang w:val="en-US"/>
        </w:rPr>
        <w:t xml:space="preserve">The </w:t>
      </w:r>
      <w:proofErr w:type="spellStart"/>
      <w:r w:rsidRPr="001005B7">
        <w:rPr>
          <w:i/>
          <w:iCs/>
          <w:color w:val="auto"/>
          <w:lang w:val="en-US"/>
        </w:rPr>
        <w:t>Kābôd</w:t>
      </w:r>
      <w:proofErr w:type="spellEnd"/>
      <w:r w:rsidRPr="001005B7">
        <w:rPr>
          <w:i/>
          <w:iCs/>
          <w:color w:val="auto"/>
          <w:lang w:val="en-US"/>
        </w:rPr>
        <w:t xml:space="preserve"> of </w:t>
      </w:r>
      <w:proofErr w:type="spellStart"/>
      <w:r w:rsidRPr="001005B7">
        <w:rPr>
          <w:i/>
          <w:iCs/>
          <w:color w:val="auto"/>
          <w:lang w:val="en-US"/>
        </w:rPr>
        <w:t>Yhwh</w:t>
      </w:r>
      <w:proofErr w:type="spellEnd"/>
      <w:r w:rsidRPr="001005B7">
        <w:rPr>
          <w:i/>
          <w:iCs/>
          <w:color w:val="auto"/>
          <w:lang w:val="en-US"/>
        </w:rPr>
        <w:t xml:space="preserve"> in the Old Testament with Particular Reference to the Book of Ezekiel.</w:t>
      </w:r>
      <w:r w:rsidRPr="001005B7">
        <w:rPr>
          <w:color w:val="auto"/>
          <w:lang w:val="en-US"/>
        </w:rPr>
        <w:t xml:space="preserve"> Leiden: Brill, 2016.</w:t>
      </w:r>
    </w:p>
    <w:p w14:paraId="73ED846B" w14:textId="77777777" w:rsidR="0087059F" w:rsidRPr="001005B7" w:rsidRDefault="0087059F" w:rsidP="0087059F">
      <w:pPr>
        <w:pStyle w:val="ListParagraph"/>
        <w:rPr>
          <w:color w:val="auto"/>
          <w:lang w:val="en-US"/>
        </w:rPr>
      </w:pPr>
      <w:r w:rsidRPr="001005B7">
        <w:rPr>
          <w:color w:val="auto"/>
          <w:lang w:val="en-US"/>
        </w:rPr>
        <w:t xml:space="preserve">Fredericks, Daniel C. “Diglossia, Revelation, and Ezekiel’s Inaugural Rite.” </w:t>
      </w:r>
      <w:r w:rsidRPr="001005B7">
        <w:rPr>
          <w:i/>
          <w:color w:val="auto"/>
          <w:lang w:val="en-US"/>
        </w:rPr>
        <w:t>JETS</w:t>
      </w:r>
      <w:r w:rsidRPr="001005B7">
        <w:rPr>
          <w:color w:val="auto"/>
          <w:lang w:val="en-US"/>
        </w:rPr>
        <w:t xml:space="preserve"> 41 (1998): 189–99. </w:t>
      </w:r>
    </w:p>
    <w:p w14:paraId="79FE0277" w14:textId="77777777" w:rsidR="0087059F" w:rsidRPr="001005B7" w:rsidRDefault="0087059F" w:rsidP="0087059F">
      <w:pPr>
        <w:pStyle w:val="ListParagraph"/>
        <w:rPr>
          <w:color w:val="auto"/>
          <w:lang w:val="en-US"/>
        </w:rPr>
      </w:pPr>
      <w:proofErr w:type="spellStart"/>
      <w:r w:rsidRPr="001005B7">
        <w:rPr>
          <w:color w:val="auto"/>
          <w:lang w:val="en-US"/>
        </w:rPr>
        <w:t>Grelot</w:t>
      </w:r>
      <w:proofErr w:type="spellEnd"/>
      <w:r w:rsidRPr="001005B7">
        <w:rPr>
          <w:color w:val="auto"/>
          <w:lang w:val="en-US"/>
        </w:rPr>
        <w:t>, Pierre. "</w:t>
      </w:r>
      <w:proofErr w:type="spellStart"/>
      <w:r w:rsidRPr="001005B7">
        <w:rPr>
          <w:color w:val="auto"/>
          <w:lang w:val="en-US"/>
        </w:rPr>
        <w:t>L'imagerie</w:t>
      </w:r>
      <w:proofErr w:type="spellEnd"/>
      <w:r w:rsidRPr="001005B7">
        <w:rPr>
          <w:color w:val="auto"/>
          <w:lang w:val="en-US"/>
        </w:rPr>
        <w:t xml:space="preserve"> des quatre </w:t>
      </w:r>
      <w:proofErr w:type="spellStart"/>
      <w:r w:rsidRPr="001005B7">
        <w:rPr>
          <w:color w:val="auto"/>
          <w:lang w:val="en-US"/>
        </w:rPr>
        <w:t>vivants</w:t>
      </w:r>
      <w:proofErr w:type="spellEnd"/>
      <w:r w:rsidRPr="001005B7">
        <w:rPr>
          <w:color w:val="auto"/>
          <w:lang w:val="en-US"/>
        </w:rPr>
        <w:t xml:space="preserve"> </w:t>
      </w:r>
      <w:proofErr w:type="spellStart"/>
      <w:r w:rsidRPr="001005B7">
        <w:rPr>
          <w:color w:val="auto"/>
          <w:lang w:val="en-US"/>
        </w:rPr>
        <w:t>symboliques</w:t>
      </w:r>
      <w:proofErr w:type="spellEnd"/>
      <w:r w:rsidRPr="001005B7">
        <w:rPr>
          <w:color w:val="auto"/>
          <w:lang w:val="en-US"/>
        </w:rPr>
        <w:t xml:space="preserve">." In Christian-Bernard </w:t>
      </w:r>
      <w:proofErr w:type="spellStart"/>
      <w:r w:rsidRPr="001005B7">
        <w:rPr>
          <w:color w:val="auto"/>
          <w:lang w:val="en-US"/>
        </w:rPr>
        <w:t>Amphoux</w:t>
      </w:r>
      <w:proofErr w:type="spellEnd"/>
      <w:r w:rsidRPr="001005B7">
        <w:rPr>
          <w:color w:val="auto"/>
          <w:lang w:val="en-US"/>
        </w:rPr>
        <w:t xml:space="preserve">, Albert Frey, and Ursula </w:t>
      </w:r>
      <w:proofErr w:type="spellStart"/>
      <w:r w:rsidRPr="001005B7">
        <w:rPr>
          <w:color w:val="auto"/>
          <w:lang w:val="en-US"/>
        </w:rPr>
        <w:t>Schattner-Rieser</w:t>
      </w:r>
      <w:proofErr w:type="spellEnd"/>
      <w:r w:rsidRPr="001005B7">
        <w:rPr>
          <w:color w:val="auto"/>
          <w:lang w:val="en-US"/>
        </w:rPr>
        <w:t>, ed.,</w:t>
      </w:r>
      <w:r w:rsidRPr="001005B7">
        <w:rPr>
          <w:i/>
          <w:color w:val="auto"/>
          <w:lang w:val="en-US"/>
        </w:rPr>
        <w:t xml:space="preserve"> Études </w:t>
      </w:r>
      <w:proofErr w:type="spellStart"/>
      <w:r w:rsidRPr="001005B7">
        <w:rPr>
          <w:i/>
          <w:color w:val="auto"/>
          <w:lang w:val="en-US"/>
        </w:rPr>
        <w:t>sémitiques</w:t>
      </w:r>
      <w:proofErr w:type="spellEnd"/>
      <w:r w:rsidRPr="001005B7">
        <w:rPr>
          <w:i/>
          <w:color w:val="auto"/>
          <w:lang w:val="en-US"/>
        </w:rPr>
        <w:t xml:space="preserve"> et </w:t>
      </w:r>
      <w:proofErr w:type="spellStart"/>
      <w:r w:rsidRPr="001005B7">
        <w:rPr>
          <w:i/>
          <w:color w:val="auto"/>
          <w:lang w:val="en-US"/>
        </w:rPr>
        <w:t>samaritaines</w:t>
      </w:r>
      <w:proofErr w:type="spellEnd"/>
      <w:r w:rsidRPr="001005B7">
        <w:rPr>
          <w:i/>
          <w:color w:val="auto"/>
          <w:lang w:val="en-US"/>
        </w:rPr>
        <w:t xml:space="preserve"> </w:t>
      </w:r>
      <w:proofErr w:type="spellStart"/>
      <w:r w:rsidRPr="001005B7">
        <w:rPr>
          <w:i/>
          <w:color w:val="auto"/>
          <w:lang w:val="en-US"/>
        </w:rPr>
        <w:t>offertes</w:t>
      </w:r>
      <w:proofErr w:type="spellEnd"/>
      <w:r w:rsidRPr="001005B7">
        <w:rPr>
          <w:i/>
          <w:color w:val="auto"/>
          <w:lang w:val="en-US"/>
        </w:rPr>
        <w:t xml:space="preserve"> à Jean </w:t>
      </w:r>
      <w:proofErr w:type="spellStart"/>
      <w:r w:rsidRPr="001005B7">
        <w:rPr>
          <w:i/>
          <w:color w:val="auto"/>
          <w:lang w:val="en-US"/>
        </w:rPr>
        <w:t>Margain</w:t>
      </w:r>
      <w:proofErr w:type="spellEnd"/>
      <w:r w:rsidRPr="001005B7">
        <w:rPr>
          <w:color w:val="auto"/>
          <w:lang w:val="en-US"/>
        </w:rPr>
        <w:t xml:space="preserve">, 241–50. Lausanne: du </w:t>
      </w:r>
      <w:proofErr w:type="spellStart"/>
      <w:r w:rsidRPr="001005B7">
        <w:rPr>
          <w:color w:val="auto"/>
          <w:lang w:val="en-US"/>
        </w:rPr>
        <w:t>Zèbre</w:t>
      </w:r>
      <w:proofErr w:type="spellEnd"/>
      <w:r w:rsidRPr="001005B7">
        <w:rPr>
          <w:color w:val="auto"/>
          <w:lang w:val="en-US"/>
        </w:rPr>
        <w:t>, 1998.</w:t>
      </w:r>
    </w:p>
    <w:p w14:paraId="20B18A57" w14:textId="77777777" w:rsidR="0087059F" w:rsidRPr="001005B7" w:rsidRDefault="0087059F" w:rsidP="0087059F">
      <w:pPr>
        <w:pStyle w:val="ListParagraph"/>
        <w:rPr>
          <w:color w:val="auto"/>
          <w:lang w:val="en-US"/>
        </w:rPr>
      </w:pPr>
      <w:r w:rsidRPr="001005B7">
        <w:rPr>
          <w:color w:val="auto"/>
          <w:lang w:val="en-US"/>
        </w:rPr>
        <w:t xml:space="preserve">Gruenwald, </w:t>
      </w:r>
      <w:proofErr w:type="spellStart"/>
      <w:r w:rsidRPr="001005B7">
        <w:rPr>
          <w:color w:val="auto"/>
          <w:lang w:val="en-US"/>
        </w:rPr>
        <w:t>Ithamar</w:t>
      </w:r>
      <w:proofErr w:type="spellEnd"/>
      <w:r w:rsidRPr="001005B7">
        <w:rPr>
          <w:color w:val="auto"/>
          <w:lang w:val="en-US"/>
        </w:rPr>
        <w:t xml:space="preserve">. </w:t>
      </w:r>
      <w:r w:rsidRPr="001005B7">
        <w:rPr>
          <w:i/>
          <w:iCs/>
          <w:color w:val="auto"/>
          <w:lang w:val="en-US"/>
        </w:rPr>
        <w:t xml:space="preserve">Apocalyptic and Merkavah Mysticism. </w:t>
      </w:r>
      <w:r w:rsidRPr="001005B7">
        <w:rPr>
          <w:color w:val="auto"/>
          <w:lang w:val="en-US"/>
        </w:rPr>
        <w:t>Revised ed., Leiden: Brill, 2014.</w:t>
      </w:r>
    </w:p>
    <w:p w14:paraId="5614EFDD" w14:textId="77777777" w:rsidR="0087059F" w:rsidRPr="001005B7" w:rsidRDefault="0087059F" w:rsidP="0087059F">
      <w:pPr>
        <w:pStyle w:val="ListParagraph"/>
        <w:rPr>
          <w:color w:val="auto"/>
          <w:lang w:val="en-US"/>
        </w:rPr>
      </w:pPr>
      <w:r w:rsidRPr="001005B7">
        <w:rPr>
          <w:color w:val="auto"/>
          <w:lang w:val="en-US"/>
        </w:rPr>
        <w:t xml:space="preserve">Halperin, David J. </w:t>
      </w:r>
      <w:r w:rsidRPr="001005B7">
        <w:rPr>
          <w:i/>
          <w:color w:val="auto"/>
          <w:lang w:val="en-US"/>
        </w:rPr>
        <w:t>The Faces of the Chariot: Early Jewish Responses to Ezekiel’s Vision</w:t>
      </w:r>
      <w:r w:rsidRPr="001005B7">
        <w:rPr>
          <w:color w:val="auto"/>
          <w:lang w:val="en-US"/>
        </w:rPr>
        <w:t xml:space="preserve">. Tübingen: Mohr </w:t>
      </w:r>
      <w:proofErr w:type="spellStart"/>
      <w:r w:rsidRPr="001005B7">
        <w:rPr>
          <w:color w:val="auto"/>
          <w:lang w:val="en-US"/>
        </w:rPr>
        <w:t>Siebeck</w:t>
      </w:r>
      <w:proofErr w:type="spellEnd"/>
      <w:r w:rsidRPr="001005B7">
        <w:rPr>
          <w:color w:val="auto"/>
          <w:lang w:val="en-US"/>
        </w:rPr>
        <w:t>, 1988.</w:t>
      </w:r>
    </w:p>
    <w:p w14:paraId="7C42DD54" w14:textId="77777777" w:rsidR="0087059F" w:rsidRPr="001005B7" w:rsidRDefault="0087059F" w:rsidP="0087059F">
      <w:pPr>
        <w:pStyle w:val="ListParagraph"/>
        <w:rPr>
          <w:color w:val="auto"/>
          <w:lang w:val="en-US"/>
        </w:rPr>
      </w:pPr>
      <w:r w:rsidRPr="001005B7">
        <w:rPr>
          <w:color w:val="auto"/>
          <w:lang w:val="en-US"/>
        </w:rPr>
        <w:t xml:space="preserve">Keel, </w:t>
      </w:r>
      <w:proofErr w:type="spellStart"/>
      <w:r w:rsidRPr="001005B7">
        <w:rPr>
          <w:color w:val="auto"/>
          <w:lang w:val="en-US"/>
        </w:rPr>
        <w:t>Othmar</w:t>
      </w:r>
      <w:proofErr w:type="spellEnd"/>
      <w:r w:rsidRPr="001005B7">
        <w:rPr>
          <w:color w:val="auto"/>
          <w:lang w:val="en-US"/>
        </w:rPr>
        <w:t xml:space="preserve">. </w:t>
      </w:r>
      <w:proofErr w:type="spellStart"/>
      <w:r w:rsidRPr="001005B7">
        <w:rPr>
          <w:i/>
          <w:iCs/>
          <w:color w:val="auto"/>
          <w:lang w:val="en-US"/>
        </w:rPr>
        <w:t>Jahwe-Visionen</w:t>
      </w:r>
      <w:proofErr w:type="spellEnd"/>
      <w:r w:rsidRPr="001005B7">
        <w:rPr>
          <w:i/>
          <w:iCs/>
          <w:color w:val="auto"/>
          <w:lang w:val="en-US"/>
        </w:rPr>
        <w:t xml:space="preserve"> und </w:t>
      </w:r>
      <w:proofErr w:type="spellStart"/>
      <w:r w:rsidRPr="001005B7">
        <w:rPr>
          <w:i/>
          <w:iCs/>
          <w:color w:val="auto"/>
          <w:lang w:val="en-US"/>
        </w:rPr>
        <w:t>Siegelkunst</w:t>
      </w:r>
      <w:proofErr w:type="spellEnd"/>
      <w:r w:rsidRPr="001005B7">
        <w:rPr>
          <w:i/>
          <w:iCs/>
          <w:color w:val="auto"/>
          <w:lang w:val="en-US"/>
        </w:rPr>
        <w:t xml:space="preserve">: Eine </w:t>
      </w:r>
      <w:proofErr w:type="spellStart"/>
      <w:r w:rsidRPr="001005B7">
        <w:rPr>
          <w:i/>
          <w:iCs/>
          <w:color w:val="auto"/>
          <w:lang w:val="en-US"/>
        </w:rPr>
        <w:t>neue</w:t>
      </w:r>
      <w:proofErr w:type="spellEnd"/>
      <w:r w:rsidRPr="001005B7">
        <w:rPr>
          <w:i/>
          <w:iCs/>
          <w:color w:val="auto"/>
          <w:lang w:val="en-US"/>
        </w:rPr>
        <w:t xml:space="preserve"> </w:t>
      </w:r>
      <w:proofErr w:type="spellStart"/>
      <w:r w:rsidRPr="001005B7">
        <w:rPr>
          <w:i/>
          <w:iCs/>
          <w:color w:val="auto"/>
          <w:lang w:val="en-US"/>
        </w:rPr>
        <w:t>Deutung</w:t>
      </w:r>
      <w:proofErr w:type="spellEnd"/>
      <w:r w:rsidRPr="001005B7">
        <w:rPr>
          <w:i/>
          <w:iCs/>
          <w:color w:val="auto"/>
          <w:lang w:val="en-US"/>
        </w:rPr>
        <w:t xml:space="preserve"> der </w:t>
      </w:r>
      <w:proofErr w:type="spellStart"/>
      <w:r w:rsidRPr="001005B7">
        <w:rPr>
          <w:i/>
          <w:iCs/>
          <w:color w:val="auto"/>
          <w:lang w:val="en-US"/>
        </w:rPr>
        <w:t>Majestätsschilderungen</w:t>
      </w:r>
      <w:proofErr w:type="spellEnd"/>
      <w:r w:rsidRPr="001005B7">
        <w:rPr>
          <w:i/>
          <w:iCs/>
          <w:color w:val="auto"/>
          <w:lang w:val="en-US"/>
        </w:rPr>
        <w:t xml:space="preserve"> in </w:t>
      </w:r>
      <w:proofErr w:type="spellStart"/>
      <w:r w:rsidRPr="001005B7">
        <w:rPr>
          <w:i/>
          <w:iCs/>
          <w:color w:val="auto"/>
          <w:lang w:val="en-US"/>
        </w:rPr>
        <w:t>Jes</w:t>
      </w:r>
      <w:proofErr w:type="spellEnd"/>
      <w:r w:rsidRPr="001005B7">
        <w:rPr>
          <w:i/>
          <w:iCs/>
          <w:color w:val="auto"/>
          <w:lang w:val="en-US"/>
        </w:rPr>
        <w:t xml:space="preserve"> 6, </w:t>
      </w:r>
      <w:proofErr w:type="spellStart"/>
      <w:r w:rsidRPr="001005B7">
        <w:rPr>
          <w:i/>
          <w:iCs/>
          <w:color w:val="auto"/>
          <w:lang w:val="en-US"/>
        </w:rPr>
        <w:t>Ez</w:t>
      </w:r>
      <w:proofErr w:type="spellEnd"/>
      <w:r w:rsidRPr="001005B7">
        <w:rPr>
          <w:i/>
          <w:iCs/>
          <w:color w:val="auto"/>
          <w:lang w:val="en-US"/>
        </w:rPr>
        <w:t xml:space="preserve"> 1 und 10 und </w:t>
      </w:r>
      <w:proofErr w:type="spellStart"/>
      <w:r w:rsidRPr="001005B7">
        <w:rPr>
          <w:i/>
          <w:iCs/>
          <w:color w:val="auto"/>
          <w:lang w:val="en-US"/>
        </w:rPr>
        <w:t>Sach</w:t>
      </w:r>
      <w:proofErr w:type="spellEnd"/>
      <w:r w:rsidRPr="001005B7">
        <w:rPr>
          <w:i/>
          <w:iCs/>
          <w:color w:val="auto"/>
          <w:lang w:val="en-US"/>
        </w:rPr>
        <w:t xml:space="preserve"> 4.</w:t>
      </w:r>
      <w:r w:rsidRPr="001005B7">
        <w:rPr>
          <w:color w:val="auto"/>
          <w:lang w:val="en-US"/>
        </w:rPr>
        <w:t xml:space="preserve"> Stuttgart: KBW, 1977.</w:t>
      </w:r>
    </w:p>
    <w:p w14:paraId="2C31DCDF" w14:textId="77777777" w:rsidR="0087059F" w:rsidRPr="001005B7" w:rsidRDefault="0087059F" w:rsidP="0087059F">
      <w:pPr>
        <w:pStyle w:val="ListParagraph"/>
        <w:rPr>
          <w:color w:val="auto"/>
          <w:lang w:val="en-US"/>
        </w:rPr>
      </w:pPr>
      <w:proofErr w:type="spellStart"/>
      <w:r w:rsidRPr="001005B7">
        <w:rPr>
          <w:color w:val="auto"/>
          <w:lang w:val="en-US"/>
        </w:rPr>
        <w:t>Launderville</w:t>
      </w:r>
      <w:proofErr w:type="spellEnd"/>
      <w:r w:rsidRPr="001005B7">
        <w:rPr>
          <w:color w:val="auto"/>
          <w:lang w:val="en-US"/>
        </w:rPr>
        <w:t>, Dale. “Ezekiel’s Throne-Chariot Vision:</w:t>
      </w:r>
      <w:r w:rsidRPr="001005B7">
        <w:rPr>
          <w:i/>
          <w:color w:val="auto"/>
          <w:lang w:val="en-US"/>
        </w:rPr>
        <w:t xml:space="preserve"> </w:t>
      </w:r>
      <w:r w:rsidRPr="001005B7">
        <w:rPr>
          <w:color w:val="auto"/>
          <w:lang w:val="en-US"/>
        </w:rPr>
        <w:t>Spiritualizing the Model of</w:t>
      </w:r>
      <w:r w:rsidRPr="001005B7">
        <w:rPr>
          <w:i/>
          <w:color w:val="auto"/>
          <w:lang w:val="en-US"/>
        </w:rPr>
        <w:t xml:space="preserve"> </w:t>
      </w:r>
      <w:r w:rsidRPr="001005B7">
        <w:rPr>
          <w:color w:val="auto"/>
          <w:lang w:val="en-US"/>
        </w:rPr>
        <w:t xml:space="preserve">Divine Royal Rule.” </w:t>
      </w:r>
      <w:r w:rsidRPr="001005B7">
        <w:rPr>
          <w:i/>
          <w:color w:val="auto"/>
          <w:lang w:val="en-US"/>
        </w:rPr>
        <w:t xml:space="preserve">CBQ </w:t>
      </w:r>
      <w:r w:rsidRPr="001005B7">
        <w:rPr>
          <w:color w:val="auto"/>
          <w:lang w:val="en-US"/>
        </w:rPr>
        <w:t xml:space="preserve">66 (2004): 361–77. </w:t>
      </w:r>
    </w:p>
    <w:p w14:paraId="0FF32C82" w14:textId="77777777" w:rsidR="0087059F" w:rsidRPr="001005B7" w:rsidRDefault="0087059F" w:rsidP="0087059F">
      <w:pPr>
        <w:pStyle w:val="ListParagraph"/>
        <w:rPr>
          <w:color w:val="auto"/>
          <w:lang w:val="en-US"/>
        </w:rPr>
      </w:pPr>
      <w:r w:rsidRPr="001005B7">
        <w:rPr>
          <w:color w:val="auto"/>
          <w:lang w:val="en-US"/>
        </w:rPr>
        <w:t xml:space="preserve">Lust, Johan. “Notes to the Septuagint: Ezekiel 1–2.” </w:t>
      </w:r>
      <w:r w:rsidRPr="001005B7">
        <w:rPr>
          <w:i/>
          <w:iCs/>
          <w:color w:val="auto"/>
          <w:lang w:val="en-US"/>
        </w:rPr>
        <w:t>ETL</w:t>
      </w:r>
      <w:r w:rsidRPr="001005B7">
        <w:rPr>
          <w:color w:val="auto"/>
          <w:lang w:val="en-US"/>
        </w:rPr>
        <w:t xml:space="preserve"> 75 (1999): 5–31.</w:t>
      </w:r>
    </w:p>
    <w:p w14:paraId="7EFF345D" w14:textId="77777777" w:rsidR="0087059F" w:rsidRPr="001005B7" w:rsidRDefault="0087059F" w:rsidP="0087059F">
      <w:pPr>
        <w:pStyle w:val="ListParagraph"/>
        <w:rPr>
          <w:color w:val="auto"/>
          <w:lang w:val="en-US"/>
        </w:rPr>
      </w:pPr>
      <w:r w:rsidRPr="001005B7">
        <w:rPr>
          <w:color w:val="auto"/>
          <w:lang w:val="en-US"/>
        </w:rPr>
        <w:t xml:space="preserve">McCall, Robin. “The Body and Being of God in Ezekiel.” </w:t>
      </w:r>
      <w:proofErr w:type="spellStart"/>
      <w:r w:rsidRPr="001005B7">
        <w:rPr>
          <w:i/>
          <w:color w:val="auto"/>
          <w:lang w:val="en-US"/>
        </w:rPr>
        <w:t>RevExp</w:t>
      </w:r>
      <w:proofErr w:type="spellEnd"/>
      <w:r w:rsidRPr="001005B7">
        <w:rPr>
          <w:i/>
          <w:color w:val="auto"/>
          <w:lang w:val="en-US"/>
        </w:rPr>
        <w:t xml:space="preserve"> </w:t>
      </w:r>
      <w:r w:rsidRPr="001005B7">
        <w:rPr>
          <w:color w:val="auto"/>
          <w:lang w:val="en-US"/>
        </w:rPr>
        <w:t>111 (2014): 376–89.</w:t>
      </w:r>
    </w:p>
    <w:p w14:paraId="1F88DC62" w14:textId="77777777" w:rsidR="0087059F" w:rsidRPr="001005B7" w:rsidRDefault="0087059F" w:rsidP="0087059F">
      <w:pPr>
        <w:pStyle w:val="ListParagraph"/>
        <w:rPr>
          <w:color w:val="auto"/>
          <w:lang w:val="en-US"/>
        </w:rPr>
      </w:pPr>
      <w:r w:rsidRPr="001005B7">
        <w:rPr>
          <w:color w:val="auto"/>
          <w:lang w:val="en-US"/>
        </w:rPr>
        <w:t>Odell, Margaret S. “Ezekiel Saw What He Said He Saw: Genres, Forms, and the Vision of Ezekiel 1." In Marvin A. Sweeney and Ehud ben-</w:t>
      </w:r>
      <w:proofErr w:type="spellStart"/>
      <w:r w:rsidRPr="001005B7">
        <w:rPr>
          <w:color w:val="auto"/>
          <w:lang w:val="en-US"/>
        </w:rPr>
        <w:t>Zvi</w:t>
      </w:r>
      <w:proofErr w:type="spellEnd"/>
      <w:r w:rsidRPr="001005B7">
        <w:rPr>
          <w:color w:val="auto"/>
          <w:lang w:val="en-US"/>
        </w:rPr>
        <w:t xml:space="preserve">, ed., </w:t>
      </w:r>
      <w:r w:rsidRPr="001005B7">
        <w:rPr>
          <w:i/>
          <w:color w:val="auto"/>
          <w:lang w:val="en-US"/>
        </w:rPr>
        <w:t>The Changing Face of Form Criticism for the Twenty-First Century</w:t>
      </w:r>
      <w:r w:rsidRPr="001005B7">
        <w:rPr>
          <w:color w:val="auto"/>
          <w:lang w:val="en-US"/>
        </w:rPr>
        <w:t>, 162–76. Grand Rapids: Eerdmans, 2003.</w:t>
      </w:r>
    </w:p>
    <w:p w14:paraId="607B542C" w14:textId="77777777" w:rsidR="0087059F" w:rsidRPr="001005B7" w:rsidRDefault="0087059F" w:rsidP="0087059F">
      <w:pPr>
        <w:spacing w:after="60" w:line="240" w:lineRule="auto"/>
        <w:ind w:left="567" w:hanging="567"/>
      </w:pPr>
      <w:r w:rsidRPr="001005B7">
        <w:t xml:space="preserve">Parker, B. J. “A Vision of Hope and Fear: Creative Research and Ezekiel 1.” </w:t>
      </w:r>
      <w:proofErr w:type="spellStart"/>
      <w:r w:rsidRPr="001005B7">
        <w:rPr>
          <w:i/>
          <w:iCs/>
        </w:rPr>
        <w:t>RevExp</w:t>
      </w:r>
      <w:proofErr w:type="spellEnd"/>
      <w:r w:rsidRPr="001005B7">
        <w:rPr>
          <w:i/>
          <w:iCs/>
        </w:rPr>
        <w:t xml:space="preserve"> </w:t>
      </w:r>
      <w:r w:rsidRPr="001005B7">
        <w:t>111 (2014): 390–400.</w:t>
      </w:r>
    </w:p>
    <w:p w14:paraId="7658FB24" w14:textId="77777777" w:rsidR="0087059F" w:rsidRPr="001005B7" w:rsidRDefault="0087059F" w:rsidP="0087059F">
      <w:pPr>
        <w:pStyle w:val="ListParagraph"/>
        <w:rPr>
          <w:color w:val="auto"/>
          <w:lang w:val="en-US"/>
        </w:rPr>
      </w:pPr>
      <w:r w:rsidRPr="001005B7">
        <w:rPr>
          <w:color w:val="auto"/>
          <w:lang w:val="en-US"/>
        </w:rPr>
        <w:t xml:space="preserve">Rochester, Kathleen. “Grief in Exile and the City of God: Reading Ezekiel with Augustine.” </w:t>
      </w:r>
      <w:r w:rsidRPr="001005B7">
        <w:rPr>
          <w:i/>
          <w:iCs/>
          <w:color w:val="auto"/>
          <w:lang w:val="en-US"/>
        </w:rPr>
        <w:t>Stellenbosch Theological Journal</w:t>
      </w:r>
      <w:r w:rsidRPr="001005B7">
        <w:rPr>
          <w:color w:val="auto"/>
          <w:lang w:val="en-US"/>
        </w:rPr>
        <w:t xml:space="preserve"> 5 (2019): 347–360.</w:t>
      </w:r>
    </w:p>
    <w:p w14:paraId="4EA78824" w14:textId="77777777" w:rsidR="0087059F" w:rsidRPr="001005B7" w:rsidRDefault="0087059F" w:rsidP="0087059F">
      <w:pPr>
        <w:pStyle w:val="ListParagraph"/>
        <w:rPr>
          <w:color w:val="auto"/>
          <w:lang w:val="en-US"/>
        </w:rPr>
      </w:pPr>
      <w:r w:rsidRPr="001005B7">
        <w:rPr>
          <w:color w:val="auto"/>
          <w:lang w:val="en-US"/>
        </w:rPr>
        <w:t>Rowland, Christopher C. “The Influence of the First Chapter of Ezekiel on Jewish and Early Christian Literature.” Diss., Cambridge University, 1974.</w:t>
      </w:r>
    </w:p>
    <w:p w14:paraId="0C1EB4DB" w14:textId="77777777" w:rsidR="0087059F" w:rsidRPr="001005B7" w:rsidRDefault="0087059F" w:rsidP="0087059F">
      <w:pPr>
        <w:pStyle w:val="ListParagraph"/>
        <w:rPr>
          <w:color w:val="auto"/>
          <w:lang w:val="en-US"/>
        </w:rPr>
      </w:pPr>
      <w:r w:rsidRPr="001005B7">
        <w:rPr>
          <w:i/>
          <w:iCs/>
          <w:color w:val="auto"/>
          <w:lang w:val="en-US"/>
        </w:rPr>
        <w:t>––– “Wheels within Wheels”: William Blake and the Ezekiel’s Merkabah in Text and Image.</w:t>
      </w:r>
      <w:r w:rsidRPr="001005B7">
        <w:rPr>
          <w:color w:val="auto"/>
          <w:lang w:val="en-US"/>
        </w:rPr>
        <w:t xml:space="preserve"> Milwaukee, WI: Marquette University Press, 2007.</w:t>
      </w:r>
    </w:p>
    <w:p w14:paraId="110CFEFE" w14:textId="77777777" w:rsidR="0087059F" w:rsidRPr="001005B7" w:rsidRDefault="0087059F" w:rsidP="0087059F">
      <w:pPr>
        <w:pStyle w:val="ListParagraph"/>
        <w:rPr>
          <w:color w:val="auto"/>
          <w:lang w:val="en-US"/>
        </w:rPr>
      </w:pPr>
      <w:proofErr w:type="spellStart"/>
      <w:r w:rsidRPr="001005B7">
        <w:rPr>
          <w:color w:val="auto"/>
          <w:lang w:val="en-US"/>
        </w:rPr>
        <w:t>Scholem</w:t>
      </w:r>
      <w:proofErr w:type="spellEnd"/>
      <w:r w:rsidRPr="001005B7">
        <w:rPr>
          <w:color w:val="auto"/>
          <w:lang w:val="en-US"/>
        </w:rPr>
        <w:t xml:space="preserve">, Gershom. </w:t>
      </w:r>
      <w:r w:rsidRPr="001005B7">
        <w:rPr>
          <w:i/>
          <w:color w:val="auto"/>
          <w:lang w:val="en-US"/>
        </w:rPr>
        <w:t>Major Trends in Jewish Mysticism</w:t>
      </w:r>
      <w:r w:rsidRPr="001005B7">
        <w:rPr>
          <w:color w:val="auto"/>
          <w:lang w:val="en-US"/>
        </w:rPr>
        <w:t xml:space="preserve">. New ed., New York: </w:t>
      </w:r>
      <w:proofErr w:type="spellStart"/>
      <w:r w:rsidRPr="001005B7">
        <w:rPr>
          <w:color w:val="auto"/>
          <w:lang w:val="en-US"/>
        </w:rPr>
        <w:t>Schocken</w:t>
      </w:r>
      <w:proofErr w:type="spellEnd"/>
      <w:r w:rsidRPr="001005B7">
        <w:rPr>
          <w:color w:val="auto"/>
          <w:lang w:val="en-US"/>
        </w:rPr>
        <w:t>, 1995.</w:t>
      </w:r>
    </w:p>
    <w:p w14:paraId="3A9F0A0D" w14:textId="77777777" w:rsidR="0087059F" w:rsidRPr="001005B7" w:rsidRDefault="0087059F" w:rsidP="0087059F">
      <w:pPr>
        <w:spacing w:after="60" w:line="240" w:lineRule="auto"/>
        <w:ind w:left="567" w:hanging="567"/>
        <w:rPr>
          <w:rFonts w:ascii="Calibri" w:eastAsia="Times New Roman" w:hAnsi="Calibri" w:cs="Calibri"/>
          <w:lang w:eastAsia="en-GB"/>
        </w:rPr>
      </w:pPr>
      <w:proofErr w:type="spellStart"/>
      <w:r w:rsidRPr="001005B7">
        <w:rPr>
          <w:rFonts w:ascii="Calibri" w:eastAsia="Times New Roman" w:hAnsi="Calibri" w:cs="Calibri"/>
          <w:lang w:eastAsia="en-GB"/>
        </w:rPr>
        <w:t>Slotemaker</w:t>
      </w:r>
      <w:proofErr w:type="spellEnd"/>
      <w:r w:rsidRPr="001005B7">
        <w:rPr>
          <w:rFonts w:ascii="Calibri" w:eastAsia="Times New Roman" w:hAnsi="Calibri" w:cs="Calibri"/>
          <w:lang w:eastAsia="en-GB"/>
        </w:rPr>
        <w:t xml:space="preserve">, John T. </w:t>
      </w:r>
      <w:r w:rsidRPr="001005B7">
        <w:t>"'</w:t>
      </w:r>
      <w:proofErr w:type="spellStart"/>
      <w:r w:rsidRPr="001005B7">
        <w:t>Fuisse</w:t>
      </w:r>
      <w:proofErr w:type="spellEnd"/>
      <w:r w:rsidRPr="001005B7">
        <w:t xml:space="preserve"> in Forma Hominis" Belongs to Christ Alone': John Calvin's Trinitarian Hermeneutics in His Lectures on Ezekiel.” </w:t>
      </w:r>
      <w:r w:rsidRPr="001005B7">
        <w:rPr>
          <w:i/>
          <w:iCs/>
        </w:rPr>
        <w:t>SJT</w:t>
      </w:r>
      <w:r w:rsidRPr="001005B7">
        <w:t xml:space="preserve"> 68 (2015): 421–36.</w:t>
      </w:r>
    </w:p>
    <w:p w14:paraId="5157AD2A" w14:textId="77777777" w:rsidR="0087059F" w:rsidRPr="001005B7" w:rsidRDefault="0087059F" w:rsidP="0087059F">
      <w:pPr>
        <w:pStyle w:val="ListParagraph"/>
        <w:rPr>
          <w:color w:val="auto"/>
          <w:lang w:val="en-US"/>
        </w:rPr>
      </w:pPr>
      <w:proofErr w:type="spellStart"/>
      <w:r w:rsidRPr="001005B7">
        <w:rPr>
          <w:color w:val="auto"/>
          <w:lang w:val="en-US"/>
        </w:rPr>
        <w:t>Tuell</w:t>
      </w:r>
      <w:proofErr w:type="spellEnd"/>
      <w:r w:rsidRPr="001005B7">
        <w:rPr>
          <w:color w:val="auto"/>
          <w:lang w:val="en-US"/>
        </w:rPr>
        <w:t xml:space="preserve">, Steven S. “Should Ezekiel Go To Rehab? The Method to Ezekiel's ‘Madness.’” </w:t>
      </w:r>
      <w:r w:rsidRPr="001005B7">
        <w:rPr>
          <w:i/>
          <w:iCs/>
          <w:color w:val="auto"/>
          <w:lang w:val="en-US"/>
        </w:rPr>
        <w:t xml:space="preserve">Perspectives in Religious Studies </w:t>
      </w:r>
      <w:r w:rsidRPr="001005B7">
        <w:rPr>
          <w:color w:val="auto"/>
          <w:lang w:val="en-US"/>
        </w:rPr>
        <w:t>3 (2009): 289–302.</w:t>
      </w:r>
    </w:p>
    <w:p w14:paraId="2B9AF8EB" w14:textId="77777777" w:rsidR="0087059F" w:rsidRPr="001005B7" w:rsidRDefault="0087059F" w:rsidP="0087059F">
      <w:pPr>
        <w:pStyle w:val="ListParagraph"/>
        <w:rPr>
          <w:color w:val="auto"/>
          <w:lang w:val="en-US"/>
        </w:rPr>
      </w:pPr>
      <w:proofErr w:type="spellStart"/>
      <w:r w:rsidRPr="001005B7">
        <w:rPr>
          <w:color w:val="auto"/>
          <w:lang w:val="en-US"/>
        </w:rPr>
        <w:t>Uehlinger</w:t>
      </w:r>
      <w:proofErr w:type="spellEnd"/>
      <w:r w:rsidRPr="001005B7">
        <w:rPr>
          <w:color w:val="auto"/>
          <w:lang w:val="en-US"/>
        </w:rPr>
        <w:t xml:space="preserve">, Christoph and Susanne Müller </w:t>
      </w:r>
      <w:proofErr w:type="spellStart"/>
      <w:r w:rsidRPr="001005B7">
        <w:rPr>
          <w:color w:val="auto"/>
          <w:lang w:val="en-US"/>
        </w:rPr>
        <w:t>Trufaut</w:t>
      </w:r>
      <w:proofErr w:type="spellEnd"/>
      <w:r w:rsidRPr="001005B7">
        <w:rPr>
          <w:color w:val="auto"/>
          <w:lang w:val="en-US"/>
        </w:rPr>
        <w:t>. "Ezekiel 1, Babylonian Cosmological Scholarship and Iconography: Attempts at Further Refinement." </w:t>
      </w:r>
      <w:proofErr w:type="spellStart"/>
      <w:r w:rsidRPr="001005B7">
        <w:rPr>
          <w:i/>
          <w:color w:val="auto"/>
          <w:lang w:val="en-US"/>
        </w:rPr>
        <w:t>Theologische</w:t>
      </w:r>
      <w:proofErr w:type="spellEnd"/>
      <w:r w:rsidRPr="001005B7">
        <w:rPr>
          <w:i/>
          <w:color w:val="auto"/>
          <w:lang w:val="en-US"/>
        </w:rPr>
        <w:t xml:space="preserve"> </w:t>
      </w:r>
      <w:proofErr w:type="spellStart"/>
      <w:r w:rsidRPr="001005B7">
        <w:rPr>
          <w:i/>
          <w:color w:val="auto"/>
          <w:lang w:val="en-US"/>
        </w:rPr>
        <w:t>Zeitschrift</w:t>
      </w:r>
      <w:proofErr w:type="spellEnd"/>
      <w:r w:rsidRPr="001005B7">
        <w:rPr>
          <w:color w:val="auto"/>
          <w:lang w:val="en-US"/>
        </w:rPr>
        <w:t> (Basel) 57 (2001): 140–171.</w:t>
      </w:r>
    </w:p>
    <w:p w14:paraId="734C23AA" w14:textId="77777777" w:rsidR="0087059F" w:rsidRPr="001005B7" w:rsidRDefault="0087059F" w:rsidP="0087059F">
      <w:pPr>
        <w:pStyle w:val="ListParagraph"/>
        <w:rPr>
          <w:color w:val="auto"/>
          <w:lang w:val="en-US"/>
        </w:rPr>
      </w:pPr>
      <w:r w:rsidRPr="001005B7">
        <w:rPr>
          <w:color w:val="auto"/>
          <w:lang w:val="en-US"/>
        </w:rPr>
        <w:t xml:space="preserve">Van De Water, Rick. “Early Rabbinic Judaism and the Danger in Ezekiel 1.” </w:t>
      </w:r>
      <w:r w:rsidRPr="001005B7">
        <w:rPr>
          <w:i/>
          <w:color w:val="auto"/>
          <w:lang w:val="en-US"/>
        </w:rPr>
        <w:t xml:space="preserve">The Review of Rabbinic Judaism </w:t>
      </w:r>
      <w:r w:rsidRPr="001005B7">
        <w:rPr>
          <w:color w:val="auto"/>
          <w:lang w:val="en-US"/>
        </w:rPr>
        <w:t>17 (2017): 168–92.</w:t>
      </w:r>
    </w:p>
    <w:p w14:paraId="4B0117DC" w14:textId="77777777" w:rsidR="0087059F" w:rsidRPr="001005B7" w:rsidRDefault="0087059F" w:rsidP="0087059F">
      <w:pPr>
        <w:pStyle w:val="ListParagraph"/>
        <w:rPr>
          <w:color w:val="auto"/>
          <w:lang w:val="en-US"/>
        </w:rPr>
      </w:pPr>
      <w:r w:rsidRPr="001005B7">
        <w:rPr>
          <w:color w:val="auto"/>
          <w:lang w:val="en-US"/>
        </w:rPr>
        <w:t>Wagner, Thomas. "</w:t>
      </w:r>
      <w:proofErr w:type="spellStart"/>
      <w:r w:rsidRPr="001005B7">
        <w:rPr>
          <w:color w:val="auto"/>
          <w:lang w:val="en-US"/>
        </w:rPr>
        <w:t>Ez</w:t>
      </w:r>
      <w:proofErr w:type="spellEnd"/>
      <w:r w:rsidRPr="001005B7">
        <w:rPr>
          <w:color w:val="auto"/>
          <w:lang w:val="en-US"/>
        </w:rPr>
        <w:t xml:space="preserve"> 1–</w:t>
      </w:r>
      <w:proofErr w:type="spellStart"/>
      <w:r w:rsidRPr="001005B7">
        <w:rPr>
          <w:color w:val="auto"/>
          <w:lang w:val="en-US"/>
        </w:rPr>
        <w:t>verständlich</w:t>
      </w:r>
      <w:proofErr w:type="spellEnd"/>
      <w:r w:rsidRPr="001005B7">
        <w:rPr>
          <w:color w:val="auto"/>
          <w:lang w:val="en-US"/>
        </w:rPr>
        <w:t xml:space="preserve"> </w:t>
      </w:r>
      <w:proofErr w:type="spellStart"/>
      <w:r w:rsidRPr="001005B7">
        <w:rPr>
          <w:color w:val="auto"/>
          <w:lang w:val="en-US"/>
        </w:rPr>
        <w:t>unverständlich</w:t>
      </w:r>
      <w:proofErr w:type="spellEnd"/>
      <w:r w:rsidRPr="001005B7">
        <w:rPr>
          <w:color w:val="auto"/>
          <w:lang w:val="en-US"/>
        </w:rPr>
        <w:t xml:space="preserve">: Zu Syntax, Form und </w:t>
      </w:r>
      <w:proofErr w:type="spellStart"/>
      <w:r w:rsidRPr="001005B7">
        <w:rPr>
          <w:color w:val="auto"/>
          <w:lang w:val="en-US"/>
        </w:rPr>
        <w:t>Kohärenz</w:t>
      </w:r>
      <w:proofErr w:type="spellEnd"/>
      <w:r w:rsidRPr="001005B7">
        <w:rPr>
          <w:color w:val="auto"/>
          <w:lang w:val="en-US"/>
        </w:rPr>
        <w:t>." </w:t>
      </w:r>
      <w:r w:rsidRPr="001005B7">
        <w:rPr>
          <w:i/>
          <w:color w:val="auto"/>
          <w:lang w:val="en-US"/>
        </w:rPr>
        <w:t>ZAW</w:t>
      </w:r>
      <w:r w:rsidRPr="001005B7">
        <w:rPr>
          <w:color w:val="auto"/>
          <w:lang w:val="en-US"/>
        </w:rPr>
        <w:t> 125 (2013): 234-248.</w:t>
      </w:r>
    </w:p>
    <w:p w14:paraId="03FD2A5E" w14:textId="77777777" w:rsidR="0087059F" w:rsidRPr="001005B7" w:rsidRDefault="0087059F" w:rsidP="0087059F">
      <w:pPr>
        <w:pStyle w:val="ListParagraph"/>
        <w:rPr>
          <w:color w:val="auto"/>
          <w:lang w:val="en-US"/>
        </w:rPr>
      </w:pPr>
      <w:r w:rsidRPr="001005B7">
        <w:rPr>
          <w:i/>
          <w:iCs/>
          <w:color w:val="auto"/>
          <w:lang w:val="en-US"/>
        </w:rPr>
        <w:t xml:space="preserve">––– </w:t>
      </w:r>
      <w:r w:rsidRPr="001005B7">
        <w:rPr>
          <w:color w:val="auto"/>
          <w:lang w:val="en-US"/>
        </w:rPr>
        <w:t xml:space="preserve">"Was </w:t>
      </w:r>
      <w:proofErr w:type="spellStart"/>
      <w:r w:rsidRPr="001005B7">
        <w:rPr>
          <w:color w:val="auto"/>
          <w:lang w:val="en-US"/>
        </w:rPr>
        <w:t>haben</w:t>
      </w:r>
      <w:proofErr w:type="spellEnd"/>
      <w:r w:rsidRPr="001005B7">
        <w:rPr>
          <w:color w:val="auto"/>
          <w:lang w:val="en-US"/>
        </w:rPr>
        <w:t xml:space="preserve"> </w:t>
      </w:r>
      <w:proofErr w:type="spellStart"/>
      <w:r w:rsidRPr="001005B7">
        <w:rPr>
          <w:color w:val="auto"/>
          <w:lang w:val="en-US"/>
        </w:rPr>
        <w:t>sie</w:t>
      </w:r>
      <w:proofErr w:type="spellEnd"/>
      <w:r w:rsidRPr="001005B7">
        <w:rPr>
          <w:color w:val="auto"/>
          <w:lang w:val="en-US"/>
        </w:rPr>
        <w:t xml:space="preserve"> </w:t>
      </w:r>
      <w:proofErr w:type="spellStart"/>
      <w:r w:rsidRPr="001005B7">
        <w:rPr>
          <w:color w:val="auto"/>
          <w:lang w:val="en-US"/>
        </w:rPr>
        <w:t>sich</w:t>
      </w:r>
      <w:proofErr w:type="spellEnd"/>
      <w:r w:rsidRPr="001005B7">
        <w:rPr>
          <w:color w:val="auto"/>
          <w:lang w:val="en-US"/>
        </w:rPr>
        <w:t xml:space="preserve"> </w:t>
      </w:r>
      <w:proofErr w:type="spellStart"/>
      <w:r w:rsidRPr="001005B7">
        <w:rPr>
          <w:color w:val="auto"/>
          <w:lang w:val="en-US"/>
        </w:rPr>
        <w:t>nur</w:t>
      </w:r>
      <w:proofErr w:type="spellEnd"/>
      <w:r w:rsidRPr="001005B7">
        <w:rPr>
          <w:color w:val="auto"/>
          <w:lang w:val="en-US"/>
        </w:rPr>
        <w:t xml:space="preserve"> </w:t>
      </w:r>
      <w:proofErr w:type="spellStart"/>
      <w:r w:rsidRPr="001005B7">
        <w:rPr>
          <w:color w:val="auto"/>
          <w:lang w:val="en-US"/>
        </w:rPr>
        <w:t>dabei</w:t>
      </w:r>
      <w:proofErr w:type="spellEnd"/>
      <w:r w:rsidRPr="001005B7">
        <w:rPr>
          <w:color w:val="auto"/>
          <w:lang w:val="en-US"/>
        </w:rPr>
        <w:t xml:space="preserve"> </w:t>
      </w:r>
      <w:proofErr w:type="spellStart"/>
      <w:r w:rsidRPr="001005B7">
        <w:rPr>
          <w:color w:val="auto"/>
          <w:lang w:val="en-US"/>
        </w:rPr>
        <w:t>gedacht</w:t>
      </w:r>
      <w:proofErr w:type="spellEnd"/>
      <w:r w:rsidRPr="001005B7">
        <w:rPr>
          <w:color w:val="auto"/>
          <w:lang w:val="en-US"/>
        </w:rPr>
        <w:t xml:space="preserve">? Zur </w:t>
      </w:r>
      <w:proofErr w:type="spellStart"/>
      <w:r w:rsidRPr="001005B7">
        <w:rPr>
          <w:color w:val="auto"/>
          <w:lang w:val="en-US"/>
        </w:rPr>
        <w:t>Textüberlieferung</w:t>
      </w:r>
      <w:proofErr w:type="spellEnd"/>
      <w:r w:rsidRPr="001005B7">
        <w:rPr>
          <w:color w:val="auto"/>
          <w:lang w:val="en-US"/>
        </w:rPr>
        <w:t xml:space="preserve"> von </w:t>
      </w:r>
      <w:proofErr w:type="spellStart"/>
      <w:r w:rsidRPr="001005B7">
        <w:rPr>
          <w:color w:val="auto"/>
          <w:lang w:val="en-US"/>
        </w:rPr>
        <w:t>Ez</w:t>
      </w:r>
      <w:proofErr w:type="spellEnd"/>
      <w:r w:rsidRPr="001005B7">
        <w:rPr>
          <w:color w:val="auto"/>
          <w:lang w:val="en-US"/>
        </w:rPr>
        <w:t xml:space="preserve"> 1 in M und LXX." In Frank </w:t>
      </w:r>
      <w:proofErr w:type="spellStart"/>
      <w:r w:rsidRPr="001005B7">
        <w:rPr>
          <w:color w:val="auto"/>
          <w:lang w:val="en-US"/>
        </w:rPr>
        <w:t>Ueberschaer</w:t>
      </w:r>
      <w:proofErr w:type="spellEnd"/>
      <w:r w:rsidRPr="001005B7">
        <w:rPr>
          <w:color w:val="auto"/>
          <w:lang w:val="en-US"/>
        </w:rPr>
        <w:t xml:space="preserve">, Thomas Wagner, and Jonathan Miles </w:t>
      </w:r>
      <w:proofErr w:type="spellStart"/>
      <w:r w:rsidRPr="001005B7">
        <w:rPr>
          <w:color w:val="auto"/>
          <w:lang w:val="en-US"/>
        </w:rPr>
        <w:t>Robker</w:t>
      </w:r>
      <w:proofErr w:type="spellEnd"/>
      <w:r w:rsidRPr="001005B7">
        <w:rPr>
          <w:color w:val="auto"/>
          <w:lang w:val="en-US"/>
        </w:rPr>
        <w:t>, ed.,</w:t>
      </w:r>
      <w:r w:rsidRPr="001005B7">
        <w:rPr>
          <w:i/>
          <w:color w:val="auto"/>
          <w:lang w:val="en-US"/>
        </w:rPr>
        <w:t xml:space="preserve"> </w:t>
      </w:r>
      <w:proofErr w:type="spellStart"/>
      <w:r w:rsidRPr="001005B7">
        <w:rPr>
          <w:i/>
          <w:color w:val="auto"/>
          <w:lang w:val="en-US"/>
        </w:rPr>
        <w:t>Theologie</w:t>
      </w:r>
      <w:proofErr w:type="spellEnd"/>
      <w:r w:rsidRPr="001005B7">
        <w:rPr>
          <w:i/>
          <w:color w:val="auto"/>
          <w:lang w:val="en-US"/>
        </w:rPr>
        <w:t xml:space="preserve"> und </w:t>
      </w:r>
      <w:proofErr w:type="spellStart"/>
      <w:r w:rsidRPr="001005B7">
        <w:rPr>
          <w:i/>
          <w:color w:val="auto"/>
          <w:lang w:val="en-US"/>
        </w:rPr>
        <w:t>Textgeschichte</w:t>
      </w:r>
      <w:proofErr w:type="spellEnd"/>
      <w:r w:rsidRPr="001005B7">
        <w:rPr>
          <w:i/>
          <w:color w:val="auto"/>
          <w:lang w:val="en-US"/>
        </w:rPr>
        <w:t xml:space="preserve">: </w:t>
      </w:r>
      <w:proofErr w:type="spellStart"/>
      <w:r w:rsidRPr="001005B7">
        <w:rPr>
          <w:i/>
          <w:color w:val="auto"/>
          <w:lang w:val="en-US"/>
        </w:rPr>
        <w:t>Septuaginta</w:t>
      </w:r>
      <w:proofErr w:type="spellEnd"/>
      <w:r w:rsidRPr="001005B7">
        <w:rPr>
          <w:i/>
          <w:color w:val="auto"/>
          <w:lang w:val="en-US"/>
        </w:rPr>
        <w:t xml:space="preserve"> und </w:t>
      </w:r>
      <w:proofErr w:type="spellStart"/>
      <w:r w:rsidRPr="001005B7">
        <w:rPr>
          <w:i/>
          <w:color w:val="auto"/>
          <w:lang w:val="en-US"/>
        </w:rPr>
        <w:t>Masoretischer</w:t>
      </w:r>
      <w:proofErr w:type="spellEnd"/>
      <w:r w:rsidRPr="001005B7">
        <w:rPr>
          <w:i/>
          <w:color w:val="auto"/>
          <w:lang w:val="en-US"/>
        </w:rPr>
        <w:t xml:space="preserve"> Text </w:t>
      </w:r>
      <w:proofErr w:type="spellStart"/>
      <w:r w:rsidRPr="001005B7">
        <w:rPr>
          <w:i/>
          <w:color w:val="auto"/>
          <w:lang w:val="en-US"/>
        </w:rPr>
        <w:t>als</w:t>
      </w:r>
      <w:proofErr w:type="spellEnd"/>
      <w:r w:rsidRPr="001005B7">
        <w:rPr>
          <w:i/>
          <w:color w:val="auto"/>
          <w:lang w:val="en-US"/>
        </w:rPr>
        <w:t xml:space="preserve"> </w:t>
      </w:r>
      <w:proofErr w:type="spellStart"/>
      <w:r w:rsidRPr="001005B7">
        <w:rPr>
          <w:i/>
          <w:color w:val="auto"/>
          <w:lang w:val="en-US"/>
        </w:rPr>
        <w:t>Äusserungen</w:t>
      </w:r>
      <w:proofErr w:type="spellEnd"/>
      <w:r w:rsidRPr="001005B7">
        <w:rPr>
          <w:i/>
          <w:color w:val="auto"/>
          <w:lang w:val="en-US"/>
        </w:rPr>
        <w:t xml:space="preserve"> </w:t>
      </w:r>
      <w:proofErr w:type="spellStart"/>
      <w:r w:rsidRPr="001005B7">
        <w:rPr>
          <w:i/>
          <w:color w:val="auto"/>
          <w:lang w:val="en-US"/>
        </w:rPr>
        <w:t>theologischer</w:t>
      </w:r>
      <w:proofErr w:type="spellEnd"/>
      <w:r w:rsidRPr="001005B7">
        <w:rPr>
          <w:i/>
          <w:color w:val="auto"/>
          <w:lang w:val="en-US"/>
        </w:rPr>
        <w:t xml:space="preserve"> </w:t>
      </w:r>
      <w:proofErr w:type="spellStart"/>
      <w:r w:rsidRPr="001005B7">
        <w:rPr>
          <w:i/>
          <w:color w:val="auto"/>
          <w:lang w:val="en-US"/>
        </w:rPr>
        <w:t>Reflexion</w:t>
      </w:r>
      <w:proofErr w:type="spellEnd"/>
      <w:r w:rsidRPr="001005B7">
        <w:rPr>
          <w:color w:val="auto"/>
          <w:lang w:val="en-US"/>
        </w:rPr>
        <w:t xml:space="preserve">, 171–86. WUNT 407. Tübingen: Mohr </w:t>
      </w:r>
      <w:proofErr w:type="spellStart"/>
      <w:r w:rsidRPr="001005B7">
        <w:rPr>
          <w:color w:val="auto"/>
          <w:lang w:val="en-US"/>
        </w:rPr>
        <w:t>Siebeck</w:t>
      </w:r>
      <w:proofErr w:type="spellEnd"/>
      <w:r w:rsidRPr="001005B7">
        <w:rPr>
          <w:color w:val="auto"/>
          <w:lang w:val="en-US"/>
        </w:rPr>
        <w:t>, 2018.</w:t>
      </w:r>
    </w:p>
    <w:p w14:paraId="224F0AA7" w14:textId="77777777" w:rsidR="0087059F" w:rsidRPr="001005B7" w:rsidRDefault="0087059F" w:rsidP="0087059F">
      <w:pPr>
        <w:pStyle w:val="ListParagraph"/>
        <w:rPr>
          <w:color w:val="auto"/>
          <w:lang w:val="en-US"/>
        </w:rPr>
      </w:pPr>
      <w:r w:rsidRPr="001005B7">
        <w:rPr>
          <w:color w:val="auto"/>
          <w:lang w:val="en-US"/>
        </w:rPr>
        <w:t xml:space="preserve">van </w:t>
      </w:r>
      <w:proofErr w:type="spellStart"/>
      <w:r w:rsidRPr="001005B7">
        <w:rPr>
          <w:color w:val="auto"/>
          <w:lang w:val="en-US"/>
        </w:rPr>
        <w:t>Wolde</w:t>
      </w:r>
      <w:proofErr w:type="spellEnd"/>
      <w:r w:rsidRPr="001005B7">
        <w:rPr>
          <w:color w:val="auto"/>
          <w:lang w:val="en-US"/>
        </w:rPr>
        <w:t>, Ellen. "The God Ezekiel 1 Envisions." In Paul M. Joyce and Dalit Rom-</w:t>
      </w:r>
      <w:proofErr w:type="spellStart"/>
      <w:r w:rsidRPr="001005B7">
        <w:rPr>
          <w:color w:val="auto"/>
          <w:lang w:val="en-US"/>
        </w:rPr>
        <w:t>Shiloni</w:t>
      </w:r>
      <w:proofErr w:type="spellEnd"/>
      <w:r w:rsidRPr="001005B7">
        <w:rPr>
          <w:color w:val="auto"/>
          <w:lang w:val="en-US"/>
        </w:rPr>
        <w:t xml:space="preserve">, ed., </w:t>
      </w:r>
      <w:r w:rsidRPr="001005B7">
        <w:rPr>
          <w:i/>
          <w:color w:val="auto"/>
          <w:lang w:val="en-US"/>
        </w:rPr>
        <w:t>The God Ezekiel Creates</w:t>
      </w:r>
      <w:r w:rsidRPr="001005B7">
        <w:rPr>
          <w:color w:val="auto"/>
          <w:lang w:val="en-US"/>
        </w:rPr>
        <w:t>, 87–106. LHBOTS 607. London: T&amp;T Clark, 2015.</w:t>
      </w:r>
    </w:p>
    <w:p w14:paraId="019F4E17" w14:textId="3885C288" w:rsidR="00F31E0A" w:rsidRPr="001005B7" w:rsidRDefault="00F020E6" w:rsidP="003062B5">
      <w:pPr>
        <w:pStyle w:val="Heading2"/>
        <w:rPr>
          <w:rFonts w:eastAsia="Times New Roman"/>
          <w:color w:val="auto"/>
          <w:lang w:eastAsia="en-GB"/>
        </w:rPr>
      </w:pPr>
      <w:r w:rsidRPr="001005B7">
        <w:rPr>
          <w:rFonts w:eastAsia="Times New Roman"/>
          <w:color w:val="auto"/>
          <w:lang w:eastAsia="en-GB"/>
        </w:rPr>
        <w:t>Yahweh Issues a</w:t>
      </w:r>
      <w:r w:rsidR="00A70D50" w:rsidRPr="001005B7">
        <w:rPr>
          <w:rFonts w:eastAsia="Times New Roman"/>
          <w:color w:val="auto"/>
          <w:lang w:eastAsia="en-GB"/>
        </w:rPr>
        <w:t xml:space="preserve"> Commission</w:t>
      </w:r>
      <w:r w:rsidR="007B2E5B" w:rsidRPr="001005B7">
        <w:rPr>
          <w:rFonts w:eastAsia="Times New Roman"/>
          <w:color w:val="auto"/>
          <w:lang w:eastAsia="en-GB"/>
        </w:rPr>
        <w:t xml:space="preserve"> </w:t>
      </w:r>
      <w:r w:rsidR="00EE19D3" w:rsidRPr="001005B7">
        <w:rPr>
          <w:rFonts w:eastAsia="Times New Roman"/>
          <w:color w:val="auto"/>
          <w:lang w:eastAsia="en-GB"/>
        </w:rPr>
        <w:t>(</w:t>
      </w:r>
      <w:r w:rsidR="007B2E5B" w:rsidRPr="001005B7">
        <w:rPr>
          <w:rFonts w:eastAsia="Times New Roman"/>
          <w:color w:val="auto"/>
          <w:lang w:eastAsia="en-GB"/>
        </w:rPr>
        <w:t>1:28b</w:t>
      </w:r>
      <w:r w:rsidR="007B2E5B" w:rsidRPr="001005B7">
        <w:rPr>
          <w:rFonts w:eastAsia="Times New Roman" w:cstheme="majorHAnsi"/>
          <w:color w:val="auto"/>
          <w:lang w:eastAsia="en-GB"/>
        </w:rPr>
        <w:t>β</w:t>
      </w:r>
      <w:r w:rsidR="00F46900" w:rsidRPr="001005B7">
        <w:rPr>
          <w:rFonts w:eastAsia="Times New Roman"/>
          <w:color w:val="auto"/>
          <w:lang w:eastAsia="en-GB"/>
        </w:rPr>
        <w:t>–</w:t>
      </w:r>
      <w:r w:rsidR="00157823" w:rsidRPr="001005B7">
        <w:rPr>
          <w:rFonts w:eastAsia="Times New Roman"/>
          <w:color w:val="auto"/>
          <w:lang w:eastAsia="en-GB"/>
        </w:rPr>
        <w:t>3:15</w:t>
      </w:r>
      <w:r w:rsidR="00D50251" w:rsidRPr="001005B7">
        <w:rPr>
          <w:rFonts w:eastAsia="Times New Roman"/>
          <w:color w:val="auto"/>
          <w:lang w:eastAsia="en-GB"/>
        </w:rPr>
        <w:t>)</w:t>
      </w:r>
    </w:p>
    <w:p w14:paraId="10023AAF" w14:textId="77777777" w:rsidR="0010167D" w:rsidRPr="001005B7" w:rsidRDefault="0010167D" w:rsidP="00493833">
      <w:pPr>
        <w:pStyle w:val="Heading3"/>
      </w:pPr>
      <w:r w:rsidRPr="001005B7">
        <w:t>Outline</w:t>
      </w:r>
    </w:p>
    <w:p w14:paraId="77B5D907" w14:textId="515903BD" w:rsidR="00E75E5D" w:rsidRPr="001005B7" w:rsidRDefault="00DC5B14" w:rsidP="008A4C87">
      <w:pPr>
        <w:rPr>
          <w:lang w:eastAsia="en-GB"/>
        </w:rPr>
      </w:pPr>
      <w:r w:rsidRPr="001005B7">
        <w:rPr>
          <w:lang w:eastAsia="en-GB"/>
        </w:rPr>
        <w:t>F</w:t>
      </w:r>
      <w:r w:rsidR="00832F5C" w:rsidRPr="001005B7">
        <w:rPr>
          <w:lang w:eastAsia="en-GB"/>
        </w:rPr>
        <w:t xml:space="preserve">ollowing on the </w:t>
      </w:r>
      <w:r w:rsidR="00473EA7" w:rsidRPr="001005B7">
        <w:rPr>
          <w:lang w:eastAsia="en-GB"/>
        </w:rPr>
        <w:t>manifestation</w:t>
      </w:r>
      <w:r w:rsidR="00832F5C" w:rsidRPr="001005B7">
        <w:rPr>
          <w:lang w:eastAsia="en-GB"/>
        </w:rPr>
        <w:t xml:space="preserve"> in 1:</w:t>
      </w:r>
      <w:r w:rsidR="00BE2395" w:rsidRPr="001005B7">
        <w:rPr>
          <w:lang w:eastAsia="en-GB"/>
        </w:rPr>
        <w:t>4</w:t>
      </w:r>
      <w:r w:rsidR="00F46900" w:rsidRPr="001005B7">
        <w:rPr>
          <w:lang w:eastAsia="en-GB"/>
        </w:rPr>
        <w:t>–</w:t>
      </w:r>
      <w:r w:rsidR="00832F5C" w:rsidRPr="001005B7">
        <w:rPr>
          <w:lang w:eastAsia="en-GB"/>
        </w:rPr>
        <w:t>28</w:t>
      </w:r>
      <w:r w:rsidR="001A6BFE" w:rsidRPr="001005B7">
        <w:rPr>
          <w:lang w:eastAsia="en-GB"/>
        </w:rPr>
        <w:t>b</w:t>
      </w:r>
      <w:r w:rsidR="001A6BFE" w:rsidRPr="001005B7">
        <w:rPr>
          <w:rFonts w:cstheme="minorHAnsi"/>
          <w:lang w:eastAsia="en-GB"/>
        </w:rPr>
        <w:t>α</w:t>
      </w:r>
      <w:r w:rsidR="007043C1" w:rsidRPr="001005B7">
        <w:rPr>
          <w:rFonts w:cstheme="minorHAnsi"/>
          <w:lang w:eastAsia="en-GB"/>
        </w:rPr>
        <w:t xml:space="preserve">, Yahweh </w:t>
      </w:r>
      <w:r w:rsidRPr="001005B7">
        <w:rPr>
          <w:rFonts w:cstheme="minorHAnsi"/>
          <w:lang w:eastAsia="en-GB"/>
        </w:rPr>
        <w:t>speaks to Ezekiel</w:t>
      </w:r>
      <w:r w:rsidR="00865E14" w:rsidRPr="001005B7">
        <w:rPr>
          <w:rFonts w:cstheme="minorHAnsi"/>
          <w:lang w:eastAsia="en-GB"/>
        </w:rPr>
        <w:t xml:space="preserve"> to commission him</w:t>
      </w:r>
      <w:r w:rsidR="004B17D5" w:rsidRPr="001005B7">
        <w:rPr>
          <w:rFonts w:cstheme="minorHAnsi"/>
          <w:lang w:eastAsia="en-GB"/>
        </w:rPr>
        <w:t>.</w:t>
      </w:r>
      <w:r w:rsidR="008A4C87" w:rsidRPr="001005B7">
        <w:rPr>
          <w:rFonts w:cstheme="minorHAnsi"/>
          <w:lang w:eastAsia="en-GB"/>
        </w:rPr>
        <w:t xml:space="preserve"> </w:t>
      </w:r>
      <w:r w:rsidR="008A4C87" w:rsidRPr="001005B7">
        <w:rPr>
          <w:lang w:eastAsia="en-GB"/>
        </w:rPr>
        <w:t xml:space="preserve">The testimony to his commission </w:t>
      </w:r>
      <w:r w:rsidR="00B830AD" w:rsidRPr="001005B7">
        <w:rPr>
          <w:lang w:eastAsia="en-GB"/>
        </w:rPr>
        <w:t xml:space="preserve">thus </w:t>
      </w:r>
      <w:r w:rsidR="008A4C87" w:rsidRPr="001005B7">
        <w:rPr>
          <w:lang w:eastAsia="en-GB"/>
        </w:rPr>
        <w:t>continues the report of the vision.</w:t>
      </w:r>
      <w:r w:rsidR="004B17D5" w:rsidRPr="001005B7">
        <w:rPr>
          <w:rFonts w:cstheme="minorHAnsi"/>
          <w:lang w:eastAsia="en-GB"/>
        </w:rPr>
        <w:t xml:space="preserve"> </w:t>
      </w:r>
      <w:r w:rsidR="00083242" w:rsidRPr="001005B7">
        <w:rPr>
          <w:rFonts w:cstheme="minorHAnsi"/>
          <w:lang w:eastAsia="en-GB"/>
        </w:rPr>
        <w:t>The</w:t>
      </w:r>
      <w:r w:rsidR="00435DFE" w:rsidRPr="001005B7">
        <w:rPr>
          <w:rFonts w:cstheme="minorHAnsi"/>
          <w:lang w:eastAsia="en-GB"/>
        </w:rPr>
        <w:t xml:space="preserve"> introduction</w:t>
      </w:r>
      <w:r w:rsidR="00B94E24" w:rsidRPr="001005B7">
        <w:rPr>
          <w:rFonts w:cstheme="minorHAnsi"/>
          <w:lang w:eastAsia="en-GB"/>
        </w:rPr>
        <w:t xml:space="preserve"> in</w:t>
      </w:r>
      <w:r w:rsidR="004D51E7" w:rsidRPr="001005B7">
        <w:rPr>
          <w:rFonts w:cstheme="minorHAnsi"/>
          <w:lang w:eastAsia="en-GB"/>
        </w:rPr>
        <w:t xml:space="preserve"> </w:t>
      </w:r>
      <w:r w:rsidR="00435DFE" w:rsidRPr="001005B7">
        <w:rPr>
          <w:rFonts w:cstheme="minorHAnsi"/>
          <w:lang w:eastAsia="en-GB"/>
        </w:rPr>
        <w:t>1:2</w:t>
      </w:r>
      <w:r w:rsidR="00AB7FD1" w:rsidRPr="001005B7">
        <w:rPr>
          <w:rFonts w:cstheme="minorHAnsi"/>
          <w:lang w:eastAsia="en-GB"/>
        </w:rPr>
        <w:t>8bβ</w:t>
      </w:r>
      <w:r w:rsidR="00083242" w:rsidRPr="001005B7">
        <w:rPr>
          <w:rFonts w:cstheme="minorHAnsi"/>
          <w:lang w:eastAsia="en-GB"/>
        </w:rPr>
        <w:t xml:space="preserve"> leads into</w:t>
      </w:r>
      <w:r w:rsidR="00210BC4" w:rsidRPr="001005B7">
        <w:rPr>
          <w:rFonts w:cstheme="minorHAnsi"/>
          <w:lang w:eastAsia="en-GB"/>
        </w:rPr>
        <w:t xml:space="preserve"> </w:t>
      </w:r>
      <w:r w:rsidR="008867F1" w:rsidRPr="001005B7">
        <w:rPr>
          <w:rFonts w:cstheme="minorHAnsi"/>
          <w:lang w:eastAsia="en-GB"/>
        </w:rPr>
        <w:t xml:space="preserve">a series of </w:t>
      </w:r>
      <w:r w:rsidR="00435DFE" w:rsidRPr="001005B7">
        <w:rPr>
          <w:rFonts w:cstheme="minorHAnsi"/>
          <w:lang w:eastAsia="en-GB"/>
        </w:rPr>
        <w:t>biddings by Yahweh</w:t>
      </w:r>
      <w:r w:rsidR="00BD3BC3" w:rsidRPr="001005B7">
        <w:rPr>
          <w:rFonts w:cstheme="minorHAnsi"/>
          <w:lang w:eastAsia="en-GB"/>
        </w:rPr>
        <w:t>, and a</w:t>
      </w:r>
      <w:r w:rsidR="00B07E71" w:rsidRPr="001005B7">
        <w:rPr>
          <w:rFonts w:cstheme="minorHAnsi"/>
          <w:lang w:eastAsia="en-GB"/>
        </w:rPr>
        <w:t xml:space="preserve">s </w:t>
      </w:r>
      <w:r w:rsidR="00340BE4" w:rsidRPr="001005B7">
        <w:rPr>
          <w:rFonts w:cstheme="minorHAnsi"/>
          <w:lang w:eastAsia="en-GB"/>
        </w:rPr>
        <w:t>“</w:t>
      </w:r>
      <w:r w:rsidR="00B07E71" w:rsidRPr="001005B7">
        <w:rPr>
          <w:rFonts w:cstheme="minorHAnsi"/>
          <w:lang w:eastAsia="en-GB"/>
        </w:rPr>
        <w:t>I saw</w:t>
      </w:r>
      <w:r w:rsidR="00340BE4" w:rsidRPr="001005B7">
        <w:rPr>
          <w:rFonts w:cstheme="minorHAnsi"/>
          <w:lang w:eastAsia="en-GB"/>
        </w:rPr>
        <w:t>”</w:t>
      </w:r>
      <w:r w:rsidR="00B07E71" w:rsidRPr="001005B7">
        <w:rPr>
          <w:rFonts w:cstheme="minorHAnsi"/>
          <w:lang w:eastAsia="en-GB"/>
        </w:rPr>
        <w:t xml:space="preserve"> reverbe</w:t>
      </w:r>
      <w:r w:rsidR="00AE51B1" w:rsidRPr="001005B7">
        <w:rPr>
          <w:rFonts w:cstheme="minorHAnsi"/>
          <w:lang w:eastAsia="en-GB"/>
        </w:rPr>
        <w:t>rated</w:t>
      </w:r>
      <w:r w:rsidR="000E67F4" w:rsidRPr="001005B7">
        <w:rPr>
          <w:rFonts w:cstheme="minorHAnsi"/>
          <w:lang w:eastAsia="en-GB"/>
        </w:rPr>
        <w:t xml:space="preserve"> in the vision account</w:t>
      </w:r>
      <w:r w:rsidR="00340BE4" w:rsidRPr="001005B7">
        <w:rPr>
          <w:rFonts w:cstheme="minorHAnsi"/>
          <w:lang w:eastAsia="en-GB"/>
        </w:rPr>
        <w:t>,</w:t>
      </w:r>
      <w:r w:rsidR="00BC4CA2" w:rsidRPr="001005B7">
        <w:rPr>
          <w:rFonts w:cstheme="minorHAnsi"/>
          <w:lang w:eastAsia="en-GB"/>
        </w:rPr>
        <w:t xml:space="preserve"> </w:t>
      </w:r>
      <w:r w:rsidR="00C61EC8" w:rsidRPr="001005B7">
        <w:rPr>
          <w:rFonts w:cstheme="minorHAnsi"/>
          <w:lang w:eastAsia="en-GB"/>
        </w:rPr>
        <w:t>“</w:t>
      </w:r>
      <w:r w:rsidR="00340BE4" w:rsidRPr="001005B7">
        <w:rPr>
          <w:rFonts w:cstheme="minorHAnsi"/>
          <w:lang w:eastAsia="en-GB"/>
        </w:rPr>
        <w:t>h</w:t>
      </w:r>
      <w:r w:rsidR="00B07E71" w:rsidRPr="001005B7">
        <w:rPr>
          <w:rFonts w:cstheme="minorHAnsi"/>
          <w:lang w:eastAsia="en-GB"/>
        </w:rPr>
        <w:t>e</w:t>
      </w:r>
      <w:r w:rsidR="00B07E71" w:rsidRPr="001005B7">
        <w:rPr>
          <w:rFonts w:cstheme="minorHAnsi"/>
          <w:i/>
          <w:iCs/>
          <w:lang w:eastAsia="en-GB"/>
        </w:rPr>
        <w:t xml:space="preserve"> </w:t>
      </w:r>
      <w:r w:rsidR="00B07E71" w:rsidRPr="001005B7">
        <w:rPr>
          <w:rFonts w:cstheme="minorHAnsi"/>
          <w:lang w:eastAsia="en-GB"/>
        </w:rPr>
        <w:t>said</w:t>
      </w:r>
      <w:r w:rsidR="00B07E71" w:rsidRPr="001005B7">
        <w:rPr>
          <w:rFonts w:cstheme="minorHAnsi"/>
          <w:i/>
          <w:iCs/>
          <w:lang w:eastAsia="en-GB"/>
        </w:rPr>
        <w:t xml:space="preserve"> </w:t>
      </w:r>
      <w:r w:rsidR="00B07E71" w:rsidRPr="001005B7">
        <w:rPr>
          <w:rFonts w:cstheme="minorHAnsi"/>
          <w:lang w:eastAsia="en-GB"/>
        </w:rPr>
        <w:t>to</w:t>
      </w:r>
      <w:r w:rsidR="00B07E71" w:rsidRPr="001005B7">
        <w:rPr>
          <w:rFonts w:cstheme="minorHAnsi"/>
          <w:i/>
          <w:iCs/>
          <w:lang w:eastAsia="en-GB"/>
        </w:rPr>
        <w:t xml:space="preserve"> </w:t>
      </w:r>
      <w:r w:rsidR="00B07E71" w:rsidRPr="001005B7">
        <w:rPr>
          <w:rFonts w:cstheme="minorHAnsi"/>
          <w:lang w:eastAsia="en-GB"/>
        </w:rPr>
        <w:t>me</w:t>
      </w:r>
      <w:r w:rsidR="00C61EC8" w:rsidRPr="001005B7">
        <w:rPr>
          <w:rFonts w:cstheme="minorHAnsi"/>
          <w:lang w:eastAsia="en-GB"/>
        </w:rPr>
        <w:t>”</w:t>
      </w:r>
      <w:r w:rsidR="00B07E71" w:rsidRPr="001005B7">
        <w:rPr>
          <w:rFonts w:cstheme="minorHAnsi"/>
          <w:i/>
          <w:iCs/>
          <w:lang w:eastAsia="en-GB"/>
        </w:rPr>
        <w:t xml:space="preserve"> </w:t>
      </w:r>
      <w:r w:rsidR="00C61EC8" w:rsidRPr="001005B7">
        <w:rPr>
          <w:rFonts w:cstheme="minorHAnsi"/>
          <w:lang w:eastAsia="en-GB"/>
        </w:rPr>
        <w:t xml:space="preserve">now </w:t>
      </w:r>
      <w:r w:rsidR="00B07E71" w:rsidRPr="001005B7">
        <w:rPr>
          <w:rFonts w:cstheme="minorHAnsi"/>
          <w:lang w:eastAsia="en-GB"/>
        </w:rPr>
        <w:t>reverberates</w:t>
      </w:r>
      <w:r w:rsidR="00787033" w:rsidRPr="001005B7">
        <w:rPr>
          <w:rFonts w:cstheme="minorHAnsi"/>
          <w:lang w:eastAsia="en-GB"/>
        </w:rPr>
        <w:t xml:space="preserve"> (Allen</w:t>
      </w:r>
      <w:r w:rsidR="00656A1E" w:rsidRPr="001005B7">
        <w:rPr>
          <w:rFonts w:cstheme="minorHAnsi"/>
          <w:lang w:eastAsia="en-GB"/>
        </w:rPr>
        <w:t>,</w:t>
      </w:r>
      <w:r w:rsidR="00787033" w:rsidRPr="001005B7">
        <w:rPr>
          <w:rFonts w:cstheme="minorHAnsi"/>
          <w:lang w:eastAsia="en-GB"/>
        </w:rPr>
        <w:t xml:space="preserve"> 1:16</w:t>
      </w:r>
      <w:r w:rsidR="000A402D" w:rsidRPr="001005B7">
        <w:rPr>
          <w:rFonts w:cstheme="minorHAnsi"/>
          <w:lang w:eastAsia="en-GB"/>
        </w:rPr>
        <w:t>). A</w:t>
      </w:r>
      <w:r w:rsidR="000800AA" w:rsidRPr="001005B7">
        <w:rPr>
          <w:rFonts w:cstheme="minorHAnsi"/>
          <w:lang w:eastAsia="en-GB"/>
        </w:rPr>
        <w:t>fter t</w:t>
      </w:r>
      <w:r w:rsidR="00BC76B5" w:rsidRPr="001005B7">
        <w:rPr>
          <w:rFonts w:cstheme="minorHAnsi"/>
          <w:lang w:eastAsia="en-GB"/>
        </w:rPr>
        <w:t xml:space="preserve">he first and last </w:t>
      </w:r>
      <w:r w:rsidR="00FA4121" w:rsidRPr="001005B7">
        <w:rPr>
          <w:rFonts w:cstheme="minorHAnsi"/>
          <w:lang w:eastAsia="en-GB"/>
        </w:rPr>
        <w:t xml:space="preserve">of the </w:t>
      </w:r>
      <w:r w:rsidR="000800AA" w:rsidRPr="001005B7">
        <w:rPr>
          <w:rFonts w:cstheme="minorHAnsi"/>
          <w:lang w:eastAsia="en-GB"/>
        </w:rPr>
        <w:t>bidding</w:t>
      </w:r>
      <w:r w:rsidR="00FA4121" w:rsidRPr="001005B7">
        <w:rPr>
          <w:rFonts w:cstheme="minorHAnsi"/>
          <w:lang w:eastAsia="en-GB"/>
        </w:rPr>
        <w:t>s</w:t>
      </w:r>
      <w:r w:rsidR="00990CA6" w:rsidRPr="001005B7">
        <w:rPr>
          <w:rFonts w:cstheme="minorHAnsi"/>
          <w:lang w:eastAsia="en-GB"/>
        </w:rPr>
        <w:t xml:space="preserve"> </w:t>
      </w:r>
      <w:r w:rsidR="00D14D8E" w:rsidRPr="001005B7">
        <w:rPr>
          <w:rFonts w:cstheme="minorHAnsi"/>
          <w:lang w:eastAsia="en-GB"/>
        </w:rPr>
        <w:t>(</w:t>
      </w:r>
      <w:r w:rsidR="00990CA6" w:rsidRPr="001005B7">
        <w:rPr>
          <w:rFonts w:cstheme="minorHAnsi"/>
          <w:lang w:eastAsia="en-GB"/>
        </w:rPr>
        <w:t>2:</w:t>
      </w:r>
      <w:r w:rsidR="00215B32" w:rsidRPr="001005B7">
        <w:rPr>
          <w:rFonts w:cstheme="minorHAnsi"/>
          <w:lang w:eastAsia="en-GB"/>
        </w:rPr>
        <w:t>1 and 3:11</w:t>
      </w:r>
      <w:r w:rsidR="00D14D8E" w:rsidRPr="001005B7">
        <w:rPr>
          <w:rFonts w:cstheme="minorHAnsi"/>
          <w:lang w:eastAsia="en-GB"/>
        </w:rPr>
        <w:t>)</w:t>
      </w:r>
      <w:r w:rsidR="000800AA" w:rsidRPr="001005B7">
        <w:rPr>
          <w:rFonts w:cstheme="minorHAnsi"/>
          <w:lang w:eastAsia="en-GB"/>
        </w:rPr>
        <w:t xml:space="preserve">, a spirit takes </w:t>
      </w:r>
      <w:r w:rsidR="00AF5C35" w:rsidRPr="001005B7">
        <w:rPr>
          <w:rFonts w:cstheme="minorHAnsi"/>
          <w:lang w:eastAsia="en-GB"/>
        </w:rPr>
        <w:t xml:space="preserve">some action </w:t>
      </w:r>
      <w:r w:rsidR="003B465A" w:rsidRPr="001005B7">
        <w:rPr>
          <w:rFonts w:cstheme="minorHAnsi"/>
          <w:lang w:eastAsia="en-GB"/>
        </w:rPr>
        <w:t xml:space="preserve">to </w:t>
      </w:r>
      <w:r w:rsidR="0082604F" w:rsidRPr="001005B7">
        <w:rPr>
          <w:rFonts w:cstheme="minorHAnsi"/>
          <w:lang w:eastAsia="en-GB"/>
        </w:rPr>
        <w:t>implement Yahweh</w:t>
      </w:r>
      <w:r w:rsidR="007C10E9" w:rsidRPr="001005B7">
        <w:rPr>
          <w:rFonts w:cstheme="minorHAnsi"/>
          <w:lang w:eastAsia="en-GB"/>
        </w:rPr>
        <w:t>’s charge</w:t>
      </w:r>
      <w:r w:rsidR="00012E7D" w:rsidRPr="001005B7">
        <w:rPr>
          <w:rFonts w:cstheme="minorHAnsi"/>
          <w:lang w:eastAsia="en-GB"/>
        </w:rPr>
        <w:t xml:space="preserve"> (</w:t>
      </w:r>
      <w:r w:rsidR="00301270" w:rsidRPr="001005B7">
        <w:rPr>
          <w:rFonts w:cstheme="minorHAnsi"/>
          <w:lang w:eastAsia="en-GB"/>
        </w:rPr>
        <w:t>2:2</w:t>
      </w:r>
      <w:r w:rsidR="007C10E9" w:rsidRPr="001005B7">
        <w:rPr>
          <w:rFonts w:cstheme="minorHAnsi"/>
          <w:lang w:eastAsia="en-GB"/>
        </w:rPr>
        <w:t xml:space="preserve">; </w:t>
      </w:r>
      <w:r w:rsidR="00012E7D" w:rsidRPr="001005B7">
        <w:rPr>
          <w:rFonts w:cstheme="minorHAnsi"/>
          <w:lang w:eastAsia="en-GB"/>
        </w:rPr>
        <w:t>3:12)</w:t>
      </w:r>
      <w:r w:rsidR="005E6E38" w:rsidRPr="001005B7">
        <w:rPr>
          <w:rFonts w:cstheme="minorHAnsi"/>
          <w:lang w:eastAsia="en-GB"/>
        </w:rPr>
        <w:t xml:space="preserve">, </w:t>
      </w:r>
      <w:r w:rsidR="00A30B89" w:rsidRPr="001005B7">
        <w:rPr>
          <w:rFonts w:cstheme="minorHAnsi"/>
          <w:lang w:eastAsia="en-GB"/>
        </w:rPr>
        <w:t>while</w:t>
      </w:r>
      <w:r w:rsidR="00AF5C35" w:rsidRPr="001005B7">
        <w:rPr>
          <w:rFonts w:cstheme="minorHAnsi"/>
          <w:lang w:eastAsia="en-GB"/>
        </w:rPr>
        <w:t xml:space="preserve"> the middle </w:t>
      </w:r>
      <w:r w:rsidR="00414F3D" w:rsidRPr="001005B7">
        <w:rPr>
          <w:rFonts w:cstheme="minorHAnsi"/>
          <w:lang w:eastAsia="en-GB"/>
        </w:rPr>
        <w:t>of the</w:t>
      </w:r>
      <w:r w:rsidR="00012E7D" w:rsidRPr="001005B7">
        <w:rPr>
          <w:rFonts w:cstheme="minorHAnsi"/>
          <w:lang w:eastAsia="en-GB"/>
        </w:rPr>
        <w:t xml:space="preserve"> biddings</w:t>
      </w:r>
      <w:r w:rsidR="00AF5C35" w:rsidRPr="001005B7">
        <w:rPr>
          <w:rFonts w:cstheme="minorHAnsi"/>
          <w:lang w:eastAsia="en-GB"/>
        </w:rPr>
        <w:t xml:space="preserve"> </w:t>
      </w:r>
      <w:r w:rsidR="00E3790A" w:rsidRPr="001005B7">
        <w:rPr>
          <w:rFonts w:cstheme="minorHAnsi"/>
          <w:lang w:eastAsia="en-GB"/>
        </w:rPr>
        <w:t>(2:8</w:t>
      </w:r>
      <w:r w:rsidR="00F46900" w:rsidRPr="001005B7">
        <w:rPr>
          <w:rFonts w:cstheme="minorHAnsi"/>
          <w:lang w:eastAsia="en-GB"/>
        </w:rPr>
        <w:t>–</w:t>
      </w:r>
      <w:r w:rsidR="00E3790A" w:rsidRPr="001005B7">
        <w:rPr>
          <w:rFonts w:cstheme="minorHAnsi"/>
          <w:lang w:eastAsia="en-GB"/>
        </w:rPr>
        <w:t xml:space="preserve">10) </w:t>
      </w:r>
      <w:r w:rsidR="00043B06" w:rsidRPr="001005B7">
        <w:rPr>
          <w:rFonts w:cstheme="minorHAnsi"/>
          <w:lang w:eastAsia="en-GB"/>
        </w:rPr>
        <w:t>leads into</w:t>
      </w:r>
      <w:r w:rsidR="00AF5C35" w:rsidRPr="001005B7">
        <w:rPr>
          <w:rFonts w:cstheme="minorHAnsi"/>
          <w:lang w:eastAsia="en-GB"/>
        </w:rPr>
        <w:t xml:space="preserve"> some action by Yahweh</w:t>
      </w:r>
      <w:r w:rsidR="0082604F" w:rsidRPr="001005B7">
        <w:rPr>
          <w:rFonts w:cstheme="minorHAnsi"/>
          <w:lang w:eastAsia="en-GB"/>
        </w:rPr>
        <w:t xml:space="preserve"> </w:t>
      </w:r>
      <w:r w:rsidR="00012E7D" w:rsidRPr="001005B7">
        <w:rPr>
          <w:rFonts w:cstheme="minorHAnsi"/>
          <w:lang w:eastAsia="en-GB"/>
        </w:rPr>
        <w:t>(3:</w:t>
      </w:r>
      <w:r w:rsidR="000F6B23" w:rsidRPr="001005B7">
        <w:rPr>
          <w:rFonts w:cstheme="minorHAnsi"/>
          <w:lang w:eastAsia="en-GB"/>
        </w:rPr>
        <w:t>1</w:t>
      </w:r>
      <w:r w:rsidR="00F46900" w:rsidRPr="001005B7">
        <w:rPr>
          <w:rFonts w:cstheme="minorHAnsi"/>
          <w:lang w:eastAsia="en-GB"/>
        </w:rPr>
        <w:t>–</w:t>
      </w:r>
      <w:r w:rsidR="000F6B23" w:rsidRPr="001005B7">
        <w:rPr>
          <w:rFonts w:cstheme="minorHAnsi"/>
          <w:lang w:eastAsia="en-GB"/>
        </w:rPr>
        <w:t xml:space="preserve">3) </w:t>
      </w:r>
      <w:r w:rsidR="005E6E38" w:rsidRPr="001005B7">
        <w:rPr>
          <w:rFonts w:cstheme="minorHAnsi"/>
          <w:lang w:eastAsia="en-GB"/>
        </w:rPr>
        <w:t xml:space="preserve">that is </w:t>
      </w:r>
      <w:r w:rsidR="0082604F" w:rsidRPr="001005B7">
        <w:rPr>
          <w:rFonts w:cstheme="minorHAnsi"/>
          <w:lang w:eastAsia="en-GB"/>
        </w:rPr>
        <w:t xml:space="preserve">also related to </w:t>
      </w:r>
      <w:r w:rsidR="00A95B87" w:rsidRPr="001005B7">
        <w:rPr>
          <w:rFonts w:cstheme="minorHAnsi"/>
          <w:lang w:eastAsia="en-GB"/>
        </w:rPr>
        <w:t xml:space="preserve">the exhortation </w:t>
      </w:r>
      <w:r w:rsidR="007B5FD4" w:rsidRPr="001005B7">
        <w:rPr>
          <w:rFonts w:cstheme="minorHAnsi"/>
          <w:lang w:eastAsia="en-GB"/>
        </w:rPr>
        <w:t xml:space="preserve">Yahweh has </w:t>
      </w:r>
      <w:r w:rsidR="00A95B87" w:rsidRPr="001005B7">
        <w:rPr>
          <w:rFonts w:cstheme="minorHAnsi"/>
          <w:lang w:eastAsia="en-GB"/>
        </w:rPr>
        <w:t>issued</w:t>
      </w:r>
      <w:r w:rsidR="00575768" w:rsidRPr="001005B7">
        <w:rPr>
          <w:rFonts w:cstheme="minorHAnsi"/>
          <w:lang w:eastAsia="en-GB"/>
        </w:rPr>
        <w:t>.</w:t>
      </w:r>
      <w:r w:rsidR="00840240" w:rsidRPr="001005B7">
        <w:rPr>
          <w:rFonts w:cstheme="minorHAnsi"/>
          <w:lang w:eastAsia="en-GB"/>
        </w:rPr>
        <w:t xml:space="preserve"> The</w:t>
      </w:r>
      <w:r w:rsidR="002A77C0" w:rsidRPr="001005B7">
        <w:rPr>
          <w:rFonts w:cstheme="minorHAnsi"/>
          <w:lang w:eastAsia="en-GB"/>
        </w:rPr>
        <w:t xml:space="preserve"> </w:t>
      </w:r>
      <w:r w:rsidR="00093B36" w:rsidRPr="001005B7">
        <w:rPr>
          <w:rFonts w:cstheme="minorHAnsi"/>
          <w:lang w:eastAsia="en-GB"/>
        </w:rPr>
        <w:t xml:space="preserve">section’s </w:t>
      </w:r>
      <w:r w:rsidR="002A77C0" w:rsidRPr="001005B7">
        <w:rPr>
          <w:rFonts w:cstheme="minorHAnsi"/>
          <w:lang w:eastAsia="en-GB"/>
        </w:rPr>
        <w:t xml:space="preserve">narrative framework </w:t>
      </w:r>
      <w:r w:rsidR="004E1A4B" w:rsidRPr="001005B7">
        <w:rPr>
          <w:rFonts w:cstheme="minorHAnsi"/>
          <w:lang w:eastAsia="en-GB"/>
        </w:rPr>
        <w:t xml:space="preserve">is </w:t>
      </w:r>
      <w:r w:rsidR="00840240" w:rsidRPr="001005B7">
        <w:rPr>
          <w:rFonts w:cstheme="minorHAnsi"/>
          <w:lang w:eastAsia="en-GB"/>
        </w:rPr>
        <w:t xml:space="preserve">thus </w:t>
      </w:r>
      <w:r w:rsidR="004E1A4B" w:rsidRPr="001005B7">
        <w:rPr>
          <w:rFonts w:cstheme="minorHAnsi"/>
          <w:lang w:eastAsia="en-GB"/>
        </w:rPr>
        <w:t xml:space="preserve">important to </w:t>
      </w:r>
      <w:r w:rsidR="00093B36" w:rsidRPr="001005B7">
        <w:rPr>
          <w:rFonts w:cstheme="minorHAnsi"/>
          <w:lang w:eastAsia="en-GB"/>
        </w:rPr>
        <w:t>it</w:t>
      </w:r>
      <w:r w:rsidR="00840240" w:rsidRPr="001005B7">
        <w:rPr>
          <w:rFonts w:cstheme="minorHAnsi"/>
          <w:lang w:eastAsia="en-GB"/>
        </w:rPr>
        <w:t>. But</w:t>
      </w:r>
      <w:r w:rsidR="00F13EC8" w:rsidRPr="001005B7">
        <w:rPr>
          <w:rFonts w:cstheme="minorHAnsi"/>
          <w:lang w:eastAsia="en-GB"/>
        </w:rPr>
        <w:t xml:space="preserve"> t</w:t>
      </w:r>
      <w:r w:rsidR="009C1EB9" w:rsidRPr="001005B7">
        <w:rPr>
          <w:rFonts w:cstheme="minorHAnsi"/>
          <w:lang w:eastAsia="en-GB"/>
        </w:rPr>
        <w:t xml:space="preserve">he </w:t>
      </w:r>
      <w:r w:rsidR="00B82289" w:rsidRPr="001005B7">
        <w:rPr>
          <w:rFonts w:cstheme="minorHAnsi"/>
          <w:lang w:eastAsia="en-GB"/>
        </w:rPr>
        <w:t xml:space="preserve">section </w:t>
      </w:r>
      <w:r w:rsidR="00F13EC8" w:rsidRPr="001005B7">
        <w:rPr>
          <w:rFonts w:cstheme="minorHAnsi"/>
          <w:lang w:eastAsia="en-GB"/>
        </w:rPr>
        <w:t xml:space="preserve">mostly </w:t>
      </w:r>
      <w:r w:rsidR="00B82289" w:rsidRPr="001005B7">
        <w:rPr>
          <w:rFonts w:cstheme="minorHAnsi"/>
          <w:lang w:eastAsia="en-GB"/>
        </w:rPr>
        <w:t>comprises</w:t>
      </w:r>
      <w:r w:rsidR="00840240" w:rsidRPr="001005B7">
        <w:rPr>
          <w:rFonts w:cstheme="minorHAnsi"/>
          <w:lang w:eastAsia="en-GB"/>
        </w:rPr>
        <w:t xml:space="preserve"> </w:t>
      </w:r>
      <w:r w:rsidR="00DD05F1" w:rsidRPr="001005B7">
        <w:rPr>
          <w:rFonts w:cstheme="minorHAnsi"/>
          <w:lang w:eastAsia="en-GB"/>
        </w:rPr>
        <w:t xml:space="preserve">words of </w:t>
      </w:r>
      <w:r w:rsidR="00840240" w:rsidRPr="001005B7">
        <w:rPr>
          <w:rFonts w:cstheme="minorHAnsi"/>
          <w:lang w:eastAsia="en-GB"/>
        </w:rPr>
        <w:t>Yahweh</w:t>
      </w:r>
      <w:r w:rsidR="00E2481B" w:rsidRPr="001005B7">
        <w:rPr>
          <w:rFonts w:cstheme="minorHAnsi"/>
          <w:lang w:eastAsia="en-GB"/>
        </w:rPr>
        <w:t xml:space="preserve"> that commission Ezekiel to </w:t>
      </w:r>
      <w:r w:rsidR="009E7F7D" w:rsidRPr="001005B7">
        <w:rPr>
          <w:rFonts w:cstheme="minorHAnsi"/>
          <w:lang w:eastAsia="en-GB"/>
        </w:rPr>
        <w:t>take Yahweh’s message to his people</w:t>
      </w:r>
      <w:r w:rsidR="00490AD0" w:rsidRPr="001005B7">
        <w:rPr>
          <w:rFonts w:cstheme="minorHAnsi"/>
          <w:lang w:eastAsia="en-GB"/>
        </w:rPr>
        <w:t xml:space="preserve">. </w:t>
      </w:r>
      <w:r w:rsidR="00D013DD" w:rsidRPr="001005B7">
        <w:rPr>
          <w:lang w:eastAsia="en-GB"/>
        </w:rPr>
        <w:t>The commission</w:t>
      </w:r>
      <w:r w:rsidR="00275E9D" w:rsidRPr="001005B7">
        <w:rPr>
          <w:lang w:eastAsia="en-GB"/>
        </w:rPr>
        <w:t xml:space="preserve"> makes explicit</w:t>
      </w:r>
      <w:r w:rsidR="00D013DD" w:rsidRPr="001005B7">
        <w:rPr>
          <w:lang w:eastAsia="en-GB"/>
        </w:rPr>
        <w:t xml:space="preserve"> and explains the threatening nature of the divine appearance in 1:4</w:t>
      </w:r>
      <w:r w:rsidR="00F46900" w:rsidRPr="001005B7">
        <w:rPr>
          <w:lang w:eastAsia="en-GB"/>
        </w:rPr>
        <w:t>–</w:t>
      </w:r>
      <w:r w:rsidR="00D013DD" w:rsidRPr="001005B7">
        <w:rPr>
          <w:lang w:eastAsia="en-GB"/>
        </w:rPr>
        <w:t>28b</w:t>
      </w:r>
      <w:r w:rsidR="00D013DD" w:rsidRPr="001005B7">
        <w:rPr>
          <w:rFonts w:cstheme="minorHAnsi"/>
          <w:lang w:eastAsia="en-GB"/>
        </w:rPr>
        <w:t>α</w:t>
      </w:r>
      <w:r w:rsidR="00D013DD" w:rsidRPr="001005B7">
        <w:rPr>
          <w:lang w:eastAsia="en-GB"/>
        </w:rPr>
        <w:t>, emphasi</w:t>
      </w:r>
      <w:r w:rsidR="00C66BCE" w:rsidRPr="001005B7">
        <w:rPr>
          <w:lang w:eastAsia="en-GB"/>
        </w:rPr>
        <w:t>zing</w:t>
      </w:r>
      <w:r w:rsidR="00D013DD" w:rsidRPr="001005B7">
        <w:rPr>
          <w:lang w:eastAsia="en-GB"/>
        </w:rPr>
        <w:t xml:space="preserve"> the community’s rebelliousness and </w:t>
      </w:r>
      <w:r w:rsidR="00C66BCE" w:rsidRPr="001005B7">
        <w:rPr>
          <w:lang w:eastAsia="en-GB"/>
        </w:rPr>
        <w:t>indicating</w:t>
      </w:r>
      <w:r w:rsidR="00D013DD" w:rsidRPr="001005B7">
        <w:rPr>
          <w:lang w:eastAsia="en-GB"/>
        </w:rPr>
        <w:t xml:space="preserve"> the ominous nature of the message Ezekiel is to deliver. </w:t>
      </w:r>
      <w:r w:rsidR="00206E68" w:rsidRPr="001005B7">
        <w:rPr>
          <w:rFonts w:cstheme="minorHAnsi"/>
          <w:lang w:eastAsia="en-GB"/>
        </w:rPr>
        <w:t>Yahweh’s words contain m</w:t>
      </w:r>
      <w:r w:rsidR="00385926" w:rsidRPr="001005B7">
        <w:rPr>
          <w:rFonts w:cstheme="minorHAnsi"/>
          <w:lang w:eastAsia="en-GB"/>
        </w:rPr>
        <w:t>uch</w:t>
      </w:r>
      <w:r w:rsidR="00206E68" w:rsidRPr="001005B7">
        <w:rPr>
          <w:rFonts w:cstheme="minorHAnsi"/>
          <w:lang w:eastAsia="en-GB"/>
        </w:rPr>
        <w:t xml:space="preserve"> repetition, though </w:t>
      </w:r>
      <w:r w:rsidR="00385926" w:rsidRPr="001005B7">
        <w:rPr>
          <w:rFonts w:cstheme="minorHAnsi"/>
          <w:lang w:eastAsia="en-GB"/>
        </w:rPr>
        <w:t>it is</w:t>
      </w:r>
      <w:r w:rsidR="00206E68" w:rsidRPr="001005B7">
        <w:rPr>
          <w:rFonts w:cstheme="minorHAnsi"/>
          <w:lang w:eastAsia="en-GB"/>
        </w:rPr>
        <w:t xml:space="preserve"> repetition with intensification, so that both the repetition and the intensification strengthen this dynamic </w:t>
      </w:r>
      <w:r w:rsidR="00526A3E" w:rsidRPr="001005B7">
        <w:rPr>
          <w:rFonts w:cstheme="minorHAnsi"/>
          <w:lang w:eastAsia="en-GB"/>
        </w:rPr>
        <w:t xml:space="preserve">of the exchange </w:t>
      </w:r>
      <w:r w:rsidR="00206E68" w:rsidRPr="001005B7">
        <w:rPr>
          <w:rFonts w:cstheme="minorHAnsi"/>
          <w:lang w:eastAsia="en-GB"/>
        </w:rPr>
        <w:t xml:space="preserve">with its stress on Yahweh’s speaking and Ezekiel’s compliance. </w:t>
      </w:r>
      <w:r w:rsidR="005671C9" w:rsidRPr="001005B7">
        <w:rPr>
          <w:lang w:eastAsia="en-GB"/>
        </w:rPr>
        <w:t>After the “obscurity” and “mysteries” of 1:</w:t>
      </w:r>
      <w:r w:rsidR="00C050E5" w:rsidRPr="001005B7">
        <w:rPr>
          <w:lang w:eastAsia="en-GB"/>
        </w:rPr>
        <w:t>4</w:t>
      </w:r>
      <w:r w:rsidR="00F46900" w:rsidRPr="001005B7">
        <w:rPr>
          <w:lang w:eastAsia="en-GB"/>
        </w:rPr>
        <w:t>–</w:t>
      </w:r>
      <w:r w:rsidR="00C050E5" w:rsidRPr="001005B7">
        <w:rPr>
          <w:lang w:eastAsia="en-GB"/>
        </w:rPr>
        <w:t>28b</w:t>
      </w:r>
      <w:r w:rsidR="00C050E5" w:rsidRPr="001005B7">
        <w:rPr>
          <w:rFonts w:cstheme="minorHAnsi"/>
          <w:lang w:eastAsia="en-GB"/>
        </w:rPr>
        <w:t>α</w:t>
      </w:r>
      <w:r w:rsidR="00634779" w:rsidRPr="001005B7">
        <w:rPr>
          <w:rFonts w:cstheme="minorHAnsi"/>
          <w:lang w:eastAsia="en-GB"/>
        </w:rPr>
        <w:t xml:space="preserve"> with its</w:t>
      </w:r>
      <w:r w:rsidR="008804CA" w:rsidRPr="001005B7">
        <w:rPr>
          <w:lang w:eastAsia="en-GB"/>
        </w:rPr>
        <w:t xml:space="preserve"> “</w:t>
      </w:r>
      <w:r w:rsidR="00634779" w:rsidRPr="001005B7">
        <w:rPr>
          <w:lang w:eastAsia="en-GB"/>
        </w:rPr>
        <w:t>ma</w:t>
      </w:r>
      <w:r w:rsidR="00E62053" w:rsidRPr="001005B7">
        <w:rPr>
          <w:lang w:eastAsia="en-GB"/>
        </w:rPr>
        <w:t>n</w:t>
      </w:r>
      <w:r w:rsidR="00634779" w:rsidRPr="001005B7">
        <w:rPr>
          <w:lang w:eastAsia="en-GB"/>
        </w:rPr>
        <w:t>y dark forests,</w:t>
      </w:r>
      <w:r w:rsidR="004A1AF0" w:rsidRPr="001005B7">
        <w:rPr>
          <w:lang w:eastAsia="en-GB"/>
        </w:rPr>
        <w:t>” we now</w:t>
      </w:r>
      <w:r w:rsidR="00630EE8" w:rsidRPr="001005B7">
        <w:rPr>
          <w:lang w:eastAsia="en-GB"/>
        </w:rPr>
        <w:t xml:space="preserve"> </w:t>
      </w:r>
      <w:r w:rsidR="004A1AF0" w:rsidRPr="001005B7">
        <w:rPr>
          <w:lang w:eastAsia="en-GB"/>
        </w:rPr>
        <w:t>“</w:t>
      </w:r>
      <w:r w:rsidR="00630EE8" w:rsidRPr="001005B7">
        <w:rPr>
          <w:lang w:eastAsia="en-GB"/>
        </w:rPr>
        <w:t xml:space="preserve">go out rejoicing to some </w:t>
      </w:r>
      <w:r w:rsidR="004A1AF0" w:rsidRPr="001005B7">
        <w:rPr>
          <w:lang w:eastAsia="en-GB"/>
        </w:rPr>
        <w:t>plains”</w:t>
      </w:r>
      <w:r w:rsidR="000A402D" w:rsidRPr="001005B7">
        <w:rPr>
          <w:lang w:eastAsia="en-GB"/>
        </w:rPr>
        <w:t xml:space="preserve"> (Gregory, 157)</w:t>
      </w:r>
      <w:r w:rsidR="0016322A" w:rsidRPr="001005B7">
        <w:rPr>
          <w:lang w:eastAsia="en-GB"/>
        </w:rPr>
        <w:t>, but</w:t>
      </w:r>
      <w:r w:rsidR="00E75E5D" w:rsidRPr="001005B7">
        <w:rPr>
          <w:lang w:eastAsia="en-GB"/>
        </w:rPr>
        <w:t xml:space="preserve"> </w:t>
      </w:r>
      <w:r w:rsidR="00C04367" w:rsidRPr="001005B7">
        <w:rPr>
          <w:lang w:eastAsia="en-GB"/>
        </w:rPr>
        <w:t>the section</w:t>
      </w:r>
      <w:r w:rsidR="00E75E5D" w:rsidRPr="001005B7">
        <w:rPr>
          <w:lang w:eastAsia="en-GB"/>
        </w:rPr>
        <w:t xml:space="preserve"> also raises questions that will </w:t>
      </w:r>
      <w:r w:rsidR="00EC5FE1" w:rsidRPr="001005B7">
        <w:rPr>
          <w:lang w:eastAsia="en-GB"/>
        </w:rPr>
        <w:t xml:space="preserve">find answers only later and over the first half of the entire scroll. What is the nature of </w:t>
      </w:r>
      <w:r w:rsidR="0016322A" w:rsidRPr="001005B7">
        <w:rPr>
          <w:lang w:eastAsia="en-GB"/>
        </w:rPr>
        <w:t>Isr</w:t>
      </w:r>
      <w:r w:rsidR="00602F74" w:rsidRPr="001005B7">
        <w:rPr>
          <w:lang w:eastAsia="en-GB"/>
        </w:rPr>
        <w:t>ael’s</w:t>
      </w:r>
      <w:r w:rsidR="00EC5FE1" w:rsidRPr="001005B7">
        <w:rPr>
          <w:lang w:eastAsia="en-GB"/>
        </w:rPr>
        <w:t xml:space="preserve"> rebelliousness</w:t>
      </w:r>
      <w:r w:rsidR="00620D63" w:rsidRPr="001005B7">
        <w:rPr>
          <w:lang w:eastAsia="en-GB"/>
        </w:rPr>
        <w:t>, now and over the generations?</w:t>
      </w:r>
      <w:r w:rsidR="00A73189" w:rsidRPr="001005B7">
        <w:rPr>
          <w:lang w:eastAsia="en-GB"/>
        </w:rPr>
        <w:t xml:space="preserve"> </w:t>
      </w:r>
      <w:r w:rsidR="0095724F" w:rsidRPr="001005B7">
        <w:rPr>
          <w:lang w:eastAsia="en-GB"/>
        </w:rPr>
        <w:t xml:space="preserve">Will </w:t>
      </w:r>
      <w:r w:rsidR="00F050ED" w:rsidRPr="001005B7">
        <w:rPr>
          <w:lang w:eastAsia="en-GB"/>
        </w:rPr>
        <w:t>people</w:t>
      </w:r>
      <w:r w:rsidR="0095724F" w:rsidRPr="001005B7">
        <w:rPr>
          <w:lang w:eastAsia="en-GB"/>
        </w:rPr>
        <w:t xml:space="preserve"> </w:t>
      </w:r>
      <w:r w:rsidR="00F050ED" w:rsidRPr="001005B7">
        <w:rPr>
          <w:lang w:eastAsia="en-GB"/>
        </w:rPr>
        <w:t>listen</w:t>
      </w:r>
      <w:r w:rsidR="0095724F" w:rsidRPr="001005B7">
        <w:rPr>
          <w:lang w:eastAsia="en-GB"/>
        </w:rPr>
        <w:t xml:space="preserve"> or refuse to </w:t>
      </w:r>
      <w:r w:rsidR="00F050ED" w:rsidRPr="001005B7">
        <w:rPr>
          <w:lang w:eastAsia="en-GB"/>
        </w:rPr>
        <w:t>listen</w:t>
      </w:r>
      <w:r w:rsidR="0095724F" w:rsidRPr="001005B7">
        <w:rPr>
          <w:lang w:eastAsia="en-GB"/>
        </w:rPr>
        <w:t>—or rather, how will they resist Ezekiel’s message, and ho</w:t>
      </w:r>
      <w:r w:rsidR="00A36449" w:rsidRPr="001005B7">
        <w:rPr>
          <w:lang w:eastAsia="en-GB"/>
        </w:rPr>
        <w:t>w</w:t>
      </w:r>
      <w:r w:rsidR="0095724F" w:rsidRPr="001005B7">
        <w:rPr>
          <w:lang w:eastAsia="en-GB"/>
        </w:rPr>
        <w:t xml:space="preserve"> will </w:t>
      </w:r>
      <w:r w:rsidR="00A36449" w:rsidRPr="001005B7">
        <w:rPr>
          <w:lang w:eastAsia="en-GB"/>
        </w:rPr>
        <w:t>h</w:t>
      </w:r>
      <w:r w:rsidR="0095724F" w:rsidRPr="001005B7">
        <w:rPr>
          <w:lang w:eastAsia="en-GB"/>
        </w:rPr>
        <w:t>e respond?</w:t>
      </w:r>
      <w:r w:rsidR="00A73189" w:rsidRPr="001005B7">
        <w:rPr>
          <w:lang w:eastAsia="en-GB"/>
        </w:rPr>
        <w:t xml:space="preserve"> </w:t>
      </w:r>
      <w:r w:rsidR="003D479B" w:rsidRPr="001005B7">
        <w:rPr>
          <w:lang w:eastAsia="en-GB"/>
        </w:rPr>
        <w:t>Why does he sit there for seven days (well, wouldn’t you?).</w:t>
      </w:r>
    </w:p>
    <w:p w14:paraId="237E25E1" w14:textId="3DDDEE7B" w:rsidR="00526A3E" w:rsidRPr="001005B7" w:rsidRDefault="00526A3E" w:rsidP="00D013DD">
      <w:pPr>
        <w:rPr>
          <w:lang w:eastAsia="en-GB"/>
        </w:rPr>
      </w:pPr>
      <w:r w:rsidRPr="001005B7">
        <w:rPr>
          <w:lang w:eastAsia="en-GB"/>
        </w:rPr>
        <w:t xml:space="preserve">The section </w:t>
      </w:r>
      <w:r w:rsidR="002223E6" w:rsidRPr="001005B7">
        <w:rPr>
          <w:lang w:eastAsia="en-GB"/>
        </w:rPr>
        <w:t>unfol</w:t>
      </w:r>
      <w:r w:rsidR="006816E0" w:rsidRPr="001005B7">
        <w:rPr>
          <w:lang w:eastAsia="en-GB"/>
        </w:rPr>
        <w:t>ds</w:t>
      </w:r>
      <w:r w:rsidRPr="001005B7">
        <w:rPr>
          <w:lang w:eastAsia="en-GB"/>
        </w:rPr>
        <w:t>:</w:t>
      </w:r>
    </w:p>
    <w:p w14:paraId="392D9729" w14:textId="77777777" w:rsidR="00AB7FD1" w:rsidRPr="001005B7" w:rsidRDefault="00AB7FD1" w:rsidP="0010167D">
      <w:pPr>
        <w:rPr>
          <w:rFonts w:cstheme="minorHAnsi"/>
          <w:lang w:eastAsia="en-GB"/>
        </w:rPr>
      </w:pPr>
    </w:p>
    <w:p w14:paraId="2C2B353C" w14:textId="634FAF0A" w:rsidR="00145510" w:rsidRPr="001005B7" w:rsidRDefault="008D27F4" w:rsidP="0010167D">
      <w:pPr>
        <w:rPr>
          <w:rFonts w:cstheme="minorHAnsi"/>
          <w:lang w:eastAsia="en-GB"/>
        </w:rPr>
      </w:pPr>
      <w:r w:rsidRPr="001005B7">
        <w:rPr>
          <w:rFonts w:cstheme="minorHAnsi"/>
          <w:lang w:eastAsia="en-GB"/>
        </w:rPr>
        <w:t>Ezekiel falls on his face</w:t>
      </w:r>
      <w:r w:rsidR="00E77D83" w:rsidRPr="001005B7">
        <w:rPr>
          <w:rFonts w:cstheme="minorHAnsi"/>
          <w:lang w:eastAsia="en-GB"/>
        </w:rPr>
        <w:t xml:space="preserve"> 1:28bβ</w:t>
      </w:r>
      <w:r w:rsidR="00E77D83" w:rsidRPr="001005B7">
        <w:rPr>
          <w:rFonts w:cstheme="minorHAnsi"/>
          <w:lang w:eastAsia="en-GB"/>
        </w:rPr>
        <w:tab/>
      </w:r>
    </w:p>
    <w:p w14:paraId="58D8ECDA" w14:textId="3B4CF801" w:rsidR="0032680E" w:rsidRPr="001005B7" w:rsidRDefault="00AB7FD1" w:rsidP="0010167D">
      <w:pPr>
        <w:rPr>
          <w:rFonts w:cstheme="minorHAnsi"/>
          <w:lang w:eastAsia="en-GB"/>
        </w:rPr>
      </w:pPr>
      <w:r w:rsidRPr="001005B7">
        <w:rPr>
          <w:rFonts w:cstheme="minorHAnsi"/>
          <w:lang w:eastAsia="en-GB"/>
        </w:rPr>
        <w:t xml:space="preserve">Yahweh bids </w:t>
      </w:r>
      <w:r w:rsidR="008D27F4" w:rsidRPr="001005B7">
        <w:rPr>
          <w:rFonts w:cstheme="minorHAnsi"/>
          <w:lang w:eastAsia="en-GB"/>
        </w:rPr>
        <w:t>him</w:t>
      </w:r>
      <w:r w:rsidR="0056092A" w:rsidRPr="001005B7">
        <w:rPr>
          <w:rFonts w:cstheme="minorHAnsi"/>
          <w:lang w:eastAsia="en-GB"/>
        </w:rPr>
        <w:t xml:space="preserve"> s</w:t>
      </w:r>
      <w:r w:rsidR="008A0193" w:rsidRPr="001005B7">
        <w:rPr>
          <w:rFonts w:cstheme="minorHAnsi"/>
          <w:lang w:eastAsia="en-GB"/>
        </w:rPr>
        <w:t>tand</w:t>
      </w:r>
      <w:r w:rsidR="00E77D83" w:rsidRPr="001005B7">
        <w:rPr>
          <w:rFonts w:cstheme="minorHAnsi"/>
          <w:lang w:eastAsia="en-GB"/>
        </w:rPr>
        <w:t xml:space="preserve"> (2:1)</w:t>
      </w:r>
    </w:p>
    <w:p w14:paraId="7837FC68" w14:textId="0AB5D569" w:rsidR="00AB7FD1" w:rsidRPr="001005B7" w:rsidRDefault="0032680E" w:rsidP="0010167D">
      <w:pPr>
        <w:rPr>
          <w:rFonts w:cstheme="minorHAnsi"/>
          <w:lang w:eastAsia="en-GB"/>
        </w:rPr>
      </w:pPr>
      <w:r w:rsidRPr="001005B7">
        <w:rPr>
          <w:rFonts w:cstheme="minorHAnsi"/>
          <w:lang w:eastAsia="en-GB"/>
        </w:rPr>
        <w:t>A</w:t>
      </w:r>
      <w:r w:rsidR="0056092A" w:rsidRPr="001005B7">
        <w:rPr>
          <w:rFonts w:cstheme="minorHAnsi"/>
          <w:lang w:eastAsia="en-GB"/>
        </w:rPr>
        <w:t xml:space="preserve"> spirit </w:t>
      </w:r>
      <w:r w:rsidR="0053104F" w:rsidRPr="001005B7">
        <w:rPr>
          <w:rFonts w:cstheme="minorHAnsi"/>
          <w:lang w:eastAsia="en-GB"/>
        </w:rPr>
        <w:t>raises Ezekiel</w:t>
      </w:r>
      <w:r w:rsidR="00E77D83" w:rsidRPr="001005B7">
        <w:rPr>
          <w:rFonts w:cstheme="minorHAnsi"/>
          <w:lang w:eastAsia="en-GB"/>
        </w:rPr>
        <w:t xml:space="preserve"> (2:2)</w:t>
      </w:r>
    </w:p>
    <w:p w14:paraId="22A863B2" w14:textId="6797E41A" w:rsidR="0053104F" w:rsidRPr="001005B7" w:rsidRDefault="00B146D4" w:rsidP="0010167D">
      <w:pPr>
        <w:rPr>
          <w:rFonts w:cstheme="minorHAnsi"/>
          <w:lang w:eastAsia="en-GB"/>
        </w:rPr>
      </w:pPr>
      <w:r w:rsidRPr="001005B7">
        <w:rPr>
          <w:rFonts w:cstheme="minorHAnsi"/>
          <w:lang w:eastAsia="en-GB"/>
        </w:rPr>
        <w:tab/>
      </w:r>
      <w:r w:rsidR="00441591" w:rsidRPr="001005B7">
        <w:rPr>
          <w:rFonts w:cstheme="minorHAnsi"/>
          <w:lang w:eastAsia="en-GB"/>
        </w:rPr>
        <w:t>Yahweh tells Ezekiel he is commissioning him</w:t>
      </w:r>
      <w:r w:rsidR="00E77D83" w:rsidRPr="001005B7">
        <w:rPr>
          <w:rFonts w:cstheme="minorHAnsi"/>
          <w:lang w:eastAsia="en-GB"/>
        </w:rPr>
        <w:t xml:space="preserve"> (2:3</w:t>
      </w:r>
      <w:r w:rsidR="00F46900" w:rsidRPr="001005B7">
        <w:rPr>
          <w:rFonts w:cstheme="minorHAnsi"/>
          <w:lang w:eastAsia="en-GB"/>
        </w:rPr>
        <w:t>–</w:t>
      </w:r>
      <w:r w:rsidR="00E77D83" w:rsidRPr="001005B7">
        <w:rPr>
          <w:rFonts w:cstheme="minorHAnsi"/>
          <w:lang w:eastAsia="en-GB"/>
        </w:rPr>
        <w:t>5)</w:t>
      </w:r>
    </w:p>
    <w:p w14:paraId="7B036B12" w14:textId="065038D4" w:rsidR="00441591" w:rsidRPr="001005B7" w:rsidRDefault="00B146D4" w:rsidP="0010167D">
      <w:pPr>
        <w:rPr>
          <w:rFonts w:cstheme="minorHAnsi"/>
          <w:lang w:eastAsia="en-GB"/>
        </w:rPr>
      </w:pPr>
      <w:r w:rsidRPr="001005B7">
        <w:rPr>
          <w:rFonts w:cstheme="minorHAnsi"/>
          <w:lang w:eastAsia="en-GB"/>
        </w:rPr>
        <w:tab/>
      </w:r>
      <w:r w:rsidR="002B60DC" w:rsidRPr="001005B7">
        <w:rPr>
          <w:rFonts w:cstheme="minorHAnsi"/>
          <w:lang w:eastAsia="en-GB"/>
        </w:rPr>
        <w:t>Yahweh bids Ezekiel not to be afraid</w:t>
      </w:r>
      <w:r w:rsidR="00E77D83" w:rsidRPr="001005B7">
        <w:rPr>
          <w:rFonts w:cstheme="minorHAnsi"/>
          <w:lang w:eastAsia="en-GB"/>
        </w:rPr>
        <w:t xml:space="preserve"> (2:6</w:t>
      </w:r>
      <w:r w:rsidR="00F46900" w:rsidRPr="001005B7">
        <w:rPr>
          <w:rFonts w:cstheme="minorHAnsi"/>
          <w:lang w:eastAsia="en-GB"/>
        </w:rPr>
        <w:t>–</w:t>
      </w:r>
      <w:r w:rsidR="00E77D83" w:rsidRPr="001005B7">
        <w:rPr>
          <w:rFonts w:cstheme="minorHAnsi"/>
          <w:lang w:eastAsia="en-GB"/>
        </w:rPr>
        <w:t>7)</w:t>
      </w:r>
    </w:p>
    <w:p w14:paraId="0ADB4B4D" w14:textId="4BCA25E5" w:rsidR="00435DFE" w:rsidRPr="001005B7" w:rsidRDefault="00447252" w:rsidP="0010167D">
      <w:pPr>
        <w:rPr>
          <w:rFonts w:cstheme="minorHAnsi"/>
          <w:lang w:eastAsia="en-GB"/>
        </w:rPr>
      </w:pPr>
      <w:r w:rsidRPr="001005B7">
        <w:rPr>
          <w:rFonts w:cstheme="minorHAnsi"/>
          <w:lang w:eastAsia="en-GB"/>
        </w:rPr>
        <w:tab/>
      </w:r>
      <w:r w:rsidR="00B146D4" w:rsidRPr="001005B7">
        <w:rPr>
          <w:rFonts w:cstheme="minorHAnsi"/>
          <w:lang w:eastAsia="en-GB"/>
        </w:rPr>
        <w:tab/>
      </w:r>
      <w:r w:rsidR="004D70EA" w:rsidRPr="001005B7">
        <w:rPr>
          <w:rFonts w:cstheme="minorHAnsi"/>
          <w:lang w:eastAsia="en-GB"/>
        </w:rPr>
        <w:t>Yahweh bids Ezekiel eat a scroll</w:t>
      </w:r>
      <w:r w:rsidR="00F2307F" w:rsidRPr="001005B7">
        <w:rPr>
          <w:rFonts w:cstheme="minorHAnsi"/>
          <w:lang w:eastAsia="en-GB"/>
        </w:rPr>
        <w:t xml:space="preserve"> and </w:t>
      </w:r>
      <w:r w:rsidR="00224EF9" w:rsidRPr="001005B7">
        <w:rPr>
          <w:rFonts w:cstheme="minorHAnsi"/>
          <w:lang w:eastAsia="en-GB"/>
        </w:rPr>
        <w:t xml:space="preserve">opens it </w:t>
      </w:r>
      <w:r w:rsidR="000B2098" w:rsidRPr="001005B7">
        <w:rPr>
          <w:rFonts w:cstheme="minorHAnsi"/>
          <w:lang w:eastAsia="en-GB"/>
        </w:rPr>
        <w:t>in front of</w:t>
      </w:r>
      <w:r w:rsidR="00224EF9" w:rsidRPr="001005B7">
        <w:rPr>
          <w:rFonts w:cstheme="minorHAnsi"/>
          <w:lang w:eastAsia="en-GB"/>
        </w:rPr>
        <w:t xml:space="preserve"> him</w:t>
      </w:r>
      <w:r w:rsidR="00E77D83" w:rsidRPr="001005B7">
        <w:rPr>
          <w:rFonts w:cstheme="minorHAnsi"/>
          <w:lang w:eastAsia="en-GB"/>
        </w:rPr>
        <w:t xml:space="preserve"> (2:8</w:t>
      </w:r>
      <w:r w:rsidR="00F46900" w:rsidRPr="001005B7">
        <w:rPr>
          <w:rFonts w:cstheme="minorHAnsi"/>
          <w:lang w:eastAsia="en-GB"/>
        </w:rPr>
        <w:t>–</w:t>
      </w:r>
      <w:r w:rsidR="00E77D83" w:rsidRPr="001005B7">
        <w:rPr>
          <w:rFonts w:cstheme="minorHAnsi"/>
          <w:lang w:eastAsia="en-GB"/>
        </w:rPr>
        <w:t>10)</w:t>
      </w:r>
    </w:p>
    <w:p w14:paraId="28EB5FC4" w14:textId="056FAA99" w:rsidR="004D70EA" w:rsidRPr="001005B7" w:rsidRDefault="00B146D4" w:rsidP="0010167D">
      <w:pPr>
        <w:rPr>
          <w:rFonts w:cstheme="minorHAnsi"/>
          <w:lang w:eastAsia="en-GB"/>
        </w:rPr>
      </w:pPr>
      <w:r w:rsidRPr="001005B7">
        <w:rPr>
          <w:rFonts w:cstheme="minorHAnsi"/>
          <w:lang w:eastAsia="en-GB"/>
        </w:rPr>
        <w:tab/>
      </w:r>
      <w:r w:rsidR="00224EF9" w:rsidRPr="001005B7">
        <w:rPr>
          <w:rFonts w:cstheme="minorHAnsi"/>
          <w:lang w:eastAsia="en-GB"/>
        </w:rPr>
        <w:t>Yahweh bids Ezekiel eat the scroll</w:t>
      </w:r>
      <w:r w:rsidR="00123523" w:rsidRPr="001005B7">
        <w:rPr>
          <w:rFonts w:cstheme="minorHAnsi"/>
          <w:lang w:eastAsia="en-GB"/>
        </w:rPr>
        <w:t>, which he does</w:t>
      </w:r>
      <w:r w:rsidR="00E77D83" w:rsidRPr="001005B7">
        <w:rPr>
          <w:rFonts w:cstheme="minorHAnsi"/>
          <w:lang w:eastAsia="en-GB"/>
        </w:rPr>
        <w:t xml:space="preserve"> (3:1</w:t>
      </w:r>
      <w:r w:rsidR="00F46900" w:rsidRPr="001005B7">
        <w:rPr>
          <w:rFonts w:cstheme="minorHAnsi"/>
          <w:lang w:eastAsia="en-GB"/>
        </w:rPr>
        <w:t>–</w:t>
      </w:r>
      <w:r w:rsidR="00E77D83" w:rsidRPr="001005B7">
        <w:rPr>
          <w:rFonts w:cstheme="minorHAnsi"/>
          <w:lang w:eastAsia="en-GB"/>
        </w:rPr>
        <w:t>3)</w:t>
      </w:r>
    </w:p>
    <w:p w14:paraId="6B76313E" w14:textId="4EA46AA2" w:rsidR="00435DFE" w:rsidRPr="001005B7" w:rsidRDefault="00B146D4" w:rsidP="00C11D31">
      <w:pPr>
        <w:ind w:right="-46"/>
        <w:rPr>
          <w:lang w:eastAsia="en-GB"/>
        </w:rPr>
      </w:pPr>
      <w:r w:rsidRPr="001005B7">
        <w:rPr>
          <w:lang w:eastAsia="en-GB"/>
        </w:rPr>
        <w:tab/>
      </w:r>
      <w:r w:rsidR="00372474" w:rsidRPr="001005B7">
        <w:rPr>
          <w:lang w:eastAsia="en-GB"/>
        </w:rPr>
        <w:t>Yahweh bids Ezekiel</w:t>
      </w:r>
      <w:r w:rsidR="000F08D9" w:rsidRPr="001005B7">
        <w:rPr>
          <w:lang w:eastAsia="en-GB"/>
        </w:rPr>
        <w:t xml:space="preserve"> go deliver the message and promises to strengthen him</w:t>
      </w:r>
      <w:r w:rsidR="00E77D83" w:rsidRPr="001005B7">
        <w:rPr>
          <w:lang w:eastAsia="en-GB"/>
        </w:rPr>
        <w:t xml:space="preserve"> (</w:t>
      </w:r>
      <w:r w:rsidR="00B25A53" w:rsidRPr="001005B7">
        <w:rPr>
          <w:lang w:eastAsia="en-GB"/>
        </w:rPr>
        <w:t>3:4</w:t>
      </w:r>
      <w:r w:rsidR="00F46900" w:rsidRPr="001005B7">
        <w:rPr>
          <w:lang w:eastAsia="en-GB"/>
        </w:rPr>
        <w:t>–</w:t>
      </w:r>
      <w:r w:rsidR="00B25A53" w:rsidRPr="001005B7">
        <w:rPr>
          <w:lang w:eastAsia="en-GB"/>
        </w:rPr>
        <w:t>9)</w:t>
      </w:r>
    </w:p>
    <w:p w14:paraId="37CC670C" w14:textId="34975120" w:rsidR="00E72719" w:rsidRPr="001005B7" w:rsidRDefault="00F67100" w:rsidP="0010167D">
      <w:pPr>
        <w:rPr>
          <w:lang w:eastAsia="en-GB"/>
        </w:rPr>
      </w:pPr>
      <w:r w:rsidRPr="001005B7">
        <w:rPr>
          <w:lang w:eastAsia="en-GB"/>
        </w:rPr>
        <w:t>Yahweh bids Ezekiel go</w:t>
      </w:r>
      <w:r w:rsidR="00B25A53" w:rsidRPr="001005B7">
        <w:rPr>
          <w:lang w:eastAsia="en-GB"/>
        </w:rPr>
        <w:t xml:space="preserve"> (3:10</w:t>
      </w:r>
      <w:r w:rsidR="00F46900" w:rsidRPr="001005B7">
        <w:rPr>
          <w:lang w:eastAsia="en-GB"/>
        </w:rPr>
        <w:t>–</w:t>
      </w:r>
      <w:r w:rsidR="00B25A53" w:rsidRPr="001005B7">
        <w:rPr>
          <w:lang w:eastAsia="en-GB"/>
        </w:rPr>
        <w:t>11)</w:t>
      </w:r>
    </w:p>
    <w:p w14:paraId="7EE92719" w14:textId="7DEC448E" w:rsidR="000F08D9" w:rsidRPr="001005B7" w:rsidRDefault="000510E2" w:rsidP="0010167D">
      <w:pPr>
        <w:rPr>
          <w:lang w:eastAsia="en-GB"/>
        </w:rPr>
      </w:pPr>
      <w:r w:rsidRPr="001005B7">
        <w:rPr>
          <w:lang w:eastAsia="en-GB"/>
        </w:rPr>
        <w:t>A</w:t>
      </w:r>
      <w:r w:rsidR="008A0193" w:rsidRPr="001005B7">
        <w:rPr>
          <w:lang w:eastAsia="en-GB"/>
        </w:rPr>
        <w:t xml:space="preserve"> </w:t>
      </w:r>
      <w:r w:rsidR="000E6DD8" w:rsidRPr="001005B7">
        <w:rPr>
          <w:lang w:eastAsia="en-GB"/>
        </w:rPr>
        <w:t>s</w:t>
      </w:r>
      <w:r w:rsidR="004C5AF6" w:rsidRPr="001005B7">
        <w:rPr>
          <w:lang w:eastAsia="en-GB"/>
        </w:rPr>
        <w:t xml:space="preserve">pirit lifts him up to take him to the </w:t>
      </w:r>
      <w:proofErr w:type="spellStart"/>
      <w:r w:rsidR="008D2B29" w:rsidRPr="001005B7">
        <w:rPr>
          <w:lang w:eastAsia="en-GB"/>
        </w:rPr>
        <w:t>Kebar</w:t>
      </w:r>
      <w:proofErr w:type="spellEnd"/>
      <w:r w:rsidR="001A5E0A" w:rsidRPr="001005B7">
        <w:rPr>
          <w:lang w:eastAsia="en-GB"/>
        </w:rPr>
        <w:t xml:space="preserve"> community</w:t>
      </w:r>
      <w:r w:rsidR="00B25A53" w:rsidRPr="001005B7">
        <w:rPr>
          <w:lang w:eastAsia="en-GB"/>
        </w:rPr>
        <w:t xml:space="preserve"> (3:12</w:t>
      </w:r>
      <w:r w:rsidR="00F46900" w:rsidRPr="001005B7">
        <w:rPr>
          <w:lang w:eastAsia="en-GB"/>
        </w:rPr>
        <w:t>–</w:t>
      </w:r>
      <w:r w:rsidR="00B25A53" w:rsidRPr="001005B7">
        <w:rPr>
          <w:lang w:eastAsia="en-GB"/>
        </w:rPr>
        <w:t>15)</w:t>
      </w:r>
    </w:p>
    <w:p w14:paraId="7F7977B4" w14:textId="77777777" w:rsidR="00C07CAC" w:rsidRPr="001005B7" w:rsidRDefault="00C07CAC" w:rsidP="0010167D">
      <w:pPr>
        <w:rPr>
          <w:lang w:eastAsia="en-GB"/>
        </w:rPr>
      </w:pPr>
    </w:p>
    <w:p w14:paraId="74C1526A" w14:textId="7EC31F4F" w:rsidR="00C07CAC" w:rsidRPr="001005B7" w:rsidRDefault="005C170E" w:rsidP="005C170E">
      <w:pPr>
        <w:ind w:firstLine="0"/>
        <w:rPr>
          <w:lang w:eastAsia="en-GB"/>
        </w:rPr>
      </w:pPr>
      <w:r w:rsidRPr="001005B7">
        <w:rPr>
          <w:lang w:eastAsia="en-GB"/>
        </w:rPr>
        <w:t>There is thus a linear aspect to the account and also a</w:t>
      </w:r>
      <w:r w:rsidR="006931EB" w:rsidRPr="001005B7">
        <w:rPr>
          <w:lang w:eastAsia="en-GB"/>
        </w:rPr>
        <w:t xml:space="preserve"> </w:t>
      </w:r>
      <w:r w:rsidR="0074036A" w:rsidRPr="001005B7">
        <w:rPr>
          <w:lang w:eastAsia="en-GB"/>
        </w:rPr>
        <w:t>palistrophic</w:t>
      </w:r>
      <w:r w:rsidR="006C560F">
        <w:rPr>
          <w:lang w:eastAsia="en-GB"/>
        </w:rPr>
        <w:t>*</w:t>
      </w:r>
      <w:r w:rsidR="002560EA" w:rsidRPr="001005B7">
        <w:rPr>
          <w:lang w:eastAsia="en-GB"/>
        </w:rPr>
        <w:t xml:space="preserve"> as</w:t>
      </w:r>
      <w:r w:rsidR="00E370A7" w:rsidRPr="001005B7">
        <w:rPr>
          <w:lang w:eastAsia="en-GB"/>
        </w:rPr>
        <w:t>pect</w:t>
      </w:r>
      <w:r w:rsidR="00025908" w:rsidRPr="001005B7">
        <w:rPr>
          <w:lang w:eastAsia="en-GB"/>
        </w:rPr>
        <w:t>, which</w:t>
      </w:r>
      <w:r w:rsidR="00E370A7" w:rsidRPr="001005B7">
        <w:rPr>
          <w:lang w:eastAsia="en-GB"/>
        </w:rPr>
        <w:t xml:space="preserve"> links with the repetition.</w:t>
      </w:r>
    </w:p>
    <w:p w14:paraId="2FE52A14" w14:textId="77777777" w:rsidR="009F7D0F" w:rsidRPr="001005B7" w:rsidRDefault="009F7D0F" w:rsidP="005C170E">
      <w:pPr>
        <w:ind w:firstLine="0"/>
        <w:rPr>
          <w:lang w:eastAsia="en-GB"/>
        </w:rPr>
      </w:pPr>
    </w:p>
    <w:p w14:paraId="0278FA22" w14:textId="329800F8" w:rsidR="00E5674E" w:rsidRPr="001005B7" w:rsidRDefault="0085097D" w:rsidP="0063548B">
      <w:pPr>
        <w:ind w:firstLine="0"/>
      </w:pPr>
      <w:r w:rsidRPr="001005B7">
        <w:t>In 2:1 Yahweh only bids Ezekiel stand</w:t>
      </w:r>
      <w:r w:rsidR="0093574F" w:rsidRPr="001005B7">
        <w:t xml:space="preserve"> to be addressed</w:t>
      </w:r>
      <w:r w:rsidR="00E5674E" w:rsidRPr="001005B7">
        <w:t>.</w:t>
      </w:r>
    </w:p>
    <w:p w14:paraId="7B3CD249" w14:textId="2AF39ECB" w:rsidR="009E2780" w:rsidRPr="001005B7" w:rsidRDefault="00E5674E" w:rsidP="0063548B">
      <w:pPr>
        <w:ind w:firstLine="0"/>
      </w:pPr>
      <w:r w:rsidRPr="001005B7">
        <w:t>In 2:2</w:t>
      </w:r>
      <w:r w:rsidR="0093574F" w:rsidRPr="001005B7">
        <w:t xml:space="preserve"> </w:t>
      </w:r>
      <w:r w:rsidR="007A369E" w:rsidRPr="001005B7">
        <w:t>a</w:t>
      </w:r>
      <w:r w:rsidR="0093574F" w:rsidRPr="001005B7">
        <w:t xml:space="preserve"> spirit simply lifts him up</w:t>
      </w:r>
      <w:r w:rsidR="00950011" w:rsidRPr="001005B7">
        <w:t>.</w:t>
      </w:r>
    </w:p>
    <w:p w14:paraId="31AB130F" w14:textId="17AFF12E" w:rsidR="0093574F" w:rsidRPr="001005B7" w:rsidRDefault="009E2780" w:rsidP="0063548B">
      <w:r w:rsidRPr="001005B7">
        <w:t>I</w:t>
      </w:r>
      <w:r w:rsidR="0093574F" w:rsidRPr="001005B7">
        <w:t>n 2:</w:t>
      </w:r>
      <w:r w:rsidR="001B2B62" w:rsidRPr="001005B7">
        <w:t>3</w:t>
      </w:r>
      <w:r w:rsidR="00F46900" w:rsidRPr="001005B7">
        <w:t>–</w:t>
      </w:r>
      <w:r w:rsidR="001B2B62" w:rsidRPr="001005B7">
        <w:t>5 Yahweh tells him</w:t>
      </w:r>
      <w:r w:rsidRPr="001005B7">
        <w:t xml:space="preserve"> he is sending him</w:t>
      </w:r>
      <w:r w:rsidR="00950011" w:rsidRPr="001005B7">
        <w:t xml:space="preserve"> and tells him of the people’s </w:t>
      </w:r>
      <w:r w:rsidR="00957BFB" w:rsidRPr="001005B7">
        <w:t>defiance</w:t>
      </w:r>
      <w:r w:rsidR="00950011" w:rsidRPr="001005B7">
        <w:t>.</w:t>
      </w:r>
      <w:r w:rsidR="001B2B62" w:rsidRPr="001005B7">
        <w:t xml:space="preserve"> </w:t>
      </w:r>
    </w:p>
    <w:p w14:paraId="09F483C8" w14:textId="2B400128" w:rsidR="00DD5E13" w:rsidRPr="001005B7" w:rsidRDefault="00950011" w:rsidP="0063548B">
      <w:pPr>
        <w:ind w:left="720" w:firstLine="0"/>
      </w:pPr>
      <w:r w:rsidRPr="001005B7">
        <w:t xml:space="preserve">In </w:t>
      </w:r>
      <w:r w:rsidR="003A381C" w:rsidRPr="001005B7">
        <w:t>2:6</w:t>
      </w:r>
      <w:r w:rsidR="00F46900" w:rsidRPr="001005B7">
        <w:t>–</w:t>
      </w:r>
      <w:r w:rsidR="003A381C" w:rsidRPr="001005B7">
        <w:t>7 Yahweh tells him not to be afraid</w:t>
      </w:r>
      <w:r w:rsidR="00DD5E13" w:rsidRPr="001005B7">
        <w:t xml:space="preserve"> and repeats the point about their rebelliousness.</w:t>
      </w:r>
    </w:p>
    <w:p w14:paraId="1201657C" w14:textId="3012E56E" w:rsidR="00B564F8" w:rsidRPr="001005B7" w:rsidRDefault="00DD5E13" w:rsidP="0063548B">
      <w:pPr>
        <w:ind w:left="1440" w:firstLine="0"/>
      </w:pPr>
      <w:r w:rsidRPr="001005B7">
        <w:t xml:space="preserve">In </w:t>
      </w:r>
      <w:r w:rsidR="006053E4" w:rsidRPr="001005B7">
        <w:t>2:8</w:t>
      </w:r>
      <w:r w:rsidR="00F46900" w:rsidRPr="001005B7">
        <w:t>–</w:t>
      </w:r>
      <w:r w:rsidR="00BE21A2" w:rsidRPr="001005B7">
        <w:t>10</w:t>
      </w:r>
      <w:r w:rsidR="006053E4" w:rsidRPr="001005B7">
        <w:t xml:space="preserve"> Yahweh bids him listen and not be rebellious like them</w:t>
      </w:r>
      <w:r w:rsidR="00B564F8" w:rsidRPr="001005B7">
        <w:t>, and in this connection introduces the scroll</w:t>
      </w:r>
      <w:r w:rsidR="00C54777" w:rsidRPr="001005B7">
        <w:t xml:space="preserve"> </w:t>
      </w:r>
      <w:r w:rsidR="004B1272" w:rsidRPr="001005B7">
        <w:t>with its gloomy contents.</w:t>
      </w:r>
    </w:p>
    <w:p w14:paraId="1FE225D8" w14:textId="59449B94" w:rsidR="00950011" w:rsidRPr="001005B7" w:rsidRDefault="00B564F8" w:rsidP="003D5DF3">
      <w:r w:rsidRPr="001005B7">
        <w:t xml:space="preserve">In </w:t>
      </w:r>
      <w:r w:rsidR="00BE21A2" w:rsidRPr="001005B7">
        <w:t>3:1</w:t>
      </w:r>
      <w:r w:rsidR="00F46900" w:rsidRPr="001005B7">
        <w:t>–</w:t>
      </w:r>
      <w:r w:rsidR="00BE21A2" w:rsidRPr="001005B7">
        <w:t>3 Yahweh</w:t>
      </w:r>
      <w:r w:rsidR="003A381C" w:rsidRPr="001005B7">
        <w:t xml:space="preserve"> </w:t>
      </w:r>
      <w:r w:rsidR="00B87EB5" w:rsidRPr="001005B7">
        <w:t>bids him eat the scroll</w:t>
      </w:r>
      <w:r w:rsidR="00AF2F97" w:rsidRPr="001005B7">
        <w:t xml:space="preserve"> and bids him go and speak</w:t>
      </w:r>
      <w:r w:rsidR="00563726" w:rsidRPr="001005B7">
        <w:t>.</w:t>
      </w:r>
    </w:p>
    <w:p w14:paraId="0FE78CF7" w14:textId="0EA12E0D" w:rsidR="00563726" w:rsidRPr="001005B7" w:rsidRDefault="00563726" w:rsidP="0063548B">
      <w:pPr>
        <w:ind w:left="720" w:firstLine="0"/>
      </w:pPr>
      <w:r w:rsidRPr="001005B7">
        <w:t>In 3:4</w:t>
      </w:r>
      <w:r w:rsidR="00F46900" w:rsidRPr="001005B7">
        <w:t>–</w:t>
      </w:r>
      <w:r w:rsidRPr="001005B7">
        <w:t>9</w:t>
      </w:r>
      <w:r w:rsidR="006F5408" w:rsidRPr="001005B7">
        <w:t xml:space="preserve"> in light o</w:t>
      </w:r>
      <w:r w:rsidR="00565184" w:rsidRPr="001005B7">
        <w:t>f</w:t>
      </w:r>
      <w:r w:rsidR="006F5408" w:rsidRPr="001005B7">
        <w:t xml:space="preserve"> the eating</w:t>
      </w:r>
      <w:r w:rsidR="001D32B6" w:rsidRPr="001005B7">
        <w:t xml:space="preserve"> Yahweh </w:t>
      </w:r>
      <w:r w:rsidR="00205B0D" w:rsidRPr="001005B7">
        <w:t xml:space="preserve">repeats the </w:t>
      </w:r>
      <w:r w:rsidR="00436C8F" w:rsidRPr="001005B7">
        <w:t>bid</w:t>
      </w:r>
      <w:r w:rsidR="00205B0D" w:rsidRPr="001005B7">
        <w:t>ding</w:t>
      </w:r>
      <w:r w:rsidR="00436C8F" w:rsidRPr="001005B7">
        <w:t xml:space="preserve"> </w:t>
      </w:r>
      <w:r w:rsidR="00205B0D" w:rsidRPr="001005B7">
        <w:t>to</w:t>
      </w:r>
      <w:r w:rsidR="00436C8F" w:rsidRPr="001005B7">
        <w:t xml:space="preserve"> go and speak</w:t>
      </w:r>
      <w:r w:rsidR="007B5E50" w:rsidRPr="001005B7">
        <w:t>,</w:t>
      </w:r>
      <w:r w:rsidR="008030C1" w:rsidRPr="001005B7">
        <w:t xml:space="preserve"> reformulates the points about the people’s rebelliousness</w:t>
      </w:r>
      <w:r w:rsidR="00176673" w:rsidRPr="001005B7">
        <w:t xml:space="preserve"> and about not being afraid</w:t>
      </w:r>
      <w:r w:rsidR="000E43C8" w:rsidRPr="001005B7">
        <w:t>,</w:t>
      </w:r>
      <w:r w:rsidR="009A2667" w:rsidRPr="001005B7">
        <w:t xml:space="preserve"> and offers reassurances about </w:t>
      </w:r>
      <w:r w:rsidR="00492D7D" w:rsidRPr="001005B7">
        <w:t>strengthening Ezekiel</w:t>
      </w:r>
      <w:r w:rsidR="00C61EC8" w:rsidRPr="001005B7">
        <w:t>. I</w:t>
      </w:r>
      <w:r w:rsidR="007B5E50" w:rsidRPr="001005B7">
        <w:t>t is Yahweh’s longest address</w:t>
      </w:r>
      <w:r w:rsidR="00492D7D" w:rsidRPr="001005B7">
        <w:t>.</w:t>
      </w:r>
    </w:p>
    <w:p w14:paraId="5960287E" w14:textId="6851B06C" w:rsidR="00492D7D" w:rsidRPr="001005B7" w:rsidRDefault="00492D7D" w:rsidP="0063548B">
      <w:pPr>
        <w:ind w:firstLine="0"/>
      </w:pPr>
      <w:r w:rsidRPr="001005B7">
        <w:t>In 3:</w:t>
      </w:r>
      <w:r w:rsidR="00785DA2" w:rsidRPr="001005B7">
        <w:t>10</w:t>
      </w:r>
      <w:r w:rsidR="00F46900" w:rsidRPr="001005B7">
        <w:t>–</w:t>
      </w:r>
      <w:r w:rsidR="00785DA2" w:rsidRPr="001005B7">
        <w:t xml:space="preserve">11 Yahweh </w:t>
      </w:r>
      <w:r w:rsidR="002D70A8" w:rsidRPr="001005B7">
        <w:t>summarizes the bidding to listen, go, and speak.</w:t>
      </w:r>
    </w:p>
    <w:p w14:paraId="5D3D0E3E" w14:textId="4FA56A4B" w:rsidR="00B45A18" w:rsidRPr="001005B7" w:rsidRDefault="00856272" w:rsidP="0063548B">
      <w:pPr>
        <w:ind w:firstLine="0"/>
      </w:pPr>
      <w:r w:rsidRPr="001005B7">
        <w:t>In 3:12</w:t>
      </w:r>
      <w:r w:rsidR="00F46900" w:rsidRPr="001005B7">
        <w:t>–</w:t>
      </w:r>
      <w:r w:rsidRPr="001005B7">
        <w:t xml:space="preserve">15 </w:t>
      </w:r>
      <w:r w:rsidR="009D4E88" w:rsidRPr="001005B7">
        <w:t>A</w:t>
      </w:r>
      <w:r w:rsidRPr="001005B7">
        <w:t xml:space="preserve"> spirit</w:t>
      </w:r>
      <w:r w:rsidR="00002794" w:rsidRPr="001005B7">
        <w:t xml:space="preserve"> lifts Ezekiel up</w:t>
      </w:r>
      <w:r w:rsidR="00875445" w:rsidRPr="001005B7">
        <w:t xml:space="preserve">, a noise echoes from </w:t>
      </w:r>
      <w:r w:rsidR="00DB1D35" w:rsidRPr="001005B7">
        <w:t xml:space="preserve">the </w:t>
      </w:r>
      <w:r w:rsidR="00875445" w:rsidRPr="001005B7">
        <w:t>vision</w:t>
      </w:r>
      <w:r w:rsidR="004D73DA" w:rsidRPr="001005B7">
        <w:t xml:space="preserve">, Yahweh’s hand comes on </w:t>
      </w:r>
      <w:r w:rsidR="008510BB" w:rsidRPr="001005B7">
        <w:t>Ezekiel</w:t>
      </w:r>
      <w:r w:rsidR="004D73DA" w:rsidRPr="001005B7">
        <w:t xml:space="preserve">, and he </w:t>
      </w:r>
      <w:r w:rsidR="009F7D0F" w:rsidRPr="001005B7">
        <w:t>comes to the community at Tel Abib.</w:t>
      </w:r>
      <w:r w:rsidR="00246ADD" w:rsidRPr="001005B7">
        <w:rPr>
          <w:rStyle w:val="FootnoteReference"/>
        </w:rPr>
        <w:footnoteReference w:id="117"/>
      </w:r>
    </w:p>
    <w:p w14:paraId="4371EEBD" w14:textId="77777777" w:rsidR="004B1272" w:rsidRPr="001005B7" w:rsidRDefault="004B1272" w:rsidP="004B1272">
      <w:pPr>
        <w:rPr>
          <w:lang w:eastAsia="en-GB"/>
        </w:rPr>
      </w:pPr>
    </w:p>
    <w:p w14:paraId="14CE1BDC" w14:textId="1E5FE32D" w:rsidR="004B4695" w:rsidRPr="001005B7" w:rsidRDefault="004B4695" w:rsidP="004B4695">
      <w:pPr>
        <w:rPr>
          <w:lang w:eastAsia="en-GB"/>
        </w:rPr>
      </w:pPr>
      <w:r w:rsidRPr="001005B7">
        <w:rPr>
          <w:rFonts w:cstheme="minorHAnsi"/>
          <w:lang w:eastAsia="en-GB"/>
        </w:rPr>
        <w:t>Th</w:t>
      </w:r>
      <w:r w:rsidR="00AA1A5D" w:rsidRPr="001005B7">
        <w:rPr>
          <w:rFonts w:cstheme="minorHAnsi"/>
          <w:lang w:eastAsia="en-GB"/>
        </w:rPr>
        <w:t>e</w:t>
      </w:r>
      <w:r w:rsidR="00591A04" w:rsidRPr="001005B7">
        <w:rPr>
          <w:rFonts w:cstheme="minorHAnsi"/>
          <w:lang w:eastAsia="en-GB"/>
        </w:rPr>
        <w:t xml:space="preserve"> commission involves </w:t>
      </w:r>
      <w:r w:rsidRPr="001005B7">
        <w:rPr>
          <w:rFonts w:cstheme="minorHAnsi"/>
          <w:lang w:eastAsia="en-GB"/>
        </w:rPr>
        <w:t>no dialogue</w:t>
      </w:r>
      <w:r w:rsidR="00591A04" w:rsidRPr="001005B7">
        <w:rPr>
          <w:rFonts w:cstheme="minorHAnsi"/>
          <w:lang w:eastAsia="en-GB"/>
        </w:rPr>
        <w:t xml:space="preserve"> between Yahweh and Ezekiel</w:t>
      </w:r>
      <w:r w:rsidRPr="001005B7">
        <w:rPr>
          <w:rFonts w:cstheme="minorHAnsi"/>
          <w:lang w:eastAsia="en-GB"/>
        </w:rPr>
        <w:t xml:space="preserve">, </w:t>
      </w:r>
      <w:r w:rsidR="0099651B" w:rsidRPr="001005B7">
        <w:rPr>
          <w:rFonts w:cstheme="minorHAnsi"/>
          <w:lang w:eastAsia="en-GB"/>
        </w:rPr>
        <w:t>unlike</w:t>
      </w:r>
      <w:r w:rsidRPr="001005B7">
        <w:rPr>
          <w:rFonts w:cstheme="minorHAnsi"/>
          <w:lang w:eastAsia="en-GB"/>
        </w:rPr>
        <w:t xml:space="preserve"> the commissions of Moses, Gideon, Isaiah, Jeremiah, and Pau</w:t>
      </w:r>
      <w:r w:rsidR="0099651B" w:rsidRPr="001005B7">
        <w:rPr>
          <w:rFonts w:cstheme="minorHAnsi"/>
          <w:lang w:eastAsia="en-GB"/>
        </w:rPr>
        <w:t>l</w:t>
      </w:r>
      <w:r w:rsidRPr="001005B7">
        <w:rPr>
          <w:rFonts w:cstheme="minorHAnsi"/>
          <w:lang w:eastAsia="en-GB"/>
        </w:rPr>
        <w:t xml:space="preserve">. </w:t>
      </w:r>
      <w:r w:rsidR="00D14D86" w:rsidRPr="001005B7">
        <w:rPr>
          <w:lang w:eastAsia="en-GB"/>
        </w:rPr>
        <w:t>Yahweh does all the talking</w:t>
      </w:r>
      <w:r w:rsidR="007B776F" w:rsidRPr="001005B7">
        <w:rPr>
          <w:lang w:eastAsia="en-GB"/>
        </w:rPr>
        <w:t xml:space="preserve"> </w:t>
      </w:r>
      <w:r w:rsidR="0009675C" w:rsidRPr="001005B7">
        <w:rPr>
          <w:lang w:eastAsia="en-GB"/>
        </w:rPr>
        <w:t>and</w:t>
      </w:r>
      <w:r w:rsidR="00D14D86" w:rsidRPr="001005B7">
        <w:rPr>
          <w:lang w:eastAsia="en-GB"/>
        </w:rPr>
        <w:t xml:space="preserve"> </w:t>
      </w:r>
      <w:r w:rsidRPr="001005B7">
        <w:rPr>
          <w:rFonts w:cstheme="minorHAnsi"/>
          <w:lang w:eastAsia="en-GB"/>
        </w:rPr>
        <w:t>Ezekiel says nothing</w:t>
      </w:r>
      <w:r w:rsidR="0009675C" w:rsidRPr="001005B7">
        <w:rPr>
          <w:rFonts w:cstheme="minorHAnsi"/>
          <w:lang w:eastAsia="en-GB"/>
        </w:rPr>
        <w:t xml:space="preserve">. </w:t>
      </w:r>
      <w:r w:rsidR="00756409" w:rsidRPr="001005B7">
        <w:rPr>
          <w:rFonts w:cstheme="minorHAnsi"/>
          <w:lang w:eastAsia="en-GB"/>
        </w:rPr>
        <w:t xml:space="preserve">Nor does he </w:t>
      </w:r>
      <w:r w:rsidRPr="001005B7">
        <w:rPr>
          <w:rFonts w:cstheme="minorHAnsi"/>
          <w:lang w:eastAsia="en-GB"/>
        </w:rPr>
        <w:t>do</w:t>
      </w:r>
      <w:r w:rsidR="00756409" w:rsidRPr="001005B7">
        <w:rPr>
          <w:rFonts w:cstheme="minorHAnsi"/>
          <w:lang w:eastAsia="en-GB"/>
        </w:rPr>
        <w:t xml:space="preserve"> any</w:t>
      </w:r>
      <w:r w:rsidRPr="001005B7">
        <w:rPr>
          <w:rFonts w:cstheme="minorHAnsi"/>
          <w:lang w:eastAsia="en-GB"/>
        </w:rPr>
        <w:t>thing except when controlled or directed</w:t>
      </w:r>
      <w:r w:rsidR="00E73AD7" w:rsidRPr="001005B7">
        <w:rPr>
          <w:lang w:eastAsia="en-GB"/>
        </w:rPr>
        <w:t xml:space="preserve">. </w:t>
      </w:r>
      <w:r w:rsidR="007024D9" w:rsidRPr="001005B7">
        <w:rPr>
          <w:lang w:eastAsia="en-GB"/>
        </w:rPr>
        <w:t>Indeed,</w:t>
      </w:r>
      <w:r w:rsidRPr="001005B7">
        <w:rPr>
          <w:lang w:eastAsia="en-GB"/>
        </w:rPr>
        <w:t xml:space="preserve"> it is only rarely explicit that he speaks</w:t>
      </w:r>
      <w:r w:rsidR="008C68EE" w:rsidRPr="001005B7">
        <w:rPr>
          <w:lang w:eastAsia="en-GB"/>
        </w:rPr>
        <w:t xml:space="preserve"> in</w:t>
      </w:r>
      <w:r w:rsidRPr="001005B7">
        <w:rPr>
          <w:lang w:eastAsia="en-GB"/>
        </w:rPr>
        <w:t xml:space="preserve"> subsequent</w:t>
      </w:r>
      <w:r w:rsidR="008C68EE" w:rsidRPr="001005B7">
        <w:rPr>
          <w:lang w:eastAsia="en-GB"/>
        </w:rPr>
        <w:t xml:space="preserve"> chapters</w:t>
      </w:r>
      <w:r w:rsidR="007024D9" w:rsidRPr="001005B7">
        <w:rPr>
          <w:lang w:eastAsia="en-GB"/>
        </w:rPr>
        <w:t>, as g</w:t>
      </w:r>
      <w:r w:rsidRPr="001005B7">
        <w:rPr>
          <w:lang w:eastAsia="en-GB"/>
        </w:rPr>
        <w:t>enerally he simply says that a message comes to him</w:t>
      </w:r>
      <w:r w:rsidR="00C613EB" w:rsidRPr="001005B7">
        <w:rPr>
          <w:lang w:eastAsia="en-GB"/>
        </w:rPr>
        <w:t>. He</w:t>
      </w:r>
      <w:r w:rsidRPr="001005B7">
        <w:rPr>
          <w:lang w:eastAsia="en-GB"/>
        </w:rPr>
        <w:t xml:space="preserve"> does not </w:t>
      </w:r>
      <w:r w:rsidR="00C613EB" w:rsidRPr="001005B7">
        <w:rPr>
          <w:lang w:eastAsia="en-GB"/>
        </w:rPr>
        <w:t>report</w:t>
      </w:r>
      <w:r w:rsidRPr="001005B7">
        <w:rPr>
          <w:lang w:eastAsia="en-GB"/>
        </w:rPr>
        <w:t xml:space="preserve"> delivering it.</w:t>
      </w:r>
      <w:r w:rsidR="00D419FA" w:rsidRPr="001005B7">
        <w:rPr>
          <w:lang w:eastAsia="en-GB"/>
        </w:rPr>
        <w:t xml:space="preserve"> Indirectly</w:t>
      </w:r>
      <w:r w:rsidR="006F1746" w:rsidRPr="001005B7">
        <w:rPr>
          <w:lang w:eastAsia="en-GB"/>
        </w:rPr>
        <w:t>,</w:t>
      </w:r>
      <w:r w:rsidRPr="001005B7">
        <w:rPr>
          <w:lang w:eastAsia="en-GB"/>
        </w:rPr>
        <w:t xml:space="preserve"> </w:t>
      </w:r>
      <w:r w:rsidR="00B745F1" w:rsidRPr="001005B7">
        <w:rPr>
          <w:lang w:eastAsia="en-GB"/>
        </w:rPr>
        <w:t xml:space="preserve">however, </w:t>
      </w:r>
      <w:r w:rsidR="00D419FA" w:rsidRPr="001005B7">
        <w:rPr>
          <w:lang w:eastAsia="en-GB"/>
        </w:rPr>
        <w:t>h</w:t>
      </w:r>
      <w:r w:rsidRPr="001005B7">
        <w:rPr>
          <w:lang w:eastAsia="en-GB"/>
        </w:rPr>
        <w:t xml:space="preserve">is commission </w:t>
      </w:r>
      <w:r w:rsidR="006F1746" w:rsidRPr="001005B7">
        <w:rPr>
          <w:lang w:eastAsia="en-GB"/>
        </w:rPr>
        <w:t xml:space="preserve">does </w:t>
      </w:r>
      <w:r w:rsidR="00AF1101" w:rsidRPr="001005B7">
        <w:rPr>
          <w:lang w:eastAsia="en-GB"/>
        </w:rPr>
        <w:t>compare with</w:t>
      </w:r>
      <w:r w:rsidRPr="001005B7">
        <w:rPr>
          <w:lang w:eastAsia="en-GB"/>
        </w:rPr>
        <w:t xml:space="preserve"> those other commissions</w:t>
      </w:r>
      <w:r w:rsidR="006F1746" w:rsidRPr="001005B7">
        <w:rPr>
          <w:lang w:eastAsia="en-GB"/>
        </w:rPr>
        <w:t xml:space="preserve">, </w:t>
      </w:r>
      <w:r w:rsidR="00A35B2A" w:rsidRPr="001005B7">
        <w:rPr>
          <w:lang w:eastAsia="en-GB"/>
        </w:rPr>
        <w:t>as</w:t>
      </w:r>
      <w:r w:rsidRPr="001005B7">
        <w:rPr>
          <w:lang w:eastAsia="en-GB"/>
        </w:rPr>
        <w:t xml:space="preserve"> </w:t>
      </w:r>
      <w:r w:rsidR="00B37276" w:rsidRPr="001005B7">
        <w:rPr>
          <w:lang w:eastAsia="en-GB"/>
        </w:rPr>
        <w:t xml:space="preserve">in effect he </w:t>
      </w:r>
      <w:r w:rsidR="0048098C" w:rsidRPr="001005B7">
        <w:rPr>
          <w:lang w:eastAsia="en-GB"/>
        </w:rPr>
        <w:t>relates</w:t>
      </w:r>
      <w:r w:rsidRPr="001005B7">
        <w:rPr>
          <w:lang w:eastAsia="en-GB"/>
        </w:rPr>
        <w:t xml:space="preserve"> Yahweh’s replies to </w:t>
      </w:r>
      <w:r w:rsidR="001C1BE7" w:rsidRPr="001005B7">
        <w:rPr>
          <w:lang w:eastAsia="en-GB"/>
        </w:rPr>
        <w:t>concerns</w:t>
      </w:r>
      <w:r w:rsidR="00A54A6B" w:rsidRPr="001005B7">
        <w:rPr>
          <w:lang w:eastAsia="en-GB"/>
        </w:rPr>
        <w:t xml:space="preserve"> he might</w:t>
      </w:r>
      <w:r w:rsidR="0060220A" w:rsidRPr="001005B7">
        <w:rPr>
          <w:lang w:eastAsia="en-GB"/>
        </w:rPr>
        <w:t xml:space="preserve"> hav</w:t>
      </w:r>
      <w:r w:rsidR="00A54A6B" w:rsidRPr="001005B7">
        <w:rPr>
          <w:lang w:eastAsia="en-GB"/>
        </w:rPr>
        <w:t>e</w:t>
      </w:r>
      <w:r w:rsidR="008A2D28" w:rsidRPr="001005B7">
        <w:rPr>
          <w:lang w:eastAsia="en-GB"/>
        </w:rPr>
        <w:t xml:space="preserve"> about his commission</w:t>
      </w:r>
      <w:r w:rsidR="004617D7" w:rsidRPr="001005B7">
        <w:rPr>
          <w:lang w:eastAsia="en-GB"/>
        </w:rPr>
        <w:t>,</w:t>
      </w:r>
      <w:r w:rsidR="001046AD" w:rsidRPr="001005B7">
        <w:rPr>
          <w:lang w:eastAsia="en-GB"/>
        </w:rPr>
        <w:t xml:space="preserve"> even though he does not </w:t>
      </w:r>
      <w:r w:rsidR="008A2D28" w:rsidRPr="001005B7">
        <w:rPr>
          <w:lang w:eastAsia="en-GB"/>
        </w:rPr>
        <w:t xml:space="preserve">directly </w:t>
      </w:r>
      <w:r w:rsidR="001046AD" w:rsidRPr="001005B7">
        <w:rPr>
          <w:lang w:eastAsia="en-GB"/>
        </w:rPr>
        <w:t>tell the readers of his objections</w:t>
      </w:r>
      <w:r w:rsidR="004617D7" w:rsidRPr="001005B7">
        <w:rPr>
          <w:lang w:eastAsia="en-GB"/>
        </w:rPr>
        <w:t>.</w:t>
      </w:r>
      <w:r w:rsidR="001046AD" w:rsidRPr="001005B7">
        <w:rPr>
          <w:lang w:eastAsia="en-GB"/>
        </w:rPr>
        <w:t xml:space="preserve"> </w:t>
      </w:r>
      <w:r w:rsidR="00A75BD4" w:rsidRPr="001005B7">
        <w:rPr>
          <w:lang w:eastAsia="en-GB"/>
        </w:rPr>
        <w:t>T</w:t>
      </w:r>
      <w:r w:rsidR="006F59E4" w:rsidRPr="001005B7">
        <w:rPr>
          <w:lang w:eastAsia="en-GB"/>
        </w:rPr>
        <w:t>hus f</w:t>
      </w:r>
      <w:r w:rsidRPr="001005B7">
        <w:rPr>
          <w:lang w:eastAsia="en-GB"/>
        </w:rPr>
        <w:t>rom Yahweh</w:t>
      </w:r>
      <w:r w:rsidR="006F59E4" w:rsidRPr="001005B7">
        <w:rPr>
          <w:lang w:eastAsia="en-GB"/>
        </w:rPr>
        <w:t>’s words</w:t>
      </w:r>
      <w:r w:rsidRPr="001005B7">
        <w:rPr>
          <w:lang w:eastAsia="en-GB"/>
        </w:rPr>
        <w:t xml:space="preserve"> one could formulate </w:t>
      </w:r>
      <w:r w:rsidR="003B60B8" w:rsidRPr="001005B7">
        <w:rPr>
          <w:lang w:eastAsia="en-GB"/>
        </w:rPr>
        <w:t>hi</w:t>
      </w:r>
      <w:r w:rsidRPr="001005B7">
        <w:rPr>
          <w:lang w:eastAsia="en-GB"/>
        </w:rPr>
        <w:t>s possible objections</w:t>
      </w:r>
      <w:r w:rsidR="00274DAF" w:rsidRPr="001005B7">
        <w:rPr>
          <w:lang w:eastAsia="en-GB"/>
        </w:rPr>
        <w:t>, with Yahweh’s responses</w:t>
      </w:r>
      <w:r w:rsidRPr="001005B7">
        <w:rPr>
          <w:lang w:eastAsia="en-GB"/>
        </w:rPr>
        <w:t>.</w:t>
      </w:r>
    </w:p>
    <w:p w14:paraId="420F75C1" w14:textId="77777777" w:rsidR="004B4695" w:rsidRPr="001005B7" w:rsidRDefault="004B4695" w:rsidP="004B4695">
      <w:pPr>
        <w:rPr>
          <w:lang w:eastAsia="en-GB"/>
        </w:rPr>
      </w:pPr>
      <w:r w:rsidRPr="001005B7">
        <w:rPr>
          <w:lang w:eastAsia="en-GB"/>
        </w:rPr>
        <w:t xml:space="preserve"> </w:t>
      </w:r>
    </w:p>
    <w:p w14:paraId="662534BE" w14:textId="77777777" w:rsidR="004B4695" w:rsidRPr="001005B7" w:rsidRDefault="004B4695" w:rsidP="006F5BB0">
      <w:pPr>
        <w:pStyle w:val="ListParagraph"/>
        <w:numPr>
          <w:ilvl w:val="0"/>
          <w:numId w:val="3"/>
        </w:numPr>
        <w:rPr>
          <w:color w:val="auto"/>
          <w:lang w:val="en-US"/>
        </w:rPr>
      </w:pPr>
      <w:r w:rsidRPr="001005B7">
        <w:rPr>
          <w:color w:val="auto"/>
          <w:lang w:val="en-US"/>
        </w:rPr>
        <w:t>The people are defiant (but they will acknowledge you eventually)</w:t>
      </w:r>
    </w:p>
    <w:p w14:paraId="3C654FBD" w14:textId="77777777" w:rsidR="004B4695" w:rsidRPr="001005B7" w:rsidRDefault="004B4695" w:rsidP="006F5BB0">
      <w:pPr>
        <w:pStyle w:val="ListParagraph"/>
        <w:numPr>
          <w:ilvl w:val="0"/>
          <w:numId w:val="3"/>
        </w:numPr>
        <w:rPr>
          <w:color w:val="auto"/>
          <w:lang w:val="en-US"/>
        </w:rPr>
      </w:pPr>
      <w:r w:rsidRPr="001005B7">
        <w:rPr>
          <w:color w:val="auto"/>
          <w:lang w:val="en-US"/>
        </w:rPr>
        <w:t>They may attack you (but don’t be afraid)</w:t>
      </w:r>
    </w:p>
    <w:p w14:paraId="15B0E306" w14:textId="77777777" w:rsidR="004B4695" w:rsidRPr="001005B7" w:rsidRDefault="004B4695" w:rsidP="006F5BB0">
      <w:pPr>
        <w:pStyle w:val="ListParagraph"/>
        <w:numPr>
          <w:ilvl w:val="0"/>
          <w:numId w:val="3"/>
        </w:numPr>
        <w:rPr>
          <w:color w:val="auto"/>
          <w:lang w:val="en-US"/>
        </w:rPr>
      </w:pPr>
      <w:r w:rsidRPr="001005B7">
        <w:rPr>
          <w:color w:val="auto"/>
          <w:lang w:val="en-US"/>
        </w:rPr>
        <w:t>You may be tempted to rebel like them (so listen and eat this scroll)</w:t>
      </w:r>
    </w:p>
    <w:p w14:paraId="3E021D18" w14:textId="271D6CE4" w:rsidR="004B4695" w:rsidRPr="001005B7" w:rsidRDefault="004B4695" w:rsidP="006F5BB0">
      <w:pPr>
        <w:pStyle w:val="ListParagraph"/>
        <w:numPr>
          <w:ilvl w:val="0"/>
          <w:numId w:val="3"/>
        </w:numPr>
        <w:rPr>
          <w:color w:val="auto"/>
          <w:lang w:val="en-US"/>
        </w:rPr>
      </w:pPr>
      <w:r w:rsidRPr="001005B7">
        <w:rPr>
          <w:color w:val="auto"/>
          <w:lang w:val="en-US"/>
        </w:rPr>
        <w:t xml:space="preserve">You may think you will dislike the message (but it </w:t>
      </w:r>
      <w:r w:rsidR="00574034" w:rsidRPr="001005B7">
        <w:rPr>
          <w:color w:val="auto"/>
          <w:lang w:val="en-US"/>
        </w:rPr>
        <w:t xml:space="preserve">will </w:t>
      </w:r>
      <w:r w:rsidRPr="001005B7">
        <w:rPr>
          <w:color w:val="auto"/>
          <w:lang w:val="en-US"/>
        </w:rPr>
        <w:t>taste sweet)</w:t>
      </w:r>
    </w:p>
    <w:p w14:paraId="7222F93B" w14:textId="77777777" w:rsidR="004B4695" w:rsidRPr="001005B7" w:rsidRDefault="004B4695" w:rsidP="006F5BB0">
      <w:pPr>
        <w:pStyle w:val="ListParagraph"/>
        <w:numPr>
          <w:ilvl w:val="0"/>
          <w:numId w:val="3"/>
        </w:numPr>
        <w:rPr>
          <w:color w:val="auto"/>
          <w:lang w:val="en-US"/>
        </w:rPr>
      </w:pPr>
      <w:r w:rsidRPr="001005B7">
        <w:rPr>
          <w:color w:val="auto"/>
          <w:lang w:val="en-US"/>
        </w:rPr>
        <w:t>You may think the task is too hard (it’s not, and I will make you hard)</w:t>
      </w:r>
    </w:p>
    <w:p w14:paraId="42C052A1" w14:textId="77777777" w:rsidR="004B4695" w:rsidRPr="001005B7" w:rsidRDefault="004B4695" w:rsidP="006F5BB0">
      <w:pPr>
        <w:pStyle w:val="ListParagraph"/>
        <w:numPr>
          <w:ilvl w:val="0"/>
          <w:numId w:val="3"/>
        </w:numPr>
        <w:rPr>
          <w:color w:val="auto"/>
          <w:lang w:val="en-US"/>
        </w:rPr>
      </w:pPr>
      <w:r w:rsidRPr="001005B7">
        <w:rPr>
          <w:color w:val="auto"/>
          <w:lang w:val="en-US"/>
        </w:rPr>
        <w:t>They may not listen (speak it anyway)</w:t>
      </w:r>
    </w:p>
    <w:p w14:paraId="7F66F33E" w14:textId="77777777" w:rsidR="00722289" w:rsidRPr="001005B7" w:rsidRDefault="00722289" w:rsidP="004B4695">
      <w:pPr>
        <w:rPr>
          <w:iCs/>
          <w:lang w:eastAsia="en-GB"/>
        </w:rPr>
      </w:pPr>
    </w:p>
    <w:p w14:paraId="192D5F33" w14:textId="04702DF5" w:rsidR="00070BC1" w:rsidRPr="001005B7" w:rsidRDefault="004B4695" w:rsidP="00070BC1">
      <w:pPr>
        <w:rPr>
          <w:lang w:eastAsia="en-GB"/>
        </w:rPr>
      </w:pPr>
      <w:r w:rsidRPr="001005B7">
        <w:rPr>
          <w:lang w:eastAsia="en-GB"/>
        </w:rPr>
        <w:t>Ezekiel</w:t>
      </w:r>
      <w:r w:rsidR="00722289" w:rsidRPr="001005B7">
        <w:rPr>
          <w:lang w:eastAsia="en-GB"/>
        </w:rPr>
        <w:t>’s not</w:t>
      </w:r>
      <w:r w:rsidRPr="001005B7">
        <w:rPr>
          <w:lang w:eastAsia="en-GB"/>
        </w:rPr>
        <w:t xml:space="preserve"> speak</w:t>
      </w:r>
      <w:r w:rsidR="00722289" w:rsidRPr="001005B7">
        <w:rPr>
          <w:lang w:eastAsia="en-GB"/>
        </w:rPr>
        <w:t>ing</w:t>
      </w:r>
      <w:r w:rsidRPr="001005B7">
        <w:rPr>
          <w:lang w:eastAsia="en-GB"/>
        </w:rPr>
        <w:t xml:space="preserve"> to </w:t>
      </w:r>
      <w:r w:rsidR="00387EB3" w:rsidRPr="001005B7">
        <w:rPr>
          <w:lang w:eastAsia="en-GB"/>
        </w:rPr>
        <w:t>express</w:t>
      </w:r>
      <w:r w:rsidRPr="001005B7">
        <w:rPr>
          <w:lang w:eastAsia="en-GB"/>
        </w:rPr>
        <w:t xml:space="preserve"> these objections</w:t>
      </w:r>
      <w:r w:rsidR="00722289" w:rsidRPr="001005B7">
        <w:rPr>
          <w:lang w:eastAsia="en-GB"/>
        </w:rPr>
        <w:t xml:space="preserve"> </w:t>
      </w:r>
      <w:r w:rsidR="00AD45D7" w:rsidRPr="001005B7">
        <w:rPr>
          <w:lang w:eastAsia="en-GB"/>
        </w:rPr>
        <w:t xml:space="preserve">means </w:t>
      </w:r>
      <w:r w:rsidRPr="001005B7">
        <w:rPr>
          <w:lang w:eastAsia="en-GB"/>
        </w:rPr>
        <w:t>all the focus lies on Yahweh’s initiative and action.</w:t>
      </w:r>
      <w:r w:rsidR="00233869" w:rsidRPr="001005B7">
        <w:rPr>
          <w:lang w:eastAsia="en-GB"/>
        </w:rPr>
        <w:t xml:space="preserve"> </w:t>
      </w:r>
      <w:r w:rsidR="008E12B4" w:rsidRPr="001005B7">
        <w:rPr>
          <w:lang w:eastAsia="en-GB"/>
        </w:rPr>
        <w:t xml:space="preserve">As well as implicitly responding to Ezekiel’s possible worries, </w:t>
      </w:r>
      <w:r w:rsidR="00233869" w:rsidRPr="001005B7">
        <w:rPr>
          <w:lang w:eastAsia="en-GB"/>
        </w:rPr>
        <w:t>Yahweh deal</w:t>
      </w:r>
      <w:r w:rsidR="008E12B4" w:rsidRPr="001005B7">
        <w:rPr>
          <w:lang w:eastAsia="en-GB"/>
        </w:rPr>
        <w:t>s</w:t>
      </w:r>
      <w:r w:rsidR="00233869" w:rsidRPr="001005B7">
        <w:rPr>
          <w:lang w:eastAsia="en-GB"/>
        </w:rPr>
        <w:t xml:space="preserve"> with </w:t>
      </w:r>
      <w:r w:rsidR="00BA00DD" w:rsidRPr="001005B7">
        <w:rPr>
          <w:lang w:eastAsia="en-GB"/>
        </w:rPr>
        <w:t xml:space="preserve">his </w:t>
      </w:r>
      <w:r w:rsidR="00233869" w:rsidRPr="001005B7">
        <w:rPr>
          <w:lang w:eastAsia="en-GB"/>
        </w:rPr>
        <w:t xml:space="preserve">practical needs by a spirit/wind, to stand him up and then get him to Tel Abib. </w:t>
      </w:r>
    </w:p>
    <w:p w14:paraId="16355C9A" w14:textId="46CF9B42" w:rsidR="0065459B" w:rsidRPr="001005B7" w:rsidRDefault="0065459B" w:rsidP="00493833">
      <w:pPr>
        <w:pStyle w:val="Heading3"/>
      </w:pPr>
      <w:r w:rsidRPr="001005B7">
        <w:t>Translation</w:t>
      </w:r>
    </w:p>
    <w:p w14:paraId="5BE2B871" w14:textId="60EB0940" w:rsidR="00B1685B" w:rsidRPr="001005B7" w:rsidRDefault="00EA666F" w:rsidP="0065459B">
      <w:pPr>
        <w:rPr>
          <w:lang w:eastAsia="en-GB"/>
        </w:rPr>
      </w:pPr>
      <w:r w:rsidRPr="001005B7">
        <w:rPr>
          <w:vertAlign w:val="superscript"/>
          <w:lang w:eastAsia="en-GB"/>
        </w:rPr>
        <w:t>1:</w:t>
      </w:r>
      <w:r w:rsidR="00FD13F5" w:rsidRPr="001005B7">
        <w:rPr>
          <w:vertAlign w:val="superscript"/>
          <w:lang w:eastAsia="en-GB"/>
        </w:rPr>
        <w:t>28b</w:t>
      </w:r>
      <w:r w:rsidR="00FD13F5" w:rsidRPr="001005B7">
        <w:rPr>
          <w:rFonts w:cstheme="minorHAnsi"/>
          <w:vertAlign w:val="superscript"/>
          <w:lang w:eastAsia="en-GB"/>
        </w:rPr>
        <w:t>β</w:t>
      </w:r>
      <w:r w:rsidR="00A60974" w:rsidRPr="001005B7">
        <w:rPr>
          <w:lang w:eastAsia="en-GB"/>
        </w:rPr>
        <w:t xml:space="preserve">I heard a voice speaking. </w:t>
      </w:r>
      <w:r w:rsidR="00B75391" w:rsidRPr="001005B7">
        <w:rPr>
          <w:vertAlign w:val="superscript"/>
          <w:lang w:eastAsia="en-GB"/>
        </w:rPr>
        <w:t>2</w:t>
      </w:r>
      <w:r w:rsidR="002A463B" w:rsidRPr="001005B7">
        <w:rPr>
          <w:vertAlign w:val="superscript"/>
          <w:lang w:eastAsia="en-GB"/>
        </w:rPr>
        <w:t>:1</w:t>
      </w:r>
      <w:r w:rsidR="002A2A72" w:rsidRPr="001005B7">
        <w:rPr>
          <w:lang w:eastAsia="en-GB"/>
        </w:rPr>
        <w:t>He</w:t>
      </w:r>
      <w:r w:rsidR="00A60974" w:rsidRPr="001005B7">
        <w:rPr>
          <w:lang w:eastAsia="en-GB"/>
        </w:rPr>
        <w:t xml:space="preserve"> said to me</w:t>
      </w:r>
      <w:r w:rsidR="00501D4A" w:rsidRPr="001005B7">
        <w:rPr>
          <w:lang w:eastAsia="en-GB"/>
        </w:rPr>
        <w:t>,</w:t>
      </w:r>
      <w:r w:rsidR="00177F8F" w:rsidRPr="001005B7">
        <w:rPr>
          <w:lang w:eastAsia="en-GB"/>
        </w:rPr>
        <w:t xml:space="preserve"> </w:t>
      </w:r>
      <w:r w:rsidR="00D3329B" w:rsidRPr="001005B7">
        <w:rPr>
          <w:lang w:eastAsia="en-GB"/>
        </w:rPr>
        <w:t>My man</w:t>
      </w:r>
      <w:r w:rsidR="0029108A" w:rsidRPr="001005B7">
        <w:rPr>
          <w:lang w:eastAsia="en-GB"/>
        </w:rPr>
        <w:t xml:space="preserve">, </w:t>
      </w:r>
      <w:r w:rsidR="005A3855" w:rsidRPr="001005B7">
        <w:rPr>
          <w:lang w:eastAsia="en-GB"/>
        </w:rPr>
        <w:t>stand on your feet, and I will speak with you.</w:t>
      </w:r>
      <w:r w:rsidR="00292602" w:rsidRPr="001005B7">
        <w:rPr>
          <w:lang w:eastAsia="en-GB"/>
        </w:rPr>
        <w:t xml:space="preserve"> </w:t>
      </w:r>
      <w:r w:rsidR="00292602" w:rsidRPr="001005B7">
        <w:rPr>
          <w:vertAlign w:val="superscript"/>
          <w:lang w:eastAsia="en-GB"/>
        </w:rPr>
        <w:t>2</w:t>
      </w:r>
      <w:r w:rsidR="00292602" w:rsidRPr="001005B7">
        <w:rPr>
          <w:lang w:eastAsia="en-GB"/>
        </w:rPr>
        <w:t>A spiri</w:t>
      </w:r>
      <w:r w:rsidR="002A463B" w:rsidRPr="001005B7">
        <w:rPr>
          <w:lang w:eastAsia="en-GB"/>
        </w:rPr>
        <w:t>t</w:t>
      </w:r>
      <w:r w:rsidR="00CA30FC" w:rsidRPr="001005B7">
        <w:rPr>
          <w:rStyle w:val="FootnoteReference"/>
          <w:lang w:eastAsia="en-GB"/>
        </w:rPr>
        <w:footnoteReference w:id="118"/>
      </w:r>
      <w:r w:rsidR="002A463B" w:rsidRPr="001005B7">
        <w:rPr>
          <w:lang w:eastAsia="en-GB"/>
        </w:rPr>
        <w:t xml:space="preserve"> came into me as he spoke to me</w:t>
      </w:r>
      <w:r w:rsidR="004112E6" w:rsidRPr="001005B7">
        <w:rPr>
          <w:lang w:eastAsia="en-GB"/>
        </w:rPr>
        <w:t>,</w:t>
      </w:r>
      <w:r w:rsidR="008A242A" w:rsidRPr="001005B7">
        <w:rPr>
          <w:lang w:eastAsia="en-GB"/>
        </w:rPr>
        <w:t xml:space="preserve"> and st</w:t>
      </w:r>
      <w:r w:rsidR="00A93003" w:rsidRPr="001005B7">
        <w:rPr>
          <w:lang w:eastAsia="en-GB"/>
        </w:rPr>
        <w:t>oo</w:t>
      </w:r>
      <w:r w:rsidR="008A242A" w:rsidRPr="001005B7">
        <w:rPr>
          <w:lang w:eastAsia="en-GB"/>
        </w:rPr>
        <w:t xml:space="preserve">d </w:t>
      </w:r>
      <w:r w:rsidR="00A93003" w:rsidRPr="001005B7">
        <w:rPr>
          <w:lang w:eastAsia="en-GB"/>
        </w:rPr>
        <w:t xml:space="preserve">me </w:t>
      </w:r>
      <w:r w:rsidR="008A242A" w:rsidRPr="001005B7">
        <w:rPr>
          <w:lang w:eastAsia="en-GB"/>
        </w:rPr>
        <w:t>on my feet</w:t>
      </w:r>
      <w:r w:rsidR="00C61EC8" w:rsidRPr="001005B7">
        <w:rPr>
          <w:lang w:eastAsia="en-GB"/>
        </w:rPr>
        <w:t>,</w:t>
      </w:r>
      <w:r w:rsidR="00767DE0" w:rsidRPr="001005B7">
        <w:rPr>
          <w:lang w:eastAsia="en-GB"/>
        </w:rPr>
        <w:t xml:space="preserve"> and I </w:t>
      </w:r>
      <w:r w:rsidR="00CC6DC4" w:rsidRPr="001005B7">
        <w:rPr>
          <w:lang w:eastAsia="en-GB"/>
        </w:rPr>
        <w:t>listened to</w:t>
      </w:r>
      <w:r w:rsidR="00DF03D9" w:rsidRPr="001005B7">
        <w:rPr>
          <w:lang w:eastAsia="en-GB"/>
        </w:rPr>
        <w:t xml:space="preserve"> the one speaking to me.</w:t>
      </w:r>
      <w:r w:rsidR="00993FB1" w:rsidRPr="001005B7">
        <w:rPr>
          <w:rStyle w:val="FootnoteReference"/>
          <w:lang w:eastAsia="en-GB"/>
        </w:rPr>
        <w:footnoteReference w:id="119"/>
      </w:r>
    </w:p>
    <w:p w14:paraId="06C93508" w14:textId="4B8F7AE5" w:rsidR="001A253C" w:rsidRPr="001005B7" w:rsidRDefault="00416EC2" w:rsidP="00E17050">
      <w:pPr>
        <w:rPr>
          <w:lang w:eastAsia="en-GB"/>
        </w:rPr>
      </w:pPr>
      <w:r w:rsidRPr="001005B7">
        <w:rPr>
          <w:vertAlign w:val="superscript"/>
          <w:lang w:eastAsia="en-GB"/>
        </w:rPr>
        <w:t>3</w:t>
      </w:r>
      <w:r w:rsidR="00BB1A8A" w:rsidRPr="001005B7">
        <w:rPr>
          <w:lang w:eastAsia="en-GB"/>
        </w:rPr>
        <w:t>He said to me</w:t>
      </w:r>
      <w:r w:rsidR="003B3B21" w:rsidRPr="001005B7">
        <w:rPr>
          <w:lang w:eastAsia="en-GB"/>
        </w:rPr>
        <w:t>,</w:t>
      </w:r>
      <w:r w:rsidR="00BB1A8A" w:rsidRPr="001005B7">
        <w:rPr>
          <w:lang w:eastAsia="en-GB"/>
        </w:rPr>
        <w:t xml:space="preserve"> </w:t>
      </w:r>
      <w:r w:rsidR="00D3329B" w:rsidRPr="001005B7">
        <w:rPr>
          <w:lang w:eastAsia="en-GB"/>
        </w:rPr>
        <w:t>My man</w:t>
      </w:r>
      <w:r w:rsidR="00BB1A8A" w:rsidRPr="001005B7">
        <w:rPr>
          <w:lang w:eastAsia="en-GB"/>
        </w:rPr>
        <w:t>,</w:t>
      </w:r>
      <w:r w:rsidR="00D56E32" w:rsidRPr="001005B7">
        <w:rPr>
          <w:lang w:eastAsia="en-GB"/>
        </w:rPr>
        <w:t xml:space="preserve"> I</w:t>
      </w:r>
      <w:r w:rsidR="00D61A55">
        <w:rPr>
          <w:lang w:eastAsia="en-GB"/>
        </w:rPr>
        <w:t xml:space="preserve"> a</w:t>
      </w:r>
      <w:r w:rsidR="00D56E32" w:rsidRPr="001005B7">
        <w:rPr>
          <w:lang w:eastAsia="en-GB"/>
        </w:rPr>
        <w:t xml:space="preserve">m sending you to the </w:t>
      </w:r>
      <w:r w:rsidR="00FB2017" w:rsidRPr="001005B7">
        <w:rPr>
          <w:lang w:eastAsia="en-GB"/>
        </w:rPr>
        <w:t xml:space="preserve">descendants of </w:t>
      </w:r>
      <w:r w:rsidR="00D56E32" w:rsidRPr="001005B7">
        <w:rPr>
          <w:lang w:eastAsia="en-GB"/>
        </w:rPr>
        <w:t>Israel,</w:t>
      </w:r>
      <w:r w:rsidR="008C7AE9" w:rsidRPr="001005B7">
        <w:rPr>
          <w:rStyle w:val="FootnoteReference"/>
          <w:lang w:eastAsia="en-GB"/>
        </w:rPr>
        <w:footnoteReference w:id="120"/>
      </w:r>
      <w:r w:rsidR="00D56E32" w:rsidRPr="001005B7">
        <w:rPr>
          <w:lang w:eastAsia="en-GB"/>
        </w:rPr>
        <w:t xml:space="preserve"> to nation</w:t>
      </w:r>
      <w:r w:rsidR="0075634F" w:rsidRPr="001005B7">
        <w:rPr>
          <w:lang w:eastAsia="en-GB"/>
        </w:rPr>
        <w:t>s</w:t>
      </w:r>
      <w:r w:rsidR="00052118" w:rsidRPr="001005B7">
        <w:rPr>
          <w:lang w:eastAsia="en-GB"/>
        </w:rPr>
        <w:t>,</w:t>
      </w:r>
      <w:r w:rsidR="0075634F" w:rsidRPr="001005B7">
        <w:rPr>
          <w:lang w:eastAsia="en-GB"/>
        </w:rPr>
        <w:t xml:space="preserve"> th</w:t>
      </w:r>
      <w:r w:rsidR="00F4558F" w:rsidRPr="001005B7">
        <w:rPr>
          <w:lang w:eastAsia="en-GB"/>
        </w:rPr>
        <w:t>e</w:t>
      </w:r>
      <w:r w:rsidR="00D56E32" w:rsidRPr="001005B7">
        <w:rPr>
          <w:lang w:eastAsia="en-GB"/>
        </w:rPr>
        <w:t xml:space="preserve"> </w:t>
      </w:r>
      <w:r w:rsidR="004C02E0" w:rsidRPr="001005B7">
        <w:rPr>
          <w:lang w:eastAsia="en-GB"/>
        </w:rPr>
        <w:t>defiant</w:t>
      </w:r>
      <w:r w:rsidR="00D56E32" w:rsidRPr="001005B7">
        <w:rPr>
          <w:lang w:eastAsia="en-GB"/>
        </w:rPr>
        <w:t xml:space="preserve"> people</w:t>
      </w:r>
      <w:r w:rsidR="00210C48" w:rsidRPr="001005B7">
        <w:rPr>
          <w:lang w:eastAsia="en-GB"/>
        </w:rPr>
        <w:t xml:space="preserve"> who have </w:t>
      </w:r>
      <w:r w:rsidR="004C02E0" w:rsidRPr="001005B7">
        <w:rPr>
          <w:lang w:eastAsia="en-GB"/>
        </w:rPr>
        <w:t>defied</w:t>
      </w:r>
      <w:r w:rsidR="00210C48" w:rsidRPr="001005B7">
        <w:rPr>
          <w:lang w:eastAsia="en-GB"/>
        </w:rPr>
        <w:t xml:space="preserve"> me</w:t>
      </w:r>
      <w:r w:rsidR="000B022B" w:rsidRPr="001005B7">
        <w:rPr>
          <w:lang w:eastAsia="en-GB"/>
        </w:rPr>
        <w:t xml:space="preserve"> in that </w:t>
      </w:r>
      <w:r w:rsidR="004870D5" w:rsidRPr="001005B7">
        <w:rPr>
          <w:lang w:eastAsia="en-GB"/>
        </w:rPr>
        <w:t>they and the</w:t>
      </w:r>
      <w:r w:rsidR="00B447E5" w:rsidRPr="001005B7">
        <w:rPr>
          <w:lang w:eastAsia="en-GB"/>
        </w:rPr>
        <w:t>i</w:t>
      </w:r>
      <w:r w:rsidR="004870D5" w:rsidRPr="001005B7">
        <w:rPr>
          <w:lang w:eastAsia="en-GB"/>
        </w:rPr>
        <w:t xml:space="preserve">r ancestors have </w:t>
      </w:r>
      <w:r w:rsidR="0017554E" w:rsidRPr="001005B7">
        <w:rPr>
          <w:lang w:eastAsia="en-GB"/>
        </w:rPr>
        <w:t>revolted against</w:t>
      </w:r>
      <w:r w:rsidR="004870D5" w:rsidRPr="001005B7">
        <w:rPr>
          <w:lang w:eastAsia="en-GB"/>
        </w:rPr>
        <w:t xml:space="preserve"> me</w:t>
      </w:r>
      <w:r w:rsidR="00735066" w:rsidRPr="001005B7">
        <w:rPr>
          <w:lang w:eastAsia="en-GB"/>
        </w:rPr>
        <w:t xml:space="preserve"> until this very day</w:t>
      </w:r>
      <w:r w:rsidR="00E17050" w:rsidRPr="001005B7">
        <w:rPr>
          <w:lang w:eastAsia="en-GB"/>
        </w:rPr>
        <w:t>.</w:t>
      </w:r>
      <w:r w:rsidR="00604EFF" w:rsidRPr="001005B7">
        <w:rPr>
          <w:lang w:eastAsia="en-GB"/>
        </w:rPr>
        <w:t xml:space="preserve"> </w:t>
      </w:r>
      <w:r w:rsidR="00604EFF" w:rsidRPr="001005B7">
        <w:rPr>
          <w:vertAlign w:val="superscript"/>
          <w:lang w:eastAsia="en-GB"/>
        </w:rPr>
        <w:t>4</w:t>
      </w:r>
      <w:r w:rsidR="00E17050" w:rsidRPr="001005B7">
        <w:rPr>
          <w:lang w:eastAsia="en-GB"/>
        </w:rPr>
        <w:t>With</w:t>
      </w:r>
      <w:r w:rsidR="00604EFF" w:rsidRPr="001005B7">
        <w:rPr>
          <w:lang w:eastAsia="en-GB"/>
        </w:rPr>
        <w:t xml:space="preserve"> the descendants</w:t>
      </w:r>
      <w:r w:rsidR="009F4D5C" w:rsidRPr="001005B7">
        <w:rPr>
          <w:lang w:eastAsia="en-GB"/>
        </w:rPr>
        <w:t xml:space="preserve"> </w:t>
      </w:r>
      <w:r w:rsidR="007562E4" w:rsidRPr="001005B7">
        <w:rPr>
          <w:lang w:eastAsia="en-GB"/>
        </w:rPr>
        <w:t>severe</w:t>
      </w:r>
      <w:r w:rsidR="004E5A53" w:rsidRPr="001005B7">
        <w:rPr>
          <w:lang w:eastAsia="en-GB"/>
        </w:rPr>
        <w:t xml:space="preserve"> of </w:t>
      </w:r>
      <w:r w:rsidR="009F4D5C" w:rsidRPr="001005B7">
        <w:rPr>
          <w:lang w:eastAsia="en-GB"/>
        </w:rPr>
        <w:t xml:space="preserve">face and </w:t>
      </w:r>
      <w:r w:rsidR="00EE672D" w:rsidRPr="001005B7">
        <w:rPr>
          <w:lang w:eastAsia="en-GB"/>
        </w:rPr>
        <w:t>tough</w:t>
      </w:r>
      <w:r w:rsidR="004E5A53" w:rsidRPr="001005B7">
        <w:rPr>
          <w:lang w:eastAsia="en-GB"/>
        </w:rPr>
        <w:t xml:space="preserve"> of </w:t>
      </w:r>
      <w:r w:rsidR="00EE672D" w:rsidRPr="001005B7">
        <w:rPr>
          <w:lang w:eastAsia="en-GB"/>
        </w:rPr>
        <w:t>mind</w:t>
      </w:r>
      <w:r w:rsidR="00D3239D" w:rsidRPr="001005B7">
        <w:rPr>
          <w:lang w:eastAsia="en-GB"/>
        </w:rPr>
        <w:t>,</w:t>
      </w:r>
      <w:r w:rsidR="00EE672D" w:rsidRPr="001005B7">
        <w:rPr>
          <w:lang w:eastAsia="en-GB"/>
        </w:rPr>
        <w:t xml:space="preserve"> </w:t>
      </w:r>
      <w:r w:rsidR="003D0B77" w:rsidRPr="001005B7">
        <w:rPr>
          <w:lang w:eastAsia="en-GB"/>
        </w:rPr>
        <w:t>I</w:t>
      </w:r>
      <w:r w:rsidR="007F14C5" w:rsidRPr="001005B7">
        <w:rPr>
          <w:lang w:eastAsia="en-GB"/>
        </w:rPr>
        <w:t>’</w:t>
      </w:r>
      <w:r w:rsidR="003D0B77" w:rsidRPr="001005B7">
        <w:rPr>
          <w:lang w:eastAsia="en-GB"/>
        </w:rPr>
        <w:t>m sending you to them</w:t>
      </w:r>
      <w:r w:rsidR="00DA5835" w:rsidRPr="001005B7">
        <w:rPr>
          <w:lang w:eastAsia="en-GB"/>
        </w:rPr>
        <w:t>,</w:t>
      </w:r>
      <w:r w:rsidR="00C85F7B" w:rsidRPr="001005B7">
        <w:rPr>
          <w:lang w:eastAsia="en-GB"/>
        </w:rPr>
        <w:t xml:space="preserve"> and you will say to them, </w:t>
      </w:r>
      <w:r w:rsidR="00915DB1" w:rsidRPr="001005B7">
        <w:rPr>
          <w:lang w:eastAsia="en-GB"/>
        </w:rPr>
        <w:t>“</w:t>
      </w:r>
      <w:r w:rsidR="000B4CC4" w:rsidRPr="001005B7">
        <w:rPr>
          <w:lang w:eastAsia="en-GB"/>
        </w:rPr>
        <w:t>The Lord</w:t>
      </w:r>
      <w:r w:rsidR="00901528" w:rsidRPr="001005B7">
        <w:rPr>
          <w:rStyle w:val="FootnoteReference"/>
          <w:lang w:eastAsia="en-GB"/>
        </w:rPr>
        <w:footnoteReference w:id="121"/>
      </w:r>
      <w:r w:rsidR="000B4CC4" w:rsidRPr="001005B7">
        <w:rPr>
          <w:lang w:eastAsia="en-GB"/>
        </w:rPr>
        <w:t xml:space="preserve"> </w:t>
      </w:r>
      <w:r w:rsidR="00C85F7B" w:rsidRPr="001005B7">
        <w:rPr>
          <w:lang w:eastAsia="en-GB"/>
        </w:rPr>
        <w:t>Yahweh has said this</w:t>
      </w:r>
      <w:r w:rsidR="000140A4" w:rsidRPr="001005B7">
        <w:rPr>
          <w:lang w:eastAsia="en-GB"/>
        </w:rPr>
        <w:t>.</w:t>
      </w:r>
      <w:r w:rsidR="00983C10" w:rsidRPr="001005B7">
        <w:rPr>
          <w:lang w:eastAsia="en-GB"/>
        </w:rPr>
        <w:t>”</w:t>
      </w:r>
      <w:r w:rsidR="000140A4" w:rsidRPr="001005B7">
        <w:rPr>
          <w:lang w:eastAsia="en-GB"/>
        </w:rPr>
        <w:t xml:space="preserve"> </w:t>
      </w:r>
      <w:r w:rsidR="000140A4" w:rsidRPr="001005B7">
        <w:rPr>
          <w:vertAlign w:val="superscript"/>
          <w:lang w:eastAsia="en-GB"/>
        </w:rPr>
        <w:t>5</w:t>
      </w:r>
      <w:r w:rsidR="001E27D0" w:rsidRPr="001005B7">
        <w:rPr>
          <w:lang w:eastAsia="en-GB"/>
        </w:rPr>
        <w:t>And</w:t>
      </w:r>
      <w:r w:rsidR="000140A4" w:rsidRPr="001005B7">
        <w:rPr>
          <w:lang w:eastAsia="en-GB"/>
        </w:rPr>
        <w:t xml:space="preserve"> they, </w:t>
      </w:r>
      <w:r w:rsidR="00A07412" w:rsidRPr="001005B7">
        <w:rPr>
          <w:lang w:eastAsia="en-GB"/>
        </w:rPr>
        <w:t xml:space="preserve">whether they </w:t>
      </w:r>
      <w:r w:rsidR="00B80C0A" w:rsidRPr="001005B7">
        <w:rPr>
          <w:lang w:eastAsia="en-GB"/>
        </w:rPr>
        <w:t>listen</w:t>
      </w:r>
      <w:r w:rsidR="00A07412" w:rsidRPr="001005B7">
        <w:rPr>
          <w:lang w:eastAsia="en-GB"/>
        </w:rPr>
        <w:t xml:space="preserve"> or whether they </w:t>
      </w:r>
      <w:r w:rsidR="00813712" w:rsidRPr="001005B7">
        <w:rPr>
          <w:lang w:eastAsia="en-GB"/>
        </w:rPr>
        <w:t xml:space="preserve">refuse </w:t>
      </w:r>
      <w:r w:rsidR="00805547" w:rsidRPr="001005B7">
        <w:rPr>
          <w:lang w:eastAsia="en-GB"/>
        </w:rPr>
        <w:t>because they are a household</w:t>
      </w:r>
      <w:r w:rsidR="00AF77D8" w:rsidRPr="001005B7">
        <w:rPr>
          <w:lang w:eastAsia="en-GB"/>
        </w:rPr>
        <w:t xml:space="preserve"> of rebellion</w:t>
      </w:r>
      <w:r w:rsidR="008E2533" w:rsidRPr="001005B7">
        <w:rPr>
          <w:lang w:eastAsia="en-GB"/>
        </w:rPr>
        <w:t xml:space="preserve">, will acknowledge that </w:t>
      </w:r>
      <w:r w:rsidR="00433143" w:rsidRPr="001005B7">
        <w:rPr>
          <w:lang w:eastAsia="en-GB"/>
        </w:rPr>
        <w:t>a prophet</w:t>
      </w:r>
      <w:r w:rsidR="001A253C" w:rsidRPr="001005B7">
        <w:rPr>
          <w:lang w:eastAsia="en-GB"/>
        </w:rPr>
        <w:t xml:space="preserve"> has been among them.</w:t>
      </w:r>
    </w:p>
    <w:p w14:paraId="2D9444BD" w14:textId="77777777" w:rsidR="00914E00" w:rsidRPr="001005B7" w:rsidRDefault="00914E00" w:rsidP="0065459B">
      <w:pPr>
        <w:rPr>
          <w:lang w:eastAsia="en-GB"/>
        </w:rPr>
      </w:pPr>
    </w:p>
    <w:p w14:paraId="6A3F2AC4" w14:textId="72014ABD" w:rsidR="00093434" w:rsidRPr="001005B7" w:rsidRDefault="00E97242" w:rsidP="0065459B">
      <w:pPr>
        <w:rPr>
          <w:lang w:eastAsia="en-GB"/>
        </w:rPr>
      </w:pPr>
      <w:r w:rsidRPr="001005B7">
        <w:rPr>
          <w:vertAlign w:val="superscript"/>
          <w:lang w:eastAsia="en-GB"/>
        </w:rPr>
        <w:t>6</w:t>
      </w:r>
      <w:r w:rsidRPr="001005B7">
        <w:rPr>
          <w:lang w:eastAsia="en-GB"/>
        </w:rPr>
        <w:t xml:space="preserve">But you, </w:t>
      </w:r>
      <w:r w:rsidR="00D3329B" w:rsidRPr="001005B7">
        <w:rPr>
          <w:lang w:eastAsia="en-GB"/>
        </w:rPr>
        <w:t>my man</w:t>
      </w:r>
      <w:r w:rsidRPr="001005B7">
        <w:rPr>
          <w:lang w:eastAsia="en-GB"/>
        </w:rPr>
        <w:t>, don</w:t>
      </w:r>
      <w:r w:rsidR="007F14C5" w:rsidRPr="001005B7">
        <w:rPr>
          <w:lang w:eastAsia="en-GB"/>
        </w:rPr>
        <w:t>’</w:t>
      </w:r>
      <w:r w:rsidRPr="001005B7">
        <w:rPr>
          <w:lang w:eastAsia="en-GB"/>
        </w:rPr>
        <w:t>t be afraid of them</w:t>
      </w:r>
      <w:r w:rsidR="006D0269" w:rsidRPr="001005B7">
        <w:rPr>
          <w:lang w:eastAsia="en-GB"/>
        </w:rPr>
        <w:t xml:space="preserve">, </w:t>
      </w:r>
    </w:p>
    <w:p w14:paraId="78CF529D" w14:textId="3711EC9E" w:rsidR="00975304" w:rsidRPr="001005B7" w:rsidRDefault="00093434" w:rsidP="0065459B">
      <w:pPr>
        <w:rPr>
          <w:lang w:eastAsia="en-GB"/>
        </w:rPr>
      </w:pPr>
      <w:r w:rsidRPr="001005B7">
        <w:rPr>
          <w:lang w:eastAsia="en-GB"/>
        </w:rPr>
        <w:tab/>
        <w:t>and</w:t>
      </w:r>
      <w:r w:rsidR="006D0269" w:rsidRPr="001005B7">
        <w:rPr>
          <w:lang w:eastAsia="en-GB"/>
        </w:rPr>
        <w:t xml:space="preserve"> </w:t>
      </w:r>
      <w:r w:rsidRPr="001005B7">
        <w:rPr>
          <w:lang w:eastAsia="en-GB"/>
        </w:rPr>
        <w:t>of their words don</w:t>
      </w:r>
      <w:r w:rsidR="007F14C5" w:rsidRPr="001005B7">
        <w:rPr>
          <w:lang w:eastAsia="en-GB"/>
        </w:rPr>
        <w:t>’</w:t>
      </w:r>
      <w:r w:rsidR="00975304" w:rsidRPr="001005B7">
        <w:rPr>
          <w:lang w:eastAsia="en-GB"/>
        </w:rPr>
        <w:t>t</w:t>
      </w:r>
      <w:r w:rsidRPr="001005B7">
        <w:rPr>
          <w:lang w:eastAsia="en-GB"/>
        </w:rPr>
        <w:t xml:space="preserve"> </w:t>
      </w:r>
      <w:r w:rsidR="006D0269" w:rsidRPr="001005B7">
        <w:rPr>
          <w:lang w:eastAsia="en-GB"/>
        </w:rPr>
        <w:t>be afraid</w:t>
      </w:r>
      <w:r w:rsidR="00CC5F97" w:rsidRPr="001005B7">
        <w:rPr>
          <w:lang w:eastAsia="en-GB"/>
        </w:rPr>
        <w:t xml:space="preserve">, </w:t>
      </w:r>
    </w:p>
    <w:p w14:paraId="3D7776C9" w14:textId="1D573589" w:rsidR="001850BD" w:rsidRPr="001005B7" w:rsidRDefault="0047502F" w:rsidP="0065459B">
      <w:pPr>
        <w:rPr>
          <w:lang w:eastAsia="en-GB"/>
        </w:rPr>
      </w:pPr>
      <w:r w:rsidRPr="001005B7">
        <w:rPr>
          <w:lang w:eastAsia="en-GB"/>
        </w:rPr>
        <w:t>Because</w:t>
      </w:r>
      <w:r w:rsidR="00286F2A" w:rsidRPr="001005B7">
        <w:rPr>
          <w:rStyle w:val="FootnoteReference"/>
          <w:lang w:eastAsia="en-GB"/>
        </w:rPr>
        <w:footnoteReference w:id="122"/>
      </w:r>
      <w:r w:rsidR="00CC5F97" w:rsidRPr="001005B7">
        <w:rPr>
          <w:lang w:eastAsia="en-GB"/>
        </w:rPr>
        <w:t xml:space="preserve"> </w:t>
      </w:r>
      <w:r w:rsidR="00463847" w:rsidRPr="001005B7">
        <w:rPr>
          <w:lang w:eastAsia="en-GB"/>
        </w:rPr>
        <w:t>brier</w:t>
      </w:r>
      <w:r w:rsidR="00CC5F97" w:rsidRPr="001005B7">
        <w:rPr>
          <w:lang w:eastAsia="en-GB"/>
        </w:rPr>
        <w:t>s and th</w:t>
      </w:r>
      <w:r w:rsidR="00463847" w:rsidRPr="001005B7">
        <w:rPr>
          <w:lang w:eastAsia="en-GB"/>
        </w:rPr>
        <w:t>orns</w:t>
      </w:r>
      <w:r w:rsidR="00200DD5" w:rsidRPr="001005B7">
        <w:rPr>
          <w:lang w:eastAsia="en-GB"/>
        </w:rPr>
        <w:t xml:space="preserve"> are with you</w:t>
      </w:r>
      <w:r w:rsidR="00214C19" w:rsidRPr="001005B7">
        <w:rPr>
          <w:lang w:eastAsia="en-GB"/>
        </w:rPr>
        <w:t xml:space="preserve">, </w:t>
      </w:r>
    </w:p>
    <w:p w14:paraId="53DCCAC3" w14:textId="73AC4241" w:rsidR="008626B8" w:rsidRPr="001005B7" w:rsidRDefault="001850BD" w:rsidP="0065459B">
      <w:pPr>
        <w:rPr>
          <w:lang w:eastAsia="en-GB"/>
        </w:rPr>
      </w:pPr>
      <w:r w:rsidRPr="001005B7">
        <w:rPr>
          <w:lang w:eastAsia="en-GB"/>
        </w:rPr>
        <w:tab/>
      </w:r>
      <w:r w:rsidR="006A479D" w:rsidRPr="001005B7">
        <w:rPr>
          <w:lang w:eastAsia="en-GB"/>
        </w:rPr>
        <w:t xml:space="preserve">and </w:t>
      </w:r>
      <w:r w:rsidR="00F93ABE" w:rsidRPr="001005B7">
        <w:rPr>
          <w:lang w:eastAsia="en-GB"/>
        </w:rPr>
        <w:t>by</w:t>
      </w:r>
      <w:r w:rsidR="000C64BE" w:rsidRPr="001005B7">
        <w:rPr>
          <w:rStyle w:val="FootnoteReference"/>
          <w:lang w:eastAsia="en-GB"/>
        </w:rPr>
        <w:footnoteReference w:id="123"/>
      </w:r>
      <w:r w:rsidR="00214C19" w:rsidRPr="001005B7">
        <w:rPr>
          <w:lang w:eastAsia="en-GB"/>
        </w:rPr>
        <w:t xml:space="preserve"> </w:t>
      </w:r>
      <w:r w:rsidR="006A479D" w:rsidRPr="001005B7">
        <w:rPr>
          <w:lang w:eastAsia="en-GB"/>
        </w:rPr>
        <w:t>scorpions</w:t>
      </w:r>
      <w:r w:rsidR="0049121E" w:rsidRPr="001005B7">
        <w:rPr>
          <w:lang w:eastAsia="en-GB"/>
        </w:rPr>
        <w:t xml:space="preserve"> </w:t>
      </w:r>
      <w:r w:rsidRPr="001005B7">
        <w:rPr>
          <w:lang w:eastAsia="en-GB"/>
        </w:rPr>
        <w:t xml:space="preserve">you are </w:t>
      </w:r>
      <w:r w:rsidR="00ED51FC" w:rsidRPr="001005B7">
        <w:rPr>
          <w:lang w:eastAsia="en-GB"/>
        </w:rPr>
        <w:t>s</w:t>
      </w:r>
      <w:r w:rsidR="002841C1" w:rsidRPr="001005B7">
        <w:rPr>
          <w:lang w:eastAsia="en-GB"/>
        </w:rPr>
        <w:t>tay</w:t>
      </w:r>
      <w:r w:rsidRPr="001005B7">
        <w:rPr>
          <w:lang w:eastAsia="en-GB"/>
        </w:rPr>
        <w:t>ing.</w:t>
      </w:r>
      <w:r w:rsidR="00BC0301" w:rsidRPr="001005B7">
        <w:rPr>
          <w:rStyle w:val="FootnoteReference"/>
          <w:lang w:eastAsia="en-GB"/>
        </w:rPr>
        <w:footnoteReference w:id="124"/>
      </w:r>
    </w:p>
    <w:p w14:paraId="3B64519A" w14:textId="0E00618A" w:rsidR="00FF1B69" w:rsidRPr="001005B7" w:rsidRDefault="008626B8" w:rsidP="0065459B">
      <w:pPr>
        <w:rPr>
          <w:lang w:eastAsia="en-GB"/>
        </w:rPr>
      </w:pPr>
      <w:r w:rsidRPr="001005B7">
        <w:rPr>
          <w:lang w:eastAsia="en-GB"/>
        </w:rPr>
        <w:t xml:space="preserve">Of their words </w:t>
      </w:r>
      <w:r w:rsidR="0008210F" w:rsidRPr="001005B7">
        <w:rPr>
          <w:lang w:eastAsia="en-GB"/>
        </w:rPr>
        <w:t>don</w:t>
      </w:r>
      <w:r w:rsidR="00F8282F" w:rsidRPr="001005B7">
        <w:rPr>
          <w:lang w:eastAsia="en-GB"/>
        </w:rPr>
        <w:t>’</w:t>
      </w:r>
      <w:r w:rsidR="0008210F" w:rsidRPr="001005B7">
        <w:rPr>
          <w:lang w:eastAsia="en-GB"/>
        </w:rPr>
        <w:t>t be afraid</w:t>
      </w:r>
      <w:r w:rsidR="00FF1B69" w:rsidRPr="001005B7">
        <w:rPr>
          <w:lang w:eastAsia="en-GB"/>
        </w:rPr>
        <w:t xml:space="preserve">, </w:t>
      </w:r>
      <w:r w:rsidR="0008210F" w:rsidRPr="001005B7">
        <w:rPr>
          <w:lang w:eastAsia="en-GB"/>
        </w:rPr>
        <w:t xml:space="preserve">and </w:t>
      </w:r>
      <w:r w:rsidR="00B25289" w:rsidRPr="001005B7">
        <w:rPr>
          <w:lang w:eastAsia="en-GB"/>
        </w:rPr>
        <w:t xml:space="preserve">of their looks </w:t>
      </w:r>
      <w:r w:rsidR="000F3EF2" w:rsidRPr="001005B7">
        <w:rPr>
          <w:lang w:eastAsia="en-GB"/>
        </w:rPr>
        <w:t>don</w:t>
      </w:r>
      <w:r w:rsidR="00F8282F" w:rsidRPr="001005B7">
        <w:rPr>
          <w:lang w:eastAsia="en-GB"/>
        </w:rPr>
        <w:t>’</w:t>
      </w:r>
      <w:r w:rsidR="000F3EF2" w:rsidRPr="001005B7">
        <w:rPr>
          <w:lang w:eastAsia="en-GB"/>
        </w:rPr>
        <w:t xml:space="preserve">t be </w:t>
      </w:r>
      <w:r w:rsidR="000A5782" w:rsidRPr="001005B7">
        <w:rPr>
          <w:lang w:eastAsia="en-GB"/>
        </w:rPr>
        <w:t>scare</w:t>
      </w:r>
      <w:r w:rsidR="000F3EF2" w:rsidRPr="001005B7">
        <w:rPr>
          <w:lang w:eastAsia="en-GB"/>
        </w:rPr>
        <w:t>d</w:t>
      </w:r>
      <w:r w:rsidR="00456C22" w:rsidRPr="001005B7">
        <w:rPr>
          <w:lang w:eastAsia="en-GB"/>
        </w:rPr>
        <w:t xml:space="preserve">, </w:t>
      </w:r>
    </w:p>
    <w:p w14:paraId="435AC3DC" w14:textId="7D7683C2" w:rsidR="00FF1B69" w:rsidRPr="001005B7" w:rsidRDefault="00FF1B69" w:rsidP="0065459B">
      <w:pPr>
        <w:rPr>
          <w:lang w:eastAsia="en-GB"/>
        </w:rPr>
      </w:pPr>
      <w:r w:rsidRPr="001005B7">
        <w:rPr>
          <w:lang w:eastAsia="en-GB"/>
        </w:rPr>
        <w:tab/>
      </w:r>
      <w:r w:rsidR="00456C22" w:rsidRPr="001005B7">
        <w:rPr>
          <w:lang w:eastAsia="en-GB"/>
        </w:rPr>
        <w:t>because they are a</w:t>
      </w:r>
      <w:r w:rsidR="00784C36" w:rsidRPr="001005B7">
        <w:rPr>
          <w:lang w:eastAsia="en-GB"/>
        </w:rPr>
        <w:t xml:space="preserve"> </w:t>
      </w:r>
      <w:r w:rsidR="00456C22" w:rsidRPr="001005B7">
        <w:rPr>
          <w:lang w:eastAsia="en-GB"/>
        </w:rPr>
        <w:t>household</w:t>
      </w:r>
      <w:r w:rsidR="00784C36" w:rsidRPr="001005B7">
        <w:rPr>
          <w:lang w:eastAsia="en-GB"/>
        </w:rPr>
        <w:t xml:space="preserve"> of rebellion</w:t>
      </w:r>
      <w:r w:rsidR="00456C22" w:rsidRPr="001005B7">
        <w:rPr>
          <w:lang w:eastAsia="en-GB"/>
        </w:rPr>
        <w:t xml:space="preserve">. </w:t>
      </w:r>
    </w:p>
    <w:p w14:paraId="2973ADFD" w14:textId="77777777" w:rsidR="00FF1B69" w:rsidRPr="001005B7" w:rsidRDefault="00FF1B69" w:rsidP="0065459B">
      <w:pPr>
        <w:rPr>
          <w:lang w:eastAsia="en-GB"/>
        </w:rPr>
      </w:pPr>
    </w:p>
    <w:p w14:paraId="2128A64A" w14:textId="63A2363C" w:rsidR="00504B8E" w:rsidRPr="001005B7" w:rsidRDefault="00456C22" w:rsidP="00E52A30">
      <w:pPr>
        <w:ind w:firstLine="0"/>
        <w:rPr>
          <w:vertAlign w:val="superscript"/>
          <w:lang w:eastAsia="en-GB"/>
        </w:rPr>
      </w:pPr>
      <w:r w:rsidRPr="001005B7">
        <w:rPr>
          <w:vertAlign w:val="superscript"/>
          <w:lang w:eastAsia="en-GB"/>
        </w:rPr>
        <w:t>7</w:t>
      </w:r>
      <w:r w:rsidRPr="001005B7">
        <w:rPr>
          <w:lang w:eastAsia="en-GB"/>
        </w:rPr>
        <w:t>You will speak my words</w:t>
      </w:r>
      <w:r w:rsidR="00E62B2B" w:rsidRPr="001005B7">
        <w:rPr>
          <w:lang w:eastAsia="en-GB"/>
        </w:rPr>
        <w:t xml:space="preserve"> to them whether they </w:t>
      </w:r>
      <w:r w:rsidR="002B0955" w:rsidRPr="001005B7">
        <w:rPr>
          <w:lang w:eastAsia="en-GB"/>
        </w:rPr>
        <w:t>listen</w:t>
      </w:r>
      <w:r w:rsidR="00E62B2B" w:rsidRPr="001005B7">
        <w:rPr>
          <w:lang w:eastAsia="en-GB"/>
        </w:rPr>
        <w:t xml:space="preserve"> or whether they refuse</w:t>
      </w:r>
      <w:r w:rsidR="004422FF" w:rsidRPr="001005B7">
        <w:rPr>
          <w:lang w:eastAsia="en-GB"/>
        </w:rPr>
        <w:t>, because they are rebellious</w:t>
      </w:r>
      <w:r w:rsidR="002530D7" w:rsidRPr="001005B7">
        <w:rPr>
          <w:lang w:eastAsia="en-GB"/>
        </w:rPr>
        <w:t>.</w:t>
      </w:r>
      <w:r w:rsidR="002530D7" w:rsidRPr="001005B7">
        <w:rPr>
          <w:rStyle w:val="FootnoteReference"/>
          <w:lang w:eastAsia="en-GB"/>
        </w:rPr>
        <w:footnoteReference w:id="125"/>
      </w:r>
    </w:p>
    <w:p w14:paraId="7FA13403" w14:textId="48AB6EEE" w:rsidR="004422FF" w:rsidRPr="001005B7" w:rsidRDefault="0075293B" w:rsidP="0065459B">
      <w:pPr>
        <w:rPr>
          <w:lang w:eastAsia="en-GB"/>
        </w:rPr>
      </w:pPr>
      <w:r w:rsidRPr="001005B7">
        <w:rPr>
          <w:vertAlign w:val="superscript"/>
          <w:lang w:eastAsia="en-GB"/>
        </w:rPr>
        <w:t>8</w:t>
      </w:r>
      <w:r w:rsidRPr="001005B7">
        <w:rPr>
          <w:lang w:eastAsia="en-GB"/>
        </w:rPr>
        <w:t xml:space="preserve">So you, </w:t>
      </w:r>
      <w:r w:rsidR="00D3329B" w:rsidRPr="001005B7">
        <w:rPr>
          <w:lang w:eastAsia="en-GB"/>
        </w:rPr>
        <w:t>my man</w:t>
      </w:r>
      <w:r w:rsidRPr="001005B7">
        <w:rPr>
          <w:lang w:eastAsia="en-GB"/>
        </w:rPr>
        <w:t xml:space="preserve">, </w:t>
      </w:r>
      <w:r w:rsidR="008E1C6C" w:rsidRPr="001005B7">
        <w:rPr>
          <w:lang w:eastAsia="en-GB"/>
        </w:rPr>
        <w:t>listen to</w:t>
      </w:r>
      <w:r w:rsidR="00CB63CC" w:rsidRPr="001005B7">
        <w:rPr>
          <w:lang w:eastAsia="en-GB"/>
        </w:rPr>
        <w:t xml:space="preserve"> wh</w:t>
      </w:r>
      <w:r w:rsidR="00712B52" w:rsidRPr="001005B7">
        <w:rPr>
          <w:lang w:eastAsia="en-GB"/>
        </w:rPr>
        <w:t>a</w:t>
      </w:r>
      <w:r w:rsidR="00CB63CC" w:rsidRPr="001005B7">
        <w:rPr>
          <w:lang w:eastAsia="en-GB"/>
        </w:rPr>
        <w:t>t I am speaking to you—don’t be</w:t>
      </w:r>
      <w:r w:rsidR="00B70EFE" w:rsidRPr="001005B7">
        <w:rPr>
          <w:lang w:eastAsia="en-GB"/>
        </w:rPr>
        <w:t>come</w:t>
      </w:r>
      <w:r w:rsidR="00CB63CC" w:rsidRPr="001005B7">
        <w:rPr>
          <w:lang w:eastAsia="en-GB"/>
        </w:rPr>
        <w:t xml:space="preserve"> rebellious </w:t>
      </w:r>
      <w:r w:rsidR="00FB1049" w:rsidRPr="001005B7">
        <w:rPr>
          <w:lang w:eastAsia="en-GB"/>
        </w:rPr>
        <w:t>like the</w:t>
      </w:r>
      <w:r w:rsidR="004C2E96" w:rsidRPr="001005B7">
        <w:rPr>
          <w:lang w:eastAsia="en-GB"/>
        </w:rPr>
        <w:t xml:space="preserve"> household of</w:t>
      </w:r>
      <w:r w:rsidR="00FB1049" w:rsidRPr="001005B7">
        <w:rPr>
          <w:lang w:eastAsia="en-GB"/>
        </w:rPr>
        <w:t xml:space="preserve"> rebellio</w:t>
      </w:r>
      <w:r w:rsidR="004C2E96" w:rsidRPr="001005B7">
        <w:rPr>
          <w:lang w:eastAsia="en-GB"/>
        </w:rPr>
        <w:t>n</w:t>
      </w:r>
      <w:r w:rsidR="005819B6">
        <w:rPr>
          <w:lang w:eastAsia="en-GB"/>
        </w:rPr>
        <w:t>—</w:t>
      </w:r>
      <w:r w:rsidR="0097640F" w:rsidRPr="001005B7">
        <w:rPr>
          <w:lang w:eastAsia="en-GB"/>
        </w:rPr>
        <w:t>o</w:t>
      </w:r>
      <w:r w:rsidR="00712B52" w:rsidRPr="001005B7">
        <w:rPr>
          <w:lang w:eastAsia="en-GB"/>
        </w:rPr>
        <w:t>pen you</w:t>
      </w:r>
      <w:r w:rsidR="00A10897" w:rsidRPr="001005B7">
        <w:rPr>
          <w:lang w:eastAsia="en-GB"/>
        </w:rPr>
        <w:t>r</w:t>
      </w:r>
      <w:r w:rsidR="00712B52" w:rsidRPr="001005B7">
        <w:rPr>
          <w:lang w:eastAsia="en-GB"/>
        </w:rPr>
        <w:t xml:space="preserve"> mouth and eat what I</w:t>
      </w:r>
      <w:r w:rsidR="003F3C30" w:rsidRPr="001005B7">
        <w:rPr>
          <w:lang w:eastAsia="en-GB"/>
        </w:rPr>
        <w:t>’</w:t>
      </w:r>
      <w:r w:rsidR="00A10897" w:rsidRPr="001005B7">
        <w:rPr>
          <w:lang w:eastAsia="en-GB"/>
        </w:rPr>
        <w:t xml:space="preserve">m giving </w:t>
      </w:r>
      <w:r w:rsidR="006E70C6" w:rsidRPr="001005B7">
        <w:rPr>
          <w:lang w:eastAsia="en-GB"/>
        </w:rPr>
        <w:t xml:space="preserve">to </w:t>
      </w:r>
      <w:r w:rsidR="00A10897" w:rsidRPr="001005B7">
        <w:rPr>
          <w:lang w:eastAsia="en-GB"/>
        </w:rPr>
        <w:t xml:space="preserve">you. </w:t>
      </w:r>
      <w:r w:rsidR="00A10897" w:rsidRPr="001005B7">
        <w:rPr>
          <w:vertAlign w:val="superscript"/>
          <w:lang w:eastAsia="en-GB"/>
        </w:rPr>
        <w:t>9</w:t>
      </w:r>
      <w:r w:rsidR="00A10897" w:rsidRPr="001005B7">
        <w:rPr>
          <w:lang w:eastAsia="en-GB"/>
        </w:rPr>
        <w:t xml:space="preserve">I </w:t>
      </w:r>
      <w:r w:rsidR="009E060E" w:rsidRPr="001005B7">
        <w:rPr>
          <w:lang w:eastAsia="en-GB"/>
        </w:rPr>
        <w:t>saw</w:t>
      </w:r>
      <w:r w:rsidR="00A10897" w:rsidRPr="001005B7">
        <w:rPr>
          <w:lang w:eastAsia="en-GB"/>
        </w:rPr>
        <w:t xml:space="preserve">, and there, </w:t>
      </w:r>
      <w:r w:rsidR="00CF1EA1" w:rsidRPr="001005B7">
        <w:rPr>
          <w:lang w:eastAsia="en-GB"/>
        </w:rPr>
        <w:t>a hand stretched out to me</w:t>
      </w:r>
      <w:r w:rsidR="00180E13" w:rsidRPr="001005B7">
        <w:rPr>
          <w:lang w:eastAsia="en-GB"/>
        </w:rPr>
        <w:t xml:space="preserve">, and there, </w:t>
      </w:r>
      <w:r w:rsidR="00C40896" w:rsidRPr="001005B7">
        <w:rPr>
          <w:lang w:eastAsia="en-GB"/>
        </w:rPr>
        <w:t xml:space="preserve">in it </w:t>
      </w:r>
      <w:r w:rsidR="0090144D" w:rsidRPr="001005B7">
        <w:rPr>
          <w:lang w:eastAsia="en-GB"/>
        </w:rPr>
        <w:t xml:space="preserve">a document scroll. </w:t>
      </w:r>
      <w:r w:rsidR="0090144D" w:rsidRPr="001005B7">
        <w:rPr>
          <w:vertAlign w:val="superscript"/>
          <w:lang w:eastAsia="en-GB"/>
        </w:rPr>
        <w:t>10</w:t>
      </w:r>
      <w:r w:rsidR="00DF3FD4" w:rsidRPr="001005B7">
        <w:rPr>
          <w:lang w:eastAsia="en-GB"/>
        </w:rPr>
        <w:t xml:space="preserve">He </w:t>
      </w:r>
      <w:r w:rsidR="009E6ABC" w:rsidRPr="001005B7">
        <w:rPr>
          <w:lang w:eastAsia="en-GB"/>
        </w:rPr>
        <w:t>unrolled</w:t>
      </w:r>
      <w:r w:rsidR="00DF3FD4" w:rsidRPr="001005B7">
        <w:rPr>
          <w:lang w:eastAsia="en-GB"/>
        </w:rPr>
        <w:t xml:space="preserve"> </w:t>
      </w:r>
      <w:r w:rsidR="001166DA" w:rsidRPr="001005B7">
        <w:rPr>
          <w:lang w:eastAsia="en-GB"/>
        </w:rPr>
        <w:t xml:space="preserve">it </w:t>
      </w:r>
      <w:r w:rsidR="00DF3FD4" w:rsidRPr="001005B7">
        <w:rPr>
          <w:lang w:eastAsia="en-GB"/>
        </w:rPr>
        <w:t xml:space="preserve">in front of me, and it was written on, front and back. </w:t>
      </w:r>
      <w:r w:rsidR="00ED1D8F" w:rsidRPr="001005B7">
        <w:rPr>
          <w:lang w:eastAsia="en-GB"/>
        </w:rPr>
        <w:t>Written on it</w:t>
      </w:r>
      <w:r w:rsidR="0039147A" w:rsidRPr="001005B7">
        <w:rPr>
          <w:lang w:eastAsia="en-GB"/>
        </w:rPr>
        <w:t xml:space="preserve"> were </w:t>
      </w:r>
      <w:r w:rsidR="00DC0466" w:rsidRPr="001005B7">
        <w:rPr>
          <w:lang w:eastAsia="en-GB"/>
        </w:rPr>
        <w:t>requiems</w:t>
      </w:r>
      <w:r w:rsidR="0039147A" w:rsidRPr="001005B7">
        <w:rPr>
          <w:lang w:eastAsia="en-GB"/>
        </w:rPr>
        <w:t>, mo</w:t>
      </w:r>
      <w:r w:rsidR="00E24F19" w:rsidRPr="001005B7">
        <w:rPr>
          <w:lang w:eastAsia="en-GB"/>
        </w:rPr>
        <w:t>a</w:t>
      </w:r>
      <w:r w:rsidR="0039147A" w:rsidRPr="001005B7">
        <w:rPr>
          <w:lang w:eastAsia="en-GB"/>
        </w:rPr>
        <w:t xml:space="preserve">ning, and </w:t>
      </w:r>
      <w:r w:rsidR="009763C7" w:rsidRPr="001005B7">
        <w:rPr>
          <w:lang w:eastAsia="en-GB"/>
        </w:rPr>
        <w:t>“</w:t>
      </w:r>
      <w:r w:rsidR="0039147A" w:rsidRPr="001005B7">
        <w:rPr>
          <w:lang w:eastAsia="en-GB"/>
        </w:rPr>
        <w:t>o</w:t>
      </w:r>
      <w:r w:rsidR="00376BF8" w:rsidRPr="001005B7">
        <w:rPr>
          <w:lang w:eastAsia="en-GB"/>
        </w:rPr>
        <w:t>h</w:t>
      </w:r>
      <w:r w:rsidR="0039147A" w:rsidRPr="001005B7">
        <w:rPr>
          <w:lang w:eastAsia="en-GB"/>
        </w:rPr>
        <w:t>.</w:t>
      </w:r>
      <w:r w:rsidR="009763C7" w:rsidRPr="001005B7">
        <w:rPr>
          <w:lang w:eastAsia="en-GB"/>
        </w:rPr>
        <w:t>”</w:t>
      </w:r>
    </w:p>
    <w:p w14:paraId="3C9E87A7" w14:textId="4F4C9457" w:rsidR="00C3464E" w:rsidRPr="001005B7" w:rsidRDefault="00C3464E" w:rsidP="0065459B">
      <w:pPr>
        <w:rPr>
          <w:lang w:eastAsia="en-GB"/>
        </w:rPr>
      </w:pPr>
      <w:r w:rsidRPr="001005B7">
        <w:rPr>
          <w:vertAlign w:val="superscript"/>
          <w:lang w:eastAsia="en-GB"/>
        </w:rPr>
        <w:t>3:1</w:t>
      </w:r>
      <w:r w:rsidRPr="001005B7">
        <w:rPr>
          <w:lang w:eastAsia="en-GB"/>
        </w:rPr>
        <w:t>He said to me</w:t>
      </w:r>
      <w:r w:rsidR="008229D6" w:rsidRPr="001005B7">
        <w:rPr>
          <w:lang w:eastAsia="en-GB"/>
        </w:rPr>
        <w:t>,</w:t>
      </w:r>
      <w:r w:rsidRPr="001005B7">
        <w:rPr>
          <w:lang w:eastAsia="en-GB"/>
        </w:rPr>
        <w:t xml:space="preserve"> </w:t>
      </w:r>
      <w:r w:rsidR="00D3329B" w:rsidRPr="001005B7">
        <w:rPr>
          <w:lang w:eastAsia="en-GB"/>
        </w:rPr>
        <w:t>My man</w:t>
      </w:r>
      <w:r w:rsidR="00A62848" w:rsidRPr="001005B7">
        <w:rPr>
          <w:lang w:eastAsia="en-GB"/>
        </w:rPr>
        <w:t xml:space="preserve">, what you find, </w:t>
      </w:r>
      <w:r w:rsidR="00146DE7" w:rsidRPr="001005B7">
        <w:rPr>
          <w:lang w:eastAsia="en-GB"/>
        </w:rPr>
        <w:t>eat</w:t>
      </w:r>
      <w:r w:rsidR="005819B6">
        <w:rPr>
          <w:lang w:eastAsia="en-GB"/>
        </w:rPr>
        <w:t>—</w:t>
      </w:r>
      <w:r w:rsidR="00636054" w:rsidRPr="001005B7">
        <w:rPr>
          <w:lang w:eastAsia="en-GB"/>
        </w:rPr>
        <w:t>e</w:t>
      </w:r>
      <w:r w:rsidR="00146DE7" w:rsidRPr="001005B7">
        <w:rPr>
          <w:lang w:eastAsia="en-GB"/>
        </w:rPr>
        <w:t>at this scroll</w:t>
      </w:r>
      <w:r w:rsidR="00740046" w:rsidRPr="001005B7">
        <w:rPr>
          <w:lang w:eastAsia="en-GB"/>
        </w:rPr>
        <w:t xml:space="preserve"> and go, speak to Israel’s household</w:t>
      </w:r>
      <w:r w:rsidR="00764586" w:rsidRPr="001005B7">
        <w:rPr>
          <w:lang w:eastAsia="en-GB"/>
        </w:rPr>
        <w:t xml:space="preserve">. </w:t>
      </w:r>
      <w:r w:rsidR="00764586" w:rsidRPr="001005B7">
        <w:rPr>
          <w:vertAlign w:val="superscript"/>
          <w:lang w:eastAsia="en-GB"/>
        </w:rPr>
        <w:t>2</w:t>
      </w:r>
      <w:r w:rsidR="00764586" w:rsidRPr="001005B7">
        <w:rPr>
          <w:lang w:eastAsia="en-GB"/>
        </w:rPr>
        <w:t>So I opened my mouth</w:t>
      </w:r>
      <w:r w:rsidR="008C4B52" w:rsidRPr="001005B7">
        <w:rPr>
          <w:lang w:eastAsia="en-GB"/>
        </w:rPr>
        <w:t xml:space="preserve"> and </w:t>
      </w:r>
      <w:r w:rsidR="001F17BF" w:rsidRPr="001005B7">
        <w:rPr>
          <w:lang w:eastAsia="en-GB"/>
        </w:rPr>
        <w:t xml:space="preserve">he got me to eat </w:t>
      </w:r>
      <w:r w:rsidR="008C4B52" w:rsidRPr="001005B7">
        <w:rPr>
          <w:lang w:eastAsia="en-GB"/>
        </w:rPr>
        <w:t>this scroll.</w:t>
      </w:r>
      <w:r w:rsidR="001F17BF" w:rsidRPr="001005B7">
        <w:rPr>
          <w:lang w:eastAsia="en-GB"/>
        </w:rPr>
        <w:t xml:space="preserve"> </w:t>
      </w:r>
      <w:r w:rsidR="001F17BF" w:rsidRPr="001005B7">
        <w:rPr>
          <w:vertAlign w:val="superscript"/>
          <w:lang w:eastAsia="en-GB"/>
        </w:rPr>
        <w:t>3</w:t>
      </w:r>
      <w:r w:rsidR="001F17BF" w:rsidRPr="001005B7">
        <w:rPr>
          <w:lang w:eastAsia="en-GB"/>
        </w:rPr>
        <w:t>He said to me</w:t>
      </w:r>
      <w:r w:rsidR="00D51754" w:rsidRPr="001005B7">
        <w:rPr>
          <w:lang w:eastAsia="en-GB"/>
        </w:rPr>
        <w:t>,</w:t>
      </w:r>
      <w:r w:rsidR="00983C10" w:rsidRPr="001005B7">
        <w:rPr>
          <w:lang w:eastAsia="en-GB"/>
        </w:rPr>
        <w:t xml:space="preserve"> </w:t>
      </w:r>
      <w:r w:rsidR="00D3329B" w:rsidRPr="001005B7">
        <w:rPr>
          <w:lang w:eastAsia="en-GB"/>
        </w:rPr>
        <w:t>My man</w:t>
      </w:r>
      <w:r w:rsidR="001F17BF" w:rsidRPr="001005B7">
        <w:rPr>
          <w:lang w:eastAsia="en-GB"/>
        </w:rPr>
        <w:t xml:space="preserve">, </w:t>
      </w:r>
      <w:r w:rsidR="00EB2409" w:rsidRPr="001005B7">
        <w:rPr>
          <w:lang w:eastAsia="en-GB"/>
        </w:rPr>
        <w:t xml:space="preserve">you are to </w:t>
      </w:r>
      <w:r w:rsidR="0019149B" w:rsidRPr="001005B7">
        <w:rPr>
          <w:lang w:eastAsia="en-GB"/>
        </w:rPr>
        <w:t>get your stomach to eat</w:t>
      </w:r>
      <w:r w:rsidR="00403351" w:rsidRPr="001005B7">
        <w:rPr>
          <w:lang w:eastAsia="en-GB"/>
        </w:rPr>
        <w:t xml:space="preserve"> and fill your insides with this scrol</w:t>
      </w:r>
      <w:r w:rsidR="00F75B51" w:rsidRPr="001005B7">
        <w:rPr>
          <w:lang w:eastAsia="en-GB"/>
        </w:rPr>
        <w:t>l that I</w:t>
      </w:r>
      <w:r w:rsidR="00355F22" w:rsidRPr="001005B7">
        <w:rPr>
          <w:lang w:eastAsia="en-GB"/>
        </w:rPr>
        <w:t>’</w:t>
      </w:r>
      <w:r w:rsidR="00F75B51" w:rsidRPr="001005B7">
        <w:rPr>
          <w:lang w:eastAsia="en-GB"/>
        </w:rPr>
        <w:t>m giving to you</w:t>
      </w:r>
      <w:r w:rsidR="00DC558E" w:rsidRPr="001005B7">
        <w:rPr>
          <w:lang w:eastAsia="en-GB"/>
        </w:rPr>
        <w:t>. I ate it, and it became in my mouth like molasses</w:t>
      </w:r>
      <w:r w:rsidR="008162F2" w:rsidRPr="001005B7">
        <w:rPr>
          <w:rStyle w:val="FootnoteReference"/>
          <w:lang w:eastAsia="en-GB"/>
        </w:rPr>
        <w:footnoteReference w:id="126"/>
      </w:r>
      <w:r w:rsidR="00DC558E" w:rsidRPr="001005B7">
        <w:rPr>
          <w:lang w:eastAsia="en-GB"/>
        </w:rPr>
        <w:t xml:space="preserve"> </w:t>
      </w:r>
      <w:r w:rsidR="00EE63D6" w:rsidRPr="001005B7">
        <w:rPr>
          <w:lang w:eastAsia="en-GB"/>
        </w:rPr>
        <w:t>for sweetness.</w:t>
      </w:r>
    </w:p>
    <w:p w14:paraId="5CB33264" w14:textId="1B8A4487" w:rsidR="006316C7" w:rsidRPr="001005B7" w:rsidRDefault="00046EB6" w:rsidP="0065459B">
      <w:pPr>
        <w:rPr>
          <w:lang w:eastAsia="en-GB"/>
        </w:rPr>
      </w:pPr>
      <w:r w:rsidRPr="001005B7">
        <w:rPr>
          <w:vertAlign w:val="superscript"/>
          <w:lang w:eastAsia="en-GB"/>
        </w:rPr>
        <w:t>4</w:t>
      </w:r>
      <w:r w:rsidRPr="001005B7">
        <w:rPr>
          <w:lang w:eastAsia="en-GB"/>
        </w:rPr>
        <w:t>He said to me</w:t>
      </w:r>
      <w:r w:rsidR="00AC3FF6" w:rsidRPr="001005B7">
        <w:rPr>
          <w:lang w:eastAsia="en-GB"/>
        </w:rPr>
        <w:t>,</w:t>
      </w:r>
      <w:r w:rsidR="006724D3" w:rsidRPr="001005B7">
        <w:rPr>
          <w:lang w:eastAsia="en-GB"/>
        </w:rPr>
        <w:t xml:space="preserve"> </w:t>
      </w:r>
      <w:r w:rsidR="00D3329B" w:rsidRPr="001005B7">
        <w:rPr>
          <w:lang w:eastAsia="en-GB"/>
        </w:rPr>
        <w:t>My man</w:t>
      </w:r>
      <w:r w:rsidRPr="001005B7">
        <w:rPr>
          <w:lang w:eastAsia="en-GB"/>
        </w:rPr>
        <w:t xml:space="preserve">, </w:t>
      </w:r>
      <w:r w:rsidR="00BA0303" w:rsidRPr="001005B7">
        <w:rPr>
          <w:lang w:eastAsia="en-GB"/>
        </w:rPr>
        <w:t>Go, get to Israel’s household</w:t>
      </w:r>
      <w:r w:rsidR="005210BE" w:rsidRPr="001005B7">
        <w:rPr>
          <w:lang w:eastAsia="en-GB"/>
        </w:rPr>
        <w:t xml:space="preserve"> and speak with my words to </w:t>
      </w:r>
      <w:r w:rsidR="008029D7" w:rsidRPr="001005B7">
        <w:rPr>
          <w:lang w:eastAsia="en-GB"/>
        </w:rPr>
        <w:t>the</w:t>
      </w:r>
      <w:r w:rsidR="004248E1" w:rsidRPr="001005B7">
        <w:rPr>
          <w:lang w:eastAsia="en-GB"/>
        </w:rPr>
        <w:t>m</w:t>
      </w:r>
      <w:r w:rsidR="005210BE" w:rsidRPr="001005B7">
        <w:rPr>
          <w:lang w:eastAsia="en-GB"/>
        </w:rPr>
        <w:t>.</w:t>
      </w:r>
      <w:r w:rsidR="000B64DD" w:rsidRPr="001005B7">
        <w:rPr>
          <w:lang w:eastAsia="en-GB"/>
        </w:rPr>
        <w:t xml:space="preserve"> </w:t>
      </w:r>
      <w:r w:rsidR="000B64DD" w:rsidRPr="001005B7">
        <w:rPr>
          <w:vertAlign w:val="superscript"/>
          <w:lang w:eastAsia="en-GB"/>
        </w:rPr>
        <w:t>5</w:t>
      </w:r>
      <w:r w:rsidR="000B64DD" w:rsidRPr="001005B7">
        <w:rPr>
          <w:lang w:eastAsia="en-GB"/>
        </w:rPr>
        <w:t>Because it’s not to a people</w:t>
      </w:r>
      <w:r w:rsidR="00F340F5" w:rsidRPr="001005B7">
        <w:rPr>
          <w:lang w:eastAsia="en-GB"/>
        </w:rPr>
        <w:t xml:space="preserve"> obscure</w:t>
      </w:r>
      <w:r w:rsidR="00537B94" w:rsidRPr="001005B7">
        <w:rPr>
          <w:rStyle w:val="FootnoteReference"/>
          <w:lang w:eastAsia="en-GB"/>
        </w:rPr>
        <w:footnoteReference w:id="127"/>
      </w:r>
      <w:r w:rsidR="00F340F5" w:rsidRPr="001005B7">
        <w:rPr>
          <w:lang w:eastAsia="en-GB"/>
        </w:rPr>
        <w:t xml:space="preserve"> of </w:t>
      </w:r>
      <w:r w:rsidR="007E6766" w:rsidRPr="001005B7">
        <w:rPr>
          <w:lang w:eastAsia="en-GB"/>
        </w:rPr>
        <w:t xml:space="preserve">lip </w:t>
      </w:r>
      <w:r w:rsidR="00472621" w:rsidRPr="001005B7">
        <w:rPr>
          <w:lang w:eastAsia="en-GB"/>
        </w:rPr>
        <w:t>and</w:t>
      </w:r>
      <w:r w:rsidR="007E6766" w:rsidRPr="001005B7">
        <w:rPr>
          <w:lang w:eastAsia="en-GB"/>
        </w:rPr>
        <w:t xml:space="preserve"> </w:t>
      </w:r>
      <w:r w:rsidR="008324B4" w:rsidRPr="001005B7">
        <w:rPr>
          <w:lang w:eastAsia="en-GB"/>
        </w:rPr>
        <w:t>heavy</w:t>
      </w:r>
      <w:r w:rsidR="007E6766" w:rsidRPr="001005B7">
        <w:rPr>
          <w:lang w:eastAsia="en-GB"/>
        </w:rPr>
        <w:t xml:space="preserve"> of tongue </w:t>
      </w:r>
      <w:r w:rsidR="008155E9" w:rsidRPr="001005B7">
        <w:rPr>
          <w:lang w:eastAsia="en-GB"/>
        </w:rPr>
        <w:t>that you are sen</w:t>
      </w:r>
      <w:r w:rsidR="00B04ADC" w:rsidRPr="001005B7">
        <w:rPr>
          <w:lang w:eastAsia="en-GB"/>
        </w:rPr>
        <w:t>t</w:t>
      </w:r>
      <w:r w:rsidR="001C7D67" w:rsidRPr="001005B7">
        <w:rPr>
          <w:lang w:eastAsia="en-GB"/>
        </w:rPr>
        <w:t>—</w:t>
      </w:r>
      <w:r w:rsidR="008155E9" w:rsidRPr="001005B7">
        <w:rPr>
          <w:lang w:eastAsia="en-GB"/>
        </w:rPr>
        <w:t>to Israel’s household</w:t>
      </w:r>
      <w:r w:rsidR="00B04ADC" w:rsidRPr="001005B7">
        <w:rPr>
          <w:lang w:eastAsia="en-GB"/>
        </w:rPr>
        <w:t>,</w:t>
      </w:r>
      <w:r w:rsidR="008155E9" w:rsidRPr="001005B7">
        <w:rPr>
          <w:lang w:eastAsia="en-GB"/>
        </w:rPr>
        <w:t xml:space="preserve"> </w:t>
      </w:r>
      <w:r w:rsidR="008155E9" w:rsidRPr="001005B7">
        <w:rPr>
          <w:vertAlign w:val="superscript"/>
          <w:lang w:eastAsia="en-GB"/>
        </w:rPr>
        <w:t>6</w:t>
      </w:r>
      <w:r w:rsidR="00B04ADC" w:rsidRPr="001005B7">
        <w:rPr>
          <w:lang w:eastAsia="en-GB"/>
        </w:rPr>
        <w:t>n</w:t>
      </w:r>
      <w:r w:rsidR="00721464" w:rsidRPr="001005B7">
        <w:rPr>
          <w:lang w:eastAsia="en-GB"/>
        </w:rPr>
        <w:t xml:space="preserve">ot to </w:t>
      </w:r>
      <w:r w:rsidR="00295066" w:rsidRPr="001005B7">
        <w:rPr>
          <w:lang w:eastAsia="en-GB"/>
        </w:rPr>
        <w:t xml:space="preserve">many </w:t>
      </w:r>
      <w:r w:rsidR="00721464" w:rsidRPr="001005B7">
        <w:rPr>
          <w:lang w:eastAsia="en-GB"/>
        </w:rPr>
        <w:t xml:space="preserve">peoples obscure of lip </w:t>
      </w:r>
      <w:r w:rsidR="006A264F" w:rsidRPr="001005B7">
        <w:rPr>
          <w:lang w:eastAsia="en-GB"/>
        </w:rPr>
        <w:t xml:space="preserve">and </w:t>
      </w:r>
      <w:r w:rsidR="001339E8" w:rsidRPr="001005B7">
        <w:rPr>
          <w:lang w:eastAsia="en-GB"/>
        </w:rPr>
        <w:t>heavy</w:t>
      </w:r>
      <w:r w:rsidR="006A264F" w:rsidRPr="001005B7">
        <w:rPr>
          <w:lang w:eastAsia="en-GB"/>
        </w:rPr>
        <w:t xml:space="preserve"> of tongue</w:t>
      </w:r>
      <w:r w:rsidR="00B96C0C" w:rsidRPr="001005B7">
        <w:rPr>
          <w:lang w:eastAsia="en-GB"/>
        </w:rPr>
        <w:t xml:space="preserve">, </w:t>
      </w:r>
      <w:r w:rsidR="00EF7863" w:rsidRPr="001005B7">
        <w:rPr>
          <w:lang w:eastAsia="en-GB"/>
        </w:rPr>
        <w:t xml:space="preserve">whose words </w:t>
      </w:r>
      <w:r w:rsidR="00B2233C" w:rsidRPr="001005B7">
        <w:rPr>
          <w:lang w:eastAsia="en-GB"/>
        </w:rPr>
        <w:t>you w</w:t>
      </w:r>
      <w:r w:rsidR="003370A2" w:rsidRPr="001005B7">
        <w:rPr>
          <w:lang w:eastAsia="en-GB"/>
        </w:rPr>
        <w:t>o</w:t>
      </w:r>
      <w:r w:rsidR="00CB1A87" w:rsidRPr="001005B7">
        <w:rPr>
          <w:lang w:eastAsia="en-GB"/>
        </w:rPr>
        <w:t>u</w:t>
      </w:r>
      <w:r w:rsidR="003370A2" w:rsidRPr="001005B7">
        <w:rPr>
          <w:lang w:eastAsia="en-GB"/>
        </w:rPr>
        <w:t>ld</w:t>
      </w:r>
      <w:r w:rsidR="00B2233C" w:rsidRPr="001005B7">
        <w:rPr>
          <w:lang w:eastAsia="en-GB"/>
        </w:rPr>
        <w:t xml:space="preserve"> not </w:t>
      </w:r>
      <w:r w:rsidR="00CB1A87" w:rsidRPr="001005B7">
        <w:rPr>
          <w:lang w:eastAsia="en-GB"/>
        </w:rPr>
        <w:t xml:space="preserve">[be able to] </w:t>
      </w:r>
      <w:r w:rsidR="00BB61CA" w:rsidRPr="001005B7">
        <w:rPr>
          <w:lang w:eastAsia="en-GB"/>
        </w:rPr>
        <w:t>listen to</w:t>
      </w:r>
      <w:r w:rsidR="00335152" w:rsidRPr="001005B7">
        <w:rPr>
          <w:lang w:eastAsia="en-GB"/>
        </w:rPr>
        <w:t xml:space="preserve">—if </w:t>
      </w:r>
      <w:r w:rsidR="00397F1E" w:rsidRPr="001005B7">
        <w:rPr>
          <w:lang w:eastAsia="en-GB"/>
        </w:rPr>
        <w:t xml:space="preserve">it </w:t>
      </w:r>
      <w:r w:rsidR="003B0F25" w:rsidRPr="001005B7">
        <w:rPr>
          <w:lang w:eastAsia="en-GB"/>
        </w:rPr>
        <w:t xml:space="preserve">actually </w:t>
      </w:r>
      <w:r w:rsidR="00397F1E" w:rsidRPr="001005B7">
        <w:rPr>
          <w:lang w:eastAsia="en-GB"/>
        </w:rPr>
        <w:t>was</w:t>
      </w:r>
      <w:r w:rsidR="00C71CC5" w:rsidRPr="001005B7">
        <w:rPr>
          <w:rStyle w:val="FootnoteReference"/>
          <w:lang w:eastAsia="en-GB"/>
        </w:rPr>
        <w:footnoteReference w:id="128"/>
      </w:r>
      <w:r w:rsidR="00397F1E" w:rsidRPr="001005B7">
        <w:rPr>
          <w:lang w:eastAsia="en-GB"/>
        </w:rPr>
        <w:t xml:space="preserve"> to them </w:t>
      </w:r>
      <w:r w:rsidR="00335152" w:rsidRPr="001005B7">
        <w:rPr>
          <w:lang w:eastAsia="en-GB"/>
        </w:rPr>
        <w:t xml:space="preserve">I sent you, they would </w:t>
      </w:r>
      <w:r w:rsidR="00924207" w:rsidRPr="001005B7">
        <w:rPr>
          <w:lang w:eastAsia="en-GB"/>
        </w:rPr>
        <w:t>listen to</w:t>
      </w:r>
      <w:r w:rsidR="00335152" w:rsidRPr="001005B7">
        <w:rPr>
          <w:lang w:eastAsia="en-GB"/>
        </w:rPr>
        <w:t xml:space="preserve"> you. </w:t>
      </w:r>
      <w:r w:rsidR="00335152" w:rsidRPr="001005B7">
        <w:rPr>
          <w:vertAlign w:val="superscript"/>
          <w:lang w:eastAsia="en-GB"/>
        </w:rPr>
        <w:t>7</w:t>
      </w:r>
      <w:r w:rsidR="003D296D" w:rsidRPr="001005B7">
        <w:rPr>
          <w:lang w:eastAsia="en-GB"/>
        </w:rPr>
        <w:t>But Israel’s household</w:t>
      </w:r>
      <w:r w:rsidR="009A3133" w:rsidRPr="001005B7">
        <w:rPr>
          <w:lang w:eastAsia="en-GB"/>
        </w:rPr>
        <w:t xml:space="preserve">, they will not be willing to </w:t>
      </w:r>
      <w:r w:rsidR="00924207" w:rsidRPr="001005B7">
        <w:rPr>
          <w:lang w:eastAsia="en-GB"/>
        </w:rPr>
        <w:t xml:space="preserve">listen to </w:t>
      </w:r>
      <w:r w:rsidR="009A3133" w:rsidRPr="001005B7">
        <w:rPr>
          <w:lang w:eastAsia="en-GB"/>
        </w:rPr>
        <w:t>you</w:t>
      </w:r>
      <w:r w:rsidR="00EF35C5" w:rsidRPr="001005B7">
        <w:rPr>
          <w:lang w:eastAsia="en-GB"/>
        </w:rPr>
        <w:t xml:space="preserve">, because they are not willing to </w:t>
      </w:r>
      <w:r w:rsidR="00924207" w:rsidRPr="001005B7">
        <w:rPr>
          <w:lang w:eastAsia="en-GB"/>
        </w:rPr>
        <w:t>listen to</w:t>
      </w:r>
      <w:r w:rsidR="00EF35C5" w:rsidRPr="001005B7">
        <w:rPr>
          <w:lang w:eastAsia="en-GB"/>
        </w:rPr>
        <w:t xml:space="preserve"> me</w:t>
      </w:r>
      <w:r w:rsidR="00E1455F" w:rsidRPr="001005B7">
        <w:rPr>
          <w:lang w:eastAsia="en-GB"/>
        </w:rPr>
        <w:t>, because Israel’s entire household</w:t>
      </w:r>
      <w:r w:rsidR="00822037" w:rsidRPr="001005B7">
        <w:rPr>
          <w:lang w:eastAsia="en-GB"/>
        </w:rPr>
        <w:t xml:space="preserve"> are </w:t>
      </w:r>
      <w:r w:rsidR="000F38AB" w:rsidRPr="001005B7">
        <w:rPr>
          <w:lang w:eastAsia="en-GB"/>
        </w:rPr>
        <w:t>tough</w:t>
      </w:r>
      <w:r w:rsidR="009C379D" w:rsidRPr="001005B7">
        <w:rPr>
          <w:lang w:eastAsia="en-GB"/>
        </w:rPr>
        <w:t xml:space="preserve"> of </w:t>
      </w:r>
      <w:r w:rsidR="00822037" w:rsidRPr="001005B7">
        <w:rPr>
          <w:lang w:eastAsia="en-GB"/>
        </w:rPr>
        <w:t xml:space="preserve">forehead and </w:t>
      </w:r>
      <w:r w:rsidR="000F38AB" w:rsidRPr="001005B7">
        <w:rPr>
          <w:lang w:eastAsia="en-GB"/>
        </w:rPr>
        <w:t>severe</w:t>
      </w:r>
      <w:r w:rsidR="00822037" w:rsidRPr="001005B7">
        <w:rPr>
          <w:lang w:eastAsia="en-GB"/>
        </w:rPr>
        <w:t xml:space="preserve"> of mind.</w:t>
      </w:r>
      <w:r w:rsidR="00D66B7C" w:rsidRPr="001005B7">
        <w:rPr>
          <w:lang w:eastAsia="en-GB"/>
        </w:rPr>
        <w:t xml:space="preserve"> </w:t>
      </w:r>
    </w:p>
    <w:p w14:paraId="7814A8DA" w14:textId="77777777" w:rsidR="006316C7" w:rsidRPr="001005B7" w:rsidRDefault="006316C7" w:rsidP="0065459B">
      <w:pPr>
        <w:rPr>
          <w:lang w:eastAsia="en-GB"/>
        </w:rPr>
      </w:pPr>
    </w:p>
    <w:p w14:paraId="30BBDED1" w14:textId="77777777" w:rsidR="0038403D" w:rsidRPr="001005B7" w:rsidRDefault="00D66B7C" w:rsidP="0065459B">
      <w:pPr>
        <w:rPr>
          <w:lang w:eastAsia="en-GB"/>
        </w:rPr>
      </w:pPr>
      <w:r w:rsidRPr="001005B7">
        <w:rPr>
          <w:vertAlign w:val="superscript"/>
          <w:lang w:eastAsia="en-GB"/>
        </w:rPr>
        <w:t>8</w:t>
      </w:r>
      <w:r w:rsidRPr="001005B7">
        <w:rPr>
          <w:lang w:eastAsia="en-GB"/>
        </w:rPr>
        <w:t>There, I am making</w:t>
      </w:r>
      <w:r w:rsidR="000E0E28" w:rsidRPr="001005B7">
        <w:rPr>
          <w:lang w:eastAsia="en-GB"/>
        </w:rPr>
        <w:t xml:space="preserve"> your face </w:t>
      </w:r>
      <w:r w:rsidR="00BA6111" w:rsidRPr="001005B7">
        <w:rPr>
          <w:lang w:eastAsia="en-GB"/>
        </w:rPr>
        <w:t>tough</w:t>
      </w:r>
      <w:r w:rsidR="000E0E28" w:rsidRPr="001005B7">
        <w:rPr>
          <w:lang w:eastAsia="en-GB"/>
        </w:rPr>
        <w:t xml:space="preserve"> </w:t>
      </w:r>
    </w:p>
    <w:p w14:paraId="20135BE0" w14:textId="325FB6B8" w:rsidR="006316C7" w:rsidRPr="001005B7" w:rsidRDefault="0038403D" w:rsidP="0065459B">
      <w:pPr>
        <w:rPr>
          <w:lang w:eastAsia="en-GB"/>
        </w:rPr>
      </w:pPr>
      <w:r w:rsidRPr="001005B7">
        <w:rPr>
          <w:lang w:eastAsia="en-GB"/>
        </w:rPr>
        <w:tab/>
      </w:r>
      <w:r w:rsidR="00717C07" w:rsidRPr="001005B7">
        <w:rPr>
          <w:lang w:eastAsia="en-GB"/>
        </w:rPr>
        <w:t xml:space="preserve">alongside </w:t>
      </w:r>
      <w:r w:rsidR="0009355F" w:rsidRPr="001005B7">
        <w:rPr>
          <w:lang w:eastAsia="en-GB"/>
        </w:rPr>
        <w:t xml:space="preserve">their faces, </w:t>
      </w:r>
    </w:p>
    <w:p w14:paraId="63F16CE2" w14:textId="77777777" w:rsidR="0038403D" w:rsidRPr="001005B7" w:rsidRDefault="0038403D" w:rsidP="0065459B">
      <w:pPr>
        <w:rPr>
          <w:lang w:eastAsia="en-GB"/>
        </w:rPr>
      </w:pPr>
      <w:r w:rsidRPr="001005B7">
        <w:rPr>
          <w:lang w:eastAsia="en-GB"/>
        </w:rPr>
        <w:t>Y</w:t>
      </w:r>
      <w:r w:rsidR="0009355F" w:rsidRPr="001005B7">
        <w:rPr>
          <w:lang w:eastAsia="en-GB"/>
        </w:rPr>
        <w:t xml:space="preserve">our forehead </w:t>
      </w:r>
      <w:r w:rsidR="007A40DF" w:rsidRPr="001005B7">
        <w:rPr>
          <w:lang w:eastAsia="en-GB"/>
        </w:rPr>
        <w:t>tough</w:t>
      </w:r>
      <w:r w:rsidR="00031ECB" w:rsidRPr="001005B7">
        <w:rPr>
          <w:lang w:eastAsia="en-GB"/>
        </w:rPr>
        <w:t xml:space="preserve"> </w:t>
      </w:r>
    </w:p>
    <w:p w14:paraId="39225636" w14:textId="3FEAFF8E" w:rsidR="006316C7" w:rsidRPr="001005B7" w:rsidRDefault="0038403D" w:rsidP="0065459B">
      <w:pPr>
        <w:rPr>
          <w:lang w:eastAsia="en-GB"/>
        </w:rPr>
      </w:pPr>
      <w:r w:rsidRPr="001005B7">
        <w:rPr>
          <w:lang w:eastAsia="en-GB"/>
        </w:rPr>
        <w:tab/>
      </w:r>
      <w:r w:rsidR="00031ECB" w:rsidRPr="001005B7">
        <w:rPr>
          <w:lang w:eastAsia="en-GB"/>
        </w:rPr>
        <w:t xml:space="preserve">alongside their forehead. </w:t>
      </w:r>
    </w:p>
    <w:p w14:paraId="76F4F5DD" w14:textId="6A62A32E" w:rsidR="00835ABC" w:rsidRPr="001005B7" w:rsidRDefault="00E02BCF" w:rsidP="0065459B">
      <w:pPr>
        <w:rPr>
          <w:lang w:eastAsia="en-GB"/>
        </w:rPr>
      </w:pPr>
      <w:r w:rsidRPr="001005B7">
        <w:rPr>
          <w:vertAlign w:val="superscript"/>
          <w:lang w:eastAsia="en-GB"/>
        </w:rPr>
        <w:t>9</w:t>
      </w:r>
      <w:r w:rsidRPr="001005B7">
        <w:rPr>
          <w:lang w:eastAsia="en-GB"/>
        </w:rPr>
        <w:t xml:space="preserve">Like </w:t>
      </w:r>
      <w:r w:rsidR="00AB3EFD" w:rsidRPr="001005B7">
        <w:rPr>
          <w:lang w:eastAsia="en-GB"/>
        </w:rPr>
        <w:t>adamant</w:t>
      </w:r>
      <w:r w:rsidR="00543EF7" w:rsidRPr="001005B7">
        <w:rPr>
          <w:lang w:eastAsia="en-GB"/>
        </w:rPr>
        <w:t xml:space="preserve"> </w:t>
      </w:r>
      <w:r w:rsidR="001174C7" w:rsidRPr="001005B7">
        <w:rPr>
          <w:lang w:eastAsia="en-GB"/>
        </w:rPr>
        <w:t>tough</w:t>
      </w:r>
      <w:r w:rsidR="00543EF7" w:rsidRPr="001005B7">
        <w:rPr>
          <w:lang w:eastAsia="en-GB"/>
        </w:rPr>
        <w:t xml:space="preserve">er than </w:t>
      </w:r>
      <w:r w:rsidR="00CC0FFB" w:rsidRPr="001005B7">
        <w:rPr>
          <w:lang w:eastAsia="en-GB"/>
        </w:rPr>
        <w:t>flint</w:t>
      </w:r>
      <w:r w:rsidR="00C0115F" w:rsidRPr="001005B7">
        <w:rPr>
          <w:lang w:eastAsia="en-GB"/>
        </w:rPr>
        <w:t xml:space="preserve"> </w:t>
      </w:r>
    </w:p>
    <w:p w14:paraId="75183FCD" w14:textId="605051D7" w:rsidR="00835ABC" w:rsidRPr="001005B7" w:rsidRDefault="00835ABC" w:rsidP="007D667C">
      <w:pPr>
        <w:tabs>
          <w:tab w:val="left" w:pos="720"/>
          <w:tab w:val="left" w:pos="1440"/>
          <w:tab w:val="left" w:pos="2160"/>
          <w:tab w:val="left" w:pos="2880"/>
          <w:tab w:val="left" w:pos="3600"/>
          <w:tab w:val="left" w:pos="5502"/>
        </w:tabs>
        <w:rPr>
          <w:lang w:eastAsia="en-GB"/>
        </w:rPr>
      </w:pPr>
      <w:r w:rsidRPr="001005B7">
        <w:rPr>
          <w:lang w:eastAsia="en-GB"/>
        </w:rPr>
        <w:tab/>
      </w:r>
      <w:r w:rsidR="00C0115F" w:rsidRPr="001005B7">
        <w:rPr>
          <w:lang w:eastAsia="en-GB"/>
        </w:rPr>
        <w:t>I am making you</w:t>
      </w:r>
      <w:r w:rsidR="00F4679E" w:rsidRPr="001005B7">
        <w:rPr>
          <w:lang w:eastAsia="en-GB"/>
        </w:rPr>
        <w:t>r</w:t>
      </w:r>
      <w:r w:rsidR="00C0115F" w:rsidRPr="001005B7">
        <w:rPr>
          <w:lang w:eastAsia="en-GB"/>
        </w:rPr>
        <w:t xml:space="preserve"> forehea</w:t>
      </w:r>
      <w:r w:rsidRPr="001005B7">
        <w:rPr>
          <w:lang w:eastAsia="en-GB"/>
        </w:rPr>
        <w:t>d.</w:t>
      </w:r>
      <w:r w:rsidR="007D667C" w:rsidRPr="001005B7">
        <w:rPr>
          <w:lang w:eastAsia="en-GB"/>
        </w:rPr>
        <w:tab/>
      </w:r>
    </w:p>
    <w:p w14:paraId="4434B051" w14:textId="32D547B2" w:rsidR="00304CF6" w:rsidRPr="001005B7" w:rsidRDefault="00835ABC" w:rsidP="0065459B">
      <w:pPr>
        <w:rPr>
          <w:lang w:eastAsia="en-GB"/>
        </w:rPr>
      </w:pPr>
      <w:r w:rsidRPr="001005B7">
        <w:rPr>
          <w:lang w:eastAsia="en-GB"/>
        </w:rPr>
        <w:t>Y</w:t>
      </w:r>
      <w:r w:rsidR="00BF5E09" w:rsidRPr="001005B7">
        <w:rPr>
          <w:lang w:eastAsia="en-GB"/>
        </w:rPr>
        <w:t>ou will</w:t>
      </w:r>
      <w:r w:rsidR="0095179C" w:rsidRPr="001005B7">
        <w:rPr>
          <w:lang w:eastAsia="en-GB"/>
        </w:rPr>
        <w:t xml:space="preserve"> not be afraid of them</w:t>
      </w:r>
      <w:r w:rsidR="00543EF7" w:rsidRPr="001005B7">
        <w:rPr>
          <w:lang w:eastAsia="en-GB"/>
        </w:rPr>
        <w:t xml:space="preserve"> </w:t>
      </w:r>
      <w:r w:rsidR="0095179C" w:rsidRPr="001005B7">
        <w:rPr>
          <w:lang w:eastAsia="en-GB"/>
        </w:rPr>
        <w:t xml:space="preserve">and </w:t>
      </w:r>
      <w:r w:rsidR="00BF5E09" w:rsidRPr="001005B7">
        <w:rPr>
          <w:lang w:eastAsia="en-GB"/>
        </w:rPr>
        <w:t>not be scared o</w:t>
      </w:r>
      <w:r w:rsidR="00F4679E" w:rsidRPr="001005B7">
        <w:rPr>
          <w:lang w:eastAsia="en-GB"/>
        </w:rPr>
        <w:t>f</w:t>
      </w:r>
      <w:r w:rsidR="00BF5E09" w:rsidRPr="001005B7">
        <w:rPr>
          <w:lang w:eastAsia="en-GB"/>
        </w:rPr>
        <w:t xml:space="preserve"> their </w:t>
      </w:r>
      <w:r w:rsidR="00F4679E" w:rsidRPr="001005B7">
        <w:rPr>
          <w:lang w:eastAsia="en-GB"/>
        </w:rPr>
        <w:t>looks</w:t>
      </w:r>
      <w:r w:rsidR="00B66481" w:rsidRPr="001005B7">
        <w:rPr>
          <w:lang w:eastAsia="en-GB"/>
        </w:rPr>
        <w:t>,</w:t>
      </w:r>
    </w:p>
    <w:p w14:paraId="33997DFE" w14:textId="6C550BE5" w:rsidR="007E3E1B" w:rsidRPr="001005B7" w:rsidRDefault="00304CF6" w:rsidP="0065459B">
      <w:pPr>
        <w:rPr>
          <w:vertAlign w:val="superscript"/>
          <w:lang w:eastAsia="en-GB"/>
        </w:rPr>
      </w:pPr>
      <w:r w:rsidRPr="001005B7">
        <w:rPr>
          <w:lang w:eastAsia="en-GB"/>
        </w:rPr>
        <w:tab/>
      </w:r>
      <w:r w:rsidR="00F4679E" w:rsidRPr="001005B7">
        <w:rPr>
          <w:lang w:eastAsia="en-GB"/>
        </w:rPr>
        <w:t xml:space="preserve">because they are a </w:t>
      </w:r>
      <w:r w:rsidR="006B37C6" w:rsidRPr="001005B7">
        <w:rPr>
          <w:lang w:eastAsia="en-GB"/>
        </w:rPr>
        <w:t xml:space="preserve">household of </w:t>
      </w:r>
      <w:r w:rsidR="00F4679E" w:rsidRPr="001005B7">
        <w:rPr>
          <w:lang w:eastAsia="en-GB"/>
        </w:rPr>
        <w:t>rebell</w:t>
      </w:r>
      <w:r w:rsidR="006B37C6" w:rsidRPr="001005B7">
        <w:rPr>
          <w:lang w:eastAsia="en-GB"/>
        </w:rPr>
        <w:t>ion</w:t>
      </w:r>
      <w:r w:rsidR="00F4679E" w:rsidRPr="001005B7">
        <w:rPr>
          <w:lang w:eastAsia="en-GB"/>
        </w:rPr>
        <w:t>.</w:t>
      </w:r>
    </w:p>
    <w:p w14:paraId="26805F05" w14:textId="77777777" w:rsidR="00304CF6" w:rsidRPr="001005B7" w:rsidRDefault="00304CF6" w:rsidP="0065459B">
      <w:pPr>
        <w:rPr>
          <w:lang w:eastAsia="en-GB"/>
        </w:rPr>
      </w:pPr>
    </w:p>
    <w:p w14:paraId="5CCD13A6" w14:textId="32071031" w:rsidR="007C39A0" w:rsidRPr="001005B7" w:rsidRDefault="007C39A0" w:rsidP="0065459B">
      <w:pPr>
        <w:rPr>
          <w:lang w:eastAsia="en-GB"/>
        </w:rPr>
      </w:pPr>
      <w:r w:rsidRPr="001005B7">
        <w:rPr>
          <w:vertAlign w:val="superscript"/>
          <w:lang w:eastAsia="en-GB"/>
        </w:rPr>
        <w:t>10</w:t>
      </w:r>
      <w:r w:rsidR="00CB23EF" w:rsidRPr="001005B7">
        <w:rPr>
          <w:lang w:eastAsia="en-GB"/>
        </w:rPr>
        <w:t>He said to me</w:t>
      </w:r>
      <w:r w:rsidR="000F11EB" w:rsidRPr="001005B7">
        <w:rPr>
          <w:lang w:eastAsia="en-GB"/>
        </w:rPr>
        <w:t>,</w:t>
      </w:r>
      <w:r w:rsidR="006724D3" w:rsidRPr="001005B7">
        <w:rPr>
          <w:lang w:eastAsia="en-GB"/>
        </w:rPr>
        <w:t xml:space="preserve"> </w:t>
      </w:r>
      <w:r w:rsidR="00D3329B" w:rsidRPr="001005B7">
        <w:rPr>
          <w:lang w:eastAsia="en-GB"/>
        </w:rPr>
        <w:t>My man</w:t>
      </w:r>
      <w:r w:rsidR="008B67EF" w:rsidRPr="001005B7">
        <w:rPr>
          <w:lang w:eastAsia="en-GB"/>
        </w:rPr>
        <w:t>, all my words that I</w:t>
      </w:r>
      <w:r w:rsidR="00C87AC9" w:rsidRPr="001005B7">
        <w:rPr>
          <w:lang w:eastAsia="en-GB"/>
        </w:rPr>
        <w:t xml:space="preserve"> shall</w:t>
      </w:r>
      <w:r w:rsidR="008B67EF" w:rsidRPr="001005B7">
        <w:rPr>
          <w:lang w:eastAsia="en-GB"/>
        </w:rPr>
        <w:t xml:space="preserve"> speak to you</w:t>
      </w:r>
      <w:r w:rsidR="00E756B2" w:rsidRPr="001005B7">
        <w:rPr>
          <w:lang w:eastAsia="en-GB"/>
        </w:rPr>
        <w:t>, receive into you</w:t>
      </w:r>
      <w:r w:rsidR="00592F37" w:rsidRPr="001005B7">
        <w:rPr>
          <w:lang w:eastAsia="en-GB"/>
        </w:rPr>
        <w:t>r</w:t>
      </w:r>
      <w:r w:rsidR="00E756B2" w:rsidRPr="001005B7">
        <w:rPr>
          <w:lang w:eastAsia="en-GB"/>
        </w:rPr>
        <w:t xml:space="preserve"> mind</w:t>
      </w:r>
      <w:r w:rsidR="00532D20" w:rsidRPr="001005B7">
        <w:rPr>
          <w:lang w:eastAsia="en-GB"/>
        </w:rPr>
        <w:t>.</w:t>
      </w:r>
      <w:r w:rsidR="00E756B2" w:rsidRPr="001005B7">
        <w:rPr>
          <w:lang w:eastAsia="en-GB"/>
        </w:rPr>
        <w:t xml:space="preserve"> </w:t>
      </w:r>
      <w:r w:rsidR="00AC5331" w:rsidRPr="001005B7">
        <w:rPr>
          <w:lang w:eastAsia="en-GB"/>
        </w:rPr>
        <w:t>With your e</w:t>
      </w:r>
      <w:r w:rsidR="00DD31C7" w:rsidRPr="001005B7">
        <w:rPr>
          <w:lang w:eastAsia="en-GB"/>
        </w:rPr>
        <w:t xml:space="preserve">ars, </w:t>
      </w:r>
      <w:r w:rsidR="00E63D93" w:rsidRPr="001005B7">
        <w:rPr>
          <w:lang w:eastAsia="en-GB"/>
        </w:rPr>
        <w:t>listen</w:t>
      </w:r>
      <w:r w:rsidR="00C65394" w:rsidRPr="001005B7">
        <w:rPr>
          <w:lang w:eastAsia="en-GB"/>
        </w:rPr>
        <w:t xml:space="preserve">. </w:t>
      </w:r>
      <w:r w:rsidR="00C65394" w:rsidRPr="001005B7">
        <w:rPr>
          <w:vertAlign w:val="superscript"/>
          <w:lang w:eastAsia="en-GB"/>
        </w:rPr>
        <w:t>11</w:t>
      </w:r>
      <w:r w:rsidR="00C65394" w:rsidRPr="001005B7">
        <w:rPr>
          <w:lang w:eastAsia="en-GB"/>
        </w:rPr>
        <w:t>Go, get</w:t>
      </w:r>
      <w:r w:rsidR="006A10A3" w:rsidRPr="001005B7">
        <w:rPr>
          <w:lang w:eastAsia="en-GB"/>
        </w:rPr>
        <w:t xml:space="preserve"> to the exile community, to </w:t>
      </w:r>
      <w:r w:rsidR="006F5814" w:rsidRPr="001005B7">
        <w:rPr>
          <w:lang w:eastAsia="en-GB"/>
        </w:rPr>
        <w:t xml:space="preserve">the members of </w:t>
      </w:r>
      <w:r w:rsidR="006A10A3" w:rsidRPr="001005B7">
        <w:rPr>
          <w:lang w:eastAsia="en-GB"/>
        </w:rPr>
        <w:t xml:space="preserve">your </w:t>
      </w:r>
      <w:r w:rsidR="00DD29BA" w:rsidRPr="001005B7">
        <w:rPr>
          <w:lang w:eastAsia="en-GB"/>
        </w:rPr>
        <w:t>people</w:t>
      </w:r>
      <w:r w:rsidR="006F1A0E" w:rsidRPr="001005B7">
        <w:rPr>
          <w:lang w:eastAsia="en-GB"/>
        </w:rPr>
        <w:t>,</w:t>
      </w:r>
      <w:r w:rsidR="007F5F5B" w:rsidRPr="001005B7">
        <w:rPr>
          <w:rStyle w:val="FootnoteReference"/>
          <w:lang w:eastAsia="en-GB"/>
        </w:rPr>
        <w:footnoteReference w:id="129"/>
      </w:r>
      <w:r w:rsidR="006F5400" w:rsidRPr="001005B7">
        <w:rPr>
          <w:lang w:eastAsia="en-GB"/>
        </w:rPr>
        <w:t xml:space="preserve"> speak to them</w:t>
      </w:r>
      <w:r w:rsidR="006F1A0E" w:rsidRPr="001005B7">
        <w:rPr>
          <w:lang w:eastAsia="en-GB"/>
        </w:rPr>
        <w:t>,</w:t>
      </w:r>
      <w:r w:rsidR="006417E5" w:rsidRPr="001005B7">
        <w:rPr>
          <w:lang w:eastAsia="en-GB"/>
        </w:rPr>
        <w:t xml:space="preserve"> and say to them</w:t>
      </w:r>
      <w:r w:rsidR="00CB4DCE" w:rsidRPr="001005B7">
        <w:rPr>
          <w:lang w:eastAsia="en-GB"/>
        </w:rPr>
        <w:t xml:space="preserve">, </w:t>
      </w:r>
      <w:r w:rsidR="005F1C66" w:rsidRPr="001005B7">
        <w:rPr>
          <w:lang w:eastAsia="en-GB"/>
        </w:rPr>
        <w:t>“</w:t>
      </w:r>
      <w:r w:rsidR="00CB4DCE" w:rsidRPr="001005B7">
        <w:rPr>
          <w:lang w:eastAsia="en-GB"/>
        </w:rPr>
        <w:t>The Lord Yahweh has said this,</w:t>
      </w:r>
      <w:r w:rsidR="005F1C66" w:rsidRPr="001005B7">
        <w:rPr>
          <w:lang w:eastAsia="en-GB"/>
        </w:rPr>
        <w:t>”</w:t>
      </w:r>
      <w:r w:rsidR="00CB4DCE" w:rsidRPr="001005B7">
        <w:rPr>
          <w:lang w:eastAsia="en-GB"/>
        </w:rPr>
        <w:t xml:space="preserve"> whether they </w:t>
      </w:r>
      <w:r w:rsidR="00A478C7" w:rsidRPr="001005B7">
        <w:rPr>
          <w:lang w:eastAsia="en-GB"/>
        </w:rPr>
        <w:t xml:space="preserve">listen </w:t>
      </w:r>
      <w:r w:rsidR="00CB4DCE" w:rsidRPr="001005B7">
        <w:rPr>
          <w:lang w:eastAsia="en-GB"/>
        </w:rPr>
        <w:t>or whether they</w:t>
      </w:r>
      <w:r w:rsidR="006E1D89" w:rsidRPr="001005B7">
        <w:rPr>
          <w:lang w:eastAsia="en-GB"/>
        </w:rPr>
        <w:t xml:space="preserve"> refuse.</w:t>
      </w:r>
    </w:p>
    <w:p w14:paraId="0EE52CF8" w14:textId="4865EB07" w:rsidR="00313DB3" w:rsidRPr="001005B7" w:rsidRDefault="006E1D89" w:rsidP="0065459B">
      <w:pPr>
        <w:rPr>
          <w:lang w:eastAsia="en-GB"/>
        </w:rPr>
      </w:pPr>
      <w:r w:rsidRPr="001005B7">
        <w:rPr>
          <w:vertAlign w:val="superscript"/>
          <w:lang w:eastAsia="en-GB"/>
        </w:rPr>
        <w:t>12</w:t>
      </w:r>
      <w:r w:rsidRPr="001005B7">
        <w:rPr>
          <w:lang w:eastAsia="en-GB"/>
        </w:rPr>
        <w:t>A spirit lifte</w:t>
      </w:r>
      <w:r w:rsidR="009F609B" w:rsidRPr="001005B7">
        <w:rPr>
          <w:lang w:eastAsia="en-GB"/>
        </w:rPr>
        <w:t>d me up, and I heard behind me</w:t>
      </w:r>
      <w:r w:rsidR="0049646C" w:rsidRPr="001005B7">
        <w:rPr>
          <w:lang w:eastAsia="en-GB"/>
        </w:rPr>
        <w:t xml:space="preserve"> a big </w:t>
      </w:r>
      <w:r w:rsidR="00DC304F" w:rsidRPr="001005B7">
        <w:rPr>
          <w:lang w:eastAsia="en-GB"/>
        </w:rPr>
        <w:t>quak</w:t>
      </w:r>
      <w:r w:rsidR="0049646C" w:rsidRPr="001005B7">
        <w:rPr>
          <w:lang w:eastAsia="en-GB"/>
        </w:rPr>
        <w:t>ing sound</w:t>
      </w:r>
      <w:r w:rsidR="00BA4869" w:rsidRPr="001005B7">
        <w:rPr>
          <w:lang w:eastAsia="en-GB"/>
        </w:rPr>
        <w:t xml:space="preserve"> (</w:t>
      </w:r>
      <w:r w:rsidR="00CD3B3F" w:rsidRPr="001005B7">
        <w:rPr>
          <w:lang w:eastAsia="en-GB"/>
        </w:rPr>
        <w:t xml:space="preserve">“Blessed be Yahweh’s </w:t>
      </w:r>
      <w:r w:rsidR="00B503D7" w:rsidRPr="001005B7">
        <w:rPr>
          <w:lang w:eastAsia="en-GB"/>
        </w:rPr>
        <w:t>brightness</w:t>
      </w:r>
      <w:r w:rsidR="00B619A2" w:rsidRPr="001005B7">
        <w:rPr>
          <w:lang w:eastAsia="en-GB"/>
        </w:rPr>
        <w:t xml:space="preserve"> from his place”</w:t>
      </w:r>
      <w:r w:rsidR="0070163D" w:rsidRPr="001005B7">
        <w:rPr>
          <w:lang w:eastAsia="en-GB"/>
        </w:rPr>
        <w:t>)</w:t>
      </w:r>
      <w:r w:rsidR="00623DB5" w:rsidRPr="001005B7">
        <w:rPr>
          <w:lang w:eastAsia="en-GB"/>
        </w:rPr>
        <w:t>,</w:t>
      </w:r>
      <w:r w:rsidR="00B619A2" w:rsidRPr="001005B7">
        <w:rPr>
          <w:lang w:eastAsia="en-GB"/>
        </w:rPr>
        <w:t xml:space="preserve"> </w:t>
      </w:r>
      <w:r w:rsidR="009E6712" w:rsidRPr="001005B7">
        <w:rPr>
          <w:vertAlign w:val="superscript"/>
          <w:lang w:eastAsia="en-GB"/>
        </w:rPr>
        <w:t>13</w:t>
      </w:r>
      <w:r w:rsidR="00E47492" w:rsidRPr="001005B7">
        <w:rPr>
          <w:lang w:eastAsia="en-GB"/>
        </w:rPr>
        <w:t>t</w:t>
      </w:r>
      <w:r w:rsidR="009E6712" w:rsidRPr="001005B7">
        <w:rPr>
          <w:lang w:eastAsia="en-GB"/>
        </w:rPr>
        <w:t>he sound</w:t>
      </w:r>
      <w:r w:rsidR="003735E7" w:rsidRPr="001005B7">
        <w:rPr>
          <w:rStyle w:val="FootnoteReference"/>
          <w:lang w:eastAsia="en-GB"/>
        </w:rPr>
        <w:footnoteReference w:id="130"/>
      </w:r>
      <w:r w:rsidR="009E6712" w:rsidRPr="001005B7">
        <w:rPr>
          <w:lang w:eastAsia="en-GB"/>
        </w:rPr>
        <w:t xml:space="preserve"> of the wings of the living beings</w:t>
      </w:r>
      <w:r w:rsidR="008A1EA2" w:rsidRPr="001005B7">
        <w:rPr>
          <w:lang w:eastAsia="en-GB"/>
        </w:rPr>
        <w:t xml:space="preserve"> </w:t>
      </w:r>
      <w:r w:rsidR="0009412E" w:rsidRPr="001005B7">
        <w:rPr>
          <w:lang w:eastAsia="en-GB"/>
        </w:rPr>
        <w:t>link</w:t>
      </w:r>
      <w:r w:rsidR="00F11C84" w:rsidRPr="001005B7">
        <w:rPr>
          <w:lang w:eastAsia="en-GB"/>
        </w:rPr>
        <w:t>ing</w:t>
      </w:r>
      <w:r w:rsidR="00A5186E" w:rsidRPr="001005B7">
        <w:rPr>
          <w:rStyle w:val="FootnoteReference"/>
          <w:lang w:eastAsia="en-GB"/>
        </w:rPr>
        <w:footnoteReference w:id="131"/>
      </w:r>
      <w:r w:rsidR="008A1EA2" w:rsidRPr="001005B7">
        <w:rPr>
          <w:lang w:eastAsia="en-GB"/>
        </w:rPr>
        <w:t xml:space="preserve"> one</w:t>
      </w:r>
      <w:r w:rsidR="009750F3" w:rsidRPr="001005B7">
        <w:rPr>
          <w:lang w:eastAsia="en-GB"/>
        </w:rPr>
        <w:t xml:space="preserve"> </w:t>
      </w:r>
      <w:r w:rsidR="00B2628E" w:rsidRPr="001005B7">
        <w:rPr>
          <w:lang w:eastAsia="en-GB"/>
        </w:rPr>
        <w:t xml:space="preserve">to </w:t>
      </w:r>
      <w:r w:rsidR="008A1EA2" w:rsidRPr="001005B7">
        <w:rPr>
          <w:lang w:eastAsia="en-GB"/>
        </w:rPr>
        <w:t>another</w:t>
      </w:r>
      <w:r w:rsidR="00D53F85" w:rsidRPr="001005B7">
        <w:rPr>
          <w:lang w:eastAsia="en-GB"/>
        </w:rPr>
        <w:t>,</w:t>
      </w:r>
      <w:r w:rsidR="008A1EA2" w:rsidRPr="001005B7">
        <w:rPr>
          <w:lang w:eastAsia="en-GB"/>
        </w:rPr>
        <w:t xml:space="preserve"> and the sound of the wheels </w:t>
      </w:r>
      <w:r w:rsidR="004C25B2" w:rsidRPr="001005B7">
        <w:rPr>
          <w:lang w:eastAsia="en-GB"/>
        </w:rPr>
        <w:t>along</w:t>
      </w:r>
      <w:r w:rsidR="008A1EA2" w:rsidRPr="001005B7">
        <w:rPr>
          <w:lang w:eastAsia="en-GB"/>
        </w:rPr>
        <w:t>side them</w:t>
      </w:r>
      <w:r w:rsidR="0079229A" w:rsidRPr="001005B7">
        <w:rPr>
          <w:lang w:eastAsia="en-GB"/>
        </w:rPr>
        <w:t xml:space="preserve">, a big </w:t>
      </w:r>
      <w:r w:rsidR="00001D00" w:rsidRPr="001005B7">
        <w:rPr>
          <w:lang w:eastAsia="en-GB"/>
        </w:rPr>
        <w:t>quak</w:t>
      </w:r>
      <w:r w:rsidR="0079229A" w:rsidRPr="001005B7">
        <w:rPr>
          <w:lang w:eastAsia="en-GB"/>
        </w:rPr>
        <w:t xml:space="preserve">ing sound. </w:t>
      </w:r>
      <w:r w:rsidR="00DC3EE1" w:rsidRPr="001005B7">
        <w:rPr>
          <w:vertAlign w:val="superscript"/>
          <w:lang w:eastAsia="en-GB"/>
        </w:rPr>
        <w:t>14</w:t>
      </w:r>
      <w:r w:rsidR="00AA368A" w:rsidRPr="001005B7">
        <w:rPr>
          <w:lang w:eastAsia="en-GB"/>
        </w:rPr>
        <w:t>Wh</w:t>
      </w:r>
      <w:r w:rsidR="00910627" w:rsidRPr="001005B7">
        <w:rPr>
          <w:lang w:eastAsia="en-GB"/>
        </w:rPr>
        <w:t>en</w:t>
      </w:r>
      <w:r w:rsidR="0052797A" w:rsidRPr="001005B7">
        <w:rPr>
          <w:lang w:eastAsia="en-GB"/>
        </w:rPr>
        <w:t xml:space="preserve"> a</w:t>
      </w:r>
      <w:r w:rsidR="00DC3EE1" w:rsidRPr="001005B7">
        <w:rPr>
          <w:lang w:eastAsia="en-GB"/>
        </w:rPr>
        <w:t xml:space="preserve"> spirit lifted me up</w:t>
      </w:r>
      <w:r w:rsidR="00910627" w:rsidRPr="001005B7">
        <w:rPr>
          <w:lang w:eastAsia="en-GB"/>
        </w:rPr>
        <w:t xml:space="preserve"> and</w:t>
      </w:r>
      <w:r w:rsidR="00DC3EE1" w:rsidRPr="001005B7">
        <w:rPr>
          <w:lang w:eastAsia="en-GB"/>
        </w:rPr>
        <w:t xml:space="preserve"> </w:t>
      </w:r>
      <w:r w:rsidR="00162C47" w:rsidRPr="001005B7">
        <w:rPr>
          <w:lang w:eastAsia="en-GB"/>
        </w:rPr>
        <w:t>took me</w:t>
      </w:r>
      <w:r w:rsidR="004C79E8" w:rsidRPr="001005B7">
        <w:rPr>
          <w:lang w:eastAsia="en-GB"/>
        </w:rPr>
        <w:t>, I went, bitter</w:t>
      </w:r>
      <w:r w:rsidR="00C526DB" w:rsidRPr="001005B7">
        <w:rPr>
          <w:lang w:eastAsia="en-GB"/>
        </w:rPr>
        <w:t>,</w:t>
      </w:r>
      <w:r w:rsidR="004C79E8" w:rsidRPr="001005B7">
        <w:rPr>
          <w:lang w:eastAsia="en-GB"/>
        </w:rPr>
        <w:t xml:space="preserve"> in </w:t>
      </w:r>
      <w:r w:rsidR="00537F2F" w:rsidRPr="001005B7">
        <w:rPr>
          <w:lang w:eastAsia="en-GB"/>
        </w:rPr>
        <w:t>the fury of my spirit</w:t>
      </w:r>
      <w:r w:rsidR="00395DB5" w:rsidRPr="001005B7">
        <w:rPr>
          <w:lang w:eastAsia="en-GB"/>
        </w:rPr>
        <w:t xml:space="preserve">, with Yahweh’s hand strong on me. </w:t>
      </w:r>
      <w:r w:rsidR="00D70950" w:rsidRPr="001005B7">
        <w:rPr>
          <w:vertAlign w:val="superscript"/>
          <w:lang w:eastAsia="en-GB"/>
        </w:rPr>
        <w:t>15</w:t>
      </w:r>
      <w:r w:rsidR="00D70950" w:rsidRPr="001005B7">
        <w:rPr>
          <w:lang w:eastAsia="en-GB"/>
        </w:rPr>
        <w:t>I came to the exile community at Tel A</w:t>
      </w:r>
      <w:r w:rsidR="006F1198" w:rsidRPr="001005B7">
        <w:rPr>
          <w:lang w:eastAsia="en-GB"/>
        </w:rPr>
        <w:t>b</w:t>
      </w:r>
      <w:r w:rsidR="00D70950" w:rsidRPr="001005B7">
        <w:rPr>
          <w:lang w:eastAsia="en-GB"/>
        </w:rPr>
        <w:t>i</w:t>
      </w:r>
      <w:r w:rsidR="006F1198" w:rsidRPr="001005B7">
        <w:rPr>
          <w:lang w:eastAsia="en-GB"/>
        </w:rPr>
        <w:t>b</w:t>
      </w:r>
      <w:r w:rsidR="00B26924" w:rsidRPr="001005B7">
        <w:rPr>
          <w:lang w:eastAsia="en-GB"/>
        </w:rPr>
        <w:t xml:space="preserve"> </w:t>
      </w:r>
      <w:r w:rsidR="004A6862" w:rsidRPr="001005B7">
        <w:rPr>
          <w:lang w:eastAsia="en-GB"/>
        </w:rPr>
        <w:t xml:space="preserve">that was </w:t>
      </w:r>
      <w:r w:rsidR="00286F2F" w:rsidRPr="001005B7">
        <w:rPr>
          <w:lang w:eastAsia="en-GB"/>
        </w:rPr>
        <w:t>stay</w:t>
      </w:r>
      <w:r w:rsidR="00BE73E8" w:rsidRPr="001005B7">
        <w:rPr>
          <w:lang w:eastAsia="en-GB"/>
        </w:rPr>
        <w:t xml:space="preserve">ing </w:t>
      </w:r>
      <w:r w:rsidR="00B26924" w:rsidRPr="001005B7">
        <w:rPr>
          <w:lang w:eastAsia="en-GB"/>
        </w:rPr>
        <w:t xml:space="preserve">by the </w:t>
      </w:r>
      <w:proofErr w:type="spellStart"/>
      <w:r w:rsidR="00B26924" w:rsidRPr="001005B7">
        <w:rPr>
          <w:lang w:eastAsia="en-GB"/>
        </w:rPr>
        <w:t>Kebar</w:t>
      </w:r>
      <w:proofErr w:type="spellEnd"/>
      <w:r w:rsidR="00B26924" w:rsidRPr="001005B7">
        <w:rPr>
          <w:lang w:eastAsia="en-GB"/>
        </w:rPr>
        <w:t xml:space="preserve"> Waterway</w:t>
      </w:r>
      <w:r w:rsidR="009A3611" w:rsidRPr="001005B7">
        <w:rPr>
          <w:lang w:eastAsia="en-GB"/>
        </w:rPr>
        <w:t>, and</w:t>
      </w:r>
      <w:r w:rsidR="001D1E8B" w:rsidRPr="001005B7">
        <w:rPr>
          <w:lang w:eastAsia="en-GB"/>
        </w:rPr>
        <w:t xml:space="preserve"> </w:t>
      </w:r>
      <w:r w:rsidR="0097071B" w:rsidRPr="001005B7">
        <w:rPr>
          <w:lang w:eastAsia="en-GB"/>
        </w:rPr>
        <w:t xml:space="preserve">I </w:t>
      </w:r>
      <w:r w:rsidR="00286F2F" w:rsidRPr="001005B7">
        <w:rPr>
          <w:lang w:eastAsia="en-GB"/>
        </w:rPr>
        <w:t>stay</w:t>
      </w:r>
      <w:r w:rsidR="00FC176E" w:rsidRPr="001005B7">
        <w:rPr>
          <w:lang w:eastAsia="en-GB"/>
        </w:rPr>
        <w:t>ed</w:t>
      </w:r>
      <w:r w:rsidR="001D1E8B" w:rsidRPr="001005B7">
        <w:rPr>
          <w:lang w:eastAsia="en-GB"/>
        </w:rPr>
        <w:t xml:space="preserve"> </w:t>
      </w:r>
      <w:r w:rsidR="00830C78" w:rsidRPr="001005B7">
        <w:rPr>
          <w:lang w:eastAsia="en-GB"/>
        </w:rPr>
        <w:t>where</w:t>
      </w:r>
      <w:r w:rsidR="001D1E8B" w:rsidRPr="001005B7">
        <w:rPr>
          <w:lang w:eastAsia="en-GB"/>
        </w:rPr>
        <w:t xml:space="preserve"> they</w:t>
      </w:r>
      <w:r w:rsidR="00830C78" w:rsidRPr="001005B7">
        <w:rPr>
          <w:lang w:eastAsia="en-GB"/>
        </w:rPr>
        <w:t xml:space="preserve"> </w:t>
      </w:r>
      <w:r w:rsidR="001D1E8B" w:rsidRPr="001005B7">
        <w:rPr>
          <w:lang w:eastAsia="en-GB"/>
        </w:rPr>
        <w:t xml:space="preserve">were </w:t>
      </w:r>
      <w:r w:rsidR="00286F2F" w:rsidRPr="001005B7">
        <w:rPr>
          <w:lang w:eastAsia="en-GB"/>
        </w:rPr>
        <w:t>stay</w:t>
      </w:r>
      <w:r w:rsidR="001D1E8B" w:rsidRPr="001005B7">
        <w:rPr>
          <w:lang w:eastAsia="en-GB"/>
        </w:rPr>
        <w:t>ing</w:t>
      </w:r>
      <w:r w:rsidR="000D5CF6" w:rsidRPr="001005B7">
        <w:rPr>
          <w:lang w:eastAsia="en-GB"/>
        </w:rPr>
        <w:t xml:space="preserve">. I </w:t>
      </w:r>
      <w:r w:rsidR="00286F2F" w:rsidRPr="001005B7">
        <w:rPr>
          <w:lang w:eastAsia="en-GB"/>
        </w:rPr>
        <w:t>stay</w:t>
      </w:r>
      <w:r w:rsidR="00FC176E" w:rsidRPr="001005B7">
        <w:rPr>
          <w:lang w:eastAsia="en-GB"/>
        </w:rPr>
        <w:t>ed</w:t>
      </w:r>
      <w:r w:rsidR="000D5CF6" w:rsidRPr="001005B7">
        <w:rPr>
          <w:lang w:eastAsia="en-GB"/>
        </w:rPr>
        <w:t xml:space="preserve"> there seven days</w:t>
      </w:r>
      <w:r w:rsidR="00C639DC" w:rsidRPr="001005B7">
        <w:rPr>
          <w:lang w:eastAsia="en-GB"/>
        </w:rPr>
        <w:t xml:space="preserve">, </w:t>
      </w:r>
      <w:r w:rsidR="004A6625" w:rsidRPr="001005B7">
        <w:rPr>
          <w:lang w:eastAsia="en-GB"/>
        </w:rPr>
        <w:t>desolate</w:t>
      </w:r>
      <w:r w:rsidR="00C639DC" w:rsidRPr="001005B7">
        <w:rPr>
          <w:lang w:eastAsia="en-GB"/>
        </w:rPr>
        <w:t>,</w:t>
      </w:r>
      <w:r w:rsidR="00776FF1" w:rsidRPr="001005B7">
        <w:rPr>
          <w:rStyle w:val="FootnoteReference"/>
          <w:lang w:eastAsia="en-GB"/>
        </w:rPr>
        <w:footnoteReference w:id="132"/>
      </w:r>
      <w:r w:rsidR="00C639DC" w:rsidRPr="001005B7">
        <w:rPr>
          <w:lang w:eastAsia="en-GB"/>
        </w:rPr>
        <w:t xml:space="preserve"> among them.</w:t>
      </w:r>
    </w:p>
    <w:p w14:paraId="362E4B98" w14:textId="77777777" w:rsidR="00133F68" w:rsidRPr="001005B7" w:rsidRDefault="00133F68" w:rsidP="00133F68">
      <w:pPr>
        <w:pStyle w:val="Heading3"/>
      </w:pPr>
      <w:r w:rsidRPr="001005B7">
        <w:t xml:space="preserve">Application and Devotional Implications </w:t>
      </w:r>
    </w:p>
    <w:p w14:paraId="2916D5F2" w14:textId="77777777" w:rsidR="00133F68" w:rsidRPr="001005B7" w:rsidRDefault="00133F68" w:rsidP="00133F68">
      <w:r w:rsidRPr="001005B7">
        <w:t xml:space="preserve">At some point in 1:28 (rabbis differ about the precise point) Jewish wisdom thought that attempts at exposition of this chapter were wise to stop (e.g., </w:t>
      </w:r>
      <w:r w:rsidRPr="001005B7">
        <w:rPr>
          <w:i/>
          <w:iCs/>
        </w:rPr>
        <w:t xml:space="preserve">m. Megillah </w:t>
      </w:r>
      <w:r w:rsidRPr="001005B7">
        <w:t>4:10;</w:t>
      </w:r>
      <w:r w:rsidRPr="001005B7">
        <w:rPr>
          <w:i/>
          <w:iCs/>
        </w:rPr>
        <w:t xml:space="preserve"> b. Hagigah</w:t>
      </w:r>
      <w:r w:rsidRPr="001005B7">
        <w:t xml:space="preserve"> 13a). They could become too dangerous. The vision did, however, become a set reading for Pentecost (</w:t>
      </w:r>
      <w:r w:rsidRPr="001005B7">
        <w:rPr>
          <w:i/>
          <w:iCs/>
        </w:rPr>
        <w:t xml:space="preserve">b. Megillah </w:t>
      </w:r>
      <w:r w:rsidRPr="001005B7">
        <w:t>31a). While the church has not reflected at the same length on this revelation to Ezekiel, it has reflected widely.</w:t>
      </w:r>
      <w:r w:rsidRPr="001005B7">
        <w:rPr>
          <w:rStyle w:val="FootnoteReference"/>
        </w:rPr>
        <w:footnoteReference w:id="133"/>
      </w:r>
      <w:r w:rsidRPr="001005B7">
        <w:t xml:space="preserve"> The four living creatures suggested ways of seeing the four Gospels.</w:t>
      </w:r>
      <w:r w:rsidRPr="001005B7">
        <w:rPr>
          <w:rStyle w:val="FootnoteReference"/>
        </w:rPr>
        <w:footnoteReference w:id="134"/>
      </w:r>
      <w:r w:rsidRPr="001005B7">
        <w:t xml:space="preserve"> They suggested the four affections, </w:t>
      </w:r>
      <w:r w:rsidRPr="001005B7">
        <w:rPr>
          <w:rFonts w:ascii="Calibri" w:hAnsi="Calibri" w:cs="Calibri"/>
        </w:rPr>
        <w:t>prudence, fortitude, justice, and temperance (Gregory, 63). The interwoven wheels suggested the two Testaments: “the Old moves within the New and the New within the Old”</w:t>
      </w:r>
      <w:r w:rsidRPr="001005B7">
        <w:rPr>
          <w:rStyle w:val="FootnoteReference"/>
          <w:rFonts w:ascii="Calibri" w:hAnsi="Calibri" w:cs="Calibri"/>
        </w:rPr>
        <w:footnoteReference w:id="135"/>
      </w:r>
      <w:r w:rsidRPr="001005B7">
        <w:rPr>
          <w:rFonts w:ascii="Calibri" w:hAnsi="Calibri" w:cs="Calibri"/>
        </w:rPr>
        <w:t xml:space="preserve"> (a more illuminating image than Augustine’s problematic “the New is hidden in the Old and the Old is revealed in the New”).</w:t>
      </w:r>
      <w:r w:rsidRPr="001005B7">
        <w:rPr>
          <w:rStyle w:val="FootnoteReference"/>
          <w:rFonts w:ascii="Calibri" w:hAnsi="Calibri" w:cs="Calibri"/>
        </w:rPr>
        <w:footnoteReference w:id="136"/>
      </w:r>
      <w:r w:rsidRPr="001005B7">
        <w:rPr>
          <w:rFonts w:ascii="Calibri" w:hAnsi="Calibri" w:cs="Calibri"/>
        </w:rPr>
        <w:t xml:space="preserve"> They have been considered in light of the command</w:t>
      </w:r>
      <w:r w:rsidRPr="001005B7">
        <w:t xml:space="preserve"> to love God and love neighbor (Gregory, 124). These insights illustrate how the Scriptures prove themselves </w:t>
      </w:r>
      <w:proofErr w:type="spellStart"/>
      <w:r w:rsidRPr="001005B7">
        <w:rPr>
          <w:rFonts w:cstheme="minorHAnsi"/>
        </w:rPr>
        <w:t>θεό</w:t>
      </w:r>
      <w:proofErr w:type="spellEnd"/>
      <w:r w:rsidRPr="001005B7">
        <w:rPr>
          <w:rFonts w:cstheme="minorHAnsi"/>
        </w:rPr>
        <w:t>πνευστος</w:t>
      </w:r>
      <w:r w:rsidRPr="001005B7">
        <w:t xml:space="preserve">, God-breathed, breathing out edifying insights. </w:t>
      </w:r>
    </w:p>
    <w:p w14:paraId="6C1A6294" w14:textId="77777777" w:rsidR="00133F68" w:rsidRPr="001005B7" w:rsidRDefault="00133F68" w:rsidP="00133F68">
      <w:r w:rsidRPr="001005B7">
        <w:t>Yet these insights do not relate to the way Yahweh was speaking through Ezekiel to his people. What might emerge from considering that dynamic? A key truth is that a revelation from God and a visit from God may be devotionally scary. Calvin (1:39) suggests this prayer:</w:t>
      </w:r>
    </w:p>
    <w:p w14:paraId="4B44B469" w14:textId="77777777" w:rsidR="00133F68" w:rsidRPr="001005B7" w:rsidRDefault="00133F68" w:rsidP="00133F68">
      <w:pPr>
        <w:pStyle w:val="Quote"/>
        <w:rPr>
          <w:color w:val="auto"/>
        </w:rPr>
      </w:pPr>
      <w:r w:rsidRPr="001005B7">
        <w:rPr>
          <w:color w:val="auto"/>
        </w:rPr>
        <w:t>Grant, Almighty God, since thou didst bless thy people with the continued grace of thy Spirit when it was cast out of its inheritance, and didst raise up a Prophet even from the lowest depths, who should recall it to life when it was all but despaired of — O grant, that although the Church in these days is miserably afflicted by thy hand, we may not be destitute of thy consolation, but show us, through thy pity, that life may be looked for even in the midst of death; so that we may bear all thy chastisements patiently, until thou shalt show thyself our reconciled Father, and thus at length we may be gathered into that happy kingdom, where we shall enjoy our full felicity, in Jesus Christ our Lord.</w:t>
      </w:r>
    </w:p>
    <w:p w14:paraId="3623252A" w14:textId="67A4A672" w:rsidR="00A80E1C" w:rsidRPr="001005B7" w:rsidRDefault="00313DB3" w:rsidP="00493833">
      <w:pPr>
        <w:pStyle w:val="Heading3"/>
      </w:pPr>
      <w:r w:rsidRPr="001005B7">
        <w:t>Textual Notes</w:t>
      </w:r>
    </w:p>
    <w:p w14:paraId="6317867B" w14:textId="4B5F2D0C" w:rsidR="00C62789" w:rsidRPr="001005B7" w:rsidRDefault="00475CE3" w:rsidP="00955DF3">
      <w:pPr>
        <w:ind w:firstLine="0"/>
        <w:rPr>
          <w:lang w:eastAsia="en-GB"/>
        </w:rPr>
      </w:pPr>
      <w:r w:rsidRPr="001005B7">
        <w:rPr>
          <w:sz w:val="18"/>
          <w:szCs w:val="18"/>
        </w:rPr>
        <w:t>MT</w:t>
      </w:r>
      <w:r w:rsidR="009A0C4F" w:rsidRPr="001005B7">
        <w:rPr>
          <w:lang w:eastAsia="en-GB"/>
        </w:rPr>
        <w:t xml:space="preserve"> has a </w:t>
      </w:r>
      <w:r w:rsidR="00224498" w:rsidRPr="001005B7">
        <w:rPr>
          <w:lang w:eastAsia="en-GB"/>
        </w:rPr>
        <w:t>marker</w:t>
      </w:r>
      <w:r w:rsidR="00E36D69" w:rsidRPr="001005B7">
        <w:rPr>
          <w:lang w:eastAsia="en-GB"/>
        </w:rPr>
        <w:t>*</w:t>
      </w:r>
      <w:r w:rsidR="009A0C4F" w:rsidRPr="001005B7">
        <w:rPr>
          <w:lang w:eastAsia="en-GB"/>
        </w:rPr>
        <w:t xml:space="preserve"> a</w:t>
      </w:r>
      <w:r w:rsidR="00E13A22" w:rsidRPr="001005B7">
        <w:rPr>
          <w:lang w:eastAsia="en-GB"/>
        </w:rPr>
        <w:t>fter</w:t>
      </w:r>
      <w:r w:rsidR="009A0C4F" w:rsidRPr="001005B7">
        <w:rPr>
          <w:lang w:eastAsia="en-GB"/>
        </w:rPr>
        <w:t xml:space="preserve"> </w:t>
      </w:r>
      <w:r w:rsidR="00FC29D0" w:rsidRPr="001005B7">
        <w:rPr>
          <w:lang w:eastAsia="en-GB"/>
        </w:rPr>
        <w:t>1:28</w:t>
      </w:r>
      <w:r w:rsidR="009A0C4F" w:rsidRPr="001005B7">
        <w:rPr>
          <w:lang w:eastAsia="en-GB"/>
        </w:rPr>
        <w:t>.</w:t>
      </w:r>
      <w:r w:rsidR="00FC29D0" w:rsidRPr="001005B7">
        <w:rPr>
          <w:lang w:eastAsia="en-GB"/>
        </w:rPr>
        <w:t xml:space="preserve"> </w:t>
      </w:r>
      <w:r w:rsidR="00C62789" w:rsidRPr="001005B7">
        <w:rPr>
          <w:lang w:eastAsia="en-GB"/>
        </w:rPr>
        <w:t xml:space="preserve">The analysis under “Outline” </w:t>
      </w:r>
      <w:r w:rsidR="00FC29D0" w:rsidRPr="001005B7">
        <w:rPr>
          <w:lang w:eastAsia="en-GB"/>
        </w:rPr>
        <w:t xml:space="preserve">then </w:t>
      </w:r>
      <w:r w:rsidR="00C62789" w:rsidRPr="001005B7">
        <w:rPr>
          <w:lang w:eastAsia="en-GB"/>
        </w:rPr>
        <w:t xml:space="preserve">corresponds to </w:t>
      </w:r>
      <w:r w:rsidRPr="001005B7">
        <w:rPr>
          <w:sz w:val="18"/>
          <w:szCs w:val="18"/>
        </w:rPr>
        <w:t>MT</w:t>
      </w:r>
      <w:r w:rsidR="00C62789" w:rsidRPr="001005B7">
        <w:rPr>
          <w:lang w:eastAsia="en-GB"/>
        </w:rPr>
        <w:t>’s markers except for subdividing 2:1</w:t>
      </w:r>
      <w:r w:rsidR="00F46900" w:rsidRPr="001005B7">
        <w:rPr>
          <w:lang w:eastAsia="en-GB"/>
        </w:rPr>
        <w:t>–</w:t>
      </w:r>
      <w:r w:rsidR="00C62789" w:rsidRPr="001005B7">
        <w:rPr>
          <w:lang w:eastAsia="en-GB"/>
        </w:rPr>
        <w:t>2 and 3:10</w:t>
      </w:r>
      <w:r w:rsidR="00F46900" w:rsidRPr="001005B7">
        <w:rPr>
          <w:lang w:eastAsia="en-GB"/>
        </w:rPr>
        <w:t>–</w:t>
      </w:r>
      <w:r w:rsidR="00C62789" w:rsidRPr="001005B7">
        <w:rPr>
          <w:lang w:eastAsia="en-GB"/>
        </w:rPr>
        <w:t>15</w:t>
      </w:r>
      <w:r w:rsidR="00034433" w:rsidRPr="001005B7">
        <w:rPr>
          <w:lang w:eastAsia="en-GB"/>
        </w:rPr>
        <w:t>.</w:t>
      </w:r>
    </w:p>
    <w:p w14:paraId="65076C91" w14:textId="26A3D617" w:rsidR="0084543B" w:rsidRPr="001005B7" w:rsidRDefault="0084543B" w:rsidP="00D86ABC">
      <w:pPr>
        <w:ind w:firstLine="0"/>
        <w:rPr>
          <w:lang w:eastAsia="en-GB"/>
        </w:rPr>
      </w:pPr>
    </w:p>
    <w:p w14:paraId="15CD7A23" w14:textId="2CFD3670" w:rsidR="0084543B" w:rsidRPr="001005B7" w:rsidRDefault="00D86ABC" w:rsidP="00D86ABC">
      <w:pPr>
        <w:ind w:firstLine="0"/>
        <w:rPr>
          <w:lang w:eastAsia="en-GB"/>
        </w:rPr>
      </w:pPr>
      <w:r w:rsidRPr="001005B7">
        <w:rPr>
          <w:b/>
          <w:bCs/>
          <w:lang w:eastAsia="en-GB"/>
        </w:rPr>
        <w:t>2:2</w:t>
      </w:r>
      <w:r w:rsidR="00FA7954" w:rsidRPr="001005B7">
        <w:rPr>
          <w:lang w:eastAsia="en-GB"/>
        </w:rPr>
        <w:t xml:space="preserve"> </w:t>
      </w:r>
      <w:r w:rsidR="006F76EE" w:rsidRPr="001005B7">
        <w:rPr>
          <w:lang w:eastAsia="en-GB"/>
        </w:rPr>
        <w:t>Instead of</w:t>
      </w:r>
      <w:r w:rsidR="00FA7954" w:rsidRPr="001005B7">
        <w:rPr>
          <w:lang w:eastAsia="en-GB"/>
        </w:rPr>
        <w:t xml:space="preserve"> </w:t>
      </w:r>
      <w:r w:rsidR="000D3886" w:rsidRPr="001005B7">
        <w:rPr>
          <w:lang w:eastAsia="en-GB"/>
        </w:rPr>
        <w:t>“</w:t>
      </w:r>
      <w:r w:rsidR="00FA7954" w:rsidRPr="001005B7">
        <w:rPr>
          <w:lang w:eastAsia="en-GB"/>
        </w:rPr>
        <w:t>as</w:t>
      </w:r>
      <w:r w:rsidR="00FA7954" w:rsidRPr="001005B7">
        <w:rPr>
          <w:i/>
          <w:iCs/>
          <w:lang w:eastAsia="en-GB"/>
        </w:rPr>
        <w:t xml:space="preserve"> </w:t>
      </w:r>
      <w:r w:rsidR="00FA7954" w:rsidRPr="001005B7">
        <w:rPr>
          <w:lang w:eastAsia="en-GB"/>
        </w:rPr>
        <w:t>he</w:t>
      </w:r>
      <w:r w:rsidR="00FA7954" w:rsidRPr="001005B7">
        <w:rPr>
          <w:i/>
          <w:iCs/>
          <w:lang w:eastAsia="en-GB"/>
        </w:rPr>
        <w:t xml:space="preserve"> </w:t>
      </w:r>
      <w:r w:rsidR="00FA7954" w:rsidRPr="001005B7">
        <w:rPr>
          <w:lang w:eastAsia="en-GB"/>
        </w:rPr>
        <w:t>spoke</w:t>
      </w:r>
      <w:r w:rsidR="00FA7954" w:rsidRPr="001005B7">
        <w:rPr>
          <w:i/>
          <w:iCs/>
          <w:lang w:eastAsia="en-GB"/>
        </w:rPr>
        <w:t xml:space="preserve"> </w:t>
      </w:r>
      <w:r w:rsidR="00FA7954" w:rsidRPr="001005B7">
        <w:rPr>
          <w:lang w:eastAsia="en-GB"/>
        </w:rPr>
        <w:t>to</w:t>
      </w:r>
      <w:r w:rsidR="00FA7954" w:rsidRPr="001005B7">
        <w:rPr>
          <w:i/>
          <w:iCs/>
          <w:lang w:eastAsia="en-GB"/>
        </w:rPr>
        <w:t xml:space="preserve"> </w:t>
      </w:r>
      <w:r w:rsidR="00FA7954" w:rsidRPr="001005B7">
        <w:rPr>
          <w:lang w:eastAsia="en-GB"/>
        </w:rPr>
        <w:t>me</w:t>
      </w:r>
      <w:r w:rsidR="006F76EE" w:rsidRPr="001005B7">
        <w:rPr>
          <w:lang w:eastAsia="en-GB"/>
        </w:rPr>
        <w:t>,</w:t>
      </w:r>
      <w:r w:rsidR="000D3886" w:rsidRPr="001005B7">
        <w:rPr>
          <w:lang w:eastAsia="en-GB"/>
        </w:rPr>
        <w:t>”</w:t>
      </w:r>
      <w:r w:rsidR="006F76EE" w:rsidRPr="001005B7">
        <w:rPr>
          <w:lang w:eastAsia="en-GB"/>
        </w:rPr>
        <w:t xml:space="preserve"> </w:t>
      </w:r>
      <w:r w:rsidR="000D2D7E" w:rsidRPr="001005B7">
        <w:rPr>
          <w:sz w:val="18"/>
          <w:szCs w:val="18"/>
        </w:rPr>
        <w:t>LXX</w:t>
      </w:r>
      <w:r w:rsidR="006F76EE" w:rsidRPr="001005B7">
        <w:rPr>
          <w:lang w:eastAsia="en-GB"/>
        </w:rPr>
        <w:t xml:space="preserve"> has</w:t>
      </w:r>
      <w:r w:rsidR="009961E1" w:rsidRPr="001005B7">
        <w:rPr>
          <w:lang w:eastAsia="en-GB"/>
        </w:rPr>
        <w:t xml:space="preserve"> “and took hold of me and </w:t>
      </w:r>
      <w:r w:rsidR="002B2C1E" w:rsidRPr="001005B7">
        <w:rPr>
          <w:lang w:eastAsia="en-GB"/>
        </w:rPr>
        <w:t>lifted me up</w:t>
      </w:r>
      <w:r w:rsidR="00715F43" w:rsidRPr="001005B7">
        <w:rPr>
          <w:lang w:eastAsia="en-GB"/>
        </w:rPr>
        <w:t>,”</w:t>
      </w:r>
      <w:r w:rsidR="00D4232C" w:rsidRPr="001005B7">
        <w:rPr>
          <w:lang w:eastAsia="en-GB"/>
        </w:rPr>
        <w:t xml:space="preserve"> </w:t>
      </w:r>
      <w:r w:rsidR="00715F43" w:rsidRPr="001005B7">
        <w:rPr>
          <w:lang w:eastAsia="en-GB"/>
        </w:rPr>
        <w:t xml:space="preserve">anticipating </w:t>
      </w:r>
      <w:r w:rsidR="00D4232C" w:rsidRPr="001005B7">
        <w:rPr>
          <w:lang w:eastAsia="en-GB"/>
        </w:rPr>
        <w:t>3:14</w:t>
      </w:r>
      <w:r w:rsidR="00650823" w:rsidRPr="001005B7">
        <w:rPr>
          <w:lang w:eastAsia="en-GB"/>
        </w:rPr>
        <w:t xml:space="preserve"> </w:t>
      </w:r>
      <w:r w:rsidR="00715F43" w:rsidRPr="001005B7">
        <w:rPr>
          <w:lang w:eastAsia="en-GB"/>
        </w:rPr>
        <w:t>(</w:t>
      </w:r>
      <w:r w:rsidR="00650823" w:rsidRPr="001005B7">
        <w:rPr>
          <w:i/>
          <w:iCs/>
          <w:lang w:eastAsia="en-GB"/>
        </w:rPr>
        <w:t>HUB</w:t>
      </w:r>
      <w:r w:rsidR="00650823" w:rsidRPr="001005B7">
        <w:rPr>
          <w:lang w:eastAsia="en-GB"/>
        </w:rPr>
        <w:t>).</w:t>
      </w:r>
      <w:r w:rsidR="00DB637C" w:rsidRPr="001005B7">
        <w:rPr>
          <w:lang w:eastAsia="en-GB"/>
        </w:rPr>
        <w:t xml:space="preserve"> </w:t>
      </w:r>
    </w:p>
    <w:p w14:paraId="37F76FB4" w14:textId="6A2D8C8E" w:rsidR="009A5384" w:rsidRPr="001005B7" w:rsidRDefault="00BE7595" w:rsidP="00BE7595">
      <w:pPr>
        <w:ind w:firstLine="0"/>
        <w:rPr>
          <w:rFonts w:cstheme="minorHAnsi"/>
          <w:lang w:eastAsia="en-GB"/>
        </w:rPr>
      </w:pPr>
      <w:r w:rsidRPr="001005B7">
        <w:rPr>
          <w:rFonts w:cstheme="minorHAnsi"/>
          <w:b/>
          <w:bCs/>
          <w:lang w:eastAsia="en-GB"/>
        </w:rPr>
        <w:t xml:space="preserve">2:3 </w:t>
      </w:r>
      <w:r w:rsidR="00F26592" w:rsidRPr="001005B7">
        <w:rPr>
          <w:rFonts w:cstheme="minorHAnsi"/>
          <w:lang w:eastAsia="en-GB"/>
        </w:rPr>
        <w:t xml:space="preserve">For </w:t>
      </w:r>
      <w:r w:rsidR="009A5B2B" w:rsidRPr="001005B7">
        <w:rPr>
          <w:rFonts w:cstheme="minorHAnsi"/>
          <w:rtl/>
          <w:lang w:eastAsia="en-GB" w:bidi="he-IL"/>
        </w:rPr>
        <w:t>ב</w:t>
      </w:r>
      <w:r w:rsidR="009178BC" w:rsidRPr="001005B7">
        <w:rPr>
          <w:rFonts w:cstheme="minorHAnsi"/>
          <w:rtl/>
          <w:lang w:eastAsia="en-GB" w:bidi="he-IL"/>
        </w:rPr>
        <w:t>ּ</w:t>
      </w:r>
      <w:r w:rsidR="009A5B2B" w:rsidRPr="001005B7">
        <w:rPr>
          <w:rFonts w:cstheme="minorHAnsi"/>
          <w:rtl/>
          <w:lang w:eastAsia="en-GB" w:bidi="he-IL"/>
        </w:rPr>
        <w:t>ְנֵי</w:t>
      </w:r>
      <w:r w:rsidR="00B66827" w:rsidRPr="001005B7">
        <w:rPr>
          <w:rFonts w:cstheme="minorHAnsi"/>
          <w:rtl/>
          <w:lang w:eastAsia="en-GB" w:bidi="he-IL"/>
        </w:rPr>
        <w:t xml:space="preserve"> </w:t>
      </w:r>
      <w:r w:rsidR="009A5B2B" w:rsidRPr="001005B7">
        <w:rPr>
          <w:rFonts w:cstheme="minorHAnsi"/>
          <w:rtl/>
          <w:lang w:eastAsia="en-GB" w:bidi="he-IL"/>
        </w:rPr>
        <w:t>יׅשׄ</w:t>
      </w:r>
      <w:r w:rsidR="001E466A" w:rsidRPr="001005B7">
        <w:rPr>
          <w:rFonts w:cstheme="minorHAnsi"/>
          <w:rtl/>
          <w:lang w:eastAsia="en-GB" w:bidi="he-IL"/>
        </w:rPr>
        <w:t>ְרָאֵל</w:t>
      </w:r>
      <w:r w:rsidR="00F26592" w:rsidRPr="001005B7">
        <w:rPr>
          <w:rFonts w:cstheme="minorHAnsi"/>
          <w:lang w:eastAsia="en-GB"/>
        </w:rPr>
        <w:t>,</w:t>
      </w:r>
      <w:r w:rsidR="00F26592" w:rsidRPr="001005B7">
        <w:rPr>
          <w:rFonts w:cstheme="minorHAnsi"/>
          <w:i/>
          <w:iCs/>
          <w:lang w:eastAsia="en-GB"/>
        </w:rPr>
        <w:t xml:space="preserve"> </w:t>
      </w:r>
      <w:r w:rsidR="003425FB" w:rsidRPr="001005B7">
        <w:rPr>
          <w:rFonts w:cstheme="minorHAnsi"/>
          <w:lang w:eastAsia="en-GB"/>
        </w:rPr>
        <w:t xml:space="preserve">“the descendants of Israel,” </w:t>
      </w:r>
      <w:r w:rsidR="000D2D7E" w:rsidRPr="001005B7">
        <w:rPr>
          <w:sz w:val="18"/>
          <w:szCs w:val="18"/>
        </w:rPr>
        <w:t>LXX</w:t>
      </w:r>
      <w:r w:rsidR="000D2D7E" w:rsidRPr="001005B7">
        <w:t xml:space="preserve"> </w:t>
      </w:r>
      <w:r w:rsidR="00C77697" w:rsidRPr="001005B7">
        <w:rPr>
          <w:lang w:eastAsia="en-GB"/>
        </w:rPr>
        <w:t>“</w:t>
      </w:r>
      <w:r w:rsidR="00971E41">
        <w:rPr>
          <w:lang w:eastAsia="en-GB"/>
        </w:rPr>
        <w:t>Israel’s</w:t>
      </w:r>
      <w:r w:rsidR="00C44163" w:rsidRPr="001005B7">
        <w:rPr>
          <w:lang w:eastAsia="en-GB"/>
        </w:rPr>
        <w:t xml:space="preserve"> </w:t>
      </w:r>
      <w:r w:rsidR="00C77697" w:rsidRPr="001005B7">
        <w:rPr>
          <w:lang w:eastAsia="en-GB"/>
        </w:rPr>
        <w:t>household</w:t>
      </w:r>
      <w:r w:rsidR="008E6ABF" w:rsidRPr="001005B7">
        <w:rPr>
          <w:lang w:eastAsia="en-GB"/>
        </w:rPr>
        <w:t>”</w:t>
      </w:r>
      <w:r w:rsidR="00B41FC8" w:rsidRPr="001005B7">
        <w:rPr>
          <w:lang w:eastAsia="en-GB"/>
        </w:rPr>
        <w:t xml:space="preserve"> might</w:t>
      </w:r>
      <w:r w:rsidR="008E6ABF" w:rsidRPr="001005B7">
        <w:rPr>
          <w:lang w:eastAsia="en-GB"/>
        </w:rPr>
        <w:t xml:space="preserve"> impl</w:t>
      </w:r>
      <w:r w:rsidR="00B41FC8" w:rsidRPr="001005B7">
        <w:rPr>
          <w:lang w:eastAsia="en-GB"/>
        </w:rPr>
        <w:t>y</w:t>
      </w:r>
      <w:r w:rsidR="008E6ABF" w:rsidRPr="001005B7">
        <w:rPr>
          <w:lang w:eastAsia="en-GB"/>
        </w:rPr>
        <w:t xml:space="preserve"> </w:t>
      </w:r>
      <w:r w:rsidR="00D310F9" w:rsidRPr="001005B7">
        <w:rPr>
          <w:rFonts w:cstheme="minorHAnsi"/>
          <w:rtl/>
          <w:lang w:eastAsia="en-GB" w:bidi="he-IL"/>
        </w:rPr>
        <w:t>ב</w:t>
      </w:r>
      <w:r w:rsidR="008F63B2" w:rsidRPr="001005B7">
        <w:rPr>
          <w:rFonts w:cstheme="minorHAnsi"/>
          <w:rtl/>
          <w:lang w:eastAsia="en-GB" w:bidi="he-IL"/>
        </w:rPr>
        <w:t>ּ</w:t>
      </w:r>
      <w:r w:rsidR="006E687C" w:rsidRPr="001005B7">
        <w:rPr>
          <w:rFonts w:cstheme="minorHAnsi"/>
          <w:rtl/>
          <w:lang w:eastAsia="en-GB" w:bidi="he-IL"/>
        </w:rPr>
        <w:t>ֵית</w:t>
      </w:r>
      <w:r w:rsidR="002036BA" w:rsidRPr="001005B7">
        <w:rPr>
          <w:rFonts w:cstheme="minorHAnsi"/>
          <w:rtl/>
          <w:lang w:eastAsia="en-GB" w:bidi="he-IL"/>
        </w:rPr>
        <w:t xml:space="preserve"> </w:t>
      </w:r>
      <w:r w:rsidR="006E687C" w:rsidRPr="001005B7">
        <w:rPr>
          <w:rFonts w:cstheme="minorHAnsi"/>
          <w:rtl/>
          <w:lang w:eastAsia="en-GB" w:bidi="he-IL"/>
        </w:rPr>
        <w:t>יִשְׂרָ</w:t>
      </w:r>
      <w:r w:rsidR="005975B9" w:rsidRPr="001005B7">
        <w:rPr>
          <w:rFonts w:cstheme="minorHAnsi"/>
          <w:rtl/>
          <w:lang w:eastAsia="en-GB" w:bidi="he-IL"/>
        </w:rPr>
        <w:t>אֵל</w:t>
      </w:r>
      <w:r w:rsidR="001D7C93" w:rsidRPr="001005B7">
        <w:rPr>
          <w:rFonts w:cstheme="minorHAnsi"/>
          <w:i/>
          <w:iCs/>
          <w:lang w:eastAsia="en-GB"/>
        </w:rPr>
        <w:t xml:space="preserve">, </w:t>
      </w:r>
      <w:r w:rsidR="00EF03AB" w:rsidRPr="001005B7">
        <w:rPr>
          <w:rFonts w:cstheme="minorHAnsi"/>
          <w:lang w:eastAsia="en-GB"/>
        </w:rPr>
        <w:t>but it is a “common interchange” (</w:t>
      </w:r>
      <w:r w:rsidR="00EF03AB" w:rsidRPr="001005B7">
        <w:rPr>
          <w:rFonts w:cstheme="minorHAnsi"/>
          <w:i/>
          <w:iCs/>
          <w:lang w:eastAsia="en-GB"/>
        </w:rPr>
        <w:t>HUB</w:t>
      </w:r>
      <w:r w:rsidR="00EF03AB" w:rsidRPr="001005B7">
        <w:rPr>
          <w:rFonts w:cstheme="minorHAnsi"/>
          <w:lang w:eastAsia="en-GB"/>
        </w:rPr>
        <w:t>)</w:t>
      </w:r>
      <w:r w:rsidR="0098684F" w:rsidRPr="001005B7">
        <w:rPr>
          <w:rFonts w:cstheme="minorHAnsi"/>
          <w:lang w:eastAsia="en-GB"/>
        </w:rPr>
        <w:t>. I</w:t>
      </w:r>
      <w:r w:rsidR="00354992" w:rsidRPr="001005B7">
        <w:rPr>
          <w:rFonts w:cstheme="minorHAnsi"/>
          <w:lang w:eastAsia="en-GB"/>
        </w:rPr>
        <w:t xml:space="preserve">t occurs in reverse in 4:3. </w:t>
      </w:r>
    </w:p>
    <w:p w14:paraId="3A6EF585" w14:textId="3071449F" w:rsidR="001047E0" w:rsidRPr="001005B7" w:rsidRDefault="00A97F70" w:rsidP="00BE7595">
      <w:pPr>
        <w:ind w:firstLine="0"/>
        <w:rPr>
          <w:rFonts w:cstheme="minorHAnsi"/>
          <w:lang w:eastAsia="en-GB" w:bidi="he-IL"/>
        </w:rPr>
      </w:pPr>
      <w:r w:rsidRPr="001005B7">
        <w:rPr>
          <w:sz w:val="18"/>
          <w:szCs w:val="18"/>
        </w:rPr>
        <w:t>LXX</w:t>
      </w:r>
      <w:r w:rsidR="00BB2DC7" w:rsidRPr="001005B7">
        <w:rPr>
          <w:rFonts w:cstheme="minorHAnsi"/>
          <w:lang w:eastAsia="en-GB"/>
        </w:rPr>
        <w:t xml:space="preserve"> </w:t>
      </w:r>
      <w:r w:rsidR="00514EDF" w:rsidRPr="001005B7">
        <w:rPr>
          <w:rFonts w:cstheme="minorHAnsi"/>
          <w:lang w:eastAsia="en-GB"/>
        </w:rPr>
        <w:t xml:space="preserve">lacks </w:t>
      </w:r>
      <w:r w:rsidR="00E224E5" w:rsidRPr="001005B7">
        <w:rPr>
          <w:rFonts w:cstheme="minorHAnsi"/>
          <w:lang w:eastAsia="en-GB"/>
        </w:rPr>
        <w:t>“</w:t>
      </w:r>
      <w:r w:rsidR="00D44945" w:rsidRPr="001005B7">
        <w:rPr>
          <w:rFonts w:cstheme="minorHAnsi"/>
          <w:lang w:eastAsia="en-GB"/>
        </w:rPr>
        <w:t>to</w:t>
      </w:r>
      <w:r w:rsidR="00D44945" w:rsidRPr="001005B7">
        <w:rPr>
          <w:rFonts w:cstheme="minorHAnsi"/>
          <w:i/>
          <w:iCs/>
          <w:lang w:eastAsia="en-GB"/>
        </w:rPr>
        <w:t xml:space="preserve"> </w:t>
      </w:r>
      <w:r w:rsidR="00D44945" w:rsidRPr="001005B7">
        <w:rPr>
          <w:rFonts w:cstheme="minorHAnsi"/>
          <w:lang w:eastAsia="en-GB"/>
        </w:rPr>
        <w:t>nations</w:t>
      </w:r>
      <w:r w:rsidR="00E224E5" w:rsidRPr="001005B7">
        <w:rPr>
          <w:rFonts w:cstheme="minorHAnsi"/>
          <w:lang w:eastAsia="en-GB"/>
        </w:rPr>
        <w:t>”</w:t>
      </w:r>
      <w:r w:rsidR="00BB2DC7" w:rsidRPr="001005B7">
        <w:rPr>
          <w:rFonts w:cstheme="minorHAnsi"/>
          <w:lang w:eastAsia="en-GB"/>
        </w:rPr>
        <w:t xml:space="preserve"> and </w:t>
      </w:r>
      <w:r w:rsidR="00E224E5" w:rsidRPr="001005B7">
        <w:rPr>
          <w:rFonts w:cstheme="minorHAnsi"/>
          <w:lang w:eastAsia="en-GB"/>
        </w:rPr>
        <w:t>“</w:t>
      </w:r>
      <w:r w:rsidR="00BB2DC7" w:rsidRPr="001005B7">
        <w:rPr>
          <w:rFonts w:cstheme="minorHAnsi"/>
          <w:lang w:eastAsia="en-GB"/>
        </w:rPr>
        <w:t>have</w:t>
      </w:r>
      <w:r w:rsidR="00BB2DC7" w:rsidRPr="001005B7">
        <w:rPr>
          <w:rFonts w:cstheme="minorHAnsi"/>
          <w:i/>
          <w:iCs/>
          <w:lang w:eastAsia="en-GB"/>
        </w:rPr>
        <w:t xml:space="preserve"> </w:t>
      </w:r>
      <w:r w:rsidR="00BB2DC7" w:rsidRPr="001005B7">
        <w:rPr>
          <w:rFonts w:cstheme="minorHAnsi"/>
          <w:lang w:eastAsia="en-GB"/>
        </w:rPr>
        <w:t>defied</w:t>
      </w:r>
      <w:r w:rsidR="00BB2DC7" w:rsidRPr="001005B7">
        <w:rPr>
          <w:rFonts w:cstheme="minorHAnsi"/>
          <w:i/>
          <w:iCs/>
          <w:lang w:eastAsia="en-GB"/>
        </w:rPr>
        <w:t xml:space="preserve"> </w:t>
      </w:r>
      <w:r w:rsidR="00BB2DC7" w:rsidRPr="001005B7">
        <w:rPr>
          <w:rFonts w:cstheme="minorHAnsi"/>
          <w:lang w:eastAsia="en-GB"/>
        </w:rPr>
        <w:t>me</w:t>
      </w:r>
      <w:r w:rsidR="00A21F3C" w:rsidRPr="001005B7">
        <w:rPr>
          <w:rFonts w:cstheme="minorHAnsi"/>
          <w:lang w:eastAsia="en-GB"/>
        </w:rPr>
        <w:t>,</w:t>
      </w:r>
      <w:r w:rsidR="00E224E5" w:rsidRPr="001005B7">
        <w:rPr>
          <w:rFonts w:cstheme="minorHAnsi"/>
          <w:lang w:eastAsia="en-GB"/>
        </w:rPr>
        <w:t>”</w:t>
      </w:r>
      <w:r w:rsidR="00A21F3C" w:rsidRPr="001005B7">
        <w:rPr>
          <w:rFonts w:cstheme="minorHAnsi"/>
          <w:lang w:eastAsia="en-GB"/>
        </w:rPr>
        <w:t xml:space="preserve"> </w:t>
      </w:r>
      <w:r w:rsidR="000353A6" w:rsidRPr="001005B7">
        <w:rPr>
          <w:rFonts w:cstheme="minorHAnsi"/>
          <w:lang w:eastAsia="en-GB"/>
        </w:rPr>
        <w:t xml:space="preserve">and </w:t>
      </w:r>
      <w:r w:rsidR="00A21F3C" w:rsidRPr="001005B7">
        <w:rPr>
          <w:rFonts w:cstheme="minorHAnsi"/>
          <w:lang w:eastAsia="en-GB"/>
        </w:rPr>
        <w:t>thus ha</w:t>
      </w:r>
      <w:r w:rsidR="000353A6" w:rsidRPr="001005B7">
        <w:rPr>
          <w:rFonts w:cstheme="minorHAnsi"/>
          <w:lang w:eastAsia="en-GB"/>
        </w:rPr>
        <w:t>s</w:t>
      </w:r>
      <w:r w:rsidR="00A21F3C" w:rsidRPr="001005B7">
        <w:rPr>
          <w:rFonts w:cstheme="minorHAnsi"/>
          <w:lang w:eastAsia="en-GB"/>
        </w:rPr>
        <w:t xml:space="preserve"> a simpler text (cf.</w:t>
      </w:r>
      <w:r w:rsidR="00D95184" w:rsidRPr="001005B7">
        <w:rPr>
          <w:rFonts w:cstheme="minorHAnsi"/>
          <w:lang w:eastAsia="en-GB"/>
        </w:rPr>
        <w:t xml:space="preserve"> the</w:t>
      </w:r>
      <w:r w:rsidR="00A21F3C" w:rsidRPr="001005B7">
        <w:rPr>
          <w:rFonts w:cstheme="minorHAnsi"/>
          <w:lang w:eastAsia="en-GB"/>
        </w:rPr>
        <w:t xml:space="preserve"> </w:t>
      </w:r>
      <w:r w:rsidR="00C667CF" w:rsidRPr="001005B7">
        <w:rPr>
          <w:rFonts w:cstheme="minorHAnsi"/>
          <w:lang w:eastAsia="en-GB"/>
        </w:rPr>
        <w:t xml:space="preserve">textual </w:t>
      </w:r>
      <w:r w:rsidR="009F795E" w:rsidRPr="001005B7">
        <w:rPr>
          <w:rFonts w:cstheme="minorHAnsi"/>
          <w:lang w:eastAsia="en-GB"/>
        </w:rPr>
        <w:t>notes</w:t>
      </w:r>
      <w:r w:rsidR="001D10E8" w:rsidRPr="001005B7">
        <w:rPr>
          <w:rFonts w:cstheme="minorHAnsi"/>
          <w:lang w:eastAsia="en-GB"/>
        </w:rPr>
        <w:t xml:space="preserve"> </w:t>
      </w:r>
      <w:r w:rsidR="00D95184" w:rsidRPr="001005B7">
        <w:rPr>
          <w:rFonts w:cstheme="minorHAnsi"/>
          <w:lang w:eastAsia="en-GB"/>
        </w:rPr>
        <w:t>on 2:5;</w:t>
      </w:r>
      <w:r w:rsidR="00245BDE" w:rsidRPr="001005B7">
        <w:rPr>
          <w:rFonts w:cstheme="minorHAnsi"/>
          <w:lang w:eastAsia="en-GB"/>
        </w:rPr>
        <w:t xml:space="preserve"> 3:1</w:t>
      </w:r>
      <w:r w:rsidR="006D57D5" w:rsidRPr="001005B7">
        <w:rPr>
          <w:rFonts w:cstheme="minorHAnsi"/>
          <w:lang w:eastAsia="en-GB"/>
        </w:rPr>
        <w:t>;</w:t>
      </w:r>
      <w:r w:rsidR="00AF1E06" w:rsidRPr="001005B7">
        <w:rPr>
          <w:rFonts w:cstheme="minorHAnsi"/>
          <w:lang w:eastAsia="en-GB"/>
        </w:rPr>
        <w:t xml:space="preserve"> 3:14).</w:t>
      </w:r>
    </w:p>
    <w:p w14:paraId="261FFECF" w14:textId="22B8C549" w:rsidR="00BA7504" w:rsidRPr="001005B7" w:rsidRDefault="00BE7595" w:rsidP="00BE7595">
      <w:pPr>
        <w:ind w:firstLine="0"/>
        <w:rPr>
          <w:lang w:eastAsia="en-GB"/>
        </w:rPr>
      </w:pPr>
      <w:r w:rsidRPr="001005B7">
        <w:rPr>
          <w:rFonts w:cstheme="minorHAnsi"/>
          <w:b/>
          <w:bCs/>
          <w:lang w:eastAsia="en-GB"/>
        </w:rPr>
        <w:t>2:4</w:t>
      </w:r>
      <w:r w:rsidR="00BA7504" w:rsidRPr="001005B7">
        <w:rPr>
          <w:rFonts w:cstheme="minorHAnsi"/>
          <w:lang w:eastAsia="en-GB"/>
        </w:rPr>
        <w:t xml:space="preserve"> </w:t>
      </w:r>
      <w:r w:rsidR="00A97F70" w:rsidRPr="001005B7">
        <w:rPr>
          <w:sz w:val="18"/>
          <w:szCs w:val="18"/>
        </w:rPr>
        <w:t>LXX</w:t>
      </w:r>
      <w:r w:rsidR="00BA7504" w:rsidRPr="001005B7">
        <w:rPr>
          <w:rFonts w:cstheme="minorHAnsi"/>
          <w:lang w:eastAsia="en-GB"/>
        </w:rPr>
        <w:t xml:space="preserve"> lacks </w:t>
      </w:r>
      <w:r w:rsidR="0042084A" w:rsidRPr="001005B7">
        <w:rPr>
          <w:rFonts w:cstheme="minorHAnsi"/>
          <w:lang w:eastAsia="en-GB"/>
        </w:rPr>
        <w:t>2:</w:t>
      </w:r>
      <w:r w:rsidR="00BA7504" w:rsidRPr="001005B7">
        <w:rPr>
          <w:rFonts w:cstheme="minorHAnsi"/>
          <w:lang w:eastAsia="en-GB"/>
        </w:rPr>
        <w:t>4a</w:t>
      </w:r>
      <w:r w:rsidR="00E34B41" w:rsidRPr="001005B7">
        <w:rPr>
          <w:rFonts w:cstheme="minorHAnsi"/>
          <w:lang w:eastAsia="en-GB"/>
        </w:rPr>
        <w:t xml:space="preserve">, </w:t>
      </w:r>
      <w:r w:rsidR="00847F8A" w:rsidRPr="001005B7">
        <w:rPr>
          <w:rFonts w:cstheme="minorHAnsi"/>
          <w:lang w:eastAsia="en-GB"/>
        </w:rPr>
        <w:t xml:space="preserve">an anticipatory repetition of </w:t>
      </w:r>
      <w:r w:rsidR="00650F87" w:rsidRPr="001005B7">
        <w:rPr>
          <w:rFonts w:cstheme="minorHAnsi"/>
          <w:lang w:eastAsia="en-GB"/>
        </w:rPr>
        <w:t>3:7</w:t>
      </w:r>
      <w:r w:rsidR="00F46900" w:rsidRPr="001005B7">
        <w:rPr>
          <w:rFonts w:cstheme="minorHAnsi"/>
          <w:lang w:eastAsia="en-GB"/>
        </w:rPr>
        <w:t>–</w:t>
      </w:r>
      <w:r w:rsidR="00650F87" w:rsidRPr="001005B7">
        <w:rPr>
          <w:rFonts w:cstheme="minorHAnsi"/>
          <w:lang w:eastAsia="en-GB"/>
        </w:rPr>
        <w:t>8.</w:t>
      </w:r>
    </w:p>
    <w:p w14:paraId="7AB0CC31" w14:textId="1701BB71" w:rsidR="00C373B2" w:rsidRPr="001005B7" w:rsidRDefault="00BE7595" w:rsidP="00BE7595">
      <w:pPr>
        <w:ind w:firstLine="0"/>
        <w:rPr>
          <w:rFonts w:cstheme="minorHAnsi"/>
          <w:i/>
          <w:iCs/>
          <w:lang w:eastAsia="en-GB"/>
        </w:rPr>
      </w:pPr>
      <w:r w:rsidRPr="001005B7">
        <w:rPr>
          <w:b/>
          <w:bCs/>
          <w:lang w:eastAsia="en-GB"/>
        </w:rPr>
        <w:t>2:5</w:t>
      </w:r>
      <w:r w:rsidR="007157F7" w:rsidRPr="001005B7">
        <w:rPr>
          <w:lang w:eastAsia="en-GB"/>
        </w:rPr>
        <w:t xml:space="preserve"> </w:t>
      </w:r>
      <w:r w:rsidR="00A97F70" w:rsidRPr="001005B7">
        <w:rPr>
          <w:sz w:val="18"/>
          <w:szCs w:val="18"/>
        </w:rPr>
        <w:t>LXX</w:t>
      </w:r>
      <w:r w:rsidR="00A97F70" w:rsidRPr="001005B7">
        <w:t xml:space="preserve"> </w:t>
      </w:r>
      <w:r w:rsidR="00344318" w:rsidRPr="001005B7">
        <w:rPr>
          <w:lang w:eastAsia="en-GB"/>
        </w:rPr>
        <w:t>lacks</w:t>
      </w:r>
      <w:r w:rsidR="00BC0D83" w:rsidRPr="001005B7">
        <w:rPr>
          <w:lang w:eastAsia="en-GB"/>
        </w:rPr>
        <w:t xml:space="preserve"> </w:t>
      </w:r>
      <w:r w:rsidR="00B740B4" w:rsidRPr="001005B7">
        <w:rPr>
          <w:rFonts w:cstheme="minorHAnsi"/>
          <w:rtl/>
          <w:lang w:eastAsia="en-GB" w:bidi="he-IL"/>
        </w:rPr>
        <w:t>ו</w:t>
      </w:r>
      <w:r w:rsidR="00A0189B" w:rsidRPr="001005B7">
        <w:rPr>
          <w:rFonts w:cstheme="minorHAnsi"/>
          <w:rtl/>
          <w:lang w:eastAsia="en-GB" w:bidi="he-IL"/>
        </w:rPr>
        <w:t>ְהֵמָּה</w:t>
      </w:r>
      <w:r w:rsidR="00D24D3D" w:rsidRPr="001005B7">
        <w:rPr>
          <w:rFonts w:cstheme="minorHAnsi"/>
          <w:lang w:eastAsia="en-GB"/>
        </w:rPr>
        <w:t>,</w:t>
      </w:r>
      <w:r w:rsidR="00E4287B" w:rsidRPr="001005B7">
        <w:rPr>
          <w:rFonts w:cstheme="minorHAnsi"/>
          <w:lang w:eastAsia="en-GB"/>
        </w:rPr>
        <w:t xml:space="preserve"> and f</w:t>
      </w:r>
      <w:r w:rsidR="005A0842" w:rsidRPr="001005B7">
        <w:rPr>
          <w:lang w:eastAsia="en-GB"/>
        </w:rPr>
        <w:t>o</w:t>
      </w:r>
      <w:r w:rsidR="00156C90" w:rsidRPr="001005B7">
        <w:rPr>
          <w:lang w:eastAsia="en-GB"/>
        </w:rPr>
        <w:t>r</w:t>
      </w:r>
      <w:r w:rsidR="00D867B8" w:rsidRPr="001005B7">
        <w:rPr>
          <w:lang w:eastAsia="en-GB"/>
        </w:rPr>
        <w:t xml:space="preserve"> </w:t>
      </w:r>
      <w:r w:rsidR="002A1610" w:rsidRPr="001005B7">
        <w:rPr>
          <w:rFonts w:cstheme="minorHAnsi"/>
          <w:rtl/>
          <w:lang w:eastAsia="en-GB" w:bidi="he-IL"/>
        </w:rPr>
        <w:t>חָ</w:t>
      </w:r>
      <w:r w:rsidR="0017204E" w:rsidRPr="001005B7">
        <w:rPr>
          <w:rFonts w:cstheme="minorHAnsi"/>
          <w:rtl/>
          <w:lang w:eastAsia="en-GB" w:bidi="he-IL"/>
        </w:rPr>
        <w:t>דַל</w:t>
      </w:r>
      <w:r w:rsidR="005A0842" w:rsidRPr="001005B7">
        <w:rPr>
          <w:rFonts w:cstheme="minorHAnsi"/>
          <w:lang w:eastAsia="en-GB"/>
        </w:rPr>
        <w:t xml:space="preserve">, </w:t>
      </w:r>
      <w:r w:rsidR="00A97F70" w:rsidRPr="001005B7">
        <w:rPr>
          <w:sz w:val="18"/>
          <w:szCs w:val="18"/>
        </w:rPr>
        <w:t>LXX</w:t>
      </w:r>
      <w:r w:rsidR="00F52AE7" w:rsidRPr="001005B7">
        <w:rPr>
          <w:lang w:eastAsia="en-GB"/>
        </w:rPr>
        <w:t xml:space="preserve"> </w:t>
      </w:r>
      <w:r w:rsidR="00295AA8" w:rsidRPr="001005B7">
        <w:rPr>
          <w:lang w:eastAsia="en-GB"/>
        </w:rPr>
        <w:t>“are terrified” implies</w:t>
      </w:r>
      <w:r w:rsidR="00D06700" w:rsidRPr="001005B7">
        <w:rPr>
          <w:lang w:eastAsia="en-GB"/>
        </w:rPr>
        <w:t xml:space="preserve"> a verb</w:t>
      </w:r>
      <w:r w:rsidR="0010367D" w:rsidRPr="001005B7">
        <w:rPr>
          <w:lang w:eastAsia="en-GB"/>
        </w:rPr>
        <w:t xml:space="preserve"> equivalent to Aramaic</w:t>
      </w:r>
      <w:r w:rsidR="0017204E" w:rsidRPr="001005B7">
        <w:rPr>
          <w:lang w:eastAsia="en-GB"/>
        </w:rPr>
        <w:t xml:space="preserve"> </w:t>
      </w:r>
      <w:r w:rsidR="0017204E" w:rsidRPr="001005B7">
        <w:rPr>
          <w:rFonts w:cstheme="minorHAnsi"/>
          <w:rtl/>
          <w:lang w:eastAsia="en-GB" w:bidi="he-IL"/>
        </w:rPr>
        <w:t>ד</w:t>
      </w:r>
      <w:r w:rsidR="00221CBA" w:rsidRPr="001005B7">
        <w:rPr>
          <w:rFonts w:cstheme="minorHAnsi"/>
          <w:rtl/>
          <w:lang w:eastAsia="en-GB" w:bidi="he-IL"/>
        </w:rPr>
        <w:t>ְ</w:t>
      </w:r>
      <w:r w:rsidR="00370F92" w:rsidRPr="001005B7">
        <w:rPr>
          <w:rFonts w:cstheme="minorHAnsi"/>
          <w:rtl/>
          <w:lang w:eastAsia="en-GB" w:bidi="he-IL"/>
        </w:rPr>
        <w:t>חַל</w:t>
      </w:r>
      <w:r w:rsidR="00D06700" w:rsidRPr="001005B7">
        <w:rPr>
          <w:lang w:eastAsia="en-GB"/>
        </w:rPr>
        <w:t xml:space="preserve"> </w:t>
      </w:r>
      <w:r w:rsidR="005A0842" w:rsidRPr="001005B7">
        <w:rPr>
          <w:rFonts w:cstheme="minorHAnsi"/>
          <w:lang w:eastAsia="en-GB"/>
        </w:rPr>
        <w:t xml:space="preserve">(BDB, </w:t>
      </w:r>
      <w:r w:rsidR="003538C4" w:rsidRPr="001005B7">
        <w:rPr>
          <w:rFonts w:cstheme="minorHAnsi"/>
          <w:lang w:eastAsia="en-GB"/>
        </w:rPr>
        <w:t>1</w:t>
      </w:r>
      <w:r w:rsidR="0005089B" w:rsidRPr="001005B7">
        <w:rPr>
          <w:rFonts w:cstheme="minorHAnsi"/>
          <w:lang w:eastAsia="en-GB"/>
        </w:rPr>
        <w:t>0</w:t>
      </w:r>
      <w:r w:rsidR="003538C4" w:rsidRPr="001005B7">
        <w:rPr>
          <w:rFonts w:cstheme="minorHAnsi"/>
          <w:lang w:eastAsia="en-GB"/>
        </w:rPr>
        <w:t>87); cf. Heb</w:t>
      </w:r>
      <w:r w:rsidR="00F471FB" w:rsidRPr="001005B7">
        <w:rPr>
          <w:rFonts w:cstheme="minorHAnsi"/>
          <w:lang w:eastAsia="en-GB"/>
        </w:rPr>
        <w:t>.</w:t>
      </w:r>
      <w:r w:rsidR="00370F92" w:rsidRPr="001005B7">
        <w:rPr>
          <w:rFonts w:cstheme="minorHAnsi"/>
          <w:lang w:eastAsia="en-GB"/>
        </w:rPr>
        <w:t xml:space="preserve"> </w:t>
      </w:r>
      <w:r w:rsidR="0079417E" w:rsidRPr="001005B7">
        <w:rPr>
          <w:rFonts w:cstheme="minorHAnsi"/>
          <w:rtl/>
          <w:lang w:eastAsia="en-GB" w:bidi="he-IL"/>
        </w:rPr>
        <w:t>זָחַל</w:t>
      </w:r>
      <w:r w:rsidR="00E71EA3" w:rsidRPr="001005B7">
        <w:rPr>
          <w:rFonts w:cstheme="minorHAnsi"/>
          <w:lang w:eastAsia="en-GB"/>
        </w:rPr>
        <w:t xml:space="preserve">. So also in </w:t>
      </w:r>
      <w:r w:rsidR="0042084A" w:rsidRPr="001005B7">
        <w:rPr>
          <w:rFonts w:cstheme="minorHAnsi"/>
          <w:lang w:eastAsia="en-GB"/>
        </w:rPr>
        <w:t>2:</w:t>
      </w:r>
      <w:r w:rsidR="00E71EA3" w:rsidRPr="001005B7">
        <w:rPr>
          <w:rFonts w:cstheme="minorHAnsi"/>
          <w:lang w:eastAsia="en-GB"/>
        </w:rPr>
        <w:t>7.</w:t>
      </w:r>
      <w:r w:rsidR="00962FF9" w:rsidRPr="001005B7">
        <w:rPr>
          <w:rFonts w:cstheme="minorHAnsi"/>
          <w:i/>
          <w:iCs/>
          <w:lang w:eastAsia="en-GB"/>
        </w:rPr>
        <w:t xml:space="preserve"> </w:t>
      </w:r>
    </w:p>
    <w:p w14:paraId="35D18AAD" w14:textId="18BB5033" w:rsidR="00AE1DEE" w:rsidRPr="001005B7" w:rsidRDefault="00665604" w:rsidP="00BE7595">
      <w:pPr>
        <w:ind w:firstLine="0"/>
        <w:rPr>
          <w:lang w:eastAsia="en-GB"/>
        </w:rPr>
      </w:pPr>
      <w:r w:rsidRPr="001005B7">
        <w:rPr>
          <w:rFonts w:cstheme="minorHAnsi"/>
          <w:lang w:eastAsia="en-GB"/>
        </w:rPr>
        <w:t>Here and consistently,</w:t>
      </w:r>
      <w:r w:rsidR="00A97F70" w:rsidRPr="001005B7">
        <w:rPr>
          <w:rFonts w:cstheme="minorHAnsi"/>
          <w:lang w:eastAsia="en-GB"/>
        </w:rPr>
        <w:t xml:space="preserve"> </w:t>
      </w:r>
      <w:r w:rsidR="00A97F70" w:rsidRPr="001005B7">
        <w:rPr>
          <w:sz w:val="18"/>
          <w:szCs w:val="18"/>
        </w:rPr>
        <w:t>LXX</w:t>
      </w:r>
      <w:r w:rsidR="00657624" w:rsidRPr="001005B7">
        <w:rPr>
          <w:rFonts w:cstheme="minorHAnsi"/>
          <w:lang w:eastAsia="en-GB"/>
        </w:rPr>
        <w:t xml:space="preserve"> takes</w:t>
      </w:r>
      <w:r w:rsidR="00C068E7" w:rsidRPr="001005B7">
        <w:rPr>
          <w:rFonts w:cstheme="minorHAnsi"/>
          <w:lang w:eastAsia="en-GB"/>
        </w:rPr>
        <w:t xml:space="preserve"> </w:t>
      </w:r>
      <w:r w:rsidR="00C068E7" w:rsidRPr="001005B7">
        <w:rPr>
          <w:rFonts w:cstheme="minorHAnsi"/>
          <w:rtl/>
          <w:lang w:eastAsia="en-GB" w:bidi="he-IL"/>
        </w:rPr>
        <w:t>מְרׅ</w:t>
      </w:r>
      <w:r w:rsidR="007748D7" w:rsidRPr="001005B7">
        <w:rPr>
          <w:rFonts w:cstheme="minorHAnsi"/>
          <w:rtl/>
          <w:lang w:eastAsia="en-GB" w:bidi="he-IL"/>
        </w:rPr>
        <w:t>י</w:t>
      </w:r>
      <w:r w:rsidR="007A0E89" w:rsidRPr="001005B7">
        <w:rPr>
          <w:lang w:eastAsia="en-GB"/>
        </w:rPr>
        <w:t xml:space="preserve"> to mean not </w:t>
      </w:r>
      <w:r w:rsidR="000835F6" w:rsidRPr="001005B7">
        <w:rPr>
          <w:lang w:eastAsia="en-GB"/>
        </w:rPr>
        <w:t>rebellion</w:t>
      </w:r>
      <w:r w:rsidR="00011C97" w:rsidRPr="001005B7">
        <w:rPr>
          <w:i/>
          <w:iCs/>
          <w:lang w:eastAsia="en-GB"/>
        </w:rPr>
        <w:t xml:space="preserve"> </w:t>
      </w:r>
      <w:r w:rsidR="00223F7E" w:rsidRPr="001005B7">
        <w:rPr>
          <w:lang w:eastAsia="en-GB"/>
        </w:rPr>
        <w:t>but bitterness</w:t>
      </w:r>
      <w:r w:rsidR="00CD5B48" w:rsidRPr="001005B7">
        <w:rPr>
          <w:lang w:eastAsia="en-GB"/>
        </w:rPr>
        <w:t xml:space="preserve">/embitterment, as if from </w:t>
      </w:r>
      <w:r w:rsidR="007172E9" w:rsidRPr="001005B7">
        <w:rPr>
          <w:rFonts w:cstheme="minorHAnsi"/>
          <w:rtl/>
          <w:lang w:eastAsia="en-GB" w:bidi="he-IL"/>
        </w:rPr>
        <w:t>מָרַר</w:t>
      </w:r>
      <w:r w:rsidR="00A71F54" w:rsidRPr="001005B7">
        <w:rPr>
          <w:lang w:eastAsia="en-GB"/>
        </w:rPr>
        <w:t xml:space="preserve"> rather than </w:t>
      </w:r>
      <w:r w:rsidR="009753BA" w:rsidRPr="001005B7">
        <w:rPr>
          <w:rFonts w:cstheme="minorHAnsi"/>
          <w:rtl/>
          <w:lang w:eastAsia="en-GB" w:bidi="he-IL"/>
        </w:rPr>
        <w:t>מָרָה</w:t>
      </w:r>
      <w:r w:rsidR="00550083" w:rsidRPr="001005B7">
        <w:rPr>
          <w:lang w:eastAsia="en-GB"/>
        </w:rPr>
        <w:t xml:space="preserve">, </w:t>
      </w:r>
      <w:r w:rsidR="00440E53" w:rsidRPr="001005B7">
        <w:rPr>
          <w:lang w:eastAsia="en-GB"/>
        </w:rPr>
        <w:t xml:space="preserve">while </w:t>
      </w:r>
      <w:r w:rsidR="002F35C0" w:rsidRPr="001005B7">
        <w:rPr>
          <w:lang w:eastAsia="en-GB"/>
        </w:rPr>
        <w:t>Vg</w:t>
      </w:r>
      <w:r w:rsidR="007E3329" w:rsidRPr="001005B7">
        <w:rPr>
          <w:lang w:eastAsia="en-GB"/>
        </w:rPr>
        <w:t>.</w:t>
      </w:r>
      <w:r w:rsidR="001747CE" w:rsidRPr="001005B7">
        <w:rPr>
          <w:lang w:eastAsia="en-GB"/>
        </w:rPr>
        <w:t>, Aq</w:t>
      </w:r>
      <w:r w:rsidR="00C23738" w:rsidRPr="001005B7">
        <w:rPr>
          <w:lang w:eastAsia="en-GB"/>
        </w:rPr>
        <w:t>.</w:t>
      </w:r>
      <w:r w:rsidR="004D68FE" w:rsidRPr="001005B7">
        <w:rPr>
          <w:lang w:eastAsia="en-GB"/>
        </w:rPr>
        <w:t>,</w:t>
      </w:r>
      <w:r w:rsidR="002F35C0" w:rsidRPr="001005B7">
        <w:rPr>
          <w:lang w:eastAsia="en-GB"/>
        </w:rPr>
        <w:t xml:space="preserve"> and Sym</w:t>
      </w:r>
      <w:r w:rsidR="00C23738" w:rsidRPr="001005B7">
        <w:rPr>
          <w:lang w:eastAsia="en-GB"/>
        </w:rPr>
        <w:t>.</w:t>
      </w:r>
      <w:r w:rsidR="002F35C0" w:rsidRPr="001005B7">
        <w:rPr>
          <w:lang w:eastAsia="en-GB"/>
        </w:rPr>
        <w:t xml:space="preserve"> use words for being</w:t>
      </w:r>
      <w:r w:rsidR="006B1595" w:rsidRPr="001005B7">
        <w:rPr>
          <w:lang w:eastAsia="en-GB"/>
        </w:rPr>
        <w:t xml:space="preserve"> annoying</w:t>
      </w:r>
      <w:r w:rsidR="00901CFF" w:rsidRPr="001005B7">
        <w:rPr>
          <w:lang w:eastAsia="en-GB"/>
        </w:rPr>
        <w:t>.</w:t>
      </w:r>
      <w:r w:rsidR="00BB0850" w:rsidRPr="001005B7">
        <w:rPr>
          <w:lang w:eastAsia="en-GB"/>
        </w:rPr>
        <w:t xml:space="preserve"> </w:t>
      </w:r>
    </w:p>
    <w:p w14:paraId="76BCA0CC" w14:textId="1544DDA0" w:rsidR="00C730CB" w:rsidRPr="001005B7" w:rsidRDefault="00EE5FFB" w:rsidP="00EE5FFB">
      <w:pPr>
        <w:ind w:firstLine="0"/>
        <w:rPr>
          <w:lang w:eastAsia="en-GB"/>
        </w:rPr>
      </w:pPr>
      <w:r w:rsidRPr="001005B7">
        <w:rPr>
          <w:b/>
          <w:bCs/>
          <w:lang w:eastAsia="en-GB"/>
        </w:rPr>
        <w:t>2:6</w:t>
      </w:r>
      <w:r w:rsidR="007413B3" w:rsidRPr="001005B7">
        <w:rPr>
          <w:lang w:eastAsia="en-GB"/>
        </w:rPr>
        <w:t xml:space="preserve"> </w:t>
      </w:r>
      <w:r w:rsidR="00581AF4" w:rsidRPr="001005B7">
        <w:rPr>
          <w:lang w:eastAsia="en-GB"/>
        </w:rPr>
        <w:t xml:space="preserve">For </w:t>
      </w:r>
      <w:r w:rsidR="00D3184A" w:rsidRPr="001005B7">
        <w:rPr>
          <w:rFonts w:cstheme="minorHAnsi"/>
          <w:rtl/>
          <w:lang w:eastAsia="en-GB" w:bidi="he-IL"/>
        </w:rPr>
        <w:t>וּמִדּ</w:t>
      </w:r>
      <w:r w:rsidR="00B07DCA" w:rsidRPr="001005B7">
        <w:rPr>
          <w:rFonts w:cstheme="minorHAnsi"/>
          <w:rtl/>
          <w:lang w:eastAsia="en-GB" w:bidi="he-IL"/>
        </w:rPr>
        <w:t>ִבְרֵיהֶ</w:t>
      </w:r>
      <w:r w:rsidR="00C831FA" w:rsidRPr="001005B7">
        <w:rPr>
          <w:rFonts w:cstheme="minorHAnsi"/>
          <w:rtl/>
          <w:lang w:eastAsia="en-GB" w:bidi="he-IL"/>
        </w:rPr>
        <w:t>ם</w:t>
      </w:r>
      <w:r w:rsidR="00AA10B3" w:rsidRPr="001005B7">
        <w:rPr>
          <w:rFonts w:cstheme="minorHAnsi"/>
          <w:rtl/>
          <w:lang w:eastAsia="en-GB" w:bidi="he-IL"/>
        </w:rPr>
        <w:t xml:space="preserve"> </w:t>
      </w:r>
      <w:r w:rsidR="00C831FA" w:rsidRPr="001005B7">
        <w:rPr>
          <w:rFonts w:cstheme="minorHAnsi"/>
          <w:rtl/>
          <w:lang w:eastAsia="en-GB" w:bidi="he-IL"/>
        </w:rPr>
        <w:t>א</w:t>
      </w:r>
      <w:r w:rsidR="00C87EBC" w:rsidRPr="001005B7">
        <w:rPr>
          <w:rFonts w:cstheme="minorHAnsi"/>
          <w:rtl/>
          <w:lang w:eastAsia="en-GB" w:bidi="he-IL"/>
        </w:rPr>
        <w:t>ַל</w:t>
      </w:r>
      <w:r w:rsidR="00224E9C" w:rsidRPr="001005B7">
        <w:rPr>
          <w:rFonts w:cstheme="minorHAnsi"/>
          <w:rtl/>
          <w:lang w:eastAsia="en-GB" w:bidi="he-IL"/>
        </w:rPr>
        <w:t>־ת</w:t>
      </w:r>
      <w:r w:rsidR="00CD124D" w:rsidRPr="001005B7">
        <w:rPr>
          <w:rFonts w:cstheme="minorHAnsi"/>
          <w:rtl/>
          <w:lang w:eastAsia="en-GB" w:bidi="he-IL"/>
        </w:rPr>
        <w:t>ִּירׇא</w:t>
      </w:r>
      <w:r w:rsidR="00581AF4" w:rsidRPr="001005B7">
        <w:rPr>
          <w:lang w:eastAsia="en-GB"/>
        </w:rPr>
        <w:t xml:space="preserve">, </w:t>
      </w:r>
      <w:r w:rsidR="00AA10B3" w:rsidRPr="001005B7">
        <w:rPr>
          <w:lang w:eastAsia="en-GB"/>
        </w:rPr>
        <w:t>“</w:t>
      </w:r>
      <w:r w:rsidR="004C3382" w:rsidRPr="001005B7">
        <w:rPr>
          <w:lang w:eastAsia="en-GB"/>
        </w:rPr>
        <w:t xml:space="preserve">of their words do not be afraid,” </w:t>
      </w:r>
      <w:r w:rsidR="00C91DB1" w:rsidRPr="001005B7">
        <w:rPr>
          <w:sz w:val="18"/>
          <w:szCs w:val="18"/>
        </w:rPr>
        <w:t>LXX</w:t>
      </w:r>
      <w:r w:rsidR="007413B3" w:rsidRPr="001005B7">
        <w:rPr>
          <w:lang w:eastAsia="en-GB"/>
        </w:rPr>
        <w:t xml:space="preserve"> </w:t>
      </w:r>
      <w:r w:rsidR="003478CE" w:rsidRPr="001005B7">
        <w:rPr>
          <w:lang w:eastAsia="en-GB"/>
        </w:rPr>
        <w:t>“</w:t>
      </w:r>
      <w:r w:rsidR="00381DE0" w:rsidRPr="001005B7">
        <w:rPr>
          <w:lang w:eastAsia="en-GB"/>
        </w:rPr>
        <w:t xml:space="preserve">and </w:t>
      </w:r>
      <w:r w:rsidR="003478CE" w:rsidRPr="001005B7">
        <w:rPr>
          <w:lang w:eastAsia="en-GB"/>
        </w:rPr>
        <w:t xml:space="preserve">of their </w:t>
      </w:r>
      <w:r w:rsidR="00B1048D" w:rsidRPr="001005B7">
        <w:rPr>
          <w:lang w:eastAsia="en-GB"/>
        </w:rPr>
        <w:t>look</w:t>
      </w:r>
      <w:r w:rsidR="005B0E36" w:rsidRPr="001005B7">
        <w:rPr>
          <w:lang w:eastAsia="en-GB"/>
        </w:rPr>
        <w:t xml:space="preserve"> do not be scared</w:t>
      </w:r>
      <w:r w:rsidR="003478CE" w:rsidRPr="001005B7">
        <w:rPr>
          <w:lang w:eastAsia="en-GB"/>
        </w:rPr>
        <w:t xml:space="preserve">” </w:t>
      </w:r>
      <w:r w:rsidR="0072357F" w:rsidRPr="001005B7">
        <w:rPr>
          <w:lang w:eastAsia="en-GB"/>
        </w:rPr>
        <w:t xml:space="preserve">is similar </w:t>
      </w:r>
      <w:r w:rsidR="009B1E69" w:rsidRPr="001005B7">
        <w:rPr>
          <w:lang w:eastAsia="en-GB"/>
        </w:rPr>
        <w:t xml:space="preserve">to the </w:t>
      </w:r>
      <w:r w:rsidR="0072357F" w:rsidRPr="001005B7">
        <w:rPr>
          <w:lang w:eastAsia="en-GB"/>
        </w:rPr>
        <w:t xml:space="preserve">wording </w:t>
      </w:r>
      <w:r w:rsidR="009B1E69" w:rsidRPr="001005B7">
        <w:rPr>
          <w:lang w:eastAsia="en-GB"/>
        </w:rPr>
        <w:t>in</w:t>
      </w:r>
      <w:r w:rsidR="00621BE5" w:rsidRPr="001005B7">
        <w:rPr>
          <w:rFonts w:cstheme="minorHAnsi"/>
          <w:lang w:eastAsia="en-GB"/>
        </w:rPr>
        <w:t xml:space="preserve"> </w:t>
      </w:r>
      <w:r w:rsidR="00F93C9D" w:rsidRPr="001005B7">
        <w:rPr>
          <w:rFonts w:cstheme="minorHAnsi"/>
          <w:lang w:eastAsia="en-GB"/>
        </w:rPr>
        <w:t>the fifth colon</w:t>
      </w:r>
      <w:r w:rsidR="00235F6E" w:rsidRPr="001005B7">
        <w:rPr>
          <w:rFonts w:cstheme="minorHAnsi"/>
          <w:lang w:eastAsia="en-GB"/>
        </w:rPr>
        <w:t>.</w:t>
      </w:r>
      <w:r w:rsidR="009C5742">
        <w:rPr>
          <w:rFonts w:cstheme="minorHAnsi"/>
          <w:lang w:eastAsia="en-GB"/>
        </w:rPr>
        <w:t>*</w:t>
      </w:r>
    </w:p>
    <w:p w14:paraId="0DFF9CD1" w14:textId="008228A1" w:rsidR="00312893" w:rsidRPr="001005B7" w:rsidRDefault="00236662" w:rsidP="000543A9">
      <w:pPr>
        <w:ind w:firstLine="0"/>
        <w:rPr>
          <w:lang w:eastAsia="en-GB"/>
        </w:rPr>
      </w:pPr>
      <w:r w:rsidRPr="001005B7">
        <w:rPr>
          <w:b/>
          <w:bCs/>
          <w:lang w:eastAsia="en-GB"/>
        </w:rPr>
        <w:t>3:1</w:t>
      </w:r>
      <w:r w:rsidR="00083E77" w:rsidRPr="001005B7">
        <w:rPr>
          <w:lang w:eastAsia="en-GB"/>
        </w:rPr>
        <w:t xml:space="preserve"> </w:t>
      </w:r>
      <w:r w:rsidR="00C91DB1" w:rsidRPr="001005B7">
        <w:rPr>
          <w:sz w:val="18"/>
          <w:szCs w:val="18"/>
        </w:rPr>
        <w:t>LXX</w:t>
      </w:r>
      <w:r w:rsidR="00083E77" w:rsidRPr="001005B7">
        <w:rPr>
          <w:lang w:eastAsia="en-GB"/>
        </w:rPr>
        <w:t xml:space="preserve"> lacks </w:t>
      </w:r>
      <w:r w:rsidR="00B1195B" w:rsidRPr="001005B7">
        <w:rPr>
          <w:lang w:eastAsia="en-GB"/>
        </w:rPr>
        <w:t>“</w:t>
      </w:r>
      <w:r w:rsidR="00083E77" w:rsidRPr="001005B7">
        <w:rPr>
          <w:lang w:eastAsia="en-GB"/>
        </w:rPr>
        <w:t>what</w:t>
      </w:r>
      <w:r w:rsidR="00083E77" w:rsidRPr="001005B7">
        <w:rPr>
          <w:i/>
          <w:iCs/>
          <w:lang w:eastAsia="en-GB"/>
        </w:rPr>
        <w:t xml:space="preserve"> </w:t>
      </w:r>
      <w:r w:rsidR="00083E77" w:rsidRPr="001005B7">
        <w:rPr>
          <w:lang w:eastAsia="en-GB"/>
        </w:rPr>
        <w:t>you</w:t>
      </w:r>
      <w:r w:rsidR="00083E77" w:rsidRPr="001005B7">
        <w:rPr>
          <w:i/>
          <w:iCs/>
          <w:lang w:eastAsia="en-GB"/>
        </w:rPr>
        <w:t xml:space="preserve"> </w:t>
      </w:r>
      <w:r w:rsidR="00083E77" w:rsidRPr="001005B7">
        <w:rPr>
          <w:lang w:eastAsia="en-GB"/>
        </w:rPr>
        <w:t>find</w:t>
      </w:r>
      <w:r w:rsidR="00083E77" w:rsidRPr="001005B7">
        <w:rPr>
          <w:i/>
          <w:iCs/>
          <w:lang w:eastAsia="en-GB"/>
        </w:rPr>
        <w:t xml:space="preserve">, </w:t>
      </w:r>
      <w:r w:rsidR="00083E77" w:rsidRPr="001005B7">
        <w:rPr>
          <w:lang w:eastAsia="en-GB"/>
        </w:rPr>
        <w:t>eat.</w:t>
      </w:r>
      <w:r w:rsidR="009F7A23" w:rsidRPr="001005B7">
        <w:rPr>
          <w:lang w:eastAsia="en-GB"/>
        </w:rPr>
        <w:t>”</w:t>
      </w:r>
    </w:p>
    <w:p w14:paraId="57F75F93" w14:textId="0541B17D" w:rsidR="00416EB7" w:rsidRPr="001005B7" w:rsidRDefault="008A2DA0" w:rsidP="008A2DA0">
      <w:pPr>
        <w:ind w:firstLine="0"/>
        <w:rPr>
          <w:rFonts w:cstheme="minorHAnsi"/>
          <w:lang w:eastAsia="en-GB"/>
        </w:rPr>
      </w:pPr>
      <w:r w:rsidRPr="001005B7">
        <w:rPr>
          <w:b/>
          <w:bCs/>
          <w:lang w:eastAsia="en-GB"/>
        </w:rPr>
        <w:t xml:space="preserve">3:12 </w:t>
      </w:r>
      <w:r w:rsidR="00401CEF" w:rsidRPr="001005B7">
        <w:rPr>
          <w:lang w:eastAsia="en-GB"/>
        </w:rPr>
        <w:t>For</w:t>
      </w:r>
      <w:r w:rsidR="00F01B24" w:rsidRPr="001005B7">
        <w:rPr>
          <w:lang w:eastAsia="en-GB"/>
        </w:rPr>
        <w:t xml:space="preserve"> </w:t>
      </w:r>
      <w:r w:rsidR="00F01B24" w:rsidRPr="001005B7">
        <w:rPr>
          <w:rFonts w:cstheme="minorHAnsi"/>
          <w:rtl/>
          <w:lang w:eastAsia="en-GB" w:bidi="he-IL"/>
        </w:rPr>
        <w:t>בָּרוּךְ</w:t>
      </w:r>
      <w:r w:rsidR="00F01B24" w:rsidRPr="001005B7">
        <w:rPr>
          <w:lang w:eastAsia="en-GB"/>
        </w:rPr>
        <w:t>, “blessed,”</w:t>
      </w:r>
      <w:r w:rsidR="00DE2CFE" w:rsidRPr="001005B7">
        <w:rPr>
          <w:lang w:eastAsia="en-GB"/>
        </w:rPr>
        <w:t xml:space="preserve"> </w:t>
      </w:r>
      <w:r w:rsidR="003D7256" w:rsidRPr="001005B7">
        <w:rPr>
          <w:sz w:val="18"/>
          <w:szCs w:val="18"/>
        </w:rPr>
        <w:t>NRSV</w:t>
      </w:r>
      <w:r w:rsidR="00DE2CFE" w:rsidRPr="001005B7">
        <w:rPr>
          <w:lang w:eastAsia="en-GB"/>
        </w:rPr>
        <w:t xml:space="preserve"> and</w:t>
      </w:r>
      <w:r w:rsidR="002754FB" w:rsidRPr="001005B7">
        <w:rPr>
          <w:lang w:eastAsia="en-GB"/>
        </w:rPr>
        <w:t xml:space="preserve"> </w:t>
      </w:r>
      <w:r w:rsidR="00CD4B58" w:rsidRPr="001005B7">
        <w:rPr>
          <w:sz w:val="18"/>
          <w:szCs w:val="18"/>
        </w:rPr>
        <w:t>NIV</w:t>
      </w:r>
      <w:r w:rsidR="002754FB" w:rsidRPr="001005B7">
        <w:rPr>
          <w:lang w:eastAsia="en-GB"/>
        </w:rPr>
        <w:t xml:space="preserve"> </w:t>
      </w:r>
      <w:r w:rsidR="00F01B24" w:rsidRPr="001005B7">
        <w:rPr>
          <w:lang w:eastAsia="en-GB"/>
        </w:rPr>
        <w:t>read</w:t>
      </w:r>
      <w:r w:rsidR="00733D39" w:rsidRPr="001005B7">
        <w:rPr>
          <w:lang w:eastAsia="en-GB"/>
        </w:rPr>
        <w:t xml:space="preserve"> </w:t>
      </w:r>
      <w:r w:rsidR="00FE05E2" w:rsidRPr="001005B7">
        <w:rPr>
          <w:rFonts w:cstheme="minorHAnsi"/>
          <w:rtl/>
          <w:lang w:eastAsia="en-GB" w:bidi="he-IL"/>
        </w:rPr>
        <w:t>ב</w:t>
      </w:r>
      <w:r w:rsidR="00010FCA" w:rsidRPr="001005B7">
        <w:rPr>
          <w:rFonts w:cstheme="minorHAnsi"/>
          <w:rtl/>
          <w:lang w:eastAsia="en-GB" w:bidi="he-IL"/>
        </w:rPr>
        <w:t>ּ</w:t>
      </w:r>
      <w:r w:rsidR="00FE05E2" w:rsidRPr="001005B7">
        <w:rPr>
          <w:rFonts w:cstheme="minorHAnsi"/>
          <w:rtl/>
          <w:lang w:eastAsia="en-GB" w:bidi="he-IL"/>
        </w:rPr>
        <w:t>ָ</w:t>
      </w:r>
      <w:r w:rsidR="008147A3" w:rsidRPr="001005B7">
        <w:rPr>
          <w:rFonts w:cstheme="minorHAnsi"/>
          <w:rtl/>
          <w:lang w:eastAsia="en-GB" w:bidi="he-IL"/>
        </w:rPr>
        <w:t>ר</w:t>
      </w:r>
      <w:r w:rsidR="00FE05E2" w:rsidRPr="001005B7">
        <w:rPr>
          <w:rFonts w:cstheme="minorHAnsi"/>
          <w:rtl/>
          <w:lang w:eastAsia="en-GB" w:bidi="he-IL"/>
        </w:rPr>
        <w:t>וּ</w:t>
      </w:r>
      <w:r w:rsidR="008147A3" w:rsidRPr="001005B7">
        <w:rPr>
          <w:rFonts w:cstheme="minorHAnsi"/>
          <w:rtl/>
          <w:lang w:eastAsia="en-GB" w:bidi="he-IL"/>
        </w:rPr>
        <w:t>ם</w:t>
      </w:r>
      <w:r w:rsidR="00733D39" w:rsidRPr="001005B7">
        <w:rPr>
          <w:rFonts w:cstheme="minorHAnsi"/>
          <w:lang w:eastAsia="en-GB"/>
        </w:rPr>
        <w:t xml:space="preserve"> “</w:t>
      </w:r>
      <w:r w:rsidR="00C245D5" w:rsidRPr="001005B7">
        <w:rPr>
          <w:rFonts w:cstheme="minorHAnsi"/>
          <w:lang w:eastAsia="en-GB"/>
        </w:rPr>
        <w:t>when [</w:t>
      </w:r>
      <w:r w:rsidR="005836DD" w:rsidRPr="001005B7">
        <w:rPr>
          <w:rFonts w:cstheme="minorHAnsi"/>
          <w:lang w:eastAsia="en-GB"/>
        </w:rPr>
        <w:t>Yahweh’s brightness</w:t>
      </w:r>
      <w:r w:rsidR="00C245D5" w:rsidRPr="001005B7">
        <w:rPr>
          <w:rFonts w:cstheme="minorHAnsi"/>
          <w:lang w:eastAsia="en-GB"/>
        </w:rPr>
        <w:t>] rose</w:t>
      </w:r>
      <w:r w:rsidR="005D7AAE" w:rsidRPr="001005B7">
        <w:rPr>
          <w:rFonts w:cstheme="minorHAnsi"/>
          <w:lang w:eastAsia="en-GB"/>
        </w:rPr>
        <w:t>” (cf. 10:17</w:t>
      </w:r>
      <w:r w:rsidR="00BB033D" w:rsidRPr="001005B7">
        <w:rPr>
          <w:rFonts w:cstheme="minorHAnsi"/>
          <w:lang w:eastAsia="en-GB"/>
        </w:rPr>
        <w:t>; Hitzig, 24</w:t>
      </w:r>
      <w:r w:rsidR="005D7AAE" w:rsidRPr="001005B7">
        <w:rPr>
          <w:rFonts w:cstheme="minorHAnsi"/>
          <w:lang w:eastAsia="en-GB"/>
        </w:rPr>
        <w:t>).</w:t>
      </w:r>
    </w:p>
    <w:p w14:paraId="49E5E356" w14:textId="337DD38E" w:rsidR="000050EF" w:rsidRPr="001005B7" w:rsidRDefault="008A2DA0" w:rsidP="000C38E1">
      <w:pPr>
        <w:ind w:firstLine="0"/>
        <w:rPr>
          <w:rFonts w:cstheme="minorHAnsi"/>
          <w:i/>
          <w:iCs/>
          <w:lang w:eastAsia="en-GB"/>
        </w:rPr>
      </w:pPr>
      <w:r w:rsidRPr="001005B7">
        <w:rPr>
          <w:rFonts w:cstheme="minorHAnsi"/>
          <w:b/>
          <w:bCs/>
          <w:lang w:eastAsia="en-GB"/>
        </w:rPr>
        <w:t>3:14</w:t>
      </w:r>
      <w:r w:rsidR="00566A72" w:rsidRPr="001005B7">
        <w:rPr>
          <w:rFonts w:cstheme="minorHAnsi"/>
          <w:lang w:eastAsia="en-GB"/>
        </w:rPr>
        <w:t xml:space="preserve"> </w:t>
      </w:r>
      <w:r w:rsidR="00C91DB1" w:rsidRPr="001005B7">
        <w:rPr>
          <w:sz w:val="18"/>
          <w:szCs w:val="18"/>
        </w:rPr>
        <w:t>LXX</w:t>
      </w:r>
      <w:r w:rsidR="00566A72" w:rsidRPr="001005B7">
        <w:rPr>
          <w:rFonts w:cstheme="minorHAnsi"/>
          <w:lang w:eastAsia="en-GB"/>
        </w:rPr>
        <w:t xml:space="preserve"> lacks </w:t>
      </w:r>
      <w:r w:rsidR="00F23196" w:rsidRPr="001005B7">
        <w:rPr>
          <w:rFonts w:cstheme="minorHAnsi"/>
          <w:lang w:eastAsia="en-GB"/>
        </w:rPr>
        <w:t>“</w:t>
      </w:r>
      <w:r w:rsidR="00566A72" w:rsidRPr="001005B7">
        <w:rPr>
          <w:rFonts w:cstheme="minorHAnsi"/>
          <w:lang w:eastAsia="en-GB"/>
        </w:rPr>
        <w:t>bitter</w:t>
      </w:r>
      <w:r w:rsidR="00F23196" w:rsidRPr="001005B7">
        <w:rPr>
          <w:rFonts w:cstheme="minorHAnsi"/>
          <w:lang w:eastAsia="en-GB"/>
        </w:rPr>
        <w:t>.”</w:t>
      </w:r>
    </w:p>
    <w:p w14:paraId="0476087A" w14:textId="6186E857" w:rsidR="00746516" w:rsidRPr="001005B7" w:rsidRDefault="000C38E1" w:rsidP="000C38E1">
      <w:pPr>
        <w:ind w:firstLine="0"/>
        <w:rPr>
          <w:lang w:eastAsia="en-GB"/>
        </w:rPr>
      </w:pPr>
      <w:r w:rsidRPr="001005B7">
        <w:rPr>
          <w:b/>
          <w:bCs/>
          <w:lang w:eastAsia="en-GB"/>
        </w:rPr>
        <w:t>3:</w:t>
      </w:r>
      <w:r w:rsidR="007F5E6A" w:rsidRPr="001005B7">
        <w:rPr>
          <w:b/>
          <w:bCs/>
          <w:lang w:eastAsia="en-GB"/>
        </w:rPr>
        <w:t>15</w:t>
      </w:r>
      <w:r w:rsidRPr="001005B7">
        <w:rPr>
          <w:b/>
          <w:bCs/>
          <w:lang w:eastAsia="en-GB"/>
        </w:rPr>
        <w:t xml:space="preserve"> </w:t>
      </w:r>
      <w:r w:rsidR="0093048A" w:rsidRPr="001005B7">
        <w:rPr>
          <w:lang w:eastAsia="en-GB"/>
        </w:rPr>
        <w:t xml:space="preserve">For Q </w:t>
      </w:r>
      <w:r w:rsidR="00D20EEB" w:rsidRPr="001005B7">
        <w:rPr>
          <w:rFonts w:cstheme="minorHAnsi"/>
          <w:rtl/>
          <w:lang w:eastAsia="en-GB" w:bidi="he-IL"/>
        </w:rPr>
        <w:t>וָ</w:t>
      </w:r>
      <w:r w:rsidR="00C336B7" w:rsidRPr="001005B7">
        <w:rPr>
          <w:rFonts w:cstheme="minorHAnsi"/>
          <w:rtl/>
          <w:lang w:eastAsia="en-GB" w:bidi="he-IL"/>
        </w:rPr>
        <w:t>אֵשֵׁב</w:t>
      </w:r>
      <w:r w:rsidR="00FE75B0" w:rsidRPr="001005B7">
        <w:rPr>
          <w:rFonts w:cstheme="minorHAnsi"/>
          <w:i/>
          <w:iCs/>
          <w:lang w:eastAsia="en-GB"/>
        </w:rPr>
        <w:t xml:space="preserve"> </w:t>
      </w:r>
      <w:r w:rsidR="004C04E6" w:rsidRPr="001005B7">
        <w:rPr>
          <w:rFonts w:cstheme="minorHAnsi"/>
          <w:lang w:eastAsia="en-GB"/>
        </w:rPr>
        <w:t xml:space="preserve">“and I stayed,” </w:t>
      </w:r>
      <w:r w:rsidR="00FE75B0" w:rsidRPr="001005B7">
        <w:rPr>
          <w:rFonts w:cstheme="minorHAnsi"/>
          <w:lang w:eastAsia="en-GB"/>
        </w:rPr>
        <w:t>K has</w:t>
      </w:r>
      <w:r w:rsidR="004C4B9E" w:rsidRPr="001005B7">
        <w:rPr>
          <w:rFonts w:cstheme="minorHAnsi"/>
          <w:lang w:eastAsia="en-GB"/>
        </w:rPr>
        <w:t xml:space="preserve"> </w:t>
      </w:r>
      <w:r w:rsidR="004C4B9E" w:rsidRPr="001005B7">
        <w:rPr>
          <w:rFonts w:cstheme="minorHAnsi"/>
          <w:rtl/>
          <w:lang w:eastAsia="en-GB" w:bidi="he-IL"/>
        </w:rPr>
        <w:t>ואשׁ</w:t>
      </w:r>
      <w:r w:rsidR="00F03E86" w:rsidRPr="001005B7">
        <w:rPr>
          <w:rFonts w:cstheme="minorHAnsi"/>
          <w:rtl/>
          <w:lang w:eastAsia="en-GB" w:bidi="he-IL"/>
        </w:rPr>
        <w:t>ר</w:t>
      </w:r>
      <w:r w:rsidR="00FE75B0" w:rsidRPr="001005B7">
        <w:rPr>
          <w:rFonts w:cstheme="minorHAnsi"/>
          <w:lang w:eastAsia="en-GB"/>
        </w:rPr>
        <w:t xml:space="preserve"> </w:t>
      </w:r>
      <w:r w:rsidR="001A7360" w:rsidRPr="001005B7">
        <w:rPr>
          <w:rFonts w:cstheme="minorHAnsi"/>
          <w:lang w:eastAsia="en-GB"/>
        </w:rPr>
        <w:t>“and which</w:t>
      </w:r>
      <w:r w:rsidR="003B7EA0" w:rsidRPr="001005B7">
        <w:rPr>
          <w:rFonts w:cstheme="minorHAnsi"/>
          <w:lang w:eastAsia="en-GB"/>
        </w:rPr>
        <w:t>”</w:t>
      </w:r>
      <w:r w:rsidR="00EC084B" w:rsidRPr="001005B7">
        <w:rPr>
          <w:rFonts w:cstheme="minorHAnsi"/>
          <w:lang w:eastAsia="en-GB"/>
        </w:rPr>
        <w:t xml:space="preserve"> (cf. </w:t>
      </w:r>
      <w:r w:rsidR="003D7256" w:rsidRPr="001005B7">
        <w:rPr>
          <w:sz w:val="18"/>
          <w:szCs w:val="18"/>
        </w:rPr>
        <w:t>NRSV</w:t>
      </w:r>
      <w:r w:rsidR="0020647E" w:rsidRPr="001005B7">
        <w:rPr>
          <w:rFonts w:cstheme="minorHAnsi"/>
          <w:lang w:eastAsia="en-GB"/>
        </w:rPr>
        <w:t xml:space="preserve">, </w:t>
      </w:r>
      <w:r w:rsidR="00CD4B58" w:rsidRPr="001005B7">
        <w:rPr>
          <w:sz w:val="18"/>
          <w:szCs w:val="18"/>
        </w:rPr>
        <w:t>NIV</w:t>
      </w:r>
      <w:r w:rsidR="00EC084B" w:rsidRPr="001005B7">
        <w:rPr>
          <w:rFonts w:cstheme="minorHAnsi"/>
          <w:lang w:eastAsia="en-GB"/>
        </w:rPr>
        <w:t>)</w:t>
      </w:r>
      <w:r w:rsidR="00902533" w:rsidRPr="001005B7">
        <w:rPr>
          <w:rFonts w:cstheme="minorHAnsi"/>
          <w:lang w:eastAsia="en-GB"/>
        </w:rPr>
        <w:t>. T</w:t>
      </w:r>
      <w:r w:rsidR="003B7EA0" w:rsidRPr="001005B7">
        <w:rPr>
          <w:rFonts w:cstheme="minorHAnsi"/>
          <w:lang w:eastAsia="en-GB"/>
        </w:rPr>
        <w:t>he clause then lacks a verb but the meaning is not affected</w:t>
      </w:r>
      <w:r w:rsidR="00902533" w:rsidRPr="001005B7">
        <w:rPr>
          <w:rFonts w:cstheme="minorHAnsi"/>
          <w:lang w:eastAsia="en-GB"/>
        </w:rPr>
        <w:t>, though the suggestive expression “I sat where they sat”</w:t>
      </w:r>
      <w:r w:rsidR="00953E85" w:rsidRPr="001005B7">
        <w:rPr>
          <w:rStyle w:val="FootnoteReference"/>
          <w:rFonts w:cstheme="minorHAnsi"/>
          <w:lang w:eastAsia="en-GB"/>
        </w:rPr>
        <w:footnoteReference w:id="137"/>
      </w:r>
      <w:r w:rsidR="00902533" w:rsidRPr="001005B7">
        <w:rPr>
          <w:rFonts w:cstheme="minorHAnsi"/>
          <w:lang w:eastAsia="en-GB"/>
        </w:rPr>
        <w:t xml:space="preserve"> disappears.</w:t>
      </w:r>
    </w:p>
    <w:p w14:paraId="469FE43A" w14:textId="103D1601" w:rsidR="008C16EE" w:rsidRPr="001005B7" w:rsidRDefault="008C16EE" w:rsidP="00493833">
      <w:pPr>
        <w:pStyle w:val="Heading3"/>
      </w:pPr>
      <w:r w:rsidRPr="001005B7">
        <w:t>Verse-by-</w:t>
      </w:r>
      <w:r w:rsidR="00BB6649" w:rsidRPr="001005B7">
        <w:t>V</w:t>
      </w:r>
      <w:r w:rsidRPr="001005B7">
        <w:t xml:space="preserve">erse </w:t>
      </w:r>
      <w:r w:rsidR="00BB6649" w:rsidRPr="001005B7">
        <w:t>Commentary</w:t>
      </w:r>
    </w:p>
    <w:p w14:paraId="6820922B" w14:textId="1F0E4ED3" w:rsidR="009F7D0F" w:rsidRPr="001005B7" w:rsidRDefault="00323D19" w:rsidP="00171AA4">
      <w:pPr>
        <w:tabs>
          <w:tab w:val="left" w:pos="7513"/>
        </w:tabs>
        <w:rPr>
          <w:lang w:eastAsia="en-GB"/>
        </w:rPr>
      </w:pPr>
      <w:r w:rsidRPr="001005B7">
        <w:rPr>
          <w:b/>
          <w:bCs/>
          <w:lang w:eastAsia="en-GB"/>
        </w:rPr>
        <w:t>1:28b</w:t>
      </w:r>
      <w:r w:rsidRPr="001005B7">
        <w:rPr>
          <w:rFonts w:cstheme="minorHAnsi"/>
          <w:b/>
          <w:bCs/>
          <w:lang w:eastAsia="en-GB"/>
        </w:rPr>
        <w:t>β</w:t>
      </w:r>
      <w:r w:rsidRPr="001005B7">
        <w:rPr>
          <w:lang w:eastAsia="en-GB"/>
        </w:rPr>
        <w:t xml:space="preserve"> </w:t>
      </w:r>
      <w:r w:rsidR="00DE3C4E" w:rsidRPr="001005B7">
        <w:rPr>
          <w:lang w:eastAsia="en-GB"/>
        </w:rPr>
        <w:t xml:space="preserve">Ezekiel makes the transition from </w:t>
      </w:r>
      <w:r w:rsidR="00C60101" w:rsidRPr="001005B7">
        <w:rPr>
          <w:lang w:eastAsia="en-GB"/>
        </w:rPr>
        <w:t>describ</w:t>
      </w:r>
      <w:r w:rsidR="00CD0250" w:rsidRPr="001005B7">
        <w:rPr>
          <w:lang w:eastAsia="en-GB"/>
        </w:rPr>
        <w:t>ing</w:t>
      </w:r>
      <w:r w:rsidR="00DE3C4E" w:rsidRPr="001005B7">
        <w:rPr>
          <w:lang w:eastAsia="en-GB"/>
        </w:rPr>
        <w:t xml:space="preserve"> the vision </w:t>
      </w:r>
      <w:r w:rsidR="00A477D1" w:rsidRPr="001005B7">
        <w:rPr>
          <w:lang w:eastAsia="en-GB"/>
        </w:rPr>
        <w:t xml:space="preserve">to </w:t>
      </w:r>
      <w:r w:rsidR="00C60101" w:rsidRPr="001005B7">
        <w:rPr>
          <w:lang w:eastAsia="en-GB"/>
        </w:rPr>
        <w:t>describ</w:t>
      </w:r>
      <w:r w:rsidR="00B53E61" w:rsidRPr="001005B7">
        <w:rPr>
          <w:lang w:eastAsia="en-GB"/>
        </w:rPr>
        <w:t>ing</w:t>
      </w:r>
      <w:r w:rsidR="00A477D1" w:rsidRPr="001005B7">
        <w:rPr>
          <w:lang w:eastAsia="en-GB"/>
        </w:rPr>
        <w:t xml:space="preserve"> </w:t>
      </w:r>
      <w:r w:rsidR="00C60101" w:rsidRPr="001005B7">
        <w:rPr>
          <w:lang w:eastAsia="en-GB"/>
        </w:rPr>
        <w:t>the</w:t>
      </w:r>
      <w:r w:rsidR="00A477D1" w:rsidRPr="001005B7">
        <w:rPr>
          <w:lang w:eastAsia="en-GB"/>
        </w:rPr>
        <w:t xml:space="preserve"> commission</w:t>
      </w:r>
      <w:r w:rsidR="00C60101" w:rsidRPr="001005B7">
        <w:rPr>
          <w:lang w:eastAsia="en-GB"/>
        </w:rPr>
        <w:t xml:space="preserve"> that</w:t>
      </w:r>
      <w:r w:rsidR="00742B08" w:rsidRPr="001005B7">
        <w:rPr>
          <w:lang w:eastAsia="en-GB"/>
        </w:rPr>
        <w:t xml:space="preserve"> followed</w:t>
      </w:r>
      <w:r w:rsidR="00A477D1" w:rsidRPr="001005B7">
        <w:rPr>
          <w:lang w:eastAsia="en-GB"/>
        </w:rPr>
        <w:t>.</w:t>
      </w:r>
      <w:r w:rsidR="007F1A11" w:rsidRPr="001005B7">
        <w:rPr>
          <w:lang w:eastAsia="en-GB"/>
        </w:rPr>
        <w:t xml:space="preserve"> So far he has been saying</w:t>
      </w:r>
      <w:r w:rsidR="004654BC" w:rsidRPr="001005B7">
        <w:rPr>
          <w:lang w:eastAsia="en-GB"/>
        </w:rPr>
        <w:t xml:space="preserve"> </w:t>
      </w:r>
      <w:r w:rsidR="008048FA" w:rsidRPr="001005B7">
        <w:rPr>
          <w:lang w:eastAsia="en-GB"/>
        </w:rPr>
        <w:t>“</w:t>
      </w:r>
      <w:r w:rsidR="004654BC" w:rsidRPr="001005B7">
        <w:rPr>
          <w:lang w:eastAsia="en-GB"/>
        </w:rPr>
        <w:t>I saw</w:t>
      </w:r>
      <w:r w:rsidR="00523E1C" w:rsidRPr="001005B7">
        <w:rPr>
          <w:lang w:eastAsia="en-GB"/>
        </w:rPr>
        <w:t xml:space="preserve"> </w:t>
      </w:r>
      <w:r w:rsidR="00523E1C" w:rsidRPr="001005B7">
        <w:rPr>
          <w:rStyle w:val="PageNumber"/>
          <w:rFonts w:cstheme="minorHAnsi"/>
        </w:rPr>
        <w:t>…</w:t>
      </w:r>
      <w:r w:rsidR="007709ED" w:rsidRPr="001005B7">
        <w:rPr>
          <w:lang w:eastAsia="en-GB"/>
        </w:rPr>
        <w:t xml:space="preserve">. I saw </w:t>
      </w:r>
      <w:r w:rsidR="00414950" w:rsidRPr="001005B7">
        <w:rPr>
          <w:rFonts w:cstheme="minorHAnsi"/>
          <w:lang w:eastAsia="en-GB"/>
        </w:rPr>
        <w:t>…</w:t>
      </w:r>
      <w:r w:rsidR="007709ED" w:rsidRPr="001005B7">
        <w:rPr>
          <w:lang w:eastAsia="en-GB"/>
        </w:rPr>
        <w:t>. I saw</w:t>
      </w:r>
      <w:r w:rsidR="00FE3BCC" w:rsidRPr="001005B7">
        <w:rPr>
          <w:lang w:eastAsia="en-GB"/>
        </w:rPr>
        <w:t xml:space="preserve"> </w:t>
      </w:r>
      <w:r w:rsidR="00FE3BCC" w:rsidRPr="001005B7">
        <w:rPr>
          <w:rFonts w:cstheme="minorHAnsi"/>
          <w:lang w:eastAsia="en-GB"/>
        </w:rPr>
        <w:t>…</w:t>
      </w:r>
      <w:r w:rsidR="00FE3BCC" w:rsidRPr="001005B7">
        <w:rPr>
          <w:lang w:eastAsia="en-GB"/>
        </w:rPr>
        <w:t>.</w:t>
      </w:r>
      <w:r w:rsidR="003B3F9F" w:rsidRPr="001005B7">
        <w:rPr>
          <w:lang w:eastAsia="en-GB"/>
        </w:rPr>
        <w:t xml:space="preserve"> </w:t>
      </w:r>
      <w:r w:rsidR="00AA732B" w:rsidRPr="001005B7">
        <w:rPr>
          <w:lang w:eastAsia="en-GB"/>
        </w:rPr>
        <w:t>I</w:t>
      </w:r>
      <w:r w:rsidR="003B3F9F" w:rsidRPr="001005B7">
        <w:rPr>
          <w:lang w:eastAsia="en-GB"/>
        </w:rPr>
        <w:t xml:space="preserve"> heard </w:t>
      </w:r>
      <w:r w:rsidR="00FE3BCC" w:rsidRPr="001005B7">
        <w:rPr>
          <w:rFonts w:cstheme="minorHAnsi"/>
          <w:lang w:eastAsia="en-GB"/>
        </w:rPr>
        <w:t>…</w:t>
      </w:r>
      <w:r w:rsidR="00FE3BCC" w:rsidRPr="001005B7">
        <w:rPr>
          <w:lang w:eastAsia="en-GB"/>
        </w:rPr>
        <w:t xml:space="preserve">. </w:t>
      </w:r>
      <w:r w:rsidR="003B3F9F" w:rsidRPr="001005B7">
        <w:rPr>
          <w:lang w:eastAsia="en-GB"/>
        </w:rPr>
        <w:t xml:space="preserve">I saw </w:t>
      </w:r>
      <w:r w:rsidR="00FE3BCC" w:rsidRPr="001005B7">
        <w:rPr>
          <w:rFonts w:cstheme="minorHAnsi"/>
          <w:lang w:eastAsia="en-GB"/>
        </w:rPr>
        <w:t>…</w:t>
      </w:r>
      <w:r w:rsidR="00FE3BCC" w:rsidRPr="001005B7">
        <w:rPr>
          <w:lang w:eastAsia="en-GB"/>
        </w:rPr>
        <w:t xml:space="preserve">. </w:t>
      </w:r>
      <w:r w:rsidR="00AA732B" w:rsidRPr="001005B7">
        <w:rPr>
          <w:lang w:eastAsia="en-GB"/>
        </w:rPr>
        <w:t>I saw</w:t>
      </w:r>
      <w:r w:rsidR="00FE3BCC" w:rsidRPr="001005B7">
        <w:rPr>
          <w:lang w:eastAsia="en-GB"/>
        </w:rPr>
        <w:t xml:space="preserve"> </w:t>
      </w:r>
      <w:r w:rsidR="00FE3BCC" w:rsidRPr="001005B7">
        <w:rPr>
          <w:rFonts w:cstheme="minorHAnsi"/>
          <w:lang w:eastAsia="en-GB"/>
        </w:rPr>
        <w:t>…</w:t>
      </w:r>
      <w:r w:rsidR="00FE3BCC" w:rsidRPr="001005B7">
        <w:rPr>
          <w:lang w:eastAsia="en-GB"/>
        </w:rPr>
        <w:t xml:space="preserve">. </w:t>
      </w:r>
      <w:r w:rsidR="00AA732B" w:rsidRPr="001005B7">
        <w:rPr>
          <w:lang w:eastAsia="en-GB"/>
        </w:rPr>
        <w:t>I fell</w:t>
      </w:r>
      <w:r w:rsidR="00CC1D9C" w:rsidRPr="001005B7">
        <w:rPr>
          <w:lang w:eastAsia="en-GB"/>
        </w:rPr>
        <w:t>,</w:t>
      </w:r>
      <w:r w:rsidR="008048FA" w:rsidRPr="001005B7">
        <w:rPr>
          <w:lang w:eastAsia="en-GB"/>
        </w:rPr>
        <w:t>”</w:t>
      </w:r>
      <w:r w:rsidR="00CC1D9C" w:rsidRPr="001005B7">
        <w:rPr>
          <w:lang w:eastAsia="en-GB"/>
        </w:rPr>
        <w:t xml:space="preserve"> with</w:t>
      </w:r>
      <w:r w:rsidR="003B3F9F" w:rsidRPr="001005B7">
        <w:rPr>
          <w:i/>
          <w:iCs/>
          <w:lang w:eastAsia="en-GB"/>
        </w:rPr>
        <w:t xml:space="preserve"> </w:t>
      </w:r>
      <w:r w:rsidR="00CC1D9C" w:rsidRPr="001005B7">
        <w:rPr>
          <w:lang w:eastAsia="en-GB"/>
        </w:rPr>
        <w:t>t</w:t>
      </w:r>
      <w:r w:rsidR="00DA6F3F" w:rsidRPr="001005B7">
        <w:rPr>
          <w:lang w:eastAsia="en-GB"/>
        </w:rPr>
        <w:t xml:space="preserve">he </w:t>
      </w:r>
      <w:r w:rsidR="00450DEB" w:rsidRPr="001005B7">
        <w:rPr>
          <w:lang w:eastAsia="en-GB"/>
        </w:rPr>
        <w:t>space between the</w:t>
      </w:r>
      <w:r w:rsidR="006F02BC" w:rsidRPr="001005B7">
        <w:rPr>
          <w:lang w:eastAsia="en-GB"/>
        </w:rPr>
        <w:t>se</w:t>
      </w:r>
      <w:r w:rsidR="00450DEB" w:rsidRPr="001005B7">
        <w:rPr>
          <w:lang w:eastAsia="en-GB"/>
        </w:rPr>
        <w:t xml:space="preserve"> first-person verbs steadily decreas</w:t>
      </w:r>
      <w:r w:rsidR="00CC1D9C" w:rsidRPr="001005B7">
        <w:rPr>
          <w:lang w:eastAsia="en-GB"/>
        </w:rPr>
        <w:t>ing</w:t>
      </w:r>
      <w:r w:rsidR="00E56E0B" w:rsidRPr="001005B7">
        <w:rPr>
          <w:lang w:eastAsia="en-GB"/>
        </w:rPr>
        <w:t xml:space="preserve"> </w:t>
      </w:r>
      <w:r w:rsidR="00CB359F" w:rsidRPr="001005B7">
        <w:rPr>
          <w:lang w:eastAsia="en-GB"/>
        </w:rPr>
        <w:t>until</w:t>
      </w:r>
      <w:r w:rsidR="00E56E0B" w:rsidRPr="001005B7">
        <w:rPr>
          <w:lang w:eastAsia="en-GB"/>
        </w:rPr>
        <w:t xml:space="preserve"> </w:t>
      </w:r>
      <w:r w:rsidR="00CC1D9C" w:rsidRPr="001005B7">
        <w:rPr>
          <w:lang w:eastAsia="en-GB"/>
        </w:rPr>
        <w:t>the</w:t>
      </w:r>
      <w:r w:rsidR="00E56E0B" w:rsidRPr="001005B7">
        <w:rPr>
          <w:lang w:eastAsia="en-GB"/>
        </w:rPr>
        <w:t xml:space="preserve"> overwhelming nature </w:t>
      </w:r>
      <w:r w:rsidR="00CC1D9C" w:rsidRPr="001005B7">
        <w:rPr>
          <w:lang w:eastAsia="en-GB"/>
        </w:rPr>
        <w:t>of what happened</w:t>
      </w:r>
      <w:r w:rsidR="00404D21" w:rsidRPr="001005B7">
        <w:rPr>
          <w:lang w:eastAsia="en-GB"/>
        </w:rPr>
        <w:t xml:space="preserve"> </w:t>
      </w:r>
      <w:r w:rsidR="00E56E0B" w:rsidRPr="001005B7">
        <w:rPr>
          <w:lang w:eastAsia="en-GB"/>
        </w:rPr>
        <w:t>c</w:t>
      </w:r>
      <w:r w:rsidR="00404D21" w:rsidRPr="001005B7">
        <w:rPr>
          <w:lang w:eastAsia="en-GB"/>
        </w:rPr>
        <w:t>a</w:t>
      </w:r>
      <w:r w:rsidR="00E56E0B" w:rsidRPr="001005B7">
        <w:rPr>
          <w:lang w:eastAsia="en-GB"/>
        </w:rPr>
        <w:t>me to a climax with that last verb</w:t>
      </w:r>
      <w:r w:rsidR="006F02BC" w:rsidRPr="001005B7">
        <w:rPr>
          <w:lang w:eastAsia="en-GB"/>
        </w:rPr>
        <w:t xml:space="preserve"> about his falling</w:t>
      </w:r>
      <w:r w:rsidR="00E56E0B" w:rsidRPr="001005B7">
        <w:rPr>
          <w:lang w:eastAsia="en-GB"/>
        </w:rPr>
        <w:t xml:space="preserve">. </w:t>
      </w:r>
      <w:r w:rsidR="00544B1B" w:rsidRPr="001005B7">
        <w:rPr>
          <w:lang w:eastAsia="en-GB"/>
        </w:rPr>
        <w:t xml:space="preserve">Now there is </w:t>
      </w:r>
      <w:r w:rsidR="00D2436A" w:rsidRPr="001005B7">
        <w:rPr>
          <w:lang w:eastAsia="en-GB"/>
        </w:rPr>
        <w:t xml:space="preserve">a different </w:t>
      </w:r>
      <w:r w:rsidR="00490958" w:rsidRPr="001005B7">
        <w:rPr>
          <w:lang w:eastAsia="en-GB"/>
        </w:rPr>
        <w:t>hearing</w:t>
      </w:r>
      <w:r w:rsidR="00C87C88" w:rsidRPr="001005B7">
        <w:rPr>
          <w:lang w:eastAsia="en-GB"/>
        </w:rPr>
        <w:t xml:space="preserve"> from the one in the vision</w:t>
      </w:r>
      <w:r w:rsidR="00327B3B" w:rsidRPr="001005B7">
        <w:rPr>
          <w:lang w:eastAsia="en-GB"/>
        </w:rPr>
        <w:t>. I</w:t>
      </w:r>
      <w:r w:rsidR="00C87C88" w:rsidRPr="001005B7">
        <w:rPr>
          <w:lang w:eastAsia="en-GB"/>
        </w:rPr>
        <w:t>ts</w:t>
      </w:r>
      <w:r w:rsidR="00490958" w:rsidRPr="001005B7">
        <w:rPr>
          <w:lang w:eastAsia="en-GB"/>
        </w:rPr>
        <w:t xml:space="preserve"> object</w:t>
      </w:r>
      <w:r w:rsidR="00A5251B" w:rsidRPr="001005B7">
        <w:rPr>
          <w:lang w:eastAsia="en-GB"/>
        </w:rPr>
        <w:t xml:space="preserve"> (</w:t>
      </w:r>
      <w:r w:rsidR="00735AAA" w:rsidRPr="001005B7">
        <w:rPr>
          <w:lang w:eastAsia="en-GB"/>
        </w:rPr>
        <w:t xml:space="preserve">still a </w:t>
      </w:r>
      <w:r w:rsidR="00735AAA" w:rsidRPr="001005B7">
        <w:rPr>
          <w:rFonts w:cstheme="minorHAnsi"/>
          <w:rtl/>
          <w:lang w:eastAsia="en-GB" w:bidi="he-IL"/>
        </w:rPr>
        <w:t>קוׄ</w:t>
      </w:r>
      <w:r w:rsidR="00A8660F" w:rsidRPr="001005B7">
        <w:rPr>
          <w:rFonts w:cstheme="minorHAnsi"/>
          <w:rtl/>
          <w:lang w:eastAsia="en-GB" w:bidi="he-IL"/>
        </w:rPr>
        <w:t>ל</w:t>
      </w:r>
      <w:r w:rsidR="00A5251B" w:rsidRPr="001005B7">
        <w:rPr>
          <w:lang w:eastAsia="en-GB"/>
        </w:rPr>
        <w:t>)</w:t>
      </w:r>
      <w:r w:rsidR="00A8660F" w:rsidRPr="001005B7">
        <w:rPr>
          <w:lang w:eastAsia="en-GB"/>
        </w:rPr>
        <w:t xml:space="preserve"> is now </w:t>
      </w:r>
      <w:r w:rsidR="00540B3C" w:rsidRPr="001005B7">
        <w:rPr>
          <w:lang w:eastAsia="en-GB"/>
        </w:rPr>
        <w:t>a voice rather than a sound.</w:t>
      </w:r>
      <w:r w:rsidR="00206827" w:rsidRPr="001005B7">
        <w:rPr>
          <w:lang w:eastAsia="en-GB"/>
        </w:rPr>
        <w:t xml:space="preserve"> </w:t>
      </w:r>
      <w:r w:rsidR="00E30599" w:rsidRPr="001005B7">
        <w:rPr>
          <w:lang w:eastAsia="en-GB"/>
        </w:rPr>
        <w:t>A</w:t>
      </w:r>
      <w:r w:rsidR="00CE76F2" w:rsidRPr="001005B7">
        <w:rPr>
          <w:lang w:eastAsia="en-GB"/>
        </w:rPr>
        <w:t>nd a</w:t>
      </w:r>
      <w:r w:rsidR="00E30599" w:rsidRPr="001005B7">
        <w:rPr>
          <w:lang w:eastAsia="en-GB"/>
        </w:rPr>
        <w:t xml:space="preserve">s there was a slightly puzzling gap between the opening of the heavens </w:t>
      </w:r>
      <w:r w:rsidR="007465D0" w:rsidRPr="001005B7">
        <w:rPr>
          <w:lang w:eastAsia="en-GB"/>
        </w:rPr>
        <w:t>(</w:t>
      </w:r>
      <w:r w:rsidR="00E30599" w:rsidRPr="001005B7">
        <w:rPr>
          <w:lang w:eastAsia="en-GB"/>
        </w:rPr>
        <w:t>1:1</w:t>
      </w:r>
      <w:r w:rsidR="007465D0" w:rsidRPr="001005B7">
        <w:rPr>
          <w:lang w:eastAsia="en-GB"/>
        </w:rPr>
        <w:t>)</w:t>
      </w:r>
      <w:r w:rsidR="00E30599" w:rsidRPr="001005B7">
        <w:rPr>
          <w:lang w:eastAsia="en-GB"/>
        </w:rPr>
        <w:t xml:space="preserve"> and the wind coming from the north </w:t>
      </w:r>
      <w:r w:rsidR="007465D0" w:rsidRPr="001005B7">
        <w:rPr>
          <w:lang w:eastAsia="en-GB"/>
        </w:rPr>
        <w:t>(</w:t>
      </w:r>
      <w:r w:rsidR="00E30599" w:rsidRPr="001005B7">
        <w:rPr>
          <w:lang w:eastAsia="en-GB"/>
        </w:rPr>
        <w:t>1:4</w:t>
      </w:r>
      <w:r w:rsidR="007465D0" w:rsidRPr="001005B7">
        <w:rPr>
          <w:lang w:eastAsia="en-GB"/>
        </w:rPr>
        <w:t>)</w:t>
      </w:r>
      <w:r w:rsidR="00E30599" w:rsidRPr="001005B7">
        <w:rPr>
          <w:lang w:eastAsia="en-GB"/>
        </w:rPr>
        <w:t>, there is a momentarily puzzling gap between the appearing of something like a human figure in 1:26</w:t>
      </w:r>
      <w:r w:rsidR="00F46900" w:rsidRPr="001005B7">
        <w:rPr>
          <w:lang w:eastAsia="en-GB"/>
        </w:rPr>
        <w:t>–</w:t>
      </w:r>
      <w:r w:rsidR="00E30599" w:rsidRPr="001005B7">
        <w:rPr>
          <w:lang w:eastAsia="en-GB"/>
        </w:rPr>
        <w:t>28b</w:t>
      </w:r>
      <w:r w:rsidR="00E30599" w:rsidRPr="001005B7">
        <w:rPr>
          <w:rFonts w:cstheme="minorHAnsi"/>
          <w:lang w:eastAsia="en-GB"/>
        </w:rPr>
        <w:t>α</w:t>
      </w:r>
      <w:r w:rsidR="00E30599" w:rsidRPr="001005B7">
        <w:rPr>
          <w:lang w:eastAsia="en-GB"/>
        </w:rPr>
        <w:t xml:space="preserve"> and the voice that now speaks</w:t>
      </w:r>
      <w:r w:rsidR="00CB53E9" w:rsidRPr="001005B7">
        <w:rPr>
          <w:lang w:eastAsia="en-GB"/>
        </w:rPr>
        <w:t>, in that t</w:t>
      </w:r>
      <w:r w:rsidR="00206827" w:rsidRPr="001005B7">
        <w:rPr>
          <w:lang w:eastAsia="en-GB"/>
        </w:rPr>
        <w:t xml:space="preserve">he voice is </w:t>
      </w:r>
      <w:r w:rsidR="0058419B" w:rsidRPr="001005B7">
        <w:rPr>
          <w:lang w:eastAsia="en-GB"/>
        </w:rPr>
        <w:t>unidentified</w:t>
      </w:r>
      <w:r w:rsidR="00CB53E9" w:rsidRPr="001005B7">
        <w:rPr>
          <w:lang w:eastAsia="en-GB"/>
        </w:rPr>
        <w:t>. It</w:t>
      </w:r>
      <w:r w:rsidR="0058419B" w:rsidRPr="001005B7">
        <w:rPr>
          <w:lang w:eastAsia="en-GB"/>
        </w:rPr>
        <w:t xml:space="preserve"> leav</w:t>
      </w:r>
      <w:r w:rsidR="00CB53E9" w:rsidRPr="001005B7">
        <w:rPr>
          <w:lang w:eastAsia="en-GB"/>
        </w:rPr>
        <w:t>es</w:t>
      </w:r>
      <w:r w:rsidR="0058419B" w:rsidRPr="001005B7">
        <w:rPr>
          <w:lang w:eastAsia="en-GB"/>
        </w:rPr>
        <w:t xml:space="preserve"> a touch of mystery</w:t>
      </w:r>
      <w:r w:rsidR="0045408B" w:rsidRPr="001005B7">
        <w:rPr>
          <w:lang w:eastAsia="en-GB"/>
        </w:rPr>
        <w:t xml:space="preserve"> and </w:t>
      </w:r>
      <w:r w:rsidR="003F0988" w:rsidRPr="001005B7">
        <w:rPr>
          <w:lang w:eastAsia="en-GB"/>
        </w:rPr>
        <w:t xml:space="preserve">it </w:t>
      </w:r>
      <w:r w:rsidR="00ED5482" w:rsidRPr="001005B7">
        <w:rPr>
          <w:lang w:eastAsia="en-GB"/>
        </w:rPr>
        <w:t>requir</w:t>
      </w:r>
      <w:r w:rsidR="005E5352" w:rsidRPr="001005B7">
        <w:rPr>
          <w:lang w:eastAsia="en-GB"/>
        </w:rPr>
        <w:t>es</w:t>
      </w:r>
      <w:r w:rsidR="00B06D89" w:rsidRPr="001005B7">
        <w:rPr>
          <w:lang w:eastAsia="en-GB"/>
        </w:rPr>
        <w:t xml:space="preserve"> readers to put two and two together</w:t>
      </w:r>
      <w:r w:rsidR="0045408B" w:rsidRPr="001005B7">
        <w:rPr>
          <w:lang w:eastAsia="en-GB"/>
        </w:rPr>
        <w:t>.</w:t>
      </w:r>
      <w:r w:rsidR="00273ADD" w:rsidRPr="001005B7">
        <w:rPr>
          <w:lang w:eastAsia="en-GB"/>
        </w:rPr>
        <w:t xml:space="preserve"> Ezekiel will often leave readers to do that.</w:t>
      </w:r>
    </w:p>
    <w:p w14:paraId="24E04039" w14:textId="2C67B751" w:rsidR="00253BD9" w:rsidRPr="001005B7" w:rsidRDefault="002260FA" w:rsidP="002538FE">
      <w:pPr>
        <w:rPr>
          <w:lang w:eastAsia="en-GB"/>
        </w:rPr>
      </w:pPr>
      <w:r w:rsidRPr="001005B7">
        <w:rPr>
          <w:b/>
          <w:bCs/>
          <w:lang w:eastAsia="en-GB"/>
        </w:rPr>
        <w:t>2:1</w:t>
      </w:r>
      <w:r w:rsidRPr="001005B7">
        <w:rPr>
          <w:lang w:eastAsia="en-GB"/>
        </w:rPr>
        <w:t xml:space="preserve"> </w:t>
      </w:r>
      <w:r w:rsidR="00FC32C2" w:rsidRPr="001005B7">
        <w:rPr>
          <w:lang w:eastAsia="en-GB"/>
        </w:rPr>
        <w:t>“</w:t>
      </w:r>
      <w:r w:rsidR="00D3329B" w:rsidRPr="001005B7">
        <w:rPr>
          <w:lang w:eastAsia="en-GB"/>
        </w:rPr>
        <w:t>My man</w:t>
      </w:r>
      <w:r w:rsidR="00FC32C2" w:rsidRPr="001005B7">
        <w:rPr>
          <w:lang w:eastAsia="en-GB"/>
        </w:rPr>
        <w:t xml:space="preserve">” renders </w:t>
      </w:r>
      <w:r w:rsidR="009F3293" w:rsidRPr="001005B7">
        <w:rPr>
          <w:rFonts w:cstheme="minorHAnsi"/>
          <w:rtl/>
          <w:lang w:eastAsia="en-GB" w:bidi="he-IL"/>
        </w:rPr>
        <w:t>ב</w:t>
      </w:r>
      <w:r w:rsidR="00EB7C52" w:rsidRPr="001005B7">
        <w:rPr>
          <w:rFonts w:cstheme="minorHAnsi"/>
          <w:rtl/>
          <w:lang w:eastAsia="en-GB" w:bidi="he-IL"/>
        </w:rPr>
        <w:t>ֶ</w:t>
      </w:r>
      <w:r w:rsidR="00E678C6" w:rsidRPr="001005B7">
        <w:rPr>
          <w:rFonts w:cstheme="minorHAnsi"/>
          <w:rtl/>
          <w:lang w:eastAsia="en-GB" w:bidi="he-IL"/>
        </w:rPr>
        <w:t>ּ</w:t>
      </w:r>
      <w:r w:rsidR="00EB7C52" w:rsidRPr="001005B7">
        <w:rPr>
          <w:rFonts w:cstheme="minorHAnsi"/>
          <w:rtl/>
          <w:lang w:eastAsia="en-GB" w:bidi="he-IL"/>
        </w:rPr>
        <w:t>ן</w:t>
      </w:r>
      <w:r w:rsidR="00BB74C4" w:rsidRPr="001005B7">
        <w:rPr>
          <w:rFonts w:cstheme="minorHAnsi"/>
          <w:rtl/>
          <w:lang w:eastAsia="en-GB" w:bidi="he-IL"/>
        </w:rPr>
        <w:t xml:space="preserve"> </w:t>
      </w:r>
      <w:r w:rsidR="00EB7C52" w:rsidRPr="001005B7">
        <w:rPr>
          <w:rFonts w:cstheme="minorHAnsi"/>
          <w:rtl/>
          <w:lang w:eastAsia="en-GB" w:bidi="he-IL"/>
        </w:rPr>
        <w:t>אָדָ</w:t>
      </w:r>
      <w:r w:rsidR="00BB74C4" w:rsidRPr="001005B7">
        <w:rPr>
          <w:rFonts w:cstheme="minorHAnsi"/>
          <w:rtl/>
          <w:lang w:eastAsia="en-GB" w:bidi="he-IL"/>
        </w:rPr>
        <w:t>ם</w:t>
      </w:r>
      <w:r w:rsidR="00FC32C2" w:rsidRPr="001005B7">
        <w:rPr>
          <w:lang w:eastAsia="en-GB"/>
        </w:rPr>
        <w:t>, of</w:t>
      </w:r>
      <w:r w:rsidR="00EC263C" w:rsidRPr="001005B7">
        <w:rPr>
          <w:lang w:eastAsia="en-GB"/>
        </w:rPr>
        <w:t xml:space="preserve"> which </w:t>
      </w:r>
      <w:r w:rsidR="006435D2" w:rsidRPr="001005B7">
        <w:rPr>
          <w:lang w:eastAsia="en-GB"/>
        </w:rPr>
        <w:t>the</w:t>
      </w:r>
      <w:r w:rsidR="00EC263C" w:rsidRPr="001005B7">
        <w:rPr>
          <w:lang w:eastAsia="en-GB"/>
        </w:rPr>
        <w:t xml:space="preserve"> literalistic translation </w:t>
      </w:r>
      <w:r w:rsidR="00524BD5" w:rsidRPr="001005B7">
        <w:rPr>
          <w:lang w:eastAsia="en-GB"/>
        </w:rPr>
        <w:t>is</w:t>
      </w:r>
      <w:r w:rsidR="00BB74C4" w:rsidRPr="001005B7">
        <w:rPr>
          <w:lang w:eastAsia="en-GB"/>
        </w:rPr>
        <w:t xml:space="preserve"> </w:t>
      </w:r>
      <w:r w:rsidRPr="001005B7">
        <w:rPr>
          <w:lang w:eastAsia="en-GB"/>
        </w:rPr>
        <w:t>“son of man</w:t>
      </w:r>
      <w:r w:rsidR="00327B3B" w:rsidRPr="001005B7">
        <w:rPr>
          <w:lang w:eastAsia="en-GB"/>
        </w:rPr>
        <w:t>.</w:t>
      </w:r>
      <w:r w:rsidR="0015228D" w:rsidRPr="001005B7">
        <w:rPr>
          <w:lang w:eastAsia="en-GB"/>
        </w:rPr>
        <w:t>”</w:t>
      </w:r>
      <w:r w:rsidR="00327B3B" w:rsidRPr="001005B7">
        <w:rPr>
          <w:lang w:eastAsia="en-GB"/>
        </w:rPr>
        <w:t xml:space="preserve"> I</w:t>
      </w:r>
      <w:r w:rsidR="00FC63F4" w:rsidRPr="001005B7">
        <w:rPr>
          <w:lang w:eastAsia="en-GB"/>
        </w:rPr>
        <w:t>t is Yahweh’s default way of addressing Ezekiel</w:t>
      </w:r>
      <w:r w:rsidR="00C07CBC" w:rsidRPr="001005B7">
        <w:rPr>
          <w:lang w:eastAsia="en-GB"/>
        </w:rPr>
        <w:t>, occurring 93 times in Ezekiel and occasionally elsewhere</w:t>
      </w:r>
      <w:r w:rsidR="007445ED" w:rsidRPr="001005B7">
        <w:rPr>
          <w:lang w:eastAsia="en-GB"/>
        </w:rPr>
        <w:t xml:space="preserve"> in the First Testament</w:t>
      </w:r>
      <w:r w:rsidR="00FC63F4" w:rsidRPr="001005B7">
        <w:rPr>
          <w:lang w:eastAsia="en-GB"/>
        </w:rPr>
        <w:t xml:space="preserve">. </w:t>
      </w:r>
      <w:r w:rsidR="003001E2" w:rsidRPr="001005B7">
        <w:rPr>
          <w:lang w:eastAsia="en-GB"/>
        </w:rPr>
        <w:t xml:space="preserve">While the phrase </w:t>
      </w:r>
      <w:r w:rsidR="00045C96" w:rsidRPr="001005B7">
        <w:rPr>
          <w:lang w:eastAsia="en-GB"/>
        </w:rPr>
        <w:t>i</w:t>
      </w:r>
      <w:r w:rsidR="00BB0EEA" w:rsidRPr="001005B7">
        <w:rPr>
          <w:lang w:eastAsia="en-GB"/>
        </w:rPr>
        <w:t>n due course</w:t>
      </w:r>
      <w:r w:rsidR="00442D2F" w:rsidRPr="001005B7">
        <w:rPr>
          <w:lang w:eastAsia="en-GB"/>
        </w:rPr>
        <w:t xml:space="preserve"> </w:t>
      </w:r>
      <w:r w:rsidR="00BB0EEA" w:rsidRPr="001005B7">
        <w:rPr>
          <w:lang w:eastAsia="en-GB"/>
        </w:rPr>
        <w:t>come</w:t>
      </w:r>
      <w:r w:rsidR="001B1BD0">
        <w:rPr>
          <w:lang w:eastAsia="en-GB"/>
        </w:rPr>
        <w:t>s</w:t>
      </w:r>
      <w:r w:rsidR="00BB0EEA" w:rsidRPr="001005B7">
        <w:rPr>
          <w:lang w:eastAsia="en-GB"/>
        </w:rPr>
        <w:t xml:space="preserve"> to have </w:t>
      </w:r>
      <w:r w:rsidR="009B46BF" w:rsidRPr="001005B7">
        <w:rPr>
          <w:lang w:eastAsia="en-GB"/>
        </w:rPr>
        <w:t xml:space="preserve">the </w:t>
      </w:r>
      <w:r w:rsidR="00442D2F" w:rsidRPr="001005B7">
        <w:rPr>
          <w:lang w:eastAsia="en-GB"/>
        </w:rPr>
        <w:t xml:space="preserve">more </w:t>
      </w:r>
      <w:r w:rsidR="00BB0EEA" w:rsidRPr="001005B7">
        <w:rPr>
          <w:lang w:eastAsia="en-GB"/>
        </w:rPr>
        <w:t xml:space="preserve">exalted connotations that feature when Jesus </w:t>
      </w:r>
      <w:r w:rsidR="00C07CBC" w:rsidRPr="001005B7">
        <w:rPr>
          <w:lang w:eastAsia="en-GB"/>
        </w:rPr>
        <w:t>uses it</w:t>
      </w:r>
      <w:r w:rsidR="00442D2F" w:rsidRPr="001005B7">
        <w:rPr>
          <w:lang w:eastAsia="en-GB"/>
        </w:rPr>
        <w:t>,</w:t>
      </w:r>
      <w:r w:rsidR="00BB0EEA" w:rsidRPr="001005B7">
        <w:rPr>
          <w:lang w:eastAsia="en-GB"/>
        </w:rPr>
        <w:t xml:space="preserve"> </w:t>
      </w:r>
      <w:r w:rsidR="00193F34" w:rsidRPr="001005B7">
        <w:rPr>
          <w:lang w:eastAsia="en-GB"/>
        </w:rPr>
        <w:t xml:space="preserve">idiomatically </w:t>
      </w:r>
      <w:r w:rsidR="00EA5EE9" w:rsidRPr="001005B7">
        <w:rPr>
          <w:lang w:eastAsia="en-GB"/>
        </w:rPr>
        <w:t>i</w:t>
      </w:r>
      <w:r w:rsidR="00C07CBC" w:rsidRPr="001005B7">
        <w:rPr>
          <w:lang w:eastAsia="en-GB"/>
        </w:rPr>
        <w:t>t</w:t>
      </w:r>
      <w:r w:rsidR="00EA5EE9" w:rsidRPr="001005B7">
        <w:rPr>
          <w:lang w:eastAsia="en-GB"/>
        </w:rPr>
        <w:t xml:space="preserve"> simply denotes </w:t>
      </w:r>
      <w:r w:rsidR="00193F34" w:rsidRPr="001005B7">
        <w:rPr>
          <w:lang w:eastAsia="en-GB"/>
        </w:rPr>
        <w:t>“human being</w:t>
      </w:r>
      <w:r w:rsidR="00517233">
        <w:rPr>
          <w:lang w:eastAsia="en-GB"/>
        </w:rPr>
        <w:t>,</w:t>
      </w:r>
      <w:r w:rsidR="00141B05" w:rsidRPr="001005B7">
        <w:rPr>
          <w:lang w:eastAsia="en-GB"/>
        </w:rPr>
        <w:t>”</w:t>
      </w:r>
      <w:r w:rsidR="001B152A" w:rsidRPr="001005B7">
        <w:rPr>
          <w:lang w:eastAsia="en-GB"/>
        </w:rPr>
        <w:t xml:space="preserve"> </w:t>
      </w:r>
      <w:r w:rsidR="00006080" w:rsidRPr="001005B7">
        <w:rPr>
          <w:lang w:eastAsia="en-GB"/>
        </w:rPr>
        <w:t xml:space="preserve">It </w:t>
      </w:r>
      <w:r w:rsidR="00141B05" w:rsidRPr="001005B7">
        <w:rPr>
          <w:lang w:eastAsia="en-GB"/>
        </w:rPr>
        <w:t>parallel</w:t>
      </w:r>
      <w:r w:rsidR="00006080" w:rsidRPr="001005B7">
        <w:rPr>
          <w:lang w:eastAsia="en-GB"/>
        </w:rPr>
        <w:t>s</w:t>
      </w:r>
      <w:r w:rsidR="00141B05" w:rsidRPr="001005B7">
        <w:rPr>
          <w:lang w:eastAsia="en-GB"/>
        </w:rPr>
        <w:t xml:space="preserve"> expressions such as </w:t>
      </w:r>
      <w:r w:rsidR="00006080" w:rsidRPr="001005B7">
        <w:rPr>
          <w:lang w:eastAsia="en-GB"/>
        </w:rPr>
        <w:t xml:space="preserve">“son of Ammon,” idiomatically, “Ammonite.” </w:t>
      </w:r>
      <w:r w:rsidR="000E1DE7">
        <w:rPr>
          <w:lang w:eastAsia="en-GB"/>
        </w:rPr>
        <w:t xml:space="preserve">But it </w:t>
      </w:r>
      <w:r w:rsidR="00496AAC">
        <w:rPr>
          <w:lang w:eastAsia="en-GB"/>
        </w:rPr>
        <w:t xml:space="preserve">implies the contrast between </w:t>
      </w:r>
      <w:r w:rsidR="00E55F78">
        <w:rPr>
          <w:lang w:eastAsia="en-GB"/>
        </w:rPr>
        <w:t>“</w:t>
      </w:r>
      <w:r w:rsidR="00496AAC">
        <w:rPr>
          <w:lang w:eastAsia="en-GB"/>
        </w:rPr>
        <w:t xml:space="preserve">the Lord </w:t>
      </w:r>
      <w:r w:rsidR="00E55F78">
        <w:rPr>
          <w:lang w:eastAsia="en-GB"/>
        </w:rPr>
        <w:t xml:space="preserve">Yahweh” (2:4) </w:t>
      </w:r>
      <w:r w:rsidR="00496AAC">
        <w:rPr>
          <w:lang w:eastAsia="en-GB"/>
        </w:rPr>
        <w:t>and the humble human being</w:t>
      </w:r>
      <w:r w:rsidR="00874713">
        <w:rPr>
          <w:lang w:eastAsia="en-GB"/>
        </w:rPr>
        <w:t>, and</w:t>
      </w:r>
      <w:r w:rsidR="00552E1B" w:rsidRPr="001005B7">
        <w:rPr>
          <w:lang w:eastAsia="en-GB"/>
        </w:rPr>
        <w:t xml:space="preserve"> </w:t>
      </w:r>
      <w:r w:rsidR="00D62E2E">
        <w:rPr>
          <w:lang w:eastAsia="en-GB"/>
        </w:rPr>
        <w:t xml:space="preserve">like the English expression “my man,” </w:t>
      </w:r>
      <w:r w:rsidR="00C921B8">
        <w:rPr>
          <w:lang w:eastAsia="en-GB"/>
        </w:rPr>
        <w:t>keep</w:t>
      </w:r>
      <w:r w:rsidR="00550101" w:rsidRPr="001005B7">
        <w:rPr>
          <w:lang w:eastAsia="en-GB"/>
        </w:rPr>
        <w:t>s Ezekiel in his place lest h</w:t>
      </w:r>
      <w:r w:rsidR="00626DAD" w:rsidRPr="001005B7">
        <w:rPr>
          <w:lang w:eastAsia="en-GB"/>
        </w:rPr>
        <w:t>e</w:t>
      </w:r>
      <w:r w:rsidR="00550101" w:rsidRPr="001005B7">
        <w:rPr>
          <w:lang w:eastAsia="en-GB"/>
        </w:rPr>
        <w:t xml:space="preserve"> should think too much of himself as one who has seen </w:t>
      </w:r>
      <w:r w:rsidR="00567204" w:rsidRPr="001005B7">
        <w:rPr>
          <w:lang w:eastAsia="en-GB"/>
        </w:rPr>
        <w:t>what he has seen</w:t>
      </w:r>
      <w:r w:rsidR="00341230" w:rsidRPr="001005B7">
        <w:rPr>
          <w:lang w:eastAsia="en-GB"/>
        </w:rPr>
        <w:t xml:space="preserve"> (Rashi</w:t>
      </w:r>
      <w:r w:rsidR="006B0E25" w:rsidRPr="001005B7">
        <w:rPr>
          <w:lang w:eastAsia="en-GB"/>
        </w:rPr>
        <w:t>,</w:t>
      </w:r>
      <w:r w:rsidR="00341230" w:rsidRPr="001005B7">
        <w:rPr>
          <w:lang w:eastAsia="en-GB"/>
        </w:rPr>
        <w:t xml:space="preserve"> in MG)</w:t>
      </w:r>
      <w:r w:rsidR="002F16F2" w:rsidRPr="001005B7">
        <w:rPr>
          <w:lang w:eastAsia="en-GB"/>
        </w:rPr>
        <w:t>.</w:t>
      </w:r>
      <w:r w:rsidR="00626DAD" w:rsidRPr="001005B7">
        <w:rPr>
          <w:lang w:eastAsia="en-GB"/>
        </w:rPr>
        <w:t xml:space="preserve"> </w:t>
      </w:r>
      <w:r w:rsidR="00EC16C3" w:rsidRPr="001005B7">
        <w:rPr>
          <w:lang w:eastAsia="en-GB"/>
        </w:rPr>
        <w:t>He is a mere human being.</w:t>
      </w:r>
      <w:r w:rsidR="00136670">
        <w:rPr>
          <w:lang w:eastAsia="en-GB"/>
        </w:rPr>
        <w:t xml:space="preserve"> </w:t>
      </w:r>
      <w:r w:rsidR="009055D6" w:rsidRPr="001005B7">
        <w:rPr>
          <w:lang w:eastAsia="en-GB"/>
        </w:rPr>
        <w:t>I</w:t>
      </w:r>
      <w:r w:rsidR="00C12C37" w:rsidRPr="001005B7">
        <w:rPr>
          <w:lang w:eastAsia="en-GB"/>
        </w:rPr>
        <w:t xml:space="preserve">t </w:t>
      </w:r>
      <w:r w:rsidR="009055D6" w:rsidRPr="001005B7">
        <w:rPr>
          <w:lang w:eastAsia="en-GB"/>
        </w:rPr>
        <w:t xml:space="preserve">might also </w:t>
      </w:r>
      <w:r w:rsidR="00006BB5" w:rsidRPr="001005B7">
        <w:rPr>
          <w:lang w:eastAsia="en-GB"/>
        </w:rPr>
        <w:t>designate Ezekiel</w:t>
      </w:r>
      <w:r w:rsidR="00972596" w:rsidRPr="001005B7">
        <w:rPr>
          <w:lang w:eastAsia="en-GB"/>
        </w:rPr>
        <w:t xml:space="preserve"> a “</w:t>
      </w:r>
      <w:r w:rsidR="00240FDB" w:rsidRPr="001005B7">
        <w:rPr>
          <w:lang w:eastAsia="en-GB"/>
        </w:rPr>
        <w:t>desc</w:t>
      </w:r>
      <w:r w:rsidR="0065523A" w:rsidRPr="001005B7">
        <w:rPr>
          <w:lang w:eastAsia="en-GB"/>
        </w:rPr>
        <w:t>en</w:t>
      </w:r>
      <w:r w:rsidR="00240FDB" w:rsidRPr="001005B7">
        <w:rPr>
          <w:lang w:eastAsia="en-GB"/>
        </w:rPr>
        <w:t>dant</w:t>
      </w:r>
      <w:r w:rsidR="00972596" w:rsidRPr="001005B7">
        <w:rPr>
          <w:lang w:eastAsia="en-GB"/>
        </w:rPr>
        <w:t xml:space="preserve"> of Adam” over against </w:t>
      </w:r>
      <w:r w:rsidR="00006BB5" w:rsidRPr="001005B7">
        <w:rPr>
          <w:lang w:eastAsia="en-GB"/>
        </w:rPr>
        <w:t xml:space="preserve">the </w:t>
      </w:r>
      <w:r w:rsidR="00E545A4" w:rsidRPr="001005B7">
        <w:rPr>
          <w:lang w:eastAsia="en-GB"/>
        </w:rPr>
        <w:t>“</w:t>
      </w:r>
      <w:r w:rsidR="00240FDB" w:rsidRPr="001005B7">
        <w:rPr>
          <w:lang w:eastAsia="en-GB"/>
        </w:rPr>
        <w:t>descendant</w:t>
      </w:r>
      <w:r w:rsidR="00972596" w:rsidRPr="001005B7">
        <w:rPr>
          <w:lang w:eastAsia="en-GB"/>
        </w:rPr>
        <w:t>s of Israel</w:t>
      </w:r>
      <w:r w:rsidR="00E545A4" w:rsidRPr="001005B7">
        <w:rPr>
          <w:lang w:eastAsia="en-GB"/>
        </w:rPr>
        <w:t>”</w:t>
      </w:r>
      <w:r w:rsidR="00C12C37" w:rsidRPr="001005B7">
        <w:rPr>
          <w:lang w:eastAsia="en-GB"/>
        </w:rPr>
        <w:t xml:space="preserve"> (</w:t>
      </w:r>
      <w:r w:rsidR="00AC027B" w:rsidRPr="001005B7">
        <w:rPr>
          <w:lang w:eastAsia="en-GB"/>
        </w:rPr>
        <w:t>2:</w:t>
      </w:r>
      <w:r w:rsidR="00C12C37" w:rsidRPr="001005B7">
        <w:rPr>
          <w:lang w:eastAsia="en-GB"/>
        </w:rPr>
        <w:t>3)</w:t>
      </w:r>
      <w:r w:rsidR="00972596" w:rsidRPr="001005B7">
        <w:rPr>
          <w:lang w:eastAsia="en-GB"/>
        </w:rPr>
        <w:t>.</w:t>
      </w:r>
      <w:r w:rsidR="00972596" w:rsidRPr="001005B7">
        <w:rPr>
          <w:rStyle w:val="FootnoteReference"/>
          <w:lang w:eastAsia="en-GB"/>
        </w:rPr>
        <w:footnoteReference w:id="138"/>
      </w:r>
      <w:r w:rsidR="00972596" w:rsidRPr="001005B7">
        <w:rPr>
          <w:lang w:eastAsia="en-GB"/>
        </w:rPr>
        <w:t xml:space="preserve"> </w:t>
      </w:r>
      <w:r w:rsidR="007E2C4E" w:rsidRPr="001005B7">
        <w:rPr>
          <w:lang w:eastAsia="en-GB"/>
        </w:rPr>
        <w:t xml:space="preserve">Whereas </w:t>
      </w:r>
      <w:r w:rsidR="009D6EFA" w:rsidRPr="001005B7">
        <w:rPr>
          <w:lang w:eastAsia="en-GB"/>
        </w:rPr>
        <w:t xml:space="preserve">falling on one’s face </w:t>
      </w:r>
      <w:r w:rsidR="002D3FBA" w:rsidRPr="001005B7">
        <w:rPr>
          <w:lang w:eastAsia="en-GB"/>
        </w:rPr>
        <w:t>could</w:t>
      </w:r>
      <w:r w:rsidR="009D6EFA" w:rsidRPr="001005B7">
        <w:rPr>
          <w:lang w:eastAsia="en-GB"/>
        </w:rPr>
        <w:t xml:space="preserve"> be an appropriate </w:t>
      </w:r>
      <w:r w:rsidR="00766596" w:rsidRPr="001005B7">
        <w:rPr>
          <w:lang w:eastAsia="en-GB"/>
        </w:rPr>
        <w:t xml:space="preserve">reaction </w:t>
      </w:r>
      <w:r w:rsidR="007074F0" w:rsidRPr="001005B7">
        <w:rPr>
          <w:lang w:eastAsia="en-GB"/>
        </w:rPr>
        <w:t>when one is</w:t>
      </w:r>
      <w:r w:rsidR="00766596" w:rsidRPr="001005B7">
        <w:rPr>
          <w:lang w:eastAsia="en-GB"/>
        </w:rPr>
        <w:t xml:space="preserve"> confronted by</w:t>
      </w:r>
      <w:r w:rsidR="008372BF" w:rsidRPr="001005B7">
        <w:rPr>
          <w:lang w:eastAsia="en-GB"/>
        </w:rPr>
        <w:t xml:space="preserve"> the</w:t>
      </w:r>
      <w:r w:rsidR="00C21EBA" w:rsidRPr="001005B7">
        <w:rPr>
          <w:i/>
          <w:iCs/>
          <w:lang w:eastAsia="en-GB"/>
        </w:rPr>
        <w:t xml:space="preserve"> </w:t>
      </w:r>
      <w:r w:rsidR="00C21EBA" w:rsidRPr="001005B7">
        <w:rPr>
          <w:lang w:eastAsia="en-GB"/>
        </w:rPr>
        <w:t>majesty</w:t>
      </w:r>
      <w:r w:rsidR="008372BF" w:rsidRPr="001005B7">
        <w:rPr>
          <w:lang w:eastAsia="en-GB"/>
        </w:rPr>
        <w:t xml:space="preserve"> of a king </w:t>
      </w:r>
      <w:r w:rsidR="0035348A" w:rsidRPr="001005B7">
        <w:rPr>
          <w:lang w:eastAsia="en-GB"/>
        </w:rPr>
        <w:t>and</w:t>
      </w:r>
      <w:r w:rsidR="008372BF" w:rsidRPr="001005B7">
        <w:rPr>
          <w:lang w:eastAsia="en-GB"/>
        </w:rPr>
        <w:t xml:space="preserve"> </w:t>
      </w:r>
      <w:r w:rsidR="008372BF" w:rsidRPr="001005B7">
        <w:rPr>
          <w:i/>
          <w:iCs/>
          <w:lang w:eastAsia="en-GB"/>
        </w:rPr>
        <w:t>a fortiori</w:t>
      </w:r>
      <w:r w:rsidR="008372BF" w:rsidRPr="001005B7">
        <w:rPr>
          <w:lang w:eastAsia="en-GB"/>
        </w:rPr>
        <w:t xml:space="preserve"> of Yahweh, </w:t>
      </w:r>
      <w:r w:rsidR="004C1193" w:rsidRPr="001005B7">
        <w:rPr>
          <w:lang w:eastAsia="en-GB"/>
        </w:rPr>
        <w:t>Yahweh’s bidding</w:t>
      </w:r>
      <w:r w:rsidR="00EF1388" w:rsidRPr="001005B7">
        <w:rPr>
          <w:lang w:eastAsia="en-GB"/>
        </w:rPr>
        <w:t xml:space="preserve"> </w:t>
      </w:r>
      <w:r w:rsidR="004C1193" w:rsidRPr="001005B7">
        <w:rPr>
          <w:lang w:eastAsia="en-GB"/>
        </w:rPr>
        <w:t xml:space="preserve">presupposes that </w:t>
      </w:r>
      <w:r w:rsidR="003F4753" w:rsidRPr="001005B7">
        <w:rPr>
          <w:lang w:eastAsia="en-GB"/>
        </w:rPr>
        <w:t xml:space="preserve">standing is then the appropriate posture </w:t>
      </w:r>
      <w:r w:rsidR="00AF301B" w:rsidRPr="001005B7">
        <w:rPr>
          <w:lang w:eastAsia="en-GB"/>
        </w:rPr>
        <w:t>for</w:t>
      </w:r>
      <w:r w:rsidR="003F4753" w:rsidRPr="001005B7">
        <w:rPr>
          <w:lang w:eastAsia="en-GB"/>
        </w:rPr>
        <w:t xml:space="preserve"> </w:t>
      </w:r>
      <w:r w:rsidR="009C66A3" w:rsidRPr="001005B7">
        <w:rPr>
          <w:lang w:eastAsia="en-GB"/>
        </w:rPr>
        <w:t>the</w:t>
      </w:r>
      <w:r w:rsidR="003F4753" w:rsidRPr="001005B7">
        <w:rPr>
          <w:lang w:eastAsia="en-GB"/>
        </w:rPr>
        <w:t xml:space="preserve"> servant of </w:t>
      </w:r>
      <w:r w:rsidR="004C1193" w:rsidRPr="001005B7">
        <w:rPr>
          <w:lang w:eastAsia="en-GB"/>
        </w:rPr>
        <w:t xml:space="preserve">a </w:t>
      </w:r>
      <w:r w:rsidR="003F4753" w:rsidRPr="001005B7">
        <w:rPr>
          <w:lang w:eastAsia="en-GB"/>
        </w:rPr>
        <w:t>king or of Yahweh</w:t>
      </w:r>
      <w:r w:rsidR="00AF301B" w:rsidRPr="001005B7">
        <w:rPr>
          <w:lang w:eastAsia="en-GB"/>
        </w:rPr>
        <w:t>,</w:t>
      </w:r>
      <w:r w:rsidR="002D3FBA" w:rsidRPr="001005B7">
        <w:rPr>
          <w:lang w:eastAsia="en-GB"/>
        </w:rPr>
        <w:t xml:space="preserve"> </w:t>
      </w:r>
      <w:r w:rsidR="009C66A3" w:rsidRPr="001005B7">
        <w:rPr>
          <w:lang w:eastAsia="en-GB"/>
        </w:rPr>
        <w:t>who</w:t>
      </w:r>
      <w:r w:rsidR="002D3FBA" w:rsidRPr="001005B7">
        <w:rPr>
          <w:lang w:eastAsia="en-GB"/>
        </w:rPr>
        <w:t xml:space="preserve"> is about to receive orders.</w:t>
      </w:r>
      <w:r w:rsidR="00CE6F53" w:rsidRPr="001005B7">
        <w:rPr>
          <w:lang w:eastAsia="en-GB"/>
        </w:rPr>
        <w:t xml:space="preserve"> </w:t>
      </w:r>
    </w:p>
    <w:p w14:paraId="78C64731" w14:textId="2AA509DB" w:rsidR="007D4F02" w:rsidRPr="001005B7" w:rsidRDefault="009F284D" w:rsidP="009F7D0F">
      <w:pPr>
        <w:rPr>
          <w:rFonts w:cstheme="minorHAnsi"/>
          <w:lang w:eastAsia="en-GB"/>
        </w:rPr>
      </w:pPr>
      <w:r w:rsidRPr="001005B7">
        <w:rPr>
          <w:b/>
          <w:bCs/>
          <w:lang w:eastAsia="en-GB"/>
        </w:rPr>
        <w:t>2</w:t>
      </w:r>
      <w:r w:rsidR="003E440B" w:rsidRPr="001005B7">
        <w:rPr>
          <w:b/>
          <w:bCs/>
          <w:lang w:eastAsia="en-GB"/>
        </w:rPr>
        <w:t>:2</w:t>
      </w:r>
      <w:r w:rsidRPr="001005B7">
        <w:rPr>
          <w:b/>
          <w:bCs/>
          <w:lang w:eastAsia="en-GB"/>
        </w:rPr>
        <w:t xml:space="preserve"> </w:t>
      </w:r>
      <w:r w:rsidR="00AA718D" w:rsidRPr="001005B7">
        <w:rPr>
          <w:lang w:eastAsia="en-GB"/>
        </w:rPr>
        <w:t xml:space="preserve">A little paradoxically, </w:t>
      </w:r>
      <w:r w:rsidR="00EE503B" w:rsidRPr="001005B7">
        <w:rPr>
          <w:lang w:eastAsia="en-GB"/>
        </w:rPr>
        <w:t xml:space="preserve">Ezekiel does not simply stand in </w:t>
      </w:r>
      <w:r w:rsidR="009B05A4" w:rsidRPr="001005B7">
        <w:rPr>
          <w:lang w:eastAsia="en-GB"/>
        </w:rPr>
        <w:t>obedience</w:t>
      </w:r>
      <w:r w:rsidR="002F16F2" w:rsidRPr="001005B7">
        <w:rPr>
          <w:lang w:eastAsia="en-GB"/>
        </w:rPr>
        <w:t>. A</w:t>
      </w:r>
      <w:r w:rsidR="00EE503B" w:rsidRPr="001005B7">
        <w:rPr>
          <w:lang w:eastAsia="en-GB"/>
        </w:rPr>
        <w:t xml:space="preserve"> spirit</w:t>
      </w:r>
      <w:r w:rsidR="00877495" w:rsidRPr="001005B7">
        <w:rPr>
          <w:i/>
          <w:iCs/>
          <w:lang w:eastAsia="en-GB"/>
        </w:rPr>
        <w:t xml:space="preserve"> </w:t>
      </w:r>
      <w:r w:rsidR="00EE503B" w:rsidRPr="001005B7">
        <w:rPr>
          <w:lang w:eastAsia="en-GB"/>
        </w:rPr>
        <w:t>stands him up</w:t>
      </w:r>
      <w:r w:rsidR="002736F5" w:rsidRPr="001005B7">
        <w:rPr>
          <w:lang w:eastAsia="en-GB"/>
        </w:rPr>
        <w:t xml:space="preserve"> (cf. 3:24). </w:t>
      </w:r>
      <w:r w:rsidR="00090C07" w:rsidRPr="001005B7">
        <w:rPr>
          <w:lang w:eastAsia="en-GB"/>
        </w:rPr>
        <w:t>He must</w:t>
      </w:r>
      <w:r w:rsidR="002736F5" w:rsidRPr="001005B7">
        <w:rPr>
          <w:lang w:eastAsia="en-GB"/>
        </w:rPr>
        <w:t xml:space="preserve"> stand, and be willing to do </w:t>
      </w:r>
      <w:r w:rsidR="00061F73" w:rsidRPr="001005B7">
        <w:rPr>
          <w:lang w:eastAsia="en-GB"/>
        </w:rPr>
        <w:t>s</w:t>
      </w:r>
      <w:r w:rsidR="002736F5" w:rsidRPr="001005B7">
        <w:rPr>
          <w:lang w:eastAsia="en-GB"/>
        </w:rPr>
        <w:t>o</w:t>
      </w:r>
      <w:r w:rsidR="00E512AD" w:rsidRPr="001005B7">
        <w:rPr>
          <w:lang w:eastAsia="en-GB"/>
        </w:rPr>
        <w:t>, b</w:t>
      </w:r>
      <w:r w:rsidR="00061F73" w:rsidRPr="001005B7">
        <w:rPr>
          <w:lang w:eastAsia="en-GB"/>
        </w:rPr>
        <w:t xml:space="preserve">ut </w:t>
      </w:r>
      <w:r w:rsidR="007E458D" w:rsidRPr="001005B7">
        <w:rPr>
          <w:lang w:eastAsia="en-GB"/>
        </w:rPr>
        <w:t>by</w:t>
      </w:r>
      <w:r w:rsidR="00200880" w:rsidRPr="001005B7">
        <w:rPr>
          <w:lang w:eastAsia="en-GB"/>
        </w:rPr>
        <w:t xml:space="preserve"> implication </w:t>
      </w:r>
      <w:r w:rsidR="00061F73" w:rsidRPr="001005B7">
        <w:rPr>
          <w:lang w:eastAsia="en-GB"/>
        </w:rPr>
        <w:t>the devastating effect of seeing Yahweh</w:t>
      </w:r>
      <w:r w:rsidR="00180CEB" w:rsidRPr="001005B7">
        <w:rPr>
          <w:lang w:eastAsia="en-GB"/>
        </w:rPr>
        <w:t xml:space="preserve"> in his</w:t>
      </w:r>
      <w:r w:rsidR="00061F73" w:rsidRPr="001005B7">
        <w:rPr>
          <w:lang w:eastAsia="en-GB"/>
        </w:rPr>
        <w:t xml:space="preserve"> </w:t>
      </w:r>
      <w:r w:rsidR="00180CEB" w:rsidRPr="001005B7">
        <w:rPr>
          <w:lang w:eastAsia="en-GB"/>
        </w:rPr>
        <w:t>magnificence</w:t>
      </w:r>
      <w:r w:rsidR="00061F73" w:rsidRPr="001005B7">
        <w:rPr>
          <w:lang w:eastAsia="en-GB"/>
        </w:rPr>
        <w:t xml:space="preserve"> makes </w:t>
      </w:r>
      <w:r w:rsidR="007E458D" w:rsidRPr="001005B7">
        <w:rPr>
          <w:lang w:eastAsia="en-GB"/>
        </w:rPr>
        <w:t>him unable</w:t>
      </w:r>
      <w:r w:rsidR="00FB13D5" w:rsidRPr="001005B7">
        <w:rPr>
          <w:lang w:eastAsia="en-GB"/>
        </w:rPr>
        <w:t xml:space="preserve"> to do so </w:t>
      </w:r>
      <w:r w:rsidR="00296A8D" w:rsidRPr="001005B7">
        <w:rPr>
          <w:lang w:eastAsia="en-GB"/>
        </w:rPr>
        <w:t>u</w:t>
      </w:r>
      <w:r w:rsidR="00FB13D5" w:rsidRPr="001005B7">
        <w:rPr>
          <w:lang w:eastAsia="en-GB"/>
        </w:rPr>
        <w:t xml:space="preserve">naided. </w:t>
      </w:r>
      <w:r w:rsidR="001D6B27" w:rsidRPr="001005B7">
        <w:rPr>
          <w:lang w:eastAsia="en-GB"/>
        </w:rPr>
        <w:t>G</w:t>
      </w:r>
      <w:r w:rsidR="005F5933" w:rsidRPr="001005B7">
        <w:rPr>
          <w:lang w:eastAsia="en-GB"/>
        </w:rPr>
        <w:t>o</w:t>
      </w:r>
      <w:r w:rsidR="001D6B27" w:rsidRPr="001005B7">
        <w:rPr>
          <w:lang w:eastAsia="en-GB"/>
        </w:rPr>
        <w:t>d</w:t>
      </w:r>
      <w:r w:rsidR="00376364" w:rsidRPr="001005B7">
        <w:rPr>
          <w:lang w:eastAsia="en-GB"/>
        </w:rPr>
        <w:t>’s</w:t>
      </w:r>
      <w:r w:rsidR="001D6B27" w:rsidRPr="001005B7">
        <w:rPr>
          <w:lang w:eastAsia="en-GB"/>
        </w:rPr>
        <w:t xml:space="preserve"> breathing into him ma</w:t>
      </w:r>
      <w:r w:rsidR="002A2265" w:rsidRPr="001005B7">
        <w:rPr>
          <w:lang w:eastAsia="en-GB"/>
        </w:rPr>
        <w:t>kes</w:t>
      </w:r>
      <w:r w:rsidR="001D6B27" w:rsidRPr="001005B7">
        <w:rPr>
          <w:lang w:eastAsia="en-GB"/>
        </w:rPr>
        <w:t xml:space="preserve"> it happen.</w:t>
      </w:r>
    </w:p>
    <w:p w14:paraId="3C7AECDC" w14:textId="43745CAE" w:rsidR="00340453" w:rsidRPr="001005B7" w:rsidRDefault="00CC778C" w:rsidP="00007F95">
      <w:pPr>
        <w:rPr>
          <w:lang w:eastAsia="en-GB"/>
        </w:rPr>
      </w:pPr>
      <w:r w:rsidRPr="001005B7">
        <w:rPr>
          <w:b/>
          <w:bCs/>
          <w:lang w:eastAsia="en-GB"/>
        </w:rPr>
        <w:t>2:</w:t>
      </w:r>
      <w:r w:rsidR="006A3BA7" w:rsidRPr="001005B7">
        <w:rPr>
          <w:b/>
          <w:bCs/>
          <w:lang w:eastAsia="en-GB"/>
        </w:rPr>
        <w:t xml:space="preserve">3 </w:t>
      </w:r>
      <w:r w:rsidR="00914616" w:rsidRPr="001005B7">
        <w:rPr>
          <w:rFonts w:ascii="Calibri" w:hAnsi="Calibri" w:cs="Calibri"/>
        </w:rPr>
        <w:t>“Seeing visions of God or even hearing him speak does not yet make a</w:t>
      </w:r>
      <w:r w:rsidR="00914616" w:rsidRPr="001005B7">
        <w:rPr>
          <w:lang w:eastAsia="en-GB"/>
        </w:rPr>
        <w:t xml:space="preserve"> </w:t>
      </w:r>
      <w:r w:rsidR="00914616" w:rsidRPr="001005B7">
        <w:rPr>
          <w:rFonts w:ascii="Calibri" w:hAnsi="Calibri" w:cs="Calibri"/>
        </w:rPr>
        <w:t>prophet”</w:t>
      </w:r>
      <w:r w:rsidR="00223186" w:rsidRPr="001005B7">
        <w:rPr>
          <w:rFonts w:ascii="Calibri" w:hAnsi="Calibri" w:cs="Calibri"/>
        </w:rPr>
        <w:t xml:space="preserve"> (</w:t>
      </w:r>
      <w:r w:rsidR="00223186" w:rsidRPr="001005B7">
        <w:t>Jenson</w:t>
      </w:r>
      <w:r w:rsidR="009D0BF3" w:rsidRPr="001005B7">
        <w:t>,</w:t>
      </w:r>
      <w:r w:rsidR="00C90FF4" w:rsidRPr="001005B7">
        <w:t xml:space="preserve"> 46</w:t>
      </w:r>
      <w:r w:rsidR="00814ED4" w:rsidRPr="001005B7">
        <w:t>).</w:t>
      </w:r>
      <w:r w:rsidR="00036517" w:rsidRPr="001005B7">
        <w:rPr>
          <w:lang w:eastAsia="en-GB"/>
        </w:rPr>
        <w:t xml:space="preserve"> </w:t>
      </w:r>
      <w:r w:rsidRPr="001005B7">
        <w:rPr>
          <w:lang w:eastAsia="en-GB"/>
        </w:rPr>
        <w:t xml:space="preserve">To </w:t>
      </w:r>
      <w:r w:rsidR="00814ED4" w:rsidRPr="001005B7">
        <w:rPr>
          <w:lang w:eastAsia="en-GB"/>
        </w:rPr>
        <w:t>bring</w:t>
      </w:r>
      <w:r w:rsidRPr="001005B7">
        <w:rPr>
          <w:lang w:eastAsia="en-GB"/>
        </w:rPr>
        <w:t xml:space="preserve"> that </w:t>
      </w:r>
      <w:r w:rsidR="00814ED4" w:rsidRPr="001005B7">
        <w:rPr>
          <w:lang w:eastAsia="en-GB"/>
        </w:rPr>
        <w:t>about</w:t>
      </w:r>
      <w:r w:rsidRPr="001005B7">
        <w:rPr>
          <w:lang w:eastAsia="en-GB"/>
        </w:rPr>
        <w:t>,</w:t>
      </w:r>
      <w:r w:rsidR="003A71DF" w:rsidRPr="001005B7">
        <w:rPr>
          <w:lang w:eastAsia="en-GB"/>
        </w:rPr>
        <w:t xml:space="preserve"> </w:t>
      </w:r>
      <w:r w:rsidR="00C043FE" w:rsidRPr="001005B7">
        <w:rPr>
          <w:lang w:eastAsia="en-GB"/>
        </w:rPr>
        <w:t xml:space="preserve">Yahweh </w:t>
      </w:r>
      <w:r w:rsidR="0065175E" w:rsidRPr="001005B7">
        <w:rPr>
          <w:lang w:eastAsia="en-GB"/>
        </w:rPr>
        <w:t>has a commission for Ezekiel</w:t>
      </w:r>
      <w:r w:rsidR="008C69C2" w:rsidRPr="001005B7">
        <w:rPr>
          <w:lang w:eastAsia="en-GB"/>
        </w:rPr>
        <w:t>. H</w:t>
      </w:r>
      <w:r w:rsidR="0083172E" w:rsidRPr="001005B7">
        <w:rPr>
          <w:lang w:eastAsia="en-GB"/>
        </w:rPr>
        <w:t>e is</w:t>
      </w:r>
      <w:r w:rsidR="002B5BC9" w:rsidRPr="001005B7">
        <w:rPr>
          <w:lang w:eastAsia="en-GB"/>
        </w:rPr>
        <w:t xml:space="preserve"> </w:t>
      </w:r>
      <w:r w:rsidR="00641DC0" w:rsidRPr="001005B7">
        <w:rPr>
          <w:lang w:eastAsia="en-GB"/>
        </w:rPr>
        <w:t xml:space="preserve">giving </w:t>
      </w:r>
      <w:r w:rsidR="0083172E" w:rsidRPr="001005B7">
        <w:rPr>
          <w:lang w:eastAsia="en-GB"/>
        </w:rPr>
        <w:t>him a mission</w:t>
      </w:r>
      <w:r w:rsidR="000E13B1" w:rsidRPr="001005B7">
        <w:rPr>
          <w:lang w:eastAsia="en-GB"/>
        </w:rPr>
        <w:t xml:space="preserve"> in</w:t>
      </w:r>
      <w:r w:rsidR="00011C97" w:rsidRPr="001005B7">
        <w:rPr>
          <w:lang w:eastAsia="en-GB"/>
        </w:rPr>
        <w:t xml:space="preserve"> </w:t>
      </w:r>
      <w:r w:rsidR="0083172E" w:rsidRPr="001005B7">
        <w:rPr>
          <w:lang w:eastAsia="en-GB"/>
        </w:rPr>
        <w:t xml:space="preserve">the way a king </w:t>
      </w:r>
      <w:r w:rsidR="00641DC0" w:rsidRPr="001005B7">
        <w:rPr>
          <w:lang w:eastAsia="en-GB"/>
        </w:rPr>
        <w:t>commissions</w:t>
      </w:r>
      <w:r w:rsidR="0083172E" w:rsidRPr="001005B7">
        <w:rPr>
          <w:lang w:eastAsia="en-GB"/>
        </w:rPr>
        <w:t xml:space="preserve"> an envo</w:t>
      </w:r>
      <w:r w:rsidR="00DE5A57" w:rsidRPr="001005B7">
        <w:rPr>
          <w:lang w:eastAsia="en-GB"/>
        </w:rPr>
        <w:t>y. He is sending h</w:t>
      </w:r>
      <w:r w:rsidR="00E83250" w:rsidRPr="001005B7">
        <w:rPr>
          <w:lang w:eastAsia="en-GB"/>
        </w:rPr>
        <w:t>im to</w:t>
      </w:r>
      <w:r w:rsidR="00007F95" w:rsidRPr="001005B7">
        <w:rPr>
          <w:rFonts w:cstheme="minorHAnsi"/>
          <w:lang w:eastAsia="en-GB"/>
        </w:rPr>
        <w:t xml:space="preserve"> </w:t>
      </w:r>
      <w:r w:rsidR="00007F95" w:rsidRPr="001005B7">
        <w:rPr>
          <w:rFonts w:cstheme="minorHAnsi"/>
          <w:rtl/>
          <w:lang w:eastAsia="en-GB" w:bidi="he-IL"/>
        </w:rPr>
        <w:t>בְּנֵי יׅשְׄרָאֵל</w:t>
      </w:r>
      <w:r w:rsidR="00007F95" w:rsidRPr="001005B7">
        <w:rPr>
          <w:rFonts w:cstheme="minorHAnsi"/>
          <w:lang w:eastAsia="en-GB"/>
        </w:rPr>
        <w:t>,</w:t>
      </w:r>
      <w:r w:rsidR="00007F95" w:rsidRPr="001005B7">
        <w:rPr>
          <w:rFonts w:cstheme="minorHAnsi"/>
          <w:i/>
          <w:iCs/>
          <w:lang w:eastAsia="en-GB"/>
        </w:rPr>
        <w:t xml:space="preserve"> </w:t>
      </w:r>
      <w:r w:rsidR="00007F95" w:rsidRPr="001005B7">
        <w:rPr>
          <w:rFonts w:cstheme="minorHAnsi"/>
          <w:lang w:eastAsia="en-GB"/>
        </w:rPr>
        <w:t xml:space="preserve">“the </w:t>
      </w:r>
      <w:r w:rsidR="00452466" w:rsidRPr="001005B7">
        <w:rPr>
          <w:lang w:eastAsia="en-GB"/>
        </w:rPr>
        <w:t>descendants</w:t>
      </w:r>
      <w:r w:rsidR="00452466" w:rsidRPr="001005B7">
        <w:rPr>
          <w:i/>
          <w:iCs/>
          <w:lang w:eastAsia="en-GB"/>
        </w:rPr>
        <w:t xml:space="preserve"> </w:t>
      </w:r>
      <w:r w:rsidR="00452466" w:rsidRPr="001005B7">
        <w:rPr>
          <w:lang w:eastAsia="en-GB"/>
        </w:rPr>
        <w:t>of</w:t>
      </w:r>
      <w:r w:rsidR="00452466" w:rsidRPr="001005B7">
        <w:rPr>
          <w:i/>
          <w:iCs/>
          <w:lang w:eastAsia="en-GB"/>
        </w:rPr>
        <w:t xml:space="preserve"> </w:t>
      </w:r>
      <w:r w:rsidR="00452466" w:rsidRPr="001005B7">
        <w:rPr>
          <w:lang w:eastAsia="en-GB"/>
        </w:rPr>
        <w:t>Israel</w:t>
      </w:r>
      <w:r w:rsidR="00DC02C1" w:rsidRPr="001005B7">
        <w:rPr>
          <w:lang w:eastAsia="en-GB"/>
        </w:rPr>
        <w:t>”</w:t>
      </w:r>
      <w:r w:rsidR="00FD0125" w:rsidRPr="001005B7">
        <w:rPr>
          <w:lang w:eastAsia="en-GB"/>
        </w:rPr>
        <w:t xml:space="preserve"> (</w:t>
      </w:r>
      <w:r w:rsidR="00C96CDF" w:rsidRPr="001005B7">
        <w:rPr>
          <w:lang w:eastAsia="en-GB"/>
        </w:rPr>
        <w:t xml:space="preserve">cf. </w:t>
      </w:r>
      <w:r w:rsidR="00FD0125" w:rsidRPr="001005B7">
        <w:rPr>
          <w:lang w:eastAsia="en-GB"/>
        </w:rPr>
        <w:t>4:13</w:t>
      </w:r>
      <w:r w:rsidR="00A3307F" w:rsidRPr="001005B7">
        <w:rPr>
          <w:lang w:eastAsia="en-GB"/>
        </w:rPr>
        <w:t>; 6:5</w:t>
      </w:r>
      <w:r w:rsidR="00AA554C" w:rsidRPr="001005B7">
        <w:rPr>
          <w:lang w:eastAsia="en-GB"/>
        </w:rPr>
        <w:t>)</w:t>
      </w:r>
      <w:r w:rsidR="006113D3" w:rsidRPr="001005B7">
        <w:rPr>
          <w:lang w:eastAsia="en-GB"/>
        </w:rPr>
        <w:t>,</w:t>
      </w:r>
      <w:r w:rsidR="00DC02C1" w:rsidRPr="001005B7">
        <w:rPr>
          <w:lang w:eastAsia="en-GB"/>
        </w:rPr>
        <w:t xml:space="preserve"> to </w:t>
      </w:r>
      <w:r w:rsidR="00DC02C1" w:rsidRPr="001005B7">
        <w:rPr>
          <w:rFonts w:cstheme="minorHAnsi"/>
          <w:rtl/>
          <w:lang w:eastAsia="en-GB" w:bidi="he-IL"/>
        </w:rPr>
        <w:t>בֵּית יִשְׂרָאֵל</w:t>
      </w:r>
      <w:r w:rsidR="00DC02C1" w:rsidRPr="001005B7">
        <w:rPr>
          <w:rFonts w:cstheme="minorHAnsi"/>
          <w:i/>
          <w:iCs/>
          <w:lang w:eastAsia="en-GB"/>
        </w:rPr>
        <w:t>,</w:t>
      </w:r>
      <w:r w:rsidR="00DC02C1" w:rsidRPr="001005B7">
        <w:rPr>
          <w:rFonts w:cstheme="minorHAnsi"/>
          <w:lang w:eastAsia="en-GB"/>
        </w:rPr>
        <w:t xml:space="preserve"> “</w:t>
      </w:r>
      <w:r w:rsidR="001F4992">
        <w:rPr>
          <w:lang w:eastAsia="en-GB"/>
        </w:rPr>
        <w:t>Israel’s</w:t>
      </w:r>
      <w:r w:rsidR="00AA554C" w:rsidRPr="001005B7">
        <w:rPr>
          <w:lang w:eastAsia="en-GB"/>
        </w:rPr>
        <w:t xml:space="preserve"> </w:t>
      </w:r>
      <w:r w:rsidR="00C35F56" w:rsidRPr="001005B7">
        <w:rPr>
          <w:lang w:eastAsia="en-GB"/>
        </w:rPr>
        <w:t>household</w:t>
      </w:r>
      <w:r w:rsidR="00DC02C1" w:rsidRPr="001005B7">
        <w:rPr>
          <w:lang w:eastAsia="en-GB"/>
        </w:rPr>
        <w:t>”</w:t>
      </w:r>
      <w:r w:rsidR="00C35F56" w:rsidRPr="001005B7">
        <w:rPr>
          <w:i/>
          <w:iCs/>
          <w:lang w:eastAsia="en-GB"/>
        </w:rPr>
        <w:t xml:space="preserve"> </w:t>
      </w:r>
      <w:r w:rsidR="00C35F56" w:rsidRPr="001005B7">
        <w:rPr>
          <w:lang w:eastAsia="en-GB"/>
        </w:rPr>
        <w:t>(3:1</w:t>
      </w:r>
      <w:r w:rsidR="003346B6" w:rsidRPr="001005B7">
        <w:rPr>
          <w:lang w:eastAsia="en-GB"/>
        </w:rPr>
        <w:t>, 4, 5, 7</w:t>
      </w:r>
      <w:r w:rsidR="00FC511C" w:rsidRPr="001005B7">
        <w:rPr>
          <w:lang w:eastAsia="en-GB"/>
        </w:rPr>
        <w:t>)</w:t>
      </w:r>
      <w:r w:rsidR="00806431" w:rsidRPr="001005B7">
        <w:rPr>
          <w:lang w:eastAsia="en-GB"/>
        </w:rPr>
        <w:t>,</w:t>
      </w:r>
      <w:r w:rsidR="00CD5805" w:rsidRPr="001005B7">
        <w:rPr>
          <w:lang w:eastAsia="en-GB"/>
        </w:rPr>
        <w:t xml:space="preserve"> to</w:t>
      </w:r>
      <w:r w:rsidR="00806431" w:rsidRPr="001005B7">
        <w:rPr>
          <w:lang w:eastAsia="en-GB"/>
        </w:rPr>
        <w:t xml:space="preserve"> </w:t>
      </w:r>
      <w:r w:rsidR="00F20A3B" w:rsidRPr="001005B7">
        <w:rPr>
          <w:rFonts w:cstheme="minorHAnsi"/>
          <w:rtl/>
          <w:lang w:bidi="he-IL"/>
        </w:rPr>
        <w:t>בְּנֵי עַמֶּךָ</w:t>
      </w:r>
      <w:r w:rsidR="00F20A3B" w:rsidRPr="001005B7">
        <w:t>,</w:t>
      </w:r>
      <w:r w:rsidR="00DC5652" w:rsidRPr="001005B7">
        <w:rPr>
          <w:lang w:eastAsia="en-GB"/>
        </w:rPr>
        <w:t xml:space="preserve"> </w:t>
      </w:r>
      <w:r w:rsidR="00B27386" w:rsidRPr="001005B7">
        <w:rPr>
          <w:lang w:eastAsia="en-GB"/>
        </w:rPr>
        <w:t>“</w:t>
      </w:r>
      <w:r w:rsidR="00DC5652" w:rsidRPr="001005B7">
        <w:rPr>
          <w:lang w:eastAsia="en-GB"/>
        </w:rPr>
        <w:t>the members of your people</w:t>
      </w:r>
      <w:r w:rsidR="00464043" w:rsidRPr="001005B7">
        <w:rPr>
          <w:lang w:eastAsia="en-GB"/>
        </w:rPr>
        <w:t>”</w:t>
      </w:r>
      <w:r w:rsidR="00CD5805" w:rsidRPr="001005B7">
        <w:rPr>
          <w:lang w:eastAsia="en-GB"/>
        </w:rPr>
        <w:t xml:space="preserve"> (3:11)</w:t>
      </w:r>
      <w:r w:rsidR="00875E7B" w:rsidRPr="001005B7">
        <w:rPr>
          <w:lang w:eastAsia="en-GB"/>
        </w:rPr>
        <w:t>, more</w:t>
      </w:r>
      <w:r w:rsidR="008F17DB" w:rsidRPr="001005B7">
        <w:rPr>
          <w:lang w:eastAsia="en-GB"/>
        </w:rPr>
        <w:t xml:space="preserve"> </w:t>
      </w:r>
      <w:r w:rsidR="005F7A06" w:rsidRPr="001005B7">
        <w:rPr>
          <w:lang w:eastAsia="en-GB"/>
        </w:rPr>
        <w:t>specifically</w:t>
      </w:r>
      <w:r w:rsidR="0063010B" w:rsidRPr="001005B7">
        <w:rPr>
          <w:lang w:eastAsia="en-GB"/>
        </w:rPr>
        <w:t xml:space="preserve"> to</w:t>
      </w:r>
      <w:r w:rsidR="00E03C99" w:rsidRPr="001005B7">
        <w:rPr>
          <w:lang w:eastAsia="en-GB"/>
        </w:rPr>
        <w:t xml:space="preserve"> </w:t>
      </w:r>
      <w:r w:rsidR="00E03C99" w:rsidRPr="001005B7">
        <w:rPr>
          <w:rFonts w:cstheme="minorHAnsi"/>
          <w:rtl/>
          <w:lang w:eastAsia="en-GB" w:bidi="he-IL"/>
        </w:rPr>
        <w:t>הַגּ</w:t>
      </w:r>
      <w:r w:rsidR="00FF6AB0" w:rsidRPr="001005B7">
        <w:rPr>
          <w:rFonts w:cstheme="minorHAnsi"/>
          <w:rtl/>
          <w:lang w:eastAsia="en-GB" w:bidi="he-IL"/>
        </w:rPr>
        <w:t>וֹלׇה</w:t>
      </w:r>
      <w:r w:rsidR="005F7A06" w:rsidRPr="001005B7">
        <w:rPr>
          <w:lang w:eastAsia="en-GB"/>
        </w:rPr>
        <w:t>,</w:t>
      </w:r>
      <w:r w:rsidR="00412C07" w:rsidRPr="001005B7">
        <w:rPr>
          <w:lang w:eastAsia="en-GB"/>
        </w:rPr>
        <w:t xml:space="preserve"> </w:t>
      </w:r>
      <w:r w:rsidR="009C3B98" w:rsidRPr="001005B7">
        <w:rPr>
          <w:lang w:eastAsia="en-GB"/>
        </w:rPr>
        <w:t>“</w:t>
      </w:r>
      <w:r w:rsidR="00412C07" w:rsidRPr="001005B7">
        <w:rPr>
          <w:lang w:eastAsia="en-GB"/>
        </w:rPr>
        <w:t>the</w:t>
      </w:r>
      <w:r w:rsidR="00412C07" w:rsidRPr="001005B7">
        <w:rPr>
          <w:i/>
          <w:iCs/>
          <w:lang w:eastAsia="en-GB"/>
        </w:rPr>
        <w:t xml:space="preserve"> </w:t>
      </w:r>
      <w:r w:rsidR="00665D9F" w:rsidRPr="001005B7">
        <w:rPr>
          <w:lang w:eastAsia="en-GB"/>
        </w:rPr>
        <w:t>exile</w:t>
      </w:r>
      <w:r w:rsidR="00665D9F" w:rsidRPr="001005B7">
        <w:rPr>
          <w:i/>
          <w:iCs/>
          <w:lang w:eastAsia="en-GB"/>
        </w:rPr>
        <w:t xml:space="preserve"> </w:t>
      </w:r>
      <w:r w:rsidR="00665D9F" w:rsidRPr="001005B7">
        <w:rPr>
          <w:lang w:eastAsia="en-GB"/>
        </w:rPr>
        <w:t>community</w:t>
      </w:r>
      <w:r w:rsidR="00453320" w:rsidRPr="001005B7">
        <w:rPr>
          <w:lang w:eastAsia="en-GB"/>
        </w:rPr>
        <w:t>”</w:t>
      </w:r>
      <w:r w:rsidR="00412C07" w:rsidRPr="001005B7">
        <w:rPr>
          <w:lang w:eastAsia="en-GB"/>
        </w:rPr>
        <w:t xml:space="preserve"> (</w:t>
      </w:r>
      <w:r w:rsidR="00777C67" w:rsidRPr="001005B7">
        <w:rPr>
          <w:lang w:eastAsia="en-GB"/>
        </w:rPr>
        <w:t>3</w:t>
      </w:r>
      <w:r w:rsidR="00412C07" w:rsidRPr="001005B7">
        <w:rPr>
          <w:lang w:eastAsia="en-GB"/>
        </w:rPr>
        <w:t>:11</w:t>
      </w:r>
      <w:r w:rsidR="00AA0E9D" w:rsidRPr="001005B7">
        <w:rPr>
          <w:lang w:eastAsia="en-GB"/>
        </w:rPr>
        <w:t>)</w:t>
      </w:r>
      <w:r w:rsidR="00C82FEE" w:rsidRPr="001005B7">
        <w:rPr>
          <w:lang w:eastAsia="en-GB"/>
        </w:rPr>
        <w:t>,</w:t>
      </w:r>
      <w:r w:rsidR="00B71A92" w:rsidRPr="001005B7">
        <w:rPr>
          <w:lang w:eastAsia="en-GB"/>
        </w:rPr>
        <w:t xml:space="preserve"> </w:t>
      </w:r>
      <w:r w:rsidR="004A5A0B" w:rsidRPr="001005B7">
        <w:rPr>
          <w:lang w:eastAsia="en-GB"/>
        </w:rPr>
        <w:t xml:space="preserve">which represents in part Judah itself (4:6) and </w:t>
      </w:r>
      <w:r w:rsidR="00B71A92" w:rsidRPr="001005B7">
        <w:rPr>
          <w:lang w:eastAsia="en-GB"/>
        </w:rPr>
        <w:t xml:space="preserve">whose leadership can </w:t>
      </w:r>
      <w:r w:rsidR="005F3AFB" w:rsidRPr="001005B7">
        <w:rPr>
          <w:lang w:eastAsia="en-GB"/>
        </w:rPr>
        <w:t xml:space="preserve">thus </w:t>
      </w:r>
      <w:r w:rsidR="00B71A92" w:rsidRPr="001005B7">
        <w:rPr>
          <w:lang w:eastAsia="en-GB"/>
        </w:rPr>
        <w:t xml:space="preserve">be called </w:t>
      </w:r>
      <w:r w:rsidR="00453320" w:rsidRPr="001005B7">
        <w:rPr>
          <w:lang w:eastAsia="en-GB"/>
        </w:rPr>
        <w:t>“</w:t>
      </w:r>
      <w:r w:rsidR="009B2AB3" w:rsidRPr="001005B7">
        <w:rPr>
          <w:lang w:eastAsia="en-GB"/>
        </w:rPr>
        <w:t>the</w:t>
      </w:r>
      <w:r w:rsidR="009B2AB3" w:rsidRPr="001005B7">
        <w:rPr>
          <w:i/>
          <w:iCs/>
          <w:lang w:eastAsia="en-GB"/>
        </w:rPr>
        <w:t xml:space="preserve"> </w:t>
      </w:r>
      <w:r w:rsidR="00A549FA" w:rsidRPr="001005B7">
        <w:rPr>
          <w:lang w:eastAsia="en-GB"/>
        </w:rPr>
        <w:t>elders</w:t>
      </w:r>
      <w:r w:rsidR="009B2AB3" w:rsidRPr="001005B7">
        <w:rPr>
          <w:i/>
          <w:iCs/>
          <w:lang w:eastAsia="en-GB"/>
        </w:rPr>
        <w:t xml:space="preserve"> </w:t>
      </w:r>
      <w:r w:rsidR="009B2AB3" w:rsidRPr="001005B7">
        <w:rPr>
          <w:lang w:eastAsia="en-GB"/>
        </w:rPr>
        <w:t>of</w:t>
      </w:r>
      <w:r w:rsidR="009B2AB3" w:rsidRPr="001005B7">
        <w:rPr>
          <w:i/>
          <w:iCs/>
          <w:lang w:eastAsia="en-GB"/>
        </w:rPr>
        <w:t xml:space="preserve"> </w:t>
      </w:r>
      <w:r w:rsidR="009B2AB3" w:rsidRPr="001005B7">
        <w:rPr>
          <w:lang w:eastAsia="en-GB"/>
        </w:rPr>
        <w:t>Judah</w:t>
      </w:r>
      <w:r w:rsidR="00453320" w:rsidRPr="001005B7">
        <w:rPr>
          <w:lang w:eastAsia="en-GB"/>
        </w:rPr>
        <w:t>”</w:t>
      </w:r>
      <w:r w:rsidR="009B2AB3" w:rsidRPr="001005B7">
        <w:rPr>
          <w:lang w:eastAsia="en-GB"/>
        </w:rPr>
        <w:t xml:space="preserve"> </w:t>
      </w:r>
      <w:r w:rsidR="00A549FA" w:rsidRPr="001005B7">
        <w:rPr>
          <w:lang w:eastAsia="en-GB"/>
        </w:rPr>
        <w:t>(8:1)</w:t>
      </w:r>
      <w:r w:rsidR="009B2AB3" w:rsidRPr="001005B7">
        <w:rPr>
          <w:lang w:eastAsia="en-GB"/>
        </w:rPr>
        <w:t>.</w:t>
      </w:r>
      <w:r w:rsidR="00317366" w:rsidRPr="001005B7">
        <w:rPr>
          <w:lang w:eastAsia="en-GB"/>
        </w:rPr>
        <w:t xml:space="preserve"> </w:t>
      </w:r>
      <w:r w:rsidR="00A812B6" w:rsidRPr="001005B7">
        <w:rPr>
          <w:lang w:eastAsia="en-GB"/>
        </w:rPr>
        <w:t>Yahweh</w:t>
      </w:r>
      <w:r w:rsidR="003F2D64" w:rsidRPr="001005B7">
        <w:rPr>
          <w:lang w:eastAsia="en-GB"/>
        </w:rPr>
        <w:t xml:space="preserve"> </w:t>
      </w:r>
      <w:r w:rsidR="006D1045" w:rsidRPr="001005B7">
        <w:rPr>
          <w:lang w:eastAsia="en-GB"/>
        </w:rPr>
        <w:t>does not see th</w:t>
      </w:r>
      <w:r w:rsidR="00E74471" w:rsidRPr="001005B7">
        <w:rPr>
          <w:lang w:eastAsia="en-GB"/>
        </w:rPr>
        <w:t>is</w:t>
      </w:r>
      <w:r w:rsidR="006D1045" w:rsidRPr="001005B7">
        <w:rPr>
          <w:lang w:eastAsia="en-GB"/>
        </w:rPr>
        <w:t xml:space="preserve"> community as comprising Judah as a whole or Israel as </w:t>
      </w:r>
      <w:r w:rsidR="00567259" w:rsidRPr="001005B7">
        <w:rPr>
          <w:lang w:eastAsia="en-GB"/>
        </w:rPr>
        <w:t>a whole</w:t>
      </w:r>
      <w:r w:rsidR="002540B2" w:rsidRPr="001005B7">
        <w:rPr>
          <w:lang w:eastAsia="en-GB"/>
        </w:rPr>
        <w:t>. He has not given up on the larger whole (</w:t>
      </w:r>
      <w:r w:rsidR="002C0D45" w:rsidRPr="001005B7">
        <w:rPr>
          <w:lang w:eastAsia="en-GB"/>
        </w:rPr>
        <w:t xml:space="preserve">see, e.g., 9:9; </w:t>
      </w:r>
      <w:r w:rsidR="002540B2" w:rsidRPr="001005B7">
        <w:rPr>
          <w:lang w:eastAsia="en-GB"/>
        </w:rPr>
        <w:t>37:15</w:t>
      </w:r>
      <w:r w:rsidR="00F46900" w:rsidRPr="001005B7">
        <w:rPr>
          <w:lang w:eastAsia="en-GB"/>
        </w:rPr>
        <w:t>–</w:t>
      </w:r>
      <w:r w:rsidR="002540B2" w:rsidRPr="001005B7">
        <w:rPr>
          <w:lang w:eastAsia="en-GB"/>
        </w:rPr>
        <w:t>28; 40:1</w:t>
      </w:r>
      <w:r w:rsidR="00F46900" w:rsidRPr="001005B7">
        <w:rPr>
          <w:lang w:eastAsia="en-GB"/>
        </w:rPr>
        <w:t>–</w:t>
      </w:r>
      <w:r w:rsidR="002540B2" w:rsidRPr="001005B7">
        <w:rPr>
          <w:lang w:eastAsia="en-GB"/>
        </w:rPr>
        <w:t xml:space="preserve">48:35). </w:t>
      </w:r>
      <w:r w:rsidR="002C0D45" w:rsidRPr="001005B7">
        <w:rPr>
          <w:lang w:eastAsia="en-GB"/>
        </w:rPr>
        <w:t>But</w:t>
      </w:r>
      <w:r w:rsidR="009A141C" w:rsidRPr="001005B7">
        <w:rPr>
          <w:lang w:eastAsia="en-GB"/>
        </w:rPr>
        <w:t xml:space="preserve"> neither does he see</w:t>
      </w:r>
      <w:r w:rsidR="00800C8A" w:rsidRPr="001005B7">
        <w:rPr>
          <w:lang w:eastAsia="en-GB"/>
        </w:rPr>
        <w:t xml:space="preserve"> </w:t>
      </w:r>
      <w:r w:rsidR="005F3AFB" w:rsidRPr="001005B7">
        <w:rPr>
          <w:lang w:eastAsia="en-GB"/>
        </w:rPr>
        <w:t>it</w:t>
      </w:r>
      <w:r w:rsidR="009A141C" w:rsidRPr="001005B7">
        <w:rPr>
          <w:lang w:eastAsia="en-GB"/>
        </w:rPr>
        <w:t xml:space="preserve"> as not counting as Judah or Israel</w:t>
      </w:r>
      <w:r w:rsidR="004677CE" w:rsidRPr="001005B7">
        <w:rPr>
          <w:lang w:eastAsia="en-GB"/>
        </w:rPr>
        <w:t xml:space="preserve"> (as some people back in Jerusalem </w:t>
      </w:r>
      <w:r w:rsidR="004C68C9" w:rsidRPr="001005B7">
        <w:rPr>
          <w:lang w:eastAsia="en-GB"/>
        </w:rPr>
        <w:t>could</w:t>
      </w:r>
      <w:r w:rsidR="00044555" w:rsidRPr="001005B7">
        <w:rPr>
          <w:lang w:eastAsia="en-GB"/>
        </w:rPr>
        <w:t xml:space="preserve"> think</w:t>
      </w:r>
      <w:r w:rsidR="004677CE" w:rsidRPr="001005B7">
        <w:rPr>
          <w:lang w:eastAsia="en-GB"/>
        </w:rPr>
        <w:t>)</w:t>
      </w:r>
      <w:r w:rsidR="009A141C" w:rsidRPr="001005B7">
        <w:rPr>
          <w:lang w:eastAsia="en-GB"/>
        </w:rPr>
        <w:t xml:space="preserve">. </w:t>
      </w:r>
      <w:r w:rsidR="008A7207" w:rsidRPr="001005B7">
        <w:rPr>
          <w:lang w:eastAsia="en-GB"/>
        </w:rPr>
        <w:t>T</w:t>
      </w:r>
      <w:r w:rsidR="00237AAF" w:rsidRPr="001005B7">
        <w:rPr>
          <w:lang w:eastAsia="en-GB"/>
        </w:rPr>
        <w:t xml:space="preserve">he </w:t>
      </w:r>
      <w:r w:rsidR="00241A1A" w:rsidRPr="001005B7">
        <w:rPr>
          <w:lang w:eastAsia="en-GB"/>
        </w:rPr>
        <w:t>relatively small</w:t>
      </w:r>
      <w:r w:rsidR="003B2910" w:rsidRPr="001005B7">
        <w:rPr>
          <w:lang w:eastAsia="en-GB"/>
        </w:rPr>
        <w:t>, displaced</w:t>
      </w:r>
      <w:r w:rsidR="00241A1A" w:rsidRPr="001005B7">
        <w:rPr>
          <w:lang w:eastAsia="en-GB"/>
        </w:rPr>
        <w:t xml:space="preserve"> community to which </w:t>
      </w:r>
      <w:r w:rsidR="00DC1F43" w:rsidRPr="001005B7">
        <w:rPr>
          <w:lang w:eastAsia="en-GB"/>
        </w:rPr>
        <w:t>Yahweh</w:t>
      </w:r>
      <w:r w:rsidR="00241A1A" w:rsidRPr="001005B7">
        <w:rPr>
          <w:lang w:eastAsia="en-GB"/>
        </w:rPr>
        <w:t xml:space="preserve"> sen</w:t>
      </w:r>
      <w:r w:rsidR="008A7207" w:rsidRPr="001005B7">
        <w:rPr>
          <w:lang w:eastAsia="en-GB"/>
        </w:rPr>
        <w:t>ds Ezekiel</w:t>
      </w:r>
      <w:r w:rsidR="00241A1A" w:rsidRPr="001005B7">
        <w:rPr>
          <w:lang w:eastAsia="en-GB"/>
        </w:rPr>
        <w:t xml:space="preserve"> counts as an embodiment of </w:t>
      </w:r>
      <w:r w:rsidR="008335EC" w:rsidRPr="001005B7">
        <w:rPr>
          <w:lang w:eastAsia="en-GB"/>
        </w:rPr>
        <w:t>Israel</w:t>
      </w:r>
      <w:r w:rsidR="003B2910" w:rsidRPr="001005B7">
        <w:rPr>
          <w:lang w:eastAsia="en-GB"/>
        </w:rPr>
        <w:t>.</w:t>
      </w:r>
      <w:r w:rsidR="00E04051" w:rsidRPr="001005B7">
        <w:rPr>
          <w:lang w:eastAsia="en-GB"/>
        </w:rPr>
        <w:t xml:space="preserve"> </w:t>
      </w:r>
      <w:r w:rsidR="00912837" w:rsidRPr="001005B7">
        <w:rPr>
          <w:lang w:eastAsia="en-GB"/>
        </w:rPr>
        <w:t>In the First Testament, o</w:t>
      </w:r>
      <w:r w:rsidR="00B92D9C" w:rsidRPr="001005B7">
        <w:rPr>
          <w:lang w:eastAsia="en-GB"/>
        </w:rPr>
        <w:t xml:space="preserve">nly Numbers and </w:t>
      </w:r>
      <w:r w:rsidR="00062473" w:rsidRPr="001005B7">
        <w:rPr>
          <w:lang w:eastAsia="en-GB"/>
        </w:rPr>
        <w:t xml:space="preserve">1 Kings </w:t>
      </w:r>
      <w:r w:rsidR="00B92D9C" w:rsidRPr="001005B7">
        <w:rPr>
          <w:lang w:eastAsia="en-GB"/>
        </w:rPr>
        <w:t xml:space="preserve">have more references to </w:t>
      </w:r>
      <w:r w:rsidR="002B1EDA" w:rsidRPr="001005B7">
        <w:rPr>
          <w:lang w:eastAsia="en-GB"/>
        </w:rPr>
        <w:t>“</w:t>
      </w:r>
      <w:r w:rsidR="00B92D9C" w:rsidRPr="001005B7">
        <w:rPr>
          <w:lang w:eastAsia="en-GB"/>
        </w:rPr>
        <w:t>Israel</w:t>
      </w:r>
      <w:r w:rsidR="002B1EDA" w:rsidRPr="001005B7">
        <w:rPr>
          <w:lang w:eastAsia="en-GB"/>
        </w:rPr>
        <w:t>”</w:t>
      </w:r>
      <w:r w:rsidR="00B92D9C" w:rsidRPr="001005B7">
        <w:rPr>
          <w:lang w:eastAsia="en-GB"/>
        </w:rPr>
        <w:t xml:space="preserve"> than</w:t>
      </w:r>
      <w:r w:rsidR="00EB77D9" w:rsidRPr="001005B7">
        <w:rPr>
          <w:lang w:eastAsia="en-GB"/>
        </w:rPr>
        <w:t xml:space="preserve"> Ezekiel</w:t>
      </w:r>
      <w:r w:rsidR="00B92D9C" w:rsidRPr="001005B7">
        <w:rPr>
          <w:lang w:eastAsia="en-GB"/>
        </w:rPr>
        <w:t>.</w:t>
      </w:r>
      <w:r w:rsidR="00602BD0" w:rsidRPr="001005B7">
        <w:rPr>
          <w:lang w:eastAsia="en-GB"/>
        </w:rPr>
        <w:t xml:space="preserve"> </w:t>
      </w:r>
      <w:r w:rsidR="00FA1041" w:rsidRPr="001005B7">
        <w:rPr>
          <w:lang w:eastAsia="en-GB"/>
        </w:rPr>
        <w:t xml:space="preserve">Yahweh also says that he is sending Ezekiel to </w:t>
      </w:r>
      <w:r w:rsidR="00FA1041" w:rsidRPr="001005B7">
        <w:rPr>
          <w:rFonts w:cstheme="minorHAnsi"/>
          <w:rtl/>
          <w:lang w:eastAsia="en-GB" w:bidi="he-IL"/>
        </w:rPr>
        <w:t>גּוֹ</w:t>
      </w:r>
      <w:r w:rsidR="00A7113F" w:rsidRPr="001005B7">
        <w:rPr>
          <w:rFonts w:cstheme="minorHAnsi"/>
          <w:rtl/>
          <w:lang w:eastAsia="en-GB" w:bidi="he-IL"/>
        </w:rPr>
        <w:t>יִם</w:t>
      </w:r>
      <w:r w:rsidR="00A7113F" w:rsidRPr="001005B7">
        <w:rPr>
          <w:lang w:eastAsia="en-GB"/>
        </w:rPr>
        <w:t xml:space="preserve">, “nations.” </w:t>
      </w:r>
      <w:r w:rsidR="00161DD0" w:rsidRPr="001005B7">
        <w:rPr>
          <w:lang w:eastAsia="en-GB"/>
        </w:rPr>
        <w:t>I</w:t>
      </w:r>
      <w:r w:rsidR="002F7FC8" w:rsidRPr="001005B7">
        <w:rPr>
          <w:lang w:eastAsia="en-GB"/>
        </w:rPr>
        <w:t>n Jeremiah’s commission</w:t>
      </w:r>
      <w:r w:rsidR="007157F7" w:rsidRPr="001005B7">
        <w:rPr>
          <w:lang w:eastAsia="en-GB"/>
        </w:rPr>
        <w:t xml:space="preserve"> </w:t>
      </w:r>
      <w:r w:rsidR="00CC2E90" w:rsidRPr="001005B7">
        <w:rPr>
          <w:lang w:eastAsia="en-GB"/>
        </w:rPr>
        <w:t>“</w:t>
      </w:r>
      <w:r w:rsidR="002F7FC8" w:rsidRPr="001005B7">
        <w:rPr>
          <w:lang w:eastAsia="en-GB"/>
        </w:rPr>
        <w:t>n</w:t>
      </w:r>
      <w:r w:rsidR="00602BD0" w:rsidRPr="001005B7">
        <w:rPr>
          <w:lang w:eastAsia="en-GB"/>
        </w:rPr>
        <w:t>ations</w:t>
      </w:r>
      <w:r w:rsidR="00CC2E90" w:rsidRPr="001005B7">
        <w:rPr>
          <w:lang w:eastAsia="en-GB"/>
        </w:rPr>
        <w:t>”</w:t>
      </w:r>
      <w:r w:rsidR="00602BD0" w:rsidRPr="001005B7">
        <w:rPr>
          <w:lang w:eastAsia="en-GB"/>
        </w:rPr>
        <w:t xml:space="preserve"> </w:t>
      </w:r>
      <w:r w:rsidR="00C17697" w:rsidRPr="001005B7">
        <w:rPr>
          <w:lang w:eastAsia="en-GB"/>
        </w:rPr>
        <w:t>mean</w:t>
      </w:r>
      <w:r w:rsidR="0062148D" w:rsidRPr="001005B7">
        <w:rPr>
          <w:lang w:eastAsia="en-GB"/>
        </w:rPr>
        <w:t xml:space="preserve">s </w:t>
      </w:r>
      <w:r w:rsidR="00320429" w:rsidRPr="001005B7">
        <w:rPr>
          <w:lang w:eastAsia="en-GB"/>
        </w:rPr>
        <w:t>foreign</w:t>
      </w:r>
      <w:r w:rsidR="0062148D" w:rsidRPr="001005B7">
        <w:rPr>
          <w:lang w:eastAsia="en-GB"/>
        </w:rPr>
        <w:t xml:space="preserve"> </w:t>
      </w:r>
      <w:r w:rsidR="00320429" w:rsidRPr="001005B7">
        <w:rPr>
          <w:lang w:eastAsia="en-GB"/>
        </w:rPr>
        <w:t>nation</w:t>
      </w:r>
      <w:r w:rsidR="0062148D" w:rsidRPr="001005B7">
        <w:rPr>
          <w:lang w:eastAsia="en-GB"/>
        </w:rPr>
        <w:t>s</w:t>
      </w:r>
      <w:r w:rsidR="00602BD0" w:rsidRPr="001005B7">
        <w:rPr>
          <w:lang w:eastAsia="en-GB"/>
        </w:rPr>
        <w:t xml:space="preserve">, </w:t>
      </w:r>
      <w:r w:rsidR="00161DD0" w:rsidRPr="001005B7">
        <w:rPr>
          <w:lang w:eastAsia="en-GB"/>
        </w:rPr>
        <w:t>and Ezekiel will have things to say about their destiny</w:t>
      </w:r>
      <w:r w:rsidR="00512829" w:rsidRPr="001005B7">
        <w:rPr>
          <w:lang w:eastAsia="en-GB"/>
        </w:rPr>
        <w:t xml:space="preserve"> (25:1</w:t>
      </w:r>
      <w:r w:rsidR="00F46900" w:rsidRPr="001005B7">
        <w:rPr>
          <w:lang w:eastAsia="en-GB"/>
        </w:rPr>
        <w:t>–</w:t>
      </w:r>
      <w:r w:rsidR="00512829" w:rsidRPr="001005B7">
        <w:rPr>
          <w:lang w:eastAsia="en-GB"/>
        </w:rPr>
        <w:t xml:space="preserve">32:32). </w:t>
      </w:r>
      <w:r w:rsidR="00E14633" w:rsidRPr="001005B7">
        <w:rPr>
          <w:lang w:eastAsia="en-GB"/>
        </w:rPr>
        <w:t>H</w:t>
      </w:r>
      <w:r w:rsidR="00C93818" w:rsidRPr="001005B7">
        <w:rPr>
          <w:lang w:eastAsia="en-GB"/>
        </w:rPr>
        <w:t xml:space="preserve">ere, </w:t>
      </w:r>
      <w:r w:rsidR="0062148D" w:rsidRPr="001005B7">
        <w:rPr>
          <w:lang w:eastAsia="en-GB"/>
        </w:rPr>
        <w:t>in the context of the expressions on either side</w:t>
      </w:r>
      <w:r w:rsidR="00512829" w:rsidRPr="001005B7">
        <w:rPr>
          <w:lang w:eastAsia="en-GB"/>
        </w:rPr>
        <w:t>,</w:t>
      </w:r>
      <w:r w:rsidR="0062148D" w:rsidRPr="001005B7">
        <w:rPr>
          <w:lang w:eastAsia="en-GB"/>
        </w:rPr>
        <w:t xml:space="preserve"> </w:t>
      </w:r>
      <w:r w:rsidR="005F64F7" w:rsidRPr="001005B7">
        <w:rPr>
          <w:lang w:eastAsia="en-GB"/>
        </w:rPr>
        <w:t>“</w:t>
      </w:r>
      <w:r w:rsidR="00320429" w:rsidRPr="001005B7">
        <w:rPr>
          <w:lang w:eastAsia="en-GB"/>
        </w:rPr>
        <w:t>nations</w:t>
      </w:r>
      <w:r w:rsidR="005F64F7" w:rsidRPr="001005B7">
        <w:rPr>
          <w:lang w:eastAsia="en-GB"/>
        </w:rPr>
        <w:t>”</w:t>
      </w:r>
      <w:r w:rsidR="0062148D" w:rsidRPr="001005B7">
        <w:rPr>
          <w:lang w:eastAsia="en-GB"/>
        </w:rPr>
        <w:t xml:space="preserve"> more likely </w:t>
      </w:r>
      <w:r w:rsidR="00602BD0" w:rsidRPr="001005B7">
        <w:rPr>
          <w:lang w:eastAsia="en-GB"/>
        </w:rPr>
        <w:t>impl</w:t>
      </w:r>
      <w:r w:rsidR="00512829" w:rsidRPr="001005B7">
        <w:rPr>
          <w:lang w:eastAsia="en-GB"/>
        </w:rPr>
        <w:t>ies</w:t>
      </w:r>
      <w:r w:rsidR="00602BD0" w:rsidRPr="001005B7">
        <w:rPr>
          <w:lang w:eastAsia="en-GB"/>
        </w:rPr>
        <w:t xml:space="preserve"> Ephraim and Judah or the twelve clans</w:t>
      </w:r>
      <w:r w:rsidR="003D50D6" w:rsidRPr="001005B7">
        <w:rPr>
          <w:lang w:eastAsia="en-GB"/>
        </w:rPr>
        <w:t xml:space="preserve">. </w:t>
      </w:r>
      <w:r w:rsidR="000A7FE5" w:rsidRPr="001005B7">
        <w:rPr>
          <w:lang w:eastAsia="en-GB"/>
        </w:rPr>
        <w:t>But</w:t>
      </w:r>
      <w:r w:rsidR="00105C58" w:rsidRPr="001005B7">
        <w:rPr>
          <w:lang w:eastAsia="en-GB"/>
        </w:rPr>
        <w:t xml:space="preserve"> alongside th</w:t>
      </w:r>
      <w:r w:rsidR="001110DA" w:rsidRPr="001005B7">
        <w:rPr>
          <w:lang w:eastAsia="en-GB"/>
        </w:rPr>
        <w:t>e</w:t>
      </w:r>
      <w:r w:rsidR="00105C58" w:rsidRPr="001005B7">
        <w:rPr>
          <w:lang w:eastAsia="en-GB"/>
        </w:rPr>
        <w:t xml:space="preserve"> </w:t>
      </w:r>
      <w:r w:rsidR="003D50D6" w:rsidRPr="001005B7">
        <w:rPr>
          <w:lang w:eastAsia="en-GB"/>
        </w:rPr>
        <w:t xml:space="preserve">implicit </w:t>
      </w:r>
      <w:r w:rsidR="00E94647" w:rsidRPr="001005B7">
        <w:rPr>
          <w:lang w:eastAsia="en-GB"/>
        </w:rPr>
        <w:t>good news</w:t>
      </w:r>
      <w:r w:rsidR="00602BD0" w:rsidRPr="001005B7">
        <w:rPr>
          <w:lang w:eastAsia="en-GB"/>
        </w:rPr>
        <w:t xml:space="preserve"> about </w:t>
      </w:r>
      <w:r w:rsidR="00BD5FA8" w:rsidRPr="001005B7">
        <w:rPr>
          <w:lang w:eastAsia="en-GB"/>
        </w:rPr>
        <w:t>sending</w:t>
      </w:r>
      <w:r w:rsidR="003D50D6" w:rsidRPr="001005B7">
        <w:rPr>
          <w:lang w:eastAsia="en-GB"/>
        </w:rPr>
        <w:t xml:space="preserve"> </w:t>
      </w:r>
      <w:r w:rsidR="006E603F" w:rsidRPr="001005B7">
        <w:rPr>
          <w:lang w:eastAsia="en-GB"/>
        </w:rPr>
        <w:t>him to a</w:t>
      </w:r>
      <w:r w:rsidR="00E57C5D" w:rsidRPr="001005B7">
        <w:rPr>
          <w:lang w:eastAsia="en-GB"/>
        </w:rPr>
        <w:t xml:space="preserve"> </w:t>
      </w:r>
      <w:r w:rsidR="003D50D6" w:rsidRPr="001005B7">
        <w:rPr>
          <w:lang w:eastAsia="en-GB"/>
        </w:rPr>
        <w:t xml:space="preserve">people </w:t>
      </w:r>
      <w:r w:rsidR="00E57C5D" w:rsidRPr="001005B7">
        <w:rPr>
          <w:lang w:eastAsia="en-GB"/>
        </w:rPr>
        <w:t xml:space="preserve">that </w:t>
      </w:r>
      <w:r w:rsidR="003D50D6" w:rsidRPr="001005B7">
        <w:rPr>
          <w:lang w:eastAsia="en-GB"/>
        </w:rPr>
        <w:t>he has not given up on</w:t>
      </w:r>
      <w:r w:rsidR="00EE4025" w:rsidRPr="001005B7">
        <w:rPr>
          <w:lang w:eastAsia="en-GB"/>
        </w:rPr>
        <w:t xml:space="preserve">, </w:t>
      </w:r>
      <w:r w:rsidR="00C73F15" w:rsidRPr="001005B7">
        <w:rPr>
          <w:lang w:eastAsia="en-GB"/>
        </w:rPr>
        <w:t>Yahweh c</w:t>
      </w:r>
      <w:r w:rsidR="00ED1B99" w:rsidRPr="001005B7">
        <w:rPr>
          <w:lang w:eastAsia="en-GB"/>
        </w:rPr>
        <w:t>haracterizes</w:t>
      </w:r>
      <w:r w:rsidR="00C73F15" w:rsidRPr="001005B7">
        <w:rPr>
          <w:lang w:eastAsia="en-GB"/>
        </w:rPr>
        <w:t xml:space="preserve"> th</w:t>
      </w:r>
      <w:r w:rsidR="00086438" w:rsidRPr="001005B7">
        <w:rPr>
          <w:lang w:eastAsia="en-GB"/>
        </w:rPr>
        <w:t>is</w:t>
      </w:r>
      <w:r w:rsidR="00C73F15" w:rsidRPr="001005B7">
        <w:rPr>
          <w:lang w:eastAsia="en-GB"/>
        </w:rPr>
        <w:t xml:space="preserve"> Israel</w:t>
      </w:r>
      <w:r w:rsidR="00130873" w:rsidRPr="001005B7">
        <w:rPr>
          <w:lang w:eastAsia="en-GB"/>
        </w:rPr>
        <w:t xml:space="preserve"> </w:t>
      </w:r>
      <w:r w:rsidR="00ED1B99" w:rsidRPr="001005B7">
        <w:rPr>
          <w:lang w:eastAsia="en-GB"/>
        </w:rPr>
        <w:t>by</w:t>
      </w:r>
      <w:r w:rsidR="00C86C09" w:rsidRPr="001005B7">
        <w:rPr>
          <w:lang w:eastAsia="en-GB"/>
        </w:rPr>
        <w:t xml:space="preserve"> </w:t>
      </w:r>
      <w:r w:rsidR="008243D4" w:rsidRPr="001005B7">
        <w:rPr>
          <w:lang w:eastAsia="en-GB"/>
        </w:rPr>
        <w:t>a series of</w:t>
      </w:r>
      <w:r w:rsidR="00C86C09" w:rsidRPr="001005B7">
        <w:rPr>
          <w:lang w:eastAsia="en-GB"/>
        </w:rPr>
        <w:t xml:space="preserve"> </w:t>
      </w:r>
      <w:r w:rsidR="005D13FF" w:rsidRPr="001005B7">
        <w:rPr>
          <w:lang w:eastAsia="en-GB"/>
        </w:rPr>
        <w:t>negative</w:t>
      </w:r>
      <w:r w:rsidR="009B0AB3" w:rsidRPr="001005B7">
        <w:rPr>
          <w:lang w:eastAsia="en-GB"/>
        </w:rPr>
        <w:t xml:space="preserve"> </w:t>
      </w:r>
      <w:r w:rsidR="006D3196" w:rsidRPr="001005B7">
        <w:rPr>
          <w:lang w:eastAsia="en-GB"/>
        </w:rPr>
        <w:t>expressions</w:t>
      </w:r>
      <w:r w:rsidR="00C043FE" w:rsidRPr="001005B7">
        <w:rPr>
          <w:lang w:eastAsia="en-GB"/>
        </w:rPr>
        <w:t xml:space="preserve"> of </w:t>
      </w:r>
      <w:r w:rsidR="002A0C8F" w:rsidRPr="001005B7">
        <w:rPr>
          <w:lang w:eastAsia="en-GB"/>
        </w:rPr>
        <w:t>overlapping</w:t>
      </w:r>
      <w:r w:rsidR="00C043FE" w:rsidRPr="001005B7">
        <w:rPr>
          <w:lang w:eastAsia="en-GB"/>
        </w:rPr>
        <w:t xml:space="preserve"> meaning</w:t>
      </w:r>
      <w:r w:rsidR="008243D4" w:rsidRPr="001005B7">
        <w:rPr>
          <w:lang w:eastAsia="en-GB"/>
        </w:rPr>
        <w:t xml:space="preserve">. The first </w:t>
      </w:r>
      <w:r w:rsidR="00C043FE" w:rsidRPr="001005B7">
        <w:rPr>
          <w:lang w:eastAsia="en-GB"/>
        </w:rPr>
        <w:t xml:space="preserve">two </w:t>
      </w:r>
      <w:r w:rsidR="006533D8" w:rsidRPr="001005B7">
        <w:rPr>
          <w:lang w:eastAsia="en-GB"/>
        </w:rPr>
        <w:t xml:space="preserve">are also </w:t>
      </w:r>
      <w:r w:rsidR="00C043FE" w:rsidRPr="001005B7">
        <w:rPr>
          <w:lang w:eastAsia="en-GB"/>
        </w:rPr>
        <w:t xml:space="preserve">similar </w:t>
      </w:r>
      <w:r w:rsidR="002A0C8F" w:rsidRPr="001005B7">
        <w:rPr>
          <w:lang w:eastAsia="en-GB"/>
        </w:rPr>
        <w:t xml:space="preserve">in </w:t>
      </w:r>
      <w:r w:rsidR="00C043FE" w:rsidRPr="001005B7">
        <w:rPr>
          <w:lang w:eastAsia="en-GB"/>
        </w:rPr>
        <w:t>appearance and sound</w:t>
      </w:r>
      <w:r w:rsidR="006533D8" w:rsidRPr="001005B7">
        <w:rPr>
          <w:lang w:eastAsia="en-GB"/>
        </w:rPr>
        <w:t>. The Israelites</w:t>
      </w:r>
      <w:r w:rsidR="00FE48AC" w:rsidRPr="001005B7">
        <w:rPr>
          <w:lang w:eastAsia="en-GB"/>
        </w:rPr>
        <w:t xml:space="preserve"> </w:t>
      </w:r>
      <w:r w:rsidR="007D051C" w:rsidRPr="001005B7">
        <w:rPr>
          <w:lang w:eastAsia="en-GB"/>
        </w:rPr>
        <w:t xml:space="preserve">are </w:t>
      </w:r>
      <w:r w:rsidR="005F64F7" w:rsidRPr="001005B7">
        <w:rPr>
          <w:lang w:eastAsia="en-GB"/>
        </w:rPr>
        <w:t>“</w:t>
      </w:r>
      <w:r w:rsidR="007D051C" w:rsidRPr="001005B7">
        <w:rPr>
          <w:lang w:eastAsia="en-GB"/>
        </w:rPr>
        <w:t>defiant</w:t>
      </w:r>
      <w:r w:rsidR="005F64F7" w:rsidRPr="001005B7">
        <w:rPr>
          <w:lang w:eastAsia="en-GB"/>
        </w:rPr>
        <w:t>”</w:t>
      </w:r>
      <w:r w:rsidR="007D051C" w:rsidRPr="001005B7">
        <w:rPr>
          <w:i/>
          <w:iCs/>
          <w:lang w:eastAsia="en-GB"/>
        </w:rPr>
        <w:t xml:space="preserve"> </w:t>
      </w:r>
      <w:r w:rsidR="007D051C" w:rsidRPr="001005B7">
        <w:rPr>
          <w:lang w:eastAsia="en-GB"/>
        </w:rPr>
        <w:t xml:space="preserve">and </w:t>
      </w:r>
      <w:r w:rsidR="00C64C84" w:rsidRPr="001005B7">
        <w:rPr>
          <w:lang w:eastAsia="en-GB"/>
        </w:rPr>
        <w:t xml:space="preserve">they </w:t>
      </w:r>
      <w:r w:rsidR="006315F7" w:rsidRPr="001005B7">
        <w:rPr>
          <w:lang w:eastAsia="en-GB"/>
        </w:rPr>
        <w:t>have</w:t>
      </w:r>
      <w:r w:rsidR="00FE48AC" w:rsidRPr="001005B7">
        <w:rPr>
          <w:lang w:eastAsia="en-GB"/>
        </w:rPr>
        <w:t xml:space="preserve"> </w:t>
      </w:r>
      <w:r w:rsidR="005F64F7" w:rsidRPr="001005B7">
        <w:rPr>
          <w:lang w:eastAsia="en-GB"/>
        </w:rPr>
        <w:t>“</w:t>
      </w:r>
      <w:r w:rsidR="00FE48AC" w:rsidRPr="001005B7">
        <w:rPr>
          <w:lang w:eastAsia="en-GB"/>
        </w:rPr>
        <w:t>defi</w:t>
      </w:r>
      <w:r w:rsidR="006315F7" w:rsidRPr="001005B7">
        <w:rPr>
          <w:lang w:eastAsia="en-GB"/>
        </w:rPr>
        <w:t>ed</w:t>
      </w:r>
      <w:r w:rsidR="009426B9" w:rsidRPr="001005B7">
        <w:rPr>
          <w:lang w:eastAsia="en-GB"/>
        </w:rPr>
        <w:t>”</w:t>
      </w:r>
      <w:r w:rsidR="006315F7" w:rsidRPr="001005B7">
        <w:rPr>
          <w:lang w:eastAsia="en-GB"/>
        </w:rPr>
        <w:t xml:space="preserve"> him</w:t>
      </w:r>
      <w:r w:rsidR="00FE48AC" w:rsidRPr="001005B7">
        <w:rPr>
          <w:lang w:eastAsia="en-GB"/>
        </w:rPr>
        <w:t xml:space="preserve"> (</w:t>
      </w:r>
      <w:r w:rsidR="00843347" w:rsidRPr="001005B7">
        <w:rPr>
          <w:rFonts w:cstheme="minorHAnsi"/>
          <w:rtl/>
          <w:lang w:eastAsia="en-GB" w:bidi="he-IL"/>
        </w:rPr>
        <w:t>מָרַד</w:t>
      </w:r>
      <w:r w:rsidR="00195888" w:rsidRPr="001005B7">
        <w:rPr>
          <w:lang w:eastAsia="en-GB"/>
        </w:rPr>
        <w:t xml:space="preserve">), </w:t>
      </w:r>
      <w:r w:rsidR="00C55E5A" w:rsidRPr="001005B7">
        <w:rPr>
          <w:lang w:eastAsia="en-GB"/>
        </w:rPr>
        <w:t xml:space="preserve">which is </w:t>
      </w:r>
      <w:r w:rsidR="00DD432B" w:rsidRPr="001005B7">
        <w:rPr>
          <w:lang w:eastAsia="en-GB"/>
        </w:rPr>
        <w:t xml:space="preserve">often </w:t>
      </w:r>
      <w:r w:rsidR="00195888" w:rsidRPr="001005B7">
        <w:rPr>
          <w:lang w:eastAsia="en-GB"/>
        </w:rPr>
        <w:t xml:space="preserve">a </w:t>
      </w:r>
      <w:r w:rsidR="00210D57" w:rsidRPr="001005B7">
        <w:rPr>
          <w:lang w:eastAsia="en-GB"/>
        </w:rPr>
        <w:t>word for political</w:t>
      </w:r>
      <w:r w:rsidR="00D0335C" w:rsidRPr="001005B7">
        <w:rPr>
          <w:lang w:eastAsia="en-GB"/>
        </w:rPr>
        <w:t xml:space="preserve"> </w:t>
      </w:r>
      <w:r w:rsidR="008167C8" w:rsidRPr="001005B7">
        <w:rPr>
          <w:lang w:eastAsia="en-GB"/>
        </w:rPr>
        <w:t>insubordination</w:t>
      </w:r>
      <w:r w:rsidR="00017235" w:rsidRPr="001005B7">
        <w:rPr>
          <w:lang w:eastAsia="en-GB"/>
        </w:rPr>
        <w:t xml:space="preserve"> (17:15). </w:t>
      </w:r>
      <w:r w:rsidR="002A0C8F" w:rsidRPr="001005B7">
        <w:rPr>
          <w:lang w:eastAsia="en-GB"/>
        </w:rPr>
        <w:t>And t</w:t>
      </w:r>
      <w:r w:rsidR="00017235" w:rsidRPr="001005B7">
        <w:rPr>
          <w:lang w:eastAsia="en-GB"/>
        </w:rPr>
        <w:t xml:space="preserve">hey have </w:t>
      </w:r>
      <w:r w:rsidR="008825EF" w:rsidRPr="001005B7">
        <w:rPr>
          <w:lang w:eastAsia="en-GB"/>
        </w:rPr>
        <w:t>“</w:t>
      </w:r>
      <w:r w:rsidR="00017235" w:rsidRPr="001005B7">
        <w:rPr>
          <w:lang w:eastAsia="en-GB"/>
        </w:rPr>
        <w:t>revolted</w:t>
      </w:r>
      <w:r w:rsidR="008825EF" w:rsidRPr="001005B7">
        <w:rPr>
          <w:lang w:eastAsia="en-GB"/>
        </w:rPr>
        <w:t>”</w:t>
      </w:r>
      <w:r w:rsidR="00D62AD4" w:rsidRPr="001005B7">
        <w:rPr>
          <w:lang w:eastAsia="en-GB"/>
        </w:rPr>
        <w:t xml:space="preserve"> </w:t>
      </w:r>
      <w:r w:rsidR="008052B9" w:rsidRPr="001005B7">
        <w:rPr>
          <w:lang w:eastAsia="en-GB"/>
        </w:rPr>
        <w:t>against him</w:t>
      </w:r>
      <w:r w:rsidR="0070179C" w:rsidRPr="001005B7">
        <w:rPr>
          <w:rFonts w:cstheme="minorHAnsi"/>
          <w:lang w:eastAsia="en-GB"/>
        </w:rPr>
        <w:t xml:space="preserve"> (</w:t>
      </w:r>
      <w:r w:rsidR="0070179C" w:rsidRPr="001005B7">
        <w:rPr>
          <w:rFonts w:cstheme="minorHAnsi"/>
          <w:rtl/>
          <w:lang w:eastAsia="en-GB" w:bidi="he-IL"/>
        </w:rPr>
        <w:t>פ</w:t>
      </w:r>
      <w:r w:rsidR="00282D6C" w:rsidRPr="001005B7">
        <w:rPr>
          <w:rFonts w:cstheme="minorHAnsi"/>
          <w:rtl/>
          <w:lang w:eastAsia="en-GB" w:bidi="he-IL"/>
        </w:rPr>
        <w:t>ּ</w:t>
      </w:r>
      <w:r w:rsidR="0070179C" w:rsidRPr="001005B7">
        <w:rPr>
          <w:rFonts w:cstheme="minorHAnsi"/>
          <w:rtl/>
          <w:lang w:eastAsia="en-GB" w:bidi="he-IL"/>
        </w:rPr>
        <w:t>ָשַׁע</w:t>
      </w:r>
      <w:r w:rsidR="0070179C" w:rsidRPr="001005B7">
        <w:rPr>
          <w:rFonts w:cstheme="minorHAnsi"/>
          <w:lang w:eastAsia="en-GB"/>
        </w:rPr>
        <w:t>)</w:t>
      </w:r>
      <w:r w:rsidR="00254E5D" w:rsidRPr="001005B7">
        <w:rPr>
          <w:rFonts w:cstheme="minorHAnsi"/>
          <w:lang w:eastAsia="en-GB"/>
        </w:rPr>
        <w:t>,</w:t>
      </w:r>
      <w:r w:rsidR="00334DD0" w:rsidRPr="001005B7">
        <w:rPr>
          <w:rFonts w:cstheme="minorHAnsi"/>
          <w:lang w:eastAsia="en-GB"/>
        </w:rPr>
        <w:t xml:space="preserve"> </w:t>
      </w:r>
      <w:r w:rsidR="000F734A" w:rsidRPr="001005B7">
        <w:rPr>
          <w:rFonts w:cstheme="minorHAnsi"/>
          <w:lang w:eastAsia="en-GB"/>
        </w:rPr>
        <w:t>the First Testament’s most common term to denote political or religious insubordination</w:t>
      </w:r>
      <w:r w:rsidR="004970DE" w:rsidRPr="001005B7">
        <w:rPr>
          <w:rFonts w:cstheme="minorHAnsi"/>
          <w:lang w:eastAsia="en-GB"/>
        </w:rPr>
        <w:t>.</w:t>
      </w:r>
      <w:r w:rsidR="000F734A" w:rsidRPr="001005B7">
        <w:rPr>
          <w:rFonts w:cstheme="minorHAnsi"/>
          <w:lang w:eastAsia="en-GB"/>
        </w:rPr>
        <w:t xml:space="preserve"> </w:t>
      </w:r>
      <w:r w:rsidR="005E23E4" w:rsidRPr="001005B7">
        <w:rPr>
          <w:rFonts w:cstheme="minorHAnsi"/>
          <w:lang w:eastAsia="en-GB"/>
        </w:rPr>
        <w:t xml:space="preserve">The </w:t>
      </w:r>
      <w:r w:rsidR="00E5575E" w:rsidRPr="001005B7">
        <w:rPr>
          <w:rFonts w:cstheme="minorHAnsi"/>
          <w:lang w:eastAsia="en-GB"/>
        </w:rPr>
        <w:t>p</w:t>
      </w:r>
      <w:r w:rsidR="005E23E4" w:rsidRPr="001005B7">
        <w:rPr>
          <w:rFonts w:cstheme="minorHAnsi"/>
          <w:lang w:eastAsia="en-GB"/>
        </w:rPr>
        <w:t xml:space="preserve">olitical connotations of these words </w:t>
      </w:r>
      <w:r w:rsidR="00E5575E" w:rsidRPr="001005B7">
        <w:rPr>
          <w:rFonts w:cstheme="minorHAnsi"/>
          <w:lang w:eastAsia="en-GB"/>
        </w:rPr>
        <w:t>presuppose the covenant relationship between Yahweh and Israel</w:t>
      </w:r>
      <w:r w:rsidR="00792CF9" w:rsidRPr="001005B7">
        <w:rPr>
          <w:rFonts w:cstheme="minorHAnsi"/>
          <w:lang w:eastAsia="en-GB"/>
        </w:rPr>
        <w:t>, which they imply</w:t>
      </w:r>
      <w:r w:rsidR="00E5575E" w:rsidRPr="001005B7">
        <w:rPr>
          <w:rFonts w:cstheme="minorHAnsi"/>
          <w:lang w:eastAsia="en-GB"/>
        </w:rPr>
        <w:t xml:space="preserve"> Israel has flouted</w:t>
      </w:r>
      <w:r w:rsidR="00E61B71" w:rsidRPr="001005B7">
        <w:rPr>
          <w:rFonts w:cstheme="minorHAnsi"/>
          <w:lang w:eastAsia="en-GB"/>
        </w:rPr>
        <w:t xml:space="preserve">. </w:t>
      </w:r>
      <w:r w:rsidR="00BD09B2" w:rsidRPr="001005B7">
        <w:rPr>
          <w:rFonts w:cstheme="minorHAnsi"/>
          <w:lang w:eastAsia="en-GB"/>
        </w:rPr>
        <w:t>Israel’s w</w:t>
      </w:r>
      <w:r w:rsidR="005D6CB8" w:rsidRPr="001005B7">
        <w:rPr>
          <w:rFonts w:cstheme="minorHAnsi"/>
          <w:lang w:eastAsia="en-GB"/>
        </w:rPr>
        <w:t>aywardness and wrongdoing impl</w:t>
      </w:r>
      <w:r w:rsidR="00B61F63" w:rsidRPr="001005B7">
        <w:rPr>
          <w:rFonts w:cstheme="minorHAnsi"/>
          <w:lang w:eastAsia="en-GB"/>
        </w:rPr>
        <w:t>ies more than</w:t>
      </w:r>
      <w:r w:rsidR="005D6CB8" w:rsidRPr="001005B7">
        <w:rPr>
          <w:rFonts w:cstheme="minorHAnsi"/>
          <w:lang w:eastAsia="en-GB"/>
        </w:rPr>
        <w:t xml:space="preserve"> an act that ignores a proper path or moral principle</w:t>
      </w:r>
      <w:r w:rsidR="00C36630" w:rsidRPr="001005B7">
        <w:rPr>
          <w:rFonts w:cstheme="minorHAnsi"/>
          <w:lang w:eastAsia="en-GB"/>
        </w:rPr>
        <w:t>. It implies</w:t>
      </w:r>
      <w:r w:rsidR="005D6CB8" w:rsidRPr="001005B7">
        <w:rPr>
          <w:rFonts w:cstheme="minorHAnsi"/>
          <w:lang w:eastAsia="en-GB"/>
        </w:rPr>
        <w:t xml:space="preserve"> a personal rebellion against a relationship (</w:t>
      </w:r>
      <w:r w:rsidR="005D6CB8" w:rsidRPr="001005B7">
        <w:t>Greenhill</w:t>
      </w:r>
      <w:r w:rsidR="00B20A58" w:rsidRPr="001005B7">
        <w:rPr>
          <w:i/>
          <w:iCs/>
        </w:rPr>
        <w:t>, 77</w:t>
      </w:r>
      <w:r w:rsidR="005D6CB8" w:rsidRPr="001005B7">
        <w:t>)</w:t>
      </w:r>
      <w:r w:rsidR="005D6CB8" w:rsidRPr="001005B7">
        <w:rPr>
          <w:rFonts w:cstheme="minorHAnsi"/>
          <w:lang w:eastAsia="en-GB"/>
        </w:rPr>
        <w:t xml:space="preserve">. </w:t>
      </w:r>
      <w:r w:rsidR="00664EAF" w:rsidRPr="001005B7">
        <w:rPr>
          <w:rFonts w:cstheme="minorHAnsi"/>
          <w:lang w:eastAsia="en-GB"/>
        </w:rPr>
        <w:t>Israel</w:t>
      </w:r>
      <w:r w:rsidR="005D6CB8" w:rsidRPr="001005B7">
        <w:rPr>
          <w:rFonts w:cstheme="minorHAnsi"/>
          <w:lang w:eastAsia="en-GB"/>
        </w:rPr>
        <w:t xml:space="preserve"> ha</w:t>
      </w:r>
      <w:r w:rsidR="00664EAF" w:rsidRPr="001005B7">
        <w:rPr>
          <w:rFonts w:cstheme="minorHAnsi"/>
          <w:lang w:eastAsia="en-GB"/>
        </w:rPr>
        <w:t>s</w:t>
      </w:r>
      <w:r w:rsidR="005D6CB8" w:rsidRPr="001005B7">
        <w:rPr>
          <w:rFonts w:cstheme="minorHAnsi"/>
          <w:lang w:eastAsia="en-GB"/>
        </w:rPr>
        <w:t xml:space="preserve"> been thus from the beginning </w:t>
      </w:r>
      <w:r w:rsidR="009426B9" w:rsidRPr="001005B7">
        <w:rPr>
          <w:rFonts w:cstheme="minorHAnsi"/>
          <w:lang w:eastAsia="en-GB"/>
        </w:rPr>
        <w:t>“</w:t>
      </w:r>
      <w:r w:rsidR="005D6CB8" w:rsidRPr="001005B7">
        <w:rPr>
          <w:rFonts w:cstheme="minorHAnsi"/>
          <w:lang w:eastAsia="en-GB"/>
        </w:rPr>
        <w:t>until</w:t>
      </w:r>
      <w:r w:rsidR="00664EAF" w:rsidRPr="001005B7">
        <w:rPr>
          <w:rFonts w:cstheme="minorHAnsi"/>
          <w:i/>
          <w:iCs/>
          <w:lang w:eastAsia="en-GB"/>
        </w:rPr>
        <w:t xml:space="preserve"> </w:t>
      </w:r>
      <w:r w:rsidR="00664EAF" w:rsidRPr="001005B7">
        <w:rPr>
          <w:rFonts w:cstheme="minorHAnsi"/>
          <w:lang w:eastAsia="en-GB"/>
        </w:rPr>
        <w:t>this</w:t>
      </w:r>
      <w:r w:rsidR="00664EAF" w:rsidRPr="001005B7">
        <w:rPr>
          <w:rFonts w:cstheme="minorHAnsi"/>
          <w:i/>
          <w:iCs/>
          <w:lang w:eastAsia="en-GB"/>
        </w:rPr>
        <w:t xml:space="preserve"> </w:t>
      </w:r>
      <w:r w:rsidR="00664EAF" w:rsidRPr="001005B7">
        <w:rPr>
          <w:rFonts w:cstheme="minorHAnsi"/>
          <w:lang w:eastAsia="en-GB"/>
        </w:rPr>
        <w:t>very</w:t>
      </w:r>
      <w:r w:rsidR="00664EAF" w:rsidRPr="001005B7">
        <w:rPr>
          <w:rFonts w:cstheme="minorHAnsi"/>
          <w:i/>
          <w:iCs/>
          <w:lang w:eastAsia="en-GB"/>
        </w:rPr>
        <w:t xml:space="preserve"> </w:t>
      </w:r>
      <w:r w:rsidR="00664EAF" w:rsidRPr="001005B7">
        <w:rPr>
          <w:rFonts w:cstheme="minorHAnsi"/>
          <w:lang w:eastAsia="en-GB"/>
        </w:rPr>
        <w:t>day</w:t>
      </w:r>
      <w:r w:rsidR="005D6CB8" w:rsidRPr="001005B7">
        <w:rPr>
          <w:rFonts w:cstheme="minorHAnsi"/>
          <w:lang w:eastAsia="en-GB"/>
        </w:rPr>
        <w:t>.</w:t>
      </w:r>
      <w:r w:rsidR="009426B9" w:rsidRPr="001005B7">
        <w:rPr>
          <w:rFonts w:cstheme="minorHAnsi"/>
          <w:lang w:eastAsia="en-GB"/>
        </w:rPr>
        <w:t>”</w:t>
      </w:r>
      <w:r w:rsidR="00664EAF" w:rsidRPr="001005B7">
        <w:rPr>
          <w:rFonts w:cstheme="minorHAnsi"/>
          <w:lang w:eastAsia="en-GB"/>
        </w:rPr>
        <w:t xml:space="preserve"> </w:t>
      </w:r>
      <w:r w:rsidR="00E61B71" w:rsidRPr="001005B7">
        <w:rPr>
          <w:rFonts w:cstheme="minorHAnsi"/>
          <w:lang w:eastAsia="en-GB"/>
        </w:rPr>
        <w:t>A</w:t>
      </w:r>
      <w:r w:rsidR="006E26F9" w:rsidRPr="001005B7">
        <w:rPr>
          <w:rFonts w:cstheme="minorHAnsi"/>
          <w:lang w:eastAsia="en-GB"/>
        </w:rPr>
        <w:t xml:space="preserve"> systematic indictment such as the one in Ezek 20 will </w:t>
      </w:r>
      <w:r w:rsidR="00E40C1C" w:rsidRPr="001005B7">
        <w:rPr>
          <w:rFonts w:cstheme="minorHAnsi"/>
          <w:lang w:eastAsia="en-GB"/>
        </w:rPr>
        <w:t xml:space="preserve">also </w:t>
      </w:r>
      <w:r w:rsidR="00487D22" w:rsidRPr="001005B7">
        <w:rPr>
          <w:rFonts w:cstheme="minorHAnsi"/>
          <w:lang w:eastAsia="en-GB"/>
        </w:rPr>
        <w:t xml:space="preserve">underline </w:t>
      </w:r>
      <w:r w:rsidR="00365589" w:rsidRPr="001005B7">
        <w:rPr>
          <w:rFonts w:cstheme="minorHAnsi"/>
          <w:lang w:eastAsia="en-GB"/>
        </w:rPr>
        <w:t xml:space="preserve">the </w:t>
      </w:r>
      <w:r w:rsidR="005137D5" w:rsidRPr="001005B7">
        <w:rPr>
          <w:rFonts w:cstheme="minorHAnsi"/>
          <w:lang w:eastAsia="en-GB"/>
        </w:rPr>
        <w:t>application of</w:t>
      </w:r>
      <w:r w:rsidR="00487D22" w:rsidRPr="001005B7">
        <w:rPr>
          <w:rFonts w:cstheme="minorHAnsi"/>
          <w:lang w:eastAsia="en-GB"/>
        </w:rPr>
        <w:t xml:space="preserve"> this critiqu</w:t>
      </w:r>
      <w:r w:rsidR="00E61B71" w:rsidRPr="001005B7">
        <w:rPr>
          <w:rFonts w:cstheme="minorHAnsi"/>
          <w:lang w:eastAsia="en-GB"/>
        </w:rPr>
        <w:t>e</w:t>
      </w:r>
      <w:r w:rsidR="005137D5" w:rsidRPr="001005B7">
        <w:rPr>
          <w:rFonts w:cstheme="minorHAnsi"/>
          <w:lang w:eastAsia="en-GB"/>
        </w:rPr>
        <w:t xml:space="preserve"> </w:t>
      </w:r>
      <w:r w:rsidR="00487D22" w:rsidRPr="001005B7">
        <w:rPr>
          <w:rFonts w:cstheme="minorHAnsi"/>
          <w:lang w:eastAsia="en-GB"/>
        </w:rPr>
        <w:t>to Israel as a whole</w:t>
      </w:r>
      <w:r w:rsidR="00E61B71" w:rsidRPr="001005B7">
        <w:rPr>
          <w:rFonts w:cstheme="minorHAnsi"/>
          <w:lang w:eastAsia="en-GB"/>
        </w:rPr>
        <w:t xml:space="preserve"> (Ezek 16 and 23 w</w:t>
      </w:r>
      <w:r w:rsidR="00C363D1" w:rsidRPr="001005B7">
        <w:rPr>
          <w:rFonts w:cstheme="minorHAnsi"/>
          <w:lang w:eastAsia="en-GB"/>
        </w:rPr>
        <w:t>i</w:t>
      </w:r>
      <w:r w:rsidR="00E61B71" w:rsidRPr="001005B7">
        <w:rPr>
          <w:rFonts w:cstheme="minorHAnsi"/>
          <w:lang w:eastAsia="en-GB"/>
        </w:rPr>
        <w:t xml:space="preserve">ll </w:t>
      </w:r>
      <w:r w:rsidR="00C363D1" w:rsidRPr="001005B7">
        <w:rPr>
          <w:rFonts w:cstheme="minorHAnsi"/>
          <w:lang w:eastAsia="en-GB"/>
        </w:rPr>
        <w:t xml:space="preserve">speak </w:t>
      </w:r>
      <w:r w:rsidR="00E61B71" w:rsidRPr="001005B7">
        <w:rPr>
          <w:rFonts w:cstheme="minorHAnsi"/>
          <w:lang w:eastAsia="en-GB"/>
        </w:rPr>
        <w:t xml:space="preserve">more </w:t>
      </w:r>
      <w:r w:rsidR="00C363D1" w:rsidRPr="001005B7">
        <w:rPr>
          <w:rFonts w:cstheme="minorHAnsi"/>
          <w:lang w:eastAsia="en-GB"/>
        </w:rPr>
        <w:t>specifically of</w:t>
      </w:r>
      <w:r w:rsidR="00E61B71" w:rsidRPr="001005B7">
        <w:rPr>
          <w:rFonts w:cstheme="minorHAnsi"/>
          <w:lang w:eastAsia="en-GB"/>
        </w:rPr>
        <w:t xml:space="preserve"> Jerusalem)</w:t>
      </w:r>
      <w:r w:rsidR="00E5575E" w:rsidRPr="001005B7">
        <w:rPr>
          <w:rFonts w:cstheme="minorHAnsi"/>
          <w:lang w:eastAsia="en-GB"/>
        </w:rPr>
        <w:t xml:space="preserve">. </w:t>
      </w:r>
    </w:p>
    <w:p w14:paraId="7D545B3D" w14:textId="25279025" w:rsidR="003735CF" w:rsidRPr="001005B7" w:rsidRDefault="00BA27A7" w:rsidP="00064453">
      <w:pPr>
        <w:rPr>
          <w:rFonts w:cstheme="minorHAnsi"/>
          <w:lang w:eastAsia="en-GB"/>
        </w:rPr>
      </w:pPr>
      <w:r w:rsidRPr="001005B7">
        <w:rPr>
          <w:rFonts w:cstheme="minorHAnsi"/>
          <w:b/>
          <w:bCs/>
          <w:lang w:eastAsia="en-GB"/>
        </w:rPr>
        <w:t xml:space="preserve">2:4 </w:t>
      </w:r>
      <w:r w:rsidR="00EF054B" w:rsidRPr="001005B7">
        <w:rPr>
          <w:rFonts w:cstheme="minorHAnsi"/>
          <w:lang w:eastAsia="en-GB"/>
        </w:rPr>
        <w:t>The</w:t>
      </w:r>
      <w:r w:rsidR="009B14C2" w:rsidRPr="001005B7">
        <w:rPr>
          <w:rFonts w:cstheme="minorHAnsi"/>
          <w:lang w:eastAsia="en-GB"/>
        </w:rPr>
        <w:t xml:space="preserve"> adjectival expressions</w:t>
      </w:r>
      <w:r w:rsidR="00BB1A83" w:rsidRPr="001005B7">
        <w:rPr>
          <w:rFonts w:cstheme="minorHAnsi"/>
          <w:lang w:eastAsia="en-GB"/>
        </w:rPr>
        <w:t xml:space="preserve"> </w:t>
      </w:r>
      <w:r w:rsidR="00350F15" w:rsidRPr="001005B7">
        <w:rPr>
          <w:rFonts w:cstheme="minorHAnsi"/>
          <w:rtl/>
          <w:lang w:eastAsia="en-GB" w:bidi="he-IL"/>
        </w:rPr>
        <w:t>קְשֵׁי</w:t>
      </w:r>
      <w:r w:rsidR="00647D10" w:rsidRPr="001005B7">
        <w:rPr>
          <w:rFonts w:cstheme="minorHAnsi"/>
          <w:rtl/>
          <w:lang w:eastAsia="en-GB" w:bidi="he-IL"/>
        </w:rPr>
        <w:t xml:space="preserve"> </w:t>
      </w:r>
      <w:r w:rsidR="00943FE6" w:rsidRPr="001005B7">
        <w:rPr>
          <w:rFonts w:cstheme="minorHAnsi"/>
          <w:rtl/>
          <w:lang w:eastAsia="en-GB" w:bidi="he-IL"/>
        </w:rPr>
        <w:t>פׇנִים</w:t>
      </w:r>
      <w:r w:rsidR="00335DCD" w:rsidRPr="001005B7">
        <w:rPr>
          <w:rFonts w:cstheme="minorHAnsi"/>
          <w:lang w:eastAsia="en-GB"/>
        </w:rPr>
        <w:t xml:space="preserve">, </w:t>
      </w:r>
      <w:r w:rsidR="008E0E27" w:rsidRPr="001005B7">
        <w:rPr>
          <w:rFonts w:cstheme="minorHAnsi"/>
          <w:lang w:eastAsia="en-GB"/>
        </w:rPr>
        <w:t>“</w:t>
      </w:r>
      <w:r w:rsidR="009B14C2" w:rsidRPr="001005B7">
        <w:rPr>
          <w:rFonts w:cstheme="minorHAnsi"/>
          <w:lang w:eastAsia="en-GB"/>
        </w:rPr>
        <w:t>severe</w:t>
      </w:r>
      <w:r w:rsidR="009B14C2" w:rsidRPr="001005B7">
        <w:rPr>
          <w:rFonts w:cstheme="minorHAnsi"/>
          <w:i/>
          <w:iCs/>
          <w:lang w:eastAsia="en-GB"/>
        </w:rPr>
        <w:t xml:space="preserve"> </w:t>
      </w:r>
      <w:r w:rsidR="009B14C2" w:rsidRPr="001005B7">
        <w:rPr>
          <w:rFonts w:cstheme="minorHAnsi"/>
          <w:lang w:eastAsia="en-GB"/>
        </w:rPr>
        <w:t>of</w:t>
      </w:r>
      <w:r w:rsidR="009B14C2" w:rsidRPr="001005B7">
        <w:rPr>
          <w:rFonts w:cstheme="minorHAnsi"/>
          <w:i/>
          <w:iCs/>
          <w:lang w:eastAsia="en-GB"/>
        </w:rPr>
        <w:t xml:space="preserve"> </w:t>
      </w:r>
      <w:r w:rsidR="009B14C2" w:rsidRPr="001005B7">
        <w:rPr>
          <w:rFonts w:cstheme="minorHAnsi"/>
          <w:lang w:eastAsia="en-GB"/>
        </w:rPr>
        <w:t>face</w:t>
      </w:r>
      <w:r w:rsidR="00335DCD" w:rsidRPr="001005B7">
        <w:rPr>
          <w:rFonts w:cstheme="minorHAnsi"/>
          <w:lang w:eastAsia="en-GB"/>
        </w:rPr>
        <w:t>,</w:t>
      </w:r>
      <w:r w:rsidR="008E0E27" w:rsidRPr="001005B7">
        <w:rPr>
          <w:rFonts w:cstheme="minorHAnsi"/>
          <w:lang w:eastAsia="en-GB"/>
        </w:rPr>
        <w:t>”</w:t>
      </w:r>
      <w:r w:rsidR="009B14C2" w:rsidRPr="001005B7">
        <w:rPr>
          <w:rFonts w:cstheme="minorHAnsi"/>
          <w:lang w:eastAsia="en-GB"/>
        </w:rPr>
        <w:t xml:space="preserve"> and</w:t>
      </w:r>
      <w:r w:rsidR="00335DCD" w:rsidRPr="001005B7">
        <w:rPr>
          <w:rFonts w:cstheme="minorHAnsi"/>
          <w:lang w:eastAsia="en-GB"/>
        </w:rPr>
        <w:t xml:space="preserve"> </w:t>
      </w:r>
      <w:r w:rsidR="00A804FD" w:rsidRPr="001005B7">
        <w:rPr>
          <w:rFonts w:cstheme="minorHAnsi"/>
          <w:rtl/>
          <w:lang w:eastAsia="en-GB" w:bidi="he-IL"/>
        </w:rPr>
        <w:t>חִזְקֵי</w:t>
      </w:r>
      <w:r w:rsidR="00EC6923" w:rsidRPr="001005B7">
        <w:rPr>
          <w:rFonts w:cstheme="minorHAnsi"/>
          <w:rtl/>
          <w:lang w:eastAsia="en-GB" w:bidi="he-IL"/>
        </w:rPr>
        <w:t>־לֵב</w:t>
      </w:r>
      <w:r w:rsidR="009B14C2" w:rsidRPr="001005B7">
        <w:rPr>
          <w:rFonts w:cstheme="minorHAnsi"/>
          <w:lang w:eastAsia="en-GB"/>
        </w:rPr>
        <w:t xml:space="preserve"> </w:t>
      </w:r>
      <w:r w:rsidR="008E0E27" w:rsidRPr="001005B7">
        <w:rPr>
          <w:rFonts w:cstheme="minorHAnsi"/>
          <w:lang w:eastAsia="en-GB"/>
        </w:rPr>
        <w:t>“</w:t>
      </w:r>
      <w:r w:rsidR="009B14C2" w:rsidRPr="001005B7">
        <w:rPr>
          <w:rFonts w:cstheme="minorHAnsi"/>
          <w:lang w:eastAsia="en-GB"/>
        </w:rPr>
        <w:t>tough</w:t>
      </w:r>
      <w:r w:rsidR="009B14C2" w:rsidRPr="001005B7">
        <w:rPr>
          <w:rFonts w:cstheme="minorHAnsi"/>
          <w:i/>
          <w:iCs/>
          <w:lang w:eastAsia="en-GB"/>
        </w:rPr>
        <w:t xml:space="preserve"> </w:t>
      </w:r>
      <w:r w:rsidR="009B14C2" w:rsidRPr="001005B7">
        <w:rPr>
          <w:rFonts w:cstheme="minorHAnsi"/>
          <w:lang w:eastAsia="en-GB"/>
        </w:rPr>
        <w:t>of</w:t>
      </w:r>
      <w:r w:rsidR="009B14C2" w:rsidRPr="001005B7">
        <w:rPr>
          <w:rFonts w:cstheme="minorHAnsi"/>
          <w:i/>
          <w:iCs/>
          <w:lang w:eastAsia="en-GB"/>
        </w:rPr>
        <w:t xml:space="preserve"> </w:t>
      </w:r>
      <w:r w:rsidR="009B14C2" w:rsidRPr="001005B7">
        <w:rPr>
          <w:rFonts w:cstheme="minorHAnsi"/>
          <w:lang w:eastAsia="en-GB"/>
        </w:rPr>
        <w:t>mind</w:t>
      </w:r>
      <w:r w:rsidR="008E0E27" w:rsidRPr="001005B7">
        <w:rPr>
          <w:rFonts w:cstheme="minorHAnsi"/>
          <w:lang w:eastAsia="en-GB"/>
        </w:rPr>
        <w:t>”</w:t>
      </w:r>
      <w:r w:rsidR="009B14C2" w:rsidRPr="001005B7">
        <w:rPr>
          <w:rFonts w:cstheme="minorHAnsi"/>
          <w:lang w:eastAsia="en-GB"/>
        </w:rPr>
        <w:t xml:space="preserve"> or heart</w:t>
      </w:r>
      <w:r w:rsidR="004E62BD" w:rsidRPr="001005B7">
        <w:rPr>
          <w:rFonts w:cstheme="minorHAnsi"/>
          <w:lang w:eastAsia="en-GB"/>
        </w:rPr>
        <w:t>,</w:t>
      </w:r>
      <w:r w:rsidR="007859B1" w:rsidRPr="001005B7">
        <w:rPr>
          <w:rFonts w:cstheme="minorHAnsi"/>
          <w:lang w:eastAsia="en-GB"/>
        </w:rPr>
        <w:t xml:space="preserve"> </w:t>
      </w:r>
      <w:r w:rsidR="00AF6F9B" w:rsidRPr="001005B7">
        <w:rPr>
          <w:rFonts w:cstheme="minorHAnsi"/>
          <w:lang w:eastAsia="en-GB"/>
        </w:rPr>
        <w:t>add</w:t>
      </w:r>
      <w:r w:rsidR="007859B1" w:rsidRPr="001005B7">
        <w:rPr>
          <w:rFonts w:cstheme="minorHAnsi"/>
          <w:lang w:eastAsia="en-GB"/>
        </w:rPr>
        <w:t xml:space="preserve"> further </w:t>
      </w:r>
      <w:r w:rsidR="00AF6F9B" w:rsidRPr="001005B7">
        <w:rPr>
          <w:rFonts w:cstheme="minorHAnsi"/>
          <w:lang w:eastAsia="en-GB"/>
        </w:rPr>
        <w:t xml:space="preserve">to </w:t>
      </w:r>
      <w:r w:rsidR="004416BB" w:rsidRPr="001005B7">
        <w:rPr>
          <w:rFonts w:cstheme="minorHAnsi"/>
          <w:lang w:eastAsia="en-GB"/>
        </w:rPr>
        <w:t xml:space="preserve">Yahweh’s </w:t>
      </w:r>
      <w:r w:rsidR="00AF6F9B" w:rsidRPr="001005B7">
        <w:rPr>
          <w:rFonts w:cstheme="minorHAnsi"/>
          <w:lang w:eastAsia="en-GB"/>
        </w:rPr>
        <w:t xml:space="preserve">list of </w:t>
      </w:r>
      <w:r w:rsidR="00C63532" w:rsidRPr="001005B7">
        <w:rPr>
          <w:rFonts w:cstheme="minorHAnsi"/>
          <w:lang w:eastAsia="en-GB"/>
        </w:rPr>
        <w:t xml:space="preserve">negative </w:t>
      </w:r>
      <w:r w:rsidR="00AF6F9B" w:rsidRPr="001005B7">
        <w:rPr>
          <w:rFonts w:cstheme="minorHAnsi"/>
          <w:lang w:eastAsia="en-GB"/>
        </w:rPr>
        <w:t>terms</w:t>
      </w:r>
      <w:r w:rsidR="0015320A" w:rsidRPr="001005B7">
        <w:rPr>
          <w:rFonts w:cstheme="minorHAnsi"/>
          <w:lang w:eastAsia="en-GB"/>
        </w:rPr>
        <w:t xml:space="preserve">. </w:t>
      </w:r>
      <w:r w:rsidR="003815DE" w:rsidRPr="001005B7">
        <w:rPr>
          <w:rFonts w:cstheme="minorHAnsi"/>
          <w:lang w:eastAsia="en-GB"/>
        </w:rPr>
        <w:t>The</w:t>
      </w:r>
      <w:r w:rsidR="00E40C1C" w:rsidRPr="001005B7">
        <w:rPr>
          <w:rFonts w:cstheme="minorHAnsi"/>
          <w:lang w:eastAsia="en-GB"/>
        </w:rPr>
        <w:t>y indicate</w:t>
      </w:r>
      <w:r w:rsidR="003815DE" w:rsidRPr="001005B7">
        <w:rPr>
          <w:rFonts w:cstheme="minorHAnsi"/>
          <w:lang w:eastAsia="en-GB"/>
        </w:rPr>
        <w:t xml:space="preserve"> a problem </w:t>
      </w:r>
      <w:r w:rsidR="000808B6" w:rsidRPr="001005B7">
        <w:rPr>
          <w:rFonts w:cstheme="minorHAnsi"/>
          <w:lang w:eastAsia="en-GB"/>
        </w:rPr>
        <w:t>with the</w:t>
      </w:r>
      <w:r w:rsidR="0076532E" w:rsidRPr="001005B7">
        <w:rPr>
          <w:rFonts w:cstheme="minorHAnsi"/>
          <w:lang w:eastAsia="en-GB"/>
        </w:rPr>
        <w:t xml:space="preserve"> people</w:t>
      </w:r>
      <w:r w:rsidR="000808B6" w:rsidRPr="001005B7">
        <w:rPr>
          <w:rFonts w:cstheme="minorHAnsi"/>
          <w:lang w:eastAsia="en-GB"/>
        </w:rPr>
        <w:t xml:space="preserve"> outside and inside.</w:t>
      </w:r>
      <w:r w:rsidR="003A6368" w:rsidRPr="001005B7">
        <w:rPr>
          <w:rFonts w:cstheme="minorHAnsi"/>
          <w:lang w:eastAsia="en-GB"/>
        </w:rPr>
        <w:t xml:space="preserve"> </w:t>
      </w:r>
      <w:r w:rsidR="008D4619" w:rsidRPr="001005B7">
        <w:rPr>
          <w:rFonts w:cstheme="minorHAnsi"/>
          <w:lang w:eastAsia="en-GB"/>
        </w:rPr>
        <w:t>They</w:t>
      </w:r>
      <w:r w:rsidR="006A704E" w:rsidRPr="001005B7">
        <w:rPr>
          <w:rFonts w:cstheme="minorHAnsi"/>
          <w:lang w:eastAsia="en-GB"/>
        </w:rPr>
        <w:t xml:space="preserve"> show </w:t>
      </w:r>
      <w:r w:rsidR="00E40C1C" w:rsidRPr="001005B7">
        <w:rPr>
          <w:rFonts w:cstheme="minorHAnsi"/>
          <w:lang w:eastAsia="en-GB"/>
        </w:rPr>
        <w:t>no</w:t>
      </w:r>
      <w:r w:rsidR="006A704E" w:rsidRPr="001005B7">
        <w:rPr>
          <w:rFonts w:cstheme="minorHAnsi"/>
          <w:lang w:eastAsia="en-GB"/>
        </w:rPr>
        <w:t xml:space="preserve"> external emotion such as shame </w:t>
      </w:r>
      <w:r w:rsidR="0076532E" w:rsidRPr="001005B7">
        <w:rPr>
          <w:rFonts w:cstheme="minorHAnsi"/>
          <w:lang w:eastAsia="en-GB"/>
        </w:rPr>
        <w:t>when</w:t>
      </w:r>
      <w:r w:rsidR="006A704E" w:rsidRPr="001005B7">
        <w:rPr>
          <w:rFonts w:cstheme="minorHAnsi"/>
          <w:lang w:eastAsia="en-GB"/>
        </w:rPr>
        <w:t xml:space="preserve"> they are accused of anything</w:t>
      </w:r>
      <w:r w:rsidR="008C69C2" w:rsidRPr="001005B7">
        <w:rPr>
          <w:rFonts w:cstheme="minorHAnsi"/>
          <w:lang w:eastAsia="en-GB"/>
        </w:rPr>
        <w:t>. N</w:t>
      </w:r>
      <w:r w:rsidR="004473A9" w:rsidRPr="001005B7">
        <w:rPr>
          <w:rFonts w:cstheme="minorHAnsi"/>
          <w:lang w:eastAsia="en-GB"/>
        </w:rPr>
        <w:t xml:space="preserve">or do </w:t>
      </w:r>
      <w:r w:rsidR="006A704E" w:rsidRPr="001005B7">
        <w:rPr>
          <w:rFonts w:cstheme="minorHAnsi"/>
          <w:lang w:eastAsia="en-GB"/>
        </w:rPr>
        <w:t xml:space="preserve">they </w:t>
      </w:r>
      <w:r w:rsidR="005772AF" w:rsidRPr="001005B7">
        <w:rPr>
          <w:rFonts w:cstheme="minorHAnsi"/>
          <w:lang w:eastAsia="en-GB"/>
        </w:rPr>
        <w:t xml:space="preserve">possess any flexibility of </w:t>
      </w:r>
      <w:r w:rsidR="004473A9" w:rsidRPr="001005B7">
        <w:rPr>
          <w:rFonts w:cstheme="minorHAnsi"/>
          <w:lang w:eastAsia="en-GB"/>
        </w:rPr>
        <w:t>thinking so</w:t>
      </w:r>
      <w:r w:rsidR="00FB5107" w:rsidRPr="001005B7">
        <w:rPr>
          <w:rFonts w:cstheme="minorHAnsi"/>
          <w:lang w:eastAsia="en-GB"/>
        </w:rPr>
        <w:t xml:space="preserve"> </w:t>
      </w:r>
      <w:r w:rsidR="004473A9" w:rsidRPr="001005B7">
        <w:rPr>
          <w:rFonts w:cstheme="minorHAnsi"/>
          <w:lang w:eastAsia="en-GB"/>
        </w:rPr>
        <w:t>as to change their attitude.</w:t>
      </w:r>
      <w:r w:rsidR="00C363D1" w:rsidRPr="001005B7">
        <w:rPr>
          <w:rFonts w:cstheme="minorHAnsi"/>
          <w:lang w:eastAsia="en-GB"/>
        </w:rPr>
        <w:t xml:space="preserve"> </w:t>
      </w:r>
      <w:r w:rsidR="000E6030" w:rsidRPr="001005B7">
        <w:rPr>
          <w:rFonts w:cstheme="minorHAnsi"/>
          <w:lang w:eastAsia="en-GB"/>
        </w:rPr>
        <w:t>Yahweh</w:t>
      </w:r>
      <w:r w:rsidR="00211E88" w:rsidRPr="001005B7">
        <w:rPr>
          <w:rFonts w:cstheme="minorHAnsi"/>
          <w:lang w:eastAsia="en-GB"/>
        </w:rPr>
        <w:t xml:space="preserve"> pil</w:t>
      </w:r>
      <w:r w:rsidR="00EF381A" w:rsidRPr="001005B7">
        <w:rPr>
          <w:rFonts w:cstheme="minorHAnsi"/>
          <w:lang w:eastAsia="en-GB"/>
        </w:rPr>
        <w:t>es</w:t>
      </w:r>
      <w:r w:rsidR="008A0BE3" w:rsidRPr="001005B7">
        <w:rPr>
          <w:rFonts w:cstheme="minorHAnsi"/>
          <w:lang w:eastAsia="en-GB"/>
        </w:rPr>
        <w:t xml:space="preserve"> up</w:t>
      </w:r>
      <w:r w:rsidR="00211E88" w:rsidRPr="001005B7">
        <w:rPr>
          <w:rFonts w:cstheme="minorHAnsi"/>
          <w:lang w:eastAsia="en-GB"/>
        </w:rPr>
        <w:t xml:space="preserve"> expressio</w:t>
      </w:r>
      <w:r w:rsidR="00555383" w:rsidRPr="001005B7">
        <w:rPr>
          <w:rFonts w:cstheme="minorHAnsi"/>
          <w:lang w:eastAsia="en-GB"/>
        </w:rPr>
        <w:t>ns</w:t>
      </w:r>
      <w:r w:rsidR="00211E88" w:rsidRPr="001005B7">
        <w:rPr>
          <w:rFonts w:cstheme="minorHAnsi"/>
          <w:lang w:eastAsia="en-GB"/>
        </w:rPr>
        <w:t xml:space="preserve"> to </w:t>
      </w:r>
      <w:r w:rsidR="005214BB" w:rsidRPr="001005B7">
        <w:rPr>
          <w:rFonts w:cstheme="minorHAnsi"/>
          <w:lang w:eastAsia="en-GB"/>
        </w:rPr>
        <w:t xml:space="preserve">bring home the impossibility of </w:t>
      </w:r>
      <w:r w:rsidR="00555383" w:rsidRPr="001005B7">
        <w:rPr>
          <w:rFonts w:cstheme="minorHAnsi"/>
          <w:lang w:eastAsia="en-GB"/>
        </w:rPr>
        <w:t>Ezekiel’s</w:t>
      </w:r>
      <w:r w:rsidR="005214BB" w:rsidRPr="001005B7">
        <w:rPr>
          <w:rFonts w:cstheme="minorHAnsi"/>
          <w:lang w:eastAsia="en-GB"/>
        </w:rPr>
        <w:t xml:space="preserve"> vocation</w:t>
      </w:r>
      <w:r w:rsidR="00563A23" w:rsidRPr="001005B7">
        <w:rPr>
          <w:rFonts w:cstheme="minorHAnsi"/>
          <w:lang w:eastAsia="en-GB"/>
        </w:rPr>
        <w:t>.</w:t>
      </w:r>
      <w:r w:rsidR="006E23C9" w:rsidRPr="001005B7">
        <w:rPr>
          <w:rFonts w:cstheme="minorHAnsi"/>
          <w:lang w:eastAsia="en-GB"/>
        </w:rPr>
        <w:t xml:space="preserve"> </w:t>
      </w:r>
      <w:r w:rsidR="008D3402" w:rsidRPr="001005B7">
        <w:rPr>
          <w:rFonts w:cstheme="minorHAnsi"/>
          <w:lang w:eastAsia="en-GB"/>
        </w:rPr>
        <w:t xml:space="preserve">The </w:t>
      </w:r>
      <w:r w:rsidR="00EA5886" w:rsidRPr="001005B7">
        <w:rPr>
          <w:rFonts w:cstheme="minorHAnsi"/>
          <w:lang w:eastAsia="en-GB"/>
        </w:rPr>
        <w:t>phrase</w:t>
      </w:r>
      <w:r w:rsidR="000F7EEC" w:rsidRPr="001005B7">
        <w:rPr>
          <w:rFonts w:cstheme="minorHAnsi"/>
          <w:lang w:eastAsia="en-GB"/>
        </w:rPr>
        <w:t xml:space="preserve"> </w:t>
      </w:r>
      <w:r w:rsidR="00A73DA7" w:rsidRPr="001005B7">
        <w:rPr>
          <w:rFonts w:cstheme="minorHAnsi"/>
          <w:rtl/>
          <w:lang w:eastAsia="en-GB" w:bidi="he-IL"/>
        </w:rPr>
        <w:t>כֹּה</w:t>
      </w:r>
      <w:r w:rsidR="00E2275E" w:rsidRPr="001005B7">
        <w:rPr>
          <w:rFonts w:cstheme="minorHAnsi"/>
          <w:rtl/>
          <w:lang w:eastAsia="en-GB" w:bidi="he-IL"/>
        </w:rPr>
        <w:t xml:space="preserve"> </w:t>
      </w:r>
      <w:r w:rsidR="00A73DA7" w:rsidRPr="001005B7">
        <w:rPr>
          <w:rFonts w:cstheme="minorHAnsi"/>
          <w:rtl/>
          <w:lang w:eastAsia="en-GB" w:bidi="he-IL"/>
        </w:rPr>
        <w:t>אׇ</w:t>
      </w:r>
      <w:r w:rsidR="0041441A" w:rsidRPr="001005B7">
        <w:rPr>
          <w:rFonts w:cstheme="minorHAnsi"/>
          <w:rtl/>
          <w:lang w:eastAsia="en-GB" w:bidi="he-IL"/>
        </w:rPr>
        <w:t>מַר</w:t>
      </w:r>
      <w:r w:rsidR="00E2275E" w:rsidRPr="001005B7">
        <w:rPr>
          <w:rFonts w:cstheme="minorHAnsi"/>
          <w:rtl/>
          <w:lang w:eastAsia="en-GB" w:bidi="he-IL"/>
        </w:rPr>
        <w:t xml:space="preserve"> </w:t>
      </w:r>
      <w:r w:rsidR="005D7187" w:rsidRPr="001005B7">
        <w:rPr>
          <w:rFonts w:cstheme="minorHAnsi"/>
          <w:rtl/>
          <w:lang w:eastAsia="en-GB" w:bidi="he-IL"/>
        </w:rPr>
        <w:t>אֲ</w:t>
      </w:r>
      <w:r w:rsidR="00C81202" w:rsidRPr="001005B7">
        <w:rPr>
          <w:rFonts w:cstheme="minorHAnsi"/>
          <w:rtl/>
          <w:lang w:eastAsia="en-GB" w:bidi="he-IL"/>
        </w:rPr>
        <w:t>דֹנׇי</w:t>
      </w:r>
      <w:r w:rsidR="00E2275E" w:rsidRPr="001005B7">
        <w:rPr>
          <w:rFonts w:cstheme="minorHAnsi"/>
          <w:rtl/>
          <w:lang w:eastAsia="en-GB" w:bidi="he-IL"/>
        </w:rPr>
        <w:t xml:space="preserve"> </w:t>
      </w:r>
      <w:r w:rsidR="00B62908" w:rsidRPr="001005B7">
        <w:rPr>
          <w:rFonts w:cstheme="minorHAnsi"/>
          <w:rtl/>
          <w:lang w:eastAsia="en-GB" w:bidi="he-IL"/>
        </w:rPr>
        <w:t>יְ</w:t>
      </w:r>
      <w:r w:rsidR="00C9024F" w:rsidRPr="001005B7">
        <w:rPr>
          <w:rFonts w:cstheme="minorHAnsi"/>
          <w:rtl/>
          <w:lang w:eastAsia="en-GB" w:bidi="he-IL"/>
        </w:rPr>
        <w:t>הוׇֹה</w:t>
      </w:r>
      <w:r w:rsidR="008D3402" w:rsidRPr="001005B7">
        <w:rPr>
          <w:rFonts w:cstheme="minorHAnsi"/>
          <w:lang w:eastAsia="en-GB"/>
        </w:rPr>
        <w:t xml:space="preserve"> </w:t>
      </w:r>
      <w:r w:rsidR="006551DB" w:rsidRPr="001005B7">
        <w:rPr>
          <w:rFonts w:cstheme="minorHAnsi"/>
          <w:lang w:eastAsia="en-GB"/>
        </w:rPr>
        <w:t>“t</w:t>
      </w:r>
      <w:r w:rsidR="008D3402" w:rsidRPr="001005B7">
        <w:rPr>
          <w:rFonts w:cstheme="minorHAnsi"/>
          <w:lang w:eastAsia="en-GB"/>
        </w:rPr>
        <w:t>he</w:t>
      </w:r>
      <w:r w:rsidR="008D3402" w:rsidRPr="001005B7">
        <w:rPr>
          <w:rFonts w:cstheme="minorHAnsi"/>
          <w:i/>
          <w:iCs/>
          <w:lang w:eastAsia="en-GB"/>
        </w:rPr>
        <w:t xml:space="preserve"> </w:t>
      </w:r>
      <w:r w:rsidR="008D3402" w:rsidRPr="001005B7">
        <w:rPr>
          <w:rFonts w:cstheme="minorHAnsi"/>
          <w:lang w:eastAsia="en-GB"/>
        </w:rPr>
        <w:t>Lord</w:t>
      </w:r>
      <w:r w:rsidR="008D3402" w:rsidRPr="001005B7">
        <w:rPr>
          <w:rFonts w:cstheme="minorHAnsi"/>
          <w:i/>
          <w:iCs/>
          <w:lang w:eastAsia="en-GB"/>
        </w:rPr>
        <w:t xml:space="preserve"> </w:t>
      </w:r>
      <w:r w:rsidR="008D3402" w:rsidRPr="001005B7">
        <w:rPr>
          <w:rFonts w:cstheme="minorHAnsi"/>
          <w:lang w:eastAsia="en-GB"/>
        </w:rPr>
        <w:t>Yahweh</w:t>
      </w:r>
      <w:r w:rsidR="008D3402" w:rsidRPr="001005B7">
        <w:rPr>
          <w:rFonts w:cstheme="minorHAnsi"/>
          <w:i/>
          <w:iCs/>
          <w:lang w:eastAsia="en-GB"/>
        </w:rPr>
        <w:t xml:space="preserve"> </w:t>
      </w:r>
      <w:r w:rsidR="008D3402" w:rsidRPr="001005B7">
        <w:rPr>
          <w:rFonts w:cstheme="minorHAnsi"/>
          <w:lang w:eastAsia="en-GB"/>
        </w:rPr>
        <w:t>has</w:t>
      </w:r>
      <w:r w:rsidR="008D3402" w:rsidRPr="001005B7">
        <w:rPr>
          <w:rFonts w:cstheme="minorHAnsi"/>
          <w:i/>
          <w:iCs/>
          <w:lang w:eastAsia="en-GB"/>
        </w:rPr>
        <w:t xml:space="preserve"> </w:t>
      </w:r>
      <w:r w:rsidR="008D3402" w:rsidRPr="001005B7">
        <w:rPr>
          <w:rFonts w:cstheme="minorHAnsi"/>
          <w:lang w:eastAsia="en-GB"/>
        </w:rPr>
        <w:t>said</w:t>
      </w:r>
      <w:r w:rsidR="008D3402" w:rsidRPr="001005B7">
        <w:rPr>
          <w:rFonts w:cstheme="minorHAnsi"/>
          <w:i/>
          <w:iCs/>
          <w:lang w:eastAsia="en-GB"/>
        </w:rPr>
        <w:t xml:space="preserve"> </w:t>
      </w:r>
      <w:r w:rsidR="008D3402" w:rsidRPr="001005B7">
        <w:rPr>
          <w:rFonts w:cstheme="minorHAnsi"/>
          <w:lang w:eastAsia="en-GB"/>
        </w:rPr>
        <w:t>this</w:t>
      </w:r>
      <w:r w:rsidR="00B87A09" w:rsidRPr="001005B7">
        <w:rPr>
          <w:rFonts w:cstheme="minorHAnsi"/>
          <w:lang w:eastAsia="en-GB"/>
        </w:rPr>
        <w:t>”</w:t>
      </w:r>
      <w:r w:rsidR="008D3402" w:rsidRPr="001005B7">
        <w:rPr>
          <w:rFonts w:cstheme="minorHAnsi"/>
          <w:lang w:eastAsia="en-GB"/>
        </w:rPr>
        <w:t xml:space="preserve"> </w:t>
      </w:r>
      <w:r w:rsidR="00A72A46" w:rsidRPr="001005B7">
        <w:rPr>
          <w:rFonts w:cstheme="minorHAnsi"/>
          <w:lang w:eastAsia="en-GB"/>
        </w:rPr>
        <w:t>adapt</w:t>
      </w:r>
      <w:r w:rsidR="00D747E4" w:rsidRPr="001005B7">
        <w:rPr>
          <w:rFonts w:cstheme="minorHAnsi"/>
          <w:lang w:eastAsia="en-GB"/>
        </w:rPr>
        <w:t>s</w:t>
      </w:r>
      <w:r w:rsidR="00A72A46" w:rsidRPr="001005B7">
        <w:rPr>
          <w:rFonts w:cstheme="minorHAnsi"/>
          <w:lang w:eastAsia="en-GB"/>
        </w:rPr>
        <w:t xml:space="preserve"> </w:t>
      </w:r>
      <w:r w:rsidR="007D49CD" w:rsidRPr="001005B7">
        <w:rPr>
          <w:rFonts w:cstheme="minorHAnsi"/>
          <w:lang w:eastAsia="en-GB"/>
        </w:rPr>
        <w:t>a familiar</w:t>
      </w:r>
      <w:r w:rsidR="00A72A46" w:rsidRPr="001005B7">
        <w:rPr>
          <w:rFonts w:cstheme="minorHAnsi"/>
          <w:lang w:eastAsia="en-GB"/>
        </w:rPr>
        <w:t xml:space="preserve"> form of words to introduce </w:t>
      </w:r>
      <w:r w:rsidR="007E17A8" w:rsidRPr="001005B7">
        <w:rPr>
          <w:rFonts w:cstheme="minorHAnsi"/>
          <w:lang w:eastAsia="en-GB"/>
        </w:rPr>
        <w:t>a</w:t>
      </w:r>
      <w:r w:rsidR="00AC781A" w:rsidRPr="001005B7">
        <w:rPr>
          <w:rFonts w:cstheme="minorHAnsi"/>
          <w:lang w:eastAsia="en-GB"/>
        </w:rPr>
        <w:t xml:space="preserve"> message from someone such as a king</w:t>
      </w:r>
      <w:r w:rsidR="00D171EE" w:rsidRPr="001005B7">
        <w:rPr>
          <w:rFonts w:cstheme="minorHAnsi"/>
          <w:lang w:eastAsia="en-GB"/>
        </w:rPr>
        <w:t>. In</w:t>
      </w:r>
      <w:r w:rsidR="00B47B85" w:rsidRPr="001005B7">
        <w:rPr>
          <w:rFonts w:cstheme="minorHAnsi"/>
          <w:lang w:eastAsia="en-GB"/>
        </w:rPr>
        <w:t xml:space="preserve"> Ezekiel’s regular adaptation</w:t>
      </w:r>
      <w:r w:rsidR="00C76DE1" w:rsidRPr="001005B7">
        <w:rPr>
          <w:rFonts w:cstheme="minorHAnsi"/>
          <w:lang w:eastAsia="en-GB"/>
        </w:rPr>
        <w:t>,</w:t>
      </w:r>
      <w:r w:rsidR="00B47B85" w:rsidRPr="001005B7">
        <w:rPr>
          <w:rFonts w:cstheme="minorHAnsi"/>
          <w:lang w:eastAsia="en-GB"/>
        </w:rPr>
        <w:t xml:space="preserve"> </w:t>
      </w:r>
      <w:r w:rsidR="0076482D" w:rsidRPr="001005B7">
        <w:rPr>
          <w:rFonts w:cstheme="minorHAnsi"/>
          <w:lang w:eastAsia="en-GB"/>
        </w:rPr>
        <w:t xml:space="preserve">the title for God </w:t>
      </w:r>
      <w:r w:rsidR="00D24E6E" w:rsidRPr="001005B7">
        <w:rPr>
          <w:rFonts w:cstheme="minorHAnsi"/>
          <w:lang w:eastAsia="en-GB"/>
        </w:rPr>
        <w:t xml:space="preserve">becomes </w:t>
      </w:r>
      <w:r w:rsidR="00DA1EE0" w:rsidRPr="001005B7">
        <w:rPr>
          <w:rFonts w:cstheme="minorHAnsi"/>
          <w:lang w:eastAsia="en-GB"/>
        </w:rPr>
        <w:t>“</w:t>
      </w:r>
      <w:r w:rsidR="00D24E6E" w:rsidRPr="001005B7">
        <w:rPr>
          <w:rFonts w:cstheme="minorHAnsi"/>
          <w:lang w:eastAsia="en-GB"/>
        </w:rPr>
        <w:t>the</w:t>
      </w:r>
      <w:r w:rsidR="00D24E6E" w:rsidRPr="001005B7">
        <w:rPr>
          <w:rFonts w:cstheme="minorHAnsi"/>
          <w:i/>
          <w:iCs/>
          <w:lang w:eastAsia="en-GB"/>
        </w:rPr>
        <w:t xml:space="preserve"> </w:t>
      </w:r>
      <w:r w:rsidR="00D24E6E" w:rsidRPr="001005B7">
        <w:rPr>
          <w:rFonts w:cstheme="minorHAnsi"/>
          <w:lang w:eastAsia="en-GB"/>
        </w:rPr>
        <w:t>Lord</w:t>
      </w:r>
      <w:r w:rsidR="00D24E6E" w:rsidRPr="001005B7">
        <w:rPr>
          <w:rFonts w:cstheme="minorHAnsi"/>
          <w:i/>
          <w:iCs/>
          <w:lang w:eastAsia="en-GB"/>
        </w:rPr>
        <w:t xml:space="preserve"> </w:t>
      </w:r>
      <w:r w:rsidR="00D24E6E" w:rsidRPr="001005B7">
        <w:rPr>
          <w:rFonts w:cstheme="minorHAnsi"/>
          <w:lang w:eastAsia="en-GB"/>
        </w:rPr>
        <w:t>Yahweh,</w:t>
      </w:r>
      <w:r w:rsidR="00DA1EE0" w:rsidRPr="001005B7">
        <w:rPr>
          <w:rFonts w:cstheme="minorHAnsi"/>
          <w:lang w:eastAsia="en-GB"/>
        </w:rPr>
        <w:t>”</w:t>
      </w:r>
      <w:r w:rsidR="00D24E6E" w:rsidRPr="001005B7">
        <w:rPr>
          <w:rFonts w:cstheme="minorHAnsi"/>
          <w:lang w:eastAsia="en-GB"/>
        </w:rPr>
        <w:t xml:space="preserve"> which emphasizes </w:t>
      </w:r>
      <w:r w:rsidR="00DA1EE0" w:rsidRPr="001005B7">
        <w:rPr>
          <w:rFonts w:cstheme="minorHAnsi"/>
          <w:lang w:eastAsia="en-GB"/>
        </w:rPr>
        <w:t>Yahweh’s</w:t>
      </w:r>
      <w:r w:rsidR="00D24E6E" w:rsidRPr="001005B7">
        <w:rPr>
          <w:rFonts w:cstheme="minorHAnsi"/>
          <w:lang w:eastAsia="en-GB"/>
        </w:rPr>
        <w:t xml:space="preserve"> </w:t>
      </w:r>
      <w:r w:rsidR="006676BB" w:rsidRPr="001005B7">
        <w:rPr>
          <w:rFonts w:cstheme="minorHAnsi"/>
          <w:lang w:eastAsia="en-GB"/>
        </w:rPr>
        <w:t>authority and sets him over</w:t>
      </w:r>
      <w:r w:rsidR="00D24E6E" w:rsidRPr="001005B7">
        <w:rPr>
          <w:rFonts w:cstheme="minorHAnsi"/>
          <w:lang w:eastAsia="en-GB"/>
        </w:rPr>
        <w:t xml:space="preserve"> </w:t>
      </w:r>
      <w:r w:rsidR="00607304" w:rsidRPr="001005B7">
        <w:rPr>
          <w:rFonts w:cstheme="minorHAnsi"/>
          <w:lang w:eastAsia="en-GB"/>
        </w:rPr>
        <w:t>against</w:t>
      </w:r>
      <w:r w:rsidR="00374D95" w:rsidRPr="001005B7">
        <w:rPr>
          <w:lang w:eastAsia="en-GB"/>
        </w:rPr>
        <w:t xml:space="preserve"> </w:t>
      </w:r>
      <w:r w:rsidR="00374D95" w:rsidRPr="001005B7">
        <w:rPr>
          <w:rFonts w:cstheme="minorHAnsi"/>
          <w:rtl/>
          <w:lang w:eastAsia="en-GB" w:bidi="he-IL"/>
        </w:rPr>
        <w:t>בֶּן אָדָם</w:t>
      </w:r>
      <w:r w:rsidR="00374D95" w:rsidRPr="001005B7">
        <w:rPr>
          <w:lang w:eastAsia="en-GB"/>
        </w:rPr>
        <w:t xml:space="preserve">, </w:t>
      </w:r>
      <w:r w:rsidR="00607304" w:rsidRPr="001005B7">
        <w:rPr>
          <w:rFonts w:cstheme="minorHAnsi"/>
          <w:lang w:eastAsia="en-GB"/>
        </w:rPr>
        <w:t xml:space="preserve">the </w:t>
      </w:r>
      <w:r w:rsidR="00ED1DD6" w:rsidRPr="001005B7">
        <w:rPr>
          <w:rFonts w:cstheme="minorHAnsi"/>
          <w:lang w:eastAsia="en-GB"/>
        </w:rPr>
        <w:t xml:space="preserve">lowly </w:t>
      </w:r>
      <w:r w:rsidR="00287506" w:rsidRPr="001005B7">
        <w:rPr>
          <w:rFonts w:cstheme="minorHAnsi"/>
          <w:lang w:eastAsia="en-GB"/>
        </w:rPr>
        <w:t xml:space="preserve">“son of </w:t>
      </w:r>
      <w:r w:rsidR="00ED1DD6" w:rsidRPr="001005B7">
        <w:rPr>
          <w:rFonts w:cstheme="minorHAnsi"/>
          <w:lang w:eastAsia="en-GB"/>
        </w:rPr>
        <w:t>a hu</w:t>
      </w:r>
      <w:r w:rsidR="00287506" w:rsidRPr="001005B7">
        <w:rPr>
          <w:rFonts w:cstheme="minorHAnsi"/>
          <w:lang w:eastAsia="en-GB"/>
        </w:rPr>
        <w:t>man</w:t>
      </w:r>
      <w:r w:rsidR="00ED1DD6" w:rsidRPr="001005B7">
        <w:rPr>
          <w:rFonts w:cstheme="minorHAnsi"/>
          <w:lang w:eastAsia="en-GB"/>
        </w:rPr>
        <w:t xml:space="preserve"> being</w:t>
      </w:r>
      <w:r w:rsidR="00287506" w:rsidRPr="001005B7">
        <w:rPr>
          <w:rFonts w:cstheme="minorHAnsi"/>
          <w:lang w:eastAsia="en-GB"/>
        </w:rPr>
        <w:t>.</w:t>
      </w:r>
      <w:r w:rsidR="00ED1DD6" w:rsidRPr="001005B7">
        <w:rPr>
          <w:rFonts w:cstheme="minorHAnsi"/>
          <w:lang w:eastAsia="en-GB"/>
        </w:rPr>
        <w:t>”</w:t>
      </w:r>
      <w:r w:rsidR="003D3B02" w:rsidRPr="001005B7">
        <w:rPr>
          <w:rFonts w:cstheme="minorHAnsi"/>
          <w:lang w:eastAsia="en-GB"/>
        </w:rPr>
        <w:t xml:space="preserve"> </w:t>
      </w:r>
      <w:r w:rsidR="00511B36" w:rsidRPr="001005B7">
        <w:rPr>
          <w:rFonts w:cstheme="minorHAnsi"/>
          <w:lang w:eastAsia="en-GB"/>
        </w:rPr>
        <w:t>T</w:t>
      </w:r>
      <w:r w:rsidR="003F1FEB" w:rsidRPr="001005B7">
        <w:rPr>
          <w:rFonts w:cstheme="minorHAnsi"/>
          <w:lang w:eastAsia="en-GB"/>
        </w:rPr>
        <w:t>his first occurrence of Ezekiel’s distinctive and characteristic title for God</w:t>
      </w:r>
      <w:r w:rsidR="003728ED" w:rsidRPr="001005B7">
        <w:rPr>
          <w:rFonts w:cstheme="minorHAnsi"/>
          <w:lang w:eastAsia="en-GB"/>
        </w:rPr>
        <w:t xml:space="preserve"> (which </w:t>
      </w:r>
      <w:r w:rsidR="00BF72AC" w:rsidRPr="001005B7">
        <w:rPr>
          <w:rFonts w:cstheme="minorHAnsi"/>
          <w:lang w:eastAsia="en-GB"/>
        </w:rPr>
        <w:t xml:space="preserve">here </w:t>
      </w:r>
      <w:r w:rsidR="003728ED" w:rsidRPr="001005B7">
        <w:rPr>
          <w:rFonts w:cstheme="minorHAnsi"/>
          <w:lang w:eastAsia="en-GB"/>
        </w:rPr>
        <w:t>does not actually introduce words from the “messenger”</w:t>
      </w:r>
      <w:r w:rsidR="00335966" w:rsidRPr="001005B7">
        <w:rPr>
          <w:rFonts w:cstheme="minorHAnsi"/>
          <w:lang w:eastAsia="en-GB"/>
        </w:rPr>
        <w:t>) appears in the context of Yahweh’s multiform stress o</w:t>
      </w:r>
      <w:r w:rsidR="000945F2" w:rsidRPr="001005B7">
        <w:rPr>
          <w:rFonts w:cstheme="minorHAnsi"/>
          <w:lang w:eastAsia="en-GB"/>
        </w:rPr>
        <w:t xml:space="preserve">n Israel’s </w:t>
      </w:r>
      <w:r w:rsidR="00E55A9B" w:rsidRPr="001005B7">
        <w:rPr>
          <w:rFonts w:cstheme="minorHAnsi"/>
          <w:lang w:eastAsia="en-GB"/>
        </w:rPr>
        <w:t>insubordination</w:t>
      </w:r>
      <w:r w:rsidR="000945F2" w:rsidRPr="001005B7">
        <w:rPr>
          <w:rFonts w:cstheme="minorHAnsi"/>
          <w:lang w:eastAsia="en-GB"/>
        </w:rPr>
        <w:t>.</w:t>
      </w:r>
      <w:r w:rsidR="007D77C9" w:rsidRPr="001005B7">
        <w:rPr>
          <w:rFonts w:cstheme="minorHAnsi"/>
          <w:lang w:eastAsia="en-GB"/>
        </w:rPr>
        <w:t xml:space="preserve"> </w:t>
      </w:r>
      <w:r w:rsidR="000E5CAD" w:rsidRPr="001005B7">
        <w:rPr>
          <w:lang w:eastAsia="en-GB"/>
        </w:rPr>
        <w:t xml:space="preserve">They have revolted against </w:t>
      </w:r>
      <w:r w:rsidR="003735CF" w:rsidRPr="001005B7">
        <w:rPr>
          <w:lang w:eastAsia="en-GB"/>
        </w:rPr>
        <w:t>him (</w:t>
      </w:r>
      <w:r w:rsidR="003735CF" w:rsidRPr="001005B7">
        <w:rPr>
          <w:rFonts w:cstheme="minorHAnsi"/>
          <w:rtl/>
          <w:lang w:eastAsia="en-GB" w:bidi="he-IL"/>
        </w:rPr>
        <w:t>מָרָה</w:t>
      </w:r>
      <w:r w:rsidR="003735CF" w:rsidRPr="001005B7">
        <w:rPr>
          <w:rFonts w:cstheme="minorHAnsi"/>
          <w:lang w:eastAsia="en-GB"/>
        </w:rPr>
        <w:t>)</w:t>
      </w:r>
      <w:r w:rsidR="00082D3C" w:rsidRPr="001005B7">
        <w:rPr>
          <w:rFonts w:cstheme="minorHAnsi"/>
          <w:lang w:eastAsia="en-GB"/>
        </w:rPr>
        <w:t>,</w:t>
      </w:r>
      <w:r w:rsidR="005D7D81" w:rsidRPr="001005B7">
        <w:rPr>
          <w:rFonts w:cstheme="minorHAnsi"/>
          <w:lang w:eastAsia="en-GB"/>
        </w:rPr>
        <w:t xml:space="preserve"> a word that almost invariably denotes revolting against God’s authority.</w:t>
      </w:r>
    </w:p>
    <w:p w14:paraId="6E5FA3DF" w14:textId="0EDCA52B" w:rsidR="002C1DD4" w:rsidRPr="001005B7" w:rsidRDefault="00E27611" w:rsidP="00773D84">
      <w:pPr>
        <w:rPr>
          <w:rFonts w:cstheme="minorHAnsi"/>
          <w:lang w:eastAsia="en-GB"/>
        </w:rPr>
      </w:pPr>
      <w:r w:rsidRPr="001005B7">
        <w:rPr>
          <w:b/>
          <w:bCs/>
          <w:lang w:eastAsia="en-GB"/>
        </w:rPr>
        <w:t>2:</w:t>
      </w:r>
      <w:r w:rsidR="000E3C89" w:rsidRPr="001005B7">
        <w:rPr>
          <w:b/>
          <w:bCs/>
          <w:lang w:eastAsia="en-GB"/>
        </w:rPr>
        <w:t xml:space="preserve">5 </w:t>
      </w:r>
      <w:r w:rsidR="008A1365" w:rsidRPr="001005B7">
        <w:rPr>
          <w:rFonts w:cstheme="minorHAnsi"/>
          <w:lang w:eastAsia="en-GB"/>
        </w:rPr>
        <w:t xml:space="preserve">The antithesis between </w:t>
      </w:r>
      <w:r w:rsidR="007C1510" w:rsidRPr="001005B7">
        <w:rPr>
          <w:rFonts w:cstheme="minorHAnsi"/>
          <w:rtl/>
          <w:lang w:eastAsia="en-GB" w:bidi="he-IL"/>
        </w:rPr>
        <w:t>שׇׁמַע</w:t>
      </w:r>
      <w:r w:rsidR="007C1510" w:rsidRPr="001005B7">
        <w:rPr>
          <w:rFonts w:cstheme="minorHAnsi"/>
          <w:lang w:eastAsia="en-GB"/>
        </w:rPr>
        <w:t>, “</w:t>
      </w:r>
      <w:r w:rsidR="008A1365" w:rsidRPr="001005B7">
        <w:rPr>
          <w:rFonts w:cstheme="minorHAnsi"/>
          <w:lang w:eastAsia="en-GB"/>
        </w:rPr>
        <w:t>hear</w:t>
      </w:r>
      <w:r w:rsidR="007C1510" w:rsidRPr="001005B7">
        <w:rPr>
          <w:rFonts w:cstheme="minorHAnsi"/>
          <w:lang w:eastAsia="en-GB"/>
        </w:rPr>
        <w:t>”</w:t>
      </w:r>
      <w:r w:rsidR="008A1365" w:rsidRPr="001005B7">
        <w:rPr>
          <w:rFonts w:cstheme="minorHAnsi"/>
          <w:i/>
          <w:iCs/>
          <w:lang w:eastAsia="en-GB"/>
        </w:rPr>
        <w:t xml:space="preserve"> </w:t>
      </w:r>
      <w:r w:rsidR="008A1365" w:rsidRPr="001005B7">
        <w:rPr>
          <w:rFonts w:cstheme="minorHAnsi"/>
          <w:lang w:eastAsia="en-GB"/>
        </w:rPr>
        <w:t xml:space="preserve">or </w:t>
      </w:r>
      <w:r w:rsidR="007C1510" w:rsidRPr="001005B7">
        <w:rPr>
          <w:rFonts w:cstheme="minorHAnsi"/>
          <w:lang w:eastAsia="en-GB"/>
        </w:rPr>
        <w:t>“</w:t>
      </w:r>
      <w:r w:rsidR="008A1365" w:rsidRPr="001005B7">
        <w:rPr>
          <w:rFonts w:cstheme="minorHAnsi"/>
          <w:lang w:eastAsia="en-GB"/>
        </w:rPr>
        <w:t>listen</w:t>
      </w:r>
      <w:r w:rsidR="007C1510" w:rsidRPr="001005B7">
        <w:rPr>
          <w:rFonts w:cstheme="minorHAnsi"/>
          <w:lang w:eastAsia="en-GB"/>
        </w:rPr>
        <w:t>,”</w:t>
      </w:r>
      <w:r w:rsidR="00B84363" w:rsidRPr="001005B7">
        <w:rPr>
          <w:rFonts w:cstheme="minorHAnsi"/>
          <w:lang w:eastAsia="en-GB"/>
        </w:rPr>
        <w:t xml:space="preserve"> and</w:t>
      </w:r>
      <w:r w:rsidR="008A1365" w:rsidRPr="001005B7">
        <w:rPr>
          <w:rFonts w:cstheme="minorHAnsi"/>
          <w:lang w:eastAsia="en-GB"/>
        </w:rPr>
        <w:t xml:space="preserve"> </w:t>
      </w:r>
      <w:r w:rsidR="008A1365" w:rsidRPr="001005B7">
        <w:rPr>
          <w:rFonts w:cstheme="minorHAnsi"/>
          <w:rtl/>
          <w:lang w:eastAsia="en-GB" w:bidi="he-IL"/>
        </w:rPr>
        <w:t>חָדַל</w:t>
      </w:r>
      <w:r w:rsidR="00A972C3" w:rsidRPr="001005B7">
        <w:rPr>
          <w:rFonts w:cstheme="minorHAnsi"/>
          <w:lang w:eastAsia="en-GB"/>
        </w:rPr>
        <w:t>, “refuse” or “hold back,”</w:t>
      </w:r>
      <w:r w:rsidR="008A1365" w:rsidRPr="001005B7">
        <w:rPr>
          <w:rFonts w:cstheme="minorHAnsi"/>
          <w:lang w:eastAsia="en-GB"/>
        </w:rPr>
        <w:t xml:space="preserve"> adds </w:t>
      </w:r>
      <w:r w:rsidR="00D6409D" w:rsidRPr="001005B7">
        <w:rPr>
          <w:rFonts w:cstheme="minorHAnsi"/>
          <w:lang w:eastAsia="en-GB"/>
        </w:rPr>
        <w:t xml:space="preserve">further </w:t>
      </w:r>
      <w:r w:rsidR="008A1365" w:rsidRPr="001005B7">
        <w:rPr>
          <w:rFonts w:cstheme="minorHAnsi"/>
          <w:lang w:eastAsia="en-GB"/>
        </w:rPr>
        <w:t xml:space="preserve">to Yahweh’s list of negatives. </w:t>
      </w:r>
      <w:r w:rsidR="00F122AC" w:rsidRPr="001005B7">
        <w:rPr>
          <w:rFonts w:cstheme="minorHAnsi"/>
          <w:lang w:eastAsia="en-GB"/>
        </w:rPr>
        <w:t>The</w:t>
      </w:r>
      <w:r w:rsidR="00A263B6" w:rsidRPr="001005B7">
        <w:rPr>
          <w:rFonts w:cstheme="minorHAnsi"/>
          <w:lang w:eastAsia="en-GB"/>
        </w:rPr>
        <w:t xml:space="preserve"> people</w:t>
      </w:r>
      <w:r w:rsidR="00F122AC" w:rsidRPr="001005B7">
        <w:rPr>
          <w:rFonts w:cstheme="minorHAnsi"/>
          <w:lang w:eastAsia="en-GB"/>
        </w:rPr>
        <w:t xml:space="preserve"> are, indeed, he now adds, </w:t>
      </w:r>
      <w:r w:rsidR="00A263B6" w:rsidRPr="001005B7">
        <w:rPr>
          <w:rFonts w:cstheme="minorHAnsi"/>
          <w:lang w:eastAsia="en-GB"/>
        </w:rPr>
        <w:t>“a</w:t>
      </w:r>
      <w:r w:rsidR="00F122AC" w:rsidRPr="001005B7">
        <w:rPr>
          <w:rFonts w:cstheme="minorHAnsi"/>
          <w:i/>
          <w:iCs/>
          <w:lang w:eastAsia="en-GB"/>
        </w:rPr>
        <w:t xml:space="preserve"> </w:t>
      </w:r>
      <w:r w:rsidR="00F122AC" w:rsidRPr="001005B7">
        <w:rPr>
          <w:rFonts w:cstheme="minorHAnsi"/>
          <w:lang w:eastAsia="en-GB"/>
        </w:rPr>
        <w:t xml:space="preserve">household of </w:t>
      </w:r>
      <w:r w:rsidR="00593479" w:rsidRPr="001005B7">
        <w:rPr>
          <w:rFonts w:cstheme="minorHAnsi"/>
          <w:lang w:eastAsia="en-GB"/>
        </w:rPr>
        <w:t>rebellion</w:t>
      </w:r>
      <w:r w:rsidR="00227DD3" w:rsidRPr="001005B7">
        <w:rPr>
          <w:rFonts w:cstheme="minorHAnsi"/>
          <w:lang w:eastAsia="en-GB"/>
        </w:rPr>
        <w:t>”</w:t>
      </w:r>
      <w:r w:rsidR="00593479" w:rsidRPr="001005B7">
        <w:rPr>
          <w:rFonts w:cstheme="minorHAnsi"/>
          <w:i/>
          <w:iCs/>
          <w:lang w:eastAsia="en-GB"/>
        </w:rPr>
        <w:t xml:space="preserve"> </w:t>
      </w:r>
      <w:r w:rsidR="00593479" w:rsidRPr="001005B7">
        <w:rPr>
          <w:rFonts w:cstheme="minorHAnsi"/>
          <w:lang w:eastAsia="en-GB"/>
        </w:rPr>
        <w:t>(</w:t>
      </w:r>
      <w:r w:rsidR="00593479" w:rsidRPr="001005B7">
        <w:rPr>
          <w:rFonts w:cstheme="minorHAnsi"/>
          <w:rtl/>
          <w:lang w:eastAsia="en-GB" w:bidi="he-IL"/>
        </w:rPr>
        <w:t>מ</w:t>
      </w:r>
      <w:r w:rsidR="000C6C3F" w:rsidRPr="001005B7">
        <w:rPr>
          <w:rFonts w:cstheme="minorHAnsi"/>
          <w:rtl/>
          <w:lang w:eastAsia="en-GB" w:bidi="he-IL"/>
        </w:rPr>
        <w:t>ְרׅי</w:t>
      </w:r>
      <w:r w:rsidR="004C3732" w:rsidRPr="001005B7">
        <w:rPr>
          <w:rFonts w:cstheme="minorHAnsi"/>
          <w:lang w:eastAsia="en-GB"/>
        </w:rPr>
        <w:t>)</w:t>
      </w:r>
      <w:r w:rsidR="00C9055F" w:rsidRPr="001005B7">
        <w:rPr>
          <w:rFonts w:cstheme="minorHAnsi"/>
          <w:lang w:eastAsia="en-GB"/>
        </w:rPr>
        <w:t>, an expression</w:t>
      </w:r>
      <w:r w:rsidR="00753217" w:rsidRPr="001005B7">
        <w:rPr>
          <w:rFonts w:cstheme="minorHAnsi"/>
          <w:lang w:eastAsia="en-GB"/>
        </w:rPr>
        <w:t xml:space="preserve"> </w:t>
      </w:r>
      <w:r w:rsidR="00621D5D" w:rsidRPr="001005B7">
        <w:rPr>
          <w:rFonts w:cstheme="minorHAnsi"/>
          <w:lang w:eastAsia="en-GB"/>
        </w:rPr>
        <w:t xml:space="preserve">frequent in and </w:t>
      </w:r>
      <w:r w:rsidR="00753217" w:rsidRPr="001005B7">
        <w:rPr>
          <w:rFonts w:cstheme="minorHAnsi"/>
          <w:lang w:eastAsia="en-GB"/>
        </w:rPr>
        <w:t>unique to Ezekiel</w:t>
      </w:r>
      <w:r w:rsidR="00227DD3" w:rsidRPr="001005B7">
        <w:rPr>
          <w:rFonts w:cstheme="minorHAnsi"/>
          <w:lang w:eastAsia="en-GB"/>
        </w:rPr>
        <w:t>, his “sardonic” alternative to “household of Israel</w:t>
      </w:r>
      <w:r w:rsidR="005476AB" w:rsidRPr="001005B7">
        <w:rPr>
          <w:rFonts w:cstheme="minorHAnsi"/>
          <w:lang w:eastAsia="en-GB"/>
        </w:rPr>
        <w:t>”</w:t>
      </w:r>
      <w:r w:rsidR="00203B3B" w:rsidRPr="001005B7">
        <w:rPr>
          <w:rFonts w:cstheme="minorHAnsi"/>
          <w:lang w:eastAsia="en-GB"/>
        </w:rPr>
        <w:t xml:space="preserve"> (Allen, 2:59)</w:t>
      </w:r>
      <w:r w:rsidR="007D64BF" w:rsidRPr="001005B7">
        <w:rPr>
          <w:rFonts w:cstheme="minorHAnsi"/>
          <w:lang w:eastAsia="en-GB"/>
        </w:rPr>
        <w:t>.</w:t>
      </w:r>
      <w:r w:rsidR="00F122AC" w:rsidRPr="001005B7">
        <w:rPr>
          <w:rFonts w:cstheme="minorHAnsi"/>
          <w:lang w:eastAsia="en-GB"/>
        </w:rPr>
        <w:t xml:space="preserve"> Ezekiel uses th</w:t>
      </w:r>
      <w:r w:rsidR="005B41EB" w:rsidRPr="001005B7">
        <w:rPr>
          <w:rFonts w:cstheme="minorHAnsi"/>
          <w:lang w:eastAsia="en-GB"/>
        </w:rPr>
        <w:t>at</w:t>
      </w:r>
      <w:r w:rsidR="00F122AC" w:rsidRPr="001005B7">
        <w:rPr>
          <w:rFonts w:cstheme="minorHAnsi"/>
          <w:lang w:eastAsia="en-GB"/>
        </w:rPr>
        <w:t xml:space="preserve"> expression </w:t>
      </w:r>
      <w:r w:rsidR="00CC26BF" w:rsidRPr="001005B7">
        <w:rPr>
          <w:rFonts w:cstheme="minorHAnsi"/>
          <w:lang w:eastAsia="en-GB"/>
        </w:rPr>
        <w:t>“</w:t>
      </w:r>
      <w:r w:rsidR="00F122AC" w:rsidRPr="001005B7">
        <w:rPr>
          <w:rFonts w:cstheme="minorHAnsi"/>
          <w:lang w:eastAsia="en-GB"/>
        </w:rPr>
        <w:t>household</w:t>
      </w:r>
      <w:r w:rsidR="00F122AC" w:rsidRPr="001005B7">
        <w:rPr>
          <w:rFonts w:cstheme="minorHAnsi"/>
          <w:i/>
          <w:iCs/>
          <w:lang w:eastAsia="en-GB"/>
        </w:rPr>
        <w:t xml:space="preserve"> </w:t>
      </w:r>
      <w:r w:rsidR="00F122AC" w:rsidRPr="001005B7">
        <w:rPr>
          <w:rFonts w:cstheme="minorHAnsi"/>
          <w:lang w:eastAsia="en-GB"/>
        </w:rPr>
        <w:t>of</w:t>
      </w:r>
      <w:r w:rsidR="00F122AC" w:rsidRPr="001005B7">
        <w:rPr>
          <w:rFonts w:cstheme="minorHAnsi"/>
          <w:i/>
          <w:iCs/>
          <w:lang w:eastAsia="en-GB"/>
        </w:rPr>
        <w:t xml:space="preserve"> </w:t>
      </w:r>
      <w:r w:rsidR="00F122AC" w:rsidRPr="001005B7">
        <w:rPr>
          <w:rFonts w:cstheme="minorHAnsi"/>
          <w:lang w:eastAsia="en-GB"/>
        </w:rPr>
        <w:t>Israel</w:t>
      </w:r>
      <w:r w:rsidR="00CC26BF" w:rsidRPr="001005B7">
        <w:rPr>
          <w:rFonts w:cstheme="minorHAnsi"/>
          <w:lang w:eastAsia="en-GB"/>
        </w:rPr>
        <w:t>”</w:t>
      </w:r>
      <w:r w:rsidR="00F122AC" w:rsidRPr="001005B7">
        <w:rPr>
          <w:rFonts w:cstheme="minorHAnsi"/>
          <w:i/>
          <w:iCs/>
          <w:lang w:eastAsia="en-GB"/>
        </w:rPr>
        <w:t xml:space="preserve"> </w:t>
      </w:r>
      <w:r w:rsidR="00F122AC" w:rsidRPr="001005B7">
        <w:rPr>
          <w:rFonts w:cstheme="minorHAnsi"/>
          <w:lang w:eastAsia="en-GB"/>
        </w:rPr>
        <w:t xml:space="preserve">much more than anyone else (beginning in 3:1, 4, 5, 7a, 7b), and </w:t>
      </w:r>
      <w:r w:rsidR="00CC26BF" w:rsidRPr="001005B7">
        <w:rPr>
          <w:rFonts w:cstheme="minorHAnsi"/>
          <w:lang w:eastAsia="en-GB"/>
        </w:rPr>
        <w:t>“</w:t>
      </w:r>
      <w:r w:rsidR="00F122AC" w:rsidRPr="001005B7">
        <w:rPr>
          <w:rFonts w:cstheme="minorHAnsi"/>
          <w:lang w:eastAsia="en-GB"/>
        </w:rPr>
        <w:t>household</w:t>
      </w:r>
      <w:r w:rsidR="00F122AC" w:rsidRPr="001005B7">
        <w:rPr>
          <w:rFonts w:cstheme="minorHAnsi"/>
          <w:i/>
          <w:iCs/>
          <w:lang w:eastAsia="en-GB"/>
        </w:rPr>
        <w:t xml:space="preserve"> </w:t>
      </w:r>
      <w:r w:rsidR="00F122AC" w:rsidRPr="001005B7">
        <w:rPr>
          <w:rFonts w:cstheme="minorHAnsi"/>
          <w:lang w:eastAsia="en-GB"/>
        </w:rPr>
        <w:t>of</w:t>
      </w:r>
      <w:r w:rsidR="00F122AC" w:rsidRPr="001005B7">
        <w:rPr>
          <w:rFonts w:cstheme="minorHAnsi"/>
          <w:i/>
          <w:iCs/>
          <w:lang w:eastAsia="en-GB"/>
        </w:rPr>
        <w:t xml:space="preserve"> </w:t>
      </w:r>
      <w:r w:rsidR="00F122AC" w:rsidRPr="001005B7">
        <w:rPr>
          <w:rFonts w:cstheme="minorHAnsi"/>
          <w:lang w:eastAsia="en-GB"/>
        </w:rPr>
        <w:t>rebellion</w:t>
      </w:r>
      <w:r w:rsidR="00CC26BF" w:rsidRPr="001005B7">
        <w:rPr>
          <w:rFonts w:cstheme="minorHAnsi"/>
          <w:lang w:eastAsia="en-GB"/>
        </w:rPr>
        <w:t>”</w:t>
      </w:r>
      <w:r w:rsidR="00F122AC" w:rsidRPr="001005B7">
        <w:rPr>
          <w:rFonts w:cstheme="minorHAnsi"/>
          <w:lang w:eastAsia="en-GB"/>
        </w:rPr>
        <w:t xml:space="preserve"> makes for a link and a contrast. Through all its life Israel is one household, one family</w:t>
      </w:r>
      <w:r w:rsidR="002058AD" w:rsidRPr="001005B7">
        <w:rPr>
          <w:rFonts w:cstheme="minorHAnsi"/>
          <w:lang w:eastAsia="en-GB"/>
        </w:rPr>
        <w:t xml:space="preserve"> (</w:t>
      </w:r>
      <w:proofErr w:type="spellStart"/>
      <w:r w:rsidR="002058AD" w:rsidRPr="001005B7">
        <w:t>Zimmerli</w:t>
      </w:r>
      <w:proofErr w:type="spellEnd"/>
      <w:r w:rsidR="00EB10FA" w:rsidRPr="001005B7">
        <w:t>,</w:t>
      </w:r>
      <w:r w:rsidR="002058AD" w:rsidRPr="001005B7">
        <w:rPr>
          <w:i/>
          <w:iCs/>
        </w:rPr>
        <w:t xml:space="preserve"> </w:t>
      </w:r>
      <w:r w:rsidR="002058AD" w:rsidRPr="001005B7">
        <w:t>2:564; cf. Olley, 245</w:t>
      </w:r>
      <w:r w:rsidR="00E550C5" w:rsidRPr="001005B7">
        <w:t>)</w:t>
      </w:r>
      <w:r w:rsidR="00C23144" w:rsidRPr="001005B7">
        <w:t>.</w:t>
      </w:r>
      <w:r w:rsidR="003A600D" w:rsidRPr="001005B7">
        <w:t xml:space="preserve"> </w:t>
      </w:r>
      <w:r w:rsidR="00C23144" w:rsidRPr="001005B7">
        <w:t>T</w:t>
      </w:r>
      <w:r w:rsidR="003A600D" w:rsidRPr="001005B7">
        <w:t xml:space="preserve">he </w:t>
      </w:r>
      <w:r w:rsidR="00203440" w:rsidRPr="001005B7">
        <w:t>positive use of the expression</w:t>
      </w:r>
      <w:r w:rsidR="00F66B02" w:rsidRPr="001005B7">
        <w:t xml:space="preserve"> is also uniquely prominen</w:t>
      </w:r>
      <w:r w:rsidR="00C23144" w:rsidRPr="001005B7">
        <w:t>t</w:t>
      </w:r>
      <w:r w:rsidR="00F66B02" w:rsidRPr="001005B7">
        <w:t xml:space="preserve"> in Ezekiel</w:t>
      </w:r>
      <w:r w:rsidR="00C23144" w:rsidRPr="001005B7">
        <w:t>, suggest</w:t>
      </w:r>
      <w:r w:rsidR="00842B05" w:rsidRPr="001005B7">
        <w:t>ing</w:t>
      </w:r>
      <w:r w:rsidR="00C23144" w:rsidRPr="001005B7">
        <w:t xml:space="preserve"> its capacity to </w:t>
      </w:r>
      <w:r w:rsidR="00416952" w:rsidRPr="001005B7">
        <w:t>offer a new identity to a community in exile</w:t>
      </w:r>
      <w:r w:rsidR="002058AD" w:rsidRPr="001005B7">
        <w:t>.</w:t>
      </w:r>
      <w:r w:rsidR="00842B05" w:rsidRPr="001005B7">
        <w:rPr>
          <w:rStyle w:val="FootnoteReference"/>
        </w:rPr>
        <w:footnoteReference w:id="139"/>
      </w:r>
      <w:r w:rsidR="00F122AC" w:rsidRPr="001005B7">
        <w:rPr>
          <w:rFonts w:cstheme="minorHAnsi"/>
          <w:lang w:eastAsia="en-GB"/>
        </w:rPr>
        <w:t xml:space="preserve"> </w:t>
      </w:r>
      <w:r w:rsidR="00E550C5" w:rsidRPr="001005B7">
        <w:rPr>
          <w:rFonts w:cstheme="minorHAnsi"/>
          <w:lang w:eastAsia="en-GB"/>
        </w:rPr>
        <w:t>B</w:t>
      </w:r>
      <w:r w:rsidR="00F122AC" w:rsidRPr="001005B7">
        <w:rPr>
          <w:rFonts w:cstheme="minorHAnsi"/>
          <w:lang w:eastAsia="en-GB"/>
        </w:rPr>
        <w:t xml:space="preserve">ut throughout its life it is also a rebellious household (see again Ezek 16; 20; 23). </w:t>
      </w:r>
      <w:r w:rsidR="00F122AC" w:rsidRPr="001005B7">
        <w:rPr>
          <w:rFonts w:cstheme="minorHAnsi"/>
        </w:rPr>
        <w:t>“</w:t>
      </w:r>
      <w:r w:rsidR="00B62D6E" w:rsidRPr="001005B7">
        <w:rPr>
          <w:rFonts w:cstheme="minorHAnsi"/>
        </w:rPr>
        <w:t>H</w:t>
      </w:r>
      <w:r w:rsidR="00F122AC" w:rsidRPr="001005B7">
        <w:rPr>
          <w:rFonts w:cstheme="minorHAnsi"/>
        </w:rPr>
        <w:t>ow distinguished a proof of covenant love and faithfulness in God, that he should condescend to deal with such a people, and send a prophet yet again to instruct them!”</w:t>
      </w:r>
      <w:r w:rsidR="00592246" w:rsidRPr="001005B7">
        <w:rPr>
          <w:rFonts w:cstheme="minorHAnsi"/>
        </w:rPr>
        <w:t xml:space="preserve"> (</w:t>
      </w:r>
      <w:r w:rsidR="00592246" w:rsidRPr="001005B7">
        <w:t>Fairbairn, 36).</w:t>
      </w:r>
      <w:r w:rsidR="00312276" w:rsidRPr="001005B7">
        <w:rPr>
          <w:rFonts w:cstheme="minorHAnsi"/>
          <w:b/>
          <w:bCs/>
          <w:lang w:eastAsia="en-GB"/>
        </w:rPr>
        <w:t xml:space="preserve"> </w:t>
      </w:r>
      <w:r w:rsidR="00AE6186" w:rsidRPr="001005B7">
        <w:rPr>
          <w:lang w:eastAsia="en-GB"/>
        </w:rPr>
        <w:t xml:space="preserve">On the other hand, </w:t>
      </w:r>
      <w:r w:rsidR="00977590" w:rsidRPr="001005B7">
        <w:rPr>
          <w:lang w:eastAsia="en-GB"/>
        </w:rPr>
        <w:t>“</w:t>
      </w:r>
      <w:r w:rsidR="00AE6186" w:rsidRPr="001005B7">
        <w:rPr>
          <w:lang w:eastAsia="en-GB"/>
        </w:rPr>
        <w:t>i</w:t>
      </w:r>
      <w:r w:rsidR="00977590" w:rsidRPr="001005B7">
        <w:rPr>
          <w:lang w:eastAsia="en-GB"/>
        </w:rPr>
        <w:t>t is the most serious form of opposition to a prophet when someone says to him, ‘Yahweh has not sent you’”</w:t>
      </w:r>
      <w:r w:rsidR="00867555" w:rsidRPr="001005B7">
        <w:rPr>
          <w:lang w:eastAsia="en-GB"/>
        </w:rPr>
        <w:t xml:space="preserve"> </w:t>
      </w:r>
      <w:r w:rsidR="00977590" w:rsidRPr="001005B7">
        <w:rPr>
          <w:lang w:eastAsia="en-GB"/>
        </w:rPr>
        <w:t>(cf. 13:6</w:t>
      </w:r>
      <w:r w:rsidR="00A9062A" w:rsidRPr="001005B7">
        <w:rPr>
          <w:lang w:eastAsia="en-GB"/>
        </w:rPr>
        <w:t>)</w:t>
      </w:r>
      <w:r w:rsidR="003C6058" w:rsidRPr="001005B7">
        <w:rPr>
          <w:lang w:eastAsia="en-GB"/>
        </w:rPr>
        <w:t xml:space="preserve"> </w:t>
      </w:r>
      <w:r w:rsidR="00A9062A" w:rsidRPr="001005B7">
        <w:rPr>
          <w:lang w:eastAsia="en-GB"/>
        </w:rPr>
        <w:t>(</w:t>
      </w:r>
      <w:proofErr w:type="spellStart"/>
      <w:r w:rsidR="006E3AD0" w:rsidRPr="001005B7">
        <w:t>Zimmerli</w:t>
      </w:r>
      <w:proofErr w:type="spellEnd"/>
      <w:r w:rsidR="00656A1E" w:rsidRPr="001005B7">
        <w:t>,</w:t>
      </w:r>
      <w:r w:rsidR="006E3AD0" w:rsidRPr="001005B7">
        <w:rPr>
          <w:i/>
          <w:iCs/>
        </w:rPr>
        <w:t xml:space="preserve"> </w:t>
      </w:r>
      <w:r w:rsidR="006E3AD0" w:rsidRPr="001005B7">
        <w:t>1:132)</w:t>
      </w:r>
      <w:r w:rsidR="00977590" w:rsidRPr="001005B7">
        <w:rPr>
          <w:lang w:eastAsia="en-GB"/>
        </w:rPr>
        <w:t>.</w:t>
      </w:r>
      <w:r w:rsidR="00340064" w:rsidRPr="001005B7">
        <w:rPr>
          <w:lang w:eastAsia="en-GB"/>
        </w:rPr>
        <w:t xml:space="preserve"> Ezekiel </w:t>
      </w:r>
      <w:r w:rsidR="00992C0B" w:rsidRPr="001005B7">
        <w:rPr>
          <w:lang w:eastAsia="en-GB"/>
        </w:rPr>
        <w:t>will be able to urge people to listen to him as</w:t>
      </w:r>
      <w:r w:rsidR="00340064" w:rsidRPr="001005B7">
        <w:rPr>
          <w:lang w:eastAsia="en-GB"/>
        </w:rPr>
        <w:t xml:space="preserve"> a prophet </w:t>
      </w:r>
      <w:r w:rsidR="00992C0B" w:rsidRPr="001005B7">
        <w:rPr>
          <w:lang w:eastAsia="en-GB"/>
        </w:rPr>
        <w:t xml:space="preserve">on the basis of </w:t>
      </w:r>
      <w:r w:rsidR="00340064" w:rsidRPr="001005B7">
        <w:t>Yahweh</w:t>
      </w:r>
      <w:r w:rsidR="00D11C0D" w:rsidRPr="001005B7">
        <w:t>’</w:t>
      </w:r>
      <w:r w:rsidR="00340064" w:rsidRPr="001005B7">
        <w:t xml:space="preserve">s </w:t>
      </w:r>
      <w:r w:rsidR="008853C4" w:rsidRPr="001005B7">
        <w:t xml:space="preserve">having </w:t>
      </w:r>
      <w:r w:rsidR="00340064" w:rsidRPr="001005B7">
        <w:t>appeared to him</w:t>
      </w:r>
      <w:r w:rsidR="002763A3" w:rsidRPr="001005B7">
        <w:t>,</w:t>
      </w:r>
      <w:r w:rsidR="00340064" w:rsidRPr="001005B7">
        <w:t xml:space="preserve"> spoken to him</w:t>
      </w:r>
      <w:r w:rsidR="002763A3" w:rsidRPr="001005B7">
        <w:t xml:space="preserve">, and </w:t>
      </w:r>
      <w:r w:rsidR="00340064" w:rsidRPr="001005B7">
        <w:t>sent him</w:t>
      </w:r>
      <w:r w:rsidR="000106BA" w:rsidRPr="001005B7">
        <w:t xml:space="preserve"> (Clements</w:t>
      </w:r>
      <w:r w:rsidR="001047CC" w:rsidRPr="001005B7">
        <w:t>,</w:t>
      </w:r>
      <w:r w:rsidR="000106BA" w:rsidRPr="001005B7">
        <w:t xml:space="preserve"> </w:t>
      </w:r>
      <w:r w:rsidR="007F7D65" w:rsidRPr="001005B7">
        <w:t>8)</w:t>
      </w:r>
      <w:r w:rsidR="002763A3" w:rsidRPr="001005B7">
        <w:t xml:space="preserve">. </w:t>
      </w:r>
      <w:r w:rsidR="00CC0A0A" w:rsidRPr="001005B7">
        <w:t xml:space="preserve">On that basis </w:t>
      </w:r>
      <w:r w:rsidR="00796D9C" w:rsidRPr="001005B7">
        <w:t>Yahweh encourages him to believe that people will</w:t>
      </w:r>
      <w:r w:rsidR="008853C4" w:rsidRPr="001005B7">
        <w:t xml:space="preserve"> in due course</w:t>
      </w:r>
      <w:r w:rsidR="00796D9C" w:rsidRPr="001005B7">
        <w:t xml:space="preserve"> </w:t>
      </w:r>
      <w:r w:rsidR="00582E6E" w:rsidRPr="001005B7">
        <w:t>“</w:t>
      </w:r>
      <w:r w:rsidR="00796D9C" w:rsidRPr="001005B7">
        <w:t>acknowledge</w:t>
      </w:r>
      <w:r w:rsidR="00796D9C" w:rsidRPr="001005B7">
        <w:rPr>
          <w:i/>
          <w:iCs/>
        </w:rPr>
        <w:t xml:space="preserve"> </w:t>
      </w:r>
      <w:r w:rsidR="00796D9C" w:rsidRPr="001005B7">
        <w:t>that</w:t>
      </w:r>
      <w:r w:rsidR="00582E6E" w:rsidRPr="001005B7">
        <w:t xml:space="preserve"> </w:t>
      </w:r>
      <w:r w:rsidR="00891FD6" w:rsidRPr="001005B7">
        <w:t>a</w:t>
      </w:r>
      <w:r w:rsidR="00796D9C" w:rsidRPr="001005B7">
        <w:rPr>
          <w:i/>
          <w:iCs/>
        </w:rPr>
        <w:t xml:space="preserve"> </w:t>
      </w:r>
      <w:r w:rsidR="00796D9C" w:rsidRPr="001005B7">
        <w:t>prophet</w:t>
      </w:r>
      <w:r w:rsidR="00796D9C" w:rsidRPr="001005B7">
        <w:rPr>
          <w:i/>
          <w:iCs/>
        </w:rPr>
        <w:t xml:space="preserve"> </w:t>
      </w:r>
      <w:r w:rsidR="00796D9C" w:rsidRPr="001005B7">
        <w:t>has</w:t>
      </w:r>
      <w:r w:rsidR="00796D9C" w:rsidRPr="001005B7">
        <w:rPr>
          <w:i/>
          <w:iCs/>
        </w:rPr>
        <w:t xml:space="preserve"> </w:t>
      </w:r>
      <w:r w:rsidR="00796D9C" w:rsidRPr="001005B7">
        <w:t>been</w:t>
      </w:r>
      <w:r w:rsidR="00796D9C" w:rsidRPr="001005B7">
        <w:rPr>
          <w:i/>
          <w:iCs/>
        </w:rPr>
        <w:t xml:space="preserve"> </w:t>
      </w:r>
      <w:r w:rsidR="00796D9C" w:rsidRPr="001005B7">
        <w:t>among</w:t>
      </w:r>
      <w:r w:rsidR="00796D9C" w:rsidRPr="001005B7">
        <w:rPr>
          <w:i/>
          <w:iCs/>
        </w:rPr>
        <w:t xml:space="preserve"> </w:t>
      </w:r>
      <w:r w:rsidR="00796D9C" w:rsidRPr="001005B7">
        <w:t>them</w:t>
      </w:r>
      <w:r w:rsidR="00C83F99" w:rsidRPr="001005B7">
        <w:t>.”</w:t>
      </w:r>
      <w:r w:rsidR="00796D9C" w:rsidRPr="001005B7">
        <w:t xml:space="preserve"> It is the first occurrence of another expression that will recur in Ezekiel</w:t>
      </w:r>
      <w:r w:rsidR="007F7D65" w:rsidRPr="001005B7">
        <w:t xml:space="preserve">. </w:t>
      </w:r>
      <w:r w:rsidR="00891FD6" w:rsidRPr="001005B7">
        <w:t>“</w:t>
      </w:r>
      <w:r w:rsidR="00277E21" w:rsidRPr="001005B7">
        <w:t>A</w:t>
      </w:r>
      <w:r w:rsidR="00417BE8" w:rsidRPr="001005B7">
        <w:t>cknowledge</w:t>
      </w:r>
      <w:r w:rsidR="00BC0ED6" w:rsidRPr="001005B7">
        <w:t>”</w:t>
      </w:r>
      <w:r w:rsidR="00323AAB" w:rsidRPr="001005B7">
        <w:t xml:space="preserve"> (</w:t>
      </w:r>
      <w:r w:rsidR="00420B77" w:rsidRPr="001005B7">
        <w:rPr>
          <w:rFonts w:cstheme="minorHAnsi"/>
          <w:rtl/>
          <w:lang w:bidi="he-IL"/>
        </w:rPr>
        <w:t>יָדַע</w:t>
      </w:r>
      <w:r w:rsidR="00323AAB" w:rsidRPr="001005B7">
        <w:t>)</w:t>
      </w:r>
      <w:r w:rsidR="004319AD" w:rsidRPr="001005B7">
        <w:t xml:space="preserve"> is the ordinary</w:t>
      </w:r>
      <w:r w:rsidR="00B42766" w:rsidRPr="001005B7">
        <w:t xml:space="preserve"> verb meaning “know”</w:t>
      </w:r>
      <w:r w:rsidR="00CA01DE" w:rsidRPr="001005B7">
        <w:t xml:space="preserve"> (e.g., </w:t>
      </w:r>
      <w:r w:rsidR="00516070" w:rsidRPr="001005B7">
        <w:t>11:5</w:t>
      </w:r>
      <w:r w:rsidR="00BF34DF" w:rsidRPr="001005B7">
        <w:t>; 17:12</w:t>
      </w:r>
      <w:r w:rsidR="00CA01DE" w:rsidRPr="001005B7">
        <w:t>), but in Eze</w:t>
      </w:r>
      <w:r w:rsidR="007259C6" w:rsidRPr="001005B7">
        <w:t xml:space="preserve">kiel it usually denotes </w:t>
      </w:r>
      <w:r w:rsidR="002F0564" w:rsidRPr="001005B7">
        <w:t xml:space="preserve">coming to recognize something that </w:t>
      </w:r>
      <w:r w:rsidR="00B60D61" w:rsidRPr="001005B7">
        <w:t>one was</w:t>
      </w:r>
      <w:r w:rsidR="002F0564" w:rsidRPr="001005B7">
        <w:t xml:space="preserve"> not inclined to recogniz</w:t>
      </w:r>
      <w:r w:rsidR="000337F8" w:rsidRPr="001005B7">
        <w:t>e</w:t>
      </w:r>
      <w:r w:rsidR="00654017" w:rsidRPr="001005B7">
        <w:t xml:space="preserve"> (see 6:7)</w:t>
      </w:r>
      <w:r w:rsidR="000337F8" w:rsidRPr="001005B7">
        <w:t xml:space="preserve">. </w:t>
      </w:r>
      <w:r w:rsidR="00737C80" w:rsidRPr="001005B7">
        <w:rPr>
          <w:rFonts w:cstheme="minorHAnsi"/>
          <w:lang w:eastAsia="en-GB"/>
        </w:rPr>
        <w:t>Admittedly, t</w:t>
      </w:r>
      <w:r w:rsidR="006E23C9" w:rsidRPr="001005B7">
        <w:rPr>
          <w:rFonts w:cstheme="minorHAnsi"/>
          <w:lang w:eastAsia="en-GB"/>
        </w:rPr>
        <w:t xml:space="preserve">he </w:t>
      </w:r>
      <w:r w:rsidR="002C68FC" w:rsidRPr="001005B7">
        <w:rPr>
          <w:rFonts w:cstheme="minorHAnsi"/>
          <w:lang w:eastAsia="en-GB"/>
        </w:rPr>
        <w:t xml:space="preserve">comment that </w:t>
      </w:r>
      <w:r w:rsidR="00B60D61" w:rsidRPr="001005B7">
        <w:rPr>
          <w:rFonts w:cstheme="minorHAnsi"/>
          <w:lang w:eastAsia="en-GB"/>
        </w:rPr>
        <w:t>people</w:t>
      </w:r>
      <w:r w:rsidR="002C68FC" w:rsidRPr="001005B7">
        <w:rPr>
          <w:rFonts w:cstheme="minorHAnsi"/>
          <w:lang w:eastAsia="en-GB"/>
        </w:rPr>
        <w:t xml:space="preserve"> </w:t>
      </w:r>
      <w:r w:rsidR="00BC0ED6" w:rsidRPr="001005B7">
        <w:rPr>
          <w:rFonts w:cstheme="minorHAnsi"/>
          <w:lang w:eastAsia="en-GB"/>
        </w:rPr>
        <w:t>“</w:t>
      </w:r>
      <w:r w:rsidR="002C68FC" w:rsidRPr="001005B7">
        <w:rPr>
          <w:rFonts w:cstheme="minorHAnsi"/>
          <w:lang w:eastAsia="en-GB"/>
        </w:rPr>
        <w:t>will</w:t>
      </w:r>
      <w:r w:rsidR="002C68FC" w:rsidRPr="001005B7">
        <w:rPr>
          <w:rFonts w:cstheme="minorHAnsi"/>
          <w:i/>
          <w:iCs/>
          <w:lang w:eastAsia="en-GB"/>
        </w:rPr>
        <w:t xml:space="preserve"> </w:t>
      </w:r>
      <w:r w:rsidR="002C68FC" w:rsidRPr="001005B7">
        <w:rPr>
          <w:rFonts w:cstheme="minorHAnsi"/>
          <w:lang w:eastAsia="en-GB"/>
        </w:rPr>
        <w:t>acknowledge</w:t>
      </w:r>
      <w:r w:rsidR="002C68FC" w:rsidRPr="001005B7">
        <w:rPr>
          <w:rFonts w:cstheme="minorHAnsi"/>
          <w:i/>
          <w:iCs/>
          <w:lang w:eastAsia="en-GB"/>
        </w:rPr>
        <w:t xml:space="preserve"> </w:t>
      </w:r>
      <w:r w:rsidR="002C68FC" w:rsidRPr="001005B7">
        <w:rPr>
          <w:rFonts w:cstheme="minorHAnsi"/>
          <w:lang w:eastAsia="en-GB"/>
        </w:rPr>
        <w:t>that</w:t>
      </w:r>
      <w:r w:rsidR="002C68FC" w:rsidRPr="001005B7">
        <w:rPr>
          <w:rFonts w:cstheme="minorHAnsi"/>
          <w:i/>
          <w:iCs/>
          <w:lang w:eastAsia="en-GB"/>
        </w:rPr>
        <w:t xml:space="preserve"> </w:t>
      </w:r>
      <w:r w:rsidR="007A763B" w:rsidRPr="001005B7">
        <w:rPr>
          <w:rFonts w:cstheme="minorHAnsi"/>
          <w:lang w:eastAsia="en-GB"/>
        </w:rPr>
        <w:t>a</w:t>
      </w:r>
      <w:r w:rsidR="002C68FC" w:rsidRPr="001005B7">
        <w:rPr>
          <w:rFonts w:cstheme="minorHAnsi"/>
          <w:i/>
          <w:iCs/>
          <w:lang w:eastAsia="en-GB"/>
        </w:rPr>
        <w:t xml:space="preserve"> </w:t>
      </w:r>
      <w:r w:rsidR="002C68FC" w:rsidRPr="001005B7">
        <w:rPr>
          <w:rFonts w:cstheme="minorHAnsi"/>
          <w:lang w:eastAsia="en-GB"/>
        </w:rPr>
        <w:t>prophet</w:t>
      </w:r>
      <w:r w:rsidR="002C68FC" w:rsidRPr="001005B7">
        <w:rPr>
          <w:rFonts w:cstheme="minorHAnsi"/>
          <w:i/>
          <w:iCs/>
          <w:lang w:eastAsia="en-GB"/>
        </w:rPr>
        <w:t xml:space="preserve"> </w:t>
      </w:r>
      <w:r w:rsidR="002C68FC" w:rsidRPr="001005B7">
        <w:rPr>
          <w:rFonts w:cstheme="minorHAnsi"/>
          <w:lang w:eastAsia="en-GB"/>
        </w:rPr>
        <w:t>has</w:t>
      </w:r>
      <w:r w:rsidR="002C68FC" w:rsidRPr="001005B7">
        <w:rPr>
          <w:rFonts w:cstheme="minorHAnsi"/>
          <w:i/>
          <w:iCs/>
          <w:lang w:eastAsia="en-GB"/>
        </w:rPr>
        <w:t xml:space="preserve"> </w:t>
      </w:r>
      <w:r w:rsidR="002C68FC" w:rsidRPr="001005B7">
        <w:rPr>
          <w:rFonts w:cstheme="minorHAnsi"/>
          <w:lang w:eastAsia="en-GB"/>
        </w:rPr>
        <w:t>been</w:t>
      </w:r>
      <w:r w:rsidR="002C68FC" w:rsidRPr="001005B7">
        <w:rPr>
          <w:rFonts w:cstheme="minorHAnsi"/>
          <w:i/>
          <w:iCs/>
          <w:lang w:eastAsia="en-GB"/>
        </w:rPr>
        <w:t xml:space="preserve"> </w:t>
      </w:r>
      <w:r w:rsidR="002C68FC" w:rsidRPr="001005B7">
        <w:rPr>
          <w:rFonts w:cstheme="minorHAnsi"/>
          <w:lang w:eastAsia="en-GB"/>
        </w:rPr>
        <w:t>among</w:t>
      </w:r>
      <w:r w:rsidR="002C68FC" w:rsidRPr="001005B7">
        <w:rPr>
          <w:rFonts w:cstheme="minorHAnsi"/>
          <w:i/>
          <w:iCs/>
          <w:lang w:eastAsia="en-GB"/>
        </w:rPr>
        <w:t xml:space="preserve"> </w:t>
      </w:r>
      <w:r w:rsidR="002C68FC" w:rsidRPr="001005B7">
        <w:rPr>
          <w:rFonts w:cstheme="minorHAnsi"/>
          <w:lang w:eastAsia="en-GB"/>
        </w:rPr>
        <w:t>them</w:t>
      </w:r>
      <w:r w:rsidR="007A763B" w:rsidRPr="001005B7">
        <w:rPr>
          <w:rFonts w:cstheme="minorHAnsi"/>
          <w:lang w:eastAsia="en-GB"/>
        </w:rPr>
        <w:t>”</w:t>
      </w:r>
      <w:r w:rsidR="002C68FC" w:rsidRPr="001005B7">
        <w:rPr>
          <w:rFonts w:cstheme="minorHAnsi"/>
          <w:lang w:eastAsia="en-GB"/>
        </w:rPr>
        <w:t xml:space="preserve"> </w:t>
      </w:r>
      <w:r w:rsidR="00356CEA" w:rsidRPr="001005B7">
        <w:rPr>
          <w:rFonts w:cstheme="minorHAnsi"/>
          <w:lang w:eastAsia="en-GB"/>
        </w:rPr>
        <w:t>is</w:t>
      </w:r>
      <w:r w:rsidR="00B547C2" w:rsidRPr="001005B7">
        <w:rPr>
          <w:rFonts w:cstheme="minorHAnsi"/>
          <w:lang w:eastAsia="en-GB"/>
        </w:rPr>
        <w:t xml:space="preserve"> </w:t>
      </w:r>
      <w:r w:rsidR="00356CEA" w:rsidRPr="001005B7">
        <w:rPr>
          <w:rFonts w:cstheme="minorHAnsi"/>
          <w:lang w:eastAsia="en-GB"/>
        </w:rPr>
        <w:t>a little o</w:t>
      </w:r>
      <w:r w:rsidR="00FA5ED6" w:rsidRPr="001005B7">
        <w:rPr>
          <w:rFonts w:cstheme="minorHAnsi"/>
          <w:lang w:eastAsia="en-GB"/>
        </w:rPr>
        <w:t xml:space="preserve">paque </w:t>
      </w:r>
      <w:r w:rsidR="00134DC0" w:rsidRPr="001005B7">
        <w:rPr>
          <w:rFonts w:cstheme="minorHAnsi"/>
          <w:lang w:eastAsia="en-GB"/>
        </w:rPr>
        <w:t>or ironic</w:t>
      </w:r>
      <w:r w:rsidR="00FA5ED6" w:rsidRPr="001005B7">
        <w:rPr>
          <w:rFonts w:cstheme="minorHAnsi"/>
          <w:lang w:eastAsia="en-GB"/>
        </w:rPr>
        <w:t>. There are lots of prophets am</w:t>
      </w:r>
      <w:r w:rsidR="00D762AE" w:rsidRPr="001005B7">
        <w:rPr>
          <w:rFonts w:cstheme="minorHAnsi"/>
          <w:lang w:eastAsia="en-GB"/>
        </w:rPr>
        <w:t>o</w:t>
      </w:r>
      <w:r w:rsidR="00FA5ED6" w:rsidRPr="001005B7">
        <w:rPr>
          <w:rFonts w:cstheme="minorHAnsi"/>
          <w:lang w:eastAsia="en-GB"/>
        </w:rPr>
        <w:t>ng the Judahites in Babylon</w:t>
      </w:r>
      <w:r w:rsidR="00956081" w:rsidRPr="001005B7">
        <w:rPr>
          <w:rFonts w:cstheme="minorHAnsi"/>
          <w:lang w:eastAsia="en-GB"/>
        </w:rPr>
        <w:t>ia</w:t>
      </w:r>
      <w:r w:rsidR="002A2D24" w:rsidRPr="001005B7">
        <w:rPr>
          <w:rFonts w:cstheme="minorHAnsi"/>
          <w:lang w:eastAsia="en-GB"/>
        </w:rPr>
        <w:t xml:space="preserve"> (see, e.g., 7:26</w:t>
      </w:r>
      <w:r w:rsidR="00F76D38" w:rsidRPr="001005B7">
        <w:rPr>
          <w:rFonts w:cstheme="minorHAnsi"/>
          <w:lang w:eastAsia="en-GB"/>
        </w:rPr>
        <w:t>),</w:t>
      </w:r>
      <w:r w:rsidR="00FA5ED6" w:rsidRPr="001005B7">
        <w:rPr>
          <w:rFonts w:cstheme="minorHAnsi"/>
          <w:lang w:eastAsia="en-GB"/>
        </w:rPr>
        <w:t xml:space="preserve"> and there is not much to be said for being recognized as one (</w:t>
      </w:r>
      <w:r w:rsidR="00482C4C" w:rsidRPr="001005B7">
        <w:rPr>
          <w:rFonts w:cstheme="minorHAnsi"/>
          <w:lang w:eastAsia="en-GB"/>
        </w:rPr>
        <w:t>see</w:t>
      </w:r>
      <w:r w:rsidR="00C97D08" w:rsidRPr="001005B7">
        <w:rPr>
          <w:rFonts w:cstheme="minorHAnsi"/>
          <w:lang w:eastAsia="en-GB"/>
        </w:rPr>
        <w:t>, e.g.,</w:t>
      </w:r>
      <w:r w:rsidR="00482C4C" w:rsidRPr="001005B7">
        <w:rPr>
          <w:rFonts w:cstheme="minorHAnsi"/>
          <w:lang w:eastAsia="en-GB"/>
        </w:rPr>
        <w:t xml:space="preserve"> 13:1</w:t>
      </w:r>
      <w:r w:rsidR="00F46900" w:rsidRPr="001005B7">
        <w:rPr>
          <w:rFonts w:cstheme="minorHAnsi"/>
          <w:lang w:eastAsia="en-GB"/>
        </w:rPr>
        <w:t>–</w:t>
      </w:r>
      <w:r w:rsidR="00482C4C" w:rsidRPr="001005B7">
        <w:rPr>
          <w:rFonts w:cstheme="minorHAnsi"/>
          <w:lang w:eastAsia="en-GB"/>
        </w:rPr>
        <w:t>16</w:t>
      </w:r>
      <w:r w:rsidR="00D2515C" w:rsidRPr="001005B7">
        <w:rPr>
          <w:rFonts w:cstheme="minorHAnsi"/>
          <w:lang w:eastAsia="en-GB"/>
        </w:rPr>
        <w:t>; 14:</w:t>
      </w:r>
      <w:r w:rsidR="002A6816" w:rsidRPr="001005B7">
        <w:rPr>
          <w:rFonts w:cstheme="minorHAnsi"/>
          <w:lang w:eastAsia="en-GB"/>
        </w:rPr>
        <w:t>1</w:t>
      </w:r>
      <w:r w:rsidR="00F46900" w:rsidRPr="001005B7">
        <w:rPr>
          <w:rFonts w:cstheme="minorHAnsi"/>
          <w:lang w:eastAsia="en-GB"/>
        </w:rPr>
        <w:t>–</w:t>
      </w:r>
      <w:r w:rsidR="002A6816" w:rsidRPr="001005B7">
        <w:rPr>
          <w:rFonts w:cstheme="minorHAnsi"/>
          <w:lang w:eastAsia="en-GB"/>
        </w:rPr>
        <w:t>11</w:t>
      </w:r>
      <w:r w:rsidR="00482C4C" w:rsidRPr="001005B7">
        <w:rPr>
          <w:rFonts w:cstheme="minorHAnsi"/>
          <w:lang w:eastAsia="en-GB"/>
        </w:rPr>
        <w:t>).</w:t>
      </w:r>
      <w:r w:rsidR="00FF1E17" w:rsidRPr="001005B7">
        <w:rPr>
          <w:rFonts w:cstheme="minorHAnsi"/>
          <w:lang w:eastAsia="en-GB"/>
        </w:rPr>
        <w:t xml:space="preserve"> </w:t>
      </w:r>
      <w:r w:rsidR="002B1374" w:rsidRPr="001005B7">
        <w:rPr>
          <w:rFonts w:cstheme="minorHAnsi"/>
          <w:lang w:eastAsia="en-GB"/>
        </w:rPr>
        <w:t xml:space="preserve">Yahweh’s point is clearer </w:t>
      </w:r>
      <w:r w:rsidR="00872316" w:rsidRPr="001005B7">
        <w:rPr>
          <w:rFonts w:cstheme="minorHAnsi"/>
          <w:lang w:eastAsia="en-GB"/>
        </w:rPr>
        <w:t xml:space="preserve">when he repeats it much later: it will be </w:t>
      </w:r>
      <w:r w:rsidR="001465ED" w:rsidRPr="001005B7">
        <w:rPr>
          <w:rFonts w:cstheme="minorHAnsi"/>
          <w:lang w:eastAsia="en-GB"/>
        </w:rPr>
        <w:t>“</w:t>
      </w:r>
      <w:r w:rsidR="00D42355" w:rsidRPr="001005B7">
        <w:rPr>
          <w:rFonts w:cstheme="minorHAnsi"/>
          <w:lang w:eastAsia="en-GB"/>
        </w:rPr>
        <w:t>when it comes</w:t>
      </w:r>
      <w:r w:rsidR="006B39B8" w:rsidRPr="001005B7">
        <w:rPr>
          <w:rFonts w:cstheme="minorHAnsi"/>
          <w:lang w:eastAsia="en-GB"/>
        </w:rPr>
        <w:t xml:space="preserve"> about</w:t>
      </w:r>
      <w:r w:rsidR="00D42355" w:rsidRPr="001005B7">
        <w:rPr>
          <w:rFonts w:cstheme="minorHAnsi"/>
          <w:lang w:eastAsia="en-GB"/>
        </w:rPr>
        <w:t>,</w:t>
      </w:r>
      <w:r w:rsidR="005731FA" w:rsidRPr="001005B7">
        <w:rPr>
          <w:rFonts w:cstheme="minorHAnsi"/>
          <w:lang w:eastAsia="en-GB"/>
        </w:rPr>
        <w:t>”</w:t>
      </w:r>
      <w:r w:rsidR="00D42355" w:rsidRPr="001005B7">
        <w:rPr>
          <w:rFonts w:cstheme="minorHAnsi"/>
          <w:lang w:eastAsia="en-GB"/>
        </w:rPr>
        <w:t xml:space="preserve"> the </w:t>
      </w:r>
      <w:r w:rsidR="003E21CF" w:rsidRPr="001005B7">
        <w:rPr>
          <w:rFonts w:cstheme="minorHAnsi"/>
          <w:lang w:eastAsia="en-GB"/>
        </w:rPr>
        <w:t xml:space="preserve">message </w:t>
      </w:r>
      <w:r w:rsidR="00DF7109" w:rsidRPr="001005B7">
        <w:rPr>
          <w:rFonts w:cstheme="minorHAnsi"/>
          <w:lang w:eastAsia="en-GB"/>
        </w:rPr>
        <w:t xml:space="preserve">that </w:t>
      </w:r>
      <w:r w:rsidR="003E21CF" w:rsidRPr="001005B7">
        <w:rPr>
          <w:rFonts w:cstheme="minorHAnsi"/>
          <w:lang w:eastAsia="en-GB"/>
        </w:rPr>
        <w:t>Yahweh has spoken through Ezekiel,</w:t>
      </w:r>
      <w:r w:rsidR="00016968" w:rsidRPr="001005B7">
        <w:rPr>
          <w:rFonts w:cstheme="minorHAnsi"/>
          <w:lang w:eastAsia="en-GB"/>
        </w:rPr>
        <w:t xml:space="preserve"> that</w:t>
      </w:r>
      <w:r w:rsidR="004242E6" w:rsidRPr="001005B7">
        <w:rPr>
          <w:rFonts w:cstheme="minorHAnsi"/>
          <w:lang w:eastAsia="en-GB"/>
        </w:rPr>
        <w:t xml:space="preserve"> </w:t>
      </w:r>
      <w:r w:rsidR="001465ED" w:rsidRPr="001005B7">
        <w:rPr>
          <w:rFonts w:cstheme="minorHAnsi"/>
          <w:lang w:eastAsia="en-GB"/>
        </w:rPr>
        <w:t>“</w:t>
      </w:r>
      <w:r w:rsidR="004242E6" w:rsidRPr="001005B7">
        <w:rPr>
          <w:rFonts w:cstheme="minorHAnsi"/>
          <w:lang w:eastAsia="en-GB"/>
        </w:rPr>
        <w:t>they will acknowledge that a prophet has been among them</w:t>
      </w:r>
      <w:r w:rsidR="001465ED" w:rsidRPr="001005B7">
        <w:rPr>
          <w:rFonts w:cstheme="minorHAnsi"/>
          <w:lang w:eastAsia="en-GB"/>
        </w:rPr>
        <w:t>”</w:t>
      </w:r>
      <w:r w:rsidR="004242E6" w:rsidRPr="001005B7">
        <w:rPr>
          <w:rFonts w:cstheme="minorHAnsi"/>
          <w:lang w:eastAsia="en-GB"/>
        </w:rPr>
        <w:t xml:space="preserve"> (33:33)</w:t>
      </w:r>
      <w:r w:rsidR="00CD5D25" w:rsidRPr="001005B7">
        <w:rPr>
          <w:rFonts w:cstheme="minorHAnsi"/>
          <w:lang w:eastAsia="en-GB"/>
        </w:rPr>
        <w:t xml:space="preserve">. They will </w:t>
      </w:r>
      <w:r w:rsidR="00016968" w:rsidRPr="001005B7">
        <w:rPr>
          <w:rFonts w:cstheme="minorHAnsi"/>
          <w:lang w:eastAsia="en-GB"/>
        </w:rPr>
        <w:t>recognize</w:t>
      </w:r>
      <w:r w:rsidR="00CD5D25" w:rsidRPr="001005B7">
        <w:rPr>
          <w:rFonts w:cstheme="minorHAnsi"/>
          <w:lang w:eastAsia="en-GB"/>
        </w:rPr>
        <w:t xml:space="preserve"> that </w:t>
      </w:r>
      <w:r w:rsidR="00016968" w:rsidRPr="001005B7">
        <w:rPr>
          <w:rFonts w:cstheme="minorHAnsi"/>
          <w:lang w:eastAsia="en-GB"/>
        </w:rPr>
        <w:t>Ezekiel</w:t>
      </w:r>
      <w:r w:rsidR="00CD5D25" w:rsidRPr="001005B7">
        <w:rPr>
          <w:rFonts w:cstheme="minorHAnsi"/>
          <w:lang w:eastAsia="en-GB"/>
        </w:rPr>
        <w:t xml:space="preserve"> was </w:t>
      </w:r>
      <w:r w:rsidR="00DF7109" w:rsidRPr="001005B7">
        <w:rPr>
          <w:rFonts w:cstheme="minorHAnsi"/>
          <w:lang w:eastAsia="en-GB"/>
        </w:rPr>
        <w:t>distin</w:t>
      </w:r>
      <w:r w:rsidR="00EA78EA" w:rsidRPr="001005B7">
        <w:rPr>
          <w:rFonts w:cstheme="minorHAnsi"/>
          <w:lang w:eastAsia="en-GB"/>
        </w:rPr>
        <w:t xml:space="preserve">ctively </w:t>
      </w:r>
      <w:r w:rsidR="00CD5D25" w:rsidRPr="001005B7">
        <w:rPr>
          <w:rFonts w:cstheme="minorHAnsi"/>
          <w:lang w:eastAsia="en-GB"/>
        </w:rPr>
        <w:t>a prophet who brought Yahweh’s message.</w:t>
      </w:r>
      <w:r w:rsidR="008716AE" w:rsidRPr="001005B7">
        <w:rPr>
          <w:rFonts w:cstheme="minorHAnsi"/>
          <w:lang w:eastAsia="en-GB"/>
        </w:rPr>
        <w:t xml:space="preserve"> </w:t>
      </w:r>
      <w:r w:rsidR="00265EC8" w:rsidRPr="001005B7">
        <w:rPr>
          <w:rFonts w:cstheme="minorHAnsi"/>
          <w:lang w:eastAsia="en-GB"/>
        </w:rPr>
        <w:t xml:space="preserve">These two passages </w:t>
      </w:r>
      <w:r w:rsidR="00EA78EA" w:rsidRPr="001005B7">
        <w:rPr>
          <w:rFonts w:cstheme="minorHAnsi"/>
          <w:lang w:eastAsia="en-GB"/>
        </w:rPr>
        <w:t xml:space="preserve">(2:5; 33:33) </w:t>
      </w:r>
      <w:r w:rsidR="00265EC8" w:rsidRPr="001005B7">
        <w:rPr>
          <w:rFonts w:cstheme="minorHAnsi"/>
          <w:lang w:eastAsia="en-GB"/>
        </w:rPr>
        <w:t xml:space="preserve">are the only ones where Ezekiel is </w:t>
      </w:r>
      <w:r w:rsidR="004C2DE1" w:rsidRPr="001005B7">
        <w:rPr>
          <w:rFonts w:cstheme="minorHAnsi"/>
          <w:lang w:eastAsia="en-GB"/>
        </w:rPr>
        <w:t xml:space="preserve">clearly </w:t>
      </w:r>
      <w:r w:rsidR="00265EC8" w:rsidRPr="001005B7">
        <w:rPr>
          <w:rFonts w:cstheme="minorHAnsi"/>
          <w:lang w:eastAsia="en-GB"/>
        </w:rPr>
        <w:t>described as a prophet</w:t>
      </w:r>
      <w:r w:rsidR="00565CDB" w:rsidRPr="001005B7">
        <w:rPr>
          <w:rFonts w:cstheme="minorHAnsi"/>
          <w:lang w:eastAsia="en-GB"/>
        </w:rPr>
        <w:t>.</w:t>
      </w:r>
      <w:r w:rsidR="00EE0B37" w:rsidRPr="001005B7">
        <w:rPr>
          <w:rFonts w:cstheme="minorHAnsi"/>
          <w:lang w:eastAsia="en-GB"/>
        </w:rPr>
        <w:t xml:space="preserve"> Yahweh’s commission </w:t>
      </w:r>
      <w:r w:rsidR="007F7B66" w:rsidRPr="001005B7">
        <w:rPr>
          <w:rFonts w:cstheme="minorHAnsi"/>
          <w:lang w:eastAsia="en-GB"/>
        </w:rPr>
        <w:t xml:space="preserve">allows for two possible outcomes from Ezekiel’s </w:t>
      </w:r>
      <w:r w:rsidR="0059410F" w:rsidRPr="001005B7">
        <w:rPr>
          <w:rFonts w:cstheme="minorHAnsi"/>
          <w:lang w:eastAsia="en-GB"/>
        </w:rPr>
        <w:t>work. The aim is that people will recognize the truth in his message and give up their rebellion</w:t>
      </w:r>
      <w:r w:rsidR="00F61030" w:rsidRPr="001005B7">
        <w:rPr>
          <w:rFonts w:cstheme="minorHAnsi"/>
          <w:lang w:eastAsia="en-GB"/>
        </w:rPr>
        <w:t>. Bu</w:t>
      </w:r>
      <w:r w:rsidR="002E73E2" w:rsidRPr="001005B7">
        <w:rPr>
          <w:rFonts w:cstheme="minorHAnsi"/>
          <w:lang w:eastAsia="en-GB"/>
        </w:rPr>
        <w:t>t</w:t>
      </w:r>
      <w:r w:rsidR="003808B4" w:rsidRPr="001005B7">
        <w:rPr>
          <w:rFonts w:cstheme="minorHAnsi"/>
          <w:lang w:eastAsia="en-GB"/>
        </w:rPr>
        <w:t xml:space="preserve"> they</w:t>
      </w:r>
      <w:r w:rsidR="002E73E2" w:rsidRPr="001005B7">
        <w:rPr>
          <w:rFonts w:cstheme="minorHAnsi"/>
          <w:lang w:eastAsia="en-GB"/>
        </w:rPr>
        <w:t xml:space="preserve"> may</w:t>
      </w:r>
      <w:r w:rsidR="003808B4" w:rsidRPr="001005B7">
        <w:rPr>
          <w:rFonts w:cstheme="minorHAnsi"/>
          <w:lang w:eastAsia="en-GB"/>
        </w:rPr>
        <w:t xml:space="preserve"> do no such thing</w:t>
      </w:r>
      <w:r w:rsidR="0009074D" w:rsidRPr="001005B7">
        <w:rPr>
          <w:rFonts w:cstheme="minorHAnsi"/>
          <w:lang w:eastAsia="en-GB"/>
        </w:rPr>
        <w:t xml:space="preserve">, and </w:t>
      </w:r>
      <w:r w:rsidR="00501979" w:rsidRPr="001005B7">
        <w:rPr>
          <w:rFonts w:cstheme="minorHAnsi"/>
          <w:lang w:eastAsia="en-GB"/>
        </w:rPr>
        <w:t xml:space="preserve">they </w:t>
      </w:r>
      <w:r w:rsidR="00A76810" w:rsidRPr="001005B7">
        <w:rPr>
          <w:rFonts w:cstheme="minorHAnsi"/>
          <w:lang w:eastAsia="en-GB"/>
        </w:rPr>
        <w:t>will have the</w:t>
      </w:r>
      <w:r w:rsidR="00501979" w:rsidRPr="001005B7">
        <w:rPr>
          <w:rFonts w:cstheme="minorHAnsi"/>
          <w:lang w:eastAsia="en-GB"/>
        </w:rPr>
        <w:t xml:space="preserve"> excuse</w:t>
      </w:r>
      <w:r w:rsidR="00A76810" w:rsidRPr="001005B7">
        <w:rPr>
          <w:rFonts w:cstheme="minorHAnsi"/>
          <w:lang w:eastAsia="en-GB"/>
        </w:rPr>
        <w:t xml:space="preserve"> that</w:t>
      </w:r>
      <w:r w:rsidR="00501979" w:rsidRPr="001005B7">
        <w:rPr>
          <w:rFonts w:cstheme="minorHAnsi"/>
          <w:lang w:eastAsia="en-GB"/>
        </w:rPr>
        <w:t xml:space="preserve"> other prophets </w:t>
      </w:r>
      <w:r w:rsidR="0009074D" w:rsidRPr="001005B7">
        <w:rPr>
          <w:rFonts w:cstheme="minorHAnsi"/>
          <w:lang w:eastAsia="en-GB"/>
        </w:rPr>
        <w:t xml:space="preserve">are </w:t>
      </w:r>
      <w:r w:rsidR="00501979" w:rsidRPr="001005B7">
        <w:rPr>
          <w:rFonts w:cstheme="minorHAnsi"/>
          <w:lang w:eastAsia="en-GB"/>
        </w:rPr>
        <w:t>giving them a more positive message</w:t>
      </w:r>
      <w:r w:rsidR="003C6058" w:rsidRPr="001005B7">
        <w:rPr>
          <w:rFonts w:cstheme="minorHAnsi"/>
          <w:lang w:eastAsia="en-GB"/>
        </w:rPr>
        <w:t xml:space="preserve"> (</w:t>
      </w:r>
      <w:r w:rsidR="003C6058" w:rsidRPr="001005B7">
        <w:t>Greenberg</w:t>
      </w:r>
      <w:r w:rsidR="00656A1E" w:rsidRPr="001005B7">
        <w:t>,</w:t>
      </w:r>
      <w:r w:rsidR="003C6058" w:rsidRPr="001005B7">
        <w:t xml:space="preserve"> 1:80)</w:t>
      </w:r>
      <w:r w:rsidR="00501979" w:rsidRPr="001005B7">
        <w:rPr>
          <w:rFonts w:cstheme="minorHAnsi"/>
          <w:lang w:eastAsia="en-GB"/>
        </w:rPr>
        <w:t xml:space="preserve">. </w:t>
      </w:r>
      <w:r w:rsidR="00170A87" w:rsidRPr="001005B7">
        <w:rPr>
          <w:rFonts w:cstheme="minorHAnsi"/>
          <w:lang w:eastAsia="en-GB"/>
        </w:rPr>
        <w:t>T</w:t>
      </w:r>
      <w:r w:rsidR="003808B4" w:rsidRPr="001005B7">
        <w:rPr>
          <w:rFonts w:cstheme="minorHAnsi"/>
          <w:lang w:eastAsia="en-GB"/>
        </w:rPr>
        <w:t xml:space="preserve">he recognition will </w:t>
      </w:r>
      <w:r w:rsidR="00170A87" w:rsidRPr="001005B7">
        <w:rPr>
          <w:rFonts w:cstheme="minorHAnsi"/>
          <w:lang w:eastAsia="en-GB"/>
        </w:rPr>
        <w:t xml:space="preserve">then </w:t>
      </w:r>
      <w:r w:rsidR="003808B4" w:rsidRPr="001005B7">
        <w:rPr>
          <w:rFonts w:cstheme="minorHAnsi"/>
          <w:lang w:eastAsia="en-GB"/>
        </w:rPr>
        <w:t xml:space="preserve">come only </w:t>
      </w:r>
      <w:r w:rsidR="00003F47" w:rsidRPr="001005B7">
        <w:rPr>
          <w:rFonts w:cstheme="minorHAnsi"/>
          <w:lang w:eastAsia="en-GB"/>
        </w:rPr>
        <w:t>when they have paid the penalty for the</w:t>
      </w:r>
      <w:r w:rsidR="00E90C81" w:rsidRPr="001005B7">
        <w:rPr>
          <w:rFonts w:cstheme="minorHAnsi"/>
          <w:lang w:eastAsia="en-GB"/>
        </w:rPr>
        <w:t>ir</w:t>
      </w:r>
      <w:r w:rsidR="00003F47" w:rsidRPr="001005B7">
        <w:rPr>
          <w:rFonts w:cstheme="minorHAnsi"/>
          <w:lang w:eastAsia="en-GB"/>
        </w:rPr>
        <w:t xml:space="preserve"> rebellion.</w:t>
      </w:r>
    </w:p>
    <w:p w14:paraId="4E5F7855" w14:textId="6CBB49A4" w:rsidR="00B76D7D" w:rsidRPr="001005B7" w:rsidRDefault="00E27611" w:rsidP="00844D6C">
      <w:pPr>
        <w:rPr>
          <w:rFonts w:cstheme="minorHAnsi"/>
          <w:lang w:eastAsia="en-GB"/>
        </w:rPr>
      </w:pPr>
      <w:r w:rsidRPr="001005B7">
        <w:rPr>
          <w:rFonts w:cstheme="minorHAnsi"/>
          <w:b/>
          <w:bCs/>
          <w:lang w:eastAsia="en-GB"/>
        </w:rPr>
        <w:t>2:</w:t>
      </w:r>
      <w:r w:rsidR="00B62A58" w:rsidRPr="001005B7">
        <w:rPr>
          <w:rFonts w:cstheme="minorHAnsi"/>
          <w:b/>
          <w:bCs/>
          <w:lang w:eastAsia="en-GB"/>
        </w:rPr>
        <w:t>6</w:t>
      </w:r>
      <w:r w:rsidR="00F46900" w:rsidRPr="001005B7">
        <w:rPr>
          <w:rFonts w:cstheme="minorHAnsi"/>
          <w:b/>
          <w:bCs/>
          <w:lang w:eastAsia="en-GB"/>
        </w:rPr>
        <w:t>–</w:t>
      </w:r>
      <w:r w:rsidR="00B62A58" w:rsidRPr="001005B7">
        <w:rPr>
          <w:rFonts w:cstheme="minorHAnsi"/>
          <w:b/>
          <w:bCs/>
          <w:lang w:eastAsia="en-GB"/>
        </w:rPr>
        <w:t xml:space="preserve">7 </w:t>
      </w:r>
      <w:r w:rsidR="0011017B" w:rsidRPr="001005B7">
        <w:rPr>
          <w:rFonts w:cstheme="minorHAnsi"/>
          <w:lang w:eastAsia="en-GB"/>
        </w:rPr>
        <w:t>Yahweh’s</w:t>
      </w:r>
      <w:r w:rsidR="009452D1" w:rsidRPr="001005B7">
        <w:rPr>
          <w:rFonts w:cstheme="minorHAnsi"/>
          <w:lang w:eastAsia="en-GB"/>
        </w:rPr>
        <w:t xml:space="preserve"> exhortation not </w:t>
      </w:r>
      <w:r w:rsidR="003F0658" w:rsidRPr="001005B7">
        <w:rPr>
          <w:rFonts w:cstheme="minorHAnsi"/>
          <w:lang w:eastAsia="en-GB"/>
        </w:rPr>
        <w:t xml:space="preserve">to </w:t>
      </w:r>
      <w:r w:rsidR="00752197" w:rsidRPr="001005B7">
        <w:rPr>
          <w:rFonts w:cstheme="minorHAnsi"/>
          <w:lang w:eastAsia="en-GB"/>
        </w:rPr>
        <w:t>be</w:t>
      </w:r>
      <w:r w:rsidR="00DE5108" w:rsidRPr="001005B7">
        <w:rPr>
          <w:rFonts w:cstheme="minorHAnsi"/>
          <w:lang w:eastAsia="en-GB"/>
        </w:rPr>
        <w:t xml:space="preserve"> afraid, and specifically</w:t>
      </w:r>
      <w:r w:rsidR="004F0900" w:rsidRPr="001005B7">
        <w:rPr>
          <w:rFonts w:cstheme="minorHAnsi"/>
          <w:lang w:eastAsia="en-GB"/>
        </w:rPr>
        <w:t xml:space="preserve"> not to be afr</w:t>
      </w:r>
      <w:r w:rsidR="00570DCF" w:rsidRPr="001005B7">
        <w:rPr>
          <w:rFonts w:cstheme="minorHAnsi"/>
          <w:lang w:eastAsia="en-GB"/>
        </w:rPr>
        <w:t>a</w:t>
      </w:r>
      <w:r w:rsidR="004F0900" w:rsidRPr="001005B7">
        <w:rPr>
          <w:rFonts w:cstheme="minorHAnsi"/>
          <w:lang w:eastAsia="en-GB"/>
        </w:rPr>
        <w:t>id of</w:t>
      </w:r>
      <w:r w:rsidR="00DE5108" w:rsidRPr="001005B7">
        <w:rPr>
          <w:rFonts w:cstheme="minorHAnsi"/>
          <w:lang w:eastAsia="en-GB"/>
        </w:rPr>
        <w:t xml:space="preserve"> </w:t>
      </w:r>
      <w:r w:rsidR="00570DCF" w:rsidRPr="001005B7">
        <w:rPr>
          <w:rFonts w:cstheme="minorHAnsi"/>
          <w:lang w:eastAsia="en-GB"/>
        </w:rPr>
        <w:t>their</w:t>
      </w:r>
      <w:r w:rsidR="00570DCF" w:rsidRPr="001005B7">
        <w:rPr>
          <w:rFonts w:cstheme="minorHAnsi"/>
          <w:i/>
          <w:iCs/>
          <w:lang w:eastAsia="en-GB"/>
        </w:rPr>
        <w:t xml:space="preserve"> </w:t>
      </w:r>
      <w:r w:rsidR="0097339B" w:rsidRPr="001005B7">
        <w:rPr>
          <w:rFonts w:cstheme="minorHAnsi"/>
          <w:lang w:eastAsia="en-GB"/>
        </w:rPr>
        <w:t>look</w:t>
      </w:r>
      <w:r w:rsidR="00570DCF" w:rsidRPr="001005B7">
        <w:rPr>
          <w:rFonts w:cstheme="minorHAnsi"/>
          <w:lang w:eastAsia="en-GB"/>
        </w:rPr>
        <w:t>s</w:t>
      </w:r>
      <w:r w:rsidR="0011017B" w:rsidRPr="001005B7">
        <w:rPr>
          <w:rFonts w:cstheme="minorHAnsi"/>
          <w:lang w:eastAsia="en-GB"/>
        </w:rPr>
        <w:t>, repeats his exhortation to Jeremiah (1:8)</w:t>
      </w:r>
      <w:r w:rsidR="001F03C0" w:rsidRPr="001005B7">
        <w:rPr>
          <w:rFonts w:cstheme="minorHAnsi"/>
          <w:lang w:eastAsia="en-GB"/>
        </w:rPr>
        <w:t xml:space="preserve"> but also given on many </w:t>
      </w:r>
      <w:r w:rsidR="00130E19" w:rsidRPr="001005B7">
        <w:rPr>
          <w:rFonts w:cstheme="minorHAnsi"/>
          <w:lang w:eastAsia="en-GB"/>
        </w:rPr>
        <w:t xml:space="preserve">other </w:t>
      </w:r>
      <w:r w:rsidR="001F03C0" w:rsidRPr="001005B7">
        <w:rPr>
          <w:rFonts w:cstheme="minorHAnsi"/>
          <w:lang w:eastAsia="en-GB"/>
        </w:rPr>
        <w:t>occasions (e.g., Gen 15:1</w:t>
      </w:r>
      <w:r w:rsidR="003E70DB" w:rsidRPr="001005B7">
        <w:rPr>
          <w:rFonts w:cstheme="minorHAnsi"/>
          <w:lang w:eastAsia="en-GB"/>
        </w:rPr>
        <w:t xml:space="preserve">; </w:t>
      </w:r>
      <w:r w:rsidR="002857AE" w:rsidRPr="001005B7">
        <w:rPr>
          <w:rFonts w:cstheme="minorHAnsi"/>
          <w:lang w:eastAsia="en-GB"/>
        </w:rPr>
        <w:t>Isa 41:10</w:t>
      </w:r>
      <w:r w:rsidR="00740162" w:rsidRPr="001005B7">
        <w:rPr>
          <w:rFonts w:cstheme="minorHAnsi"/>
          <w:lang w:eastAsia="en-GB"/>
        </w:rPr>
        <w:t>; Dan 10:12).</w:t>
      </w:r>
      <w:r w:rsidR="00570DCF" w:rsidRPr="001005B7">
        <w:rPr>
          <w:rFonts w:cstheme="minorHAnsi"/>
          <w:i/>
          <w:iCs/>
          <w:lang w:eastAsia="en-GB"/>
        </w:rPr>
        <w:t xml:space="preserve"> </w:t>
      </w:r>
      <w:r w:rsidR="00622593" w:rsidRPr="001005B7">
        <w:rPr>
          <w:rFonts w:cstheme="minorHAnsi"/>
          <w:lang w:eastAsia="en-GB"/>
        </w:rPr>
        <w:t xml:space="preserve">Whereas it is </w:t>
      </w:r>
      <w:r w:rsidR="008C7BBE" w:rsidRPr="001005B7">
        <w:rPr>
          <w:rFonts w:cstheme="minorHAnsi"/>
          <w:lang w:eastAsia="en-GB"/>
        </w:rPr>
        <w:t>characteristical</w:t>
      </w:r>
      <w:r w:rsidR="00622593" w:rsidRPr="001005B7">
        <w:rPr>
          <w:rFonts w:cstheme="minorHAnsi"/>
          <w:lang w:eastAsia="en-GB"/>
        </w:rPr>
        <w:t xml:space="preserve">ly a reaction to an </w:t>
      </w:r>
      <w:r w:rsidR="00D70AD6" w:rsidRPr="001005B7">
        <w:rPr>
          <w:rFonts w:cstheme="minorHAnsi"/>
          <w:lang w:eastAsia="en-GB"/>
        </w:rPr>
        <w:t xml:space="preserve">already existent </w:t>
      </w:r>
      <w:r w:rsidR="00622593" w:rsidRPr="001005B7">
        <w:rPr>
          <w:rFonts w:cstheme="minorHAnsi"/>
          <w:lang w:eastAsia="en-GB"/>
        </w:rPr>
        <w:t>explicit or i</w:t>
      </w:r>
      <w:r w:rsidR="008C7BBE" w:rsidRPr="001005B7">
        <w:rPr>
          <w:rFonts w:cstheme="minorHAnsi"/>
          <w:lang w:eastAsia="en-GB"/>
        </w:rPr>
        <w:t>m</w:t>
      </w:r>
      <w:r w:rsidR="00622593" w:rsidRPr="001005B7">
        <w:rPr>
          <w:rFonts w:cstheme="minorHAnsi"/>
          <w:lang w:eastAsia="en-GB"/>
        </w:rPr>
        <w:t xml:space="preserve">plicit apprehension, </w:t>
      </w:r>
      <w:r w:rsidR="008C7BBE" w:rsidRPr="001005B7">
        <w:rPr>
          <w:rFonts w:cstheme="minorHAnsi"/>
          <w:lang w:eastAsia="en-GB"/>
        </w:rPr>
        <w:t xml:space="preserve">in this context </w:t>
      </w:r>
      <w:r w:rsidR="00622593" w:rsidRPr="001005B7">
        <w:rPr>
          <w:rFonts w:cstheme="minorHAnsi"/>
          <w:lang w:eastAsia="en-GB"/>
        </w:rPr>
        <w:t xml:space="preserve">it is </w:t>
      </w:r>
      <w:r w:rsidR="00F81656" w:rsidRPr="001005B7">
        <w:rPr>
          <w:rFonts w:cstheme="minorHAnsi"/>
          <w:lang w:eastAsia="en-GB"/>
        </w:rPr>
        <w:t>an</w:t>
      </w:r>
      <w:r w:rsidR="00622593" w:rsidRPr="001005B7">
        <w:rPr>
          <w:rFonts w:cstheme="minorHAnsi"/>
          <w:lang w:eastAsia="en-GB"/>
        </w:rPr>
        <w:t xml:space="preserve"> example </w:t>
      </w:r>
      <w:r w:rsidR="008C7BBE" w:rsidRPr="001005B7">
        <w:rPr>
          <w:rFonts w:cstheme="minorHAnsi"/>
          <w:lang w:eastAsia="en-GB"/>
        </w:rPr>
        <w:t>of</w:t>
      </w:r>
      <w:r w:rsidR="001D5EB5" w:rsidRPr="001005B7">
        <w:rPr>
          <w:rFonts w:cstheme="minorHAnsi"/>
          <w:lang w:eastAsia="en-GB"/>
        </w:rPr>
        <w:t xml:space="preserve"> </w:t>
      </w:r>
      <w:r w:rsidR="008C7BBE" w:rsidRPr="001005B7">
        <w:rPr>
          <w:rFonts w:cstheme="minorHAnsi"/>
          <w:lang w:eastAsia="en-GB"/>
        </w:rPr>
        <w:t>Yahweh</w:t>
      </w:r>
      <w:r w:rsidR="00F46900" w:rsidRPr="001005B7">
        <w:rPr>
          <w:rFonts w:cstheme="minorHAnsi"/>
          <w:lang w:eastAsia="en-GB"/>
        </w:rPr>
        <w:t>’s</w:t>
      </w:r>
      <w:r w:rsidR="008C7BBE" w:rsidRPr="001005B7">
        <w:rPr>
          <w:rFonts w:cstheme="minorHAnsi"/>
          <w:lang w:eastAsia="en-GB"/>
        </w:rPr>
        <w:t xml:space="preserve"> anticipat</w:t>
      </w:r>
      <w:r w:rsidR="00F46900" w:rsidRPr="001005B7">
        <w:rPr>
          <w:rFonts w:cstheme="minorHAnsi"/>
          <w:lang w:eastAsia="en-GB"/>
        </w:rPr>
        <w:t>ing</w:t>
      </w:r>
      <w:r w:rsidR="008C7BBE" w:rsidRPr="001005B7">
        <w:rPr>
          <w:rFonts w:cstheme="minorHAnsi"/>
          <w:lang w:eastAsia="en-GB"/>
        </w:rPr>
        <w:t xml:space="preserve"> possible </w:t>
      </w:r>
      <w:r w:rsidR="00F32796" w:rsidRPr="001005B7">
        <w:rPr>
          <w:rFonts w:cstheme="minorHAnsi"/>
          <w:lang w:eastAsia="en-GB"/>
        </w:rPr>
        <w:t xml:space="preserve">objections or problems </w:t>
      </w:r>
      <w:r w:rsidR="008A0023" w:rsidRPr="001005B7">
        <w:rPr>
          <w:rFonts w:cstheme="minorHAnsi"/>
          <w:lang w:eastAsia="en-GB"/>
        </w:rPr>
        <w:t xml:space="preserve">through </w:t>
      </w:r>
      <w:r w:rsidR="00485C5C" w:rsidRPr="001005B7">
        <w:rPr>
          <w:rFonts w:cstheme="minorHAnsi"/>
          <w:lang w:eastAsia="en-GB"/>
        </w:rPr>
        <w:t>1</w:t>
      </w:r>
      <w:r w:rsidR="00844D6C" w:rsidRPr="001005B7">
        <w:rPr>
          <w:rFonts w:eastAsia="Times New Roman"/>
          <w:lang w:eastAsia="en-GB"/>
        </w:rPr>
        <w:t>:28b</w:t>
      </w:r>
      <w:r w:rsidR="00844D6C" w:rsidRPr="001005B7">
        <w:rPr>
          <w:rFonts w:eastAsia="Times New Roman" w:cstheme="majorHAnsi"/>
          <w:lang w:eastAsia="en-GB"/>
        </w:rPr>
        <w:t>β</w:t>
      </w:r>
      <w:r w:rsidR="00F46900" w:rsidRPr="001005B7">
        <w:rPr>
          <w:rFonts w:eastAsia="Times New Roman"/>
          <w:lang w:eastAsia="en-GB"/>
        </w:rPr>
        <w:t>–</w:t>
      </w:r>
      <w:r w:rsidR="00844D6C" w:rsidRPr="001005B7">
        <w:rPr>
          <w:rFonts w:eastAsia="Times New Roman"/>
          <w:lang w:eastAsia="en-GB"/>
        </w:rPr>
        <w:t xml:space="preserve">3:15 </w:t>
      </w:r>
      <w:r w:rsidR="00F32796" w:rsidRPr="001005B7">
        <w:rPr>
          <w:rFonts w:cstheme="minorHAnsi"/>
          <w:lang w:eastAsia="en-GB"/>
        </w:rPr>
        <w:t>and keep</w:t>
      </w:r>
      <w:r w:rsidR="00F46900" w:rsidRPr="001005B7">
        <w:rPr>
          <w:rFonts w:cstheme="minorHAnsi"/>
          <w:lang w:eastAsia="en-GB"/>
        </w:rPr>
        <w:t>ing</w:t>
      </w:r>
      <w:r w:rsidR="00F32796" w:rsidRPr="001005B7">
        <w:rPr>
          <w:rFonts w:cstheme="minorHAnsi"/>
          <w:lang w:eastAsia="en-GB"/>
        </w:rPr>
        <w:t xml:space="preserve"> control of the argument.</w:t>
      </w:r>
      <w:r w:rsidR="00D87749" w:rsidRPr="001005B7">
        <w:rPr>
          <w:rFonts w:cstheme="minorHAnsi"/>
          <w:lang w:eastAsia="en-GB"/>
        </w:rPr>
        <w:t xml:space="preserve"> </w:t>
      </w:r>
      <w:r w:rsidR="00871C7B" w:rsidRPr="001005B7">
        <w:rPr>
          <w:rFonts w:cstheme="minorHAnsi"/>
          <w:lang w:eastAsia="en-GB"/>
        </w:rPr>
        <w:t>And whereas he is satisfied with one exhortation to Jeremiah, it is typical in Ezekiel that</w:t>
      </w:r>
      <w:r w:rsidR="00092AD5" w:rsidRPr="001005B7">
        <w:rPr>
          <w:rFonts w:cstheme="minorHAnsi"/>
          <w:lang w:eastAsia="en-GB"/>
        </w:rPr>
        <w:t xml:space="preserve"> he should pile up variants on the exhortation.</w:t>
      </w:r>
      <w:r w:rsidR="00D42B2A" w:rsidRPr="001005B7">
        <w:rPr>
          <w:rFonts w:cstheme="minorHAnsi"/>
          <w:lang w:eastAsia="en-GB"/>
        </w:rPr>
        <w:t xml:space="preserve"> </w:t>
      </w:r>
      <w:r w:rsidR="006F5499" w:rsidRPr="001005B7">
        <w:rPr>
          <w:rFonts w:cstheme="minorHAnsi"/>
          <w:lang w:eastAsia="en-GB"/>
        </w:rPr>
        <w:t xml:space="preserve">The force of </w:t>
      </w:r>
      <w:r w:rsidR="00F46900" w:rsidRPr="001005B7">
        <w:rPr>
          <w:rFonts w:cstheme="minorHAnsi"/>
          <w:lang w:eastAsia="en-GB"/>
        </w:rPr>
        <w:t>hi</w:t>
      </w:r>
      <w:r w:rsidR="006F5499" w:rsidRPr="001005B7">
        <w:rPr>
          <w:rFonts w:cstheme="minorHAnsi"/>
          <w:lang w:eastAsia="en-GB"/>
        </w:rPr>
        <w:t>s words is further enhance</w:t>
      </w:r>
      <w:r w:rsidR="00851497" w:rsidRPr="001005B7">
        <w:rPr>
          <w:rFonts w:cstheme="minorHAnsi"/>
          <w:lang w:eastAsia="en-GB"/>
        </w:rPr>
        <w:t>d</w:t>
      </w:r>
      <w:r w:rsidR="006F5499" w:rsidRPr="001005B7">
        <w:rPr>
          <w:rFonts w:cstheme="minorHAnsi"/>
          <w:lang w:eastAsia="en-GB"/>
        </w:rPr>
        <w:t xml:space="preserve"> </w:t>
      </w:r>
      <w:r w:rsidR="00851497" w:rsidRPr="001005B7">
        <w:rPr>
          <w:rFonts w:cstheme="minorHAnsi"/>
          <w:lang w:eastAsia="en-GB"/>
        </w:rPr>
        <w:t>by the</w:t>
      </w:r>
      <w:r w:rsidR="009E78A0" w:rsidRPr="001005B7">
        <w:rPr>
          <w:rFonts w:cstheme="minorHAnsi"/>
          <w:lang w:eastAsia="en-GB"/>
        </w:rPr>
        <w:t xml:space="preserve"> poetic rhythm of </w:t>
      </w:r>
      <w:r w:rsidR="00FD1651" w:rsidRPr="001005B7">
        <w:rPr>
          <w:rFonts w:cstheme="minorHAnsi"/>
          <w:lang w:eastAsia="en-GB"/>
        </w:rPr>
        <w:t xml:space="preserve">the three lines in </w:t>
      </w:r>
      <w:r w:rsidR="00AC027B" w:rsidRPr="001005B7">
        <w:rPr>
          <w:rFonts w:cstheme="minorHAnsi"/>
          <w:lang w:eastAsia="en-GB"/>
        </w:rPr>
        <w:t>2:</w:t>
      </w:r>
      <w:r w:rsidR="00FD1651" w:rsidRPr="001005B7">
        <w:rPr>
          <w:rFonts w:cstheme="minorHAnsi"/>
          <w:lang w:eastAsia="en-GB"/>
        </w:rPr>
        <w:t xml:space="preserve">6 </w:t>
      </w:r>
      <w:r w:rsidR="00B91316" w:rsidRPr="001005B7">
        <w:rPr>
          <w:rFonts w:cstheme="minorHAnsi"/>
          <w:lang w:eastAsia="en-GB"/>
        </w:rPr>
        <w:t>(</w:t>
      </w:r>
      <w:r w:rsidR="00373C3F" w:rsidRPr="001005B7">
        <w:rPr>
          <w:rFonts w:cstheme="minorHAnsi"/>
          <w:lang w:eastAsia="en-GB"/>
        </w:rPr>
        <w:t>4-</w:t>
      </w:r>
      <w:r w:rsidR="002562E7" w:rsidRPr="001005B7">
        <w:rPr>
          <w:rFonts w:cstheme="minorHAnsi"/>
          <w:lang w:eastAsia="en-GB"/>
        </w:rPr>
        <w:t xml:space="preserve">2, </w:t>
      </w:r>
      <w:r w:rsidR="0002696E" w:rsidRPr="001005B7">
        <w:rPr>
          <w:rFonts w:cstheme="minorHAnsi"/>
          <w:lang w:eastAsia="en-GB"/>
        </w:rPr>
        <w:t xml:space="preserve">4-3, </w:t>
      </w:r>
      <w:r w:rsidR="00B91316" w:rsidRPr="001005B7">
        <w:rPr>
          <w:rFonts w:cstheme="minorHAnsi"/>
          <w:lang w:eastAsia="en-GB"/>
        </w:rPr>
        <w:t>4-4)</w:t>
      </w:r>
      <w:r w:rsidR="00851497" w:rsidRPr="001005B7">
        <w:rPr>
          <w:rFonts w:cstheme="minorHAnsi"/>
          <w:lang w:eastAsia="en-GB"/>
        </w:rPr>
        <w:t>, with</w:t>
      </w:r>
      <w:r w:rsidR="00534E04" w:rsidRPr="001005B7">
        <w:rPr>
          <w:rFonts w:cstheme="minorHAnsi"/>
          <w:lang w:eastAsia="en-GB"/>
        </w:rPr>
        <w:t xml:space="preserve"> </w:t>
      </w:r>
      <w:r w:rsidR="00752815" w:rsidRPr="001005B7">
        <w:rPr>
          <w:rFonts w:cstheme="minorHAnsi"/>
          <w:lang w:eastAsia="en-GB"/>
        </w:rPr>
        <w:t>abb</w:t>
      </w:r>
      <w:r w:rsidR="00F46900" w:rsidRPr="001005B7">
        <w:rPr>
          <w:rFonts w:cstheme="minorHAnsi"/>
          <w:rtl/>
          <w:lang w:eastAsia="en-GB" w:bidi="he-IL"/>
        </w:rPr>
        <w:t>׳</w:t>
      </w:r>
      <w:r w:rsidR="00752815" w:rsidRPr="001005B7">
        <w:rPr>
          <w:rFonts w:cstheme="minorHAnsi"/>
          <w:lang w:eastAsia="en-GB"/>
        </w:rPr>
        <w:t>a</w:t>
      </w:r>
      <w:r w:rsidR="00F46900" w:rsidRPr="001005B7">
        <w:rPr>
          <w:rFonts w:cstheme="minorHAnsi"/>
          <w:rtl/>
          <w:lang w:eastAsia="en-GB" w:bidi="he-IL"/>
        </w:rPr>
        <w:t>׳</w:t>
      </w:r>
      <w:r w:rsidR="00851497" w:rsidRPr="001005B7">
        <w:rPr>
          <w:rFonts w:cstheme="minorHAnsi"/>
          <w:lang w:eastAsia="en-GB"/>
        </w:rPr>
        <w:t xml:space="preserve"> </w:t>
      </w:r>
      <w:r w:rsidR="00F77552" w:rsidRPr="001005B7">
        <w:rPr>
          <w:rFonts w:cstheme="minorHAnsi"/>
          <w:lang w:eastAsia="en-GB"/>
        </w:rPr>
        <w:t>parallelism</w:t>
      </w:r>
      <w:r w:rsidR="00563814">
        <w:rPr>
          <w:rFonts w:cstheme="minorHAnsi"/>
          <w:lang w:eastAsia="en-GB"/>
        </w:rPr>
        <w:t>*</w:t>
      </w:r>
      <w:r w:rsidR="00F77552" w:rsidRPr="001005B7">
        <w:rPr>
          <w:rFonts w:cstheme="minorHAnsi"/>
          <w:lang w:eastAsia="en-GB"/>
        </w:rPr>
        <w:t xml:space="preserve"> in the first </w:t>
      </w:r>
      <w:r w:rsidR="000D12B2" w:rsidRPr="001005B7">
        <w:rPr>
          <w:rFonts w:cstheme="minorHAnsi"/>
          <w:lang w:eastAsia="en-GB"/>
        </w:rPr>
        <w:t>of the three</w:t>
      </w:r>
      <w:r w:rsidR="00F77552" w:rsidRPr="001005B7">
        <w:rPr>
          <w:rFonts w:cstheme="minorHAnsi"/>
          <w:lang w:eastAsia="en-GB"/>
        </w:rPr>
        <w:t>, aba</w:t>
      </w:r>
      <w:r w:rsidR="00F46900" w:rsidRPr="001005B7">
        <w:rPr>
          <w:rFonts w:cstheme="minorHAnsi"/>
          <w:rtl/>
          <w:lang w:eastAsia="en-GB" w:bidi="he-IL"/>
        </w:rPr>
        <w:t>׳</w:t>
      </w:r>
      <w:r w:rsidR="00F77552" w:rsidRPr="001005B7">
        <w:rPr>
          <w:rFonts w:cstheme="minorHAnsi"/>
          <w:lang w:eastAsia="en-GB"/>
        </w:rPr>
        <w:t>b</w:t>
      </w:r>
      <w:r w:rsidR="00F46900" w:rsidRPr="001005B7">
        <w:rPr>
          <w:rFonts w:cstheme="minorHAnsi"/>
          <w:rtl/>
          <w:lang w:eastAsia="en-GB" w:bidi="he-IL"/>
        </w:rPr>
        <w:t>׳</w:t>
      </w:r>
      <w:r w:rsidR="00F77552" w:rsidRPr="001005B7">
        <w:rPr>
          <w:rFonts w:cstheme="minorHAnsi"/>
          <w:lang w:eastAsia="en-GB"/>
        </w:rPr>
        <w:t xml:space="preserve"> parallelism in the </w:t>
      </w:r>
      <w:r w:rsidR="000D12B2" w:rsidRPr="001005B7">
        <w:rPr>
          <w:rFonts w:cstheme="minorHAnsi"/>
          <w:lang w:eastAsia="en-GB"/>
        </w:rPr>
        <w:t>middle line</w:t>
      </w:r>
      <w:r w:rsidR="00F77552" w:rsidRPr="001005B7">
        <w:rPr>
          <w:rFonts w:cstheme="minorHAnsi"/>
          <w:lang w:eastAsia="en-GB"/>
        </w:rPr>
        <w:t>, and internal parallelism in the first colon of the third</w:t>
      </w:r>
      <w:r w:rsidR="00764C93" w:rsidRPr="001005B7">
        <w:rPr>
          <w:rFonts w:cstheme="minorHAnsi"/>
          <w:lang w:eastAsia="en-GB"/>
        </w:rPr>
        <w:t xml:space="preserve"> line.</w:t>
      </w:r>
      <w:r w:rsidR="000D12B2" w:rsidRPr="001005B7">
        <w:rPr>
          <w:rFonts w:cstheme="minorHAnsi"/>
          <w:lang w:eastAsia="en-GB"/>
        </w:rPr>
        <w:t xml:space="preserve"> </w:t>
      </w:r>
      <w:r w:rsidR="00D42B2A" w:rsidRPr="001005B7">
        <w:rPr>
          <w:rFonts w:cstheme="minorHAnsi"/>
          <w:lang w:eastAsia="en-GB"/>
        </w:rPr>
        <w:t xml:space="preserve">The reference to </w:t>
      </w:r>
      <w:r w:rsidR="00293834" w:rsidRPr="001005B7">
        <w:rPr>
          <w:rFonts w:cstheme="minorHAnsi"/>
          <w:lang w:eastAsia="en-GB"/>
        </w:rPr>
        <w:t>“</w:t>
      </w:r>
      <w:r w:rsidR="00D42B2A" w:rsidRPr="001005B7">
        <w:rPr>
          <w:rFonts w:cstheme="minorHAnsi"/>
          <w:lang w:eastAsia="en-GB"/>
        </w:rPr>
        <w:t>looks</w:t>
      </w:r>
      <w:r w:rsidR="00293834" w:rsidRPr="001005B7">
        <w:rPr>
          <w:rFonts w:cstheme="minorHAnsi"/>
          <w:lang w:eastAsia="en-GB"/>
        </w:rPr>
        <w:t>”</w:t>
      </w:r>
      <w:r w:rsidR="00D42B2A" w:rsidRPr="001005B7">
        <w:rPr>
          <w:rFonts w:cstheme="minorHAnsi"/>
          <w:lang w:eastAsia="en-GB"/>
        </w:rPr>
        <w:t xml:space="preserve"> </w:t>
      </w:r>
      <w:r w:rsidR="00853188" w:rsidRPr="001005B7">
        <w:rPr>
          <w:rFonts w:cstheme="minorHAnsi"/>
          <w:lang w:eastAsia="en-GB"/>
        </w:rPr>
        <w:t xml:space="preserve">might suggest the looks they give one another that </w:t>
      </w:r>
      <w:r w:rsidR="00293834" w:rsidRPr="001005B7">
        <w:rPr>
          <w:rFonts w:cstheme="minorHAnsi"/>
          <w:lang w:eastAsia="en-GB"/>
        </w:rPr>
        <w:t>imply</w:t>
      </w:r>
      <w:r w:rsidR="00853188" w:rsidRPr="001005B7">
        <w:rPr>
          <w:rFonts w:cstheme="minorHAnsi"/>
          <w:lang w:eastAsia="en-GB"/>
        </w:rPr>
        <w:t xml:space="preserve"> plotting</w:t>
      </w:r>
      <w:r w:rsidR="003F5E7F" w:rsidRPr="001005B7">
        <w:rPr>
          <w:rFonts w:cstheme="minorHAnsi"/>
          <w:lang w:eastAsia="en-GB"/>
        </w:rPr>
        <w:t>, while</w:t>
      </w:r>
      <w:r w:rsidR="00853188" w:rsidRPr="001005B7">
        <w:rPr>
          <w:rFonts w:cstheme="minorHAnsi"/>
          <w:lang w:eastAsia="en-GB"/>
        </w:rPr>
        <w:t xml:space="preserve"> the emphasis on </w:t>
      </w:r>
      <w:r w:rsidR="00293834" w:rsidRPr="001005B7">
        <w:rPr>
          <w:rFonts w:cstheme="minorHAnsi"/>
          <w:lang w:eastAsia="en-GB"/>
        </w:rPr>
        <w:t>“</w:t>
      </w:r>
      <w:r w:rsidR="00853188" w:rsidRPr="001005B7">
        <w:rPr>
          <w:rFonts w:cstheme="minorHAnsi"/>
          <w:lang w:eastAsia="en-GB"/>
        </w:rPr>
        <w:t>words</w:t>
      </w:r>
      <w:r w:rsidR="00293834" w:rsidRPr="001005B7">
        <w:rPr>
          <w:rFonts w:cstheme="minorHAnsi"/>
          <w:lang w:eastAsia="en-GB"/>
        </w:rPr>
        <w:t>”</w:t>
      </w:r>
      <w:r w:rsidR="00D239B7" w:rsidRPr="001005B7">
        <w:rPr>
          <w:rFonts w:cstheme="minorHAnsi"/>
          <w:lang w:eastAsia="en-GB"/>
        </w:rPr>
        <w:t xml:space="preserve"> might also suggest plots and threats</w:t>
      </w:r>
      <w:r w:rsidR="001C7F6E" w:rsidRPr="001005B7">
        <w:rPr>
          <w:rFonts w:cstheme="minorHAnsi"/>
          <w:lang w:eastAsia="en-GB"/>
        </w:rPr>
        <w:t>, the m</w:t>
      </w:r>
      <w:r w:rsidR="00944EBD" w:rsidRPr="001005B7">
        <w:rPr>
          <w:rFonts w:cstheme="minorHAnsi"/>
          <w:lang w:eastAsia="en-GB"/>
        </w:rPr>
        <w:t>e</w:t>
      </w:r>
      <w:r w:rsidR="001C7F6E" w:rsidRPr="001005B7">
        <w:rPr>
          <w:rFonts w:cstheme="minorHAnsi"/>
          <w:lang w:eastAsia="en-GB"/>
        </w:rPr>
        <w:t>taphorical briers, thorns, and scorpions</w:t>
      </w:r>
      <w:r w:rsidR="00054E98" w:rsidRPr="001005B7">
        <w:rPr>
          <w:rFonts w:cstheme="minorHAnsi"/>
          <w:lang w:eastAsia="en-GB"/>
        </w:rPr>
        <w:t xml:space="preserve">—or </w:t>
      </w:r>
      <w:r w:rsidR="00591C2E" w:rsidRPr="001005B7">
        <w:rPr>
          <w:rFonts w:cstheme="minorHAnsi"/>
          <w:lang w:eastAsia="en-GB"/>
        </w:rPr>
        <w:t xml:space="preserve">alternatively, </w:t>
      </w:r>
      <w:r w:rsidR="00054E98" w:rsidRPr="001005B7">
        <w:rPr>
          <w:rFonts w:cstheme="minorHAnsi"/>
          <w:lang w:eastAsia="en-GB"/>
        </w:rPr>
        <w:t>these might be meta</w:t>
      </w:r>
      <w:r w:rsidR="000111D6" w:rsidRPr="001005B7">
        <w:rPr>
          <w:rFonts w:cstheme="minorHAnsi"/>
          <w:lang w:eastAsia="en-GB"/>
        </w:rPr>
        <w:t>p</w:t>
      </w:r>
      <w:r w:rsidR="00054E98" w:rsidRPr="001005B7">
        <w:rPr>
          <w:rFonts w:cstheme="minorHAnsi"/>
          <w:lang w:eastAsia="en-GB"/>
        </w:rPr>
        <w:t>hors</w:t>
      </w:r>
      <w:r w:rsidR="00591C2E" w:rsidRPr="001005B7">
        <w:rPr>
          <w:rFonts w:cstheme="minorHAnsi"/>
          <w:lang w:eastAsia="en-GB"/>
        </w:rPr>
        <w:t xml:space="preserve"> for</w:t>
      </w:r>
      <w:r w:rsidR="00054E98" w:rsidRPr="001005B7">
        <w:rPr>
          <w:rFonts w:cstheme="minorHAnsi"/>
          <w:lang w:eastAsia="en-GB"/>
        </w:rPr>
        <w:t xml:space="preserve"> </w:t>
      </w:r>
      <w:r w:rsidR="000111D6" w:rsidRPr="001005B7">
        <w:rPr>
          <w:rFonts w:cstheme="minorHAnsi"/>
          <w:lang w:eastAsia="en-GB"/>
        </w:rPr>
        <w:t>Yahweh’s</w:t>
      </w:r>
      <w:r w:rsidR="00054E98" w:rsidRPr="001005B7">
        <w:rPr>
          <w:rFonts w:cstheme="minorHAnsi"/>
          <w:lang w:eastAsia="en-GB"/>
        </w:rPr>
        <w:t xml:space="preserve"> protection around him</w:t>
      </w:r>
      <w:r w:rsidR="000111D6" w:rsidRPr="001005B7">
        <w:rPr>
          <w:rFonts w:cstheme="minorHAnsi"/>
          <w:lang w:eastAsia="en-GB"/>
        </w:rPr>
        <w:t>.</w:t>
      </w:r>
      <w:r w:rsidR="000111D6" w:rsidRPr="001005B7">
        <w:rPr>
          <w:rStyle w:val="FootnoteReference"/>
          <w:rFonts w:cstheme="minorHAnsi"/>
          <w:lang w:eastAsia="en-GB"/>
        </w:rPr>
        <w:footnoteReference w:id="140"/>
      </w:r>
      <w:r w:rsidR="00B76D7D" w:rsidRPr="001005B7">
        <w:rPr>
          <w:rFonts w:cstheme="minorHAnsi"/>
          <w:lang w:eastAsia="en-GB"/>
        </w:rPr>
        <w:t xml:space="preserve"> Ezekiel doesn’t get physically attacked like Jeremiah</w:t>
      </w:r>
      <w:r w:rsidR="00BB112C" w:rsidRPr="001005B7">
        <w:rPr>
          <w:rFonts w:cstheme="minorHAnsi"/>
          <w:lang w:eastAsia="en-GB"/>
        </w:rPr>
        <w:t>. H</w:t>
      </w:r>
      <w:r w:rsidR="00B76D7D" w:rsidRPr="001005B7">
        <w:rPr>
          <w:rFonts w:cstheme="minorHAnsi"/>
          <w:lang w:eastAsia="en-GB"/>
        </w:rPr>
        <w:t xml:space="preserve">e does get verbally attacked and derided. </w:t>
      </w:r>
    </w:p>
    <w:p w14:paraId="45115D55" w14:textId="2469F874" w:rsidR="00081374" w:rsidRPr="001005B7" w:rsidRDefault="00E27611" w:rsidP="002B075C">
      <w:pPr>
        <w:rPr>
          <w:rFonts w:cstheme="minorHAnsi"/>
          <w:lang w:eastAsia="en-GB"/>
        </w:rPr>
      </w:pPr>
      <w:r w:rsidRPr="001005B7">
        <w:rPr>
          <w:rFonts w:cstheme="minorHAnsi"/>
          <w:b/>
          <w:bCs/>
          <w:lang w:eastAsia="en-GB"/>
        </w:rPr>
        <w:t>2:</w:t>
      </w:r>
      <w:r w:rsidR="004245E2" w:rsidRPr="001005B7">
        <w:rPr>
          <w:rFonts w:cstheme="minorHAnsi"/>
          <w:b/>
          <w:bCs/>
          <w:lang w:eastAsia="en-GB"/>
        </w:rPr>
        <w:t>8</w:t>
      </w:r>
      <w:r w:rsidR="00F46900" w:rsidRPr="001005B7">
        <w:rPr>
          <w:rFonts w:cstheme="minorHAnsi"/>
          <w:b/>
          <w:bCs/>
          <w:lang w:eastAsia="en-GB"/>
        </w:rPr>
        <w:t>–</w:t>
      </w:r>
      <w:r w:rsidR="004245E2" w:rsidRPr="001005B7">
        <w:rPr>
          <w:rFonts w:cstheme="minorHAnsi"/>
          <w:b/>
          <w:bCs/>
          <w:lang w:eastAsia="en-GB"/>
        </w:rPr>
        <w:t xml:space="preserve">10 </w:t>
      </w:r>
      <w:r w:rsidR="004245E2" w:rsidRPr="001005B7">
        <w:rPr>
          <w:rFonts w:cstheme="minorHAnsi"/>
          <w:lang w:eastAsia="en-GB"/>
        </w:rPr>
        <w:t xml:space="preserve">To follow up yet more talk of rebelliousness and </w:t>
      </w:r>
      <w:r w:rsidR="001818DC" w:rsidRPr="001005B7">
        <w:rPr>
          <w:rFonts w:cstheme="minorHAnsi"/>
          <w:lang w:eastAsia="en-GB"/>
        </w:rPr>
        <w:t xml:space="preserve">the </w:t>
      </w:r>
      <w:r w:rsidR="004245E2" w:rsidRPr="001005B7">
        <w:rPr>
          <w:rFonts w:cstheme="minorHAnsi"/>
          <w:lang w:eastAsia="en-GB"/>
        </w:rPr>
        <w:t xml:space="preserve">application </w:t>
      </w:r>
      <w:r w:rsidR="001818DC" w:rsidRPr="001005B7">
        <w:rPr>
          <w:rFonts w:cstheme="minorHAnsi"/>
          <w:lang w:eastAsia="en-GB"/>
        </w:rPr>
        <w:t xml:space="preserve">of it </w:t>
      </w:r>
      <w:r w:rsidR="004245E2" w:rsidRPr="001005B7">
        <w:rPr>
          <w:rFonts w:cstheme="minorHAnsi"/>
          <w:lang w:eastAsia="en-GB"/>
        </w:rPr>
        <w:t xml:space="preserve">to Ezekiel himself, </w:t>
      </w:r>
      <w:r w:rsidR="002011EC" w:rsidRPr="001005B7">
        <w:rPr>
          <w:rFonts w:cstheme="minorHAnsi"/>
          <w:lang w:eastAsia="en-GB"/>
        </w:rPr>
        <w:t xml:space="preserve">Yahweh </w:t>
      </w:r>
      <w:r w:rsidR="00855BE5" w:rsidRPr="001005B7">
        <w:rPr>
          <w:rFonts w:cstheme="minorHAnsi"/>
          <w:lang w:eastAsia="en-GB"/>
        </w:rPr>
        <w:t>becomes more than a voice</w:t>
      </w:r>
      <w:r w:rsidR="00F33C0D" w:rsidRPr="001005B7">
        <w:rPr>
          <w:rFonts w:cstheme="minorHAnsi"/>
          <w:lang w:eastAsia="en-GB"/>
        </w:rPr>
        <w:t>, though there is again a</w:t>
      </w:r>
      <w:r w:rsidR="00834983" w:rsidRPr="001005B7">
        <w:rPr>
          <w:rFonts w:cstheme="minorHAnsi"/>
          <w:lang w:eastAsia="en-GB"/>
        </w:rPr>
        <w:t xml:space="preserve"> </w:t>
      </w:r>
      <w:r w:rsidR="00F33C0D" w:rsidRPr="001005B7">
        <w:rPr>
          <w:rFonts w:cstheme="minorHAnsi"/>
          <w:lang w:eastAsia="en-GB"/>
        </w:rPr>
        <w:t xml:space="preserve">gap between the appearing of </w:t>
      </w:r>
      <w:r w:rsidR="00DA5703" w:rsidRPr="001005B7">
        <w:rPr>
          <w:rFonts w:cstheme="minorHAnsi"/>
          <w:lang w:eastAsia="en-GB"/>
        </w:rPr>
        <w:t>Yahweh’s exalted</w:t>
      </w:r>
      <w:r w:rsidR="00F33C0D" w:rsidRPr="001005B7">
        <w:rPr>
          <w:rFonts w:cstheme="minorHAnsi"/>
          <w:lang w:eastAsia="en-GB"/>
        </w:rPr>
        <w:t xml:space="preserve"> majesty and </w:t>
      </w:r>
      <w:r w:rsidR="009F20D0" w:rsidRPr="001005B7">
        <w:rPr>
          <w:rFonts w:cstheme="minorHAnsi"/>
          <w:lang w:eastAsia="en-GB"/>
        </w:rPr>
        <w:t xml:space="preserve">the reaching out of </w:t>
      </w:r>
      <w:r w:rsidR="00DA5703" w:rsidRPr="001005B7">
        <w:rPr>
          <w:rFonts w:cstheme="minorHAnsi"/>
          <w:lang w:eastAsia="en-GB"/>
        </w:rPr>
        <w:t>a hand</w:t>
      </w:r>
      <w:r w:rsidR="00F33C0D" w:rsidRPr="001005B7">
        <w:rPr>
          <w:rFonts w:cstheme="minorHAnsi"/>
          <w:lang w:eastAsia="en-GB"/>
        </w:rPr>
        <w:t>.</w:t>
      </w:r>
      <w:r w:rsidR="0036045C" w:rsidRPr="001005B7">
        <w:rPr>
          <w:rFonts w:cstheme="minorHAnsi"/>
          <w:lang w:eastAsia="en-GB"/>
        </w:rPr>
        <w:t xml:space="preserve"> </w:t>
      </w:r>
      <w:r w:rsidR="00A21A18" w:rsidRPr="001005B7">
        <w:rPr>
          <w:rFonts w:cstheme="minorHAnsi"/>
          <w:lang w:eastAsia="en-GB"/>
        </w:rPr>
        <w:t>Apparent</w:t>
      </w:r>
      <w:r w:rsidR="004B6E7C" w:rsidRPr="001005B7">
        <w:rPr>
          <w:rFonts w:cstheme="minorHAnsi"/>
          <w:lang w:eastAsia="en-GB"/>
        </w:rPr>
        <w:t>ly th</w:t>
      </w:r>
      <w:r w:rsidR="003E6C31" w:rsidRPr="001005B7">
        <w:rPr>
          <w:rFonts w:cstheme="minorHAnsi"/>
          <w:lang w:eastAsia="en-GB"/>
        </w:rPr>
        <w:t>e</w:t>
      </w:r>
      <w:r w:rsidR="004B6E7C" w:rsidRPr="001005B7">
        <w:rPr>
          <w:rFonts w:cstheme="minorHAnsi"/>
          <w:lang w:eastAsia="en-GB"/>
        </w:rPr>
        <w:t xml:space="preserve"> visionary e</w:t>
      </w:r>
      <w:r w:rsidR="00AF65B0" w:rsidRPr="001005B7">
        <w:rPr>
          <w:rFonts w:cstheme="minorHAnsi"/>
          <w:lang w:eastAsia="en-GB"/>
        </w:rPr>
        <w:t>vent continues</w:t>
      </w:r>
      <w:r w:rsidR="000358C1" w:rsidRPr="001005B7">
        <w:rPr>
          <w:rFonts w:cstheme="minorHAnsi"/>
          <w:lang w:eastAsia="en-GB"/>
        </w:rPr>
        <w:t xml:space="preserve"> and</w:t>
      </w:r>
      <w:r w:rsidR="00134708" w:rsidRPr="001005B7">
        <w:rPr>
          <w:rFonts w:cstheme="minorHAnsi"/>
          <w:lang w:eastAsia="en-GB"/>
        </w:rPr>
        <w:t xml:space="preserve"> Yahweh enables Ezekiel to see a bodiless hand </w:t>
      </w:r>
      <w:r w:rsidR="00106948" w:rsidRPr="001005B7">
        <w:rPr>
          <w:rFonts w:cstheme="minorHAnsi"/>
          <w:lang w:eastAsia="en-GB"/>
        </w:rPr>
        <w:t xml:space="preserve">holding a scroll, </w:t>
      </w:r>
      <w:r w:rsidR="000358C1" w:rsidRPr="001005B7">
        <w:rPr>
          <w:rFonts w:cstheme="minorHAnsi"/>
          <w:lang w:eastAsia="en-GB"/>
        </w:rPr>
        <w:t>which</w:t>
      </w:r>
      <w:r w:rsidR="000C777C" w:rsidRPr="001005B7">
        <w:rPr>
          <w:rFonts w:cstheme="minorHAnsi"/>
          <w:lang w:eastAsia="en-GB"/>
        </w:rPr>
        <w:t xml:space="preserve"> he will </w:t>
      </w:r>
      <w:r w:rsidR="00C97818" w:rsidRPr="001005B7">
        <w:rPr>
          <w:rFonts w:cstheme="minorHAnsi"/>
          <w:lang w:eastAsia="en-GB"/>
        </w:rPr>
        <w:t xml:space="preserve">shortly </w:t>
      </w:r>
      <w:r w:rsidR="000C777C" w:rsidRPr="001005B7">
        <w:rPr>
          <w:rFonts w:cstheme="minorHAnsi"/>
          <w:lang w:eastAsia="en-GB"/>
        </w:rPr>
        <w:t xml:space="preserve">give </w:t>
      </w:r>
      <w:r w:rsidR="00106948" w:rsidRPr="001005B7">
        <w:rPr>
          <w:rFonts w:cstheme="minorHAnsi"/>
          <w:lang w:eastAsia="en-GB"/>
        </w:rPr>
        <w:t xml:space="preserve">Ezekiel the impression of eating. </w:t>
      </w:r>
      <w:r w:rsidR="000C777C" w:rsidRPr="001005B7">
        <w:rPr>
          <w:rFonts w:cstheme="minorHAnsi"/>
          <w:lang w:eastAsia="en-GB"/>
        </w:rPr>
        <w:t xml:space="preserve">Meanwhile </w:t>
      </w:r>
      <w:r w:rsidR="007D627B" w:rsidRPr="001005B7">
        <w:rPr>
          <w:rFonts w:cstheme="minorHAnsi"/>
          <w:lang w:eastAsia="en-GB"/>
        </w:rPr>
        <w:t xml:space="preserve">Yahweh unrolls </w:t>
      </w:r>
      <w:r w:rsidR="00C97818" w:rsidRPr="001005B7">
        <w:rPr>
          <w:rFonts w:cstheme="minorHAnsi"/>
          <w:lang w:eastAsia="en-GB"/>
        </w:rPr>
        <w:t>it</w:t>
      </w:r>
      <w:r w:rsidR="00AA4390" w:rsidRPr="001005B7">
        <w:rPr>
          <w:rFonts w:cstheme="minorHAnsi"/>
          <w:lang w:eastAsia="en-GB"/>
        </w:rPr>
        <w:t xml:space="preserve">. Ezekiel </w:t>
      </w:r>
      <w:r w:rsidR="007D627B" w:rsidRPr="001005B7">
        <w:rPr>
          <w:rFonts w:cstheme="minorHAnsi"/>
          <w:lang w:eastAsia="en-GB"/>
        </w:rPr>
        <w:t>and the readers</w:t>
      </w:r>
      <w:r w:rsidR="00AA4390" w:rsidRPr="001005B7">
        <w:rPr>
          <w:rFonts w:cstheme="minorHAnsi"/>
          <w:lang w:eastAsia="en-GB"/>
        </w:rPr>
        <w:t xml:space="preserve"> </w:t>
      </w:r>
      <w:r w:rsidR="007D627B" w:rsidRPr="001005B7">
        <w:rPr>
          <w:rFonts w:cstheme="minorHAnsi"/>
          <w:lang w:eastAsia="en-GB"/>
        </w:rPr>
        <w:t xml:space="preserve">become aware of how extensively </w:t>
      </w:r>
      <w:r w:rsidR="00AA4390" w:rsidRPr="001005B7">
        <w:rPr>
          <w:rFonts w:cstheme="minorHAnsi"/>
          <w:lang w:eastAsia="en-GB"/>
        </w:rPr>
        <w:t>the scroll</w:t>
      </w:r>
      <w:r w:rsidR="007D627B" w:rsidRPr="001005B7">
        <w:rPr>
          <w:rFonts w:cstheme="minorHAnsi"/>
          <w:lang w:eastAsia="en-GB"/>
        </w:rPr>
        <w:t xml:space="preserve"> i</w:t>
      </w:r>
      <w:r w:rsidR="00416C21" w:rsidRPr="001005B7">
        <w:rPr>
          <w:rFonts w:cstheme="minorHAnsi"/>
          <w:lang w:eastAsia="en-GB"/>
        </w:rPr>
        <w:t>s</w:t>
      </w:r>
      <w:r w:rsidR="007D627B" w:rsidRPr="001005B7">
        <w:rPr>
          <w:rFonts w:cstheme="minorHAnsi"/>
          <w:lang w:eastAsia="en-GB"/>
        </w:rPr>
        <w:t xml:space="preserve"> inscribed</w:t>
      </w:r>
      <w:r w:rsidR="00891FD7" w:rsidRPr="001005B7">
        <w:rPr>
          <w:rFonts w:cstheme="minorHAnsi"/>
          <w:lang w:eastAsia="en-GB"/>
        </w:rPr>
        <w:t>.</w:t>
      </w:r>
      <w:r w:rsidR="0070419D" w:rsidRPr="001005B7">
        <w:rPr>
          <w:rFonts w:cstheme="minorHAnsi"/>
          <w:lang w:eastAsia="en-GB"/>
        </w:rPr>
        <w:t xml:space="preserve"> </w:t>
      </w:r>
      <w:r w:rsidR="00081374" w:rsidRPr="001005B7">
        <w:rPr>
          <w:rFonts w:cstheme="minorHAnsi"/>
          <w:lang w:eastAsia="en-GB"/>
        </w:rPr>
        <w:t xml:space="preserve">With an actual scroll, if it were papyrus, then writing on both sides would not be odd, </w:t>
      </w:r>
      <w:r w:rsidR="00156890" w:rsidRPr="001005B7">
        <w:rPr>
          <w:rFonts w:cstheme="minorHAnsi"/>
          <w:lang w:eastAsia="en-GB"/>
        </w:rPr>
        <w:t>though</w:t>
      </w:r>
      <w:r w:rsidR="00081374" w:rsidRPr="001005B7">
        <w:rPr>
          <w:rFonts w:cstheme="minorHAnsi"/>
          <w:lang w:eastAsia="en-GB"/>
        </w:rPr>
        <w:t xml:space="preserve"> if it were skin, </w:t>
      </w:r>
      <w:r w:rsidR="008E5063" w:rsidRPr="001005B7">
        <w:rPr>
          <w:rFonts w:cstheme="minorHAnsi"/>
          <w:lang w:eastAsia="en-GB"/>
        </w:rPr>
        <w:t xml:space="preserve">it </w:t>
      </w:r>
      <w:r w:rsidR="00AD4079" w:rsidRPr="001005B7">
        <w:rPr>
          <w:rFonts w:cstheme="minorHAnsi"/>
          <w:lang w:eastAsia="en-GB"/>
        </w:rPr>
        <w:t>might</w:t>
      </w:r>
      <w:r w:rsidR="00081374" w:rsidRPr="001005B7">
        <w:rPr>
          <w:rFonts w:cstheme="minorHAnsi"/>
          <w:lang w:eastAsia="en-GB"/>
        </w:rPr>
        <w:t xml:space="preserve"> be impossible.</w:t>
      </w:r>
      <w:r w:rsidR="000C2F4A" w:rsidRPr="001005B7">
        <w:rPr>
          <w:rFonts w:cstheme="minorHAnsi"/>
          <w:lang w:eastAsia="en-GB"/>
        </w:rPr>
        <w:t xml:space="preserve"> But asking about practicalities likely misses the point</w:t>
      </w:r>
      <w:r w:rsidR="007240AD" w:rsidRPr="001005B7">
        <w:rPr>
          <w:rFonts w:cstheme="minorHAnsi"/>
          <w:lang w:eastAsia="en-GB"/>
        </w:rPr>
        <w:t>.</w:t>
      </w:r>
      <w:r w:rsidR="000C2F4A" w:rsidRPr="001005B7">
        <w:rPr>
          <w:rFonts w:cstheme="minorHAnsi"/>
          <w:lang w:eastAsia="en-GB"/>
        </w:rPr>
        <w:t xml:space="preserve"> Ezekiel is relating something that happen</w:t>
      </w:r>
      <w:r w:rsidR="00F46900" w:rsidRPr="001005B7">
        <w:rPr>
          <w:rFonts w:cstheme="minorHAnsi"/>
          <w:lang w:eastAsia="en-GB"/>
        </w:rPr>
        <w:t>s</w:t>
      </w:r>
      <w:r w:rsidR="000C2F4A" w:rsidRPr="001005B7">
        <w:rPr>
          <w:rFonts w:cstheme="minorHAnsi"/>
          <w:lang w:eastAsia="en-GB"/>
        </w:rPr>
        <w:t xml:space="preserve"> in a vision. </w:t>
      </w:r>
      <w:r w:rsidR="006C2D27" w:rsidRPr="001005B7">
        <w:rPr>
          <w:rFonts w:cstheme="minorHAnsi"/>
          <w:lang w:eastAsia="en-GB"/>
        </w:rPr>
        <w:t>The extent</w:t>
      </w:r>
      <w:r w:rsidR="00F85F76" w:rsidRPr="001005B7">
        <w:rPr>
          <w:rFonts w:cstheme="minorHAnsi"/>
          <w:lang w:eastAsia="en-GB"/>
        </w:rPr>
        <w:t xml:space="preserve"> of the writing on the scroll</w:t>
      </w:r>
      <w:r w:rsidR="000C2F4A" w:rsidRPr="001005B7">
        <w:rPr>
          <w:rFonts w:cstheme="minorHAnsi"/>
          <w:lang w:eastAsia="en-GB"/>
        </w:rPr>
        <w:t xml:space="preserve"> stands for the fact there is much for him to assimilate and share with his people</w:t>
      </w:r>
      <w:r w:rsidR="00F46900" w:rsidRPr="001005B7">
        <w:rPr>
          <w:rFonts w:cstheme="minorHAnsi"/>
          <w:lang w:eastAsia="en-GB"/>
        </w:rPr>
        <w:t>. A</w:t>
      </w:r>
      <w:r w:rsidR="00115FCB" w:rsidRPr="001005B7">
        <w:rPr>
          <w:rFonts w:cstheme="minorHAnsi"/>
          <w:lang w:eastAsia="en-GB"/>
        </w:rPr>
        <w:t xml:space="preserve">ll his words will come from his having assimilated Yahweh’s message, </w:t>
      </w:r>
      <w:r w:rsidR="000C2F4A" w:rsidRPr="001005B7">
        <w:rPr>
          <w:rFonts w:cstheme="minorHAnsi"/>
          <w:lang w:eastAsia="en-GB"/>
        </w:rPr>
        <w:t xml:space="preserve">and it </w:t>
      </w:r>
      <w:r w:rsidR="00147A26" w:rsidRPr="001005B7">
        <w:rPr>
          <w:rFonts w:cstheme="minorHAnsi"/>
          <w:lang w:eastAsia="en-GB"/>
        </w:rPr>
        <w:t>will</w:t>
      </w:r>
      <w:r w:rsidR="000C2F4A" w:rsidRPr="001005B7">
        <w:rPr>
          <w:rFonts w:cstheme="minorHAnsi"/>
          <w:lang w:eastAsia="en-GB"/>
        </w:rPr>
        <w:t xml:space="preserve"> all</w:t>
      </w:r>
      <w:r w:rsidR="00147A26" w:rsidRPr="001005B7">
        <w:rPr>
          <w:rFonts w:cstheme="minorHAnsi"/>
          <w:lang w:eastAsia="en-GB"/>
        </w:rPr>
        <w:t xml:space="preserve"> be</w:t>
      </w:r>
      <w:r w:rsidR="000C2F4A" w:rsidRPr="001005B7">
        <w:rPr>
          <w:rFonts w:cstheme="minorHAnsi"/>
          <w:lang w:eastAsia="en-GB"/>
        </w:rPr>
        <w:t xml:space="preserve"> expressed in</w:t>
      </w:r>
      <w:r w:rsidR="004D2A7E" w:rsidRPr="001005B7">
        <w:rPr>
          <w:rFonts w:cstheme="minorHAnsi"/>
          <w:lang w:eastAsia="en-GB"/>
        </w:rPr>
        <w:t xml:space="preserve"> </w:t>
      </w:r>
      <w:r w:rsidR="00820EC8" w:rsidRPr="001005B7">
        <w:rPr>
          <w:rFonts w:cstheme="minorHAnsi"/>
          <w:lang w:eastAsia="en-GB"/>
        </w:rPr>
        <w:t>“</w:t>
      </w:r>
      <w:r w:rsidR="004D2A7E" w:rsidRPr="001005B7">
        <w:rPr>
          <w:rFonts w:cstheme="minorHAnsi"/>
          <w:lang w:eastAsia="en-GB"/>
        </w:rPr>
        <w:t>requiem</w:t>
      </w:r>
      <w:r w:rsidR="000C2F4A" w:rsidRPr="001005B7">
        <w:rPr>
          <w:rFonts w:cstheme="minorHAnsi"/>
          <w:i/>
          <w:iCs/>
          <w:lang w:eastAsia="en-GB"/>
        </w:rPr>
        <w:t>s</w:t>
      </w:r>
      <w:r w:rsidR="00820EC8" w:rsidRPr="001005B7">
        <w:rPr>
          <w:rFonts w:cstheme="minorHAnsi"/>
          <w:lang w:eastAsia="en-GB"/>
        </w:rPr>
        <w:t>”</w:t>
      </w:r>
      <w:r w:rsidR="000C2F4A" w:rsidRPr="001005B7">
        <w:rPr>
          <w:rFonts w:cstheme="minorHAnsi"/>
          <w:lang w:eastAsia="en-GB"/>
        </w:rPr>
        <w:t xml:space="preserve"> </w:t>
      </w:r>
      <w:r w:rsidR="00820EC8" w:rsidRPr="001005B7">
        <w:rPr>
          <w:rFonts w:cstheme="minorHAnsi"/>
          <w:lang w:eastAsia="en-GB"/>
        </w:rPr>
        <w:t xml:space="preserve">or </w:t>
      </w:r>
      <w:r w:rsidR="000C2F4A" w:rsidRPr="001005B7">
        <w:rPr>
          <w:rFonts w:cstheme="minorHAnsi"/>
          <w:lang w:eastAsia="en-GB"/>
        </w:rPr>
        <w:t>mourning chants,</w:t>
      </w:r>
      <w:r w:rsidR="000C2F4A" w:rsidRPr="001005B7">
        <w:rPr>
          <w:rFonts w:cstheme="minorHAnsi"/>
          <w:i/>
          <w:iCs/>
          <w:lang w:eastAsia="en-GB"/>
        </w:rPr>
        <w:t xml:space="preserve"> </w:t>
      </w:r>
      <w:r w:rsidR="000C2F4A" w:rsidRPr="001005B7">
        <w:rPr>
          <w:rFonts w:cstheme="minorHAnsi"/>
          <w:lang w:eastAsia="en-GB"/>
        </w:rPr>
        <w:t xml:space="preserve">in </w:t>
      </w:r>
      <w:r w:rsidR="00820EC8" w:rsidRPr="001005B7">
        <w:rPr>
          <w:rFonts w:cstheme="minorHAnsi"/>
          <w:lang w:eastAsia="en-GB"/>
        </w:rPr>
        <w:t>“</w:t>
      </w:r>
      <w:r w:rsidR="000C2F4A" w:rsidRPr="001005B7">
        <w:rPr>
          <w:rFonts w:cstheme="minorHAnsi"/>
          <w:lang w:eastAsia="en-GB"/>
        </w:rPr>
        <w:t>moaning</w:t>
      </w:r>
      <w:r w:rsidR="00820EC8" w:rsidRPr="001005B7">
        <w:rPr>
          <w:rFonts w:cstheme="minorHAnsi"/>
          <w:lang w:eastAsia="en-GB"/>
        </w:rPr>
        <w:t>”</w:t>
      </w:r>
      <w:r w:rsidR="000C2F4A" w:rsidRPr="001005B7">
        <w:rPr>
          <w:rFonts w:cstheme="minorHAnsi"/>
          <w:lang w:eastAsia="en-GB"/>
        </w:rPr>
        <w:t xml:space="preserve"> </w:t>
      </w:r>
      <w:r w:rsidR="00AC5BDB" w:rsidRPr="001005B7">
        <w:rPr>
          <w:rFonts w:cstheme="minorHAnsi"/>
          <w:lang w:eastAsia="en-GB"/>
        </w:rPr>
        <w:t xml:space="preserve">or </w:t>
      </w:r>
      <w:r w:rsidR="000C2F4A" w:rsidRPr="001005B7">
        <w:rPr>
          <w:rFonts w:cstheme="minorHAnsi"/>
          <w:lang w:eastAsia="en-GB"/>
        </w:rPr>
        <w:t>lamenting,</w:t>
      </w:r>
      <w:r w:rsidR="000C2F4A" w:rsidRPr="001005B7">
        <w:rPr>
          <w:rFonts w:cstheme="minorHAnsi"/>
          <w:i/>
          <w:iCs/>
          <w:lang w:eastAsia="en-GB"/>
        </w:rPr>
        <w:t xml:space="preserve"> </w:t>
      </w:r>
      <w:r w:rsidR="000C2F4A" w:rsidRPr="001005B7">
        <w:rPr>
          <w:rFonts w:cstheme="minorHAnsi"/>
          <w:lang w:eastAsia="en-GB"/>
        </w:rPr>
        <w:t>and</w:t>
      </w:r>
      <w:r w:rsidR="000C2F4A" w:rsidRPr="001005B7">
        <w:rPr>
          <w:rFonts w:cstheme="minorHAnsi"/>
          <w:i/>
          <w:iCs/>
          <w:lang w:eastAsia="en-GB"/>
        </w:rPr>
        <w:t xml:space="preserve"> </w:t>
      </w:r>
      <w:r w:rsidR="000C2F4A" w:rsidRPr="001005B7">
        <w:rPr>
          <w:rFonts w:cstheme="minorHAnsi"/>
          <w:lang w:eastAsia="en-GB"/>
        </w:rPr>
        <w:t xml:space="preserve">in </w:t>
      </w:r>
      <w:r w:rsidR="00AC5BDB" w:rsidRPr="001005B7">
        <w:rPr>
          <w:rFonts w:cstheme="minorHAnsi"/>
          <w:lang w:eastAsia="en-GB"/>
        </w:rPr>
        <w:t>“</w:t>
      </w:r>
      <w:r w:rsidR="000C2F4A" w:rsidRPr="001005B7">
        <w:rPr>
          <w:rFonts w:cstheme="minorHAnsi"/>
          <w:lang w:eastAsia="en-GB"/>
        </w:rPr>
        <w:t>oh</w:t>
      </w:r>
      <w:r w:rsidR="00CB5639" w:rsidRPr="001005B7">
        <w:rPr>
          <w:rFonts w:cstheme="minorHAnsi"/>
          <w:lang w:eastAsia="en-GB"/>
        </w:rPr>
        <w:t>,”</w:t>
      </w:r>
      <w:r w:rsidR="000C2F4A" w:rsidRPr="001005B7">
        <w:rPr>
          <w:rFonts w:cstheme="minorHAnsi"/>
          <w:lang w:eastAsia="en-GB"/>
        </w:rPr>
        <w:t xml:space="preserve"> an inarticulate cry</w:t>
      </w:r>
      <w:r w:rsidR="00DF39ED" w:rsidRPr="001005B7">
        <w:rPr>
          <w:rFonts w:cstheme="minorHAnsi"/>
          <w:lang w:eastAsia="en-GB"/>
        </w:rPr>
        <w:t>—</w:t>
      </w:r>
      <w:r w:rsidR="000C2F4A" w:rsidRPr="001005B7">
        <w:rPr>
          <w:rFonts w:cstheme="minorHAnsi"/>
          <w:lang w:eastAsia="en-GB"/>
        </w:rPr>
        <w:t>that is, threats of calamity that will arouse such reactions.</w:t>
      </w:r>
    </w:p>
    <w:p w14:paraId="49D10944" w14:textId="2078D024" w:rsidR="004245E2" w:rsidRPr="001005B7" w:rsidRDefault="004A7AF9" w:rsidP="009F7D0F">
      <w:pPr>
        <w:rPr>
          <w:rFonts w:cstheme="minorHAnsi"/>
          <w:lang w:eastAsia="en-GB"/>
        </w:rPr>
      </w:pPr>
      <w:r w:rsidRPr="001005B7">
        <w:rPr>
          <w:rFonts w:cstheme="minorHAnsi"/>
          <w:b/>
          <w:bCs/>
          <w:lang w:eastAsia="en-GB"/>
        </w:rPr>
        <w:t>3:1</w:t>
      </w:r>
      <w:r w:rsidR="00F46900" w:rsidRPr="001005B7">
        <w:rPr>
          <w:rFonts w:cstheme="minorHAnsi"/>
          <w:b/>
          <w:bCs/>
          <w:lang w:eastAsia="en-GB"/>
        </w:rPr>
        <w:t>–</w:t>
      </w:r>
      <w:r w:rsidRPr="001005B7">
        <w:rPr>
          <w:rFonts w:cstheme="minorHAnsi"/>
          <w:b/>
          <w:bCs/>
          <w:lang w:eastAsia="en-GB"/>
        </w:rPr>
        <w:t xml:space="preserve">3 </w:t>
      </w:r>
      <w:r w:rsidRPr="001005B7">
        <w:rPr>
          <w:rFonts w:cstheme="minorHAnsi"/>
          <w:lang w:eastAsia="en-GB"/>
        </w:rPr>
        <w:t xml:space="preserve">Again, </w:t>
      </w:r>
      <w:r w:rsidR="004C0C37" w:rsidRPr="001005B7">
        <w:rPr>
          <w:rFonts w:cstheme="minorHAnsi"/>
          <w:lang w:eastAsia="en-GB"/>
        </w:rPr>
        <w:t>really</w:t>
      </w:r>
      <w:r w:rsidR="00BD6ADA" w:rsidRPr="001005B7">
        <w:rPr>
          <w:rFonts w:cstheme="minorHAnsi"/>
          <w:lang w:eastAsia="en-GB"/>
        </w:rPr>
        <w:t xml:space="preserve"> </w:t>
      </w:r>
      <w:r w:rsidR="00B51ED7" w:rsidRPr="001005B7">
        <w:rPr>
          <w:rFonts w:cstheme="minorHAnsi"/>
          <w:lang w:eastAsia="en-GB"/>
        </w:rPr>
        <w:t>eating</w:t>
      </w:r>
      <w:r w:rsidR="003F436C" w:rsidRPr="001005B7">
        <w:rPr>
          <w:rFonts w:cstheme="minorHAnsi"/>
          <w:lang w:eastAsia="en-GB"/>
        </w:rPr>
        <w:t xml:space="preserve"> a</w:t>
      </w:r>
      <w:r w:rsidR="00BD6ADA" w:rsidRPr="001005B7">
        <w:rPr>
          <w:rFonts w:cstheme="minorHAnsi"/>
          <w:lang w:eastAsia="en-GB"/>
        </w:rPr>
        <w:t xml:space="preserve"> </w:t>
      </w:r>
      <w:r w:rsidR="00B51ED7" w:rsidRPr="001005B7">
        <w:rPr>
          <w:rFonts w:cstheme="minorHAnsi"/>
          <w:lang w:eastAsia="en-GB"/>
        </w:rPr>
        <w:t xml:space="preserve">papyrus </w:t>
      </w:r>
      <w:r w:rsidR="003F436C" w:rsidRPr="001005B7">
        <w:rPr>
          <w:rFonts w:cstheme="minorHAnsi"/>
          <w:lang w:eastAsia="en-GB"/>
        </w:rPr>
        <w:t>scroll</w:t>
      </w:r>
      <w:r w:rsidR="00891FD7" w:rsidRPr="001005B7">
        <w:rPr>
          <w:rFonts w:cstheme="minorHAnsi"/>
          <w:lang w:eastAsia="en-GB"/>
        </w:rPr>
        <w:t xml:space="preserve"> would </w:t>
      </w:r>
      <w:r w:rsidR="00D83C98" w:rsidRPr="001005B7">
        <w:rPr>
          <w:rFonts w:cstheme="minorHAnsi"/>
          <w:lang w:eastAsia="en-GB"/>
        </w:rPr>
        <w:t xml:space="preserve">be </w:t>
      </w:r>
      <w:r w:rsidR="00003BDC" w:rsidRPr="001005B7">
        <w:rPr>
          <w:rFonts w:cstheme="minorHAnsi"/>
          <w:lang w:eastAsia="en-GB"/>
        </w:rPr>
        <w:t>strange but</w:t>
      </w:r>
      <w:r w:rsidR="00D83C98" w:rsidRPr="001005B7">
        <w:rPr>
          <w:rFonts w:cstheme="minorHAnsi"/>
          <w:lang w:eastAsia="en-GB"/>
        </w:rPr>
        <w:t xml:space="preserve"> </w:t>
      </w:r>
      <w:r w:rsidR="00891FD7" w:rsidRPr="001005B7">
        <w:rPr>
          <w:rFonts w:cstheme="minorHAnsi"/>
          <w:lang w:eastAsia="en-GB"/>
        </w:rPr>
        <w:t>not impossible</w:t>
      </w:r>
      <w:r w:rsidR="00E9548D" w:rsidRPr="001005B7">
        <w:rPr>
          <w:rFonts w:cstheme="minorHAnsi"/>
          <w:lang w:eastAsia="en-GB"/>
        </w:rPr>
        <w:t xml:space="preserve">, </w:t>
      </w:r>
      <w:r w:rsidR="00003BDC" w:rsidRPr="001005B7">
        <w:rPr>
          <w:rFonts w:cstheme="minorHAnsi"/>
          <w:lang w:eastAsia="en-GB"/>
        </w:rPr>
        <w:t xml:space="preserve">while </w:t>
      </w:r>
      <w:r w:rsidR="00F56DC6" w:rsidRPr="001005B7">
        <w:rPr>
          <w:rFonts w:cstheme="minorHAnsi"/>
          <w:lang w:eastAsia="en-GB"/>
        </w:rPr>
        <w:t>really</w:t>
      </w:r>
      <w:r w:rsidR="00891FD7" w:rsidRPr="001005B7">
        <w:rPr>
          <w:rFonts w:cstheme="minorHAnsi"/>
          <w:lang w:eastAsia="en-GB"/>
        </w:rPr>
        <w:t xml:space="preserve"> eating</w:t>
      </w:r>
      <w:r w:rsidR="006453F4" w:rsidRPr="001005B7">
        <w:rPr>
          <w:rFonts w:cstheme="minorHAnsi"/>
          <w:lang w:eastAsia="en-GB"/>
        </w:rPr>
        <w:t xml:space="preserve"> a scroll made of skins</w:t>
      </w:r>
      <w:r w:rsidR="00891FD7" w:rsidRPr="001005B7">
        <w:rPr>
          <w:rFonts w:cstheme="minorHAnsi"/>
          <w:lang w:eastAsia="en-GB"/>
        </w:rPr>
        <w:t xml:space="preserve"> </w:t>
      </w:r>
      <w:r w:rsidR="001F766E" w:rsidRPr="001005B7">
        <w:rPr>
          <w:rFonts w:cstheme="minorHAnsi"/>
          <w:lang w:eastAsia="en-GB"/>
        </w:rPr>
        <w:t>would be even</w:t>
      </w:r>
      <w:r w:rsidR="00891FD7" w:rsidRPr="001005B7">
        <w:rPr>
          <w:rFonts w:cstheme="minorHAnsi"/>
          <w:lang w:eastAsia="en-GB"/>
        </w:rPr>
        <w:t xml:space="preserve"> </w:t>
      </w:r>
      <w:r w:rsidR="005F707C" w:rsidRPr="001005B7">
        <w:rPr>
          <w:rFonts w:cstheme="minorHAnsi"/>
          <w:lang w:eastAsia="en-GB"/>
        </w:rPr>
        <w:t xml:space="preserve">odder </w:t>
      </w:r>
      <w:r w:rsidR="001F766E" w:rsidRPr="001005B7">
        <w:rPr>
          <w:rFonts w:cstheme="minorHAnsi"/>
          <w:lang w:eastAsia="en-GB"/>
        </w:rPr>
        <w:t>and more difficult</w:t>
      </w:r>
      <w:r w:rsidR="00F46900" w:rsidRPr="001005B7">
        <w:rPr>
          <w:rFonts w:cstheme="minorHAnsi"/>
          <w:lang w:eastAsia="en-GB"/>
        </w:rPr>
        <w:t>,</w:t>
      </w:r>
      <w:r w:rsidR="001F766E" w:rsidRPr="001005B7">
        <w:rPr>
          <w:rFonts w:cstheme="minorHAnsi"/>
          <w:lang w:eastAsia="en-GB"/>
        </w:rPr>
        <w:t xml:space="preserve"> </w:t>
      </w:r>
      <w:r w:rsidR="0067625D" w:rsidRPr="001005B7">
        <w:rPr>
          <w:rFonts w:cstheme="minorHAnsi"/>
          <w:lang w:eastAsia="en-GB"/>
        </w:rPr>
        <w:t>though</w:t>
      </w:r>
      <w:r w:rsidR="005F707C" w:rsidRPr="001005B7">
        <w:rPr>
          <w:rFonts w:cstheme="minorHAnsi"/>
          <w:lang w:eastAsia="en-GB"/>
        </w:rPr>
        <w:t xml:space="preserve"> also not</w:t>
      </w:r>
      <w:r w:rsidR="002711D9" w:rsidRPr="001005B7">
        <w:rPr>
          <w:rFonts w:cstheme="minorHAnsi"/>
          <w:lang w:eastAsia="en-GB"/>
        </w:rPr>
        <w:t xml:space="preserve"> totally</w:t>
      </w:r>
      <w:r w:rsidR="005F707C" w:rsidRPr="001005B7">
        <w:rPr>
          <w:rFonts w:cstheme="minorHAnsi"/>
          <w:lang w:eastAsia="en-GB"/>
        </w:rPr>
        <w:t xml:space="preserve"> impossible</w:t>
      </w:r>
      <w:r w:rsidR="00184CAE" w:rsidRPr="001005B7">
        <w:rPr>
          <w:rFonts w:cstheme="minorHAnsi"/>
          <w:lang w:eastAsia="en-GB"/>
        </w:rPr>
        <w:t>, b</w:t>
      </w:r>
      <w:r w:rsidR="00745B5C" w:rsidRPr="001005B7">
        <w:rPr>
          <w:rFonts w:cstheme="minorHAnsi"/>
          <w:lang w:eastAsia="en-GB"/>
        </w:rPr>
        <w:t>u</w:t>
      </w:r>
      <w:r w:rsidR="00C408C1" w:rsidRPr="001005B7">
        <w:rPr>
          <w:rFonts w:cstheme="minorHAnsi"/>
          <w:lang w:eastAsia="en-GB"/>
        </w:rPr>
        <w:t>t asking about p</w:t>
      </w:r>
      <w:r w:rsidR="009209C1" w:rsidRPr="001005B7">
        <w:rPr>
          <w:rFonts w:cstheme="minorHAnsi"/>
          <w:lang w:eastAsia="en-GB"/>
        </w:rPr>
        <w:t xml:space="preserve">racticalities </w:t>
      </w:r>
      <w:r w:rsidR="00DF7204" w:rsidRPr="001005B7">
        <w:rPr>
          <w:rFonts w:cstheme="minorHAnsi"/>
          <w:lang w:eastAsia="en-GB"/>
        </w:rPr>
        <w:t xml:space="preserve">again </w:t>
      </w:r>
      <w:r w:rsidR="009209C1" w:rsidRPr="001005B7">
        <w:rPr>
          <w:rFonts w:cstheme="minorHAnsi"/>
          <w:lang w:eastAsia="en-GB"/>
        </w:rPr>
        <w:t>misses the point</w:t>
      </w:r>
      <w:r w:rsidR="00745B5C" w:rsidRPr="001005B7">
        <w:rPr>
          <w:rFonts w:cstheme="minorHAnsi"/>
          <w:lang w:eastAsia="en-GB"/>
        </w:rPr>
        <w:t>. The experience in the</w:t>
      </w:r>
      <w:r w:rsidR="009209C1" w:rsidRPr="001005B7">
        <w:rPr>
          <w:rFonts w:cstheme="minorHAnsi"/>
          <w:lang w:eastAsia="en-GB"/>
        </w:rPr>
        <w:t xml:space="preserve"> vision </w:t>
      </w:r>
      <w:r w:rsidR="00FE396D" w:rsidRPr="001005B7">
        <w:rPr>
          <w:rFonts w:cstheme="minorHAnsi"/>
          <w:lang w:eastAsia="en-GB"/>
        </w:rPr>
        <w:t>signifies Ezekiel’s</w:t>
      </w:r>
      <w:r w:rsidR="00046DC7" w:rsidRPr="001005B7">
        <w:rPr>
          <w:rFonts w:cstheme="minorHAnsi"/>
          <w:lang w:eastAsia="en-GB"/>
        </w:rPr>
        <w:t xml:space="preserve"> being given his message</w:t>
      </w:r>
      <w:r w:rsidR="001F61B6" w:rsidRPr="001005B7">
        <w:rPr>
          <w:rFonts w:cstheme="minorHAnsi"/>
          <w:lang w:eastAsia="en-GB"/>
        </w:rPr>
        <w:t xml:space="preserve"> and</w:t>
      </w:r>
      <w:r w:rsidR="00046DC7" w:rsidRPr="001005B7">
        <w:rPr>
          <w:rFonts w:cstheme="minorHAnsi"/>
          <w:lang w:eastAsia="en-GB"/>
        </w:rPr>
        <w:t xml:space="preserve"> being initiated into his task</w:t>
      </w:r>
      <w:r w:rsidR="00403B7E" w:rsidRPr="001005B7">
        <w:rPr>
          <w:rFonts w:cstheme="minorHAnsi"/>
          <w:lang w:eastAsia="en-GB"/>
        </w:rPr>
        <w:t xml:space="preserve">. </w:t>
      </w:r>
      <w:r w:rsidR="00187244" w:rsidRPr="001005B7">
        <w:rPr>
          <w:rFonts w:cstheme="minorHAnsi"/>
          <w:lang w:eastAsia="en-GB"/>
        </w:rPr>
        <w:t>He i</w:t>
      </w:r>
      <w:r w:rsidR="000F3565" w:rsidRPr="001005B7">
        <w:rPr>
          <w:rFonts w:cstheme="minorHAnsi"/>
          <w:lang w:eastAsia="en-GB"/>
        </w:rPr>
        <w:t>s to assimilate the scroll so that its message becomes part of him</w:t>
      </w:r>
      <w:r w:rsidR="003B287E" w:rsidRPr="001005B7">
        <w:rPr>
          <w:rFonts w:cstheme="minorHAnsi"/>
          <w:lang w:eastAsia="en-GB"/>
        </w:rPr>
        <w:t xml:space="preserve">. </w:t>
      </w:r>
      <w:r w:rsidR="00F46900" w:rsidRPr="001005B7">
        <w:rPr>
          <w:rFonts w:cstheme="minorHAnsi"/>
          <w:lang w:eastAsia="en-GB"/>
        </w:rPr>
        <w:t>T</w:t>
      </w:r>
      <w:r w:rsidR="00991C2D" w:rsidRPr="001005B7">
        <w:rPr>
          <w:rFonts w:cstheme="minorHAnsi"/>
          <w:lang w:eastAsia="en-GB"/>
        </w:rPr>
        <w:t xml:space="preserve">here us something beyond that: </w:t>
      </w:r>
      <w:r w:rsidR="00991C2D" w:rsidRPr="001005B7">
        <w:rPr>
          <w:rFonts w:ascii="AGaramond-Regular" w:hAnsi="AGaramond-Regular" w:cs="AGaramond-Regular"/>
          <w:sz w:val="23"/>
          <w:szCs w:val="23"/>
        </w:rPr>
        <w:t>“</w:t>
      </w:r>
      <w:r w:rsidR="00991C2D" w:rsidRPr="001005B7">
        <w:rPr>
          <w:rFonts w:ascii="Calibri" w:hAnsi="Calibri" w:cs="Calibri"/>
        </w:rPr>
        <w:t>by eating the scroll, Ezekiel takes into his inner being the fate of</w:t>
      </w:r>
      <w:r w:rsidR="00991C2D" w:rsidRPr="001005B7">
        <w:rPr>
          <w:rFonts w:ascii="Calibri" w:hAnsi="Calibri" w:cs="Calibri"/>
          <w:lang w:eastAsia="en-GB"/>
        </w:rPr>
        <w:t xml:space="preserve"> </w:t>
      </w:r>
      <w:r w:rsidR="00991C2D" w:rsidRPr="001005B7">
        <w:rPr>
          <w:rFonts w:ascii="Calibri" w:hAnsi="Calibri" w:cs="Calibri"/>
        </w:rPr>
        <w:t>his people”</w:t>
      </w:r>
      <w:r w:rsidR="005D6D3D" w:rsidRPr="001005B7">
        <w:rPr>
          <w:rFonts w:ascii="Calibri" w:hAnsi="Calibri" w:cs="Calibri"/>
        </w:rPr>
        <w:t xml:space="preserve"> (</w:t>
      </w:r>
      <w:r w:rsidR="005D6D3D" w:rsidRPr="001005B7">
        <w:t>Odell, 45</w:t>
      </w:r>
      <w:r w:rsidR="00A128BF" w:rsidRPr="001005B7">
        <w:t>)</w:t>
      </w:r>
      <w:r w:rsidR="005D6D3D" w:rsidRPr="001005B7">
        <w:t>.</w:t>
      </w:r>
      <w:r w:rsidR="00991C2D" w:rsidRPr="001005B7">
        <w:rPr>
          <w:rFonts w:cstheme="minorHAnsi"/>
          <w:lang w:eastAsia="en-GB"/>
        </w:rPr>
        <w:t xml:space="preserve"> </w:t>
      </w:r>
      <w:r w:rsidR="00F46A06" w:rsidRPr="001005B7">
        <w:rPr>
          <w:rFonts w:cstheme="minorHAnsi"/>
          <w:lang w:eastAsia="en-GB"/>
        </w:rPr>
        <w:t xml:space="preserve">He accepts it. </w:t>
      </w:r>
      <w:r w:rsidR="0038067D" w:rsidRPr="001005B7">
        <w:rPr>
          <w:rFonts w:cstheme="minorHAnsi"/>
          <w:lang w:eastAsia="en-GB"/>
        </w:rPr>
        <w:t>But i</w:t>
      </w:r>
      <w:r w:rsidR="003B287E" w:rsidRPr="001005B7">
        <w:rPr>
          <w:rFonts w:cstheme="minorHAnsi"/>
          <w:lang w:eastAsia="en-GB"/>
        </w:rPr>
        <w:t>n cont</w:t>
      </w:r>
      <w:r w:rsidR="008C26E8" w:rsidRPr="001005B7">
        <w:rPr>
          <w:rFonts w:cstheme="minorHAnsi"/>
          <w:lang w:eastAsia="en-GB"/>
        </w:rPr>
        <w:t>r</w:t>
      </w:r>
      <w:r w:rsidR="003B287E" w:rsidRPr="001005B7">
        <w:rPr>
          <w:rFonts w:cstheme="minorHAnsi"/>
          <w:lang w:eastAsia="en-GB"/>
        </w:rPr>
        <w:t xml:space="preserve">ast to its ominous </w:t>
      </w:r>
      <w:r w:rsidR="0038067D" w:rsidRPr="001005B7">
        <w:rPr>
          <w:rFonts w:cstheme="minorHAnsi"/>
          <w:lang w:eastAsia="en-GB"/>
        </w:rPr>
        <w:t xml:space="preserve">and calamitous </w:t>
      </w:r>
      <w:r w:rsidR="003B287E" w:rsidRPr="001005B7">
        <w:rPr>
          <w:rFonts w:cstheme="minorHAnsi"/>
          <w:lang w:eastAsia="en-GB"/>
        </w:rPr>
        <w:t xml:space="preserve">nature, </w:t>
      </w:r>
      <w:r w:rsidR="00F46A06" w:rsidRPr="001005B7">
        <w:rPr>
          <w:rFonts w:cstheme="minorHAnsi"/>
          <w:lang w:eastAsia="en-GB"/>
        </w:rPr>
        <w:t>the scroll</w:t>
      </w:r>
      <w:r w:rsidR="003B287E" w:rsidRPr="001005B7">
        <w:rPr>
          <w:rFonts w:cstheme="minorHAnsi"/>
          <w:lang w:eastAsia="en-GB"/>
        </w:rPr>
        <w:t xml:space="preserve"> tastes sweet to him: that is, </w:t>
      </w:r>
      <w:r w:rsidR="00D945F1" w:rsidRPr="001005B7">
        <w:rPr>
          <w:rFonts w:cstheme="minorHAnsi"/>
          <w:lang w:eastAsia="en-GB"/>
        </w:rPr>
        <w:t>he assimilates it readily</w:t>
      </w:r>
      <w:r w:rsidR="00E46DED" w:rsidRPr="001005B7">
        <w:rPr>
          <w:rFonts w:cstheme="minorHAnsi"/>
          <w:lang w:eastAsia="en-GB"/>
        </w:rPr>
        <w:t xml:space="preserve"> </w:t>
      </w:r>
      <w:r w:rsidR="00187244" w:rsidRPr="001005B7">
        <w:rPr>
          <w:rFonts w:cstheme="minorHAnsi"/>
          <w:lang w:eastAsia="en-GB"/>
        </w:rPr>
        <w:t xml:space="preserve">(cf. </w:t>
      </w:r>
      <w:r w:rsidR="002E42BA" w:rsidRPr="001005B7">
        <w:rPr>
          <w:rFonts w:cstheme="minorHAnsi"/>
          <w:lang w:eastAsia="en-GB"/>
        </w:rPr>
        <w:t>Jer 15:16</w:t>
      </w:r>
      <w:r w:rsidR="00187244" w:rsidRPr="001005B7">
        <w:rPr>
          <w:rFonts w:cstheme="minorHAnsi"/>
          <w:lang w:eastAsia="en-GB"/>
        </w:rPr>
        <w:t>).</w:t>
      </w:r>
    </w:p>
    <w:p w14:paraId="0A625D79" w14:textId="77A9E67C" w:rsidR="00F42FF2" w:rsidRPr="001005B7" w:rsidRDefault="00E27611" w:rsidP="00081058">
      <w:pPr>
        <w:rPr>
          <w:rFonts w:cstheme="minorHAnsi"/>
          <w:bCs/>
          <w:lang w:eastAsia="en-GB"/>
        </w:rPr>
      </w:pPr>
      <w:r w:rsidRPr="001005B7">
        <w:rPr>
          <w:rFonts w:cstheme="minorHAnsi"/>
          <w:b/>
          <w:lang w:eastAsia="en-GB"/>
        </w:rPr>
        <w:t>3:</w:t>
      </w:r>
      <w:r w:rsidR="00D84ED9" w:rsidRPr="001005B7">
        <w:rPr>
          <w:rFonts w:cstheme="minorHAnsi"/>
          <w:b/>
          <w:lang w:eastAsia="en-GB"/>
        </w:rPr>
        <w:t>4</w:t>
      </w:r>
      <w:r w:rsidR="00F46900" w:rsidRPr="001005B7">
        <w:rPr>
          <w:rFonts w:cstheme="minorHAnsi"/>
          <w:b/>
          <w:lang w:eastAsia="en-GB"/>
        </w:rPr>
        <w:t>–</w:t>
      </w:r>
      <w:r w:rsidR="004A56C1" w:rsidRPr="001005B7">
        <w:rPr>
          <w:rFonts w:cstheme="minorHAnsi"/>
          <w:b/>
          <w:lang w:eastAsia="en-GB"/>
        </w:rPr>
        <w:t>9</w:t>
      </w:r>
      <w:r w:rsidR="00037DAB" w:rsidRPr="001005B7">
        <w:rPr>
          <w:rFonts w:cstheme="minorHAnsi"/>
          <w:bCs/>
          <w:lang w:eastAsia="en-GB"/>
        </w:rPr>
        <w:t xml:space="preserve"> </w:t>
      </w:r>
      <w:r w:rsidR="004E244A" w:rsidRPr="001005B7">
        <w:rPr>
          <w:rFonts w:cstheme="minorHAnsi"/>
          <w:bCs/>
          <w:lang w:eastAsia="en-GB"/>
        </w:rPr>
        <w:t xml:space="preserve">Having </w:t>
      </w:r>
      <w:r w:rsidR="00F46900" w:rsidRPr="001005B7">
        <w:rPr>
          <w:rFonts w:cstheme="minorHAnsi"/>
          <w:bCs/>
          <w:lang w:eastAsia="en-GB"/>
        </w:rPr>
        <w:t>done so</w:t>
      </w:r>
      <w:r w:rsidR="004E244A" w:rsidRPr="001005B7">
        <w:rPr>
          <w:rFonts w:cstheme="minorHAnsi"/>
          <w:bCs/>
          <w:lang w:eastAsia="en-GB"/>
        </w:rPr>
        <w:t xml:space="preserve">, </w:t>
      </w:r>
      <w:r w:rsidR="00F46900" w:rsidRPr="001005B7">
        <w:rPr>
          <w:rFonts w:cstheme="minorHAnsi"/>
          <w:bCs/>
          <w:lang w:eastAsia="en-GB"/>
        </w:rPr>
        <w:t>he</w:t>
      </w:r>
      <w:r w:rsidR="00DD7E37" w:rsidRPr="001005B7">
        <w:rPr>
          <w:rFonts w:cstheme="minorHAnsi"/>
          <w:bCs/>
          <w:lang w:eastAsia="en-GB"/>
        </w:rPr>
        <w:t xml:space="preserve"> </w:t>
      </w:r>
      <w:r w:rsidR="007100D6" w:rsidRPr="001005B7">
        <w:rPr>
          <w:rFonts w:cstheme="minorHAnsi"/>
          <w:bCs/>
          <w:lang w:eastAsia="en-GB"/>
        </w:rPr>
        <w:t>is</w:t>
      </w:r>
      <w:r w:rsidR="00A74136" w:rsidRPr="001005B7">
        <w:rPr>
          <w:rFonts w:cstheme="minorHAnsi"/>
          <w:bCs/>
          <w:lang w:eastAsia="en-GB"/>
        </w:rPr>
        <w:t xml:space="preserve"> to go</w:t>
      </w:r>
      <w:r w:rsidR="00373BFA" w:rsidRPr="001005B7">
        <w:rPr>
          <w:rFonts w:cstheme="minorHAnsi"/>
          <w:bCs/>
          <w:lang w:eastAsia="en-GB"/>
        </w:rPr>
        <w:t xml:space="preserve"> to the people whose resistance Yahweh again </w:t>
      </w:r>
      <w:r w:rsidR="004D5415" w:rsidRPr="001005B7">
        <w:rPr>
          <w:rFonts w:cstheme="minorHAnsi"/>
          <w:bCs/>
          <w:lang w:eastAsia="en-GB"/>
        </w:rPr>
        <w:t xml:space="preserve">ironically </w:t>
      </w:r>
      <w:r w:rsidR="00373BFA" w:rsidRPr="001005B7">
        <w:rPr>
          <w:rFonts w:cstheme="minorHAnsi"/>
          <w:bCs/>
          <w:lang w:eastAsia="en-GB"/>
        </w:rPr>
        <w:t>notes</w:t>
      </w:r>
      <w:r w:rsidR="0084789D" w:rsidRPr="001005B7">
        <w:rPr>
          <w:rFonts w:cstheme="minorHAnsi"/>
          <w:bCs/>
          <w:lang w:eastAsia="en-GB"/>
        </w:rPr>
        <w:t>, and</w:t>
      </w:r>
      <w:r w:rsidR="005309D7" w:rsidRPr="001005B7">
        <w:rPr>
          <w:rFonts w:cstheme="minorHAnsi"/>
          <w:bCs/>
          <w:lang w:eastAsia="en-GB"/>
        </w:rPr>
        <w:t xml:space="preserve"> to speak with</w:t>
      </w:r>
      <w:r w:rsidR="005309D7" w:rsidRPr="001005B7">
        <w:rPr>
          <w:rFonts w:cstheme="minorHAnsi"/>
          <w:bCs/>
          <w:i/>
          <w:iCs/>
          <w:lang w:eastAsia="en-GB"/>
        </w:rPr>
        <w:t xml:space="preserve"> </w:t>
      </w:r>
      <w:r w:rsidR="005309D7" w:rsidRPr="001005B7">
        <w:rPr>
          <w:rFonts w:cstheme="minorHAnsi"/>
          <w:bCs/>
          <w:lang w:eastAsia="en-GB"/>
        </w:rPr>
        <w:t>or in</w:t>
      </w:r>
      <w:r w:rsidR="00096F1A" w:rsidRPr="001005B7">
        <w:rPr>
          <w:rFonts w:cstheme="minorHAnsi"/>
          <w:bCs/>
          <w:lang w:eastAsia="en-GB"/>
        </w:rPr>
        <w:t xml:space="preserve"> Yahweh’s own </w:t>
      </w:r>
      <w:r w:rsidR="005309D7" w:rsidRPr="001005B7">
        <w:rPr>
          <w:rFonts w:cstheme="minorHAnsi"/>
          <w:bCs/>
          <w:lang w:eastAsia="en-GB"/>
        </w:rPr>
        <w:t>words</w:t>
      </w:r>
      <w:r w:rsidR="006E5737" w:rsidRPr="001005B7">
        <w:rPr>
          <w:rFonts w:cstheme="minorHAnsi"/>
          <w:bCs/>
          <w:lang w:eastAsia="en-GB"/>
        </w:rPr>
        <w:t>,</w:t>
      </w:r>
      <w:r w:rsidR="0023441C" w:rsidRPr="001005B7">
        <w:rPr>
          <w:rFonts w:cstheme="minorHAnsi"/>
          <w:bCs/>
          <w:lang w:eastAsia="en-GB"/>
        </w:rPr>
        <w:t xml:space="preserve"> not mix them with his ow</w:t>
      </w:r>
      <w:r w:rsidR="00B227E8" w:rsidRPr="001005B7">
        <w:rPr>
          <w:rFonts w:cstheme="minorHAnsi"/>
          <w:bCs/>
          <w:lang w:eastAsia="en-GB"/>
        </w:rPr>
        <w:t>n</w:t>
      </w:r>
      <w:r w:rsidR="007240AD" w:rsidRPr="001005B7">
        <w:rPr>
          <w:rFonts w:cstheme="minorHAnsi"/>
          <w:bCs/>
          <w:lang w:eastAsia="en-GB"/>
        </w:rPr>
        <w:t>. A</w:t>
      </w:r>
      <w:r w:rsidR="0023441C" w:rsidRPr="001005B7">
        <w:rPr>
          <w:rFonts w:cstheme="minorHAnsi"/>
          <w:bCs/>
          <w:lang w:eastAsia="en-GB"/>
        </w:rPr>
        <w:t>ssimilating the scroll will facilitate that. Yahweh</w:t>
      </w:r>
      <w:r w:rsidR="00373BFA" w:rsidRPr="001005B7">
        <w:rPr>
          <w:rFonts w:cstheme="minorHAnsi"/>
          <w:bCs/>
          <w:lang w:eastAsia="en-GB"/>
        </w:rPr>
        <w:t xml:space="preserve"> adds two further comments. The first is that </w:t>
      </w:r>
      <w:r w:rsidR="008B6E4C" w:rsidRPr="001005B7">
        <w:rPr>
          <w:rFonts w:cstheme="minorHAnsi"/>
          <w:bCs/>
          <w:lang w:eastAsia="en-GB"/>
        </w:rPr>
        <w:t xml:space="preserve">in a superficial sense there will be no problem </w:t>
      </w:r>
      <w:r w:rsidR="006B7E28" w:rsidRPr="001005B7">
        <w:rPr>
          <w:rFonts w:cstheme="minorHAnsi"/>
          <w:bCs/>
          <w:lang w:eastAsia="en-GB"/>
        </w:rPr>
        <w:t>of</w:t>
      </w:r>
      <w:r w:rsidR="008B6E4C" w:rsidRPr="001005B7">
        <w:rPr>
          <w:rFonts w:cstheme="minorHAnsi"/>
          <w:bCs/>
          <w:lang w:eastAsia="en-GB"/>
        </w:rPr>
        <w:t xml:space="preserve"> com</w:t>
      </w:r>
      <w:r w:rsidR="006B7E28" w:rsidRPr="001005B7">
        <w:rPr>
          <w:rFonts w:cstheme="minorHAnsi"/>
          <w:bCs/>
          <w:lang w:eastAsia="en-GB"/>
        </w:rPr>
        <w:t>m</w:t>
      </w:r>
      <w:r w:rsidR="008B6E4C" w:rsidRPr="001005B7">
        <w:rPr>
          <w:rFonts w:cstheme="minorHAnsi"/>
          <w:bCs/>
          <w:lang w:eastAsia="en-GB"/>
        </w:rPr>
        <w:t>unic</w:t>
      </w:r>
      <w:r w:rsidR="006B7E28" w:rsidRPr="001005B7">
        <w:rPr>
          <w:rFonts w:cstheme="minorHAnsi"/>
          <w:bCs/>
          <w:lang w:eastAsia="en-GB"/>
        </w:rPr>
        <w:t>a</w:t>
      </w:r>
      <w:r w:rsidR="008B6E4C" w:rsidRPr="001005B7">
        <w:rPr>
          <w:rFonts w:cstheme="minorHAnsi"/>
          <w:bCs/>
          <w:lang w:eastAsia="en-GB"/>
        </w:rPr>
        <w:t>t</w:t>
      </w:r>
      <w:r w:rsidR="006B7E28" w:rsidRPr="001005B7">
        <w:rPr>
          <w:rFonts w:cstheme="minorHAnsi"/>
          <w:bCs/>
          <w:lang w:eastAsia="en-GB"/>
        </w:rPr>
        <w:t xml:space="preserve">ion with the people to whom he is sent, </w:t>
      </w:r>
      <w:r w:rsidR="00382515" w:rsidRPr="001005B7">
        <w:rPr>
          <w:rFonts w:cstheme="minorHAnsi"/>
          <w:bCs/>
          <w:lang w:eastAsia="en-GB"/>
        </w:rPr>
        <w:t>in</w:t>
      </w:r>
      <w:r w:rsidR="00FC5758" w:rsidRPr="001005B7">
        <w:rPr>
          <w:rFonts w:cstheme="minorHAnsi"/>
          <w:bCs/>
          <w:lang w:eastAsia="en-GB"/>
        </w:rPr>
        <w:t xml:space="preserve"> </w:t>
      </w:r>
      <w:r w:rsidR="00382515" w:rsidRPr="001005B7">
        <w:rPr>
          <w:rFonts w:cstheme="minorHAnsi"/>
          <w:bCs/>
          <w:lang w:eastAsia="en-GB"/>
        </w:rPr>
        <w:t>understand</w:t>
      </w:r>
      <w:r w:rsidR="00754FB2" w:rsidRPr="001005B7">
        <w:rPr>
          <w:rFonts w:cstheme="minorHAnsi"/>
          <w:bCs/>
          <w:lang w:eastAsia="en-GB"/>
        </w:rPr>
        <w:t>ing</w:t>
      </w:r>
      <w:r w:rsidR="00382515" w:rsidRPr="001005B7">
        <w:rPr>
          <w:rFonts w:cstheme="minorHAnsi"/>
          <w:bCs/>
          <w:lang w:eastAsia="en-GB"/>
        </w:rPr>
        <w:t xml:space="preserve"> them or in their understanding him</w:t>
      </w:r>
      <w:r w:rsidR="00BE02F7" w:rsidRPr="001005B7">
        <w:rPr>
          <w:rFonts w:cstheme="minorHAnsi"/>
          <w:bCs/>
          <w:lang w:eastAsia="en-GB"/>
        </w:rPr>
        <w:t xml:space="preserve">. </w:t>
      </w:r>
      <w:r w:rsidR="009A75D4" w:rsidRPr="001005B7">
        <w:rPr>
          <w:rFonts w:cstheme="minorHAnsi"/>
          <w:bCs/>
          <w:lang w:eastAsia="en-GB"/>
        </w:rPr>
        <w:t>The background to Yahweh’s comment is that</w:t>
      </w:r>
      <w:r w:rsidR="0059129F" w:rsidRPr="001005B7">
        <w:rPr>
          <w:rFonts w:cstheme="minorHAnsi"/>
          <w:bCs/>
          <w:lang w:eastAsia="en-GB"/>
        </w:rPr>
        <w:t xml:space="preserve"> </w:t>
      </w:r>
      <w:r w:rsidR="005D37E3" w:rsidRPr="001005B7">
        <w:rPr>
          <w:rFonts w:cstheme="minorHAnsi"/>
          <w:bCs/>
          <w:lang w:eastAsia="en-GB"/>
        </w:rPr>
        <w:t xml:space="preserve">the Judahites </w:t>
      </w:r>
      <w:r w:rsidR="002E62FE" w:rsidRPr="001005B7">
        <w:rPr>
          <w:rFonts w:cstheme="minorHAnsi"/>
          <w:bCs/>
          <w:lang w:eastAsia="en-GB"/>
        </w:rPr>
        <w:t>could</w:t>
      </w:r>
      <w:r w:rsidR="005D37E3" w:rsidRPr="001005B7">
        <w:rPr>
          <w:rFonts w:cstheme="minorHAnsi"/>
          <w:bCs/>
          <w:lang w:eastAsia="en-GB"/>
        </w:rPr>
        <w:t xml:space="preserve"> be in contact with </w:t>
      </w:r>
      <w:r w:rsidR="009A75D4" w:rsidRPr="001005B7">
        <w:rPr>
          <w:rFonts w:cstheme="minorHAnsi"/>
          <w:bCs/>
          <w:lang w:eastAsia="en-GB"/>
        </w:rPr>
        <w:t xml:space="preserve">many </w:t>
      </w:r>
      <w:r w:rsidR="00533238" w:rsidRPr="001005B7">
        <w:rPr>
          <w:rFonts w:cstheme="minorHAnsi"/>
          <w:bCs/>
          <w:lang w:eastAsia="en-GB"/>
        </w:rPr>
        <w:t xml:space="preserve">other </w:t>
      </w:r>
      <w:r w:rsidR="009A75D4" w:rsidRPr="001005B7">
        <w:rPr>
          <w:rFonts w:cstheme="minorHAnsi"/>
          <w:bCs/>
          <w:lang w:eastAsia="en-GB"/>
        </w:rPr>
        <w:t>people</w:t>
      </w:r>
      <w:r w:rsidR="00533238" w:rsidRPr="001005B7">
        <w:rPr>
          <w:rFonts w:cstheme="minorHAnsi"/>
          <w:bCs/>
          <w:lang w:eastAsia="en-GB"/>
        </w:rPr>
        <w:t>s</w:t>
      </w:r>
      <w:r w:rsidR="005D37E3" w:rsidRPr="001005B7">
        <w:rPr>
          <w:rFonts w:cstheme="minorHAnsi"/>
          <w:bCs/>
          <w:lang w:eastAsia="en-GB"/>
        </w:rPr>
        <w:t xml:space="preserve"> who</w:t>
      </w:r>
      <w:r w:rsidR="009A75D4" w:rsidRPr="001005B7">
        <w:rPr>
          <w:rFonts w:cstheme="minorHAnsi"/>
          <w:bCs/>
          <w:lang w:eastAsia="en-GB"/>
        </w:rPr>
        <w:t xml:space="preserve"> </w:t>
      </w:r>
      <w:r w:rsidR="005D37E3" w:rsidRPr="001005B7">
        <w:rPr>
          <w:rFonts w:cstheme="minorHAnsi"/>
          <w:bCs/>
          <w:lang w:eastAsia="en-GB"/>
        </w:rPr>
        <w:t xml:space="preserve">had been taken as forced migrants </w:t>
      </w:r>
      <w:r w:rsidR="009A75D4" w:rsidRPr="001005B7">
        <w:rPr>
          <w:rFonts w:cstheme="minorHAnsi"/>
          <w:bCs/>
          <w:lang w:eastAsia="en-GB"/>
        </w:rPr>
        <w:t>to Babylon</w:t>
      </w:r>
      <w:r w:rsidR="006E5737" w:rsidRPr="001005B7">
        <w:rPr>
          <w:rFonts w:cstheme="minorHAnsi"/>
          <w:bCs/>
          <w:lang w:eastAsia="en-GB"/>
        </w:rPr>
        <w:t>ia</w:t>
      </w:r>
      <w:r w:rsidR="00BE1CF6" w:rsidRPr="001005B7">
        <w:rPr>
          <w:rFonts w:cstheme="minorHAnsi"/>
          <w:bCs/>
          <w:lang w:eastAsia="en-GB"/>
        </w:rPr>
        <w:t>, as well as with the B</w:t>
      </w:r>
      <w:r w:rsidR="00533238" w:rsidRPr="001005B7">
        <w:rPr>
          <w:rFonts w:cstheme="minorHAnsi"/>
          <w:bCs/>
          <w:lang w:eastAsia="en-GB"/>
        </w:rPr>
        <w:t>a</w:t>
      </w:r>
      <w:r w:rsidR="00BE1CF6" w:rsidRPr="001005B7">
        <w:rPr>
          <w:rFonts w:cstheme="minorHAnsi"/>
          <w:bCs/>
          <w:lang w:eastAsia="en-GB"/>
        </w:rPr>
        <w:t>bylonians themselves</w:t>
      </w:r>
      <w:r w:rsidR="007827A6" w:rsidRPr="001005B7">
        <w:rPr>
          <w:rFonts w:cstheme="minorHAnsi"/>
          <w:bCs/>
          <w:lang w:eastAsia="en-GB"/>
        </w:rPr>
        <w:t xml:space="preserve">. A </w:t>
      </w:r>
      <w:r w:rsidR="00653D79" w:rsidRPr="001005B7">
        <w:rPr>
          <w:rFonts w:cstheme="minorHAnsi"/>
          <w:bCs/>
          <w:lang w:eastAsia="en-GB"/>
        </w:rPr>
        <w:t xml:space="preserve">collection of clay tablets </w:t>
      </w:r>
      <w:r w:rsidR="00CC109D" w:rsidRPr="001005B7">
        <w:rPr>
          <w:rFonts w:cstheme="minorHAnsi"/>
          <w:bCs/>
          <w:lang w:eastAsia="en-GB"/>
        </w:rPr>
        <w:t xml:space="preserve">from Babylon records the rations allocated to </w:t>
      </w:r>
      <w:r w:rsidR="00CA2CA1" w:rsidRPr="001005B7">
        <w:rPr>
          <w:rFonts w:cstheme="minorHAnsi"/>
          <w:bCs/>
          <w:lang w:eastAsia="en-GB"/>
        </w:rPr>
        <w:t xml:space="preserve">people from </w:t>
      </w:r>
      <w:r w:rsidR="00F53678" w:rsidRPr="001005B7">
        <w:rPr>
          <w:rFonts w:cstheme="minorHAnsi"/>
          <w:bCs/>
          <w:lang w:eastAsia="en-GB"/>
        </w:rPr>
        <w:t>a variety of locations</w:t>
      </w:r>
      <w:r w:rsidR="007628A1" w:rsidRPr="001005B7">
        <w:rPr>
          <w:rFonts w:cstheme="minorHAnsi"/>
          <w:bCs/>
          <w:lang w:eastAsia="en-GB"/>
        </w:rPr>
        <w:t xml:space="preserve"> as well as </w:t>
      </w:r>
      <w:r w:rsidR="004D3516" w:rsidRPr="001005B7">
        <w:rPr>
          <w:rFonts w:cstheme="minorHAnsi"/>
          <w:bCs/>
          <w:lang w:eastAsia="en-GB"/>
        </w:rPr>
        <w:t xml:space="preserve">from </w:t>
      </w:r>
      <w:r w:rsidR="007628A1" w:rsidRPr="001005B7">
        <w:rPr>
          <w:rFonts w:cstheme="minorHAnsi"/>
          <w:bCs/>
          <w:lang w:eastAsia="en-GB"/>
        </w:rPr>
        <w:t>Judah.</w:t>
      </w:r>
      <w:r w:rsidR="002B4B4F" w:rsidRPr="001005B7">
        <w:rPr>
          <w:rStyle w:val="FootnoteReference"/>
          <w:rFonts w:cstheme="minorHAnsi"/>
          <w:bCs/>
          <w:lang w:eastAsia="en-GB"/>
        </w:rPr>
        <w:footnoteReference w:id="141"/>
      </w:r>
      <w:r w:rsidR="00C732AE" w:rsidRPr="001005B7">
        <w:rPr>
          <w:rFonts w:cstheme="minorHAnsi"/>
          <w:bCs/>
          <w:lang w:eastAsia="en-GB"/>
        </w:rPr>
        <w:t xml:space="preserve"> One can imagine that Judahites </w:t>
      </w:r>
      <w:r w:rsidR="009A75D4" w:rsidRPr="001005B7">
        <w:rPr>
          <w:rFonts w:cstheme="minorHAnsi"/>
          <w:bCs/>
          <w:lang w:eastAsia="en-GB"/>
        </w:rPr>
        <w:t>would be used to having a hard time understanding</w:t>
      </w:r>
      <w:r w:rsidR="00C732AE" w:rsidRPr="001005B7">
        <w:rPr>
          <w:rFonts w:cstheme="minorHAnsi"/>
          <w:bCs/>
          <w:lang w:eastAsia="en-GB"/>
        </w:rPr>
        <w:t xml:space="preserve"> and being understood</w:t>
      </w:r>
      <w:r w:rsidR="00E30803" w:rsidRPr="001005B7">
        <w:rPr>
          <w:rFonts w:cstheme="minorHAnsi"/>
          <w:bCs/>
          <w:lang w:eastAsia="en-GB"/>
        </w:rPr>
        <w:t xml:space="preserve"> by </w:t>
      </w:r>
      <w:r w:rsidR="00E56040" w:rsidRPr="001005B7">
        <w:rPr>
          <w:rFonts w:cstheme="minorHAnsi"/>
          <w:bCs/>
          <w:lang w:eastAsia="en-GB"/>
        </w:rPr>
        <w:t xml:space="preserve">such </w:t>
      </w:r>
      <w:r w:rsidR="00E30803" w:rsidRPr="001005B7">
        <w:rPr>
          <w:rFonts w:cstheme="minorHAnsi"/>
          <w:bCs/>
          <w:lang w:eastAsia="en-GB"/>
        </w:rPr>
        <w:t>peopl</w:t>
      </w:r>
      <w:r w:rsidR="005E534F" w:rsidRPr="001005B7">
        <w:rPr>
          <w:rFonts w:cstheme="minorHAnsi"/>
          <w:bCs/>
          <w:lang w:eastAsia="en-GB"/>
        </w:rPr>
        <w:t>e.</w:t>
      </w:r>
      <w:r w:rsidR="00D82175" w:rsidRPr="001005B7">
        <w:rPr>
          <w:rFonts w:cstheme="minorHAnsi"/>
          <w:bCs/>
          <w:lang w:eastAsia="en-GB"/>
        </w:rPr>
        <w:t xml:space="preserve"> </w:t>
      </w:r>
      <w:r w:rsidR="00533238" w:rsidRPr="001005B7">
        <w:rPr>
          <w:rFonts w:cstheme="minorHAnsi"/>
          <w:bCs/>
          <w:lang w:eastAsia="en-GB"/>
        </w:rPr>
        <w:t>Th</w:t>
      </w:r>
      <w:r w:rsidR="00C57E6D" w:rsidRPr="001005B7">
        <w:rPr>
          <w:rFonts w:cstheme="minorHAnsi"/>
          <w:bCs/>
          <w:lang w:eastAsia="en-GB"/>
        </w:rPr>
        <w:t>is</w:t>
      </w:r>
      <w:r w:rsidR="00533238" w:rsidRPr="001005B7">
        <w:rPr>
          <w:rFonts w:cstheme="minorHAnsi"/>
          <w:bCs/>
          <w:lang w:eastAsia="en-GB"/>
        </w:rPr>
        <w:t xml:space="preserve"> will not be Ezekiel’s problem. </w:t>
      </w:r>
      <w:r w:rsidR="00C57E6D" w:rsidRPr="001005B7">
        <w:rPr>
          <w:rFonts w:cstheme="minorHAnsi"/>
          <w:bCs/>
          <w:lang w:eastAsia="en-GB"/>
        </w:rPr>
        <w:t>But</w:t>
      </w:r>
      <w:r w:rsidR="004529FF" w:rsidRPr="001005B7">
        <w:rPr>
          <w:rFonts w:cstheme="minorHAnsi"/>
          <w:bCs/>
          <w:lang w:eastAsia="en-GB"/>
        </w:rPr>
        <w:t xml:space="preserve"> </w:t>
      </w:r>
      <w:r w:rsidR="00C57E6D" w:rsidRPr="001005B7">
        <w:rPr>
          <w:rFonts w:cstheme="minorHAnsi"/>
          <w:bCs/>
          <w:lang w:eastAsia="en-GB"/>
        </w:rPr>
        <w:t xml:space="preserve">that will underscore the problem of communication </w:t>
      </w:r>
      <w:r w:rsidR="00475C8F" w:rsidRPr="001005B7">
        <w:rPr>
          <w:rFonts w:cstheme="minorHAnsi"/>
          <w:bCs/>
          <w:lang w:eastAsia="en-GB"/>
        </w:rPr>
        <w:t xml:space="preserve">that he </w:t>
      </w:r>
      <w:r w:rsidR="00D27443" w:rsidRPr="001005B7">
        <w:rPr>
          <w:rFonts w:cstheme="minorHAnsi"/>
          <w:bCs/>
          <w:lang w:eastAsia="en-GB"/>
        </w:rPr>
        <w:t>will</w:t>
      </w:r>
      <w:r w:rsidR="00475C8F" w:rsidRPr="001005B7">
        <w:rPr>
          <w:rFonts w:cstheme="minorHAnsi"/>
          <w:bCs/>
          <w:lang w:eastAsia="en-GB"/>
        </w:rPr>
        <w:t xml:space="preserve"> have</w:t>
      </w:r>
      <w:r w:rsidR="005623C0" w:rsidRPr="001005B7">
        <w:rPr>
          <w:rFonts w:cstheme="minorHAnsi"/>
          <w:bCs/>
          <w:lang w:eastAsia="en-GB"/>
        </w:rPr>
        <w:t>,</w:t>
      </w:r>
      <w:r w:rsidR="00C57E6D" w:rsidRPr="001005B7">
        <w:rPr>
          <w:rFonts w:cstheme="minorHAnsi"/>
          <w:bCs/>
          <w:lang w:eastAsia="en-GB"/>
        </w:rPr>
        <w:t xml:space="preserve"> in the</w:t>
      </w:r>
      <w:r w:rsidR="00475C8F" w:rsidRPr="001005B7">
        <w:rPr>
          <w:rFonts w:cstheme="minorHAnsi"/>
          <w:bCs/>
          <w:lang w:eastAsia="en-GB"/>
        </w:rPr>
        <w:t xml:space="preserve"> Judahites’</w:t>
      </w:r>
      <w:r w:rsidR="00C57E6D" w:rsidRPr="001005B7">
        <w:rPr>
          <w:rFonts w:cstheme="minorHAnsi"/>
          <w:bCs/>
          <w:lang w:eastAsia="en-GB"/>
        </w:rPr>
        <w:t xml:space="preserve"> unwillingness to listen</w:t>
      </w:r>
      <w:r w:rsidR="00475C8F" w:rsidRPr="001005B7">
        <w:rPr>
          <w:rFonts w:cstheme="minorHAnsi"/>
          <w:bCs/>
          <w:lang w:eastAsia="en-GB"/>
        </w:rPr>
        <w:t xml:space="preserve"> to him</w:t>
      </w:r>
      <w:r w:rsidR="00C57E6D" w:rsidRPr="001005B7">
        <w:rPr>
          <w:rFonts w:cstheme="minorHAnsi"/>
          <w:bCs/>
          <w:lang w:eastAsia="en-GB"/>
        </w:rPr>
        <w:t xml:space="preserve">. </w:t>
      </w:r>
      <w:r w:rsidR="00222A68" w:rsidRPr="001005B7">
        <w:rPr>
          <w:rFonts w:cstheme="minorHAnsi"/>
          <w:bCs/>
          <w:lang w:eastAsia="en-GB"/>
        </w:rPr>
        <w:t xml:space="preserve">The second </w:t>
      </w:r>
      <w:r w:rsidR="00491EE2" w:rsidRPr="001005B7">
        <w:rPr>
          <w:rFonts w:cstheme="minorHAnsi"/>
          <w:bCs/>
          <w:lang w:eastAsia="en-GB"/>
        </w:rPr>
        <w:t xml:space="preserve">comment </w:t>
      </w:r>
      <w:r w:rsidR="00222A68" w:rsidRPr="001005B7">
        <w:rPr>
          <w:rFonts w:cstheme="minorHAnsi"/>
          <w:bCs/>
          <w:lang w:eastAsia="en-GB"/>
        </w:rPr>
        <w:t xml:space="preserve">is </w:t>
      </w:r>
      <w:r w:rsidR="0007790E" w:rsidRPr="001005B7">
        <w:rPr>
          <w:rFonts w:cstheme="minorHAnsi"/>
          <w:bCs/>
          <w:lang w:eastAsia="en-GB"/>
        </w:rPr>
        <w:t xml:space="preserve">thus </w:t>
      </w:r>
      <w:r w:rsidR="00222A68" w:rsidRPr="001005B7">
        <w:rPr>
          <w:rFonts w:cstheme="minorHAnsi"/>
          <w:bCs/>
          <w:lang w:eastAsia="en-GB"/>
        </w:rPr>
        <w:t>tha</w:t>
      </w:r>
      <w:r w:rsidR="0099502B" w:rsidRPr="001005B7">
        <w:rPr>
          <w:rFonts w:cstheme="minorHAnsi"/>
          <w:bCs/>
          <w:lang w:eastAsia="en-GB"/>
        </w:rPr>
        <w:t xml:space="preserve">t Yahweh </w:t>
      </w:r>
      <w:r w:rsidR="00FB0743" w:rsidRPr="001005B7">
        <w:rPr>
          <w:rFonts w:cstheme="minorHAnsi"/>
          <w:bCs/>
          <w:lang w:eastAsia="en-GB"/>
        </w:rPr>
        <w:t xml:space="preserve">will </w:t>
      </w:r>
      <w:r w:rsidR="0099502B" w:rsidRPr="001005B7">
        <w:rPr>
          <w:rFonts w:cstheme="minorHAnsi"/>
          <w:bCs/>
          <w:lang w:eastAsia="en-GB"/>
        </w:rPr>
        <w:t>make sure (perhaps through a spirit</w:t>
      </w:r>
      <w:r w:rsidR="00095EBF" w:rsidRPr="001005B7">
        <w:rPr>
          <w:rFonts w:cstheme="minorHAnsi"/>
          <w:bCs/>
          <w:lang w:eastAsia="en-GB"/>
        </w:rPr>
        <w:t xml:space="preserve"> again breathing into </w:t>
      </w:r>
      <w:r w:rsidR="00491EE2" w:rsidRPr="001005B7">
        <w:rPr>
          <w:rFonts w:cstheme="minorHAnsi"/>
          <w:bCs/>
          <w:lang w:eastAsia="en-GB"/>
        </w:rPr>
        <w:t>Ezekiel</w:t>
      </w:r>
      <w:r w:rsidR="0099502B" w:rsidRPr="001005B7">
        <w:rPr>
          <w:rFonts w:cstheme="minorHAnsi"/>
          <w:bCs/>
          <w:lang w:eastAsia="en-GB"/>
        </w:rPr>
        <w:t>) that Ezekiel’s toughness matches his people’s</w:t>
      </w:r>
      <w:r w:rsidR="0007790E" w:rsidRPr="001005B7">
        <w:rPr>
          <w:rFonts w:cstheme="minorHAnsi"/>
          <w:bCs/>
          <w:lang w:eastAsia="en-GB"/>
        </w:rPr>
        <w:t xml:space="preserve"> toughness</w:t>
      </w:r>
      <w:r w:rsidR="007240AD" w:rsidRPr="001005B7">
        <w:rPr>
          <w:rFonts w:cstheme="minorHAnsi"/>
          <w:bCs/>
          <w:lang w:eastAsia="en-GB"/>
        </w:rPr>
        <w:t>. A</w:t>
      </w:r>
      <w:r w:rsidR="00FF3FDF" w:rsidRPr="001005B7">
        <w:rPr>
          <w:rFonts w:cstheme="minorHAnsi"/>
          <w:bCs/>
          <w:lang w:eastAsia="en-GB"/>
        </w:rPr>
        <w:t>damant is a legendary mineral</w:t>
      </w:r>
      <w:r w:rsidR="004E68D2" w:rsidRPr="001005B7">
        <w:rPr>
          <w:rFonts w:cstheme="minorHAnsi"/>
          <w:bCs/>
          <w:lang w:eastAsia="en-GB"/>
        </w:rPr>
        <w:t xml:space="preserve"> of </w:t>
      </w:r>
      <w:r w:rsidR="000326C2" w:rsidRPr="001005B7">
        <w:rPr>
          <w:rFonts w:cstheme="minorHAnsi"/>
          <w:bCs/>
          <w:lang w:eastAsia="en-GB"/>
        </w:rPr>
        <w:t>famed</w:t>
      </w:r>
      <w:r w:rsidR="004E68D2" w:rsidRPr="001005B7">
        <w:rPr>
          <w:rFonts w:cstheme="minorHAnsi"/>
          <w:bCs/>
          <w:lang w:eastAsia="en-GB"/>
        </w:rPr>
        <w:t xml:space="preserve"> hardness, like diamond</w:t>
      </w:r>
      <w:r w:rsidR="00501578" w:rsidRPr="001005B7">
        <w:rPr>
          <w:rFonts w:cstheme="minorHAnsi"/>
          <w:bCs/>
          <w:lang w:eastAsia="en-GB"/>
        </w:rPr>
        <w:t>.</w:t>
      </w:r>
      <w:r w:rsidR="00AC461C" w:rsidRPr="001005B7">
        <w:rPr>
          <w:rFonts w:cstheme="minorHAnsi"/>
          <w:bCs/>
          <w:lang w:eastAsia="en-GB"/>
        </w:rPr>
        <w:t xml:space="preserve"> </w:t>
      </w:r>
      <w:r w:rsidR="00C843D3" w:rsidRPr="001005B7">
        <w:rPr>
          <w:rFonts w:cstheme="minorHAnsi"/>
          <w:bCs/>
          <w:lang w:eastAsia="en-GB"/>
        </w:rPr>
        <w:t xml:space="preserve">In </w:t>
      </w:r>
      <w:r w:rsidR="0042084A" w:rsidRPr="001005B7">
        <w:rPr>
          <w:rFonts w:cstheme="minorHAnsi"/>
          <w:bCs/>
          <w:lang w:eastAsia="en-GB"/>
        </w:rPr>
        <w:t>3:</w:t>
      </w:r>
      <w:r w:rsidR="00C843D3" w:rsidRPr="001005B7">
        <w:rPr>
          <w:rFonts w:cstheme="minorHAnsi"/>
          <w:bCs/>
          <w:lang w:eastAsia="en-GB"/>
        </w:rPr>
        <w:t>4</w:t>
      </w:r>
      <w:r w:rsidR="00F46900" w:rsidRPr="001005B7">
        <w:rPr>
          <w:rFonts w:cstheme="minorHAnsi"/>
          <w:bCs/>
          <w:lang w:eastAsia="en-GB"/>
        </w:rPr>
        <w:t>–</w:t>
      </w:r>
      <w:r w:rsidR="00C843D3" w:rsidRPr="001005B7">
        <w:rPr>
          <w:rFonts w:cstheme="minorHAnsi"/>
          <w:bCs/>
          <w:lang w:eastAsia="en-GB"/>
        </w:rPr>
        <w:t>9 for the most part Yahweh is</w:t>
      </w:r>
      <w:r w:rsidR="006A5EB7" w:rsidRPr="001005B7">
        <w:rPr>
          <w:rFonts w:cstheme="minorHAnsi"/>
          <w:bCs/>
          <w:lang w:eastAsia="en-GB"/>
        </w:rPr>
        <w:t xml:space="preserve"> simply reformulat</w:t>
      </w:r>
      <w:r w:rsidR="00F667BA" w:rsidRPr="001005B7">
        <w:rPr>
          <w:rFonts w:cstheme="minorHAnsi"/>
          <w:bCs/>
          <w:lang w:eastAsia="en-GB"/>
        </w:rPr>
        <w:t>ing</w:t>
      </w:r>
      <w:r w:rsidR="006A5EB7" w:rsidRPr="001005B7">
        <w:rPr>
          <w:rFonts w:cstheme="minorHAnsi"/>
          <w:bCs/>
          <w:lang w:eastAsia="en-GB"/>
        </w:rPr>
        <w:t xml:space="preserve"> things he has said already, though heighten</w:t>
      </w:r>
      <w:r w:rsidR="00A049AF" w:rsidRPr="001005B7">
        <w:rPr>
          <w:rFonts w:cstheme="minorHAnsi"/>
          <w:bCs/>
          <w:lang w:eastAsia="en-GB"/>
        </w:rPr>
        <w:t>ing</w:t>
      </w:r>
      <w:r w:rsidR="006A5EB7" w:rsidRPr="001005B7">
        <w:rPr>
          <w:rFonts w:cstheme="minorHAnsi"/>
          <w:bCs/>
          <w:lang w:eastAsia="en-GB"/>
        </w:rPr>
        <w:t xml:space="preserve"> his statements,</w:t>
      </w:r>
      <w:r w:rsidR="00A049AF" w:rsidRPr="001005B7">
        <w:rPr>
          <w:rFonts w:cstheme="minorHAnsi"/>
          <w:bCs/>
          <w:lang w:eastAsia="en-GB"/>
        </w:rPr>
        <w:t xml:space="preserve"> but this second comment </w:t>
      </w:r>
      <w:r w:rsidR="00FE72E2" w:rsidRPr="001005B7">
        <w:rPr>
          <w:rFonts w:cstheme="minorHAnsi"/>
          <w:bCs/>
          <w:lang w:eastAsia="en-GB"/>
        </w:rPr>
        <w:t xml:space="preserve">is a promise that </w:t>
      </w:r>
      <w:r w:rsidR="00A049AF" w:rsidRPr="001005B7">
        <w:rPr>
          <w:rFonts w:cstheme="minorHAnsi"/>
          <w:bCs/>
          <w:lang w:eastAsia="en-GB"/>
        </w:rPr>
        <w:t>adds to what he said before.</w:t>
      </w:r>
      <w:r w:rsidR="00011C97" w:rsidRPr="001005B7">
        <w:rPr>
          <w:rFonts w:cstheme="minorHAnsi"/>
          <w:bCs/>
          <w:lang w:eastAsia="en-GB"/>
        </w:rPr>
        <w:t xml:space="preserve"> </w:t>
      </w:r>
      <w:r w:rsidR="00C41459" w:rsidRPr="001005B7">
        <w:rPr>
          <w:rFonts w:cstheme="minorHAnsi"/>
          <w:bCs/>
          <w:lang w:eastAsia="en-GB"/>
        </w:rPr>
        <w:t xml:space="preserve">The </w:t>
      </w:r>
      <w:r w:rsidR="00AE6793" w:rsidRPr="001005B7">
        <w:rPr>
          <w:rFonts w:cstheme="minorHAnsi"/>
          <w:bCs/>
          <w:lang w:eastAsia="en-GB"/>
        </w:rPr>
        <w:t xml:space="preserve">heightening is increased by the </w:t>
      </w:r>
      <w:r w:rsidR="00C41459" w:rsidRPr="001005B7">
        <w:rPr>
          <w:rFonts w:cstheme="minorHAnsi"/>
          <w:bCs/>
          <w:lang w:eastAsia="en-GB"/>
        </w:rPr>
        <w:t xml:space="preserve">poetic rhythm </w:t>
      </w:r>
      <w:r w:rsidR="00410FD8" w:rsidRPr="001005B7">
        <w:rPr>
          <w:rFonts w:cstheme="minorHAnsi"/>
          <w:bCs/>
          <w:lang w:eastAsia="en-GB"/>
        </w:rPr>
        <w:t>of the last four lines (</w:t>
      </w:r>
      <w:r w:rsidR="00F2353C" w:rsidRPr="001005B7">
        <w:rPr>
          <w:rFonts w:cstheme="minorHAnsi"/>
          <w:bCs/>
          <w:lang w:eastAsia="en-GB"/>
        </w:rPr>
        <w:t xml:space="preserve">4-2, </w:t>
      </w:r>
      <w:r w:rsidR="00DA0996" w:rsidRPr="001005B7">
        <w:rPr>
          <w:rFonts w:cstheme="minorHAnsi"/>
          <w:bCs/>
          <w:lang w:eastAsia="en-GB"/>
        </w:rPr>
        <w:t xml:space="preserve">3-2, 3-2, </w:t>
      </w:r>
      <w:r w:rsidR="00B66481" w:rsidRPr="001005B7">
        <w:rPr>
          <w:rFonts w:cstheme="minorHAnsi"/>
          <w:bCs/>
          <w:lang w:eastAsia="en-GB"/>
        </w:rPr>
        <w:t>4-3</w:t>
      </w:r>
      <w:r w:rsidR="008B2002" w:rsidRPr="001005B7">
        <w:rPr>
          <w:rFonts w:cstheme="minorHAnsi"/>
          <w:bCs/>
          <w:lang w:eastAsia="en-GB"/>
        </w:rPr>
        <w:t>), with anaphora</w:t>
      </w:r>
      <w:r w:rsidR="00E551D0" w:rsidRPr="001005B7">
        <w:rPr>
          <w:rFonts w:cstheme="minorHAnsi"/>
          <w:bCs/>
          <w:lang w:eastAsia="en-GB"/>
        </w:rPr>
        <w:t>*</w:t>
      </w:r>
      <w:r w:rsidR="008B2002" w:rsidRPr="001005B7">
        <w:rPr>
          <w:rFonts w:cstheme="minorHAnsi"/>
          <w:bCs/>
          <w:lang w:eastAsia="en-GB"/>
        </w:rPr>
        <w:t xml:space="preserve"> running through </w:t>
      </w:r>
      <w:r w:rsidR="00042739" w:rsidRPr="001005B7">
        <w:rPr>
          <w:rFonts w:cstheme="minorHAnsi"/>
          <w:bCs/>
          <w:lang w:eastAsia="en-GB"/>
        </w:rPr>
        <w:t>the first three</w:t>
      </w:r>
      <w:r w:rsidR="00856848" w:rsidRPr="001005B7">
        <w:rPr>
          <w:rFonts w:cstheme="minorHAnsi"/>
          <w:bCs/>
          <w:lang w:eastAsia="en-GB"/>
        </w:rPr>
        <w:t xml:space="preserve"> (face, tough, forehead, alongside</w:t>
      </w:r>
      <w:r w:rsidR="001E0BDF" w:rsidRPr="001005B7">
        <w:rPr>
          <w:rFonts w:cstheme="minorHAnsi"/>
          <w:bCs/>
          <w:lang w:eastAsia="en-GB"/>
        </w:rPr>
        <w:t>) and internal parallelism in the first colon of the last.</w:t>
      </w:r>
    </w:p>
    <w:p w14:paraId="5FF244CD" w14:textId="3A4A1EAC" w:rsidR="007F06B7" w:rsidRPr="001005B7" w:rsidRDefault="004877A3" w:rsidP="009F7D0F">
      <w:pPr>
        <w:rPr>
          <w:rFonts w:cstheme="minorHAnsi"/>
          <w:bCs/>
          <w:lang w:eastAsia="en-GB"/>
        </w:rPr>
      </w:pPr>
      <w:r w:rsidRPr="001005B7">
        <w:rPr>
          <w:rFonts w:cstheme="minorHAnsi"/>
          <w:b/>
          <w:lang w:eastAsia="en-GB"/>
        </w:rPr>
        <w:t>3:</w:t>
      </w:r>
      <w:r w:rsidR="004A56C1" w:rsidRPr="001005B7">
        <w:rPr>
          <w:rFonts w:cstheme="minorHAnsi"/>
          <w:b/>
          <w:lang w:eastAsia="en-GB"/>
        </w:rPr>
        <w:t>10</w:t>
      </w:r>
      <w:r w:rsidR="00F46900" w:rsidRPr="001005B7">
        <w:rPr>
          <w:rFonts w:cstheme="minorHAnsi"/>
          <w:b/>
          <w:lang w:eastAsia="en-GB"/>
        </w:rPr>
        <w:t>–</w:t>
      </w:r>
      <w:r w:rsidR="004A56C1" w:rsidRPr="001005B7">
        <w:rPr>
          <w:rFonts w:cstheme="minorHAnsi"/>
          <w:b/>
          <w:lang w:eastAsia="en-GB"/>
        </w:rPr>
        <w:t xml:space="preserve">11 </w:t>
      </w:r>
      <w:r w:rsidR="008F11F9" w:rsidRPr="001005B7">
        <w:rPr>
          <w:rFonts w:cstheme="minorHAnsi"/>
          <w:bCs/>
          <w:lang w:eastAsia="en-GB"/>
        </w:rPr>
        <w:t>The commissioning over</w:t>
      </w:r>
      <w:r w:rsidR="008120A0" w:rsidRPr="001005B7">
        <w:rPr>
          <w:rFonts w:cstheme="minorHAnsi"/>
          <w:bCs/>
          <w:lang w:eastAsia="en-GB"/>
        </w:rPr>
        <w:t>,</w:t>
      </w:r>
      <w:r w:rsidR="008F11F9" w:rsidRPr="001005B7">
        <w:rPr>
          <w:rFonts w:cstheme="minorHAnsi"/>
          <w:bCs/>
          <w:lang w:eastAsia="en-GB"/>
        </w:rPr>
        <w:t xml:space="preserve"> </w:t>
      </w:r>
      <w:r w:rsidR="005665F6" w:rsidRPr="001005B7">
        <w:rPr>
          <w:rFonts w:cstheme="minorHAnsi"/>
          <w:bCs/>
          <w:lang w:eastAsia="en-GB"/>
        </w:rPr>
        <w:t xml:space="preserve">Yahweh </w:t>
      </w:r>
      <w:r w:rsidR="007F5DBE" w:rsidRPr="001005B7">
        <w:rPr>
          <w:rFonts w:cstheme="minorHAnsi"/>
          <w:bCs/>
          <w:lang w:eastAsia="en-GB"/>
        </w:rPr>
        <w:t xml:space="preserve">sets </w:t>
      </w:r>
      <w:r w:rsidR="005665F6" w:rsidRPr="001005B7">
        <w:rPr>
          <w:rFonts w:cstheme="minorHAnsi"/>
          <w:bCs/>
          <w:lang w:eastAsia="en-GB"/>
        </w:rPr>
        <w:t>Ezekiel go</w:t>
      </w:r>
      <w:r w:rsidR="007F5DBE" w:rsidRPr="001005B7">
        <w:rPr>
          <w:rFonts w:cstheme="minorHAnsi"/>
          <w:bCs/>
          <w:lang w:eastAsia="en-GB"/>
        </w:rPr>
        <w:t>ing</w:t>
      </w:r>
      <w:r w:rsidR="005665F6" w:rsidRPr="001005B7">
        <w:rPr>
          <w:rFonts w:cstheme="minorHAnsi"/>
          <w:bCs/>
          <w:lang w:eastAsia="en-GB"/>
        </w:rPr>
        <w:t xml:space="preserve"> to </w:t>
      </w:r>
      <w:r w:rsidR="007F5DBE" w:rsidRPr="001005B7">
        <w:rPr>
          <w:rFonts w:cstheme="minorHAnsi"/>
          <w:bCs/>
          <w:lang w:eastAsia="en-GB"/>
        </w:rPr>
        <w:t xml:space="preserve">fulfill his commission to </w:t>
      </w:r>
      <w:r w:rsidR="005665F6" w:rsidRPr="001005B7">
        <w:rPr>
          <w:rFonts w:cstheme="minorHAnsi"/>
          <w:bCs/>
          <w:lang w:eastAsia="en-GB"/>
        </w:rPr>
        <w:t>the people</w:t>
      </w:r>
      <w:r w:rsidR="001D058E" w:rsidRPr="001005B7">
        <w:rPr>
          <w:rFonts w:cstheme="minorHAnsi"/>
          <w:bCs/>
          <w:lang w:eastAsia="en-GB"/>
        </w:rPr>
        <w:t>, again summarizing and restating his words so far</w:t>
      </w:r>
      <w:r w:rsidR="009A541B" w:rsidRPr="001005B7">
        <w:rPr>
          <w:rFonts w:cstheme="minorHAnsi"/>
          <w:bCs/>
          <w:lang w:eastAsia="en-GB"/>
        </w:rPr>
        <w:t>.</w:t>
      </w:r>
    </w:p>
    <w:p w14:paraId="58ADE246" w14:textId="26D7595B" w:rsidR="00A94886" w:rsidRPr="001005B7" w:rsidRDefault="00BD420C" w:rsidP="009F7D0F">
      <w:pPr>
        <w:rPr>
          <w:rFonts w:cstheme="minorHAnsi"/>
          <w:bCs/>
          <w:lang w:eastAsia="en-GB"/>
        </w:rPr>
      </w:pPr>
      <w:r w:rsidRPr="001005B7">
        <w:rPr>
          <w:rFonts w:cstheme="minorHAnsi"/>
          <w:b/>
          <w:lang w:eastAsia="en-GB"/>
        </w:rPr>
        <w:t>3:</w:t>
      </w:r>
      <w:r w:rsidR="00D87C03" w:rsidRPr="001005B7">
        <w:rPr>
          <w:rFonts w:cstheme="minorHAnsi"/>
          <w:b/>
          <w:lang w:eastAsia="en-GB"/>
        </w:rPr>
        <w:t>1</w:t>
      </w:r>
      <w:r w:rsidR="00B44DC5" w:rsidRPr="001005B7">
        <w:rPr>
          <w:rFonts w:cstheme="minorHAnsi"/>
          <w:b/>
          <w:lang w:eastAsia="en-GB"/>
        </w:rPr>
        <w:t>2</w:t>
      </w:r>
      <w:r w:rsidR="00F46900" w:rsidRPr="001005B7">
        <w:rPr>
          <w:rFonts w:cstheme="minorHAnsi"/>
          <w:b/>
          <w:lang w:eastAsia="en-GB"/>
        </w:rPr>
        <w:t>–</w:t>
      </w:r>
      <w:r w:rsidR="00B44DC5" w:rsidRPr="001005B7">
        <w:rPr>
          <w:rFonts w:cstheme="minorHAnsi"/>
          <w:b/>
          <w:lang w:eastAsia="en-GB"/>
        </w:rPr>
        <w:t>1</w:t>
      </w:r>
      <w:r w:rsidR="00836A6F" w:rsidRPr="001005B7">
        <w:rPr>
          <w:rFonts w:cstheme="minorHAnsi"/>
          <w:b/>
          <w:lang w:eastAsia="en-GB"/>
        </w:rPr>
        <w:t>3</w:t>
      </w:r>
      <w:r w:rsidR="00B44DC5" w:rsidRPr="001005B7">
        <w:rPr>
          <w:rFonts w:cstheme="minorHAnsi"/>
          <w:bCs/>
          <w:lang w:eastAsia="en-GB"/>
        </w:rPr>
        <w:t xml:space="preserve"> </w:t>
      </w:r>
      <w:r w:rsidR="00D87C03" w:rsidRPr="001005B7">
        <w:rPr>
          <w:rFonts w:cstheme="minorHAnsi"/>
          <w:bCs/>
          <w:lang w:eastAsia="en-GB"/>
        </w:rPr>
        <w:t>A spirit thus reappears</w:t>
      </w:r>
      <w:r w:rsidR="00CA0589" w:rsidRPr="001005B7">
        <w:rPr>
          <w:rFonts w:cstheme="minorHAnsi"/>
          <w:bCs/>
          <w:lang w:eastAsia="en-GB"/>
        </w:rPr>
        <w:t>, not to lift Ezekiel onto his feet</w:t>
      </w:r>
      <w:r w:rsidR="008F58D9" w:rsidRPr="001005B7">
        <w:rPr>
          <w:rFonts w:cstheme="minorHAnsi"/>
          <w:bCs/>
          <w:lang w:eastAsia="en-GB"/>
        </w:rPr>
        <w:t xml:space="preserve"> (he is already standing) but to transport him to his community</w:t>
      </w:r>
      <w:r w:rsidR="009846F8" w:rsidRPr="001005B7">
        <w:rPr>
          <w:rFonts w:cstheme="minorHAnsi"/>
          <w:bCs/>
          <w:lang w:eastAsia="en-GB"/>
        </w:rPr>
        <w:t>, i</w:t>
      </w:r>
      <w:r w:rsidR="00AA6ED8" w:rsidRPr="001005B7">
        <w:rPr>
          <w:rFonts w:cstheme="minorHAnsi"/>
          <w:bCs/>
          <w:lang w:eastAsia="en-GB"/>
        </w:rPr>
        <w:t>n</w:t>
      </w:r>
      <w:r w:rsidR="009846F8" w:rsidRPr="001005B7">
        <w:rPr>
          <w:rFonts w:cstheme="minorHAnsi"/>
          <w:bCs/>
          <w:lang w:eastAsia="en-GB"/>
        </w:rPr>
        <w:t xml:space="preserve"> the fashion of Elijah (</w:t>
      </w:r>
      <w:r w:rsidR="00017ED0" w:rsidRPr="001005B7">
        <w:t>1 Kgs</w:t>
      </w:r>
      <w:r w:rsidR="009846F8" w:rsidRPr="001005B7">
        <w:rPr>
          <w:rFonts w:cstheme="minorHAnsi"/>
          <w:bCs/>
          <w:lang w:eastAsia="en-GB"/>
        </w:rPr>
        <w:t xml:space="preserve"> </w:t>
      </w:r>
      <w:r w:rsidR="00E37C7A" w:rsidRPr="001005B7">
        <w:rPr>
          <w:rFonts w:cstheme="minorHAnsi"/>
          <w:bCs/>
          <w:lang w:eastAsia="en-GB"/>
        </w:rPr>
        <w:t>18:12, 46)</w:t>
      </w:r>
      <w:r w:rsidR="008F58D9" w:rsidRPr="001005B7">
        <w:rPr>
          <w:rFonts w:cstheme="minorHAnsi"/>
          <w:bCs/>
          <w:lang w:eastAsia="en-GB"/>
        </w:rPr>
        <w:t>.</w:t>
      </w:r>
      <w:r w:rsidR="00561095" w:rsidRPr="001005B7">
        <w:rPr>
          <w:rFonts w:cstheme="minorHAnsi"/>
          <w:bCs/>
          <w:lang w:eastAsia="en-GB"/>
        </w:rPr>
        <w:t xml:space="preserve"> </w:t>
      </w:r>
      <w:r w:rsidR="008C2CF0" w:rsidRPr="001005B7">
        <w:rPr>
          <w:rFonts w:cstheme="minorHAnsi"/>
          <w:bCs/>
          <w:lang w:eastAsia="en-GB"/>
        </w:rPr>
        <w:t xml:space="preserve">Ezekiel will later speak of </w:t>
      </w:r>
      <w:r w:rsidR="00800DEA" w:rsidRPr="001005B7">
        <w:rPr>
          <w:rFonts w:cstheme="minorHAnsi"/>
          <w:bCs/>
          <w:lang w:eastAsia="en-GB"/>
        </w:rPr>
        <w:t>a spiri</w:t>
      </w:r>
      <w:r w:rsidR="00055B82" w:rsidRPr="001005B7">
        <w:rPr>
          <w:rFonts w:cstheme="minorHAnsi"/>
          <w:bCs/>
          <w:lang w:eastAsia="en-GB"/>
        </w:rPr>
        <w:t xml:space="preserve">t lifting him up </w:t>
      </w:r>
      <w:r w:rsidR="00310ACF" w:rsidRPr="001005B7">
        <w:rPr>
          <w:rFonts w:cstheme="minorHAnsi"/>
          <w:bCs/>
          <w:lang w:eastAsia="en-GB"/>
        </w:rPr>
        <w:t>and taking him to Jer</w:t>
      </w:r>
      <w:r w:rsidR="00635C48" w:rsidRPr="001005B7">
        <w:rPr>
          <w:rFonts w:cstheme="minorHAnsi"/>
          <w:bCs/>
          <w:lang w:eastAsia="en-GB"/>
        </w:rPr>
        <w:t>u</w:t>
      </w:r>
      <w:r w:rsidR="00310ACF" w:rsidRPr="001005B7">
        <w:rPr>
          <w:rFonts w:cstheme="minorHAnsi"/>
          <w:bCs/>
          <w:lang w:eastAsia="en-GB"/>
        </w:rPr>
        <w:t>salem</w:t>
      </w:r>
      <w:r w:rsidR="00AA6ED8" w:rsidRPr="001005B7">
        <w:rPr>
          <w:rFonts w:cstheme="minorHAnsi"/>
          <w:bCs/>
          <w:lang w:eastAsia="en-GB"/>
        </w:rPr>
        <w:t>, but he</w:t>
      </w:r>
      <w:r w:rsidR="00635C48" w:rsidRPr="001005B7">
        <w:rPr>
          <w:rFonts w:cstheme="minorHAnsi"/>
          <w:bCs/>
          <w:lang w:eastAsia="en-GB"/>
        </w:rPr>
        <w:t xml:space="preserve"> is explicit th</w:t>
      </w:r>
      <w:r w:rsidR="00FF6D7C" w:rsidRPr="001005B7">
        <w:rPr>
          <w:rFonts w:cstheme="minorHAnsi"/>
          <w:bCs/>
          <w:lang w:eastAsia="en-GB"/>
        </w:rPr>
        <w:t>ere</w:t>
      </w:r>
      <w:r w:rsidR="00635C48" w:rsidRPr="001005B7">
        <w:rPr>
          <w:rFonts w:cstheme="minorHAnsi"/>
          <w:bCs/>
          <w:lang w:eastAsia="en-GB"/>
        </w:rPr>
        <w:t xml:space="preserve"> that </w:t>
      </w:r>
      <w:r w:rsidR="00FF6D7C" w:rsidRPr="001005B7">
        <w:rPr>
          <w:rFonts w:cstheme="minorHAnsi"/>
          <w:bCs/>
          <w:lang w:eastAsia="en-GB"/>
        </w:rPr>
        <w:t xml:space="preserve">the </w:t>
      </w:r>
      <w:r w:rsidR="00635C48" w:rsidRPr="001005B7">
        <w:rPr>
          <w:rFonts w:cstheme="minorHAnsi"/>
          <w:bCs/>
          <w:lang w:eastAsia="en-GB"/>
        </w:rPr>
        <w:t>journey happens in a vision</w:t>
      </w:r>
      <w:r w:rsidR="00055B82" w:rsidRPr="001005B7">
        <w:rPr>
          <w:rFonts w:cstheme="minorHAnsi"/>
          <w:bCs/>
          <w:lang w:eastAsia="en-GB"/>
        </w:rPr>
        <w:t xml:space="preserve"> (8:3; 11:1, 24)</w:t>
      </w:r>
      <w:r w:rsidR="00635C48" w:rsidRPr="001005B7">
        <w:rPr>
          <w:rFonts w:cstheme="minorHAnsi"/>
          <w:bCs/>
          <w:lang w:eastAsia="en-GB"/>
        </w:rPr>
        <w:t xml:space="preserve">. </w:t>
      </w:r>
      <w:r w:rsidR="007B13C8" w:rsidRPr="001005B7">
        <w:rPr>
          <w:rFonts w:cstheme="minorHAnsi"/>
          <w:bCs/>
          <w:lang w:eastAsia="en-GB"/>
        </w:rPr>
        <w:t xml:space="preserve">Although he refers here to the </w:t>
      </w:r>
      <w:r w:rsidR="0041134D" w:rsidRPr="001005B7">
        <w:rPr>
          <w:rFonts w:cstheme="minorHAnsi"/>
          <w:bCs/>
          <w:lang w:eastAsia="en-GB"/>
        </w:rPr>
        <w:t>re</w:t>
      </w:r>
      <w:r w:rsidR="008241B5" w:rsidRPr="001005B7">
        <w:rPr>
          <w:rFonts w:cstheme="minorHAnsi"/>
          <w:bCs/>
          <w:lang w:eastAsia="en-GB"/>
        </w:rPr>
        <w:t>v</w:t>
      </w:r>
      <w:r w:rsidR="0041134D" w:rsidRPr="001005B7">
        <w:rPr>
          <w:rFonts w:cstheme="minorHAnsi"/>
          <w:bCs/>
          <w:lang w:eastAsia="en-GB"/>
        </w:rPr>
        <w:t>er</w:t>
      </w:r>
      <w:r w:rsidR="008241B5" w:rsidRPr="001005B7">
        <w:rPr>
          <w:rFonts w:cstheme="minorHAnsi"/>
          <w:bCs/>
          <w:lang w:eastAsia="en-GB"/>
        </w:rPr>
        <w:t>b</w:t>
      </w:r>
      <w:r w:rsidR="0041134D" w:rsidRPr="001005B7">
        <w:rPr>
          <w:rFonts w:cstheme="minorHAnsi"/>
          <w:bCs/>
          <w:lang w:eastAsia="en-GB"/>
        </w:rPr>
        <w:t>erations</w:t>
      </w:r>
      <w:r w:rsidR="008241B5" w:rsidRPr="001005B7">
        <w:rPr>
          <w:rFonts w:cstheme="minorHAnsi"/>
          <w:bCs/>
          <w:lang w:eastAsia="en-GB"/>
        </w:rPr>
        <w:t xml:space="preserve"> of the</w:t>
      </w:r>
      <w:r w:rsidR="00892A10" w:rsidRPr="001005B7">
        <w:rPr>
          <w:rFonts w:cstheme="minorHAnsi"/>
          <w:bCs/>
          <w:lang w:eastAsia="en-GB"/>
        </w:rPr>
        <w:t xml:space="preserve"> earlier</w:t>
      </w:r>
      <w:r w:rsidR="008241B5" w:rsidRPr="001005B7">
        <w:rPr>
          <w:rFonts w:cstheme="minorHAnsi"/>
          <w:bCs/>
          <w:lang w:eastAsia="en-GB"/>
        </w:rPr>
        <w:t xml:space="preserve"> vision in 1:4</w:t>
      </w:r>
      <w:r w:rsidR="00F46900" w:rsidRPr="001005B7">
        <w:rPr>
          <w:rFonts w:cstheme="minorHAnsi"/>
          <w:bCs/>
          <w:lang w:eastAsia="en-GB"/>
        </w:rPr>
        <w:t>–</w:t>
      </w:r>
      <w:r w:rsidR="008241B5" w:rsidRPr="001005B7">
        <w:rPr>
          <w:rFonts w:cstheme="minorHAnsi"/>
          <w:bCs/>
          <w:lang w:eastAsia="en-GB"/>
        </w:rPr>
        <w:t>28</w:t>
      </w:r>
      <w:r w:rsidR="00992D21" w:rsidRPr="001005B7">
        <w:rPr>
          <w:rFonts w:cstheme="minorHAnsi"/>
          <w:bCs/>
          <w:lang w:eastAsia="en-GB"/>
        </w:rPr>
        <w:t xml:space="preserve">bα, he does not suggest that </w:t>
      </w:r>
      <w:r w:rsidR="00887C89" w:rsidRPr="001005B7">
        <w:rPr>
          <w:rFonts w:cstheme="minorHAnsi"/>
          <w:bCs/>
          <w:lang w:eastAsia="en-GB"/>
        </w:rPr>
        <w:t>th</w:t>
      </w:r>
      <w:r w:rsidR="00681CB9" w:rsidRPr="001005B7">
        <w:rPr>
          <w:rFonts w:cstheme="minorHAnsi"/>
          <w:bCs/>
          <w:lang w:eastAsia="en-GB"/>
        </w:rPr>
        <w:t>is</w:t>
      </w:r>
      <w:r w:rsidR="00887C89" w:rsidRPr="001005B7">
        <w:rPr>
          <w:rFonts w:cstheme="minorHAnsi"/>
          <w:bCs/>
          <w:lang w:eastAsia="en-GB"/>
        </w:rPr>
        <w:t xml:space="preserve"> lifting up is visionary, and the context </w:t>
      </w:r>
      <w:r w:rsidR="000E09FD" w:rsidRPr="001005B7">
        <w:rPr>
          <w:rFonts w:cstheme="minorHAnsi"/>
          <w:bCs/>
          <w:lang w:eastAsia="en-GB"/>
        </w:rPr>
        <w:t>implies</w:t>
      </w:r>
      <w:r w:rsidR="00887C89" w:rsidRPr="001005B7">
        <w:rPr>
          <w:rFonts w:cstheme="minorHAnsi"/>
          <w:bCs/>
          <w:lang w:eastAsia="en-GB"/>
        </w:rPr>
        <w:t xml:space="preserve"> that </w:t>
      </w:r>
      <w:r w:rsidR="00681CB9" w:rsidRPr="001005B7">
        <w:rPr>
          <w:rFonts w:cstheme="minorHAnsi"/>
          <w:bCs/>
          <w:lang w:eastAsia="en-GB"/>
        </w:rPr>
        <w:t xml:space="preserve">the spirit </w:t>
      </w:r>
      <w:r w:rsidR="00887C89" w:rsidRPr="001005B7">
        <w:rPr>
          <w:rFonts w:cstheme="minorHAnsi"/>
          <w:bCs/>
          <w:lang w:eastAsia="en-GB"/>
        </w:rPr>
        <w:t xml:space="preserve">now </w:t>
      </w:r>
      <w:r w:rsidR="00313A95" w:rsidRPr="001005B7">
        <w:rPr>
          <w:rFonts w:cstheme="minorHAnsi"/>
          <w:bCs/>
          <w:lang w:eastAsia="en-GB"/>
        </w:rPr>
        <w:t xml:space="preserve">enables him to </w:t>
      </w:r>
      <w:r w:rsidR="00887C89" w:rsidRPr="001005B7">
        <w:rPr>
          <w:rFonts w:cstheme="minorHAnsi"/>
          <w:bCs/>
          <w:lang w:eastAsia="en-GB"/>
        </w:rPr>
        <w:t>make a physical journey from</w:t>
      </w:r>
      <w:r w:rsidR="00F86C87" w:rsidRPr="001005B7">
        <w:rPr>
          <w:rFonts w:cstheme="minorHAnsi"/>
          <w:bCs/>
          <w:lang w:eastAsia="en-GB"/>
        </w:rPr>
        <w:t xml:space="preserve"> somewhere in the region of the </w:t>
      </w:r>
      <w:proofErr w:type="spellStart"/>
      <w:r w:rsidR="00F86C87" w:rsidRPr="001005B7">
        <w:rPr>
          <w:rFonts w:cstheme="minorHAnsi"/>
          <w:bCs/>
          <w:lang w:eastAsia="en-GB"/>
        </w:rPr>
        <w:t>Kebar</w:t>
      </w:r>
      <w:proofErr w:type="spellEnd"/>
      <w:r w:rsidR="00F86C87" w:rsidRPr="001005B7">
        <w:rPr>
          <w:rFonts w:cstheme="minorHAnsi"/>
          <w:bCs/>
          <w:lang w:eastAsia="en-GB"/>
        </w:rPr>
        <w:t xml:space="preserve"> to </w:t>
      </w:r>
      <w:r w:rsidR="00404087" w:rsidRPr="001005B7">
        <w:rPr>
          <w:rFonts w:cstheme="minorHAnsi"/>
          <w:bCs/>
          <w:lang w:eastAsia="en-GB"/>
        </w:rPr>
        <w:t xml:space="preserve">the particular place </w:t>
      </w:r>
      <w:r w:rsidR="0098644B" w:rsidRPr="001005B7">
        <w:rPr>
          <w:rFonts w:cstheme="minorHAnsi"/>
          <w:bCs/>
          <w:lang w:eastAsia="en-GB"/>
        </w:rPr>
        <w:t xml:space="preserve">there </w:t>
      </w:r>
      <w:r w:rsidR="00404087" w:rsidRPr="001005B7">
        <w:rPr>
          <w:rFonts w:cstheme="minorHAnsi"/>
          <w:bCs/>
          <w:lang w:eastAsia="en-GB"/>
        </w:rPr>
        <w:t xml:space="preserve">where the </w:t>
      </w:r>
      <w:r w:rsidR="00C473AB" w:rsidRPr="001005B7">
        <w:rPr>
          <w:rFonts w:cstheme="minorHAnsi"/>
          <w:bCs/>
          <w:lang w:eastAsia="en-GB"/>
        </w:rPr>
        <w:t>Juda</w:t>
      </w:r>
      <w:r w:rsidR="00D212EF" w:rsidRPr="001005B7">
        <w:rPr>
          <w:rFonts w:cstheme="minorHAnsi"/>
          <w:bCs/>
          <w:lang w:eastAsia="en-GB"/>
        </w:rPr>
        <w:t>hite</w:t>
      </w:r>
      <w:r w:rsidR="00404087" w:rsidRPr="001005B7">
        <w:rPr>
          <w:rFonts w:cstheme="minorHAnsi"/>
          <w:bCs/>
          <w:lang w:eastAsia="en-GB"/>
        </w:rPr>
        <w:t xml:space="preserve"> community was.</w:t>
      </w:r>
      <w:r w:rsidR="00F568FD" w:rsidRPr="001005B7">
        <w:rPr>
          <w:rFonts w:cstheme="minorHAnsi"/>
          <w:bCs/>
          <w:lang w:eastAsia="en-GB"/>
        </w:rPr>
        <w:t xml:space="preserve"> So the spirit’s liftin</w:t>
      </w:r>
      <w:r w:rsidR="000C0E4C" w:rsidRPr="001005B7">
        <w:rPr>
          <w:rFonts w:cstheme="minorHAnsi"/>
          <w:bCs/>
          <w:lang w:eastAsia="en-GB"/>
        </w:rPr>
        <w:t>g</w:t>
      </w:r>
      <w:r w:rsidR="00F568FD" w:rsidRPr="001005B7">
        <w:rPr>
          <w:rFonts w:cstheme="minorHAnsi"/>
          <w:bCs/>
          <w:lang w:eastAsia="en-GB"/>
        </w:rPr>
        <w:t xml:space="preserve"> him up was </w:t>
      </w:r>
      <w:r w:rsidR="00B44B89" w:rsidRPr="001005B7">
        <w:rPr>
          <w:rFonts w:cstheme="minorHAnsi"/>
          <w:bCs/>
          <w:lang w:eastAsia="en-GB"/>
        </w:rPr>
        <w:t>like the spirit’s entering him and standing him up (2:2).</w:t>
      </w:r>
      <w:r w:rsidR="000C0E4C" w:rsidRPr="001005B7">
        <w:rPr>
          <w:rFonts w:cstheme="minorHAnsi"/>
          <w:bCs/>
          <w:lang w:eastAsia="en-GB"/>
        </w:rPr>
        <w:t xml:space="preserve"> </w:t>
      </w:r>
      <w:r w:rsidR="001E2792" w:rsidRPr="001005B7">
        <w:rPr>
          <w:rFonts w:cstheme="minorHAnsi"/>
          <w:bCs/>
          <w:lang w:eastAsia="en-GB"/>
        </w:rPr>
        <w:t xml:space="preserve">There was something </w:t>
      </w:r>
      <w:r w:rsidR="000C0E4C" w:rsidRPr="001005B7">
        <w:rPr>
          <w:rFonts w:cstheme="minorHAnsi"/>
          <w:bCs/>
          <w:lang w:eastAsia="en-GB"/>
        </w:rPr>
        <w:t>supernatural</w:t>
      </w:r>
      <w:r w:rsidR="001E2792" w:rsidRPr="001005B7">
        <w:rPr>
          <w:rFonts w:cstheme="minorHAnsi"/>
          <w:bCs/>
          <w:lang w:eastAsia="en-GB"/>
        </w:rPr>
        <w:t xml:space="preserve"> about the way he was</w:t>
      </w:r>
      <w:r w:rsidR="000C0E4C" w:rsidRPr="001005B7">
        <w:rPr>
          <w:rFonts w:cstheme="minorHAnsi"/>
          <w:bCs/>
          <w:lang w:eastAsia="en-GB"/>
        </w:rPr>
        <w:t xml:space="preserve"> </w:t>
      </w:r>
      <w:r w:rsidR="001E2792" w:rsidRPr="001005B7">
        <w:rPr>
          <w:rFonts w:cstheme="minorHAnsi"/>
          <w:bCs/>
          <w:lang w:eastAsia="en-GB"/>
        </w:rPr>
        <w:t xml:space="preserve">conveyed </w:t>
      </w:r>
      <w:r w:rsidR="00244591" w:rsidRPr="001005B7">
        <w:rPr>
          <w:rFonts w:cstheme="minorHAnsi"/>
          <w:bCs/>
          <w:lang w:eastAsia="en-GB"/>
        </w:rPr>
        <w:t>to that new locatio</w:t>
      </w:r>
      <w:r w:rsidR="00690294" w:rsidRPr="001005B7">
        <w:rPr>
          <w:rFonts w:cstheme="minorHAnsi"/>
          <w:bCs/>
          <w:lang w:eastAsia="en-GB"/>
        </w:rPr>
        <w:t xml:space="preserve">n. He felt carried or he was able to make a journey that humanly he could not have made, as </w:t>
      </w:r>
      <w:r w:rsidR="00262E84" w:rsidRPr="001005B7">
        <w:rPr>
          <w:rFonts w:cstheme="minorHAnsi"/>
          <w:bCs/>
          <w:lang w:eastAsia="en-GB"/>
        </w:rPr>
        <w:t>he had felt supernaturally enabled to stand.</w:t>
      </w:r>
      <w:r w:rsidR="00836A6F" w:rsidRPr="001005B7">
        <w:rPr>
          <w:rFonts w:cstheme="minorHAnsi"/>
          <w:bCs/>
          <w:lang w:eastAsia="en-GB"/>
        </w:rPr>
        <w:t xml:space="preserve"> </w:t>
      </w:r>
      <w:r w:rsidR="006F1566" w:rsidRPr="001005B7">
        <w:rPr>
          <w:rFonts w:cstheme="minorHAnsi"/>
          <w:bCs/>
          <w:lang w:eastAsia="en-GB"/>
        </w:rPr>
        <w:t xml:space="preserve">The big </w:t>
      </w:r>
      <w:r w:rsidR="00143EA3" w:rsidRPr="001005B7">
        <w:rPr>
          <w:rFonts w:cstheme="minorHAnsi"/>
          <w:bCs/>
          <w:lang w:eastAsia="en-GB"/>
        </w:rPr>
        <w:t>quak</w:t>
      </w:r>
      <w:r w:rsidR="006F1566" w:rsidRPr="001005B7">
        <w:rPr>
          <w:rFonts w:cstheme="minorHAnsi"/>
          <w:bCs/>
          <w:lang w:eastAsia="en-GB"/>
        </w:rPr>
        <w:t>ing sound</w:t>
      </w:r>
      <w:r w:rsidR="006F1566" w:rsidRPr="001005B7">
        <w:rPr>
          <w:rFonts w:cstheme="minorHAnsi"/>
          <w:bCs/>
          <w:i/>
          <w:iCs/>
          <w:lang w:eastAsia="en-GB"/>
        </w:rPr>
        <w:t xml:space="preserve"> </w:t>
      </w:r>
      <w:r w:rsidR="006F1566" w:rsidRPr="001005B7">
        <w:rPr>
          <w:rFonts w:cstheme="minorHAnsi"/>
          <w:bCs/>
          <w:lang w:eastAsia="en-GB"/>
        </w:rPr>
        <w:t xml:space="preserve">he hears is </w:t>
      </w:r>
      <w:r w:rsidR="00411304" w:rsidRPr="001005B7">
        <w:rPr>
          <w:rFonts w:cstheme="minorHAnsi"/>
          <w:bCs/>
          <w:lang w:eastAsia="en-GB"/>
        </w:rPr>
        <w:t xml:space="preserve">the </w:t>
      </w:r>
      <w:r w:rsidR="00411304" w:rsidRPr="001005B7">
        <w:rPr>
          <w:lang w:eastAsia="en-GB"/>
        </w:rPr>
        <w:t xml:space="preserve">sound of the wings of the living beings </w:t>
      </w:r>
      <w:r w:rsidR="00045EE7" w:rsidRPr="001005B7">
        <w:rPr>
          <w:lang w:eastAsia="en-GB"/>
        </w:rPr>
        <w:t>l</w:t>
      </w:r>
      <w:r w:rsidR="00852309" w:rsidRPr="001005B7">
        <w:rPr>
          <w:lang w:eastAsia="en-GB"/>
        </w:rPr>
        <w:t>i</w:t>
      </w:r>
      <w:r w:rsidR="00045EE7" w:rsidRPr="001005B7">
        <w:rPr>
          <w:lang w:eastAsia="en-GB"/>
        </w:rPr>
        <w:t>nking with</w:t>
      </w:r>
      <w:r w:rsidR="00411304" w:rsidRPr="001005B7">
        <w:rPr>
          <w:lang w:eastAsia="en-GB"/>
        </w:rPr>
        <w:t xml:space="preserve"> another and the sound of the wheels beside them</w:t>
      </w:r>
      <w:r w:rsidR="001B3AF7" w:rsidRPr="001005B7">
        <w:rPr>
          <w:lang w:eastAsia="en-GB"/>
        </w:rPr>
        <w:t>. These words</w:t>
      </w:r>
      <w:r w:rsidR="00224D22" w:rsidRPr="001005B7">
        <w:rPr>
          <w:lang w:eastAsia="en-GB"/>
        </w:rPr>
        <w:t xml:space="preserve"> </w:t>
      </w:r>
      <w:r w:rsidR="00852309" w:rsidRPr="001005B7">
        <w:rPr>
          <w:lang w:eastAsia="en-GB"/>
        </w:rPr>
        <w:t>connect</w:t>
      </w:r>
      <w:r w:rsidR="00224D22" w:rsidRPr="001005B7">
        <w:rPr>
          <w:lang w:eastAsia="en-GB"/>
        </w:rPr>
        <w:t xml:space="preserve"> with 1:</w:t>
      </w:r>
      <w:r w:rsidR="00FE1866" w:rsidRPr="001005B7">
        <w:rPr>
          <w:lang w:eastAsia="en-GB"/>
        </w:rPr>
        <w:t>4</w:t>
      </w:r>
      <w:r w:rsidR="00F46900" w:rsidRPr="001005B7">
        <w:rPr>
          <w:lang w:eastAsia="en-GB"/>
        </w:rPr>
        <w:t>–</w:t>
      </w:r>
      <w:r w:rsidR="00FE1866" w:rsidRPr="001005B7">
        <w:rPr>
          <w:lang w:eastAsia="en-GB"/>
        </w:rPr>
        <w:t>28b</w:t>
      </w:r>
      <w:r w:rsidR="00FE1866" w:rsidRPr="001005B7">
        <w:rPr>
          <w:rFonts w:cstheme="minorHAnsi"/>
          <w:lang w:eastAsia="en-GB"/>
        </w:rPr>
        <w:t>α</w:t>
      </w:r>
      <w:r w:rsidR="00FE1866" w:rsidRPr="001005B7">
        <w:rPr>
          <w:lang w:eastAsia="en-GB"/>
        </w:rPr>
        <w:t>, where there was a big cloud</w:t>
      </w:r>
      <w:r w:rsidR="000C01DB" w:rsidRPr="001005B7">
        <w:rPr>
          <w:lang w:eastAsia="en-GB"/>
        </w:rPr>
        <w:t>,</w:t>
      </w:r>
      <w:r w:rsidR="00EE539E" w:rsidRPr="001005B7">
        <w:rPr>
          <w:lang w:eastAsia="en-GB"/>
        </w:rPr>
        <w:t xml:space="preserve"> the sound </w:t>
      </w:r>
      <w:r w:rsidR="003B5FA6" w:rsidRPr="001005B7">
        <w:rPr>
          <w:lang w:eastAsia="en-GB"/>
        </w:rPr>
        <w:t>of the wings of living beings</w:t>
      </w:r>
      <w:r w:rsidR="00376DC6" w:rsidRPr="001005B7">
        <w:rPr>
          <w:lang w:eastAsia="en-GB"/>
        </w:rPr>
        <w:t xml:space="preserve"> located </w:t>
      </w:r>
      <w:r w:rsidR="000C01DB" w:rsidRPr="001005B7">
        <w:rPr>
          <w:lang w:eastAsia="en-GB"/>
        </w:rPr>
        <w:t xml:space="preserve">by </w:t>
      </w:r>
      <w:r w:rsidR="00376DC6" w:rsidRPr="001005B7">
        <w:rPr>
          <w:lang w:eastAsia="en-GB"/>
        </w:rPr>
        <w:t>one another</w:t>
      </w:r>
      <w:r w:rsidR="000C01DB" w:rsidRPr="001005B7">
        <w:rPr>
          <w:lang w:eastAsia="en-GB"/>
        </w:rPr>
        <w:t>,</w:t>
      </w:r>
      <w:r w:rsidR="00233A73" w:rsidRPr="001005B7">
        <w:rPr>
          <w:lang w:eastAsia="en-GB"/>
        </w:rPr>
        <w:t xml:space="preserve"> and </w:t>
      </w:r>
      <w:r w:rsidR="00524FE9" w:rsidRPr="001005B7">
        <w:rPr>
          <w:lang w:eastAsia="en-GB"/>
        </w:rPr>
        <w:t xml:space="preserve">the </w:t>
      </w:r>
      <w:r w:rsidR="00122A72" w:rsidRPr="001005B7">
        <w:rPr>
          <w:lang w:eastAsia="en-GB"/>
        </w:rPr>
        <w:t xml:space="preserve">wheels beside the </w:t>
      </w:r>
      <w:r w:rsidR="00DC1DDA" w:rsidRPr="001005B7">
        <w:rPr>
          <w:lang w:eastAsia="en-GB"/>
        </w:rPr>
        <w:t>living being</w:t>
      </w:r>
      <w:r w:rsidR="00DC1DDA" w:rsidRPr="001005B7">
        <w:rPr>
          <w:i/>
          <w:iCs/>
          <w:lang w:eastAsia="en-GB"/>
        </w:rPr>
        <w:t>s</w:t>
      </w:r>
      <w:r w:rsidR="005D5DB1" w:rsidRPr="001005B7">
        <w:rPr>
          <w:lang w:eastAsia="en-GB"/>
        </w:rPr>
        <w:t xml:space="preserve">. In various </w:t>
      </w:r>
      <w:r w:rsidR="009223E3" w:rsidRPr="001005B7">
        <w:rPr>
          <w:lang w:eastAsia="en-GB"/>
        </w:rPr>
        <w:t>w</w:t>
      </w:r>
      <w:r w:rsidR="005D5DB1" w:rsidRPr="001005B7">
        <w:rPr>
          <w:lang w:eastAsia="en-GB"/>
        </w:rPr>
        <w:t xml:space="preserve">ays, then, </w:t>
      </w:r>
      <w:r w:rsidR="0042084A" w:rsidRPr="001005B7">
        <w:rPr>
          <w:lang w:eastAsia="en-GB"/>
        </w:rPr>
        <w:t>3:</w:t>
      </w:r>
      <w:r w:rsidR="005D5DB1" w:rsidRPr="001005B7">
        <w:rPr>
          <w:lang w:eastAsia="en-GB"/>
        </w:rPr>
        <w:t>12</w:t>
      </w:r>
      <w:r w:rsidR="00F46900" w:rsidRPr="001005B7">
        <w:rPr>
          <w:lang w:eastAsia="en-GB"/>
        </w:rPr>
        <w:t>–</w:t>
      </w:r>
      <w:r w:rsidR="005D5DB1" w:rsidRPr="001005B7">
        <w:rPr>
          <w:lang w:eastAsia="en-GB"/>
        </w:rPr>
        <w:t xml:space="preserve">15 closes </w:t>
      </w:r>
      <w:r w:rsidR="009223E3" w:rsidRPr="001005B7">
        <w:rPr>
          <w:lang w:eastAsia="en-GB"/>
        </w:rPr>
        <w:t>off 1:1</w:t>
      </w:r>
      <w:r w:rsidR="00F46900" w:rsidRPr="001005B7">
        <w:rPr>
          <w:lang w:eastAsia="en-GB"/>
        </w:rPr>
        <w:t>–</w:t>
      </w:r>
      <w:r w:rsidR="009223E3" w:rsidRPr="001005B7">
        <w:rPr>
          <w:lang w:eastAsia="en-GB"/>
        </w:rPr>
        <w:t>3:15</w:t>
      </w:r>
      <w:r w:rsidR="007526EA" w:rsidRPr="001005B7">
        <w:rPr>
          <w:lang w:eastAsia="en-GB"/>
        </w:rPr>
        <w:t xml:space="preserve"> and </w:t>
      </w:r>
      <w:r w:rsidR="00674EFA" w:rsidRPr="001005B7">
        <w:rPr>
          <w:lang w:eastAsia="en-GB"/>
        </w:rPr>
        <w:t>“provides a literary winding down”</w:t>
      </w:r>
      <w:r w:rsidR="000839AE" w:rsidRPr="001005B7">
        <w:rPr>
          <w:lang w:eastAsia="en-GB"/>
        </w:rPr>
        <w:t xml:space="preserve"> (</w:t>
      </w:r>
      <w:r w:rsidR="000839AE" w:rsidRPr="001005B7">
        <w:t>Allen</w:t>
      </w:r>
      <w:r w:rsidR="00656A1E" w:rsidRPr="001005B7">
        <w:t>,</w:t>
      </w:r>
      <w:r w:rsidR="000839AE" w:rsidRPr="001005B7">
        <w:t xml:space="preserve"> 1:43).</w:t>
      </w:r>
      <w:r w:rsidR="009D20D5" w:rsidRPr="001005B7">
        <w:rPr>
          <w:lang w:eastAsia="en-GB"/>
        </w:rPr>
        <w:t xml:space="preserve"> </w:t>
      </w:r>
      <w:r w:rsidR="0096689D" w:rsidRPr="001005B7">
        <w:rPr>
          <w:lang w:eastAsia="en-GB"/>
        </w:rPr>
        <w:t>“</w:t>
      </w:r>
      <w:r w:rsidR="00E320BC" w:rsidRPr="001005B7">
        <w:rPr>
          <w:lang w:eastAsia="en-GB"/>
        </w:rPr>
        <w:t>Link</w:t>
      </w:r>
      <w:r w:rsidR="0057294C" w:rsidRPr="001005B7">
        <w:rPr>
          <w:lang w:eastAsia="en-GB"/>
        </w:rPr>
        <w:t>ing</w:t>
      </w:r>
      <w:r w:rsidR="0096689D" w:rsidRPr="001005B7">
        <w:rPr>
          <w:lang w:eastAsia="en-GB"/>
        </w:rPr>
        <w:t>”</w:t>
      </w:r>
      <w:r w:rsidR="00DC1DDA" w:rsidRPr="001005B7">
        <w:rPr>
          <w:lang w:eastAsia="en-GB"/>
        </w:rPr>
        <w:t xml:space="preserve"> </w:t>
      </w:r>
      <w:r w:rsidR="00172906" w:rsidRPr="001005B7">
        <w:rPr>
          <w:lang w:eastAsia="en-GB"/>
        </w:rPr>
        <w:t>(</w:t>
      </w:r>
      <w:r w:rsidR="00736AEA" w:rsidRPr="001005B7">
        <w:rPr>
          <w:rFonts w:cstheme="minorHAnsi"/>
          <w:rtl/>
          <w:lang w:eastAsia="en-GB" w:bidi="he-IL"/>
        </w:rPr>
        <w:t>מַשׁ</w:t>
      </w:r>
      <w:r w:rsidR="00F066E3" w:rsidRPr="001005B7">
        <w:rPr>
          <w:rFonts w:cstheme="minorHAnsi"/>
          <w:rtl/>
          <w:lang w:eastAsia="en-GB" w:bidi="he-IL"/>
        </w:rPr>
        <w:t>ִּיקוׄת</w:t>
      </w:r>
      <w:r w:rsidR="007D53DC" w:rsidRPr="001005B7">
        <w:rPr>
          <w:lang w:eastAsia="en-GB"/>
        </w:rPr>
        <w:t>) i</w:t>
      </w:r>
      <w:r w:rsidR="00951018" w:rsidRPr="001005B7">
        <w:rPr>
          <w:lang w:eastAsia="en-GB"/>
        </w:rPr>
        <w:t>s one new expression in the reprise</w:t>
      </w:r>
      <w:r w:rsidR="00585336" w:rsidRPr="001005B7">
        <w:rPr>
          <w:lang w:eastAsia="en-GB"/>
        </w:rPr>
        <w:t>. I</w:t>
      </w:r>
      <w:r w:rsidR="00B359D6" w:rsidRPr="001005B7">
        <w:rPr>
          <w:lang w:eastAsia="en-GB"/>
        </w:rPr>
        <w:t>t makes</w:t>
      </w:r>
      <w:r w:rsidR="00274F55" w:rsidRPr="001005B7">
        <w:rPr>
          <w:lang w:eastAsia="en-GB"/>
        </w:rPr>
        <w:t xml:space="preserve"> its</w:t>
      </w:r>
      <w:r w:rsidR="00B359D6" w:rsidRPr="001005B7">
        <w:rPr>
          <w:lang w:eastAsia="en-GB"/>
        </w:rPr>
        <w:t xml:space="preserve"> impact as</w:t>
      </w:r>
      <w:r w:rsidR="00951018" w:rsidRPr="001005B7">
        <w:rPr>
          <w:lang w:eastAsia="en-GB"/>
        </w:rPr>
        <w:t xml:space="preserve"> </w:t>
      </w:r>
      <w:r w:rsidR="00B359D6" w:rsidRPr="001005B7">
        <w:rPr>
          <w:lang w:eastAsia="en-GB"/>
        </w:rPr>
        <w:t>a rare word</w:t>
      </w:r>
      <w:r w:rsidR="00E320BC" w:rsidRPr="001005B7">
        <w:rPr>
          <w:lang w:eastAsia="en-GB"/>
        </w:rPr>
        <w:t>,</w:t>
      </w:r>
      <w:r w:rsidR="00065A2F" w:rsidRPr="001005B7">
        <w:rPr>
          <w:lang w:eastAsia="en-GB"/>
        </w:rPr>
        <w:t xml:space="preserve"> or a familiar word with a</w:t>
      </w:r>
      <w:r w:rsidR="00274F55" w:rsidRPr="001005B7">
        <w:rPr>
          <w:lang w:eastAsia="en-GB"/>
        </w:rPr>
        <w:t>n unusual</w:t>
      </w:r>
      <w:r w:rsidR="00065A2F" w:rsidRPr="001005B7">
        <w:rPr>
          <w:lang w:eastAsia="en-GB"/>
        </w:rPr>
        <w:t xml:space="preserve"> meaning. The other </w:t>
      </w:r>
      <w:r w:rsidR="00DC1DDA" w:rsidRPr="001005B7">
        <w:rPr>
          <w:lang w:eastAsia="en-GB"/>
        </w:rPr>
        <w:t>new expression</w:t>
      </w:r>
      <w:r w:rsidR="00B0125C" w:rsidRPr="001005B7">
        <w:rPr>
          <w:lang w:eastAsia="en-GB"/>
        </w:rPr>
        <w:t xml:space="preserve"> is</w:t>
      </w:r>
      <w:r w:rsidR="006726A1" w:rsidRPr="001005B7">
        <w:rPr>
          <w:lang w:eastAsia="en-GB"/>
        </w:rPr>
        <w:t xml:space="preserve"> the repeated</w:t>
      </w:r>
      <w:r w:rsidR="00B0125C" w:rsidRPr="001005B7">
        <w:rPr>
          <w:lang w:eastAsia="en-GB"/>
        </w:rPr>
        <w:t xml:space="preserve"> </w:t>
      </w:r>
      <w:r w:rsidR="003E4284" w:rsidRPr="001005B7">
        <w:rPr>
          <w:lang w:eastAsia="en-GB"/>
        </w:rPr>
        <w:t>“</w:t>
      </w:r>
      <w:r w:rsidR="00B0125C" w:rsidRPr="001005B7">
        <w:rPr>
          <w:lang w:eastAsia="en-GB"/>
        </w:rPr>
        <w:t>quaking</w:t>
      </w:r>
      <w:r w:rsidR="003E4284" w:rsidRPr="001005B7">
        <w:rPr>
          <w:lang w:eastAsia="en-GB"/>
        </w:rPr>
        <w:t>”</w:t>
      </w:r>
      <w:r w:rsidR="007D53DC" w:rsidRPr="001005B7">
        <w:rPr>
          <w:i/>
          <w:iCs/>
          <w:lang w:eastAsia="en-GB"/>
        </w:rPr>
        <w:t xml:space="preserve"> </w:t>
      </w:r>
      <w:r w:rsidR="007D53DC" w:rsidRPr="001005B7">
        <w:rPr>
          <w:lang w:eastAsia="en-GB"/>
        </w:rPr>
        <w:t>(</w:t>
      </w:r>
      <w:r w:rsidR="005617C3" w:rsidRPr="001005B7">
        <w:rPr>
          <w:rFonts w:cstheme="minorHAnsi"/>
          <w:rtl/>
          <w:lang w:eastAsia="en-GB" w:bidi="he-IL"/>
        </w:rPr>
        <w:t>ר</w:t>
      </w:r>
      <w:r w:rsidR="00780E8F" w:rsidRPr="001005B7">
        <w:rPr>
          <w:rFonts w:cstheme="minorHAnsi"/>
          <w:rtl/>
          <w:lang w:eastAsia="en-GB" w:bidi="he-IL"/>
        </w:rPr>
        <w:t>ַעַשׁ</w:t>
      </w:r>
      <w:r w:rsidR="00780E8F" w:rsidRPr="001005B7">
        <w:rPr>
          <w:lang w:eastAsia="en-GB"/>
        </w:rPr>
        <w:t>)</w:t>
      </w:r>
      <w:r w:rsidR="005A0962" w:rsidRPr="001005B7">
        <w:rPr>
          <w:lang w:eastAsia="en-GB"/>
        </w:rPr>
        <w:t>, a sinister word</w:t>
      </w:r>
      <w:r w:rsidR="008206A3" w:rsidRPr="001005B7">
        <w:rPr>
          <w:lang w:eastAsia="en-GB"/>
        </w:rPr>
        <w:t>. W</w:t>
      </w:r>
      <w:r w:rsidR="005A0962" w:rsidRPr="001005B7">
        <w:rPr>
          <w:lang w:eastAsia="en-GB"/>
        </w:rPr>
        <w:t xml:space="preserve">hen it does not </w:t>
      </w:r>
      <w:r w:rsidR="00821E39" w:rsidRPr="001005B7">
        <w:rPr>
          <w:lang w:eastAsia="en-GB"/>
        </w:rPr>
        <w:t xml:space="preserve">refer to an earthquake, it most commonly </w:t>
      </w:r>
      <w:r w:rsidR="006726A1" w:rsidRPr="001005B7">
        <w:rPr>
          <w:lang w:eastAsia="en-GB"/>
        </w:rPr>
        <w:t>suggest</w:t>
      </w:r>
      <w:r w:rsidR="00CF4391" w:rsidRPr="001005B7">
        <w:rPr>
          <w:lang w:eastAsia="en-GB"/>
        </w:rPr>
        <w:t>s the noise of war</w:t>
      </w:r>
      <w:r w:rsidR="00B0125C" w:rsidRPr="001005B7">
        <w:rPr>
          <w:i/>
          <w:iCs/>
          <w:lang w:eastAsia="en-GB"/>
        </w:rPr>
        <w:t xml:space="preserve"> </w:t>
      </w:r>
      <w:r w:rsidR="006726A1" w:rsidRPr="001005B7">
        <w:rPr>
          <w:lang w:eastAsia="en-GB"/>
        </w:rPr>
        <w:t xml:space="preserve">(e.g., </w:t>
      </w:r>
      <w:r w:rsidR="00D77DB3" w:rsidRPr="001005B7">
        <w:rPr>
          <w:lang w:eastAsia="en-GB"/>
        </w:rPr>
        <w:t>Jer 47:3; Nah 3:2</w:t>
      </w:r>
      <w:r w:rsidR="00274F55" w:rsidRPr="001005B7">
        <w:rPr>
          <w:lang w:eastAsia="en-GB"/>
        </w:rPr>
        <w:t>)</w:t>
      </w:r>
      <w:r w:rsidR="00CF5F02" w:rsidRPr="001005B7">
        <w:rPr>
          <w:lang w:eastAsia="en-GB"/>
        </w:rPr>
        <w:t xml:space="preserve"> (</w:t>
      </w:r>
      <w:r w:rsidR="00CF5F02" w:rsidRPr="001005B7">
        <w:t>Allen</w:t>
      </w:r>
      <w:r w:rsidR="00656A1E" w:rsidRPr="001005B7">
        <w:t>,</w:t>
      </w:r>
      <w:r w:rsidR="00CF5F02" w:rsidRPr="001005B7">
        <w:t xml:space="preserve"> 1:43)</w:t>
      </w:r>
      <w:r w:rsidR="001C4C85" w:rsidRPr="001005B7">
        <w:rPr>
          <w:lang w:eastAsia="en-GB"/>
        </w:rPr>
        <w:t>.</w:t>
      </w:r>
      <w:r w:rsidR="00836A6F" w:rsidRPr="001005B7">
        <w:rPr>
          <w:lang w:eastAsia="en-GB"/>
        </w:rPr>
        <w:t xml:space="preserve"> </w:t>
      </w:r>
      <w:r w:rsidR="00614B2F" w:rsidRPr="001005B7">
        <w:rPr>
          <w:lang w:eastAsia="en-GB"/>
        </w:rPr>
        <w:t>T</w:t>
      </w:r>
      <w:r w:rsidR="00E52588" w:rsidRPr="001005B7">
        <w:rPr>
          <w:lang w:eastAsia="en-GB"/>
        </w:rPr>
        <w:t>g</w:t>
      </w:r>
      <w:r w:rsidR="00E25618" w:rsidRPr="001005B7">
        <w:rPr>
          <w:lang w:eastAsia="en-GB"/>
        </w:rPr>
        <w:t>.</w:t>
      </w:r>
      <w:r w:rsidR="00F470EC" w:rsidRPr="001005B7">
        <w:rPr>
          <w:lang w:eastAsia="en-GB"/>
        </w:rPr>
        <w:t xml:space="preserve"> takes t</w:t>
      </w:r>
      <w:r w:rsidR="001C4C85" w:rsidRPr="001005B7">
        <w:rPr>
          <w:lang w:eastAsia="en-GB"/>
        </w:rPr>
        <w:t xml:space="preserve">he </w:t>
      </w:r>
      <w:r w:rsidR="005F2545" w:rsidRPr="001005B7">
        <w:rPr>
          <w:lang w:eastAsia="en-GB"/>
        </w:rPr>
        <w:t xml:space="preserve">doxology </w:t>
      </w:r>
      <w:r w:rsidR="003E4284" w:rsidRPr="001005B7">
        <w:rPr>
          <w:lang w:eastAsia="en-GB"/>
        </w:rPr>
        <w:t>“</w:t>
      </w:r>
      <w:r w:rsidR="005F2545" w:rsidRPr="001005B7">
        <w:rPr>
          <w:lang w:eastAsia="en-GB"/>
        </w:rPr>
        <w:t>blessed be Yahwe</w:t>
      </w:r>
      <w:r w:rsidR="0083206F" w:rsidRPr="001005B7">
        <w:rPr>
          <w:lang w:eastAsia="en-GB"/>
        </w:rPr>
        <w:t>h</w:t>
      </w:r>
      <w:r w:rsidR="005F2545" w:rsidRPr="001005B7">
        <w:rPr>
          <w:lang w:eastAsia="en-GB"/>
        </w:rPr>
        <w:t xml:space="preserve">’s brightness from </w:t>
      </w:r>
      <w:r w:rsidR="0083206F" w:rsidRPr="001005B7">
        <w:rPr>
          <w:lang w:eastAsia="en-GB"/>
        </w:rPr>
        <w:t>his place</w:t>
      </w:r>
      <w:r w:rsidR="003E4284" w:rsidRPr="001005B7">
        <w:rPr>
          <w:lang w:eastAsia="en-GB"/>
        </w:rPr>
        <w:t>”</w:t>
      </w:r>
      <w:r w:rsidR="00FD0607" w:rsidRPr="001005B7">
        <w:rPr>
          <w:lang w:eastAsia="en-GB"/>
        </w:rPr>
        <w:t xml:space="preserve"> </w:t>
      </w:r>
      <w:r w:rsidR="00E66514" w:rsidRPr="001005B7">
        <w:rPr>
          <w:lang w:eastAsia="en-GB"/>
        </w:rPr>
        <w:t>to be</w:t>
      </w:r>
      <w:r w:rsidR="00FD0607" w:rsidRPr="001005B7">
        <w:rPr>
          <w:lang w:eastAsia="en-GB"/>
        </w:rPr>
        <w:t xml:space="preserve"> the sound</w:t>
      </w:r>
      <w:r w:rsidR="0056497B" w:rsidRPr="001005B7">
        <w:rPr>
          <w:lang w:eastAsia="en-GB"/>
        </w:rPr>
        <w:t xml:space="preserve"> the </w:t>
      </w:r>
      <w:r w:rsidR="0034751B" w:rsidRPr="001005B7">
        <w:rPr>
          <w:lang w:eastAsia="en-GB"/>
        </w:rPr>
        <w:t xml:space="preserve">creatures </w:t>
      </w:r>
      <w:r w:rsidR="0056497B" w:rsidRPr="001005B7">
        <w:rPr>
          <w:lang w:eastAsia="en-GB"/>
        </w:rPr>
        <w:t>make</w:t>
      </w:r>
      <w:r w:rsidR="00CB0D18" w:rsidRPr="001005B7">
        <w:rPr>
          <w:lang w:eastAsia="en-GB"/>
        </w:rPr>
        <w:t xml:space="preserve">, but </w:t>
      </w:r>
      <w:r w:rsidR="00AC027B" w:rsidRPr="001005B7">
        <w:rPr>
          <w:lang w:eastAsia="en-GB"/>
        </w:rPr>
        <w:t>3:</w:t>
      </w:r>
      <w:r w:rsidR="00CB0D18" w:rsidRPr="001005B7">
        <w:rPr>
          <w:lang w:eastAsia="en-GB"/>
        </w:rPr>
        <w:t xml:space="preserve">13 </w:t>
      </w:r>
      <w:r w:rsidR="00FB1276" w:rsidRPr="001005B7">
        <w:rPr>
          <w:lang w:eastAsia="en-GB"/>
        </w:rPr>
        <w:t>goes on to indicate the nature of th</w:t>
      </w:r>
      <w:r w:rsidR="00E66514" w:rsidRPr="001005B7">
        <w:rPr>
          <w:lang w:eastAsia="en-GB"/>
        </w:rPr>
        <w:t>e</w:t>
      </w:r>
      <w:r w:rsidR="00FB1276" w:rsidRPr="001005B7">
        <w:rPr>
          <w:lang w:eastAsia="en-GB"/>
        </w:rPr>
        <w:t xml:space="preserve"> sound</w:t>
      </w:r>
      <w:r w:rsidR="0034751B" w:rsidRPr="001005B7">
        <w:rPr>
          <w:lang w:eastAsia="en-GB"/>
        </w:rPr>
        <w:t xml:space="preserve"> they were making</w:t>
      </w:r>
      <w:r w:rsidR="00585336" w:rsidRPr="001005B7">
        <w:rPr>
          <w:lang w:eastAsia="en-GB"/>
        </w:rPr>
        <w:t>. M</w:t>
      </w:r>
      <w:r w:rsidR="00FB1276" w:rsidRPr="001005B7">
        <w:rPr>
          <w:lang w:eastAsia="en-GB"/>
        </w:rPr>
        <w:t>ore likely th</w:t>
      </w:r>
      <w:r w:rsidR="000827C4" w:rsidRPr="001005B7">
        <w:rPr>
          <w:lang w:eastAsia="en-GB"/>
        </w:rPr>
        <w:t>e</w:t>
      </w:r>
      <w:r w:rsidR="00FB1276" w:rsidRPr="001005B7">
        <w:rPr>
          <w:lang w:eastAsia="en-GB"/>
        </w:rPr>
        <w:t xml:space="preserve"> doxology</w:t>
      </w:r>
      <w:r w:rsidR="00774C3B" w:rsidRPr="001005B7">
        <w:rPr>
          <w:lang w:eastAsia="en-GB"/>
        </w:rPr>
        <w:t xml:space="preserve"> is a</w:t>
      </w:r>
      <w:r w:rsidR="006513FA" w:rsidRPr="001005B7">
        <w:rPr>
          <w:lang w:eastAsia="en-GB"/>
        </w:rPr>
        <w:t>n exclamatory</w:t>
      </w:r>
      <w:r w:rsidR="00774C3B" w:rsidRPr="001005B7">
        <w:rPr>
          <w:lang w:eastAsia="en-GB"/>
        </w:rPr>
        <w:t xml:space="preserve"> </w:t>
      </w:r>
      <w:r w:rsidR="000451FB" w:rsidRPr="001005B7">
        <w:rPr>
          <w:lang w:eastAsia="en-GB"/>
        </w:rPr>
        <w:t>p</w:t>
      </w:r>
      <w:r w:rsidR="00BA369C" w:rsidRPr="001005B7">
        <w:rPr>
          <w:lang w:eastAsia="en-GB"/>
        </w:rPr>
        <w:t>arenth</w:t>
      </w:r>
      <w:r w:rsidR="00A6459D" w:rsidRPr="001005B7">
        <w:rPr>
          <w:lang w:eastAsia="en-GB"/>
        </w:rPr>
        <w:t>es</w:t>
      </w:r>
      <w:r w:rsidR="000451FB" w:rsidRPr="001005B7">
        <w:rPr>
          <w:lang w:eastAsia="en-GB"/>
        </w:rPr>
        <w:t>is</w:t>
      </w:r>
      <w:r w:rsidR="006513FA" w:rsidRPr="001005B7">
        <w:rPr>
          <w:lang w:eastAsia="en-GB"/>
        </w:rPr>
        <w:t xml:space="preserve"> by Ezekiel or a curator</w:t>
      </w:r>
      <w:r w:rsidR="00EC3410" w:rsidRPr="001005B7">
        <w:rPr>
          <w:lang w:eastAsia="en-GB"/>
        </w:rPr>
        <w:t xml:space="preserve"> who has added it or modi</w:t>
      </w:r>
      <w:r w:rsidR="00A036CB" w:rsidRPr="001005B7">
        <w:rPr>
          <w:lang w:eastAsia="en-GB"/>
        </w:rPr>
        <w:t>fied it</w:t>
      </w:r>
      <w:r w:rsidR="000827C4" w:rsidRPr="001005B7">
        <w:rPr>
          <w:lang w:eastAsia="en-GB"/>
        </w:rPr>
        <w:t xml:space="preserve"> (see the textual note)</w:t>
      </w:r>
      <w:r w:rsidR="00A036CB" w:rsidRPr="001005B7">
        <w:rPr>
          <w:lang w:eastAsia="en-GB"/>
        </w:rPr>
        <w:t xml:space="preserve">. </w:t>
      </w:r>
      <w:r w:rsidR="004F2D3F" w:rsidRPr="001005B7">
        <w:rPr>
          <w:lang w:eastAsia="en-GB"/>
        </w:rPr>
        <w:t>In Jewish worship, t</w:t>
      </w:r>
      <w:r w:rsidR="008B7864" w:rsidRPr="001005B7">
        <w:rPr>
          <w:lang w:eastAsia="en-GB"/>
        </w:rPr>
        <w:t xml:space="preserve">he </w:t>
      </w:r>
      <w:r w:rsidR="003C48DC" w:rsidRPr="001005B7">
        <w:rPr>
          <w:lang w:eastAsia="en-GB"/>
        </w:rPr>
        <w:t xml:space="preserve">exclamation functions </w:t>
      </w:r>
      <w:r w:rsidR="002F2203" w:rsidRPr="001005B7">
        <w:rPr>
          <w:lang w:eastAsia="en-GB"/>
        </w:rPr>
        <w:t>as a doxology</w:t>
      </w:r>
      <w:r w:rsidR="007535E5" w:rsidRPr="001005B7">
        <w:rPr>
          <w:lang w:eastAsia="en-GB"/>
        </w:rPr>
        <w:t>,</w:t>
      </w:r>
      <w:r w:rsidR="003C48DC" w:rsidRPr="001005B7">
        <w:rPr>
          <w:lang w:eastAsia="en-GB"/>
        </w:rPr>
        <w:t xml:space="preserve"> a </w:t>
      </w:r>
      <w:r w:rsidR="004F2D3F" w:rsidRPr="001005B7">
        <w:rPr>
          <w:lang w:eastAsia="en-GB"/>
        </w:rPr>
        <w:t>Kedushah prayer</w:t>
      </w:r>
      <w:r w:rsidR="0030293B" w:rsidRPr="001005B7">
        <w:rPr>
          <w:lang w:eastAsia="en-GB"/>
        </w:rPr>
        <w:t xml:space="preserve"> that</w:t>
      </w:r>
      <w:r w:rsidR="004F2D3F" w:rsidRPr="001005B7">
        <w:rPr>
          <w:lang w:eastAsia="en-GB"/>
        </w:rPr>
        <w:t xml:space="preserve"> sanctif</w:t>
      </w:r>
      <w:r w:rsidR="0030293B" w:rsidRPr="001005B7">
        <w:rPr>
          <w:lang w:eastAsia="en-GB"/>
        </w:rPr>
        <w:t>ies</w:t>
      </w:r>
      <w:r w:rsidR="004F2D3F" w:rsidRPr="001005B7">
        <w:rPr>
          <w:lang w:eastAsia="en-GB"/>
        </w:rPr>
        <w:t xml:space="preserve"> God’s name</w:t>
      </w:r>
      <w:r w:rsidR="000E52B0" w:rsidRPr="001005B7">
        <w:rPr>
          <w:lang w:eastAsia="en-GB"/>
        </w:rPr>
        <w:t xml:space="preserve"> (</w:t>
      </w:r>
      <w:proofErr w:type="spellStart"/>
      <w:r w:rsidR="000E52B0" w:rsidRPr="001005B7">
        <w:t>Fishbane</w:t>
      </w:r>
      <w:proofErr w:type="spellEnd"/>
      <w:r w:rsidR="000E52B0" w:rsidRPr="001005B7">
        <w:t>, 319</w:t>
      </w:r>
      <w:r w:rsidR="00F46900" w:rsidRPr="001005B7">
        <w:t>–</w:t>
      </w:r>
      <w:r w:rsidR="000E52B0" w:rsidRPr="001005B7">
        <w:t>20</w:t>
      </w:r>
      <w:r w:rsidR="002B53AC" w:rsidRPr="001005B7">
        <w:t>)</w:t>
      </w:r>
      <w:r w:rsidR="0092453C" w:rsidRPr="001005B7">
        <w:rPr>
          <w:lang w:eastAsia="en-GB"/>
        </w:rPr>
        <w:t>.</w:t>
      </w:r>
      <w:r w:rsidR="00A036CB" w:rsidRPr="001005B7">
        <w:rPr>
          <w:lang w:eastAsia="en-GB"/>
        </w:rPr>
        <w:t xml:space="preserve"> </w:t>
      </w:r>
      <w:r w:rsidR="0067119F" w:rsidRPr="001005B7">
        <w:rPr>
          <w:lang w:eastAsia="en-GB"/>
        </w:rPr>
        <w:t xml:space="preserve">Its nearest parallel is </w:t>
      </w:r>
      <w:proofErr w:type="spellStart"/>
      <w:r w:rsidR="0067119F" w:rsidRPr="001005B7">
        <w:rPr>
          <w:lang w:eastAsia="en-GB"/>
        </w:rPr>
        <w:t>Ps</w:t>
      </w:r>
      <w:r w:rsidR="00234BED" w:rsidRPr="001005B7">
        <w:rPr>
          <w:lang w:eastAsia="en-GB"/>
        </w:rPr>
        <w:t>a</w:t>
      </w:r>
      <w:proofErr w:type="spellEnd"/>
      <w:r w:rsidR="0067119F" w:rsidRPr="001005B7">
        <w:rPr>
          <w:lang w:eastAsia="en-GB"/>
        </w:rPr>
        <w:t xml:space="preserve"> </w:t>
      </w:r>
      <w:r w:rsidR="00912CD8" w:rsidRPr="001005B7">
        <w:rPr>
          <w:lang w:eastAsia="en-GB"/>
        </w:rPr>
        <w:t>135:20</w:t>
      </w:r>
      <w:r w:rsidR="00C306FE" w:rsidRPr="001005B7">
        <w:rPr>
          <w:lang w:eastAsia="en-GB"/>
        </w:rPr>
        <w:t>. T</w:t>
      </w:r>
      <w:r w:rsidR="00D210E2" w:rsidRPr="001005B7">
        <w:rPr>
          <w:lang w:eastAsia="en-GB"/>
        </w:rPr>
        <w:t xml:space="preserve">he </w:t>
      </w:r>
      <w:r w:rsidR="00F711BE" w:rsidRPr="001005B7">
        <w:rPr>
          <w:lang w:eastAsia="en-GB"/>
        </w:rPr>
        <w:t xml:space="preserve">comparison would suggest that </w:t>
      </w:r>
      <w:r w:rsidR="00BF4521" w:rsidRPr="001005B7">
        <w:rPr>
          <w:lang w:eastAsia="en-GB"/>
        </w:rPr>
        <w:t>“</w:t>
      </w:r>
      <w:r w:rsidR="00D210E2" w:rsidRPr="001005B7">
        <w:rPr>
          <w:lang w:eastAsia="en-GB"/>
        </w:rPr>
        <w:t>his</w:t>
      </w:r>
      <w:r w:rsidR="00D210E2" w:rsidRPr="001005B7">
        <w:rPr>
          <w:i/>
          <w:iCs/>
          <w:lang w:eastAsia="en-GB"/>
        </w:rPr>
        <w:t xml:space="preserve"> </w:t>
      </w:r>
      <w:r w:rsidR="00D210E2" w:rsidRPr="001005B7">
        <w:rPr>
          <w:lang w:eastAsia="en-GB"/>
        </w:rPr>
        <w:t>place</w:t>
      </w:r>
      <w:r w:rsidR="00BF4521" w:rsidRPr="001005B7">
        <w:rPr>
          <w:i/>
          <w:iCs/>
          <w:lang w:eastAsia="en-GB"/>
        </w:rPr>
        <w:t>”</w:t>
      </w:r>
      <w:r w:rsidR="00A94886" w:rsidRPr="001005B7">
        <w:rPr>
          <w:lang w:eastAsia="en-GB"/>
        </w:rPr>
        <w:t xml:space="preserve"> </w:t>
      </w:r>
      <w:r w:rsidR="00D210E2" w:rsidRPr="001005B7">
        <w:rPr>
          <w:lang w:eastAsia="en-GB"/>
        </w:rPr>
        <w:t xml:space="preserve">is </w:t>
      </w:r>
      <w:r w:rsidR="00A94886" w:rsidRPr="001005B7">
        <w:rPr>
          <w:lang w:eastAsia="en-GB"/>
        </w:rPr>
        <w:t>Zio</w:t>
      </w:r>
      <w:r w:rsidR="00002200" w:rsidRPr="001005B7">
        <w:rPr>
          <w:lang w:eastAsia="en-GB"/>
        </w:rPr>
        <w:t>n.</w:t>
      </w:r>
      <w:r w:rsidR="008C1B44" w:rsidRPr="001005B7">
        <w:rPr>
          <w:lang w:eastAsia="en-GB"/>
        </w:rPr>
        <w:t xml:space="preserve"> </w:t>
      </w:r>
    </w:p>
    <w:p w14:paraId="768F2CE5" w14:textId="30F86F72" w:rsidR="00352275" w:rsidRPr="001005B7" w:rsidRDefault="00E100C2" w:rsidP="005158A3">
      <w:pPr>
        <w:rPr>
          <w:lang w:eastAsia="en-GB"/>
        </w:rPr>
      </w:pPr>
      <w:r w:rsidRPr="001005B7">
        <w:rPr>
          <w:b/>
          <w:bCs/>
          <w:lang w:eastAsia="en-GB"/>
        </w:rPr>
        <w:t>3:</w:t>
      </w:r>
      <w:r w:rsidR="0080557B" w:rsidRPr="001005B7">
        <w:rPr>
          <w:b/>
          <w:bCs/>
          <w:lang w:eastAsia="en-GB"/>
        </w:rPr>
        <w:t>14</w:t>
      </w:r>
      <w:r w:rsidR="00F46900" w:rsidRPr="001005B7">
        <w:rPr>
          <w:b/>
          <w:bCs/>
          <w:lang w:eastAsia="en-GB"/>
        </w:rPr>
        <w:t>–</w:t>
      </w:r>
      <w:r w:rsidR="0080557B" w:rsidRPr="001005B7">
        <w:rPr>
          <w:b/>
          <w:bCs/>
          <w:lang w:eastAsia="en-GB"/>
        </w:rPr>
        <w:t xml:space="preserve">15 </w:t>
      </w:r>
      <w:r w:rsidR="007A0FF2" w:rsidRPr="001005B7">
        <w:rPr>
          <w:lang w:eastAsia="en-GB"/>
        </w:rPr>
        <w:t>Ezekiel</w:t>
      </w:r>
      <w:r w:rsidR="0080557B" w:rsidRPr="001005B7">
        <w:rPr>
          <w:lang w:eastAsia="en-GB"/>
        </w:rPr>
        <w:t xml:space="preserve"> </w:t>
      </w:r>
      <w:r w:rsidR="00F60829" w:rsidRPr="001005B7">
        <w:rPr>
          <w:lang w:eastAsia="en-GB"/>
        </w:rPr>
        <w:t>goes on his journey</w:t>
      </w:r>
      <w:r w:rsidR="00E80872" w:rsidRPr="001005B7">
        <w:rPr>
          <w:lang w:eastAsia="en-GB"/>
        </w:rPr>
        <w:t xml:space="preserve"> </w:t>
      </w:r>
      <w:r w:rsidR="00E80872" w:rsidRPr="001005B7">
        <w:rPr>
          <w:rFonts w:cstheme="minorHAnsi"/>
          <w:rtl/>
          <w:lang w:eastAsia="en-GB" w:bidi="he-IL"/>
        </w:rPr>
        <w:t>מַר</w:t>
      </w:r>
      <w:r w:rsidR="00E80872" w:rsidRPr="001005B7">
        <w:rPr>
          <w:lang w:eastAsia="en-GB"/>
        </w:rPr>
        <w:t xml:space="preserve">, </w:t>
      </w:r>
      <w:r w:rsidR="000E1C8F" w:rsidRPr="001005B7">
        <w:rPr>
          <w:lang w:eastAsia="en-GB"/>
        </w:rPr>
        <w:t>“</w:t>
      </w:r>
      <w:r w:rsidR="00F60829" w:rsidRPr="001005B7">
        <w:rPr>
          <w:lang w:eastAsia="en-GB"/>
        </w:rPr>
        <w:t>bitter</w:t>
      </w:r>
      <w:r w:rsidR="00F20BC9" w:rsidRPr="001005B7">
        <w:rPr>
          <w:lang w:eastAsia="en-GB"/>
        </w:rPr>
        <w:t>,</w:t>
      </w:r>
      <w:r w:rsidR="000E1C8F" w:rsidRPr="001005B7">
        <w:rPr>
          <w:lang w:eastAsia="en-GB"/>
        </w:rPr>
        <w:t>”</w:t>
      </w:r>
      <w:r w:rsidR="00F20BC9" w:rsidRPr="001005B7">
        <w:rPr>
          <w:lang w:eastAsia="en-GB"/>
        </w:rPr>
        <w:t xml:space="preserve"> which</w:t>
      </w:r>
      <w:r w:rsidR="00841BBA" w:rsidRPr="001005B7">
        <w:rPr>
          <w:lang w:eastAsia="en-GB"/>
        </w:rPr>
        <w:t xml:space="preserve"> </w:t>
      </w:r>
      <w:r w:rsidR="00DD6305" w:rsidRPr="001005B7">
        <w:rPr>
          <w:lang w:eastAsia="en-GB"/>
        </w:rPr>
        <w:t xml:space="preserve">might </w:t>
      </w:r>
      <w:r w:rsidR="00A37061" w:rsidRPr="001005B7">
        <w:rPr>
          <w:lang w:eastAsia="en-GB"/>
        </w:rPr>
        <w:t>seem</w:t>
      </w:r>
      <w:r w:rsidR="00841BBA" w:rsidRPr="001005B7">
        <w:rPr>
          <w:lang w:eastAsia="en-GB"/>
        </w:rPr>
        <w:t xml:space="preserve"> </w:t>
      </w:r>
      <w:r w:rsidR="00DD6305" w:rsidRPr="001005B7">
        <w:rPr>
          <w:lang w:eastAsia="en-GB"/>
        </w:rPr>
        <w:t>odd</w:t>
      </w:r>
      <w:r w:rsidR="00841BBA" w:rsidRPr="001005B7">
        <w:rPr>
          <w:lang w:eastAsia="en-GB"/>
        </w:rPr>
        <w:t xml:space="preserve"> after</w:t>
      </w:r>
      <w:r w:rsidR="00A55F3C" w:rsidRPr="001005B7">
        <w:rPr>
          <w:lang w:eastAsia="en-GB"/>
        </w:rPr>
        <w:t xml:space="preserve"> finding the scroll sweet.</w:t>
      </w:r>
      <w:r w:rsidR="00A37061" w:rsidRPr="001005B7">
        <w:rPr>
          <w:lang w:eastAsia="en-GB"/>
        </w:rPr>
        <w:t xml:space="preserve"> </w:t>
      </w:r>
      <w:r w:rsidR="00AF6F7B" w:rsidRPr="001005B7">
        <w:rPr>
          <w:lang w:eastAsia="en-GB"/>
        </w:rPr>
        <w:t>T</w:t>
      </w:r>
      <w:r w:rsidR="00A37061" w:rsidRPr="001005B7">
        <w:rPr>
          <w:lang w:eastAsia="en-GB"/>
        </w:rPr>
        <w:t xml:space="preserve">he irony is both </w:t>
      </w:r>
      <w:r w:rsidR="00274149" w:rsidRPr="001005B7">
        <w:rPr>
          <w:lang w:eastAsia="en-GB"/>
        </w:rPr>
        <w:t>explained and deepened by the further comment</w:t>
      </w:r>
      <w:r w:rsidR="00F20BC9" w:rsidRPr="001005B7">
        <w:rPr>
          <w:lang w:eastAsia="en-GB"/>
        </w:rPr>
        <w:t xml:space="preserve"> </w:t>
      </w:r>
      <w:r w:rsidR="00274149" w:rsidRPr="001005B7">
        <w:rPr>
          <w:lang w:eastAsia="en-GB"/>
        </w:rPr>
        <w:t>associat</w:t>
      </w:r>
      <w:r w:rsidR="00DD6305" w:rsidRPr="001005B7">
        <w:rPr>
          <w:lang w:eastAsia="en-GB"/>
        </w:rPr>
        <w:t>ing</w:t>
      </w:r>
      <w:r w:rsidR="00274149" w:rsidRPr="001005B7">
        <w:rPr>
          <w:lang w:eastAsia="en-GB"/>
        </w:rPr>
        <w:t xml:space="preserve"> bitterness </w:t>
      </w:r>
      <w:r w:rsidR="00CC7042" w:rsidRPr="001005B7">
        <w:rPr>
          <w:lang w:eastAsia="en-GB"/>
        </w:rPr>
        <w:t>with</w:t>
      </w:r>
      <w:r w:rsidR="00AF6F7B" w:rsidRPr="001005B7">
        <w:rPr>
          <w:lang w:eastAsia="en-GB"/>
        </w:rPr>
        <w:t xml:space="preserve"> </w:t>
      </w:r>
      <w:r w:rsidR="00BA0BD0" w:rsidRPr="001005B7">
        <w:rPr>
          <w:rFonts w:cstheme="minorHAnsi"/>
          <w:rtl/>
          <w:lang w:eastAsia="en-GB" w:bidi="he-IL"/>
        </w:rPr>
        <w:t>חֲמַת</w:t>
      </w:r>
      <w:r w:rsidR="004C3814" w:rsidRPr="001005B7">
        <w:rPr>
          <w:rFonts w:cstheme="minorHAnsi"/>
          <w:rtl/>
          <w:lang w:eastAsia="en-GB" w:bidi="he-IL"/>
        </w:rPr>
        <w:t xml:space="preserve"> </w:t>
      </w:r>
      <w:r w:rsidR="003005E0" w:rsidRPr="001005B7">
        <w:rPr>
          <w:rFonts w:cstheme="minorHAnsi"/>
          <w:rtl/>
          <w:lang w:eastAsia="en-GB" w:bidi="he-IL"/>
        </w:rPr>
        <w:t>רוּחִ</w:t>
      </w:r>
      <w:r w:rsidR="004C3814" w:rsidRPr="001005B7">
        <w:rPr>
          <w:rFonts w:cstheme="minorHAnsi"/>
          <w:rtl/>
          <w:lang w:eastAsia="en-GB" w:bidi="he-IL"/>
        </w:rPr>
        <w:t>י</w:t>
      </w:r>
      <w:r w:rsidR="004C3814" w:rsidRPr="001005B7">
        <w:rPr>
          <w:lang w:eastAsia="en-GB"/>
        </w:rPr>
        <w:t xml:space="preserve">, </w:t>
      </w:r>
      <w:r w:rsidR="007625F9" w:rsidRPr="001005B7">
        <w:rPr>
          <w:lang w:eastAsia="en-GB"/>
        </w:rPr>
        <w:t>“</w:t>
      </w:r>
      <w:r w:rsidR="00CC7042" w:rsidRPr="001005B7">
        <w:rPr>
          <w:lang w:eastAsia="en-GB"/>
        </w:rPr>
        <w:t>the fury of my spirit</w:t>
      </w:r>
      <w:r w:rsidR="00714BDC" w:rsidRPr="001005B7">
        <w:rPr>
          <w:lang w:eastAsia="en-GB"/>
        </w:rPr>
        <w:t>.”</w:t>
      </w:r>
      <w:r w:rsidR="00E22193" w:rsidRPr="001005B7">
        <w:rPr>
          <w:lang w:eastAsia="en-GB"/>
        </w:rPr>
        <w:t xml:space="preserve"> </w:t>
      </w:r>
      <w:r w:rsidR="00714BDC" w:rsidRPr="001005B7">
        <w:rPr>
          <w:lang w:eastAsia="en-GB"/>
        </w:rPr>
        <w:t>F</w:t>
      </w:r>
      <w:r w:rsidR="00E22193" w:rsidRPr="001005B7">
        <w:rPr>
          <w:lang w:eastAsia="en-GB"/>
        </w:rPr>
        <w:t xml:space="preserve">ury is Yahweh’s business in Ezekiel </w:t>
      </w:r>
      <w:r w:rsidR="00015F8A" w:rsidRPr="001005B7">
        <w:rPr>
          <w:lang w:eastAsia="en-GB"/>
        </w:rPr>
        <w:t>(</w:t>
      </w:r>
      <w:r w:rsidR="007B7DA4" w:rsidRPr="001005B7">
        <w:rPr>
          <w:lang w:eastAsia="en-GB"/>
        </w:rPr>
        <w:t>e.g., 5:13, 15</w:t>
      </w:r>
      <w:r w:rsidR="007062FC" w:rsidRPr="001005B7">
        <w:rPr>
          <w:lang w:eastAsia="en-GB"/>
        </w:rPr>
        <w:t>).</w:t>
      </w:r>
      <w:r w:rsidR="007B7DA4" w:rsidRPr="001005B7">
        <w:rPr>
          <w:lang w:eastAsia="en-GB"/>
        </w:rPr>
        <w:t xml:space="preserve"> </w:t>
      </w:r>
      <w:r w:rsidR="007062FC" w:rsidRPr="001005B7">
        <w:rPr>
          <w:lang w:eastAsia="en-GB"/>
        </w:rPr>
        <w:t>T</w:t>
      </w:r>
      <w:r w:rsidR="00015F8A" w:rsidRPr="001005B7">
        <w:rPr>
          <w:lang w:eastAsia="en-GB"/>
        </w:rPr>
        <w:t>he exception prov</w:t>
      </w:r>
      <w:r w:rsidR="009C21B0" w:rsidRPr="001005B7">
        <w:rPr>
          <w:lang w:eastAsia="en-GB"/>
        </w:rPr>
        <w:t>ing</w:t>
      </w:r>
      <w:r w:rsidR="00015F8A" w:rsidRPr="001005B7">
        <w:rPr>
          <w:lang w:eastAsia="en-GB"/>
        </w:rPr>
        <w:t xml:space="preserve"> the rule is 23:25</w:t>
      </w:r>
      <w:r w:rsidR="00741F8B" w:rsidRPr="001005B7">
        <w:rPr>
          <w:lang w:eastAsia="en-GB"/>
        </w:rPr>
        <w:t>, where again human beings express Yahweh’s fury.</w:t>
      </w:r>
      <w:r w:rsidR="001F5AD9" w:rsidRPr="001005B7">
        <w:rPr>
          <w:lang w:eastAsia="en-GB"/>
        </w:rPr>
        <w:t xml:space="preserve"> So Ezekiel goes to </w:t>
      </w:r>
      <w:r w:rsidR="00935BF2" w:rsidRPr="001005B7">
        <w:rPr>
          <w:lang w:eastAsia="en-GB"/>
        </w:rPr>
        <w:t>the</w:t>
      </w:r>
      <w:r w:rsidR="00D212EF" w:rsidRPr="001005B7">
        <w:rPr>
          <w:lang w:eastAsia="en-GB"/>
        </w:rPr>
        <w:t xml:space="preserve"> Judahites </w:t>
      </w:r>
      <w:r w:rsidR="00935BF2" w:rsidRPr="001005B7">
        <w:rPr>
          <w:lang w:eastAsia="en-GB"/>
        </w:rPr>
        <w:t xml:space="preserve">bearing Yahweh’s fury in his spirit, and </w:t>
      </w:r>
      <w:r w:rsidR="00096189" w:rsidRPr="001005B7">
        <w:rPr>
          <w:lang w:eastAsia="en-GB"/>
        </w:rPr>
        <w:t>feeling</w:t>
      </w:r>
      <w:r w:rsidR="00935BF2" w:rsidRPr="001005B7">
        <w:rPr>
          <w:lang w:eastAsia="en-GB"/>
        </w:rPr>
        <w:t xml:space="preserve"> Yahweh’s bitterness (cf.</w:t>
      </w:r>
      <w:r w:rsidR="00274149" w:rsidRPr="001005B7">
        <w:rPr>
          <w:lang w:eastAsia="en-GB"/>
        </w:rPr>
        <w:t xml:space="preserve"> </w:t>
      </w:r>
      <w:r w:rsidR="00880EB5" w:rsidRPr="001005B7">
        <w:rPr>
          <w:lang w:eastAsia="en-GB"/>
        </w:rPr>
        <w:t>21:6 [11]</w:t>
      </w:r>
      <w:r w:rsidR="00935BF2" w:rsidRPr="001005B7">
        <w:rPr>
          <w:lang w:eastAsia="en-GB"/>
        </w:rPr>
        <w:t>)</w:t>
      </w:r>
      <w:r w:rsidR="00DE5F52" w:rsidRPr="001005B7">
        <w:rPr>
          <w:lang w:eastAsia="en-GB"/>
        </w:rPr>
        <w:t>,</w:t>
      </w:r>
      <w:r w:rsidR="0081357B" w:rsidRPr="001005B7">
        <w:rPr>
          <w:lang w:eastAsia="en-GB"/>
        </w:rPr>
        <w:t xml:space="preserve"> “understanding the indignation of God”</w:t>
      </w:r>
      <w:r w:rsidR="005F6EC2" w:rsidRPr="001005B7">
        <w:rPr>
          <w:lang w:eastAsia="en-GB"/>
        </w:rPr>
        <w:t xml:space="preserve"> (</w:t>
      </w:r>
      <w:r w:rsidR="005F6EC2" w:rsidRPr="001005B7">
        <w:t>Jerome, 43</w:t>
      </w:r>
      <w:r w:rsidR="00EE3891" w:rsidRPr="001005B7">
        <w:t>).</w:t>
      </w:r>
      <w:r w:rsidR="0081357B" w:rsidRPr="001005B7">
        <w:rPr>
          <w:lang w:eastAsia="en-GB"/>
        </w:rPr>
        <w:t xml:space="preserve"> </w:t>
      </w:r>
      <w:r w:rsidR="000252AF" w:rsidRPr="001005B7">
        <w:rPr>
          <w:lang w:eastAsia="en-GB"/>
        </w:rPr>
        <w:t>To put i</w:t>
      </w:r>
      <w:r w:rsidR="00104121" w:rsidRPr="001005B7">
        <w:rPr>
          <w:lang w:eastAsia="en-GB"/>
        </w:rPr>
        <w:t>t</w:t>
      </w:r>
      <w:r w:rsidR="000252AF" w:rsidRPr="001005B7">
        <w:rPr>
          <w:lang w:eastAsia="en-GB"/>
        </w:rPr>
        <w:t xml:space="preserve"> another way, he went with Yahweh’s hand </w:t>
      </w:r>
      <w:r w:rsidR="00C30ABB" w:rsidRPr="001005B7">
        <w:rPr>
          <w:lang w:eastAsia="en-GB"/>
        </w:rPr>
        <w:t xml:space="preserve">strong </w:t>
      </w:r>
      <w:r w:rsidR="007260FC" w:rsidRPr="001005B7">
        <w:rPr>
          <w:lang w:eastAsia="en-GB"/>
        </w:rPr>
        <w:t>on him</w:t>
      </w:r>
      <w:r w:rsidR="00984D33" w:rsidRPr="001005B7">
        <w:rPr>
          <w:lang w:eastAsia="en-GB"/>
        </w:rPr>
        <w:t>, another char</w:t>
      </w:r>
      <w:r w:rsidR="008B5023" w:rsidRPr="001005B7">
        <w:rPr>
          <w:lang w:eastAsia="en-GB"/>
        </w:rPr>
        <w:t>acter</w:t>
      </w:r>
      <w:r w:rsidR="005E6307" w:rsidRPr="001005B7">
        <w:rPr>
          <w:lang w:eastAsia="en-GB"/>
        </w:rPr>
        <w:t>i</w:t>
      </w:r>
      <w:r w:rsidR="0077544B" w:rsidRPr="001005B7">
        <w:rPr>
          <w:lang w:eastAsia="en-GB"/>
        </w:rPr>
        <w:t>stic Ezekiel expression (e.g., 1:3; 3:22).</w:t>
      </w:r>
      <w:r w:rsidR="00EF0ACE" w:rsidRPr="001005B7">
        <w:rPr>
          <w:lang w:eastAsia="en-GB"/>
        </w:rPr>
        <w:t xml:space="preserve"> Although </w:t>
      </w:r>
      <w:r w:rsidR="00066DDC" w:rsidRPr="001005B7">
        <w:rPr>
          <w:lang w:eastAsia="en-GB"/>
        </w:rPr>
        <w:t xml:space="preserve">he was </w:t>
      </w:r>
      <w:r w:rsidR="00EF0ACE" w:rsidRPr="001005B7">
        <w:rPr>
          <w:lang w:eastAsia="en-GB"/>
        </w:rPr>
        <w:t xml:space="preserve">in a broad sense </w:t>
      </w:r>
      <w:r w:rsidR="00394F47" w:rsidRPr="001005B7">
        <w:rPr>
          <w:lang w:eastAsia="en-GB"/>
        </w:rPr>
        <w:t>“</w:t>
      </w:r>
      <w:r w:rsidR="00EA2EE2" w:rsidRPr="001005B7">
        <w:t xml:space="preserve">among the exile community at the </w:t>
      </w:r>
      <w:proofErr w:type="spellStart"/>
      <w:r w:rsidR="00EA2EE2" w:rsidRPr="001005B7">
        <w:t>Kebar</w:t>
      </w:r>
      <w:proofErr w:type="spellEnd"/>
      <w:r w:rsidR="00EA2EE2" w:rsidRPr="001005B7">
        <w:rPr>
          <w:i/>
          <w:iCs/>
        </w:rPr>
        <w:t xml:space="preserve"> </w:t>
      </w:r>
      <w:r w:rsidR="00EA2EE2" w:rsidRPr="001005B7">
        <w:t>Waterway</w:t>
      </w:r>
      <w:r w:rsidR="00394F47" w:rsidRPr="001005B7">
        <w:t>”</w:t>
      </w:r>
      <w:r w:rsidR="00705745" w:rsidRPr="001005B7">
        <w:rPr>
          <w:i/>
          <w:iCs/>
        </w:rPr>
        <w:t xml:space="preserve"> </w:t>
      </w:r>
      <w:r w:rsidR="00705745" w:rsidRPr="001005B7">
        <w:t>in 1:1</w:t>
      </w:r>
      <w:r w:rsidR="00AE66BF" w:rsidRPr="001005B7">
        <w:t>, he has evidently not being closely among them through 1:4</w:t>
      </w:r>
      <w:r w:rsidR="00F46900" w:rsidRPr="001005B7">
        <w:t>–</w:t>
      </w:r>
      <w:r w:rsidR="001C63DB" w:rsidRPr="001005B7">
        <w:t xml:space="preserve">3:11, and </w:t>
      </w:r>
      <w:r w:rsidR="001C63DB" w:rsidRPr="001005B7">
        <w:rPr>
          <w:lang w:eastAsia="en-GB"/>
        </w:rPr>
        <w:t>he is</w:t>
      </w:r>
      <w:r w:rsidR="00EF0ACE" w:rsidRPr="001005B7">
        <w:rPr>
          <w:lang w:eastAsia="en-GB"/>
        </w:rPr>
        <w:t xml:space="preserve"> </w:t>
      </w:r>
      <w:r w:rsidR="001C63DB" w:rsidRPr="001005B7">
        <w:rPr>
          <w:lang w:eastAsia="en-GB"/>
        </w:rPr>
        <w:t xml:space="preserve">now </w:t>
      </w:r>
      <w:r w:rsidR="00EF0ACE" w:rsidRPr="001005B7">
        <w:rPr>
          <w:lang w:eastAsia="en-GB"/>
        </w:rPr>
        <w:t xml:space="preserve">in a more precise location by the </w:t>
      </w:r>
      <w:proofErr w:type="spellStart"/>
      <w:r w:rsidR="00EF0ACE" w:rsidRPr="001005B7">
        <w:rPr>
          <w:lang w:eastAsia="en-GB"/>
        </w:rPr>
        <w:t>Kebar</w:t>
      </w:r>
      <w:proofErr w:type="spellEnd"/>
      <w:r w:rsidR="001C63DB" w:rsidRPr="001005B7">
        <w:rPr>
          <w:lang w:eastAsia="en-GB"/>
        </w:rPr>
        <w:t xml:space="preserve">. </w:t>
      </w:r>
      <w:r w:rsidR="00066DDC" w:rsidRPr="001005B7">
        <w:rPr>
          <w:lang w:eastAsia="en-GB"/>
        </w:rPr>
        <w:t>While i</w:t>
      </w:r>
      <w:r w:rsidR="001C63DB" w:rsidRPr="001005B7">
        <w:rPr>
          <w:lang w:eastAsia="en-GB"/>
        </w:rPr>
        <w:t xml:space="preserve">n Hebrew </w:t>
      </w:r>
      <w:r w:rsidR="00B26BE5" w:rsidRPr="001005B7">
        <w:rPr>
          <w:lang w:eastAsia="en-GB"/>
        </w:rPr>
        <w:t>“</w:t>
      </w:r>
      <w:r w:rsidR="001C63DB" w:rsidRPr="001005B7">
        <w:rPr>
          <w:lang w:eastAsia="en-GB"/>
        </w:rPr>
        <w:t>Tel Abib</w:t>
      </w:r>
      <w:r w:rsidR="00B26BE5" w:rsidRPr="001005B7">
        <w:rPr>
          <w:lang w:eastAsia="en-GB"/>
        </w:rPr>
        <w:t>”</w:t>
      </w:r>
      <w:r w:rsidR="00B92CF1" w:rsidRPr="001005B7">
        <w:rPr>
          <w:lang w:eastAsia="en-GB"/>
        </w:rPr>
        <w:t xml:space="preserve"> or Tel Aviv means Spring Mound and suggests </w:t>
      </w:r>
      <w:r w:rsidR="00740ACE" w:rsidRPr="001005B7">
        <w:rPr>
          <w:lang w:eastAsia="en-GB"/>
        </w:rPr>
        <w:t>a</w:t>
      </w:r>
      <w:r w:rsidR="008C6DE3" w:rsidRPr="001005B7">
        <w:rPr>
          <w:lang w:eastAsia="en-GB"/>
        </w:rPr>
        <w:t xml:space="preserve"> location somewhere old that can become something new, in Akkadian</w:t>
      </w:r>
      <w:r w:rsidR="00DA5274" w:rsidRPr="001005B7">
        <w:rPr>
          <w:lang w:eastAsia="en-GB"/>
        </w:rPr>
        <w:t xml:space="preserve"> the town’s</w:t>
      </w:r>
      <w:r w:rsidR="00664E5F" w:rsidRPr="001005B7">
        <w:rPr>
          <w:lang w:eastAsia="en-GB"/>
        </w:rPr>
        <w:t xml:space="preserve"> name</w:t>
      </w:r>
      <w:r w:rsidR="00DA5274" w:rsidRPr="001005B7">
        <w:rPr>
          <w:lang w:eastAsia="en-GB"/>
        </w:rPr>
        <w:t xml:space="preserve"> </w:t>
      </w:r>
      <w:proofErr w:type="spellStart"/>
      <w:r w:rsidR="002640F6" w:rsidRPr="001005B7">
        <w:rPr>
          <w:i/>
          <w:iCs/>
          <w:lang w:eastAsia="en-GB"/>
        </w:rPr>
        <w:t>Til</w:t>
      </w:r>
      <w:proofErr w:type="spellEnd"/>
      <w:r w:rsidR="00815AEE" w:rsidRPr="001005B7">
        <w:rPr>
          <w:i/>
          <w:iCs/>
          <w:lang w:eastAsia="en-GB"/>
        </w:rPr>
        <w:t xml:space="preserve"> </w:t>
      </w:r>
      <w:proofErr w:type="spellStart"/>
      <w:r w:rsidR="00815AEE" w:rsidRPr="001005B7">
        <w:rPr>
          <w:i/>
          <w:iCs/>
          <w:lang w:eastAsia="en-GB"/>
        </w:rPr>
        <w:t>ab</w:t>
      </w:r>
      <w:r w:rsidR="007C238E" w:rsidRPr="001005B7">
        <w:rPr>
          <w:rFonts w:cstheme="minorHAnsi"/>
          <w:i/>
          <w:iCs/>
          <w:lang w:eastAsia="en-GB"/>
        </w:rPr>
        <w:t>ū</w:t>
      </w:r>
      <w:r w:rsidR="00815AEE" w:rsidRPr="001005B7">
        <w:rPr>
          <w:i/>
          <w:iCs/>
          <w:lang w:eastAsia="en-GB"/>
        </w:rPr>
        <w:t>bi</w:t>
      </w:r>
      <w:proofErr w:type="spellEnd"/>
      <w:r w:rsidR="00011C97" w:rsidRPr="001005B7">
        <w:rPr>
          <w:lang w:eastAsia="en-GB"/>
        </w:rPr>
        <w:t xml:space="preserve"> </w:t>
      </w:r>
      <w:r w:rsidR="00DA5274" w:rsidRPr="001005B7">
        <w:rPr>
          <w:lang w:eastAsia="en-GB"/>
        </w:rPr>
        <w:t>would mean “</w:t>
      </w:r>
      <w:r w:rsidR="00815AEE" w:rsidRPr="001005B7">
        <w:rPr>
          <w:lang w:eastAsia="en-GB"/>
        </w:rPr>
        <w:t xml:space="preserve">Flood </w:t>
      </w:r>
      <w:r w:rsidR="00DA5274" w:rsidRPr="001005B7">
        <w:rPr>
          <w:lang w:eastAsia="en-GB"/>
        </w:rPr>
        <w:t>M</w:t>
      </w:r>
      <w:r w:rsidR="00815AEE" w:rsidRPr="001005B7">
        <w:rPr>
          <w:lang w:eastAsia="en-GB"/>
        </w:rPr>
        <w:t>ound” a</w:t>
      </w:r>
      <w:r w:rsidR="00DA5274" w:rsidRPr="001005B7">
        <w:rPr>
          <w:lang w:eastAsia="en-GB"/>
        </w:rPr>
        <w:t xml:space="preserve">nd would </w:t>
      </w:r>
      <w:r w:rsidR="00664E5F" w:rsidRPr="001005B7">
        <w:rPr>
          <w:lang w:eastAsia="en-GB"/>
        </w:rPr>
        <w:t xml:space="preserve">suggest </w:t>
      </w:r>
      <w:r w:rsidR="00DA5274" w:rsidRPr="001005B7">
        <w:rPr>
          <w:lang w:eastAsia="en-GB"/>
        </w:rPr>
        <w:t>somewhere that had been</w:t>
      </w:r>
      <w:r w:rsidR="00815AEE" w:rsidRPr="001005B7">
        <w:rPr>
          <w:lang w:eastAsia="en-GB"/>
        </w:rPr>
        <w:t xml:space="preserve"> destroyed by the </w:t>
      </w:r>
      <w:r w:rsidR="00D025A1" w:rsidRPr="001005B7">
        <w:rPr>
          <w:lang w:eastAsia="en-GB"/>
        </w:rPr>
        <w:t>F</w:t>
      </w:r>
      <w:r w:rsidR="00815AEE" w:rsidRPr="001005B7">
        <w:rPr>
          <w:lang w:eastAsia="en-GB"/>
        </w:rPr>
        <w:t xml:space="preserve">lood. </w:t>
      </w:r>
      <w:r w:rsidR="001F004C" w:rsidRPr="001005B7">
        <w:rPr>
          <w:lang w:eastAsia="en-GB"/>
        </w:rPr>
        <w:t xml:space="preserve">Although </w:t>
      </w:r>
      <w:r w:rsidR="00664E5F" w:rsidRPr="001005B7">
        <w:rPr>
          <w:lang w:eastAsia="en-GB"/>
        </w:rPr>
        <w:t>Ezekiel</w:t>
      </w:r>
      <w:r w:rsidR="001F004C" w:rsidRPr="001005B7">
        <w:rPr>
          <w:lang w:eastAsia="en-GB"/>
        </w:rPr>
        <w:t xml:space="preserve"> has been bidden to go and de</w:t>
      </w:r>
      <w:r w:rsidR="000D7A38" w:rsidRPr="001005B7">
        <w:rPr>
          <w:lang w:eastAsia="en-GB"/>
        </w:rPr>
        <w:t>liver Yahweh’s message to the people, he evidently does</w:t>
      </w:r>
      <w:r w:rsidR="00E7783F" w:rsidRPr="001005B7">
        <w:rPr>
          <w:lang w:eastAsia="en-GB"/>
        </w:rPr>
        <w:t xml:space="preserve"> not assume he has to set about this task immedia</w:t>
      </w:r>
      <w:r w:rsidR="00702AF4" w:rsidRPr="001005B7">
        <w:rPr>
          <w:lang w:eastAsia="en-GB"/>
        </w:rPr>
        <w:t>t</w:t>
      </w:r>
      <w:r w:rsidR="00E7783F" w:rsidRPr="001005B7">
        <w:rPr>
          <w:lang w:eastAsia="en-GB"/>
        </w:rPr>
        <w:t>ely.</w:t>
      </w:r>
      <w:r w:rsidR="004F4087" w:rsidRPr="001005B7">
        <w:rPr>
          <w:lang w:eastAsia="en-GB"/>
        </w:rPr>
        <w:t xml:space="preserve"> For </w:t>
      </w:r>
      <w:r w:rsidR="00426972" w:rsidRPr="001005B7">
        <w:rPr>
          <w:lang w:eastAsia="en-GB"/>
        </w:rPr>
        <w:t>a while he just stays there looking devastated.</w:t>
      </w:r>
      <w:r w:rsidR="00A355FB" w:rsidRPr="001005B7">
        <w:rPr>
          <w:lang w:eastAsia="en-GB"/>
        </w:rPr>
        <w:t xml:space="preserve"> But that might constitute a start </w:t>
      </w:r>
      <w:r w:rsidR="00553B74" w:rsidRPr="001005B7">
        <w:rPr>
          <w:lang w:eastAsia="en-GB"/>
        </w:rPr>
        <w:t>to his fulfilling his commission</w:t>
      </w:r>
      <w:r w:rsidR="00C81528" w:rsidRPr="001005B7">
        <w:rPr>
          <w:lang w:eastAsia="en-GB"/>
        </w:rPr>
        <w:t>, arousing the question,</w:t>
      </w:r>
      <w:r w:rsidR="00553B74" w:rsidRPr="001005B7">
        <w:rPr>
          <w:lang w:eastAsia="en-GB"/>
        </w:rPr>
        <w:t xml:space="preserve"> “What’s wrong with Ezekiel?”</w:t>
      </w:r>
    </w:p>
    <w:p w14:paraId="6CEA18C4" w14:textId="77777777" w:rsidR="00B05BF1" w:rsidRPr="001005B7" w:rsidRDefault="00B05BF1" w:rsidP="00493833">
      <w:pPr>
        <w:pStyle w:val="Heading3"/>
      </w:pPr>
      <w:r w:rsidRPr="001005B7">
        <w:t xml:space="preserve">Biblical Theology Comments </w:t>
      </w:r>
    </w:p>
    <w:p w14:paraId="2C659110" w14:textId="0A9FC163" w:rsidR="00044471" w:rsidRPr="001005B7" w:rsidRDefault="003312EF" w:rsidP="00044471">
      <w:pPr>
        <w:rPr>
          <w:rFonts w:ascii="Calibri" w:hAnsi="Calibri" w:cs="Calibri"/>
          <w:lang w:eastAsia="en-GB"/>
        </w:rPr>
      </w:pPr>
      <w:r w:rsidRPr="001005B7">
        <w:rPr>
          <w:lang w:eastAsia="en-GB"/>
        </w:rPr>
        <w:t>No, receiving a vision from God does not make someone a prophet</w:t>
      </w:r>
      <w:r w:rsidR="00AB33CC" w:rsidRPr="001005B7">
        <w:rPr>
          <w:lang w:eastAsia="en-GB"/>
        </w:rPr>
        <w:t xml:space="preserve">. Nor is a prophet someone with particular </w:t>
      </w:r>
      <w:r w:rsidR="00E01C18" w:rsidRPr="001005B7">
        <w:rPr>
          <w:lang w:eastAsia="en-GB"/>
        </w:rPr>
        <w:t xml:space="preserve">commitments, </w:t>
      </w:r>
      <w:r w:rsidR="004E4A37" w:rsidRPr="001005B7">
        <w:rPr>
          <w:lang w:eastAsia="en-GB"/>
        </w:rPr>
        <w:t xml:space="preserve">insights, </w:t>
      </w:r>
      <w:r w:rsidR="00AB33CC" w:rsidRPr="001005B7">
        <w:rPr>
          <w:lang w:eastAsia="en-GB"/>
        </w:rPr>
        <w:t xml:space="preserve">or gifts. </w:t>
      </w:r>
      <w:r w:rsidR="005158A3" w:rsidRPr="001005B7">
        <w:rPr>
          <w:lang w:eastAsia="en-GB"/>
        </w:rPr>
        <w:t>A prophet is someone sent and informed by Yahweh</w:t>
      </w:r>
      <w:r w:rsidR="002E1A17" w:rsidRPr="001005B7">
        <w:rPr>
          <w:lang w:eastAsia="en-GB"/>
        </w:rPr>
        <w:t xml:space="preserve">. </w:t>
      </w:r>
      <w:r w:rsidR="00295E72" w:rsidRPr="001005B7">
        <w:rPr>
          <w:lang w:eastAsia="en-GB"/>
        </w:rPr>
        <w:t>We are unwise to routinize the notion of calling</w:t>
      </w:r>
      <w:r w:rsidR="00C742A6" w:rsidRPr="001005B7">
        <w:rPr>
          <w:lang w:eastAsia="en-GB"/>
        </w:rPr>
        <w:t xml:space="preserve"> (Blenkinsopp, 23)</w:t>
      </w:r>
      <w:r w:rsidR="00295E72" w:rsidRPr="001005B7">
        <w:rPr>
          <w:lang w:eastAsia="en-GB"/>
        </w:rPr>
        <w:t xml:space="preserve">. </w:t>
      </w:r>
      <w:r w:rsidR="005C6D6A" w:rsidRPr="001005B7">
        <w:rPr>
          <w:lang w:eastAsia="en-GB"/>
        </w:rPr>
        <w:t>N</w:t>
      </w:r>
      <w:r w:rsidR="001534B8" w:rsidRPr="001005B7">
        <w:rPr>
          <w:lang w:eastAsia="en-GB"/>
        </w:rPr>
        <w:t>either</w:t>
      </w:r>
      <w:r w:rsidR="00AF6B4B" w:rsidRPr="001005B7">
        <w:rPr>
          <w:lang w:eastAsia="en-GB"/>
        </w:rPr>
        <w:t xml:space="preserve"> is </w:t>
      </w:r>
      <w:r w:rsidR="008F6BE0" w:rsidRPr="001005B7">
        <w:rPr>
          <w:lang w:eastAsia="en-GB"/>
        </w:rPr>
        <w:t>a calling to be a pastor to be identified</w:t>
      </w:r>
      <w:r w:rsidR="0049231D" w:rsidRPr="001005B7">
        <w:rPr>
          <w:lang w:eastAsia="en-GB"/>
        </w:rPr>
        <w:t xml:space="preserve"> with the commission of a prophet such as Ezekiel</w:t>
      </w:r>
      <w:r w:rsidR="00845124" w:rsidRPr="001005B7">
        <w:rPr>
          <w:lang w:eastAsia="en-GB"/>
        </w:rPr>
        <w:t>—</w:t>
      </w:r>
      <w:r w:rsidR="001534B8" w:rsidRPr="001005B7">
        <w:rPr>
          <w:lang w:eastAsia="en-GB"/>
        </w:rPr>
        <w:t xml:space="preserve">we then </w:t>
      </w:r>
      <w:r w:rsidR="00F50FAB" w:rsidRPr="001005B7">
        <w:rPr>
          <w:lang w:eastAsia="en-GB"/>
        </w:rPr>
        <w:t xml:space="preserve">also </w:t>
      </w:r>
      <w:r w:rsidR="001534B8" w:rsidRPr="001005B7">
        <w:rPr>
          <w:lang w:eastAsia="en-GB"/>
        </w:rPr>
        <w:t>routinize prophecy</w:t>
      </w:r>
      <w:r w:rsidR="00F727FA" w:rsidRPr="001005B7">
        <w:rPr>
          <w:lang w:eastAsia="en-GB"/>
        </w:rPr>
        <w:t>.</w:t>
      </w:r>
      <w:r w:rsidR="00080BA5" w:rsidRPr="001005B7">
        <w:rPr>
          <w:lang w:eastAsia="en-GB"/>
        </w:rPr>
        <w:t xml:space="preserve"> </w:t>
      </w:r>
      <w:r w:rsidR="00EC7635" w:rsidRPr="001005B7">
        <w:rPr>
          <w:lang w:eastAsia="en-GB"/>
        </w:rPr>
        <w:t xml:space="preserve">We might compare God’s commission of Ezekiel with his commission of Moses, Isaiah, </w:t>
      </w:r>
      <w:r w:rsidR="00831E18" w:rsidRPr="001005B7">
        <w:rPr>
          <w:lang w:eastAsia="en-GB"/>
        </w:rPr>
        <w:t xml:space="preserve">Jeremiah, Jesus, or Paul. </w:t>
      </w:r>
      <w:r w:rsidR="00F727FA" w:rsidRPr="001005B7">
        <w:rPr>
          <w:lang w:eastAsia="en-GB"/>
        </w:rPr>
        <w:t>T</w:t>
      </w:r>
      <w:r w:rsidR="00080BA5" w:rsidRPr="001005B7">
        <w:rPr>
          <w:lang w:eastAsia="en-GB"/>
        </w:rPr>
        <w:t xml:space="preserve">he Scriptures give no </w:t>
      </w:r>
      <w:r w:rsidR="00F727FA" w:rsidRPr="001005B7">
        <w:rPr>
          <w:lang w:eastAsia="en-GB"/>
        </w:rPr>
        <w:t>hint</w:t>
      </w:r>
      <w:r w:rsidR="00080BA5" w:rsidRPr="001005B7">
        <w:rPr>
          <w:lang w:eastAsia="en-GB"/>
        </w:rPr>
        <w:t xml:space="preserve"> that </w:t>
      </w:r>
      <w:r w:rsidR="00681962" w:rsidRPr="001005B7">
        <w:rPr>
          <w:lang w:eastAsia="en-GB"/>
        </w:rPr>
        <w:t>such</w:t>
      </w:r>
      <w:r w:rsidR="00080BA5" w:rsidRPr="001005B7">
        <w:rPr>
          <w:lang w:eastAsia="en-GB"/>
        </w:rPr>
        <w:t xml:space="preserve"> commission</w:t>
      </w:r>
      <w:r w:rsidR="00F727FA" w:rsidRPr="001005B7">
        <w:rPr>
          <w:lang w:eastAsia="en-GB"/>
        </w:rPr>
        <w:t>s suggests</w:t>
      </w:r>
      <w:r w:rsidR="00011C97" w:rsidRPr="001005B7">
        <w:rPr>
          <w:lang w:eastAsia="en-GB"/>
        </w:rPr>
        <w:t xml:space="preserve"> </w:t>
      </w:r>
      <w:r w:rsidR="00080BA5" w:rsidRPr="001005B7">
        <w:rPr>
          <w:lang w:eastAsia="en-GB"/>
        </w:rPr>
        <w:t xml:space="preserve">a pattern for </w:t>
      </w:r>
      <w:r w:rsidR="009325E7" w:rsidRPr="001005B7">
        <w:rPr>
          <w:lang w:eastAsia="en-GB"/>
        </w:rPr>
        <w:t>a</w:t>
      </w:r>
      <w:r w:rsidR="00080BA5" w:rsidRPr="001005B7">
        <w:rPr>
          <w:lang w:eastAsia="en-GB"/>
        </w:rPr>
        <w:t xml:space="preserve"> calling to Christian service</w:t>
      </w:r>
      <w:r w:rsidR="009325E7" w:rsidRPr="001005B7">
        <w:rPr>
          <w:lang w:eastAsia="en-GB"/>
        </w:rPr>
        <w:t>. On the other hand,</w:t>
      </w:r>
      <w:r w:rsidR="00080BA5" w:rsidRPr="001005B7">
        <w:rPr>
          <w:lang w:eastAsia="en-GB"/>
        </w:rPr>
        <w:t xml:space="preserve"> Paul’s account of his commission does reflect </w:t>
      </w:r>
      <w:r w:rsidR="00346D2B" w:rsidRPr="001005B7">
        <w:rPr>
          <w:lang w:eastAsia="en-GB"/>
        </w:rPr>
        <w:t>Ezekiel’s</w:t>
      </w:r>
      <w:r w:rsidR="00080BA5" w:rsidRPr="001005B7">
        <w:rPr>
          <w:lang w:eastAsia="en-GB"/>
        </w:rPr>
        <w:t xml:space="preserve"> language</w:t>
      </w:r>
      <w:r w:rsidR="00346D2B" w:rsidRPr="001005B7">
        <w:rPr>
          <w:lang w:eastAsia="en-GB"/>
        </w:rPr>
        <w:t>: Acts 26:16 takes up the words of 2:1</w:t>
      </w:r>
      <w:r w:rsidR="00346D2B" w:rsidRPr="001005B7">
        <w:rPr>
          <w:rStyle w:val="FootnoteReference"/>
          <w:lang w:eastAsia="en-GB"/>
        </w:rPr>
        <w:footnoteReference w:id="142"/>
      </w:r>
      <w:r w:rsidR="00346D2B" w:rsidRPr="001005B7">
        <w:rPr>
          <w:lang w:eastAsia="en-GB"/>
        </w:rPr>
        <w:t xml:space="preserve"> (</w:t>
      </w:r>
      <w:r w:rsidR="00CF022E" w:rsidRPr="001005B7">
        <w:rPr>
          <w:lang w:eastAsia="en-GB"/>
        </w:rPr>
        <w:t>in Gal 1:</w:t>
      </w:r>
      <w:r w:rsidR="000227E6" w:rsidRPr="001005B7">
        <w:rPr>
          <w:lang w:eastAsia="en-GB"/>
        </w:rPr>
        <w:t xml:space="preserve">15 </w:t>
      </w:r>
      <w:r w:rsidR="00346D2B" w:rsidRPr="001005B7">
        <w:rPr>
          <w:lang w:eastAsia="en-GB"/>
        </w:rPr>
        <w:t xml:space="preserve">Paul reflects the language of </w:t>
      </w:r>
      <w:r w:rsidR="00245150" w:rsidRPr="001005B7">
        <w:rPr>
          <w:lang w:eastAsia="en-GB"/>
        </w:rPr>
        <w:t>Jeremiah and Isaiah 49:1</w:t>
      </w:r>
      <w:r w:rsidR="00F46900" w:rsidRPr="001005B7">
        <w:rPr>
          <w:lang w:eastAsia="en-GB"/>
        </w:rPr>
        <w:t>–</w:t>
      </w:r>
      <w:r w:rsidR="00245150" w:rsidRPr="001005B7">
        <w:rPr>
          <w:lang w:eastAsia="en-GB"/>
        </w:rPr>
        <w:t xml:space="preserve">6). The significance of Ezekiel’s account of his </w:t>
      </w:r>
      <w:r w:rsidR="00E00EE4" w:rsidRPr="001005B7">
        <w:rPr>
          <w:lang w:eastAsia="en-GB"/>
        </w:rPr>
        <w:t xml:space="preserve">commission is not to provide the people of God with a model for what </w:t>
      </w:r>
      <w:r w:rsidR="006162EE" w:rsidRPr="001005B7">
        <w:rPr>
          <w:lang w:eastAsia="en-GB"/>
        </w:rPr>
        <w:t xml:space="preserve">a calling might be. It is the opposite. </w:t>
      </w:r>
      <w:r w:rsidR="00206F98" w:rsidRPr="001005B7">
        <w:rPr>
          <w:lang w:eastAsia="en-GB"/>
        </w:rPr>
        <w:t>It assure</w:t>
      </w:r>
      <w:r w:rsidR="006A497D" w:rsidRPr="001005B7">
        <w:rPr>
          <w:lang w:eastAsia="en-GB"/>
        </w:rPr>
        <w:t>s</w:t>
      </w:r>
      <w:r w:rsidR="00206F98" w:rsidRPr="001005B7">
        <w:rPr>
          <w:lang w:eastAsia="en-GB"/>
        </w:rPr>
        <w:t xml:space="preserve"> </w:t>
      </w:r>
      <w:r w:rsidR="006162EE" w:rsidRPr="001005B7">
        <w:rPr>
          <w:lang w:eastAsia="en-GB"/>
        </w:rPr>
        <w:t>his community</w:t>
      </w:r>
      <w:r w:rsidR="00206F98" w:rsidRPr="001005B7">
        <w:rPr>
          <w:lang w:eastAsia="en-GB"/>
        </w:rPr>
        <w:t xml:space="preserve"> that they could take his message as coming from God, and </w:t>
      </w:r>
      <w:r w:rsidR="0057373E" w:rsidRPr="001005B7">
        <w:rPr>
          <w:lang w:eastAsia="en-GB"/>
        </w:rPr>
        <w:t>challenge</w:t>
      </w:r>
      <w:r w:rsidR="006A497D" w:rsidRPr="001005B7">
        <w:rPr>
          <w:lang w:eastAsia="en-GB"/>
        </w:rPr>
        <w:t>s</w:t>
      </w:r>
      <w:r w:rsidR="0057373E" w:rsidRPr="001005B7">
        <w:rPr>
          <w:lang w:eastAsia="en-GB"/>
        </w:rPr>
        <w:t xml:space="preserve"> it t</w:t>
      </w:r>
      <w:r w:rsidR="00BE22D2" w:rsidRPr="001005B7">
        <w:rPr>
          <w:lang w:eastAsia="en-GB"/>
        </w:rPr>
        <w:t xml:space="preserve">o </w:t>
      </w:r>
      <w:r w:rsidR="0057373E" w:rsidRPr="001005B7">
        <w:rPr>
          <w:lang w:eastAsia="en-GB"/>
        </w:rPr>
        <w:t xml:space="preserve">take it as from God. And </w:t>
      </w:r>
      <w:r w:rsidR="00833069" w:rsidRPr="001005B7">
        <w:rPr>
          <w:lang w:eastAsia="en-GB"/>
        </w:rPr>
        <w:t>like Paul’s account of his commission, it</w:t>
      </w:r>
      <w:r w:rsidR="00080BA5" w:rsidRPr="001005B7">
        <w:rPr>
          <w:lang w:eastAsia="en-GB"/>
        </w:rPr>
        <w:t xml:space="preserve"> assures the church that the contents of this scroll issued from God</w:t>
      </w:r>
      <w:r w:rsidR="00EC51FB" w:rsidRPr="001005B7">
        <w:rPr>
          <w:lang w:eastAsia="en-GB"/>
        </w:rPr>
        <w:t xml:space="preserve">, and challenges it to receive it as </w:t>
      </w:r>
      <w:r w:rsidR="00EC51FB" w:rsidRPr="001005B7">
        <w:rPr>
          <w:rFonts w:ascii="Calibri" w:hAnsi="Calibri" w:cs="Calibri"/>
          <w:lang w:eastAsia="en-GB"/>
        </w:rPr>
        <w:t>such</w:t>
      </w:r>
      <w:r w:rsidR="003D2B1E" w:rsidRPr="001005B7">
        <w:rPr>
          <w:rFonts w:ascii="Calibri" w:hAnsi="Calibri" w:cs="Calibri"/>
          <w:lang w:eastAsia="en-GB"/>
        </w:rPr>
        <w:t>.</w:t>
      </w:r>
      <w:r w:rsidR="00080BA5" w:rsidRPr="001005B7">
        <w:rPr>
          <w:rFonts w:ascii="Calibri" w:hAnsi="Calibri" w:cs="Calibri"/>
          <w:lang w:eastAsia="en-GB"/>
        </w:rPr>
        <w:t xml:space="preserve"> </w:t>
      </w:r>
      <w:r w:rsidR="00EC51FB" w:rsidRPr="001005B7">
        <w:rPr>
          <w:rFonts w:ascii="Calibri" w:hAnsi="Calibri" w:cs="Calibri"/>
          <w:lang w:eastAsia="en-GB"/>
        </w:rPr>
        <w:t xml:space="preserve">The words of </w:t>
      </w:r>
      <w:r w:rsidR="00FC02BD" w:rsidRPr="001005B7">
        <w:rPr>
          <w:rFonts w:ascii="Calibri" w:hAnsi="Calibri" w:cs="Calibri"/>
          <w:lang w:eastAsia="en-GB"/>
        </w:rPr>
        <w:t xml:space="preserve">Ezekiel </w:t>
      </w:r>
      <w:r w:rsidR="007925A9" w:rsidRPr="001005B7">
        <w:rPr>
          <w:rFonts w:ascii="Calibri" w:hAnsi="Calibri" w:cs="Calibri"/>
          <w:lang w:eastAsia="en-GB"/>
        </w:rPr>
        <w:t>and</w:t>
      </w:r>
      <w:r w:rsidR="00FC02BD" w:rsidRPr="001005B7">
        <w:rPr>
          <w:rFonts w:ascii="Calibri" w:hAnsi="Calibri" w:cs="Calibri"/>
          <w:lang w:eastAsia="en-GB"/>
        </w:rPr>
        <w:t xml:space="preserve"> Paul</w:t>
      </w:r>
      <w:r w:rsidR="00080BA5" w:rsidRPr="001005B7">
        <w:rPr>
          <w:rFonts w:ascii="Calibri" w:hAnsi="Calibri" w:cs="Calibri"/>
          <w:lang w:eastAsia="en-GB"/>
        </w:rPr>
        <w:t xml:space="preserve"> came to be breathed out from God because they had been breathed in from God.</w:t>
      </w:r>
      <w:r w:rsidR="00044471" w:rsidRPr="001005B7">
        <w:rPr>
          <w:rFonts w:ascii="Calibri" w:hAnsi="Calibri" w:cs="Calibri"/>
          <w:lang w:eastAsia="en-GB"/>
        </w:rPr>
        <w:t xml:space="preserve"> As a result, </w:t>
      </w:r>
      <w:r w:rsidR="00044471" w:rsidRPr="001005B7">
        <w:rPr>
          <w:rFonts w:ascii="Calibri" w:hAnsi="Calibri" w:cs="Calibri"/>
        </w:rPr>
        <w:t xml:space="preserve">Ezekiel is consumed with God-talk, whereas churches </w:t>
      </w:r>
      <w:r w:rsidR="003362FC" w:rsidRPr="001005B7">
        <w:rPr>
          <w:rFonts w:ascii="Calibri" w:hAnsi="Calibri" w:cs="Calibri"/>
        </w:rPr>
        <w:t>will often</w:t>
      </w:r>
      <w:r w:rsidR="00044471" w:rsidRPr="001005B7">
        <w:rPr>
          <w:rFonts w:ascii="Calibri" w:hAnsi="Calibri" w:cs="Calibri"/>
        </w:rPr>
        <w:t xml:space="preserve"> rather talk about themselves.</w:t>
      </w:r>
      <w:r w:rsidR="00044471" w:rsidRPr="001005B7">
        <w:rPr>
          <w:rStyle w:val="FootnoteReference"/>
          <w:rFonts w:ascii="Calibri" w:hAnsi="Calibri" w:cs="Calibri"/>
        </w:rPr>
        <w:footnoteReference w:id="143"/>
      </w:r>
    </w:p>
    <w:p w14:paraId="40402847" w14:textId="52D44449" w:rsidR="00234107" w:rsidRPr="001005B7" w:rsidRDefault="00590511" w:rsidP="005158A3">
      <w:pPr>
        <w:rPr>
          <w:lang w:eastAsia="en-GB"/>
        </w:rPr>
      </w:pPr>
      <w:r w:rsidRPr="001005B7">
        <w:rPr>
          <w:lang w:eastAsia="en-GB"/>
        </w:rPr>
        <w:t>Ezekiel</w:t>
      </w:r>
      <w:r w:rsidR="008D709C" w:rsidRPr="001005B7">
        <w:rPr>
          <w:lang w:eastAsia="en-GB"/>
        </w:rPr>
        <w:t>’s commission involves the</w:t>
      </w:r>
      <w:r w:rsidR="009361DE" w:rsidRPr="001005B7">
        <w:rPr>
          <w:lang w:eastAsia="en-GB"/>
        </w:rPr>
        <w:t xml:space="preserve"> activity of a spirit and the activity of Eze</w:t>
      </w:r>
      <w:r w:rsidR="008D709C" w:rsidRPr="001005B7">
        <w:rPr>
          <w:lang w:eastAsia="en-GB"/>
        </w:rPr>
        <w:t xml:space="preserve">kiel himself. </w:t>
      </w:r>
      <w:r w:rsidR="00AC1EE2" w:rsidRPr="001005B7">
        <w:rPr>
          <w:lang w:eastAsia="en-GB"/>
        </w:rPr>
        <w:t>If</w:t>
      </w:r>
      <w:r w:rsidR="008D709C" w:rsidRPr="001005B7">
        <w:rPr>
          <w:lang w:eastAsia="en-GB"/>
        </w:rPr>
        <w:t xml:space="preserve"> we </w:t>
      </w:r>
      <w:r w:rsidR="00AC1EE2" w:rsidRPr="001005B7">
        <w:rPr>
          <w:lang w:eastAsia="en-GB"/>
        </w:rPr>
        <w:t xml:space="preserve">think in terms </w:t>
      </w:r>
      <w:r w:rsidR="008D709C" w:rsidRPr="001005B7">
        <w:rPr>
          <w:lang w:eastAsia="en-GB"/>
        </w:rPr>
        <w:t>of a coming together of human openness and divine enabling</w:t>
      </w:r>
      <w:r w:rsidR="00DB7F15" w:rsidRPr="001005B7">
        <w:rPr>
          <w:lang w:eastAsia="en-GB"/>
        </w:rPr>
        <w:t xml:space="preserve"> (Calvin</w:t>
      </w:r>
      <w:r w:rsidR="00656A1E" w:rsidRPr="001005B7">
        <w:rPr>
          <w:lang w:eastAsia="en-GB"/>
        </w:rPr>
        <w:t>,</w:t>
      </w:r>
      <w:r w:rsidR="00DB7F15" w:rsidRPr="001005B7">
        <w:rPr>
          <w:lang w:eastAsia="en-GB"/>
        </w:rPr>
        <w:t xml:space="preserve"> 1:95</w:t>
      </w:r>
      <w:r w:rsidR="00F46900" w:rsidRPr="001005B7">
        <w:rPr>
          <w:lang w:eastAsia="en-GB"/>
        </w:rPr>
        <w:t>–</w:t>
      </w:r>
      <w:r w:rsidR="00DB7F15" w:rsidRPr="001005B7">
        <w:rPr>
          <w:lang w:eastAsia="en-GB"/>
        </w:rPr>
        <w:t>96)</w:t>
      </w:r>
      <w:r w:rsidR="00E07CD3" w:rsidRPr="001005B7">
        <w:rPr>
          <w:lang w:eastAsia="en-GB"/>
        </w:rPr>
        <w:t xml:space="preserve">, </w:t>
      </w:r>
      <w:r w:rsidR="00DB7F15" w:rsidRPr="001005B7">
        <w:rPr>
          <w:lang w:eastAsia="en-GB"/>
        </w:rPr>
        <w:t>then</w:t>
      </w:r>
      <w:r w:rsidR="003C728E" w:rsidRPr="001005B7">
        <w:rPr>
          <w:lang w:eastAsia="en-GB"/>
        </w:rPr>
        <w:t xml:space="preserve"> </w:t>
      </w:r>
      <w:r w:rsidR="00A54C02" w:rsidRPr="001005B7">
        <w:rPr>
          <w:lang w:eastAsia="en-GB"/>
        </w:rPr>
        <w:t xml:space="preserve">here </w:t>
      </w:r>
      <w:r w:rsidR="003C728E" w:rsidRPr="001005B7">
        <w:rPr>
          <w:lang w:eastAsia="en-GB"/>
        </w:rPr>
        <w:t>the divine enabling is the key factor</w:t>
      </w:r>
      <w:r w:rsidR="00DB7F15" w:rsidRPr="001005B7">
        <w:rPr>
          <w:lang w:eastAsia="en-GB"/>
        </w:rPr>
        <w:t xml:space="preserve"> (cf. Gregory, 157</w:t>
      </w:r>
      <w:r w:rsidR="00F46900" w:rsidRPr="001005B7">
        <w:rPr>
          <w:lang w:eastAsia="en-GB"/>
        </w:rPr>
        <w:t>–</w:t>
      </w:r>
      <w:r w:rsidR="00DB7F15" w:rsidRPr="001005B7">
        <w:rPr>
          <w:lang w:eastAsia="en-GB"/>
        </w:rPr>
        <w:t>58).</w:t>
      </w:r>
      <w:r w:rsidR="003C728E" w:rsidRPr="001005B7">
        <w:rPr>
          <w:lang w:eastAsia="en-GB"/>
        </w:rPr>
        <w:t xml:space="preserve"> </w:t>
      </w:r>
      <w:r w:rsidR="00011EC5" w:rsidRPr="001005B7">
        <w:rPr>
          <w:lang w:eastAsia="en-GB"/>
        </w:rPr>
        <w:t>Indeed, a</w:t>
      </w:r>
      <w:r w:rsidR="00081559" w:rsidRPr="001005B7">
        <w:rPr>
          <w:lang w:eastAsia="en-GB"/>
        </w:rPr>
        <w:t>rguably there was virtually no human openness on the part of Ezekiel, any</w:t>
      </w:r>
      <w:r w:rsidR="006C47DA" w:rsidRPr="001005B7">
        <w:rPr>
          <w:lang w:eastAsia="en-GB"/>
        </w:rPr>
        <w:t xml:space="preserve"> </w:t>
      </w:r>
      <w:r w:rsidR="00081559" w:rsidRPr="001005B7">
        <w:rPr>
          <w:lang w:eastAsia="en-GB"/>
        </w:rPr>
        <w:t xml:space="preserve">more than there </w:t>
      </w:r>
      <w:r w:rsidR="00E67C10" w:rsidRPr="001005B7">
        <w:rPr>
          <w:lang w:eastAsia="en-GB"/>
        </w:rPr>
        <w:t xml:space="preserve">will later be on the part of Paul. When God wants to take hold of someone as an envoy, he doesn’t worry too much about their </w:t>
      </w:r>
      <w:r w:rsidR="00FE4031" w:rsidRPr="001005B7">
        <w:rPr>
          <w:lang w:eastAsia="en-GB"/>
        </w:rPr>
        <w:t>desires. He certainly doesn’t wait on them volunteering. Even the great volunteer, Isaiah ben Amoz, offers God his services only after G</w:t>
      </w:r>
      <w:r w:rsidR="00472B1A" w:rsidRPr="001005B7">
        <w:rPr>
          <w:lang w:eastAsia="en-GB"/>
        </w:rPr>
        <w:t>o</w:t>
      </w:r>
      <w:r w:rsidR="00FE4031" w:rsidRPr="001005B7">
        <w:rPr>
          <w:lang w:eastAsia="en-GB"/>
        </w:rPr>
        <w:t>d has overwhelmed him, like Ezekiel</w:t>
      </w:r>
      <w:r w:rsidR="00472B1A" w:rsidRPr="001005B7">
        <w:rPr>
          <w:lang w:eastAsia="en-GB"/>
        </w:rPr>
        <w:t xml:space="preserve"> (Isa 6:</w:t>
      </w:r>
      <w:r w:rsidR="00CD5392" w:rsidRPr="001005B7">
        <w:rPr>
          <w:lang w:eastAsia="en-GB"/>
        </w:rPr>
        <w:t>1</w:t>
      </w:r>
      <w:r w:rsidR="00F46900" w:rsidRPr="001005B7">
        <w:rPr>
          <w:lang w:eastAsia="en-GB"/>
        </w:rPr>
        <w:t>–</w:t>
      </w:r>
      <w:r w:rsidR="00C810D8" w:rsidRPr="001005B7">
        <w:rPr>
          <w:lang w:eastAsia="en-GB"/>
        </w:rPr>
        <w:t>8</w:t>
      </w:r>
      <w:r w:rsidR="00472B1A" w:rsidRPr="001005B7">
        <w:rPr>
          <w:lang w:eastAsia="en-GB"/>
        </w:rPr>
        <w:t>)</w:t>
      </w:r>
      <w:r w:rsidR="00FE4031" w:rsidRPr="001005B7">
        <w:rPr>
          <w:lang w:eastAsia="en-GB"/>
        </w:rPr>
        <w:t>.</w:t>
      </w:r>
      <w:r w:rsidR="006A76D1" w:rsidRPr="001005B7">
        <w:rPr>
          <w:lang w:eastAsia="en-GB"/>
        </w:rPr>
        <w:t xml:space="preserve"> Ezekiel is </w:t>
      </w:r>
      <w:r w:rsidR="00562FBA" w:rsidRPr="001005B7">
        <w:rPr>
          <w:lang w:eastAsia="en-GB"/>
        </w:rPr>
        <w:t>“</w:t>
      </w:r>
      <w:r w:rsidR="00BE49B4" w:rsidRPr="001005B7">
        <w:rPr>
          <w:lang w:eastAsia="en-GB"/>
        </w:rPr>
        <w:t>God’s marionette.”</w:t>
      </w:r>
      <w:r w:rsidR="00BE49B4" w:rsidRPr="001005B7">
        <w:rPr>
          <w:rStyle w:val="FootnoteReference"/>
          <w:lang w:eastAsia="en-GB"/>
        </w:rPr>
        <w:footnoteReference w:id="144"/>
      </w:r>
    </w:p>
    <w:p w14:paraId="04EE0EA8" w14:textId="690CC913" w:rsidR="00BC6709" w:rsidRPr="001005B7" w:rsidRDefault="00EC1336" w:rsidP="00493833">
      <w:pPr>
        <w:pStyle w:val="Heading3"/>
      </w:pPr>
      <w:r w:rsidRPr="001005B7">
        <w:t xml:space="preserve">Application and Devotional Implications </w:t>
      </w:r>
    </w:p>
    <w:p w14:paraId="4402F083" w14:textId="7274EECE" w:rsidR="00902BAA" w:rsidRPr="001005B7" w:rsidRDefault="007B4E00" w:rsidP="00BB0C9F">
      <w:pPr>
        <w:rPr>
          <w:lang w:eastAsia="en-GB"/>
        </w:rPr>
      </w:pPr>
      <w:r w:rsidRPr="001005B7">
        <w:t>Ezekiel’s report of Yahweh’s words</w:t>
      </w:r>
      <w:r w:rsidR="006615C7" w:rsidRPr="001005B7">
        <w:t xml:space="preserve"> </w:t>
      </w:r>
      <w:r w:rsidR="00165914" w:rsidRPr="001005B7">
        <w:t>ironically</w:t>
      </w:r>
      <w:r w:rsidR="00B068FD" w:rsidRPr="001005B7">
        <w:t xml:space="preserve"> impl</w:t>
      </w:r>
      <w:r w:rsidR="00165914" w:rsidRPr="001005B7">
        <w:t>ies</w:t>
      </w:r>
      <w:r w:rsidR="00B068FD" w:rsidRPr="001005B7">
        <w:t xml:space="preserve"> that Ezekiel will use plain words to </w:t>
      </w:r>
      <w:r w:rsidR="006E20D4" w:rsidRPr="001005B7">
        <w:t xml:space="preserve">his people, which is hardly so. </w:t>
      </w:r>
      <w:r w:rsidR="00165914" w:rsidRPr="001005B7">
        <w:t>But p</w:t>
      </w:r>
      <w:r w:rsidR="006E20D4" w:rsidRPr="001005B7">
        <w:t>aradoxically, being enigmatic may contribute to effective communication.</w:t>
      </w:r>
      <w:r w:rsidR="00036061" w:rsidRPr="001005B7">
        <w:rPr>
          <w:rStyle w:val="FootnoteReference"/>
        </w:rPr>
        <w:footnoteReference w:id="145"/>
      </w:r>
      <w:r w:rsidR="00581D4C" w:rsidRPr="001005B7">
        <w:t xml:space="preserve"> </w:t>
      </w:r>
      <w:r w:rsidR="004F7A24" w:rsidRPr="001005B7">
        <w:t>Lady Eleanor Davies</w:t>
      </w:r>
      <w:r w:rsidR="007A7169" w:rsidRPr="001005B7">
        <w:t xml:space="preserve"> </w:t>
      </w:r>
      <w:r w:rsidR="004F7A24" w:rsidRPr="001005B7">
        <w:t>paraphrases</w:t>
      </w:r>
      <w:r w:rsidR="005D5BC5" w:rsidRPr="001005B7">
        <w:t xml:space="preserve">, </w:t>
      </w:r>
      <w:r w:rsidR="00BC6709" w:rsidRPr="001005B7">
        <w:rPr>
          <w:lang w:eastAsia="en-GB"/>
        </w:rPr>
        <w:t>“</w:t>
      </w:r>
      <w:r w:rsidR="00BC6709" w:rsidRPr="001005B7">
        <w:rPr>
          <w:rFonts w:ascii="Calibri" w:eastAsia="Times New Roman" w:hAnsi="Calibri" w:cs="Calibri"/>
          <w:lang w:eastAsia="en-GB"/>
        </w:rPr>
        <w:t xml:space="preserve">I send thee not to the </w:t>
      </w:r>
      <w:proofErr w:type="spellStart"/>
      <w:r w:rsidR="00BC6709" w:rsidRPr="001005B7">
        <w:rPr>
          <w:rFonts w:ascii="Calibri" w:eastAsia="Times New Roman" w:hAnsi="Calibri" w:cs="Calibri"/>
          <w:lang w:eastAsia="en-GB"/>
        </w:rPr>
        <w:t>Cotages</w:t>
      </w:r>
      <w:proofErr w:type="spellEnd"/>
      <w:r w:rsidR="00BC6709" w:rsidRPr="001005B7">
        <w:rPr>
          <w:rFonts w:ascii="Calibri" w:eastAsia="Times New Roman" w:hAnsi="Calibri" w:cs="Calibri"/>
          <w:lang w:eastAsia="en-GB"/>
        </w:rPr>
        <w:t xml:space="preserve"> unto Day-laborers, those of a rude speech, them of thick or great lips; surely had I sent thee unto them they would have </w:t>
      </w:r>
      <w:proofErr w:type="spellStart"/>
      <w:r w:rsidR="00BC6709" w:rsidRPr="001005B7">
        <w:rPr>
          <w:rFonts w:ascii="Calibri" w:eastAsia="Times New Roman" w:hAnsi="Calibri" w:cs="Calibri"/>
          <w:lang w:eastAsia="en-GB"/>
        </w:rPr>
        <w:t>hearkned</w:t>
      </w:r>
      <w:proofErr w:type="spellEnd"/>
      <w:r w:rsidR="00BC6709" w:rsidRPr="001005B7">
        <w:rPr>
          <w:rFonts w:ascii="Calibri" w:eastAsia="Times New Roman" w:hAnsi="Calibri" w:cs="Calibri"/>
          <w:lang w:eastAsia="en-GB"/>
        </w:rPr>
        <w:t xml:space="preserve"> unto thee, and have answered.”</w:t>
      </w:r>
      <w:r w:rsidR="00746C03" w:rsidRPr="001005B7">
        <w:rPr>
          <w:rStyle w:val="FootnoteReference"/>
          <w:rFonts w:ascii="Calibri" w:eastAsia="Times New Roman" w:hAnsi="Calibri" w:cs="Calibri"/>
          <w:lang w:eastAsia="en-GB"/>
        </w:rPr>
        <w:footnoteReference w:id="146"/>
      </w:r>
      <w:r w:rsidR="00BC6709" w:rsidRPr="001005B7">
        <w:rPr>
          <w:rFonts w:ascii="Calibri" w:eastAsia="Times New Roman" w:hAnsi="Calibri" w:cs="Calibri"/>
          <w:lang w:eastAsia="en-GB"/>
        </w:rPr>
        <w:t xml:space="preserve"> </w:t>
      </w:r>
      <w:r w:rsidR="00581D4C" w:rsidRPr="001005B7">
        <w:rPr>
          <w:lang w:eastAsia="en-GB"/>
        </w:rPr>
        <w:t>Ezekiel’s</w:t>
      </w:r>
      <w:r w:rsidR="00BC6709" w:rsidRPr="001005B7">
        <w:rPr>
          <w:lang w:eastAsia="en-GB"/>
        </w:rPr>
        <w:t xml:space="preserve"> account of the household of God as a body characterized by rebellion matches the life of the household of God</w:t>
      </w:r>
      <w:r w:rsidR="00AB0351" w:rsidRPr="001005B7">
        <w:rPr>
          <w:lang w:eastAsia="en-GB"/>
        </w:rPr>
        <w:t xml:space="preserve"> through the Scriptures and in subsequent </w:t>
      </w:r>
      <w:r w:rsidR="00A66FFC" w:rsidRPr="001005B7">
        <w:rPr>
          <w:lang w:eastAsia="en-GB"/>
        </w:rPr>
        <w:t>millennia</w:t>
      </w:r>
      <w:r w:rsidR="00BC6709" w:rsidRPr="001005B7">
        <w:rPr>
          <w:lang w:eastAsia="en-GB"/>
        </w:rPr>
        <w:t xml:space="preserve">. Over the centuries, the church has (for instance) persecuted and otherwise failed the Jewish people, collaborated with </w:t>
      </w:r>
      <w:r w:rsidR="00724F82" w:rsidRPr="001005B7">
        <w:rPr>
          <w:lang w:eastAsia="en-GB"/>
        </w:rPr>
        <w:t xml:space="preserve">the masters of </w:t>
      </w:r>
      <w:r w:rsidR="00BC6709" w:rsidRPr="001005B7">
        <w:rPr>
          <w:lang w:eastAsia="en-GB"/>
        </w:rPr>
        <w:t>and otherwise failed African Americans, and facilitated and condoned sexual abuse. We too have been a household of rebellion</w:t>
      </w:r>
      <w:r w:rsidR="003B778D" w:rsidRPr="001005B7">
        <w:rPr>
          <w:lang w:eastAsia="en-GB"/>
        </w:rPr>
        <w:t>. If “Holy Scripture is our food and drink” (Gregory, 183),</w:t>
      </w:r>
      <w:r w:rsidR="00BC6709" w:rsidRPr="001005B7">
        <w:rPr>
          <w:lang w:eastAsia="en-GB"/>
        </w:rPr>
        <w:t xml:space="preserve"> we </w:t>
      </w:r>
      <w:r w:rsidR="008B1339" w:rsidRPr="001005B7">
        <w:rPr>
          <w:lang w:eastAsia="en-GB"/>
        </w:rPr>
        <w:t xml:space="preserve">have to </w:t>
      </w:r>
      <w:r w:rsidR="003B778D" w:rsidRPr="001005B7">
        <w:rPr>
          <w:lang w:eastAsia="en-GB"/>
        </w:rPr>
        <w:t xml:space="preserve">let it be the basis on which we </w:t>
      </w:r>
      <w:r w:rsidR="008B1339" w:rsidRPr="001005B7">
        <w:rPr>
          <w:lang w:eastAsia="en-GB"/>
        </w:rPr>
        <w:t>keep</w:t>
      </w:r>
      <w:r w:rsidR="00BC6709" w:rsidRPr="001005B7">
        <w:rPr>
          <w:lang w:eastAsia="en-GB"/>
        </w:rPr>
        <w:t xml:space="preserve"> examin</w:t>
      </w:r>
      <w:r w:rsidR="008B1339" w:rsidRPr="001005B7">
        <w:rPr>
          <w:lang w:eastAsia="en-GB"/>
        </w:rPr>
        <w:t>ing</w:t>
      </w:r>
      <w:r w:rsidR="00BC6709" w:rsidRPr="001005B7">
        <w:rPr>
          <w:lang w:eastAsia="en-GB"/>
        </w:rPr>
        <w:t xml:space="preserve"> ourselves in light of </w:t>
      </w:r>
      <w:r w:rsidR="00F0409F" w:rsidRPr="001005B7">
        <w:rPr>
          <w:lang w:eastAsia="en-GB"/>
        </w:rPr>
        <w:t>its</w:t>
      </w:r>
      <w:r w:rsidR="00BC6709" w:rsidRPr="001005B7">
        <w:rPr>
          <w:lang w:eastAsia="en-GB"/>
        </w:rPr>
        <w:t xml:space="preserve"> critiques</w:t>
      </w:r>
      <w:r w:rsidR="00F0409F" w:rsidRPr="001005B7">
        <w:rPr>
          <w:lang w:eastAsia="en-GB"/>
        </w:rPr>
        <w:t>.</w:t>
      </w:r>
      <w:r w:rsidR="00272C70" w:rsidRPr="001005B7">
        <w:rPr>
          <w:lang w:eastAsia="en-GB"/>
        </w:rPr>
        <w:t xml:space="preserve"> Calvin </w:t>
      </w:r>
      <w:r w:rsidR="0084334B" w:rsidRPr="001005B7">
        <w:rPr>
          <w:lang w:eastAsia="en-GB"/>
        </w:rPr>
        <w:t xml:space="preserve">(1:104) </w:t>
      </w:r>
      <w:r w:rsidR="00272C70" w:rsidRPr="001005B7">
        <w:rPr>
          <w:lang w:eastAsia="en-GB"/>
        </w:rPr>
        <w:t xml:space="preserve">invites us to pray: </w:t>
      </w:r>
    </w:p>
    <w:p w14:paraId="12E8ADF7" w14:textId="60732D15" w:rsidR="00ED35CB" w:rsidRPr="001005B7" w:rsidRDefault="00BC6709" w:rsidP="00BD26DA">
      <w:pPr>
        <w:pStyle w:val="Quote"/>
        <w:rPr>
          <w:color w:val="auto"/>
          <w:lang w:eastAsia="en-GB"/>
        </w:rPr>
      </w:pPr>
      <w:r w:rsidRPr="001005B7">
        <w:rPr>
          <w:color w:val="auto"/>
        </w:rPr>
        <w:t xml:space="preserve">Grant, O Almighty God, since thou hast counted us worthy of enjoying the privilege of daily listening to thy word, that it may not find our hearts of stone and our minds of iron, but may we so submit ourselves to thee with all due docility, that we may truly perceive thee to be our Father, and may be confirmed in the confidence of our adoption, as long as thou </w:t>
      </w:r>
      <w:proofErr w:type="spellStart"/>
      <w:r w:rsidRPr="001005B7">
        <w:rPr>
          <w:color w:val="auto"/>
        </w:rPr>
        <w:t>perseverest</w:t>
      </w:r>
      <w:proofErr w:type="spellEnd"/>
      <w:r w:rsidRPr="001005B7">
        <w:rPr>
          <w:color w:val="auto"/>
        </w:rPr>
        <w:t xml:space="preserve"> to address us, until at length we enjoy not merely thy voice, but also the aspect of thy glory in thy heavenly kingdom</w:t>
      </w:r>
      <w:r w:rsidRPr="001005B7">
        <w:rPr>
          <w:color w:val="auto"/>
          <w:lang w:eastAsia="en-GB"/>
        </w:rPr>
        <w:t>.</w:t>
      </w:r>
      <w:r w:rsidR="00023EAD" w:rsidRPr="001005B7">
        <w:rPr>
          <w:color w:val="auto"/>
          <w:lang w:eastAsia="en-GB"/>
        </w:rPr>
        <w:t xml:space="preserve"> </w:t>
      </w:r>
    </w:p>
    <w:p w14:paraId="1CF3BDE5" w14:textId="604EDD71" w:rsidR="000719FB" w:rsidRPr="001005B7" w:rsidRDefault="00EA22A3" w:rsidP="00493833">
      <w:pPr>
        <w:pStyle w:val="Heading3"/>
      </w:pPr>
      <w:r w:rsidRPr="001005B7">
        <w:t xml:space="preserve">Selected </w:t>
      </w:r>
      <w:r w:rsidR="0009188A" w:rsidRPr="001005B7">
        <w:t>Bibliograph</w:t>
      </w:r>
      <w:r w:rsidR="000719FB" w:rsidRPr="001005B7">
        <w:t>y</w:t>
      </w:r>
    </w:p>
    <w:p w14:paraId="5A726F38" w14:textId="73835ABC" w:rsidR="00DE462E" w:rsidRPr="001005B7" w:rsidRDefault="0009188A" w:rsidP="006F5BB0">
      <w:pPr>
        <w:pStyle w:val="ListParagraph"/>
        <w:rPr>
          <w:color w:val="auto"/>
          <w:lang w:val="en-US"/>
        </w:rPr>
      </w:pPr>
      <w:r w:rsidRPr="001005B7">
        <w:rPr>
          <w:color w:val="auto"/>
          <w:lang w:val="en-US"/>
        </w:rPr>
        <w:t xml:space="preserve">Allison, </w:t>
      </w:r>
      <w:r w:rsidR="007F4703" w:rsidRPr="001005B7">
        <w:rPr>
          <w:color w:val="auto"/>
          <w:lang w:val="en-US"/>
        </w:rPr>
        <w:t>Dale C. “Acts 9:1</w:t>
      </w:r>
      <w:r w:rsidR="00F46900" w:rsidRPr="001005B7">
        <w:rPr>
          <w:color w:val="auto"/>
          <w:lang w:val="en-US"/>
        </w:rPr>
        <w:t>–</w:t>
      </w:r>
      <w:r w:rsidR="007F4703" w:rsidRPr="001005B7">
        <w:rPr>
          <w:color w:val="auto"/>
          <w:lang w:val="en-US"/>
        </w:rPr>
        <w:t>9 2</w:t>
      </w:r>
      <w:r w:rsidR="00350F1D" w:rsidRPr="001005B7">
        <w:rPr>
          <w:color w:val="auto"/>
          <w:lang w:val="en-US"/>
        </w:rPr>
        <w:t>2</w:t>
      </w:r>
      <w:r w:rsidR="007F4703" w:rsidRPr="001005B7">
        <w:rPr>
          <w:color w:val="auto"/>
          <w:lang w:val="en-US"/>
        </w:rPr>
        <w:t>:</w:t>
      </w:r>
      <w:r w:rsidR="00350F1D" w:rsidRPr="001005B7">
        <w:rPr>
          <w:color w:val="auto"/>
          <w:lang w:val="en-US"/>
        </w:rPr>
        <w:t>6</w:t>
      </w:r>
      <w:r w:rsidR="00F46900" w:rsidRPr="001005B7">
        <w:rPr>
          <w:color w:val="auto"/>
          <w:lang w:val="en-US"/>
        </w:rPr>
        <w:t>–</w:t>
      </w:r>
      <w:r w:rsidR="007F4703" w:rsidRPr="001005B7">
        <w:rPr>
          <w:color w:val="auto"/>
          <w:lang w:val="en-US"/>
        </w:rPr>
        <w:t>11</w:t>
      </w:r>
      <w:r w:rsidR="00350F1D" w:rsidRPr="001005B7">
        <w:rPr>
          <w:color w:val="auto"/>
          <w:lang w:val="en-US"/>
        </w:rPr>
        <w:t>, 26:1</w:t>
      </w:r>
      <w:r w:rsidR="009264B8" w:rsidRPr="001005B7">
        <w:rPr>
          <w:color w:val="auto"/>
          <w:lang w:val="en-US"/>
        </w:rPr>
        <w:t>2</w:t>
      </w:r>
      <w:r w:rsidR="00F46900" w:rsidRPr="001005B7">
        <w:rPr>
          <w:color w:val="auto"/>
          <w:lang w:val="en-US"/>
        </w:rPr>
        <w:t>–</w:t>
      </w:r>
      <w:r w:rsidR="00350F1D" w:rsidRPr="001005B7">
        <w:rPr>
          <w:color w:val="auto"/>
          <w:lang w:val="en-US"/>
        </w:rPr>
        <w:t>18</w:t>
      </w:r>
      <w:r w:rsidR="009264B8" w:rsidRPr="001005B7">
        <w:rPr>
          <w:color w:val="auto"/>
          <w:lang w:val="en-US"/>
        </w:rPr>
        <w:t xml:space="preserve">: Paul and Ezekiel.” </w:t>
      </w:r>
      <w:r w:rsidR="009264B8" w:rsidRPr="001005B7">
        <w:rPr>
          <w:i/>
          <w:iCs/>
          <w:color w:val="auto"/>
          <w:lang w:val="en-US"/>
        </w:rPr>
        <w:t>JBL</w:t>
      </w:r>
      <w:r w:rsidR="009264B8" w:rsidRPr="001005B7">
        <w:rPr>
          <w:color w:val="auto"/>
          <w:lang w:val="en-US"/>
        </w:rPr>
        <w:t xml:space="preserve"> 135 (2016): </w:t>
      </w:r>
      <w:r w:rsidR="000939EA" w:rsidRPr="001005B7">
        <w:rPr>
          <w:color w:val="auto"/>
          <w:lang w:val="en-US"/>
        </w:rPr>
        <w:t>807</w:t>
      </w:r>
      <w:r w:rsidR="00F46900" w:rsidRPr="001005B7">
        <w:rPr>
          <w:color w:val="auto"/>
          <w:lang w:val="en-US"/>
        </w:rPr>
        <w:t>–</w:t>
      </w:r>
      <w:r w:rsidR="000939EA" w:rsidRPr="001005B7">
        <w:rPr>
          <w:color w:val="auto"/>
          <w:lang w:val="en-US"/>
        </w:rPr>
        <w:t>26.</w:t>
      </w:r>
    </w:p>
    <w:p w14:paraId="07DF2E91" w14:textId="6FF17A65" w:rsidR="00422022" w:rsidRPr="001005B7" w:rsidRDefault="00422022" w:rsidP="006F5BB0">
      <w:pPr>
        <w:pStyle w:val="ListParagraph"/>
        <w:rPr>
          <w:color w:val="auto"/>
          <w:lang w:val="en-US"/>
        </w:rPr>
      </w:pPr>
      <w:r w:rsidRPr="001005B7">
        <w:rPr>
          <w:color w:val="auto"/>
          <w:lang w:val="en-US"/>
        </w:rPr>
        <w:t>Cartledge, Tony W. “The Elephant in the Classroom: Ezekiel 1:28</w:t>
      </w:r>
      <w:r w:rsidR="00F46900" w:rsidRPr="001005B7">
        <w:rPr>
          <w:color w:val="auto"/>
          <w:lang w:val="en-US"/>
        </w:rPr>
        <w:t>–</w:t>
      </w:r>
      <w:r w:rsidRPr="001005B7">
        <w:rPr>
          <w:color w:val="auto"/>
          <w:lang w:val="en-US"/>
        </w:rPr>
        <w:t>33; 36:24</w:t>
      </w:r>
      <w:r w:rsidR="00F46900" w:rsidRPr="001005B7">
        <w:rPr>
          <w:color w:val="auto"/>
          <w:lang w:val="en-US"/>
        </w:rPr>
        <w:t>–</w:t>
      </w:r>
      <w:r w:rsidRPr="001005B7">
        <w:rPr>
          <w:color w:val="auto"/>
          <w:lang w:val="en-US"/>
        </w:rPr>
        <w:t xml:space="preserve">28.” </w:t>
      </w:r>
      <w:proofErr w:type="spellStart"/>
      <w:r w:rsidRPr="001005B7">
        <w:rPr>
          <w:i/>
          <w:iCs/>
          <w:color w:val="auto"/>
          <w:lang w:val="en-US"/>
        </w:rPr>
        <w:t>RevExp</w:t>
      </w:r>
      <w:proofErr w:type="spellEnd"/>
      <w:r w:rsidRPr="001005B7">
        <w:rPr>
          <w:color w:val="auto"/>
          <w:lang w:val="en-US"/>
        </w:rPr>
        <w:t xml:space="preserve"> 114 (2017): 298</w:t>
      </w:r>
      <w:r w:rsidR="00F46900" w:rsidRPr="001005B7">
        <w:rPr>
          <w:color w:val="auto"/>
          <w:lang w:val="en-US"/>
        </w:rPr>
        <w:t>–</w:t>
      </w:r>
      <w:r w:rsidRPr="001005B7">
        <w:rPr>
          <w:color w:val="auto"/>
          <w:lang w:val="en-US"/>
        </w:rPr>
        <w:t>303.</w:t>
      </w:r>
      <w:r w:rsidR="00011C97" w:rsidRPr="001005B7">
        <w:rPr>
          <w:color w:val="auto"/>
          <w:lang w:val="en-US"/>
        </w:rPr>
        <w:t xml:space="preserve"> </w:t>
      </w:r>
    </w:p>
    <w:p w14:paraId="22934304" w14:textId="77777777" w:rsidR="00ED35CB" w:rsidRPr="001005B7" w:rsidRDefault="008F323F" w:rsidP="006F5BB0">
      <w:pPr>
        <w:pStyle w:val="ListParagraph"/>
        <w:rPr>
          <w:color w:val="auto"/>
          <w:lang w:val="en-US"/>
        </w:rPr>
      </w:pPr>
      <w:r w:rsidRPr="001005B7">
        <w:rPr>
          <w:color w:val="auto"/>
          <w:lang w:val="en-US"/>
        </w:rPr>
        <w:t>[</w:t>
      </w:r>
      <w:r w:rsidR="00393C2E" w:rsidRPr="001005B7">
        <w:rPr>
          <w:color w:val="auto"/>
          <w:lang w:val="en-US"/>
        </w:rPr>
        <w:t>Davies</w:t>
      </w:r>
      <w:r w:rsidRPr="001005B7">
        <w:rPr>
          <w:color w:val="auto"/>
          <w:lang w:val="en-US"/>
        </w:rPr>
        <w:t xml:space="preserve">], Lady </w:t>
      </w:r>
      <w:r w:rsidR="003E0792" w:rsidRPr="001005B7">
        <w:rPr>
          <w:color w:val="auto"/>
          <w:lang w:val="en-US"/>
        </w:rPr>
        <w:t>Elean</w:t>
      </w:r>
      <w:r w:rsidR="00502E9B" w:rsidRPr="001005B7">
        <w:rPr>
          <w:color w:val="auto"/>
          <w:lang w:val="en-US"/>
        </w:rPr>
        <w:t xml:space="preserve">or. </w:t>
      </w:r>
      <w:r w:rsidR="00502E9B" w:rsidRPr="001005B7">
        <w:rPr>
          <w:i/>
          <w:iCs/>
          <w:color w:val="auto"/>
          <w:lang w:val="en-US"/>
        </w:rPr>
        <w:t>Ezekiel, Cap. 2.</w:t>
      </w:r>
      <w:r w:rsidR="00502E9B" w:rsidRPr="001005B7">
        <w:rPr>
          <w:color w:val="auto"/>
          <w:lang w:val="en-US"/>
        </w:rPr>
        <w:t xml:space="preserve"> London: 1640.</w:t>
      </w:r>
    </w:p>
    <w:p w14:paraId="410842FC" w14:textId="233710D7" w:rsidR="00F2637F" w:rsidRPr="001005B7" w:rsidRDefault="00F2637F" w:rsidP="006F5BB0">
      <w:pPr>
        <w:pStyle w:val="ListParagraph"/>
        <w:rPr>
          <w:color w:val="auto"/>
          <w:lang w:val="en-US"/>
        </w:rPr>
      </w:pPr>
      <w:r w:rsidRPr="001005B7">
        <w:rPr>
          <w:color w:val="auto"/>
          <w:lang w:val="en-US"/>
        </w:rPr>
        <w:t>Delorme, Jean-Philippe</w:t>
      </w:r>
      <w:r w:rsidR="0023041A" w:rsidRPr="001005B7">
        <w:rPr>
          <w:color w:val="auto"/>
          <w:lang w:val="en-US"/>
        </w:rPr>
        <w:t>.</w:t>
      </w:r>
      <w:r w:rsidRPr="001005B7">
        <w:rPr>
          <w:color w:val="auto"/>
          <w:lang w:val="en-US"/>
        </w:rPr>
        <w:t xml:space="preserve"> </w:t>
      </w:r>
      <w:r w:rsidR="0023041A" w:rsidRPr="001005B7">
        <w:rPr>
          <w:color w:val="auto"/>
          <w:lang w:val="en-US"/>
        </w:rPr>
        <w:t>“</w:t>
      </w:r>
      <w:proofErr w:type="spellStart"/>
      <w:r w:rsidRPr="001005B7">
        <w:rPr>
          <w:color w:val="auto"/>
          <w:lang w:val="en-US"/>
        </w:rPr>
        <w:t>בית</w:t>
      </w:r>
      <w:proofErr w:type="spellEnd"/>
      <w:r w:rsidRPr="001005B7">
        <w:rPr>
          <w:color w:val="auto"/>
          <w:lang w:val="en-US"/>
        </w:rPr>
        <w:t xml:space="preserve"> </w:t>
      </w:r>
      <w:proofErr w:type="spellStart"/>
      <w:r w:rsidRPr="001005B7">
        <w:rPr>
          <w:color w:val="auto"/>
          <w:lang w:val="en-US"/>
        </w:rPr>
        <w:t>ישראל</w:t>
      </w:r>
      <w:proofErr w:type="spellEnd"/>
      <w:r w:rsidRPr="001005B7">
        <w:rPr>
          <w:color w:val="auto"/>
          <w:lang w:val="en-US"/>
        </w:rPr>
        <w:t xml:space="preserve"> </w:t>
      </w:r>
      <w:r w:rsidR="001F618D" w:rsidRPr="001005B7">
        <w:rPr>
          <w:color w:val="auto"/>
          <w:lang w:val="en-US"/>
        </w:rPr>
        <w:t xml:space="preserve">in Ezekiel: </w:t>
      </w:r>
      <w:r w:rsidRPr="001005B7">
        <w:rPr>
          <w:color w:val="auto"/>
          <w:lang w:val="en-US"/>
        </w:rPr>
        <w:t>Identity Construction and the Exilic Period</w:t>
      </w:r>
      <w:r w:rsidR="0023041A" w:rsidRPr="001005B7">
        <w:rPr>
          <w:color w:val="auto"/>
          <w:lang w:val="en-US"/>
        </w:rPr>
        <w:t>.”</w:t>
      </w:r>
      <w:r w:rsidRPr="001005B7">
        <w:rPr>
          <w:color w:val="auto"/>
          <w:lang w:val="en-US"/>
        </w:rPr>
        <w:t xml:space="preserve"> JBL 138 (2019): 121-141</w:t>
      </w:r>
      <w:r w:rsidR="0023041A" w:rsidRPr="001005B7">
        <w:rPr>
          <w:color w:val="auto"/>
          <w:lang w:val="en-US"/>
        </w:rPr>
        <w:t>.</w:t>
      </w:r>
    </w:p>
    <w:p w14:paraId="4A34D80D" w14:textId="28A47E5C" w:rsidR="00ED35CB" w:rsidRPr="001005B7" w:rsidRDefault="007D4F6B" w:rsidP="006F5BB0">
      <w:pPr>
        <w:pStyle w:val="ListParagraph"/>
        <w:rPr>
          <w:color w:val="auto"/>
          <w:lang w:val="en-US"/>
        </w:rPr>
      </w:pPr>
      <w:r w:rsidRPr="001005B7">
        <w:rPr>
          <w:color w:val="auto"/>
          <w:lang w:val="en-US"/>
        </w:rPr>
        <w:t xml:space="preserve">Garfinkel, </w:t>
      </w:r>
      <w:r w:rsidR="003858CE" w:rsidRPr="001005B7">
        <w:rPr>
          <w:color w:val="auto"/>
          <w:lang w:val="en-US"/>
        </w:rPr>
        <w:t>S</w:t>
      </w:r>
      <w:r w:rsidR="00E13C02" w:rsidRPr="001005B7">
        <w:rPr>
          <w:color w:val="auto"/>
          <w:lang w:val="en-US"/>
        </w:rPr>
        <w:t>tephen</w:t>
      </w:r>
      <w:r w:rsidR="003858CE" w:rsidRPr="001005B7">
        <w:rPr>
          <w:color w:val="auto"/>
          <w:lang w:val="en-US"/>
        </w:rPr>
        <w:t xml:space="preserve">. </w:t>
      </w:r>
      <w:r w:rsidRPr="001005B7">
        <w:rPr>
          <w:color w:val="auto"/>
          <w:lang w:val="en-US"/>
        </w:rPr>
        <w:t xml:space="preserve">"Of </w:t>
      </w:r>
      <w:r w:rsidR="003858CE" w:rsidRPr="001005B7">
        <w:rPr>
          <w:color w:val="auto"/>
          <w:lang w:val="en-US"/>
        </w:rPr>
        <w:t>T</w:t>
      </w:r>
      <w:r w:rsidRPr="001005B7">
        <w:rPr>
          <w:color w:val="auto"/>
          <w:lang w:val="en-US"/>
        </w:rPr>
        <w:t>his</w:t>
      </w:r>
      <w:r w:rsidR="003858CE" w:rsidRPr="001005B7">
        <w:rPr>
          <w:color w:val="auto"/>
          <w:lang w:val="en-US"/>
        </w:rPr>
        <w:t>tl</w:t>
      </w:r>
      <w:r w:rsidRPr="001005B7">
        <w:rPr>
          <w:color w:val="auto"/>
          <w:lang w:val="en-US"/>
        </w:rPr>
        <w:t xml:space="preserve">es and </w:t>
      </w:r>
      <w:r w:rsidR="0003716F" w:rsidRPr="001005B7">
        <w:rPr>
          <w:color w:val="auto"/>
          <w:lang w:val="en-US"/>
        </w:rPr>
        <w:t>T</w:t>
      </w:r>
      <w:r w:rsidRPr="001005B7">
        <w:rPr>
          <w:color w:val="auto"/>
          <w:lang w:val="en-US"/>
        </w:rPr>
        <w:t xml:space="preserve">horns: </w:t>
      </w:r>
      <w:r w:rsidR="0003716F" w:rsidRPr="001005B7">
        <w:rPr>
          <w:color w:val="auto"/>
          <w:lang w:val="en-US"/>
        </w:rPr>
        <w:t>A</w:t>
      </w:r>
      <w:r w:rsidRPr="001005B7">
        <w:rPr>
          <w:color w:val="auto"/>
          <w:lang w:val="en-US"/>
        </w:rPr>
        <w:t xml:space="preserve"> </w:t>
      </w:r>
      <w:r w:rsidR="0003716F" w:rsidRPr="001005B7">
        <w:rPr>
          <w:color w:val="auto"/>
          <w:lang w:val="en-US"/>
        </w:rPr>
        <w:t>N</w:t>
      </w:r>
      <w:r w:rsidRPr="001005B7">
        <w:rPr>
          <w:color w:val="auto"/>
          <w:lang w:val="en-US"/>
        </w:rPr>
        <w:t xml:space="preserve">ew </w:t>
      </w:r>
      <w:r w:rsidR="0003716F" w:rsidRPr="001005B7">
        <w:rPr>
          <w:color w:val="auto"/>
          <w:lang w:val="en-US"/>
        </w:rPr>
        <w:t>A</w:t>
      </w:r>
      <w:r w:rsidRPr="001005B7">
        <w:rPr>
          <w:color w:val="auto"/>
          <w:lang w:val="en-US"/>
        </w:rPr>
        <w:t>pproach to Ezekiel ii 6</w:t>
      </w:r>
      <w:r w:rsidR="0003716F" w:rsidRPr="001005B7">
        <w:rPr>
          <w:color w:val="auto"/>
          <w:lang w:val="en-US"/>
        </w:rPr>
        <w:t>.</w:t>
      </w:r>
      <w:r w:rsidRPr="001005B7">
        <w:rPr>
          <w:color w:val="auto"/>
          <w:lang w:val="en-US"/>
        </w:rPr>
        <w:t xml:space="preserve">" </w:t>
      </w:r>
      <w:r w:rsidR="0044400E" w:rsidRPr="001005B7">
        <w:rPr>
          <w:i/>
          <w:iCs/>
          <w:color w:val="auto"/>
          <w:lang w:val="en-US"/>
        </w:rPr>
        <w:t>V</w:t>
      </w:r>
      <w:r w:rsidRPr="001005B7">
        <w:rPr>
          <w:i/>
          <w:iCs/>
          <w:color w:val="auto"/>
          <w:lang w:val="en-US"/>
        </w:rPr>
        <w:t>T</w:t>
      </w:r>
      <w:r w:rsidRPr="001005B7">
        <w:rPr>
          <w:color w:val="auto"/>
          <w:lang w:val="en-US"/>
        </w:rPr>
        <w:t xml:space="preserve"> 37 (1987)</w:t>
      </w:r>
      <w:r w:rsidR="0044400E" w:rsidRPr="001005B7">
        <w:rPr>
          <w:color w:val="auto"/>
          <w:lang w:val="en-US"/>
        </w:rPr>
        <w:t>:</w:t>
      </w:r>
      <w:r w:rsidRPr="001005B7">
        <w:rPr>
          <w:color w:val="auto"/>
          <w:lang w:val="en-US"/>
        </w:rPr>
        <w:t xml:space="preserve"> 430</w:t>
      </w:r>
      <w:r w:rsidR="00F46900" w:rsidRPr="001005B7">
        <w:rPr>
          <w:color w:val="auto"/>
          <w:lang w:val="en-US"/>
        </w:rPr>
        <w:t>–</w:t>
      </w:r>
      <w:r w:rsidRPr="001005B7">
        <w:rPr>
          <w:color w:val="auto"/>
          <w:lang w:val="en-US"/>
        </w:rPr>
        <w:t xml:space="preserve">35. </w:t>
      </w:r>
    </w:p>
    <w:p w14:paraId="41CF31C8" w14:textId="24CCD2F7" w:rsidR="00034FDC" w:rsidRPr="001005B7" w:rsidRDefault="0065542F" w:rsidP="006F5BB0">
      <w:pPr>
        <w:pStyle w:val="ListParagraph"/>
        <w:rPr>
          <w:color w:val="auto"/>
          <w:lang w:val="en-US"/>
        </w:rPr>
      </w:pPr>
      <w:proofErr w:type="spellStart"/>
      <w:r w:rsidRPr="001005B7">
        <w:rPr>
          <w:color w:val="auto"/>
          <w:lang w:val="en-US"/>
        </w:rPr>
        <w:t>Heckl</w:t>
      </w:r>
      <w:proofErr w:type="spellEnd"/>
      <w:r w:rsidRPr="001005B7">
        <w:rPr>
          <w:color w:val="auto"/>
          <w:lang w:val="en-US"/>
        </w:rPr>
        <w:t xml:space="preserve">, </w:t>
      </w:r>
      <w:proofErr w:type="spellStart"/>
      <w:r w:rsidRPr="001005B7">
        <w:rPr>
          <w:color w:val="auto"/>
          <w:lang w:val="en-US"/>
        </w:rPr>
        <w:t>Raik</w:t>
      </w:r>
      <w:proofErr w:type="spellEnd"/>
      <w:r w:rsidRPr="001005B7">
        <w:rPr>
          <w:color w:val="auto"/>
          <w:lang w:val="en-US"/>
        </w:rPr>
        <w:t xml:space="preserve">. “Die </w:t>
      </w:r>
      <w:proofErr w:type="spellStart"/>
      <w:r w:rsidRPr="001005B7">
        <w:rPr>
          <w:color w:val="auto"/>
          <w:lang w:val="en-US"/>
        </w:rPr>
        <w:t>Anrede</w:t>
      </w:r>
      <w:proofErr w:type="spellEnd"/>
      <w:r w:rsidR="00F50A23" w:rsidRPr="001005B7">
        <w:rPr>
          <w:color w:val="auto"/>
          <w:lang w:val="en-US"/>
        </w:rPr>
        <w:t xml:space="preserve"> </w:t>
      </w:r>
      <w:r w:rsidR="00F50A23" w:rsidRPr="001005B7">
        <w:rPr>
          <w:color w:val="auto"/>
          <w:rtl/>
          <w:lang w:val="en-US" w:bidi="he-IL"/>
        </w:rPr>
        <w:t>בן</w:t>
      </w:r>
      <w:r w:rsidR="007F7F9E" w:rsidRPr="001005B7">
        <w:rPr>
          <w:color w:val="auto"/>
          <w:rtl/>
          <w:lang w:val="en-US" w:bidi="he-IL"/>
        </w:rPr>
        <w:t xml:space="preserve"> </w:t>
      </w:r>
      <w:r w:rsidR="00F50A23" w:rsidRPr="001005B7">
        <w:rPr>
          <w:color w:val="auto"/>
          <w:rtl/>
          <w:lang w:val="en-US" w:bidi="he-IL"/>
        </w:rPr>
        <w:t>אדם</w:t>
      </w:r>
      <w:r w:rsidR="009530DD" w:rsidRPr="001005B7">
        <w:rPr>
          <w:color w:val="auto"/>
          <w:lang w:val="en-US"/>
        </w:rPr>
        <w:t xml:space="preserve"> </w:t>
      </w:r>
      <w:proofErr w:type="spellStart"/>
      <w:r w:rsidR="007F7F9E" w:rsidRPr="001005B7">
        <w:rPr>
          <w:color w:val="auto"/>
          <w:lang w:val="en-US"/>
        </w:rPr>
        <w:t>i</w:t>
      </w:r>
      <w:r w:rsidR="009530DD" w:rsidRPr="001005B7">
        <w:rPr>
          <w:color w:val="auto"/>
          <w:lang w:val="en-US"/>
        </w:rPr>
        <w:t>m</w:t>
      </w:r>
      <w:proofErr w:type="spellEnd"/>
      <w:r w:rsidR="009530DD" w:rsidRPr="001005B7">
        <w:rPr>
          <w:color w:val="auto"/>
          <w:lang w:val="en-US"/>
        </w:rPr>
        <w:t xml:space="preserve"> </w:t>
      </w:r>
      <w:proofErr w:type="spellStart"/>
      <w:r w:rsidR="009530DD" w:rsidRPr="001005B7">
        <w:rPr>
          <w:color w:val="auto"/>
          <w:lang w:val="en-US"/>
        </w:rPr>
        <w:t>Ezechielbuch</w:t>
      </w:r>
      <w:proofErr w:type="spellEnd"/>
      <w:r w:rsidR="009530DD" w:rsidRPr="001005B7">
        <w:rPr>
          <w:color w:val="auto"/>
          <w:lang w:val="en-US"/>
        </w:rPr>
        <w:t xml:space="preserve">: Zur </w:t>
      </w:r>
      <w:proofErr w:type="spellStart"/>
      <w:r w:rsidR="009530DD" w:rsidRPr="001005B7">
        <w:rPr>
          <w:color w:val="auto"/>
          <w:lang w:val="en-US"/>
        </w:rPr>
        <w:t>Bedeutu</w:t>
      </w:r>
      <w:r w:rsidR="00CC21C4" w:rsidRPr="001005B7">
        <w:rPr>
          <w:color w:val="auto"/>
          <w:lang w:val="en-US"/>
        </w:rPr>
        <w:t>ng</w:t>
      </w:r>
      <w:proofErr w:type="spellEnd"/>
      <w:r w:rsidR="00CC21C4" w:rsidRPr="001005B7">
        <w:rPr>
          <w:color w:val="auto"/>
          <w:lang w:val="en-US"/>
        </w:rPr>
        <w:t xml:space="preserve"> von </w:t>
      </w:r>
      <w:proofErr w:type="spellStart"/>
      <w:r w:rsidR="00CC21C4" w:rsidRPr="001005B7">
        <w:rPr>
          <w:color w:val="auto"/>
          <w:lang w:val="en-US"/>
        </w:rPr>
        <w:t>Konnotationen</w:t>
      </w:r>
      <w:proofErr w:type="spellEnd"/>
      <w:r w:rsidR="00CC21C4" w:rsidRPr="001005B7">
        <w:rPr>
          <w:color w:val="auto"/>
          <w:lang w:val="en-US"/>
        </w:rPr>
        <w:t xml:space="preserve"> </w:t>
      </w:r>
      <w:proofErr w:type="spellStart"/>
      <w:r w:rsidR="00CC21C4" w:rsidRPr="001005B7">
        <w:rPr>
          <w:color w:val="auto"/>
          <w:lang w:val="en-US"/>
        </w:rPr>
        <w:t>bei</w:t>
      </w:r>
      <w:proofErr w:type="spellEnd"/>
      <w:r w:rsidR="00CC21C4" w:rsidRPr="001005B7">
        <w:rPr>
          <w:color w:val="auto"/>
          <w:lang w:val="en-US"/>
        </w:rPr>
        <w:t xml:space="preserve"> der </w:t>
      </w:r>
      <w:proofErr w:type="spellStart"/>
      <w:r w:rsidR="00CC21C4" w:rsidRPr="001005B7">
        <w:rPr>
          <w:color w:val="auto"/>
          <w:lang w:val="en-US"/>
        </w:rPr>
        <w:t>Auslegung</w:t>
      </w:r>
      <w:proofErr w:type="spellEnd"/>
      <w:r w:rsidR="00CC21C4" w:rsidRPr="001005B7">
        <w:rPr>
          <w:color w:val="auto"/>
          <w:lang w:val="en-US"/>
        </w:rPr>
        <w:t xml:space="preserve">.” </w:t>
      </w:r>
      <w:r w:rsidR="002B478E">
        <w:rPr>
          <w:i/>
          <w:iCs/>
          <w:color w:val="auto"/>
          <w:lang w:val="en-US"/>
        </w:rPr>
        <w:t xml:space="preserve">BN </w:t>
      </w:r>
      <w:r w:rsidR="00C30301" w:rsidRPr="001005B7">
        <w:rPr>
          <w:color w:val="auto"/>
          <w:lang w:val="en-US"/>
        </w:rPr>
        <w:t>177 (2018): 83</w:t>
      </w:r>
      <w:r w:rsidR="00F46900" w:rsidRPr="001005B7">
        <w:rPr>
          <w:color w:val="auto"/>
          <w:lang w:val="en-US"/>
        </w:rPr>
        <w:t>–</w:t>
      </w:r>
      <w:r w:rsidR="00D06B75" w:rsidRPr="001005B7">
        <w:rPr>
          <w:color w:val="auto"/>
          <w:lang w:val="en-US"/>
        </w:rPr>
        <w:t xml:space="preserve">91. </w:t>
      </w:r>
    </w:p>
    <w:p w14:paraId="63730F3A" w14:textId="0B25667A" w:rsidR="00E3595F" w:rsidRPr="001005B7" w:rsidRDefault="00E3595F" w:rsidP="006F5BB0">
      <w:pPr>
        <w:pStyle w:val="ListParagraph"/>
        <w:rPr>
          <w:i/>
          <w:color w:val="auto"/>
          <w:lang w:val="en-US"/>
        </w:rPr>
      </w:pPr>
      <w:proofErr w:type="spellStart"/>
      <w:r w:rsidRPr="001005B7">
        <w:rPr>
          <w:color w:val="auto"/>
          <w:lang w:val="en-US"/>
        </w:rPr>
        <w:t>Hiebel</w:t>
      </w:r>
      <w:proofErr w:type="spellEnd"/>
      <w:r w:rsidRPr="001005B7">
        <w:rPr>
          <w:color w:val="auto"/>
          <w:lang w:val="en-US"/>
        </w:rPr>
        <w:t>, Janina M. “Redaction, Rhetoric, and New Beginning in Ezekiel 1:1</w:t>
      </w:r>
      <w:r w:rsidR="00F46900" w:rsidRPr="001005B7">
        <w:rPr>
          <w:color w:val="auto"/>
          <w:lang w:val="en-US"/>
        </w:rPr>
        <w:t>–</w:t>
      </w:r>
      <w:r w:rsidRPr="001005B7">
        <w:rPr>
          <w:color w:val="auto"/>
          <w:lang w:val="en-US"/>
        </w:rPr>
        <w:t xml:space="preserve">3:15.” </w:t>
      </w:r>
      <w:r w:rsidRPr="001005B7">
        <w:rPr>
          <w:i/>
          <w:color w:val="auto"/>
          <w:lang w:val="en-US"/>
        </w:rPr>
        <w:t xml:space="preserve">Australian Biblical Review </w:t>
      </w:r>
      <w:r w:rsidRPr="001005B7">
        <w:rPr>
          <w:color w:val="auto"/>
          <w:lang w:val="en-US"/>
        </w:rPr>
        <w:t>64</w:t>
      </w:r>
      <w:r w:rsidRPr="001005B7">
        <w:rPr>
          <w:i/>
          <w:color w:val="auto"/>
          <w:lang w:val="en-US"/>
        </w:rPr>
        <w:t xml:space="preserve"> </w:t>
      </w:r>
      <w:r w:rsidRPr="001005B7">
        <w:rPr>
          <w:color w:val="auto"/>
          <w:lang w:val="en-US"/>
        </w:rPr>
        <w:t xml:space="preserve">(2016): </w:t>
      </w:r>
      <w:r w:rsidRPr="001005B7">
        <w:rPr>
          <w:iCs/>
          <w:color w:val="auto"/>
          <w:lang w:val="en-US"/>
        </w:rPr>
        <w:t>14</w:t>
      </w:r>
      <w:r w:rsidR="00F46900" w:rsidRPr="001005B7">
        <w:rPr>
          <w:color w:val="auto"/>
          <w:lang w:val="en-US"/>
        </w:rPr>
        <w:t>–</w:t>
      </w:r>
      <w:r w:rsidRPr="001005B7">
        <w:rPr>
          <w:color w:val="auto"/>
          <w:lang w:val="en-US"/>
        </w:rPr>
        <w:t>24.</w:t>
      </w:r>
      <w:r w:rsidRPr="001005B7">
        <w:rPr>
          <w:i/>
          <w:color w:val="auto"/>
          <w:lang w:val="en-US"/>
        </w:rPr>
        <w:t xml:space="preserve"> </w:t>
      </w:r>
    </w:p>
    <w:p w14:paraId="1725C7E3" w14:textId="40A29F3D" w:rsidR="00034FDC" w:rsidRPr="001005B7" w:rsidRDefault="009F0A1D" w:rsidP="006F5BB0">
      <w:pPr>
        <w:pStyle w:val="ListParagraph"/>
        <w:rPr>
          <w:color w:val="auto"/>
          <w:lang w:val="en-US"/>
        </w:rPr>
      </w:pPr>
      <w:r w:rsidRPr="001005B7">
        <w:rPr>
          <w:color w:val="auto"/>
          <w:lang w:val="en-US"/>
        </w:rPr>
        <w:t>Lust, Johan. “Notes to the Septuagint: Ezekiel 1</w:t>
      </w:r>
      <w:r w:rsidR="00F46900" w:rsidRPr="001005B7">
        <w:rPr>
          <w:color w:val="auto"/>
          <w:lang w:val="en-US"/>
        </w:rPr>
        <w:t>–</w:t>
      </w:r>
      <w:r w:rsidRPr="001005B7">
        <w:rPr>
          <w:color w:val="auto"/>
          <w:lang w:val="en-US"/>
        </w:rPr>
        <w:t xml:space="preserve">2.” </w:t>
      </w:r>
      <w:r w:rsidRPr="001005B7">
        <w:rPr>
          <w:i/>
          <w:iCs/>
          <w:color w:val="auto"/>
          <w:lang w:val="en-US"/>
        </w:rPr>
        <w:t>ETL</w:t>
      </w:r>
      <w:r w:rsidRPr="001005B7">
        <w:rPr>
          <w:color w:val="auto"/>
          <w:lang w:val="en-US"/>
        </w:rPr>
        <w:t xml:space="preserve"> 75 (1999): 5</w:t>
      </w:r>
      <w:r w:rsidR="00F46900" w:rsidRPr="001005B7">
        <w:rPr>
          <w:color w:val="auto"/>
          <w:lang w:val="en-US"/>
        </w:rPr>
        <w:t>–</w:t>
      </w:r>
      <w:r w:rsidRPr="001005B7">
        <w:rPr>
          <w:color w:val="auto"/>
          <w:lang w:val="en-US"/>
        </w:rPr>
        <w:t>31.</w:t>
      </w:r>
    </w:p>
    <w:p w14:paraId="6AD13EC8" w14:textId="26E3E242" w:rsidR="006E341C" w:rsidRPr="001005B7" w:rsidRDefault="006E341C" w:rsidP="006F5BB0">
      <w:pPr>
        <w:pStyle w:val="ListParagraph"/>
        <w:rPr>
          <w:color w:val="auto"/>
          <w:lang w:val="en-US"/>
        </w:rPr>
      </w:pPr>
      <w:r w:rsidRPr="001005B7">
        <w:rPr>
          <w:color w:val="auto"/>
          <w:lang w:val="en-US"/>
        </w:rPr>
        <w:t xml:space="preserve">Myers, Jacob </w:t>
      </w:r>
      <w:r w:rsidR="006A58A2" w:rsidRPr="001005B7">
        <w:rPr>
          <w:color w:val="auto"/>
          <w:lang w:val="en-US"/>
        </w:rPr>
        <w:t xml:space="preserve">D. “Obscure Preaching: </w:t>
      </w:r>
      <w:r w:rsidR="00917809" w:rsidRPr="001005B7">
        <w:rPr>
          <w:color w:val="auto"/>
          <w:lang w:val="en-US"/>
        </w:rPr>
        <w:t xml:space="preserve">Postmodern Homiletical Insights from Ezekiel the Prophet.” </w:t>
      </w:r>
      <w:proofErr w:type="spellStart"/>
      <w:r w:rsidR="006434AB" w:rsidRPr="001005B7">
        <w:rPr>
          <w:i/>
          <w:iCs/>
          <w:color w:val="auto"/>
          <w:lang w:val="en-US"/>
        </w:rPr>
        <w:t>RevExp</w:t>
      </w:r>
      <w:proofErr w:type="spellEnd"/>
      <w:r w:rsidR="006434AB" w:rsidRPr="001005B7">
        <w:rPr>
          <w:i/>
          <w:iCs/>
          <w:color w:val="auto"/>
          <w:lang w:val="en-US"/>
        </w:rPr>
        <w:t xml:space="preserve"> </w:t>
      </w:r>
      <w:r w:rsidR="006434AB" w:rsidRPr="001005B7">
        <w:rPr>
          <w:color w:val="auto"/>
          <w:lang w:val="en-US"/>
        </w:rPr>
        <w:t xml:space="preserve">111 (2014): </w:t>
      </w:r>
      <w:r w:rsidR="0041137B" w:rsidRPr="001005B7">
        <w:rPr>
          <w:color w:val="auto"/>
          <w:lang w:val="en-US"/>
        </w:rPr>
        <w:t>401</w:t>
      </w:r>
      <w:r w:rsidR="00F46900" w:rsidRPr="001005B7">
        <w:rPr>
          <w:color w:val="auto"/>
          <w:lang w:val="en-US"/>
        </w:rPr>
        <w:t>–</w:t>
      </w:r>
      <w:r w:rsidR="0041137B" w:rsidRPr="001005B7">
        <w:rPr>
          <w:color w:val="auto"/>
          <w:lang w:val="en-US"/>
        </w:rPr>
        <w:t xml:space="preserve">10. </w:t>
      </w:r>
    </w:p>
    <w:p w14:paraId="427063F0" w14:textId="35661411" w:rsidR="00034FDC" w:rsidRPr="001005B7" w:rsidRDefault="009A22E8" w:rsidP="006F5BB0">
      <w:pPr>
        <w:pStyle w:val="ListParagraph"/>
        <w:rPr>
          <w:color w:val="auto"/>
          <w:lang w:val="en-US"/>
        </w:rPr>
      </w:pPr>
      <w:r w:rsidRPr="001005B7">
        <w:rPr>
          <w:color w:val="auto"/>
          <w:lang w:val="en-US"/>
        </w:rPr>
        <w:t xml:space="preserve">Odell, Margaret S. “The Particle and the Prophet: Observations on Ezekiel </w:t>
      </w:r>
      <w:r w:rsidR="006968AD" w:rsidRPr="001005B7">
        <w:rPr>
          <w:color w:val="auto"/>
          <w:lang w:val="en-US"/>
        </w:rPr>
        <w:t xml:space="preserve">ii 6.” </w:t>
      </w:r>
      <w:r w:rsidR="006968AD" w:rsidRPr="001005B7">
        <w:rPr>
          <w:i/>
          <w:iCs/>
          <w:color w:val="auto"/>
          <w:lang w:val="en-US"/>
        </w:rPr>
        <w:t>VT</w:t>
      </w:r>
      <w:r w:rsidR="006968AD" w:rsidRPr="001005B7">
        <w:rPr>
          <w:color w:val="auto"/>
          <w:lang w:val="en-US"/>
        </w:rPr>
        <w:t xml:space="preserve"> 48 (1998): </w:t>
      </w:r>
      <w:r w:rsidR="00BE4497" w:rsidRPr="001005B7">
        <w:rPr>
          <w:color w:val="auto"/>
          <w:lang w:val="en-US"/>
        </w:rPr>
        <w:t>425</w:t>
      </w:r>
      <w:r w:rsidR="00F46900" w:rsidRPr="001005B7">
        <w:rPr>
          <w:color w:val="auto"/>
          <w:lang w:val="en-US"/>
        </w:rPr>
        <w:t>–</w:t>
      </w:r>
      <w:r w:rsidR="00BE4497" w:rsidRPr="001005B7">
        <w:rPr>
          <w:color w:val="auto"/>
          <w:lang w:val="en-US"/>
        </w:rPr>
        <w:t>32</w:t>
      </w:r>
      <w:r w:rsidR="002B44AF" w:rsidRPr="001005B7">
        <w:rPr>
          <w:color w:val="auto"/>
          <w:lang w:val="en-US"/>
        </w:rPr>
        <w:t>.</w:t>
      </w:r>
    </w:p>
    <w:p w14:paraId="41DFACA7" w14:textId="6DAAB905" w:rsidR="005C741D" w:rsidRPr="001005B7" w:rsidRDefault="005C741D" w:rsidP="005C741D">
      <w:pPr>
        <w:spacing w:after="60" w:line="240" w:lineRule="auto"/>
        <w:ind w:left="567" w:hanging="567"/>
        <w:rPr>
          <w:rFonts w:ascii="Calibri" w:eastAsia="Times New Roman" w:hAnsi="Calibri" w:cs="Calibri"/>
          <w:i/>
          <w:iCs/>
          <w:lang w:eastAsia="en-GB"/>
        </w:rPr>
      </w:pPr>
      <w:proofErr w:type="spellStart"/>
      <w:r w:rsidRPr="001005B7">
        <w:rPr>
          <w:rFonts w:ascii="Calibri" w:eastAsia="Times New Roman" w:hAnsi="Calibri" w:cs="Calibri"/>
          <w:lang w:eastAsia="en-GB"/>
        </w:rPr>
        <w:t>Pikor</w:t>
      </w:r>
      <w:proofErr w:type="spellEnd"/>
      <w:r w:rsidRPr="001005B7">
        <w:rPr>
          <w:rFonts w:ascii="Calibri" w:eastAsia="Times New Roman" w:hAnsi="Calibri" w:cs="Calibri"/>
          <w:lang w:eastAsia="en-GB"/>
        </w:rPr>
        <w:t xml:space="preserve">, Wojciech. </w:t>
      </w:r>
      <w:r w:rsidRPr="001005B7">
        <w:t xml:space="preserve">“A Prophet as a Witness to His Call: A Narrative Key to the Reading of Prophetic Call Narratives.” </w:t>
      </w:r>
      <w:r w:rsidRPr="001005B7">
        <w:rPr>
          <w:i/>
          <w:iCs/>
        </w:rPr>
        <w:t>Studia Theologica</w:t>
      </w:r>
      <w:r w:rsidRPr="001005B7">
        <w:t xml:space="preserve"> 52 (2020): 73</w:t>
      </w:r>
      <w:r w:rsidR="00F46900" w:rsidRPr="001005B7">
        <w:t>–</w:t>
      </w:r>
      <w:r w:rsidRPr="001005B7">
        <w:t>95.</w:t>
      </w:r>
    </w:p>
    <w:p w14:paraId="5FE36533" w14:textId="256EDB1A" w:rsidR="00C74C87" w:rsidRPr="001005B7" w:rsidRDefault="00C74C87" w:rsidP="006F5BB0">
      <w:pPr>
        <w:pStyle w:val="ListParagraph"/>
        <w:rPr>
          <w:color w:val="auto"/>
          <w:lang w:val="en-US"/>
        </w:rPr>
      </w:pPr>
      <w:proofErr w:type="spellStart"/>
      <w:r w:rsidRPr="001005B7">
        <w:rPr>
          <w:color w:val="auto"/>
          <w:lang w:val="en-US"/>
        </w:rPr>
        <w:t>Tiemeyer</w:t>
      </w:r>
      <w:proofErr w:type="spellEnd"/>
      <w:r w:rsidRPr="001005B7">
        <w:rPr>
          <w:color w:val="auto"/>
          <w:lang w:val="en-US"/>
        </w:rPr>
        <w:t xml:space="preserve">, Lena-Sofia. </w:t>
      </w:r>
      <w:r w:rsidR="005A7979" w:rsidRPr="001005B7">
        <w:rPr>
          <w:color w:val="auto"/>
          <w:lang w:val="en-US"/>
        </w:rPr>
        <w:t>“Ezekiel: A Compromised Prophet in Reduced Circumstance</w:t>
      </w:r>
      <w:r w:rsidR="00E2021F" w:rsidRPr="001005B7">
        <w:rPr>
          <w:color w:val="auto"/>
          <w:lang w:val="en-US"/>
        </w:rPr>
        <w:t>s.”</w:t>
      </w:r>
      <w:r w:rsidR="0065574B" w:rsidRPr="001005B7">
        <w:rPr>
          <w:color w:val="auto"/>
          <w:lang w:val="en-US"/>
        </w:rPr>
        <w:t xml:space="preserve"> In</w:t>
      </w:r>
      <w:r w:rsidR="00031C03" w:rsidRPr="001005B7">
        <w:rPr>
          <w:color w:val="auto"/>
          <w:lang w:val="en-US"/>
        </w:rPr>
        <w:t xml:space="preserve"> Lester L. </w:t>
      </w:r>
      <w:proofErr w:type="spellStart"/>
      <w:r w:rsidR="00031C03" w:rsidRPr="001005B7">
        <w:rPr>
          <w:color w:val="auto"/>
          <w:lang w:val="en-US"/>
        </w:rPr>
        <w:t>Grabbe</w:t>
      </w:r>
      <w:proofErr w:type="spellEnd"/>
      <w:r w:rsidR="00031C03" w:rsidRPr="001005B7">
        <w:rPr>
          <w:color w:val="auto"/>
          <w:lang w:val="en-US"/>
        </w:rPr>
        <w:t xml:space="preserve"> </w:t>
      </w:r>
      <w:r w:rsidR="002A4E78" w:rsidRPr="001005B7">
        <w:rPr>
          <w:color w:val="auto"/>
          <w:lang w:val="en-US"/>
        </w:rPr>
        <w:t>and</w:t>
      </w:r>
      <w:r w:rsidR="00031C03" w:rsidRPr="001005B7">
        <w:rPr>
          <w:color w:val="auto"/>
          <w:lang w:val="en-US"/>
        </w:rPr>
        <w:t xml:space="preserve"> </w:t>
      </w:r>
      <w:proofErr w:type="spellStart"/>
      <w:r w:rsidR="00031C03" w:rsidRPr="001005B7">
        <w:rPr>
          <w:color w:val="auto"/>
          <w:lang w:val="en-US"/>
        </w:rPr>
        <w:t>Martti</w:t>
      </w:r>
      <w:proofErr w:type="spellEnd"/>
      <w:r w:rsidR="00031C03" w:rsidRPr="001005B7">
        <w:rPr>
          <w:color w:val="auto"/>
          <w:lang w:val="en-US"/>
        </w:rPr>
        <w:t xml:space="preserve"> </w:t>
      </w:r>
      <w:proofErr w:type="spellStart"/>
      <w:r w:rsidR="00031C03" w:rsidRPr="001005B7">
        <w:rPr>
          <w:color w:val="auto"/>
          <w:lang w:val="en-US"/>
        </w:rPr>
        <w:t>Nissinen</w:t>
      </w:r>
      <w:proofErr w:type="spellEnd"/>
      <w:r w:rsidR="002A4E78" w:rsidRPr="001005B7">
        <w:rPr>
          <w:color w:val="auto"/>
          <w:lang w:val="en-US"/>
        </w:rPr>
        <w:t>, ed.,</w:t>
      </w:r>
      <w:r w:rsidR="0065574B" w:rsidRPr="001005B7">
        <w:rPr>
          <w:color w:val="auto"/>
          <w:lang w:val="en-US"/>
        </w:rPr>
        <w:t xml:space="preserve"> </w:t>
      </w:r>
      <w:r w:rsidR="0065574B" w:rsidRPr="001005B7">
        <w:rPr>
          <w:i/>
          <w:iCs/>
          <w:color w:val="auto"/>
          <w:shd w:val="clear" w:color="auto" w:fill="FFFFFF"/>
          <w:lang w:val="en-US"/>
        </w:rPr>
        <w:t>Constructs of Prophecy in the Former and Latter Prophets</w:t>
      </w:r>
      <w:r w:rsidR="002A4E78" w:rsidRPr="001005B7">
        <w:rPr>
          <w:i/>
          <w:iCs/>
          <w:color w:val="auto"/>
          <w:shd w:val="clear" w:color="auto" w:fill="FFFFFF"/>
          <w:lang w:val="en-US"/>
        </w:rPr>
        <w:t xml:space="preserve"> and Other Texts</w:t>
      </w:r>
      <w:r w:rsidR="00DC68D3" w:rsidRPr="001005B7">
        <w:rPr>
          <w:color w:val="auto"/>
          <w:shd w:val="clear" w:color="auto" w:fill="FFFFFF"/>
          <w:lang w:val="en-US"/>
        </w:rPr>
        <w:t>, 175</w:t>
      </w:r>
      <w:r w:rsidR="00F46900" w:rsidRPr="001005B7">
        <w:rPr>
          <w:color w:val="auto"/>
          <w:shd w:val="clear" w:color="auto" w:fill="FFFFFF"/>
          <w:lang w:val="en-US"/>
        </w:rPr>
        <w:t>–</w:t>
      </w:r>
      <w:r w:rsidR="00DC68D3" w:rsidRPr="001005B7">
        <w:rPr>
          <w:color w:val="auto"/>
          <w:shd w:val="clear" w:color="auto" w:fill="FFFFFF"/>
          <w:lang w:val="en-US"/>
        </w:rPr>
        <w:t>95. SBL</w:t>
      </w:r>
      <w:r w:rsidR="000A453A" w:rsidRPr="001005B7">
        <w:rPr>
          <w:color w:val="auto"/>
          <w:shd w:val="clear" w:color="auto" w:fill="FFFFFF"/>
          <w:lang w:val="en-US"/>
        </w:rPr>
        <w:t xml:space="preserve"> Ancient Near Eastern Monographs 4. </w:t>
      </w:r>
      <w:r w:rsidR="008A4418" w:rsidRPr="001005B7">
        <w:rPr>
          <w:color w:val="auto"/>
          <w:shd w:val="clear" w:color="auto" w:fill="FFFFFF"/>
          <w:lang w:val="en-US"/>
        </w:rPr>
        <w:t>Atlanta</w:t>
      </w:r>
      <w:r w:rsidR="000A453A" w:rsidRPr="001005B7">
        <w:rPr>
          <w:color w:val="auto"/>
          <w:shd w:val="clear" w:color="auto" w:fill="FFFFFF"/>
          <w:lang w:val="en-US"/>
        </w:rPr>
        <w:t xml:space="preserve">: SBL, </w:t>
      </w:r>
      <w:r w:rsidR="008A4418" w:rsidRPr="001005B7">
        <w:rPr>
          <w:color w:val="auto"/>
          <w:shd w:val="clear" w:color="auto" w:fill="FFFFFF"/>
          <w:lang w:val="en-US"/>
        </w:rPr>
        <w:t>2011.</w:t>
      </w:r>
    </w:p>
    <w:p w14:paraId="3184135B" w14:textId="2FC00E2E" w:rsidR="00140E48" w:rsidRPr="001005B7" w:rsidRDefault="00EE0FEC" w:rsidP="006F5BB0">
      <w:pPr>
        <w:pStyle w:val="ListParagraph"/>
        <w:rPr>
          <w:color w:val="auto"/>
          <w:lang w:val="en-US"/>
        </w:rPr>
      </w:pPr>
      <w:proofErr w:type="spellStart"/>
      <w:r w:rsidRPr="001005B7">
        <w:rPr>
          <w:color w:val="auto"/>
          <w:lang w:val="en-US"/>
        </w:rPr>
        <w:t>Willimon</w:t>
      </w:r>
      <w:proofErr w:type="spellEnd"/>
      <w:r w:rsidRPr="001005B7">
        <w:rPr>
          <w:color w:val="auto"/>
          <w:lang w:val="en-US"/>
        </w:rPr>
        <w:t>, Wil. “Ezekiel 3:1</w:t>
      </w:r>
      <w:r w:rsidR="00F46900" w:rsidRPr="001005B7">
        <w:rPr>
          <w:color w:val="auto"/>
          <w:lang w:val="en-US"/>
        </w:rPr>
        <w:t>–</w:t>
      </w:r>
      <w:r w:rsidRPr="001005B7">
        <w:rPr>
          <w:color w:val="auto"/>
          <w:lang w:val="en-US"/>
        </w:rPr>
        <w:t>11</w:t>
      </w:r>
      <w:r w:rsidR="00730814" w:rsidRPr="001005B7">
        <w:rPr>
          <w:color w:val="auto"/>
          <w:lang w:val="en-US"/>
        </w:rPr>
        <w:t xml:space="preserve">.” </w:t>
      </w:r>
      <w:r w:rsidR="00730814" w:rsidRPr="001005B7">
        <w:rPr>
          <w:i/>
          <w:iCs/>
          <w:color w:val="auto"/>
          <w:lang w:val="en-US"/>
        </w:rPr>
        <w:t>Interpretation</w:t>
      </w:r>
      <w:r w:rsidR="00730814" w:rsidRPr="001005B7">
        <w:rPr>
          <w:color w:val="auto"/>
          <w:lang w:val="en-US"/>
        </w:rPr>
        <w:t xml:space="preserve"> 70</w:t>
      </w:r>
      <w:r w:rsidR="00520353" w:rsidRPr="001005B7">
        <w:rPr>
          <w:color w:val="auto"/>
          <w:lang w:val="en-US"/>
        </w:rPr>
        <w:t xml:space="preserve"> (2016): 326</w:t>
      </w:r>
      <w:r w:rsidR="00F46900" w:rsidRPr="001005B7">
        <w:rPr>
          <w:color w:val="auto"/>
          <w:lang w:val="en-US"/>
        </w:rPr>
        <w:t>–</w:t>
      </w:r>
      <w:r w:rsidR="00520353" w:rsidRPr="001005B7">
        <w:rPr>
          <w:color w:val="auto"/>
          <w:lang w:val="en-US"/>
        </w:rPr>
        <w:t>28.</w:t>
      </w:r>
    </w:p>
    <w:p w14:paraId="0E3A6C1B" w14:textId="1652FD0C" w:rsidR="003F5C60" w:rsidRPr="001005B7" w:rsidRDefault="0051170F" w:rsidP="003062B5">
      <w:pPr>
        <w:pStyle w:val="Heading2"/>
        <w:rPr>
          <w:color w:val="auto"/>
        </w:rPr>
      </w:pPr>
      <w:r w:rsidRPr="001005B7">
        <w:rPr>
          <w:color w:val="auto"/>
        </w:rPr>
        <w:t xml:space="preserve">Yahweh Sends </w:t>
      </w:r>
      <w:r w:rsidR="00F020E6" w:rsidRPr="001005B7">
        <w:rPr>
          <w:color w:val="auto"/>
        </w:rPr>
        <w:t>a</w:t>
      </w:r>
      <w:r w:rsidR="00500258" w:rsidRPr="001005B7">
        <w:rPr>
          <w:color w:val="auto"/>
        </w:rPr>
        <w:t xml:space="preserve"> </w:t>
      </w:r>
      <w:r w:rsidR="00501FF5" w:rsidRPr="001005B7">
        <w:rPr>
          <w:color w:val="auto"/>
        </w:rPr>
        <w:t>Lookout</w:t>
      </w:r>
      <w:r w:rsidR="00841155" w:rsidRPr="001005B7">
        <w:rPr>
          <w:color w:val="auto"/>
        </w:rPr>
        <w:t xml:space="preserve"> (3:16</w:t>
      </w:r>
      <w:r w:rsidR="00F46900" w:rsidRPr="001005B7">
        <w:rPr>
          <w:color w:val="auto"/>
        </w:rPr>
        <w:t>–</w:t>
      </w:r>
      <w:r w:rsidR="00841155" w:rsidRPr="001005B7">
        <w:rPr>
          <w:color w:val="auto"/>
        </w:rPr>
        <w:t>27)</w:t>
      </w:r>
    </w:p>
    <w:p w14:paraId="69BA22FF" w14:textId="77777777" w:rsidR="006F3D47" w:rsidRPr="001005B7" w:rsidRDefault="00994C6F" w:rsidP="00493833">
      <w:pPr>
        <w:pStyle w:val="Heading3"/>
      </w:pPr>
      <w:r w:rsidRPr="001005B7">
        <w:t>Outline</w:t>
      </w:r>
    </w:p>
    <w:p w14:paraId="0EDC39E9" w14:textId="0600FAE9" w:rsidR="00994C6F" w:rsidRPr="001005B7" w:rsidRDefault="00937B8C" w:rsidP="00994C6F">
      <w:r w:rsidRPr="001005B7">
        <w:t>T</w:t>
      </w:r>
      <w:r w:rsidR="00D659BF" w:rsidRPr="001005B7">
        <w:t xml:space="preserve">wo </w:t>
      </w:r>
      <w:r w:rsidR="00182888" w:rsidRPr="001005B7">
        <w:t>follow-</w:t>
      </w:r>
      <w:r w:rsidR="00585B00" w:rsidRPr="001005B7">
        <w:t>ups to 1:1</w:t>
      </w:r>
      <w:r w:rsidR="00F46900" w:rsidRPr="001005B7">
        <w:t>–</w:t>
      </w:r>
      <w:r w:rsidR="00585B00" w:rsidRPr="001005B7">
        <w:t xml:space="preserve">3:15 form </w:t>
      </w:r>
      <w:r w:rsidR="00D659BF" w:rsidRPr="001005B7">
        <w:t xml:space="preserve">further </w:t>
      </w:r>
      <w:r w:rsidR="000E6F84" w:rsidRPr="001005B7">
        <w:t xml:space="preserve">preambles </w:t>
      </w:r>
      <w:r w:rsidR="009B344F" w:rsidRPr="001005B7">
        <w:t xml:space="preserve">to </w:t>
      </w:r>
      <w:r w:rsidR="00D662E7" w:rsidRPr="001005B7">
        <w:t xml:space="preserve">Ezekiel’s </w:t>
      </w:r>
      <w:r w:rsidR="00F517E9" w:rsidRPr="001005B7">
        <w:t xml:space="preserve">accounts of </w:t>
      </w:r>
      <w:r w:rsidR="00F2401E" w:rsidRPr="001005B7">
        <w:t xml:space="preserve">receiving </w:t>
      </w:r>
      <w:r w:rsidR="00021B95" w:rsidRPr="001005B7">
        <w:t xml:space="preserve">the </w:t>
      </w:r>
      <w:r w:rsidR="00F517E9" w:rsidRPr="001005B7">
        <w:t>concrete messages</w:t>
      </w:r>
      <w:r w:rsidR="004B4E86" w:rsidRPr="001005B7">
        <w:t xml:space="preserve"> that </w:t>
      </w:r>
      <w:r w:rsidR="00B47DE0" w:rsidRPr="001005B7">
        <w:t xml:space="preserve">will </w:t>
      </w:r>
      <w:r w:rsidR="004B4E86" w:rsidRPr="001005B7">
        <w:t>appear in 4:1</w:t>
      </w:r>
      <w:r w:rsidR="00F46900" w:rsidRPr="001005B7">
        <w:t>–</w:t>
      </w:r>
      <w:r w:rsidR="004B4E86" w:rsidRPr="001005B7">
        <w:t>7:</w:t>
      </w:r>
      <w:r w:rsidR="00B42381" w:rsidRPr="001005B7">
        <w:t>27</w:t>
      </w:r>
      <w:r w:rsidR="00CD52C9" w:rsidRPr="001005B7">
        <w:t>.</w:t>
      </w:r>
      <w:r w:rsidR="00274006" w:rsidRPr="001005B7">
        <w:t xml:space="preserve"> </w:t>
      </w:r>
      <w:r w:rsidR="00E219DC" w:rsidRPr="001005B7">
        <w:t>They thus</w:t>
      </w:r>
      <w:r w:rsidR="00E76B49" w:rsidRPr="001005B7">
        <w:t xml:space="preserve"> </w:t>
      </w:r>
      <w:r w:rsidR="006F580A" w:rsidRPr="001005B7">
        <w:t>form</w:t>
      </w:r>
      <w:r w:rsidR="00591E24" w:rsidRPr="001005B7">
        <w:t xml:space="preserve"> </w:t>
      </w:r>
      <w:r w:rsidR="006F580A" w:rsidRPr="001005B7">
        <w:t xml:space="preserve">a bridge between the </w:t>
      </w:r>
      <w:r w:rsidR="002C3662" w:rsidRPr="001005B7">
        <w:t>vision</w:t>
      </w:r>
      <w:r w:rsidR="009D06BB" w:rsidRPr="001005B7">
        <w:t>-</w:t>
      </w:r>
      <w:r w:rsidR="002C3662" w:rsidRPr="001005B7">
        <w:t xml:space="preserve"> commission</w:t>
      </w:r>
      <w:r w:rsidR="009D06BB" w:rsidRPr="001005B7">
        <w:t xml:space="preserve"> </w:t>
      </w:r>
      <w:r w:rsidR="00591E24" w:rsidRPr="001005B7">
        <w:t>and the concrete messages</w:t>
      </w:r>
      <w:r w:rsidR="00E219DC" w:rsidRPr="001005B7">
        <w:t>, and t</w:t>
      </w:r>
      <w:r w:rsidR="00591E24" w:rsidRPr="001005B7">
        <w:t xml:space="preserve">hey </w:t>
      </w:r>
      <w:r w:rsidR="00BC3BDA" w:rsidRPr="001005B7">
        <w:t>connect</w:t>
      </w:r>
      <w:r w:rsidR="00591E24" w:rsidRPr="001005B7">
        <w:t xml:space="preserve"> both ways—they </w:t>
      </w:r>
      <w:r w:rsidR="00B55C8A" w:rsidRPr="001005B7">
        <w:t xml:space="preserve">add to the commission and they lead into the </w:t>
      </w:r>
      <w:r w:rsidR="005E0BC5" w:rsidRPr="001005B7">
        <w:t>messages</w:t>
      </w:r>
      <w:r w:rsidR="001862EA" w:rsidRPr="001005B7">
        <w:t>.</w:t>
      </w:r>
      <w:r w:rsidR="003E4C31" w:rsidRPr="001005B7">
        <w:t xml:space="preserve"> They outline:</w:t>
      </w:r>
    </w:p>
    <w:p w14:paraId="0C69BC89" w14:textId="77777777" w:rsidR="005E0BC5" w:rsidRPr="001005B7" w:rsidRDefault="005E0BC5" w:rsidP="00994C6F"/>
    <w:p w14:paraId="159C5473" w14:textId="40CB1E90" w:rsidR="00181A61" w:rsidRPr="001005B7" w:rsidRDefault="00BE5B90" w:rsidP="00994C6F">
      <w:r w:rsidRPr="001005B7">
        <w:t>A further defining of Ezekiel’s task (</w:t>
      </w:r>
      <w:r w:rsidR="005E0BC5" w:rsidRPr="001005B7">
        <w:t>3:16</w:t>
      </w:r>
      <w:r w:rsidR="00F46900" w:rsidRPr="001005B7">
        <w:t>–</w:t>
      </w:r>
      <w:r w:rsidR="005E0BC5" w:rsidRPr="001005B7">
        <w:t>21</w:t>
      </w:r>
      <w:r w:rsidRPr="001005B7">
        <w:t>)</w:t>
      </w:r>
      <w:r w:rsidR="00181A61" w:rsidRPr="001005B7">
        <w:t xml:space="preserve">: </w:t>
      </w:r>
    </w:p>
    <w:p w14:paraId="241E5675" w14:textId="4ED9AB18" w:rsidR="00BE5B90" w:rsidRPr="001005B7" w:rsidRDefault="00BE5B90" w:rsidP="00E708F8">
      <w:pPr>
        <w:ind w:left="1440" w:firstLine="0"/>
      </w:pPr>
      <w:r w:rsidRPr="001005B7">
        <w:t>to be a lookout for the community</w:t>
      </w:r>
      <w:r w:rsidR="00087DC3" w:rsidRPr="001005B7">
        <w:t xml:space="preserve">, </w:t>
      </w:r>
      <w:r w:rsidR="009A499D" w:rsidRPr="001005B7">
        <w:t>warning people to turn from their</w:t>
      </w:r>
      <w:r w:rsidR="0023666A" w:rsidRPr="001005B7">
        <w:t xml:space="preserve"> faithlessness </w:t>
      </w:r>
      <w:r w:rsidR="00532216" w:rsidRPr="001005B7">
        <w:t>(or</w:t>
      </w:r>
      <w:r w:rsidR="000E1221" w:rsidRPr="001005B7">
        <w:t xml:space="preserve"> maintain their </w:t>
      </w:r>
      <w:r w:rsidR="00532216" w:rsidRPr="001005B7">
        <w:t xml:space="preserve">faithfulness) </w:t>
      </w:r>
      <w:r w:rsidR="0023666A" w:rsidRPr="001005B7">
        <w:t>and</w:t>
      </w:r>
      <w:r w:rsidR="00265983" w:rsidRPr="001005B7">
        <w:t xml:space="preserve"> </w:t>
      </w:r>
      <w:r w:rsidR="0023666A" w:rsidRPr="001005B7">
        <w:t xml:space="preserve">thus </w:t>
      </w:r>
      <w:r w:rsidR="00181A61" w:rsidRPr="001005B7">
        <w:t>not die</w:t>
      </w:r>
      <w:r w:rsidR="00290E59" w:rsidRPr="001005B7">
        <w:t>.</w:t>
      </w:r>
    </w:p>
    <w:p w14:paraId="04BCAF83" w14:textId="0DEC5ACC" w:rsidR="00181A61" w:rsidRPr="001005B7" w:rsidRDefault="00640ADE" w:rsidP="00994C6F">
      <w:r w:rsidRPr="001005B7">
        <w:t xml:space="preserve">A further defining of </w:t>
      </w:r>
      <w:r w:rsidR="00510607" w:rsidRPr="001005B7">
        <w:t>the</w:t>
      </w:r>
      <w:r w:rsidRPr="001005B7">
        <w:t xml:space="preserve"> </w:t>
      </w:r>
      <w:r w:rsidR="00280ECE" w:rsidRPr="001005B7">
        <w:t xml:space="preserve">action or non-action </w:t>
      </w:r>
      <w:r w:rsidR="00290E59" w:rsidRPr="001005B7">
        <w:t>Ezekiel</w:t>
      </w:r>
      <w:r w:rsidR="00510607" w:rsidRPr="001005B7">
        <w:t xml:space="preserve"> is to take now </w:t>
      </w:r>
      <w:r w:rsidR="00280ECE" w:rsidRPr="001005B7">
        <w:t>(3:22</w:t>
      </w:r>
      <w:r w:rsidR="00F46900" w:rsidRPr="001005B7">
        <w:t>–</w:t>
      </w:r>
      <w:r w:rsidR="00280ECE" w:rsidRPr="001005B7">
        <w:t>27)</w:t>
      </w:r>
      <w:r w:rsidR="00D13E8E" w:rsidRPr="001005B7">
        <w:t>:</w:t>
      </w:r>
    </w:p>
    <w:p w14:paraId="19B5D8B6" w14:textId="657A6560" w:rsidR="00280ECE" w:rsidRPr="001005B7" w:rsidRDefault="004A6A11" w:rsidP="00E708F8">
      <w:pPr>
        <w:ind w:left="1440" w:firstLine="0"/>
      </w:pPr>
      <w:r w:rsidRPr="001005B7">
        <w:t>to go home and stay home</w:t>
      </w:r>
      <w:r w:rsidR="002418B8" w:rsidRPr="001005B7">
        <w:t xml:space="preserve"> and say nothing</w:t>
      </w:r>
      <w:r w:rsidRPr="001005B7">
        <w:t xml:space="preserve"> until he receives further instructions</w:t>
      </w:r>
      <w:r w:rsidR="00D13E8E" w:rsidRPr="001005B7">
        <w:t>.</w:t>
      </w:r>
    </w:p>
    <w:p w14:paraId="3B14C53A" w14:textId="77777777" w:rsidR="00BE1B46" w:rsidRPr="001005B7" w:rsidRDefault="00BE1B46" w:rsidP="00994C6F"/>
    <w:p w14:paraId="58838836" w14:textId="51F7CC5D" w:rsidR="00BE1B46" w:rsidRPr="001005B7" w:rsidRDefault="004C4434" w:rsidP="00241BD3">
      <w:pPr>
        <w:ind w:firstLine="0"/>
      </w:pPr>
      <w:r w:rsidRPr="001005B7">
        <w:t>T</w:t>
      </w:r>
      <w:r w:rsidR="00E62091" w:rsidRPr="001005B7">
        <w:t xml:space="preserve">he first unit links more </w:t>
      </w:r>
      <w:r w:rsidR="00325E1D" w:rsidRPr="001005B7">
        <w:t>with what follows</w:t>
      </w:r>
      <w:r w:rsidR="007C706C" w:rsidRPr="001005B7">
        <w:t xml:space="preserve"> and</w:t>
      </w:r>
      <w:r w:rsidR="00325E1D" w:rsidRPr="001005B7">
        <w:t xml:space="preserve"> the second more with what precedes</w:t>
      </w:r>
      <w:r w:rsidR="00553567" w:rsidRPr="001005B7">
        <w:t xml:space="preserve">. </w:t>
      </w:r>
      <w:r w:rsidR="00325E1D" w:rsidRPr="001005B7">
        <w:t>The defining of Ezekiel’s task</w:t>
      </w:r>
      <w:r w:rsidR="00F911EF" w:rsidRPr="001005B7">
        <w:t xml:space="preserve"> in </w:t>
      </w:r>
      <w:r w:rsidR="0042084A" w:rsidRPr="001005B7">
        <w:t>3:</w:t>
      </w:r>
      <w:r w:rsidR="00F911EF" w:rsidRPr="001005B7">
        <w:t>16</w:t>
      </w:r>
      <w:r w:rsidR="00F46900" w:rsidRPr="001005B7">
        <w:t>–</w:t>
      </w:r>
      <w:r w:rsidR="00F911EF" w:rsidRPr="001005B7">
        <w:t>21</w:t>
      </w:r>
      <w:r w:rsidR="00850AF4" w:rsidRPr="001005B7">
        <w:t>,</w:t>
      </w:r>
      <w:r w:rsidR="00325E1D" w:rsidRPr="001005B7">
        <w:t xml:space="preserve"> that is, </w:t>
      </w:r>
      <w:r w:rsidR="005560D3" w:rsidRPr="001005B7">
        <w:t>connects</w:t>
      </w:r>
      <w:r w:rsidR="00325E1D" w:rsidRPr="001005B7">
        <w:t xml:space="preserve"> </w:t>
      </w:r>
      <w:r w:rsidR="008762AE" w:rsidRPr="001005B7">
        <w:t xml:space="preserve">more directly </w:t>
      </w:r>
      <w:r w:rsidR="00325E1D" w:rsidRPr="001005B7">
        <w:t>with</w:t>
      </w:r>
      <w:r w:rsidR="008762AE" w:rsidRPr="001005B7">
        <w:t xml:space="preserve"> his performing the task</w:t>
      </w:r>
      <w:r w:rsidR="00C55DAE" w:rsidRPr="001005B7">
        <w:t xml:space="preserve">, which begins in chapter 4. The </w:t>
      </w:r>
      <w:r w:rsidR="00390AB0" w:rsidRPr="001005B7">
        <w:t xml:space="preserve">commission to go home </w:t>
      </w:r>
      <w:r w:rsidR="00850AF4" w:rsidRPr="001005B7">
        <w:t xml:space="preserve">in </w:t>
      </w:r>
      <w:r w:rsidR="0042084A" w:rsidRPr="001005B7">
        <w:t>3:</w:t>
      </w:r>
      <w:r w:rsidR="00850AF4" w:rsidRPr="001005B7">
        <w:t>22</w:t>
      </w:r>
      <w:r w:rsidR="00F46900" w:rsidRPr="001005B7">
        <w:t>–</w:t>
      </w:r>
      <w:r w:rsidR="00850AF4" w:rsidRPr="001005B7">
        <w:t xml:space="preserve">27 </w:t>
      </w:r>
      <w:r w:rsidR="00DA1014" w:rsidRPr="001005B7">
        <w:t xml:space="preserve">refers again to the </w:t>
      </w:r>
      <w:r w:rsidR="00DB4D2C" w:rsidRPr="001005B7">
        <w:t xml:space="preserve">coming of Yahweh’s hand, </w:t>
      </w:r>
      <w:r w:rsidR="002F45CE" w:rsidRPr="001005B7">
        <w:t xml:space="preserve">the </w:t>
      </w:r>
      <w:r w:rsidR="00DA1014" w:rsidRPr="001005B7">
        <w:t>appearance of Yahweh</w:t>
      </w:r>
      <w:r w:rsidR="00180CEB" w:rsidRPr="001005B7">
        <w:t xml:space="preserve"> in his</w:t>
      </w:r>
      <w:r w:rsidR="00DA1014" w:rsidRPr="001005B7">
        <w:t xml:space="preserve"> </w:t>
      </w:r>
      <w:r w:rsidR="00180CEB" w:rsidRPr="001005B7">
        <w:t>magnificence</w:t>
      </w:r>
      <w:r w:rsidR="002F45CE" w:rsidRPr="001005B7">
        <w:t>, and the entering of a spirit</w:t>
      </w:r>
      <w:r w:rsidR="00520F6B" w:rsidRPr="001005B7">
        <w:t xml:space="preserve">, which </w:t>
      </w:r>
      <w:r w:rsidR="001E7F19" w:rsidRPr="001005B7">
        <w:t>3:12</w:t>
      </w:r>
      <w:r w:rsidR="00F46900" w:rsidRPr="001005B7">
        <w:t>–</w:t>
      </w:r>
      <w:r w:rsidR="001E7F19" w:rsidRPr="001005B7">
        <w:t>15</w:t>
      </w:r>
      <w:r w:rsidR="00520F6B" w:rsidRPr="001005B7">
        <w:t xml:space="preserve"> related</w:t>
      </w:r>
      <w:r w:rsidR="001E7F19" w:rsidRPr="001005B7">
        <w:t xml:space="preserve">. </w:t>
      </w:r>
      <w:r w:rsidR="002102F8" w:rsidRPr="001005B7">
        <w:t xml:space="preserve">This </w:t>
      </w:r>
      <w:proofErr w:type="spellStart"/>
      <w:r w:rsidR="00F22611" w:rsidRPr="001005B7">
        <w:t>arranegment</w:t>
      </w:r>
      <w:proofErr w:type="spellEnd"/>
      <w:r w:rsidR="00553567" w:rsidRPr="001005B7">
        <w:t xml:space="preserve"> tightens the section’s f</w:t>
      </w:r>
      <w:r w:rsidR="00F22611" w:rsidRPr="001005B7">
        <w:t>unctioning as</w:t>
      </w:r>
      <w:r w:rsidR="00553567" w:rsidRPr="001005B7">
        <w:t xml:space="preserve"> a bridge between 1:1–3:15 and 4:1–5:17.</w:t>
      </w:r>
    </w:p>
    <w:p w14:paraId="65503495" w14:textId="3E095B2C" w:rsidR="0098655F" w:rsidRPr="001005B7" w:rsidRDefault="0031652D" w:rsidP="00994C6F">
      <w:r w:rsidRPr="001005B7">
        <w:t xml:space="preserve">A </w:t>
      </w:r>
      <w:r w:rsidR="004003E3" w:rsidRPr="001005B7">
        <w:t xml:space="preserve">virtually word-for-word further version of </w:t>
      </w:r>
      <w:r w:rsidR="0042084A" w:rsidRPr="001005B7">
        <w:t>3:</w:t>
      </w:r>
      <w:r w:rsidR="004003E3" w:rsidRPr="001005B7">
        <w:t>16b</w:t>
      </w:r>
      <w:r w:rsidR="00F46900" w:rsidRPr="001005B7">
        <w:t>–</w:t>
      </w:r>
      <w:r w:rsidR="004003E3" w:rsidRPr="001005B7">
        <w:t>19 appears as 33:1, 7</w:t>
      </w:r>
      <w:r w:rsidR="00F46900" w:rsidRPr="001005B7">
        <w:t>–</w:t>
      </w:r>
      <w:r w:rsidR="004003E3" w:rsidRPr="001005B7">
        <w:t>9</w:t>
      </w:r>
      <w:r w:rsidR="00457E19" w:rsidRPr="001005B7">
        <w:t>:</w:t>
      </w:r>
    </w:p>
    <w:p w14:paraId="50B824D0" w14:textId="77777777" w:rsidR="00B4402D" w:rsidRPr="001005B7" w:rsidRDefault="00B4402D" w:rsidP="00994C6F"/>
    <w:p w14:paraId="302D5F9A" w14:textId="06AC2F3A" w:rsidR="007668E9" w:rsidRPr="001005B7" w:rsidRDefault="00E776AD" w:rsidP="00994C6F">
      <w:r w:rsidRPr="001005B7">
        <w:t>3:16b</w:t>
      </w:r>
      <w:r w:rsidR="00F46900" w:rsidRPr="001005B7">
        <w:t>–</w:t>
      </w:r>
      <w:r w:rsidRPr="001005B7">
        <w:t>19</w:t>
      </w:r>
      <w:r w:rsidRPr="001005B7">
        <w:tab/>
      </w:r>
      <w:r w:rsidRPr="001005B7">
        <w:tab/>
      </w:r>
      <w:r w:rsidRPr="001005B7">
        <w:tab/>
      </w:r>
      <w:r w:rsidRPr="001005B7">
        <w:tab/>
      </w:r>
      <w:r w:rsidRPr="001005B7">
        <w:tab/>
        <w:t>33:1, 7</w:t>
      </w:r>
      <w:r w:rsidR="00F46900" w:rsidRPr="001005B7">
        <w:t>–</w:t>
      </w:r>
      <w:r w:rsidRPr="001005B7">
        <w:t xml:space="preserve">9 </w:t>
      </w:r>
    </w:p>
    <w:p w14:paraId="2E33811A" w14:textId="463A392C" w:rsidR="00B17516" w:rsidRPr="001005B7" w:rsidRDefault="00E429FC" w:rsidP="00B17516">
      <w:pPr>
        <w:ind w:firstLine="0"/>
      </w:pPr>
      <w:r w:rsidRPr="001005B7">
        <w:rPr>
          <w:vertAlign w:val="superscript"/>
        </w:rPr>
        <w:t>16b</w:t>
      </w:r>
      <w:r w:rsidR="00C407B8" w:rsidRPr="001005B7">
        <w:t xml:space="preserve">Yahweh’s </w:t>
      </w:r>
      <w:r w:rsidR="00186A08" w:rsidRPr="001005B7">
        <w:t>message</w:t>
      </w:r>
      <w:r w:rsidR="00C407B8" w:rsidRPr="001005B7">
        <w:t xml:space="preserve"> came to me</w:t>
      </w:r>
      <w:r w:rsidR="000B500D" w:rsidRPr="001005B7">
        <w:t>:</w:t>
      </w:r>
      <w:r w:rsidR="00731C14" w:rsidRPr="001005B7">
        <w:tab/>
      </w:r>
      <w:r w:rsidR="00731C14" w:rsidRPr="001005B7">
        <w:tab/>
      </w:r>
      <w:r w:rsidR="00C60C59" w:rsidRPr="001005B7">
        <w:rPr>
          <w:vertAlign w:val="superscript"/>
        </w:rPr>
        <w:t>1</w:t>
      </w:r>
      <w:r w:rsidR="00731C14" w:rsidRPr="001005B7">
        <w:t xml:space="preserve">Yahweh’s </w:t>
      </w:r>
      <w:r w:rsidR="00186A08" w:rsidRPr="001005B7">
        <w:t>message</w:t>
      </w:r>
      <w:r w:rsidR="00731C14" w:rsidRPr="001005B7">
        <w:t xml:space="preserve"> came to me</w:t>
      </w:r>
      <w:r w:rsidR="007E460B" w:rsidRPr="001005B7">
        <w:t>:</w:t>
      </w:r>
    </w:p>
    <w:p w14:paraId="77A79486" w14:textId="4547CC97" w:rsidR="00B17516" w:rsidRPr="001005B7" w:rsidRDefault="00B17516" w:rsidP="00B17516">
      <w:pPr>
        <w:ind w:firstLine="0"/>
      </w:pPr>
      <w:r w:rsidRPr="001005B7">
        <w:rPr>
          <w:vertAlign w:val="superscript"/>
        </w:rPr>
        <w:t>17</w:t>
      </w:r>
      <w:r w:rsidR="00D3329B" w:rsidRPr="001005B7">
        <w:t>My man</w:t>
      </w:r>
      <w:r w:rsidRPr="001005B7">
        <w:t>, a lookout</w:t>
      </w:r>
      <w:r w:rsidR="0029125D" w:rsidRPr="001005B7">
        <w:t xml:space="preserve"> </w:t>
      </w:r>
      <w:r w:rsidR="004F3933" w:rsidRPr="001005B7">
        <w:tab/>
      </w:r>
      <w:r w:rsidR="004F3933" w:rsidRPr="001005B7">
        <w:tab/>
      </w:r>
      <w:r w:rsidR="009E0FD3" w:rsidRPr="001005B7">
        <w:tab/>
      </w:r>
      <w:r w:rsidR="00441F2C" w:rsidRPr="001005B7">
        <w:tab/>
      </w:r>
      <w:r w:rsidR="004F3933" w:rsidRPr="001005B7">
        <w:rPr>
          <w:vertAlign w:val="superscript"/>
        </w:rPr>
        <w:t>7</w:t>
      </w:r>
      <w:r w:rsidR="00683D59" w:rsidRPr="001005B7">
        <w:t>So</w:t>
      </w:r>
      <w:r w:rsidR="004F3933" w:rsidRPr="001005B7">
        <w:t xml:space="preserve"> </w:t>
      </w:r>
      <w:r w:rsidR="00627AFF" w:rsidRPr="001005B7">
        <w:t>you</w:t>
      </w:r>
      <w:r w:rsidR="004F3933" w:rsidRPr="001005B7">
        <w:t xml:space="preserve">, </w:t>
      </w:r>
      <w:r w:rsidR="00D3329B" w:rsidRPr="001005B7">
        <w:t>my man</w:t>
      </w:r>
      <w:r w:rsidR="004F3933" w:rsidRPr="001005B7">
        <w:t xml:space="preserve">, a lookout </w:t>
      </w:r>
    </w:p>
    <w:p w14:paraId="7774F716" w14:textId="360BA11A" w:rsidR="00B17516" w:rsidRPr="001005B7" w:rsidRDefault="00475C7B" w:rsidP="00B17516">
      <w:pPr>
        <w:ind w:firstLine="0"/>
      </w:pPr>
      <w:r w:rsidRPr="001005B7">
        <w:t>I am making you</w:t>
      </w:r>
      <w:r w:rsidR="009E0FD3" w:rsidRPr="001005B7">
        <w:t xml:space="preserve"> </w:t>
      </w:r>
      <w:r w:rsidR="00B17516" w:rsidRPr="001005B7">
        <w:t xml:space="preserve">for Israel’s household. </w:t>
      </w:r>
      <w:r w:rsidR="009E0FD3" w:rsidRPr="001005B7">
        <w:tab/>
      </w:r>
      <w:r w:rsidR="009E0FD3" w:rsidRPr="001005B7">
        <w:tab/>
        <w:t>I am making</w:t>
      </w:r>
      <w:r w:rsidR="00082938" w:rsidRPr="001005B7">
        <w:t xml:space="preserve"> you for Israel’s household</w:t>
      </w:r>
      <w:r w:rsidR="001F56CD" w:rsidRPr="001005B7">
        <w:t>.</w:t>
      </w:r>
    </w:p>
    <w:p w14:paraId="4A3C521E" w14:textId="1B08A565" w:rsidR="00B17516" w:rsidRPr="001005B7" w:rsidRDefault="00B17516" w:rsidP="00B17516">
      <w:pPr>
        <w:ind w:firstLine="0"/>
      </w:pPr>
      <w:r w:rsidRPr="001005B7">
        <w:t>You will hear a message</w:t>
      </w:r>
      <w:r w:rsidR="00DC4A76" w:rsidRPr="001005B7">
        <w:t xml:space="preserve"> from my mouth</w:t>
      </w:r>
      <w:r w:rsidRPr="001005B7">
        <w:t>,</w:t>
      </w:r>
      <w:r w:rsidR="001F56CD" w:rsidRPr="001005B7">
        <w:tab/>
        <w:t>You will hear a message</w:t>
      </w:r>
      <w:r w:rsidR="00DC4A76" w:rsidRPr="001005B7">
        <w:t xml:space="preserve"> from my mouth</w:t>
      </w:r>
      <w:r w:rsidR="001F56CD" w:rsidRPr="001005B7">
        <w:t>,</w:t>
      </w:r>
      <w:r w:rsidRPr="001005B7">
        <w:t xml:space="preserve"> </w:t>
      </w:r>
    </w:p>
    <w:p w14:paraId="3D388E04" w14:textId="77777777" w:rsidR="001F56CD" w:rsidRPr="001005B7" w:rsidRDefault="00B17516" w:rsidP="001F56CD">
      <w:pPr>
        <w:ind w:firstLine="0"/>
      </w:pPr>
      <w:r w:rsidRPr="001005B7">
        <w:t xml:space="preserve">and you will warn them from me. </w:t>
      </w:r>
      <w:r w:rsidR="001F56CD" w:rsidRPr="001005B7">
        <w:tab/>
      </w:r>
      <w:r w:rsidR="001F56CD" w:rsidRPr="001005B7">
        <w:tab/>
        <w:t xml:space="preserve">and you will warn them from me. </w:t>
      </w:r>
    </w:p>
    <w:p w14:paraId="2749F34E" w14:textId="576D3223" w:rsidR="00B17516" w:rsidRPr="001005B7" w:rsidRDefault="00B17516" w:rsidP="00B17516">
      <w:pPr>
        <w:ind w:firstLine="0"/>
      </w:pPr>
      <w:r w:rsidRPr="001005B7">
        <w:rPr>
          <w:vertAlign w:val="superscript"/>
        </w:rPr>
        <w:t>18</w:t>
      </w:r>
      <w:r w:rsidRPr="001005B7">
        <w:t xml:space="preserve">When I say regarding </w:t>
      </w:r>
      <w:r w:rsidR="00515CEA" w:rsidRPr="001005B7">
        <w:t xml:space="preserve">someone </w:t>
      </w:r>
      <w:r w:rsidRPr="001005B7">
        <w:t xml:space="preserve">faithless, </w:t>
      </w:r>
      <w:r w:rsidR="00442ACD" w:rsidRPr="001005B7">
        <w:tab/>
      </w:r>
      <w:r w:rsidR="00442ACD" w:rsidRPr="001005B7">
        <w:rPr>
          <w:vertAlign w:val="superscript"/>
        </w:rPr>
        <w:t>8</w:t>
      </w:r>
      <w:r w:rsidR="00442ACD" w:rsidRPr="001005B7">
        <w:t xml:space="preserve">When I say regarding </w:t>
      </w:r>
      <w:r w:rsidR="00515CEA" w:rsidRPr="001005B7">
        <w:t>someone</w:t>
      </w:r>
      <w:r w:rsidR="00442ACD" w:rsidRPr="001005B7">
        <w:t xml:space="preserve"> faithless, </w:t>
      </w:r>
    </w:p>
    <w:p w14:paraId="537259BB" w14:textId="0C29E25E" w:rsidR="00B17516" w:rsidRPr="001005B7" w:rsidRDefault="00DE7DA7" w:rsidP="00B17516">
      <w:pPr>
        <w:ind w:firstLine="0"/>
      </w:pPr>
      <w:r w:rsidRPr="001005B7">
        <w:t>“</w:t>
      </w:r>
      <w:r w:rsidR="00B17516" w:rsidRPr="001005B7">
        <w:t>You will definitely die,</w:t>
      </w:r>
      <w:r w:rsidRPr="001005B7">
        <w:t>”</w:t>
      </w:r>
      <w:r w:rsidR="00B17516" w:rsidRPr="001005B7">
        <w:t xml:space="preserve"> </w:t>
      </w:r>
      <w:r w:rsidR="00450B27" w:rsidRPr="001005B7">
        <w:tab/>
      </w:r>
      <w:r w:rsidR="00450B27" w:rsidRPr="001005B7">
        <w:tab/>
      </w:r>
      <w:r w:rsidR="00450B27" w:rsidRPr="001005B7">
        <w:tab/>
      </w:r>
      <w:r w:rsidR="002915A6" w:rsidRPr="001005B7">
        <w:t>“</w:t>
      </w:r>
      <w:r w:rsidR="00363598" w:rsidRPr="001005B7">
        <w:t>F</w:t>
      </w:r>
      <w:r w:rsidR="003C2DBC" w:rsidRPr="001005B7">
        <w:t xml:space="preserve">aithless </w:t>
      </w:r>
      <w:r w:rsidR="002E19E0" w:rsidRPr="001005B7">
        <w:t>one</w:t>
      </w:r>
      <w:r w:rsidR="003C2DBC" w:rsidRPr="001005B7">
        <w:t xml:space="preserve">, </w:t>
      </w:r>
      <w:r w:rsidR="00363598" w:rsidRPr="001005B7">
        <w:t>y</w:t>
      </w:r>
      <w:r w:rsidR="00450B27" w:rsidRPr="001005B7">
        <w:t>ou will definitely die,</w:t>
      </w:r>
      <w:r w:rsidR="002915A6" w:rsidRPr="001005B7">
        <w:t>”</w:t>
      </w:r>
      <w:r w:rsidR="00450B27" w:rsidRPr="001005B7">
        <w:t xml:space="preserve"> </w:t>
      </w:r>
    </w:p>
    <w:p w14:paraId="60A8EC77" w14:textId="7FB5305E" w:rsidR="00B17516" w:rsidRPr="001005B7" w:rsidRDefault="00B17516" w:rsidP="00B17516">
      <w:pPr>
        <w:ind w:firstLine="0"/>
      </w:pPr>
      <w:r w:rsidRPr="001005B7">
        <w:t xml:space="preserve">but you have not warned </w:t>
      </w:r>
      <w:r w:rsidR="00BD71D4" w:rsidRPr="001005B7">
        <w:t>hi</w:t>
      </w:r>
      <w:r w:rsidRPr="001005B7">
        <w:t>m</w:t>
      </w:r>
      <w:r w:rsidR="0004275E" w:rsidRPr="001005B7">
        <w:t>,</w:t>
      </w:r>
      <w:r w:rsidR="00F843EE" w:rsidRPr="001005B7">
        <w:tab/>
      </w:r>
      <w:r w:rsidR="00F843EE" w:rsidRPr="001005B7">
        <w:tab/>
      </w:r>
      <w:r w:rsidR="00F843EE" w:rsidRPr="001005B7">
        <w:tab/>
        <w:t>but you have not spoken</w:t>
      </w:r>
      <w:r w:rsidRPr="001005B7">
        <w:t xml:space="preserve"> </w:t>
      </w:r>
    </w:p>
    <w:p w14:paraId="321DA270" w14:textId="700DFA28" w:rsidR="00B17516" w:rsidRPr="001005B7" w:rsidRDefault="0004275E" w:rsidP="00B17516">
      <w:pPr>
        <w:ind w:firstLine="0"/>
      </w:pPr>
      <w:r w:rsidRPr="001005B7">
        <w:t>thus</w:t>
      </w:r>
      <w:r w:rsidR="00B17516" w:rsidRPr="001005B7">
        <w:t xml:space="preserve"> not spoken to warn </w:t>
      </w:r>
      <w:r w:rsidR="002E19E0" w:rsidRPr="001005B7">
        <w:t>someone</w:t>
      </w:r>
      <w:r w:rsidR="00B17516" w:rsidRPr="001005B7">
        <w:t xml:space="preserve"> faithless </w:t>
      </w:r>
      <w:r w:rsidR="0036343A" w:rsidRPr="001005B7">
        <w:tab/>
        <w:t xml:space="preserve">to warn </w:t>
      </w:r>
      <w:r w:rsidR="002E19E0" w:rsidRPr="001005B7">
        <w:t xml:space="preserve">someone </w:t>
      </w:r>
      <w:r w:rsidR="0036343A" w:rsidRPr="001005B7">
        <w:t>faithless</w:t>
      </w:r>
    </w:p>
    <w:p w14:paraId="3E86FE6A" w14:textId="1903BAF8" w:rsidR="0060265B" w:rsidRPr="001005B7" w:rsidRDefault="00FA1777" w:rsidP="00B17516">
      <w:pPr>
        <w:ind w:firstLine="0"/>
      </w:pPr>
      <w:r w:rsidRPr="001005B7">
        <w:t>from</w:t>
      </w:r>
      <w:r w:rsidR="00B17516" w:rsidRPr="001005B7">
        <w:t xml:space="preserve"> </w:t>
      </w:r>
      <w:r w:rsidR="0004275E" w:rsidRPr="001005B7">
        <w:t>his</w:t>
      </w:r>
      <w:r w:rsidR="00B17516" w:rsidRPr="001005B7">
        <w:t xml:space="preserve"> faithless </w:t>
      </w:r>
      <w:r w:rsidR="001472B9" w:rsidRPr="001005B7">
        <w:t>path</w:t>
      </w:r>
      <w:r w:rsidR="00B17516" w:rsidRPr="001005B7">
        <w:t xml:space="preserve"> </w:t>
      </w:r>
      <w:r w:rsidR="0060265B" w:rsidRPr="001005B7">
        <w:tab/>
      </w:r>
      <w:r w:rsidR="0060265B" w:rsidRPr="001005B7">
        <w:tab/>
      </w:r>
      <w:r w:rsidR="0060265B" w:rsidRPr="001005B7">
        <w:tab/>
      </w:r>
      <w:r w:rsidR="0004275E" w:rsidRPr="001005B7">
        <w:tab/>
      </w:r>
      <w:r w:rsidRPr="001005B7">
        <w:t>from</w:t>
      </w:r>
      <w:r w:rsidR="0060265B" w:rsidRPr="001005B7">
        <w:t xml:space="preserve"> </w:t>
      </w:r>
      <w:r w:rsidR="0004275E" w:rsidRPr="001005B7">
        <w:t>his</w:t>
      </w:r>
      <w:r w:rsidR="0060265B" w:rsidRPr="001005B7">
        <w:t xml:space="preserve"> </w:t>
      </w:r>
      <w:r w:rsidR="001472B9" w:rsidRPr="001005B7">
        <w:t>path</w:t>
      </w:r>
      <w:r w:rsidR="00B17516" w:rsidRPr="001005B7">
        <w:t xml:space="preserve"> </w:t>
      </w:r>
    </w:p>
    <w:p w14:paraId="5F6C220F" w14:textId="1EC16E1D" w:rsidR="001156CF" w:rsidRPr="001005B7" w:rsidRDefault="00B17516" w:rsidP="00B17516">
      <w:pPr>
        <w:ind w:firstLine="0"/>
      </w:pPr>
      <w:r w:rsidRPr="001005B7">
        <w:t xml:space="preserve">so as to keep </w:t>
      </w:r>
      <w:r w:rsidR="00D85FED" w:rsidRPr="001005B7">
        <w:t>hi</w:t>
      </w:r>
      <w:r w:rsidRPr="001005B7">
        <w:t xml:space="preserve">m alive, </w:t>
      </w:r>
    </w:p>
    <w:p w14:paraId="6C90016C" w14:textId="470843B6" w:rsidR="0068038A" w:rsidRPr="001005B7" w:rsidRDefault="00B17516" w:rsidP="0068038A">
      <w:pPr>
        <w:ind w:firstLine="0"/>
      </w:pPr>
      <w:r w:rsidRPr="001005B7">
        <w:t xml:space="preserve">that </w:t>
      </w:r>
      <w:r w:rsidR="00E27F6D" w:rsidRPr="001005B7">
        <w:t>individual</w:t>
      </w:r>
      <w:r w:rsidRPr="001005B7">
        <w:t xml:space="preserve">, </w:t>
      </w:r>
      <w:r w:rsidR="00D85FED" w:rsidRPr="001005B7">
        <w:t>someone</w:t>
      </w:r>
      <w:r w:rsidRPr="001005B7">
        <w:t xml:space="preserve"> faithless, </w:t>
      </w:r>
      <w:r w:rsidR="0068038A" w:rsidRPr="001005B7">
        <w:tab/>
      </w:r>
      <w:r w:rsidR="0068038A" w:rsidRPr="001005B7">
        <w:tab/>
        <w:t xml:space="preserve">that </w:t>
      </w:r>
      <w:r w:rsidR="00E27F6D" w:rsidRPr="001005B7">
        <w:t>individual</w:t>
      </w:r>
      <w:r w:rsidR="0068038A" w:rsidRPr="001005B7">
        <w:t xml:space="preserve">, </w:t>
      </w:r>
      <w:r w:rsidR="00D85FED" w:rsidRPr="001005B7">
        <w:t>someone</w:t>
      </w:r>
      <w:r w:rsidR="0068038A" w:rsidRPr="001005B7">
        <w:t xml:space="preserve"> faithless, </w:t>
      </w:r>
    </w:p>
    <w:p w14:paraId="495499CF" w14:textId="6D556919" w:rsidR="0068038A" w:rsidRPr="001005B7" w:rsidRDefault="00081EE1" w:rsidP="0068038A">
      <w:pPr>
        <w:ind w:firstLine="0"/>
      </w:pPr>
      <w:r w:rsidRPr="001005B7">
        <w:t xml:space="preserve">through </w:t>
      </w:r>
      <w:r w:rsidR="008D7793" w:rsidRPr="001005B7">
        <w:t>his</w:t>
      </w:r>
      <w:r w:rsidRPr="001005B7">
        <w:t xml:space="preserve"> waywardness </w:t>
      </w:r>
      <w:r w:rsidR="00B17516" w:rsidRPr="001005B7">
        <w:t xml:space="preserve">will die, </w:t>
      </w:r>
      <w:r w:rsidR="0068038A" w:rsidRPr="001005B7">
        <w:tab/>
      </w:r>
      <w:r w:rsidR="0068038A" w:rsidRPr="001005B7">
        <w:tab/>
        <w:t xml:space="preserve">through </w:t>
      </w:r>
      <w:r w:rsidR="008D7793" w:rsidRPr="001005B7">
        <w:t xml:space="preserve">his </w:t>
      </w:r>
      <w:r w:rsidR="0068038A" w:rsidRPr="001005B7">
        <w:t xml:space="preserve">waywardness will die, </w:t>
      </w:r>
    </w:p>
    <w:p w14:paraId="414E5CE5" w14:textId="411ECCB3" w:rsidR="00423567" w:rsidRPr="001005B7" w:rsidRDefault="00B17516" w:rsidP="00B17516">
      <w:pPr>
        <w:ind w:firstLine="0"/>
      </w:pPr>
      <w:r w:rsidRPr="001005B7">
        <w:t>but t</w:t>
      </w:r>
      <w:r w:rsidR="008D7793" w:rsidRPr="001005B7">
        <w:t>his</w:t>
      </w:r>
      <w:r w:rsidRPr="001005B7">
        <w:t xml:space="preserve"> blood I will require</w:t>
      </w:r>
      <w:r w:rsidR="0044526F" w:rsidRPr="001005B7">
        <w:t xml:space="preserve"> </w:t>
      </w:r>
      <w:r w:rsidR="00541345" w:rsidRPr="001005B7">
        <w:t>from your hand</w:t>
      </w:r>
      <w:r w:rsidRPr="001005B7">
        <w:t>.</w:t>
      </w:r>
      <w:r w:rsidR="00C76F8D" w:rsidRPr="001005B7">
        <w:tab/>
        <w:t xml:space="preserve">but </w:t>
      </w:r>
      <w:r w:rsidR="008D7793" w:rsidRPr="001005B7">
        <w:t>his</w:t>
      </w:r>
      <w:r w:rsidR="00C76F8D" w:rsidRPr="001005B7">
        <w:t xml:space="preserve"> blood I will require</w:t>
      </w:r>
      <w:r w:rsidR="00541345" w:rsidRPr="001005B7">
        <w:t xml:space="preserve"> from your hand</w:t>
      </w:r>
      <w:r w:rsidR="00423567" w:rsidRPr="001005B7">
        <w:t>.</w:t>
      </w:r>
    </w:p>
    <w:p w14:paraId="3FCB622A" w14:textId="7CF991D4" w:rsidR="00423567" w:rsidRPr="001005B7" w:rsidRDefault="00B17516" w:rsidP="00B17516">
      <w:pPr>
        <w:ind w:firstLine="0"/>
      </w:pPr>
      <w:r w:rsidRPr="001005B7">
        <w:rPr>
          <w:vertAlign w:val="superscript"/>
        </w:rPr>
        <w:t>19</w:t>
      </w:r>
      <w:r w:rsidRPr="001005B7">
        <w:t xml:space="preserve">But you, when you have warned </w:t>
      </w:r>
      <w:r w:rsidR="00A4072A" w:rsidRPr="001005B7">
        <w:tab/>
      </w:r>
      <w:r w:rsidR="0044526F" w:rsidRPr="001005B7">
        <w:t xml:space="preserve"> </w:t>
      </w:r>
      <w:r w:rsidR="00A4072A" w:rsidRPr="001005B7">
        <w:tab/>
      </w:r>
      <w:r w:rsidR="00A4072A" w:rsidRPr="001005B7">
        <w:rPr>
          <w:vertAlign w:val="superscript"/>
        </w:rPr>
        <w:t>9</w:t>
      </w:r>
      <w:r w:rsidR="006E2FF9" w:rsidRPr="001005B7">
        <w:t>But you, when you have warned</w:t>
      </w:r>
    </w:p>
    <w:p w14:paraId="378DC775" w14:textId="068B5D10" w:rsidR="00423567" w:rsidRPr="001005B7" w:rsidRDefault="0002121E" w:rsidP="00B17516">
      <w:pPr>
        <w:ind w:firstLine="0"/>
      </w:pPr>
      <w:r w:rsidRPr="001005B7">
        <w:t xml:space="preserve">someone </w:t>
      </w:r>
      <w:r w:rsidR="00B17516" w:rsidRPr="001005B7">
        <w:t xml:space="preserve">faithless and </w:t>
      </w:r>
      <w:r w:rsidR="00FC0724" w:rsidRPr="001005B7">
        <w:t>he</w:t>
      </w:r>
      <w:r w:rsidR="00B17516" w:rsidRPr="001005B7">
        <w:t xml:space="preserve"> ha</w:t>
      </w:r>
      <w:r w:rsidR="00FC0724" w:rsidRPr="001005B7">
        <w:t>s</w:t>
      </w:r>
      <w:r w:rsidR="00B17516" w:rsidRPr="001005B7">
        <w:t xml:space="preserve">n’t turned </w:t>
      </w:r>
      <w:r w:rsidR="00FC0724" w:rsidRPr="001005B7">
        <w:tab/>
      </w:r>
      <w:r w:rsidR="004A4E9E" w:rsidRPr="001005B7">
        <w:tab/>
      </w:r>
      <w:r w:rsidRPr="001005B7">
        <w:t>someone</w:t>
      </w:r>
      <w:r w:rsidR="004A4E9E" w:rsidRPr="001005B7">
        <w:t xml:space="preserve"> faithless </w:t>
      </w:r>
      <w:r w:rsidR="00281849" w:rsidRPr="001005B7">
        <w:t>from</w:t>
      </w:r>
      <w:r w:rsidR="00BE1AE9" w:rsidRPr="001005B7">
        <w:t xml:space="preserve"> </w:t>
      </w:r>
      <w:r w:rsidR="00FC0724" w:rsidRPr="001005B7">
        <w:t>his</w:t>
      </w:r>
      <w:r w:rsidR="00BE1AE9" w:rsidRPr="001005B7">
        <w:t xml:space="preserve"> </w:t>
      </w:r>
      <w:r w:rsidR="00BF64F6" w:rsidRPr="001005B7">
        <w:t>path</w:t>
      </w:r>
      <w:r w:rsidR="00F7500A" w:rsidRPr="001005B7">
        <w:t>,</w:t>
      </w:r>
      <w:r w:rsidR="008B4732" w:rsidRPr="001005B7">
        <w:t xml:space="preserve"> to turn from it</w:t>
      </w:r>
      <w:r w:rsidR="00F7500A" w:rsidRPr="001005B7">
        <w:t>,</w:t>
      </w:r>
    </w:p>
    <w:p w14:paraId="54B357F5" w14:textId="5BAC4943" w:rsidR="00423567" w:rsidRPr="001005B7" w:rsidRDefault="00B17516" w:rsidP="00B17516">
      <w:pPr>
        <w:ind w:firstLine="0"/>
      </w:pPr>
      <w:r w:rsidRPr="001005B7">
        <w:t xml:space="preserve">from </w:t>
      </w:r>
      <w:r w:rsidR="0079393D" w:rsidRPr="001005B7">
        <w:t>his</w:t>
      </w:r>
      <w:r w:rsidRPr="001005B7">
        <w:t xml:space="preserve"> faithlessness </w:t>
      </w:r>
      <w:r w:rsidR="00911403" w:rsidRPr="001005B7">
        <w:tab/>
      </w:r>
      <w:r w:rsidR="00911403" w:rsidRPr="001005B7">
        <w:tab/>
      </w:r>
      <w:r w:rsidR="00911403" w:rsidRPr="001005B7">
        <w:tab/>
      </w:r>
      <w:r w:rsidR="00911403" w:rsidRPr="001005B7">
        <w:tab/>
        <w:t xml:space="preserve">and </w:t>
      </w:r>
      <w:r w:rsidR="00D7682D" w:rsidRPr="001005B7">
        <w:t>he</w:t>
      </w:r>
      <w:r w:rsidR="00911403" w:rsidRPr="001005B7">
        <w:t xml:space="preserve"> ha</w:t>
      </w:r>
      <w:r w:rsidR="00D7682D" w:rsidRPr="001005B7">
        <w:t>s</w:t>
      </w:r>
      <w:r w:rsidR="00911403" w:rsidRPr="001005B7">
        <w:t xml:space="preserve">n’t turned from </w:t>
      </w:r>
      <w:r w:rsidR="00D7682D" w:rsidRPr="001005B7">
        <w:t>his</w:t>
      </w:r>
      <w:r w:rsidR="0092652E" w:rsidRPr="001005B7">
        <w:t xml:space="preserve"> </w:t>
      </w:r>
      <w:r w:rsidR="00BF64F6" w:rsidRPr="001005B7">
        <w:t>path</w:t>
      </w:r>
      <w:r w:rsidR="003B1886" w:rsidRPr="001005B7">
        <w:t>,</w:t>
      </w:r>
    </w:p>
    <w:p w14:paraId="3836168A" w14:textId="4308D26F" w:rsidR="001156CF" w:rsidRPr="001005B7" w:rsidRDefault="00B17516" w:rsidP="00B17516">
      <w:pPr>
        <w:ind w:firstLine="0"/>
      </w:pPr>
      <w:r w:rsidRPr="001005B7">
        <w:t xml:space="preserve">or from </w:t>
      </w:r>
      <w:r w:rsidR="0079393D" w:rsidRPr="001005B7">
        <w:t>his</w:t>
      </w:r>
      <w:r w:rsidRPr="001005B7">
        <w:t xml:space="preserve"> faithless </w:t>
      </w:r>
      <w:r w:rsidR="00BF64F6" w:rsidRPr="001005B7">
        <w:t>path</w:t>
      </w:r>
      <w:r w:rsidRPr="001005B7">
        <w:t xml:space="preserve">, </w:t>
      </w:r>
      <w:r w:rsidR="003B1886" w:rsidRPr="001005B7">
        <w:t xml:space="preserve">that </w:t>
      </w:r>
      <w:r w:rsidR="00423037" w:rsidRPr="001005B7">
        <w:t>individual</w:t>
      </w:r>
      <w:r w:rsidR="003B1886" w:rsidRPr="001005B7">
        <w:t>,</w:t>
      </w:r>
      <w:r w:rsidR="009329F7" w:rsidRPr="001005B7">
        <w:tab/>
        <w:t xml:space="preserve">that </w:t>
      </w:r>
      <w:r w:rsidR="00423037" w:rsidRPr="001005B7">
        <w:t>individual</w:t>
      </w:r>
    </w:p>
    <w:p w14:paraId="69030B71" w14:textId="2AB13F74" w:rsidR="001156CF" w:rsidRPr="001005B7" w:rsidRDefault="00B17516" w:rsidP="00B17516">
      <w:pPr>
        <w:ind w:firstLine="0"/>
      </w:pPr>
      <w:r w:rsidRPr="001005B7">
        <w:t xml:space="preserve">through </w:t>
      </w:r>
      <w:r w:rsidR="00632DD8" w:rsidRPr="001005B7">
        <w:t>his</w:t>
      </w:r>
      <w:r w:rsidRPr="001005B7">
        <w:t xml:space="preserve"> waywardness will die, </w:t>
      </w:r>
      <w:r w:rsidR="009329F7" w:rsidRPr="001005B7">
        <w:tab/>
      </w:r>
      <w:r w:rsidR="00632DD8" w:rsidRPr="001005B7">
        <w:tab/>
      </w:r>
      <w:r w:rsidR="009329F7" w:rsidRPr="001005B7">
        <w:t xml:space="preserve">through </w:t>
      </w:r>
      <w:r w:rsidR="008664B2" w:rsidRPr="001005B7">
        <w:t>his</w:t>
      </w:r>
      <w:r w:rsidR="009329F7" w:rsidRPr="001005B7">
        <w:t xml:space="preserve"> waywardness</w:t>
      </w:r>
      <w:r w:rsidR="00A376B6" w:rsidRPr="001005B7">
        <w:t xml:space="preserve"> will die,</w:t>
      </w:r>
    </w:p>
    <w:p w14:paraId="7305CF01" w14:textId="4A237B09" w:rsidR="00B17516" w:rsidRPr="001005B7" w:rsidRDefault="00B17516" w:rsidP="00B17516">
      <w:pPr>
        <w:ind w:firstLine="0"/>
      </w:pPr>
      <w:r w:rsidRPr="001005B7">
        <w:t xml:space="preserve">but you, </w:t>
      </w:r>
      <w:r w:rsidR="00A25D2D" w:rsidRPr="001005B7">
        <w:t>you</w:t>
      </w:r>
      <w:r w:rsidRPr="001005B7">
        <w:t xml:space="preserve"> will have saved</w:t>
      </w:r>
      <w:r w:rsidR="00423037" w:rsidRPr="001005B7">
        <w:t xml:space="preserve"> yourself</w:t>
      </w:r>
      <w:r w:rsidRPr="001005B7">
        <w:t>.</w:t>
      </w:r>
      <w:r w:rsidR="00A376B6" w:rsidRPr="001005B7">
        <w:tab/>
      </w:r>
      <w:r w:rsidR="0041014E" w:rsidRPr="001005B7">
        <w:tab/>
      </w:r>
      <w:r w:rsidR="00A376B6" w:rsidRPr="001005B7">
        <w:t>but you,</w:t>
      </w:r>
      <w:r w:rsidR="00A25D2D" w:rsidRPr="001005B7">
        <w:t xml:space="preserve"> you</w:t>
      </w:r>
      <w:r w:rsidR="00A376B6" w:rsidRPr="001005B7">
        <w:t xml:space="preserve"> will have saved</w:t>
      </w:r>
      <w:r w:rsidR="0041014E" w:rsidRPr="001005B7">
        <w:t xml:space="preserve"> yourself</w:t>
      </w:r>
      <w:r w:rsidR="00F86233" w:rsidRPr="001005B7">
        <w:t>.</w:t>
      </w:r>
    </w:p>
    <w:p w14:paraId="7AC36AD7" w14:textId="35E6C147" w:rsidR="008E1D28" w:rsidRPr="001005B7" w:rsidRDefault="008E1D28" w:rsidP="00B17516">
      <w:pPr>
        <w:ind w:firstLine="0"/>
      </w:pPr>
    </w:p>
    <w:p w14:paraId="5CD7D63D" w14:textId="397FE542" w:rsidR="00457E19" w:rsidRPr="001005B7" w:rsidRDefault="00A5041B" w:rsidP="00457E19">
      <w:r w:rsidRPr="001005B7">
        <w:t>In addition, m</w:t>
      </w:r>
      <w:r w:rsidR="00925EC5" w:rsidRPr="001005B7">
        <w:t>ore e</w:t>
      </w:r>
      <w:r w:rsidR="00995B69" w:rsidRPr="001005B7">
        <w:t>xtended</w:t>
      </w:r>
      <w:r w:rsidR="00925EC5" w:rsidRPr="001005B7">
        <w:t xml:space="preserve"> versions of the statements in </w:t>
      </w:r>
      <w:r w:rsidR="0042084A" w:rsidRPr="001005B7">
        <w:t>3:</w:t>
      </w:r>
      <w:r w:rsidR="00925EC5" w:rsidRPr="001005B7">
        <w:t>20</w:t>
      </w:r>
      <w:r w:rsidR="00F46900" w:rsidRPr="001005B7">
        <w:t>–</w:t>
      </w:r>
      <w:r w:rsidR="00925EC5" w:rsidRPr="001005B7">
        <w:t>21 appear in 18:1</w:t>
      </w:r>
      <w:r w:rsidR="00F46900" w:rsidRPr="001005B7">
        <w:t>–</w:t>
      </w:r>
      <w:r w:rsidR="00925EC5" w:rsidRPr="001005B7">
        <w:t>32; 33:10</w:t>
      </w:r>
      <w:r w:rsidR="00F46900" w:rsidRPr="001005B7">
        <w:t>–</w:t>
      </w:r>
      <w:r w:rsidR="00925EC5" w:rsidRPr="001005B7">
        <w:t>20</w:t>
      </w:r>
      <w:r w:rsidRPr="001005B7">
        <w:t xml:space="preserve"> (see especially </w:t>
      </w:r>
      <w:r w:rsidR="003E643C" w:rsidRPr="001005B7">
        <w:t xml:space="preserve">18:24, 26, 33:13, 18). </w:t>
      </w:r>
      <w:r w:rsidR="00AF752A" w:rsidRPr="001005B7">
        <w:t>Perhaps</w:t>
      </w:r>
      <w:r w:rsidR="007A22BD" w:rsidRPr="001005B7">
        <w:t xml:space="preserve"> this </w:t>
      </w:r>
      <w:r w:rsidR="00F13B4A" w:rsidRPr="001005B7">
        <w:t xml:space="preserve">single </w:t>
      </w:r>
      <w:r w:rsidR="00C507C8" w:rsidRPr="001005B7">
        <w:t xml:space="preserve">statement in </w:t>
      </w:r>
      <w:r w:rsidR="0042084A" w:rsidRPr="001005B7">
        <w:t>3:</w:t>
      </w:r>
      <w:r w:rsidR="00C507C8" w:rsidRPr="001005B7">
        <w:t>16b</w:t>
      </w:r>
      <w:r w:rsidR="00F46900" w:rsidRPr="001005B7">
        <w:t>–</w:t>
      </w:r>
      <w:r w:rsidR="00F13B4A" w:rsidRPr="001005B7">
        <w:t xml:space="preserve">21 </w:t>
      </w:r>
      <w:r w:rsidR="00564AFA" w:rsidRPr="001005B7">
        <w:t>wa</w:t>
      </w:r>
      <w:r w:rsidR="00F13B4A" w:rsidRPr="001005B7">
        <w:t>s “inspired by” the several subsequent passages</w:t>
      </w:r>
      <w:r w:rsidR="000D0129" w:rsidRPr="001005B7">
        <w:t xml:space="preserve"> (Allen</w:t>
      </w:r>
      <w:r w:rsidR="00656A1E" w:rsidRPr="001005B7">
        <w:t>,</w:t>
      </w:r>
      <w:r w:rsidR="000D0129" w:rsidRPr="001005B7">
        <w:t xml:space="preserve"> 1:59)</w:t>
      </w:r>
      <w:r w:rsidR="005B4165" w:rsidRPr="001005B7">
        <w:t>. Or</w:t>
      </w:r>
      <w:r w:rsidR="00AF752A" w:rsidRPr="001005B7">
        <w:t xml:space="preserve"> perhaps</w:t>
      </w:r>
      <w:r w:rsidR="00ED6EA2" w:rsidRPr="001005B7">
        <w:t xml:space="preserve"> they represent </w:t>
      </w:r>
      <w:r w:rsidR="0064785E" w:rsidRPr="001005B7">
        <w:t>independent elaborations</w:t>
      </w:r>
      <w:r w:rsidR="00C354F4" w:rsidRPr="001005B7">
        <w:t xml:space="preserve"> of </w:t>
      </w:r>
      <w:r w:rsidR="00B11288" w:rsidRPr="001005B7">
        <w:t>3:16</w:t>
      </w:r>
      <w:r w:rsidR="007C2AC6" w:rsidRPr="001005B7">
        <w:t>–</w:t>
      </w:r>
      <w:r w:rsidR="00B11288" w:rsidRPr="001005B7">
        <w:t>21</w:t>
      </w:r>
      <w:r w:rsidR="00144EDB" w:rsidRPr="001005B7">
        <w:t xml:space="preserve"> (</w:t>
      </w:r>
      <w:r w:rsidR="00C90C3F" w:rsidRPr="001005B7">
        <w:t xml:space="preserve">cf. </w:t>
      </w:r>
      <w:r w:rsidR="00144EDB" w:rsidRPr="001005B7">
        <w:t>B</w:t>
      </w:r>
      <w:r w:rsidR="00C90C3F" w:rsidRPr="001005B7">
        <w:t>lock</w:t>
      </w:r>
      <w:r w:rsidR="00656A1E" w:rsidRPr="001005B7">
        <w:t>,</w:t>
      </w:r>
      <w:r w:rsidR="00C90C3F" w:rsidRPr="001005B7">
        <w:t xml:space="preserve"> 1:141)</w:t>
      </w:r>
      <w:r w:rsidR="00B11288" w:rsidRPr="001005B7">
        <w:t>. Further,</w:t>
      </w:r>
      <w:r w:rsidR="00DD176C" w:rsidRPr="001005B7">
        <w:t xml:space="preserve"> </w:t>
      </w:r>
      <w:r w:rsidR="0029335C" w:rsidRPr="001005B7">
        <w:t xml:space="preserve">the two clauses in </w:t>
      </w:r>
      <w:r w:rsidR="00AC027B" w:rsidRPr="001005B7">
        <w:t>3:</w:t>
      </w:r>
      <w:r w:rsidR="002F54E8" w:rsidRPr="001005B7">
        <w:t>16</w:t>
      </w:r>
      <w:r w:rsidR="009212F1" w:rsidRPr="001005B7">
        <w:t>a and 16b</w:t>
      </w:r>
      <w:r w:rsidR="002F54E8" w:rsidRPr="001005B7">
        <w:t xml:space="preserve"> </w:t>
      </w:r>
      <w:r w:rsidR="00341A36" w:rsidRPr="001005B7">
        <w:t>form a</w:t>
      </w:r>
      <w:r w:rsidR="00E272CC" w:rsidRPr="001005B7">
        <w:t>n un</w:t>
      </w:r>
      <w:r w:rsidR="00AD004A" w:rsidRPr="001005B7">
        <w:t>usual</w:t>
      </w:r>
      <w:r w:rsidR="00341A36" w:rsidRPr="001005B7">
        <w:t xml:space="preserve"> com</w:t>
      </w:r>
      <w:r w:rsidR="00C81BA1" w:rsidRPr="001005B7">
        <w:t>bi</w:t>
      </w:r>
      <w:r w:rsidR="00341A36" w:rsidRPr="001005B7">
        <w:t>nation</w:t>
      </w:r>
      <w:r w:rsidR="00AD004A" w:rsidRPr="001005B7">
        <w:t xml:space="preserve">. On one hand, </w:t>
      </w:r>
      <w:r w:rsidR="006A256C" w:rsidRPr="001005B7">
        <w:rPr>
          <w:vertAlign w:val="superscript"/>
        </w:rPr>
        <w:t>“</w:t>
      </w:r>
      <w:r w:rsidR="006A256C" w:rsidRPr="001005B7">
        <w:t>Yahweh’s message came to me”</w:t>
      </w:r>
      <w:r w:rsidR="008657D0" w:rsidRPr="001005B7">
        <w:t xml:space="preserve"> </w:t>
      </w:r>
      <w:r w:rsidR="00CB45D1" w:rsidRPr="001005B7">
        <w:t>(</w:t>
      </w:r>
      <w:r w:rsidR="008657D0" w:rsidRPr="001005B7">
        <w:t>3:16b</w:t>
      </w:r>
      <w:r w:rsidR="00CB45D1" w:rsidRPr="001005B7">
        <w:t>)</w:t>
      </w:r>
      <w:r w:rsidR="008657D0" w:rsidRPr="001005B7">
        <w:t xml:space="preserve"> </w:t>
      </w:r>
      <w:r w:rsidR="006A256C" w:rsidRPr="001005B7">
        <w:t>doesn’t usually have a preamble</w:t>
      </w:r>
      <w:r w:rsidR="008657D0" w:rsidRPr="001005B7">
        <w:t>,</w:t>
      </w:r>
      <w:r w:rsidR="00DF07CC" w:rsidRPr="001005B7">
        <w:t xml:space="preserve"> and </w:t>
      </w:r>
      <w:r w:rsidR="007F15CA" w:rsidRPr="001005B7">
        <w:t xml:space="preserve">on the other, </w:t>
      </w:r>
      <w:r w:rsidR="00AC027B" w:rsidRPr="001005B7">
        <w:t>3:</w:t>
      </w:r>
      <w:r w:rsidR="00157027" w:rsidRPr="001005B7">
        <w:t xml:space="preserve">16a </w:t>
      </w:r>
      <w:r w:rsidR="00124EB3" w:rsidRPr="001005B7">
        <w:t xml:space="preserve">would lead nicely and smoothly </w:t>
      </w:r>
      <w:r w:rsidR="00157027" w:rsidRPr="001005B7">
        <w:t xml:space="preserve">into </w:t>
      </w:r>
      <w:r w:rsidR="0042084A" w:rsidRPr="001005B7">
        <w:t>3:</w:t>
      </w:r>
      <w:r w:rsidR="00157027" w:rsidRPr="001005B7">
        <w:t>2</w:t>
      </w:r>
      <w:r w:rsidR="00AA2657" w:rsidRPr="001005B7">
        <w:t>2</w:t>
      </w:r>
      <w:r w:rsidR="00F46900" w:rsidRPr="001005B7">
        <w:t>–</w:t>
      </w:r>
      <w:r w:rsidR="00157027" w:rsidRPr="001005B7">
        <w:t>2</w:t>
      </w:r>
      <w:r w:rsidR="00572AD6" w:rsidRPr="001005B7">
        <w:t>7</w:t>
      </w:r>
      <w:r w:rsidR="00124EB3" w:rsidRPr="001005B7">
        <w:t xml:space="preserve"> if </w:t>
      </w:r>
      <w:r w:rsidR="0042084A" w:rsidRPr="001005B7">
        <w:t>3:</w:t>
      </w:r>
      <w:r w:rsidR="00124EB3" w:rsidRPr="001005B7">
        <w:t>16</w:t>
      </w:r>
      <w:r w:rsidR="00B123B8" w:rsidRPr="001005B7">
        <w:t>b</w:t>
      </w:r>
      <w:r w:rsidR="00F46900" w:rsidRPr="001005B7">
        <w:t>–</w:t>
      </w:r>
      <w:r w:rsidR="00AD04C4" w:rsidRPr="001005B7">
        <w:t>21</w:t>
      </w:r>
      <w:r w:rsidR="00124EB3" w:rsidRPr="001005B7">
        <w:t xml:space="preserve"> weren</w:t>
      </w:r>
      <w:r w:rsidR="00E87B43" w:rsidRPr="001005B7">
        <w:t>’</w:t>
      </w:r>
      <w:r w:rsidR="00124EB3" w:rsidRPr="001005B7">
        <w:t>t there.</w:t>
      </w:r>
      <w:r w:rsidR="00157027" w:rsidRPr="001005B7">
        <w:t xml:space="preserve"> </w:t>
      </w:r>
      <w:r w:rsidR="00124EB3" w:rsidRPr="001005B7">
        <w:t xml:space="preserve">So </w:t>
      </w:r>
      <w:r w:rsidR="00157027" w:rsidRPr="001005B7">
        <w:t xml:space="preserve">maybe </w:t>
      </w:r>
      <w:r w:rsidR="00AC027B" w:rsidRPr="001005B7">
        <w:t>3:</w:t>
      </w:r>
      <w:r w:rsidR="0033321B" w:rsidRPr="001005B7">
        <w:t xml:space="preserve">16a </w:t>
      </w:r>
      <w:r w:rsidR="00157027" w:rsidRPr="001005B7">
        <w:t xml:space="preserve">once </w:t>
      </w:r>
      <w:r w:rsidR="003F5013" w:rsidRPr="001005B7">
        <w:t xml:space="preserve">did </w:t>
      </w:r>
      <w:r w:rsidR="0033321B" w:rsidRPr="001005B7">
        <w:t xml:space="preserve">lead into </w:t>
      </w:r>
      <w:r w:rsidR="0042084A" w:rsidRPr="001005B7">
        <w:t>3:</w:t>
      </w:r>
      <w:r w:rsidR="0033321B" w:rsidRPr="001005B7">
        <w:t>22</w:t>
      </w:r>
      <w:r w:rsidR="00F46900" w:rsidRPr="001005B7">
        <w:t>–</w:t>
      </w:r>
      <w:r w:rsidR="0033321B" w:rsidRPr="001005B7">
        <w:t>27</w:t>
      </w:r>
      <w:r w:rsidR="00124EB3" w:rsidRPr="001005B7">
        <w:t>,</w:t>
      </w:r>
      <w:r w:rsidR="00C81BA1" w:rsidRPr="001005B7">
        <w:t xml:space="preserve"> and </w:t>
      </w:r>
      <w:r w:rsidR="00E93D60" w:rsidRPr="001005B7">
        <w:t xml:space="preserve">Ezekiel or his curators inserted </w:t>
      </w:r>
      <w:r w:rsidR="0042084A" w:rsidRPr="001005B7">
        <w:t>3:</w:t>
      </w:r>
      <w:r w:rsidR="00E72D4E" w:rsidRPr="001005B7">
        <w:t>16b</w:t>
      </w:r>
      <w:r w:rsidR="00F46900" w:rsidRPr="001005B7">
        <w:t>–</w:t>
      </w:r>
      <w:r w:rsidR="001F6951" w:rsidRPr="001005B7">
        <w:t xml:space="preserve">21 </w:t>
      </w:r>
      <w:r w:rsidR="007047BD" w:rsidRPr="001005B7">
        <w:t>with the result</w:t>
      </w:r>
      <w:r w:rsidR="00155121" w:rsidRPr="001005B7">
        <w:t xml:space="preserve"> </w:t>
      </w:r>
      <w:r w:rsidR="007047BD" w:rsidRPr="001005B7">
        <w:t>that</w:t>
      </w:r>
      <w:r w:rsidR="00155121" w:rsidRPr="001005B7">
        <w:t xml:space="preserve"> the combination </w:t>
      </w:r>
      <w:r w:rsidR="00AD17F9" w:rsidRPr="001005B7">
        <w:t>in 3:16</w:t>
      </w:r>
      <w:r w:rsidR="008C5487">
        <w:t>–</w:t>
      </w:r>
      <w:r w:rsidR="00AD17F9" w:rsidRPr="001005B7">
        <w:t>27</w:t>
      </w:r>
      <w:r w:rsidR="00155121" w:rsidRPr="001005B7">
        <w:t xml:space="preserve"> </w:t>
      </w:r>
      <w:r w:rsidR="00457E19" w:rsidRPr="001005B7">
        <w:t xml:space="preserve">enhances the complex way </w:t>
      </w:r>
      <w:r w:rsidR="00AD17F9" w:rsidRPr="001005B7">
        <w:t>it</w:t>
      </w:r>
      <w:r w:rsidR="00457E19" w:rsidRPr="001005B7">
        <w:t xml:space="preserve"> binds chapters 1</w:t>
      </w:r>
      <w:r w:rsidR="00F46900" w:rsidRPr="001005B7">
        <w:t>–</w:t>
      </w:r>
      <w:r w:rsidR="006C12D5" w:rsidRPr="001005B7">
        <w:t>7</w:t>
      </w:r>
      <w:r w:rsidR="00457E19" w:rsidRPr="001005B7">
        <w:t>.</w:t>
      </w:r>
    </w:p>
    <w:p w14:paraId="70F3EB88" w14:textId="3D1D28B7" w:rsidR="00740472" w:rsidRPr="001005B7" w:rsidRDefault="00B20F90" w:rsidP="00054DC4">
      <w:r w:rsidRPr="001005B7">
        <w:t xml:space="preserve">The form of </w:t>
      </w:r>
      <w:r w:rsidR="0042084A" w:rsidRPr="001005B7">
        <w:t>3:</w:t>
      </w:r>
      <w:r w:rsidRPr="001005B7">
        <w:t>16b</w:t>
      </w:r>
      <w:r w:rsidR="00F46900" w:rsidRPr="001005B7">
        <w:t>–</w:t>
      </w:r>
      <w:r w:rsidRPr="001005B7">
        <w:t xml:space="preserve">21 parallels the </w:t>
      </w:r>
      <w:r w:rsidR="008D49B8" w:rsidRPr="001005B7">
        <w:t>pattern</w:t>
      </w:r>
      <w:r w:rsidR="0013122C" w:rsidRPr="001005B7">
        <w:t xml:space="preserve"> of </w:t>
      </w:r>
      <w:r w:rsidR="006C5C04" w:rsidRPr="001005B7">
        <w:t xml:space="preserve">rules </w:t>
      </w:r>
      <w:r w:rsidR="005C5D61" w:rsidRPr="001005B7">
        <w:t>in</w:t>
      </w:r>
      <w:r w:rsidR="00F2185D" w:rsidRPr="001005B7">
        <w:t xml:space="preserve"> </w:t>
      </w:r>
      <w:r w:rsidR="0033379B" w:rsidRPr="001005B7">
        <w:t xml:space="preserve">the Torah such as those in </w:t>
      </w:r>
      <w:r w:rsidR="00F2185D" w:rsidRPr="001005B7">
        <w:t>Exod 21:</w:t>
      </w:r>
      <w:r w:rsidR="003E5147" w:rsidRPr="001005B7">
        <w:t>2</w:t>
      </w:r>
      <w:r w:rsidR="00F46900" w:rsidRPr="001005B7">
        <w:t>–</w:t>
      </w:r>
      <w:r w:rsidR="003E5147" w:rsidRPr="001005B7">
        <w:t>23:9</w:t>
      </w:r>
      <w:r w:rsidR="0004113A" w:rsidRPr="001005B7">
        <w:t xml:space="preserve">, and its language </w:t>
      </w:r>
      <w:r w:rsidR="00A42E70" w:rsidRPr="001005B7">
        <w:t>matches</w:t>
      </w:r>
      <w:r w:rsidR="0004113A" w:rsidRPr="001005B7">
        <w:t xml:space="preserve"> rules of this kind </w:t>
      </w:r>
      <w:r w:rsidR="00E6175D" w:rsidRPr="001005B7">
        <w:t>in</w:t>
      </w:r>
      <w:r w:rsidR="0004113A" w:rsidRPr="001005B7">
        <w:t xml:space="preserve"> speak</w:t>
      </w:r>
      <w:r w:rsidR="00E6175D" w:rsidRPr="001005B7">
        <w:t>ing</w:t>
      </w:r>
      <w:r w:rsidR="0004113A" w:rsidRPr="001005B7">
        <w:t xml:space="preserve"> of </w:t>
      </w:r>
      <w:r w:rsidR="00C332D2" w:rsidRPr="001005B7">
        <w:t xml:space="preserve">the faithless and faithful, the person in the wrong and the person in the right, the guilty and </w:t>
      </w:r>
      <w:r w:rsidR="0026646E" w:rsidRPr="001005B7">
        <w:t xml:space="preserve">the </w:t>
      </w:r>
      <w:r w:rsidR="00C332D2" w:rsidRPr="001005B7">
        <w:t>innocent (Exod 23:</w:t>
      </w:r>
      <w:r w:rsidR="00380E37" w:rsidRPr="001005B7">
        <w:t>7</w:t>
      </w:r>
      <w:r w:rsidR="00F46900" w:rsidRPr="001005B7">
        <w:t>–</w:t>
      </w:r>
      <w:r w:rsidR="00380E37" w:rsidRPr="001005B7">
        <w:t>8).</w:t>
      </w:r>
      <w:r w:rsidR="005D1012" w:rsidRPr="001005B7">
        <w:t xml:space="preserve"> </w:t>
      </w:r>
      <w:r w:rsidR="008A22F4" w:rsidRPr="001005B7">
        <w:t>Those ru</w:t>
      </w:r>
      <w:r w:rsidR="00E205B0" w:rsidRPr="001005B7">
        <w:t>l</w:t>
      </w:r>
      <w:r w:rsidR="008A22F4" w:rsidRPr="001005B7">
        <w:t xml:space="preserve">es also declare that </w:t>
      </w:r>
      <w:r w:rsidR="00A42E70" w:rsidRPr="001005B7">
        <w:t>someone</w:t>
      </w:r>
      <w:r w:rsidR="00E205B0" w:rsidRPr="001005B7">
        <w:t xml:space="preserve"> guilty of certain wrongdoings</w:t>
      </w:r>
      <w:r w:rsidR="008A22F4" w:rsidRPr="001005B7">
        <w:t xml:space="preserve"> </w:t>
      </w:r>
      <w:r w:rsidR="002133F6" w:rsidRPr="001005B7">
        <w:t>“</w:t>
      </w:r>
      <w:r w:rsidR="002C5ACD" w:rsidRPr="001005B7">
        <w:t>will definitely be put to death</w:t>
      </w:r>
      <w:r w:rsidR="00AA0792" w:rsidRPr="001005B7">
        <w:t>”</w:t>
      </w:r>
      <w:r w:rsidR="002C5ACD" w:rsidRPr="001005B7">
        <w:rPr>
          <w:i/>
          <w:iCs/>
        </w:rPr>
        <w:t xml:space="preserve"> </w:t>
      </w:r>
      <w:r w:rsidR="002C5ACD" w:rsidRPr="001005B7">
        <w:t xml:space="preserve">(Exod </w:t>
      </w:r>
      <w:r w:rsidR="00C22425" w:rsidRPr="001005B7">
        <w:t>21:12</w:t>
      </w:r>
      <w:r w:rsidR="00F46900" w:rsidRPr="001005B7">
        <w:t>–</w:t>
      </w:r>
      <w:r w:rsidR="00C22425" w:rsidRPr="001005B7">
        <w:t>17)</w:t>
      </w:r>
      <w:r w:rsidR="00187C57" w:rsidRPr="001005B7">
        <w:t xml:space="preserve">. </w:t>
      </w:r>
      <w:r w:rsidR="00C60C8F" w:rsidRPr="001005B7">
        <w:t>I</w:t>
      </w:r>
      <w:r w:rsidR="00041BB7" w:rsidRPr="001005B7">
        <w:t>t would be a priest’s business to teach people about the rules in the Torah</w:t>
      </w:r>
      <w:r w:rsidR="002257B1" w:rsidRPr="001005B7">
        <w:t>, s</w:t>
      </w:r>
      <w:r w:rsidR="00027219" w:rsidRPr="001005B7">
        <w:t xml:space="preserve">o there is </w:t>
      </w:r>
      <w:r w:rsidR="00756E7A" w:rsidRPr="001005B7">
        <w:t>a hint</w:t>
      </w:r>
      <w:r w:rsidR="00027219" w:rsidRPr="001005B7">
        <w:t xml:space="preserve"> here that Yahweh is</w:t>
      </w:r>
      <w:r w:rsidR="00AD1C8C" w:rsidRPr="001005B7">
        <w:t xml:space="preserve"> </w:t>
      </w:r>
      <w:r w:rsidR="00145415" w:rsidRPr="001005B7">
        <w:t xml:space="preserve">commissioning </w:t>
      </w:r>
      <w:r w:rsidR="00220BC5" w:rsidRPr="001005B7">
        <w:t>a person</w:t>
      </w:r>
      <w:r w:rsidR="00230329" w:rsidRPr="001005B7">
        <w:t xml:space="preserve"> who would </w:t>
      </w:r>
      <w:r w:rsidR="00B56DFC" w:rsidRPr="001005B7">
        <w:t xml:space="preserve">have </w:t>
      </w:r>
      <w:r w:rsidR="00281313" w:rsidRPr="001005B7">
        <w:t>had that</w:t>
      </w:r>
      <w:r w:rsidR="0079345A" w:rsidRPr="001005B7">
        <w:t xml:space="preserve"> role </w:t>
      </w:r>
      <w:r w:rsidR="00C3238E" w:rsidRPr="001005B7">
        <w:t xml:space="preserve">in </w:t>
      </w:r>
      <w:r w:rsidR="00B96F2B" w:rsidRPr="001005B7">
        <w:t>the context of the temple</w:t>
      </w:r>
      <w:r w:rsidR="00BC4FBD" w:rsidRPr="001005B7">
        <w:t xml:space="preserve"> to function </w:t>
      </w:r>
      <w:r w:rsidR="008A0346" w:rsidRPr="001005B7">
        <w:t xml:space="preserve">as a prophet </w:t>
      </w:r>
      <w:r w:rsidR="00BC4FBD" w:rsidRPr="001005B7">
        <w:t>in a priestly fashion</w:t>
      </w:r>
      <w:r w:rsidR="00980036" w:rsidRPr="001005B7">
        <w:t>,</w:t>
      </w:r>
      <w:r w:rsidR="000273BA" w:rsidRPr="001005B7">
        <w:t xml:space="preserve"> and on the basis of priestly principles</w:t>
      </w:r>
      <w:r w:rsidR="00AF5200" w:rsidRPr="001005B7">
        <w:t>,</w:t>
      </w:r>
      <w:r w:rsidR="00BC4FBD" w:rsidRPr="001005B7">
        <w:t xml:space="preserve"> among people who are exiled from the temple.</w:t>
      </w:r>
      <w:r w:rsidR="00011C97" w:rsidRPr="001005B7">
        <w:t xml:space="preserve"> </w:t>
      </w:r>
    </w:p>
    <w:p w14:paraId="715FEE27" w14:textId="618936EC" w:rsidR="009357A5" w:rsidRPr="001005B7" w:rsidRDefault="00267B52" w:rsidP="00CB66BB">
      <w:r w:rsidRPr="001005B7">
        <w:t>In contrast</w:t>
      </w:r>
      <w:r w:rsidR="00635AA4" w:rsidRPr="001005B7">
        <w:t xml:space="preserve">, </w:t>
      </w:r>
      <w:r w:rsidR="007D3BD1" w:rsidRPr="001005B7">
        <w:t>Yahweh’s</w:t>
      </w:r>
      <w:r w:rsidR="00635AA4" w:rsidRPr="001005B7">
        <w:t xml:space="preserve"> </w:t>
      </w:r>
      <w:r w:rsidR="00640E5C" w:rsidRPr="001005B7">
        <w:t xml:space="preserve">commission in </w:t>
      </w:r>
      <w:r w:rsidR="0042084A" w:rsidRPr="001005B7">
        <w:t>3:</w:t>
      </w:r>
      <w:r w:rsidR="00640E5C" w:rsidRPr="001005B7">
        <w:t>22</w:t>
      </w:r>
      <w:r w:rsidR="00F46900" w:rsidRPr="001005B7">
        <w:t>–</w:t>
      </w:r>
      <w:r w:rsidR="00640E5C" w:rsidRPr="001005B7">
        <w:t>27 matches the way prophet</w:t>
      </w:r>
      <w:r w:rsidR="00D515B5" w:rsidRPr="001005B7">
        <w:t>s</w:t>
      </w:r>
      <w:r w:rsidR="00640E5C" w:rsidRPr="001005B7">
        <w:t xml:space="preserve"> such as </w:t>
      </w:r>
      <w:r w:rsidR="00851D7C" w:rsidRPr="001005B7">
        <w:t>Isaiah</w:t>
      </w:r>
      <w:r w:rsidR="00D515B5" w:rsidRPr="001005B7">
        <w:t xml:space="preserve"> and</w:t>
      </w:r>
      <w:r w:rsidR="00851D7C" w:rsidRPr="001005B7">
        <w:t xml:space="preserve"> Jeremiah </w:t>
      </w:r>
      <w:r w:rsidR="00F95E63" w:rsidRPr="001005B7">
        <w:t xml:space="preserve">may </w:t>
      </w:r>
      <w:r w:rsidR="003230B2" w:rsidRPr="001005B7">
        <w:t>dramatize</w:t>
      </w:r>
      <w:r w:rsidR="00A544B6" w:rsidRPr="001005B7">
        <w:t xml:space="preserve"> and put </w:t>
      </w:r>
      <w:r w:rsidR="00D13135" w:rsidRPr="001005B7">
        <w:t>into effect</w:t>
      </w:r>
      <w:r w:rsidR="00851D7C" w:rsidRPr="001005B7">
        <w:t xml:space="preserve"> the</w:t>
      </w:r>
      <w:r w:rsidR="00266EF3" w:rsidRPr="001005B7">
        <w:t>ir</w:t>
      </w:r>
      <w:r w:rsidR="00851D7C" w:rsidRPr="001005B7">
        <w:t xml:space="preserve"> message</w:t>
      </w:r>
      <w:r w:rsidR="00CB4F66" w:rsidRPr="001005B7">
        <w:t xml:space="preserve"> (see further the </w:t>
      </w:r>
      <w:r w:rsidR="00027297" w:rsidRPr="001005B7">
        <w:t>“Outline” to 4:1</w:t>
      </w:r>
      <w:r w:rsidR="00F46900" w:rsidRPr="001005B7">
        <w:t>–</w:t>
      </w:r>
      <w:r w:rsidR="00027297" w:rsidRPr="001005B7">
        <w:t>5:4</w:t>
      </w:r>
      <w:r w:rsidR="00CB4F66" w:rsidRPr="001005B7">
        <w:t>).</w:t>
      </w:r>
      <w:r w:rsidR="00341C07" w:rsidRPr="001005B7">
        <w:t xml:space="preserve"> </w:t>
      </w:r>
      <w:r w:rsidR="0027538A" w:rsidRPr="001005B7">
        <w:t xml:space="preserve">This </w:t>
      </w:r>
      <w:r w:rsidR="005317EE" w:rsidRPr="001005B7">
        <w:t>drama</w:t>
      </w:r>
      <w:r w:rsidR="00172B36" w:rsidRPr="001005B7">
        <w:t xml:space="preserve"> </w:t>
      </w:r>
      <w:r w:rsidR="00023BD4" w:rsidRPr="001005B7">
        <w:t>indeed picture</w:t>
      </w:r>
      <w:r w:rsidR="001C3C6C" w:rsidRPr="001005B7">
        <w:t>s</w:t>
      </w:r>
      <w:r w:rsidR="00023BD4" w:rsidRPr="001005B7">
        <w:t xml:space="preserve"> what it symbolizes</w:t>
      </w:r>
      <w:r w:rsidR="000A3E8A" w:rsidRPr="001005B7">
        <w:t xml:space="preserve"> and</w:t>
      </w:r>
      <w:r w:rsidR="00023BD4" w:rsidRPr="001005B7">
        <w:t xml:space="preserve"> </w:t>
      </w:r>
      <w:r w:rsidR="00C57EF1" w:rsidRPr="001005B7">
        <w:t>thus</w:t>
      </w:r>
      <w:r w:rsidR="005258F9" w:rsidRPr="001005B7">
        <w:t xml:space="preserve"> </w:t>
      </w:r>
      <w:r w:rsidR="00ED4CC0" w:rsidRPr="001005B7">
        <w:t>(paradoxically)</w:t>
      </w:r>
      <w:r w:rsidR="00172B36" w:rsidRPr="001005B7">
        <w:t xml:space="preserve"> prevent</w:t>
      </w:r>
      <w:r w:rsidR="001C3C6C" w:rsidRPr="001005B7">
        <w:t>s</w:t>
      </w:r>
      <w:r w:rsidR="00172B36" w:rsidRPr="001005B7">
        <w:t xml:space="preserve"> Ezekiel from functioning as a prophet</w:t>
      </w:r>
      <w:r w:rsidR="000A3E8A" w:rsidRPr="001005B7">
        <w:t>. It</w:t>
      </w:r>
      <w:r w:rsidR="00373EFC" w:rsidRPr="001005B7">
        <w:t xml:space="preserve"> </w:t>
      </w:r>
      <w:r w:rsidR="00420F03" w:rsidRPr="001005B7">
        <w:t xml:space="preserve">thereby </w:t>
      </w:r>
      <w:r w:rsidR="00373EFC" w:rsidRPr="001005B7">
        <w:t>stand</w:t>
      </w:r>
      <w:r w:rsidR="000A3E8A" w:rsidRPr="001005B7">
        <w:t>s</w:t>
      </w:r>
      <w:r w:rsidR="00373EFC" w:rsidRPr="001005B7">
        <w:t xml:space="preserve"> in tension with the commission to issue warnings in 3:16</w:t>
      </w:r>
      <w:r w:rsidR="00F46900" w:rsidRPr="001005B7">
        <w:t>–</w:t>
      </w:r>
      <w:r w:rsidR="00373EFC" w:rsidRPr="001005B7">
        <w:t>21</w:t>
      </w:r>
      <w:r w:rsidR="00420F03" w:rsidRPr="001005B7">
        <w:t>. It</w:t>
      </w:r>
      <w:r w:rsidR="005B2D00" w:rsidRPr="001005B7">
        <w:t xml:space="preserve"> also</w:t>
      </w:r>
      <w:r w:rsidR="00145984" w:rsidRPr="001005B7">
        <w:t xml:space="preserve"> </w:t>
      </w:r>
      <w:r w:rsidR="00556E61" w:rsidRPr="001005B7">
        <w:t>raise</w:t>
      </w:r>
      <w:r w:rsidR="001C3C6C" w:rsidRPr="001005B7">
        <w:t>s</w:t>
      </w:r>
      <w:r w:rsidR="00556E61" w:rsidRPr="001005B7">
        <w:t xml:space="preserve"> </w:t>
      </w:r>
      <w:r w:rsidR="00CB66BB" w:rsidRPr="001005B7">
        <w:t xml:space="preserve">related </w:t>
      </w:r>
      <w:r w:rsidR="00556E61" w:rsidRPr="001005B7">
        <w:t>questions that it does not answer</w:t>
      </w:r>
      <w:r w:rsidR="00A12602" w:rsidRPr="001005B7">
        <w:t xml:space="preserve">. Perhaps people are </w:t>
      </w:r>
      <w:r w:rsidR="00374135" w:rsidRPr="001005B7">
        <w:t>expected</w:t>
      </w:r>
      <w:r w:rsidR="00A12602" w:rsidRPr="001005B7">
        <w:t xml:space="preserve"> to work out</w:t>
      </w:r>
      <w:r w:rsidR="00556E61" w:rsidRPr="001005B7">
        <w:t xml:space="preserve"> the significance of Ezekiel’s going home and staying home</w:t>
      </w:r>
      <w:r w:rsidR="00A12602" w:rsidRPr="001005B7">
        <w:t>,</w:t>
      </w:r>
      <w:r w:rsidR="00556E61" w:rsidRPr="001005B7">
        <w:t xml:space="preserve"> his binding with ropes</w:t>
      </w:r>
      <w:r w:rsidR="00A12602" w:rsidRPr="001005B7">
        <w:t>,</w:t>
      </w:r>
      <w:r w:rsidR="00556E61" w:rsidRPr="001005B7">
        <w:t xml:space="preserve"> and his silence</w:t>
      </w:r>
      <w:r w:rsidR="00837081" w:rsidRPr="001005B7">
        <w:t xml:space="preserve">, </w:t>
      </w:r>
      <w:r w:rsidR="005B2D00" w:rsidRPr="001005B7">
        <w:t>so that they</w:t>
      </w:r>
      <w:r w:rsidR="003A0E9F" w:rsidRPr="001005B7">
        <w:t xml:space="preserve"> there</w:t>
      </w:r>
      <w:r w:rsidR="00556E61" w:rsidRPr="001005B7">
        <w:t xml:space="preserve"> </w:t>
      </w:r>
      <w:r w:rsidR="00E72399" w:rsidRPr="001005B7">
        <w:t>face</w:t>
      </w:r>
      <w:r w:rsidR="00764E3D" w:rsidRPr="001005B7">
        <w:t xml:space="preserve"> their</w:t>
      </w:r>
      <w:r w:rsidR="00556E61" w:rsidRPr="001005B7">
        <w:t xml:space="preserve"> rebelliousness</w:t>
      </w:r>
      <w:r w:rsidR="00764E3D" w:rsidRPr="001005B7">
        <w:t xml:space="preserve">. </w:t>
      </w:r>
      <w:r w:rsidR="00D76115" w:rsidRPr="001005B7">
        <w:t>Ezek 4</w:t>
      </w:r>
      <w:r w:rsidR="00F46900" w:rsidRPr="001005B7">
        <w:t>–</w:t>
      </w:r>
      <w:r w:rsidR="00D76115" w:rsidRPr="001005B7">
        <w:t>7</w:t>
      </w:r>
      <w:r w:rsidR="00556E61" w:rsidRPr="001005B7">
        <w:t xml:space="preserve"> will </w:t>
      </w:r>
      <w:r w:rsidR="00D064FC" w:rsidRPr="001005B7">
        <w:t>take up</w:t>
      </w:r>
      <w:r w:rsidR="00556E61" w:rsidRPr="001005B7">
        <w:t xml:space="preserve"> these questions</w:t>
      </w:r>
      <w:r w:rsidR="00D064FC" w:rsidRPr="001005B7">
        <w:t>, b</w:t>
      </w:r>
      <w:r w:rsidR="002C1D82" w:rsidRPr="001005B7">
        <w:t>ut</w:t>
      </w:r>
      <w:r w:rsidR="003966BA" w:rsidRPr="001005B7">
        <w:t xml:space="preserve"> in the meantime </w:t>
      </w:r>
      <w:r w:rsidR="00604CDC" w:rsidRPr="001005B7">
        <w:t>Yahweh</w:t>
      </w:r>
      <w:r w:rsidR="00BB0577" w:rsidRPr="001005B7">
        <w:t xml:space="preserve"> is </w:t>
      </w:r>
      <w:r w:rsidR="00604CDC" w:rsidRPr="001005B7">
        <w:t>leaving peopl</w:t>
      </w:r>
      <w:r w:rsidR="007A51EA" w:rsidRPr="001005B7">
        <w:t>e</w:t>
      </w:r>
      <w:r w:rsidR="002C1D82" w:rsidRPr="001005B7">
        <w:t xml:space="preserve"> </w:t>
      </w:r>
      <w:r w:rsidR="00374135" w:rsidRPr="001005B7">
        <w:t xml:space="preserve">to </w:t>
      </w:r>
      <w:r w:rsidR="002C1D82" w:rsidRPr="001005B7">
        <w:t xml:space="preserve">work out that </w:t>
      </w:r>
      <w:r w:rsidR="00D064FC" w:rsidRPr="001005B7">
        <w:t>Ezekiel’s</w:t>
      </w:r>
      <w:r w:rsidR="00307C00" w:rsidRPr="001005B7">
        <w:t xml:space="preserve"> actions</w:t>
      </w:r>
      <w:r w:rsidR="00750334" w:rsidRPr="001005B7">
        <w:t xml:space="preserve"> signif</w:t>
      </w:r>
      <w:r w:rsidR="00307C00" w:rsidRPr="001005B7">
        <w:t>y</w:t>
      </w:r>
      <w:r w:rsidR="00750334" w:rsidRPr="001005B7">
        <w:t xml:space="preserve"> </w:t>
      </w:r>
      <w:r w:rsidR="002E2D62" w:rsidRPr="001005B7">
        <w:t>Yahweh</w:t>
      </w:r>
      <w:r w:rsidR="00750334" w:rsidRPr="001005B7">
        <w:t>’s</w:t>
      </w:r>
      <w:r w:rsidR="002E2D62" w:rsidRPr="001005B7">
        <w:t xml:space="preserve"> inten</w:t>
      </w:r>
      <w:r w:rsidR="00750334" w:rsidRPr="001005B7">
        <w:t>tion not</w:t>
      </w:r>
      <w:r w:rsidR="002E2D62" w:rsidRPr="001005B7">
        <w:t xml:space="preserve"> to </w:t>
      </w:r>
      <w:r w:rsidR="002263EE" w:rsidRPr="001005B7">
        <w:t>speak to</w:t>
      </w:r>
      <w:r w:rsidR="002A6289" w:rsidRPr="001005B7">
        <w:t xml:space="preserve"> </w:t>
      </w:r>
      <w:r w:rsidR="00307C00" w:rsidRPr="001005B7">
        <w:t>them</w:t>
      </w:r>
      <w:r w:rsidR="002263EE" w:rsidRPr="001005B7">
        <w:t xml:space="preserve">. </w:t>
      </w:r>
    </w:p>
    <w:p w14:paraId="27BE4F0E" w14:textId="532FE678" w:rsidR="00342EAB" w:rsidRPr="001005B7" w:rsidRDefault="007946B0" w:rsidP="00C13029">
      <w:r w:rsidRPr="001005B7">
        <w:t xml:space="preserve">The question of the relationship between the two </w:t>
      </w:r>
      <w:r w:rsidR="009F5276" w:rsidRPr="001005B7">
        <w:t xml:space="preserve">testimonies </w:t>
      </w:r>
      <w:r w:rsidR="00796813" w:rsidRPr="001005B7">
        <w:t>in 3:16</w:t>
      </w:r>
      <w:r w:rsidR="00F46900" w:rsidRPr="001005B7">
        <w:t>–</w:t>
      </w:r>
      <w:r w:rsidR="00796813" w:rsidRPr="001005B7">
        <w:t xml:space="preserve">27 </w:t>
      </w:r>
      <w:r w:rsidR="009F5276" w:rsidRPr="001005B7">
        <w:t xml:space="preserve">may be clarified </w:t>
      </w:r>
      <w:r w:rsidR="0025473B" w:rsidRPr="001005B7">
        <w:t>by consider</w:t>
      </w:r>
      <w:r w:rsidR="00796813" w:rsidRPr="001005B7">
        <w:t xml:space="preserve">ing </w:t>
      </w:r>
      <w:r w:rsidR="0025473B" w:rsidRPr="001005B7">
        <w:t xml:space="preserve">the relationship between what Yahweh said in </w:t>
      </w:r>
      <w:r w:rsidR="004B5026" w:rsidRPr="001005B7">
        <w:t xml:space="preserve">593 and what </w:t>
      </w:r>
      <w:r w:rsidR="00C766C1" w:rsidRPr="001005B7">
        <w:t xml:space="preserve">he needed to say after 587. </w:t>
      </w:r>
      <w:r w:rsidR="00CC30C4" w:rsidRPr="001005B7">
        <w:t xml:space="preserve">In </w:t>
      </w:r>
      <w:r w:rsidR="00651218" w:rsidRPr="001005B7">
        <w:t>Ezek 1</w:t>
      </w:r>
      <w:r w:rsidR="00F46900" w:rsidRPr="001005B7">
        <w:t>–</w:t>
      </w:r>
      <w:r w:rsidR="00651218" w:rsidRPr="001005B7">
        <w:t xml:space="preserve">3 </w:t>
      </w:r>
      <w:r w:rsidR="00851DAA" w:rsidRPr="001005B7">
        <w:t xml:space="preserve">Yahweh </w:t>
      </w:r>
      <w:r w:rsidR="00493D92" w:rsidRPr="001005B7">
        <w:t xml:space="preserve">does not tell Ezekiel to relate his vision or his commission to the </w:t>
      </w:r>
      <w:proofErr w:type="spellStart"/>
      <w:r w:rsidR="00493D92" w:rsidRPr="001005B7">
        <w:t>Kebarites</w:t>
      </w:r>
      <w:proofErr w:type="spellEnd"/>
      <w:r w:rsidR="00493D92" w:rsidRPr="001005B7">
        <w:t>.</w:t>
      </w:r>
      <w:r w:rsidR="00651218" w:rsidRPr="001005B7">
        <w:t xml:space="preserve"> </w:t>
      </w:r>
      <w:r w:rsidR="0050760A" w:rsidRPr="001005B7">
        <w:t>He</w:t>
      </w:r>
      <w:r w:rsidR="00493D92" w:rsidRPr="001005B7">
        <w:t xml:space="preserve"> only tells him to </w:t>
      </w:r>
      <w:r w:rsidR="00671FE1" w:rsidRPr="001005B7">
        <w:t xml:space="preserve">issue warnings and </w:t>
      </w:r>
      <w:r w:rsidR="00BE17BB" w:rsidRPr="001005B7">
        <w:t xml:space="preserve">perform </w:t>
      </w:r>
      <w:r w:rsidR="00671FE1" w:rsidRPr="001005B7">
        <w:t>the</w:t>
      </w:r>
      <w:r w:rsidR="00BE17BB" w:rsidRPr="001005B7">
        <w:t xml:space="preserve"> sign acts</w:t>
      </w:r>
      <w:r w:rsidR="00651218" w:rsidRPr="001005B7">
        <w:t xml:space="preserve">. </w:t>
      </w:r>
      <w:r w:rsidR="00906600" w:rsidRPr="001005B7">
        <w:t>Something similar is t</w:t>
      </w:r>
      <w:r w:rsidR="00831988" w:rsidRPr="001005B7">
        <w:t>rue about Jeremiah and other prophets</w:t>
      </w:r>
      <w:r w:rsidR="00843597" w:rsidRPr="001005B7">
        <w:t>, who are not described as relating their commissions</w:t>
      </w:r>
      <w:r w:rsidR="00831988" w:rsidRPr="001005B7">
        <w:t xml:space="preserve">. The exception that proves the rule is Amos, who </w:t>
      </w:r>
      <w:r w:rsidR="00BE0969" w:rsidRPr="001005B7">
        <w:t>relates his commission after h</w:t>
      </w:r>
      <w:r w:rsidR="00F340F8" w:rsidRPr="001005B7">
        <w:t>aving</w:t>
      </w:r>
      <w:r w:rsidR="00BE0969" w:rsidRPr="001005B7">
        <w:t xml:space="preserve"> been fulfilling it for a while and </w:t>
      </w:r>
      <w:r w:rsidR="00F340F8" w:rsidRPr="001005B7">
        <w:t>being</w:t>
      </w:r>
      <w:r w:rsidR="00BE0969" w:rsidRPr="001005B7">
        <w:t xml:space="preserve"> challenged about it</w:t>
      </w:r>
      <w:r w:rsidR="00132396" w:rsidRPr="001005B7">
        <w:t xml:space="preserve"> (Amos 7:10</w:t>
      </w:r>
      <w:r w:rsidR="00F46900" w:rsidRPr="001005B7">
        <w:t>–</w:t>
      </w:r>
      <w:r w:rsidR="00132396" w:rsidRPr="001005B7">
        <w:t>17</w:t>
      </w:r>
      <w:r w:rsidR="00403D20" w:rsidRPr="001005B7">
        <w:t>)</w:t>
      </w:r>
      <w:r w:rsidR="004C1705" w:rsidRPr="001005B7">
        <w:t>.</w:t>
      </w:r>
      <w:r w:rsidR="00403D20" w:rsidRPr="001005B7">
        <w:t xml:space="preserve"> Isaiah may be a</w:t>
      </w:r>
      <w:r w:rsidR="00847BC2" w:rsidRPr="001005B7">
        <w:t>nother</w:t>
      </w:r>
      <w:r w:rsidR="00403D20" w:rsidRPr="001005B7">
        <w:t xml:space="preserve"> exception</w:t>
      </w:r>
      <w:r w:rsidR="002C0213" w:rsidRPr="001005B7">
        <w:t>,</w:t>
      </w:r>
      <w:r w:rsidR="00403D20" w:rsidRPr="001005B7">
        <w:t xml:space="preserve"> as we </w:t>
      </w:r>
      <w:r w:rsidR="00FC22E7" w:rsidRPr="001005B7">
        <w:t>hear of his commission only in Isa 6.</w:t>
      </w:r>
      <w:r w:rsidR="00847BC2" w:rsidRPr="001005B7">
        <w:t xml:space="preserve"> </w:t>
      </w:r>
      <w:r w:rsidR="00130A44" w:rsidRPr="001005B7">
        <w:t xml:space="preserve">Perhaps </w:t>
      </w:r>
      <w:r w:rsidR="00BC5DBA" w:rsidRPr="001005B7">
        <w:t xml:space="preserve">Yahweh commissioned Ezekiel in 593, </w:t>
      </w:r>
      <w:r w:rsidR="002157D7" w:rsidRPr="001005B7">
        <w:t>he</w:t>
      </w:r>
      <w:r w:rsidR="000C3D50" w:rsidRPr="001005B7">
        <w:t xml:space="preserve"> </w:t>
      </w:r>
      <w:r w:rsidR="00BC5DBA" w:rsidRPr="001005B7">
        <w:t>relate</w:t>
      </w:r>
      <w:r w:rsidR="000C3D50" w:rsidRPr="001005B7">
        <w:t>d</w:t>
      </w:r>
      <w:r w:rsidR="00BC5DBA" w:rsidRPr="001005B7">
        <w:t xml:space="preserve"> </w:t>
      </w:r>
      <w:r w:rsidR="008D209A" w:rsidRPr="001005B7">
        <w:t xml:space="preserve">his vision and commission to </w:t>
      </w:r>
      <w:r w:rsidR="00BA583B" w:rsidRPr="001005B7">
        <w:t>the</w:t>
      </w:r>
      <w:r w:rsidR="00524209" w:rsidRPr="001005B7">
        <w:t xml:space="preserve"> </w:t>
      </w:r>
      <w:proofErr w:type="spellStart"/>
      <w:r w:rsidR="00524209" w:rsidRPr="001005B7">
        <w:t>Kebarites</w:t>
      </w:r>
      <w:proofErr w:type="spellEnd"/>
      <w:r w:rsidR="002157D7" w:rsidRPr="001005B7">
        <w:t xml:space="preserve"> subsequently when challenged by the</w:t>
      </w:r>
      <w:r w:rsidR="00524209" w:rsidRPr="001005B7">
        <w:t>m</w:t>
      </w:r>
      <w:r w:rsidR="00BA583B" w:rsidRPr="001005B7">
        <w:t xml:space="preserve">, transcribed it in connection with </w:t>
      </w:r>
      <w:r w:rsidR="00093E43" w:rsidRPr="001005B7">
        <w:t>producing the scroll</w:t>
      </w:r>
      <w:r w:rsidR="00657461" w:rsidRPr="001005B7">
        <w:t xml:space="preserve">, and </w:t>
      </w:r>
      <w:r w:rsidR="00B2114F" w:rsidRPr="001005B7">
        <w:t>add</w:t>
      </w:r>
      <w:r w:rsidR="001C4206" w:rsidRPr="001005B7">
        <w:t>ed</w:t>
      </w:r>
      <w:r w:rsidR="00B2114F" w:rsidRPr="001005B7">
        <w:t xml:space="preserve"> 3:</w:t>
      </w:r>
      <w:r w:rsidR="00126318" w:rsidRPr="001005B7">
        <w:t>16b</w:t>
      </w:r>
      <w:r w:rsidR="00F46900" w:rsidRPr="001005B7">
        <w:t>–</w:t>
      </w:r>
      <w:r w:rsidR="00126318" w:rsidRPr="001005B7">
        <w:t>21</w:t>
      </w:r>
      <w:r w:rsidR="00904724" w:rsidRPr="001005B7">
        <w:t xml:space="preserve"> </w:t>
      </w:r>
      <w:r w:rsidR="00126318" w:rsidRPr="001005B7">
        <w:t>in that context.</w:t>
      </w:r>
      <w:r w:rsidR="00813AE8" w:rsidRPr="001005B7">
        <w:t xml:space="preserve"> </w:t>
      </w:r>
    </w:p>
    <w:p w14:paraId="61FD4EC7" w14:textId="7C451BC4" w:rsidR="00D15C3F" w:rsidRPr="001005B7" w:rsidRDefault="002F6FF9" w:rsidP="00DE756A">
      <w:r w:rsidRPr="001005B7">
        <w:t>The</w:t>
      </w:r>
      <w:r w:rsidR="00B13353" w:rsidRPr="001005B7">
        <w:t xml:space="preserve"> </w:t>
      </w:r>
      <w:r w:rsidR="00881EEE" w:rsidRPr="001005B7">
        <w:t xml:space="preserve">report of the </w:t>
      </w:r>
      <w:r w:rsidR="00D80A7B" w:rsidRPr="001005B7">
        <w:t xml:space="preserve">commission to give </w:t>
      </w:r>
      <w:r w:rsidR="00B13353" w:rsidRPr="001005B7">
        <w:t xml:space="preserve">warnings </w:t>
      </w:r>
      <w:r w:rsidR="00F85AA0" w:rsidRPr="001005B7">
        <w:t>such as</w:t>
      </w:r>
      <w:r w:rsidR="00B13353" w:rsidRPr="001005B7">
        <w:t xml:space="preserve"> </w:t>
      </w:r>
      <w:r w:rsidR="0042084A" w:rsidRPr="001005B7">
        <w:t>3:</w:t>
      </w:r>
      <w:r w:rsidR="005B2A19" w:rsidRPr="001005B7">
        <w:t>16b</w:t>
      </w:r>
      <w:r w:rsidR="00F46900" w:rsidRPr="001005B7">
        <w:t>–</w:t>
      </w:r>
      <w:r w:rsidR="005B2A19" w:rsidRPr="001005B7">
        <w:t>21 describes</w:t>
      </w:r>
      <w:r w:rsidR="00465DCF" w:rsidRPr="001005B7">
        <w:t>,</w:t>
      </w:r>
      <w:r w:rsidR="002226B0" w:rsidRPr="001005B7">
        <w:t xml:space="preserve"> and</w:t>
      </w:r>
      <w:r w:rsidR="00517E4E" w:rsidRPr="001005B7">
        <w:t xml:space="preserve"> that</w:t>
      </w:r>
      <w:r w:rsidR="00554417" w:rsidRPr="001005B7">
        <w:t xml:space="preserve"> Ezekiel goes on to give</w:t>
      </w:r>
      <w:r w:rsidR="002226B0" w:rsidRPr="001005B7">
        <w:t>,</w:t>
      </w:r>
      <w:r w:rsidR="006474F5" w:rsidRPr="001005B7">
        <w:t xml:space="preserve"> </w:t>
      </w:r>
      <w:r w:rsidR="00750CF8" w:rsidRPr="001005B7">
        <w:t>implies</w:t>
      </w:r>
      <w:r w:rsidR="006474F5" w:rsidRPr="001005B7">
        <w:t xml:space="preserve"> that </w:t>
      </w:r>
      <w:r w:rsidR="00F05B69" w:rsidRPr="001005B7">
        <w:t xml:space="preserve">Yahweh’s </w:t>
      </w:r>
      <w:r w:rsidR="00BA753D" w:rsidRPr="001005B7">
        <w:t xml:space="preserve">warnings about </w:t>
      </w:r>
      <w:r w:rsidR="006474F5" w:rsidRPr="001005B7">
        <w:t>inevitable disaster</w:t>
      </w:r>
      <w:r w:rsidR="004309EA" w:rsidRPr="001005B7">
        <w:t xml:space="preserve"> coming</w:t>
      </w:r>
      <w:r w:rsidR="006474F5" w:rsidRPr="001005B7">
        <w:t xml:space="preserve"> </w:t>
      </w:r>
      <w:r w:rsidR="002F03E7" w:rsidRPr="001005B7">
        <w:t xml:space="preserve">to Jerusalem </w:t>
      </w:r>
      <w:r w:rsidR="00257A02" w:rsidRPr="001005B7">
        <w:t>we</w:t>
      </w:r>
      <w:r w:rsidR="006474F5" w:rsidRPr="001005B7">
        <w:t xml:space="preserve">re designed to push people to </w:t>
      </w:r>
      <w:r w:rsidR="00C93215" w:rsidRPr="001005B7">
        <w:t xml:space="preserve">take such </w:t>
      </w:r>
      <w:r w:rsidR="006474F5" w:rsidRPr="001005B7">
        <w:t>act</w:t>
      </w:r>
      <w:r w:rsidR="00C93215" w:rsidRPr="001005B7">
        <w:t>ion</w:t>
      </w:r>
      <w:r w:rsidR="006474F5" w:rsidRPr="001005B7">
        <w:t xml:space="preserve"> </w:t>
      </w:r>
      <w:r w:rsidR="00C93215" w:rsidRPr="001005B7">
        <w:t>as would</w:t>
      </w:r>
      <w:r w:rsidR="006474F5" w:rsidRPr="001005B7">
        <w:t xml:space="preserve"> make disaster avoidable. </w:t>
      </w:r>
      <w:r w:rsidR="00E75DF7" w:rsidRPr="001005B7">
        <w:rPr>
          <w:lang w:eastAsia="en-GB"/>
        </w:rPr>
        <w:t>I</w:t>
      </w:r>
      <w:r w:rsidR="00502871" w:rsidRPr="001005B7">
        <w:rPr>
          <w:lang w:eastAsia="en-GB"/>
        </w:rPr>
        <w:t xml:space="preserve">n the context of Ezekiel’s initial mission to the displaced Judahites, </w:t>
      </w:r>
      <w:r w:rsidR="00F76D05" w:rsidRPr="001005B7">
        <w:rPr>
          <w:lang w:eastAsia="en-GB"/>
        </w:rPr>
        <w:t>they</w:t>
      </w:r>
      <w:r w:rsidR="00502871" w:rsidRPr="001005B7">
        <w:rPr>
          <w:lang w:eastAsia="en-GB"/>
        </w:rPr>
        <w:t xml:space="preserve"> function as </w:t>
      </w:r>
      <w:r w:rsidR="00750CF8" w:rsidRPr="001005B7">
        <w:rPr>
          <w:lang w:eastAsia="en-GB"/>
        </w:rPr>
        <w:t xml:space="preserve">an </w:t>
      </w:r>
      <w:r w:rsidR="00502871" w:rsidRPr="001005B7">
        <w:rPr>
          <w:lang w:eastAsia="en-GB"/>
        </w:rPr>
        <w:t>argument for turning back to Yahweh so as to forestall the final calamity. That is the point of sending a prophet, and of being one.</w:t>
      </w:r>
      <w:r w:rsidR="004A2EDF" w:rsidRPr="001005B7">
        <w:rPr>
          <w:lang w:eastAsia="en-GB"/>
        </w:rPr>
        <w:t xml:space="preserve"> </w:t>
      </w:r>
      <w:r w:rsidR="004A2EDF" w:rsidRPr="001005B7">
        <w:t>Ezekiel’s community were people who had been on the receiving end of Jeremiah’s warnings in the decades running up to 597, and they had not listened (Clements, 18).</w:t>
      </w:r>
      <w:r w:rsidR="00DE756A" w:rsidRPr="001005B7">
        <w:t xml:space="preserve"> So</w:t>
      </w:r>
      <w:r w:rsidR="00502871" w:rsidRPr="001005B7">
        <w:rPr>
          <w:lang w:eastAsia="en-GB"/>
        </w:rPr>
        <w:t xml:space="preserve"> “</w:t>
      </w:r>
      <w:r w:rsidR="00DE756A" w:rsidRPr="001005B7">
        <w:rPr>
          <w:lang w:eastAsia="en-GB"/>
        </w:rPr>
        <w:t>w</w:t>
      </w:r>
      <w:r w:rsidR="00502871" w:rsidRPr="001005B7">
        <w:rPr>
          <w:lang w:eastAsia="en-GB"/>
        </w:rPr>
        <w:t xml:space="preserve">ho could give an adequate account of the divine lovingkindness” </w:t>
      </w:r>
      <w:r w:rsidR="00156F38" w:rsidRPr="001005B7">
        <w:rPr>
          <w:lang w:eastAsia="en-GB"/>
        </w:rPr>
        <w:t xml:space="preserve">with which </w:t>
      </w:r>
      <w:r w:rsidR="00502871" w:rsidRPr="001005B7">
        <w:rPr>
          <w:lang w:eastAsia="en-GB"/>
        </w:rPr>
        <w:t>Ins</w:t>
      </w:r>
      <w:r w:rsidR="009624B1" w:rsidRPr="001005B7">
        <w:rPr>
          <w:lang w:eastAsia="en-GB"/>
        </w:rPr>
        <w:t>tea</w:t>
      </w:r>
      <w:r w:rsidR="00502871" w:rsidRPr="001005B7">
        <w:rPr>
          <w:lang w:eastAsia="en-GB"/>
        </w:rPr>
        <w:t>d of denying the</w:t>
      </w:r>
      <w:r w:rsidR="00156F38" w:rsidRPr="001005B7">
        <w:rPr>
          <w:lang w:eastAsia="en-GB"/>
        </w:rPr>
        <w:t xml:space="preserve"> people</w:t>
      </w:r>
      <w:r w:rsidR="00502871" w:rsidRPr="001005B7">
        <w:rPr>
          <w:lang w:eastAsia="en-GB"/>
        </w:rPr>
        <w:t xml:space="preserve"> salvation, </w:t>
      </w:r>
      <w:r w:rsidR="00800441" w:rsidRPr="001005B7">
        <w:rPr>
          <w:lang w:eastAsia="en-GB"/>
        </w:rPr>
        <w:t>Yahweh</w:t>
      </w:r>
      <w:r w:rsidR="00502871" w:rsidRPr="001005B7">
        <w:rPr>
          <w:lang w:eastAsia="en-GB"/>
        </w:rPr>
        <w:t xml:space="preserve"> seeks to win them back (</w:t>
      </w:r>
      <w:proofErr w:type="spellStart"/>
      <w:r w:rsidR="00502871" w:rsidRPr="001005B7">
        <w:t>Theodoret</w:t>
      </w:r>
      <w:proofErr w:type="spellEnd"/>
      <w:r w:rsidR="00502871" w:rsidRPr="001005B7">
        <w:t>, 45</w:t>
      </w:r>
      <w:r w:rsidR="003E1AEB" w:rsidRPr="001005B7">
        <w:t>)?</w:t>
      </w:r>
      <w:r w:rsidR="00F76D05" w:rsidRPr="001005B7">
        <w:rPr>
          <w:lang w:eastAsia="en-GB"/>
        </w:rPr>
        <w:t xml:space="preserve"> </w:t>
      </w:r>
      <w:r w:rsidR="001B7F65" w:rsidRPr="001005B7">
        <w:t>If th</w:t>
      </w:r>
      <w:r w:rsidR="00FB4748" w:rsidRPr="001005B7">
        <w:t xml:space="preserve">e </w:t>
      </w:r>
      <w:r w:rsidR="001B7F65" w:rsidRPr="001005B7">
        <w:t xml:space="preserve">message </w:t>
      </w:r>
      <w:r w:rsidR="00F8278F" w:rsidRPr="001005B7">
        <w:t xml:space="preserve">about disaster </w:t>
      </w:r>
      <w:r w:rsidR="001B7F65" w:rsidRPr="001005B7">
        <w:t>did not reach</w:t>
      </w:r>
      <w:r w:rsidR="00F8278F" w:rsidRPr="001005B7">
        <w:t xml:space="preserve"> the</w:t>
      </w:r>
      <w:r w:rsidR="001B7F65" w:rsidRPr="001005B7">
        <w:t xml:space="preserve"> Jerusalemites from Ezekiel (as it reached them from Jeremiah), it was an important perspective for the </w:t>
      </w:r>
      <w:proofErr w:type="spellStart"/>
      <w:r w:rsidR="001B7F65" w:rsidRPr="001005B7">
        <w:t>Kebarites</w:t>
      </w:r>
      <w:proofErr w:type="spellEnd"/>
      <w:r w:rsidR="001B7F65" w:rsidRPr="001005B7">
        <w:t xml:space="preserve"> in connection with the</w:t>
      </w:r>
      <w:r w:rsidR="006D6D45" w:rsidRPr="001005B7">
        <w:t xml:space="preserve">ir understanding of </w:t>
      </w:r>
      <w:r w:rsidR="001B7F65" w:rsidRPr="001005B7">
        <w:t xml:space="preserve">their own relationship with Yahweh as well as Yahweh’s relationship with them and Yahweh’s relationship with Jerusalem. </w:t>
      </w:r>
    </w:p>
    <w:p w14:paraId="3643B0DA" w14:textId="562678C0" w:rsidR="00B42433" w:rsidRPr="001005B7" w:rsidRDefault="000F41E8" w:rsidP="00DE756A">
      <w:r w:rsidRPr="001005B7">
        <w:t>After 587, 3:16</w:t>
      </w:r>
      <w:r w:rsidR="00F46900" w:rsidRPr="001005B7">
        <w:t>–</w:t>
      </w:r>
      <w:r w:rsidRPr="001005B7">
        <w:t xml:space="preserve">27 would also function to provide some explanation for what </w:t>
      </w:r>
      <w:r w:rsidR="00434FC6" w:rsidRPr="001005B7">
        <w:t xml:space="preserve">subsequently </w:t>
      </w:r>
      <w:r w:rsidRPr="001005B7">
        <w:t>happened</w:t>
      </w:r>
      <w:r w:rsidR="00BD5432" w:rsidRPr="001005B7">
        <w:t>. I</w:t>
      </w:r>
      <w:r w:rsidRPr="001005B7">
        <w:t xml:space="preserve">t would function as theodicy (cf. </w:t>
      </w:r>
      <w:proofErr w:type="spellStart"/>
      <w:r w:rsidRPr="001005B7">
        <w:t>Pohlmann</w:t>
      </w:r>
      <w:proofErr w:type="spellEnd"/>
      <w:r w:rsidRPr="001005B7">
        <w:t xml:space="preserve">, 1:73). </w:t>
      </w:r>
      <w:r w:rsidR="00294C91" w:rsidRPr="001005B7">
        <w:rPr>
          <w:lang w:eastAsia="en-GB"/>
        </w:rPr>
        <w:t>And as</w:t>
      </w:r>
      <w:r w:rsidR="007308AE" w:rsidRPr="001005B7">
        <w:rPr>
          <w:lang w:eastAsia="en-GB"/>
        </w:rPr>
        <w:t xml:space="preserve"> </w:t>
      </w:r>
      <w:r w:rsidR="007308AE" w:rsidRPr="001005B7">
        <w:t>t</w:t>
      </w:r>
      <w:r w:rsidR="001F2592" w:rsidRPr="001005B7">
        <w:t xml:space="preserve">he </w:t>
      </w:r>
      <w:proofErr w:type="spellStart"/>
      <w:r w:rsidR="001F2592" w:rsidRPr="001005B7">
        <w:t>Kebarites</w:t>
      </w:r>
      <w:proofErr w:type="spellEnd"/>
      <w:r w:rsidR="001F2592" w:rsidRPr="001005B7">
        <w:t>, and eventually a wider circle of Judahites</w:t>
      </w:r>
      <w:r w:rsidR="007308AE" w:rsidRPr="001005B7">
        <w:t>,</w:t>
      </w:r>
      <w:r w:rsidR="001F2592" w:rsidRPr="001005B7">
        <w:t xml:space="preserve"> read the testimon</w:t>
      </w:r>
      <w:r w:rsidR="003804E0" w:rsidRPr="001005B7">
        <w:t>y</w:t>
      </w:r>
      <w:r w:rsidR="001F2592" w:rsidRPr="001005B7">
        <w:t xml:space="preserve"> </w:t>
      </w:r>
      <w:r w:rsidR="00294C91" w:rsidRPr="001005B7">
        <w:t>in 1:1</w:t>
      </w:r>
      <w:r w:rsidR="00F46900" w:rsidRPr="001005B7">
        <w:t>–</w:t>
      </w:r>
      <w:r w:rsidR="00294C91" w:rsidRPr="001005B7">
        <w:t>3:27 as a whole</w:t>
      </w:r>
      <w:r w:rsidR="00AF14AF" w:rsidRPr="001005B7">
        <w:t xml:space="preserve"> </w:t>
      </w:r>
      <w:r w:rsidR="001F2592" w:rsidRPr="001005B7">
        <w:t xml:space="preserve">in the context of the scroll, </w:t>
      </w:r>
      <w:r w:rsidR="003804E0" w:rsidRPr="001005B7">
        <w:t>it</w:t>
      </w:r>
      <w:r w:rsidR="001F2592" w:rsidRPr="001005B7">
        <w:t xml:space="preserve"> would </w:t>
      </w:r>
      <w:r w:rsidR="00AF14AF" w:rsidRPr="001005B7">
        <w:t>once more</w:t>
      </w:r>
      <w:r w:rsidR="003821D5" w:rsidRPr="001005B7">
        <w:t xml:space="preserve"> </w:t>
      </w:r>
      <w:r w:rsidR="001F2592" w:rsidRPr="001005B7">
        <w:t xml:space="preserve">place a choice </w:t>
      </w:r>
      <w:r w:rsidR="000B2098" w:rsidRPr="001005B7">
        <w:t>in front of</w:t>
      </w:r>
      <w:r w:rsidR="001F2592" w:rsidRPr="001005B7">
        <w:t xml:space="preserve"> </w:t>
      </w:r>
      <w:r w:rsidR="00791DF7" w:rsidRPr="001005B7">
        <w:t>them</w:t>
      </w:r>
      <w:r w:rsidR="001F2592" w:rsidRPr="001005B7">
        <w:t xml:space="preserve">. </w:t>
      </w:r>
      <w:r w:rsidR="00E02C2D" w:rsidRPr="001005B7">
        <w:t xml:space="preserve">Ezekiel </w:t>
      </w:r>
      <w:r w:rsidR="009B6176" w:rsidRPr="001005B7">
        <w:t>asks</w:t>
      </w:r>
      <w:r w:rsidR="00E02C2D" w:rsidRPr="001005B7">
        <w:t>, w</w:t>
      </w:r>
      <w:r w:rsidR="001F2592" w:rsidRPr="001005B7">
        <w:t xml:space="preserve">ill you now believe that Yahweh gave me this vision and commission </w:t>
      </w:r>
      <w:r w:rsidR="003821D5" w:rsidRPr="001005B7">
        <w:t xml:space="preserve">and </w:t>
      </w:r>
      <w:r w:rsidR="001F2592" w:rsidRPr="001005B7">
        <w:t>heed the message I was commissioned to give</w:t>
      </w:r>
      <w:r w:rsidR="001F2592" w:rsidRPr="001005B7">
        <w:rPr>
          <w:lang w:eastAsia="en-GB"/>
        </w:rPr>
        <w:t xml:space="preserve">? </w:t>
      </w:r>
      <w:r w:rsidR="00181FCC" w:rsidRPr="001005B7">
        <w:t xml:space="preserve">The alternative </w:t>
      </w:r>
      <w:r w:rsidR="009C3602" w:rsidRPr="001005B7">
        <w:t>in 593 (he impl</w:t>
      </w:r>
      <w:r w:rsidR="004D3C63" w:rsidRPr="001005B7">
        <w:t>i</w:t>
      </w:r>
      <w:r w:rsidR="009C3602" w:rsidRPr="001005B7">
        <w:t>es) wa</w:t>
      </w:r>
      <w:r w:rsidR="00181FCC" w:rsidRPr="001005B7">
        <w:t>s t</w:t>
      </w:r>
      <w:r w:rsidR="00905679" w:rsidRPr="001005B7">
        <w:t>o</w:t>
      </w:r>
      <w:r w:rsidR="009C3602" w:rsidRPr="001005B7">
        <w:t xml:space="preserve"> </w:t>
      </w:r>
      <w:r w:rsidR="0034623C" w:rsidRPr="001005B7">
        <w:t>resist</w:t>
      </w:r>
      <w:r w:rsidR="00181FCC" w:rsidRPr="001005B7">
        <w:t xml:space="preserve"> </w:t>
      </w:r>
      <w:r w:rsidR="004D3C63" w:rsidRPr="001005B7">
        <w:t>his</w:t>
      </w:r>
      <w:r w:rsidR="00181FCC" w:rsidRPr="001005B7">
        <w:t xml:space="preserve"> message</w:t>
      </w:r>
      <w:r w:rsidR="0034623C" w:rsidRPr="001005B7">
        <w:t xml:space="preserve"> and find Yahweh making it impossible for </w:t>
      </w:r>
      <w:r w:rsidR="000F2B54" w:rsidRPr="001005B7">
        <w:t>him</w:t>
      </w:r>
      <w:r w:rsidR="0034623C" w:rsidRPr="001005B7">
        <w:t xml:space="preserve"> to speak to them</w:t>
      </w:r>
      <w:r w:rsidR="004114AA" w:rsidRPr="001005B7">
        <w:t xml:space="preserve">, and the same </w:t>
      </w:r>
      <w:r w:rsidR="00B57684" w:rsidRPr="001005B7">
        <w:t>option</w:t>
      </w:r>
      <w:r w:rsidR="004114AA" w:rsidRPr="001005B7">
        <w:t xml:space="preserve">s </w:t>
      </w:r>
      <w:r w:rsidR="00D37469" w:rsidRPr="001005B7">
        <w:t xml:space="preserve">would </w:t>
      </w:r>
      <w:r w:rsidR="004114AA" w:rsidRPr="001005B7">
        <w:t xml:space="preserve">lie </w:t>
      </w:r>
      <w:r w:rsidR="00C40931" w:rsidRPr="001005B7">
        <w:t>in front of</w:t>
      </w:r>
      <w:r w:rsidR="004114AA" w:rsidRPr="001005B7">
        <w:t xml:space="preserve"> them </w:t>
      </w:r>
      <w:r w:rsidR="00D37469" w:rsidRPr="001005B7">
        <w:t>after 587</w:t>
      </w:r>
      <w:r w:rsidR="004114AA" w:rsidRPr="001005B7">
        <w:t>.</w:t>
      </w:r>
      <w:r w:rsidR="0034623C" w:rsidRPr="001005B7">
        <w:t xml:space="preserve"> </w:t>
      </w:r>
      <w:r w:rsidR="00D37469" w:rsidRPr="001005B7">
        <w:t>P</w:t>
      </w:r>
      <w:r w:rsidR="00385D39" w:rsidRPr="001005B7">
        <w:t>erhaps even more now</w:t>
      </w:r>
      <w:r w:rsidR="00D348A9" w:rsidRPr="001005B7">
        <w:t xml:space="preserve"> (3:16b</w:t>
      </w:r>
      <w:r w:rsidR="00F46900" w:rsidRPr="001005B7">
        <w:t>–</w:t>
      </w:r>
      <w:r w:rsidR="00D348A9" w:rsidRPr="001005B7">
        <w:t>21 implies)</w:t>
      </w:r>
      <w:r w:rsidR="006F2F12" w:rsidRPr="001005B7">
        <w:t xml:space="preserve">, individuals need to be prepared to make their own decision about </w:t>
      </w:r>
      <w:r w:rsidR="00601569" w:rsidRPr="001005B7">
        <w:t>their</w:t>
      </w:r>
      <w:r w:rsidR="006F2F12" w:rsidRPr="001005B7">
        <w:t xml:space="preserve"> respon</w:t>
      </w:r>
      <w:r w:rsidR="00601569" w:rsidRPr="001005B7">
        <w:t>se</w:t>
      </w:r>
      <w:r w:rsidR="006F2F12" w:rsidRPr="001005B7">
        <w:t xml:space="preserve"> to </w:t>
      </w:r>
      <w:r w:rsidR="00923E23" w:rsidRPr="001005B7">
        <w:t>the</w:t>
      </w:r>
      <w:r w:rsidR="006F2F12" w:rsidRPr="001005B7">
        <w:t xml:space="preserve"> message</w:t>
      </w:r>
      <w:r w:rsidR="00694EDF" w:rsidRPr="001005B7">
        <w:t>. W</w:t>
      </w:r>
      <w:r w:rsidR="002B2041" w:rsidRPr="001005B7">
        <w:t xml:space="preserve">hile </w:t>
      </w:r>
      <w:r w:rsidR="00D348A9" w:rsidRPr="001005B7">
        <w:t>Ezekiel</w:t>
      </w:r>
      <w:r w:rsidR="006F2F12" w:rsidRPr="001005B7">
        <w:t xml:space="preserve"> speaks to the community as a whol</w:t>
      </w:r>
      <w:r w:rsidR="00AE05A6" w:rsidRPr="001005B7">
        <w:t>e, Yahweh deals with individuals as well as with the community.</w:t>
      </w:r>
      <w:r w:rsidR="006F2F12" w:rsidRPr="001005B7">
        <w:t xml:space="preserve"> </w:t>
      </w:r>
      <w:r w:rsidR="00B715C4" w:rsidRPr="001005B7">
        <w:t>And</w:t>
      </w:r>
      <w:r w:rsidR="00923E23" w:rsidRPr="001005B7">
        <w:t xml:space="preserve"> while he speaks of the individual, Yahweh deals with the community as a whole as well as with individuals.</w:t>
      </w:r>
    </w:p>
    <w:p w14:paraId="6BFD55A9" w14:textId="15FD68CB" w:rsidR="00D13E8E" w:rsidRPr="001005B7" w:rsidRDefault="00D13E8E" w:rsidP="00493833">
      <w:pPr>
        <w:pStyle w:val="Heading3"/>
      </w:pPr>
      <w:r w:rsidRPr="001005B7">
        <w:t>Translation</w:t>
      </w:r>
    </w:p>
    <w:p w14:paraId="0695D97B" w14:textId="17DC6A7C" w:rsidR="006F3D47" w:rsidRPr="001005B7" w:rsidRDefault="00624A3C" w:rsidP="00D13E8E">
      <w:pPr>
        <w:rPr>
          <w:vertAlign w:val="superscript"/>
        </w:rPr>
      </w:pPr>
      <w:r w:rsidRPr="001005B7">
        <w:rPr>
          <w:vertAlign w:val="superscript"/>
        </w:rPr>
        <w:t>3:</w:t>
      </w:r>
      <w:r w:rsidR="00D97003" w:rsidRPr="001005B7">
        <w:rPr>
          <w:vertAlign w:val="superscript"/>
        </w:rPr>
        <w:t>16</w:t>
      </w:r>
      <w:r w:rsidR="00D256D1" w:rsidRPr="001005B7">
        <w:t>Then</w:t>
      </w:r>
      <w:r w:rsidR="00BD1428" w:rsidRPr="001005B7">
        <w:t>,</w:t>
      </w:r>
      <w:r w:rsidR="00830311" w:rsidRPr="001005B7">
        <w:t xml:space="preserve"> a</w:t>
      </w:r>
      <w:r w:rsidR="005E09EF" w:rsidRPr="001005B7">
        <w:t>t the end of seven days</w:t>
      </w:r>
      <w:r w:rsidR="009214A4" w:rsidRPr="001005B7">
        <w:t>,</w:t>
      </w:r>
      <w:r w:rsidR="00DE3420" w:rsidRPr="001005B7">
        <w:rPr>
          <w:rStyle w:val="FootnoteReference"/>
        </w:rPr>
        <w:footnoteReference w:id="147"/>
      </w:r>
      <w:r w:rsidR="005E09EF" w:rsidRPr="001005B7">
        <w:t xml:space="preserve"> Yahweh’s </w:t>
      </w:r>
      <w:r w:rsidR="00C80210" w:rsidRPr="001005B7">
        <w:t>message</w:t>
      </w:r>
      <w:r w:rsidR="005E09EF" w:rsidRPr="001005B7">
        <w:t xml:space="preserve"> came to me</w:t>
      </w:r>
      <w:r w:rsidR="00703F96" w:rsidRPr="001005B7">
        <w:t>:</w:t>
      </w:r>
      <w:r w:rsidR="005E09EF" w:rsidRPr="001005B7">
        <w:t xml:space="preserve"> </w:t>
      </w:r>
      <w:r w:rsidR="003F25C9" w:rsidRPr="001005B7">
        <w:rPr>
          <w:vertAlign w:val="superscript"/>
        </w:rPr>
        <w:t>17</w:t>
      </w:r>
      <w:r w:rsidR="00D3329B" w:rsidRPr="001005B7">
        <w:t>My man</w:t>
      </w:r>
      <w:r w:rsidR="008A1D93" w:rsidRPr="001005B7">
        <w:t xml:space="preserve">, </w:t>
      </w:r>
      <w:r w:rsidR="00421020" w:rsidRPr="001005B7">
        <w:t xml:space="preserve">in that I am making you </w:t>
      </w:r>
      <w:r w:rsidR="008A1D93" w:rsidRPr="001005B7">
        <w:t xml:space="preserve">a lookout </w:t>
      </w:r>
      <w:r w:rsidR="00B12EB7" w:rsidRPr="001005B7">
        <w:t>for Israel’s household</w:t>
      </w:r>
      <w:r w:rsidR="00421020" w:rsidRPr="001005B7">
        <w:t>, yo</w:t>
      </w:r>
      <w:r w:rsidR="00B12EB7" w:rsidRPr="001005B7">
        <w:t>u will hear a message from my mouth</w:t>
      </w:r>
      <w:r w:rsidR="00E44202" w:rsidRPr="001005B7">
        <w:t xml:space="preserve"> an</w:t>
      </w:r>
      <w:r w:rsidR="002F2549" w:rsidRPr="001005B7">
        <w:t>d</w:t>
      </w:r>
      <w:r w:rsidR="00E44202" w:rsidRPr="001005B7">
        <w:t xml:space="preserve"> warn them </w:t>
      </w:r>
      <w:r w:rsidR="00D04BE1" w:rsidRPr="001005B7">
        <w:t>f</w:t>
      </w:r>
      <w:r w:rsidR="001E0805" w:rsidRPr="001005B7">
        <w:t xml:space="preserve">rom me. </w:t>
      </w:r>
      <w:r w:rsidR="001E0805" w:rsidRPr="001005B7">
        <w:rPr>
          <w:vertAlign w:val="superscript"/>
        </w:rPr>
        <w:t>18</w:t>
      </w:r>
      <w:r w:rsidR="001E0805" w:rsidRPr="001005B7">
        <w:t xml:space="preserve">When I say </w:t>
      </w:r>
      <w:r w:rsidR="00290F11" w:rsidRPr="001005B7">
        <w:t>regarding</w:t>
      </w:r>
      <w:r w:rsidR="00AE2635" w:rsidRPr="001005B7">
        <w:t xml:space="preserve"> </w:t>
      </w:r>
      <w:r w:rsidR="00C31312" w:rsidRPr="001005B7">
        <w:t xml:space="preserve">someone </w:t>
      </w:r>
      <w:r w:rsidR="00AE2635" w:rsidRPr="001005B7">
        <w:t xml:space="preserve">faithless, </w:t>
      </w:r>
      <w:r w:rsidR="001C264D" w:rsidRPr="001005B7">
        <w:t>“</w:t>
      </w:r>
      <w:r w:rsidR="00AE2635" w:rsidRPr="001005B7">
        <w:t>You will definitely die</w:t>
      </w:r>
      <w:r w:rsidR="00221BC2" w:rsidRPr="001005B7">
        <w:t>,</w:t>
      </w:r>
      <w:r w:rsidR="001C264D" w:rsidRPr="001005B7">
        <w:t>”</w:t>
      </w:r>
      <w:r w:rsidR="00221BC2" w:rsidRPr="001005B7">
        <w:t xml:space="preserve"> but you </w:t>
      </w:r>
      <w:r w:rsidR="003D4C75" w:rsidRPr="001005B7">
        <w:t>have</w:t>
      </w:r>
      <w:r w:rsidR="00221BC2" w:rsidRPr="001005B7">
        <w:t xml:space="preserve"> not warn</w:t>
      </w:r>
      <w:r w:rsidR="003D4C75" w:rsidRPr="001005B7">
        <w:t>ed</w:t>
      </w:r>
      <w:r w:rsidR="00221BC2" w:rsidRPr="001005B7">
        <w:t xml:space="preserve"> </w:t>
      </w:r>
      <w:r w:rsidR="0080537E" w:rsidRPr="001005B7">
        <w:t>hi</w:t>
      </w:r>
      <w:r w:rsidR="00290F11" w:rsidRPr="001005B7">
        <w:t>m</w:t>
      </w:r>
      <w:r w:rsidR="00837F98" w:rsidRPr="001005B7">
        <w:t>,</w:t>
      </w:r>
      <w:r w:rsidR="009366E4" w:rsidRPr="001005B7">
        <w:t xml:space="preserve"> thus</w:t>
      </w:r>
      <w:r w:rsidR="00FA7C45" w:rsidRPr="001005B7">
        <w:t xml:space="preserve"> not sp</w:t>
      </w:r>
      <w:r w:rsidR="004A3319" w:rsidRPr="001005B7">
        <w:t>oken</w:t>
      </w:r>
      <w:r w:rsidR="00FA7C45" w:rsidRPr="001005B7">
        <w:t xml:space="preserve"> to warn </w:t>
      </w:r>
      <w:r w:rsidR="00C31312" w:rsidRPr="001005B7">
        <w:t xml:space="preserve">someone </w:t>
      </w:r>
      <w:r w:rsidR="00FA7C45" w:rsidRPr="001005B7">
        <w:t xml:space="preserve">faithless </w:t>
      </w:r>
      <w:r w:rsidR="004C5800" w:rsidRPr="001005B7">
        <w:t>from</w:t>
      </w:r>
      <w:r w:rsidR="00DB780C" w:rsidRPr="001005B7">
        <w:t xml:space="preserve"> </w:t>
      </w:r>
      <w:r w:rsidR="0080537E" w:rsidRPr="001005B7">
        <w:t>his</w:t>
      </w:r>
      <w:r w:rsidR="00DB780C" w:rsidRPr="001005B7">
        <w:t xml:space="preserve"> faithless </w:t>
      </w:r>
      <w:r w:rsidR="005E0C1A" w:rsidRPr="001005B7">
        <w:t>path</w:t>
      </w:r>
      <w:r w:rsidR="00274DBA" w:rsidRPr="001005B7">
        <w:t xml:space="preserve"> so as to keep </w:t>
      </w:r>
      <w:r w:rsidR="00C806E1" w:rsidRPr="001005B7">
        <w:t>him</w:t>
      </w:r>
      <w:r w:rsidR="00274DBA" w:rsidRPr="001005B7">
        <w:t xml:space="preserve"> alive, </w:t>
      </w:r>
      <w:r w:rsidR="00562BC1" w:rsidRPr="001005B7">
        <w:t xml:space="preserve">that </w:t>
      </w:r>
      <w:r w:rsidR="00927AB0" w:rsidRPr="001005B7">
        <w:t>person</w:t>
      </w:r>
      <w:r w:rsidR="00261A29" w:rsidRPr="001005B7">
        <w:t xml:space="preserve">, </w:t>
      </w:r>
      <w:r w:rsidR="00D663A2" w:rsidRPr="001005B7">
        <w:t>someone</w:t>
      </w:r>
      <w:r w:rsidR="00261A29" w:rsidRPr="001005B7">
        <w:t xml:space="preserve"> </w:t>
      </w:r>
      <w:r w:rsidR="00562BC1" w:rsidRPr="001005B7">
        <w:t>faithless</w:t>
      </w:r>
      <w:r w:rsidR="00261A29" w:rsidRPr="001005B7">
        <w:t>,</w:t>
      </w:r>
      <w:r w:rsidR="00562BC1" w:rsidRPr="001005B7">
        <w:t xml:space="preserve"> </w:t>
      </w:r>
      <w:r w:rsidR="00387B42" w:rsidRPr="001005B7">
        <w:t xml:space="preserve">will die </w:t>
      </w:r>
      <w:r w:rsidR="00D62D5A" w:rsidRPr="001005B7">
        <w:t>through</w:t>
      </w:r>
      <w:r w:rsidR="00562BC1" w:rsidRPr="001005B7">
        <w:t xml:space="preserve"> </w:t>
      </w:r>
      <w:r w:rsidR="00C806E1" w:rsidRPr="001005B7">
        <w:t>his</w:t>
      </w:r>
      <w:r w:rsidR="00562BC1" w:rsidRPr="001005B7">
        <w:t xml:space="preserve"> waywardness</w:t>
      </w:r>
      <w:r w:rsidR="00A117F3" w:rsidRPr="001005B7">
        <w:t>,</w:t>
      </w:r>
      <w:r w:rsidR="00934526" w:rsidRPr="001005B7">
        <w:t xml:space="preserve"> </w:t>
      </w:r>
      <w:r w:rsidR="00092ED4" w:rsidRPr="001005B7">
        <w:t xml:space="preserve">but </w:t>
      </w:r>
      <w:r w:rsidR="00C806E1" w:rsidRPr="001005B7">
        <w:t>his</w:t>
      </w:r>
      <w:r w:rsidR="00934526" w:rsidRPr="001005B7">
        <w:t xml:space="preserve"> blood I will require from your hand.</w:t>
      </w:r>
      <w:r w:rsidR="002F2549" w:rsidRPr="001005B7">
        <w:t xml:space="preserve"> </w:t>
      </w:r>
      <w:r w:rsidR="002F2549" w:rsidRPr="001005B7">
        <w:rPr>
          <w:vertAlign w:val="superscript"/>
        </w:rPr>
        <w:t>19</w:t>
      </w:r>
      <w:r w:rsidR="00806B82" w:rsidRPr="001005B7">
        <w:t xml:space="preserve">But you, when you </w:t>
      </w:r>
      <w:r w:rsidR="00DA4687" w:rsidRPr="001005B7">
        <w:t xml:space="preserve">have </w:t>
      </w:r>
      <w:r w:rsidR="00806B82" w:rsidRPr="001005B7">
        <w:t>warn</w:t>
      </w:r>
      <w:r w:rsidR="00DA4687" w:rsidRPr="001005B7">
        <w:t>ed</w:t>
      </w:r>
      <w:r w:rsidR="00806B82" w:rsidRPr="001005B7">
        <w:t xml:space="preserve"> </w:t>
      </w:r>
      <w:r w:rsidR="000E400C" w:rsidRPr="001005B7">
        <w:t>someone</w:t>
      </w:r>
      <w:r w:rsidR="00806B82" w:rsidRPr="001005B7">
        <w:t xml:space="preserve"> faithless</w:t>
      </w:r>
      <w:r w:rsidR="00D33AC8" w:rsidRPr="001005B7">
        <w:t xml:space="preserve"> and </w:t>
      </w:r>
      <w:r w:rsidR="00C806E1" w:rsidRPr="001005B7">
        <w:t>he</w:t>
      </w:r>
      <w:r w:rsidR="00D33AC8" w:rsidRPr="001005B7">
        <w:t xml:space="preserve"> </w:t>
      </w:r>
      <w:r w:rsidR="002E7B27" w:rsidRPr="001005B7">
        <w:t>ha</w:t>
      </w:r>
      <w:r w:rsidR="00C806E1" w:rsidRPr="001005B7">
        <w:t>s</w:t>
      </w:r>
      <w:r w:rsidR="00D33AC8" w:rsidRPr="001005B7">
        <w:t>n’t turn</w:t>
      </w:r>
      <w:r w:rsidR="002E7B27" w:rsidRPr="001005B7">
        <w:t>ed</w:t>
      </w:r>
      <w:r w:rsidR="00D33AC8" w:rsidRPr="001005B7">
        <w:t xml:space="preserve"> from </w:t>
      </w:r>
      <w:r w:rsidR="00C806E1" w:rsidRPr="001005B7">
        <w:t>his</w:t>
      </w:r>
      <w:r w:rsidR="00D33AC8" w:rsidRPr="001005B7">
        <w:t xml:space="preserve"> faithlessness</w:t>
      </w:r>
      <w:r w:rsidR="005966FE" w:rsidRPr="001005B7">
        <w:t xml:space="preserve"> or from </w:t>
      </w:r>
      <w:r w:rsidR="00C806E1" w:rsidRPr="001005B7">
        <w:t>his</w:t>
      </w:r>
      <w:r w:rsidR="005966FE" w:rsidRPr="001005B7">
        <w:t xml:space="preserve"> faithless </w:t>
      </w:r>
      <w:r w:rsidR="00784EBC" w:rsidRPr="001005B7">
        <w:t>path</w:t>
      </w:r>
      <w:r w:rsidR="00D25479" w:rsidRPr="001005B7">
        <w:t xml:space="preserve">, </w:t>
      </w:r>
      <w:r w:rsidR="00AE7893" w:rsidRPr="001005B7">
        <w:t xml:space="preserve">that </w:t>
      </w:r>
      <w:r w:rsidR="006F7231" w:rsidRPr="001005B7">
        <w:t>person</w:t>
      </w:r>
      <w:r w:rsidR="007E569B" w:rsidRPr="001005B7">
        <w:t>,</w:t>
      </w:r>
      <w:r w:rsidR="00AE7893" w:rsidRPr="001005B7">
        <w:t xml:space="preserve"> </w:t>
      </w:r>
      <w:r w:rsidR="00D62D5A" w:rsidRPr="001005B7">
        <w:t>through</w:t>
      </w:r>
      <w:r w:rsidR="00D25479" w:rsidRPr="001005B7">
        <w:t xml:space="preserve"> </w:t>
      </w:r>
      <w:r w:rsidR="00C806E1" w:rsidRPr="001005B7">
        <w:t>his</w:t>
      </w:r>
      <w:r w:rsidR="00D25479" w:rsidRPr="001005B7">
        <w:t xml:space="preserve"> waywardness</w:t>
      </w:r>
      <w:r w:rsidR="00687CFD" w:rsidRPr="001005B7">
        <w:t xml:space="preserve"> will die, but you</w:t>
      </w:r>
      <w:r w:rsidR="00345467" w:rsidRPr="001005B7">
        <w:t>, you</w:t>
      </w:r>
      <w:r w:rsidR="00687CFD" w:rsidRPr="001005B7">
        <w:t xml:space="preserve"> will have saved your</w:t>
      </w:r>
      <w:r w:rsidR="00704A5B" w:rsidRPr="001005B7">
        <w:t>self</w:t>
      </w:r>
      <w:r w:rsidR="00345467" w:rsidRPr="001005B7">
        <w:t xml:space="preserve">. </w:t>
      </w:r>
      <w:r w:rsidR="00345467" w:rsidRPr="001005B7">
        <w:rPr>
          <w:vertAlign w:val="superscript"/>
        </w:rPr>
        <w:t>20</w:t>
      </w:r>
      <w:r w:rsidR="005C3B02" w:rsidRPr="001005B7">
        <w:t xml:space="preserve">And when </w:t>
      </w:r>
      <w:r w:rsidR="00101A88" w:rsidRPr="001005B7">
        <w:t>someone</w:t>
      </w:r>
      <w:r w:rsidR="005C3B02" w:rsidRPr="001005B7">
        <w:t xml:space="preserve"> faith</w:t>
      </w:r>
      <w:r w:rsidR="00557818" w:rsidRPr="001005B7">
        <w:t>ful</w:t>
      </w:r>
      <w:r w:rsidR="00006BBD" w:rsidRPr="001005B7">
        <w:t xml:space="preserve"> turns from </w:t>
      </w:r>
      <w:r w:rsidR="00C806E1" w:rsidRPr="001005B7">
        <w:t>his</w:t>
      </w:r>
      <w:r w:rsidR="00006BBD" w:rsidRPr="001005B7">
        <w:t xml:space="preserve"> faithfulness and </w:t>
      </w:r>
      <w:r w:rsidR="00912553" w:rsidRPr="001005B7">
        <w:t>does wrong</w:t>
      </w:r>
      <w:r w:rsidR="00AC4F35" w:rsidRPr="001005B7">
        <w:t xml:space="preserve"> and I put </w:t>
      </w:r>
      <w:r w:rsidR="00FC2F1D" w:rsidRPr="001005B7">
        <w:t xml:space="preserve">in front of him </w:t>
      </w:r>
      <w:r w:rsidR="00100EEC" w:rsidRPr="001005B7">
        <w:t>something t</w:t>
      </w:r>
      <w:r w:rsidR="00677B2B" w:rsidRPr="001005B7">
        <w:t>hat</w:t>
      </w:r>
      <w:r w:rsidR="00100EEC" w:rsidRPr="001005B7">
        <w:t xml:space="preserve"> </w:t>
      </w:r>
      <w:r w:rsidR="00FA519B" w:rsidRPr="001005B7">
        <w:t>causes</w:t>
      </w:r>
      <w:r w:rsidR="00100EEC" w:rsidRPr="001005B7">
        <w:t xml:space="preserve"> </w:t>
      </w:r>
      <w:r w:rsidR="00C806E1" w:rsidRPr="001005B7">
        <w:t>hi</w:t>
      </w:r>
      <w:r w:rsidR="003F6692" w:rsidRPr="001005B7">
        <w:t>s downfall</w:t>
      </w:r>
      <w:r w:rsidR="002B73A3" w:rsidRPr="001005B7">
        <w:t xml:space="preserve">, </w:t>
      </w:r>
      <w:r w:rsidR="00245D95" w:rsidRPr="001005B7">
        <w:t>that person</w:t>
      </w:r>
      <w:r w:rsidR="002B73A3" w:rsidRPr="001005B7">
        <w:t xml:space="preserve"> will die</w:t>
      </w:r>
      <w:r w:rsidR="005F0710" w:rsidRPr="001005B7">
        <w:t xml:space="preserve"> because you </w:t>
      </w:r>
      <w:r w:rsidR="00F31EA1" w:rsidRPr="001005B7">
        <w:t>have</w:t>
      </w:r>
      <w:r w:rsidR="005F0710" w:rsidRPr="001005B7">
        <w:t xml:space="preserve"> not warn</w:t>
      </w:r>
      <w:r w:rsidR="00F31EA1" w:rsidRPr="001005B7">
        <w:t>ed</w:t>
      </w:r>
      <w:r w:rsidR="005F0710" w:rsidRPr="001005B7">
        <w:t xml:space="preserve"> </w:t>
      </w:r>
      <w:r w:rsidR="00C806E1" w:rsidRPr="001005B7">
        <w:t>hi</w:t>
      </w:r>
      <w:r w:rsidR="005F0710" w:rsidRPr="001005B7">
        <w:t>m</w:t>
      </w:r>
      <w:r w:rsidR="004642CE" w:rsidRPr="001005B7">
        <w:t xml:space="preserve">. While he will die </w:t>
      </w:r>
      <w:r w:rsidR="002F7948" w:rsidRPr="001005B7">
        <w:t xml:space="preserve">through </w:t>
      </w:r>
      <w:r w:rsidR="00FE607E" w:rsidRPr="001005B7">
        <w:t>his</w:t>
      </w:r>
      <w:r w:rsidR="002F7948" w:rsidRPr="001005B7">
        <w:t xml:space="preserve"> offense</w:t>
      </w:r>
      <w:r w:rsidR="004642CE" w:rsidRPr="001005B7">
        <w:t>,</w:t>
      </w:r>
      <w:r w:rsidR="00161457" w:rsidRPr="001005B7">
        <w:t xml:space="preserve"> and </w:t>
      </w:r>
      <w:r w:rsidR="00FE607E" w:rsidRPr="001005B7">
        <w:t>his</w:t>
      </w:r>
      <w:r w:rsidR="00161457" w:rsidRPr="001005B7">
        <w:t xml:space="preserve"> faithful acts </w:t>
      </w:r>
      <w:r w:rsidR="00C93EB3" w:rsidRPr="001005B7">
        <w:t>that he</w:t>
      </w:r>
      <w:r w:rsidR="00FE607E" w:rsidRPr="001005B7">
        <w:t xml:space="preserve"> has</w:t>
      </w:r>
      <w:r w:rsidR="00C07ECB" w:rsidRPr="001005B7">
        <w:t xml:space="preserve"> done</w:t>
      </w:r>
      <w:r w:rsidR="00C93EB3" w:rsidRPr="001005B7">
        <w:t xml:space="preserve"> </w:t>
      </w:r>
      <w:r w:rsidR="00161457" w:rsidRPr="001005B7">
        <w:t xml:space="preserve">will not </w:t>
      </w:r>
      <w:r w:rsidR="00857AF2" w:rsidRPr="001005B7">
        <w:t>stay</w:t>
      </w:r>
      <w:r w:rsidR="001F107B" w:rsidRPr="001005B7">
        <w:t xml:space="preserve"> in mind</w:t>
      </w:r>
      <w:r w:rsidR="00C93EB3" w:rsidRPr="001005B7">
        <w:t xml:space="preserve">, </w:t>
      </w:r>
      <w:r w:rsidR="00FE607E" w:rsidRPr="001005B7">
        <w:t>his</w:t>
      </w:r>
      <w:r w:rsidR="00C93EB3" w:rsidRPr="001005B7">
        <w:t xml:space="preserve"> blood from your hand I will require.</w:t>
      </w:r>
      <w:r w:rsidR="006F7D83" w:rsidRPr="001005B7">
        <w:t xml:space="preserve"> </w:t>
      </w:r>
      <w:r w:rsidR="006F7D83" w:rsidRPr="001005B7">
        <w:rPr>
          <w:vertAlign w:val="superscript"/>
        </w:rPr>
        <w:t>21</w:t>
      </w:r>
      <w:r w:rsidR="006F7D83" w:rsidRPr="001005B7">
        <w:t xml:space="preserve">But you, when you </w:t>
      </w:r>
      <w:r w:rsidR="00192CD6" w:rsidRPr="001005B7">
        <w:t xml:space="preserve">have </w:t>
      </w:r>
      <w:r w:rsidR="006F7D83" w:rsidRPr="001005B7">
        <w:t>warn</w:t>
      </w:r>
      <w:r w:rsidR="00192CD6" w:rsidRPr="001005B7">
        <w:t>ed</w:t>
      </w:r>
      <w:r w:rsidR="00F061B2" w:rsidRPr="001005B7">
        <w:t xml:space="preserve"> </w:t>
      </w:r>
      <w:r w:rsidR="006E479C" w:rsidRPr="001005B7">
        <w:t>someone</w:t>
      </w:r>
      <w:r w:rsidR="00F061B2" w:rsidRPr="001005B7">
        <w:t xml:space="preserve"> faithful </w:t>
      </w:r>
      <w:r w:rsidR="00A56E9F" w:rsidRPr="001005B7">
        <w:t xml:space="preserve">so </w:t>
      </w:r>
      <w:r w:rsidR="005A1081" w:rsidRPr="001005B7">
        <w:t xml:space="preserve">that </w:t>
      </w:r>
      <w:r w:rsidR="00E76236" w:rsidRPr="001005B7">
        <w:t xml:space="preserve">the </w:t>
      </w:r>
      <w:r w:rsidR="005A1081" w:rsidRPr="001005B7">
        <w:t xml:space="preserve">faithful </w:t>
      </w:r>
      <w:r w:rsidR="00E76236" w:rsidRPr="001005B7">
        <w:t xml:space="preserve">one </w:t>
      </w:r>
      <w:r w:rsidR="008A0B6C" w:rsidRPr="001005B7">
        <w:t>does</w:t>
      </w:r>
      <w:r w:rsidR="005A1081" w:rsidRPr="001005B7">
        <w:t xml:space="preserve"> </w:t>
      </w:r>
      <w:r w:rsidR="00F061B2" w:rsidRPr="001005B7">
        <w:t>not offend</w:t>
      </w:r>
      <w:r w:rsidR="00F762A7" w:rsidRPr="001005B7">
        <w:t xml:space="preserve">, and </w:t>
      </w:r>
      <w:r w:rsidR="00C21DBC" w:rsidRPr="001005B7">
        <w:t xml:space="preserve">that </w:t>
      </w:r>
      <w:r w:rsidR="00137BCA" w:rsidRPr="001005B7">
        <w:t>person</w:t>
      </w:r>
      <w:r w:rsidR="00F762A7" w:rsidRPr="001005B7">
        <w:t xml:space="preserve"> </w:t>
      </w:r>
      <w:r w:rsidR="00C21DBC" w:rsidRPr="001005B7">
        <w:t>ha</w:t>
      </w:r>
      <w:r w:rsidR="00F762A7" w:rsidRPr="001005B7">
        <w:t>s not offend</w:t>
      </w:r>
      <w:r w:rsidR="00C21DBC" w:rsidRPr="001005B7">
        <w:t>ed</w:t>
      </w:r>
      <w:r w:rsidR="005B2217" w:rsidRPr="001005B7">
        <w:t xml:space="preserve">, </w:t>
      </w:r>
      <w:r w:rsidR="00B61E10" w:rsidRPr="001005B7">
        <w:t>he</w:t>
      </w:r>
      <w:r w:rsidR="005B2217" w:rsidRPr="001005B7">
        <w:t xml:space="preserve"> will definitely live</w:t>
      </w:r>
      <w:r w:rsidR="00DD4D39" w:rsidRPr="001005B7">
        <w:t xml:space="preserve"> because </w:t>
      </w:r>
      <w:r w:rsidR="00B61E10" w:rsidRPr="001005B7">
        <w:t>he</w:t>
      </w:r>
      <w:r w:rsidR="00785666" w:rsidRPr="001005B7">
        <w:t xml:space="preserve"> ha</w:t>
      </w:r>
      <w:r w:rsidR="00B61E10" w:rsidRPr="001005B7">
        <w:t>s</w:t>
      </w:r>
      <w:r w:rsidR="00B63F48" w:rsidRPr="001005B7">
        <w:t xml:space="preserve"> taken</w:t>
      </w:r>
      <w:r w:rsidR="00DD4D39" w:rsidRPr="001005B7">
        <w:t xml:space="preserve"> warning, and you, you will have saved your</w:t>
      </w:r>
      <w:r w:rsidR="00114879" w:rsidRPr="001005B7">
        <w:t>self</w:t>
      </w:r>
      <w:r w:rsidR="00DD4D39" w:rsidRPr="001005B7">
        <w:t>.</w:t>
      </w:r>
    </w:p>
    <w:p w14:paraId="5CB0C382" w14:textId="39CF2D67" w:rsidR="00503CE5" w:rsidRPr="001005B7" w:rsidRDefault="00503CE5" w:rsidP="00D13E8E">
      <w:pPr>
        <w:rPr>
          <w:vertAlign w:val="superscript"/>
        </w:rPr>
      </w:pPr>
      <w:r w:rsidRPr="001005B7">
        <w:rPr>
          <w:vertAlign w:val="superscript"/>
        </w:rPr>
        <w:t>22</w:t>
      </w:r>
      <w:r w:rsidR="001722A5" w:rsidRPr="001005B7">
        <w:t>Yahweh’s hand came on me there</w:t>
      </w:r>
      <w:r w:rsidR="009F4F18" w:rsidRPr="001005B7">
        <w:t xml:space="preserve"> and he said to me</w:t>
      </w:r>
      <w:r w:rsidR="002E6017" w:rsidRPr="001005B7">
        <w:t>,</w:t>
      </w:r>
      <w:r w:rsidR="009F4F18" w:rsidRPr="001005B7">
        <w:t xml:space="preserve"> </w:t>
      </w:r>
      <w:r w:rsidR="007B6A9E" w:rsidRPr="001005B7">
        <w:t xml:space="preserve">Get up, go out to the </w:t>
      </w:r>
      <w:r w:rsidR="00677D9F" w:rsidRPr="001005B7">
        <w:t>plain</w:t>
      </w:r>
      <w:r w:rsidR="00373015" w:rsidRPr="001005B7">
        <w:t xml:space="preserve">, and there I will speak with you. </w:t>
      </w:r>
      <w:r w:rsidR="00373015" w:rsidRPr="001005B7">
        <w:rPr>
          <w:vertAlign w:val="superscript"/>
        </w:rPr>
        <w:t>23</w:t>
      </w:r>
      <w:r w:rsidR="00373015" w:rsidRPr="001005B7">
        <w:t xml:space="preserve">So </w:t>
      </w:r>
      <w:r w:rsidR="00A954E3" w:rsidRPr="001005B7">
        <w:t>I</w:t>
      </w:r>
      <w:r w:rsidR="00373015" w:rsidRPr="001005B7">
        <w:t xml:space="preserve"> got up and went out</w:t>
      </w:r>
      <w:r w:rsidR="00A954E3" w:rsidRPr="001005B7">
        <w:t xml:space="preserve"> to the </w:t>
      </w:r>
      <w:r w:rsidR="00677D9F" w:rsidRPr="001005B7">
        <w:t>plain</w:t>
      </w:r>
      <w:r w:rsidR="00A954E3" w:rsidRPr="001005B7">
        <w:t xml:space="preserve">, and </w:t>
      </w:r>
      <w:r w:rsidR="00744D4A" w:rsidRPr="001005B7">
        <w:t xml:space="preserve">there, Yahweh’s </w:t>
      </w:r>
      <w:r w:rsidR="00180CEB" w:rsidRPr="001005B7">
        <w:t>magnificence</w:t>
      </w:r>
      <w:r w:rsidR="00744D4A" w:rsidRPr="001005B7">
        <w:t xml:space="preserve"> was standing</w:t>
      </w:r>
      <w:r w:rsidR="00616C74" w:rsidRPr="001005B7">
        <w:t xml:space="preserve"> there</w:t>
      </w:r>
      <w:r w:rsidR="00744D4A" w:rsidRPr="001005B7">
        <w:t xml:space="preserve">, </w:t>
      </w:r>
      <w:r w:rsidR="004437C3" w:rsidRPr="001005B7">
        <w:t xml:space="preserve">like the </w:t>
      </w:r>
      <w:r w:rsidR="00180CEB" w:rsidRPr="001005B7">
        <w:t>magnificence</w:t>
      </w:r>
      <w:r w:rsidR="004437C3" w:rsidRPr="001005B7">
        <w:t xml:space="preserve"> that I saw by the </w:t>
      </w:r>
      <w:proofErr w:type="spellStart"/>
      <w:r w:rsidR="004437C3" w:rsidRPr="001005B7">
        <w:t>Kebar</w:t>
      </w:r>
      <w:proofErr w:type="spellEnd"/>
      <w:r w:rsidR="004437C3" w:rsidRPr="001005B7">
        <w:t xml:space="preserve"> Waterway</w:t>
      </w:r>
      <w:r w:rsidR="00041C94" w:rsidRPr="001005B7">
        <w:t>, and</w:t>
      </w:r>
      <w:r w:rsidR="00CE7FEE" w:rsidRPr="001005B7">
        <w:t xml:space="preserve"> I </w:t>
      </w:r>
      <w:r w:rsidR="000C3D62" w:rsidRPr="001005B7">
        <w:t>f</w:t>
      </w:r>
      <w:r w:rsidR="00CE7FEE" w:rsidRPr="001005B7">
        <w:t>ell on my face</w:t>
      </w:r>
      <w:r w:rsidR="00B2139C" w:rsidRPr="001005B7">
        <w:t>.</w:t>
      </w:r>
      <w:r w:rsidR="00CE7FEE" w:rsidRPr="001005B7">
        <w:t xml:space="preserve"> </w:t>
      </w:r>
      <w:r w:rsidR="00CE7FEE" w:rsidRPr="001005B7">
        <w:rPr>
          <w:vertAlign w:val="superscript"/>
        </w:rPr>
        <w:t>24</w:t>
      </w:r>
      <w:r w:rsidR="00B2139C" w:rsidRPr="001005B7">
        <w:t>A</w:t>
      </w:r>
      <w:r w:rsidR="00CE6DE8" w:rsidRPr="001005B7">
        <w:t xml:space="preserve"> spirit came into me</w:t>
      </w:r>
      <w:r w:rsidR="000C3D62" w:rsidRPr="001005B7">
        <w:t xml:space="preserve"> and </w:t>
      </w:r>
      <w:r w:rsidR="0002603E" w:rsidRPr="001005B7">
        <w:t xml:space="preserve">got me to </w:t>
      </w:r>
      <w:r w:rsidR="000C3D62" w:rsidRPr="001005B7">
        <w:t>st</w:t>
      </w:r>
      <w:r w:rsidR="0002603E" w:rsidRPr="001005B7">
        <w:t>an</w:t>
      </w:r>
      <w:r w:rsidR="000C3D62" w:rsidRPr="001005B7">
        <w:t>d</w:t>
      </w:r>
      <w:r w:rsidR="00EA5E99" w:rsidRPr="001005B7">
        <w:t xml:space="preserve"> </w:t>
      </w:r>
      <w:r w:rsidR="000C3D62" w:rsidRPr="001005B7">
        <w:t>on my feet. He s</w:t>
      </w:r>
      <w:r w:rsidR="0048501B" w:rsidRPr="001005B7">
        <w:t>poke with me and said to me</w:t>
      </w:r>
      <w:r w:rsidR="00DC4654" w:rsidRPr="001005B7">
        <w:t>,</w:t>
      </w:r>
      <w:r w:rsidR="00574FD6" w:rsidRPr="001005B7">
        <w:t xml:space="preserve"> Come, shut yourself inside your house.</w:t>
      </w:r>
      <w:r w:rsidR="00910911" w:rsidRPr="001005B7">
        <w:t xml:space="preserve"> </w:t>
      </w:r>
      <w:r w:rsidR="00723ACD" w:rsidRPr="001005B7">
        <w:rPr>
          <w:vertAlign w:val="superscript"/>
        </w:rPr>
        <w:t>25</w:t>
      </w:r>
      <w:r w:rsidR="00910911" w:rsidRPr="001005B7">
        <w:t xml:space="preserve">And you, </w:t>
      </w:r>
      <w:r w:rsidR="00D3329B" w:rsidRPr="001005B7">
        <w:t>my man</w:t>
      </w:r>
      <w:r w:rsidR="00910911" w:rsidRPr="001005B7">
        <w:t xml:space="preserve">, there, </w:t>
      </w:r>
      <w:r w:rsidR="00DE4E9F" w:rsidRPr="001005B7">
        <w:t xml:space="preserve">they </w:t>
      </w:r>
      <w:r w:rsidR="00872E98" w:rsidRPr="001005B7">
        <w:t>are</w:t>
      </w:r>
      <w:r w:rsidR="00DE4E9F" w:rsidRPr="001005B7">
        <w:t xml:space="preserve"> put</w:t>
      </w:r>
      <w:r w:rsidR="00872E98" w:rsidRPr="001005B7">
        <w:t>ting</w:t>
      </w:r>
      <w:r w:rsidR="00DE4E9F" w:rsidRPr="001005B7">
        <w:t xml:space="preserve"> cords on you</w:t>
      </w:r>
      <w:r w:rsidR="006D5489" w:rsidRPr="001005B7">
        <w:t xml:space="preserve"> and t</w:t>
      </w:r>
      <w:r w:rsidR="007C4596" w:rsidRPr="001005B7">
        <w:t>ying</w:t>
      </w:r>
      <w:r w:rsidR="0074358F" w:rsidRPr="001005B7">
        <w:t xml:space="preserve"> you up with them. You will not go out </w:t>
      </w:r>
      <w:r w:rsidR="00174F85" w:rsidRPr="001005B7">
        <w:t xml:space="preserve">among them. </w:t>
      </w:r>
      <w:r w:rsidR="00174F85" w:rsidRPr="001005B7">
        <w:rPr>
          <w:vertAlign w:val="superscript"/>
        </w:rPr>
        <w:t>26</w:t>
      </w:r>
      <w:r w:rsidR="003401F9" w:rsidRPr="001005B7">
        <w:t>And your tongue I will make stick to your palate</w:t>
      </w:r>
      <w:r w:rsidR="00990161" w:rsidRPr="001005B7">
        <w:t xml:space="preserve">. You will be </w:t>
      </w:r>
      <w:r w:rsidR="006177FA" w:rsidRPr="001005B7">
        <w:t>silent</w:t>
      </w:r>
      <w:r w:rsidR="00990161" w:rsidRPr="001005B7">
        <w:t xml:space="preserve">. </w:t>
      </w:r>
      <w:r w:rsidR="00DC4A23" w:rsidRPr="001005B7">
        <w:t xml:space="preserve">You will not be for them </w:t>
      </w:r>
      <w:r w:rsidR="001E59AD" w:rsidRPr="001005B7">
        <w:t xml:space="preserve">someone </w:t>
      </w:r>
      <w:r w:rsidR="00973756" w:rsidRPr="001005B7">
        <w:t>reprov</w:t>
      </w:r>
      <w:r w:rsidR="007F0FA6" w:rsidRPr="001005B7">
        <w:t xml:space="preserve">ing, </w:t>
      </w:r>
      <w:r w:rsidR="006E50F9" w:rsidRPr="001005B7">
        <w:t xml:space="preserve">because they are a household of rebellion. </w:t>
      </w:r>
      <w:r w:rsidR="00B3769C" w:rsidRPr="001005B7">
        <w:rPr>
          <w:vertAlign w:val="superscript"/>
        </w:rPr>
        <w:t>27</w:t>
      </w:r>
      <w:r w:rsidR="00B3769C" w:rsidRPr="001005B7">
        <w:t>But when I speak with you, I will open your mouth</w:t>
      </w:r>
      <w:r w:rsidR="006D1F0F" w:rsidRPr="001005B7">
        <w:t xml:space="preserve">, and you will say to them, </w:t>
      </w:r>
      <w:r w:rsidR="007C2642" w:rsidRPr="001005B7">
        <w:t>“</w:t>
      </w:r>
      <w:r w:rsidR="002849F5" w:rsidRPr="001005B7">
        <w:t xml:space="preserve">The Lord </w:t>
      </w:r>
      <w:r w:rsidR="006D1F0F" w:rsidRPr="001005B7">
        <w:t>Yahweh has said this</w:t>
      </w:r>
      <w:r w:rsidR="00AF241A" w:rsidRPr="001005B7">
        <w:t>,</w:t>
      </w:r>
      <w:r w:rsidR="007C2642" w:rsidRPr="001005B7">
        <w:t>”</w:t>
      </w:r>
      <w:r w:rsidR="002849F5" w:rsidRPr="001005B7">
        <w:t xml:space="preserve"> </w:t>
      </w:r>
      <w:r w:rsidR="00AF241A" w:rsidRPr="001005B7">
        <w:t>as o</w:t>
      </w:r>
      <w:r w:rsidR="00065A72" w:rsidRPr="001005B7">
        <w:t xml:space="preserve">ne who </w:t>
      </w:r>
      <w:r w:rsidR="00522576" w:rsidRPr="001005B7">
        <w:t>listens</w:t>
      </w:r>
      <w:r w:rsidR="00065A72" w:rsidRPr="001005B7">
        <w:t xml:space="preserve"> will </w:t>
      </w:r>
      <w:r w:rsidR="00522576" w:rsidRPr="001005B7">
        <w:t>listen</w:t>
      </w:r>
      <w:r w:rsidR="00065A72" w:rsidRPr="001005B7">
        <w:t xml:space="preserve"> and one who refuses</w:t>
      </w:r>
      <w:r w:rsidR="00CE3779" w:rsidRPr="001005B7">
        <w:t xml:space="preserve"> will refuse, because they are a household of rebellion.</w:t>
      </w:r>
    </w:p>
    <w:p w14:paraId="187416CF" w14:textId="7E17E5FF" w:rsidR="003A7FD0" w:rsidRPr="001005B7" w:rsidRDefault="0072766C" w:rsidP="00493833">
      <w:pPr>
        <w:pStyle w:val="Heading3"/>
      </w:pPr>
      <w:r w:rsidRPr="001005B7">
        <w:t>Textual Notes</w:t>
      </w:r>
    </w:p>
    <w:p w14:paraId="31EC779D" w14:textId="14531C05" w:rsidR="00764A68" w:rsidRPr="001005B7" w:rsidRDefault="00177EF3" w:rsidP="009E7F7F">
      <w:pPr>
        <w:ind w:firstLine="0"/>
      </w:pPr>
      <w:r w:rsidRPr="001005B7">
        <w:rPr>
          <w:sz w:val="18"/>
          <w:szCs w:val="18"/>
        </w:rPr>
        <w:t>MT</w:t>
      </w:r>
      <w:r w:rsidR="00537BD8" w:rsidRPr="001005B7">
        <w:t xml:space="preserve"> has </w:t>
      </w:r>
      <w:r w:rsidR="00DA3A36" w:rsidRPr="001005B7">
        <w:rPr>
          <w:lang w:eastAsia="en-GB"/>
        </w:rPr>
        <w:t>marker</w:t>
      </w:r>
      <w:r w:rsidR="008428E7" w:rsidRPr="001005B7">
        <w:rPr>
          <w:lang w:eastAsia="en-GB"/>
        </w:rPr>
        <w:t>s</w:t>
      </w:r>
      <w:r w:rsidR="00C96A96" w:rsidRPr="001005B7">
        <w:rPr>
          <w:lang w:eastAsia="en-GB"/>
        </w:rPr>
        <w:t>*</w:t>
      </w:r>
      <w:r w:rsidR="00537BD8" w:rsidRPr="001005B7">
        <w:t xml:space="preserve"> </w:t>
      </w:r>
      <w:r w:rsidR="009C39C8" w:rsidRPr="001005B7">
        <w:t xml:space="preserve">in 3:16 </w:t>
      </w:r>
      <w:r w:rsidR="00985E39" w:rsidRPr="001005B7">
        <w:t>after</w:t>
      </w:r>
      <w:r w:rsidR="00064746" w:rsidRPr="001005B7">
        <w:t xml:space="preserve"> </w:t>
      </w:r>
      <w:r w:rsidR="008E5064" w:rsidRPr="001005B7">
        <w:rPr>
          <w:rFonts w:cstheme="minorHAnsi"/>
          <w:rtl/>
          <w:lang w:bidi="he-IL"/>
        </w:rPr>
        <w:t>שׁׅבְעַת</w:t>
      </w:r>
      <w:r w:rsidR="00557B1B" w:rsidRPr="001005B7">
        <w:rPr>
          <w:rFonts w:cstheme="minorHAnsi"/>
          <w:rtl/>
          <w:lang w:bidi="he-IL"/>
        </w:rPr>
        <w:t xml:space="preserve"> </w:t>
      </w:r>
      <w:r w:rsidR="008E5064" w:rsidRPr="001005B7">
        <w:rPr>
          <w:rFonts w:cstheme="minorHAnsi"/>
          <w:rtl/>
          <w:lang w:bidi="he-IL"/>
        </w:rPr>
        <w:t>יָ</w:t>
      </w:r>
      <w:r w:rsidR="00995F95" w:rsidRPr="001005B7">
        <w:rPr>
          <w:rFonts w:cstheme="minorHAnsi"/>
          <w:rtl/>
          <w:lang w:bidi="he-IL"/>
        </w:rPr>
        <w:t>מׅים</w:t>
      </w:r>
      <w:r w:rsidR="00995F95" w:rsidRPr="001005B7">
        <w:t xml:space="preserve">, </w:t>
      </w:r>
      <w:r w:rsidR="00064746" w:rsidRPr="001005B7">
        <w:t>“</w:t>
      </w:r>
      <w:r w:rsidR="00985E39" w:rsidRPr="001005B7">
        <w:t>seven</w:t>
      </w:r>
      <w:r w:rsidR="00985E39" w:rsidRPr="001005B7">
        <w:rPr>
          <w:i/>
          <w:iCs/>
        </w:rPr>
        <w:t xml:space="preserve"> </w:t>
      </w:r>
      <w:r w:rsidR="00985E39" w:rsidRPr="001005B7">
        <w:t>days</w:t>
      </w:r>
      <w:r w:rsidR="0022765C" w:rsidRPr="001005B7">
        <w:t>”</w:t>
      </w:r>
      <w:r w:rsidR="00B553AB" w:rsidRPr="001005B7">
        <w:t xml:space="preserve"> (see the translation footnote)</w:t>
      </w:r>
      <w:r w:rsidR="00995F95" w:rsidRPr="001005B7">
        <w:t>,</w:t>
      </w:r>
      <w:r w:rsidR="00710E10" w:rsidRPr="001005B7">
        <w:t xml:space="preserve"> </w:t>
      </w:r>
      <w:r w:rsidR="00B35079" w:rsidRPr="001005B7">
        <w:t xml:space="preserve">and </w:t>
      </w:r>
      <w:r w:rsidR="003A6E44" w:rsidRPr="001005B7">
        <w:t>a</w:t>
      </w:r>
      <w:r w:rsidR="00E411E6" w:rsidRPr="001005B7">
        <w:t>fter</w:t>
      </w:r>
      <w:r w:rsidR="003A6E44" w:rsidRPr="001005B7">
        <w:t xml:space="preserve"> </w:t>
      </w:r>
      <w:r w:rsidR="008D17F9" w:rsidRPr="001005B7">
        <w:t>3:</w:t>
      </w:r>
      <w:r w:rsidR="009E7F7F" w:rsidRPr="001005B7">
        <w:t>19</w:t>
      </w:r>
      <w:r w:rsidR="00B35079" w:rsidRPr="001005B7">
        <w:t xml:space="preserve">, </w:t>
      </w:r>
      <w:r w:rsidR="009E7F7F" w:rsidRPr="001005B7">
        <w:t>21 and 27.</w:t>
      </w:r>
    </w:p>
    <w:p w14:paraId="32E291A1" w14:textId="1009D22C" w:rsidR="00EE1B28" w:rsidRPr="001005B7" w:rsidRDefault="00373C59" w:rsidP="00493833">
      <w:pPr>
        <w:pStyle w:val="Heading3"/>
      </w:pPr>
      <w:r w:rsidRPr="001005B7">
        <w:t>Ver</w:t>
      </w:r>
      <w:r w:rsidR="001157A5" w:rsidRPr="001005B7">
        <w:t>se</w:t>
      </w:r>
      <w:r w:rsidRPr="001005B7">
        <w:t>-by-Verse Commentary</w:t>
      </w:r>
    </w:p>
    <w:p w14:paraId="16962986" w14:textId="66215969" w:rsidR="005A13BA" w:rsidRPr="001005B7" w:rsidRDefault="003C3D81" w:rsidP="001157A5">
      <w:r w:rsidRPr="001005B7">
        <w:rPr>
          <w:b/>
          <w:bCs/>
        </w:rPr>
        <w:t>3:</w:t>
      </w:r>
      <w:r w:rsidR="002C4210" w:rsidRPr="001005B7">
        <w:rPr>
          <w:b/>
          <w:bCs/>
        </w:rPr>
        <w:t>16</w:t>
      </w:r>
      <w:r w:rsidR="00B51C1A" w:rsidRPr="001005B7">
        <w:rPr>
          <w:b/>
          <w:bCs/>
        </w:rPr>
        <w:t>a</w:t>
      </w:r>
      <w:r w:rsidR="005C272E" w:rsidRPr="001005B7">
        <w:rPr>
          <w:b/>
          <w:bCs/>
        </w:rPr>
        <w:t xml:space="preserve"> </w:t>
      </w:r>
      <w:r w:rsidR="0023243D" w:rsidRPr="001005B7">
        <w:t>Seven</w:t>
      </w:r>
      <w:r w:rsidR="0023243D" w:rsidRPr="001005B7">
        <w:rPr>
          <w:i/>
          <w:iCs/>
        </w:rPr>
        <w:t xml:space="preserve"> </w:t>
      </w:r>
      <w:r w:rsidR="0023243D" w:rsidRPr="001005B7">
        <w:t>days</w:t>
      </w:r>
      <w:r w:rsidR="0023243D" w:rsidRPr="001005B7">
        <w:rPr>
          <w:i/>
          <w:iCs/>
        </w:rPr>
        <w:t xml:space="preserve"> </w:t>
      </w:r>
      <w:r w:rsidR="0023243D" w:rsidRPr="001005B7">
        <w:t>is the perio</w:t>
      </w:r>
      <w:r w:rsidR="00BD2030" w:rsidRPr="001005B7">
        <w:t>d</w:t>
      </w:r>
      <w:r w:rsidR="0023243D" w:rsidRPr="001005B7">
        <w:t xml:space="preserve"> for a priest’s consec</w:t>
      </w:r>
      <w:r w:rsidR="00BD2030" w:rsidRPr="001005B7">
        <w:t xml:space="preserve">ration </w:t>
      </w:r>
      <w:r w:rsidR="0075692A" w:rsidRPr="001005B7">
        <w:t>(Lev 8:33)</w:t>
      </w:r>
      <w:r w:rsidR="007D5027" w:rsidRPr="001005B7">
        <w:t xml:space="preserve"> (Odell, 47)</w:t>
      </w:r>
      <w:r w:rsidR="00497596" w:rsidRPr="001005B7">
        <w:t xml:space="preserve">, but </w:t>
      </w:r>
      <w:r w:rsidR="00F762F9" w:rsidRPr="001005B7">
        <w:t xml:space="preserve">these </w:t>
      </w:r>
      <w:r w:rsidR="002824D1" w:rsidRPr="001005B7">
        <w:t xml:space="preserve">seven days </w:t>
      </w:r>
      <w:r w:rsidR="00F762F9" w:rsidRPr="001005B7">
        <w:t>are</w:t>
      </w:r>
      <w:r w:rsidR="00B6768E" w:rsidRPr="001005B7">
        <w:t xml:space="preserve"> </w:t>
      </w:r>
      <w:r w:rsidR="002824D1" w:rsidRPr="001005B7">
        <w:t xml:space="preserve">a period </w:t>
      </w:r>
      <w:r w:rsidR="00DF3476" w:rsidRPr="001005B7">
        <w:t>of recovery from the vision (</w:t>
      </w:r>
      <w:r w:rsidR="00AC027B" w:rsidRPr="001005B7">
        <w:t>3:</w:t>
      </w:r>
      <w:r w:rsidR="000343E3" w:rsidRPr="001005B7">
        <w:t>15), and seven days is a common term to designate a longish period of time</w:t>
      </w:r>
      <w:r w:rsidR="008D4C63" w:rsidRPr="001005B7">
        <w:t>, as</w:t>
      </w:r>
      <w:r w:rsidR="00D92009" w:rsidRPr="001005B7">
        <w:t xml:space="preserve"> in English we </w:t>
      </w:r>
      <w:r w:rsidR="003D7E2D" w:rsidRPr="001005B7">
        <w:t>can</w:t>
      </w:r>
      <w:r w:rsidR="00D92009" w:rsidRPr="001005B7">
        <w:t xml:space="preserve"> say “a week.”</w:t>
      </w:r>
      <w:r w:rsidR="00F762F9" w:rsidRPr="001005B7">
        <w:t xml:space="preserve"> </w:t>
      </w:r>
    </w:p>
    <w:p w14:paraId="7D53F68D" w14:textId="0A3890D5" w:rsidR="001157A5" w:rsidRPr="001005B7" w:rsidRDefault="003C3D81" w:rsidP="00B016C1">
      <w:r w:rsidRPr="001005B7">
        <w:rPr>
          <w:b/>
          <w:bCs/>
        </w:rPr>
        <w:t>3:</w:t>
      </w:r>
      <w:r w:rsidR="00B51C1A" w:rsidRPr="001005B7">
        <w:rPr>
          <w:b/>
          <w:bCs/>
        </w:rPr>
        <w:t>16b</w:t>
      </w:r>
      <w:r w:rsidR="00F46900" w:rsidRPr="001005B7">
        <w:rPr>
          <w:b/>
          <w:bCs/>
        </w:rPr>
        <w:t>–</w:t>
      </w:r>
      <w:r w:rsidR="00B51C1A" w:rsidRPr="001005B7">
        <w:rPr>
          <w:b/>
          <w:bCs/>
        </w:rPr>
        <w:t xml:space="preserve">17 </w:t>
      </w:r>
      <w:r w:rsidR="00A25440" w:rsidRPr="001005B7">
        <w:t xml:space="preserve">Ezekiel and his listeners would know what a </w:t>
      </w:r>
      <w:r w:rsidR="003E089B" w:rsidRPr="001005B7">
        <w:t>“</w:t>
      </w:r>
      <w:r w:rsidR="00A25440" w:rsidRPr="001005B7">
        <w:t>lookout</w:t>
      </w:r>
      <w:r w:rsidR="003E089B" w:rsidRPr="001005B7">
        <w:t>”</w:t>
      </w:r>
      <w:r w:rsidR="00AA695F" w:rsidRPr="001005B7">
        <w:t xml:space="preserve"> (</w:t>
      </w:r>
      <w:r w:rsidR="0064117B" w:rsidRPr="001005B7">
        <w:rPr>
          <w:rFonts w:cstheme="minorHAnsi"/>
          <w:rtl/>
          <w:lang w:bidi="he-IL"/>
        </w:rPr>
        <w:t>צֹפֶה</w:t>
      </w:r>
      <w:r w:rsidR="00AE133B" w:rsidRPr="001005B7">
        <w:t>) was.</w:t>
      </w:r>
      <w:r w:rsidR="00466275" w:rsidRPr="001005B7">
        <w:t xml:space="preserve"> Lookouts played key roles </w:t>
      </w:r>
      <w:r w:rsidR="00FE1658" w:rsidRPr="001005B7">
        <w:t>in</w:t>
      </w:r>
      <w:r w:rsidR="00304C4D" w:rsidRPr="001005B7">
        <w:t xml:space="preserve"> provid</w:t>
      </w:r>
      <w:r w:rsidR="00FE1658" w:rsidRPr="001005B7">
        <w:t>ing</w:t>
      </w:r>
      <w:r w:rsidR="00304C4D" w:rsidRPr="001005B7">
        <w:t xml:space="preserve"> intel </w:t>
      </w:r>
      <w:r w:rsidR="00620396" w:rsidRPr="001005B7">
        <w:t>for</w:t>
      </w:r>
      <w:r w:rsidR="00466275" w:rsidRPr="001005B7">
        <w:t xml:space="preserve"> kings such as Saul</w:t>
      </w:r>
      <w:r w:rsidR="00FE39CD" w:rsidRPr="001005B7">
        <w:t>,</w:t>
      </w:r>
      <w:r w:rsidR="00466275" w:rsidRPr="001005B7">
        <w:t xml:space="preserve"> David</w:t>
      </w:r>
      <w:r w:rsidR="00FE39CD" w:rsidRPr="001005B7">
        <w:t xml:space="preserve">, and </w:t>
      </w:r>
      <w:proofErr w:type="spellStart"/>
      <w:r w:rsidR="00FE39CD" w:rsidRPr="001005B7">
        <w:t>Joram</w:t>
      </w:r>
      <w:proofErr w:type="spellEnd"/>
      <w:r w:rsidR="00620396" w:rsidRPr="001005B7">
        <w:t>,</w:t>
      </w:r>
      <w:r w:rsidR="00466275" w:rsidRPr="001005B7">
        <w:t xml:space="preserve"> in battle</w:t>
      </w:r>
      <w:r w:rsidR="00304C4D" w:rsidRPr="001005B7">
        <w:t xml:space="preserve"> </w:t>
      </w:r>
      <w:r w:rsidR="00533F22" w:rsidRPr="001005B7">
        <w:t xml:space="preserve">and </w:t>
      </w:r>
      <w:r w:rsidR="00FE39CD" w:rsidRPr="001005B7">
        <w:t xml:space="preserve">over security issues </w:t>
      </w:r>
      <w:r w:rsidR="00304C4D" w:rsidRPr="001005B7">
        <w:t xml:space="preserve">(e.g., </w:t>
      </w:r>
      <w:r w:rsidR="00F240A2" w:rsidRPr="001005B7">
        <w:t>1</w:t>
      </w:r>
      <w:r w:rsidR="00946048" w:rsidRPr="001005B7">
        <w:t> </w:t>
      </w:r>
      <w:r w:rsidR="00F240A2" w:rsidRPr="001005B7">
        <w:t xml:space="preserve">Sam 14; </w:t>
      </w:r>
      <w:r w:rsidR="00304C4D" w:rsidRPr="001005B7">
        <w:t>2</w:t>
      </w:r>
      <w:r w:rsidR="00946048" w:rsidRPr="001005B7">
        <w:t> </w:t>
      </w:r>
      <w:r w:rsidR="00304C4D" w:rsidRPr="001005B7">
        <w:t xml:space="preserve">Sam 13; </w:t>
      </w:r>
      <w:r w:rsidR="00F240A2" w:rsidRPr="001005B7">
        <w:t xml:space="preserve">18; </w:t>
      </w:r>
      <w:r w:rsidR="00E607A1" w:rsidRPr="001005B7">
        <w:t>2</w:t>
      </w:r>
      <w:r w:rsidR="00B75F3E" w:rsidRPr="001005B7">
        <w:t> </w:t>
      </w:r>
      <w:r w:rsidR="006558CA" w:rsidRPr="001005B7">
        <w:t>Kgs</w:t>
      </w:r>
      <w:r w:rsidR="00E607A1" w:rsidRPr="001005B7">
        <w:t xml:space="preserve"> </w:t>
      </w:r>
      <w:r w:rsidR="009E0648" w:rsidRPr="001005B7">
        <w:t>9</w:t>
      </w:r>
      <w:r w:rsidR="00FE39CD" w:rsidRPr="001005B7">
        <w:t>). The</w:t>
      </w:r>
      <w:r w:rsidR="00620396" w:rsidRPr="001005B7">
        <w:t>ir</w:t>
      </w:r>
      <w:r w:rsidR="00A538AF" w:rsidRPr="001005B7">
        <w:t xml:space="preserve"> </w:t>
      </w:r>
      <w:r w:rsidR="00D04393" w:rsidRPr="001005B7">
        <w:t xml:space="preserve">key </w:t>
      </w:r>
      <w:r w:rsidR="00A538AF" w:rsidRPr="001005B7">
        <w:t xml:space="preserve">task was to keep watch so as to </w:t>
      </w:r>
      <w:r w:rsidR="00714486" w:rsidRPr="001005B7">
        <w:t>see</w:t>
      </w:r>
      <w:r w:rsidR="00A538AF" w:rsidRPr="001005B7">
        <w:t xml:space="preserve"> wh</w:t>
      </w:r>
      <w:r w:rsidR="00012A72" w:rsidRPr="001005B7">
        <w:t>en</w:t>
      </w:r>
      <w:r w:rsidR="00A538AF" w:rsidRPr="001005B7">
        <w:t xml:space="preserve"> </w:t>
      </w:r>
      <w:r w:rsidR="00416E6F" w:rsidRPr="001005B7">
        <w:t xml:space="preserve">danger threatened and forewarn their master. </w:t>
      </w:r>
      <w:r w:rsidR="001824B1" w:rsidRPr="001005B7">
        <w:t xml:space="preserve">Yahweh thus </w:t>
      </w:r>
      <w:r w:rsidR="005A13BA" w:rsidRPr="001005B7">
        <w:t xml:space="preserve">uses </w:t>
      </w:r>
      <w:r w:rsidR="001824B1" w:rsidRPr="001005B7">
        <w:t>the lookout</w:t>
      </w:r>
      <w:r w:rsidR="005A13BA" w:rsidRPr="001005B7">
        <w:t>’s role</w:t>
      </w:r>
      <w:r w:rsidR="001824B1" w:rsidRPr="001005B7">
        <w:t xml:space="preserve"> as a model for </w:t>
      </w:r>
      <w:r w:rsidR="00711AA2" w:rsidRPr="001005B7">
        <w:t xml:space="preserve">a prophet’s </w:t>
      </w:r>
      <w:r w:rsidR="001824B1" w:rsidRPr="001005B7">
        <w:t xml:space="preserve">role </w:t>
      </w:r>
      <w:r w:rsidR="00711AA2" w:rsidRPr="001005B7">
        <w:t>in</w:t>
      </w:r>
      <w:r w:rsidR="001824B1" w:rsidRPr="001005B7">
        <w:t xml:space="preserve"> warn</w:t>
      </w:r>
      <w:r w:rsidR="00D70742" w:rsidRPr="001005B7">
        <w:t>ing</w:t>
      </w:r>
      <w:r w:rsidR="001824B1" w:rsidRPr="001005B7">
        <w:t xml:space="preserve"> </w:t>
      </w:r>
      <w:r w:rsidR="00297B05" w:rsidRPr="001005B7">
        <w:t>people of danger</w:t>
      </w:r>
      <w:r w:rsidR="00014279" w:rsidRPr="001005B7">
        <w:t xml:space="preserve">. </w:t>
      </w:r>
      <w:r w:rsidR="00CE04F4" w:rsidRPr="001005B7">
        <w:t>His job is to destroy illusions.</w:t>
      </w:r>
      <w:r w:rsidR="00792B9B" w:rsidRPr="001005B7">
        <w:rPr>
          <w:rStyle w:val="FootnoteReference"/>
        </w:rPr>
        <w:footnoteReference w:id="148"/>
      </w:r>
      <w:r w:rsidR="00CE04F4" w:rsidRPr="001005B7">
        <w:t xml:space="preserve"> </w:t>
      </w:r>
      <w:r w:rsidR="00014279" w:rsidRPr="001005B7">
        <w:t>I</w:t>
      </w:r>
      <w:r w:rsidR="00BA2229" w:rsidRPr="001005B7">
        <w:t xml:space="preserve">t </w:t>
      </w:r>
      <w:r w:rsidR="00AB10D2" w:rsidRPr="001005B7">
        <w:t>has been</w:t>
      </w:r>
      <w:r w:rsidR="00325EB3" w:rsidRPr="001005B7">
        <w:t xml:space="preserve"> </w:t>
      </w:r>
      <w:r w:rsidR="00675C2A" w:rsidRPr="001005B7">
        <w:t xml:space="preserve">the role of </w:t>
      </w:r>
      <w:r w:rsidR="00325EB3" w:rsidRPr="001005B7">
        <w:t>Hosea</w:t>
      </w:r>
      <w:r w:rsidR="000B2A04" w:rsidRPr="001005B7">
        <w:t xml:space="preserve"> and Jeremiah (Hos 9:8; Jer 6:17).</w:t>
      </w:r>
      <w:r w:rsidR="00297B05" w:rsidRPr="001005B7">
        <w:t xml:space="preserve"> </w:t>
      </w:r>
      <w:r w:rsidR="0074481E" w:rsidRPr="001005B7">
        <w:t xml:space="preserve">Paradoxically, </w:t>
      </w:r>
      <w:r w:rsidR="00297B05" w:rsidRPr="001005B7">
        <w:t xml:space="preserve">Yahweh </w:t>
      </w:r>
      <w:r w:rsidR="00BA2229" w:rsidRPr="001005B7">
        <w:t xml:space="preserve">thus </w:t>
      </w:r>
      <w:r w:rsidR="00297B05" w:rsidRPr="001005B7">
        <w:t>commission</w:t>
      </w:r>
      <w:r w:rsidR="0074481E" w:rsidRPr="001005B7">
        <w:t>s</w:t>
      </w:r>
      <w:r w:rsidR="00297B05" w:rsidRPr="001005B7">
        <w:t xml:space="preserve"> someone to warn people about danger </w:t>
      </w:r>
      <w:r w:rsidR="00984B87" w:rsidRPr="001005B7">
        <w:t>that is coming</w:t>
      </w:r>
      <w:r w:rsidR="00297B05" w:rsidRPr="001005B7">
        <w:t xml:space="preserve"> from him.</w:t>
      </w:r>
      <w:r w:rsidR="009F09DD" w:rsidRPr="001005B7">
        <w:t xml:space="preserve"> </w:t>
      </w:r>
      <w:r w:rsidR="00205AD8" w:rsidRPr="001005B7">
        <w:t>“The foe wh</w:t>
      </w:r>
      <w:r w:rsidR="00010C69" w:rsidRPr="001005B7">
        <w:t>o</w:t>
      </w:r>
      <w:r w:rsidR="00205AD8" w:rsidRPr="001005B7">
        <w:t xml:space="preserve"> attacks </w:t>
      </w:r>
      <w:r w:rsidR="00010C69" w:rsidRPr="001005B7">
        <w:t>is strangely also the friend who wants those who on moral grou</w:t>
      </w:r>
      <w:r w:rsidR="006015E6" w:rsidRPr="001005B7">
        <w:t>n</w:t>
      </w:r>
      <w:r w:rsidR="00010C69" w:rsidRPr="001005B7">
        <w:t xml:space="preserve">ds </w:t>
      </w:r>
      <w:r w:rsidR="006015E6" w:rsidRPr="001005B7">
        <w:t>are necessarily his enemies to escape.</w:t>
      </w:r>
      <w:r w:rsidR="00277854" w:rsidRPr="001005B7">
        <w:t xml:space="preserve"> The judge </w:t>
      </w:r>
      <w:r w:rsidR="00E204A8" w:rsidRPr="001005B7">
        <w:t xml:space="preserve">who </w:t>
      </w:r>
      <w:r w:rsidR="00277854" w:rsidRPr="001005B7">
        <w:t>pass</w:t>
      </w:r>
      <w:r w:rsidR="00E204A8" w:rsidRPr="001005B7">
        <w:t>es</w:t>
      </w:r>
      <w:r w:rsidR="00277854" w:rsidRPr="001005B7">
        <w:t xml:space="preserve"> the death s</w:t>
      </w:r>
      <w:r w:rsidR="00E204A8" w:rsidRPr="001005B7">
        <w:t>entence</w:t>
      </w:r>
      <w:r w:rsidR="004919B1" w:rsidRPr="001005B7">
        <w:rPr>
          <w:rFonts w:cstheme="minorHAnsi"/>
          <w:lang w:eastAsia="en-GB"/>
        </w:rPr>
        <w:t>…</w:t>
      </w:r>
      <w:r w:rsidR="00E204A8" w:rsidRPr="001005B7">
        <w:t xml:space="preserve"> is loath to order the execution”</w:t>
      </w:r>
      <w:r w:rsidR="00BC0356" w:rsidRPr="001005B7">
        <w:t xml:space="preserve"> (Allen</w:t>
      </w:r>
      <w:r w:rsidR="00656A1E" w:rsidRPr="001005B7">
        <w:t>,</w:t>
      </w:r>
      <w:r w:rsidR="00BC0356" w:rsidRPr="001005B7">
        <w:t xml:space="preserve"> 1:58).</w:t>
      </w:r>
      <w:r w:rsidR="00405DFC" w:rsidRPr="001005B7">
        <w:t xml:space="preserve"> </w:t>
      </w:r>
      <w:r w:rsidR="007707BE" w:rsidRPr="001005B7">
        <w:t xml:space="preserve">The vast majority of occurrences of the verb for </w:t>
      </w:r>
      <w:r w:rsidR="00D24338" w:rsidRPr="001005B7">
        <w:t>“</w:t>
      </w:r>
      <w:r w:rsidR="007707BE" w:rsidRPr="001005B7">
        <w:t>warn</w:t>
      </w:r>
      <w:r w:rsidR="00D24338" w:rsidRPr="001005B7">
        <w:t>”</w:t>
      </w:r>
      <w:r w:rsidR="007707BE" w:rsidRPr="001005B7">
        <w:rPr>
          <w:i/>
          <w:iCs/>
        </w:rPr>
        <w:t xml:space="preserve"> </w:t>
      </w:r>
      <w:r w:rsidR="007707BE" w:rsidRPr="001005B7">
        <w:t>(</w:t>
      </w:r>
      <w:r w:rsidR="004309A4" w:rsidRPr="001005B7">
        <w:rPr>
          <w:rFonts w:cstheme="minorHAnsi"/>
          <w:rtl/>
          <w:lang w:bidi="he-IL"/>
        </w:rPr>
        <w:t>זָהַר</w:t>
      </w:r>
      <w:r w:rsidR="008230B6" w:rsidRPr="001005B7">
        <w:t>) come in Ezek 3 and 33</w:t>
      </w:r>
      <w:r w:rsidR="007E7D71" w:rsidRPr="001005B7">
        <w:t xml:space="preserve">. The occurrences </w:t>
      </w:r>
      <w:r w:rsidR="00494CA3" w:rsidRPr="001005B7">
        <w:t>el</w:t>
      </w:r>
      <w:r w:rsidR="00B016C1" w:rsidRPr="001005B7">
        <w:t>s</w:t>
      </w:r>
      <w:r w:rsidR="00494CA3" w:rsidRPr="001005B7">
        <w:t>e</w:t>
      </w:r>
      <w:r w:rsidR="00B016C1" w:rsidRPr="001005B7">
        <w:t>w</w:t>
      </w:r>
      <w:r w:rsidR="00494CA3" w:rsidRPr="001005B7">
        <w:t xml:space="preserve">here </w:t>
      </w:r>
      <w:r w:rsidR="00797690" w:rsidRPr="001005B7">
        <w:t xml:space="preserve">are less threatening and mean something like “inform,” which </w:t>
      </w:r>
      <w:r w:rsidR="00E21157" w:rsidRPr="001005B7">
        <w:t>also suggests the connotation of the distinctive Ezekiel usage</w:t>
      </w:r>
      <w:r w:rsidR="00014279" w:rsidRPr="001005B7">
        <w:t>. B</w:t>
      </w:r>
      <w:r w:rsidR="00E21157" w:rsidRPr="001005B7">
        <w:t xml:space="preserve">y means of a lookout Yahweh provides his people with information </w:t>
      </w:r>
      <w:r w:rsidR="00B952FD" w:rsidRPr="001005B7">
        <w:t>of which</w:t>
      </w:r>
      <w:r w:rsidR="00E21157" w:rsidRPr="001005B7">
        <w:t xml:space="preserve"> they must take note</w:t>
      </w:r>
      <w:r w:rsidR="00C52EE1" w:rsidRPr="001005B7">
        <w:t>. A</w:t>
      </w:r>
      <w:r w:rsidR="0076433E" w:rsidRPr="001005B7">
        <w:t xml:space="preserve"> homonym</w:t>
      </w:r>
      <w:r w:rsidR="00F1064E">
        <w:t>*</w:t>
      </w:r>
      <w:r w:rsidR="0076433E" w:rsidRPr="001005B7">
        <w:t xml:space="preserve"> mean</w:t>
      </w:r>
      <w:r w:rsidR="00D610D4" w:rsidRPr="001005B7">
        <w:t>ing</w:t>
      </w:r>
      <w:r w:rsidR="0076433E" w:rsidRPr="001005B7">
        <w:t xml:space="preserve"> “shine”</w:t>
      </w:r>
      <w:r w:rsidR="00D610D4" w:rsidRPr="001005B7">
        <w:t xml:space="preserve"> </w:t>
      </w:r>
      <w:r w:rsidR="00265273" w:rsidRPr="001005B7">
        <w:t xml:space="preserve">(which </w:t>
      </w:r>
      <w:r w:rsidR="00D610D4" w:rsidRPr="001005B7">
        <w:t>lies behind the name of the Zoha</w:t>
      </w:r>
      <w:r w:rsidR="00C52EE1" w:rsidRPr="001005B7">
        <w:t>r</w:t>
      </w:r>
      <w:r w:rsidR="00265273" w:rsidRPr="001005B7">
        <w:t>)</w:t>
      </w:r>
      <w:r w:rsidR="00C52EE1" w:rsidRPr="001005B7">
        <w:t xml:space="preserve"> might</w:t>
      </w:r>
      <w:r w:rsidR="0076433E" w:rsidRPr="001005B7">
        <w:t xml:space="preserve"> </w:t>
      </w:r>
      <w:r w:rsidR="00C52EE1" w:rsidRPr="001005B7">
        <w:t xml:space="preserve">be </w:t>
      </w:r>
      <w:r w:rsidR="0076433E" w:rsidRPr="001005B7">
        <w:t>a variant of the same verb.</w:t>
      </w:r>
      <w:r w:rsidR="00844649" w:rsidRPr="001005B7">
        <w:t xml:space="preserve"> </w:t>
      </w:r>
    </w:p>
    <w:p w14:paraId="13998691" w14:textId="1D48FB93" w:rsidR="004C72F5" w:rsidRPr="001005B7" w:rsidRDefault="003C3D81" w:rsidP="001176C5">
      <w:r w:rsidRPr="001005B7">
        <w:rPr>
          <w:b/>
          <w:bCs/>
        </w:rPr>
        <w:t>3:</w:t>
      </w:r>
      <w:r w:rsidR="00FB1CA3" w:rsidRPr="001005B7">
        <w:rPr>
          <w:b/>
          <w:bCs/>
        </w:rPr>
        <w:t>18</w:t>
      </w:r>
      <w:r w:rsidR="00F46900" w:rsidRPr="001005B7">
        <w:rPr>
          <w:b/>
          <w:bCs/>
        </w:rPr>
        <w:t>–</w:t>
      </w:r>
      <w:r w:rsidR="006513EC" w:rsidRPr="001005B7">
        <w:rPr>
          <w:b/>
          <w:bCs/>
        </w:rPr>
        <w:t>19</w:t>
      </w:r>
      <w:r w:rsidR="00FB1CA3" w:rsidRPr="001005B7">
        <w:rPr>
          <w:b/>
          <w:bCs/>
        </w:rPr>
        <w:t xml:space="preserve"> </w:t>
      </w:r>
      <w:r w:rsidR="0022242F" w:rsidRPr="001005B7">
        <w:t>Yahwe</w:t>
      </w:r>
      <w:r w:rsidR="00596EA3" w:rsidRPr="001005B7">
        <w:t>h</w:t>
      </w:r>
      <w:r w:rsidR="00265273" w:rsidRPr="001005B7">
        <w:t xml:space="preserve"> </w:t>
      </w:r>
      <w:r w:rsidR="0022242F" w:rsidRPr="001005B7">
        <w:t xml:space="preserve">introduces the key antithesis between faithlessness </w:t>
      </w:r>
      <w:r w:rsidR="00C623BC" w:rsidRPr="001005B7">
        <w:t>(</w:t>
      </w:r>
      <w:r w:rsidR="00573D9A" w:rsidRPr="001005B7">
        <w:rPr>
          <w:rFonts w:cstheme="minorHAnsi"/>
          <w:rtl/>
          <w:lang w:bidi="he-IL"/>
        </w:rPr>
        <w:t>רֶשַׁע</w:t>
      </w:r>
      <w:r w:rsidR="00C623BC" w:rsidRPr="001005B7">
        <w:t>) and faithfulness</w:t>
      </w:r>
      <w:r w:rsidR="00C623BC" w:rsidRPr="001005B7">
        <w:rPr>
          <w:i/>
          <w:iCs/>
        </w:rPr>
        <w:t xml:space="preserve"> </w:t>
      </w:r>
      <w:r w:rsidR="00C623BC" w:rsidRPr="001005B7">
        <w:t>(</w:t>
      </w:r>
      <w:r w:rsidR="00573D9A" w:rsidRPr="001005B7">
        <w:rPr>
          <w:rFonts w:cstheme="minorHAnsi"/>
          <w:rtl/>
          <w:lang w:bidi="he-IL"/>
        </w:rPr>
        <w:t>צֶדֶק</w:t>
      </w:r>
      <w:r w:rsidR="00596EA3" w:rsidRPr="001005B7">
        <w:t xml:space="preserve">). Fortuitously, </w:t>
      </w:r>
      <w:r w:rsidR="00A77DA8" w:rsidRPr="001005B7">
        <w:t>English can use two nouns whose opposite nature</w:t>
      </w:r>
      <w:r w:rsidR="0038333B" w:rsidRPr="001005B7">
        <w:t xml:space="preserve"> finds</w:t>
      </w:r>
      <w:r w:rsidR="00A77DA8" w:rsidRPr="001005B7">
        <w:t xml:space="preserve"> express</w:t>
      </w:r>
      <w:r w:rsidR="0038333B" w:rsidRPr="001005B7">
        <w:t>ion</w:t>
      </w:r>
      <w:r w:rsidR="00A77DA8" w:rsidRPr="001005B7">
        <w:t xml:space="preserve"> in the</w:t>
      </w:r>
      <w:r w:rsidR="00CA4C80" w:rsidRPr="001005B7">
        <w:t xml:space="preserve"> </w:t>
      </w:r>
      <w:r w:rsidR="00A77DA8" w:rsidRPr="001005B7">
        <w:t xml:space="preserve">form of the nouns. </w:t>
      </w:r>
      <w:r w:rsidR="00AF1862" w:rsidRPr="001005B7">
        <w:t xml:space="preserve">Traditionally, translations render the </w:t>
      </w:r>
      <w:r w:rsidR="00B355CC" w:rsidRPr="001005B7">
        <w:t xml:space="preserve">negative noun with a general word such as </w:t>
      </w:r>
      <w:r w:rsidR="00BF788E" w:rsidRPr="001005B7">
        <w:t>“</w:t>
      </w:r>
      <w:r w:rsidR="00B355CC" w:rsidRPr="001005B7">
        <w:t>wickedness</w:t>
      </w:r>
      <w:r w:rsidR="00BF788E" w:rsidRPr="001005B7">
        <w:t>”</w:t>
      </w:r>
      <w:r w:rsidR="00B355CC" w:rsidRPr="001005B7">
        <w:t xml:space="preserve"> </w:t>
      </w:r>
      <w:r w:rsidR="00165CE2" w:rsidRPr="001005B7">
        <w:t>and</w:t>
      </w:r>
      <w:r w:rsidR="00103162" w:rsidRPr="001005B7">
        <w:t xml:space="preserve"> the </w:t>
      </w:r>
      <w:r w:rsidR="00AF1862" w:rsidRPr="001005B7">
        <w:t xml:space="preserve">positive noun </w:t>
      </w:r>
      <w:r w:rsidR="002F1E14" w:rsidRPr="001005B7">
        <w:t>“righteousness” or “justice</w:t>
      </w:r>
      <w:r w:rsidR="00AE732E" w:rsidRPr="001005B7">
        <w:t>.</w:t>
      </w:r>
      <w:r w:rsidR="002F1E14" w:rsidRPr="001005B7">
        <w:t xml:space="preserve">” </w:t>
      </w:r>
      <w:r w:rsidR="00AE732E" w:rsidRPr="001005B7">
        <w:t>T</w:t>
      </w:r>
      <w:r w:rsidR="003C4983" w:rsidRPr="001005B7">
        <w:t xml:space="preserve">hese </w:t>
      </w:r>
      <w:r w:rsidR="00B13CE0" w:rsidRPr="001005B7">
        <w:t>words</w:t>
      </w:r>
      <w:r w:rsidR="002F1E14" w:rsidRPr="001005B7">
        <w:t xml:space="preserve"> convey part of the Hebrew words</w:t>
      </w:r>
      <w:r w:rsidR="00165CE2" w:rsidRPr="001005B7">
        <w:t>’</w:t>
      </w:r>
      <w:r w:rsidR="002F1E14" w:rsidRPr="001005B7">
        <w:t xml:space="preserve"> connotations</w:t>
      </w:r>
      <w:r w:rsidR="008F7C57" w:rsidRPr="001005B7">
        <w:t>. But essential to those connota</w:t>
      </w:r>
      <w:r w:rsidR="00B56487" w:rsidRPr="001005B7">
        <w:t xml:space="preserve">tions is the idea </w:t>
      </w:r>
      <w:r w:rsidR="00BC0B80" w:rsidRPr="001005B7">
        <w:t>of there being</w:t>
      </w:r>
      <w:r w:rsidR="00B56487" w:rsidRPr="001005B7">
        <w:t xml:space="preserve"> a committed relationship between two parties</w:t>
      </w:r>
      <w:r w:rsidR="00DF0285" w:rsidRPr="001005B7">
        <w:t>—between human beings</w:t>
      </w:r>
      <w:r w:rsidR="00507517" w:rsidRPr="001005B7">
        <w:t>,</w:t>
      </w:r>
      <w:r w:rsidR="00DF0285" w:rsidRPr="001005B7">
        <w:t xml:space="preserve"> or between </w:t>
      </w:r>
      <w:r w:rsidR="00420C1E" w:rsidRPr="001005B7">
        <w:t>human beings and God. A</w:t>
      </w:r>
      <w:r w:rsidR="003D194A" w:rsidRPr="001005B7">
        <w:t xml:space="preserve"> righteous </w:t>
      </w:r>
      <w:r w:rsidR="00BE697B" w:rsidRPr="001005B7">
        <w:t xml:space="preserve">or just </w:t>
      </w:r>
      <w:r w:rsidR="003D194A" w:rsidRPr="001005B7">
        <w:t>action is one that does the right thing in light of that committed relationship</w:t>
      </w:r>
      <w:r w:rsidR="00BE697B" w:rsidRPr="001005B7">
        <w:t xml:space="preserve">. </w:t>
      </w:r>
      <w:r w:rsidR="00507517" w:rsidRPr="001005B7">
        <w:t>A</w:t>
      </w:r>
      <w:r w:rsidR="00BE697B" w:rsidRPr="001005B7">
        <w:t xml:space="preserve"> faithless action is one that ignores the obligations that issue from </w:t>
      </w:r>
      <w:r w:rsidR="00DF0285" w:rsidRPr="001005B7">
        <w:t xml:space="preserve">a committed relationship. </w:t>
      </w:r>
    </w:p>
    <w:p w14:paraId="47F70032" w14:textId="3FBCCC2A" w:rsidR="00334A06" w:rsidRPr="001005B7" w:rsidRDefault="00A64E2A" w:rsidP="001176C5">
      <w:pPr>
        <w:rPr>
          <w:rFonts w:cstheme="minorHAnsi"/>
        </w:rPr>
      </w:pPr>
      <w:r w:rsidRPr="001005B7">
        <w:t>Yahweh adds the term waywardness (</w:t>
      </w:r>
      <w:r w:rsidR="008F0A1C" w:rsidRPr="001005B7">
        <w:rPr>
          <w:rFonts w:cstheme="minorHAnsi"/>
          <w:rtl/>
          <w:lang w:bidi="he-IL"/>
        </w:rPr>
        <w:t>עָוׄן</w:t>
      </w:r>
      <w:r w:rsidR="00961A45" w:rsidRPr="001005B7">
        <w:rPr>
          <w:rFonts w:cstheme="minorHAnsi"/>
        </w:rPr>
        <w:t>)</w:t>
      </w:r>
      <w:r w:rsidR="00381D55" w:rsidRPr="001005B7">
        <w:rPr>
          <w:rFonts w:cstheme="minorHAnsi"/>
        </w:rPr>
        <w:t xml:space="preserve">, </w:t>
      </w:r>
      <w:r w:rsidR="001F54E0" w:rsidRPr="001005B7">
        <w:rPr>
          <w:rFonts w:cstheme="minorHAnsi"/>
        </w:rPr>
        <w:t>whose</w:t>
      </w:r>
      <w:r w:rsidR="00961A45" w:rsidRPr="001005B7">
        <w:rPr>
          <w:rFonts w:cstheme="minorHAnsi"/>
        </w:rPr>
        <w:t xml:space="preserve"> </w:t>
      </w:r>
      <w:r w:rsidR="00436662" w:rsidRPr="001005B7">
        <w:rPr>
          <w:rFonts w:cstheme="minorHAnsi"/>
        </w:rPr>
        <w:t>traditional translat</w:t>
      </w:r>
      <w:r w:rsidR="00961A45" w:rsidRPr="001005B7">
        <w:rPr>
          <w:rFonts w:cstheme="minorHAnsi"/>
        </w:rPr>
        <w:t>ion is “iniquity</w:t>
      </w:r>
      <w:r w:rsidR="009C2BA4" w:rsidRPr="001005B7">
        <w:rPr>
          <w:rFonts w:cstheme="minorHAnsi"/>
        </w:rPr>
        <w:t>.</w:t>
      </w:r>
      <w:r w:rsidR="00AE2C93" w:rsidRPr="001005B7">
        <w:rPr>
          <w:rFonts w:cstheme="minorHAnsi"/>
        </w:rPr>
        <w:t>”</w:t>
      </w:r>
      <w:r w:rsidR="009C2BA4" w:rsidRPr="001005B7">
        <w:rPr>
          <w:rFonts w:cstheme="minorHAnsi"/>
        </w:rPr>
        <w:t xml:space="preserve"> T</w:t>
      </w:r>
      <w:r w:rsidR="00AE2C93" w:rsidRPr="001005B7">
        <w:rPr>
          <w:rFonts w:cstheme="minorHAnsi"/>
        </w:rPr>
        <w:t>h</w:t>
      </w:r>
      <w:r w:rsidR="002607D3" w:rsidRPr="001005B7">
        <w:rPr>
          <w:rFonts w:cstheme="minorHAnsi"/>
        </w:rPr>
        <w:t>is</w:t>
      </w:r>
      <w:r w:rsidR="00AE2C93" w:rsidRPr="001005B7">
        <w:rPr>
          <w:rFonts w:cstheme="minorHAnsi"/>
        </w:rPr>
        <w:t xml:space="preserve"> noun</w:t>
      </w:r>
      <w:r w:rsidR="001C539C" w:rsidRPr="001005B7">
        <w:rPr>
          <w:rFonts w:cstheme="minorHAnsi"/>
        </w:rPr>
        <w:t xml:space="preserve"> </w:t>
      </w:r>
      <w:r w:rsidR="004063C2" w:rsidRPr="001005B7">
        <w:rPr>
          <w:rFonts w:cstheme="minorHAnsi"/>
        </w:rPr>
        <w:t>c</w:t>
      </w:r>
      <w:r w:rsidR="00290BD2" w:rsidRPr="001005B7">
        <w:rPr>
          <w:rFonts w:cstheme="minorHAnsi"/>
        </w:rPr>
        <w:t>ompares</w:t>
      </w:r>
      <w:r w:rsidR="001C539C" w:rsidRPr="001005B7">
        <w:rPr>
          <w:rFonts w:cstheme="minorHAnsi"/>
        </w:rPr>
        <w:t xml:space="preserve"> </w:t>
      </w:r>
      <w:r w:rsidR="00290BD2" w:rsidRPr="001005B7">
        <w:rPr>
          <w:rFonts w:cstheme="minorHAnsi"/>
        </w:rPr>
        <w:t xml:space="preserve">with </w:t>
      </w:r>
      <w:r w:rsidR="009E50D3" w:rsidRPr="001005B7">
        <w:rPr>
          <w:rFonts w:cstheme="minorHAnsi"/>
        </w:rPr>
        <w:t xml:space="preserve">and </w:t>
      </w:r>
      <w:r w:rsidR="00263543" w:rsidRPr="001005B7">
        <w:rPr>
          <w:rFonts w:cstheme="minorHAnsi"/>
        </w:rPr>
        <w:t>evokes</w:t>
      </w:r>
      <w:r w:rsidR="00057768" w:rsidRPr="001005B7">
        <w:rPr>
          <w:rFonts w:cstheme="minorHAnsi"/>
        </w:rPr>
        <w:t xml:space="preserve"> </w:t>
      </w:r>
      <w:r w:rsidR="005E26D4" w:rsidRPr="001005B7">
        <w:rPr>
          <w:rFonts w:cstheme="minorHAnsi"/>
        </w:rPr>
        <w:t xml:space="preserve">a verb </w:t>
      </w:r>
      <w:r w:rsidR="00361194" w:rsidRPr="001005B7">
        <w:rPr>
          <w:rFonts w:cstheme="minorHAnsi"/>
        </w:rPr>
        <w:t>meaning twist</w:t>
      </w:r>
      <w:r w:rsidR="00263543" w:rsidRPr="001005B7">
        <w:rPr>
          <w:rFonts w:cstheme="minorHAnsi"/>
        </w:rPr>
        <w:t>,</w:t>
      </w:r>
      <w:r w:rsidR="00361194" w:rsidRPr="001005B7">
        <w:rPr>
          <w:rFonts w:cstheme="minorHAnsi"/>
        </w:rPr>
        <w:t xml:space="preserve"> bend</w:t>
      </w:r>
      <w:r w:rsidR="00263543" w:rsidRPr="001005B7">
        <w:rPr>
          <w:rFonts w:cstheme="minorHAnsi"/>
        </w:rPr>
        <w:t>,</w:t>
      </w:r>
      <w:r w:rsidR="00361194" w:rsidRPr="001005B7">
        <w:rPr>
          <w:rFonts w:cstheme="minorHAnsi"/>
        </w:rPr>
        <w:t xml:space="preserve"> </w:t>
      </w:r>
      <w:r w:rsidR="00EA1426" w:rsidRPr="001005B7">
        <w:rPr>
          <w:rFonts w:cstheme="minorHAnsi"/>
        </w:rPr>
        <w:t>or go astray</w:t>
      </w:r>
      <w:r w:rsidR="004F2AE5" w:rsidRPr="001005B7">
        <w:rPr>
          <w:rFonts w:cstheme="minorHAnsi"/>
        </w:rPr>
        <w:t xml:space="preserve"> (</w:t>
      </w:r>
      <w:r w:rsidR="002C2554" w:rsidRPr="001005B7">
        <w:rPr>
          <w:rFonts w:cstheme="minorHAnsi"/>
          <w:rtl/>
          <w:lang w:bidi="he-IL"/>
        </w:rPr>
        <w:t>עָוָה</w:t>
      </w:r>
      <w:r w:rsidR="00FF6634" w:rsidRPr="001005B7">
        <w:rPr>
          <w:rFonts w:cstheme="minorHAnsi"/>
        </w:rPr>
        <w:t>)</w:t>
      </w:r>
      <w:r w:rsidR="00C31626" w:rsidRPr="001005B7">
        <w:rPr>
          <w:rFonts w:cstheme="minorHAnsi"/>
        </w:rPr>
        <w:t>,</w:t>
      </w:r>
      <w:r w:rsidR="00976A61" w:rsidRPr="001005B7">
        <w:rPr>
          <w:rStyle w:val="FootnoteReference"/>
          <w:rFonts w:cstheme="minorHAnsi"/>
        </w:rPr>
        <w:footnoteReference w:id="149"/>
      </w:r>
      <w:r w:rsidR="00C31626" w:rsidRPr="001005B7">
        <w:rPr>
          <w:rFonts w:cstheme="minorHAnsi"/>
        </w:rPr>
        <w:t xml:space="preserve"> and Ezekiel’s readers might </w:t>
      </w:r>
      <w:r w:rsidR="00517182" w:rsidRPr="001005B7">
        <w:rPr>
          <w:rFonts w:cstheme="minorHAnsi"/>
        </w:rPr>
        <w:t xml:space="preserve">thus </w:t>
      </w:r>
      <w:r w:rsidR="00C31626" w:rsidRPr="001005B7">
        <w:rPr>
          <w:rFonts w:cstheme="minorHAnsi"/>
        </w:rPr>
        <w:t xml:space="preserve">make a </w:t>
      </w:r>
      <w:r w:rsidR="00263543" w:rsidRPr="001005B7">
        <w:rPr>
          <w:rFonts w:cstheme="minorHAnsi"/>
        </w:rPr>
        <w:t xml:space="preserve">further </w:t>
      </w:r>
      <w:r w:rsidR="00C31626" w:rsidRPr="001005B7">
        <w:rPr>
          <w:rFonts w:cstheme="minorHAnsi"/>
        </w:rPr>
        <w:t xml:space="preserve">link with </w:t>
      </w:r>
      <w:r w:rsidR="00F4468A" w:rsidRPr="001005B7">
        <w:rPr>
          <w:rFonts w:cstheme="minorHAnsi"/>
        </w:rPr>
        <w:t>his</w:t>
      </w:r>
      <w:r w:rsidR="00C31626" w:rsidRPr="001005B7">
        <w:rPr>
          <w:rFonts w:cstheme="minorHAnsi"/>
        </w:rPr>
        <w:t xml:space="preserve"> reference to turning from a faithless</w:t>
      </w:r>
      <w:r w:rsidR="00784EBC" w:rsidRPr="001005B7">
        <w:rPr>
          <w:rFonts w:cstheme="minorHAnsi"/>
        </w:rPr>
        <w:t xml:space="preserve"> path</w:t>
      </w:r>
      <w:r w:rsidR="002C3197" w:rsidRPr="001005B7">
        <w:rPr>
          <w:rFonts w:cstheme="minorHAnsi"/>
        </w:rPr>
        <w:t xml:space="preserve"> (</w:t>
      </w:r>
      <w:r w:rsidR="00DF088F" w:rsidRPr="001005B7">
        <w:rPr>
          <w:rFonts w:cstheme="minorHAnsi"/>
          <w:rtl/>
          <w:lang w:bidi="he-IL"/>
        </w:rPr>
        <w:t>דֶרֶךְ</w:t>
      </w:r>
      <w:r w:rsidR="00A5405B" w:rsidRPr="001005B7">
        <w:rPr>
          <w:rFonts w:cstheme="minorHAnsi"/>
        </w:rPr>
        <w:t>)</w:t>
      </w:r>
      <w:r w:rsidR="00604CBB" w:rsidRPr="001005B7">
        <w:rPr>
          <w:rFonts w:cstheme="minorHAnsi"/>
        </w:rPr>
        <w:t xml:space="preserve">. The word </w:t>
      </w:r>
      <w:r w:rsidR="00134001" w:rsidRPr="001005B7">
        <w:rPr>
          <w:rFonts w:cstheme="minorHAnsi"/>
        </w:rPr>
        <w:t>“path</w:t>
      </w:r>
      <w:r w:rsidR="007D691E" w:rsidRPr="001005B7">
        <w:rPr>
          <w:rFonts w:cstheme="minorHAnsi"/>
        </w:rPr>
        <w:t>”</w:t>
      </w:r>
      <w:r w:rsidR="00604CBB" w:rsidRPr="001005B7">
        <w:rPr>
          <w:rFonts w:cstheme="minorHAnsi"/>
          <w:i/>
          <w:iCs/>
        </w:rPr>
        <w:t xml:space="preserve"> </w:t>
      </w:r>
      <w:r w:rsidR="00CB1907" w:rsidRPr="001005B7">
        <w:rPr>
          <w:rFonts w:cstheme="minorHAnsi"/>
        </w:rPr>
        <w:t>occurs mor</w:t>
      </w:r>
      <w:r w:rsidR="00A5405B" w:rsidRPr="001005B7">
        <w:rPr>
          <w:rFonts w:cstheme="minorHAnsi"/>
        </w:rPr>
        <w:t>e</w:t>
      </w:r>
      <w:r w:rsidR="00CB1907" w:rsidRPr="001005B7">
        <w:rPr>
          <w:rFonts w:cstheme="minorHAnsi"/>
        </w:rPr>
        <w:t xml:space="preserve"> often in Ezekiel than in any other book</w:t>
      </w:r>
      <w:r w:rsidR="00604CBB" w:rsidRPr="001005B7">
        <w:rPr>
          <w:rFonts w:cstheme="minorHAnsi"/>
        </w:rPr>
        <w:t xml:space="preserve">, </w:t>
      </w:r>
      <w:r w:rsidR="008A5A3A" w:rsidRPr="001005B7">
        <w:rPr>
          <w:rFonts w:cstheme="minorHAnsi"/>
        </w:rPr>
        <w:t>often denoting the route that people take in their lives</w:t>
      </w:r>
      <w:r w:rsidR="00CB1907" w:rsidRPr="001005B7">
        <w:rPr>
          <w:rFonts w:cstheme="minorHAnsi"/>
        </w:rPr>
        <w:t>.</w:t>
      </w:r>
      <w:r w:rsidR="00011C97" w:rsidRPr="001005B7">
        <w:rPr>
          <w:rFonts w:cstheme="minorHAnsi"/>
        </w:rPr>
        <w:t xml:space="preserve"> </w:t>
      </w:r>
      <w:r w:rsidR="00FA46E4" w:rsidRPr="001005B7">
        <w:rPr>
          <w:rFonts w:cstheme="minorHAnsi"/>
        </w:rPr>
        <w:t>T</w:t>
      </w:r>
      <w:r w:rsidR="0081412A" w:rsidRPr="001005B7">
        <w:rPr>
          <w:rFonts w:cstheme="minorHAnsi"/>
        </w:rPr>
        <w:t xml:space="preserve">he word </w:t>
      </w:r>
      <w:r w:rsidR="007D691E" w:rsidRPr="001005B7">
        <w:rPr>
          <w:rFonts w:cstheme="minorHAnsi"/>
        </w:rPr>
        <w:t>“</w:t>
      </w:r>
      <w:r w:rsidR="0081412A" w:rsidRPr="001005B7">
        <w:rPr>
          <w:rFonts w:cstheme="minorHAnsi"/>
        </w:rPr>
        <w:t>turn</w:t>
      </w:r>
      <w:r w:rsidR="007D691E" w:rsidRPr="001005B7">
        <w:rPr>
          <w:rFonts w:cstheme="minorHAnsi"/>
        </w:rPr>
        <w:t>”</w:t>
      </w:r>
      <w:r w:rsidR="001B6464" w:rsidRPr="001005B7">
        <w:rPr>
          <w:rFonts w:cstheme="minorHAnsi"/>
        </w:rPr>
        <w:t xml:space="preserve"> (</w:t>
      </w:r>
      <w:r w:rsidR="008959E1" w:rsidRPr="001005B7">
        <w:rPr>
          <w:rFonts w:cstheme="minorHAnsi"/>
          <w:rtl/>
          <w:lang w:bidi="he-IL"/>
        </w:rPr>
        <w:t>שׁוּב</w:t>
      </w:r>
      <w:r w:rsidR="001B6464" w:rsidRPr="001005B7">
        <w:rPr>
          <w:rFonts w:cstheme="minorHAnsi"/>
        </w:rPr>
        <w:t xml:space="preserve">) </w:t>
      </w:r>
      <w:r w:rsidR="00301CE8" w:rsidRPr="001005B7">
        <w:rPr>
          <w:rFonts w:cstheme="minorHAnsi"/>
        </w:rPr>
        <w:t xml:space="preserve">here nicely links with it. </w:t>
      </w:r>
      <w:r w:rsidR="005F3999" w:rsidRPr="001005B7">
        <w:rPr>
          <w:rFonts w:cstheme="minorHAnsi"/>
        </w:rPr>
        <w:t xml:space="preserve">In </w:t>
      </w:r>
      <w:r w:rsidR="00D2012E" w:rsidRPr="001005B7">
        <w:rPr>
          <w:rFonts w:cstheme="minorHAnsi"/>
        </w:rPr>
        <w:t>a context such as this</w:t>
      </w:r>
      <w:r w:rsidR="005F3999" w:rsidRPr="001005B7">
        <w:rPr>
          <w:rFonts w:cstheme="minorHAnsi"/>
        </w:rPr>
        <w:t>, t</w:t>
      </w:r>
      <w:r w:rsidR="00301CE8" w:rsidRPr="001005B7">
        <w:rPr>
          <w:rFonts w:cstheme="minorHAnsi"/>
        </w:rPr>
        <w:t xml:space="preserve">he verb </w:t>
      </w:r>
      <w:r w:rsidR="005F3999" w:rsidRPr="001005B7">
        <w:rPr>
          <w:rFonts w:cstheme="minorHAnsi"/>
        </w:rPr>
        <w:t xml:space="preserve">is </w:t>
      </w:r>
      <w:r w:rsidR="00301CE8" w:rsidRPr="001005B7">
        <w:rPr>
          <w:rFonts w:cstheme="minorHAnsi"/>
        </w:rPr>
        <w:t xml:space="preserve">traditionally translated “repent,” </w:t>
      </w:r>
      <w:r w:rsidR="00007A0B" w:rsidRPr="001005B7">
        <w:rPr>
          <w:rFonts w:cstheme="minorHAnsi"/>
        </w:rPr>
        <w:t>but that English word is inclined to suggest feeling regret</w:t>
      </w:r>
      <w:r w:rsidR="00D03115" w:rsidRPr="001005B7">
        <w:rPr>
          <w:rFonts w:cstheme="minorHAnsi"/>
        </w:rPr>
        <w:t>, wh</w:t>
      </w:r>
      <w:r w:rsidR="00760100" w:rsidRPr="001005B7">
        <w:rPr>
          <w:rFonts w:cstheme="minorHAnsi"/>
        </w:rPr>
        <w:t xml:space="preserve">ereas </w:t>
      </w:r>
      <w:r w:rsidR="00DE260B" w:rsidRPr="001005B7">
        <w:rPr>
          <w:rFonts w:cstheme="minorHAnsi"/>
        </w:rPr>
        <w:t>its jux</w:t>
      </w:r>
      <w:r w:rsidR="00E00424" w:rsidRPr="001005B7">
        <w:rPr>
          <w:rFonts w:cstheme="minorHAnsi"/>
        </w:rPr>
        <w:t>taposition</w:t>
      </w:r>
      <w:r w:rsidR="009C656D" w:rsidRPr="001005B7">
        <w:rPr>
          <w:rFonts w:cstheme="minorHAnsi"/>
        </w:rPr>
        <w:t xml:space="preserve"> with the</w:t>
      </w:r>
      <w:r w:rsidR="00B8352C" w:rsidRPr="001005B7">
        <w:rPr>
          <w:rFonts w:cstheme="minorHAnsi"/>
        </w:rPr>
        <w:t xml:space="preserve"> phrase </w:t>
      </w:r>
      <w:r w:rsidR="005A4A9A" w:rsidRPr="001005B7">
        <w:rPr>
          <w:rFonts w:cstheme="minorHAnsi"/>
        </w:rPr>
        <w:t>“</w:t>
      </w:r>
      <w:r w:rsidR="00B8352C" w:rsidRPr="001005B7">
        <w:t>from</w:t>
      </w:r>
      <w:r w:rsidR="00B8352C" w:rsidRPr="001005B7">
        <w:rPr>
          <w:i/>
          <w:iCs/>
        </w:rPr>
        <w:t xml:space="preserve"> </w:t>
      </w:r>
      <w:r w:rsidR="00B8352C" w:rsidRPr="001005B7">
        <w:t>their</w:t>
      </w:r>
      <w:r w:rsidR="00B8352C" w:rsidRPr="001005B7">
        <w:rPr>
          <w:i/>
          <w:iCs/>
        </w:rPr>
        <w:t xml:space="preserve"> </w:t>
      </w:r>
      <w:r w:rsidR="00B8352C" w:rsidRPr="001005B7">
        <w:t>faithless</w:t>
      </w:r>
      <w:r w:rsidR="00B8352C" w:rsidRPr="001005B7">
        <w:rPr>
          <w:i/>
          <w:iCs/>
        </w:rPr>
        <w:t xml:space="preserve"> </w:t>
      </w:r>
      <w:r w:rsidR="00134001" w:rsidRPr="001005B7">
        <w:t>path</w:t>
      </w:r>
      <w:r w:rsidR="005A4A9A" w:rsidRPr="001005B7">
        <w:t>”</w:t>
      </w:r>
      <w:r w:rsidR="00B8352C" w:rsidRPr="001005B7">
        <w:t xml:space="preserve"> makes explicit that </w:t>
      </w:r>
      <w:r w:rsidR="007F5AA3" w:rsidRPr="001005B7">
        <w:t>it</w:t>
      </w:r>
      <w:r w:rsidR="00B8352C" w:rsidRPr="001005B7">
        <w:t xml:space="preserve"> is an action word.</w:t>
      </w:r>
      <w:r w:rsidR="00620983" w:rsidRPr="001005B7">
        <w:t xml:space="preserve"> It denote</w:t>
      </w:r>
      <w:r w:rsidR="00D07116" w:rsidRPr="001005B7">
        <w:t>s</w:t>
      </w:r>
      <w:r w:rsidR="00620983" w:rsidRPr="001005B7">
        <w:t xml:space="preserve"> turning from one way to another way.</w:t>
      </w:r>
    </w:p>
    <w:p w14:paraId="757013CD" w14:textId="41EBFC67" w:rsidR="008A7ACE" w:rsidRPr="001005B7" w:rsidRDefault="00417403" w:rsidP="001176C5">
      <w:pPr>
        <w:rPr>
          <w:rFonts w:cstheme="minorHAnsi"/>
        </w:rPr>
      </w:pPr>
      <w:r w:rsidRPr="001005B7">
        <w:rPr>
          <w:rFonts w:cstheme="minorHAnsi"/>
        </w:rPr>
        <w:t xml:space="preserve">Presumably the threat that a faithless person </w:t>
      </w:r>
      <w:r w:rsidR="009A2B8B" w:rsidRPr="001005B7">
        <w:rPr>
          <w:rFonts w:cstheme="minorHAnsi"/>
        </w:rPr>
        <w:t>“</w:t>
      </w:r>
      <w:r w:rsidR="00C34A1E" w:rsidRPr="001005B7">
        <w:rPr>
          <w:rFonts w:cstheme="minorHAnsi"/>
        </w:rPr>
        <w:t>will</w:t>
      </w:r>
      <w:r w:rsidR="00C34A1E" w:rsidRPr="001005B7">
        <w:rPr>
          <w:rFonts w:cstheme="minorHAnsi"/>
          <w:i/>
          <w:iCs/>
        </w:rPr>
        <w:t xml:space="preserve"> </w:t>
      </w:r>
      <w:r w:rsidR="00C34A1E" w:rsidRPr="001005B7">
        <w:rPr>
          <w:rFonts w:cstheme="minorHAnsi"/>
        </w:rPr>
        <w:t>definitely</w:t>
      </w:r>
      <w:r w:rsidR="00C34A1E" w:rsidRPr="001005B7">
        <w:rPr>
          <w:rFonts w:cstheme="minorHAnsi"/>
          <w:i/>
          <w:iCs/>
        </w:rPr>
        <w:t xml:space="preserve"> </w:t>
      </w:r>
      <w:r w:rsidR="00C34A1E" w:rsidRPr="001005B7">
        <w:rPr>
          <w:rFonts w:cstheme="minorHAnsi"/>
        </w:rPr>
        <w:t>die</w:t>
      </w:r>
      <w:r w:rsidR="009A2B8B" w:rsidRPr="001005B7">
        <w:rPr>
          <w:rFonts w:cstheme="minorHAnsi"/>
        </w:rPr>
        <w:t>”</w:t>
      </w:r>
      <w:r w:rsidR="003030AC" w:rsidRPr="001005B7">
        <w:rPr>
          <w:rFonts w:cstheme="minorHAnsi"/>
        </w:rPr>
        <w:t xml:space="preserve"> presupposes serious expression</w:t>
      </w:r>
      <w:r w:rsidR="001B2496" w:rsidRPr="001005B7">
        <w:rPr>
          <w:rFonts w:cstheme="minorHAnsi"/>
        </w:rPr>
        <w:t>s</w:t>
      </w:r>
      <w:r w:rsidR="003030AC" w:rsidRPr="001005B7">
        <w:rPr>
          <w:rFonts w:cstheme="minorHAnsi"/>
        </w:rPr>
        <w:t xml:space="preserve"> of faithlessness such as Ezekiel will go on to </w:t>
      </w:r>
      <w:r w:rsidR="000424C1" w:rsidRPr="001005B7">
        <w:rPr>
          <w:rFonts w:cstheme="minorHAnsi"/>
        </w:rPr>
        <w:t xml:space="preserve">portray when he </w:t>
      </w:r>
      <w:r w:rsidR="003030AC" w:rsidRPr="001005B7">
        <w:rPr>
          <w:rFonts w:cstheme="minorHAnsi"/>
        </w:rPr>
        <w:t>describ</w:t>
      </w:r>
      <w:r w:rsidR="000424C1" w:rsidRPr="001005B7">
        <w:rPr>
          <w:rFonts w:cstheme="minorHAnsi"/>
        </w:rPr>
        <w:t>es</w:t>
      </w:r>
      <w:r w:rsidR="000148CA" w:rsidRPr="001005B7">
        <w:rPr>
          <w:rFonts w:cstheme="minorHAnsi"/>
        </w:rPr>
        <w:t xml:space="preserve"> what is happening</w:t>
      </w:r>
      <w:r w:rsidR="000424C1" w:rsidRPr="001005B7">
        <w:rPr>
          <w:rFonts w:cstheme="minorHAnsi"/>
        </w:rPr>
        <w:t xml:space="preserve"> in the Jerusalem temple</w:t>
      </w:r>
      <w:r w:rsidR="005A6605" w:rsidRPr="001005B7">
        <w:rPr>
          <w:rFonts w:cstheme="minorHAnsi"/>
        </w:rPr>
        <w:t xml:space="preserve">. </w:t>
      </w:r>
      <w:r w:rsidR="00DE74BE" w:rsidRPr="001005B7">
        <w:rPr>
          <w:rFonts w:cstheme="minorHAnsi"/>
        </w:rPr>
        <w:t>T</w:t>
      </w:r>
      <w:r w:rsidR="000424C1" w:rsidRPr="001005B7">
        <w:rPr>
          <w:rFonts w:cstheme="minorHAnsi"/>
        </w:rPr>
        <w:t xml:space="preserve">he death will be an unexplained early death like that of </w:t>
      </w:r>
      <w:proofErr w:type="spellStart"/>
      <w:r w:rsidR="000424C1" w:rsidRPr="001005B7">
        <w:rPr>
          <w:rFonts w:cstheme="minorHAnsi"/>
        </w:rPr>
        <w:t>Pelat</w:t>
      </w:r>
      <w:r w:rsidR="004D09E4" w:rsidRPr="001005B7">
        <w:rPr>
          <w:rFonts w:cstheme="minorHAnsi"/>
        </w:rPr>
        <w:t>y</w:t>
      </w:r>
      <w:r w:rsidR="000424C1" w:rsidRPr="001005B7">
        <w:rPr>
          <w:rFonts w:cstheme="minorHAnsi"/>
        </w:rPr>
        <w:t>ah</w:t>
      </w:r>
      <w:r w:rsidR="004D09E4" w:rsidRPr="001005B7">
        <w:rPr>
          <w:rFonts w:cstheme="minorHAnsi"/>
        </w:rPr>
        <w:t>u</w:t>
      </w:r>
      <w:proofErr w:type="spellEnd"/>
      <w:r w:rsidR="000424C1" w:rsidRPr="001005B7">
        <w:rPr>
          <w:rFonts w:cstheme="minorHAnsi"/>
        </w:rPr>
        <w:t xml:space="preserve"> </w:t>
      </w:r>
      <w:r w:rsidR="00DC3086" w:rsidRPr="001005B7">
        <w:rPr>
          <w:rFonts w:cstheme="minorHAnsi"/>
        </w:rPr>
        <w:t>(11:13).</w:t>
      </w:r>
      <w:r w:rsidR="00383F3C" w:rsidRPr="001005B7">
        <w:rPr>
          <w:rFonts w:cstheme="minorHAnsi"/>
        </w:rPr>
        <w:t xml:space="preserve"> </w:t>
      </w:r>
      <w:r w:rsidR="008756A1" w:rsidRPr="001005B7">
        <w:rPr>
          <w:rFonts w:cstheme="minorHAnsi"/>
        </w:rPr>
        <w:t>Bu</w:t>
      </w:r>
      <w:r w:rsidR="00383F3C" w:rsidRPr="001005B7">
        <w:rPr>
          <w:rFonts w:cstheme="minorHAnsi"/>
        </w:rPr>
        <w:t xml:space="preserve">t Yahweh </w:t>
      </w:r>
      <w:r w:rsidR="001B2496" w:rsidRPr="001005B7">
        <w:rPr>
          <w:rFonts w:cstheme="minorHAnsi"/>
        </w:rPr>
        <w:t xml:space="preserve">does </w:t>
      </w:r>
      <w:r w:rsidR="00383F3C" w:rsidRPr="001005B7">
        <w:rPr>
          <w:rFonts w:cstheme="minorHAnsi"/>
        </w:rPr>
        <w:t xml:space="preserve">not punish </w:t>
      </w:r>
      <w:r w:rsidR="001B2496" w:rsidRPr="001005B7">
        <w:rPr>
          <w:rFonts w:cstheme="minorHAnsi"/>
        </w:rPr>
        <w:t>peopl</w:t>
      </w:r>
      <w:r w:rsidR="00383F3C" w:rsidRPr="001005B7">
        <w:rPr>
          <w:rFonts w:cstheme="minorHAnsi"/>
        </w:rPr>
        <w:t>e who turn from their faithlessness</w:t>
      </w:r>
      <w:r w:rsidR="003450D2" w:rsidRPr="001005B7">
        <w:rPr>
          <w:rFonts w:cstheme="minorHAnsi"/>
        </w:rPr>
        <w:t>. He can remit punishments.</w:t>
      </w:r>
      <w:r w:rsidR="00C4015C" w:rsidRPr="001005B7">
        <w:rPr>
          <w:rFonts w:cstheme="minorHAnsi"/>
        </w:rPr>
        <w:t xml:space="preserve"> </w:t>
      </w:r>
      <w:r w:rsidR="004D7883" w:rsidRPr="001005B7">
        <w:rPr>
          <w:rFonts w:cstheme="minorHAnsi"/>
        </w:rPr>
        <w:t>Someone</w:t>
      </w:r>
      <w:r w:rsidR="00C4015C" w:rsidRPr="001005B7">
        <w:rPr>
          <w:rFonts w:cstheme="minorHAnsi"/>
        </w:rPr>
        <w:t xml:space="preserve"> who warns </w:t>
      </w:r>
      <w:r w:rsidR="008824D8" w:rsidRPr="001005B7">
        <w:rPr>
          <w:rFonts w:cstheme="minorHAnsi"/>
        </w:rPr>
        <w:t>faithless people can</w:t>
      </w:r>
      <w:r w:rsidR="00C4015C" w:rsidRPr="001005B7">
        <w:rPr>
          <w:rFonts w:cstheme="minorHAnsi"/>
        </w:rPr>
        <w:t xml:space="preserve"> thereby keep</w:t>
      </w:r>
      <w:r w:rsidR="00C4015C" w:rsidRPr="001005B7">
        <w:rPr>
          <w:rFonts w:cstheme="minorHAnsi"/>
          <w:i/>
          <w:iCs/>
        </w:rPr>
        <w:t xml:space="preserve"> </w:t>
      </w:r>
      <w:r w:rsidR="00C4015C" w:rsidRPr="001005B7">
        <w:rPr>
          <w:rFonts w:cstheme="minorHAnsi"/>
        </w:rPr>
        <w:t>them</w:t>
      </w:r>
      <w:r w:rsidR="00C4015C" w:rsidRPr="001005B7">
        <w:rPr>
          <w:rFonts w:cstheme="minorHAnsi"/>
          <w:i/>
          <w:iCs/>
        </w:rPr>
        <w:t xml:space="preserve"> </w:t>
      </w:r>
      <w:r w:rsidR="00C4015C" w:rsidRPr="001005B7">
        <w:rPr>
          <w:rFonts w:cstheme="minorHAnsi"/>
        </w:rPr>
        <w:t>alive.</w:t>
      </w:r>
      <w:r w:rsidR="0080594B" w:rsidRPr="001005B7">
        <w:rPr>
          <w:rFonts w:cstheme="minorHAnsi"/>
        </w:rPr>
        <w:t xml:space="preserve"> But if the lookout fails to issue the warning, </w:t>
      </w:r>
      <w:r w:rsidR="00E903BB" w:rsidRPr="001005B7">
        <w:rPr>
          <w:rFonts w:cstheme="minorHAnsi"/>
        </w:rPr>
        <w:t>“</w:t>
      </w:r>
      <w:r w:rsidR="00441BCE" w:rsidRPr="001005B7">
        <w:rPr>
          <w:rFonts w:cstheme="minorHAnsi"/>
        </w:rPr>
        <w:t>his</w:t>
      </w:r>
      <w:r w:rsidR="0080594B" w:rsidRPr="001005B7">
        <w:rPr>
          <w:rFonts w:cstheme="minorHAnsi"/>
        </w:rPr>
        <w:t xml:space="preserve"> blood</w:t>
      </w:r>
      <w:r w:rsidR="00D0764E" w:rsidRPr="001005B7">
        <w:rPr>
          <w:rFonts w:cstheme="minorHAnsi"/>
        </w:rPr>
        <w:t xml:space="preserve"> I will require</w:t>
      </w:r>
      <w:r w:rsidR="009C679D" w:rsidRPr="001005B7">
        <w:rPr>
          <w:rFonts w:cstheme="minorHAnsi"/>
        </w:rPr>
        <w:t xml:space="preserve"> from your hand</w:t>
      </w:r>
      <w:r w:rsidR="00E903BB" w:rsidRPr="001005B7">
        <w:rPr>
          <w:rFonts w:cstheme="minorHAnsi"/>
        </w:rPr>
        <w:t>”</w:t>
      </w:r>
      <w:r w:rsidR="009E333E" w:rsidRPr="001005B7">
        <w:rPr>
          <w:rFonts w:cstheme="minorHAnsi"/>
        </w:rPr>
        <w:t xml:space="preserve">: that is, you are responsible for the death, and </w:t>
      </w:r>
      <w:r w:rsidR="004A0E42" w:rsidRPr="001005B7">
        <w:rPr>
          <w:rFonts w:cstheme="minorHAnsi"/>
        </w:rPr>
        <w:t xml:space="preserve">I </w:t>
      </w:r>
      <w:r w:rsidR="00763E1F" w:rsidRPr="001005B7">
        <w:rPr>
          <w:rFonts w:cstheme="minorHAnsi"/>
        </w:rPr>
        <w:t>will see to your execution</w:t>
      </w:r>
      <w:r w:rsidR="0010225A" w:rsidRPr="001005B7">
        <w:rPr>
          <w:rFonts w:cstheme="minorHAnsi"/>
        </w:rPr>
        <w:t>, a</w:t>
      </w:r>
      <w:r w:rsidR="00763E1F" w:rsidRPr="001005B7">
        <w:rPr>
          <w:rFonts w:cstheme="minorHAnsi"/>
        </w:rPr>
        <w:t>gain presumably by an unexplained early death</w:t>
      </w:r>
      <w:r w:rsidR="00FA1666" w:rsidRPr="001005B7">
        <w:rPr>
          <w:rFonts w:cstheme="minorHAnsi"/>
        </w:rPr>
        <w:t>.</w:t>
      </w:r>
      <w:r w:rsidR="005F6368" w:rsidRPr="001005B7">
        <w:rPr>
          <w:rFonts w:cstheme="minorHAnsi"/>
        </w:rPr>
        <w:t xml:space="preserve"> </w:t>
      </w:r>
      <w:r w:rsidR="00B46771" w:rsidRPr="001005B7">
        <w:rPr>
          <w:rFonts w:cstheme="minorHAnsi"/>
        </w:rPr>
        <w:t>Hananiah in Jer 28 might be an example</w:t>
      </w:r>
      <w:r w:rsidR="00763E1F" w:rsidRPr="001005B7">
        <w:rPr>
          <w:rFonts w:cstheme="minorHAnsi"/>
        </w:rPr>
        <w:t>.</w:t>
      </w:r>
      <w:r w:rsidR="004C06CE" w:rsidRPr="001005B7">
        <w:rPr>
          <w:rFonts w:cstheme="minorHAnsi"/>
        </w:rPr>
        <w:t xml:space="preserve"> But</w:t>
      </w:r>
      <w:r w:rsidR="00AB47E8" w:rsidRPr="001005B7">
        <w:rPr>
          <w:rFonts w:cstheme="minorHAnsi"/>
        </w:rPr>
        <w:t xml:space="preserve"> </w:t>
      </w:r>
      <w:r w:rsidR="00D8550A" w:rsidRPr="001005B7">
        <w:rPr>
          <w:rFonts w:cstheme="minorHAnsi"/>
        </w:rPr>
        <w:t>lookout</w:t>
      </w:r>
      <w:r w:rsidR="00AB47E8" w:rsidRPr="001005B7">
        <w:rPr>
          <w:rFonts w:cstheme="minorHAnsi"/>
        </w:rPr>
        <w:t>s</w:t>
      </w:r>
      <w:r w:rsidR="004C06CE" w:rsidRPr="001005B7">
        <w:rPr>
          <w:rFonts w:cstheme="minorHAnsi"/>
        </w:rPr>
        <w:t xml:space="preserve"> </w:t>
      </w:r>
      <w:r w:rsidR="00D8550A" w:rsidRPr="001005B7">
        <w:rPr>
          <w:rFonts w:cstheme="minorHAnsi"/>
        </w:rPr>
        <w:t xml:space="preserve">who </w:t>
      </w:r>
      <w:r w:rsidR="004C06CE" w:rsidRPr="001005B7">
        <w:rPr>
          <w:rFonts w:cstheme="minorHAnsi"/>
        </w:rPr>
        <w:t>issue</w:t>
      </w:r>
      <w:r w:rsidR="00D8550A" w:rsidRPr="001005B7">
        <w:rPr>
          <w:rFonts w:cstheme="minorHAnsi"/>
        </w:rPr>
        <w:t xml:space="preserve"> the warning</w:t>
      </w:r>
      <w:r w:rsidR="006513EC" w:rsidRPr="001005B7">
        <w:rPr>
          <w:rFonts w:cstheme="minorHAnsi"/>
        </w:rPr>
        <w:t xml:space="preserve"> will save their </w:t>
      </w:r>
      <w:r w:rsidR="00AB47E8" w:rsidRPr="001005B7">
        <w:rPr>
          <w:rFonts w:cstheme="minorHAnsi"/>
        </w:rPr>
        <w:t xml:space="preserve">own </w:t>
      </w:r>
      <w:r w:rsidR="006513EC" w:rsidRPr="001005B7">
        <w:rPr>
          <w:rFonts w:cstheme="minorHAnsi"/>
        </w:rPr>
        <w:t>life, even if the faithless person takes no notice.</w:t>
      </w:r>
      <w:r w:rsidR="00D8550A" w:rsidRPr="001005B7">
        <w:rPr>
          <w:rFonts w:cstheme="minorHAnsi"/>
        </w:rPr>
        <w:t xml:space="preserve"> </w:t>
      </w:r>
      <w:r w:rsidR="00BD74D2" w:rsidRPr="001005B7">
        <w:rPr>
          <w:rFonts w:cstheme="minorHAnsi"/>
        </w:rPr>
        <w:t xml:space="preserve">A </w:t>
      </w:r>
      <w:r w:rsidR="006529D8" w:rsidRPr="001005B7">
        <w:rPr>
          <w:rFonts w:cstheme="minorHAnsi"/>
        </w:rPr>
        <w:t xml:space="preserve">literal </w:t>
      </w:r>
      <w:r w:rsidR="00BD74D2" w:rsidRPr="001005B7">
        <w:rPr>
          <w:rFonts w:cstheme="minorHAnsi"/>
        </w:rPr>
        <w:t>lookout</w:t>
      </w:r>
      <w:r w:rsidR="006529D8" w:rsidRPr="001005B7">
        <w:rPr>
          <w:rFonts w:cstheme="minorHAnsi"/>
        </w:rPr>
        <w:t xml:space="preserve"> issues the warnings</w:t>
      </w:r>
      <w:r w:rsidR="00481E7B" w:rsidRPr="001005B7">
        <w:rPr>
          <w:rFonts w:cstheme="minorHAnsi"/>
        </w:rPr>
        <w:t xml:space="preserve"> to the community </w:t>
      </w:r>
      <w:r w:rsidR="006529D8" w:rsidRPr="001005B7">
        <w:rPr>
          <w:rFonts w:cstheme="minorHAnsi"/>
        </w:rPr>
        <w:t xml:space="preserve">as a whole, </w:t>
      </w:r>
      <w:r w:rsidR="00062479" w:rsidRPr="001005B7">
        <w:rPr>
          <w:rFonts w:cstheme="minorHAnsi"/>
        </w:rPr>
        <w:t xml:space="preserve">and it is then the whole community but also each individual </w:t>
      </w:r>
      <w:r w:rsidR="001523D9" w:rsidRPr="001005B7">
        <w:rPr>
          <w:rFonts w:cstheme="minorHAnsi"/>
        </w:rPr>
        <w:t xml:space="preserve">head of a household and </w:t>
      </w:r>
      <w:r w:rsidR="00D31A37" w:rsidRPr="001005B7">
        <w:rPr>
          <w:rFonts w:cstheme="minorHAnsi"/>
        </w:rPr>
        <w:t>each</w:t>
      </w:r>
      <w:r w:rsidR="001523D9" w:rsidRPr="001005B7">
        <w:rPr>
          <w:rFonts w:cstheme="minorHAnsi"/>
        </w:rPr>
        <w:t xml:space="preserve"> individual household and even </w:t>
      </w:r>
      <w:r w:rsidR="00857810" w:rsidRPr="001005B7">
        <w:rPr>
          <w:rFonts w:cstheme="minorHAnsi"/>
        </w:rPr>
        <w:t>each</w:t>
      </w:r>
      <w:r w:rsidR="00481E7B" w:rsidRPr="001005B7">
        <w:rPr>
          <w:rFonts w:cstheme="minorHAnsi"/>
        </w:rPr>
        <w:t xml:space="preserve"> individual </w:t>
      </w:r>
      <w:r w:rsidR="001523D9" w:rsidRPr="001005B7">
        <w:rPr>
          <w:rFonts w:cstheme="minorHAnsi"/>
        </w:rPr>
        <w:t xml:space="preserve">person </w:t>
      </w:r>
      <w:r w:rsidR="00481E7B" w:rsidRPr="001005B7">
        <w:rPr>
          <w:rFonts w:cstheme="minorHAnsi"/>
        </w:rPr>
        <w:t>who has to respond</w:t>
      </w:r>
      <w:r w:rsidR="00857810" w:rsidRPr="001005B7">
        <w:rPr>
          <w:rFonts w:cstheme="minorHAnsi"/>
        </w:rPr>
        <w:t>.</w:t>
      </w:r>
      <w:r w:rsidR="001523D9" w:rsidRPr="001005B7">
        <w:rPr>
          <w:rFonts w:cstheme="minorHAnsi"/>
        </w:rPr>
        <w:t xml:space="preserve"> </w:t>
      </w:r>
      <w:r w:rsidR="003D6840" w:rsidRPr="001005B7">
        <w:rPr>
          <w:rFonts w:cstheme="minorHAnsi"/>
        </w:rPr>
        <w:t>Ezekiel will address his warnings to the entire community, but it is the household head or household and eventually the individual that has to respond.</w:t>
      </w:r>
      <w:r w:rsidR="00A0214B" w:rsidRPr="001005B7">
        <w:rPr>
          <w:rFonts w:cstheme="minorHAnsi"/>
        </w:rPr>
        <w:t xml:space="preserve"> </w:t>
      </w:r>
      <w:r w:rsidR="00E173CC" w:rsidRPr="001005B7">
        <w:rPr>
          <w:rFonts w:cstheme="minorHAnsi"/>
        </w:rPr>
        <w:t>The community as a whole is a household of rebellion</w:t>
      </w:r>
      <w:r w:rsidR="00E173CC" w:rsidRPr="001005B7">
        <w:rPr>
          <w:rFonts w:ascii="Calibri" w:hAnsi="Calibri" w:cs="Calibri"/>
        </w:rPr>
        <w:t>,</w:t>
      </w:r>
      <w:r w:rsidR="0004057F" w:rsidRPr="001005B7">
        <w:rPr>
          <w:rFonts w:ascii="Calibri" w:hAnsi="Calibri" w:cs="Calibri"/>
        </w:rPr>
        <w:t xml:space="preserve"> but people have to make their own decisions. </w:t>
      </w:r>
      <w:r w:rsidR="00295BAC" w:rsidRPr="001005B7">
        <w:rPr>
          <w:rFonts w:cstheme="minorHAnsi"/>
        </w:rPr>
        <w:t xml:space="preserve">Yahweh’s message </w:t>
      </w:r>
      <w:r w:rsidR="00E3377A" w:rsidRPr="001005B7">
        <w:rPr>
          <w:rFonts w:cstheme="minorHAnsi"/>
        </w:rPr>
        <w:t xml:space="preserve">to Ezekiel about all this </w:t>
      </w:r>
      <w:r w:rsidR="00295BAC" w:rsidRPr="001005B7">
        <w:rPr>
          <w:rFonts w:cstheme="minorHAnsi"/>
        </w:rPr>
        <w:t>is important to Ezekiel</w:t>
      </w:r>
      <w:r w:rsidR="00A0214B" w:rsidRPr="001005B7">
        <w:rPr>
          <w:rFonts w:cstheme="minorHAnsi"/>
        </w:rPr>
        <w:t xml:space="preserve"> </w:t>
      </w:r>
      <w:r w:rsidR="006A3D2F" w:rsidRPr="001005B7">
        <w:rPr>
          <w:rFonts w:cstheme="minorHAnsi"/>
        </w:rPr>
        <w:t xml:space="preserve">himself </w:t>
      </w:r>
      <w:r w:rsidR="00A0214B" w:rsidRPr="001005B7">
        <w:rPr>
          <w:rFonts w:cstheme="minorHAnsi"/>
        </w:rPr>
        <w:t xml:space="preserve">because </w:t>
      </w:r>
      <w:r w:rsidR="00C56CDD" w:rsidRPr="001005B7">
        <w:rPr>
          <w:rFonts w:cstheme="minorHAnsi"/>
        </w:rPr>
        <w:t xml:space="preserve">his </w:t>
      </w:r>
      <w:r w:rsidR="000B6674" w:rsidRPr="001005B7">
        <w:rPr>
          <w:rFonts w:cstheme="minorHAnsi"/>
        </w:rPr>
        <w:t>r</w:t>
      </w:r>
      <w:r w:rsidR="00C56CDD" w:rsidRPr="001005B7">
        <w:rPr>
          <w:rFonts w:cstheme="minorHAnsi"/>
        </w:rPr>
        <w:t>esponse to it will decide whether he loses his life</w:t>
      </w:r>
      <w:r w:rsidR="006A3D2F" w:rsidRPr="001005B7">
        <w:rPr>
          <w:rFonts w:cstheme="minorHAnsi"/>
        </w:rPr>
        <w:t>, b</w:t>
      </w:r>
      <w:r w:rsidR="00C56CDD" w:rsidRPr="001005B7">
        <w:rPr>
          <w:rFonts w:cstheme="minorHAnsi"/>
        </w:rPr>
        <w:t>ut</w:t>
      </w:r>
      <w:r w:rsidR="00295BAC" w:rsidRPr="001005B7">
        <w:rPr>
          <w:rFonts w:cstheme="minorHAnsi"/>
        </w:rPr>
        <w:t xml:space="preserve"> </w:t>
      </w:r>
      <w:r w:rsidR="00E3377A" w:rsidRPr="001005B7">
        <w:rPr>
          <w:rFonts w:cstheme="minorHAnsi"/>
        </w:rPr>
        <w:t>it</w:t>
      </w:r>
      <w:r w:rsidR="00295BAC" w:rsidRPr="001005B7">
        <w:rPr>
          <w:rFonts w:cstheme="minorHAnsi"/>
        </w:rPr>
        <w:t xml:space="preserve"> </w:t>
      </w:r>
      <w:r w:rsidR="000B6674" w:rsidRPr="001005B7">
        <w:rPr>
          <w:rFonts w:cstheme="minorHAnsi"/>
        </w:rPr>
        <w:t>appear</w:t>
      </w:r>
      <w:r w:rsidR="00295BAC" w:rsidRPr="001005B7">
        <w:rPr>
          <w:rFonts w:cstheme="minorHAnsi"/>
        </w:rPr>
        <w:t xml:space="preserve">s in </w:t>
      </w:r>
      <w:r w:rsidR="008F1451" w:rsidRPr="001005B7">
        <w:rPr>
          <w:rFonts w:cstheme="minorHAnsi"/>
        </w:rPr>
        <w:t xml:space="preserve">his testimony and in </w:t>
      </w:r>
      <w:r w:rsidR="00295BAC" w:rsidRPr="001005B7">
        <w:rPr>
          <w:rFonts w:cstheme="minorHAnsi"/>
        </w:rPr>
        <w:t>the scroll because it</w:t>
      </w:r>
      <w:r w:rsidR="000B6674" w:rsidRPr="001005B7">
        <w:rPr>
          <w:rFonts w:cstheme="minorHAnsi"/>
        </w:rPr>
        <w:t>’s</w:t>
      </w:r>
      <w:r w:rsidR="00295BAC" w:rsidRPr="001005B7">
        <w:rPr>
          <w:rFonts w:cstheme="minorHAnsi"/>
        </w:rPr>
        <w:t xml:space="preserve"> important to his community. It’s unlikely that Yahweh is really bothered about the theoretical possibility of Ezekiel not fulfilling his commission. The real point in these verses lies in what they say to the community. </w:t>
      </w:r>
      <w:r w:rsidR="00604AF1" w:rsidRPr="001005B7">
        <w:rPr>
          <w:rFonts w:cstheme="minorHAnsi"/>
        </w:rPr>
        <w:t>The</w:t>
      </w:r>
      <w:r w:rsidR="00FE6537" w:rsidRPr="001005B7">
        <w:rPr>
          <w:rFonts w:cstheme="minorHAnsi"/>
        </w:rPr>
        <w:t>y</w:t>
      </w:r>
      <w:r w:rsidR="00604AF1" w:rsidRPr="001005B7">
        <w:rPr>
          <w:rFonts w:cstheme="minorHAnsi"/>
        </w:rPr>
        <w:t xml:space="preserve"> are not concerned at</w:t>
      </w:r>
      <w:r w:rsidR="00295BAC" w:rsidRPr="001005B7">
        <w:rPr>
          <w:rFonts w:cstheme="minorHAnsi"/>
        </w:rPr>
        <w:t xml:space="preserve"> this point to justify Yahweh for </w:t>
      </w:r>
      <w:r w:rsidR="00E20272" w:rsidRPr="001005B7">
        <w:rPr>
          <w:rFonts w:cstheme="minorHAnsi"/>
        </w:rPr>
        <w:t xml:space="preserve">a </w:t>
      </w:r>
      <w:r w:rsidR="00295BAC" w:rsidRPr="001005B7">
        <w:rPr>
          <w:rFonts w:cstheme="minorHAnsi"/>
        </w:rPr>
        <w:t xml:space="preserve">catastrophe </w:t>
      </w:r>
      <w:r w:rsidR="00A4647B" w:rsidRPr="001005B7">
        <w:rPr>
          <w:rFonts w:cstheme="minorHAnsi"/>
        </w:rPr>
        <w:t xml:space="preserve">that </w:t>
      </w:r>
      <w:r w:rsidR="00295BAC" w:rsidRPr="001005B7">
        <w:rPr>
          <w:rFonts w:cstheme="minorHAnsi"/>
        </w:rPr>
        <w:t>he has not yet brought about</w:t>
      </w:r>
      <w:r w:rsidR="00A4647B" w:rsidRPr="001005B7">
        <w:rPr>
          <w:rFonts w:cstheme="minorHAnsi"/>
        </w:rPr>
        <w:t>,</w:t>
      </w:r>
      <w:r w:rsidR="00295BAC" w:rsidRPr="001005B7">
        <w:rPr>
          <w:rFonts w:cstheme="minorHAnsi"/>
        </w:rPr>
        <w:t xml:space="preserve"> which might be</w:t>
      </w:r>
      <w:r w:rsidR="00FC576A" w:rsidRPr="001005B7">
        <w:rPr>
          <w:rFonts w:cstheme="minorHAnsi"/>
        </w:rPr>
        <w:t xml:space="preserve"> part of their significance</w:t>
      </w:r>
      <w:r w:rsidR="00295BAC" w:rsidRPr="001005B7">
        <w:rPr>
          <w:rFonts w:cstheme="minorHAnsi"/>
        </w:rPr>
        <w:t xml:space="preserve"> when the passage recurs in 33:1</w:t>
      </w:r>
      <w:r w:rsidR="00F46900" w:rsidRPr="001005B7">
        <w:rPr>
          <w:rFonts w:cstheme="minorHAnsi"/>
        </w:rPr>
        <w:t>–</w:t>
      </w:r>
      <w:r w:rsidR="00295BAC" w:rsidRPr="001005B7">
        <w:rPr>
          <w:rFonts w:cstheme="minorHAnsi"/>
        </w:rPr>
        <w:t>9</w:t>
      </w:r>
      <w:r w:rsidR="00A4647B" w:rsidRPr="001005B7">
        <w:rPr>
          <w:rFonts w:cstheme="minorHAnsi"/>
        </w:rPr>
        <w:t xml:space="preserve"> </w:t>
      </w:r>
      <w:r w:rsidR="008D3561" w:rsidRPr="001005B7">
        <w:rPr>
          <w:rFonts w:cstheme="minorHAnsi"/>
        </w:rPr>
        <w:t xml:space="preserve">and when the Ezekiel scroll </w:t>
      </w:r>
      <w:r w:rsidR="003A2147" w:rsidRPr="001005B7">
        <w:rPr>
          <w:rFonts w:cstheme="minorHAnsi"/>
        </w:rPr>
        <w:t>comes into being</w:t>
      </w:r>
      <w:r w:rsidR="007808D5" w:rsidRPr="001005B7">
        <w:rPr>
          <w:rFonts w:cstheme="minorHAnsi"/>
        </w:rPr>
        <w:t xml:space="preserve">. </w:t>
      </w:r>
      <w:r w:rsidR="00630E9B" w:rsidRPr="001005B7">
        <w:rPr>
          <w:rFonts w:cstheme="minorHAnsi"/>
        </w:rPr>
        <w:t>Here, the</w:t>
      </w:r>
      <w:r w:rsidR="00A25F4B" w:rsidRPr="001005B7">
        <w:rPr>
          <w:rFonts w:cstheme="minorHAnsi"/>
        </w:rPr>
        <w:t>y</w:t>
      </w:r>
      <w:r w:rsidR="007808D5" w:rsidRPr="001005B7">
        <w:rPr>
          <w:rFonts w:cstheme="minorHAnsi"/>
        </w:rPr>
        <w:t xml:space="preserve"> </w:t>
      </w:r>
      <w:r w:rsidR="005D41E4" w:rsidRPr="001005B7">
        <w:rPr>
          <w:rFonts w:cstheme="minorHAnsi"/>
        </w:rPr>
        <w:t>are concerned</w:t>
      </w:r>
      <w:r w:rsidR="00295BAC" w:rsidRPr="001005B7">
        <w:rPr>
          <w:rFonts w:cstheme="minorHAnsi"/>
        </w:rPr>
        <w:t xml:space="preserve"> </w:t>
      </w:r>
      <w:r w:rsidR="00E60DFC" w:rsidRPr="001005B7">
        <w:rPr>
          <w:rFonts w:cstheme="minorHAnsi"/>
        </w:rPr>
        <w:t>with</w:t>
      </w:r>
      <w:r w:rsidR="00295BAC" w:rsidRPr="001005B7">
        <w:rPr>
          <w:rFonts w:cstheme="minorHAnsi"/>
        </w:rPr>
        <w:t xml:space="preserve"> forestall</w:t>
      </w:r>
      <w:r w:rsidR="00E60DFC" w:rsidRPr="001005B7">
        <w:rPr>
          <w:rFonts w:cstheme="minorHAnsi"/>
        </w:rPr>
        <w:t>ing</w:t>
      </w:r>
      <w:r w:rsidR="00295BAC" w:rsidRPr="001005B7">
        <w:rPr>
          <w:rFonts w:cstheme="minorHAnsi"/>
        </w:rPr>
        <w:t xml:space="preserve"> the catastrophe</w:t>
      </w:r>
      <w:r w:rsidR="00AD0EA1" w:rsidRPr="001005B7">
        <w:rPr>
          <w:rFonts w:cstheme="minorHAnsi"/>
        </w:rPr>
        <w:t>, not</w:t>
      </w:r>
      <w:r w:rsidR="00E20272" w:rsidRPr="001005B7">
        <w:rPr>
          <w:rFonts w:cstheme="minorHAnsi"/>
        </w:rPr>
        <w:t xml:space="preserve"> </w:t>
      </w:r>
      <w:r w:rsidR="00E60DFC" w:rsidRPr="001005B7">
        <w:rPr>
          <w:rFonts w:cstheme="minorHAnsi"/>
        </w:rPr>
        <w:t>with</w:t>
      </w:r>
      <w:r w:rsidR="00E20272" w:rsidRPr="001005B7">
        <w:rPr>
          <w:rFonts w:cstheme="minorHAnsi"/>
        </w:rPr>
        <w:t xml:space="preserve"> theodicy</w:t>
      </w:r>
      <w:r w:rsidR="00630E9B" w:rsidRPr="001005B7">
        <w:rPr>
          <w:rFonts w:cstheme="minorHAnsi"/>
        </w:rPr>
        <w:t>. Which may</w:t>
      </w:r>
      <w:r w:rsidR="00EF0D76" w:rsidRPr="001005B7">
        <w:rPr>
          <w:rFonts w:cstheme="minorHAnsi"/>
        </w:rPr>
        <w:t xml:space="preserve"> now</w:t>
      </w:r>
      <w:r w:rsidR="00630E9B" w:rsidRPr="001005B7">
        <w:rPr>
          <w:rFonts w:cstheme="minorHAnsi"/>
        </w:rPr>
        <w:t xml:space="preserve"> be fortuitous, as read in</w:t>
      </w:r>
      <w:r w:rsidR="00535FCC" w:rsidRPr="001005B7">
        <w:rPr>
          <w:rFonts w:cstheme="minorHAnsi"/>
        </w:rPr>
        <w:t xml:space="preserve"> terms of theodicy after the Holocaust, they would</w:t>
      </w:r>
      <w:r w:rsidR="001176C5" w:rsidRPr="001005B7">
        <w:rPr>
          <w:rFonts w:cstheme="minorHAnsi"/>
        </w:rPr>
        <w:t xml:space="preserve"> be fiendishly misleading</w:t>
      </w:r>
      <w:r w:rsidR="00AC1C9F" w:rsidRPr="001005B7">
        <w:rPr>
          <w:rFonts w:cstheme="minorHAnsi"/>
        </w:rPr>
        <w:t xml:space="preserve"> (</w:t>
      </w:r>
      <w:r w:rsidR="00AC1C9F" w:rsidRPr="001005B7">
        <w:t>Sweeney, 38).</w:t>
      </w:r>
    </w:p>
    <w:p w14:paraId="7BEBC16B" w14:textId="1EECA971" w:rsidR="006A5100" w:rsidRPr="001005B7" w:rsidRDefault="008D452C" w:rsidP="00B27DC8">
      <w:pPr>
        <w:rPr>
          <w:rFonts w:cstheme="minorHAnsi"/>
        </w:rPr>
      </w:pPr>
      <w:r w:rsidRPr="001005B7">
        <w:rPr>
          <w:rFonts w:cstheme="minorHAnsi"/>
          <w:b/>
          <w:bCs/>
        </w:rPr>
        <w:t>3:</w:t>
      </w:r>
      <w:r w:rsidR="00C01CDC" w:rsidRPr="001005B7">
        <w:rPr>
          <w:rFonts w:cstheme="minorHAnsi"/>
          <w:b/>
          <w:bCs/>
        </w:rPr>
        <w:t>20</w:t>
      </w:r>
      <w:r w:rsidR="00F46900" w:rsidRPr="001005B7">
        <w:rPr>
          <w:rFonts w:cstheme="minorHAnsi"/>
          <w:b/>
          <w:bCs/>
        </w:rPr>
        <w:t>–</w:t>
      </w:r>
      <w:r w:rsidR="00280E27" w:rsidRPr="001005B7">
        <w:rPr>
          <w:rFonts w:cstheme="minorHAnsi"/>
          <w:b/>
          <w:bCs/>
        </w:rPr>
        <w:t>21</w:t>
      </w:r>
      <w:r w:rsidR="00C01CDC" w:rsidRPr="001005B7">
        <w:rPr>
          <w:rFonts w:cstheme="minorHAnsi"/>
          <w:b/>
          <w:bCs/>
        </w:rPr>
        <w:t xml:space="preserve"> </w:t>
      </w:r>
      <w:r w:rsidR="004B356D" w:rsidRPr="001005B7">
        <w:rPr>
          <w:rFonts w:cstheme="minorHAnsi"/>
        </w:rPr>
        <w:t>As past faithlessness does not doom someone who turns</w:t>
      </w:r>
      <w:r w:rsidR="003A2147" w:rsidRPr="001005B7">
        <w:rPr>
          <w:rFonts w:cstheme="minorHAnsi"/>
        </w:rPr>
        <w:t xml:space="preserve"> </w:t>
      </w:r>
      <w:r w:rsidR="002C7C35" w:rsidRPr="001005B7">
        <w:rPr>
          <w:rFonts w:cstheme="minorHAnsi"/>
        </w:rPr>
        <w:t>(back)</w:t>
      </w:r>
      <w:r w:rsidR="003B593A" w:rsidRPr="001005B7">
        <w:rPr>
          <w:rFonts w:cstheme="minorHAnsi"/>
        </w:rPr>
        <w:t>,</w:t>
      </w:r>
      <w:r w:rsidR="004B356D" w:rsidRPr="001005B7">
        <w:rPr>
          <w:rFonts w:cstheme="minorHAnsi"/>
        </w:rPr>
        <w:t xml:space="preserve"> u</w:t>
      </w:r>
      <w:r w:rsidR="00813C47" w:rsidRPr="001005B7">
        <w:rPr>
          <w:rFonts w:cstheme="minorHAnsi"/>
        </w:rPr>
        <w:t xml:space="preserve">nfortunately past faithfulness no more saves </w:t>
      </w:r>
      <w:r w:rsidR="0051499D" w:rsidRPr="001005B7">
        <w:rPr>
          <w:rFonts w:cstheme="minorHAnsi"/>
        </w:rPr>
        <w:t>someone who turns</w:t>
      </w:r>
      <w:r w:rsidR="002C7C35" w:rsidRPr="001005B7">
        <w:rPr>
          <w:rFonts w:cstheme="minorHAnsi"/>
        </w:rPr>
        <w:t xml:space="preserve"> (away)</w:t>
      </w:r>
      <w:r w:rsidR="00D54F85" w:rsidRPr="001005B7">
        <w:rPr>
          <w:rFonts w:cstheme="minorHAnsi"/>
        </w:rPr>
        <w:t xml:space="preserve"> and does </w:t>
      </w:r>
      <w:r w:rsidR="00ED3FF0" w:rsidRPr="001005B7">
        <w:rPr>
          <w:rFonts w:cstheme="minorHAnsi"/>
        </w:rPr>
        <w:t>“</w:t>
      </w:r>
      <w:r w:rsidR="00D54F85" w:rsidRPr="001005B7">
        <w:rPr>
          <w:rFonts w:cstheme="minorHAnsi"/>
        </w:rPr>
        <w:t>wrong</w:t>
      </w:r>
      <w:r w:rsidR="00ED3FF0" w:rsidRPr="001005B7">
        <w:rPr>
          <w:rFonts w:cstheme="minorHAnsi"/>
        </w:rPr>
        <w:t>”</w:t>
      </w:r>
      <w:r w:rsidR="00D54F85" w:rsidRPr="001005B7">
        <w:rPr>
          <w:rFonts w:cstheme="minorHAnsi"/>
        </w:rPr>
        <w:t xml:space="preserve"> (</w:t>
      </w:r>
      <w:r w:rsidR="00E455A5" w:rsidRPr="001005B7">
        <w:rPr>
          <w:rFonts w:cstheme="minorHAnsi"/>
          <w:rtl/>
          <w:lang w:bidi="he-IL"/>
        </w:rPr>
        <w:t>עָוֶ</w:t>
      </w:r>
      <w:r w:rsidR="002F275A" w:rsidRPr="001005B7">
        <w:rPr>
          <w:rFonts w:cstheme="minorHAnsi"/>
          <w:rtl/>
          <w:lang w:bidi="he-IL"/>
        </w:rPr>
        <w:t>ל</w:t>
      </w:r>
      <w:r w:rsidR="007B7883" w:rsidRPr="001005B7">
        <w:rPr>
          <w:rFonts w:cstheme="minorHAnsi"/>
        </w:rPr>
        <w:t>),</w:t>
      </w:r>
      <w:r w:rsidR="00A7241B" w:rsidRPr="001005B7">
        <w:rPr>
          <w:rFonts w:cstheme="minorHAnsi"/>
        </w:rPr>
        <w:t xml:space="preserve"> a general term for </w:t>
      </w:r>
      <w:r w:rsidR="005A5E05" w:rsidRPr="001005B7">
        <w:rPr>
          <w:rFonts w:cstheme="minorHAnsi"/>
        </w:rPr>
        <w:t xml:space="preserve">doing the wrong thing by </w:t>
      </w:r>
      <w:r w:rsidR="00A7241B" w:rsidRPr="001005B7">
        <w:rPr>
          <w:rFonts w:cstheme="minorHAnsi"/>
        </w:rPr>
        <w:t>another person</w:t>
      </w:r>
      <w:r w:rsidR="00A80E08" w:rsidRPr="001005B7">
        <w:rPr>
          <w:rFonts w:cstheme="minorHAnsi"/>
        </w:rPr>
        <w:t xml:space="preserve"> in some way</w:t>
      </w:r>
      <w:r w:rsidR="00682220" w:rsidRPr="001005B7">
        <w:rPr>
          <w:rFonts w:cstheme="minorHAnsi"/>
        </w:rPr>
        <w:t>.</w:t>
      </w:r>
      <w:r w:rsidR="008D78B4" w:rsidRPr="001005B7">
        <w:rPr>
          <w:rFonts w:cstheme="minorHAnsi"/>
        </w:rPr>
        <w:t xml:space="preserve"> </w:t>
      </w:r>
      <w:r w:rsidR="006F5556" w:rsidRPr="001005B7">
        <w:rPr>
          <w:rFonts w:cstheme="minorHAnsi"/>
        </w:rPr>
        <w:t>In the context of subsequent wrongdoing, p</w:t>
      </w:r>
      <w:r w:rsidR="00E96F5E" w:rsidRPr="001005B7">
        <w:rPr>
          <w:rFonts w:cstheme="minorHAnsi"/>
        </w:rPr>
        <w:t>ast f</w:t>
      </w:r>
      <w:r w:rsidR="002C7C35" w:rsidRPr="001005B7">
        <w:rPr>
          <w:rFonts w:cstheme="minorHAnsi"/>
        </w:rPr>
        <w:t>aithfulness</w:t>
      </w:r>
      <w:r w:rsidR="006655E7" w:rsidRPr="001005B7">
        <w:rPr>
          <w:rFonts w:cstheme="minorHAnsi"/>
        </w:rPr>
        <w:t xml:space="preserve"> will</w:t>
      </w:r>
      <w:r w:rsidR="008D78B4" w:rsidRPr="001005B7">
        <w:rPr>
          <w:rFonts w:cstheme="minorHAnsi"/>
        </w:rPr>
        <w:t xml:space="preserve"> not </w:t>
      </w:r>
      <w:r w:rsidR="00ED3FF0" w:rsidRPr="001005B7">
        <w:rPr>
          <w:rFonts w:cstheme="minorHAnsi"/>
        </w:rPr>
        <w:t>“</w:t>
      </w:r>
      <w:r w:rsidR="00C7133B" w:rsidRPr="001005B7">
        <w:rPr>
          <w:rFonts w:cstheme="minorHAnsi"/>
        </w:rPr>
        <w:t>stay</w:t>
      </w:r>
      <w:r w:rsidR="00C7133B" w:rsidRPr="001005B7">
        <w:rPr>
          <w:rFonts w:cstheme="minorHAnsi"/>
          <w:i/>
          <w:iCs/>
        </w:rPr>
        <w:t xml:space="preserve"> </w:t>
      </w:r>
      <w:r w:rsidR="00C7133B" w:rsidRPr="001005B7">
        <w:rPr>
          <w:rFonts w:cstheme="minorHAnsi"/>
        </w:rPr>
        <w:t>in</w:t>
      </w:r>
      <w:r w:rsidR="00C7133B" w:rsidRPr="001005B7">
        <w:rPr>
          <w:rFonts w:cstheme="minorHAnsi"/>
          <w:i/>
          <w:iCs/>
        </w:rPr>
        <w:t xml:space="preserve"> </w:t>
      </w:r>
      <w:r w:rsidR="00C7133B" w:rsidRPr="001005B7">
        <w:rPr>
          <w:rFonts w:cstheme="minorHAnsi"/>
        </w:rPr>
        <w:t>mind</w:t>
      </w:r>
      <w:r w:rsidR="00ED3FF0" w:rsidRPr="001005B7">
        <w:rPr>
          <w:rFonts w:cstheme="minorHAnsi"/>
        </w:rPr>
        <w:t>”</w:t>
      </w:r>
      <w:r w:rsidR="00C7133B" w:rsidRPr="001005B7">
        <w:rPr>
          <w:rFonts w:cstheme="minorHAnsi"/>
        </w:rPr>
        <w:t xml:space="preserve"> or come to reme</w:t>
      </w:r>
      <w:r w:rsidR="00FF1675" w:rsidRPr="001005B7">
        <w:rPr>
          <w:rFonts w:cstheme="minorHAnsi"/>
        </w:rPr>
        <w:t>m</w:t>
      </w:r>
      <w:r w:rsidR="00C7133B" w:rsidRPr="001005B7">
        <w:rPr>
          <w:rFonts w:cstheme="minorHAnsi"/>
        </w:rPr>
        <w:t>brance</w:t>
      </w:r>
      <w:r w:rsidR="00840E31" w:rsidRPr="001005B7">
        <w:rPr>
          <w:rFonts w:cstheme="minorHAnsi"/>
        </w:rPr>
        <w:t xml:space="preserve"> for Yahweh</w:t>
      </w:r>
      <w:r w:rsidR="00FF1675" w:rsidRPr="001005B7">
        <w:rPr>
          <w:rFonts w:cstheme="minorHAnsi"/>
        </w:rPr>
        <w:t xml:space="preserve"> (</w:t>
      </w:r>
      <w:r w:rsidR="003B593A" w:rsidRPr="001005B7">
        <w:rPr>
          <w:rFonts w:cstheme="minorHAnsi"/>
          <w:rtl/>
          <w:lang w:bidi="he-IL"/>
        </w:rPr>
        <w:t>זָ</w:t>
      </w:r>
      <w:r w:rsidR="00B25715" w:rsidRPr="001005B7">
        <w:rPr>
          <w:rFonts w:cstheme="minorHAnsi"/>
          <w:rtl/>
          <w:lang w:bidi="he-IL"/>
        </w:rPr>
        <w:t>כַר</w:t>
      </w:r>
      <w:r w:rsidR="00FF1675" w:rsidRPr="001005B7">
        <w:rPr>
          <w:rFonts w:cstheme="minorHAnsi"/>
          <w:i/>
          <w:iCs/>
        </w:rPr>
        <w:t xml:space="preserve"> </w:t>
      </w:r>
      <w:r w:rsidR="00FF1675" w:rsidRPr="001005B7">
        <w:rPr>
          <w:rFonts w:cstheme="minorHAnsi"/>
        </w:rPr>
        <w:t>niphal</w:t>
      </w:r>
      <w:r w:rsidR="00FD1D1C" w:rsidRPr="001005B7">
        <w:rPr>
          <w:rFonts w:cstheme="minorHAnsi"/>
        </w:rPr>
        <w:t>)</w:t>
      </w:r>
      <w:r w:rsidR="00D115C6" w:rsidRPr="001005B7">
        <w:rPr>
          <w:rFonts w:cstheme="minorHAnsi"/>
        </w:rPr>
        <w:t>.</w:t>
      </w:r>
      <w:r w:rsidR="00617D0C" w:rsidRPr="001005B7">
        <w:rPr>
          <w:rFonts w:cstheme="minorHAnsi"/>
        </w:rPr>
        <w:t xml:space="preserve"> </w:t>
      </w:r>
      <w:r w:rsidR="009E7B7B" w:rsidRPr="001005B7">
        <w:rPr>
          <w:rFonts w:cstheme="minorHAnsi"/>
        </w:rPr>
        <w:t>“</w:t>
      </w:r>
      <w:r w:rsidR="00FE3CEF" w:rsidRPr="001005B7">
        <w:rPr>
          <w:rFonts w:cstheme="minorHAnsi"/>
        </w:rPr>
        <w:t>Something t</w:t>
      </w:r>
      <w:r w:rsidR="000A19CE" w:rsidRPr="001005B7">
        <w:rPr>
          <w:rFonts w:cstheme="minorHAnsi"/>
        </w:rPr>
        <w:t>hat</w:t>
      </w:r>
      <w:r w:rsidR="00FE3CEF" w:rsidRPr="001005B7">
        <w:rPr>
          <w:rFonts w:cstheme="minorHAnsi"/>
        </w:rPr>
        <w:t xml:space="preserve"> </w:t>
      </w:r>
      <w:r w:rsidR="00FA519B" w:rsidRPr="001005B7">
        <w:rPr>
          <w:rFonts w:cstheme="minorHAnsi"/>
        </w:rPr>
        <w:t xml:space="preserve">causes </w:t>
      </w:r>
      <w:r w:rsidR="004E47C7" w:rsidRPr="001005B7">
        <w:rPr>
          <w:rFonts w:cstheme="minorHAnsi"/>
        </w:rPr>
        <w:t>hi</w:t>
      </w:r>
      <w:r w:rsidR="002B149F" w:rsidRPr="001005B7">
        <w:rPr>
          <w:rFonts w:cstheme="minorHAnsi"/>
        </w:rPr>
        <w:t>s downfall</w:t>
      </w:r>
      <w:r w:rsidR="009E7B7B" w:rsidRPr="001005B7">
        <w:rPr>
          <w:rFonts w:cstheme="minorHAnsi"/>
        </w:rPr>
        <w:t>”</w:t>
      </w:r>
      <w:r w:rsidR="00FE3CEF" w:rsidRPr="001005B7">
        <w:rPr>
          <w:rFonts w:cstheme="minorHAnsi"/>
        </w:rPr>
        <w:t xml:space="preserve"> </w:t>
      </w:r>
      <w:r w:rsidR="00A96C56" w:rsidRPr="001005B7">
        <w:rPr>
          <w:rFonts w:cstheme="minorHAnsi"/>
        </w:rPr>
        <w:t>(</w:t>
      </w:r>
      <w:r w:rsidR="00E71890" w:rsidRPr="001005B7">
        <w:rPr>
          <w:rFonts w:cstheme="minorHAnsi"/>
          <w:rtl/>
          <w:lang w:bidi="he-IL"/>
        </w:rPr>
        <w:t>מִכְשׁוׄ</w:t>
      </w:r>
      <w:r w:rsidR="00861C48" w:rsidRPr="001005B7">
        <w:rPr>
          <w:rFonts w:cstheme="minorHAnsi"/>
          <w:rtl/>
          <w:lang w:bidi="he-IL"/>
        </w:rPr>
        <w:t>ל</w:t>
      </w:r>
      <w:r w:rsidR="002067AD" w:rsidRPr="001005B7">
        <w:rPr>
          <w:rFonts w:cstheme="minorHAnsi"/>
        </w:rPr>
        <w:t>)</w:t>
      </w:r>
      <w:r w:rsidR="002067AD" w:rsidRPr="001005B7">
        <w:rPr>
          <w:rFonts w:cstheme="minorHAnsi"/>
          <w:i/>
          <w:iCs/>
        </w:rPr>
        <w:t xml:space="preserve"> </w:t>
      </w:r>
      <w:r w:rsidR="00FD1D1C" w:rsidRPr="001005B7">
        <w:rPr>
          <w:rFonts w:cstheme="minorHAnsi"/>
        </w:rPr>
        <w:t xml:space="preserve">is another word </w:t>
      </w:r>
      <w:r w:rsidR="002067AD" w:rsidRPr="001005B7">
        <w:rPr>
          <w:rFonts w:cstheme="minorHAnsi"/>
        </w:rPr>
        <w:t xml:space="preserve">that </w:t>
      </w:r>
      <w:r w:rsidR="00CD7600" w:rsidRPr="001005B7">
        <w:rPr>
          <w:rFonts w:cstheme="minorHAnsi"/>
        </w:rPr>
        <w:t>occur</w:t>
      </w:r>
      <w:r w:rsidR="002067AD" w:rsidRPr="001005B7">
        <w:rPr>
          <w:rFonts w:cstheme="minorHAnsi"/>
        </w:rPr>
        <w:t>s most often in</w:t>
      </w:r>
      <w:r w:rsidR="00FD1D1C" w:rsidRPr="001005B7">
        <w:rPr>
          <w:rFonts w:cstheme="minorHAnsi"/>
        </w:rPr>
        <w:t xml:space="preserve"> Ezekiel</w:t>
      </w:r>
      <w:r w:rsidR="00CF3589" w:rsidRPr="001005B7">
        <w:rPr>
          <w:rFonts w:cstheme="minorHAnsi"/>
        </w:rPr>
        <w:t>.</w:t>
      </w:r>
      <w:r w:rsidR="000A6E62" w:rsidRPr="001005B7">
        <w:rPr>
          <w:rFonts w:cstheme="minorHAnsi"/>
        </w:rPr>
        <w:t xml:space="preserve"> Obviously one should not </w:t>
      </w:r>
      <w:r w:rsidR="00CD7600" w:rsidRPr="001005B7">
        <w:rPr>
          <w:rFonts w:cstheme="minorHAnsi"/>
        </w:rPr>
        <w:t>wantonly or viciously</w:t>
      </w:r>
      <w:r w:rsidR="00D6184F" w:rsidRPr="001005B7">
        <w:rPr>
          <w:rFonts w:cstheme="minorHAnsi"/>
        </w:rPr>
        <w:t xml:space="preserve"> </w:t>
      </w:r>
      <w:r w:rsidR="000A6E62" w:rsidRPr="001005B7">
        <w:rPr>
          <w:rFonts w:cstheme="minorHAnsi"/>
        </w:rPr>
        <w:t xml:space="preserve">put </w:t>
      </w:r>
      <w:r w:rsidR="00AF35AB" w:rsidRPr="001005B7">
        <w:rPr>
          <w:rFonts w:cstheme="minorHAnsi"/>
        </w:rPr>
        <w:t xml:space="preserve">such </w:t>
      </w:r>
      <w:r w:rsidR="001B1374" w:rsidRPr="001005B7">
        <w:rPr>
          <w:rFonts w:cstheme="minorHAnsi"/>
        </w:rPr>
        <w:t xml:space="preserve">a “stumbling block” </w:t>
      </w:r>
      <w:r w:rsidR="004E47C7" w:rsidRPr="001005B7">
        <w:rPr>
          <w:rFonts w:cstheme="minorHAnsi"/>
        </w:rPr>
        <w:t>(the traditional translatio</w:t>
      </w:r>
      <w:r w:rsidR="00536B59" w:rsidRPr="001005B7">
        <w:rPr>
          <w:rFonts w:cstheme="minorHAnsi"/>
        </w:rPr>
        <w:t>n</w:t>
      </w:r>
      <w:r w:rsidR="004E47C7" w:rsidRPr="001005B7">
        <w:rPr>
          <w:rFonts w:cstheme="minorHAnsi"/>
        </w:rPr>
        <w:t xml:space="preserve">) </w:t>
      </w:r>
      <w:r w:rsidR="001B1374" w:rsidRPr="001005B7">
        <w:rPr>
          <w:rFonts w:cstheme="minorHAnsi"/>
        </w:rPr>
        <w:t xml:space="preserve">or </w:t>
      </w:r>
      <w:r w:rsidR="001F09B7" w:rsidRPr="001005B7">
        <w:rPr>
          <w:rFonts w:cstheme="minorHAnsi"/>
        </w:rPr>
        <w:t>lethal</w:t>
      </w:r>
      <w:r w:rsidR="00DC0F88" w:rsidRPr="001005B7">
        <w:rPr>
          <w:rFonts w:cstheme="minorHAnsi"/>
        </w:rPr>
        <w:t xml:space="preserve"> </w:t>
      </w:r>
      <w:r w:rsidR="000A6E62" w:rsidRPr="001005B7">
        <w:rPr>
          <w:rFonts w:cstheme="minorHAnsi"/>
        </w:rPr>
        <w:t xml:space="preserve">obstacle in front of someone </w:t>
      </w:r>
      <w:r w:rsidR="0077051D" w:rsidRPr="001005B7">
        <w:rPr>
          <w:rFonts w:cstheme="minorHAnsi"/>
        </w:rPr>
        <w:t>(Lev 19:14)</w:t>
      </w:r>
      <w:r w:rsidR="005B1D7B" w:rsidRPr="001005B7">
        <w:rPr>
          <w:rFonts w:cstheme="minorHAnsi"/>
        </w:rPr>
        <w:t>, but Ezekiel uses the image</w:t>
      </w:r>
      <w:r w:rsidR="00B81BCA" w:rsidRPr="001005B7">
        <w:rPr>
          <w:rFonts w:cstheme="minorHAnsi"/>
        </w:rPr>
        <w:t xml:space="preserve"> a</w:t>
      </w:r>
      <w:r w:rsidR="00B11D49" w:rsidRPr="001005B7">
        <w:rPr>
          <w:rFonts w:cstheme="minorHAnsi"/>
        </w:rPr>
        <w:t xml:space="preserve">s a way of picturing </w:t>
      </w:r>
      <w:r w:rsidR="00B81BCA" w:rsidRPr="001005B7">
        <w:rPr>
          <w:rFonts w:cstheme="minorHAnsi"/>
        </w:rPr>
        <w:t xml:space="preserve">a deserved </w:t>
      </w:r>
      <w:r w:rsidR="00E0041F" w:rsidRPr="001005B7">
        <w:rPr>
          <w:rFonts w:cstheme="minorHAnsi"/>
        </w:rPr>
        <w:t>falling</w:t>
      </w:r>
      <w:r w:rsidR="00556987" w:rsidRPr="001005B7">
        <w:rPr>
          <w:rFonts w:cstheme="minorHAnsi"/>
        </w:rPr>
        <w:t xml:space="preserve"> to </w:t>
      </w:r>
      <w:r w:rsidR="00B11D49" w:rsidRPr="001005B7">
        <w:rPr>
          <w:rFonts w:cstheme="minorHAnsi"/>
        </w:rPr>
        <w:t>an early death</w:t>
      </w:r>
      <w:r w:rsidR="006A5100" w:rsidRPr="001005B7">
        <w:rPr>
          <w:rFonts w:cstheme="minorHAnsi"/>
        </w:rPr>
        <w:t xml:space="preserve">. </w:t>
      </w:r>
      <w:r w:rsidR="00DC65FD" w:rsidRPr="001005B7">
        <w:rPr>
          <w:rFonts w:cstheme="minorHAnsi"/>
        </w:rPr>
        <w:t>It</w:t>
      </w:r>
      <w:r w:rsidR="00CE7DC1" w:rsidRPr="001005B7">
        <w:rPr>
          <w:rFonts w:cstheme="minorHAnsi"/>
        </w:rPr>
        <w:t xml:space="preserve"> signifies “a concrete equivalent to the death sentence</w:t>
      </w:r>
      <w:r w:rsidR="00B20116" w:rsidRPr="001005B7">
        <w:rPr>
          <w:rFonts w:cstheme="minorHAnsi"/>
        </w:rPr>
        <w:t>”</w:t>
      </w:r>
      <w:r w:rsidR="004C5E3A" w:rsidRPr="001005B7">
        <w:rPr>
          <w:rFonts w:cstheme="minorHAnsi"/>
        </w:rPr>
        <w:t xml:space="preserve"> (</w:t>
      </w:r>
      <w:r w:rsidR="004C5E3A" w:rsidRPr="001005B7">
        <w:t>Block</w:t>
      </w:r>
      <w:r w:rsidR="00656A1E" w:rsidRPr="001005B7">
        <w:t>,</w:t>
      </w:r>
      <w:r w:rsidR="004C5E3A" w:rsidRPr="001005B7">
        <w:t xml:space="preserve"> 1:147).</w:t>
      </w:r>
    </w:p>
    <w:p w14:paraId="744BDA89" w14:textId="2CF35E40" w:rsidR="00875A3F" w:rsidRPr="001005B7" w:rsidRDefault="00324C12" w:rsidP="001157A5">
      <w:pPr>
        <w:rPr>
          <w:rFonts w:cstheme="minorHAnsi"/>
        </w:rPr>
      </w:pPr>
      <w:r w:rsidRPr="001005B7">
        <w:rPr>
          <w:rFonts w:cstheme="minorHAnsi"/>
        </w:rPr>
        <w:t xml:space="preserve">Yahweh </w:t>
      </w:r>
      <w:r w:rsidR="00556987" w:rsidRPr="001005B7">
        <w:rPr>
          <w:rFonts w:cstheme="minorHAnsi"/>
        </w:rPr>
        <w:t xml:space="preserve">also </w:t>
      </w:r>
      <w:r w:rsidRPr="001005B7">
        <w:rPr>
          <w:rFonts w:cstheme="minorHAnsi"/>
        </w:rPr>
        <w:t>adds yet another key term for wrongdoing</w:t>
      </w:r>
      <w:r w:rsidR="00556987" w:rsidRPr="001005B7">
        <w:rPr>
          <w:rFonts w:cstheme="minorHAnsi"/>
        </w:rPr>
        <w:t>,</w:t>
      </w:r>
      <w:r w:rsidRPr="001005B7">
        <w:rPr>
          <w:rFonts w:cstheme="minorHAnsi"/>
          <w:i/>
          <w:iCs/>
        </w:rPr>
        <w:t xml:space="preserve"> </w:t>
      </w:r>
      <w:r w:rsidR="00F71DBB" w:rsidRPr="001005B7">
        <w:rPr>
          <w:rFonts w:cstheme="minorHAnsi"/>
        </w:rPr>
        <w:t>“</w:t>
      </w:r>
      <w:r w:rsidRPr="001005B7">
        <w:rPr>
          <w:rFonts w:cstheme="minorHAnsi"/>
        </w:rPr>
        <w:t>offense</w:t>
      </w:r>
      <w:r w:rsidR="00F71DBB" w:rsidRPr="001005B7">
        <w:rPr>
          <w:rFonts w:cstheme="minorHAnsi"/>
        </w:rPr>
        <w:t>”</w:t>
      </w:r>
      <w:r w:rsidRPr="001005B7">
        <w:rPr>
          <w:rFonts w:cstheme="minorHAnsi"/>
          <w:i/>
          <w:iCs/>
        </w:rPr>
        <w:t xml:space="preserve"> </w:t>
      </w:r>
      <w:r w:rsidRPr="001005B7">
        <w:rPr>
          <w:rFonts w:cstheme="minorHAnsi"/>
        </w:rPr>
        <w:t>(</w:t>
      </w:r>
      <w:r w:rsidR="009B06CD" w:rsidRPr="001005B7">
        <w:rPr>
          <w:rFonts w:cstheme="minorHAnsi"/>
          <w:rtl/>
          <w:lang w:bidi="he-IL"/>
        </w:rPr>
        <w:t>חַטָּ</w:t>
      </w:r>
      <w:r w:rsidR="006134C3" w:rsidRPr="001005B7">
        <w:rPr>
          <w:rFonts w:cstheme="minorHAnsi"/>
          <w:rtl/>
          <w:lang w:bidi="he-IL"/>
        </w:rPr>
        <w:t>א</w:t>
      </w:r>
      <w:r w:rsidR="009B06CD" w:rsidRPr="001005B7">
        <w:rPr>
          <w:rFonts w:cstheme="minorHAnsi"/>
          <w:rtl/>
          <w:lang w:bidi="he-IL"/>
        </w:rPr>
        <w:t>ת</w:t>
      </w:r>
      <w:r w:rsidR="00EA7496" w:rsidRPr="001005B7">
        <w:rPr>
          <w:rFonts w:cstheme="minorHAnsi"/>
        </w:rPr>
        <w:t>), traditionally translated “sin</w:t>
      </w:r>
      <w:r w:rsidR="009B6B14" w:rsidRPr="001005B7">
        <w:rPr>
          <w:rFonts w:cstheme="minorHAnsi"/>
        </w:rPr>
        <w:t>.</w:t>
      </w:r>
      <w:r w:rsidR="00C92FE2" w:rsidRPr="001005B7">
        <w:rPr>
          <w:rFonts w:cstheme="minorHAnsi"/>
        </w:rPr>
        <w:t>”</w:t>
      </w:r>
      <w:r w:rsidR="009B6B14" w:rsidRPr="001005B7">
        <w:rPr>
          <w:rFonts w:cstheme="minorHAnsi"/>
        </w:rPr>
        <w:t xml:space="preserve"> T</w:t>
      </w:r>
      <w:r w:rsidR="00C92FE2" w:rsidRPr="001005B7">
        <w:rPr>
          <w:rFonts w:cstheme="minorHAnsi"/>
        </w:rPr>
        <w:t xml:space="preserve">he word </w:t>
      </w:r>
      <w:r w:rsidR="005D5817" w:rsidRPr="001005B7">
        <w:rPr>
          <w:rFonts w:cstheme="minorHAnsi"/>
        </w:rPr>
        <w:t>suggests</w:t>
      </w:r>
      <w:r w:rsidR="00C92FE2" w:rsidRPr="001005B7">
        <w:rPr>
          <w:rFonts w:cstheme="minorHAnsi"/>
        </w:rPr>
        <w:t xml:space="preserve"> </w:t>
      </w:r>
      <w:r w:rsidR="00F85E2D" w:rsidRPr="001005B7">
        <w:rPr>
          <w:rFonts w:cstheme="minorHAnsi"/>
        </w:rPr>
        <w:t>offend</w:t>
      </w:r>
      <w:r w:rsidR="005D007D" w:rsidRPr="001005B7">
        <w:rPr>
          <w:rFonts w:cstheme="minorHAnsi"/>
        </w:rPr>
        <w:t>ing</w:t>
      </w:r>
      <w:r w:rsidR="00F85E2D" w:rsidRPr="001005B7">
        <w:rPr>
          <w:rFonts w:cstheme="minorHAnsi"/>
        </w:rPr>
        <w:t xml:space="preserve"> against the standards society or God lays down</w:t>
      </w:r>
      <w:r w:rsidR="009161EC" w:rsidRPr="001005B7">
        <w:rPr>
          <w:rFonts w:cstheme="minorHAnsi"/>
        </w:rPr>
        <w:t>, failing to conform to them</w:t>
      </w:r>
      <w:r w:rsidR="00F85E2D" w:rsidRPr="001005B7">
        <w:rPr>
          <w:rFonts w:cstheme="minorHAnsi"/>
        </w:rPr>
        <w:t>.</w:t>
      </w:r>
      <w:r w:rsidR="00B31A8B" w:rsidRPr="001005B7">
        <w:rPr>
          <w:rFonts w:cstheme="minorHAnsi"/>
        </w:rPr>
        <w:t xml:space="preserve"> </w:t>
      </w:r>
      <w:r w:rsidR="006D0D39" w:rsidRPr="001005B7">
        <w:rPr>
          <w:rFonts w:cstheme="minorHAnsi"/>
        </w:rPr>
        <w:t>O</w:t>
      </w:r>
      <w:r w:rsidR="00FD1D1C" w:rsidRPr="001005B7">
        <w:rPr>
          <w:rFonts w:cstheme="minorHAnsi"/>
        </w:rPr>
        <w:t>nce again</w:t>
      </w:r>
      <w:r w:rsidR="005E2C49" w:rsidRPr="001005B7">
        <w:rPr>
          <w:rFonts w:cstheme="minorHAnsi"/>
        </w:rPr>
        <w:t xml:space="preserve">, </w:t>
      </w:r>
      <w:r w:rsidR="003321B4" w:rsidRPr="001005B7">
        <w:rPr>
          <w:rFonts w:cstheme="minorHAnsi"/>
        </w:rPr>
        <w:t>not</w:t>
      </w:r>
      <w:r w:rsidR="00FD1D1C" w:rsidRPr="001005B7">
        <w:rPr>
          <w:rFonts w:cstheme="minorHAnsi"/>
        </w:rPr>
        <w:t xml:space="preserve"> warn</w:t>
      </w:r>
      <w:r w:rsidR="003321B4" w:rsidRPr="001005B7">
        <w:rPr>
          <w:rFonts w:cstheme="minorHAnsi"/>
        </w:rPr>
        <w:t>ing</w:t>
      </w:r>
      <w:r w:rsidR="00FD1D1C" w:rsidRPr="001005B7">
        <w:rPr>
          <w:rFonts w:cstheme="minorHAnsi"/>
        </w:rPr>
        <w:t xml:space="preserve"> people makes the lookout liable for </w:t>
      </w:r>
      <w:r w:rsidR="009F56CB" w:rsidRPr="001005B7">
        <w:rPr>
          <w:rFonts w:cstheme="minorHAnsi"/>
        </w:rPr>
        <w:t xml:space="preserve">their </w:t>
      </w:r>
      <w:r w:rsidR="00FD1D1C" w:rsidRPr="001005B7">
        <w:rPr>
          <w:rFonts w:cstheme="minorHAnsi"/>
        </w:rPr>
        <w:t>death</w:t>
      </w:r>
      <w:r w:rsidR="003321B4" w:rsidRPr="001005B7">
        <w:rPr>
          <w:rFonts w:cstheme="minorHAnsi"/>
        </w:rPr>
        <w:t>.</w:t>
      </w:r>
      <w:r w:rsidR="00FD1D1C" w:rsidRPr="001005B7">
        <w:rPr>
          <w:rFonts w:cstheme="minorHAnsi"/>
        </w:rPr>
        <w:t xml:space="preserve"> </w:t>
      </w:r>
      <w:r w:rsidR="007D7A6B" w:rsidRPr="001005B7">
        <w:rPr>
          <w:rFonts w:cstheme="minorHAnsi"/>
        </w:rPr>
        <w:t>T</w:t>
      </w:r>
      <w:r w:rsidR="002A6942" w:rsidRPr="001005B7">
        <w:rPr>
          <w:rFonts w:cstheme="minorHAnsi"/>
        </w:rPr>
        <w:t>he lookout</w:t>
      </w:r>
      <w:r w:rsidR="00FC4FC8" w:rsidRPr="001005B7">
        <w:rPr>
          <w:rFonts w:cstheme="minorHAnsi"/>
        </w:rPr>
        <w:t xml:space="preserve"> should have </w:t>
      </w:r>
      <w:r w:rsidR="00565B0E" w:rsidRPr="001005B7">
        <w:rPr>
          <w:rFonts w:cstheme="minorHAnsi"/>
        </w:rPr>
        <w:t>issued a warning before</w:t>
      </w:r>
      <w:r w:rsidR="00FC4FC8" w:rsidRPr="001005B7">
        <w:rPr>
          <w:rFonts w:cstheme="minorHAnsi"/>
        </w:rPr>
        <w:t xml:space="preserve"> the faithful person </w:t>
      </w:r>
      <w:r w:rsidR="007E0B24" w:rsidRPr="001005B7">
        <w:rPr>
          <w:rFonts w:cstheme="minorHAnsi"/>
        </w:rPr>
        <w:t xml:space="preserve">went wrong. </w:t>
      </w:r>
      <w:r w:rsidR="00B31A8B" w:rsidRPr="001005B7">
        <w:rPr>
          <w:rFonts w:cstheme="minorHAnsi"/>
        </w:rPr>
        <w:t xml:space="preserve">Once again, then, if Ezekiel issues his warning, he </w:t>
      </w:r>
      <w:r w:rsidR="00E17AEA" w:rsidRPr="001005B7">
        <w:rPr>
          <w:rFonts w:cstheme="minorHAnsi"/>
        </w:rPr>
        <w:t xml:space="preserve">will have saved his life. </w:t>
      </w:r>
      <w:r w:rsidR="005625D9" w:rsidRPr="001005B7">
        <w:rPr>
          <w:rFonts w:cstheme="minorHAnsi"/>
        </w:rPr>
        <w:t>There is no implication that Ezekiel is seeking to work with individuals rather than the community, as if the community has become broken down into individuals</w:t>
      </w:r>
      <w:r w:rsidR="00DC6146" w:rsidRPr="001005B7">
        <w:rPr>
          <w:rFonts w:cstheme="minorHAnsi"/>
        </w:rPr>
        <w:t xml:space="preserve"> (</w:t>
      </w:r>
      <w:r w:rsidR="00DC6146" w:rsidRPr="001005B7">
        <w:t>Greenberg</w:t>
      </w:r>
      <w:r w:rsidR="00656A1E" w:rsidRPr="001005B7">
        <w:t>,</w:t>
      </w:r>
      <w:r w:rsidR="00DC6146" w:rsidRPr="001005B7">
        <w:t xml:space="preserve"> 1:96).</w:t>
      </w:r>
      <w:r w:rsidR="00960CA9" w:rsidRPr="001005B7">
        <w:rPr>
          <w:rFonts w:cstheme="minorHAnsi"/>
        </w:rPr>
        <w:t xml:space="preserve"> </w:t>
      </w:r>
      <w:r w:rsidR="00875A3F" w:rsidRPr="001005B7">
        <w:rPr>
          <w:rFonts w:cstheme="minorHAnsi"/>
        </w:rPr>
        <w:t>The verses about the faithful person who might turn</w:t>
      </w:r>
      <w:r w:rsidR="0049486C" w:rsidRPr="001005B7">
        <w:rPr>
          <w:rFonts w:cstheme="minorHAnsi"/>
        </w:rPr>
        <w:t xml:space="preserve"> </w:t>
      </w:r>
      <w:r w:rsidR="00A672CD" w:rsidRPr="001005B7">
        <w:rPr>
          <w:rFonts w:cstheme="minorHAnsi"/>
        </w:rPr>
        <w:t xml:space="preserve">away </w:t>
      </w:r>
      <w:r w:rsidR="0049486C" w:rsidRPr="001005B7">
        <w:rPr>
          <w:rFonts w:cstheme="minorHAnsi"/>
        </w:rPr>
        <w:t xml:space="preserve">further nuance the commission in </w:t>
      </w:r>
      <w:r w:rsidR="0086382B" w:rsidRPr="001005B7">
        <w:rPr>
          <w:rFonts w:cstheme="minorHAnsi"/>
        </w:rPr>
        <w:t>2:1</w:t>
      </w:r>
      <w:r w:rsidR="00F46900" w:rsidRPr="001005B7">
        <w:rPr>
          <w:rFonts w:cstheme="minorHAnsi"/>
        </w:rPr>
        <w:t>–</w:t>
      </w:r>
      <w:r w:rsidR="0086382B" w:rsidRPr="001005B7">
        <w:rPr>
          <w:rFonts w:cstheme="minorHAnsi"/>
        </w:rPr>
        <w:t>3:15</w:t>
      </w:r>
      <w:r w:rsidR="00665483" w:rsidRPr="001005B7">
        <w:rPr>
          <w:rFonts w:cstheme="minorHAnsi"/>
        </w:rPr>
        <w:t>, where</w:t>
      </w:r>
      <w:r w:rsidR="0086382B" w:rsidRPr="001005B7">
        <w:rPr>
          <w:rFonts w:cstheme="minorHAnsi"/>
        </w:rPr>
        <w:t xml:space="preserve"> Yahweh had portrayed the community as incor</w:t>
      </w:r>
      <w:r w:rsidR="00115BA1" w:rsidRPr="001005B7">
        <w:rPr>
          <w:rFonts w:cstheme="minorHAnsi"/>
        </w:rPr>
        <w:t>rigibly and universally faithless</w:t>
      </w:r>
      <w:r w:rsidR="00665483" w:rsidRPr="001005B7">
        <w:rPr>
          <w:rFonts w:cstheme="minorHAnsi"/>
        </w:rPr>
        <w:t>. Despite this judgment, he</w:t>
      </w:r>
      <w:r w:rsidR="00115BA1" w:rsidRPr="001005B7">
        <w:rPr>
          <w:rFonts w:cstheme="minorHAnsi"/>
        </w:rPr>
        <w:t xml:space="preserve"> had allowed for the theoretical possibly that </w:t>
      </w:r>
      <w:r w:rsidR="004169EE" w:rsidRPr="001005B7">
        <w:rPr>
          <w:rFonts w:cstheme="minorHAnsi"/>
        </w:rPr>
        <w:t>the community</w:t>
      </w:r>
      <w:r w:rsidR="00115BA1" w:rsidRPr="001005B7">
        <w:rPr>
          <w:rFonts w:cstheme="minorHAnsi"/>
        </w:rPr>
        <w:t xml:space="preserve"> might listen and not refuse to do </w:t>
      </w:r>
      <w:r w:rsidR="00E0762A" w:rsidRPr="001005B7">
        <w:rPr>
          <w:rFonts w:cstheme="minorHAnsi"/>
        </w:rPr>
        <w:t>turn back</w:t>
      </w:r>
      <w:r w:rsidR="009B6B14" w:rsidRPr="001005B7">
        <w:rPr>
          <w:rFonts w:cstheme="minorHAnsi"/>
        </w:rPr>
        <w:t>. I</w:t>
      </w:r>
      <w:r w:rsidR="00C06BAC" w:rsidRPr="001005B7">
        <w:rPr>
          <w:rFonts w:cstheme="minorHAnsi"/>
        </w:rPr>
        <w:t>t’s never over until it’s over</w:t>
      </w:r>
      <w:r w:rsidR="00115BA1" w:rsidRPr="001005B7">
        <w:rPr>
          <w:rFonts w:cstheme="minorHAnsi"/>
        </w:rPr>
        <w:t>.</w:t>
      </w:r>
      <w:r w:rsidR="0049486C" w:rsidRPr="001005B7">
        <w:rPr>
          <w:rFonts w:cstheme="minorHAnsi"/>
        </w:rPr>
        <w:t xml:space="preserve"> </w:t>
      </w:r>
      <w:r w:rsidR="00665483" w:rsidRPr="001005B7">
        <w:rPr>
          <w:rFonts w:cstheme="minorHAnsi"/>
        </w:rPr>
        <w:t>And here he allows for the possibility that there are individually faithful people in the community</w:t>
      </w:r>
      <w:r w:rsidR="004308B0" w:rsidRPr="001005B7">
        <w:rPr>
          <w:rFonts w:cstheme="minorHAnsi"/>
        </w:rPr>
        <w:t xml:space="preserve">, </w:t>
      </w:r>
      <w:r w:rsidR="00665483" w:rsidRPr="001005B7">
        <w:rPr>
          <w:rFonts w:cstheme="minorHAnsi"/>
        </w:rPr>
        <w:t>who therefore need to stay th</w:t>
      </w:r>
      <w:r w:rsidR="00E0762A" w:rsidRPr="001005B7">
        <w:rPr>
          <w:rFonts w:cstheme="minorHAnsi"/>
        </w:rPr>
        <w:t>e</w:t>
      </w:r>
      <w:r w:rsidR="00665483" w:rsidRPr="001005B7">
        <w:rPr>
          <w:rFonts w:cstheme="minorHAnsi"/>
        </w:rPr>
        <w:t xml:space="preserve"> way</w:t>
      </w:r>
      <w:r w:rsidR="00E0762A" w:rsidRPr="001005B7">
        <w:rPr>
          <w:rFonts w:cstheme="minorHAnsi"/>
        </w:rPr>
        <w:t xml:space="preserve"> they are</w:t>
      </w:r>
      <w:r w:rsidR="00665483" w:rsidRPr="001005B7">
        <w:rPr>
          <w:rFonts w:cstheme="minorHAnsi"/>
        </w:rPr>
        <w:t>.</w:t>
      </w:r>
      <w:r w:rsidR="00351531" w:rsidRPr="001005B7">
        <w:rPr>
          <w:rFonts w:cstheme="minorHAnsi"/>
        </w:rPr>
        <w:t xml:space="preserve"> </w:t>
      </w:r>
    </w:p>
    <w:p w14:paraId="29B59A85" w14:textId="3FCD2DAE" w:rsidR="00664FA6" w:rsidRPr="001005B7" w:rsidRDefault="00646A82" w:rsidP="00720AE9">
      <w:pPr>
        <w:tabs>
          <w:tab w:val="left" w:pos="3544"/>
        </w:tabs>
        <w:rPr>
          <w:rFonts w:cstheme="minorHAnsi"/>
        </w:rPr>
      </w:pPr>
      <w:r w:rsidRPr="001005B7">
        <w:rPr>
          <w:rFonts w:cstheme="minorHAnsi"/>
          <w:b/>
          <w:bCs/>
        </w:rPr>
        <w:t>3:</w:t>
      </w:r>
      <w:r w:rsidR="00D70ACA" w:rsidRPr="001005B7">
        <w:rPr>
          <w:rFonts w:cstheme="minorHAnsi"/>
          <w:b/>
          <w:bCs/>
        </w:rPr>
        <w:t>22</w:t>
      </w:r>
      <w:r w:rsidR="00F46900" w:rsidRPr="001005B7">
        <w:rPr>
          <w:rFonts w:cstheme="minorHAnsi"/>
          <w:b/>
          <w:bCs/>
        </w:rPr>
        <w:t>–</w:t>
      </w:r>
      <w:r w:rsidR="00290F62" w:rsidRPr="001005B7">
        <w:rPr>
          <w:rFonts w:cstheme="minorHAnsi"/>
          <w:b/>
          <w:bCs/>
        </w:rPr>
        <w:t>24</w:t>
      </w:r>
      <w:r w:rsidR="0043534E" w:rsidRPr="001005B7">
        <w:rPr>
          <w:rFonts w:cstheme="minorHAnsi"/>
          <w:b/>
          <w:bCs/>
        </w:rPr>
        <w:t>a</w:t>
      </w:r>
      <w:r w:rsidR="00290F62" w:rsidRPr="001005B7">
        <w:rPr>
          <w:rFonts w:cstheme="minorHAnsi"/>
        </w:rPr>
        <w:t xml:space="preserve"> </w:t>
      </w:r>
      <w:r w:rsidR="00181847" w:rsidRPr="001005B7">
        <w:rPr>
          <w:rFonts w:cstheme="minorHAnsi"/>
        </w:rPr>
        <w:t xml:space="preserve">Ezekiel’s </w:t>
      </w:r>
      <w:r w:rsidR="00E26801" w:rsidRPr="001005B7">
        <w:rPr>
          <w:rFonts w:cstheme="minorHAnsi"/>
        </w:rPr>
        <w:t>repor</w:t>
      </w:r>
      <w:r w:rsidR="00181847" w:rsidRPr="001005B7">
        <w:rPr>
          <w:rFonts w:cstheme="minorHAnsi"/>
        </w:rPr>
        <w:t xml:space="preserve">t picks up now from </w:t>
      </w:r>
      <w:r w:rsidR="00AC027B" w:rsidRPr="001005B7">
        <w:rPr>
          <w:rFonts w:cstheme="minorHAnsi"/>
        </w:rPr>
        <w:t>3:</w:t>
      </w:r>
      <w:r w:rsidR="00181847" w:rsidRPr="001005B7">
        <w:rPr>
          <w:rFonts w:cstheme="minorHAnsi"/>
        </w:rPr>
        <w:t>16a</w:t>
      </w:r>
      <w:r w:rsidR="00E26801" w:rsidRPr="001005B7">
        <w:rPr>
          <w:rFonts w:cstheme="minorHAnsi"/>
        </w:rPr>
        <w:t xml:space="preserve"> and he </w:t>
      </w:r>
      <w:r w:rsidR="00E7319E" w:rsidRPr="001005B7">
        <w:rPr>
          <w:rFonts w:cstheme="minorHAnsi"/>
        </w:rPr>
        <w:t xml:space="preserve">relates an experience that </w:t>
      </w:r>
      <w:r w:rsidR="00146E0B" w:rsidRPr="001005B7">
        <w:rPr>
          <w:rFonts w:cstheme="minorHAnsi"/>
        </w:rPr>
        <w:t>rep</w:t>
      </w:r>
      <w:r w:rsidR="00633D1F" w:rsidRPr="001005B7">
        <w:rPr>
          <w:rFonts w:cstheme="minorHAnsi"/>
        </w:rPr>
        <w:t>licate</w:t>
      </w:r>
      <w:r w:rsidR="00146E0B" w:rsidRPr="001005B7">
        <w:rPr>
          <w:rFonts w:cstheme="minorHAnsi"/>
        </w:rPr>
        <w:t xml:space="preserve">s </w:t>
      </w:r>
      <w:r w:rsidR="00E7319E" w:rsidRPr="001005B7">
        <w:rPr>
          <w:rFonts w:cstheme="minorHAnsi"/>
        </w:rPr>
        <w:t>f</w:t>
      </w:r>
      <w:r w:rsidR="00290F62" w:rsidRPr="001005B7">
        <w:rPr>
          <w:rFonts w:cstheme="minorHAnsi"/>
        </w:rPr>
        <w:t xml:space="preserve">eatures </w:t>
      </w:r>
      <w:r w:rsidR="00C64544" w:rsidRPr="001005B7">
        <w:rPr>
          <w:rFonts w:cstheme="minorHAnsi"/>
        </w:rPr>
        <w:t>from</w:t>
      </w:r>
      <w:r w:rsidR="00290F62" w:rsidRPr="001005B7">
        <w:rPr>
          <w:rFonts w:cstheme="minorHAnsi"/>
        </w:rPr>
        <w:t xml:space="preserve"> </w:t>
      </w:r>
      <w:r w:rsidR="00146E0B" w:rsidRPr="001005B7">
        <w:rPr>
          <w:rFonts w:cstheme="minorHAnsi"/>
        </w:rPr>
        <w:t>his</w:t>
      </w:r>
      <w:r w:rsidR="00290F62" w:rsidRPr="001005B7">
        <w:rPr>
          <w:rFonts w:cstheme="minorHAnsi"/>
        </w:rPr>
        <w:t xml:space="preserve"> earlier </w:t>
      </w:r>
      <w:r w:rsidR="00B35F3D" w:rsidRPr="001005B7">
        <w:rPr>
          <w:rFonts w:cstheme="minorHAnsi"/>
        </w:rPr>
        <w:t>on</w:t>
      </w:r>
      <w:r w:rsidR="00D47A38" w:rsidRPr="001005B7">
        <w:rPr>
          <w:rFonts w:cstheme="minorHAnsi"/>
        </w:rPr>
        <w:t>e (1:1</w:t>
      </w:r>
      <w:r w:rsidR="00F46900" w:rsidRPr="001005B7">
        <w:rPr>
          <w:rFonts w:cstheme="minorHAnsi"/>
        </w:rPr>
        <w:t>–</w:t>
      </w:r>
      <w:r w:rsidR="00D47A38" w:rsidRPr="001005B7">
        <w:rPr>
          <w:rFonts w:cstheme="minorHAnsi"/>
        </w:rPr>
        <w:t>3:</w:t>
      </w:r>
      <w:r w:rsidR="00C64544" w:rsidRPr="001005B7">
        <w:rPr>
          <w:rFonts w:cstheme="minorHAnsi"/>
        </w:rPr>
        <w:t>15):</w:t>
      </w:r>
      <w:r w:rsidR="00290F62" w:rsidRPr="001005B7">
        <w:rPr>
          <w:rFonts w:cstheme="minorHAnsi"/>
        </w:rPr>
        <w:t xml:space="preserve"> Yahweh’s</w:t>
      </w:r>
      <w:r w:rsidR="00290F62" w:rsidRPr="001005B7">
        <w:rPr>
          <w:rFonts w:cstheme="minorHAnsi"/>
          <w:i/>
          <w:iCs/>
        </w:rPr>
        <w:t xml:space="preserve"> </w:t>
      </w:r>
      <w:r w:rsidR="00290F62" w:rsidRPr="001005B7">
        <w:rPr>
          <w:rFonts w:cstheme="minorHAnsi"/>
        </w:rPr>
        <w:t>hand</w:t>
      </w:r>
      <w:r w:rsidR="00574F19" w:rsidRPr="001005B7">
        <w:rPr>
          <w:rFonts w:cstheme="minorHAnsi"/>
        </w:rPr>
        <w:t xml:space="preserve"> </w:t>
      </w:r>
      <w:r w:rsidR="006310FE" w:rsidRPr="001005B7">
        <w:rPr>
          <w:rFonts w:cstheme="minorHAnsi"/>
        </w:rPr>
        <w:t>came on me</w:t>
      </w:r>
      <w:r w:rsidR="008C23C7" w:rsidRPr="001005B7">
        <w:rPr>
          <w:rFonts w:cstheme="minorHAnsi"/>
        </w:rPr>
        <w:t>,</w:t>
      </w:r>
      <w:r w:rsidR="008C23C7" w:rsidRPr="001005B7">
        <w:rPr>
          <w:rFonts w:cstheme="minorHAnsi"/>
          <w:i/>
          <w:iCs/>
        </w:rPr>
        <w:t xml:space="preserve"> </w:t>
      </w:r>
      <w:r w:rsidR="00EA5E54" w:rsidRPr="001005B7">
        <w:rPr>
          <w:rFonts w:cstheme="minorHAnsi"/>
        </w:rPr>
        <w:t>Yahweh’s</w:t>
      </w:r>
      <w:r w:rsidR="00EA5E54" w:rsidRPr="001005B7">
        <w:rPr>
          <w:rFonts w:cstheme="minorHAnsi"/>
          <w:i/>
          <w:iCs/>
        </w:rPr>
        <w:t xml:space="preserve"> </w:t>
      </w:r>
      <w:r w:rsidR="00180CEB" w:rsidRPr="001005B7">
        <w:rPr>
          <w:rFonts w:cstheme="minorHAnsi"/>
        </w:rPr>
        <w:t>magnificence</w:t>
      </w:r>
      <w:r w:rsidR="00766B54" w:rsidRPr="001005B7">
        <w:rPr>
          <w:rFonts w:cstheme="minorHAnsi"/>
        </w:rPr>
        <w:t xml:space="preserve"> </w:t>
      </w:r>
      <w:r w:rsidR="0094470D" w:rsidRPr="001005B7">
        <w:rPr>
          <w:rFonts w:cstheme="minorHAnsi"/>
        </w:rPr>
        <w:t>was</w:t>
      </w:r>
      <w:r w:rsidR="00766B54" w:rsidRPr="001005B7">
        <w:rPr>
          <w:rFonts w:cstheme="minorHAnsi"/>
        </w:rPr>
        <w:t xml:space="preserve"> there,</w:t>
      </w:r>
      <w:r w:rsidR="0012400C" w:rsidRPr="001005B7">
        <w:rPr>
          <w:rFonts w:cstheme="minorHAnsi"/>
        </w:rPr>
        <w:t xml:space="preserve"> I</w:t>
      </w:r>
      <w:r w:rsidR="00E05B00" w:rsidRPr="001005B7">
        <w:rPr>
          <w:rFonts w:cstheme="minorHAnsi"/>
          <w:i/>
          <w:iCs/>
        </w:rPr>
        <w:t xml:space="preserve"> </w:t>
      </w:r>
      <w:r w:rsidR="00E05B00" w:rsidRPr="001005B7">
        <w:rPr>
          <w:rFonts w:cstheme="minorHAnsi"/>
        </w:rPr>
        <w:t>fell</w:t>
      </w:r>
      <w:r w:rsidR="00E05B00" w:rsidRPr="001005B7">
        <w:rPr>
          <w:rFonts w:cstheme="minorHAnsi"/>
          <w:i/>
          <w:iCs/>
        </w:rPr>
        <w:t xml:space="preserve"> </w:t>
      </w:r>
      <w:r w:rsidR="00E05B00" w:rsidRPr="001005B7">
        <w:rPr>
          <w:rFonts w:cstheme="minorHAnsi"/>
        </w:rPr>
        <w:t>on</w:t>
      </w:r>
      <w:r w:rsidR="00E05B00" w:rsidRPr="001005B7">
        <w:rPr>
          <w:rFonts w:cstheme="minorHAnsi"/>
          <w:i/>
          <w:iCs/>
        </w:rPr>
        <w:t xml:space="preserve"> </w:t>
      </w:r>
      <w:r w:rsidR="00E05B00" w:rsidRPr="001005B7">
        <w:rPr>
          <w:rFonts w:cstheme="minorHAnsi"/>
        </w:rPr>
        <w:t>my</w:t>
      </w:r>
      <w:r w:rsidR="00E05B00" w:rsidRPr="001005B7">
        <w:rPr>
          <w:rFonts w:cstheme="minorHAnsi"/>
          <w:i/>
          <w:iCs/>
        </w:rPr>
        <w:t xml:space="preserve"> </w:t>
      </w:r>
      <w:r w:rsidR="00E05B00" w:rsidRPr="001005B7">
        <w:rPr>
          <w:rFonts w:cstheme="minorHAnsi"/>
        </w:rPr>
        <w:t>face</w:t>
      </w:r>
      <w:r w:rsidR="00766B54" w:rsidRPr="001005B7">
        <w:rPr>
          <w:rFonts w:cstheme="minorHAnsi"/>
        </w:rPr>
        <w:t xml:space="preserve">, </w:t>
      </w:r>
      <w:r w:rsidR="0012400C" w:rsidRPr="001005B7">
        <w:rPr>
          <w:rFonts w:cstheme="minorHAnsi"/>
        </w:rPr>
        <w:t>a</w:t>
      </w:r>
      <w:r w:rsidR="00126529" w:rsidRPr="001005B7">
        <w:rPr>
          <w:rFonts w:cstheme="minorHAnsi"/>
          <w:i/>
          <w:iCs/>
        </w:rPr>
        <w:t xml:space="preserve"> </w:t>
      </w:r>
      <w:r w:rsidR="00766B54" w:rsidRPr="001005B7">
        <w:rPr>
          <w:rFonts w:cstheme="minorHAnsi"/>
        </w:rPr>
        <w:t>spirit</w:t>
      </w:r>
      <w:r w:rsidR="0002603E" w:rsidRPr="001005B7">
        <w:rPr>
          <w:rFonts w:cstheme="minorHAnsi"/>
        </w:rPr>
        <w:t xml:space="preserve"> </w:t>
      </w:r>
      <w:r w:rsidR="00126529" w:rsidRPr="001005B7">
        <w:rPr>
          <w:rFonts w:cstheme="minorHAnsi"/>
        </w:rPr>
        <w:t>came</w:t>
      </w:r>
      <w:r w:rsidR="00126529" w:rsidRPr="001005B7">
        <w:rPr>
          <w:rFonts w:cstheme="minorHAnsi"/>
          <w:i/>
          <w:iCs/>
        </w:rPr>
        <w:t xml:space="preserve"> </w:t>
      </w:r>
      <w:r w:rsidR="00126529" w:rsidRPr="001005B7">
        <w:rPr>
          <w:rFonts w:cstheme="minorHAnsi"/>
        </w:rPr>
        <w:t>into</w:t>
      </w:r>
      <w:r w:rsidR="00126529" w:rsidRPr="001005B7">
        <w:rPr>
          <w:rFonts w:cstheme="minorHAnsi"/>
          <w:i/>
          <w:iCs/>
        </w:rPr>
        <w:t xml:space="preserve"> </w:t>
      </w:r>
      <w:r w:rsidR="00126529" w:rsidRPr="001005B7">
        <w:rPr>
          <w:rFonts w:cstheme="minorHAnsi"/>
        </w:rPr>
        <w:t>me</w:t>
      </w:r>
      <w:r w:rsidR="0002603E" w:rsidRPr="001005B7">
        <w:rPr>
          <w:rFonts w:cstheme="minorHAnsi"/>
          <w:i/>
          <w:iCs/>
        </w:rPr>
        <w:t xml:space="preserve"> </w:t>
      </w:r>
      <w:r w:rsidR="0002603E" w:rsidRPr="001005B7">
        <w:rPr>
          <w:rFonts w:cstheme="minorHAnsi"/>
        </w:rPr>
        <w:t>and</w:t>
      </w:r>
      <w:r w:rsidR="0002603E" w:rsidRPr="001005B7">
        <w:rPr>
          <w:rFonts w:cstheme="minorHAnsi"/>
          <w:i/>
          <w:iCs/>
        </w:rPr>
        <w:t xml:space="preserve"> </w:t>
      </w:r>
      <w:r w:rsidR="00D1559A" w:rsidRPr="001005B7">
        <w:t>got</w:t>
      </w:r>
      <w:r w:rsidR="00D1559A" w:rsidRPr="001005B7">
        <w:rPr>
          <w:i/>
          <w:iCs/>
        </w:rPr>
        <w:t xml:space="preserve"> </w:t>
      </w:r>
      <w:r w:rsidR="00D1559A" w:rsidRPr="001005B7">
        <w:t>me</w:t>
      </w:r>
      <w:r w:rsidR="00D1559A" w:rsidRPr="001005B7">
        <w:rPr>
          <w:i/>
          <w:iCs/>
        </w:rPr>
        <w:t xml:space="preserve"> </w:t>
      </w:r>
      <w:r w:rsidR="00D1559A" w:rsidRPr="001005B7">
        <w:t>to</w:t>
      </w:r>
      <w:r w:rsidR="00D1559A" w:rsidRPr="001005B7">
        <w:rPr>
          <w:i/>
          <w:iCs/>
        </w:rPr>
        <w:t xml:space="preserve"> </w:t>
      </w:r>
      <w:r w:rsidR="00D1559A" w:rsidRPr="001005B7">
        <w:t>stand</w:t>
      </w:r>
      <w:r w:rsidR="00D1559A" w:rsidRPr="001005B7">
        <w:rPr>
          <w:i/>
          <w:iCs/>
        </w:rPr>
        <w:t xml:space="preserve"> </w:t>
      </w:r>
      <w:r w:rsidR="00D1559A" w:rsidRPr="001005B7">
        <w:t>on</w:t>
      </w:r>
      <w:r w:rsidR="00D1559A" w:rsidRPr="001005B7">
        <w:rPr>
          <w:i/>
          <w:iCs/>
        </w:rPr>
        <w:t xml:space="preserve"> </w:t>
      </w:r>
      <w:r w:rsidR="00D1559A" w:rsidRPr="001005B7">
        <w:t>my</w:t>
      </w:r>
      <w:r w:rsidR="00D1559A" w:rsidRPr="001005B7">
        <w:rPr>
          <w:i/>
          <w:iCs/>
        </w:rPr>
        <w:t xml:space="preserve"> </w:t>
      </w:r>
      <w:r w:rsidR="00D1559A" w:rsidRPr="001005B7">
        <w:rPr>
          <w:rFonts w:cstheme="minorHAnsi"/>
        </w:rPr>
        <w:t>feet</w:t>
      </w:r>
      <w:r w:rsidR="00CE14F8" w:rsidRPr="001005B7">
        <w:rPr>
          <w:rFonts w:cstheme="minorHAnsi"/>
        </w:rPr>
        <w:t xml:space="preserve">, </w:t>
      </w:r>
      <w:r w:rsidR="008C077B" w:rsidRPr="001005B7">
        <w:rPr>
          <w:rFonts w:cstheme="minorHAnsi"/>
        </w:rPr>
        <w:t xml:space="preserve">and </w:t>
      </w:r>
      <w:r w:rsidR="00CE14F8" w:rsidRPr="001005B7">
        <w:rPr>
          <w:rFonts w:cstheme="minorHAnsi"/>
        </w:rPr>
        <w:t>Yahweh</w:t>
      </w:r>
      <w:r w:rsidR="00CE14F8" w:rsidRPr="001005B7">
        <w:rPr>
          <w:rFonts w:cstheme="minorHAnsi"/>
          <w:i/>
          <w:iCs/>
        </w:rPr>
        <w:t xml:space="preserve"> </w:t>
      </w:r>
      <w:r w:rsidR="00CE14F8" w:rsidRPr="001005B7">
        <w:rPr>
          <w:rFonts w:cstheme="minorHAnsi"/>
        </w:rPr>
        <w:t>sp</w:t>
      </w:r>
      <w:r w:rsidR="008C077B" w:rsidRPr="001005B7">
        <w:rPr>
          <w:rFonts w:cstheme="minorHAnsi"/>
        </w:rPr>
        <w:t>oke</w:t>
      </w:r>
      <w:r w:rsidR="008C077B" w:rsidRPr="001005B7">
        <w:rPr>
          <w:rFonts w:cstheme="minorHAnsi"/>
          <w:i/>
          <w:iCs/>
        </w:rPr>
        <w:t xml:space="preserve"> </w:t>
      </w:r>
      <w:r w:rsidR="005734A4" w:rsidRPr="001005B7">
        <w:rPr>
          <w:rFonts w:cstheme="minorHAnsi"/>
        </w:rPr>
        <w:t xml:space="preserve">to </w:t>
      </w:r>
      <w:r w:rsidR="008E64F5" w:rsidRPr="001005B7">
        <w:rPr>
          <w:rFonts w:cstheme="minorHAnsi"/>
        </w:rPr>
        <w:t>me</w:t>
      </w:r>
      <w:r w:rsidR="00CE14F8" w:rsidRPr="001005B7">
        <w:rPr>
          <w:rFonts w:cstheme="minorHAnsi"/>
        </w:rPr>
        <w:t xml:space="preserve">. </w:t>
      </w:r>
      <w:r w:rsidR="00195E23" w:rsidRPr="001005B7">
        <w:rPr>
          <w:rFonts w:cstheme="minorHAnsi"/>
        </w:rPr>
        <w:t>His words thus combine phrases from the account</w:t>
      </w:r>
      <w:r w:rsidR="00244470" w:rsidRPr="001005B7">
        <w:rPr>
          <w:rFonts w:cstheme="minorHAnsi"/>
        </w:rPr>
        <w:t>s</w:t>
      </w:r>
      <w:r w:rsidR="00195E23" w:rsidRPr="001005B7">
        <w:rPr>
          <w:rFonts w:cstheme="minorHAnsi"/>
        </w:rPr>
        <w:t xml:space="preserve"> of the vision and of the commission </w:t>
      </w:r>
      <w:r w:rsidR="005D1A8A" w:rsidRPr="001005B7">
        <w:rPr>
          <w:rFonts w:cstheme="minorHAnsi"/>
        </w:rPr>
        <w:t>and indicate that they may be separable but they are two parts of one</w:t>
      </w:r>
      <w:r w:rsidR="004E5AD1" w:rsidRPr="001005B7">
        <w:rPr>
          <w:rFonts w:cstheme="minorHAnsi"/>
        </w:rPr>
        <w:t xml:space="preserve"> event</w:t>
      </w:r>
      <w:r w:rsidR="00A61624" w:rsidRPr="001005B7">
        <w:rPr>
          <w:rFonts w:cstheme="minorHAnsi"/>
        </w:rPr>
        <w:t xml:space="preserve">. </w:t>
      </w:r>
      <w:r w:rsidR="00D17553" w:rsidRPr="001005B7">
        <w:rPr>
          <w:rFonts w:cstheme="minorHAnsi"/>
        </w:rPr>
        <w:t>Yahweh’s</w:t>
      </w:r>
      <w:r w:rsidR="004E5AD1" w:rsidRPr="001005B7">
        <w:rPr>
          <w:rFonts w:cstheme="minorHAnsi"/>
        </w:rPr>
        <w:t xml:space="preserve"> repeat of the </w:t>
      </w:r>
      <w:r w:rsidR="00D17553" w:rsidRPr="001005B7">
        <w:rPr>
          <w:rFonts w:cstheme="minorHAnsi"/>
        </w:rPr>
        <w:t>appearance</w:t>
      </w:r>
      <w:r w:rsidR="004E5AD1" w:rsidRPr="001005B7">
        <w:rPr>
          <w:rFonts w:cstheme="minorHAnsi"/>
        </w:rPr>
        <w:t xml:space="preserve"> and Ezekiel’s reuse of the words</w:t>
      </w:r>
      <w:r w:rsidR="00DD0165" w:rsidRPr="001005B7">
        <w:rPr>
          <w:rFonts w:cstheme="minorHAnsi"/>
        </w:rPr>
        <w:t xml:space="preserve"> also</w:t>
      </w:r>
      <w:r w:rsidR="004E5AD1" w:rsidRPr="001005B7">
        <w:rPr>
          <w:rFonts w:cstheme="minorHAnsi"/>
        </w:rPr>
        <w:t xml:space="preserve"> s</w:t>
      </w:r>
      <w:r w:rsidR="00DD0165" w:rsidRPr="001005B7">
        <w:rPr>
          <w:rFonts w:cstheme="minorHAnsi"/>
        </w:rPr>
        <w:t>uggest</w:t>
      </w:r>
      <w:r w:rsidR="004E5AD1" w:rsidRPr="001005B7">
        <w:rPr>
          <w:rFonts w:cstheme="minorHAnsi"/>
        </w:rPr>
        <w:t xml:space="preserve"> that the event </w:t>
      </w:r>
      <w:r w:rsidR="00670B96" w:rsidRPr="001005B7">
        <w:rPr>
          <w:rFonts w:cstheme="minorHAnsi"/>
        </w:rPr>
        <w:t xml:space="preserve">was not </w:t>
      </w:r>
      <w:r w:rsidR="00273601" w:rsidRPr="001005B7">
        <w:rPr>
          <w:rFonts w:cstheme="minorHAnsi"/>
        </w:rPr>
        <w:t>simply or wholly a one-time one</w:t>
      </w:r>
      <w:r w:rsidR="00A61624" w:rsidRPr="001005B7">
        <w:rPr>
          <w:rFonts w:cstheme="minorHAnsi"/>
        </w:rPr>
        <w:t>. T</w:t>
      </w:r>
      <w:r w:rsidR="001A3D4E" w:rsidRPr="001005B7">
        <w:rPr>
          <w:rFonts w:cstheme="minorHAnsi"/>
        </w:rPr>
        <w:t xml:space="preserve">here will be further occasions when Yahweh’s hand comes, </w:t>
      </w:r>
      <w:r w:rsidR="00F443C5" w:rsidRPr="001005B7">
        <w:rPr>
          <w:rFonts w:cstheme="minorHAnsi"/>
        </w:rPr>
        <w:t xml:space="preserve">Yahweh’s </w:t>
      </w:r>
      <w:r w:rsidR="00180CEB" w:rsidRPr="001005B7">
        <w:rPr>
          <w:rFonts w:cstheme="minorHAnsi"/>
        </w:rPr>
        <w:t>magnificence</w:t>
      </w:r>
      <w:r w:rsidR="00F443C5" w:rsidRPr="001005B7">
        <w:rPr>
          <w:rFonts w:cstheme="minorHAnsi"/>
        </w:rPr>
        <w:t xml:space="preserve"> appears, a spirit comes</w:t>
      </w:r>
      <w:r w:rsidR="00E464D7" w:rsidRPr="001005B7">
        <w:rPr>
          <w:rFonts w:cstheme="minorHAnsi"/>
        </w:rPr>
        <w:t xml:space="preserve">, </w:t>
      </w:r>
      <w:r w:rsidR="0053648C" w:rsidRPr="001005B7">
        <w:rPr>
          <w:rFonts w:cstheme="minorHAnsi"/>
        </w:rPr>
        <w:t xml:space="preserve">and </w:t>
      </w:r>
      <w:r w:rsidR="00E464D7" w:rsidRPr="001005B7">
        <w:rPr>
          <w:rFonts w:cstheme="minorHAnsi"/>
        </w:rPr>
        <w:t>Ezekiel falls on his face</w:t>
      </w:r>
      <w:r w:rsidR="0053648C" w:rsidRPr="001005B7">
        <w:rPr>
          <w:rFonts w:cstheme="minorHAnsi"/>
        </w:rPr>
        <w:t xml:space="preserve">, and many occasions when Yahweh speaks to him. </w:t>
      </w:r>
      <w:r w:rsidR="00EA184D" w:rsidRPr="001005B7">
        <w:rPr>
          <w:rFonts w:cstheme="minorHAnsi"/>
        </w:rPr>
        <w:t>“</w:t>
      </w:r>
      <w:r w:rsidR="00B26EE7" w:rsidRPr="001005B7">
        <w:rPr>
          <w:rFonts w:cstheme="minorHAnsi"/>
        </w:rPr>
        <w:t>The</w:t>
      </w:r>
      <w:r w:rsidR="00B26EE7" w:rsidRPr="001005B7">
        <w:rPr>
          <w:rFonts w:cstheme="minorHAnsi"/>
          <w:i/>
          <w:iCs/>
        </w:rPr>
        <w:t xml:space="preserve"> </w:t>
      </w:r>
      <w:r w:rsidR="003A18C1" w:rsidRPr="001005B7">
        <w:rPr>
          <w:rFonts w:cstheme="minorHAnsi"/>
        </w:rPr>
        <w:t>plain</w:t>
      </w:r>
      <w:r w:rsidR="00EA184D" w:rsidRPr="001005B7">
        <w:rPr>
          <w:rFonts w:cstheme="minorHAnsi"/>
        </w:rPr>
        <w:t>”</w:t>
      </w:r>
      <w:r w:rsidR="00B26EE7" w:rsidRPr="001005B7">
        <w:rPr>
          <w:rFonts w:cstheme="minorHAnsi"/>
        </w:rPr>
        <w:t xml:space="preserve"> is </w:t>
      </w:r>
      <w:r w:rsidR="00D508B1" w:rsidRPr="001005B7">
        <w:rPr>
          <w:rFonts w:cstheme="minorHAnsi"/>
        </w:rPr>
        <w:t xml:space="preserve">a </w:t>
      </w:r>
      <w:r w:rsidR="009E1E71" w:rsidRPr="001005B7">
        <w:rPr>
          <w:rFonts w:cstheme="minorHAnsi"/>
        </w:rPr>
        <w:t xml:space="preserve">loose term that could </w:t>
      </w:r>
      <w:r w:rsidR="00910DF4" w:rsidRPr="001005B7">
        <w:rPr>
          <w:rFonts w:cstheme="minorHAnsi"/>
        </w:rPr>
        <w:t>apply to</w:t>
      </w:r>
      <w:r w:rsidR="00345BF9" w:rsidRPr="001005B7">
        <w:rPr>
          <w:rFonts w:cstheme="minorHAnsi"/>
        </w:rPr>
        <w:t xml:space="preserve"> the Mesop</w:t>
      </w:r>
      <w:r w:rsidR="00910DF4" w:rsidRPr="001005B7">
        <w:rPr>
          <w:rFonts w:cstheme="minorHAnsi"/>
        </w:rPr>
        <w:t>o</w:t>
      </w:r>
      <w:r w:rsidR="00345BF9" w:rsidRPr="001005B7">
        <w:rPr>
          <w:rFonts w:cstheme="minorHAnsi"/>
        </w:rPr>
        <w:t>tamian plain in general but will here refer to</w:t>
      </w:r>
      <w:r w:rsidR="00423DD6" w:rsidRPr="001005B7">
        <w:rPr>
          <w:rFonts w:cstheme="minorHAnsi"/>
        </w:rPr>
        <w:t xml:space="preserve"> the open country around</w:t>
      </w:r>
      <w:r w:rsidR="00CB64C1" w:rsidRPr="001005B7">
        <w:rPr>
          <w:rFonts w:cstheme="minorHAnsi"/>
        </w:rPr>
        <w:t xml:space="preserve"> the area where Ezekiel and the community live</w:t>
      </w:r>
      <w:r w:rsidR="00925C65" w:rsidRPr="001005B7">
        <w:rPr>
          <w:rFonts w:cstheme="minorHAnsi"/>
        </w:rPr>
        <w:t xml:space="preserve">. Apparently </w:t>
      </w:r>
      <w:r w:rsidR="00BE38F8" w:rsidRPr="001005B7">
        <w:rPr>
          <w:rFonts w:cstheme="minorHAnsi"/>
        </w:rPr>
        <w:t xml:space="preserve">it is natural for </w:t>
      </w:r>
      <w:r w:rsidR="006C33CE" w:rsidRPr="001005B7">
        <w:rPr>
          <w:rFonts w:cstheme="minorHAnsi"/>
        </w:rPr>
        <w:t>a</w:t>
      </w:r>
      <w:r w:rsidR="00925C65" w:rsidRPr="001005B7">
        <w:rPr>
          <w:rFonts w:cstheme="minorHAnsi"/>
        </w:rPr>
        <w:t>n experience of Y</w:t>
      </w:r>
      <w:r w:rsidR="00AB396E" w:rsidRPr="001005B7">
        <w:rPr>
          <w:rFonts w:cstheme="minorHAnsi"/>
        </w:rPr>
        <w:t xml:space="preserve">ahweh coming to him </w:t>
      </w:r>
      <w:r w:rsidR="00BE38F8" w:rsidRPr="001005B7">
        <w:rPr>
          <w:rFonts w:cstheme="minorHAnsi"/>
        </w:rPr>
        <w:t xml:space="preserve">to </w:t>
      </w:r>
      <w:r w:rsidR="00AB396E" w:rsidRPr="001005B7">
        <w:rPr>
          <w:rFonts w:cstheme="minorHAnsi"/>
        </w:rPr>
        <w:t>happen when</w:t>
      </w:r>
      <w:r w:rsidR="00910DF4" w:rsidRPr="001005B7">
        <w:rPr>
          <w:rFonts w:cstheme="minorHAnsi"/>
        </w:rPr>
        <w:t xml:space="preserve"> </w:t>
      </w:r>
      <w:r w:rsidR="00CB64C1" w:rsidRPr="001005B7">
        <w:rPr>
          <w:rFonts w:cstheme="minorHAnsi"/>
        </w:rPr>
        <w:t>he is alon</w:t>
      </w:r>
      <w:r w:rsidR="00AB396E" w:rsidRPr="001005B7">
        <w:rPr>
          <w:rFonts w:cstheme="minorHAnsi"/>
        </w:rPr>
        <w:t>e</w:t>
      </w:r>
      <w:r w:rsidR="00CB64C1" w:rsidRPr="001005B7">
        <w:rPr>
          <w:rFonts w:cstheme="minorHAnsi"/>
        </w:rPr>
        <w:t>, as he was previously.</w:t>
      </w:r>
      <w:r w:rsidR="0022677D" w:rsidRPr="001005B7">
        <w:rPr>
          <w:rFonts w:cstheme="minorHAnsi"/>
        </w:rPr>
        <w:t xml:space="preserve"> </w:t>
      </w:r>
    </w:p>
    <w:p w14:paraId="6E982558" w14:textId="6AC4115E" w:rsidR="00534D2F" w:rsidRPr="001005B7" w:rsidRDefault="003875AE" w:rsidP="005952B1">
      <w:pPr>
        <w:rPr>
          <w:rFonts w:cstheme="minorHAnsi"/>
        </w:rPr>
      </w:pPr>
      <w:r w:rsidRPr="001005B7">
        <w:rPr>
          <w:rFonts w:cstheme="minorHAnsi"/>
          <w:b/>
          <w:bCs/>
        </w:rPr>
        <w:t>3:</w:t>
      </w:r>
      <w:r w:rsidR="00E31F26" w:rsidRPr="001005B7">
        <w:rPr>
          <w:rFonts w:cstheme="minorHAnsi"/>
          <w:b/>
          <w:bCs/>
        </w:rPr>
        <w:t>24b</w:t>
      </w:r>
      <w:r w:rsidR="00F46900" w:rsidRPr="001005B7">
        <w:rPr>
          <w:rFonts w:cstheme="minorHAnsi"/>
          <w:b/>
          <w:bCs/>
        </w:rPr>
        <w:t>–</w:t>
      </w:r>
      <w:r w:rsidR="00E8227B" w:rsidRPr="001005B7">
        <w:rPr>
          <w:rFonts w:cstheme="minorHAnsi"/>
          <w:b/>
          <w:bCs/>
        </w:rPr>
        <w:t>2</w:t>
      </w:r>
      <w:r w:rsidR="00D761B2" w:rsidRPr="001005B7">
        <w:rPr>
          <w:rFonts w:cstheme="minorHAnsi"/>
          <w:b/>
          <w:bCs/>
        </w:rPr>
        <w:t>5</w:t>
      </w:r>
      <w:r w:rsidR="00E8227B" w:rsidRPr="001005B7">
        <w:rPr>
          <w:rFonts w:cstheme="minorHAnsi"/>
          <w:b/>
          <w:bCs/>
        </w:rPr>
        <w:t xml:space="preserve"> </w:t>
      </w:r>
      <w:r w:rsidR="0031239D" w:rsidRPr="001005B7">
        <w:rPr>
          <w:rFonts w:cstheme="minorHAnsi"/>
        </w:rPr>
        <w:t>Yahweh’s message e</w:t>
      </w:r>
      <w:r w:rsidR="004E27A4" w:rsidRPr="001005B7">
        <w:rPr>
          <w:rFonts w:cstheme="minorHAnsi"/>
        </w:rPr>
        <w:t xml:space="preserve">ssentially </w:t>
      </w:r>
      <w:r w:rsidR="0031239D" w:rsidRPr="001005B7">
        <w:rPr>
          <w:rFonts w:cstheme="minorHAnsi"/>
        </w:rPr>
        <w:t>tell</w:t>
      </w:r>
      <w:r w:rsidR="00C43F68" w:rsidRPr="001005B7">
        <w:rPr>
          <w:rFonts w:cstheme="minorHAnsi"/>
        </w:rPr>
        <w:t>s</w:t>
      </w:r>
      <w:r w:rsidR="0031239D" w:rsidRPr="001005B7">
        <w:rPr>
          <w:rFonts w:cstheme="minorHAnsi"/>
        </w:rPr>
        <w:t xml:space="preserve"> him to go back home</w:t>
      </w:r>
      <w:r w:rsidR="00C43F68" w:rsidRPr="001005B7">
        <w:rPr>
          <w:rFonts w:cstheme="minorHAnsi"/>
        </w:rPr>
        <w:t xml:space="preserve"> </w:t>
      </w:r>
      <w:r w:rsidR="004E27A4" w:rsidRPr="001005B7">
        <w:rPr>
          <w:rFonts w:cstheme="minorHAnsi"/>
        </w:rPr>
        <w:t>and shut himself up there</w:t>
      </w:r>
      <w:r w:rsidR="002D1F00" w:rsidRPr="001005B7">
        <w:rPr>
          <w:rFonts w:cstheme="minorHAnsi"/>
        </w:rPr>
        <w:t>,</w:t>
      </w:r>
      <w:r w:rsidR="002B7BF8" w:rsidRPr="001005B7">
        <w:rPr>
          <w:rFonts w:cstheme="minorHAnsi"/>
        </w:rPr>
        <w:t xml:space="preserve"> </w:t>
      </w:r>
      <w:r w:rsidR="00C43F68" w:rsidRPr="001005B7">
        <w:rPr>
          <w:rFonts w:cstheme="minorHAnsi"/>
        </w:rPr>
        <w:t xml:space="preserve">which </w:t>
      </w:r>
      <w:r w:rsidR="00864082" w:rsidRPr="001005B7">
        <w:rPr>
          <w:rFonts w:cstheme="minorHAnsi"/>
        </w:rPr>
        <w:t xml:space="preserve">seems to </w:t>
      </w:r>
      <w:r w:rsidR="002B7BF8" w:rsidRPr="001005B7">
        <w:rPr>
          <w:rFonts w:cstheme="minorHAnsi"/>
        </w:rPr>
        <w:t>make no sense.</w:t>
      </w:r>
      <w:r w:rsidR="007D3FB1">
        <w:rPr>
          <w:rStyle w:val="FootnoteReference"/>
          <w:rFonts w:cstheme="minorHAnsi"/>
        </w:rPr>
        <w:footnoteReference w:id="150"/>
      </w:r>
      <w:r w:rsidR="002B7BF8" w:rsidRPr="001005B7">
        <w:rPr>
          <w:rFonts w:cstheme="minorHAnsi"/>
        </w:rPr>
        <w:t xml:space="preserve"> It not only clashes with the</w:t>
      </w:r>
      <w:r w:rsidR="00380B6F" w:rsidRPr="001005B7">
        <w:rPr>
          <w:rFonts w:cstheme="minorHAnsi"/>
        </w:rPr>
        <w:t xml:space="preserve"> </w:t>
      </w:r>
      <w:r w:rsidR="002B7BF8" w:rsidRPr="001005B7">
        <w:rPr>
          <w:rFonts w:cstheme="minorHAnsi"/>
        </w:rPr>
        <w:t>commission</w:t>
      </w:r>
      <w:r w:rsidR="00972B5A" w:rsidRPr="001005B7">
        <w:rPr>
          <w:rFonts w:cstheme="minorHAnsi"/>
        </w:rPr>
        <w:t xml:space="preserve"> </w:t>
      </w:r>
      <w:r w:rsidR="002B7BF8" w:rsidRPr="001005B7">
        <w:rPr>
          <w:rFonts w:cstheme="minorHAnsi"/>
        </w:rPr>
        <w:t>to be a lookout</w:t>
      </w:r>
      <w:r w:rsidR="002D1F00" w:rsidRPr="001005B7">
        <w:rPr>
          <w:rFonts w:cstheme="minorHAnsi"/>
        </w:rPr>
        <w:t>,</w:t>
      </w:r>
      <w:r w:rsidR="00CE7352" w:rsidRPr="001005B7">
        <w:rPr>
          <w:rFonts w:cstheme="minorHAnsi"/>
        </w:rPr>
        <w:t xml:space="preserve"> </w:t>
      </w:r>
      <w:r w:rsidR="00507CC3" w:rsidRPr="001005B7">
        <w:rPr>
          <w:rFonts w:cstheme="minorHAnsi"/>
        </w:rPr>
        <w:t>to warn people</w:t>
      </w:r>
      <w:r w:rsidR="002D1F00" w:rsidRPr="001005B7">
        <w:rPr>
          <w:rFonts w:cstheme="minorHAnsi"/>
        </w:rPr>
        <w:t>,</w:t>
      </w:r>
      <w:r w:rsidR="00507CC3" w:rsidRPr="001005B7">
        <w:rPr>
          <w:rFonts w:cstheme="minorHAnsi"/>
        </w:rPr>
        <w:t xml:space="preserve"> and </w:t>
      </w:r>
      <w:r w:rsidR="002D1F00" w:rsidRPr="001005B7">
        <w:rPr>
          <w:rFonts w:cstheme="minorHAnsi"/>
        </w:rPr>
        <w:t xml:space="preserve">to </w:t>
      </w:r>
      <w:r w:rsidR="00507CC3" w:rsidRPr="001005B7">
        <w:rPr>
          <w:rFonts w:cstheme="minorHAnsi"/>
        </w:rPr>
        <w:t xml:space="preserve">be wary about the consequences </w:t>
      </w:r>
      <w:r w:rsidR="0089306C" w:rsidRPr="001005B7">
        <w:rPr>
          <w:rFonts w:cstheme="minorHAnsi"/>
        </w:rPr>
        <w:t>of</w:t>
      </w:r>
      <w:r w:rsidR="00507CC3" w:rsidRPr="001005B7">
        <w:rPr>
          <w:rFonts w:cstheme="minorHAnsi"/>
        </w:rPr>
        <w:t xml:space="preserve"> failing to do so</w:t>
      </w:r>
      <w:r w:rsidR="00380B6F" w:rsidRPr="001005B7">
        <w:rPr>
          <w:rFonts w:cstheme="minorHAnsi"/>
        </w:rPr>
        <w:t xml:space="preserve">. It clashes with </w:t>
      </w:r>
      <w:r w:rsidR="003E12B8" w:rsidRPr="001005B7">
        <w:rPr>
          <w:rFonts w:cstheme="minorHAnsi"/>
        </w:rPr>
        <w:t xml:space="preserve">the commission in </w:t>
      </w:r>
      <w:r w:rsidR="005C0068" w:rsidRPr="001005B7">
        <w:rPr>
          <w:rFonts w:cstheme="minorHAnsi"/>
        </w:rPr>
        <w:t>1:28b</w:t>
      </w:r>
      <w:r w:rsidR="002C2277" w:rsidRPr="001005B7">
        <w:rPr>
          <w:rFonts w:cstheme="minorHAnsi"/>
        </w:rPr>
        <w:t>β</w:t>
      </w:r>
      <w:r w:rsidR="00F46900" w:rsidRPr="001005B7">
        <w:rPr>
          <w:rFonts w:cstheme="minorHAnsi"/>
        </w:rPr>
        <w:t>–</w:t>
      </w:r>
      <w:r w:rsidR="002C2277" w:rsidRPr="001005B7">
        <w:rPr>
          <w:rFonts w:cstheme="minorHAnsi"/>
        </w:rPr>
        <w:t>3:15</w:t>
      </w:r>
      <w:r w:rsidR="00B576BA" w:rsidRPr="001005B7">
        <w:rPr>
          <w:rFonts w:cstheme="minorHAnsi"/>
        </w:rPr>
        <w:t xml:space="preserve">, whose features have reappeared just now in </w:t>
      </w:r>
      <w:r w:rsidR="0042084A" w:rsidRPr="001005B7">
        <w:rPr>
          <w:rFonts w:cstheme="minorHAnsi"/>
        </w:rPr>
        <w:t>3:</w:t>
      </w:r>
      <w:r w:rsidR="002E680A" w:rsidRPr="001005B7">
        <w:rPr>
          <w:rFonts w:cstheme="minorHAnsi"/>
        </w:rPr>
        <w:t>22</w:t>
      </w:r>
      <w:r w:rsidR="00F46900" w:rsidRPr="001005B7">
        <w:rPr>
          <w:rFonts w:cstheme="minorHAnsi"/>
        </w:rPr>
        <w:t>–</w:t>
      </w:r>
      <w:r w:rsidR="002E680A" w:rsidRPr="001005B7">
        <w:rPr>
          <w:rFonts w:cstheme="minorHAnsi"/>
        </w:rPr>
        <w:t>24a. What</w:t>
      </w:r>
      <w:r w:rsidR="00D73710" w:rsidRPr="001005B7">
        <w:rPr>
          <w:rFonts w:cstheme="minorHAnsi"/>
        </w:rPr>
        <w:t xml:space="preserve"> follows in </w:t>
      </w:r>
      <w:r w:rsidR="0042084A" w:rsidRPr="001005B7">
        <w:rPr>
          <w:rFonts w:cstheme="minorHAnsi"/>
        </w:rPr>
        <w:t>3:</w:t>
      </w:r>
      <w:r w:rsidR="000D1581" w:rsidRPr="001005B7">
        <w:rPr>
          <w:rFonts w:cstheme="minorHAnsi"/>
        </w:rPr>
        <w:t>25</w:t>
      </w:r>
      <w:r w:rsidR="00F46900" w:rsidRPr="001005B7">
        <w:rPr>
          <w:rFonts w:cstheme="minorHAnsi"/>
        </w:rPr>
        <w:t>–</w:t>
      </w:r>
      <w:r w:rsidR="000D1581" w:rsidRPr="001005B7">
        <w:rPr>
          <w:rFonts w:cstheme="minorHAnsi"/>
        </w:rPr>
        <w:t>26 both underscores the clash and</w:t>
      </w:r>
      <w:r w:rsidR="0090517A" w:rsidRPr="001005B7">
        <w:rPr>
          <w:rFonts w:cstheme="minorHAnsi"/>
        </w:rPr>
        <w:t xml:space="preserve"> points towards its explanation</w:t>
      </w:r>
      <w:r w:rsidR="002F3522" w:rsidRPr="001005B7">
        <w:rPr>
          <w:rFonts w:cstheme="minorHAnsi"/>
        </w:rPr>
        <w:t xml:space="preserve">. </w:t>
      </w:r>
      <w:r w:rsidR="00D616D2" w:rsidRPr="001005B7">
        <w:rPr>
          <w:rFonts w:cstheme="minorHAnsi"/>
        </w:rPr>
        <w:t>“Th</w:t>
      </w:r>
      <w:r w:rsidR="00D70B2D" w:rsidRPr="001005B7">
        <w:rPr>
          <w:rFonts w:cstheme="minorHAnsi"/>
        </w:rPr>
        <w:t>e</w:t>
      </w:r>
      <w:r w:rsidR="00D616D2" w:rsidRPr="001005B7">
        <w:rPr>
          <w:rFonts w:cstheme="minorHAnsi"/>
        </w:rPr>
        <w:t xml:space="preserve">y are putting cords on you”: </w:t>
      </w:r>
      <w:r w:rsidR="00D70B2D" w:rsidRPr="001005B7">
        <w:rPr>
          <w:rFonts w:cstheme="minorHAnsi"/>
        </w:rPr>
        <w:t>the verb (</w:t>
      </w:r>
      <w:r w:rsidR="00C53143" w:rsidRPr="001005B7">
        <w:rPr>
          <w:rFonts w:cstheme="minorHAnsi"/>
          <w:rtl/>
          <w:lang w:bidi="he-IL"/>
        </w:rPr>
        <w:t>נׇתְנוּ</w:t>
      </w:r>
      <w:r w:rsidR="009703C2" w:rsidRPr="001005B7">
        <w:rPr>
          <w:rFonts w:cstheme="minorHAnsi"/>
        </w:rPr>
        <w:t xml:space="preserve">) is anticipatory </w:t>
      </w:r>
      <w:r w:rsidR="009703C2" w:rsidRPr="005E4796">
        <w:rPr>
          <w:rFonts w:cstheme="minorHAnsi"/>
          <w:i/>
          <w:iCs/>
        </w:rPr>
        <w:t>qatal</w:t>
      </w:r>
      <w:r w:rsidR="0015595E" w:rsidRPr="001005B7">
        <w:rPr>
          <w:rFonts w:cstheme="minorHAnsi"/>
        </w:rPr>
        <w:t>.</w:t>
      </w:r>
      <w:r w:rsidR="004E220C">
        <w:rPr>
          <w:rFonts w:cstheme="minorHAnsi"/>
        </w:rPr>
        <w:t>*</w:t>
      </w:r>
      <w:r w:rsidR="0015595E" w:rsidRPr="001005B7">
        <w:rPr>
          <w:rFonts w:cstheme="minorHAnsi"/>
        </w:rPr>
        <w:t xml:space="preserve"> </w:t>
      </w:r>
      <w:r w:rsidR="00844A8C" w:rsidRPr="001005B7">
        <w:rPr>
          <w:rFonts w:cstheme="minorHAnsi"/>
        </w:rPr>
        <w:t>“</w:t>
      </w:r>
      <w:r w:rsidR="00634340" w:rsidRPr="001005B7">
        <w:rPr>
          <w:rFonts w:cstheme="minorHAnsi"/>
        </w:rPr>
        <w:t>They will have put cords on you</w:t>
      </w:r>
      <w:r w:rsidR="0086128E" w:rsidRPr="001005B7">
        <w:rPr>
          <w:rFonts w:cstheme="minorHAnsi"/>
        </w:rPr>
        <w:t>.” W</w:t>
      </w:r>
      <w:r w:rsidR="0096579C" w:rsidRPr="001005B7">
        <w:rPr>
          <w:rFonts w:cstheme="minorHAnsi"/>
        </w:rPr>
        <w:t xml:space="preserve">ho </w:t>
      </w:r>
      <w:r w:rsidR="0015595E" w:rsidRPr="001005B7">
        <w:rPr>
          <w:rFonts w:cstheme="minorHAnsi"/>
        </w:rPr>
        <w:t>are</w:t>
      </w:r>
      <w:r w:rsidR="005D4AE5" w:rsidRPr="001005B7">
        <w:rPr>
          <w:rFonts w:cstheme="minorHAnsi"/>
        </w:rPr>
        <w:t xml:space="preserve"> “</w:t>
      </w:r>
      <w:r w:rsidR="0096579C" w:rsidRPr="001005B7">
        <w:rPr>
          <w:rFonts w:cstheme="minorHAnsi"/>
        </w:rPr>
        <w:t>they</w:t>
      </w:r>
      <w:r w:rsidR="0015595E" w:rsidRPr="001005B7">
        <w:rPr>
          <w:rFonts w:cstheme="minorHAnsi"/>
        </w:rPr>
        <w:t>,</w:t>
      </w:r>
      <w:r w:rsidR="00C32ED0" w:rsidRPr="001005B7">
        <w:rPr>
          <w:rFonts w:cstheme="minorHAnsi"/>
        </w:rPr>
        <w:t>”</w:t>
      </w:r>
      <w:r w:rsidR="0096579C" w:rsidRPr="001005B7">
        <w:rPr>
          <w:rFonts w:cstheme="minorHAnsi"/>
        </w:rPr>
        <w:t xml:space="preserve"> and why do they do it?</w:t>
      </w:r>
      <w:r w:rsidR="00254541" w:rsidRPr="001005B7">
        <w:rPr>
          <w:rFonts w:cstheme="minorHAnsi"/>
        </w:rPr>
        <w:t xml:space="preserve"> Are they people who are offended at his message? </w:t>
      </w:r>
      <w:r w:rsidR="00A443EB" w:rsidRPr="001005B7">
        <w:rPr>
          <w:rFonts w:cstheme="minorHAnsi"/>
        </w:rPr>
        <w:t>But why are they not identified</w:t>
      </w:r>
      <w:r w:rsidR="00C87601" w:rsidRPr="001005B7">
        <w:rPr>
          <w:rFonts w:cstheme="minorHAnsi"/>
        </w:rPr>
        <w:t>?</w:t>
      </w:r>
      <w:r w:rsidR="0054433F" w:rsidRPr="001005B7">
        <w:rPr>
          <w:rFonts w:cstheme="minorHAnsi"/>
        </w:rPr>
        <w:t xml:space="preserve"> </w:t>
      </w:r>
      <w:r w:rsidR="00700CBB" w:rsidRPr="001005B7">
        <w:rPr>
          <w:rFonts w:cstheme="minorHAnsi"/>
        </w:rPr>
        <w:t xml:space="preserve">More plausibly, </w:t>
      </w:r>
      <w:r w:rsidR="00287833" w:rsidRPr="001005B7">
        <w:rPr>
          <w:sz w:val="18"/>
          <w:szCs w:val="18"/>
        </w:rPr>
        <w:t>LXX</w:t>
      </w:r>
      <w:r w:rsidR="0054433F" w:rsidRPr="001005B7">
        <w:rPr>
          <w:rFonts w:cstheme="minorHAnsi"/>
        </w:rPr>
        <w:t xml:space="preserve"> and </w:t>
      </w:r>
      <w:r w:rsidR="00573675" w:rsidRPr="001005B7">
        <w:rPr>
          <w:rFonts w:cstheme="minorHAnsi"/>
        </w:rPr>
        <w:t xml:space="preserve">Vg. </w:t>
      </w:r>
      <w:r w:rsidR="0054433F" w:rsidRPr="001005B7">
        <w:rPr>
          <w:rFonts w:cstheme="minorHAnsi"/>
        </w:rPr>
        <w:t>t</w:t>
      </w:r>
      <w:r w:rsidR="000F22B7" w:rsidRPr="001005B7">
        <w:rPr>
          <w:rFonts w:cstheme="minorHAnsi"/>
        </w:rPr>
        <w:t>ake</w:t>
      </w:r>
      <w:r w:rsidR="0054433F" w:rsidRPr="001005B7">
        <w:rPr>
          <w:rFonts w:cstheme="minorHAnsi"/>
        </w:rPr>
        <w:t xml:space="preserve"> </w:t>
      </w:r>
      <w:r w:rsidR="000F22B7" w:rsidRPr="001005B7">
        <w:rPr>
          <w:rFonts w:cstheme="minorHAnsi"/>
        </w:rPr>
        <w:t>th</w:t>
      </w:r>
      <w:r w:rsidR="00CB0823" w:rsidRPr="001005B7">
        <w:rPr>
          <w:rFonts w:cstheme="minorHAnsi"/>
        </w:rPr>
        <w:t>e</w:t>
      </w:r>
      <w:r w:rsidR="000F22B7" w:rsidRPr="001005B7">
        <w:rPr>
          <w:rFonts w:cstheme="minorHAnsi"/>
        </w:rPr>
        <w:t xml:space="preserve"> verb</w:t>
      </w:r>
      <w:r w:rsidR="00A14993" w:rsidRPr="001005B7">
        <w:rPr>
          <w:rFonts w:cstheme="minorHAnsi"/>
        </w:rPr>
        <w:t>al expression</w:t>
      </w:r>
      <w:r w:rsidR="000566E6" w:rsidRPr="001005B7">
        <w:rPr>
          <w:rFonts w:cstheme="minorHAnsi"/>
        </w:rPr>
        <w:t xml:space="preserve"> </w:t>
      </w:r>
      <w:r w:rsidR="000F22B7" w:rsidRPr="001005B7">
        <w:rPr>
          <w:rFonts w:cstheme="minorHAnsi"/>
        </w:rPr>
        <w:t>as impersonal and imp</w:t>
      </w:r>
      <w:r w:rsidR="00B32762" w:rsidRPr="001005B7">
        <w:rPr>
          <w:rFonts w:cstheme="minorHAnsi"/>
        </w:rPr>
        <w:t xml:space="preserve">licitly passive, </w:t>
      </w:r>
      <w:r w:rsidR="00C518BE" w:rsidRPr="001005B7">
        <w:rPr>
          <w:rFonts w:cstheme="minorHAnsi"/>
        </w:rPr>
        <w:t>“</w:t>
      </w:r>
      <w:r w:rsidR="000F22B7" w:rsidRPr="001005B7">
        <w:rPr>
          <w:rFonts w:cstheme="minorHAnsi"/>
        </w:rPr>
        <w:t>cords will be put</w:t>
      </w:r>
      <w:r w:rsidR="00B32762" w:rsidRPr="001005B7">
        <w:rPr>
          <w:rFonts w:cstheme="minorHAnsi"/>
        </w:rPr>
        <w:t xml:space="preserve"> on you” (though oddly they do not continue this understanding</w:t>
      </w:r>
      <w:r w:rsidR="0046085B" w:rsidRPr="001005B7">
        <w:rPr>
          <w:rFonts w:cstheme="minorHAnsi"/>
        </w:rPr>
        <w:t xml:space="preserve"> by translating </w:t>
      </w:r>
      <w:r w:rsidR="00231532" w:rsidRPr="001005B7">
        <w:rPr>
          <w:rFonts w:cstheme="minorHAnsi"/>
        </w:rPr>
        <w:t xml:space="preserve">“you will be tied up” </w:t>
      </w:r>
      <w:r w:rsidR="0046085B" w:rsidRPr="001005B7">
        <w:rPr>
          <w:rFonts w:cstheme="minorHAnsi"/>
        </w:rPr>
        <w:t xml:space="preserve">in </w:t>
      </w:r>
      <w:r w:rsidR="00AC027B" w:rsidRPr="001005B7">
        <w:rPr>
          <w:rFonts w:cstheme="minorHAnsi"/>
        </w:rPr>
        <w:t>3:</w:t>
      </w:r>
      <w:r w:rsidR="0046085B" w:rsidRPr="001005B7">
        <w:rPr>
          <w:rFonts w:cstheme="minorHAnsi"/>
        </w:rPr>
        <w:t>26a)</w:t>
      </w:r>
      <w:r w:rsidR="00617CC3" w:rsidRPr="001005B7">
        <w:rPr>
          <w:rFonts w:cstheme="minorHAnsi"/>
        </w:rPr>
        <w:t>. This</w:t>
      </w:r>
      <w:r w:rsidR="00804F05" w:rsidRPr="001005B7">
        <w:rPr>
          <w:rFonts w:cstheme="minorHAnsi"/>
        </w:rPr>
        <w:t xml:space="preserve"> </w:t>
      </w:r>
      <w:r w:rsidR="003E3603" w:rsidRPr="001005B7">
        <w:rPr>
          <w:rFonts w:cstheme="minorHAnsi"/>
        </w:rPr>
        <w:t xml:space="preserve">would </w:t>
      </w:r>
      <w:r w:rsidR="00804F05" w:rsidRPr="001005B7">
        <w:rPr>
          <w:rFonts w:cstheme="minorHAnsi"/>
        </w:rPr>
        <w:t>impl</w:t>
      </w:r>
      <w:r w:rsidR="003E3603" w:rsidRPr="001005B7">
        <w:rPr>
          <w:rFonts w:cstheme="minorHAnsi"/>
        </w:rPr>
        <w:t xml:space="preserve">y </w:t>
      </w:r>
      <w:r w:rsidR="00C002FC" w:rsidRPr="001005B7">
        <w:rPr>
          <w:rFonts w:cstheme="minorHAnsi"/>
        </w:rPr>
        <w:t>a recognition</w:t>
      </w:r>
      <w:r w:rsidR="00804F05" w:rsidRPr="001005B7">
        <w:rPr>
          <w:rFonts w:cstheme="minorHAnsi"/>
        </w:rPr>
        <w:t xml:space="preserve"> that the agents of the binding is not the point.</w:t>
      </w:r>
      <w:r w:rsidR="00C002FC" w:rsidRPr="001005B7">
        <w:rPr>
          <w:rFonts w:cstheme="minorHAnsi"/>
        </w:rPr>
        <w:t xml:space="preserve"> </w:t>
      </w:r>
    </w:p>
    <w:p w14:paraId="772E271C" w14:textId="68383108" w:rsidR="00E0409F" w:rsidRPr="001005B7" w:rsidRDefault="002C7B70" w:rsidP="005952B1">
      <w:pPr>
        <w:rPr>
          <w:rFonts w:cstheme="minorHAnsi"/>
        </w:rPr>
      </w:pPr>
      <w:r w:rsidRPr="001005B7">
        <w:rPr>
          <w:rFonts w:cstheme="minorHAnsi"/>
        </w:rPr>
        <w:t>I</w:t>
      </w:r>
      <w:r w:rsidR="008C6F3E" w:rsidRPr="001005B7">
        <w:rPr>
          <w:rFonts w:cstheme="minorHAnsi"/>
        </w:rPr>
        <w:t xml:space="preserve">n </w:t>
      </w:r>
      <w:r w:rsidR="00AC027B" w:rsidRPr="001005B7">
        <w:rPr>
          <w:rFonts w:cstheme="minorHAnsi"/>
        </w:rPr>
        <w:t>3:</w:t>
      </w:r>
      <w:r w:rsidR="00C002FC" w:rsidRPr="001005B7">
        <w:rPr>
          <w:rFonts w:cstheme="minorHAnsi"/>
        </w:rPr>
        <w:t>26</w:t>
      </w:r>
      <w:r w:rsidR="008C6F3E" w:rsidRPr="001005B7">
        <w:rPr>
          <w:rFonts w:cstheme="minorHAnsi"/>
        </w:rPr>
        <w:t>, Yahweh will be the agent o</w:t>
      </w:r>
      <w:r w:rsidR="00686CAE" w:rsidRPr="001005B7">
        <w:rPr>
          <w:rFonts w:cstheme="minorHAnsi"/>
        </w:rPr>
        <w:t xml:space="preserve">f a further aspect of </w:t>
      </w:r>
      <w:r w:rsidR="006044C7" w:rsidRPr="001005B7">
        <w:rPr>
          <w:rFonts w:cstheme="minorHAnsi"/>
        </w:rPr>
        <w:t>what he announces, so perha</w:t>
      </w:r>
      <w:r w:rsidR="00415BBA" w:rsidRPr="001005B7">
        <w:rPr>
          <w:rFonts w:cstheme="minorHAnsi"/>
        </w:rPr>
        <w:t>p</w:t>
      </w:r>
      <w:r w:rsidR="006044C7" w:rsidRPr="001005B7">
        <w:rPr>
          <w:rFonts w:cstheme="minorHAnsi"/>
        </w:rPr>
        <w:t xml:space="preserve">s here </w:t>
      </w:r>
      <w:r w:rsidR="00415BBA" w:rsidRPr="001005B7">
        <w:rPr>
          <w:rFonts w:cstheme="minorHAnsi"/>
        </w:rPr>
        <w:t>he is the implicit agent of the binding.</w:t>
      </w:r>
      <w:r w:rsidR="00C002FC" w:rsidRPr="001005B7">
        <w:rPr>
          <w:rFonts w:cstheme="minorHAnsi"/>
        </w:rPr>
        <w:t xml:space="preserve"> </w:t>
      </w:r>
      <w:r w:rsidR="00492F54" w:rsidRPr="001005B7">
        <w:rPr>
          <w:rFonts w:cstheme="minorHAnsi"/>
        </w:rPr>
        <w:t xml:space="preserve">This would fit with </w:t>
      </w:r>
      <w:r w:rsidR="00083D3F" w:rsidRPr="001005B7">
        <w:rPr>
          <w:rFonts w:cstheme="minorHAnsi"/>
        </w:rPr>
        <w:t>his</w:t>
      </w:r>
      <w:r w:rsidR="00492F54" w:rsidRPr="001005B7">
        <w:rPr>
          <w:rFonts w:cstheme="minorHAnsi"/>
        </w:rPr>
        <w:t xml:space="preserve"> </w:t>
      </w:r>
      <w:r w:rsidR="007558AE" w:rsidRPr="001005B7">
        <w:rPr>
          <w:rFonts w:cstheme="minorHAnsi"/>
        </w:rPr>
        <w:t xml:space="preserve">announcement about </w:t>
      </w:r>
      <w:r w:rsidR="00B754AC" w:rsidRPr="001005B7">
        <w:rPr>
          <w:rFonts w:cstheme="minorHAnsi"/>
        </w:rPr>
        <w:t>cord</w:t>
      </w:r>
      <w:r w:rsidR="007558AE" w:rsidRPr="001005B7">
        <w:rPr>
          <w:rFonts w:cstheme="minorHAnsi"/>
        </w:rPr>
        <w:t>s</w:t>
      </w:r>
      <w:r w:rsidR="00B754AC" w:rsidRPr="001005B7">
        <w:rPr>
          <w:rFonts w:cstheme="minorHAnsi"/>
        </w:rPr>
        <w:t xml:space="preserve"> in 4:</w:t>
      </w:r>
      <w:r w:rsidR="00606C7A" w:rsidRPr="001005B7">
        <w:rPr>
          <w:rFonts w:cstheme="minorHAnsi"/>
        </w:rPr>
        <w:t>8</w:t>
      </w:r>
      <w:r w:rsidR="000C2D0C" w:rsidRPr="001005B7">
        <w:rPr>
          <w:rFonts w:cstheme="minorHAnsi"/>
        </w:rPr>
        <w:t>, where</w:t>
      </w:r>
      <w:r w:rsidR="007D4238" w:rsidRPr="001005B7">
        <w:rPr>
          <w:rFonts w:cstheme="minorHAnsi"/>
          <w:i/>
          <w:iCs/>
        </w:rPr>
        <w:t xml:space="preserve"> </w:t>
      </w:r>
      <w:r w:rsidR="009B20C3" w:rsidRPr="001005B7">
        <w:rPr>
          <w:rFonts w:cstheme="minorHAnsi"/>
        </w:rPr>
        <w:t>he</w:t>
      </w:r>
      <w:r w:rsidR="0040756A" w:rsidRPr="001005B7">
        <w:rPr>
          <w:rFonts w:cstheme="minorHAnsi"/>
        </w:rPr>
        <w:t xml:space="preserve"> </w:t>
      </w:r>
      <w:r w:rsidR="00F0761C" w:rsidRPr="001005B7">
        <w:rPr>
          <w:rFonts w:cstheme="minorHAnsi"/>
        </w:rPr>
        <w:t xml:space="preserve">refers to </w:t>
      </w:r>
      <w:r w:rsidR="000957B4" w:rsidRPr="001005B7">
        <w:rPr>
          <w:rFonts w:cstheme="minorHAnsi"/>
        </w:rPr>
        <w:t>put</w:t>
      </w:r>
      <w:r w:rsidR="00F0761C" w:rsidRPr="001005B7">
        <w:rPr>
          <w:rFonts w:cstheme="minorHAnsi"/>
        </w:rPr>
        <w:t>ting</w:t>
      </w:r>
      <w:r w:rsidR="000957B4" w:rsidRPr="001005B7">
        <w:rPr>
          <w:rFonts w:cstheme="minorHAnsi"/>
        </w:rPr>
        <w:t xml:space="preserve"> cords on Ezekiel as an aspect of </w:t>
      </w:r>
      <w:r w:rsidR="00472608" w:rsidRPr="001005B7">
        <w:rPr>
          <w:rFonts w:cstheme="minorHAnsi"/>
        </w:rPr>
        <w:t>Ezekiel’s</w:t>
      </w:r>
      <w:r w:rsidR="00A60176" w:rsidRPr="001005B7">
        <w:rPr>
          <w:rFonts w:cstheme="minorHAnsi"/>
        </w:rPr>
        <w:t xml:space="preserve"> representing the coming final siege of Jerusalem</w:t>
      </w:r>
      <w:r w:rsidR="00315326" w:rsidRPr="001005B7">
        <w:rPr>
          <w:rFonts w:cstheme="minorHAnsi"/>
        </w:rPr>
        <w:t>.</w:t>
      </w:r>
      <w:r w:rsidR="00534D2F" w:rsidRPr="001005B7">
        <w:rPr>
          <w:rFonts w:cstheme="minorHAnsi"/>
        </w:rPr>
        <w:t xml:space="preserve"> </w:t>
      </w:r>
      <w:r w:rsidR="00AA5253" w:rsidRPr="001005B7">
        <w:rPr>
          <w:rFonts w:cstheme="minorHAnsi"/>
        </w:rPr>
        <w:t xml:space="preserve">Ezekiel is to go home and confine himself there </w:t>
      </w:r>
      <w:r w:rsidR="00837ABF" w:rsidRPr="001005B7">
        <w:rPr>
          <w:rFonts w:cstheme="minorHAnsi"/>
        </w:rPr>
        <w:t>and not go out into the community</w:t>
      </w:r>
      <w:r w:rsidR="00F66055" w:rsidRPr="001005B7">
        <w:rPr>
          <w:rFonts w:cstheme="minorHAnsi"/>
        </w:rPr>
        <w:t>,</w:t>
      </w:r>
      <w:r w:rsidR="00837ABF" w:rsidRPr="001005B7">
        <w:rPr>
          <w:rFonts w:cstheme="minorHAnsi"/>
        </w:rPr>
        <w:t xml:space="preserve"> </w:t>
      </w:r>
      <w:r w:rsidR="00820E21" w:rsidRPr="001005B7">
        <w:rPr>
          <w:rFonts w:cstheme="minorHAnsi"/>
        </w:rPr>
        <w:t>to represent th</w:t>
      </w:r>
      <w:r w:rsidR="00D374F4" w:rsidRPr="001005B7">
        <w:rPr>
          <w:rFonts w:cstheme="minorHAnsi"/>
        </w:rPr>
        <w:t>e confinement involved in a siege, which the binding will reinforce</w:t>
      </w:r>
      <w:r w:rsidR="006513E4" w:rsidRPr="001005B7">
        <w:rPr>
          <w:rFonts w:cstheme="minorHAnsi"/>
        </w:rPr>
        <w:t>.</w:t>
      </w:r>
      <w:r w:rsidR="00932502" w:rsidRPr="001005B7">
        <w:rPr>
          <w:rFonts w:cstheme="minorHAnsi"/>
        </w:rPr>
        <w:t xml:space="preserve"> He will </w:t>
      </w:r>
      <w:r w:rsidR="006664A2" w:rsidRPr="001005B7">
        <w:rPr>
          <w:rFonts w:cstheme="minorHAnsi"/>
        </w:rPr>
        <w:t xml:space="preserve">also </w:t>
      </w:r>
      <w:r w:rsidR="00932502" w:rsidRPr="001005B7">
        <w:rPr>
          <w:rFonts w:cstheme="minorHAnsi"/>
        </w:rPr>
        <w:t>be like someone tied up for transportation (Jer 40:1; Isa 49:9; 61:1).</w:t>
      </w:r>
      <w:r w:rsidR="00932502" w:rsidRPr="001005B7">
        <w:rPr>
          <w:rStyle w:val="FootnoteReference"/>
          <w:rFonts w:cstheme="minorHAnsi"/>
        </w:rPr>
        <w:footnoteReference w:id="151"/>
      </w:r>
      <w:r w:rsidR="00FB2FE7" w:rsidRPr="001005B7">
        <w:rPr>
          <w:rFonts w:cstheme="minorHAnsi"/>
        </w:rPr>
        <w:t xml:space="preserve"> </w:t>
      </w:r>
      <w:r w:rsidR="00792B9D" w:rsidRPr="001005B7">
        <w:rPr>
          <w:rFonts w:cstheme="minorHAnsi"/>
        </w:rPr>
        <w:t xml:space="preserve">Yahweh is commissioning the first of Ezekiel’s </w:t>
      </w:r>
      <w:r w:rsidR="00A441DB" w:rsidRPr="001005B7">
        <w:rPr>
          <w:rFonts w:cstheme="minorHAnsi"/>
        </w:rPr>
        <w:t>parabolic</w:t>
      </w:r>
      <w:r w:rsidR="00362BDD" w:rsidRPr="001005B7">
        <w:rPr>
          <w:rFonts w:cstheme="minorHAnsi"/>
        </w:rPr>
        <w:t xml:space="preserve"> </w:t>
      </w:r>
      <w:r w:rsidR="00792B9D" w:rsidRPr="001005B7">
        <w:rPr>
          <w:rFonts w:cstheme="minorHAnsi"/>
        </w:rPr>
        <w:t>act</w:t>
      </w:r>
      <w:r w:rsidR="002665FD" w:rsidRPr="001005B7">
        <w:rPr>
          <w:rFonts w:cstheme="minorHAnsi"/>
        </w:rPr>
        <w:t>s</w:t>
      </w:r>
      <w:r w:rsidR="00362BDD" w:rsidRPr="001005B7">
        <w:rPr>
          <w:rFonts w:cstheme="minorHAnsi"/>
        </w:rPr>
        <w:t xml:space="preserve">. </w:t>
      </w:r>
      <w:r w:rsidR="006C5B98" w:rsidRPr="001005B7">
        <w:rPr>
          <w:rFonts w:cstheme="minorHAnsi"/>
        </w:rPr>
        <w:t>T</w:t>
      </w:r>
      <w:r w:rsidR="006171AE" w:rsidRPr="001005B7">
        <w:rPr>
          <w:rFonts w:cstheme="minorHAnsi"/>
        </w:rPr>
        <w:t>here continues to be some illogic</w:t>
      </w:r>
      <w:r w:rsidR="0066168E" w:rsidRPr="001005B7">
        <w:rPr>
          <w:rFonts w:cstheme="minorHAnsi"/>
        </w:rPr>
        <w:t>ality</w:t>
      </w:r>
      <w:r w:rsidR="006C5B98" w:rsidRPr="001005B7">
        <w:rPr>
          <w:rFonts w:cstheme="minorHAnsi"/>
        </w:rPr>
        <w:t>, in</w:t>
      </w:r>
      <w:r w:rsidR="0066168E" w:rsidRPr="001005B7">
        <w:rPr>
          <w:rFonts w:cstheme="minorHAnsi"/>
        </w:rPr>
        <w:t xml:space="preserve"> </w:t>
      </w:r>
      <w:r w:rsidR="00526A94" w:rsidRPr="001005B7">
        <w:rPr>
          <w:rFonts w:cstheme="minorHAnsi"/>
        </w:rPr>
        <w:t>Yahweh</w:t>
      </w:r>
      <w:r w:rsidR="006C5B98" w:rsidRPr="001005B7">
        <w:rPr>
          <w:rFonts w:cstheme="minorHAnsi"/>
        </w:rPr>
        <w:t>’s</w:t>
      </w:r>
      <w:r w:rsidR="00526A94" w:rsidRPr="001005B7">
        <w:rPr>
          <w:rFonts w:cstheme="minorHAnsi"/>
        </w:rPr>
        <w:t xml:space="preserve"> giv</w:t>
      </w:r>
      <w:r w:rsidR="006C5B98" w:rsidRPr="001005B7">
        <w:rPr>
          <w:rFonts w:cstheme="minorHAnsi"/>
        </w:rPr>
        <w:t>ing</w:t>
      </w:r>
      <w:r w:rsidR="00526A94" w:rsidRPr="001005B7">
        <w:rPr>
          <w:rFonts w:cstheme="minorHAnsi"/>
        </w:rPr>
        <w:t xml:space="preserve"> Ezekiel no explanation of the action he commissions</w:t>
      </w:r>
      <w:r w:rsidR="002E566C" w:rsidRPr="001005B7">
        <w:rPr>
          <w:rFonts w:cstheme="minorHAnsi"/>
        </w:rPr>
        <w:t>—</w:t>
      </w:r>
      <w:r w:rsidR="00526A94" w:rsidRPr="001005B7">
        <w:rPr>
          <w:rFonts w:cstheme="minorHAnsi"/>
        </w:rPr>
        <w:t>or if he does, Ezekiel keeps it to himself</w:t>
      </w:r>
      <w:r w:rsidR="009B5063" w:rsidRPr="001005B7">
        <w:rPr>
          <w:rFonts w:cstheme="minorHAnsi"/>
        </w:rPr>
        <w:t xml:space="preserve">. </w:t>
      </w:r>
      <w:r w:rsidR="002E566C" w:rsidRPr="001005B7">
        <w:rPr>
          <w:rFonts w:cstheme="minorHAnsi"/>
        </w:rPr>
        <w:t>Further, as</w:t>
      </w:r>
      <w:r w:rsidR="001102CC" w:rsidRPr="001005B7">
        <w:rPr>
          <w:rFonts w:cstheme="minorHAnsi"/>
        </w:rPr>
        <w:t xml:space="preserve"> is the case with other parabolic acts, it</w:t>
      </w:r>
      <w:r w:rsidR="007C5CFF" w:rsidRPr="001005B7">
        <w:rPr>
          <w:rFonts w:cstheme="minorHAnsi"/>
        </w:rPr>
        <w:t>’</w:t>
      </w:r>
      <w:r w:rsidR="001102CC" w:rsidRPr="001005B7">
        <w:rPr>
          <w:rFonts w:cstheme="minorHAnsi"/>
        </w:rPr>
        <w:t xml:space="preserve">s not clear whether </w:t>
      </w:r>
      <w:r w:rsidR="008B28CE" w:rsidRPr="001005B7">
        <w:rPr>
          <w:rFonts w:cstheme="minorHAnsi"/>
        </w:rPr>
        <w:t>Yahweh refers to something that happens in a vision or happens in a way that people can see</w:t>
      </w:r>
      <w:r w:rsidR="0092560A" w:rsidRPr="001005B7">
        <w:rPr>
          <w:rFonts w:cstheme="minorHAnsi"/>
        </w:rPr>
        <w:t xml:space="preserve">. </w:t>
      </w:r>
      <w:r w:rsidR="00B6302F" w:rsidRPr="001005B7">
        <w:rPr>
          <w:rFonts w:cstheme="minorHAnsi"/>
        </w:rPr>
        <w:t>T</w:t>
      </w:r>
      <w:r w:rsidR="006D2E9C" w:rsidRPr="001005B7">
        <w:rPr>
          <w:rFonts w:cstheme="minorHAnsi"/>
        </w:rPr>
        <w:t>g</w:t>
      </w:r>
      <w:r w:rsidR="00E25618" w:rsidRPr="001005B7">
        <w:rPr>
          <w:rFonts w:cstheme="minorHAnsi"/>
        </w:rPr>
        <w:t>.</w:t>
      </w:r>
      <w:r w:rsidR="0096237E" w:rsidRPr="001005B7">
        <w:rPr>
          <w:rFonts w:cstheme="minorHAnsi"/>
        </w:rPr>
        <w:t xml:space="preserve"> </w:t>
      </w:r>
      <w:r w:rsidR="00720C17" w:rsidRPr="001005B7">
        <w:rPr>
          <w:rFonts w:cstheme="minorHAnsi"/>
        </w:rPr>
        <w:t xml:space="preserve">assumes that </w:t>
      </w:r>
      <w:r w:rsidR="00AE08C2" w:rsidRPr="001005B7">
        <w:rPr>
          <w:rFonts w:cstheme="minorHAnsi"/>
        </w:rPr>
        <w:t>Ezekiel</w:t>
      </w:r>
      <w:r w:rsidR="00720C17" w:rsidRPr="001005B7">
        <w:rPr>
          <w:rFonts w:cstheme="minorHAnsi"/>
        </w:rPr>
        <w:t xml:space="preserve"> be</w:t>
      </w:r>
      <w:r w:rsidR="0034751B" w:rsidRPr="001005B7">
        <w:rPr>
          <w:rFonts w:cstheme="minorHAnsi"/>
        </w:rPr>
        <w:t>com</w:t>
      </w:r>
      <w:r w:rsidR="00720C17" w:rsidRPr="001005B7">
        <w:rPr>
          <w:rFonts w:cstheme="minorHAnsi"/>
        </w:rPr>
        <w:t xml:space="preserve">es like someone tied up. </w:t>
      </w:r>
      <w:r w:rsidR="00833E00" w:rsidRPr="001005B7">
        <w:rPr>
          <w:rFonts w:cstheme="minorHAnsi"/>
        </w:rPr>
        <w:t xml:space="preserve">While the First Testament sometimes reports prophets undertaking their </w:t>
      </w:r>
      <w:r w:rsidR="00323E80" w:rsidRPr="001005B7">
        <w:rPr>
          <w:rFonts w:cstheme="minorHAnsi"/>
        </w:rPr>
        <w:t>drama</w:t>
      </w:r>
      <w:r w:rsidR="00833E00" w:rsidRPr="001005B7">
        <w:rPr>
          <w:rFonts w:cstheme="minorHAnsi"/>
        </w:rPr>
        <w:t xml:space="preserve">s, </w:t>
      </w:r>
      <w:r w:rsidR="005E0348" w:rsidRPr="001005B7">
        <w:rPr>
          <w:rFonts w:cstheme="minorHAnsi"/>
        </w:rPr>
        <w:t>it often doesn</w:t>
      </w:r>
      <w:r w:rsidR="00100135" w:rsidRPr="001005B7">
        <w:rPr>
          <w:rFonts w:cstheme="minorHAnsi"/>
        </w:rPr>
        <w:t>’</w:t>
      </w:r>
      <w:r w:rsidR="005E0348" w:rsidRPr="001005B7">
        <w:rPr>
          <w:rFonts w:cstheme="minorHAnsi"/>
        </w:rPr>
        <w:t>t</w:t>
      </w:r>
      <w:r w:rsidR="00B04ED0" w:rsidRPr="001005B7">
        <w:rPr>
          <w:rFonts w:cstheme="minorHAnsi"/>
        </w:rPr>
        <w:t xml:space="preserve">. </w:t>
      </w:r>
      <w:r w:rsidR="00FA529E" w:rsidRPr="001005B7">
        <w:rPr>
          <w:rFonts w:cstheme="minorHAnsi"/>
        </w:rPr>
        <w:t>P</w:t>
      </w:r>
      <w:r w:rsidR="00B04ED0" w:rsidRPr="001005B7">
        <w:t xml:space="preserve">erhaps for </w:t>
      </w:r>
      <w:r w:rsidR="00FA529E" w:rsidRPr="001005B7">
        <w:t>Ezekiel’s</w:t>
      </w:r>
      <w:r w:rsidR="00B04ED0" w:rsidRPr="001005B7">
        <w:t xml:space="preserve"> immediate audience, imagining the event is enough</w:t>
      </w:r>
      <w:r w:rsidR="004536DF" w:rsidRPr="001005B7">
        <w:t>. F</w:t>
      </w:r>
      <w:r w:rsidR="00B04ED0" w:rsidRPr="001005B7">
        <w:t>or readers, it is necessarily enough.</w:t>
      </w:r>
      <w:r w:rsidR="008A689A" w:rsidRPr="001005B7">
        <w:rPr>
          <w:rFonts w:cstheme="minorHAnsi"/>
        </w:rPr>
        <w:t xml:space="preserve"> A</w:t>
      </w:r>
      <w:r w:rsidR="00286AF4" w:rsidRPr="001005B7">
        <w:rPr>
          <w:rFonts w:cstheme="minorHAnsi"/>
        </w:rPr>
        <w:t xml:space="preserve">s a piece of communication, it works by people reading this report and imagining what Yahweh commissions. </w:t>
      </w:r>
      <w:r w:rsidR="00AC3379" w:rsidRPr="001005B7">
        <w:rPr>
          <w:rFonts w:cstheme="minorHAnsi"/>
        </w:rPr>
        <w:t xml:space="preserve">But </w:t>
      </w:r>
      <w:r w:rsidR="008A689A" w:rsidRPr="001005B7">
        <w:rPr>
          <w:rFonts w:cstheme="minorHAnsi"/>
        </w:rPr>
        <w:t>Ezekiel</w:t>
      </w:r>
      <w:r w:rsidR="0087719F" w:rsidRPr="001005B7">
        <w:rPr>
          <w:rFonts w:cstheme="minorHAnsi"/>
        </w:rPr>
        <w:t xml:space="preserve"> </w:t>
      </w:r>
      <w:r w:rsidR="005952B1" w:rsidRPr="001005B7">
        <w:rPr>
          <w:rFonts w:cstheme="minorHAnsi"/>
        </w:rPr>
        <w:t xml:space="preserve">does </w:t>
      </w:r>
      <w:r w:rsidR="0087719F" w:rsidRPr="001005B7">
        <w:rPr>
          <w:rFonts w:cstheme="minorHAnsi"/>
        </w:rPr>
        <w:t xml:space="preserve">stay home </w:t>
      </w:r>
      <w:r w:rsidR="005952B1" w:rsidRPr="001005B7">
        <w:rPr>
          <w:rFonts w:cstheme="minorHAnsi"/>
        </w:rPr>
        <w:t>(</w:t>
      </w:r>
      <w:r w:rsidR="0087719F" w:rsidRPr="001005B7">
        <w:rPr>
          <w:rFonts w:cstheme="minorHAnsi"/>
        </w:rPr>
        <w:t>8:1; 14:1; 20:1; 33:30</w:t>
      </w:r>
      <w:r w:rsidR="005952B1" w:rsidRPr="001005B7">
        <w:rPr>
          <w:rFonts w:cstheme="minorHAnsi"/>
        </w:rPr>
        <w:t>). And p</w:t>
      </w:r>
      <w:r w:rsidR="0090612D" w:rsidRPr="001005B7">
        <w:rPr>
          <w:rFonts w:cstheme="minorHAnsi"/>
        </w:rPr>
        <w:t xml:space="preserve">aradoxically, </w:t>
      </w:r>
      <w:r w:rsidR="005808A8" w:rsidRPr="001005B7">
        <w:rPr>
          <w:rFonts w:cstheme="minorHAnsi"/>
        </w:rPr>
        <w:t xml:space="preserve">it is by staying home, imposing constraints on himself, and keeping quiet that </w:t>
      </w:r>
      <w:r w:rsidR="0090612D" w:rsidRPr="001005B7">
        <w:rPr>
          <w:rFonts w:cstheme="minorHAnsi"/>
        </w:rPr>
        <w:t xml:space="preserve">he will fulfill his commission to </w:t>
      </w:r>
      <w:r w:rsidR="005808A8" w:rsidRPr="001005B7">
        <w:rPr>
          <w:rFonts w:cstheme="minorHAnsi"/>
        </w:rPr>
        <w:t>issue warnings</w:t>
      </w:r>
      <w:r w:rsidR="003508F0" w:rsidRPr="001005B7">
        <w:rPr>
          <w:rFonts w:cstheme="minorHAnsi"/>
        </w:rPr>
        <w:t>.</w:t>
      </w:r>
    </w:p>
    <w:p w14:paraId="4953F12F" w14:textId="68813304" w:rsidR="00AA01C3" w:rsidRPr="001005B7" w:rsidRDefault="004751D1" w:rsidP="00B82278">
      <w:pPr>
        <w:rPr>
          <w:rFonts w:cstheme="minorHAnsi"/>
        </w:rPr>
      </w:pPr>
      <w:r w:rsidRPr="001005B7">
        <w:rPr>
          <w:rFonts w:cstheme="minorHAnsi"/>
          <w:b/>
          <w:bCs/>
        </w:rPr>
        <w:t>3:</w:t>
      </w:r>
      <w:r w:rsidR="00C82083" w:rsidRPr="001005B7">
        <w:rPr>
          <w:rFonts w:cstheme="minorHAnsi"/>
          <w:b/>
          <w:bCs/>
        </w:rPr>
        <w:t xml:space="preserve">26 </w:t>
      </w:r>
      <w:r w:rsidR="0049493E" w:rsidRPr="001005B7">
        <w:rPr>
          <w:rFonts w:cstheme="minorHAnsi"/>
        </w:rPr>
        <w:t>The illogic, along</w:t>
      </w:r>
      <w:r w:rsidR="00E73E63" w:rsidRPr="001005B7">
        <w:rPr>
          <w:rFonts w:cstheme="minorHAnsi"/>
        </w:rPr>
        <w:t>side</w:t>
      </w:r>
      <w:r w:rsidR="0049493E" w:rsidRPr="001005B7">
        <w:rPr>
          <w:rFonts w:cstheme="minorHAnsi"/>
        </w:rPr>
        <w:t xml:space="preserve"> the tension with his commission, continues as Yahweh also </w:t>
      </w:r>
      <w:r w:rsidR="001F08E1" w:rsidRPr="001005B7">
        <w:rPr>
          <w:rFonts w:cstheme="minorHAnsi"/>
        </w:rPr>
        <w:t>says he intends</w:t>
      </w:r>
      <w:r w:rsidR="0049493E" w:rsidRPr="001005B7">
        <w:rPr>
          <w:rFonts w:cstheme="minorHAnsi"/>
        </w:rPr>
        <w:t xml:space="preserve"> to make Ezekiel unable to speak to the community. </w:t>
      </w:r>
      <w:r w:rsidR="00E74442" w:rsidRPr="001005B7">
        <w:rPr>
          <w:rFonts w:cstheme="minorHAnsi"/>
        </w:rPr>
        <w:t>Perhaps</w:t>
      </w:r>
      <w:r w:rsidR="00963246" w:rsidRPr="001005B7">
        <w:rPr>
          <w:rFonts w:cstheme="minorHAnsi"/>
        </w:rPr>
        <w:t xml:space="preserve"> he speaks</w:t>
      </w:r>
      <w:r w:rsidR="00E74442" w:rsidRPr="001005B7">
        <w:rPr>
          <w:rFonts w:cstheme="minorHAnsi"/>
        </w:rPr>
        <w:t xml:space="preserve"> metaphor</w:t>
      </w:r>
      <w:r w:rsidR="00963246" w:rsidRPr="001005B7">
        <w:rPr>
          <w:rFonts w:cstheme="minorHAnsi"/>
        </w:rPr>
        <w:t>ically</w:t>
      </w:r>
      <w:r w:rsidR="00CF6BF5" w:rsidRPr="001005B7">
        <w:rPr>
          <w:rFonts w:cstheme="minorHAnsi"/>
        </w:rPr>
        <w:t>—</w:t>
      </w:r>
      <w:r w:rsidR="00E74442" w:rsidRPr="001005B7">
        <w:rPr>
          <w:rFonts w:cstheme="minorHAnsi"/>
        </w:rPr>
        <w:t>it will be as if</w:t>
      </w:r>
      <w:r w:rsidR="00366055" w:rsidRPr="001005B7">
        <w:rPr>
          <w:rFonts w:cstheme="minorHAnsi"/>
          <w:lang w:eastAsia="en-GB"/>
        </w:rPr>
        <w:t>…</w:t>
      </w:r>
      <w:r w:rsidR="00366055" w:rsidRPr="001005B7">
        <w:rPr>
          <w:i/>
          <w:iCs/>
          <w:lang w:eastAsia="en-GB"/>
        </w:rPr>
        <w:t>.</w:t>
      </w:r>
      <w:r w:rsidR="00725448" w:rsidRPr="001005B7">
        <w:rPr>
          <w:rFonts w:cstheme="minorHAnsi"/>
        </w:rPr>
        <w:t xml:space="preserve"> (</w:t>
      </w:r>
      <w:proofErr w:type="spellStart"/>
      <w:r w:rsidR="00725448" w:rsidRPr="001005B7">
        <w:t>Qimhi</w:t>
      </w:r>
      <w:proofErr w:type="spellEnd"/>
      <w:r w:rsidR="00725448" w:rsidRPr="001005B7">
        <w:t>, in MG).</w:t>
      </w:r>
      <w:r w:rsidR="0057309B" w:rsidRPr="001005B7">
        <w:rPr>
          <w:rStyle w:val="FootnoteReference"/>
        </w:rPr>
        <w:footnoteReference w:id="152"/>
      </w:r>
      <w:r w:rsidR="00BF61CB" w:rsidRPr="001005B7">
        <w:rPr>
          <w:rFonts w:cstheme="minorHAnsi"/>
        </w:rPr>
        <w:t xml:space="preserve"> </w:t>
      </w:r>
      <w:r w:rsidR="00DA1FD8" w:rsidRPr="001005B7">
        <w:rPr>
          <w:rFonts w:cstheme="minorHAnsi"/>
        </w:rPr>
        <w:t xml:space="preserve">It’s </w:t>
      </w:r>
      <w:r w:rsidR="00B82278" w:rsidRPr="001005B7">
        <w:t>almost as if Ezekiel</w:t>
      </w:r>
      <w:r w:rsidR="00DA1FD8" w:rsidRPr="001005B7">
        <w:t xml:space="preserve"> is </w:t>
      </w:r>
      <w:r w:rsidR="00DA1FD8" w:rsidRPr="001005B7">
        <w:rPr>
          <w:rFonts w:cstheme="minorHAnsi"/>
        </w:rPr>
        <w:t>describing a demonic attack.</w:t>
      </w:r>
      <w:r w:rsidR="00DA1FD8" w:rsidRPr="001005B7">
        <w:rPr>
          <w:rStyle w:val="FootnoteReference"/>
          <w:rFonts w:cstheme="minorHAnsi"/>
        </w:rPr>
        <w:footnoteReference w:id="153"/>
      </w:r>
      <w:r w:rsidR="00DA1FD8" w:rsidRPr="001005B7">
        <w:rPr>
          <w:rFonts w:cstheme="minorHAnsi"/>
        </w:rPr>
        <w:t xml:space="preserve"> </w:t>
      </w:r>
      <w:r w:rsidR="00BF61CB" w:rsidRPr="001005B7">
        <w:rPr>
          <w:rFonts w:cstheme="minorHAnsi"/>
        </w:rPr>
        <w:t xml:space="preserve">But </w:t>
      </w:r>
      <w:r w:rsidR="00CE695F" w:rsidRPr="001005B7">
        <w:rPr>
          <w:rFonts w:cstheme="minorHAnsi"/>
        </w:rPr>
        <w:t>Yahweh</w:t>
      </w:r>
      <w:r w:rsidR="00BF61CB" w:rsidRPr="001005B7">
        <w:rPr>
          <w:rFonts w:cstheme="minorHAnsi"/>
        </w:rPr>
        <w:t xml:space="preserve"> now explains another aspect of the </w:t>
      </w:r>
      <w:r w:rsidR="00FA529E" w:rsidRPr="001005B7">
        <w:rPr>
          <w:rFonts w:cstheme="minorHAnsi"/>
        </w:rPr>
        <w:t>drama</w:t>
      </w:r>
      <w:r w:rsidR="00BF61CB" w:rsidRPr="001005B7">
        <w:rPr>
          <w:rFonts w:cstheme="minorHAnsi"/>
        </w:rPr>
        <w:t xml:space="preserve">’s significance. </w:t>
      </w:r>
      <w:r w:rsidR="009D5D69" w:rsidRPr="001005B7">
        <w:rPr>
          <w:rFonts w:cstheme="minorHAnsi"/>
        </w:rPr>
        <w:t>While i</w:t>
      </w:r>
      <w:r w:rsidR="001E0DA3" w:rsidRPr="001005B7">
        <w:rPr>
          <w:rFonts w:cstheme="minorHAnsi"/>
        </w:rPr>
        <w:t xml:space="preserve">t seems counterintuitive that a lookout cannot go out or speak, </w:t>
      </w:r>
      <w:r w:rsidR="009D5D69" w:rsidRPr="001005B7">
        <w:rPr>
          <w:rFonts w:cstheme="minorHAnsi"/>
        </w:rPr>
        <w:t>Ezekiel’s</w:t>
      </w:r>
      <w:r w:rsidR="001E0DA3" w:rsidRPr="001005B7">
        <w:rPr>
          <w:rFonts w:cstheme="minorHAnsi"/>
        </w:rPr>
        <w:t xml:space="preserve"> self-isolation</w:t>
      </w:r>
      <w:r w:rsidR="00200D4E" w:rsidRPr="001005B7">
        <w:rPr>
          <w:rFonts w:cstheme="minorHAnsi"/>
        </w:rPr>
        <w:t xml:space="preserve"> and</w:t>
      </w:r>
      <w:r w:rsidR="00581A20" w:rsidRPr="001005B7">
        <w:rPr>
          <w:rFonts w:cstheme="minorHAnsi"/>
        </w:rPr>
        <w:t xml:space="preserve"> </w:t>
      </w:r>
      <w:r w:rsidR="002522CF" w:rsidRPr="001005B7">
        <w:rPr>
          <w:rFonts w:cstheme="minorHAnsi"/>
        </w:rPr>
        <w:t>silence</w:t>
      </w:r>
      <w:r w:rsidR="008B1160" w:rsidRPr="001005B7">
        <w:rPr>
          <w:rFonts w:cstheme="minorHAnsi"/>
        </w:rPr>
        <w:t xml:space="preserve"> will be an act of judgment</w:t>
      </w:r>
      <w:r w:rsidR="009D5D69" w:rsidRPr="001005B7">
        <w:rPr>
          <w:rFonts w:cstheme="minorHAnsi"/>
        </w:rPr>
        <w:t xml:space="preserve"> </w:t>
      </w:r>
      <w:r w:rsidR="00AD3270" w:rsidRPr="001005B7">
        <w:rPr>
          <w:rFonts w:cstheme="minorHAnsi"/>
        </w:rPr>
        <w:t>on the community</w:t>
      </w:r>
      <w:r w:rsidR="008B1160" w:rsidRPr="001005B7">
        <w:rPr>
          <w:rFonts w:cstheme="minorHAnsi"/>
        </w:rPr>
        <w:t>.</w:t>
      </w:r>
      <w:r w:rsidR="00200D4E" w:rsidRPr="001005B7">
        <w:rPr>
          <w:rFonts w:cstheme="minorHAnsi"/>
        </w:rPr>
        <w:t xml:space="preserve"> There will be no point a lookout issuing warnings to the people, and therefore Yahweh will stop. </w:t>
      </w:r>
      <w:r w:rsidR="00AF602C" w:rsidRPr="001005B7">
        <w:rPr>
          <w:rFonts w:cstheme="minorHAnsi"/>
        </w:rPr>
        <w:t>I</w:t>
      </w:r>
      <w:r w:rsidR="005C2DA9" w:rsidRPr="001005B7">
        <w:rPr>
          <w:rFonts w:cstheme="minorHAnsi"/>
        </w:rPr>
        <w:t xml:space="preserve">n </w:t>
      </w:r>
      <w:r w:rsidR="001F56E6" w:rsidRPr="001005B7">
        <w:rPr>
          <w:rFonts w:cstheme="minorHAnsi"/>
        </w:rPr>
        <w:t xml:space="preserve">announcing this intention, </w:t>
      </w:r>
      <w:r w:rsidR="005C2DA9" w:rsidRPr="001005B7">
        <w:rPr>
          <w:rFonts w:cstheme="minorHAnsi"/>
        </w:rPr>
        <w:t>Yahweh introduces yet another suggestive term, which occurs only here in Ezekiel</w:t>
      </w:r>
      <w:r w:rsidR="006B4022" w:rsidRPr="001005B7">
        <w:rPr>
          <w:rFonts w:cstheme="minorHAnsi"/>
        </w:rPr>
        <w:t>.</w:t>
      </w:r>
      <w:r w:rsidR="004C4859" w:rsidRPr="001005B7">
        <w:rPr>
          <w:rFonts w:cstheme="minorHAnsi"/>
        </w:rPr>
        <w:t xml:space="preserve"> Ezekiel is not to act as someone reproving</w:t>
      </w:r>
      <w:r w:rsidR="00344C4E" w:rsidRPr="001005B7">
        <w:rPr>
          <w:rFonts w:cstheme="minorHAnsi"/>
        </w:rPr>
        <w:t xml:space="preserve"> (</w:t>
      </w:r>
      <w:r w:rsidR="009F594B" w:rsidRPr="001005B7">
        <w:rPr>
          <w:rFonts w:cstheme="minorHAnsi"/>
          <w:rtl/>
          <w:lang w:bidi="he-IL"/>
        </w:rPr>
        <w:t>מוׄכִיַח</w:t>
      </w:r>
      <w:r w:rsidR="00443584" w:rsidRPr="001005B7">
        <w:rPr>
          <w:rFonts w:cstheme="minorHAnsi"/>
        </w:rPr>
        <w:t>)</w:t>
      </w:r>
      <w:r w:rsidR="004C4859" w:rsidRPr="001005B7">
        <w:rPr>
          <w:rFonts w:cstheme="minorHAnsi"/>
        </w:rPr>
        <w:t xml:space="preserve">, </w:t>
      </w:r>
      <w:r w:rsidR="00455A45" w:rsidRPr="001005B7">
        <w:rPr>
          <w:rFonts w:cstheme="minorHAnsi"/>
        </w:rPr>
        <w:t>which is virtually a way of saying that the pr</w:t>
      </w:r>
      <w:r w:rsidR="00DD3579" w:rsidRPr="001005B7">
        <w:rPr>
          <w:rFonts w:cstheme="minorHAnsi"/>
        </w:rPr>
        <w:t>o</w:t>
      </w:r>
      <w:r w:rsidR="00455A45" w:rsidRPr="001005B7">
        <w:rPr>
          <w:rFonts w:cstheme="minorHAnsi"/>
        </w:rPr>
        <w:t>phet cannot function as a prophet</w:t>
      </w:r>
      <w:r w:rsidR="005C2DA9" w:rsidRPr="001005B7">
        <w:rPr>
          <w:rFonts w:cstheme="minorHAnsi"/>
        </w:rPr>
        <w:t>. “</w:t>
      </w:r>
      <w:r w:rsidR="005C2DA9" w:rsidRPr="001005B7">
        <w:rPr>
          <w:rFonts w:ascii="Calibri" w:hAnsi="Calibri" w:cs="Calibri"/>
        </w:rPr>
        <w:t xml:space="preserve">The person Yahweh loves, he </w:t>
      </w:r>
      <w:r w:rsidR="00DD3579" w:rsidRPr="001005B7">
        <w:rPr>
          <w:rFonts w:ascii="Calibri" w:hAnsi="Calibri" w:cs="Calibri"/>
        </w:rPr>
        <w:t>reprove</w:t>
      </w:r>
      <w:r w:rsidR="005C2DA9" w:rsidRPr="001005B7">
        <w:rPr>
          <w:rFonts w:ascii="Calibri" w:hAnsi="Calibri" w:cs="Calibri"/>
        </w:rPr>
        <w:t>s” (Prov 3:12). But the</w:t>
      </w:r>
      <w:r w:rsidR="00DD3579" w:rsidRPr="001005B7">
        <w:rPr>
          <w:rFonts w:ascii="Calibri" w:hAnsi="Calibri" w:cs="Calibri"/>
        </w:rPr>
        <w:t xml:space="preserve"> Judahites</w:t>
      </w:r>
      <w:r w:rsidR="005C2DA9" w:rsidRPr="001005B7">
        <w:rPr>
          <w:rFonts w:ascii="Calibri" w:hAnsi="Calibri" w:cs="Calibri"/>
        </w:rPr>
        <w:t xml:space="preserve"> have already </w:t>
      </w:r>
      <w:r w:rsidR="00DD3579" w:rsidRPr="001005B7">
        <w:rPr>
          <w:rFonts w:ascii="Calibri" w:hAnsi="Calibri" w:cs="Calibri"/>
        </w:rPr>
        <w:t>made clear</w:t>
      </w:r>
      <w:r w:rsidR="005C2DA9" w:rsidRPr="001005B7">
        <w:rPr>
          <w:rFonts w:ascii="Calibri" w:hAnsi="Calibri" w:cs="Calibri"/>
        </w:rPr>
        <w:t xml:space="preserve"> that they will not respond to </w:t>
      </w:r>
      <w:r w:rsidR="00DD3579" w:rsidRPr="001005B7">
        <w:rPr>
          <w:rFonts w:ascii="Calibri" w:hAnsi="Calibri" w:cs="Calibri"/>
        </w:rPr>
        <w:t>reproof, so Yahweh is giving up</w:t>
      </w:r>
      <w:r w:rsidR="00135C74" w:rsidRPr="001005B7">
        <w:rPr>
          <w:rFonts w:ascii="Calibri" w:hAnsi="Calibri" w:cs="Calibri"/>
        </w:rPr>
        <w:t xml:space="preserve">. </w:t>
      </w:r>
      <w:r w:rsidR="00135C74" w:rsidRPr="001005B7">
        <w:rPr>
          <w:rFonts w:cstheme="minorHAnsi"/>
        </w:rPr>
        <w:t>Y</w:t>
      </w:r>
      <w:r w:rsidR="001B1B04" w:rsidRPr="001005B7">
        <w:rPr>
          <w:rFonts w:cstheme="minorHAnsi"/>
        </w:rPr>
        <w:t>et there is another level of paradox in</w:t>
      </w:r>
      <w:r w:rsidR="00443584" w:rsidRPr="001005B7">
        <w:rPr>
          <w:rFonts w:cstheme="minorHAnsi"/>
        </w:rPr>
        <w:t xml:space="preserve"> this message of</w:t>
      </w:r>
      <w:r w:rsidR="001B1B04" w:rsidRPr="001005B7">
        <w:rPr>
          <w:rFonts w:cstheme="minorHAnsi"/>
        </w:rPr>
        <w:t xml:space="preserve"> Yahweh </w:t>
      </w:r>
      <w:r w:rsidR="00171251" w:rsidRPr="001005B7">
        <w:rPr>
          <w:rFonts w:cstheme="minorHAnsi"/>
        </w:rPr>
        <w:t xml:space="preserve">via Ezekiel. </w:t>
      </w:r>
      <w:r w:rsidR="00200D4E" w:rsidRPr="001005B7">
        <w:rPr>
          <w:rFonts w:cstheme="minorHAnsi"/>
        </w:rPr>
        <w:t xml:space="preserve">The logic of Yahweh’s </w:t>
      </w:r>
      <w:r w:rsidR="008D1742" w:rsidRPr="001005B7">
        <w:rPr>
          <w:rFonts w:cstheme="minorHAnsi"/>
        </w:rPr>
        <w:t>action compares with the logic of his commission to Isaiah (Isa 6)</w:t>
      </w:r>
      <w:r w:rsidR="00171251" w:rsidRPr="001005B7">
        <w:rPr>
          <w:rFonts w:cstheme="minorHAnsi"/>
        </w:rPr>
        <w:t xml:space="preserve">, where </w:t>
      </w:r>
      <w:r w:rsidR="00E23EBC" w:rsidRPr="001005B7">
        <w:rPr>
          <w:rFonts w:cstheme="minorHAnsi"/>
        </w:rPr>
        <w:t xml:space="preserve">part of the point in Isaiah’s telling people </w:t>
      </w:r>
      <w:r w:rsidR="0035256E" w:rsidRPr="001005B7">
        <w:rPr>
          <w:rFonts w:cstheme="minorHAnsi"/>
        </w:rPr>
        <w:t>that Yahweh doesn’t want them to turn is to get them to turn</w:t>
      </w:r>
      <w:r w:rsidR="008D1742" w:rsidRPr="001005B7">
        <w:rPr>
          <w:rFonts w:cstheme="minorHAnsi"/>
        </w:rPr>
        <w:t xml:space="preserve">. </w:t>
      </w:r>
      <w:r w:rsidR="00DB2F08" w:rsidRPr="001005B7">
        <w:rPr>
          <w:rFonts w:cstheme="minorHAnsi"/>
        </w:rPr>
        <w:t>The same logic would apply if th</w:t>
      </w:r>
      <w:r w:rsidR="00C7540D" w:rsidRPr="001005B7">
        <w:rPr>
          <w:rFonts w:cstheme="minorHAnsi"/>
        </w:rPr>
        <w:t>is</w:t>
      </w:r>
      <w:r w:rsidR="00DB2F08" w:rsidRPr="001005B7">
        <w:rPr>
          <w:rFonts w:cstheme="minorHAnsi"/>
        </w:rPr>
        <w:t xml:space="preserve"> reproving is more a matter o</w:t>
      </w:r>
      <w:r w:rsidR="007B2AC2" w:rsidRPr="001005B7">
        <w:rPr>
          <w:rFonts w:cstheme="minorHAnsi"/>
        </w:rPr>
        <w:t>f</w:t>
      </w:r>
      <w:r w:rsidR="00DB2F08" w:rsidRPr="001005B7">
        <w:rPr>
          <w:rFonts w:cstheme="minorHAnsi"/>
        </w:rPr>
        <w:t xml:space="preserve"> protesting </w:t>
      </w:r>
      <w:r w:rsidR="007B2AC2" w:rsidRPr="001005B7">
        <w:rPr>
          <w:rFonts w:cstheme="minorHAnsi"/>
        </w:rPr>
        <w:t xml:space="preserve">or appealing </w:t>
      </w:r>
      <w:r w:rsidR="00DB2F08" w:rsidRPr="001005B7">
        <w:rPr>
          <w:rFonts w:cstheme="minorHAnsi"/>
        </w:rPr>
        <w:t xml:space="preserve">to </w:t>
      </w:r>
      <w:r w:rsidR="00F87496" w:rsidRPr="001005B7">
        <w:rPr>
          <w:rFonts w:cstheme="minorHAnsi"/>
        </w:rPr>
        <w:t>Yahweh, another aspect of a prophet’s or priest’s responsibility</w:t>
      </w:r>
      <w:r w:rsidR="00AA01C3" w:rsidRPr="001005B7">
        <w:rPr>
          <w:rFonts w:ascii="Calibri" w:hAnsi="Calibri" w:cs="Calibri"/>
        </w:rPr>
        <w:t xml:space="preserve"> </w:t>
      </w:r>
      <w:r w:rsidR="00F87496" w:rsidRPr="001005B7">
        <w:rPr>
          <w:rFonts w:ascii="Calibri" w:hAnsi="Calibri" w:cs="Calibri"/>
        </w:rPr>
        <w:t xml:space="preserve">(cf. Job </w:t>
      </w:r>
      <w:r w:rsidR="00A44588" w:rsidRPr="001005B7">
        <w:rPr>
          <w:rFonts w:ascii="Calibri" w:hAnsi="Calibri" w:cs="Calibri"/>
        </w:rPr>
        <w:t>9:33</w:t>
      </w:r>
      <w:r w:rsidR="00F87496" w:rsidRPr="001005B7">
        <w:rPr>
          <w:rFonts w:ascii="Calibri" w:hAnsi="Calibri" w:cs="Calibri"/>
        </w:rPr>
        <w:t>)</w:t>
      </w:r>
      <w:r w:rsidR="00264E53" w:rsidRPr="001005B7">
        <w:rPr>
          <w:rFonts w:ascii="Calibri" w:hAnsi="Calibri" w:cs="Calibri"/>
        </w:rPr>
        <w:t xml:space="preserve"> (</w:t>
      </w:r>
      <w:proofErr w:type="spellStart"/>
      <w:r w:rsidR="00264E53" w:rsidRPr="001005B7">
        <w:t>Darr</w:t>
      </w:r>
      <w:proofErr w:type="spellEnd"/>
      <w:r w:rsidR="00264E53" w:rsidRPr="001005B7">
        <w:t>, on the passage).</w:t>
      </w:r>
      <w:r w:rsidR="00144D92" w:rsidRPr="001005B7">
        <w:rPr>
          <w:rStyle w:val="FootnoteReference"/>
        </w:rPr>
        <w:footnoteReference w:id="154"/>
      </w:r>
      <w:r w:rsidR="005D6A55" w:rsidRPr="001005B7">
        <w:t xml:space="preserve"> Calvin </w:t>
      </w:r>
      <w:r w:rsidR="00AE79A7" w:rsidRPr="001005B7">
        <w:t xml:space="preserve">(1:156) </w:t>
      </w:r>
      <w:r w:rsidR="005D6A55" w:rsidRPr="001005B7">
        <w:t>comments:</w:t>
      </w:r>
    </w:p>
    <w:p w14:paraId="338DFEDF" w14:textId="6D1F6364" w:rsidR="00266265" w:rsidRPr="001005B7" w:rsidRDefault="00266265" w:rsidP="00846AFC">
      <w:pPr>
        <w:pStyle w:val="Quote"/>
        <w:rPr>
          <w:color w:val="auto"/>
        </w:rPr>
      </w:pPr>
      <w:r w:rsidRPr="001005B7">
        <w:rPr>
          <w:color w:val="auto"/>
        </w:rPr>
        <w:t>God seems in some way to play with his Prophet, when he sends him about, and apparently changes his plan. For the duty of teaching was previously imposed upon the holy man, but now he is commanded to go abroad, and afterwards God orders him to shut himself up at home</w:t>
      </w:r>
      <w:r w:rsidR="00442CF2" w:rsidRPr="001005B7">
        <w:rPr>
          <w:rFonts w:cstheme="minorHAnsi"/>
          <w:color w:val="auto"/>
          <w:lang w:eastAsia="en-GB"/>
        </w:rPr>
        <w:t>…</w:t>
      </w:r>
      <w:r w:rsidR="00442CF2" w:rsidRPr="001005B7">
        <w:rPr>
          <w:i/>
          <w:iCs/>
          <w:color w:val="auto"/>
          <w:lang w:eastAsia="en-GB"/>
        </w:rPr>
        <w:t>.</w:t>
      </w:r>
      <w:r w:rsidR="00011C97" w:rsidRPr="001005B7">
        <w:rPr>
          <w:color w:val="auto"/>
        </w:rPr>
        <w:t xml:space="preserve"> </w:t>
      </w:r>
      <w:r w:rsidRPr="001005B7">
        <w:rPr>
          <w:color w:val="auto"/>
        </w:rPr>
        <w:t>But it is by no means doubtful that, by this method, the authority of the Prophet was confirmed, when God evidently governed his tongue, whether for speech or silence.</w:t>
      </w:r>
      <w:r w:rsidR="006C3CE7" w:rsidRPr="001005B7">
        <w:rPr>
          <w:color w:val="auto"/>
        </w:rPr>
        <w:t xml:space="preserve"> </w:t>
      </w:r>
    </w:p>
    <w:p w14:paraId="6BB72096" w14:textId="130E3D91" w:rsidR="00B4310D" w:rsidRPr="001005B7" w:rsidRDefault="00F479F4" w:rsidP="001E50F9">
      <w:r w:rsidRPr="001005B7">
        <w:rPr>
          <w:rFonts w:ascii="Calibri" w:hAnsi="Calibri" w:cs="Calibri"/>
          <w:b/>
          <w:bCs/>
        </w:rPr>
        <w:t>3:</w:t>
      </w:r>
      <w:r w:rsidR="003C6619" w:rsidRPr="001005B7">
        <w:rPr>
          <w:rFonts w:ascii="Calibri" w:hAnsi="Calibri" w:cs="Calibri"/>
          <w:b/>
          <w:bCs/>
        </w:rPr>
        <w:t>27</w:t>
      </w:r>
      <w:r w:rsidR="003C6619" w:rsidRPr="001005B7">
        <w:rPr>
          <w:rFonts w:ascii="Calibri" w:hAnsi="Calibri" w:cs="Calibri"/>
        </w:rPr>
        <w:t xml:space="preserve"> </w:t>
      </w:r>
      <w:r w:rsidR="002C7BCC" w:rsidRPr="001005B7">
        <w:rPr>
          <w:rFonts w:ascii="Calibri" w:hAnsi="Calibri" w:cs="Calibri"/>
        </w:rPr>
        <w:t>Evidently</w:t>
      </w:r>
      <w:r w:rsidR="006B5DDD" w:rsidRPr="001005B7">
        <w:rPr>
          <w:rFonts w:ascii="Calibri" w:hAnsi="Calibri" w:cs="Calibri"/>
        </w:rPr>
        <w:t xml:space="preserve">, one should again </w:t>
      </w:r>
      <w:r w:rsidR="003C6619" w:rsidRPr="001005B7">
        <w:rPr>
          <w:rFonts w:ascii="Calibri" w:hAnsi="Calibri" w:cs="Calibri"/>
        </w:rPr>
        <w:t>not interpret Yahweh or Ezekiel too absolutely</w:t>
      </w:r>
      <w:r w:rsidR="005476B6" w:rsidRPr="001005B7">
        <w:rPr>
          <w:rFonts w:ascii="Calibri" w:hAnsi="Calibri" w:cs="Calibri"/>
        </w:rPr>
        <w:t xml:space="preserve"> (as is the case in Isa 6).</w:t>
      </w:r>
      <w:r w:rsidR="006B5DDD" w:rsidRPr="001005B7">
        <w:rPr>
          <w:rFonts w:ascii="Calibri" w:hAnsi="Calibri" w:cs="Calibri"/>
        </w:rPr>
        <w:t xml:space="preserve"> </w:t>
      </w:r>
      <w:r w:rsidR="00CB3F06" w:rsidRPr="001005B7">
        <w:rPr>
          <w:rFonts w:ascii="Calibri" w:hAnsi="Calibri" w:cs="Calibri"/>
        </w:rPr>
        <w:t xml:space="preserve">Although Yahweh will open his mouth in particular when Jerusalem actually falls (24:27; 33:22), there might be no implication that </w:t>
      </w:r>
      <w:r w:rsidR="003D299B" w:rsidRPr="001005B7">
        <w:rPr>
          <w:rFonts w:ascii="Calibri" w:hAnsi="Calibri" w:cs="Calibri"/>
        </w:rPr>
        <w:t>Ezekiel has nothing to say until then. His</w:t>
      </w:r>
      <w:r w:rsidR="00562D3B" w:rsidRPr="001005B7">
        <w:rPr>
          <w:rFonts w:ascii="Calibri" w:hAnsi="Calibri" w:cs="Calibri"/>
        </w:rPr>
        <w:t xml:space="preserve"> silence </w:t>
      </w:r>
      <w:r w:rsidR="003D299B" w:rsidRPr="001005B7">
        <w:rPr>
          <w:rFonts w:ascii="Calibri" w:hAnsi="Calibri" w:cs="Calibri"/>
        </w:rPr>
        <w:t xml:space="preserve">may </w:t>
      </w:r>
      <w:r w:rsidR="00DC1C4B" w:rsidRPr="001005B7">
        <w:rPr>
          <w:rFonts w:ascii="Calibri" w:hAnsi="Calibri" w:cs="Calibri"/>
        </w:rPr>
        <w:t xml:space="preserve">mean not </w:t>
      </w:r>
      <w:r w:rsidR="00562D3B" w:rsidRPr="001005B7">
        <w:rPr>
          <w:rFonts w:ascii="Calibri" w:hAnsi="Calibri" w:cs="Calibri"/>
        </w:rPr>
        <w:t xml:space="preserve">claiming to </w:t>
      </w:r>
      <w:r w:rsidR="00DC1C4B" w:rsidRPr="001005B7">
        <w:rPr>
          <w:rFonts w:ascii="Calibri" w:hAnsi="Calibri" w:cs="Calibri"/>
        </w:rPr>
        <w:t xml:space="preserve">say what Yahweh has said except when he </w:t>
      </w:r>
      <w:r w:rsidR="00562D3B" w:rsidRPr="001005B7">
        <w:rPr>
          <w:rFonts w:ascii="Calibri" w:hAnsi="Calibri" w:cs="Calibri"/>
        </w:rPr>
        <w:t xml:space="preserve">actually does </w:t>
      </w:r>
      <w:r w:rsidR="00DC1C4B" w:rsidRPr="001005B7">
        <w:rPr>
          <w:rFonts w:ascii="Calibri" w:hAnsi="Calibri" w:cs="Calibri"/>
        </w:rPr>
        <w:t>say something</w:t>
      </w:r>
      <w:r w:rsidR="00562D3B" w:rsidRPr="001005B7">
        <w:rPr>
          <w:rFonts w:ascii="Calibri" w:hAnsi="Calibri" w:cs="Calibri"/>
        </w:rPr>
        <w:t xml:space="preserve">, </w:t>
      </w:r>
      <w:r w:rsidR="000858F9" w:rsidRPr="001005B7">
        <w:rPr>
          <w:rFonts w:ascii="Calibri" w:hAnsi="Calibri" w:cs="Calibri"/>
        </w:rPr>
        <w:t>un</w:t>
      </w:r>
      <w:r w:rsidR="00562D3B" w:rsidRPr="001005B7">
        <w:rPr>
          <w:rFonts w:ascii="Calibri" w:hAnsi="Calibri" w:cs="Calibri"/>
        </w:rPr>
        <w:t>like some prophets Ezekiel could name.</w:t>
      </w:r>
      <w:r w:rsidR="00456908" w:rsidRPr="001005B7">
        <w:rPr>
          <w:rFonts w:ascii="Calibri" w:hAnsi="Calibri" w:cs="Calibri"/>
        </w:rPr>
        <w:t xml:space="preserve"> </w:t>
      </w:r>
      <w:r w:rsidR="00CD5C12" w:rsidRPr="001005B7">
        <w:rPr>
          <w:rFonts w:ascii="Calibri" w:hAnsi="Calibri" w:cs="Calibri"/>
        </w:rPr>
        <w:t>“</w:t>
      </w:r>
      <w:r w:rsidR="00CD5C12" w:rsidRPr="001005B7">
        <w:t>The theme of dumbness is used to underline the point that the word which the prophet speaks is God’s, not his own” (Carley, 29).</w:t>
      </w:r>
      <w:r w:rsidR="00CD5C12" w:rsidRPr="001005B7">
        <w:rPr>
          <w:rFonts w:ascii="Calibri" w:hAnsi="Calibri" w:cs="Calibri"/>
        </w:rPr>
        <w:t xml:space="preserve"> </w:t>
      </w:r>
      <w:r w:rsidR="005C39B2" w:rsidRPr="001005B7">
        <w:t>"Prophetic speech is tied speech.”</w:t>
      </w:r>
      <w:r w:rsidR="005010F1" w:rsidRPr="001005B7">
        <w:rPr>
          <w:rStyle w:val="FootnoteReference"/>
          <w:rFonts w:ascii="Calibri" w:hAnsi="Calibri" w:cs="Calibri"/>
        </w:rPr>
        <w:footnoteReference w:id="155"/>
      </w:r>
      <w:r w:rsidR="005C39B2" w:rsidRPr="001005B7">
        <w:t xml:space="preserve"> </w:t>
      </w:r>
      <w:r w:rsidR="00456908" w:rsidRPr="001005B7">
        <w:rPr>
          <w:rFonts w:ascii="Calibri" w:hAnsi="Calibri" w:cs="Calibri"/>
        </w:rPr>
        <w:t xml:space="preserve">In addition, </w:t>
      </w:r>
      <w:r w:rsidR="001E24F4" w:rsidRPr="001005B7">
        <w:rPr>
          <w:rFonts w:ascii="Calibri" w:hAnsi="Calibri" w:cs="Calibri"/>
        </w:rPr>
        <w:t>it is possible for Yahweh both to say that corporately they are a rebellious household, yet also affirm t</w:t>
      </w:r>
      <w:r w:rsidR="00110D42" w:rsidRPr="001005B7">
        <w:rPr>
          <w:rFonts w:ascii="Calibri" w:hAnsi="Calibri" w:cs="Calibri"/>
        </w:rPr>
        <w:t>hat individually they will be responsible to decide whether or not to listen to Ezekiel.</w:t>
      </w:r>
      <w:r w:rsidR="004E656F" w:rsidRPr="001005B7">
        <w:rPr>
          <w:rFonts w:ascii="Calibri" w:hAnsi="Calibri" w:cs="Calibri"/>
        </w:rPr>
        <w:t xml:space="preserve"> </w:t>
      </w:r>
      <w:r w:rsidR="004E656F" w:rsidRPr="001005B7">
        <w:t>The urging goes to the community, and the response may be that of the community, but individuals are responsible for their response (Brownlee</w:t>
      </w:r>
      <w:r w:rsidR="004E656F" w:rsidRPr="001005B7">
        <w:rPr>
          <w:i/>
          <w:iCs/>
        </w:rPr>
        <w:t>,</w:t>
      </w:r>
      <w:r w:rsidR="004E656F" w:rsidRPr="001005B7">
        <w:t xml:space="preserve"> 50).</w:t>
      </w:r>
    </w:p>
    <w:p w14:paraId="77387095" w14:textId="77777777" w:rsidR="00B05BF1" w:rsidRPr="001005B7" w:rsidRDefault="00B05BF1" w:rsidP="00493833">
      <w:pPr>
        <w:pStyle w:val="Heading3"/>
      </w:pPr>
      <w:r w:rsidRPr="001005B7">
        <w:t xml:space="preserve">Biblical Theology Comments </w:t>
      </w:r>
    </w:p>
    <w:p w14:paraId="026A8E40" w14:textId="10B895F2" w:rsidR="0007442B" w:rsidRPr="001005B7" w:rsidRDefault="00193DA9" w:rsidP="00FD2D73">
      <w:r w:rsidRPr="001005B7">
        <w:t xml:space="preserve">Like other prophets, </w:t>
      </w:r>
      <w:r w:rsidR="00FD2D73" w:rsidRPr="001005B7">
        <w:t xml:space="preserve">Ezekiel again says that </w:t>
      </w:r>
      <w:r w:rsidR="00D751E8" w:rsidRPr="001005B7">
        <w:t>“</w:t>
      </w:r>
      <w:r w:rsidR="00FD2D73" w:rsidRPr="001005B7">
        <w:t>Yahweh’s message came to me</w:t>
      </w:r>
      <w:r w:rsidR="00C71686" w:rsidRPr="001005B7">
        <w:t>,</w:t>
      </w:r>
      <w:r w:rsidR="00D751E8" w:rsidRPr="001005B7">
        <w:t>”</w:t>
      </w:r>
      <w:r w:rsidR="00FD2D73" w:rsidRPr="001005B7">
        <w:t xml:space="preserve"> and in case we have not taken the claim seriously enough, adds that </w:t>
      </w:r>
      <w:r w:rsidR="008A6F98" w:rsidRPr="001005B7">
        <w:t>Ezekiel</w:t>
      </w:r>
      <w:r w:rsidR="00FD2D73" w:rsidRPr="001005B7">
        <w:t xml:space="preserve"> </w:t>
      </w:r>
      <w:r w:rsidR="0060457E" w:rsidRPr="001005B7">
        <w:t>“</w:t>
      </w:r>
      <w:r w:rsidR="00FD2D73" w:rsidRPr="001005B7">
        <w:t>will hear a message from my mouth.</w:t>
      </w:r>
      <w:r w:rsidR="0060457E" w:rsidRPr="001005B7">
        <w:t>”</w:t>
      </w:r>
      <w:r w:rsidR="00FD2D73" w:rsidRPr="001005B7">
        <w:t xml:space="preserve"> </w:t>
      </w:r>
      <w:r w:rsidR="0055352E" w:rsidRPr="001005B7">
        <w:t>He</w:t>
      </w:r>
      <w:r w:rsidR="00FD2D73" w:rsidRPr="001005B7">
        <w:t xml:space="preserve"> has a sense of actual words coming from somewhere outside himself. While it</w:t>
      </w:r>
      <w:r w:rsidR="00052208" w:rsidRPr="001005B7">
        <w:t>’</w:t>
      </w:r>
      <w:r w:rsidR="00FD2D73" w:rsidRPr="001005B7">
        <w:t xml:space="preserve">s easy </w:t>
      </w:r>
      <w:r w:rsidR="00084B42" w:rsidRPr="001005B7">
        <w:t xml:space="preserve">and appropriate </w:t>
      </w:r>
      <w:r w:rsidR="00FD2D73" w:rsidRPr="001005B7">
        <w:t>to think in terms of</w:t>
      </w:r>
      <w:r w:rsidR="0055352E" w:rsidRPr="001005B7">
        <w:t xml:space="preserve"> Ezekiel himself having</w:t>
      </w:r>
      <w:r w:rsidR="00FD2D73" w:rsidRPr="001005B7">
        <w:t xml:space="preserve"> distinctive </w:t>
      </w:r>
      <w:r w:rsidR="00052208" w:rsidRPr="001005B7">
        <w:t>perspectives</w:t>
      </w:r>
      <w:r w:rsidR="00FD2D73" w:rsidRPr="001005B7">
        <w:t xml:space="preserve"> that </w:t>
      </w:r>
      <w:r w:rsidR="0055352E" w:rsidRPr="001005B7">
        <w:t>he</w:t>
      </w:r>
      <w:r w:rsidR="00052208" w:rsidRPr="001005B7">
        <w:t xml:space="preserve"> expresses,</w:t>
      </w:r>
      <w:r w:rsidR="00084B42" w:rsidRPr="001005B7">
        <w:t xml:space="preserve"> </w:t>
      </w:r>
      <w:r w:rsidR="00DD05BC" w:rsidRPr="001005B7">
        <w:t xml:space="preserve">it’s </w:t>
      </w:r>
      <w:r w:rsidR="0007442B" w:rsidRPr="001005B7">
        <w:t>also thereby</w:t>
      </w:r>
      <w:r w:rsidR="00DD05BC" w:rsidRPr="001005B7">
        <w:t xml:space="preserve"> easy</w:t>
      </w:r>
      <w:r w:rsidR="00A018D2" w:rsidRPr="001005B7">
        <w:t xml:space="preserve"> </w:t>
      </w:r>
      <w:r w:rsidR="004430AA" w:rsidRPr="001005B7">
        <w:t>but</w:t>
      </w:r>
      <w:r w:rsidR="00A018D2" w:rsidRPr="001005B7">
        <w:t xml:space="preserve"> inappropriate </w:t>
      </w:r>
      <w:r w:rsidR="00AC620B" w:rsidRPr="001005B7">
        <w:t xml:space="preserve">to sideline the fact that his message comes </w:t>
      </w:r>
      <w:r w:rsidR="0007442B" w:rsidRPr="001005B7">
        <w:t>f</w:t>
      </w:r>
      <w:r w:rsidR="00AC620B" w:rsidRPr="001005B7">
        <w:t>rom Yahweh’s mouth.</w:t>
      </w:r>
      <w:r w:rsidR="004F7140" w:rsidRPr="001005B7">
        <w:t xml:space="preserve"> We are not just reading Ezekiel’s insights.</w:t>
      </w:r>
      <w:r w:rsidR="00C97F93" w:rsidRPr="001005B7">
        <w:t xml:space="preserve"> </w:t>
      </w:r>
      <w:r w:rsidR="006E4F33" w:rsidRPr="001005B7">
        <w:t xml:space="preserve">Ezekiel may </w:t>
      </w:r>
      <w:r w:rsidR="009717AB" w:rsidRPr="001005B7">
        <w:t xml:space="preserve">even </w:t>
      </w:r>
      <w:r w:rsidR="006E4F33" w:rsidRPr="001005B7">
        <w:t>be inviting people to see that he is the real image of God</w:t>
      </w:r>
      <w:r w:rsidR="00F156C2" w:rsidRPr="001005B7">
        <w:t>, not the lifeless and voiceless images that Babylonians were familiar with.</w:t>
      </w:r>
      <w:r w:rsidR="0005575B" w:rsidRPr="001005B7">
        <w:rPr>
          <w:rStyle w:val="FootnoteReference"/>
        </w:rPr>
        <w:footnoteReference w:id="156"/>
      </w:r>
    </w:p>
    <w:p w14:paraId="69ADCB49" w14:textId="7BBD9B21" w:rsidR="00EF4943" w:rsidRPr="001005B7" w:rsidRDefault="001E76A2" w:rsidP="0055041A">
      <w:r w:rsidRPr="001005B7">
        <w:t>His first i</w:t>
      </w:r>
      <w:r w:rsidR="004B3DCF" w:rsidRPr="001005B7">
        <w:t>mplication</w:t>
      </w:r>
      <w:r w:rsidRPr="001005B7">
        <w:t xml:space="preserve"> here is that</w:t>
      </w:r>
      <w:r w:rsidR="004B3DCF" w:rsidRPr="001005B7">
        <w:t xml:space="preserve"> </w:t>
      </w:r>
      <w:r w:rsidR="006323A0" w:rsidRPr="001005B7">
        <w:t xml:space="preserve">Yahweh </w:t>
      </w:r>
      <w:r w:rsidR="008E4C78" w:rsidRPr="001005B7">
        <w:t xml:space="preserve">does not want </w:t>
      </w:r>
      <w:r w:rsidR="00E47885" w:rsidRPr="001005B7">
        <w:t>faithless people to die</w:t>
      </w:r>
      <w:r w:rsidR="00E3613D" w:rsidRPr="001005B7">
        <w:t>, as he</w:t>
      </w:r>
      <w:r w:rsidR="004B3DCF" w:rsidRPr="001005B7">
        <w:t xml:space="preserve"> will make explicit later</w:t>
      </w:r>
      <w:r w:rsidR="00E47885" w:rsidRPr="001005B7">
        <w:t xml:space="preserve"> (33:</w:t>
      </w:r>
      <w:r w:rsidR="009371CF" w:rsidRPr="001005B7">
        <w:t>11)</w:t>
      </w:r>
      <w:r w:rsidR="00166ECF" w:rsidRPr="001005B7">
        <w:t>. T</w:t>
      </w:r>
      <w:r w:rsidR="00E47517" w:rsidRPr="001005B7">
        <w:t>he aim of sending them a lookout is to keep them alive.</w:t>
      </w:r>
      <w:r w:rsidR="00345812" w:rsidRPr="001005B7">
        <w:t xml:space="preserve"> </w:t>
      </w:r>
      <w:r w:rsidR="00166ECF" w:rsidRPr="001005B7">
        <w:t>Yahweh</w:t>
      </w:r>
      <w:r w:rsidR="00345812" w:rsidRPr="001005B7">
        <w:t xml:space="preserve"> is not bound like a human judge to punish someone </w:t>
      </w:r>
      <w:r w:rsidR="00B454ED" w:rsidRPr="001005B7">
        <w:t>f</w:t>
      </w:r>
      <w:r w:rsidR="00345812" w:rsidRPr="001005B7">
        <w:t xml:space="preserve">or wrongdoing </w:t>
      </w:r>
      <w:r w:rsidR="00F94D4E" w:rsidRPr="001005B7">
        <w:t>even if they repent. He is more like a president who has the power to pardon. But he entrusts to human</w:t>
      </w:r>
      <w:r w:rsidR="009371CF" w:rsidRPr="001005B7">
        <w:t xml:space="preserve"> beings the task of urging </w:t>
      </w:r>
      <w:r w:rsidR="00C5369B" w:rsidRPr="001005B7">
        <w:t>people</w:t>
      </w:r>
      <w:r w:rsidR="009371CF" w:rsidRPr="001005B7">
        <w:t xml:space="preserve"> to turn</w:t>
      </w:r>
      <w:r w:rsidR="00F62C57" w:rsidRPr="001005B7">
        <w:t>, and if there is no turning, there is no pardon.</w:t>
      </w:r>
      <w:r w:rsidR="00C145E9" w:rsidRPr="001005B7">
        <w:t xml:space="preserve"> </w:t>
      </w:r>
    </w:p>
    <w:p w14:paraId="0B7E48C9" w14:textId="3B15BB21" w:rsidR="007F1E6B" w:rsidRPr="001005B7" w:rsidRDefault="00A60E09" w:rsidP="007F1E6B">
      <w:pPr>
        <w:rPr>
          <w:rFonts w:cstheme="minorHAnsi"/>
        </w:rPr>
      </w:pPr>
      <w:r w:rsidRPr="001005B7">
        <w:t>There is a</w:t>
      </w:r>
      <w:r w:rsidR="00C5369B" w:rsidRPr="001005B7">
        <w:t xml:space="preserve"> further</w:t>
      </w:r>
      <w:r w:rsidR="009525A0" w:rsidRPr="001005B7">
        <w:t xml:space="preserve"> solemn </w:t>
      </w:r>
      <w:r w:rsidR="004D4992" w:rsidRPr="001005B7">
        <w:t>a</w:t>
      </w:r>
      <w:r w:rsidR="009525A0" w:rsidRPr="001005B7">
        <w:t>spect to this dynamic</w:t>
      </w:r>
      <w:r w:rsidRPr="001005B7">
        <w:t>. A</w:t>
      </w:r>
      <w:r w:rsidR="004D4992" w:rsidRPr="001005B7">
        <w:t>s the faithless can turn and live,</w:t>
      </w:r>
      <w:r w:rsidR="009525A0" w:rsidRPr="001005B7">
        <w:t xml:space="preserve"> the faithful can fall</w:t>
      </w:r>
      <w:r w:rsidR="004D4992" w:rsidRPr="001005B7">
        <w:t xml:space="preserve"> </w:t>
      </w:r>
      <w:r w:rsidR="009525A0" w:rsidRPr="001005B7">
        <w:t>away and die</w:t>
      </w:r>
      <w:r w:rsidR="004D4992" w:rsidRPr="001005B7">
        <w:t>.</w:t>
      </w:r>
      <w:r w:rsidR="0061608F" w:rsidRPr="001005B7">
        <w:t xml:space="preserve"> </w:t>
      </w:r>
      <w:r w:rsidR="00892703" w:rsidRPr="001005B7">
        <w:t>B</w:t>
      </w:r>
      <w:r w:rsidR="0061608F" w:rsidRPr="001005B7">
        <w:t>oth Testaments declare that God does not cast away or let</w:t>
      </w:r>
      <w:r w:rsidR="00621E39" w:rsidRPr="001005B7">
        <w:t xml:space="preserve"> go of his people (e.g., </w:t>
      </w:r>
      <w:r w:rsidR="00130A6C" w:rsidRPr="001005B7">
        <w:t>Isa 41:8</w:t>
      </w:r>
      <w:r w:rsidR="00F46900" w:rsidRPr="001005B7">
        <w:t>–</w:t>
      </w:r>
      <w:r w:rsidR="00130A6C" w:rsidRPr="001005B7">
        <w:t>13</w:t>
      </w:r>
      <w:r w:rsidR="0059722E" w:rsidRPr="001005B7">
        <w:t>; John 10:28</w:t>
      </w:r>
      <w:r w:rsidR="00F46900" w:rsidRPr="001005B7">
        <w:t>–</w:t>
      </w:r>
      <w:r w:rsidR="0059722E" w:rsidRPr="001005B7">
        <w:t>30</w:t>
      </w:r>
      <w:r w:rsidR="00DA33B2" w:rsidRPr="001005B7">
        <w:t>)</w:t>
      </w:r>
      <w:r w:rsidRPr="001005B7">
        <w:t>,</w:t>
      </w:r>
      <w:r w:rsidR="00DA33B2" w:rsidRPr="001005B7">
        <w:t xml:space="preserve"> but also that people can fatally turn away from God (e.g., </w:t>
      </w:r>
      <w:r w:rsidR="00E162B6" w:rsidRPr="001005B7">
        <w:t>Jer 19:1</w:t>
      </w:r>
      <w:r w:rsidR="00F46900" w:rsidRPr="001005B7">
        <w:t>–</w:t>
      </w:r>
      <w:r w:rsidR="00E162B6" w:rsidRPr="001005B7">
        <w:t xml:space="preserve">13; </w:t>
      </w:r>
      <w:r w:rsidR="00394065" w:rsidRPr="001005B7">
        <w:t xml:space="preserve">Heb </w:t>
      </w:r>
      <w:r w:rsidR="00EA4D4C" w:rsidRPr="001005B7">
        <w:t>10:26</w:t>
      </w:r>
      <w:r w:rsidR="00F46900" w:rsidRPr="001005B7">
        <w:t>–</w:t>
      </w:r>
      <w:r w:rsidR="00EA4D4C" w:rsidRPr="001005B7">
        <w:t>31).</w:t>
      </w:r>
      <w:r w:rsidR="00DA33B2" w:rsidRPr="001005B7">
        <w:t xml:space="preserve"> </w:t>
      </w:r>
      <w:r w:rsidR="00110849" w:rsidRPr="001005B7">
        <w:t xml:space="preserve">The </w:t>
      </w:r>
      <w:r w:rsidR="00CB55D8" w:rsidRPr="001005B7">
        <w:t xml:space="preserve">stress in Yahweh’s commission to Ezekiel lies on the importance </w:t>
      </w:r>
      <w:r w:rsidR="00F964FB" w:rsidRPr="001005B7">
        <w:t>of human responsibility</w:t>
      </w:r>
      <w:r w:rsidR="00F651BA" w:rsidRPr="001005B7">
        <w:t>. This</w:t>
      </w:r>
      <w:r w:rsidR="00F964FB" w:rsidRPr="001005B7">
        <w:t xml:space="preserve"> troubles people who are more inclined to emphasize </w:t>
      </w:r>
      <w:r w:rsidR="004D5FCA" w:rsidRPr="001005B7">
        <w:t>divine commit</w:t>
      </w:r>
      <w:r w:rsidR="006C68D9" w:rsidRPr="001005B7">
        <w:t>ment</w:t>
      </w:r>
      <w:r w:rsidR="003520DC" w:rsidRPr="001005B7">
        <w:t xml:space="preserve"> (see Calvin</w:t>
      </w:r>
      <w:r w:rsidR="00656A1E" w:rsidRPr="001005B7">
        <w:t>,</w:t>
      </w:r>
      <w:r w:rsidR="003520DC" w:rsidRPr="001005B7">
        <w:t xml:space="preserve"> 1:150</w:t>
      </w:r>
      <w:r w:rsidR="00F46900" w:rsidRPr="001005B7">
        <w:t>–</w:t>
      </w:r>
      <w:r w:rsidR="003520DC" w:rsidRPr="001005B7">
        <w:t>52)</w:t>
      </w:r>
      <w:r w:rsidR="00EB62E9" w:rsidRPr="001005B7">
        <w:t xml:space="preserve"> and are inclined to think that only </w:t>
      </w:r>
      <w:r w:rsidR="007957F6" w:rsidRPr="001005B7">
        <w:t>the not-truly-righteous can fall away</w:t>
      </w:r>
      <w:r w:rsidR="003520DC" w:rsidRPr="001005B7">
        <w:t xml:space="preserve"> (see Greenhill</w:t>
      </w:r>
      <w:r w:rsidR="00B20A58" w:rsidRPr="001005B7">
        <w:t>, 116</w:t>
      </w:r>
      <w:r w:rsidR="00DF60B7" w:rsidRPr="001005B7">
        <w:t>).</w:t>
      </w:r>
      <w:r w:rsidR="0093124B" w:rsidRPr="001005B7">
        <w:t xml:space="preserve"> The Scriptures emphasize</w:t>
      </w:r>
      <w:r w:rsidR="009370DD" w:rsidRPr="001005B7">
        <w:t xml:space="preserve"> both that God is faithfully and irrevocably committed to his people and that </w:t>
      </w:r>
      <w:r w:rsidR="007668B8" w:rsidRPr="001005B7">
        <w:t xml:space="preserve">his people’s faithful commitment to him is integral </w:t>
      </w:r>
      <w:r w:rsidR="00322ABE" w:rsidRPr="001005B7">
        <w:t xml:space="preserve">to their position as his people. </w:t>
      </w:r>
      <w:r w:rsidR="00B34B08" w:rsidRPr="001005B7">
        <w:t>T</w:t>
      </w:r>
      <w:r w:rsidR="00322ABE" w:rsidRPr="001005B7">
        <w:t>alk in terms of conditional and unconditional does not clarify the relationship of God and his people</w:t>
      </w:r>
      <w:r w:rsidR="00B34B08" w:rsidRPr="001005B7">
        <w:t xml:space="preserve">, and </w:t>
      </w:r>
      <w:r w:rsidR="00FC53F7" w:rsidRPr="001005B7">
        <w:t xml:space="preserve">the same is true of </w:t>
      </w:r>
      <w:r w:rsidR="00D95CA3" w:rsidRPr="001005B7">
        <w:t xml:space="preserve">setting up an antithesis </w:t>
      </w:r>
      <w:r w:rsidR="007F1E6B" w:rsidRPr="001005B7">
        <w:t xml:space="preserve">between </w:t>
      </w:r>
      <w:r w:rsidR="00D95CA3" w:rsidRPr="001005B7">
        <w:t>God’s faithfulness</w:t>
      </w:r>
      <w:r w:rsidR="00DD3773" w:rsidRPr="001005B7">
        <w:t xml:space="preserve"> or human faithfulness as the consideration that finally counts</w:t>
      </w:r>
      <w:r w:rsidR="00FC53F7" w:rsidRPr="001005B7">
        <w:t xml:space="preserve"> in this relationship</w:t>
      </w:r>
      <w:r w:rsidR="00DD3773" w:rsidRPr="001005B7">
        <w:t xml:space="preserve">. Both are </w:t>
      </w:r>
      <w:r w:rsidR="00E4145F" w:rsidRPr="001005B7">
        <w:t xml:space="preserve">integral. The challenge here in Ezekiel is, </w:t>
      </w:r>
      <w:r w:rsidR="00F65301" w:rsidRPr="001005B7">
        <w:t>are we living</w:t>
      </w:r>
      <w:r w:rsidR="00413F54" w:rsidRPr="001005B7">
        <w:rPr>
          <w:rFonts w:cstheme="minorHAnsi"/>
        </w:rPr>
        <w:t xml:space="preserve"> </w:t>
      </w:r>
      <w:r w:rsidR="00E4145F" w:rsidRPr="001005B7">
        <w:rPr>
          <w:rFonts w:cstheme="minorHAnsi"/>
        </w:rPr>
        <w:t xml:space="preserve">a </w:t>
      </w:r>
      <w:r w:rsidR="00413F54" w:rsidRPr="001005B7">
        <w:rPr>
          <w:rFonts w:cstheme="minorHAnsi"/>
        </w:rPr>
        <w:t>righteous</w:t>
      </w:r>
      <w:r w:rsidR="00E4145F" w:rsidRPr="001005B7">
        <w:rPr>
          <w:rFonts w:cstheme="minorHAnsi"/>
        </w:rPr>
        <w:t>,</w:t>
      </w:r>
      <w:r w:rsidR="00413F54" w:rsidRPr="001005B7">
        <w:rPr>
          <w:rFonts w:cstheme="minorHAnsi"/>
        </w:rPr>
        <w:t xml:space="preserve"> covena</w:t>
      </w:r>
      <w:r w:rsidR="00E4145F" w:rsidRPr="001005B7">
        <w:rPr>
          <w:rFonts w:cstheme="minorHAnsi"/>
        </w:rPr>
        <w:t>n</w:t>
      </w:r>
      <w:r w:rsidR="00413F54" w:rsidRPr="001005B7">
        <w:rPr>
          <w:rFonts w:cstheme="minorHAnsi"/>
        </w:rPr>
        <w:t>t</w:t>
      </w:r>
      <w:r w:rsidR="00F65301" w:rsidRPr="001005B7">
        <w:rPr>
          <w:rFonts w:cstheme="minorHAnsi"/>
        </w:rPr>
        <w:t>al</w:t>
      </w:r>
      <w:r w:rsidR="00413F54" w:rsidRPr="001005B7">
        <w:rPr>
          <w:rFonts w:cstheme="minorHAnsi"/>
        </w:rPr>
        <w:t xml:space="preserve"> life</w:t>
      </w:r>
      <w:r w:rsidR="00F65301" w:rsidRPr="001005B7">
        <w:rPr>
          <w:rFonts w:cstheme="minorHAnsi"/>
        </w:rPr>
        <w:t>?</w:t>
      </w:r>
      <w:r w:rsidR="007A13B0" w:rsidRPr="001005B7">
        <w:rPr>
          <w:rFonts w:cstheme="minorHAnsi"/>
        </w:rPr>
        <w:t xml:space="preserve"> (</w:t>
      </w:r>
      <w:r w:rsidR="007F1E6B" w:rsidRPr="001005B7">
        <w:t>Taylor,</w:t>
      </w:r>
      <w:r w:rsidR="007F1E6B" w:rsidRPr="001005B7">
        <w:rPr>
          <w:i/>
          <w:iCs/>
        </w:rPr>
        <w:t xml:space="preserve"> </w:t>
      </w:r>
      <w:r w:rsidR="007F1E6B" w:rsidRPr="001005B7">
        <w:t>72).</w:t>
      </w:r>
    </w:p>
    <w:p w14:paraId="5A000229" w14:textId="48CFADF6" w:rsidR="00456259" w:rsidRPr="001005B7" w:rsidRDefault="00EC1336" w:rsidP="00493833">
      <w:pPr>
        <w:pStyle w:val="Heading3"/>
      </w:pPr>
      <w:r w:rsidRPr="001005B7">
        <w:t xml:space="preserve">Application and Devotional Implications </w:t>
      </w:r>
    </w:p>
    <w:p w14:paraId="63F56373" w14:textId="2B334280" w:rsidR="003273F7" w:rsidRPr="001005B7" w:rsidRDefault="00CD1296" w:rsidP="008509EE">
      <w:r w:rsidRPr="001005B7">
        <w:t>“</w:t>
      </w:r>
      <w:r w:rsidR="006E2180" w:rsidRPr="001005B7">
        <w:t>There is a time for silence and a time for</w:t>
      </w:r>
      <w:r w:rsidR="00CF687C" w:rsidRPr="001005B7">
        <w:t xml:space="preserve"> speaking” (</w:t>
      </w:r>
      <w:r w:rsidR="001A723A" w:rsidRPr="001005B7">
        <w:t>Eccl</w:t>
      </w:r>
      <w:r w:rsidR="00CF687C" w:rsidRPr="001005B7">
        <w:t xml:space="preserve"> 3:7)</w:t>
      </w:r>
      <w:r w:rsidR="00973D89" w:rsidRPr="001005B7">
        <w:t xml:space="preserve"> (</w:t>
      </w:r>
      <w:r w:rsidR="0006143C" w:rsidRPr="001005B7">
        <w:t xml:space="preserve">quoted in this connection </w:t>
      </w:r>
      <w:r w:rsidR="00D934D1" w:rsidRPr="001005B7">
        <w:t xml:space="preserve">by </w:t>
      </w:r>
      <w:r w:rsidR="00973D89" w:rsidRPr="001005B7">
        <w:t>Gregory, 215</w:t>
      </w:r>
      <w:r w:rsidR="008509EE" w:rsidRPr="001005B7">
        <w:t>)</w:t>
      </w:r>
      <w:r w:rsidR="00973D89" w:rsidRPr="001005B7">
        <w:t>.</w:t>
      </w:r>
      <w:r w:rsidR="008509EE" w:rsidRPr="001005B7">
        <w:t xml:space="preserve"> </w:t>
      </w:r>
      <w:r w:rsidR="00DE0E70" w:rsidRPr="001005B7">
        <w:t>“</w:t>
      </w:r>
      <w:r w:rsidR="00DE0E70" w:rsidRPr="001005B7">
        <w:rPr>
          <w:rFonts w:ascii="MinionPro-Regular" w:hAnsi="MinionPro-Regular" w:cs="MinionPro-Regular"/>
        </w:rPr>
        <w:t>The Prophet is now taught how difficult and dangerous an office he has now to undertake</w:t>
      </w:r>
      <w:r w:rsidR="00DE0E70" w:rsidRPr="001005B7">
        <w:t>”</w:t>
      </w:r>
      <w:r w:rsidR="0099620E" w:rsidRPr="001005B7">
        <w:t xml:space="preserve"> (Calvin</w:t>
      </w:r>
      <w:r w:rsidR="00656A1E" w:rsidRPr="001005B7">
        <w:t>,</w:t>
      </w:r>
      <w:r w:rsidR="0099620E" w:rsidRPr="001005B7">
        <w:t xml:space="preserve"> 1:144).</w:t>
      </w:r>
      <w:r w:rsidR="008F5BA9" w:rsidRPr="001005B7">
        <w:t xml:space="preserve"> </w:t>
      </w:r>
      <w:r w:rsidR="00401B27" w:rsidRPr="001005B7">
        <w:t>I</w:t>
      </w:r>
      <w:r w:rsidR="003273F7" w:rsidRPr="001005B7">
        <w:t>f Ezekiel’s</w:t>
      </w:r>
      <w:r w:rsidR="00FF5F55" w:rsidRPr="001005B7">
        <w:t xml:space="preserve"> prophetic commission has implications for someone who is not a prophet, then </w:t>
      </w:r>
      <w:r w:rsidR="00362DE6" w:rsidRPr="001005B7">
        <w:t xml:space="preserve">the warnings in </w:t>
      </w:r>
      <w:r w:rsidR="0042084A" w:rsidRPr="001005B7">
        <w:t>3:</w:t>
      </w:r>
      <w:r w:rsidR="00362DE6" w:rsidRPr="001005B7">
        <w:t>16</w:t>
      </w:r>
      <w:r w:rsidR="00F46900" w:rsidRPr="001005B7">
        <w:t>–</w:t>
      </w:r>
      <w:r w:rsidR="00362DE6" w:rsidRPr="001005B7">
        <w:t>21 are scary.</w:t>
      </w:r>
      <w:r w:rsidR="00452653" w:rsidRPr="001005B7">
        <w:t xml:space="preserve"> </w:t>
      </w:r>
      <w:r w:rsidR="004637BD" w:rsidRPr="001005B7">
        <w:t xml:space="preserve">Jesus </w:t>
      </w:r>
      <w:r w:rsidR="00420989" w:rsidRPr="001005B7">
        <w:t>issue</w:t>
      </w:r>
      <w:r w:rsidR="004637BD" w:rsidRPr="001005B7">
        <w:t xml:space="preserve">s </w:t>
      </w:r>
      <w:r w:rsidR="00420989" w:rsidRPr="001005B7">
        <w:t>an even scarier converse threat</w:t>
      </w:r>
      <w:r w:rsidR="0087232E" w:rsidRPr="001005B7">
        <w:t xml:space="preserve"> than the one here, that </w:t>
      </w:r>
      <w:r w:rsidR="00044810" w:rsidRPr="001005B7">
        <w:t>on the assumption that prophets fulfill their vocation</w:t>
      </w:r>
      <w:r w:rsidR="004E5A87" w:rsidRPr="001005B7">
        <w:t xml:space="preserve"> as lookouts and actually get slaughtered for it, </w:t>
      </w:r>
      <w:r w:rsidR="0087232E" w:rsidRPr="001005B7">
        <w:t xml:space="preserve">the blood of all the martyred prophets </w:t>
      </w:r>
      <w:r w:rsidR="005E3DFF" w:rsidRPr="001005B7">
        <w:t xml:space="preserve">will be required </w:t>
      </w:r>
      <w:r w:rsidR="004E5A87" w:rsidRPr="001005B7">
        <w:t xml:space="preserve">of </w:t>
      </w:r>
      <w:r w:rsidR="007061A5" w:rsidRPr="001005B7">
        <w:t>his generation (Luke 22:49</w:t>
      </w:r>
      <w:r w:rsidR="00F46900" w:rsidRPr="001005B7">
        <w:t>–</w:t>
      </w:r>
      <w:r w:rsidR="007061A5" w:rsidRPr="001005B7">
        <w:t xml:space="preserve">51). </w:t>
      </w:r>
      <w:r w:rsidR="00C41277" w:rsidRPr="001005B7">
        <w:t xml:space="preserve">Mayer </w:t>
      </w:r>
      <w:r w:rsidR="00840848" w:rsidRPr="001005B7">
        <w:t>(379)</w:t>
      </w:r>
      <w:r w:rsidR="00C41277" w:rsidRPr="001005B7">
        <w:t xml:space="preserve"> notes that the New Testament equivalent to a lookout is a bishop, an</w:t>
      </w:r>
      <w:r w:rsidR="004F38FD" w:rsidRPr="001005B7">
        <w:t xml:space="preserve"> </w:t>
      </w:r>
      <w:r w:rsidR="00926909" w:rsidRPr="001005B7">
        <w:rPr>
          <w:rFonts w:cstheme="minorHAnsi"/>
        </w:rPr>
        <w:t>ἐ</w:t>
      </w:r>
      <w:r w:rsidR="004A783E" w:rsidRPr="001005B7">
        <w:rPr>
          <w:rFonts w:cstheme="minorHAnsi"/>
        </w:rPr>
        <w:t>π</w:t>
      </w:r>
      <w:proofErr w:type="spellStart"/>
      <w:r w:rsidR="00697CFD" w:rsidRPr="001005B7">
        <w:rPr>
          <w:rFonts w:cstheme="minorHAnsi"/>
        </w:rPr>
        <w:t>ίσκ</w:t>
      </w:r>
      <w:r w:rsidR="00D46C85" w:rsidRPr="001005B7">
        <w:rPr>
          <w:rFonts w:cstheme="minorHAnsi"/>
        </w:rPr>
        <w:t>ο</w:t>
      </w:r>
      <w:proofErr w:type="spellEnd"/>
      <w:r w:rsidR="00D46C85" w:rsidRPr="001005B7">
        <w:rPr>
          <w:rFonts w:cstheme="minorHAnsi"/>
        </w:rPr>
        <w:t>π</w:t>
      </w:r>
      <w:r w:rsidR="00697CFD" w:rsidRPr="001005B7">
        <w:rPr>
          <w:rFonts w:cstheme="minorHAnsi"/>
        </w:rPr>
        <w:t>ος</w:t>
      </w:r>
      <w:r w:rsidR="00C41277" w:rsidRPr="001005B7">
        <w:t xml:space="preserve">, </w:t>
      </w:r>
      <w:r w:rsidR="007975FF" w:rsidRPr="001005B7">
        <w:t>someone looking over their flock</w:t>
      </w:r>
      <w:r w:rsidR="00C41277" w:rsidRPr="001005B7">
        <w:t xml:space="preserve">. </w:t>
      </w:r>
      <w:r w:rsidR="00452653" w:rsidRPr="001005B7">
        <w:t xml:space="preserve">And </w:t>
      </w:r>
      <w:r w:rsidR="007975FF" w:rsidRPr="001005B7">
        <w:t xml:space="preserve">in </w:t>
      </w:r>
      <w:r w:rsidR="00F46CBB" w:rsidRPr="001005B7">
        <w:t>post-New Testament terms,</w:t>
      </w:r>
      <w:r w:rsidR="00D46C85" w:rsidRPr="001005B7">
        <w:t xml:space="preserve"> </w:t>
      </w:r>
      <w:r w:rsidR="007370F2" w:rsidRPr="001005B7">
        <w:rPr>
          <w:rFonts w:cstheme="minorHAnsi"/>
        </w:rPr>
        <w:t>ἐπ</w:t>
      </w:r>
      <w:proofErr w:type="spellStart"/>
      <w:r w:rsidR="007370F2" w:rsidRPr="001005B7">
        <w:rPr>
          <w:rFonts w:cstheme="minorHAnsi"/>
        </w:rPr>
        <w:t>ίσκο</w:t>
      </w:r>
      <w:proofErr w:type="spellEnd"/>
      <w:r w:rsidR="007370F2" w:rsidRPr="001005B7">
        <w:rPr>
          <w:rFonts w:cstheme="minorHAnsi"/>
        </w:rPr>
        <w:t>πο</w:t>
      </w:r>
      <w:r w:rsidR="00E7670C" w:rsidRPr="001005B7">
        <w:rPr>
          <w:rFonts w:cstheme="minorHAnsi"/>
        </w:rPr>
        <w:t>ι</w:t>
      </w:r>
      <w:r w:rsidR="00F46CBB" w:rsidRPr="001005B7">
        <w:rPr>
          <w:i/>
          <w:iCs/>
        </w:rPr>
        <w:t xml:space="preserve"> </w:t>
      </w:r>
      <w:r w:rsidR="003A3C8D" w:rsidRPr="001005B7">
        <w:t>are people who look over congrega</w:t>
      </w:r>
      <w:r w:rsidR="005E1AFF" w:rsidRPr="001005B7">
        <w:t>t</w:t>
      </w:r>
      <w:r w:rsidR="003A3C8D" w:rsidRPr="001005B7">
        <w:t>ions. They are pastors. Y</w:t>
      </w:r>
      <w:r w:rsidR="00452653" w:rsidRPr="001005B7">
        <w:t>et pastor</w:t>
      </w:r>
      <w:r w:rsidR="00580E5D" w:rsidRPr="001005B7">
        <w:t>s</w:t>
      </w:r>
      <w:r w:rsidR="00452653" w:rsidRPr="001005B7">
        <w:t xml:space="preserve"> cannot li</w:t>
      </w:r>
      <w:r w:rsidR="00BC698C" w:rsidRPr="001005B7">
        <w:t>v</w:t>
      </w:r>
      <w:r w:rsidR="00452653" w:rsidRPr="001005B7">
        <w:t xml:space="preserve">e by the principle in </w:t>
      </w:r>
      <w:r w:rsidR="00AC027B" w:rsidRPr="001005B7">
        <w:t>3:</w:t>
      </w:r>
      <w:r w:rsidR="00452653" w:rsidRPr="001005B7">
        <w:t>27</w:t>
      </w:r>
      <w:r w:rsidR="00CF6BF5" w:rsidRPr="001005B7">
        <w:t xml:space="preserve">. </w:t>
      </w:r>
      <w:r w:rsidR="005C1ACD" w:rsidRPr="001005B7">
        <w:t>They</w:t>
      </w:r>
      <w:r w:rsidR="00452653" w:rsidRPr="001005B7">
        <w:t xml:space="preserve"> have to speak Sunday by Sunday</w:t>
      </w:r>
      <w:r w:rsidR="0039338D" w:rsidRPr="001005B7">
        <w:t>.</w:t>
      </w:r>
      <w:r w:rsidR="005E1AFF" w:rsidRPr="001005B7">
        <w:t xml:space="preserve"> And if they are paid by their congregations, it is all the harder for them to be people who</w:t>
      </w:r>
      <w:r w:rsidR="00DC1DC1" w:rsidRPr="001005B7">
        <w:t xml:space="preserve"> focus on issuing warnings, on reproving.</w:t>
      </w:r>
      <w:r w:rsidR="00BC698C" w:rsidRPr="001005B7">
        <w:t xml:space="preserve"> Being a pastor is really dangerous.</w:t>
      </w:r>
    </w:p>
    <w:p w14:paraId="67B24EFA" w14:textId="274A7B7F" w:rsidR="00927459" w:rsidRPr="001005B7" w:rsidRDefault="00EA22A3" w:rsidP="00493833">
      <w:pPr>
        <w:pStyle w:val="Heading3"/>
      </w:pPr>
      <w:r w:rsidRPr="001005B7">
        <w:t xml:space="preserve">Selected </w:t>
      </w:r>
      <w:r w:rsidR="00683262" w:rsidRPr="001005B7">
        <w:t>Bibliography</w:t>
      </w:r>
    </w:p>
    <w:p w14:paraId="02082DAA" w14:textId="3D8F557C" w:rsidR="001960C1" w:rsidRPr="001005B7" w:rsidRDefault="001960C1" w:rsidP="006F5BB0">
      <w:pPr>
        <w:pStyle w:val="ListParagraph"/>
        <w:rPr>
          <w:color w:val="auto"/>
          <w:lang w:val="en-US"/>
        </w:rPr>
      </w:pPr>
      <w:proofErr w:type="spellStart"/>
      <w:r w:rsidRPr="001005B7">
        <w:rPr>
          <w:rStyle w:val="Strong"/>
          <w:b w:val="0"/>
          <w:bCs w:val="0"/>
          <w:color w:val="auto"/>
          <w:bdr w:val="none" w:sz="0" w:space="0" w:color="auto" w:frame="1"/>
          <w:lang w:val="en-US"/>
        </w:rPr>
        <w:t>Deselaers</w:t>
      </w:r>
      <w:proofErr w:type="spellEnd"/>
      <w:r w:rsidRPr="001005B7">
        <w:rPr>
          <w:rStyle w:val="medium-font"/>
          <w:i/>
          <w:iCs/>
          <w:color w:val="auto"/>
          <w:bdr w:val="none" w:sz="0" w:space="0" w:color="auto" w:frame="1"/>
          <w:lang w:val="en-US"/>
        </w:rPr>
        <w:t xml:space="preserve">, </w:t>
      </w:r>
      <w:r w:rsidRPr="001005B7">
        <w:rPr>
          <w:rStyle w:val="medium-font"/>
          <w:color w:val="auto"/>
          <w:bdr w:val="none" w:sz="0" w:space="0" w:color="auto" w:frame="1"/>
          <w:lang w:val="en-US"/>
        </w:rPr>
        <w:t>Paul</w:t>
      </w:r>
      <w:r w:rsidRPr="001005B7">
        <w:rPr>
          <w:rStyle w:val="medium-font"/>
          <w:i/>
          <w:iCs/>
          <w:color w:val="auto"/>
          <w:bdr w:val="none" w:sz="0" w:space="0" w:color="auto" w:frame="1"/>
          <w:lang w:val="en-US"/>
        </w:rPr>
        <w:t>. “</w:t>
      </w:r>
      <w:r w:rsidR="0038752B" w:rsidRPr="001005B7">
        <w:rPr>
          <w:rStyle w:val="Strong"/>
          <w:b w:val="0"/>
          <w:bCs w:val="0"/>
          <w:color w:val="auto"/>
          <w:bdr w:val="none" w:sz="0" w:space="0" w:color="auto" w:frame="1"/>
          <w:lang w:val="en-US"/>
        </w:rPr>
        <w:t>Das</w:t>
      </w:r>
      <w:r w:rsidR="0038752B" w:rsidRPr="001005B7">
        <w:rPr>
          <w:color w:val="auto"/>
          <w:bdr w:val="none" w:sz="0" w:space="0" w:color="auto" w:frame="1"/>
          <w:lang w:val="en-US"/>
        </w:rPr>
        <w:t> </w:t>
      </w:r>
      <w:proofErr w:type="spellStart"/>
      <w:r w:rsidR="0038752B" w:rsidRPr="001005B7">
        <w:rPr>
          <w:color w:val="auto"/>
          <w:bdr w:val="none" w:sz="0" w:space="0" w:color="auto" w:frame="1"/>
          <w:lang w:val="en-US"/>
        </w:rPr>
        <w:t>Wächteramt</w:t>
      </w:r>
      <w:proofErr w:type="spellEnd"/>
      <w:r w:rsidR="0038752B" w:rsidRPr="001005B7">
        <w:rPr>
          <w:color w:val="auto"/>
          <w:bdr w:val="none" w:sz="0" w:space="0" w:color="auto" w:frame="1"/>
          <w:lang w:val="en-US"/>
        </w:rPr>
        <w:t xml:space="preserve">: </w:t>
      </w:r>
      <w:proofErr w:type="spellStart"/>
      <w:r w:rsidR="0038752B" w:rsidRPr="001005B7">
        <w:rPr>
          <w:color w:val="auto"/>
          <w:bdr w:val="none" w:sz="0" w:space="0" w:color="auto" w:frame="1"/>
          <w:lang w:val="en-US"/>
        </w:rPr>
        <w:t>Ezechiels</w:t>
      </w:r>
      <w:proofErr w:type="spellEnd"/>
      <w:r w:rsidR="0038752B" w:rsidRPr="001005B7">
        <w:rPr>
          <w:color w:val="auto"/>
          <w:bdr w:val="none" w:sz="0" w:space="0" w:color="auto" w:frame="1"/>
          <w:lang w:val="en-US"/>
        </w:rPr>
        <w:t xml:space="preserve"> </w:t>
      </w:r>
      <w:proofErr w:type="spellStart"/>
      <w:r w:rsidR="0038752B" w:rsidRPr="001005B7">
        <w:rPr>
          <w:color w:val="auto"/>
          <w:bdr w:val="none" w:sz="0" w:space="0" w:color="auto" w:frame="1"/>
          <w:lang w:val="en-US"/>
        </w:rPr>
        <w:t>Dienst</w:t>
      </w:r>
      <w:proofErr w:type="spellEnd"/>
      <w:r w:rsidR="0038752B" w:rsidRPr="001005B7">
        <w:rPr>
          <w:color w:val="auto"/>
          <w:bdr w:val="none" w:sz="0" w:space="0" w:color="auto" w:frame="1"/>
          <w:lang w:val="en-US"/>
        </w:rPr>
        <w:t xml:space="preserve"> am </w:t>
      </w:r>
      <w:proofErr w:type="spellStart"/>
      <w:r w:rsidR="0038752B" w:rsidRPr="001005B7">
        <w:rPr>
          <w:color w:val="auto"/>
          <w:bdr w:val="none" w:sz="0" w:space="0" w:color="auto" w:frame="1"/>
          <w:lang w:val="en-US"/>
        </w:rPr>
        <w:t>ewigen</w:t>
      </w:r>
      <w:proofErr w:type="spellEnd"/>
      <w:r w:rsidR="0038752B" w:rsidRPr="001005B7">
        <w:rPr>
          <w:color w:val="auto"/>
          <w:bdr w:val="none" w:sz="0" w:space="0" w:color="auto" w:frame="1"/>
          <w:lang w:val="en-US"/>
        </w:rPr>
        <w:t xml:space="preserve"> Bund</w:t>
      </w:r>
      <w:r w:rsidR="0024486A" w:rsidRPr="001005B7">
        <w:rPr>
          <w:color w:val="auto"/>
          <w:bdr w:val="none" w:sz="0" w:space="0" w:color="auto" w:frame="1"/>
          <w:lang w:val="en-US"/>
        </w:rPr>
        <w:t xml:space="preserve">.” In </w:t>
      </w:r>
      <w:proofErr w:type="spellStart"/>
      <w:r w:rsidRPr="001005B7">
        <w:rPr>
          <w:i/>
          <w:iCs/>
          <w:color w:val="auto"/>
          <w:lang w:val="en-US"/>
        </w:rPr>
        <w:t>Für</w:t>
      </w:r>
      <w:proofErr w:type="spellEnd"/>
      <w:r w:rsidRPr="001005B7">
        <w:rPr>
          <w:i/>
          <w:iCs/>
          <w:color w:val="auto"/>
          <w:lang w:val="en-US"/>
        </w:rPr>
        <w:t xml:space="preserve"> </w:t>
      </w:r>
      <w:proofErr w:type="spellStart"/>
      <w:r w:rsidRPr="001005B7">
        <w:rPr>
          <w:i/>
          <w:iCs/>
          <w:color w:val="auto"/>
          <w:lang w:val="en-US"/>
        </w:rPr>
        <w:t>immer</w:t>
      </w:r>
      <w:proofErr w:type="spellEnd"/>
      <w:r w:rsidRPr="001005B7">
        <w:rPr>
          <w:i/>
          <w:iCs/>
          <w:color w:val="auto"/>
          <w:lang w:val="en-US"/>
        </w:rPr>
        <w:t xml:space="preserve"> </w:t>
      </w:r>
      <w:proofErr w:type="spellStart"/>
      <w:r w:rsidRPr="001005B7">
        <w:rPr>
          <w:i/>
          <w:iCs/>
          <w:color w:val="auto"/>
          <w:lang w:val="en-US"/>
        </w:rPr>
        <w:t>verbündet</w:t>
      </w:r>
      <w:proofErr w:type="spellEnd"/>
      <w:r w:rsidR="00175835" w:rsidRPr="001005B7">
        <w:rPr>
          <w:i/>
          <w:iCs/>
          <w:color w:val="auto"/>
          <w:lang w:val="en-US"/>
        </w:rPr>
        <w:t xml:space="preserve">: </w:t>
      </w:r>
      <w:proofErr w:type="spellStart"/>
      <w:r w:rsidR="00175835" w:rsidRPr="001005B7">
        <w:rPr>
          <w:i/>
          <w:iCs/>
          <w:color w:val="auto"/>
          <w:lang w:val="en-US"/>
        </w:rPr>
        <w:t>Studien</w:t>
      </w:r>
      <w:proofErr w:type="spellEnd"/>
      <w:r w:rsidR="00175835" w:rsidRPr="001005B7">
        <w:rPr>
          <w:i/>
          <w:iCs/>
          <w:color w:val="auto"/>
          <w:lang w:val="en-US"/>
        </w:rPr>
        <w:t xml:space="preserve"> </w:t>
      </w:r>
      <w:proofErr w:type="spellStart"/>
      <w:r w:rsidR="00175835" w:rsidRPr="001005B7">
        <w:rPr>
          <w:i/>
          <w:iCs/>
          <w:color w:val="auto"/>
          <w:lang w:val="en-US"/>
        </w:rPr>
        <w:t>zur</w:t>
      </w:r>
      <w:proofErr w:type="spellEnd"/>
      <w:r w:rsidR="00175835" w:rsidRPr="001005B7">
        <w:rPr>
          <w:i/>
          <w:iCs/>
          <w:color w:val="auto"/>
          <w:lang w:val="en-US"/>
        </w:rPr>
        <w:t xml:space="preserve"> </w:t>
      </w:r>
      <w:proofErr w:type="spellStart"/>
      <w:r w:rsidR="00175835" w:rsidRPr="001005B7">
        <w:rPr>
          <w:i/>
          <w:iCs/>
          <w:color w:val="auto"/>
          <w:lang w:val="en-US"/>
        </w:rPr>
        <w:t>Bundestheologies</w:t>
      </w:r>
      <w:proofErr w:type="spellEnd"/>
      <w:r w:rsidR="00175835" w:rsidRPr="001005B7">
        <w:rPr>
          <w:i/>
          <w:iCs/>
          <w:color w:val="auto"/>
          <w:lang w:val="en-US"/>
        </w:rPr>
        <w:t xml:space="preserve"> der </w:t>
      </w:r>
      <w:proofErr w:type="spellStart"/>
      <w:r w:rsidR="00175835" w:rsidRPr="001005B7">
        <w:rPr>
          <w:i/>
          <w:iCs/>
          <w:color w:val="auto"/>
          <w:lang w:val="en-US"/>
        </w:rPr>
        <w:t>Bibel</w:t>
      </w:r>
      <w:proofErr w:type="spellEnd"/>
      <w:r w:rsidRPr="001005B7">
        <w:rPr>
          <w:color w:val="auto"/>
          <w:lang w:val="en-US"/>
        </w:rPr>
        <w:t xml:space="preserve">, </w:t>
      </w:r>
      <w:r w:rsidR="00956F18" w:rsidRPr="001005B7">
        <w:rPr>
          <w:color w:val="auto"/>
          <w:lang w:val="en-US"/>
        </w:rPr>
        <w:t xml:space="preserve">ed. Christoph </w:t>
      </w:r>
      <w:proofErr w:type="spellStart"/>
      <w:r w:rsidR="00956F18" w:rsidRPr="001005B7">
        <w:rPr>
          <w:color w:val="auto"/>
          <w:lang w:val="en-US"/>
        </w:rPr>
        <w:t>Dohmen</w:t>
      </w:r>
      <w:proofErr w:type="spellEnd"/>
      <w:r w:rsidR="00956F18" w:rsidRPr="001005B7">
        <w:rPr>
          <w:color w:val="auto"/>
          <w:lang w:val="en-US"/>
        </w:rPr>
        <w:t xml:space="preserve"> and </w:t>
      </w:r>
      <w:r w:rsidR="005036A0" w:rsidRPr="001005B7">
        <w:rPr>
          <w:color w:val="auto"/>
          <w:lang w:val="en-US"/>
        </w:rPr>
        <w:t xml:space="preserve">Christian </w:t>
      </w:r>
      <w:proofErr w:type="spellStart"/>
      <w:r w:rsidR="005036A0" w:rsidRPr="001005B7">
        <w:rPr>
          <w:color w:val="auto"/>
          <w:lang w:val="en-US"/>
        </w:rPr>
        <w:t>Frevel</w:t>
      </w:r>
      <w:proofErr w:type="spellEnd"/>
      <w:r w:rsidR="005036A0" w:rsidRPr="001005B7">
        <w:rPr>
          <w:color w:val="auto"/>
          <w:lang w:val="en-US"/>
        </w:rPr>
        <w:t>,</w:t>
      </w:r>
      <w:r w:rsidRPr="001005B7">
        <w:rPr>
          <w:color w:val="auto"/>
          <w:lang w:val="en-US"/>
        </w:rPr>
        <w:t xml:space="preserve"> 37</w:t>
      </w:r>
      <w:r w:rsidR="00F46900" w:rsidRPr="001005B7">
        <w:rPr>
          <w:color w:val="auto"/>
          <w:lang w:val="en-US"/>
        </w:rPr>
        <w:t>–</w:t>
      </w:r>
      <w:r w:rsidRPr="001005B7">
        <w:rPr>
          <w:color w:val="auto"/>
          <w:lang w:val="en-US"/>
        </w:rPr>
        <w:t>42</w:t>
      </w:r>
      <w:r w:rsidR="005036A0" w:rsidRPr="001005B7">
        <w:rPr>
          <w:color w:val="auto"/>
          <w:lang w:val="en-US"/>
        </w:rPr>
        <w:t>. Stuttgart: KBW, 2007.</w:t>
      </w:r>
    </w:p>
    <w:p w14:paraId="458B2B5D" w14:textId="77777777" w:rsidR="00804601" w:rsidRPr="001005B7" w:rsidRDefault="00804601" w:rsidP="00804601">
      <w:pPr>
        <w:pStyle w:val="ListParagraph"/>
        <w:rPr>
          <w:color w:val="auto"/>
          <w:lang w:val="en-US"/>
        </w:rPr>
      </w:pPr>
      <w:r w:rsidRPr="001005B7">
        <w:rPr>
          <w:color w:val="auto"/>
          <w:lang w:val="en-US"/>
        </w:rPr>
        <w:t xml:space="preserve">Garfinkel, Stephen. “Another Model for Ezekiel's Abnormalities.” </w:t>
      </w:r>
      <w:r w:rsidRPr="001005B7">
        <w:rPr>
          <w:i/>
          <w:color w:val="auto"/>
          <w:lang w:val="en-US"/>
        </w:rPr>
        <w:t xml:space="preserve">JANES </w:t>
      </w:r>
      <w:r w:rsidRPr="001005B7">
        <w:rPr>
          <w:color w:val="auto"/>
          <w:lang w:val="en-US"/>
        </w:rPr>
        <w:t>19 (1989): 39–50.</w:t>
      </w:r>
    </w:p>
    <w:p w14:paraId="6C3C5843" w14:textId="6212E1DF" w:rsidR="00703CD1" w:rsidRPr="001005B7" w:rsidRDefault="00703CD1" w:rsidP="00703CD1">
      <w:pPr>
        <w:pStyle w:val="ListParagraph"/>
        <w:rPr>
          <w:color w:val="auto"/>
          <w:lang w:val="en-US"/>
        </w:rPr>
      </w:pPr>
      <w:r w:rsidRPr="001005B7">
        <w:rPr>
          <w:color w:val="auto"/>
          <w:lang w:val="en-US"/>
        </w:rPr>
        <w:t>Gehrig, Stefan</w:t>
      </w:r>
      <w:r w:rsidRPr="00703CD1">
        <w:rPr>
          <w:i/>
          <w:iCs/>
          <w:color w:val="auto"/>
          <w:lang w:val="en-US"/>
        </w:rPr>
        <w:t>. </w:t>
      </w:r>
      <w:proofErr w:type="spellStart"/>
      <w:r w:rsidRPr="00703CD1">
        <w:rPr>
          <w:i/>
          <w:iCs/>
          <w:color w:val="auto"/>
          <w:lang w:val="en-US"/>
        </w:rPr>
        <w:t>Leserlenkung</w:t>
      </w:r>
      <w:proofErr w:type="spellEnd"/>
      <w:r w:rsidRPr="00703CD1">
        <w:rPr>
          <w:i/>
          <w:iCs/>
          <w:color w:val="auto"/>
          <w:lang w:val="en-US"/>
        </w:rPr>
        <w:t xml:space="preserve"> und </w:t>
      </w:r>
      <w:proofErr w:type="spellStart"/>
      <w:r w:rsidRPr="00703CD1">
        <w:rPr>
          <w:i/>
          <w:iCs/>
          <w:color w:val="auto"/>
          <w:lang w:val="en-US"/>
        </w:rPr>
        <w:t>Grenzen</w:t>
      </w:r>
      <w:proofErr w:type="spellEnd"/>
      <w:r w:rsidRPr="00703CD1">
        <w:rPr>
          <w:i/>
          <w:iCs/>
          <w:color w:val="auto"/>
          <w:lang w:val="en-US"/>
        </w:rPr>
        <w:t xml:space="preserve"> der Interpretation: Ein </w:t>
      </w:r>
      <w:proofErr w:type="spellStart"/>
      <w:r w:rsidRPr="00703CD1">
        <w:rPr>
          <w:i/>
          <w:iCs/>
          <w:color w:val="auto"/>
          <w:lang w:val="en-US"/>
        </w:rPr>
        <w:t>Beitrag</w:t>
      </w:r>
      <w:proofErr w:type="spellEnd"/>
      <w:r w:rsidRPr="00703CD1">
        <w:rPr>
          <w:i/>
          <w:iCs/>
          <w:color w:val="auto"/>
          <w:lang w:val="en-US"/>
        </w:rPr>
        <w:t xml:space="preserve"> </w:t>
      </w:r>
      <w:proofErr w:type="spellStart"/>
      <w:r w:rsidRPr="00703CD1">
        <w:rPr>
          <w:i/>
          <w:iCs/>
          <w:color w:val="auto"/>
          <w:lang w:val="en-US"/>
        </w:rPr>
        <w:t>zur</w:t>
      </w:r>
      <w:proofErr w:type="spellEnd"/>
      <w:r w:rsidRPr="00703CD1">
        <w:rPr>
          <w:i/>
          <w:iCs/>
          <w:color w:val="auto"/>
          <w:lang w:val="en-US"/>
        </w:rPr>
        <w:t xml:space="preserve"> </w:t>
      </w:r>
      <w:proofErr w:type="spellStart"/>
      <w:r w:rsidRPr="00703CD1">
        <w:rPr>
          <w:i/>
          <w:iCs/>
          <w:color w:val="auto"/>
          <w:lang w:val="en-US"/>
        </w:rPr>
        <w:t>Rezeptionsästhetik</w:t>
      </w:r>
      <w:proofErr w:type="spellEnd"/>
      <w:r w:rsidRPr="00703CD1">
        <w:rPr>
          <w:i/>
          <w:iCs/>
          <w:color w:val="auto"/>
          <w:lang w:val="en-US"/>
        </w:rPr>
        <w:t xml:space="preserve"> am </w:t>
      </w:r>
      <w:proofErr w:type="spellStart"/>
      <w:r w:rsidRPr="00703CD1">
        <w:rPr>
          <w:i/>
          <w:iCs/>
          <w:color w:val="auto"/>
          <w:lang w:val="en-US"/>
        </w:rPr>
        <w:t>Beispiel</w:t>
      </w:r>
      <w:proofErr w:type="spellEnd"/>
      <w:r w:rsidRPr="00703CD1">
        <w:rPr>
          <w:i/>
          <w:iCs/>
          <w:color w:val="auto"/>
          <w:lang w:val="en-US"/>
        </w:rPr>
        <w:t xml:space="preserve"> des </w:t>
      </w:r>
      <w:proofErr w:type="spellStart"/>
      <w:r w:rsidRPr="00703CD1">
        <w:rPr>
          <w:i/>
          <w:iCs/>
          <w:color w:val="auto"/>
          <w:lang w:val="en-US"/>
        </w:rPr>
        <w:t>Ezechielbuches</w:t>
      </w:r>
      <w:proofErr w:type="spellEnd"/>
      <w:r w:rsidRPr="001005B7">
        <w:rPr>
          <w:color w:val="auto"/>
          <w:lang w:val="en-US"/>
        </w:rPr>
        <w:t xml:space="preserve">. BWANT 190. Stuttgart: </w:t>
      </w:r>
      <w:proofErr w:type="spellStart"/>
      <w:r w:rsidRPr="001005B7">
        <w:rPr>
          <w:color w:val="auto"/>
          <w:lang w:val="en-US"/>
        </w:rPr>
        <w:t>Kohlhammer</w:t>
      </w:r>
      <w:proofErr w:type="spellEnd"/>
      <w:r w:rsidRPr="001005B7">
        <w:rPr>
          <w:color w:val="auto"/>
          <w:lang w:val="en-US"/>
        </w:rPr>
        <w:t>, 2013.</w:t>
      </w:r>
    </w:p>
    <w:p w14:paraId="5C4D16A9" w14:textId="751F7C93" w:rsidR="00525F7D" w:rsidRPr="001005B7" w:rsidRDefault="00525F7D" w:rsidP="006F5BB0">
      <w:pPr>
        <w:pStyle w:val="ListParagraph"/>
        <w:rPr>
          <w:color w:val="auto"/>
          <w:lang w:val="en-US"/>
        </w:rPr>
      </w:pPr>
      <w:r w:rsidRPr="001005B7">
        <w:rPr>
          <w:color w:val="auto"/>
          <w:lang w:val="en-US"/>
        </w:rPr>
        <w:t>Glazov,</w:t>
      </w:r>
      <w:r w:rsidR="00B45A3F" w:rsidRPr="001005B7">
        <w:rPr>
          <w:color w:val="auto"/>
          <w:lang w:val="en-US"/>
        </w:rPr>
        <w:t xml:space="preserve"> Gregory Yuri. </w:t>
      </w:r>
      <w:r w:rsidR="00B45A3F" w:rsidRPr="001005B7">
        <w:rPr>
          <w:i/>
          <w:iCs/>
          <w:color w:val="auto"/>
          <w:lang w:val="en-US"/>
        </w:rPr>
        <w:t>The Bridling of the T</w:t>
      </w:r>
      <w:r w:rsidR="007C3E59" w:rsidRPr="001005B7">
        <w:rPr>
          <w:i/>
          <w:iCs/>
          <w:color w:val="auto"/>
          <w:lang w:val="en-US"/>
        </w:rPr>
        <w:t>o</w:t>
      </w:r>
      <w:r w:rsidR="00B45A3F" w:rsidRPr="001005B7">
        <w:rPr>
          <w:i/>
          <w:iCs/>
          <w:color w:val="auto"/>
          <w:lang w:val="en-US"/>
        </w:rPr>
        <w:t>ngue and the Opening of the Mouth in Biblical Prophecy</w:t>
      </w:r>
      <w:r w:rsidR="007C3E59" w:rsidRPr="001005B7">
        <w:rPr>
          <w:color w:val="auto"/>
          <w:lang w:val="en-US"/>
        </w:rPr>
        <w:t>.</w:t>
      </w:r>
      <w:r w:rsidRPr="001005B7">
        <w:rPr>
          <w:color w:val="auto"/>
          <w:lang w:val="en-US"/>
        </w:rPr>
        <w:t xml:space="preserve"> </w:t>
      </w:r>
      <w:proofErr w:type="spellStart"/>
      <w:r w:rsidR="007C3E59" w:rsidRPr="001005B7">
        <w:rPr>
          <w:color w:val="auto"/>
          <w:lang w:val="en-US"/>
        </w:rPr>
        <w:t>JSOTSup</w:t>
      </w:r>
      <w:proofErr w:type="spellEnd"/>
      <w:r w:rsidR="007C3E59" w:rsidRPr="001005B7">
        <w:rPr>
          <w:color w:val="auto"/>
          <w:lang w:val="en-US"/>
        </w:rPr>
        <w:t xml:space="preserve"> 311. Sheffield: </w:t>
      </w:r>
      <w:r w:rsidR="004054E1" w:rsidRPr="001005B7">
        <w:rPr>
          <w:color w:val="auto"/>
          <w:lang w:val="en-US"/>
        </w:rPr>
        <w:t>Sheffield Academic Press, 2001.</w:t>
      </w:r>
    </w:p>
    <w:p w14:paraId="4AB68E41" w14:textId="37CE2A9A" w:rsidR="00B54221" w:rsidRPr="001005B7" w:rsidRDefault="00B54221" w:rsidP="00B54221">
      <w:pPr>
        <w:spacing w:after="60" w:line="240" w:lineRule="auto"/>
        <w:ind w:left="567" w:hanging="567"/>
        <w:rPr>
          <w:rFonts w:ascii="Calibri" w:eastAsia="Times New Roman" w:hAnsi="Calibri" w:cs="Calibri"/>
          <w:lang w:eastAsia="en-GB"/>
        </w:rPr>
      </w:pPr>
      <w:proofErr w:type="spellStart"/>
      <w:r w:rsidRPr="001005B7">
        <w:t>Kutsko</w:t>
      </w:r>
      <w:proofErr w:type="spellEnd"/>
      <w:r w:rsidRPr="001005B7">
        <w:t>. J</w:t>
      </w:r>
      <w:r w:rsidR="00DA6AC8" w:rsidRPr="001005B7">
        <w:t>ohn</w:t>
      </w:r>
      <w:r w:rsidRPr="001005B7">
        <w:t xml:space="preserve"> F. </w:t>
      </w:r>
      <w:r w:rsidR="00DA6AC8" w:rsidRPr="001005B7">
        <w:t>“</w:t>
      </w:r>
      <w:r w:rsidRPr="001005B7">
        <w:t xml:space="preserve">Will the Real </w:t>
      </w:r>
      <w:proofErr w:type="spellStart"/>
      <w:r w:rsidR="00BF57EF" w:rsidRPr="001005B7">
        <w:rPr>
          <w:rFonts w:cstheme="minorHAnsi"/>
          <w:i/>
          <w:iCs/>
        </w:rPr>
        <w:t>ṣ</w:t>
      </w:r>
      <w:r w:rsidR="008405AE" w:rsidRPr="001005B7">
        <w:rPr>
          <w:i/>
          <w:iCs/>
        </w:rPr>
        <w:t>elem</w:t>
      </w:r>
      <w:proofErr w:type="spellEnd"/>
      <w:r w:rsidR="008405AE" w:rsidRPr="001005B7">
        <w:rPr>
          <w:i/>
          <w:iCs/>
        </w:rPr>
        <w:t xml:space="preserve"> </w:t>
      </w:r>
      <w:r w:rsidR="00E14AD2" w:rsidRPr="001005B7">
        <w:rPr>
          <w:rFonts w:cstheme="minorHAnsi"/>
          <w:i/>
          <w:iCs/>
        </w:rPr>
        <w:t>′</w:t>
      </w:r>
      <w:proofErr w:type="spellStart"/>
      <w:r w:rsidR="005A049D" w:rsidRPr="001005B7">
        <w:rPr>
          <w:rFonts w:cstheme="minorHAnsi"/>
          <w:i/>
          <w:iCs/>
        </w:rPr>
        <w:t>ě</w:t>
      </w:r>
      <w:r w:rsidRPr="001005B7">
        <w:rPr>
          <w:i/>
          <w:iCs/>
        </w:rPr>
        <w:t>l</w:t>
      </w:r>
      <w:r w:rsidR="001A2B78" w:rsidRPr="001005B7">
        <w:rPr>
          <w:rFonts w:cstheme="minorHAnsi"/>
          <w:i/>
          <w:iCs/>
        </w:rPr>
        <w:t>ō</w:t>
      </w:r>
      <w:r w:rsidRPr="001005B7">
        <w:rPr>
          <w:i/>
          <w:iCs/>
        </w:rPr>
        <w:t>h</w:t>
      </w:r>
      <w:r w:rsidR="005A049D" w:rsidRPr="001005B7">
        <w:rPr>
          <w:rFonts w:cstheme="minorHAnsi"/>
          <w:i/>
          <w:iCs/>
        </w:rPr>
        <w:t>î</w:t>
      </w:r>
      <w:r w:rsidRPr="001005B7">
        <w:rPr>
          <w:i/>
          <w:iCs/>
        </w:rPr>
        <w:t>m</w:t>
      </w:r>
      <w:proofErr w:type="spellEnd"/>
      <w:r w:rsidRPr="001005B7">
        <w:t xml:space="preserve"> Please Stand Up? The Image of God in the Book of Ezekiel.</w:t>
      </w:r>
      <w:r w:rsidR="009B5EAC" w:rsidRPr="001005B7">
        <w:t>”</w:t>
      </w:r>
      <w:r w:rsidRPr="001005B7">
        <w:t xml:space="preserve"> In </w:t>
      </w:r>
      <w:r w:rsidRPr="001005B7">
        <w:rPr>
          <w:i/>
          <w:iCs/>
        </w:rPr>
        <w:t>Society of Biblical Literature 1998 Seminar Papers</w:t>
      </w:r>
      <w:r w:rsidRPr="001005B7">
        <w:t>, 55</w:t>
      </w:r>
      <w:r w:rsidR="00F46900" w:rsidRPr="001005B7">
        <w:t>–</w:t>
      </w:r>
      <w:r w:rsidRPr="001005B7">
        <w:t>85. Atlanta: Scholars, 1998.</w:t>
      </w:r>
    </w:p>
    <w:p w14:paraId="196AA546" w14:textId="247B6F68" w:rsidR="00244307" w:rsidRPr="001005B7" w:rsidRDefault="005115C8" w:rsidP="006F5BB0">
      <w:pPr>
        <w:pStyle w:val="ListParagraph"/>
        <w:rPr>
          <w:color w:val="auto"/>
          <w:lang w:val="en-US"/>
        </w:rPr>
      </w:pPr>
      <w:r w:rsidRPr="001005B7">
        <w:rPr>
          <w:color w:val="auto"/>
          <w:lang w:val="en-US"/>
        </w:rPr>
        <w:t>Lust</w:t>
      </w:r>
      <w:r w:rsidR="00657644" w:rsidRPr="001005B7">
        <w:rPr>
          <w:color w:val="auto"/>
          <w:lang w:val="en-US"/>
        </w:rPr>
        <w:t>, J.,</w:t>
      </w:r>
      <w:r w:rsidRPr="001005B7">
        <w:rPr>
          <w:color w:val="auto"/>
          <w:lang w:val="en-US"/>
        </w:rPr>
        <w:t xml:space="preserve"> K. Hauspie</w:t>
      </w:r>
      <w:r w:rsidR="00657644" w:rsidRPr="001005B7">
        <w:rPr>
          <w:color w:val="auto"/>
          <w:lang w:val="en-US"/>
        </w:rPr>
        <w:t>, and</w:t>
      </w:r>
      <w:r w:rsidRPr="001005B7">
        <w:rPr>
          <w:color w:val="auto"/>
          <w:lang w:val="en-US"/>
        </w:rPr>
        <w:t xml:space="preserve"> A. </w:t>
      </w:r>
      <w:proofErr w:type="spellStart"/>
      <w:r w:rsidRPr="001005B7">
        <w:rPr>
          <w:color w:val="auto"/>
          <w:lang w:val="en-US"/>
        </w:rPr>
        <w:t>Ternier</w:t>
      </w:r>
      <w:proofErr w:type="spellEnd"/>
      <w:r w:rsidR="00657644" w:rsidRPr="001005B7">
        <w:rPr>
          <w:color w:val="auto"/>
          <w:lang w:val="en-US"/>
        </w:rPr>
        <w:t>.</w:t>
      </w:r>
      <w:r w:rsidRPr="001005B7">
        <w:rPr>
          <w:color w:val="auto"/>
          <w:lang w:val="en-US"/>
        </w:rPr>
        <w:t xml:space="preserve"> </w:t>
      </w:r>
      <w:r w:rsidR="00657644" w:rsidRPr="001005B7">
        <w:rPr>
          <w:color w:val="auto"/>
          <w:lang w:val="en-US"/>
        </w:rPr>
        <w:t>“</w:t>
      </w:r>
      <w:r w:rsidRPr="001005B7">
        <w:rPr>
          <w:color w:val="auto"/>
          <w:lang w:val="en-US"/>
        </w:rPr>
        <w:t xml:space="preserve">Notes </w:t>
      </w:r>
      <w:r w:rsidR="00657644" w:rsidRPr="001005B7">
        <w:rPr>
          <w:color w:val="auto"/>
          <w:lang w:val="en-US"/>
        </w:rPr>
        <w:t>t</w:t>
      </w:r>
      <w:r w:rsidRPr="001005B7">
        <w:rPr>
          <w:color w:val="auto"/>
          <w:lang w:val="en-US"/>
        </w:rPr>
        <w:t xml:space="preserve">o </w:t>
      </w:r>
      <w:r w:rsidR="00657644" w:rsidRPr="001005B7">
        <w:rPr>
          <w:color w:val="auto"/>
          <w:lang w:val="en-US"/>
        </w:rPr>
        <w:t>t</w:t>
      </w:r>
      <w:r w:rsidRPr="001005B7">
        <w:rPr>
          <w:color w:val="auto"/>
          <w:lang w:val="en-US"/>
        </w:rPr>
        <w:t>he Se</w:t>
      </w:r>
      <w:r w:rsidR="00657644" w:rsidRPr="001005B7">
        <w:rPr>
          <w:color w:val="auto"/>
          <w:lang w:val="en-US"/>
        </w:rPr>
        <w:t>p</w:t>
      </w:r>
      <w:r w:rsidRPr="001005B7">
        <w:rPr>
          <w:color w:val="auto"/>
          <w:lang w:val="en-US"/>
        </w:rPr>
        <w:t xml:space="preserve">tuagint </w:t>
      </w:r>
      <w:r w:rsidR="00657644" w:rsidRPr="001005B7">
        <w:rPr>
          <w:color w:val="auto"/>
          <w:lang w:val="en-US"/>
        </w:rPr>
        <w:t>a</w:t>
      </w:r>
      <w:r w:rsidRPr="001005B7">
        <w:rPr>
          <w:color w:val="auto"/>
          <w:lang w:val="en-US"/>
        </w:rPr>
        <w:t xml:space="preserve">nd </w:t>
      </w:r>
      <w:r w:rsidR="00657644" w:rsidRPr="001005B7">
        <w:rPr>
          <w:color w:val="auto"/>
          <w:lang w:val="en-US"/>
        </w:rPr>
        <w:t>t</w:t>
      </w:r>
      <w:r w:rsidRPr="001005B7">
        <w:rPr>
          <w:color w:val="auto"/>
          <w:lang w:val="en-US"/>
        </w:rPr>
        <w:t>he Masoretic Te</w:t>
      </w:r>
      <w:r w:rsidR="00657644" w:rsidRPr="001005B7">
        <w:rPr>
          <w:color w:val="auto"/>
          <w:lang w:val="en-US"/>
        </w:rPr>
        <w:t>x</w:t>
      </w:r>
      <w:r w:rsidRPr="001005B7">
        <w:rPr>
          <w:color w:val="auto"/>
          <w:lang w:val="en-US"/>
        </w:rPr>
        <w:t>t</w:t>
      </w:r>
      <w:r w:rsidR="00C50097" w:rsidRPr="001005B7">
        <w:rPr>
          <w:color w:val="auto"/>
          <w:lang w:val="en-US"/>
        </w:rPr>
        <w:t>:</w:t>
      </w:r>
      <w:r w:rsidRPr="001005B7">
        <w:rPr>
          <w:color w:val="auto"/>
          <w:lang w:val="en-US"/>
        </w:rPr>
        <w:t xml:space="preserve"> Ezekiel 3</w:t>
      </w:r>
      <w:r w:rsidR="00C50097" w:rsidRPr="001005B7">
        <w:rPr>
          <w:color w:val="auto"/>
          <w:lang w:val="en-US"/>
        </w:rPr>
        <w:t xml:space="preserve">.” </w:t>
      </w:r>
      <w:r w:rsidR="00C50097" w:rsidRPr="001005B7">
        <w:rPr>
          <w:i/>
          <w:color w:val="auto"/>
          <w:lang w:val="en-US"/>
        </w:rPr>
        <w:t>ETL</w:t>
      </w:r>
      <w:r w:rsidR="007E0FA2" w:rsidRPr="001005B7">
        <w:rPr>
          <w:color w:val="auto"/>
          <w:lang w:val="en-US"/>
        </w:rPr>
        <w:t xml:space="preserve"> 75 (1999):</w:t>
      </w:r>
      <w:r w:rsidR="00C50097" w:rsidRPr="001005B7">
        <w:rPr>
          <w:color w:val="auto"/>
          <w:lang w:val="en-US"/>
        </w:rPr>
        <w:t xml:space="preserve"> </w:t>
      </w:r>
      <w:r w:rsidR="00AD7F5B" w:rsidRPr="001005B7">
        <w:rPr>
          <w:color w:val="auto"/>
          <w:lang w:val="en-US"/>
        </w:rPr>
        <w:t>315</w:t>
      </w:r>
      <w:r w:rsidR="00F46900" w:rsidRPr="001005B7">
        <w:rPr>
          <w:color w:val="auto"/>
          <w:lang w:val="en-US"/>
        </w:rPr>
        <w:t>–</w:t>
      </w:r>
      <w:r w:rsidR="00AD7F5B" w:rsidRPr="001005B7">
        <w:rPr>
          <w:color w:val="auto"/>
          <w:lang w:val="en-US"/>
        </w:rPr>
        <w:t xml:space="preserve">31. </w:t>
      </w:r>
    </w:p>
    <w:p w14:paraId="25AE94F2" w14:textId="3FC54DFE" w:rsidR="002D4871" w:rsidRPr="001005B7" w:rsidRDefault="00683262" w:rsidP="006F5BB0">
      <w:pPr>
        <w:pStyle w:val="ListParagraph"/>
        <w:rPr>
          <w:color w:val="auto"/>
          <w:lang w:val="en-US"/>
        </w:rPr>
      </w:pPr>
      <w:r w:rsidRPr="001005B7">
        <w:rPr>
          <w:color w:val="auto"/>
          <w:lang w:val="en-US"/>
        </w:rPr>
        <w:t xml:space="preserve">Odell, Margaret S. “You Are What You Eat: Ezekiel and the Scroll.” </w:t>
      </w:r>
      <w:r w:rsidRPr="001005B7">
        <w:rPr>
          <w:i/>
          <w:color w:val="auto"/>
          <w:lang w:val="en-US"/>
        </w:rPr>
        <w:t xml:space="preserve">JBL </w:t>
      </w:r>
      <w:r w:rsidRPr="001005B7">
        <w:rPr>
          <w:color w:val="auto"/>
          <w:lang w:val="en-US"/>
        </w:rPr>
        <w:t>117 (1998): 229</w:t>
      </w:r>
      <w:r w:rsidR="00F46900" w:rsidRPr="001005B7">
        <w:rPr>
          <w:color w:val="auto"/>
          <w:lang w:val="en-US"/>
        </w:rPr>
        <w:t>–</w:t>
      </w:r>
      <w:r w:rsidRPr="001005B7">
        <w:rPr>
          <w:color w:val="auto"/>
          <w:lang w:val="en-US"/>
        </w:rPr>
        <w:t>48.</w:t>
      </w:r>
    </w:p>
    <w:p w14:paraId="522DF443" w14:textId="381A77B6" w:rsidR="002F1549" w:rsidRPr="001005B7" w:rsidRDefault="002F1549" w:rsidP="006F5BB0">
      <w:pPr>
        <w:pStyle w:val="ListParagraph"/>
        <w:rPr>
          <w:color w:val="auto"/>
          <w:lang w:val="en-US"/>
        </w:rPr>
      </w:pPr>
      <w:proofErr w:type="spellStart"/>
      <w:r w:rsidRPr="001005B7">
        <w:rPr>
          <w:color w:val="auto"/>
          <w:lang w:val="en-US"/>
        </w:rPr>
        <w:t>Strine</w:t>
      </w:r>
      <w:proofErr w:type="spellEnd"/>
      <w:r w:rsidRPr="001005B7">
        <w:rPr>
          <w:color w:val="auto"/>
          <w:lang w:val="en-US"/>
        </w:rPr>
        <w:t xml:space="preserve">, C. A. </w:t>
      </w:r>
      <w:r w:rsidR="003D7096" w:rsidRPr="001005B7">
        <w:rPr>
          <w:color w:val="auto"/>
          <w:lang w:val="en-US"/>
        </w:rPr>
        <w:t>“</w:t>
      </w:r>
      <w:r w:rsidRPr="001005B7">
        <w:rPr>
          <w:color w:val="auto"/>
          <w:lang w:val="en-US"/>
        </w:rPr>
        <w:t xml:space="preserve">Ezekiel's Image Problem: The Mesopotamian Cult Statue Induction Ritual and the </w:t>
      </w:r>
      <w:r w:rsidRPr="001005B7">
        <w:rPr>
          <w:i/>
          <w:iCs/>
          <w:color w:val="auto"/>
          <w:lang w:val="en-US"/>
        </w:rPr>
        <w:t>Imago</w:t>
      </w:r>
      <w:r w:rsidRPr="001005B7">
        <w:rPr>
          <w:color w:val="auto"/>
          <w:lang w:val="en-US"/>
        </w:rPr>
        <w:t xml:space="preserve"> </w:t>
      </w:r>
      <w:r w:rsidRPr="001005B7">
        <w:rPr>
          <w:i/>
          <w:iCs/>
          <w:color w:val="auto"/>
          <w:lang w:val="en-US"/>
        </w:rPr>
        <w:t>Dei</w:t>
      </w:r>
      <w:r w:rsidRPr="001005B7">
        <w:rPr>
          <w:color w:val="auto"/>
          <w:lang w:val="en-US"/>
        </w:rPr>
        <w:t xml:space="preserve"> Anthropology in the </w:t>
      </w:r>
      <w:r w:rsidR="003D7096" w:rsidRPr="001005B7">
        <w:rPr>
          <w:color w:val="auto"/>
          <w:lang w:val="en-US"/>
        </w:rPr>
        <w:t>B</w:t>
      </w:r>
      <w:r w:rsidRPr="001005B7">
        <w:rPr>
          <w:color w:val="auto"/>
          <w:lang w:val="en-US"/>
        </w:rPr>
        <w:t>ook of Ezekie</w:t>
      </w:r>
      <w:r w:rsidR="003D7096" w:rsidRPr="001005B7">
        <w:rPr>
          <w:color w:val="auto"/>
          <w:lang w:val="en-US"/>
        </w:rPr>
        <w:t xml:space="preserve">l.” </w:t>
      </w:r>
      <w:r w:rsidR="00543E76" w:rsidRPr="001005B7">
        <w:rPr>
          <w:i/>
          <w:iCs/>
          <w:color w:val="auto"/>
          <w:lang w:val="en-US"/>
        </w:rPr>
        <w:t xml:space="preserve">CBQ </w:t>
      </w:r>
      <w:r w:rsidR="002754C8" w:rsidRPr="001005B7">
        <w:rPr>
          <w:color w:val="auto"/>
          <w:lang w:val="en-US"/>
        </w:rPr>
        <w:t xml:space="preserve">76 (2014): </w:t>
      </w:r>
      <w:r w:rsidR="00543E76" w:rsidRPr="001005B7">
        <w:rPr>
          <w:color w:val="auto"/>
          <w:lang w:val="en-US"/>
        </w:rPr>
        <w:t>252</w:t>
      </w:r>
      <w:r w:rsidR="00F46900" w:rsidRPr="001005B7">
        <w:rPr>
          <w:color w:val="auto"/>
          <w:lang w:val="en-US"/>
        </w:rPr>
        <w:t>–</w:t>
      </w:r>
      <w:r w:rsidR="00CD21BF" w:rsidRPr="001005B7">
        <w:rPr>
          <w:color w:val="auto"/>
          <w:lang w:val="en-US"/>
        </w:rPr>
        <w:t>72.</w:t>
      </w:r>
    </w:p>
    <w:p w14:paraId="3E00F0DC" w14:textId="40750922" w:rsidR="00321094" w:rsidRPr="001005B7" w:rsidRDefault="00321094" w:rsidP="006F5BB0">
      <w:pPr>
        <w:pStyle w:val="ListParagraph"/>
        <w:rPr>
          <w:color w:val="auto"/>
          <w:lang w:val="en-US"/>
        </w:rPr>
      </w:pPr>
      <w:r w:rsidRPr="001005B7">
        <w:rPr>
          <w:color w:val="auto"/>
          <w:lang w:val="en-US"/>
        </w:rPr>
        <w:t xml:space="preserve">Tromp, Nicholas J. </w:t>
      </w:r>
      <w:r w:rsidR="00A70B3C" w:rsidRPr="001005B7">
        <w:rPr>
          <w:color w:val="auto"/>
          <w:lang w:val="en-US"/>
        </w:rPr>
        <w:t xml:space="preserve">“The Paradox of Ezekiel’s Prophetic Mission: </w:t>
      </w:r>
      <w:r w:rsidR="00EB0B47" w:rsidRPr="001005B7">
        <w:rPr>
          <w:color w:val="auto"/>
          <w:lang w:val="en-US"/>
        </w:rPr>
        <w:t>Towards a Semiotic Approach of Ezekiel 3,22</w:t>
      </w:r>
      <w:r w:rsidR="00F46900" w:rsidRPr="001005B7">
        <w:rPr>
          <w:color w:val="auto"/>
          <w:lang w:val="en-US"/>
        </w:rPr>
        <w:t>–</w:t>
      </w:r>
      <w:r w:rsidR="00EB0B47" w:rsidRPr="001005B7">
        <w:rPr>
          <w:color w:val="auto"/>
          <w:lang w:val="en-US"/>
        </w:rPr>
        <w:t>27.”</w:t>
      </w:r>
      <w:r w:rsidR="00E43B84" w:rsidRPr="001005B7">
        <w:rPr>
          <w:color w:val="auto"/>
          <w:lang w:val="en-US"/>
        </w:rPr>
        <w:t xml:space="preserve"> </w:t>
      </w:r>
      <w:r w:rsidR="00F26D22" w:rsidRPr="001005B7">
        <w:rPr>
          <w:color w:val="auto"/>
          <w:lang w:val="en-US"/>
        </w:rPr>
        <w:t xml:space="preserve">In </w:t>
      </w:r>
      <w:r w:rsidR="002605E9" w:rsidRPr="001005B7">
        <w:rPr>
          <w:color w:val="auto"/>
          <w:lang w:val="en-US"/>
        </w:rPr>
        <w:t>Johan</w:t>
      </w:r>
      <w:r w:rsidR="000A6774" w:rsidRPr="001005B7">
        <w:rPr>
          <w:color w:val="auto"/>
          <w:lang w:val="en-US"/>
        </w:rPr>
        <w:t xml:space="preserve"> Lust, ed.</w:t>
      </w:r>
      <w:r w:rsidR="00C750CE" w:rsidRPr="001005B7">
        <w:rPr>
          <w:color w:val="auto"/>
          <w:lang w:val="en-US"/>
        </w:rPr>
        <w:t>,</w:t>
      </w:r>
      <w:r w:rsidR="000A6774" w:rsidRPr="001005B7">
        <w:rPr>
          <w:color w:val="auto"/>
          <w:lang w:val="en-US"/>
        </w:rPr>
        <w:t> </w:t>
      </w:r>
      <w:r w:rsidR="000A6774" w:rsidRPr="001005B7">
        <w:rPr>
          <w:i/>
          <w:iCs/>
          <w:color w:val="auto"/>
          <w:lang w:val="en-US"/>
        </w:rPr>
        <w:t>Ezekiel and His Book</w:t>
      </w:r>
      <w:r w:rsidR="002605E9" w:rsidRPr="001005B7">
        <w:rPr>
          <w:i/>
          <w:iCs/>
          <w:color w:val="auto"/>
          <w:lang w:val="en-US"/>
        </w:rPr>
        <w:t>:</w:t>
      </w:r>
      <w:r w:rsidR="000A6774" w:rsidRPr="001005B7">
        <w:rPr>
          <w:i/>
          <w:iCs/>
          <w:color w:val="auto"/>
          <w:lang w:val="en-US"/>
        </w:rPr>
        <w:t xml:space="preserve"> Textual and Literary Criticism and </w:t>
      </w:r>
      <w:r w:rsidR="00AA2197" w:rsidRPr="001005B7">
        <w:rPr>
          <w:i/>
          <w:iCs/>
          <w:color w:val="auto"/>
          <w:lang w:val="en-US"/>
        </w:rPr>
        <w:t>T</w:t>
      </w:r>
      <w:r w:rsidR="000A6774" w:rsidRPr="001005B7">
        <w:rPr>
          <w:i/>
          <w:iCs/>
          <w:color w:val="auto"/>
          <w:lang w:val="en-US"/>
        </w:rPr>
        <w:t>heir Interrelation</w:t>
      </w:r>
      <w:r w:rsidR="00C276A2" w:rsidRPr="001005B7">
        <w:rPr>
          <w:i/>
          <w:iCs/>
          <w:color w:val="auto"/>
          <w:lang w:val="en-US"/>
        </w:rPr>
        <w:t xml:space="preserve">, </w:t>
      </w:r>
      <w:r w:rsidR="00C276A2" w:rsidRPr="001005B7">
        <w:rPr>
          <w:color w:val="auto"/>
          <w:lang w:val="en-US"/>
        </w:rPr>
        <w:t>201</w:t>
      </w:r>
      <w:r w:rsidR="00F46900" w:rsidRPr="001005B7">
        <w:rPr>
          <w:color w:val="auto"/>
          <w:lang w:val="en-US"/>
        </w:rPr>
        <w:t>–</w:t>
      </w:r>
      <w:r w:rsidR="00C276A2" w:rsidRPr="001005B7">
        <w:rPr>
          <w:color w:val="auto"/>
          <w:lang w:val="en-US"/>
        </w:rPr>
        <w:t>13</w:t>
      </w:r>
      <w:r w:rsidR="00C276A2" w:rsidRPr="001005B7">
        <w:rPr>
          <w:i/>
          <w:iCs/>
          <w:color w:val="auto"/>
          <w:lang w:val="en-US"/>
        </w:rPr>
        <w:t xml:space="preserve">. </w:t>
      </w:r>
      <w:r w:rsidR="000A6774" w:rsidRPr="001005B7">
        <w:rPr>
          <w:color w:val="auto"/>
          <w:lang w:val="en-US"/>
        </w:rPr>
        <w:t xml:space="preserve">BETL 74. Leuven: Leuven University Press, 1986. </w:t>
      </w:r>
    </w:p>
    <w:p w14:paraId="6D65ECD6" w14:textId="5342392A" w:rsidR="00C17D24" w:rsidRPr="001005B7" w:rsidRDefault="00C17D24" w:rsidP="006F5BB0">
      <w:pPr>
        <w:pStyle w:val="ListParagraph"/>
        <w:rPr>
          <w:color w:val="auto"/>
          <w:lang w:val="en-US"/>
        </w:rPr>
      </w:pPr>
      <w:r w:rsidRPr="001005B7">
        <w:rPr>
          <w:color w:val="auto"/>
          <w:lang w:val="en-US"/>
        </w:rPr>
        <w:t>Wilson, Robert R. “An Interpretation of Ezekiel’s Dumbness.”</w:t>
      </w:r>
      <w:r w:rsidR="00DF23F6" w:rsidRPr="001005B7">
        <w:rPr>
          <w:color w:val="auto"/>
          <w:lang w:val="en-US"/>
        </w:rPr>
        <w:t xml:space="preserve"> </w:t>
      </w:r>
      <w:r w:rsidR="00CB039A" w:rsidRPr="001005B7">
        <w:rPr>
          <w:i/>
          <w:iCs/>
          <w:color w:val="auto"/>
          <w:lang w:val="en-US"/>
        </w:rPr>
        <w:t xml:space="preserve">VT </w:t>
      </w:r>
      <w:r w:rsidR="00CB039A" w:rsidRPr="001005B7">
        <w:rPr>
          <w:color w:val="auto"/>
          <w:lang w:val="en-US"/>
        </w:rPr>
        <w:t xml:space="preserve">22 (1972): </w:t>
      </w:r>
      <w:r w:rsidR="00DF23F6" w:rsidRPr="001005B7">
        <w:rPr>
          <w:color w:val="auto"/>
          <w:lang w:val="en-US"/>
        </w:rPr>
        <w:t>91</w:t>
      </w:r>
      <w:r w:rsidR="00F46900" w:rsidRPr="001005B7">
        <w:rPr>
          <w:color w:val="auto"/>
          <w:lang w:val="en-US"/>
        </w:rPr>
        <w:t>–</w:t>
      </w:r>
      <w:r w:rsidR="00CB039A" w:rsidRPr="001005B7">
        <w:rPr>
          <w:color w:val="auto"/>
          <w:lang w:val="en-US"/>
        </w:rPr>
        <w:t>104.</w:t>
      </w:r>
    </w:p>
    <w:p w14:paraId="4143B9FD" w14:textId="1399771E" w:rsidR="004314DC" w:rsidRPr="001005B7" w:rsidRDefault="00C3214C" w:rsidP="003062B5">
      <w:pPr>
        <w:pStyle w:val="Heading2"/>
        <w:rPr>
          <w:color w:val="auto"/>
        </w:rPr>
      </w:pPr>
      <w:r w:rsidRPr="001005B7">
        <w:rPr>
          <w:color w:val="auto"/>
        </w:rPr>
        <w:t>Yahweh Orders Signs</w:t>
      </w:r>
      <w:r w:rsidR="00F67448" w:rsidRPr="001005B7">
        <w:rPr>
          <w:color w:val="auto"/>
        </w:rPr>
        <w:t xml:space="preserve"> </w:t>
      </w:r>
      <w:r w:rsidR="00DD22CC" w:rsidRPr="001005B7">
        <w:rPr>
          <w:color w:val="auto"/>
        </w:rPr>
        <w:t xml:space="preserve">Concerning Jerusalem </w:t>
      </w:r>
      <w:r w:rsidR="00F67448" w:rsidRPr="001005B7">
        <w:rPr>
          <w:color w:val="auto"/>
        </w:rPr>
        <w:t>(</w:t>
      </w:r>
      <w:r w:rsidR="008F17AC" w:rsidRPr="001005B7">
        <w:rPr>
          <w:color w:val="auto"/>
        </w:rPr>
        <w:t>4:1</w:t>
      </w:r>
      <w:r w:rsidR="00F46900" w:rsidRPr="001005B7">
        <w:rPr>
          <w:color w:val="auto"/>
        </w:rPr>
        <w:t>–</w:t>
      </w:r>
      <w:r w:rsidR="001D3D4E" w:rsidRPr="001005B7">
        <w:rPr>
          <w:color w:val="auto"/>
        </w:rPr>
        <w:t>5:4</w:t>
      </w:r>
      <w:r w:rsidR="008F17AC" w:rsidRPr="001005B7">
        <w:rPr>
          <w:color w:val="auto"/>
        </w:rPr>
        <w:t>)</w:t>
      </w:r>
    </w:p>
    <w:p w14:paraId="1052ADA2" w14:textId="77777777" w:rsidR="003C2CCB" w:rsidRPr="001005B7" w:rsidRDefault="003C2CCB" w:rsidP="00493833">
      <w:pPr>
        <w:pStyle w:val="Heading3"/>
      </w:pPr>
      <w:r w:rsidRPr="001005B7">
        <w:t>Outline</w:t>
      </w:r>
    </w:p>
    <w:p w14:paraId="781D5E5D" w14:textId="3AE07E5F" w:rsidR="00366087" w:rsidRPr="001005B7" w:rsidRDefault="00C146C0" w:rsidP="00366087">
      <w:r w:rsidRPr="001005B7">
        <w:t>In 3:24</w:t>
      </w:r>
      <w:r w:rsidR="00F46900" w:rsidRPr="001005B7">
        <w:t>–</w:t>
      </w:r>
      <w:r w:rsidRPr="001005B7">
        <w:t>27 Yahweh had in effect commissioned Ezekiel to undertake a symbolic act. In 4:1</w:t>
      </w:r>
      <w:r w:rsidR="00F46900" w:rsidRPr="001005B7">
        <w:t>–</w:t>
      </w:r>
      <w:r w:rsidRPr="001005B7">
        <w:t xml:space="preserve">5:4 he does so more </w:t>
      </w:r>
      <w:r w:rsidR="00DA5CAB" w:rsidRPr="001005B7">
        <w:t>explicit</w:t>
      </w:r>
      <w:r w:rsidRPr="001005B7">
        <w:t xml:space="preserve">ly and more systematically. </w:t>
      </w:r>
      <w:r w:rsidR="00396438" w:rsidRPr="001005B7">
        <w:t>His</w:t>
      </w:r>
      <w:r w:rsidR="00366087" w:rsidRPr="001005B7">
        <w:t xml:space="preserve"> instructions to Ezekiel </w:t>
      </w:r>
      <w:r w:rsidR="001C1E26" w:rsidRPr="001005B7">
        <w:t xml:space="preserve">thus </w:t>
      </w:r>
      <w:r w:rsidR="00366087" w:rsidRPr="001005B7">
        <w:t>continue seamlessly</w:t>
      </w:r>
      <w:r w:rsidR="002274C0" w:rsidRPr="001005B7">
        <w:t>,</w:t>
      </w:r>
      <w:r w:rsidR="00366087" w:rsidRPr="001005B7">
        <w:t xml:space="preserve"> with another “and</w:t>
      </w:r>
      <w:r w:rsidR="00366087" w:rsidRPr="001005B7">
        <w:rPr>
          <w:i/>
          <w:iCs/>
        </w:rPr>
        <w:t xml:space="preserve"> </w:t>
      </w:r>
      <w:r w:rsidR="00366087" w:rsidRPr="001005B7">
        <w:t>you</w:t>
      </w:r>
      <w:r w:rsidR="00366087" w:rsidRPr="001005B7">
        <w:rPr>
          <w:i/>
          <w:iCs/>
        </w:rPr>
        <w:t xml:space="preserve">, </w:t>
      </w:r>
      <w:r w:rsidR="00D3329B" w:rsidRPr="001005B7">
        <w:t>my man</w:t>
      </w:r>
      <w:r w:rsidR="00366087" w:rsidRPr="001005B7">
        <w:t>”</w:t>
      </w:r>
      <w:r w:rsidR="00366087" w:rsidRPr="001005B7">
        <w:rPr>
          <w:i/>
          <w:iCs/>
        </w:rPr>
        <w:t xml:space="preserve"> </w:t>
      </w:r>
      <w:r w:rsidR="00366087" w:rsidRPr="001005B7">
        <w:t xml:space="preserve">following up 3:25 </w:t>
      </w:r>
      <w:r w:rsidR="00BF6A5A" w:rsidRPr="001005B7">
        <w:t>that</w:t>
      </w:r>
      <w:r w:rsidR="00366087" w:rsidRPr="001005B7">
        <w:t xml:space="preserve"> lead</w:t>
      </w:r>
      <w:r w:rsidR="00BF6A5A" w:rsidRPr="001005B7">
        <w:t>s</w:t>
      </w:r>
      <w:r w:rsidR="00366087" w:rsidRPr="001005B7">
        <w:t xml:space="preserve"> into commissioning a series of </w:t>
      </w:r>
      <w:r w:rsidR="001C1E26" w:rsidRPr="001005B7">
        <w:t>actions</w:t>
      </w:r>
      <w:r w:rsidR="000C345E" w:rsidRPr="001005B7">
        <w:t>. They</w:t>
      </w:r>
      <w:r w:rsidR="00366087" w:rsidRPr="001005B7">
        <w:t xml:space="preserve"> portray or enact the threat hang</w:t>
      </w:r>
      <w:r w:rsidR="001C1E26" w:rsidRPr="001005B7">
        <w:t>ing</w:t>
      </w:r>
      <w:r w:rsidR="00366087" w:rsidRPr="001005B7">
        <w:t xml:space="preserve"> over </w:t>
      </w:r>
      <w:r w:rsidR="00A910E7" w:rsidRPr="001005B7">
        <w:t>Jerusalem</w:t>
      </w:r>
      <w:r w:rsidR="00366087" w:rsidRPr="001005B7">
        <w:t>, in broad chronological sequence:</w:t>
      </w:r>
    </w:p>
    <w:p w14:paraId="19BA026F" w14:textId="77777777" w:rsidR="00366087" w:rsidRPr="001005B7" w:rsidRDefault="00366087" w:rsidP="00366087">
      <w:pPr>
        <w:pStyle w:val="PlainText"/>
        <w:rPr>
          <w:rStyle w:val="i"/>
          <w:color w:val="auto"/>
        </w:rPr>
      </w:pPr>
    </w:p>
    <w:p w14:paraId="0FFC1E7D" w14:textId="54AD2AFE" w:rsidR="00366087" w:rsidRPr="001005B7" w:rsidRDefault="00366087" w:rsidP="006F5BB0">
      <w:pPr>
        <w:pStyle w:val="ListParagraph"/>
        <w:numPr>
          <w:ilvl w:val="0"/>
          <w:numId w:val="6"/>
        </w:numPr>
        <w:rPr>
          <w:color w:val="auto"/>
          <w:lang w:val="en-US"/>
        </w:rPr>
      </w:pPr>
      <w:r w:rsidRPr="001005B7">
        <w:rPr>
          <w:color w:val="auto"/>
          <w:lang w:val="en-US"/>
        </w:rPr>
        <w:t xml:space="preserve">The siege of Jerusalem as a sign for </w:t>
      </w:r>
      <w:r w:rsidR="00384DD8">
        <w:rPr>
          <w:color w:val="auto"/>
          <w:lang w:val="en-US"/>
        </w:rPr>
        <w:t>Israel’s</w:t>
      </w:r>
      <w:r w:rsidRPr="001005B7">
        <w:rPr>
          <w:color w:val="auto"/>
          <w:lang w:val="en-US"/>
        </w:rPr>
        <w:t xml:space="preserve"> household (4:1</w:t>
      </w:r>
      <w:r w:rsidR="00F46900" w:rsidRPr="001005B7">
        <w:rPr>
          <w:color w:val="auto"/>
          <w:lang w:val="en-US"/>
        </w:rPr>
        <w:t>–</w:t>
      </w:r>
      <w:r w:rsidRPr="001005B7">
        <w:rPr>
          <w:color w:val="auto"/>
          <w:lang w:val="en-US"/>
        </w:rPr>
        <w:t>2)</w:t>
      </w:r>
    </w:p>
    <w:p w14:paraId="562A63CC" w14:textId="77777777" w:rsidR="00366087" w:rsidRPr="001005B7" w:rsidRDefault="00366087" w:rsidP="006F5BB0">
      <w:pPr>
        <w:pStyle w:val="ListParagraph"/>
        <w:numPr>
          <w:ilvl w:val="0"/>
          <w:numId w:val="6"/>
        </w:numPr>
        <w:rPr>
          <w:color w:val="auto"/>
          <w:lang w:val="en-US"/>
        </w:rPr>
      </w:pPr>
      <w:r w:rsidRPr="001005B7">
        <w:rPr>
          <w:color w:val="auto"/>
          <w:lang w:val="en-US"/>
        </w:rPr>
        <w:t>The attack on the city by Yahweh himself (4:3)</w:t>
      </w:r>
    </w:p>
    <w:p w14:paraId="33436067" w14:textId="393DF3DD" w:rsidR="00366087" w:rsidRPr="001005B7" w:rsidRDefault="00366087" w:rsidP="006F5BB0">
      <w:pPr>
        <w:pStyle w:val="ListParagraph"/>
        <w:numPr>
          <w:ilvl w:val="0"/>
          <w:numId w:val="6"/>
        </w:numPr>
        <w:rPr>
          <w:color w:val="auto"/>
          <w:lang w:val="en-US"/>
        </w:rPr>
      </w:pPr>
      <w:r w:rsidRPr="001005B7">
        <w:rPr>
          <w:color w:val="auto"/>
          <w:lang w:val="en-US"/>
        </w:rPr>
        <w:t>The chastisement of Israel and Judah (4:4</w:t>
      </w:r>
      <w:r w:rsidR="00F46900" w:rsidRPr="001005B7">
        <w:rPr>
          <w:color w:val="auto"/>
          <w:lang w:val="en-US"/>
        </w:rPr>
        <w:t>–</w:t>
      </w:r>
      <w:r w:rsidRPr="001005B7">
        <w:rPr>
          <w:color w:val="auto"/>
          <w:lang w:val="en-US"/>
        </w:rPr>
        <w:t>8)</w:t>
      </w:r>
    </w:p>
    <w:p w14:paraId="3AD61A59" w14:textId="49D31275" w:rsidR="00366087" w:rsidRPr="001005B7" w:rsidRDefault="00366087" w:rsidP="006F5BB0">
      <w:pPr>
        <w:pStyle w:val="ListParagraph"/>
        <w:numPr>
          <w:ilvl w:val="0"/>
          <w:numId w:val="6"/>
        </w:numPr>
        <w:rPr>
          <w:color w:val="auto"/>
          <w:lang w:val="en-US"/>
        </w:rPr>
      </w:pPr>
      <w:r w:rsidRPr="001005B7">
        <w:rPr>
          <w:color w:val="auto"/>
          <w:lang w:val="en-US"/>
        </w:rPr>
        <w:t>The constraints of the siege in connection with people’s food and drink (4:9</w:t>
      </w:r>
      <w:r w:rsidR="00F46900" w:rsidRPr="001005B7">
        <w:rPr>
          <w:color w:val="auto"/>
          <w:lang w:val="en-US"/>
        </w:rPr>
        <w:t>–</w:t>
      </w:r>
      <w:r w:rsidRPr="001005B7">
        <w:rPr>
          <w:color w:val="auto"/>
          <w:lang w:val="en-US"/>
        </w:rPr>
        <w:t>11)</w:t>
      </w:r>
    </w:p>
    <w:p w14:paraId="42BD9462" w14:textId="3389FCEC" w:rsidR="00366087" w:rsidRPr="001005B7" w:rsidRDefault="00366087" w:rsidP="006F5BB0">
      <w:pPr>
        <w:pStyle w:val="ListParagraph"/>
        <w:numPr>
          <w:ilvl w:val="0"/>
          <w:numId w:val="6"/>
        </w:numPr>
        <w:rPr>
          <w:color w:val="auto"/>
          <w:lang w:val="en-US"/>
        </w:rPr>
      </w:pPr>
      <w:r w:rsidRPr="001005B7">
        <w:rPr>
          <w:color w:val="auto"/>
          <w:lang w:val="en-US"/>
        </w:rPr>
        <w:t>The repugnant straights to which people will be reduced (4:12</w:t>
      </w:r>
      <w:r w:rsidR="00F46900" w:rsidRPr="001005B7">
        <w:rPr>
          <w:color w:val="auto"/>
          <w:lang w:val="en-US"/>
        </w:rPr>
        <w:t>–</w:t>
      </w:r>
      <w:r w:rsidRPr="001005B7">
        <w:rPr>
          <w:color w:val="auto"/>
          <w:lang w:val="en-US"/>
        </w:rPr>
        <w:t>15)</w:t>
      </w:r>
    </w:p>
    <w:p w14:paraId="7DF25B73" w14:textId="7D1CDC9E" w:rsidR="00366087" w:rsidRPr="001005B7" w:rsidRDefault="00366087" w:rsidP="006F5BB0">
      <w:pPr>
        <w:pStyle w:val="ListParagraph"/>
        <w:numPr>
          <w:ilvl w:val="0"/>
          <w:numId w:val="6"/>
        </w:numPr>
        <w:rPr>
          <w:color w:val="auto"/>
          <w:lang w:val="en-US"/>
        </w:rPr>
      </w:pPr>
      <w:r w:rsidRPr="001005B7">
        <w:rPr>
          <w:color w:val="auto"/>
          <w:lang w:val="en-US"/>
        </w:rPr>
        <w:t>The desolation and wasting away in the city (4:16</w:t>
      </w:r>
      <w:r w:rsidR="00F46900" w:rsidRPr="001005B7">
        <w:rPr>
          <w:color w:val="auto"/>
          <w:lang w:val="en-US"/>
        </w:rPr>
        <w:t>–</w:t>
      </w:r>
      <w:r w:rsidRPr="001005B7">
        <w:rPr>
          <w:color w:val="auto"/>
          <w:lang w:val="en-US"/>
        </w:rPr>
        <w:t>17)</w:t>
      </w:r>
    </w:p>
    <w:p w14:paraId="55AB418A" w14:textId="13D281CE" w:rsidR="00366087" w:rsidRPr="001005B7" w:rsidRDefault="00366087" w:rsidP="006F5BB0">
      <w:pPr>
        <w:pStyle w:val="ListParagraph"/>
        <w:numPr>
          <w:ilvl w:val="0"/>
          <w:numId w:val="6"/>
        </w:numPr>
        <w:rPr>
          <w:color w:val="auto"/>
          <w:lang w:val="en-US"/>
        </w:rPr>
      </w:pPr>
      <w:r w:rsidRPr="001005B7">
        <w:rPr>
          <w:color w:val="auto"/>
          <w:lang w:val="en-US"/>
        </w:rPr>
        <w:t>The slaughter as the siege comes to its end, and afterwards (5:1</w:t>
      </w:r>
      <w:r w:rsidR="00F46900" w:rsidRPr="001005B7">
        <w:rPr>
          <w:color w:val="auto"/>
          <w:lang w:val="en-US"/>
        </w:rPr>
        <w:t>–</w:t>
      </w:r>
      <w:r w:rsidRPr="001005B7">
        <w:rPr>
          <w:color w:val="auto"/>
          <w:lang w:val="en-US"/>
        </w:rPr>
        <w:t>4)</w:t>
      </w:r>
    </w:p>
    <w:p w14:paraId="1B5F7730" w14:textId="77777777" w:rsidR="00E14C82" w:rsidRPr="001005B7" w:rsidRDefault="00E14C82" w:rsidP="00993E14"/>
    <w:p w14:paraId="417F13DA" w14:textId="637B3196" w:rsidR="001F0737" w:rsidRPr="001005B7" w:rsidRDefault="00D80C31" w:rsidP="00E24C2D">
      <w:r w:rsidRPr="001005B7">
        <w:t xml:space="preserve">A </w:t>
      </w:r>
      <w:r w:rsidR="00A910E7" w:rsidRPr="001005B7">
        <w:t xml:space="preserve">symbolic act or </w:t>
      </w:r>
      <w:r w:rsidRPr="001005B7">
        <w:t xml:space="preserve">sign </w:t>
      </w:r>
      <w:r w:rsidR="00D926C7" w:rsidRPr="001005B7">
        <w:t xml:space="preserve">act </w:t>
      </w:r>
      <w:r w:rsidRPr="001005B7">
        <w:t xml:space="preserve">is a dramatic action that symbolizes and represents </w:t>
      </w:r>
      <w:r w:rsidR="00336AB7" w:rsidRPr="001005B7">
        <w:t>an</w:t>
      </w:r>
      <w:r w:rsidRPr="001005B7">
        <w:t>other action or event</w:t>
      </w:r>
      <w:r w:rsidR="00E26D37" w:rsidRPr="001005B7">
        <w:t>,</w:t>
      </w:r>
      <w:r w:rsidRPr="001005B7">
        <w:t xml:space="preserve"> </w:t>
      </w:r>
      <w:r w:rsidR="00E26D37" w:rsidRPr="001005B7">
        <w:t>which</w:t>
      </w:r>
      <w:r w:rsidRPr="001005B7">
        <w:t xml:space="preserve"> is the one that really matters. Putting a ring on someone’s finger when one gets married is an example. It represents and puts into effect a marital commitment. Sticking pins in a model of an enemy in the hope that harm to them will follow may represent the assumption that there can be invisible and untraceable “natural” links between such events, or it may implicitly or explicitly presuppose the involvement of supernatural forces, or of </w:t>
      </w:r>
      <w:r w:rsidR="00C14E35" w:rsidRPr="001005B7">
        <w:t>some human being</w:t>
      </w:r>
      <w:r w:rsidR="0071598B" w:rsidRPr="001005B7">
        <w:t>’s having</w:t>
      </w:r>
      <w:r w:rsidR="00C14E35" w:rsidRPr="001005B7">
        <w:t xml:space="preserve"> </w:t>
      </w:r>
      <w:r w:rsidRPr="001005B7">
        <w:t>extraordinary, “magical” powers. In the Scriptures, reference to sign acts presuppose</w:t>
      </w:r>
      <w:r w:rsidR="006F4D66" w:rsidRPr="001005B7">
        <w:t>s</w:t>
      </w:r>
      <w:r w:rsidRPr="001005B7">
        <w:t xml:space="preserve"> the involvement of God in the link between sign and event. Anointing, expiatory sacrifices, circumcision</w:t>
      </w:r>
      <w:r w:rsidR="0071598B" w:rsidRPr="001005B7">
        <w:t>,</w:t>
      </w:r>
      <w:r w:rsidRPr="001005B7">
        <w:t xml:space="preserve"> and baptism are examples of sign acts</w:t>
      </w:r>
      <w:r w:rsidR="007C26DD" w:rsidRPr="001005B7">
        <w:t>. In</w:t>
      </w:r>
      <w:r w:rsidRPr="001005B7">
        <w:t xml:space="preserve"> Christian faith, sacraments are sign acts. </w:t>
      </w:r>
      <w:r w:rsidR="00E24C2D" w:rsidRPr="001005B7">
        <w:t>Sign acts</w:t>
      </w:r>
      <w:r w:rsidR="001F0737" w:rsidRPr="001005B7">
        <w:t xml:space="preserve"> may not picture what they represent in any obvious way. There is no evident link between the acts involved in anointing, circumcision, expiatory sacrifice, and what they represent. Nor is this the case even with baptism in the muddy Jordan, as Naaman implicitly points out (2 Kgs 5:12), though one can make links between baptism and cleansing or death/resurrection, as Christians do. </w:t>
      </w:r>
    </w:p>
    <w:p w14:paraId="16147BC8" w14:textId="3A131CCA" w:rsidR="00D80C31" w:rsidRPr="001005B7" w:rsidRDefault="00D80C31" w:rsidP="00993E14">
      <w:r w:rsidRPr="001005B7">
        <w:t>Commanded by God, sign acts or symbolic acts or dramas may have a number of significances.</w:t>
      </w:r>
    </w:p>
    <w:p w14:paraId="2ADD5F2E" w14:textId="77777777" w:rsidR="00D80C31" w:rsidRPr="001005B7" w:rsidRDefault="00D80C31" w:rsidP="00D80C31">
      <w:pPr>
        <w:rPr>
          <w:lang w:eastAsia="en-GB"/>
        </w:rPr>
      </w:pPr>
    </w:p>
    <w:p w14:paraId="0999320B" w14:textId="053D4F4F" w:rsidR="00D80C31" w:rsidRPr="001005B7" w:rsidRDefault="00D80C31" w:rsidP="00D80C31">
      <w:pPr>
        <w:pStyle w:val="Bullet"/>
      </w:pPr>
      <w:r w:rsidRPr="001005B7">
        <w:t xml:space="preserve">They can be God’s means of implementing what they represent. </w:t>
      </w:r>
      <w:r w:rsidR="0037578A" w:rsidRPr="001005B7">
        <w:t>A</w:t>
      </w:r>
      <w:r w:rsidRPr="001005B7">
        <w:t>nointing is part of what makes someone a priest or king.</w:t>
      </w:r>
    </w:p>
    <w:p w14:paraId="39E3D162" w14:textId="30404968" w:rsidR="00D80C31" w:rsidRPr="001005B7" w:rsidRDefault="00D80C31" w:rsidP="00D80C31">
      <w:pPr>
        <w:pStyle w:val="Bullet"/>
      </w:pPr>
      <w:r w:rsidRPr="001005B7">
        <w:t>In picturing what they symbolize, and if necessary being accompanied by an account of their significance, sign acts bring some reality home to people.</w:t>
      </w:r>
      <w:r w:rsidR="00E8309C" w:rsidRPr="001005B7">
        <w:rPr>
          <w:rStyle w:val="FootnoteReference"/>
        </w:rPr>
        <w:footnoteReference w:id="157"/>
      </w:r>
    </w:p>
    <w:p w14:paraId="73E4686E" w14:textId="77777777" w:rsidR="00D80C31" w:rsidRPr="001005B7" w:rsidRDefault="00D80C31" w:rsidP="00D80C31">
      <w:pPr>
        <w:pStyle w:val="Bullet"/>
      </w:pPr>
      <w:r w:rsidRPr="001005B7">
        <w:t>In bringing home that reality, they may change the attitude of people who witness them.</w:t>
      </w:r>
    </w:p>
    <w:p w14:paraId="1C872DE9" w14:textId="77777777" w:rsidR="00D80C31" w:rsidRPr="001005B7" w:rsidRDefault="00D80C31" w:rsidP="00D80C31">
      <w:pPr>
        <w:pStyle w:val="Bullet"/>
      </w:pPr>
      <w:r w:rsidRPr="001005B7">
        <w:t>They may have these effects (bringing home an event and changing attitudes) for people who do not witness them but only hear or read about them through the report of them appealing to people’s imagination, as is the case with Jesus’ parables</w:t>
      </w:r>
    </w:p>
    <w:p w14:paraId="08F9177E" w14:textId="77777777" w:rsidR="00D80C31" w:rsidRPr="001005B7" w:rsidRDefault="00D80C31" w:rsidP="00D80C31">
      <w:pPr>
        <w:pStyle w:val="Bullet"/>
      </w:pPr>
      <w:r w:rsidRPr="001005B7">
        <w:t>Paradoxically, they may thereby parallel the verbal prophetic message with which they link, in aiming to be self-frustrating. Witnessing them or hearing of them makes people take action that ensures they do not happen.</w:t>
      </w:r>
    </w:p>
    <w:p w14:paraId="4CC49B1A" w14:textId="0A616861" w:rsidR="00947726" w:rsidRPr="001005B7" w:rsidRDefault="00947726" w:rsidP="00947726">
      <w:pPr>
        <w:pStyle w:val="Bullet"/>
      </w:pPr>
      <w:r w:rsidRPr="001005B7">
        <w:t>Also</w:t>
      </w:r>
      <w:r w:rsidR="00D80C31" w:rsidRPr="001005B7">
        <w:t xml:space="preserve"> </w:t>
      </w:r>
      <w:r w:rsidRPr="001005B7">
        <w:t>paradoxically, they may continue to be effective retrospectively</w:t>
      </w:r>
      <w:r w:rsidR="005E00FE" w:rsidRPr="001005B7">
        <w:t xml:space="preserve"> in bringing an event home</w:t>
      </w:r>
      <w:r w:rsidR="00527C76" w:rsidRPr="001005B7">
        <w:t xml:space="preserve">. </w:t>
      </w:r>
      <w:r w:rsidRPr="001005B7">
        <w:t>Passover and Eucharist</w:t>
      </w:r>
      <w:r w:rsidR="00527C76" w:rsidRPr="001005B7">
        <w:t xml:space="preserve"> are</w:t>
      </w:r>
      <w:r w:rsidRPr="001005B7">
        <w:t xml:space="preserve"> sign acts that relate to long-ago events.</w:t>
      </w:r>
    </w:p>
    <w:p w14:paraId="5706FA10" w14:textId="2D7F08BE" w:rsidR="00D80C31" w:rsidRPr="001005B7" w:rsidRDefault="00D80C31" w:rsidP="006F5BB0">
      <w:pPr>
        <w:pStyle w:val="ListParagraph"/>
        <w:rPr>
          <w:color w:val="auto"/>
          <w:lang w:val="en-US"/>
        </w:rPr>
      </w:pPr>
    </w:p>
    <w:p w14:paraId="41B427FB" w14:textId="507896E0" w:rsidR="00D80C31" w:rsidRPr="001005B7" w:rsidRDefault="00373641" w:rsidP="00391440">
      <w:pPr>
        <w:jc w:val="right"/>
        <w:rPr>
          <w:lang w:eastAsia="en-GB"/>
        </w:rPr>
      </w:pPr>
      <w:r w:rsidRPr="001005B7">
        <w:rPr>
          <w:lang w:eastAsia="en-GB"/>
        </w:rPr>
        <w:t>T</w:t>
      </w:r>
      <w:r w:rsidR="00D80C31" w:rsidRPr="001005B7">
        <w:rPr>
          <w:lang w:eastAsia="en-GB"/>
        </w:rPr>
        <w:t xml:space="preserve">he </w:t>
      </w:r>
      <w:r w:rsidR="00527C76" w:rsidRPr="001005B7">
        <w:rPr>
          <w:lang w:eastAsia="en-GB"/>
        </w:rPr>
        <w:t xml:space="preserve">further </w:t>
      </w:r>
      <w:r w:rsidR="00D80C31" w:rsidRPr="001005B7">
        <w:rPr>
          <w:lang w:eastAsia="en-GB"/>
        </w:rPr>
        <w:t xml:space="preserve">paradox about </w:t>
      </w:r>
      <w:r w:rsidR="00BC34CA" w:rsidRPr="001005B7">
        <w:rPr>
          <w:lang w:eastAsia="en-GB"/>
        </w:rPr>
        <w:t>the</w:t>
      </w:r>
      <w:r w:rsidRPr="001005B7">
        <w:rPr>
          <w:lang w:eastAsia="en-GB"/>
        </w:rPr>
        <w:t xml:space="preserve"> sign acts in </w:t>
      </w:r>
      <w:r w:rsidR="004D227B" w:rsidRPr="001005B7">
        <w:rPr>
          <w:lang w:eastAsia="en-GB"/>
        </w:rPr>
        <w:t>Ezek 4:1</w:t>
      </w:r>
      <w:r w:rsidR="00F46900" w:rsidRPr="001005B7">
        <w:rPr>
          <w:lang w:eastAsia="en-GB"/>
        </w:rPr>
        <w:t>–</w:t>
      </w:r>
      <w:r w:rsidR="004D227B" w:rsidRPr="001005B7">
        <w:rPr>
          <w:lang w:eastAsia="en-GB"/>
        </w:rPr>
        <w:t xml:space="preserve">5:4 and about </w:t>
      </w:r>
      <w:r w:rsidR="00D80C31" w:rsidRPr="001005B7">
        <w:rPr>
          <w:lang w:eastAsia="en-GB"/>
        </w:rPr>
        <w:t>m</w:t>
      </w:r>
      <w:r w:rsidR="004D227B" w:rsidRPr="001005B7">
        <w:rPr>
          <w:lang w:eastAsia="en-GB"/>
        </w:rPr>
        <w:t>any</w:t>
      </w:r>
      <w:r w:rsidR="00D80C31" w:rsidRPr="001005B7">
        <w:rPr>
          <w:lang w:eastAsia="en-GB"/>
        </w:rPr>
        <w:t xml:space="preserve"> of </w:t>
      </w:r>
      <w:r w:rsidR="004D227B" w:rsidRPr="001005B7">
        <w:rPr>
          <w:lang w:eastAsia="en-GB"/>
        </w:rPr>
        <w:t>Ezekiel’s subsequent</w:t>
      </w:r>
      <w:r w:rsidR="00391440">
        <w:rPr>
          <w:lang w:eastAsia="en-GB"/>
        </w:rPr>
        <w:t xml:space="preserve"> </w:t>
      </w:r>
      <w:r w:rsidR="00D80C31" w:rsidRPr="001005B7">
        <w:rPr>
          <w:lang w:eastAsia="en-GB"/>
        </w:rPr>
        <w:t xml:space="preserve">sign acts is that they relate to the coming fall of Jerusalem but they are to be performed in </w:t>
      </w:r>
      <w:proofErr w:type="spellStart"/>
      <w:r w:rsidR="00D80C31" w:rsidRPr="001005B7">
        <w:rPr>
          <w:lang w:eastAsia="en-GB"/>
        </w:rPr>
        <w:t>Kebar</w:t>
      </w:r>
      <w:proofErr w:type="spellEnd"/>
      <w:r w:rsidR="00D80C31" w:rsidRPr="001005B7">
        <w:rPr>
          <w:lang w:eastAsia="en-GB"/>
        </w:rPr>
        <w:t xml:space="preserve">. Are they still Yahweh’s means of implementing what they represent? </w:t>
      </w:r>
      <w:r w:rsidR="006700B1" w:rsidRPr="001005B7">
        <w:rPr>
          <w:lang w:eastAsia="en-GB"/>
        </w:rPr>
        <w:t xml:space="preserve">In 593 they would bring home that reality to the </w:t>
      </w:r>
      <w:proofErr w:type="spellStart"/>
      <w:r w:rsidR="006700B1" w:rsidRPr="001005B7">
        <w:rPr>
          <w:lang w:eastAsia="en-GB"/>
        </w:rPr>
        <w:t>Kebarites</w:t>
      </w:r>
      <w:proofErr w:type="spellEnd"/>
      <w:r w:rsidR="006700B1" w:rsidRPr="001005B7">
        <w:rPr>
          <w:lang w:eastAsia="en-GB"/>
        </w:rPr>
        <w:t xml:space="preserve"> and they might change people’s attitude in </w:t>
      </w:r>
      <w:proofErr w:type="spellStart"/>
      <w:r w:rsidR="006700B1" w:rsidRPr="001005B7">
        <w:rPr>
          <w:lang w:eastAsia="en-GB"/>
        </w:rPr>
        <w:t>Kebar</w:t>
      </w:r>
      <w:proofErr w:type="spellEnd"/>
      <w:r w:rsidR="006700B1" w:rsidRPr="001005B7">
        <w:rPr>
          <w:lang w:eastAsia="en-GB"/>
        </w:rPr>
        <w:t xml:space="preserve">. </w:t>
      </w:r>
      <w:r w:rsidR="00D80C31" w:rsidRPr="001005B7">
        <w:rPr>
          <w:lang w:eastAsia="en-GB"/>
        </w:rPr>
        <w:t xml:space="preserve">After 587, they </w:t>
      </w:r>
      <w:r w:rsidR="00FE0988" w:rsidRPr="001005B7">
        <w:rPr>
          <w:lang w:eastAsia="en-GB"/>
        </w:rPr>
        <w:t xml:space="preserve">could </w:t>
      </w:r>
      <w:r w:rsidR="00D80C31" w:rsidRPr="001005B7">
        <w:rPr>
          <w:lang w:eastAsia="en-GB"/>
        </w:rPr>
        <w:t>still function retrospectively in bringing home the reality of Yahweh’s involvement in what happened</w:t>
      </w:r>
      <w:r w:rsidR="00FE0988" w:rsidRPr="001005B7">
        <w:rPr>
          <w:lang w:eastAsia="en-GB"/>
        </w:rPr>
        <w:t>.</w:t>
      </w:r>
    </w:p>
    <w:p w14:paraId="4582FC76" w14:textId="660E0DAC" w:rsidR="007020BE" w:rsidRPr="001005B7" w:rsidRDefault="007020BE" w:rsidP="007020BE">
      <w:r w:rsidRPr="001005B7">
        <w:t>After 4:1</w:t>
      </w:r>
      <w:r w:rsidR="00F46900" w:rsidRPr="001005B7">
        <w:t>–</w:t>
      </w:r>
      <w:r w:rsidRPr="001005B7">
        <w:t xml:space="preserve">3, the simpler preface </w:t>
      </w:r>
      <w:r w:rsidRPr="001005B7">
        <w:rPr>
          <w:rFonts w:cstheme="minorHAnsi"/>
          <w:rtl/>
          <w:lang w:bidi="he-IL"/>
        </w:rPr>
        <w:t>וְאַתׇּה</w:t>
      </w:r>
      <w:r w:rsidRPr="001005B7">
        <w:t>, “and</w:t>
      </w:r>
      <w:r w:rsidRPr="001005B7">
        <w:rPr>
          <w:i/>
          <w:iCs/>
        </w:rPr>
        <w:t xml:space="preserve"> </w:t>
      </w:r>
      <w:r w:rsidRPr="001005B7">
        <w:t>now,” introduces 4:4</w:t>
      </w:r>
      <w:r w:rsidR="00F46900" w:rsidRPr="001005B7">
        <w:t>–</w:t>
      </w:r>
      <w:r w:rsidRPr="001005B7">
        <w:t>8 and 4:9</w:t>
      </w:r>
      <w:r w:rsidR="00F46900" w:rsidRPr="001005B7">
        <w:t>–</w:t>
      </w:r>
      <w:r w:rsidRPr="001005B7">
        <w:t>17. Then another “and</w:t>
      </w:r>
      <w:r w:rsidRPr="001005B7">
        <w:rPr>
          <w:i/>
          <w:iCs/>
        </w:rPr>
        <w:t xml:space="preserve"> </w:t>
      </w:r>
      <w:r w:rsidRPr="001005B7">
        <w:t>you</w:t>
      </w:r>
      <w:r w:rsidRPr="001005B7">
        <w:rPr>
          <w:i/>
          <w:iCs/>
        </w:rPr>
        <w:t xml:space="preserve">, </w:t>
      </w:r>
      <w:r w:rsidR="00D3329B" w:rsidRPr="001005B7">
        <w:t>my man</w:t>
      </w:r>
      <w:r w:rsidRPr="001005B7">
        <w:t>” introduces 5:1</w:t>
      </w:r>
      <w:r w:rsidR="00F46900" w:rsidRPr="001005B7">
        <w:t>–</w:t>
      </w:r>
      <w:r w:rsidRPr="001005B7">
        <w:t>4 and another sign act. I thus treat 5:1</w:t>
      </w:r>
      <w:r w:rsidR="00F46900" w:rsidRPr="001005B7">
        <w:t>–</w:t>
      </w:r>
      <w:r w:rsidRPr="001005B7">
        <w:t>4 with 4:1</w:t>
      </w:r>
      <w:r w:rsidR="00F46900" w:rsidRPr="001005B7">
        <w:t>–</w:t>
      </w:r>
      <w:r w:rsidRPr="001005B7">
        <w:t>17. After 5:1</w:t>
      </w:r>
      <w:r w:rsidR="00F46900" w:rsidRPr="001005B7">
        <w:t>–</w:t>
      </w:r>
      <w:r w:rsidRPr="001005B7">
        <w:t>4, the preface “the Lord Yahweh has said this”</w:t>
      </w:r>
      <w:r w:rsidRPr="001005B7">
        <w:rPr>
          <w:i/>
          <w:iCs/>
        </w:rPr>
        <w:t xml:space="preserve"> </w:t>
      </w:r>
      <w:r w:rsidRPr="001005B7">
        <w:t>(5:5) marks a new turn, as it introduces a message for the people explaining the rationale for the sign acts. The section thus unfolds:</w:t>
      </w:r>
    </w:p>
    <w:p w14:paraId="4D1C0B31" w14:textId="77777777" w:rsidR="007020BE" w:rsidRPr="001005B7" w:rsidRDefault="007020BE" w:rsidP="007020BE"/>
    <w:p w14:paraId="47E625DA" w14:textId="19297106" w:rsidR="007020BE" w:rsidRPr="001005B7" w:rsidRDefault="007020BE" w:rsidP="007020BE">
      <w:r w:rsidRPr="001005B7">
        <w:t>Get yourself a tile and model a siege (4:1</w:t>
      </w:r>
      <w:r w:rsidR="00F46900" w:rsidRPr="001005B7">
        <w:t>–</w:t>
      </w:r>
      <w:r w:rsidRPr="001005B7">
        <w:t>2)</w:t>
      </w:r>
    </w:p>
    <w:p w14:paraId="6346E7DF" w14:textId="77777777" w:rsidR="007020BE" w:rsidRPr="001005B7" w:rsidRDefault="007020BE" w:rsidP="007020BE">
      <w:r w:rsidRPr="001005B7">
        <w:t>Get yourself a griddle and model a barrier (4:3)</w:t>
      </w:r>
    </w:p>
    <w:p w14:paraId="323A4163" w14:textId="1CAC4DBD" w:rsidR="007020BE" w:rsidRPr="001005B7" w:rsidRDefault="007020BE" w:rsidP="007020BE">
      <w:r w:rsidRPr="001005B7">
        <w:t>Lie down and model the carrying of waywardness (4:4</w:t>
      </w:r>
      <w:r w:rsidR="00F46900" w:rsidRPr="001005B7">
        <w:t>–</w:t>
      </w:r>
      <w:r w:rsidRPr="001005B7">
        <w:t>8)</w:t>
      </w:r>
    </w:p>
    <w:p w14:paraId="7FEB319A" w14:textId="3FDE3B42" w:rsidR="007020BE" w:rsidRPr="001005B7" w:rsidRDefault="007020BE" w:rsidP="007020BE">
      <w:r w:rsidRPr="001005B7">
        <w:t>Get supplies and make bread (4:9</w:t>
      </w:r>
      <w:r w:rsidR="00F46900" w:rsidRPr="001005B7">
        <w:t>–</w:t>
      </w:r>
      <w:r w:rsidRPr="001005B7">
        <w:t>17)</w:t>
      </w:r>
    </w:p>
    <w:p w14:paraId="7CDADB73" w14:textId="10A4874A" w:rsidR="007020BE" w:rsidRPr="001005B7" w:rsidRDefault="007020BE" w:rsidP="007020BE">
      <w:r w:rsidRPr="001005B7">
        <w:t>Get yourself a sword, cut your hair and beard, and dispose of the cuttings (5:1</w:t>
      </w:r>
      <w:r w:rsidR="00F46900" w:rsidRPr="001005B7">
        <w:t>–</w:t>
      </w:r>
      <w:r w:rsidRPr="001005B7">
        <w:t>4)</w:t>
      </w:r>
    </w:p>
    <w:p w14:paraId="4F843E89" w14:textId="77777777" w:rsidR="007020BE" w:rsidRPr="001005B7" w:rsidRDefault="007020BE" w:rsidP="00F219DC"/>
    <w:p w14:paraId="74C937FE" w14:textId="589A10E7" w:rsidR="003C2CCB" w:rsidRPr="001005B7" w:rsidRDefault="003C2CCB" w:rsidP="00F219DC">
      <w:r w:rsidRPr="001005B7">
        <w:t>The complex logic and dynamic of 3:25</w:t>
      </w:r>
      <w:r w:rsidR="00F46900" w:rsidRPr="001005B7">
        <w:t>–</w:t>
      </w:r>
      <w:r w:rsidRPr="001005B7">
        <w:t>27 continue in 4:1</w:t>
      </w:r>
      <w:r w:rsidR="00F46900" w:rsidRPr="001005B7">
        <w:t>–</w:t>
      </w:r>
      <w:r w:rsidRPr="001005B7">
        <w:t>5:4:</w:t>
      </w:r>
    </w:p>
    <w:p w14:paraId="66760135" w14:textId="77777777" w:rsidR="003C2CCB" w:rsidRPr="001005B7" w:rsidRDefault="003C2CCB" w:rsidP="003C2CCB"/>
    <w:p w14:paraId="58194ADC" w14:textId="77777777" w:rsidR="003C2CCB" w:rsidRPr="001005B7" w:rsidRDefault="003C2CCB" w:rsidP="006F5BB0">
      <w:pPr>
        <w:pStyle w:val="ListParagraph"/>
        <w:numPr>
          <w:ilvl w:val="0"/>
          <w:numId w:val="5"/>
        </w:numPr>
        <w:rPr>
          <w:color w:val="auto"/>
          <w:lang w:val="en-US"/>
        </w:rPr>
      </w:pPr>
      <w:r w:rsidRPr="001005B7">
        <w:rPr>
          <w:color w:val="auto"/>
          <w:lang w:val="en-US"/>
        </w:rPr>
        <w:t>Ezekiel is to perform sign acts of a kind that play a role in implementing Yahweh’s intention to bring calamity on Jerusalem. He performs the “theatre of the doomed” (Wright, 64), the “prophetic theater of the absurd” (Blenkinsopp, 45). “Pantomime” (Lind, e.g., 51) might not be such a wise term.</w:t>
      </w:r>
    </w:p>
    <w:p w14:paraId="5D59B662" w14:textId="18AE08F0" w:rsidR="003C2CCB" w:rsidRPr="001005B7" w:rsidRDefault="00170492" w:rsidP="006F5BB0">
      <w:pPr>
        <w:pStyle w:val="ListParagraph"/>
        <w:numPr>
          <w:ilvl w:val="0"/>
          <w:numId w:val="5"/>
        </w:numPr>
        <w:rPr>
          <w:color w:val="auto"/>
          <w:lang w:val="en-US"/>
        </w:rPr>
      </w:pPr>
      <w:r w:rsidRPr="001005B7">
        <w:rPr>
          <w:color w:val="auto"/>
          <w:lang w:val="en-US"/>
        </w:rPr>
        <w:t>T</w:t>
      </w:r>
      <w:r w:rsidR="003C2CCB" w:rsidRPr="001005B7">
        <w:rPr>
          <w:color w:val="auto"/>
          <w:lang w:val="en-US"/>
        </w:rPr>
        <w:t xml:space="preserve">he acts themselves would need no audience. But the report of a sign and its enactment could implicitly be designed to forestall its implementing if people turn back to Yahweh. </w:t>
      </w:r>
      <w:r w:rsidR="00B824DB" w:rsidRPr="001005B7">
        <w:rPr>
          <w:color w:val="auto"/>
          <w:lang w:val="en-US"/>
        </w:rPr>
        <w:t>T</w:t>
      </w:r>
      <w:r w:rsidR="003C2CCB" w:rsidRPr="001005B7">
        <w:rPr>
          <w:color w:val="auto"/>
          <w:lang w:val="en-US"/>
        </w:rPr>
        <w:t xml:space="preserve">o this end a sign would have to be seen, and it will not be seen by people in Jerusalem, whose turning would make possible the averting. </w:t>
      </w:r>
    </w:p>
    <w:p w14:paraId="55B6ACFC" w14:textId="2EB65E0B" w:rsidR="003C2CCB" w:rsidRPr="001005B7" w:rsidRDefault="003C2CCB" w:rsidP="006F5BB0">
      <w:pPr>
        <w:pStyle w:val="ListParagraph"/>
        <w:numPr>
          <w:ilvl w:val="0"/>
          <w:numId w:val="5"/>
        </w:numPr>
        <w:rPr>
          <w:color w:val="auto"/>
          <w:lang w:val="en-US"/>
        </w:rPr>
      </w:pPr>
      <w:r w:rsidRPr="001005B7">
        <w:rPr>
          <w:color w:val="auto"/>
          <w:lang w:val="en-US"/>
        </w:rPr>
        <w:t>A sign act performed or simply described in Babylon</w:t>
      </w:r>
      <w:r w:rsidR="00FC657C" w:rsidRPr="001005B7">
        <w:rPr>
          <w:color w:val="auto"/>
          <w:lang w:val="en-US"/>
        </w:rPr>
        <w:t>ia</w:t>
      </w:r>
      <w:r w:rsidRPr="001005B7">
        <w:rPr>
          <w:color w:val="auto"/>
          <w:lang w:val="en-US"/>
        </w:rPr>
        <w:t xml:space="preserve"> would rather be designed to communicate with a Judahite audience there</w:t>
      </w:r>
      <w:r w:rsidR="005954A3" w:rsidRPr="001005B7">
        <w:rPr>
          <w:color w:val="auto"/>
          <w:lang w:val="en-US"/>
        </w:rPr>
        <w:t>,</w:t>
      </w:r>
      <w:r w:rsidRPr="001005B7">
        <w:rPr>
          <w:color w:val="auto"/>
          <w:lang w:val="en-US"/>
        </w:rPr>
        <w:t xml:space="preserve"> to show them that the calamity to Jerusalem is going to happen and discourage them</w:t>
      </w:r>
      <w:r w:rsidR="00E01FA4">
        <w:rPr>
          <w:color w:val="auto"/>
          <w:lang w:val="en-US"/>
        </w:rPr>
        <w:t xml:space="preserve"> if they are</w:t>
      </w:r>
      <w:r w:rsidRPr="001005B7">
        <w:rPr>
          <w:color w:val="auto"/>
          <w:lang w:val="en-US"/>
        </w:rPr>
        <w:t xml:space="preserve"> fooling themselves that Yahweh is done with bringing calamity to Jerusalem and that they can therefore think in terms of going home soon.</w:t>
      </w:r>
    </w:p>
    <w:p w14:paraId="5C172227" w14:textId="07921934" w:rsidR="003C2CCB" w:rsidRPr="001005B7" w:rsidRDefault="003C2CCB" w:rsidP="006F5BB0">
      <w:pPr>
        <w:pStyle w:val="ListParagraph"/>
        <w:numPr>
          <w:ilvl w:val="0"/>
          <w:numId w:val="5"/>
        </w:numPr>
        <w:rPr>
          <w:color w:val="auto"/>
          <w:lang w:val="en-US"/>
        </w:rPr>
      </w:pPr>
      <w:r w:rsidRPr="001005B7">
        <w:rPr>
          <w:color w:val="auto"/>
          <w:lang w:val="en-US"/>
        </w:rPr>
        <w:t>In addition, Ezekiel’s references to the waywardness of Israel’s household and Judah’s household i</w:t>
      </w:r>
      <w:r w:rsidR="00D3468B" w:rsidRPr="001005B7">
        <w:rPr>
          <w:color w:val="auto"/>
          <w:lang w:val="en-US"/>
        </w:rPr>
        <w:t>mply</w:t>
      </w:r>
      <w:r w:rsidRPr="001005B7">
        <w:rPr>
          <w:color w:val="auto"/>
          <w:lang w:val="en-US"/>
        </w:rPr>
        <w:t xml:space="preserve"> that he is not referring to the waywardness of Jerusalem alone, as if the Judahites in Babylon</w:t>
      </w:r>
      <w:r w:rsidR="00AC1E11" w:rsidRPr="001005B7">
        <w:rPr>
          <w:color w:val="auto"/>
          <w:lang w:val="en-US"/>
        </w:rPr>
        <w:t>ia</w:t>
      </w:r>
      <w:r w:rsidRPr="001005B7">
        <w:rPr>
          <w:color w:val="auto"/>
          <w:lang w:val="en-US"/>
        </w:rPr>
        <w:t xml:space="preserve"> could think of themselves</w:t>
      </w:r>
      <w:r w:rsidR="004E4966" w:rsidRPr="001005B7">
        <w:rPr>
          <w:color w:val="auto"/>
          <w:lang w:val="en-US"/>
        </w:rPr>
        <w:t xml:space="preserve"> </w:t>
      </w:r>
      <w:r w:rsidRPr="001005B7">
        <w:rPr>
          <w:color w:val="auto"/>
          <w:lang w:val="en-US"/>
        </w:rPr>
        <w:t>as the good figs as opposed to the bad Jerusalem figs</w:t>
      </w:r>
      <w:r w:rsidR="006D4C9E" w:rsidRPr="001005B7">
        <w:rPr>
          <w:color w:val="auto"/>
          <w:lang w:val="en-US"/>
        </w:rPr>
        <w:t xml:space="preserve"> (see Jer 24)</w:t>
      </w:r>
      <w:r w:rsidRPr="001005B7">
        <w:rPr>
          <w:color w:val="auto"/>
          <w:lang w:val="en-US"/>
        </w:rPr>
        <w:t>. There is no moral and spiritual difference between the Judahites in either location.</w:t>
      </w:r>
    </w:p>
    <w:p w14:paraId="7E860D81" w14:textId="42C0DD9C" w:rsidR="003C2CCB" w:rsidRPr="001005B7" w:rsidRDefault="00887FCA" w:rsidP="006F5BB0">
      <w:pPr>
        <w:pStyle w:val="ListParagraph"/>
        <w:numPr>
          <w:ilvl w:val="0"/>
          <w:numId w:val="5"/>
        </w:numPr>
        <w:rPr>
          <w:color w:val="auto"/>
          <w:lang w:val="en-US"/>
        </w:rPr>
      </w:pPr>
      <w:r w:rsidRPr="001005B7">
        <w:rPr>
          <w:color w:val="auto"/>
          <w:lang w:val="en-US"/>
        </w:rPr>
        <w:t>T</w:t>
      </w:r>
      <w:r w:rsidR="003C2CCB" w:rsidRPr="001005B7">
        <w:rPr>
          <w:color w:val="auto"/>
          <w:lang w:val="en-US"/>
        </w:rPr>
        <w:t>here</w:t>
      </w:r>
      <w:r w:rsidRPr="001005B7">
        <w:rPr>
          <w:color w:val="auto"/>
          <w:lang w:val="en-US"/>
        </w:rPr>
        <w:t xml:space="preserve"> is</w:t>
      </w:r>
      <w:r w:rsidR="003C2CCB" w:rsidRPr="001005B7">
        <w:rPr>
          <w:color w:val="auto"/>
          <w:lang w:val="en-US"/>
        </w:rPr>
        <w:t xml:space="preserve"> there</w:t>
      </w:r>
      <w:r w:rsidRPr="001005B7">
        <w:rPr>
          <w:color w:val="auto"/>
          <w:lang w:val="en-US"/>
        </w:rPr>
        <w:t>fore</w:t>
      </w:r>
      <w:r w:rsidR="003C2CCB" w:rsidRPr="001005B7">
        <w:rPr>
          <w:color w:val="auto"/>
          <w:lang w:val="en-US"/>
        </w:rPr>
        <w:t xml:space="preserve"> potentially no difference in their prospective fates. </w:t>
      </w:r>
      <w:r w:rsidR="00810FB3" w:rsidRPr="001005B7">
        <w:rPr>
          <w:color w:val="auto"/>
          <w:lang w:val="en-US"/>
        </w:rPr>
        <w:t>W</w:t>
      </w:r>
      <w:r w:rsidR="003C2CCB" w:rsidRPr="001005B7">
        <w:rPr>
          <w:color w:val="auto"/>
          <w:lang w:val="en-US"/>
        </w:rPr>
        <w:t xml:space="preserve">e had some hints that </w:t>
      </w:r>
      <w:r w:rsidR="00E45056" w:rsidRPr="001005B7">
        <w:rPr>
          <w:color w:val="auto"/>
          <w:lang w:val="en-US"/>
        </w:rPr>
        <w:t>Yahweh’s</w:t>
      </w:r>
      <w:r w:rsidR="003C2CCB" w:rsidRPr="001005B7">
        <w:rPr>
          <w:color w:val="auto"/>
          <w:lang w:val="en-US"/>
        </w:rPr>
        <w:t xml:space="preserve"> appearing </w:t>
      </w:r>
      <w:r w:rsidR="00E45056" w:rsidRPr="001005B7">
        <w:rPr>
          <w:color w:val="auto"/>
          <w:lang w:val="en-US"/>
        </w:rPr>
        <w:t xml:space="preserve">in the storm </w:t>
      </w:r>
      <w:r w:rsidR="003C2CCB" w:rsidRPr="001005B7">
        <w:rPr>
          <w:color w:val="auto"/>
          <w:lang w:val="en-US"/>
        </w:rPr>
        <w:t>w</w:t>
      </w:r>
      <w:r w:rsidR="00E45056" w:rsidRPr="001005B7">
        <w:rPr>
          <w:color w:val="auto"/>
          <w:lang w:val="en-US"/>
        </w:rPr>
        <w:t>as</w:t>
      </w:r>
      <w:r w:rsidR="003C2CCB" w:rsidRPr="001005B7">
        <w:rPr>
          <w:color w:val="auto"/>
          <w:lang w:val="en-US"/>
        </w:rPr>
        <w:t xml:space="preserve"> not good news for </w:t>
      </w:r>
      <w:r w:rsidR="00E45056" w:rsidRPr="001005B7">
        <w:rPr>
          <w:color w:val="auto"/>
          <w:lang w:val="en-US"/>
        </w:rPr>
        <w:t>Ezekiel’s</w:t>
      </w:r>
      <w:r w:rsidR="003C2CCB" w:rsidRPr="001005B7">
        <w:rPr>
          <w:color w:val="auto"/>
          <w:lang w:val="en-US"/>
        </w:rPr>
        <w:t xml:space="preserve"> community, and </w:t>
      </w:r>
      <w:r w:rsidR="001B6556" w:rsidRPr="001005B7">
        <w:rPr>
          <w:color w:val="auto"/>
          <w:lang w:val="en-US"/>
        </w:rPr>
        <w:t xml:space="preserve">here </w:t>
      </w:r>
      <w:r w:rsidR="0031178C" w:rsidRPr="001005B7">
        <w:rPr>
          <w:color w:val="auto"/>
          <w:lang w:val="en-US"/>
        </w:rPr>
        <w:t xml:space="preserve">Ezekiel </w:t>
      </w:r>
      <w:r w:rsidR="003C2CCB" w:rsidRPr="001005B7">
        <w:rPr>
          <w:color w:val="auto"/>
          <w:lang w:val="en-US"/>
        </w:rPr>
        <w:t>implicit</w:t>
      </w:r>
      <w:r w:rsidR="0031178C" w:rsidRPr="001005B7">
        <w:rPr>
          <w:color w:val="auto"/>
          <w:lang w:val="en-US"/>
        </w:rPr>
        <w:t>ly</w:t>
      </w:r>
      <w:r w:rsidR="008E1B1C" w:rsidRPr="001005B7">
        <w:rPr>
          <w:color w:val="auto"/>
          <w:lang w:val="en-US"/>
        </w:rPr>
        <w:t xml:space="preserve"> </w:t>
      </w:r>
      <w:r w:rsidR="003C2CCB" w:rsidRPr="001005B7">
        <w:rPr>
          <w:color w:val="auto"/>
          <w:lang w:val="en-US"/>
        </w:rPr>
        <w:t>spell</w:t>
      </w:r>
      <w:r w:rsidR="008E1B1C" w:rsidRPr="001005B7">
        <w:rPr>
          <w:color w:val="auto"/>
          <w:lang w:val="en-US"/>
        </w:rPr>
        <w:t>s</w:t>
      </w:r>
      <w:r w:rsidR="003C2CCB" w:rsidRPr="001005B7">
        <w:rPr>
          <w:color w:val="auto"/>
          <w:lang w:val="en-US"/>
        </w:rPr>
        <w:t xml:space="preserve"> out the </w:t>
      </w:r>
      <w:r w:rsidR="008E1B1C" w:rsidRPr="001005B7">
        <w:rPr>
          <w:color w:val="auto"/>
          <w:lang w:val="en-US"/>
        </w:rPr>
        <w:t>significance</w:t>
      </w:r>
      <w:r w:rsidR="003C2CCB" w:rsidRPr="001005B7">
        <w:rPr>
          <w:color w:val="auto"/>
          <w:lang w:val="en-US"/>
        </w:rPr>
        <w:t xml:space="preserve"> of the storm event. </w:t>
      </w:r>
    </w:p>
    <w:p w14:paraId="77C0F7CF" w14:textId="20308906" w:rsidR="003C2CCB" w:rsidRPr="001005B7" w:rsidRDefault="00021794" w:rsidP="006F5BB0">
      <w:pPr>
        <w:pStyle w:val="ListParagraph"/>
        <w:numPr>
          <w:ilvl w:val="0"/>
          <w:numId w:val="5"/>
        </w:numPr>
        <w:rPr>
          <w:color w:val="auto"/>
          <w:lang w:val="en-US"/>
        </w:rPr>
      </w:pPr>
      <w:r w:rsidRPr="001005B7">
        <w:rPr>
          <w:color w:val="auto"/>
          <w:lang w:val="en-US"/>
        </w:rPr>
        <w:t>Performing or describing t</w:t>
      </w:r>
      <w:r w:rsidR="003C2CCB" w:rsidRPr="001005B7">
        <w:rPr>
          <w:color w:val="auto"/>
          <w:lang w:val="en-US"/>
        </w:rPr>
        <w:t>he sign act is thus designed to provoke a reaction from the Judahite</w:t>
      </w:r>
      <w:r w:rsidR="009E499F" w:rsidRPr="001005B7">
        <w:rPr>
          <w:color w:val="auto"/>
          <w:lang w:val="en-US"/>
        </w:rPr>
        <w:t>s</w:t>
      </w:r>
      <w:r w:rsidR="003C2CCB" w:rsidRPr="001005B7">
        <w:rPr>
          <w:color w:val="auto"/>
          <w:lang w:val="en-US"/>
        </w:rPr>
        <w:t xml:space="preserve"> in </w:t>
      </w:r>
      <w:proofErr w:type="spellStart"/>
      <w:r w:rsidR="003C7087" w:rsidRPr="001005B7">
        <w:rPr>
          <w:color w:val="auto"/>
          <w:lang w:val="en-US"/>
        </w:rPr>
        <w:t>Kebar</w:t>
      </w:r>
      <w:proofErr w:type="spellEnd"/>
      <w:r w:rsidR="003C2CCB" w:rsidRPr="001005B7">
        <w:rPr>
          <w:color w:val="auto"/>
          <w:lang w:val="en-US"/>
        </w:rPr>
        <w:t>, one that disproves Yahweh’s gloomy assessment of them as an incorrigibly rebellious house (3:26)</w:t>
      </w:r>
      <w:r w:rsidR="00EB3767" w:rsidRPr="001005B7">
        <w:rPr>
          <w:color w:val="auto"/>
          <w:lang w:val="en-US"/>
        </w:rPr>
        <w:t>,</w:t>
      </w:r>
      <w:r w:rsidR="003C2CCB" w:rsidRPr="001005B7">
        <w:rPr>
          <w:color w:val="auto"/>
          <w:lang w:val="en-US"/>
        </w:rPr>
        <w:t xml:space="preserve"> and/or </w:t>
      </w:r>
      <w:r w:rsidR="00EB3767" w:rsidRPr="001005B7">
        <w:rPr>
          <w:color w:val="auto"/>
          <w:lang w:val="en-US"/>
        </w:rPr>
        <w:t xml:space="preserve">to </w:t>
      </w:r>
      <w:r w:rsidR="003C2CCB" w:rsidRPr="001005B7">
        <w:rPr>
          <w:color w:val="auto"/>
          <w:lang w:val="en-US"/>
        </w:rPr>
        <w:t>provoke some of them to respond to Yahweh even if the community as a whole doesn</w:t>
      </w:r>
      <w:r w:rsidR="00EB3767" w:rsidRPr="001005B7">
        <w:rPr>
          <w:color w:val="auto"/>
          <w:lang w:val="en-US"/>
        </w:rPr>
        <w:t>’</w:t>
      </w:r>
      <w:r w:rsidR="003C2CCB" w:rsidRPr="001005B7">
        <w:rPr>
          <w:color w:val="auto"/>
          <w:lang w:val="en-US"/>
        </w:rPr>
        <w:t>t (3:27).</w:t>
      </w:r>
    </w:p>
    <w:p w14:paraId="40EFBA68" w14:textId="77777777" w:rsidR="003C2CCB" w:rsidRPr="001005B7" w:rsidRDefault="003C2CCB" w:rsidP="006F5BB0">
      <w:pPr>
        <w:pStyle w:val="ListParagraph"/>
        <w:numPr>
          <w:ilvl w:val="0"/>
          <w:numId w:val="5"/>
        </w:numPr>
        <w:rPr>
          <w:color w:val="auto"/>
          <w:lang w:val="en-US"/>
        </w:rPr>
      </w:pPr>
      <w:r w:rsidRPr="001005B7">
        <w:rPr>
          <w:color w:val="auto"/>
          <w:lang w:val="en-US"/>
        </w:rPr>
        <w:t xml:space="preserve">To achieve the aim in (1), Ezekiel would need actually to perform the drama, but to achieve the aims in (2) or (3), performing it would not be essential. Reporting the commission could be all that is needed. </w:t>
      </w:r>
    </w:p>
    <w:p w14:paraId="47CF0B83" w14:textId="67C49B48" w:rsidR="003C2CCB" w:rsidRPr="001005B7" w:rsidRDefault="003C2CCB" w:rsidP="006F5BB0">
      <w:pPr>
        <w:pStyle w:val="ListParagraph"/>
        <w:numPr>
          <w:ilvl w:val="0"/>
          <w:numId w:val="5"/>
        </w:numPr>
        <w:rPr>
          <w:color w:val="auto"/>
          <w:lang w:val="en-US"/>
        </w:rPr>
      </w:pPr>
      <w:r w:rsidRPr="001005B7">
        <w:rPr>
          <w:color w:val="auto"/>
          <w:lang w:val="en-US"/>
        </w:rPr>
        <w:t xml:space="preserve">While giving this report might have been the opening of mouth to which 3:27 refers, there is no “the Lord Yahweh has said this” here. It will come in 5:5, 7, 8. Yahweh commissions no words here, only the performance. If Ezekiel performed the acts, would people have to work out what they meant? Or </w:t>
      </w:r>
      <w:r w:rsidR="004F12A4" w:rsidRPr="001005B7">
        <w:rPr>
          <w:color w:val="auto"/>
          <w:lang w:val="en-US"/>
        </w:rPr>
        <w:t>would</w:t>
      </w:r>
      <w:r w:rsidRPr="001005B7">
        <w:rPr>
          <w:color w:val="auto"/>
          <w:lang w:val="en-US"/>
        </w:rPr>
        <w:t xml:space="preserve"> 5:5</w:t>
      </w:r>
      <w:r w:rsidR="00F46900" w:rsidRPr="001005B7">
        <w:rPr>
          <w:color w:val="auto"/>
          <w:lang w:val="en-US"/>
        </w:rPr>
        <w:t>–</w:t>
      </w:r>
      <w:r w:rsidRPr="001005B7">
        <w:rPr>
          <w:color w:val="auto"/>
          <w:lang w:val="en-US"/>
        </w:rPr>
        <w:t>17 reveal it</w:t>
      </w:r>
      <w:r w:rsidR="00986899" w:rsidRPr="001005B7">
        <w:rPr>
          <w:color w:val="auto"/>
          <w:lang w:val="en-US"/>
        </w:rPr>
        <w:t>?</w:t>
      </w:r>
      <w:r w:rsidRPr="001005B7">
        <w:rPr>
          <w:color w:val="auto"/>
          <w:lang w:val="en-US"/>
        </w:rPr>
        <w:t xml:space="preserve"> </w:t>
      </w:r>
    </w:p>
    <w:p w14:paraId="387ECF48" w14:textId="056E29F1" w:rsidR="003C2CCB" w:rsidRPr="001005B7" w:rsidRDefault="003C2CCB" w:rsidP="00682D36">
      <w:pPr>
        <w:pStyle w:val="ListParagraph"/>
        <w:numPr>
          <w:ilvl w:val="0"/>
          <w:numId w:val="5"/>
        </w:numPr>
        <w:rPr>
          <w:color w:val="auto"/>
          <w:lang w:val="en-US"/>
        </w:rPr>
      </w:pPr>
      <w:r w:rsidRPr="001005B7">
        <w:rPr>
          <w:color w:val="auto"/>
          <w:lang w:val="en-US"/>
        </w:rPr>
        <w:t xml:space="preserve">If Ezekiel performed the acts, we get no report of </w:t>
      </w:r>
      <w:r w:rsidR="000A4ED3" w:rsidRPr="001005B7">
        <w:rPr>
          <w:color w:val="auto"/>
          <w:lang w:val="en-US"/>
        </w:rPr>
        <w:t>it</w:t>
      </w:r>
      <w:r w:rsidR="00CD0B76" w:rsidRPr="001005B7">
        <w:rPr>
          <w:color w:val="auto"/>
          <w:lang w:val="en-US"/>
        </w:rPr>
        <w:t>,</w:t>
      </w:r>
      <w:r w:rsidR="008F4247" w:rsidRPr="001005B7">
        <w:rPr>
          <w:color w:val="auto"/>
          <w:lang w:val="en-US"/>
        </w:rPr>
        <w:t xml:space="preserve"> only </w:t>
      </w:r>
      <w:r w:rsidR="00CD0B76" w:rsidRPr="001005B7">
        <w:rPr>
          <w:color w:val="auto"/>
          <w:lang w:val="en-US"/>
        </w:rPr>
        <w:t>a</w:t>
      </w:r>
      <w:r w:rsidR="0070792E" w:rsidRPr="001005B7">
        <w:rPr>
          <w:color w:val="auto"/>
          <w:lang w:val="en-US"/>
        </w:rPr>
        <w:t xml:space="preserve"> report of the commission</w:t>
      </w:r>
      <w:r w:rsidR="00682D36" w:rsidRPr="001005B7">
        <w:rPr>
          <w:color w:val="auto"/>
          <w:lang w:val="en-US"/>
        </w:rPr>
        <w:t>.</w:t>
      </w:r>
      <w:r w:rsidR="0070792E" w:rsidRPr="001005B7">
        <w:rPr>
          <w:color w:val="auto"/>
          <w:lang w:val="en-US"/>
        </w:rPr>
        <w:t xml:space="preserve"> </w:t>
      </w:r>
      <w:r w:rsidR="00682D36" w:rsidRPr="001005B7">
        <w:rPr>
          <w:color w:val="auto"/>
          <w:lang w:val="en-US"/>
        </w:rPr>
        <w:t xml:space="preserve">It was </w:t>
      </w:r>
      <w:r w:rsidR="0070792E" w:rsidRPr="001005B7">
        <w:rPr>
          <w:color w:val="auto"/>
          <w:lang w:val="en-US"/>
        </w:rPr>
        <w:t>presumably put into writing</w:t>
      </w:r>
      <w:r w:rsidRPr="001005B7">
        <w:rPr>
          <w:color w:val="auto"/>
          <w:lang w:val="en-US"/>
        </w:rPr>
        <w:t xml:space="preserve"> for inclusion in a scroll covering events and words from Yahweh be</w:t>
      </w:r>
      <w:r w:rsidR="00B5543A" w:rsidRPr="001005B7">
        <w:rPr>
          <w:color w:val="auto"/>
          <w:lang w:val="en-US"/>
        </w:rPr>
        <w:t>ginning in</w:t>
      </w:r>
      <w:r w:rsidRPr="001005B7">
        <w:rPr>
          <w:color w:val="auto"/>
          <w:lang w:val="en-US"/>
        </w:rPr>
        <w:t xml:space="preserve"> 593 that would provide evidence </w:t>
      </w:r>
      <w:r w:rsidR="00B5543A" w:rsidRPr="001005B7">
        <w:rPr>
          <w:color w:val="auto"/>
          <w:lang w:val="en-US"/>
        </w:rPr>
        <w:t xml:space="preserve">in 587 </w:t>
      </w:r>
      <w:r w:rsidRPr="001005B7">
        <w:rPr>
          <w:color w:val="auto"/>
          <w:lang w:val="en-US"/>
        </w:rPr>
        <w:t xml:space="preserve">that </w:t>
      </w:r>
      <w:r w:rsidR="00582280" w:rsidRPr="001005B7">
        <w:rPr>
          <w:color w:val="auto"/>
          <w:lang w:val="en-US"/>
        </w:rPr>
        <w:t>Ezekiel</w:t>
      </w:r>
      <w:r w:rsidRPr="001005B7">
        <w:rPr>
          <w:color w:val="auto"/>
          <w:lang w:val="en-US"/>
        </w:rPr>
        <w:t xml:space="preserve"> had said what was going to happen and thus prove that he had spoken prophetically. It would also provide a basis for encouraging people to turn back to Yahweh after 587 and for believing the more hopeful message </w:t>
      </w:r>
      <w:r w:rsidR="00573926" w:rsidRPr="001005B7">
        <w:rPr>
          <w:color w:val="auto"/>
          <w:lang w:val="en-US"/>
        </w:rPr>
        <w:t>he</w:t>
      </w:r>
      <w:r w:rsidRPr="001005B7">
        <w:rPr>
          <w:color w:val="auto"/>
          <w:lang w:val="en-US"/>
        </w:rPr>
        <w:t xml:space="preserve"> brings after 587</w:t>
      </w:r>
      <w:r w:rsidR="00573926" w:rsidRPr="001005B7">
        <w:rPr>
          <w:color w:val="auto"/>
          <w:lang w:val="en-US"/>
        </w:rPr>
        <w:t>. O</w:t>
      </w:r>
      <w:r w:rsidRPr="001005B7">
        <w:rPr>
          <w:color w:val="auto"/>
          <w:lang w:val="en-US"/>
        </w:rPr>
        <w:t>r it might have been written down in that connection after 587.</w:t>
      </w:r>
    </w:p>
    <w:p w14:paraId="3BF85043" w14:textId="77777777" w:rsidR="003C2CCB" w:rsidRPr="001005B7" w:rsidRDefault="003C2CCB" w:rsidP="006F5BB0">
      <w:pPr>
        <w:pStyle w:val="ListParagraph"/>
        <w:rPr>
          <w:color w:val="auto"/>
          <w:lang w:val="en-US"/>
        </w:rPr>
      </w:pPr>
    </w:p>
    <w:p w14:paraId="402BE532" w14:textId="77777777" w:rsidR="003C2CCB" w:rsidRPr="001005B7" w:rsidRDefault="003C2CCB" w:rsidP="003C2CCB">
      <w:r w:rsidRPr="001005B7">
        <w:t>Voltaire comments:</w:t>
      </w:r>
    </w:p>
    <w:p w14:paraId="6F04743F" w14:textId="77777777" w:rsidR="003C2CCB" w:rsidRPr="001005B7" w:rsidRDefault="003C2CCB" w:rsidP="003C2CCB">
      <w:pPr>
        <w:pStyle w:val="Quote"/>
        <w:rPr>
          <w:color w:val="auto"/>
        </w:rPr>
      </w:pPr>
      <w:r w:rsidRPr="001005B7">
        <w:rPr>
          <w:color w:val="auto"/>
        </w:rPr>
        <w:t>Here, my brethren, is one of those lovely and striking prophecies: the great prophet Ezekiel saw the northern gale, and four animals, and wheels of chrysolite all full of eyes, and the Eternal said to him: “Arise, eat a book, and then go off.” The Eternal orders him to sleep for three hundred and ninety days on his left side, and then forty on the right side. The Eternal ties him up with ropes. Certainly this prophet was a man who should have been tied up—but we are not yet finished. Can I repeat without vomiting what God commands Ezekiel to do? I must do it. God commands him to eat barley bread cooked with shit. Is it credible that the filthiest scoundrel of our time could imagine such excremental rubbish? Yes, my brethren, the prophet eats his barley bread with his own excrement: he complains that this breakfast disgusts him a little and God, as a conciliatory gesture, permits him to mix his bread with cow dung instead. Here then is a prototype, a prefiguration of the church of Jesus Christ.</w:t>
      </w:r>
      <w:r w:rsidRPr="001005B7">
        <w:rPr>
          <w:rStyle w:val="FootnoteReference"/>
          <w:color w:val="auto"/>
        </w:rPr>
        <w:footnoteReference w:id="158"/>
      </w:r>
    </w:p>
    <w:p w14:paraId="01C77D02" w14:textId="729BBC67" w:rsidR="00462889" w:rsidRPr="001005B7" w:rsidRDefault="00EB5475" w:rsidP="00493833">
      <w:pPr>
        <w:pStyle w:val="Heading3"/>
      </w:pPr>
      <w:r w:rsidRPr="001005B7">
        <w:t>Translation</w:t>
      </w:r>
    </w:p>
    <w:p w14:paraId="4DFB37B1" w14:textId="54F6E29B" w:rsidR="005B0BF8" w:rsidRPr="001005B7" w:rsidRDefault="00EB5475" w:rsidP="00EB5475">
      <w:r w:rsidRPr="001005B7">
        <w:rPr>
          <w:vertAlign w:val="superscript"/>
        </w:rPr>
        <w:t>1</w:t>
      </w:r>
      <w:r w:rsidR="00B345A8" w:rsidRPr="001005B7">
        <w:t>And</w:t>
      </w:r>
      <w:r w:rsidR="00EC0E92" w:rsidRPr="001005B7">
        <w:t xml:space="preserve"> you, </w:t>
      </w:r>
      <w:r w:rsidR="00D3329B" w:rsidRPr="001005B7">
        <w:t>my man</w:t>
      </w:r>
      <w:r w:rsidR="00EC0E92" w:rsidRPr="001005B7">
        <w:t xml:space="preserve">, </w:t>
      </w:r>
      <w:r w:rsidR="00FA61D4" w:rsidRPr="001005B7">
        <w:t xml:space="preserve">get yourself a </w:t>
      </w:r>
      <w:r w:rsidR="005C0968" w:rsidRPr="001005B7">
        <w:t>tile</w:t>
      </w:r>
      <w:r w:rsidR="00FA61D4" w:rsidRPr="001005B7">
        <w:t xml:space="preserve">, put it in front of you, </w:t>
      </w:r>
      <w:r w:rsidR="00E77DFF" w:rsidRPr="001005B7">
        <w:t>and e</w:t>
      </w:r>
      <w:r w:rsidR="005471EF" w:rsidRPr="001005B7">
        <w:t xml:space="preserve">tch </w:t>
      </w:r>
      <w:r w:rsidR="00280076" w:rsidRPr="001005B7">
        <w:t>a city on it</w:t>
      </w:r>
      <w:r w:rsidR="00C00838" w:rsidRPr="001005B7">
        <w:t>—</w:t>
      </w:r>
      <w:r w:rsidR="00280076" w:rsidRPr="001005B7">
        <w:t xml:space="preserve">Jerusalem. </w:t>
      </w:r>
      <w:r w:rsidR="00280076" w:rsidRPr="001005B7">
        <w:rPr>
          <w:vertAlign w:val="superscript"/>
        </w:rPr>
        <w:t>2</w:t>
      </w:r>
      <w:r w:rsidR="00D04442" w:rsidRPr="001005B7">
        <w:t xml:space="preserve">Put a </w:t>
      </w:r>
      <w:r w:rsidR="002F04FD" w:rsidRPr="001005B7">
        <w:t>blockade</w:t>
      </w:r>
      <w:r w:rsidR="00D04442" w:rsidRPr="001005B7">
        <w:t xml:space="preserve"> </w:t>
      </w:r>
      <w:r w:rsidR="00CA1577" w:rsidRPr="001005B7">
        <w:t>against</w:t>
      </w:r>
      <w:r w:rsidR="00203007" w:rsidRPr="001005B7">
        <w:t xml:space="preserve"> it</w:t>
      </w:r>
      <w:r w:rsidR="00772D3F" w:rsidRPr="001005B7">
        <w:t>,</w:t>
      </w:r>
      <w:r w:rsidR="00203007" w:rsidRPr="001005B7">
        <w:t xml:space="preserve"> build </w:t>
      </w:r>
      <w:r w:rsidR="008E7BA3" w:rsidRPr="001005B7">
        <w:t xml:space="preserve">a </w:t>
      </w:r>
      <w:r w:rsidR="00DB557A" w:rsidRPr="001005B7">
        <w:t>siege</w:t>
      </w:r>
      <w:r w:rsidR="00C66AC8" w:rsidRPr="001005B7">
        <w:t xml:space="preserve"> tower</w:t>
      </w:r>
      <w:r w:rsidR="008E7BA3" w:rsidRPr="001005B7">
        <w:t xml:space="preserve"> </w:t>
      </w:r>
      <w:r w:rsidR="00CA1577" w:rsidRPr="001005B7">
        <w:t>against</w:t>
      </w:r>
      <w:r w:rsidR="00F154AD" w:rsidRPr="001005B7">
        <w:t xml:space="preserve"> it</w:t>
      </w:r>
      <w:r w:rsidR="00AF64FB" w:rsidRPr="001005B7">
        <w:t>,</w:t>
      </w:r>
      <w:r w:rsidR="00F154AD" w:rsidRPr="001005B7">
        <w:t xml:space="preserve"> throw up a </w:t>
      </w:r>
      <w:r w:rsidR="00B14959" w:rsidRPr="001005B7">
        <w:t>ramp against it</w:t>
      </w:r>
      <w:r w:rsidR="00AF64FB" w:rsidRPr="001005B7">
        <w:t>, put cam</w:t>
      </w:r>
      <w:r w:rsidR="00F329A4" w:rsidRPr="001005B7">
        <w:t>p</w:t>
      </w:r>
      <w:r w:rsidR="00DC7637" w:rsidRPr="001005B7">
        <w:t>s</w:t>
      </w:r>
      <w:r w:rsidR="00AF64FB" w:rsidRPr="001005B7">
        <w:t xml:space="preserve"> against it</w:t>
      </w:r>
      <w:r w:rsidR="00133344" w:rsidRPr="001005B7">
        <w:t xml:space="preserve">, and </w:t>
      </w:r>
      <w:r w:rsidR="004E21F3" w:rsidRPr="001005B7">
        <w:t>place</w:t>
      </w:r>
      <w:r w:rsidR="009A2D3E" w:rsidRPr="001005B7">
        <w:t xml:space="preserve"> battering rams against it around. </w:t>
      </w:r>
    </w:p>
    <w:p w14:paraId="744C0F47" w14:textId="5916FEE4" w:rsidR="00FC7808" w:rsidRPr="001005B7" w:rsidRDefault="00F329A4" w:rsidP="00EB5475">
      <w:pPr>
        <w:rPr>
          <w:vertAlign w:val="superscript"/>
        </w:rPr>
      </w:pPr>
      <w:r w:rsidRPr="001005B7">
        <w:rPr>
          <w:vertAlign w:val="superscript"/>
        </w:rPr>
        <w:t>3</w:t>
      </w:r>
      <w:r w:rsidR="002A7A4E" w:rsidRPr="001005B7">
        <w:t xml:space="preserve">And you, get yourself </w:t>
      </w:r>
      <w:r w:rsidR="00FC5E9B" w:rsidRPr="001005B7">
        <w:t xml:space="preserve">an iron </w:t>
      </w:r>
      <w:r w:rsidR="00FC702A" w:rsidRPr="001005B7">
        <w:t>griddle</w:t>
      </w:r>
      <w:r w:rsidR="00AE5EF1" w:rsidRPr="001005B7">
        <w:t>,</w:t>
      </w:r>
      <w:r w:rsidR="00E864EA" w:rsidRPr="001005B7">
        <w:t xml:space="preserve"> </w:t>
      </w:r>
      <w:r w:rsidR="00DF51F0" w:rsidRPr="001005B7">
        <w:t xml:space="preserve">put </w:t>
      </w:r>
      <w:r w:rsidR="00E864EA" w:rsidRPr="001005B7">
        <w:t xml:space="preserve">it </w:t>
      </w:r>
      <w:r w:rsidR="00DF51F0" w:rsidRPr="001005B7">
        <w:t xml:space="preserve">[as] </w:t>
      </w:r>
      <w:r w:rsidR="00E864EA" w:rsidRPr="001005B7">
        <w:t>an iron wall</w:t>
      </w:r>
      <w:r w:rsidR="003E053E" w:rsidRPr="001005B7">
        <w:t xml:space="preserve"> between you and the city</w:t>
      </w:r>
      <w:r w:rsidR="00AE5EF1" w:rsidRPr="001005B7">
        <w:t>, and s</w:t>
      </w:r>
      <w:r w:rsidR="0090318B" w:rsidRPr="001005B7">
        <w:t>et you</w:t>
      </w:r>
      <w:r w:rsidR="003D7A47" w:rsidRPr="001005B7">
        <w:t>r</w:t>
      </w:r>
      <w:r w:rsidR="0090318B" w:rsidRPr="001005B7">
        <w:t xml:space="preserve"> face towards it</w:t>
      </w:r>
      <w:r w:rsidR="00AE5EF1" w:rsidRPr="001005B7">
        <w:t>. I</w:t>
      </w:r>
      <w:r w:rsidR="00E8356C" w:rsidRPr="001005B7">
        <w:t xml:space="preserve">t will be </w:t>
      </w:r>
      <w:r w:rsidR="006F350E" w:rsidRPr="001005B7">
        <w:t>under a</w:t>
      </w:r>
      <w:r w:rsidR="007C490C" w:rsidRPr="001005B7">
        <w:t xml:space="preserve"> siege</w:t>
      </w:r>
      <w:r w:rsidR="005D426F" w:rsidRPr="001005B7">
        <w:t xml:space="preserve"> and y</w:t>
      </w:r>
      <w:r w:rsidR="008862B7" w:rsidRPr="001005B7">
        <w:t xml:space="preserve">ou will </w:t>
      </w:r>
      <w:r w:rsidR="003D7A47" w:rsidRPr="001005B7">
        <w:t>besiege it</w:t>
      </w:r>
      <w:r w:rsidR="0086757F" w:rsidRPr="001005B7">
        <w:t>,</w:t>
      </w:r>
      <w:r w:rsidR="003B1CA3" w:rsidRPr="001005B7">
        <w:t xml:space="preserve"> as it</w:t>
      </w:r>
      <w:r w:rsidR="006B397D" w:rsidRPr="001005B7">
        <w:t xml:space="preserve"> will be a sign for Israel’s household</w:t>
      </w:r>
      <w:r w:rsidR="00581A32" w:rsidRPr="001005B7">
        <w:t>.</w:t>
      </w:r>
    </w:p>
    <w:p w14:paraId="66563C78" w14:textId="5F5B72BA" w:rsidR="00EB5475" w:rsidRPr="001005B7" w:rsidRDefault="0013023A" w:rsidP="00EB5475">
      <w:r w:rsidRPr="001005B7">
        <w:rPr>
          <w:vertAlign w:val="superscript"/>
        </w:rPr>
        <w:t>4</w:t>
      </w:r>
      <w:r w:rsidR="00395143" w:rsidRPr="001005B7">
        <w:t>And you, lie on your left side</w:t>
      </w:r>
      <w:r w:rsidR="00AC6F03" w:rsidRPr="001005B7">
        <w:t xml:space="preserve">, and </w:t>
      </w:r>
      <w:r w:rsidR="000763FA" w:rsidRPr="001005B7">
        <w:t xml:space="preserve">place the waywardness of </w:t>
      </w:r>
      <w:r w:rsidR="009F5AA1" w:rsidRPr="001005B7">
        <w:t>Israel’s household on i</w:t>
      </w:r>
      <w:r w:rsidR="002055A6" w:rsidRPr="001005B7">
        <w:t>t</w:t>
      </w:r>
      <w:r w:rsidR="0040205F" w:rsidRPr="001005B7">
        <w:t>,</w:t>
      </w:r>
      <w:r w:rsidR="004965AA" w:rsidRPr="001005B7">
        <w:t xml:space="preserve"> as </w:t>
      </w:r>
      <w:r w:rsidR="00BD5F21" w:rsidRPr="001005B7">
        <w:t xml:space="preserve">for the number of </w:t>
      </w:r>
      <w:r w:rsidR="00253087" w:rsidRPr="001005B7">
        <w:t xml:space="preserve">the </w:t>
      </w:r>
      <w:r w:rsidR="00BD5F21" w:rsidRPr="001005B7">
        <w:t>days that</w:t>
      </w:r>
      <w:r w:rsidR="00C61C23" w:rsidRPr="001005B7">
        <w:t xml:space="preserve"> you lie on it</w:t>
      </w:r>
      <w:r w:rsidR="0028640D" w:rsidRPr="001005B7">
        <w:t xml:space="preserve">, you will carry their waywardness. </w:t>
      </w:r>
      <w:r w:rsidR="002D0B23" w:rsidRPr="001005B7">
        <w:rPr>
          <w:vertAlign w:val="superscript"/>
        </w:rPr>
        <w:t>5</w:t>
      </w:r>
      <w:r w:rsidR="00244B7E" w:rsidRPr="001005B7">
        <w:t>As I</w:t>
      </w:r>
      <w:r w:rsidR="002D0B23" w:rsidRPr="001005B7">
        <w:t xml:space="preserve"> am giving you</w:t>
      </w:r>
      <w:r w:rsidR="009B14FE" w:rsidRPr="001005B7">
        <w:t xml:space="preserve"> </w:t>
      </w:r>
      <w:r w:rsidR="00957F79" w:rsidRPr="001005B7">
        <w:t>the years of their waywardness</w:t>
      </w:r>
      <w:r w:rsidR="00163F03" w:rsidRPr="001005B7">
        <w:t xml:space="preserve"> </w:t>
      </w:r>
      <w:r w:rsidR="004166FA" w:rsidRPr="001005B7">
        <w:t>by a number of days</w:t>
      </w:r>
      <w:r w:rsidR="003F5BBC" w:rsidRPr="001005B7">
        <w:t xml:space="preserve">, </w:t>
      </w:r>
      <w:r w:rsidR="00427E32" w:rsidRPr="001005B7">
        <w:t xml:space="preserve">for </w:t>
      </w:r>
      <w:r w:rsidR="004166FA" w:rsidRPr="001005B7">
        <w:t>390 days</w:t>
      </w:r>
      <w:r w:rsidR="00427E32" w:rsidRPr="001005B7">
        <w:t xml:space="preserve"> you will carry</w:t>
      </w:r>
      <w:r w:rsidR="00F83500" w:rsidRPr="001005B7">
        <w:t xml:space="preserve"> the waywardness of Israel’s household. </w:t>
      </w:r>
      <w:r w:rsidR="00C2754D" w:rsidRPr="001005B7">
        <w:rPr>
          <w:vertAlign w:val="superscript"/>
        </w:rPr>
        <w:t>6</w:t>
      </w:r>
      <w:r w:rsidR="00C2754D" w:rsidRPr="001005B7">
        <w:t xml:space="preserve">You will complete these, </w:t>
      </w:r>
      <w:r w:rsidR="003258A0" w:rsidRPr="001005B7">
        <w:t>then</w:t>
      </w:r>
      <w:r w:rsidR="00C2754D" w:rsidRPr="001005B7">
        <w:t xml:space="preserve"> lie </w:t>
      </w:r>
      <w:r w:rsidR="00E6767E" w:rsidRPr="001005B7">
        <w:t>on your right side</w:t>
      </w:r>
      <w:r w:rsidR="005928A8" w:rsidRPr="001005B7">
        <w:t xml:space="preserve">, a second time, </w:t>
      </w:r>
      <w:r w:rsidR="00B04BD2" w:rsidRPr="001005B7">
        <w:t>and carry the waywardness of Judah’s household</w:t>
      </w:r>
      <w:r w:rsidR="00470B04" w:rsidRPr="001005B7">
        <w:t xml:space="preserve"> for forty day</w:t>
      </w:r>
      <w:r w:rsidR="008712FD" w:rsidRPr="001005B7">
        <w:t xml:space="preserve"> as I am giving you </w:t>
      </w:r>
      <w:r w:rsidR="00D94B0A" w:rsidRPr="001005B7">
        <w:t>a day for each year</w:t>
      </w:r>
      <w:r w:rsidR="005D1E2A" w:rsidRPr="001005B7">
        <w:t>.</w:t>
      </w:r>
      <w:r w:rsidR="00D94B0A" w:rsidRPr="001005B7">
        <w:t xml:space="preserve"> </w:t>
      </w:r>
      <w:r w:rsidR="00A8382A" w:rsidRPr="001005B7">
        <w:rPr>
          <w:vertAlign w:val="superscript"/>
        </w:rPr>
        <w:t>7</w:t>
      </w:r>
      <w:r w:rsidR="005D2B92" w:rsidRPr="001005B7">
        <w:t>So t</w:t>
      </w:r>
      <w:r w:rsidR="00D8470C" w:rsidRPr="001005B7">
        <w:t xml:space="preserve">owards the siege of Jerusalem </w:t>
      </w:r>
      <w:r w:rsidR="00974CFB" w:rsidRPr="001005B7">
        <w:t>you will set your face</w:t>
      </w:r>
      <w:r w:rsidR="00AB4363" w:rsidRPr="001005B7">
        <w:t>, with bared arm</w:t>
      </w:r>
      <w:r w:rsidR="007A51BE" w:rsidRPr="001005B7">
        <w:t>, and prophe</w:t>
      </w:r>
      <w:r w:rsidR="00AD4DF3" w:rsidRPr="001005B7">
        <w:t>s</w:t>
      </w:r>
      <w:r w:rsidR="007A51BE" w:rsidRPr="001005B7">
        <w:t>y against it</w:t>
      </w:r>
      <w:r w:rsidR="00BC7840" w:rsidRPr="001005B7">
        <w:t xml:space="preserve">. </w:t>
      </w:r>
      <w:r w:rsidR="00BC7840" w:rsidRPr="001005B7">
        <w:rPr>
          <w:vertAlign w:val="superscript"/>
        </w:rPr>
        <w:t>8</w:t>
      </w:r>
      <w:r w:rsidR="00BC7840" w:rsidRPr="001005B7">
        <w:t xml:space="preserve">And there, I am putting </w:t>
      </w:r>
      <w:r w:rsidR="005E385E" w:rsidRPr="001005B7">
        <w:t>cords on you</w:t>
      </w:r>
      <w:r w:rsidR="00F3293E" w:rsidRPr="001005B7">
        <w:t>, and</w:t>
      </w:r>
      <w:r w:rsidR="005E385E" w:rsidRPr="001005B7">
        <w:t xml:space="preserve"> you will not turn from </w:t>
      </w:r>
      <w:r w:rsidR="001F3297" w:rsidRPr="001005B7">
        <w:t xml:space="preserve">one </w:t>
      </w:r>
      <w:r w:rsidR="005E385E" w:rsidRPr="001005B7">
        <w:t xml:space="preserve">side to </w:t>
      </w:r>
      <w:r w:rsidR="001F3297" w:rsidRPr="001005B7">
        <w:t>the other until you complete your days of siege.</w:t>
      </w:r>
    </w:p>
    <w:p w14:paraId="7C4861F0" w14:textId="0D7C5A65" w:rsidR="002F0683" w:rsidRPr="001005B7" w:rsidRDefault="00FC7808" w:rsidP="00573E3C">
      <w:r w:rsidRPr="001005B7">
        <w:rPr>
          <w:vertAlign w:val="superscript"/>
        </w:rPr>
        <w:t>9</w:t>
      </w:r>
      <w:r w:rsidRPr="001005B7">
        <w:t xml:space="preserve">And you, </w:t>
      </w:r>
      <w:r w:rsidR="002F1EFA" w:rsidRPr="001005B7">
        <w:t xml:space="preserve">get yourself </w:t>
      </w:r>
      <w:r w:rsidR="006955F3" w:rsidRPr="001005B7">
        <w:t>wheat, barley, beans, len</w:t>
      </w:r>
      <w:r w:rsidR="0057649E" w:rsidRPr="001005B7">
        <w:t>t</w:t>
      </w:r>
      <w:r w:rsidR="006955F3" w:rsidRPr="001005B7">
        <w:t>il</w:t>
      </w:r>
      <w:r w:rsidR="0057649E" w:rsidRPr="001005B7">
        <w:t>s</w:t>
      </w:r>
      <w:r w:rsidR="006955F3" w:rsidRPr="001005B7">
        <w:t xml:space="preserve">, millet, and </w:t>
      </w:r>
      <w:r w:rsidR="0080563F" w:rsidRPr="001005B7">
        <w:t>spelt</w:t>
      </w:r>
      <w:r w:rsidR="00A90EEB" w:rsidRPr="001005B7">
        <w:t xml:space="preserve">, </w:t>
      </w:r>
      <w:r w:rsidR="00D55720" w:rsidRPr="001005B7">
        <w:t xml:space="preserve">and </w:t>
      </w:r>
      <w:r w:rsidR="00A90EEB" w:rsidRPr="001005B7">
        <w:t xml:space="preserve">put them into </w:t>
      </w:r>
      <w:r w:rsidR="00150B5C" w:rsidRPr="001005B7">
        <w:t>a single</w:t>
      </w:r>
      <w:r w:rsidR="00A90EEB" w:rsidRPr="001005B7">
        <w:t xml:space="preserve"> </w:t>
      </w:r>
      <w:r w:rsidR="001672CF" w:rsidRPr="001005B7">
        <w:t>container</w:t>
      </w:r>
      <w:r w:rsidR="00B323F2" w:rsidRPr="001005B7">
        <w:t xml:space="preserve"> and make the</w:t>
      </w:r>
      <w:r w:rsidR="0069676D" w:rsidRPr="001005B7">
        <w:t>m</w:t>
      </w:r>
      <w:r w:rsidR="00B323F2" w:rsidRPr="001005B7">
        <w:t xml:space="preserve"> into bread for </w:t>
      </w:r>
      <w:r w:rsidR="00E7035E" w:rsidRPr="001005B7">
        <w:t>yourself</w:t>
      </w:r>
      <w:r w:rsidR="00CC377E" w:rsidRPr="001005B7">
        <w:t xml:space="preserve">, as </w:t>
      </w:r>
      <w:r w:rsidR="00573E3C" w:rsidRPr="001005B7">
        <w:t xml:space="preserve">you will eat it </w:t>
      </w:r>
      <w:r w:rsidR="0021394E" w:rsidRPr="001005B7">
        <w:t xml:space="preserve">for the number of days that you are lying </w:t>
      </w:r>
      <w:r w:rsidR="00FB3B33" w:rsidRPr="001005B7">
        <w:t>on your side, 390 days</w:t>
      </w:r>
      <w:r w:rsidR="00202838" w:rsidRPr="001005B7">
        <w:t xml:space="preserve">. </w:t>
      </w:r>
      <w:r w:rsidR="0077428E" w:rsidRPr="001005B7">
        <w:rPr>
          <w:vertAlign w:val="superscript"/>
        </w:rPr>
        <w:t>10</w:t>
      </w:r>
      <w:r w:rsidR="00351CC9" w:rsidRPr="001005B7">
        <w:t>Your</w:t>
      </w:r>
      <w:r w:rsidR="00586F75" w:rsidRPr="001005B7">
        <w:t xml:space="preserve"> food that you will eat by weight</w:t>
      </w:r>
      <w:r w:rsidR="0025184C" w:rsidRPr="001005B7">
        <w:t>,</w:t>
      </w:r>
      <w:r w:rsidR="005F2621" w:rsidRPr="001005B7">
        <w:t xml:space="preserve"> twenty </w:t>
      </w:r>
      <w:proofErr w:type="spellStart"/>
      <w:r w:rsidR="005F2621" w:rsidRPr="001005B7">
        <w:t>sheqels</w:t>
      </w:r>
      <w:proofErr w:type="spellEnd"/>
      <w:r w:rsidR="005F2621" w:rsidRPr="001005B7">
        <w:t xml:space="preserve"> per day</w:t>
      </w:r>
      <w:r w:rsidR="00AA26A4" w:rsidRPr="001005B7">
        <w:t>:</w:t>
      </w:r>
      <w:r w:rsidR="00320390" w:rsidRPr="001005B7">
        <w:t xml:space="preserve"> </w:t>
      </w:r>
      <w:r w:rsidR="003674F7" w:rsidRPr="001005B7">
        <w:t>at</w:t>
      </w:r>
      <w:r w:rsidR="006E5611" w:rsidRPr="001005B7">
        <w:t xml:space="preserve"> </w:t>
      </w:r>
      <w:r w:rsidR="0048119B" w:rsidRPr="001005B7">
        <w:t>a set</w:t>
      </w:r>
      <w:r w:rsidR="003674F7" w:rsidRPr="001005B7">
        <w:t xml:space="preserve"> time</w:t>
      </w:r>
      <w:r w:rsidR="00107F92" w:rsidRPr="001005B7">
        <w:rPr>
          <w:rStyle w:val="FootnoteReference"/>
        </w:rPr>
        <w:footnoteReference w:id="159"/>
      </w:r>
      <w:r w:rsidR="003674F7" w:rsidRPr="001005B7">
        <w:t xml:space="preserve"> you will eat it. </w:t>
      </w:r>
      <w:r w:rsidR="003674F7" w:rsidRPr="001005B7">
        <w:rPr>
          <w:vertAlign w:val="superscript"/>
        </w:rPr>
        <w:t>11</w:t>
      </w:r>
      <w:r w:rsidR="003674F7" w:rsidRPr="001005B7">
        <w:t>And water by measure you</w:t>
      </w:r>
      <w:r w:rsidR="00DF4516" w:rsidRPr="001005B7">
        <w:t xml:space="preserve"> will drink, a sixth of a </w:t>
      </w:r>
      <w:proofErr w:type="spellStart"/>
      <w:r w:rsidR="00DF4516" w:rsidRPr="001005B7">
        <w:rPr>
          <w:i/>
          <w:iCs/>
        </w:rPr>
        <w:t>hi</w:t>
      </w:r>
      <w:r w:rsidR="00DE5C0C" w:rsidRPr="001005B7">
        <w:rPr>
          <w:i/>
          <w:iCs/>
        </w:rPr>
        <w:t>n</w:t>
      </w:r>
      <w:proofErr w:type="spellEnd"/>
      <w:r w:rsidR="00684D6D" w:rsidRPr="001005B7">
        <w:t>:</w:t>
      </w:r>
      <w:r w:rsidR="00A661A0" w:rsidRPr="001005B7">
        <w:rPr>
          <w:i/>
          <w:iCs/>
        </w:rPr>
        <w:t xml:space="preserve"> </w:t>
      </w:r>
      <w:r w:rsidR="00323211" w:rsidRPr="001005B7">
        <w:t xml:space="preserve">at </w:t>
      </w:r>
      <w:r w:rsidR="009F4569" w:rsidRPr="001005B7">
        <w:t>a set</w:t>
      </w:r>
      <w:r w:rsidR="00E53197" w:rsidRPr="001005B7">
        <w:t xml:space="preserve"> </w:t>
      </w:r>
      <w:r w:rsidR="00323211" w:rsidRPr="001005B7">
        <w:t>time you will drink it.</w:t>
      </w:r>
      <w:r w:rsidR="0098667C" w:rsidRPr="001005B7">
        <w:t xml:space="preserve"> </w:t>
      </w:r>
    </w:p>
    <w:p w14:paraId="10C3142A" w14:textId="245A43BF" w:rsidR="00FA676C" w:rsidRPr="001005B7" w:rsidRDefault="0098667C" w:rsidP="002F0683">
      <w:pPr>
        <w:rPr>
          <w:i/>
          <w:iCs/>
        </w:rPr>
      </w:pPr>
      <w:r w:rsidRPr="001005B7">
        <w:rPr>
          <w:vertAlign w:val="superscript"/>
        </w:rPr>
        <w:t>12</w:t>
      </w:r>
      <w:r w:rsidR="00115FBE" w:rsidRPr="001005B7">
        <w:t>While you will eat it</w:t>
      </w:r>
      <w:r w:rsidR="0069611F" w:rsidRPr="001005B7">
        <w:t xml:space="preserve"> as a</w:t>
      </w:r>
      <w:r w:rsidR="007F7BA0" w:rsidRPr="001005B7">
        <w:t xml:space="preserve"> </w:t>
      </w:r>
      <w:r w:rsidR="007805E6" w:rsidRPr="001005B7">
        <w:t>barley loaf</w:t>
      </w:r>
      <w:r w:rsidR="00AD110A" w:rsidRPr="001005B7">
        <w:t>,</w:t>
      </w:r>
      <w:r w:rsidR="007805E6" w:rsidRPr="001005B7">
        <w:t xml:space="preserve"> you will eat it</w:t>
      </w:r>
      <w:r w:rsidR="00906D40" w:rsidRPr="001005B7">
        <w:t>,</w:t>
      </w:r>
      <w:r w:rsidR="00461D75" w:rsidRPr="001005B7">
        <w:t xml:space="preserve"> </w:t>
      </w:r>
      <w:r w:rsidR="00DF7E1C" w:rsidRPr="001005B7">
        <w:t>in</w:t>
      </w:r>
      <w:r w:rsidR="00D839DD" w:rsidRPr="001005B7">
        <w:t xml:space="preserve"> balls of human feces </w:t>
      </w:r>
      <w:r w:rsidR="00B2221E" w:rsidRPr="001005B7">
        <w:t xml:space="preserve">you will bake it </w:t>
      </w:r>
      <w:r w:rsidR="002E54E1" w:rsidRPr="001005B7">
        <w:t>in front of</w:t>
      </w:r>
      <w:r w:rsidR="00B2221E" w:rsidRPr="001005B7">
        <w:t xml:space="preserve"> their eyes.</w:t>
      </w:r>
      <w:r w:rsidR="00553D8B" w:rsidRPr="001005B7">
        <w:rPr>
          <w:rStyle w:val="FootnoteReference"/>
          <w:rFonts w:cstheme="minorHAnsi"/>
        </w:rPr>
        <w:footnoteReference w:id="160"/>
      </w:r>
      <w:r w:rsidR="00316AD7" w:rsidRPr="001005B7">
        <w:rPr>
          <w:vertAlign w:val="superscript"/>
        </w:rPr>
        <w:t xml:space="preserve"> </w:t>
      </w:r>
      <w:r w:rsidR="00FA676C" w:rsidRPr="001005B7">
        <w:rPr>
          <w:vertAlign w:val="superscript"/>
        </w:rPr>
        <w:t>13</w:t>
      </w:r>
      <w:r w:rsidR="00E05E79" w:rsidRPr="001005B7">
        <w:t>And Y</w:t>
      </w:r>
      <w:r w:rsidR="008A0C82" w:rsidRPr="001005B7">
        <w:t>ahweh said</w:t>
      </w:r>
      <w:r w:rsidR="002D22FA" w:rsidRPr="001005B7">
        <w:t>:</w:t>
      </w:r>
      <w:r w:rsidR="008A0C82" w:rsidRPr="001005B7">
        <w:t xml:space="preserve"> </w:t>
      </w:r>
      <w:r w:rsidR="00E05E79" w:rsidRPr="001005B7">
        <w:t>I</w:t>
      </w:r>
      <w:r w:rsidR="008A0C82" w:rsidRPr="001005B7">
        <w:t>n this way</w:t>
      </w:r>
      <w:r w:rsidR="00E05E79" w:rsidRPr="001005B7">
        <w:t xml:space="preserve"> </w:t>
      </w:r>
      <w:r w:rsidR="003131FA" w:rsidRPr="001005B7">
        <w:t xml:space="preserve">the Israelites will eat </w:t>
      </w:r>
      <w:r w:rsidR="00AD11A0" w:rsidRPr="001005B7">
        <w:t xml:space="preserve">their bread, </w:t>
      </w:r>
      <w:r w:rsidR="007C0675" w:rsidRPr="001005B7">
        <w:t>defiled</w:t>
      </w:r>
      <w:r w:rsidR="00AD11A0" w:rsidRPr="001005B7">
        <w:t>,</w:t>
      </w:r>
      <w:r w:rsidR="0022605C" w:rsidRPr="001005B7">
        <w:rPr>
          <w:rStyle w:val="FootnoteReference"/>
        </w:rPr>
        <w:footnoteReference w:id="161"/>
      </w:r>
      <w:r w:rsidR="00AD11A0" w:rsidRPr="001005B7">
        <w:t xml:space="preserve"> among the nations </w:t>
      </w:r>
      <w:r w:rsidR="00EC24DC" w:rsidRPr="001005B7">
        <w:t xml:space="preserve">where I will drive them. </w:t>
      </w:r>
      <w:r w:rsidR="00EC24DC" w:rsidRPr="001005B7">
        <w:rPr>
          <w:vertAlign w:val="superscript"/>
        </w:rPr>
        <w:t>14</w:t>
      </w:r>
      <w:r w:rsidR="005E698E" w:rsidRPr="001005B7">
        <w:t>I</w:t>
      </w:r>
      <w:r w:rsidR="00EC24DC" w:rsidRPr="001005B7">
        <w:t xml:space="preserve"> said</w:t>
      </w:r>
      <w:r w:rsidR="00E57C40" w:rsidRPr="001005B7">
        <w:t>:</w:t>
      </w:r>
      <w:r w:rsidR="00EC24DC" w:rsidRPr="001005B7">
        <w:t xml:space="preserve"> </w:t>
      </w:r>
      <w:proofErr w:type="spellStart"/>
      <w:r w:rsidR="00EC24DC" w:rsidRPr="001005B7">
        <w:t>Aagh</w:t>
      </w:r>
      <w:proofErr w:type="spellEnd"/>
      <w:r w:rsidR="00EC24DC" w:rsidRPr="001005B7">
        <w:t xml:space="preserve">, </w:t>
      </w:r>
      <w:r w:rsidR="00C47422" w:rsidRPr="001005B7">
        <w:t xml:space="preserve">Lord Yahweh, there, my </w:t>
      </w:r>
      <w:r w:rsidR="007C0675" w:rsidRPr="001005B7">
        <w:t>appetite</w:t>
      </w:r>
      <w:r w:rsidR="00544E81" w:rsidRPr="001005B7">
        <w:rPr>
          <w:rStyle w:val="FootnoteReference"/>
        </w:rPr>
        <w:footnoteReference w:id="162"/>
      </w:r>
      <w:r w:rsidR="007C0675" w:rsidRPr="001005B7">
        <w:t xml:space="preserve"> has not been defiled</w:t>
      </w:r>
      <w:r w:rsidR="00146F8F" w:rsidRPr="001005B7">
        <w:t>, and</w:t>
      </w:r>
      <w:r w:rsidR="00A355BF" w:rsidRPr="001005B7">
        <w:t xml:space="preserve"> carcasses</w:t>
      </w:r>
      <w:r w:rsidR="00E92A91" w:rsidRPr="001005B7">
        <w:t xml:space="preserve"> or prey I have not eaten</w:t>
      </w:r>
      <w:r w:rsidR="003B41E9" w:rsidRPr="001005B7">
        <w:t xml:space="preserve">, from my youth until now. </w:t>
      </w:r>
      <w:r w:rsidR="006E6B17" w:rsidRPr="001005B7">
        <w:t>A</w:t>
      </w:r>
      <w:r w:rsidR="004B7F29" w:rsidRPr="001005B7">
        <w:t>bominable</w:t>
      </w:r>
      <w:r w:rsidR="00AF42E1" w:rsidRPr="001005B7">
        <w:t xml:space="preserve"> </w:t>
      </w:r>
      <w:r w:rsidR="00FA3C7D" w:rsidRPr="001005B7">
        <w:t>meat</w:t>
      </w:r>
      <w:r w:rsidR="0069180A" w:rsidRPr="001005B7">
        <w:t xml:space="preserve"> has not come into my mouth</w:t>
      </w:r>
      <w:r w:rsidR="00AF42E1" w:rsidRPr="001005B7">
        <w:t>.</w:t>
      </w:r>
      <w:r w:rsidR="007C0675" w:rsidRPr="001005B7">
        <w:t xml:space="preserve"> </w:t>
      </w:r>
      <w:r w:rsidR="00820135" w:rsidRPr="001005B7">
        <w:rPr>
          <w:vertAlign w:val="superscript"/>
        </w:rPr>
        <w:t>15</w:t>
      </w:r>
      <w:r w:rsidR="006E6B17" w:rsidRPr="001005B7">
        <w:t>H</w:t>
      </w:r>
      <w:r w:rsidR="00820135" w:rsidRPr="001005B7">
        <w:t>e said to me</w:t>
      </w:r>
      <w:r w:rsidR="00E57C40" w:rsidRPr="001005B7">
        <w:t>:</w:t>
      </w:r>
      <w:r w:rsidR="00820135" w:rsidRPr="001005B7">
        <w:t xml:space="preserve"> </w:t>
      </w:r>
      <w:r w:rsidR="00CF1BA2" w:rsidRPr="001005B7">
        <w:t>See, I am giving you cows’ dung</w:t>
      </w:r>
      <w:r w:rsidR="00C4143E" w:rsidRPr="001005B7">
        <w:t xml:space="preserve"> </w:t>
      </w:r>
      <w:r w:rsidR="00721B59" w:rsidRPr="001005B7">
        <w:t xml:space="preserve">instead of human feces, and you will make your bread on </w:t>
      </w:r>
      <w:r w:rsidR="0037166A" w:rsidRPr="001005B7">
        <w:t>i</w:t>
      </w:r>
      <w:r w:rsidR="00721B59" w:rsidRPr="001005B7">
        <w:t>t.</w:t>
      </w:r>
    </w:p>
    <w:p w14:paraId="52B95A02" w14:textId="4F4E6550" w:rsidR="0037166A" w:rsidRPr="001005B7" w:rsidRDefault="00416EB2" w:rsidP="00EB5475">
      <w:pPr>
        <w:rPr>
          <w:vertAlign w:val="superscript"/>
        </w:rPr>
      </w:pPr>
      <w:r w:rsidRPr="001005B7">
        <w:rPr>
          <w:vertAlign w:val="superscript"/>
        </w:rPr>
        <w:t>16</w:t>
      </w:r>
      <w:r w:rsidR="006E3E63" w:rsidRPr="001005B7">
        <w:t>And h</w:t>
      </w:r>
      <w:r w:rsidRPr="001005B7">
        <w:t>e said to me</w:t>
      </w:r>
      <w:r w:rsidR="00B62FE4" w:rsidRPr="001005B7">
        <w:t>:</w:t>
      </w:r>
      <w:r w:rsidRPr="001005B7">
        <w:t xml:space="preserve"> </w:t>
      </w:r>
      <w:r w:rsidR="00D3329B" w:rsidRPr="001005B7">
        <w:t>My man</w:t>
      </w:r>
      <w:r w:rsidRPr="001005B7">
        <w:t xml:space="preserve">, </w:t>
      </w:r>
      <w:r w:rsidR="004F4E08" w:rsidRPr="001005B7">
        <w:t xml:space="preserve">here am I, breaking </w:t>
      </w:r>
      <w:r w:rsidR="00804BA6" w:rsidRPr="001005B7">
        <w:t xml:space="preserve">the bread </w:t>
      </w:r>
      <w:r w:rsidR="00DD6C60" w:rsidRPr="001005B7">
        <w:t>pole</w:t>
      </w:r>
      <w:r w:rsidR="00CD145E" w:rsidRPr="001005B7">
        <w:t xml:space="preserve"> </w:t>
      </w:r>
      <w:r w:rsidR="00804BA6" w:rsidRPr="001005B7">
        <w:t>in Jerusalem</w:t>
      </w:r>
      <w:r w:rsidR="002B3858" w:rsidRPr="001005B7">
        <w:t xml:space="preserve">. They will eat bread </w:t>
      </w:r>
      <w:r w:rsidR="008E08D4" w:rsidRPr="001005B7">
        <w:t>by weight</w:t>
      </w:r>
      <w:r w:rsidR="001001B0" w:rsidRPr="001005B7">
        <w:t xml:space="preserve"> and with worry</w:t>
      </w:r>
      <w:r w:rsidR="004D24F9" w:rsidRPr="001005B7">
        <w:t>, and water they will drink by mea</w:t>
      </w:r>
      <w:r w:rsidR="00965A77" w:rsidRPr="001005B7">
        <w:t>s</w:t>
      </w:r>
      <w:r w:rsidR="004D24F9" w:rsidRPr="001005B7">
        <w:t xml:space="preserve">ure, </w:t>
      </w:r>
      <w:r w:rsidR="00965A77" w:rsidRPr="001005B7">
        <w:t>with d</w:t>
      </w:r>
      <w:r w:rsidR="00EC0A72" w:rsidRPr="001005B7">
        <w:t>esolation</w:t>
      </w:r>
      <w:r w:rsidR="000B0EF6" w:rsidRPr="001005B7">
        <w:t>,</w:t>
      </w:r>
      <w:r w:rsidR="00965A77" w:rsidRPr="001005B7">
        <w:t xml:space="preserve"> </w:t>
      </w:r>
      <w:r w:rsidR="00965A77" w:rsidRPr="001005B7">
        <w:rPr>
          <w:vertAlign w:val="superscript"/>
        </w:rPr>
        <w:t>17</w:t>
      </w:r>
      <w:r w:rsidR="000B0EF6" w:rsidRPr="001005B7">
        <w:t xml:space="preserve">in order that they may lack bread and water </w:t>
      </w:r>
      <w:r w:rsidR="00CA5C38" w:rsidRPr="001005B7">
        <w:t xml:space="preserve">and look </w:t>
      </w:r>
      <w:r w:rsidR="00EC0A72" w:rsidRPr="001005B7">
        <w:t>with des</w:t>
      </w:r>
      <w:r w:rsidR="00C307C2" w:rsidRPr="001005B7">
        <w:t xml:space="preserve">olation </w:t>
      </w:r>
      <w:r w:rsidR="00CA5C38" w:rsidRPr="001005B7">
        <w:t>at one another</w:t>
      </w:r>
      <w:r w:rsidR="005F778C" w:rsidRPr="001005B7">
        <w:t>, and waste away in their waywardness.</w:t>
      </w:r>
    </w:p>
    <w:p w14:paraId="69B2AA0F" w14:textId="70A33034" w:rsidR="00084AF3" w:rsidRPr="001005B7" w:rsidRDefault="00674657" w:rsidP="00EB5475">
      <w:r w:rsidRPr="001005B7">
        <w:rPr>
          <w:vertAlign w:val="superscript"/>
        </w:rPr>
        <w:t>5:1</w:t>
      </w:r>
      <w:r w:rsidRPr="001005B7">
        <w:t xml:space="preserve"> And you, </w:t>
      </w:r>
      <w:r w:rsidR="00D3329B" w:rsidRPr="001005B7">
        <w:t>my man</w:t>
      </w:r>
      <w:r w:rsidRPr="001005B7">
        <w:t xml:space="preserve">, </w:t>
      </w:r>
      <w:r w:rsidR="007E0976" w:rsidRPr="001005B7">
        <w:t xml:space="preserve">get yourself </w:t>
      </w:r>
      <w:r w:rsidR="00547DCB" w:rsidRPr="001005B7">
        <w:t xml:space="preserve">a sharp </w:t>
      </w:r>
      <w:r w:rsidR="00647889" w:rsidRPr="001005B7">
        <w:t>sword</w:t>
      </w:r>
      <w:r w:rsidR="00CF03D2" w:rsidRPr="001005B7">
        <w:t xml:space="preserve">, getting it </w:t>
      </w:r>
      <w:r w:rsidR="00190F13" w:rsidRPr="001005B7">
        <w:t>as a barbers’ razor</w:t>
      </w:r>
      <w:r w:rsidR="00284ED3" w:rsidRPr="001005B7">
        <w:t xml:space="preserve"> for yourself</w:t>
      </w:r>
      <w:r w:rsidR="00AF7699" w:rsidRPr="001005B7">
        <w:t>, and</w:t>
      </w:r>
      <w:r w:rsidR="00284ED3" w:rsidRPr="001005B7">
        <w:t xml:space="preserve"> pass </w:t>
      </w:r>
      <w:r w:rsidR="003422E4" w:rsidRPr="001005B7">
        <w:t xml:space="preserve">it </w:t>
      </w:r>
      <w:r w:rsidR="00284ED3" w:rsidRPr="001005B7">
        <w:t>over your head</w:t>
      </w:r>
      <w:r w:rsidR="008F3688" w:rsidRPr="001005B7">
        <w:t xml:space="preserve"> and over your beard. </w:t>
      </w:r>
      <w:r w:rsidR="00A85863" w:rsidRPr="001005B7">
        <w:t>And g</w:t>
      </w:r>
      <w:r w:rsidR="008F3688" w:rsidRPr="001005B7">
        <w:t xml:space="preserve">et yourself </w:t>
      </w:r>
      <w:r w:rsidR="00C22E91" w:rsidRPr="001005B7">
        <w:t xml:space="preserve">measuring </w:t>
      </w:r>
      <w:r w:rsidR="008F3688" w:rsidRPr="001005B7">
        <w:t>scales</w:t>
      </w:r>
      <w:r w:rsidR="00C22E91" w:rsidRPr="001005B7">
        <w:t xml:space="preserve"> and divide </w:t>
      </w:r>
      <w:r w:rsidR="005E5367" w:rsidRPr="001005B7">
        <w:t>them</w:t>
      </w:r>
      <w:r w:rsidR="00C22E91" w:rsidRPr="001005B7">
        <w:t>.</w:t>
      </w:r>
      <w:r w:rsidR="00B73E65" w:rsidRPr="001005B7">
        <w:rPr>
          <w:rStyle w:val="FootnoteReference"/>
        </w:rPr>
        <w:footnoteReference w:id="163"/>
      </w:r>
      <w:r w:rsidR="004C37BC" w:rsidRPr="001005B7">
        <w:t xml:space="preserve"> </w:t>
      </w:r>
      <w:r w:rsidR="004C37BC" w:rsidRPr="001005B7">
        <w:rPr>
          <w:vertAlign w:val="superscript"/>
        </w:rPr>
        <w:t>2</w:t>
      </w:r>
      <w:r w:rsidR="004C37BC" w:rsidRPr="001005B7">
        <w:t xml:space="preserve">A third </w:t>
      </w:r>
      <w:r w:rsidR="00481201" w:rsidRPr="001005B7">
        <w:t xml:space="preserve">you </w:t>
      </w:r>
      <w:r w:rsidR="00C3447F" w:rsidRPr="001005B7">
        <w:t>will</w:t>
      </w:r>
      <w:r w:rsidR="00481201" w:rsidRPr="001005B7">
        <w:t xml:space="preserve"> burn in fire</w:t>
      </w:r>
      <w:r w:rsidR="00E607BD" w:rsidRPr="001005B7">
        <w:t xml:space="preserve"> </w:t>
      </w:r>
      <w:r w:rsidR="00F00698" w:rsidRPr="001005B7">
        <w:t>in</w:t>
      </w:r>
      <w:r w:rsidR="00847465" w:rsidRPr="001005B7">
        <w:t xml:space="preserve"> the middle</w:t>
      </w:r>
      <w:r w:rsidR="00F00698" w:rsidRPr="001005B7">
        <w:t xml:space="preserve"> </w:t>
      </w:r>
      <w:r w:rsidR="006E27AD" w:rsidRPr="001005B7">
        <w:t xml:space="preserve">of </w:t>
      </w:r>
      <w:r w:rsidR="00F00698" w:rsidRPr="001005B7">
        <w:t>the city</w:t>
      </w:r>
      <w:r w:rsidR="00620024" w:rsidRPr="001005B7">
        <w:t>,</w:t>
      </w:r>
      <w:r w:rsidR="00F00698" w:rsidRPr="001005B7">
        <w:t xml:space="preserve"> </w:t>
      </w:r>
      <w:r w:rsidR="001746FF" w:rsidRPr="001005B7">
        <w:t>when the days of the siege are complete</w:t>
      </w:r>
      <w:r w:rsidR="00D7173D" w:rsidRPr="001005B7">
        <w:t>. Y</w:t>
      </w:r>
      <w:r w:rsidR="00D40EB9" w:rsidRPr="001005B7">
        <w:t xml:space="preserve">ou </w:t>
      </w:r>
      <w:r w:rsidR="00C3447F" w:rsidRPr="001005B7">
        <w:t>will</w:t>
      </w:r>
      <w:r w:rsidR="00D40EB9" w:rsidRPr="001005B7">
        <w:t xml:space="preserve"> </w:t>
      </w:r>
      <w:r w:rsidR="00E607BD" w:rsidRPr="001005B7">
        <w:t>get a third</w:t>
      </w:r>
      <w:r w:rsidR="00B54C66" w:rsidRPr="001005B7">
        <w:t xml:space="preserve">, </w:t>
      </w:r>
      <w:r w:rsidR="00B46515" w:rsidRPr="001005B7">
        <w:t>strik</w:t>
      </w:r>
      <w:r w:rsidR="00B54C66" w:rsidRPr="001005B7">
        <w:t>ing</w:t>
      </w:r>
      <w:r w:rsidR="00B46515" w:rsidRPr="001005B7">
        <w:t xml:space="preserve"> with the </w:t>
      </w:r>
      <w:r w:rsidR="00D87F65" w:rsidRPr="001005B7">
        <w:t>sword</w:t>
      </w:r>
      <w:r w:rsidR="00B46515" w:rsidRPr="001005B7">
        <w:t xml:space="preserve"> </w:t>
      </w:r>
      <w:r w:rsidR="006A5D37" w:rsidRPr="001005B7">
        <w:t xml:space="preserve">around </w:t>
      </w:r>
      <w:r w:rsidR="00225295" w:rsidRPr="001005B7">
        <w:t>it</w:t>
      </w:r>
      <w:r w:rsidR="00D7173D" w:rsidRPr="001005B7">
        <w:t>. A</w:t>
      </w:r>
      <w:r w:rsidR="00EF7D1B" w:rsidRPr="001005B7">
        <w:t xml:space="preserve"> </w:t>
      </w:r>
      <w:r w:rsidR="006A5D37" w:rsidRPr="001005B7">
        <w:t xml:space="preserve">third you </w:t>
      </w:r>
      <w:r w:rsidR="00C3447F" w:rsidRPr="001005B7">
        <w:t>will</w:t>
      </w:r>
      <w:r w:rsidR="006A5D37" w:rsidRPr="001005B7">
        <w:t xml:space="preserve"> scatter</w:t>
      </w:r>
      <w:r w:rsidR="00FA6C71" w:rsidRPr="001005B7">
        <w:t xml:space="preserve"> to the wind, </w:t>
      </w:r>
      <w:r w:rsidR="006B316D" w:rsidRPr="001005B7">
        <w:t>in that</w:t>
      </w:r>
      <w:r w:rsidR="00FA6C71" w:rsidRPr="001005B7">
        <w:t xml:space="preserve"> I will </w:t>
      </w:r>
      <w:r w:rsidR="002D55AC" w:rsidRPr="001005B7">
        <w:t>draw</w:t>
      </w:r>
      <w:r w:rsidR="0083442A" w:rsidRPr="001005B7">
        <w:t xml:space="preserve"> a sword after them.</w:t>
      </w:r>
      <w:r w:rsidR="003D30CB" w:rsidRPr="001005B7">
        <w:t xml:space="preserve"> </w:t>
      </w:r>
      <w:r w:rsidR="003D30CB" w:rsidRPr="001005B7">
        <w:rPr>
          <w:vertAlign w:val="superscript"/>
        </w:rPr>
        <w:t>3</w:t>
      </w:r>
      <w:r w:rsidR="003D30CB" w:rsidRPr="001005B7">
        <w:t>And</w:t>
      </w:r>
      <w:r w:rsidR="00EF2110" w:rsidRPr="001005B7">
        <w:t xml:space="preserve"> </w:t>
      </w:r>
      <w:r w:rsidR="003D30CB" w:rsidRPr="001005B7">
        <w:t>get a few</w:t>
      </w:r>
      <w:r w:rsidR="00407FE8" w:rsidRPr="001005B7">
        <w:t xml:space="preserve"> in number</w:t>
      </w:r>
      <w:r w:rsidR="003D30CB" w:rsidRPr="001005B7">
        <w:t xml:space="preserve"> </w:t>
      </w:r>
      <w:r w:rsidR="00E514E7" w:rsidRPr="001005B7">
        <w:t xml:space="preserve">from there </w:t>
      </w:r>
      <w:r w:rsidR="00EF2110" w:rsidRPr="001005B7">
        <w:t xml:space="preserve">and </w:t>
      </w:r>
      <w:r w:rsidR="0055095E" w:rsidRPr="001005B7">
        <w:t xml:space="preserve">bind them in your </w:t>
      </w:r>
      <w:r w:rsidR="003902ED" w:rsidRPr="001005B7">
        <w:t>hems</w:t>
      </w:r>
      <w:r w:rsidR="00CA2591" w:rsidRPr="001005B7">
        <w:t xml:space="preserve">. </w:t>
      </w:r>
      <w:r w:rsidR="00CA2591" w:rsidRPr="001005B7">
        <w:rPr>
          <w:vertAlign w:val="superscript"/>
        </w:rPr>
        <w:t>4</w:t>
      </w:r>
      <w:r w:rsidR="00F55798" w:rsidRPr="001005B7">
        <w:t>F</w:t>
      </w:r>
      <w:r w:rsidR="00180A90" w:rsidRPr="001005B7">
        <w:t xml:space="preserve">rom them you </w:t>
      </w:r>
      <w:r w:rsidR="00FB5205" w:rsidRPr="001005B7">
        <w:t>will</w:t>
      </w:r>
      <w:r w:rsidR="00180A90" w:rsidRPr="001005B7">
        <w:t xml:space="preserve"> get some more</w:t>
      </w:r>
      <w:r w:rsidR="006A58CD" w:rsidRPr="001005B7">
        <w:t>,</w:t>
      </w:r>
      <w:r w:rsidR="0074427F" w:rsidRPr="001005B7">
        <w:t xml:space="preserve"> throw them into the middle of the fire</w:t>
      </w:r>
      <w:r w:rsidR="00191FBB" w:rsidRPr="001005B7">
        <w:t>,</w:t>
      </w:r>
      <w:r w:rsidR="0074427F" w:rsidRPr="001005B7">
        <w:t xml:space="preserve"> and burn them in the fir</w:t>
      </w:r>
      <w:r w:rsidR="00192D57" w:rsidRPr="001005B7">
        <w:t>e</w:t>
      </w:r>
      <w:r w:rsidR="00AA68FB" w:rsidRPr="001005B7">
        <w:t>,</w:t>
      </w:r>
      <w:r w:rsidR="000B202E" w:rsidRPr="001005B7">
        <w:t xml:space="preserve"> as </w:t>
      </w:r>
      <w:r w:rsidR="00192D57" w:rsidRPr="001005B7">
        <w:t xml:space="preserve">fire </w:t>
      </w:r>
      <w:r w:rsidR="006F7934" w:rsidRPr="001005B7">
        <w:t xml:space="preserve">will go out </w:t>
      </w:r>
      <w:r w:rsidR="008614DE" w:rsidRPr="001005B7">
        <w:t xml:space="preserve">from it </w:t>
      </w:r>
      <w:r w:rsidR="006F7934" w:rsidRPr="001005B7">
        <w:t xml:space="preserve">to </w:t>
      </w:r>
      <w:r w:rsidR="00384DD8">
        <w:t>Israel’s</w:t>
      </w:r>
      <w:r w:rsidR="006F7934" w:rsidRPr="001005B7">
        <w:t xml:space="preserve"> entire household.</w:t>
      </w:r>
    </w:p>
    <w:p w14:paraId="3B32F4F6" w14:textId="1C695661" w:rsidR="00C6193D" w:rsidRPr="001005B7" w:rsidRDefault="00C6193D" w:rsidP="00493833">
      <w:pPr>
        <w:pStyle w:val="Heading3"/>
      </w:pPr>
      <w:r w:rsidRPr="001005B7">
        <w:t>Textual Notes</w:t>
      </w:r>
    </w:p>
    <w:p w14:paraId="530CF367" w14:textId="29C9B878" w:rsidR="00891CE2" w:rsidRPr="001005B7" w:rsidRDefault="00177EF3" w:rsidP="00E16AEB">
      <w:pPr>
        <w:ind w:firstLine="0"/>
      </w:pPr>
      <w:r w:rsidRPr="001005B7">
        <w:rPr>
          <w:sz w:val="18"/>
          <w:szCs w:val="18"/>
        </w:rPr>
        <w:t>MT</w:t>
      </w:r>
      <w:r w:rsidR="00891CE2" w:rsidRPr="001005B7">
        <w:t xml:space="preserve"> has </w:t>
      </w:r>
      <w:r w:rsidR="00DA3A36" w:rsidRPr="001005B7">
        <w:rPr>
          <w:lang w:eastAsia="en-GB"/>
        </w:rPr>
        <w:t>marker</w:t>
      </w:r>
      <w:r w:rsidR="0012151B" w:rsidRPr="001005B7">
        <w:rPr>
          <w:lang w:eastAsia="en-GB"/>
        </w:rPr>
        <w:t>s</w:t>
      </w:r>
      <w:r w:rsidR="00B23929" w:rsidRPr="001005B7">
        <w:rPr>
          <w:lang w:eastAsia="en-GB"/>
        </w:rPr>
        <w:t xml:space="preserve">* </w:t>
      </w:r>
      <w:r w:rsidR="00891CE2" w:rsidRPr="001005B7">
        <w:t>after 4:3,</w:t>
      </w:r>
      <w:r w:rsidR="006724C5" w:rsidRPr="001005B7">
        <w:t xml:space="preserve"> 12</w:t>
      </w:r>
      <w:r w:rsidR="00BA7F15" w:rsidRPr="001005B7">
        <w:t>, 14, 15, 17</w:t>
      </w:r>
      <w:r w:rsidR="002664A9" w:rsidRPr="001005B7">
        <w:t xml:space="preserve"> </w:t>
      </w:r>
      <w:r w:rsidR="00E7741C">
        <w:t xml:space="preserve">and </w:t>
      </w:r>
      <w:r w:rsidR="002664A9" w:rsidRPr="001005B7">
        <w:t>5:4</w:t>
      </w:r>
      <w:r w:rsidR="009E2246" w:rsidRPr="001005B7">
        <w:t>.</w:t>
      </w:r>
    </w:p>
    <w:p w14:paraId="563C47A9" w14:textId="77777777" w:rsidR="00CB59AF" w:rsidRPr="001005B7" w:rsidRDefault="00CB59AF" w:rsidP="00E16AEB">
      <w:pPr>
        <w:ind w:firstLine="0"/>
      </w:pPr>
    </w:p>
    <w:p w14:paraId="0FFF995B" w14:textId="018D356F" w:rsidR="001E0B59" w:rsidRPr="001005B7" w:rsidRDefault="00E16AEB" w:rsidP="00E16AEB">
      <w:pPr>
        <w:ind w:firstLine="0"/>
        <w:rPr>
          <w:rFonts w:cstheme="minorHAnsi"/>
        </w:rPr>
      </w:pPr>
      <w:r w:rsidRPr="001005B7">
        <w:rPr>
          <w:b/>
          <w:bCs/>
        </w:rPr>
        <w:t xml:space="preserve">4:3 </w:t>
      </w:r>
      <w:r w:rsidR="00DA5D23" w:rsidRPr="001005B7">
        <w:t xml:space="preserve">For </w:t>
      </w:r>
      <w:r w:rsidR="00DB1FC3" w:rsidRPr="001005B7">
        <w:rPr>
          <w:rFonts w:cstheme="minorHAnsi"/>
          <w:rtl/>
          <w:lang w:bidi="he-IL"/>
        </w:rPr>
        <w:t>ב</w:t>
      </w:r>
      <w:r w:rsidR="00051A82" w:rsidRPr="001005B7">
        <w:rPr>
          <w:rFonts w:cstheme="minorHAnsi"/>
          <w:rtl/>
          <w:lang w:bidi="he-IL"/>
        </w:rPr>
        <w:t>ּ</w:t>
      </w:r>
      <w:r w:rsidR="00F65484" w:rsidRPr="001005B7">
        <w:rPr>
          <w:rFonts w:cstheme="minorHAnsi"/>
          <w:rtl/>
          <w:lang w:bidi="he-IL"/>
        </w:rPr>
        <w:t>ֵ</w:t>
      </w:r>
      <w:r w:rsidR="007F03A8" w:rsidRPr="001005B7">
        <w:rPr>
          <w:rFonts w:cstheme="minorHAnsi"/>
          <w:rtl/>
          <w:lang w:bidi="he-IL"/>
        </w:rPr>
        <w:t>ית</w:t>
      </w:r>
      <w:r w:rsidR="007250E5" w:rsidRPr="001005B7">
        <w:t>,</w:t>
      </w:r>
      <w:r w:rsidR="00287833" w:rsidRPr="001005B7">
        <w:t xml:space="preserve"> </w:t>
      </w:r>
      <w:r w:rsidR="00A17CD3" w:rsidRPr="001005B7">
        <w:t xml:space="preserve">“household,” </w:t>
      </w:r>
      <w:r w:rsidR="00287833" w:rsidRPr="001005B7">
        <w:rPr>
          <w:sz w:val="18"/>
          <w:szCs w:val="18"/>
        </w:rPr>
        <w:t>LXX</w:t>
      </w:r>
      <w:r w:rsidR="007250E5" w:rsidRPr="001005B7">
        <w:t xml:space="preserve"> “sons” impl</w:t>
      </w:r>
      <w:r w:rsidR="00A17CD3" w:rsidRPr="001005B7">
        <w:t>ies</w:t>
      </w:r>
      <w:r w:rsidR="00823E39" w:rsidRPr="001005B7">
        <w:t xml:space="preserve"> </w:t>
      </w:r>
      <w:r w:rsidR="00823E39" w:rsidRPr="001005B7">
        <w:rPr>
          <w:rFonts w:cstheme="minorHAnsi"/>
          <w:rtl/>
          <w:lang w:bidi="he-IL"/>
        </w:rPr>
        <w:t>בְ</w:t>
      </w:r>
      <w:r w:rsidR="00952102" w:rsidRPr="001005B7">
        <w:rPr>
          <w:rFonts w:cstheme="minorHAnsi"/>
          <w:rtl/>
          <w:lang w:bidi="he-IL"/>
        </w:rPr>
        <w:t>ּ</w:t>
      </w:r>
      <w:r w:rsidR="00823E39" w:rsidRPr="001005B7">
        <w:rPr>
          <w:rFonts w:cstheme="minorHAnsi"/>
          <w:rtl/>
          <w:lang w:bidi="he-IL"/>
        </w:rPr>
        <w:t>נֵי</w:t>
      </w:r>
      <w:r w:rsidR="00E23C1B" w:rsidRPr="001005B7">
        <w:rPr>
          <w:rFonts w:cstheme="minorHAnsi"/>
        </w:rPr>
        <w:t>, the reverse of the difference in 2:</w:t>
      </w:r>
      <w:r w:rsidR="007D22A3" w:rsidRPr="001005B7">
        <w:rPr>
          <w:rFonts w:cstheme="minorHAnsi"/>
        </w:rPr>
        <w:t>3</w:t>
      </w:r>
      <w:r w:rsidR="00B64B5F" w:rsidRPr="001005B7">
        <w:rPr>
          <w:rFonts w:cstheme="minorHAnsi"/>
        </w:rPr>
        <w:t xml:space="preserve"> (see </w:t>
      </w:r>
      <w:r w:rsidR="00F62582" w:rsidRPr="001005B7">
        <w:rPr>
          <w:rFonts w:cstheme="minorHAnsi"/>
        </w:rPr>
        <w:t xml:space="preserve">the </w:t>
      </w:r>
      <w:r w:rsidR="00E60E6B" w:rsidRPr="001005B7">
        <w:rPr>
          <w:rFonts w:cstheme="minorHAnsi"/>
        </w:rPr>
        <w:t>textua</w:t>
      </w:r>
      <w:r w:rsidR="001B5427" w:rsidRPr="001005B7">
        <w:rPr>
          <w:rFonts w:cstheme="minorHAnsi"/>
        </w:rPr>
        <w:t>l</w:t>
      </w:r>
      <w:r w:rsidR="00E60E6B" w:rsidRPr="001005B7">
        <w:rPr>
          <w:rFonts w:cstheme="minorHAnsi"/>
        </w:rPr>
        <w:t xml:space="preserve"> </w:t>
      </w:r>
      <w:r w:rsidR="00B64B5F" w:rsidRPr="001005B7">
        <w:rPr>
          <w:rFonts w:cstheme="minorHAnsi"/>
        </w:rPr>
        <w:t xml:space="preserve">note </w:t>
      </w:r>
      <w:r w:rsidR="00F62582" w:rsidRPr="001005B7">
        <w:rPr>
          <w:rFonts w:cstheme="minorHAnsi"/>
        </w:rPr>
        <w:t>there</w:t>
      </w:r>
      <w:r w:rsidR="00B64B5F" w:rsidRPr="001005B7">
        <w:rPr>
          <w:rFonts w:cstheme="minorHAnsi"/>
        </w:rPr>
        <w:t>)</w:t>
      </w:r>
      <w:r w:rsidR="007D22A3" w:rsidRPr="001005B7">
        <w:rPr>
          <w:rFonts w:cstheme="minorHAnsi"/>
        </w:rPr>
        <w:t>.</w:t>
      </w:r>
    </w:p>
    <w:p w14:paraId="760D8416" w14:textId="7ED21881" w:rsidR="00FD70B1" w:rsidRPr="001005B7" w:rsidRDefault="00952C44" w:rsidP="00E16AEB">
      <w:pPr>
        <w:ind w:firstLine="0"/>
        <w:rPr>
          <w:rFonts w:cstheme="minorHAnsi"/>
        </w:rPr>
      </w:pPr>
      <w:r w:rsidRPr="001005B7">
        <w:rPr>
          <w:rFonts w:cstheme="minorHAnsi"/>
          <w:b/>
          <w:bCs/>
        </w:rPr>
        <w:t>4:4</w:t>
      </w:r>
      <w:r w:rsidR="00F46900" w:rsidRPr="001005B7">
        <w:rPr>
          <w:rFonts w:cstheme="minorHAnsi"/>
          <w:b/>
          <w:bCs/>
        </w:rPr>
        <w:t>–</w:t>
      </w:r>
      <w:r w:rsidR="004F4A05" w:rsidRPr="001005B7">
        <w:rPr>
          <w:rFonts w:cstheme="minorHAnsi"/>
          <w:b/>
          <w:bCs/>
        </w:rPr>
        <w:t xml:space="preserve">5 </w:t>
      </w:r>
      <w:r w:rsidR="004F4A05" w:rsidRPr="001005B7">
        <w:rPr>
          <w:rFonts w:cstheme="minorHAnsi"/>
        </w:rPr>
        <w:t xml:space="preserve">In 4:4 </w:t>
      </w:r>
      <w:r w:rsidR="00955CEC" w:rsidRPr="001005B7">
        <w:rPr>
          <w:sz w:val="18"/>
          <w:szCs w:val="18"/>
        </w:rPr>
        <w:t>LXX</w:t>
      </w:r>
      <w:r w:rsidR="00955CEC" w:rsidRPr="001005B7">
        <w:t xml:space="preserve"> specifies</w:t>
      </w:r>
      <w:r w:rsidR="00955CEC" w:rsidRPr="001005B7">
        <w:rPr>
          <w:rFonts w:cstheme="minorHAnsi"/>
        </w:rPr>
        <w:t xml:space="preserve"> 150 days, which might represent 150 years of deportation for Ephraim to last from about 700 to 550</w:t>
      </w:r>
      <w:r w:rsidR="008D63A2" w:rsidRPr="001005B7">
        <w:rPr>
          <w:rFonts w:cstheme="minorHAnsi"/>
        </w:rPr>
        <w:t xml:space="preserve">, and in 4:5 </w:t>
      </w:r>
      <w:r w:rsidR="008D63A2" w:rsidRPr="001005B7">
        <w:rPr>
          <w:rFonts w:cstheme="minorHAnsi"/>
          <w:sz w:val="18"/>
          <w:szCs w:val="18"/>
        </w:rPr>
        <w:t>LXX</w:t>
      </w:r>
      <w:r w:rsidR="008D63A2" w:rsidRPr="001005B7">
        <w:rPr>
          <w:rFonts w:cstheme="minorHAnsi"/>
        </w:rPr>
        <w:t xml:space="preserve"> reads 190 for </w:t>
      </w:r>
      <w:r w:rsidR="008635D0" w:rsidRPr="001005B7">
        <w:rPr>
          <w:sz w:val="18"/>
          <w:szCs w:val="18"/>
        </w:rPr>
        <w:t>MT</w:t>
      </w:r>
      <w:r w:rsidR="008D63A2" w:rsidRPr="001005B7">
        <w:rPr>
          <w:rFonts w:cstheme="minorHAnsi"/>
        </w:rPr>
        <w:t>’s 390,</w:t>
      </w:r>
      <w:r w:rsidR="00855426" w:rsidRPr="001005B7">
        <w:rPr>
          <w:rFonts w:cstheme="minorHAnsi"/>
        </w:rPr>
        <w:t xml:space="preserve"> though Syr</w:t>
      </w:r>
      <w:r w:rsidR="007447CE" w:rsidRPr="001005B7">
        <w:rPr>
          <w:rFonts w:cstheme="minorHAnsi"/>
        </w:rPr>
        <w:t>.</w:t>
      </w:r>
      <w:r w:rsidR="00855426" w:rsidRPr="001005B7">
        <w:rPr>
          <w:rFonts w:cstheme="minorHAnsi"/>
        </w:rPr>
        <w:t xml:space="preserve"> has 390.</w:t>
      </w:r>
      <w:r w:rsidR="008D63A2" w:rsidRPr="001005B7">
        <w:rPr>
          <w:rStyle w:val="FootnoteReference"/>
          <w:rFonts w:cstheme="minorHAnsi"/>
        </w:rPr>
        <w:footnoteReference w:id="164"/>
      </w:r>
    </w:p>
    <w:p w14:paraId="77413F03" w14:textId="060A2A50" w:rsidR="00AC12CF" w:rsidRPr="001005B7" w:rsidRDefault="00E16AEB" w:rsidP="00E16AEB">
      <w:pPr>
        <w:ind w:firstLine="0"/>
        <w:rPr>
          <w:rFonts w:cstheme="minorHAnsi"/>
        </w:rPr>
      </w:pPr>
      <w:r w:rsidRPr="001005B7">
        <w:rPr>
          <w:rFonts w:cstheme="minorHAnsi"/>
          <w:b/>
          <w:bCs/>
        </w:rPr>
        <w:t xml:space="preserve">4:5 </w:t>
      </w:r>
      <w:r w:rsidR="00711BA2" w:rsidRPr="001005B7">
        <w:rPr>
          <w:sz w:val="18"/>
          <w:szCs w:val="18"/>
        </w:rPr>
        <w:t>LXX</w:t>
      </w:r>
      <w:r w:rsidR="00245DA8" w:rsidRPr="001005B7">
        <w:rPr>
          <w:rFonts w:cstheme="minorHAnsi"/>
        </w:rPr>
        <w:t xml:space="preserve"> </w:t>
      </w:r>
      <w:r w:rsidR="009A423B" w:rsidRPr="001005B7">
        <w:rPr>
          <w:rFonts w:cstheme="minorHAnsi"/>
        </w:rPr>
        <w:t>“two</w:t>
      </w:r>
      <w:r w:rsidR="0008368C" w:rsidRPr="001005B7">
        <w:rPr>
          <w:rFonts w:cstheme="minorHAnsi"/>
        </w:rPr>
        <w:t>”</w:t>
      </w:r>
      <w:r w:rsidR="00F16ACA" w:rsidRPr="001005B7">
        <w:rPr>
          <w:rFonts w:cstheme="minorHAnsi"/>
        </w:rPr>
        <w:t xml:space="preserve"> misunderstands </w:t>
      </w:r>
      <w:r w:rsidR="008635D0" w:rsidRPr="001005B7">
        <w:rPr>
          <w:sz w:val="18"/>
          <w:szCs w:val="18"/>
        </w:rPr>
        <w:t>MT</w:t>
      </w:r>
      <w:r w:rsidR="00F16ACA" w:rsidRPr="001005B7">
        <w:rPr>
          <w:rFonts w:cstheme="minorHAnsi"/>
        </w:rPr>
        <w:t xml:space="preserve"> </w:t>
      </w:r>
      <w:r w:rsidR="006B3013" w:rsidRPr="001005B7">
        <w:rPr>
          <w:rFonts w:cstheme="minorHAnsi"/>
          <w:rtl/>
          <w:lang w:bidi="he-IL"/>
        </w:rPr>
        <w:t>שְׁנ</w:t>
      </w:r>
      <w:r w:rsidR="00AC12CF" w:rsidRPr="001005B7">
        <w:rPr>
          <w:rFonts w:cstheme="minorHAnsi"/>
          <w:rtl/>
          <w:lang w:bidi="he-IL"/>
        </w:rPr>
        <w:t>ֵי</w:t>
      </w:r>
      <w:r w:rsidR="00AC12CF" w:rsidRPr="001005B7">
        <w:rPr>
          <w:rFonts w:cstheme="minorHAnsi"/>
        </w:rPr>
        <w:t>, “years of</w:t>
      </w:r>
      <w:r w:rsidR="0026582B" w:rsidRPr="001005B7">
        <w:rPr>
          <w:rFonts w:cstheme="minorHAnsi"/>
        </w:rPr>
        <w:t>.”</w:t>
      </w:r>
    </w:p>
    <w:p w14:paraId="1A207591" w14:textId="6B928DB2" w:rsidR="00B24A96" w:rsidRPr="001005B7" w:rsidRDefault="001A1E8B" w:rsidP="00E16AEB">
      <w:pPr>
        <w:ind w:firstLine="0"/>
        <w:rPr>
          <w:rFonts w:cstheme="minorHAnsi"/>
        </w:rPr>
      </w:pPr>
      <w:r w:rsidRPr="001005B7">
        <w:rPr>
          <w:rFonts w:cstheme="minorHAnsi"/>
          <w:b/>
          <w:bCs/>
        </w:rPr>
        <w:t xml:space="preserve">4:12 </w:t>
      </w:r>
      <w:r w:rsidR="00711BA2" w:rsidRPr="001005B7">
        <w:rPr>
          <w:sz w:val="18"/>
          <w:szCs w:val="18"/>
        </w:rPr>
        <w:t>LXX</w:t>
      </w:r>
      <w:r w:rsidR="00D37FAA" w:rsidRPr="001005B7">
        <w:rPr>
          <w:rFonts w:cstheme="minorHAnsi"/>
        </w:rPr>
        <w:t xml:space="preserve"> </w:t>
      </w:r>
      <w:r w:rsidR="00D47F52" w:rsidRPr="001005B7">
        <w:rPr>
          <w:rFonts w:cstheme="minorHAnsi"/>
        </w:rPr>
        <w:t>“a</w:t>
      </w:r>
      <w:r w:rsidR="00B24A96" w:rsidRPr="001005B7">
        <w:rPr>
          <w:rFonts w:cstheme="minorHAnsi"/>
        </w:rPr>
        <w:t>sh-b</w:t>
      </w:r>
      <w:r w:rsidR="00796019" w:rsidRPr="001005B7">
        <w:rPr>
          <w:rFonts w:cstheme="minorHAnsi"/>
        </w:rPr>
        <w:t>a</w:t>
      </w:r>
      <w:r w:rsidR="00B24A96" w:rsidRPr="001005B7">
        <w:rPr>
          <w:rFonts w:cstheme="minorHAnsi"/>
        </w:rPr>
        <w:t>ked</w:t>
      </w:r>
      <w:r w:rsidR="00C8386C" w:rsidRPr="001005B7">
        <w:rPr>
          <w:rFonts w:cstheme="minorHAnsi"/>
        </w:rPr>
        <w:t xml:space="preserve"> barle</w:t>
      </w:r>
      <w:r w:rsidR="00C6308C" w:rsidRPr="001005B7">
        <w:rPr>
          <w:rFonts w:cstheme="minorHAnsi"/>
        </w:rPr>
        <w:t>y</w:t>
      </w:r>
      <w:r w:rsidR="00C8386C" w:rsidRPr="001005B7">
        <w:rPr>
          <w:rFonts w:cstheme="minorHAnsi"/>
        </w:rPr>
        <w:t xml:space="preserve"> loaf </w:t>
      </w:r>
      <w:r w:rsidR="00D47F52" w:rsidRPr="001005B7">
        <w:rPr>
          <w:rFonts w:cstheme="minorHAnsi"/>
        </w:rPr>
        <w:t>”</w:t>
      </w:r>
      <w:r w:rsidR="00254CDC" w:rsidRPr="001005B7">
        <w:rPr>
          <w:rFonts w:cstheme="minorHAnsi"/>
        </w:rPr>
        <w:t xml:space="preserve"> is a “contextually sensitive rendering” (Allen, 1:</w:t>
      </w:r>
      <w:r w:rsidR="001D358D" w:rsidRPr="001005B7">
        <w:rPr>
          <w:rFonts w:cstheme="minorHAnsi"/>
        </w:rPr>
        <w:t>51).</w:t>
      </w:r>
      <w:r w:rsidR="00D47F52" w:rsidRPr="001005B7">
        <w:rPr>
          <w:rFonts w:cstheme="minorHAnsi"/>
        </w:rPr>
        <w:t xml:space="preserve"> </w:t>
      </w:r>
    </w:p>
    <w:p w14:paraId="7E48E1FA" w14:textId="1602BC22" w:rsidR="004F23FD" w:rsidRPr="001005B7" w:rsidRDefault="003E40B2" w:rsidP="003E40B2">
      <w:pPr>
        <w:ind w:firstLine="0"/>
        <w:rPr>
          <w:rFonts w:cstheme="minorHAnsi"/>
        </w:rPr>
      </w:pPr>
      <w:r w:rsidRPr="001005B7">
        <w:rPr>
          <w:rFonts w:cstheme="minorHAnsi"/>
          <w:b/>
          <w:bCs/>
        </w:rPr>
        <w:t xml:space="preserve">4:13 </w:t>
      </w:r>
      <w:r w:rsidR="004945A1" w:rsidRPr="001005B7">
        <w:rPr>
          <w:rFonts w:cstheme="minorHAnsi"/>
        </w:rPr>
        <w:t xml:space="preserve">For </w:t>
      </w:r>
      <w:r w:rsidR="007E4708" w:rsidRPr="001005B7">
        <w:rPr>
          <w:rFonts w:cstheme="minorHAnsi"/>
        </w:rPr>
        <w:t>“</w:t>
      </w:r>
      <w:r w:rsidR="004945A1" w:rsidRPr="001005B7">
        <w:rPr>
          <w:rFonts w:cstheme="minorHAnsi"/>
        </w:rPr>
        <w:t>and</w:t>
      </w:r>
      <w:r w:rsidR="004945A1" w:rsidRPr="001005B7">
        <w:rPr>
          <w:rFonts w:cstheme="minorHAnsi"/>
          <w:i/>
          <w:iCs/>
        </w:rPr>
        <w:t xml:space="preserve"> </w:t>
      </w:r>
      <w:r w:rsidR="004945A1" w:rsidRPr="001005B7">
        <w:rPr>
          <w:rFonts w:cstheme="minorHAnsi"/>
        </w:rPr>
        <w:t>Yahweh</w:t>
      </w:r>
      <w:r w:rsidR="004945A1" w:rsidRPr="001005B7">
        <w:rPr>
          <w:rFonts w:cstheme="minorHAnsi"/>
          <w:i/>
          <w:iCs/>
        </w:rPr>
        <w:t xml:space="preserve"> </w:t>
      </w:r>
      <w:r w:rsidR="004945A1" w:rsidRPr="001005B7">
        <w:rPr>
          <w:rFonts w:cstheme="minorHAnsi"/>
        </w:rPr>
        <w:t>said,</w:t>
      </w:r>
      <w:r w:rsidR="007E4708" w:rsidRPr="001005B7">
        <w:rPr>
          <w:rFonts w:cstheme="minorHAnsi"/>
        </w:rPr>
        <w:t>”</w:t>
      </w:r>
      <w:r w:rsidR="004945A1" w:rsidRPr="001005B7">
        <w:rPr>
          <w:rFonts w:cstheme="minorHAnsi"/>
        </w:rPr>
        <w:t xml:space="preserve"> </w:t>
      </w:r>
      <w:r w:rsidR="00181ECB" w:rsidRPr="001005B7">
        <w:rPr>
          <w:sz w:val="18"/>
          <w:szCs w:val="18"/>
        </w:rPr>
        <w:t>LXX</w:t>
      </w:r>
      <w:r w:rsidR="004945A1" w:rsidRPr="001005B7">
        <w:rPr>
          <w:rFonts w:cstheme="minorHAnsi"/>
        </w:rPr>
        <w:t xml:space="preserve"> has “</w:t>
      </w:r>
      <w:r w:rsidR="00E23841" w:rsidRPr="001005B7">
        <w:rPr>
          <w:rFonts w:cstheme="minorHAnsi"/>
        </w:rPr>
        <w:t>a</w:t>
      </w:r>
      <w:r w:rsidR="005D47EF" w:rsidRPr="001005B7">
        <w:rPr>
          <w:rFonts w:cstheme="minorHAnsi"/>
        </w:rPr>
        <w:t xml:space="preserve">nd you will say, </w:t>
      </w:r>
      <w:r w:rsidR="007B29CA" w:rsidRPr="001005B7">
        <w:rPr>
          <w:rFonts w:cstheme="minorHAnsi"/>
        </w:rPr>
        <w:t>The Lord God of Israel says th</w:t>
      </w:r>
      <w:r w:rsidR="004873EE" w:rsidRPr="001005B7">
        <w:rPr>
          <w:rFonts w:cstheme="minorHAnsi"/>
        </w:rPr>
        <w:t>is</w:t>
      </w:r>
      <w:r w:rsidR="00CC0A5F" w:rsidRPr="001005B7">
        <w:rPr>
          <w:rFonts w:cstheme="minorHAnsi"/>
        </w:rPr>
        <w:t>,” which re</w:t>
      </w:r>
      <w:r w:rsidR="0096606D" w:rsidRPr="001005B7">
        <w:rPr>
          <w:rFonts w:cstheme="minorHAnsi"/>
        </w:rPr>
        <w:t xml:space="preserve">peats from 3:27 and </w:t>
      </w:r>
      <w:r w:rsidR="00CF4327" w:rsidRPr="001005B7">
        <w:rPr>
          <w:rFonts w:cstheme="minorHAnsi"/>
        </w:rPr>
        <w:t>indicates</w:t>
      </w:r>
      <w:r w:rsidR="0096606D" w:rsidRPr="001005B7">
        <w:rPr>
          <w:rFonts w:cstheme="minorHAnsi"/>
        </w:rPr>
        <w:t xml:space="preserve"> that Ezekiel is to explain what he is doing</w:t>
      </w:r>
      <w:r w:rsidR="00DF40C7" w:rsidRPr="001005B7">
        <w:rPr>
          <w:rFonts w:cstheme="minorHAnsi"/>
        </w:rPr>
        <w:t>. In</w:t>
      </w:r>
      <w:r w:rsidR="007F2A83" w:rsidRPr="001005B7">
        <w:rPr>
          <w:rFonts w:cstheme="minorHAnsi"/>
        </w:rPr>
        <w:t xml:space="preserve"> </w:t>
      </w:r>
      <w:r w:rsidR="009E266F" w:rsidRPr="001005B7">
        <w:rPr>
          <w:rFonts w:cstheme="minorHAnsi"/>
        </w:rPr>
        <w:t xml:space="preserve">5:4b </w:t>
      </w:r>
      <w:r w:rsidR="00DF40C7" w:rsidRPr="001005B7">
        <w:rPr>
          <w:rFonts w:cstheme="minorHAnsi"/>
        </w:rPr>
        <w:t>there is</w:t>
      </w:r>
      <w:r w:rsidR="009E266F" w:rsidRPr="001005B7">
        <w:rPr>
          <w:rFonts w:cstheme="minorHAnsi"/>
        </w:rPr>
        <w:t xml:space="preserve"> a similar extra clause</w:t>
      </w:r>
      <w:r w:rsidR="0096606D" w:rsidRPr="001005B7">
        <w:rPr>
          <w:rFonts w:cstheme="minorHAnsi"/>
        </w:rPr>
        <w:t>.</w:t>
      </w:r>
      <w:r w:rsidR="002F3204" w:rsidRPr="001005B7">
        <w:rPr>
          <w:rFonts w:cstheme="minorHAnsi"/>
        </w:rPr>
        <w:t xml:space="preserve"> </w:t>
      </w:r>
      <w:r w:rsidR="00142F60" w:rsidRPr="001005B7">
        <w:rPr>
          <w:sz w:val="18"/>
          <w:szCs w:val="18"/>
        </w:rPr>
        <w:t>LXX</w:t>
      </w:r>
      <w:r w:rsidR="002F3204" w:rsidRPr="001005B7">
        <w:rPr>
          <w:rFonts w:cstheme="minorHAnsi"/>
        </w:rPr>
        <w:t xml:space="preserve"> then lacks </w:t>
      </w:r>
      <w:r w:rsidR="00E23841" w:rsidRPr="001005B7">
        <w:rPr>
          <w:rFonts w:cstheme="minorHAnsi"/>
        </w:rPr>
        <w:t>“</w:t>
      </w:r>
      <w:r w:rsidR="00236AA9" w:rsidRPr="001005B7">
        <w:rPr>
          <w:rFonts w:cstheme="minorHAnsi"/>
        </w:rPr>
        <w:t>their</w:t>
      </w:r>
      <w:r w:rsidR="00236AA9" w:rsidRPr="001005B7">
        <w:rPr>
          <w:rFonts w:cstheme="minorHAnsi"/>
          <w:i/>
          <w:iCs/>
        </w:rPr>
        <w:t xml:space="preserve"> </w:t>
      </w:r>
      <w:r w:rsidR="00236AA9" w:rsidRPr="001005B7">
        <w:rPr>
          <w:rFonts w:cstheme="minorHAnsi"/>
        </w:rPr>
        <w:t>bread</w:t>
      </w:r>
      <w:r w:rsidR="00E23841" w:rsidRPr="001005B7">
        <w:rPr>
          <w:rFonts w:cstheme="minorHAnsi"/>
        </w:rPr>
        <w:t>”</w:t>
      </w:r>
      <w:r w:rsidR="00236AA9" w:rsidRPr="001005B7">
        <w:rPr>
          <w:rFonts w:cstheme="minorHAnsi"/>
        </w:rPr>
        <w:t xml:space="preserve"> and </w:t>
      </w:r>
      <w:r w:rsidR="00E23841" w:rsidRPr="001005B7">
        <w:rPr>
          <w:rFonts w:cstheme="minorHAnsi"/>
        </w:rPr>
        <w:t>“</w:t>
      </w:r>
      <w:r w:rsidR="00236AA9" w:rsidRPr="001005B7">
        <w:rPr>
          <w:rFonts w:cstheme="minorHAnsi"/>
        </w:rPr>
        <w:t>where</w:t>
      </w:r>
      <w:r w:rsidR="00E23841" w:rsidRPr="001005B7">
        <w:rPr>
          <w:rFonts w:cstheme="minorHAnsi"/>
        </w:rPr>
        <w:t xml:space="preserve"> I </w:t>
      </w:r>
      <w:r w:rsidR="00236AA9" w:rsidRPr="001005B7">
        <w:rPr>
          <w:rFonts w:cstheme="minorHAnsi"/>
        </w:rPr>
        <w:t>will</w:t>
      </w:r>
      <w:r w:rsidR="00236AA9" w:rsidRPr="001005B7">
        <w:rPr>
          <w:rFonts w:cstheme="minorHAnsi"/>
          <w:i/>
          <w:iCs/>
        </w:rPr>
        <w:t xml:space="preserve"> </w:t>
      </w:r>
      <w:r w:rsidR="00236AA9" w:rsidRPr="001005B7">
        <w:rPr>
          <w:rFonts w:cstheme="minorHAnsi"/>
        </w:rPr>
        <w:t>drive</w:t>
      </w:r>
      <w:r w:rsidR="00236AA9" w:rsidRPr="001005B7">
        <w:rPr>
          <w:rFonts w:cstheme="minorHAnsi"/>
          <w:i/>
          <w:iCs/>
        </w:rPr>
        <w:t xml:space="preserve"> </w:t>
      </w:r>
      <w:r w:rsidR="00236AA9" w:rsidRPr="001005B7">
        <w:rPr>
          <w:rFonts w:cstheme="minorHAnsi"/>
        </w:rPr>
        <w:t>them.</w:t>
      </w:r>
      <w:r w:rsidR="00E23841" w:rsidRPr="001005B7">
        <w:rPr>
          <w:rFonts w:cstheme="minorHAnsi"/>
        </w:rPr>
        <w:t>”</w:t>
      </w:r>
    </w:p>
    <w:p w14:paraId="380464D1" w14:textId="0C0A1308" w:rsidR="0044387D" w:rsidRPr="001005B7" w:rsidRDefault="003E40B2" w:rsidP="003E40B2">
      <w:pPr>
        <w:ind w:firstLine="0"/>
        <w:rPr>
          <w:rFonts w:cstheme="minorHAnsi"/>
        </w:rPr>
      </w:pPr>
      <w:r w:rsidRPr="001005B7">
        <w:rPr>
          <w:rFonts w:cstheme="minorHAnsi"/>
          <w:b/>
          <w:bCs/>
        </w:rPr>
        <w:t xml:space="preserve">4:14 </w:t>
      </w:r>
      <w:r w:rsidR="00DD2D7C" w:rsidRPr="001005B7">
        <w:rPr>
          <w:rFonts w:cstheme="minorHAnsi"/>
        </w:rPr>
        <w:t xml:space="preserve">Whereas </w:t>
      </w:r>
      <w:r w:rsidR="00711BA2" w:rsidRPr="001005B7">
        <w:rPr>
          <w:sz w:val="18"/>
          <w:szCs w:val="18"/>
        </w:rPr>
        <w:t>LXX</w:t>
      </w:r>
      <w:r w:rsidR="00DD2D7C" w:rsidRPr="001005B7">
        <w:rPr>
          <w:rFonts w:cstheme="minorHAnsi"/>
        </w:rPr>
        <w:t xml:space="preserve"> normally </w:t>
      </w:r>
      <w:r w:rsidR="00E25844" w:rsidRPr="001005B7">
        <w:rPr>
          <w:rFonts w:cstheme="minorHAnsi"/>
        </w:rPr>
        <w:t xml:space="preserve">has simple “the Lord” for </w:t>
      </w:r>
      <w:r w:rsidR="008635D0" w:rsidRPr="001005B7">
        <w:rPr>
          <w:sz w:val="18"/>
          <w:szCs w:val="18"/>
        </w:rPr>
        <w:t>MT</w:t>
      </w:r>
      <w:r w:rsidR="00E25844" w:rsidRPr="001005B7">
        <w:rPr>
          <w:rFonts w:cstheme="minorHAnsi"/>
        </w:rPr>
        <w:t xml:space="preserve">’s </w:t>
      </w:r>
      <w:r w:rsidR="0088527F" w:rsidRPr="001005B7">
        <w:rPr>
          <w:rFonts w:cstheme="minorHAnsi"/>
        </w:rPr>
        <w:t>“</w:t>
      </w:r>
      <w:r w:rsidR="00E25844" w:rsidRPr="001005B7">
        <w:rPr>
          <w:rFonts w:cstheme="minorHAnsi"/>
        </w:rPr>
        <w:t>the</w:t>
      </w:r>
      <w:r w:rsidR="00E25844" w:rsidRPr="001005B7">
        <w:rPr>
          <w:rFonts w:cstheme="minorHAnsi"/>
          <w:i/>
          <w:iCs/>
        </w:rPr>
        <w:t xml:space="preserve"> </w:t>
      </w:r>
      <w:r w:rsidR="00E25844" w:rsidRPr="001005B7">
        <w:rPr>
          <w:rFonts w:cstheme="minorHAnsi"/>
        </w:rPr>
        <w:t>Lord</w:t>
      </w:r>
      <w:r w:rsidR="00E25844" w:rsidRPr="001005B7">
        <w:rPr>
          <w:rFonts w:cstheme="minorHAnsi"/>
          <w:i/>
          <w:iCs/>
        </w:rPr>
        <w:t xml:space="preserve"> </w:t>
      </w:r>
      <w:r w:rsidR="00E25844" w:rsidRPr="001005B7">
        <w:rPr>
          <w:rFonts w:cstheme="minorHAnsi"/>
        </w:rPr>
        <w:t>Yahweh,</w:t>
      </w:r>
      <w:r w:rsidR="0088527F" w:rsidRPr="001005B7">
        <w:rPr>
          <w:rFonts w:cstheme="minorHAnsi"/>
        </w:rPr>
        <w:t>”</w:t>
      </w:r>
      <w:r w:rsidR="00E25844" w:rsidRPr="001005B7">
        <w:rPr>
          <w:rFonts w:cstheme="minorHAnsi"/>
        </w:rPr>
        <w:t xml:space="preserve"> here it has “</w:t>
      </w:r>
      <w:r w:rsidR="006532E1" w:rsidRPr="001005B7">
        <w:rPr>
          <w:rFonts w:cstheme="minorHAnsi"/>
        </w:rPr>
        <w:t>the Lord God of Israel”</w:t>
      </w:r>
      <w:r w:rsidR="002B5756" w:rsidRPr="001005B7">
        <w:rPr>
          <w:rFonts w:cstheme="minorHAnsi"/>
        </w:rPr>
        <w:t xml:space="preserve"> as in </w:t>
      </w:r>
      <w:r w:rsidR="00AC027B" w:rsidRPr="001005B7">
        <w:rPr>
          <w:rFonts w:cstheme="minorHAnsi"/>
        </w:rPr>
        <w:t>4:</w:t>
      </w:r>
      <w:r w:rsidR="002B5756" w:rsidRPr="001005B7">
        <w:rPr>
          <w:rFonts w:cstheme="minorHAnsi"/>
        </w:rPr>
        <w:t>13.</w:t>
      </w:r>
      <w:r w:rsidR="00F34067" w:rsidRPr="001005B7">
        <w:rPr>
          <w:rFonts w:cstheme="minorHAnsi"/>
        </w:rPr>
        <w:t xml:space="preserve"> </w:t>
      </w:r>
    </w:p>
    <w:p w14:paraId="28307AC9" w14:textId="27075CA7" w:rsidR="0044387D" w:rsidRPr="001005B7" w:rsidRDefault="00711BA2" w:rsidP="003E40B2">
      <w:pPr>
        <w:ind w:firstLine="0"/>
        <w:rPr>
          <w:rFonts w:cstheme="minorHAnsi"/>
        </w:rPr>
      </w:pPr>
      <w:r w:rsidRPr="001005B7">
        <w:rPr>
          <w:sz w:val="18"/>
          <w:szCs w:val="18"/>
        </w:rPr>
        <w:t>LXX</w:t>
      </w:r>
      <w:r w:rsidR="0044387D" w:rsidRPr="001005B7">
        <w:rPr>
          <w:rFonts w:cstheme="minorHAnsi"/>
        </w:rPr>
        <w:t xml:space="preserve"> “day-old</w:t>
      </w:r>
      <w:r w:rsidR="00B75D3E" w:rsidRPr="001005B7">
        <w:rPr>
          <w:rFonts w:cstheme="minorHAnsi"/>
        </w:rPr>
        <w:t xml:space="preserve">” explains </w:t>
      </w:r>
      <w:r w:rsidR="002E12B4" w:rsidRPr="001005B7">
        <w:rPr>
          <w:sz w:val="18"/>
          <w:szCs w:val="18"/>
        </w:rPr>
        <w:t>MT</w:t>
      </w:r>
      <w:r w:rsidR="00B75D3E" w:rsidRPr="001005B7">
        <w:rPr>
          <w:rFonts w:cstheme="minorHAnsi"/>
        </w:rPr>
        <w:t xml:space="preserve">’s </w:t>
      </w:r>
      <w:r w:rsidR="00B13276" w:rsidRPr="001005B7">
        <w:rPr>
          <w:rFonts w:cstheme="minorHAnsi"/>
          <w:rtl/>
          <w:lang w:bidi="he-IL"/>
        </w:rPr>
        <w:t>פִּגּוּל</w:t>
      </w:r>
      <w:r w:rsidR="00B75D3E" w:rsidRPr="001005B7">
        <w:rPr>
          <w:rFonts w:cstheme="minorHAnsi"/>
        </w:rPr>
        <w:t xml:space="preserve"> </w:t>
      </w:r>
      <w:r w:rsidR="00D44E3A" w:rsidRPr="001005B7">
        <w:rPr>
          <w:rFonts w:cstheme="minorHAnsi"/>
        </w:rPr>
        <w:t xml:space="preserve">(see the </w:t>
      </w:r>
      <w:r w:rsidR="0014238C" w:rsidRPr="001005B7">
        <w:rPr>
          <w:rFonts w:cstheme="minorHAnsi"/>
        </w:rPr>
        <w:t xml:space="preserve">verse-by-verse </w:t>
      </w:r>
      <w:r w:rsidR="00D44E3A" w:rsidRPr="001005B7">
        <w:rPr>
          <w:rFonts w:cstheme="minorHAnsi"/>
        </w:rPr>
        <w:t>commentary).</w:t>
      </w:r>
    </w:p>
    <w:p w14:paraId="54B83945" w14:textId="1ED8A45F" w:rsidR="00FB1BCA" w:rsidRPr="001005B7" w:rsidRDefault="003E40B2" w:rsidP="003E40B2">
      <w:pPr>
        <w:ind w:firstLine="0"/>
      </w:pPr>
      <w:r w:rsidRPr="001005B7">
        <w:rPr>
          <w:rFonts w:cstheme="minorHAnsi"/>
          <w:b/>
          <w:bCs/>
        </w:rPr>
        <w:t xml:space="preserve">5:2 </w:t>
      </w:r>
      <w:r w:rsidR="00710F5A" w:rsidRPr="001005B7">
        <w:rPr>
          <w:sz w:val="18"/>
          <w:szCs w:val="18"/>
        </w:rPr>
        <w:t>LXX</w:t>
      </w:r>
      <w:r w:rsidR="00B049D1" w:rsidRPr="001005B7">
        <w:rPr>
          <w:rFonts w:cstheme="minorHAnsi"/>
        </w:rPr>
        <w:t xml:space="preserve"> has quarters for </w:t>
      </w:r>
      <w:r w:rsidR="002E12B4" w:rsidRPr="001005B7">
        <w:rPr>
          <w:sz w:val="18"/>
          <w:szCs w:val="18"/>
        </w:rPr>
        <w:t>MT</w:t>
      </w:r>
      <w:r w:rsidR="00B049D1" w:rsidRPr="001005B7">
        <w:rPr>
          <w:rFonts w:cstheme="minorHAnsi"/>
        </w:rPr>
        <w:t>’s thirds</w:t>
      </w:r>
      <w:r w:rsidR="00B66E48" w:rsidRPr="001005B7">
        <w:rPr>
          <w:rFonts w:cstheme="minorHAnsi"/>
        </w:rPr>
        <w:t>,</w:t>
      </w:r>
      <w:r w:rsidR="00B57B76" w:rsidRPr="001005B7">
        <w:rPr>
          <w:rFonts w:cstheme="minorHAnsi"/>
        </w:rPr>
        <w:t xml:space="preserve"> </w:t>
      </w:r>
      <w:r w:rsidR="004B47BE" w:rsidRPr="001005B7">
        <w:rPr>
          <w:rFonts w:cstheme="minorHAnsi"/>
        </w:rPr>
        <w:t>perhaps because four</w:t>
      </w:r>
      <w:r w:rsidR="00D44895" w:rsidRPr="001005B7">
        <w:rPr>
          <w:rFonts w:cstheme="minorHAnsi"/>
        </w:rPr>
        <w:t>fold</w:t>
      </w:r>
      <w:r w:rsidR="00B62C53" w:rsidRPr="001005B7">
        <w:rPr>
          <w:rFonts w:cstheme="minorHAnsi"/>
        </w:rPr>
        <w:t>-</w:t>
      </w:r>
      <w:r w:rsidR="00D44895" w:rsidRPr="001005B7">
        <w:rPr>
          <w:rFonts w:cstheme="minorHAnsi"/>
        </w:rPr>
        <w:t>ness is more usual (e.g., 14:21</w:t>
      </w:r>
      <w:r w:rsidR="003975E1" w:rsidRPr="001005B7">
        <w:rPr>
          <w:rFonts w:cstheme="minorHAnsi"/>
        </w:rPr>
        <w:t>)</w:t>
      </w:r>
      <w:r w:rsidR="007D45E5" w:rsidRPr="001005B7">
        <w:rPr>
          <w:rFonts w:cstheme="minorHAnsi"/>
        </w:rPr>
        <w:t xml:space="preserve"> (</w:t>
      </w:r>
      <w:r w:rsidR="007D45E5" w:rsidRPr="001005B7">
        <w:t>Allen</w:t>
      </w:r>
      <w:r w:rsidR="00656A1E" w:rsidRPr="001005B7">
        <w:t>,</w:t>
      </w:r>
      <w:r w:rsidR="005A07EA" w:rsidRPr="001005B7">
        <w:t xml:space="preserve"> 1:</w:t>
      </w:r>
      <w:r w:rsidR="007D45E5" w:rsidRPr="001005B7">
        <w:t>51</w:t>
      </w:r>
      <w:r w:rsidR="00F46900" w:rsidRPr="001005B7">
        <w:t>–</w:t>
      </w:r>
      <w:r w:rsidR="007D45E5" w:rsidRPr="001005B7">
        <w:t>52</w:t>
      </w:r>
      <w:r w:rsidR="005A07EA" w:rsidRPr="001005B7">
        <w:t>)</w:t>
      </w:r>
      <w:r w:rsidR="0073255F" w:rsidRPr="001005B7">
        <w:t xml:space="preserve">, </w:t>
      </w:r>
      <w:r w:rsidR="0073255F" w:rsidRPr="001005B7">
        <w:rPr>
          <w:rFonts w:cstheme="minorHAnsi"/>
        </w:rPr>
        <w:t>and partially repeats the description of the first third to make the math work.</w:t>
      </w:r>
    </w:p>
    <w:p w14:paraId="62FB61DB" w14:textId="1C065C5F" w:rsidR="00651871" w:rsidRPr="001005B7" w:rsidRDefault="00150022" w:rsidP="00150022">
      <w:pPr>
        <w:ind w:firstLine="0"/>
        <w:rPr>
          <w:rFonts w:cstheme="minorHAnsi"/>
        </w:rPr>
      </w:pPr>
      <w:r w:rsidRPr="001005B7">
        <w:rPr>
          <w:rFonts w:cstheme="minorHAnsi"/>
          <w:b/>
          <w:bCs/>
        </w:rPr>
        <w:t xml:space="preserve">5:4 </w:t>
      </w:r>
      <w:r w:rsidR="00710F5A" w:rsidRPr="001005B7">
        <w:rPr>
          <w:sz w:val="18"/>
          <w:szCs w:val="18"/>
        </w:rPr>
        <w:t>LXX</w:t>
      </w:r>
      <w:r w:rsidR="00710F5A" w:rsidRPr="001005B7">
        <w:t xml:space="preserve"> </w:t>
      </w:r>
      <w:r w:rsidR="00234D14" w:rsidRPr="001005B7">
        <w:rPr>
          <w:rFonts w:cstheme="minorHAnsi"/>
        </w:rPr>
        <w:t xml:space="preserve">links </w:t>
      </w:r>
      <w:r w:rsidR="00D65F59">
        <w:rPr>
          <w:rFonts w:cstheme="minorHAnsi"/>
        </w:rPr>
        <w:t>“</w:t>
      </w:r>
      <w:r w:rsidR="007A6D45" w:rsidRPr="00D65F59">
        <w:t>to</w:t>
      </w:r>
      <w:r w:rsidR="00D65F59">
        <w:t xml:space="preserve"> Israel’s</w:t>
      </w:r>
      <w:r w:rsidR="007A6D45" w:rsidRPr="001005B7">
        <w:rPr>
          <w:i/>
          <w:iCs/>
        </w:rPr>
        <w:t xml:space="preserve"> </w:t>
      </w:r>
      <w:r w:rsidR="007A6D45" w:rsidRPr="00D65F59">
        <w:t>entire</w:t>
      </w:r>
      <w:r w:rsidR="007A6D45" w:rsidRPr="001005B7">
        <w:rPr>
          <w:i/>
          <w:iCs/>
        </w:rPr>
        <w:t xml:space="preserve"> </w:t>
      </w:r>
      <w:r w:rsidR="007A6D45" w:rsidRPr="00D65F59">
        <w:t>househol</w:t>
      </w:r>
      <w:r w:rsidR="00D65F59">
        <w:t>d”</w:t>
      </w:r>
      <w:r w:rsidR="007A6D45" w:rsidRPr="001005B7">
        <w:rPr>
          <w:i/>
          <w:iCs/>
        </w:rPr>
        <w:t xml:space="preserve"> </w:t>
      </w:r>
      <w:r w:rsidR="007A6D45" w:rsidRPr="001005B7">
        <w:t xml:space="preserve">with the beginning of </w:t>
      </w:r>
      <w:r w:rsidR="00212A8B">
        <w:t>5</w:t>
      </w:r>
      <w:r w:rsidR="00AC027B" w:rsidRPr="001005B7">
        <w:t>:</w:t>
      </w:r>
      <w:r w:rsidR="007A6D45" w:rsidRPr="001005B7">
        <w:t>5</w:t>
      </w:r>
      <w:r w:rsidR="005B722B" w:rsidRPr="001005B7">
        <w:t>, preceding it with “and you will say.”</w:t>
      </w:r>
    </w:p>
    <w:p w14:paraId="5A7C74F5" w14:textId="1D7C9996" w:rsidR="00876346" w:rsidRPr="001005B7" w:rsidRDefault="00876346" w:rsidP="00493833">
      <w:pPr>
        <w:pStyle w:val="Heading3"/>
      </w:pPr>
      <w:r w:rsidRPr="001005B7">
        <w:t>Verse-by-Verse Commentary</w:t>
      </w:r>
    </w:p>
    <w:p w14:paraId="25F3C904" w14:textId="4CB6F354" w:rsidR="00E61DE4" w:rsidRPr="001005B7" w:rsidRDefault="009C13FE" w:rsidP="00F73510">
      <w:r w:rsidRPr="001005B7">
        <w:rPr>
          <w:b/>
          <w:bCs/>
        </w:rPr>
        <w:t>4:1</w:t>
      </w:r>
      <w:r w:rsidR="00F46900" w:rsidRPr="001005B7">
        <w:rPr>
          <w:b/>
          <w:bCs/>
        </w:rPr>
        <w:t>–</w:t>
      </w:r>
      <w:r w:rsidR="00B34D81" w:rsidRPr="001005B7">
        <w:rPr>
          <w:b/>
          <w:bCs/>
        </w:rPr>
        <w:t>2</w:t>
      </w:r>
      <w:r w:rsidR="0097158F" w:rsidRPr="001005B7">
        <w:t xml:space="preserve"> Yahweh bids Ezekiel etch a complex </w:t>
      </w:r>
      <w:r w:rsidR="00F76A54" w:rsidRPr="001005B7">
        <w:t xml:space="preserve">picture on what </w:t>
      </w:r>
      <w:r w:rsidR="00E16F2C" w:rsidRPr="001005B7">
        <w:t>would need to</w:t>
      </w:r>
      <w:r w:rsidR="00F76A54" w:rsidRPr="001005B7">
        <w:t xml:space="preserve"> be a large tile</w:t>
      </w:r>
      <w:r w:rsidR="008B090E" w:rsidRPr="001005B7">
        <w:t xml:space="preserve">, or perhaps </w:t>
      </w:r>
      <w:r w:rsidR="00DD5713" w:rsidRPr="001005B7">
        <w:t>to</w:t>
      </w:r>
      <w:r w:rsidR="008B090E" w:rsidRPr="001005B7">
        <w:t xml:space="preserve"> inscribe the</w:t>
      </w:r>
      <w:r w:rsidR="007B2A4F" w:rsidRPr="001005B7">
        <w:t xml:space="preserve"> city’s</w:t>
      </w:r>
      <w:r w:rsidR="008B090E" w:rsidRPr="001005B7">
        <w:t xml:space="preserve"> outline </w:t>
      </w:r>
      <w:r w:rsidR="00F61677" w:rsidRPr="001005B7">
        <w:t xml:space="preserve">on the tile </w:t>
      </w:r>
      <w:r w:rsidR="008B090E" w:rsidRPr="001005B7">
        <w:t>and</w:t>
      </w:r>
      <w:r w:rsidR="00981100" w:rsidRPr="001005B7">
        <w:t xml:space="preserve"> </w:t>
      </w:r>
      <w:r w:rsidR="005C337F" w:rsidRPr="001005B7">
        <w:t>add</w:t>
      </w:r>
      <w:r w:rsidR="000F6910" w:rsidRPr="001005B7">
        <w:t xml:space="preserve"> </w:t>
      </w:r>
      <w:r w:rsidR="008B090E" w:rsidRPr="001005B7">
        <w:t xml:space="preserve">models of </w:t>
      </w:r>
      <w:r w:rsidR="009C2880" w:rsidRPr="001005B7">
        <w:t xml:space="preserve">the </w:t>
      </w:r>
      <w:r w:rsidR="008B553F" w:rsidRPr="001005B7">
        <w:t>things involved</w:t>
      </w:r>
      <w:r w:rsidR="009C2880" w:rsidRPr="001005B7">
        <w:t xml:space="preserve"> in a siege.</w:t>
      </w:r>
      <w:r w:rsidR="00441D5F" w:rsidRPr="001005B7">
        <w:t xml:space="preserve"> </w:t>
      </w:r>
      <w:r w:rsidR="003F0CBC" w:rsidRPr="001005B7">
        <w:t xml:space="preserve">The word for a tile or mud-brick </w:t>
      </w:r>
      <w:r w:rsidR="003F0CBC" w:rsidRPr="001005B7">
        <w:rPr>
          <w:rFonts w:cstheme="minorHAnsi"/>
        </w:rPr>
        <w:t>“refers to an air-dried brick and not one that has been fired” (</w:t>
      </w:r>
      <w:proofErr w:type="spellStart"/>
      <w:r w:rsidR="003F0CBC" w:rsidRPr="001005B7">
        <w:t>Zimmerli</w:t>
      </w:r>
      <w:proofErr w:type="spellEnd"/>
      <w:r w:rsidR="00BF2EAD" w:rsidRPr="001005B7">
        <w:t>,</w:t>
      </w:r>
      <w:r w:rsidR="003F0CBC" w:rsidRPr="001005B7">
        <w:t xml:space="preserve"> 1:161)</w:t>
      </w:r>
      <w:r w:rsidR="00EA02AB" w:rsidRPr="001005B7">
        <w:t>. E</w:t>
      </w:r>
      <w:r w:rsidR="003F0CBC" w:rsidRPr="001005B7">
        <w:rPr>
          <w:rFonts w:cstheme="minorHAnsi"/>
        </w:rPr>
        <w:t xml:space="preserve">tching </w:t>
      </w:r>
      <w:r w:rsidR="00EA02AB" w:rsidRPr="001005B7">
        <w:rPr>
          <w:rFonts w:cstheme="minorHAnsi"/>
        </w:rPr>
        <w:t xml:space="preserve">on it </w:t>
      </w:r>
      <w:r w:rsidR="003F0CBC" w:rsidRPr="001005B7">
        <w:rPr>
          <w:rFonts w:cstheme="minorHAnsi"/>
        </w:rPr>
        <w:t>would therefore be feasible</w:t>
      </w:r>
      <w:r w:rsidR="00B44C15" w:rsidRPr="001005B7">
        <w:rPr>
          <w:rFonts w:cstheme="minorHAnsi"/>
        </w:rPr>
        <w:t>. W</w:t>
      </w:r>
      <w:r w:rsidR="003F0CBC" w:rsidRPr="001005B7">
        <w:t>e know of examples of such inscribing of town plans and sieges.</w:t>
      </w:r>
      <w:r w:rsidR="003F0CBC" w:rsidRPr="001005B7">
        <w:rPr>
          <w:rStyle w:val="FootnoteReference"/>
        </w:rPr>
        <w:footnoteReference w:id="165"/>
      </w:r>
      <w:r w:rsidR="003F0CBC" w:rsidRPr="001005B7">
        <w:t xml:space="preserve"> </w:t>
      </w:r>
      <w:r w:rsidR="002F1DB9" w:rsidRPr="001005B7">
        <w:t>O</w:t>
      </w:r>
      <w:r w:rsidR="00D43566" w:rsidRPr="001005B7">
        <w:t xml:space="preserve">nly at the very end </w:t>
      </w:r>
      <w:r w:rsidR="002F1DB9" w:rsidRPr="001005B7">
        <w:t xml:space="preserve">of 4:1 </w:t>
      </w:r>
      <w:r w:rsidR="00D43566" w:rsidRPr="001005B7">
        <w:t>is Jerusalem named</w:t>
      </w:r>
      <w:r w:rsidR="003669BC" w:rsidRPr="001005B7">
        <w:t>, and up</w:t>
      </w:r>
      <w:r w:rsidR="00D43566" w:rsidRPr="001005B7">
        <w:t xml:space="preserve"> to that point Ezekiel’s audience </w:t>
      </w:r>
      <w:r w:rsidR="00DC5B4B" w:rsidRPr="001005B7">
        <w:t>might</w:t>
      </w:r>
      <w:r w:rsidR="00D43566" w:rsidRPr="001005B7">
        <w:t xml:space="preserve"> imagine he </w:t>
      </w:r>
      <w:r w:rsidR="00DC5B4B" w:rsidRPr="001005B7">
        <w:t>wa</w:t>
      </w:r>
      <w:r w:rsidR="00D43566" w:rsidRPr="001005B7">
        <w:t>s promising the fall of Babylon.</w:t>
      </w:r>
      <w:r w:rsidR="00D43566" w:rsidRPr="001005B7">
        <w:rPr>
          <w:rStyle w:val="FootnoteReference"/>
        </w:rPr>
        <w:footnoteReference w:id="166"/>
      </w:r>
      <w:r w:rsidR="00D43566" w:rsidRPr="001005B7">
        <w:t xml:space="preserve"> </w:t>
      </w:r>
      <w:r w:rsidR="006943B0" w:rsidRPr="001005B7">
        <w:t xml:space="preserve">The </w:t>
      </w:r>
      <w:r w:rsidR="008D7CF5" w:rsidRPr="001005B7">
        <w:t xml:space="preserve">nature of a sign act </w:t>
      </w:r>
      <w:r w:rsidR="001277FF" w:rsidRPr="001005B7">
        <w:t xml:space="preserve">could mean that </w:t>
      </w:r>
      <w:r w:rsidR="006943B0" w:rsidRPr="001005B7">
        <w:t>etching and</w:t>
      </w:r>
      <w:r w:rsidR="00B35AD1" w:rsidRPr="001005B7">
        <w:t xml:space="preserve"> </w:t>
      </w:r>
      <w:r w:rsidR="00021BEA" w:rsidRPr="001005B7">
        <w:t>model-</w:t>
      </w:r>
      <w:r w:rsidR="006943B0" w:rsidRPr="001005B7">
        <w:t xml:space="preserve">making </w:t>
      </w:r>
      <w:r w:rsidR="00021BEA" w:rsidRPr="001005B7">
        <w:t>at</w:t>
      </w:r>
      <w:r w:rsidR="00B35AD1" w:rsidRPr="001005B7">
        <w:t xml:space="preserve"> Yahweh’s bidding </w:t>
      </w:r>
      <w:r w:rsidR="001277FF" w:rsidRPr="001005B7">
        <w:t>initiate</w:t>
      </w:r>
      <w:r w:rsidR="00B35AD1" w:rsidRPr="001005B7">
        <w:t xml:space="preserve"> the </w:t>
      </w:r>
      <w:r w:rsidR="00297205" w:rsidRPr="001005B7">
        <w:t xml:space="preserve">actual </w:t>
      </w:r>
      <w:r w:rsidR="00B35AD1" w:rsidRPr="001005B7">
        <w:t>process of siege.</w:t>
      </w:r>
      <w:r w:rsidR="006943B0" w:rsidRPr="001005B7">
        <w:t xml:space="preserve"> </w:t>
      </w:r>
      <w:r w:rsidR="004878E1" w:rsidRPr="001005B7">
        <w:t xml:space="preserve">A </w:t>
      </w:r>
      <w:r w:rsidR="008819C4" w:rsidRPr="001005B7">
        <w:t xml:space="preserve">siege </w:t>
      </w:r>
      <w:r w:rsidR="00625AC2" w:rsidRPr="001005B7">
        <w:t xml:space="preserve">implies the </w:t>
      </w:r>
      <w:r w:rsidR="00BF36C5" w:rsidRPr="001005B7">
        <w:t xml:space="preserve">city’s </w:t>
      </w:r>
      <w:r w:rsidR="001515DA" w:rsidRPr="001005B7">
        <w:t>population</w:t>
      </w:r>
      <w:r w:rsidR="00BF36C5" w:rsidRPr="001005B7">
        <w:t xml:space="preserve"> </w:t>
      </w:r>
      <w:r w:rsidR="001515DA" w:rsidRPr="001005B7">
        <w:t>withdraw</w:t>
      </w:r>
      <w:r w:rsidR="00BF36C5" w:rsidRPr="001005B7">
        <w:t>ing</w:t>
      </w:r>
      <w:r w:rsidR="001515DA" w:rsidRPr="001005B7">
        <w:t xml:space="preserve"> behind its walls and bar</w:t>
      </w:r>
      <w:r w:rsidR="00BF36C5" w:rsidRPr="001005B7">
        <w:t>ring</w:t>
      </w:r>
      <w:r w:rsidR="001515DA" w:rsidRPr="001005B7">
        <w:t xml:space="preserve"> its gates</w:t>
      </w:r>
      <w:r w:rsidR="008F46D2" w:rsidRPr="001005B7">
        <w:t>,</w:t>
      </w:r>
      <w:r w:rsidR="004878E1" w:rsidRPr="001005B7">
        <w:t xml:space="preserve"> an</w:t>
      </w:r>
      <w:r w:rsidR="008F46D2" w:rsidRPr="001005B7">
        <w:t>d</w:t>
      </w:r>
      <w:r w:rsidR="004878E1" w:rsidRPr="001005B7">
        <w:t xml:space="preserve"> the attackers blockading it</w:t>
      </w:r>
      <w:r w:rsidR="00C535DB" w:rsidRPr="001005B7">
        <w:t>, all</w:t>
      </w:r>
      <w:r w:rsidR="00C535DB" w:rsidRPr="001005B7">
        <w:rPr>
          <w:i/>
          <w:iCs/>
        </w:rPr>
        <w:t xml:space="preserve"> </w:t>
      </w:r>
      <w:r w:rsidR="00C535DB" w:rsidRPr="001005B7">
        <w:t>around</w:t>
      </w:r>
      <w:r w:rsidR="004878E1" w:rsidRPr="001005B7">
        <w:t xml:space="preserve">. </w:t>
      </w:r>
      <w:r w:rsidR="008F46D2" w:rsidRPr="001005B7">
        <w:t xml:space="preserve">The term </w:t>
      </w:r>
      <w:r w:rsidR="00775CC4" w:rsidRPr="001005B7">
        <w:t>“blockade”</w:t>
      </w:r>
      <w:r w:rsidR="00B43527" w:rsidRPr="001005B7">
        <w:t xml:space="preserve"> </w:t>
      </w:r>
      <w:r w:rsidR="00F40406" w:rsidRPr="001005B7">
        <w:t>(</w:t>
      </w:r>
      <w:r w:rsidR="00FC214C" w:rsidRPr="001005B7">
        <w:rPr>
          <w:rFonts w:cstheme="minorHAnsi"/>
          <w:rtl/>
          <w:lang w:bidi="he-IL"/>
        </w:rPr>
        <w:t>מָצוֹר</w:t>
      </w:r>
      <w:r w:rsidR="00B63627" w:rsidRPr="001005B7">
        <w:t xml:space="preserve">) </w:t>
      </w:r>
      <w:r w:rsidR="00921E3B" w:rsidRPr="001005B7">
        <w:t>is define</w:t>
      </w:r>
      <w:r w:rsidR="00EC56EA" w:rsidRPr="001005B7">
        <w:t>d in terms of four features</w:t>
      </w:r>
      <w:r w:rsidR="00CF6067" w:rsidRPr="001005B7">
        <w:t>,</w:t>
      </w:r>
      <w:r w:rsidR="00B00C06" w:rsidRPr="001005B7">
        <w:t xml:space="preserve"> </w:t>
      </w:r>
      <w:r w:rsidR="003C07F0" w:rsidRPr="001005B7">
        <w:t>listed in somewhat random order</w:t>
      </w:r>
      <w:r w:rsidR="003953B8" w:rsidRPr="001005B7">
        <w:t>. Their</w:t>
      </w:r>
      <w:r w:rsidR="00B00C06" w:rsidRPr="001005B7">
        <w:t xml:space="preserve"> nature involves some guesswork</w:t>
      </w:r>
      <w:r w:rsidR="00EC56EA" w:rsidRPr="001005B7">
        <w:t xml:space="preserve">. </w:t>
      </w:r>
      <w:r w:rsidR="0041311F" w:rsidRPr="001005B7">
        <w:t>But they</w:t>
      </w:r>
      <w:r w:rsidR="00921E3B" w:rsidRPr="001005B7">
        <w:t xml:space="preserve"> </w:t>
      </w:r>
      <w:r w:rsidR="00CA15F2" w:rsidRPr="001005B7">
        <w:t>might</w:t>
      </w:r>
      <w:r w:rsidR="00FF715E" w:rsidRPr="001005B7">
        <w:t xml:space="preserve"> </w:t>
      </w:r>
      <w:r w:rsidR="00921E3B" w:rsidRPr="001005B7">
        <w:t>involv</w:t>
      </w:r>
      <w:r w:rsidR="002A7EBA" w:rsidRPr="001005B7">
        <w:t>e</w:t>
      </w:r>
      <w:r w:rsidR="00DF4178" w:rsidRPr="001005B7">
        <w:t xml:space="preserve"> a </w:t>
      </w:r>
      <w:r w:rsidR="00710148" w:rsidRPr="001005B7">
        <w:t>“</w:t>
      </w:r>
      <w:r w:rsidR="00DF4178" w:rsidRPr="001005B7">
        <w:t>siege tower</w:t>
      </w:r>
      <w:r w:rsidR="0031787F" w:rsidRPr="001005B7">
        <w:t>” (</w:t>
      </w:r>
      <w:r w:rsidR="00302BD3" w:rsidRPr="001005B7">
        <w:rPr>
          <w:rFonts w:cstheme="minorHAnsi"/>
          <w:rtl/>
          <w:lang w:bidi="he-IL"/>
        </w:rPr>
        <w:t>דָּיֵ</w:t>
      </w:r>
      <w:r w:rsidR="002404DB" w:rsidRPr="001005B7">
        <w:rPr>
          <w:rFonts w:cstheme="minorHAnsi"/>
          <w:rtl/>
          <w:lang w:bidi="he-IL"/>
        </w:rPr>
        <w:t>ק</w:t>
      </w:r>
      <w:r w:rsidR="002404DB" w:rsidRPr="001005B7">
        <w:t>)</w:t>
      </w:r>
      <w:r w:rsidR="004B54A2" w:rsidRPr="001005B7">
        <w:t xml:space="preserve"> from which archers </w:t>
      </w:r>
      <w:r w:rsidR="00FD7457" w:rsidRPr="001005B7">
        <w:t>w</w:t>
      </w:r>
      <w:r w:rsidR="006F6642" w:rsidRPr="001005B7">
        <w:t>ould</w:t>
      </w:r>
      <w:r w:rsidR="00DF6AAE" w:rsidRPr="001005B7">
        <w:t xml:space="preserve"> fire at the city’s defenders, especially when the</w:t>
      </w:r>
      <w:r w:rsidR="002635A1" w:rsidRPr="001005B7">
        <w:t xml:space="preserve"> defenders</w:t>
      </w:r>
      <w:r w:rsidR="00DF6AAE" w:rsidRPr="001005B7">
        <w:t xml:space="preserve"> were </w:t>
      </w:r>
      <w:r w:rsidR="002A7EBA" w:rsidRPr="001005B7">
        <w:t xml:space="preserve">themselves </w:t>
      </w:r>
      <w:r w:rsidR="00DF6AAE" w:rsidRPr="001005B7">
        <w:t xml:space="preserve">seeking to </w:t>
      </w:r>
      <w:r w:rsidR="00DB364C" w:rsidRPr="001005B7">
        <w:t>fire at the attackers</w:t>
      </w:r>
      <w:r w:rsidR="00CC255D" w:rsidRPr="001005B7">
        <w:t xml:space="preserve">. </w:t>
      </w:r>
      <w:r w:rsidR="00CF620E" w:rsidRPr="001005B7">
        <w:t>“</w:t>
      </w:r>
      <w:r w:rsidR="00926126" w:rsidRPr="001005B7">
        <w:t>C</w:t>
      </w:r>
      <w:r w:rsidR="004C02FF" w:rsidRPr="001005B7">
        <w:t>amp</w:t>
      </w:r>
      <w:r w:rsidR="001C7DA5" w:rsidRPr="001005B7">
        <w:t>s</w:t>
      </w:r>
      <w:r w:rsidR="00B84C62" w:rsidRPr="001005B7">
        <w:t>” (</w:t>
      </w:r>
      <w:r w:rsidR="00926126" w:rsidRPr="001005B7">
        <w:rPr>
          <w:rFonts w:cstheme="minorHAnsi"/>
          <w:rtl/>
          <w:lang w:bidi="he-IL"/>
        </w:rPr>
        <w:t>מַחֲנֶה</w:t>
      </w:r>
      <w:r w:rsidR="00926126" w:rsidRPr="001005B7">
        <w:t>) i</w:t>
      </w:r>
      <w:r w:rsidR="004C02FF" w:rsidRPr="001005B7">
        <w:t>n this context is a term for the</w:t>
      </w:r>
      <w:r w:rsidR="00E03656" w:rsidRPr="001005B7">
        <w:t xml:space="preserve"> </w:t>
      </w:r>
      <w:r w:rsidR="004C02FF" w:rsidRPr="001005B7">
        <w:t>army</w:t>
      </w:r>
      <w:r w:rsidR="0068473D" w:rsidRPr="001005B7">
        <w:t>, which</w:t>
      </w:r>
      <w:r w:rsidR="00CC255D" w:rsidRPr="001005B7">
        <w:t xml:space="preserve"> </w:t>
      </w:r>
      <w:r w:rsidR="00C83787" w:rsidRPr="001005B7">
        <w:t>would</w:t>
      </w:r>
      <w:r w:rsidR="000A3D22" w:rsidRPr="001005B7">
        <w:t xml:space="preserve"> </w:t>
      </w:r>
      <w:r w:rsidR="006E474F" w:rsidRPr="001005B7">
        <w:t>erect</w:t>
      </w:r>
      <w:r w:rsidR="00FE1506" w:rsidRPr="001005B7">
        <w:t xml:space="preserve"> </w:t>
      </w:r>
      <w:r w:rsidR="00C83787" w:rsidRPr="001005B7">
        <w:t>a</w:t>
      </w:r>
      <w:r w:rsidR="000A3D22" w:rsidRPr="001005B7">
        <w:t>n earthen</w:t>
      </w:r>
      <w:r w:rsidR="00C83787" w:rsidRPr="001005B7">
        <w:t xml:space="preserve"> </w:t>
      </w:r>
      <w:r w:rsidR="00D57FF1" w:rsidRPr="001005B7">
        <w:t>“</w:t>
      </w:r>
      <w:r w:rsidR="00C83787" w:rsidRPr="001005B7">
        <w:t>ramp</w:t>
      </w:r>
      <w:r w:rsidR="00D57FF1" w:rsidRPr="001005B7">
        <w:t>”</w:t>
      </w:r>
      <w:r w:rsidR="00EA7F56" w:rsidRPr="001005B7">
        <w:t xml:space="preserve"> (</w:t>
      </w:r>
      <w:r w:rsidR="00FE0AEF" w:rsidRPr="001005B7">
        <w:rPr>
          <w:rFonts w:cstheme="minorHAnsi"/>
          <w:rtl/>
          <w:lang w:bidi="he-IL"/>
        </w:rPr>
        <w:t>סֹל</w:t>
      </w:r>
      <w:r w:rsidR="00820E48" w:rsidRPr="001005B7">
        <w:rPr>
          <w:rFonts w:cstheme="minorHAnsi"/>
          <w:rtl/>
          <w:lang w:bidi="he-IL"/>
        </w:rPr>
        <w:t>ְלָה</w:t>
      </w:r>
      <w:r w:rsidR="00820E48" w:rsidRPr="001005B7">
        <w:t>)</w:t>
      </w:r>
      <w:r w:rsidR="006E474F" w:rsidRPr="001005B7">
        <w:t xml:space="preserve"> for</w:t>
      </w:r>
      <w:r w:rsidR="0068473D" w:rsidRPr="001005B7">
        <w:t xml:space="preserve"> </w:t>
      </w:r>
      <w:r w:rsidR="008D7E3D" w:rsidRPr="001005B7">
        <w:t>“</w:t>
      </w:r>
      <w:r w:rsidR="00B27507" w:rsidRPr="001005B7">
        <w:t>batt</w:t>
      </w:r>
      <w:r w:rsidR="0014456E" w:rsidRPr="001005B7">
        <w:t>ering rams</w:t>
      </w:r>
      <w:r w:rsidR="008D7E3D" w:rsidRPr="001005B7">
        <w:t>”</w:t>
      </w:r>
      <w:r w:rsidR="00262A44" w:rsidRPr="001005B7">
        <w:t xml:space="preserve"> </w:t>
      </w:r>
      <w:r w:rsidR="00AB2887" w:rsidRPr="001005B7">
        <w:t>(</w:t>
      </w:r>
      <w:r w:rsidR="00AB2887" w:rsidRPr="001005B7">
        <w:rPr>
          <w:rFonts w:cstheme="minorHAnsi"/>
          <w:rtl/>
          <w:lang w:bidi="he-IL"/>
        </w:rPr>
        <w:t>כ</w:t>
      </w:r>
      <w:r w:rsidR="00F86DA0" w:rsidRPr="001005B7">
        <w:rPr>
          <w:rFonts w:cstheme="minorHAnsi"/>
          <w:rtl/>
          <w:lang w:bidi="he-IL"/>
        </w:rPr>
        <w:t>ּ</w:t>
      </w:r>
      <w:r w:rsidR="00AB2887" w:rsidRPr="001005B7">
        <w:rPr>
          <w:rFonts w:cstheme="minorHAnsi"/>
          <w:rtl/>
          <w:lang w:bidi="he-IL"/>
        </w:rPr>
        <w:t>ָר</w:t>
      </w:r>
      <w:r w:rsidR="00F86DA0" w:rsidRPr="001005B7">
        <w:t>)</w:t>
      </w:r>
      <w:r w:rsidR="00151061" w:rsidRPr="001005B7">
        <w:t>,</w:t>
      </w:r>
      <w:r w:rsidR="00F86DA0" w:rsidRPr="001005B7">
        <w:t xml:space="preserve"> </w:t>
      </w:r>
      <w:r w:rsidR="001F70ED" w:rsidRPr="001005B7">
        <w:t xml:space="preserve">to </w:t>
      </w:r>
      <w:r w:rsidR="00C535DB" w:rsidRPr="001005B7">
        <w:t xml:space="preserve">make breaches in the wall. </w:t>
      </w:r>
      <w:r w:rsidR="008E3569" w:rsidRPr="001005B7">
        <w:t xml:space="preserve">Ezekiel </w:t>
      </w:r>
      <w:r w:rsidR="00AD7E56" w:rsidRPr="001005B7">
        <w:t xml:space="preserve">could </w:t>
      </w:r>
      <w:r w:rsidR="008E3569" w:rsidRPr="001005B7">
        <w:t>kn</w:t>
      </w:r>
      <w:r w:rsidR="009B3C3B" w:rsidRPr="001005B7">
        <w:t>o</w:t>
      </w:r>
      <w:r w:rsidR="008E3569" w:rsidRPr="001005B7">
        <w:t>w what the</w:t>
      </w:r>
      <w:r w:rsidR="009B3C3B" w:rsidRPr="001005B7">
        <w:t xml:space="preserve"> city</w:t>
      </w:r>
      <w:r w:rsidR="008E3569" w:rsidRPr="001005B7">
        <w:t xml:space="preserve"> w</w:t>
      </w:r>
      <w:r w:rsidR="009B3C3B" w:rsidRPr="001005B7">
        <w:t>as</w:t>
      </w:r>
      <w:r w:rsidR="008E3569" w:rsidRPr="001005B7">
        <w:t xml:space="preserve"> to expect</w:t>
      </w:r>
      <w:r w:rsidR="00BC11C2" w:rsidRPr="001005B7">
        <w:t>, having</w:t>
      </w:r>
      <w:r w:rsidR="008E3569" w:rsidRPr="001005B7">
        <w:t xml:space="preserve"> seen the siege of 597</w:t>
      </w:r>
      <w:r w:rsidR="0077556F" w:rsidRPr="001005B7">
        <w:t xml:space="preserve"> (Brownlee, 64).</w:t>
      </w:r>
      <w:r w:rsidR="00C02DBB" w:rsidRPr="001005B7">
        <w:t xml:space="preserve"> </w:t>
      </w:r>
      <w:r w:rsidR="008C09DA" w:rsidRPr="001005B7">
        <w:t>A</w:t>
      </w:r>
      <w:r w:rsidR="00D55138" w:rsidRPr="001005B7">
        <w:t xml:space="preserve"> wall </w:t>
      </w:r>
      <w:r w:rsidR="00517516" w:rsidRPr="001005B7">
        <w:t>sculpture</w:t>
      </w:r>
      <w:r w:rsidR="005C5824" w:rsidRPr="001005B7">
        <w:t xml:space="preserve"> from Nineveh portraying </w:t>
      </w:r>
      <w:r w:rsidR="002E4480" w:rsidRPr="001005B7">
        <w:t xml:space="preserve">Sennacherib’s </w:t>
      </w:r>
      <w:r w:rsidR="005C5824" w:rsidRPr="001005B7">
        <w:t>storming of Lachish</w:t>
      </w:r>
      <w:r w:rsidR="002E4480" w:rsidRPr="001005B7">
        <w:t xml:space="preserve"> pictures </w:t>
      </w:r>
      <w:r w:rsidR="00307C73" w:rsidRPr="001005B7">
        <w:t xml:space="preserve">bowmen and soldiers throwing stones and firebrands </w:t>
      </w:r>
      <w:r w:rsidR="00EA67FF" w:rsidRPr="001005B7">
        <w:t xml:space="preserve">at the attackers and a track of logs </w:t>
      </w:r>
      <w:r w:rsidR="00D01CAF" w:rsidRPr="001005B7">
        <w:t xml:space="preserve">over which the </w:t>
      </w:r>
      <w:r w:rsidR="003E63FC" w:rsidRPr="001005B7">
        <w:t>Assyrians</w:t>
      </w:r>
      <w:r w:rsidR="00D01CAF" w:rsidRPr="001005B7">
        <w:t xml:space="preserve"> have pushed a siege engine with a spear-like beam</w:t>
      </w:r>
      <w:r w:rsidR="00BE2B06" w:rsidRPr="001005B7">
        <w:t>,</w:t>
      </w:r>
      <w:r w:rsidR="00DD0A1D" w:rsidRPr="001005B7">
        <w:t xml:space="preserve"> with which they aim to destroy </w:t>
      </w:r>
      <w:r w:rsidR="00803BBF" w:rsidRPr="001005B7">
        <w:t>a tower</w:t>
      </w:r>
      <w:r w:rsidR="00A27836" w:rsidRPr="001005B7">
        <w:t>.</w:t>
      </w:r>
      <w:r w:rsidR="00A27836" w:rsidRPr="001005B7">
        <w:rPr>
          <w:rStyle w:val="FootnoteReference"/>
        </w:rPr>
        <w:footnoteReference w:id="167"/>
      </w:r>
      <w:r w:rsidR="00C97233" w:rsidRPr="001005B7">
        <w:t xml:space="preserve"> </w:t>
      </w:r>
      <w:r w:rsidR="003A2779" w:rsidRPr="001005B7">
        <w:t>A</w:t>
      </w:r>
      <w:r w:rsidR="00C97233" w:rsidRPr="001005B7">
        <w:t xml:space="preserve"> city under siege is a common theme of Assyrian wall sculptures, often with the implication that the </w:t>
      </w:r>
      <w:r w:rsidR="003A2779" w:rsidRPr="001005B7">
        <w:t xml:space="preserve">city’s </w:t>
      </w:r>
      <w:r w:rsidR="00C97233" w:rsidRPr="001005B7">
        <w:t>king had rebelled</w:t>
      </w:r>
      <w:r w:rsidR="00906AF0" w:rsidRPr="001005B7">
        <w:t xml:space="preserve"> (Odell, </w:t>
      </w:r>
      <w:r w:rsidR="00B96BC9" w:rsidRPr="001005B7">
        <w:t xml:space="preserve">60, has a portrayal </w:t>
      </w:r>
      <w:r w:rsidR="003D0871" w:rsidRPr="001005B7">
        <w:t xml:space="preserve">of a relief from the palace of Sargon II </w:t>
      </w:r>
      <w:r w:rsidR="00602A1B" w:rsidRPr="001005B7">
        <w:t xml:space="preserve">at </w:t>
      </w:r>
      <w:proofErr w:type="spellStart"/>
      <w:r w:rsidR="00602A1B" w:rsidRPr="001005B7">
        <w:t>Khorsabad</w:t>
      </w:r>
      <w:proofErr w:type="spellEnd"/>
      <w:r w:rsidR="00997794" w:rsidRPr="001005B7">
        <w:t xml:space="preserve">, from 710 </w:t>
      </w:r>
      <w:r w:rsidR="00997794" w:rsidRPr="001005B7">
        <w:rPr>
          <w:sz w:val="18"/>
          <w:szCs w:val="18"/>
        </w:rPr>
        <w:t>BC</w:t>
      </w:r>
      <w:r w:rsidR="00B96BC9" w:rsidRPr="001005B7">
        <w:t>)</w:t>
      </w:r>
      <w:r w:rsidR="00C97233" w:rsidRPr="001005B7">
        <w:t>. One aim of the portrayal would be to warn other kings of the consequences of rebellion.</w:t>
      </w:r>
      <w:r w:rsidR="00E61DE4" w:rsidRPr="001005B7">
        <w:t xml:space="preserve"> </w:t>
      </w:r>
    </w:p>
    <w:p w14:paraId="4D2F7ABD" w14:textId="5C6C204A" w:rsidR="00863233" w:rsidRPr="001005B7" w:rsidRDefault="005D426F" w:rsidP="00D059F6">
      <w:r w:rsidRPr="001005B7">
        <w:rPr>
          <w:b/>
          <w:bCs/>
        </w:rPr>
        <w:t>4:3</w:t>
      </w:r>
      <w:r w:rsidRPr="001005B7">
        <w:t xml:space="preserve"> </w:t>
      </w:r>
      <w:r w:rsidR="00B34D81" w:rsidRPr="001005B7">
        <w:t xml:space="preserve">Even more frighteningly, </w:t>
      </w:r>
      <w:r w:rsidR="00AE5EF1" w:rsidRPr="001005B7">
        <w:t>Yah</w:t>
      </w:r>
      <w:r w:rsidR="004B407B" w:rsidRPr="001005B7">
        <w:t>w</w:t>
      </w:r>
      <w:r w:rsidR="00AE5EF1" w:rsidRPr="001005B7">
        <w:t>eh bid</w:t>
      </w:r>
      <w:r w:rsidR="00BF73F4" w:rsidRPr="001005B7">
        <w:t>s</w:t>
      </w:r>
      <w:r w:rsidR="00AE5EF1" w:rsidRPr="001005B7">
        <w:t xml:space="preserve"> Ezekiel get an iron </w:t>
      </w:r>
      <w:r w:rsidR="000E7658" w:rsidRPr="001005B7">
        <w:t>pan</w:t>
      </w:r>
      <w:r w:rsidR="002A3A86" w:rsidRPr="001005B7">
        <w:t xml:space="preserve"> (the word otherwise occurs only </w:t>
      </w:r>
      <w:r w:rsidR="00F57D3E" w:rsidRPr="001005B7">
        <w:t xml:space="preserve">in </w:t>
      </w:r>
      <w:r w:rsidR="00825EFD" w:rsidRPr="001005B7">
        <w:t>relation to</w:t>
      </w:r>
      <w:r w:rsidR="00F57D3E" w:rsidRPr="001005B7">
        <w:t xml:space="preserve"> </w:t>
      </w:r>
      <w:r w:rsidR="00825EFD" w:rsidRPr="001005B7">
        <w:t>baking in connection with sacrifices)</w:t>
      </w:r>
      <w:r w:rsidR="00F70C37" w:rsidRPr="001005B7">
        <w:t>,</w:t>
      </w:r>
      <w:r w:rsidR="00825EFD" w:rsidRPr="001005B7">
        <w:t xml:space="preserve"> </w:t>
      </w:r>
      <w:r w:rsidR="004B407B" w:rsidRPr="001005B7">
        <w:t>to symbol</w:t>
      </w:r>
      <w:r w:rsidR="00BF0B73" w:rsidRPr="001005B7">
        <w:t>ize and enact</w:t>
      </w:r>
      <w:r w:rsidR="00D969D5" w:rsidRPr="001005B7">
        <w:t xml:space="preserve"> Yahweh</w:t>
      </w:r>
      <w:r w:rsidR="00041B82" w:rsidRPr="001005B7">
        <w:t>’</w:t>
      </w:r>
      <w:r w:rsidR="00D969D5" w:rsidRPr="001005B7">
        <w:t>s turning an inflexible, hard face towards the city</w:t>
      </w:r>
      <w:r w:rsidR="008F7EB5" w:rsidRPr="001005B7">
        <w:t xml:space="preserve"> during the siege. Ezekiel</w:t>
      </w:r>
      <w:r w:rsidR="00D829B3" w:rsidRPr="001005B7">
        <w:t xml:space="preserve"> </w:t>
      </w:r>
      <w:r w:rsidR="0015234C" w:rsidRPr="001005B7">
        <w:t>represents Yahweh in this sign act</w:t>
      </w:r>
      <w:r w:rsidR="00CA6652" w:rsidRPr="001005B7">
        <w:t>,</w:t>
      </w:r>
      <w:r w:rsidR="008F7EB5" w:rsidRPr="001005B7">
        <w:t xml:space="preserve"> </w:t>
      </w:r>
      <w:r w:rsidR="00984D0D" w:rsidRPr="001005B7">
        <w:t>act</w:t>
      </w:r>
      <w:r w:rsidR="00CA6652" w:rsidRPr="001005B7">
        <w:t>ing</w:t>
      </w:r>
      <w:r w:rsidR="00984D0D" w:rsidRPr="001005B7">
        <w:t xml:space="preserve"> </w:t>
      </w:r>
      <w:r w:rsidR="00E84D84" w:rsidRPr="001005B7">
        <w:t xml:space="preserve">out </w:t>
      </w:r>
      <w:r w:rsidR="00CA6652" w:rsidRPr="001005B7">
        <w:t>its</w:t>
      </w:r>
      <w:r w:rsidR="00984D0D" w:rsidRPr="001005B7">
        <w:t xml:space="preserve"> horror </w:t>
      </w:r>
      <w:r w:rsidR="006F78AC" w:rsidRPr="001005B7">
        <w:t>by</w:t>
      </w:r>
      <w:r w:rsidR="00984D0D" w:rsidRPr="001005B7">
        <w:t xml:space="preserve"> looking </w:t>
      </w:r>
      <w:r w:rsidR="006A1156" w:rsidRPr="001005B7">
        <w:t>towards</w:t>
      </w:r>
      <w:r w:rsidR="00AE24EE" w:rsidRPr="001005B7">
        <w:t xml:space="preserve"> the city </w:t>
      </w:r>
      <w:r w:rsidR="00984D0D" w:rsidRPr="001005B7">
        <w:t>but not seeing</w:t>
      </w:r>
      <w:r w:rsidR="00AE24EE" w:rsidRPr="001005B7">
        <w:t xml:space="preserve"> an</w:t>
      </w:r>
      <w:r w:rsidR="006F3284" w:rsidRPr="001005B7">
        <w:t>d</w:t>
      </w:r>
      <w:r w:rsidR="00AE24EE" w:rsidRPr="001005B7">
        <w:t xml:space="preserve"> therefore taking any notice of it</w:t>
      </w:r>
      <w:r w:rsidR="00984D0D" w:rsidRPr="001005B7">
        <w:t xml:space="preserve">, </w:t>
      </w:r>
      <w:r w:rsidR="006F78AC" w:rsidRPr="001005B7">
        <w:t>because</w:t>
      </w:r>
      <w:r w:rsidR="00984D0D" w:rsidRPr="001005B7">
        <w:t xml:space="preserve"> he has put the iron </w:t>
      </w:r>
      <w:r w:rsidR="000E7658" w:rsidRPr="001005B7">
        <w:t>plate in the way.</w:t>
      </w:r>
      <w:r w:rsidR="0064401F" w:rsidRPr="001005B7">
        <w:t xml:space="preserve"> </w:t>
      </w:r>
      <w:r w:rsidR="00D043E3" w:rsidRPr="001005B7">
        <w:rPr>
          <w:rFonts w:ascii="Calibri" w:hAnsi="Calibri" w:cs="Calibri"/>
        </w:rPr>
        <w:t xml:space="preserve">Setting one’s face thus suggests a deliberate </w:t>
      </w:r>
      <w:r w:rsidR="00793F27" w:rsidRPr="001005B7">
        <w:rPr>
          <w:rFonts w:ascii="Calibri" w:hAnsi="Calibri" w:cs="Calibri"/>
        </w:rPr>
        <w:t xml:space="preserve">hostile </w:t>
      </w:r>
      <w:r w:rsidR="00D043E3" w:rsidRPr="001005B7">
        <w:rPr>
          <w:rFonts w:ascii="Calibri" w:hAnsi="Calibri" w:cs="Calibri"/>
        </w:rPr>
        <w:t>act</w:t>
      </w:r>
      <w:r w:rsidR="00AD0ABD" w:rsidRPr="001005B7">
        <w:rPr>
          <w:rFonts w:ascii="Calibri" w:hAnsi="Calibri" w:cs="Calibri"/>
        </w:rPr>
        <w:t xml:space="preserve"> (</w:t>
      </w:r>
      <w:proofErr w:type="spellStart"/>
      <w:r w:rsidR="00AD0ABD" w:rsidRPr="001005B7">
        <w:t>Eichrodt</w:t>
      </w:r>
      <w:proofErr w:type="spellEnd"/>
      <w:r w:rsidR="00AD0ABD" w:rsidRPr="001005B7">
        <w:t>, 83).</w:t>
      </w:r>
      <w:r w:rsidR="00D043E3" w:rsidRPr="001005B7">
        <w:rPr>
          <w:rFonts w:ascii="Calibri" w:hAnsi="Calibri" w:cs="Calibri"/>
        </w:rPr>
        <w:t xml:space="preserve"> </w:t>
      </w:r>
      <w:r w:rsidR="00C10701" w:rsidRPr="001005B7">
        <w:rPr>
          <w:rFonts w:ascii="Calibri" w:hAnsi="Calibri" w:cs="Calibri"/>
        </w:rPr>
        <w:t>Ezekiel’s phrase recurs in 4:7</w:t>
      </w:r>
      <w:r w:rsidR="00C66149" w:rsidRPr="001005B7">
        <w:rPr>
          <w:rFonts w:ascii="Calibri" w:hAnsi="Calibri" w:cs="Calibri"/>
        </w:rPr>
        <w:t xml:space="preserve"> and similar phrases </w:t>
      </w:r>
      <w:r w:rsidR="00492061" w:rsidRPr="001005B7">
        <w:rPr>
          <w:rFonts w:ascii="Calibri" w:hAnsi="Calibri" w:cs="Calibri"/>
        </w:rPr>
        <w:t xml:space="preserve">occurs </w:t>
      </w:r>
      <w:r w:rsidR="00621C5E" w:rsidRPr="001005B7">
        <w:rPr>
          <w:rFonts w:ascii="Calibri" w:hAnsi="Calibri" w:cs="Calibri"/>
        </w:rPr>
        <w:t>later</w:t>
      </w:r>
      <w:r w:rsidR="00D043E3" w:rsidRPr="001005B7">
        <w:rPr>
          <w:rFonts w:ascii="Calibri" w:hAnsi="Calibri" w:cs="Calibri"/>
        </w:rPr>
        <w:t xml:space="preserve"> (e.g., 6:</w:t>
      </w:r>
      <w:r w:rsidR="00920320" w:rsidRPr="001005B7">
        <w:rPr>
          <w:rFonts w:ascii="Calibri" w:hAnsi="Calibri" w:cs="Calibri"/>
        </w:rPr>
        <w:t>2</w:t>
      </w:r>
      <w:r w:rsidR="00D043E3" w:rsidRPr="001005B7">
        <w:rPr>
          <w:rFonts w:ascii="Calibri" w:hAnsi="Calibri" w:cs="Calibri"/>
        </w:rPr>
        <w:t>; 13:17)</w:t>
      </w:r>
      <w:r w:rsidR="0046568D" w:rsidRPr="001005B7">
        <w:rPr>
          <w:rFonts w:ascii="Calibri" w:hAnsi="Calibri" w:cs="Calibri"/>
        </w:rPr>
        <w:t xml:space="preserve">, </w:t>
      </w:r>
      <w:r w:rsidR="00492061" w:rsidRPr="001005B7">
        <w:rPr>
          <w:rFonts w:ascii="Calibri" w:hAnsi="Calibri" w:cs="Calibri"/>
        </w:rPr>
        <w:t>as they do in</w:t>
      </w:r>
      <w:r w:rsidR="00D043E3" w:rsidRPr="001005B7">
        <w:rPr>
          <w:rFonts w:ascii="Calibri" w:hAnsi="Calibri" w:cs="Calibri"/>
          <w:i/>
          <w:iCs/>
        </w:rPr>
        <w:t xml:space="preserve"> </w:t>
      </w:r>
      <w:r w:rsidR="00D043E3" w:rsidRPr="001005B7">
        <w:rPr>
          <w:rFonts w:ascii="Calibri" w:hAnsi="Calibri" w:cs="Calibri"/>
        </w:rPr>
        <w:t>Jeremiah (21:10; 44:11)</w:t>
      </w:r>
      <w:r w:rsidR="0026567C" w:rsidRPr="001005B7">
        <w:rPr>
          <w:rFonts w:ascii="Calibri" w:hAnsi="Calibri" w:cs="Calibri"/>
        </w:rPr>
        <w:t>. They also recur</w:t>
      </w:r>
      <w:r w:rsidR="00D043E3" w:rsidRPr="001005B7">
        <w:rPr>
          <w:rFonts w:ascii="Calibri" w:hAnsi="Calibri" w:cs="Calibri"/>
        </w:rPr>
        <w:t xml:space="preserve"> especially in Leviticus, not least in 26:17 in a chapter with which this section of Ezekiel has further parallels. </w:t>
      </w:r>
      <w:r w:rsidR="0046568D" w:rsidRPr="001005B7">
        <w:t>Ezekiel’s</w:t>
      </w:r>
      <w:r w:rsidR="007E6878" w:rsidRPr="001005B7">
        <w:t xml:space="preserve"> action</w:t>
      </w:r>
      <w:r w:rsidR="0064401F" w:rsidRPr="001005B7">
        <w:t xml:space="preserve"> w</w:t>
      </w:r>
      <w:r w:rsidR="00861451" w:rsidRPr="001005B7">
        <w:t>ould</w:t>
      </w:r>
      <w:r w:rsidR="0064401F" w:rsidRPr="001005B7">
        <w:t xml:space="preserve"> be </w:t>
      </w:r>
      <w:r w:rsidR="00457C10" w:rsidRPr="001005B7">
        <w:t>“a</w:t>
      </w:r>
      <w:r w:rsidR="0064401F" w:rsidRPr="001005B7">
        <w:t xml:space="preserve"> sig</w:t>
      </w:r>
      <w:r w:rsidR="00CA65AF" w:rsidRPr="001005B7">
        <w:t>n</w:t>
      </w:r>
      <w:r w:rsidR="00CA65AF" w:rsidRPr="001005B7">
        <w:rPr>
          <w:i/>
          <w:iCs/>
        </w:rPr>
        <w:t xml:space="preserve"> </w:t>
      </w:r>
      <w:r w:rsidR="00CA65AF" w:rsidRPr="001005B7">
        <w:t>for</w:t>
      </w:r>
      <w:r w:rsidR="00CA65AF" w:rsidRPr="001005B7">
        <w:rPr>
          <w:i/>
          <w:iCs/>
        </w:rPr>
        <w:t xml:space="preserve"> </w:t>
      </w:r>
      <w:r w:rsidR="00CA65AF" w:rsidRPr="001005B7">
        <w:t>Israel’s</w:t>
      </w:r>
      <w:r w:rsidR="00CA65AF" w:rsidRPr="001005B7">
        <w:rPr>
          <w:i/>
          <w:iCs/>
        </w:rPr>
        <w:t xml:space="preserve"> </w:t>
      </w:r>
      <w:r w:rsidR="00CA65AF" w:rsidRPr="001005B7">
        <w:t>household</w:t>
      </w:r>
      <w:r w:rsidR="00457C10" w:rsidRPr="001005B7">
        <w:t>”</w:t>
      </w:r>
      <w:r w:rsidR="00861451" w:rsidRPr="001005B7">
        <w:rPr>
          <w:i/>
          <w:iCs/>
        </w:rPr>
        <w:t xml:space="preserve"> </w:t>
      </w:r>
      <w:r w:rsidR="00861451" w:rsidRPr="001005B7">
        <w:t>in J</w:t>
      </w:r>
      <w:r w:rsidR="00EB292F" w:rsidRPr="001005B7">
        <w:t>erusalem</w:t>
      </w:r>
      <w:r w:rsidR="00861451" w:rsidRPr="001005B7">
        <w:t xml:space="preserve"> if it saw </w:t>
      </w:r>
      <w:r w:rsidR="00EB292F" w:rsidRPr="001005B7">
        <w:t>it</w:t>
      </w:r>
      <w:r w:rsidR="00861451" w:rsidRPr="001005B7">
        <w:t xml:space="preserve">, but </w:t>
      </w:r>
      <w:r w:rsidR="00D87291" w:rsidRPr="001005B7">
        <w:t>the people who w</w:t>
      </w:r>
      <w:r w:rsidR="00861451" w:rsidRPr="001005B7">
        <w:t>il</w:t>
      </w:r>
      <w:r w:rsidR="00F14401" w:rsidRPr="001005B7">
        <w:t xml:space="preserve">l </w:t>
      </w:r>
      <w:r w:rsidR="007A6F51" w:rsidRPr="001005B7">
        <w:t xml:space="preserve">actually </w:t>
      </w:r>
      <w:r w:rsidR="00D87291" w:rsidRPr="001005B7">
        <w:t xml:space="preserve">see it </w:t>
      </w:r>
      <w:r w:rsidR="007A6F51" w:rsidRPr="001005B7">
        <w:t>ar</w:t>
      </w:r>
      <w:r w:rsidR="00F14401" w:rsidRPr="001005B7">
        <w:t xml:space="preserve">e the </w:t>
      </w:r>
      <w:proofErr w:type="spellStart"/>
      <w:r w:rsidR="00F14401" w:rsidRPr="001005B7">
        <w:t>Kebar</w:t>
      </w:r>
      <w:r w:rsidR="006210BE" w:rsidRPr="001005B7">
        <w:t>ites</w:t>
      </w:r>
      <w:proofErr w:type="spellEnd"/>
      <w:r w:rsidR="00F14401" w:rsidRPr="001005B7">
        <w:t>.</w:t>
      </w:r>
      <w:r w:rsidR="002852AF" w:rsidRPr="001005B7">
        <w:t xml:space="preserve"> It</w:t>
      </w:r>
      <w:r w:rsidR="007075EB" w:rsidRPr="001005B7">
        <w:t xml:space="preserve"> embodies a message for</w:t>
      </w:r>
      <w:r w:rsidR="00CA65AF" w:rsidRPr="001005B7">
        <w:t xml:space="preserve"> th</w:t>
      </w:r>
      <w:r w:rsidR="006210BE" w:rsidRPr="001005B7">
        <w:t>at</w:t>
      </w:r>
      <w:r w:rsidR="00CA65AF" w:rsidRPr="001005B7">
        <w:t xml:space="preserve"> partial embodiment of Israel </w:t>
      </w:r>
      <w:r w:rsidR="008D4D2F" w:rsidRPr="001005B7">
        <w:t xml:space="preserve">in whose company </w:t>
      </w:r>
      <w:r w:rsidR="003A15CC" w:rsidRPr="001005B7">
        <w:t>Ezekiel</w:t>
      </w:r>
      <w:r w:rsidR="008D4D2F" w:rsidRPr="001005B7">
        <w:t xml:space="preserve"> lives</w:t>
      </w:r>
      <w:r w:rsidR="00DB0BFA" w:rsidRPr="001005B7">
        <w:t xml:space="preserve"> in Babylon</w:t>
      </w:r>
      <w:r w:rsidR="00956081" w:rsidRPr="001005B7">
        <w:t>ia</w:t>
      </w:r>
      <w:r w:rsidR="008D4D2F" w:rsidRPr="001005B7">
        <w:t xml:space="preserve"> and </w:t>
      </w:r>
      <w:r w:rsidR="0042180A" w:rsidRPr="001005B7">
        <w:t>for</w:t>
      </w:r>
      <w:r w:rsidR="008D4D2F" w:rsidRPr="001005B7">
        <w:t xml:space="preserve"> which he </w:t>
      </w:r>
      <w:r w:rsidR="003A15CC" w:rsidRPr="001005B7">
        <w:t>has been</w:t>
      </w:r>
      <w:r w:rsidR="008D4D2F" w:rsidRPr="001005B7">
        <w:t xml:space="preserve"> commissioned </w:t>
      </w:r>
      <w:r w:rsidR="007D6A9C" w:rsidRPr="001005B7">
        <w:t>to be</w:t>
      </w:r>
      <w:r w:rsidR="008D4D2F" w:rsidRPr="001005B7">
        <w:t xml:space="preserve"> a lookout. </w:t>
      </w:r>
      <w:r w:rsidR="009D023A" w:rsidRPr="001005B7">
        <w:t xml:space="preserve">In enacting this sign, he is fulfilling </w:t>
      </w:r>
      <w:r w:rsidR="007D6A9C" w:rsidRPr="001005B7">
        <w:t>his lookout</w:t>
      </w:r>
      <w:r w:rsidR="009D023A" w:rsidRPr="001005B7">
        <w:t xml:space="preserve"> role. </w:t>
      </w:r>
      <w:r w:rsidR="00697CE2" w:rsidRPr="001005B7">
        <w:t xml:space="preserve">Only here does Ezekiel </w:t>
      </w:r>
      <w:r w:rsidR="000B7457" w:rsidRPr="001005B7">
        <w:t xml:space="preserve">or any prophet </w:t>
      </w:r>
      <w:r w:rsidR="00697CE2" w:rsidRPr="001005B7">
        <w:t xml:space="preserve">use the word sign </w:t>
      </w:r>
      <w:r w:rsidR="00F27229" w:rsidRPr="001005B7">
        <w:t>(</w:t>
      </w:r>
      <w:r w:rsidR="003C4AED" w:rsidRPr="001005B7">
        <w:rPr>
          <w:rFonts w:cstheme="minorHAnsi"/>
          <w:rtl/>
          <w:lang w:bidi="he-IL"/>
        </w:rPr>
        <w:t>אוׄת</w:t>
      </w:r>
      <w:r w:rsidR="008240C8" w:rsidRPr="001005B7">
        <w:t xml:space="preserve">) </w:t>
      </w:r>
      <w:r w:rsidR="00D742AC" w:rsidRPr="001005B7">
        <w:t xml:space="preserve">in connection with </w:t>
      </w:r>
      <w:r w:rsidR="00F27229" w:rsidRPr="001005B7">
        <w:t>a</w:t>
      </w:r>
      <w:r w:rsidR="00D742AC" w:rsidRPr="001005B7">
        <w:t xml:space="preserve"> symbolic act</w:t>
      </w:r>
      <w:r w:rsidR="00B01265" w:rsidRPr="001005B7">
        <w:t>. In general, a</w:t>
      </w:r>
      <w:r w:rsidR="00F77620" w:rsidRPr="001005B7">
        <w:t xml:space="preserve"> sign is an </w:t>
      </w:r>
      <w:r w:rsidR="0014067A" w:rsidRPr="001005B7">
        <w:t xml:space="preserve">object or </w:t>
      </w:r>
      <w:r w:rsidR="00F77620" w:rsidRPr="001005B7">
        <w:t xml:space="preserve">act that </w:t>
      </w:r>
      <w:r w:rsidR="002D28CB" w:rsidRPr="001005B7">
        <w:t>in some way represents something bigger and more significant than it is in itself</w:t>
      </w:r>
      <w:r w:rsidR="00B01265" w:rsidRPr="001005B7">
        <w:t xml:space="preserve"> (14:8; 20:12, 20)</w:t>
      </w:r>
      <w:r w:rsidR="00C33CE7" w:rsidRPr="001005B7">
        <w:t xml:space="preserve">. </w:t>
      </w:r>
      <w:r w:rsidR="00891CD1" w:rsidRPr="001005B7">
        <w:t>As a sign act</w:t>
      </w:r>
      <w:r w:rsidR="00C33CE7" w:rsidRPr="001005B7">
        <w:t>, it</w:t>
      </w:r>
      <w:r w:rsidR="00CB3246" w:rsidRPr="001005B7">
        <w:t xml:space="preserve"> </w:t>
      </w:r>
      <w:r w:rsidR="00881BF8" w:rsidRPr="001005B7">
        <w:t>guarantees the reality of the thing it represents</w:t>
      </w:r>
      <w:r w:rsidR="0014067A" w:rsidRPr="001005B7">
        <w:t>.</w:t>
      </w:r>
      <w:r w:rsidR="00EF580D" w:rsidRPr="001005B7">
        <w:t xml:space="preserve"> </w:t>
      </w:r>
      <w:r w:rsidR="00941D52" w:rsidRPr="001005B7">
        <w:t xml:space="preserve">In connection with the siege </w:t>
      </w:r>
      <w:r w:rsidR="0029786B" w:rsidRPr="001005B7">
        <w:t xml:space="preserve">portrayed in </w:t>
      </w:r>
      <w:r w:rsidR="0042084A" w:rsidRPr="001005B7">
        <w:t>4:</w:t>
      </w:r>
      <w:r w:rsidR="0029786B" w:rsidRPr="001005B7">
        <w:t>1</w:t>
      </w:r>
      <w:r w:rsidR="00F46900" w:rsidRPr="001005B7">
        <w:t>–</w:t>
      </w:r>
      <w:r w:rsidR="0029786B" w:rsidRPr="001005B7">
        <w:t>2,</w:t>
      </w:r>
      <w:r w:rsidR="00941D52" w:rsidRPr="001005B7">
        <w:t xml:space="preserve"> </w:t>
      </w:r>
      <w:r w:rsidR="00C33CE7" w:rsidRPr="001005B7">
        <w:t xml:space="preserve">Ezekiel’s community </w:t>
      </w:r>
      <w:r w:rsidR="00EF580D" w:rsidRPr="001005B7">
        <w:t>need</w:t>
      </w:r>
      <w:r w:rsidR="00C33CE7" w:rsidRPr="001005B7">
        <w:t>s</w:t>
      </w:r>
      <w:r w:rsidR="00EF580D" w:rsidRPr="001005B7">
        <w:t xml:space="preserve"> to </w:t>
      </w:r>
      <w:r w:rsidR="00016369" w:rsidRPr="001005B7">
        <w:t>recognize</w:t>
      </w:r>
      <w:r w:rsidR="00EF580D" w:rsidRPr="001005B7">
        <w:t xml:space="preserve"> that Yahweh has turned his back on Jerusalem, so that its fall is inevitable</w:t>
      </w:r>
      <w:r w:rsidR="00492612" w:rsidRPr="001005B7">
        <w:t>, which</w:t>
      </w:r>
      <w:r w:rsidR="004A598F" w:rsidRPr="001005B7">
        <w:t xml:space="preserve"> has horrifying implications for the expectations of the community in Babylon</w:t>
      </w:r>
      <w:r w:rsidR="0074390F" w:rsidRPr="001005B7">
        <w:t>ia</w:t>
      </w:r>
      <w:r w:rsidR="004A598F" w:rsidRPr="001005B7">
        <w:t>. The agent of</w:t>
      </w:r>
      <w:r w:rsidR="005F482C" w:rsidRPr="001005B7">
        <w:t xml:space="preserve"> </w:t>
      </w:r>
      <w:r w:rsidR="004A598F" w:rsidRPr="001005B7">
        <w:t xml:space="preserve">the </w:t>
      </w:r>
      <w:r w:rsidR="005F482C" w:rsidRPr="001005B7">
        <w:t xml:space="preserve">siege in </w:t>
      </w:r>
      <w:r w:rsidR="0042084A" w:rsidRPr="001005B7">
        <w:t>4:</w:t>
      </w:r>
      <w:r w:rsidR="00F25B8A" w:rsidRPr="001005B7">
        <w:t>1</w:t>
      </w:r>
      <w:r w:rsidR="00F46900" w:rsidRPr="001005B7">
        <w:t>–</w:t>
      </w:r>
      <w:r w:rsidR="00F25B8A" w:rsidRPr="001005B7">
        <w:t>2 is not merely the Babylonian army</w:t>
      </w:r>
      <w:r w:rsidR="0065252E" w:rsidRPr="001005B7">
        <w:t>, as</w:t>
      </w:r>
      <w:r w:rsidR="00F0452C" w:rsidRPr="001005B7">
        <w:rPr>
          <w:rFonts w:ascii="Calibri" w:hAnsi="Calibri" w:cs="Calibri"/>
        </w:rPr>
        <w:t xml:space="preserve"> i</w:t>
      </w:r>
      <w:r w:rsidR="0080638F" w:rsidRPr="001005B7">
        <w:rPr>
          <w:rFonts w:ascii="Calibri" w:hAnsi="Calibri" w:cs="Calibri"/>
        </w:rPr>
        <w:t xml:space="preserve">t had not just been </w:t>
      </w:r>
      <w:proofErr w:type="spellStart"/>
      <w:r w:rsidR="0080638F" w:rsidRPr="001005B7">
        <w:rPr>
          <w:rFonts w:ascii="Calibri" w:hAnsi="Calibri" w:cs="Calibri"/>
        </w:rPr>
        <w:t>Nebuchad</w:t>
      </w:r>
      <w:r w:rsidR="001C0045" w:rsidRPr="001005B7">
        <w:rPr>
          <w:rFonts w:ascii="Calibri" w:hAnsi="Calibri" w:cs="Calibri"/>
        </w:rPr>
        <w:t>r</w:t>
      </w:r>
      <w:r w:rsidR="0080638F" w:rsidRPr="001005B7">
        <w:rPr>
          <w:rFonts w:ascii="Calibri" w:hAnsi="Calibri" w:cs="Calibri"/>
        </w:rPr>
        <w:t>ezzar</w:t>
      </w:r>
      <w:proofErr w:type="spellEnd"/>
      <w:r w:rsidR="0080638F" w:rsidRPr="001005B7">
        <w:rPr>
          <w:rFonts w:ascii="Calibri" w:hAnsi="Calibri" w:cs="Calibri"/>
        </w:rPr>
        <w:t xml:space="preserve"> who besieged Jerusalem</w:t>
      </w:r>
      <w:r w:rsidR="00C978D4" w:rsidRPr="001005B7">
        <w:rPr>
          <w:rFonts w:ascii="Calibri" w:hAnsi="Calibri" w:cs="Calibri"/>
        </w:rPr>
        <w:t xml:space="preserve"> in 597</w:t>
      </w:r>
      <w:r w:rsidR="002864C2" w:rsidRPr="001005B7">
        <w:rPr>
          <w:rFonts w:ascii="Calibri" w:hAnsi="Calibri" w:cs="Calibri"/>
        </w:rPr>
        <w:t>.</w:t>
      </w:r>
      <w:r w:rsidR="0080638F" w:rsidRPr="001005B7">
        <w:rPr>
          <w:rFonts w:ascii="Calibri" w:hAnsi="Calibri" w:cs="Calibri"/>
        </w:rPr>
        <w:t xml:space="preserve"> “Ezekiel represents to his audience that YHWH wages war against them.” He had done so in 597 and is going to do so again</w:t>
      </w:r>
      <w:r w:rsidR="00AD0ABD" w:rsidRPr="001005B7">
        <w:rPr>
          <w:rFonts w:ascii="Calibri" w:hAnsi="Calibri" w:cs="Calibri"/>
        </w:rPr>
        <w:t xml:space="preserve"> (</w:t>
      </w:r>
      <w:r w:rsidR="00AD0ABD" w:rsidRPr="001005B7">
        <w:t>Bowen, 21).</w:t>
      </w:r>
      <w:r w:rsidR="0080638F" w:rsidRPr="001005B7">
        <w:rPr>
          <w:rFonts w:ascii="Calibri" w:hAnsi="Calibri" w:cs="Calibri"/>
        </w:rPr>
        <w:t xml:space="preserve"> </w:t>
      </w:r>
      <w:r w:rsidR="00F25B8A" w:rsidRPr="001005B7">
        <w:t>He</w:t>
      </w:r>
      <w:r w:rsidR="00C7087D" w:rsidRPr="001005B7">
        <w:t xml:space="preserve"> has not “simply abandoned Jerusalem to its fate.” He “has become the enemy, laying siege to his own city”</w:t>
      </w:r>
      <w:r w:rsidR="00AD0ABD" w:rsidRPr="001005B7">
        <w:t xml:space="preserve"> (Block</w:t>
      </w:r>
      <w:r w:rsidR="00990CFC" w:rsidRPr="001005B7">
        <w:t>,</w:t>
      </w:r>
      <w:r w:rsidR="007A5E9A" w:rsidRPr="001005B7">
        <w:t xml:space="preserve"> </w:t>
      </w:r>
      <w:r w:rsidR="0063561D" w:rsidRPr="001005B7">
        <w:t>1:</w:t>
      </w:r>
      <w:r w:rsidR="00AD0ABD" w:rsidRPr="001005B7">
        <w:t>173</w:t>
      </w:r>
      <w:r w:rsidR="0063561D" w:rsidRPr="001005B7">
        <w:t>).</w:t>
      </w:r>
      <w:r w:rsidR="00C7087D" w:rsidRPr="001005B7">
        <w:t xml:space="preserve"> </w:t>
      </w:r>
    </w:p>
    <w:p w14:paraId="71E376FD" w14:textId="1885FCBE" w:rsidR="00D30533" w:rsidRPr="001005B7" w:rsidRDefault="00681406" w:rsidP="00D30533">
      <w:r w:rsidRPr="001005B7">
        <w:rPr>
          <w:b/>
          <w:bCs/>
        </w:rPr>
        <w:t>4:4</w:t>
      </w:r>
      <w:r w:rsidRPr="001005B7">
        <w:t xml:space="preserve"> </w:t>
      </w:r>
      <w:r w:rsidR="00593DDB" w:rsidRPr="001005B7">
        <w:t>T</w:t>
      </w:r>
      <w:r w:rsidRPr="001005B7">
        <w:t xml:space="preserve">he </w:t>
      </w:r>
      <w:r w:rsidR="00F47D3C" w:rsidRPr="001005B7">
        <w:t xml:space="preserve">next </w:t>
      </w:r>
      <w:r w:rsidRPr="001005B7">
        <w:t xml:space="preserve">action Yahweh </w:t>
      </w:r>
      <w:r w:rsidR="00D8601A" w:rsidRPr="001005B7">
        <w:t>commissions makes Ezekiel</w:t>
      </w:r>
      <w:r w:rsidR="00593DDB" w:rsidRPr="001005B7">
        <w:t xml:space="preserve"> </w:t>
      </w:r>
      <w:r w:rsidR="00D8601A" w:rsidRPr="001005B7">
        <w:t>a sign</w:t>
      </w:r>
      <w:r w:rsidR="00E546BB" w:rsidRPr="001005B7">
        <w:t xml:space="preserve"> in another sense</w:t>
      </w:r>
      <w:r w:rsidR="00D8601A" w:rsidRPr="001005B7">
        <w:t>, though Yahweh does not use th</w:t>
      </w:r>
      <w:r w:rsidR="00DD2B8D" w:rsidRPr="001005B7">
        <w:t>e</w:t>
      </w:r>
      <w:r w:rsidR="00D8601A" w:rsidRPr="001005B7">
        <w:t xml:space="preserve"> word</w:t>
      </w:r>
      <w:r w:rsidR="003C6D38" w:rsidRPr="001005B7">
        <w:t xml:space="preserve"> </w:t>
      </w:r>
      <w:r w:rsidR="003C6D38" w:rsidRPr="001005B7">
        <w:rPr>
          <w:rFonts w:cstheme="minorHAnsi"/>
          <w:rtl/>
          <w:lang w:bidi="he-IL"/>
        </w:rPr>
        <w:t>אוׄת</w:t>
      </w:r>
      <w:r w:rsidR="00BD27C0" w:rsidRPr="001005B7">
        <w:t xml:space="preserve"> </w:t>
      </w:r>
      <w:r w:rsidR="00E546BB" w:rsidRPr="001005B7">
        <w:t xml:space="preserve">(he </w:t>
      </w:r>
      <w:r w:rsidR="00D84C09" w:rsidRPr="001005B7">
        <w:t xml:space="preserve">will </w:t>
      </w:r>
      <w:r w:rsidR="009E78CE" w:rsidRPr="001005B7">
        <w:t>call Ezekiel a</w:t>
      </w:r>
      <w:r w:rsidR="00A56DF1" w:rsidRPr="001005B7">
        <w:t xml:space="preserve"> </w:t>
      </w:r>
      <w:r w:rsidR="00F136BA" w:rsidRPr="001005B7">
        <w:rPr>
          <w:rFonts w:cstheme="minorHAnsi"/>
          <w:rtl/>
          <w:lang w:bidi="he-IL"/>
        </w:rPr>
        <w:t>מוׄפֵ</w:t>
      </w:r>
      <w:r w:rsidR="007E3777" w:rsidRPr="001005B7">
        <w:rPr>
          <w:rFonts w:cstheme="minorHAnsi"/>
          <w:rtl/>
          <w:lang w:bidi="he-IL"/>
        </w:rPr>
        <w:t>ת</w:t>
      </w:r>
      <w:r w:rsidR="00BD5C4B" w:rsidRPr="001005B7">
        <w:rPr>
          <w:i/>
          <w:iCs/>
        </w:rPr>
        <w:t xml:space="preserve"> </w:t>
      </w:r>
      <w:r w:rsidR="00D84C09" w:rsidRPr="001005B7">
        <w:t xml:space="preserve">in </w:t>
      </w:r>
      <w:r w:rsidR="00BD5C4B" w:rsidRPr="001005B7">
        <w:t>12:6, 11; 24:24, 27)</w:t>
      </w:r>
      <w:r w:rsidR="00D8601A" w:rsidRPr="001005B7">
        <w:t xml:space="preserve">. </w:t>
      </w:r>
      <w:r w:rsidR="006F20BC" w:rsidRPr="001005B7">
        <w:t>W</w:t>
      </w:r>
      <w:r w:rsidR="00F40206" w:rsidRPr="001005B7">
        <w:t>aywardness</w:t>
      </w:r>
      <w:r w:rsidR="00F743BF" w:rsidRPr="001005B7">
        <w:t xml:space="preserve"> </w:t>
      </w:r>
      <w:r w:rsidR="005B5BCE" w:rsidRPr="001005B7">
        <w:t>(</w:t>
      </w:r>
      <w:r w:rsidR="005B5BCE" w:rsidRPr="001005B7">
        <w:rPr>
          <w:rFonts w:cstheme="minorHAnsi"/>
          <w:rtl/>
          <w:lang w:bidi="he-IL"/>
        </w:rPr>
        <w:t>ע</w:t>
      </w:r>
      <w:r w:rsidR="00072C90" w:rsidRPr="001005B7">
        <w:rPr>
          <w:rFonts w:cstheme="minorHAnsi"/>
          <w:rtl/>
          <w:lang w:bidi="he-IL"/>
        </w:rPr>
        <w:t>ׇוֹן</w:t>
      </w:r>
      <w:r w:rsidR="00C96D09" w:rsidRPr="001005B7">
        <w:t>)</w:t>
      </w:r>
      <w:r w:rsidR="005F13DB" w:rsidRPr="001005B7">
        <w:rPr>
          <w:rStyle w:val="FootnoteReference"/>
        </w:rPr>
        <w:footnoteReference w:id="168"/>
      </w:r>
      <w:r w:rsidR="0056285A" w:rsidRPr="001005B7">
        <w:t xml:space="preserve"> can refer to </w:t>
      </w:r>
      <w:r w:rsidR="00525572" w:rsidRPr="001005B7">
        <w:t>action that constitutes turning into a wrong path,</w:t>
      </w:r>
      <w:r w:rsidR="007108F5" w:rsidRPr="001005B7">
        <w:t xml:space="preserve"> </w:t>
      </w:r>
      <w:r w:rsidR="00E41CC7" w:rsidRPr="001005B7">
        <w:t xml:space="preserve">to </w:t>
      </w:r>
      <w:r w:rsidR="007108F5" w:rsidRPr="001005B7">
        <w:t>the culpability or guilt</w:t>
      </w:r>
      <w:r w:rsidR="00525572" w:rsidRPr="001005B7">
        <w:t xml:space="preserve"> </w:t>
      </w:r>
      <w:r w:rsidR="00426B5C" w:rsidRPr="001005B7">
        <w:t xml:space="preserve">that attaches to such action, and </w:t>
      </w:r>
      <w:r w:rsidR="00E41CC7" w:rsidRPr="001005B7">
        <w:t xml:space="preserve">to </w:t>
      </w:r>
      <w:r w:rsidR="00426B5C" w:rsidRPr="001005B7">
        <w:t>the</w:t>
      </w:r>
      <w:r w:rsidR="00D3118A" w:rsidRPr="001005B7">
        <w:t xml:space="preserve"> trouble or </w:t>
      </w:r>
      <w:r w:rsidR="008F548A" w:rsidRPr="001005B7">
        <w:t>penalty that follows from it.</w:t>
      </w:r>
      <w:r w:rsidR="00775CF0" w:rsidRPr="001005B7">
        <w:t xml:space="preserve"> </w:t>
      </w:r>
      <w:r w:rsidR="00130967" w:rsidRPr="001005B7">
        <w:t xml:space="preserve">The word’s </w:t>
      </w:r>
      <w:r w:rsidR="0043475B" w:rsidRPr="001005B7">
        <w:t xml:space="preserve">meaning </w:t>
      </w:r>
      <w:r w:rsidR="00130967" w:rsidRPr="001005B7">
        <w:t>“</w:t>
      </w:r>
      <w:r w:rsidR="0043475B" w:rsidRPr="001005B7">
        <w:t>spans the entire range of the sin</w:t>
      </w:r>
      <w:r w:rsidR="00130967" w:rsidRPr="001005B7">
        <w:t>-</w:t>
      </w:r>
      <w:r w:rsidR="0043475B" w:rsidRPr="001005B7">
        <w:t>consequence spectrum,</w:t>
      </w:r>
      <w:r w:rsidR="00D174E8" w:rsidRPr="001005B7">
        <w:t xml:space="preserve"> revolving around its foundational notion of twistedness, or perversion.</w:t>
      </w:r>
      <w:r w:rsidR="0012777F" w:rsidRPr="001005B7">
        <w:t>”</w:t>
      </w:r>
      <w:r w:rsidR="00D174E8" w:rsidRPr="001005B7">
        <w:rPr>
          <w:rStyle w:val="FootnoteReference"/>
        </w:rPr>
        <w:footnoteReference w:id="169"/>
      </w:r>
      <w:r w:rsidR="00D174E8" w:rsidRPr="001005B7">
        <w:t xml:space="preserve"> </w:t>
      </w:r>
      <w:r w:rsidR="00775CF0" w:rsidRPr="001005B7">
        <w:t>Th</w:t>
      </w:r>
      <w:r w:rsidR="00B31AE4" w:rsidRPr="001005B7">
        <w:t>e inseparable connection between these</w:t>
      </w:r>
      <w:r w:rsidR="00775CF0" w:rsidRPr="001005B7">
        <w:t xml:space="preserve"> </w:t>
      </w:r>
      <w:r w:rsidR="00B31AE4" w:rsidRPr="001005B7">
        <w:t xml:space="preserve">aspects of the same reality </w:t>
      </w:r>
      <w:r w:rsidR="00A83157" w:rsidRPr="001005B7">
        <w:t>is presupposed by</w:t>
      </w:r>
      <w:r w:rsidR="00F168B0" w:rsidRPr="001005B7">
        <w:t xml:space="preserve"> </w:t>
      </w:r>
      <w:r w:rsidR="0020465A" w:rsidRPr="001005B7">
        <w:t xml:space="preserve">the </w:t>
      </w:r>
      <w:r w:rsidR="00F168B0" w:rsidRPr="001005B7">
        <w:t xml:space="preserve">expression </w:t>
      </w:r>
      <w:r w:rsidR="00ED4382" w:rsidRPr="001005B7">
        <w:t>“</w:t>
      </w:r>
      <w:r w:rsidR="00F168B0" w:rsidRPr="001005B7">
        <w:t>carry</w:t>
      </w:r>
      <w:r w:rsidR="00F168B0" w:rsidRPr="001005B7">
        <w:rPr>
          <w:i/>
          <w:iCs/>
        </w:rPr>
        <w:t xml:space="preserve"> </w:t>
      </w:r>
      <w:r w:rsidR="00F168B0" w:rsidRPr="001005B7">
        <w:t>waywardness,</w:t>
      </w:r>
      <w:r w:rsidR="00ED4382" w:rsidRPr="001005B7">
        <w:t>”</w:t>
      </w:r>
      <w:r w:rsidR="00F168B0" w:rsidRPr="001005B7">
        <w:t xml:space="preserve"> which </w:t>
      </w:r>
      <w:r w:rsidR="00F27ACD" w:rsidRPr="001005B7">
        <w:t xml:space="preserve">denotes wrongdoing </w:t>
      </w:r>
      <w:r w:rsidR="00765EED" w:rsidRPr="001005B7">
        <w:t>a</w:t>
      </w:r>
      <w:r w:rsidR="00F27ACD" w:rsidRPr="001005B7">
        <w:t xml:space="preserve">s something </w:t>
      </w:r>
      <w:r w:rsidR="000F3E80" w:rsidRPr="001005B7">
        <w:t xml:space="preserve">holding onto </w:t>
      </w:r>
      <w:r w:rsidR="00F27ACD" w:rsidRPr="001005B7">
        <w:t>wrongdoer</w:t>
      </w:r>
      <w:r w:rsidR="00077C49" w:rsidRPr="001005B7">
        <w:t>s</w:t>
      </w:r>
      <w:r w:rsidR="00F27ACD" w:rsidRPr="001005B7">
        <w:t xml:space="preserve">, </w:t>
      </w:r>
      <w:r w:rsidR="00F87AE0" w:rsidRPr="001005B7">
        <w:t>the</w:t>
      </w:r>
      <w:r w:rsidR="00765EED" w:rsidRPr="001005B7">
        <w:t xml:space="preserve"> </w:t>
      </w:r>
      <w:r w:rsidR="00F87AE0" w:rsidRPr="001005B7">
        <w:t>responsibility for</w:t>
      </w:r>
      <w:r w:rsidR="00765EED" w:rsidRPr="001005B7">
        <w:t xml:space="preserve"> wrongdoing </w:t>
      </w:r>
      <w:r w:rsidR="00A15B1B" w:rsidRPr="001005B7">
        <w:t xml:space="preserve">that </w:t>
      </w:r>
      <w:r w:rsidR="00F87AE0" w:rsidRPr="001005B7">
        <w:t xml:space="preserve">attaches to them, and </w:t>
      </w:r>
      <w:r w:rsidR="000F3E80" w:rsidRPr="001005B7">
        <w:t>its</w:t>
      </w:r>
      <w:r w:rsidR="00D30AFF" w:rsidRPr="001005B7">
        <w:t xml:space="preserve"> exact</w:t>
      </w:r>
      <w:r w:rsidR="000F3E80" w:rsidRPr="001005B7">
        <w:t>ing</w:t>
      </w:r>
      <w:r w:rsidR="00D30AFF" w:rsidRPr="001005B7">
        <w:t xml:space="preserve"> a toll of them. </w:t>
      </w:r>
      <w:r w:rsidR="006A165A" w:rsidRPr="001005B7">
        <w:t xml:space="preserve">Normally, then, people </w:t>
      </w:r>
      <w:r w:rsidR="00050552" w:rsidRPr="001005B7">
        <w:t>carry their own waywardness—they live with the consequences of their wrongdoing (e.g., 14:10</w:t>
      </w:r>
      <w:r w:rsidR="00A469F3" w:rsidRPr="001005B7">
        <w:t>; 44:10</w:t>
      </w:r>
      <w:r w:rsidR="00050552" w:rsidRPr="001005B7">
        <w:t>).</w:t>
      </w:r>
      <w:r w:rsidR="00AC0479" w:rsidRPr="001005B7">
        <w:t xml:space="preserve"> </w:t>
      </w:r>
      <w:r w:rsidR="003E109E" w:rsidRPr="001005B7">
        <w:t>And n</w:t>
      </w:r>
      <w:r w:rsidR="00363A02" w:rsidRPr="001005B7">
        <w:t>ormally, at least, s</w:t>
      </w:r>
      <w:r w:rsidR="00AC0479" w:rsidRPr="001005B7">
        <w:t xml:space="preserve">omeone else </w:t>
      </w:r>
      <w:r w:rsidR="00055684" w:rsidRPr="001005B7">
        <w:t>must</w:t>
      </w:r>
      <w:r w:rsidR="00AC0479" w:rsidRPr="001005B7">
        <w:t xml:space="preserve"> not carry another person’s waywardness (</w:t>
      </w:r>
      <w:r w:rsidR="00DE51DE" w:rsidRPr="001005B7">
        <w:t>18:19</w:t>
      </w:r>
      <w:r w:rsidR="00F46900" w:rsidRPr="001005B7">
        <w:t>–</w:t>
      </w:r>
      <w:r w:rsidR="00DE51DE" w:rsidRPr="001005B7">
        <w:t>20)</w:t>
      </w:r>
      <w:r w:rsidR="00B334E0" w:rsidRPr="001005B7">
        <w:t xml:space="preserve">. </w:t>
      </w:r>
      <w:r w:rsidR="00AD2EB9" w:rsidRPr="001005B7">
        <w:t>But</w:t>
      </w:r>
      <w:r w:rsidR="00FA5943" w:rsidRPr="001005B7">
        <w:t xml:space="preserve"> in a sense</w:t>
      </w:r>
      <w:r w:rsidR="00AD2EB9" w:rsidRPr="001005B7">
        <w:t xml:space="preserve"> a</w:t>
      </w:r>
      <w:r w:rsidR="00B334E0" w:rsidRPr="001005B7">
        <w:t xml:space="preserve"> priest may carry th</w:t>
      </w:r>
      <w:r w:rsidR="005D5585" w:rsidRPr="001005B7">
        <w:t>e</w:t>
      </w:r>
      <w:r w:rsidR="00B334E0" w:rsidRPr="001005B7">
        <w:t xml:space="preserve"> waywardness of people (e.g., Exod </w:t>
      </w:r>
      <w:r w:rsidR="00073E66" w:rsidRPr="001005B7">
        <w:t>28:38)</w:t>
      </w:r>
      <w:r w:rsidR="00E17DAC" w:rsidRPr="001005B7">
        <w:t xml:space="preserve">, and </w:t>
      </w:r>
      <w:r w:rsidR="006723AB" w:rsidRPr="001005B7">
        <w:t xml:space="preserve">this </w:t>
      </w:r>
      <w:r w:rsidR="00AD2EB9" w:rsidRPr="001005B7">
        <w:t>responsibil</w:t>
      </w:r>
      <w:r w:rsidR="009D1924" w:rsidRPr="001005B7">
        <w:t>i</w:t>
      </w:r>
      <w:r w:rsidR="00AD2EB9" w:rsidRPr="001005B7">
        <w:t>ty</w:t>
      </w:r>
      <w:r w:rsidR="006723AB" w:rsidRPr="001005B7">
        <w:t xml:space="preserve"> constitutes one </w:t>
      </w:r>
      <w:r w:rsidR="009D1924" w:rsidRPr="001005B7">
        <w:t>background to</w:t>
      </w:r>
      <w:r w:rsidR="006723AB" w:rsidRPr="001005B7">
        <w:t xml:space="preserve"> the way </w:t>
      </w:r>
      <w:r w:rsidR="002550C6" w:rsidRPr="001005B7">
        <w:t>Eze</w:t>
      </w:r>
      <w:r w:rsidR="003125EB" w:rsidRPr="001005B7">
        <w:t>kiel</w:t>
      </w:r>
      <w:r w:rsidR="002550C6" w:rsidRPr="001005B7">
        <w:t xml:space="preserve"> speaks </w:t>
      </w:r>
      <w:r w:rsidR="00712328" w:rsidRPr="001005B7">
        <w:t>in these verses</w:t>
      </w:r>
      <w:r w:rsidR="002F57E3" w:rsidRPr="001005B7">
        <w:t xml:space="preserve"> (and </w:t>
      </w:r>
      <w:r w:rsidR="002550C6" w:rsidRPr="001005B7">
        <w:t xml:space="preserve">in </w:t>
      </w:r>
      <w:r w:rsidR="002F57E3" w:rsidRPr="001005B7">
        <w:t xml:space="preserve">the </w:t>
      </w:r>
      <w:r w:rsidR="00FE1575" w:rsidRPr="001005B7">
        <w:t>section</w:t>
      </w:r>
      <w:r w:rsidR="002F57E3" w:rsidRPr="001005B7">
        <w:t>s on either s</w:t>
      </w:r>
      <w:r w:rsidR="0058045F" w:rsidRPr="001005B7">
        <w:t>i</w:t>
      </w:r>
      <w:r w:rsidR="002F57E3" w:rsidRPr="001005B7">
        <w:t>de)</w:t>
      </w:r>
      <w:r w:rsidR="0058045F" w:rsidRPr="001005B7">
        <w:t xml:space="preserve"> </w:t>
      </w:r>
      <w:r w:rsidR="00E8013D" w:rsidRPr="001005B7">
        <w:t>in connection with</w:t>
      </w:r>
      <w:r w:rsidR="00FE1575" w:rsidRPr="001005B7">
        <w:t xml:space="preserve"> </w:t>
      </w:r>
      <w:r w:rsidR="003E212E" w:rsidRPr="001005B7">
        <w:t>Yahweh</w:t>
      </w:r>
      <w:r w:rsidR="00E8013D" w:rsidRPr="001005B7">
        <w:t>’</w:t>
      </w:r>
      <w:r w:rsidR="003E212E" w:rsidRPr="001005B7">
        <w:t>s ind</w:t>
      </w:r>
      <w:r w:rsidR="0042236E" w:rsidRPr="001005B7">
        <w:t>ucting him into the role of a prophetic priest</w:t>
      </w:r>
      <w:r w:rsidR="00E80FA4" w:rsidRPr="001005B7">
        <w:t xml:space="preserve"> </w:t>
      </w:r>
      <w:r w:rsidR="00DD3F3D" w:rsidRPr="001005B7">
        <w:t>or a priestly prophet</w:t>
      </w:r>
      <w:r w:rsidR="00073E66" w:rsidRPr="001005B7">
        <w:t>.</w:t>
      </w:r>
      <w:r w:rsidR="00DD3F3D" w:rsidRPr="001005B7">
        <w:rPr>
          <w:rStyle w:val="FootnoteReference"/>
        </w:rPr>
        <w:footnoteReference w:id="170"/>
      </w:r>
      <w:r w:rsidR="001C5E8B" w:rsidRPr="001005B7">
        <w:t xml:space="preserve"> </w:t>
      </w:r>
      <w:r w:rsidR="002B2AFA" w:rsidRPr="001005B7">
        <w:t>In another</w:t>
      </w:r>
      <w:r w:rsidR="005555A0" w:rsidRPr="001005B7">
        <w:t>, complex</w:t>
      </w:r>
      <w:r w:rsidR="002B2AFA" w:rsidRPr="001005B7">
        <w:t xml:space="preserve"> extended sense, </w:t>
      </w:r>
      <w:r w:rsidR="001C5E8B" w:rsidRPr="001005B7">
        <w:t xml:space="preserve">Yahweh’s servant </w:t>
      </w:r>
      <w:r w:rsidR="00361F3D" w:rsidRPr="001005B7">
        <w:t>carries the waywardness of his people</w:t>
      </w:r>
      <w:r w:rsidR="00073E66" w:rsidRPr="001005B7">
        <w:t xml:space="preserve"> </w:t>
      </w:r>
      <w:r w:rsidR="00361F3D" w:rsidRPr="001005B7">
        <w:t xml:space="preserve">(Isa 53:11). </w:t>
      </w:r>
      <w:r w:rsidR="00073E66" w:rsidRPr="001005B7">
        <w:t>Yahweh here uses th</w:t>
      </w:r>
      <w:r w:rsidR="005D5585" w:rsidRPr="001005B7">
        <w:t>e</w:t>
      </w:r>
      <w:r w:rsidR="00073E66" w:rsidRPr="001005B7">
        <w:t xml:space="preserve"> expression in a</w:t>
      </w:r>
      <w:r w:rsidR="005D5585" w:rsidRPr="001005B7">
        <w:t xml:space="preserve"> further extension of </w:t>
      </w:r>
      <w:r w:rsidR="002B2AFA" w:rsidRPr="001005B7">
        <w:t>such</w:t>
      </w:r>
      <w:r w:rsidR="005D5585" w:rsidRPr="001005B7">
        <w:t xml:space="preserve"> usage.</w:t>
      </w:r>
      <w:r w:rsidR="00073E66" w:rsidRPr="001005B7">
        <w:t xml:space="preserve"> </w:t>
      </w:r>
      <w:r w:rsidR="008C6212" w:rsidRPr="001005B7">
        <w:t xml:space="preserve">Ezekiel will symbolically </w:t>
      </w:r>
      <w:r w:rsidR="00C2623F" w:rsidRPr="001005B7">
        <w:t xml:space="preserve">carry </w:t>
      </w:r>
      <w:r w:rsidR="009B7B45" w:rsidRPr="001005B7">
        <w:t>the waywardness of Israel’s househol</w:t>
      </w:r>
      <w:r w:rsidR="003629A0" w:rsidRPr="001005B7">
        <w:t>d</w:t>
      </w:r>
      <w:r w:rsidR="00B8299B" w:rsidRPr="001005B7">
        <w:t xml:space="preserve"> as he</w:t>
      </w:r>
      <w:r w:rsidR="003629A0" w:rsidRPr="001005B7">
        <w:t xml:space="preserve"> enact</w:t>
      </w:r>
      <w:r w:rsidR="00B8299B" w:rsidRPr="001005B7">
        <w:t>s</w:t>
      </w:r>
      <w:r w:rsidR="003629A0" w:rsidRPr="001005B7">
        <w:t xml:space="preserve"> </w:t>
      </w:r>
      <w:r w:rsidR="00B8299B" w:rsidRPr="001005B7">
        <w:t>up</w:t>
      </w:r>
      <w:r w:rsidR="003629A0" w:rsidRPr="001005B7">
        <w:t xml:space="preserve">on himself </w:t>
      </w:r>
      <w:r w:rsidR="005D273F" w:rsidRPr="001005B7">
        <w:t xml:space="preserve">symbolically </w:t>
      </w:r>
      <w:r w:rsidR="003629A0" w:rsidRPr="001005B7">
        <w:t>the carrying of that waywardness</w:t>
      </w:r>
      <w:r w:rsidR="00A61A4F" w:rsidRPr="001005B7">
        <w:t>,</w:t>
      </w:r>
      <w:r w:rsidR="00EA4C66" w:rsidRPr="001005B7">
        <w:t xml:space="preserve"> in the form of</w:t>
      </w:r>
      <w:r w:rsidR="003629A0" w:rsidRPr="001005B7">
        <w:t xml:space="preserve"> </w:t>
      </w:r>
      <w:r w:rsidR="00293592" w:rsidRPr="001005B7">
        <w:t>the responsibility</w:t>
      </w:r>
      <w:r w:rsidR="009903A9" w:rsidRPr="001005B7">
        <w:t xml:space="preserve"> </w:t>
      </w:r>
      <w:r w:rsidR="003C36E8" w:rsidRPr="001005B7">
        <w:t xml:space="preserve">for it </w:t>
      </w:r>
      <w:r w:rsidR="009903A9" w:rsidRPr="001005B7">
        <w:t>and the consequences</w:t>
      </w:r>
      <w:r w:rsidR="003C36E8" w:rsidRPr="001005B7">
        <w:t xml:space="preserve"> of it.</w:t>
      </w:r>
      <w:r w:rsidR="0012524C" w:rsidRPr="001005B7">
        <w:t xml:space="preserve"> </w:t>
      </w:r>
      <w:r w:rsidR="00327379" w:rsidRPr="001005B7">
        <w:t>It will be a v</w:t>
      </w:r>
      <w:r w:rsidR="00A179F1" w:rsidRPr="001005B7">
        <w:t>i</w:t>
      </w:r>
      <w:r w:rsidR="00327379" w:rsidRPr="001005B7">
        <w:t>carious</w:t>
      </w:r>
      <w:r w:rsidR="00A179F1" w:rsidRPr="001005B7">
        <w:t xml:space="preserve"> carrying like that of </w:t>
      </w:r>
      <w:r w:rsidR="00292FB4" w:rsidRPr="001005B7">
        <w:t>a</w:t>
      </w:r>
      <w:r w:rsidR="00A179F1" w:rsidRPr="001005B7">
        <w:t xml:space="preserve"> priest, </w:t>
      </w:r>
      <w:r w:rsidR="00962312" w:rsidRPr="001005B7">
        <w:t>not one that achieves forgiveness or makes atonement</w:t>
      </w:r>
      <w:r w:rsidR="008A688C" w:rsidRPr="001005B7">
        <w:t>,</w:t>
      </w:r>
      <w:r w:rsidR="00FB6D1B" w:rsidRPr="001005B7">
        <w:t xml:space="preserve"> </w:t>
      </w:r>
      <w:r w:rsidR="00A179F1" w:rsidRPr="001005B7">
        <w:t>but a symbolic one</w:t>
      </w:r>
      <w:r w:rsidR="00C378C3" w:rsidRPr="001005B7">
        <w:t xml:space="preserve"> (Calvin</w:t>
      </w:r>
      <w:r w:rsidR="005E0E64" w:rsidRPr="001005B7">
        <w:t>,</w:t>
      </w:r>
      <w:r w:rsidR="00C378C3" w:rsidRPr="001005B7">
        <w:t xml:space="preserve"> 1:175).</w:t>
      </w:r>
      <w:r w:rsidR="00327379" w:rsidRPr="001005B7">
        <w:t xml:space="preserve"> </w:t>
      </w:r>
    </w:p>
    <w:p w14:paraId="5798D009" w14:textId="464FFFEE" w:rsidR="005B1548" w:rsidRPr="001005B7" w:rsidRDefault="00D30533" w:rsidP="00580FAD">
      <w:r w:rsidRPr="001005B7">
        <w:rPr>
          <w:b/>
          <w:bCs/>
        </w:rPr>
        <w:t>4.5</w:t>
      </w:r>
      <w:r w:rsidR="00F46900" w:rsidRPr="001005B7">
        <w:rPr>
          <w:b/>
          <w:bCs/>
        </w:rPr>
        <w:t>–</w:t>
      </w:r>
      <w:r w:rsidRPr="001005B7">
        <w:rPr>
          <w:b/>
          <w:bCs/>
        </w:rPr>
        <w:t>6</w:t>
      </w:r>
      <w:r w:rsidR="00AA67B2" w:rsidRPr="001005B7">
        <w:t xml:space="preserve"> </w:t>
      </w:r>
      <w:r w:rsidR="00BB538D" w:rsidRPr="001005B7">
        <w:t xml:space="preserve">In </w:t>
      </w:r>
      <w:r w:rsidR="00A91CA7" w:rsidRPr="001005B7">
        <w:t>many</w:t>
      </w:r>
      <w:r w:rsidR="00BB538D" w:rsidRPr="001005B7">
        <w:t xml:space="preserve"> contexts, </w:t>
      </w:r>
      <w:r w:rsidR="008029E4" w:rsidRPr="001005B7">
        <w:t>Yahweh</w:t>
      </w:r>
      <w:r w:rsidR="00FB074A" w:rsidRPr="001005B7">
        <w:t>’s</w:t>
      </w:r>
      <w:r w:rsidR="008029E4" w:rsidRPr="001005B7">
        <w:t xml:space="preserve"> speak</w:t>
      </w:r>
      <w:r w:rsidR="00FB074A" w:rsidRPr="001005B7">
        <w:t>ing</w:t>
      </w:r>
      <w:r w:rsidR="008029E4" w:rsidRPr="001005B7">
        <w:t xml:space="preserve"> of Israel and then of Judah </w:t>
      </w:r>
      <w:r w:rsidR="00BB538D" w:rsidRPr="001005B7">
        <w:t>would suggest reference</w:t>
      </w:r>
      <w:r w:rsidR="00FB074A" w:rsidRPr="001005B7">
        <w:t xml:space="preserve"> to</w:t>
      </w:r>
      <w:r w:rsidR="00AE4701" w:rsidRPr="001005B7">
        <w:t xml:space="preserve"> the northern </w:t>
      </w:r>
      <w:r w:rsidR="002053CE" w:rsidRPr="001005B7">
        <w:t xml:space="preserve">and southern </w:t>
      </w:r>
      <w:r w:rsidR="00AE4701" w:rsidRPr="001005B7">
        <w:t>nation</w:t>
      </w:r>
      <w:r w:rsidR="002053CE" w:rsidRPr="001005B7">
        <w:t>s</w:t>
      </w:r>
      <w:r w:rsidR="00AE4701" w:rsidRPr="001005B7">
        <w:t xml:space="preserve">, </w:t>
      </w:r>
      <w:r w:rsidR="006727C2" w:rsidRPr="001005B7">
        <w:t>but in Ezekiel the two ter</w:t>
      </w:r>
      <w:r w:rsidR="00081C2D" w:rsidRPr="001005B7">
        <w:t>m</w:t>
      </w:r>
      <w:r w:rsidR="006727C2" w:rsidRPr="001005B7">
        <w:t>s are not used in this way</w:t>
      </w:r>
      <w:r w:rsidR="00384316" w:rsidRPr="001005B7">
        <w:t>.</w:t>
      </w:r>
      <w:r w:rsidR="005432C7" w:rsidRPr="001005B7">
        <w:t xml:space="preserve"> </w:t>
      </w:r>
      <w:r w:rsidR="00384316" w:rsidRPr="001005B7">
        <w:t xml:space="preserve">Ezek </w:t>
      </w:r>
      <w:r w:rsidR="00AE4701" w:rsidRPr="001005B7">
        <w:t>37:16</w:t>
      </w:r>
      <w:r w:rsidR="00F46900" w:rsidRPr="001005B7">
        <w:t>–</w:t>
      </w:r>
      <w:r w:rsidR="00AE4701" w:rsidRPr="001005B7">
        <w:t>19</w:t>
      </w:r>
      <w:r w:rsidR="005432C7" w:rsidRPr="001005B7">
        <w:t xml:space="preserve"> </w:t>
      </w:r>
      <w:r w:rsidR="00031101" w:rsidRPr="001005B7">
        <w:t>is</w:t>
      </w:r>
      <w:r w:rsidR="005432C7" w:rsidRPr="001005B7">
        <w:t xml:space="preserve"> particularly sugg</w:t>
      </w:r>
      <w:r w:rsidR="00B74211" w:rsidRPr="001005B7">
        <w:t>e</w:t>
      </w:r>
      <w:r w:rsidR="005432C7" w:rsidRPr="001005B7">
        <w:t>st</w:t>
      </w:r>
      <w:r w:rsidR="00B74211" w:rsidRPr="001005B7">
        <w:t>i</w:t>
      </w:r>
      <w:r w:rsidR="005432C7" w:rsidRPr="001005B7">
        <w:t xml:space="preserve">ve </w:t>
      </w:r>
      <w:r w:rsidR="00B74211" w:rsidRPr="001005B7">
        <w:t xml:space="preserve">in this connection. </w:t>
      </w:r>
      <w:r w:rsidR="00D44C99" w:rsidRPr="001005B7">
        <w:t>Although</w:t>
      </w:r>
      <w:r w:rsidR="00337ED7">
        <w:t xml:space="preserve"> the</w:t>
      </w:r>
      <w:r w:rsidR="00D44C99" w:rsidRPr="001005B7">
        <w:t xml:space="preserve"> </w:t>
      </w:r>
      <w:r w:rsidR="00A15889" w:rsidRPr="001005B7">
        <w:t>“</w:t>
      </w:r>
      <w:r w:rsidR="009E0FC5">
        <w:t>Israel’s</w:t>
      </w:r>
      <w:r w:rsidR="00D44C99" w:rsidRPr="001005B7">
        <w:t xml:space="preserve"> household</w:t>
      </w:r>
      <w:r w:rsidR="00A15889" w:rsidRPr="001005B7">
        <w:t>”</w:t>
      </w:r>
      <w:r w:rsidR="00D44C99" w:rsidRPr="001005B7">
        <w:t xml:space="preserve"> </w:t>
      </w:r>
      <w:r w:rsidR="00D36AED" w:rsidRPr="001005B7">
        <w:t xml:space="preserve">to which Ezekiel </w:t>
      </w:r>
      <w:r w:rsidR="00A15889" w:rsidRPr="001005B7">
        <w:t xml:space="preserve">has previously </w:t>
      </w:r>
      <w:r w:rsidR="00D36AED" w:rsidRPr="001005B7">
        <w:t>refer</w:t>
      </w:r>
      <w:r w:rsidR="00A15889" w:rsidRPr="001005B7">
        <w:t>red</w:t>
      </w:r>
      <w:r w:rsidR="00D36AED" w:rsidRPr="001005B7">
        <w:t xml:space="preserve"> </w:t>
      </w:r>
      <w:r w:rsidR="00FC52C3" w:rsidRPr="001005B7">
        <w:t>was</w:t>
      </w:r>
      <w:r w:rsidR="00A15889" w:rsidRPr="001005B7">
        <w:t xml:space="preserve"> its embodiment in </w:t>
      </w:r>
      <w:proofErr w:type="spellStart"/>
      <w:r w:rsidR="00A15889" w:rsidRPr="001005B7">
        <w:t>Kebar</w:t>
      </w:r>
      <w:proofErr w:type="spellEnd"/>
      <w:r w:rsidR="003054EF" w:rsidRPr="001005B7">
        <w:t xml:space="preserve"> (</w:t>
      </w:r>
      <w:r w:rsidR="007D4F47" w:rsidRPr="001005B7">
        <w:t>3</w:t>
      </w:r>
      <w:r w:rsidR="00A55FDA" w:rsidRPr="001005B7">
        <w:t>:</w:t>
      </w:r>
      <w:r w:rsidR="007D4F47" w:rsidRPr="001005B7">
        <w:t>1, 4, 5, 7</w:t>
      </w:r>
      <w:r w:rsidR="00A55FDA" w:rsidRPr="001005B7">
        <w:t>, 17; 4:3), t</w:t>
      </w:r>
      <w:r w:rsidR="00605431" w:rsidRPr="001005B7">
        <w:t>he</w:t>
      </w:r>
      <w:r w:rsidR="00296085">
        <w:t xml:space="preserve"> “Israel’s</w:t>
      </w:r>
      <w:r w:rsidR="00253706" w:rsidRPr="001005B7">
        <w:t xml:space="preserve"> </w:t>
      </w:r>
      <w:proofErr w:type="spellStart"/>
      <w:r w:rsidR="005C3302" w:rsidRPr="001005B7">
        <w:t>household</w:t>
      </w:r>
      <w:r w:rsidR="00296085">
        <w:t>”I</w:t>
      </w:r>
      <w:proofErr w:type="spellEnd"/>
      <w:r w:rsidR="005C3302" w:rsidRPr="001005B7">
        <w:t xml:space="preserve"> whose waywardness Ezekiel</w:t>
      </w:r>
      <w:r w:rsidR="00E36A8C" w:rsidRPr="001005B7">
        <w:t xml:space="preserve"> is </w:t>
      </w:r>
      <w:r w:rsidR="00F3103A" w:rsidRPr="001005B7">
        <w:t xml:space="preserve">here </w:t>
      </w:r>
      <w:r w:rsidR="00E36A8C" w:rsidRPr="001005B7">
        <w:t xml:space="preserve">to carry </w:t>
      </w:r>
      <w:r w:rsidR="00F3103A" w:rsidRPr="001005B7">
        <w:t>is</w:t>
      </w:r>
      <w:r w:rsidR="00121E64" w:rsidRPr="001005B7">
        <w:t xml:space="preserve"> </w:t>
      </w:r>
      <w:r w:rsidR="00F1751D" w:rsidRPr="001005B7">
        <w:t>t</w:t>
      </w:r>
      <w:r w:rsidR="00121E64" w:rsidRPr="001005B7">
        <w:t xml:space="preserve">he </w:t>
      </w:r>
      <w:r w:rsidR="00F1751D" w:rsidRPr="001005B7">
        <w:t xml:space="preserve">Israelite </w:t>
      </w:r>
      <w:r w:rsidR="00121E64" w:rsidRPr="001005B7">
        <w:t>people as a whole</w:t>
      </w:r>
      <w:r w:rsidR="002A7B20" w:rsidRPr="001005B7">
        <w:t>.</w:t>
      </w:r>
      <w:r w:rsidR="00976224" w:rsidRPr="001005B7">
        <w:t xml:space="preserve"> </w:t>
      </w:r>
      <w:r w:rsidR="007B6778" w:rsidRPr="001005B7">
        <w:t xml:space="preserve">The 390 years </w:t>
      </w:r>
      <w:r w:rsidR="001750BE" w:rsidRPr="001005B7">
        <w:t xml:space="preserve">would then </w:t>
      </w:r>
      <w:r w:rsidR="007B68F8" w:rsidRPr="001005B7">
        <w:t>cover</w:t>
      </w:r>
      <w:r w:rsidR="001750BE" w:rsidRPr="001005B7">
        <w:t xml:space="preserve"> the </w:t>
      </w:r>
      <w:r w:rsidR="00633264" w:rsidRPr="001005B7">
        <w:t>entire lifetime of</w:t>
      </w:r>
      <w:r w:rsidR="00EA7619" w:rsidRPr="001005B7">
        <w:t xml:space="preserve"> Israel</w:t>
      </w:r>
      <w:r w:rsidR="006F265C" w:rsidRPr="001005B7">
        <w:t>,</w:t>
      </w:r>
      <w:r w:rsidR="00EA7619" w:rsidRPr="001005B7">
        <w:t xml:space="preserve"> and</w:t>
      </w:r>
      <w:r w:rsidR="00633264" w:rsidRPr="001005B7">
        <w:t xml:space="preserve"> </w:t>
      </w:r>
      <w:r w:rsidR="007B68F8" w:rsidRPr="001005B7">
        <w:t xml:space="preserve">of </w:t>
      </w:r>
      <w:r w:rsidR="00633264" w:rsidRPr="001005B7">
        <w:t xml:space="preserve">the temple </w:t>
      </w:r>
      <w:r w:rsidR="00EA7619" w:rsidRPr="001005B7">
        <w:t>with</w:t>
      </w:r>
      <w:r w:rsidR="00633264" w:rsidRPr="001005B7">
        <w:t xml:space="preserve"> its </w:t>
      </w:r>
      <w:r w:rsidR="009E245E" w:rsidRPr="001005B7">
        <w:t xml:space="preserve">(commonly apostate) </w:t>
      </w:r>
      <w:r w:rsidR="00633264" w:rsidRPr="001005B7">
        <w:t>worship</w:t>
      </w:r>
      <w:r w:rsidR="004B61CD" w:rsidRPr="001005B7">
        <w:t>,</w:t>
      </w:r>
      <w:r w:rsidR="00633264" w:rsidRPr="001005B7">
        <w:t xml:space="preserve"> up until</w:t>
      </w:r>
      <w:r w:rsidR="008643C1" w:rsidRPr="001005B7">
        <w:t xml:space="preserve"> the </w:t>
      </w:r>
      <w:r w:rsidR="004B61CD" w:rsidRPr="001005B7">
        <w:t xml:space="preserve">imminent </w:t>
      </w:r>
      <w:r w:rsidR="008643C1" w:rsidRPr="001005B7">
        <w:t xml:space="preserve">fall of Jerusalem </w:t>
      </w:r>
      <w:r w:rsidR="007B68F8" w:rsidRPr="001005B7">
        <w:t>and destruction of the temple</w:t>
      </w:r>
      <w:r w:rsidR="00000545" w:rsidRPr="001005B7">
        <w:t>.</w:t>
      </w:r>
      <w:r w:rsidR="001750BE" w:rsidRPr="001005B7">
        <w:t xml:space="preserve"> </w:t>
      </w:r>
      <w:r w:rsidR="001627F1" w:rsidRPr="001005B7">
        <w:t>“</w:t>
      </w:r>
      <w:r w:rsidR="003241AF" w:rsidRPr="001005B7">
        <w:t>Judah</w:t>
      </w:r>
      <w:r w:rsidR="001627F1" w:rsidRPr="001005B7">
        <w:t>”</w:t>
      </w:r>
      <w:r w:rsidR="003241AF" w:rsidRPr="001005B7">
        <w:t xml:space="preserve"> </w:t>
      </w:r>
      <w:r w:rsidR="002637DC" w:rsidRPr="001005B7">
        <w:t xml:space="preserve">will </w:t>
      </w:r>
      <w:r w:rsidR="00976224" w:rsidRPr="001005B7">
        <w:t xml:space="preserve">then </w:t>
      </w:r>
      <w:r w:rsidR="003241AF" w:rsidRPr="001005B7">
        <w:t>refer to the southern nation</w:t>
      </w:r>
      <w:r w:rsidR="00C11677" w:rsidRPr="001005B7">
        <w:t xml:space="preserve"> with its</w:t>
      </w:r>
      <w:r w:rsidR="004C781E" w:rsidRPr="001005B7">
        <w:t xml:space="preserve"> shady history over the forty years leading up to th</w:t>
      </w:r>
      <w:r w:rsidR="00D60AD7" w:rsidRPr="001005B7">
        <w:t xml:space="preserve">at imminent </w:t>
      </w:r>
      <w:r w:rsidR="004C781E" w:rsidRPr="001005B7">
        <w:t>fall of Jerusalem.</w:t>
      </w:r>
      <w:r w:rsidR="00D86A43" w:rsidRPr="001005B7">
        <w:rPr>
          <w:rStyle w:val="FootnoteReference"/>
        </w:rPr>
        <w:footnoteReference w:id="171"/>
      </w:r>
      <w:r w:rsidR="004C781E" w:rsidRPr="001005B7">
        <w:t xml:space="preserve"> </w:t>
      </w:r>
      <w:r w:rsidR="00AB6E3D" w:rsidRPr="001005B7">
        <w:t xml:space="preserve">The </w:t>
      </w:r>
      <w:r w:rsidR="00A70F32" w:rsidRPr="001005B7">
        <w:t xml:space="preserve">forty </w:t>
      </w:r>
      <w:r w:rsidR="00AB6E3D" w:rsidRPr="001005B7">
        <w:t>day</w:t>
      </w:r>
      <w:r w:rsidR="00A70F32" w:rsidRPr="001005B7">
        <w:t>s</w:t>
      </w:r>
      <w:r w:rsidR="00A00EA2" w:rsidRPr="001005B7">
        <w:t>—</w:t>
      </w:r>
      <w:r w:rsidR="00A70F32" w:rsidRPr="001005B7">
        <w:t>forty years</w:t>
      </w:r>
      <w:r w:rsidR="007E60ED" w:rsidRPr="001005B7">
        <w:t xml:space="preserve"> formula in connection with waywardness compares (in</w:t>
      </w:r>
      <w:r w:rsidR="00D20D50" w:rsidRPr="001005B7">
        <w:t xml:space="preserve"> </w:t>
      </w:r>
      <w:r w:rsidR="007E60ED" w:rsidRPr="001005B7">
        <w:t>reverse) with Num 14:34</w:t>
      </w:r>
      <w:r w:rsidR="00D20D50" w:rsidRPr="001005B7">
        <w:t>.</w:t>
      </w:r>
      <w:r w:rsidR="00A70F32" w:rsidRPr="001005B7">
        <w:t xml:space="preserve"> </w:t>
      </w:r>
      <w:r w:rsidR="008267DC" w:rsidRPr="001005B7">
        <w:t>It is not evident that there is any specific significance in left and right</w:t>
      </w:r>
      <w:r w:rsidR="00551F08" w:rsidRPr="001005B7">
        <w:t>. A</w:t>
      </w:r>
      <w:r w:rsidR="002A4A9B" w:rsidRPr="001005B7">
        <w:t xml:space="preserve"> heretic said to Rabbi </w:t>
      </w:r>
      <w:proofErr w:type="spellStart"/>
      <w:r w:rsidR="002A4A9B" w:rsidRPr="001005B7">
        <w:t>Abbahu</w:t>
      </w:r>
      <w:proofErr w:type="spellEnd"/>
      <w:r w:rsidR="002A4A9B" w:rsidRPr="001005B7">
        <w:t>, “Your God is a jester, in that he said to Ezekiel, ‘Lie on your left side, then on the right side’” (</w:t>
      </w:r>
      <w:r w:rsidR="002A4A9B" w:rsidRPr="001005B7">
        <w:rPr>
          <w:i/>
          <w:iCs/>
        </w:rPr>
        <w:t>b. Sanh</w:t>
      </w:r>
      <w:r w:rsidR="003876D5" w:rsidRPr="001005B7">
        <w:rPr>
          <w:i/>
          <w:iCs/>
        </w:rPr>
        <w:t>.</w:t>
      </w:r>
      <w:r w:rsidR="002A4A9B" w:rsidRPr="001005B7">
        <w:t xml:space="preserve"> 39a</w:t>
      </w:r>
      <w:r w:rsidR="00984FAD" w:rsidRPr="001005B7">
        <w:t xml:space="preserve">); </w:t>
      </w:r>
      <w:r w:rsidR="006707E5" w:rsidRPr="001005B7">
        <w:t xml:space="preserve">Greenberg </w:t>
      </w:r>
      <w:r w:rsidR="00F4722E" w:rsidRPr="001005B7">
        <w:t>(</w:t>
      </w:r>
      <w:r w:rsidR="00F01887" w:rsidRPr="001005B7">
        <w:t>1:</w:t>
      </w:r>
      <w:r w:rsidR="006707E5" w:rsidRPr="001005B7">
        <w:t>122</w:t>
      </w:r>
      <w:r w:rsidR="00F4722E" w:rsidRPr="001005B7">
        <w:t>)</w:t>
      </w:r>
      <w:r w:rsidR="006707E5" w:rsidRPr="001005B7">
        <w:t xml:space="preserve"> comments that the heretic was probably a Christian.</w:t>
      </w:r>
      <w:r w:rsidR="00011C97" w:rsidRPr="001005B7">
        <w:t xml:space="preserve"> </w:t>
      </w:r>
      <w:r w:rsidR="00973970" w:rsidRPr="001005B7">
        <w:t xml:space="preserve">There are various ways of making the arithmetic of 390 and 40 </w:t>
      </w:r>
      <w:r w:rsidR="0078286A" w:rsidRPr="001005B7">
        <w:t xml:space="preserve">work in detail, but </w:t>
      </w:r>
      <w:r w:rsidR="00793C62" w:rsidRPr="001005B7">
        <w:t xml:space="preserve">the likelihood is that these are more symbolic </w:t>
      </w:r>
      <w:r w:rsidR="00F41620" w:rsidRPr="001005B7">
        <w:t xml:space="preserve">than chronological figures, like the </w:t>
      </w:r>
      <w:r w:rsidR="00E80E89" w:rsidRPr="001005B7">
        <w:t>t</w:t>
      </w:r>
      <w:r w:rsidR="004E4FA3" w:rsidRPr="001005B7">
        <w:t>hree</w:t>
      </w:r>
      <w:r w:rsidR="00E80E89" w:rsidRPr="001005B7">
        <w:t xml:space="preserve"> </w:t>
      </w:r>
      <w:r w:rsidR="00F41620" w:rsidRPr="001005B7">
        <w:t>se</w:t>
      </w:r>
      <w:r w:rsidR="004E4FA3" w:rsidRPr="001005B7">
        <w:t>quences</w:t>
      </w:r>
      <w:r w:rsidR="00F41620" w:rsidRPr="001005B7">
        <w:t xml:space="preserve"> of fourteen generations in Matt 1:</w:t>
      </w:r>
      <w:r w:rsidR="009C6DF4" w:rsidRPr="001005B7">
        <w:t>2</w:t>
      </w:r>
      <w:r w:rsidR="00F46900" w:rsidRPr="001005B7">
        <w:t>–</w:t>
      </w:r>
      <w:r w:rsidR="009C6DF4" w:rsidRPr="001005B7">
        <w:t xml:space="preserve">17. </w:t>
      </w:r>
      <w:r w:rsidR="009C5283" w:rsidRPr="001005B7">
        <w:t>In the</w:t>
      </w:r>
      <w:r w:rsidR="00F91407" w:rsidRPr="001005B7">
        <w:t xml:space="preserve"> background is then the 430 years of Exod 12:40</w:t>
      </w:r>
      <w:r w:rsidR="00F46900" w:rsidRPr="001005B7">
        <w:t>–</w:t>
      </w:r>
      <w:r w:rsidR="00F91407" w:rsidRPr="001005B7">
        <w:t>41</w:t>
      </w:r>
      <w:r w:rsidR="0026437D" w:rsidRPr="001005B7">
        <w:t>, with t</w:t>
      </w:r>
      <w:r w:rsidR="00FF3B51" w:rsidRPr="001005B7">
        <w:t xml:space="preserve">he period </w:t>
      </w:r>
      <w:r w:rsidR="00064FA2" w:rsidRPr="001005B7">
        <w:t>of</w:t>
      </w:r>
      <w:r w:rsidR="00FF3B51" w:rsidRPr="001005B7">
        <w:t xml:space="preserve"> Jerusalem being</w:t>
      </w:r>
      <w:r w:rsidR="00A14DBB" w:rsidRPr="001005B7">
        <w:t xml:space="preserve"> </w:t>
      </w:r>
      <w:r w:rsidR="009E5CC8" w:rsidRPr="001005B7">
        <w:t>the city where Yahweh dwelt then parallel</w:t>
      </w:r>
      <w:r w:rsidR="00337C1B" w:rsidRPr="001005B7">
        <w:t>ing</w:t>
      </w:r>
      <w:r w:rsidR="009E5CC8" w:rsidRPr="001005B7">
        <w:t xml:space="preserve"> the period of Egypt being the country where Israel dwelt</w:t>
      </w:r>
      <w:r w:rsidR="00890A24" w:rsidRPr="001005B7">
        <w:t>.</w:t>
      </w:r>
      <w:r w:rsidR="00FF3B51" w:rsidRPr="001005B7">
        <w:t xml:space="preserve"> </w:t>
      </w:r>
      <w:r w:rsidR="0067168F" w:rsidRPr="001005B7">
        <w:t xml:space="preserve">So </w:t>
      </w:r>
      <w:r w:rsidR="00777516" w:rsidRPr="001005B7">
        <w:t>Ezekiel is to embody the way</w:t>
      </w:r>
      <w:r w:rsidR="007512AC">
        <w:t xml:space="preserve"> Israel’s</w:t>
      </w:r>
      <w:r w:rsidR="00777516" w:rsidRPr="001005B7">
        <w:t xml:space="preserve"> household </w:t>
      </w:r>
      <w:r w:rsidR="00357132" w:rsidRPr="001005B7">
        <w:t xml:space="preserve">and the city of Jerusalem </w:t>
      </w:r>
      <w:r w:rsidR="00777516" w:rsidRPr="001005B7">
        <w:t>ha</w:t>
      </w:r>
      <w:r w:rsidR="00357132" w:rsidRPr="001005B7">
        <w:t>ve</w:t>
      </w:r>
      <w:r w:rsidR="00777516" w:rsidRPr="001005B7">
        <w:t xml:space="preserve"> been carrying waywardness (that is, </w:t>
      </w:r>
      <w:r w:rsidR="00232560" w:rsidRPr="001005B7">
        <w:t>ha</w:t>
      </w:r>
      <w:r w:rsidR="00357132" w:rsidRPr="001005B7">
        <w:t>ve been</w:t>
      </w:r>
      <w:r w:rsidR="00232560" w:rsidRPr="001005B7">
        <w:t xml:space="preserve"> </w:t>
      </w:r>
      <w:r w:rsidR="00777516" w:rsidRPr="001005B7">
        <w:t xml:space="preserve">characterized by waywardness) </w:t>
      </w:r>
      <w:r w:rsidR="00232560" w:rsidRPr="001005B7">
        <w:t>for four centuries</w:t>
      </w:r>
      <w:r w:rsidR="00102A7F" w:rsidRPr="001005B7">
        <w:t>,</w:t>
      </w:r>
      <w:r w:rsidR="00E93411" w:rsidRPr="001005B7">
        <w:t xml:space="preserve"> and in particular for recent decades</w:t>
      </w:r>
      <w:r w:rsidR="00624203" w:rsidRPr="001005B7">
        <w:t xml:space="preserve">, at the end of which Yahweh is finally </w:t>
      </w:r>
      <w:r w:rsidR="00357132" w:rsidRPr="001005B7">
        <w:t xml:space="preserve">terminating </w:t>
      </w:r>
      <w:r w:rsidR="00BD313B" w:rsidRPr="001005B7">
        <w:t>the city’s</w:t>
      </w:r>
      <w:r w:rsidR="00357132" w:rsidRPr="001005B7">
        <w:t xml:space="preserve"> lif</w:t>
      </w:r>
      <w:r w:rsidR="00B256D0" w:rsidRPr="001005B7">
        <w:t>e.</w:t>
      </w:r>
      <w:r w:rsidR="00CA17BA" w:rsidRPr="001005B7">
        <w:t xml:space="preserve"> </w:t>
      </w:r>
      <w:r w:rsidR="00684AB3" w:rsidRPr="001005B7">
        <w:t>Some while later, t</w:t>
      </w:r>
      <w:r w:rsidR="00A24131" w:rsidRPr="001005B7">
        <w:t>he</w:t>
      </w:r>
      <w:r w:rsidR="00551F56" w:rsidRPr="001005B7">
        <w:t xml:space="preserve"> Damascus </w:t>
      </w:r>
      <w:r w:rsidR="0089791D" w:rsidRPr="001005B7">
        <w:t>Rule</w:t>
      </w:r>
      <w:r w:rsidR="0068255C" w:rsidRPr="001005B7">
        <w:t xml:space="preserve"> (1:5</w:t>
      </w:r>
      <w:r w:rsidR="00F46900" w:rsidRPr="001005B7">
        <w:t>–</w:t>
      </w:r>
      <w:r w:rsidR="0068255C" w:rsidRPr="001005B7">
        <w:t>11)</w:t>
      </w:r>
      <w:r w:rsidR="000F777F" w:rsidRPr="001005B7">
        <w:t xml:space="preserve">, </w:t>
      </w:r>
      <w:r w:rsidR="004B10BE" w:rsidRPr="001005B7">
        <w:t xml:space="preserve">a </w:t>
      </w:r>
      <w:r w:rsidR="0089791D" w:rsidRPr="001005B7">
        <w:t xml:space="preserve">body of teaching </w:t>
      </w:r>
      <w:r w:rsidR="000F777F" w:rsidRPr="001005B7">
        <w:t xml:space="preserve">from </w:t>
      </w:r>
      <w:r w:rsidR="00214E62" w:rsidRPr="001005B7">
        <w:t xml:space="preserve">around </w:t>
      </w:r>
      <w:r w:rsidR="000F777F" w:rsidRPr="001005B7">
        <w:t>the second century</w:t>
      </w:r>
      <w:r w:rsidR="00DD149D" w:rsidRPr="001005B7">
        <w:t xml:space="preserve"> </w:t>
      </w:r>
      <w:r w:rsidR="00C30AE2" w:rsidRPr="001005B7">
        <w:rPr>
          <w:sz w:val="18"/>
          <w:szCs w:val="18"/>
        </w:rPr>
        <w:t>BC</w:t>
      </w:r>
      <w:r w:rsidR="009F7DDF" w:rsidRPr="001005B7">
        <w:t>, has the 390 years starting in 587</w:t>
      </w:r>
      <w:r w:rsidR="00296CCA" w:rsidRPr="001005B7">
        <w:t xml:space="preserve"> </w:t>
      </w:r>
      <w:r w:rsidR="003C3B94" w:rsidRPr="001005B7">
        <w:t>and thus coming to an end in the</w:t>
      </w:r>
      <w:r w:rsidR="005B08AE" w:rsidRPr="001005B7">
        <w:t xml:space="preserve"> author(s)</w:t>
      </w:r>
      <w:r w:rsidR="003C3B94" w:rsidRPr="001005B7">
        <w:t xml:space="preserve"> own time</w:t>
      </w:r>
      <w:r w:rsidR="004823F8" w:rsidRPr="001005B7">
        <w:t>,</w:t>
      </w:r>
      <w:r w:rsidR="00F33667" w:rsidRPr="001005B7">
        <w:rPr>
          <w:rStyle w:val="FootnoteReference"/>
        </w:rPr>
        <w:footnoteReference w:id="172"/>
      </w:r>
      <w:r w:rsidR="00962AAE" w:rsidRPr="001005B7">
        <w:t xml:space="preserve"> </w:t>
      </w:r>
      <w:r w:rsidR="004823F8" w:rsidRPr="001005B7">
        <w:t>so that t</w:t>
      </w:r>
      <w:r w:rsidR="00102A7F" w:rsidRPr="001005B7">
        <w:t>he Rule</w:t>
      </w:r>
      <w:r w:rsidR="00C7144A" w:rsidRPr="001005B7">
        <w:t xml:space="preserve"> </w:t>
      </w:r>
      <w:r w:rsidR="00962AAE" w:rsidRPr="001005B7">
        <w:t>illustrat</w:t>
      </w:r>
      <w:r w:rsidR="00C7144A" w:rsidRPr="001005B7">
        <w:t>es</w:t>
      </w:r>
      <w:r w:rsidR="00962AAE" w:rsidRPr="001005B7">
        <w:t xml:space="preserve"> the process whereby </w:t>
      </w:r>
      <w:r w:rsidR="00296CCA" w:rsidRPr="001005B7">
        <w:t>Jewish theologians appl</w:t>
      </w:r>
      <w:r w:rsidR="004823F8" w:rsidRPr="001005B7">
        <w:t>ied</w:t>
      </w:r>
      <w:r w:rsidR="00296CCA" w:rsidRPr="001005B7">
        <w:t xml:space="preserve"> the Scriptures to their own time</w:t>
      </w:r>
      <w:r w:rsidR="00C7144A" w:rsidRPr="001005B7">
        <w:t xml:space="preserve">—as Matthew does, and as </w:t>
      </w:r>
      <w:r w:rsidR="0036460D" w:rsidRPr="001005B7">
        <w:t xml:space="preserve">Rabbi </w:t>
      </w:r>
      <w:r w:rsidR="00C21FEE" w:rsidRPr="001005B7">
        <w:t xml:space="preserve">Eleazar </w:t>
      </w:r>
      <w:r w:rsidR="003B2D26" w:rsidRPr="001005B7">
        <w:t xml:space="preserve">subsequently </w:t>
      </w:r>
      <w:r w:rsidR="00C21FEE" w:rsidRPr="001005B7">
        <w:t>does.</w:t>
      </w:r>
      <w:r w:rsidR="00790EAA" w:rsidRPr="001005B7">
        <w:rPr>
          <w:rStyle w:val="FootnoteReference"/>
        </w:rPr>
        <w:footnoteReference w:id="173"/>
      </w:r>
      <w:r w:rsidR="0029125D" w:rsidRPr="001005B7">
        <w:t xml:space="preserve"> </w:t>
      </w:r>
    </w:p>
    <w:p w14:paraId="4663115D" w14:textId="72B24D24" w:rsidR="00CC1FC9" w:rsidRPr="001005B7" w:rsidRDefault="00C62ADC" w:rsidP="0020465A">
      <w:r w:rsidRPr="001005B7">
        <w:rPr>
          <w:b/>
          <w:bCs/>
        </w:rPr>
        <w:t xml:space="preserve">4:7 </w:t>
      </w:r>
      <w:r w:rsidR="00945A3B" w:rsidRPr="001005B7">
        <w:t>Yahweh’s</w:t>
      </w:r>
      <w:r w:rsidR="006246C4" w:rsidRPr="001005B7">
        <w:t xml:space="preserve"> </w:t>
      </w:r>
      <w:r w:rsidR="00BB7688" w:rsidRPr="001005B7">
        <w:t>requiring</w:t>
      </w:r>
      <w:r w:rsidR="006246C4" w:rsidRPr="001005B7">
        <w:t xml:space="preserve"> </w:t>
      </w:r>
      <w:r w:rsidR="00945A3B" w:rsidRPr="001005B7">
        <w:t xml:space="preserve">Ezekiel to </w:t>
      </w:r>
      <w:r w:rsidR="006246C4" w:rsidRPr="001005B7">
        <w:t>set his face towards the siege</w:t>
      </w:r>
      <w:r w:rsidR="00DD1D07" w:rsidRPr="001005B7">
        <w:t xml:space="preserve"> re</w:t>
      </w:r>
      <w:r w:rsidR="00E47117" w:rsidRPr="001005B7">
        <w:t>states</w:t>
      </w:r>
      <w:r w:rsidR="00DD1D07" w:rsidRPr="001005B7">
        <w:t xml:space="preserve"> the commission in </w:t>
      </w:r>
      <w:r w:rsidR="00AC027B" w:rsidRPr="001005B7">
        <w:t>4:</w:t>
      </w:r>
      <w:r w:rsidR="00FB32AD" w:rsidRPr="001005B7">
        <w:t xml:space="preserve">3. </w:t>
      </w:r>
      <w:r w:rsidR="001C6FAF" w:rsidRPr="001005B7">
        <w:t xml:space="preserve">Ezekiel </w:t>
      </w:r>
      <w:r w:rsidR="005C41AE" w:rsidRPr="001005B7">
        <w:t>is to</w:t>
      </w:r>
      <w:r w:rsidR="001C6FAF" w:rsidRPr="001005B7">
        <w:t xml:space="preserve"> do so with</w:t>
      </w:r>
      <w:r w:rsidR="001C6FAF" w:rsidRPr="001005B7">
        <w:rPr>
          <w:i/>
          <w:iCs/>
        </w:rPr>
        <w:t xml:space="preserve"> </w:t>
      </w:r>
      <w:r w:rsidR="001C6FAF" w:rsidRPr="001005B7">
        <w:t>bared</w:t>
      </w:r>
      <w:r w:rsidR="001C6FAF" w:rsidRPr="001005B7">
        <w:rPr>
          <w:i/>
          <w:iCs/>
        </w:rPr>
        <w:t xml:space="preserve"> </w:t>
      </w:r>
      <w:r w:rsidR="001C6FAF" w:rsidRPr="001005B7">
        <w:t>arm</w:t>
      </w:r>
      <w:r w:rsidR="00DC519D" w:rsidRPr="001005B7">
        <w:t>, the equivalent of rolled-up sleeves</w:t>
      </w:r>
      <w:r w:rsidR="00642B1B" w:rsidRPr="001005B7">
        <w:t xml:space="preserve">, </w:t>
      </w:r>
      <w:r w:rsidR="00DC519D" w:rsidRPr="001005B7">
        <w:t>from which encumbrance ha</w:t>
      </w:r>
      <w:r w:rsidR="00743B51" w:rsidRPr="001005B7">
        <w:t xml:space="preserve">s been removed so as to be ready </w:t>
      </w:r>
      <w:r w:rsidR="00642B1B" w:rsidRPr="001005B7">
        <w:t>f</w:t>
      </w:r>
      <w:r w:rsidR="00743B51" w:rsidRPr="001005B7">
        <w:t>or action</w:t>
      </w:r>
      <w:r w:rsidR="00551F08" w:rsidRPr="001005B7">
        <w:t>. T</w:t>
      </w:r>
      <w:r w:rsidR="00743B51" w:rsidRPr="001005B7">
        <w:t xml:space="preserve">he expression recurs only in Isa </w:t>
      </w:r>
      <w:r w:rsidR="002B70EB" w:rsidRPr="001005B7">
        <w:t xml:space="preserve">52:10 in the reverse connection of Yahweh taking action </w:t>
      </w:r>
      <w:r w:rsidR="002B70EB" w:rsidRPr="001005B7">
        <w:rPr>
          <w:i/>
          <w:iCs/>
        </w:rPr>
        <w:t>for</w:t>
      </w:r>
      <w:r w:rsidR="002B70EB" w:rsidRPr="001005B7">
        <w:t xml:space="preserve"> Israel</w:t>
      </w:r>
      <w:r w:rsidR="002B70EB" w:rsidRPr="001005B7">
        <w:rPr>
          <w:i/>
          <w:iCs/>
        </w:rPr>
        <w:t xml:space="preserve"> against</w:t>
      </w:r>
      <w:r w:rsidR="002B70EB" w:rsidRPr="001005B7">
        <w:t xml:space="preserve"> Babylon.</w:t>
      </w:r>
      <w:r w:rsidR="006D0012" w:rsidRPr="001005B7">
        <w:t xml:space="preserve"> Ezekiel </w:t>
      </w:r>
      <w:r w:rsidR="00E47117" w:rsidRPr="001005B7">
        <w:t xml:space="preserve">again </w:t>
      </w:r>
      <w:r w:rsidR="006D0012" w:rsidRPr="001005B7">
        <w:t xml:space="preserve">embodies Yahweh taking action against Jerusalem. </w:t>
      </w:r>
      <w:r w:rsidR="00912ED9" w:rsidRPr="001005B7">
        <w:t xml:space="preserve">And on Yahweh’s behalf </w:t>
      </w:r>
      <w:r w:rsidR="006818FD" w:rsidRPr="001005B7">
        <w:t>Ezekiel</w:t>
      </w:r>
      <w:r w:rsidR="00912ED9" w:rsidRPr="001005B7">
        <w:t xml:space="preserve"> will prophesy</w:t>
      </w:r>
      <w:r w:rsidR="00912ED9" w:rsidRPr="001005B7">
        <w:rPr>
          <w:i/>
          <w:iCs/>
        </w:rPr>
        <w:t xml:space="preserve"> </w:t>
      </w:r>
      <w:r w:rsidR="00912ED9" w:rsidRPr="001005B7">
        <w:t>against</w:t>
      </w:r>
      <w:r w:rsidR="00912ED9" w:rsidRPr="001005B7">
        <w:rPr>
          <w:i/>
          <w:iCs/>
        </w:rPr>
        <w:t xml:space="preserve"> </w:t>
      </w:r>
      <w:r w:rsidR="00912ED9" w:rsidRPr="001005B7">
        <w:t xml:space="preserve">it. </w:t>
      </w:r>
      <w:r w:rsidR="00470C8A" w:rsidRPr="001005B7">
        <w:t>“Prophesy” (</w:t>
      </w:r>
      <w:r w:rsidR="00470C8A" w:rsidRPr="001005B7">
        <w:rPr>
          <w:rFonts w:cstheme="minorHAnsi"/>
          <w:rtl/>
          <w:lang w:bidi="he-IL"/>
        </w:rPr>
        <w:t>נ</w:t>
      </w:r>
      <w:r w:rsidR="00D04887" w:rsidRPr="001005B7">
        <w:rPr>
          <w:rFonts w:cstheme="minorHAnsi"/>
          <w:rtl/>
          <w:lang w:bidi="he-IL"/>
        </w:rPr>
        <w:t>ׇבׇא</w:t>
      </w:r>
      <w:r w:rsidR="00470C8A" w:rsidRPr="001005B7">
        <w:t xml:space="preserve"> </w:t>
      </w:r>
      <w:r w:rsidR="00BB4DD5" w:rsidRPr="001005B7">
        <w:t xml:space="preserve">niphal) </w:t>
      </w:r>
      <w:r w:rsidR="00EA41CA" w:rsidRPr="001005B7">
        <w:rPr>
          <w:lang w:eastAsia="en-GB"/>
        </w:rPr>
        <w:t xml:space="preserve">suggests a powerful, effective form of speech through which God takes action. </w:t>
      </w:r>
      <w:r w:rsidR="00DB1900" w:rsidRPr="001005B7">
        <w:t>Thu</w:t>
      </w:r>
      <w:r w:rsidR="002E3903" w:rsidRPr="001005B7">
        <w:t xml:space="preserve">s </w:t>
      </w:r>
      <w:r w:rsidR="00AC027B" w:rsidRPr="001005B7">
        <w:t>4:</w:t>
      </w:r>
      <w:r w:rsidR="002E3903" w:rsidRPr="001005B7">
        <w:t xml:space="preserve">7 </w:t>
      </w:r>
      <w:r w:rsidR="000B7DD0" w:rsidRPr="001005B7">
        <w:t xml:space="preserve">expands on 4:3 while </w:t>
      </w:r>
      <w:r w:rsidR="002E3903" w:rsidRPr="001005B7">
        <w:t>reformulat</w:t>
      </w:r>
      <w:r w:rsidR="000B7DD0" w:rsidRPr="001005B7">
        <w:t>ing it</w:t>
      </w:r>
      <w:r w:rsidR="00DB1900" w:rsidRPr="001005B7">
        <w:t xml:space="preserve">. </w:t>
      </w:r>
    </w:p>
    <w:p w14:paraId="7C7F497B" w14:textId="2E62F430" w:rsidR="00B420A2" w:rsidRPr="001005B7" w:rsidRDefault="009A720D" w:rsidP="00B420A2">
      <w:r w:rsidRPr="001005B7">
        <w:rPr>
          <w:b/>
          <w:bCs/>
        </w:rPr>
        <w:t xml:space="preserve">4:8 </w:t>
      </w:r>
      <w:r w:rsidRPr="001005B7">
        <w:t xml:space="preserve">Yahweh goes on to </w:t>
      </w:r>
      <w:r w:rsidR="006C4619" w:rsidRPr="001005B7">
        <w:t>reformulate and expand on</w:t>
      </w:r>
      <w:r w:rsidR="001135DD" w:rsidRPr="001005B7">
        <w:t xml:space="preserve"> </w:t>
      </w:r>
      <w:r w:rsidR="0042084A" w:rsidRPr="001005B7">
        <w:t>4:</w:t>
      </w:r>
      <w:r w:rsidR="006D22E0" w:rsidRPr="001005B7">
        <w:t>4</w:t>
      </w:r>
      <w:r w:rsidR="00F46900" w:rsidRPr="001005B7">
        <w:t>–</w:t>
      </w:r>
      <w:r w:rsidR="006D22E0" w:rsidRPr="001005B7">
        <w:t>6</w:t>
      </w:r>
      <w:r w:rsidR="007D3FEF" w:rsidRPr="001005B7">
        <w:t>. First</w:t>
      </w:r>
      <w:r w:rsidR="00BF790A" w:rsidRPr="001005B7">
        <w:t>, he comes back to the ropes of 3:25</w:t>
      </w:r>
      <w:r w:rsidR="00951876" w:rsidRPr="001005B7">
        <w:t xml:space="preserve">. </w:t>
      </w:r>
      <w:r w:rsidR="00EB4516" w:rsidRPr="001005B7">
        <w:t>While h</w:t>
      </w:r>
      <w:r w:rsidR="00951876" w:rsidRPr="001005B7">
        <w:t xml:space="preserve">e does not clarify who will </w:t>
      </w:r>
      <w:r w:rsidR="00EB4CF5" w:rsidRPr="001005B7">
        <w:t xml:space="preserve">literally </w:t>
      </w:r>
      <w:r w:rsidR="00951876" w:rsidRPr="001005B7">
        <w:t>tie Ezekiel up</w:t>
      </w:r>
      <w:r w:rsidR="005A3782" w:rsidRPr="001005B7">
        <w:t>,</w:t>
      </w:r>
      <w:r w:rsidR="00EB4516" w:rsidRPr="001005B7">
        <w:t xml:space="preserve"> he</w:t>
      </w:r>
      <w:r w:rsidR="00951876" w:rsidRPr="001005B7">
        <w:t xml:space="preserve"> does make </w:t>
      </w:r>
      <w:r w:rsidR="008D7EBF" w:rsidRPr="001005B7">
        <w:t>more specific</w:t>
      </w:r>
      <w:r w:rsidR="00951876" w:rsidRPr="001005B7">
        <w:t xml:space="preserve"> the point of the ropes</w:t>
      </w:r>
      <w:r w:rsidR="0059088E" w:rsidRPr="001005B7">
        <w:t xml:space="preserve">. </w:t>
      </w:r>
      <w:r w:rsidR="00A928DF" w:rsidRPr="001005B7">
        <w:t>In 3:25 t</w:t>
      </w:r>
      <w:r w:rsidR="00294367" w:rsidRPr="001005B7">
        <w:t>he</w:t>
      </w:r>
      <w:r w:rsidR="008D7EBF" w:rsidRPr="001005B7">
        <w:t>ir</w:t>
      </w:r>
      <w:r w:rsidR="00294367" w:rsidRPr="001005B7">
        <w:t xml:space="preserve"> </w:t>
      </w:r>
      <w:r w:rsidR="0045785E" w:rsidRPr="001005B7">
        <w:t>apparent</w:t>
      </w:r>
      <w:r w:rsidR="006D39AC" w:rsidRPr="001005B7">
        <w:t xml:space="preserve"> function was to prevent Ezekiel leaving home</w:t>
      </w:r>
      <w:r w:rsidR="004C717B" w:rsidRPr="001005B7">
        <w:t>, and t</w:t>
      </w:r>
      <w:r w:rsidR="007E2660" w:rsidRPr="001005B7">
        <w:t>he reason</w:t>
      </w:r>
      <w:r w:rsidR="00A928DF" w:rsidRPr="001005B7">
        <w:t xml:space="preserve"> </w:t>
      </w:r>
      <w:r w:rsidR="00077B36" w:rsidRPr="001005B7">
        <w:t xml:space="preserve">now </w:t>
      </w:r>
      <w:r w:rsidR="007E2660" w:rsidRPr="001005B7">
        <w:t>becomes more explicit</w:t>
      </w:r>
      <w:r w:rsidR="004C717B" w:rsidRPr="001005B7">
        <w:t>. H</w:t>
      </w:r>
      <w:r w:rsidR="007E2660" w:rsidRPr="001005B7">
        <w:t xml:space="preserve">e is </w:t>
      </w:r>
      <w:r w:rsidR="00A928DF" w:rsidRPr="001005B7">
        <w:t xml:space="preserve">immobile at home, </w:t>
      </w:r>
      <w:r w:rsidR="00C6207E" w:rsidRPr="001005B7">
        <w:t xml:space="preserve">carrying </w:t>
      </w:r>
      <w:r w:rsidR="00A928DF" w:rsidRPr="001005B7">
        <w:t>Israel’s</w:t>
      </w:r>
      <w:r w:rsidR="00077B36" w:rsidRPr="001005B7">
        <w:t xml:space="preserve"> </w:t>
      </w:r>
      <w:r w:rsidR="00C6207E" w:rsidRPr="001005B7">
        <w:t xml:space="preserve">waywardness. </w:t>
      </w:r>
      <w:r w:rsidR="00702F11" w:rsidRPr="001005B7">
        <w:t>More specifically, t</w:t>
      </w:r>
      <w:r w:rsidR="00671507" w:rsidRPr="001005B7">
        <w:t xml:space="preserve">he ropes will prevent his </w:t>
      </w:r>
      <w:r w:rsidR="001B3978" w:rsidRPr="001005B7">
        <w:t>turning over</w:t>
      </w:r>
      <w:r w:rsidR="006C650A" w:rsidRPr="001005B7">
        <w:t xml:space="preserve"> and thereby compromising the effect a</w:t>
      </w:r>
      <w:r w:rsidR="00CC1FC9" w:rsidRPr="001005B7">
        <w:t>n</w:t>
      </w:r>
      <w:r w:rsidR="006C650A" w:rsidRPr="001005B7">
        <w:t>d effectiven</w:t>
      </w:r>
      <w:r w:rsidR="00CC1FC9" w:rsidRPr="001005B7">
        <w:t>ess of the sign.</w:t>
      </w:r>
      <w:r w:rsidR="00D73FAE" w:rsidRPr="001005B7">
        <w:t xml:space="preserve"> </w:t>
      </w:r>
      <w:r w:rsidR="00DC25D8" w:rsidRPr="001005B7">
        <w:t xml:space="preserve">Presumably he could turn in order to make the move required by </w:t>
      </w:r>
      <w:r w:rsidR="00AC027B" w:rsidRPr="001005B7">
        <w:t>4:</w:t>
      </w:r>
      <w:r w:rsidR="00093912" w:rsidRPr="001005B7">
        <w:t>6.</w:t>
      </w:r>
      <w:r w:rsidR="00B420A2" w:rsidRPr="001005B7">
        <w:t xml:space="preserve"> While Yahweh </w:t>
      </w:r>
      <w:r w:rsidR="00BC4448" w:rsidRPr="001005B7">
        <w:t xml:space="preserve">may have had </w:t>
      </w:r>
      <w:r w:rsidR="00B420A2" w:rsidRPr="001005B7">
        <w:t>Ezekiel lie on his side</w:t>
      </w:r>
      <w:r w:rsidR="00484CC9" w:rsidRPr="001005B7">
        <w:t xml:space="preserve"> 24/7</w:t>
      </w:r>
      <w:r w:rsidR="00B420A2" w:rsidRPr="001005B7">
        <w:t xml:space="preserve"> for 390 </w:t>
      </w:r>
      <w:r w:rsidR="00607C6E" w:rsidRPr="001005B7">
        <w:t xml:space="preserve">days </w:t>
      </w:r>
      <w:r w:rsidR="00B420A2" w:rsidRPr="001005B7">
        <w:t xml:space="preserve">and then </w:t>
      </w:r>
      <w:r w:rsidR="00484CC9" w:rsidRPr="001005B7">
        <w:t>forty</w:t>
      </w:r>
      <w:r w:rsidR="00B420A2" w:rsidRPr="001005B7">
        <w:t xml:space="preserve"> days, the</w:t>
      </w:r>
      <w:r w:rsidR="00F94650" w:rsidRPr="001005B7">
        <w:t xml:space="preserve"> sign does not need </w:t>
      </w:r>
      <w:r w:rsidR="00B420A2" w:rsidRPr="001005B7">
        <w:t>this in order to work.</w:t>
      </w:r>
      <w:r w:rsidR="00105317" w:rsidRPr="001005B7">
        <w:t xml:space="preserve"> </w:t>
      </w:r>
      <w:r w:rsidR="00B420A2" w:rsidRPr="001005B7">
        <w:t xml:space="preserve">Jewish and Christian sacraments and festivals do not involve a literal </w:t>
      </w:r>
      <w:r w:rsidR="00105317" w:rsidRPr="001005B7">
        <w:t>representation</w:t>
      </w:r>
      <w:r w:rsidR="00B420A2" w:rsidRPr="001005B7">
        <w:t xml:space="preserve"> of the practice they embody. Ezekiel</w:t>
      </w:r>
      <w:r w:rsidR="0098106D" w:rsidRPr="001005B7">
        <w:t xml:space="preserve"> might</w:t>
      </w:r>
      <w:r w:rsidR="00B420A2" w:rsidRPr="001005B7">
        <w:t xml:space="preserve"> l</w:t>
      </w:r>
      <w:r w:rsidR="0098106D" w:rsidRPr="001005B7">
        <w:t>ie</w:t>
      </w:r>
      <w:r w:rsidR="00B420A2" w:rsidRPr="001005B7">
        <w:t xml:space="preserve"> down for a set time each day, or l</w:t>
      </w:r>
      <w:r w:rsidR="0098106D" w:rsidRPr="001005B7">
        <w:t>ie</w:t>
      </w:r>
      <w:r w:rsidR="00B420A2" w:rsidRPr="001005B7">
        <w:t xml:space="preserve"> down with the equivalent of a tear-off calendar and tear off one day every moment or two until the 390 are over. Yet we should be wary of reducing the commission to something manageable, which would compromise its point. Given that these verses are a set of instructions and we are told nothing of their being implemented</w:t>
      </w:r>
      <w:r w:rsidR="00086E94" w:rsidRPr="001005B7">
        <w:t>, t</w:t>
      </w:r>
      <w:r w:rsidR="00B420A2" w:rsidRPr="001005B7">
        <w:t>hey function as an appeal to the imagination of people hearing or reading them, and the imagination needs to let itself go. They resemble Jesus</w:t>
      </w:r>
      <w:r w:rsidR="00087490" w:rsidRPr="001005B7">
        <w:t>’</w:t>
      </w:r>
      <w:r w:rsidR="00B420A2" w:rsidRPr="001005B7">
        <w:t xml:space="preserve"> parables (e.g., the prodigal son) with their implausibility.</w:t>
      </w:r>
      <w:r w:rsidR="00011C97" w:rsidRPr="001005B7">
        <w:t xml:space="preserve"> </w:t>
      </w:r>
    </w:p>
    <w:p w14:paraId="4451BF2C" w14:textId="38E70AEA" w:rsidR="00EA2CEC" w:rsidRPr="001005B7" w:rsidRDefault="0053746C" w:rsidP="00081D1A">
      <w:r w:rsidRPr="001005B7">
        <w:rPr>
          <w:b/>
          <w:bCs/>
        </w:rPr>
        <w:t>4:9</w:t>
      </w:r>
      <w:r w:rsidR="00F46900" w:rsidRPr="001005B7">
        <w:rPr>
          <w:b/>
          <w:bCs/>
        </w:rPr>
        <w:t>–</w:t>
      </w:r>
      <w:r w:rsidR="00D1436F" w:rsidRPr="001005B7">
        <w:rPr>
          <w:b/>
          <w:bCs/>
        </w:rPr>
        <w:t>1</w:t>
      </w:r>
      <w:r w:rsidR="002769E7" w:rsidRPr="001005B7">
        <w:rPr>
          <w:b/>
          <w:bCs/>
        </w:rPr>
        <w:t>1</w:t>
      </w:r>
      <w:r w:rsidR="00D1436F" w:rsidRPr="001005B7">
        <w:rPr>
          <w:b/>
          <w:bCs/>
        </w:rPr>
        <w:t xml:space="preserve"> </w:t>
      </w:r>
      <w:r w:rsidR="00D1436F" w:rsidRPr="001005B7">
        <w:t xml:space="preserve">Yahweh moves on to </w:t>
      </w:r>
      <w:r w:rsidR="008D1719" w:rsidRPr="001005B7">
        <w:t>something intensely practical about a siege</w:t>
      </w:r>
      <w:r w:rsidR="0066539B" w:rsidRPr="001005B7">
        <w:t>. O</w:t>
      </w:r>
      <w:r w:rsidR="00D37849" w:rsidRPr="001005B7">
        <w:t xml:space="preserve">nce </w:t>
      </w:r>
      <w:r w:rsidR="00E771B3" w:rsidRPr="001005B7">
        <w:t>it</w:t>
      </w:r>
      <w:r w:rsidR="00D37849" w:rsidRPr="001005B7">
        <w:t xml:space="preserve"> starts, </w:t>
      </w:r>
      <w:r w:rsidR="007E55AD" w:rsidRPr="001005B7">
        <w:t>people</w:t>
      </w:r>
      <w:r w:rsidR="00D37849" w:rsidRPr="001005B7">
        <w:t xml:space="preserve"> will have no opportunity to leave the city to get food. So Yahweh commiss</w:t>
      </w:r>
      <w:r w:rsidR="005F1855" w:rsidRPr="001005B7">
        <w:t>i</w:t>
      </w:r>
      <w:r w:rsidR="00D37849" w:rsidRPr="001005B7">
        <w:t xml:space="preserve">ons Ezekiel to get enough of </w:t>
      </w:r>
      <w:r w:rsidR="002F76AE" w:rsidRPr="001005B7">
        <w:t>people’s</w:t>
      </w:r>
      <w:r w:rsidR="00D37849" w:rsidRPr="001005B7">
        <w:t xml:space="preserve"> staples to last the 390 days</w:t>
      </w:r>
      <w:r w:rsidR="005F1855" w:rsidRPr="001005B7">
        <w:t xml:space="preserve">. </w:t>
      </w:r>
      <w:r w:rsidR="00B638A6" w:rsidRPr="001005B7">
        <w:t>T</w:t>
      </w:r>
      <w:r w:rsidR="00536E3D" w:rsidRPr="001005B7">
        <w:t xml:space="preserve">he implication </w:t>
      </w:r>
      <w:r w:rsidR="00DF5935" w:rsidRPr="001005B7">
        <w:t xml:space="preserve">of the list of </w:t>
      </w:r>
      <w:r w:rsidR="00A310CF" w:rsidRPr="001005B7">
        <w:t>supplies</w:t>
      </w:r>
      <w:r w:rsidR="00DF5935" w:rsidRPr="001005B7">
        <w:t xml:space="preserve"> </w:t>
      </w:r>
      <w:r w:rsidR="00B638A6" w:rsidRPr="001005B7">
        <w:t>may be</w:t>
      </w:r>
      <w:r w:rsidR="00536E3D" w:rsidRPr="001005B7">
        <w:t xml:space="preserve"> that </w:t>
      </w:r>
      <w:r w:rsidR="00B210A6" w:rsidRPr="001005B7">
        <w:t>people</w:t>
      </w:r>
      <w:r w:rsidR="00B638A6" w:rsidRPr="001005B7">
        <w:t xml:space="preserve"> will eventually hav</w:t>
      </w:r>
      <w:r w:rsidR="00B52AC1" w:rsidRPr="001005B7">
        <w:t xml:space="preserve">e only scraps of </w:t>
      </w:r>
      <w:r w:rsidR="00EA1F54" w:rsidRPr="001005B7">
        <w:t xml:space="preserve">the best </w:t>
      </w:r>
      <w:r w:rsidR="00C47D3A" w:rsidRPr="001005B7">
        <w:t xml:space="preserve">things such as </w:t>
      </w:r>
      <w:r w:rsidR="00B52AC1" w:rsidRPr="001005B7">
        <w:t xml:space="preserve">wheat and barley, </w:t>
      </w:r>
      <w:r w:rsidR="00683A64" w:rsidRPr="001005B7">
        <w:t>so that the</w:t>
      </w:r>
      <w:r w:rsidR="00B210A6" w:rsidRPr="001005B7">
        <w:t>ir</w:t>
      </w:r>
      <w:r w:rsidR="006F4631" w:rsidRPr="001005B7">
        <w:t xml:space="preserve"> breadmaking</w:t>
      </w:r>
      <w:r w:rsidR="0041132A" w:rsidRPr="001005B7">
        <w:t xml:space="preserve"> </w:t>
      </w:r>
      <w:r w:rsidR="00B83C59" w:rsidRPr="001005B7">
        <w:t>will have</w:t>
      </w:r>
      <w:r w:rsidR="0041132A" w:rsidRPr="001005B7">
        <w:t xml:space="preserve"> to </w:t>
      </w:r>
      <w:r w:rsidR="005462F4" w:rsidRPr="001005B7">
        <w:t>involv</w:t>
      </w:r>
      <w:r w:rsidR="0041132A" w:rsidRPr="001005B7">
        <w:t>e</w:t>
      </w:r>
      <w:r w:rsidR="002C4BE3" w:rsidRPr="001005B7">
        <w:t xml:space="preserve"> ingredients that are</w:t>
      </w:r>
      <w:r w:rsidR="0041132A" w:rsidRPr="001005B7">
        <w:t xml:space="preserve"> make-do</w:t>
      </w:r>
      <w:r w:rsidR="00667C26" w:rsidRPr="001005B7">
        <w:t xml:space="preserve"> (</w:t>
      </w:r>
      <w:proofErr w:type="spellStart"/>
      <w:r w:rsidR="00667C26" w:rsidRPr="001005B7">
        <w:t>Qimhi</w:t>
      </w:r>
      <w:proofErr w:type="spellEnd"/>
      <w:r w:rsidR="00556111" w:rsidRPr="001005B7">
        <w:t>,</w:t>
      </w:r>
      <w:r w:rsidR="00667C26" w:rsidRPr="001005B7">
        <w:t xml:space="preserve"> in MG).</w:t>
      </w:r>
      <w:r w:rsidR="00683A64" w:rsidRPr="001005B7">
        <w:t xml:space="preserve"> </w:t>
      </w:r>
      <w:r w:rsidR="00200F88" w:rsidRPr="001005B7">
        <w:t xml:space="preserve">A rabbinic experiment </w:t>
      </w:r>
      <w:r w:rsidR="0047650E" w:rsidRPr="001005B7">
        <w:t>suggest</w:t>
      </w:r>
      <w:r w:rsidR="00200F88" w:rsidRPr="001005B7">
        <w:t xml:space="preserve">ed that even a dog would </w:t>
      </w:r>
      <w:r w:rsidR="002942F1" w:rsidRPr="001005B7">
        <w:t>not be keen on</w:t>
      </w:r>
      <w:r w:rsidR="00200F88" w:rsidRPr="001005B7">
        <w:t xml:space="preserve"> this kind of bread (</w:t>
      </w:r>
      <w:r w:rsidR="00200F88" w:rsidRPr="001005B7">
        <w:rPr>
          <w:i/>
          <w:iCs/>
        </w:rPr>
        <w:t xml:space="preserve">b. </w:t>
      </w:r>
      <w:proofErr w:type="spellStart"/>
      <w:r w:rsidR="00200F88" w:rsidRPr="001005B7">
        <w:rPr>
          <w:i/>
          <w:iCs/>
        </w:rPr>
        <w:t>Erubim</w:t>
      </w:r>
      <w:proofErr w:type="spellEnd"/>
      <w:r w:rsidR="00200F88" w:rsidRPr="001005B7">
        <w:t xml:space="preserve"> 81a)</w:t>
      </w:r>
      <w:r w:rsidR="00AA2BC0" w:rsidRPr="001005B7">
        <w:t xml:space="preserve"> (Greenberg</w:t>
      </w:r>
      <w:r w:rsidR="00DF7D63" w:rsidRPr="001005B7">
        <w:t>,</w:t>
      </w:r>
      <w:r w:rsidR="00AA2BC0" w:rsidRPr="001005B7">
        <w:t xml:space="preserve"> 1:106)</w:t>
      </w:r>
      <w:r w:rsidR="006C6CC8" w:rsidRPr="001005B7">
        <w:t>. E</w:t>
      </w:r>
      <w:r w:rsidR="00AA00BD" w:rsidRPr="001005B7">
        <w:t>ven barley bread is rather inferior</w:t>
      </w:r>
      <w:r w:rsidR="00AA2BC0" w:rsidRPr="001005B7">
        <w:t xml:space="preserve"> (Rashi</w:t>
      </w:r>
      <w:r w:rsidR="006B0E25" w:rsidRPr="001005B7">
        <w:t>,</w:t>
      </w:r>
      <w:r w:rsidR="00AA2BC0" w:rsidRPr="001005B7">
        <w:t xml:space="preserve"> in MG).</w:t>
      </w:r>
      <w:r w:rsidR="00AA00BD" w:rsidRPr="001005B7">
        <w:t xml:space="preserve"> </w:t>
      </w:r>
      <w:r w:rsidR="008E3F82" w:rsidRPr="001005B7">
        <w:t xml:space="preserve">But </w:t>
      </w:r>
      <w:r w:rsidR="00EF0B71" w:rsidRPr="001005B7">
        <w:t xml:space="preserve">poorer people have regularly </w:t>
      </w:r>
      <w:r w:rsidR="00C26589" w:rsidRPr="001005B7">
        <w:t xml:space="preserve">combined wheat with </w:t>
      </w:r>
      <w:r w:rsidR="00864162" w:rsidRPr="001005B7">
        <w:t xml:space="preserve">other ingredients, and possibly </w:t>
      </w:r>
      <w:r w:rsidR="0037382F" w:rsidRPr="001005B7">
        <w:t>thereby</w:t>
      </w:r>
      <w:r w:rsidR="00864162" w:rsidRPr="001005B7">
        <w:t xml:space="preserve"> made it more nutritious. </w:t>
      </w:r>
      <w:r w:rsidR="000A799E" w:rsidRPr="001005B7">
        <w:t xml:space="preserve">There are various estimates of the weight of a </w:t>
      </w:r>
      <w:proofErr w:type="spellStart"/>
      <w:r w:rsidR="000A799E" w:rsidRPr="001005B7">
        <w:t>sheqel</w:t>
      </w:r>
      <w:proofErr w:type="spellEnd"/>
      <w:r w:rsidR="000A799E" w:rsidRPr="001005B7">
        <w:t xml:space="preserve">, but </w:t>
      </w:r>
      <w:r w:rsidR="00C671A1" w:rsidRPr="001005B7">
        <w:t xml:space="preserve">the </w:t>
      </w:r>
      <w:r w:rsidR="00FA3A06" w:rsidRPr="001005B7">
        <w:t>assum</w:t>
      </w:r>
      <w:r w:rsidR="00C671A1" w:rsidRPr="001005B7">
        <w:t>ption</w:t>
      </w:r>
      <w:r w:rsidR="00FA3A06" w:rsidRPr="001005B7">
        <w:t xml:space="preserve"> that twenty </w:t>
      </w:r>
      <w:proofErr w:type="spellStart"/>
      <w:r w:rsidR="00FA3A06" w:rsidRPr="001005B7">
        <w:t>sheqels</w:t>
      </w:r>
      <w:proofErr w:type="spellEnd"/>
      <w:r w:rsidR="00FA3A06" w:rsidRPr="001005B7">
        <w:t xml:space="preserve"> amounts to</w:t>
      </w:r>
      <w:r w:rsidR="000A799E" w:rsidRPr="001005B7">
        <w:t xml:space="preserve"> about eight ounces </w:t>
      </w:r>
      <w:r w:rsidR="00A707CE" w:rsidRPr="001005B7">
        <w:t xml:space="preserve">may </w:t>
      </w:r>
      <w:r w:rsidR="000A799E" w:rsidRPr="001005B7">
        <w:t xml:space="preserve">not be far wrong. There is more uncertainly about a </w:t>
      </w:r>
      <w:proofErr w:type="spellStart"/>
      <w:r w:rsidR="000A799E" w:rsidRPr="001005B7">
        <w:rPr>
          <w:i/>
          <w:iCs/>
        </w:rPr>
        <w:t>hin</w:t>
      </w:r>
      <w:proofErr w:type="spellEnd"/>
      <w:r w:rsidR="000A799E" w:rsidRPr="001005B7">
        <w:t xml:space="preserve">, </w:t>
      </w:r>
      <w:r w:rsidR="004966B4" w:rsidRPr="001005B7">
        <w:t>though</w:t>
      </w:r>
      <w:r w:rsidR="000A799E" w:rsidRPr="001005B7">
        <w:t xml:space="preserve"> something </w:t>
      </w:r>
      <w:r w:rsidR="0004292C" w:rsidRPr="001005B7">
        <w:t>like</w:t>
      </w:r>
      <w:r w:rsidR="000A799E" w:rsidRPr="001005B7">
        <w:t xml:space="preserve"> two pints as the ration might be right.</w:t>
      </w:r>
      <w:r w:rsidR="002007B6" w:rsidRPr="001005B7">
        <w:t xml:space="preserve"> </w:t>
      </w:r>
      <w:r w:rsidR="000A799E" w:rsidRPr="001005B7">
        <w:t>“According to a famous orator, this amount of food and drink does not bestow strength but keeps death away</w:t>
      </w:r>
      <w:r w:rsidR="00540771" w:rsidRPr="001005B7">
        <w:t xml:space="preserve">” (Jerome, 54: we do not know who the orator was). </w:t>
      </w:r>
      <w:r w:rsidR="00677D0D" w:rsidRPr="001005B7">
        <w:t>T</w:t>
      </w:r>
      <w:r w:rsidR="00845E82" w:rsidRPr="001005B7">
        <w:t xml:space="preserve">he amount to last for </w:t>
      </w:r>
      <w:r w:rsidR="003D0F18" w:rsidRPr="001005B7">
        <w:t>390 days would be colossal,</w:t>
      </w:r>
      <w:r w:rsidR="000D404F" w:rsidRPr="001005B7">
        <w:t xml:space="preserve"> </w:t>
      </w:r>
      <w:r w:rsidR="007F1077" w:rsidRPr="001005B7">
        <w:t xml:space="preserve">a point underlined by the reference to </w:t>
      </w:r>
      <w:r w:rsidR="00BD6F4B" w:rsidRPr="001005B7">
        <w:t>“</w:t>
      </w:r>
      <w:r w:rsidR="00677D0D" w:rsidRPr="001005B7">
        <w:t xml:space="preserve">a single </w:t>
      </w:r>
      <w:r w:rsidR="007F1077" w:rsidRPr="001005B7">
        <w:t>container</w:t>
      </w:r>
      <w:r w:rsidR="00BD6F4B" w:rsidRPr="001005B7">
        <w:t>”</w:t>
      </w:r>
      <w:r w:rsidR="007F1077" w:rsidRPr="001005B7">
        <w:rPr>
          <w:i/>
          <w:iCs/>
        </w:rPr>
        <w:t xml:space="preserve"> </w:t>
      </w:r>
      <w:r w:rsidR="009562B1" w:rsidRPr="001005B7">
        <w:t xml:space="preserve">(unless the expression </w:t>
      </w:r>
      <w:r w:rsidR="007F1077" w:rsidRPr="001005B7">
        <w:t>simply means “a container”</w:t>
      </w:r>
      <w:r w:rsidR="009562B1" w:rsidRPr="001005B7">
        <w:t>),</w:t>
      </w:r>
      <w:r w:rsidR="00AC442C" w:rsidRPr="001005B7">
        <w:rPr>
          <w:rStyle w:val="FootnoteReference"/>
        </w:rPr>
        <w:footnoteReference w:id="174"/>
      </w:r>
      <w:r w:rsidR="009562B1" w:rsidRPr="001005B7">
        <w:t xml:space="preserve"> </w:t>
      </w:r>
      <w:r w:rsidR="000D404F" w:rsidRPr="001005B7">
        <w:t xml:space="preserve">and </w:t>
      </w:r>
      <w:r w:rsidR="00B14925" w:rsidRPr="001005B7">
        <w:t xml:space="preserve">some of </w:t>
      </w:r>
      <w:r w:rsidR="000D404F" w:rsidRPr="001005B7">
        <w:t>the suppl</w:t>
      </w:r>
      <w:r w:rsidR="002E4DC5" w:rsidRPr="001005B7">
        <w:t>ies</w:t>
      </w:r>
      <w:r w:rsidR="000D404F" w:rsidRPr="001005B7">
        <w:t xml:space="preserve"> would </w:t>
      </w:r>
      <w:r w:rsidR="00B66352" w:rsidRPr="001005B7">
        <w:t xml:space="preserve">surely </w:t>
      </w:r>
      <w:r w:rsidR="000D404F" w:rsidRPr="001005B7">
        <w:t>rot before the 390 days were up</w:t>
      </w:r>
      <w:r w:rsidR="00BA77C6" w:rsidRPr="001005B7">
        <w:t xml:space="preserve"> (</w:t>
      </w:r>
      <w:proofErr w:type="spellStart"/>
      <w:r w:rsidR="00BA77C6" w:rsidRPr="001005B7">
        <w:t>Zimmerli</w:t>
      </w:r>
      <w:proofErr w:type="spellEnd"/>
      <w:r w:rsidR="00DF7D63" w:rsidRPr="001005B7">
        <w:t>,</w:t>
      </w:r>
      <w:r w:rsidR="003072F3" w:rsidRPr="001005B7">
        <w:t xml:space="preserve"> </w:t>
      </w:r>
      <w:r w:rsidR="00BA77C6" w:rsidRPr="001005B7">
        <w:t>1:168).</w:t>
      </w:r>
      <w:r w:rsidR="000B4F85" w:rsidRPr="001005B7">
        <w:t xml:space="preserve"> </w:t>
      </w:r>
      <w:r w:rsidR="00B66352" w:rsidRPr="001005B7">
        <w:t>Such considerations</w:t>
      </w:r>
      <w:r w:rsidR="00B14925" w:rsidRPr="001005B7">
        <w:t xml:space="preserve"> in</w:t>
      </w:r>
      <w:r w:rsidR="00B66352" w:rsidRPr="001005B7">
        <w:t>crease the likelihood</w:t>
      </w:r>
      <w:r w:rsidR="00B14925" w:rsidRPr="001005B7">
        <w:t xml:space="preserve"> that readers should not take the sign act too literally</w:t>
      </w:r>
      <w:r w:rsidR="006C6CC8" w:rsidRPr="001005B7">
        <w:t>. O</w:t>
      </w:r>
      <w:r w:rsidR="00896BBE" w:rsidRPr="001005B7">
        <w:t xml:space="preserve">nce again, </w:t>
      </w:r>
      <w:r w:rsidR="00D21735" w:rsidRPr="001005B7">
        <w:t>then</w:t>
      </w:r>
      <w:r w:rsidR="00896BBE" w:rsidRPr="001005B7">
        <w:t xml:space="preserve">, the instructions </w:t>
      </w:r>
      <w:r w:rsidR="00D21735" w:rsidRPr="001005B7">
        <w:t xml:space="preserve">are designed to </w:t>
      </w:r>
      <w:r w:rsidR="00896BBE" w:rsidRPr="001005B7">
        <w:t>appeal to the</w:t>
      </w:r>
      <w:r w:rsidR="00824C31" w:rsidRPr="001005B7">
        <w:t>ir</w:t>
      </w:r>
      <w:r w:rsidR="00896BBE" w:rsidRPr="001005B7">
        <w:t xml:space="preserve"> imagination. Just </w:t>
      </w:r>
      <w:r w:rsidR="009C240A" w:rsidRPr="001005B7">
        <w:t>think of the quantity of grain and legumes</w:t>
      </w:r>
      <w:r w:rsidR="00E17D8F" w:rsidRPr="001005B7">
        <w:t>, the instructions urge</w:t>
      </w:r>
      <w:r w:rsidR="009C240A" w:rsidRPr="001005B7">
        <w:t>!</w:t>
      </w:r>
      <w:r w:rsidR="00192635" w:rsidRPr="001005B7">
        <w:t xml:space="preserve"> </w:t>
      </w:r>
      <w:r w:rsidR="00C50CA9" w:rsidRPr="001005B7">
        <w:t xml:space="preserve">But a blockade really will raise questions such as the ones that the sign act points to. </w:t>
      </w:r>
      <w:r w:rsidR="00E17D8F" w:rsidRPr="001005B7">
        <w:t>P</w:t>
      </w:r>
      <w:r w:rsidR="00192635" w:rsidRPr="001005B7">
        <w:t>resumably even in imagination the</w:t>
      </w:r>
      <w:r w:rsidR="00F14B6A" w:rsidRPr="001005B7">
        <w:t xml:space="preserve"> readers</w:t>
      </w:r>
      <w:r w:rsidR="00192635" w:rsidRPr="001005B7">
        <w:t xml:space="preserve"> are not </w:t>
      </w:r>
      <w:r w:rsidR="00E11514" w:rsidRPr="001005B7">
        <w:t>expected</w:t>
      </w:r>
      <w:r w:rsidR="00192635" w:rsidRPr="001005B7">
        <w:t xml:space="preserve"> to think of a year’s supply of </w:t>
      </w:r>
      <w:r w:rsidR="00EA2CEC" w:rsidRPr="001005B7">
        <w:t xml:space="preserve">actual </w:t>
      </w:r>
      <w:r w:rsidR="00192635" w:rsidRPr="001005B7">
        <w:t>loaves</w:t>
      </w:r>
      <w:r w:rsidR="00D43CB8" w:rsidRPr="001005B7">
        <w:t>. D</w:t>
      </w:r>
      <w:r w:rsidR="00C029B6" w:rsidRPr="001005B7">
        <w:t xml:space="preserve">uring the siege, people would bake bread every few days. </w:t>
      </w:r>
    </w:p>
    <w:p w14:paraId="42A884FB" w14:textId="63AF0843" w:rsidR="000F156D" w:rsidRPr="001005B7" w:rsidRDefault="00950D37" w:rsidP="00E600D3">
      <w:r w:rsidRPr="001005B7">
        <w:rPr>
          <w:b/>
          <w:bCs/>
        </w:rPr>
        <w:t xml:space="preserve">4:12 </w:t>
      </w:r>
      <w:r w:rsidR="00415991" w:rsidRPr="001005B7">
        <w:t xml:space="preserve">But </w:t>
      </w:r>
      <w:r w:rsidR="0070550D" w:rsidRPr="001005B7">
        <w:t>cooking requires fuel</w:t>
      </w:r>
      <w:r w:rsidR="00F73BE4" w:rsidRPr="001005B7">
        <w:t>—</w:t>
      </w:r>
      <w:r w:rsidR="009D7484" w:rsidRPr="001005B7">
        <w:t xml:space="preserve">hence the </w:t>
      </w:r>
      <w:r w:rsidR="00B84B1B" w:rsidRPr="001005B7">
        <w:t xml:space="preserve">indispensable </w:t>
      </w:r>
      <w:r w:rsidR="009D7484" w:rsidRPr="001005B7">
        <w:t>role of</w:t>
      </w:r>
      <w:r w:rsidR="00E37F0D" w:rsidRPr="001005B7">
        <w:t xml:space="preserve"> the Gibeonites </w:t>
      </w:r>
      <w:r w:rsidR="00896B26" w:rsidRPr="001005B7">
        <w:t xml:space="preserve">(Josh 9:23) </w:t>
      </w:r>
      <w:r w:rsidR="0061316F" w:rsidRPr="001005B7">
        <w:t xml:space="preserve">or other </w:t>
      </w:r>
      <w:r w:rsidR="003B7F72" w:rsidRPr="001005B7">
        <w:t>“temple servants”</w:t>
      </w:r>
      <w:r w:rsidR="00FE6484" w:rsidRPr="001005B7">
        <w:t xml:space="preserve"> in </w:t>
      </w:r>
      <w:r w:rsidR="007C3FAB" w:rsidRPr="001005B7">
        <w:t>fetch</w:t>
      </w:r>
      <w:r w:rsidR="00FE6484" w:rsidRPr="001005B7">
        <w:t>ing wood</w:t>
      </w:r>
      <w:r w:rsidR="005A7929" w:rsidRPr="001005B7">
        <w:t xml:space="preserve">, which </w:t>
      </w:r>
      <w:r w:rsidR="00303131" w:rsidRPr="001005B7">
        <w:t>the temple</w:t>
      </w:r>
      <w:r w:rsidR="005A7929" w:rsidRPr="001005B7">
        <w:t xml:space="preserve"> would need</w:t>
      </w:r>
      <w:r w:rsidR="009D7484" w:rsidRPr="001005B7">
        <w:t xml:space="preserve"> </w:t>
      </w:r>
      <w:r w:rsidR="00E45E73" w:rsidRPr="001005B7">
        <w:t>in connection with its fires</w:t>
      </w:r>
      <w:r w:rsidR="00551475" w:rsidRPr="001005B7">
        <w:t xml:space="preserve">. </w:t>
      </w:r>
      <w:r w:rsidR="00380A11" w:rsidRPr="001005B7">
        <w:t>In normal times,</w:t>
      </w:r>
      <w:r w:rsidR="00277822" w:rsidRPr="001005B7">
        <w:t xml:space="preserve"> </w:t>
      </w:r>
      <w:r w:rsidR="000358D5" w:rsidRPr="001005B7">
        <w:t>a</w:t>
      </w:r>
      <w:r w:rsidR="00380A11" w:rsidRPr="001005B7">
        <w:t xml:space="preserve"> famil</w:t>
      </w:r>
      <w:r w:rsidR="000358D5" w:rsidRPr="001005B7">
        <w:t>y</w:t>
      </w:r>
      <w:r w:rsidR="00380A11" w:rsidRPr="001005B7">
        <w:t xml:space="preserve"> would</w:t>
      </w:r>
      <w:r w:rsidR="00B73A6C" w:rsidRPr="001005B7">
        <w:t xml:space="preserve"> </w:t>
      </w:r>
      <w:r w:rsidR="00F8413B" w:rsidRPr="001005B7">
        <w:t xml:space="preserve">get </w:t>
      </w:r>
      <w:r w:rsidR="00830010" w:rsidRPr="001005B7">
        <w:t>its junior members or</w:t>
      </w:r>
      <w:r w:rsidR="00F8413B" w:rsidRPr="001005B7">
        <w:t xml:space="preserve"> servants </w:t>
      </w:r>
      <w:r w:rsidR="00331EED" w:rsidRPr="001005B7">
        <w:t xml:space="preserve">to </w:t>
      </w:r>
      <w:r w:rsidR="001F338F" w:rsidRPr="001005B7">
        <w:t>collect</w:t>
      </w:r>
      <w:r w:rsidR="00BD06F6" w:rsidRPr="001005B7">
        <w:t xml:space="preserve"> wood </w:t>
      </w:r>
      <w:r w:rsidR="001F338F" w:rsidRPr="001005B7">
        <w:t xml:space="preserve">for </w:t>
      </w:r>
      <w:r w:rsidR="003167FC" w:rsidRPr="001005B7">
        <w:t>its cooking fire</w:t>
      </w:r>
      <w:r w:rsidR="00F73BE4" w:rsidRPr="001005B7">
        <w:t>. M</w:t>
      </w:r>
      <w:r w:rsidR="001A54BA" w:rsidRPr="001005B7">
        <w:t xml:space="preserve">aybe </w:t>
      </w:r>
      <w:r w:rsidR="00D26250" w:rsidRPr="001005B7">
        <w:t>cities</w:t>
      </w:r>
      <w:r w:rsidR="001A54BA" w:rsidRPr="001005B7">
        <w:t xml:space="preserve"> </w:t>
      </w:r>
      <w:r w:rsidR="00F379A5" w:rsidRPr="001005B7">
        <w:t xml:space="preserve">also </w:t>
      </w:r>
      <w:r w:rsidR="00D26250" w:rsidRPr="001005B7">
        <w:t xml:space="preserve">had </w:t>
      </w:r>
      <w:r w:rsidR="001A54BA" w:rsidRPr="001005B7">
        <w:t>a trade in supplying wood</w:t>
      </w:r>
      <w:r w:rsidR="003167FC" w:rsidRPr="001005B7">
        <w:t xml:space="preserve">. </w:t>
      </w:r>
      <w:r w:rsidR="00EA4E4F" w:rsidRPr="001005B7">
        <w:t xml:space="preserve">But what will </w:t>
      </w:r>
      <w:r w:rsidR="00F379A5" w:rsidRPr="001005B7">
        <w:t>the family</w:t>
      </w:r>
      <w:r w:rsidR="00EA4E4F" w:rsidRPr="001005B7">
        <w:t xml:space="preserve"> do </w:t>
      </w:r>
      <w:r w:rsidR="00F379A5" w:rsidRPr="001005B7">
        <w:t>during</w:t>
      </w:r>
      <w:r w:rsidR="00EA4E4F" w:rsidRPr="001005B7">
        <w:t xml:space="preserve"> a blockade</w:t>
      </w:r>
      <w:r w:rsidR="00415991" w:rsidRPr="001005B7">
        <w:t>? Yahweh has a</w:t>
      </w:r>
      <w:r w:rsidR="00B2646D" w:rsidRPr="001005B7">
        <w:t xml:space="preserve"> practical</w:t>
      </w:r>
      <w:r w:rsidR="00415991" w:rsidRPr="001005B7">
        <w:t xml:space="preserve"> answer.</w:t>
      </w:r>
      <w:r w:rsidR="005F061D" w:rsidRPr="001005B7">
        <w:t xml:space="preserve"> In principle, it would be quite possible </w:t>
      </w:r>
      <w:r w:rsidR="00350079" w:rsidRPr="001005B7">
        <w:t xml:space="preserve">and not </w:t>
      </w:r>
      <w:r w:rsidR="00122005" w:rsidRPr="001005B7">
        <w:t>noxious</w:t>
      </w:r>
      <w:r w:rsidR="00542C65" w:rsidRPr="001005B7">
        <w:t xml:space="preserve"> </w:t>
      </w:r>
      <w:r w:rsidR="005F061D" w:rsidRPr="001005B7">
        <w:t xml:space="preserve">to collect </w:t>
      </w:r>
      <w:r w:rsidR="00F25852" w:rsidRPr="001005B7">
        <w:t xml:space="preserve">human feces, dry </w:t>
      </w:r>
      <w:r w:rsidR="00783F56" w:rsidRPr="001005B7">
        <w:t>it</w:t>
      </w:r>
      <w:r w:rsidR="00F25852" w:rsidRPr="001005B7">
        <w:t xml:space="preserve">, and turn </w:t>
      </w:r>
      <w:r w:rsidR="00350079" w:rsidRPr="001005B7">
        <w:t>it</w:t>
      </w:r>
      <w:r w:rsidR="00F25852" w:rsidRPr="001005B7">
        <w:t xml:space="preserve"> into balls</w:t>
      </w:r>
      <w:r w:rsidR="00FB7669" w:rsidRPr="001005B7">
        <w:rPr>
          <w:i/>
          <w:iCs/>
        </w:rPr>
        <w:t xml:space="preserve"> </w:t>
      </w:r>
      <w:r w:rsidR="00B965D6" w:rsidRPr="001005B7">
        <w:t>to use as fuel</w:t>
      </w:r>
      <w:r w:rsidR="00635042" w:rsidRPr="001005B7">
        <w:t>. But</w:t>
      </w:r>
      <w:r w:rsidR="00B07EC1" w:rsidRPr="001005B7">
        <w:t xml:space="preserve"> </w:t>
      </w:r>
      <w:r w:rsidR="00ED6B87" w:rsidRPr="001005B7">
        <w:t xml:space="preserve">using human feces </w:t>
      </w:r>
      <w:r w:rsidR="008F3DA3" w:rsidRPr="001005B7">
        <w:t>seems not to have been</w:t>
      </w:r>
      <w:r w:rsidR="00585162" w:rsidRPr="001005B7">
        <w:t xml:space="preserve"> a common practice</w:t>
      </w:r>
      <w:r w:rsidR="00635042" w:rsidRPr="001005B7">
        <w:t>, a</w:t>
      </w:r>
      <w:r w:rsidR="00206514" w:rsidRPr="001005B7">
        <w:t>nd s</w:t>
      </w:r>
      <w:r w:rsidR="000468FF" w:rsidRPr="001005B7">
        <w:t>p</w:t>
      </w:r>
      <w:r w:rsidR="00206514" w:rsidRPr="001005B7">
        <w:t xml:space="preserve">eaking in terms of baking the bread </w:t>
      </w:r>
      <w:r w:rsidR="00206514" w:rsidRPr="001005B7">
        <w:rPr>
          <w:i/>
          <w:iCs/>
        </w:rPr>
        <w:t>in</w:t>
      </w:r>
      <w:r w:rsidR="00206514" w:rsidRPr="001005B7">
        <w:t xml:space="preserve"> </w:t>
      </w:r>
      <w:r w:rsidR="000468FF" w:rsidRPr="001005B7">
        <w:t>the</w:t>
      </w:r>
      <w:r w:rsidR="00631DEE" w:rsidRPr="001005B7">
        <w:t xml:space="preserve">m </w:t>
      </w:r>
      <w:r w:rsidR="000468FF" w:rsidRPr="001005B7">
        <w:t>underscores the unsavoriness of the idea</w:t>
      </w:r>
      <w:r w:rsidR="00631DEE" w:rsidRPr="001005B7">
        <w:t xml:space="preserve">. </w:t>
      </w:r>
      <w:r w:rsidR="00A31C51" w:rsidRPr="001005B7">
        <w:t xml:space="preserve">Further, </w:t>
      </w:r>
      <w:r w:rsidR="00F6165E" w:rsidRPr="001005B7">
        <w:t xml:space="preserve">the reference to </w:t>
      </w:r>
      <w:r w:rsidR="00F15147" w:rsidRPr="001005B7">
        <w:t>“</w:t>
      </w:r>
      <w:r w:rsidR="00F6165E" w:rsidRPr="001005B7">
        <w:t>b</w:t>
      </w:r>
      <w:r w:rsidR="00320797" w:rsidRPr="001005B7">
        <w:t>alls</w:t>
      </w:r>
      <w:r w:rsidR="00F15147" w:rsidRPr="001005B7">
        <w:t>”</w:t>
      </w:r>
      <w:r w:rsidR="00320797" w:rsidRPr="001005B7">
        <w:rPr>
          <w:i/>
          <w:iCs/>
        </w:rPr>
        <w:t xml:space="preserve"> </w:t>
      </w:r>
      <w:r w:rsidR="00320797" w:rsidRPr="001005B7">
        <w:t>(</w:t>
      </w:r>
      <w:r w:rsidR="00E370A9" w:rsidRPr="001005B7">
        <w:t>the construct</w:t>
      </w:r>
      <w:r w:rsidR="005F27C8" w:rsidRPr="001005B7">
        <w:t xml:space="preserve"> </w:t>
      </w:r>
      <w:r w:rsidR="000D3E66" w:rsidRPr="001005B7">
        <w:rPr>
          <w:rFonts w:cstheme="minorHAnsi"/>
          <w:rtl/>
          <w:lang w:bidi="he-IL"/>
        </w:rPr>
        <w:t>ג</w:t>
      </w:r>
      <w:r w:rsidR="00831155" w:rsidRPr="001005B7">
        <w:rPr>
          <w:rFonts w:cstheme="minorHAnsi"/>
          <w:rtl/>
          <w:lang w:bidi="he-IL"/>
        </w:rPr>
        <w:t>ֶ</w:t>
      </w:r>
      <w:r w:rsidR="001F58E0" w:rsidRPr="001005B7">
        <w:rPr>
          <w:rFonts w:cstheme="minorHAnsi"/>
          <w:rtl/>
          <w:lang w:bidi="he-IL"/>
        </w:rPr>
        <w:t>ּ</w:t>
      </w:r>
      <w:r w:rsidR="000D3E66" w:rsidRPr="001005B7">
        <w:rPr>
          <w:rFonts w:cstheme="minorHAnsi"/>
          <w:rtl/>
          <w:lang w:bidi="he-IL"/>
        </w:rPr>
        <w:t>ל</w:t>
      </w:r>
      <w:r w:rsidR="00E50786" w:rsidRPr="001005B7">
        <w:rPr>
          <w:rFonts w:cstheme="minorHAnsi"/>
          <w:rtl/>
          <w:lang w:bidi="he-IL"/>
        </w:rPr>
        <w:t>ְלֵי</w:t>
      </w:r>
      <w:r w:rsidR="00B050B9" w:rsidRPr="001005B7">
        <w:rPr>
          <w:rFonts w:cstheme="minorHAnsi"/>
        </w:rPr>
        <w:t>)</w:t>
      </w:r>
      <w:r w:rsidR="00B050B9" w:rsidRPr="001005B7">
        <w:rPr>
          <w:rFonts w:cstheme="minorHAnsi"/>
          <w:i/>
          <w:iCs/>
        </w:rPr>
        <w:t xml:space="preserve"> </w:t>
      </w:r>
      <w:r w:rsidR="00F76087" w:rsidRPr="001005B7">
        <w:t xml:space="preserve">nicely </w:t>
      </w:r>
      <w:r w:rsidR="00F15147" w:rsidRPr="001005B7">
        <w:t>parallels</w:t>
      </w:r>
      <w:r w:rsidR="00B050B9" w:rsidRPr="001005B7">
        <w:t xml:space="preserve"> </w:t>
      </w:r>
      <w:r w:rsidR="006139CE" w:rsidRPr="001005B7">
        <w:t>the</w:t>
      </w:r>
      <w:r w:rsidR="008759AF" w:rsidRPr="001005B7">
        <w:t xml:space="preserve"> word</w:t>
      </w:r>
      <w:r w:rsidR="00E81B91" w:rsidRPr="001005B7">
        <w:t xml:space="preserve"> for </w:t>
      </w:r>
      <w:r w:rsidR="00FE73A5" w:rsidRPr="001005B7">
        <w:t>idol</w:t>
      </w:r>
      <w:r w:rsidR="00D722B3" w:rsidRPr="001005B7">
        <w:t xml:space="preserve">atrous </w:t>
      </w:r>
      <w:r w:rsidR="00387D87" w:rsidRPr="001005B7">
        <w:t>“</w:t>
      </w:r>
      <w:r w:rsidR="00975315" w:rsidRPr="001005B7">
        <w:t>lump</w:t>
      </w:r>
      <w:r w:rsidR="00D722B3" w:rsidRPr="001005B7">
        <w:t>s</w:t>
      </w:r>
      <w:r w:rsidR="00387D87" w:rsidRPr="001005B7">
        <w:t>”</w:t>
      </w:r>
      <w:r w:rsidR="00FE73A5" w:rsidRPr="001005B7">
        <w:t xml:space="preserve"> </w:t>
      </w:r>
      <w:r w:rsidR="008759AF" w:rsidRPr="001005B7">
        <w:t xml:space="preserve">in Ezekiel </w:t>
      </w:r>
      <w:r w:rsidR="002D66F3" w:rsidRPr="001005B7">
        <w:t>(</w:t>
      </w:r>
      <w:r w:rsidR="009560A8" w:rsidRPr="001005B7">
        <w:rPr>
          <w:rFonts w:cstheme="minorHAnsi"/>
          <w:rtl/>
          <w:lang w:bidi="he-IL"/>
        </w:rPr>
        <w:t>גִ</w:t>
      </w:r>
      <w:r w:rsidR="00576724" w:rsidRPr="001005B7">
        <w:rPr>
          <w:rFonts w:cstheme="minorHAnsi"/>
          <w:rtl/>
          <w:lang w:bidi="he-IL"/>
        </w:rPr>
        <w:t>ּ</w:t>
      </w:r>
      <w:r w:rsidR="009560A8" w:rsidRPr="001005B7">
        <w:rPr>
          <w:rFonts w:cstheme="minorHAnsi"/>
          <w:rtl/>
          <w:lang w:bidi="he-IL"/>
        </w:rPr>
        <w:t>ל</w:t>
      </w:r>
      <w:r w:rsidR="004A78ED" w:rsidRPr="001005B7">
        <w:rPr>
          <w:rFonts w:cstheme="minorHAnsi"/>
          <w:rtl/>
          <w:lang w:bidi="he-IL"/>
        </w:rPr>
        <w:t>ּוּלֵי</w:t>
      </w:r>
      <w:r w:rsidR="00E370A9" w:rsidRPr="001005B7">
        <w:rPr>
          <w:rFonts w:cstheme="minorHAnsi"/>
          <w:i/>
          <w:iCs/>
        </w:rPr>
        <w:t xml:space="preserve"> </w:t>
      </w:r>
      <w:r w:rsidR="00E370A9" w:rsidRPr="001005B7">
        <w:rPr>
          <w:rFonts w:cstheme="minorHAnsi"/>
        </w:rPr>
        <w:t>in the construct</w:t>
      </w:r>
      <w:r w:rsidR="002D66F3" w:rsidRPr="001005B7">
        <w:rPr>
          <w:rFonts w:cstheme="minorHAnsi"/>
        </w:rPr>
        <w:t>; e.g.</w:t>
      </w:r>
      <w:r w:rsidR="00D04915" w:rsidRPr="001005B7">
        <w:rPr>
          <w:rFonts w:cstheme="minorHAnsi"/>
        </w:rPr>
        <w:t>,</w:t>
      </w:r>
      <w:r w:rsidR="0042488F" w:rsidRPr="001005B7">
        <w:rPr>
          <w:rFonts w:cstheme="minorHAnsi"/>
        </w:rPr>
        <w:t xml:space="preserve"> 8:10)</w:t>
      </w:r>
      <w:r w:rsidR="003E1A0A" w:rsidRPr="001005B7">
        <w:rPr>
          <w:rFonts w:cstheme="minorHAnsi"/>
        </w:rPr>
        <w:t xml:space="preserve">. </w:t>
      </w:r>
    </w:p>
    <w:p w14:paraId="2C36A129" w14:textId="08A0C49A" w:rsidR="006A3F94" w:rsidRPr="001005B7" w:rsidRDefault="00E42422" w:rsidP="00D37849">
      <w:r w:rsidRPr="001005B7">
        <w:rPr>
          <w:b/>
          <w:bCs/>
        </w:rPr>
        <w:t xml:space="preserve">4:13 </w:t>
      </w:r>
      <w:r w:rsidR="006E0F0E" w:rsidRPr="001005B7">
        <w:t>Yahweh’</w:t>
      </w:r>
      <w:r w:rsidR="00FC7588" w:rsidRPr="001005B7">
        <w:t>s</w:t>
      </w:r>
      <w:r w:rsidR="006E0F0E" w:rsidRPr="001005B7">
        <w:t xml:space="preserve"> next words are a surprise</w:t>
      </w:r>
      <w:r w:rsidR="00EF62CE" w:rsidRPr="001005B7">
        <w:t>,</w:t>
      </w:r>
      <w:r w:rsidR="00FC7588" w:rsidRPr="001005B7">
        <w:t xml:space="preserve"> </w:t>
      </w:r>
      <w:r w:rsidR="00EF62CE" w:rsidRPr="001005B7">
        <w:t>given that</w:t>
      </w:r>
      <w:r w:rsidR="00FC7588" w:rsidRPr="001005B7">
        <w:t xml:space="preserve"> they refer to the situation of </w:t>
      </w:r>
      <w:r w:rsidR="00AA5585" w:rsidRPr="001005B7">
        <w:t>people who</w:t>
      </w:r>
      <w:r w:rsidR="00CA45BC" w:rsidRPr="001005B7">
        <w:t>m the Babylonians</w:t>
      </w:r>
      <w:r w:rsidR="00AA5585" w:rsidRPr="001005B7">
        <w:t xml:space="preserve"> </w:t>
      </w:r>
      <w:r w:rsidR="00442161" w:rsidRPr="001005B7">
        <w:t>will</w:t>
      </w:r>
      <w:r w:rsidR="00AA5585" w:rsidRPr="001005B7">
        <w:t xml:space="preserve"> transport</w:t>
      </w:r>
      <w:r w:rsidR="00CA45BC" w:rsidRPr="001005B7">
        <w:t xml:space="preserve"> away</w:t>
      </w:r>
      <w:r w:rsidR="00442161" w:rsidRPr="001005B7">
        <w:t xml:space="preserve"> from Jerus</w:t>
      </w:r>
      <w:r w:rsidR="00FA0FBB" w:rsidRPr="001005B7">
        <w:t>alem</w:t>
      </w:r>
      <w:r w:rsidR="008256A0" w:rsidRPr="001005B7">
        <w:t xml:space="preserve"> as they did the people now in </w:t>
      </w:r>
      <w:proofErr w:type="spellStart"/>
      <w:r w:rsidR="008256A0" w:rsidRPr="001005B7">
        <w:t>Kebar</w:t>
      </w:r>
      <w:proofErr w:type="spellEnd"/>
      <w:r w:rsidR="00681496" w:rsidRPr="001005B7">
        <w:t xml:space="preserve"> </w:t>
      </w:r>
      <w:r w:rsidR="00667C26" w:rsidRPr="001005B7">
        <w:t>(</w:t>
      </w:r>
      <w:r w:rsidR="00F974D4" w:rsidRPr="001005B7">
        <w:t>though</w:t>
      </w:r>
      <w:r w:rsidR="00681496" w:rsidRPr="001005B7">
        <w:t xml:space="preserve"> Yahweh speaks of himself </w:t>
      </w:r>
      <w:r w:rsidR="003C05C9" w:rsidRPr="001005B7">
        <w:t xml:space="preserve">not the Babylonians </w:t>
      </w:r>
      <w:r w:rsidR="00681496" w:rsidRPr="001005B7">
        <w:t>driving them out</w:t>
      </w:r>
      <w:r w:rsidR="00920656" w:rsidRPr="001005B7">
        <w:t>, as with the siege</w:t>
      </w:r>
      <w:r w:rsidR="00667C26" w:rsidRPr="001005B7">
        <w:t>)</w:t>
      </w:r>
      <w:r w:rsidR="002451C3" w:rsidRPr="001005B7">
        <w:t xml:space="preserve">. </w:t>
      </w:r>
      <w:r w:rsidR="002C200F" w:rsidRPr="001005B7">
        <w:t>Yahweh</w:t>
      </w:r>
      <w:r w:rsidR="002451C3" w:rsidRPr="001005B7">
        <w:t xml:space="preserve"> might have made a</w:t>
      </w:r>
      <w:r w:rsidR="00B66BB5" w:rsidRPr="001005B7">
        <w:t>n ironic</w:t>
      </w:r>
      <w:r w:rsidR="002451C3" w:rsidRPr="001005B7">
        <w:t xml:space="preserve"> comparison </w:t>
      </w:r>
      <w:r w:rsidR="002C200F" w:rsidRPr="001005B7">
        <w:t>between his expelling the Jerusalemites and</w:t>
      </w:r>
      <w:r w:rsidR="002451C3" w:rsidRPr="001005B7">
        <w:t xml:space="preserve"> his </w:t>
      </w:r>
      <w:r w:rsidR="00FC3F7D" w:rsidRPr="001005B7">
        <w:t xml:space="preserve">dispossessing </w:t>
      </w:r>
      <w:r w:rsidR="002451C3" w:rsidRPr="001005B7">
        <w:t>the Canaanites</w:t>
      </w:r>
      <w:r w:rsidR="002C200F" w:rsidRPr="001005B7">
        <w:t xml:space="preserve"> centuries previously</w:t>
      </w:r>
      <w:r w:rsidR="00E33BCA" w:rsidRPr="001005B7">
        <w:t xml:space="preserve">, but he </w:t>
      </w:r>
      <w:r w:rsidR="00C95FDD" w:rsidRPr="001005B7">
        <w:t>u</w:t>
      </w:r>
      <w:r w:rsidR="00E33BCA" w:rsidRPr="001005B7">
        <w:t>ses a different verb</w:t>
      </w:r>
      <w:r w:rsidR="00B66BB5" w:rsidRPr="001005B7">
        <w:t xml:space="preserve"> (</w:t>
      </w:r>
      <w:r w:rsidR="008B6A7E" w:rsidRPr="001005B7">
        <w:rPr>
          <w:rFonts w:cstheme="minorHAnsi"/>
          <w:rtl/>
          <w:lang w:bidi="he-IL"/>
        </w:rPr>
        <w:t>נָ</w:t>
      </w:r>
      <w:r w:rsidR="00A97213" w:rsidRPr="001005B7">
        <w:rPr>
          <w:rFonts w:cstheme="minorHAnsi"/>
          <w:rtl/>
          <w:lang w:bidi="he-IL"/>
        </w:rPr>
        <w:t>ד</w:t>
      </w:r>
      <w:r w:rsidR="009B6D9C" w:rsidRPr="001005B7">
        <w:rPr>
          <w:rFonts w:cstheme="minorHAnsi"/>
          <w:rtl/>
          <w:lang w:bidi="he-IL"/>
        </w:rPr>
        <w:t>ַח</w:t>
      </w:r>
      <w:r w:rsidR="002F7261" w:rsidRPr="001005B7">
        <w:rPr>
          <w:rFonts w:cstheme="minorHAnsi"/>
          <w:i/>
          <w:iCs/>
        </w:rPr>
        <w:t xml:space="preserve"> </w:t>
      </w:r>
      <w:r w:rsidR="002F7261" w:rsidRPr="001005B7">
        <w:rPr>
          <w:rFonts w:cstheme="minorHAnsi"/>
        </w:rPr>
        <w:t>not</w:t>
      </w:r>
      <w:r w:rsidR="009B6D9C" w:rsidRPr="001005B7">
        <w:rPr>
          <w:rFonts w:cstheme="minorHAnsi"/>
        </w:rPr>
        <w:t xml:space="preserve"> </w:t>
      </w:r>
      <w:r w:rsidR="005C3BE2" w:rsidRPr="001005B7">
        <w:rPr>
          <w:rFonts w:cstheme="minorHAnsi"/>
          <w:rtl/>
          <w:lang w:bidi="he-IL"/>
        </w:rPr>
        <w:t>גָ</w:t>
      </w:r>
      <w:r w:rsidR="00A3405B" w:rsidRPr="001005B7">
        <w:rPr>
          <w:rFonts w:cstheme="minorHAnsi"/>
          <w:rtl/>
          <w:lang w:bidi="he-IL"/>
        </w:rPr>
        <w:t>ּ</w:t>
      </w:r>
      <w:r w:rsidR="005C3BE2" w:rsidRPr="001005B7">
        <w:rPr>
          <w:rFonts w:cstheme="minorHAnsi"/>
          <w:rtl/>
          <w:lang w:bidi="he-IL"/>
        </w:rPr>
        <w:t>רַשׁ</w:t>
      </w:r>
      <w:r w:rsidR="002F7261" w:rsidRPr="001005B7">
        <w:rPr>
          <w:rFonts w:cstheme="minorHAnsi"/>
        </w:rPr>
        <w:t>)</w:t>
      </w:r>
      <w:r w:rsidR="00CC2360" w:rsidRPr="001005B7">
        <w:t>.</w:t>
      </w:r>
      <w:r w:rsidR="00442161" w:rsidRPr="001005B7">
        <w:t xml:space="preserve"> </w:t>
      </w:r>
      <w:r w:rsidR="000051E0" w:rsidRPr="001005B7">
        <w:t>Yet h</w:t>
      </w:r>
      <w:r w:rsidR="00AE1667" w:rsidRPr="001005B7">
        <w:t>e</w:t>
      </w:r>
      <w:r w:rsidR="00044F36" w:rsidRPr="001005B7">
        <w:t xml:space="preserve"> thus </w:t>
      </w:r>
      <w:r w:rsidR="00100C22" w:rsidRPr="001005B7">
        <w:t>indeed</w:t>
      </w:r>
      <w:r w:rsidR="00AE1667" w:rsidRPr="001005B7">
        <w:t xml:space="preserve"> </w:t>
      </w:r>
      <w:r w:rsidR="00044F36" w:rsidRPr="001005B7">
        <w:t>look</w:t>
      </w:r>
      <w:r w:rsidR="00100C22" w:rsidRPr="001005B7">
        <w:t>s</w:t>
      </w:r>
      <w:r w:rsidR="00044F36" w:rsidRPr="001005B7">
        <w:t xml:space="preserve"> beyond the </w:t>
      </w:r>
      <w:r w:rsidR="00DC76B3" w:rsidRPr="001005B7">
        <w:t xml:space="preserve">siege to its aftermath. </w:t>
      </w:r>
      <w:r w:rsidR="009F2151" w:rsidRPr="001005B7">
        <w:t>The passage would proceed more smoothly from 4:12 to 4:14 without 4:13</w:t>
      </w:r>
      <w:r w:rsidR="002E0B10" w:rsidRPr="001005B7">
        <w:t>, which</w:t>
      </w:r>
      <w:r w:rsidR="006A229B" w:rsidRPr="001005B7">
        <w:t xml:space="preserve"> might be</w:t>
      </w:r>
      <w:r w:rsidR="00CD508E" w:rsidRPr="001005B7">
        <w:t xml:space="preserve"> a later supplement to </w:t>
      </w:r>
      <w:r w:rsidR="002E0B10" w:rsidRPr="001005B7">
        <w:t>Ezekiel’s</w:t>
      </w:r>
      <w:r w:rsidR="00CD508E" w:rsidRPr="001005B7">
        <w:t xml:space="preserve"> words, added in light of events</w:t>
      </w:r>
      <w:r w:rsidR="009D6FB5" w:rsidRPr="001005B7">
        <w:t xml:space="preserve">. </w:t>
      </w:r>
      <w:r w:rsidR="00611139" w:rsidRPr="001005B7">
        <w:t xml:space="preserve">But the sequence within the passage as we have it </w:t>
      </w:r>
      <w:r w:rsidR="00415C8E" w:rsidRPr="001005B7">
        <w:t>increase</w:t>
      </w:r>
      <w:r w:rsidR="00904C56" w:rsidRPr="001005B7">
        <w:t>s</w:t>
      </w:r>
      <w:r w:rsidR="00415C8E" w:rsidRPr="001005B7">
        <w:t xml:space="preserve"> suspense by the contents of this note</w:t>
      </w:r>
      <w:r w:rsidR="005707E8" w:rsidRPr="001005B7">
        <w:t>. Further, t</w:t>
      </w:r>
      <w:r w:rsidR="00917FFC" w:rsidRPr="001005B7">
        <w:t xml:space="preserve">he shocking declaration in </w:t>
      </w:r>
      <w:r w:rsidR="00AC027B" w:rsidRPr="001005B7">
        <w:t>4:</w:t>
      </w:r>
      <w:r w:rsidR="00917FFC" w:rsidRPr="001005B7">
        <w:t xml:space="preserve">12 </w:t>
      </w:r>
      <w:r w:rsidR="000675BA" w:rsidRPr="001005B7">
        <w:t>makes one expect</w:t>
      </w:r>
      <w:r w:rsidR="00917FFC" w:rsidRPr="001005B7">
        <w:t xml:space="preserve"> something to follow, and we wait to discover what it will be.</w:t>
      </w:r>
      <w:r w:rsidR="00011C97" w:rsidRPr="001005B7">
        <w:t xml:space="preserve"> </w:t>
      </w:r>
      <w:r w:rsidR="00352BBB" w:rsidRPr="001005B7">
        <w:t>The verse articulates the theological problem about Yahweh’s intention</w:t>
      </w:r>
      <w:r w:rsidR="007A0D21" w:rsidRPr="001005B7">
        <w:t xml:space="preserve"> as stated in </w:t>
      </w:r>
      <w:r w:rsidR="00AC027B" w:rsidRPr="001005B7">
        <w:t>4:</w:t>
      </w:r>
      <w:r w:rsidR="007A0D21" w:rsidRPr="001005B7">
        <w:t>12</w:t>
      </w:r>
      <w:r w:rsidR="00352BBB" w:rsidRPr="001005B7">
        <w:t xml:space="preserve">. </w:t>
      </w:r>
      <w:r w:rsidR="0096117E" w:rsidRPr="001005B7">
        <w:t>W</w:t>
      </w:r>
      <w:r w:rsidR="00352BBB" w:rsidRPr="001005B7">
        <w:t xml:space="preserve">hat </w:t>
      </w:r>
      <w:r w:rsidR="007A0D21" w:rsidRPr="001005B7">
        <w:t>Yahweh</w:t>
      </w:r>
      <w:r w:rsidR="00352BBB" w:rsidRPr="001005B7">
        <w:t xml:space="preserve"> </w:t>
      </w:r>
      <w:r w:rsidR="00616C81" w:rsidRPr="001005B7">
        <w:t xml:space="preserve">commissions will </w:t>
      </w:r>
      <w:r w:rsidR="0096117E" w:rsidRPr="001005B7">
        <w:t>not merely be unsavory</w:t>
      </w:r>
      <w:r w:rsidR="00206E4C" w:rsidRPr="001005B7">
        <w:t xml:space="preserve">. Its result will be that </w:t>
      </w:r>
      <w:r w:rsidR="00616C81" w:rsidRPr="001005B7">
        <w:t xml:space="preserve">the bread people bake will be defiled. </w:t>
      </w:r>
      <w:r w:rsidR="006E7711" w:rsidRPr="001005B7">
        <w:t xml:space="preserve">The background is </w:t>
      </w:r>
      <w:r w:rsidR="00AE3358" w:rsidRPr="001005B7">
        <w:t xml:space="preserve">a common human </w:t>
      </w:r>
      <w:r w:rsidR="00837553" w:rsidRPr="001005B7">
        <w:t xml:space="preserve">awareness </w:t>
      </w:r>
      <w:r w:rsidR="00531E2B" w:rsidRPr="001005B7">
        <w:t xml:space="preserve">that </w:t>
      </w:r>
      <w:r w:rsidR="00E501D0" w:rsidRPr="001005B7">
        <w:t>underl</w:t>
      </w:r>
      <w:r w:rsidR="00531E2B" w:rsidRPr="001005B7">
        <w:t>ies</w:t>
      </w:r>
      <w:r w:rsidR="00E501D0" w:rsidRPr="001005B7">
        <w:t xml:space="preserve"> many rules in the Torah</w:t>
      </w:r>
      <w:r w:rsidR="00531E2B" w:rsidRPr="001005B7">
        <w:t>,</w:t>
      </w:r>
      <w:r w:rsidR="00E501D0" w:rsidRPr="001005B7">
        <w:t xml:space="preserve"> </w:t>
      </w:r>
      <w:r w:rsidR="009D2826" w:rsidRPr="001005B7">
        <w:t>that anything com</w:t>
      </w:r>
      <w:r w:rsidR="00AE3358" w:rsidRPr="001005B7">
        <w:t>ing</w:t>
      </w:r>
      <w:r w:rsidR="009D2826" w:rsidRPr="001005B7">
        <w:t xml:space="preserve"> </w:t>
      </w:r>
      <w:r w:rsidR="00C40AB3" w:rsidRPr="001005B7">
        <w:t xml:space="preserve">out </w:t>
      </w:r>
      <w:r w:rsidR="009D2826" w:rsidRPr="001005B7">
        <w:t xml:space="preserve">from the body </w:t>
      </w:r>
      <w:r w:rsidR="00C40AB3" w:rsidRPr="001005B7">
        <w:t xml:space="preserve">compromises the distinction between inside and outside </w:t>
      </w:r>
      <w:r w:rsidR="0034036C" w:rsidRPr="001005B7">
        <w:t>and imperils the integrity</w:t>
      </w:r>
      <w:r w:rsidR="009D299B" w:rsidRPr="001005B7">
        <w:t xml:space="preserve"> of the person</w:t>
      </w:r>
      <w:r w:rsidR="0034036C" w:rsidRPr="001005B7">
        <w:t xml:space="preserve">. </w:t>
      </w:r>
      <w:r w:rsidR="00987A86" w:rsidRPr="001005B7">
        <w:t>H</w:t>
      </w:r>
      <w:r w:rsidR="00993E92" w:rsidRPr="001005B7">
        <w:t xml:space="preserve">uman beings </w:t>
      </w:r>
      <w:r w:rsidR="00531E2B" w:rsidRPr="001005B7">
        <w:t xml:space="preserve">are commonly </w:t>
      </w:r>
      <w:r w:rsidR="0056748D" w:rsidRPr="001005B7">
        <w:t xml:space="preserve">uneasy about spit, vomit, </w:t>
      </w:r>
      <w:r w:rsidR="002709F4" w:rsidRPr="001005B7">
        <w:t>nasal secretions</w:t>
      </w:r>
      <w:r w:rsidR="00993E92" w:rsidRPr="001005B7">
        <w:t>—and feces. This</w:t>
      </w:r>
      <w:r w:rsidR="0018329B" w:rsidRPr="001005B7">
        <w:t xml:space="preserve"> principle finds expression in the Deuteronomic rule</w:t>
      </w:r>
      <w:r w:rsidR="008B1163" w:rsidRPr="001005B7">
        <w:t>s</w:t>
      </w:r>
      <w:r w:rsidR="0018329B" w:rsidRPr="001005B7">
        <w:t xml:space="preserve"> to cover nocturnal emissions and defecation</w:t>
      </w:r>
      <w:r w:rsidR="00AA78D1" w:rsidRPr="001005B7">
        <w:t xml:space="preserve">, which must not be allowed to </w:t>
      </w:r>
      <w:r w:rsidR="008B1163" w:rsidRPr="001005B7">
        <w:t>compromise the camp’s sacredness (Deut 23:10</w:t>
      </w:r>
      <w:r w:rsidR="00F46900" w:rsidRPr="001005B7">
        <w:t>–</w:t>
      </w:r>
      <w:r w:rsidR="008B1163" w:rsidRPr="001005B7">
        <w:t xml:space="preserve">14). </w:t>
      </w:r>
      <w:r w:rsidR="000F49A2" w:rsidRPr="001005B7">
        <w:t xml:space="preserve">Num </w:t>
      </w:r>
      <w:r w:rsidR="00295468" w:rsidRPr="001005B7">
        <w:t>5:1</w:t>
      </w:r>
      <w:r w:rsidR="00F46900" w:rsidRPr="001005B7">
        <w:t>–</w:t>
      </w:r>
      <w:r w:rsidR="00295468" w:rsidRPr="001005B7">
        <w:t>4 specifically refers to</w:t>
      </w:r>
      <w:r w:rsidR="00DA5509" w:rsidRPr="001005B7">
        <w:t xml:space="preserve"> avoid</w:t>
      </w:r>
      <w:r w:rsidR="00604031" w:rsidRPr="001005B7">
        <w:t>ing</w:t>
      </w:r>
      <w:r w:rsidR="00DA5509" w:rsidRPr="001005B7">
        <w:t xml:space="preserve"> </w:t>
      </w:r>
      <w:r w:rsidR="00A65094" w:rsidRPr="001005B7">
        <w:t>the</w:t>
      </w:r>
      <w:r w:rsidR="00604031" w:rsidRPr="001005B7">
        <w:t xml:space="preserve"> camp’s</w:t>
      </w:r>
      <w:r w:rsidR="00A65094" w:rsidRPr="001005B7">
        <w:t xml:space="preserve"> </w:t>
      </w:r>
      <w:r w:rsidR="00DA5509" w:rsidRPr="001005B7">
        <w:t xml:space="preserve">defilement though the presence of people with </w:t>
      </w:r>
      <w:r w:rsidR="00320580" w:rsidRPr="001005B7">
        <w:t xml:space="preserve">a </w:t>
      </w:r>
      <w:r w:rsidR="00DA5509" w:rsidRPr="001005B7">
        <w:t xml:space="preserve">skin ailment (“leprosy”) </w:t>
      </w:r>
      <w:r w:rsidR="004329F4" w:rsidRPr="001005B7">
        <w:t>or a discharge</w:t>
      </w:r>
      <w:r w:rsidR="00C56626" w:rsidRPr="001005B7">
        <w:t>, a</w:t>
      </w:r>
      <w:r w:rsidR="008B1163" w:rsidRPr="001005B7">
        <w:t xml:space="preserve">nd </w:t>
      </w:r>
      <w:r w:rsidR="00320580" w:rsidRPr="001005B7">
        <w:t>this principle</w:t>
      </w:r>
      <w:r w:rsidR="008B1163" w:rsidRPr="001005B7">
        <w:t xml:space="preserve"> underlies </w:t>
      </w:r>
      <w:r w:rsidR="008A6BA4" w:rsidRPr="001005B7">
        <w:t>rules in Leviticus about semen and bleeding</w:t>
      </w:r>
      <w:r w:rsidR="00320580" w:rsidRPr="001005B7">
        <w:t xml:space="preserve">. </w:t>
      </w:r>
      <w:r w:rsidR="006A3F94" w:rsidRPr="001005B7">
        <w:t>There is no suggestion</w:t>
      </w:r>
      <w:r w:rsidR="0038586D" w:rsidRPr="001005B7">
        <w:t xml:space="preserve"> </w:t>
      </w:r>
      <w:r w:rsidR="006A3F94" w:rsidRPr="001005B7">
        <w:t xml:space="preserve">that </w:t>
      </w:r>
      <w:r w:rsidR="0055313C" w:rsidRPr="001005B7">
        <w:t xml:space="preserve">living among the nations is itself </w:t>
      </w:r>
      <w:r w:rsidR="00AD4613" w:rsidRPr="001005B7">
        <w:t>defiling</w:t>
      </w:r>
      <w:r w:rsidR="00CC6F75" w:rsidRPr="001005B7">
        <w:t>, though in connection with food,</w:t>
      </w:r>
      <w:r w:rsidR="00AD4613" w:rsidRPr="001005B7">
        <w:t xml:space="preserve"> defilement</w:t>
      </w:r>
      <w:r w:rsidR="00CC6F75" w:rsidRPr="001005B7">
        <w:t xml:space="preserve"> m</w:t>
      </w:r>
      <w:r w:rsidR="00C055CE" w:rsidRPr="001005B7">
        <w:t xml:space="preserve">ight </w:t>
      </w:r>
      <w:r w:rsidR="00041E12" w:rsidRPr="001005B7">
        <w:t>then</w:t>
      </w:r>
      <w:r w:rsidR="00CC6F75" w:rsidRPr="001005B7">
        <w:t xml:space="preserve"> be hard to </w:t>
      </w:r>
      <w:r w:rsidR="00AC1DEE" w:rsidRPr="001005B7">
        <w:t>avoid</w:t>
      </w:r>
      <w:r w:rsidR="000C1D83" w:rsidRPr="001005B7">
        <w:t xml:space="preserve"> </w:t>
      </w:r>
      <w:r w:rsidR="00AC1DEE" w:rsidRPr="001005B7">
        <w:t>(Hos 9:3; Dan 1)</w:t>
      </w:r>
      <w:r w:rsidR="009D28DF" w:rsidRPr="001005B7">
        <w:t>, with t</w:t>
      </w:r>
      <w:r w:rsidR="00154B0E" w:rsidRPr="001005B7">
        <w:t xml:space="preserve">he </w:t>
      </w:r>
      <w:r w:rsidR="000C1D83" w:rsidRPr="001005B7">
        <w:t xml:space="preserve">link </w:t>
      </w:r>
      <w:r w:rsidR="0038586D" w:rsidRPr="001005B7">
        <w:t xml:space="preserve">between food and </w:t>
      </w:r>
      <w:r w:rsidR="000C1D83" w:rsidRPr="001005B7">
        <w:t>serving other deities</w:t>
      </w:r>
      <w:r w:rsidR="00E834F5" w:rsidRPr="001005B7">
        <w:t xml:space="preserve"> (which also might be the background of Amos</w:t>
      </w:r>
      <w:r w:rsidR="004E682A" w:rsidRPr="001005B7">
        <w:t xml:space="preserve"> 7:17)</w:t>
      </w:r>
      <w:r w:rsidR="00C055CE" w:rsidRPr="001005B7">
        <w:t xml:space="preserve"> </w:t>
      </w:r>
      <w:r w:rsidR="009D28DF" w:rsidRPr="001005B7">
        <w:t xml:space="preserve">being </w:t>
      </w:r>
      <w:r w:rsidR="00C055CE" w:rsidRPr="001005B7">
        <w:t>a factor.</w:t>
      </w:r>
    </w:p>
    <w:p w14:paraId="19BDCB99" w14:textId="08785CE4" w:rsidR="00D14113" w:rsidRPr="001005B7" w:rsidRDefault="006E4152" w:rsidP="00D37849">
      <w:r w:rsidRPr="001005B7">
        <w:rPr>
          <w:b/>
          <w:bCs/>
        </w:rPr>
        <w:t xml:space="preserve">4:14 </w:t>
      </w:r>
      <w:r w:rsidR="005842B7" w:rsidRPr="001005B7">
        <w:t xml:space="preserve">Whereas </w:t>
      </w:r>
      <w:r w:rsidR="00D629B1" w:rsidRPr="001005B7">
        <w:t xml:space="preserve">Ezekiel did not raise </w:t>
      </w:r>
      <w:r w:rsidR="006650CD" w:rsidRPr="001005B7">
        <w:t xml:space="preserve">objections </w:t>
      </w:r>
      <w:r w:rsidR="00461DBE" w:rsidRPr="001005B7">
        <w:t>to</w:t>
      </w:r>
      <w:r w:rsidR="00D629B1" w:rsidRPr="001005B7">
        <w:t xml:space="preserve"> his </w:t>
      </w:r>
      <w:r w:rsidR="001B6DAA" w:rsidRPr="001005B7">
        <w:t>original commission,</w:t>
      </w:r>
      <w:r w:rsidR="00165F31" w:rsidRPr="001005B7">
        <w:t xml:space="preserve"> now he does protest</w:t>
      </w:r>
      <w:r w:rsidR="00A2575C" w:rsidRPr="001005B7">
        <w:t>,</w:t>
      </w:r>
      <w:r w:rsidR="00386F57" w:rsidRPr="001005B7">
        <w:rPr>
          <w:rStyle w:val="FootnoteReference"/>
        </w:rPr>
        <w:footnoteReference w:id="175"/>
      </w:r>
      <w:r w:rsidR="00A56D3A" w:rsidRPr="001005B7">
        <w:t xml:space="preserve"> </w:t>
      </w:r>
      <w:r w:rsidR="00A2575C" w:rsidRPr="001005B7">
        <w:t>in a way</w:t>
      </w:r>
      <w:r w:rsidR="00DE7DE2" w:rsidRPr="001005B7">
        <w:t xml:space="preserve"> </w:t>
      </w:r>
      <w:r w:rsidR="00A56D3A" w:rsidRPr="001005B7">
        <w:t>worthy of a priest, though</w:t>
      </w:r>
      <w:r w:rsidR="004A339A" w:rsidRPr="001005B7">
        <w:t xml:space="preserve"> </w:t>
      </w:r>
      <w:r w:rsidR="00A56D3A" w:rsidRPr="001005B7">
        <w:t xml:space="preserve">it is </w:t>
      </w:r>
      <w:r w:rsidR="0051737A" w:rsidRPr="001005B7">
        <w:t xml:space="preserve">a protest </w:t>
      </w:r>
      <w:r w:rsidR="00A56D3A" w:rsidRPr="001005B7">
        <w:t>that a</w:t>
      </w:r>
      <w:r w:rsidR="0030668C" w:rsidRPr="001005B7">
        <w:t xml:space="preserve"> layperson might make</w:t>
      </w:r>
      <w:r w:rsidR="004A339A" w:rsidRPr="001005B7">
        <w:t xml:space="preserve">. </w:t>
      </w:r>
      <w:r w:rsidR="00AE0817" w:rsidRPr="001005B7">
        <w:t xml:space="preserve">Ezekiel knows that </w:t>
      </w:r>
      <w:r w:rsidR="00AA7F13" w:rsidRPr="001005B7">
        <w:t>“we</w:t>
      </w:r>
      <w:r w:rsidR="00AE0817" w:rsidRPr="001005B7">
        <w:t xml:space="preserve"> are what </w:t>
      </w:r>
      <w:r w:rsidR="00AA7F13" w:rsidRPr="001005B7">
        <w:t>we</w:t>
      </w:r>
      <w:r w:rsidR="00AE0817" w:rsidRPr="001005B7">
        <w:t xml:space="preserve"> eat</w:t>
      </w:r>
      <w:r w:rsidR="001E0AAC" w:rsidRPr="001005B7">
        <w:t>.”</w:t>
      </w:r>
      <w:r w:rsidR="001E0AAC" w:rsidRPr="001005B7">
        <w:rPr>
          <w:rStyle w:val="FootnoteReference"/>
        </w:rPr>
        <w:footnoteReference w:id="176"/>
      </w:r>
      <w:r w:rsidR="00F47C07" w:rsidRPr="001005B7">
        <w:t xml:space="preserve"> T</w:t>
      </w:r>
      <w:r w:rsidR="00880F0F" w:rsidRPr="001005B7">
        <w:t>o</w:t>
      </w:r>
      <w:r w:rsidR="00F47C07" w:rsidRPr="001005B7">
        <w:t xml:space="preserve"> eat something defiled is defiling. </w:t>
      </w:r>
      <w:r w:rsidR="00A33AC2" w:rsidRPr="001005B7">
        <w:t>Ezekiel</w:t>
      </w:r>
      <w:r w:rsidR="00F47C07" w:rsidRPr="001005B7">
        <w:t xml:space="preserve"> has never done such a thing</w:t>
      </w:r>
      <w:r w:rsidR="00CD572D" w:rsidRPr="001005B7">
        <w:t>. He has not eaten the carcass of an animal that died “naturally</w:t>
      </w:r>
      <w:r w:rsidR="005474C1" w:rsidRPr="001005B7">
        <w:t xml:space="preserve">” or </w:t>
      </w:r>
      <w:r w:rsidR="002D2501" w:rsidRPr="001005B7">
        <w:t>was</w:t>
      </w:r>
      <w:r w:rsidR="005474C1" w:rsidRPr="001005B7">
        <w:t xml:space="preserve"> killed by another animal</w:t>
      </w:r>
      <w:r w:rsidR="008A2AE3" w:rsidRPr="001005B7">
        <w:t xml:space="preserve"> (cf. 44:31</w:t>
      </w:r>
      <w:r w:rsidR="00666851" w:rsidRPr="001005B7">
        <w:t xml:space="preserve">; </w:t>
      </w:r>
      <w:r w:rsidR="00124AF4" w:rsidRPr="001005B7">
        <w:t>22:8</w:t>
      </w:r>
      <w:r w:rsidR="00913F1D" w:rsidRPr="001005B7">
        <w:t>; Deut 14:31</w:t>
      </w:r>
      <w:r w:rsidR="00124AF4" w:rsidRPr="001005B7">
        <w:t>)</w:t>
      </w:r>
      <w:r w:rsidR="005474C1" w:rsidRPr="001005B7">
        <w:t xml:space="preserve"> and thus did not have its blood drained. </w:t>
      </w:r>
      <w:r w:rsidR="00595929" w:rsidRPr="001005B7">
        <w:t>Abominable</w:t>
      </w:r>
      <w:r w:rsidR="00595929" w:rsidRPr="001005B7">
        <w:rPr>
          <w:i/>
          <w:iCs/>
        </w:rPr>
        <w:t xml:space="preserve"> </w:t>
      </w:r>
      <w:r w:rsidR="0041485F" w:rsidRPr="001005B7">
        <w:t>meat refers more narrow</w:t>
      </w:r>
      <w:r w:rsidR="003C138F" w:rsidRPr="001005B7">
        <w:t>ly</w:t>
      </w:r>
      <w:r w:rsidR="0041485F" w:rsidRPr="001005B7">
        <w:t xml:space="preserve"> in Lev 7:18; 19:7</w:t>
      </w:r>
      <w:r w:rsidR="003C138F" w:rsidRPr="001005B7">
        <w:t xml:space="preserve"> to meat </w:t>
      </w:r>
      <w:r w:rsidR="002F2CD8" w:rsidRPr="001005B7">
        <w:t xml:space="preserve">left over from a sacrifice and </w:t>
      </w:r>
      <w:r w:rsidR="003C138F" w:rsidRPr="001005B7">
        <w:t>eaten</w:t>
      </w:r>
      <w:r w:rsidR="00AB0A0C" w:rsidRPr="001005B7">
        <w:t xml:space="preserve"> casually</w:t>
      </w:r>
      <w:r w:rsidR="002F2CD8" w:rsidRPr="001005B7">
        <w:t xml:space="preserve"> as if it were not sacred</w:t>
      </w:r>
      <w:r w:rsidR="00C84DE8" w:rsidRPr="001005B7">
        <w:t>. I</w:t>
      </w:r>
      <w:r w:rsidR="00C00527" w:rsidRPr="001005B7">
        <w:t xml:space="preserve">n Isa 65:4 it has a broader reference to </w:t>
      </w:r>
      <w:r w:rsidR="00EF5362" w:rsidRPr="001005B7">
        <w:t>eating forbidden food such as pork. Here a</w:t>
      </w:r>
      <w:r w:rsidR="00486B8A" w:rsidRPr="001005B7">
        <w:t>ny of these</w:t>
      </w:r>
      <w:r w:rsidR="00EF5362" w:rsidRPr="001005B7">
        <w:t xml:space="preserve"> refer</w:t>
      </w:r>
      <w:r w:rsidR="007809DC" w:rsidRPr="001005B7">
        <w:t>ence</w:t>
      </w:r>
      <w:r w:rsidR="00486B8A" w:rsidRPr="001005B7">
        <w:t>s</w:t>
      </w:r>
      <w:r w:rsidR="007809DC" w:rsidRPr="001005B7">
        <w:t xml:space="preserve"> would fit</w:t>
      </w:r>
      <w:r w:rsidR="001B5645" w:rsidRPr="001005B7">
        <w:t xml:space="preserve">. </w:t>
      </w:r>
    </w:p>
    <w:p w14:paraId="750B591B" w14:textId="49461BF1" w:rsidR="006E4152" w:rsidRPr="001005B7" w:rsidRDefault="00D14113" w:rsidP="00A651A8">
      <w:r w:rsidRPr="001005B7">
        <w:rPr>
          <w:b/>
          <w:bCs/>
        </w:rPr>
        <w:t xml:space="preserve">4:15 </w:t>
      </w:r>
      <w:r w:rsidR="001B5645" w:rsidRPr="001005B7">
        <w:t>Okay, says Yahweh: you can use animal dung</w:t>
      </w:r>
      <w:r w:rsidR="004747E7" w:rsidRPr="001005B7">
        <w:t xml:space="preserve">. </w:t>
      </w:r>
      <w:r w:rsidR="0063441A" w:rsidRPr="001005B7">
        <w:t>Cooking on animal dung is common in traditional societies (especially in the absence of wood as fuel), in the Middle East</w:t>
      </w:r>
      <w:r w:rsidR="00730B93" w:rsidRPr="001005B7">
        <w:t xml:space="preserve"> and elsewhere</w:t>
      </w:r>
      <w:r w:rsidR="0063441A" w:rsidRPr="001005B7">
        <w:t>.</w:t>
      </w:r>
      <w:r w:rsidR="0063441A" w:rsidRPr="001005B7">
        <w:rPr>
          <w:rStyle w:val="FootnoteReference"/>
        </w:rPr>
        <w:footnoteReference w:id="177"/>
      </w:r>
      <w:r w:rsidR="000207AD" w:rsidRPr="001005B7">
        <w:t xml:space="preserve"> And putting dough in the fire to bake it could </w:t>
      </w:r>
      <w:r w:rsidR="00FE6B57" w:rsidRPr="001005B7">
        <w:t xml:space="preserve">then </w:t>
      </w:r>
      <w:r w:rsidR="000207AD" w:rsidRPr="001005B7">
        <w:t>be the practice (Greenberg, 1</w:t>
      </w:r>
      <w:r w:rsidR="000207AD" w:rsidRPr="001005B7">
        <w:rPr>
          <w:i/>
          <w:iCs/>
        </w:rPr>
        <w:t>:</w:t>
      </w:r>
      <w:r w:rsidR="000207AD" w:rsidRPr="001005B7">
        <w:t>107).</w:t>
      </w:r>
      <w:r w:rsidR="00FE6B57" w:rsidRPr="001005B7">
        <w:t xml:space="preserve"> </w:t>
      </w:r>
      <w:r w:rsidR="00F05B8A" w:rsidRPr="001005B7">
        <w:t xml:space="preserve">Being in the fire is apparently not noxious and does not have a negative effect on the food’s taste. </w:t>
      </w:r>
      <w:r w:rsidR="00FE6B57" w:rsidRPr="001005B7">
        <w:t>But</w:t>
      </w:r>
      <w:r w:rsidR="000207AD" w:rsidRPr="001005B7">
        <w:t xml:space="preserve"> </w:t>
      </w:r>
      <w:r w:rsidR="00A37D29" w:rsidRPr="001005B7">
        <w:t xml:space="preserve">Yahweh </w:t>
      </w:r>
      <w:r w:rsidR="0070417E" w:rsidRPr="001005B7">
        <w:t xml:space="preserve">also </w:t>
      </w:r>
      <w:r w:rsidR="00BE2FF3" w:rsidRPr="001005B7">
        <w:t>changes prepositions, speaking now</w:t>
      </w:r>
      <w:r w:rsidR="004F6846" w:rsidRPr="001005B7">
        <w:t xml:space="preserve"> in terms of </w:t>
      </w:r>
      <w:r w:rsidR="00A37D29" w:rsidRPr="001005B7">
        <w:t>co</w:t>
      </w:r>
      <w:r w:rsidR="0040053A" w:rsidRPr="001005B7">
        <w:t>o</w:t>
      </w:r>
      <w:r w:rsidR="00A37D29" w:rsidRPr="001005B7">
        <w:t>king</w:t>
      </w:r>
      <w:r w:rsidR="003F7A11" w:rsidRPr="001005B7">
        <w:t xml:space="preserve"> </w:t>
      </w:r>
      <w:r w:rsidR="003F7A11" w:rsidRPr="001005B7">
        <w:rPr>
          <w:i/>
          <w:iCs/>
        </w:rPr>
        <w:t xml:space="preserve">on </w:t>
      </w:r>
      <w:r w:rsidR="003F7A11" w:rsidRPr="001005B7">
        <w:t>dung as opposed to</w:t>
      </w:r>
      <w:r w:rsidR="00A37D29" w:rsidRPr="001005B7">
        <w:t xml:space="preserve"> </w:t>
      </w:r>
      <w:r w:rsidR="00A37D29" w:rsidRPr="001005B7">
        <w:rPr>
          <w:i/>
          <w:iCs/>
        </w:rPr>
        <w:t xml:space="preserve">in </w:t>
      </w:r>
      <w:r w:rsidR="00A37D29" w:rsidRPr="001005B7">
        <w:t>feces</w:t>
      </w:r>
      <w:r w:rsidR="0064058D" w:rsidRPr="001005B7">
        <w:t xml:space="preserve">. The more usual practice </w:t>
      </w:r>
      <w:r w:rsidR="00E35EE5" w:rsidRPr="001005B7">
        <w:t xml:space="preserve">is </w:t>
      </w:r>
      <w:r w:rsidR="003F7A11" w:rsidRPr="001005B7">
        <w:t>indeed</w:t>
      </w:r>
      <w:r w:rsidR="00E35EE5" w:rsidRPr="001005B7">
        <w:t xml:space="preserve"> that</w:t>
      </w:r>
      <w:r w:rsidR="0040053A" w:rsidRPr="001005B7">
        <w:t xml:space="preserve"> the </w:t>
      </w:r>
      <w:r w:rsidR="008D6032" w:rsidRPr="001005B7">
        <w:t>foo</w:t>
      </w:r>
      <w:r w:rsidR="00FC6FE8" w:rsidRPr="001005B7">
        <w:t xml:space="preserve">d </w:t>
      </w:r>
      <w:r w:rsidR="008D6032" w:rsidRPr="001005B7">
        <w:t xml:space="preserve">sits in a pot on the fire and is thus </w:t>
      </w:r>
      <w:r w:rsidR="0040053A" w:rsidRPr="001005B7">
        <w:t>not in contact with the dung</w:t>
      </w:r>
      <w:r w:rsidR="0024691B" w:rsidRPr="001005B7">
        <w:t xml:space="preserve">. </w:t>
      </w:r>
      <w:r w:rsidR="002F7FE0" w:rsidRPr="001005B7">
        <w:t xml:space="preserve">The exchange between Yahweh and Ezekiel suggests how </w:t>
      </w:r>
      <w:r w:rsidR="006415F9" w:rsidRPr="001005B7">
        <w:t>severe Yahweh is prepared to be in pictur</w:t>
      </w:r>
      <w:r w:rsidR="00D776BA" w:rsidRPr="001005B7">
        <w:t>ing</w:t>
      </w:r>
      <w:r w:rsidR="006415F9" w:rsidRPr="001005B7">
        <w:t xml:space="preserve"> </w:t>
      </w:r>
      <w:r w:rsidR="00D776BA" w:rsidRPr="001005B7">
        <w:t>the</w:t>
      </w:r>
      <w:r w:rsidR="006415F9" w:rsidRPr="001005B7">
        <w:t xml:space="preserve"> siege </w:t>
      </w:r>
      <w:r w:rsidR="00D776BA" w:rsidRPr="001005B7">
        <w:t>for</w:t>
      </w:r>
      <w:r w:rsidR="006415F9" w:rsidRPr="001005B7">
        <w:t xml:space="preserve"> the </w:t>
      </w:r>
      <w:r w:rsidR="00F567B3" w:rsidRPr="001005B7">
        <w:t xml:space="preserve">Judahite exiles, how </w:t>
      </w:r>
      <w:r w:rsidR="00823A86" w:rsidRPr="001005B7">
        <w:t>free a prophet (or anyone else?) can be in protesting at Yahweh’s biddings</w:t>
      </w:r>
      <w:r w:rsidR="00A1043D" w:rsidRPr="001005B7">
        <w:t xml:space="preserve">, and how flexible Yahweh is prepared </w:t>
      </w:r>
      <w:r w:rsidR="001C3E68" w:rsidRPr="001005B7">
        <w:t xml:space="preserve">to </w:t>
      </w:r>
      <w:r w:rsidR="00A1043D" w:rsidRPr="001005B7">
        <w:t>be</w:t>
      </w:r>
      <w:r w:rsidR="00C84DE8" w:rsidRPr="001005B7">
        <w:t>. H</w:t>
      </w:r>
      <w:r w:rsidR="00A1043D" w:rsidRPr="001005B7">
        <w:t xml:space="preserve">e has, after all, made his point </w:t>
      </w:r>
      <w:r w:rsidR="004E4D10" w:rsidRPr="001005B7">
        <w:t xml:space="preserve">to </w:t>
      </w:r>
      <w:r w:rsidR="00A1043D" w:rsidRPr="001005B7">
        <w:t>the exiles in causing them to imagine what he bade Ezekiel to do.</w:t>
      </w:r>
    </w:p>
    <w:p w14:paraId="3D99220B" w14:textId="3710D05B" w:rsidR="00C00A68" w:rsidRPr="001005B7" w:rsidRDefault="001C3E68" w:rsidP="00464ABA">
      <w:pPr>
        <w:rPr>
          <w:bCs/>
        </w:rPr>
      </w:pPr>
      <w:r w:rsidRPr="001005B7">
        <w:rPr>
          <w:b/>
        </w:rPr>
        <w:t>4</w:t>
      </w:r>
      <w:r w:rsidR="009979D0" w:rsidRPr="001005B7">
        <w:rPr>
          <w:b/>
        </w:rPr>
        <w:t>:16</w:t>
      </w:r>
      <w:r w:rsidR="00F46900" w:rsidRPr="001005B7">
        <w:rPr>
          <w:b/>
        </w:rPr>
        <w:t>–</w:t>
      </w:r>
      <w:r w:rsidR="009979D0" w:rsidRPr="001005B7">
        <w:rPr>
          <w:b/>
        </w:rPr>
        <w:t>17</w:t>
      </w:r>
      <w:r w:rsidR="009979D0" w:rsidRPr="001005B7">
        <w:rPr>
          <w:bCs/>
        </w:rPr>
        <w:t xml:space="preserve"> </w:t>
      </w:r>
      <w:r w:rsidR="007E423D" w:rsidRPr="001005B7">
        <w:rPr>
          <w:bCs/>
        </w:rPr>
        <w:t xml:space="preserve">A new introduction </w:t>
      </w:r>
      <w:r w:rsidR="006A308F" w:rsidRPr="001005B7">
        <w:rPr>
          <w:bCs/>
        </w:rPr>
        <w:t>suggest</w:t>
      </w:r>
      <w:r w:rsidR="007E423D" w:rsidRPr="001005B7">
        <w:rPr>
          <w:bCs/>
        </w:rPr>
        <w:t>s that Yahweh is now making a different point</w:t>
      </w:r>
      <w:r w:rsidR="00994E88" w:rsidRPr="001005B7">
        <w:rPr>
          <w:bCs/>
        </w:rPr>
        <w:t xml:space="preserve">, </w:t>
      </w:r>
      <w:r w:rsidR="00E26528" w:rsidRPr="001005B7">
        <w:rPr>
          <w:bCs/>
        </w:rPr>
        <w:t>or</w:t>
      </w:r>
      <w:r w:rsidR="00670DE4" w:rsidRPr="001005B7">
        <w:rPr>
          <w:bCs/>
        </w:rPr>
        <w:t xml:space="preserve"> is</w:t>
      </w:r>
      <w:r w:rsidR="00011C97" w:rsidRPr="001005B7">
        <w:rPr>
          <w:bCs/>
        </w:rPr>
        <w:t xml:space="preserve"> </w:t>
      </w:r>
      <w:r w:rsidR="00E26528" w:rsidRPr="001005B7">
        <w:rPr>
          <w:bCs/>
        </w:rPr>
        <w:t xml:space="preserve">rather </w:t>
      </w:r>
      <w:r w:rsidR="005D53BE" w:rsidRPr="001005B7">
        <w:rPr>
          <w:bCs/>
        </w:rPr>
        <w:t xml:space="preserve">restating and extending </w:t>
      </w:r>
      <w:r w:rsidR="00E26528" w:rsidRPr="001005B7">
        <w:rPr>
          <w:bCs/>
        </w:rPr>
        <w:t xml:space="preserve">the point </w:t>
      </w:r>
      <w:r w:rsidR="005D53BE" w:rsidRPr="001005B7">
        <w:rPr>
          <w:bCs/>
        </w:rPr>
        <w:t xml:space="preserve">in </w:t>
      </w:r>
      <w:r w:rsidR="0042084A" w:rsidRPr="001005B7">
        <w:rPr>
          <w:bCs/>
        </w:rPr>
        <w:t>4:</w:t>
      </w:r>
      <w:r w:rsidR="005D53BE" w:rsidRPr="001005B7">
        <w:rPr>
          <w:bCs/>
        </w:rPr>
        <w:t>10</w:t>
      </w:r>
      <w:r w:rsidR="00F46900" w:rsidRPr="001005B7">
        <w:rPr>
          <w:bCs/>
        </w:rPr>
        <w:t>–</w:t>
      </w:r>
      <w:r w:rsidR="005D53BE" w:rsidRPr="001005B7">
        <w:rPr>
          <w:bCs/>
        </w:rPr>
        <w:t xml:space="preserve">11 </w:t>
      </w:r>
      <w:r w:rsidR="00E26528" w:rsidRPr="001005B7">
        <w:rPr>
          <w:bCs/>
        </w:rPr>
        <w:t>abo</w:t>
      </w:r>
      <w:r w:rsidR="000E1FE8" w:rsidRPr="001005B7">
        <w:rPr>
          <w:bCs/>
        </w:rPr>
        <w:t xml:space="preserve">ut </w:t>
      </w:r>
      <w:r w:rsidR="00670DE4" w:rsidRPr="001005B7">
        <w:rPr>
          <w:bCs/>
        </w:rPr>
        <w:t xml:space="preserve">the </w:t>
      </w:r>
      <w:r w:rsidR="000E1FE8" w:rsidRPr="001005B7">
        <w:rPr>
          <w:bCs/>
        </w:rPr>
        <w:t xml:space="preserve">rationing of </w:t>
      </w:r>
      <w:r w:rsidR="00994E88" w:rsidRPr="001005B7">
        <w:rPr>
          <w:bCs/>
        </w:rPr>
        <w:t>bread</w:t>
      </w:r>
      <w:r w:rsidR="00540B03" w:rsidRPr="001005B7">
        <w:rPr>
          <w:bCs/>
        </w:rPr>
        <w:t xml:space="preserve"> and water</w:t>
      </w:r>
      <w:r w:rsidR="00106793" w:rsidRPr="001005B7">
        <w:rPr>
          <w:bCs/>
        </w:rPr>
        <w:t>. H</w:t>
      </w:r>
      <w:r w:rsidR="00C25CA2" w:rsidRPr="001005B7">
        <w:rPr>
          <w:bCs/>
        </w:rPr>
        <w:t xml:space="preserve">e </w:t>
      </w:r>
      <w:r w:rsidR="000A1C90" w:rsidRPr="001005B7">
        <w:rPr>
          <w:bCs/>
        </w:rPr>
        <w:t>here</w:t>
      </w:r>
      <w:r w:rsidR="00C25CA2" w:rsidRPr="001005B7">
        <w:rPr>
          <w:bCs/>
        </w:rPr>
        <w:t xml:space="preserve"> </w:t>
      </w:r>
      <w:r w:rsidR="00106793" w:rsidRPr="001005B7">
        <w:rPr>
          <w:bCs/>
        </w:rPr>
        <w:t xml:space="preserve">formulates </w:t>
      </w:r>
      <w:r w:rsidR="00885151" w:rsidRPr="001005B7">
        <w:rPr>
          <w:bCs/>
        </w:rPr>
        <w:t xml:space="preserve">his threats in ways that suggest implementing </w:t>
      </w:r>
      <w:r w:rsidR="00D013B8" w:rsidRPr="001005B7">
        <w:rPr>
          <w:bCs/>
        </w:rPr>
        <w:t>warnings</w:t>
      </w:r>
      <w:r w:rsidR="002310F6" w:rsidRPr="001005B7">
        <w:rPr>
          <w:bCs/>
        </w:rPr>
        <w:t xml:space="preserve"> </w:t>
      </w:r>
      <w:r w:rsidR="00885151" w:rsidRPr="001005B7">
        <w:rPr>
          <w:bCs/>
        </w:rPr>
        <w:t xml:space="preserve">in </w:t>
      </w:r>
      <w:r w:rsidR="00464ABA" w:rsidRPr="001005B7">
        <w:rPr>
          <w:bCs/>
        </w:rPr>
        <w:t>the Torah: “</w:t>
      </w:r>
      <w:r w:rsidR="0015029B" w:rsidRPr="001005B7">
        <w:t>When I break for you the bread pole</w:t>
      </w:r>
      <w:r w:rsidR="006963AC" w:rsidRPr="001005B7">
        <w:t>,</w:t>
      </w:r>
      <w:r w:rsidR="00442CF2" w:rsidRPr="001005B7">
        <w:rPr>
          <w:rFonts w:cstheme="minorHAnsi"/>
          <w:lang w:eastAsia="en-GB"/>
        </w:rPr>
        <w:t>…</w:t>
      </w:r>
      <w:r w:rsidR="0015029B" w:rsidRPr="001005B7">
        <w:t xml:space="preserve"> they will deliver your bread again by weight</w:t>
      </w:r>
      <w:r w:rsidR="00464ABA" w:rsidRPr="001005B7">
        <w:t xml:space="preserve">” </w:t>
      </w:r>
      <w:r w:rsidR="0015029B" w:rsidRPr="001005B7">
        <w:t>(Lev 26:26)</w:t>
      </w:r>
      <w:r w:rsidR="00464ABA" w:rsidRPr="001005B7">
        <w:rPr>
          <w:bCs/>
        </w:rPr>
        <w:t xml:space="preserve">. </w:t>
      </w:r>
      <w:r w:rsidR="0078759F" w:rsidRPr="001005B7">
        <w:rPr>
          <w:bCs/>
        </w:rPr>
        <w:t xml:space="preserve">The bread </w:t>
      </w:r>
      <w:r w:rsidR="00DD6C60" w:rsidRPr="001005B7">
        <w:rPr>
          <w:bCs/>
        </w:rPr>
        <w:t>pole</w:t>
      </w:r>
      <w:r w:rsidR="008B7368" w:rsidRPr="001005B7">
        <w:rPr>
          <w:bCs/>
        </w:rPr>
        <w:t xml:space="preserve"> </w:t>
      </w:r>
      <w:r w:rsidR="0078759F" w:rsidRPr="001005B7">
        <w:rPr>
          <w:bCs/>
        </w:rPr>
        <w:t xml:space="preserve">is the </w:t>
      </w:r>
      <w:r w:rsidR="00DD6C60" w:rsidRPr="001005B7">
        <w:rPr>
          <w:bCs/>
        </w:rPr>
        <w:t>rod</w:t>
      </w:r>
      <w:r w:rsidR="0078759F" w:rsidRPr="001005B7">
        <w:rPr>
          <w:bCs/>
        </w:rPr>
        <w:t xml:space="preserve"> on which </w:t>
      </w:r>
      <w:r w:rsidR="00C7559B" w:rsidRPr="001005B7">
        <w:rPr>
          <w:bCs/>
        </w:rPr>
        <w:t xml:space="preserve">a baker hangs </w:t>
      </w:r>
      <w:r w:rsidR="0078759F" w:rsidRPr="001005B7">
        <w:rPr>
          <w:bCs/>
        </w:rPr>
        <w:t>bread rings</w:t>
      </w:r>
      <w:r w:rsidR="006963AC" w:rsidRPr="001005B7">
        <w:rPr>
          <w:bCs/>
        </w:rPr>
        <w:t>, and b</w:t>
      </w:r>
      <w:r w:rsidR="007C47FD" w:rsidRPr="001005B7">
        <w:rPr>
          <w:bCs/>
        </w:rPr>
        <w:t xml:space="preserve">reaking it is a metaphor for </w:t>
      </w:r>
      <w:r w:rsidR="00687FF3" w:rsidRPr="001005B7">
        <w:rPr>
          <w:bCs/>
        </w:rPr>
        <w:t>strik</w:t>
      </w:r>
      <w:r w:rsidR="007C47FD" w:rsidRPr="001005B7">
        <w:rPr>
          <w:bCs/>
        </w:rPr>
        <w:t xml:space="preserve">ing the </w:t>
      </w:r>
      <w:r w:rsidR="005D53BE" w:rsidRPr="001005B7">
        <w:rPr>
          <w:bCs/>
        </w:rPr>
        <w:t xml:space="preserve">city’s </w:t>
      </w:r>
      <w:r w:rsidR="007C47FD" w:rsidRPr="001005B7">
        <w:rPr>
          <w:bCs/>
        </w:rPr>
        <w:t>bread supply</w:t>
      </w:r>
      <w:r w:rsidR="005D53BE" w:rsidRPr="001005B7">
        <w:rPr>
          <w:bCs/>
        </w:rPr>
        <w:t xml:space="preserve">. </w:t>
      </w:r>
      <w:r w:rsidR="004B3B64" w:rsidRPr="001005B7">
        <w:rPr>
          <w:bCs/>
        </w:rPr>
        <w:t xml:space="preserve">There will be no bakers flourishing their sweet-smelling wares. </w:t>
      </w:r>
      <w:r w:rsidR="00922E8F" w:rsidRPr="001005B7">
        <w:rPr>
          <w:bCs/>
        </w:rPr>
        <w:t xml:space="preserve">If </w:t>
      </w:r>
      <w:r w:rsidR="00E21C66" w:rsidRPr="001005B7">
        <w:rPr>
          <w:bCs/>
        </w:rPr>
        <w:t>p</w:t>
      </w:r>
      <w:r w:rsidR="004B3B64" w:rsidRPr="001005B7">
        <w:rPr>
          <w:bCs/>
        </w:rPr>
        <w:t xml:space="preserve">eople </w:t>
      </w:r>
      <w:r w:rsidR="00363B53" w:rsidRPr="001005B7">
        <w:rPr>
          <w:bCs/>
        </w:rPr>
        <w:t>will eat</w:t>
      </w:r>
      <w:r w:rsidR="005467F9" w:rsidRPr="001005B7">
        <w:rPr>
          <w:bCs/>
        </w:rPr>
        <w:t xml:space="preserve"> bread</w:t>
      </w:r>
      <w:r w:rsidR="005467F9" w:rsidRPr="001005B7">
        <w:rPr>
          <w:bCs/>
          <w:i/>
          <w:iCs/>
        </w:rPr>
        <w:t xml:space="preserve"> </w:t>
      </w:r>
      <w:r w:rsidR="005467F9" w:rsidRPr="001005B7">
        <w:rPr>
          <w:bCs/>
        </w:rPr>
        <w:t>by</w:t>
      </w:r>
      <w:r w:rsidR="005467F9" w:rsidRPr="001005B7">
        <w:rPr>
          <w:bCs/>
          <w:i/>
          <w:iCs/>
        </w:rPr>
        <w:t xml:space="preserve"> </w:t>
      </w:r>
      <w:r w:rsidR="005467F9" w:rsidRPr="001005B7">
        <w:rPr>
          <w:bCs/>
        </w:rPr>
        <w:t xml:space="preserve">weight </w:t>
      </w:r>
      <w:r w:rsidR="00153BAC" w:rsidRPr="001005B7">
        <w:rPr>
          <w:bCs/>
        </w:rPr>
        <w:t>(</w:t>
      </w:r>
      <w:r w:rsidR="002143CA" w:rsidRPr="001005B7">
        <w:rPr>
          <w:bCs/>
        </w:rPr>
        <w:t xml:space="preserve">cf. </w:t>
      </w:r>
      <w:r w:rsidR="00AC027B" w:rsidRPr="001005B7">
        <w:rPr>
          <w:bCs/>
        </w:rPr>
        <w:t>4:</w:t>
      </w:r>
      <w:r w:rsidR="00CB1A9F" w:rsidRPr="001005B7">
        <w:rPr>
          <w:bCs/>
        </w:rPr>
        <w:t xml:space="preserve">10; </w:t>
      </w:r>
      <w:r w:rsidR="00E775BE" w:rsidRPr="001005B7">
        <w:rPr>
          <w:bCs/>
        </w:rPr>
        <w:t xml:space="preserve">also </w:t>
      </w:r>
      <w:r w:rsidR="00C61A4A" w:rsidRPr="001005B7">
        <w:rPr>
          <w:bCs/>
        </w:rPr>
        <w:t xml:space="preserve">in </w:t>
      </w:r>
      <w:r w:rsidR="00153BAC" w:rsidRPr="001005B7">
        <w:rPr>
          <w:bCs/>
        </w:rPr>
        <w:t>Lev 26:</w:t>
      </w:r>
      <w:r w:rsidR="00E775BE" w:rsidRPr="001005B7">
        <w:rPr>
          <w:bCs/>
        </w:rPr>
        <w:t xml:space="preserve">26) </w:t>
      </w:r>
      <w:r w:rsidR="005467F9" w:rsidRPr="001005B7">
        <w:rPr>
          <w:bCs/>
        </w:rPr>
        <w:t xml:space="preserve">and </w:t>
      </w:r>
      <w:r w:rsidR="001170FC" w:rsidRPr="001005B7">
        <w:rPr>
          <w:bCs/>
        </w:rPr>
        <w:t>drink</w:t>
      </w:r>
      <w:r w:rsidR="001170FC" w:rsidRPr="001005B7">
        <w:rPr>
          <w:bCs/>
          <w:i/>
          <w:iCs/>
        </w:rPr>
        <w:t xml:space="preserve"> </w:t>
      </w:r>
      <w:r w:rsidR="005467F9" w:rsidRPr="001005B7">
        <w:rPr>
          <w:bCs/>
        </w:rPr>
        <w:t>water</w:t>
      </w:r>
      <w:r w:rsidR="005467F9" w:rsidRPr="001005B7">
        <w:rPr>
          <w:bCs/>
          <w:i/>
          <w:iCs/>
        </w:rPr>
        <w:t xml:space="preserve"> </w:t>
      </w:r>
      <w:r w:rsidR="005467F9" w:rsidRPr="001005B7">
        <w:rPr>
          <w:bCs/>
        </w:rPr>
        <w:t>by</w:t>
      </w:r>
      <w:r w:rsidR="005467F9" w:rsidRPr="001005B7">
        <w:rPr>
          <w:bCs/>
          <w:i/>
          <w:iCs/>
        </w:rPr>
        <w:t xml:space="preserve"> </w:t>
      </w:r>
      <w:r w:rsidR="005467F9" w:rsidRPr="001005B7">
        <w:rPr>
          <w:bCs/>
        </w:rPr>
        <w:t>measure</w:t>
      </w:r>
      <w:r w:rsidR="00E05AED" w:rsidRPr="001005B7">
        <w:rPr>
          <w:bCs/>
        </w:rPr>
        <w:t xml:space="preserve"> </w:t>
      </w:r>
      <w:r w:rsidR="007D1B98" w:rsidRPr="001005B7">
        <w:rPr>
          <w:bCs/>
        </w:rPr>
        <w:t xml:space="preserve">(cf. </w:t>
      </w:r>
      <w:r w:rsidR="00AC027B" w:rsidRPr="001005B7">
        <w:rPr>
          <w:bCs/>
        </w:rPr>
        <w:t>4:</w:t>
      </w:r>
      <w:r w:rsidR="00747AFF" w:rsidRPr="001005B7">
        <w:rPr>
          <w:bCs/>
        </w:rPr>
        <w:t>11)</w:t>
      </w:r>
      <w:r w:rsidR="00960C1F" w:rsidRPr="001005B7">
        <w:rPr>
          <w:bCs/>
        </w:rPr>
        <w:t>,</w:t>
      </w:r>
      <w:r w:rsidR="00E05AED" w:rsidRPr="001005B7">
        <w:rPr>
          <w:bCs/>
        </w:rPr>
        <w:t xml:space="preserve"> breaking the </w:t>
      </w:r>
      <w:r w:rsidR="00DD6C60" w:rsidRPr="001005B7">
        <w:rPr>
          <w:bCs/>
        </w:rPr>
        <w:t>pole does not imply</w:t>
      </w:r>
      <w:r w:rsidR="00093ED3" w:rsidRPr="001005B7">
        <w:rPr>
          <w:bCs/>
        </w:rPr>
        <w:t xml:space="preserve"> </w:t>
      </w:r>
      <w:r w:rsidR="00DD6C60" w:rsidRPr="001005B7">
        <w:rPr>
          <w:bCs/>
        </w:rPr>
        <w:t>terminating the bread supply</w:t>
      </w:r>
      <w:r w:rsidR="00960C1F" w:rsidRPr="001005B7">
        <w:rPr>
          <w:bCs/>
        </w:rPr>
        <w:t>. I</w:t>
      </w:r>
      <w:r w:rsidR="0048017F" w:rsidRPr="001005B7">
        <w:rPr>
          <w:bCs/>
        </w:rPr>
        <w:t xml:space="preserve">t </w:t>
      </w:r>
      <w:r w:rsidR="00DD6C60" w:rsidRPr="001005B7">
        <w:rPr>
          <w:bCs/>
        </w:rPr>
        <w:t xml:space="preserve">does </w:t>
      </w:r>
      <w:r w:rsidR="00031115" w:rsidRPr="001005B7">
        <w:rPr>
          <w:bCs/>
        </w:rPr>
        <w:t>suggest</w:t>
      </w:r>
      <w:r w:rsidR="005D209B" w:rsidRPr="001005B7">
        <w:rPr>
          <w:bCs/>
        </w:rPr>
        <w:t xml:space="preserve"> </w:t>
      </w:r>
      <w:r w:rsidR="00B44000" w:rsidRPr="001005B7">
        <w:rPr>
          <w:bCs/>
        </w:rPr>
        <w:t>troubling the supply</w:t>
      </w:r>
      <w:r w:rsidR="00752B6C" w:rsidRPr="001005B7">
        <w:rPr>
          <w:bCs/>
        </w:rPr>
        <w:t xml:space="preserve">. </w:t>
      </w:r>
      <w:r w:rsidR="00E21C66" w:rsidRPr="001005B7">
        <w:rPr>
          <w:bCs/>
        </w:rPr>
        <w:t xml:space="preserve">Lev 26 makes </w:t>
      </w:r>
      <w:r w:rsidR="009E728F" w:rsidRPr="001005B7">
        <w:rPr>
          <w:bCs/>
        </w:rPr>
        <w:t>no reference to water</w:t>
      </w:r>
      <w:r w:rsidR="00C4322B" w:rsidRPr="001005B7">
        <w:rPr>
          <w:bCs/>
        </w:rPr>
        <w:t xml:space="preserve">, so Yahweh is warning of something worse than the </w:t>
      </w:r>
      <w:r w:rsidR="003E2A1C" w:rsidRPr="001005B7">
        <w:rPr>
          <w:bCs/>
        </w:rPr>
        <w:t xml:space="preserve">Torah’s </w:t>
      </w:r>
      <w:r w:rsidR="00C4322B" w:rsidRPr="001005B7">
        <w:rPr>
          <w:bCs/>
        </w:rPr>
        <w:t xml:space="preserve">threats. </w:t>
      </w:r>
      <w:r w:rsidR="00992CAE" w:rsidRPr="001005B7">
        <w:rPr>
          <w:bCs/>
        </w:rPr>
        <w:t>Further,</w:t>
      </w:r>
      <w:r w:rsidR="00697553" w:rsidRPr="001005B7">
        <w:rPr>
          <w:bCs/>
        </w:rPr>
        <w:t xml:space="preserve"> what people </w:t>
      </w:r>
      <w:r w:rsidR="00403DFC" w:rsidRPr="001005B7">
        <w:rPr>
          <w:bCs/>
        </w:rPr>
        <w:t xml:space="preserve">have </w:t>
      </w:r>
      <w:r w:rsidR="00DB0671" w:rsidRPr="001005B7">
        <w:rPr>
          <w:bCs/>
        </w:rPr>
        <w:t>for food and drink</w:t>
      </w:r>
      <w:r w:rsidR="00621193" w:rsidRPr="001005B7">
        <w:rPr>
          <w:bCs/>
        </w:rPr>
        <w:t>, they</w:t>
      </w:r>
      <w:r w:rsidR="00697553" w:rsidRPr="001005B7">
        <w:rPr>
          <w:bCs/>
        </w:rPr>
        <w:t xml:space="preserve"> </w:t>
      </w:r>
      <w:r w:rsidR="00403DFC" w:rsidRPr="001005B7">
        <w:rPr>
          <w:bCs/>
        </w:rPr>
        <w:t xml:space="preserve">will </w:t>
      </w:r>
      <w:r w:rsidR="007A54CE" w:rsidRPr="001005B7">
        <w:rPr>
          <w:bCs/>
        </w:rPr>
        <w:t>consume</w:t>
      </w:r>
      <w:r w:rsidR="00697553" w:rsidRPr="001005B7">
        <w:rPr>
          <w:bCs/>
        </w:rPr>
        <w:t xml:space="preserve"> with worry and</w:t>
      </w:r>
      <w:r w:rsidR="005203F3" w:rsidRPr="001005B7">
        <w:rPr>
          <w:bCs/>
        </w:rPr>
        <w:t xml:space="preserve"> </w:t>
      </w:r>
      <w:r w:rsidR="00697553" w:rsidRPr="001005B7">
        <w:rPr>
          <w:bCs/>
        </w:rPr>
        <w:t>desolation</w:t>
      </w:r>
      <w:r w:rsidR="009C35D6" w:rsidRPr="001005B7">
        <w:rPr>
          <w:bCs/>
          <w:i/>
          <w:iCs/>
        </w:rPr>
        <w:t xml:space="preserve"> </w:t>
      </w:r>
      <w:r w:rsidR="009C35D6" w:rsidRPr="001005B7">
        <w:rPr>
          <w:bCs/>
        </w:rPr>
        <w:t>(</w:t>
      </w:r>
      <w:r w:rsidR="006250BB" w:rsidRPr="001005B7">
        <w:rPr>
          <w:rFonts w:cstheme="minorHAnsi"/>
          <w:b/>
          <w:rtl/>
          <w:lang w:bidi="he-IL"/>
        </w:rPr>
        <w:t>שִׁמּ</w:t>
      </w:r>
      <w:r w:rsidR="00753148" w:rsidRPr="001005B7">
        <w:rPr>
          <w:rFonts w:cstheme="minorHAnsi"/>
          <w:b/>
          <w:rtl/>
          <w:lang w:bidi="he-IL"/>
        </w:rPr>
        <w:t>ָמו</w:t>
      </w:r>
      <w:r w:rsidR="00762F64" w:rsidRPr="001005B7">
        <w:rPr>
          <w:rFonts w:cstheme="minorHAnsi"/>
          <w:b/>
          <w:rtl/>
          <w:lang w:bidi="he-IL"/>
        </w:rPr>
        <w:t>ׄן</w:t>
      </w:r>
      <w:r w:rsidR="00FD7241" w:rsidRPr="001005B7">
        <w:rPr>
          <w:rFonts w:cstheme="minorHAnsi"/>
          <w:bCs/>
        </w:rPr>
        <w:t>;</w:t>
      </w:r>
      <w:r w:rsidR="00FD7241" w:rsidRPr="001005B7">
        <w:rPr>
          <w:rFonts w:cstheme="minorHAnsi"/>
          <w:bCs/>
          <w:i/>
          <w:iCs/>
        </w:rPr>
        <w:t xml:space="preserve"> </w:t>
      </w:r>
      <w:r w:rsidR="00CD5333" w:rsidRPr="001005B7">
        <w:rPr>
          <w:bCs/>
        </w:rPr>
        <w:t>Lev 26:</w:t>
      </w:r>
      <w:r w:rsidR="00714170" w:rsidRPr="001005B7">
        <w:rPr>
          <w:bCs/>
        </w:rPr>
        <w:t>33</w:t>
      </w:r>
      <w:r w:rsidR="00523444" w:rsidRPr="001005B7">
        <w:rPr>
          <w:bCs/>
        </w:rPr>
        <w:t xml:space="preserve"> refer</w:t>
      </w:r>
      <w:r w:rsidR="00931849" w:rsidRPr="001005B7">
        <w:rPr>
          <w:bCs/>
        </w:rPr>
        <w:t>s</w:t>
      </w:r>
      <w:r w:rsidR="00523444" w:rsidRPr="001005B7">
        <w:rPr>
          <w:bCs/>
        </w:rPr>
        <w:t xml:space="preserve"> to </w:t>
      </w:r>
      <w:r w:rsidR="00FD7241" w:rsidRPr="001005B7">
        <w:rPr>
          <w:bCs/>
        </w:rPr>
        <w:t>the country becoming a</w:t>
      </w:r>
      <w:r w:rsidR="00FA31F0" w:rsidRPr="001005B7">
        <w:rPr>
          <w:bCs/>
        </w:rPr>
        <w:t xml:space="preserve"> </w:t>
      </w:r>
      <w:r w:rsidR="00FA31F0" w:rsidRPr="001005B7">
        <w:rPr>
          <w:rFonts w:cstheme="minorHAnsi"/>
          <w:b/>
          <w:rtl/>
          <w:lang w:bidi="he-IL"/>
        </w:rPr>
        <w:t>שׁ</w:t>
      </w:r>
      <w:r w:rsidR="00732CA6" w:rsidRPr="001005B7">
        <w:rPr>
          <w:rFonts w:cstheme="minorHAnsi"/>
          <w:b/>
          <w:rtl/>
          <w:lang w:bidi="he-IL"/>
        </w:rPr>
        <w:t>ְמָמָה</w:t>
      </w:r>
      <w:r w:rsidR="00EC0C80" w:rsidRPr="001005B7">
        <w:rPr>
          <w:rFonts w:cstheme="minorHAnsi"/>
          <w:bCs/>
        </w:rPr>
        <w:t>)</w:t>
      </w:r>
      <w:r w:rsidR="004A30C3" w:rsidRPr="001005B7">
        <w:rPr>
          <w:bCs/>
        </w:rPr>
        <w:t xml:space="preserve"> as they contemplate </w:t>
      </w:r>
      <w:r w:rsidR="00FC0B70" w:rsidRPr="001005B7">
        <w:rPr>
          <w:bCs/>
        </w:rPr>
        <w:t>eventually running out</w:t>
      </w:r>
      <w:r w:rsidR="004A30C3" w:rsidRPr="001005B7">
        <w:rPr>
          <w:bCs/>
        </w:rPr>
        <w:t xml:space="preserve"> of resources and </w:t>
      </w:r>
      <w:r w:rsidR="002232B6" w:rsidRPr="001005B7">
        <w:rPr>
          <w:bCs/>
        </w:rPr>
        <w:t xml:space="preserve">experiencing </w:t>
      </w:r>
      <w:r w:rsidR="004A30C3" w:rsidRPr="001005B7">
        <w:rPr>
          <w:bCs/>
        </w:rPr>
        <w:t xml:space="preserve">the </w:t>
      </w:r>
      <w:r w:rsidR="00E14170" w:rsidRPr="001005B7">
        <w:rPr>
          <w:bCs/>
        </w:rPr>
        <w:t xml:space="preserve">city’s </w:t>
      </w:r>
      <w:r w:rsidR="004A30C3" w:rsidRPr="001005B7">
        <w:rPr>
          <w:bCs/>
        </w:rPr>
        <w:t>fall</w:t>
      </w:r>
      <w:r w:rsidR="00E14170" w:rsidRPr="001005B7">
        <w:rPr>
          <w:bCs/>
        </w:rPr>
        <w:t xml:space="preserve">. </w:t>
      </w:r>
      <w:r w:rsidR="00317E72" w:rsidRPr="001005B7">
        <w:rPr>
          <w:bCs/>
        </w:rPr>
        <w:t xml:space="preserve">That </w:t>
      </w:r>
      <w:r w:rsidR="002232B6" w:rsidRPr="001005B7">
        <w:rPr>
          <w:bCs/>
        </w:rPr>
        <w:t>w</w:t>
      </w:r>
      <w:r w:rsidR="00EC0C80" w:rsidRPr="001005B7">
        <w:rPr>
          <w:bCs/>
        </w:rPr>
        <w:t>o</w:t>
      </w:r>
      <w:r w:rsidR="002232B6" w:rsidRPr="001005B7">
        <w:rPr>
          <w:bCs/>
        </w:rPr>
        <w:t xml:space="preserve">rry and desolation </w:t>
      </w:r>
      <w:r w:rsidR="00317E72" w:rsidRPr="001005B7">
        <w:rPr>
          <w:bCs/>
        </w:rPr>
        <w:t>is Yahweh’s aim.</w:t>
      </w:r>
      <w:r w:rsidR="00702AED" w:rsidRPr="001005B7">
        <w:rPr>
          <w:bCs/>
        </w:rPr>
        <w:t xml:space="preserve"> </w:t>
      </w:r>
      <w:r w:rsidR="00CF460C" w:rsidRPr="001005B7">
        <w:rPr>
          <w:bCs/>
        </w:rPr>
        <w:t>“</w:t>
      </w:r>
      <w:r w:rsidR="00702AED" w:rsidRPr="001005B7">
        <w:rPr>
          <w:bCs/>
        </w:rPr>
        <w:t>Waste</w:t>
      </w:r>
      <w:r w:rsidR="00702AED" w:rsidRPr="001005B7">
        <w:rPr>
          <w:bCs/>
          <w:i/>
          <w:iCs/>
        </w:rPr>
        <w:t xml:space="preserve"> </w:t>
      </w:r>
      <w:r w:rsidR="00702AED" w:rsidRPr="001005B7">
        <w:rPr>
          <w:bCs/>
        </w:rPr>
        <w:t>away</w:t>
      </w:r>
      <w:r w:rsidR="00CF460C" w:rsidRPr="001005B7">
        <w:rPr>
          <w:bCs/>
        </w:rPr>
        <w:t>”</w:t>
      </w:r>
      <w:r w:rsidR="00D9157D" w:rsidRPr="001005B7">
        <w:rPr>
          <w:bCs/>
        </w:rPr>
        <w:t xml:space="preserve"> </w:t>
      </w:r>
      <w:r w:rsidR="00E143B2" w:rsidRPr="001005B7">
        <w:rPr>
          <w:bCs/>
        </w:rPr>
        <w:t>(</w:t>
      </w:r>
      <w:r w:rsidR="00232008" w:rsidRPr="001005B7">
        <w:rPr>
          <w:rFonts w:cstheme="minorHAnsi"/>
          <w:b/>
          <w:rtl/>
          <w:lang w:bidi="he-IL"/>
        </w:rPr>
        <w:t>מָ</w:t>
      </w:r>
      <w:r w:rsidR="00DA2DE0" w:rsidRPr="001005B7">
        <w:rPr>
          <w:rFonts w:cstheme="minorHAnsi"/>
          <w:b/>
          <w:rtl/>
          <w:lang w:bidi="he-IL"/>
        </w:rPr>
        <w:t>קַק</w:t>
      </w:r>
      <w:r w:rsidR="00983BD8" w:rsidRPr="001005B7">
        <w:rPr>
          <w:bCs/>
        </w:rPr>
        <w:t>)</w:t>
      </w:r>
      <w:r w:rsidR="00983BD8" w:rsidRPr="001005B7">
        <w:rPr>
          <w:bCs/>
          <w:i/>
          <w:iCs/>
        </w:rPr>
        <w:t xml:space="preserve"> </w:t>
      </w:r>
      <w:r w:rsidR="005966C6" w:rsidRPr="001005B7">
        <w:rPr>
          <w:bCs/>
        </w:rPr>
        <w:t xml:space="preserve">can </w:t>
      </w:r>
      <w:r w:rsidR="00D9157D" w:rsidRPr="001005B7">
        <w:rPr>
          <w:bCs/>
        </w:rPr>
        <w:t>usefully</w:t>
      </w:r>
      <w:r w:rsidR="005966C6" w:rsidRPr="001005B7">
        <w:rPr>
          <w:bCs/>
        </w:rPr>
        <w:t xml:space="preserve"> refer both </w:t>
      </w:r>
      <w:r w:rsidR="00A74B7C" w:rsidRPr="001005B7">
        <w:rPr>
          <w:bCs/>
        </w:rPr>
        <w:t xml:space="preserve">to </w:t>
      </w:r>
      <w:r w:rsidR="003D6F19" w:rsidRPr="001005B7">
        <w:rPr>
          <w:bCs/>
        </w:rPr>
        <w:t>emotional</w:t>
      </w:r>
      <w:r w:rsidR="00A74B7C" w:rsidRPr="001005B7">
        <w:rPr>
          <w:bCs/>
        </w:rPr>
        <w:t xml:space="preserve"> distress</w:t>
      </w:r>
      <w:r w:rsidR="003D6F19" w:rsidRPr="001005B7">
        <w:rPr>
          <w:bCs/>
        </w:rPr>
        <w:t xml:space="preserve"> (Lev 26:39; cf. Ezek 24:23; 33:10)</w:t>
      </w:r>
      <w:r w:rsidR="00A74B7C" w:rsidRPr="001005B7">
        <w:rPr>
          <w:bCs/>
        </w:rPr>
        <w:t xml:space="preserve"> and</w:t>
      </w:r>
      <w:r w:rsidR="003D6F19" w:rsidRPr="001005B7">
        <w:rPr>
          <w:bCs/>
        </w:rPr>
        <w:t xml:space="preserve"> </w:t>
      </w:r>
      <w:r w:rsidR="005966C6" w:rsidRPr="001005B7">
        <w:rPr>
          <w:bCs/>
        </w:rPr>
        <w:t>physical d</w:t>
      </w:r>
      <w:r w:rsidR="00A74B7C" w:rsidRPr="001005B7">
        <w:rPr>
          <w:bCs/>
        </w:rPr>
        <w:t>istress</w:t>
      </w:r>
      <w:r w:rsidR="00E143B2" w:rsidRPr="001005B7">
        <w:rPr>
          <w:bCs/>
        </w:rPr>
        <w:t xml:space="preserve"> </w:t>
      </w:r>
      <w:r w:rsidR="009C64FF" w:rsidRPr="001005B7">
        <w:rPr>
          <w:bCs/>
        </w:rPr>
        <w:t>(</w:t>
      </w:r>
      <w:proofErr w:type="spellStart"/>
      <w:r w:rsidR="009C64FF" w:rsidRPr="001005B7">
        <w:rPr>
          <w:bCs/>
        </w:rPr>
        <w:t>Ps</w:t>
      </w:r>
      <w:r w:rsidR="009872C0" w:rsidRPr="001005B7">
        <w:rPr>
          <w:bCs/>
        </w:rPr>
        <w:t>a</w:t>
      </w:r>
      <w:proofErr w:type="spellEnd"/>
      <w:r w:rsidR="00B53D27" w:rsidRPr="001005B7">
        <w:rPr>
          <w:bCs/>
        </w:rPr>
        <w:t xml:space="preserve"> </w:t>
      </w:r>
      <w:r w:rsidR="009C64FF" w:rsidRPr="001005B7">
        <w:rPr>
          <w:bCs/>
        </w:rPr>
        <w:t>38:5 [6]; Zech 14:12)</w:t>
      </w:r>
      <w:r w:rsidR="00790E61" w:rsidRPr="001005B7">
        <w:rPr>
          <w:bCs/>
        </w:rPr>
        <w:t>.</w:t>
      </w:r>
      <w:r w:rsidR="009C64FF" w:rsidRPr="001005B7">
        <w:rPr>
          <w:bCs/>
        </w:rPr>
        <w:t xml:space="preserve"> </w:t>
      </w:r>
      <w:r w:rsidR="00702AED" w:rsidRPr="001005B7">
        <w:rPr>
          <w:bCs/>
        </w:rPr>
        <w:t xml:space="preserve">And </w:t>
      </w:r>
      <w:r w:rsidR="00CF460C" w:rsidRPr="001005B7">
        <w:rPr>
          <w:bCs/>
        </w:rPr>
        <w:t>“</w:t>
      </w:r>
      <w:r w:rsidR="00702AED" w:rsidRPr="001005B7">
        <w:rPr>
          <w:bCs/>
        </w:rPr>
        <w:t>in</w:t>
      </w:r>
      <w:r w:rsidR="00702AED" w:rsidRPr="001005B7">
        <w:rPr>
          <w:bCs/>
          <w:i/>
          <w:iCs/>
        </w:rPr>
        <w:t xml:space="preserve"> </w:t>
      </w:r>
      <w:r w:rsidR="001A3A03" w:rsidRPr="001005B7">
        <w:rPr>
          <w:bCs/>
        </w:rPr>
        <w:t>their</w:t>
      </w:r>
      <w:r w:rsidR="001A3A03" w:rsidRPr="001005B7">
        <w:rPr>
          <w:bCs/>
          <w:i/>
          <w:iCs/>
        </w:rPr>
        <w:t xml:space="preserve"> </w:t>
      </w:r>
      <w:r w:rsidR="001A3A03" w:rsidRPr="001005B7">
        <w:rPr>
          <w:bCs/>
        </w:rPr>
        <w:t>waywardness</w:t>
      </w:r>
      <w:r w:rsidR="00CF460C" w:rsidRPr="001005B7">
        <w:rPr>
          <w:bCs/>
        </w:rPr>
        <w:t>”</w:t>
      </w:r>
      <w:r w:rsidR="001A3A03" w:rsidRPr="001005B7">
        <w:rPr>
          <w:bCs/>
        </w:rPr>
        <w:t xml:space="preserve"> can usefully </w:t>
      </w:r>
      <w:r w:rsidR="00790E61" w:rsidRPr="001005B7">
        <w:rPr>
          <w:bCs/>
        </w:rPr>
        <w:t>re</w:t>
      </w:r>
      <w:r w:rsidR="001A3A03" w:rsidRPr="001005B7">
        <w:rPr>
          <w:bCs/>
        </w:rPr>
        <w:t>fer both to people</w:t>
      </w:r>
      <w:r w:rsidR="00B952AB" w:rsidRPr="001005B7">
        <w:rPr>
          <w:bCs/>
        </w:rPr>
        <w:t>’s</w:t>
      </w:r>
      <w:r w:rsidR="001A3A03" w:rsidRPr="001005B7">
        <w:rPr>
          <w:bCs/>
        </w:rPr>
        <w:t xml:space="preserve"> carrying</w:t>
      </w:r>
      <w:r w:rsidR="001A3A03" w:rsidRPr="001005B7">
        <w:rPr>
          <w:bCs/>
          <w:i/>
          <w:iCs/>
        </w:rPr>
        <w:t xml:space="preserve"> </w:t>
      </w:r>
      <w:r w:rsidR="001A3A03" w:rsidRPr="001005B7">
        <w:rPr>
          <w:bCs/>
        </w:rPr>
        <w:t>their</w:t>
      </w:r>
      <w:r w:rsidR="001A3A03" w:rsidRPr="001005B7">
        <w:rPr>
          <w:bCs/>
          <w:i/>
          <w:iCs/>
        </w:rPr>
        <w:t xml:space="preserve"> </w:t>
      </w:r>
      <w:r w:rsidR="001A3A03" w:rsidRPr="001005B7">
        <w:rPr>
          <w:bCs/>
        </w:rPr>
        <w:t xml:space="preserve">waywardness, </w:t>
      </w:r>
      <w:r w:rsidR="00401BF0" w:rsidRPr="001005B7">
        <w:rPr>
          <w:bCs/>
        </w:rPr>
        <w:t>as</w:t>
      </w:r>
      <w:r w:rsidR="001A3A03" w:rsidRPr="001005B7">
        <w:rPr>
          <w:bCs/>
        </w:rPr>
        <w:t xml:space="preserve"> Ezekiel </w:t>
      </w:r>
      <w:r w:rsidR="00401BF0" w:rsidRPr="001005B7">
        <w:rPr>
          <w:bCs/>
        </w:rPr>
        <w:t xml:space="preserve">will </w:t>
      </w:r>
      <w:r w:rsidR="001A3A03" w:rsidRPr="001005B7">
        <w:rPr>
          <w:bCs/>
        </w:rPr>
        <w:t xml:space="preserve">in symbolism, </w:t>
      </w:r>
      <w:r w:rsidR="000D4ED4" w:rsidRPr="001005B7">
        <w:rPr>
          <w:bCs/>
        </w:rPr>
        <w:t xml:space="preserve">and </w:t>
      </w:r>
      <w:r w:rsidR="002358A9" w:rsidRPr="001005B7">
        <w:rPr>
          <w:bCs/>
        </w:rPr>
        <w:t xml:space="preserve">being sick </w:t>
      </w:r>
      <w:r w:rsidR="00773401" w:rsidRPr="001005B7">
        <w:rPr>
          <w:bCs/>
        </w:rPr>
        <w:t>over their waywardness</w:t>
      </w:r>
      <w:r w:rsidR="002F0767" w:rsidRPr="001005B7">
        <w:rPr>
          <w:bCs/>
        </w:rPr>
        <w:t xml:space="preserve">. </w:t>
      </w:r>
      <w:r w:rsidR="00BA40E4" w:rsidRPr="001005B7">
        <w:rPr>
          <w:bCs/>
        </w:rPr>
        <w:t>T</w:t>
      </w:r>
      <w:r w:rsidR="00746848" w:rsidRPr="001005B7">
        <w:rPr>
          <w:bCs/>
        </w:rPr>
        <w:t>hey will</w:t>
      </w:r>
      <w:r w:rsidR="00357AA5" w:rsidRPr="001005B7">
        <w:rPr>
          <w:bCs/>
        </w:rPr>
        <w:t xml:space="preserve"> indeed waste away </w:t>
      </w:r>
      <w:r w:rsidR="00746848" w:rsidRPr="001005B7">
        <w:rPr>
          <w:bCs/>
        </w:rPr>
        <w:t>in exile</w:t>
      </w:r>
      <w:r w:rsidR="00773401" w:rsidRPr="001005B7">
        <w:rPr>
          <w:bCs/>
        </w:rPr>
        <w:t xml:space="preserve"> (Lev 26:39)</w:t>
      </w:r>
      <w:r w:rsidR="00A24BEA" w:rsidRPr="001005B7">
        <w:rPr>
          <w:bCs/>
        </w:rPr>
        <w:t xml:space="preserve">, which </w:t>
      </w:r>
      <w:r w:rsidR="006F7326" w:rsidRPr="001005B7">
        <w:rPr>
          <w:bCs/>
        </w:rPr>
        <w:t>could</w:t>
      </w:r>
      <w:r w:rsidR="00A24BEA" w:rsidRPr="001005B7">
        <w:rPr>
          <w:bCs/>
        </w:rPr>
        <w:t xml:space="preserve"> </w:t>
      </w:r>
      <w:r w:rsidR="00556FF9" w:rsidRPr="001005B7">
        <w:rPr>
          <w:bCs/>
        </w:rPr>
        <w:t>lead to their confessing their waywardness</w:t>
      </w:r>
      <w:r w:rsidR="000E46B1" w:rsidRPr="001005B7">
        <w:rPr>
          <w:bCs/>
        </w:rPr>
        <w:t>,</w:t>
      </w:r>
      <w:r w:rsidR="008D4B6A" w:rsidRPr="001005B7">
        <w:rPr>
          <w:bCs/>
        </w:rPr>
        <w:t xml:space="preserve"> humbling themselves</w:t>
      </w:r>
      <w:r w:rsidR="000E46B1" w:rsidRPr="001005B7">
        <w:rPr>
          <w:bCs/>
        </w:rPr>
        <w:t>,</w:t>
      </w:r>
      <w:r w:rsidR="008D4B6A" w:rsidRPr="001005B7">
        <w:rPr>
          <w:bCs/>
        </w:rPr>
        <w:t xml:space="preserve"> </w:t>
      </w:r>
      <w:r w:rsidR="00261082" w:rsidRPr="001005B7">
        <w:rPr>
          <w:bCs/>
        </w:rPr>
        <w:t>and making amends</w:t>
      </w:r>
      <w:r w:rsidR="00DA3A9D" w:rsidRPr="001005B7">
        <w:rPr>
          <w:bCs/>
        </w:rPr>
        <w:t xml:space="preserve">, and </w:t>
      </w:r>
      <w:r w:rsidR="006F7326" w:rsidRPr="001005B7">
        <w:rPr>
          <w:bCs/>
        </w:rPr>
        <w:t xml:space="preserve">to </w:t>
      </w:r>
      <w:r w:rsidR="00DA3A9D" w:rsidRPr="001005B7">
        <w:rPr>
          <w:bCs/>
        </w:rPr>
        <w:t xml:space="preserve">Yahweh’s being mindful of his covenant </w:t>
      </w:r>
      <w:r w:rsidR="00BA40E4" w:rsidRPr="001005B7">
        <w:rPr>
          <w:bCs/>
        </w:rPr>
        <w:t>with their ancestors</w:t>
      </w:r>
      <w:r w:rsidR="00071AB8" w:rsidRPr="001005B7">
        <w:rPr>
          <w:rFonts w:cstheme="minorHAnsi"/>
          <w:lang w:eastAsia="en-GB"/>
        </w:rPr>
        <w:t>…</w:t>
      </w:r>
      <w:r w:rsidR="00261082" w:rsidRPr="001005B7">
        <w:rPr>
          <w:bCs/>
        </w:rPr>
        <w:t xml:space="preserve"> (Lev 26:</w:t>
      </w:r>
      <w:r w:rsidR="00DA3A9D" w:rsidRPr="001005B7">
        <w:rPr>
          <w:bCs/>
        </w:rPr>
        <w:t>40</w:t>
      </w:r>
      <w:r w:rsidR="00F46900" w:rsidRPr="001005B7">
        <w:rPr>
          <w:bCs/>
        </w:rPr>
        <w:t>–</w:t>
      </w:r>
      <w:r w:rsidR="00DA3A9D" w:rsidRPr="001005B7">
        <w:rPr>
          <w:bCs/>
        </w:rPr>
        <w:t>45)</w:t>
      </w:r>
      <w:r w:rsidR="006F7326" w:rsidRPr="001005B7">
        <w:rPr>
          <w:bCs/>
        </w:rPr>
        <w:t>. But Yahweh makes no reference to that possibility here</w:t>
      </w:r>
      <w:r w:rsidR="003B6D58" w:rsidRPr="001005B7">
        <w:rPr>
          <w:bCs/>
        </w:rPr>
        <w:t xml:space="preserve"> </w:t>
      </w:r>
      <w:r w:rsidR="00281886" w:rsidRPr="001005B7">
        <w:rPr>
          <w:bCs/>
        </w:rPr>
        <w:t>(</w:t>
      </w:r>
      <w:r w:rsidR="003B6D58" w:rsidRPr="001005B7">
        <w:rPr>
          <w:bCs/>
        </w:rPr>
        <w:t xml:space="preserve">he does in a </w:t>
      </w:r>
      <w:r w:rsidR="00145DE1" w:rsidRPr="001005B7">
        <w:rPr>
          <w:bCs/>
        </w:rPr>
        <w:t xml:space="preserve">rather </w:t>
      </w:r>
      <w:r w:rsidR="003B6D58" w:rsidRPr="001005B7">
        <w:rPr>
          <w:bCs/>
        </w:rPr>
        <w:t>sardonic way in Ezek 16</w:t>
      </w:r>
      <w:r w:rsidR="00D57BD8" w:rsidRPr="001005B7">
        <w:rPr>
          <w:bCs/>
        </w:rPr>
        <w:t>:59</w:t>
      </w:r>
      <w:r w:rsidR="00F46900" w:rsidRPr="001005B7">
        <w:rPr>
          <w:bCs/>
        </w:rPr>
        <w:t>–</w:t>
      </w:r>
      <w:r w:rsidR="00D57BD8" w:rsidRPr="001005B7">
        <w:rPr>
          <w:bCs/>
        </w:rPr>
        <w:t>63</w:t>
      </w:r>
      <w:r w:rsidR="003B6D58" w:rsidRPr="001005B7">
        <w:rPr>
          <w:bCs/>
        </w:rPr>
        <w:t>)</w:t>
      </w:r>
      <w:r w:rsidR="006F7326" w:rsidRPr="001005B7">
        <w:rPr>
          <w:bCs/>
        </w:rPr>
        <w:t>.</w:t>
      </w:r>
    </w:p>
    <w:p w14:paraId="23B5C829" w14:textId="49F6E69F" w:rsidR="006A5C11" w:rsidRPr="001005B7" w:rsidRDefault="009D363B" w:rsidP="00A22D66">
      <w:pPr>
        <w:rPr>
          <w:bCs/>
        </w:rPr>
      </w:pPr>
      <w:r w:rsidRPr="001005B7">
        <w:rPr>
          <w:b/>
        </w:rPr>
        <w:t>5:1</w:t>
      </w:r>
      <w:r w:rsidR="00F46900" w:rsidRPr="001005B7">
        <w:rPr>
          <w:b/>
        </w:rPr>
        <w:t>–</w:t>
      </w:r>
      <w:r w:rsidR="00647F8A" w:rsidRPr="001005B7">
        <w:rPr>
          <w:b/>
        </w:rPr>
        <w:t>2</w:t>
      </w:r>
      <w:r w:rsidRPr="001005B7">
        <w:rPr>
          <w:bCs/>
        </w:rPr>
        <w:t xml:space="preserve"> </w:t>
      </w:r>
      <w:r w:rsidR="009A1B47" w:rsidRPr="001005B7">
        <w:rPr>
          <w:bCs/>
        </w:rPr>
        <w:t xml:space="preserve">Yahweh moves to a further </w:t>
      </w:r>
      <w:r w:rsidR="007E232A" w:rsidRPr="001005B7">
        <w:rPr>
          <w:bCs/>
        </w:rPr>
        <w:t>instruction relating</w:t>
      </w:r>
      <w:r w:rsidR="009A1B47" w:rsidRPr="001005B7">
        <w:rPr>
          <w:bCs/>
        </w:rPr>
        <w:t xml:space="preserve"> to the city’s </w:t>
      </w:r>
      <w:r w:rsidR="00642A89" w:rsidRPr="001005B7">
        <w:rPr>
          <w:bCs/>
        </w:rPr>
        <w:t>sieg</w:t>
      </w:r>
      <w:r w:rsidR="008C5940" w:rsidRPr="001005B7">
        <w:rPr>
          <w:bCs/>
        </w:rPr>
        <w:t>e</w:t>
      </w:r>
      <w:r w:rsidR="00724273" w:rsidRPr="001005B7">
        <w:rPr>
          <w:bCs/>
        </w:rPr>
        <w:t xml:space="preserve"> and</w:t>
      </w:r>
      <w:r w:rsidR="009A1B47" w:rsidRPr="001005B7">
        <w:rPr>
          <w:bCs/>
        </w:rPr>
        <w:t xml:space="preserve"> fall</w:t>
      </w:r>
      <w:r w:rsidR="00724273" w:rsidRPr="001005B7">
        <w:rPr>
          <w:bCs/>
        </w:rPr>
        <w:t>,</w:t>
      </w:r>
      <w:r w:rsidR="009A1B47" w:rsidRPr="001005B7">
        <w:rPr>
          <w:bCs/>
        </w:rPr>
        <w:t xml:space="preserve"> and</w:t>
      </w:r>
      <w:r w:rsidR="00724273" w:rsidRPr="001005B7">
        <w:rPr>
          <w:bCs/>
        </w:rPr>
        <w:t xml:space="preserve"> the</w:t>
      </w:r>
      <w:r w:rsidR="00B703AC" w:rsidRPr="001005B7">
        <w:rPr>
          <w:bCs/>
        </w:rPr>
        <w:t xml:space="preserve"> aftermath. </w:t>
      </w:r>
      <w:r w:rsidR="00741835" w:rsidRPr="001005B7">
        <w:rPr>
          <w:bCs/>
        </w:rPr>
        <w:t>Its</w:t>
      </w:r>
      <w:r w:rsidR="00975ED6" w:rsidRPr="001005B7">
        <w:rPr>
          <w:bCs/>
        </w:rPr>
        <w:t xml:space="preserve"> presupposition is that a man </w:t>
      </w:r>
      <w:r w:rsidR="00CA5D5B" w:rsidRPr="001005B7">
        <w:rPr>
          <w:bCs/>
        </w:rPr>
        <w:t>normally</w:t>
      </w:r>
      <w:r w:rsidR="00975ED6" w:rsidRPr="001005B7">
        <w:rPr>
          <w:bCs/>
        </w:rPr>
        <w:t xml:space="preserve"> lets his hair and beard grow long</w:t>
      </w:r>
      <w:r w:rsidR="00CA5D5B" w:rsidRPr="001005B7">
        <w:rPr>
          <w:bCs/>
        </w:rPr>
        <w:t>.</w:t>
      </w:r>
      <w:r w:rsidR="00011C97" w:rsidRPr="001005B7">
        <w:rPr>
          <w:bCs/>
        </w:rPr>
        <w:t xml:space="preserve"> </w:t>
      </w:r>
      <w:r w:rsidR="00CA5D5B" w:rsidRPr="001005B7">
        <w:rPr>
          <w:bCs/>
        </w:rPr>
        <w:t>If it is cut for some reason</w:t>
      </w:r>
      <w:r w:rsidR="006D2EC5" w:rsidRPr="001005B7">
        <w:rPr>
          <w:bCs/>
        </w:rPr>
        <w:t xml:space="preserve"> (</w:t>
      </w:r>
      <w:r w:rsidR="003B118E" w:rsidRPr="001005B7">
        <w:rPr>
          <w:bCs/>
        </w:rPr>
        <w:t>perhaps as</w:t>
      </w:r>
      <w:r w:rsidR="006D2EC5" w:rsidRPr="001005B7">
        <w:rPr>
          <w:bCs/>
        </w:rPr>
        <w:t xml:space="preserve"> a sign of mourning, though there is no pointer to this </w:t>
      </w:r>
      <w:r w:rsidR="00EB7635" w:rsidRPr="001005B7">
        <w:rPr>
          <w:bCs/>
        </w:rPr>
        <w:t>idea</w:t>
      </w:r>
      <w:r w:rsidR="006D2EC5" w:rsidRPr="001005B7">
        <w:rPr>
          <w:bCs/>
        </w:rPr>
        <w:t xml:space="preserve"> here)</w:t>
      </w:r>
      <w:r w:rsidR="00CA5D5B" w:rsidRPr="001005B7">
        <w:rPr>
          <w:bCs/>
        </w:rPr>
        <w:t xml:space="preserve">, </w:t>
      </w:r>
      <w:r w:rsidR="00593BD8" w:rsidRPr="001005B7">
        <w:rPr>
          <w:bCs/>
        </w:rPr>
        <w:t>the</w:t>
      </w:r>
      <w:r w:rsidR="007D506C" w:rsidRPr="001005B7">
        <w:rPr>
          <w:bCs/>
        </w:rPr>
        <w:t>n</w:t>
      </w:r>
      <w:r w:rsidR="00593BD8" w:rsidRPr="001005B7">
        <w:rPr>
          <w:bCs/>
        </w:rPr>
        <w:t xml:space="preserve"> </w:t>
      </w:r>
      <w:r w:rsidR="00E75792" w:rsidRPr="001005B7">
        <w:rPr>
          <w:bCs/>
        </w:rPr>
        <w:t xml:space="preserve">there </w:t>
      </w:r>
      <w:r w:rsidR="007D506C" w:rsidRPr="001005B7">
        <w:rPr>
          <w:bCs/>
        </w:rPr>
        <w:t>might</w:t>
      </w:r>
      <w:r w:rsidR="00E75792" w:rsidRPr="001005B7">
        <w:rPr>
          <w:bCs/>
        </w:rPr>
        <w:t xml:space="preserve"> be</w:t>
      </w:r>
      <w:r w:rsidR="00593BD8" w:rsidRPr="001005B7">
        <w:rPr>
          <w:bCs/>
        </w:rPr>
        <w:t xml:space="preserve"> enough of it to </w:t>
      </w:r>
      <w:r w:rsidR="00EB5A3D" w:rsidRPr="001005B7">
        <w:rPr>
          <w:bCs/>
        </w:rPr>
        <w:t>measure, weigh, and divide</w:t>
      </w:r>
      <w:r w:rsidR="00975ED6" w:rsidRPr="001005B7">
        <w:rPr>
          <w:bCs/>
        </w:rPr>
        <w:t xml:space="preserve">. </w:t>
      </w:r>
      <w:r w:rsidR="00E871ED" w:rsidRPr="001005B7">
        <w:rPr>
          <w:bCs/>
        </w:rPr>
        <w:t xml:space="preserve">A sword is </w:t>
      </w:r>
      <w:r w:rsidR="00750F99" w:rsidRPr="001005B7">
        <w:rPr>
          <w:bCs/>
        </w:rPr>
        <w:t xml:space="preserve">nevertheless </w:t>
      </w:r>
      <w:r w:rsidR="00E871ED" w:rsidRPr="001005B7">
        <w:rPr>
          <w:bCs/>
        </w:rPr>
        <w:t xml:space="preserve">an odd </w:t>
      </w:r>
      <w:r w:rsidR="00A17182" w:rsidRPr="001005B7">
        <w:rPr>
          <w:bCs/>
        </w:rPr>
        <w:t>instrument to use instead of a razor</w:t>
      </w:r>
      <w:r w:rsidR="00225089" w:rsidRPr="001005B7">
        <w:rPr>
          <w:bCs/>
        </w:rPr>
        <w:t>, but the sign</w:t>
      </w:r>
      <w:r w:rsidR="00750F99" w:rsidRPr="001005B7">
        <w:rPr>
          <w:bCs/>
        </w:rPr>
        <w:t>i</w:t>
      </w:r>
      <w:r w:rsidR="00225089" w:rsidRPr="001005B7">
        <w:rPr>
          <w:bCs/>
        </w:rPr>
        <w:t>fica</w:t>
      </w:r>
      <w:r w:rsidR="001D731D" w:rsidRPr="001005B7">
        <w:rPr>
          <w:bCs/>
        </w:rPr>
        <w:t>n</w:t>
      </w:r>
      <w:r w:rsidR="00225089" w:rsidRPr="001005B7">
        <w:rPr>
          <w:bCs/>
        </w:rPr>
        <w:t xml:space="preserve">ce of </w:t>
      </w:r>
      <w:r w:rsidR="00AF291D" w:rsidRPr="001005B7">
        <w:rPr>
          <w:bCs/>
        </w:rPr>
        <w:t xml:space="preserve">mentioning </w:t>
      </w:r>
      <w:r w:rsidR="00BA3C33" w:rsidRPr="001005B7">
        <w:rPr>
          <w:bCs/>
        </w:rPr>
        <w:t>a sword</w:t>
      </w:r>
      <w:r w:rsidR="00593BD8" w:rsidRPr="001005B7">
        <w:rPr>
          <w:bCs/>
        </w:rPr>
        <w:t xml:space="preserve"> </w:t>
      </w:r>
      <w:r w:rsidR="00547BB9" w:rsidRPr="001005B7">
        <w:rPr>
          <w:bCs/>
        </w:rPr>
        <w:t xml:space="preserve">(and </w:t>
      </w:r>
      <w:r w:rsidR="004072DE" w:rsidRPr="001005B7">
        <w:rPr>
          <w:bCs/>
        </w:rPr>
        <w:t xml:space="preserve">of specifying that it </w:t>
      </w:r>
      <w:r w:rsidR="00C16484" w:rsidRPr="001005B7">
        <w:rPr>
          <w:bCs/>
        </w:rPr>
        <w:t>s</w:t>
      </w:r>
      <w:r w:rsidR="004072DE" w:rsidRPr="001005B7">
        <w:rPr>
          <w:bCs/>
        </w:rPr>
        <w:t>hou</w:t>
      </w:r>
      <w:r w:rsidR="00C16484" w:rsidRPr="001005B7">
        <w:rPr>
          <w:bCs/>
        </w:rPr>
        <w:t>l</w:t>
      </w:r>
      <w:r w:rsidR="004072DE" w:rsidRPr="001005B7">
        <w:rPr>
          <w:bCs/>
        </w:rPr>
        <w:t>d be sharp)</w:t>
      </w:r>
      <w:r w:rsidR="00C16484" w:rsidRPr="001005B7">
        <w:rPr>
          <w:bCs/>
        </w:rPr>
        <w:t xml:space="preserve"> </w:t>
      </w:r>
      <w:r w:rsidR="00225089" w:rsidRPr="001005B7">
        <w:rPr>
          <w:bCs/>
        </w:rPr>
        <w:t>become</w:t>
      </w:r>
      <w:r w:rsidR="00521CA6" w:rsidRPr="001005B7">
        <w:rPr>
          <w:bCs/>
        </w:rPr>
        <w:t>s</w:t>
      </w:r>
      <w:r w:rsidR="00225089" w:rsidRPr="001005B7">
        <w:rPr>
          <w:bCs/>
        </w:rPr>
        <w:t xml:space="preserve"> clear</w:t>
      </w:r>
      <w:r w:rsidR="001D731D" w:rsidRPr="001005B7">
        <w:rPr>
          <w:bCs/>
        </w:rPr>
        <w:t xml:space="preserve"> in </w:t>
      </w:r>
      <w:r w:rsidR="00AC027B" w:rsidRPr="001005B7">
        <w:rPr>
          <w:bCs/>
        </w:rPr>
        <w:t>5:</w:t>
      </w:r>
      <w:r w:rsidR="001D731D" w:rsidRPr="001005B7">
        <w:rPr>
          <w:bCs/>
        </w:rPr>
        <w:t>2b.</w:t>
      </w:r>
      <w:r w:rsidR="00DC7FCF" w:rsidRPr="001005B7">
        <w:rPr>
          <w:bCs/>
        </w:rPr>
        <w:t xml:space="preserve"> </w:t>
      </w:r>
      <w:r w:rsidR="000E340D" w:rsidRPr="001005B7">
        <w:rPr>
          <w:bCs/>
        </w:rPr>
        <w:t xml:space="preserve">The completing of the days of the siege suggests an action that Ezekiel undertakes when the 390 days symbolizing the siege are over. </w:t>
      </w:r>
      <w:r w:rsidR="00865CB4" w:rsidRPr="001005B7">
        <w:rPr>
          <w:bCs/>
        </w:rPr>
        <w:t xml:space="preserve">Burning a third </w:t>
      </w:r>
      <w:r w:rsidR="00644152" w:rsidRPr="001005B7">
        <w:rPr>
          <w:bCs/>
        </w:rPr>
        <w:t>of the hair</w:t>
      </w:r>
      <w:r w:rsidR="000E340D" w:rsidRPr="001005B7">
        <w:rPr>
          <w:bCs/>
        </w:rPr>
        <w:t xml:space="preserve"> then</w:t>
      </w:r>
      <w:r w:rsidR="00644152" w:rsidRPr="001005B7">
        <w:rPr>
          <w:bCs/>
        </w:rPr>
        <w:t xml:space="preserve"> </w:t>
      </w:r>
      <w:r w:rsidR="00865CB4" w:rsidRPr="001005B7">
        <w:rPr>
          <w:bCs/>
        </w:rPr>
        <w:t>threatens the death of a third of the city’s people</w:t>
      </w:r>
      <w:r w:rsidR="000E340D" w:rsidRPr="001005B7">
        <w:rPr>
          <w:bCs/>
        </w:rPr>
        <w:t>, which</w:t>
      </w:r>
      <w:r w:rsidR="008E0A83" w:rsidRPr="001005B7">
        <w:rPr>
          <w:bCs/>
        </w:rPr>
        <w:t xml:space="preserve"> </w:t>
      </w:r>
      <w:r w:rsidR="002F7575" w:rsidRPr="001005B7">
        <w:rPr>
          <w:bCs/>
        </w:rPr>
        <w:t xml:space="preserve">is the toll that the siege </w:t>
      </w:r>
      <w:r w:rsidR="00F11D6C" w:rsidRPr="001005B7">
        <w:rPr>
          <w:bCs/>
        </w:rPr>
        <w:t>will</w:t>
      </w:r>
      <w:r w:rsidR="002F7575" w:rsidRPr="001005B7">
        <w:rPr>
          <w:bCs/>
        </w:rPr>
        <w:t xml:space="preserve"> exact. </w:t>
      </w:r>
      <w:r w:rsidR="00620024" w:rsidRPr="001005B7">
        <w:rPr>
          <w:bCs/>
        </w:rPr>
        <w:t xml:space="preserve">The second third who die by the </w:t>
      </w:r>
      <w:r w:rsidR="009A59A6" w:rsidRPr="001005B7">
        <w:rPr>
          <w:bCs/>
        </w:rPr>
        <w:t xml:space="preserve">more literal sword are people who </w:t>
      </w:r>
      <w:r w:rsidR="00F11D6C" w:rsidRPr="001005B7">
        <w:rPr>
          <w:bCs/>
        </w:rPr>
        <w:t xml:space="preserve">will </w:t>
      </w:r>
      <w:r w:rsidR="009A59A6" w:rsidRPr="001005B7">
        <w:rPr>
          <w:bCs/>
        </w:rPr>
        <w:t xml:space="preserve">meet their death during the </w:t>
      </w:r>
      <w:r w:rsidR="009C648A" w:rsidRPr="001005B7">
        <w:rPr>
          <w:bCs/>
        </w:rPr>
        <w:t>taking</w:t>
      </w:r>
      <w:r w:rsidR="009A59A6" w:rsidRPr="001005B7">
        <w:rPr>
          <w:bCs/>
        </w:rPr>
        <w:t xml:space="preserve"> of the city. </w:t>
      </w:r>
      <w:r w:rsidR="00F9070C" w:rsidRPr="001005B7">
        <w:rPr>
          <w:bCs/>
        </w:rPr>
        <w:t>The final third are the people who will escape</w:t>
      </w:r>
      <w:r w:rsidR="00C97641" w:rsidRPr="001005B7">
        <w:rPr>
          <w:bCs/>
        </w:rPr>
        <w:t xml:space="preserve"> one way or another, after whom Yahweh will send another sword</w:t>
      </w:r>
      <w:r w:rsidR="006F391A" w:rsidRPr="001005B7">
        <w:rPr>
          <w:bCs/>
        </w:rPr>
        <w:t xml:space="preserve">. </w:t>
      </w:r>
      <w:r w:rsidR="000633A8" w:rsidRPr="001005B7">
        <w:rPr>
          <w:bCs/>
        </w:rPr>
        <w:t xml:space="preserve">Yahweh </w:t>
      </w:r>
      <w:r w:rsidR="00A22D66" w:rsidRPr="001005B7">
        <w:rPr>
          <w:bCs/>
        </w:rPr>
        <w:t xml:space="preserve">again </w:t>
      </w:r>
      <w:r w:rsidR="001F4BDA" w:rsidRPr="001005B7">
        <w:rPr>
          <w:bCs/>
        </w:rPr>
        <w:t>picks up his threat in the Torah</w:t>
      </w:r>
      <w:r w:rsidR="000C5A39" w:rsidRPr="001005B7">
        <w:rPr>
          <w:bCs/>
        </w:rPr>
        <w:t>:</w:t>
      </w:r>
      <w:r w:rsidR="00A22D66" w:rsidRPr="001005B7">
        <w:rPr>
          <w:bCs/>
        </w:rPr>
        <w:t xml:space="preserve"> “</w:t>
      </w:r>
      <w:r w:rsidR="006A5C11" w:rsidRPr="001005B7">
        <w:rPr>
          <w:rFonts w:cstheme="minorHAnsi"/>
        </w:rPr>
        <w:t>I will scatter you among the nations</w:t>
      </w:r>
      <w:r w:rsidR="00860354" w:rsidRPr="001005B7">
        <w:rPr>
          <w:rFonts w:cstheme="minorHAnsi"/>
        </w:rPr>
        <w:t>,</w:t>
      </w:r>
      <w:r w:rsidR="006A5C11" w:rsidRPr="001005B7">
        <w:rPr>
          <w:rFonts w:cstheme="minorHAnsi"/>
        </w:rPr>
        <w:t xml:space="preserve"> but draw a sword after you</w:t>
      </w:r>
      <w:r w:rsidR="00A22D66" w:rsidRPr="001005B7">
        <w:rPr>
          <w:rFonts w:cstheme="minorHAnsi"/>
        </w:rPr>
        <w:t>”</w:t>
      </w:r>
      <w:r w:rsidR="006A5C11" w:rsidRPr="001005B7">
        <w:rPr>
          <w:rFonts w:cstheme="minorHAnsi"/>
        </w:rPr>
        <w:t xml:space="preserve"> (Lev 26:33)</w:t>
      </w:r>
      <w:r w:rsidR="00A22D66" w:rsidRPr="001005B7">
        <w:rPr>
          <w:rFonts w:cstheme="minorHAnsi"/>
        </w:rPr>
        <w:t>.</w:t>
      </w:r>
    </w:p>
    <w:p w14:paraId="1077EDB1" w14:textId="31D49FEF" w:rsidR="00A3258D" w:rsidRPr="001005B7" w:rsidRDefault="00647F8A" w:rsidP="00D37849">
      <w:r w:rsidRPr="001005B7">
        <w:rPr>
          <w:b/>
        </w:rPr>
        <w:t>5:3</w:t>
      </w:r>
      <w:r w:rsidR="00F46900" w:rsidRPr="001005B7">
        <w:rPr>
          <w:b/>
        </w:rPr>
        <w:t>–</w:t>
      </w:r>
      <w:r w:rsidRPr="001005B7">
        <w:rPr>
          <w:b/>
        </w:rPr>
        <w:t xml:space="preserve">4 </w:t>
      </w:r>
      <w:r w:rsidRPr="001005B7">
        <w:rPr>
          <w:bCs/>
        </w:rPr>
        <w:t>Even that is not the end</w:t>
      </w:r>
      <w:r w:rsidR="00745A6C" w:rsidRPr="001005B7">
        <w:rPr>
          <w:bCs/>
        </w:rPr>
        <w:t>. O</w:t>
      </w:r>
      <w:r w:rsidR="00543D8A" w:rsidRPr="001005B7">
        <w:rPr>
          <w:bCs/>
        </w:rPr>
        <w:t xml:space="preserve">nce again, Yahweh is tougher than </w:t>
      </w:r>
      <w:r w:rsidR="00555097" w:rsidRPr="001005B7">
        <w:rPr>
          <w:bCs/>
        </w:rPr>
        <w:t>his</w:t>
      </w:r>
      <w:r w:rsidR="00543D8A" w:rsidRPr="001005B7">
        <w:rPr>
          <w:bCs/>
        </w:rPr>
        <w:t xml:space="preserve"> </w:t>
      </w:r>
      <w:r w:rsidR="00361D42" w:rsidRPr="001005B7">
        <w:rPr>
          <w:bCs/>
        </w:rPr>
        <w:t>threat in Lev</w:t>
      </w:r>
      <w:r w:rsidR="00D42B5C" w:rsidRPr="001005B7">
        <w:rPr>
          <w:bCs/>
        </w:rPr>
        <w:t>iticus</w:t>
      </w:r>
      <w:r w:rsidRPr="001005B7">
        <w:rPr>
          <w:bCs/>
        </w:rPr>
        <w:t xml:space="preserve">. </w:t>
      </w:r>
      <w:r w:rsidR="00CF7290" w:rsidRPr="001005B7">
        <w:rPr>
          <w:bCs/>
        </w:rPr>
        <w:t>Ezekiel is to keep safe a few of th</w:t>
      </w:r>
      <w:r w:rsidR="00555097" w:rsidRPr="001005B7">
        <w:rPr>
          <w:bCs/>
        </w:rPr>
        <w:t>at</w:t>
      </w:r>
      <w:r w:rsidR="00CF7290" w:rsidRPr="001005B7">
        <w:rPr>
          <w:bCs/>
        </w:rPr>
        <w:t xml:space="preserve"> last third</w:t>
      </w:r>
      <w:r w:rsidR="004E2361" w:rsidRPr="001005B7">
        <w:rPr>
          <w:bCs/>
        </w:rPr>
        <w:t xml:space="preserve">, which </w:t>
      </w:r>
      <w:r w:rsidR="00921615" w:rsidRPr="001005B7">
        <w:rPr>
          <w:bCs/>
        </w:rPr>
        <w:t xml:space="preserve">might </w:t>
      </w:r>
      <w:r w:rsidR="006411AF" w:rsidRPr="001005B7">
        <w:rPr>
          <w:bCs/>
        </w:rPr>
        <w:t>s</w:t>
      </w:r>
      <w:r w:rsidR="00860354" w:rsidRPr="001005B7">
        <w:rPr>
          <w:bCs/>
        </w:rPr>
        <w:t>uggest</w:t>
      </w:r>
      <w:r w:rsidR="00921615" w:rsidRPr="001005B7">
        <w:rPr>
          <w:bCs/>
        </w:rPr>
        <w:t xml:space="preserve"> some </w:t>
      </w:r>
      <w:r w:rsidR="006411AF" w:rsidRPr="001005B7">
        <w:rPr>
          <w:bCs/>
        </w:rPr>
        <w:t>survivors who</w:t>
      </w:r>
      <w:r w:rsidR="00921615" w:rsidRPr="001005B7">
        <w:rPr>
          <w:bCs/>
        </w:rPr>
        <w:t xml:space="preserve"> </w:t>
      </w:r>
      <w:r w:rsidR="00A22CBF" w:rsidRPr="001005B7">
        <w:rPr>
          <w:bCs/>
        </w:rPr>
        <w:t>will be the nucleus of a body that has a future. Not so, says Yahweh</w:t>
      </w:r>
      <w:r w:rsidR="00192485" w:rsidRPr="001005B7">
        <w:rPr>
          <w:bCs/>
        </w:rPr>
        <w:t>. H</w:t>
      </w:r>
      <w:r w:rsidR="004F6BA6" w:rsidRPr="001005B7">
        <w:rPr>
          <w:bCs/>
        </w:rPr>
        <w:t>is words constitute only</w:t>
      </w:r>
      <w:r w:rsidR="00A22CBF" w:rsidRPr="001005B7">
        <w:rPr>
          <w:bCs/>
        </w:rPr>
        <w:t xml:space="preserve"> </w:t>
      </w:r>
      <w:r w:rsidR="004F6BA6" w:rsidRPr="001005B7">
        <w:rPr>
          <w:bCs/>
        </w:rPr>
        <w:t>“</w:t>
      </w:r>
      <w:r w:rsidR="00A909D6" w:rsidRPr="001005B7">
        <w:rPr>
          <w:bCs/>
        </w:rPr>
        <w:t>a</w:t>
      </w:r>
      <w:r w:rsidR="004F6BA6" w:rsidRPr="001005B7">
        <w:rPr>
          <w:bCs/>
        </w:rPr>
        <w:t>n ironic toying with the notion of hope for survival for a remnant”</w:t>
      </w:r>
      <w:r w:rsidR="00437531" w:rsidRPr="001005B7">
        <w:rPr>
          <w:bCs/>
        </w:rPr>
        <w:t xml:space="preserve"> (</w:t>
      </w:r>
      <w:r w:rsidR="00437531" w:rsidRPr="001005B7">
        <w:t>Allen</w:t>
      </w:r>
      <w:r w:rsidR="009F2D25" w:rsidRPr="001005B7">
        <w:t>,</w:t>
      </w:r>
      <w:r w:rsidR="00437531" w:rsidRPr="001005B7">
        <w:t xml:space="preserve"> </w:t>
      </w:r>
      <w:r w:rsidR="00AA09B4" w:rsidRPr="001005B7">
        <w:t>1:</w:t>
      </w:r>
      <w:r w:rsidR="00437531" w:rsidRPr="001005B7">
        <w:t>72</w:t>
      </w:r>
      <w:r w:rsidR="00AA09B4" w:rsidRPr="001005B7">
        <w:t>)</w:t>
      </w:r>
      <w:r w:rsidR="00437531" w:rsidRPr="001005B7">
        <w:t>.</w:t>
      </w:r>
      <w:r w:rsidR="00A909D6" w:rsidRPr="001005B7">
        <w:rPr>
          <w:bCs/>
        </w:rPr>
        <w:t xml:space="preserve"> </w:t>
      </w:r>
      <w:r w:rsidR="00A743C7" w:rsidRPr="001005B7">
        <w:rPr>
          <w:bCs/>
        </w:rPr>
        <w:t>F</w:t>
      </w:r>
      <w:r w:rsidR="004F28CD" w:rsidRPr="001005B7">
        <w:rPr>
          <w:bCs/>
        </w:rPr>
        <w:t>rom those few Ezekiel is to take some and throw them into the fire</w:t>
      </w:r>
      <w:r w:rsidR="00CD491D" w:rsidRPr="001005B7">
        <w:rPr>
          <w:bCs/>
        </w:rPr>
        <w:t xml:space="preserve"> </w:t>
      </w:r>
      <w:r w:rsidR="00D8714F" w:rsidRPr="001005B7">
        <w:rPr>
          <w:bCs/>
        </w:rPr>
        <w:t xml:space="preserve">of </w:t>
      </w:r>
      <w:r w:rsidR="00AC027B" w:rsidRPr="001005B7">
        <w:rPr>
          <w:bCs/>
        </w:rPr>
        <w:t>5:</w:t>
      </w:r>
      <w:r w:rsidR="00D8714F" w:rsidRPr="001005B7">
        <w:rPr>
          <w:bCs/>
        </w:rPr>
        <w:t>2</w:t>
      </w:r>
      <w:r w:rsidR="00901B07" w:rsidRPr="001005B7">
        <w:rPr>
          <w:bCs/>
        </w:rPr>
        <w:t xml:space="preserve">. </w:t>
      </w:r>
      <w:r w:rsidR="00192485" w:rsidRPr="001005B7">
        <w:rPr>
          <w:bCs/>
        </w:rPr>
        <w:t>I</w:t>
      </w:r>
      <w:r w:rsidR="00901B07" w:rsidRPr="001005B7">
        <w:rPr>
          <w:bCs/>
        </w:rPr>
        <w:t xml:space="preserve">nstead of </w:t>
      </w:r>
      <w:r w:rsidR="00BC3332" w:rsidRPr="001005B7">
        <w:rPr>
          <w:bCs/>
        </w:rPr>
        <w:t>the surviv</w:t>
      </w:r>
      <w:r w:rsidR="00EF0E5D" w:rsidRPr="001005B7">
        <w:rPr>
          <w:bCs/>
        </w:rPr>
        <w:t>ors</w:t>
      </w:r>
      <w:r w:rsidR="00BC3332" w:rsidRPr="001005B7">
        <w:rPr>
          <w:bCs/>
        </w:rPr>
        <w:t xml:space="preserve"> </w:t>
      </w:r>
      <w:r w:rsidR="00EF0E5D" w:rsidRPr="001005B7">
        <w:rPr>
          <w:bCs/>
        </w:rPr>
        <w:t xml:space="preserve">of </w:t>
      </w:r>
      <w:r w:rsidR="00633A2E" w:rsidRPr="001005B7">
        <w:rPr>
          <w:bCs/>
        </w:rPr>
        <w:t>Jerusalem</w:t>
      </w:r>
      <w:r w:rsidR="00EF0E5D" w:rsidRPr="001005B7">
        <w:rPr>
          <w:bCs/>
        </w:rPr>
        <w:t>’s fall</w:t>
      </w:r>
      <w:r w:rsidR="00633A2E" w:rsidRPr="001005B7">
        <w:rPr>
          <w:bCs/>
        </w:rPr>
        <w:t xml:space="preserve"> (such as Zedekiah)</w:t>
      </w:r>
      <w:r w:rsidR="00633A2E" w:rsidRPr="001005B7">
        <w:rPr>
          <w:rStyle w:val="FootnoteReference"/>
          <w:bCs/>
        </w:rPr>
        <w:footnoteReference w:id="178"/>
      </w:r>
      <w:r w:rsidR="00633A2E" w:rsidRPr="001005B7">
        <w:rPr>
          <w:bCs/>
        </w:rPr>
        <w:t xml:space="preserve"> </w:t>
      </w:r>
      <w:r w:rsidR="00901B07" w:rsidRPr="001005B7">
        <w:rPr>
          <w:bCs/>
        </w:rPr>
        <w:t xml:space="preserve">being the nucleus of a future Israel, they become </w:t>
      </w:r>
      <w:r w:rsidR="00E557E3" w:rsidRPr="001005B7">
        <w:rPr>
          <w:bCs/>
        </w:rPr>
        <w:t xml:space="preserve">fuel for the fire that will burn </w:t>
      </w:r>
      <w:r w:rsidR="0083146F" w:rsidRPr="001005B7">
        <w:rPr>
          <w:bCs/>
        </w:rPr>
        <w:t>“</w:t>
      </w:r>
      <w:r w:rsidR="007512AC">
        <w:rPr>
          <w:bCs/>
        </w:rPr>
        <w:t>Israel’s</w:t>
      </w:r>
      <w:r w:rsidR="00E557E3" w:rsidRPr="001005B7">
        <w:rPr>
          <w:bCs/>
        </w:rPr>
        <w:t xml:space="preserve"> entire household</w:t>
      </w:r>
      <w:r w:rsidR="00035100" w:rsidRPr="001005B7">
        <w:rPr>
          <w:bCs/>
        </w:rPr>
        <w:t>.</w:t>
      </w:r>
      <w:r w:rsidR="0083146F" w:rsidRPr="001005B7">
        <w:rPr>
          <w:bCs/>
        </w:rPr>
        <w:t>”</w:t>
      </w:r>
      <w:r w:rsidR="00035100" w:rsidRPr="001005B7">
        <w:rPr>
          <w:bCs/>
        </w:rPr>
        <w:t xml:space="preserve"> In Ezekiel’s context, </w:t>
      </w:r>
      <w:r w:rsidR="009B060F" w:rsidRPr="001005B7">
        <w:rPr>
          <w:bCs/>
        </w:rPr>
        <w:t>this fire will thus consume</w:t>
      </w:r>
      <w:r w:rsidR="00E557E3" w:rsidRPr="001005B7">
        <w:rPr>
          <w:bCs/>
        </w:rPr>
        <w:t xml:space="preserve"> the </w:t>
      </w:r>
      <w:r w:rsidR="00F9338E" w:rsidRPr="001005B7">
        <w:rPr>
          <w:bCs/>
        </w:rPr>
        <w:t>Judahites with whom Ezekiel is to share this message</w:t>
      </w:r>
      <w:r w:rsidR="00FE3039" w:rsidRPr="001005B7">
        <w:rPr>
          <w:bCs/>
        </w:rPr>
        <w:t xml:space="preserve">—though </w:t>
      </w:r>
      <w:r w:rsidR="006427FE" w:rsidRPr="001005B7">
        <w:rPr>
          <w:bCs/>
        </w:rPr>
        <w:t xml:space="preserve">Jerome </w:t>
      </w:r>
      <w:r w:rsidR="00AA09B4" w:rsidRPr="001005B7">
        <w:rPr>
          <w:bCs/>
        </w:rPr>
        <w:t xml:space="preserve">(59) </w:t>
      </w:r>
      <w:r w:rsidR="007B447D" w:rsidRPr="001005B7">
        <w:rPr>
          <w:bCs/>
        </w:rPr>
        <w:t xml:space="preserve">sees the threat as </w:t>
      </w:r>
      <w:r w:rsidR="00FE3039" w:rsidRPr="001005B7">
        <w:rPr>
          <w:bCs/>
        </w:rPr>
        <w:t>look</w:t>
      </w:r>
      <w:r w:rsidR="007B447D" w:rsidRPr="001005B7">
        <w:rPr>
          <w:bCs/>
        </w:rPr>
        <w:t>ing</w:t>
      </w:r>
      <w:r w:rsidR="00FE3039" w:rsidRPr="001005B7">
        <w:rPr>
          <w:bCs/>
        </w:rPr>
        <w:t xml:space="preserve"> forward to the</w:t>
      </w:r>
      <w:r w:rsidR="006E6BD2" w:rsidRPr="001005B7">
        <w:rPr>
          <w:bCs/>
        </w:rPr>
        <w:t xml:space="preserve"> descendants of these</w:t>
      </w:r>
      <w:r w:rsidR="00FE3039" w:rsidRPr="001005B7">
        <w:rPr>
          <w:bCs/>
        </w:rPr>
        <w:t xml:space="preserve"> survivors who </w:t>
      </w:r>
      <w:r w:rsidR="006E6BD2" w:rsidRPr="001005B7">
        <w:rPr>
          <w:bCs/>
        </w:rPr>
        <w:t xml:space="preserve">will set </w:t>
      </w:r>
      <w:r w:rsidR="00D22745" w:rsidRPr="001005B7">
        <w:rPr>
          <w:bCs/>
        </w:rPr>
        <w:t>Israel’s household on fire in th</w:t>
      </w:r>
      <w:r w:rsidR="00BC6C13" w:rsidRPr="001005B7">
        <w:rPr>
          <w:bCs/>
        </w:rPr>
        <w:t>e crises in the time of Antiochus Epiphanes, of Pompey, of Titus</w:t>
      </w:r>
      <w:r w:rsidR="00934028" w:rsidRPr="001005B7">
        <w:rPr>
          <w:bCs/>
        </w:rPr>
        <w:t>, and of Hadrian.</w:t>
      </w:r>
      <w:r w:rsidR="00CD491D" w:rsidRPr="001005B7">
        <w:rPr>
          <w:b/>
          <w:bCs/>
        </w:rPr>
        <w:t xml:space="preserve"> </w:t>
      </w:r>
    </w:p>
    <w:p w14:paraId="5B416967" w14:textId="126BE94E" w:rsidR="00E169D5" w:rsidRPr="001005B7" w:rsidRDefault="00FA2D9A" w:rsidP="00493833">
      <w:pPr>
        <w:pStyle w:val="Heading3"/>
      </w:pPr>
      <w:r w:rsidRPr="001005B7">
        <w:t xml:space="preserve">Application and Devotional Implications </w:t>
      </w:r>
    </w:p>
    <w:p w14:paraId="26D32B0A" w14:textId="7DAEE06B" w:rsidR="00824B40" w:rsidRPr="001005B7" w:rsidRDefault="005C69A7" w:rsidP="005C69A7">
      <w:r w:rsidRPr="001005B7">
        <w:t>The people of God is one through the ages</w:t>
      </w:r>
      <w:r w:rsidR="00BF27AC" w:rsidRPr="001005B7">
        <w:t>,</w:t>
      </w:r>
      <w:r w:rsidRPr="001005B7">
        <w:t xml:space="preserve"> and the stain that affect</w:t>
      </w:r>
      <w:r w:rsidR="00BC6491" w:rsidRPr="001005B7">
        <w:t>s</w:t>
      </w:r>
      <w:r w:rsidRPr="001005B7">
        <w:t xml:space="preserve"> it in one generation continues to affect it through generations that follow, until something dissolves </w:t>
      </w:r>
      <w:r w:rsidR="00EA4E71" w:rsidRPr="001005B7">
        <w:t>it</w:t>
      </w:r>
      <w:r w:rsidRPr="001005B7">
        <w:t xml:space="preserve">. </w:t>
      </w:r>
      <w:r w:rsidR="00EF7692" w:rsidRPr="001005B7">
        <w:t>T</w:t>
      </w:r>
      <w:r w:rsidR="00DC7A40" w:rsidRPr="001005B7">
        <w:t xml:space="preserve">he </w:t>
      </w:r>
      <w:r w:rsidR="00EF7692" w:rsidRPr="001005B7">
        <w:t>“</w:t>
      </w:r>
      <w:r w:rsidR="00DC7A40" w:rsidRPr="001005B7">
        <w:t>household of faith</w:t>
      </w:r>
      <w:r w:rsidR="00EF7692" w:rsidRPr="001005B7">
        <w:t>”</w:t>
      </w:r>
      <w:r w:rsidR="00DC7A40" w:rsidRPr="001005B7">
        <w:t xml:space="preserve"> (</w:t>
      </w:r>
      <w:r w:rsidR="00A2488B" w:rsidRPr="001005B7">
        <w:t>Gal 6:10</w:t>
      </w:r>
      <w:r w:rsidR="00DC7A40" w:rsidRPr="001005B7">
        <w:t>) may be a household of rebellion and thus be in</w:t>
      </w:r>
      <w:r w:rsidR="00FC11D1" w:rsidRPr="001005B7">
        <w:t xml:space="preserve"> continuity with the household of Israel</w:t>
      </w:r>
      <w:r w:rsidR="00871F2D" w:rsidRPr="001005B7">
        <w:t xml:space="preserve">. </w:t>
      </w:r>
      <w:r w:rsidR="00E24E55" w:rsidRPr="001005B7">
        <w:t xml:space="preserve">“An </w:t>
      </w:r>
      <w:r w:rsidR="00E24E55" w:rsidRPr="001005B7">
        <w:rPr>
          <w:i/>
          <w:iCs/>
        </w:rPr>
        <w:t>unclean church</w:t>
      </w:r>
      <w:r w:rsidR="00E24E55" w:rsidRPr="001005B7">
        <w:t xml:space="preserve"> is a contradiction in terms</w:t>
      </w:r>
      <w:r w:rsidR="008E4489" w:rsidRPr="001005B7">
        <w:t>,</w:t>
      </w:r>
      <w:r w:rsidR="00E24E55" w:rsidRPr="001005B7">
        <w:t>”</w:t>
      </w:r>
      <w:r w:rsidR="00E24E55" w:rsidRPr="001005B7">
        <w:rPr>
          <w:rStyle w:val="FootnoteReference"/>
        </w:rPr>
        <w:footnoteReference w:id="179"/>
      </w:r>
      <w:r w:rsidR="00E24E55" w:rsidRPr="001005B7">
        <w:t xml:space="preserve"> </w:t>
      </w:r>
      <w:r w:rsidR="008E4489" w:rsidRPr="001005B7">
        <w:t>b</w:t>
      </w:r>
      <w:r w:rsidR="00674399" w:rsidRPr="001005B7">
        <w:t xml:space="preserve">ut </w:t>
      </w:r>
      <w:r w:rsidR="008E4489" w:rsidRPr="001005B7">
        <w:t>the church</w:t>
      </w:r>
      <w:r w:rsidR="00871F2D" w:rsidRPr="001005B7">
        <w:t xml:space="preserve"> has to </w:t>
      </w:r>
      <w:r w:rsidR="0019251F" w:rsidRPr="001005B7">
        <w:t xml:space="preserve">allow for the possibility that </w:t>
      </w:r>
      <w:r w:rsidR="00446132" w:rsidRPr="001005B7">
        <w:t xml:space="preserve">God </w:t>
      </w:r>
      <w:r w:rsidR="00E41CB4" w:rsidRPr="001005B7">
        <w:t xml:space="preserve">may </w:t>
      </w:r>
      <w:r w:rsidR="00446132" w:rsidRPr="001005B7">
        <w:t xml:space="preserve">set going against it </w:t>
      </w:r>
      <w:r w:rsidR="00311055" w:rsidRPr="001005B7">
        <w:t xml:space="preserve">a </w:t>
      </w:r>
      <w:r w:rsidR="00446132" w:rsidRPr="001005B7">
        <w:t xml:space="preserve">siege </w:t>
      </w:r>
      <w:r w:rsidR="0010001B" w:rsidRPr="001005B7">
        <w:t xml:space="preserve">from hostile </w:t>
      </w:r>
      <w:r w:rsidR="001408FB" w:rsidRPr="001005B7">
        <w:t xml:space="preserve">forces </w:t>
      </w:r>
      <w:r w:rsidR="00311055" w:rsidRPr="001005B7">
        <w:t>such as</w:t>
      </w:r>
      <w:r w:rsidR="00991D08" w:rsidRPr="001005B7">
        <w:t xml:space="preserve"> Ezekiel describes, forces </w:t>
      </w:r>
      <w:r w:rsidR="001408FB" w:rsidRPr="001005B7">
        <w:t xml:space="preserve">consciously or subconsciously </w:t>
      </w:r>
      <w:r w:rsidR="001408FB" w:rsidRPr="001005B7">
        <w:rPr>
          <w:rFonts w:ascii="Calibri" w:hAnsi="Calibri" w:cs="Calibri"/>
        </w:rPr>
        <w:t>oppo</w:t>
      </w:r>
      <w:r w:rsidR="00A71E9D" w:rsidRPr="001005B7">
        <w:rPr>
          <w:rFonts w:ascii="Calibri" w:hAnsi="Calibri" w:cs="Calibri"/>
        </w:rPr>
        <w:t xml:space="preserve">sed to the living God </w:t>
      </w:r>
      <w:r w:rsidR="00311055" w:rsidRPr="001005B7">
        <w:rPr>
          <w:rFonts w:ascii="Calibri" w:hAnsi="Calibri" w:cs="Calibri"/>
        </w:rPr>
        <w:t>that</w:t>
      </w:r>
      <w:r w:rsidR="00A71E9D" w:rsidRPr="001005B7">
        <w:rPr>
          <w:rFonts w:ascii="Calibri" w:hAnsi="Calibri" w:cs="Calibri"/>
        </w:rPr>
        <w:t xml:space="preserve"> may be unconsciously serving the living God</w:t>
      </w:r>
      <w:r w:rsidR="00446132" w:rsidRPr="001005B7">
        <w:rPr>
          <w:rFonts w:ascii="Calibri" w:hAnsi="Calibri" w:cs="Calibri"/>
        </w:rPr>
        <w:t xml:space="preserve">. </w:t>
      </w:r>
      <w:r w:rsidR="00044C4D" w:rsidRPr="001005B7">
        <w:rPr>
          <w:rFonts w:ascii="Calibri" w:hAnsi="Calibri" w:cs="Calibri"/>
        </w:rPr>
        <w:t>So</w:t>
      </w:r>
      <w:r w:rsidR="00446132" w:rsidRPr="001005B7">
        <w:rPr>
          <w:rFonts w:ascii="Calibri" w:hAnsi="Calibri" w:cs="Calibri"/>
        </w:rPr>
        <w:t xml:space="preserve"> if it finds itself under such siege</w:t>
      </w:r>
      <w:r w:rsidR="00991D08" w:rsidRPr="001005B7">
        <w:rPr>
          <w:rFonts w:ascii="Calibri" w:hAnsi="Calibri" w:cs="Calibri"/>
        </w:rPr>
        <w:t xml:space="preserve">, it has to ask whether </w:t>
      </w:r>
      <w:r w:rsidR="003A102A" w:rsidRPr="001005B7">
        <w:rPr>
          <w:rFonts w:ascii="Calibri" w:hAnsi="Calibri" w:cs="Calibri"/>
        </w:rPr>
        <w:t>these forces are the agents of the living God. There is no presumption that they are</w:t>
      </w:r>
      <w:r w:rsidR="00B71269" w:rsidRPr="001005B7">
        <w:rPr>
          <w:rFonts w:ascii="Calibri" w:hAnsi="Calibri" w:cs="Calibri"/>
        </w:rPr>
        <w:t xml:space="preserve">, but </w:t>
      </w:r>
      <w:r w:rsidR="00583FE2" w:rsidRPr="001005B7">
        <w:rPr>
          <w:rFonts w:ascii="Calibri" w:hAnsi="Calibri" w:cs="Calibri"/>
        </w:rPr>
        <w:t>it</w:t>
      </w:r>
      <w:r w:rsidR="00B71269" w:rsidRPr="001005B7">
        <w:rPr>
          <w:rFonts w:ascii="Calibri" w:hAnsi="Calibri" w:cs="Calibri"/>
        </w:rPr>
        <w:t xml:space="preserve"> ha</w:t>
      </w:r>
      <w:r w:rsidR="00583FE2" w:rsidRPr="001005B7">
        <w:rPr>
          <w:rFonts w:ascii="Calibri" w:hAnsi="Calibri" w:cs="Calibri"/>
        </w:rPr>
        <w:t>s</w:t>
      </w:r>
      <w:r w:rsidR="00B71269" w:rsidRPr="001005B7">
        <w:rPr>
          <w:rFonts w:ascii="Calibri" w:hAnsi="Calibri" w:cs="Calibri"/>
        </w:rPr>
        <w:t xml:space="preserve"> to ask the question</w:t>
      </w:r>
      <w:r w:rsidR="00EE5CAC" w:rsidRPr="001005B7">
        <w:rPr>
          <w:rFonts w:ascii="Calibri" w:hAnsi="Calibri" w:cs="Calibri"/>
        </w:rPr>
        <w:t>.</w:t>
      </w:r>
      <w:r w:rsidR="002C4D92" w:rsidRPr="001005B7">
        <w:rPr>
          <w:rFonts w:ascii="Calibri" w:hAnsi="Calibri" w:cs="Calibri"/>
        </w:rPr>
        <w:t xml:space="preserve"> </w:t>
      </w:r>
      <w:r w:rsidR="00824B40" w:rsidRPr="001005B7">
        <w:rPr>
          <w:rFonts w:ascii="Calibri" w:hAnsi="Calibri" w:cs="Calibri"/>
        </w:rPr>
        <w:t>After</w:t>
      </w:r>
      <w:r w:rsidR="00C61ECF" w:rsidRPr="001005B7">
        <w:rPr>
          <w:rFonts w:ascii="Calibri" w:hAnsi="Calibri" w:cs="Calibri"/>
        </w:rPr>
        <w:t xml:space="preserve"> 587</w:t>
      </w:r>
      <w:r w:rsidR="00824B40" w:rsidRPr="001005B7">
        <w:rPr>
          <w:rFonts w:ascii="Calibri" w:hAnsi="Calibri" w:cs="Calibri"/>
        </w:rPr>
        <w:t xml:space="preserve"> </w:t>
      </w:r>
      <w:r w:rsidR="00420A3F" w:rsidRPr="001005B7">
        <w:rPr>
          <w:rFonts w:ascii="Calibri" w:hAnsi="Calibri" w:cs="Calibri"/>
        </w:rPr>
        <w:t>BC</w:t>
      </w:r>
      <w:r w:rsidR="00824B40" w:rsidRPr="001005B7">
        <w:rPr>
          <w:rFonts w:ascii="Calibri" w:hAnsi="Calibri" w:cs="Calibri"/>
        </w:rPr>
        <w:t>, Jerusalem lamented that</w:t>
      </w:r>
      <w:r w:rsidR="00824B40" w:rsidRPr="001005B7">
        <w:rPr>
          <w:rFonts w:ascii="Calibri" w:eastAsia="Times New Roman" w:hAnsi="Calibri" w:cs="Calibri"/>
          <w:lang w:eastAsia="en-GB"/>
        </w:rPr>
        <w:t> “</w:t>
      </w:r>
      <w:r w:rsidR="00824B40" w:rsidRPr="001005B7">
        <w:rPr>
          <w:rFonts w:ascii="Calibri" w:eastAsia="Times New Roman" w:hAnsi="Calibri" w:cs="Calibri"/>
          <w:i/>
          <w:iCs/>
          <w:lang w:eastAsia="en-GB"/>
        </w:rPr>
        <w:t>Thou hast covered thy self with a cloud, that our prayers should not pass thro</w:t>
      </w:r>
      <w:r w:rsidR="009B3F08" w:rsidRPr="001005B7">
        <w:rPr>
          <w:rFonts w:ascii="Calibri" w:eastAsia="Times New Roman" w:hAnsi="Calibri" w:cs="Calibri"/>
          <w:i/>
          <w:iCs/>
          <w:lang w:eastAsia="en-GB"/>
        </w:rPr>
        <w:t>ugh</w:t>
      </w:r>
      <w:r w:rsidR="00824B40" w:rsidRPr="001005B7">
        <w:rPr>
          <w:rFonts w:ascii="Calibri" w:eastAsia="Times New Roman" w:hAnsi="Calibri" w:cs="Calibri"/>
          <w:lang w:eastAsia="en-GB"/>
        </w:rPr>
        <w:t>”</w:t>
      </w:r>
      <w:r w:rsidR="00824B40" w:rsidRPr="001005B7">
        <w:rPr>
          <w:rFonts w:ascii="Calibri" w:eastAsia="Times New Roman" w:hAnsi="Calibri" w:cs="Calibri"/>
          <w:i/>
          <w:iCs/>
          <w:lang w:eastAsia="en-GB"/>
        </w:rPr>
        <w:t xml:space="preserve"> </w:t>
      </w:r>
      <w:r w:rsidR="00824B40" w:rsidRPr="001005B7">
        <w:rPr>
          <w:rFonts w:ascii="Calibri" w:eastAsia="Times New Roman" w:hAnsi="Calibri" w:cs="Calibri"/>
          <w:lang w:eastAsia="en-GB"/>
        </w:rPr>
        <w:t>(Lam 3:44)</w:t>
      </w:r>
      <w:r w:rsidR="007060FC" w:rsidRPr="001005B7">
        <w:rPr>
          <w:rFonts w:ascii="Calibri" w:eastAsia="Times New Roman" w:hAnsi="Calibri" w:cs="Calibri"/>
          <w:lang w:eastAsia="en-GB"/>
        </w:rPr>
        <w:t xml:space="preserve"> (</w:t>
      </w:r>
      <w:r w:rsidR="007060FC" w:rsidRPr="001005B7">
        <w:rPr>
          <w:rFonts w:ascii="Calibri" w:hAnsi="Calibri" w:cs="Calibri"/>
        </w:rPr>
        <w:t>Greenhill</w:t>
      </w:r>
      <w:r w:rsidR="009B3F08" w:rsidRPr="001005B7">
        <w:rPr>
          <w:rFonts w:ascii="Calibri" w:hAnsi="Calibri" w:cs="Calibri"/>
          <w:i/>
          <w:iCs/>
        </w:rPr>
        <w:t xml:space="preserve">, </w:t>
      </w:r>
      <w:r w:rsidR="009B3F08" w:rsidRPr="001005B7">
        <w:rPr>
          <w:rFonts w:ascii="Calibri" w:hAnsi="Calibri" w:cs="Calibri"/>
        </w:rPr>
        <w:t>127</w:t>
      </w:r>
      <w:r w:rsidR="007060FC" w:rsidRPr="001005B7">
        <w:rPr>
          <w:rFonts w:ascii="Calibri" w:hAnsi="Calibri" w:cs="Calibri"/>
        </w:rPr>
        <w:t>).</w:t>
      </w:r>
      <w:r w:rsidR="00824B40" w:rsidRPr="001005B7">
        <w:rPr>
          <w:rFonts w:ascii="Calibri" w:eastAsia="Times New Roman" w:hAnsi="Calibri" w:cs="Calibri"/>
          <w:lang w:eastAsia="en-GB"/>
        </w:rPr>
        <w:t xml:space="preserve"> </w:t>
      </w:r>
      <w:r w:rsidR="00BF660B" w:rsidRPr="001005B7">
        <w:rPr>
          <w:rFonts w:ascii="Calibri" w:eastAsia="Times New Roman" w:hAnsi="Calibri" w:cs="Calibri"/>
          <w:lang w:eastAsia="en-GB"/>
        </w:rPr>
        <w:t>A</w:t>
      </w:r>
      <w:r w:rsidR="00824B40" w:rsidRPr="001005B7">
        <w:rPr>
          <w:rFonts w:ascii="Calibri" w:eastAsia="Times New Roman" w:hAnsi="Calibri" w:cs="Calibri"/>
          <w:lang w:eastAsia="en-GB"/>
        </w:rPr>
        <w:t>nd after</w:t>
      </w:r>
      <w:r w:rsidR="00824B40" w:rsidRPr="001005B7">
        <w:rPr>
          <w:rFonts w:ascii="Calibri" w:hAnsi="Calibri" w:cs="Calibri"/>
        </w:rPr>
        <w:t xml:space="preserve"> </w:t>
      </w:r>
      <w:r w:rsidR="00C61ECF" w:rsidRPr="001005B7">
        <w:rPr>
          <w:rFonts w:ascii="Calibri" w:hAnsi="Calibri" w:cs="Calibri"/>
        </w:rPr>
        <w:t xml:space="preserve">AD </w:t>
      </w:r>
      <w:r w:rsidR="00824B40" w:rsidRPr="001005B7">
        <w:rPr>
          <w:rFonts w:ascii="Calibri" w:hAnsi="Calibri" w:cs="Calibri"/>
        </w:rPr>
        <w:t>70, Rabbi Eleazar lamented that “From the days of the temple’s destruction, an iron wall has</w:t>
      </w:r>
      <w:r w:rsidR="00824B40" w:rsidRPr="001005B7">
        <w:t xml:space="preserve"> separated Israel and their Father in heaven” (</w:t>
      </w:r>
      <w:r w:rsidR="00824B40" w:rsidRPr="001005B7">
        <w:rPr>
          <w:i/>
          <w:iCs/>
        </w:rPr>
        <w:t xml:space="preserve">b. </w:t>
      </w:r>
      <w:proofErr w:type="spellStart"/>
      <w:r w:rsidR="00824B40" w:rsidRPr="001005B7">
        <w:rPr>
          <w:i/>
          <w:iCs/>
        </w:rPr>
        <w:t>Berakot</w:t>
      </w:r>
      <w:proofErr w:type="spellEnd"/>
      <w:r w:rsidR="00824B40" w:rsidRPr="001005B7">
        <w:rPr>
          <w:i/>
          <w:iCs/>
        </w:rPr>
        <w:t xml:space="preserve"> </w:t>
      </w:r>
      <w:r w:rsidR="00824B40" w:rsidRPr="001005B7">
        <w:t>32b)</w:t>
      </w:r>
      <w:r w:rsidR="00BF660B" w:rsidRPr="001005B7">
        <w:t>,</w:t>
      </w:r>
      <w:r w:rsidR="00D6240C" w:rsidRPr="001005B7">
        <w:t xml:space="preserve"> </w:t>
      </w:r>
      <w:r w:rsidR="00BF660B" w:rsidRPr="001005B7">
        <w:t>though</w:t>
      </w:r>
      <w:r w:rsidR="00D6240C" w:rsidRPr="001005B7">
        <w:t xml:space="preserve"> he allows for the possibility that prayer and especially tears may break through the wall when sacrifice cannot.</w:t>
      </w:r>
      <w:r w:rsidR="00D6240C" w:rsidRPr="001005B7">
        <w:rPr>
          <w:rStyle w:val="FootnoteReference"/>
        </w:rPr>
        <w:footnoteReference w:id="180"/>
      </w:r>
      <w:r w:rsidR="0019531B" w:rsidRPr="001005B7">
        <w:t xml:space="preserve"> </w:t>
      </w:r>
    </w:p>
    <w:p w14:paraId="58D7285F" w14:textId="77777777" w:rsidR="00D029B2" w:rsidRPr="001005B7" w:rsidRDefault="00D029B2" w:rsidP="005C69A7"/>
    <w:p w14:paraId="1A12D056" w14:textId="77777777" w:rsidR="00EB56D8" w:rsidRPr="001005B7" w:rsidRDefault="00EB56D8" w:rsidP="00EB56D8">
      <w:pPr>
        <w:pStyle w:val="Heading3"/>
      </w:pPr>
      <w:r w:rsidRPr="001005B7">
        <w:t xml:space="preserve">Biblical Theology Comments </w:t>
      </w:r>
    </w:p>
    <w:p w14:paraId="5ECF3660" w14:textId="77777777" w:rsidR="00EB56D8" w:rsidRPr="001005B7" w:rsidRDefault="00EB56D8" w:rsidP="00EB56D8">
      <w:r w:rsidRPr="001005B7">
        <w:t xml:space="preserve">God works through dramatic acts that are undertaken at his bidding by his servants and put his purpose into effect or bring home his truth. Circumcision and baptism, sacrifice and eucharist do both those things (Greenhill, 128). So do foot-washing and ordination. Like Ezekiel’s sign acts, sacraments are implausible sign acts that might seem not worth taking seriously, yet they are acts by means of which God does something powerfully effective through something feebly material (Mayer, 381). How implausible is it that circumcision makes someone a member of the covenant people, that sacrifice cleanses, that baptism brings a transition to a new life, that consuming a morsel of bread and a mouthful of wine is the means whereby the benefits of Jesus’ death come to apply to people who believe in him? Yet further, as Ezekiel’s sign acts can suggest hope as well as calamity (see 37:15–23), so sacraments can suggest disaster as well as hope. Baptism suggests submitting to death through drowning before rising to new life, and eucharist draws attention to the breaking of Jesus and his bleeding. </w:t>
      </w:r>
    </w:p>
    <w:p w14:paraId="17FC5735" w14:textId="5DA322FA" w:rsidR="00A3258D" w:rsidRPr="001005B7" w:rsidRDefault="00FB1B41" w:rsidP="00493833">
      <w:pPr>
        <w:pStyle w:val="Heading3"/>
      </w:pPr>
      <w:r w:rsidRPr="001005B7">
        <w:t xml:space="preserve">Selected </w:t>
      </w:r>
      <w:r w:rsidR="005A2FB0" w:rsidRPr="001005B7">
        <w:t>Bibliography</w:t>
      </w:r>
    </w:p>
    <w:p w14:paraId="2030F8DC" w14:textId="2CDBF327" w:rsidR="0050413A" w:rsidRPr="001005B7" w:rsidRDefault="0050413A" w:rsidP="006F5BB0">
      <w:pPr>
        <w:pStyle w:val="ListParagraph"/>
        <w:rPr>
          <w:color w:val="auto"/>
          <w:lang w:val="en-US"/>
        </w:rPr>
      </w:pPr>
      <w:r w:rsidRPr="001005B7">
        <w:rPr>
          <w:color w:val="auto"/>
          <w:lang w:val="en-US"/>
        </w:rPr>
        <w:t xml:space="preserve">Beach, J. Mark. “Actions Louder than Words.” </w:t>
      </w:r>
      <w:r w:rsidRPr="001005B7">
        <w:rPr>
          <w:i/>
          <w:color w:val="auto"/>
          <w:lang w:val="en-US"/>
        </w:rPr>
        <w:t xml:space="preserve">Mid-America Journal of Theology </w:t>
      </w:r>
      <w:r w:rsidRPr="001005B7">
        <w:rPr>
          <w:color w:val="auto"/>
          <w:lang w:val="en-US"/>
        </w:rPr>
        <w:t>29 (2018): 183</w:t>
      </w:r>
      <w:r w:rsidR="00F46900" w:rsidRPr="001005B7">
        <w:rPr>
          <w:color w:val="auto"/>
          <w:lang w:val="en-US"/>
        </w:rPr>
        <w:t>–</w:t>
      </w:r>
      <w:r w:rsidRPr="001005B7">
        <w:rPr>
          <w:color w:val="auto"/>
          <w:lang w:val="en-US"/>
        </w:rPr>
        <w:t>219.</w:t>
      </w:r>
    </w:p>
    <w:p w14:paraId="4B4FD8C5" w14:textId="1AF0065B" w:rsidR="00E1374D" w:rsidRPr="001005B7" w:rsidRDefault="00E1374D" w:rsidP="006F5BB0">
      <w:pPr>
        <w:pStyle w:val="ListParagraph"/>
        <w:rPr>
          <w:color w:val="auto"/>
          <w:lang w:val="en-US"/>
        </w:rPr>
      </w:pPr>
      <w:proofErr w:type="spellStart"/>
      <w:r w:rsidRPr="001005B7">
        <w:rPr>
          <w:color w:val="auto"/>
          <w:lang w:val="en-US"/>
        </w:rPr>
        <w:t>Bokser</w:t>
      </w:r>
      <w:proofErr w:type="spellEnd"/>
      <w:r w:rsidRPr="001005B7">
        <w:rPr>
          <w:color w:val="auto"/>
          <w:lang w:val="en-US"/>
        </w:rPr>
        <w:t xml:space="preserve">, </w:t>
      </w:r>
      <w:r w:rsidR="00680655" w:rsidRPr="001005B7">
        <w:rPr>
          <w:color w:val="auto"/>
          <w:lang w:val="en-US"/>
        </w:rPr>
        <w:t>B</w:t>
      </w:r>
      <w:r w:rsidRPr="001005B7">
        <w:rPr>
          <w:color w:val="auto"/>
          <w:lang w:val="en-US"/>
        </w:rPr>
        <w:t>aruch</w:t>
      </w:r>
      <w:r w:rsidR="00E51BAB" w:rsidRPr="001005B7">
        <w:rPr>
          <w:color w:val="auto"/>
          <w:lang w:val="en-US"/>
        </w:rPr>
        <w:t xml:space="preserve"> M</w:t>
      </w:r>
      <w:r w:rsidRPr="001005B7">
        <w:rPr>
          <w:color w:val="auto"/>
          <w:lang w:val="en-US"/>
        </w:rPr>
        <w:t>.</w:t>
      </w:r>
      <w:r w:rsidR="00680655" w:rsidRPr="001005B7">
        <w:rPr>
          <w:color w:val="auto"/>
          <w:lang w:val="en-US"/>
        </w:rPr>
        <w:t xml:space="preserve"> “The Wall Separating God and Israel.”</w:t>
      </w:r>
      <w:r w:rsidRPr="001005B7">
        <w:rPr>
          <w:color w:val="auto"/>
          <w:lang w:val="en-US"/>
        </w:rPr>
        <w:t xml:space="preserve"> </w:t>
      </w:r>
      <w:r w:rsidR="00E51BAB" w:rsidRPr="001005B7">
        <w:rPr>
          <w:i/>
          <w:color w:val="auto"/>
          <w:lang w:val="en-US"/>
        </w:rPr>
        <w:t xml:space="preserve">JQR </w:t>
      </w:r>
      <w:r w:rsidR="00E51BAB" w:rsidRPr="001005B7">
        <w:rPr>
          <w:color w:val="auto"/>
          <w:lang w:val="en-US"/>
        </w:rPr>
        <w:t>73 (</w:t>
      </w:r>
      <w:r w:rsidR="00F23CB9" w:rsidRPr="001005B7">
        <w:rPr>
          <w:color w:val="auto"/>
          <w:lang w:val="en-US"/>
        </w:rPr>
        <w:t>1983): 349</w:t>
      </w:r>
      <w:r w:rsidR="00F46900" w:rsidRPr="001005B7">
        <w:rPr>
          <w:color w:val="auto"/>
          <w:lang w:val="en-US"/>
        </w:rPr>
        <w:t>–</w:t>
      </w:r>
      <w:r w:rsidR="007F2F2C" w:rsidRPr="001005B7">
        <w:rPr>
          <w:color w:val="auto"/>
          <w:lang w:val="en-US"/>
        </w:rPr>
        <w:t>74.</w:t>
      </w:r>
    </w:p>
    <w:p w14:paraId="17AA6D51" w14:textId="332538C0" w:rsidR="004B5FF1" w:rsidRPr="001005B7" w:rsidRDefault="00360C87" w:rsidP="006F5BB0">
      <w:pPr>
        <w:pStyle w:val="ListParagraph"/>
        <w:rPr>
          <w:color w:val="auto"/>
          <w:lang w:val="en-US"/>
        </w:rPr>
      </w:pPr>
      <w:proofErr w:type="spellStart"/>
      <w:r w:rsidRPr="001005B7">
        <w:rPr>
          <w:color w:val="auto"/>
          <w:lang w:val="en-US"/>
        </w:rPr>
        <w:t>Cherno</w:t>
      </w:r>
      <w:proofErr w:type="spellEnd"/>
      <w:r w:rsidRPr="001005B7">
        <w:rPr>
          <w:color w:val="auto"/>
          <w:lang w:val="en-US"/>
        </w:rPr>
        <w:t>, Melvi</w:t>
      </w:r>
      <w:r w:rsidR="00045C9C" w:rsidRPr="001005B7">
        <w:rPr>
          <w:color w:val="auto"/>
          <w:lang w:val="en-US"/>
        </w:rPr>
        <w:t xml:space="preserve">n. “Feuerbach’s </w:t>
      </w:r>
      <w:r w:rsidR="00F21DDF" w:rsidRPr="001005B7">
        <w:rPr>
          <w:color w:val="auto"/>
          <w:lang w:val="en-US"/>
        </w:rPr>
        <w:t>‘</w:t>
      </w:r>
      <w:r w:rsidR="00045C9C" w:rsidRPr="001005B7">
        <w:rPr>
          <w:color w:val="auto"/>
          <w:lang w:val="en-US"/>
        </w:rPr>
        <w:t>Man Is What He Eats</w:t>
      </w:r>
      <w:r w:rsidR="00006230" w:rsidRPr="001005B7">
        <w:rPr>
          <w:color w:val="auto"/>
          <w:lang w:val="en-US"/>
        </w:rPr>
        <w:t xml:space="preserve">’: A Rectification.” </w:t>
      </w:r>
      <w:r w:rsidR="00006230" w:rsidRPr="001005B7">
        <w:rPr>
          <w:i/>
          <w:color w:val="auto"/>
          <w:lang w:val="en-US"/>
        </w:rPr>
        <w:t>Journal of the History of Ideas</w:t>
      </w:r>
      <w:r w:rsidR="00045C9C" w:rsidRPr="001005B7">
        <w:rPr>
          <w:color w:val="auto"/>
          <w:lang w:val="en-US"/>
        </w:rPr>
        <w:t xml:space="preserve"> </w:t>
      </w:r>
      <w:r w:rsidR="00F21DDF" w:rsidRPr="001005B7">
        <w:rPr>
          <w:color w:val="auto"/>
          <w:lang w:val="en-US"/>
        </w:rPr>
        <w:t xml:space="preserve">24 (1963): </w:t>
      </w:r>
      <w:r w:rsidR="00D75352" w:rsidRPr="001005B7">
        <w:rPr>
          <w:color w:val="auto"/>
          <w:lang w:val="en-US"/>
        </w:rPr>
        <w:t>397</w:t>
      </w:r>
      <w:r w:rsidR="00F46900" w:rsidRPr="001005B7">
        <w:rPr>
          <w:color w:val="auto"/>
          <w:lang w:val="en-US"/>
        </w:rPr>
        <w:t>–</w:t>
      </w:r>
      <w:r w:rsidR="00D75352" w:rsidRPr="001005B7">
        <w:rPr>
          <w:color w:val="auto"/>
          <w:lang w:val="en-US"/>
        </w:rPr>
        <w:t>406.</w:t>
      </w:r>
    </w:p>
    <w:p w14:paraId="41B6C0A0" w14:textId="6AA314DD" w:rsidR="004B5FF1" w:rsidRPr="001005B7" w:rsidRDefault="004B5FF1" w:rsidP="006F5BB0">
      <w:pPr>
        <w:pStyle w:val="ListParagraph"/>
        <w:rPr>
          <w:color w:val="auto"/>
          <w:lang w:val="en-US"/>
        </w:rPr>
      </w:pPr>
      <w:r w:rsidRPr="001005B7">
        <w:rPr>
          <w:color w:val="auto"/>
          <w:lang w:val="en-US"/>
        </w:rPr>
        <w:t>Compton, R. Andrew. “The Sign-Acts of Ezekiel 3:22</w:t>
      </w:r>
      <w:r w:rsidR="00F46900" w:rsidRPr="001005B7">
        <w:rPr>
          <w:color w:val="auto"/>
          <w:lang w:val="en-US"/>
        </w:rPr>
        <w:t>–</w:t>
      </w:r>
      <w:r w:rsidRPr="001005B7">
        <w:rPr>
          <w:color w:val="auto"/>
          <w:lang w:val="en-US"/>
        </w:rPr>
        <w:t xml:space="preserve">5:17: Formative Rituals of Priestly Identity.” </w:t>
      </w:r>
      <w:r w:rsidRPr="001005B7">
        <w:rPr>
          <w:i/>
          <w:color w:val="auto"/>
          <w:lang w:val="en-US"/>
        </w:rPr>
        <w:t xml:space="preserve">Mid-America Journal of Theology </w:t>
      </w:r>
      <w:r w:rsidRPr="001005B7">
        <w:rPr>
          <w:color w:val="auto"/>
          <w:lang w:val="en-US"/>
        </w:rPr>
        <w:t>29 (2018): 47</w:t>
      </w:r>
      <w:r w:rsidR="00F46900" w:rsidRPr="001005B7">
        <w:rPr>
          <w:color w:val="auto"/>
          <w:lang w:val="en-US"/>
        </w:rPr>
        <w:t>–</w:t>
      </w:r>
      <w:r w:rsidRPr="001005B7">
        <w:rPr>
          <w:color w:val="auto"/>
          <w:lang w:val="en-US"/>
        </w:rPr>
        <w:t xml:space="preserve">80. </w:t>
      </w:r>
    </w:p>
    <w:p w14:paraId="0ECF8C89" w14:textId="5F1D6757" w:rsidR="00AD1393" w:rsidRPr="001005B7" w:rsidRDefault="00DA1A87" w:rsidP="006F5BB0">
      <w:pPr>
        <w:pStyle w:val="ListParagraph"/>
        <w:rPr>
          <w:color w:val="auto"/>
          <w:lang w:val="en-US"/>
        </w:rPr>
      </w:pPr>
      <w:r w:rsidRPr="001005B7">
        <w:rPr>
          <w:color w:val="auto"/>
          <w:lang w:val="en-US"/>
        </w:rPr>
        <w:t>Crouch, C</w:t>
      </w:r>
      <w:r w:rsidR="00372568" w:rsidRPr="001005B7">
        <w:rPr>
          <w:color w:val="auto"/>
          <w:lang w:val="en-US"/>
        </w:rPr>
        <w:t xml:space="preserve">. L. “Ezekiel’s Immobility and </w:t>
      </w:r>
      <w:r w:rsidR="0045504F" w:rsidRPr="001005B7">
        <w:rPr>
          <w:color w:val="auto"/>
          <w:lang w:val="en-US"/>
        </w:rPr>
        <w:t xml:space="preserve">the Meaning of </w:t>
      </w:r>
      <w:r w:rsidR="004972DD" w:rsidRPr="001005B7">
        <w:rPr>
          <w:color w:val="auto"/>
          <w:lang w:val="en-US"/>
        </w:rPr>
        <w:t>‘</w:t>
      </w:r>
      <w:r w:rsidR="00441F5B" w:rsidRPr="001005B7">
        <w:rPr>
          <w:color w:val="auto"/>
          <w:lang w:val="en-US"/>
        </w:rPr>
        <w:t>T</w:t>
      </w:r>
      <w:r w:rsidR="0045504F" w:rsidRPr="001005B7">
        <w:rPr>
          <w:color w:val="auto"/>
          <w:lang w:val="en-US"/>
        </w:rPr>
        <w:t>he House of Judah</w:t>
      </w:r>
      <w:r w:rsidR="004972DD" w:rsidRPr="001005B7">
        <w:rPr>
          <w:color w:val="auto"/>
          <w:lang w:val="en-US"/>
        </w:rPr>
        <w:t>’</w:t>
      </w:r>
      <w:r w:rsidR="0045504F" w:rsidRPr="001005B7">
        <w:rPr>
          <w:color w:val="auto"/>
          <w:lang w:val="en-US"/>
        </w:rPr>
        <w:t xml:space="preserve"> in Ezekiel 4.”</w:t>
      </w:r>
      <w:r w:rsidR="00441F5B" w:rsidRPr="001005B7">
        <w:rPr>
          <w:color w:val="auto"/>
          <w:lang w:val="en-US"/>
        </w:rPr>
        <w:t xml:space="preserve"> </w:t>
      </w:r>
      <w:r w:rsidR="00441F5B" w:rsidRPr="001005B7">
        <w:rPr>
          <w:i/>
          <w:color w:val="auto"/>
          <w:lang w:val="en-US"/>
        </w:rPr>
        <w:t xml:space="preserve">JSOT </w:t>
      </w:r>
      <w:r w:rsidR="004972DD" w:rsidRPr="001005B7">
        <w:rPr>
          <w:color w:val="auto"/>
          <w:lang w:val="en-US"/>
        </w:rPr>
        <w:t>44 (2019): 182</w:t>
      </w:r>
      <w:r w:rsidR="00F46900" w:rsidRPr="001005B7">
        <w:rPr>
          <w:color w:val="auto"/>
          <w:lang w:val="en-US"/>
        </w:rPr>
        <w:t>–</w:t>
      </w:r>
      <w:r w:rsidR="004972DD" w:rsidRPr="001005B7">
        <w:rPr>
          <w:color w:val="auto"/>
          <w:lang w:val="en-US"/>
        </w:rPr>
        <w:t xml:space="preserve">97. </w:t>
      </w:r>
    </w:p>
    <w:p w14:paraId="24F5AF36" w14:textId="0D6860D1" w:rsidR="0089175C" w:rsidRPr="001005B7" w:rsidRDefault="0089175C" w:rsidP="006F5BB0">
      <w:pPr>
        <w:pStyle w:val="ListParagraph"/>
        <w:rPr>
          <w:color w:val="auto"/>
          <w:lang w:val="en-US"/>
        </w:rPr>
      </w:pPr>
      <w:proofErr w:type="spellStart"/>
      <w:r w:rsidRPr="001005B7">
        <w:rPr>
          <w:color w:val="auto"/>
          <w:lang w:val="en-US"/>
        </w:rPr>
        <w:t>Friebel</w:t>
      </w:r>
      <w:proofErr w:type="spellEnd"/>
      <w:r w:rsidRPr="001005B7">
        <w:rPr>
          <w:color w:val="auto"/>
          <w:lang w:val="en-US"/>
        </w:rPr>
        <w:t xml:space="preserve">, </w:t>
      </w:r>
      <w:r w:rsidR="00372F50" w:rsidRPr="001005B7">
        <w:rPr>
          <w:color w:val="auto"/>
          <w:lang w:val="en-US"/>
        </w:rPr>
        <w:t xml:space="preserve">Kelvin G. </w:t>
      </w:r>
      <w:r w:rsidR="00372F50" w:rsidRPr="001005B7">
        <w:rPr>
          <w:i/>
          <w:iCs/>
          <w:color w:val="auto"/>
          <w:lang w:val="en-US"/>
        </w:rPr>
        <w:t>Jeremiah’s and Ezekiel’s Sign-Acts</w:t>
      </w:r>
      <w:r w:rsidR="00372F50" w:rsidRPr="001005B7">
        <w:rPr>
          <w:color w:val="auto"/>
          <w:lang w:val="en-US"/>
        </w:rPr>
        <w:t xml:space="preserve">. </w:t>
      </w:r>
      <w:proofErr w:type="spellStart"/>
      <w:r w:rsidR="006F19F2" w:rsidRPr="001005B7">
        <w:rPr>
          <w:color w:val="auto"/>
          <w:lang w:val="en-US"/>
        </w:rPr>
        <w:t>JSOTSup</w:t>
      </w:r>
      <w:proofErr w:type="spellEnd"/>
      <w:r w:rsidR="006F19F2" w:rsidRPr="001005B7">
        <w:rPr>
          <w:color w:val="auto"/>
          <w:lang w:val="en-US"/>
        </w:rPr>
        <w:t xml:space="preserve"> 283. </w:t>
      </w:r>
      <w:r w:rsidR="004E1F31" w:rsidRPr="001005B7">
        <w:rPr>
          <w:color w:val="auto"/>
          <w:lang w:val="en-US"/>
        </w:rPr>
        <w:t xml:space="preserve">Sheffield: Sheffield Academic Press, 1999. </w:t>
      </w:r>
    </w:p>
    <w:p w14:paraId="28FCC54F" w14:textId="08832FA4" w:rsidR="00AD1393" w:rsidRPr="001005B7" w:rsidRDefault="00AD1393" w:rsidP="006F5BB0">
      <w:pPr>
        <w:pStyle w:val="ListParagraph"/>
        <w:rPr>
          <w:color w:val="auto"/>
          <w:lang w:val="en-US"/>
        </w:rPr>
      </w:pPr>
      <w:r w:rsidRPr="001005B7">
        <w:rPr>
          <w:color w:val="auto"/>
          <w:lang w:val="en-US"/>
        </w:rPr>
        <w:t>Lust, J</w:t>
      </w:r>
      <w:r w:rsidR="00AA56C3" w:rsidRPr="001005B7">
        <w:rPr>
          <w:color w:val="auto"/>
          <w:lang w:val="en-US"/>
        </w:rPr>
        <w:t>.</w:t>
      </w:r>
      <w:r w:rsidRPr="001005B7">
        <w:rPr>
          <w:color w:val="auto"/>
          <w:lang w:val="en-US"/>
        </w:rPr>
        <w:t xml:space="preserve">, K. Hauspie, and A. </w:t>
      </w:r>
      <w:proofErr w:type="spellStart"/>
      <w:r w:rsidRPr="001005B7">
        <w:rPr>
          <w:color w:val="auto"/>
          <w:lang w:val="en-US"/>
        </w:rPr>
        <w:t>Ternier</w:t>
      </w:r>
      <w:proofErr w:type="spellEnd"/>
      <w:r w:rsidRPr="001005B7">
        <w:rPr>
          <w:color w:val="auto"/>
          <w:lang w:val="en-US"/>
        </w:rPr>
        <w:t>. “Ezekiel 4 and 5</w:t>
      </w:r>
      <w:r w:rsidRPr="001005B7">
        <w:rPr>
          <w:b/>
          <w:bCs/>
          <w:color w:val="auto"/>
          <w:lang w:val="en-US" w:bidi="he-IL"/>
        </w:rPr>
        <w:t xml:space="preserve"> </w:t>
      </w:r>
      <w:r w:rsidRPr="001005B7">
        <w:rPr>
          <w:color w:val="auto"/>
          <w:lang w:val="en-US"/>
        </w:rPr>
        <w:t xml:space="preserve">in Hebrew and in Greek: Numbers and Ciphers.” </w:t>
      </w:r>
      <w:r w:rsidRPr="001005B7">
        <w:rPr>
          <w:i/>
          <w:color w:val="auto"/>
          <w:lang w:val="en-US"/>
        </w:rPr>
        <w:t>ETL</w:t>
      </w:r>
      <w:r w:rsidRPr="001005B7">
        <w:rPr>
          <w:color w:val="auto"/>
          <w:lang w:val="en-US"/>
        </w:rPr>
        <w:t xml:space="preserve"> 77 (2001):132</w:t>
      </w:r>
      <w:r w:rsidR="00F46900" w:rsidRPr="001005B7">
        <w:rPr>
          <w:color w:val="auto"/>
          <w:lang w:val="en-US"/>
        </w:rPr>
        <w:t>–</w:t>
      </w:r>
      <w:r w:rsidRPr="001005B7">
        <w:rPr>
          <w:color w:val="auto"/>
          <w:lang w:val="en-US"/>
        </w:rPr>
        <w:t>52.</w:t>
      </w:r>
    </w:p>
    <w:p w14:paraId="3DD94B27" w14:textId="18C868EB" w:rsidR="00226C5C" w:rsidRPr="001005B7" w:rsidRDefault="00226C5C" w:rsidP="00CD2DE0">
      <w:pPr>
        <w:tabs>
          <w:tab w:val="left" w:pos="900"/>
        </w:tabs>
        <w:ind w:left="900" w:hanging="900"/>
        <w:contextualSpacing/>
        <w:rPr>
          <w:i/>
        </w:rPr>
      </w:pPr>
      <w:r w:rsidRPr="001005B7">
        <w:t>Lyons</w:t>
      </w:r>
      <w:r w:rsidR="00556809" w:rsidRPr="001005B7">
        <w:t xml:space="preserve"> </w:t>
      </w:r>
      <w:r w:rsidR="001729D2" w:rsidRPr="001005B7">
        <w:t>Michael A. “‘A Barley Cake’ (Ezek 4:12a): Syntax and Redaction.”</w:t>
      </w:r>
      <w:r w:rsidR="001934B2" w:rsidRPr="001005B7">
        <w:t xml:space="preserve"> </w:t>
      </w:r>
      <w:r w:rsidR="00753A6F" w:rsidRPr="001005B7">
        <w:rPr>
          <w:i/>
        </w:rPr>
        <w:t>Journal of Northwest Semitic Languages</w:t>
      </w:r>
      <w:r w:rsidR="00556809" w:rsidRPr="001005B7">
        <w:rPr>
          <w:i/>
        </w:rPr>
        <w:t xml:space="preserve"> </w:t>
      </w:r>
      <w:r w:rsidR="00556809" w:rsidRPr="001005B7">
        <w:t xml:space="preserve">40 (2014): </w:t>
      </w:r>
      <w:r w:rsidR="00385F2A" w:rsidRPr="001005B7">
        <w:t>79</w:t>
      </w:r>
      <w:r w:rsidR="00F46900" w:rsidRPr="001005B7">
        <w:t>–</w:t>
      </w:r>
      <w:r w:rsidR="00385F2A" w:rsidRPr="001005B7">
        <w:t xml:space="preserve">92. </w:t>
      </w:r>
    </w:p>
    <w:p w14:paraId="051E2E3E" w14:textId="1AF17AD1" w:rsidR="00690CE3" w:rsidRPr="001005B7" w:rsidRDefault="00C66B7C" w:rsidP="006F5BB0">
      <w:pPr>
        <w:pStyle w:val="ListParagraph"/>
        <w:rPr>
          <w:color w:val="auto"/>
          <w:lang w:val="en-US"/>
        </w:rPr>
      </w:pPr>
      <w:r w:rsidRPr="001005B7">
        <w:rPr>
          <w:i/>
          <w:iCs/>
          <w:color w:val="auto"/>
          <w:lang w:val="en-US"/>
        </w:rPr>
        <w:t xml:space="preserve">––– </w:t>
      </w:r>
      <w:r w:rsidR="00F113C0" w:rsidRPr="001005B7">
        <w:rPr>
          <w:color w:val="auto"/>
          <w:lang w:val="en-US"/>
        </w:rPr>
        <w:t>“</w:t>
      </w:r>
      <w:r w:rsidR="00690CE3" w:rsidRPr="001005B7">
        <w:rPr>
          <w:color w:val="auto"/>
          <w:lang w:val="en-US"/>
        </w:rPr>
        <w:t>Out of the (Model) City, into the Fire: The Meaning of Ezekiel 5:3-4.</w:t>
      </w:r>
      <w:r w:rsidR="00606CDD" w:rsidRPr="001005B7">
        <w:rPr>
          <w:color w:val="auto"/>
          <w:lang w:val="en-US"/>
        </w:rPr>
        <w:t xml:space="preserve">” </w:t>
      </w:r>
      <w:r w:rsidR="00606CDD" w:rsidRPr="001005B7">
        <w:rPr>
          <w:i/>
          <w:color w:val="auto"/>
          <w:lang w:val="en-US"/>
        </w:rPr>
        <w:t xml:space="preserve">JBL </w:t>
      </w:r>
      <w:r w:rsidR="00606CDD" w:rsidRPr="001005B7">
        <w:rPr>
          <w:color w:val="auto"/>
          <w:lang w:val="en-US"/>
        </w:rPr>
        <w:t>138 (2019: 605</w:t>
      </w:r>
      <w:r w:rsidR="00F46900" w:rsidRPr="001005B7">
        <w:rPr>
          <w:color w:val="auto"/>
          <w:lang w:val="en-US"/>
        </w:rPr>
        <w:t>–</w:t>
      </w:r>
      <w:r w:rsidR="00606CDD" w:rsidRPr="001005B7">
        <w:rPr>
          <w:color w:val="auto"/>
          <w:lang w:val="en-US"/>
        </w:rPr>
        <w:t>23.</w:t>
      </w:r>
    </w:p>
    <w:p w14:paraId="1B427C5B" w14:textId="79040AC2" w:rsidR="00FC5A03" w:rsidRPr="001005B7" w:rsidRDefault="00057167" w:rsidP="006F5BB0">
      <w:pPr>
        <w:pStyle w:val="ListParagraph"/>
        <w:rPr>
          <w:color w:val="auto"/>
          <w:lang w:val="en-US"/>
        </w:rPr>
      </w:pPr>
      <w:r w:rsidRPr="001005B7">
        <w:rPr>
          <w:color w:val="auto"/>
          <w:lang w:val="en-US"/>
        </w:rPr>
        <w:t xml:space="preserve">Phinney, D. Nathan. </w:t>
      </w:r>
      <w:r w:rsidR="00B45065" w:rsidRPr="001005B7">
        <w:rPr>
          <w:color w:val="auto"/>
          <w:lang w:val="en-US"/>
        </w:rPr>
        <w:t>“The Prophetic Objection in Ezekiel iv 14 and its Relation to Ezekiel's Call.”</w:t>
      </w:r>
      <w:r w:rsidR="005E579E" w:rsidRPr="001005B7">
        <w:rPr>
          <w:color w:val="auto"/>
          <w:lang w:val="en-US"/>
        </w:rPr>
        <w:t xml:space="preserve"> </w:t>
      </w:r>
      <w:r w:rsidR="005E579E" w:rsidRPr="001005B7">
        <w:rPr>
          <w:i/>
          <w:color w:val="auto"/>
          <w:lang w:val="en-US"/>
        </w:rPr>
        <w:t xml:space="preserve">VT </w:t>
      </w:r>
      <w:r w:rsidR="00A62E6B" w:rsidRPr="001005B7">
        <w:rPr>
          <w:color w:val="auto"/>
          <w:lang w:val="en-US"/>
        </w:rPr>
        <w:t>55 (</w:t>
      </w:r>
      <w:r w:rsidR="005E579E" w:rsidRPr="001005B7">
        <w:rPr>
          <w:color w:val="auto"/>
          <w:lang w:val="en-US"/>
        </w:rPr>
        <w:t xml:space="preserve">1955): </w:t>
      </w:r>
      <w:r w:rsidR="00A62E6B" w:rsidRPr="001005B7">
        <w:rPr>
          <w:color w:val="auto"/>
          <w:lang w:val="en-US"/>
        </w:rPr>
        <w:t>75</w:t>
      </w:r>
      <w:r w:rsidR="00F46900" w:rsidRPr="001005B7">
        <w:rPr>
          <w:color w:val="auto"/>
          <w:lang w:val="en-US"/>
        </w:rPr>
        <w:t>–</w:t>
      </w:r>
      <w:r w:rsidR="00A62E6B" w:rsidRPr="001005B7">
        <w:rPr>
          <w:color w:val="auto"/>
          <w:lang w:val="en-US"/>
        </w:rPr>
        <w:t xml:space="preserve">88. </w:t>
      </w:r>
    </w:p>
    <w:p w14:paraId="1F56A204" w14:textId="62A44E00" w:rsidR="00E24B5F" w:rsidRPr="001005B7" w:rsidRDefault="00E24B5F" w:rsidP="006F5BB0">
      <w:pPr>
        <w:pStyle w:val="ListParagraph"/>
        <w:rPr>
          <w:color w:val="auto"/>
          <w:lang w:val="en-US"/>
        </w:rPr>
      </w:pPr>
      <w:r w:rsidRPr="001005B7">
        <w:rPr>
          <w:color w:val="auto"/>
          <w:lang w:val="en-US"/>
        </w:rPr>
        <w:t>Turner, P</w:t>
      </w:r>
      <w:r w:rsidR="00A066B0" w:rsidRPr="001005B7">
        <w:rPr>
          <w:color w:val="auto"/>
          <w:lang w:val="en-US"/>
        </w:rPr>
        <w:t>riscilla</w:t>
      </w:r>
      <w:r w:rsidRPr="001005B7">
        <w:rPr>
          <w:color w:val="auto"/>
          <w:lang w:val="en-US"/>
        </w:rPr>
        <w:t xml:space="preserve"> D. M.</w:t>
      </w:r>
      <w:r w:rsidR="00701174" w:rsidRPr="001005B7">
        <w:rPr>
          <w:color w:val="auto"/>
          <w:lang w:val="en-US"/>
        </w:rPr>
        <w:t xml:space="preserve"> </w:t>
      </w:r>
      <w:r w:rsidR="00701174" w:rsidRPr="001005B7">
        <w:rPr>
          <w:color w:val="auto"/>
          <w:shd w:val="clear" w:color="auto" w:fill="FFFFFF"/>
          <w:lang w:val="en-US"/>
        </w:rPr>
        <w:t xml:space="preserve">“The </w:t>
      </w:r>
      <w:r w:rsidR="00226193" w:rsidRPr="001005B7">
        <w:rPr>
          <w:color w:val="auto"/>
          <w:shd w:val="clear" w:color="auto" w:fill="FFFFFF"/>
          <w:lang w:val="en-US"/>
        </w:rPr>
        <w:t>T</w:t>
      </w:r>
      <w:r w:rsidR="00582F23" w:rsidRPr="001005B7">
        <w:rPr>
          <w:color w:val="auto"/>
          <w:shd w:val="clear" w:color="auto" w:fill="FFFFFF"/>
          <w:lang w:val="en-US"/>
        </w:rPr>
        <w:t xml:space="preserve">ranslator(s) of Ezekiel </w:t>
      </w:r>
      <w:r w:rsidR="00226193" w:rsidRPr="001005B7">
        <w:rPr>
          <w:color w:val="auto"/>
          <w:shd w:val="clear" w:color="auto" w:fill="FFFFFF"/>
          <w:lang w:val="en-US"/>
        </w:rPr>
        <w:t>R</w:t>
      </w:r>
      <w:r w:rsidR="00582F23" w:rsidRPr="001005B7">
        <w:rPr>
          <w:color w:val="auto"/>
          <w:shd w:val="clear" w:color="auto" w:fill="FFFFFF"/>
          <w:lang w:val="en-US"/>
        </w:rPr>
        <w:t xml:space="preserve">evisited: </w:t>
      </w:r>
      <w:r w:rsidR="00226193" w:rsidRPr="001005B7">
        <w:rPr>
          <w:color w:val="auto"/>
          <w:shd w:val="clear" w:color="auto" w:fill="FFFFFF"/>
          <w:lang w:val="en-US"/>
        </w:rPr>
        <w:t>I</w:t>
      </w:r>
      <w:r w:rsidR="00582F23" w:rsidRPr="001005B7">
        <w:rPr>
          <w:color w:val="auto"/>
          <w:shd w:val="clear" w:color="auto" w:fill="FFFFFF"/>
          <w:lang w:val="en-US"/>
        </w:rPr>
        <w:t xml:space="preserve">diosyncratic LXX </w:t>
      </w:r>
      <w:r w:rsidR="00226193" w:rsidRPr="001005B7">
        <w:rPr>
          <w:color w:val="auto"/>
          <w:shd w:val="clear" w:color="auto" w:fill="FFFFFF"/>
          <w:lang w:val="en-US"/>
        </w:rPr>
        <w:t>R</w:t>
      </w:r>
      <w:r w:rsidR="00582F23" w:rsidRPr="001005B7">
        <w:rPr>
          <w:color w:val="auto"/>
          <w:shd w:val="clear" w:color="auto" w:fill="FFFFFF"/>
          <w:lang w:val="en-US"/>
        </w:rPr>
        <w:t xml:space="preserve">enderings as a </w:t>
      </w:r>
      <w:r w:rsidR="00226193" w:rsidRPr="001005B7">
        <w:rPr>
          <w:color w:val="auto"/>
          <w:shd w:val="clear" w:color="auto" w:fill="FFFFFF"/>
          <w:lang w:val="en-US"/>
        </w:rPr>
        <w:t>C</w:t>
      </w:r>
      <w:r w:rsidR="00582F23" w:rsidRPr="001005B7">
        <w:rPr>
          <w:color w:val="auto"/>
          <w:shd w:val="clear" w:color="auto" w:fill="FFFFFF"/>
          <w:lang w:val="en-US"/>
        </w:rPr>
        <w:t xml:space="preserve">lue to </w:t>
      </w:r>
      <w:r w:rsidR="00226193" w:rsidRPr="001005B7">
        <w:rPr>
          <w:color w:val="auto"/>
          <w:shd w:val="clear" w:color="auto" w:fill="FFFFFF"/>
          <w:lang w:val="en-US"/>
        </w:rPr>
        <w:t>I</w:t>
      </w:r>
      <w:r w:rsidR="00582F23" w:rsidRPr="001005B7">
        <w:rPr>
          <w:color w:val="auto"/>
          <w:shd w:val="clear" w:color="auto" w:fill="FFFFFF"/>
          <w:lang w:val="en-US"/>
        </w:rPr>
        <w:t xml:space="preserve">nner </w:t>
      </w:r>
      <w:r w:rsidR="00226193" w:rsidRPr="001005B7">
        <w:rPr>
          <w:color w:val="auto"/>
          <w:shd w:val="clear" w:color="auto" w:fill="FFFFFF"/>
          <w:lang w:val="en-US"/>
        </w:rPr>
        <w:t>H</w:t>
      </w:r>
      <w:r w:rsidR="00582F23" w:rsidRPr="001005B7">
        <w:rPr>
          <w:color w:val="auto"/>
          <w:shd w:val="clear" w:color="auto" w:fill="FFFFFF"/>
          <w:lang w:val="en-US"/>
        </w:rPr>
        <w:t>ist</w:t>
      </w:r>
      <w:r w:rsidR="00226193" w:rsidRPr="001005B7">
        <w:rPr>
          <w:color w:val="auto"/>
          <w:shd w:val="clear" w:color="auto" w:fill="FFFFFF"/>
          <w:lang w:val="en-US"/>
        </w:rPr>
        <w:t>ory</w:t>
      </w:r>
      <w:r w:rsidR="00701174" w:rsidRPr="001005B7">
        <w:rPr>
          <w:color w:val="auto"/>
          <w:shd w:val="clear" w:color="auto" w:fill="FFFFFF"/>
          <w:lang w:val="en-US"/>
        </w:rPr>
        <w:t>.”</w:t>
      </w:r>
      <w:r w:rsidR="00C64C01" w:rsidRPr="001005B7">
        <w:rPr>
          <w:color w:val="auto"/>
          <w:shd w:val="clear" w:color="auto" w:fill="FFFFFF"/>
          <w:lang w:val="en-US"/>
        </w:rPr>
        <w:t xml:space="preserve"> In </w:t>
      </w:r>
      <w:proofErr w:type="spellStart"/>
      <w:r w:rsidR="00C64C01" w:rsidRPr="001005B7">
        <w:rPr>
          <w:color w:val="auto"/>
          <w:shd w:val="clear" w:color="auto" w:fill="FFFFFF"/>
          <w:lang w:val="en-US"/>
        </w:rPr>
        <w:t>Raija</w:t>
      </w:r>
      <w:proofErr w:type="spellEnd"/>
      <w:r w:rsidR="00C64C01" w:rsidRPr="001005B7">
        <w:rPr>
          <w:color w:val="auto"/>
          <w:shd w:val="clear" w:color="auto" w:fill="FFFFFF"/>
          <w:lang w:val="en-US"/>
        </w:rPr>
        <w:t xml:space="preserve"> </w:t>
      </w:r>
      <w:proofErr w:type="spellStart"/>
      <w:r w:rsidR="00C64C01" w:rsidRPr="001005B7">
        <w:rPr>
          <w:color w:val="auto"/>
          <w:shd w:val="clear" w:color="auto" w:fill="FFFFFF"/>
          <w:lang w:val="en-US"/>
        </w:rPr>
        <w:t>Sollamo</w:t>
      </w:r>
      <w:proofErr w:type="spellEnd"/>
      <w:r w:rsidR="00C64C01" w:rsidRPr="001005B7">
        <w:rPr>
          <w:color w:val="auto"/>
          <w:shd w:val="clear" w:color="auto" w:fill="FFFFFF"/>
          <w:lang w:val="en-US"/>
        </w:rPr>
        <w:t xml:space="preserve"> and Seppo </w:t>
      </w:r>
      <w:proofErr w:type="spellStart"/>
      <w:r w:rsidR="00C64C01" w:rsidRPr="001005B7">
        <w:rPr>
          <w:color w:val="auto"/>
          <w:shd w:val="clear" w:color="auto" w:fill="FFFFFF"/>
          <w:lang w:val="en-US"/>
        </w:rPr>
        <w:t>Sipilä</w:t>
      </w:r>
      <w:proofErr w:type="spellEnd"/>
      <w:r w:rsidR="00E63AC4" w:rsidRPr="001005B7">
        <w:rPr>
          <w:color w:val="auto"/>
          <w:shd w:val="clear" w:color="auto" w:fill="FFFFFF"/>
          <w:lang w:val="en-US"/>
        </w:rPr>
        <w:t>, ed.</w:t>
      </w:r>
      <w:r w:rsidR="0031430D" w:rsidRPr="001005B7">
        <w:rPr>
          <w:color w:val="auto"/>
          <w:shd w:val="clear" w:color="auto" w:fill="FFFFFF"/>
          <w:lang w:val="en-US"/>
        </w:rPr>
        <w:t xml:space="preserve">, </w:t>
      </w:r>
      <w:r w:rsidRPr="001005B7">
        <w:rPr>
          <w:rStyle w:val="a-size-extra-large"/>
          <w:i/>
          <w:iCs/>
          <w:color w:val="auto"/>
          <w:lang w:val="en-US"/>
        </w:rPr>
        <w:t xml:space="preserve">Helsinki </w:t>
      </w:r>
      <w:r w:rsidR="0031430D" w:rsidRPr="001005B7">
        <w:rPr>
          <w:rStyle w:val="a-size-extra-large"/>
          <w:i/>
          <w:iCs/>
          <w:color w:val="auto"/>
          <w:lang w:val="en-US"/>
        </w:rPr>
        <w:t>P</w:t>
      </w:r>
      <w:r w:rsidRPr="001005B7">
        <w:rPr>
          <w:rStyle w:val="a-size-extra-large"/>
          <w:i/>
          <w:iCs/>
          <w:color w:val="auto"/>
          <w:lang w:val="en-US"/>
        </w:rPr>
        <w:t xml:space="preserve">erspectives on the </w:t>
      </w:r>
      <w:r w:rsidR="0031430D" w:rsidRPr="001005B7">
        <w:rPr>
          <w:rStyle w:val="a-size-extra-large"/>
          <w:i/>
          <w:iCs/>
          <w:color w:val="auto"/>
          <w:lang w:val="en-US"/>
        </w:rPr>
        <w:t>T</w:t>
      </w:r>
      <w:r w:rsidRPr="001005B7">
        <w:rPr>
          <w:rStyle w:val="a-size-extra-large"/>
          <w:i/>
          <w:iCs/>
          <w:color w:val="auto"/>
          <w:lang w:val="en-US"/>
        </w:rPr>
        <w:t xml:space="preserve">ranslation </w:t>
      </w:r>
      <w:r w:rsidR="0031430D" w:rsidRPr="001005B7">
        <w:rPr>
          <w:rStyle w:val="a-size-extra-large"/>
          <w:i/>
          <w:iCs/>
          <w:color w:val="auto"/>
          <w:lang w:val="en-US"/>
        </w:rPr>
        <w:t>T</w:t>
      </w:r>
      <w:r w:rsidRPr="001005B7">
        <w:rPr>
          <w:rStyle w:val="a-size-extra-large"/>
          <w:i/>
          <w:iCs/>
          <w:color w:val="auto"/>
          <w:lang w:val="en-US"/>
        </w:rPr>
        <w:t xml:space="preserve">echnique of the Septuagint: </w:t>
      </w:r>
      <w:r w:rsidR="0031430D" w:rsidRPr="001005B7">
        <w:rPr>
          <w:rStyle w:val="a-size-extra-large"/>
          <w:i/>
          <w:iCs/>
          <w:color w:val="auto"/>
          <w:lang w:val="en-US"/>
        </w:rPr>
        <w:t>P</w:t>
      </w:r>
      <w:r w:rsidRPr="001005B7">
        <w:rPr>
          <w:rStyle w:val="a-size-extra-large"/>
          <w:i/>
          <w:iCs/>
          <w:color w:val="auto"/>
          <w:lang w:val="en-US"/>
        </w:rPr>
        <w:t>roceedings of the IOSCS congress in Helsinki 1999</w:t>
      </w:r>
      <w:r w:rsidR="00222278" w:rsidRPr="001005B7">
        <w:rPr>
          <w:rStyle w:val="a-size-extra-large"/>
          <w:color w:val="auto"/>
          <w:lang w:val="en-US"/>
        </w:rPr>
        <w:t xml:space="preserve">, </w:t>
      </w:r>
      <w:r w:rsidR="00381AA5" w:rsidRPr="001005B7">
        <w:rPr>
          <w:rStyle w:val="a-size-extra-large"/>
          <w:color w:val="auto"/>
          <w:lang w:val="en-US"/>
        </w:rPr>
        <w:t>279</w:t>
      </w:r>
      <w:r w:rsidR="00F46900" w:rsidRPr="001005B7">
        <w:rPr>
          <w:rStyle w:val="a-size-extra-large"/>
          <w:color w:val="auto"/>
          <w:lang w:val="en-US"/>
        </w:rPr>
        <w:t>–</w:t>
      </w:r>
      <w:r w:rsidR="00381AA5" w:rsidRPr="001005B7">
        <w:rPr>
          <w:rStyle w:val="a-size-extra-large"/>
          <w:color w:val="auto"/>
          <w:lang w:val="en-US"/>
        </w:rPr>
        <w:t xml:space="preserve">307. </w:t>
      </w:r>
      <w:r w:rsidR="00BE1BE8" w:rsidRPr="001005B7">
        <w:rPr>
          <w:color w:val="auto"/>
          <w:lang w:val="en-US"/>
        </w:rPr>
        <w:t xml:space="preserve">Göttingen: </w:t>
      </w:r>
      <w:proofErr w:type="spellStart"/>
      <w:r w:rsidR="00BE1BE8" w:rsidRPr="001005B7">
        <w:rPr>
          <w:color w:val="auto"/>
          <w:lang w:val="en-US"/>
        </w:rPr>
        <w:t>Vandenhoeck</w:t>
      </w:r>
      <w:proofErr w:type="spellEnd"/>
      <w:r w:rsidR="00217B38">
        <w:rPr>
          <w:color w:val="auto"/>
          <w:lang w:val="en-US"/>
        </w:rPr>
        <w:t xml:space="preserve"> </w:t>
      </w:r>
      <w:r w:rsidR="00217B38">
        <w:t>&amp; Ruprecht</w:t>
      </w:r>
      <w:r w:rsidR="00381AA5" w:rsidRPr="001005B7">
        <w:rPr>
          <w:rStyle w:val="a-size-extra-large"/>
          <w:color w:val="auto"/>
          <w:lang w:val="en-US"/>
        </w:rPr>
        <w:t>, 2001.</w:t>
      </w:r>
    </w:p>
    <w:p w14:paraId="678DF153" w14:textId="4BFB01E1" w:rsidR="00641AE7" w:rsidRPr="001005B7" w:rsidRDefault="00641AE7" w:rsidP="006F5BB0">
      <w:pPr>
        <w:pStyle w:val="ListParagraph"/>
        <w:rPr>
          <w:color w:val="auto"/>
          <w:lang w:val="en-US"/>
        </w:rPr>
      </w:pPr>
      <w:proofErr w:type="spellStart"/>
      <w:r w:rsidRPr="001005B7">
        <w:rPr>
          <w:color w:val="auto"/>
          <w:lang w:val="en-US"/>
        </w:rPr>
        <w:t>Uehlinger</w:t>
      </w:r>
      <w:proofErr w:type="spellEnd"/>
      <w:r w:rsidRPr="001005B7">
        <w:rPr>
          <w:color w:val="auto"/>
          <w:lang w:val="en-US"/>
        </w:rPr>
        <w:t>, Christoph. “</w:t>
      </w:r>
      <w:r w:rsidR="00FF4CCD" w:rsidRPr="001005B7">
        <w:rPr>
          <w:color w:val="auto"/>
          <w:lang w:val="en-US"/>
        </w:rPr>
        <w:t>‘</w:t>
      </w:r>
      <w:proofErr w:type="spellStart"/>
      <w:r w:rsidRPr="001005B7">
        <w:rPr>
          <w:color w:val="auto"/>
          <w:lang w:val="en-US"/>
        </w:rPr>
        <w:t>Zeichne</w:t>
      </w:r>
      <w:proofErr w:type="spellEnd"/>
      <w:r w:rsidRPr="001005B7">
        <w:rPr>
          <w:color w:val="auto"/>
          <w:lang w:val="en-US"/>
        </w:rPr>
        <w:t xml:space="preserve"> </w:t>
      </w:r>
      <w:proofErr w:type="spellStart"/>
      <w:r w:rsidRPr="001005B7">
        <w:rPr>
          <w:color w:val="auto"/>
          <w:lang w:val="en-US"/>
        </w:rPr>
        <w:t>eine</w:t>
      </w:r>
      <w:proofErr w:type="spellEnd"/>
      <w:r w:rsidRPr="001005B7">
        <w:rPr>
          <w:color w:val="auto"/>
          <w:lang w:val="en-US"/>
        </w:rPr>
        <w:t xml:space="preserve"> Stadt</w:t>
      </w:r>
      <w:r w:rsidR="003A293C" w:rsidRPr="001005B7">
        <w:rPr>
          <w:color w:val="auto"/>
          <w:lang w:val="en-US"/>
        </w:rPr>
        <w:t xml:space="preserve"> </w:t>
      </w:r>
      <w:r w:rsidR="00071AB8" w:rsidRPr="001005B7">
        <w:rPr>
          <w:color w:val="auto"/>
          <w:lang w:val="en-US"/>
        </w:rPr>
        <w:t>…</w:t>
      </w:r>
      <w:r w:rsidR="003A293C" w:rsidRPr="001005B7">
        <w:rPr>
          <w:color w:val="auto"/>
          <w:lang w:val="en-US"/>
        </w:rPr>
        <w:t xml:space="preserve"> und </w:t>
      </w:r>
      <w:proofErr w:type="spellStart"/>
      <w:r w:rsidR="00100269" w:rsidRPr="001005B7">
        <w:rPr>
          <w:color w:val="auto"/>
          <w:lang w:val="en-US"/>
        </w:rPr>
        <w:t>b</w:t>
      </w:r>
      <w:r w:rsidR="003A293C" w:rsidRPr="001005B7">
        <w:rPr>
          <w:color w:val="auto"/>
          <w:lang w:val="en-US"/>
        </w:rPr>
        <w:t>elagere</w:t>
      </w:r>
      <w:proofErr w:type="spellEnd"/>
      <w:r w:rsidR="003A293C" w:rsidRPr="001005B7">
        <w:rPr>
          <w:color w:val="auto"/>
          <w:lang w:val="en-US"/>
        </w:rPr>
        <w:t xml:space="preserve"> </w:t>
      </w:r>
      <w:proofErr w:type="spellStart"/>
      <w:r w:rsidR="003A293C" w:rsidRPr="001005B7">
        <w:rPr>
          <w:color w:val="auto"/>
          <w:lang w:val="en-US"/>
        </w:rPr>
        <w:t>si</w:t>
      </w:r>
      <w:r w:rsidR="008A1924" w:rsidRPr="001005B7">
        <w:rPr>
          <w:color w:val="auto"/>
          <w:lang w:val="en-US"/>
        </w:rPr>
        <w:t>e</w:t>
      </w:r>
      <w:proofErr w:type="spellEnd"/>
      <w:r w:rsidR="00FF4CCD" w:rsidRPr="001005B7">
        <w:rPr>
          <w:color w:val="auto"/>
          <w:lang w:val="en-US"/>
        </w:rPr>
        <w:t>!’ Bild und Wort in</w:t>
      </w:r>
      <w:r w:rsidR="0071471E" w:rsidRPr="001005B7">
        <w:rPr>
          <w:color w:val="auto"/>
          <w:lang w:val="en-US"/>
        </w:rPr>
        <w:t xml:space="preserve"> </w:t>
      </w:r>
      <w:proofErr w:type="spellStart"/>
      <w:r w:rsidR="0071471E" w:rsidRPr="001005B7">
        <w:rPr>
          <w:color w:val="auto"/>
          <w:lang w:val="en-US"/>
        </w:rPr>
        <w:t>einer</w:t>
      </w:r>
      <w:proofErr w:type="spellEnd"/>
      <w:r w:rsidR="0071471E" w:rsidRPr="001005B7">
        <w:rPr>
          <w:color w:val="auto"/>
          <w:lang w:val="en-US"/>
        </w:rPr>
        <w:t xml:space="preserve"> </w:t>
      </w:r>
      <w:proofErr w:type="spellStart"/>
      <w:r w:rsidR="0071471E" w:rsidRPr="001005B7">
        <w:rPr>
          <w:color w:val="auto"/>
          <w:lang w:val="en-US"/>
        </w:rPr>
        <w:t>Ze</w:t>
      </w:r>
      <w:r w:rsidR="005109A7" w:rsidRPr="001005B7">
        <w:rPr>
          <w:color w:val="auto"/>
          <w:lang w:val="en-US"/>
        </w:rPr>
        <w:t>i</w:t>
      </w:r>
      <w:r w:rsidR="0071471E" w:rsidRPr="001005B7">
        <w:rPr>
          <w:color w:val="auto"/>
          <w:lang w:val="en-US"/>
        </w:rPr>
        <w:t>chundhandlung</w:t>
      </w:r>
      <w:proofErr w:type="spellEnd"/>
      <w:r w:rsidR="0071471E" w:rsidRPr="001005B7">
        <w:rPr>
          <w:color w:val="auto"/>
          <w:lang w:val="en-US"/>
        </w:rPr>
        <w:t xml:space="preserve"> </w:t>
      </w:r>
      <w:proofErr w:type="spellStart"/>
      <w:r w:rsidR="0071471E" w:rsidRPr="001005B7">
        <w:rPr>
          <w:color w:val="auto"/>
          <w:lang w:val="en-US"/>
        </w:rPr>
        <w:t>Ezechiels</w:t>
      </w:r>
      <w:proofErr w:type="spellEnd"/>
      <w:r w:rsidR="0071471E" w:rsidRPr="001005B7">
        <w:rPr>
          <w:color w:val="auto"/>
          <w:lang w:val="en-US"/>
        </w:rPr>
        <w:t xml:space="preserve"> </w:t>
      </w:r>
      <w:proofErr w:type="spellStart"/>
      <w:r w:rsidR="0071471E" w:rsidRPr="001005B7">
        <w:rPr>
          <w:color w:val="auto"/>
          <w:lang w:val="en-US"/>
        </w:rPr>
        <w:t>gegen</w:t>
      </w:r>
      <w:proofErr w:type="spellEnd"/>
      <w:r w:rsidR="0071471E" w:rsidRPr="001005B7">
        <w:rPr>
          <w:color w:val="auto"/>
          <w:lang w:val="en-US"/>
        </w:rPr>
        <w:t xml:space="preserve"> </w:t>
      </w:r>
      <w:r w:rsidR="0084001D" w:rsidRPr="001005B7">
        <w:rPr>
          <w:color w:val="auto"/>
          <w:lang w:val="en-US"/>
        </w:rPr>
        <w:t>Jerusalem (</w:t>
      </w:r>
      <w:proofErr w:type="spellStart"/>
      <w:r w:rsidR="0084001D" w:rsidRPr="001005B7">
        <w:rPr>
          <w:color w:val="auto"/>
          <w:lang w:val="en-US"/>
        </w:rPr>
        <w:t>Ez</w:t>
      </w:r>
      <w:proofErr w:type="spellEnd"/>
      <w:r w:rsidR="0084001D" w:rsidRPr="001005B7">
        <w:rPr>
          <w:color w:val="auto"/>
          <w:lang w:val="en-US"/>
        </w:rPr>
        <w:t xml:space="preserve"> 4f).” </w:t>
      </w:r>
      <w:r w:rsidR="009848D7" w:rsidRPr="001005B7">
        <w:rPr>
          <w:color w:val="auto"/>
          <w:lang w:val="en-US"/>
        </w:rPr>
        <w:t>In</w:t>
      </w:r>
      <w:r w:rsidR="005539AC" w:rsidRPr="001005B7">
        <w:rPr>
          <w:color w:val="auto"/>
          <w:lang w:val="en-US"/>
        </w:rPr>
        <w:t xml:space="preserve"> </w:t>
      </w:r>
      <w:r w:rsidR="005109A7" w:rsidRPr="001005B7">
        <w:rPr>
          <w:color w:val="auto"/>
          <w:lang w:val="en-US"/>
        </w:rPr>
        <w:t xml:space="preserve">Max </w:t>
      </w:r>
      <w:proofErr w:type="spellStart"/>
      <w:r w:rsidR="005109A7" w:rsidRPr="001005B7">
        <w:rPr>
          <w:color w:val="auto"/>
          <w:lang w:val="en-US"/>
        </w:rPr>
        <w:t>Küchler</w:t>
      </w:r>
      <w:proofErr w:type="spellEnd"/>
      <w:r w:rsidR="005109A7" w:rsidRPr="001005B7">
        <w:rPr>
          <w:color w:val="auto"/>
          <w:lang w:val="en-US"/>
        </w:rPr>
        <w:t xml:space="preserve"> and Christoph </w:t>
      </w:r>
      <w:proofErr w:type="spellStart"/>
      <w:r w:rsidR="005109A7" w:rsidRPr="001005B7">
        <w:rPr>
          <w:color w:val="auto"/>
          <w:lang w:val="en-US"/>
        </w:rPr>
        <w:t>Uehlinger</w:t>
      </w:r>
      <w:proofErr w:type="spellEnd"/>
      <w:r w:rsidR="002A239E" w:rsidRPr="001005B7">
        <w:rPr>
          <w:color w:val="auto"/>
          <w:lang w:val="en-US"/>
        </w:rPr>
        <w:t>, ed.,</w:t>
      </w:r>
      <w:r w:rsidR="005109A7" w:rsidRPr="001005B7">
        <w:rPr>
          <w:i/>
          <w:color w:val="auto"/>
          <w:lang w:val="en-US"/>
        </w:rPr>
        <w:t xml:space="preserve"> </w:t>
      </w:r>
      <w:r w:rsidR="005539AC" w:rsidRPr="001005B7">
        <w:rPr>
          <w:i/>
          <w:color w:val="auto"/>
          <w:lang w:val="en-US"/>
        </w:rPr>
        <w:t xml:space="preserve">Jerusalem: </w:t>
      </w:r>
      <w:proofErr w:type="spellStart"/>
      <w:r w:rsidR="005539AC" w:rsidRPr="001005B7">
        <w:rPr>
          <w:i/>
          <w:color w:val="auto"/>
          <w:lang w:val="en-US"/>
        </w:rPr>
        <w:t>Texte</w:t>
      </w:r>
      <w:proofErr w:type="spellEnd"/>
      <w:r w:rsidR="005539AC" w:rsidRPr="001005B7">
        <w:rPr>
          <w:i/>
          <w:color w:val="auto"/>
          <w:lang w:val="en-US"/>
        </w:rPr>
        <w:t>—</w:t>
      </w:r>
      <w:proofErr w:type="spellStart"/>
      <w:r w:rsidR="005539AC" w:rsidRPr="001005B7">
        <w:rPr>
          <w:i/>
          <w:color w:val="auto"/>
          <w:lang w:val="en-US"/>
        </w:rPr>
        <w:t>Bilder</w:t>
      </w:r>
      <w:proofErr w:type="spellEnd"/>
      <w:r w:rsidR="00C94F79" w:rsidRPr="001005B7">
        <w:rPr>
          <w:i/>
          <w:color w:val="auto"/>
          <w:lang w:val="en-US"/>
        </w:rPr>
        <w:t>—</w:t>
      </w:r>
      <w:proofErr w:type="spellStart"/>
      <w:r w:rsidR="00C94F79" w:rsidRPr="001005B7">
        <w:rPr>
          <w:i/>
          <w:color w:val="auto"/>
          <w:lang w:val="en-US"/>
        </w:rPr>
        <w:t>Steine</w:t>
      </w:r>
      <w:proofErr w:type="spellEnd"/>
      <w:r w:rsidR="00904E2A" w:rsidRPr="001005B7">
        <w:rPr>
          <w:color w:val="auto"/>
          <w:lang w:val="en-US"/>
        </w:rPr>
        <w:t>:</w:t>
      </w:r>
      <w:r w:rsidR="00C94F79" w:rsidRPr="001005B7">
        <w:rPr>
          <w:color w:val="auto"/>
          <w:lang w:val="en-US"/>
        </w:rPr>
        <w:t xml:space="preserve"> </w:t>
      </w:r>
      <w:proofErr w:type="spellStart"/>
      <w:r w:rsidR="00CA13C8" w:rsidRPr="001005B7">
        <w:rPr>
          <w:i/>
          <w:iCs/>
          <w:color w:val="auto"/>
          <w:lang w:val="en-US"/>
        </w:rPr>
        <w:t>Hildi</w:t>
      </w:r>
      <w:proofErr w:type="spellEnd"/>
      <w:r w:rsidR="00CA13C8" w:rsidRPr="001005B7">
        <w:rPr>
          <w:i/>
          <w:iCs/>
          <w:color w:val="auto"/>
          <w:lang w:val="en-US"/>
        </w:rPr>
        <w:t xml:space="preserve"> and </w:t>
      </w:r>
      <w:proofErr w:type="spellStart"/>
      <w:r w:rsidR="00CA13C8" w:rsidRPr="001005B7">
        <w:rPr>
          <w:i/>
          <w:iCs/>
          <w:color w:val="auto"/>
          <w:lang w:val="en-US"/>
        </w:rPr>
        <w:t>Othmar</w:t>
      </w:r>
      <w:proofErr w:type="spellEnd"/>
      <w:r w:rsidR="00CA13C8" w:rsidRPr="001005B7">
        <w:rPr>
          <w:i/>
          <w:iCs/>
          <w:color w:val="auto"/>
          <w:lang w:val="en-US"/>
        </w:rPr>
        <w:t xml:space="preserve"> </w:t>
      </w:r>
      <w:r w:rsidR="00E002AF" w:rsidRPr="001005B7">
        <w:rPr>
          <w:i/>
          <w:iCs/>
          <w:color w:val="auto"/>
          <w:lang w:val="en-US"/>
        </w:rPr>
        <w:t>Keel-Leu Fests</w:t>
      </w:r>
      <w:r w:rsidR="001A6C15" w:rsidRPr="001005B7">
        <w:rPr>
          <w:i/>
          <w:iCs/>
          <w:color w:val="auto"/>
          <w:lang w:val="en-US"/>
        </w:rPr>
        <w:t>c</w:t>
      </w:r>
      <w:r w:rsidR="00E002AF" w:rsidRPr="001005B7">
        <w:rPr>
          <w:i/>
          <w:iCs/>
          <w:color w:val="auto"/>
          <w:lang w:val="en-US"/>
        </w:rPr>
        <w:t>hrift</w:t>
      </w:r>
      <w:r w:rsidR="00904E2A" w:rsidRPr="001005B7">
        <w:rPr>
          <w:color w:val="auto"/>
          <w:lang w:val="en-US"/>
        </w:rPr>
        <w:t>,</w:t>
      </w:r>
      <w:r w:rsidR="00904182" w:rsidRPr="001005B7">
        <w:rPr>
          <w:color w:val="auto"/>
          <w:lang w:val="en-US"/>
        </w:rPr>
        <w:t>112</w:t>
      </w:r>
      <w:r w:rsidR="00F46900" w:rsidRPr="001005B7">
        <w:rPr>
          <w:color w:val="auto"/>
          <w:lang w:val="en-US"/>
        </w:rPr>
        <w:t>–</w:t>
      </w:r>
      <w:r w:rsidR="00904182" w:rsidRPr="001005B7">
        <w:rPr>
          <w:color w:val="auto"/>
          <w:lang w:val="en-US"/>
        </w:rPr>
        <w:t>200</w:t>
      </w:r>
      <w:r w:rsidR="00E002AF" w:rsidRPr="001005B7">
        <w:rPr>
          <w:color w:val="auto"/>
          <w:lang w:val="en-US"/>
        </w:rPr>
        <w:t xml:space="preserve">. </w:t>
      </w:r>
      <w:r w:rsidR="000679CA" w:rsidRPr="001005B7">
        <w:rPr>
          <w:color w:val="auto"/>
          <w:lang w:val="en-US"/>
        </w:rPr>
        <w:t xml:space="preserve">Novum </w:t>
      </w:r>
      <w:proofErr w:type="spellStart"/>
      <w:r w:rsidR="000679CA" w:rsidRPr="001005B7">
        <w:rPr>
          <w:color w:val="auto"/>
          <w:lang w:val="en-US"/>
        </w:rPr>
        <w:t>Testamentum</w:t>
      </w:r>
      <w:proofErr w:type="spellEnd"/>
      <w:r w:rsidR="000679CA" w:rsidRPr="001005B7">
        <w:rPr>
          <w:color w:val="auto"/>
          <w:lang w:val="en-US"/>
        </w:rPr>
        <w:t xml:space="preserve"> et Orbis </w:t>
      </w:r>
      <w:proofErr w:type="spellStart"/>
      <w:r w:rsidR="000679CA" w:rsidRPr="001005B7">
        <w:rPr>
          <w:color w:val="auto"/>
          <w:lang w:val="en-US"/>
        </w:rPr>
        <w:t>Antiquus</w:t>
      </w:r>
      <w:proofErr w:type="spellEnd"/>
      <w:r w:rsidR="001B2C96" w:rsidRPr="001005B7">
        <w:rPr>
          <w:color w:val="auto"/>
          <w:lang w:val="en-US"/>
        </w:rPr>
        <w:t xml:space="preserve"> 8. G</w:t>
      </w:r>
      <w:r w:rsidR="00AD141A" w:rsidRPr="001005B7">
        <w:rPr>
          <w:color w:val="auto"/>
          <w:lang w:val="en-US"/>
        </w:rPr>
        <w:t xml:space="preserve">öttingen: </w:t>
      </w:r>
      <w:proofErr w:type="spellStart"/>
      <w:r w:rsidR="00AD141A" w:rsidRPr="001005B7">
        <w:rPr>
          <w:color w:val="auto"/>
          <w:lang w:val="en-US"/>
        </w:rPr>
        <w:t>Vandenhoeck</w:t>
      </w:r>
      <w:proofErr w:type="spellEnd"/>
      <w:r w:rsidR="00217B38">
        <w:rPr>
          <w:color w:val="auto"/>
          <w:lang w:val="en-US"/>
        </w:rPr>
        <w:t xml:space="preserve"> </w:t>
      </w:r>
      <w:r w:rsidR="00217B38">
        <w:t>&amp; Ruprecht</w:t>
      </w:r>
      <w:r w:rsidR="00AD141A" w:rsidRPr="001005B7">
        <w:rPr>
          <w:color w:val="auto"/>
          <w:lang w:val="en-US"/>
        </w:rPr>
        <w:t>, 1987.</w:t>
      </w:r>
    </w:p>
    <w:p w14:paraId="1B368A78" w14:textId="58A7A08C" w:rsidR="00E85D7A" w:rsidRPr="001005B7" w:rsidRDefault="00C66B7C" w:rsidP="006F5BB0">
      <w:pPr>
        <w:pStyle w:val="ListParagraph"/>
        <w:rPr>
          <w:color w:val="auto"/>
          <w:lang w:val="en-US"/>
        </w:rPr>
      </w:pPr>
      <w:r w:rsidRPr="001005B7">
        <w:rPr>
          <w:i/>
          <w:iCs/>
          <w:color w:val="auto"/>
          <w:lang w:val="en-US"/>
        </w:rPr>
        <w:t xml:space="preserve">––– </w:t>
      </w:r>
      <w:r w:rsidR="00E85D7A" w:rsidRPr="001005B7">
        <w:rPr>
          <w:color w:val="auto"/>
          <w:lang w:val="en-US"/>
        </w:rPr>
        <w:t>“Virtual Vis</w:t>
      </w:r>
      <w:r w:rsidR="00B63E99" w:rsidRPr="001005B7">
        <w:rPr>
          <w:color w:val="auto"/>
          <w:lang w:val="en-US"/>
        </w:rPr>
        <w:t>i</w:t>
      </w:r>
      <w:r w:rsidR="00E85D7A" w:rsidRPr="001005B7">
        <w:rPr>
          <w:color w:val="auto"/>
          <w:lang w:val="en-US"/>
        </w:rPr>
        <w:t>on vs. Actu</w:t>
      </w:r>
      <w:r w:rsidR="00B63E99" w:rsidRPr="001005B7">
        <w:rPr>
          <w:color w:val="auto"/>
          <w:lang w:val="en-US"/>
        </w:rPr>
        <w:t>al</w:t>
      </w:r>
      <w:r w:rsidR="00E85D7A" w:rsidRPr="001005B7">
        <w:rPr>
          <w:color w:val="auto"/>
          <w:lang w:val="en-US"/>
        </w:rPr>
        <w:t xml:space="preserve"> Show: </w:t>
      </w:r>
      <w:r w:rsidR="003B3F59" w:rsidRPr="001005B7">
        <w:rPr>
          <w:color w:val="auto"/>
          <w:lang w:val="en-US"/>
        </w:rPr>
        <w:t>Strategies of Visual</w:t>
      </w:r>
      <w:r w:rsidR="005B4F0A" w:rsidRPr="001005B7">
        <w:rPr>
          <w:color w:val="auto"/>
          <w:lang w:val="en-US"/>
        </w:rPr>
        <w:t>ization</w:t>
      </w:r>
      <w:r w:rsidR="003B3F59" w:rsidRPr="001005B7">
        <w:rPr>
          <w:color w:val="auto"/>
          <w:lang w:val="en-US"/>
        </w:rPr>
        <w:t xml:space="preserve"> in the Book of Ezekiel.” </w:t>
      </w:r>
      <w:r w:rsidR="00B63E99" w:rsidRPr="001005B7">
        <w:rPr>
          <w:i/>
          <w:color w:val="auto"/>
          <w:lang w:val="en-US"/>
        </w:rPr>
        <w:t>WO</w:t>
      </w:r>
      <w:r w:rsidR="00B63E99" w:rsidRPr="001005B7">
        <w:rPr>
          <w:color w:val="auto"/>
          <w:lang w:val="en-US"/>
        </w:rPr>
        <w:t xml:space="preserve"> </w:t>
      </w:r>
      <w:r w:rsidR="00F8414B" w:rsidRPr="001005B7">
        <w:rPr>
          <w:color w:val="auto"/>
          <w:lang w:val="en-US"/>
        </w:rPr>
        <w:t xml:space="preserve">(2015): </w:t>
      </w:r>
      <w:r w:rsidR="00CE3538" w:rsidRPr="001005B7">
        <w:rPr>
          <w:color w:val="auto"/>
          <w:lang w:val="en-US"/>
        </w:rPr>
        <w:t>62</w:t>
      </w:r>
      <w:r w:rsidR="00F46900" w:rsidRPr="001005B7">
        <w:rPr>
          <w:color w:val="auto"/>
          <w:lang w:val="en-US"/>
        </w:rPr>
        <w:t>–</w:t>
      </w:r>
      <w:r w:rsidR="00CE3538" w:rsidRPr="001005B7">
        <w:rPr>
          <w:color w:val="auto"/>
          <w:lang w:val="en-US"/>
        </w:rPr>
        <w:t>84.</w:t>
      </w:r>
    </w:p>
    <w:p w14:paraId="7C93BC09" w14:textId="33CF9EC2" w:rsidR="00DB447D" w:rsidRPr="001005B7" w:rsidRDefault="00DB447D" w:rsidP="006F5BB0">
      <w:pPr>
        <w:pStyle w:val="ListParagraph"/>
        <w:rPr>
          <w:color w:val="auto"/>
          <w:lang w:val="en-US"/>
        </w:rPr>
      </w:pPr>
      <w:r w:rsidRPr="001005B7">
        <w:rPr>
          <w:color w:val="auto"/>
          <w:lang w:val="en-US"/>
        </w:rPr>
        <w:t xml:space="preserve">Wu, Daniel Y. </w:t>
      </w:r>
      <w:r w:rsidRPr="001005B7">
        <w:rPr>
          <w:i/>
          <w:iCs/>
          <w:color w:val="auto"/>
          <w:lang w:val="en-US"/>
        </w:rPr>
        <w:t>Honor, Shame, and Guilt: Social-Scientific Approaches to the Book of Ezekiel</w:t>
      </w:r>
      <w:r w:rsidRPr="001005B7">
        <w:rPr>
          <w:color w:val="auto"/>
          <w:lang w:val="en-US"/>
        </w:rPr>
        <w:t>.</w:t>
      </w:r>
      <w:r w:rsidR="006A0ED3" w:rsidRPr="001005B7">
        <w:rPr>
          <w:color w:val="auto"/>
          <w:lang w:val="en-US"/>
        </w:rPr>
        <w:t xml:space="preserve"> </w:t>
      </w:r>
      <w:proofErr w:type="spellStart"/>
      <w:r w:rsidR="006A0ED3" w:rsidRPr="001005B7">
        <w:rPr>
          <w:color w:val="auto"/>
          <w:lang w:val="en-US"/>
        </w:rPr>
        <w:t>BBR</w:t>
      </w:r>
      <w:r w:rsidRPr="001005B7">
        <w:rPr>
          <w:color w:val="auto"/>
          <w:lang w:val="en-US"/>
        </w:rPr>
        <w:t>Sup</w:t>
      </w:r>
      <w:proofErr w:type="spellEnd"/>
      <w:r w:rsidRPr="001005B7">
        <w:rPr>
          <w:color w:val="auto"/>
          <w:lang w:val="en-US"/>
        </w:rPr>
        <w:t xml:space="preserve"> 14. Winona Lake, IN: </w:t>
      </w:r>
      <w:proofErr w:type="spellStart"/>
      <w:r w:rsidRPr="001005B7">
        <w:rPr>
          <w:color w:val="auto"/>
          <w:lang w:val="en-US"/>
        </w:rPr>
        <w:t>Eisenbrauns</w:t>
      </w:r>
      <w:proofErr w:type="spellEnd"/>
      <w:r w:rsidRPr="001005B7">
        <w:rPr>
          <w:color w:val="auto"/>
          <w:lang w:val="en-US"/>
        </w:rPr>
        <w:t>, 2016.</w:t>
      </w:r>
    </w:p>
    <w:p w14:paraId="52C9A1B3" w14:textId="3C102162" w:rsidR="00196592" w:rsidRPr="001005B7" w:rsidRDefault="00AE3E76" w:rsidP="003062B5">
      <w:pPr>
        <w:pStyle w:val="Heading2"/>
        <w:rPr>
          <w:color w:val="auto"/>
        </w:rPr>
      </w:pPr>
      <w:r w:rsidRPr="001005B7">
        <w:rPr>
          <w:color w:val="auto"/>
        </w:rPr>
        <w:t>Yahweh</w:t>
      </w:r>
      <w:r w:rsidR="006C6AA2" w:rsidRPr="001005B7">
        <w:rPr>
          <w:color w:val="auto"/>
        </w:rPr>
        <w:t xml:space="preserve"> </w:t>
      </w:r>
      <w:r w:rsidR="001244F0" w:rsidRPr="001005B7">
        <w:rPr>
          <w:color w:val="auto"/>
        </w:rPr>
        <w:t>Issues Threats</w:t>
      </w:r>
      <w:r w:rsidR="00837C3D" w:rsidRPr="001005B7">
        <w:rPr>
          <w:color w:val="auto"/>
        </w:rPr>
        <w:t xml:space="preserve"> </w:t>
      </w:r>
      <w:r w:rsidR="00630385" w:rsidRPr="001005B7">
        <w:rPr>
          <w:color w:val="auto"/>
        </w:rPr>
        <w:t xml:space="preserve">Concerning Jerusalem </w:t>
      </w:r>
      <w:r w:rsidR="00837C3D" w:rsidRPr="001005B7">
        <w:rPr>
          <w:color w:val="auto"/>
        </w:rPr>
        <w:t>(5:5</w:t>
      </w:r>
      <w:r w:rsidR="00F46900" w:rsidRPr="001005B7">
        <w:rPr>
          <w:color w:val="auto"/>
        </w:rPr>
        <w:t>–</w:t>
      </w:r>
      <w:r w:rsidR="00837C3D" w:rsidRPr="001005B7">
        <w:rPr>
          <w:color w:val="auto"/>
        </w:rPr>
        <w:t>17)</w:t>
      </w:r>
    </w:p>
    <w:p w14:paraId="41176F63" w14:textId="37B76A5A" w:rsidR="00837C3D" w:rsidRPr="001005B7" w:rsidRDefault="00837C3D" w:rsidP="00493833">
      <w:pPr>
        <w:pStyle w:val="Heading3"/>
      </w:pPr>
      <w:r w:rsidRPr="001005B7">
        <w:t>Outline</w:t>
      </w:r>
    </w:p>
    <w:p w14:paraId="4691325D" w14:textId="6DC699E1" w:rsidR="00597695" w:rsidRPr="001005B7" w:rsidRDefault="00D81586" w:rsidP="00AA2DD6">
      <w:r w:rsidRPr="001005B7">
        <w:t xml:space="preserve">If we are reading the scroll sequentially, </w:t>
      </w:r>
      <w:r w:rsidR="00920805" w:rsidRPr="001005B7">
        <w:t>Yahweh</w:t>
      </w:r>
      <w:r w:rsidR="00083982" w:rsidRPr="001005B7">
        <w:t xml:space="preserve">’s commission to Ezekiel </w:t>
      </w:r>
      <w:r w:rsidR="00E73756" w:rsidRPr="001005B7">
        <w:t>(</w:t>
      </w:r>
      <w:r w:rsidR="0013737E" w:rsidRPr="001005B7">
        <w:t>3:</w:t>
      </w:r>
      <w:r w:rsidR="00011741" w:rsidRPr="001005B7">
        <w:t>16</w:t>
      </w:r>
      <w:r w:rsidR="00F46900" w:rsidRPr="001005B7">
        <w:t>–</w:t>
      </w:r>
      <w:r w:rsidR="00011741" w:rsidRPr="001005B7">
        <w:t>27</w:t>
      </w:r>
      <w:r w:rsidR="00E73756" w:rsidRPr="001005B7">
        <w:t>)</w:t>
      </w:r>
      <w:r w:rsidR="00011741" w:rsidRPr="001005B7">
        <w:t xml:space="preserve"> </w:t>
      </w:r>
      <w:r w:rsidR="00083982" w:rsidRPr="001005B7">
        <w:t>left him and us in a state of su</w:t>
      </w:r>
      <w:r w:rsidR="0013737E" w:rsidRPr="001005B7">
        <w:t>spense</w:t>
      </w:r>
      <w:r w:rsidR="00011741" w:rsidRPr="001005B7">
        <w:t>. Yahweh</w:t>
      </w:r>
      <w:r w:rsidR="00A34E12" w:rsidRPr="001005B7">
        <w:t xml:space="preserve"> </w:t>
      </w:r>
      <w:r w:rsidR="00C23EFC" w:rsidRPr="001005B7">
        <w:t>had</w:t>
      </w:r>
      <w:r w:rsidR="00011741" w:rsidRPr="001005B7">
        <w:t xml:space="preserve"> </w:t>
      </w:r>
      <w:r w:rsidR="00D745FC" w:rsidRPr="001005B7">
        <w:t xml:space="preserve">commissioned him </w:t>
      </w:r>
      <w:r w:rsidR="000829C3" w:rsidRPr="001005B7">
        <w:t>to speak</w:t>
      </w:r>
      <w:r w:rsidR="00D65BB9" w:rsidRPr="001005B7">
        <w:t>,</w:t>
      </w:r>
      <w:r w:rsidR="000829C3" w:rsidRPr="001005B7">
        <w:t xml:space="preserve"> </w:t>
      </w:r>
      <w:r w:rsidR="00FE6EFE" w:rsidRPr="001005B7">
        <w:t>and to act in strange way</w:t>
      </w:r>
      <w:r w:rsidR="00E57D7D" w:rsidRPr="001005B7">
        <w:t>s</w:t>
      </w:r>
      <w:r w:rsidR="00FE6EFE" w:rsidRPr="001005B7">
        <w:t xml:space="preserve">, but also not </w:t>
      </w:r>
      <w:r w:rsidR="00D65BB9" w:rsidRPr="001005B7">
        <w:t xml:space="preserve">to </w:t>
      </w:r>
      <w:r w:rsidR="00FE6EFE" w:rsidRPr="001005B7">
        <w:t xml:space="preserve">speak </w:t>
      </w:r>
      <w:r w:rsidR="00D65BB9" w:rsidRPr="001005B7">
        <w:t>unless spoken to</w:t>
      </w:r>
      <w:r w:rsidR="00EE0387" w:rsidRPr="001005B7">
        <w:t xml:space="preserve"> and thus not to explain his strange actions</w:t>
      </w:r>
      <w:r w:rsidR="00D65BB9" w:rsidRPr="001005B7">
        <w:t xml:space="preserve">. </w:t>
      </w:r>
      <w:r w:rsidR="005D533B" w:rsidRPr="001005B7">
        <w:t xml:space="preserve">Some of the </w:t>
      </w:r>
      <w:r w:rsidR="00D03C17" w:rsidRPr="001005B7">
        <w:t xml:space="preserve">suspense </w:t>
      </w:r>
      <w:r w:rsidR="0051456A" w:rsidRPr="001005B7">
        <w:t xml:space="preserve">then </w:t>
      </w:r>
      <w:r w:rsidR="009754EA" w:rsidRPr="001005B7">
        <w:t>got deeper</w:t>
      </w:r>
      <w:r w:rsidR="00343D76" w:rsidRPr="001005B7">
        <w:t xml:space="preserve"> </w:t>
      </w:r>
      <w:r w:rsidR="0051456A" w:rsidRPr="001005B7">
        <w:t>(</w:t>
      </w:r>
      <w:r w:rsidR="00343D76" w:rsidRPr="001005B7">
        <w:t>4:1</w:t>
      </w:r>
      <w:r w:rsidR="00F46900" w:rsidRPr="001005B7">
        <w:t>–</w:t>
      </w:r>
      <w:r w:rsidR="00343D76" w:rsidRPr="001005B7">
        <w:t>5:4</w:t>
      </w:r>
      <w:r w:rsidR="00E86C01" w:rsidRPr="001005B7">
        <w:t>) as Yahweh</w:t>
      </w:r>
      <w:r w:rsidR="00EF4028" w:rsidRPr="001005B7">
        <w:t xml:space="preserve"> commissioned a series of signs </w:t>
      </w:r>
      <w:r w:rsidR="00CB7C68" w:rsidRPr="001005B7">
        <w:t>that</w:t>
      </w:r>
      <w:r w:rsidR="001904E7" w:rsidRPr="001005B7">
        <w:t xml:space="preserve"> </w:t>
      </w:r>
      <w:r w:rsidR="00EF4028" w:rsidRPr="001005B7">
        <w:t>extend</w:t>
      </w:r>
      <w:r w:rsidR="001904E7" w:rsidRPr="001005B7">
        <w:t>ed</w:t>
      </w:r>
      <w:r w:rsidR="00EF4028" w:rsidRPr="001005B7">
        <w:t xml:space="preserve"> the </w:t>
      </w:r>
      <w:r w:rsidR="00DA1CF6" w:rsidRPr="001005B7">
        <w:t xml:space="preserve">strange </w:t>
      </w:r>
      <w:r w:rsidR="00EF4028" w:rsidRPr="001005B7">
        <w:t xml:space="preserve">original sign </w:t>
      </w:r>
      <w:r w:rsidR="00E57D7D" w:rsidRPr="001005B7">
        <w:t>about being tied up</w:t>
      </w:r>
      <w:r w:rsidR="00AC7282" w:rsidRPr="001005B7">
        <w:t>,</w:t>
      </w:r>
      <w:r w:rsidR="002B0CF8" w:rsidRPr="001005B7">
        <w:t xml:space="preserve"> but d</w:t>
      </w:r>
      <w:r w:rsidR="003C2564" w:rsidRPr="001005B7">
        <w:t>id</w:t>
      </w:r>
      <w:r w:rsidR="00DA1CF6" w:rsidRPr="001005B7">
        <w:t xml:space="preserve">n’t </w:t>
      </w:r>
      <w:r w:rsidR="00EE538E" w:rsidRPr="001005B7">
        <w:t xml:space="preserve">incorporate any explanation of </w:t>
      </w:r>
      <w:r w:rsidR="003C2564" w:rsidRPr="001005B7">
        <w:t>the sign acts</w:t>
      </w:r>
      <w:r w:rsidR="00875003" w:rsidRPr="001005B7">
        <w:t xml:space="preserve"> beyond </w:t>
      </w:r>
      <w:r w:rsidR="004E0959" w:rsidRPr="001005B7">
        <w:t>a</w:t>
      </w:r>
      <w:r w:rsidR="00875003" w:rsidRPr="001005B7">
        <w:t xml:space="preserve"> repeated comment </w:t>
      </w:r>
      <w:r w:rsidR="00FD390B" w:rsidRPr="001005B7">
        <w:t xml:space="preserve">on </w:t>
      </w:r>
      <w:r w:rsidR="00D4592E" w:rsidRPr="001005B7">
        <w:t>the waywardness</w:t>
      </w:r>
      <w:r w:rsidR="00D4592E" w:rsidRPr="001005B7">
        <w:rPr>
          <w:i/>
          <w:iCs/>
        </w:rPr>
        <w:t xml:space="preserve"> </w:t>
      </w:r>
      <w:r w:rsidR="00D4592E" w:rsidRPr="001005B7">
        <w:t>of Israel</w:t>
      </w:r>
      <w:r w:rsidR="002216E9" w:rsidRPr="001005B7">
        <w:t xml:space="preserve"> </w:t>
      </w:r>
      <w:r w:rsidR="00D4592E" w:rsidRPr="001005B7">
        <w:t>and J</w:t>
      </w:r>
      <w:r w:rsidR="00C96E29" w:rsidRPr="001005B7">
        <w:t>udah</w:t>
      </w:r>
      <w:r w:rsidR="001F02E1" w:rsidRPr="001005B7">
        <w:t xml:space="preserve">. </w:t>
      </w:r>
      <w:r w:rsidR="00B34566" w:rsidRPr="001005B7">
        <w:t>S</w:t>
      </w:r>
      <w:r w:rsidR="005B4537" w:rsidRPr="001005B7">
        <w:t xml:space="preserve">uspense and </w:t>
      </w:r>
      <w:r w:rsidR="00BD3FEE" w:rsidRPr="001005B7">
        <w:t xml:space="preserve">tension now find some resolution, though not in a way that will please many readers. </w:t>
      </w:r>
      <w:r w:rsidR="00B34566" w:rsidRPr="001005B7">
        <w:t>While t</w:t>
      </w:r>
      <w:r w:rsidR="002A4AF8" w:rsidRPr="001005B7">
        <w:t>h</w:t>
      </w:r>
      <w:r w:rsidR="00331971" w:rsidRPr="001005B7">
        <w:t>e sign acts</w:t>
      </w:r>
      <w:r w:rsidR="009654B1" w:rsidRPr="001005B7">
        <w:t xml:space="preserve"> </w:t>
      </w:r>
      <w:r w:rsidR="00B5593F" w:rsidRPr="001005B7">
        <w:t xml:space="preserve">didn’t need much explanation </w:t>
      </w:r>
      <w:r w:rsidR="00556590" w:rsidRPr="001005B7">
        <w:t>to</w:t>
      </w:r>
      <w:r w:rsidR="005540EF" w:rsidRPr="001005B7">
        <w:t xml:space="preserve"> indicat</w:t>
      </w:r>
      <w:r w:rsidR="00556590" w:rsidRPr="001005B7">
        <w:t>e</w:t>
      </w:r>
      <w:r w:rsidR="005540EF" w:rsidRPr="001005B7">
        <w:t xml:space="preserve"> what the</w:t>
      </w:r>
      <w:r w:rsidR="00331971" w:rsidRPr="001005B7">
        <w:t>y</w:t>
      </w:r>
      <w:r w:rsidR="005540EF" w:rsidRPr="001005B7">
        <w:t xml:space="preserve"> </w:t>
      </w:r>
      <w:r w:rsidR="00576CBA" w:rsidRPr="001005B7">
        <w:t>referred to</w:t>
      </w:r>
      <w:r w:rsidR="00C45CD7" w:rsidRPr="001005B7">
        <w:t>,</w:t>
      </w:r>
      <w:r w:rsidR="005540EF" w:rsidRPr="001005B7">
        <w:t xml:space="preserve"> </w:t>
      </w:r>
      <w:r w:rsidR="006E0290" w:rsidRPr="001005B7">
        <w:t>t</w:t>
      </w:r>
      <w:r w:rsidR="001F02E1" w:rsidRPr="001005B7">
        <w:t xml:space="preserve">his new section complements </w:t>
      </w:r>
      <w:r w:rsidR="001E4728" w:rsidRPr="001005B7">
        <w:t>4:1</w:t>
      </w:r>
      <w:r w:rsidR="00F46900" w:rsidRPr="001005B7">
        <w:t>–</w:t>
      </w:r>
      <w:r w:rsidR="001E4728" w:rsidRPr="001005B7">
        <w:t>5:4</w:t>
      </w:r>
      <w:r w:rsidR="001F02E1" w:rsidRPr="001005B7">
        <w:t xml:space="preserve"> by pro</w:t>
      </w:r>
      <w:r w:rsidR="00AC7282" w:rsidRPr="001005B7">
        <w:t>vi</w:t>
      </w:r>
      <w:r w:rsidR="001F02E1" w:rsidRPr="001005B7">
        <w:t>din</w:t>
      </w:r>
      <w:r w:rsidR="00AC7282" w:rsidRPr="001005B7">
        <w:t>g some explanation</w:t>
      </w:r>
      <w:r w:rsidR="006E0290" w:rsidRPr="001005B7">
        <w:t xml:space="preserve"> in terms of rationale for </w:t>
      </w:r>
      <w:r w:rsidR="0027526E" w:rsidRPr="001005B7">
        <w:t xml:space="preserve">the action by </w:t>
      </w:r>
      <w:r w:rsidR="006E0290" w:rsidRPr="001005B7">
        <w:t>Yahweh</w:t>
      </w:r>
      <w:r w:rsidR="0027526E" w:rsidRPr="001005B7">
        <w:t xml:space="preserve"> that they represent</w:t>
      </w:r>
      <w:r w:rsidR="00245A5A" w:rsidRPr="001005B7">
        <w:t>.</w:t>
      </w:r>
    </w:p>
    <w:p w14:paraId="578B7B21" w14:textId="139DCA92" w:rsidR="00382850" w:rsidRPr="001005B7" w:rsidRDefault="007018D6" w:rsidP="00AA2DD6">
      <w:r w:rsidRPr="001005B7">
        <w:t xml:space="preserve">In giving him </w:t>
      </w:r>
      <w:r w:rsidR="00A968C2" w:rsidRPr="001005B7">
        <w:t>his</w:t>
      </w:r>
      <w:r w:rsidRPr="001005B7">
        <w:t xml:space="preserve"> role</w:t>
      </w:r>
      <w:r w:rsidR="00A968C2" w:rsidRPr="001005B7">
        <w:t xml:space="preserve"> as lookout</w:t>
      </w:r>
      <w:r w:rsidRPr="001005B7">
        <w:t xml:space="preserve">, Yahweh had </w:t>
      </w:r>
      <w:r w:rsidR="00B8244D" w:rsidRPr="001005B7">
        <w:t>spoken of Ezekiel opening his mouth</w:t>
      </w:r>
      <w:r w:rsidR="005800C8" w:rsidRPr="001005B7">
        <w:t xml:space="preserve"> when </w:t>
      </w:r>
      <w:r w:rsidR="00D515F9" w:rsidRPr="001005B7">
        <w:t>he</w:t>
      </w:r>
      <w:r w:rsidR="005800C8" w:rsidRPr="001005B7">
        <w:t xml:space="preserve"> spoke to him</w:t>
      </w:r>
      <w:r w:rsidR="0036239C" w:rsidRPr="001005B7">
        <w:t>,</w:t>
      </w:r>
      <w:r w:rsidR="006C461A" w:rsidRPr="001005B7">
        <w:t xml:space="preserve"> </w:t>
      </w:r>
      <w:r w:rsidR="0091331E" w:rsidRPr="001005B7">
        <w:t>so that</w:t>
      </w:r>
      <w:r w:rsidR="006C461A" w:rsidRPr="001005B7">
        <w:t xml:space="preserve"> he was in a position to say, </w:t>
      </w:r>
      <w:r w:rsidR="00516250" w:rsidRPr="001005B7">
        <w:t>“</w:t>
      </w:r>
      <w:r w:rsidR="00C66499" w:rsidRPr="001005B7">
        <w:t xml:space="preserve">the Lord </w:t>
      </w:r>
      <w:r w:rsidR="006C461A" w:rsidRPr="001005B7">
        <w:t>Yahweh</w:t>
      </w:r>
      <w:r w:rsidR="006C461A" w:rsidRPr="001005B7">
        <w:rPr>
          <w:i/>
          <w:iCs/>
        </w:rPr>
        <w:t xml:space="preserve"> </w:t>
      </w:r>
      <w:r w:rsidR="00C66499" w:rsidRPr="001005B7">
        <w:t>has</w:t>
      </w:r>
      <w:r w:rsidR="00C66499" w:rsidRPr="001005B7">
        <w:rPr>
          <w:i/>
          <w:iCs/>
        </w:rPr>
        <w:t xml:space="preserve"> </w:t>
      </w:r>
      <w:r w:rsidR="00C66499" w:rsidRPr="001005B7">
        <w:t>said</w:t>
      </w:r>
      <w:r w:rsidR="00C66499" w:rsidRPr="001005B7">
        <w:rPr>
          <w:i/>
          <w:iCs/>
        </w:rPr>
        <w:t xml:space="preserve"> </w:t>
      </w:r>
      <w:r w:rsidR="00C66499" w:rsidRPr="001005B7">
        <w:t>this</w:t>
      </w:r>
      <w:r w:rsidR="0091331E" w:rsidRPr="001005B7">
        <w:t>.</w:t>
      </w:r>
      <w:r w:rsidR="00516250" w:rsidRPr="001005B7">
        <w:t>”</w:t>
      </w:r>
      <w:r w:rsidR="0091331E" w:rsidRPr="001005B7">
        <w:t xml:space="preserve"> </w:t>
      </w:r>
      <w:r w:rsidR="00C3721F" w:rsidRPr="001005B7">
        <w:t>H</w:t>
      </w:r>
      <w:r w:rsidR="005800C8" w:rsidRPr="001005B7">
        <w:t>ere he</w:t>
      </w:r>
      <w:r w:rsidR="00C66499" w:rsidRPr="001005B7">
        <w:t xml:space="preserve"> indeed says, </w:t>
      </w:r>
      <w:r w:rsidR="00425369" w:rsidRPr="001005B7">
        <w:t>“</w:t>
      </w:r>
      <w:r w:rsidR="00C66499" w:rsidRPr="001005B7">
        <w:t>the</w:t>
      </w:r>
      <w:r w:rsidR="00C66499" w:rsidRPr="001005B7">
        <w:rPr>
          <w:i/>
          <w:iCs/>
        </w:rPr>
        <w:t xml:space="preserve"> </w:t>
      </w:r>
      <w:r w:rsidR="00C66499" w:rsidRPr="001005B7">
        <w:t>Lord</w:t>
      </w:r>
      <w:r w:rsidR="00C66499" w:rsidRPr="001005B7">
        <w:rPr>
          <w:i/>
          <w:iCs/>
        </w:rPr>
        <w:t xml:space="preserve"> </w:t>
      </w:r>
      <w:r w:rsidR="00C66499" w:rsidRPr="001005B7">
        <w:t>Yahweh</w:t>
      </w:r>
      <w:r w:rsidR="00C66499" w:rsidRPr="001005B7">
        <w:rPr>
          <w:i/>
          <w:iCs/>
        </w:rPr>
        <w:t xml:space="preserve"> </w:t>
      </w:r>
      <w:r w:rsidR="00C66499" w:rsidRPr="001005B7">
        <w:t>has</w:t>
      </w:r>
      <w:r w:rsidR="00C66499" w:rsidRPr="001005B7">
        <w:rPr>
          <w:i/>
          <w:iCs/>
        </w:rPr>
        <w:t xml:space="preserve"> </w:t>
      </w:r>
      <w:r w:rsidR="00C66499" w:rsidRPr="001005B7">
        <w:t>said</w:t>
      </w:r>
      <w:r w:rsidR="00C66499" w:rsidRPr="001005B7">
        <w:rPr>
          <w:i/>
          <w:iCs/>
        </w:rPr>
        <w:t xml:space="preserve"> </w:t>
      </w:r>
      <w:r w:rsidR="00C66499" w:rsidRPr="001005B7">
        <w:t>this</w:t>
      </w:r>
      <w:r w:rsidR="00425369" w:rsidRPr="001005B7">
        <w:t>”</w:t>
      </w:r>
      <w:r w:rsidR="00C66499" w:rsidRPr="001005B7">
        <w:t xml:space="preserve"> (</w:t>
      </w:r>
      <w:r w:rsidR="0042084A" w:rsidRPr="001005B7">
        <w:t>5:</w:t>
      </w:r>
      <w:r w:rsidR="00154D57" w:rsidRPr="001005B7">
        <w:t>5, 7, 8</w:t>
      </w:r>
      <w:r w:rsidR="006A088B" w:rsidRPr="001005B7">
        <w:t>)</w:t>
      </w:r>
      <w:r w:rsidR="003B2ADE" w:rsidRPr="001005B7">
        <w:t>,</w:t>
      </w:r>
      <w:r w:rsidR="006A088B" w:rsidRPr="001005B7">
        <w:t xml:space="preserve"> and</w:t>
      </w:r>
      <w:r w:rsidR="00154D57" w:rsidRPr="001005B7">
        <w:t xml:space="preserve"> </w:t>
      </w:r>
      <w:r w:rsidR="006A088B" w:rsidRPr="001005B7">
        <w:t xml:space="preserve">later uses </w:t>
      </w:r>
      <w:r w:rsidR="004A1F72" w:rsidRPr="001005B7">
        <w:t>further</w:t>
      </w:r>
      <w:r w:rsidR="003B2ADE" w:rsidRPr="001005B7">
        <w:t xml:space="preserve"> parallel</w:t>
      </w:r>
      <w:r w:rsidR="004A1F72" w:rsidRPr="001005B7">
        <w:t xml:space="preserve"> </w:t>
      </w:r>
      <w:r w:rsidR="00154D57" w:rsidRPr="001005B7">
        <w:t xml:space="preserve">formulations </w:t>
      </w:r>
      <w:r w:rsidR="004539D0" w:rsidRPr="001005B7">
        <w:t>(</w:t>
      </w:r>
      <w:r w:rsidR="0042084A" w:rsidRPr="001005B7">
        <w:t>5:</w:t>
      </w:r>
      <w:r w:rsidR="00ED678D" w:rsidRPr="001005B7">
        <w:t>11, 15, 17</w:t>
      </w:r>
      <w:r w:rsidR="00354B7B" w:rsidRPr="001005B7">
        <w:t>)</w:t>
      </w:r>
      <w:r w:rsidR="00ED678D" w:rsidRPr="001005B7">
        <w:t xml:space="preserve">. </w:t>
      </w:r>
      <w:r w:rsidR="00865ADF" w:rsidRPr="001005B7">
        <w:t>H</w:t>
      </w:r>
      <w:r w:rsidR="0060184B" w:rsidRPr="001005B7">
        <w:t xml:space="preserve">e </w:t>
      </w:r>
      <w:r w:rsidR="00242CD8" w:rsidRPr="001005B7">
        <w:t xml:space="preserve">also </w:t>
      </w:r>
      <w:r w:rsidR="0060184B" w:rsidRPr="001005B7">
        <w:t>say</w:t>
      </w:r>
      <w:r w:rsidR="006F6490" w:rsidRPr="001005B7">
        <w:t>s</w:t>
      </w:r>
      <w:r w:rsidR="0060184B" w:rsidRPr="001005B7">
        <w:t xml:space="preserve"> more about the concrete nature of Israel’s waywardness</w:t>
      </w:r>
      <w:r w:rsidR="0014741B" w:rsidRPr="001005B7">
        <w:t xml:space="preserve"> and about</w:t>
      </w:r>
      <w:r w:rsidR="0000218F" w:rsidRPr="001005B7">
        <w:t xml:space="preserve"> the trouble that will follow.</w:t>
      </w:r>
      <w:r w:rsidR="002C5BE2" w:rsidRPr="001005B7">
        <w:t xml:space="preserve"> </w:t>
      </w:r>
      <w:r w:rsidR="00D803B3" w:rsidRPr="001005B7">
        <w:t>Further,</w:t>
      </w:r>
      <w:r w:rsidR="002C5BE2" w:rsidRPr="001005B7">
        <w:t xml:space="preserve"> as 4:1</w:t>
      </w:r>
      <w:r w:rsidR="00F46900" w:rsidRPr="001005B7">
        <w:t>–</w:t>
      </w:r>
      <w:r w:rsidR="002C5BE2" w:rsidRPr="001005B7">
        <w:t xml:space="preserve">5:4 picked up the motif of ropes from </w:t>
      </w:r>
      <w:r w:rsidR="00F22691" w:rsidRPr="001005B7">
        <w:t>3:16</w:t>
      </w:r>
      <w:r w:rsidR="00F46900" w:rsidRPr="001005B7">
        <w:t>–</w:t>
      </w:r>
      <w:r w:rsidR="00F22691" w:rsidRPr="001005B7">
        <w:t xml:space="preserve">27, this section picks up </w:t>
      </w:r>
      <w:r w:rsidR="00550196" w:rsidRPr="001005B7">
        <w:t>the focus on Jer</w:t>
      </w:r>
      <w:r w:rsidR="00B5076B" w:rsidRPr="001005B7">
        <w:t>u</w:t>
      </w:r>
      <w:r w:rsidR="00550196" w:rsidRPr="001005B7">
        <w:t xml:space="preserve">salem and </w:t>
      </w:r>
      <w:r w:rsidR="00F22691" w:rsidRPr="001005B7">
        <w:t>the motif of thirds</w:t>
      </w:r>
      <w:r w:rsidR="00517F44" w:rsidRPr="001005B7">
        <w:t xml:space="preserve"> from 4:1</w:t>
      </w:r>
      <w:r w:rsidR="00F46900" w:rsidRPr="001005B7">
        <w:t>–</w:t>
      </w:r>
      <w:r w:rsidR="00517F44" w:rsidRPr="001005B7">
        <w:t>5:4</w:t>
      </w:r>
      <w:r w:rsidR="00B37F28" w:rsidRPr="001005B7">
        <w:t>, so that</w:t>
      </w:r>
      <w:r w:rsidR="000E625E" w:rsidRPr="001005B7">
        <w:t xml:space="preserve"> 4:1</w:t>
      </w:r>
      <w:r w:rsidR="00F46900" w:rsidRPr="001005B7">
        <w:t>–</w:t>
      </w:r>
      <w:r w:rsidR="000E625E" w:rsidRPr="001005B7">
        <w:t>5:4 and 5:5</w:t>
      </w:r>
      <w:r w:rsidR="00F46900" w:rsidRPr="001005B7">
        <w:t>–</w:t>
      </w:r>
      <w:r w:rsidR="000E625E" w:rsidRPr="001005B7">
        <w:t xml:space="preserve">17 complement each other </w:t>
      </w:r>
      <w:r w:rsidR="007E5237" w:rsidRPr="001005B7">
        <w:t xml:space="preserve">in </w:t>
      </w:r>
      <w:r w:rsidR="00FA357A" w:rsidRPr="001005B7">
        <w:t xml:space="preserve">commissioning </w:t>
      </w:r>
      <w:r w:rsidR="00570F16" w:rsidRPr="001005B7">
        <w:t xml:space="preserve">visible </w:t>
      </w:r>
      <w:r w:rsidR="000E625E" w:rsidRPr="001005B7">
        <w:t xml:space="preserve">signs and </w:t>
      </w:r>
      <w:r w:rsidR="00570F16" w:rsidRPr="001005B7">
        <w:t>verbal</w:t>
      </w:r>
      <w:r w:rsidR="00E263FE" w:rsidRPr="001005B7">
        <w:t xml:space="preserve"> </w:t>
      </w:r>
      <w:r w:rsidR="000E625E" w:rsidRPr="001005B7">
        <w:t>warnings</w:t>
      </w:r>
      <w:r w:rsidR="0023342B" w:rsidRPr="001005B7">
        <w:t xml:space="preserve">. </w:t>
      </w:r>
      <w:r w:rsidR="00382850" w:rsidRPr="001005B7">
        <w:t>Ezek 6</w:t>
      </w:r>
      <w:r w:rsidR="00F46900" w:rsidRPr="001005B7">
        <w:t>–</w:t>
      </w:r>
      <w:r w:rsidR="00382850" w:rsidRPr="001005B7">
        <w:t>7 will take the verbal warnings further</w:t>
      </w:r>
      <w:r w:rsidR="005E2ADC" w:rsidRPr="001005B7">
        <w:t xml:space="preserve">, so that </w:t>
      </w:r>
      <w:r w:rsidR="00382850" w:rsidRPr="001005B7">
        <w:t>5:</w:t>
      </w:r>
      <w:r w:rsidR="008E5BCD" w:rsidRPr="001005B7">
        <w:t>5</w:t>
      </w:r>
      <w:r w:rsidR="00F46900" w:rsidRPr="001005B7">
        <w:t>–</w:t>
      </w:r>
      <w:r w:rsidR="008E5BCD" w:rsidRPr="001005B7">
        <w:t xml:space="preserve">17 </w:t>
      </w:r>
      <w:r w:rsidR="00DA0304" w:rsidRPr="001005B7">
        <w:t xml:space="preserve">also </w:t>
      </w:r>
      <w:r w:rsidR="008E5BCD" w:rsidRPr="001005B7">
        <w:t>forms a h</w:t>
      </w:r>
      <w:r w:rsidR="00382850" w:rsidRPr="001005B7">
        <w:t>inge</w:t>
      </w:r>
      <w:r w:rsidR="008E5BCD" w:rsidRPr="001005B7">
        <w:t xml:space="preserve"> between 4:1</w:t>
      </w:r>
      <w:r w:rsidR="00F46900" w:rsidRPr="001005B7">
        <w:t>–</w:t>
      </w:r>
      <w:r w:rsidR="008E5BCD" w:rsidRPr="001005B7">
        <w:t xml:space="preserve">5:4 </w:t>
      </w:r>
      <w:r w:rsidR="00EA17E9" w:rsidRPr="001005B7">
        <w:t>and</w:t>
      </w:r>
      <w:r w:rsidR="008E5BCD" w:rsidRPr="001005B7">
        <w:t xml:space="preserve"> 6:1</w:t>
      </w:r>
      <w:r w:rsidR="00F46900" w:rsidRPr="001005B7">
        <w:t>–</w:t>
      </w:r>
      <w:r w:rsidR="008E5BCD" w:rsidRPr="001005B7">
        <w:t>7:</w:t>
      </w:r>
      <w:r w:rsidR="00EA17E9" w:rsidRPr="001005B7">
        <w:t>27</w:t>
      </w:r>
      <w:r w:rsidR="009F4C37" w:rsidRPr="001005B7">
        <w:t xml:space="preserve"> (</w:t>
      </w:r>
      <w:proofErr w:type="spellStart"/>
      <w:r w:rsidR="009F4C37" w:rsidRPr="001005B7">
        <w:t>H</w:t>
      </w:r>
      <w:r w:rsidR="009F4C37" w:rsidRPr="001005B7">
        <w:rPr>
          <w:rFonts w:cstheme="minorHAnsi"/>
        </w:rPr>
        <w:t>ä</w:t>
      </w:r>
      <w:r w:rsidR="009F4C37" w:rsidRPr="001005B7">
        <w:t>ner</w:t>
      </w:r>
      <w:proofErr w:type="spellEnd"/>
      <w:r w:rsidR="009F4C37" w:rsidRPr="001005B7">
        <w:t>, 141</w:t>
      </w:r>
      <w:r w:rsidR="003D4818" w:rsidRPr="001005B7">
        <w:t>).</w:t>
      </w:r>
    </w:p>
    <w:p w14:paraId="2554B9CA" w14:textId="039E8FE7" w:rsidR="00E74615" w:rsidRPr="001005B7" w:rsidRDefault="0023316D" w:rsidP="004075ED">
      <w:r w:rsidRPr="001005B7">
        <w:t xml:space="preserve">Read in light of the fall of Jerusalem, </w:t>
      </w:r>
      <w:r w:rsidR="00F8508A" w:rsidRPr="001005B7">
        <w:t xml:space="preserve">the </w:t>
      </w:r>
      <w:r w:rsidR="00C717B3" w:rsidRPr="001005B7">
        <w:t>sectio</w:t>
      </w:r>
      <w:r w:rsidR="00F8508A" w:rsidRPr="001005B7">
        <w:t xml:space="preserve">n could function as a </w:t>
      </w:r>
      <w:r w:rsidR="00184520" w:rsidRPr="001005B7">
        <w:t>“t</w:t>
      </w:r>
      <w:r w:rsidR="00393648" w:rsidRPr="001005B7">
        <w:t>heodicy</w:t>
      </w:r>
      <w:r w:rsidR="00184520" w:rsidRPr="001005B7">
        <w:t>”</w:t>
      </w:r>
      <w:r w:rsidR="000D2BEE" w:rsidRPr="001005B7">
        <w:t xml:space="preserve"> </w:t>
      </w:r>
      <w:r w:rsidR="00184520" w:rsidRPr="001005B7">
        <w:t>articulated</w:t>
      </w:r>
      <w:r w:rsidR="00393648" w:rsidRPr="001005B7">
        <w:t xml:space="preserve"> </w:t>
      </w:r>
      <w:r w:rsidR="00C717B3" w:rsidRPr="001005B7">
        <w:t>“</w:t>
      </w:r>
      <w:r w:rsidR="00B11A14" w:rsidRPr="001005B7">
        <w:t xml:space="preserve">in light of the </w:t>
      </w:r>
      <w:r w:rsidR="00814D65" w:rsidRPr="001005B7">
        <w:t xml:space="preserve">very </w:t>
      </w:r>
      <w:r w:rsidR="00B11A14" w:rsidRPr="001005B7">
        <w:t>present horrors of siege and exile</w:t>
      </w:r>
      <w:r w:rsidR="00F86AFF" w:rsidRPr="001005B7">
        <w:t>”</w:t>
      </w:r>
      <w:r w:rsidR="002D4D85" w:rsidRPr="001005B7">
        <w:t xml:space="preserve"> (Joyce, 90</w:t>
      </w:r>
      <w:r w:rsidR="00216491" w:rsidRPr="001005B7">
        <w:t>).</w:t>
      </w:r>
      <w:r w:rsidR="00AA5093" w:rsidRPr="001005B7">
        <w:t xml:space="preserve"> But </w:t>
      </w:r>
      <w:r w:rsidR="00B9490D" w:rsidRPr="001005B7">
        <w:t xml:space="preserve">at this point </w:t>
      </w:r>
      <w:r w:rsidR="000D2BEE" w:rsidRPr="001005B7">
        <w:t xml:space="preserve">in Ezekiel’s ministry, </w:t>
      </w:r>
      <w:r w:rsidR="00AA5093" w:rsidRPr="001005B7">
        <w:t xml:space="preserve">the horrors of siege and exile </w:t>
      </w:r>
      <w:r w:rsidR="00B9490D" w:rsidRPr="001005B7">
        <w:t xml:space="preserve">are </w:t>
      </w:r>
      <w:r w:rsidR="00CA19D1" w:rsidRPr="001005B7">
        <w:t>still future</w:t>
      </w:r>
      <w:r w:rsidR="00F57E60" w:rsidRPr="001005B7">
        <w:t xml:space="preserve">. </w:t>
      </w:r>
      <w:r w:rsidR="00134B0C" w:rsidRPr="001005B7">
        <w:t>Yet</w:t>
      </w:r>
      <w:r w:rsidR="00506F74" w:rsidRPr="001005B7">
        <w:t xml:space="preserve"> </w:t>
      </w:r>
      <w:r w:rsidR="00140FE8" w:rsidRPr="001005B7">
        <w:t xml:space="preserve">even the </w:t>
      </w:r>
      <w:r w:rsidR="00944C79" w:rsidRPr="001005B7">
        <w:t xml:space="preserve">community in </w:t>
      </w:r>
      <w:r w:rsidR="007D113D" w:rsidRPr="001005B7">
        <w:t>Babylonia</w:t>
      </w:r>
      <w:r w:rsidR="00944C79" w:rsidRPr="001005B7">
        <w:t xml:space="preserve"> needs to prepare itself for</w:t>
      </w:r>
      <w:r w:rsidR="00124BA3" w:rsidRPr="001005B7">
        <w:t xml:space="preserve"> them</w:t>
      </w:r>
      <w:r w:rsidR="00944C79" w:rsidRPr="001005B7">
        <w:t xml:space="preserve"> mentally</w:t>
      </w:r>
      <w:r w:rsidR="008F0494" w:rsidRPr="001005B7">
        <w:t>,</w:t>
      </w:r>
      <w:r w:rsidR="00124BA3" w:rsidRPr="001005B7">
        <w:t xml:space="preserve"> and face their implications</w:t>
      </w:r>
      <w:r w:rsidR="00E74615" w:rsidRPr="001005B7">
        <w:t xml:space="preserve">. </w:t>
      </w:r>
      <w:r w:rsidR="00D86362" w:rsidRPr="001005B7">
        <w:t>Ezekiel’s aim is “to save th</w:t>
      </w:r>
      <w:r w:rsidR="009D7560" w:rsidRPr="001005B7">
        <w:t>e community from death (c</w:t>
      </w:r>
      <w:r w:rsidR="00E74615" w:rsidRPr="001005B7">
        <w:t>f. 3:21</w:t>
      </w:r>
      <w:r w:rsidR="009D7560" w:rsidRPr="001005B7">
        <w:t>)</w:t>
      </w:r>
      <w:r w:rsidR="00B44EE7" w:rsidRPr="001005B7">
        <w:t>” (Lind, 56)</w:t>
      </w:r>
      <w:r w:rsidR="004E2914" w:rsidRPr="001005B7">
        <w:t>. T</w:t>
      </w:r>
      <w:r w:rsidR="00A2699D" w:rsidRPr="001005B7">
        <w:t xml:space="preserve">he community he has to seek to deliver is </w:t>
      </w:r>
      <w:r w:rsidR="00BD5A5F" w:rsidRPr="001005B7">
        <w:t xml:space="preserve">not the Jerusalem community (that is Jeremiah’s job) but the </w:t>
      </w:r>
      <w:proofErr w:type="spellStart"/>
      <w:r w:rsidR="00602634" w:rsidRPr="001005B7">
        <w:t>Kebar</w:t>
      </w:r>
      <w:proofErr w:type="spellEnd"/>
      <w:r w:rsidR="00602634" w:rsidRPr="001005B7">
        <w:t xml:space="preserve"> community.</w:t>
      </w:r>
    </w:p>
    <w:p w14:paraId="4180959E" w14:textId="776BA2F5" w:rsidR="00173D63" w:rsidRPr="001005B7" w:rsidRDefault="00B663BA" w:rsidP="00207255">
      <w:pPr>
        <w:rPr>
          <w:rFonts w:cstheme="minorHAnsi"/>
        </w:rPr>
      </w:pPr>
      <w:r w:rsidRPr="001005B7">
        <w:t>Wh</w:t>
      </w:r>
      <w:r w:rsidR="00355209" w:rsidRPr="001005B7">
        <w:t>at lies behind</w:t>
      </w:r>
      <w:r w:rsidR="00002A7B" w:rsidRPr="001005B7">
        <w:t xml:space="preserve"> the explanation</w:t>
      </w:r>
      <w:r w:rsidRPr="001005B7">
        <w:t xml:space="preserve"> </w:t>
      </w:r>
      <w:r w:rsidR="00B94CEC" w:rsidRPr="001005B7">
        <w:t>Yahweh gives</w:t>
      </w:r>
      <w:r w:rsidR="008030B2" w:rsidRPr="001005B7">
        <w:t xml:space="preserve"> here</w:t>
      </w:r>
      <w:r w:rsidR="00B94CEC" w:rsidRPr="001005B7">
        <w:t xml:space="preserve">? </w:t>
      </w:r>
      <w:r w:rsidR="00ED52E0" w:rsidRPr="001005B7">
        <w:t>There is</w:t>
      </w:r>
      <w:r w:rsidR="00986E30" w:rsidRPr="001005B7">
        <w:t xml:space="preserve"> </w:t>
      </w:r>
      <w:r w:rsidR="009E449D" w:rsidRPr="001005B7">
        <w:t xml:space="preserve">overlap </w:t>
      </w:r>
      <w:r w:rsidR="00206561" w:rsidRPr="001005B7">
        <w:t xml:space="preserve">with </w:t>
      </w:r>
      <w:r w:rsidR="00E929DB" w:rsidRPr="001005B7">
        <w:t>his</w:t>
      </w:r>
      <w:r w:rsidR="00206561" w:rsidRPr="001005B7">
        <w:t xml:space="preserve"> threats about the conse</w:t>
      </w:r>
      <w:r w:rsidR="005F6E83" w:rsidRPr="001005B7">
        <w:t>q</w:t>
      </w:r>
      <w:r w:rsidR="00206561" w:rsidRPr="001005B7">
        <w:t>uences of</w:t>
      </w:r>
      <w:r w:rsidR="005F6E83" w:rsidRPr="001005B7">
        <w:t xml:space="preserve"> ignoring his expectations, expressed in </w:t>
      </w:r>
      <w:r w:rsidR="00E447E6" w:rsidRPr="001005B7">
        <w:t>warnings in Lev 26</w:t>
      </w:r>
      <w:r w:rsidR="007B368E" w:rsidRPr="001005B7">
        <w:t>.</w:t>
      </w:r>
      <w:r w:rsidR="002378AD" w:rsidRPr="001005B7">
        <w:t xml:space="preserve"> </w:t>
      </w:r>
      <w:r w:rsidR="003A088B" w:rsidRPr="001005B7">
        <w:t xml:space="preserve">In </w:t>
      </w:r>
      <w:r w:rsidR="002378AD" w:rsidRPr="001005B7">
        <w:t>Ezek</w:t>
      </w:r>
      <w:r w:rsidR="00902644" w:rsidRPr="001005B7">
        <w:t xml:space="preserve"> 4</w:t>
      </w:r>
      <w:r w:rsidR="002B2A74" w:rsidRPr="001005B7">
        <w:t>:</w:t>
      </w:r>
      <w:r w:rsidR="00902644" w:rsidRPr="001005B7">
        <w:t>16 and 5</w:t>
      </w:r>
      <w:r w:rsidR="00AA02DF" w:rsidRPr="001005B7">
        <w:t>:</w:t>
      </w:r>
      <w:r w:rsidR="00902644" w:rsidRPr="001005B7">
        <w:t xml:space="preserve">2 </w:t>
      </w:r>
      <w:r w:rsidR="003A088B" w:rsidRPr="001005B7">
        <w:t>there were</w:t>
      </w:r>
      <w:r w:rsidR="002378AD" w:rsidRPr="001005B7">
        <w:t xml:space="preserve"> links with</w:t>
      </w:r>
      <w:r w:rsidR="00902644" w:rsidRPr="001005B7">
        <w:t xml:space="preserve"> Lev 26:26, 33</w:t>
      </w:r>
      <w:r w:rsidR="00716CAC" w:rsidRPr="001005B7">
        <w:t>.</w:t>
      </w:r>
      <w:r w:rsidR="00402796" w:rsidRPr="001005B7">
        <w:t xml:space="preserve"> The first link recurs</w:t>
      </w:r>
      <w:r w:rsidR="00E53941" w:rsidRPr="001005B7">
        <w:t xml:space="preserve"> in </w:t>
      </w:r>
      <w:r w:rsidR="00C51CD8" w:rsidRPr="001005B7">
        <w:t xml:space="preserve">another reference to the </w:t>
      </w:r>
      <w:r w:rsidR="0062381E" w:rsidRPr="001005B7">
        <w:t xml:space="preserve">bread </w:t>
      </w:r>
      <w:r w:rsidR="005D632C" w:rsidRPr="001005B7">
        <w:t>pole</w:t>
      </w:r>
      <w:r w:rsidR="00715361" w:rsidRPr="001005B7">
        <w:t xml:space="preserve"> (</w:t>
      </w:r>
      <w:r w:rsidR="00BF5F59" w:rsidRPr="001005B7">
        <w:t xml:space="preserve">Ezek </w:t>
      </w:r>
      <w:r w:rsidR="00715361" w:rsidRPr="001005B7">
        <w:t>5:16</w:t>
      </w:r>
      <w:r w:rsidR="00207255" w:rsidRPr="001005B7">
        <w:t xml:space="preserve">). </w:t>
      </w:r>
      <w:r w:rsidR="00FF71BC" w:rsidRPr="001005B7">
        <w:rPr>
          <w:rFonts w:cstheme="minorHAnsi"/>
        </w:rPr>
        <w:t>The section also makes further links:</w:t>
      </w:r>
    </w:p>
    <w:p w14:paraId="2E412273" w14:textId="77777777" w:rsidR="00660C40" w:rsidRPr="001005B7" w:rsidRDefault="00660C40" w:rsidP="00654F2D">
      <w:pPr>
        <w:rPr>
          <w:rFonts w:cstheme="minorHAnsi"/>
        </w:rPr>
      </w:pPr>
    </w:p>
    <w:p w14:paraId="3DA705C6" w14:textId="4A272029" w:rsidR="00456210" w:rsidRPr="001005B7" w:rsidRDefault="008C4146" w:rsidP="008C4146">
      <w:r w:rsidRPr="001005B7">
        <w:t xml:space="preserve">It </w:t>
      </w:r>
      <w:r w:rsidR="00456210" w:rsidRPr="001005B7">
        <w:t xml:space="preserve">has rebelled at my rulings </w:t>
      </w:r>
      <w:r w:rsidR="00012B93" w:rsidRPr="001005B7">
        <w:rPr>
          <w:rFonts w:cstheme="minorHAnsi"/>
          <w:lang w:eastAsia="en-GB"/>
        </w:rPr>
        <w:t>…</w:t>
      </w:r>
      <w:r w:rsidR="00456210" w:rsidRPr="001005B7">
        <w:t xml:space="preserve"> and at my laws </w:t>
      </w:r>
      <w:r w:rsidRPr="001005B7">
        <w:t>(</w:t>
      </w:r>
      <w:r w:rsidR="00BF5F59" w:rsidRPr="001005B7">
        <w:t xml:space="preserve">Ezek </w:t>
      </w:r>
      <w:r w:rsidRPr="001005B7">
        <w:t>5:</w:t>
      </w:r>
      <w:r w:rsidR="00587BA3" w:rsidRPr="001005B7">
        <w:t>6</w:t>
      </w:r>
      <w:r w:rsidRPr="001005B7">
        <w:t>)</w:t>
      </w:r>
    </w:p>
    <w:p w14:paraId="6B720839" w14:textId="0FBD766F" w:rsidR="008C4146" w:rsidRPr="001005B7" w:rsidRDefault="0020329C" w:rsidP="00654F2D">
      <w:pPr>
        <w:rPr>
          <w:rFonts w:cstheme="minorHAnsi"/>
        </w:rPr>
      </w:pPr>
      <w:r w:rsidRPr="001005B7">
        <w:rPr>
          <w:rFonts w:cstheme="minorHAnsi"/>
        </w:rPr>
        <w:t xml:space="preserve">If you reject my </w:t>
      </w:r>
      <w:r w:rsidR="005636EB" w:rsidRPr="001005B7">
        <w:rPr>
          <w:rFonts w:cstheme="minorHAnsi"/>
        </w:rPr>
        <w:t xml:space="preserve">laws and </w:t>
      </w:r>
      <w:r w:rsidR="00961B49" w:rsidRPr="001005B7">
        <w:rPr>
          <w:rFonts w:cstheme="minorHAnsi"/>
        </w:rPr>
        <w:t xml:space="preserve">your spirit spurns my rulings (Lev </w:t>
      </w:r>
      <w:r w:rsidR="00DB581B" w:rsidRPr="001005B7">
        <w:rPr>
          <w:rFonts w:cstheme="minorHAnsi"/>
        </w:rPr>
        <w:t>26:15)</w:t>
      </w:r>
    </w:p>
    <w:p w14:paraId="3C7086C1" w14:textId="77777777" w:rsidR="00456210" w:rsidRPr="001005B7" w:rsidRDefault="00456210" w:rsidP="00654F2D">
      <w:pPr>
        <w:rPr>
          <w:rFonts w:cstheme="minorHAnsi"/>
        </w:rPr>
      </w:pPr>
    </w:p>
    <w:p w14:paraId="01537DBC" w14:textId="13F74A1D" w:rsidR="00DB581B" w:rsidRPr="001005B7" w:rsidRDefault="006E0710" w:rsidP="00DB581B">
      <w:pPr>
        <w:rPr>
          <w:rFonts w:cstheme="minorHAnsi"/>
        </w:rPr>
      </w:pPr>
      <w:r w:rsidRPr="001005B7">
        <w:rPr>
          <w:rFonts w:cstheme="minorHAnsi"/>
        </w:rPr>
        <w:t>P</w:t>
      </w:r>
      <w:r w:rsidR="00DB581B" w:rsidRPr="001005B7">
        <w:rPr>
          <w:rFonts w:cstheme="minorHAnsi"/>
        </w:rPr>
        <w:t xml:space="preserve">arents </w:t>
      </w:r>
      <w:r w:rsidRPr="001005B7">
        <w:rPr>
          <w:rFonts w:cstheme="minorHAnsi"/>
        </w:rPr>
        <w:t xml:space="preserve">will </w:t>
      </w:r>
      <w:r w:rsidR="00DB581B" w:rsidRPr="001005B7">
        <w:rPr>
          <w:rFonts w:cstheme="minorHAnsi"/>
        </w:rPr>
        <w:t>eat children (</w:t>
      </w:r>
      <w:r w:rsidR="00BF5F59" w:rsidRPr="001005B7">
        <w:rPr>
          <w:rFonts w:cstheme="minorHAnsi"/>
        </w:rPr>
        <w:t xml:space="preserve">Ezek </w:t>
      </w:r>
      <w:r w:rsidR="00DB581B" w:rsidRPr="001005B7">
        <w:rPr>
          <w:rFonts w:cstheme="minorHAnsi"/>
        </w:rPr>
        <w:t>5:10)</w:t>
      </w:r>
    </w:p>
    <w:p w14:paraId="7B0B3630" w14:textId="2DCE9119" w:rsidR="00DB581B" w:rsidRPr="001005B7" w:rsidRDefault="00E030A2" w:rsidP="00DB581B">
      <w:pPr>
        <w:rPr>
          <w:rFonts w:cstheme="minorHAnsi"/>
        </w:rPr>
      </w:pPr>
      <w:r w:rsidRPr="001005B7">
        <w:rPr>
          <w:rFonts w:cstheme="minorHAnsi"/>
        </w:rPr>
        <w:t xml:space="preserve">You will eat your children’s flesh </w:t>
      </w:r>
      <w:r w:rsidR="00DB581B" w:rsidRPr="001005B7">
        <w:rPr>
          <w:rFonts w:cstheme="minorHAnsi"/>
        </w:rPr>
        <w:t>(Lev 26:29)</w:t>
      </w:r>
    </w:p>
    <w:p w14:paraId="06C3F486" w14:textId="77777777" w:rsidR="00DD7359" w:rsidRPr="001005B7" w:rsidRDefault="00DD7359" w:rsidP="00DB581B">
      <w:pPr>
        <w:rPr>
          <w:rFonts w:cstheme="minorHAnsi"/>
        </w:rPr>
      </w:pPr>
    </w:p>
    <w:p w14:paraId="782AC5AC" w14:textId="5812D4EB" w:rsidR="00DB581B" w:rsidRPr="001005B7" w:rsidRDefault="00DB581B" w:rsidP="00DB581B">
      <w:pPr>
        <w:rPr>
          <w:rFonts w:cstheme="minorHAnsi"/>
        </w:rPr>
      </w:pPr>
      <w:r w:rsidRPr="001005B7">
        <w:rPr>
          <w:rFonts w:cstheme="minorHAnsi"/>
        </w:rPr>
        <w:t xml:space="preserve">I will </w:t>
      </w:r>
      <w:r w:rsidR="002040B9" w:rsidRPr="001005B7">
        <w:rPr>
          <w:rFonts w:cstheme="minorHAnsi"/>
        </w:rPr>
        <w:t xml:space="preserve">make you </w:t>
      </w:r>
      <w:r w:rsidR="000225F2" w:rsidRPr="001005B7">
        <w:rPr>
          <w:rFonts w:cstheme="minorHAnsi"/>
        </w:rPr>
        <w:t xml:space="preserve">into </w:t>
      </w:r>
      <w:r w:rsidR="002040B9" w:rsidRPr="001005B7">
        <w:rPr>
          <w:rFonts w:cstheme="minorHAnsi"/>
        </w:rPr>
        <w:t xml:space="preserve">a </w:t>
      </w:r>
      <w:r w:rsidR="00B67C48" w:rsidRPr="001005B7">
        <w:rPr>
          <w:rFonts w:cstheme="minorHAnsi"/>
        </w:rPr>
        <w:t>waste</w:t>
      </w:r>
      <w:r w:rsidRPr="001005B7">
        <w:rPr>
          <w:rFonts w:cstheme="minorHAnsi"/>
        </w:rPr>
        <w:t xml:space="preserve"> (</w:t>
      </w:r>
      <w:r w:rsidR="00BF5F59" w:rsidRPr="001005B7">
        <w:rPr>
          <w:rFonts w:cstheme="minorHAnsi"/>
        </w:rPr>
        <w:t xml:space="preserve">Ezek </w:t>
      </w:r>
      <w:r w:rsidRPr="001005B7">
        <w:rPr>
          <w:rFonts w:cstheme="minorHAnsi"/>
        </w:rPr>
        <w:t>5:14)</w:t>
      </w:r>
    </w:p>
    <w:p w14:paraId="1BEE54FE" w14:textId="369375AB" w:rsidR="00DB581B" w:rsidRPr="001005B7" w:rsidRDefault="000225F2" w:rsidP="00DB581B">
      <w:pPr>
        <w:rPr>
          <w:rFonts w:cstheme="minorHAnsi"/>
        </w:rPr>
      </w:pPr>
      <w:r w:rsidRPr="001005B7">
        <w:rPr>
          <w:rFonts w:cstheme="minorHAnsi"/>
        </w:rPr>
        <w:t>I will m</w:t>
      </w:r>
      <w:r w:rsidR="00C77383" w:rsidRPr="001005B7">
        <w:rPr>
          <w:rFonts w:cstheme="minorHAnsi"/>
        </w:rPr>
        <w:t>a</w:t>
      </w:r>
      <w:r w:rsidRPr="001005B7">
        <w:rPr>
          <w:rFonts w:cstheme="minorHAnsi"/>
        </w:rPr>
        <w:t xml:space="preserve">ke your </w:t>
      </w:r>
      <w:r w:rsidR="00BB79D2" w:rsidRPr="001005B7">
        <w:rPr>
          <w:rFonts w:cstheme="minorHAnsi"/>
        </w:rPr>
        <w:t xml:space="preserve">towns </w:t>
      </w:r>
      <w:r w:rsidRPr="001005B7">
        <w:rPr>
          <w:rFonts w:cstheme="minorHAnsi"/>
        </w:rPr>
        <w:t xml:space="preserve">a </w:t>
      </w:r>
      <w:r w:rsidR="00B67C48" w:rsidRPr="001005B7">
        <w:rPr>
          <w:rFonts w:cstheme="minorHAnsi"/>
        </w:rPr>
        <w:t>waste</w:t>
      </w:r>
      <w:r w:rsidRPr="001005B7">
        <w:rPr>
          <w:rFonts w:cstheme="minorHAnsi"/>
        </w:rPr>
        <w:t xml:space="preserve"> </w:t>
      </w:r>
      <w:r w:rsidR="00DB581B" w:rsidRPr="001005B7">
        <w:rPr>
          <w:rFonts w:cstheme="minorHAnsi"/>
        </w:rPr>
        <w:t>(Lev 26:31)</w:t>
      </w:r>
    </w:p>
    <w:p w14:paraId="2EB4FE36" w14:textId="77777777" w:rsidR="00C77383" w:rsidRPr="001005B7" w:rsidRDefault="00C77383" w:rsidP="00DB581B">
      <w:pPr>
        <w:rPr>
          <w:rFonts w:cstheme="minorHAnsi"/>
        </w:rPr>
      </w:pPr>
    </w:p>
    <w:p w14:paraId="41A957A8" w14:textId="0E8FF3D7" w:rsidR="0034089B" w:rsidRPr="001005B7" w:rsidRDefault="00660C40" w:rsidP="00654F2D">
      <w:pPr>
        <w:rPr>
          <w:rFonts w:cstheme="minorHAnsi"/>
        </w:rPr>
      </w:pPr>
      <w:r w:rsidRPr="001005B7">
        <w:rPr>
          <w:rFonts w:cstheme="minorHAnsi"/>
        </w:rPr>
        <w:t xml:space="preserve">I will send off </w:t>
      </w:r>
      <w:r w:rsidR="007047F4" w:rsidRPr="001005B7">
        <w:rPr>
          <w:rFonts w:cstheme="minorHAnsi"/>
        </w:rPr>
        <w:t>dire</w:t>
      </w:r>
      <w:r w:rsidR="0034089B" w:rsidRPr="001005B7">
        <w:rPr>
          <w:rFonts w:cstheme="minorHAnsi"/>
        </w:rPr>
        <w:t xml:space="preserve"> animals</w:t>
      </w:r>
      <w:r w:rsidR="0024197F" w:rsidRPr="001005B7">
        <w:rPr>
          <w:rFonts w:cstheme="minorHAnsi"/>
        </w:rPr>
        <w:t xml:space="preserve"> </w:t>
      </w:r>
      <w:r w:rsidR="00D71C25" w:rsidRPr="001005B7">
        <w:rPr>
          <w:rFonts w:cstheme="minorHAnsi"/>
        </w:rPr>
        <w:t xml:space="preserve">against </w:t>
      </w:r>
      <w:r w:rsidR="0024197F" w:rsidRPr="001005B7">
        <w:rPr>
          <w:rFonts w:cstheme="minorHAnsi"/>
        </w:rPr>
        <w:t>and they will bereave</w:t>
      </w:r>
      <w:r w:rsidR="0034089B" w:rsidRPr="001005B7">
        <w:rPr>
          <w:rFonts w:cstheme="minorHAnsi"/>
        </w:rPr>
        <w:t xml:space="preserve"> </w:t>
      </w:r>
      <w:r w:rsidR="00D71C25" w:rsidRPr="001005B7">
        <w:rPr>
          <w:rFonts w:cstheme="minorHAnsi"/>
        </w:rPr>
        <w:t xml:space="preserve">you </w:t>
      </w:r>
      <w:r w:rsidR="0034089B" w:rsidRPr="001005B7">
        <w:rPr>
          <w:rFonts w:cstheme="minorHAnsi"/>
        </w:rPr>
        <w:t>(</w:t>
      </w:r>
      <w:r w:rsidR="00BF5F59" w:rsidRPr="001005B7">
        <w:rPr>
          <w:rFonts w:cstheme="minorHAnsi"/>
        </w:rPr>
        <w:t xml:space="preserve">Ezek </w:t>
      </w:r>
      <w:r w:rsidR="004B4693" w:rsidRPr="001005B7">
        <w:rPr>
          <w:rFonts w:cstheme="minorHAnsi"/>
        </w:rPr>
        <w:t>5:</w:t>
      </w:r>
      <w:r w:rsidR="00716CAC" w:rsidRPr="001005B7">
        <w:rPr>
          <w:rFonts w:cstheme="minorHAnsi"/>
        </w:rPr>
        <w:t>17</w:t>
      </w:r>
      <w:r w:rsidR="00714CB4" w:rsidRPr="001005B7">
        <w:rPr>
          <w:rFonts w:cstheme="minorHAnsi"/>
        </w:rPr>
        <w:t>)</w:t>
      </w:r>
    </w:p>
    <w:p w14:paraId="2DEF59CE" w14:textId="6B7D02E1" w:rsidR="003B69A4" w:rsidRPr="001005B7" w:rsidRDefault="00D71C25" w:rsidP="00654F2D">
      <w:pPr>
        <w:rPr>
          <w:rFonts w:cstheme="minorHAnsi"/>
        </w:rPr>
      </w:pPr>
      <w:r w:rsidRPr="001005B7">
        <w:rPr>
          <w:rFonts w:cstheme="minorHAnsi"/>
        </w:rPr>
        <w:t>I will send off</w:t>
      </w:r>
      <w:r w:rsidR="00991B9C" w:rsidRPr="001005B7">
        <w:rPr>
          <w:rFonts w:cstheme="minorHAnsi"/>
        </w:rPr>
        <w:t xml:space="preserve"> animals </w:t>
      </w:r>
      <w:r w:rsidR="00351E67" w:rsidRPr="001005B7">
        <w:rPr>
          <w:rFonts w:cstheme="minorHAnsi"/>
        </w:rPr>
        <w:t xml:space="preserve">of the wild </w:t>
      </w:r>
      <w:r w:rsidR="00991B9C" w:rsidRPr="001005B7">
        <w:rPr>
          <w:rFonts w:cstheme="minorHAnsi"/>
        </w:rPr>
        <w:t xml:space="preserve">against you </w:t>
      </w:r>
      <w:r w:rsidR="00730AFD" w:rsidRPr="001005B7">
        <w:rPr>
          <w:rFonts w:cstheme="minorHAnsi"/>
        </w:rPr>
        <w:t xml:space="preserve">and they will bereave you </w:t>
      </w:r>
      <w:r w:rsidR="003B69A4" w:rsidRPr="001005B7">
        <w:rPr>
          <w:rFonts w:cstheme="minorHAnsi"/>
        </w:rPr>
        <w:t>(Lev 26:22)</w:t>
      </w:r>
    </w:p>
    <w:p w14:paraId="65CD758E" w14:textId="77777777" w:rsidR="009446A5" w:rsidRPr="001005B7" w:rsidRDefault="009446A5" w:rsidP="00654F2D">
      <w:pPr>
        <w:rPr>
          <w:rFonts w:cstheme="minorHAnsi"/>
        </w:rPr>
      </w:pPr>
    </w:p>
    <w:p w14:paraId="7B318659" w14:textId="77777777" w:rsidR="00524227" w:rsidRPr="001005B7" w:rsidRDefault="00E07661" w:rsidP="00654F2D">
      <w:r w:rsidRPr="001005B7">
        <w:t>Epidemic and bloodshed, they will pass through you</w:t>
      </w:r>
      <w:r w:rsidR="00EE0B7B" w:rsidRPr="001005B7">
        <w:t xml:space="preserve">, and I will bring </w:t>
      </w:r>
      <w:r w:rsidR="008A2866" w:rsidRPr="001005B7">
        <w:t xml:space="preserve">a sword </w:t>
      </w:r>
      <w:r w:rsidR="00EE0B7B" w:rsidRPr="001005B7">
        <w:t>against you</w:t>
      </w:r>
    </w:p>
    <w:p w14:paraId="5AE0E218" w14:textId="53B2E70B" w:rsidR="00A17411" w:rsidRPr="001005B7" w:rsidRDefault="00A17411" w:rsidP="00654F2D">
      <w:pPr>
        <w:rPr>
          <w:rFonts w:cstheme="minorHAnsi"/>
        </w:rPr>
      </w:pPr>
      <w:r w:rsidRPr="001005B7">
        <w:rPr>
          <w:rFonts w:cstheme="minorHAnsi"/>
        </w:rPr>
        <w:t>(</w:t>
      </w:r>
      <w:r w:rsidR="00EE672F" w:rsidRPr="001005B7">
        <w:rPr>
          <w:rFonts w:cstheme="minorHAnsi"/>
        </w:rPr>
        <w:t xml:space="preserve">Ezek </w:t>
      </w:r>
      <w:r w:rsidRPr="001005B7">
        <w:rPr>
          <w:rFonts w:cstheme="minorHAnsi"/>
        </w:rPr>
        <w:t>5:17)</w:t>
      </w:r>
    </w:p>
    <w:p w14:paraId="1F22EA8C" w14:textId="5577DF09" w:rsidR="00A17411" w:rsidRPr="001005B7" w:rsidRDefault="004952B4" w:rsidP="00654F2D">
      <w:pPr>
        <w:rPr>
          <w:rFonts w:cstheme="minorHAnsi"/>
        </w:rPr>
      </w:pPr>
      <w:r w:rsidRPr="001005B7">
        <w:rPr>
          <w:rFonts w:cstheme="minorHAnsi"/>
        </w:rPr>
        <w:t xml:space="preserve">I will bring a sword against you </w:t>
      </w:r>
      <w:r w:rsidR="00A67A8E" w:rsidRPr="001005B7">
        <w:rPr>
          <w:rFonts w:cstheme="minorHAnsi"/>
          <w:lang w:eastAsia="en-GB"/>
        </w:rPr>
        <w:t>…</w:t>
      </w:r>
      <w:r w:rsidR="00B54A0A" w:rsidRPr="001005B7">
        <w:rPr>
          <w:rFonts w:cstheme="minorHAnsi"/>
        </w:rPr>
        <w:t xml:space="preserve"> </w:t>
      </w:r>
      <w:r w:rsidR="00C817A5" w:rsidRPr="001005B7">
        <w:rPr>
          <w:rFonts w:cstheme="minorHAnsi"/>
        </w:rPr>
        <w:t>and send</w:t>
      </w:r>
      <w:r w:rsidR="00211ADB" w:rsidRPr="001005B7">
        <w:rPr>
          <w:rFonts w:cstheme="minorHAnsi"/>
        </w:rPr>
        <w:t xml:space="preserve"> epidemic among you</w:t>
      </w:r>
      <w:r w:rsidR="00C817A5" w:rsidRPr="001005B7">
        <w:rPr>
          <w:rFonts w:cstheme="minorHAnsi"/>
        </w:rPr>
        <w:t xml:space="preserve"> </w:t>
      </w:r>
      <w:r w:rsidR="00A17411" w:rsidRPr="001005B7">
        <w:rPr>
          <w:rFonts w:cstheme="minorHAnsi"/>
        </w:rPr>
        <w:t>(Lev 26:</w:t>
      </w:r>
      <w:r w:rsidR="00CF3A38" w:rsidRPr="001005B7">
        <w:rPr>
          <w:rFonts w:cstheme="minorHAnsi"/>
        </w:rPr>
        <w:t>25)</w:t>
      </w:r>
    </w:p>
    <w:p w14:paraId="5B66D49F" w14:textId="77777777" w:rsidR="00556107" w:rsidRPr="001005B7" w:rsidRDefault="00556107" w:rsidP="0063484C">
      <w:pPr>
        <w:ind w:firstLine="0"/>
        <w:rPr>
          <w:rFonts w:cstheme="minorHAnsi"/>
        </w:rPr>
      </w:pPr>
    </w:p>
    <w:p w14:paraId="1452F877" w14:textId="3963B3DE" w:rsidR="0063484C" w:rsidRPr="001005B7" w:rsidRDefault="0063484C" w:rsidP="0063484C">
      <w:pPr>
        <w:ind w:firstLine="0"/>
        <w:rPr>
          <w:rFonts w:cstheme="minorHAnsi"/>
        </w:rPr>
      </w:pPr>
      <w:r w:rsidRPr="001005B7">
        <w:rPr>
          <w:rFonts w:cstheme="minorHAnsi"/>
        </w:rPr>
        <w:t xml:space="preserve">Further, </w:t>
      </w:r>
      <w:r w:rsidR="00ED4894" w:rsidRPr="001005B7">
        <w:rPr>
          <w:rFonts w:cstheme="minorHAnsi"/>
        </w:rPr>
        <w:t xml:space="preserve">in Lev 26 </w:t>
      </w:r>
      <w:r w:rsidR="00C64FC6" w:rsidRPr="001005B7">
        <w:rPr>
          <w:rFonts w:cstheme="minorHAnsi"/>
        </w:rPr>
        <w:t>Yahweh</w:t>
      </w:r>
      <w:r w:rsidR="006629B7" w:rsidRPr="001005B7">
        <w:rPr>
          <w:rFonts w:cstheme="minorHAnsi"/>
        </w:rPr>
        <w:t xml:space="preserve"> makes three references to </w:t>
      </w:r>
      <w:r w:rsidR="005C136E" w:rsidRPr="001005B7">
        <w:rPr>
          <w:rFonts w:cstheme="minorHAnsi"/>
        </w:rPr>
        <w:t>“</w:t>
      </w:r>
      <w:r w:rsidR="006629B7" w:rsidRPr="001005B7">
        <w:rPr>
          <w:rFonts w:cstheme="minorHAnsi"/>
        </w:rPr>
        <w:t>the</w:t>
      </w:r>
      <w:r w:rsidR="006629B7" w:rsidRPr="001005B7">
        <w:rPr>
          <w:rFonts w:cstheme="minorHAnsi"/>
          <w:i/>
          <w:iCs/>
        </w:rPr>
        <w:t xml:space="preserve"> </w:t>
      </w:r>
      <w:r w:rsidR="006629B7" w:rsidRPr="001005B7">
        <w:rPr>
          <w:rFonts w:cstheme="minorHAnsi"/>
        </w:rPr>
        <w:t>nations</w:t>
      </w:r>
      <w:r w:rsidR="005C136E" w:rsidRPr="001005B7">
        <w:rPr>
          <w:rFonts w:cstheme="minorHAnsi"/>
        </w:rPr>
        <w:t>”</w:t>
      </w:r>
      <w:r w:rsidR="006629B7" w:rsidRPr="001005B7">
        <w:rPr>
          <w:rFonts w:cstheme="minorHAnsi"/>
          <w:i/>
          <w:iCs/>
        </w:rPr>
        <w:t xml:space="preserve"> </w:t>
      </w:r>
      <w:r w:rsidR="000C7EA1" w:rsidRPr="001005B7">
        <w:rPr>
          <w:rFonts w:cstheme="minorHAnsi"/>
        </w:rPr>
        <w:t xml:space="preserve">among whom the Israelites will be scattered, </w:t>
      </w:r>
      <w:r w:rsidR="008315D9" w:rsidRPr="001005B7">
        <w:rPr>
          <w:rFonts w:cstheme="minorHAnsi"/>
        </w:rPr>
        <w:t xml:space="preserve">among whom they will perish, </w:t>
      </w:r>
      <w:r w:rsidR="00CA3867" w:rsidRPr="001005B7">
        <w:rPr>
          <w:rFonts w:cstheme="minorHAnsi"/>
        </w:rPr>
        <w:t xml:space="preserve">and before whose eyes </w:t>
      </w:r>
      <w:r w:rsidR="00C64FC6" w:rsidRPr="001005B7">
        <w:rPr>
          <w:rFonts w:cstheme="minorHAnsi"/>
        </w:rPr>
        <w:t>he</w:t>
      </w:r>
      <w:r w:rsidR="00CA3867" w:rsidRPr="001005B7">
        <w:rPr>
          <w:rFonts w:cstheme="minorHAnsi"/>
        </w:rPr>
        <w:t xml:space="preserve"> </w:t>
      </w:r>
      <w:r w:rsidR="006706FD" w:rsidRPr="001005B7">
        <w:rPr>
          <w:rFonts w:cstheme="minorHAnsi"/>
        </w:rPr>
        <w:t xml:space="preserve">will bear in mind that he originally </w:t>
      </w:r>
      <w:r w:rsidR="003D6B3A" w:rsidRPr="001005B7">
        <w:rPr>
          <w:rFonts w:cstheme="minorHAnsi"/>
        </w:rPr>
        <w:t>brought them out of Egypt</w:t>
      </w:r>
      <w:r w:rsidR="006706FD" w:rsidRPr="001005B7">
        <w:rPr>
          <w:rFonts w:cstheme="minorHAnsi"/>
        </w:rPr>
        <w:t xml:space="preserve"> (Lev 26:</w:t>
      </w:r>
      <w:r w:rsidR="0062230E" w:rsidRPr="001005B7">
        <w:rPr>
          <w:rFonts w:cstheme="minorHAnsi"/>
        </w:rPr>
        <w:t>33, 38, 45</w:t>
      </w:r>
      <w:r w:rsidR="00C64FC6" w:rsidRPr="001005B7">
        <w:rPr>
          <w:rFonts w:cstheme="minorHAnsi"/>
        </w:rPr>
        <w:t>)</w:t>
      </w:r>
      <w:r w:rsidR="006813E2" w:rsidRPr="001005B7">
        <w:rPr>
          <w:rFonts w:cstheme="minorHAnsi"/>
        </w:rPr>
        <w:t xml:space="preserve">. </w:t>
      </w:r>
      <w:r w:rsidR="00841B40" w:rsidRPr="001005B7">
        <w:rPr>
          <w:rFonts w:cstheme="minorHAnsi"/>
        </w:rPr>
        <w:t>I</w:t>
      </w:r>
      <w:r w:rsidR="002469C7" w:rsidRPr="001005B7">
        <w:rPr>
          <w:rFonts w:cstheme="minorHAnsi"/>
        </w:rPr>
        <w:t>n Ezek 5:5</w:t>
      </w:r>
      <w:r w:rsidR="00F46900" w:rsidRPr="001005B7">
        <w:rPr>
          <w:rFonts w:cstheme="minorHAnsi"/>
        </w:rPr>
        <w:t>–</w:t>
      </w:r>
      <w:r w:rsidR="002469C7" w:rsidRPr="001005B7">
        <w:rPr>
          <w:rFonts w:cstheme="minorHAnsi"/>
        </w:rPr>
        <w:t>17 he refers seven times to the nations</w:t>
      </w:r>
      <w:r w:rsidR="00985ED3" w:rsidRPr="001005B7">
        <w:rPr>
          <w:rFonts w:cstheme="minorHAnsi"/>
        </w:rPr>
        <w:t xml:space="preserve"> among whom Jerusalem is set, whose faithlessness it has exceeded</w:t>
      </w:r>
      <w:r w:rsidR="007E2AD9" w:rsidRPr="001005B7">
        <w:rPr>
          <w:rFonts w:cstheme="minorHAnsi"/>
        </w:rPr>
        <w:t>, before whose eyes Yahweh will now act</w:t>
      </w:r>
      <w:r w:rsidR="00533936" w:rsidRPr="001005B7">
        <w:rPr>
          <w:rFonts w:cstheme="minorHAnsi"/>
        </w:rPr>
        <w:t xml:space="preserve"> in bringing calamity</w:t>
      </w:r>
      <w:r w:rsidR="007C4614" w:rsidRPr="001005B7">
        <w:rPr>
          <w:rFonts w:cstheme="minorHAnsi"/>
        </w:rPr>
        <w:t xml:space="preserve"> and thus turn Jerusalem into an object of contempt</w:t>
      </w:r>
      <w:r w:rsidR="00DD5965" w:rsidRPr="001005B7">
        <w:rPr>
          <w:rFonts w:cstheme="minorHAnsi"/>
        </w:rPr>
        <w:t xml:space="preserve"> and an embodiment of desolation</w:t>
      </w:r>
      <w:r w:rsidR="002A666E" w:rsidRPr="001005B7">
        <w:rPr>
          <w:rFonts w:cstheme="minorHAnsi"/>
        </w:rPr>
        <w:t xml:space="preserve">. </w:t>
      </w:r>
    </w:p>
    <w:p w14:paraId="1FAD637B" w14:textId="72A5BF4D" w:rsidR="0065352E" w:rsidRPr="001005B7" w:rsidRDefault="0067194D" w:rsidP="00654F2D">
      <w:pPr>
        <w:rPr>
          <w:rFonts w:cstheme="minorHAnsi"/>
        </w:rPr>
      </w:pPr>
      <w:r w:rsidRPr="001005B7">
        <w:rPr>
          <w:rFonts w:cstheme="minorHAnsi"/>
        </w:rPr>
        <w:t xml:space="preserve">Through Ezekiel, Yahweh is declaring: </w:t>
      </w:r>
      <w:r w:rsidR="00A23F9B" w:rsidRPr="001005B7">
        <w:rPr>
          <w:rFonts w:cstheme="minorHAnsi"/>
        </w:rPr>
        <w:t>“Y</w:t>
      </w:r>
      <w:r w:rsidRPr="001005B7">
        <w:rPr>
          <w:rFonts w:cstheme="minorHAnsi"/>
        </w:rPr>
        <w:t>ou know those threats in Leviti</w:t>
      </w:r>
      <w:r w:rsidR="00A23F9B" w:rsidRPr="001005B7">
        <w:rPr>
          <w:rFonts w:cstheme="minorHAnsi"/>
        </w:rPr>
        <w:t>cus? I intend to implement them.”</w:t>
      </w:r>
      <w:r w:rsidR="00293969" w:rsidRPr="001005B7">
        <w:rPr>
          <w:rFonts w:cstheme="minorHAnsi"/>
        </w:rPr>
        <w:t xml:space="preserve"> </w:t>
      </w:r>
      <w:r w:rsidR="00392790" w:rsidRPr="001005B7">
        <w:rPr>
          <w:rFonts w:cstheme="minorHAnsi"/>
        </w:rPr>
        <w:t>Hi</w:t>
      </w:r>
      <w:r w:rsidR="00FD552E" w:rsidRPr="001005B7">
        <w:rPr>
          <w:rFonts w:cstheme="minorHAnsi"/>
        </w:rPr>
        <w:t xml:space="preserve">s </w:t>
      </w:r>
      <w:r w:rsidR="009C1522" w:rsidRPr="001005B7">
        <w:rPr>
          <w:rFonts w:cstheme="minorHAnsi"/>
        </w:rPr>
        <w:t xml:space="preserve">sequence of warnings </w:t>
      </w:r>
      <w:r w:rsidR="003804AC" w:rsidRPr="001005B7">
        <w:rPr>
          <w:rFonts w:cstheme="minorHAnsi"/>
        </w:rPr>
        <w:t xml:space="preserve">here </w:t>
      </w:r>
      <w:r w:rsidR="009C1522" w:rsidRPr="001005B7">
        <w:rPr>
          <w:rFonts w:cstheme="minorHAnsi"/>
        </w:rPr>
        <w:t xml:space="preserve">is briefer, but </w:t>
      </w:r>
      <w:r w:rsidR="00724868" w:rsidRPr="001005B7">
        <w:rPr>
          <w:rFonts w:cstheme="minorHAnsi"/>
        </w:rPr>
        <w:t xml:space="preserve">it covers a cross section of the same areas. </w:t>
      </w:r>
      <w:r w:rsidR="0028634D" w:rsidRPr="001005B7">
        <w:rPr>
          <w:rFonts w:cstheme="minorHAnsi"/>
        </w:rPr>
        <w:t xml:space="preserve">A difference is that </w:t>
      </w:r>
      <w:r w:rsidR="00E33476" w:rsidRPr="001005B7">
        <w:rPr>
          <w:rFonts w:cstheme="minorHAnsi"/>
        </w:rPr>
        <w:t>he</w:t>
      </w:r>
      <w:r w:rsidR="0028634D" w:rsidRPr="001005B7">
        <w:rPr>
          <w:rFonts w:cstheme="minorHAnsi"/>
        </w:rPr>
        <w:t xml:space="preserve"> makes no reference to</w:t>
      </w:r>
      <w:r w:rsidR="00587FE3" w:rsidRPr="001005B7">
        <w:rPr>
          <w:rFonts w:cstheme="minorHAnsi"/>
        </w:rPr>
        <w:t xml:space="preserve"> Jerusalem’s action </w:t>
      </w:r>
      <w:r w:rsidR="00CA2074" w:rsidRPr="001005B7">
        <w:rPr>
          <w:rFonts w:cstheme="minorHAnsi"/>
        </w:rPr>
        <w:t>involv</w:t>
      </w:r>
      <w:r w:rsidR="00587FE3" w:rsidRPr="001005B7">
        <w:rPr>
          <w:rFonts w:cstheme="minorHAnsi"/>
        </w:rPr>
        <w:t>ing a breach of covenant</w:t>
      </w:r>
      <w:r w:rsidR="00CA2074" w:rsidRPr="001005B7">
        <w:rPr>
          <w:rFonts w:cstheme="minorHAnsi"/>
        </w:rPr>
        <w:t>, and</w:t>
      </w:r>
      <w:r w:rsidR="00406CF6" w:rsidRPr="001005B7">
        <w:rPr>
          <w:rFonts w:cstheme="minorHAnsi"/>
        </w:rPr>
        <w:t xml:space="preserve"> neither does he refer to the possibility of Jerusalem turning back to </w:t>
      </w:r>
      <w:r w:rsidR="00F062E8" w:rsidRPr="001005B7">
        <w:rPr>
          <w:rFonts w:cstheme="minorHAnsi"/>
        </w:rPr>
        <w:t>him</w:t>
      </w:r>
      <w:r w:rsidR="0051567E" w:rsidRPr="001005B7">
        <w:rPr>
          <w:rFonts w:cstheme="minorHAnsi"/>
        </w:rPr>
        <w:t>,</w:t>
      </w:r>
      <w:r w:rsidR="00406CF6" w:rsidRPr="001005B7">
        <w:rPr>
          <w:rFonts w:cstheme="minorHAnsi"/>
        </w:rPr>
        <w:t xml:space="preserve"> </w:t>
      </w:r>
      <w:r w:rsidR="001469F0" w:rsidRPr="001005B7">
        <w:rPr>
          <w:rFonts w:cstheme="minorHAnsi"/>
        </w:rPr>
        <w:t xml:space="preserve">nor to </w:t>
      </w:r>
      <w:r w:rsidR="00B405C9" w:rsidRPr="001005B7">
        <w:rPr>
          <w:rFonts w:cstheme="minorHAnsi"/>
        </w:rPr>
        <w:t xml:space="preserve">the prospect of </w:t>
      </w:r>
      <w:r w:rsidR="00F062E8" w:rsidRPr="001005B7">
        <w:rPr>
          <w:rFonts w:cstheme="minorHAnsi"/>
        </w:rPr>
        <w:t>his</w:t>
      </w:r>
      <w:r w:rsidR="009C46D3" w:rsidRPr="001005B7">
        <w:rPr>
          <w:rFonts w:cstheme="minorHAnsi"/>
        </w:rPr>
        <w:t xml:space="preserve"> subsequently </w:t>
      </w:r>
      <w:r w:rsidR="00B405C9" w:rsidRPr="001005B7">
        <w:rPr>
          <w:rFonts w:cstheme="minorHAnsi"/>
        </w:rPr>
        <w:t>restor</w:t>
      </w:r>
      <w:r w:rsidR="009C46D3" w:rsidRPr="001005B7">
        <w:rPr>
          <w:rFonts w:cstheme="minorHAnsi"/>
        </w:rPr>
        <w:t xml:space="preserve">ing Jerusalem </w:t>
      </w:r>
      <w:r w:rsidR="0068708A" w:rsidRPr="001005B7">
        <w:rPr>
          <w:rFonts w:cstheme="minorHAnsi"/>
        </w:rPr>
        <w:t>in fulfillment of his covenant relationship with its people</w:t>
      </w:r>
      <w:r w:rsidR="00FD37E2" w:rsidRPr="001005B7">
        <w:rPr>
          <w:rFonts w:cstheme="minorHAnsi"/>
        </w:rPr>
        <w:t xml:space="preserve"> (contrast 16</w:t>
      </w:r>
      <w:r w:rsidR="00FA3D1B" w:rsidRPr="001005B7">
        <w:rPr>
          <w:rFonts w:cstheme="minorHAnsi"/>
        </w:rPr>
        <w:t>:</w:t>
      </w:r>
      <w:r w:rsidR="00FA3D1B" w:rsidRPr="001005B7">
        <w:rPr>
          <w:bCs/>
        </w:rPr>
        <w:t>59</w:t>
      </w:r>
      <w:r w:rsidR="00F46900" w:rsidRPr="001005B7">
        <w:rPr>
          <w:bCs/>
        </w:rPr>
        <w:t>–</w:t>
      </w:r>
      <w:r w:rsidR="00FA3D1B" w:rsidRPr="001005B7">
        <w:rPr>
          <w:bCs/>
        </w:rPr>
        <w:t>63</w:t>
      </w:r>
      <w:r w:rsidR="00FD37E2" w:rsidRPr="001005B7">
        <w:rPr>
          <w:rFonts w:cstheme="minorHAnsi"/>
        </w:rPr>
        <w:t>)</w:t>
      </w:r>
      <w:r w:rsidR="0076371E" w:rsidRPr="001005B7">
        <w:rPr>
          <w:rFonts w:cstheme="minorHAnsi"/>
        </w:rPr>
        <w:t>.</w:t>
      </w:r>
    </w:p>
    <w:p w14:paraId="4F98F770" w14:textId="6406FB63" w:rsidR="00C91F4B" w:rsidRPr="001005B7" w:rsidRDefault="003F6366" w:rsidP="00C91F4B">
      <w:pPr>
        <w:rPr>
          <w:rFonts w:cstheme="minorHAnsi"/>
        </w:rPr>
      </w:pPr>
      <w:r w:rsidRPr="001005B7">
        <w:rPr>
          <w:rFonts w:cstheme="minorHAnsi"/>
        </w:rPr>
        <w:t>The</w:t>
      </w:r>
      <w:r w:rsidR="00B67826" w:rsidRPr="001005B7">
        <w:rPr>
          <w:rFonts w:cstheme="minorHAnsi"/>
        </w:rPr>
        <w:t xml:space="preserve">re </w:t>
      </w:r>
      <w:r w:rsidR="009E36E7" w:rsidRPr="001005B7">
        <w:rPr>
          <w:rFonts w:cstheme="minorHAnsi"/>
        </w:rPr>
        <w:t>is</w:t>
      </w:r>
      <w:r w:rsidR="00B67826" w:rsidRPr="001005B7">
        <w:rPr>
          <w:rFonts w:cstheme="minorHAnsi"/>
        </w:rPr>
        <w:t xml:space="preserve"> another connection in which the</w:t>
      </w:r>
      <w:r w:rsidRPr="001005B7">
        <w:rPr>
          <w:rFonts w:cstheme="minorHAnsi"/>
        </w:rPr>
        <w:t xml:space="preserve"> grim threats in </w:t>
      </w:r>
      <w:r w:rsidR="0042084A" w:rsidRPr="001005B7">
        <w:rPr>
          <w:rFonts w:cstheme="minorHAnsi"/>
        </w:rPr>
        <w:t>5:</w:t>
      </w:r>
      <w:r w:rsidRPr="001005B7">
        <w:rPr>
          <w:rFonts w:cstheme="minorHAnsi"/>
        </w:rPr>
        <w:t>5</w:t>
      </w:r>
      <w:r w:rsidR="00F46900" w:rsidRPr="001005B7">
        <w:rPr>
          <w:rFonts w:cstheme="minorHAnsi"/>
        </w:rPr>
        <w:t>–</w:t>
      </w:r>
      <w:r w:rsidRPr="001005B7">
        <w:rPr>
          <w:rFonts w:cstheme="minorHAnsi"/>
        </w:rPr>
        <w:t xml:space="preserve">17 are not </w:t>
      </w:r>
      <w:r w:rsidR="008E3146" w:rsidRPr="001005B7">
        <w:rPr>
          <w:rFonts w:cstheme="minorHAnsi"/>
        </w:rPr>
        <w:t xml:space="preserve">novel </w:t>
      </w:r>
      <w:r w:rsidRPr="001005B7">
        <w:rPr>
          <w:rFonts w:cstheme="minorHAnsi"/>
        </w:rPr>
        <w:t>ones that Yahweh inspired Ezekiel to think up</w:t>
      </w:r>
      <w:r w:rsidR="008E3146" w:rsidRPr="001005B7">
        <w:rPr>
          <w:rFonts w:cstheme="minorHAnsi"/>
        </w:rPr>
        <w:t xml:space="preserve"> in th</w:t>
      </w:r>
      <w:r w:rsidR="00C31F9F" w:rsidRPr="001005B7">
        <w:rPr>
          <w:rFonts w:cstheme="minorHAnsi"/>
        </w:rPr>
        <w:t>is context.</w:t>
      </w:r>
      <w:r w:rsidR="00011C97" w:rsidRPr="001005B7">
        <w:rPr>
          <w:rFonts w:cstheme="minorHAnsi"/>
        </w:rPr>
        <w:t xml:space="preserve"> </w:t>
      </w:r>
      <w:r w:rsidR="00B67826" w:rsidRPr="001005B7">
        <w:rPr>
          <w:rFonts w:cstheme="minorHAnsi"/>
        </w:rPr>
        <w:t>B</w:t>
      </w:r>
      <w:r w:rsidR="003D6E11" w:rsidRPr="001005B7">
        <w:rPr>
          <w:rFonts w:cstheme="minorHAnsi"/>
        </w:rPr>
        <w:t xml:space="preserve">oth Ezekiel and Leviticus </w:t>
      </w:r>
      <w:r w:rsidR="00095A36" w:rsidRPr="001005B7">
        <w:rPr>
          <w:rFonts w:cstheme="minorHAnsi"/>
        </w:rPr>
        <w:t>also recall</w:t>
      </w:r>
      <w:r w:rsidR="003D6E11" w:rsidRPr="001005B7">
        <w:rPr>
          <w:rFonts w:cstheme="minorHAnsi"/>
        </w:rPr>
        <w:t xml:space="preserve"> </w:t>
      </w:r>
      <w:r w:rsidR="00B67826" w:rsidRPr="001005B7">
        <w:rPr>
          <w:rFonts w:cstheme="minorHAnsi"/>
        </w:rPr>
        <w:t xml:space="preserve">accounts </w:t>
      </w:r>
      <w:r w:rsidR="003D6E11" w:rsidRPr="001005B7">
        <w:rPr>
          <w:rFonts w:cstheme="minorHAnsi"/>
        </w:rPr>
        <w:t>Ashurbanipal</w:t>
      </w:r>
      <w:r w:rsidR="004D2825" w:rsidRPr="001005B7">
        <w:rPr>
          <w:rFonts w:cstheme="minorHAnsi"/>
        </w:rPr>
        <w:t xml:space="preserve"> g</w:t>
      </w:r>
      <w:r w:rsidR="00ED66C9" w:rsidRPr="001005B7">
        <w:rPr>
          <w:rFonts w:cstheme="minorHAnsi"/>
        </w:rPr>
        <w:t>ave</w:t>
      </w:r>
      <w:r w:rsidR="005001DA" w:rsidRPr="001005B7">
        <w:rPr>
          <w:rFonts w:cstheme="minorHAnsi"/>
        </w:rPr>
        <w:t xml:space="preserve"> of military victories</w:t>
      </w:r>
      <w:r w:rsidR="003D6E11" w:rsidRPr="001005B7">
        <w:rPr>
          <w:rFonts w:cstheme="minorHAnsi"/>
        </w:rPr>
        <w:t xml:space="preserve"> </w:t>
      </w:r>
      <w:r w:rsidR="00855537" w:rsidRPr="001005B7">
        <w:rPr>
          <w:rFonts w:cstheme="minorHAnsi"/>
        </w:rPr>
        <w:t xml:space="preserve">(just a few decades </w:t>
      </w:r>
      <w:r w:rsidR="00331BED" w:rsidRPr="001005B7">
        <w:rPr>
          <w:rFonts w:cstheme="minorHAnsi"/>
        </w:rPr>
        <w:t>before the 590s</w:t>
      </w:r>
      <w:r w:rsidR="00855537" w:rsidRPr="001005B7">
        <w:rPr>
          <w:rFonts w:cstheme="minorHAnsi"/>
        </w:rPr>
        <w:t>)</w:t>
      </w:r>
      <w:r w:rsidR="0097702B" w:rsidRPr="001005B7">
        <w:rPr>
          <w:rFonts w:cstheme="minorHAnsi"/>
        </w:rPr>
        <w:t>,</w:t>
      </w:r>
      <w:r w:rsidR="00293C50" w:rsidRPr="001005B7">
        <w:rPr>
          <w:rFonts w:cstheme="minorHAnsi"/>
        </w:rPr>
        <w:t xml:space="preserve"> in which he refers to famine, epidemic, </w:t>
      </w:r>
      <w:r w:rsidR="002E7FA1" w:rsidRPr="001005B7">
        <w:rPr>
          <w:rFonts w:cstheme="minorHAnsi"/>
        </w:rPr>
        <w:t>slaughter, and parents eating children</w:t>
      </w:r>
      <w:r w:rsidR="006548A8" w:rsidRPr="001005B7">
        <w:rPr>
          <w:rFonts w:cstheme="minorHAnsi"/>
        </w:rPr>
        <w:t xml:space="preserve"> (</w:t>
      </w:r>
      <w:r w:rsidR="008A6C87" w:rsidRPr="001005B7">
        <w:t>s</w:t>
      </w:r>
      <w:r w:rsidR="006548A8" w:rsidRPr="001005B7">
        <w:t xml:space="preserve">ee </w:t>
      </w:r>
      <w:r w:rsidR="006548A8" w:rsidRPr="001005B7">
        <w:rPr>
          <w:i/>
          <w:iCs/>
        </w:rPr>
        <w:t>ANET</w:t>
      </w:r>
      <w:r w:rsidR="006548A8" w:rsidRPr="001005B7">
        <w:t>, 299</w:t>
      </w:r>
      <w:r w:rsidR="00F46900" w:rsidRPr="001005B7">
        <w:t>–</w:t>
      </w:r>
      <w:r w:rsidR="006548A8" w:rsidRPr="001005B7">
        <w:t xml:space="preserve">300; cf. Greenberg, </w:t>
      </w:r>
      <w:r w:rsidR="008A6C87" w:rsidRPr="001005B7">
        <w:t>1:</w:t>
      </w:r>
      <w:r w:rsidR="006548A8" w:rsidRPr="001005B7">
        <w:t>124</w:t>
      </w:r>
      <w:r w:rsidR="00EE1880" w:rsidRPr="001005B7">
        <w:t>)</w:t>
      </w:r>
      <w:r w:rsidR="006548A8" w:rsidRPr="001005B7">
        <w:t>.</w:t>
      </w:r>
      <w:r w:rsidR="00011C97" w:rsidRPr="001005B7">
        <w:rPr>
          <w:rFonts w:cstheme="minorHAnsi"/>
        </w:rPr>
        <w:t xml:space="preserve"> </w:t>
      </w:r>
      <w:r w:rsidR="0068403E" w:rsidRPr="001005B7">
        <w:rPr>
          <w:rFonts w:cstheme="minorHAnsi"/>
        </w:rPr>
        <w:t>I</w:t>
      </w:r>
      <w:r w:rsidR="00E91CFF" w:rsidRPr="001005B7">
        <w:rPr>
          <w:rFonts w:cstheme="minorHAnsi"/>
        </w:rPr>
        <w:t>n</w:t>
      </w:r>
      <w:r w:rsidR="00FE3CA8" w:rsidRPr="001005B7">
        <w:rPr>
          <w:rFonts w:cstheme="minorHAnsi"/>
        </w:rPr>
        <w:t xml:space="preserve"> Leviticus and </w:t>
      </w:r>
      <w:r w:rsidR="003025BD" w:rsidRPr="001005B7">
        <w:rPr>
          <w:rFonts w:cstheme="minorHAnsi"/>
        </w:rPr>
        <w:t xml:space="preserve">in </w:t>
      </w:r>
      <w:r w:rsidR="00FE3CA8" w:rsidRPr="001005B7">
        <w:rPr>
          <w:rFonts w:cstheme="minorHAnsi"/>
        </w:rPr>
        <w:t>Ezekiel</w:t>
      </w:r>
      <w:r w:rsidR="00E91CFF" w:rsidRPr="001005B7">
        <w:rPr>
          <w:rFonts w:cstheme="minorHAnsi"/>
        </w:rPr>
        <w:t xml:space="preserve">, then, Yahweh threatens </w:t>
      </w:r>
      <w:r w:rsidR="00FB7A96" w:rsidRPr="001005B7">
        <w:rPr>
          <w:rFonts w:cstheme="minorHAnsi"/>
        </w:rPr>
        <w:t>to act in the way a warrior king does act when his underlings fail to keep their commitments to him.</w:t>
      </w:r>
      <w:r w:rsidR="002A666E" w:rsidRPr="001005B7">
        <w:rPr>
          <w:rFonts w:cstheme="minorHAnsi"/>
        </w:rPr>
        <w:t xml:space="preserve"> Both in Leviticus and in Ezekiel,</w:t>
      </w:r>
      <w:r w:rsidR="00260ED1" w:rsidRPr="001005B7">
        <w:rPr>
          <w:rFonts w:cstheme="minorHAnsi"/>
        </w:rPr>
        <w:t xml:space="preserve"> at these points</w:t>
      </w:r>
      <w:r w:rsidR="002A666E" w:rsidRPr="001005B7">
        <w:rPr>
          <w:rFonts w:cstheme="minorHAnsi"/>
        </w:rPr>
        <w:t xml:space="preserve"> </w:t>
      </w:r>
      <w:r w:rsidR="000A158F" w:rsidRPr="001005B7">
        <w:rPr>
          <w:rFonts w:cstheme="minorHAnsi"/>
        </w:rPr>
        <w:t>the nations gain new prominence</w:t>
      </w:r>
      <w:r w:rsidR="005F26DB" w:rsidRPr="001005B7">
        <w:rPr>
          <w:rFonts w:cstheme="minorHAnsi"/>
        </w:rPr>
        <w:t xml:space="preserve"> (</w:t>
      </w:r>
      <w:r w:rsidR="005F26DB" w:rsidRPr="001005B7">
        <w:t>Wright, 93)</w:t>
      </w:r>
      <w:r w:rsidR="00C91F4B" w:rsidRPr="001005B7">
        <w:t>.</w:t>
      </w:r>
    </w:p>
    <w:p w14:paraId="31D9F529" w14:textId="3925D666" w:rsidR="00221651" w:rsidRPr="001005B7" w:rsidRDefault="00435360" w:rsidP="00BD46A3">
      <w:pPr>
        <w:pStyle w:val="FootnoteText"/>
        <w:rPr>
          <w:sz w:val="22"/>
          <w:szCs w:val="22"/>
        </w:rPr>
      </w:pPr>
      <w:r w:rsidRPr="001005B7">
        <w:rPr>
          <w:sz w:val="22"/>
          <w:szCs w:val="22"/>
        </w:rPr>
        <w:t xml:space="preserve">As </w:t>
      </w:r>
      <w:r w:rsidR="00A414AE" w:rsidRPr="001005B7">
        <w:rPr>
          <w:sz w:val="22"/>
          <w:szCs w:val="22"/>
        </w:rPr>
        <w:t>4:1</w:t>
      </w:r>
      <w:r w:rsidR="00F46900" w:rsidRPr="001005B7">
        <w:rPr>
          <w:sz w:val="22"/>
          <w:szCs w:val="22"/>
        </w:rPr>
        <w:t>–</w:t>
      </w:r>
      <w:r w:rsidR="00A414AE" w:rsidRPr="001005B7">
        <w:rPr>
          <w:sz w:val="22"/>
          <w:szCs w:val="22"/>
        </w:rPr>
        <w:t xml:space="preserve">5:4 is a </w:t>
      </w:r>
      <w:r w:rsidR="004B0E2C" w:rsidRPr="001005B7">
        <w:rPr>
          <w:sz w:val="22"/>
          <w:szCs w:val="22"/>
        </w:rPr>
        <w:t>jerky sequence of biddings</w:t>
      </w:r>
      <w:r w:rsidR="00B74843" w:rsidRPr="001005B7">
        <w:rPr>
          <w:sz w:val="22"/>
          <w:szCs w:val="22"/>
        </w:rPr>
        <w:t>, 5:5</w:t>
      </w:r>
      <w:r w:rsidR="00F46900" w:rsidRPr="001005B7">
        <w:rPr>
          <w:sz w:val="22"/>
          <w:szCs w:val="22"/>
        </w:rPr>
        <w:t>–</w:t>
      </w:r>
      <w:r w:rsidR="00B74843" w:rsidRPr="001005B7">
        <w:rPr>
          <w:sz w:val="22"/>
          <w:szCs w:val="22"/>
        </w:rPr>
        <w:t xml:space="preserve">17 is a </w:t>
      </w:r>
      <w:r w:rsidR="002E568A" w:rsidRPr="001005B7">
        <w:rPr>
          <w:sz w:val="22"/>
          <w:szCs w:val="22"/>
        </w:rPr>
        <w:t>jerky block of messages</w:t>
      </w:r>
      <w:r w:rsidR="0068403E" w:rsidRPr="001005B7">
        <w:rPr>
          <w:sz w:val="22"/>
          <w:szCs w:val="22"/>
        </w:rPr>
        <w:t>. O</w:t>
      </w:r>
      <w:r w:rsidR="008759BD" w:rsidRPr="001005B7">
        <w:rPr>
          <w:sz w:val="22"/>
          <w:szCs w:val="22"/>
        </w:rPr>
        <w:t>ne can think of</w:t>
      </w:r>
      <w:r w:rsidR="004C0481" w:rsidRPr="001005B7">
        <w:rPr>
          <w:sz w:val="22"/>
          <w:szCs w:val="22"/>
        </w:rPr>
        <w:t xml:space="preserve"> 5:5</w:t>
      </w:r>
      <w:r w:rsidR="00F46900" w:rsidRPr="001005B7">
        <w:rPr>
          <w:sz w:val="22"/>
          <w:szCs w:val="22"/>
        </w:rPr>
        <w:t>–</w:t>
      </w:r>
      <w:r w:rsidR="004C0481" w:rsidRPr="001005B7">
        <w:rPr>
          <w:sz w:val="22"/>
          <w:szCs w:val="22"/>
        </w:rPr>
        <w:t xml:space="preserve">17 </w:t>
      </w:r>
      <w:r w:rsidR="003F1834" w:rsidRPr="001005B7">
        <w:rPr>
          <w:sz w:val="22"/>
          <w:szCs w:val="22"/>
        </w:rPr>
        <w:t>as a collage</w:t>
      </w:r>
      <w:r w:rsidR="00CC5C2E" w:rsidRPr="001005B7">
        <w:rPr>
          <w:sz w:val="22"/>
          <w:szCs w:val="22"/>
        </w:rPr>
        <w:t xml:space="preserve"> (Block</w:t>
      </w:r>
      <w:r w:rsidR="00EE1880" w:rsidRPr="001005B7">
        <w:rPr>
          <w:sz w:val="22"/>
          <w:szCs w:val="22"/>
        </w:rPr>
        <w:t>,</w:t>
      </w:r>
      <w:r w:rsidR="00CC5C2E" w:rsidRPr="001005B7">
        <w:rPr>
          <w:sz w:val="22"/>
          <w:szCs w:val="22"/>
        </w:rPr>
        <w:t xml:space="preserve"> </w:t>
      </w:r>
      <w:r w:rsidR="00BD46A3" w:rsidRPr="001005B7">
        <w:rPr>
          <w:sz w:val="22"/>
          <w:szCs w:val="22"/>
        </w:rPr>
        <w:t>1:</w:t>
      </w:r>
      <w:r w:rsidR="00CC5C2E" w:rsidRPr="001005B7">
        <w:rPr>
          <w:sz w:val="22"/>
          <w:szCs w:val="22"/>
        </w:rPr>
        <w:t>196</w:t>
      </w:r>
      <w:r w:rsidR="00BD46A3" w:rsidRPr="001005B7">
        <w:rPr>
          <w:sz w:val="22"/>
          <w:szCs w:val="22"/>
        </w:rPr>
        <w:t xml:space="preserve">) </w:t>
      </w:r>
      <w:r w:rsidR="006C1C4E" w:rsidRPr="001005B7">
        <w:rPr>
          <w:sz w:val="22"/>
          <w:szCs w:val="22"/>
        </w:rPr>
        <w:t>derived from</w:t>
      </w:r>
      <w:r w:rsidR="004C0481" w:rsidRPr="001005B7">
        <w:rPr>
          <w:sz w:val="22"/>
          <w:szCs w:val="22"/>
        </w:rPr>
        <w:t xml:space="preserve"> </w:t>
      </w:r>
      <w:r w:rsidR="006C1C4E" w:rsidRPr="001005B7">
        <w:rPr>
          <w:sz w:val="22"/>
          <w:szCs w:val="22"/>
        </w:rPr>
        <w:t xml:space="preserve">separate </w:t>
      </w:r>
      <w:r w:rsidR="004C0481" w:rsidRPr="001005B7">
        <w:rPr>
          <w:sz w:val="22"/>
          <w:szCs w:val="22"/>
        </w:rPr>
        <w:t xml:space="preserve">messages </w:t>
      </w:r>
      <w:r w:rsidR="007A3F7A" w:rsidRPr="001005B7">
        <w:rPr>
          <w:sz w:val="22"/>
          <w:szCs w:val="22"/>
        </w:rPr>
        <w:t xml:space="preserve">that </w:t>
      </w:r>
      <w:r w:rsidR="00A123A9" w:rsidRPr="001005B7">
        <w:rPr>
          <w:sz w:val="22"/>
          <w:szCs w:val="22"/>
        </w:rPr>
        <w:t xml:space="preserve">Yahweh gave to </w:t>
      </w:r>
      <w:r w:rsidR="004C0481" w:rsidRPr="001005B7">
        <w:rPr>
          <w:sz w:val="22"/>
          <w:szCs w:val="22"/>
        </w:rPr>
        <w:t xml:space="preserve">Ezekiel in connection with </w:t>
      </w:r>
      <w:r w:rsidR="00A123A9" w:rsidRPr="001005B7">
        <w:rPr>
          <w:sz w:val="22"/>
          <w:szCs w:val="22"/>
        </w:rPr>
        <w:t xml:space="preserve">his </w:t>
      </w:r>
      <w:r w:rsidR="004C0481" w:rsidRPr="001005B7">
        <w:rPr>
          <w:sz w:val="22"/>
          <w:szCs w:val="22"/>
        </w:rPr>
        <w:t>acting out the signs</w:t>
      </w:r>
      <w:r w:rsidR="006C1C4E" w:rsidRPr="001005B7">
        <w:rPr>
          <w:sz w:val="22"/>
          <w:szCs w:val="22"/>
        </w:rPr>
        <w:t>.</w:t>
      </w:r>
      <w:r w:rsidR="00AE52EB" w:rsidRPr="001005B7">
        <w:rPr>
          <w:sz w:val="22"/>
          <w:szCs w:val="22"/>
        </w:rPr>
        <w:t xml:space="preserve"> </w:t>
      </w:r>
      <w:r w:rsidR="00353BE5" w:rsidRPr="001005B7">
        <w:rPr>
          <w:sz w:val="22"/>
          <w:szCs w:val="22"/>
        </w:rPr>
        <w:t xml:space="preserve">In other words, </w:t>
      </w:r>
      <w:r w:rsidR="0028435C" w:rsidRPr="001005B7">
        <w:rPr>
          <w:sz w:val="22"/>
          <w:szCs w:val="22"/>
        </w:rPr>
        <w:t xml:space="preserve">Yahweh </w:t>
      </w:r>
      <w:r w:rsidR="00B06A72" w:rsidRPr="001005B7">
        <w:rPr>
          <w:sz w:val="22"/>
          <w:szCs w:val="22"/>
        </w:rPr>
        <w:t>might</w:t>
      </w:r>
      <w:r w:rsidR="0028435C" w:rsidRPr="001005B7">
        <w:rPr>
          <w:sz w:val="22"/>
          <w:szCs w:val="22"/>
        </w:rPr>
        <w:t xml:space="preserve"> not</w:t>
      </w:r>
      <w:r w:rsidR="00B06A72" w:rsidRPr="001005B7">
        <w:rPr>
          <w:sz w:val="22"/>
          <w:szCs w:val="22"/>
        </w:rPr>
        <w:t xml:space="preserve"> have</w:t>
      </w:r>
      <w:r w:rsidR="0028435C" w:rsidRPr="001005B7">
        <w:rPr>
          <w:sz w:val="22"/>
          <w:szCs w:val="22"/>
        </w:rPr>
        <w:t xml:space="preserve"> commission</w:t>
      </w:r>
      <w:r w:rsidR="00B06A72" w:rsidRPr="001005B7">
        <w:rPr>
          <w:sz w:val="22"/>
          <w:szCs w:val="22"/>
        </w:rPr>
        <w:t>ed</w:t>
      </w:r>
      <w:r w:rsidR="0028435C" w:rsidRPr="001005B7">
        <w:rPr>
          <w:sz w:val="22"/>
          <w:szCs w:val="22"/>
        </w:rPr>
        <w:t xml:space="preserve"> all those sign acts end to end, Ezekiel </w:t>
      </w:r>
      <w:r w:rsidR="00AD5BDB" w:rsidRPr="001005B7">
        <w:rPr>
          <w:sz w:val="22"/>
          <w:szCs w:val="22"/>
        </w:rPr>
        <w:t>might</w:t>
      </w:r>
      <w:r w:rsidR="0028435C" w:rsidRPr="001005B7">
        <w:rPr>
          <w:sz w:val="22"/>
          <w:szCs w:val="22"/>
        </w:rPr>
        <w:t xml:space="preserve"> not </w:t>
      </w:r>
      <w:r w:rsidR="00AD5BDB" w:rsidRPr="001005B7">
        <w:rPr>
          <w:sz w:val="22"/>
          <w:szCs w:val="22"/>
        </w:rPr>
        <w:t xml:space="preserve">have </w:t>
      </w:r>
      <w:r w:rsidR="0028435C" w:rsidRPr="001005B7">
        <w:rPr>
          <w:sz w:val="22"/>
          <w:szCs w:val="22"/>
        </w:rPr>
        <w:t>enact</w:t>
      </w:r>
      <w:r w:rsidR="00AD5BDB" w:rsidRPr="001005B7">
        <w:rPr>
          <w:sz w:val="22"/>
          <w:szCs w:val="22"/>
        </w:rPr>
        <w:t>ed</w:t>
      </w:r>
      <w:r w:rsidR="0028435C" w:rsidRPr="001005B7">
        <w:rPr>
          <w:sz w:val="22"/>
          <w:szCs w:val="22"/>
        </w:rPr>
        <w:t xml:space="preserve"> them one after each other, and </w:t>
      </w:r>
      <w:r w:rsidR="0042084A" w:rsidRPr="001005B7">
        <w:rPr>
          <w:sz w:val="22"/>
          <w:szCs w:val="22"/>
        </w:rPr>
        <w:t>5:</w:t>
      </w:r>
      <w:r w:rsidR="0028435C" w:rsidRPr="001005B7">
        <w:rPr>
          <w:sz w:val="22"/>
          <w:szCs w:val="22"/>
        </w:rPr>
        <w:t>5</w:t>
      </w:r>
      <w:r w:rsidR="00F46900" w:rsidRPr="001005B7">
        <w:rPr>
          <w:sz w:val="22"/>
          <w:szCs w:val="22"/>
        </w:rPr>
        <w:t>–</w:t>
      </w:r>
      <w:r w:rsidR="0028435C" w:rsidRPr="001005B7">
        <w:rPr>
          <w:sz w:val="22"/>
          <w:szCs w:val="22"/>
        </w:rPr>
        <w:t xml:space="preserve">17 </w:t>
      </w:r>
      <w:r w:rsidR="00AD5BDB" w:rsidRPr="001005B7">
        <w:rPr>
          <w:sz w:val="22"/>
          <w:szCs w:val="22"/>
        </w:rPr>
        <w:t>might</w:t>
      </w:r>
      <w:r w:rsidR="0028435C" w:rsidRPr="001005B7">
        <w:rPr>
          <w:sz w:val="22"/>
          <w:szCs w:val="22"/>
        </w:rPr>
        <w:t xml:space="preserve"> not represent a warning that Yahweh gave in one go</w:t>
      </w:r>
      <w:r w:rsidR="00AD5BDB" w:rsidRPr="001005B7">
        <w:rPr>
          <w:sz w:val="22"/>
          <w:szCs w:val="22"/>
        </w:rPr>
        <w:t>. R</w:t>
      </w:r>
      <w:r w:rsidR="0028435C" w:rsidRPr="001005B7">
        <w:rPr>
          <w:sz w:val="22"/>
          <w:szCs w:val="22"/>
        </w:rPr>
        <w:t>ather</w:t>
      </w:r>
      <w:r w:rsidR="00AD5BDB" w:rsidRPr="001005B7">
        <w:rPr>
          <w:sz w:val="22"/>
          <w:szCs w:val="22"/>
        </w:rPr>
        <w:t>,</w:t>
      </w:r>
      <w:r w:rsidR="0028435C" w:rsidRPr="001005B7">
        <w:rPr>
          <w:sz w:val="22"/>
          <w:szCs w:val="22"/>
        </w:rPr>
        <w:t xml:space="preserve"> Ezekiel has turned a sequence of commissions and messages into a pair of coherent wholes in 4:1</w:t>
      </w:r>
      <w:r w:rsidR="00F46900" w:rsidRPr="001005B7">
        <w:rPr>
          <w:sz w:val="22"/>
          <w:szCs w:val="22"/>
        </w:rPr>
        <w:t>–</w:t>
      </w:r>
      <w:r w:rsidR="0028435C" w:rsidRPr="001005B7">
        <w:rPr>
          <w:sz w:val="22"/>
          <w:szCs w:val="22"/>
        </w:rPr>
        <w:t>5:4 and 5:5</w:t>
      </w:r>
      <w:r w:rsidR="00F46900" w:rsidRPr="001005B7">
        <w:rPr>
          <w:sz w:val="22"/>
          <w:szCs w:val="22"/>
        </w:rPr>
        <w:t>–</w:t>
      </w:r>
      <w:r w:rsidR="0028435C" w:rsidRPr="001005B7">
        <w:rPr>
          <w:sz w:val="22"/>
          <w:szCs w:val="22"/>
        </w:rPr>
        <w:t xml:space="preserve">17. </w:t>
      </w:r>
      <w:r w:rsidR="00AE52EB" w:rsidRPr="001005B7">
        <w:rPr>
          <w:sz w:val="22"/>
          <w:szCs w:val="22"/>
        </w:rPr>
        <w:t>I</w:t>
      </w:r>
      <w:r w:rsidR="00A123A9" w:rsidRPr="001005B7">
        <w:rPr>
          <w:sz w:val="22"/>
          <w:szCs w:val="22"/>
        </w:rPr>
        <w:t xml:space="preserve">n the context of the Ezekiel scroll </w:t>
      </w:r>
      <w:r w:rsidR="00AE52EB" w:rsidRPr="001005B7">
        <w:rPr>
          <w:sz w:val="22"/>
          <w:szCs w:val="22"/>
        </w:rPr>
        <w:t>the</w:t>
      </w:r>
      <w:r w:rsidR="00A123A9" w:rsidRPr="001005B7">
        <w:rPr>
          <w:sz w:val="22"/>
          <w:szCs w:val="22"/>
        </w:rPr>
        <w:t>y</w:t>
      </w:r>
      <w:r w:rsidR="00AE52EB" w:rsidRPr="001005B7">
        <w:rPr>
          <w:sz w:val="22"/>
          <w:szCs w:val="22"/>
        </w:rPr>
        <w:t xml:space="preserve"> </w:t>
      </w:r>
      <w:r w:rsidR="00A123A9" w:rsidRPr="001005B7">
        <w:rPr>
          <w:sz w:val="22"/>
          <w:szCs w:val="22"/>
        </w:rPr>
        <w:t xml:space="preserve">have </w:t>
      </w:r>
      <w:r w:rsidR="00353BE5" w:rsidRPr="001005B7">
        <w:rPr>
          <w:sz w:val="22"/>
          <w:szCs w:val="22"/>
        </w:rPr>
        <w:t xml:space="preserve">thus </w:t>
      </w:r>
      <w:r w:rsidR="00A123A9" w:rsidRPr="001005B7">
        <w:rPr>
          <w:sz w:val="22"/>
          <w:szCs w:val="22"/>
        </w:rPr>
        <w:t>come to</w:t>
      </w:r>
      <w:r w:rsidR="00AE52EB" w:rsidRPr="001005B7">
        <w:rPr>
          <w:sz w:val="22"/>
          <w:szCs w:val="22"/>
        </w:rPr>
        <w:t xml:space="preserve"> comprise a</w:t>
      </w:r>
      <w:r w:rsidR="00A46634" w:rsidRPr="001005B7">
        <w:rPr>
          <w:sz w:val="22"/>
          <w:szCs w:val="22"/>
        </w:rPr>
        <w:t xml:space="preserve"> </w:t>
      </w:r>
      <w:r w:rsidR="001F44EA" w:rsidRPr="001005B7">
        <w:rPr>
          <w:sz w:val="22"/>
          <w:szCs w:val="22"/>
        </w:rPr>
        <w:t xml:space="preserve">rhetorically </w:t>
      </w:r>
      <w:r w:rsidR="00C86702" w:rsidRPr="001005B7">
        <w:rPr>
          <w:sz w:val="22"/>
          <w:szCs w:val="22"/>
        </w:rPr>
        <w:t>structured whole</w:t>
      </w:r>
      <w:r w:rsidR="0083161E" w:rsidRPr="001005B7">
        <w:rPr>
          <w:sz w:val="22"/>
          <w:szCs w:val="22"/>
        </w:rPr>
        <w:t xml:space="preserve"> that</w:t>
      </w:r>
      <w:r w:rsidR="00296EE5" w:rsidRPr="001005B7">
        <w:rPr>
          <w:sz w:val="22"/>
          <w:szCs w:val="22"/>
        </w:rPr>
        <w:t xml:space="preserve"> works in staircase fashion</w:t>
      </w:r>
      <w:r w:rsidR="00D15B36" w:rsidRPr="001005B7">
        <w:rPr>
          <w:sz w:val="22"/>
          <w:szCs w:val="22"/>
        </w:rPr>
        <w:t>. It</w:t>
      </w:r>
      <w:r w:rsidR="00296EE5" w:rsidRPr="001005B7">
        <w:rPr>
          <w:sz w:val="22"/>
          <w:szCs w:val="22"/>
        </w:rPr>
        <w:t xml:space="preserve"> </w:t>
      </w:r>
      <w:r w:rsidR="00C86702" w:rsidRPr="001005B7">
        <w:rPr>
          <w:sz w:val="22"/>
          <w:szCs w:val="22"/>
        </w:rPr>
        <w:t>initially emphasiz</w:t>
      </w:r>
      <w:r w:rsidR="00D15B36" w:rsidRPr="001005B7">
        <w:rPr>
          <w:sz w:val="22"/>
          <w:szCs w:val="22"/>
        </w:rPr>
        <w:t>es</w:t>
      </w:r>
      <w:r w:rsidR="00C86702" w:rsidRPr="001005B7">
        <w:rPr>
          <w:sz w:val="22"/>
          <w:szCs w:val="22"/>
        </w:rPr>
        <w:t xml:space="preserve"> Yahweh</w:t>
      </w:r>
      <w:r w:rsidR="009D77FA" w:rsidRPr="001005B7">
        <w:rPr>
          <w:sz w:val="22"/>
          <w:szCs w:val="22"/>
        </w:rPr>
        <w:t>’</w:t>
      </w:r>
      <w:r w:rsidR="00C86702" w:rsidRPr="001005B7">
        <w:rPr>
          <w:sz w:val="22"/>
          <w:szCs w:val="22"/>
        </w:rPr>
        <w:t xml:space="preserve">s </w:t>
      </w:r>
      <w:r w:rsidR="009D77FA" w:rsidRPr="001005B7">
        <w:rPr>
          <w:sz w:val="22"/>
          <w:szCs w:val="22"/>
        </w:rPr>
        <w:t xml:space="preserve">having </w:t>
      </w:r>
      <w:r w:rsidR="00C86702" w:rsidRPr="001005B7">
        <w:rPr>
          <w:sz w:val="22"/>
          <w:szCs w:val="22"/>
        </w:rPr>
        <w:t>spoken these words</w:t>
      </w:r>
      <w:r w:rsidR="00284CDA" w:rsidRPr="001005B7">
        <w:rPr>
          <w:sz w:val="22"/>
          <w:szCs w:val="22"/>
        </w:rPr>
        <w:t xml:space="preserve"> (</w:t>
      </w:r>
      <w:r w:rsidR="00A05951" w:rsidRPr="001005B7">
        <w:rPr>
          <w:sz w:val="22"/>
          <w:szCs w:val="22"/>
        </w:rPr>
        <w:t>which links with that command</w:t>
      </w:r>
      <w:r w:rsidR="000A19F6" w:rsidRPr="001005B7">
        <w:rPr>
          <w:sz w:val="22"/>
          <w:szCs w:val="22"/>
        </w:rPr>
        <w:t xml:space="preserve"> not to speak until he is told to)</w:t>
      </w:r>
      <w:r w:rsidR="002E53A3" w:rsidRPr="001005B7">
        <w:rPr>
          <w:sz w:val="22"/>
          <w:szCs w:val="22"/>
        </w:rPr>
        <w:t xml:space="preserve">, </w:t>
      </w:r>
      <w:r w:rsidR="00115C61" w:rsidRPr="001005B7">
        <w:rPr>
          <w:sz w:val="22"/>
          <w:szCs w:val="22"/>
        </w:rPr>
        <w:t>goes</w:t>
      </w:r>
      <w:r w:rsidR="008272EB" w:rsidRPr="001005B7">
        <w:rPr>
          <w:sz w:val="22"/>
          <w:szCs w:val="22"/>
        </w:rPr>
        <w:t xml:space="preserve"> on to indict Jerusalem for what it has done</w:t>
      </w:r>
      <w:r w:rsidR="00F966DE" w:rsidRPr="001005B7">
        <w:rPr>
          <w:sz w:val="22"/>
          <w:szCs w:val="22"/>
        </w:rPr>
        <w:t>, and</w:t>
      </w:r>
      <w:r w:rsidR="008272EB" w:rsidRPr="001005B7">
        <w:rPr>
          <w:sz w:val="22"/>
          <w:szCs w:val="22"/>
        </w:rPr>
        <w:t xml:space="preserve"> </w:t>
      </w:r>
      <w:r w:rsidR="00296EE5" w:rsidRPr="001005B7">
        <w:rPr>
          <w:sz w:val="22"/>
          <w:szCs w:val="22"/>
        </w:rPr>
        <w:t>work</w:t>
      </w:r>
      <w:r w:rsidR="00115C61" w:rsidRPr="001005B7">
        <w:rPr>
          <w:sz w:val="22"/>
          <w:szCs w:val="22"/>
        </w:rPr>
        <w:t>s</w:t>
      </w:r>
      <w:r w:rsidR="00296EE5" w:rsidRPr="001005B7">
        <w:rPr>
          <w:sz w:val="22"/>
          <w:szCs w:val="22"/>
        </w:rPr>
        <w:t xml:space="preserve"> towards a focus on what </w:t>
      </w:r>
      <w:r w:rsidR="00DB63F9" w:rsidRPr="001005B7">
        <w:rPr>
          <w:sz w:val="22"/>
          <w:szCs w:val="22"/>
        </w:rPr>
        <w:t xml:space="preserve">Yahweh </w:t>
      </w:r>
      <w:r w:rsidR="00296EE5" w:rsidRPr="001005B7">
        <w:rPr>
          <w:sz w:val="22"/>
          <w:szCs w:val="22"/>
        </w:rPr>
        <w:t xml:space="preserve">will </w:t>
      </w:r>
      <w:r w:rsidR="00DB63F9" w:rsidRPr="001005B7">
        <w:rPr>
          <w:sz w:val="22"/>
          <w:szCs w:val="22"/>
        </w:rPr>
        <w:t>do as a consequ</w:t>
      </w:r>
      <w:r w:rsidR="00DA3299" w:rsidRPr="001005B7">
        <w:rPr>
          <w:sz w:val="22"/>
          <w:szCs w:val="22"/>
        </w:rPr>
        <w:t>e</w:t>
      </w:r>
      <w:r w:rsidR="00DB63F9" w:rsidRPr="001005B7">
        <w:rPr>
          <w:sz w:val="22"/>
          <w:szCs w:val="22"/>
        </w:rPr>
        <w:t>nce</w:t>
      </w:r>
      <w:r w:rsidR="00F966DE" w:rsidRPr="001005B7">
        <w:rPr>
          <w:sz w:val="22"/>
          <w:szCs w:val="22"/>
        </w:rPr>
        <w:t>. I</w:t>
      </w:r>
      <w:r w:rsidR="00DA3F9D" w:rsidRPr="001005B7">
        <w:rPr>
          <w:sz w:val="22"/>
          <w:szCs w:val="22"/>
        </w:rPr>
        <w:t xml:space="preserve">t </w:t>
      </w:r>
      <w:r w:rsidR="000F3270" w:rsidRPr="001005B7">
        <w:rPr>
          <w:sz w:val="22"/>
          <w:szCs w:val="22"/>
        </w:rPr>
        <w:t xml:space="preserve">then </w:t>
      </w:r>
      <w:r w:rsidR="00BA1FF5" w:rsidRPr="001005B7">
        <w:rPr>
          <w:sz w:val="22"/>
          <w:szCs w:val="22"/>
        </w:rPr>
        <w:t>restates the emphasis on Yahweh</w:t>
      </w:r>
      <w:r w:rsidR="000F3270" w:rsidRPr="001005B7">
        <w:rPr>
          <w:sz w:val="22"/>
          <w:szCs w:val="22"/>
        </w:rPr>
        <w:t>’s</w:t>
      </w:r>
      <w:r w:rsidR="00BA1FF5" w:rsidRPr="001005B7">
        <w:rPr>
          <w:sz w:val="22"/>
          <w:szCs w:val="22"/>
        </w:rPr>
        <w:t xml:space="preserve"> ha</w:t>
      </w:r>
      <w:r w:rsidR="000F3270" w:rsidRPr="001005B7">
        <w:rPr>
          <w:sz w:val="22"/>
          <w:szCs w:val="22"/>
        </w:rPr>
        <w:t>ving</w:t>
      </w:r>
      <w:r w:rsidR="00BA1FF5" w:rsidRPr="001005B7">
        <w:rPr>
          <w:sz w:val="22"/>
          <w:szCs w:val="22"/>
        </w:rPr>
        <w:t xml:space="preserve"> spoken these words by</w:t>
      </w:r>
      <w:r w:rsidR="00E047BA" w:rsidRPr="001005B7">
        <w:rPr>
          <w:sz w:val="22"/>
          <w:szCs w:val="22"/>
        </w:rPr>
        <w:t xml:space="preserve"> appending </w:t>
      </w:r>
      <w:r w:rsidR="00475C79" w:rsidRPr="001005B7">
        <w:rPr>
          <w:sz w:val="22"/>
          <w:szCs w:val="22"/>
        </w:rPr>
        <w:t>that note</w:t>
      </w:r>
      <w:r w:rsidR="00E047BA" w:rsidRPr="001005B7">
        <w:rPr>
          <w:sz w:val="22"/>
          <w:szCs w:val="22"/>
        </w:rPr>
        <w:t xml:space="preserve"> to the threats:</w:t>
      </w:r>
    </w:p>
    <w:p w14:paraId="3E711EEC" w14:textId="77777777" w:rsidR="00B5076B" w:rsidRPr="001005B7" w:rsidRDefault="00B5076B" w:rsidP="004075ED"/>
    <w:p w14:paraId="0FF56002" w14:textId="1EC11874" w:rsidR="00B5076B" w:rsidRPr="001005B7" w:rsidRDefault="007A6271" w:rsidP="004075ED">
      <w:r w:rsidRPr="001005B7">
        <w:rPr>
          <w:vertAlign w:val="superscript"/>
        </w:rPr>
        <w:t>5</w:t>
      </w:r>
      <w:r w:rsidR="005016E4" w:rsidRPr="001005B7">
        <w:rPr>
          <w:vertAlign w:val="superscript"/>
        </w:rPr>
        <w:t>a</w:t>
      </w:r>
      <w:r w:rsidR="00D70EEF" w:rsidRPr="001005B7">
        <w:rPr>
          <w:rFonts w:cstheme="minorHAnsi"/>
          <w:vertAlign w:val="superscript"/>
        </w:rPr>
        <w:t>α</w:t>
      </w:r>
      <w:r w:rsidR="00613C0E" w:rsidRPr="001005B7">
        <w:t>Yahweh has said</w:t>
      </w:r>
    </w:p>
    <w:p w14:paraId="1D343BDC" w14:textId="67CCFF0B" w:rsidR="00613C0E" w:rsidRPr="001005B7" w:rsidRDefault="00613C0E" w:rsidP="004075ED">
      <w:r w:rsidRPr="001005B7">
        <w:tab/>
      </w:r>
      <w:r w:rsidR="002878DC" w:rsidRPr="001005B7">
        <w:tab/>
      </w:r>
      <w:r w:rsidR="007A6271" w:rsidRPr="001005B7">
        <w:rPr>
          <w:vertAlign w:val="superscript"/>
        </w:rPr>
        <w:t>5</w:t>
      </w:r>
      <w:r w:rsidR="00D70EEF" w:rsidRPr="001005B7">
        <w:rPr>
          <w:vertAlign w:val="superscript"/>
        </w:rPr>
        <w:t>a</w:t>
      </w:r>
      <w:r w:rsidR="00D70EEF" w:rsidRPr="001005B7">
        <w:rPr>
          <w:rFonts w:cstheme="minorHAnsi"/>
          <w:vertAlign w:val="superscript"/>
        </w:rPr>
        <w:t>β</w:t>
      </w:r>
      <w:r w:rsidR="00F46900" w:rsidRPr="001005B7">
        <w:rPr>
          <w:rFonts w:cstheme="minorHAnsi"/>
          <w:vertAlign w:val="superscript"/>
        </w:rPr>
        <w:t>–</w:t>
      </w:r>
      <w:r w:rsidR="007A6271" w:rsidRPr="001005B7">
        <w:rPr>
          <w:vertAlign w:val="superscript"/>
        </w:rPr>
        <w:t>6</w:t>
      </w:r>
      <w:r w:rsidR="00115353" w:rsidRPr="001005B7">
        <w:t xml:space="preserve">What </w:t>
      </w:r>
      <w:r w:rsidR="002015F9" w:rsidRPr="001005B7">
        <w:t>Jerusalem</w:t>
      </w:r>
      <w:r w:rsidR="00115353" w:rsidRPr="001005B7">
        <w:t xml:space="preserve"> </w:t>
      </w:r>
      <w:r w:rsidR="0013086F" w:rsidRPr="001005B7">
        <w:t>has done</w:t>
      </w:r>
    </w:p>
    <w:p w14:paraId="3FCA536D" w14:textId="7D54C84F" w:rsidR="00115353" w:rsidRPr="001005B7" w:rsidRDefault="006B5E72" w:rsidP="004075ED">
      <w:r w:rsidRPr="001005B7">
        <w:rPr>
          <w:vertAlign w:val="superscript"/>
        </w:rPr>
        <w:t>7</w:t>
      </w:r>
      <w:r w:rsidR="008D591B" w:rsidRPr="001005B7">
        <w:rPr>
          <w:vertAlign w:val="superscript"/>
        </w:rPr>
        <w:t>a</w:t>
      </w:r>
      <w:r w:rsidR="008D591B" w:rsidRPr="001005B7">
        <w:rPr>
          <w:rFonts w:cstheme="minorHAnsi"/>
          <w:vertAlign w:val="superscript"/>
        </w:rPr>
        <w:t>α</w:t>
      </w:r>
      <w:r w:rsidRPr="001005B7">
        <w:t xml:space="preserve">Yahweh has </w:t>
      </w:r>
      <w:r w:rsidR="00930BE1" w:rsidRPr="001005B7">
        <w:t xml:space="preserve">therefore </w:t>
      </w:r>
      <w:r w:rsidRPr="001005B7">
        <w:t>said</w:t>
      </w:r>
    </w:p>
    <w:p w14:paraId="4D1C6CE7" w14:textId="709FE3F3" w:rsidR="0014266D" w:rsidRPr="001005B7" w:rsidRDefault="0014266D" w:rsidP="004075ED">
      <w:r w:rsidRPr="001005B7">
        <w:tab/>
      </w:r>
      <w:r w:rsidR="002878DC" w:rsidRPr="001005B7">
        <w:tab/>
      </w:r>
      <w:r w:rsidRPr="001005B7">
        <w:rPr>
          <w:vertAlign w:val="superscript"/>
        </w:rPr>
        <w:t>7</w:t>
      </w:r>
      <w:r w:rsidR="008D591B" w:rsidRPr="001005B7">
        <w:rPr>
          <w:vertAlign w:val="superscript"/>
        </w:rPr>
        <w:t>a</w:t>
      </w:r>
      <w:r w:rsidR="008D591B" w:rsidRPr="001005B7">
        <w:rPr>
          <w:rFonts w:cstheme="minorHAnsi"/>
          <w:vertAlign w:val="superscript"/>
        </w:rPr>
        <w:t>β</w:t>
      </w:r>
      <w:proofErr w:type="spellStart"/>
      <w:r w:rsidR="008D591B" w:rsidRPr="001005B7">
        <w:rPr>
          <w:vertAlign w:val="superscript"/>
        </w:rPr>
        <w:t>b</w:t>
      </w:r>
      <w:r w:rsidR="002015F9" w:rsidRPr="001005B7">
        <w:t>W</w:t>
      </w:r>
      <w:r w:rsidRPr="001005B7">
        <w:t>hat</w:t>
      </w:r>
      <w:proofErr w:type="spellEnd"/>
      <w:r w:rsidRPr="001005B7">
        <w:t xml:space="preserve"> Jerusalem </w:t>
      </w:r>
      <w:r w:rsidR="00930BE1" w:rsidRPr="001005B7">
        <w:t xml:space="preserve">has </w:t>
      </w:r>
      <w:r w:rsidR="0013086F" w:rsidRPr="001005B7">
        <w:t>done</w:t>
      </w:r>
    </w:p>
    <w:p w14:paraId="43EA7FAF" w14:textId="17E8155A" w:rsidR="00065710" w:rsidRPr="001005B7" w:rsidRDefault="00A83A44" w:rsidP="004075ED">
      <w:r w:rsidRPr="001005B7">
        <w:rPr>
          <w:vertAlign w:val="superscript"/>
        </w:rPr>
        <w:t>8</w:t>
      </w:r>
      <w:r w:rsidR="00121245" w:rsidRPr="001005B7">
        <w:rPr>
          <w:vertAlign w:val="superscript"/>
        </w:rPr>
        <w:t>a</w:t>
      </w:r>
      <w:r w:rsidR="00121245" w:rsidRPr="001005B7">
        <w:rPr>
          <w:rFonts w:cstheme="minorHAnsi"/>
          <w:vertAlign w:val="superscript"/>
        </w:rPr>
        <w:t>α</w:t>
      </w:r>
      <w:r w:rsidRPr="001005B7">
        <w:t>Yahweh has therefore said</w:t>
      </w:r>
    </w:p>
    <w:p w14:paraId="5DCE3610" w14:textId="33539172" w:rsidR="00182C3B" w:rsidRPr="001005B7" w:rsidRDefault="00182C3B" w:rsidP="004075ED">
      <w:r w:rsidRPr="001005B7">
        <w:tab/>
      </w:r>
      <w:r w:rsidR="00E36ED7" w:rsidRPr="001005B7">
        <w:tab/>
      </w:r>
      <w:r w:rsidR="00E36ED7" w:rsidRPr="001005B7">
        <w:tab/>
      </w:r>
      <w:r w:rsidR="00E36ED7" w:rsidRPr="001005B7">
        <w:tab/>
      </w:r>
      <w:r w:rsidR="00E36ED7" w:rsidRPr="001005B7">
        <w:tab/>
      </w:r>
      <w:r w:rsidR="00FA3F43" w:rsidRPr="001005B7">
        <w:rPr>
          <w:vertAlign w:val="superscript"/>
        </w:rPr>
        <w:t>8</w:t>
      </w:r>
      <w:r w:rsidR="007679A5" w:rsidRPr="001005B7">
        <w:rPr>
          <w:vertAlign w:val="superscript"/>
        </w:rPr>
        <w:t>a</w:t>
      </w:r>
      <w:r w:rsidR="007679A5" w:rsidRPr="001005B7">
        <w:rPr>
          <w:rFonts w:cstheme="minorHAnsi"/>
          <w:vertAlign w:val="superscript"/>
        </w:rPr>
        <w:t>β</w:t>
      </w:r>
      <w:r w:rsidR="007679A5" w:rsidRPr="001005B7">
        <w:rPr>
          <w:vertAlign w:val="superscript"/>
        </w:rPr>
        <w:t>b</w:t>
      </w:r>
      <w:r w:rsidR="00F46900" w:rsidRPr="001005B7">
        <w:rPr>
          <w:vertAlign w:val="superscript"/>
        </w:rPr>
        <w:t>–</w:t>
      </w:r>
      <w:r w:rsidRPr="001005B7">
        <w:rPr>
          <w:vertAlign w:val="superscript"/>
        </w:rPr>
        <w:t>10</w:t>
      </w:r>
      <w:r w:rsidR="00772B3A" w:rsidRPr="001005B7">
        <w:t xml:space="preserve">What </w:t>
      </w:r>
      <w:r w:rsidR="00CA38DA" w:rsidRPr="001005B7">
        <w:t>Yahweh</w:t>
      </w:r>
      <w:r w:rsidR="00FA3F43" w:rsidRPr="001005B7">
        <w:t xml:space="preserve"> will </w:t>
      </w:r>
      <w:r w:rsidR="008F79B4" w:rsidRPr="001005B7">
        <w:t xml:space="preserve">therefore </w:t>
      </w:r>
      <w:r w:rsidR="00FA3F43" w:rsidRPr="001005B7">
        <w:t>do</w:t>
      </w:r>
    </w:p>
    <w:p w14:paraId="1276720D" w14:textId="4F76FE31" w:rsidR="00D703B2" w:rsidRPr="001005B7" w:rsidRDefault="0084468A" w:rsidP="006315B5">
      <w:r w:rsidRPr="001005B7">
        <w:rPr>
          <w:vertAlign w:val="superscript"/>
        </w:rPr>
        <w:t>11</w:t>
      </w:r>
      <w:r w:rsidR="00AB15A1" w:rsidRPr="001005B7">
        <w:rPr>
          <w:vertAlign w:val="superscript"/>
        </w:rPr>
        <w:t>a</w:t>
      </w:r>
      <w:r w:rsidR="00AB15A1" w:rsidRPr="001005B7">
        <w:rPr>
          <w:rFonts w:cstheme="minorHAnsi"/>
          <w:vertAlign w:val="superscript"/>
        </w:rPr>
        <w:t>α</w:t>
      </w:r>
      <w:r w:rsidR="003F3A71" w:rsidRPr="001005B7">
        <w:t>Therefor</w:t>
      </w:r>
      <w:r w:rsidR="00D703B2" w:rsidRPr="001005B7">
        <w:t xml:space="preserve">e </w:t>
      </w:r>
      <w:r w:rsidR="00B4694E" w:rsidRPr="001005B7">
        <w:t>(</w:t>
      </w:r>
      <w:r w:rsidR="00D703B2" w:rsidRPr="001005B7">
        <w:t>Yahweh</w:t>
      </w:r>
      <w:r w:rsidR="006341EA" w:rsidRPr="001005B7">
        <w:t>’</w:t>
      </w:r>
      <w:r w:rsidR="009F7DA8" w:rsidRPr="001005B7">
        <w:t>s</w:t>
      </w:r>
      <w:r w:rsidR="006341EA" w:rsidRPr="001005B7">
        <w:t xml:space="preserve"> affirmation</w:t>
      </w:r>
      <w:r w:rsidR="00B4694E" w:rsidRPr="001005B7">
        <w:t>)</w:t>
      </w:r>
      <w:r w:rsidR="003F3A71" w:rsidRPr="001005B7">
        <w:t xml:space="preserve"> </w:t>
      </w:r>
    </w:p>
    <w:p w14:paraId="30B46FD0" w14:textId="61A2B351" w:rsidR="009F7DA8" w:rsidRPr="001005B7" w:rsidRDefault="00B5627F" w:rsidP="00251156">
      <w:pPr>
        <w:ind w:left="1440"/>
      </w:pPr>
      <w:r w:rsidRPr="001005B7">
        <w:rPr>
          <w:vertAlign w:val="superscript"/>
        </w:rPr>
        <w:t>11</w:t>
      </w:r>
      <w:r w:rsidR="00D05C1F" w:rsidRPr="001005B7">
        <w:rPr>
          <w:vertAlign w:val="superscript"/>
        </w:rPr>
        <w:t>a</w:t>
      </w:r>
      <w:r w:rsidR="00D05C1F" w:rsidRPr="001005B7">
        <w:rPr>
          <w:rFonts w:cstheme="minorHAnsi"/>
          <w:vertAlign w:val="superscript"/>
        </w:rPr>
        <w:t>β</w:t>
      </w:r>
      <w:r w:rsidR="002015F9" w:rsidRPr="001005B7">
        <w:t xml:space="preserve">What </w:t>
      </w:r>
      <w:r w:rsidR="00BF3445" w:rsidRPr="001005B7">
        <w:t>Jerusalem has done</w:t>
      </w:r>
    </w:p>
    <w:p w14:paraId="5D930177" w14:textId="11069EB9" w:rsidR="003F3A71" w:rsidRPr="001005B7" w:rsidRDefault="00BF3445" w:rsidP="00243DC1">
      <w:pPr>
        <w:ind w:left="3600"/>
      </w:pPr>
      <w:r w:rsidRPr="001005B7">
        <w:rPr>
          <w:vertAlign w:val="superscript"/>
        </w:rPr>
        <w:t>11</w:t>
      </w:r>
      <w:r w:rsidR="005472E4" w:rsidRPr="001005B7">
        <w:rPr>
          <w:vertAlign w:val="superscript"/>
        </w:rPr>
        <w:t>b</w:t>
      </w:r>
      <w:r w:rsidR="00F46900" w:rsidRPr="001005B7">
        <w:rPr>
          <w:vertAlign w:val="superscript"/>
        </w:rPr>
        <w:t>–</w:t>
      </w:r>
      <w:r w:rsidR="00E07FF4" w:rsidRPr="001005B7">
        <w:rPr>
          <w:vertAlign w:val="superscript"/>
        </w:rPr>
        <w:t>1</w:t>
      </w:r>
      <w:r w:rsidR="002D3289" w:rsidRPr="001005B7">
        <w:rPr>
          <w:vertAlign w:val="superscript"/>
        </w:rPr>
        <w:t>3</w:t>
      </w:r>
      <w:r w:rsidR="00432155" w:rsidRPr="001005B7">
        <w:rPr>
          <w:vertAlign w:val="superscript"/>
        </w:rPr>
        <w:t>a</w:t>
      </w:r>
      <w:r w:rsidR="00A61332" w:rsidRPr="001005B7">
        <w:t>W</w:t>
      </w:r>
      <w:r w:rsidR="003F3A71" w:rsidRPr="001005B7">
        <w:t>hat Yahweh will do</w:t>
      </w:r>
    </w:p>
    <w:p w14:paraId="443ACA7C" w14:textId="3FFA48E3" w:rsidR="003F3A71" w:rsidRPr="001005B7" w:rsidRDefault="008865A1" w:rsidP="001E0C9A">
      <w:pPr>
        <w:ind w:left="5760"/>
      </w:pPr>
      <w:r w:rsidRPr="001005B7">
        <w:rPr>
          <w:vertAlign w:val="superscript"/>
        </w:rPr>
        <w:t>1</w:t>
      </w:r>
      <w:r w:rsidR="00E80EF6" w:rsidRPr="001005B7">
        <w:rPr>
          <w:vertAlign w:val="superscript"/>
        </w:rPr>
        <w:t>3</w:t>
      </w:r>
      <w:r w:rsidR="00432155" w:rsidRPr="001005B7">
        <w:rPr>
          <w:vertAlign w:val="superscript"/>
        </w:rPr>
        <w:t>b</w:t>
      </w:r>
      <w:r w:rsidR="00230F78" w:rsidRPr="001005B7">
        <w:t>Yahweh ha</w:t>
      </w:r>
      <w:r w:rsidR="004F7E72" w:rsidRPr="001005B7">
        <w:t>s</w:t>
      </w:r>
      <w:r w:rsidR="00230F78" w:rsidRPr="001005B7">
        <w:t xml:space="preserve"> spoken</w:t>
      </w:r>
    </w:p>
    <w:p w14:paraId="6D0125DD" w14:textId="1E233950" w:rsidR="00511986" w:rsidRPr="001005B7" w:rsidRDefault="00511986" w:rsidP="006315B5">
      <w:r w:rsidRPr="001005B7">
        <w:tab/>
      </w:r>
      <w:r w:rsidRPr="001005B7">
        <w:tab/>
      </w:r>
      <w:r w:rsidRPr="001005B7">
        <w:tab/>
      </w:r>
      <w:r w:rsidRPr="001005B7">
        <w:tab/>
      </w:r>
      <w:r w:rsidR="001E0C9A" w:rsidRPr="001005B7">
        <w:tab/>
      </w:r>
      <w:r w:rsidRPr="001005B7">
        <w:rPr>
          <w:vertAlign w:val="superscript"/>
        </w:rPr>
        <w:t>14</w:t>
      </w:r>
      <w:r w:rsidR="00F46900" w:rsidRPr="001005B7">
        <w:rPr>
          <w:vertAlign w:val="superscript"/>
        </w:rPr>
        <w:t>–</w:t>
      </w:r>
      <w:r w:rsidRPr="001005B7">
        <w:rPr>
          <w:vertAlign w:val="superscript"/>
        </w:rPr>
        <w:t>15</w:t>
      </w:r>
      <w:r w:rsidR="00D211FC" w:rsidRPr="001005B7">
        <w:rPr>
          <w:vertAlign w:val="superscript"/>
        </w:rPr>
        <w:t>b</w:t>
      </w:r>
      <w:r w:rsidR="00D211FC" w:rsidRPr="001005B7">
        <w:rPr>
          <w:rFonts w:cstheme="minorHAnsi"/>
          <w:vertAlign w:val="superscript"/>
        </w:rPr>
        <w:t>α</w:t>
      </w:r>
      <w:r w:rsidR="00DA7A37" w:rsidRPr="001005B7">
        <w:t>What Yahweh will do</w:t>
      </w:r>
    </w:p>
    <w:p w14:paraId="0B101229" w14:textId="1538CCAD" w:rsidR="00DA7A37" w:rsidRPr="001005B7" w:rsidRDefault="00632487" w:rsidP="001E0C9A">
      <w:pPr>
        <w:ind w:left="5760"/>
      </w:pPr>
      <w:r w:rsidRPr="001005B7">
        <w:rPr>
          <w:vertAlign w:val="superscript"/>
        </w:rPr>
        <w:t>1</w:t>
      </w:r>
      <w:r w:rsidR="00DA7A37" w:rsidRPr="001005B7">
        <w:rPr>
          <w:vertAlign w:val="superscript"/>
        </w:rPr>
        <w:t>5</w:t>
      </w:r>
      <w:r w:rsidR="00D211FC" w:rsidRPr="001005B7">
        <w:rPr>
          <w:vertAlign w:val="superscript"/>
        </w:rPr>
        <w:t>b</w:t>
      </w:r>
      <w:r w:rsidR="00D211FC" w:rsidRPr="001005B7">
        <w:rPr>
          <w:rFonts w:cstheme="minorHAnsi"/>
          <w:vertAlign w:val="superscript"/>
        </w:rPr>
        <w:t>β</w:t>
      </w:r>
      <w:r w:rsidR="00DA7A37" w:rsidRPr="001005B7">
        <w:t>Yahweh ha</w:t>
      </w:r>
      <w:r w:rsidR="004F7E72" w:rsidRPr="001005B7">
        <w:t>s</w:t>
      </w:r>
      <w:r w:rsidR="00DA7A37" w:rsidRPr="001005B7">
        <w:t xml:space="preserve"> spoken</w:t>
      </w:r>
    </w:p>
    <w:p w14:paraId="3F18FF42" w14:textId="5379BCD1" w:rsidR="007E5F3F" w:rsidRPr="001005B7" w:rsidRDefault="007E5F3F" w:rsidP="006315B5">
      <w:r w:rsidRPr="001005B7">
        <w:tab/>
      </w:r>
      <w:r w:rsidRPr="001005B7">
        <w:tab/>
      </w:r>
      <w:r w:rsidRPr="001005B7">
        <w:tab/>
      </w:r>
      <w:r w:rsidRPr="001005B7">
        <w:tab/>
      </w:r>
      <w:r w:rsidR="001E0C9A" w:rsidRPr="001005B7">
        <w:tab/>
      </w:r>
      <w:r w:rsidRPr="001005B7">
        <w:rPr>
          <w:vertAlign w:val="superscript"/>
        </w:rPr>
        <w:t>16</w:t>
      </w:r>
      <w:r w:rsidR="00F46900" w:rsidRPr="001005B7">
        <w:rPr>
          <w:vertAlign w:val="superscript"/>
        </w:rPr>
        <w:t>–</w:t>
      </w:r>
      <w:r w:rsidRPr="001005B7">
        <w:rPr>
          <w:vertAlign w:val="superscript"/>
        </w:rPr>
        <w:t>17</w:t>
      </w:r>
      <w:r w:rsidR="000A3838" w:rsidRPr="001005B7">
        <w:rPr>
          <w:vertAlign w:val="superscript"/>
        </w:rPr>
        <w:t>b</w:t>
      </w:r>
      <w:r w:rsidR="000A3838" w:rsidRPr="001005B7">
        <w:rPr>
          <w:rFonts w:cstheme="minorHAnsi"/>
          <w:vertAlign w:val="superscript"/>
        </w:rPr>
        <w:t>α</w:t>
      </w:r>
      <w:r w:rsidRPr="001005B7">
        <w:t>What Yahweh will do</w:t>
      </w:r>
    </w:p>
    <w:p w14:paraId="21ADAA1D" w14:textId="4FBC3042" w:rsidR="007E5F3F" w:rsidRPr="001005B7" w:rsidRDefault="007E5F3F" w:rsidP="001E0C9A">
      <w:pPr>
        <w:ind w:left="5760"/>
      </w:pPr>
      <w:r w:rsidRPr="001005B7">
        <w:rPr>
          <w:vertAlign w:val="superscript"/>
        </w:rPr>
        <w:t>17</w:t>
      </w:r>
      <w:r w:rsidR="000A3838" w:rsidRPr="001005B7">
        <w:rPr>
          <w:vertAlign w:val="superscript"/>
        </w:rPr>
        <w:t>b</w:t>
      </w:r>
      <w:r w:rsidR="000A3838" w:rsidRPr="001005B7">
        <w:rPr>
          <w:rFonts w:cstheme="minorHAnsi"/>
          <w:vertAlign w:val="superscript"/>
        </w:rPr>
        <w:t>β</w:t>
      </w:r>
      <w:r w:rsidRPr="001005B7">
        <w:t>Yahweh ha</w:t>
      </w:r>
      <w:r w:rsidR="004F7E72" w:rsidRPr="001005B7">
        <w:t>s</w:t>
      </w:r>
      <w:r w:rsidRPr="001005B7">
        <w:t xml:space="preserve"> spoken</w:t>
      </w:r>
    </w:p>
    <w:p w14:paraId="6EEBA1E2" w14:textId="77777777" w:rsidR="00646B42" w:rsidRPr="001005B7" w:rsidRDefault="001264EE" w:rsidP="00847689">
      <w:pPr>
        <w:rPr>
          <w:rFonts w:cstheme="minorHAnsi"/>
        </w:rPr>
      </w:pPr>
      <w:r w:rsidRPr="001005B7">
        <w:rPr>
          <w:rFonts w:cstheme="minorHAnsi"/>
        </w:rPr>
        <w:tab/>
      </w:r>
    </w:p>
    <w:p w14:paraId="38CE140C" w14:textId="35D8F8CF" w:rsidR="00847689" w:rsidRPr="001005B7" w:rsidRDefault="001264EE" w:rsidP="00847689">
      <w:pPr>
        <w:rPr>
          <w:rFonts w:cstheme="minorHAnsi"/>
        </w:rPr>
      </w:pPr>
      <w:r w:rsidRPr="001005B7">
        <w:rPr>
          <w:rFonts w:cstheme="minorHAnsi"/>
        </w:rPr>
        <w:t xml:space="preserve">To analyze </w:t>
      </w:r>
      <w:r w:rsidR="00646B42" w:rsidRPr="001005B7">
        <w:rPr>
          <w:rFonts w:cstheme="minorHAnsi"/>
        </w:rPr>
        <w:t>Yahweh’s</w:t>
      </w:r>
      <w:r w:rsidRPr="001005B7">
        <w:rPr>
          <w:rFonts w:cstheme="minorHAnsi"/>
        </w:rPr>
        <w:t xml:space="preserve"> declaration of intent in </w:t>
      </w:r>
      <w:r w:rsidR="0042084A" w:rsidRPr="001005B7">
        <w:rPr>
          <w:rFonts w:cstheme="minorHAnsi"/>
        </w:rPr>
        <w:t>5:</w:t>
      </w:r>
      <w:r w:rsidR="00646B42" w:rsidRPr="001005B7">
        <w:rPr>
          <w:rFonts w:cstheme="minorHAnsi"/>
        </w:rPr>
        <w:t>11b</w:t>
      </w:r>
      <w:r w:rsidR="00F46900" w:rsidRPr="001005B7">
        <w:rPr>
          <w:rFonts w:cstheme="minorHAnsi"/>
        </w:rPr>
        <w:t>–</w:t>
      </w:r>
      <w:r w:rsidR="00646B42" w:rsidRPr="001005B7">
        <w:rPr>
          <w:rFonts w:cstheme="minorHAnsi"/>
        </w:rPr>
        <w:t>17 in a complementary way:</w:t>
      </w:r>
    </w:p>
    <w:p w14:paraId="6F190C08" w14:textId="77777777" w:rsidR="001264EE" w:rsidRPr="001005B7" w:rsidRDefault="001264EE" w:rsidP="00847689">
      <w:pPr>
        <w:rPr>
          <w:rFonts w:cstheme="minorHAnsi"/>
        </w:rPr>
      </w:pPr>
    </w:p>
    <w:p w14:paraId="54E3E34E" w14:textId="79FE6C89" w:rsidR="00847689" w:rsidRPr="001005B7" w:rsidRDefault="00847689" w:rsidP="00462B8C">
      <w:pPr>
        <w:ind w:left="720"/>
        <w:rPr>
          <w:rFonts w:cstheme="minorHAnsi"/>
        </w:rPr>
      </w:pPr>
      <w:r w:rsidRPr="001005B7">
        <w:rPr>
          <w:rFonts w:cstheme="minorHAnsi"/>
        </w:rPr>
        <w:t>11b</w:t>
      </w:r>
      <w:r w:rsidR="00F46900" w:rsidRPr="001005B7">
        <w:rPr>
          <w:rFonts w:cstheme="minorHAnsi"/>
        </w:rPr>
        <w:t>–</w:t>
      </w:r>
      <w:r w:rsidRPr="001005B7">
        <w:rPr>
          <w:rFonts w:cstheme="minorHAnsi"/>
        </w:rPr>
        <w:t xml:space="preserve">12. </w:t>
      </w:r>
      <w:r w:rsidR="00462B8C" w:rsidRPr="001005B7">
        <w:rPr>
          <w:rFonts w:cstheme="minorHAnsi"/>
        </w:rPr>
        <w:t>Yahweh</w:t>
      </w:r>
      <w:r w:rsidRPr="001005B7">
        <w:rPr>
          <w:rFonts w:cstheme="minorHAnsi"/>
        </w:rPr>
        <w:t xml:space="preserve"> will cut Jerusalem down</w:t>
      </w:r>
    </w:p>
    <w:p w14:paraId="45940419" w14:textId="77777777" w:rsidR="00847689" w:rsidRPr="001005B7" w:rsidRDefault="00847689" w:rsidP="00462B8C">
      <w:pPr>
        <w:ind w:left="720"/>
        <w:rPr>
          <w:rFonts w:cstheme="minorHAnsi"/>
        </w:rPr>
      </w:pPr>
      <w:r w:rsidRPr="001005B7">
        <w:rPr>
          <w:rFonts w:cstheme="minorHAnsi"/>
        </w:rPr>
        <w:tab/>
        <w:t>13a. Behind that action: his fury</w:t>
      </w:r>
    </w:p>
    <w:p w14:paraId="5A6E07F9" w14:textId="77777777" w:rsidR="00847689" w:rsidRPr="001005B7" w:rsidRDefault="00847689" w:rsidP="00462B8C">
      <w:pPr>
        <w:ind w:left="720"/>
        <w:rPr>
          <w:rFonts w:cstheme="minorHAnsi"/>
        </w:rPr>
      </w:pPr>
      <w:r w:rsidRPr="001005B7">
        <w:rPr>
          <w:rFonts w:cstheme="minorHAnsi"/>
        </w:rPr>
        <w:tab/>
        <w:t>13b. In front of that action: their acknowledgment that Yahweh has spoken</w:t>
      </w:r>
    </w:p>
    <w:p w14:paraId="4A34D3F1" w14:textId="6E894BAA" w:rsidR="00847689" w:rsidRPr="001005B7" w:rsidRDefault="00847689" w:rsidP="00462B8C">
      <w:pPr>
        <w:ind w:left="720"/>
        <w:rPr>
          <w:rFonts w:cstheme="minorHAnsi"/>
        </w:rPr>
      </w:pPr>
      <w:r w:rsidRPr="001005B7">
        <w:rPr>
          <w:rFonts w:cstheme="minorHAnsi"/>
        </w:rPr>
        <w:t>14</w:t>
      </w:r>
      <w:r w:rsidR="00F46900" w:rsidRPr="001005B7">
        <w:rPr>
          <w:rFonts w:cstheme="minorHAnsi"/>
        </w:rPr>
        <w:t>–</w:t>
      </w:r>
      <w:r w:rsidRPr="001005B7">
        <w:rPr>
          <w:rFonts w:cstheme="minorHAnsi"/>
        </w:rPr>
        <w:t xml:space="preserve">15a. Yahweh will make Jerusalem a </w:t>
      </w:r>
      <w:r w:rsidR="008928C0" w:rsidRPr="001005B7">
        <w:rPr>
          <w:rFonts w:cstheme="minorHAnsi"/>
        </w:rPr>
        <w:t>waste</w:t>
      </w:r>
      <w:r w:rsidRPr="001005B7">
        <w:rPr>
          <w:rFonts w:cstheme="minorHAnsi"/>
        </w:rPr>
        <w:t xml:space="preserve"> </w:t>
      </w:r>
      <w:r w:rsidR="00793F90" w:rsidRPr="001005B7">
        <w:rPr>
          <w:rFonts w:cstheme="minorHAnsi"/>
        </w:rPr>
        <w:t>in front of</w:t>
      </w:r>
      <w:r w:rsidRPr="001005B7">
        <w:rPr>
          <w:rFonts w:cstheme="minorHAnsi"/>
        </w:rPr>
        <w:t xml:space="preserve"> the nations</w:t>
      </w:r>
    </w:p>
    <w:p w14:paraId="67B3A163" w14:textId="7F6B1B46" w:rsidR="00847689" w:rsidRPr="001005B7" w:rsidRDefault="00847689" w:rsidP="00462B8C">
      <w:pPr>
        <w:ind w:left="720"/>
        <w:rPr>
          <w:rFonts w:cstheme="minorHAnsi"/>
        </w:rPr>
      </w:pPr>
      <w:r w:rsidRPr="001005B7">
        <w:rPr>
          <w:rFonts w:cstheme="minorHAnsi"/>
        </w:rPr>
        <w:tab/>
        <w:t>15b</w:t>
      </w:r>
      <w:r w:rsidR="006302DC" w:rsidRPr="001005B7">
        <w:rPr>
          <w:rFonts w:cstheme="minorHAnsi"/>
        </w:rPr>
        <w:t>α</w:t>
      </w:r>
      <w:r w:rsidRPr="001005B7">
        <w:rPr>
          <w:rFonts w:cstheme="minorHAnsi"/>
        </w:rPr>
        <w:t>. Behind that action: his fury</w:t>
      </w:r>
    </w:p>
    <w:p w14:paraId="71432ED3" w14:textId="4B0256AC" w:rsidR="00847689" w:rsidRPr="001005B7" w:rsidRDefault="00847689" w:rsidP="00462B8C">
      <w:pPr>
        <w:ind w:left="720"/>
        <w:rPr>
          <w:rFonts w:cstheme="minorHAnsi"/>
        </w:rPr>
      </w:pPr>
      <w:r w:rsidRPr="001005B7">
        <w:rPr>
          <w:rFonts w:cstheme="minorHAnsi"/>
        </w:rPr>
        <w:tab/>
        <w:t>15b</w:t>
      </w:r>
      <w:r w:rsidR="006302DC" w:rsidRPr="001005B7">
        <w:rPr>
          <w:rFonts w:cstheme="minorHAnsi"/>
        </w:rPr>
        <w:t>β</w:t>
      </w:r>
      <w:r w:rsidRPr="001005B7">
        <w:rPr>
          <w:rFonts w:cstheme="minorHAnsi"/>
        </w:rPr>
        <w:t>. Yahweh has spoken</w:t>
      </w:r>
    </w:p>
    <w:p w14:paraId="39684904" w14:textId="2308E0EA" w:rsidR="00847689" w:rsidRPr="001005B7" w:rsidRDefault="00847689" w:rsidP="00462B8C">
      <w:pPr>
        <w:ind w:left="720"/>
        <w:rPr>
          <w:rFonts w:cstheme="minorHAnsi"/>
        </w:rPr>
      </w:pPr>
      <w:r w:rsidRPr="001005B7">
        <w:rPr>
          <w:rFonts w:cstheme="minorHAnsi"/>
        </w:rPr>
        <w:t>16</w:t>
      </w:r>
      <w:r w:rsidR="00F46900" w:rsidRPr="001005B7">
        <w:rPr>
          <w:rFonts w:cstheme="minorHAnsi"/>
        </w:rPr>
        <w:t>–</w:t>
      </w:r>
      <w:r w:rsidRPr="001005B7">
        <w:rPr>
          <w:rFonts w:cstheme="minorHAnsi"/>
        </w:rPr>
        <w:t>17</w:t>
      </w:r>
      <w:r w:rsidR="00501471" w:rsidRPr="001005B7">
        <w:rPr>
          <w:rFonts w:cstheme="minorHAnsi"/>
        </w:rPr>
        <w:t>bα</w:t>
      </w:r>
      <w:r w:rsidRPr="001005B7">
        <w:rPr>
          <w:rFonts w:cstheme="minorHAnsi"/>
        </w:rPr>
        <w:t xml:space="preserve"> Yahweh will send off famine, destruction, death, and epidemic</w:t>
      </w:r>
    </w:p>
    <w:p w14:paraId="70C5FBBC" w14:textId="2C780283" w:rsidR="00847689" w:rsidRPr="001005B7" w:rsidRDefault="00847689" w:rsidP="00462B8C">
      <w:pPr>
        <w:ind w:left="720"/>
        <w:rPr>
          <w:rFonts w:cstheme="minorHAnsi"/>
        </w:rPr>
      </w:pPr>
      <w:r w:rsidRPr="001005B7">
        <w:rPr>
          <w:rFonts w:cstheme="minorHAnsi"/>
        </w:rPr>
        <w:tab/>
        <w:t>1</w:t>
      </w:r>
      <w:r w:rsidR="000B0D4F" w:rsidRPr="001005B7">
        <w:rPr>
          <w:rFonts w:cstheme="minorHAnsi"/>
        </w:rPr>
        <w:t>7</w:t>
      </w:r>
      <w:r w:rsidRPr="001005B7">
        <w:rPr>
          <w:rFonts w:cstheme="minorHAnsi"/>
        </w:rPr>
        <w:t>b</w:t>
      </w:r>
      <w:r w:rsidR="000B0D4F" w:rsidRPr="001005B7">
        <w:rPr>
          <w:rFonts w:cstheme="minorHAnsi"/>
        </w:rPr>
        <w:t>β</w:t>
      </w:r>
      <w:r w:rsidRPr="001005B7">
        <w:rPr>
          <w:rFonts w:cstheme="minorHAnsi"/>
        </w:rPr>
        <w:t>. Yahweh has spoken</w:t>
      </w:r>
    </w:p>
    <w:p w14:paraId="765760F7" w14:textId="77777777" w:rsidR="00847689" w:rsidRPr="001005B7" w:rsidRDefault="00847689" w:rsidP="00847689">
      <w:pPr>
        <w:rPr>
          <w:rFonts w:cstheme="minorHAnsi"/>
        </w:rPr>
      </w:pPr>
    </w:p>
    <w:p w14:paraId="112FE5BC" w14:textId="2A07E281" w:rsidR="00847689" w:rsidRPr="001005B7" w:rsidRDefault="00847689" w:rsidP="00CA0782">
      <w:pPr>
        <w:ind w:firstLine="0"/>
      </w:pPr>
      <w:r w:rsidRPr="001005B7">
        <w:rPr>
          <w:rFonts w:cstheme="minorHAnsi"/>
        </w:rPr>
        <w:t>The chapter and the first five chapters of the book thus come to an end in “wave upon wave of fury</w:t>
      </w:r>
      <w:r w:rsidR="00184C61" w:rsidRPr="001005B7">
        <w:rPr>
          <w:rFonts w:cstheme="minorHAnsi"/>
        </w:rPr>
        <w:t>” (</w:t>
      </w:r>
      <w:r w:rsidR="00184C61" w:rsidRPr="001005B7">
        <w:t>Greenberg</w:t>
      </w:r>
      <w:r w:rsidR="00710EA6" w:rsidRPr="001005B7">
        <w:t>,</w:t>
      </w:r>
      <w:r w:rsidR="00895482" w:rsidRPr="001005B7">
        <w:t xml:space="preserve"> 1:</w:t>
      </w:r>
      <w:r w:rsidR="00184C61" w:rsidRPr="001005B7">
        <w:t>120</w:t>
      </w:r>
      <w:r w:rsidR="00895482" w:rsidRPr="001005B7">
        <w:t>).</w:t>
      </w:r>
    </w:p>
    <w:p w14:paraId="774355C9" w14:textId="053E1180" w:rsidR="00ED1FBB" w:rsidRPr="001005B7" w:rsidRDefault="00F14C09" w:rsidP="00772F5C">
      <w:r w:rsidRPr="001005B7">
        <w:t>We do not know whe</w:t>
      </w:r>
      <w:r w:rsidR="001219B1" w:rsidRPr="001005B7">
        <w:t>n</w:t>
      </w:r>
      <w:r w:rsidRPr="001005B7">
        <w:t xml:space="preserve"> </w:t>
      </w:r>
      <w:proofErr w:type="spellStart"/>
      <w:r w:rsidR="008639E1" w:rsidRPr="001005B7">
        <w:t>when</w:t>
      </w:r>
      <w:proofErr w:type="spellEnd"/>
      <w:r w:rsidR="008639E1" w:rsidRPr="001005B7">
        <w:t xml:space="preserve"> </w:t>
      </w:r>
      <w:r w:rsidRPr="001005B7">
        <w:t>Leviticus</w:t>
      </w:r>
      <w:r w:rsidR="008639E1" w:rsidRPr="001005B7">
        <w:t xml:space="preserve"> reached the form in which we have it, but the usual scholarly view is that it was </w:t>
      </w:r>
      <w:r w:rsidR="001219B1" w:rsidRPr="001005B7">
        <w:t>approaching</w:t>
      </w:r>
      <w:r w:rsidR="00583EDD" w:rsidRPr="001005B7">
        <w:t xml:space="preserve"> this form in Ezekiel’s time. It’s then possible that Lev</w:t>
      </w:r>
      <w:r w:rsidR="00194026" w:rsidRPr="001005B7">
        <w:t xml:space="preserve"> 26 builds on</w:t>
      </w:r>
      <w:r w:rsidR="00583EDD" w:rsidRPr="001005B7">
        <w:t xml:space="preserve"> Ezekiel rather than the other way around</w:t>
      </w:r>
      <w:r w:rsidR="00BF3F8C" w:rsidRPr="001005B7">
        <w:t xml:space="preserve"> or that both are semi-independent recensions of things Yahweh was saying in this </w:t>
      </w:r>
      <w:r w:rsidR="0091241D" w:rsidRPr="001005B7">
        <w:t xml:space="preserve">period. The mutual reinforcement </w:t>
      </w:r>
      <w:r w:rsidR="0029092B" w:rsidRPr="001005B7">
        <w:t>of Ezekiel and Leviticus would then have worked in a different way from the one presupposed above</w:t>
      </w:r>
      <w:r w:rsidR="009C47B1" w:rsidRPr="001005B7">
        <w:t>, though the principle of what Yahweh was doing would not be so different.</w:t>
      </w:r>
    </w:p>
    <w:p w14:paraId="7C326615" w14:textId="5EE0EBCF" w:rsidR="006315B5" w:rsidRPr="001005B7" w:rsidRDefault="006315B5" w:rsidP="00493833">
      <w:pPr>
        <w:pStyle w:val="Heading3"/>
      </w:pPr>
      <w:r w:rsidRPr="001005B7">
        <w:t>Translation</w:t>
      </w:r>
    </w:p>
    <w:p w14:paraId="36BA2431" w14:textId="08215DF1" w:rsidR="00196592" w:rsidRPr="001005B7" w:rsidRDefault="00196592" w:rsidP="00196592">
      <w:pPr>
        <w:rPr>
          <w:vertAlign w:val="superscript"/>
        </w:rPr>
      </w:pPr>
      <w:r w:rsidRPr="001005B7">
        <w:rPr>
          <w:vertAlign w:val="superscript"/>
        </w:rPr>
        <w:t>5</w:t>
      </w:r>
      <w:r w:rsidRPr="001005B7">
        <w:t xml:space="preserve">The Lord Yahweh </w:t>
      </w:r>
      <w:r w:rsidR="00EB25A5" w:rsidRPr="001005B7">
        <w:t xml:space="preserve">has </w:t>
      </w:r>
      <w:r w:rsidRPr="001005B7">
        <w:t>said this</w:t>
      </w:r>
      <w:r w:rsidR="00B62FE4" w:rsidRPr="001005B7">
        <w:t xml:space="preserve">: </w:t>
      </w:r>
      <w:r w:rsidR="009B3EBB" w:rsidRPr="001005B7">
        <w:t>Whereas I set t</w:t>
      </w:r>
      <w:r w:rsidR="006E39F8" w:rsidRPr="001005B7">
        <w:t xml:space="preserve">his </w:t>
      </w:r>
      <w:r w:rsidRPr="001005B7">
        <w:t xml:space="preserve">Jerusalem </w:t>
      </w:r>
      <w:r w:rsidR="009B3EBB" w:rsidRPr="001005B7">
        <w:t>a</w:t>
      </w:r>
      <w:r w:rsidRPr="001005B7">
        <w:t>mong the nations, with countries around it</w:t>
      </w:r>
      <w:r w:rsidR="00D62844" w:rsidRPr="001005B7">
        <w:t>,</w:t>
      </w:r>
      <w:r w:rsidRPr="001005B7">
        <w:t xml:space="preserve"> </w:t>
      </w:r>
      <w:r w:rsidRPr="001005B7">
        <w:rPr>
          <w:vertAlign w:val="superscript"/>
        </w:rPr>
        <w:t>6</w:t>
      </w:r>
      <w:r w:rsidRPr="001005B7">
        <w:t>it has rebelled</w:t>
      </w:r>
      <w:r w:rsidR="00FA283C" w:rsidRPr="001005B7">
        <w:t xml:space="preserve"> at</w:t>
      </w:r>
      <w:r w:rsidRPr="001005B7">
        <w:t xml:space="preserve"> my rulings with faithlessness above the nations, and at my laws above the countries</w:t>
      </w:r>
      <w:r w:rsidR="00A16618" w:rsidRPr="001005B7">
        <w:t>,</w:t>
      </w:r>
      <w:r w:rsidRPr="001005B7">
        <w:t xml:space="preserve"> around it, because </w:t>
      </w:r>
      <w:r w:rsidR="00460AB9" w:rsidRPr="001005B7">
        <w:t>people</w:t>
      </w:r>
      <w:r w:rsidRPr="001005B7">
        <w:t xml:space="preserve"> have baulked at my rulings, and my laws, they have not walked by them. </w:t>
      </w:r>
      <w:r w:rsidRPr="001005B7">
        <w:rPr>
          <w:vertAlign w:val="superscript"/>
        </w:rPr>
        <w:t>7</w:t>
      </w:r>
      <w:r w:rsidRPr="001005B7">
        <w:t xml:space="preserve">Therefore the Lord Yahweh has said this: </w:t>
      </w:r>
      <w:r w:rsidR="002527DD" w:rsidRPr="001005B7">
        <w:t>On account</w:t>
      </w:r>
      <w:r w:rsidRPr="001005B7">
        <w:t xml:space="preserve"> of </w:t>
      </w:r>
      <w:r w:rsidR="00FF481B" w:rsidRPr="001005B7">
        <w:t>your</w:t>
      </w:r>
      <w:r w:rsidR="00B40F6D" w:rsidRPr="001005B7">
        <w:t xml:space="preserve"> </w:t>
      </w:r>
      <w:r w:rsidR="00DD0056" w:rsidRPr="001005B7">
        <w:t>wild</w:t>
      </w:r>
      <w:r w:rsidR="00B40F6D" w:rsidRPr="001005B7">
        <w:t>ness</w:t>
      </w:r>
      <w:r w:rsidR="007D2ECC" w:rsidRPr="001005B7">
        <w:rPr>
          <w:rStyle w:val="FootnoteReference"/>
        </w:rPr>
        <w:footnoteReference w:id="181"/>
      </w:r>
      <w:r w:rsidRPr="001005B7">
        <w:t xml:space="preserve"> above the nations</w:t>
      </w:r>
      <w:r w:rsidR="00402B8F" w:rsidRPr="001005B7">
        <w:t>,</w:t>
      </w:r>
      <w:r w:rsidRPr="001005B7">
        <w:t xml:space="preserve"> around you</w:t>
      </w:r>
      <w:r w:rsidR="004B6DBE" w:rsidRPr="001005B7">
        <w:t>, as</w:t>
      </w:r>
      <w:r w:rsidRPr="001005B7">
        <w:t xml:space="preserve"> you have not walked </w:t>
      </w:r>
      <w:r w:rsidR="004B6DBE" w:rsidRPr="001005B7">
        <w:t>by my laws</w:t>
      </w:r>
      <w:r w:rsidR="00F20A95" w:rsidRPr="001005B7">
        <w:t xml:space="preserve"> </w:t>
      </w:r>
      <w:r w:rsidRPr="001005B7">
        <w:t xml:space="preserve">and </w:t>
      </w:r>
      <w:r w:rsidR="00F20A95" w:rsidRPr="001005B7">
        <w:t xml:space="preserve">not acted on </w:t>
      </w:r>
      <w:r w:rsidRPr="001005B7">
        <w:t>my rulings</w:t>
      </w:r>
      <w:r w:rsidR="00210602" w:rsidRPr="001005B7">
        <w:t>,</w:t>
      </w:r>
      <w:r w:rsidRPr="001005B7">
        <w:t xml:space="preserve"> and </w:t>
      </w:r>
      <w:r w:rsidR="004E4AD7" w:rsidRPr="001005B7">
        <w:t xml:space="preserve">not acted </w:t>
      </w:r>
      <w:r w:rsidRPr="001005B7">
        <w:t>in accordance with the rulings of the nations</w:t>
      </w:r>
      <w:r w:rsidR="00AF5A74" w:rsidRPr="001005B7">
        <w:t>,</w:t>
      </w:r>
      <w:r w:rsidRPr="001005B7">
        <w:t xml:space="preserve"> around you</w:t>
      </w:r>
      <w:r w:rsidR="003551FC" w:rsidRPr="001005B7">
        <w:t>,</w:t>
      </w:r>
      <w:r w:rsidRPr="001005B7">
        <w:t xml:space="preserve"> </w:t>
      </w:r>
      <w:r w:rsidRPr="001005B7">
        <w:rPr>
          <w:vertAlign w:val="superscript"/>
        </w:rPr>
        <w:t>8</w:t>
      </w:r>
      <w:r w:rsidRPr="001005B7">
        <w:t>therefore the Lord Yahweh has said this</w:t>
      </w:r>
      <w:r w:rsidR="00170BD0" w:rsidRPr="001005B7">
        <w:t>.</w:t>
      </w:r>
      <w:r w:rsidR="008427F8" w:rsidRPr="001005B7">
        <w:t xml:space="preserve"> </w:t>
      </w:r>
      <w:r w:rsidRPr="001005B7">
        <w:t>Here am I</w:t>
      </w:r>
      <w:r w:rsidR="00D2598D" w:rsidRPr="001005B7">
        <w:t>,</w:t>
      </w:r>
      <w:r w:rsidRPr="001005B7">
        <w:t xml:space="preserve"> against you</w:t>
      </w:r>
      <w:r w:rsidR="00910566" w:rsidRPr="001005B7">
        <w:t xml:space="preserve"> [Jerusalem]</w:t>
      </w:r>
      <w:r w:rsidRPr="001005B7">
        <w:t xml:space="preserve">, </w:t>
      </w:r>
      <w:r w:rsidR="00223AFA" w:rsidRPr="001005B7">
        <w:t>yes, I</w:t>
      </w:r>
      <w:r w:rsidR="002644EC" w:rsidRPr="001005B7">
        <w:t xml:space="preserve"> myself</w:t>
      </w:r>
      <w:r w:rsidRPr="001005B7">
        <w:t xml:space="preserve"> will act on rulings</w:t>
      </w:r>
      <w:r w:rsidR="00C320DB" w:rsidRPr="001005B7">
        <w:t xml:space="preserve"> within</w:t>
      </w:r>
      <w:r w:rsidRPr="001005B7">
        <w:t xml:space="preserve"> you </w:t>
      </w:r>
      <w:r w:rsidR="00793F90" w:rsidRPr="001005B7">
        <w:t>in front of</w:t>
      </w:r>
      <w:r w:rsidRPr="001005B7">
        <w:t xml:space="preserve"> the nations’ eyes. </w:t>
      </w:r>
      <w:r w:rsidRPr="001005B7">
        <w:rPr>
          <w:vertAlign w:val="superscript"/>
        </w:rPr>
        <w:t>9</w:t>
      </w:r>
      <w:r w:rsidRPr="001005B7">
        <w:t xml:space="preserve">I will </w:t>
      </w:r>
      <w:r w:rsidR="00BC08DC" w:rsidRPr="001005B7">
        <w:t xml:space="preserve">do </w:t>
      </w:r>
      <w:r w:rsidR="004105B8" w:rsidRPr="001005B7">
        <w:t>in</w:t>
      </w:r>
      <w:r w:rsidRPr="001005B7">
        <w:t xml:space="preserve"> you what </w:t>
      </w:r>
      <w:r w:rsidR="00667B3A" w:rsidRPr="001005B7">
        <w:t>I</w:t>
      </w:r>
      <w:r w:rsidRPr="001005B7">
        <w:t xml:space="preserve"> have </w:t>
      </w:r>
      <w:r w:rsidR="001E1F53" w:rsidRPr="001005B7">
        <w:t xml:space="preserve">not </w:t>
      </w:r>
      <w:r w:rsidRPr="001005B7">
        <w:t>done</w:t>
      </w:r>
      <w:r w:rsidR="00FD1EE4" w:rsidRPr="001005B7">
        <w:t>,</w:t>
      </w:r>
      <w:r w:rsidR="001E1F53" w:rsidRPr="001005B7">
        <w:t xml:space="preserve"> and</w:t>
      </w:r>
      <w:r w:rsidRPr="001005B7">
        <w:t xml:space="preserve"> </w:t>
      </w:r>
      <w:r w:rsidR="00294C3F" w:rsidRPr="001005B7">
        <w:t>t</w:t>
      </w:r>
      <w:r w:rsidRPr="001005B7">
        <w:t>he like of what I will not do again</w:t>
      </w:r>
      <w:r w:rsidR="00BC705F" w:rsidRPr="001005B7">
        <w:t>,</w:t>
      </w:r>
      <w:r w:rsidRPr="001005B7">
        <w:t xml:space="preserve"> </w:t>
      </w:r>
      <w:r w:rsidR="003115A9" w:rsidRPr="001005B7">
        <w:t>on account</w:t>
      </w:r>
      <w:r w:rsidRPr="001005B7">
        <w:t xml:space="preserve"> of all your outrages. </w:t>
      </w:r>
      <w:r w:rsidRPr="001005B7">
        <w:rPr>
          <w:vertAlign w:val="superscript"/>
        </w:rPr>
        <w:t>10</w:t>
      </w:r>
      <w:r w:rsidRPr="001005B7">
        <w:t xml:space="preserve">Therefore parents, they will eat children </w:t>
      </w:r>
      <w:r w:rsidR="00C320DB" w:rsidRPr="001005B7">
        <w:t>within</w:t>
      </w:r>
      <w:r w:rsidRPr="001005B7">
        <w:t xml:space="preserve"> you, and children</w:t>
      </w:r>
      <w:r w:rsidR="00B8043A" w:rsidRPr="001005B7">
        <w:t>, they</w:t>
      </w:r>
      <w:r w:rsidRPr="001005B7">
        <w:t xml:space="preserve"> will eat their parents, and I will act on rulings against you and scatter all that remains of you </w:t>
      </w:r>
      <w:r w:rsidR="00566015" w:rsidRPr="001005B7">
        <w:t>to</w:t>
      </w:r>
      <w:r w:rsidRPr="001005B7">
        <w:t xml:space="preserve"> every </w:t>
      </w:r>
      <w:r w:rsidR="00566015" w:rsidRPr="001005B7">
        <w:t>wind</w:t>
      </w:r>
      <w:r w:rsidRPr="001005B7">
        <w:t>.</w:t>
      </w:r>
    </w:p>
    <w:p w14:paraId="511BE8AD" w14:textId="02DF732A" w:rsidR="00196592" w:rsidRPr="001005B7" w:rsidRDefault="00196592" w:rsidP="00E506BA">
      <w:pPr>
        <w:spacing w:line="240" w:lineRule="auto"/>
      </w:pPr>
      <w:r w:rsidRPr="001005B7">
        <w:rPr>
          <w:vertAlign w:val="superscript"/>
        </w:rPr>
        <w:t>11</w:t>
      </w:r>
      <w:r w:rsidRPr="001005B7">
        <w:t>Therefore, I am alive (</w:t>
      </w:r>
      <w:r w:rsidR="00B33D12" w:rsidRPr="001005B7">
        <w:t xml:space="preserve">an affirmation of </w:t>
      </w:r>
      <w:r w:rsidRPr="001005B7">
        <w:t>the Lord Yahweh), if I do not</w:t>
      </w:r>
      <w:r w:rsidR="001B3858" w:rsidRPr="001005B7">
        <w:t xml:space="preserve">…. </w:t>
      </w:r>
      <w:r w:rsidR="00DF2150" w:rsidRPr="001005B7">
        <w:t>Since</w:t>
      </w:r>
      <w:r w:rsidRPr="001005B7">
        <w:t xml:space="preserve"> you have defiled my sanctuary with all your </w:t>
      </w:r>
      <w:r w:rsidR="00682BB8" w:rsidRPr="001005B7">
        <w:t>abhorrent</w:t>
      </w:r>
      <w:r w:rsidRPr="001005B7">
        <w:t xml:space="preserve"> things and with all your outrages, </w:t>
      </w:r>
      <w:r w:rsidR="008F0F76" w:rsidRPr="001005B7">
        <w:t>yes, I</w:t>
      </w:r>
      <w:r w:rsidR="00DC3A94" w:rsidRPr="001005B7">
        <w:t xml:space="preserve"> </w:t>
      </w:r>
      <w:r w:rsidR="00F950B8" w:rsidRPr="001005B7">
        <w:t>for my part</w:t>
      </w:r>
      <w:r w:rsidR="00995CEB" w:rsidRPr="001005B7">
        <w:t xml:space="preserve"> </w:t>
      </w:r>
      <w:r w:rsidRPr="001005B7">
        <w:t xml:space="preserve">will </w:t>
      </w:r>
      <w:r w:rsidR="006E4897" w:rsidRPr="001005B7">
        <w:t>cut back</w:t>
      </w:r>
      <w:r w:rsidR="001C6F7F" w:rsidRPr="001005B7">
        <w:t xml:space="preserve">. </w:t>
      </w:r>
      <w:r w:rsidR="001149C4" w:rsidRPr="001005B7">
        <w:t>Y</w:t>
      </w:r>
      <w:r w:rsidR="002D09B5" w:rsidRPr="001005B7">
        <w:t>es</w:t>
      </w:r>
      <w:r w:rsidR="001149C4" w:rsidRPr="001005B7">
        <w:t>,</w:t>
      </w:r>
      <w:r w:rsidR="002D09B5" w:rsidRPr="001005B7">
        <w:t xml:space="preserve"> </w:t>
      </w:r>
      <w:r w:rsidRPr="001005B7">
        <w:t xml:space="preserve">my eye will not </w:t>
      </w:r>
      <w:r w:rsidR="00391088" w:rsidRPr="001005B7">
        <w:t>pity</w:t>
      </w:r>
      <w:r w:rsidRPr="001005B7">
        <w:t>, yes,</w:t>
      </w:r>
      <w:r w:rsidR="00AA4168" w:rsidRPr="001005B7">
        <w:t xml:space="preserve"> I</w:t>
      </w:r>
      <w:r w:rsidR="00965652" w:rsidRPr="001005B7">
        <w:t xml:space="preserve"> for my part </w:t>
      </w:r>
      <w:r w:rsidRPr="001005B7">
        <w:t xml:space="preserve">will not </w:t>
      </w:r>
      <w:r w:rsidR="008D337C" w:rsidRPr="001005B7">
        <w:t>show</w:t>
      </w:r>
      <w:r w:rsidR="00317C04" w:rsidRPr="001005B7">
        <w:t xml:space="preserve"> concern</w:t>
      </w:r>
      <w:r w:rsidR="00D32D8E" w:rsidRPr="001005B7">
        <w:t>,</w:t>
      </w:r>
      <w:r w:rsidRPr="001005B7">
        <w:t xml:space="preserve"> </w:t>
      </w:r>
      <w:r w:rsidRPr="001005B7">
        <w:rPr>
          <w:vertAlign w:val="superscript"/>
        </w:rPr>
        <w:t>12</w:t>
      </w:r>
      <w:r w:rsidR="00D32D8E" w:rsidRPr="001005B7">
        <w:t>as</w:t>
      </w:r>
      <w:r w:rsidRPr="001005B7">
        <w:t xml:space="preserve"> </w:t>
      </w:r>
      <w:r w:rsidR="00DE77F4" w:rsidRPr="001005B7">
        <w:t xml:space="preserve">a </w:t>
      </w:r>
      <w:r w:rsidRPr="001005B7">
        <w:t>third of you will die by an epidemic or come to an end by a famine within you</w:t>
      </w:r>
      <w:r w:rsidR="003C44C4" w:rsidRPr="001005B7">
        <w:t>, a</w:t>
      </w:r>
      <w:r w:rsidRPr="001005B7">
        <w:t xml:space="preserve"> third will fall by a sword around you</w:t>
      </w:r>
      <w:r w:rsidR="003C44C4" w:rsidRPr="001005B7">
        <w:t>, a</w:t>
      </w:r>
      <w:r w:rsidR="00BA4FC1" w:rsidRPr="001005B7">
        <w:t>nd a</w:t>
      </w:r>
      <w:r w:rsidRPr="001005B7">
        <w:t xml:space="preserve"> third I will scatter </w:t>
      </w:r>
      <w:r w:rsidR="00C90CAB" w:rsidRPr="001005B7">
        <w:t>off</w:t>
      </w:r>
      <w:r w:rsidR="00DD2490" w:rsidRPr="001005B7">
        <w:rPr>
          <w:rStyle w:val="FootnoteReference"/>
        </w:rPr>
        <w:footnoteReference w:id="182"/>
      </w:r>
      <w:r w:rsidR="00C90CAB" w:rsidRPr="001005B7">
        <w:t xml:space="preserve"> </w:t>
      </w:r>
      <w:r w:rsidR="00E971BE" w:rsidRPr="001005B7">
        <w:t>to</w:t>
      </w:r>
      <w:r w:rsidRPr="001005B7">
        <w:t xml:space="preserve"> every </w:t>
      </w:r>
      <w:r w:rsidR="00E971BE" w:rsidRPr="001005B7">
        <w:t>wind</w:t>
      </w:r>
      <w:r w:rsidR="002F6B11" w:rsidRPr="001005B7">
        <w:t>,</w:t>
      </w:r>
      <w:r w:rsidRPr="001005B7">
        <w:t xml:space="preserve"> and draw a sword after them. </w:t>
      </w:r>
      <w:r w:rsidRPr="001005B7">
        <w:rPr>
          <w:vertAlign w:val="superscript"/>
        </w:rPr>
        <w:t>13</w:t>
      </w:r>
      <w:r w:rsidR="00B430BB" w:rsidRPr="001005B7">
        <w:t>So m</w:t>
      </w:r>
      <w:r w:rsidRPr="001005B7">
        <w:t xml:space="preserve">y anger will expend itself and I </w:t>
      </w:r>
      <w:r w:rsidR="002F6B11" w:rsidRPr="001005B7">
        <w:t xml:space="preserve">will </w:t>
      </w:r>
      <w:r w:rsidR="0084131B" w:rsidRPr="001005B7">
        <w:t>settle</w:t>
      </w:r>
      <w:r w:rsidRPr="001005B7">
        <w:t xml:space="preserve"> my fury on them and find relief, and they will acknowledge that I, Yahweh, have spoken in my passion, in expending my fury on them. </w:t>
      </w:r>
      <w:r w:rsidRPr="001005B7">
        <w:rPr>
          <w:vertAlign w:val="superscript"/>
        </w:rPr>
        <w:t>14</w:t>
      </w:r>
      <w:r w:rsidRPr="001005B7">
        <w:t>I will make</w:t>
      </w:r>
      <w:r w:rsidR="00137B67" w:rsidRPr="001005B7">
        <w:t xml:space="preserve"> you</w:t>
      </w:r>
      <w:r w:rsidR="003E732B" w:rsidRPr="001005B7">
        <w:t xml:space="preserve"> </w:t>
      </w:r>
      <w:r w:rsidRPr="001005B7">
        <w:t xml:space="preserve">into a </w:t>
      </w:r>
      <w:r w:rsidR="00A856E9" w:rsidRPr="001005B7">
        <w:t>waste</w:t>
      </w:r>
      <w:r w:rsidRPr="001005B7">
        <w:t xml:space="preserve"> and into a</w:t>
      </w:r>
      <w:r w:rsidR="00AE2B85" w:rsidRPr="001005B7">
        <w:t xml:space="preserve"> focus</w:t>
      </w:r>
      <w:r w:rsidRPr="001005B7">
        <w:t xml:space="preserve"> of </w:t>
      </w:r>
      <w:r w:rsidR="0024623F" w:rsidRPr="001005B7">
        <w:t>disdain</w:t>
      </w:r>
      <w:r w:rsidRPr="001005B7">
        <w:t xml:space="preserve"> among the nations</w:t>
      </w:r>
      <w:r w:rsidR="00E13185" w:rsidRPr="001005B7">
        <w:t>,</w:t>
      </w:r>
      <w:r w:rsidRPr="001005B7">
        <w:t xml:space="preserve"> around you</w:t>
      </w:r>
      <w:r w:rsidR="00E13185" w:rsidRPr="001005B7">
        <w:t>,</w:t>
      </w:r>
      <w:r w:rsidRPr="001005B7">
        <w:t xml:space="preserve"> </w:t>
      </w:r>
      <w:r w:rsidR="00793F90" w:rsidRPr="001005B7">
        <w:t>in front of</w:t>
      </w:r>
      <w:r w:rsidRPr="001005B7">
        <w:t xml:space="preserve"> the eyes </w:t>
      </w:r>
      <w:r w:rsidR="00050143" w:rsidRPr="001005B7">
        <w:t>o</w:t>
      </w:r>
      <w:r w:rsidRPr="001005B7">
        <w:t xml:space="preserve">f every passerby. </w:t>
      </w:r>
      <w:r w:rsidRPr="001005B7">
        <w:rPr>
          <w:vertAlign w:val="superscript"/>
        </w:rPr>
        <w:t>15</w:t>
      </w:r>
      <w:r w:rsidR="001977CB" w:rsidRPr="001005B7">
        <w:t>So i</w:t>
      </w:r>
      <w:r w:rsidRPr="001005B7">
        <w:t>t will be</w:t>
      </w:r>
      <w:r w:rsidR="002C17AE" w:rsidRPr="001005B7">
        <w:t>come</w:t>
      </w:r>
      <w:r w:rsidRPr="001005B7">
        <w:t xml:space="preserve"> a</w:t>
      </w:r>
      <w:r w:rsidR="00771D73" w:rsidRPr="001005B7">
        <w:t xml:space="preserve"> focus</w:t>
      </w:r>
      <w:r w:rsidRPr="001005B7">
        <w:t xml:space="preserve"> of </w:t>
      </w:r>
      <w:r w:rsidR="0024623F" w:rsidRPr="001005B7">
        <w:t>disdain</w:t>
      </w:r>
      <w:r w:rsidRPr="001005B7">
        <w:t xml:space="preserve">, </w:t>
      </w:r>
      <w:r w:rsidR="00A74643" w:rsidRPr="001005B7">
        <w:t xml:space="preserve">of </w:t>
      </w:r>
      <w:r w:rsidR="00220AEE" w:rsidRPr="001005B7">
        <w:t>revil</w:t>
      </w:r>
      <w:r w:rsidR="006C7A9A" w:rsidRPr="001005B7">
        <w:t>i</w:t>
      </w:r>
      <w:r w:rsidR="00220AEE" w:rsidRPr="001005B7">
        <w:t>ng</w:t>
      </w:r>
      <w:r w:rsidRPr="001005B7">
        <w:t>,</w:t>
      </w:r>
      <w:r w:rsidR="00153D2C" w:rsidRPr="001005B7">
        <w:t xml:space="preserve"> of correction</w:t>
      </w:r>
      <w:r w:rsidRPr="001005B7">
        <w:t xml:space="preserve">, and </w:t>
      </w:r>
      <w:r w:rsidR="00771D73" w:rsidRPr="001005B7">
        <w:t>of</w:t>
      </w:r>
      <w:r w:rsidRPr="001005B7">
        <w:t xml:space="preserve"> desolation for the nations</w:t>
      </w:r>
      <w:r w:rsidR="007D3B17" w:rsidRPr="001005B7">
        <w:t>,</w:t>
      </w:r>
      <w:r w:rsidR="00055630" w:rsidRPr="001005B7">
        <w:t xml:space="preserve"> </w:t>
      </w:r>
      <w:r w:rsidRPr="001005B7">
        <w:t>around you</w:t>
      </w:r>
      <w:r w:rsidR="007D3B17" w:rsidRPr="001005B7">
        <w:t>,</w:t>
      </w:r>
      <w:r w:rsidRPr="001005B7">
        <w:t xml:space="preserve"> through my acting on rulings against you in anger</w:t>
      </w:r>
      <w:r w:rsidR="00C62BBC" w:rsidRPr="001005B7">
        <w:t>,</w:t>
      </w:r>
      <w:r w:rsidRPr="001005B7">
        <w:t xml:space="preserve"> in fury</w:t>
      </w:r>
      <w:r w:rsidR="00C62BBC" w:rsidRPr="001005B7">
        <w:t>,</w:t>
      </w:r>
      <w:r w:rsidRPr="001005B7">
        <w:t xml:space="preserve"> and in furious chastisements (I, Yahweh, have spoken)</w:t>
      </w:r>
      <w:r w:rsidR="009678C5" w:rsidRPr="001005B7">
        <w:t>.</w:t>
      </w:r>
      <w:r w:rsidRPr="001005B7">
        <w:t xml:space="preserve"> </w:t>
      </w:r>
      <w:r w:rsidRPr="001005B7">
        <w:rPr>
          <w:vertAlign w:val="superscript"/>
        </w:rPr>
        <w:t>16</w:t>
      </w:r>
      <w:r w:rsidR="009678C5" w:rsidRPr="001005B7">
        <w:t>I</w:t>
      </w:r>
      <w:r w:rsidRPr="001005B7">
        <w:t>n my sending off dire famine arrows against them</w:t>
      </w:r>
      <w:r w:rsidR="004F7A94" w:rsidRPr="001005B7">
        <w:t>,</w:t>
      </w:r>
      <w:r w:rsidR="00DF40DE" w:rsidRPr="001005B7">
        <w:t xml:space="preserve"> </w:t>
      </w:r>
      <w:r w:rsidRPr="001005B7">
        <w:t>people who have become liable for destruction, which I will send off to destroy you people</w:t>
      </w:r>
      <w:r w:rsidR="00856C97" w:rsidRPr="001005B7">
        <w:t>,</w:t>
      </w:r>
      <w:r w:rsidRPr="001005B7">
        <w:t xml:space="preserve"> I will add famine upon you and break the bread </w:t>
      </w:r>
      <w:r w:rsidR="00E53941" w:rsidRPr="001005B7">
        <w:t xml:space="preserve">pole </w:t>
      </w:r>
      <w:r w:rsidRPr="001005B7">
        <w:t xml:space="preserve">for you. </w:t>
      </w:r>
      <w:r w:rsidRPr="001005B7">
        <w:rPr>
          <w:vertAlign w:val="superscript"/>
        </w:rPr>
        <w:t>17</w:t>
      </w:r>
      <w:r w:rsidRPr="001005B7">
        <w:t xml:space="preserve">I will send off against you famine and dire </w:t>
      </w:r>
      <w:r w:rsidR="00F62BD3" w:rsidRPr="001005B7">
        <w:t>creature</w:t>
      </w:r>
      <w:r w:rsidRPr="001005B7">
        <w:t>s and they will bereave you</w:t>
      </w:r>
      <w:r w:rsidR="00373CAF" w:rsidRPr="001005B7">
        <w:t xml:space="preserve"> as</w:t>
      </w:r>
      <w:r w:rsidRPr="001005B7">
        <w:t xml:space="preserve"> </w:t>
      </w:r>
      <w:r w:rsidR="00373CAF" w:rsidRPr="001005B7">
        <w:t>e</w:t>
      </w:r>
      <w:r w:rsidRPr="001005B7">
        <w:t>pidemic and bloodshed pass through you</w:t>
      </w:r>
      <w:r w:rsidR="00D22F0C" w:rsidRPr="001005B7">
        <w:t xml:space="preserve">, and </w:t>
      </w:r>
      <w:r w:rsidRPr="001005B7">
        <w:t xml:space="preserve">I will bring </w:t>
      </w:r>
      <w:r w:rsidR="00936FF2" w:rsidRPr="001005B7">
        <w:t xml:space="preserve">a sword </w:t>
      </w:r>
      <w:r w:rsidRPr="001005B7">
        <w:t>against you</w:t>
      </w:r>
      <w:r w:rsidR="00800BA1" w:rsidRPr="001005B7">
        <w:t xml:space="preserve"> (</w:t>
      </w:r>
      <w:r w:rsidRPr="001005B7">
        <w:t>I Yahweh have spoken</w:t>
      </w:r>
      <w:r w:rsidR="00800BA1" w:rsidRPr="001005B7">
        <w:t>)</w:t>
      </w:r>
      <w:r w:rsidRPr="001005B7">
        <w:t>.</w:t>
      </w:r>
    </w:p>
    <w:p w14:paraId="0A70E73C" w14:textId="0789E760" w:rsidR="00E50BA3" w:rsidRPr="001005B7" w:rsidRDefault="00E50BA3" w:rsidP="00493833">
      <w:pPr>
        <w:pStyle w:val="Heading3"/>
      </w:pPr>
      <w:r w:rsidRPr="001005B7">
        <w:t>Textual Notes</w:t>
      </w:r>
    </w:p>
    <w:p w14:paraId="1B2661A5" w14:textId="475B2BAC" w:rsidR="00043998" w:rsidRPr="001005B7" w:rsidRDefault="00C679B6" w:rsidP="00150022">
      <w:pPr>
        <w:ind w:firstLine="0"/>
        <w:rPr>
          <w:rFonts w:cstheme="minorHAnsi"/>
        </w:rPr>
      </w:pPr>
      <w:r w:rsidRPr="001005B7">
        <w:rPr>
          <w:sz w:val="18"/>
          <w:szCs w:val="18"/>
        </w:rPr>
        <w:t>MT</w:t>
      </w:r>
      <w:r w:rsidRPr="001005B7">
        <w:rPr>
          <w:rFonts w:cstheme="minorHAnsi"/>
        </w:rPr>
        <w:t xml:space="preserve"> </w:t>
      </w:r>
      <w:r w:rsidR="00043998" w:rsidRPr="001005B7">
        <w:rPr>
          <w:rFonts w:cstheme="minorHAnsi"/>
        </w:rPr>
        <w:t xml:space="preserve">has </w:t>
      </w:r>
      <w:r w:rsidR="00385DD1" w:rsidRPr="001005B7">
        <w:rPr>
          <w:lang w:eastAsia="en-GB"/>
        </w:rPr>
        <w:t>marker</w:t>
      </w:r>
      <w:r w:rsidR="00A04693" w:rsidRPr="001005B7">
        <w:rPr>
          <w:lang w:eastAsia="en-GB"/>
        </w:rPr>
        <w:t>s</w:t>
      </w:r>
      <w:r w:rsidR="0068119C" w:rsidRPr="001005B7">
        <w:rPr>
          <w:lang w:eastAsia="en-GB"/>
        </w:rPr>
        <w:t xml:space="preserve">* </w:t>
      </w:r>
      <w:r w:rsidR="00043998" w:rsidRPr="001005B7">
        <w:rPr>
          <w:rFonts w:cstheme="minorHAnsi"/>
        </w:rPr>
        <w:t xml:space="preserve">after </w:t>
      </w:r>
      <w:r w:rsidR="008D6EDD" w:rsidRPr="001005B7">
        <w:rPr>
          <w:rFonts w:cstheme="minorHAnsi"/>
        </w:rPr>
        <w:t xml:space="preserve">5:6, 7, 9, </w:t>
      </w:r>
      <w:r w:rsidR="003D21A5" w:rsidRPr="001005B7">
        <w:rPr>
          <w:rFonts w:cstheme="minorHAnsi"/>
        </w:rPr>
        <w:t xml:space="preserve">and </w:t>
      </w:r>
      <w:r w:rsidR="008D6EDD" w:rsidRPr="001005B7">
        <w:rPr>
          <w:rFonts w:cstheme="minorHAnsi"/>
        </w:rPr>
        <w:t>10</w:t>
      </w:r>
      <w:r w:rsidR="003D21A5" w:rsidRPr="001005B7">
        <w:rPr>
          <w:rFonts w:cstheme="minorHAnsi"/>
        </w:rPr>
        <w:t>.</w:t>
      </w:r>
    </w:p>
    <w:p w14:paraId="52359DE6" w14:textId="77777777" w:rsidR="00CB59AF" w:rsidRPr="001005B7" w:rsidRDefault="00CB59AF" w:rsidP="00150022">
      <w:pPr>
        <w:ind w:firstLine="0"/>
        <w:rPr>
          <w:rFonts w:cstheme="minorHAnsi"/>
        </w:rPr>
      </w:pPr>
    </w:p>
    <w:p w14:paraId="3C940914" w14:textId="45F48668" w:rsidR="00BE5F01" w:rsidRPr="001005B7" w:rsidRDefault="00150022" w:rsidP="00150022">
      <w:pPr>
        <w:ind w:firstLine="0"/>
        <w:rPr>
          <w:rFonts w:cstheme="minorHAnsi"/>
        </w:rPr>
      </w:pPr>
      <w:r w:rsidRPr="001005B7">
        <w:rPr>
          <w:rFonts w:cstheme="minorHAnsi"/>
          <w:b/>
          <w:bCs/>
        </w:rPr>
        <w:t>5:6</w:t>
      </w:r>
      <w:r w:rsidR="00E64C87" w:rsidRPr="001005B7">
        <w:rPr>
          <w:rFonts w:cstheme="minorHAnsi"/>
          <w:b/>
          <w:bCs/>
        </w:rPr>
        <w:t xml:space="preserve"> </w:t>
      </w:r>
      <w:r w:rsidR="00710F5A" w:rsidRPr="001005B7">
        <w:rPr>
          <w:sz w:val="18"/>
          <w:szCs w:val="18"/>
        </w:rPr>
        <w:t>LXX</w:t>
      </w:r>
      <w:r w:rsidR="00D6021D" w:rsidRPr="001005B7">
        <w:rPr>
          <w:rFonts w:cstheme="minorHAnsi"/>
        </w:rPr>
        <w:t xml:space="preserve"> “and you will speak</w:t>
      </w:r>
      <w:r w:rsidR="00DD1E85" w:rsidRPr="001005B7">
        <w:rPr>
          <w:rFonts w:cstheme="minorHAnsi"/>
        </w:rPr>
        <w:t>”</w:t>
      </w:r>
      <w:r w:rsidR="00D6021D" w:rsidRPr="001005B7">
        <w:rPr>
          <w:rFonts w:cstheme="minorHAnsi"/>
        </w:rPr>
        <w:t xml:space="preserve"> derives</w:t>
      </w:r>
      <w:r w:rsidR="00E71982" w:rsidRPr="001005B7">
        <w:rPr>
          <w:rFonts w:cstheme="minorHAnsi"/>
        </w:rPr>
        <w:t xml:space="preserve"> </w:t>
      </w:r>
      <w:r w:rsidR="00E71982" w:rsidRPr="001005B7">
        <w:rPr>
          <w:rFonts w:cstheme="minorHAnsi"/>
          <w:rtl/>
          <w:lang w:bidi="he-IL"/>
        </w:rPr>
        <w:t>וַ</w:t>
      </w:r>
      <w:r w:rsidR="00BA13CF" w:rsidRPr="001005B7">
        <w:rPr>
          <w:rFonts w:cstheme="minorHAnsi"/>
          <w:rtl/>
          <w:lang w:bidi="he-IL"/>
        </w:rPr>
        <w:t>תֶּמֶר</w:t>
      </w:r>
      <w:r w:rsidR="00D6021D" w:rsidRPr="001005B7">
        <w:rPr>
          <w:rFonts w:cstheme="minorHAnsi"/>
        </w:rPr>
        <w:t xml:space="preserve"> </w:t>
      </w:r>
      <w:r w:rsidR="00ED34EB" w:rsidRPr="001005B7">
        <w:rPr>
          <w:rFonts w:cstheme="minorHAnsi"/>
        </w:rPr>
        <w:t xml:space="preserve">(“it has rebelled”) </w:t>
      </w:r>
      <w:r w:rsidR="003251BF" w:rsidRPr="001005B7">
        <w:rPr>
          <w:rFonts w:cstheme="minorHAnsi"/>
        </w:rPr>
        <w:t>from</w:t>
      </w:r>
      <w:r w:rsidR="00011C97" w:rsidRPr="001005B7">
        <w:rPr>
          <w:rFonts w:cstheme="minorHAnsi"/>
        </w:rPr>
        <w:t xml:space="preserve"> </w:t>
      </w:r>
      <w:r w:rsidR="007F1CE7" w:rsidRPr="001005B7">
        <w:rPr>
          <w:rFonts w:cstheme="minorHAnsi"/>
          <w:rtl/>
          <w:lang w:bidi="he-IL"/>
        </w:rPr>
        <w:t>אָמַר</w:t>
      </w:r>
      <w:r w:rsidR="00E84A2F" w:rsidRPr="001005B7">
        <w:rPr>
          <w:rFonts w:cstheme="minorHAnsi"/>
        </w:rPr>
        <w:t xml:space="preserve"> rather than</w:t>
      </w:r>
      <w:r w:rsidR="007F1CE7" w:rsidRPr="001005B7">
        <w:rPr>
          <w:rFonts w:cstheme="minorHAnsi"/>
        </w:rPr>
        <w:t xml:space="preserve"> </w:t>
      </w:r>
      <w:r w:rsidR="007F1CE7" w:rsidRPr="001005B7">
        <w:rPr>
          <w:rFonts w:cstheme="minorHAnsi"/>
          <w:rtl/>
          <w:lang w:bidi="he-IL"/>
        </w:rPr>
        <w:t>מָרָה</w:t>
      </w:r>
      <w:r w:rsidR="00861C7B" w:rsidRPr="001005B7">
        <w:rPr>
          <w:rFonts w:cstheme="minorHAnsi"/>
        </w:rPr>
        <w:t>. M</w:t>
      </w:r>
      <w:r w:rsidR="00DE3DD1" w:rsidRPr="001005B7">
        <w:rPr>
          <w:rFonts w:cstheme="minorHAnsi"/>
        </w:rPr>
        <w:t>ore plausibly</w:t>
      </w:r>
      <w:r w:rsidR="00D26148" w:rsidRPr="001005B7">
        <w:rPr>
          <w:rFonts w:cstheme="minorHAnsi"/>
        </w:rPr>
        <w:t xml:space="preserve"> Tg</w:t>
      </w:r>
      <w:r w:rsidR="00BB544E" w:rsidRPr="001005B7">
        <w:rPr>
          <w:rFonts w:cstheme="minorHAnsi"/>
        </w:rPr>
        <w:t>.</w:t>
      </w:r>
      <w:r w:rsidR="00D26148" w:rsidRPr="001005B7">
        <w:rPr>
          <w:rFonts w:cstheme="minorHAnsi"/>
        </w:rPr>
        <w:t>,</w:t>
      </w:r>
      <w:r w:rsidR="00DE3DD1" w:rsidRPr="001005B7">
        <w:rPr>
          <w:rFonts w:cstheme="minorHAnsi"/>
        </w:rPr>
        <w:t xml:space="preserve"> </w:t>
      </w:r>
      <w:r w:rsidR="005E6AF4" w:rsidRPr="001005B7">
        <w:rPr>
          <w:rFonts w:cstheme="minorHAnsi"/>
        </w:rPr>
        <w:t>Sym</w:t>
      </w:r>
      <w:r w:rsidR="00BB544E" w:rsidRPr="001005B7">
        <w:rPr>
          <w:rFonts w:cstheme="minorHAnsi"/>
        </w:rPr>
        <w:t>.</w:t>
      </w:r>
      <w:r w:rsidR="00AC3AD1" w:rsidRPr="001005B7">
        <w:rPr>
          <w:rFonts w:cstheme="minorHAnsi"/>
        </w:rPr>
        <w:t xml:space="preserve">, </w:t>
      </w:r>
      <w:proofErr w:type="spellStart"/>
      <w:r w:rsidR="00AC3AD1" w:rsidRPr="001005B7">
        <w:rPr>
          <w:rFonts w:cstheme="minorHAnsi"/>
        </w:rPr>
        <w:t>Theod</w:t>
      </w:r>
      <w:proofErr w:type="spellEnd"/>
      <w:r w:rsidR="00BB544E" w:rsidRPr="001005B7">
        <w:rPr>
          <w:rFonts w:cstheme="minorHAnsi"/>
        </w:rPr>
        <w:t>.</w:t>
      </w:r>
      <w:r w:rsidR="005E6AF4" w:rsidRPr="001005B7">
        <w:rPr>
          <w:rFonts w:cstheme="minorHAnsi"/>
        </w:rPr>
        <w:t xml:space="preserve"> </w:t>
      </w:r>
      <w:r w:rsidR="0082488C" w:rsidRPr="001005B7">
        <w:rPr>
          <w:rFonts w:cstheme="minorHAnsi"/>
        </w:rPr>
        <w:t xml:space="preserve">“and </w:t>
      </w:r>
      <w:r w:rsidR="008E2D47" w:rsidRPr="001005B7">
        <w:rPr>
          <w:rFonts w:cstheme="minorHAnsi"/>
        </w:rPr>
        <w:t xml:space="preserve">they </w:t>
      </w:r>
      <w:r w:rsidR="00A862B3" w:rsidRPr="001005B7">
        <w:rPr>
          <w:rFonts w:cstheme="minorHAnsi"/>
        </w:rPr>
        <w:t>ex</w:t>
      </w:r>
      <w:r w:rsidR="0086669B" w:rsidRPr="001005B7">
        <w:rPr>
          <w:rFonts w:cstheme="minorHAnsi"/>
        </w:rPr>
        <w:t>changed</w:t>
      </w:r>
      <w:r w:rsidR="00A862B3" w:rsidRPr="001005B7">
        <w:rPr>
          <w:rFonts w:cstheme="minorHAnsi"/>
        </w:rPr>
        <w:t>”</w:t>
      </w:r>
      <w:r w:rsidR="00FA4824" w:rsidRPr="001005B7">
        <w:rPr>
          <w:rFonts w:cstheme="minorHAnsi"/>
        </w:rPr>
        <w:t xml:space="preserve"> derive it from</w:t>
      </w:r>
      <w:r w:rsidR="00DD1E85" w:rsidRPr="001005B7">
        <w:rPr>
          <w:rFonts w:cstheme="minorHAnsi"/>
        </w:rPr>
        <w:t xml:space="preserve"> </w:t>
      </w:r>
      <w:r w:rsidR="00DD1E85" w:rsidRPr="001005B7">
        <w:rPr>
          <w:rFonts w:cstheme="minorHAnsi"/>
          <w:rtl/>
          <w:lang w:bidi="he-IL"/>
        </w:rPr>
        <w:t>מוּר</w:t>
      </w:r>
      <w:r w:rsidR="00DE3DD1" w:rsidRPr="001005B7">
        <w:rPr>
          <w:rFonts w:cstheme="minorHAnsi"/>
        </w:rPr>
        <w:t xml:space="preserve">, suggesting </w:t>
      </w:r>
      <w:r w:rsidR="00F23C08" w:rsidRPr="001005B7">
        <w:rPr>
          <w:rFonts w:cstheme="minorHAnsi"/>
        </w:rPr>
        <w:t>“changed my rulings into faithlessness</w:t>
      </w:r>
      <w:r w:rsidR="003436E5" w:rsidRPr="001005B7">
        <w:rPr>
          <w:rFonts w:cstheme="minorHAnsi"/>
        </w:rPr>
        <w:t xml:space="preserve">” (cf. </w:t>
      </w:r>
      <w:r w:rsidR="003436E5" w:rsidRPr="001005B7">
        <w:t>Rashi</w:t>
      </w:r>
      <w:r w:rsidR="006B0E25" w:rsidRPr="001005B7">
        <w:t>,</w:t>
      </w:r>
      <w:r w:rsidR="003436E5" w:rsidRPr="001005B7">
        <w:t xml:space="preserve"> in MG; KJV).</w:t>
      </w:r>
      <w:r w:rsidR="00934D05" w:rsidRPr="001005B7">
        <w:rPr>
          <w:rFonts w:cstheme="minorHAnsi"/>
        </w:rPr>
        <w:t xml:space="preserve"> </w:t>
      </w:r>
    </w:p>
    <w:p w14:paraId="433B1FCD" w14:textId="48DFAE51" w:rsidR="00E50BA3" w:rsidRPr="001005B7" w:rsidRDefault="00BE5F01" w:rsidP="00150022">
      <w:pPr>
        <w:ind w:firstLine="0"/>
        <w:rPr>
          <w:rFonts w:cstheme="minorHAnsi"/>
        </w:rPr>
      </w:pPr>
      <w:r w:rsidRPr="001005B7">
        <w:rPr>
          <w:rFonts w:cstheme="minorHAnsi"/>
        </w:rPr>
        <w:t>F</w:t>
      </w:r>
      <w:r w:rsidR="0008408E" w:rsidRPr="001005B7">
        <w:rPr>
          <w:rFonts w:cstheme="minorHAnsi"/>
        </w:rPr>
        <w:t>or t</w:t>
      </w:r>
      <w:r w:rsidR="008E0DAA" w:rsidRPr="001005B7">
        <w:rPr>
          <w:rFonts w:cstheme="minorHAnsi"/>
        </w:rPr>
        <w:t xml:space="preserve">he </w:t>
      </w:r>
      <w:r w:rsidR="0008408E" w:rsidRPr="001005B7">
        <w:rPr>
          <w:rFonts w:cstheme="minorHAnsi"/>
        </w:rPr>
        <w:t xml:space="preserve">unique </w:t>
      </w:r>
      <w:r w:rsidR="008E0DAA" w:rsidRPr="001005B7">
        <w:rPr>
          <w:rFonts w:cstheme="minorHAnsi"/>
        </w:rPr>
        <w:t>expression</w:t>
      </w:r>
      <w:r w:rsidR="00934D05" w:rsidRPr="001005B7">
        <w:rPr>
          <w:rFonts w:cstheme="minorHAnsi"/>
        </w:rPr>
        <w:t xml:space="preserve"> </w:t>
      </w:r>
      <w:r w:rsidR="00ED1653" w:rsidRPr="001005B7">
        <w:rPr>
          <w:rFonts w:cstheme="minorHAnsi"/>
          <w:rtl/>
          <w:lang w:bidi="he-IL"/>
        </w:rPr>
        <w:t>לְרִשׁ</w:t>
      </w:r>
      <w:r w:rsidR="00420834" w:rsidRPr="001005B7">
        <w:rPr>
          <w:rFonts w:cstheme="minorHAnsi"/>
          <w:rtl/>
          <w:lang w:bidi="he-IL"/>
        </w:rPr>
        <w:t>ְעָה</w:t>
      </w:r>
      <w:r w:rsidR="00707D34" w:rsidRPr="001005B7">
        <w:rPr>
          <w:rFonts w:cstheme="minorHAnsi"/>
        </w:rPr>
        <w:t xml:space="preserve">, “with faithlessness,” </w:t>
      </w:r>
      <w:r w:rsidR="00710F5A" w:rsidRPr="001005B7">
        <w:rPr>
          <w:sz w:val="18"/>
          <w:szCs w:val="18"/>
        </w:rPr>
        <w:t>LXX</w:t>
      </w:r>
      <w:r w:rsidR="00710F5A" w:rsidRPr="001005B7">
        <w:t xml:space="preserve"> </w:t>
      </w:r>
      <w:r w:rsidR="000713B6" w:rsidRPr="001005B7">
        <w:rPr>
          <w:rFonts w:cstheme="minorHAnsi"/>
        </w:rPr>
        <w:t>“to the lawl</w:t>
      </w:r>
      <w:r w:rsidR="004B453A" w:rsidRPr="001005B7">
        <w:rPr>
          <w:rFonts w:cstheme="minorHAnsi"/>
        </w:rPr>
        <w:t xml:space="preserve">ess </w:t>
      </w:r>
      <w:r w:rsidR="00E85A45" w:rsidRPr="001005B7">
        <w:rPr>
          <w:rFonts w:cstheme="minorHAnsi"/>
        </w:rPr>
        <w:t>[</w:t>
      </w:r>
      <w:r w:rsidR="004B453A" w:rsidRPr="001005B7">
        <w:rPr>
          <w:rFonts w:cstheme="minorHAnsi"/>
        </w:rPr>
        <w:t>one</w:t>
      </w:r>
      <w:r w:rsidR="00E85A45" w:rsidRPr="001005B7">
        <w:rPr>
          <w:rFonts w:cstheme="minorHAnsi"/>
        </w:rPr>
        <w:t>]</w:t>
      </w:r>
      <w:r w:rsidR="004B453A" w:rsidRPr="001005B7">
        <w:rPr>
          <w:rFonts w:cstheme="minorHAnsi"/>
        </w:rPr>
        <w:t>” implies</w:t>
      </w:r>
      <w:r w:rsidR="004B7D12" w:rsidRPr="001005B7">
        <w:rPr>
          <w:rFonts w:cstheme="minorHAnsi"/>
        </w:rPr>
        <w:t xml:space="preserve"> </w:t>
      </w:r>
      <w:r w:rsidR="00CF0076" w:rsidRPr="001005B7">
        <w:rPr>
          <w:rFonts w:cstheme="minorHAnsi"/>
          <w:rtl/>
          <w:lang w:bidi="he-IL"/>
        </w:rPr>
        <w:t>לָרְשָׁעָה</w:t>
      </w:r>
      <w:r w:rsidR="008E0DAA" w:rsidRPr="001005B7">
        <w:rPr>
          <w:rFonts w:cstheme="minorHAnsi"/>
        </w:rPr>
        <w:t>,</w:t>
      </w:r>
      <w:r w:rsidR="004509D5" w:rsidRPr="001005B7">
        <w:rPr>
          <w:rFonts w:cstheme="minorHAnsi"/>
        </w:rPr>
        <w:t xml:space="preserve"> referring to</w:t>
      </w:r>
      <w:r w:rsidR="000C31C7" w:rsidRPr="001005B7">
        <w:rPr>
          <w:rFonts w:cstheme="minorHAnsi"/>
        </w:rPr>
        <w:t xml:space="preserve"> Jeru</w:t>
      </w:r>
      <w:r w:rsidR="00EE6D8B" w:rsidRPr="001005B7">
        <w:rPr>
          <w:rFonts w:cstheme="minorHAnsi"/>
        </w:rPr>
        <w:t>s</w:t>
      </w:r>
      <w:r w:rsidR="000C31C7" w:rsidRPr="001005B7">
        <w:rPr>
          <w:rFonts w:cstheme="minorHAnsi"/>
        </w:rPr>
        <w:t>alem.</w:t>
      </w:r>
    </w:p>
    <w:p w14:paraId="42F2461F" w14:textId="70ECE9C8" w:rsidR="0034690C" w:rsidRPr="001005B7" w:rsidRDefault="00150022" w:rsidP="00150022">
      <w:pPr>
        <w:ind w:firstLine="0"/>
        <w:rPr>
          <w:rFonts w:cstheme="minorHAnsi"/>
          <w:i/>
          <w:iCs/>
        </w:rPr>
      </w:pPr>
      <w:r w:rsidRPr="001005B7">
        <w:rPr>
          <w:rFonts w:cstheme="minorHAnsi"/>
          <w:b/>
          <w:bCs/>
        </w:rPr>
        <w:t>5:7</w:t>
      </w:r>
      <w:r w:rsidR="00E50BA3" w:rsidRPr="001005B7">
        <w:rPr>
          <w:rFonts w:cstheme="minorHAnsi"/>
        </w:rPr>
        <w:t xml:space="preserve"> </w:t>
      </w:r>
      <w:r w:rsidR="00642081" w:rsidRPr="001005B7">
        <w:rPr>
          <w:rFonts w:cstheme="minorHAnsi"/>
        </w:rPr>
        <w:t xml:space="preserve">At the end of the verse, </w:t>
      </w:r>
      <w:r w:rsidR="003D7256" w:rsidRPr="001005B7">
        <w:rPr>
          <w:sz w:val="18"/>
          <w:szCs w:val="18"/>
        </w:rPr>
        <w:t>NRSV</w:t>
      </w:r>
      <w:r w:rsidR="004225A8" w:rsidRPr="001005B7">
        <w:rPr>
          <w:rFonts w:cstheme="minorHAnsi"/>
        </w:rPr>
        <w:t xml:space="preserve"> omits </w:t>
      </w:r>
      <w:r w:rsidR="005F7A47" w:rsidRPr="001005B7">
        <w:rPr>
          <w:rFonts w:cstheme="minorHAnsi"/>
        </w:rPr>
        <w:t>“</w:t>
      </w:r>
      <w:r w:rsidR="004225A8" w:rsidRPr="001005B7">
        <w:rPr>
          <w:rFonts w:cstheme="minorHAnsi"/>
        </w:rPr>
        <w:t>not</w:t>
      </w:r>
      <w:r w:rsidR="00E9724D" w:rsidRPr="001005B7">
        <w:rPr>
          <w:rFonts w:cstheme="minorHAnsi"/>
        </w:rPr>
        <w:t>,</w:t>
      </w:r>
      <w:r w:rsidR="005F7A47" w:rsidRPr="001005B7">
        <w:rPr>
          <w:rFonts w:cstheme="minorHAnsi"/>
        </w:rPr>
        <w:t>”</w:t>
      </w:r>
      <w:r w:rsidR="00E9724D" w:rsidRPr="001005B7">
        <w:rPr>
          <w:rFonts w:cstheme="minorHAnsi"/>
        </w:rPr>
        <w:t xml:space="preserve"> with </w:t>
      </w:r>
      <w:r w:rsidR="001D2878" w:rsidRPr="001005B7">
        <w:rPr>
          <w:rFonts w:cstheme="minorHAnsi"/>
        </w:rPr>
        <w:t>a few late</w:t>
      </w:r>
      <w:r w:rsidR="00E9724D" w:rsidRPr="001005B7">
        <w:rPr>
          <w:rFonts w:cstheme="minorHAnsi"/>
        </w:rPr>
        <w:t xml:space="preserve"> </w:t>
      </w:r>
      <w:r w:rsidR="001D2878" w:rsidRPr="001005B7">
        <w:rPr>
          <w:rFonts w:cstheme="minorHAnsi"/>
        </w:rPr>
        <w:t>m</w:t>
      </w:r>
      <w:r w:rsidR="00E9724D" w:rsidRPr="001005B7">
        <w:rPr>
          <w:rFonts w:cstheme="minorHAnsi"/>
        </w:rPr>
        <w:t>e</w:t>
      </w:r>
      <w:r w:rsidR="001D2878" w:rsidRPr="001005B7">
        <w:rPr>
          <w:rFonts w:cstheme="minorHAnsi"/>
        </w:rPr>
        <w:t>d</w:t>
      </w:r>
      <w:r w:rsidR="00E9724D" w:rsidRPr="001005B7">
        <w:rPr>
          <w:rFonts w:cstheme="minorHAnsi"/>
        </w:rPr>
        <w:t xml:space="preserve">ieval Hebrew </w:t>
      </w:r>
      <w:r w:rsidR="001D2878" w:rsidRPr="001005B7">
        <w:rPr>
          <w:rFonts w:cstheme="minorHAnsi"/>
        </w:rPr>
        <w:t xml:space="preserve">and other </w:t>
      </w:r>
      <w:r w:rsidR="00E9724D" w:rsidRPr="001005B7">
        <w:rPr>
          <w:rFonts w:cstheme="minorHAnsi"/>
        </w:rPr>
        <w:t>manuscripts</w:t>
      </w:r>
      <w:r w:rsidR="00366695" w:rsidRPr="001005B7">
        <w:rPr>
          <w:rFonts w:cstheme="minorHAnsi"/>
        </w:rPr>
        <w:t xml:space="preserve"> (cf. 11:12)</w:t>
      </w:r>
      <w:r w:rsidR="00427C85" w:rsidRPr="001005B7">
        <w:rPr>
          <w:rFonts w:cstheme="minorHAnsi"/>
        </w:rPr>
        <w:t>.</w:t>
      </w:r>
      <w:r w:rsidR="004225A8" w:rsidRPr="001005B7">
        <w:rPr>
          <w:rFonts w:cstheme="minorHAnsi"/>
          <w:i/>
          <w:iCs/>
        </w:rPr>
        <w:t xml:space="preserve"> </w:t>
      </w:r>
    </w:p>
    <w:p w14:paraId="224EF72C" w14:textId="3DFA3560" w:rsidR="00A66345" w:rsidRPr="001005B7" w:rsidRDefault="00A66345" w:rsidP="00150022">
      <w:pPr>
        <w:ind w:firstLine="0"/>
        <w:rPr>
          <w:rFonts w:cstheme="minorHAnsi"/>
        </w:rPr>
      </w:pPr>
      <w:r w:rsidRPr="001005B7">
        <w:rPr>
          <w:rFonts w:cstheme="minorHAnsi"/>
          <w:b/>
          <w:bCs/>
        </w:rPr>
        <w:t xml:space="preserve">5:11 </w:t>
      </w:r>
      <w:r w:rsidR="00E8537E" w:rsidRPr="001005B7">
        <w:rPr>
          <w:rFonts w:cstheme="minorHAnsi"/>
        </w:rPr>
        <w:t xml:space="preserve">For </w:t>
      </w:r>
      <w:r w:rsidR="00447FFC" w:rsidRPr="001005B7">
        <w:rPr>
          <w:rFonts w:cstheme="minorHAnsi"/>
          <w:rtl/>
          <w:lang w:bidi="he-IL"/>
        </w:rPr>
        <w:t>מׅקְדׇּשׁ</w:t>
      </w:r>
      <w:r w:rsidR="00BA566B" w:rsidRPr="001005B7">
        <w:rPr>
          <w:rFonts w:cstheme="minorHAnsi"/>
        </w:rPr>
        <w:t xml:space="preserve">, “sanctuary,” </w:t>
      </w:r>
      <w:r w:rsidR="00711BA2" w:rsidRPr="001005B7">
        <w:rPr>
          <w:sz w:val="18"/>
          <w:szCs w:val="18"/>
        </w:rPr>
        <w:t>LXX</w:t>
      </w:r>
      <w:r w:rsidR="00BA566B" w:rsidRPr="001005B7">
        <w:rPr>
          <w:rFonts w:cstheme="minorHAnsi"/>
        </w:rPr>
        <w:t xml:space="preserve"> regularly has pl. “sacred things</w:t>
      </w:r>
      <w:r w:rsidR="00921DD3" w:rsidRPr="001005B7">
        <w:rPr>
          <w:rFonts w:cstheme="minorHAnsi"/>
        </w:rPr>
        <w:t>.”</w:t>
      </w:r>
    </w:p>
    <w:p w14:paraId="7E0432DA" w14:textId="4F30FF6B" w:rsidR="004E37F0" w:rsidRPr="001005B7" w:rsidRDefault="00150022" w:rsidP="00150022">
      <w:pPr>
        <w:ind w:firstLine="0"/>
        <w:rPr>
          <w:rFonts w:cstheme="minorHAnsi"/>
        </w:rPr>
      </w:pPr>
      <w:r w:rsidRPr="001005B7">
        <w:rPr>
          <w:rFonts w:cstheme="minorHAnsi"/>
          <w:b/>
          <w:bCs/>
        </w:rPr>
        <w:t>5:12</w:t>
      </w:r>
      <w:r w:rsidR="004E37F0" w:rsidRPr="001005B7">
        <w:rPr>
          <w:rFonts w:cstheme="minorHAnsi"/>
        </w:rPr>
        <w:t xml:space="preserve"> </w:t>
      </w:r>
      <w:r w:rsidR="003E4149" w:rsidRPr="001005B7">
        <w:rPr>
          <w:rFonts w:cstheme="minorHAnsi"/>
        </w:rPr>
        <w:t>Fo</w:t>
      </w:r>
      <w:r w:rsidR="00B677EC" w:rsidRPr="001005B7">
        <w:rPr>
          <w:rFonts w:cstheme="minorHAnsi"/>
        </w:rPr>
        <w:t>r</w:t>
      </w:r>
      <w:r w:rsidR="003E4149" w:rsidRPr="001005B7">
        <w:rPr>
          <w:rFonts w:cstheme="minorHAnsi"/>
        </w:rPr>
        <w:t xml:space="preserve"> </w:t>
      </w:r>
      <w:r w:rsidR="00B212F6" w:rsidRPr="001005B7">
        <w:rPr>
          <w:rFonts w:cstheme="minorHAnsi"/>
          <w:rtl/>
          <w:lang w:bidi="he-IL"/>
        </w:rPr>
        <w:t>שְׁל</w:t>
      </w:r>
      <w:r w:rsidR="006E6FE4" w:rsidRPr="001005B7">
        <w:rPr>
          <w:rFonts w:cstheme="minorHAnsi"/>
          <w:rtl/>
          <w:lang w:bidi="he-IL"/>
        </w:rPr>
        <w:t>ִשׁ</w:t>
      </w:r>
      <w:r w:rsidR="00792DF6" w:rsidRPr="001005B7">
        <w:rPr>
          <w:rFonts w:cstheme="minorHAnsi"/>
          <w:rtl/>
          <w:lang w:bidi="he-IL"/>
        </w:rPr>
        <w:t>ִ</w:t>
      </w:r>
      <w:r w:rsidR="00DF7284" w:rsidRPr="001005B7">
        <w:rPr>
          <w:rFonts w:cstheme="minorHAnsi"/>
          <w:rtl/>
          <w:lang w:bidi="he-IL"/>
        </w:rPr>
        <w:t>תֵיך</w:t>
      </w:r>
      <w:r w:rsidR="0095251A" w:rsidRPr="001005B7">
        <w:rPr>
          <w:rFonts w:cstheme="minorHAnsi"/>
          <w:rtl/>
          <w:lang w:bidi="he-IL"/>
        </w:rPr>
        <w:t>ְ</w:t>
      </w:r>
      <w:r w:rsidR="00A31E76" w:rsidRPr="001005B7">
        <w:rPr>
          <w:rFonts w:cstheme="minorHAnsi"/>
        </w:rPr>
        <w:t xml:space="preserve"> </w:t>
      </w:r>
      <w:r w:rsidR="0095251A" w:rsidRPr="001005B7">
        <w:rPr>
          <w:rFonts w:cstheme="minorHAnsi"/>
        </w:rPr>
        <w:t xml:space="preserve">and </w:t>
      </w:r>
      <w:r w:rsidR="00B677EC" w:rsidRPr="001005B7">
        <w:rPr>
          <w:rFonts w:cstheme="minorHAnsi"/>
        </w:rPr>
        <w:t xml:space="preserve">subsequent </w:t>
      </w:r>
      <w:r w:rsidR="0095251A" w:rsidRPr="001005B7">
        <w:rPr>
          <w:rFonts w:cstheme="minorHAnsi"/>
        </w:rPr>
        <w:t xml:space="preserve">variants, </w:t>
      </w:r>
      <w:r w:rsidR="00C12809" w:rsidRPr="001005B7">
        <w:rPr>
          <w:rFonts w:cstheme="minorHAnsi"/>
        </w:rPr>
        <w:t>“a</w:t>
      </w:r>
      <w:r w:rsidR="003E4149" w:rsidRPr="001005B7">
        <w:rPr>
          <w:rFonts w:cstheme="minorHAnsi"/>
          <w:i/>
          <w:iCs/>
        </w:rPr>
        <w:t xml:space="preserve"> </w:t>
      </w:r>
      <w:r w:rsidR="003E4149" w:rsidRPr="001005B7">
        <w:rPr>
          <w:rFonts w:cstheme="minorHAnsi"/>
        </w:rPr>
        <w:t>third,</w:t>
      </w:r>
      <w:r w:rsidR="00C12809" w:rsidRPr="001005B7">
        <w:rPr>
          <w:rFonts w:cstheme="minorHAnsi"/>
        </w:rPr>
        <w:t>”</w:t>
      </w:r>
      <w:r w:rsidR="00D576E0" w:rsidRPr="001005B7">
        <w:rPr>
          <w:rFonts w:cstheme="minorHAnsi"/>
        </w:rPr>
        <w:t xml:space="preserve"> </w:t>
      </w:r>
      <w:r w:rsidR="00D576E0" w:rsidRPr="001005B7">
        <w:rPr>
          <w:sz w:val="18"/>
          <w:szCs w:val="18"/>
        </w:rPr>
        <w:t>LXX</w:t>
      </w:r>
      <w:r w:rsidR="003E4149" w:rsidRPr="001005B7">
        <w:rPr>
          <w:rFonts w:cstheme="minorHAnsi"/>
          <w:i/>
          <w:iCs/>
        </w:rPr>
        <w:t xml:space="preserve"> </w:t>
      </w:r>
      <w:r w:rsidR="004E37F0" w:rsidRPr="001005B7">
        <w:rPr>
          <w:rFonts w:cstheme="minorHAnsi"/>
        </w:rPr>
        <w:t xml:space="preserve">has </w:t>
      </w:r>
      <w:r w:rsidR="0095251A" w:rsidRPr="001005B7">
        <w:rPr>
          <w:rFonts w:cstheme="minorHAnsi"/>
        </w:rPr>
        <w:t>“</w:t>
      </w:r>
      <w:r w:rsidR="004E37F0" w:rsidRPr="001005B7">
        <w:rPr>
          <w:rFonts w:cstheme="minorHAnsi"/>
        </w:rPr>
        <w:t>a quarter,</w:t>
      </w:r>
      <w:r w:rsidR="00F97DA5" w:rsidRPr="001005B7">
        <w:rPr>
          <w:rFonts w:cstheme="minorHAnsi"/>
        </w:rPr>
        <w:t>”</w:t>
      </w:r>
      <w:r w:rsidR="004E37F0" w:rsidRPr="001005B7">
        <w:rPr>
          <w:rFonts w:cstheme="minorHAnsi"/>
        </w:rPr>
        <w:t xml:space="preserve"> as in</w:t>
      </w:r>
      <w:r w:rsidR="00990080" w:rsidRPr="001005B7">
        <w:rPr>
          <w:rFonts w:cstheme="minorHAnsi"/>
        </w:rPr>
        <w:t xml:space="preserve"> </w:t>
      </w:r>
      <w:r w:rsidR="00AC027B" w:rsidRPr="001005B7">
        <w:rPr>
          <w:rFonts w:cstheme="minorHAnsi"/>
        </w:rPr>
        <w:t>5:</w:t>
      </w:r>
      <w:r w:rsidR="00990080" w:rsidRPr="001005B7">
        <w:rPr>
          <w:rFonts w:cstheme="minorHAnsi"/>
        </w:rPr>
        <w:t>2.</w:t>
      </w:r>
    </w:p>
    <w:p w14:paraId="68D0F5A6" w14:textId="35A21F25" w:rsidR="007B6A09" w:rsidRPr="001005B7" w:rsidRDefault="00711BA2" w:rsidP="00150022">
      <w:pPr>
        <w:ind w:firstLine="0"/>
        <w:rPr>
          <w:rFonts w:cstheme="minorHAnsi"/>
        </w:rPr>
      </w:pPr>
      <w:r w:rsidRPr="001005B7">
        <w:rPr>
          <w:sz w:val="18"/>
          <w:szCs w:val="18"/>
        </w:rPr>
        <w:t>LXX</w:t>
      </w:r>
      <w:r w:rsidR="007B6A09" w:rsidRPr="001005B7">
        <w:rPr>
          <w:rFonts w:cstheme="minorHAnsi"/>
        </w:rPr>
        <w:t xml:space="preserve"> regularly translates </w:t>
      </w:r>
      <w:r w:rsidR="00FC784F" w:rsidRPr="001005B7">
        <w:rPr>
          <w:rFonts w:cstheme="minorHAnsi"/>
          <w:rtl/>
          <w:lang w:bidi="he-IL"/>
        </w:rPr>
        <w:t>דֶּבֶר</w:t>
      </w:r>
      <w:r w:rsidR="00FC784F" w:rsidRPr="001005B7">
        <w:rPr>
          <w:rFonts w:cstheme="minorHAnsi"/>
        </w:rPr>
        <w:t xml:space="preserve">, “epidemic,” </w:t>
      </w:r>
      <w:r w:rsidR="003C04DD" w:rsidRPr="001005B7">
        <w:rPr>
          <w:rFonts w:cstheme="minorHAnsi"/>
        </w:rPr>
        <w:t>as “death.”</w:t>
      </w:r>
      <w:r w:rsidR="007B6A09" w:rsidRPr="001005B7">
        <w:rPr>
          <w:rFonts w:cstheme="minorHAnsi"/>
        </w:rPr>
        <w:t xml:space="preserve"> </w:t>
      </w:r>
    </w:p>
    <w:p w14:paraId="5FF7C537" w14:textId="153846A2" w:rsidR="00AC4F06" w:rsidRPr="001005B7" w:rsidRDefault="00363171" w:rsidP="00150022">
      <w:pPr>
        <w:ind w:firstLine="0"/>
        <w:rPr>
          <w:rFonts w:cstheme="minorHAnsi"/>
        </w:rPr>
      </w:pPr>
      <w:r w:rsidRPr="001005B7">
        <w:rPr>
          <w:rFonts w:cstheme="minorHAnsi"/>
          <w:b/>
          <w:bCs/>
        </w:rPr>
        <w:t>5:13</w:t>
      </w:r>
      <w:r w:rsidR="00AB160E" w:rsidRPr="001005B7">
        <w:rPr>
          <w:rFonts w:cstheme="minorHAnsi"/>
        </w:rPr>
        <w:t xml:space="preserve"> </w:t>
      </w:r>
      <w:r w:rsidR="00711BA2" w:rsidRPr="001005B7">
        <w:rPr>
          <w:sz w:val="18"/>
          <w:szCs w:val="18"/>
        </w:rPr>
        <w:t>LXX</w:t>
      </w:r>
      <w:r w:rsidR="00AB160E" w:rsidRPr="001005B7">
        <w:rPr>
          <w:rFonts w:cstheme="minorHAnsi"/>
        </w:rPr>
        <w:t xml:space="preserve"> </w:t>
      </w:r>
      <w:r w:rsidR="00302DAA" w:rsidRPr="001005B7">
        <w:rPr>
          <w:rFonts w:cstheme="minorHAnsi"/>
        </w:rPr>
        <w:t xml:space="preserve">lacks </w:t>
      </w:r>
      <w:r w:rsidR="00190741" w:rsidRPr="001005B7">
        <w:rPr>
          <w:rFonts w:cstheme="minorHAnsi"/>
          <w:rtl/>
          <w:lang w:bidi="he-IL"/>
        </w:rPr>
        <w:t>וַ</w:t>
      </w:r>
      <w:r w:rsidR="00BF5C18" w:rsidRPr="001005B7">
        <w:rPr>
          <w:rFonts w:cstheme="minorHAnsi"/>
          <w:rtl/>
          <w:lang w:bidi="he-IL"/>
        </w:rPr>
        <w:t>הֲ</w:t>
      </w:r>
      <w:r w:rsidR="00267CA0" w:rsidRPr="001005B7">
        <w:rPr>
          <w:rFonts w:cstheme="minorHAnsi"/>
          <w:rtl/>
          <w:lang w:bidi="he-IL"/>
        </w:rPr>
        <w:t>נִחוֹתִי</w:t>
      </w:r>
      <w:r w:rsidR="00190741" w:rsidRPr="001005B7">
        <w:rPr>
          <w:rFonts w:cstheme="minorHAnsi"/>
        </w:rPr>
        <w:t xml:space="preserve"> </w:t>
      </w:r>
      <w:r w:rsidR="00302DAA" w:rsidRPr="001005B7">
        <w:rPr>
          <w:rFonts w:cstheme="minorHAnsi"/>
        </w:rPr>
        <w:t>“</w:t>
      </w:r>
      <w:r w:rsidR="00B37F12" w:rsidRPr="001005B7">
        <w:rPr>
          <w:rFonts w:cstheme="minorHAnsi"/>
        </w:rPr>
        <w:t xml:space="preserve">I will </w:t>
      </w:r>
      <w:r w:rsidR="00EA0BCC" w:rsidRPr="001005B7">
        <w:rPr>
          <w:rFonts w:cstheme="minorHAnsi"/>
        </w:rPr>
        <w:t>settle</w:t>
      </w:r>
      <w:r w:rsidR="00BC2316" w:rsidRPr="001005B7">
        <w:rPr>
          <w:rFonts w:cstheme="minorHAnsi"/>
        </w:rPr>
        <w:t>” and</w:t>
      </w:r>
      <w:r w:rsidR="006714FD" w:rsidRPr="001005B7">
        <w:rPr>
          <w:rFonts w:cstheme="minorHAnsi"/>
        </w:rPr>
        <w:t xml:space="preserve"> </w:t>
      </w:r>
      <w:r w:rsidR="006714FD" w:rsidRPr="001005B7">
        <w:rPr>
          <w:rFonts w:cstheme="minorHAnsi"/>
          <w:rtl/>
          <w:lang w:bidi="he-IL"/>
        </w:rPr>
        <w:t>וְהִ</w:t>
      </w:r>
      <w:r w:rsidR="00414E03" w:rsidRPr="001005B7">
        <w:rPr>
          <w:rFonts w:cstheme="minorHAnsi"/>
          <w:rtl/>
          <w:lang w:bidi="he-IL"/>
        </w:rPr>
        <w:t>נֶּחׇ</w:t>
      </w:r>
      <w:r w:rsidR="008055BC" w:rsidRPr="001005B7">
        <w:rPr>
          <w:rFonts w:cstheme="minorHAnsi"/>
          <w:rtl/>
          <w:lang w:bidi="he-IL"/>
        </w:rPr>
        <w:t>מְתִּי</w:t>
      </w:r>
      <w:r w:rsidR="00BC2316" w:rsidRPr="001005B7">
        <w:rPr>
          <w:rFonts w:cstheme="minorHAnsi"/>
        </w:rPr>
        <w:t xml:space="preserve"> “and </w:t>
      </w:r>
      <w:r w:rsidR="006A41A8" w:rsidRPr="001005B7">
        <w:rPr>
          <w:rFonts w:cstheme="minorHAnsi"/>
        </w:rPr>
        <w:t>find relief.”</w:t>
      </w:r>
    </w:p>
    <w:p w14:paraId="13B93536" w14:textId="141EA3A3" w:rsidR="00E50BA3" w:rsidRPr="001005B7" w:rsidRDefault="00C5124B" w:rsidP="00150022">
      <w:pPr>
        <w:ind w:firstLine="0"/>
        <w:rPr>
          <w:rFonts w:cstheme="minorHAnsi"/>
        </w:rPr>
      </w:pPr>
      <w:r w:rsidRPr="001005B7">
        <w:rPr>
          <w:rFonts w:cstheme="minorHAnsi"/>
        </w:rPr>
        <w:t xml:space="preserve">For </w:t>
      </w:r>
      <w:r w:rsidR="00D21C08" w:rsidRPr="001005B7">
        <w:rPr>
          <w:rFonts w:cstheme="minorHAnsi"/>
          <w:rtl/>
          <w:lang w:bidi="he-IL"/>
        </w:rPr>
        <w:t>ו</w:t>
      </w:r>
      <w:r w:rsidR="00E50CCD" w:rsidRPr="001005B7">
        <w:rPr>
          <w:rFonts w:cstheme="minorHAnsi"/>
          <w:rtl/>
          <w:lang w:bidi="he-IL"/>
        </w:rPr>
        <w:t>ְיׇדְעוּ</w:t>
      </w:r>
      <w:r w:rsidR="009203D1" w:rsidRPr="001005B7">
        <w:rPr>
          <w:sz w:val="18"/>
          <w:szCs w:val="18"/>
        </w:rPr>
        <w:t xml:space="preserve">, </w:t>
      </w:r>
      <w:r w:rsidR="009203D1" w:rsidRPr="001005B7">
        <w:t xml:space="preserve">“and they </w:t>
      </w:r>
      <w:r w:rsidR="004630C9" w:rsidRPr="001005B7">
        <w:t>w</w:t>
      </w:r>
      <w:r w:rsidR="009203D1" w:rsidRPr="001005B7">
        <w:t>ill acknowledge,”</w:t>
      </w:r>
      <w:r w:rsidR="00711BA2" w:rsidRPr="001005B7">
        <w:rPr>
          <w:sz w:val="18"/>
          <w:szCs w:val="18"/>
        </w:rPr>
        <w:t xml:space="preserve"> LXX</w:t>
      </w:r>
      <w:r w:rsidR="00D34E19" w:rsidRPr="001005B7">
        <w:rPr>
          <w:rFonts w:cstheme="minorHAnsi"/>
        </w:rPr>
        <w:t xml:space="preserve"> has </w:t>
      </w:r>
      <w:r w:rsidR="00CD4998" w:rsidRPr="001005B7">
        <w:rPr>
          <w:rFonts w:cstheme="minorHAnsi"/>
        </w:rPr>
        <w:t>“you</w:t>
      </w:r>
      <w:r w:rsidR="00566D33" w:rsidRPr="001005B7">
        <w:rPr>
          <w:rFonts w:cstheme="minorHAnsi"/>
        </w:rPr>
        <w:t>”</w:t>
      </w:r>
      <w:r w:rsidR="00CD4998" w:rsidRPr="001005B7">
        <w:rPr>
          <w:rFonts w:cstheme="minorHAnsi"/>
        </w:rPr>
        <w:t xml:space="preserve"> [</w:t>
      </w:r>
      <w:r w:rsidR="005E2CE5" w:rsidRPr="001005B7">
        <w:rPr>
          <w:rFonts w:cstheme="minorHAnsi"/>
        </w:rPr>
        <w:t>Jerusalem</w:t>
      </w:r>
      <w:r w:rsidR="00CD4998" w:rsidRPr="001005B7">
        <w:rPr>
          <w:rFonts w:cstheme="minorHAnsi"/>
        </w:rPr>
        <w:t>] will acknowledge.”</w:t>
      </w:r>
      <w:r w:rsidR="00C31B57" w:rsidRPr="001005B7">
        <w:rPr>
          <w:rFonts w:cstheme="minorHAnsi"/>
        </w:rPr>
        <w:t xml:space="preserve"> </w:t>
      </w:r>
    </w:p>
    <w:p w14:paraId="7A6CCCA4" w14:textId="7E4B9CF7" w:rsidR="00A00AE2" w:rsidRPr="001005B7" w:rsidRDefault="00150022" w:rsidP="00150022">
      <w:pPr>
        <w:ind w:firstLine="0"/>
        <w:rPr>
          <w:rFonts w:cstheme="minorHAnsi"/>
        </w:rPr>
      </w:pPr>
      <w:r w:rsidRPr="001005B7">
        <w:rPr>
          <w:rFonts w:cstheme="minorHAnsi"/>
          <w:b/>
          <w:bCs/>
        </w:rPr>
        <w:t>5:14</w:t>
      </w:r>
      <w:r w:rsidR="005C09EF" w:rsidRPr="001005B7">
        <w:rPr>
          <w:rFonts w:cstheme="minorHAnsi"/>
        </w:rPr>
        <w:t xml:space="preserve"> </w:t>
      </w:r>
      <w:r w:rsidR="00113DD9" w:rsidRPr="001005B7">
        <w:rPr>
          <w:rFonts w:cstheme="minorHAnsi"/>
        </w:rPr>
        <w:t xml:space="preserve">For </w:t>
      </w:r>
      <w:r w:rsidR="00A804AC" w:rsidRPr="001005B7">
        <w:rPr>
          <w:rFonts w:cstheme="minorHAnsi"/>
          <w:rtl/>
          <w:lang w:bidi="he-IL"/>
        </w:rPr>
        <w:t>בַּגּוֹי</w:t>
      </w:r>
      <w:r w:rsidR="00B245BB" w:rsidRPr="001005B7">
        <w:rPr>
          <w:rFonts w:cstheme="minorHAnsi"/>
          <w:rtl/>
          <w:lang w:bidi="he-IL"/>
        </w:rPr>
        <w:t>ִם</w:t>
      </w:r>
      <w:r w:rsidR="00B245BB" w:rsidRPr="001005B7">
        <w:rPr>
          <w:rFonts w:cstheme="minorHAnsi"/>
        </w:rPr>
        <w:t xml:space="preserve">, </w:t>
      </w:r>
      <w:r w:rsidR="00023E55" w:rsidRPr="001005B7">
        <w:rPr>
          <w:rFonts w:cstheme="minorHAnsi"/>
        </w:rPr>
        <w:t>“among the nations,”</w:t>
      </w:r>
      <w:r w:rsidR="006E55AD" w:rsidRPr="001005B7">
        <w:rPr>
          <w:rFonts w:cstheme="minorHAnsi"/>
        </w:rPr>
        <w:t xml:space="preserve"> </w:t>
      </w:r>
      <w:r w:rsidR="00711BA2" w:rsidRPr="001005B7">
        <w:rPr>
          <w:sz w:val="18"/>
          <w:szCs w:val="18"/>
        </w:rPr>
        <w:t>LXX</w:t>
      </w:r>
      <w:r w:rsidR="005C09EF" w:rsidRPr="001005B7">
        <w:rPr>
          <w:rFonts w:cstheme="minorHAnsi"/>
        </w:rPr>
        <w:t xml:space="preserve"> “and your daughters</w:t>
      </w:r>
      <w:r w:rsidR="00770CA2" w:rsidRPr="001005B7">
        <w:rPr>
          <w:rFonts w:cstheme="minorHAnsi"/>
        </w:rPr>
        <w:t xml:space="preserve">” implies </w:t>
      </w:r>
      <w:r w:rsidR="00ED5C64" w:rsidRPr="001005B7">
        <w:rPr>
          <w:rFonts w:cstheme="minorHAnsi"/>
          <w:rtl/>
          <w:lang w:bidi="he-IL"/>
        </w:rPr>
        <w:t>ב</w:t>
      </w:r>
      <w:r w:rsidR="008B4882" w:rsidRPr="001005B7">
        <w:rPr>
          <w:rFonts w:cstheme="minorHAnsi"/>
          <w:rtl/>
          <w:lang w:bidi="he-IL"/>
        </w:rPr>
        <w:t>ּנוֹת</w:t>
      </w:r>
      <w:r w:rsidR="00CF0B41" w:rsidRPr="001005B7">
        <w:rPr>
          <w:rFonts w:cstheme="minorHAnsi"/>
          <w:rtl/>
          <w:lang w:bidi="he-IL"/>
        </w:rPr>
        <w:t>ַ</w:t>
      </w:r>
      <w:r w:rsidR="00222880" w:rsidRPr="001005B7">
        <w:rPr>
          <w:rFonts w:cstheme="minorHAnsi"/>
          <w:rtl/>
          <w:lang w:bidi="he-IL"/>
        </w:rPr>
        <w:t>י</w:t>
      </w:r>
      <w:r w:rsidR="00CF0B41" w:rsidRPr="001005B7">
        <w:rPr>
          <w:rFonts w:cstheme="minorHAnsi"/>
          <w:rtl/>
          <w:lang w:bidi="he-IL"/>
        </w:rPr>
        <w:t>ִ</w:t>
      </w:r>
      <w:r w:rsidR="00222880" w:rsidRPr="001005B7">
        <w:rPr>
          <w:rFonts w:cstheme="minorHAnsi"/>
          <w:rtl/>
          <w:lang w:bidi="he-IL"/>
        </w:rPr>
        <w:t>ךְ</w:t>
      </w:r>
      <w:r w:rsidR="00992AA8" w:rsidRPr="001005B7">
        <w:rPr>
          <w:rFonts w:cstheme="minorHAnsi"/>
        </w:rPr>
        <w:t>.</w:t>
      </w:r>
    </w:p>
    <w:p w14:paraId="40270413" w14:textId="16DA5071" w:rsidR="00886D44" w:rsidRPr="001005B7" w:rsidRDefault="00BE5B7E" w:rsidP="00150022">
      <w:pPr>
        <w:ind w:firstLine="0"/>
        <w:rPr>
          <w:rFonts w:cstheme="minorHAnsi"/>
        </w:rPr>
      </w:pPr>
      <w:r w:rsidRPr="001005B7">
        <w:rPr>
          <w:rFonts w:cstheme="minorHAnsi"/>
        </w:rPr>
        <w:t xml:space="preserve">For </w:t>
      </w:r>
      <w:r w:rsidRPr="001005B7">
        <w:rPr>
          <w:rFonts w:cstheme="minorHAnsi"/>
          <w:rtl/>
          <w:lang w:bidi="he-IL"/>
        </w:rPr>
        <w:t>לְחׇרבּ</w:t>
      </w:r>
      <w:r w:rsidR="00D4397F" w:rsidRPr="001005B7">
        <w:rPr>
          <w:rFonts w:cstheme="minorHAnsi"/>
          <w:rtl/>
          <w:lang w:bidi="he-IL"/>
        </w:rPr>
        <w:t>ׇה</w:t>
      </w:r>
      <w:r w:rsidR="00C51FB3" w:rsidRPr="001005B7">
        <w:rPr>
          <w:rFonts w:cstheme="minorHAnsi"/>
          <w:rtl/>
          <w:lang w:bidi="he-IL"/>
        </w:rPr>
        <w:t xml:space="preserve"> </w:t>
      </w:r>
      <w:r w:rsidR="00D4397F" w:rsidRPr="001005B7">
        <w:rPr>
          <w:rFonts w:cstheme="minorHAnsi"/>
          <w:rtl/>
          <w:lang w:bidi="he-IL"/>
        </w:rPr>
        <w:t>וּלחֶרְ</w:t>
      </w:r>
      <w:r w:rsidR="00C51FB3" w:rsidRPr="001005B7">
        <w:rPr>
          <w:rFonts w:cstheme="minorHAnsi"/>
          <w:rtl/>
          <w:lang w:bidi="he-IL"/>
        </w:rPr>
        <w:t>פׇּה</w:t>
      </w:r>
      <w:r w:rsidR="009726E8" w:rsidRPr="001005B7">
        <w:rPr>
          <w:rFonts w:cstheme="minorHAnsi"/>
        </w:rPr>
        <w:t>, “into a waste and into a focus of disdain” with the paronomasi</w:t>
      </w:r>
      <w:r w:rsidR="00A470E2" w:rsidRPr="001005B7">
        <w:rPr>
          <w:rFonts w:cstheme="minorHAnsi"/>
        </w:rPr>
        <w:t>a</w:t>
      </w:r>
      <w:r w:rsidR="00793851" w:rsidRPr="001005B7">
        <w:rPr>
          <w:rFonts w:cstheme="minorHAnsi"/>
        </w:rPr>
        <w:t>,</w:t>
      </w:r>
      <w:r w:rsidR="00A470E2" w:rsidRPr="001005B7">
        <w:rPr>
          <w:rFonts w:cstheme="minorHAnsi"/>
        </w:rPr>
        <w:t xml:space="preserve">* </w:t>
      </w:r>
      <w:r w:rsidR="00711BA2" w:rsidRPr="001005B7">
        <w:rPr>
          <w:sz w:val="18"/>
          <w:szCs w:val="18"/>
        </w:rPr>
        <w:t>LXX</w:t>
      </w:r>
      <w:r w:rsidR="00886D44" w:rsidRPr="001005B7">
        <w:rPr>
          <w:rFonts w:cstheme="minorHAnsi"/>
        </w:rPr>
        <w:t xml:space="preserve"> </w:t>
      </w:r>
      <w:r w:rsidR="00A470E2" w:rsidRPr="001005B7">
        <w:rPr>
          <w:rFonts w:cstheme="minorHAnsi"/>
        </w:rPr>
        <w:t>has only the first noun.</w:t>
      </w:r>
      <w:r w:rsidR="007157F7" w:rsidRPr="001005B7">
        <w:rPr>
          <w:rFonts w:cstheme="minorHAnsi"/>
        </w:rPr>
        <w:t xml:space="preserve"> </w:t>
      </w:r>
    </w:p>
    <w:p w14:paraId="25232CD1" w14:textId="1A147341" w:rsidR="005C75B2" w:rsidRPr="001005B7" w:rsidRDefault="00150022" w:rsidP="00150022">
      <w:pPr>
        <w:ind w:firstLine="0"/>
      </w:pPr>
      <w:r w:rsidRPr="001005B7">
        <w:rPr>
          <w:rFonts w:cstheme="minorHAnsi"/>
          <w:b/>
          <w:bCs/>
        </w:rPr>
        <w:t>5:15</w:t>
      </w:r>
      <w:r w:rsidR="00D576E0" w:rsidRPr="001005B7">
        <w:rPr>
          <w:sz w:val="18"/>
          <w:szCs w:val="18"/>
        </w:rPr>
        <w:t xml:space="preserve"> LXX</w:t>
      </w:r>
      <w:r w:rsidR="00CB1F83" w:rsidRPr="001005B7">
        <w:rPr>
          <w:rFonts w:cstheme="minorHAnsi"/>
        </w:rPr>
        <w:t xml:space="preserve"> has </w:t>
      </w:r>
      <w:r w:rsidR="00DE6DF4" w:rsidRPr="001005B7">
        <w:rPr>
          <w:rFonts w:cstheme="minorHAnsi"/>
        </w:rPr>
        <w:t>only two nouns instead of four</w:t>
      </w:r>
      <w:r w:rsidR="00974D71" w:rsidRPr="001005B7">
        <w:rPr>
          <w:rFonts w:cstheme="minorHAnsi"/>
        </w:rPr>
        <w:t xml:space="preserve"> in </w:t>
      </w:r>
      <w:r w:rsidR="00AC027B" w:rsidRPr="001005B7">
        <w:rPr>
          <w:rFonts w:cstheme="minorHAnsi"/>
        </w:rPr>
        <w:t>5:</w:t>
      </w:r>
      <w:r w:rsidR="00974D71" w:rsidRPr="001005B7">
        <w:rPr>
          <w:rFonts w:cstheme="minorHAnsi"/>
        </w:rPr>
        <w:t>15a</w:t>
      </w:r>
      <w:r w:rsidR="00FB1CE5" w:rsidRPr="001005B7">
        <w:rPr>
          <w:rFonts w:cstheme="minorHAnsi"/>
        </w:rPr>
        <w:t>,</w:t>
      </w:r>
      <w:r w:rsidR="00DE6DF4" w:rsidRPr="001005B7">
        <w:rPr>
          <w:rFonts w:cstheme="minorHAnsi"/>
        </w:rPr>
        <w:t xml:space="preserve"> </w:t>
      </w:r>
      <w:r w:rsidR="00B90713" w:rsidRPr="001005B7">
        <w:rPr>
          <w:rFonts w:cstheme="minorHAnsi"/>
        </w:rPr>
        <w:t>“</w:t>
      </w:r>
      <w:r w:rsidR="00445239" w:rsidRPr="001005B7">
        <w:rPr>
          <w:rFonts w:cstheme="minorHAnsi"/>
        </w:rPr>
        <w:t>an object of mourning and</w:t>
      </w:r>
      <w:r w:rsidR="00384C80" w:rsidRPr="001005B7">
        <w:rPr>
          <w:rFonts w:cstheme="minorHAnsi"/>
        </w:rPr>
        <w:t xml:space="preserve"> misery</w:t>
      </w:r>
      <w:r w:rsidR="00AE424C" w:rsidRPr="001005B7">
        <w:rPr>
          <w:rFonts w:cstheme="minorHAnsi"/>
        </w:rPr>
        <w:t>.”</w:t>
      </w:r>
      <w:r w:rsidR="00DD6714" w:rsidRPr="001005B7">
        <w:rPr>
          <w:rFonts w:cstheme="minorHAnsi"/>
        </w:rPr>
        <w:t xml:space="preserve"> It then </w:t>
      </w:r>
      <w:r w:rsidR="00BB2DAA" w:rsidRPr="001005B7">
        <w:rPr>
          <w:rFonts w:cstheme="minorHAnsi"/>
        </w:rPr>
        <w:t xml:space="preserve">lacks </w:t>
      </w:r>
      <w:r w:rsidR="003A1577" w:rsidRPr="001005B7">
        <w:rPr>
          <w:rFonts w:cstheme="minorHAnsi"/>
        </w:rPr>
        <w:t>“</w:t>
      </w:r>
      <w:r w:rsidR="00BB2DAA" w:rsidRPr="001005B7">
        <w:t>in</w:t>
      </w:r>
      <w:r w:rsidR="00BB2DAA" w:rsidRPr="001005B7">
        <w:rPr>
          <w:i/>
          <w:iCs/>
        </w:rPr>
        <w:t xml:space="preserve"> </w:t>
      </w:r>
      <w:r w:rsidR="00BB2DAA" w:rsidRPr="001005B7">
        <w:t>anger</w:t>
      </w:r>
      <w:r w:rsidR="00BB2DAA" w:rsidRPr="001005B7">
        <w:rPr>
          <w:i/>
          <w:iCs/>
        </w:rPr>
        <w:t xml:space="preserve"> </w:t>
      </w:r>
      <w:r w:rsidR="00BB2DAA" w:rsidRPr="001005B7">
        <w:t>and</w:t>
      </w:r>
      <w:r w:rsidR="00BB2DAA" w:rsidRPr="001005B7">
        <w:rPr>
          <w:i/>
          <w:iCs/>
        </w:rPr>
        <w:t xml:space="preserve"> </w:t>
      </w:r>
      <w:r w:rsidR="00BB2DAA" w:rsidRPr="001005B7">
        <w:t>in</w:t>
      </w:r>
      <w:r w:rsidR="00BB2DAA" w:rsidRPr="001005B7">
        <w:rPr>
          <w:i/>
          <w:iCs/>
        </w:rPr>
        <w:t xml:space="preserve"> </w:t>
      </w:r>
      <w:r w:rsidR="00BB2DAA" w:rsidRPr="001005B7">
        <w:t>fury</w:t>
      </w:r>
      <w:r w:rsidR="00BB2DAA" w:rsidRPr="001005B7">
        <w:rPr>
          <w:i/>
          <w:iCs/>
        </w:rPr>
        <w:t xml:space="preserve"> </w:t>
      </w:r>
      <w:r w:rsidR="00BB2DAA" w:rsidRPr="001005B7">
        <w:t>and</w:t>
      </w:r>
      <w:r w:rsidR="00367DBB" w:rsidRPr="001005B7">
        <w:t>.</w:t>
      </w:r>
      <w:r w:rsidR="003A1577" w:rsidRPr="001005B7">
        <w:t>”</w:t>
      </w:r>
      <w:r w:rsidR="0064682D" w:rsidRPr="001005B7">
        <w:t xml:space="preserve"> </w:t>
      </w:r>
      <w:r w:rsidR="005828D0" w:rsidRPr="001005B7">
        <w:t>4QEzek</w:t>
      </w:r>
      <w:r w:rsidR="005828D0" w:rsidRPr="001005B7">
        <w:rPr>
          <w:vertAlign w:val="superscript"/>
        </w:rPr>
        <w:t>b</w:t>
      </w:r>
      <w:r w:rsidR="005828D0" w:rsidRPr="001005B7">
        <w:t xml:space="preserve"> lacks the </w:t>
      </w:r>
      <w:r w:rsidR="005828D0" w:rsidRPr="001005B7">
        <w:rPr>
          <w:rFonts w:cstheme="minorHAnsi"/>
          <w:rtl/>
          <w:lang w:bidi="he-IL"/>
        </w:rPr>
        <w:t>ו</w:t>
      </w:r>
      <w:r w:rsidR="005828D0" w:rsidRPr="001005B7">
        <w:t xml:space="preserve"> “and” in </w:t>
      </w:r>
      <w:r w:rsidR="005828D0" w:rsidRPr="001005B7">
        <w:rPr>
          <w:rFonts w:cstheme="minorHAnsi"/>
          <w:rtl/>
          <w:lang w:bidi="he-IL"/>
        </w:rPr>
        <w:t>וּבְתֹכְחוֹת</w:t>
      </w:r>
      <w:r w:rsidR="005828D0" w:rsidRPr="001005B7">
        <w:t xml:space="preserve"> “and in chastisements.”</w:t>
      </w:r>
    </w:p>
    <w:p w14:paraId="75E5BA81" w14:textId="26EBA043" w:rsidR="007E2223" w:rsidRPr="001005B7" w:rsidRDefault="00150022" w:rsidP="00984A21">
      <w:pPr>
        <w:ind w:firstLine="0"/>
        <w:rPr>
          <w:rFonts w:cstheme="minorHAnsi"/>
        </w:rPr>
      </w:pPr>
      <w:r w:rsidRPr="001005B7">
        <w:rPr>
          <w:rFonts w:cstheme="minorHAnsi"/>
          <w:b/>
          <w:bCs/>
        </w:rPr>
        <w:t>5:17</w:t>
      </w:r>
      <w:r w:rsidR="00A00AE2" w:rsidRPr="001005B7">
        <w:rPr>
          <w:rFonts w:cstheme="minorHAnsi"/>
        </w:rPr>
        <w:t xml:space="preserve"> </w:t>
      </w:r>
      <w:r w:rsidR="0032401F" w:rsidRPr="001005B7">
        <w:t xml:space="preserve">For </w:t>
      </w:r>
      <w:r w:rsidR="0032401F" w:rsidRPr="001005B7">
        <w:rPr>
          <w:rFonts w:ascii="Calibri" w:hAnsi="Calibri" w:cs="Calibri"/>
          <w:rtl/>
          <w:lang w:bidi="he-IL"/>
        </w:rPr>
        <w:t>וְשׁׅכְל</w:t>
      </w:r>
      <w:r w:rsidR="007149E7" w:rsidRPr="001005B7">
        <w:rPr>
          <w:rFonts w:ascii="Calibri" w:hAnsi="Calibri" w:cs="Calibri"/>
          <w:rtl/>
          <w:lang w:bidi="he-IL"/>
        </w:rPr>
        <w:t>ֻ</w:t>
      </w:r>
      <w:r w:rsidR="00EF5707" w:rsidRPr="001005B7">
        <w:rPr>
          <w:rFonts w:ascii="Calibri" w:hAnsi="Calibri" w:cs="Calibri"/>
          <w:rtl/>
          <w:lang w:bidi="he-IL"/>
        </w:rPr>
        <w:t>ךְ</w:t>
      </w:r>
      <w:r w:rsidR="0032401F" w:rsidRPr="001005B7">
        <w:rPr>
          <w:rFonts w:ascii="Calibri" w:hAnsi="Calibri" w:cs="Calibri"/>
        </w:rPr>
        <w:t>,</w:t>
      </w:r>
      <w:r w:rsidR="0032401F" w:rsidRPr="001005B7">
        <w:t xml:space="preserve"> </w:t>
      </w:r>
      <w:r w:rsidR="00EF5707" w:rsidRPr="001005B7">
        <w:t>“and they will bereave you, “</w:t>
      </w:r>
      <w:r w:rsidR="00BE6D39" w:rsidRPr="001005B7">
        <w:t xml:space="preserve"> </w:t>
      </w:r>
      <w:r w:rsidR="00D576E0" w:rsidRPr="001005B7">
        <w:rPr>
          <w:sz w:val="18"/>
          <w:szCs w:val="18"/>
        </w:rPr>
        <w:t>LXX</w:t>
      </w:r>
      <w:r w:rsidR="00D576E0" w:rsidRPr="001005B7">
        <w:t xml:space="preserve"> </w:t>
      </w:r>
      <w:r w:rsidR="0032401F" w:rsidRPr="001005B7">
        <w:t>has “</w:t>
      </w:r>
      <w:r w:rsidR="00BE6D39" w:rsidRPr="001005B7">
        <w:t xml:space="preserve">and </w:t>
      </w:r>
      <w:r w:rsidR="0032401F" w:rsidRPr="001005B7">
        <w:t xml:space="preserve">I </w:t>
      </w:r>
      <w:r w:rsidR="00BE6D39" w:rsidRPr="001005B7">
        <w:t xml:space="preserve">will </w:t>
      </w:r>
      <w:r w:rsidR="0032401F" w:rsidRPr="001005B7">
        <w:t xml:space="preserve">take vengeance on </w:t>
      </w:r>
      <w:r w:rsidR="001A47EA" w:rsidRPr="001005B7">
        <w:t>you</w:t>
      </w:r>
      <w:r w:rsidR="004B0C83" w:rsidRPr="001005B7">
        <w:t xml:space="preserve">” (cf. </w:t>
      </w:r>
      <w:r w:rsidR="00B677EC" w:rsidRPr="001005B7">
        <w:t>14:15).</w:t>
      </w:r>
    </w:p>
    <w:p w14:paraId="56AA6F50" w14:textId="7ABC0250" w:rsidR="00F44FAB" w:rsidRPr="001005B7" w:rsidRDefault="005A2CA8" w:rsidP="00493833">
      <w:pPr>
        <w:pStyle w:val="Heading3"/>
      </w:pPr>
      <w:r w:rsidRPr="001005B7">
        <w:t>Verse-by-Verse Commentary</w:t>
      </w:r>
    </w:p>
    <w:p w14:paraId="310D5098" w14:textId="47C253DB" w:rsidR="00BA7D63" w:rsidRPr="001005B7" w:rsidRDefault="00BF7472" w:rsidP="001E4CEB">
      <w:r w:rsidRPr="001005B7">
        <w:rPr>
          <w:b/>
          <w:bCs/>
        </w:rPr>
        <w:t xml:space="preserve">5:5 </w:t>
      </w:r>
      <w:r w:rsidR="00D916D3" w:rsidRPr="001005B7">
        <w:t>Yahweh’s opening two words</w:t>
      </w:r>
      <w:r w:rsidR="0051384E" w:rsidRPr="001005B7">
        <w:t xml:space="preserve">, </w:t>
      </w:r>
      <w:r w:rsidR="00B11266" w:rsidRPr="001005B7">
        <w:t>“</w:t>
      </w:r>
      <w:r w:rsidR="00B775D5" w:rsidRPr="001005B7">
        <w:t xml:space="preserve">This </w:t>
      </w:r>
      <w:r w:rsidR="0051384E" w:rsidRPr="001005B7">
        <w:t>Jerusalem</w:t>
      </w:r>
      <w:r w:rsidR="00B11266" w:rsidRPr="001005B7">
        <w:t>,”</w:t>
      </w:r>
      <w:r w:rsidR="0051384E" w:rsidRPr="001005B7">
        <w:rPr>
          <w:i/>
          <w:iCs/>
        </w:rPr>
        <w:t xml:space="preserve"> </w:t>
      </w:r>
      <w:r w:rsidR="002C5A09" w:rsidRPr="001005B7">
        <w:t>m</w:t>
      </w:r>
      <w:r w:rsidR="008C0E29" w:rsidRPr="001005B7">
        <w:t>ake explicit</w:t>
      </w:r>
      <w:r w:rsidR="002C5A09" w:rsidRPr="001005B7">
        <w:t xml:space="preserve"> the </w:t>
      </w:r>
      <w:r w:rsidR="00E67090" w:rsidRPr="001005B7">
        <w:t>subject of what</w:t>
      </w:r>
      <w:r w:rsidR="001E4AC5" w:rsidRPr="001005B7">
        <w:t xml:space="preserve"> has</w:t>
      </w:r>
      <w:r w:rsidR="00E67090" w:rsidRPr="001005B7">
        <w:t xml:space="preserve"> precede</w:t>
      </w:r>
      <w:r w:rsidR="001E4AC5" w:rsidRPr="001005B7">
        <w:t>d</w:t>
      </w:r>
      <w:r w:rsidR="000714AB" w:rsidRPr="001005B7">
        <w:t>. “</w:t>
      </w:r>
      <w:r w:rsidR="00F552E0" w:rsidRPr="001005B7">
        <w:rPr>
          <w:rFonts w:ascii="Calibri" w:hAnsi="Calibri" w:cs="Calibri"/>
        </w:rPr>
        <w:t xml:space="preserve">The terse phrase </w:t>
      </w:r>
      <w:r w:rsidR="00A67A8E" w:rsidRPr="001005B7">
        <w:rPr>
          <w:rFonts w:cstheme="minorHAnsi"/>
          <w:lang w:eastAsia="en-GB"/>
        </w:rPr>
        <w:t>…</w:t>
      </w:r>
      <w:r w:rsidR="00F552E0" w:rsidRPr="001005B7">
        <w:rPr>
          <w:rFonts w:ascii="Calibri" w:hAnsi="Calibri" w:cs="Calibri"/>
        </w:rPr>
        <w:t xml:space="preserve"> cuts off at a single stroke</w:t>
      </w:r>
      <w:r w:rsidR="000714AB" w:rsidRPr="001005B7">
        <w:rPr>
          <w:rFonts w:ascii="Calibri" w:hAnsi="Calibri" w:cs="Calibri"/>
        </w:rPr>
        <w:t xml:space="preserve"> </w:t>
      </w:r>
      <w:r w:rsidR="00F552E0" w:rsidRPr="001005B7">
        <w:rPr>
          <w:rFonts w:ascii="Calibri" w:hAnsi="Calibri" w:cs="Calibri"/>
        </w:rPr>
        <w:t>all the hopes that the menacing symbolic acts must be aimed against</w:t>
      </w:r>
      <w:r w:rsidR="000714AB" w:rsidRPr="001005B7">
        <w:rPr>
          <w:rFonts w:ascii="Calibri" w:hAnsi="Calibri" w:cs="Calibri"/>
        </w:rPr>
        <w:t xml:space="preserve"> </w:t>
      </w:r>
      <w:r w:rsidR="00F552E0" w:rsidRPr="001005B7">
        <w:rPr>
          <w:rFonts w:ascii="Calibri" w:hAnsi="Calibri" w:cs="Calibri"/>
        </w:rPr>
        <w:t>the tyrant city of</w:t>
      </w:r>
      <w:r w:rsidR="00F552E0" w:rsidRPr="001005B7">
        <w:rPr>
          <w:rFonts w:cstheme="minorHAnsi"/>
        </w:rPr>
        <w:t xml:space="preserve"> Babylon</w:t>
      </w:r>
      <w:r w:rsidR="0092123D" w:rsidRPr="001005B7">
        <w:rPr>
          <w:rFonts w:cstheme="minorHAnsi"/>
        </w:rPr>
        <w:t xml:space="preserve">” </w:t>
      </w:r>
      <w:r w:rsidR="00CF1AF2" w:rsidRPr="001005B7">
        <w:rPr>
          <w:rFonts w:cstheme="minorHAnsi"/>
        </w:rPr>
        <w:t>(</w:t>
      </w:r>
      <w:proofErr w:type="spellStart"/>
      <w:r w:rsidR="00CF1AF2" w:rsidRPr="001005B7">
        <w:rPr>
          <w:rFonts w:cstheme="minorHAnsi"/>
        </w:rPr>
        <w:t>Eichrodt</w:t>
      </w:r>
      <w:proofErr w:type="spellEnd"/>
      <w:r w:rsidR="00B11266" w:rsidRPr="001005B7">
        <w:rPr>
          <w:rFonts w:cstheme="minorHAnsi"/>
        </w:rPr>
        <w:t>,</w:t>
      </w:r>
      <w:r w:rsidR="00CF1AF2" w:rsidRPr="001005B7">
        <w:rPr>
          <w:rFonts w:cstheme="minorHAnsi"/>
        </w:rPr>
        <w:t xml:space="preserve"> 87</w:t>
      </w:r>
      <w:r w:rsidR="00F46900" w:rsidRPr="001005B7">
        <w:rPr>
          <w:rFonts w:cstheme="minorHAnsi"/>
        </w:rPr>
        <w:t>–</w:t>
      </w:r>
      <w:r w:rsidR="00CF1AF2" w:rsidRPr="001005B7">
        <w:rPr>
          <w:rFonts w:cstheme="minorHAnsi"/>
        </w:rPr>
        <w:t>88)</w:t>
      </w:r>
      <w:r w:rsidR="00F552E0" w:rsidRPr="001005B7">
        <w:rPr>
          <w:rFonts w:cstheme="minorHAnsi"/>
        </w:rPr>
        <w:t>.</w:t>
      </w:r>
      <w:r w:rsidR="00EC1DAB" w:rsidRPr="001005B7">
        <w:rPr>
          <w:rFonts w:cstheme="minorHAnsi"/>
        </w:rPr>
        <w:t xml:space="preserve"> </w:t>
      </w:r>
      <w:r w:rsidR="005E2B17" w:rsidRPr="001005B7">
        <w:t xml:space="preserve">Yahweh’s recollecting that he </w:t>
      </w:r>
      <w:r w:rsidR="006A2FDF" w:rsidRPr="001005B7">
        <w:t>set</w:t>
      </w:r>
      <w:r w:rsidR="00320493" w:rsidRPr="001005B7">
        <w:t xml:space="preserve"> Jerusalem</w:t>
      </w:r>
      <w:r w:rsidR="00A70CDD" w:rsidRPr="001005B7">
        <w:t xml:space="preserve"> </w:t>
      </w:r>
      <w:r w:rsidR="00BC3002" w:rsidRPr="001005B7">
        <w:t>“</w:t>
      </w:r>
      <w:r w:rsidR="00A70CDD" w:rsidRPr="001005B7">
        <w:t>a</w:t>
      </w:r>
      <w:r w:rsidR="009C3E15" w:rsidRPr="001005B7">
        <w:t>mong</w:t>
      </w:r>
      <w:r w:rsidR="009C3E15" w:rsidRPr="001005B7">
        <w:rPr>
          <w:i/>
          <w:iCs/>
        </w:rPr>
        <w:t xml:space="preserve"> </w:t>
      </w:r>
      <w:r w:rsidR="009C3E15" w:rsidRPr="001005B7">
        <w:t>the</w:t>
      </w:r>
      <w:r w:rsidR="009C3E15" w:rsidRPr="001005B7">
        <w:rPr>
          <w:i/>
          <w:iCs/>
        </w:rPr>
        <w:t xml:space="preserve"> </w:t>
      </w:r>
      <w:r w:rsidR="009C3E15" w:rsidRPr="001005B7">
        <w:t>nations</w:t>
      </w:r>
      <w:r w:rsidR="00BC3002" w:rsidRPr="001005B7">
        <w:t>”</w:t>
      </w:r>
      <w:r w:rsidR="009C3E15" w:rsidRPr="001005B7">
        <w:rPr>
          <w:i/>
          <w:iCs/>
        </w:rPr>
        <w:t xml:space="preserve"> </w:t>
      </w:r>
      <w:r w:rsidR="009C3E15" w:rsidRPr="001005B7">
        <w:t>is a commonplace</w:t>
      </w:r>
      <w:r w:rsidR="00587F58" w:rsidRPr="001005B7">
        <w:rPr>
          <w:rFonts w:cstheme="minorHAnsi"/>
        </w:rPr>
        <w:t xml:space="preserve"> </w:t>
      </w:r>
      <w:r w:rsidR="009C3E15" w:rsidRPr="001005B7">
        <w:rPr>
          <w:rFonts w:cstheme="minorHAnsi"/>
        </w:rPr>
        <w:t xml:space="preserve">form of </w:t>
      </w:r>
      <w:r w:rsidR="00361A87" w:rsidRPr="001005B7">
        <w:rPr>
          <w:rFonts w:cstheme="minorHAnsi"/>
        </w:rPr>
        <w:t>expression</w:t>
      </w:r>
      <w:r w:rsidR="00587F58" w:rsidRPr="001005B7">
        <w:rPr>
          <w:rFonts w:cstheme="minorHAnsi"/>
        </w:rPr>
        <w:t xml:space="preserve"> </w:t>
      </w:r>
      <w:r w:rsidR="00591626" w:rsidRPr="001005B7">
        <w:rPr>
          <w:rFonts w:cstheme="minorHAnsi"/>
        </w:rPr>
        <w:t>that</w:t>
      </w:r>
      <w:r w:rsidR="00587F58" w:rsidRPr="001005B7">
        <w:t xml:space="preserve"> in itself simply points to something down to earth</w:t>
      </w:r>
      <w:r w:rsidR="00FA3620" w:rsidRPr="001005B7">
        <w:t>, that</w:t>
      </w:r>
      <w:r w:rsidR="00587F58" w:rsidRPr="001005B7">
        <w:t xml:space="preserve"> Jerusalem is not an island.</w:t>
      </w:r>
      <w:r w:rsidR="00D51598" w:rsidRPr="001005B7">
        <w:t xml:space="preserve"> </w:t>
      </w:r>
      <w:r w:rsidR="004F7B0A" w:rsidRPr="001005B7">
        <w:t>The double expression</w:t>
      </w:r>
      <w:r w:rsidR="00AF2BE0" w:rsidRPr="001005B7">
        <w:t xml:space="preserve"> </w:t>
      </w:r>
      <w:r w:rsidR="00BC3002" w:rsidRPr="001005B7">
        <w:t>“</w:t>
      </w:r>
      <w:r w:rsidR="00B95F05" w:rsidRPr="001005B7">
        <w:t>among</w:t>
      </w:r>
      <w:r w:rsidR="00B95F05" w:rsidRPr="001005B7">
        <w:rPr>
          <w:i/>
          <w:iCs/>
        </w:rPr>
        <w:t xml:space="preserve"> </w:t>
      </w:r>
      <w:r w:rsidR="00B95F05" w:rsidRPr="001005B7">
        <w:t>the</w:t>
      </w:r>
      <w:r w:rsidR="00B95F05" w:rsidRPr="001005B7">
        <w:rPr>
          <w:i/>
          <w:iCs/>
        </w:rPr>
        <w:t xml:space="preserve"> </w:t>
      </w:r>
      <w:r w:rsidR="00B95F05" w:rsidRPr="001005B7">
        <w:t>nations, with</w:t>
      </w:r>
      <w:r w:rsidR="00B95F05" w:rsidRPr="001005B7">
        <w:rPr>
          <w:i/>
          <w:iCs/>
        </w:rPr>
        <w:t xml:space="preserve"> </w:t>
      </w:r>
      <w:r w:rsidR="00B95F05" w:rsidRPr="001005B7">
        <w:t>countries</w:t>
      </w:r>
      <w:r w:rsidR="00B95F05" w:rsidRPr="001005B7">
        <w:rPr>
          <w:i/>
          <w:iCs/>
        </w:rPr>
        <w:t xml:space="preserve"> </w:t>
      </w:r>
      <w:r w:rsidR="00B95F05" w:rsidRPr="001005B7">
        <w:t>around</w:t>
      </w:r>
      <w:r w:rsidR="00B95F05" w:rsidRPr="001005B7">
        <w:rPr>
          <w:i/>
          <w:iCs/>
        </w:rPr>
        <w:t xml:space="preserve"> </w:t>
      </w:r>
      <w:r w:rsidR="00B95F05" w:rsidRPr="001005B7">
        <w:t>it,</w:t>
      </w:r>
      <w:r w:rsidR="00752110" w:rsidRPr="001005B7">
        <w:t>”</w:t>
      </w:r>
      <w:r w:rsidR="00B95F05" w:rsidRPr="001005B7">
        <w:t xml:space="preserve"> </w:t>
      </w:r>
      <w:r w:rsidR="00AF2BE0" w:rsidRPr="001005B7">
        <w:t xml:space="preserve">recurs in Ezekiel (e.g., 6:8; 11:16; 12:15) </w:t>
      </w:r>
      <w:r w:rsidR="00BE7A50" w:rsidRPr="001005B7">
        <w:t xml:space="preserve">and underlines </w:t>
      </w:r>
      <w:r w:rsidR="0018371E" w:rsidRPr="001005B7">
        <w:t>its</w:t>
      </w:r>
      <w:r w:rsidR="00BE7A50" w:rsidRPr="001005B7">
        <w:t xml:space="preserve"> point</w:t>
      </w:r>
      <w:r w:rsidR="00142896" w:rsidRPr="001005B7">
        <w:t xml:space="preserve"> (</w:t>
      </w:r>
      <w:proofErr w:type="spellStart"/>
      <w:r w:rsidR="00142896" w:rsidRPr="001005B7">
        <w:t>Zimmerli</w:t>
      </w:r>
      <w:proofErr w:type="spellEnd"/>
      <w:r w:rsidR="00710EA6" w:rsidRPr="001005B7">
        <w:t>,</w:t>
      </w:r>
      <w:r w:rsidR="00142896" w:rsidRPr="001005B7">
        <w:t xml:space="preserve"> 1:174).</w:t>
      </w:r>
      <w:r w:rsidR="00BE7A50" w:rsidRPr="001005B7">
        <w:t xml:space="preserve"> </w:t>
      </w:r>
      <w:r w:rsidR="0018371E" w:rsidRPr="001005B7">
        <w:t xml:space="preserve">Yet the expression is pregnant but tantalizing </w:t>
      </w:r>
      <w:r w:rsidR="000B0E76" w:rsidRPr="001005B7">
        <w:t>in light of later statements</w:t>
      </w:r>
      <w:r w:rsidR="00396C83" w:rsidRPr="001005B7">
        <w:t xml:space="preserve">. </w:t>
      </w:r>
      <w:r w:rsidR="00BE7A50" w:rsidRPr="001005B7">
        <w:t>Jerusalem</w:t>
      </w:r>
      <w:r w:rsidR="00B04588" w:rsidRPr="001005B7">
        <w:t xml:space="preserve"> </w:t>
      </w:r>
      <w:r w:rsidR="00A0722D" w:rsidRPr="001005B7">
        <w:t xml:space="preserve">earned fame </w:t>
      </w:r>
      <w:r w:rsidR="00576A79" w:rsidRPr="001005B7">
        <w:t>with</w:t>
      </w:r>
      <w:r w:rsidR="00A0722D" w:rsidRPr="001005B7">
        <w:t xml:space="preserve"> the nations </w:t>
      </w:r>
      <w:r w:rsidR="00576A79" w:rsidRPr="001005B7">
        <w:t>(16:</w:t>
      </w:r>
      <w:r w:rsidR="0010563C" w:rsidRPr="001005B7">
        <w:t xml:space="preserve">14) and </w:t>
      </w:r>
      <w:r w:rsidR="000B3CF9" w:rsidRPr="001005B7">
        <w:t xml:space="preserve">sits at </w:t>
      </w:r>
      <w:r w:rsidR="002E5BF3" w:rsidRPr="001005B7">
        <w:t>earth’s</w:t>
      </w:r>
      <w:r w:rsidR="007D6085" w:rsidRPr="001005B7">
        <w:t xml:space="preserve"> </w:t>
      </w:r>
      <w:r w:rsidR="00B04588" w:rsidRPr="001005B7">
        <w:t>center or height</w:t>
      </w:r>
      <w:r w:rsidR="007D6085" w:rsidRPr="001005B7">
        <w:t xml:space="preserve"> (</w:t>
      </w:r>
      <w:r w:rsidR="00D57C36" w:rsidRPr="001005B7">
        <w:rPr>
          <w:rFonts w:cstheme="minorHAnsi"/>
          <w:rtl/>
          <w:lang w:bidi="he-IL"/>
        </w:rPr>
        <w:t>טַב</w:t>
      </w:r>
      <w:r w:rsidR="002404AA" w:rsidRPr="001005B7">
        <w:rPr>
          <w:rFonts w:cstheme="minorHAnsi"/>
          <w:rtl/>
          <w:lang w:bidi="he-IL"/>
        </w:rPr>
        <w:t>ּוּר</w:t>
      </w:r>
      <w:r w:rsidR="007D6085" w:rsidRPr="001005B7">
        <w:rPr>
          <w:rFonts w:cstheme="minorHAnsi"/>
        </w:rPr>
        <w:t>; 38:12)</w:t>
      </w:r>
      <w:r w:rsidR="00D634A2" w:rsidRPr="001005B7">
        <w:rPr>
          <w:rFonts w:cstheme="minorHAnsi"/>
        </w:rPr>
        <w:t>. It is the place where the God of all the earth deigns to dwell</w:t>
      </w:r>
      <w:r w:rsidR="004B0D15" w:rsidRPr="001005B7">
        <w:rPr>
          <w:rFonts w:cstheme="minorHAnsi"/>
        </w:rPr>
        <w:t xml:space="preserve"> and from which his teaching is destined to go out to all the world. </w:t>
      </w:r>
      <w:r w:rsidR="000050E4" w:rsidRPr="001005B7">
        <w:t>The note</w:t>
      </w:r>
      <w:r w:rsidR="001A3926" w:rsidRPr="001005B7">
        <w:t xml:space="preserve"> might make </w:t>
      </w:r>
      <w:r w:rsidR="00F61DA1" w:rsidRPr="001005B7">
        <w:t xml:space="preserve">some </w:t>
      </w:r>
      <w:r w:rsidR="007A0A54" w:rsidRPr="001005B7">
        <w:t xml:space="preserve">readers </w:t>
      </w:r>
      <w:r w:rsidR="001A3926" w:rsidRPr="001005B7">
        <w:t xml:space="preserve">think of </w:t>
      </w:r>
      <w:r w:rsidR="000050E4" w:rsidRPr="001005B7">
        <w:t>Jerusalem’s</w:t>
      </w:r>
      <w:r w:rsidR="001A3926" w:rsidRPr="001005B7">
        <w:t xml:space="preserve"> geographical location at the c</w:t>
      </w:r>
      <w:r w:rsidR="003C6B2F" w:rsidRPr="001005B7">
        <w:t xml:space="preserve">rossover point between Africa, </w:t>
      </w:r>
      <w:r w:rsidR="00421E5F" w:rsidRPr="001005B7">
        <w:t>Turkey/</w:t>
      </w:r>
      <w:r w:rsidR="003C6B2F" w:rsidRPr="001005B7">
        <w:t xml:space="preserve">Europe, and Asia, or </w:t>
      </w:r>
      <w:r w:rsidR="00A66C62" w:rsidRPr="001005B7">
        <w:t>reflect on</w:t>
      </w:r>
      <w:r w:rsidR="003F0525" w:rsidRPr="001005B7">
        <w:t xml:space="preserve"> the theological or vocational point that the geography </w:t>
      </w:r>
      <w:r w:rsidR="00EF2763" w:rsidRPr="001005B7">
        <w:t>could</w:t>
      </w:r>
      <w:r w:rsidR="003F0525" w:rsidRPr="001005B7">
        <w:t xml:space="preserve"> symbolize</w:t>
      </w:r>
      <w:r w:rsidR="00A32CAD" w:rsidRPr="001005B7">
        <w:t xml:space="preserve"> (Isa 2:2</w:t>
      </w:r>
      <w:r w:rsidR="00F46900" w:rsidRPr="001005B7">
        <w:t>–</w:t>
      </w:r>
      <w:r w:rsidR="00A32CAD" w:rsidRPr="001005B7">
        <w:t>4)</w:t>
      </w:r>
      <w:r w:rsidR="004F077B" w:rsidRPr="001005B7">
        <w:t xml:space="preserve">. </w:t>
      </w:r>
      <w:r w:rsidR="006E728E" w:rsidRPr="001005B7">
        <w:t>What nation has rulings as impressive as Israel’s? (Deut 4:</w:t>
      </w:r>
      <w:r w:rsidR="009909BD" w:rsidRPr="001005B7">
        <w:t>6</w:t>
      </w:r>
      <w:r w:rsidR="00F46900" w:rsidRPr="001005B7">
        <w:t>–</w:t>
      </w:r>
      <w:r w:rsidR="006E728E" w:rsidRPr="001005B7">
        <w:t>8).</w:t>
      </w:r>
      <w:r w:rsidR="006A0C54" w:rsidRPr="001005B7">
        <w:t xml:space="preserve"> </w:t>
      </w:r>
      <w:r w:rsidR="00514542" w:rsidRPr="001005B7">
        <w:t xml:space="preserve">Yahweh’s recollection </w:t>
      </w:r>
      <w:r w:rsidR="00B12DBE" w:rsidRPr="001005B7">
        <w:t xml:space="preserve">might </w:t>
      </w:r>
      <w:r w:rsidR="006A0C54" w:rsidRPr="001005B7">
        <w:t xml:space="preserve">also </w:t>
      </w:r>
      <w:r w:rsidR="00727DFB" w:rsidRPr="001005B7">
        <w:t xml:space="preserve">remind </w:t>
      </w:r>
      <w:r w:rsidR="00E45842" w:rsidRPr="001005B7">
        <w:t>people</w:t>
      </w:r>
      <w:r w:rsidR="00727DFB" w:rsidRPr="001005B7">
        <w:t xml:space="preserve"> of the city’s situation of temptation, </w:t>
      </w:r>
      <w:r w:rsidR="00A21E06" w:rsidRPr="001005B7">
        <w:t xml:space="preserve">of the </w:t>
      </w:r>
      <w:r w:rsidR="00451AD3" w:rsidRPr="001005B7">
        <w:t>danger</w:t>
      </w:r>
      <w:r w:rsidR="00A21E06" w:rsidRPr="001005B7">
        <w:t xml:space="preserve"> th</w:t>
      </w:r>
      <w:r w:rsidR="00E45842" w:rsidRPr="001005B7">
        <w:t>at</w:t>
      </w:r>
      <w:r w:rsidR="00A21E06" w:rsidRPr="001005B7">
        <w:t xml:space="preserve"> nations and countries could lead the city astray and</w:t>
      </w:r>
      <w:r w:rsidR="00AD1314" w:rsidRPr="001005B7">
        <w:t xml:space="preserve"> of the way</w:t>
      </w:r>
      <w:r w:rsidR="00A21E06" w:rsidRPr="001005B7">
        <w:t xml:space="preserve"> their temptations need</w:t>
      </w:r>
      <w:r w:rsidR="00AD1314" w:rsidRPr="001005B7">
        <w:t>ed</w:t>
      </w:r>
      <w:r w:rsidR="00A21E06" w:rsidRPr="001005B7">
        <w:t xml:space="preserve"> to be resisted</w:t>
      </w:r>
      <w:r w:rsidR="002422FD" w:rsidRPr="001005B7">
        <w:t xml:space="preserve"> (e.g., </w:t>
      </w:r>
      <w:r w:rsidR="00A75B67" w:rsidRPr="001005B7">
        <w:t xml:space="preserve">Lev </w:t>
      </w:r>
      <w:r w:rsidR="00A12192" w:rsidRPr="001005B7">
        <w:t>18:3</w:t>
      </w:r>
      <w:r w:rsidR="00F46900" w:rsidRPr="001005B7">
        <w:t>–</w:t>
      </w:r>
      <w:r w:rsidR="00A12192" w:rsidRPr="001005B7">
        <w:t xml:space="preserve">4; </w:t>
      </w:r>
      <w:r w:rsidR="00FE2D76" w:rsidRPr="001005B7">
        <w:t>20:</w:t>
      </w:r>
      <w:r w:rsidR="00F41382" w:rsidRPr="001005B7">
        <w:t>22</w:t>
      </w:r>
      <w:r w:rsidR="00F46900" w:rsidRPr="001005B7">
        <w:t>–</w:t>
      </w:r>
      <w:r w:rsidR="00FE2D76" w:rsidRPr="001005B7">
        <w:t>23</w:t>
      </w:r>
      <w:r w:rsidR="00F41382" w:rsidRPr="001005B7">
        <w:t xml:space="preserve">; </w:t>
      </w:r>
      <w:r w:rsidR="002422FD" w:rsidRPr="001005B7">
        <w:t xml:space="preserve">Deut </w:t>
      </w:r>
      <w:r w:rsidR="003E607A" w:rsidRPr="001005B7">
        <w:t>12:</w:t>
      </w:r>
      <w:r w:rsidR="00F53BE1" w:rsidRPr="001005B7">
        <w:t>30</w:t>
      </w:r>
      <w:r w:rsidR="00F46900" w:rsidRPr="001005B7">
        <w:t>–</w:t>
      </w:r>
      <w:r w:rsidR="00F53BE1" w:rsidRPr="001005B7">
        <w:t>31</w:t>
      </w:r>
      <w:r w:rsidR="007138EB" w:rsidRPr="001005B7">
        <w:t>)</w:t>
      </w:r>
      <w:r w:rsidR="00A21E06" w:rsidRPr="001005B7">
        <w:t>.</w:t>
      </w:r>
      <w:r w:rsidR="003C7A80" w:rsidRPr="001005B7">
        <w:t xml:space="preserve"> </w:t>
      </w:r>
    </w:p>
    <w:p w14:paraId="4EDC3FC6" w14:textId="1551D3C6" w:rsidR="001E4CEB" w:rsidRPr="001005B7" w:rsidRDefault="00EA3565" w:rsidP="00490384">
      <w:pPr>
        <w:rPr>
          <w:rFonts w:cstheme="minorHAnsi"/>
        </w:rPr>
      </w:pPr>
      <w:r w:rsidRPr="001005B7">
        <w:rPr>
          <w:b/>
          <w:bCs/>
        </w:rPr>
        <w:t>5:6</w:t>
      </w:r>
      <w:r w:rsidR="00BA7D63" w:rsidRPr="001005B7">
        <w:rPr>
          <w:b/>
          <w:bCs/>
        </w:rPr>
        <w:t xml:space="preserve"> </w:t>
      </w:r>
      <w:r w:rsidRPr="001005B7">
        <w:t>Yahweh goes on</w:t>
      </w:r>
      <w:r w:rsidR="004D7CE0" w:rsidRPr="001005B7">
        <w:t xml:space="preserve"> </w:t>
      </w:r>
      <w:r w:rsidRPr="001005B7">
        <w:t>to</w:t>
      </w:r>
      <w:r w:rsidR="003C7A80" w:rsidRPr="001005B7">
        <w:t xml:space="preserve"> make </w:t>
      </w:r>
      <w:r w:rsidR="00AD1314" w:rsidRPr="001005B7">
        <w:t xml:space="preserve">his </w:t>
      </w:r>
      <w:r w:rsidR="00044A80" w:rsidRPr="001005B7">
        <w:t>allusion</w:t>
      </w:r>
      <w:r w:rsidR="003C7A80" w:rsidRPr="001005B7">
        <w:t xml:space="preserve"> </w:t>
      </w:r>
      <w:r w:rsidR="008C47DB" w:rsidRPr="001005B7">
        <w:t xml:space="preserve">explicitly </w:t>
      </w:r>
      <w:r w:rsidR="003C7A80" w:rsidRPr="001005B7">
        <w:t>humiliatin</w:t>
      </w:r>
      <w:r w:rsidR="001810E0" w:rsidRPr="001005B7">
        <w:t xml:space="preserve">g. If Jerusalem was </w:t>
      </w:r>
      <w:r w:rsidR="00044A80" w:rsidRPr="001005B7">
        <w:t xml:space="preserve">supposed </w:t>
      </w:r>
      <w:r w:rsidR="001810E0" w:rsidRPr="001005B7">
        <w:t xml:space="preserve">to resist the nations’ temptation or </w:t>
      </w:r>
      <w:r w:rsidR="000412C1" w:rsidRPr="001005B7">
        <w:t xml:space="preserve">to </w:t>
      </w:r>
      <w:r w:rsidR="001810E0" w:rsidRPr="001005B7">
        <w:t xml:space="preserve">witness to </w:t>
      </w:r>
      <w:r w:rsidR="00EA4CCB" w:rsidRPr="001005B7">
        <w:t xml:space="preserve">the impressiveness of </w:t>
      </w:r>
      <w:r w:rsidR="001810E0" w:rsidRPr="001005B7">
        <w:t>Yahweh’s</w:t>
      </w:r>
      <w:r w:rsidR="00EA4CCB" w:rsidRPr="001005B7">
        <w:t xml:space="preserve"> revelation, it </w:t>
      </w:r>
      <w:r w:rsidR="00154867" w:rsidRPr="001005B7">
        <w:t xml:space="preserve">has </w:t>
      </w:r>
      <w:r w:rsidR="00EA4CCB" w:rsidRPr="001005B7">
        <w:t xml:space="preserve">failed cataclysmically. </w:t>
      </w:r>
      <w:r w:rsidR="00AE64A7" w:rsidRPr="001005B7">
        <w:t xml:space="preserve">People such as the Philistines (!) will be appalled at </w:t>
      </w:r>
      <w:r w:rsidR="00A77542" w:rsidRPr="001005B7">
        <w:t>Jerusalem’s b</w:t>
      </w:r>
      <w:r w:rsidR="002A2856" w:rsidRPr="001005B7">
        <w:t>e</w:t>
      </w:r>
      <w:r w:rsidR="00A77542" w:rsidRPr="001005B7">
        <w:t>havior (16:</w:t>
      </w:r>
      <w:r w:rsidR="00A673CD" w:rsidRPr="001005B7">
        <w:t xml:space="preserve">27). </w:t>
      </w:r>
      <w:r w:rsidR="00CB58E1" w:rsidRPr="001005B7">
        <w:t xml:space="preserve">Yahweh </w:t>
      </w:r>
      <w:r w:rsidR="00A673CD" w:rsidRPr="001005B7">
        <w:t xml:space="preserve">here </w:t>
      </w:r>
      <w:r w:rsidR="00CB58E1" w:rsidRPr="001005B7">
        <w:t>p</w:t>
      </w:r>
      <w:r w:rsidR="00AB2AFE" w:rsidRPr="001005B7">
        <w:t>ick</w:t>
      </w:r>
      <w:r w:rsidR="00CB58E1" w:rsidRPr="001005B7">
        <w:t>s</w:t>
      </w:r>
      <w:r w:rsidR="00AB2AFE" w:rsidRPr="001005B7">
        <w:t xml:space="preserve"> up </w:t>
      </w:r>
      <w:r w:rsidR="00874FEA" w:rsidRPr="001005B7">
        <w:t xml:space="preserve">his description of </w:t>
      </w:r>
      <w:r w:rsidR="00BC2088" w:rsidRPr="001005B7">
        <w:t>Israel</w:t>
      </w:r>
      <w:r w:rsidR="00874FEA" w:rsidRPr="001005B7">
        <w:t xml:space="preserve"> as a </w:t>
      </w:r>
      <w:r w:rsidR="00B955A8" w:rsidRPr="001005B7">
        <w:t>“</w:t>
      </w:r>
      <w:r w:rsidR="00874FEA" w:rsidRPr="001005B7">
        <w:t>household</w:t>
      </w:r>
      <w:r w:rsidR="00874FEA" w:rsidRPr="001005B7">
        <w:rPr>
          <w:i/>
          <w:iCs/>
        </w:rPr>
        <w:t xml:space="preserve"> </w:t>
      </w:r>
      <w:r w:rsidR="00874FEA" w:rsidRPr="001005B7">
        <w:t>of</w:t>
      </w:r>
      <w:r w:rsidR="00874FEA" w:rsidRPr="001005B7">
        <w:rPr>
          <w:i/>
          <w:iCs/>
        </w:rPr>
        <w:t xml:space="preserve"> </w:t>
      </w:r>
      <w:r w:rsidR="00874FEA" w:rsidRPr="001005B7">
        <w:t>rebellion</w:t>
      </w:r>
      <w:r w:rsidR="00B955A8" w:rsidRPr="001005B7">
        <w:t>”</w:t>
      </w:r>
      <w:r w:rsidR="00874FEA" w:rsidRPr="001005B7">
        <w:rPr>
          <w:i/>
          <w:iCs/>
        </w:rPr>
        <w:t xml:space="preserve"> </w:t>
      </w:r>
      <w:r w:rsidR="00874FEA" w:rsidRPr="001005B7">
        <w:t>(2:</w:t>
      </w:r>
      <w:r w:rsidR="00487C1A" w:rsidRPr="001005B7">
        <w:t>5, 6, 8; 3:9</w:t>
      </w:r>
      <w:r w:rsidR="00566A3B" w:rsidRPr="001005B7">
        <w:t>, 26, 27; see also 2:7)</w:t>
      </w:r>
      <w:r w:rsidR="00CB58E1" w:rsidRPr="001005B7">
        <w:t xml:space="preserve"> </w:t>
      </w:r>
      <w:r w:rsidR="007873DC" w:rsidRPr="001005B7">
        <w:t>a</w:t>
      </w:r>
      <w:r w:rsidR="00CB58E1" w:rsidRPr="001005B7">
        <w:t>nd his reference</w:t>
      </w:r>
      <w:r w:rsidR="007873DC" w:rsidRPr="001005B7">
        <w:t>s</w:t>
      </w:r>
      <w:r w:rsidR="00CB58E1" w:rsidRPr="001005B7">
        <w:t xml:space="preserve"> to </w:t>
      </w:r>
      <w:r w:rsidR="002442FB" w:rsidRPr="001005B7">
        <w:t>“</w:t>
      </w:r>
      <w:r w:rsidR="00CB58E1" w:rsidRPr="001005B7">
        <w:t>f</w:t>
      </w:r>
      <w:r w:rsidR="007873DC" w:rsidRPr="001005B7">
        <w:t>a</w:t>
      </w:r>
      <w:r w:rsidR="00CB58E1" w:rsidRPr="001005B7">
        <w:t>ith</w:t>
      </w:r>
      <w:r w:rsidR="007873DC" w:rsidRPr="001005B7">
        <w:t>lessness</w:t>
      </w:r>
      <w:r w:rsidR="002442FB" w:rsidRPr="001005B7">
        <w:t>”</w:t>
      </w:r>
      <w:r w:rsidR="007873DC" w:rsidRPr="001005B7">
        <w:rPr>
          <w:i/>
          <w:iCs/>
        </w:rPr>
        <w:t xml:space="preserve"> </w:t>
      </w:r>
      <w:r w:rsidR="007873DC" w:rsidRPr="001005B7">
        <w:t>(3:</w:t>
      </w:r>
      <w:r w:rsidR="008A7F46" w:rsidRPr="001005B7">
        <w:t>18</w:t>
      </w:r>
      <w:r w:rsidR="00F46900" w:rsidRPr="001005B7">
        <w:t>–</w:t>
      </w:r>
      <w:r w:rsidR="005E1E45" w:rsidRPr="001005B7">
        <w:t>19)</w:t>
      </w:r>
      <w:r w:rsidR="001312C5" w:rsidRPr="001005B7">
        <w:t>. P</w:t>
      </w:r>
      <w:r w:rsidR="000679B7" w:rsidRPr="001005B7">
        <w:t>erhaps this link explains the odd form of expression</w:t>
      </w:r>
      <w:r w:rsidR="00D36193" w:rsidRPr="001005B7">
        <w:t xml:space="preserve"> for </w:t>
      </w:r>
      <w:r w:rsidR="002442FB" w:rsidRPr="001005B7">
        <w:t>“</w:t>
      </w:r>
      <w:r w:rsidR="00D36193" w:rsidRPr="001005B7">
        <w:t>with</w:t>
      </w:r>
      <w:r w:rsidR="00D36193" w:rsidRPr="001005B7">
        <w:rPr>
          <w:i/>
          <w:iCs/>
        </w:rPr>
        <w:t xml:space="preserve"> </w:t>
      </w:r>
      <w:r w:rsidR="00D36193" w:rsidRPr="001005B7">
        <w:t>faith</w:t>
      </w:r>
      <w:r w:rsidR="00130E99" w:rsidRPr="001005B7">
        <w:t>less</w:t>
      </w:r>
      <w:r w:rsidR="00D36193" w:rsidRPr="001005B7">
        <w:t>ness</w:t>
      </w:r>
      <w:r w:rsidR="00D46E62" w:rsidRPr="001005B7">
        <w:t>,</w:t>
      </w:r>
      <w:r w:rsidR="002442FB" w:rsidRPr="001005B7">
        <w:t>”</w:t>
      </w:r>
      <w:r w:rsidR="00577CE8" w:rsidRPr="001005B7">
        <w:t xml:space="preserve"> </w:t>
      </w:r>
      <w:r w:rsidR="002B796F" w:rsidRPr="001005B7">
        <w:rPr>
          <w:rFonts w:cstheme="minorHAnsi"/>
          <w:rtl/>
          <w:lang w:bidi="he-IL"/>
        </w:rPr>
        <w:t>לְרִשְׁ</w:t>
      </w:r>
      <w:r w:rsidR="00D46E62" w:rsidRPr="001005B7">
        <w:rPr>
          <w:rFonts w:cstheme="minorHAnsi"/>
          <w:rtl/>
          <w:lang w:bidi="he-IL"/>
        </w:rPr>
        <w:t>עׇה</w:t>
      </w:r>
      <w:r w:rsidR="003D1968" w:rsidRPr="001005B7">
        <w:t xml:space="preserve">, </w:t>
      </w:r>
      <w:r w:rsidR="00EC552C" w:rsidRPr="001005B7">
        <w:t>which then suggests “as regards faithlessness</w:t>
      </w:r>
      <w:r w:rsidR="00CB3B2A" w:rsidRPr="001005B7">
        <w:t>.</w:t>
      </w:r>
      <w:r w:rsidR="00EC552C" w:rsidRPr="001005B7">
        <w:t>"</w:t>
      </w:r>
      <w:r w:rsidR="005E1E45" w:rsidRPr="001005B7">
        <w:t xml:space="preserve"> </w:t>
      </w:r>
      <w:r w:rsidR="00BC2088" w:rsidRPr="001005B7">
        <w:t xml:space="preserve">Jerusalem </w:t>
      </w:r>
      <w:r w:rsidR="002442FB" w:rsidRPr="001005B7">
        <w:t>“</w:t>
      </w:r>
      <w:r w:rsidR="00BC2088" w:rsidRPr="001005B7">
        <w:t>has</w:t>
      </w:r>
      <w:r w:rsidR="00BC2088" w:rsidRPr="001005B7">
        <w:rPr>
          <w:i/>
          <w:iCs/>
        </w:rPr>
        <w:t xml:space="preserve"> </w:t>
      </w:r>
      <w:r w:rsidR="00C7352C" w:rsidRPr="001005B7">
        <w:t>rebelled</w:t>
      </w:r>
      <w:r w:rsidR="00C7352C" w:rsidRPr="001005B7">
        <w:rPr>
          <w:i/>
          <w:iCs/>
        </w:rPr>
        <w:t xml:space="preserve"> </w:t>
      </w:r>
      <w:r w:rsidR="00C7352C" w:rsidRPr="001005B7">
        <w:t>at</w:t>
      </w:r>
      <w:r w:rsidR="00C7352C" w:rsidRPr="001005B7">
        <w:rPr>
          <w:i/>
          <w:iCs/>
        </w:rPr>
        <w:t xml:space="preserve"> </w:t>
      </w:r>
      <w:r w:rsidR="00C7352C" w:rsidRPr="001005B7">
        <w:t>my</w:t>
      </w:r>
      <w:r w:rsidR="00C7352C" w:rsidRPr="001005B7">
        <w:rPr>
          <w:i/>
          <w:iCs/>
        </w:rPr>
        <w:t xml:space="preserve"> </w:t>
      </w:r>
      <w:r w:rsidR="00553C82" w:rsidRPr="001005B7">
        <w:t>rulings</w:t>
      </w:r>
      <w:r w:rsidR="002442FB" w:rsidRPr="001005B7">
        <w:t>”</w:t>
      </w:r>
      <w:r w:rsidR="00553C82" w:rsidRPr="001005B7">
        <w:t xml:space="preserve"> </w:t>
      </w:r>
      <w:r w:rsidR="00643FC7" w:rsidRPr="001005B7">
        <w:t xml:space="preserve">and </w:t>
      </w:r>
      <w:r w:rsidR="002442FB" w:rsidRPr="001005B7">
        <w:t>“</w:t>
      </w:r>
      <w:r w:rsidR="00643FC7" w:rsidRPr="001005B7">
        <w:t>my</w:t>
      </w:r>
      <w:r w:rsidR="00643FC7" w:rsidRPr="001005B7">
        <w:rPr>
          <w:i/>
          <w:iCs/>
        </w:rPr>
        <w:t xml:space="preserve"> </w:t>
      </w:r>
      <w:r w:rsidR="00643FC7" w:rsidRPr="001005B7">
        <w:t>laws</w:t>
      </w:r>
      <w:r w:rsidR="002442FB" w:rsidRPr="001005B7">
        <w:t>”</w:t>
      </w:r>
      <w:r w:rsidR="00643FC7" w:rsidRPr="001005B7">
        <w:rPr>
          <w:i/>
          <w:iCs/>
        </w:rPr>
        <w:t xml:space="preserve"> </w:t>
      </w:r>
      <w:r w:rsidR="00C7352C" w:rsidRPr="001005B7">
        <w:t>instead of living by them</w:t>
      </w:r>
      <w:r w:rsidR="00F442C7" w:rsidRPr="001005B7">
        <w:t xml:space="preserve">, and </w:t>
      </w:r>
      <w:r w:rsidR="001E0E04" w:rsidRPr="001005B7">
        <w:t xml:space="preserve">has </w:t>
      </w:r>
      <w:r w:rsidR="00F442C7" w:rsidRPr="001005B7">
        <w:t>done worse than the nations</w:t>
      </w:r>
      <w:r w:rsidR="00AE6025" w:rsidRPr="001005B7">
        <w:t xml:space="preserve"> and countries</w:t>
      </w:r>
      <w:r w:rsidR="00F442C7" w:rsidRPr="001005B7">
        <w:t xml:space="preserve"> in this respect rather than modeling the right way for them</w:t>
      </w:r>
      <w:r w:rsidR="00515350" w:rsidRPr="001005B7">
        <w:t xml:space="preserve"> (cf. Rom 2:17</w:t>
      </w:r>
      <w:r w:rsidR="003D1968" w:rsidRPr="001005B7">
        <w:t xml:space="preserve">; </w:t>
      </w:r>
      <w:r w:rsidR="00007FA3" w:rsidRPr="001005B7">
        <w:t>May</w:t>
      </w:r>
      <w:r w:rsidR="00822703" w:rsidRPr="001005B7">
        <w:t>er</w:t>
      </w:r>
      <w:r w:rsidR="00007FA3" w:rsidRPr="001005B7">
        <w:t>, 383</w:t>
      </w:r>
      <w:r w:rsidR="00822703" w:rsidRPr="001005B7">
        <w:t>).</w:t>
      </w:r>
      <w:r w:rsidR="000E63B2" w:rsidRPr="001005B7">
        <w:rPr>
          <w:rStyle w:val="FootnoteReference"/>
        </w:rPr>
        <w:footnoteReference w:id="183"/>
      </w:r>
      <w:r w:rsidR="001810E0" w:rsidRPr="001005B7">
        <w:t xml:space="preserve"> </w:t>
      </w:r>
      <w:r w:rsidR="00CA5D55" w:rsidRPr="001005B7">
        <w:t>Yahweh’s rulings (</w:t>
      </w:r>
      <w:r w:rsidR="00822703" w:rsidRPr="001005B7">
        <w:rPr>
          <w:rFonts w:cstheme="minorHAnsi"/>
          <w:rtl/>
          <w:lang w:bidi="he-IL"/>
        </w:rPr>
        <w:t>מ</w:t>
      </w:r>
      <w:r w:rsidR="004C18E7" w:rsidRPr="001005B7">
        <w:rPr>
          <w:rFonts w:cstheme="minorHAnsi"/>
          <w:rtl/>
          <w:lang w:bidi="he-IL"/>
        </w:rPr>
        <w:t>ִשְׁפ</w:t>
      </w:r>
      <w:r w:rsidR="000F502E" w:rsidRPr="001005B7">
        <w:rPr>
          <w:rFonts w:cstheme="minorHAnsi"/>
          <w:rtl/>
          <w:lang w:bidi="he-IL"/>
        </w:rPr>
        <w:t>ּ</w:t>
      </w:r>
      <w:r w:rsidR="004C18E7" w:rsidRPr="001005B7">
        <w:rPr>
          <w:rFonts w:cstheme="minorHAnsi"/>
          <w:rtl/>
          <w:lang w:bidi="he-IL"/>
        </w:rPr>
        <w:t>ָטִ</w:t>
      </w:r>
      <w:r w:rsidR="003531A2" w:rsidRPr="001005B7">
        <w:rPr>
          <w:rFonts w:cstheme="minorHAnsi"/>
          <w:rtl/>
          <w:lang w:bidi="he-IL"/>
        </w:rPr>
        <w:t>ים</w:t>
      </w:r>
      <w:r w:rsidR="007C6766" w:rsidRPr="001005B7">
        <w:rPr>
          <w:rFonts w:cstheme="minorHAnsi"/>
        </w:rPr>
        <w:t>) are his authoritative judgments about what people must do</w:t>
      </w:r>
      <w:r w:rsidR="00AB53E6" w:rsidRPr="001005B7">
        <w:rPr>
          <w:rFonts w:cstheme="minorHAnsi"/>
        </w:rPr>
        <w:t>. H</w:t>
      </w:r>
      <w:r w:rsidR="007C6766" w:rsidRPr="001005B7">
        <w:rPr>
          <w:rFonts w:cstheme="minorHAnsi"/>
        </w:rPr>
        <w:t>is laws (</w:t>
      </w:r>
      <w:r w:rsidR="00841A3F" w:rsidRPr="001005B7">
        <w:rPr>
          <w:rFonts w:cstheme="minorHAnsi"/>
          <w:rtl/>
          <w:lang w:bidi="he-IL"/>
        </w:rPr>
        <w:t>חֻקּוׄת</w:t>
      </w:r>
      <w:r w:rsidR="00B86F6A" w:rsidRPr="001005B7">
        <w:rPr>
          <w:rFonts w:cstheme="minorHAnsi"/>
        </w:rPr>
        <w:t>) are his quasi-legal enactments as king.</w:t>
      </w:r>
      <w:r w:rsidR="00537C16" w:rsidRPr="001005B7">
        <w:rPr>
          <w:rFonts w:cstheme="minorHAnsi"/>
        </w:rPr>
        <w:t xml:space="preserve"> </w:t>
      </w:r>
      <w:r w:rsidR="00537C16" w:rsidRPr="001005B7">
        <w:t>The two nouns</w:t>
      </w:r>
      <w:r w:rsidR="00407C1E" w:rsidRPr="001005B7">
        <w:t>,</w:t>
      </w:r>
      <w:r w:rsidR="00537C16" w:rsidRPr="001005B7">
        <w:t xml:space="preserve"> along with the statement that the</w:t>
      </w:r>
      <w:r w:rsidR="00EE70C7" w:rsidRPr="001005B7">
        <w:t xml:space="preserve"> people</w:t>
      </w:r>
      <w:r w:rsidR="003B0E3D" w:rsidRPr="001005B7">
        <w:t xml:space="preserve"> </w:t>
      </w:r>
      <w:r w:rsidR="00537C16" w:rsidRPr="001005B7">
        <w:t xml:space="preserve">have </w:t>
      </w:r>
      <w:r w:rsidR="00FB0CC1" w:rsidRPr="001005B7">
        <w:t>“</w:t>
      </w:r>
      <w:r w:rsidR="00537C16" w:rsidRPr="001005B7">
        <w:t>baulked</w:t>
      </w:r>
      <w:r w:rsidR="00FB0CC1" w:rsidRPr="001005B7">
        <w:t>”</w:t>
      </w:r>
      <w:r w:rsidR="00537C16" w:rsidRPr="001005B7">
        <w:rPr>
          <w:i/>
          <w:iCs/>
        </w:rPr>
        <w:t xml:space="preserve"> </w:t>
      </w:r>
      <w:r w:rsidR="00537C16" w:rsidRPr="001005B7">
        <w:t xml:space="preserve">at them and </w:t>
      </w:r>
      <w:r w:rsidR="00FB0CC1" w:rsidRPr="001005B7">
        <w:t>“</w:t>
      </w:r>
      <w:r w:rsidR="00537C16" w:rsidRPr="001005B7">
        <w:t>not walked</w:t>
      </w:r>
      <w:r w:rsidR="00FB0CC1" w:rsidRPr="001005B7">
        <w:t>”</w:t>
      </w:r>
      <w:r w:rsidR="00537C16" w:rsidRPr="001005B7">
        <w:rPr>
          <w:i/>
          <w:iCs/>
        </w:rPr>
        <w:t xml:space="preserve"> </w:t>
      </w:r>
      <w:r w:rsidR="00537C16" w:rsidRPr="001005B7">
        <w:t>by them</w:t>
      </w:r>
      <w:r w:rsidR="00407C1E" w:rsidRPr="001005B7">
        <w:t>,</w:t>
      </w:r>
      <w:r w:rsidR="00537C16" w:rsidRPr="001005B7">
        <w:t xml:space="preserve"> recall warnings in the Torah</w:t>
      </w:r>
      <w:r w:rsidR="00324822" w:rsidRPr="001005B7">
        <w:t>, not least, again, Lev 26</w:t>
      </w:r>
      <w:r w:rsidR="00537C16" w:rsidRPr="001005B7">
        <w:t xml:space="preserve"> (e.g., 26:3, 15, 43). </w:t>
      </w:r>
      <w:r w:rsidR="00DF1CEE" w:rsidRPr="001005B7">
        <w:rPr>
          <w:rFonts w:cstheme="minorHAnsi"/>
        </w:rPr>
        <w:t>W</w:t>
      </w:r>
      <w:r w:rsidR="00C12C2B" w:rsidRPr="001005B7">
        <w:t xml:space="preserve">hat rulings </w:t>
      </w:r>
      <w:r w:rsidR="004B4CE0" w:rsidRPr="001005B7">
        <w:t xml:space="preserve">and laws </w:t>
      </w:r>
      <w:r w:rsidR="0093543C" w:rsidRPr="001005B7">
        <w:t>are the</w:t>
      </w:r>
      <w:r w:rsidR="00DF1CEE" w:rsidRPr="001005B7">
        <w:t>se</w:t>
      </w:r>
      <w:r w:rsidR="0093543C" w:rsidRPr="001005B7">
        <w:t xml:space="preserve">? Yahweh’s </w:t>
      </w:r>
      <w:r w:rsidR="00007FBF" w:rsidRPr="001005B7">
        <w:t xml:space="preserve">indictment </w:t>
      </w:r>
      <w:r w:rsidR="00C12C2B" w:rsidRPr="001005B7">
        <w:t>raises suspense</w:t>
      </w:r>
      <w:r w:rsidR="00ED6C81" w:rsidRPr="001005B7">
        <w:t>—</w:t>
      </w:r>
      <w:r w:rsidR="00AC027B" w:rsidRPr="001005B7">
        <w:t>5:</w:t>
      </w:r>
      <w:r w:rsidR="0019157E" w:rsidRPr="001005B7">
        <w:t>11</w:t>
      </w:r>
      <w:r w:rsidR="00007FBF" w:rsidRPr="001005B7">
        <w:t xml:space="preserve"> will explain</w:t>
      </w:r>
      <w:r w:rsidR="00491B02" w:rsidRPr="001005B7">
        <w:t xml:space="preserve"> further</w:t>
      </w:r>
      <w:r w:rsidR="00007FBF" w:rsidRPr="001005B7">
        <w:t>.</w:t>
      </w:r>
      <w:r w:rsidR="001E4CEB" w:rsidRPr="001005B7">
        <w:t xml:space="preserve"> For the moment, the expression</w:t>
      </w:r>
      <w:r w:rsidR="00D73840" w:rsidRPr="001005B7">
        <w:t xml:space="preserve"> simply makes the point that</w:t>
      </w:r>
      <w:r w:rsidR="001E4CEB" w:rsidRPr="001005B7">
        <w:t xml:space="preserve"> </w:t>
      </w:r>
      <w:r w:rsidR="00F8399B" w:rsidRPr="001005B7">
        <w:t>“</w:t>
      </w:r>
      <w:r w:rsidR="001E4CEB" w:rsidRPr="001005B7">
        <w:rPr>
          <w:rFonts w:cstheme="minorHAnsi"/>
        </w:rPr>
        <w:t>Jerusalem’s sin is not somethin</w:t>
      </w:r>
      <w:r w:rsidR="00F8399B" w:rsidRPr="001005B7">
        <w:rPr>
          <w:rFonts w:cstheme="minorHAnsi"/>
        </w:rPr>
        <w:t>g</w:t>
      </w:r>
      <w:r w:rsidR="001E4CEB" w:rsidRPr="001005B7">
        <w:rPr>
          <w:rFonts w:cstheme="minorHAnsi"/>
        </w:rPr>
        <w:t xml:space="preserve"> vague but an affront to the clear, revealed law of God”</w:t>
      </w:r>
      <w:r w:rsidR="00FB6FD9" w:rsidRPr="001005B7">
        <w:rPr>
          <w:rFonts w:cstheme="minorHAnsi"/>
        </w:rPr>
        <w:t xml:space="preserve"> (</w:t>
      </w:r>
      <w:proofErr w:type="spellStart"/>
      <w:r w:rsidR="00FB6FD9" w:rsidRPr="001005B7">
        <w:t>Zimmerli</w:t>
      </w:r>
      <w:proofErr w:type="spellEnd"/>
      <w:r w:rsidR="00710EA6" w:rsidRPr="001005B7">
        <w:t>,</w:t>
      </w:r>
      <w:r w:rsidR="00FB6FD9" w:rsidRPr="001005B7">
        <w:t xml:space="preserve"> 1:175).</w:t>
      </w:r>
      <w:r w:rsidR="00013C87" w:rsidRPr="001005B7">
        <w:rPr>
          <w:rFonts w:cstheme="minorHAnsi"/>
        </w:rPr>
        <w:t xml:space="preserve"> The idea that </w:t>
      </w:r>
      <w:r w:rsidR="00060F24" w:rsidRPr="001005B7">
        <w:rPr>
          <w:rFonts w:cstheme="minorHAnsi"/>
        </w:rPr>
        <w:t>Jerusalem</w:t>
      </w:r>
      <w:r w:rsidR="00906DEF" w:rsidRPr="001005B7">
        <w:rPr>
          <w:rFonts w:cstheme="minorHAnsi"/>
        </w:rPr>
        <w:t>’s waywardness exceeds that of other nations</w:t>
      </w:r>
      <w:r w:rsidR="000F6E81" w:rsidRPr="001005B7">
        <w:rPr>
          <w:rFonts w:cstheme="minorHAnsi"/>
        </w:rPr>
        <w:t xml:space="preserve"> recurs in </w:t>
      </w:r>
      <w:r w:rsidR="004F3554" w:rsidRPr="001005B7">
        <w:rPr>
          <w:rFonts w:cstheme="minorHAnsi"/>
        </w:rPr>
        <w:t xml:space="preserve">Ezek 16 and in </w:t>
      </w:r>
      <w:r w:rsidR="000F6E81" w:rsidRPr="001005B7">
        <w:rPr>
          <w:rFonts w:cstheme="minorHAnsi"/>
        </w:rPr>
        <w:t>accounts of the reign of Manasseh</w:t>
      </w:r>
      <w:r w:rsidR="005A7672" w:rsidRPr="001005B7">
        <w:rPr>
          <w:rFonts w:cstheme="minorHAnsi"/>
        </w:rPr>
        <w:t xml:space="preserve"> </w:t>
      </w:r>
      <w:r w:rsidR="000F6E81" w:rsidRPr="001005B7">
        <w:rPr>
          <w:rFonts w:cstheme="minorHAnsi"/>
        </w:rPr>
        <w:t>(2</w:t>
      </w:r>
      <w:r w:rsidR="00B75F3E" w:rsidRPr="001005B7">
        <w:rPr>
          <w:rFonts w:cstheme="minorHAnsi"/>
        </w:rPr>
        <w:t> </w:t>
      </w:r>
      <w:r w:rsidR="006558CA" w:rsidRPr="001005B7">
        <w:rPr>
          <w:rFonts w:cstheme="minorHAnsi"/>
        </w:rPr>
        <w:t>Kgs</w:t>
      </w:r>
      <w:r w:rsidR="000F6E81" w:rsidRPr="001005B7">
        <w:rPr>
          <w:rFonts w:cstheme="minorHAnsi"/>
        </w:rPr>
        <w:t xml:space="preserve"> </w:t>
      </w:r>
      <w:r w:rsidR="00060F24" w:rsidRPr="001005B7">
        <w:rPr>
          <w:rFonts w:cstheme="minorHAnsi"/>
        </w:rPr>
        <w:t>21:9</w:t>
      </w:r>
      <w:r w:rsidR="00E63070" w:rsidRPr="001005B7">
        <w:rPr>
          <w:rFonts w:cstheme="minorHAnsi"/>
        </w:rPr>
        <w:t>; 2</w:t>
      </w:r>
      <w:r w:rsidR="002100D3" w:rsidRPr="001005B7">
        <w:rPr>
          <w:rFonts w:cstheme="minorHAnsi"/>
        </w:rPr>
        <w:t> </w:t>
      </w:r>
      <w:r w:rsidR="00E63070" w:rsidRPr="001005B7">
        <w:rPr>
          <w:rFonts w:cstheme="minorHAnsi"/>
        </w:rPr>
        <w:t>Chr 33:9)</w:t>
      </w:r>
      <w:r w:rsidR="009438C8" w:rsidRPr="001005B7">
        <w:rPr>
          <w:rFonts w:cstheme="minorHAnsi"/>
        </w:rPr>
        <w:t xml:space="preserve">. It </w:t>
      </w:r>
      <w:r w:rsidR="00B665A1" w:rsidRPr="001005B7">
        <w:rPr>
          <w:rFonts w:cstheme="minorHAnsi"/>
        </w:rPr>
        <w:t xml:space="preserve">is </w:t>
      </w:r>
      <w:r w:rsidR="00FA6C2B" w:rsidRPr="001005B7">
        <w:rPr>
          <w:rFonts w:cstheme="minorHAnsi"/>
        </w:rPr>
        <w:t xml:space="preserve">at least hinted </w:t>
      </w:r>
      <w:r w:rsidR="00B665A1" w:rsidRPr="001005B7">
        <w:rPr>
          <w:rFonts w:cstheme="minorHAnsi"/>
        </w:rPr>
        <w:t>in Amos (2:4</w:t>
      </w:r>
      <w:r w:rsidR="00F46900" w:rsidRPr="001005B7">
        <w:rPr>
          <w:rFonts w:cstheme="minorHAnsi"/>
        </w:rPr>
        <w:t>–</w:t>
      </w:r>
      <w:r w:rsidR="00B665A1" w:rsidRPr="001005B7">
        <w:rPr>
          <w:rFonts w:cstheme="minorHAnsi"/>
        </w:rPr>
        <w:t>5</w:t>
      </w:r>
      <w:r w:rsidR="00B761A9" w:rsidRPr="001005B7">
        <w:rPr>
          <w:rFonts w:cstheme="minorHAnsi"/>
        </w:rPr>
        <w:t>; 2:6</w:t>
      </w:r>
      <w:r w:rsidR="00F46900" w:rsidRPr="001005B7">
        <w:rPr>
          <w:rFonts w:cstheme="minorHAnsi"/>
        </w:rPr>
        <w:t>–</w:t>
      </w:r>
      <w:r w:rsidR="00B761A9" w:rsidRPr="001005B7">
        <w:rPr>
          <w:rFonts w:cstheme="minorHAnsi"/>
        </w:rPr>
        <w:t>3:2)</w:t>
      </w:r>
      <w:r w:rsidR="00621AF5" w:rsidRPr="001005B7">
        <w:rPr>
          <w:rFonts w:cstheme="minorHAnsi"/>
        </w:rPr>
        <w:t xml:space="preserve"> in</w:t>
      </w:r>
      <w:r w:rsidR="00944143" w:rsidRPr="001005B7">
        <w:rPr>
          <w:rFonts w:cstheme="minorHAnsi"/>
        </w:rPr>
        <w:t xml:space="preserve"> the implication that</w:t>
      </w:r>
      <w:r w:rsidR="004337D6" w:rsidRPr="001005B7">
        <w:rPr>
          <w:rFonts w:cstheme="minorHAnsi"/>
        </w:rPr>
        <w:t xml:space="preserve"> both </w:t>
      </w:r>
      <w:r w:rsidR="00621AF5" w:rsidRPr="001005B7">
        <w:rPr>
          <w:rFonts w:cstheme="minorHAnsi"/>
        </w:rPr>
        <w:t>Judah</w:t>
      </w:r>
      <w:r w:rsidR="004337D6" w:rsidRPr="001005B7">
        <w:rPr>
          <w:rFonts w:cstheme="minorHAnsi"/>
        </w:rPr>
        <w:t xml:space="preserve"> and Ephraim</w:t>
      </w:r>
      <w:r w:rsidR="00B962D7" w:rsidRPr="001005B7">
        <w:rPr>
          <w:rFonts w:cstheme="minorHAnsi"/>
        </w:rPr>
        <w:t xml:space="preserve"> had ignored the special revelation that Yahweh had given them.</w:t>
      </w:r>
      <w:r w:rsidR="00011C97" w:rsidRPr="001005B7">
        <w:rPr>
          <w:rFonts w:cstheme="minorHAnsi"/>
        </w:rPr>
        <w:t xml:space="preserve"> </w:t>
      </w:r>
    </w:p>
    <w:p w14:paraId="26009519" w14:textId="1171E1DC" w:rsidR="00E73956" w:rsidRPr="001005B7" w:rsidRDefault="00F50F4C" w:rsidP="00B61E4A">
      <w:pPr>
        <w:rPr>
          <w:rFonts w:cstheme="minorHAnsi"/>
        </w:rPr>
      </w:pPr>
      <w:r w:rsidRPr="001005B7">
        <w:rPr>
          <w:rFonts w:cstheme="minorHAnsi"/>
          <w:b/>
          <w:bCs/>
        </w:rPr>
        <w:t>5:7</w:t>
      </w:r>
      <w:r w:rsidR="00993C14" w:rsidRPr="001005B7">
        <w:rPr>
          <w:rFonts w:cstheme="minorHAnsi"/>
          <w:b/>
          <w:bCs/>
        </w:rPr>
        <w:t xml:space="preserve"> </w:t>
      </w:r>
      <w:r w:rsidR="00D22CEB" w:rsidRPr="001005B7">
        <w:rPr>
          <w:rFonts w:cstheme="minorHAnsi"/>
        </w:rPr>
        <w:t>Yahweh continues</w:t>
      </w:r>
      <w:r w:rsidR="003262B4" w:rsidRPr="001005B7">
        <w:rPr>
          <w:rFonts w:cstheme="minorHAnsi"/>
        </w:rPr>
        <w:t xml:space="preserve"> with the first</w:t>
      </w:r>
      <w:r w:rsidR="00D22CEB" w:rsidRPr="001005B7">
        <w:rPr>
          <w:rFonts w:cstheme="minorHAnsi"/>
        </w:rPr>
        <w:t xml:space="preserve"> </w:t>
      </w:r>
      <w:r w:rsidR="00546323" w:rsidRPr="001005B7">
        <w:rPr>
          <w:rFonts w:cstheme="minorHAnsi"/>
        </w:rPr>
        <w:t xml:space="preserve">of the four </w:t>
      </w:r>
      <w:proofErr w:type="spellStart"/>
      <w:r w:rsidR="003262B4" w:rsidRPr="001005B7">
        <w:rPr>
          <w:rFonts w:cstheme="minorHAnsi"/>
        </w:rPr>
        <w:t>t</w:t>
      </w:r>
      <w:r w:rsidR="00427A90" w:rsidRPr="001005B7">
        <w:rPr>
          <w:rFonts w:cstheme="minorHAnsi"/>
        </w:rPr>
        <w:t>herefore</w:t>
      </w:r>
      <w:r w:rsidR="00607CF5" w:rsidRPr="001005B7">
        <w:rPr>
          <w:rFonts w:cstheme="minorHAnsi"/>
        </w:rPr>
        <w:t>s</w:t>
      </w:r>
      <w:proofErr w:type="spellEnd"/>
      <w:r w:rsidR="003262B4" w:rsidRPr="001005B7">
        <w:rPr>
          <w:rFonts w:cstheme="minorHAnsi"/>
        </w:rPr>
        <w:t xml:space="preserve"> </w:t>
      </w:r>
      <w:r w:rsidR="004A5CC2" w:rsidRPr="001005B7">
        <w:rPr>
          <w:rFonts w:cstheme="minorHAnsi"/>
        </w:rPr>
        <w:t>(</w:t>
      </w:r>
      <w:r w:rsidR="00174B9F" w:rsidRPr="001005B7">
        <w:rPr>
          <w:rFonts w:cstheme="minorHAnsi"/>
          <w:rtl/>
          <w:lang w:bidi="he-IL"/>
        </w:rPr>
        <w:t>ל</w:t>
      </w:r>
      <w:r w:rsidR="00EC653B" w:rsidRPr="001005B7">
        <w:rPr>
          <w:rFonts w:cstheme="minorHAnsi"/>
          <w:rtl/>
          <w:lang w:bidi="he-IL"/>
        </w:rPr>
        <w:t>ָכֵן</w:t>
      </w:r>
      <w:r w:rsidR="00AC7DFB" w:rsidRPr="001005B7">
        <w:rPr>
          <w:rFonts w:cstheme="minorHAnsi"/>
        </w:rPr>
        <w:t>)</w:t>
      </w:r>
      <w:r w:rsidR="003262B4" w:rsidRPr="001005B7">
        <w:rPr>
          <w:rFonts w:cstheme="minorHAnsi"/>
        </w:rPr>
        <w:t xml:space="preserve"> in </w:t>
      </w:r>
      <w:r w:rsidR="009342D0" w:rsidRPr="001005B7">
        <w:rPr>
          <w:rFonts w:cstheme="minorHAnsi"/>
        </w:rPr>
        <w:t>this section</w:t>
      </w:r>
      <w:r w:rsidR="00AC7DFB" w:rsidRPr="001005B7">
        <w:rPr>
          <w:rFonts w:cstheme="minorHAnsi"/>
        </w:rPr>
        <w:t xml:space="preserve">. </w:t>
      </w:r>
      <w:r w:rsidR="009342D0" w:rsidRPr="001005B7">
        <w:rPr>
          <w:rFonts w:cstheme="minorHAnsi"/>
        </w:rPr>
        <w:t>Twenty-four times</w:t>
      </w:r>
      <w:r w:rsidR="00AC7DFB" w:rsidRPr="001005B7">
        <w:rPr>
          <w:rFonts w:cstheme="minorHAnsi"/>
        </w:rPr>
        <w:t xml:space="preserve"> </w:t>
      </w:r>
      <w:r w:rsidR="009342D0" w:rsidRPr="001005B7">
        <w:rPr>
          <w:rFonts w:cstheme="minorHAnsi"/>
        </w:rPr>
        <w:t xml:space="preserve">in </w:t>
      </w:r>
      <w:r w:rsidR="00AC7DFB" w:rsidRPr="001005B7">
        <w:rPr>
          <w:rFonts w:cstheme="minorHAnsi"/>
        </w:rPr>
        <w:t xml:space="preserve">Ezekiel </w:t>
      </w:r>
      <w:r w:rsidR="0045564F" w:rsidRPr="001005B7">
        <w:rPr>
          <w:rFonts w:cstheme="minorHAnsi"/>
        </w:rPr>
        <w:t xml:space="preserve">the particle introduces </w:t>
      </w:r>
      <w:r w:rsidR="00426DDA" w:rsidRPr="001005B7">
        <w:rPr>
          <w:rFonts w:cstheme="minorHAnsi"/>
        </w:rPr>
        <w:t>“</w:t>
      </w:r>
      <w:r w:rsidR="003662C6" w:rsidRPr="001005B7">
        <w:rPr>
          <w:rFonts w:cstheme="minorHAnsi"/>
        </w:rPr>
        <w:t>Yahweh</w:t>
      </w:r>
      <w:r w:rsidR="003662C6" w:rsidRPr="001005B7">
        <w:rPr>
          <w:rFonts w:cstheme="minorHAnsi"/>
          <w:i/>
          <w:iCs/>
        </w:rPr>
        <w:t xml:space="preserve"> </w:t>
      </w:r>
      <w:r w:rsidR="003662C6" w:rsidRPr="001005B7">
        <w:rPr>
          <w:rFonts w:cstheme="minorHAnsi"/>
        </w:rPr>
        <w:t>has</w:t>
      </w:r>
      <w:r w:rsidR="003662C6" w:rsidRPr="001005B7">
        <w:rPr>
          <w:rFonts w:cstheme="minorHAnsi"/>
          <w:i/>
          <w:iCs/>
        </w:rPr>
        <w:t xml:space="preserve"> </w:t>
      </w:r>
      <w:r w:rsidR="003662C6" w:rsidRPr="001005B7">
        <w:rPr>
          <w:rFonts w:cstheme="minorHAnsi"/>
        </w:rPr>
        <w:t>said</w:t>
      </w:r>
      <w:r w:rsidR="003662C6" w:rsidRPr="001005B7">
        <w:rPr>
          <w:rFonts w:cstheme="minorHAnsi"/>
          <w:i/>
          <w:iCs/>
        </w:rPr>
        <w:t xml:space="preserve"> </w:t>
      </w:r>
      <w:r w:rsidR="003662C6" w:rsidRPr="001005B7">
        <w:rPr>
          <w:rFonts w:cstheme="minorHAnsi"/>
        </w:rPr>
        <w:t>this</w:t>
      </w:r>
      <w:r w:rsidR="004170C3" w:rsidRPr="001005B7">
        <w:rPr>
          <w:rFonts w:cstheme="minorHAnsi"/>
        </w:rPr>
        <w:t>,</w:t>
      </w:r>
      <w:r w:rsidR="00195D9E" w:rsidRPr="001005B7">
        <w:rPr>
          <w:rFonts w:cstheme="minorHAnsi"/>
        </w:rPr>
        <w:t>”</w:t>
      </w:r>
      <w:r w:rsidR="003662C6" w:rsidRPr="001005B7">
        <w:rPr>
          <w:rFonts w:cstheme="minorHAnsi"/>
        </w:rPr>
        <w:t xml:space="preserve"> and </w:t>
      </w:r>
      <w:r w:rsidR="004170C3" w:rsidRPr="001005B7">
        <w:rPr>
          <w:rFonts w:cstheme="minorHAnsi"/>
        </w:rPr>
        <w:t xml:space="preserve">it </w:t>
      </w:r>
      <w:r w:rsidR="003662C6" w:rsidRPr="001005B7">
        <w:rPr>
          <w:rFonts w:cstheme="minorHAnsi"/>
        </w:rPr>
        <w:t xml:space="preserve">occurs a further thirty-seven time in other connections. </w:t>
      </w:r>
      <w:r w:rsidR="0011390F" w:rsidRPr="001005B7">
        <w:rPr>
          <w:rFonts w:cstheme="minorHAnsi"/>
        </w:rPr>
        <w:t>It suggests, “</w:t>
      </w:r>
      <w:r w:rsidR="00EF4023" w:rsidRPr="001005B7">
        <w:rPr>
          <w:rFonts w:cstheme="minorHAnsi"/>
        </w:rPr>
        <w:t>H</w:t>
      </w:r>
      <w:r w:rsidR="0011390F" w:rsidRPr="001005B7">
        <w:rPr>
          <w:rFonts w:cstheme="minorHAnsi"/>
        </w:rPr>
        <w:t>ere comes what follows</w:t>
      </w:r>
      <w:r w:rsidR="00683C16" w:rsidRPr="001005B7">
        <w:rPr>
          <w:rFonts w:cstheme="minorHAnsi"/>
        </w:rPr>
        <w:t>: Get ready!</w:t>
      </w:r>
      <w:r w:rsidR="001E717C" w:rsidRPr="001005B7">
        <w:rPr>
          <w:rFonts w:cstheme="minorHAnsi"/>
        </w:rPr>
        <w:t>”</w:t>
      </w:r>
      <w:r w:rsidR="00681B63" w:rsidRPr="001005B7">
        <w:rPr>
          <w:rFonts w:cstheme="minorHAnsi"/>
        </w:rPr>
        <w:t xml:space="preserve"> (</w:t>
      </w:r>
      <w:r w:rsidR="00681B63" w:rsidRPr="001005B7">
        <w:t>Greenberg</w:t>
      </w:r>
      <w:r w:rsidR="00C717A9" w:rsidRPr="001005B7">
        <w:t>,</w:t>
      </w:r>
      <w:r w:rsidR="00681B63" w:rsidRPr="001005B7">
        <w:t xml:space="preserve"> </w:t>
      </w:r>
      <w:r w:rsidR="00551BDD" w:rsidRPr="001005B7">
        <w:t>1:</w:t>
      </w:r>
      <w:r w:rsidR="00681B63" w:rsidRPr="001005B7">
        <w:t>111</w:t>
      </w:r>
      <w:r w:rsidR="00CA6008">
        <w:t>)</w:t>
      </w:r>
      <w:r w:rsidR="00551BDD" w:rsidRPr="001005B7">
        <w:t>.</w:t>
      </w:r>
      <w:r w:rsidR="001746E8">
        <w:rPr>
          <w:rStyle w:val="FootnoteReference"/>
        </w:rPr>
        <w:footnoteReference w:id="184"/>
      </w:r>
      <w:r w:rsidR="00DD2229" w:rsidRPr="001005B7">
        <w:rPr>
          <w:rFonts w:cstheme="minorHAnsi"/>
        </w:rPr>
        <w:t xml:space="preserve"> The</w:t>
      </w:r>
      <w:r w:rsidR="00B6297A" w:rsidRPr="001005B7">
        <w:rPr>
          <w:rFonts w:cstheme="minorHAnsi"/>
        </w:rPr>
        <w:t xml:space="preserve"> </w:t>
      </w:r>
      <w:r w:rsidR="000F7445" w:rsidRPr="001005B7">
        <w:rPr>
          <w:rFonts w:cstheme="minorHAnsi"/>
        </w:rPr>
        <w:t xml:space="preserve">introductory phrase </w:t>
      </w:r>
      <w:r w:rsidR="00551BDD" w:rsidRPr="001005B7">
        <w:rPr>
          <w:rFonts w:cstheme="minorHAnsi"/>
        </w:rPr>
        <w:t xml:space="preserve">as a whole, </w:t>
      </w:r>
      <w:r w:rsidR="005C348E" w:rsidRPr="001005B7">
        <w:rPr>
          <w:rFonts w:cstheme="minorHAnsi"/>
        </w:rPr>
        <w:t>“</w:t>
      </w:r>
      <w:r w:rsidR="0098678A" w:rsidRPr="001005B7">
        <w:t>the</w:t>
      </w:r>
      <w:r w:rsidR="0098678A" w:rsidRPr="001005B7">
        <w:rPr>
          <w:i/>
          <w:iCs/>
        </w:rPr>
        <w:t xml:space="preserve"> </w:t>
      </w:r>
      <w:r w:rsidR="0098678A" w:rsidRPr="001005B7">
        <w:t>Lord</w:t>
      </w:r>
      <w:r w:rsidR="0098678A" w:rsidRPr="001005B7">
        <w:rPr>
          <w:i/>
          <w:iCs/>
        </w:rPr>
        <w:t xml:space="preserve"> </w:t>
      </w:r>
      <w:r w:rsidR="0098678A" w:rsidRPr="001005B7">
        <w:t>Yahweh</w:t>
      </w:r>
      <w:r w:rsidR="0098678A" w:rsidRPr="001005B7">
        <w:rPr>
          <w:i/>
          <w:iCs/>
        </w:rPr>
        <w:t xml:space="preserve"> </w:t>
      </w:r>
      <w:r w:rsidR="0098678A" w:rsidRPr="001005B7">
        <w:t>has</w:t>
      </w:r>
      <w:r w:rsidR="0098678A" w:rsidRPr="001005B7">
        <w:rPr>
          <w:i/>
          <w:iCs/>
        </w:rPr>
        <w:t xml:space="preserve"> </w:t>
      </w:r>
      <w:r w:rsidR="0098678A" w:rsidRPr="001005B7">
        <w:t>said</w:t>
      </w:r>
      <w:r w:rsidR="0098678A" w:rsidRPr="001005B7">
        <w:rPr>
          <w:i/>
          <w:iCs/>
        </w:rPr>
        <w:t xml:space="preserve"> </w:t>
      </w:r>
      <w:r w:rsidR="0098678A" w:rsidRPr="001005B7">
        <w:t>this</w:t>
      </w:r>
      <w:r w:rsidR="00E64BF5" w:rsidRPr="001005B7">
        <w:rPr>
          <w:rFonts w:cstheme="minorHAnsi"/>
        </w:rPr>
        <w:t>,</w:t>
      </w:r>
      <w:r w:rsidR="005C348E" w:rsidRPr="001005B7">
        <w:rPr>
          <w:rFonts w:cstheme="minorHAnsi"/>
        </w:rPr>
        <w:t>”</w:t>
      </w:r>
      <w:r w:rsidR="00E64BF5" w:rsidRPr="001005B7">
        <w:rPr>
          <w:rFonts w:cstheme="minorHAnsi"/>
        </w:rPr>
        <w:t xml:space="preserve"> </w:t>
      </w:r>
      <w:r w:rsidR="00C93E64" w:rsidRPr="001005B7">
        <w:rPr>
          <w:rFonts w:cstheme="minorHAnsi"/>
        </w:rPr>
        <w:t xml:space="preserve">makes one </w:t>
      </w:r>
      <w:r w:rsidR="0098678A" w:rsidRPr="001005B7">
        <w:rPr>
          <w:rFonts w:cstheme="minorHAnsi"/>
        </w:rPr>
        <w:t>expect</w:t>
      </w:r>
      <w:r w:rsidR="00C93E64" w:rsidRPr="001005B7">
        <w:rPr>
          <w:rFonts w:cstheme="minorHAnsi"/>
        </w:rPr>
        <w:t xml:space="preserve"> that a fearsome threat will follow, but </w:t>
      </w:r>
      <w:r w:rsidR="005E039D" w:rsidRPr="001005B7">
        <w:rPr>
          <w:rFonts w:cstheme="minorHAnsi"/>
        </w:rPr>
        <w:t xml:space="preserve">initially </w:t>
      </w:r>
      <w:r w:rsidR="00210710" w:rsidRPr="001005B7">
        <w:rPr>
          <w:rFonts w:cstheme="minorHAnsi"/>
        </w:rPr>
        <w:t>Yahweh and Ezekiel</w:t>
      </w:r>
      <w:r w:rsidR="006B5BC0" w:rsidRPr="001005B7">
        <w:rPr>
          <w:rFonts w:cstheme="minorHAnsi"/>
        </w:rPr>
        <w:t xml:space="preserve"> </w:t>
      </w:r>
      <w:r w:rsidR="00210710" w:rsidRPr="001005B7">
        <w:rPr>
          <w:rFonts w:cstheme="minorHAnsi"/>
        </w:rPr>
        <w:t xml:space="preserve">maintain suspense by </w:t>
      </w:r>
      <w:r w:rsidR="005E039D" w:rsidRPr="001005B7">
        <w:rPr>
          <w:rFonts w:cstheme="minorHAnsi"/>
        </w:rPr>
        <w:t>restati</w:t>
      </w:r>
      <w:r w:rsidR="00210710" w:rsidRPr="001005B7">
        <w:rPr>
          <w:rFonts w:cstheme="minorHAnsi"/>
        </w:rPr>
        <w:t>ng the indictment</w:t>
      </w:r>
      <w:r w:rsidR="00FB72CA" w:rsidRPr="001005B7">
        <w:rPr>
          <w:rFonts w:cstheme="minorHAnsi"/>
        </w:rPr>
        <w:t xml:space="preserve"> in </w:t>
      </w:r>
      <w:r w:rsidR="0042084A" w:rsidRPr="001005B7">
        <w:rPr>
          <w:rFonts w:cstheme="minorHAnsi"/>
        </w:rPr>
        <w:t>5:</w:t>
      </w:r>
      <w:r w:rsidR="00FB72CA" w:rsidRPr="001005B7">
        <w:rPr>
          <w:rFonts w:cstheme="minorHAnsi"/>
        </w:rPr>
        <w:t>5</w:t>
      </w:r>
      <w:r w:rsidR="00F46900" w:rsidRPr="001005B7">
        <w:rPr>
          <w:rFonts w:cstheme="minorHAnsi"/>
        </w:rPr>
        <w:t>–</w:t>
      </w:r>
      <w:r w:rsidR="00FB72CA" w:rsidRPr="001005B7">
        <w:rPr>
          <w:rFonts w:cstheme="minorHAnsi"/>
        </w:rPr>
        <w:t>6</w:t>
      </w:r>
      <w:r w:rsidR="00806BDF" w:rsidRPr="001005B7">
        <w:rPr>
          <w:rFonts w:cstheme="minorHAnsi"/>
        </w:rPr>
        <w:t>.</w:t>
      </w:r>
      <w:r w:rsidR="00402F40" w:rsidRPr="001005B7">
        <w:rPr>
          <w:rFonts w:cstheme="minorHAnsi"/>
        </w:rPr>
        <w:t xml:space="preserve"> </w:t>
      </w:r>
      <w:r w:rsidR="005F7EA1" w:rsidRPr="001005B7">
        <w:rPr>
          <w:rFonts w:cstheme="minorHAnsi"/>
        </w:rPr>
        <w:t>First,</w:t>
      </w:r>
      <w:r w:rsidR="000B461A" w:rsidRPr="001005B7">
        <w:rPr>
          <w:rFonts w:cstheme="minorHAnsi"/>
        </w:rPr>
        <w:t xml:space="preserve"> </w:t>
      </w:r>
      <w:r w:rsidR="00C63D2F" w:rsidRPr="001005B7">
        <w:rPr>
          <w:rFonts w:cstheme="minorHAnsi"/>
        </w:rPr>
        <w:t>t</w:t>
      </w:r>
      <w:r w:rsidR="00320430" w:rsidRPr="001005B7">
        <w:rPr>
          <w:rFonts w:cstheme="minorHAnsi"/>
        </w:rPr>
        <w:t>here is</w:t>
      </w:r>
      <w:r w:rsidR="00FD438E" w:rsidRPr="001005B7">
        <w:rPr>
          <w:rFonts w:cstheme="minorHAnsi"/>
        </w:rPr>
        <w:t xml:space="preserve"> </w:t>
      </w:r>
      <w:r w:rsidR="00CA7ED8" w:rsidRPr="001005B7">
        <w:rPr>
          <w:rFonts w:cstheme="minorHAnsi"/>
        </w:rPr>
        <w:t>“</w:t>
      </w:r>
      <w:r w:rsidR="002871C9" w:rsidRPr="001005B7">
        <w:rPr>
          <w:rFonts w:cstheme="minorHAnsi"/>
        </w:rPr>
        <w:t xml:space="preserve">your </w:t>
      </w:r>
      <w:r w:rsidR="00FD438E" w:rsidRPr="001005B7">
        <w:rPr>
          <w:rFonts w:cstheme="minorHAnsi"/>
        </w:rPr>
        <w:t>wildness</w:t>
      </w:r>
      <w:r w:rsidR="00CA7ED8" w:rsidRPr="001005B7">
        <w:rPr>
          <w:rFonts w:cstheme="minorHAnsi"/>
        </w:rPr>
        <w:t>”</w:t>
      </w:r>
      <w:r w:rsidR="004575D0" w:rsidRPr="001005B7">
        <w:rPr>
          <w:rFonts w:cstheme="minorHAnsi"/>
        </w:rPr>
        <w:t xml:space="preserve"> </w:t>
      </w:r>
      <w:r w:rsidR="006200E3" w:rsidRPr="001005B7">
        <w:rPr>
          <w:rFonts w:cstheme="minorHAnsi"/>
        </w:rPr>
        <w:t>(</w:t>
      </w:r>
      <w:r w:rsidR="006200E3" w:rsidRPr="001005B7">
        <w:rPr>
          <w:rFonts w:cstheme="minorHAnsi"/>
          <w:rtl/>
          <w:lang w:bidi="he-IL"/>
        </w:rPr>
        <w:t>הֲ</w:t>
      </w:r>
      <w:r w:rsidR="00903557" w:rsidRPr="001005B7">
        <w:rPr>
          <w:rFonts w:cstheme="minorHAnsi"/>
          <w:rtl/>
          <w:lang w:bidi="he-IL"/>
        </w:rPr>
        <w:t>מׇנְכֶ</w:t>
      </w:r>
      <w:r w:rsidR="00EF1329" w:rsidRPr="001005B7">
        <w:rPr>
          <w:rFonts w:cstheme="minorHAnsi"/>
          <w:rtl/>
          <w:lang w:bidi="he-IL"/>
        </w:rPr>
        <w:t>ם</w:t>
      </w:r>
      <w:r w:rsidR="002426D2" w:rsidRPr="001005B7">
        <w:rPr>
          <w:rFonts w:cstheme="minorHAnsi"/>
        </w:rPr>
        <w:t>; see the translation footnote)</w:t>
      </w:r>
      <w:r w:rsidR="0001611D" w:rsidRPr="001005B7">
        <w:rPr>
          <w:rFonts w:cstheme="minorHAnsi"/>
        </w:rPr>
        <w:t>,</w:t>
      </w:r>
      <w:r w:rsidR="00682A94" w:rsidRPr="001005B7">
        <w:rPr>
          <w:rFonts w:cstheme="minorHAnsi"/>
        </w:rPr>
        <w:t xml:space="preserve"> a vivid </w:t>
      </w:r>
      <w:r w:rsidR="00B61E4A" w:rsidRPr="001005B7">
        <w:rPr>
          <w:rFonts w:cstheme="minorHAnsi"/>
        </w:rPr>
        <w:t xml:space="preserve">alternative description of </w:t>
      </w:r>
      <w:r w:rsidR="000E18C5" w:rsidRPr="001005B7">
        <w:rPr>
          <w:rFonts w:cstheme="minorHAnsi"/>
        </w:rPr>
        <w:t xml:space="preserve">the </w:t>
      </w:r>
      <w:r w:rsidR="00B61E4A" w:rsidRPr="001005B7">
        <w:rPr>
          <w:rFonts w:cstheme="minorHAnsi"/>
        </w:rPr>
        <w:t>Jerusalem</w:t>
      </w:r>
      <w:r w:rsidR="000E18C5" w:rsidRPr="001005B7">
        <w:rPr>
          <w:rFonts w:cstheme="minorHAnsi"/>
        </w:rPr>
        <w:t>ites’</w:t>
      </w:r>
      <w:r w:rsidR="00B61E4A" w:rsidRPr="001005B7">
        <w:rPr>
          <w:rFonts w:cstheme="minorHAnsi"/>
        </w:rPr>
        <w:t xml:space="preserve"> waywardness</w:t>
      </w:r>
      <w:r w:rsidR="008C26E4" w:rsidRPr="001005B7">
        <w:rPr>
          <w:rFonts w:cstheme="minorHAnsi"/>
        </w:rPr>
        <w:t xml:space="preserve">. </w:t>
      </w:r>
      <w:r w:rsidR="008B72E4" w:rsidRPr="001005B7">
        <w:rPr>
          <w:rFonts w:cstheme="minorHAnsi"/>
        </w:rPr>
        <w:t xml:space="preserve">And </w:t>
      </w:r>
      <w:r w:rsidR="00490869" w:rsidRPr="001005B7">
        <w:rPr>
          <w:rFonts w:cstheme="minorHAnsi"/>
        </w:rPr>
        <w:t xml:space="preserve">the comment on </w:t>
      </w:r>
      <w:r w:rsidR="00224296" w:rsidRPr="001005B7">
        <w:rPr>
          <w:rFonts w:cstheme="minorHAnsi"/>
        </w:rPr>
        <w:t>the people’s</w:t>
      </w:r>
      <w:r w:rsidR="00253FAF" w:rsidRPr="001005B7">
        <w:rPr>
          <w:rFonts w:cstheme="minorHAnsi"/>
        </w:rPr>
        <w:t xml:space="preserve"> capacity to be more wayw</w:t>
      </w:r>
      <w:r w:rsidR="00490869" w:rsidRPr="001005B7">
        <w:rPr>
          <w:rFonts w:cstheme="minorHAnsi"/>
        </w:rPr>
        <w:t xml:space="preserve">ard than the nations is nuanced </w:t>
      </w:r>
      <w:r w:rsidR="009D1DD2" w:rsidRPr="001005B7">
        <w:rPr>
          <w:rFonts w:cstheme="minorHAnsi"/>
        </w:rPr>
        <w:t xml:space="preserve">by describing </w:t>
      </w:r>
      <w:r w:rsidR="00BA4AF8" w:rsidRPr="001005B7">
        <w:rPr>
          <w:rFonts w:cstheme="minorHAnsi"/>
        </w:rPr>
        <w:t>them</w:t>
      </w:r>
      <w:r w:rsidR="009D1DD2" w:rsidRPr="001005B7">
        <w:rPr>
          <w:rFonts w:cstheme="minorHAnsi"/>
        </w:rPr>
        <w:t xml:space="preserve"> as</w:t>
      </w:r>
      <w:r w:rsidR="008A789B" w:rsidRPr="001005B7">
        <w:rPr>
          <w:rFonts w:cstheme="minorHAnsi"/>
        </w:rPr>
        <w:t xml:space="preserve"> not </w:t>
      </w:r>
      <w:r w:rsidR="00CB5C76" w:rsidRPr="001005B7">
        <w:rPr>
          <w:rFonts w:cstheme="minorHAnsi"/>
        </w:rPr>
        <w:t>only failing to live by Yahweh’s laws and rulin</w:t>
      </w:r>
      <w:r w:rsidR="009B4ED8" w:rsidRPr="001005B7">
        <w:rPr>
          <w:rFonts w:cstheme="minorHAnsi"/>
        </w:rPr>
        <w:t>gs</w:t>
      </w:r>
      <w:r w:rsidR="00B2202E" w:rsidRPr="001005B7">
        <w:rPr>
          <w:rFonts w:cstheme="minorHAnsi"/>
        </w:rPr>
        <w:t>, but not</w:t>
      </w:r>
      <w:r w:rsidR="009B4ED8" w:rsidRPr="001005B7">
        <w:rPr>
          <w:rFonts w:cstheme="minorHAnsi"/>
        </w:rPr>
        <w:t xml:space="preserve"> even </w:t>
      </w:r>
      <w:r w:rsidR="00FB7CE9" w:rsidRPr="001005B7">
        <w:rPr>
          <w:rFonts w:cstheme="minorHAnsi"/>
        </w:rPr>
        <w:t>act</w:t>
      </w:r>
      <w:r w:rsidR="00B2202E" w:rsidRPr="001005B7">
        <w:rPr>
          <w:rFonts w:cstheme="minorHAnsi"/>
        </w:rPr>
        <w:t>ing</w:t>
      </w:r>
      <w:r w:rsidR="00FB7CE9" w:rsidRPr="001005B7">
        <w:rPr>
          <w:rFonts w:cstheme="minorHAnsi"/>
        </w:rPr>
        <w:t xml:space="preserve"> in accordance with the nations’ </w:t>
      </w:r>
      <w:r w:rsidR="009B4ED8" w:rsidRPr="001005B7">
        <w:rPr>
          <w:rFonts w:cstheme="minorHAnsi"/>
        </w:rPr>
        <w:t>own</w:t>
      </w:r>
      <w:r w:rsidR="00FB7CE9" w:rsidRPr="001005B7">
        <w:rPr>
          <w:rFonts w:cstheme="minorHAnsi"/>
        </w:rPr>
        <w:t xml:space="preserve"> rulings. </w:t>
      </w:r>
      <w:r w:rsidR="001D5331" w:rsidRPr="001005B7">
        <w:rPr>
          <w:rFonts w:cstheme="minorHAnsi"/>
        </w:rPr>
        <w:t xml:space="preserve">Yahweh’s </w:t>
      </w:r>
      <w:r w:rsidR="003C0A4D" w:rsidRPr="001005B7">
        <w:rPr>
          <w:rFonts w:cstheme="minorHAnsi"/>
        </w:rPr>
        <w:t xml:space="preserve">accusation might make people think of Judah’s </w:t>
      </w:r>
      <w:r w:rsidR="000807CA" w:rsidRPr="001005B7">
        <w:rPr>
          <w:rFonts w:cstheme="minorHAnsi"/>
        </w:rPr>
        <w:t xml:space="preserve">history of failing to keep its </w:t>
      </w:r>
      <w:r w:rsidR="001149BA" w:rsidRPr="001005B7">
        <w:rPr>
          <w:rFonts w:cstheme="minorHAnsi"/>
        </w:rPr>
        <w:t>political commitments to</w:t>
      </w:r>
      <w:r w:rsidR="000807CA" w:rsidRPr="001005B7">
        <w:rPr>
          <w:rFonts w:cstheme="minorHAnsi"/>
        </w:rPr>
        <w:t xml:space="preserve"> peoples such as </w:t>
      </w:r>
      <w:r w:rsidR="00CB0AA1" w:rsidRPr="001005B7">
        <w:rPr>
          <w:rFonts w:cstheme="minorHAnsi"/>
        </w:rPr>
        <w:t>Babylon</w:t>
      </w:r>
      <w:r w:rsidR="000807CA" w:rsidRPr="001005B7">
        <w:rPr>
          <w:rFonts w:cstheme="minorHAnsi"/>
        </w:rPr>
        <w:t xml:space="preserve"> and Egypt in the decades leading up to 5</w:t>
      </w:r>
      <w:r w:rsidR="00CB0AA1" w:rsidRPr="001005B7">
        <w:rPr>
          <w:rFonts w:cstheme="minorHAnsi"/>
        </w:rPr>
        <w:t>87.</w:t>
      </w:r>
    </w:p>
    <w:p w14:paraId="53D564F5" w14:textId="1486AFA8" w:rsidR="003C75D7" w:rsidRPr="001005B7" w:rsidRDefault="00C420CD" w:rsidP="00C720C5">
      <w:r w:rsidRPr="001005B7">
        <w:rPr>
          <w:rFonts w:cstheme="minorHAnsi"/>
          <w:b/>
          <w:bCs/>
        </w:rPr>
        <w:t xml:space="preserve">5:8 </w:t>
      </w:r>
      <w:r w:rsidR="005C5406" w:rsidRPr="001005B7">
        <w:rPr>
          <w:rFonts w:cstheme="minorHAnsi"/>
        </w:rPr>
        <w:t>After</w:t>
      </w:r>
      <w:r w:rsidR="00E73956" w:rsidRPr="001005B7">
        <w:rPr>
          <w:rFonts w:cstheme="minorHAnsi"/>
        </w:rPr>
        <w:t xml:space="preserve"> yet another</w:t>
      </w:r>
      <w:r w:rsidR="00267D6B" w:rsidRPr="001005B7">
        <w:rPr>
          <w:rFonts w:cstheme="minorHAnsi"/>
        </w:rPr>
        <w:t xml:space="preserve"> repet</w:t>
      </w:r>
      <w:r w:rsidR="00C26351" w:rsidRPr="001005B7">
        <w:rPr>
          <w:rFonts w:cstheme="minorHAnsi"/>
        </w:rPr>
        <w:t>it</w:t>
      </w:r>
      <w:r w:rsidR="00267D6B" w:rsidRPr="001005B7">
        <w:rPr>
          <w:rFonts w:cstheme="minorHAnsi"/>
        </w:rPr>
        <w:t>ion of th</w:t>
      </w:r>
      <w:r w:rsidR="00AA5D92" w:rsidRPr="001005B7">
        <w:rPr>
          <w:rFonts w:cstheme="minorHAnsi"/>
        </w:rPr>
        <w:t>e</w:t>
      </w:r>
      <w:r w:rsidR="00267D6B" w:rsidRPr="001005B7">
        <w:rPr>
          <w:rFonts w:cstheme="minorHAnsi"/>
        </w:rPr>
        <w:t xml:space="preserve"> introductory phrase</w:t>
      </w:r>
      <w:r w:rsidR="0080099A" w:rsidRPr="001005B7">
        <w:rPr>
          <w:rFonts w:cstheme="minorHAnsi"/>
        </w:rPr>
        <w:t xml:space="preserve"> and a further </w:t>
      </w:r>
      <w:r w:rsidR="007803C3" w:rsidRPr="001005B7">
        <w:rPr>
          <w:rFonts w:cstheme="minorHAnsi"/>
        </w:rPr>
        <w:t>tightening of suspense (when wil</w:t>
      </w:r>
      <w:r w:rsidR="00E61125" w:rsidRPr="001005B7">
        <w:rPr>
          <w:rFonts w:cstheme="minorHAnsi"/>
        </w:rPr>
        <w:t xml:space="preserve">l Ezekiel tell us what Yahweh is </w:t>
      </w:r>
      <w:r w:rsidR="002E2D37" w:rsidRPr="001005B7">
        <w:rPr>
          <w:rFonts w:cstheme="minorHAnsi"/>
        </w:rPr>
        <w:t>implying?)</w:t>
      </w:r>
      <w:r w:rsidR="005625B8" w:rsidRPr="001005B7">
        <w:rPr>
          <w:rFonts w:cstheme="minorHAnsi"/>
        </w:rPr>
        <w:t xml:space="preserve">, Yahweh </w:t>
      </w:r>
      <w:r w:rsidR="00E3522A" w:rsidRPr="001005B7">
        <w:rPr>
          <w:rFonts w:cstheme="minorHAnsi"/>
        </w:rPr>
        <w:t>at last</w:t>
      </w:r>
      <w:r w:rsidR="005625B8" w:rsidRPr="001005B7">
        <w:rPr>
          <w:rFonts w:cstheme="minorHAnsi"/>
        </w:rPr>
        <w:t xml:space="preserve"> </w:t>
      </w:r>
      <w:r w:rsidR="00D541A5" w:rsidRPr="001005B7">
        <w:rPr>
          <w:rFonts w:cstheme="minorHAnsi"/>
        </w:rPr>
        <w:t xml:space="preserve">declares what the consequence </w:t>
      </w:r>
      <w:r w:rsidR="00D30B1B" w:rsidRPr="001005B7">
        <w:rPr>
          <w:rFonts w:cstheme="minorHAnsi"/>
        </w:rPr>
        <w:t xml:space="preserve">of </w:t>
      </w:r>
      <w:r w:rsidR="0043384E" w:rsidRPr="001005B7">
        <w:rPr>
          <w:rFonts w:cstheme="minorHAnsi"/>
        </w:rPr>
        <w:t xml:space="preserve">Jerusalem’s faithlessness </w:t>
      </w:r>
      <w:r w:rsidR="00D541A5" w:rsidRPr="001005B7">
        <w:rPr>
          <w:rFonts w:cstheme="minorHAnsi"/>
        </w:rPr>
        <w:t>will be</w:t>
      </w:r>
      <w:r w:rsidR="00E3522A" w:rsidRPr="001005B7">
        <w:rPr>
          <w:rFonts w:cstheme="minorHAnsi"/>
        </w:rPr>
        <w:t xml:space="preserve">. </w:t>
      </w:r>
      <w:r w:rsidR="00ED5BEC" w:rsidRPr="001005B7">
        <w:rPr>
          <w:rFonts w:cstheme="minorHAnsi"/>
        </w:rPr>
        <w:t xml:space="preserve">First, </w:t>
      </w:r>
      <w:r w:rsidR="00FA3020" w:rsidRPr="001005B7">
        <w:rPr>
          <w:rFonts w:cstheme="minorHAnsi"/>
        </w:rPr>
        <w:t xml:space="preserve">there is the frightening </w:t>
      </w:r>
      <w:r w:rsidR="00B876CC" w:rsidRPr="001005B7">
        <w:rPr>
          <w:rFonts w:cstheme="minorHAnsi"/>
        </w:rPr>
        <w:t>“</w:t>
      </w:r>
      <w:r w:rsidR="00FA3020" w:rsidRPr="001005B7">
        <w:rPr>
          <w:rFonts w:cstheme="minorHAnsi"/>
        </w:rPr>
        <w:t>here</w:t>
      </w:r>
      <w:r w:rsidR="00FA3020" w:rsidRPr="001005B7">
        <w:rPr>
          <w:rFonts w:cstheme="minorHAnsi"/>
          <w:i/>
          <w:iCs/>
        </w:rPr>
        <w:t xml:space="preserve"> </w:t>
      </w:r>
      <w:r w:rsidR="00FA3020" w:rsidRPr="001005B7">
        <w:rPr>
          <w:rFonts w:cstheme="minorHAnsi"/>
        </w:rPr>
        <w:t>am</w:t>
      </w:r>
      <w:r w:rsidR="00B876CC" w:rsidRPr="001005B7">
        <w:rPr>
          <w:rFonts w:cstheme="minorHAnsi"/>
        </w:rPr>
        <w:t xml:space="preserve"> I [</w:t>
      </w:r>
      <w:r w:rsidR="009B35D4" w:rsidRPr="001005B7">
        <w:rPr>
          <w:rFonts w:cstheme="minorHAnsi"/>
        </w:rPr>
        <w:t>coming</w:t>
      </w:r>
      <w:r w:rsidR="00AF7FD6" w:rsidRPr="001005B7">
        <w:rPr>
          <w:rFonts w:cstheme="minorHAnsi"/>
        </w:rPr>
        <w:t>]</w:t>
      </w:r>
      <w:r w:rsidR="009B35D4" w:rsidRPr="001005B7">
        <w:rPr>
          <w:rFonts w:cstheme="minorHAnsi"/>
          <w:i/>
          <w:iCs/>
        </w:rPr>
        <w:t xml:space="preserve"> </w:t>
      </w:r>
      <w:r w:rsidR="00FA3020" w:rsidRPr="001005B7">
        <w:rPr>
          <w:rFonts w:cstheme="minorHAnsi"/>
        </w:rPr>
        <w:t>against</w:t>
      </w:r>
      <w:r w:rsidR="00FA3020" w:rsidRPr="001005B7">
        <w:rPr>
          <w:rFonts w:cstheme="minorHAnsi"/>
          <w:i/>
          <w:iCs/>
        </w:rPr>
        <w:t xml:space="preserve"> </w:t>
      </w:r>
      <w:r w:rsidR="00FA3020" w:rsidRPr="001005B7">
        <w:rPr>
          <w:rFonts w:cstheme="minorHAnsi"/>
        </w:rPr>
        <w:t>you</w:t>
      </w:r>
      <w:r w:rsidR="009E5089" w:rsidRPr="001005B7">
        <w:rPr>
          <w:rFonts w:cstheme="minorHAnsi"/>
        </w:rPr>
        <w:t>.</w:t>
      </w:r>
      <w:r w:rsidR="00AF7FD6" w:rsidRPr="001005B7">
        <w:rPr>
          <w:rFonts w:cstheme="minorHAnsi"/>
        </w:rPr>
        <w:t>”</w:t>
      </w:r>
      <w:r w:rsidR="005C75B5" w:rsidRPr="001005B7">
        <w:rPr>
          <w:rFonts w:cstheme="minorHAnsi"/>
        </w:rPr>
        <w:t xml:space="preserve"> Yahweh says </w:t>
      </w:r>
      <w:r w:rsidR="004E63DB" w:rsidRPr="001005B7">
        <w:rPr>
          <w:rFonts w:cstheme="minorHAnsi"/>
        </w:rPr>
        <w:t xml:space="preserve">it </w:t>
      </w:r>
      <w:r w:rsidR="005C75B5" w:rsidRPr="001005B7">
        <w:rPr>
          <w:rFonts w:cstheme="minorHAnsi"/>
        </w:rPr>
        <w:t xml:space="preserve">elsewhere </w:t>
      </w:r>
      <w:r w:rsidR="00A75A8E" w:rsidRPr="001005B7">
        <w:rPr>
          <w:rFonts w:cstheme="minorHAnsi"/>
        </w:rPr>
        <w:t xml:space="preserve">in Ezekiel </w:t>
      </w:r>
      <w:r w:rsidR="000E3FCE" w:rsidRPr="001005B7">
        <w:rPr>
          <w:rFonts w:cstheme="minorHAnsi"/>
        </w:rPr>
        <w:t xml:space="preserve">only </w:t>
      </w:r>
      <w:r w:rsidR="005C75B5" w:rsidRPr="001005B7">
        <w:rPr>
          <w:rFonts w:cstheme="minorHAnsi"/>
        </w:rPr>
        <w:t>t</w:t>
      </w:r>
      <w:r w:rsidR="00197546" w:rsidRPr="001005B7">
        <w:rPr>
          <w:rFonts w:cstheme="minorHAnsi"/>
        </w:rPr>
        <w:t xml:space="preserve">o </w:t>
      </w:r>
      <w:proofErr w:type="spellStart"/>
      <w:r w:rsidR="00197546" w:rsidRPr="001005B7">
        <w:rPr>
          <w:rFonts w:cstheme="minorHAnsi"/>
        </w:rPr>
        <w:t>Tyre</w:t>
      </w:r>
      <w:proofErr w:type="spellEnd"/>
      <w:r w:rsidR="00197546" w:rsidRPr="001005B7">
        <w:rPr>
          <w:rFonts w:cstheme="minorHAnsi"/>
        </w:rPr>
        <w:t>, Sidon, and Pharaoh (</w:t>
      </w:r>
      <w:r w:rsidR="00B13BAC" w:rsidRPr="001005B7">
        <w:rPr>
          <w:rFonts w:cstheme="minorHAnsi"/>
        </w:rPr>
        <w:t>26:3</w:t>
      </w:r>
      <w:r w:rsidR="00486B81" w:rsidRPr="001005B7">
        <w:rPr>
          <w:rFonts w:cstheme="minorHAnsi"/>
        </w:rPr>
        <w:t>; 28:22</w:t>
      </w:r>
      <w:r w:rsidR="006D3F32" w:rsidRPr="001005B7">
        <w:rPr>
          <w:rFonts w:cstheme="minorHAnsi"/>
        </w:rPr>
        <w:t>; 29:3</w:t>
      </w:r>
      <w:r w:rsidR="00A75A8E" w:rsidRPr="001005B7">
        <w:rPr>
          <w:rFonts w:cstheme="minorHAnsi"/>
        </w:rPr>
        <w:t xml:space="preserve">; </w:t>
      </w:r>
      <w:r w:rsidR="00273F7F" w:rsidRPr="001005B7">
        <w:rPr>
          <w:rFonts w:cstheme="minorHAnsi"/>
        </w:rPr>
        <w:t>in</w:t>
      </w:r>
      <w:r w:rsidR="00A75A8E" w:rsidRPr="001005B7">
        <w:rPr>
          <w:rFonts w:cstheme="minorHAnsi"/>
        </w:rPr>
        <w:t xml:space="preserve"> Jer 23:30, 31, 32</w:t>
      </w:r>
      <w:r w:rsidR="00273F7F" w:rsidRPr="001005B7">
        <w:rPr>
          <w:rFonts w:cstheme="minorHAnsi"/>
        </w:rPr>
        <w:t xml:space="preserve"> to the </w:t>
      </w:r>
      <w:r w:rsidR="00EC29B5" w:rsidRPr="001005B7">
        <w:rPr>
          <w:rFonts w:cstheme="minorHAnsi"/>
        </w:rPr>
        <w:t xml:space="preserve">deceptive </w:t>
      </w:r>
      <w:r w:rsidR="00273F7F" w:rsidRPr="001005B7">
        <w:rPr>
          <w:rFonts w:cstheme="minorHAnsi"/>
        </w:rPr>
        <w:t>prophets</w:t>
      </w:r>
      <w:r w:rsidR="004A7667" w:rsidRPr="001005B7">
        <w:rPr>
          <w:rFonts w:cstheme="minorHAnsi"/>
        </w:rPr>
        <w:t xml:space="preserve">), though </w:t>
      </w:r>
      <w:r w:rsidR="008C5E81" w:rsidRPr="001005B7">
        <w:rPr>
          <w:rFonts w:cstheme="minorHAnsi"/>
        </w:rPr>
        <w:t>he does</w:t>
      </w:r>
      <w:r w:rsidR="00EC72A8" w:rsidRPr="001005B7">
        <w:rPr>
          <w:rFonts w:cstheme="minorHAnsi"/>
        </w:rPr>
        <w:t xml:space="preserve"> </w:t>
      </w:r>
      <w:r w:rsidR="00B216D6" w:rsidRPr="001005B7">
        <w:rPr>
          <w:rFonts w:cstheme="minorHAnsi"/>
        </w:rPr>
        <w:t xml:space="preserve">issue </w:t>
      </w:r>
      <w:r w:rsidR="0043384E" w:rsidRPr="001005B7">
        <w:rPr>
          <w:rFonts w:cstheme="minorHAnsi"/>
        </w:rPr>
        <w:t xml:space="preserve">a slightly different </w:t>
      </w:r>
      <w:r w:rsidR="00AF7C98" w:rsidRPr="001005B7">
        <w:rPr>
          <w:rFonts w:cstheme="minorHAnsi"/>
        </w:rPr>
        <w:t>version</w:t>
      </w:r>
      <w:r w:rsidR="006B5B66" w:rsidRPr="001005B7">
        <w:rPr>
          <w:rFonts w:cstheme="minorHAnsi"/>
        </w:rPr>
        <w:t xml:space="preserve"> of the </w:t>
      </w:r>
      <w:r w:rsidR="00B216D6" w:rsidRPr="001005B7">
        <w:rPr>
          <w:rFonts w:cstheme="minorHAnsi"/>
        </w:rPr>
        <w:t>t</w:t>
      </w:r>
      <w:r w:rsidR="00A547C2" w:rsidRPr="001005B7">
        <w:rPr>
          <w:rFonts w:cstheme="minorHAnsi"/>
        </w:rPr>
        <w:t>hreat elsewhere</w:t>
      </w:r>
      <w:r w:rsidR="00BF3272" w:rsidRPr="001005B7">
        <w:rPr>
          <w:rFonts w:cstheme="minorHAnsi"/>
        </w:rPr>
        <w:t xml:space="preserve"> (</w:t>
      </w:r>
      <w:r w:rsidR="00D2779E" w:rsidRPr="001005B7">
        <w:rPr>
          <w:rFonts w:cstheme="minorHAnsi"/>
          <w:rtl/>
          <w:lang w:bidi="he-IL"/>
        </w:rPr>
        <w:t>אֶל</w:t>
      </w:r>
      <w:r w:rsidR="0076464E" w:rsidRPr="001005B7">
        <w:rPr>
          <w:rFonts w:cstheme="minorHAnsi"/>
        </w:rPr>
        <w:t xml:space="preserve"> instead of</w:t>
      </w:r>
      <w:r w:rsidR="00011C97" w:rsidRPr="001005B7">
        <w:rPr>
          <w:rFonts w:cstheme="minorHAnsi"/>
        </w:rPr>
        <w:t xml:space="preserve"> </w:t>
      </w:r>
      <w:r w:rsidR="006B4852" w:rsidRPr="001005B7">
        <w:rPr>
          <w:rFonts w:cstheme="minorHAnsi"/>
          <w:rtl/>
          <w:lang w:bidi="he-IL"/>
        </w:rPr>
        <w:t>עַל</w:t>
      </w:r>
      <w:r w:rsidR="00CB415E" w:rsidRPr="001005B7">
        <w:rPr>
          <w:rFonts w:cstheme="minorHAnsi"/>
        </w:rPr>
        <w:t>,</w:t>
      </w:r>
      <w:r w:rsidR="0076464E" w:rsidRPr="001005B7">
        <w:rPr>
          <w:rFonts w:cstheme="minorHAnsi"/>
        </w:rPr>
        <w:t xml:space="preserve"> </w:t>
      </w:r>
      <w:r w:rsidR="00432568" w:rsidRPr="001005B7">
        <w:rPr>
          <w:rFonts w:cstheme="minorHAnsi"/>
        </w:rPr>
        <w:t xml:space="preserve">e.g., </w:t>
      </w:r>
      <w:r w:rsidR="00A2234A" w:rsidRPr="001005B7">
        <w:rPr>
          <w:rFonts w:cstheme="minorHAnsi"/>
        </w:rPr>
        <w:t xml:space="preserve">13:8; </w:t>
      </w:r>
      <w:r w:rsidR="006F69C6" w:rsidRPr="001005B7">
        <w:rPr>
          <w:rFonts w:cstheme="minorHAnsi"/>
        </w:rPr>
        <w:t>21:3 [</w:t>
      </w:r>
      <w:r w:rsidR="00A950D6" w:rsidRPr="001005B7">
        <w:rPr>
          <w:rFonts w:cstheme="minorHAnsi"/>
        </w:rPr>
        <w:t>8]</w:t>
      </w:r>
      <w:r w:rsidR="00465FC7" w:rsidRPr="001005B7">
        <w:rPr>
          <w:rFonts w:cstheme="minorHAnsi"/>
        </w:rPr>
        <w:t>)</w:t>
      </w:r>
      <w:r w:rsidR="00CB415E" w:rsidRPr="001005B7">
        <w:rPr>
          <w:rFonts w:cstheme="minorHAnsi"/>
        </w:rPr>
        <w:t>,</w:t>
      </w:r>
      <w:r w:rsidR="009E7904" w:rsidRPr="001005B7">
        <w:rPr>
          <w:rFonts w:cstheme="minorHAnsi"/>
        </w:rPr>
        <w:t xml:space="preserve"> and </w:t>
      </w:r>
      <w:r w:rsidR="00465FC7" w:rsidRPr="001005B7">
        <w:rPr>
          <w:rFonts w:cstheme="minorHAnsi"/>
        </w:rPr>
        <w:t xml:space="preserve">he </w:t>
      </w:r>
      <w:r w:rsidR="009D73D3" w:rsidRPr="001005B7">
        <w:rPr>
          <w:rFonts w:cstheme="minorHAnsi"/>
        </w:rPr>
        <w:t xml:space="preserve">can </w:t>
      </w:r>
      <w:r w:rsidR="00465FC7" w:rsidRPr="001005B7">
        <w:rPr>
          <w:rFonts w:cstheme="minorHAnsi"/>
        </w:rPr>
        <w:t xml:space="preserve">use that </w:t>
      </w:r>
      <w:r w:rsidR="00AF7C98" w:rsidRPr="001005B7">
        <w:rPr>
          <w:rFonts w:cstheme="minorHAnsi"/>
        </w:rPr>
        <w:t>vers</w:t>
      </w:r>
      <w:r w:rsidR="00465FC7" w:rsidRPr="001005B7">
        <w:rPr>
          <w:rFonts w:cstheme="minorHAnsi"/>
        </w:rPr>
        <w:t xml:space="preserve">ion </w:t>
      </w:r>
      <w:r w:rsidR="009E7904" w:rsidRPr="001005B7">
        <w:rPr>
          <w:rFonts w:cstheme="minorHAnsi"/>
        </w:rPr>
        <w:t xml:space="preserve">with positive implications </w:t>
      </w:r>
      <w:r w:rsidR="00000041" w:rsidRPr="001005B7">
        <w:rPr>
          <w:rFonts w:cstheme="minorHAnsi"/>
        </w:rPr>
        <w:t>(</w:t>
      </w:r>
      <w:r w:rsidR="00CB415E" w:rsidRPr="001005B7">
        <w:rPr>
          <w:rFonts w:cstheme="minorHAnsi"/>
        </w:rPr>
        <w:t>36:9</w:t>
      </w:r>
      <w:r w:rsidR="00000041" w:rsidRPr="001005B7">
        <w:rPr>
          <w:rFonts w:cstheme="minorHAnsi"/>
        </w:rPr>
        <w:t>)</w:t>
      </w:r>
      <w:r w:rsidR="00B813C9" w:rsidRPr="001005B7">
        <w:rPr>
          <w:rFonts w:cstheme="minorHAnsi"/>
        </w:rPr>
        <w:t xml:space="preserve">. </w:t>
      </w:r>
      <w:r w:rsidR="000B0E6A" w:rsidRPr="001005B7">
        <w:rPr>
          <w:rFonts w:cstheme="minorHAnsi"/>
        </w:rPr>
        <w:t>“The Philistines are on you</w:t>
      </w:r>
      <w:r w:rsidR="003E5608" w:rsidRPr="001005B7">
        <w:rPr>
          <w:rFonts w:cstheme="minorHAnsi"/>
        </w:rPr>
        <w:t>,</w:t>
      </w:r>
      <w:r w:rsidR="00293D12" w:rsidRPr="001005B7">
        <w:rPr>
          <w:rFonts w:cstheme="minorHAnsi"/>
        </w:rPr>
        <w:t xml:space="preserve"> Samson,</w:t>
      </w:r>
      <w:r w:rsidR="003E5608" w:rsidRPr="001005B7">
        <w:rPr>
          <w:rFonts w:cstheme="minorHAnsi"/>
        </w:rPr>
        <w:t xml:space="preserve">” says Delilah, using </w:t>
      </w:r>
      <w:r w:rsidR="00C92D43" w:rsidRPr="001005B7">
        <w:rPr>
          <w:rFonts w:cstheme="minorHAnsi"/>
        </w:rPr>
        <w:t>Ezekiel’s</w:t>
      </w:r>
      <w:r w:rsidR="003E5608" w:rsidRPr="001005B7">
        <w:rPr>
          <w:rFonts w:cstheme="minorHAnsi"/>
        </w:rPr>
        <w:t xml:space="preserve"> expression</w:t>
      </w:r>
      <w:r w:rsidR="00492354" w:rsidRPr="001005B7">
        <w:rPr>
          <w:rFonts w:cstheme="minorHAnsi"/>
        </w:rPr>
        <w:t xml:space="preserve"> </w:t>
      </w:r>
      <w:r w:rsidR="00C92D43" w:rsidRPr="001005B7">
        <w:rPr>
          <w:rFonts w:cstheme="minorHAnsi"/>
        </w:rPr>
        <w:t>here</w:t>
      </w:r>
      <w:r w:rsidR="00AE5A6E" w:rsidRPr="001005B7">
        <w:rPr>
          <w:rFonts w:cstheme="minorHAnsi"/>
        </w:rPr>
        <w:t xml:space="preserve"> (</w:t>
      </w:r>
      <w:r w:rsidR="00AE5A6E" w:rsidRPr="001005B7">
        <w:t>Greenberg</w:t>
      </w:r>
      <w:r w:rsidR="00C717A9" w:rsidRPr="001005B7">
        <w:t>,</w:t>
      </w:r>
      <w:r w:rsidR="00AE5A6E" w:rsidRPr="001005B7">
        <w:t xml:space="preserve"> 1:113).</w:t>
      </w:r>
      <w:r w:rsidR="003E5608" w:rsidRPr="001005B7">
        <w:rPr>
          <w:rFonts w:cstheme="minorHAnsi"/>
        </w:rPr>
        <w:t xml:space="preserve"> </w:t>
      </w:r>
      <w:r w:rsidR="004F3556" w:rsidRPr="001005B7">
        <w:rPr>
          <w:rFonts w:cstheme="minorHAnsi"/>
        </w:rPr>
        <w:t>NJPS</w:t>
      </w:r>
      <w:r w:rsidR="00B540A5" w:rsidRPr="001005B7">
        <w:rPr>
          <w:rFonts w:cstheme="minorHAnsi"/>
        </w:rPr>
        <w:t>’s</w:t>
      </w:r>
      <w:r w:rsidR="004F3556" w:rsidRPr="001005B7">
        <w:rPr>
          <w:rFonts w:cstheme="minorHAnsi"/>
        </w:rPr>
        <w:t xml:space="preserve"> paraphrase</w:t>
      </w:r>
      <w:r w:rsidR="002E365D" w:rsidRPr="001005B7">
        <w:rPr>
          <w:rFonts w:cstheme="minorHAnsi"/>
        </w:rPr>
        <w:t>,</w:t>
      </w:r>
      <w:r w:rsidR="004F3556" w:rsidRPr="001005B7">
        <w:rPr>
          <w:rFonts w:cstheme="minorHAnsi"/>
        </w:rPr>
        <w:t xml:space="preserve"> </w:t>
      </w:r>
      <w:r w:rsidR="0067142A" w:rsidRPr="001005B7">
        <w:rPr>
          <w:rFonts w:cstheme="minorHAnsi"/>
        </w:rPr>
        <w:t>“I am going to deal with you</w:t>
      </w:r>
      <w:r w:rsidR="002E365D" w:rsidRPr="001005B7">
        <w:rPr>
          <w:rFonts w:cstheme="minorHAnsi"/>
        </w:rPr>
        <w:t>,</w:t>
      </w:r>
      <w:r w:rsidR="0067142A" w:rsidRPr="001005B7">
        <w:rPr>
          <w:rFonts w:cstheme="minorHAnsi"/>
        </w:rPr>
        <w:t>”</w:t>
      </w:r>
      <w:r w:rsidR="004F3556" w:rsidRPr="001005B7">
        <w:rPr>
          <w:rFonts w:cstheme="minorHAnsi"/>
        </w:rPr>
        <w:t xml:space="preserve"> </w:t>
      </w:r>
      <w:r w:rsidR="002E365D" w:rsidRPr="001005B7">
        <w:rPr>
          <w:rFonts w:cstheme="minorHAnsi"/>
        </w:rPr>
        <w:t>fits well with</w:t>
      </w:r>
      <w:r w:rsidR="004F3556" w:rsidRPr="001005B7">
        <w:rPr>
          <w:rFonts w:cstheme="minorHAnsi"/>
        </w:rPr>
        <w:t xml:space="preserve"> Yahweh’s </w:t>
      </w:r>
      <w:r w:rsidR="00C92D43" w:rsidRPr="001005B7">
        <w:rPr>
          <w:rFonts w:cstheme="minorHAnsi"/>
        </w:rPr>
        <w:t>following</w:t>
      </w:r>
      <w:r w:rsidR="004F3556" w:rsidRPr="001005B7">
        <w:rPr>
          <w:rFonts w:cstheme="minorHAnsi"/>
        </w:rPr>
        <w:t xml:space="preserve"> formulation</w:t>
      </w:r>
      <w:r w:rsidR="00424885" w:rsidRPr="001005B7">
        <w:rPr>
          <w:rFonts w:cstheme="minorHAnsi"/>
        </w:rPr>
        <w:t xml:space="preserve">, </w:t>
      </w:r>
      <w:r w:rsidR="00AF7FD6" w:rsidRPr="001005B7">
        <w:t>“I</w:t>
      </w:r>
      <w:r w:rsidR="00D740EA" w:rsidRPr="001005B7">
        <w:rPr>
          <w:i/>
          <w:iCs/>
        </w:rPr>
        <w:t xml:space="preserve"> </w:t>
      </w:r>
      <w:r w:rsidR="00D740EA" w:rsidRPr="001005B7">
        <w:t>myself</w:t>
      </w:r>
      <w:r w:rsidR="00D740EA" w:rsidRPr="001005B7">
        <w:rPr>
          <w:i/>
          <w:iCs/>
        </w:rPr>
        <w:t xml:space="preserve"> </w:t>
      </w:r>
      <w:r w:rsidR="00D740EA" w:rsidRPr="001005B7">
        <w:t>will</w:t>
      </w:r>
      <w:r w:rsidR="00D740EA" w:rsidRPr="001005B7">
        <w:rPr>
          <w:i/>
          <w:iCs/>
        </w:rPr>
        <w:t xml:space="preserve"> </w:t>
      </w:r>
      <w:r w:rsidR="00D740EA" w:rsidRPr="001005B7">
        <w:t>act</w:t>
      </w:r>
      <w:r w:rsidR="00D740EA" w:rsidRPr="001005B7">
        <w:rPr>
          <w:i/>
          <w:iCs/>
        </w:rPr>
        <w:t xml:space="preserve"> </w:t>
      </w:r>
      <w:r w:rsidR="00D740EA" w:rsidRPr="001005B7">
        <w:t>on</w:t>
      </w:r>
      <w:r w:rsidR="00D740EA" w:rsidRPr="001005B7">
        <w:rPr>
          <w:i/>
          <w:iCs/>
        </w:rPr>
        <w:t xml:space="preserve"> </w:t>
      </w:r>
      <w:r w:rsidR="00D740EA" w:rsidRPr="001005B7">
        <w:t>rulings</w:t>
      </w:r>
      <w:r w:rsidR="00D740EA" w:rsidRPr="001005B7">
        <w:rPr>
          <w:i/>
          <w:iCs/>
        </w:rPr>
        <w:t xml:space="preserve"> </w:t>
      </w:r>
      <w:r w:rsidR="00984D11" w:rsidRPr="001005B7">
        <w:t>within</w:t>
      </w:r>
      <w:r w:rsidR="00D740EA" w:rsidRPr="001005B7">
        <w:rPr>
          <w:i/>
          <w:iCs/>
        </w:rPr>
        <w:t xml:space="preserve"> </w:t>
      </w:r>
      <w:r w:rsidR="00D740EA" w:rsidRPr="001005B7">
        <w:t>you</w:t>
      </w:r>
      <w:r w:rsidR="00D740EA" w:rsidRPr="001005B7">
        <w:rPr>
          <w:i/>
          <w:iCs/>
        </w:rPr>
        <w:t xml:space="preserve"> </w:t>
      </w:r>
      <w:r w:rsidR="00F61F2C" w:rsidRPr="001005B7">
        <w:t>in front of</w:t>
      </w:r>
      <w:r w:rsidR="00D740EA" w:rsidRPr="001005B7">
        <w:rPr>
          <w:i/>
          <w:iCs/>
        </w:rPr>
        <w:t xml:space="preserve"> </w:t>
      </w:r>
      <w:r w:rsidR="00D740EA" w:rsidRPr="001005B7">
        <w:t>the</w:t>
      </w:r>
      <w:r w:rsidR="00D740EA" w:rsidRPr="001005B7">
        <w:rPr>
          <w:i/>
          <w:iCs/>
        </w:rPr>
        <w:t xml:space="preserve"> </w:t>
      </w:r>
      <w:r w:rsidR="00D740EA" w:rsidRPr="001005B7">
        <w:t>nations’</w:t>
      </w:r>
      <w:r w:rsidR="00D740EA" w:rsidRPr="001005B7">
        <w:rPr>
          <w:i/>
          <w:iCs/>
        </w:rPr>
        <w:t xml:space="preserve"> </w:t>
      </w:r>
      <w:r w:rsidR="00D740EA" w:rsidRPr="001005B7">
        <w:t>eyes</w:t>
      </w:r>
      <w:r w:rsidR="0003421C" w:rsidRPr="001005B7">
        <w:t>.</w:t>
      </w:r>
      <w:r w:rsidR="00AF7FD6" w:rsidRPr="001005B7">
        <w:t>”</w:t>
      </w:r>
      <w:r w:rsidR="0003421C" w:rsidRPr="001005B7">
        <w:t xml:space="preserve"> There is double poetic justice there</w:t>
      </w:r>
      <w:r w:rsidR="00963F0E" w:rsidRPr="001005B7">
        <w:t>. T</w:t>
      </w:r>
      <w:r w:rsidR="0003421C" w:rsidRPr="001005B7">
        <w:t xml:space="preserve">hey have not acted on Yahweh’s rulings, </w:t>
      </w:r>
      <w:r w:rsidR="00963F0E" w:rsidRPr="001005B7">
        <w:t xml:space="preserve">which incorporated sanctions, </w:t>
      </w:r>
      <w:r w:rsidR="0003421C" w:rsidRPr="001005B7">
        <w:t>so he will</w:t>
      </w:r>
      <w:r w:rsidR="008B7517" w:rsidRPr="001005B7">
        <w:t xml:space="preserve"> act on his rulings</w:t>
      </w:r>
      <w:r w:rsidR="0003421C" w:rsidRPr="001005B7">
        <w:t>.</w:t>
      </w:r>
      <w:r w:rsidR="00963F0E" w:rsidRPr="001005B7">
        <w:t xml:space="preserve"> And </w:t>
      </w:r>
      <w:r w:rsidR="00A6392E" w:rsidRPr="001005B7">
        <w:t xml:space="preserve">they are surrounded by nations whose </w:t>
      </w:r>
      <w:r w:rsidR="00A5316F" w:rsidRPr="001005B7">
        <w:t xml:space="preserve">faithlessness they have exceeded, so he will take this action </w:t>
      </w:r>
      <w:r w:rsidR="00F61F2C" w:rsidRPr="001005B7">
        <w:t>in front of</w:t>
      </w:r>
      <w:r w:rsidR="00A5316F" w:rsidRPr="001005B7">
        <w:t xml:space="preserve"> the nations’ eyes.</w:t>
      </w:r>
      <w:r w:rsidR="00A6392E" w:rsidRPr="001005B7">
        <w:t xml:space="preserve"> </w:t>
      </w:r>
      <w:r w:rsidR="007B5E94" w:rsidRPr="001005B7">
        <w:t xml:space="preserve">The </w:t>
      </w:r>
      <w:r w:rsidR="005D1C31" w:rsidRPr="001005B7">
        <w:t xml:space="preserve">“chilling” phrase makes for a contrast with </w:t>
      </w:r>
      <w:r w:rsidR="00F44044" w:rsidRPr="001005B7">
        <w:t xml:space="preserve">the “more familiar and comforting” </w:t>
      </w:r>
      <w:r w:rsidR="00560EF5" w:rsidRPr="001005B7">
        <w:t xml:space="preserve">expression “I am with you” </w:t>
      </w:r>
      <w:r w:rsidR="00E977DF" w:rsidRPr="001005B7">
        <w:t>(</w:t>
      </w:r>
      <w:r w:rsidR="00560EF5" w:rsidRPr="001005B7">
        <w:t xml:space="preserve">which also implies action and not merely </w:t>
      </w:r>
      <w:r w:rsidR="00B8321F" w:rsidRPr="001005B7">
        <w:t xml:space="preserve">an </w:t>
      </w:r>
      <w:r w:rsidR="00560EF5" w:rsidRPr="001005B7">
        <w:t xml:space="preserve">inner </w:t>
      </w:r>
      <w:r w:rsidR="00B8321F" w:rsidRPr="001005B7">
        <w:t>sense of presence</w:t>
      </w:r>
      <w:r w:rsidR="006A0894" w:rsidRPr="001005B7">
        <w:t>)</w:t>
      </w:r>
      <w:r w:rsidR="00D47B70" w:rsidRPr="001005B7">
        <w:t xml:space="preserve"> </w:t>
      </w:r>
      <w:r w:rsidR="00D80C63" w:rsidRPr="001005B7">
        <w:t>and reinforces the message that Jerusalem’s real</w:t>
      </w:r>
      <w:r w:rsidR="00E977DF" w:rsidRPr="001005B7">
        <w:t>ly dangerous</w:t>
      </w:r>
      <w:r w:rsidR="00D80C63" w:rsidRPr="001005B7">
        <w:t xml:space="preserve"> adversary is not </w:t>
      </w:r>
      <w:r w:rsidR="00E977DF" w:rsidRPr="001005B7">
        <w:t>Babylon but Yahweh</w:t>
      </w:r>
      <w:r w:rsidR="00BB102F" w:rsidRPr="001005B7">
        <w:t xml:space="preserve"> (Wright, 90</w:t>
      </w:r>
      <w:r w:rsidR="00F46900" w:rsidRPr="001005B7">
        <w:t>–</w:t>
      </w:r>
      <w:r w:rsidR="00BB102F" w:rsidRPr="001005B7">
        <w:t>91).</w:t>
      </w:r>
    </w:p>
    <w:p w14:paraId="3A55B166" w14:textId="59A32F26" w:rsidR="00733118" w:rsidRPr="001005B7" w:rsidRDefault="00733118" w:rsidP="002B6443">
      <w:pPr>
        <w:rPr>
          <w:rFonts w:ascii="Calibri" w:eastAsia="Times New Roman" w:hAnsi="Calibri" w:cs="Calibri"/>
        </w:rPr>
      </w:pPr>
      <w:r w:rsidRPr="001005B7">
        <w:rPr>
          <w:b/>
          <w:bCs/>
        </w:rPr>
        <w:t>5:9</w:t>
      </w:r>
      <w:r w:rsidR="00BE5A58" w:rsidRPr="001005B7">
        <w:rPr>
          <w:b/>
          <w:bCs/>
        </w:rPr>
        <w:t xml:space="preserve"> </w:t>
      </w:r>
      <w:r w:rsidR="00545D8E" w:rsidRPr="001005B7">
        <w:t xml:space="preserve">What will </w:t>
      </w:r>
      <w:r w:rsidR="005B578C" w:rsidRPr="001005B7">
        <w:t xml:space="preserve">Yahweh being against Jerusalem mean? </w:t>
      </w:r>
      <w:r w:rsidR="006167E8" w:rsidRPr="001005B7">
        <w:t>Continuing to heighten suspense</w:t>
      </w:r>
      <w:r w:rsidR="001655BC" w:rsidRPr="001005B7">
        <w:t>, Yahweh asserts the uniqueness of what he will do in relation to what he has done in the past</w:t>
      </w:r>
      <w:r w:rsidR="005422A9" w:rsidRPr="001005B7">
        <w:t xml:space="preserve">. Indeed, </w:t>
      </w:r>
      <w:r w:rsidR="00386A24" w:rsidRPr="001005B7">
        <w:t xml:space="preserve">587 </w:t>
      </w:r>
      <w:r w:rsidR="005422A9" w:rsidRPr="001005B7">
        <w:t xml:space="preserve">will be more devastating </w:t>
      </w:r>
      <w:r w:rsidR="00386A24" w:rsidRPr="001005B7">
        <w:t>than 597</w:t>
      </w:r>
      <w:r w:rsidR="0042515A" w:rsidRPr="001005B7">
        <w:t xml:space="preserve">. To underscore the point, he asserts </w:t>
      </w:r>
      <w:r w:rsidR="000425CE" w:rsidRPr="001005B7">
        <w:t>this</w:t>
      </w:r>
      <w:r w:rsidR="00C1753A" w:rsidRPr="001005B7">
        <w:t xml:space="preserve"> uniqueness in relation to what he</w:t>
      </w:r>
      <w:r w:rsidR="00CD4C95" w:rsidRPr="001005B7">
        <w:t xml:space="preserve"> will ever do in the future</w:t>
      </w:r>
      <w:r w:rsidR="00CB56F7" w:rsidRPr="001005B7">
        <w:t>. It</w:t>
      </w:r>
      <w:r w:rsidR="006B7C0E" w:rsidRPr="001005B7">
        <w:t xml:space="preserve"> </w:t>
      </w:r>
      <w:r w:rsidR="00FB7FB6" w:rsidRPr="001005B7">
        <w:t>implie</w:t>
      </w:r>
      <w:r w:rsidR="006B7C0E" w:rsidRPr="001005B7">
        <w:t>s a dec</w:t>
      </w:r>
      <w:r w:rsidR="00C12A8C" w:rsidRPr="001005B7">
        <w:t>is</w:t>
      </w:r>
      <w:r w:rsidR="006B7C0E" w:rsidRPr="001005B7">
        <w:t xml:space="preserve">ion </w:t>
      </w:r>
      <w:r w:rsidR="0065118B" w:rsidRPr="001005B7">
        <w:t>about which</w:t>
      </w:r>
      <w:r w:rsidR="006B7C0E" w:rsidRPr="001005B7">
        <w:t xml:space="preserve"> </w:t>
      </w:r>
      <w:r w:rsidR="0065118B" w:rsidRPr="001005B7">
        <w:t>he evidently change</w:t>
      </w:r>
      <w:r w:rsidR="00FE43AA" w:rsidRPr="001005B7">
        <w:t>s</w:t>
      </w:r>
      <w:r w:rsidR="0065118B" w:rsidRPr="001005B7">
        <w:t xml:space="preserve"> his mind in</w:t>
      </w:r>
      <w:r w:rsidR="00B17423" w:rsidRPr="001005B7">
        <w:t xml:space="preserve"> </w:t>
      </w:r>
      <w:r w:rsidR="00B17423" w:rsidRPr="001005B7">
        <w:rPr>
          <w:sz w:val="18"/>
          <w:szCs w:val="18"/>
        </w:rPr>
        <w:t>AD</w:t>
      </w:r>
      <w:r w:rsidR="0065118B" w:rsidRPr="001005B7">
        <w:t xml:space="preserve"> </w:t>
      </w:r>
      <w:r w:rsidR="006B7C0E" w:rsidRPr="001005B7">
        <w:t>7</w:t>
      </w:r>
      <w:r w:rsidR="006F7F41" w:rsidRPr="001005B7">
        <w:t>0</w:t>
      </w:r>
      <w:r w:rsidR="00F871A2" w:rsidRPr="001005B7">
        <w:t xml:space="preserve">, or it involves a </w:t>
      </w:r>
      <w:r w:rsidR="008342E6" w:rsidRPr="001005B7">
        <w:t>hyperbole</w:t>
      </w:r>
      <w:r w:rsidR="0066143A" w:rsidRPr="001005B7">
        <w:t>.</w:t>
      </w:r>
      <w:r w:rsidR="00E36098">
        <w:t>*</w:t>
      </w:r>
      <w:r w:rsidR="0066143A" w:rsidRPr="001005B7">
        <w:t xml:space="preserve"> </w:t>
      </w:r>
      <w:r w:rsidR="00E0764F" w:rsidRPr="001005B7">
        <w:t xml:space="preserve">Either way, </w:t>
      </w:r>
      <w:r w:rsidR="00E0764F" w:rsidRPr="001005B7">
        <w:rPr>
          <w:rFonts w:ascii="Calibri" w:eastAsia="Times New Roman" w:hAnsi="Calibri" w:cs="Calibri"/>
        </w:rPr>
        <w:t xml:space="preserve">Matt 24:21 sits interestingly alongside it. </w:t>
      </w:r>
      <w:r w:rsidR="00AF79E4">
        <w:t xml:space="preserve">Perhaps </w:t>
      </w:r>
      <w:r w:rsidR="00771532">
        <w:t>Ezekiel’s hearers would think it must be a hyperbole</w:t>
      </w:r>
      <w:r w:rsidR="005373D1">
        <w:t>: how could Yahweh discredit himself before the nations by an action of this kind? (Ganzel 20</w:t>
      </w:r>
      <w:r w:rsidR="00581203">
        <w:t>20</w:t>
      </w:r>
      <w:r w:rsidR="005373D1">
        <w:t xml:space="preserve">, </w:t>
      </w:r>
      <w:r w:rsidR="00E0764F">
        <w:t xml:space="preserve">39). </w:t>
      </w:r>
      <w:r w:rsidR="008342E6" w:rsidRPr="001005B7">
        <w:t>Yahweh</w:t>
      </w:r>
      <w:r w:rsidR="006F7F41" w:rsidRPr="001005B7">
        <w:t xml:space="preserve"> justifie</w:t>
      </w:r>
      <w:r w:rsidR="008342E6" w:rsidRPr="001005B7">
        <w:t xml:space="preserve">s </w:t>
      </w:r>
      <w:r w:rsidR="00AE2926" w:rsidRPr="001005B7">
        <w:t>his plan</w:t>
      </w:r>
      <w:r w:rsidR="006F7F41" w:rsidRPr="001005B7">
        <w:t xml:space="preserve"> by </w:t>
      </w:r>
      <w:r w:rsidR="009B5F22" w:rsidRPr="001005B7">
        <w:t>Jerusalem’s</w:t>
      </w:r>
      <w:r w:rsidR="006F7F41" w:rsidRPr="001005B7">
        <w:t xml:space="preserve"> </w:t>
      </w:r>
      <w:r w:rsidR="00386422" w:rsidRPr="001005B7">
        <w:t>“</w:t>
      </w:r>
      <w:r w:rsidR="006F7F41" w:rsidRPr="001005B7">
        <w:t>outrages</w:t>
      </w:r>
      <w:r w:rsidR="00386422" w:rsidRPr="001005B7">
        <w:t>”</w:t>
      </w:r>
      <w:r w:rsidR="00FB7698" w:rsidRPr="001005B7">
        <w:t xml:space="preserve"> (</w:t>
      </w:r>
      <w:r w:rsidR="00AE2926" w:rsidRPr="001005B7">
        <w:rPr>
          <w:rFonts w:cstheme="minorHAnsi"/>
          <w:rtl/>
          <w:lang w:bidi="he-IL"/>
        </w:rPr>
        <w:t>ת</w:t>
      </w:r>
      <w:r w:rsidR="00C76F13" w:rsidRPr="001005B7">
        <w:rPr>
          <w:rFonts w:cstheme="minorHAnsi"/>
          <w:rtl/>
          <w:lang w:bidi="he-IL"/>
        </w:rPr>
        <w:t>ּ</w:t>
      </w:r>
      <w:r w:rsidR="00AE2926" w:rsidRPr="001005B7">
        <w:rPr>
          <w:rFonts w:cstheme="minorHAnsi"/>
          <w:rtl/>
          <w:lang w:bidi="he-IL"/>
        </w:rPr>
        <w:t>וׄע</w:t>
      </w:r>
      <w:r w:rsidR="00C76F13" w:rsidRPr="001005B7">
        <w:rPr>
          <w:rFonts w:cstheme="minorHAnsi"/>
          <w:rtl/>
          <w:lang w:bidi="he-IL"/>
        </w:rPr>
        <w:t>ֵ</w:t>
      </w:r>
      <w:r w:rsidR="001B3B65" w:rsidRPr="001005B7">
        <w:rPr>
          <w:rFonts w:cstheme="minorHAnsi"/>
          <w:rtl/>
          <w:lang w:bidi="he-IL"/>
        </w:rPr>
        <w:t>בָה</w:t>
      </w:r>
      <w:r w:rsidR="006677AC" w:rsidRPr="001005B7">
        <w:rPr>
          <w:rFonts w:cstheme="minorHAnsi"/>
        </w:rPr>
        <w:t xml:space="preserve">, </w:t>
      </w:r>
      <w:r w:rsidR="006677AC" w:rsidRPr="001005B7">
        <w:rPr>
          <w:rFonts w:ascii="Calibri" w:eastAsia="Times New Roman" w:hAnsi="Calibri" w:cs="Calibri"/>
        </w:rPr>
        <w:t>traditionally “abomination</w:t>
      </w:r>
      <w:r w:rsidR="00AD779E" w:rsidRPr="001005B7">
        <w:rPr>
          <w:rFonts w:cstheme="minorHAnsi"/>
          <w:i/>
          <w:iCs/>
        </w:rPr>
        <w:t>”</w:t>
      </w:r>
      <w:r w:rsidR="00883206" w:rsidRPr="001005B7">
        <w:t>)</w:t>
      </w:r>
      <w:r w:rsidR="00157031" w:rsidRPr="001005B7">
        <w:t>. The</w:t>
      </w:r>
      <w:r w:rsidR="001713F6" w:rsidRPr="001005B7">
        <w:t xml:space="preserve"> term recurs in Leviticus, Deuteronomy, and Proverbs, but nowhere more often than in Ezekiel.</w:t>
      </w:r>
      <w:r w:rsidR="00157031" w:rsidRPr="001005B7">
        <w:rPr>
          <w:rFonts w:ascii="Calibri" w:eastAsia="Times New Roman" w:hAnsi="Calibri" w:cs="Calibri"/>
        </w:rPr>
        <w:t xml:space="preserve"> It suggests</w:t>
      </w:r>
      <w:r w:rsidR="006677AC" w:rsidRPr="001005B7">
        <w:rPr>
          <w:rFonts w:ascii="Calibri" w:eastAsia="Times New Roman" w:hAnsi="Calibri" w:cs="Calibri"/>
        </w:rPr>
        <w:t xml:space="preserve"> something contrary to</w:t>
      </w:r>
      <w:r w:rsidR="00011C97" w:rsidRPr="001005B7">
        <w:rPr>
          <w:rFonts w:ascii="Calibri" w:eastAsia="Times New Roman" w:hAnsi="Calibri" w:cs="Calibri"/>
        </w:rPr>
        <w:t xml:space="preserve"> </w:t>
      </w:r>
      <w:r w:rsidR="00372D65" w:rsidRPr="001005B7">
        <w:rPr>
          <w:rFonts w:ascii="Calibri" w:eastAsia="Times New Roman" w:hAnsi="Calibri" w:cs="Calibri"/>
        </w:rPr>
        <w:t xml:space="preserve">and conflicting with </w:t>
      </w:r>
      <w:r w:rsidR="00714D9B" w:rsidRPr="001005B7">
        <w:rPr>
          <w:rFonts w:ascii="Calibri" w:eastAsia="Times New Roman" w:hAnsi="Calibri" w:cs="Calibri"/>
        </w:rPr>
        <w:t xml:space="preserve">who Yahweh is. </w:t>
      </w:r>
      <w:r w:rsidR="00E95D3E" w:rsidRPr="001005B7">
        <w:rPr>
          <w:rFonts w:ascii="Calibri" w:eastAsia="Times New Roman" w:hAnsi="Calibri" w:cs="Calibri"/>
        </w:rPr>
        <w:t xml:space="preserve">Yahweh will shortly </w:t>
      </w:r>
      <w:r w:rsidR="00CF2B8B" w:rsidRPr="001005B7">
        <w:rPr>
          <w:rFonts w:ascii="Calibri" w:eastAsia="Times New Roman" w:hAnsi="Calibri" w:cs="Calibri"/>
        </w:rPr>
        <w:t xml:space="preserve">specify that </w:t>
      </w:r>
      <w:r w:rsidR="00755CB3" w:rsidRPr="001005B7">
        <w:rPr>
          <w:rFonts w:ascii="Calibri" w:eastAsia="Times New Roman" w:hAnsi="Calibri" w:cs="Calibri"/>
        </w:rPr>
        <w:t>these outrages</w:t>
      </w:r>
      <w:r w:rsidR="00CF2B8B" w:rsidRPr="001005B7">
        <w:rPr>
          <w:rFonts w:ascii="Calibri" w:eastAsia="Times New Roman" w:hAnsi="Calibri" w:cs="Calibri"/>
        </w:rPr>
        <w:t xml:space="preserve"> </w:t>
      </w:r>
      <w:r w:rsidR="00755CB3" w:rsidRPr="001005B7">
        <w:rPr>
          <w:rFonts w:ascii="Calibri" w:eastAsia="Times New Roman" w:hAnsi="Calibri" w:cs="Calibri"/>
        </w:rPr>
        <w:t xml:space="preserve">are </w:t>
      </w:r>
      <w:r w:rsidR="00941AE6" w:rsidRPr="001005B7">
        <w:rPr>
          <w:rFonts w:ascii="Calibri" w:eastAsia="Times New Roman" w:hAnsi="Calibri" w:cs="Calibri"/>
        </w:rPr>
        <w:t>things</w:t>
      </w:r>
      <w:r w:rsidR="00CF2B8B" w:rsidRPr="001005B7">
        <w:rPr>
          <w:rFonts w:ascii="Calibri" w:eastAsia="Times New Roman" w:hAnsi="Calibri" w:cs="Calibri"/>
        </w:rPr>
        <w:t xml:space="preserve"> </w:t>
      </w:r>
      <w:r w:rsidR="00D403D2" w:rsidRPr="001005B7">
        <w:rPr>
          <w:rFonts w:ascii="Calibri" w:eastAsia="Times New Roman" w:hAnsi="Calibri" w:cs="Calibri"/>
        </w:rPr>
        <w:t xml:space="preserve">that </w:t>
      </w:r>
      <w:r w:rsidR="00714D9B" w:rsidRPr="001005B7">
        <w:rPr>
          <w:rFonts w:ascii="Calibri" w:eastAsia="Times New Roman" w:hAnsi="Calibri" w:cs="Calibri"/>
        </w:rPr>
        <w:t xml:space="preserve">defile the sanctuary </w:t>
      </w:r>
      <w:r w:rsidR="00941AE6" w:rsidRPr="001005B7">
        <w:rPr>
          <w:rFonts w:ascii="Calibri" w:eastAsia="Times New Roman" w:hAnsi="Calibri" w:cs="Calibri"/>
        </w:rPr>
        <w:t>(</w:t>
      </w:r>
      <w:r w:rsidR="00AC027B" w:rsidRPr="001005B7">
        <w:rPr>
          <w:rFonts w:ascii="Calibri" w:eastAsia="Times New Roman" w:hAnsi="Calibri" w:cs="Calibri"/>
        </w:rPr>
        <w:t>5:</w:t>
      </w:r>
      <w:r w:rsidR="00994629" w:rsidRPr="001005B7">
        <w:rPr>
          <w:rFonts w:ascii="Calibri" w:eastAsia="Times New Roman" w:hAnsi="Calibri" w:cs="Calibri"/>
        </w:rPr>
        <w:t>11</w:t>
      </w:r>
      <w:r w:rsidR="00283D70" w:rsidRPr="001005B7">
        <w:rPr>
          <w:rFonts w:ascii="Calibri" w:eastAsia="Times New Roman" w:hAnsi="Calibri" w:cs="Calibri"/>
        </w:rPr>
        <w:t>)</w:t>
      </w:r>
      <w:r w:rsidR="00B30B1D" w:rsidRPr="001005B7">
        <w:rPr>
          <w:rFonts w:ascii="Calibri" w:eastAsia="Times New Roman" w:hAnsi="Calibri" w:cs="Calibri"/>
        </w:rPr>
        <w:t xml:space="preserve">, and will later </w:t>
      </w:r>
      <w:r w:rsidR="00DD0216" w:rsidRPr="001005B7">
        <w:rPr>
          <w:rFonts w:ascii="Calibri" w:eastAsia="Times New Roman" w:hAnsi="Calibri" w:cs="Calibri"/>
        </w:rPr>
        <w:t>spell out</w:t>
      </w:r>
      <w:r w:rsidR="00B30B1D" w:rsidRPr="001005B7">
        <w:rPr>
          <w:rFonts w:ascii="Calibri" w:eastAsia="Times New Roman" w:hAnsi="Calibri" w:cs="Calibri"/>
        </w:rPr>
        <w:t xml:space="preserve"> that </w:t>
      </w:r>
      <w:r w:rsidR="00CA5338" w:rsidRPr="001005B7">
        <w:rPr>
          <w:rFonts w:ascii="Calibri" w:eastAsia="Times New Roman" w:hAnsi="Calibri" w:cs="Calibri"/>
        </w:rPr>
        <w:t>the</w:t>
      </w:r>
      <w:r w:rsidR="005C6D97" w:rsidRPr="001005B7">
        <w:rPr>
          <w:rFonts w:ascii="Calibri" w:eastAsia="Times New Roman" w:hAnsi="Calibri" w:cs="Calibri"/>
        </w:rPr>
        <w:t>y</w:t>
      </w:r>
      <w:r w:rsidR="00CA5338" w:rsidRPr="001005B7">
        <w:rPr>
          <w:rFonts w:ascii="Calibri" w:eastAsia="Times New Roman" w:hAnsi="Calibri" w:cs="Calibri"/>
        </w:rPr>
        <w:t xml:space="preserve"> </w:t>
      </w:r>
      <w:r w:rsidR="004D1432" w:rsidRPr="001005B7">
        <w:rPr>
          <w:rFonts w:ascii="Calibri" w:eastAsia="Times New Roman" w:hAnsi="Calibri" w:cs="Calibri"/>
        </w:rPr>
        <w:t>lie in</w:t>
      </w:r>
      <w:r w:rsidR="00B30B1D" w:rsidRPr="001005B7">
        <w:rPr>
          <w:rFonts w:ascii="Calibri" w:eastAsia="Times New Roman" w:hAnsi="Calibri" w:cs="Calibri"/>
        </w:rPr>
        <w:t xml:space="preserve"> </w:t>
      </w:r>
      <w:r w:rsidR="007A7049" w:rsidRPr="001005B7">
        <w:rPr>
          <w:rFonts w:ascii="Calibri" w:eastAsia="Times New Roman" w:hAnsi="Calibri" w:cs="Calibri"/>
        </w:rPr>
        <w:t>people’s</w:t>
      </w:r>
      <w:r w:rsidR="00283D70" w:rsidRPr="001005B7">
        <w:rPr>
          <w:rFonts w:ascii="Calibri" w:eastAsia="Times New Roman" w:hAnsi="Calibri" w:cs="Calibri"/>
        </w:rPr>
        <w:t xml:space="preserve"> so-call</w:t>
      </w:r>
      <w:r w:rsidR="00106D10" w:rsidRPr="001005B7">
        <w:rPr>
          <w:rFonts w:ascii="Calibri" w:eastAsia="Times New Roman" w:hAnsi="Calibri" w:cs="Calibri"/>
        </w:rPr>
        <w:t xml:space="preserve">ed worship </w:t>
      </w:r>
      <w:r w:rsidR="004D1432" w:rsidRPr="001005B7">
        <w:rPr>
          <w:rFonts w:ascii="Calibri" w:eastAsia="Times New Roman" w:hAnsi="Calibri" w:cs="Calibri"/>
        </w:rPr>
        <w:t>with</w:t>
      </w:r>
      <w:r w:rsidR="00106D10" w:rsidRPr="001005B7">
        <w:rPr>
          <w:rFonts w:ascii="Calibri" w:eastAsia="Times New Roman" w:hAnsi="Calibri" w:cs="Calibri"/>
        </w:rPr>
        <w:t xml:space="preserve"> their </w:t>
      </w:r>
      <w:r w:rsidR="000D40DD" w:rsidRPr="001005B7">
        <w:rPr>
          <w:rFonts w:ascii="Calibri" w:eastAsia="Times New Roman" w:hAnsi="Calibri" w:cs="Calibri"/>
        </w:rPr>
        <w:t>images</w:t>
      </w:r>
      <w:r w:rsidR="004D1432" w:rsidRPr="001005B7">
        <w:rPr>
          <w:rFonts w:ascii="Calibri" w:eastAsia="Times New Roman" w:hAnsi="Calibri" w:cs="Calibri"/>
        </w:rPr>
        <w:t>,</w:t>
      </w:r>
      <w:r w:rsidR="000D40DD" w:rsidRPr="001005B7">
        <w:rPr>
          <w:rFonts w:ascii="Calibri" w:eastAsia="Times New Roman" w:hAnsi="Calibri" w:cs="Calibri"/>
        </w:rPr>
        <w:t xml:space="preserve"> </w:t>
      </w:r>
      <w:r w:rsidR="00F26F8D" w:rsidRPr="001005B7">
        <w:rPr>
          <w:rFonts w:ascii="Calibri" w:eastAsia="Times New Roman" w:hAnsi="Calibri" w:cs="Calibri"/>
        </w:rPr>
        <w:t>lump</w:t>
      </w:r>
      <w:r w:rsidR="00106D10" w:rsidRPr="001005B7">
        <w:rPr>
          <w:rFonts w:ascii="Calibri" w:eastAsia="Times New Roman" w:hAnsi="Calibri" w:cs="Calibri"/>
        </w:rPr>
        <w:t xml:space="preserve">s </w:t>
      </w:r>
      <w:r w:rsidR="00D436E5" w:rsidRPr="001005B7">
        <w:rPr>
          <w:rFonts w:ascii="Calibri" w:eastAsia="Times New Roman" w:hAnsi="Calibri" w:cs="Calibri"/>
        </w:rPr>
        <w:t xml:space="preserve">and </w:t>
      </w:r>
      <w:proofErr w:type="spellStart"/>
      <w:r w:rsidR="00D436E5" w:rsidRPr="001005B7">
        <w:rPr>
          <w:rFonts w:ascii="Calibri" w:eastAsia="Times New Roman" w:hAnsi="Calibri" w:cs="Calibri"/>
        </w:rPr>
        <w:t>whorings</w:t>
      </w:r>
      <w:proofErr w:type="spellEnd"/>
      <w:r w:rsidR="00D436E5" w:rsidRPr="001005B7">
        <w:rPr>
          <w:rFonts w:ascii="Calibri" w:eastAsia="Times New Roman" w:hAnsi="Calibri" w:cs="Calibri"/>
        </w:rPr>
        <w:t xml:space="preserve"> </w:t>
      </w:r>
      <w:r w:rsidR="00106D10" w:rsidRPr="001005B7">
        <w:rPr>
          <w:rFonts w:ascii="Calibri" w:eastAsia="Times New Roman" w:hAnsi="Calibri" w:cs="Calibri"/>
        </w:rPr>
        <w:t>(</w:t>
      </w:r>
      <w:r w:rsidR="00B22265" w:rsidRPr="001005B7">
        <w:rPr>
          <w:rFonts w:ascii="Calibri" w:eastAsia="Times New Roman" w:hAnsi="Calibri" w:cs="Calibri"/>
        </w:rPr>
        <w:t xml:space="preserve">e.g., </w:t>
      </w:r>
      <w:r w:rsidR="00FE5DDA" w:rsidRPr="001005B7">
        <w:rPr>
          <w:rFonts w:ascii="Calibri" w:eastAsia="Times New Roman" w:hAnsi="Calibri" w:cs="Calibri"/>
        </w:rPr>
        <w:t>6:9</w:t>
      </w:r>
      <w:r w:rsidR="000D40DD" w:rsidRPr="001005B7">
        <w:rPr>
          <w:rFonts w:ascii="Calibri" w:eastAsia="Times New Roman" w:hAnsi="Calibri" w:cs="Calibri"/>
        </w:rPr>
        <w:t>; 7:20</w:t>
      </w:r>
      <w:r w:rsidR="00170978" w:rsidRPr="001005B7">
        <w:rPr>
          <w:rFonts w:ascii="Calibri" w:eastAsia="Times New Roman" w:hAnsi="Calibri" w:cs="Calibri"/>
        </w:rPr>
        <w:t>; 8</w:t>
      </w:r>
      <w:r w:rsidR="00B22265" w:rsidRPr="001005B7">
        <w:rPr>
          <w:rFonts w:ascii="Calibri" w:eastAsia="Times New Roman" w:hAnsi="Calibri" w:cs="Calibri"/>
        </w:rPr>
        <w:t>:</w:t>
      </w:r>
      <w:r w:rsidR="00C97FDA" w:rsidRPr="001005B7">
        <w:rPr>
          <w:rFonts w:ascii="Calibri" w:eastAsia="Times New Roman" w:hAnsi="Calibri" w:cs="Calibri"/>
        </w:rPr>
        <w:t>7</w:t>
      </w:r>
      <w:r w:rsidR="00F46900" w:rsidRPr="001005B7">
        <w:rPr>
          <w:rFonts w:ascii="Calibri" w:eastAsia="Times New Roman" w:hAnsi="Calibri" w:cs="Calibri"/>
        </w:rPr>
        <w:t>–</w:t>
      </w:r>
      <w:r w:rsidR="00A41088" w:rsidRPr="001005B7">
        <w:rPr>
          <w:rFonts w:ascii="Calibri" w:eastAsia="Times New Roman" w:hAnsi="Calibri" w:cs="Calibri"/>
        </w:rPr>
        <w:t>17</w:t>
      </w:r>
      <w:r w:rsidR="00D436E5" w:rsidRPr="001005B7">
        <w:rPr>
          <w:rFonts w:ascii="Calibri" w:eastAsia="Times New Roman" w:hAnsi="Calibri" w:cs="Calibri"/>
        </w:rPr>
        <w:t>; 16:</w:t>
      </w:r>
      <w:r w:rsidR="00BA1D76" w:rsidRPr="001005B7">
        <w:rPr>
          <w:rFonts w:ascii="Calibri" w:eastAsia="Times New Roman" w:hAnsi="Calibri" w:cs="Calibri"/>
        </w:rPr>
        <w:t>1</w:t>
      </w:r>
      <w:r w:rsidR="00F46900" w:rsidRPr="001005B7">
        <w:rPr>
          <w:rFonts w:ascii="Calibri" w:eastAsia="Times New Roman" w:hAnsi="Calibri" w:cs="Calibri"/>
        </w:rPr>
        <w:t>–</w:t>
      </w:r>
      <w:r w:rsidR="00BA1D76" w:rsidRPr="001005B7">
        <w:rPr>
          <w:rFonts w:ascii="Calibri" w:eastAsia="Times New Roman" w:hAnsi="Calibri" w:cs="Calibri"/>
        </w:rPr>
        <w:t>58).</w:t>
      </w:r>
      <w:r w:rsidR="00011C97" w:rsidRPr="001005B7">
        <w:rPr>
          <w:rFonts w:ascii="Calibri" w:eastAsia="Times New Roman" w:hAnsi="Calibri" w:cs="Calibri"/>
        </w:rPr>
        <w:t xml:space="preserve"> </w:t>
      </w:r>
    </w:p>
    <w:p w14:paraId="006ADBB7" w14:textId="21775A24" w:rsidR="0070681E" w:rsidRPr="001005B7" w:rsidRDefault="00070454" w:rsidP="00BA76B7">
      <w:r w:rsidRPr="001005B7">
        <w:rPr>
          <w:rFonts w:ascii="Calibri" w:eastAsia="Times New Roman" w:hAnsi="Calibri" w:cs="Calibri"/>
          <w:b/>
          <w:bCs/>
        </w:rPr>
        <w:t xml:space="preserve">5:10 </w:t>
      </w:r>
      <w:r w:rsidRPr="001005B7">
        <w:rPr>
          <w:rFonts w:ascii="Calibri" w:eastAsia="Times New Roman" w:hAnsi="Calibri" w:cs="Calibri"/>
        </w:rPr>
        <w:t xml:space="preserve">At last Yahweh resolves the suspense over what </w:t>
      </w:r>
      <w:r w:rsidR="001E079A" w:rsidRPr="001005B7">
        <w:rPr>
          <w:rFonts w:ascii="Calibri" w:eastAsia="Times New Roman" w:hAnsi="Calibri" w:cs="Calibri"/>
        </w:rPr>
        <w:t xml:space="preserve">his </w:t>
      </w:r>
      <w:r w:rsidR="008809D1" w:rsidRPr="001005B7">
        <w:rPr>
          <w:rFonts w:ascii="Calibri" w:eastAsia="Times New Roman" w:hAnsi="Calibri" w:cs="Calibri"/>
        </w:rPr>
        <w:t>being against</w:t>
      </w:r>
      <w:r w:rsidR="00A0690F" w:rsidRPr="001005B7">
        <w:rPr>
          <w:rFonts w:ascii="Calibri" w:eastAsia="Times New Roman" w:hAnsi="Calibri" w:cs="Calibri"/>
        </w:rPr>
        <w:t xml:space="preserve"> </w:t>
      </w:r>
      <w:r w:rsidR="008809D1" w:rsidRPr="001005B7">
        <w:rPr>
          <w:rFonts w:ascii="Calibri" w:eastAsia="Times New Roman" w:hAnsi="Calibri" w:cs="Calibri"/>
        </w:rPr>
        <w:t>them</w:t>
      </w:r>
      <w:r w:rsidR="00A0690F" w:rsidRPr="001005B7">
        <w:rPr>
          <w:rFonts w:ascii="Calibri" w:eastAsia="Times New Roman" w:hAnsi="Calibri" w:cs="Calibri"/>
        </w:rPr>
        <w:t xml:space="preserve"> will </w:t>
      </w:r>
      <w:r w:rsidR="00CE3D4F" w:rsidRPr="001005B7">
        <w:rPr>
          <w:rFonts w:ascii="Calibri" w:eastAsia="Times New Roman" w:hAnsi="Calibri" w:cs="Calibri"/>
        </w:rPr>
        <w:t>mean</w:t>
      </w:r>
      <w:r w:rsidR="00A0690F" w:rsidRPr="001005B7">
        <w:rPr>
          <w:rFonts w:ascii="Calibri" w:eastAsia="Times New Roman" w:hAnsi="Calibri" w:cs="Calibri"/>
        </w:rPr>
        <w:t>.</w:t>
      </w:r>
      <w:r w:rsidR="008A746E" w:rsidRPr="001005B7">
        <w:rPr>
          <w:rFonts w:ascii="Calibri" w:eastAsia="Times New Roman" w:hAnsi="Calibri" w:cs="Calibri"/>
        </w:rPr>
        <w:t xml:space="preserve"> </w:t>
      </w:r>
      <w:r w:rsidR="00BF1902" w:rsidRPr="001005B7">
        <w:rPr>
          <w:rFonts w:ascii="Calibri" w:eastAsia="Times New Roman" w:hAnsi="Calibri" w:cs="Calibri"/>
        </w:rPr>
        <w:t>He</w:t>
      </w:r>
      <w:r w:rsidR="000B28BF" w:rsidRPr="001005B7">
        <w:rPr>
          <w:rFonts w:ascii="Calibri" w:eastAsia="Times New Roman" w:hAnsi="Calibri" w:cs="Calibri"/>
        </w:rPr>
        <w:t xml:space="preserve"> casts around for </w:t>
      </w:r>
      <w:r w:rsidR="00F06EBD" w:rsidRPr="001005B7">
        <w:rPr>
          <w:rFonts w:ascii="Calibri" w:eastAsia="Times New Roman" w:hAnsi="Calibri" w:cs="Calibri"/>
        </w:rPr>
        <w:t>a way of</w:t>
      </w:r>
      <w:r w:rsidR="000B28BF" w:rsidRPr="001005B7">
        <w:rPr>
          <w:rFonts w:ascii="Calibri" w:eastAsia="Times New Roman" w:hAnsi="Calibri" w:cs="Calibri"/>
        </w:rPr>
        <w:t xml:space="preserve"> giv</w:t>
      </w:r>
      <w:r w:rsidR="00F06EBD" w:rsidRPr="001005B7">
        <w:rPr>
          <w:rFonts w:ascii="Calibri" w:eastAsia="Times New Roman" w:hAnsi="Calibri" w:cs="Calibri"/>
        </w:rPr>
        <w:t>ing</w:t>
      </w:r>
      <w:r w:rsidR="000B28BF" w:rsidRPr="001005B7">
        <w:rPr>
          <w:rFonts w:ascii="Calibri" w:eastAsia="Times New Roman" w:hAnsi="Calibri" w:cs="Calibri"/>
        </w:rPr>
        <w:t xml:space="preserve"> concrete expression to the horror of what he will do in acting against and within Jerusalem in its coming final siege</w:t>
      </w:r>
      <w:r w:rsidR="006F2DD6" w:rsidRPr="001005B7">
        <w:rPr>
          <w:rFonts w:ascii="Calibri" w:eastAsia="Times New Roman" w:hAnsi="Calibri" w:cs="Calibri"/>
        </w:rPr>
        <w:t xml:space="preserve">. </w:t>
      </w:r>
      <w:r w:rsidR="00D00657" w:rsidRPr="001005B7">
        <w:rPr>
          <w:rFonts w:ascii="Calibri" w:eastAsia="Times New Roman" w:hAnsi="Calibri" w:cs="Calibri"/>
        </w:rPr>
        <w:t xml:space="preserve">A treaty </w:t>
      </w:r>
      <w:r w:rsidR="00F10BDF" w:rsidRPr="001005B7">
        <w:rPr>
          <w:rFonts w:ascii="Calibri" w:eastAsia="Times New Roman" w:hAnsi="Calibri" w:cs="Calibri"/>
        </w:rPr>
        <w:t xml:space="preserve">imposed </w:t>
      </w:r>
      <w:r w:rsidR="00BC7AC2" w:rsidRPr="001005B7">
        <w:rPr>
          <w:rFonts w:ascii="Calibri" w:eastAsia="Times New Roman" w:hAnsi="Calibri" w:cs="Calibri"/>
        </w:rPr>
        <w:t xml:space="preserve">on one of the city rulers within the empire </w:t>
      </w:r>
      <w:r w:rsidR="00F10BDF" w:rsidRPr="001005B7">
        <w:rPr>
          <w:rFonts w:ascii="Calibri" w:eastAsia="Times New Roman" w:hAnsi="Calibri" w:cs="Calibri"/>
        </w:rPr>
        <w:t>by</w:t>
      </w:r>
      <w:r w:rsidR="00D00657" w:rsidRPr="001005B7">
        <w:rPr>
          <w:rFonts w:ascii="Calibri" w:eastAsia="Times New Roman" w:hAnsi="Calibri" w:cs="Calibri"/>
        </w:rPr>
        <w:t xml:space="preserve"> Ashurbanipal’s predecessor, Esarhaddon, </w:t>
      </w:r>
      <w:r w:rsidR="00FD2634" w:rsidRPr="001005B7">
        <w:rPr>
          <w:rFonts w:ascii="Calibri" w:eastAsia="Times New Roman" w:hAnsi="Calibri" w:cs="Calibri"/>
        </w:rPr>
        <w:t>inc</w:t>
      </w:r>
      <w:r w:rsidR="00FF4054" w:rsidRPr="001005B7">
        <w:rPr>
          <w:rFonts w:ascii="Calibri" w:eastAsia="Times New Roman" w:hAnsi="Calibri" w:cs="Calibri"/>
        </w:rPr>
        <w:t>orporate</w:t>
      </w:r>
      <w:r w:rsidR="00FD2634" w:rsidRPr="001005B7">
        <w:rPr>
          <w:rFonts w:ascii="Calibri" w:eastAsia="Times New Roman" w:hAnsi="Calibri" w:cs="Calibri"/>
        </w:rPr>
        <w:t xml:space="preserve">s many prayers for the gods to punish </w:t>
      </w:r>
      <w:r w:rsidR="00546923" w:rsidRPr="001005B7">
        <w:rPr>
          <w:rFonts w:ascii="Calibri" w:eastAsia="Times New Roman" w:hAnsi="Calibri" w:cs="Calibri"/>
        </w:rPr>
        <w:t xml:space="preserve">the </w:t>
      </w:r>
      <w:r w:rsidR="00F10BDF" w:rsidRPr="001005B7">
        <w:rPr>
          <w:rFonts w:ascii="Calibri" w:eastAsia="Times New Roman" w:hAnsi="Calibri" w:cs="Calibri"/>
        </w:rPr>
        <w:t>city ruler if he</w:t>
      </w:r>
      <w:r w:rsidR="00BC7AC2" w:rsidRPr="001005B7">
        <w:rPr>
          <w:rFonts w:ascii="Calibri" w:eastAsia="Times New Roman" w:hAnsi="Calibri" w:cs="Calibri"/>
        </w:rPr>
        <w:t xml:space="preserve"> breaks any of his </w:t>
      </w:r>
      <w:r w:rsidR="003729B9" w:rsidRPr="001005B7">
        <w:rPr>
          <w:rFonts w:ascii="Calibri" w:eastAsia="Times New Roman" w:hAnsi="Calibri" w:cs="Calibri"/>
        </w:rPr>
        <w:t xml:space="preserve">commitments, and they include, </w:t>
      </w:r>
      <w:r w:rsidR="006E13C6" w:rsidRPr="001005B7">
        <w:t>”May a pregnant mother (and) her daughter eat the flesh of your sons; in your extremity may you eat the flesh of your sons</w:t>
      </w:r>
      <w:r w:rsidR="001752A3" w:rsidRPr="001005B7">
        <w:t>.</w:t>
      </w:r>
      <w:r w:rsidR="000B2164" w:rsidRPr="001005B7">
        <w:t>”</w:t>
      </w:r>
      <w:r w:rsidR="006E13C6" w:rsidRPr="001005B7">
        <w:rPr>
          <w:rStyle w:val="FootnoteReference"/>
        </w:rPr>
        <w:footnoteReference w:id="185"/>
      </w:r>
      <w:r w:rsidR="00A03A4D" w:rsidRPr="001005B7">
        <w:t xml:space="preserve"> </w:t>
      </w:r>
      <w:r w:rsidR="00AB7636" w:rsidRPr="001005B7">
        <w:t xml:space="preserve">The </w:t>
      </w:r>
      <w:r w:rsidR="00BC3E4C" w:rsidRPr="001005B7">
        <w:t>threat</w:t>
      </w:r>
      <w:r w:rsidR="00AB7636" w:rsidRPr="001005B7">
        <w:t xml:space="preserve"> also appears in</w:t>
      </w:r>
      <w:r w:rsidR="000B28BF" w:rsidRPr="001005B7">
        <w:rPr>
          <w:rFonts w:ascii="Calibri" w:eastAsia="Times New Roman" w:hAnsi="Calibri" w:cs="Calibri"/>
        </w:rPr>
        <w:t xml:space="preserve"> Lev 26:29</w:t>
      </w:r>
      <w:r w:rsidR="00A33A5E" w:rsidRPr="001005B7">
        <w:rPr>
          <w:rFonts w:ascii="Calibri" w:eastAsia="Times New Roman" w:hAnsi="Calibri" w:cs="Calibri"/>
        </w:rPr>
        <w:t xml:space="preserve"> and </w:t>
      </w:r>
      <w:r w:rsidR="000B28BF" w:rsidRPr="001005B7">
        <w:rPr>
          <w:rFonts w:ascii="Calibri" w:eastAsia="Times New Roman" w:hAnsi="Calibri" w:cs="Calibri"/>
        </w:rPr>
        <w:t>Deut 28:52</w:t>
      </w:r>
      <w:r w:rsidR="00F46900" w:rsidRPr="001005B7">
        <w:rPr>
          <w:rFonts w:ascii="Calibri" w:eastAsia="Times New Roman" w:hAnsi="Calibri" w:cs="Calibri"/>
        </w:rPr>
        <w:t>–</w:t>
      </w:r>
      <w:r w:rsidR="000B28BF" w:rsidRPr="001005B7">
        <w:rPr>
          <w:rFonts w:ascii="Calibri" w:eastAsia="Times New Roman" w:hAnsi="Calibri" w:cs="Calibri"/>
        </w:rPr>
        <w:t>57</w:t>
      </w:r>
      <w:r w:rsidR="00A33A5E" w:rsidRPr="001005B7">
        <w:rPr>
          <w:rFonts w:ascii="Calibri" w:eastAsia="Times New Roman" w:hAnsi="Calibri" w:cs="Calibri"/>
        </w:rPr>
        <w:t xml:space="preserve">, </w:t>
      </w:r>
      <w:r w:rsidR="00A9305D" w:rsidRPr="001005B7">
        <w:rPr>
          <w:rFonts w:ascii="Calibri" w:eastAsia="Times New Roman" w:hAnsi="Calibri" w:cs="Calibri"/>
        </w:rPr>
        <w:t xml:space="preserve">the experience as a </w:t>
      </w:r>
      <w:r w:rsidR="00F148C8" w:rsidRPr="001005B7">
        <w:rPr>
          <w:rFonts w:ascii="Calibri" w:eastAsia="Times New Roman" w:hAnsi="Calibri" w:cs="Calibri"/>
        </w:rPr>
        <w:t xml:space="preserve">basis for protest in </w:t>
      </w:r>
      <w:r w:rsidR="000B28BF" w:rsidRPr="001005B7">
        <w:rPr>
          <w:rFonts w:ascii="Calibri" w:eastAsia="Times New Roman" w:hAnsi="Calibri" w:cs="Calibri"/>
        </w:rPr>
        <w:t>Lam 2:20; 4:10</w:t>
      </w:r>
      <w:r w:rsidR="00B849D4" w:rsidRPr="001005B7">
        <w:rPr>
          <w:rFonts w:ascii="Calibri" w:eastAsia="Times New Roman" w:hAnsi="Calibri" w:cs="Calibri"/>
        </w:rPr>
        <w:t xml:space="preserve">, </w:t>
      </w:r>
      <w:r w:rsidR="00D97827" w:rsidRPr="001005B7">
        <w:rPr>
          <w:rFonts w:ascii="Calibri" w:eastAsia="Times New Roman" w:hAnsi="Calibri" w:cs="Calibri"/>
        </w:rPr>
        <w:t xml:space="preserve">and </w:t>
      </w:r>
      <w:r w:rsidR="00B849D4" w:rsidRPr="001005B7">
        <w:rPr>
          <w:rFonts w:ascii="Calibri" w:eastAsia="Times New Roman" w:hAnsi="Calibri" w:cs="Calibri"/>
        </w:rPr>
        <w:t xml:space="preserve">the </w:t>
      </w:r>
      <w:r w:rsidR="00520566" w:rsidRPr="001005B7">
        <w:rPr>
          <w:rFonts w:ascii="Calibri" w:eastAsia="Times New Roman" w:hAnsi="Calibri" w:cs="Calibri"/>
        </w:rPr>
        <w:t>practice as the subject of a narrative in 2</w:t>
      </w:r>
      <w:r w:rsidR="00B75F3E" w:rsidRPr="001005B7">
        <w:rPr>
          <w:rFonts w:ascii="Calibri" w:eastAsia="Times New Roman" w:hAnsi="Calibri" w:cs="Calibri"/>
        </w:rPr>
        <w:t> </w:t>
      </w:r>
      <w:r w:rsidR="006558CA" w:rsidRPr="001005B7">
        <w:rPr>
          <w:rFonts w:ascii="Calibri" w:eastAsia="Times New Roman" w:hAnsi="Calibri" w:cs="Calibri"/>
        </w:rPr>
        <w:t>Kgs</w:t>
      </w:r>
      <w:r w:rsidR="00520566" w:rsidRPr="001005B7">
        <w:rPr>
          <w:rFonts w:ascii="Calibri" w:eastAsia="Times New Roman" w:hAnsi="Calibri" w:cs="Calibri"/>
        </w:rPr>
        <w:t xml:space="preserve"> 6:</w:t>
      </w:r>
      <w:r w:rsidR="00CF5EC2" w:rsidRPr="001005B7">
        <w:rPr>
          <w:rFonts w:ascii="Calibri" w:eastAsia="Times New Roman" w:hAnsi="Calibri" w:cs="Calibri"/>
        </w:rPr>
        <w:t>24</w:t>
      </w:r>
      <w:r w:rsidR="00F46900" w:rsidRPr="001005B7">
        <w:rPr>
          <w:rFonts w:ascii="Calibri" w:eastAsia="Times New Roman" w:hAnsi="Calibri" w:cs="Calibri"/>
        </w:rPr>
        <w:t>–</w:t>
      </w:r>
      <w:r w:rsidR="00CF5EC2" w:rsidRPr="001005B7">
        <w:rPr>
          <w:rFonts w:ascii="Calibri" w:eastAsia="Times New Roman" w:hAnsi="Calibri" w:cs="Calibri"/>
        </w:rPr>
        <w:t>31</w:t>
      </w:r>
      <w:r w:rsidR="0032106C" w:rsidRPr="001005B7">
        <w:rPr>
          <w:rFonts w:ascii="Calibri" w:eastAsia="Times New Roman" w:hAnsi="Calibri" w:cs="Calibri"/>
        </w:rPr>
        <w:t>. T</w:t>
      </w:r>
      <w:r w:rsidR="001A0FAC" w:rsidRPr="001005B7">
        <w:rPr>
          <w:rFonts w:ascii="Calibri" w:eastAsia="Times New Roman" w:hAnsi="Calibri" w:cs="Calibri"/>
        </w:rPr>
        <w:t xml:space="preserve">here are further </w:t>
      </w:r>
      <w:r w:rsidR="006A339C" w:rsidRPr="001005B7">
        <w:rPr>
          <w:rFonts w:ascii="Calibri" w:eastAsia="Times New Roman" w:hAnsi="Calibri" w:cs="Calibri"/>
        </w:rPr>
        <w:t xml:space="preserve">such </w:t>
      </w:r>
      <w:r w:rsidR="00D97827" w:rsidRPr="001005B7">
        <w:rPr>
          <w:rFonts w:ascii="Calibri" w:eastAsia="Times New Roman" w:hAnsi="Calibri" w:cs="Calibri"/>
        </w:rPr>
        <w:t xml:space="preserve">stories </w:t>
      </w:r>
      <w:r w:rsidR="00B171F6" w:rsidRPr="001005B7">
        <w:rPr>
          <w:rFonts w:ascii="Calibri" w:eastAsia="Times New Roman" w:hAnsi="Calibri" w:cs="Calibri"/>
        </w:rPr>
        <w:t xml:space="preserve">linked to the fall of Jerusalem in </w:t>
      </w:r>
      <w:r w:rsidR="00783268" w:rsidRPr="001005B7">
        <w:rPr>
          <w:sz w:val="18"/>
          <w:szCs w:val="18"/>
        </w:rPr>
        <w:t xml:space="preserve">AD </w:t>
      </w:r>
      <w:r w:rsidR="007265A6" w:rsidRPr="001005B7">
        <w:rPr>
          <w:rFonts w:ascii="Calibri" w:eastAsia="Times New Roman" w:hAnsi="Calibri" w:cs="Calibri"/>
        </w:rPr>
        <w:t xml:space="preserve">70 </w:t>
      </w:r>
      <w:r w:rsidR="00D97827" w:rsidRPr="001005B7">
        <w:rPr>
          <w:rFonts w:ascii="Calibri" w:eastAsia="Times New Roman" w:hAnsi="Calibri" w:cs="Calibri"/>
        </w:rPr>
        <w:t>in</w:t>
      </w:r>
      <w:r w:rsidR="001A0FAC" w:rsidRPr="001005B7">
        <w:rPr>
          <w:rFonts w:ascii="Calibri" w:eastAsia="Times New Roman" w:hAnsi="Calibri" w:cs="Calibri"/>
        </w:rPr>
        <w:t xml:space="preserve"> (e.g.) </w:t>
      </w:r>
      <w:r w:rsidR="00E404FC" w:rsidRPr="001005B7">
        <w:rPr>
          <w:rFonts w:ascii="Calibri" w:eastAsia="Times New Roman" w:hAnsi="Calibri" w:cs="Calibri"/>
        </w:rPr>
        <w:t>Josephus (</w:t>
      </w:r>
      <w:r w:rsidR="00927B90" w:rsidRPr="001005B7">
        <w:rPr>
          <w:rFonts w:ascii="Calibri" w:eastAsia="Times New Roman" w:hAnsi="Calibri" w:cs="Calibri"/>
          <w:i/>
          <w:iCs/>
        </w:rPr>
        <w:t>J.W.</w:t>
      </w:r>
      <w:r w:rsidR="002F0762" w:rsidRPr="001005B7">
        <w:rPr>
          <w:rFonts w:ascii="Calibri" w:eastAsia="Times New Roman" w:hAnsi="Calibri" w:cs="Calibri"/>
        </w:rPr>
        <w:t xml:space="preserve"> </w:t>
      </w:r>
      <w:r w:rsidR="00C24E9D" w:rsidRPr="001005B7">
        <w:rPr>
          <w:rFonts w:ascii="Calibri" w:eastAsia="Times New Roman" w:hAnsi="Calibri" w:cs="Calibri"/>
        </w:rPr>
        <w:t>6.</w:t>
      </w:r>
      <w:r w:rsidR="00663765" w:rsidRPr="001005B7">
        <w:rPr>
          <w:rFonts w:ascii="Calibri" w:eastAsia="Times New Roman" w:hAnsi="Calibri" w:cs="Calibri"/>
        </w:rPr>
        <w:t>3</w:t>
      </w:r>
      <w:r w:rsidR="002F0762" w:rsidRPr="001005B7">
        <w:rPr>
          <w:rFonts w:ascii="Calibri" w:eastAsia="Times New Roman" w:hAnsi="Calibri" w:cs="Calibri"/>
        </w:rPr>
        <w:t xml:space="preserve">) and </w:t>
      </w:r>
      <w:r w:rsidR="001A0FAC" w:rsidRPr="001005B7">
        <w:rPr>
          <w:rFonts w:ascii="Calibri" w:eastAsia="Times New Roman" w:hAnsi="Calibri" w:cs="Calibri"/>
          <w:i/>
          <w:iCs/>
        </w:rPr>
        <w:t>b. Yoma</w:t>
      </w:r>
      <w:r w:rsidR="00CF5EC2" w:rsidRPr="001005B7">
        <w:rPr>
          <w:rFonts w:ascii="Calibri" w:eastAsia="Times New Roman" w:hAnsi="Calibri" w:cs="Calibri"/>
        </w:rPr>
        <w:t xml:space="preserve"> </w:t>
      </w:r>
      <w:r w:rsidR="00B171F6" w:rsidRPr="001005B7">
        <w:rPr>
          <w:rFonts w:ascii="Calibri" w:eastAsia="Times New Roman" w:hAnsi="Calibri" w:cs="Calibri"/>
        </w:rPr>
        <w:t>38b</w:t>
      </w:r>
      <w:r w:rsidR="007265A6" w:rsidRPr="001005B7">
        <w:rPr>
          <w:rFonts w:ascii="Calibri" w:eastAsia="Times New Roman" w:hAnsi="Calibri" w:cs="Calibri"/>
        </w:rPr>
        <w:t>.</w:t>
      </w:r>
      <w:r w:rsidR="00683733" w:rsidRPr="001005B7">
        <w:rPr>
          <w:rFonts w:ascii="Calibri" w:eastAsia="Times New Roman" w:hAnsi="Calibri" w:cs="Calibri"/>
        </w:rPr>
        <w:t xml:space="preserve"> </w:t>
      </w:r>
      <w:r w:rsidR="0064277A" w:rsidRPr="001005B7">
        <w:rPr>
          <w:rFonts w:ascii="Calibri" w:eastAsia="Times New Roman" w:hAnsi="Calibri" w:cs="Calibri"/>
        </w:rPr>
        <w:t>T</w:t>
      </w:r>
      <w:r w:rsidR="00683733" w:rsidRPr="001005B7">
        <w:rPr>
          <w:rFonts w:ascii="Calibri" w:eastAsia="Times New Roman" w:hAnsi="Calibri" w:cs="Calibri"/>
        </w:rPr>
        <w:t xml:space="preserve">hese various texts </w:t>
      </w:r>
      <w:r w:rsidR="0064277A" w:rsidRPr="001005B7">
        <w:rPr>
          <w:rFonts w:ascii="Calibri" w:eastAsia="Times New Roman" w:hAnsi="Calibri" w:cs="Calibri"/>
        </w:rPr>
        <w:t>may be</w:t>
      </w:r>
      <w:r w:rsidR="00782897" w:rsidRPr="001005B7">
        <w:rPr>
          <w:rFonts w:ascii="Calibri" w:eastAsia="Times New Roman" w:hAnsi="Calibri" w:cs="Calibri"/>
        </w:rPr>
        <w:t xml:space="preserve"> </w:t>
      </w:r>
      <w:r w:rsidR="00683733" w:rsidRPr="001005B7">
        <w:rPr>
          <w:rFonts w:ascii="Calibri" w:eastAsia="Times New Roman" w:hAnsi="Calibri" w:cs="Calibri"/>
        </w:rPr>
        <w:t>spe</w:t>
      </w:r>
      <w:r w:rsidR="00782897" w:rsidRPr="001005B7">
        <w:rPr>
          <w:rFonts w:ascii="Calibri" w:eastAsia="Times New Roman" w:hAnsi="Calibri" w:cs="Calibri"/>
        </w:rPr>
        <w:t>a</w:t>
      </w:r>
      <w:r w:rsidR="00683733" w:rsidRPr="001005B7">
        <w:rPr>
          <w:rFonts w:ascii="Calibri" w:eastAsia="Times New Roman" w:hAnsi="Calibri" w:cs="Calibri"/>
        </w:rPr>
        <w:t>k</w:t>
      </w:r>
      <w:r w:rsidR="00782897" w:rsidRPr="001005B7">
        <w:rPr>
          <w:rFonts w:ascii="Calibri" w:eastAsia="Times New Roman" w:hAnsi="Calibri" w:cs="Calibri"/>
        </w:rPr>
        <w:t>ing</w:t>
      </w:r>
      <w:r w:rsidR="00683733" w:rsidRPr="001005B7">
        <w:rPr>
          <w:rFonts w:ascii="Calibri" w:eastAsia="Times New Roman" w:hAnsi="Calibri" w:cs="Calibri"/>
        </w:rPr>
        <w:t xml:space="preserve"> literally </w:t>
      </w:r>
      <w:r w:rsidR="0064277A" w:rsidRPr="001005B7">
        <w:rPr>
          <w:rFonts w:ascii="Calibri" w:eastAsia="Times New Roman" w:hAnsi="Calibri" w:cs="Calibri"/>
        </w:rPr>
        <w:t>or</w:t>
      </w:r>
      <w:r w:rsidR="00683733" w:rsidRPr="001005B7">
        <w:rPr>
          <w:rFonts w:ascii="Calibri" w:eastAsia="Times New Roman" w:hAnsi="Calibri" w:cs="Calibri"/>
        </w:rPr>
        <w:t xml:space="preserve"> </w:t>
      </w:r>
      <w:r w:rsidR="0064277A" w:rsidRPr="001005B7">
        <w:rPr>
          <w:rFonts w:ascii="Calibri" w:eastAsia="Times New Roman" w:hAnsi="Calibri" w:cs="Calibri"/>
        </w:rPr>
        <w:t>may be</w:t>
      </w:r>
      <w:r w:rsidR="00683733" w:rsidRPr="001005B7">
        <w:rPr>
          <w:rFonts w:ascii="Calibri" w:eastAsia="Times New Roman" w:hAnsi="Calibri" w:cs="Calibri"/>
        </w:rPr>
        <w:t xml:space="preserve"> </w:t>
      </w:r>
      <w:r w:rsidR="00EE6FA1" w:rsidRPr="001005B7">
        <w:rPr>
          <w:rFonts w:ascii="Calibri" w:eastAsia="Times New Roman" w:hAnsi="Calibri" w:cs="Calibri"/>
        </w:rPr>
        <w:t>looking for the most horrifying image to describe suffering</w:t>
      </w:r>
      <w:r w:rsidR="00782897" w:rsidRPr="001005B7">
        <w:rPr>
          <w:rFonts w:ascii="Calibri" w:eastAsia="Times New Roman" w:hAnsi="Calibri" w:cs="Calibri"/>
        </w:rPr>
        <w:t xml:space="preserve">, </w:t>
      </w:r>
      <w:r w:rsidR="00734EE1" w:rsidRPr="001005B7">
        <w:rPr>
          <w:rFonts w:ascii="Calibri" w:eastAsia="Times New Roman" w:hAnsi="Calibri" w:cs="Calibri"/>
        </w:rPr>
        <w:t>bu</w:t>
      </w:r>
      <w:r w:rsidR="00782897" w:rsidRPr="001005B7">
        <w:rPr>
          <w:rFonts w:ascii="Calibri" w:eastAsia="Times New Roman" w:hAnsi="Calibri" w:cs="Calibri"/>
        </w:rPr>
        <w:t xml:space="preserve">t eating human flesh </w:t>
      </w:r>
      <w:r w:rsidR="00566D13" w:rsidRPr="001005B7">
        <w:rPr>
          <w:rFonts w:ascii="Calibri" w:eastAsia="Times New Roman" w:hAnsi="Calibri" w:cs="Calibri"/>
        </w:rPr>
        <w:t>does happen in times of terrible travail</w:t>
      </w:r>
      <w:r w:rsidR="00613F9A" w:rsidRPr="001005B7">
        <w:rPr>
          <w:rFonts w:ascii="Calibri" w:eastAsia="Times New Roman" w:hAnsi="Calibri" w:cs="Calibri"/>
        </w:rPr>
        <w:t>,</w:t>
      </w:r>
      <w:r w:rsidR="00734EE1" w:rsidRPr="001005B7">
        <w:rPr>
          <w:rFonts w:ascii="Calibri" w:eastAsia="Times New Roman" w:hAnsi="Calibri" w:cs="Calibri"/>
        </w:rPr>
        <w:t xml:space="preserve"> </w:t>
      </w:r>
      <w:r w:rsidR="00C24E9D" w:rsidRPr="001005B7">
        <w:rPr>
          <w:rFonts w:ascii="Calibri" w:eastAsia="Times New Roman" w:hAnsi="Calibri" w:cs="Calibri"/>
        </w:rPr>
        <w:t>so</w:t>
      </w:r>
      <w:r w:rsidR="00734EE1" w:rsidRPr="001005B7">
        <w:rPr>
          <w:rFonts w:ascii="Calibri" w:eastAsia="Times New Roman" w:hAnsi="Calibri" w:cs="Calibri"/>
        </w:rPr>
        <w:t xml:space="preserve"> we cannot rule out literal reference. </w:t>
      </w:r>
      <w:r w:rsidR="0067536F" w:rsidRPr="001005B7">
        <w:rPr>
          <w:rFonts w:ascii="Calibri" w:eastAsia="Times New Roman" w:hAnsi="Calibri" w:cs="Calibri"/>
        </w:rPr>
        <w:t xml:space="preserve">Ezekiel’s </w:t>
      </w:r>
      <w:r w:rsidR="00524B9A" w:rsidRPr="001005B7">
        <w:rPr>
          <w:rFonts w:ascii="Calibri" w:eastAsia="Times New Roman" w:hAnsi="Calibri" w:cs="Calibri"/>
        </w:rPr>
        <w:t xml:space="preserve">unique </w:t>
      </w:r>
      <w:r w:rsidR="0067536F" w:rsidRPr="001005B7">
        <w:rPr>
          <w:rFonts w:ascii="Calibri" w:eastAsia="Times New Roman" w:hAnsi="Calibri" w:cs="Calibri"/>
        </w:rPr>
        <w:t>complementing</w:t>
      </w:r>
      <w:r w:rsidR="00524B9A" w:rsidRPr="001005B7">
        <w:rPr>
          <w:rFonts w:ascii="Calibri" w:eastAsia="Times New Roman" w:hAnsi="Calibri" w:cs="Calibri"/>
        </w:rPr>
        <w:t xml:space="preserve"> of</w:t>
      </w:r>
      <w:r w:rsidR="0067536F" w:rsidRPr="001005B7">
        <w:rPr>
          <w:rFonts w:ascii="Calibri" w:eastAsia="Times New Roman" w:hAnsi="Calibri" w:cs="Calibri"/>
        </w:rPr>
        <w:t xml:space="preserve"> parents eating children with </w:t>
      </w:r>
      <w:r w:rsidR="00524B9A" w:rsidRPr="001005B7">
        <w:rPr>
          <w:rFonts w:ascii="Calibri" w:eastAsia="Times New Roman" w:hAnsi="Calibri" w:cs="Calibri"/>
        </w:rPr>
        <w:t>children eating parents does suggest that he speaks hyperbolically</w:t>
      </w:r>
      <w:r w:rsidR="0032106C" w:rsidRPr="001005B7">
        <w:rPr>
          <w:rFonts w:ascii="Calibri" w:eastAsia="Times New Roman" w:hAnsi="Calibri" w:cs="Calibri"/>
        </w:rPr>
        <w:t>. P</w:t>
      </w:r>
      <w:r w:rsidR="00326E0F" w:rsidRPr="001005B7">
        <w:rPr>
          <w:rFonts w:ascii="Calibri" w:eastAsia="Times New Roman" w:hAnsi="Calibri" w:cs="Calibri"/>
        </w:rPr>
        <w:t>erhaps he collates the one-way threat of the passages in the Torah</w:t>
      </w:r>
      <w:r w:rsidR="00B20B58" w:rsidRPr="001005B7">
        <w:rPr>
          <w:rFonts w:ascii="Calibri" w:eastAsia="Times New Roman" w:hAnsi="Calibri" w:cs="Calibri"/>
        </w:rPr>
        <w:t xml:space="preserve"> with the two-way principle </w:t>
      </w:r>
      <w:r w:rsidR="00B20B58" w:rsidRPr="001005B7">
        <w:t xml:space="preserve">of </w:t>
      </w:r>
      <w:r w:rsidR="007E2240" w:rsidRPr="001005B7">
        <w:rPr>
          <w:rFonts w:ascii="Calibri" w:eastAsia="Times New Roman" w:hAnsi="Calibri" w:cs="Calibri"/>
        </w:rPr>
        <w:t>Deut 24:16</w:t>
      </w:r>
      <w:r w:rsidR="003B21ED" w:rsidRPr="001005B7">
        <w:rPr>
          <w:rFonts w:ascii="Calibri" w:eastAsia="Times New Roman" w:hAnsi="Calibri" w:cs="Calibri"/>
        </w:rPr>
        <w:t xml:space="preserve"> (</w:t>
      </w:r>
      <w:r w:rsidR="003B21ED" w:rsidRPr="001005B7">
        <w:t>Greenberg</w:t>
      </w:r>
      <w:r w:rsidR="00C717A9" w:rsidRPr="001005B7">
        <w:t>,</w:t>
      </w:r>
      <w:r w:rsidR="003B21ED" w:rsidRPr="001005B7">
        <w:rPr>
          <w:i/>
          <w:iCs/>
        </w:rPr>
        <w:t xml:space="preserve"> </w:t>
      </w:r>
      <w:r w:rsidR="009634C7" w:rsidRPr="001005B7">
        <w:t>1:</w:t>
      </w:r>
      <w:r w:rsidR="003B21ED" w:rsidRPr="001005B7">
        <w:t>114</w:t>
      </w:r>
      <w:r w:rsidR="009634C7" w:rsidRPr="001005B7">
        <w:rPr>
          <w:rFonts w:ascii="Calibri" w:eastAsia="Times New Roman" w:hAnsi="Calibri" w:cs="Calibri"/>
        </w:rPr>
        <w:t>).</w:t>
      </w:r>
      <w:r w:rsidR="00BA76B7" w:rsidRPr="001005B7">
        <w:t xml:space="preserve"> </w:t>
      </w:r>
      <w:r w:rsidR="002B12F2" w:rsidRPr="001005B7">
        <w:t xml:space="preserve">Once again Yahweh speaks of implementing his </w:t>
      </w:r>
      <w:r w:rsidR="009F4589" w:rsidRPr="001005B7">
        <w:t>“</w:t>
      </w:r>
      <w:r w:rsidR="002B12F2" w:rsidRPr="001005B7">
        <w:t>rulings</w:t>
      </w:r>
      <w:r w:rsidR="000A79EB" w:rsidRPr="001005B7">
        <w:t>,</w:t>
      </w:r>
      <w:r w:rsidR="009F4589" w:rsidRPr="001005B7">
        <w:t>”</w:t>
      </w:r>
      <w:r w:rsidR="000A79EB" w:rsidRPr="001005B7">
        <w:t xml:space="preserve"> here using </w:t>
      </w:r>
      <w:r w:rsidR="009F4589" w:rsidRPr="001005B7">
        <w:t xml:space="preserve">the word </w:t>
      </w:r>
      <w:r w:rsidR="00991327" w:rsidRPr="001005B7">
        <w:rPr>
          <w:rFonts w:cstheme="minorHAnsi"/>
          <w:rtl/>
          <w:lang w:bidi="he-IL"/>
        </w:rPr>
        <w:t>שְׁפָטׅ</w:t>
      </w:r>
      <w:r w:rsidR="00A06EB8" w:rsidRPr="001005B7">
        <w:rPr>
          <w:rFonts w:cstheme="minorHAnsi"/>
          <w:rtl/>
          <w:lang w:bidi="he-IL"/>
        </w:rPr>
        <w:t>ים</w:t>
      </w:r>
      <w:r w:rsidR="009F4589" w:rsidRPr="001005B7">
        <w:t xml:space="preserve"> </w:t>
      </w:r>
      <w:r w:rsidR="00A06EB8" w:rsidRPr="001005B7">
        <w:t xml:space="preserve">which </w:t>
      </w:r>
      <w:r w:rsidR="007267FC" w:rsidRPr="001005B7">
        <w:t>Ezekiel</w:t>
      </w:r>
      <w:r w:rsidR="00A06EB8" w:rsidRPr="001005B7">
        <w:t xml:space="preserve"> especially likes (see the </w:t>
      </w:r>
      <w:r w:rsidR="00FB6073" w:rsidRPr="001005B7">
        <w:t xml:space="preserve">verse-by-verse </w:t>
      </w:r>
      <w:r w:rsidR="00A06EB8" w:rsidRPr="001005B7">
        <w:t>commentary on 11:</w:t>
      </w:r>
      <w:r w:rsidR="001E3823" w:rsidRPr="001005B7">
        <w:t xml:space="preserve">9). </w:t>
      </w:r>
      <w:r w:rsidR="007267FC" w:rsidRPr="001005B7">
        <w:t>F</w:t>
      </w:r>
      <w:r w:rsidR="00AF4353" w:rsidRPr="001005B7">
        <w:t>i</w:t>
      </w:r>
      <w:r w:rsidR="0067174F" w:rsidRPr="001005B7">
        <w:t>nally, Yahw</w:t>
      </w:r>
      <w:r w:rsidR="007267FC" w:rsidRPr="001005B7">
        <w:t>eh</w:t>
      </w:r>
      <w:r w:rsidR="0067174F" w:rsidRPr="001005B7">
        <w:t xml:space="preserve"> picks up an expression from the last sign act</w:t>
      </w:r>
      <w:r w:rsidR="002E686B" w:rsidRPr="001005B7">
        <w:t>, and again develops it</w:t>
      </w:r>
      <w:r w:rsidR="0067174F" w:rsidRPr="001005B7">
        <w:t>:</w:t>
      </w:r>
      <w:r w:rsidR="002E686B" w:rsidRPr="001005B7">
        <w:t xml:space="preserve"> </w:t>
      </w:r>
      <w:r w:rsidR="00E91907" w:rsidRPr="001005B7">
        <w:t xml:space="preserve">he will </w:t>
      </w:r>
      <w:r w:rsidR="00050DBF" w:rsidRPr="001005B7">
        <w:t xml:space="preserve">himself take the action </w:t>
      </w:r>
      <w:r w:rsidR="00B52574" w:rsidRPr="001005B7">
        <w:t xml:space="preserve">with which he commissioned Ezekiel, and will </w:t>
      </w:r>
      <w:r w:rsidR="00613F9A" w:rsidRPr="001005B7">
        <w:t>“</w:t>
      </w:r>
      <w:r w:rsidR="002E686B" w:rsidRPr="001005B7">
        <w:t>scatter</w:t>
      </w:r>
      <w:r w:rsidR="002E686B" w:rsidRPr="001005B7">
        <w:rPr>
          <w:i/>
          <w:iCs/>
        </w:rPr>
        <w:t xml:space="preserve"> </w:t>
      </w:r>
      <w:r w:rsidR="002E686B" w:rsidRPr="001005B7">
        <w:t>all</w:t>
      </w:r>
      <w:r w:rsidR="002E686B" w:rsidRPr="001005B7">
        <w:rPr>
          <w:i/>
          <w:iCs/>
        </w:rPr>
        <w:t xml:space="preserve"> </w:t>
      </w:r>
      <w:r w:rsidR="002E686B" w:rsidRPr="001005B7">
        <w:t>that</w:t>
      </w:r>
      <w:r w:rsidR="002E686B" w:rsidRPr="001005B7">
        <w:rPr>
          <w:i/>
          <w:iCs/>
        </w:rPr>
        <w:t xml:space="preserve"> </w:t>
      </w:r>
      <w:r w:rsidR="002E686B" w:rsidRPr="001005B7">
        <w:t>remains</w:t>
      </w:r>
      <w:r w:rsidR="002E686B" w:rsidRPr="001005B7">
        <w:rPr>
          <w:i/>
          <w:iCs/>
        </w:rPr>
        <w:t xml:space="preserve"> </w:t>
      </w:r>
      <w:r w:rsidR="002E686B" w:rsidRPr="001005B7">
        <w:t>of</w:t>
      </w:r>
      <w:r w:rsidR="002E686B" w:rsidRPr="001005B7">
        <w:rPr>
          <w:i/>
          <w:iCs/>
        </w:rPr>
        <w:t xml:space="preserve"> </w:t>
      </w:r>
      <w:r w:rsidR="002E686B" w:rsidRPr="001005B7">
        <w:t>you</w:t>
      </w:r>
      <w:r w:rsidR="002E686B" w:rsidRPr="001005B7">
        <w:rPr>
          <w:i/>
          <w:iCs/>
        </w:rPr>
        <w:t xml:space="preserve"> </w:t>
      </w:r>
      <w:r w:rsidR="002E686B" w:rsidRPr="001005B7">
        <w:t>to</w:t>
      </w:r>
      <w:r w:rsidR="002E686B" w:rsidRPr="001005B7">
        <w:rPr>
          <w:i/>
          <w:iCs/>
        </w:rPr>
        <w:t xml:space="preserve"> </w:t>
      </w:r>
      <w:r w:rsidR="002E686B" w:rsidRPr="001005B7">
        <w:t>every</w:t>
      </w:r>
      <w:r w:rsidR="002E686B" w:rsidRPr="001005B7">
        <w:rPr>
          <w:i/>
          <w:iCs/>
        </w:rPr>
        <w:t xml:space="preserve"> </w:t>
      </w:r>
      <w:r w:rsidR="002E686B" w:rsidRPr="001005B7">
        <w:t>win</w:t>
      </w:r>
      <w:r w:rsidR="00E91907" w:rsidRPr="001005B7">
        <w:t>d</w:t>
      </w:r>
      <w:r w:rsidR="0012468B" w:rsidRPr="001005B7">
        <w:t>.</w:t>
      </w:r>
      <w:r w:rsidR="00613F9A" w:rsidRPr="001005B7">
        <w:t>”</w:t>
      </w:r>
      <w:r w:rsidR="0012468B" w:rsidRPr="001005B7">
        <w:t xml:space="preserve"> </w:t>
      </w:r>
      <w:r w:rsidR="008027EB" w:rsidRPr="001005B7">
        <w:t xml:space="preserve">As </w:t>
      </w:r>
      <w:r w:rsidR="00AC027B" w:rsidRPr="001005B7">
        <w:t>5:</w:t>
      </w:r>
      <w:r w:rsidR="00B208D6" w:rsidRPr="001005B7">
        <w:t>2</w:t>
      </w:r>
      <w:r w:rsidR="00F46900" w:rsidRPr="001005B7">
        <w:t>–</w:t>
      </w:r>
      <w:r w:rsidR="00B208D6" w:rsidRPr="001005B7">
        <w:t>4 seemed about to mitigate the threat of disaster</w:t>
      </w:r>
      <w:r w:rsidR="0070681E" w:rsidRPr="001005B7">
        <w:t xml:space="preserve"> and</w:t>
      </w:r>
      <w:r w:rsidR="00CB6D2D" w:rsidRPr="001005B7">
        <w:t xml:space="preserve"> </w:t>
      </w:r>
      <w:r w:rsidR="0070681E" w:rsidRPr="001005B7">
        <w:t xml:space="preserve">imply the possibility </w:t>
      </w:r>
      <w:r w:rsidR="00CB6D2D" w:rsidRPr="001005B7">
        <w:t>of some people surviving the coming disaster</w:t>
      </w:r>
      <w:r w:rsidR="00F452E1" w:rsidRPr="001005B7">
        <w:t>,</w:t>
      </w:r>
      <w:r w:rsidR="00451492" w:rsidRPr="001005B7">
        <w:t xml:space="preserve"> but </w:t>
      </w:r>
      <w:r w:rsidR="009257E4" w:rsidRPr="001005B7">
        <w:t xml:space="preserve">then </w:t>
      </w:r>
      <w:r w:rsidR="00E059B0" w:rsidRPr="001005B7">
        <w:t>did</w:t>
      </w:r>
      <w:r w:rsidR="00451492" w:rsidRPr="001005B7">
        <w:t xml:space="preserve"> nothing of the sort, so here Yahweh </w:t>
      </w:r>
      <w:r w:rsidR="00B97449" w:rsidRPr="001005B7">
        <w:t xml:space="preserve">picks the familiar </w:t>
      </w:r>
      <w:r w:rsidR="00CE483D" w:rsidRPr="001005B7">
        <w:t xml:space="preserve">but ambivalent </w:t>
      </w:r>
      <w:r w:rsidR="00B97449" w:rsidRPr="001005B7">
        <w:t xml:space="preserve">notion of </w:t>
      </w:r>
      <w:r w:rsidR="00A141FF" w:rsidRPr="001005B7">
        <w:t>“</w:t>
      </w:r>
      <w:r w:rsidR="00020D34" w:rsidRPr="001005B7">
        <w:t>all</w:t>
      </w:r>
      <w:r w:rsidR="00020D34" w:rsidRPr="001005B7">
        <w:rPr>
          <w:i/>
          <w:iCs/>
        </w:rPr>
        <w:t xml:space="preserve"> </w:t>
      </w:r>
      <w:r w:rsidR="00020D34" w:rsidRPr="001005B7">
        <w:t>that</w:t>
      </w:r>
      <w:r w:rsidR="00020D34" w:rsidRPr="001005B7">
        <w:rPr>
          <w:i/>
          <w:iCs/>
        </w:rPr>
        <w:t xml:space="preserve"> </w:t>
      </w:r>
      <w:r w:rsidR="00020D34" w:rsidRPr="001005B7">
        <w:t>remains,</w:t>
      </w:r>
      <w:r w:rsidR="00A141FF" w:rsidRPr="001005B7">
        <w:t>”</w:t>
      </w:r>
      <w:r w:rsidR="00020D34" w:rsidRPr="001005B7">
        <w:t xml:space="preserve"> </w:t>
      </w:r>
      <w:r w:rsidR="003A6825" w:rsidRPr="001005B7">
        <w:t xml:space="preserve">a </w:t>
      </w:r>
      <w:r w:rsidR="00822599" w:rsidRPr="001005B7">
        <w:t>“remnant” (</w:t>
      </w:r>
      <w:r w:rsidR="009469D2" w:rsidRPr="001005B7">
        <w:rPr>
          <w:rFonts w:cstheme="minorHAnsi"/>
          <w:rtl/>
          <w:lang w:bidi="he-IL"/>
        </w:rPr>
        <w:t>שְׁאֵ</w:t>
      </w:r>
      <w:r w:rsidR="004C5E05" w:rsidRPr="001005B7">
        <w:rPr>
          <w:rFonts w:cstheme="minorHAnsi"/>
          <w:rtl/>
          <w:lang w:bidi="he-IL"/>
        </w:rPr>
        <w:t>רִית</w:t>
      </w:r>
      <w:r w:rsidR="004148D8" w:rsidRPr="001005B7">
        <w:rPr>
          <w:rFonts w:cstheme="minorHAnsi"/>
        </w:rPr>
        <w:t>)</w:t>
      </w:r>
      <w:r w:rsidR="001B78D6" w:rsidRPr="001005B7">
        <w:rPr>
          <w:rFonts w:cstheme="minorHAnsi"/>
        </w:rPr>
        <w:t>,</w:t>
      </w:r>
      <w:r w:rsidR="00D9418A" w:rsidRPr="001005B7">
        <w:t xml:space="preserve"> and denies that it contains any hope.</w:t>
      </w:r>
    </w:p>
    <w:p w14:paraId="112F9615" w14:textId="39B6E86C" w:rsidR="00F1065F" w:rsidRPr="001005B7" w:rsidRDefault="00E22722" w:rsidP="003125F4">
      <w:r w:rsidRPr="001005B7">
        <w:rPr>
          <w:b/>
          <w:bCs/>
        </w:rPr>
        <w:t>5:11</w:t>
      </w:r>
      <w:r w:rsidR="00431082" w:rsidRPr="001005B7">
        <w:rPr>
          <w:b/>
          <w:bCs/>
        </w:rPr>
        <w:t>a</w:t>
      </w:r>
      <w:r w:rsidRPr="001005B7">
        <w:rPr>
          <w:b/>
          <w:bCs/>
        </w:rPr>
        <w:t xml:space="preserve"> </w:t>
      </w:r>
      <w:r w:rsidR="006D0D62" w:rsidRPr="001005B7">
        <w:t xml:space="preserve">Starting </w:t>
      </w:r>
      <w:r w:rsidR="00867D18" w:rsidRPr="001005B7">
        <w:t>again</w:t>
      </w:r>
      <w:r w:rsidR="006D0D62" w:rsidRPr="001005B7">
        <w:t xml:space="preserve">, </w:t>
      </w:r>
      <w:r w:rsidR="00C04749" w:rsidRPr="001005B7">
        <w:t>Yahweh</w:t>
      </w:r>
      <w:r w:rsidR="0062075A" w:rsidRPr="001005B7">
        <w:t xml:space="preserve"> once </w:t>
      </w:r>
      <w:r w:rsidR="00D163D3" w:rsidRPr="001005B7">
        <w:t>more</w:t>
      </w:r>
      <w:r w:rsidR="0062075A" w:rsidRPr="001005B7">
        <w:t xml:space="preserve"> restates his intention</w:t>
      </w:r>
      <w:r w:rsidR="00065B0C" w:rsidRPr="001005B7">
        <w:t xml:space="preserve"> and ra</w:t>
      </w:r>
      <w:r w:rsidR="001F06D9" w:rsidRPr="001005B7">
        <w:t>t</w:t>
      </w:r>
      <w:r w:rsidR="00065B0C" w:rsidRPr="001005B7">
        <w:t>ion</w:t>
      </w:r>
      <w:r w:rsidR="001F06D9" w:rsidRPr="001005B7">
        <w:t>a</w:t>
      </w:r>
      <w:r w:rsidR="00065B0C" w:rsidRPr="001005B7">
        <w:t>le</w:t>
      </w:r>
      <w:r w:rsidR="00A33202" w:rsidRPr="001005B7">
        <w:t>,</w:t>
      </w:r>
      <w:r w:rsidR="009B6EA3" w:rsidRPr="001005B7">
        <w:t xml:space="preserve"> </w:t>
      </w:r>
      <w:r w:rsidR="00A33202" w:rsidRPr="001005B7">
        <w:t xml:space="preserve">with more </w:t>
      </w:r>
      <w:r w:rsidR="00B223DF" w:rsidRPr="001005B7">
        <w:t xml:space="preserve">specificity and </w:t>
      </w:r>
      <w:r w:rsidR="003A63C0" w:rsidRPr="001005B7">
        <w:t xml:space="preserve">more </w:t>
      </w:r>
      <w:r w:rsidR="00A33202" w:rsidRPr="001005B7">
        <w:t>force</w:t>
      </w:r>
      <w:r w:rsidR="00065B0C" w:rsidRPr="001005B7">
        <w:t>.</w:t>
      </w:r>
      <w:r w:rsidR="001F06D9" w:rsidRPr="001005B7">
        <w:t xml:space="preserve"> </w:t>
      </w:r>
      <w:r w:rsidR="00C34CF4" w:rsidRPr="001005B7">
        <w:t>H</w:t>
      </w:r>
      <w:r w:rsidR="00B223DF" w:rsidRPr="001005B7">
        <w:t xml:space="preserve">e </w:t>
      </w:r>
      <w:r w:rsidR="00C34CF4" w:rsidRPr="001005B7">
        <w:t xml:space="preserve">begins by </w:t>
      </w:r>
      <w:r w:rsidR="00B223DF" w:rsidRPr="001005B7">
        <w:t>strengthen</w:t>
      </w:r>
      <w:r w:rsidR="00C34CF4" w:rsidRPr="001005B7">
        <w:t>ing</w:t>
      </w:r>
      <w:r w:rsidR="00B223DF" w:rsidRPr="001005B7">
        <w:t xml:space="preserve"> it </w:t>
      </w:r>
      <w:r w:rsidR="00C34CF4" w:rsidRPr="001005B7">
        <w:t xml:space="preserve">with </w:t>
      </w:r>
      <w:r w:rsidR="00ED0442" w:rsidRPr="001005B7">
        <w:t>a</w:t>
      </w:r>
      <w:r w:rsidR="00B223DF" w:rsidRPr="001005B7">
        <w:t xml:space="preserve"> </w:t>
      </w:r>
      <w:r w:rsidR="00ED0442" w:rsidRPr="001005B7">
        <w:t>trip</w:t>
      </w:r>
      <w:r w:rsidR="00E37C7C" w:rsidRPr="001005B7">
        <w:t>le</w:t>
      </w:r>
      <w:r w:rsidR="00FB7AB3" w:rsidRPr="001005B7">
        <w:t xml:space="preserve"> </w:t>
      </w:r>
      <w:r w:rsidR="00AA75CC" w:rsidRPr="001005B7">
        <w:t>avowal</w:t>
      </w:r>
      <w:r w:rsidR="00ED0442" w:rsidRPr="001005B7">
        <w:t xml:space="preserve">. </w:t>
      </w:r>
      <w:r w:rsidR="00CC3682" w:rsidRPr="001005B7">
        <w:t>First</w:t>
      </w:r>
      <w:r w:rsidR="00CC3682" w:rsidRPr="001005B7">
        <w:rPr>
          <w:i/>
          <w:iCs/>
        </w:rPr>
        <w:t xml:space="preserve">, </w:t>
      </w:r>
      <w:r w:rsidR="00D26368" w:rsidRPr="001005B7">
        <w:t>he declares,</w:t>
      </w:r>
      <w:r w:rsidR="00CC3682" w:rsidRPr="001005B7">
        <w:rPr>
          <w:i/>
          <w:iCs/>
        </w:rPr>
        <w:t xml:space="preserve"> </w:t>
      </w:r>
      <w:r w:rsidR="00A141FF" w:rsidRPr="001005B7">
        <w:t>“I</w:t>
      </w:r>
      <w:r w:rsidR="00CC3682" w:rsidRPr="001005B7">
        <w:rPr>
          <w:i/>
          <w:iCs/>
        </w:rPr>
        <w:t xml:space="preserve"> </w:t>
      </w:r>
      <w:r w:rsidR="00CC3682" w:rsidRPr="001005B7">
        <w:t>am</w:t>
      </w:r>
      <w:r w:rsidR="00CC3682" w:rsidRPr="001005B7">
        <w:rPr>
          <w:i/>
          <w:iCs/>
        </w:rPr>
        <w:t xml:space="preserve"> </w:t>
      </w:r>
      <w:r w:rsidR="00CC3682" w:rsidRPr="001005B7">
        <w:t>alive</w:t>
      </w:r>
      <w:r w:rsidR="00A141FF" w:rsidRPr="001005B7">
        <w:t>”</w:t>
      </w:r>
      <w:r w:rsidR="00CC3682" w:rsidRPr="001005B7">
        <w:rPr>
          <w:i/>
          <w:iCs/>
        </w:rPr>
        <w:t xml:space="preserve"> </w:t>
      </w:r>
      <w:r w:rsidR="00CF44B1" w:rsidRPr="001005B7">
        <w:t>(traditionally,</w:t>
      </w:r>
      <w:r w:rsidR="00C42479" w:rsidRPr="001005B7">
        <w:t xml:space="preserve"> “as I live”</w:t>
      </w:r>
      <w:r w:rsidR="00D26368" w:rsidRPr="001005B7">
        <w:t>)</w:t>
      </w:r>
      <w:r w:rsidR="00297D4E" w:rsidRPr="001005B7">
        <w:t>. T</w:t>
      </w:r>
      <w:r w:rsidR="00D26368" w:rsidRPr="001005B7">
        <w:t xml:space="preserve">he one who speaks is the living God, the </w:t>
      </w:r>
      <w:r w:rsidR="00EA0E50" w:rsidRPr="001005B7">
        <w:t>lively God, the God w</w:t>
      </w:r>
      <w:r w:rsidR="00297D4E" w:rsidRPr="001005B7">
        <w:t>h</w:t>
      </w:r>
      <w:r w:rsidR="00EA0E50" w:rsidRPr="001005B7">
        <w:t>o acts: so watch it</w:t>
      </w:r>
      <w:r w:rsidR="00E31F4C" w:rsidRPr="001005B7">
        <w:t xml:space="preserve"> (s</w:t>
      </w:r>
      <w:r w:rsidR="00800A8C" w:rsidRPr="001005B7">
        <w:t>ee further the comments on</w:t>
      </w:r>
      <w:r w:rsidR="00C02389" w:rsidRPr="001005B7">
        <w:t xml:space="preserve"> “Who God Is” in the Introduction to this commentary</w:t>
      </w:r>
      <w:r w:rsidR="00E31F4C" w:rsidRPr="001005B7">
        <w:t>)</w:t>
      </w:r>
      <w:r w:rsidR="00EA0E50" w:rsidRPr="001005B7">
        <w:t>.</w:t>
      </w:r>
      <w:r w:rsidR="001D6A2F" w:rsidRPr="001005B7">
        <w:rPr>
          <w:rStyle w:val="FootnoteReference"/>
        </w:rPr>
        <w:footnoteReference w:id="186"/>
      </w:r>
      <w:r w:rsidR="003F54BB" w:rsidRPr="001005B7">
        <w:t xml:space="preserve"> Second, what follows is </w:t>
      </w:r>
      <w:r w:rsidR="00CC3682" w:rsidRPr="001005B7">
        <w:t>the Lord Yahweh’s affirmation</w:t>
      </w:r>
      <w:r w:rsidR="003F54BB" w:rsidRPr="001005B7">
        <w:t>:</w:t>
      </w:r>
      <w:r w:rsidR="00255153" w:rsidRPr="001005B7">
        <w:t xml:space="preserve"> </w:t>
      </w:r>
      <w:r w:rsidR="007E2240" w:rsidRPr="001005B7">
        <w:t>Jeremiah and Ezekiel, in particular,</w:t>
      </w:r>
      <w:r w:rsidR="0049702A" w:rsidRPr="001005B7">
        <w:t xml:space="preserve"> often support their words </w:t>
      </w:r>
      <w:r w:rsidR="00FE02EC" w:rsidRPr="001005B7">
        <w:t>with this parenthesis</w:t>
      </w:r>
      <w:r w:rsidR="00E70C58" w:rsidRPr="001005B7">
        <w:t>. “</w:t>
      </w:r>
      <w:r w:rsidR="00576793" w:rsidRPr="001005B7">
        <w:t xml:space="preserve">I am not like those other prophets, this is </w:t>
      </w:r>
      <w:r w:rsidR="0049702A" w:rsidRPr="001005B7">
        <w:t xml:space="preserve">not </w:t>
      </w:r>
      <w:r w:rsidR="001465BF" w:rsidRPr="001005B7">
        <w:t xml:space="preserve">merely </w:t>
      </w:r>
      <w:r w:rsidR="0049702A" w:rsidRPr="001005B7">
        <w:t xml:space="preserve">my </w:t>
      </w:r>
      <w:r w:rsidR="00AA768D" w:rsidRPr="001005B7">
        <w:t xml:space="preserve">affirmation, </w:t>
      </w:r>
      <w:r w:rsidR="00FE02EC" w:rsidRPr="001005B7">
        <w:t>it’s Yahweh’s</w:t>
      </w:r>
      <w:r w:rsidR="0049702A" w:rsidRPr="001005B7">
        <w:t>, you realize</w:t>
      </w:r>
      <w:r w:rsidR="00BF3FF6" w:rsidRPr="001005B7">
        <w:t>?”</w:t>
      </w:r>
      <w:r w:rsidR="00DF6912" w:rsidRPr="001005B7">
        <w:t xml:space="preserve"> </w:t>
      </w:r>
      <w:r w:rsidR="00E70C58" w:rsidRPr="001005B7">
        <w:t xml:space="preserve">(cf. </w:t>
      </w:r>
      <w:r w:rsidR="00DF6912" w:rsidRPr="001005B7">
        <w:t>13:6</w:t>
      </w:r>
      <w:r w:rsidR="00F46900" w:rsidRPr="001005B7">
        <w:t>–</w:t>
      </w:r>
      <w:r w:rsidR="003E36EE" w:rsidRPr="001005B7">
        <w:t>7</w:t>
      </w:r>
      <w:r w:rsidR="00BF3FF6" w:rsidRPr="001005B7">
        <w:t>)</w:t>
      </w:r>
      <w:r w:rsidR="001465BF" w:rsidRPr="001005B7">
        <w:t>. I</w:t>
      </w:r>
      <w:r w:rsidR="007E2240" w:rsidRPr="001005B7">
        <w:t xml:space="preserve">n Ezekiel </w:t>
      </w:r>
      <w:r w:rsidR="004D2E47" w:rsidRPr="001005B7">
        <w:t xml:space="preserve">the phrase </w:t>
      </w:r>
      <w:r w:rsidR="007E2240" w:rsidRPr="001005B7">
        <w:t xml:space="preserve">often follows </w:t>
      </w:r>
      <w:r w:rsidR="00C15755" w:rsidRPr="001005B7">
        <w:t>and reinforces</w:t>
      </w:r>
      <w:r w:rsidR="002562EC" w:rsidRPr="001005B7">
        <w:t xml:space="preserve"> “I</w:t>
      </w:r>
      <w:r w:rsidR="007E2240" w:rsidRPr="001005B7">
        <w:rPr>
          <w:i/>
          <w:iCs/>
        </w:rPr>
        <w:t xml:space="preserve"> </w:t>
      </w:r>
      <w:r w:rsidR="007E2240" w:rsidRPr="001005B7">
        <w:t>am</w:t>
      </w:r>
      <w:r w:rsidR="007E2240" w:rsidRPr="001005B7">
        <w:rPr>
          <w:i/>
          <w:iCs/>
        </w:rPr>
        <w:t xml:space="preserve"> </w:t>
      </w:r>
      <w:r w:rsidR="007E2240" w:rsidRPr="001005B7">
        <w:t>alive</w:t>
      </w:r>
      <w:r w:rsidR="002562EC" w:rsidRPr="001005B7">
        <w:t>”</w:t>
      </w:r>
      <w:r w:rsidR="007E2240" w:rsidRPr="001005B7">
        <w:rPr>
          <w:i/>
          <w:iCs/>
        </w:rPr>
        <w:t xml:space="preserve"> </w:t>
      </w:r>
      <w:r w:rsidR="007E2240" w:rsidRPr="001005B7">
        <w:t>(e.g., 14:15, 16, 18, 20)</w:t>
      </w:r>
      <w:r w:rsidR="00BF3FF6" w:rsidRPr="001005B7">
        <w:t>.</w:t>
      </w:r>
      <w:r w:rsidR="00412520" w:rsidRPr="001005B7">
        <w:t xml:space="preserve"> Third, what </w:t>
      </w:r>
      <w:r w:rsidR="00476590" w:rsidRPr="001005B7">
        <w:t>comes next</w:t>
      </w:r>
      <w:r w:rsidR="00412520" w:rsidRPr="001005B7">
        <w:t xml:space="preserve"> i</w:t>
      </w:r>
      <w:r w:rsidR="007F6201" w:rsidRPr="001005B7">
        <w:t>s an</w:t>
      </w:r>
      <w:r w:rsidR="00412520" w:rsidRPr="001005B7">
        <w:t xml:space="preserve"> </w:t>
      </w:r>
      <w:r w:rsidR="00B46D57" w:rsidRPr="001005B7">
        <w:t>incomplete solemn self-curse</w:t>
      </w:r>
      <w:r w:rsidR="007F6201" w:rsidRPr="001005B7">
        <w:t xml:space="preserve"> by Yahweh</w:t>
      </w:r>
      <w:r w:rsidR="002562EC" w:rsidRPr="001005B7">
        <w:t>,</w:t>
      </w:r>
      <w:r w:rsidR="00B46D57" w:rsidRPr="001005B7">
        <w:t xml:space="preserve"> </w:t>
      </w:r>
      <w:r w:rsidR="0099555B" w:rsidRPr="001005B7">
        <w:t>“</w:t>
      </w:r>
      <w:r w:rsidR="00CC3682" w:rsidRPr="001005B7">
        <w:t>if</w:t>
      </w:r>
      <w:r w:rsidR="00CC3682" w:rsidRPr="001005B7">
        <w:rPr>
          <w:i/>
          <w:iCs/>
        </w:rPr>
        <w:t xml:space="preserve"> </w:t>
      </w:r>
      <w:r w:rsidR="0099555B" w:rsidRPr="001005B7">
        <w:t>I</w:t>
      </w:r>
      <w:r w:rsidR="00CC3682" w:rsidRPr="001005B7">
        <w:rPr>
          <w:i/>
          <w:iCs/>
        </w:rPr>
        <w:t xml:space="preserve"> </w:t>
      </w:r>
      <w:r w:rsidR="00CC3682" w:rsidRPr="001005B7">
        <w:t>do</w:t>
      </w:r>
      <w:r w:rsidR="00CC3682" w:rsidRPr="001005B7">
        <w:rPr>
          <w:i/>
          <w:iCs/>
        </w:rPr>
        <w:t xml:space="preserve"> </w:t>
      </w:r>
      <w:r w:rsidR="00CC3682" w:rsidRPr="001005B7">
        <w:t>not</w:t>
      </w:r>
      <w:r w:rsidR="00F22F4F" w:rsidRPr="001005B7">
        <w:rPr>
          <w:rFonts w:cstheme="minorHAnsi"/>
          <w:lang w:eastAsia="en-GB"/>
        </w:rPr>
        <w:t>,…</w:t>
      </w:r>
      <w:r w:rsidR="0099555B" w:rsidRPr="001005B7">
        <w:rPr>
          <w:lang w:eastAsia="en-GB"/>
        </w:rPr>
        <w:t>”</w:t>
      </w:r>
      <w:r w:rsidR="00476590" w:rsidRPr="001005B7">
        <w:t xml:space="preserve"> </w:t>
      </w:r>
      <w:r w:rsidR="008C3BBB" w:rsidRPr="001005B7">
        <w:t xml:space="preserve">with </w:t>
      </w:r>
      <w:proofErr w:type="spellStart"/>
      <w:r w:rsidR="008C3BBB" w:rsidRPr="001005B7">
        <w:t>uts</w:t>
      </w:r>
      <w:proofErr w:type="spellEnd"/>
      <w:r w:rsidR="008C3BBB" w:rsidRPr="001005B7">
        <w:t xml:space="preserve"> implication of self-punishment</w:t>
      </w:r>
      <w:r w:rsidR="00C80268" w:rsidRPr="001005B7">
        <w:t xml:space="preserve">. </w:t>
      </w:r>
    </w:p>
    <w:p w14:paraId="6DAA034F" w14:textId="065A98F5" w:rsidR="0019157E" w:rsidRPr="001005B7" w:rsidRDefault="00C80268" w:rsidP="002802D7">
      <w:pPr>
        <w:rPr>
          <w:rFonts w:cstheme="minorHAnsi"/>
        </w:rPr>
      </w:pPr>
      <w:r w:rsidRPr="001005B7">
        <w:t xml:space="preserve">Here, even the </w:t>
      </w:r>
      <w:r w:rsidR="000577EC" w:rsidRPr="001005B7">
        <w:t>declaration of intent</w:t>
      </w:r>
      <w:r w:rsidR="00C0142E" w:rsidRPr="001005B7">
        <w:t xml:space="preserve"> is delayed </w:t>
      </w:r>
      <w:r w:rsidR="0005431C" w:rsidRPr="001005B7">
        <w:t>by a</w:t>
      </w:r>
      <w:r w:rsidR="000577EC" w:rsidRPr="001005B7">
        <w:t>nother</w:t>
      </w:r>
      <w:r w:rsidR="0005431C" w:rsidRPr="001005B7">
        <w:t xml:space="preserve"> restatement of the rationale for the unspecified action</w:t>
      </w:r>
      <w:r w:rsidR="009B394C" w:rsidRPr="001005B7">
        <w:t xml:space="preserve">. </w:t>
      </w:r>
      <w:r w:rsidR="000577EC" w:rsidRPr="001005B7">
        <w:t>F</w:t>
      </w:r>
      <w:r w:rsidR="00503F12" w:rsidRPr="001005B7">
        <w:t>or the f</w:t>
      </w:r>
      <w:r w:rsidR="00103FBB" w:rsidRPr="001005B7">
        <w:t>irst time</w:t>
      </w:r>
      <w:r w:rsidR="000577EC" w:rsidRPr="001005B7">
        <w:t xml:space="preserve">, </w:t>
      </w:r>
      <w:r w:rsidR="00095058" w:rsidRPr="001005B7">
        <w:t>it</w:t>
      </w:r>
      <w:r w:rsidR="00103FBB" w:rsidRPr="001005B7">
        <w:t xml:space="preserve"> gives some specificity to </w:t>
      </w:r>
      <w:r w:rsidR="009B394C" w:rsidRPr="001005B7">
        <w:t xml:space="preserve">the </w:t>
      </w:r>
      <w:proofErr w:type="spellStart"/>
      <w:r w:rsidR="009B394C" w:rsidRPr="001005B7">
        <w:t>the</w:t>
      </w:r>
      <w:proofErr w:type="spellEnd"/>
      <w:r w:rsidR="009B394C" w:rsidRPr="001005B7">
        <w:t xml:space="preserve"> </w:t>
      </w:r>
      <w:r w:rsidR="00EE3565" w:rsidRPr="001005B7">
        <w:t>“outrages</w:t>
      </w:r>
      <w:r w:rsidR="000757E5" w:rsidRPr="001005B7">
        <w:t>,</w:t>
      </w:r>
      <w:r w:rsidR="00EE3565" w:rsidRPr="001005B7">
        <w:t>”</w:t>
      </w:r>
      <w:r w:rsidR="000757E5" w:rsidRPr="001005B7">
        <w:t xml:space="preserve"> though still in rather general terms. </w:t>
      </w:r>
      <w:r w:rsidR="00B84419" w:rsidRPr="001005B7">
        <w:t xml:space="preserve">They </w:t>
      </w:r>
      <w:r w:rsidR="00211F7D" w:rsidRPr="001005B7">
        <w:t>a</w:t>
      </w:r>
      <w:r w:rsidR="00B84419" w:rsidRPr="001005B7">
        <w:t>re</w:t>
      </w:r>
      <w:r w:rsidR="00211F7D" w:rsidRPr="001005B7">
        <w:t xml:space="preserve"> </w:t>
      </w:r>
      <w:r w:rsidR="00EE3565" w:rsidRPr="001005B7">
        <w:t>“</w:t>
      </w:r>
      <w:r w:rsidR="00211F7D" w:rsidRPr="001005B7">
        <w:t>detestable</w:t>
      </w:r>
      <w:r w:rsidR="00211F7D" w:rsidRPr="001005B7">
        <w:rPr>
          <w:i/>
          <w:iCs/>
        </w:rPr>
        <w:t xml:space="preserve"> </w:t>
      </w:r>
      <w:r w:rsidR="00A75199" w:rsidRPr="001005B7">
        <w:t>objects</w:t>
      </w:r>
      <w:r w:rsidR="00EE3565" w:rsidRPr="001005B7">
        <w:t>”</w:t>
      </w:r>
      <w:r w:rsidR="00211F7D" w:rsidRPr="001005B7">
        <w:rPr>
          <w:i/>
          <w:iCs/>
        </w:rPr>
        <w:t xml:space="preserve"> </w:t>
      </w:r>
      <w:r w:rsidR="00211F7D" w:rsidRPr="001005B7">
        <w:t>(</w:t>
      </w:r>
      <w:r w:rsidR="00193D67" w:rsidRPr="001005B7">
        <w:rPr>
          <w:rFonts w:cstheme="minorHAnsi"/>
          <w:rtl/>
          <w:lang w:bidi="he-IL"/>
        </w:rPr>
        <w:t>שִׁ</w:t>
      </w:r>
      <w:r w:rsidR="00B56FAD" w:rsidRPr="001005B7">
        <w:rPr>
          <w:rFonts w:cstheme="minorHAnsi"/>
          <w:rtl/>
          <w:lang w:bidi="he-IL"/>
        </w:rPr>
        <w:t>קּוּץ</w:t>
      </w:r>
      <w:r w:rsidR="005737C7" w:rsidRPr="001005B7">
        <w:rPr>
          <w:rFonts w:cstheme="minorHAnsi"/>
        </w:rPr>
        <w:t>), another term Ezekiel uses more than anyone</w:t>
      </w:r>
      <w:r w:rsidR="006D5CD1" w:rsidRPr="001005B7">
        <w:rPr>
          <w:rFonts w:cstheme="minorHAnsi"/>
        </w:rPr>
        <w:t>. W</w:t>
      </w:r>
      <w:r w:rsidR="00D614C3" w:rsidRPr="001005B7">
        <w:rPr>
          <w:rFonts w:cstheme="minorHAnsi"/>
        </w:rPr>
        <w:t xml:space="preserve">e will discover in due course that </w:t>
      </w:r>
      <w:r w:rsidR="00EE239D" w:rsidRPr="001005B7">
        <w:rPr>
          <w:rFonts w:cstheme="minorHAnsi"/>
        </w:rPr>
        <w:t>it refers to</w:t>
      </w:r>
      <w:r w:rsidR="00FA0E4C" w:rsidRPr="001005B7">
        <w:rPr>
          <w:rFonts w:cstheme="minorHAnsi"/>
        </w:rPr>
        <w:t xml:space="preserve"> the images of wood and rock</w:t>
      </w:r>
      <w:r w:rsidR="00B84419" w:rsidRPr="001005B7">
        <w:t xml:space="preserve"> </w:t>
      </w:r>
      <w:r w:rsidR="00210DB8" w:rsidRPr="001005B7">
        <w:t>used in the</w:t>
      </w:r>
      <w:r w:rsidR="007E31FD" w:rsidRPr="001005B7">
        <w:t xml:space="preserve"> temple</w:t>
      </w:r>
      <w:r w:rsidR="00210DB8" w:rsidRPr="001005B7">
        <w:t xml:space="preserve"> worship in Jerusalem</w:t>
      </w:r>
      <w:r w:rsidR="002C3E64" w:rsidRPr="001005B7">
        <w:t>,</w:t>
      </w:r>
      <w:r w:rsidR="007D014C" w:rsidRPr="001005B7">
        <w:t xml:space="preserve"> </w:t>
      </w:r>
      <w:r w:rsidR="002C3E64" w:rsidRPr="001005B7">
        <w:t>which</w:t>
      </w:r>
      <w:r w:rsidR="007D014C" w:rsidRPr="001005B7">
        <w:t xml:space="preserve"> are thus </w:t>
      </w:r>
      <w:r w:rsidR="00DB3616" w:rsidRPr="001005B7">
        <w:t xml:space="preserve">means by which people have </w:t>
      </w:r>
      <w:r w:rsidR="006B4DAD" w:rsidRPr="001005B7">
        <w:t>“</w:t>
      </w:r>
      <w:r w:rsidR="00DB3616" w:rsidRPr="001005B7">
        <w:t>defiled</w:t>
      </w:r>
      <w:r w:rsidR="00DB3616" w:rsidRPr="001005B7">
        <w:rPr>
          <w:i/>
          <w:iCs/>
        </w:rPr>
        <w:t xml:space="preserve"> </w:t>
      </w:r>
      <w:r w:rsidR="00DB3616" w:rsidRPr="001005B7">
        <w:t>my</w:t>
      </w:r>
      <w:r w:rsidR="00DB3616" w:rsidRPr="001005B7">
        <w:rPr>
          <w:i/>
          <w:iCs/>
        </w:rPr>
        <w:t xml:space="preserve"> </w:t>
      </w:r>
      <w:r w:rsidR="00DB3616" w:rsidRPr="001005B7">
        <w:t>sanctuary</w:t>
      </w:r>
      <w:r w:rsidR="00B75B69" w:rsidRPr="001005B7">
        <w:t>.</w:t>
      </w:r>
      <w:r w:rsidR="006B4DAD" w:rsidRPr="001005B7">
        <w:t>”</w:t>
      </w:r>
      <w:r w:rsidR="00B75B69" w:rsidRPr="001005B7">
        <w:t xml:space="preserve"> </w:t>
      </w:r>
      <w:r w:rsidR="003A72B1" w:rsidRPr="001005B7">
        <w:t>Th</w:t>
      </w:r>
      <w:r w:rsidR="00B63A4E" w:rsidRPr="001005B7">
        <w:t>is</w:t>
      </w:r>
      <w:r w:rsidR="003A72B1" w:rsidRPr="001005B7">
        <w:t xml:space="preserve"> </w:t>
      </w:r>
      <w:r w:rsidR="00461B8E" w:rsidRPr="001005B7">
        <w:t xml:space="preserve">noun </w:t>
      </w:r>
      <w:r w:rsidR="003A72B1" w:rsidRPr="001005B7">
        <w:t>(</w:t>
      </w:r>
      <w:r w:rsidR="00C37DA4" w:rsidRPr="001005B7">
        <w:rPr>
          <w:rFonts w:cstheme="minorHAnsi"/>
          <w:rtl/>
          <w:lang w:bidi="he-IL"/>
        </w:rPr>
        <w:t>מִקְדָשׁ</w:t>
      </w:r>
      <w:r w:rsidR="006C7C87" w:rsidRPr="001005B7">
        <w:t xml:space="preserve">) is Ezekiel’s favorite </w:t>
      </w:r>
      <w:r w:rsidR="00830DBD" w:rsidRPr="001005B7">
        <w:t>term for the temple</w:t>
      </w:r>
      <w:r w:rsidR="001E0947" w:rsidRPr="001005B7">
        <w:t>. I</w:t>
      </w:r>
      <w:r w:rsidR="00EB0319" w:rsidRPr="001005B7">
        <w:t>t is</w:t>
      </w:r>
      <w:r w:rsidR="00830DBD" w:rsidRPr="001005B7">
        <w:t xml:space="preserve"> more frequent than </w:t>
      </w:r>
      <w:r w:rsidR="00DB061D" w:rsidRPr="001005B7">
        <w:t>“palace” (</w:t>
      </w:r>
      <w:r w:rsidR="007C149C" w:rsidRPr="001005B7">
        <w:rPr>
          <w:rFonts w:cstheme="minorHAnsi"/>
          <w:rtl/>
          <w:lang w:bidi="he-IL"/>
        </w:rPr>
        <w:t>הֵיכָל</w:t>
      </w:r>
      <w:r w:rsidR="0090333F" w:rsidRPr="001005B7">
        <w:t>, the word most commonly translated “temple”</w:t>
      </w:r>
      <w:r w:rsidR="00834446" w:rsidRPr="001005B7">
        <w:t xml:space="preserve">; e.g., </w:t>
      </w:r>
      <w:r w:rsidR="001601DB" w:rsidRPr="001005B7">
        <w:t>8:16</w:t>
      </w:r>
      <w:r w:rsidR="00161107" w:rsidRPr="001005B7">
        <w:t>; 44:1</w:t>
      </w:r>
      <w:r w:rsidR="0090333F" w:rsidRPr="001005B7">
        <w:t xml:space="preserve">) </w:t>
      </w:r>
      <w:r w:rsidR="00C671FD" w:rsidRPr="001005B7">
        <w:t>or “Yahweh’s house</w:t>
      </w:r>
      <w:r w:rsidR="003008F6" w:rsidRPr="001005B7">
        <w:t>”</w:t>
      </w:r>
      <w:r w:rsidR="00834446" w:rsidRPr="001005B7">
        <w:t xml:space="preserve"> (e.g., 8:14</w:t>
      </w:r>
      <w:r w:rsidR="00831CFD" w:rsidRPr="001005B7">
        <w:t>, 16</w:t>
      </w:r>
      <w:r w:rsidR="00D179EA" w:rsidRPr="001005B7">
        <w:t>; 10:19</w:t>
      </w:r>
      <w:r w:rsidR="00A73FAF" w:rsidRPr="001005B7">
        <w:t>—</w:t>
      </w:r>
      <w:r w:rsidR="003013C9" w:rsidRPr="001005B7">
        <w:t xml:space="preserve">Ezekiel also often refers simply to </w:t>
      </w:r>
      <w:r w:rsidR="006B4DAD" w:rsidRPr="001005B7">
        <w:t>“</w:t>
      </w:r>
      <w:r w:rsidR="003013C9" w:rsidRPr="001005B7">
        <w:t>the</w:t>
      </w:r>
      <w:r w:rsidR="003013C9" w:rsidRPr="001005B7">
        <w:rPr>
          <w:i/>
          <w:iCs/>
        </w:rPr>
        <w:t xml:space="preserve"> </w:t>
      </w:r>
      <w:r w:rsidR="003013C9" w:rsidRPr="001005B7">
        <w:t>house</w:t>
      </w:r>
      <w:r w:rsidR="00606A58" w:rsidRPr="001005B7">
        <w:t>”</w:t>
      </w:r>
      <w:r w:rsidR="003013C9" w:rsidRPr="001005B7">
        <w:t>)</w:t>
      </w:r>
      <w:r w:rsidR="00D179EA" w:rsidRPr="001005B7">
        <w:t>.</w:t>
      </w:r>
      <w:r w:rsidR="00834A7E" w:rsidRPr="001005B7">
        <w:t xml:space="preserve"> The house is </w:t>
      </w:r>
      <w:r w:rsidR="005924B6" w:rsidRPr="001005B7">
        <w:t>a</w:t>
      </w:r>
      <w:r w:rsidR="00834A7E" w:rsidRPr="001005B7">
        <w:t xml:space="preserve"> dwelling</w:t>
      </w:r>
      <w:r w:rsidR="001E0947" w:rsidRPr="001005B7">
        <w:t xml:space="preserve">, </w:t>
      </w:r>
      <w:r w:rsidR="00834A7E" w:rsidRPr="001005B7">
        <w:t>the palace is a king’s dwelling</w:t>
      </w:r>
      <w:r w:rsidR="001E0947" w:rsidRPr="001005B7">
        <w:t>, and</w:t>
      </w:r>
      <w:r w:rsidR="00834A7E" w:rsidRPr="001005B7">
        <w:t xml:space="preserve"> the s</w:t>
      </w:r>
      <w:r w:rsidR="006D646C" w:rsidRPr="001005B7">
        <w:t xml:space="preserve">anctuary is the sacred dwelling of the holy one, and </w:t>
      </w:r>
      <w:r w:rsidR="00CC445E" w:rsidRPr="001005B7">
        <w:t>it is because of its nature that</w:t>
      </w:r>
      <w:r w:rsidR="006D646C" w:rsidRPr="001005B7">
        <w:t xml:space="preserve"> </w:t>
      </w:r>
      <w:r w:rsidR="00A73FAF" w:rsidRPr="001005B7">
        <w:t xml:space="preserve">the </w:t>
      </w:r>
      <w:r w:rsidR="0092082C" w:rsidRPr="001005B7">
        <w:t>verb</w:t>
      </w:r>
      <w:r w:rsidR="00A73FAF" w:rsidRPr="001005B7">
        <w:t xml:space="preserve"> </w:t>
      </w:r>
      <w:r w:rsidR="009C7B3F" w:rsidRPr="001005B7">
        <w:t>“</w:t>
      </w:r>
      <w:r w:rsidR="00F22CDA" w:rsidRPr="001005B7">
        <w:t>defiled</w:t>
      </w:r>
      <w:r w:rsidR="009C7B3F" w:rsidRPr="001005B7">
        <w:t>”</w:t>
      </w:r>
      <w:r w:rsidR="00F22CDA" w:rsidRPr="001005B7">
        <w:t xml:space="preserve"> </w:t>
      </w:r>
      <w:r w:rsidR="005A5948" w:rsidRPr="001005B7">
        <w:t>(</w:t>
      </w:r>
      <w:r w:rsidR="00FB24D0" w:rsidRPr="001005B7">
        <w:rPr>
          <w:rFonts w:cstheme="minorHAnsi"/>
          <w:rtl/>
          <w:lang w:bidi="he-IL"/>
        </w:rPr>
        <w:t>טָמֵא</w:t>
      </w:r>
      <w:r w:rsidR="00FB24D0" w:rsidRPr="001005B7">
        <w:t xml:space="preserve"> piel) </w:t>
      </w:r>
      <w:r w:rsidR="00F22CDA" w:rsidRPr="001005B7">
        <w:t xml:space="preserve">gives expression to the scandal of </w:t>
      </w:r>
      <w:r w:rsidR="007D7C33" w:rsidRPr="001005B7">
        <w:t>Jerusalem</w:t>
      </w:r>
      <w:r w:rsidR="00561606" w:rsidRPr="001005B7">
        <w:t>’s</w:t>
      </w:r>
      <w:r w:rsidR="007D7C33" w:rsidRPr="001005B7">
        <w:t xml:space="preserve"> worship.</w:t>
      </w:r>
      <w:r w:rsidR="00A7728A" w:rsidRPr="001005B7">
        <w:t xml:space="preserve"> </w:t>
      </w:r>
      <w:r w:rsidR="003F3CD3" w:rsidRPr="001005B7">
        <w:t xml:space="preserve">The </w:t>
      </w:r>
      <w:r w:rsidR="009C7B3F" w:rsidRPr="001005B7">
        <w:t>“</w:t>
      </w:r>
      <w:r w:rsidR="00C123A1" w:rsidRPr="001005B7">
        <w:t>ruling</w:t>
      </w:r>
      <w:r w:rsidR="00D21422" w:rsidRPr="001005B7">
        <w:t>s</w:t>
      </w:r>
      <w:r w:rsidR="009C7B3F" w:rsidRPr="001005B7">
        <w:t>”</w:t>
      </w:r>
      <w:r w:rsidR="00C123A1" w:rsidRPr="001005B7">
        <w:rPr>
          <w:i/>
          <w:iCs/>
        </w:rPr>
        <w:t xml:space="preserve"> </w:t>
      </w:r>
      <w:r w:rsidR="00C123A1" w:rsidRPr="001005B7">
        <w:t xml:space="preserve">and </w:t>
      </w:r>
      <w:r w:rsidR="009C7B3F" w:rsidRPr="001005B7">
        <w:t>“</w:t>
      </w:r>
      <w:r w:rsidR="00C123A1" w:rsidRPr="001005B7">
        <w:t>laws,</w:t>
      </w:r>
      <w:r w:rsidR="009C7B3F" w:rsidRPr="001005B7">
        <w:t>”</w:t>
      </w:r>
      <w:r w:rsidR="00C123A1" w:rsidRPr="001005B7">
        <w:t xml:space="preserve"> then</w:t>
      </w:r>
      <w:r w:rsidR="009C7B3F" w:rsidRPr="001005B7">
        <w:t>,</w:t>
      </w:r>
      <w:r w:rsidR="00C123A1" w:rsidRPr="001005B7">
        <w:t xml:space="preserve"> that Yahweh has referr</w:t>
      </w:r>
      <w:r w:rsidR="004F48E5" w:rsidRPr="001005B7">
        <w:t>ed</w:t>
      </w:r>
      <w:r w:rsidR="00C123A1" w:rsidRPr="001005B7">
        <w:t xml:space="preserve"> to </w:t>
      </w:r>
      <w:r w:rsidR="005257D9" w:rsidRPr="001005B7">
        <w:t>are ones concerning worship, and the</w:t>
      </w:r>
      <w:r w:rsidR="00C123A1" w:rsidRPr="001005B7">
        <w:rPr>
          <w:i/>
          <w:iCs/>
        </w:rPr>
        <w:t xml:space="preserve"> </w:t>
      </w:r>
      <w:r w:rsidR="003F3CD3" w:rsidRPr="001005B7">
        <w:t>scandal</w:t>
      </w:r>
      <w:r w:rsidR="005257D9" w:rsidRPr="001005B7">
        <w:t xml:space="preserve"> of Jerusalem’s life </w:t>
      </w:r>
      <w:r w:rsidR="004F48E5" w:rsidRPr="001005B7">
        <w:t>here</w:t>
      </w:r>
      <w:r w:rsidR="00720D10" w:rsidRPr="001005B7">
        <w:t xml:space="preserve"> l</w:t>
      </w:r>
      <w:r w:rsidR="005257D9" w:rsidRPr="001005B7">
        <w:t>i</w:t>
      </w:r>
      <w:r w:rsidR="00720D10" w:rsidRPr="001005B7">
        <w:t>e</w:t>
      </w:r>
      <w:r w:rsidR="005257D9" w:rsidRPr="001005B7">
        <w:t>s</w:t>
      </w:r>
      <w:r w:rsidR="00720D10" w:rsidRPr="001005B7">
        <w:t xml:space="preserve"> in</w:t>
      </w:r>
      <w:r w:rsidR="003F3CD3" w:rsidRPr="001005B7">
        <w:t xml:space="preserve"> </w:t>
      </w:r>
      <w:r w:rsidR="005257D9" w:rsidRPr="001005B7">
        <w:t xml:space="preserve">the nature of </w:t>
      </w:r>
      <w:r w:rsidR="004F48E5" w:rsidRPr="001005B7">
        <w:t>that</w:t>
      </w:r>
      <w:r w:rsidR="0019157E" w:rsidRPr="001005B7">
        <w:rPr>
          <w:rFonts w:cstheme="minorHAnsi"/>
        </w:rPr>
        <w:t xml:space="preserve"> worship</w:t>
      </w:r>
      <w:r w:rsidR="002E0FE1" w:rsidRPr="001005B7">
        <w:rPr>
          <w:rFonts w:cstheme="minorHAnsi"/>
        </w:rPr>
        <w:t>.</w:t>
      </w:r>
      <w:r w:rsidR="00A52D55" w:rsidRPr="001005B7">
        <w:rPr>
          <w:rFonts w:cstheme="minorHAnsi"/>
        </w:rPr>
        <w:t xml:space="preserve"> </w:t>
      </w:r>
      <w:r w:rsidR="00860D93" w:rsidRPr="001005B7">
        <w:rPr>
          <w:rFonts w:cstheme="minorHAnsi"/>
        </w:rPr>
        <w:t xml:space="preserve">Elsewhere in Ezekiel the scandal also lies elsewhere, but much of Ezekiel’s focus lies </w:t>
      </w:r>
      <w:r w:rsidR="00A52D55" w:rsidRPr="001005B7">
        <w:rPr>
          <w:rFonts w:cstheme="minorHAnsi"/>
        </w:rPr>
        <w:t>in what happens in</w:t>
      </w:r>
      <w:r w:rsidR="00665134" w:rsidRPr="001005B7">
        <w:rPr>
          <w:rFonts w:cstheme="minorHAnsi"/>
        </w:rPr>
        <w:t xml:space="preserve"> the temple</w:t>
      </w:r>
      <w:r w:rsidR="00860D93" w:rsidRPr="001005B7">
        <w:rPr>
          <w:rFonts w:cstheme="minorHAnsi"/>
        </w:rPr>
        <w:t>.</w:t>
      </w:r>
      <w:r w:rsidR="00A52D55" w:rsidRPr="001005B7">
        <w:rPr>
          <w:rFonts w:cstheme="minorHAnsi"/>
        </w:rPr>
        <w:t xml:space="preserve"> </w:t>
      </w:r>
      <w:r w:rsidR="004F208D" w:rsidRPr="001005B7">
        <w:rPr>
          <w:rFonts w:cstheme="minorHAnsi"/>
        </w:rPr>
        <w:t xml:space="preserve">Zion is Yahweh’s </w:t>
      </w:r>
      <w:r w:rsidR="00821E5D" w:rsidRPr="001005B7">
        <w:rPr>
          <w:rFonts w:cstheme="minorHAnsi"/>
        </w:rPr>
        <w:t>sacred mountain (</w:t>
      </w:r>
      <w:proofErr w:type="spellStart"/>
      <w:r w:rsidR="00821E5D" w:rsidRPr="001005B7">
        <w:rPr>
          <w:rFonts w:cstheme="minorHAnsi"/>
        </w:rPr>
        <w:t>Ps</w:t>
      </w:r>
      <w:r w:rsidR="009872C0" w:rsidRPr="001005B7">
        <w:rPr>
          <w:rFonts w:cstheme="minorHAnsi"/>
        </w:rPr>
        <w:t>a</w:t>
      </w:r>
      <w:proofErr w:type="spellEnd"/>
      <w:r w:rsidR="00821E5D" w:rsidRPr="001005B7">
        <w:rPr>
          <w:rFonts w:cstheme="minorHAnsi"/>
        </w:rPr>
        <w:t xml:space="preserve"> 48:1</w:t>
      </w:r>
      <w:r w:rsidR="00F46900" w:rsidRPr="001005B7">
        <w:rPr>
          <w:rFonts w:cstheme="minorHAnsi"/>
        </w:rPr>
        <w:t>–</w:t>
      </w:r>
      <w:r w:rsidR="00821E5D" w:rsidRPr="001005B7">
        <w:rPr>
          <w:rFonts w:cstheme="minorHAnsi"/>
        </w:rPr>
        <w:t>2 [2</w:t>
      </w:r>
      <w:r w:rsidR="00F46900" w:rsidRPr="001005B7">
        <w:rPr>
          <w:rFonts w:cstheme="minorHAnsi"/>
        </w:rPr>
        <w:t>–</w:t>
      </w:r>
      <w:r w:rsidR="00821E5D" w:rsidRPr="001005B7">
        <w:rPr>
          <w:rFonts w:cstheme="minorHAnsi"/>
        </w:rPr>
        <w:t>3]</w:t>
      </w:r>
      <w:r w:rsidR="009A7E33" w:rsidRPr="001005B7">
        <w:rPr>
          <w:rFonts w:cstheme="minorHAnsi"/>
        </w:rPr>
        <w:t xml:space="preserve">; cf. </w:t>
      </w:r>
      <w:r w:rsidR="005D71D2" w:rsidRPr="001005B7">
        <w:rPr>
          <w:rFonts w:cstheme="minorHAnsi"/>
        </w:rPr>
        <w:t>87:1</w:t>
      </w:r>
      <w:r w:rsidR="00F46900" w:rsidRPr="001005B7">
        <w:rPr>
          <w:rFonts w:cstheme="minorHAnsi"/>
        </w:rPr>
        <w:t>–</w:t>
      </w:r>
      <w:r w:rsidR="005D71D2" w:rsidRPr="001005B7">
        <w:rPr>
          <w:rFonts w:cstheme="minorHAnsi"/>
        </w:rPr>
        <w:t>2)?</w:t>
      </w:r>
      <w:r w:rsidR="00C63641" w:rsidRPr="001005B7">
        <w:rPr>
          <w:rFonts w:cstheme="minorHAnsi"/>
        </w:rPr>
        <w:t xml:space="preserve"> But its people have de-</w:t>
      </w:r>
      <w:proofErr w:type="spellStart"/>
      <w:r w:rsidR="00C63641" w:rsidRPr="001005B7">
        <w:rPr>
          <w:rFonts w:cstheme="minorHAnsi"/>
        </w:rPr>
        <w:t>secrated</w:t>
      </w:r>
      <w:proofErr w:type="spellEnd"/>
      <w:r w:rsidR="00C63641" w:rsidRPr="001005B7">
        <w:rPr>
          <w:rFonts w:cstheme="minorHAnsi"/>
        </w:rPr>
        <w:t xml:space="preserve"> it</w:t>
      </w:r>
      <w:r w:rsidR="002802D7" w:rsidRPr="001005B7">
        <w:rPr>
          <w:rFonts w:cstheme="minorHAnsi"/>
        </w:rPr>
        <w:t xml:space="preserve">. </w:t>
      </w:r>
      <w:r w:rsidR="00DB1A50" w:rsidRPr="001005B7">
        <w:rPr>
          <w:rFonts w:cstheme="minorHAnsi"/>
        </w:rPr>
        <w:t>Ezekiel never refers to “Zion”</w:t>
      </w:r>
      <w:r w:rsidR="005F099F" w:rsidRPr="001005B7">
        <w:rPr>
          <w:rFonts w:cstheme="minorHAnsi"/>
        </w:rPr>
        <w:t xml:space="preserve"> (</w:t>
      </w:r>
      <w:r w:rsidR="005F099F" w:rsidRPr="001005B7">
        <w:t>Joyce, 88)</w:t>
      </w:r>
      <w:r w:rsidR="00EB69CD" w:rsidRPr="001005B7">
        <w:t>.</w:t>
      </w:r>
      <w:r w:rsidR="00DB1A50" w:rsidRPr="001005B7">
        <w:rPr>
          <w:rStyle w:val="FootnoteReference"/>
          <w:rFonts w:cstheme="minorHAnsi"/>
        </w:rPr>
        <w:footnoteReference w:id="187"/>
      </w:r>
      <w:r w:rsidR="00631C81" w:rsidRPr="001005B7">
        <w:t xml:space="preserve"> </w:t>
      </w:r>
      <w:r w:rsidR="00396913" w:rsidRPr="001005B7">
        <w:rPr>
          <w:rFonts w:cstheme="minorHAnsi"/>
        </w:rPr>
        <w:t xml:space="preserve">It is one of the ways in which he </w:t>
      </w:r>
      <w:r w:rsidR="00914669" w:rsidRPr="001005B7">
        <w:rPr>
          <w:rFonts w:cstheme="minorHAnsi"/>
        </w:rPr>
        <w:t>differs from Isaiah</w:t>
      </w:r>
      <w:r w:rsidR="00914669" w:rsidRPr="001005B7">
        <w:rPr>
          <w:rStyle w:val="FootnoteReference"/>
          <w:rFonts w:cstheme="minorHAnsi"/>
        </w:rPr>
        <w:footnoteReference w:id="188"/>
      </w:r>
      <w:r w:rsidR="00914669" w:rsidRPr="001005B7">
        <w:rPr>
          <w:rFonts w:cstheme="minorHAnsi"/>
        </w:rPr>
        <w:t xml:space="preserve"> </w:t>
      </w:r>
      <w:r w:rsidR="002802D7" w:rsidRPr="001005B7">
        <w:rPr>
          <w:rFonts w:cstheme="minorHAnsi"/>
        </w:rPr>
        <w:t>and from</w:t>
      </w:r>
      <w:r w:rsidR="002802D7" w:rsidRPr="001005B7">
        <w:t xml:space="preserve"> Jeremiah.</w:t>
      </w:r>
      <w:r w:rsidR="002802D7" w:rsidRPr="001005B7">
        <w:rPr>
          <w:rStyle w:val="FootnoteReference"/>
        </w:rPr>
        <w:footnoteReference w:id="189"/>
      </w:r>
      <w:r w:rsidR="002802D7" w:rsidRPr="001005B7">
        <w:rPr>
          <w:rFonts w:cstheme="minorHAnsi"/>
        </w:rPr>
        <w:t xml:space="preserve"> </w:t>
      </w:r>
      <w:r w:rsidR="006F29B3" w:rsidRPr="001005B7">
        <w:rPr>
          <w:rFonts w:cstheme="minorHAnsi"/>
        </w:rPr>
        <w:t>He still</w:t>
      </w:r>
      <w:r w:rsidR="00CA6A7F" w:rsidRPr="001005B7">
        <w:rPr>
          <w:rFonts w:cstheme="minorHAnsi"/>
        </w:rPr>
        <w:t xml:space="preserve"> does not yet indicate exactly what he refers to</w:t>
      </w:r>
      <w:r w:rsidR="0004726C" w:rsidRPr="001005B7">
        <w:rPr>
          <w:rFonts w:cstheme="minorHAnsi"/>
        </w:rPr>
        <w:t xml:space="preserve">, </w:t>
      </w:r>
      <w:r w:rsidR="006B7A11" w:rsidRPr="001005B7">
        <w:rPr>
          <w:rFonts w:cstheme="minorHAnsi"/>
        </w:rPr>
        <w:t>how</w:t>
      </w:r>
      <w:r w:rsidR="0004726C" w:rsidRPr="001005B7">
        <w:rPr>
          <w:rFonts w:cstheme="minorHAnsi"/>
        </w:rPr>
        <w:t xml:space="preserve"> the desecration</w:t>
      </w:r>
      <w:r w:rsidR="00CA6A7F" w:rsidRPr="001005B7">
        <w:rPr>
          <w:rFonts w:cstheme="minorHAnsi"/>
        </w:rPr>
        <w:t xml:space="preserve"> </w:t>
      </w:r>
      <w:r w:rsidR="006B7A11" w:rsidRPr="001005B7">
        <w:rPr>
          <w:rFonts w:cstheme="minorHAnsi"/>
        </w:rPr>
        <w:t>happens</w:t>
      </w:r>
      <w:r w:rsidR="00D84861" w:rsidRPr="001005B7">
        <w:rPr>
          <w:rFonts w:cstheme="minorHAnsi"/>
        </w:rPr>
        <w:t>. R</w:t>
      </w:r>
      <w:r w:rsidR="00892096" w:rsidRPr="001005B7">
        <w:rPr>
          <w:rFonts w:cstheme="minorHAnsi"/>
        </w:rPr>
        <w:t xml:space="preserve">eaders </w:t>
      </w:r>
      <w:r w:rsidR="005977C3" w:rsidRPr="001005B7">
        <w:rPr>
          <w:rFonts w:cstheme="minorHAnsi"/>
        </w:rPr>
        <w:t xml:space="preserve">will </w:t>
      </w:r>
      <w:r w:rsidR="00892096" w:rsidRPr="001005B7">
        <w:rPr>
          <w:rFonts w:cstheme="minorHAnsi"/>
        </w:rPr>
        <w:t>have to read on to disco</w:t>
      </w:r>
      <w:r w:rsidR="00D24AA6" w:rsidRPr="001005B7">
        <w:rPr>
          <w:rFonts w:cstheme="minorHAnsi"/>
        </w:rPr>
        <w:t xml:space="preserve">ver </w:t>
      </w:r>
      <w:r w:rsidR="009E300F" w:rsidRPr="001005B7">
        <w:rPr>
          <w:rFonts w:cstheme="minorHAnsi"/>
        </w:rPr>
        <w:t xml:space="preserve">more </w:t>
      </w:r>
      <w:r w:rsidR="00FE6707" w:rsidRPr="001005B7">
        <w:rPr>
          <w:rFonts w:cstheme="minorHAnsi"/>
        </w:rPr>
        <w:t>precisely wherein the scandal lies</w:t>
      </w:r>
      <w:r w:rsidR="003E1BD9" w:rsidRPr="001005B7">
        <w:rPr>
          <w:rFonts w:cstheme="minorHAnsi"/>
        </w:rPr>
        <w:t xml:space="preserve"> (cf. 23:</w:t>
      </w:r>
      <w:r w:rsidR="005B238F" w:rsidRPr="001005B7">
        <w:rPr>
          <w:rFonts w:cstheme="minorHAnsi"/>
        </w:rPr>
        <w:t>37</w:t>
      </w:r>
      <w:r w:rsidR="00F46900" w:rsidRPr="001005B7">
        <w:rPr>
          <w:rFonts w:cstheme="minorHAnsi"/>
        </w:rPr>
        <w:t>–</w:t>
      </w:r>
      <w:r w:rsidR="005B238F" w:rsidRPr="001005B7">
        <w:rPr>
          <w:rFonts w:cstheme="minorHAnsi"/>
        </w:rPr>
        <w:t>39)</w:t>
      </w:r>
      <w:r w:rsidR="00D24AA6" w:rsidRPr="001005B7">
        <w:rPr>
          <w:rFonts w:cstheme="minorHAnsi"/>
        </w:rPr>
        <w:t>.</w:t>
      </w:r>
      <w:r w:rsidR="00011C97" w:rsidRPr="001005B7">
        <w:rPr>
          <w:rFonts w:cstheme="minorHAnsi"/>
        </w:rPr>
        <w:t xml:space="preserve"> </w:t>
      </w:r>
    </w:p>
    <w:p w14:paraId="1F50EB9B" w14:textId="52B3AEDE" w:rsidR="003F0505" w:rsidRPr="001005B7" w:rsidRDefault="00416E57" w:rsidP="00854C18">
      <w:pPr>
        <w:rPr>
          <w:rFonts w:cstheme="minorHAnsi"/>
        </w:rPr>
      </w:pPr>
      <w:r w:rsidRPr="001005B7">
        <w:rPr>
          <w:b/>
          <w:bCs/>
        </w:rPr>
        <w:t>5:</w:t>
      </w:r>
      <w:r w:rsidR="00BF62D5" w:rsidRPr="001005B7">
        <w:rPr>
          <w:b/>
          <w:bCs/>
        </w:rPr>
        <w:t>11b</w:t>
      </w:r>
      <w:r w:rsidR="00F46900" w:rsidRPr="001005B7">
        <w:rPr>
          <w:b/>
          <w:bCs/>
        </w:rPr>
        <w:t>–</w:t>
      </w:r>
      <w:r w:rsidR="006C6E46" w:rsidRPr="001005B7">
        <w:rPr>
          <w:b/>
          <w:bCs/>
        </w:rPr>
        <w:t>12</w:t>
      </w:r>
      <w:r w:rsidR="00BF62D5" w:rsidRPr="001005B7">
        <w:rPr>
          <w:b/>
          <w:bCs/>
        </w:rPr>
        <w:t xml:space="preserve"> </w:t>
      </w:r>
      <w:r w:rsidR="00A7728A" w:rsidRPr="001005B7">
        <w:t xml:space="preserve">Yahweh comes </w:t>
      </w:r>
      <w:r w:rsidR="00696B7C" w:rsidRPr="001005B7">
        <w:t>now to what he swears he will do</w:t>
      </w:r>
      <w:r w:rsidR="00382411" w:rsidRPr="001005B7">
        <w:t xml:space="preserve">. </w:t>
      </w:r>
      <w:r w:rsidR="0051326A" w:rsidRPr="001005B7">
        <w:t xml:space="preserve">Like the English </w:t>
      </w:r>
      <w:r w:rsidR="00AE5FA6" w:rsidRPr="001005B7">
        <w:t>expression,</w:t>
      </w:r>
      <w:r w:rsidR="0051326A" w:rsidRPr="001005B7">
        <w:t xml:space="preserve"> </w:t>
      </w:r>
      <w:r w:rsidR="00E82D08" w:rsidRPr="001005B7">
        <w:t>“</w:t>
      </w:r>
      <w:r w:rsidR="007F4793" w:rsidRPr="001005B7">
        <w:t>cut</w:t>
      </w:r>
      <w:r w:rsidR="004A73A6" w:rsidRPr="001005B7">
        <w:rPr>
          <w:i/>
          <w:iCs/>
        </w:rPr>
        <w:t xml:space="preserve"> </w:t>
      </w:r>
      <w:r w:rsidR="004A73A6" w:rsidRPr="001005B7">
        <w:t>back</w:t>
      </w:r>
      <w:r w:rsidR="00E82D08" w:rsidRPr="001005B7">
        <w:t>”</w:t>
      </w:r>
      <w:r w:rsidR="004A73A6" w:rsidRPr="001005B7">
        <w:rPr>
          <w:i/>
          <w:iCs/>
        </w:rPr>
        <w:t xml:space="preserve"> </w:t>
      </w:r>
      <w:r w:rsidR="004A73A6" w:rsidRPr="001005B7">
        <w:t>(</w:t>
      </w:r>
      <w:r w:rsidR="00D154C9" w:rsidRPr="001005B7">
        <w:rPr>
          <w:rFonts w:cstheme="minorHAnsi"/>
          <w:i/>
          <w:iCs/>
          <w:rtl/>
          <w:lang w:bidi="he-IL"/>
        </w:rPr>
        <w:t>גָרַע</w:t>
      </w:r>
      <w:r w:rsidR="00696483" w:rsidRPr="001005B7">
        <w:rPr>
          <w:rFonts w:cstheme="minorHAnsi"/>
        </w:rPr>
        <w:t xml:space="preserve">) </w:t>
      </w:r>
      <w:r w:rsidR="00744AE5" w:rsidRPr="001005B7">
        <w:rPr>
          <w:rFonts w:cstheme="minorHAnsi"/>
        </w:rPr>
        <w:t xml:space="preserve">can </w:t>
      </w:r>
      <w:r w:rsidR="00DB4D23" w:rsidRPr="001005B7">
        <w:rPr>
          <w:rFonts w:cstheme="minorHAnsi"/>
        </w:rPr>
        <w:t>have the general meani</w:t>
      </w:r>
      <w:r w:rsidR="00744AE5" w:rsidRPr="001005B7">
        <w:rPr>
          <w:rFonts w:cstheme="minorHAnsi"/>
        </w:rPr>
        <w:t>n</w:t>
      </w:r>
      <w:r w:rsidR="00C64660" w:rsidRPr="001005B7">
        <w:rPr>
          <w:rFonts w:cstheme="minorHAnsi"/>
        </w:rPr>
        <w:t>g</w:t>
      </w:r>
      <w:r w:rsidR="00744AE5" w:rsidRPr="001005B7">
        <w:rPr>
          <w:rFonts w:cstheme="minorHAnsi"/>
        </w:rPr>
        <w:t xml:space="preserve"> </w:t>
      </w:r>
      <w:r w:rsidR="007271A7" w:rsidRPr="001005B7">
        <w:rPr>
          <w:rFonts w:cstheme="minorHAnsi"/>
        </w:rPr>
        <w:t xml:space="preserve">“diminish” </w:t>
      </w:r>
      <w:r w:rsidR="000B5790" w:rsidRPr="001005B7">
        <w:rPr>
          <w:rFonts w:cstheme="minorHAnsi"/>
        </w:rPr>
        <w:t>(16:27)</w:t>
      </w:r>
      <w:r w:rsidR="00761749" w:rsidRPr="001005B7">
        <w:rPr>
          <w:rFonts w:cstheme="minorHAnsi"/>
        </w:rPr>
        <w:t>,</w:t>
      </w:r>
      <w:r w:rsidR="000B5790" w:rsidRPr="001005B7">
        <w:rPr>
          <w:rFonts w:cstheme="minorHAnsi"/>
        </w:rPr>
        <w:t xml:space="preserve"> </w:t>
      </w:r>
      <w:r w:rsidR="005C323A" w:rsidRPr="001005B7">
        <w:rPr>
          <w:rFonts w:cstheme="minorHAnsi"/>
        </w:rPr>
        <w:t xml:space="preserve">but </w:t>
      </w:r>
      <w:r w:rsidR="00984550" w:rsidRPr="001005B7">
        <w:rPr>
          <w:rFonts w:cstheme="minorHAnsi"/>
        </w:rPr>
        <w:t>it</w:t>
      </w:r>
      <w:r w:rsidR="00333AAC" w:rsidRPr="001005B7">
        <w:rPr>
          <w:rFonts w:cstheme="minorHAnsi"/>
        </w:rPr>
        <w:t xml:space="preserve"> </w:t>
      </w:r>
      <w:r w:rsidR="00833114" w:rsidRPr="001005B7">
        <w:rPr>
          <w:rFonts w:cstheme="minorHAnsi"/>
        </w:rPr>
        <w:t>suits here</w:t>
      </w:r>
      <w:r w:rsidR="00FA6C48" w:rsidRPr="001005B7">
        <w:rPr>
          <w:rFonts w:cstheme="minorHAnsi"/>
        </w:rPr>
        <w:t xml:space="preserve"> </w:t>
      </w:r>
      <w:r w:rsidR="00984550" w:rsidRPr="001005B7">
        <w:rPr>
          <w:rFonts w:cstheme="minorHAnsi"/>
        </w:rPr>
        <w:t xml:space="preserve">(cf. Isa 15:2; Jer 48:37) </w:t>
      </w:r>
      <w:r w:rsidR="00FA6C48" w:rsidRPr="001005B7">
        <w:rPr>
          <w:rFonts w:cstheme="minorHAnsi"/>
        </w:rPr>
        <w:t>because</w:t>
      </w:r>
      <w:r w:rsidR="00DF3FC4" w:rsidRPr="001005B7">
        <w:rPr>
          <w:rFonts w:cstheme="minorHAnsi"/>
        </w:rPr>
        <w:t xml:space="preserve"> it </w:t>
      </w:r>
      <w:r w:rsidR="005B16DB" w:rsidRPr="001005B7">
        <w:rPr>
          <w:rFonts w:cstheme="minorHAnsi"/>
        </w:rPr>
        <w:t>correspond</w:t>
      </w:r>
      <w:r w:rsidR="00CD486F" w:rsidRPr="001005B7">
        <w:rPr>
          <w:rFonts w:cstheme="minorHAnsi"/>
        </w:rPr>
        <w:t xml:space="preserve">s to the command </w:t>
      </w:r>
      <w:r w:rsidR="00FC38F6" w:rsidRPr="001005B7">
        <w:rPr>
          <w:rFonts w:cstheme="minorHAnsi"/>
        </w:rPr>
        <w:t xml:space="preserve">about shaving in </w:t>
      </w:r>
      <w:r w:rsidR="0042084A" w:rsidRPr="001005B7">
        <w:rPr>
          <w:rFonts w:cstheme="minorHAnsi"/>
        </w:rPr>
        <w:t>5:</w:t>
      </w:r>
      <w:r w:rsidR="00FC38F6" w:rsidRPr="001005B7">
        <w:rPr>
          <w:rFonts w:cstheme="minorHAnsi"/>
        </w:rPr>
        <w:t>1</w:t>
      </w:r>
      <w:r w:rsidR="00F46900" w:rsidRPr="001005B7">
        <w:rPr>
          <w:rFonts w:cstheme="minorHAnsi"/>
        </w:rPr>
        <w:t>–</w:t>
      </w:r>
      <w:r w:rsidR="00FC38F6" w:rsidRPr="001005B7">
        <w:rPr>
          <w:rFonts w:cstheme="minorHAnsi"/>
        </w:rPr>
        <w:t>4</w:t>
      </w:r>
      <w:r w:rsidR="00C52394" w:rsidRPr="001005B7">
        <w:rPr>
          <w:rFonts w:cstheme="minorHAnsi"/>
        </w:rPr>
        <w:t xml:space="preserve">. The </w:t>
      </w:r>
      <w:r w:rsidR="00147CFF" w:rsidRPr="001005B7">
        <w:rPr>
          <w:rFonts w:cstheme="minorHAnsi"/>
        </w:rPr>
        <w:t>symbolic act becomes a metaphor, but a horrifying on</w:t>
      </w:r>
      <w:r w:rsidR="00E8347A" w:rsidRPr="001005B7">
        <w:rPr>
          <w:rFonts w:cstheme="minorHAnsi"/>
        </w:rPr>
        <w:t xml:space="preserve">e. </w:t>
      </w:r>
      <w:r w:rsidR="00D94EE6" w:rsidRPr="001005B7">
        <w:rPr>
          <w:rFonts w:cstheme="minorHAnsi"/>
        </w:rPr>
        <w:t xml:space="preserve">Three times Yahweh emphasizes his </w:t>
      </w:r>
      <w:r w:rsidR="00CE0C0E" w:rsidRPr="001005B7">
        <w:rPr>
          <w:rFonts w:cstheme="minorHAnsi"/>
        </w:rPr>
        <w:t>firmness</w:t>
      </w:r>
      <w:r w:rsidR="00D94EE6" w:rsidRPr="001005B7">
        <w:rPr>
          <w:rFonts w:cstheme="minorHAnsi"/>
        </w:rPr>
        <w:t xml:space="preserve"> or </w:t>
      </w:r>
      <w:r w:rsidR="00E4684B" w:rsidRPr="001005B7">
        <w:rPr>
          <w:rFonts w:cstheme="minorHAnsi"/>
        </w:rPr>
        <w:t>resolve</w:t>
      </w:r>
      <w:r w:rsidR="002A71E5" w:rsidRPr="001005B7">
        <w:rPr>
          <w:rFonts w:cstheme="minorHAnsi"/>
        </w:rPr>
        <w:t xml:space="preserve"> in a way correspond</w:t>
      </w:r>
      <w:r w:rsidR="00FD339C" w:rsidRPr="001005B7">
        <w:rPr>
          <w:rFonts w:cstheme="minorHAnsi"/>
        </w:rPr>
        <w:t>ing</w:t>
      </w:r>
      <w:r w:rsidR="002A71E5" w:rsidRPr="001005B7">
        <w:rPr>
          <w:rFonts w:cstheme="minorHAnsi"/>
        </w:rPr>
        <w:t xml:space="preserve"> to the t</w:t>
      </w:r>
      <w:r w:rsidR="006469D5" w:rsidRPr="001005B7">
        <w:rPr>
          <w:rFonts w:cstheme="minorHAnsi"/>
        </w:rPr>
        <w:t>hree affirmations at the beginning of the verse</w:t>
      </w:r>
      <w:r w:rsidR="00CE0C0E" w:rsidRPr="001005B7">
        <w:rPr>
          <w:rFonts w:cstheme="minorHAnsi"/>
        </w:rPr>
        <w:t>:</w:t>
      </w:r>
      <w:r w:rsidR="00A63179" w:rsidRPr="001005B7">
        <w:rPr>
          <w:rFonts w:cstheme="minorHAnsi"/>
        </w:rPr>
        <w:t xml:space="preserve"> </w:t>
      </w:r>
      <w:r w:rsidR="003346B7" w:rsidRPr="001005B7">
        <w:rPr>
          <w:rFonts w:cstheme="minorHAnsi"/>
        </w:rPr>
        <w:t>“I</w:t>
      </w:r>
      <w:r w:rsidR="00A63179" w:rsidRPr="001005B7">
        <w:rPr>
          <w:i/>
          <w:iCs/>
        </w:rPr>
        <w:t xml:space="preserve"> </w:t>
      </w:r>
      <w:r w:rsidR="00A63179" w:rsidRPr="001005B7">
        <w:t>am</w:t>
      </w:r>
      <w:r w:rsidR="00A63179" w:rsidRPr="001005B7">
        <w:rPr>
          <w:i/>
          <w:iCs/>
        </w:rPr>
        <w:t xml:space="preserve"> </w:t>
      </w:r>
      <w:r w:rsidR="00A63179" w:rsidRPr="001005B7">
        <w:t>alive</w:t>
      </w:r>
      <w:r w:rsidR="0063142E" w:rsidRPr="001005B7">
        <w:t>,</w:t>
      </w:r>
      <w:r w:rsidR="00C22A6C" w:rsidRPr="001005B7">
        <w:t>”</w:t>
      </w:r>
      <w:r w:rsidR="0063142E" w:rsidRPr="001005B7">
        <w:t xml:space="preserve"> then</w:t>
      </w:r>
      <w:r w:rsidR="00A63179" w:rsidRPr="001005B7">
        <w:rPr>
          <w:i/>
          <w:iCs/>
        </w:rPr>
        <w:t xml:space="preserve"> </w:t>
      </w:r>
      <w:r w:rsidR="00D70255" w:rsidRPr="001005B7">
        <w:t>an</w:t>
      </w:r>
      <w:r w:rsidR="00D70255" w:rsidRPr="001005B7">
        <w:rPr>
          <w:i/>
          <w:iCs/>
        </w:rPr>
        <w:t xml:space="preserve"> </w:t>
      </w:r>
      <w:r w:rsidR="00D70255" w:rsidRPr="001005B7">
        <w:t>affirmation</w:t>
      </w:r>
      <w:r w:rsidR="00D70255" w:rsidRPr="001005B7">
        <w:rPr>
          <w:i/>
          <w:iCs/>
        </w:rPr>
        <w:t xml:space="preserve"> </w:t>
      </w:r>
      <w:r w:rsidR="00D70255" w:rsidRPr="001005B7">
        <w:t>of</w:t>
      </w:r>
      <w:r w:rsidR="00D70255" w:rsidRPr="001005B7">
        <w:rPr>
          <w:i/>
          <w:iCs/>
        </w:rPr>
        <w:t xml:space="preserve"> </w:t>
      </w:r>
      <w:r w:rsidR="00A63179" w:rsidRPr="001005B7">
        <w:t>the</w:t>
      </w:r>
      <w:r w:rsidR="00A63179" w:rsidRPr="001005B7">
        <w:rPr>
          <w:i/>
          <w:iCs/>
        </w:rPr>
        <w:t xml:space="preserve"> </w:t>
      </w:r>
      <w:r w:rsidR="00A63179" w:rsidRPr="001005B7">
        <w:t>Lord</w:t>
      </w:r>
      <w:r w:rsidR="00A63179" w:rsidRPr="001005B7">
        <w:rPr>
          <w:i/>
          <w:iCs/>
        </w:rPr>
        <w:t xml:space="preserve"> </w:t>
      </w:r>
      <w:r w:rsidR="00A63179" w:rsidRPr="001005B7">
        <w:t>Yahweh</w:t>
      </w:r>
      <w:r w:rsidR="00A63179" w:rsidRPr="001005B7">
        <w:rPr>
          <w:i/>
          <w:iCs/>
        </w:rPr>
        <w:t xml:space="preserve">, </w:t>
      </w:r>
      <w:r w:rsidR="0063142E" w:rsidRPr="001005B7">
        <w:t xml:space="preserve">then </w:t>
      </w:r>
      <w:r w:rsidR="00891AA3" w:rsidRPr="001005B7">
        <w:t>“</w:t>
      </w:r>
      <w:r w:rsidR="00A63179" w:rsidRPr="001005B7">
        <w:t>if</w:t>
      </w:r>
      <w:r w:rsidR="00891AA3" w:rsidRPr="001005B7">
        <w:t xml:space="preserve"> I</w:t>
      </w:r>
      <w:r w:rsidR="00A63179" w:rsidRPr="001005B7">
        <w:rPr>
          <w:i/>
          <w:iCs/>
        </w:rPr>
        <w:t xml:space="preserve"> </w:t>
      </w:r>
      <w:r w:rsidR="00A63179" w:rsidRPr="001005B7">
        <w:t>do</w:t>
      </w:r>
      <w:r w:rsidR="00A63179" w:rsidRPr="001005B7">
        <w:rPr>
          <w:i/>
          <w:iCs/>
        </w:rPr>
        <w:t xml:space="preserve"> </w:t>
      </w:r>
      <w:r w:rsidR="00A63179" w:rsidRPr="001005B7">
        <w:t>not</w:t>
      </w:r>
      <w:r w:rsidR="0063142E" w:rsidRPr="001005B7">
        <w:t>,</w:t>
      </w:r>
      <w:r w:rsidR="00891AA3" w:rsidRPr="001005B7">
        <w:t>”</w:t>
      </w:r>
      <w:r w:rsidR="0063142E" w:rsidRPr="001005B7">
        <w:t xml:space="preserve"> he had said</w:t>
      </w:r>
      <w:r w:rsidR="00D84861" w:rsidRPr="001005B7">
        <w:t>. H</w:t>
      </w:r>
      <w:r w:rsidR="0063142E" w:rsidRPr="001005B7">
        <w:rPr>
          <w:rFonts w:cstheme="minorHAnsi"/>
        </w:rPr>
        <w:t xml:space="preserve">ere he says, </w:t>
      </w:r>
      <w:r w:rsidR="009757E3" w:rsidRPr="001005B7">
        <w:rPr>
          <w:rFonts w:cstheme="minorHAnsi"/>
        </w:rPr>
        <w:t>“</w:t>
      </w:r>
      <w:r w:rsidR="00CE0C0E" w:rsidRPr="001005B7">
        <w:rPr>
          <w:rFonts w:cstheme="minorHAnsi"/>
        </w:rPr>
        <w:t>yes</w:t>
      </w:r>
      <w:r w:rsidR="00CE0C0E" w:rsidRPr="001005B7">
        <w:rPr>
          <w:rFonts w:cstheme="minorHAnsi"/>
          <w:i/>
          <w:iCs/>
        </w:rPr>
        <w:t xml:space="preserve">, </w:t>
      </w:r>
      <w:r w:rsidR="00891AA3" w:rsidRPr="001005B7">
        <w:rPr>
          <w:rFonts w:cstheme="minorHAnsi"/>
        </w:rPr>
        <w:t>I</w:t>
      </w:r>
      <w:r w:rsidR="00CE0C0E" w:rsidRPr="001005B7">
        <w:rPr>
          <w:rFonts w:cstheme="minorHAnsi"/>
          <w:i/>
          <w:iCs/>
        </w:rPr>
        <w:t xml:space="preserve"> </w:t>
      </w:r>
      <w:r w:rsidR="002D09B5" w:rsidRPr="001005B7">
        <w:rPr>
          <w:rFonts w:cstheme="minorHAnsi"/>
        </w:rPr>
        <w:t>for</w:t>
      </w:r>
      <w:r w:rsidR="002D09B5" w:rsidRPr="001005B7">
        <w:rPr>
          <w:rFonts w:cstheme="minorHAnsi"/>
          <w:i/>
          <w:iCs/>
        </w:rPr>
        <w:t xml:space="preserve"> </w:t>
      </w:r>
      <w:r w:rsidR="002D09B5" w:rsidRPr="001005B7">
        <w:rPr>
          <w:rFonts w:cstheme="minorHAnsi"/>
        </w:rPr>
        <w:t>my</w:t>
      </w:r>
      <w:r w:rsidR="002D09B5" w:rsidRPr="001005B7">
        <w:rPr>
          <w:rFonts w:cstheme="minorHAnsi"/>
          <w:i/>
          <w:iCs/>
        </w:rPr>
        <w:t xml:space="preserve"> </w:t>
      </w:r>
      <w:r w:rsidR="002D09B5" w:rsidRPr="001005B7">
        <w:rPr>
          <w:rFonts w:cstheme="minorHAnsi"/>
        </w:rPr>
        <w:t>part</w:t>
      </w:r>
      <w:r w:rsidR="005E29FD" w:rsidRPr="001005B7">
        <w:rPr>
          <w:rFonts w:cstheme="minorHAnsi"/>
        </w:rPr>
        <w:t>,</w:t>
      </w:r>
      <w:r w:rsidR="00891AA3" w:rsidRPr="001005B7">
        <w:rPr>
          <w:rFonts w:cstheme="minorHAnsi"/>
        </w:rPr>
        <w:t>”</w:t>
      </w:r>
      <w:r w:rsidR="005E29FD" w:rsidRPr="001005B7">
        <w:rPr>
          <w:rFonts w:cstheme="minorHAnsi"/>
          <w:i/>
          <w:iCs/>
        </w:rPr>
        <w:t xml:space="preserve"> </w:t>
      </w:r>
      <w:r w:rsidR="005E29FD" w:rsidRPr="001005B7">
        <w:rPr>
          <w:rFonts w:cstheme="minorHAnsi"/>
        </w:rPr>
        <w:t>then</w:t>
      </w:r>
      <w:r w:rsidR="00CE0C0E" w:rsidRPr="001005B7">
        <w:rPr>
          <w:rFonts w:cstheme="minorHAnsi"/>
          <w:i/>
          <w:iCs/>
        </w:rPr>
        <w:t xml:space="preserve"> </w:t>
      </w:r>
      <w:r w:rsidR="00891AA3" w:rsidRPr="001005B7">
        <w:rPr>
          <w:rFonts w:cstheme="minorHAnsi"/>
        </w:rPr>
        <w:t>“</w:t>
      </w:r>
      <w:r w:rsidR="002D09B5" w:rsidRPr="001005B7">
        <w:rPr>
          <w:rFonts w:cstheme="minorHAnsi"/>
        </w:rPr>
        <w:t>yes</w:t>
      </w:r>
      <w:r w:rsidR="002D09B5" w:rsidRPr="001005B7">
        <w:rPr>
          <w:rFonts w:cstheme="minorHAnsi"/>
          <w:i/>
          <w:iCs/>
        </w:rPr>
        <w:t xml:space="preserve">, </w:t>
      </w:r>
      <w:r w:rsidR="005E29FD" w:rsidRPr="001005B7">
        <w:rPr>
          <w:rFonts w:cstheme="minorHAnsi"/>
        </w:rPr>
        <w:t>my</w:t>
      </w:r>
      <w:r w:rsidR="005E29FD" w:rsidRPr="001005B7">
        <w:rPr>
          <w:rFonts w:cstheme="minorHAnsi"/>
          <w:i/>
          <w:iCs/>
        </w:rPr>
        <w:t xml:space="preserve"> </w:t>
      </w:r>
      <w:r w:rsidR="005E29FD" w:rsidRPr="001005B7">
        <w:rPr>
          <w:rFonts w:cstheme="minorHAnsi"/>
        </w:rPr>
        <w:t>eye</w:t>
      </w:r>
      <w:r w:rsidR="005E29FD" w:rsidRPr="001005B7">
        <w:rPr>
          <w:rFonts w:cstheme="minorHAnsi"/>
          <w:i/>
          <w:iCs/>
        </w:rPr>
        <w:t>,</w:t>
      </w:r>
      <w:r w:rsidR="00891AA3" w:rsidRPr="001005B7">
        <w:rPr>
          <w:rFonts w:cstheme="minorHAnsi"/>
        </w:rPr>
        <w:t>”</w:t>
      </w:r>
      <w:r w:rsidR="005E29FD" w:rsidRPr="001005B7">
        <w:rPr>
          <w:rFonts w:cstheme="minorHAnsi"/>
          <w:i/>
          <w:iCs/>
        </w:rPr>
        <w:t xml:space="preserve"> </w:t>
      </w:r>
      <w:r w:rsidR="005E29FD" w:rsidRPr="001005B7">
        <w:rPr>
          <w:rFonts w:cstheme="minorHAnsi"/>
        </w:rPr>
        <w:t xml:space="preserve">then </w:t>
      </w:r>
      <w:r w:rsidR="00697539" w:rsidRPr="001005B7">
        <w:rPr>
          <w:rFonts w:cstheme="minorHAnsi"/>
        </w:rPr>
        <w:t xml:space="preserve">again </w:t>
      </w:r>
      <w:r w:rsidR="00891AA3" w:rsidRPr="001005B7">
        <w:rPr>
          <w:rFonts w:cstheme="minorHAnsi"/>
        </w:rPr>
        <w:t>“</w:t>
      </w:r>
      <w:r w:rsidR="00697539" w:rsidRPr="001005B7">
        <w:rPr>
          <w:rFonts w:cstheme="minorHAnsi"/>
        </w:rPr>
        <w:t>yes</w:t>
      </w:r>
      <w:r w:rsidR="00697539" w:rsidRPr="001005B7">
        <w:rPr>
          <w:rFonts w:cstheme="minorHAnsi"/>
          <w:i/>
          <w:iCs/>
        </w:rPr>
        <w:t>,</w:t>
      </w:r>
      <w:r w:rsidR="00891AA3" w:rsidRPr="001005B7">
        <w:rPr>
          <w:rFonts w:cstheme="minorHAnsi"/>
        </w:rPr>
        <w:t xml:space="preserve"> I</w:t>
      </w:r>
      <w:r w:rsidR="00697539" w:rsidRPr="001005B7">
        <w:rPr>
          <w:rFonts w:cstheme="minorHAnsi"/>
          <w:i/>
          <w:iCs/>
        </w:rPr>
        <w:t xml:space="preserve"> </w:t>
      </w:r>
      <w:r w:rsidR="002D09B5" w:rsidRPr="001005B7">
        <w:rPr>
          <w:rFonts w:cstheme="minorHAnsi"/>
        </w:rPr>
        <w:t>for</w:t>
      </w:r>
      <w:r w:rsidR="00993A3F" w:rsidRPr="001005B7">
        <w:rPr>
          <w:rFonts w:cstheme="minorHAnsi"/>
          <w:i/>
          <w:iCs/>
        </w:rPr>
        <w:t xml:space="preserve"> </w:t>
      </w:r>
      <w:r w:rsidR="00993A3F" w:rsidRPr="001005B7">
        <w:rPr>
          <w:rFonts w:cstheme="minorHAnsi"/>
        </w:rPr>
        <w:t xml:space="preserve">my </w:t>
      </w:r>
      <w:r w:rsidR="002D09B5" w:rsidRPr="001005B7">
        <w:rPr>
          <w:rFonts w:cstheme="minorHAnsi"/>
        </w:rPr>
        <w:t>part</w:t>
      </w:r>
      <w:r w:rsidR="006A2454" w:rsidRPr="001005B7">
        <w:rPr>
          <w:rFonts w:cstheme="minorHAnsi"/>
        </w:rPr>
        <w:t>.</w:t>
      </w:r>
      <w:r w:rsidR="00993A3F" w:rsidRPr="001005B7">
        <w:rPr>
          <w:rFonts w:cstheme="minorHAnsi"/>
        </w:rPr>
        <w:t>”</w:t>
      </w:r>
      <w:r w:rsidR="006A2454" w:rsidRPr="001005B7">
        <w:rPr>
          <w:rFonts w:cstheme="minorHAnsi"/>
        </w:rPr>
        <w:t xml:space="preserve"> He</w:t>
      </w:r>
      <w:r w:rsidR="006469D5" w:rsidRPr="001005B7">
        <w:rPr>
          <w:rFonts w:cstheme="minorHAnsi"/>
        </w:rPr>
        <w:t xml:space="preserve"> thus further underscores </w:t>
      </w:r>
      <w:r w:rsidR="001403D0" w:rsidRPr="001005B7">
        <w:rPr>
          <w:rFonts w:cstheme="minorHAnsi"/>
        </w:rPr>
        <w:t xml:space="preserve">the commitment expressed </w:t>
      </w:r>
      <w:r w:rsidR="006A2454" w:rsidRPr="001005B7">
        <w:rPr>
          <w:rFonts w:cstheme="minorHAnsi"/>
        </w:rPr>
        <w:t xml:space="preserve">in </w:t>
      </w:r>
      <w:r w:rsidR="00AC027B" w:rsidRPr="001005B7">
        <w:rPr>
          <w:rFonts w:cstheme="minorHAnsi"/>
        </w:rPr>
        <w:t>5:</w:t>
      </w:r>
      <w:r w:rsidR="006A2454" w:rsidRPr="001005B7">
        <w:rPr>
          <w:rFonts w:cstheme="minorHAnsi"/>
        </w:rPr>
        <w:t>11a</w:t>
      </w:r>
      <w:r w:rsidR="001403D0" w:rsidRPr="001005B7">
        <w:rPr>
          <w:rFonts w:cstheme="minorHAnsi"/>
        </w:rPr>
        <w:t xml:space="preserve">. </w:t>
      </w:r>
      <w:r w:rsidR="00993A3F" w:rsidRPr="001005B7">
        <w:rPr>
          <w:rFonts w:cstheme="minorHAnsi"/>
        </w:rPr>
        <w:t>“</w:t>
      </w:r>
      <w:r w:rsidR="00F21937" w:rsidRPr="001005B7">
        <w:rPr>
          <w:rFonts w:cstheme="minorHAnsi"/>
        </w:rPr>
        <w:t>No</w:t>
      </w:r>
      <w:r w:rsidR="00554EBE" w:rsidRPr="001005B7">
        <w:rPr>
          <w:rFonts w:cstheme="minorHAnsi"/>
        </w:rPr>
        <w:t>t</w:t>
      </w:r>
      <w:r w:rsidR="00F21937" w:rsidRPr="001005B7">
        <w:rPr>
          <w:rFonts w:cstheme="minorHAnsi"/>
          <w:i/>
          <w:iCs/>
        </w:rPr>
        <w:t xml:space="preserve"> </w:t>
      </w:r>
      <w:r w:rsidR="00DF40FD" w:rsidRPr="001005B7">
        <w:rPr>
          <w:rFonts w:cstheme="minorHAnsi"/>
        </w:rPr>
        <w:t>pity</w:t>
      </w:r>
      <w:r w:rsidR="00993A3F" w:rsidRPr="001005B7">
        <w:rPr>
          <w:rFonts w:cstheme="minorHAnsi"/>
        </w:rPr>
        <w:t>”</w:t>
      </w:r>
      <w:r w:rsidR="00F21937" w:rsidRPr="001005B7">
        <w:rPr>
          <w:rFonts w:cstheme="minorHAnsi"/>
        </w:rPr>
        <w:t xml:space="preserve"> </w:t>
      </w:r>
      <w:r w:rsidR="00D879AB" w:rsidRPr="001005B7">
        <w:rPr>
          <w:rFonts w:cstheme="minorHAnsi"/>
        </w:rPr>
        <w:t>(</w:t>
      </w:r>
      <w:r w:rsidR="007C63DE" w:rsidRPr="001005B7">
        <w:rPr>
          <w:rFonts w:cstheme="minorHAnsi"/>
          <w:rtl/>
          <w:lang w:bidi="he-IL"/>
        </w:rPr>
        <w:t>חוּס</w:t>
      </w:r>
      <w:r w:rsidR="007C63DE" w:rsidRPr="001005B7">
        <w:rPr>
          <w:rFonts w:cstheme="minorHAnsi"/>
        </w:rPr>
        <w:t xml:space="preserve">) </w:t>
      </w:r>
      <w:r w:rsidR="00F21937" w:rsidRPr="001005B7">
        <w:rPr>
          <w:rFonts w:cstheme="minorHAnsi"/>
        </w:rPr>
        <w:t xml:space="preserve">and </w:t>
      </w:r>
      <w:r w:rsidR="00993A3F" w:rsidRPr="001005B7">
        <w:rPr>
          <w:rFonts w:cstheme="minorHAnsi"/>
        </w:rPr>
        <w:t>“</w:t>
      </w:r>
      <w:r w:rsidR="00F21937" w:rsidRPr="001005B7">
        <w:rPr>
          <w:rFonts w:cstheme="minorHAnsi"/>
        </w:rPr>
        <w:t>not</w:t>
      </w:r>
      <w:r w:rsidR="00F21937" w:rsidRPr="001005B7">
        <w:rPr>
          <w:rFonts w:cstheme="minorHAnsi"/>
          <w:i/>
          <w:iCs/>
        </w:rPr>
        <w:t xml:space="preserve"> </w:t>
      </w:r>
      <w:r w:rsidR="00E62C15" w:rsidRPr="001005B7">
        <w:rPr>
          <w:rFonts w:cstheme="minorHAnsi"/>
        </w:rPr>
        <w:t>show</w:t>
      </w:r>
      <w:r w:rsidR="00DF40FD" w:rsidRPr="001005B7">
        <w:rPr>
          <w:rFonts w:cstheme="minorHAnsi"/>
        </w:rPr>
        <w:t xml:space="preserve"> concern</w:t>
      </w:r>
      <w:r w:rsidR="00993A3F" w:rsidRPr="001005B7">
        <w:rPr>
          <w:rFonts w:cstheme="minorHAnsi"/>
        </w:rPr>
        <w:t>”</w:t>
      </w:r>
      <w:r w:rsidR="00F21937" w:rsidRPr="001005B7">
        <w:rPr>
          <w:rFonts w:cstheme="minorHAnsi"/>
        </w:rPr>
        <w:t xml:space="preserve"> </w:t>
      </w:r>
      <w:r w:rsidR="00DF40FD" w:rsidRPr="001005B7">
        <w:rPr>
          <w:rFonts w:cstheme="minorHAnsi"/>
        </w:rPr>
        <w:t>(</w:t>
      </w:r>
      <w:r w:rsidR="00DF40FD" w:rsidRPr="001005B7">
        <w:rPr>
          <w:rFonts w:cstheme="minorHAnsi"/>
          <w:rtl/>
          <w:lang w:bidi="he-IL"/>
        </w:rPr>
        <w:t>חׇמַל</w:t>
      </w:r>
      <w:r w:rsidR="00DF40FD" w:rsidRPr="001005B7">
        <w:rPr>
          <w:rFonts w:cstheme="minorHAnsi"/>
        </w:rPr>
        <w:t xml:space="preserve">) </w:t>
      </w:r>
      <w:r w:rsidR="00DD5DB9" w:rsidRPr="001005B7">
        <w:rPr>
          <w:rFonts w:cstheme="minorHAnsi"/>
        </w:rPr>
        <w:t>often come together, especially in Ezekiel (7:4, 9; 8:18; 9:5, 10; 16:5)</w:t>
      </w:r>
      <w:r w:rsidR="00E41D89" w:rsidRPr="001005B7">
        <w:t>. I</w:t>
      </w:r>
      <w:r w:rsidR="001115C4" w:rsidRPr="001005B7">
        <w:t>f there is a difference between the t</w:t>
      </w:r>
      <w:r w:rsidR="00A56F31" w:rsidRPr="001005B7">
        <w:t>w</w:t>
      </w:r>
      <w:r w:rsidR="001115C4" w:rsidRPr="001005B7">
        <w:t xml:space="preserve">o, </w:t>
      </w:r>
      <w:r w:rsidR="00E34611" w:rsidRPr="001005B7">
        <w:t xml:space="preserve">the first suggests </w:t>
      </w:r>
      <w:r w:rsidR="00A56F31" w:rsidRPr="001005B7">
        <w:t>the</w:t>
      </w:r>
      <w:r w:rsidR="00E34611" w:rsidRPr="001005B7">
        <w:t xml:space="preserve"> attitude </w:t>
      </w:r>
      <w:r w:rsidR="00514890" w:rsidRPr="001005B7">
        <w:t xml:space="preserve">of mercy, the second </w:t>
      </w:r>
      <w:r w:rsidR="00A56F31" w:rsidRPr="001005B7">
        <w:t>the</w:t>
      </w:r>
      <w:r w:rsidR="00514890" w:rsidRPr="001005B7">
        <w:t xml:space="preserve"> practice</w:t>
      </w:r>
      <w:r w:rsidR="00FA711E" w:rsidRPr="001005B7">
        <w:t xml:space="preserve"> </w:t>
      </w:r>
      <w:r w:rsidR="00514890" w:rsidRPr="001005B7">
        <w:t>. T</w:t>
      </w:r>
      <w:r w:rsidR="009A2457" w:rsidRPr="001005B7">
        <w:t>he</w:t>
      </w:r>
      <w:r w:rsidR="007E3E8D" w:rsidRPr="001005B7">
        <w:t xml:space="preserve"> words are</w:t>
      </w:r>
      <w:r w:rsidR="00554EBE" w:rsidRPr="001005B7">
        <w:rPr>
          <w:rFonts w:cstheme="minorHAnsi"/>
        </w:rPr>
        <w:t xml:space="preserve"> </w:t>
      </w:r>
      <w:r w:rsidR="0067244F" w:rsidRPr="001005B7">
        <w:rPr>
          <w:rFonts w:cstheme="minorHAnsi"/>
        </w:rPr>
        <w:t>a little</w:t>
      </w:r>
      <w:r w:rsidR="002F5D4A" w:rsidRPr="001005B7">
        <w:rPr>
          <w:rFonts w:cstheme="minorHAnsi"/>
        </w:rPr>
        <w:t xml:space="preserve"> similar (</w:t>
      </w:r>
      <w:r w:rsidR="00E15CFC" w:rsidRPr="001005B7">
        <w:rPr>
          <w:rFonts w:cstheme="minorHAnsi"/>
          <w:rtl/>
          <w:lang w:bidi="he-IL"/>
        </w:rPr>
        <w:t>ת</w:t>
      </w:r>
      <w:r w:rsidR="000201EA" w:rsidRPr="001005B7">
        <w:rPr>
          <w:rFonts w:cstheme="minorHAnsi"/>
          <w:rtl/>
          <w:lang w:bidi="he-IL"/>
        </w:rPr>
        <w:t>ּ</w:t>
      </w:r>
      <w:r w:rsidR="00E15CFC" w:rsidRPr="001005B7">
        <w:rPr>
          <w:rFonts w:cstheme="minorHAnsi"/>
          <w:rtl/>
          <w:lang w:bidi="he-IL"/>
        </w:rPr>
        <w:t>ָ</w:t>
      </w:r>
      <w:r w:rsidR="00984A95" w:rsidRPr="001005B7">
        <w:rPr>
          <w:rFonts w:cstheme="minorHAnsi"/>
          <w:rtl/>
          <w:lang w:bidi="he-IL"/>
        </w:rPr>
        <w:t>חוׄ</w:t>
      </w:r>
      <w:r w:rsidR="00345127" w:rsidRPr="001005B7">
        <w:rPr>
          <w:rFonts w:cstheme="minorHAnsi"/>
          <w:rtl/>
          <w:lang w:bidi="he-IL"/>
        </w:rPr>
        <w:t>ס</w:t>
      </w:r>
      <w:r w:rsidR="00B67B9A" w:rsidRPr="001005B7">
        <w:rPr>
          <w:rFonts w:cstheme="minorHAnsi"/>
          <w:i/>
          <w:iCs/>
        </w:rPr>
        <w:t xml:space="preserve"> </w:t>
      </w:r>
      <w:r w:rsidR="00B67B9A" w:rsidRPr="001005B7">
        <w:rPr>
          <w:rFonts w:cstheme="minorHAnsi"/>
        </w:rPr>
        <w:t xml:space="preserve">and </w:t>
      </w:r>
      <w:r w:rsidR="00345127" w:rsidRPr="001005B7">
        <w:rPr>
          <w:rFonts w:cstheme="minorHAnsi"/>
          <w:rtl/>
          <w:lang w:bidi="he-IL"/>
        </w:rPr>
        <w:t>א</w:t>
      </w:r>
      <w:r w:rsidR="00D0095C" w:rsidRPr="001005B7">
        <w:rPr>
          <w:rFonts w:cstheme="minorHAnsi"/>
          <w:rtl/>
          <w:lang w:bidi="he-IL"/>
        </w:rPr>
        <w:t>ֶח</w:t>
      </w:r>
      <w:r w:rsidR="00CD7024" w:rsidRPr="001005B7">
        <w:rPr>
          <w:rFonts w:cstheme="minorHAnsi"/>
          <w:rtl/>
          <w:lang w:bidi="he-IL"/>
        </w:rPr>
        <w:t>ְ</w:t>
      </w:r>
      <w:r w:rsidR="00D0095C" w:rsidRPr="001005B7">
        <w:rPr>
          <w:rFonts w:cstheme="minorHAnsi"/>
          <w:rtl/>
          <w:lang w:bidi="he-IL"/>
        </w:rPr>
        <w:t>מוׄ</w:t>
      </w:r>
      <w:r w:rsidR="00CD7024" w:rsidRPr="001005B7">
        <w:rPr>
          <w:rFonts w:cstheme="minorHAnsi"/>
          <w:rtl/>
          <w:lang w:bidi="he-IL"/>
        </w:rPr>
        <w:t>ל</w:t>
      </w:r>
      <w:r w:rsidR="005B4AFD" w:rsidRPr="001005B7">
        <w:rPr>
          <w:rFonts w:cstheme="minorHAnsi"/>
        </w:rPr>
        <w:t>)</w:t>
      </w:r>
      <w:r w:rsidR="007E3E8D" w:rsidRPr="001005B7">
        <w:rPr>
          <w:rFonts w:cstheme="minorHAnsi"/>
        </w:rPr>
        <w:t>, which</w:t>
      </w:r>
      <w:r w:rsidR="006346AA" w:rsidRPr="001005B7">
        <w:rPr>
          <w:rFonts w:cstheme="minorHAnsi"/>
        </w:rPr>
        <w:t xml:space="preserve"> adds to the underscoring of the</w:t>
      </w:r>
      <w:r w:rsidR="009A4B3B" w:rsidRPr="001005B7">
        <w:rPr>
          <w:rFonts w:cstheme="minorHAnsi"/>
        </w:rPr>
        <w:t>ir</w:t>
      </w:r>
      <w:r w:rsidR="006346AA" w:rsidRPr="001005B7">
        <w:rPr>
          <w:rFonts w:cstheme="minorHAnsi"/>
        </w:rPr>
        <w:t xml:space="preserve"> point</w:t>
      </w:r>
      <w:r w:rsidR="005B4AFD" w:rsidRPr="001005B7">
        <w:rPr>
          <w:rFonts w:cstheme="minorHAnsi"/>
        </w:rPr>
        <w:t xml:space="preserve">. There </w:t>
      </w:r>
      <w:r w:rsidR="006C369A" w:rsidRPr="001005B7">
        <w:rPr>
          <w:rFonts w:cstheme="minorHAnsi"/>
        </w:rPr>
        <w:t>can be</w:t>
      </w:r>
      <w:r w:rsidR="005B4AFD" w:rsidRPr="001005B7">
        <w:rPr>
          <w:rFonts w:cstheme="minorHAnsi"/>
        </w:rPr>
        <w:t xml:space="preserve"> a resoluteness about God’s gaze that means he looks steadfastly at </w:t>
      </w:r>
      <w:r w:rsidR="001747C2" w:rsidRPr="001005B7">
        <w:rPr>
          <w:rFonts w:cstheme="minorHAnsi"/>
        </w:rPr>
        <w:t xml:space="preserve">something terrible </w:t>
      </w:r>
      <w:r w:rsidR="006C369A" w:rsidRPr="001005B7">
        <w:rPr>
          <w:rFonts w:cstheme="minorHAnsi"/>
        </w:rPr>
        <w:t xml:space="preserve">that </w:t>
      </w:r>
      <w:r w:rsidR="00721E5F" w:rsidRPr="001005B7">
        <w:rPr>
          <w:rFonts w:cstheme="minorHAnsi"/>
        </w:rPr>
        <w:t>he is doing</w:t>
      </w:r>
      <w:r w:rsidR="0071770B" w:rsidRPr="001005B7">
        <w:rPr>
          <w:rFonts w:cstheme="minorHAnsi"/>
        </w:rPr>
        <w:t xml:space="preserve">, resists the temptation to </w:t>
      </w:r>
      <w:r w:rsidR="00514931" w:rsidRPr="001005B7">
        <w:rPr>
          <w:rFonts w:cstheme="minorHAnsi"/>
        </w:rPr>
        <w:t>behave in his normal loving fashion,</w:t>
      </w:r>
      <w:r w:rsidR="00721E5F" w:rsidRPr="001005B7">
        <w:rPr>
          <w:rFonts w:cstheme="minorHAnsi"/>
        </w:rPr>
        <w:t xml:space="preserve"> </w:t>
      </w:r>
      <w:r w:rsidR="001747C2" w:rsidRPr="001005B7">
        <w:rPr>
          <w:rFonts w:cstheme="minorHAnsi"/>
        </w:rPr>
        <w:t>and declines to look away</w:t>
      </w:r>
      <w:r w:rsidR="00E41D89" w:rsidRPr="001005B7">
        <w:rPr>
          <w:rFonts w:cstheme="minorHAnsi"/>
        </w:rPr>
        <w:t>. I</w:t>
      </w:r>
      <w:r w:rsidR="00732E28" w:rsidRPr="001005B7">
        <w:rPr>
          <w:rFonts w:cstheme="minorHAnsi"/>
        </w:rPr>
        <w:t>t happens</w:t>
      </w:r>
      <w:r w:rsidR="001747C2" w:rsidRPr="001005B7">
        <w:rPr>
          <w:rFonts w:cstheme="minorHAnsi"/>
        </w:rPr>
        <w:t xml:space="preserve"> when Jesus is being executed.</w:t>
      </w:r>
      <w:r w:rsidR="00431082" w:rsidRPr="001005B7">
        <w:rPr>
          <w:rFonts w:cstheme="minorHAnsi"/>
        </w:rPr>
        <w:t xml:space="preserve"> </w:t>
      </w:r>
      <w:r w:rsidR="003C088C" w:rsidRPr="001005B7">
        <w:rPr>
          <w:rFonts w:cstheme="minorHAnsi"/>
        </w:rPr>
        <w:t xml:space="preserve">In </w:t>
      </w:r>
      <w:r w:rsidR="00AC027B" w:rsidRPr="001005B7">
        <w:rPr>
          <w:rFonts w:cstheme="minorHAnsi"/>
        </w:rPr>
        <w:t>5:</w:t>
      </w:r>
      <w:r w:rsidR="003C088C" w:rsidRPr="001005B7">
        <w:rPr>
          <w:rFonts w:cstheme="minorHAnsi"/>
        </w:rPr>
        <w:t xml:space="preserve">12 </w:t>
      </w:r>
      <w:r w:rsidR="00DB4236" w:rsidRPr="001005B7">
        <w:rPr>
          <w:rFonts w:cstheme="minorHAnsi"/>
        </w:rPr>
        <w:t>Yahweh spells out t</w:t>
      </w:r>
      <w:r w:rsidR="00A22D59" w:rsidRPr="001005B7">
        <w:rPr>
          <w:rFonts w:cstheme="minorHAnsi"/>
        </w:rPr>
        <w:t>he implications of the cutting in a slightly different way from the one that featured in the sign act.</w:t>
      </w:r>
      <w:r w:rsidR="00D73EB3" w:rsidRPr="001005B7">
        <w:rPr>
          <w:rFonts w:cstheme="minorHAnsi"/>
        </w:rPr>
        <w:t xml:space="preserve"> During the siege, it will mean </w:t>
      </w:r>
      <w:r w:rsidR="00857CBF" w:rsidRPr="001005B7">
        <w:rPr>
          <w:rFonts w:cstheme="minorHAnsi"/>
        </w:rPr>
        <w:t>epidemic and famine</w:t>
      </w:r>
      <w:r w:rsidR="00C44DE8" w:rsidRPr="001005B7">
        <w:rPr>
          <w:rFonts w:cstheme="minorHAnsi"/>
        </w:rPr>
        <w:t xml:space="preserve">: these are two </w:t>
      </w:r>
      <w:r w:rsidR="00627604" w:rsidRPr="001005B7">
        <w:rPr>
          <w:rFonts w:cstheme="minorHAnsi"/>
        </w:rPr>
        <w:t>realistic prospects</w:t>
      </w:r>
      <w:r w:rsidR="00C44DE8" w:rsidRPr="001005B7">
        <w:rPr>
          <w:rFonts w:cstheme="minorHAnsi"/>
        </w:rPr>
        <w:t xml:space="preserve"> that </w:t>
      </w:r>
      <w:r w:rsidR="00627604" w:rsidRPr="001005B7">
        <w:rPr>
          <w:rFonts w:cstheme="minorHAnsi"/>
        </w:rPr>
        <w:t xml:space="preserve">go along with a </w:t>
      </w:r>
      <w:r w:rsidR="004C655F" w:rsidRPr="001005B7">
        <w:rPr>
          <w:rFonts w:cstheme="minorHAnsi"/>
        </w:rPr>
        <w:t>blockade</w:t>
      </w:r>
      <w:r w:rsidR="00627604" w:rsidRPr="001005B7">
        <w:rPr>
          <w:rFonts w:cstheme="minorHAnsi"/>
        </w:rPr>
        <w:t xml:space="preserve"> </w:t>
      </w:r>
      <w:r w:rsidR="00F4294A" w:rsidRPr="001005B7">
        <w:rPr>
          <w:rFonts w:cstheme="minorHAnsi"/>
        </w:rPr>
        <w:t xml:space="preserve">and that </w:t>
      </w:r>
      <w:r w:rsidR="00664896" w:rsidRPr="001005B7">
        <w:rPr>
          <w:rFonts w:cstheme="minorHAnsi"/>
        </w:rPr>
        <w:t xml:space="preserve">Ezekiel (and </w:t>
      </w:r>
      <w:r w:rsidR="00C44DE8" w:rsidRPr="001005B7">
        <w:rPr>
          <w:rFonts w:cstheme="minorHAnsi"/>
        </w:rPr>
        <w:t>Jeremiah</w:t>
      </w:r>
      <w:r w:rsidR="00664896" w:rsidRPr="001005B7">
        <w:rPr>
          <w:rFonts w:cstheme="minorHAnsi"/>
        </w:rPr>
        <w:t>)</w:t>
      </w:r>
      <w:r w:rsidR="00C44DE8" w:rsidRPr="001005B7">
        <w:rPr>
          <w:rFonts w:cstheme="minorHAnsi"/>
        </w:rPr>
        <w:t xml:space="preserve"> often </w:t>
      </w:r>
      <w:r w:rsidR="00F4294A" w:rsidRPr="001005B7">
        <w:rPr>
          <w:rFonts w:cstheme="minorHAnsi"/>
        </w:rPr>
        <w:t>envisage</w:t>
      </w:r>
      <w:r w:rsidR="009853A2" w:rsidRPr="001005B7">
        <w:rPr>
          <w:rFonts w:cstheme="minorHAnsi"/>
        </w:rPr>
        <w:t xml:space="preserve"> </w:t>
      </w:r>
      <w:r w:rsidR="00664896" w:rsidRPr="001005B7">
        <w:rPr>
          <w:rFonts w:cstheme="minorHAnsi"/>
        </w:rPr>
        <w:t>in the context of t</w:t>
      </w:r>
      <w:r w:rsidR="0079497E" w:rsidRPr="001005B7">
        <w:rPr>
          <w:rFonts w:cstheme="minorHAnsi"/>
        </w:rPr>
        <w:t>he threat of Jerusalem</w:t>
      </w:r>
      <w:r w:rsidR="000E43F9" w:rsidRPr="001005B7">
        <w:rPr>
          <w:rFonts w:cstheme="minorHAnsi"/>
        </w:rPr>
        <w:t>’s siege</w:t>
      </w:r>
      <w:r w:rsidR="00C44DE8" w:rsidRPr="001005B7">
        <w:rPr>
          <w:rFonts w:cstheme="minorHAnsi"/>
        </w:rPr>
        <w:t xml:space="preserve"> (</w:t>
      </w:r>
      <w:r w:rsidR="00935046" w:rsidRPr="001005B7">
        <w:rPr>
          <w:rFonts w:cstheme="minorHAnsi"/>
        </w:rPr>
        <w:t xml:space="preserve">cf. </w:t>
      </w:r>
      <w:r w:rsidR="00AC027B" w:rsidRPr="001005B7">
        <w:rPr>
          <w:rFonts w:cstheme="minorHAnsi"/>
        </w:rPr>
        <w:t>5:</w:t>
      </w:r>
      <w:r w:rsidR="00935046" w:rsidRPr="001005B7">
        <w:rPr>
          <w:rFonts w:cstheme="minorHAnsi"/>
        </w:rPr>
        <w:t>17)</w:t>
      </w:r>
      <w:r w:rsidR="009853A2" w:rsidRPr="001005B7">
        <w:rPr>
          <w:rFonts w:cstheme="minorHAnsi"/>
        </w:rPr>
        <w:t xml:space="preserve">. </w:t>
      </w:r>
      <w:r w:rsidR="00184E4C" w:rsidRPr="001005B7">
        <w:rPr>
          <w:rFonts w:cstheme="minorHAnsi"/>
        </w:rPr>
        <w:t>But t</w:t>
      </w:r>
      <w:r w:rsidR="00B428D7" w:rsidRPr="001005B7">
        <w:rPr>
          <w:rFonts w:cstheme="minorHAnsi"/>
        </w:rPr>
        <w:t xml:space="preserve">he </w:t>
      </w:r>
      <w:r w:rsidR="003E1A98" w:rsidRPr="001005B7">
        <w:rPr>
          <w:rFonts w:cstheme="minorHAnsi"/>
        </w:rPr>
        <w:t>attacks on the city and its eventual</w:t>
      </w:r>
      <w:r w:rsidR="00B428D7" w:rsidRPr="001005B7">
        <w:rPr>
          <w:rFonts w:cstheme="minorHAnsi"/>
        </w:rPr>
        <w:t xml:space="preserve"> fall will </w:t>
      </w:r>
      <w:r w:rsidR="00184E4C" w:rsidRPr="001005B7">
        <w:rPr>
          <w:rFonts w:cstheme="minorHAnsi"/>
        </w:rPr>
        <w:t xml:space="preserve">also </w:t>
      </w:r>
      <w:r w:rsidR="00B428D7" w:rsidRPr="001005B7">
        <w:rPr>
          <w:rFonts w:cstheme="minorHAnsi"/>
        </w:rPr>
        <w:t>mean</w:t>
      </w:r>
      <w:r w:rsidR="00DB0F6B" w:rsidRPr="001005B7">
        <w:rPr>
          <w:rFonts w:cstheme="minorHAnsi"/>
        </w:rPr>
        <w:t xml:space="preserve"> fighting and </w:t>
      </w:r>
      <w:r w:rsidR="0056503C" w:rsidRPr="001005B7">
        <w:rPr>
          <w:rFonts w:cstheme="minorHAnsi"/>
        </w:rPr>
        <w:t>people dying by the sword</w:t>
      </w:r>
      <w:r w:rsidR="00313B57" w:rsidRPr="001005B7">
        <w:rPr>
          <w:rFonts w:cstheme="minorHAnsi"/>
        </w:rPr>
        <w:t xml:space="preserve"> all around the city</w:t>
      </w:r>
      <w:r w:rsidR="00B33C86" w:rsidRPr="001005B7">
        <w:rPr>
          <w:rFonts w:cstheme="minorHAnsi"/>
        </w:rPr>
        <w:t xml:space="preserve"> (cf. </w:t>
      </w:r>
      <w:r w:rsidR="00AC027B" w:rsidRPr="001005B7">
        <w:rPr>
          <w:rFonts w:cstheme="minorHAnsi"/>
        </w:rPr>
        <w:t>5:</w:t>
      </w:r>
      <w:r w:rsidR="00B33C86" w:rsidRPr="001005B7">
        <w:rPr>
          <w:rFonts w:cstheme="minorHAnsi"/>
        </w:rPr>
        <w:t xml:space="preserve">2 </w:t>
      </w:r>
      <w:r w:rsidR="00854C18" w:rsidRPr="001005B7">
        <w:rPr>
          <w:rFonts w:cstheme="minorHAnsi"/>
        </w:rPr>
        <w:t>and Lev 26:33)</w:t>
      </w:r>
      <w:r w:rsidR="00313B57" w:rsidRPr="001005B7">
        <w:rPr>
          <w:rFonts w:cstheme="minorHAnsi"/>
        </w:rPr>
        <w:t xml:space="preserve">. </w:t>
      </w:r>
      <w:r w:rsidR="00AB6788" w:rsidRPr="001005B7">
        <w:rPr>
          <w:rFonts w:cstheme="minorHAnsi"/>
        </w:rPr>
        <w:t>And during and after the siege some people</w:t>
      </w:r>
      <w:r w:rsidR="00054C11" w:rsidRPr="001005B7">
        <w:rPr>
          <w:rFonts w:cstheme="minorHAnsi"/>
        </w:rPr>
        <w:t xml:space="preserve"> will escape but will find that they have not thereby escaped Yahw</w:t>
      </w:r>
      <w:r w:rsidR="00032824" w:rsidRPr="001005B7">
        <w:rPr>
          <w:rFonts w:cstheme="minorHAnsi"/>
        </w:rPr>
        <w:t>eh.</w:t>
      </w:r>
      <w:r w:rsidR="00854C18" w:rsidRPr="001005B7">
        <w:rPr>
          <w:rFonts w:cstheme="minorHAnsi"/>
        </w:rPr>
        <w:t xml:space="preserve"> </w:t>
      </w:r>
      <w:r w:rsidR="00F71AD2" w:rsidRPr="001005B7">
        <w:rPr>
          <w:rFonts w:ascii="Roboto" w:eastAsia="Times New Roman" w:hAnsi="Roboto" w:cs="Times New Roman"/>
          <w:sz w:val="21"/>
          <w:szCs w:val="21"/>
          <w:lang w:eastAsia="en-GB"/>
        </w:rPr>
        <w:t>“</w:t>
      </w:r>
      <w:r w:rsidR="003F0505" w:rsidRPr="001005B7">
        <w:rPr>
          <w:rFonts w:ascii="Roboto" w:eastAsia="Times New Roman" w:hAnsi="Roboto" w:cs="Times New Roman"/>
          <w:sz w:val="21"/>
          <w:szCs w:val="21"/>
          <w:lang w:eastAsia="en-GB"/>
        </w:rPr>
        <w:t>What could have been said more dreadful?</w:t>
      </w:r>
      <w:r w:rsidR="00F71AD2" w:rsidRPr="001005B7">
        <w:rPr>
          <w:rFonts w:ascii="Roboto" w:eastAsia="Times New Roman" w:hAnsi="Roboto" w:cs="Times New Roman"/>
          <w:sz w:val="21"/>
          <w:szCs w:val="21"/>
          <w:lang w:eastAsia="en-GB"/>
        </w:rPr>
        <w:t>”</w:t>
      </w:r>
      <w:r w:rsidR="00783503" w:rsidRPr="001005B7">
        <w:rPr>
          <w:rFonts w:ascii="Roboto" w:eastAsia="Times New Roman" w:hAnsi="Roboto" w:cs="Times New Roman"/>
          <w:sz w:val="21"/>
          <w:szCs w:val="21"/>
          <w:lang w:eastAsia="en-GB"/>
        </w:rPr>
        <w:t xml:space="preserve"> (</w:t>
      </w:r>
      <w:r w:rsidR="00783503" w:rsidRPr="001005B7">
        <w:t>Greenhill</w:t>
      </w:r>
      <w:r w:rsidR="00136DD3" w:rsidRPr="001005B7">
        <w:rPr>
          <w:i/>
          <w:iCs/>
        </w:rPr>
        <w:t xml:space="preserve">, </w:t>
      </w:r>
      <w:r w:rsidR="00136DD3" w:rsidRPr="001005B7">
        <w:t>149</w:t>
      </w:r>
      <w:r w:rsidR="00783503" w:rsidRPr="001005B7">
        <w:t>).</w:t>
      </w:r>
    </w:p>
    <w:p w14:paraId="0DDB860F" w14:textId="399E1084" w:rsidR="00D02810" w:rsidRPr="001005B7" w:rsidRDefault="004670C9" w:rsidP="00260CAE">
      <w:r w:rsidRPr="001005B7">
        <w:rPr>
          <w:rFonts w:cstheme="minorHAnsi"/>
          <w:b/>
          <w:bCs/>
        </w:rPr>
        <w:t>5:</w:t>
      </w:r>
      <w:r w:rsidR="003164EA" w:rsidRPr="001005B7">
        <w:rPr>
          <w:rFonts w:cstheme="minorHAnsi"/>
          <w:b/>
          <w:bCs/>
        </w:rPr>
        <w:t>13</w:t>
      </w:r>
      <w:r w:rsidR="00564243" w:rsidRPr="001005B7">
        <w:rPr>
          <w:rFonts w:cstheme="minorHAnsi"/>
          <w:b/>
          <w:bCs/>
        </w:rPr>
        <w:t xml:space="preserve"> </w:t>
      </w:r>
      <w:r w:rsidR="00BE0DA0" w:rsidRPr="001005B7">
        <w:rPr>
          <w:rFonts w:cstheme="minorHAnsi"/>
        </w:rPr>
        <w:t>Yahweh’s de</w:t>
      </w:r>
      <w:r w:rsidR="006B1B55" w:rsidRPr="001005B7">
        <w:rPr>
          <w:rFonts w:cstheme="minorHAnsi"/>
        </w:rPr>
        <w:t>piction</w:t>
      </w:r>
      <w:r w:rsidR="00BE0DA0" w:rsidRPr="001005B7">
        <w:rPr>
          <w:rFonts w:cstheme="minorHAnsi"/>
        </w:rPr>
        <w:t xml:space="preserve"> of his anger </w:t>
      </w:r>
      <w:r w:rsidR="00E35C44" w:rsidRPr="001005B7">
        <w:rPr>
          <w:rFonts w:cstheme="minorHAnsi"/>
        </w:rPr>
        <w:t xml:space="preserve">provides the link between the description of the </w:t>
      </w:r>
      <w:r w:rsidR="00275ACF" w:rsidRPr="001005B7">
        <w:rPr>
          <w:rFonts w:cstheme="minorHAnsi"/>
        </w:rPr>
        <w:t xml:space="preserve">city’s outrages and </w:t>
      </w:r>
      <w:r w:rsidR="00E35C44" w:rsidRPr="001005B7">
        <w:rPr>
          <w:rFonts w:cstheme="minorHAnsi"/>
        </w:rPr>
        <w:t xml:space="preserve">of </w:t>
      </w:r>
      <w:r w:rsidR="00CD7DBC" w:rsidRPr="001005B7">
        <w:rPr>
          <w:rFonts w:cstheme="minorHAnsi"/>
        </w:rPr>
        <w:t>its</w:t>
      </w:r>
      <w:r w:rsidR="00E35C44" w:rsidRPr="001005B7">
        <w:rPr>
          <w:rFonts w:cstheme="minorHAnsi"/>
        </w:rPr>
        <w:t xml:space="preserve"> slaughter</w:t>
      </w:r>
      <w:r w:rsidR="009936B5" w:rsidRPr="001005B7">
        <w:rPr>
          <w:rFonts w:cstheme="minorHAnsi"/>
        </w:rPr>
        <w:t>. T</w:t>
      </w:r>
      <w:r w:rsidR="00DF2EEE" w:rsidRPr="001005B7">
        <w:rPr>
          <w:rFonts w:cstheme="minorHAnsi"/>
        </w:rPr>
        <w:t xml:space="preserve">he slaughter comes </w:t>
      </w:r>
      <w:r w:rsidR="00AE47B4" w:rsidRPr="001005B7">
        <w:rPr>
          <w:rFonts w:cstheme="minorHAnsi"/>
        </w:rPr>
        <w:t>about because he is furiously angry and the anger is a reaction to their outrages</w:t>
      </w:r>
      <w:r w:rsidR="00CD2162" w:rsidRPr="001005B7">
        <w:rPr>
          <w:rFonts w:cstheme="minorHAnsi"/>
        </w:rPr>
        <w:t>. H</w:t>
      </w:r>
      <w:r w:rsidR="00C03EFF" w:rsidRPr="001005B7">
        <w:rPr>
          <w:rFonts w:cstheme="minorHAnsi"/>
        </w:rPr>
        <w:t>e</w:t>
      </w:r>
      <w:r w:rsidR="00FC0E05" w:rsidRPr="001005B7">
        <w:rPr>
          <w:rFonts w:cstheme="minorHAnsi"/>
        </w:rPr>
        <w:t xml:space="preserve"> is furiously angry because </w:t>
      </w:r>
      <w:r w:rsidR="00A15AF2" w:rsidRPr="001005B7">
        <w:rPr>
          <w:rFonts w:cstheme="minorHAnsi"/>
        </w:rPr>
        <w:t>of people’s defiling his sanc</w:t>
      </w:r>
      <w:r w:rsidR="00FE7D41" w:rsidRPr="001005B7">
        <w:rPr>
          <w:rFonts w:cstheme="minorHAnsi"/>
        </w:rPr>
        <w:t>t</w:t>
      </w:r>
      <w:r w:rsidR="00A15AF2" w:rsidRPr="001005B7">
        <w:rPr>
          <w:rFonts w:cstheme="minorHAnsi"/>
        </w:rPr>
        <w:t>u</w:t>
      </w:r>
      <w:r w:rsidR="00FE7D41" w:rsidRPr="001005B7">
        <w:rPr>
          <w:rFonts w:cstheme="minorHAnsi"/>
        </w:rPr>
        <w:t>a</w:t>
      </w:r>
      <w:r w:rsidR="00A15AF2" w:rsidRPr="001005B7">
        <w:rPr>
          <w:rFonts w:cstheme="minorHAnsi"/>
        </w:rPr>
        <w:t>ry with th</w:t>
      </w:r>
      <w:r w:rsidR="00CA179D" w:rsidRPr="001005B7">
        <w:rPr>
          <w:rFonts w:cstheme="minorHAnsi"/>
        </w:rPr>
        <w:t>ose</w:t>
      </w:r>
      <w:r w:rsidR="00A15AF2" w:rsidRPr="001005B7">
        <w:rPr>
          <w:rFonts w:cstheme="minorHAnsi"/>
        </w:rPr>
        <w:t xml:space="preserve"> detestable </w:t>
      </w:r>
      <w:r w:rsidR="00A75199" w:rsidRPr="001005B7">
        <w:rPr>
          <w:rFonts w:cstheme="minorHAnsi"/>
        </w:rPr>
        <w:t>objects</w:t>
      </w:r>
      <w:r w:rsidR="00A15AF2" w:rsidRPr="001005B7">
        <w:rPr>
          <w:rFonts w:cstheme="minorHAnsi"/>
        </w:rPr>
        <w:t xml:space="preserve"> and outrages</w:t>
      </w:r>
      <w:r w:rsidR="00AB6788" w:rsidRPr="001005B7">
        <w:rPr>
          <w:rFonts w:cstheme="minorHAnsi"/>
        </w:rPr>
        <w:t xml:space="preserve"> </w:t>
      </w:r>
      <w:r w:rsidR="004579CE" w:rsidRPr="001005B7">
        <w:rPr>
          <w:rFonts w:cstheme="minorHAnsi"/>
        </w:rPr>
        <w:t>(</w:t>
      </w:r>
      <w:r w:rsidR="00AC027B" w:rsidRPr="001005B7">
        <w:rPr>
          <w:rFonts w:cstheme="minorHAnsi"/>
        </w:rPr>
        <w:t>5:</w:t>
      </w:r>
      <w:r w:rsidR="004579CE" w:rsidRPr="001005B7">
        <w:rPr>
          <w:rFonts w:cstheme="minorHAnsi"/>
        </w:rPr>
        <w:t>1</w:t>
      </w:r>
      <w:r w:rsidR="00CA179D" w:rsidRPr="001005B7">
        <w:rPr>
          <w:rFonts w:cstheme="minorHAnsi"/>
        </w:rPr>
        <w:t>1</w:t>
      </w:r>
      <w:r w:rsidR="004579CE" w:rsidRPr="001005B7">
        <w:rPr>
          <w:rFonts w:cstheme="minorHAnsi"/>
        </w:rPr>
        <w:t>)</w:t>
      </w:r>
      <w:r w:rsidR="00D863E6" w:rsidRPr="001005B7">
        <w:rPr>
          <w:rFonts w:cstheme="minorHAnsi"/>
        </w:rPr>
        <w:t>.</w:t>
      </w:r>
      <w:r w:rsidR="00AE2F2C" w:rsidRPr="001005B7">
        <w:rPr>
          <w:rFonts w:cstheme="minorHAnsi"/>
        </w:rPr>
        <w:t xml:space="preserve"> His words suggest </w:t>
      </w:r>
      <w:r w:rsidR="0050090F" w:rsidRPr="001005B7">
        <w:rPr>
          <w:rFonts w:cstheme="minorHAnsi"/>
        </w:rPr>
        <w:t xml:space="preserve">that anger </w:t>
      </w:r>
      <w:r w:rsidR="009C6E64" w:rsidRPr="001005B7">
        <w:rPr>
          <w:rFonts w:cstheme="minorHAnsi"/>
        </w:rPr>
        <w:t xml:space="preserve">at wrongdoing </w:t>
      </w:r>
      <w:r w:rsidR="0050090F" w:rsidRPr="001005B7">
        <w:rPr>
          <w:rFonts w:cstheme="minorHAnsi"/>
        </w:rPr>
        <w:t xml:space="preserve">is not something that can </w:t>
      </w:r>
      <w:r w:rsidR="00957C8B" w:rsidRPr="001005B7">
        <w:rPr>
          <w:rFonts w:cstheme="minorHAnsi"/>
        </w:rPr>
        <w:t>properly just</w:t>
      </w:r>
      <w:r w:rsidR="0050090F" w:rsidRPr="001005B7">
        <w:rPr>
          <w:rFonts w:cstheme="minorHAnsi"/>
        </w:rPr>
        <w:t xml:space="preserve"> evaporate</w:t>
      </w:r>
      <w:r w:rsidR="003E5CF3" w:rsidRPr="001005B7">
        <w:rPr>
          <w:rFonts w:cstheme="minorHAnsi"/>
        </w:rPr>
        <w:t>. I</w:t>
      </w:r>
      <w:r w:rsidR="005433D3" w:rsidRPr="001005B7">
        <w:rPr>
          <w:rFonts w:cstheme="minorHAnsi"/>
        </w:rPr>
        <w:t>f</w:t>
      </w:r>
      <w:r w:rsidR="0050090F" w:rsidRPr="001005B7">
        <w:rPr>
          <w:rFonts w:cstheme="minorHAnsi"/>
        </w:rPr>
        <w:t xml:space="preserve"> someone </w:t>
      </w:r>
      <w:r w:rsidR="0076176D" w:rsidRPr="001005B7">
        <w:rPr>
          <w:rFonts w:cstheme="minorHAnsi"/>
        </w:rPr>
        <w:t>turn</w:t>
      </w:r>
      <w:r w:rsidR="003E5CF3" w:rsidRPr="001005B7">
        <w:rPr>
          <w:rFonts w:cstheme="minorHAnsi"/>
        </w:rPr>
        <w:t>s</w:t>
      </w:r>
      <w:r w:rsidR="0076176D" w:rsidRPr="001005B7">
        <w:rPr>
          <w:rFonts w:cstheme="minorHAnsi"/>
        </w:rPr>
        <w:t xml:space="preserve"> from their wrongdoing</w:t>
      </w:r>
      <w:r w:rsidR="005433D3" w:rsidRPr="001005B7">
        <w:rPr>
          <w:rFonts w:cstheme="minorHAnsi"/>
        </w:rPr>
        <w:t>, that changes the situation</w:t>
      </w:r>
      <w:r w:rsidR="003E5CF3" w:rsidRPr="001005B7">
        <w:rPr>
          <w:rFonts w:cstheme="minorHAnsi"/>
        </w:rPr>
        <w:t xml:space="preserve">, but </w:t>
      </w:r>
      <w:r w:rsidR="00A96862" w:rsidRPr="001005B7">
        <w:rPr>
          <w:rFonts w:cstheme="minorHAnsi"/>
        </w:rPr>
        <w:t>unless there is such turning</w:t>
      </w:r>
      <w:r w:rsidR="003E5CF3" w:rsidRPr="001005B7">
        <w:rPr>
          <w:rFonts w:cstheme="minorHAnsi"/>
        </w:rPr>
        <w:t>, anger</w:t>
      </w:r>
      <w:r w:rsidR="00960378" w:rsidRPr="001005B7">
        <w:rPr>
          <w:rFonts w:cstheme="minorHAnsi"/>
        </w:rPr>
        <w:t xml:space="preserve"> </w:t>
      </w:r>
      <w:r w:rsidR="00B6228C" w:rsidRPr="001005B7">
        <w:rPr>
          <w:rFonts w:cstheme="minorHAnsi"/>
        </w:rPr>
        <w:t>must</w:t>
      </w:r>
      <w:r w:rsidR="00960378" w:rsidRPr="001005B7">
        <w:rPr>
          <w:rFonts w:cstheme="minorHAnsi"/>
        </w:rPr>
        <w:t xml:space="preserve"> </w:t>
      </w:r>
      <w:r w:rsidR="004B5EB1" w:rsidRPr="001005B7">
        <w:rPr>
          <w:rFonts w:cstheme="minorHAnsi"/>
        </w:rPr>
        <w:t>exp</w:t>
      </w:r>
      <w:r w:rsidR="0097360A" w:rsidRPr="001005B7">
        <w:rPr>
          <w:rFonts w:cstheme="minorHAnsi"/>
        </w:rPr>
        <w:t>ress</w:t>
      </w:r>
      <w:r w:rsidR="004B5EB1" w:rsidRPr="001005B7">
        <w:rPr>
          <w:rFonts w:cstheme="minorHAnsi"/>
        </w:rPr>
        <w:t xml:space="preserve"> itself fully </w:t>
      </w:r>
      <w:r w:rsidR="0097360A" w:rsidRPr="001005B7">
        <w:rPr>
          <w:rFonts w:cstheme="minorHAnsi"/>
        </w:rPr>
        <w:t xml:space="preserve">so that </w:t>
      </w:r>
      <w:r w:rsidR="00266AF1" w:rsidRPr="001005B7">
        <w:rPr>
          <w:rFonts w:cstheme="minorHAnsi"/>
        </w:rPr>
        <w:t xml:space="preserve">it is totally expended </w:t>
      </w:r>
      <w:r w:rsidR="004B5EB1" w:rsidRPr="001005B7">
        <w:rPr>
          <w:rFonts w:cstheme="minorHAnsi"/>
        </w:rPr>
        <w:t>(</w:t>
      </w:r>
      <w:r w:rsidR="00A16B2B" w:rsidRPr="001005B7">
        <w:rPr>
          <w:rFonts w:cstheme="minorHAnsi"/>
          <w:rtl/>
          <w:lang w:bidi="he-IL"/>
        </w:rPr>
        <w:t>כ</w:t>
      </w:r>
      <w:r w:rsidR="00897A84" w:rsidRPr="001005B7">
        <w:rPr>
          <w:rFonts w:cstheme="minorHAnsi"/>
          <w:rtl/>
          <w:lang w:bidi="he-IL"/>
        </w:rPr>
        <w:t>ּ</w:t>
      </w:r>
      <w:r w:rsidR="00A16B2B" w:rsidRPr="001005B7">
        <w:rPr>
          <w:rFonts w:cstheme="minorHAnsi"/>
          <w:rtl/>
          <w:lang w:bidi="he-IL"/>
        </w:rPr>
        <w:t>ָלָה</w:t>
      </w:r>
      <w:r w:rsidR="0097360A" w:rsidRPr="001005B7">
        <w:rPr>
          <w:rFonts w:cstheme="minorHAnsi"/>
        </w:rPr>
        <w:t>)</w:t>
      </w:r>
      <w:r w:rsidR="00A96862" w:rsidRPr="001005B7">
        <w:rPr>
          <w:rFonts w:cstheme="minorHAnsi"/>
        </w:rPr>
        <w:t>, otherwise waywardness has not been taken seriously</w:t>
      </w:r>
      <w:r w:rsidR="00CA08BB" w:rsidRPr="001005B7">
        <w:rPr>
          <w:rFonts w:cstheme="minorHAnsi"/>
        </w:rPr>
        <w:t xml:space="preserve">. </w:t>
      </w:r>
      <w:r w:rsidR="003D0200" w:rsidRPr="001005B7">
        <w:rPr>
          <w:rFonts w:cstheme="minorHAnsi"/>
        </w:rPr>
        <w:t>Yahweh</w:t>
      </w:r>
      <w:r w:rsidR="00476CDC" w:rsidRPr="001005B7">
        <w:rPr>
          <w:rFonts w:cstheme="minorHAnsi"/>
        </w:rPr>
        <w:t xml:space="preserve"> </w:t>
      </w:r>
      <w:r w:rsidR="00F61384" w:rsidRPr="001005B7">
        <w:rPr>
          <w:rFonts w:cstheme="minorHAnsi"/>
        </w:rPr>
        <w:t xml:space="preserve">has to give </w:t>
      </w:r>
      <w:r w:rsidR="00476CDC" w:rsidRPr="001005B7">
        <w:rPr>
          <w:rFonts w:cstheme="minorHAnsi"/>
        </w:rPr>
        <w:t>his</w:t>
      </w:r>
      <w:r w:rsidR="00080561" w:rsidRPr="001005B7">
        <w:rPr>
          <w:rFonts w:cstheme="minorHAnsi"/>
        </w:rPr>
        <w:t xml:space="preserve"> fury</w:t>
      </w:r>
      <w:r w:rsidR="00F61384" w:rsidRPr="001005B7">
        <w:rPr>
          <w:rFonts w:cstheme="minorHAnsi"/>
        </w:rPr>
        <w:t xml:space="preserve"> chance </w:t>
      </w:r>
      <w:r w:rsidR="00960378" w:rsidRPr="001005B7">
        <w:rPr>
          <w:rFonts w:cstheme="minorHAnsi"/>
        </w:rPr>
        <w:t xml:space="preserve">to </w:t>
      </w:r>
      <w:r w:rsidR="00557101" w:rsidRPr="001005B7">
        <w:rPr>
          <w:rFonts w:cstheme="minorHAnsi"/>
        </w:rPr>
        <w:t>s</w:t>
      </w:r>
      <w:r w:rsidR="00DE0D94" w:rsidRPr="001005B7">
        <w:rPr>
          <w:rFonts w:cstheme="minorHAnsi"/>
        </w:rPr>
        <w:t>e</w:t>
      </w:r>
      <w:r w:rsidR="00557101" w:rsidRPr="001005B7">
        <w:rPr>
          <w:rFonts w:cstheme="minorHAnsi"/>
        </w:rPr>
        <w:t>ttle down</w:t>
      </w:r>
      <w:r w:rsidR="00C867CC" w:rsidRPr="001005B7">
        <w:rPr>
          <w:rFonts w:cstheme="minorHAnsi"/>
        </w:rPr>
        <w:t xml:space="preserve"> </w:t>
      </w:r>
      <w:r w:rsidR="002B4A40" w:rsidRPr="001005B7">
        <w:rPr>
          <w:rFonts w:cstheme="minorHAnsi"/>
        </w:rPr>
        <w:t xml:space="preserve">and relax </w:t>
      </w:r>
      <w:r w:rsidR="00151C0A" w:rsidRPr="001005B7">
        <w:rPr>
          <w:rFonts w:cstheme="minorHAnsi"/>
        </w:rPr>
        <w:t>(</w:t>
      </w:r>
      <w:r w:rsidR="00997B55" w:rsidRPr="001005B7">
        <w:rPr>
          <w:rFonts w:cstheme="minorHAnsi"/>
          <w:rtl/>
          <w:lang w:bidi="he-IL"/>
        </w:rPr>
        <w:t>נוַּח</w:t>
      </w:r>
      <w:r w:rsidR="00151C0A" w:rsidRPr="001005B7">
        <w:rPr>
          <w:rFonts w:cstheme="minorHAnsi"/>
        </w:rPr>
        <w:t xml:space="preserve"> </w:t>
      </w:r>
      <w:proofErr w:type="spellStart"/>
      <w:r w:rsidR="00151C0A" w:rsidRPr="001005B7">
        <w:rPr>
          <w:rFonts w:cstheme="minorHAnsi"/>
        </w:rPr>
        <w:t>hiphil</w:t>
      </w:r>
      <w:proofErr w:type="spellEnd"/>
      <w:r w:rsidR="00151C0A" w:rsidRPr="001005B7">
        <w:rPr>
          <w:rFonts w:cstheme="minorHAnsi"/>
        </w:rPr>
        <w:t>)</w:t>
      </w:r>
      <w:r w:rsidR="00407F8A" w:rsidRPr="001005B7">
        <w:rPr>
          <w:rFonts w:cstheme="minorHAnsi"/>
        </w:rPr>
        <w:t>.</w:t>
      </w:r>
      <w:r w:rsidR="00151C0A" w:rsidRPr="001005B7">
        <w:rPr>
          <w:rFonts w:cstheme="minorHAnsi"/>
          <w:i/>
          <w:iCs/>
        </w:rPr>
        <w:t xml:space="preserve"> </w:t>
      </w:r>
      <w:r w:rsidR="00407F8A" w:rsidRPr="001005B7">
        <w:rPr>
          <w:rFonts w:cstheme="minorHAnsi"/>
        </w:rPr>
        <w:t xml:space="preserve">He himself has </w:t>
      </w:r>
      <w:r w:rsidR="00287898" w:rsidRPr="001005B7">
        <w:rPr>
          <w:rFonts w:cstheme="minorHAnsi"/>
        </w:rPr>
        <w:t xml:space="preserve">thus </w:t>
      </w:r>
      <w:r w:rsidR="00407F8A" w:rsidRPr="001005B7">
        <w:rPr>
          <w:rFonts w:cstheme="minorHAnsi"/>
        </w:rPr>
        <w:t xml:space="preserve">to find relief </w:t>
      </w:r>
      <w:r w:rsidR="00DE0D94" w:rsidRPr="001005B7">
        <w:rPr>
          <w:rFonts w:cstheme="minorHAnsi"/>
        </w:rPr>
        <w:t xml:space="preserve">and </w:t>
      </w:r>
      <w:r w:rsidR="00C867CC" w:rsidRPr="001005B7">
        <w:rPr>
          <w:rFonts w:cstheme="minorHAnsi"/>
        </w:rPr>
        <w:t>r</w:t>
      </w:r>
      <w:r w:rsidR="00DD7728" w:rsidRPr="001005B7">
        <w:rPr>
          <w:rFonts w:cstheme="minorHAnsi"/>
        </w:rPr>
        <w:t>espite</w:t>
      </w:r>
      <w:r w:rsidR="004B5BB4" w:rsidRPr="001005B7">
        <w:rPr>
          <w:rFonts w:cstheme="minorHAnsi"/>
        </w:rPr>
        <w:t xml:space="preserve"> (</w:t>
      </w:r>
      <w:r w:rsidR="00E84F00" w:rsidRPr="001005B7">
        <w:rPr>
          <w:rFonts w:cstheme="minorHAnsi"/>
          <w:rtl/>
          <w:lang w:bidi="he-IL"/>
        </w:rPr>
        <w:t>נָחַם</w:t>
      </w:r>
      <w:r w:rsidR="004B5BB4" w:rsidRPr="001005B7">
        <w:rPr>
          <w:rFonts w:cstheme="minorHAnsi"/>
          <w:i/>
          <w:iCs/>
        </w:rPr>
        <w:t xml:space="preserve"> </w:t>
      </w:r>
      <w:proofErr w:type="spellStart"/>
      <w:r w:rsidR="00AB7C35" w:rsidRPr="001005B7">
        <w:rPr>
          <w:rFonts w:cstheme="minorHAnsi"/>
        </w:rPr>
        <w:t>hitpael</w:t>
      </w:r>
      <w:proofErr w:type="spellEnd"/>
      <w:r w:rsidR="0097360A" w:rsidRPr="001005B7">
        <w:rPr>
          <w:rFonts w:cstheme="minorHAnsi"/>
        </w:rPr>
        <w:t>)</w:t>
      </w:r>
      <w:r w:rsidR="00F95DCF" w:rsidRPr="001005B7">
        <w:rPr>
          <w:rFonts w:cstheme="minorHAnsi"/>
        </w:rPr>
        <w:t xml:space="preserve"> in “</w:t>
      </w:r>
      <w:r w:rsidR="002A23E6" w:rsidRPr="001005B7">
        <w:t>a divine catharsis</w:t>
      </w:r>
      <w:r w:rsidR="003E4253" w:rsidRPr="001005B7">
        <w:t>” (</w:t>
      </w:r>
      <w:proofErr w:type="spellStart"/>
      <w:r w:rsidR="003E4253" w:rsidRPr="001005B7">
        <w:t>Darr</w:t>
      </w:r>
      <w:proofErr w:type="spellEnd"/>
      <w:r w:rsidR="003E4253" w:rsidRPr="001005B7">
        <w:t>, on the verse).</w:t>
      </w:r>
      <w:r w:rsidR="00F95DCF" w:rsidRPr="001005B7">
        <w:t xml:space="preserve"> </w:t>
      </w:r>
      <w:r w:rsidR="009276B9" w:rsidRPr="001005B7">
        <w:rPr>
          <w:rFonts w:cstheme="minorHAnsi"/>
        </w:rPr>
        <w:t xml:space="preserve">He </w:t>
      </w:r>
      <w:r w:rsidR="00080561" w:rsidRPr="001005B7">
        <w:rPr>
          <w:rFonts w:cstheme="minorHAnsi"/>
        </w:rPr>
        <w:t xml:space="preserve">will </w:t>
      </w:r>
      <w:r w:rsidR="009276B9" w:rsidRPr="001005B7">
        <w:rPr>
          <w:rFonts w:cstheme="minorHAnsi"/>
        </w:rPr>
        <w:t>thus give expression to his passion</w:t>
      </w:r>
      <w:r w:rsidR="00501DCD" w:rsidRPr="001005B7">
        <w:rPr>
          <w:rFonts w:cstheme="minorHAnsi"/>
          <w:i/>
          <w:iCs/>
        </w:rPr>
        <w:t xml:space="preserve"> </w:t>
      </w:r>
      <w:r w:rsidR="00501DCD" w:rsidRPr="001005B7">
        <w:rPr>
          <w:rFonts w:cstheme="minorHAnsi"/>
        </w:rPr>
        <w:t>(</w:t>
      </w:r>
      <w:r w:rsidR="00BD4758" w:rsidRPr="001005B7">
        <w:rPr>
          <w:rFonts w:cstheme="minorHAnsi"/>
          <w:rtl/>
          <w:lang w:bidi="he-IL"/>
        </w:rPr>
        <w:t>קִנ</w:t>
      </w:r>
      <w:r w:rsidR="000E1D89" w:rsidRPr="001005B7">
        <w:rPr>
          <w:rFonts w:cstheme="minorHAnsi"/>
          <w:rtl/>
          <w:lang w:bidi="he-IL"/>
        </w:rPr>
        <w:t>ְאָה</w:t>
      </w:r>
      <w:r w:rsidR="00D02790" w:rsidRPr="001005B7">
        <w:rPr>
          <w:rFonts w:cstheme="minorHAnsi"/>
        </w:rPr>
        <w:t>)</w:t>
      </w:r>
      <w:r w:rsidR="00E66078" w:rsidRPr="001005B7">
        <w:rPr>
          <w:rFonts w:cstheme="minorHAnsi"/>
        </w:rPr>
        <w:t>.</w:t>
      </w:r>
      <w:r w:rsidR="00D176C1" w:rsidRPr="001005B7">
        <w:rPr>
          <w:rFonts w:cstheme="minorHAnsi"/>
        </w:rPr>
        <w:t xml:space="preserve"> </w:t>
      </w:r>
      <w:r w:rsidR="00E66078" w:rsidRPr="001005B7">
        <w:rPr>
          <w:rFonts w:cstheme="minorHAnsi"/>
        </w:rPr>
        <w:t>T</w:t>
      </w:r>
      <w:r w:rsidR="00D176C1" w:rsidRPr="001005B7">
        <w:rPr>
          <w:rFonts w:cstheme="minorHAnsi"/>
        </w:rPr>
        <w:t>h</w:t>
      </w:r>
      <w:r w:rsidR="00E33DD0" w:rsidRPr="001005B7">
        <w:rPr>
          <w:rFonts w:cstheme="minorHAnsi"/>
        </w:rPr>
        <w:t>is</w:t>
      </w:r>
      <w:r w:rsidR="00501DCD" w:rsidRPr="001005B7">
        <w:rPr>
          <w:rFonts w:cstheme="minorHAnsi"/>
        </w:rPr>
        <w:t xml:space="preserve"> </w:t>
      </w:r>
      <w:r w:rsidR="007751A3" w:rsidRPr="001005B7">
        <w:rPr>
          <w:rFonts w:cstheme="minorHAnsi"/>
        </w:rPr>
        <w:t xml:space="preserve">word </w:t>
      </w:r>
      <w:r w:rsidR="00501DCD" w:rsidRPr="001005B7">
        <w:rPr>
          <w:rFonts w:cstheme="minorHAnsi"/>
        </w:rPr>
        <w:t xml:space="preserve">can </w:t>
      </w:r>
      <w:r w:rsidR="00D02790" w:rsidRPr="001005B7">
        <w:rPr>
          <w:rFonts w:cstheme="minorHAnsi"/>
        </w:rPr>
        <w:t>imply jealousy</w:t>
      </w:r>
      <w:r w:rsidR="00E9162D" w:rsidRPr="001005B7">
        <w:rPr>
          <w:rFonts w:cstheme="minorHAnsi"/>
        </w:rPr>
        <w:t xml:space="preserve"> (e.g., </w:t>
      </w:r>
      <w:r w:rsidR="00BA583E" w:rsidRPr="001005B7">
        <w:rPr>
          <w:rFonts w:cstheme="minorHAnsi"/>
        </w:rPr>
        <w:t>31:9</w:t>
      </w:r>
      <w:r w:rsidR="007504EA" w:rsidRPr="001005B7">
        <w:rPr>
          <w:rFonts w:cstheme="minorHAnsi"/>
        </w:rPr>
        <w:t>)</w:t>
      </w:r>
      <w:r w:rsidR="00C447B8" w:rsidRPr="001005B7">
        <w:rPr>
          <w:rFonts w:cstheme="minorHAnsi"/>
        </w:rPr>
        <w:t>, and th</w:t>
      </w:r>
      <w:r w:rsidR="00E33DD0" w:rsidRPr="001005B7">
        <w:rPr>
          <w:rFonts w:cstheme="minorHAnsi"/>
        </w:rPr>
        <w:t>at</w:t>
      </w:r>
      <w:r w:rsidR="00C447B8" w:rsidRPr="001005B7">
        <w:rPr>
          <w:rFonts w:cstheme="minorHAnsi"/>
        </w:rPr>
        <w:t xml:space="preserve"> connotation </w:t>
      </w:r>
      <w:r w:rsidR="002D3E39" w:rsidRPr="001005B7">
        <w:rPr>
          <w:rFonts w:cstheme="minorHAnsi"/>
        </w:rPr>
        <w:t xml:space="preserve">also </w:t>
      </w:r>
      <w:r w:rsidR="00C447B8" w:rsidRPr="001005B7">
        <w:rPr>
          <w:rFonts w:cstheme="minorHAnsi"/>
        </w:rPr>
        <w:t xml:space="preserve">fits here as Ezekiel speaks of the </w:t>
      </w:r>
      <w:r w:rsidR="007334F0" w:rsidRPr="001005B7">
        <w:rPr>
          <w:rFonts w:cstheme="minorHAnsi"/>
        </w:rPr>
        <w:t xml:space="preserve">furious resentment </w:t>
      </w:r>
      <w:r w:rsidR="0066676E" w:rsidRPr="001005B7">
        <w:rPr>
          <w:rFonts w:cstheme="minorHAnsi"/>
        </w:rPr>
        <w:t xml:space="preserve">that </w:t>
      </w:r>
      <w:r w:rsidR="007334F0" w:rsidRPr="001005B7">
        <w:rPr>
          <w:rFonts w:cstheme="minorHAnsi"/>
        </w:rPr>
        <w:t>Yahweh feels towards</w:t>
      </w:r>
      <w:r w:rsidR="00C447B8" w:rsidRPr="001005B7">
        <w:rPr>
          <w:rFonts w:cstheme="minorHAnsi"/>
        </w:rPr>
        <w:t xml:space="preserve"> </w:t>
      </w:r>
      <w:r w:rsidR="0066676E" w:rsidRPr="001005B7">
        <w:rPr>
          <w:rFonts w:cstheme="minorHAnsi"/>
        </w:rPr>
        <w:t xml:space="preserve">people who </w:t>
      </w:r>
      <w:r w:rsidR="009F043C" w:rsidRPr="001005B7">
        <w:rPr>
          <w:rFonts w:cstheme="minorHAnsi"/>
        </w:rPr>
        <w:t>act in the temple in a way that suggests despising him as the one who</w:t>
      </w:r>
      <w:r w:rsidR="00D02790" w:rsidRPr="001005B7">
        <w:rPr>
          <w:rFonts w:cstheme="minorHAnsi"/>
        </w:rPr>
        <w:t xml:space="preserve"> </w:t>
      </w:r>
      <w:r w:rsidR="009F043C" w:rsidRPr="001005B7">
        <w:rPr>
          <w:rFonts w:cstheme="minorHAnsi"/>
        </w:rPr>
        <w:t>settle</w:t>
      </w:r>
      <w:r w:rsidR="00E33DD0" w:rsidRPr="001005B7">
        <w:rPr>
          <w:rFonts w:cstheme="minorHAnsi"/>
        </w:rPr>
        <w:t>d</w:t>
      </w:r>
      <w:r w:rsidR="009F043C" w:rsidRPr="001005B7">
        <w:rPr>
          <w:rFonts w:cstheme="minorHAnsi"/>
        </w:rPr>
        <w:t xml:space="preserve"> his dwelling there</w:t>
      </w:r>
      <w:r w:rsidR="000E2023" w:rsidRPr="001005B7">
        <w:rPr>
          <w:rFonts w:cstheme="minorHAnsi"/>
        </w:rPr>
        <w:t xml:space="preserve">. </w:t>
      </w:r>
      <w:r w:rsidR="003942E9" w:rsidRPr="001005B7">
        <w:rPr>
          <w:rFonts w:cstheme="minorHAnsi"/>
        </w:rPr>
        <w:t xml:space="preserve">But the result of </w:t>
      </w:r>
      <w:r w:rsidR="00336B68" w:rsidRPr="001005B7">
        <w:rPr>
          <w:rFonts w:cstheme="minorHAnsi"/>
        </w:rPr>
        <w:t>hi</w:t>
      </w:r>
      <w:r w:rsidR="00050A50" w:rsidRPr="001005B7">
        <w:rPr>
          <w:rFonts w:cstheme="minorHAnsi"/>
        </w:rPr>
        <w:t>s horrific</w:t>
      </w:r>
      <w:r w:rsidR="00685F0C" w:rsidRPr="001005B7">
        <w:rPr>
          <w:rFonts w:cstheme="minorHAnsi"/>
        </w:rPr>
        <w:t xml:space="preserve"> action will be that </w:t>
      </w:r>
      <w:r w:rsidR="00FF1CE3" w:rsidRPr="001005B7">
        <w:rPr>
          <w:rFonts w:cstheme="minorHAnsi"/>
        </w:rPr>
        <w:t xml:space="preserve">the Jerusalemites </w:t>
      </w:r>
      <w:r w:rsidR="00F67B55" w:rsidRPr="001005B7">
        <w:rPr>
          <w:rFonts w:cstheme="minorHAnsi"/>
        </w:rPr>
        <w:t>“</w:t>
      </w:r>
      <w:r w:rsidR="002F6F87" w:rsidRPr="001005B7">
        <w:t>will</w:t>
      </w:r>
      <w:r w:rsidR="002F6F87" w:rsidRPr="001005B7">
        <w:rPr>
          <w:i/>
          <w:iCs/>
        </w:rPr>
        <w:t xml:space="preserve"> </w:t>
      </w:r>
      <w:r w:rsidR="00FF1CE3" w:rsidRPr="001005B7">
        <w:t>acknowledg</w:t>
      </w:r>
      <w:r w:rsidR="007475F4" w:rsidRPr="001005B7">
        <w:t>e</w:t>
      </w:r>
      <w:r w:rsidR="00FF1CE3" w:rsidRPr="001005B7">
        <w:rPr>
          <w:i/>
          <w:iCs/>
        </w:rPr>
        <w:t xml:space="preserve"> </w:t>
      </w:r>
      <w:r w:rsidR="00FF1CE3" w:rsidRPr="001005B7">
        <w:t>that</w:t>
      </w:r>
      <w:r w:rsidR="00F67B55" w:rsidRPr="001005B7">
        <w:t xml:space="preserve"> I,</w:t>
      </w:r>
      <w:r w:rsidR="00FF1CE3" w:rsidRPr="001005B7">
        <w:rPr>
          <w:i/>
          <w:iCs/>
        </w:rPr>
        <w:t xml:space="preserve"> </w:t>
      </w:r>
      <w:r w:rsidR="00FF1CE3" w:rsidRPr="001005B7">
        <w:t>Yahweh</w:t>
      </w:r>
      <w:r w:rsidR="00FF1CE3" w:rsidRPr="001005B7">
        <w:rPr>
          <w:i/>
          <w:iCs/>
        </w:rPr>
        <w:t xml:space="preserve">, </w:t>
      </w:r>
      <w:r w:rsidR="00FF1CE3" w:rsidRPr="001005B7">
        <w:t>have</w:t>
      </w:r>
      <w:r w:rsidR="00FF1CE3" w:rsidRPr="001005B7">
        <w:rPr>
          <w:i/>
          <w:iCs/>
        </w:rPr>
        <w:t xml:space="preserve"> </w:t>
      </w:r>
      <w:r w:rsidR="00FF1CE3" w:rsidRPr="001005B7">
        <w:t>spoken</w:t>
      </w:r>
      <w:r w:rsidR="00FF1CE3" w:rsidRPr="001005B7">
        <w:rPr>
          <w:i/>
          <w:iCs/>
        </w:rPr>
        <w:t xml:space="preserve"> </w:t>
      </w:r>
      <w:r w:rsidR="00FF1CE3" w:rsidRPr="001005B7">
        <w:t>in</w:t>
      </w:r>
      <w:r w:rsidR="00FF1CE3" w:rsidRPr="001005B7">
        <w:rPr>
          <w:i/>
          <w:iCs/>
        </w:rPr>
        <w:t xml:space="preserve"> </w:t>
      </w:r>
      <w:r w:rsidR="00FF1CE3" w:rsidRPr="001005B7">
        <w:t>my</w:t>
      </w:r>
      <w:r w:rsidR="00FF1CE3" w:rsidRPr="001005B7">
        <w:rPr>
          <w:i/>
          <w:iCs/>
        </w:rPr>
        <w:t xml:space="preserve"> </w:t>
      </w:r>
      <w:r w:rsidR="00FF1CE3" w:rsidRPr="001005B7">
        <w:t>passion</w:t>
      </w:r>
      <w:r w:rsidR="0009307D" w:rsidRPr="001005B7">
        <w:t>.”</w:t>
      </w:r>
      <w:r w:rsidR="00126D3C" w:rsidRPr="001005B7">
        <w:t xml:space="preserve"> </w:t>
      </w:r>
      <w:r w:rsidR="0009307D" w:rsidRPr="001005B7">
        <w:t>O</w:t>
      </w:r>
      <w:r w:rsidR="00325043" w:rsidRPr="001005B7">
        <w:t xml:space="preserve">nly here does Ezekiel’s favorite verbal </w:t>
      </w:r>
      <w:r w:rsidR="003B43E0" w:rsidRPr="001005B7">
        <w:t>aim that</w:t>
      </w:r>
      <w:r w:rsidR="00A72C4F" w:rsidRPr="001005B7">
        <w:t xml:space="preserve"> people com</w:t>
      </w:r>
      <w:r w:rsidR="003B43E0" w:rsidRPr="001005B7">
        <w:t>e</w:t>
      </w:r>
      <w:r w:rsidR="00A72C4F" w:rsidRPr="001005B7">
        <w:t xml:space="preserve"> to acknowledge Yahweh come in com</w:t>
      </w:r>
      <w:r w:rsidR="0066443B" w:rsidRPr="001005B7">
        <w:t>b</w:t>
      </w:r>
      <w:r w:rsidR="00A72C4F" w:rsidRPr="001005B7">
        <w:t>ination with reference to passion</w:t>
      </w:r>
      <w:r w:rsidR="00BB396B" w:rsidRPr="001005B7">
        <w:t>/j</w:t>
      </w:r>
      <w:r w:rsidR="0066443B" w:rsidRPr="001005B7">
        <w:t>ealousy</w:t>
      </w:r>
      <w:r w:rsidR="00D316B3" w:rsidRPr="001005B7">
        <w:t>.</w:t>
      </w:r>
      <w:r w:rsidR="007406C9" w:rsidRPr="001005B7">
        <w:t xml:space="preserve"> </w:t>
      </w:r>
    </w:p>
    <w:p w14:paraId="6EBA418B" w14:textId="0FE1C5BA" w:rsidR="00586B35" w:rsidRPr="001005B7" w:rsidRDefault="004670C9" w:rsidP="00BC1A43">
      <w:r w:rsidRPr="001005B7">
        <w:rPr>
          <w:b/>
          <w:bCs/>
        </w:rPr>
        <w:t>5:</w:t>
      </w:r>
      <w:r w:rsidR="002D0AB9" w:rsidRPr="001005B7">
        <w:rPr>
          <w:b/>
          <w:bCs/>
        </w:rPr>
        <w:t xml:space="preserve">14 </w:t>
      </w:r>
      <w:r w:rsidR="001C1EFA" w:rsidRPr="001005B7">
        <w:t xml:space="preserve">Yahweh’s anger will express itself on the city itself as well as on its people. </w:t>
      </w:r>
      <w:r w:rsidR="009866DB" w:rsidRPr="001005B7">
        <w:t>“Go around Zion, circle it</w:t>
      </w:r>
      <w:r w:rsidR="009A49BB" w:rsidRPr="001005B7">
        <w:t>, count its towers,</w:t>
      </w:r>
      <w:r w:rsidR="00822C50" w:rsidRPr="001005B7">
        <w:t>”</w:t>
      </w:r>
      <w:r w:rsidR="009A49BB" w:rsidRPr="001005B7">
        <w:t xml:space="preserve"> </w:t>
      </w:r>
      <w:proofErr w:type="spellStart"/>
      <w:r w:rsidR="009A49BB" w:rsidRPr="001005B7">
        <w:t>Ps</w:t>
      </w:r>
      <w:r w:rsidR="00234BED" w:rsidRPr="001005B7">
        <w:t>a</w:t>
      </w:r>
      <w:proofErr w:type="spellEnd"/>
      <w:r w:rsidR="00B53D27" w:rsidRPr="001005B7">
        <w:t xml:space="preserve"> </w:t>
      </w:r>
      <w:r w:rsidR="009A49BB" w:rsidRPr="001005B7">
        <w:t>48</w:t>
      </w:r>
      <w:r w:rsidR="00BF3CF1" w:rsidRPr="001005B7">
        <w:t xml:space="preserve">:12 </w:t>
      </w:r>
      <w:r w:rsidR="00A60FA2" w:rsidRPr="001005B7">
        <w:t>[13] bids.</w:t>
      </w:r>
      <w:r w:rsidR="006F56FE" w:rsidRPr="001005B7">
        <w:t xml:space="preserve"> There will be no such celebrating </w:t>
      </w:r>
      <w:r w:rsidR="00980D6E" w:rsidRPr="001005B7">
        <w:t>after Yahweh’s fury has expressed itself.</w:t>
      </w:r>
      <w:r w:rsidR="00906A29" w:rsidRPr="001005B7">
        <w:t xml:space="preserve"> Yahweh piles up </w:t>
      </w:r>
      <w:r w:rsidR="00F12381" w:rsidRPr="001005B7">
        <w:t>ways of describing the consequences of the action he intends.</w:t>
      </w:r>
      <w:r w:rsidR="00B10325" w:rsidRPr="001005B7">
        <w:t xml:space="preserve"> The</w:t>
      </w:r>
      <w:r w:rsidR="00254857" w:rsidRPr="001005B7">
        <w:t xml:space="preserve"> city </w:t>
      </w:r>
      <w:r w:rsidR="00B10325" w:rsidRPr="001005B7">
        <w:t xml:space="preserve">will be horrifying: </w:t>
      </w:r>
      <w:r w:rsidR="001D4A7D" w:rsidRPr="001005B7">
        <w:t>“</w:t>
      </w:r>
      <w:r w:rsidR="009B71A2" w:rsidRPr="001005B7">
        <w:t>waste</w:t>
      </w:r>
      <w:r w:rsidR="001D4A7D" w:rsidRPr="001005B7">
        <w:t>”</w:t>
      </w:r>
      <w:r w:rsidR="00163C93" w:rsidRPr="001005B7">
        <w:t xml:space="preserve"> and a reason for </w:t>
      </w:r>
      <w:r w:rsidR="001D4A7D" w:rsidRPr="001005B7">
        <w:t>“</w:t>
      </w:r>
      <w:r w:rsidR="009E69DA" w:rsidRPr="001005B7">
        <w:t>disdain</w:t>
      </w:r>
      <w:r w:rsidR="00E10D71" w:rsidRPr="001005B7">
        <w:t>.</w:t>
      </w:r>
      <w:r w:rsidR="001D4A7D" w:rsidRPr="001005B7">
        <w:t>”</w:t>
      </w:r>
      <w:r w:rsidR="00E10D71" w:rsidRPr="001005B7">
        <w:t xml:space="preserve"> O</w:t>
      </w:r>
      <w:r w:rsidR="00CD6B73" w:rsidRPr="001005B7">
        <w:t xml:space="preserve">nce again Ezekiel </w:t>
      </w:r>
      <w:r w:rsidR="00B36225" w:rsidRPr="001005B7">
        <w:t>intensifies his point by the similarity of his words (</w:t>
      </w:r>
      <w:r w:rsidR="000F0B93" w:rsidRPr="001005B7">
        <w:rPr>
          <w:rFonts w:cstheme="minorHAnsi"/>
          <w:rtl/>
          <w:lang w:bidi="he-IL"/>
        </w:rPr>
        <w:t>חָ</w:t>
      </w:r>
      <w:r w:rsidR="00A71E74" w:rsidRPr="001005B7">
        <w:rPr>
          <w:rFonts w:cstheme="minorHAnsi"/>
          <w:rtl/>
          <w:lang w:bidi="he-IL"/>
        </w:rPr>
        <w:t>רְב</w:t>
      </w:r>
      <w:r w:rsidR="00731BF8" w:rsidRPr="001005B7">
        <w:rPr>
          <w:rFonts w:cstheme="minorHAnsi"/>
          <w:rtl/>
          <w:lang w:bidi="he-IL"/>
        </w:rPr>
        <w:t>ּ</w:t>
      </w:r>
      <w:r w:rsidR="00A71E74" w:rsidRPr="001005B7">
        <w:rPr>
          <w:rFonts w:cstheme="minorHAnsi"/>
          <w:rtl/>
          <w:lang w:bidi="he-IL"/>
        </w:rPr>
        <w:t>ָה</w:t>
      </w:r>
      <w:r w:rsidR="00BC1A43" w:rsidRPr="001005B7">
        <w:t xml:space="preserve">, </w:t>
      </w:r>
      <w:r w:rsidR="00526146" w:rsidRPr="001005B7">
        <w:rPr>
          <w:rFonts w:cstheme="minorHAnsi"/>
          <w:rtl/>
          <w:lang w:bidi="he-IL"/>
        </w:rPr>
        <w:t>ח</w:t>
      </w:r>
      <w:r w:rsidR="002D569C" w:rsidRPr="001005B7">
        <w:rPr>
          <w:rFonts w:cstheme="minorHAnsi"/>
          <w:rtl/>
          <w:lang w:bidi="he-IL"/>
        </w:rPr>
        <w:t>ֶרְפָ</w:t>
      </w:r>
      <w:r w:rsidR="006C646F" w:rsidRPr="001005B7">
        <w:rPr>
          <w:rFonts w:cstheme="minorHAnsi"/>
          <w:rtl/>
          <w:lang w:bidi="he-IL"/>
        </w:rPr>
        <w:t>ּ</w:t>
      </w:r>
      <w:r w:rsidR="002D569C" w:rsidRPr="001005B7">
        <w:rPr>
          <w:rFonts w:cstheme="minorHAnsi"/>
          <w:rtl/>
          <w:lang w:bidi="he-IL"/>
        </w:rPr>
        <w:t>ה</w:t>
      </w:r>
      <w:r w:rsidR="00E10D71" w:rsidRPr="001005B7">
        <w:rPr>
          <w:rFonts w:cstheme="minorHAnsi"/>
        </w:rPr>
        <w:t xml:space="preserve">): Jerusalem will become a </w:t>
      </w:r>
      <w:r w:rsidR="000C1F59" w:rsidRPr="001005B7">
        <w:rPr>
          <w:rFonts w:cstheme="minorHAnsi"/>
        </w:rPr>
        <w:t xml:space="preserve">desolate </w:t>
      </w:r>
      <w:r w:rsidR="009B71A2" w:rsidRPr="001005B7">
        <w:rPr>
          <w:rFonts w:cstheme="minorHAnsi"/>
        </w:rPr>
        <w:t>waste</w:t>
      </w:r>
      <w:r w:rsidR="00E10D71" w:rsidRPr="001005B7">
        <w:rPr>
          <w:rFonts w:cstheme="minorHAnsi"/>
        </w:rPr>
        <w:t xml:space="preserve"> that </w:t>
      </w:r>
      <w:r w:rsidR="000C1F59" w:rsidRPr="001005B7">
        <w:rPr>
          <w:rFonts w:cstheme="minorHAnsi"/>
        </w:rPr>
        <w:t xml:space="preserve">will </w:t>
      </w:r>
      <w:r w:rsidR="00F16599" w:rsidRPr="001005B7">
        <w:rPr>
          <w:rFonts w:cstheme="minorHAnsi"/>
        </w:rPr>
        <w:t xml:space="preserve">earn </w:t>
      </w:r>
      <w:r w:rsidR="00C414FB" w:rsidRPr="001005B7">
        <w:rPr>
          <w:rFonts w:cstheme="minorHAnsi"/>
        </w:rPr>
        <w:t>the</w:t>
      </w:r>
      <w:r w:rsidR="00F16599" w:rsidRPr="001005B7">
        <w:rPr>
          <w:rFonts w:cstheme="minorHAnsi"/>
        </w:rPr>
        <w:t xml:space="preserve"> </w:t>
      </w:r>
      <w:r w:rsidR="000C1F59" w:rsidRPr="001005B7">
        <w:rPr>
          <w:rFonts w:cstheme="minorHAnsi"/>
        </w:rPr>
        <w:t>contempt and disdain</w:t>
      </w:r>
      <w:r w:rsidR="00C414FB" w:rsidRPr="001005B7">
        <w:rPr>
          <w:rFonts w:cstheme="minorHAnsi"/>
        </w:rPr>
        <w:t xml:space="preserve"> of </w:t>
      </w:r>
      <w:r w:rsidR="00333BD3" w:rsidRPr="001005B7">
        <w:rPr>
          <w:rFonts w:cstheme="minorHAnsi"/>
        </w:rPr>
        <w:t>“</w:t>
      </w:r>
      <w:r w:rsidR="00C414FB" w:rsidRPr="001005B7">
        <w:rPr>
          <w:rFonts w:cstheme="minorHAnsi"/>
        </w:rPr>
        <w:t>the</w:t>
      </w:r>
      <w:r w:rsidR="00C414FB" w:rsidRPr="001005B7">
        <w:rPr>
          <w:rFonts w:cstheme="minorHAnsi"/>
          <w:i/>
          <w:iCs/>
        </w:rPr>
        <w:t xml:space="preserve"> </w:t>
      </w:r>
      <w:r w:rsidR="00C414FB" w:rsidRPr="001005B7">
        <w:rPr>
          <w:rFonts w:cstheme="minorHAnsi"/>
        </w:rPr>
        <w:t>nations</w:t>
      </w:r>
      <w:r w:rsidR="007751A3" w:rsidRPr="001005B7">
        <w:rPr>
          <w:rFonts w:cstheme="minorHAnsi"/>
        </w:rPr>
        <w:t>.</w:t>
      </w:r>
      <w:r w:rsidR="00333BD3" w:rsidRPr="001005B7">
        <w:rPr>
          <w:rFonts w:cstheme="minorHAnsi"/>
        </w:rPr>
        <w:t>”</w:t>
      </w:r>
      <w:r w:rsidR="00C414FB" w:rsidRPr="001005B7">
        <w:rPr>
          <w:rFonts w:cstheme="minorHAnsi"/>
        </w:rPr>
        <w:t xml:space="preserve"> Yahweh makes an ironic</w:t>
      </w:r>
      <w:r w:rsidR="00EB3DFB" w:rsidRPr="001005B7">
        <w:rPr>
          <w:rFonts w:cstheme="minorHAnsi"/>
        </w:rPr>
        <w:t>,</w:t>
      </w:r>
      <w:r w:rsidR="00C414FB" w:rsidRPr="001005B7">
        <w:rPr>
          <w:rFonts w:cstheme="minorHAnsi"/>
        </w:rPr>
        <w:t xml:space="preserve"> sardonic</w:t>
      </w:r>
      <w:r w:rsidR="00EB3DFB" w:rsidRPr="001005B7">
        <w:rPr>
          <w:rFonts w:cstheme="minorHAnsi"/>
        </w:rPr>
        <w:t>,</w:t>
      </w:r>
      <w:r w:rsidR="00C414FB" w:rsidRPr="001005B7">
        <w:rPr>
          <w:rFonts w:cstheme="minorHAnsi"/>
        </w:rPr>
        <w:t xml:space="preserve"> or tragic link with </w:t>
      </w:r>
      <w:r w:rsidR="0042084A" w:rsidRPr="001005B7">
        <w:rPr>
          <w:rFonts w:cstheme="minorHAnsi"/>
        </w:rPr>
        <w:t>5:</w:t>
      </w:r>
      <w:r w:rsidR="00403B05" w:rsidRPr="001005B7">
        <w:rPr>
          <w:rFonts w:cstheme="minorHAnsi"/>
        </w:rPr>
        <w:t xml:space="preserve">5, 6, 7, 8. </w:t>
      </w:r>
      <w:r w:rsidR="00E25CDB" w:rsidRPr="001005B7">
        <w:rPr>
          <w:rFonts w:cstheme="minorHAnsi"/>
        </w:rPr>
        <w:t>It</w:t>
      </w:r>
      <w:r w:rsidR="005E7C32" w:rsidRPr="001005B7">
        <w:rPr>
          <w:rFonts w:cstheme="minorHAnsi"/>
        </w:rPr>
        <w:t xml:space="preserve"> is </w:t>
      </w:r>
      <w:r w:rsidR="0059748A" w:rsidRPr="001005B7">
        <w:rPr>
          <w:rFonts w:cstheme="minorHAnsi"/>
        </w:rPr>
        <w:t xml:space="preserve">Yahweh’s own city! </w:t>
      </w:r>
      <w:r w:rsidR="005E7C32" w:rsidRPr="001005B7">
        <w:rPr>
          <w:rFonts w:cstheme="minorHAnsi"/>
        </w:rPr>
        <w:t>But t</w:t>
      </w:r>
      <w:r w:rsidR="004C3B51" w:rsidRPr="001005B7">
        <w:rPr>
          <w:rFonts w:cstheme="minorHAnsi"/>
        </w:rPr>
        <w:t>h</w:t>
      </w:r>
      <w:r w:rsidR="00E25CDB" w:rsidRPr="001005B7">
        <w:rPr>
          <w:rFonts w:cstheme="minorHAnsi"/>
        </w:rPr>
        <w:t>is</w:t>
      </w:r>
      <w:r w:rsidR="00EF5538" w:rsidRPr="001005B7">
        <w:rPr>
          <w:rFonts w:cstheme="minorHAnsi"/>
        </w:rPr>
        <w:t xml:space="preserve"> is what it will </w:t>
      </w:r>
      <w:r w:rsidR="0029175B" w:rsidRPr="001005B7">
        <w:rPr>
          <w:rFonts w:cstheme="minorHAnsi"/>
        </w:rPr>
        <w:t>follow</w:t>
      </w:r>
      <w:r w:rsidR="00EF5538" w:rsidRPr="001005B7">
        <w:rPr>
          <w:rFonts w:cstheme="minorHAnsi"/>
        </w:rPr>
        <w:t xml:space="preserve"> when Yahweh</w:t>
      </w:r>
      <w:r w:rsidR="00DA07BF" w:rsidRPr="001005B7">
        <w:rPr>
          <w:rFonts w:cstheme="minorHAnsi"/>
        </w:rPr>
        <w:t xml:space="preserve"> </w:t>
      </w:r>
      <w:r w:rsidR="00E25CDB" w:rsidRPr="001005B7">
        <w:rPr>
          <w:rFonts w:cstheme="minorHAnsi"/>
        </w:rPr>
        <w:t>is</w:t>
      </w:r>
      <w:r w:rsidR="00DA07BF" w:rsidRPr="001005B7">
        <w:rPr>
          <w:rFonts w:cstheme="minorHAnsi"/>
        </w:rPr>
        <w:t xml:space="preserve"> against Jerusalem and </w:t>
      </w:r>
      <w:r w:rsidR="00EF5538" w:rsidRPr="001005B7">
        <w:rPr>
          <w:rFonts w:cstheme="minorHAnsi"/>
        </w:rPr>
        <w:t>act</w:t>
      </w:r>
      <w:r w:rsidR="00E0634F" w:rsidRPr="001005B7">
        <w:rPr>
          <w:rFonts w:cstheme="minorHAnsi"/>
        </w:rPr>
        <w:t>s</w:t>
      </w:r>
      <w:r w:rsidR="00F61F2C" w:rsidRPr="001005B7">
        <w:rPr>
          <w:rFonts w:cstheme="minorHAnsi"/>
        </w:rPr>
        <w:t xml:space="preserve"> in front of</w:t>
      </w:r>
      <w:r w:rsidR="00E0634F" w:rsidRPr="001005B7">
        <w:rPr>
          <w:rFonts w:cstheme="minorHAnsi"/>
        </w:rPr>
        <w:t xml:space="preserve"> the nations’ eyes (</w:t>
      </w:r>
      <w:r w:rsidR="00AC027B" w:rsidRPr="001005B7">
        <w:rPr>
          <w:rFonts w:cstheme="minorHAnsi"/>
        </w:rPr>
        <w:t>5:</w:t>
      </w:r>
      <w:r w:rsidR="00E0634F" w:rsidRPr="001005B7">
        <w:rPr>
          <w:rFonts w:cstheme="minorHAnsi"/>
        </w:rPr>
        <w:t>8).</w:t>
      </w:r>
      <w:r w:rsidR="0029175B" w:rsidRPr="001005B7">
        <w:rPr>
          <w:rFonts w:cstheme="minorHAnsi"/>
        </w:rPr>
        <w:t xml:space="preserve"> D</w:t>
      </w:r>
      <w:r w:rsidR="004B6C4D" w:rsidRPr="001005B7">
        <w:rPr>
          <w:rFonts w:cstheme="minorHAnsi"/>
        </w:rPr>
        <w:t>on’</w:t>
      </w:r>
      <w:r w:rsidR="00C50C0F" w:rsidRPr="001005B7">
        <w:rPr>
          <w:rFonts w:cstheme="minorHAnsi"/>
        </w:rPr>
        <w:t>t</w:t>
      </w:r>
      <w:r w:rsidR="004B6C4D" w:rsidRPr="001005B7">
        <w:rPr>
          <w:rFonts w:cstheme="minorHAnsi"/>
        </w:rPr>
        <w:t xml:space="preserve"> think there will be any exceptions</w:t>
      </w:r>
      <w:r w:rsidR="0029175B" w:rsidRPr="001005B7">
        <w:rPr>
          <w:rFonts w:cstheme="minorHAnsi"/>
        </w:rPr>
        <w:t>. E</w:t>
      </w:r>
      <w:r w:rsidR="002120B0" w:rsidRPr="001005B7">
        <w:rPr>
          <w:rFonts w:cstheme="minorHAnsi"/>
        </w:rPr>
        <w:t>very</w:t>
      </w:r>
      <w:r w:rsidR="002120B0" w:rsidRPr="001005B7">
        <w:rPr>
          <w:rFonts w:cstheme="minorHAnsi"/>
          <w:i/>
          <w:iCs/>
        </w:rPr>
        <w:t xml:space="preserve"> </w:t>
      </w:r>
      <w:r w:rsidR="002120B0" w:rsidRPr="001005B7">
        <w:rPr>
          <w:rFonts w:cstheme="minorHAnsi"/>
        </w:rPr>
        <w:t>passerby</w:t>
      </w:r>
      <w:r w:rsidR="002E5A4E" w:rsidRPr="001005B7">
        <w:rPr>
          <w:rFonts w:cstheme="minorHAnsi"/>
          <w:i/>
          <w:iCs/>
        </w:rPr>
        <w:t xml:space="preserve"> </w:t>
      </w:r>
      <w:r w:rsidR="002E5A4E" w:rsidRPr="001005B7">
        <w:rPr>
          <w:rFonts w:cstheme="minorHAnsi"/>
        </w:rPr>
        <w:t>will look and react that way</w:t>
      </w:r>
      <w:r w:rsidR="00515DD0" w:rsidRPr="001005B7">
        <w:rPr>
          <w:rFonts w:cstheme="minorHAnsi"/>
        </w:rPr>
        <w:t>. Y</w:t>
      </w:r>
      <w:r w:rsidR="002E5A4E" w:rsidRPr="001005B7">
        <w:rPr>
          <w:rFonts w:cstheme="minorHAnsi"/>
        </w:rPr>
        <w:t>et again, Ezekiel speaks in hyperbole.</w:t>
      </w:r>
      <w:r w:rsidR="002120B0" w:rsidRPr="001005B7">
        <w:rPr>
          <w:rFonts w:cstheme="minorHAnsi"/>
          <w:i/>
          <w:iCs/>
        </w:rPr>
        <w:t xml:space="preserve"> </w:t>
      </w:r>
    </w:p>
    <w:p w14:paraId="7E369A0F" w14:textId="703F94E8" w:rsidR="00D178BB" w:rsidRPr="001005B7" w:rsidRDefault="003551AC" w:rsidP="00D178BB">
      <w:pPr>
        <w:rPr>
          <w:rFonts w:cstheme="minorHAnsi"/>
        </w:rPr>
      </w:pPr>
      <w:r w:rsidRPr="001005B7">
        <w:rPr>
          <w:rFonts w:cstheme="minorHAnsi"/>
          <w:b/>
          <w:bCs/>
        </w:rPr>
        <w:t xml:space="preserve">5:15 </w:t>
      </w:r>
      <w:r w:rsidR="009B3753" w:rsidRPr="001005B7">
        <w:rPr>
          <w:rFonts w:cstheme="minorHAnsi"/>
        </w:rPr>
        <w:t>In case y</w:t>
      </w:r>
      <w:r w:rsidR="005772CF" w:rsidRPr="001005B7">
        <w:rPr>
          <w:rFonts w:cstheme="minorHAnsi"/>
        </w:rPr>
        <w:t>o</w:t>
      </w:r>
      <w:r w:rsidR="009B3753" w:rsidRPr="001005B7">
        <w:rPr>
          <w:rFonts w:cstheme="minorHAnsi"/>
        </w:rPr>
        <w:t>u haven’t got it, here it is again</w:t>
      </w:r>
      <w:r w:rsidR="00333BD3" w:rsidRPr="001005B7">
        <w:rPr>
          <w:rFonts w:cstheme="minorHAnsi"/>
        </w:rPr>
        <w:t>. T</w:t>
      </w:r>
      <w:r w:rsidR="005772CF" w:rsidRPr="001005B7">
        <w:rPr>
          <w:rFonts w:cstheme="minorHAnsi"/>
        </w:rPr>
        <w:t>he city will be</w:t>
      </w:r>
      <w:r w:rsidR="00C26850" w:rsidRPr="001005B7">
        <w:rPr>
          <w:rFonts w:cstheme="minorHAnsi"/>
        </w:rPr>
        <w:t>come</w:t>
      </w:r>
      <w:r w:rsidR="005772CF" w:rsidRPr="001005B7">
        <w:rPr>
          <w:rFonts w:cstheme="minorHAnsi"/>
        </w:rPr>
        <w:t xml:space="preserve"> </w:t>
      </w:r>
      <w:r w:rsidR="00333BD3" w:rsidRPr="001005B7">
        <w:rPr>
          <w:rFonts w:cstheme="minorHAnsi"/>
        </w:rPr>
        <w:t>“a</w:t>
      </w:r>
      <w:r w:rsidR="00A93B9F" w:rsidRPr="001005B7">
        <w:rPr>
          <w:rFonts w:cstheme="minorHAnsi"/>
          <w:i/>
          <w:iCs/>
        </w:rPr>
        <w:t xml:space="preserve"> </w:t>
      </w:r>
      <w:r w:rsidR="00A93B9F" w:rsidRPr="001005B7">
        <w:rPr>
          <w:rFonts w:cstheme="minorHAnsi"/>
        </w:rPr>
        <w:t>focus</w:t>
      </w:r>
      <w:r w:rsidR="009B3753" w:rsidRPr="001005B7">
        <w:rPr>
          <w:rFonts w:cstheme="minorHAnsi"/>
          <w:i/>
          <w:iCs/>
        </w:rPr>
        <w:t xml:space="preserve"> </w:t>
      </w:r>
      <w:r w:rsidR="009B3753" w:rsidRPr="001005B7">
        <w:rPr>
          <w:rFonts w:cstheme="minorHAnsi"/>
        </w:rPr>
        <w:t>of</w:t>
      </w:r>
      <w:r w:rsidR="009B3753" w:rsidRPr="001005B7">
        <w:rPr>
          <w:rFonts w:cstheme="minorHAnsi"/>
          <w:i/>
          <w:iCs/>
        </w:rPr>
        <w:t xml:space="preserve"> </w:t>
      </w:r>
      <w:r w:rsidR="006F1850" w:rsidRPr="001005B7">
        <w:rPr>
          <w:rFonts w:cstheme="minorHAnsi"/>
        </w:rPr>
        <w:t>disdain</w:t>
      </w:r>
      <w:r w:rsidR="00333BD3" w:rsidRPr="001005B7">
        <w:rPr>
          <w:rFonts w:cstheme="minorHAnsi"/>
        </w:rPr>
        <w:t>”</w:t>
      </w:r>
      <w:r w:rsidR="009B3753" w:rsidRPr="001005B7">
        <w:rPr>
          <w:rFonts w:cstheme="minorHAnsi"/>
        </w:rPr>
        <w:t xml:space="preserve"> and </w:t>
      </w:r>
      <w:r w:rsidR="00333BD3" w:rsidRPr="001005B7">
        <w:rPr>
          <w:rFonts w:cstheme="minorHAnsi"/>
        </w:rPr>
        <w:t>“</w:t>
      </w:r>
      <w:r w:rsidR="009B3753" w:rsidRPr="001005B7">
        <w:rPr>
          <w:rFonts w:cstheme="minorHAnsi"/>
        </w:rPr>
        <w:t>reviling</w:t>
      </w:r>
      <w:r w:rsidR="007E18A2" w:rsidRPr="001005B7">
        <w:t>”</w:t>
      </w:r>
      <w:r w:rsidR="0077618A" w:rsidRPr="001005B7">
        <w:t xml:space="preserve"> (</w:t>
      </w:r>
      <w:r w:rsidR="00A71C14" w:rsidRPr="001005B7">
        <w:rPr>
          <w:rFonts w:cstheme="minorHAnsi"/>
          <w:rtl/>
          <w:lang w:bidi="he-IL"/>
        </w:rPr>
        <w:t>גְּדו</w:t>
      </w:r>
      <w:r w:rsidR="00F96DDD" w:rsidRPr="001005B7">
        <w:rPr>
          <w:rFonts w:cstheme="minorHAnsi"/>
          <w:rtl/>
          <w:lang w:bidi="he-IL"/>
        </w:rPr>
        <w:t>ּפׇה</w:t>
      </w:r>
      <w:r w:rsidR="00F96DDD" w:rsidRPr="001005B7">
        <w:t>).</w:t>
      </w:r>
      <w:r w:rsidR="00EE647C" w:rsidRPr="001005B7">
        <w:rPr>
          <w:i/>
          <w:iCs/>
        </w:rPr>
        <w:t xml:space="preserve"> </w:t>
      </w:r>
      <w:r w:rsidR="00F96DDD" w:rsidRPr="001005B7">
        <w:t>T</w:t>
      </w:r>
      <w:r w:rsidR="00EE647C" w:rsidRPr="001005B7">
        <w:t>hen, m</w:t>
      </w:r>
      <w:r w:rsidR="0089436A" w:rsidRPr="001005B7">
        <w:rPr>
          <w:rFonts w:ascii="MinionPro-Regular" w:hAnsi="MinionPro-Regular" w:cs="MinionPro-Regular"/>
        </w:rPr>
        <w:t xml:space="preserve">ore interestingly, </w:t>
      </w:r>
      <w:r w:rsidR="007010C3" w:rsidRPr="001005B7">
        <w:rPr>
          <w:rFonts w:ascii="MinionPro-Regular" w:hAnsi="MinionPro-Regular" w:cs="MinionPro-Regular"/>
        </w:rPr>
        <w:t xml:space="preserve">this </w:t>
      </w:r>
      <w:r w:rsidR="00AC48CB" w:rsidRPr="001005B7">
        <w:rPr>
          <w:rFonts w:ascii="MinionPro-Regular" w:hAnsi="MinionPro-Regular" w:cs="MinionPro-Regular"/>
        </w:rPr>
        <w:t xml:space="preserve">restated double warning </w:t>
      </w:r>
      <w:r w:rsidR="0026281A" w:rsidRPr="001005B7">
        <w:rPr>
          <w:rFonts w:ascii="MinionPro-Regular" w:hAnsi="MinionPro-Regular" w:cs="MinionPro-Regular"/>
        </w:rPr>
        <w:t>leads into</w:t>
      </w:r>
      <w:r w:rsidR="00AC48CB" w:rsidRPr="001005B7">
        <w:rPr>
          <w:rFonts w:ascii="MinionPro-Regular" w:hAnsi="MinionPro-Regular" w:cs="MinionPro-Regular"/>
        </w:rPr>
        <w:t xml:space="preserve"> a</w:t>
      </w:r>
      <w:r w:rsidR="00515DD0" w:rsidRPr="001005B7">
        <w:rPr>
          <w:rFonts w:ascii="MinionPro-Regular" w:hAnsi="MinionPro-Regular" w:cs="MinionPro-Regular"/>
        </w:rPr>
        <w:t>nother</w:t>
      </w:r>
      <w:r w:rsidR="00AC48CB" w:rsidRPr="001005B7">
        <w:rPr>
          <w:rFonts w:ascii="MinionPro-Regular" w:hAnsi="MinionPro-Regular" w:cs="MinionPro-Regular"/>
        </w:rPr>
        <w:t xml:space="preserve"> different double warning</w:t>
      </w:r>
      <w:r w:rsidR="009C2C29" w:rsidRPr="001005B7">
        <w:rPr>
          <w:rFonts w:ascii="MinionPro-Regular" w:hAnsi="MinionPro-Regular" w:cs="MinionPro-Regular"/>
        </w:rPr>
        <w:t>, almost a piece of good news that qualifies the bad news</w:t>
      </w:r>
      <w:r w:rsidR="00AF3BF9" w:rsidRPr="001005B7">
        <w:rPr>
          <w:rFonts w:ascii="MinionPro-Regular" w:hAnsi="MinionPro-Regular" w:cs="MinionPro-Regular"/>
        </w:rPr>
        <w:t xml:space="preserve">. </w:t>
      </w:r>
      <w:r w:rsidR="003A3C4E" w:rsidRPr="001005B7">
        <w:rPr>
          <w:rFonts w:ascii="MinionPro-Regular" w:hAnsi="MinionPro-Regular" w:cs="MinionPro-Regular"/>
        </w:rPr>
        <w:t xml:space="preserve">Paradoxically, through being a </w:t>
      </w:r>
      <w:r w:rsidR="007E18A2" w:rsidRPr="001005B7">
        <w:rPr>
          <w:rFonts w:ascii="MinionPro-Regular" w:hAnsi="MinionPro-Regular" w:cs="MinionPro-Regular"/>
        </w:rPr>
        <w:t>“</w:t>
      </w:r>
      <w:r w:rsidR="003A3C4E" w:rsidRPr="001005B7">
        <w:rPr>
          <w:rFonts w:ascii="MinionPro-Regular" w:hAnsi="MinionPro-Regular" w:cs="MinionPro-Regular"/>
        </w:rPr>
        <w:t>desolation,</w:t>
      </w:r>
      <w:r w:rsidR="007E18A2" w:rsidRPr="001005B7">
        <w:rPr>
          <w:rFonts w:ascii="MinionPro-Regular" w:hAnsi="MinionPro-Regular" w:cs="MinionPro-Regular"/>
        </w:rPr>
        <w:t>”</w:t>
      </w:r>
      <w:r w:rsidR="003A3C4E" w:rsidRPr="001005B7">
        <w:rPr>
          <w:rFonts w:ascii="MinionPro-Regular" w:hAnsi="MinionPro-Regular" w:cs="MinionPro-Regular"/>
        </w:rPr>
        <w:t xml:space="preserve"> </w:t>
      </w:r>
      <w:r w:rsidR="00290AC6" w:rsidRPr="001005B7">
        <w:rPr>
          <w:rFonts w:ascii="MinionPro-Regular" w:hAnsi="MinionPro-Regular" w:cs="MinionPro-Regular"/>
        </w:rPr>
        <w:t>the city</w:t>
      </w:r>
      <w:r w:rsidR="003A3C4E" w:rsidRPr="001005B7">
        <w:rPr>
          <w:rFonts w:ascii="MinionPro-Regular" w:hAnsi="MinionPro-Regular" w:cs="MinionPro-Regular"/>
        </w:rPr>
        <w:t xml:space="preserve"> will be</w:t>
      </w:r>
      <w:r w:rsidR="00290AC6" w:rsidRPr="001005B7">
        <w:rPr>
          <w:rFonts w:ascii="MinionPro-Regular" w:hAnsi="MinionPro-Regular" w:cs="MinionPro-Regular"/>
        </w:rPr>
        <w:t xml:space="preserve">come </w:t>
      </w:r>
      <w:r w:rsidR="006542E2" w:rsidRPr="001005B7">
        <w:rPr>
          <w:rFonts w:ascii="MinionPro-Regular" w:hAnsi="MinionPro-Regular" w:cs="MinionPro-Regular"/>
        </w:rPr>
        <w:t xml:space="preserve">a </w:t>
      </w:r>
      <w:r w:rsidR="007E18A2" w:rsidRPr="001005B7">
        <w:rPr>
          <w:rFonts w:ascii="MinionPro-Regular" w:hAnsi="MinionPro-Regular" w:cs="MinionPro-Regular"/>
        </w:rPr>
        <w:t>“</w:t>
      </w:r>
      <w:r w:rsidR="006542E2" w:rsidRPr="001005B7">
        <w:rPr>
          <w:rFonts w:ascii="MinionPro-Regular" w:hAnsi="MinionPro-Regular" w:cs="MinionPro-Regular"/>
        </w:rPr>
        <w:t>correction</w:t>
      </w:r>
      <w:r w:rsidR="007E18A2" w:rsidRPr="001005B7">
        <w:rPr>
          <w:rFonts w:ascii="MinionPro-Regular" w:hAnsi="MinionPro-Regular" w:cs="MinionPro-Regular"/>
        </w:rPr>
        <w:t>”</w:t>
      </w:r>
      <w:r w:rsidR="006542E2" w:rsidRPr="001005B7">
        <w:rPr>
          <w:rFonts w:ascii="MinionPro-Regular" w:hAnsi="MinionPro-Regular" w:cs="MinionPro-Regular"/>
        </w:rPr>
        <w:t xml:space="preserve"> (</w:t>
      </w:r>
      <w:r w:rsidR="000C2C96" w:rsidRPr="001005B7">
        <w:rPr>
          <w:rFonts w:ascii="Calibri" w:hAnsi="Calibri" w:cs="Calibri"/>
          <w:rtl/>
          <w:lang w:bidi="he-IL"/>
        </w:rPr>
        <w:t>מוּ</w:t>
      </w:r>
      <w:r w:rsidR="00BC3C83" w:rsidRPr="001005B7">
        <w:rPr>
          <w:rFonts w:ascii="Calibri" w:hAnsi="Calibri" w:cs="Calibri"/>
          <w:rtl/>
          <w:lang w:bidi="he-IL"/>
        </w:rPr>
        <w:t>םָר</w:t>
      </w:r>
      <w:r w:rsidR="00CF7834" w:rsidRPr="001005B7">
        <w:rPr>
          <w:rFonts w:ascii="Calibri" w:hAnsi="Calibri" w:cs="Calibri"/>
        </w:rPr>
        <w:t>)</w:t>
      </w:r>
      <w:r w:rsidR="001D60A4" w:rsidRPr="001005B7">
        <w:rPr>
          <w:rFonts w:ascii="Calibri" w:hAnsi="Calibri" w:cs="Calibri"/>
        </w:rPr>
        <w:t>, an embodiment of discipline</w:t>
      </w:r>
      <w:r w:rsidR="00332991" w:rsidRPr="001005B7">
        <w:rPr>
          <w:rFonts w:ascii="Calibri" w:hAnsi="Calibri" w:cs="Calibri"/>
        </w:rPr>
        <w:t xml:space="preserve">, </w:t>
      </w:r>
      <w:r w:rsidR="000C54A7" w:rsidRPr="001005B7">
        <w:rPr>
          <w:rFonts w:ascii="Calibri" w:hAnsi="Calibri" w:cs="Calibri"/>
        </w:rPr>
        <w:t>chastening</w:t>
      </w:r>
      <w:r w:rsidR="00332991" w:rsidRPr="001005B7">
        <w:rPr>
          <w:rFonts w:ascii="Calibri" w:hAnsi="Calibri" w:cs="Calibri"/>
        </w:rPr>
        <w:t>,</w:t>
      </w:r>
      <w:r w:rsidR="000C54A7" w:rsidRPr="001005B7">
        <w:rPr>
          <w:rFonts w:ascii="Calibri" w:hAnsi="Calibri" w:cs="Calibri"/>
        </w:rPr>
        <w:t xml:space="preserve"> or </w:t>
      </w:r>
      <w:r w:rsidR="00E2724A" w:rsidRPr="001005B7">
        <w:rPr>
          <w:rFonts w:ascii="Calibri" w:hAnsi="Calibri" w:cs="Calibri"/>
        </w:rPr>
        <w:t>education</w:t>
      </w:r>
      <w:r w:rsidR="007751A3" w:rsidRPr="001005B7">
        <w:rPr>
          <w:rFonts w:ascii="Calibri" w:hAnsi="Calibri" w:cs="Calibri"/>
        </w:rPr>
        <w:t>. M</w:t>
      </w:r>
      <w:r w:rsidR="00EA4746" w:rsidRPr="001005B7">
        <w:rPr>
          <w:rFonts w:ascii="Calibri" w:hAnsi="Calibri" w:cs="Calibri"/>
        </w:rPr>
        <w:t>ost occurrences of the word come in Proverbs</w:t>
      </w:r>
      <w:r w:rsidR="00346311" w:rsidRPr="001005B7">
        <w:rPr>
          <w:rFonts w:ascii="Calibri" w:hAnsi="Calibri" w:cs="Calibri"/>
        </w:rPr>
        <w:t xml:space="preserve">. </w:t>
      </w:r>
      <w:r w:rsidR="00454D79" w:rsidRPr="001005B7">
        <w:rPr>
          <w:rFonts w:ascii="Calibri" w:hAnsi="Calibri" w:cs="Calibri"/>
        </w:rPr>
        <w:t>Jerusalem will have a teaching role after all</w:t>
      </w:r>
      <w:r w:rsidR="00B73C49" w:rsidRPr="001005B7">
        <w:rPr>
          <w:rFonts w:ascii="Calibri" w:hAnsi="Calibri" w:cs="Calibri"/>
        </w:rPr>
        <w:t>, even if as a</w:t>
      </w:r>
      <w:r w:rsidR="005A50FE" w:rsidRPr="001005B7">
        <w:rPr>
          <w:rFonts w:ascii="Calibri" w:hAnsi="Calibri" w:cs="Calibri"/>
        </w:rPr>
        <w:t xml:space="preserve"> </w:t>
      </w:r>
      <w:r w:rsidR="0009772E" w:rsidRPr="001005B7">
        <w:rPr>
          <w:rFonts w:ascii="Calibri" w:hAnsi="Calibri" w:cs="Calibri"/>
        </w:rPr>
        <w:t>solemn</w:t>
      </w:r>
      <w:r w:rsidR="005A50FE" w:rsidRPr="001005B7">
        <w:rPr>
          <w:rFonts w:ascii="Calibri" w:hAnsi="Calibri" w:cs="Calibri"/>
        </w:rPr>
        <w:t xml:space="preserve"> object lesson</w:t>
      </w:r>
      <w:r w:rsidR="00C6302B" w:rsidRPr="001005B7">
        <w:rPr>
          <w:rFonts w:ascii="Calibri" w:hAnsi="Calibri" w:cs="Calibri"/>
        </w:rPr>
        <w:t xml:space="preserve"> (</w:t>
      </w:r>
      <w:r w:rsidR="00C6302B" w:rsidRPr="001005B7">
        <w:t>Odell, 71),</w:t>
      </w:r>
      <w:r w:rsidR="005A50FE" w:rsidRPr="001005B7">
        <w:rPr>
          <w:rFonts w:ascii="Calibri" w:hAnsi="Calibri" w:cs="Calibri"/>
        </w:rPr>
        <w:t xml:space="preserve"> </w:t>
      </w:r>
      <w:r w:rsidR="0009772E" w:rsidRPr="001005B7">
        <w:rPr>
          <w:rFonts w:ascii="Calibri" w:hAnsi="Calibri" w:cs="Calibri"/>
        </w:rPr>
        <w:t>a</w:t>
      </w:r>
      <w:r w:rsidR="00D178BB" w:rsidRPr="001005B7">
        <w:rPr>
          <w:rFonts w:cstheme="minorHAnsi"/>
        </w:rPr>
        <w:t xml:space="preserve"> warning</w:t>
      </w:r>
      <w:r w:rsidR="00B73C49" w:rsidRPr="001005B7">
        <w:rPr>
          <w:rFonts w:cstheme="minorHAnsi"/>
        </w:rPr>
        <w:t xml:space="preserve"> rather than</w:t>
      </w:r>
      <w:r w:rsidR="00D178BB" w:rsidRPr="001005B7">
        <w:rPr>
          <w:rFonts w:cstheme="minorHAnsi"/>
        </w:rPr>
        <w:t xml:space="preserve"> a witness</w:t>
      </w:r>
      <w:r w:rsidR="000D7387" w:rsidRPr="001005B7">
        <w:rPr>
          <w:rFonts w:cstheme="minorHAnsi"/>
        </w:rPr>
        <w:t xml:space="preserve"> (</w:t>
      </w:r>
      <w:r w:rsidR="000D7387" w:rsidRPr="001005B7">
        <w:t>Taylor,</w:t>
      </w:r>
      <w:r w:rsidR="000D7387" w:rsidRPr="001005B7">
        <w:rPr>
          <w:i/>
          <w:iCs/>
        </w:rPr>
        <w:t xml:space="preserve"> </w:t>
      </w:r>
      <w:r w:rsidR="000D7387" w:rsidRPr="001005B7">
        <w:t>88).</w:t>
      </w:r>
      <w:r w:rsidR="00F52384" w:rsidRPr="001005B7">
        <w:t xml:space="preserve"> Calvin </w:t>
      </w:r>
      <w:r w:rsidR="00141F74" w:rsidRPr="001005B7">
        <w:t xml:space="preserve">(1:212) </w:t>
      </w:r>
      <w:r w:rsidR="00F52384" w:rsidRPr="001005B7">
        <w:t>comments:</w:t>
      </w:r>
    </w:p>
    <w:p w14:paraId="7B911E51" w14:textId="77777777" w:rsidR="001E5F01" w:rsidRPr="001005B7" w:rsidRDefault="001E5F01" w:rsidP="009844DD"/>
    <w:p w14:paraId="45783C26" w14:textId="2E9BBA7C" w:rsidR="0019742F" w:rsidRPr="001005B7" w:rsidRDefault="001317CD" w:rsidP="0019742F">
      <w:pPr>
        <w:ind w:left="720" w:firstLine="0"/>
        <w:rPr>
          <w:rFonts w:ascii="MinionPro-Regular" w:hAnsi="MinionPro-Regular" w:cs="MinionPro-Regular"/>
        </w:rPr>
      </w:pPr>
      <w:r w:rsidRPr="001005B7">
        <w:rPr>
          <w:rFonts w:ascii="MinionPro-Regular" w:hAnsi="MinionPro-Regular" w:cs="MinionPro-Regular"/>
        </w:rPr>
        <w:t>When,</w:t>
      </w:r>
      <w:r w:rsidR="009844DD" w:rsidRPr="001005B7">
        <w:rPr>
          <w:rFonts w:ascii="MinionPro-Regular" w:hAnsi="MinionPro-Regular" w:cs="MinionPro-Regular"/>
        </w:rPr>
        <w:t xml:space="preserve"> </w:t>
      </w:r>
      <w:r w:rsidRPr="001005B7">
        <w:rPr>
          <w:rFonts w:ascii="MinionPro-Regular" w:hAnsi="MinionPro-Regular" w:cs="MinionPro-Regular"/>
        </w:rPr>
        <w:t>therefore, God chastises his people, if they repent, they are said to profit by his discipline,</w:t>
      </w:r>
      <w:r w:rsidR="001E5F01" w:rsidRPr="001005B7">
        <w:rPr>
          <w:rFonts w:ascii="MinionPro-Regular" w:hAnsi="MinionPro-Regular" w:cs="MinionPro-Regular"/>
        </w:rPr>
        <w:t xml:space="preserve"> </w:t>
      </w:r>
      <w:r w:rsidRPr="001005B7">
        <w:rPr>
          <w:rFonts w:ascii="MinionPro-Regular" w:hAnsi="MinionPro-Regular" w:cs="MinionPro-Regular"/>
        </w:rPr>
        <w:t>since they have learnt themselves to be sinners by the punishments which he has inflicted</w:t>
      </w:r>
      <w:r w:rsidR="00515083" w:rsidRPr="001005B7">
        <w:rPr>
          <w:rFonts w:ascii="MinionPro-Regular" w:hAnsi="MinionPro-Regular" w:cs="MinionPro-Regular"/>
        </w:rPr>
        <w:t xml:space="preserve"> </w:t>
      </w:r>
      <w:r w:rsidRPr="001005B7">
        <w:rPr>
          <w:rFonts w:ascii="MinionPro-Regular" w:hAnsi="MinionPro-Regular" w:cs="MinionPro-Regular"/>
        </w:rPr>
        <w:t xml:space="preserve">on them. But he says that the Jews </w:t>
      </w:r>
      <w:r w:rsidRPr="001005B7">
        <w:rPr>
          <w:rFonts w:ascii="MinionPro-It" w:hAnsi="MinionPro-It" w:cs="MinionPro-It"/>
          <w:i/>
          <w:iCs/>
        </w:rPr>
        <w:t xml:space="preserve">should be a correction to the profane nations, </w:t>
      </w:r>
      <w:r w:rsidRPr="001005B7">
        <w:rPr>
          <w:rFonts w:ascii="MinionPro-Regular" w:hAnsi="MinionPro-Regular" w:cs="MinionPro-Regular"/>
        </w:rPr>
        <w:t>because</w:t>
      </w:r>
      <w:r w:rsidR="001E5F01" w:rsidRPr="001005B7">
        <w:rPr>
          <w:rFonts w:ascii="MinionPro-Regular" w:hAnsi="MinionPro-Regular" w:cs="MinionPro-Regular"/>
        </w:rPr>
        <w:t xml:space="preserve"> </w:t>
      </w:r>
      <w:r w:rsidRPr="001005B7">
        <w:rPr>
          <w:rFonts w:ascii="MinionPro-Regular" w:hAnsi="MinionPro-Regular" w:cs="MinionPro-Regular"/>
        </w:rPr>
        <w:t>they should grow wise by their punishments; for while we apply examples to our use, this</w:t>
      </w:r>
      <w:r w:rsidR="00933DC8" w:rsidRPr="001005B7">
        <w:rPr>
          <w:rFonts w:ascii="MinionPro-Regular" w:hAnsi="MinionPro-Regular" w:cs="MinionPro-Regular"/>
        </w:rPr>
        <w:t xml:space="preserve"> </w:t>
      </w:r>
      <w:r w:rsidRPr="001005B7">
        <w:rPr>
          <w:rFonts w:ascii="MinionPro-Regular" w:hAnsi="MinionPro-Regular" w:cs="MinionPro-Regular"/>
        </w:rPr>
        <w:t>is a timely correction, since we do not wait till God strikes us; but when he takes vengeance</w:t>
      </w:r>
      <w:r w:rsidR="00933DC8" w:rsidRPr="001005B7">
        <w:rPr>
          <w:rFonts w:ascii="MinionPro-Regular" w:hAnsi="MinionPro-Regular" w:cs="MinionPro-Regular"/>
        </w:rPr>
        <w:t xml:space="preserve"> </w:t>
      </w:r>
      <w:r w:rsidRPr="001005B7">
        <w:rPr>
          <w:rFonts w:ascii="MinionPro-Regular" w:hAnsi="MinionPro-Regular" w:cs="MinionPro-Regular"/>
        </w:rPr>
        <w:t>on the despisers of his law at a distance, if we are moved by such examples, this is, as I said,</w:t>
      </w:r>
      <w:r w:rsidR="00933DC8" w:rsidRPr="001005B7">
        <w:rPr>
          <w:rFonts w:ascii="MinionPro-Regular" w:hAnsi="MinionPro-Regular" w:cs="MinionPro-Regular"/>
        </w:rPr>
        <w:t xml:space="preserve"> </w:t>
      </w:r>
      <w:r w:rsidRPr="001005B7">
        <w:rPr>
          <w:rFonts w:ascii="MinionPro-Regular" w:hAnsi="MinionPro-Regular" w:cs="MinionPro-Regular"/>
        </w:rPr>
        <w:t>correction in good time: for the Prophet now applies it to the nations, not without the disgrace</w:t>
      </w:r>
      <w:r w:rsidR="00933DC8" w:rsidRPr="001005B7">
        <w:rPr>
          <w:rFonts w:ascii="MinionPro-Regular" w:hAnsi="MinionPro-Regular" w:cs="MinionPro-Regular"/>
        </w:rPr>
        <w:t xml:space="preserve"> </w:t>
      </w:r>
      <w:r w:rsidRPr="001005B7">
        <w:rPr>
          <w:rFonts w:ascii="MinionPro-Regular" w:hAnsi="MinionPro-Regular" w:cs="MinionPro-Regular"/>
        </w:rPr>
        <w:t>of the elect people: as if he had said that their punishment would be so notorious that the</w:t>
      </w:r>
      <w:r w:rsidR="00933DC8" w:rsidRPr="001005B7">
        <w:rPr>
          <w:rFonts w:ascii="MinionPro-Regular" w:hAnsi="MinionPro-Regular" w:cs="MinionPro-Regular"/>
        </w:rPr>
        <w:t xml:space="preserve"> </w:t>
      </w:r>
      <w:r w:rsidRPr="001005B7">
        <w:rPr>
          <w:rFonts w:ascii="MinionPro-Regular" w:hAnsi="MinionPro-Regular" w:cs="MinionPro-Regular"/>
        </w:rPr>
        <w:t>very blind would recognize them, and tremble at the perception of their import</w:t>
      </w:r>
      <w:r w:rsidR="00F562DD" w:rsidRPr="001005B7">
        <w:rPr>
          <w:rFonts w:ascii="MinionPro-Regular" w:hAnsi="MinionPro-Regular" w:cs="MinionPro-Regular"/>
        </w:rPr>
        <w:t>.</w:t>
      </w:r>
      <w:r w:rsidR="001E08F5" w:rsidRPr="001005B7">
        <w:rPr>
          <w:rFonts w:ascii="MinionPro-Regular" w:hAnsi="MinionPro-Regular" w:cs="MinionPro-Regular"/>
        </w:rPr>
        <w:t xml:space="preserve"> </w:t>
      </w:r>
    </w:p>
    <w:p w14:paraId="44AD2CD2" w14:textId="77777777" w:rsidR="0019742F" w:rsidRPr="001005B7" w:rsidRDefault="0019742F" w:rsidP="0019742F">
      <w:pPr>
        <w:ind w:left="720" w:firstLine="0"/>
        <w:rPr>
          <w:rFonts w:cstheme="minorHAnsi"/>
        </w:rPr>
      </w:pPr>
    </w:p>
    <w:p w14:paraId="100ACA46" w14:textId="6172A311" w:rsidR="00103340" w:rsidRPr="001005B7" w:rsidRDefault="0019742F" w:rsidP="009F043C">
      <w:pPr>
        <w:rPr>
          <w:rFonts w:cstheme="minorHAnsi"/>
        </w:rPr>
      </w:pPr>
      <w:r w:rsidRPr="001005B7">
        <w:rPr>
          <w:b/>
          <w:bCs/>
        </w:rPr>
        <w:t>5:16</w:t>
      </w:r>
      <w:r w:rsidR="00F46900" w:rsidRPr="001005B7">
        <w:rPr>
          <w:b/>
          <w:bCs/>
        </w:rPr>
        <w:t>–</w:t>
      </w:r>
      <w:r w:rsidRPr="001005B7">
        <w:rPr>
          <w:b/>
          <w:bCs/>
        </w:rPr>
        <w:t>17</w:t>
      </w:r>
      <w:r w:rsidR="00A84C0C" w:rsidRPr="001005B7">
        <w:rPr>
          <w:b/>
          <w:bCs/>
        </w:rPr>
        <w:t xml:space="preserve"> </w:t>
      </w:r>
      <w:r w:rsidR="00A84C0C" w:rsidRPr="001005B7">
        <w:t xml:space="preserve">Finally, Yahweh returns from </w:t>
      </w:r>
      <w:r w:rsidR="00F62227" w:rsidRPr="001005B7">
        <w:t xml:space="preserve">the </w:t>
      </w:r>
      <w:r w:rsidR="00A84C0C" w:rsidRPr="001005B7">
        <w:t xml:space="preserve">city to its people. </w:t>
      </w:r>
      <w:r w:rsidR="005936FA" w:rsidRPr="001005B7">
        <w:t>“</w:t>
      </w:r>
      <w:r w:rsidR="00F520B5" w:rsidRPr="001005B7">
        <w:t>Dire</w:t>
      </w:r>
      <w:r w:rsidR="00F520B5" w:rsidRPr="001005B7">
        <w:rPr>
          <w:i/>
          <w:iCs/>
        </w:rPr>
        <w:t xml:space="preserve"> </w:t>
      </w:r>
      <w:r w:rsidR="00F520B5" w:rsidRPr="001005B7">
        <w:t>famine</w:t>
      </w:r>
      <w:r w:rsidR="00F520B5" w:rsidRPr="001005B7">
        <w:rPr>
          <w:i/>
          <w:iCs/>
        </w:rPr>
        <w:t xml:space="preserve"> </w:t>
      </w:r>
      <w:r w:rsidR="00F520B5" w:rsidRPr="001005B7">
        <w:t>arrows</w:t>
      </w:r>
      <w:r w:rsidR="005936FA" w:rsidRPr="001005B7">
        <w:t>”</w:t>
      </w:r>
      <w:r w:rsidR="00F520B5" w:rsidRPr="001005B7">
        <w:t xml:space="preserve"> presum</w:t>
      </w:r>
      <w:r w:rsidR="009859B4" w:rsidRPr="001005B7">
        <w:t>a</w:t>
      </w:r>
      <w:r w:rsidR="00F520B5" w:rsidRPr="001005B7">
        <w:t>bly implies</w:t>
      </w:r>
      <w:r w:rsidR="009859B4" w:rsidRPr="001005B7">
        <w:t xml:space="preserve"> famine as </w:t>
      </w:r>
      <w:r w:rsidR="00F23D9F" w:rsidRPr="001005B7">
        <w:t>deadly as</w:t>
      </w:r>
      <w:r w:rsidR="009859B4" w:rsidRPr="001005B7">
        <w:t xml:space="preserve"> arrows or arrows as deadly as famine</w:t>
      </w:r>
      <w:r w:rsidR="00984C0E" w:rsidRPr="001005B7">
        <w:t xml:space="preserve">—the words come together in </w:t>
      </w:r>
      <w:r w:rsidR="002955C0" w:rsidRPr="001005B7">
        <w:t>Yahweh’s threat in Deut 32:23</w:t>
      </w:r>
      <w:r w:rsidR="00F46900" w:rsidRPr="001005B7">
        <w:t>–</w:t>
      </w:r>
      <w:r w:rsidR="00952F1E" w:rsidRPr="001005B7">
        <w:t>24</w:t>
      </w:r>
      <w:r w:rsidR="00B46F6B" w:rsidRPr="001005B7">
        <w:t xml:space="preserve">, along with other perils such as </w:t>
      </w:r>
      <w:r w:rsidR="00EA6FD3" w:rsidRPr="001005B7">
        <w:t xml:space="preserve">epidemic, sword, </w:t>
      </w:r>
      <w:r w:rsidR="00621046" w:rsidRPr="001005B7">
        <w:t xml:space="preserve">bereavement, </w:t>
      </w:r>
      <w:r w:rsidR="00EA6FD3" w:rsidRPr="001005B7">
        <w:t xml:space="preserve">and </w:t>
      </w:r>
      <w:r w:rsidR="00B46F6B" w:rsidRPr="001005B7">
        <w:t>animals</w:t>
      </w:r>
      <w:r w:rsidR="00D63E00" w:rsidRPr="001005B7">
        <w:t xml:space="preserve"> (Greenberg</w:t>
      </w:r>
      <w:r w:rsidR="008F57D9" w:rsidRPr="001005B7">
        <w:t>,</w:t>
      </w:r>
      <w:r w:rsidR="00315B2F" w:rsidRPr="001005B7">
        <w:t xml:space="preserve"> 1:</w:t>
      </w:r>
      <w:r w:rsidR="00D63E00" w:rsidRPr="001005B7">
        <w:t>116; see also Block</w:t>
      </w:r>
      <w:r w:rsidR="008F57D9" w:rsidRPr="001005B7">
        <w:t>,</w:t>
      </w:r>
      <w:r w:rsidR="00D63E00" w:rsidRPr="001005B7">
        <w:rPr>
          <w:i/>
          <w:iCs/>
        </w:rPr>
        <w:t xml:space="preserve"> </w:t>
      </w:r>
      <w:r w:rsidR="00D63E00" w:rsidRPr="001005B7">
        <w:t>1:212</w:t>
      </w:r>
      <w:r w:rsidR="00F46900" w:rsidRPr="001005B7">
        <w:t>–</w:t>
      </w:r>
      <w:r w:rsidR="00D63E00" w:rsidRPr="001005B7">
        <w:t>14</w:t>
      </w:r>
      <w:r w:rsidR="00315B2F" w:rsidRPr="001005B7">
        <w:t>)</w:t>
      </w:r>
      <w:r w:rsidR="00D63E00" w:rsidRPr="001005B7">
        <w:t>.</w:t>
      </w:r>
      <w:r w:rsidR="009C6666" w:rsidRPr="001005B7">
        <w:t xml:space="preserve"> </w:t>
      </w:r>
      <w:r w:rsidR="00B14131" w:rsidRPr="001005B7">
        <w:t xml:space="preserve">Additionally, </w:t>
      </w:r>
      <w:r w:rsidR="004C2574" w:rsidRPr="001005B7">
        <w:t xml:space="preserve">Yahweh again </w:t>
      </w:r>
      <w:r w:rsidR="006F584C" w:rsidRPr="001005B7">
        <w:t xml:space="preserve">incorporates expressions from </w:t>
      </w:r>
      <w:r w:rsidR="009C6666" w:rsidRPr="001005B7">
        <w:rPr>
          <w:rFonts w:cstheme="minorHAnsi"/>
        </w:rPr>
        <w:t>Lev 26:</w:t>
      </w:r>
      <w:r w:rsidR="00B734C5" w:rsidRPr="001005B7">
        <w:rPr>
          <w:rFonts w:cstheme="minorHAnsi"/>
        </w:rPr>
        <w:t>2</w:t>
      </w:r>
      <w:r w:rsidR="0024025D" w:rsidRPr="001005B7">
        <w:rPr>
          <w:rFonts w:cstheme="minorHAnsi"/>
        </w:rPr>
        <w:t>1</w:t>
      </w:r>
      <w:r w:rsidR="00F46900" w:rsidRPr="001005B7">
        <w:rPr>
          <w:rFonts w:cstheme="minorHAnsi"/>
        </w:rPr>
        <w:t>–</w:t>
      </w:r>
      <w:r w:rsidR="0024025D" w:rsidRPr="001005B7">
        <w:rPr>
          <w:rFonts w:cstheme="minorHAnsi"/>
        </w:rPr>
        <w:t>26.</w:t>
      </w:r>
    </w:p>
    <w:p w14:paraId="3785C958" w14:textId="77777777" w:rsidR="008A320E" w:rsidRPr="001005B7" w:rsidRDefault="008A320E" w:rsidP="00493833">
      <w:pPr>
        <w:pStyle w:val="Heading3"/>
      </w:pPr>
      <w:r w:rsidRPr="001005B7">
        <w:t xml:space="preserve">Biblical Theology Comments </w:t>
      </w:r>
    </w:p>
    <w:p w14:paraId="2B7F959D" w14:textId="35ED1C42" w:rsidR="00087619" w:rsidRPr="001005B7" w:rsidRDefault="00ED2422" w:rsidP="00846AFC">
      <w:pPr>
        <w:pStyle w:val="Quote"/>
        <w:rPr>
          <w:color w:val="auto"/>
        </w:rPr>
      </w:pPr>
      <w:r w:rsidRPr="001005B7">
        <w:rPr>
          <w:color w:val="auto"/>
        </w:rPr>
        <w:t>God’s wrath is rev</w:t>
      </w:r>
      <w:r w:rsidR="00D607C2" w:rsidRPr="001005B7">
        <w:rPr>
          <w:color w:val="auto"/>
        </w:rPr>
        <w:t>ealed from heaven on all impiety</w:t>
      </w:r>
      <w:r w:rsidR="009704CB" w:rsidRPr="001005B7">
        <w:rPr>
          <w:color w:val="auto"/>
        </w:rPr>
        <w:t xml:space="preserve"> and </w:t>
      </w:r>
      <w:r w:rsidR="004D28D1" w:rsidRPr="001005B7">
        <w:rPr>
          <w:color w:val="auto"/>
        </w:rPr>
        <w:t>wrongdoing</w:t>
      </w:r>
      <w:r w:rsidR="009704CB" w:rsidRPr="001005B7">
        <w:rPr>
          <w:color w:val="auto"/>
        </w:rPr>
        <w:t xml:space="preserve"> of human beings who </w:t>
      </w:r>
      <w:r w:rsidR="0080091C" w:rsidRPr="001005B7">
        <w:rPr>
          <w:color w:val="auto"/>
        </w:rPr>
        <w:t xml:space="preserve">hold down the truth </w:t>
      </w:r>
      <w:r w:rsidR="00B4609F" w:rsidRPr="001005B7">
        <w:rPr>
          <w:color w:val="auto"/>
        </w:rPr>
        <w:t>through</w:t>
      </w:r>
      <w:r w:rsidR="0080091C" w:rsidRPr="001005B7">
        <w:rPr>
          <w:color w:val="auto"/>
        </w:rPr>
        <w:t xml:space="preserve"> </w:t>
      </w:r>
      <w:r w:rsidR="00A45644" w:rsidRPr="001005B7">
        <w:rPr>
          <w:color w:val="auto"/>
        </w:rPr>
        <w:t>wrongdoing</w:t>
      </w:r>
      <w:r w:rsidR="000A33EA" w:rsidRPr="001005B7">
        <w:rPr>
          <w:color w:val="auto"/>
        </w:rPr>
        <w:t xml:space="preserve">, because what can be known of God is manifest </w:t>
      </w:r>
      <w:r w:rsidR="002E7095" w:rsidRPr="001005B7">
        <w:rPr>
          <w:color w:val="auto"/>
        </w:rPr>
        <w:t>among</w:t>
      </w:r>
      <w:r w:rsidR="000A33EA" w:rsidRPr="001005B7">
        <w:rPr>
          <w:color w:val="auto"/>
        </w:rPr>
        <w:t xml:space="preserve"> them</w:t>
      </w:r>
      <w:r w:rsidR="002E7095" w:rsidRPr="001005B7">
        <w:rPr>
          <w:color w:val="auto"/>
        </w:rPr>
        <w:t>” (Rom 1:</w:t>
      </w:r>
      <w:r w:rsidR="00772E74" w:rsidRPr="001005B7">
        <w:rPr>
          <w:color w:val="auto"/>
        </w:rPr>
        <w:t>18</w:t>
      </w:r>
      <w:r w:rsidR="00F46900" w:rsidRPr="001005B7">
        <w:rPr>
          <w:color w:val="auto"/>
        </w:rPr>
        <w:t>–</w:t>
      </w:r>
      <w:r w:rsidR="00772E74" w:rsidRPr="001005B7">
        <w:rPr>
          <w:color w:val="auto"/>
        </w:rPr>
        <w:t xml:space="preserve">19). </w:t>
      </w:r>
    </w:p>
    <w:p w14:paraId="14545C5A" w14:textId="7975F87C" w:rsidR="00211576" w:rsidRPr="001005B7" w:rsidRDefault="00CD5CB8" w:rsidP="009F043C">
      <w:pPr>
        <w:rPr>
          <w:rFonts w:cstheme="minorHAnsi"/>
        </w:rPr>
      </w:pPr>
      <w:r w:rsidRPr="001005B7">
        <w:rPr>
          <w:rFonts w:cstheme="minorHAnsi"/>
        </w:rPr>
        <w:t>God’s</w:t>
      </w:r>
      <w:r w:rsidR="00FF444A" w:rsidRPr="001005B7">
        <w:rPr>
          <w:rFonts w:cstheme="minorHAnsi"/>
        </w:rPr>
        <w:t xml:space="preserve"> </w:t>
      </w:r>
      <w:r w:rsidR="00704B3B" w:rsidRPr="001005B7">
        <w:rPr>
          <w:rFonts w:cstheme="minorHAnsi"/>
        </w:rPr>
        <w:t xml:space="preserve">wrath with his people is a prominent theme in </w:t>
      </w:r>
      <w:r w:rsidR="0079539D" w:rsidRPr="001005B7">
        <w:rPr>
          <w:rFonts w:cstheme="minorHAnsi"/>
        </w:rPr>
        <w:t>both</w:t>
      </w:r>
      <w:r w:rsidR="00087619" w:rsidRPr="001005B7">
        <w:rPr>
          <w:rFonts w:cstheme="minorHAnsi"/>
        </w:rPr>
        <w:t xml:space="preserve"> Testament</w:t>
      </w:r>
      <w:r w:rsidR="0079539D" w:rsidRPr="001005B7">
        <w:rPr>
          <w:rFonts w:cstheme="minorHAnsi"/>
        </w:rPr>
        <w:t>s</w:t>
      </w:r>
      <w:r w:rsidR="00490719" w:rsidRPr="001005B7">
        <w:rPr>
          <w:rFonts w:cstheme="minorHAnsi"/>
        </w:rPr>
        <w:t xml:space="preserve">. Whatever </w:t>
      </w:r>
      <w:r w:rsidR="007B122B" w:rsidRPr="001005B7">
        <w:rPr>
          <w:rFonts w:cstheme="minorHAnsi"/>
        </w:rPr>
        <w:t>Ezekiel’s</w:t>
      </w:r>
      <w:r w:rsidR="00490719" w:rsidRPr="001005B7">
        <w:rPr>
          <w:rFonts w:cstheme="minorHAnsi"/>
        </w:rPr>
        <w:t xml:space="preserve"> subject</w:t>
      </w:r>
      <w:r w:rsidR="007B122B" w:rsidRPr="001005B7">
        <w:rPr>
          <w:rFonts w:cstheme="minorHAnsi"/>
        </w:rPr>
        <w:t>,</w:t>
      </w:r>
      <w:r w:rsidR="00EC401B" w:rsidRPr="001005B7">
        <w:rPr>
          <w:rFonts w:cstheme="minorHAnsi"/>
        </w:rPr>
        <w:t xml:space="preserve"> he</w:t>
      </w:r>
      <w:r w:rsidR="005C41E6" w:rsidRPr="001005B7">
        <w:rPr>
          <w:rFonts w:cstheme="minorHAnsi"/>
        </w:rPr>
        <w:t xml:space="preserve"> </w:t>
      </w:r>
      <w:r w:rsidR="00AA0017" w:rsidRPr="001005B7">
        <w:rPr>
          <w:rFonts w:cstheme="minorHAnsi"/>
        </w:rPr>
        <w:t xml:space="preserve">expounds it forcefully, </w:t>
      </w:r>
      <w:r w:rsidR="005B59E0" w:rsidRPr="001005B7">
        <w:rPr>
          <w:rFonts w:cstheme="minorHAnsi"/>
        </w:rPr>
        <w:t xml:space="preserve">and </w:t>
      </w:r>
      <w:r w:rsidR="005C41E6" w:rsidRPr="001005B7">
        <w:rPr>
          <w:rFonts w:cstheme="minorHAnsi"/>
        </w:rPr>
        <w:t xml:space="preserve">this chapter makes </w:t>
      </w:r>
      <w:r w:rsidR="00A527EC" w:rsidRPr="001005B7">
        <w:rPr>
          <w:rFonts w:cstheme="minorHAnsi"/>
        </w:rPr>
        <w:t xml:space="preserve">full use of the several Hebrew words for </w:t>
      </w:r>
      <w:r w:rsidR="00D7498C" w:rsidRPr="001005B7">
        <w:rPr>
          <w:rFonts w:cstheme="minorHAnsi"/>
        </w:rPr>
        <w:t>wrath</w:t>
      </w:r>
      <w:r w:rsidR="00BC52AA" w:rsidRPr="001005B7">
        <w:rPr>
          <w:rFonts w:cstheme="minorHAnsi"/>
        </w:rPr>
        <w:t xml:space="preserve">. </w:t>
      </w:r>
      <w:r w:rsidR="00EC6584" w:rsidRPr="001005B7">
        <w:rPr>
          <w:rFonts w:cstheme="minorHAnsi"/>
        </w:rPr>
        <w:t xml:space="preserve">In </w:t>
      </w:r>
      <w:r w:rsidR="00BC52AA" w:rsidRPr="001005B7">
        <w:rPr>
          <w:rFonts w:cstheme="minorHAnsi"/>
        </w:rPr>
        <w:t>Ezekiel</w:t>
      </w:r>
      <w:r w:rsidR="00E37485" w:rsidRPr="001005B7">
        <w:rPr>
          <w:rFonts w:cstheme="minorHAnsi"/>
        </w:rPr>
        <w:t>,</w:t>
      </w:r>
      <w:r w:rsidR="00BC52AA" w:rsidRPr="001005B7">
        <w:rPr>
          <w:rFonts w:cstheme="minorHAnsi"/>
        </w:rPr>
        <w:t xml:space="preserve"> Romans</w:t>
      </w:r>
      <w:r w:rsidR="00000B2F" w:rsidRPr="001005B7">
        <w:rPr>
          <w:rFonts w:cstheme="minorHAnsi"/>
        </w:rPr>
        <w:t>,</w:t>
      </w:r>
      <w:r w:rsidR="00BC52AA" w:rsidRPr="001005B7">
        <w:rPr>
          <w:rFonts w:cstheme="minorHAnsi"/>
        </w:rPr>
        <w:t xml:space="preserve"> </w:t>
      </w:r>
      <w:r w:rsidR="00E37485" w:rsidRPr="001005B7">
        <w:rPr>
          <w:rFonts w:cstheme="minorHAnsi"/>
        </w:rPr>
        <w:t>and elsewhere</w:t>
      </w:r>
      <w:r w:rsidR="00BC52AA" w:rsidRPr="001005B7">
        <w:rPr>
          <w:rFonts w:cstheme="minorHAnsi"/>
        </w:rPr>
        <w:t>, it</w:t>
      </w:r>
      <w:r w:rsidR="006737AB" w:rsidRPr="001005B7">
        <w:rPr>
          <w:rFonts w:cstheme="minorHAnsi"/>
        </w:rPr>
        <w:t>’</w:t>
      </w:r>
      <w:r w:rsidR="00BC52AA" w:rsidRPr="001005B7">
        <w:rPr>
          <w:rFonts w:cstheme="minorHAnsi"/>
        </w:rPr>
        <w:t xml:space="preserve">s easy to see </w:t>
      </w:r>
      <w:r w:rsidR="00310096" w:rsidRPr="001005B7">
        <w:rPr>
          <w:rFonts w:cstheme="minorHAnsi"/>
        </w:rPr>
        <w:t xml:space="preserve">that </w:t>
      </w:r>
      <w:r w:rsidR="00DB78EA" w:rsidRPr="001005B7">
        <w:rPr>
          <w:rFonts w:cstheme="minorHAnsi"/>
        </w:rPr>
        <w:t xml:space="preserve">the </w:t>
      </w:r>
      <w:r w:rsidR="00310096" w:rsidRPr="001005B7">
        <w:rPr>
          <w:rFonts w:cstheme="minorHAnsi"/>
        </w:rPr>
        <w:t xml:space="preserve">people go </w:t>
      </w:r>
      <w:r w:rsidR="00000B2F" w:rsidRPr="001005B7">
        <w:rPr>
          <w:rFonts w:cstheme="minorHAnsi"/>
        </w:rPr>
        <w:t xml:space="preserve">radically wrong </w:t>
      </w:r>
      <w:r w:rsidR="00E37485" w:rsidRPr="001005B7">
        <w:rPr>
          <w:rFonts w:cstheme="minorHAnsi"/>
        </w:rPr>
        <w:t>in their relationship with God</w:t>
      </w:r>
      <w:r w:rsidR="00EC6584" w:rsidRPr="001005B7">
        <w:rPr>
          <w:rFonts w:cstheme="minorHAnsi"/>
        </w:rPr>
        <w:t>. T</w:t>
      </w:r>
      <w:r w:rsidR="00DB78EA" w:rsidRPr="001005B7">
        <w:rPr>
          <w:rFonts w:cstheme="minorHAnsi"/>
        </w:rPr>
        <w:t xml:space="preserve">hey seem willfully to </w:t>
      </w:r>
      <w:r w:rsidR="00BF15AB" w:rsidRPr="001005B7">
        <w:rPr>
          <w:rFonts w:cstheme="minorHAnsi"/>
        </w:rPr>
        <w:t xml:space="preserve">ignore what he tells them about himself. But why </w:t>
      </w:r>
      <w:r w:rsidR="00691C53" w:rsidRPr="001005B7">
        <w:rPr>
          <w:rFonts w:cstheme="minorHAnsi"/>
        </w:rPr>
        <w:t>does he get angry</w:t>
      </w:r>
      <w:r w:rsidR="00DB40E4" w:rsidRPr="001005B7">
        <w:rPr>
          <w:rFonts w:cstheme="minorHAnsi"/>
        </w:rPr>
        <w:t>, so angry it makes people want to run away as fast as they can (Matt 3:17)?</w:t>
      </w:r>
    </w:p>
    <w:p w14:paraId="53AD04C8" w14:textId="0C36FA8D" w:rsidR="00693812" w:rsidRPr="001005B7" w:rsidRDefault="00693812" w:rsidP="00693812">
      <w:r w:rsidRPr="001005B7">
        <w:t>In bringing calamity on his people, God’s aim is not exactly “judgment.” Hebrew does not really have a word for judgment. The First Testament does not work with a Western-type quasi-judicial or quasi-legal understanding of God’s relationship with his people, but more with something like a familial understanding</w:t>
      </w:r>
      <w:r w:rsidR="00644BAA" w:rsidRPr="001005B7">
        <w:t xml:space="preserve"> (see further the section on “Who God Is” in the introduction to this commentary)</w:t>
      </w:r>
      <w:r w:rsidRPr="001005B7">
        <w:t>. Likewise the First Testament does not really have a word for punishment or retribution in a Western-type quasi-legal sense. Insofar as it thinks in terms of punishment, it again thinks more in familial terms</w:t>
      </w:r>
      <w:r w:rsidR="006C36AC" w:rsidRPr="001005B7">
        <w:t xml:space="preserve">—in </w:t>
      </w:r>
      <w:r w:rsidR="0031018A" w:rsidRPr="001005B7">
        <w:t>covenantal terms</w:t>
      </w:r>
      <w:r w:rsidRPr="001005B7">
        <w:t>.</w:t>
      </w:r>
      <w:r w:rsidR="0031018A" w:rsidRPr="001005B7">
        <w:rPr>
          <w:rStyle w:val="FootnoteReference"/>
        </w:rPr>
        <w:footnoteReference w:id="190"/>
      </w:r>
      <w:r w:rsidRPr="001005B7">
        <w:t xml:space="preserve"> God’s punishment is more like correction or chastisement</w:t>
      </w:r>
      <w:r w:rsidR="007659DE" w:rsidRPr="001005B7">
        <w:t>,</w:t>
      </w:r>
      <w:r w:rsidRPr="001005B7">
        <w:t xml:space="preserve"> designed to get people to grow and change. Yahweh’s warnings are designed to drive his people to turn back to him so that he can then relent, a</w:t>
      </w:r>
      <w:r w:rsidR="000047BC" w:rsidRPr="001005B7">
        <w:t xml:space="preserve">nd they </w:t>
      </w:r>
      <w:r w:rsidRPr="001005B7">
        <w:t xml:space="preserve">achieve this different aim. </w:t>
      </w:r>
    </w:p>
    <w:p w14:paraId="330251A9" w14:textId="617DF1B5" w:rsidR="000D4D3B" w:rsidRPr="001005B7" w:rsidRDefault="00CB6785" w:rsidP="00213922">
      <w:pPr>
        <w:rPr>
          <w:rFonts w:cstheme="minorHAnsi"/>
        </w:rPr>
      </w:pPr>
      <w:r w:rsidRPr="001005B7">
        <w:rPr>
          <w:rFonts w:cstheme="minorHAnsi"/>
        </w:rPr>
        <w:t>Both Ez</w:t>
      </w:r>
      <w:r w:rsidR="00D56D43" w:rsidRPr="001005B7">
        <w:rPr>
          <w:rFonts w:cstheme="minorHAnsi"/>
        </w:rPr>
        <w:t xml:space="preserve">ekiel and Paul imply that </w:t>
      </w:r>
      <w:r w:rsidR="00E50F29" w:rsidRPr="001005B7">
        <w:rPr>
          <w:rFonts w:cstheme="minorHAnsi"/>
        </w:rPr>
        <w:t xml:space="preserve">it is because </w:t>
      </w:r>
      <w:r w:rsidR="00D56D43" w:rsidRPr="001005B7">
        <w:rPr>
          <w:rFonts w:cstheme="minorHAnsi"/>
        </w:rPr>
        <w:t xml:space="preserve">truth </w:t>
      </w:r>
      <w:r w:rsidR="00C709EB" w:rsidRPr="001005B7">
        <w:rPr>
          <w:rFonts w:cstheme="minorHAnsi"/>
        </w:rPr>
        <w:t xml:space="preserve">matters: </w:t>
      </w:r>
      <w:r w:rsidR="00E50F29" w:rsidRPr="001005B7">
        <w:rPr>
          <w:rFonts w:cstheme="minorHAnsi"/>
        </w:rPr>
        <w:t xml:space="preserve">the truth </w:t>
      </w:r>
      <w:r w:rsidR="00D56D43" w:rsidRPr="001005B7">
        <w:rPr>
          <w:rFonts w:cstheme="minorHAnsi"/>
        </w:rPr>
        <w:t>about</w:t>
      </w:r>
      <w:r w:rsidR="00C9361A" w:rsidRPr="001005B7">
        <w:rPr>
          <w:rFonts w:cstheme="minorHAnsi"/>
        </w:rPr>
        <w:t xml:space="preserve"> </w:t>
      </w:r>
      <w:r w:rsidR="00D56D43" w:rsidRPr="001005B7">
        <w:rPr>
          <w:rFonts w:cstheme="minorHAnsi"/>
        </w:rPr>
        <w:t>God</w:t>
      </w:r>
      <w:r w:rsidR="006C76F5" w:rsidRPr="001005B7">
        <w:rPr>
          <w:rFonts w:cstheme="minorHAnsi"/>
        </w:rPr>
        <w:t>,</w:t>
      </w:r>
      <w:r w:rsidR="00C9361A" w:rsidRPr="001005B7">
        <w:rPr>
          <w:rFonts w:cstheme="minorHAnsi"/>
        </w:rPr>
        <w:t xml:space="preserve"> and</w:t>
      </w:r>
      <w:r w:rsidR="00367DD1" w:rsidRPr="001005B7">
        <w:rPr>
          <w:rFonts w:cstheme="minorHAnsi"/>
        </w:rPr>
        <w:t xml:space="preserve"> </w:t>
      </w:r>
      <w:r w:rsidR="00C9361A" w:rsidRPr="001005B7">
        <w:rPr>
          <w:rFonts w:cstheme="minorHAnsi"/>
        </w:rPr>
        <w:t>the truth about how humanity should live</w:t>
      </w:r>
      <w:r w:rsidR="00E50F29" w:rsidRPr="001005B7">
        <w:rPr>
          <w:rFonts w:cstheme="minorHAnsi"/>
        </w:rPr>
        <w:t xml:space="preserve">. </w:t>
      </w:r>
      <w:r w:rsidR="00973879" w:rsidRPr="001005B7">
        <w:rPr>
          <w:rFonts w:cstheme="minorHAnsi"/>
        </w:rPr>
        <w:t xml:space="preserve">If the </w:t>
      </w:r>
      <w:r w:rsidR="003719CE" w:rsidRPr="001005B7">
        <w:rPr>
          <w:rFonts w:cstheme="minorHAnsi"/>
        </w:rPr>
        <w:t>world</w:t>
      </w:r>
      <w:r w:rsidR="0092398D" w:rsidRPr="001005B7">
        <w:rPr>
          <w:rFonts w:cstheme="minorHAnsi"/>
        </w:rPr>
        <w:t xml:space="preserve"> or the people of God</w:t>
      </w:r>
      <w:r w:rsidR="003719CE" w:rsidRPr="001005B7">
        <w:rPr>
          <w:rFonts w:cstheme="minorHAnsi"/>
        </w:rPr>
        <w:t xml:space="preserve"> live in a way that ignores who God is and ignores how </w:t>
      </w:r>
      <w:r w:rsidR="00A054A0" w:rsidRPr="001005B7">
        <w:rPr>
          <w:rFonts w:cstheme="minorHAnsi"/>
        </w:rPr>
        <w:t xml:space="preserve">they </w:t>
      </w:r>
      <w:r w:rsidR="003719CE" w:rsidRPr="001005B7">
        <w:rPr>
          <w:rFonts w:cstheme="minorHAnsi"/>
        </w:rPr>
        <w:t xml:space="preserve">should live, </w:t>
      </w:r>
      <w:r w:rsidR="00162621" w:rsidRPr="001005B7">
        <w:rPr>
          <w:rFonts w:cstheme="minorHAnsi"/>
        </w:rPr>
        <w:t xml:space="preserve">there ceases to be any point in </w:t>
      </w:r>
      <w:r w:rsidR="00A054A0" w:rsidRPr="001005B7">
        <w:rPr>
          <w:rFonts w:cstheme="minorHAnsi"/>
        </w:rPr>
        <w:t>their</w:t>
      </w:r>
      <w:r w:rsidR="00162621" w:rsidRPr="001005B7">
        <w:rPr>
          <w:rFonts w:cstheme="minorHAnsi"/>
        </w:rPr>
        <w:t xml:space="preserve"> existence (as Gen</w:t>
      </w:r>
      <w:r w:rsidR="00863F89" w:rsidRPr="001005B7">
        <w:rPr>
          <w:rFonts w:cstheme="minorHAnsi"/>
        </w:rPr>
        <w:t xml:space="preserve"> 6:5</w:t>
      </w:r>
      <w:r w:rsidR="00F46900" w:rsidRPr="001005B7">
        <w:rPr>
          <w:rFonts w:cstheme="minorHAnsi"/>
        </w:rPr>
        <w:t>–</w:t>
      </w:r>
      <w:r w:rsidR="00863F89" w:rsidRPr="001005B7">
        <w:rPr>
          <w:rFonts w:cstheme="minorHAnsi"/>
        </w:rPr>
        <w:t xml:space="preserve">7 implies). </w:t>
      </w:r>
      <w:r w:rsidR="00843F08" w:rsidRPr="001005B7">
        <w:rPr>
          <w:rFonts w:cstheme="minorHAnsi"/>
        </w:rPr>
        <w:t xml:space="preserve">God’s great experiment in creation and in forming a </w:t>
      </w:r>
      <w:r w:rsidR="008E548A" w:rsidRPr="001005B7">
        <w:rPr>
          <w:rFonts w:cstheme="minorHAnsi"/>
        </w:rPr>
        <w:t>chosen people has failed and may as well be abandoned.</w:t>
      </w:r>
      <w:r w:rsidR="00962D5D" w:rsidRPr="001005B7">
        <w:rPr>
          <w:rFonts w:cstheme="minorHAnsi"/>
        </w:rPr>
        <w:t xml:space="preserve"> </w:t>
      </w:r>
      <w:r w:rsidR="00BE65BD" w:rsidRPr="001005B7">
        <w:rPr>
          <w:rFonts w:cstheme="minorHAnsi"/>
        </w:rPr>
        <w:t xml:space="preserve">Ezekiel and Paul </w:t>
      </w:r>
      <w:r w:rsidR="00D11308" w:rsidRPr="001005B7">
        <w:rPr>
          <w:rFonts w:cstheme="minorHAnsi"/>
        </w:rPr>
        <w:t>(and Genesis</w:t>
      </w:r>
      <w:r w:rsidR="00D07550" w:rsidRPr="001005B7">
        <w:rPr>
          <w:rFonts w:cstheme="minorHAnsi"/>
        </w:rPr>
        <w:t xml:space="preserve"> and Deuteronomy</w:t>
      </w:r>
      <w:r w:rsidR="00D11308" w:rsidRPr="001005B7">
        <w:rPr>
          <w:rFonts w:cstheme="minorHAnsi"/>
        </w:rPr>
        <w:t xml:space="preserve">) </w:t>
      </w:r>
      <w:r w:rsidR="002D4521" w:rsidRPr="001005B7">
        <w:rPr>
          <w:rFonts w:cstheme="minorHAnsi"/>
        </w:rPr>
        <w:t xml:space="preserve">imply </w:t>
      </w:r>
      <w:r w:rsidR="00690C12" w:rsidRPr="001005B7">
        <w:rPr>
          <w:rFonts w:cstheme="minorHAnsi"/>
        </w:rPr>
        <w:t>a</w:t>
      </w:r>
      <w:r w:rsidR="00614304" w:rsidRPr="001005B7">
        <w:rPr>
          <w:rFonts w:cstheme="minorHAnsi"/>
        </w:rPr>
        <w:t xml:space="preserve"> common point a</w:t>
      </w:r>
      <w:r w:rsidR="00EE4D6F" w:rsidRPr="001005B7">
        <w:rPr>
          <w:rFonts w:cstheme="minorHAnsi"/>
        </w:rPr>
        <w:t>bout</w:t>
      </w:r>
      <w:r w:rsidR="00614304" w:rsidRPr="001005B7">
        <w:rPr>
          <w:rFonts w:cstheme="minorHAnsi"/>
        </w:rPr>
        <w:t xml:space="preserve"> the people of God in particular</w:t>
      </w:r>
      <w:r w:rsidR="00A65481" w:rsidRPr="001005B7">
        <w:rPr>
          <w:rFonts w:cstheme="minorHAnsi"/>
        </w:rPr>
        <w:t>. As</w:t>
      </w:r>
      <w:r w:rsidR="00F92B15" w:rsidRPr="001005B7">
        <w:rPr>
          <w:rFonts w:cstheme="minorHAnsi"/>
        </w:rPr>
        <w:t xml:space="preserve"> Ezekiel puts it, they are set among the nations</w:t>
      </w:r>
      <w:r w:rsidR="00EE4D6F" w:rsidRPr="001005B7">
        <w:rPr>
          <w:rFonts w:cstheme="minorHAnsi"/>
        </w:rPr>
        <w:t xml:space="preserve">, which at least means that they </w:t>
      </w:r>
      <w:r w:rsidR="00D07550" w:rsidRPr="001005B7">
        <w:rPr>
          <w:rFonts w:cstheme="minorHAnsi"/>
        </w:rPr>
        <w:t xml:space="preserve">ought to be worshiping God and living a life that </w:t>
      </w:r>
      <w:r w:rsidR="0001704D" w:rsidRPr="001005B7">
        <w:rPr>
          <w:rFonts w:cstheme="minorHAnsi"/>
        </w:rPr>
        <w:t xml:space="preserve">makes them stand out, but they do so more in a bad way than in a good way. </w:t>
      </w:r>
      <w:r w:rsidR="004076E5" w:rsidRPr="001005B7">
        <w:rPr>
          <w:rFonts w:cstheme="minorHAnsi"/>
        </w:rPr>
        <w:t xml:space="preserve">Ezekiel’s </w:t>
      </w:r>
      <w:r w:rsidR="00AE7046" w:rsidRPr="001005B7">
        <w:rPr>
          <w:rFonts w:cstheme="minorHAnsi"/>
        </w:rPr>
        <w:t xml:space="preserve">own </w:t>
      </w:r>
      <w:r w:rsidR="004076E5" w:rsidRPr="001005B7">
        <w:rPr>
          <w:rFonts w:cstheme="minorHAnsi"/>
        </w:rPr>
        <w:t xml:space="preserve">most dominant </w:t>
      </w:r>
      <w:r w:rsidR="00AE7046" w:rsidRPr="001005B7">
        <w:rPr>
          <w:rFonts w:cstheme="minorHAnsi"/>
        </w:rPr>
        <w:t>distinctive feature is</w:t>
      </w:r>
      <w:r w:rsidR="00D01D30" w:rsidRPr="001005B7">
        <w:rPr>
          <w:rFonts w:cstheme="minorHAnsi"/>
        </w:rPr>
        <w:t xml:space="preserve"> then</w:t>
      </w:r>
      <w:r w:rsidR="00AE7046" w:rsidRPr="001005B7">
        <w:rPr>
          <w:rFonts w:cstheme="minorHAnsi"/>
        </w:rPr>
        <w:t xml:space="preserve"> his stress on the strength of God’s feelings </w:t>
      </w:r>
      <w:r w:rsidR="00060E39" w:rsidRPr="001005B7">
        <w:rPr>
          <w:rFonts w:cstheme="minorHAnsi"/>
        </w:rPr>
        <w:t xml:space="preserve">of wrath, fury, and anger. </w:t>
      </w:r>
      <w:r w:rsidR="00604622" w:rsidRPr="001005B7">
        <w:rPr>
          <w:rFonts w:cstheme="minorHAnsi"/>
        </w:rPr>
        <w:t xml:space="preserve">It is possible to assume that </w:t>
      </w:r>
      <w:r w:rsidR="0013278E" w:rsidRPr="001005B7">
        <w:rPr>
          <w:rFonts w:cstheme="minorHAnsi"/>
        </w:rPr>
        <w:t>there are good personal feelings such as love and compassion</w:t>
      </w:r>
      <w:r w:rsidR="00AF438F" w:rsidRPr="001005B7">
        <w:rPr>
          <w:rFonts w:cstheme="minorHAnsi"/>
        </w:rPr>
        <w:t>,</w:t>
      </w:r>
      <w:r w:rsidR="0013278E" w:rsidRPr="001005B7">
        <w:rPr>
          <w:rFonts w:cstheme="minorHAnsi"/>
        </w:rPr>
        <w:t xml:space="preserve"> and dubious personal feelings such as </w:t>
      </w:r>
      <w:r w:rsidR="00A51AA5" w:rsidRPr="001005B7">
        <w:rPr>
          <w:rFonts w:cstheme="minorHAnsi"/>
        </w:rPr>
        <w:t>fury and anger</w:t>
      </w:r>
      <w:r w:rsidR="000B30E7" w:rsidRPr="001005B7">
        <w:rPr>
          <w:rFonts w:cstheme="minorHAnsi"/>
        </w:rPr>
        <w:t xml:space="preserve">. Neither Testament takes that view. </w:t>
      </w:r>
      <w:r w:rsidR="00593C2B" w:rsidRPr="001005B7">
        <w:rPr>
          <w:rFonts w:cstheme="minorHAnsi"/>
        </w:rPr>
        <w:t xml:space="preserve">It assumes that God has the gamut of personal feelings, though it does assume that </w:t>
      </w:r>
      <w:r w:rsidR="00AB7992" w:rsidRPr="001005B7">
        <w:rPr>
          <w:rFonts w:cstheme="minorHAnsi"/>
        </w:rPr>
        <w:t>love and compassion are more dominant in God than wrath and anger (see Exod 34:6</w:t>
      </w:r>
      <w:r w:rsidR="00F46900" w:rsidRPr="001005B7">
        <w:rPr>
          <w:rFonts w:cstheme="minorHAnsi"/>
        </w:rPr>
        <w:t>–</w:t>
      </w:r>
      <w:r w:rsidR="00AB7992" w:rsidRPr="001005B7">
        <w:rPr>
          <w:rFonts w:cstheme="minorHAnsi"/>
        </w:rPr>
        <w:t xml:space="preserve">7, </w:t>
      </w:r>
      <w:r w:rsidR="00B4201C" w:rsidRPr="001005B7">
        <w:rPr>
          <w:rFonts w:cstheme="minorHAnsi"/>
        </w:rPr>
        <w:t xml:space="preserve">to which other parts of the First Testament often allude). </w:t>
      </w:r>
      <w:r w:rsidR="00847DF5" w:rsidRPr="001005B7">
        <w:rPr>
          <w:rFonts w:cstheme="minorHAnsi"/>
        </w:rPr>
        <w:t>While i</w:t>
      </w:r>
      <w:r w:rsidR="000B30E7" w:rsidRPr="001005B7">
        <w:rPr>
          <w:rFonts w:cstheme="minorHAnsi"/>
        </w:rPr>
        <w:t xml:space="preserve">t is possible to </w:t>
      </w:r>
      <w:r w:rsidR="00E719A2" w:rsidRPr="001005B7">
        <w:rPr>
          <w:rFonts w:cstheme="minorHAnsi"/>
        </w:rPr>
        <w:t>think of God as</w:t>
      </w:r>
      <w:r w:rsidR="002B0C52" w:rsidRPr="001005B7">
        <w:rPr>
          <w:rFonts w:cstheme="minorHAnsi"/>
        </w:rPr>
        <w:t xml:space="preserve"> cool and objective or </w:t>
      </w:r>
      <w:r w:rsidR="00533D81" w:rsidRPr="001005B7">
        <w:rPr>
          <w:rFonts w:cstheme="minorHAnsi"/>
        </w:rPr>
        <w:t xml:space="preserve">as an </w:t>
      </w:r>
      <w:r w:rsidR="002B0C52" w:rsidRPr="001005B7">
        <w:rPr>
          <w:rFonts w:cstheme="minorHAnsi"/>
        </w:rPr>
        <w:t>abstract</w:t>
      </w:r>
      <w:r w:rsidR="00533D81" w:rsidRPr="001005B7">
        <w:rPr>
          <w:rFonts w:cstheme="minorHAnsi"/>
        </w:rPr>
        <w:t xml:space="preserve"> force</w:t>
      </w:r>
      <w:r w:rsidR="009A1BB9" w:rsidRPr="001005B7">
        <w:rPr>
          <w:rFonts w:cstheme="minorHAnsi"/>
        </w:rPr>
        <w:t xml:space="preserve"> rather than having feelings</w:t>
      </w:r>
      <w:r w:rsidR="004860EE" w:rsidRPr="001005B7">
        <w:rPr>
          <w:rFonts w:cstheme="minorHAnsi"/>
        </w:rPr>
        <w:t>, n</w:t>
      </w:r>
      <w:r w:rsidR="00533D81" w:rsidRPr="001005B7">
        <w:rPr>
          <w:rFonts w:cstheme="minorHAnsi"/>
        </w:rPr>
        <w:t>either Testame</w:t>
      </w:r>
      <w:r w:rsidR="009A1BB9" w:rsidRPr="001005B7">
        <w:rPr>
          <w:rFonts w:cstheme="minorHAnsi"/>
        </w:rPr>
        <w:t>nt t</w:t>
      </w:r>
      <w:r w:rsidR="00676878" w:rsidRPr="001005B7">
        <w:rPr>
          <w:rFonts w:cstheme="minorHAnsi"/>
        </w:rPr>
        <w:t>hinks that way</w:t>
      </w:r>
      <w:r w:rsidR="009A1BB9" w:rsidRPr="001005B7">
        <w:rPr>
          <w:rFonts w:cstheme="minorHAnsi"/>
        </w:rPr>
        <w:t xml:space="preserve">. </w:t>
      </w:r>
      <w:r w:rsidR="003907EE" w:rsidRPr="001005B7">
        <w:rPr>
          <w:rFonts w:cstheme="minorHAnsi"/>
        </w:rPr>
        <w:t>God has all the feelings of</w:t>
      </w:r>
      <w:r w:rsidR="00011C97" w:rsidRPr="001005B7">
        <w:rPr>
          <w:rFonts w:cstheme="minorHAnsi"/>
        </w:rPr>
        <w:t xml:space="preserve"> </w:t>
      </w:r>
      <w:r w:rsidR="003907EE" w:rsidRPr="001005B7">
        <w:rPr>
          <w:rFonts w:cstheme="minorHAnsi"/>
        </w:rPr>
        <w:t xml:space="preserve">a person, in spades, both the love and compassion and the </w:t>
      </w:r>
      <w:r w:rsidR="00941281" w:rsidRPr="001005B7">
        <w:rPr>
          <w:rFonts w:cstheme="minorHAnsi"/>
        </w:rPr>
        <w:t xml:space="preserve">furious anger. </w:t>
      </w:r>
      <w:r w:rsidR="001E2CF1" w:rsidRPr="001005B7">
        <w:rPr>
          <w:rFonts w:cstheme="minorHAnsi"/>
        </w:rPr>
        <w:t>Yes, God really is a person.</w:t>
      </w:r>
      <w:r w:rsidR="00F743B7" w:rsidRPr="001005B7">
        <w:rPr>
          <w:rFonts w:cstheme="minorHAnsi"/>
        </w:rPr>
        <w:t xml:space="preserve"> </w:t>
      </w:r>
    </w:p>
    <w:p w14:paraId="3D703DD3" w14:textId="2775B186" w:rsidR="007A752C" w:rsidRPr="001005B7" w:rsidRDefault="00F743B7" w:rsidP="00AE0011">
      <w:pPr>
        <w:rPr>
          <w:rFonts w:cstheme="minorHAnsi"/>
        </w:rPr>
      </w:pPr>
      <w:r w:rsidRPr="001005B7">
        <w:rPr>
          <w:rFonts w:cstheme="minorHAnsi"/>
        </w:rPr>
        <w:t>It m</w:t>
      </w:r>
      <w:r w:rsidR="00547F32" w:rsidRPr="001005B7">
        <w:rPr>
          <w:rFonts w:cstheme="minorHAnsi"/>
        </w:rPr>
        <w:t>ight</w:t>
      </w:r>
      <w:r w:rsidRPr="001005B7">
        <w:rPr>
          <w:rFonts w:cstheme="minorHAnsi"/>
        </w:rPr>
        <w:t xml:space="preserve"> seem proper for a parent to</w:t>
      </w:r>
      <w:r w:rsidR="00547F32" w:rsidRPr="001005B7">
        <w:rPr>
          <w:rFonts w:cstheme="minorHAnsi"/>
        </w:rPr>
        <w:t xml:space="preserve"> be furiously angry</w:t>
      </w:r>
      <w:r w:rsidR="00C73B05" w:rsidRPr="001005B7">
        <w:rPr>
          <w:rFonts w:cstheme="minorHAnsi"/>
        </w:rPr>
        <w:t xml:space="preserve"> if someone were to kill </w:t>
      </w:r>
      <w:r w:rsidR="00696FC4" w:rsidRPr="001005B7">
        <w:rPr>
          <w:rFonts w:cstheme="minorHAnsi"/>
        </w:rPr>
        <w:t>their</w:t>
      </w:r>
      <w:r w:rsidR="00C73B05" w:rsidRPr="001005B7">
        <w:rPr>
          <w:rFonts w:cstheme="minorHAnsi"/>
        </w:rPr>
        <w:t xml:space="preserve"> child.</w:t>
      </w:r>
      <w:r w:rsidR="000C6DD6" w:rsidRPr="001005B7">
        <w:rPr>
          <w:rFonts w:cstheme="minorHAnsi"/>
        </w:rPr>
        <w:t xml:space="preserve"> </w:t>
      </w:r>
      <w:r w:rsidR="00440150" w:rsidRPr="001005B7">
        <w:rPr>
          <w:rFonts w:cstheme="minorHAnsi"/>
        </w:rPr>
        <w:t xml:space="preserve">Such a reaction </w:t>
      </w:r>
      <w:r w:rsidR="00DD07BC" w:rsidRPr="001005B7">
        <w:rPr>
          <w:rFonts w:cstheme="minorHAnsi"/>
        </w:rPr>
        <w:t>would be</w:t>
      </w:r>
      <w:r w:rsidR="00440150" w:rsidRPr="001005B7">
        <w:rPr>
          <w:rFonts w:cstheme="minorHAnsi"/>
        </w:rPr>
        <w:t xml:space="preserve"> not merely a moral response </w:t>
      </w:r>
      <w:r w:rsidR="00CA3DD5" w:rsidRPr="001005B7">
        <w:rPr>
          <w:rFonts w:cstheme="minorHAnsi"/>
        </w:rPr>
        <w:t xml:space="preserve">to an immoral act. It </w:t>
      </w:r>
      <w:r w:rsidR="00E2117A" w:rsidRPr="001005B7">
        <w:rPr>
          <w:rFonts w:cstheme="minorHAnsi"/>
        </w:rPr>
        <w:t xml:space="preserve">would </w:t>
      </w:r>
      <w:r w:rsidR="00CA3DD5" w:rsidRPr="001005B7">
        <w:rPr>
          <w:rFonts w:cstheme="minorHAnsi"/>
        </w:rPr>
        <w:t xml:space="preserve">reflect a sense that </w:t>
      </w:r>
      <w:r w:rsidR="003E1138" w:rsidRPr="001005B7">
        <w:rPr>
          <w:rFonts w:cstheme="minorHAnsi"/>
        </w:rPr>
        <w:t>one has been</w:t>
      </w:r>
      <w:r w:rsidR="00E2117A" w:rsidRPr="001005B7">
        <w:rPr>
          <w:rFonts w:cstheme="minorHAnsi"/>
        </w:rPr>
        <w:t xml:space="preserve"> personally</w:t>
      </w:r>
      <w:r w:rsidR="003E1138" w:rsidRPr="001005B7">
        <w:rPr>
          <w:rFonts w:cstheme="minorHAnsi"/>
        </w:rPr>
        <w:t xml:space="preserve"> wronged</w:t>
      </w:r>
      <w:r w:rsidR="00213922" w:rsidRPr="001005B7">
        <w:rPr>
          <w:rFonts w:cstheme="minorHAnsi"/>
        </w:rPr>
        <w:t>.</w:t>
      </w:r>
      <w:r w:rsidR="000D4D3B" w:rsidRPr="001005B7">
        <w:rPr>
          <w:rFonts w:cstheme="minorHAnsi"/>
        </w:rPr>
        <w:t xml:space="preserve"> </w:t>
      </w:r>
      <w:r w:rsidR="00E4424D" w:rsidRPr="001005B7">
        <w:rPr>
          <w:rFonts w:cstheme="minorHAnsi"/>
        </w:rPr>
        <w:t>God</w:t>
      </w:r>
      <w:r w:rsidR="00BE20C7" w:rsidRPr="001005B7">
        <w:rPr>
          <w:rFonts w:cstheme="minorHAnsi"/>
        </w:rPr>
        <w:t xml:space="preserve"> reacts with vehe</w:t>
      </w:r>
      <w:r w:rsidR="00E4424D" w:rsidRPr="001005B7">
        <w:rPr>
          <w:rFonts w:cstheme="minorHAnsi"/>
        </w:rPr>
        <w:t xml:space="preserve">mence to being personally wronged. </w:t>
      </w:r>
      <w:r w:rsidR="004860EE" w:rsidRPr="001005B7">
        <w:rPr>
          <w:rFonts w:cstheme="minorHAnsi"/>
        </w:rPr>
        <w:t>Yet</w:t>
      </w:r>
      <w:r w:rsidR="00E4424D" w:rsidRPr="001005B7">
        <w:rPr>
          <w:rFonts w:cstheme="minorHAnsi"/>
        </w:rPr>
        <w:t xml:space="preserve"> </w:t>
      </w:r>
      <w:r w:rsidR="00321627" w:rsidRPr="001005B7">
        <w:rPr>
          <w:rFonts w:cstheme="minorHAnsi"/>
        </w:rPr>
        <w:t>in the event he did not act with the vehemence he thre</w:t>
      </w:r>
      <w:r w:rsidR="00C752F6" w:rsidRPr="001005B7">
        <w:rPr>
          <w:rFonts w:cstheme="minorHAnsi"/>
        </w:rPr>
        <w:t xml:space="preserve">atened. </w:t>
      </w:r>
      <w:r w:rsidR="00490355" w:rsidRPr="001005B7">
        <w:rPr>
          <w:rFonts w:cstheme="minorHAnsi"/>
        </w:rPr>
        <w:t>When it came to it, in 587 his bark was worse than his bite</w:t>
      </w:r>
      <w:r w:rsidR="00BB4083" w:rsidRPr="001005B7">
        <w:rPr>
          <w:rFonts w:cstheme="minorHAnsi"/>
        </w:rPr>
        <w:t>, as usual</w:t>
      </w:r>
      <w:r w:rsidR="00490355" w:rsidRPr="001005B7">
        <w:rPr>
          <w:rFonts w:cstheme="minorHAnsi"/>
        </w:rPr>
        <w:t>.</w:t>
      </w:r>
      <w:r w:rsidR="00321627" w:rsidRPr="001005B7">
        <w:rPr>
          <w:rFonts w:cstheme="minorHAnsi"/>
        </w:rPr>
        <w:t xml:space="preserve"> </w:t>
      </w:r>
      <w:r w:rsidR="00784E29" w:rsidRPr="001005B7">
        <w:rPr>
          <w:rFonts w:cstheme="minorHAnsi"/>
        </w:rPr>
        <w:t>Did he change his mind or was he exaggeratin</w:t>
      </w:r>
      <w:r w:rsidR="00982880" w:rsidRPr="001005B7">
        <w:rPr>
          <w:rFonts w:cstheme="minorHAnsi"/>
        </w:rPr>
        <w:t>g</w:t>
      </w:r>
      <w:r w:rsidR="00784E29" w:rsidRPr="001005B7">
        <w:rPr>
          <w:rFonts w:cstheme="minorHAnsi"/>
        </w:rPr>
        <w:t>?</w:t>
      </w:r>
      <w:r w:rsidR="00982880" w:rsidRPr="001005B7">
        <w:rPr>
          <w:rFonts w:cstheme="minorHAnsi"/>
        </w:rPr>
        <w:t xml:space="preserve"> He had no reason to change his mind </w:t>
      </w:r>
      <w:r w:rsidR="006A7F31" w:rsidRPr="001005B7">
        <w:rPr>
          <w:rFonts w:cstheme="minorHAnsi"/>
        </w:rPr>
        <w:t xml:space="preserve">or relent, </w:t>
      </w:r>
      <w:r w:rsidR="00982880" w:rsidRPr="001005B7">
        <w:rPr>
          <w:rFonts w:cstheme="minorHAnsi"/>
        </w:rPr>
        <w:t>in th</w:t>
      </w:r>
      <w:r w:rsidR="00B03560" w:rsidRPr="001005B7">
        <w:rPr>
          <w:rFonts w:cstheme="minorHAnsi"/>
        </w:rPr>
        <w:t xml:space="preserve">at there was no </w:t>
      </w:r>
      <w:r w:rsidR="006A7F31" w:rsidRPr="001005B7">
        <w:rPr>
          <w:rFonts w:cstheme="minorHAnsi"/>
        </w:rPr>
        <w:t>relenting or change of mind on Jerusalem’s part.</w:t>
      </w:r>
      <w:r w:rsidR="007C4C5F" w:rsidRPr="001005B7">
        <w:rPr>
          <w:rFonts w:cstheme="minorHAnsi"/>
        </w:rPr>
        <w:t xml:space="preserve"> More likely h</w:t>
      </w:r>
      <w:r w:rsidR="003B0E5E" w:rsidRPr="001005B7">
        <w:rPr>
          <w:rFonts w:cstheme="minorHAnsi"/>
        </w:rPr>
        <w:t xml:space="preserve">e </w:t>
      </w:r>
      <w:r w:rsidR="009F6A56" w:rsidRPr="001005B7">
        <w:rPr>
          <w:rFonts w:cstheme="minorHAnsi"/>
        </w:rPr>
        <w:t>i</w:t>
      </w:r>
      <w:r w:rsidR="003B0E5E" w:rsidRPr="001005B7">
        <w:rPr>
          <w:rFonts w:cstheme="minorHAnsi"/>
        </w:rPr>
        <w:t xml:space="preserve">s </w:t>
      </w:r>
      <w:r w:rsidR="009F6A56" w:rsidRPr="001005B7">
        <w:rPr>
          <w:rFonts w:cstheme="minorHAnsi"/>
        </w:rPr>
        <w:t xml:space="preserve">here </w:t>
      </w:r>
      <w:r w:rsidR="007C4C5F" w:rsidRPr="001005B7">
        <w:rPr>
          <w:rFonts w:cstheme="minorHAnsi"/>
        </w:rPr>
        <w:t xml:space="preserve">overstating </w:t>
      </w:r>
      <w:r w:rsidR="007F0B9B" w:rsidRPr="001005B7">
        <w:rPr>
          <w:rFonts w:cstheme="minorHAnsi"/>
        </w:rPr>
        <w:t>h</w:t>
      </w:r>
      <w:r w:rsidR="00AA14CE" w:rsidRPr="001005B7">
        <w:rPr>
          <w:rFonts w:cstheme="minorHAnsi"/>
        </w:rPr>
        <w:t>is action and his intention</w:t>
      </w:r>
      <w:r w:rsidR="00491ED3" w:rsidRPr="001005B7">
        <w:rPr>
          <w:rFonts w:cstheme="minorHAnsi"/>
        </w:rPr>
        <w:t>, partly as an indication of how str</w:t>
      </w:r>
      <w:r w:rsidR="00A35DE6" w:rsidRPr="001005B7">
        <w:rPr>
          <w:rFonts w:cstheme="minorHAnsi"/>
        </w:rPr>
        <w:t>o</w:t>
      </w:r>
      <w:r w:rsidR="00491ED3" w:rsidRPr="001005B7">
        <w:rPr>
          <w:rFonts w:cstheme="minorHAnsi"/>
        </w:rPr>
        <w:t xml:space="preserve">ng his feelings </w:t>
      </w:r>
      <w:r w:rsidR="00A35DE6" w:rsidRPr="001005B7">
        <w:rPr>
          <w:rFonts w:cstheme="minorHAnsi"/>
        </w:rPr>
        <w:t>a</w:t>
      </w:r>
      <w:r w:rsidR="00491ED3" w:rsidRPr="001005B7">
        <w:rPr>
          <w:rFonts w:cstheme="minorHAnsi"/>
        </w:rPr>
        <w:t>re, and partly because t</w:t>
      </w:r>
      <w:r w:rsidR="003B0E5E" w:rsidRPr="001005B7">
        <w:rPr>
          <w:rFonts w:cstheme="minorHAnsi"/>
        </w:rPr>
        <w:t>hat is what communicators do</w:t>
      </w:r>
      <w:r w:rsidR="009D6F00" w:rsidRPr="001005B7">
        <w:rPr>
          <w:rFonts w:cstheme="minorHAnsi"/>
        </w:rPr>
        <w:t>. Hyperbole</w:t>
      </w:r>
      <w:r w:rsidR="00BE4EC6" w:rsidRPr="001005B7">
        <w:rPr>
          <w:rFonts w:cstheme="minorHAnsi"/>
        </w:rPr>
        <w:t xml:space="preserve"> is a characteristic of</w:t>
      </w:r>
      <w:r w:rsidR="006F7610" w:rsidRPr="001005B7">
        <w:rPr>
          <w:rFonts w:cstheme="minorHAnsi"/>
        </w:rPr>
        <w:t xml:space="preserve"> the </w:t>
      </w:r>
      <w:r w:rsidR="00F60404" w:rsidRPr="001005B7">
        <w:rPr>
          <w:rFonts w:cstheme="minorHAnsi"/>
        </w:rPr>
        <w:t>Scriptures</w:t>
      </w:r>
      <w:r w:rsidR="006F7610" w:rsidRPr="001005B7">
        <w:rPr>
          <w:rFonts w:cstheme="minorHAnsi"/>
        </w:rPr>
        <w:t xml:space="preserve"> </w:t>
      </w:r>
      <w:r w:rsidR="000A0756" w:rsidRPr="001005B7">
        <w:rPr>
          <w:rFonts w:cstheme="minorHAnsi"/>
        </w:rPr>
        <w:t>throughout</w:t>
      </w:r>
      <w:r w:rsidR="0064762E" w:rsidRPr="001005B7">
        <w:rPr>
          <w:rFonts w:cstheme="minorHAnsi"/>
        </w:rPr>
        <w:t xml:space="preserve"> (again, see Gen 6:</w:t>
      </w:r>
      <w:r w:rsidR="0014490A" w:rsidRPr="001005B7">
        <w:rPr>
          <w:rFonts w:cstheme="minorHAnsi"/>
        </w:rPr>
        <w:t>5</w:t>
      </w:r>
      <w:r w:rsidR="000A0756" w:rsidRPr="001005B7">
        <w:rPr>
          <w:rFonts w:cstheme="minorHAnsi"/>
        </w:rPr>
        <w:t xml:space="preserve">; also </w:t>
      </w:r>
      <w:r w:rsidR="000A0756" w:rsidRPr="001005B7">
        <w:t>Col 1:23</w:t>
      </w:r>
      <w:r w:rsidR="0014490A" w:rsidRPr="001005B7">
        <w:rPr>
          <w:rFonts w:cstheme="minorHAnsi"/>
        </w:rPr>
        <w:t>)</w:t>
      </w:r>
      <w:r w:rsidR="00F60404" w:rsidRPr="001005B7">
        <w:rPr>
          <w:rFonts w:cstheme="minorHAnsi"/>
        </w:rPr>
        <w:t xml:space="preserve">. Apparently </w:t>
      </w:r>
      <w:r w:rsidR="005D529E" w:rsidRPr="001005B7">
        <w:rPr>
          <w:rFonts w:cstheme="minorHAnsi"/>
        </w:rPr>
        <w:t>exaggeration does not in principle raise</w:t>
      </w:r>
      <w:r w:rsidR="005F7BD2" w:rsidRPr="001005B7">
        <w:rPr>
          <w:rFonts w:cstheme="minorHAnsi"/>
        </w:rPr>
        <w:t xml:space="preserve"> theolog</w:t>
      </w:r>
      <w:r w:rsidR="005D529E" w:rsidRPr="001005B7">
        <w:rPr>
          <w:rFonts w:cstheme="minorHAnsi"/>
        </w:rPr>
        <w:t>ical or</w:t>
      </w:r>
      <w:r w:rsidR="005F7BD2" w:rsidRPr="001005B7">
        <w:rPr>
          <w:rFonts w:cstheme="minorHAnsi"/>
        </w:rPr>
        <w:t xml:space="preserve"> ethic</w:t>
      </w:r>
      <w:r w:rsidR="005D529E" w:rsidRPr="001005B7">
        <w:rPr>
          <w:rFonts w:cstheme="minorHAnsi"/>
        </w:rPr>
        <w:t>al questions.</w:t>
      </w:r>
    </w:p>
    <w:p w14:paraId="314A003A" w14:textId="7DBA26B8" w:rsidR="00E22722" w:rsidRPr="001005B7" w:rsidRDefault="00FA2D9A" w:rsidP="00493833">
      <w:pPr>
        <w:pStyle w:val="Heading3"/>
      </w:pPr>
      <w:r w:rsidRPr="001005B7">
        <w:t xml:space="preserve">Application and Devotional Implications </w:t>
      </w:r>
    </w:p>
    <w:p w14:paraId="5405224B" w14:textId="624CCE5E" w:rsidR="009832D9" w:rsidRPr="001005B7" w:rsidRDefault="009832D9" w:rsidP="00846AFC">
      <w:pPr>
        <w:pStyle w:val="Quote"/>
        <w:rPr>
          <w:color w:val="auto"/>
          <w:lang w:eastAsia="en-GB"/>
        </w:rPr>
      </w:pPr>
      <w:r w:rsidRPr="001005B7">
        <w:rPr>
          <w:color w:val="auto"/>
          <w:lang w:eastAsia="en-GB"/>
        </w:rPr>
        <w:t xml:space="preserve">Greenhill </w:t>
      </w:r>
      <w:r w:rsidR="00141F74" w:rsidRPr="001005B7">
        <w:rPr>
          <w:color w:val="auto"/>
          <w:lang w:eastAsia="en-GB"/>
        </w:rPr>
        <w:t>(141)</w:t>
      </w:r>
      <w:r w:rsidR="00B81B0F" w:rsidRPr="001005B7">
        <w:rPr>
          <w:color w:val="auto"/>
          <w:lang w:eastAsia="en-GB"/>
        </w:rPr>
        <w:t xml:space="preserve"> </w:t>
      </w:r>
      <w:r w:rsidRPr="001005B7">
        <w:rPr>
          <w:color w:val="auto"/>
          <w:lang w:eastAsia="en-GB"/>
        </w:rPr>
        <w:t>comments:</w:t>
      </w:r>
    </w:p>
    <w:p w14:paraId="68B63BFD" w14:textId="62E79EDD" w:rsidR="00C35831" w:rsidRPr="001005B7" w:rsidRDefault="00C35831" w:rsidP="00846AFC">
      <w:pPr>
        <w:pStyle w:val="Quote"/>
        <w:rPr>
          <w:color w:val="auto"/>
        </w:rPr>
      </w:pPr>
      <w:r w:rsidRPr="001005B7">
        <w:rPr>
          <w:color w:val="auto"/>
          <w:lang w:eastAsia="en-GB"/>
        </w:rPr>
        <w:t>The Lord sets his Church and people among the wicked, and that for special ends: </w:t>
      </w:r>
      <w:r w:rsidR="00136DD3" w:rsidRPr="001005B7">
        <w:rPr>
          <w:color w:val="auto"/>
          <w:lang w:eastAsia="en-GB"/>
        </w:rPr>
        <w:t>“</w:t>
      </w:r>
      <w:r w:rsidRPr="001005B7">
        <w:rPr>
          <w:color w:val="auto"/>
          <w:lang w:eastAsia="en-GB"/>
        </w:rPr>
        <w:t>I have set thee in the midst of the nations,</w:t>
      </w:r>
      <w:r w:rsidR="00136DD3" w:rsidRPr="001005B7">
        <w:rPr>
          <w:color w:val="auto"/>
          <w:lang w:eastAsia="en-GB"/>
        </w:rPr>
        <w:t>”</w:t>
      </w:r>
      <w:r w:rsidRPr="001005B7">
        <w:rPr>
          <w:color w:val="auto"/>
          <w:lang w:eastAsia="en-GB"/>
        </w:rPr>
        <w:t xml:space="preserve"> and God had peculiar ends in it. The nations and country about was full of ignorance, </w:t>
      </w:r>
      <w:r w:rsidR="00AE0011" w:rsidRPr="001005B7">
        <w:rPr>
          <w:color w:val="auto"/>
          <w:lang w:eastAsia="en-GB"/>
        </w:rPr>
        <w:t>i</w:t>
      </w:r>
      <w:r w:rsidRPr="001005B7">
        <w:rPr>
          <w:color w:val="auto"/>
          <w:lang w:eastAsia="en-GB"/>
        </w:rPr>
        <w:t>dolatry and pro</w:t>
      </w:r>
      <w:r w:rsidR="00136DD3" w:rsidRPr="001005B7">
        <w:rPr>
          <w:color w:val="auto"/>
          <w:lang w:eastAsia="en-GB"/>
        </w:rPr>
        <w:t>f</w:t>
      </w:r>
      <w:r w:rsidRPr="001005B7">
        <w:rPr>
          <w:color w:val="auto"/>
          <w:lang w:eastAsia="en-GB"/>
        </w:rPr>
        <w:t>aneness; God recorded his name at Jerusalem</w:t>
      </w:r>
      <w:r w:rsidRPr="001005B7">
        <w:rPr>
          <w:i/>
          <w:iCs/>
          <w:color w:val="auto"/>
          <w:lang w:eastAsia="en-GB"/>
        </w:rPr>
        <w:t>,</w:t>
      </w:r>
      <w:r w:rsidRPr="001005B7">
        <w:rPr>
          <w:color w:val="auto"/>
          <w:lang w:eastAsia="en-GB"/>
        </w:rPr>
        <w:t xml:space="preserve"> set his worship there, and them in the midst of the nations, that they might make known the true God, the true </w:t>
      </w:r>
      <w:r w:rsidR="00136DD3" w:rsidRPr="001005B7">
        <w:rPr>
          <w:color w:val="auto"/>
          <w:lang w:eastAsia="en-GB"/>
        </w:rPr>
        <w:t>r</w:t>
      </w:r>
      <w:r w:rsidRPr="001005B7">
        <w:rPr>
          <w:color w:val="auto"/>
          <w:lang w:eastAsia="en-GB"/>
        </w:rPr>
        <w:t xml:space="preserve">eligion, the true way of </w:t>
      </w:r>
      <w:r w:rsidR="00136DD3" w:rsidRPr="001005B7">
        <w:rPr>
          <w:color w:val="auto"/>
          <w:lang w:eastAsia="en-GB"/>
        </w:rPr>
        <w:t>w</w:t>
      </w:r>
      <w:r w:rsidRPr="001005B7">
        <w:rPr>
          <w:color w:val="auto"/>
          <w:lang w:eastAsia="en-GB"/>
        </w:rPr>
        <w:t>orship; that they might by their holy lives, win those that were without, bring them in to serve the God of Israel</w:t>
      </w:r>
      <w:r w:rsidR="006078CF" w:rsidRPr="001005B7">
        <w:rPr>
          <w:color w:val="auto"/>
          <w:lang w:eastAsia="en-GB"/>
        </w:rPr>
        <w:t>.</w:t>
      </w:r>
      <w:r w:rsidR="00C961E1" w:rsidRPr="001005B7">
        <w:rPr>
          <w:color w:val="auto"/>
          <w:lang w:eastAsia="en-GB"/>
        </w:rPr>
        <w:t xml:space="preserve"> </w:t>
      </w:r>
    </w:p>
    <w:p w14:paraId="5F5D3C83" w14:textId="20B95E3A" w:rsidR="00C33CAC" w:rsidRPr="001005B7" w:rsidRDefault="00791E9A" w:rsidP="000F017C">
      <w:r w:rsidRPr="001005B7">
        <w:t>Ezekiel adds the challenging consideration that</w:t>
      </w:r>
      <w:r w:rsidR="00887AF2" w:rsidRPr="001005B7">
        <w:t xml:space="preserve"> his people may be slower to see</w:t>
      </w:r>
      <w:r w:rsidR="00B75912" w:rsidRPr="001005B7">
        <w:t xml:space="preserve"> the truth than th</w:t>
      </w:r>
      <w:r w:rsidR="00407373" w:rsidRPr="001005B7">
        <w:t>e</w:t>
      </w:r>
      <w:r w:rsidR="00B75912" w:rsidRPr="001005B7">
        <w:t xml:space="preserve"> nations among whom his people are set. It was not the people of God who first saw the importance of</w:t>
      </w:r>
      <w:r w:rsidR="00407373" w:rsidRPr="001005B7">
        <w:t xml:space="preserve"> taking action on </w:t>
      </w:r>
      <w:r w:rsidR="00AB3E4F" w:rsidRPr="001005B7">
        <w:t xml:space="preserve">advancing the position of women or on </w:t>
      </w:r>
      <w:r w:rsidR="00407373" w:rsidRPr="001005B7">
        <w:t>climate change</w:t>
      </w:r>
      <w:r w:rsidR="00B75912" w:rsidRPr="001005B7">
        <w:t xml:space="preserve"> </w:t>
      </w:r>
      <w:r w:rsidR="00B9468E" w:rsidRPr="001005B7">
        <w:t xml:space="preserve">or on </w:t>
      </w:r>
      <w:r w:rsidR="00BE67D6" w:rsidRPr="001005B7">
        <w:t>sexual</w:t>
      </w:r>
      <w:r w:rsidR="00B9468E" w:rsidRPr="001005B7">
        <w:t xml:space="preserve"> abuse</w:t>
      </w:r>
      <w:r w:rsidR="00CF6A4B" w:rsidRPr="001005B7">
        <w:t xml:space="preserve">. So Ezekiel’s challenge </w:t>
      </w:r>
      <w:r w:rsidR="001427CE" w:rsidRPr="001005B7">
        <w:t xml:space="preserve">may be </w:t>
      </w:r>
      <w:r w:rsidR="00951334" w:rsidRPr="001005B7">
        <w:t xml:space="preserve">both </w:t>
      </w:r>
      <w:r w:rsidR="001427CE" w:rsidRPr="001005B7">
        <w:t xml:space="preserve">to consider where the Scriptures confront </w:t>
      </w:r>
      <w:r w:rsidR="008C2DFF" w:rsidRPr="001005B7">
        <w:t xml:space="preserve">assumptions in the world (noting ways in which the church in other parts of the world </w:t>
      </w:r>
      <w:r w:rsidR="00C306EE" w:rsidRPr="001005B7">
        <w:t>see</w:t>
      </w:r>
      <w:r w:rsidR="00DB74E9" w:rsidRPr="001005B7">
        <w:t>s</w:t>
      </w:r>
      <w:r w:rsidR="00C306EE" w:rsidRPr="001005B7">
        <w:t xml:space="preserve"> things differently from the </w:t>
      </w:r>
      <w:r w:rsidR="00E41C12" w:rsidRPr="001005B7">
        <w:t xml:space="preserve">way </w:t>
      </w:r>
      <w:r w:rsidR="00951334" w:rsidRPr="001005B7">
        <w:t>Westerners do</w:t>
      </w:r>
      <w:r w:rsidR="00C306EE" w:rsidRPr="001005B7">
        <w:t xml:space="preserve">) and </w:t>
      </w:r>
      <w:r w:rsidR="00C26A6A" w:rsidRPr="001005B7">
        <w:t xml:space="preserve">also </w:t>
      </w:r>
      <w:r w:rsidR="00C306EE" w:rsidRPr="001005B7">
        <w:t>t</w:t>
      </w:r>
      <w:r w:rsidR="00C26A6A" w:rsidRPr="001005B7">
        <w:t>o</w:t>
      </w:r>
      <w:r w:rsidR="00C306EE" w:rsidRPr="001005B7">
        <w:t xml:space="preserve"> consider where the world sees things that we do not.</w:t>
      </w:r>
      <w:r w:rsidR="000F017C" w:rsidRPr="001005B7">
        <w:t xml:space="preserve"> </w:t>
      </w:r>
      <w:r w:rsidR="00D722EF" w:rsidRPr="001005B7">
        <w:t>A related consideration is that i</w:t>
      </w:r>
      <w:r w:rsidR="007A4CDA" w:rsidRPr="001005B7">
        <w:t>t is tempting to assume that God’s wrath applies to other people</w:t>
      </w:r>
      <w:r w:rsidR="000356E6" w:rsidRPr="001005B7">
        <w:t>. We assume we would be on Ezekiel’s side</w:t>
      </w:r>
      <w:r w:rsidR="00A30A70" w:rsidRPr="001005B7">
        <w:t xml:space="preserve">, </w:t>
      </w:r>
      <w:r w:rsidR="00051EC9" w:rsidRPr="001005B7">
        <w:t>but we will be wiser to assume that we are the people of Jerusalem who need to run away from the coming wrath.</w:t>
      </w:r>
    </w:p>
    <w:p w14:paraId="29645A76" w14:textId="74EBD819" w:rsidR="00E966B0" w:rsidRPr="001005B7" w:rsidRDefault="00FB1B41" w:rsidP="00493833">
      <w:pPr>
        <w:pStyle w:val="Heading3"/>
        <w:rPr>
          <w:rFonts w:eastAsia="Times New Roman"/>
        </w:rPr>
      </w:pPr>
      <w:r w:rsidRPr="001005B7">
        <w:rPr>
          <w:rFonts w:eastAsia="Times New Roman"/>
        </w:rPr>
        <w:t xml:space="preserve">Selected </w:t>
      </w:r>
      <w:r w:rsidR="001B7DFC" w:rsidRPr="001005B7">
        <w:rPr>
          <w:rFonts w:eastAsia="Times New Roman"/>
        </w:rPr>
        <w:t>Bibliography</w:t>
      </w:r>
    </w:p>
    <w:p w14:paraId="11B602F4" w14:textId="1F84416C" w:rsidR="00F02C5C" w:rsidRPr="001005B7" w:rsidRDefault="00F02C5C" w:rsidP="006F5BB0">
      <w:pPr>
        <w:pStyle w:val="ListParagraph"/>
        <w:rPr>
          <w:color w:val="auto"/>
          <w:lang w:val="en-US"/>
        </w:rPr>
      </w:pPr>
      <w:r w:rsidRPr="001005B7">
        <w:rPr>
          <w:color w:val="auto"/>
          <w:lang w:val="en-US"/>
        </w:rPr>
        <w:t>Fischer,</w:t>
      </w:r>
      <w:r w:rsidR="00E621D5" w:rsidRPr="001005B7">
        <w:rPr>
          <w:color w:val="auto"/>
          <w:lang w:val="en-US"/>
        </w:rPr>
        <w:t xml:space="preserve"> Georg. “Pro and Contra Zion? </w:t>
      </w:r>
      <w:r w:rsidR="00D6426B" w:rsidRPr="001005B7">
        <w:rPr>
          <w:color w:val="auto"/>
          <w:lang w:val="en-US"/>
        </w:rPr>
        <w:t xml:space="preserve">A Comparison of </w:t>
      </w:r>
      <w:r w:rsidR="001E7E08" w:rsidRPr="001005B7">
        <w:rPr>
          <w:color w:val="auto"/>
          <w:lang w:val="en-US"/>
        </w:rPr>
        <w:t>t</w:t>
      </w:r>
      <w:r w:rsidR="00D6426B" w:rsidRPr="001005B7">
        <w:rPr>
          <w:color w:val="auto"/>
          <w:lang w:val="en-US"/>
        </w:rPr>
        <w:t xml:space="preserve">he Temple’s Role </w:t>
      </w:r>
      <w:r w:rsidR="001E7E08" w:rsidRPr="001005B7">
        <w:rPr>
          <w:color w:val="auto"/>
          <w:lang w:val="en-US"/>
        </w:rPr>
        <w:t>in the Boo</w:t>
      </w:r>
      <w:r w:rsidR="00B51E79" w:rsidRPr="001005B7">
        <w:rPr>
          <w:color w:val="auto"/>
          <w:lang w:val="en-US"/>
        </w:rPr>
        <w:t>k</w:t>
      </w:r>
      <w:r w:rsidR="001E7E08" w:rsidRPr="001005B7">
        <w:rPr>
          <w:color w:val="auto"/>
          <w:lang w:val="en-US"/>
        </w:rPr>
        <w:t xml:space="preserve">s of Ezekiel and Jeremiah.” </w:t>
      </w:r>
      <w:r w:rsidR="00B51E79" w:rsidRPr="001005B7">
        <w:rPr>
          <w:color w:val="auto"/>
          <w:lang w:val="en-US"/>
        </w:rPr>
        <w:t xml:space="preserve">In Georg Fischer, </w:t>
      </w:r>
      <w:r w:rsidR="00AB447B" w:rsidRPr="001005B7">
        <w:rPr>
          <w:i/>
          <w:iCs/>
          <w:color w:val="auto"/>
          <w:lang w:val="en-US"/>
        </w:rPr>
        <w:t>Jeremiah Studies: From Text and Context to Theology</w:t>
      </w:r>
      <w:r w:rsidR="00AB447B" w:rsidRPr="001005B7">
        <w:rPr>
          <w:color w:val="auto"/>
          <w:lang w:val="en-US"/>
        </w:rPr>
        <w:t xml:space="preserve">, </w:t>
      </w:r>
      <w:r w:rsidR="001E7E08" w:rsidRPr="001005B7">
        <w:rPr>
          <w:color w:val="auto"/>
          <w:lang w:val="en-US"/>
        </w:rPr>
        <w:t>177</w:t>
      </w:r>
      <w:r w:rsidR="00F46900" w:rsidRPr="001005B7">
        <w:rPr>
          <w:color w:val="auto"/>
          <w:lang w:val="en-US"/>
        </w:rPr>
        <w:t>–</w:t>
      </w:r>
      <w:r w:rsidR="00B51E79" w:rsidRPr="001005B7">
        <w:rPr>
          <w:color w:val="auto"/>
          <w:lang w:val="en-US"/>
        </w:rPr>
        <w:t xml:space="preserve">84. </w:t>
      </w:r>
      <w:r w:rsidR="00140D77" w:rsidRPr="001005B7">
        <w:rPr>
          <w:color w:val="auto"/>
          <w:lang w:val="en-US"/>
        </w:rPr>
        <w:t>FAT</w:t>
      </w:r>
      <w:r w:rsidR="006B6C1D" w:rsidRPr="001005B7">
        <w:rPr>
          <w:color w:val="auto"/>
          <w:lang w:val="en-US"/>
        </w:rPr>
        <w:t xml:space="preserve"> 139</w:t>
      </w:r>
      <w:r w:rsidR="00140D77" w:rsidRPr="001005B7">
        <w:rPr>
          <w:color w:val="auto"/>
          <w:lang w:val="en-US"/>
        </w:rPr>
        <w:t>. Tübingen: Mohr</w:t>
      </w:r>
      <w:r w:rsidR="003B747F" w:rsidRPr="001005B7">
        <w:rPr>
          <w:color w:val="auto"/>
          <w:lang w:val="en-US"/>
        </w:rPr>
        <w:t xml:space="preserve"> </w:t>
      </w:r>
      <w:proofErr w:type="spellStart"/>
      <w:r w:rsidR="003B747F" w:rsidRPr="001005B7">
        <w:rPr>
          <w:color w:val="auto"/>
          <w:lang w:val="en-US"/>
        </w:rPr>
        <w:t>Siebeck</w:t>
      </w:r>
      <w:proofErr w:type="spellEnd"/>
      <w:r w:rsidR="003B747F" w:rsidRPr="001005B7">
        <w:rPr>
          <w:color w:val="auto"/>
          <w:lang w:val="en-US"/>
        </w:rPr>
        <w:t>,</w:t>
      </w:r>
      <w:r w:rsidR="00140D77" w:rsidRPr="001005B7">
        <w:rPr>
          <w:color w:val="auto"/>
          <w:lang w:val="en-US"/>
        </w:rPr>
        <w:t xml:space="preserve"> 2020.</w:t>
      </w:r>
    </w:p>
    <w:p w14:paraId="6CC4007C" w14:textId="5CC511D7" w:rsidR="00487FDF" w:rsidRPr="001005B7" w:rsidRDefault="00487FDF" w:rsidP="006F5BB0">
      <w:pPr>
        <w:pStyle w:val="ListParagraph"/>
        <w:rPr>
          <w:color w:val="auto"/>
          <w:lang w:val="en-US"/>
        </w:rPr>
      </w:pPr>
      <w:r w:rsidRPr="001005B7">
        <w:rPr>
          <w:color w:val="auto"/>
          <w:lang w:val="en-US"/>
        </w:rPr>
        <w:t xml:space="preserve">Renz, Thomas. “The Use of Zion Tradition in the Book of Ezekiel.” In Richard S. Hess and Gordon J. Wenham, ed., </w:t>
      </w:r>
      <w:r w:rsidRPr="001005B7">
        <w:rPr>
          <w:i/>
          <w:iCs/>
          <w:color w:val="auto"/>
          <w:lang w:val="en-US"/>
        </w:rPr>
        <w:t>Zion City of Our God</w:t>
      </w:r>
      <w:r w:rsidR="00B578AB" w:rsidRPr="001005B7">
        <w:rPr>
          <w:color w:val="auto"/>
          <w:lang w:val="en-US"/>
        </w:rPr>
        <w:t>, 77</w:t>
      </w:r>
      <w:r w:rsidR="00F46900" w:rsidRPr="001005B7">
        <w:rPr>
          <w:color w:val="auto"/>
          <w:lang w:val="en-US"/>
        </w:rPr>
        <w:t>–</w:t>
      </w:r>
      <w:r w:rsidR="00B578AB" w:rsidRPr="001005B7">
        <w:rPr>
          <w:color w:val="auto"/>
          <w:lang w:val="en-US"/>
        </w:rPr>
        <w:t>103.</w:t>
      </w:r>
      <w:r w:rsidRPr="001005B7">
        <w:rPr>
          <w:color w:val="auto"/>
          <w:lang w:val="en-US"/>
        </w:rPr>
        <w:t xml:space="preserve"> Grand Rapids: Eerdmans, 1999.</w:t>
      </w:r>
    </w:p>
    <w:p w14:paraId="486E2CB2" w14:textId="30A52CCC" w:rsidR="00074C22" w:rsidRPr="001005B7" w:rsidRDefault="00074C22" w:rsidP="006F5BB0">
      <w:pPr>
        <w:pStyle w:val="ListParagraph"/>
        <w:rPr>
          <w:color w:val="auto"/>
          <w:lang w:val="en-US"/>
        </w:rPr>
      </w:pPr>
      <w:r w:rsidRPr="001005B7">
        <w:rPr>
          <w:color w:val="auto"/>
          <w:lang w:val="en-US"/>
        </w:rPr>
        <w:t>Rom-</w:t>
      </w:r>
      <w:proofErr w:type="spellStart"/>
      <w:r w:rsidRPr="001005B7">
        <w:rPr>
          <w:color w:val="auto"/>
          <w:lang w:val="en-US"/>
        </w:rPr>
        <w:t>Shiloni</w:t>
      </w:r>
      <w:proofErr w:type="spellEnd"/>
      <w:r w:rsidRPr="001005B7">
        <w:rPr>
          <w:color w:val="auto"/>
          <w:lang w:val="en-US"/>
        </w:rPr>
        <w:t xml:space="preserve">, Dalit. </w:t>
      </w:r>
      <w:r w:rsidR="00E132FB" w:rsidRPr="001005B7">
        <w:rPr>
          <w:color w:val="auto"/>
          <w:lang w:val="en-US"/>
        </w:rPr>
        <w:t xml:space="preserve">“From Ezekiel to Ezra–Nehemiah: Shifts of Group Identities within Babylonian Exilic Ideology.” In </w:t>
      </w:r>
      <w:r w:rsidR="00CF17A9" w:rsidRPr="001005B7">
        <w:rPr>
          <w:color w:val="auto"/>
          <w:lang w:val="en-US"/>
        </w:rPr>
        <w:t xml:space="preserve">Oded </w:t>
      </w:r>
      <w:proofErr w:type="spellStart"/>
      <w:r w:rsidR="00CF17A9" w:rsidRPr="001005B7">
        <w:rPr>
          <w:color w:val="auto"/>
          <w:lang w:val="en-US"/>
        </w:rPr>
        <w:t>Lipschits</w:t>
      </w:r>
      <w:proofErr w:type="spellEnd"/>
      <w:r w:rsidR="00CF17A9" w:rsidRPr="001005B7">
        <w:rPr>
          <w:color w:val="auto"/>
          <w:lang w:val="en-US"/>
        </w:rPr>
        <w:t xml:space="preserve">, Gary N. Knoppers, and Manfred Oeming, ed., </w:t>
      </w:r>
      <w:r w:rsidR="00CF17A9" w:rsidRPr="001005B7">
        <w:rPr>
          <w:i/>
          <w:iCs/>
          <w:color w:val="auto"/>
          <w:lang w:val="en-US"/>
        </w:rPr>
        <w:t>Judah and the Judeans in the Achaemenid Period: Negotiating Identity in an International Context</w:t>
      </w:r>
      <w:r w:rsidR="0064471C" w:rsidRPr="001005B7">
        <w:rPr>
          <w:color w:val="auto"/>
          <w:lang w:val="en-US"/>
        </w:rPr>
        <w:t>,</w:t>
      </w:r>
      <w:r w:rsidR="00E132FB" w:rsidRPr="001005B7">
        <w:rPr>
          <w:i/>
          <w:iCs/>
          <w:color w:val="auto"/>
          <w:lang w:val="en-US"/>
        </w:rPr>
        <w:t xml:space="preserve"> </w:t>
      </w:r>
      <w:r w:rsidR="000E34AF" w:rsidRPr="001005B7">
        <w:rPr>
          <w:i/>
          <w:iCs/>
          <w:color w:val="auto"/>
          <w:lang w:val="en-US"/>
        </w:rPr>
        <w:t>1</w:t>
      </w:r>
      <w:r w:rsidR="000E34AF" w:rsidRPr="001005B7">
        <w:rPr>
          <w:color w:val="auto"/>
          <w:lang w:val="en-US"/>
        </w:rPr>
        <w:t>27</w:t>
      </w:r>
      <w:r w:rsidR="00F46900" w:rsidRPr="001005B7">
        <w:rPr>
          <w:color w:val="auto"/>
          <w:lang w:val="en-US"/>
        </w:rPr>
        <w:t>–</w:t>
      </w:r>
      <w:r w:rsidR="000E34AF" w:rsidRPr="001005B7">
        <w:rPr>
          <w:color w:val="auto"/>
          <w:lang w:val="en-US"/>
        </w:rPr>
        <w:t>51.</w:t>
      </w:r>
      <w:r w:rsidR="00B92191" w:rsidRPr="001005B7">
        <w:rPr>
          <w:color w:val="auto"/>
          <w:lang w:val="en-US"/>
        </w:rPr>
        <w:t xml:space="preserve"> Winona Lake, IN: </w:t>
      </w:r>
      <w:proofErr w:type="spellStart"/>
      <w:r w:rsidR="00B92191" w:rsidRPr="001005B7">
        <w:rPr>
          <w:color w:val="auto"/>
          <w:lang w:val="en-US"/>
        </w:rPr>
        <w:t>Eisenbrauns</w:t>
      </w:r>
      <w:proofErr w:type="spellEnd"/>
      <w:r w:rsidR="00B92191" w:rsidRPr="001005B7">
        <w:rPr>
          <w:color w:val="auto"/>
          <w:lang w:val="en-US"/>
        </w:rPr>
        <w:t>,</w:t>
      </w:r>
      <w:r w:rsidR="000E34AF" w:rsidRPr="001005B7">
        <w:rPr>
          <w:color w:val="auto"/>
          <w:lang w:val="en-US"/>
        </w:rPr>
        <w:t xml:space="preserve"> </w:t>
      </w:r>
      <w:r w:rsidR="00F64B5F" w:rsidRPr="001005B7">
        <w:rPr>
          <w:color w:val="auto"/>
          <w:lang w:val="en-US"/>
        </w:rPr>
        <w:t>2011.</w:t>
      </w:r>
    </w:p>
    <w:p w14:paraId="57098D37" w14:textId="74906666" w:rsidR="00152BC7" w:rsidRPr="001005B7" w:rsidRDefault="00152BC7" w:rsidP="006F5BB0">
      <w:pPr>
        <w:pStyle w:val="ListParagraph"/>
        <w:rPr>
          <w:color w:val="auto"/>
          <w:lang w:val="en-US"/>
        </w:rPr>
      </w:pPr>
      <w:proofErr w:type="spellStart"/>
      <w:r w:rsidRPr="001005B7">
        <w:rPr>
          <w:color w:val="auto"/>
          <w:lang w:val="en-US"/>
        </w:rPr>
        <w:t>Strine</w:t>
      </w:r>
      <w:proofErr w:type="spellEnd"/>
      <w:r w:rsidRPr="001005B7">
        <w:rPr>
          <w:color w:val="auto"/>
          <w:lang w:val="en-US"/>
        </w:rPr>
        <w:t xml:space="preserve">, Casey </w:t>
      </w:r>
      <w:r w:rsidR="00F85491" w:rsidRPr="001005B7">
        <w:rPr>
          <w:color w:val="auto"/>
          <w:lang w:val="en-US"/>
        </w:rPr>
        <w:t xml:space="preserve">A. </w:t>
      </w:r>
      <w:r w:rsidR="00F85491" w:rsidRPr="001005B7">
        <w:rPr>
          <w:i/>
          <w:iCs/>
          <w:color w:val="auto"/>
          <w:lang w:val="en-US"/>
        </w:rPr>
        <w:t>Sworn Enemies</w:t>
      </w:r>
      <w:r w:rsidR="00F80D93" w:rsidRPr="001005B7">
        <w:rPr>
          <w:i/>
          <w:iCs/>
          <w:color w:val="auto"/>
          <w:lang w:val="en-US"/>
        </w:rPr>
        <w:t>:</w:t>
      </w:r>
      <w:r w:rsidR="00F85491" w:rsidRPr="001005B7">
        <w:rPr>
          <w:i/>
          <w:iCs/>
          <w:color w:val="auto"/>
          <w:lang w:val="en-US"/>
        </w:rPr>
        <w:t xml:space="preserve"> The Divine Oath, the Book of Ezekiel, and the Polemics of Exile</w:t>
      </w:r>
      <w:r w:rsidR="007121FE" w:rsidRPr="001005B7">
        <w:rPr>
          <w:color w:val="auto"/>
          <w:lang w:val="en-US"/>
        </w:rPr>
        <w:t xml:space="preserve">. BZAW 436. </w:t>
      </w:r>
      <w:r w:rsidR="001125AC" w:rsidRPr="001005B7">
        <w:rPr>
          <w:color w:val="auto"/>
          <w:lang w:val="en-US"/>
        </w:rPr>
        <w:t>Berlin: de Gruyter, 2013.</w:t>
      </w:r>
    </w:p>
    <w:p w14:paraId="6521D10B" w14:textId="62DC68C2" w:rsidR="00AA7455" w:rsidRPr="001005B7" w:rsidRDefault="00533FAE" w:rsidP="006F5BB0">
      <w:pPr>
        <w:pStyle w:val="ListParagraph"/>
        <w:rPr>
          <w:color w:val="auto"/>
          <w:lang w:val="en-US"/>
        </w:rPr>
      </w:pPr>
      <w:r w:rsidRPr="001005B7">
        <w:rPr>
          <w:color w:val="auto"/>
          <w:lang w:val="en-US"/>
        </w:rPr>
        <w:t xml:space="preserve">Sweeney, “Ezekiel’s Debate with Isaiah.” </w:t>
      </w:r>
      <w:r w:rsidR="00296CD3" w:rsidRPr="001005B7">
        <w:rPr>
          <w:color w:val="auto"/>
          <w:lang w:val="en-US"/>
        </w:rPr>
        <w:t xml:space="preserve">In </w:t>
      </w:r>
      <w:r w:rsidR="00F0369D" w:rsidRPr="001005B7">
        <w:rPr>
          <w:color w:val="auto"/>
          <w:lang w:val="en-US"/>
        </w:rPr>
        <w:t xml:space="preserve">André Lemaire, ed, </w:t>
      </w:r>
      <w:r w:rsidR="00AA7455" w:rsidRPr="001005B7">
        <w:rPr>
          <w:rStyle w:val="italics"/>
          <w:i/>
          <w:iCs/>
          <w:color w:val="auto"/>
          <w:lang w:val="en-US"/>
        </w:rPr>
        <w:t>Congress Volume</w:t>
      </w:r>
      <w:r w:rsidR="00FB472A" w:rsidRPr="001005B7">
        <w:rPr>
          <w:rStyle w:val="italics"/>
          <w:i/>
          <w:iCs/>
          <w:color w:val="auto"/>
          <w:lang w:val="en-US"/>
        </w:rPr>
        <w:t>:</w:t>
      </w:r>
      <w:r w:rsidR="00AA7455" w:rsidRPr="001005B7">
        <w:rPr>
          <w:rStyle w:val="italics"/>
          <w:i/>
          <w:iCs/>
          <w:color w:val="auto"/>
          <w:lang w:val="en-US"/>
        </w:rPr>
        <w:t xml:space="preserve"> Ljubljana 2007</w:t>
      </w:r>
      <w:r w:rsidR="00FB472A" w:rsidRPr="001005B7">
        <w:rPr>
          <w:rStyle w:val="italics"/>
          <w:color w:val="auto"/>
          <w:lang w:val="en-US"/>
        </w:rPr>
        <w:t>, 555</w:t>
      </w:r>
      <w:r w:rsidR="00F46900" w:rsidRPr="001005B7">
        <w:rPr>
          <w:rStyle w:val="italics"/>
          <w:color w:val="auto"/>
          <w:lang w:val="en-US"/>
        </w:rPr>
        <w:t>–</w:t>
      </w:r>
      <w:r w:rsidR="00FB472A" w:rsidRPr="001005B7">
        <w:rPr>
          <w:rStyle w:val="italics"/>
          <w:color w:val="auto"/>
          <w:lang w:val="en-US"/>
        </w:rPr>
        <w:t>74.</w:t>
      </w:r>
      <w:r w:rsidR="00AA7455" w:rsidRPr="001005B7">
        <w:rPr>
          <w:color w:val="auto"/>
          <w:lang w:val="en-US"/>
        </w:rPr>
        <w:t> </w:t>
      </w:r>
      <w:proofErr w:type="spellStart"/>
      <w:r w:rsidR="00AA7455" w:rsidRPr="001005B7">
        <w:rPr>
          <w:color w:val="auto"/>
          <w:lang w:val="en-US"/>
        </w:rPr>
        <w:t>VTSup</w:t>
      </w:r>
      <w:proofErr w:type="spellEnd"/>
      <w:r w:rsidR="00AA7455" w:rsidRPr="001005B7">
        <w:rPr>
          <w:color w:val="auto"/>
          <w:lang w:val="en-US"/>
        </w:rPr>
        <w:t xml:space="preserve"> 133</w:t>
      </w:r>
      <w:r w:rsidR="00FB472A" w:rsidRPr="001005B7">
        <w:rPr>
          <w:color w:val="auto"/>
          <w:lang w:val="en-US"/>
        </w:rPr>
        <w:t>.</w:t>
      </w:r>
      <w:r w:rsidR="00AA7455" w:rsidRPr="001005B7">
        <w:rPr>
          <w:color w:val="auto"/>
          <w:lang w:val="en-US"/>
        </w:rPr>
        <w:t xml:space="preserve"> Leiden: Brill, 2010</w:t>
      </w:r>
      <w:r w:rsidR="00FB472A" w:rsidRPr="001005B7">
        <w:rPr>
          <w:color w:val="auto"/>
          <w:lang w:val="en-US"/>
        </w:rPr>
        <w:t>.</w:t>
      </w:r>
      <w:r w:rsidR="00AA7455" w:rsidRPr="001005B7">
        <w:rPr>
          <w:color w:val="auto"/>
          <w:lang w:val="en-US"/>
        </w:rPr>
        <w:t>. </w:t>
      </w:r>
    </w:p>
    <w:p w14:paraId="72A15A2C" w14:textId="2505B882" w:rsidR="00506AD2" w:rsidRPr="001005B7" w:rsidRDefault="00BD7D51" w:rsidP="006F5BB0">
      <w:pPr>
        <w:pStyle w:val="ListParagraph"/>
        <w:rPr>
          <w:color w:val="auto"/>
          <w:lang w:val="en-US"/>
        </w:rPr>
      </w:pPr>
      <w:proofErr w:type="spellStart"/>
      <w:r w:rsidRPr="001005B7">
        <w:rPr>
          <w:color w:val="auto"/>
          <w:lang w:val="en-US"/>
        </w:rPr>
        <w:t>Tooman</w:t>
      </w:r>
      <w:proofErr w:type="spellEnd"/>
      <w:r w:rsidRPr="001005B7">
        <w:rPr>
          <w:color w:val="auto"/>
          <w:lang w:val="en-US"/>
        </w:rPr>
        <w:t>, William. “</w:t>
      </w:r>
      <w:r w:rsidR="005B22C2" w:rsidRPr="001005B7">
        <w:rPr>
          <w:color w:val="auto"/>
          <w:lang w:val="en-US"/>
        </w:rPr>
        <w:t>On the Meaning of</w:t>
      </w:r>
      <w:r w:rsidR="00BE6FB5" w:rsidRPr="001005B7">
        <w:rPr>
          <w:color w:val="auto"/>
          <w:lang w:val="en-US"/>
        </w:rPr>
        <w:t xml:space="preserve"> </w:t>
      </w:r>
      <w:r w:rsidR="004A622B" w:rsidRPr="001005B7">
        <w:rPr>
          <w:i/>
          <w:color w:val="auto"/>
          <w:rtl/>
          <w:lang w:val="en-US" w:bidi="he-IL"/>
        </w:rPr>
        <w:t>דֶּבֶר</w:t>
      </w:r>
      <w:r w:rsidR="00F14A55" w:rsidRPr="001005B7">
        <w:rPr>
          <w:i/>
          <w:color w:val="auto"/>
          <w:rtl/>
          <w:lang w:val="en-US" w:bidi="he-IL"/>
        </w:rPr>
        <w:t xml:space="preserve"> </w:t>
      </w:r>
      <w:r w:rsidR="003A4073" w:rsidRPr="001005B7">
        <w:rPr>
          <w:i/>
          <w:color w:val="auto"/>
          <w:rtl/>
          <w:lang w:val="en-US" w:bidi="he-IL"/>
        </w:rPr>
        <w:t>וָדָם</w:t>
      </w:r>
      <w:r w:rsidR="005B22C2" w:rsidRPr="001005B7">
        <w:rPr>
          <w:color w:val="auto"/>
          <w:lang w:val="en-US"/>
        </w:rPr>
        <w:t xml:space="preserve"> in Ezekiel (5:17,</w:t>
      </w:r>
      <w:r w:rsidR="00467E48" w:rsidRPr="001005B7">
        <w:rPr>
          <w:color w:val="auto"/>
          <w:lang w:val="en-US"/>
        </w:rPr>
        <w:t xml:space="preserve"> </w:t>
      </w:r>
      <w:r w:rsidR="005B22C2" w:rsidRPr="001005B7">
        <w:rPr>
          <w:color w:val="auto"/>
          <w:lang w:val="en-US"/>
        </w:rPr>
        <w:t>14:19,</w:t>
      </w:r>
      <w:r w:rsidR="00467E48" w:rsidRPr="001005B7">
        <w:rPr>
          <w:color w:val="auto"/>
          <w:lang w:val="en-US"/>
        </w:rPr>
        <w:t xml:space="preserve"> </w:t>
      </w:r>
      <w:r w:rsidR="005B22C2" w:rsidRPr="001005B7">
        <w:rPr>
          <w:color w:val="auto"/>
          <w:lang w:val="en-US"/>
        </w:rPr>
        <w:t>28:23,</w:t>
      </w:r>
      <w:r w:rsidR="00467E48" w:rsidRPr="001005B7">
        <w:rPr>
          <w:color w:val="auto"/>
          <w:lang w:val="en-US"/>
        </w:rPr>
        <w:t xml:space="preserve"> </w:t>
      </w:r>
      <w:r w:rsidR="005B22C2" w:rsidRPr="001005B7">
        <w:rPr>
          <w:color w:val="auto"/>
          <w:lang w:val="en-US"/>
        </w:rPr>
        <w:t>38:22)</w:t>
      </w:r>
      <w:r w:rsidRPr="001005B7">
        <w:rPr>
          <w:color w:val="auto"/>
          <w:lang w:val="en-US"/>
        </w:rPr>
        <w:t xml:space="preserve">.” </w:t>
      </w:r>
      <w:r w:rsidRPr="001005B7">
        <w:rPr>
          <w:i/>
          <w:color w:val="auto"/>
          <w:lang w:val="en-US"/>
        </w:rPr>
        <w:t>VT</w:t>
      </w:r>
      <w:r w:rsidR="002A11B7" w:rsidRPr="001005B7">
        <w:rPr>
          <w:i/>
          <w:color w:val="auto"/>
          <w:lang w:val="en-US"/>
        </w:rPr>
        <w:t xml:space="preserve"> </w:t>
      </w:r>
      <w:r w:rsidR="002A11B7" w:rsidRPr="001005B7">
        <w:rPr>
          <w:color w:val="auto"/>
          <w:lang w:val="en-US"/>
        </w:rPr>
        <w:t>60 (2010): 666</w:t>
      </w:r>
      <w:r w:rsidR="00F46900" w:rsidRPr="001005B7">
        <w:rPr>
          <w:color w:val="auto"/>
          <w:lang w:val="en-US"/>
        </w:rPr>
        <w:t>–</w:t>
      </w:r>
      <w:r w:rsidR="002A11B7" w:rsidRPr="001005B7">
        <w:rPr>
          <w:color w:val="auto"/>
          <w:lang w:val="en-US"/>
        </w:rPr>
        <w:t>68.</w:t>
      </w:r>
    </w:p>
    <w:p w14:paraId="584E63EB" w14:textId="77777777" w:rsidR="00506AD2" w:rsidRPr="001005B7" w:rsidRDefault="009C4E2E" w:rsidP="006F5BB0">
      <w:pPr>
        <w:pStyle w:val="ListParagraph"/>
        <w:rPr>
          <w:color w:val="auto"/>
          <w:lang w:val="en-US"/>
        </w:rPr>
      </w:pPr>
      <w:proofErr w:type="spellStart"/>
      <w:r w:rsidRPr="001005B7">
        <w:rPr>
          <w:color w:val="auto"/>
          <w:lang w:val="en-US"/>
        </w:rPr>
        <w:t>Wahonya</w:t>
      </w:r>
      <w:proofErr w:type="spellEnd"/>
      <w:r w:rsidRPr="001005B7">
        <w:rPr>
          <w:color w:val="auto"/>
          <w:lang w:val="en-US"/>
        </w:rPr>
        <w:t>, Paul Onyango</w:t>
      </w:r>
      <w:r w:rsidR="00664630" w:rsidRPr="001005B7">
        <w:rPr>
          <w:color w:val="auto"/>
          <w:lang w:val="en-US"/>
        </w:rPr>
        <w:t>. “</w:t>
      </w:r>
      <w:r w:rsidR="00CD6CA5" w:rsidRPr="001005B7">
        <w:rPr>
          <w:color w:val="auto"/>
          <w:lang w:val="en-US"/>
        </w:rPr>
        <w:t xml:space="preserve">Ezekiel 5:5-17 and Theodicy: </w:t>
      </w:r>
      <w:r w:rsidR="00664630" w:rsidRPr="001005B7">
        <w:rPr>
          <w:color w:val="auto"/>
          <w:lang w:val="en-US"/>
        </w:rPr>
        <w:t>A</w:t>
      </w:r>
      <w:r w:rsidR="00CD6CA5" w:rsidRPr="001005B7">
        <w:rPr>
          <w:color w:val="auto"/>
          <w:lang w:val="en-US"/>
        </w:rPr>
        <w:t xml:space="preserve"> Theological</w:t>
      </w:r>
      <w:r w:rsidR="00C25824" w:rsidRPr="001005B7">
        <w:rPr>
          <w:color w:val="auto"/>
          <w:lang w:val="en-US"/>
        </w:rPr>
        <w:t xml:space="preserve"> </w:t>
      </w:r>
      <w:r w:rsidR="00CD6CA5" w:rsidRPr="001005B7">
        <w:rPr>
          <w:color w:val="auto"/>
          <w:lang w:val="en-US"/>
        </w:rPr>
        <w:t>Investigation of the Character of God</w:t>
      </w:r>
      <w:r w:rsidR="00664630" w:rsidRPr="001005B7">
        <w:rPr>
          <w:color w:val="auto"/>
          <w:lang w:val="en-US"/>
        </w:rPr>
        <w:t>.</w:t>
      </w:r>
      <w:r w:rsidR="00C25824" w:rsidRPr="001005B7">
        <w:rPr>
          <w:color w:val="auto"/>
          <w:lang w:val="en-US"/>
        </w:rPr>
        <w:t>”</w:t>
      </w:r>
      <w:r w:rsidR="00664630" w:rsidRPr="001005B7">
        <w:rPr>
          <w:color w:val="auto"/>
          <w:lang w:val="en-US"/>
        </w:rPr>
        <w:t xml:space="preserve"> </w:t>
      </w:r>
      <w:r w:rsidR="00C25824" w:rsidRPr="001005B7">
        <w:rPr>
          <w:color w:val="auto"/>
          <w:lang w:val="en-US"/>
        </w:rPr>
        <w:t xml:space="preserve">Diss. </w:t>
      </w:r>
      <w:r w:rsidR="00664630" w:rsidRPr="001005B7">
        <w:rPr>
          <w:color w:val="auto"/>
          <w:lang w:val="en-US"/>
        </w:rPr>
        <w:t>Andrews University, 2011.</w:t>
      </w:r>
    </w:p>
    <w:p w14:paraId="7C9A68A8" w14:textId="2CA67683" w:rsidR="000A35D1" w:rsidRPr="001005B7" w:rsidRDefault="000A35D1" w:rsidP="006F5BB0">
      <w:pPr>
        <w:pStyle w:val="ListParagraph"/>
        <w:rPr>
          <w:color w:val="auto"/>
          <w:lang w:val="en-US"/>
        </w:rPr>
      </w:pPr>
      <w:r w:rsidRPr="001005B7">
        <w:rPr>
          <w:color w:val="auto"/>
          <w:lang w:val="en-US"/>
        </w:rPr>
        <w:t xml:space="preserve">Wong, Ka Leung. </w:t>
      </w:r>
      <w:r w:rsidR="00BF0659" w:rsidRPr="001005B7">
        <w:rPr>
          <w:i/>
          <w:iCs/>
          <w:color w:val="auto"/>
          <w:lang w:val="en-US"/>
        </w:rPr>
        <w:t>The Idea of Retribution in the Book of Ezekiel</w:t>
      </w:r>
      <w:r w:rsidR="00BF0659" w:rsidRPr="001005B7">
        <w:rPr>
          <w:color w:val="auto"/>
          <w:lang w:val="en-US"/>
        </w:rPr>
        <w:t xml:space="preserve">. </w:t>
      </w:r>
      <w:proofErr w:type="spellStart"/>
      <w:r w:rsidR="00BF0659" w:rsidRPr="001005B7">
        <w:rPr>
          <w:color w:val="auto"/>
          <w:lang w:val="en-US"/>
        </w:rPr>
        <w:t>VTSup</w:t>
      </w:r>
      <w:proofErr w:type="spellEnd"/>
      <w:r w:rsidR="00BF0659" w:rsidRPr="001005B7">
        <w:rPr>
          <w:color w:val="auto"/>
          <w:lang w:val="en-US"/>
        </w:rPr>
        <w:t xml:space="preserve"> </w:t>
      </w:r>
      <w:r w:rsidR="00E313B8" w:rsidRPr="001005B7">
        <w:rPr>
          <w:color w:val="auto"/>
          <w:lang w:val="en-US"/>
        </w:rPr>
        <w:t>87. Leiden: Brill, 2001.</w:t>
      </w:r>
    </w:p>
    <w:p w14:paraId="7BA462FE" w14:textId="05753C6B" w:rsidR="003B5CDE" w:rsidRPr="001005B7" w:rsidRDefault="00630385" w:rsidP="00693E38">
      <w:pPr>
        <w:pStyle w:val="Heading2"/>
        <w:rPr>
          <w:color w:val="auto"/>
        </w:rPr>
      </w:pPr>
      <w:r w:rsidRPr="001005B7">
        <w:rPr>
          <w:color w:val="auto"/>
        </w:rPr>
        <w:t>Yahweh Issues Th</w:t>
      </w:r>
      <w:r w:rsidR="00C901B6" w:rsidRPr="001005B7">
        <w:rPr>
          <w:color w:val="auto"/>
        </w:rPr>
        <w:t xml:space="preserve">reats Concerning Judah’s Shrines </w:t>
      </w:r>
      <w:r w:rsidR="00091045" w:rsidRPr="001005B7">
        <w:rPr>
          <w:color w:val="auto"/>
        </w:rPr>
        <w:t>(6</w:t>
      </w:r>
      <w:r w:rsidR="00985B77" w:rsidRPr="001005B7">
        <w:rPr>
          <w:color w:val="auto"/>
        </w:rPr>
        <w:t>:1</w:t>
      </w:r>
      <w:r w:rsidR="00F46900" w:rsidRPr="001005B7">
        <w:rPr>
          <w:color w:val="auto"/>
        </w:rPr>
        <w:t>–</w:t>
      </w:r>
      <w:r w:rsidR="00985B77" w:rsidRPr="001005B7">
        <w:rPr>
          <w:color w:val="auto"/>
        </w:rPr>
        <w:t>14)</w:t>
      </w:r>
    </w:p>
    <w:p w14:paraId="7AE040AB" w14:textId="4DD3FCFC" w:rsidR="00985B77" w:rsidRPr="001005B7" w:rsidRDefault="00985B77" w:rsidP="00493833">
      <w:pPr>
        <w:pStyle w:val="Heading3"/>
        <w:rPr>
          <w:i/>
        </w:rPr>
      </w:pPr>
      <w:r w:rsidRPr="001005B7">
        <w:t>Outline</w:t>
      </w:r>
    </w:p>
    <w:p w14:paraId="13D724EB" w14:textId="129DC008" w:rsidR="003310BB" w:rsidRPr="001005B7" w:rsidRDefault="00D11073" w:rsidP="008C3A7F">
      <w:r w:rsidRPr="001005B7">
        <w:t>Ezek 6</w:t>
      </w:r>
      <w:r w:rsidR="00AB5A3C" w:rsidRPr="001005B7">
        <w:t xml:space="preserve"> again follows on from </w:t>
      </w:r>
      <w:r w:rsidR="00282047" w:rsidRPr="001005B7">
        <w:t>what precedes</w:t>
      </w:r>
      <w:r w:rsidR="00AB5A3C" w:rsidRPr="001005B7">
        <w:t xml:space="preserve"> but also moves in a new direction. </w:t>
      </w:r>
      <w:r w:rsidR="002D69F2" w:rsidRPr="001005B7">
        <w:t xml:space="preserve">Yahweh continues to issue </w:t>
      </w:r>
      <w:r w:rsidR="00E2191B" w:rsidRPr="001005B7">
        <w:t>warning</w:t>
      </w:r>
      <w:r w:rsidR="002D69F2" w:rsidRPr="001005B7">
        <w:t xml:space="preserve">s </w:t>
      </w:r>
      <w:r w:rsidR="0080105A" w:rsidRPr="001005B7">
        <w:t>regarding</w:t>
      </w:r>
      <w:r w:rsidR="002D69F2" w:rsidRPr="001005B7">
        <w:t xml:space="preserve"> his people’s worship and to take up </w:t>
      </w:r>
      <w:r w:rsidR="00E2191B" w:rsidRPr="001005B7">
        <w:t>motifs from his threats in Lev 26</w:t>
      </w:r>
      <w:r w:rsidR="00B51BD5" w:rsidRPr="001005B7">
        <w:t xml:space="preserve">—the same </w:t>
      </w:r>
      <w:r w:rsidR="0080105A" w:rsidRPr="001005B7">
        <w:t>threats</w:t>
      </w:r>
      <w:r w:rsidR="002105DC" w:rsidRPr="001005B7">
        <w:t>,</w:t>
      </w:r>
      <w:r w:rsidR="00B51BD5" w:rsidRPr="001005B7">
        <w:t xml:space="preserve"> and some different ones</w:t>
      </w:r>
      <w:r w:rsidR="00F038A5" w:rsidRPr="001005B7">
        <w:t xml:space="preserve"> (see especially </w:t>
      </w:r>
      <w:r w:rsidR="0042084A" w:rsidRPr="001005B7">
        <w:t>Lev 26:</w:t>
      </w:r>
      <w:r w:rsidR="00F038A5" w:rsidRPr="001005B7">
        <w:t>30</w:t>
      </w:r>
      <w:r w:rsidR="00F46900" w:rsidRPr="001005B7">
        <w:t>–</w:t>
      </w:r>
      <w:r w:rsidR="00F038A5" w:rsidRPr="001005B7">
        <w:t>33)</w:t>
      </w:r>
      <w:r w:rsidR="00E2191B" w:rsidRPr="001005B7">
        <w:t>.</w:t>
      </w:r>
      <w:r w:rsidR="00FA1CA3" w:rsidRPr="001005B7">
        <w:t xml:space="preserve"> He again speaks of causing </w:t>
      </w:r>
      <w:r w:rsidR="00CF6E98" w:rsidRPr="001005B7">
        <w:t>the</w:t>
      </w:r>
      <w:r w:rsidR="00FA1CA3" w:rsidRPr="001005B7">
        <w:t xml:space="preserve"> sword to come against the people</w:t>
      </w:r>
      <w:r w:rsidR="00CE139A" w:rsidRPr="001005B7">
        <w:t xml:space="preserve"> </w:t>
      </w:r>
      <w:r w:rsidR="00C860AA" w:rsidRPr="001005B7">
        <w:t>(cf. 5:17; Lev 26:25)</w:t>
      </w:r>
      <w:r w:rsidR="00BA3372" w:rsidRPr="001005B7">
        <w:t>,</w:t>
      </w:r>
      <w:r w:rsidR="00CF6E98" w:rsidRPr="001005B7">
        <w:t xml:space="preserve"> of</w:t>
      </w:r>
      <w:r w:rsidR="00BA3372" w:rsidRPr="001005B7">
        <w:t xml:space="preserve"> expend</w:t>
      </w:r>
      <w:r w:rsidR="00895C74" w:rsidRPr="001005B7">
        <w:t>ing</w:t>
      </w:r>
      <w:r w:rsidR="00BA3372" w:rsidRPr="001005B7">
        <w:t xml:space="preserve"> fury</w:t>
      </w:r>
      <w:r w:rsidR="00047800" w:rsidRPr="001005B7">
        <w:t xml:space="preserve"> (</w:t>
      </w:r>
      <w:r w:rsidR="004E7540" w:rsidRPr="001005B7">
        <w:t xml:space="preserve">cf. </w:t>
      </w:r>
      <w:r w:rsidR="00047800" w:rsidRPr="001005B7">
        <w:t>5:13)</w:t>
      </w:r>
      <w:r w:rsidR="00BA3372" w:rsidRPr="001005B7">
        <w:t xml:space="preserve">, </w:t>
      </w:r>
      <w:r w:rsidR="00895C74" w:rsidRPr="001005B7">
        <w:t xml:space="preserve">of </w:t>
      </w:r>
      <w:r w:rsidR="004764F3" w:rsidRPr="001005B7">
        <w:t>wasting</w:t>
      </w:r>
      <w:r w:rsidR="00937B13" w:rsidRPr="001005B7">
        <w:t xml:space="preserve"> (</w:t>
      </w:r>
      <w:r w:rsidR="004E7540" w:rsidRPr="001005B7">
        <w:t xml:space="preserve">cf. </w:t>
      </w:r>
      <w:r w:rsidR="00937B13" w:rsidRPr="001005B7">
        <w:t>5:14</w:t>
      </w:r>
      <w:r w:rsidR="006A3561" w:rsidRPr="001005B7">
        <w:t>; Lev</w:t>
      </w:r>
      <w:r w:rsidR="00A179C1" w:rsidRPr="001005B7">
        <w:t xml:space="preserve"> 26:31, 33</w:t>
      </w:r>
      <w:r w:rsidR="00937B13" w:rsidRPr="001005B7">
        <w:t>)</w:t>
      </w:r>
      <w:r w:rsidR="00CF6E98" w:rsidRPr="001005B7">
        <w:t xml:space="preserve">, </w:t>
      </w:r>
      <w:r w:rsidR="009F15F0" w:rsidRPr="001005B7">
        <w:t>of sc</w:t>
      </w:r>
      <w:r w:rsidR="0024481E" w:rsidRPr="001005B7">
        <w:t>a</w:t>
      </w:r>
      <w:r w:rsidR="009F15F0" w:rsidRPr="001005B7">
        <w:t>ttering (</w:t>
      </w:r>
      <w:r w:rsidR="004E7540" w:rsidRPr="001005B7">
        <w:t xml:space="preserve">cf. </w:t>
      </w:r>
      <w:r w:rsidR="00423BB6" w:rsidRPr="001005B7">
        <w:t>5:2, Lev 26:33</w:t>
      </w:r>
      <w:r w:rsidR="001F7E0E" w:rsidRPr="001005B7">
        <w:t xml:space="preserve">, </w:t>
      </w:r>
      <w:r w:rsidR="0024481E" w:rsidRPr="001005B7">
        <w:t xml:space="preserve">though here </w:t>
      </w:r>
      <w:r w:rsidR="002A15EF" w:rsidRPr="001005B7">
        <w:t xml:space="preserve">scattering of </w:t>
      </w:r>
      <w:r w:rsidR="0024481E" w:rsidRPr="001005B7">
        <w:t xml:space="preserve">bones), </w:t>
      </w:r>
      <w:r w:rsidR="00CF6E98" w:rsidRPr="001005B7">
        <w:t xml:space="preserve">and of the unholy trinity of </w:t>
      </w:r>
      <w:r w:rsidR="00A04644" w:rsidRPr="001005B7">
        <w:t xml:space="preserve">epidemic, famine, and </w:t>
      </w:r>
      <w:r w:rsidR="00BA3372" w:rsidRPr="001005B7">
        <w:t>swor</w:t>
      </w:r>
      <w:r w:rsidR="00A04644" w:rsidRPr="001005B7">
        <w:t>d</w:t>
      </w:r>
      <w:r w:rsidR="00BC1FF9" w:rsidRPr="001005B7">
        <w:t xml:space="preserve"> (</w:t>
      </w:r>
      <w:r w:rsidR="002A15EF" w:rsidRPr="001005B7">
        <w:t xml:space="preserve">cf. </w:t>
      </w:r>
      <w:r w:rsidR="0053118C" w:rsidRPr="001005B7">
        <w:t>5:16</w:t>
      </w:r>
      <w:r w:rsidR="00F46900" w:rsidRPr="001005B7">
        <w:t>–</w:t>
      </w:r>
      <w:r w:rsidR="0053118C" w:rsidRPr="001005B7">
        <w:t xml:space="preserve">17, </w:t>
      </w:r>
      <w:r w:rsidR="00C61585" w:rsidRPr="001005B7">
        <w:t>Lev</w:t>
      </w:r>
      <w:r w:rsidR="00223CF4" w:rsidRPr="001005B7">
        <w:t xml:space="preserve"> </w:t>
      </w:r>
      <w:r w:rsidR="0022313D" w:rsidRPr="001005B7">
        <w:t>26:25</w:t>
      </w:r>
      <w:r w:rsidR="00223CF4" w:rsidRPr="001005B7">
        <w:t xml:space="preserve">, </w:t>
      </w:r>
      <w:r w:rsidR="00BC1FF9" w:rsidRPr="001005B7">
        <w:t>though here in the order</w:t>
      </w:r>
      <w:r w:rsidR="00A04644" w:rsidRPr="001005B7">
        <w:t xml:space="preserve"> sword, famine, and epidemic</w:t>
      </w:r>
      <w:r w:rsidR="00283D3F" w:rsidRPr="001005B7">
        <w:t>, then epidemic, sword, famine</w:t>
      </w:r>
      <w:r w:rsidR="00A04644" w:rsidRPr="001005B7">
        <w:t>)</w:t>
      </w:r>
      <w:r w:rsidR="0017341D" w:rsidRPr="001005B7">
        <w:t>.</w:t>
      </w:r>
    </w:p>
    <w:p w14:paraId="1507B0BB" w14:textId="34148C47" w:rsidR="00F54FF8" w:rsidRPr="001005B7" w:rsidRDefault="0000329D" w:rsidP="00C901B6">
      <w:r w:rsidRPr="001005B7">
        <w:t xml:space="preserve">But </w:t>
      </w:r>
      <w:r w:rsidR="007E7406" w:rsidRPr="001005B7">
        <w:t>where</w:t>
      </w:r>
      <w:r w:rsidRPr="001005B7">
        <w:t>a</w:t>
      </w:r>
      <w:r w:rsidR="00C97AD4" w:rsidRPr="001005B7">
        <w:t xml:space="preserve">s Ezekiel was </w:t>
      </w:r>
      <w:r w:rsidR="004F14D2" w:rsidRPr="001005B7">
        <w:t xml:space="preserve">previously </w:t>
      </w:r>
      <w:r w:rsidR="00C97AD4" w:rsidRPr="001005B7">
        <w:t xml:space="preserve">to set his face </w:t>
      </w:r>
      <w:r w:rsidR="004224D7" w:rsidRPr="001005B7">
        <w:t>towards Jerusalem</w:t>
      </w:r>
      <w:r w:rsidR="000A735F" w:rsidRPr="001005B7">
        <w:t xml:space="preserve"> (4:</w:t>
      </w:r>
      <w:r w:rsidR="0015658D" w:rsidRPr="001005B7">
        <w:t>3, 7)</w:t>
      </w:r>
      <w:r w:rsidR="0016421B" w:rsidRPr="001005B7">
        <w:t xml:space="preserve"> in light of the </w:t>
      </w:r>
      <w:r w:rsidR="00C451F3" w:rsidRPr="001005B7">
        <w:t>def</w:t>
      </w:r>
      <w:r w:rsidR="003B3FD4" w:rsidRPr="001005B7">
        <w:t>i</w:t>
      </w:r>
      <w:r w:rsidR="00C451F3" w:rsidRPr="001005B7">
        <w:t xml:space="preserve">ling of </w:t>
      </w:r>
      <w:r w:rsidR="001508E7" w:rsidRPr="001005B7">
        <w:t>Yahweh</w:t>
      </w:r>
      <w:r w:rsidR="00966EFC" w:rsidRPr="001005B7">
        <w:t>’s</w:t>
      </w:r>
      <w:r w:rsidR="003B3FD4" w:rsidRPr="001005B7">
        <w:t xml:space="preserve"> sanctuary</w:t>
      </w:r>
      <w:r w:rsidR="00C50490" w:rsidRPr="001005B7">
        <w:t xml:space="preserve"> (5:11)</w:t>
      </w:r>
      <w:r w:rsidR="004224D7" w:rsidRPr="001005B7">
        <w:t xml:space="preserve">, he is now to direct his face </w:t>
      </w:r>
      <w:r w:rsidR="00BF6350" w:rsidRPr="001005B7">
        <w:t xml:space="preserve">towards </w:t>
      </w:r>
      <w:r w:rsidR="0015486E" w:rsidRPr="001005B7">
        <w:t>the land more broadly</w:t>
      </w:r>
      <w:r w:rsidR="001664C0" w:rsidRPr="001005B7">
        <w:t>,</w:t>
      </w:r>
      <w:r w:rsidR="00C50490" w:rsidRPr="001005B7">
        <w:t xml:space="preserve"> </w:t>
      </w:r>
      <w:r w:rsidR="00497551" w:rsidRPr="001005B7">
        <w:t xml:space="preserve">and </w:t>
      </w:r>
      <w:r w:rsidR="001767DB" w:rsidRPr="001005B7">
        <w:t xml:space="preserve">specifically to </w:t>
      </w:r>
      <w:r w:rsidR="00E31BE2" w:rsidRPr="001005B7">
        <w:t xml:space="preserve">issue warning about </w:t>
      </w:r>
      <w:r w:rsidR="001767DB" w:rsidRPr="001005B7">
        <w:t>its shrines</w:t>
      </w:r>
      <w:r w:rsidR="00B55220" w:rsidRPr="001005B7">
        <w:t>,</w:t>
      </w:r>
      <w:r w:rsidR="001767DB" w:rsidRPr="001005B7">
        <w:t xml:space="preserve"> in light of his people’s whoring</w:t>
      </w:r>
      <w:r w:rsidR="004F14D2" w:rsidRPr="001005B7">
        <w:t>. E</w:t>
      </w:r>
      <w:r w:rsidR="00032B34" w:rsidRPr="001005B7">
        <w:t>vidently the same issues arise elsewhere in the country as arise in Jerusalem</w:t>
      </w:r>
      <w:r w:rsidR="004F14D2" w:rsidRPr="001005B7">
        <w:t xml:space="preserve">, </w:t>
      </w:r>
      <w:r w:rsidR="00CD078C" w:rsidRPr="001005B7">
        <w:t>and</w:t>
      </w:r>
      <w:r w:rsidR="004F14D2" w:rsidRPr="001005B7">
        <w:t xml:space="preserve"> Yahweh is now more concrete about </w:t>
      </w:r>
      <w:r w:rsidR="005949E8" w:rsidRPr="001005B7">
        <w:t xml:space="preserve">ways in which people are turning away from </w:t>
      </w:r>
      <w:r w:rsidR="00966EFC" w:rsidRPr="001005B7">
        <w:t>him</w:t>
      </w:r>
      <w:r w:rsidR="005949E8" w:rsidRPr="001005B7">
        <w:t xml:space="preserve">. </w:t>
      </w:r>
      <w:r w:rsidR="00C66B42" w:rsidRPr="001005B7">
        <w:t xml:space="preserve">Conversely, </w:t>
      </w:r>
      <w:r w:rsidR="00144BFF" w:rsidRPr="001005B7">
        <w:t>he takes up the motif of</w:t>
      </w:r>
      <w:r w:rsidR="00AE7F54" w:rsidRPr="001005B7">
        <w:t xml:space="preserve"> people</w:t>
      </w:r>
      <w:r w:rsidR="00144BFF" w:rsidRPr="001005B7">
        <w:t xml:space="preserve"> acknowledg</w:t>
      </w:r>
      <w:r w:rsidR="00906F4D" w:rsidRPr="001005B7">
        <w:t xml:space="preserve">ing some truth about </w:t>
      </w:r>
      <w:r w:rsidR="00B4097D" w:rsidRPr="001005B7">
        <w:t>him</w:t>
      </w:r>
      <w:r w:rsidR="00650697" w:rsidRPr="001005B7">
        <w:t xml:space="preserve"> (5:1</w:t>
      </w:r>
      <w:r w:rsidR="00906F4D" w:rsidRPr="001005B7">
        <w:t>3</w:t>
      </w:r>
      <w:r w:rsidR="00650697" w:rsidRPr="001005B7">
        <w:t>)</w:t>
      </w:r>
      <w:r w:rsidR="00144BFF" w:rsidRPr="001005B7">
        <w:t xml:space="preserve">, but for the </w:t>
      </w:r>
      <w:r w:rsidR="00946945" w:rsidRPr="001005B7">
        <w:t xml:space="preserve">first time </w:t>
      </w:r>
      <w:r w:rsidR="007B28BA" w:rsidRPr="001005B7">
        <w:t xml:space="preserve">declares </w:t>
      </w:r>
      <w:r w:rsidR="00F04EC5" w:rsidRPr="001005B7">
        <w:t xml:space="preserve">tersely </w:t>
      </w:r>
      <w:r w:rsidR="007B28BA" w:rsidRPr="001005B7">
        <w:t xml:space="preserve">that people will </w:t>
      </w:r>
      <w:r w:rsidR="008A7E8F" w:rsidRPr="001005B7">
        <w:t>“</w:t>
      </w:r>
      <w:r w:rsidR="007B28BA" w:rsidRPr="001005B7">
        <w:t>acknowledge</w:t>
      </w:r>
      <w:r w:rsidR="007B28BA" w:rsidRPr="001005B7">
        <w:rPr>
          <w:i/>
          <w:iCs/>
        </w:rPr>
        <w:t xml:space="preserve"> </w:t>
      </w:r>
      <w:r w:rsidR="007B28BA" w:rsidRPr="001005B7">
        <w:t>that</w:t>
      </w:r>
      <w:r w:rsidR="00B51978" w:rsidRPr="001005B7">
        <w:t xml:space="preserve"> I</w:t>
      </w:r>
      <w:r w:rsidR="007B28BA" w:rsidRPr="001005B7">
        <w:rPr>
          <w:i/>
          <w:iCs/>
        </w:rPr>
        <w:t xml:space="preserve"> </w:t>
      </w:r>
      <w:r w:rsidR="007B28BA" w:rsidRPr="001005B7">
        <w:t>am</w:t>
      </w:r>
      <w:r w:rsidR="007B28BA" w:rsidRPr="001005B7">
        <w:rPr>
          <w:i/>
          <w:iCs/>
        </w:rPr>
        <w:t xml:space="preserve"> </w:t>
      </w:r>
      <w:r w:rsidR="007B28BA" w:rsidRPr="001005B7">
        <w:t>Yahweh</w:t>
      </w:r>
      <w:r w:rsidR="00534D6C" w:rsidRPr="001005B7">
        <w:t>.</w:t>
      </w:r>
      <w:r w:rsidR="00B51978" w:rsidRPr="001005B7">
        <w:t>”</w:t>
      </w:r>
      <w:r w:rsidR="00534D6C" w:rsidRPr="001005B7">
        <w:t xml:space="preserve"> </w:t>
      </w:r>
      <w:r w:rsidR="00FB4805" w:rsidRPr="001005B7">
        <w:t>F</w:t>
      </w:r>
      <w:r w:rsidR="00534D6C" w:rsidRPr="001005B7">
        <w:t>urther, f</w:t>
      </w:r>
      <w:r w:rsidR="00FB4805" w:rsidRPr="001005B7">
        <w:t xml:space="preserve">or the first time Ezekiel’s message comes in </w:t>
      </w:r>
      <w:r w:rsidR="001B6A22" w:rsidRPr="001005B7">
        <w:t xml:space="preserve">a </w:t>
      </w:r>
      <w:r w:rsidR="004E045A" w:rsidRPr="001005B7">
        <w:t>formally structured</w:t>
      </w:r>
      <w:r w:rsidR="004170FE" w:rsidRPr="001005B7">
        <w:t xml:space="preserve"> </w:t>
      </w:r>
      <w:r w:rsidR="006F0B84" w:rsidRPr="001005B7">
        <w:t>confi</w:t>
      </w:r>
      <w:r w:rsidR="00812329" w:rsidRPr="001005B7">
        <w:t>guration</w:t>
      </w:r>
      <w:r w:rsidR="00534D6C" w:rsidRPr="001005B7">
        <w:t xml:space="preserve"> in which </w:t>
      </w:r>
      <w:r w:rsidR="00780D33" w:rsidRPr="001005B7">
        <w:t>such ackno</w:t>
      </w:r>
      <w:r w:rsidR="005D5ACD" w:rsidRPr="001005B7">
        <w:t>w</w:t>
      </w:r>
      <w:r w:rsidR="00780D33" w:rsidRPr="001005B7">
        <w:t>ledgment</w:t>
      </w:r>
      <w:r w:rsidR="00534D6C" w:rsidRPr="001005B7">
        <w:t xml:space="preserve"> plays a key role</w:t>
      </w:r>
      <w:r w:rsidR="00B26684" w:rsidRPr="001005B7">
        <w:t>. It unfolds:</w:t>
      </w:r>
    </w:p>
    <w:p w14:paraId="73D4AAC7" w14:textId="77777777" w:rsidR="00985B77" w:rsidRPr="001005B7" w:rsidRDefault="00985B77" w:rsidP="00985B77"/>
    <w:p w14:paraId="7BCDA185" w14:textId="57DBA1C0" w:rsidR="00812329" w:rsidRPr="001005B7" w:rsidRDefault="00812329" w:rsidP="00985B77">
      <w:r w:rsidRPr="001005B7">
        <w:t>Introduction</w:t>
      </w:r>
      <w:r w:rsidR="00BD0BDC" w:rsidRPr="001005B7">
        <w:t xml:space="preserve"> to the</w:t>
      </w:r>
      <w:r w:rsidRPr="001005B7">
        <w:t xml:space="preserve"> </w:t>
      </w:r>
      <w:r w:rsidR="00C7530C" w:rsidRPr="001005B7">
        <w:t xml:space="preserve">chapter as a whole </w:t>
      </w:r>
      <w:r w:rsidRPr="001005B7">
        <w:t>(</w:t>
      </w:r>
      <w:r w:rsidR="0042084A" w:rsidRPr="001005B7">
        <w:t>6:</w:t>
      </w:r>
      <w:r w:rsidRPr="001005B7">
        <w:t>1</w:t>
      </w:r>
      <w:r w:rsidR="00F46900" w:rsidRPr="001005B7">
        <w:t>–</w:t>
      </w:r>
      <w:r w:rsidR="00C7530C" w:rsidRPr="001005B7">
        <w:t>3a</w:t>
      </w:r>
      <w:r w:rsidRPr="001005B7">
        <w:t>)</w:t>
      </w:r>
    </w:p>
    <w:p w14:paraId="7C2625C9" w14:textId="77777777" w:rsidR="00812329" w:rsidRPr="001005B7" w:rsidRDefault="00812329" w:rsidP="00985B77"/>
    <w:p w14:paraId="29A25FEA" w14:textId="5CBDC697" w:rsidR="00BD317C" w:rsidRPr="001005B7" w:rsidRDefault="00BD317C" w:rsidP="00BD317C">
      <w:r w:rsidRPr="001005B7">
        <w:t xml:space="preserve">The Lord </w:t>
      </w:r>
      <w:r w:rsidR="00DC7529" w:rsidRPr="001005B7">
        <w:t xml:space="preserve">Yahweh </w:t>
      </w:r>
      <w:r w:rsidRPr="001005B7">
        <w:t>has said this</w:t>
      </w:r>
      <w:r w:rsidR="00060BB3" w:rsidRPr="001005B7">
        <w:t xml:space="preserve"> (</w:t>
      </w:r>
      <w:r w:rsidR="00AC027B" w:rsidRPr="001005B7">
        <w:t>6:</w:t>
      </w:r>
      <w:r w:rsidR="00060BB3" w:rsidRPr="001005B7">
        <w:t>3b</w:t>
      </w:r>
      <w:r w:rsidR="00060BB3" w:rsidRPr="001005B7">
        <w:rPr>
          <w:rFonts w:cstheme="minorHAnsi"/>
        </w:rPr>
        <w:t>α</w:t>
      </w:r>
      <w:r w:rsidR="00F71059" w:rsidRPr="001005B7">
        <w:rPr>
          <w:rFonts w:cstheme="minorHAnsi"/>
        </w:rPr>
        <w:t>)</w:t>
      </w:r>
      <w:r w:rsidR="0030560C" w:rsidRPr="001005B7">
        <w:rPr>
          <w:rFonts w:cstheme="minorHAnsi"/>
        </w:rPr>
        <w:t>:</w:t>
      </w:r>
    </w:p>
    <w:p w14:paraId="104F83F6" w14:textId="682D52E3" w:rsidR="00DC073F" w:rsidRPr="001005B7" w:rsidRDefault="00DC073F" w:rsidP="00B7022A">
      <w:pPr>
        <w:ind w:left="720"/>
      </w:pPr>
      <w:r w:rsidRPr="001005B7">
        <w:t xml:space="preserve">I will </w:t>
      </w:r>
      <w:r w:rsidR="005A6D09" w:rsidRPr="001005B7">
        <w:t>obliterate</w:t>
      </w:r>
      <w:r w:rsidRPr="001005B7">
        <w:t xml:space="preserve"> </w:t>
      </w:r>
      <w:r w:rsidR="006B0798" w:rsidRPr="001005B7">
        <w:t>your</w:t>
      </w:r>
      <w:r w:rsidRPr="001005B7">
        <w:t xml:space="preserve"> shrines</w:t>
      </w:r>
      <w:r w:rsidR="00764BCF" w:rsidRPr="001005B7">
        <w:t xml:space="preserve">, and </w:t>
      </w:r>
      <w:r w:rsidR="008D30F0" w:rsidRPr="001005B7">
        <w:t xml:space="preserve">you will acknowledge </w:t>
      </w:r>
      <w:r w:rsidR="00C16BD7" w:rsidRPr="001005B7">
        <w:t>who I am</w:t>
      </w:r>
      <w:r w:rsidR="00F06ACA" w:rsidRPr="001005B7">
        <w:t xml:space="preserve"> </w:t>
      </w:r>
      <w:r w:rsidRPr="001005B7">
        <w:t>(</w:t>
      </w:r>
      <w:r w:rsidR="0042084A" w:rsidRPr="001005B7">
        <w:t>6:</w:t>
      </w:r>
      <w:r w:rsidR="00870670" w:rsidRPr="001005B7">
        <w:t>3b</w:t>
      </w:r>
      <w:r w:rsidR="002608EA" w:rsidRPr="001005B7">
        <w:rPr>
          <w:rFonts w:cstheme="minorHAnsi"/>
        </w:rPr>
        <w:t>β</w:t>
      </w:r>
      <w:r w:rsidR="00F46900" w:rsidRPr="001005B7">
        <w:t>–</w:t>
      </w:r>
      <w:r w:rsidR="006955BD" w:rsidRPr="001005B7">
        <w:t>7</w:t>
      </w:r>
      <w:r w:rsidR="00072BAF" w:rsidRPr="001005B7">
        <w:t>)</w:t>
      </w:r>
    </w:p>
    <w:p w14:paraId="321B70EB" w14:textId="6109F4CC" w:rsidR="00072BAF" w:rsidRPr="001005B7" w:rsidRDefault="00340B47" w:rsidP="00B7022A">
      <w:pPr>
        <w:ind w:left="720"/>
      </w:pPr>
      <w:r w:rsidRPr="001005B7">
        <w:t xml:space="preserve">I will let some people survive, and they will acknowledge </w:t>
      </w:r>
      <w:r w:rsidR="000A3DAA" w:rsidRPr="001005B7">
        <w:t>who I am</w:t>
      </w:r>
      <w:r w:rsidRPr="001005B7">
        <w:t xml:space="preserve"> (</w:t>
      </w:r>
      <w:r w:rsidR="0042084A" w:rsidRPr="001005B7">
        <w:t>6:</w:t>
      </w:r>
      <w:r w:rsidR="006955BD" w:rsidRPr="001005B7">
        <w:t>8</w:t>
      </w:r>
      <w:r w:rsidR="00F46900" w:rsidRPr="001005B7">
        <w:t>–</w:t>
      </w:r>
      <w:r w:rsidRPr="001005B7">
        <w:t>10)</w:t>
      </w:r>
    </w:p>
    <w:p w14:paraId="7C73AB54" w14:textId="77777777" w:rsidR="00261E9B" w:rsidRPr="001005B7" w:rsidRDefault="00261E9B" w:rsidP="00985B77"/>
    <w:p w14:paraId="568F7A73" w14:textId="777866BE" w:rsidR="009E7A83" w:rsidRPr="001005B7" w:rsidRDefault="00BD317C" w:rsidP="00261E9B">
      <w:r w:rsidRPr="001005B7">
        <w:t>The Lord Yahweh has said this</w:t>
      </w:r>
      <w:r w:rsidR="002F06C4" w:rsidRPr="001005B7">
        <w:t xml:space="preserve"> (</w:t>
      </w:r>
      <w:r w:rsidR="00AC027B" w:rsidRPr="001005B7">
        <w:t>6:</w:t>
      </w:r>
      <w:r w:rsidR="002608EA" w:rsidRPr="001005B7">
        <w:t>11a</w:t>
      </w:r>
      <w:r w:rsidR="00060BB3" w:rsidRPr="001005B7">
        <w:rPr>
          <w:rFonts w:cstheme="minorHAnsi"/>
        </w:rPr>
        <w:t>α</w:t>
      </w:r>
      <w:r w:rsidR="002608EA" w:rsidRPr="001005B7">
        <w:rPr>
          <w:rFonts w:cstheme="minorHAnsi"/>
        </w:rPr>
        <w:t>)</w:t>
      </w:r>
      <w:r w:rsidR="0030560C" w:rsidRPr="001005B7">
        <w:rPr>
          <w:rFonts w:cstheme="minorHAnsi"/>
        </w:rPr>
        <w:t>:</w:t>
      </w:r>
    </w:p>
    <w:p w14:paraId="061A5F1D" w14:textId="03EFD662" w:rsidR="00C75E58" w:rsidRPr="001005B7" w:rsidRDefault="00F06ACA" w:rsidP="00B7022A">
      <w:pPr>
        <w:ind w:left="720"/>
      </w:pPr>
      <w:r w:rsidRPr="001005B7">
        <w:t xml:space="preserve">I will </w:t>
      </w:r>
      <w:r w:rsidR="00FB52D8" w:rsidRPr="001005B7">
        <w:t>slaughter</w:t>
      </w:r>
      <w:r w:rsidRPr="001005B7">
        <w:t xml:space="preserve"> </w:t>
      </w:r>
      <w:r w:rsidR="00A54B61" w:rsidRPr="001005B7">
        <w:t>the</w:t>
      </w:r>
      <w:r w:rsidR="00764BCF" w:rsidRPr="001005B7">
        <w:t xml:space="preserve"> people</w:t>
      </w:r>
      <w:r w:rsidR="008D30F0" w:rsidRPr="001005B7">
        <w:t xml:space="preserve">, and </w:t>
      </w:r>
      <w:r w:rsidR="00B3552F" w:rsidRPr="001005B7">
        <w:t>you</w:t>
      </w:r>
      <w:r w:rsidR="00565131" w:rsidRPr="001005B7">
        <w:t xml:space="preserve"> will acknowledge </w:t>
      </w:r>
      <w:r w:rsidR="003D042A" w:rsidRPr="001005B7">
        <w:t>who I am</w:t>
      </w:r>
      <w:r w:rsidR="00565131" w:rsidRPr="001005B7">
        <w:t xml:space="preserve"> (</w:t>
      </w:r>
      <w:r w:rsidR="0042084A" w:rsidRPr="001005B7">
        <w:t>6:</w:t>
      </w:r>
      <w:r w:rsidR="00565131" w:rsidRPr="001005B7">
        <w:t>11</w:t>
      </w:r>
      <w:r w:rsidR="00F71059" w:rsidRPr="001005B7">
        <w:t>a</w:t>
      </w:r>
      <w:r w:rsidR="00F71059" w:rsidRPr="001005B7">
        <w:rPr>
          <w:rFonts w:cstheme="minorHAnsi"/>
        </w:rPr>
        <w:t>β</w:t>
      </w:r>
      <w:r w:rsidR="00F46900" w:rsidRPr="001005B7">
        <w:t>–</w:t>
      </w:r>
      <w:r w:rsidR="00565131" w:rsidRPr="001005B7">
        <w:t>1</w:t>
      </w:r>
      <w:r w:rsidR="00261E9B" w:rsidRPr="001005B7">
        <w:t>3</w:t>
      </w:r>
      <w:r w:rsidR="00565131" w:rsidRPr="001005B7">
        <w:t>)</w:t>
      </w:r>
    </w:p>
    <w:p w14:paraId="413E3559" w14:textId="121B7823" w:rsidR="004869DA" w:rsidRPr="001005B7" w:rsidRDefault="00261E9B" w:rsidP="00B7022A">
      <w:pPr>
        <w:ind w:left="720"/>
      </w:pPr>
      <w:r w:rsidRPr="001005B7">
        <w:t xml:space="preserve">I will devastate </w:t>
      </w:r>
      <w:r w:rsidR="00C258C1" w:rsidRPr="001005B7">
        <w:t>the</w:t>
      </w:r>
      <w:r w:rsidRPr="001005B7">
        <w:t xml:space="preserve"> people, and they will acknowledge </w:t>
      </w:r>
      <w:r w:rsidR="00625444" w:rsidRPr="001005B7">
        <w:t>who I am</w:t>
      </w:r>
      <w:r w:rsidRPr="001005B7">
        <w:t xml:space="preserve"> (</w:t>
      </w:r>
      <w:r w:rsidR="00AC027B" w:rsidRPr="001005B7">
        <w:t>6:</w:t>
      </w:r>
      <w:r w:rsidRPr="001005B7">
        <w:t>1</w:t>
      </w:r>
      <w:r w:rsidR="00BB62FD" w:rsidRPr="001005B7">
        <w:t>4)</w:t>
      </w:r>
    </w:p>
    <w:p w14:paraId="025329EA" w14:textId="77777777" w:rsidR="00927752" w:rsidRPr="001005B7" w:rsidRDefault="00927752" w:rsidP="00676923">
      <w:pPr>
        <w:ind w:firstLine="0"/>
      </w:pPr>
    </w:p>
    <w:p w14:paraId="5D9ACF18" w14:textId="4D8C7B00" w:rsidR="00676923" w:rsidRPr="001005B7" w:rsidRDefault="00C679B6" w:rsidP="00676923">
      <w:pPr>
        <w:ind w:firstLine="0"/>
      </w:pPr>
      <w:r w:rsidRPr="001005B7">
        <w:rPr>
          <w:sz w:val="18"/>
          <w:szCs w:val="18"/>
        </w:rPr>
        <w:t>MT</w:t>
      </w:r>
      <w:r w:rsidR="00676923" w:rsidRPr="001005B7">
        <w:t xml:space="preserve"> thus has marker</w:t>
      </w:r>
      <w:r w:rsidR="00734786">
        <w:t>s</w:t>
      </w:r>
      <w:r w:rsidR="005D076A" w:rsidRPr="001005B7">
        <w:t>*</w:t>
      </w:r>
      <w:r w:rsidR="00676923" w:rsidRPr="001005B7">
        <w:t xml:space="preserve"> after 6:10 and </w:t>
      </w:r>
      <w:r w:rsidR="00454661" w:rsidRPr="001005B7">
        <w:t>6:14.</w:t>
      </w:r>
    </w:p>
    <w:p w14:paraId="2F320DF5" w14:textId="3C9FFAD8" w:rsidR="005E2350" w:rsidRPr="001005B7" w:rsidRDefault="00404548" w:rsidP="00405917">
      <w:r w:rsidRPr="001005B7">
        <w:t xml:space="preserve">As usual, </w:t>
      </w:r>
      <w:r w:rsidR="008F3CD2" w:rsidRPr="001005B7">
        <w:t xml:space="preserve">Ezekiel is addressing </w:t>
      </w:r>
      <w:r w:rsidR="00527BC7" w:rsidRPr="001005B7">
        <w:t>his own community</w:t>
      </w:r>
      <w:r w:rsidR="00274DFB" w:rsidRPr="001005B7">
        <w:t xml:space="preserve"> because what he has to say is </w:t>
      </w:r>
      <w:r w:rsidR="004A4FE3" w:rsidRPr="001005B7">
        <w:t>important</w:t>
      </w:r>
      <w:r w:rsidR="00274DFB" w:rsidRPr="001005B7">
        <w:t xml:space="preserve"> to them</w:t>
      </w:r>
      <w:r w:rsidR="004A4FE3" w:rsidRPr="001005B7">
        <w:t>,</w:t>
      </w:r>
      <w:r w:rsidR="008F3CD2" w:rsidRPr="001005B7">
        <w:t xml:space="preserve"> </w:t>
      </w:r>
      <w:r w:rsidR="001614BC" w:rsidRPr="001005B7">
        <w:t xml:space="preserve">but </w:t>
      </w:r>
      <w:r w:rsidR="004A4FE3" w:rsidRPr="001005B7">
        <w:t xml:space="preserve">he is </w:t>
      </w:r>
      <w:r w:rsidR="008F3CD2" w:rsidRPr="001005B7">
        <w:t xml:space="preserve">telling them what Yahweh has to say to people in </w:t>
      </w:r>
      <w:r w:rsidR="003D5FB5" w:rsidRPr="001005B7">
        <w:t>Judah</w:t>
      </w:r>
      <w:r w:rsidR="00527BC7" w:rsidRPr="001005B7">
        <w:t xml:space="preserve">. </w:t>
      </w:r>
      <w:r w:rsidR="00FC11F3" w:rsidRPr="001005B7">
        <w:t>He thus</w:t>
      </w:r>
      <w:r w:rsidR="00F26F8F" w:rsidRPr="001005B7">
        <w:t xml:space="preserve"> both </w:t>
      </w:r>
      <w:r w:rsidR="00FC11F3" w:rsidRPr="001005B7">
        <w:t>refer</w:t>
      </w:r>
      <w:r w:rsidR="00F26F8F" w:rsidRPr="001005B7">
        <w:t>s</w:t>
      </w:r>
      <w:r w:rsidR="00FC11F3" w:rsidRPr="001005B7">
        <w:t xml:space="preserve"> to</w:t>
      </w:r>
      <w:r w:rsidR="008F504B" w:rsidRPr="001005B7">
        <w:t xml:space="preserve"> the </w:t>
      </w:r>
      <w:r w:rsidR="00572814" w:rsidRPr="001005B7">
        <w:t>community</w:t>
      </w:r>
      <w:r w:rsidR="008F504B" w:rsidRPr="001005B7">
        <w:t xml:space="preserve"> in Judah as</w:t>
      </w:r>
      <w:r w:rsidR="00FC11F3" w:rsidRPr="001005B7">
        <w:t xml:space="preserve"> </w:t>
      </w:r>
      <w:r w:rsidR="002B6FDE" w:rsidRPr="001005B7">
        <w:t>“</w:t>
      </w:r>
      <w:r w:rsidR="00FC11F3" w:rsidRPr="001005B7">
        <w:t>them</w:t>
      </w:r>
      <w:r w:rsidR="002B6FDE" w:rsidRPr="001005B7">
        <w:t>”</w:t>
      </w:r>
      <w:r w:rsidR="00FC11F3" w:rsidRPr="001005B7">
        <w:t xml:space="preserve"> </w:t>
      </w:r>
      <w:r w:rsidR="00726E1E" w:rsidRPr="001005B7">
        <w:t>(</w:t>
      </w:r>
      <w:r w:rsidR="0042084A" w:rsidRPr="001005B7">
        <w:t>6:</w:t>
      </w:r>
      <w:r w:rsidR="00726E1E" w:rsidRPr="001005B7">
        <w:t>2</w:t>
      </w:r>
      <w:r w:rsidR="00817DE4" w:rsidRPr="001005B7">
        <w:t>, 11</w:t>
      </w:r>
      <w:r w:rsidR="00F46900" w:rsidRPr="001005B7">
        <w:t>–</w:t>
      </w:r>
      <w:r w:rsidR="00817DE4" w:rsidRPr="001005B7">
        <w:t>1</w:t>
      </w:r>
      <w:r w:rsidR="0035453C" w:rsidRPr="001005B7">
        <w:t>4</w:t>
      </w:r>
      <w:r w:rsidR="00726E1E" w:rsidRPr="001005B7">
        <w:t xml:space="preserve">) </w:t>
      </w:r>
      <w:r w:rsidR="007B31A7" w:rsidRPr="001005B7">
        <w:t xml:space="preserve">and </w:t>
      </w:r>
      <w:r w:rsidR="007858F8" w:rsidRPr="001005B7">
        <w:t xml:space="preserve">also </w:t>
      </w:r>
      <w:r w:rsidR="00EA68AD" w:rsidRPr="001005B7">
        <w:t>address</w:t>
      </w:r>
      <w:r w:rsidR="008F504B" w:rsidRPr="001005B7">
        <w:t>es</w:t>
      </w:r>
      <w:r w:rsidR="007B31A7" w:rsidRPr="001005B7">
        <w:t xml:space="preserve"> </w:t>
      </w:r>
      <w:r w:rsidR="00572814" w:rsidRPr="001005B7">
        <w:t>it</w:t>
      </w:r>
      <w:r w:rsidR="007B31A7" w:rsidRPr="001005B7">
        <w:t xml:space="preserve"> as </w:t>
      </w:r>
      <w:r w:rsidR="002B6FDE" w:rsidRPr="001005B7">
        <w:t>“</w:t>
      </w:r>
      <w:r w:rsidR="007B31A7" w:rsidRPr="001005B7">
        <w:t>you</w:t>
      </w:r>
      <w:r w:rsidR="002B6FDE" w:rsidRPr="001005B7">
        <w:t>”</w:t>
      </w:r>
      <w:r w:rsidR="005F21D2" w:rsidRPr="001005B7">
        <w:rPr>
          <w:i/>
          <w:iCs/>
        </w:rPr>
        <w:t xml:space="preserve"> </w:t>
      </w:r>
      <w:r w:rsidR="005F21D2" w:rsidRPr="001005B7">
        <w:t>(</w:t>
      </w:r>
      <w:r w:rsidR="0042084A" w:rsidRPr="001005B7">
        <w:t>6:</w:t>
      </w:r>
      <w:r w:rsidR="00446B7D" w:rsidRPr="001005B7">
        <w:t>3</w:t>
      </w:r>
      <w:r w:rsidR="00F46900" w:rsidRPr="001005B7">
        <w:t>–</w:t>
      </w:r>
      <w:r w:rsidR="00B01910" w:rsidRPr="001005B7">
        <w:t>8</w:t>
      </w:r>
      <w:r w:rsidR="00446B7D" w:rsidRPr="001005B7">
        <w:t>)</w:t>
      </w:r>
      <w:r w:rsidR="00775009" w:rsidRPr="001005B7">
        <w:t xml:space="preserve">. </w:t>
      </w:r>
      <w:r w:rsidR="003407A1" w:rsidRPr="001005B7">
        <w:t>And</w:t>
      </w:r>
      <w:r w:rsidR="00FC11F3" w:rsidRPr="001005B7">
        <w:t xml:space="preserve"> </w:t>
      </w:r>
      <w:r w:rsidR="00480249" w:rsidRPr="001005B7">
        <w:t>sometimes</w:t>
      </w:r>
      <w:r w:rsidR="0071181C" w:rsidRPr="001005B7">
        <w:t xml:space="preserve"> </w:t>
      </w:r>
      <w:r w:rsidR="00480249" w:rsidRPr="001005B7">
        <w:t xml:space="preserve">he may be </w:t>
      </w:r>
      <w:r w:rsidR="00635A97" w:rsidRPr="001005B7">
        <w:t xml:space="preserve">directly </w:t>
      </w:r>
      <w:r w:rsidR="00480249" w:rsidRPr="001005B7">
        <w:t>addressing</w:t>
      </w:r>
      <w:r w:rsidR="00FC11F3" w:rsidRPr="001005B7">
        <w:t xml:space="preserve"> </w:t>
      </w:r>
      <w:r w:rsidR="007B31A7" w:rsidRPr="001005B7">
        <w:t xml:space="preserve">the people </w:t>
      </w:r>
      <w:r w:rsidR="00E241FD" w:rsidRPr="001005B7">
        <w:t xml:space="preserve">of </w:t>
      </w:r>
      <w:proofErr w:type="spellStart"/>
      <w:r w:rsidR="00E241FD" w:rsidRPr="001005B7">
        <w:t>Kebar</w:t>
      </w:r>
      <w:proofErr w:type="spellEnd"/>
      <w:r w:rsidR="007B31A7" w:rsidRPr="001005B7">
        <w:t xml:space="preserve"> as </w:t>
      </w:r>
      <w:r w:rsidR="00366131" w:rsidRPr="001005B7">
        <w:t>“</w:t>
      </w:r>
      <w:r w:rsidR="00FC11F3" w:rsidRPr="001005B7">
        <w:t>you</w:t>
      </w:r>
      <w:r w:rsidR="00366131" w:rsidRPr="001005B7">
        <w:t>”</w:t>
      </w:r>
      <w:r w:rsidR="00FC11F3" w:rsidRPr="001005B7">
        <w:t xml:space="preserve"> </w:t>
      </w:r>
      <w:r w:rsidR="00111E74" w:rsidRPr="001005B7">
        <w:t>(</w:t>
      </w:r>
      <w:r w:rsidR="00AC027B" w:rsidRPr="001005B7">
        <w:t>6:</w:t>
      </w:r>
      <w:r w:rsidR="00111E74" w:rsidRPr="001005B7">
        <w:t>13)</w:t>
      </w:r>
      <w:r w:rsidR="00635A97" w:rsidRPr="001005B7">
        <w:t>,</w:t>
      </w:r>
      <w:r w:rsidR="00111E74" w:rsidRPr="001005B7">
        <w:t xml:space="preserve"> </w:t>
      </w:r>
      <w:r w:rsidR="000A6062" w:rsidRPr="001005B7">
        <w:t>while</w:t>
      </w:r>
      <w:r w:rsidR="00C70118" w:rsidRPr="001005B7">
        <w:t xml:space="preserve"> </w:t>
      </w:r>
      <w:r w:rsidR="005A7577" w:rsidRPr="001005B7">
        <w:t>sometimes they are implicitly included in his</w:t>
      </w:r>
      <w:r w:rsidR="00C70118" w:rsidRPr="001005B7">
        <w:t xml:space="preserve"> </w:t>
      </w:r>
      <w:r w:rsidR="00366131" w:rsidRPr="001005B7">
        <w:t>“</w:t>
      </w:r>
      <w:r w:rsidR="000B2780" w:rsidRPr="001005B7">
        <w:t>you</w:t>
      </w:r>
      <w:r w:rsidR="00366131" w:rsidRPr="001005B7">
        <w:t>”</w:t>
      </w:r>
      <w:r w:rsidR="000B2780" w:rsidRPr="001005B7">
        <w:rPr>
          <w:i/>
          <w:iCs/>
        </w:rPr>
        <w:t xml:space="preserve"> </w:t>
      </w:r>
      <w:r w:rsidR="009A64EB" w:rsidRPr="001005B7">
        <w:t xml:space="preserve">or his </w:t>
      </w:r>
      <w:r w:rsidR="00366131" w:rsidRPr="001005B7">
        <w:t>“</w:t>
      </w:r>
      <w:r w:rsidR="00C70118" w:rsidRPr="001005B7">
        <w:t>them</w:t>
      </w:r>
      <w:r w:rsidR="00366131" w:rsidRPr="001005B7">
        <w:t>”</w:t>
      </w:r>
      <w:r w:rsidR="0043324D" w:rsidRPr="001005B7">
        <w:t xml:space="preserve"> (</w:t>
      </w:r>
      <w:r w:rsidR="0042084A" w:rsidRPr="001005B7">
        <w:t>6:</w:t>
      </w:r>
      <w:r w:rsidR="0043324D" w:rsidRPr="001005B7">
        <w:t>7b</w:t>
      </w:r>
      <w:r w:rsidR="00F46900" w:rsidRPr="001005B7">
        <w:t>–</w:t>
      </w:r>
      <w:r w:rsidR="00742E95" w:rsidRPr="001005B7">
        <w:t>10</w:t>
      </w:r>
      <w:r w:rsidR="0043324D" w:rsidRPr="001005B7">
        <w:t>).</w:t>
      </w:r>
      <w:r w:rsidR="00B7412A" w:rsidRPr="001005B7">
        <w:t xml:space="preserve"> The </w:t>
      </w:r>
      <w:r w:rsidR="00FB282D" w:rsidRPr="001005B7">
        <w:t xml:space="preserve">allusive </w:t>
      </w:r>
      <w:r w:rsidR="00B7412A" w:rsidRPr="001005B7">
        <w:t xml:space="preserve">reference to </w:t>
      </w:r>
      <w:r w:rsidR="00C21FBD" w:rsidRPr="001005B7">
        <w:t>“</w:t>
      </w:r>
      <w:r w:rsidR="00006B1C" w:rsidRPr="001005B7">
        <w:t>the</w:t>
      </w:r>
      <w:r w:rsidR="00006B1C" w:rsidRPr="001005B7">
        <w:rPr>
          <w:i/>
          <w:iCs/>
        </w:rPr>
        <w:t xml:space="preserve"> </w:t>
      </w:r>
      <w:r w:rsidR="00006B1C" w:rsidRPr="001005B7">
        <w:t>person</w:t>
      </w:r>
      <w:r w:rsidR="00006B1C" w:rsidRPr="001005B7">
        <w:rPr>
          <w:i/>
          <w:iCs/>
        </w:rPr>
        <w:t xml:space="preserve"> </w:t>
      </w:r>
      <w:r w:rsidR="00006B1C" w:rsidRPr="001005B7">
        <w:t>who</w:t>
      </w:r>
      <w:r w:rsidR="00006B1C" w:rsidRPr="001005B7">
        <w:rPr>
          <w:i/>
          <w:iCs/>
        </w:rPr>
        <w:t xml:space="preserve"> </w:t>
      </w:r>
      <w:r w:rsidR="00006B1C" w:rsidRPr="001005B7">
        <w:t>is</w:t>
      </w:r>
      <w:r w:rsidR="00B7412A" w:rsidRPr="001005B7">
        <w:rPr>
          <w:i/>
          <w:iCs/>
        </w:rPr>
        <w:t xml:space="preserve"> </w:t>
      </w:r>
      <w:r w:rsidR="00B7412A" w:rsidRPr="001005B7">
        <w:t>far</w:t>
      </w:r>
      <w:r w:rsidR="00B7412A" w:rsidRPr="001005B7">
        <w:rPr>
          <w:i/>
          <w:iCs/>
        </w:rPr>
        <w:t xml:space="preserve"> </w:t>
      </w:r>
      <w:r w:rsidR="00B7412A" w:rsidRPr="001005B7">
        <w:t>away</w:t>
      </w:r>
      <w:r w:rsidR="00C21FBD" w:rsidRPr="001005B7">
        <w:t>”</w:t>
      </w:r>
      <w:r w:rsidR="00B7412A" w:rsidRPr="001005B7">
        <w:rPr>
          <w:i/>
          <w:iCs/>
        </w:rPr>
        <w:t xml:space="preserve"> </w:t>
      </w:r>
      <w:r w:rsidR="00FB282D" w:rsidRPr="001005B7">
        <w:t xml:space="preserve">as opposed to </w:t>
      </w:r>
      <w:r w:rsidR="00C21FBD" w:rsidRPr="001005B7">
        <w:t>“</w:t>
      </w:r>
      <w:r w:rsidR="00FB282D" w:rsidRPr="001005B7">
        <w:t>the</w:t>
      </w:r>
      <w:r w:rsidR="00FB282D" w:rsidRPr="001005B7">
        <w:rPr>
          <w:i/>
          <w:iCs/>
        </w:rPr>
        <w:t xml:space="preserve"> </w:t>
      </w:r>
      <w:r w:rsidR="00FB282D" w:rsidRPr="001005B7">
        <w:t>person</w:t>
      </w:r>
      <w:r w:rsidR="00FB282D" w:rsidRPr="001005B7">
        <w:rPr>
          <w:i/>
          <w:iCs/>
        </w:rPr>
        <w:t xml:space="preserve"> </w:t>
      </w:r>
      <w:r w:rsidR="00FB282D" w:rsidRPr="001005B7">
        <w:t>who</w:t>
      </w:r>
      <w:r w:rsidR="00FB282D" w:rsidRPr="001005B7">
        <w:rPr>
          <w:i/>
          <w:iCs/>
        </w:rPr>
        <w:t xml:space="preserve"> </w:t>
      </w:r>
      <w:r w:rsidR="00FB282D" w:rsidRPr="001005B7">
        <w:t>is</w:t>
      </w:r>
      <w:r w:rsidR="00B7412A" w:rsidRPr="001005B7">
        <w:rPr>
          <w:i/>
          <w:iCs/>
        </w:rPr>
        <w:t xml:space="preserve"> </w:t>
      </w:r>
      <w:r w:rsidR="00B7412A" w:rsidRPr="001005B7">
        <w:t>near</w:t>
      </w:r>
      <w:r w:rsidR="00C21FBD" w:rsidRPr="001005B7">
        <w:t>”</w:t>
      </w:r>
      <w:r w:rsidR="00FB282D" w:rsidRPr="001005B7">
        <w:t xml:space="preserve"> might make them think about themselves, too.</w:t>
      </w:r>
      <w:r w:rsidR="00F707D4" w:rsidRPr="001005B7">
        <w:t xml:space="preserve"> </w:t>
      </w:r>
      <w:r w:rsidR="009A0D1C" w:rsidRPr="001005B7">
        <w:t>A</w:t>
      </w:r>
      <w:r w:rsidR="00F707D4" w:rsidRPr="001005B7">
        <w:t xml:space="preserve">ddressing </w:t>
      </w:r>
      <w:r w:rsidR="009A0D1C" w:rsidRPr="001005B7">
        <w:t>Israel’s</w:t>
      </w:r>
      <w:r w:rsidR="00F707D4" w:rsidRPr="001005B7">
        <w:t xml:space="preserve"> moun</w:t>
      </w:r>
      <w:r w:rsidR="0015027F" w:rsidRPr="001005B7">
        <w:t xml:space="preserve">tains (and hills, </w:t>
      </w:r>
      <w:r w:rsidR="00794EDC" w:rsidRPr="001005B7">
        <w:t xml:space="preserve">ravines, and canyons) </w:t>
      </w:r>
      <w:r w:rsidR="004F5117" w:rsidRPr="001005B7">
        <w:t xml:space="preserve">is </w:t>
      </w:r>
      <w:r w:rsidR="00C9674C" w:rsidRPr="001005B7">
        <w:t xml:space="preserve">the </w:t>
      </w:r>
      <w:r w:rsidR="00EB11D8" w:rsidRPr="001005B7">
        <w:t xml:space="preserve">scroll’s </w:t>
      </w:r>
      <w:r w:rsidR="00C9674C" w:rsidRPr="001005B7">
        <w:t>first example of apostroph</w:t>
      </w:r>
      <w:r w:rsidR="00EB11D8" w:rsidRPr="001005B7">
        <w:t>e</w:t>
      </w:r>
      <w:r w:rsidR="005E2B7D" w:rsidRPr="001005B7">
        <w:t>,</w:t>
      </w:r>
      <w:r w:rsidR="00C15B40" w:rsidRPr="001005B7">
        <w:t>*</w:t>
      </w:r>
      <w:r w:rsidR="00830F1B" w:rsidRPr="001005B7">
        <w:t xml:space="preserve"> and the chapter</w:t>
      </w:r>
      <w:r w:rsidR="005E2B7D" w:rsidRPr="001005B7">
        <w:t xml:space="preserve"> </w:t>
      </w:r>
      <w:r w:rsidR="00830F1B" w:rsidRPr="001005B7">
        <w:t>use</w:t>
      </w:r>
      <w:r w:rsidR="005E2B7D" w:rsidRPr="001005B7">
        <w:t>s other</w:t>
      </w:r>
      <w:r w:rsidR="00830F1B" w:rsidRPr="001005B7">
        <w:t xml:space="preserve"> </w:t>
      </w:r>
      <w:r w:rsidR="009C7EBA" w:rsidRPr="001005B7">
        <w:t xml:space="preserve">literary </w:t>
      </w:r>
      <w:r w:rsidR="005E2350" w:rsidRPr="001005B7">
        <w:t xml:space="preserve">and rhetorical </w:t>
      </w:r>
      <w:r w:rsidR="009C7EBA" w:rsidRPr="001005B7">
        <w:t>devices to bring its point home</w:t>
      </w:r>
      <w:r w:rsidR="005E2350" w:rsidRPr="001005B7">
        <w:t>,</w:t>
      </w:r>
      <w:r w:rsidR="009C7EBA" w:rsidRPr="001005B7">
        <w:t xml:space="preserve"> </w:t>
      </w:r>
      <w:r w:rsidR="00E97BBC" w:rsidRPr="001005B7">
        <w:t>when he speaks it out or when people read it in written form</w:t>
      </w:r>
      <w:r w:rsidR="00F37460" w:rsidRPr="001005B7">
        <w:t xml:space="preserve"> (Bowen, 31</w:t>
      </w:r>
      <w:r w:rsidR="00405917" w:rsidRPr="001005B7">
        <w:t>).</w:t>
      </w:r>
      <w:r w:rsidR="00D46FBA" w:rsidRPr="001005B7">
        <w:t xml:space="preserve"> The</w:t>
      </w:r>
      <w:r w:rsidR="00AF3770" w:rsidRPr="001005B7">
        <w:t>y</w:t>
      </w:r>
      <w:r w:rsidR="00D46FBA" w:rsidRPr="001005B7">
        <w:t xml:space="preserve"> include</w:t>
      </w:r>
      <w:r w:rsidR="005E2350" w:rsidRPr="001005B7">
        <w:t>:</w:t>
      </w:r>
    </w:p>
    <w:p w14:paraId="57CCC41C" w14:textId="77777777" w:rsidR="00ED0A62" w:rsidRPr="001005B7" w:rsidRDefault="00ED0A62" w:rsidP="00AF3770">
      <w:pPr>
        <w:rPr>
          <w:rFonts w:cstheme="minorHAnsi"/>
        </w:rPr>
      </w:pPr>
    </w:p>
    <w:p w14:paraId="17C460DF" w14:textId="2BEE28A8" w:rsidR="007D18C7" w:rsidRPr="001005B7" w:rsidRDefault="00E24C1A" w:rsidP="007D18C7">
      <w:pPr>
        <w:pStyle w:val="Bullet"/>
      </w:pPr>
      <w:r w:rsidRPr="001005B7">
        <w:t xml:space="preserve">anaphora,* </w:t>
      </w:r>
      <w:r w:rsidR="00830F1B" w:rsidRPr="001005B7">
        <w:t xml:space="preserve">repetition of key </w:t>
      </w:r>
      <w:r w:rsidR="00925540" w:rsidRPr="001005B7">
        <w:t>expressions: slain</w:t>
      </w:r>
      <w:r w:rsidR="00627225" w:rsidRPr="001005B7">
        <w:t xml:space="preserve">, </w:t>
      </w:r>
      <w:r w:rsidR="00925540" w:rsidRPr="001005B7">
        <w:t>fall</w:t>
      </w:r>
      <w:r w:rsidR="00627225" w:rsidRPr="001005B7">
        <w:t>, and</w:t>
      </w:r>
      <w:r w:rsidR="00DC3EEC" w:rsidRPr="001005B7">
        <w:t xml:space="preserve"> lump</w:t>
      </w:r>
      <w:r w:rsidR="00DD235B" w:rsidRPr="001005B7">
        <w:t>s</w:t>
      </w:r>
      <w:r w:rsidR="00925540" w:rsidRPr="001005B7">
        <w:t xml:space="preserve"> (</w:t>
      </w:r>
      <w:r w:rsidR="0042084A" w:rsidRPr="001005B7">
        <w:t>6:</w:t>
      </w:r>
      <w:r w:rsidR="00925540" w:rsidRPr="001005B7">
        <w:t>4, 7</w:t>
      </w:r>
      <w:r w:rsidR="005A3939" w:rsidRPr="001005B7">
        <w:t xml:space="preserve">, </w:t>
      </w:r>
      <w:r w:rsidR="00D709BD" w:rsidRPr="001005B7">
        <w:t xml:space="preserve">11, </w:t>
      </w:r>
      <w:r w:rsidR="005A3939" w:rsidRPr="001005B7">
        <w:t>13</w:t>
      </w:r>
      <w:r w:rsidR="00925540" w:rsidRPr="001005B7">
        <w:t>)</w:t>
      </w:r>
      <w:r w:rsidR="00F25121" w:rsidRPr="001005B7">
        <w:t>;</w:t>
      </w:r>
      <w:r w:rsidR="007E4988" w:rsidRPr="001005B7">
        <w:t xml:space="preserve"> break (6:4, 6, 9);</w:t>
      </w:r>
      <w:r w:rsidR="00F25121" w:rsidRPr="001005B7">
        <w:t xml:space="preserve"> acknow</w:t>
      </w:r>
      <w:r w:rsidR="001A125B" w:rsidRPr="001005B7">
        <w:t>ledge Yahweh (</w:t>
      </w:r>
      <w:r w:rsidR="0042084A" w:rsidRPr="001005B7">
        <w:t>6:</w:t>
      </w:r>
      <w:r w:rsidR="00681903" w:rsidRPr="001005B7">
        <w:t xml:space="preserve">7, </w:t>
      </w:r>
      <w:r w:rsidR="004C6454" w:rsidRPr="001005B7">
        <w:t xml:space="preserve">10, 13, </w:t>
      </w:r>
      <w:r w:rsidR="00090B9D" w:rsidRPr="001005B7">
        <w:t>14</w:t>
      </w:r>
      <w:r w:rsidR="00681903" w:rsidRPr="001005B7">
        <w:t xml:space="preserve">); </w:t>
      </w:r>
      <w:r w:rsidR="00DD7ACA" w:rsidRPr="001005B7">
        <w:t>whoring (</w:t>
      </w:r>
      <w:r w:rsidR="00AC027B" w:rsidRPr="001005B7">
        <w:t>6:</w:t>
      </w:r>
      <w:r w:rsidR="008778E0" w:rsidRPr="001005B7">
        <w:t>9);</w:t>
      </w:r>
      <w:r w:rsidR="0077345B" w:rsidRPr="001005B7">
        <w:t xml:space="preserve"> </w:t>
      </w:r>
      <w:proofErr w:type="spellStart"/>
      <w:r w:rsidR="0077345B" w:rsidRPr="001005B7">
        <w:rPr>
          <w:rtl/>
        </w:rPr>
        <w:t>כָ</w:t>
      </w:r>
      <w:r w:rsidR="00CB7A80" w:rsidRPr="001005B7">
        <w:rPr>
          <w:rtl/>
        </w:rPr>
        <w:t>ל</w:t>
      </w:r>
      <w:proofErr w:type="spellEnd"/>
      <w:r w:rsidR="008018E7" w:rsidRPr="001005B7">
        <w:t>,</w:t>
      </w:r>
      <w:r w:rsidR="0057309E" w:rsidRPr="001005B7">
        <w:t xml:space="preserve"> </w:t>
      </w:r>
      <w:r w:rsidR="005D304A" w:rsidRPr="001005B7">
        <w:t>“</w:t>
      </w:r>
      <w:r w:rsidR="006277C9" w:rsidRPr="001005B7">
        <w:t>all</w:t>
      </w:r>
      <w:r w:rsidR="005D304A" w:rsidRPr="001005B7">
        <w:t>”</w:t>
      </w:r>
      <w:r w:rsidR="006277C9" w:rsidRPr="001005B7">
        <w:t xml:space="preserve"> or </w:t>
      </w:r>
      <w:r w:rsidR="005D304A" w:rsidRPr="001005B7">
        <w:t>“</w:t>
      </w:r>
      <w:r w:rsidR="006277C9" w:rsidRPr="001005B7">
        <w:t>every</w:t>
      </w:r>
      <w:r w:rsidR="005D304A" w:rsidRPr="001005B7">
        <w:t>”</w:t>
      </w:r>
      <w:r w:rsidR="008778E0" w:rsidRPr="001005B7">
        <w:t xml:space="preserve"> </w:t>
      </w:r>
      <w:r w:rsidR="0057309E" w:rsidRPr="001005B7">
        <w:t>(</w:t>
      </w:r>
      <w:r w:rsidR="006277C9" w:rsidRPr="001005B7">
        <w:t xml:space="preserve">seven times in </w:t>
      </w:r>
      <w:r w:rsidR="0042084A" w:rsidRPr="001005B7">
        <w:t>6:</w:t>
      </w:r>
      <w:r w:rsidR="006277C9" w:rsidRPr="001005B7">
        <w:t>11</w:t>
      </w:r>
      <w:r w:rsidR="00F46900" w:rsidRPr="001005B7">
        <w:t>–</w:t>
      </w:r>
      <w:r w:rsidR="006277C9" w:rsidRPr="001005B7">
        <w:t>14</w:t>
      </w:r>
      <w:r w:rsidR="00C06628" w:rsidRPr="001005B7">
        <w:t>)</w:t>
      </w:r>
      <w:r w:rsidR="00CF13C7" w:rsidRPr="001005B7">
        <w:t xml:space="preserve"> (Allen</w:t>
      </w:r>
      <w:r w:rsidR="00481F1F" w:rsidRPr="001005B7">
        <w:t>,</w:t>
      </w:r>
      <w:r w:rsidR="00CF13C7" w:rsidRPr="001005B7">
        <w:t xml:space="preserve"> 1:85).</w:t>
      </w:r>
    </w:p>
    <w:p w14:paraId="44EB6771" w14:textId="39DCF8DE" w:rsidR="007D18C7" w:rsidRPr="001005B7" w:rsidRDefault="00830F1B" w:rsidP="007D18C7">
      <w:pPr>
        <w:pStyle w:val="Bullet"/>
      </w:pPr>
      <w:r w:rsidRPr="001005B7">
        <w:t xml:space="preserve">synonyms, </w:t>
      </w:r>
      <w:r w:rsidR="00E621D2" w:rsidRPr="001005B7">
        <w:t xml:space="preserve">functioning like </w:t>
      </w:r>
      <w:r w:rsidRPr="001005B7">
        <w:t>parallelism</w:t>
      </w:r>
      <w:r w:rsidR="00F14A29" w:rsidRPr="001005B7">
        <w:t>*</w:t>
      </w:r>
      <w:r w:rsidRPr="001005B7">
        <w:t xml:space="preserve"> in</w:t>
      </w:r>
      <w:r w:rsidR="00E621D2" w:rsidRPr="001005B7">
        <w:t xml:space="preserve"> </w:t>
      </w:r>
      <w:r w:rsidRPr="001005B7">
        <w:t>poetry</w:t>
      </w:r>
      <w:r w:rsidR="00E621D2" w:rsidRPr="001005B7">
        <w:t>:</w:t>
      </w:r>
      <w:r w:rsidR="008332DD" w:rsidRPr="001005B7">
        <w:t xml:space="preserve"> mountains and hills</w:t>
      </w:r>
      <w:r w:rsidR="0098574B" w:rsidRPr="001005B7">
        <w:t xml:space="preserve"> (</w:t>
      </w:r>
      <w:r w:rsidR="00AC027B" w:rsidRPr="001005B7">
        <w:t>6:</w:t>
      </w:r>
      <w:r w:rsidR="0098574B" w:rsidRPr="001005B7">
        <w:t>3)</w:t>
      </w:r>
      <w:r w:rsidR="00AA2556" w:rsidRPr="001005B7">
        <w:t>;</w:t>
      </w:r>
      <w:r w:rsidR="008332DD" w:rsidRPr="001005B7">
        <w:t xml:space="preserve"> ravines and canyon</w:t>
      </w:r>
      <w:r w:rsidR="00950C98" w:rsidRPr="001005B7">
        <w:t>s</w:t>
      </w:r>
      <w:r w:rsidR="0098574B" w:rsidRPr="001005B7">
        <w:t xml:space="preserve"> (</w:t>
      </w:r>
      <w:r w:rsidR="00AC027B" w:rsidRPr="001005B7">
        <w:t>6:</w:t>
      </w:r>
      <w:r w:rsidR="0098574B" w:rsidRPr="001005B7">
        <w:t>3)</w:t>
      </w:r>
      <w:r w:rsidR="00AA2556" w:rsidRPr="001005B7">
        <w:t>;</w:t>
      </w:r>
      <w:r w:rsidR="001B49B7" w:rsidRPr="001005B7">
        <w:t xml:space="preserve"> waste and de</w:t>
      </w:r>
      <w:r w:rsidR="00E76615" w:rsidRPr="001005B7">
        <w:t>sola</w:t>
      </w:r>
      <w:r w:rsidR="00E621D2" w:rsidRPr="001005B7">
        <w:t>t</w:t>
      </w:r>
      <w:r w:rsidR="00E76615" w:rsidRPr="001005B7">
        <w:t>e</w:t>
      </w:r>
      <w:r w:rsidR="0098574B" w:rsidRPr="001005B7">
        <w:t xml:space="preserve"> (</w:t>
      </w:r>
      <w:r w:rsidR="0042084A" w:rsidRPr="001005B7">
        <w:t>6:</w:t>
      </w:r>
      <w:r w:rsidR="003D7297" w:rsidRPr="001005B7">
        <w:t>6</w:t>
      </w:r>
      <w:r w:rsidR="00090B9D" w:rsidRPr="001005B7">
        <w:t>, 14</w:t>
      </w:r>
      <w:r w:rsidR="003D7297" w:rsidRPr="001005B7">
        <w:t>)</w:t>
      </w:r>
      <w:r w:rsidR="00095B3A" w:rsidRPr="001005B7">
        <w:t>;</w:t>
      </w:r>
      <w:r w:rsidR="00D55A41" w:rsidRPr="001005B7">
        <w:t xml:space="preserve"> leave</w:t>
      </w:r>
      <w:r w:rsidR="00BB305E" w:rsidRPr="001005B7">
        <w:t>,</w:t>
      </w:r>
      <w:r w:rsidR="00D55A41" w:rsidRPr="001005B7">
        <w:t xml:space="preserve"> survivors (</w:t>
      </w:r>
      <w:r w:rsidR="00AC027B" w:rsidRPr="001005B7">
        <w:t>6:</w:t>
      </w:r>
      <w:r w:rsidR="00B01836" w:rsidRPr="001005B7">
        <w:t>8)</w:t>
      </w:r>
      <w:r w:rsidR="00095B3A" w:rsidRPr="001005B7">
        <w:t>; d</w:t>
      </w:r>
      <w:r w:rsidR="007E1CC4" w:rsidRPr="001005B7">
        <w:t>e</w:t>
      </w:r>
      <w:r w:rsidR="00064C34" w:rsidRPr="001005B7">
        <w:t>testable</w:t>
      </w:r>
      <w:r w:rsidR="00095B3A" w:rsidRPr="001005B7">
        <w:t xml:space="preserve"> </w:t>
      </w:r>
      <w:r w:rsidR="00A00269" w:rsidRPr="001005B7">
        <w:t>obj</w:t>
      </w:r>
      <w:r w:rsidR="00852CF8" w:rsidRPr="001005B7">
        <w:t>e</w:t>
      </w:r>
      <w:r w:rsidR="00A00269" w:rsidRPr="001005B7">
        <w:t>cts</w:t>
      </w:r>
      <w:r w:rsidR="00095B3A" w:rsidRPr="001005B7">
        <w:t xml:space="preserve"> and outrages (</w:t>
      </w:r>
      <w:r w:rsidR="0042084A" w:rsidRPr="001005B7">
        <w:t>6:</w:t>
      </w:r>
      <w:r w:rsidR="004343CF" w:rsidRPr="001005B7">
        <w:t>9, 11)</w:t>
      </w:r>
      <w:r w:rsidR="00C03F83" w:rsidRPr="001005B7">
        <w:t>; r</w:t>
      </w:r>
      <w:r w:rsidR="006D0C28" w:rsidRPr="001005B7">
        <w:t xml:space="preserve">emains and </w:t>
      </w:r>
      <w:r w:rsidR="00CA7BCD" w:rsidRPr="001005B7">
        <w:t xml:space="preserve">is </w:t>
      </w:r>
      <w:r w:rsidR="006D0C28" w:rsidRPr="001005B7">
        <w:t>kept secure (</w:t>
      </w:r>
      <w:r w:rsidR="00AC027B" w:rsidRPr="001005B7">
        <w:t>6:</w:t>
      </w:r>
      <w:r w:rsidR="006D0C28" w:rsidRPr="001005B7">
        <w:t>12)</w:t>
      </w:r>
    </w:p>
    <w:p w14:paraId="0A5A17D6" w14:textId="587E4F31" w:rsidR="00261E9B" w:rsidRPr="001005B7" w:rsidRDefault="00830F1B" w:rsidP="007D18C7">
      <w:pPr>
        <w:pStyle w:val="Bullet"/>
      </w:pPr>
      <w:r w:rsidRPr="001005B7">
        <w:t>alliteration</w:t>
      </w:r>
      <w:r w:rsidR="003D6DE1">
        <w:t>*</w:t>
      </w:r>
      <w:r w:rsidRPr="001005B7">
        <w:t xml:space="preserve"> and paronomasia</w:t>
      </w:r>
      <w:r w:rsidR="005C1B05" w:rsidRPr="001005B7">
        <w:t>:</w:t>
      </w:r>
      <w:r w:rsidR="005502C3" w:rsidRPr="001005B7">
        <w:t>*</w:t>
      </w:r>
      <w:r w:rsidR="00927EC2" w:rsidRPr="001005B7">
        <w:t xml:space="preserve"> </w:t>
      </w:r>
      <w:r w:rsidR="00C72305" w:rsidRPr="001005B7">
        <w:t xml:space="preserve">be </w:t>
      </w:r>
      <w:r w:rsidR="007218DB" w:rsidRPr="001005B7">
        <w:t>desolate/</w:t>
      </w:r>
      <w:r w:rsidR="00C72305" w:rsidRPr="001005B7">
        <w:t>accountabl</w:t>
      </w:r>
      <w:r w:rsidR="007218DB" w:rsidRPr="001005B7">
        <w:t>e</w:t>
      </w:r>
      <w:r w:rsidR="005C1B05" w:rsidRPr="001005B7">
        <w:t xml:space="preserve"> </w:t>
      </w:r>
      <w:r w:rsidR="00D709BD" w:rsidRPr="001005B7">
        <w:t>(</w:t>
      </w:r>
      <w:r w:rsidR="00342D7C" w:rsidRPr="001005B7">
        <w:rPr>
          <w:rtl/>
          <w:lang w:bidi="he-IL"/>
        </w:rPr>
        <w:t>שָׁמַם</w:t>
      </w:r>
      <w:r w:rsidR="00C72305" w:rsidRPr="001005B7">
        <w:t xml:space="preserve">, </w:t>
      </w:r>
      <w:r w:rsidR="00AF0E5F" w:rsidRPr="001005B7">
        <w:rPr>
          <w:rtl/>
          <w:lang w:bidi="he-IL"/>
        </w:rPr>
        <w:t>אָשַׁם</w:t>
      </w:r>
      <w:r w:rsidR="0086746B" w:rsidRPr="001005B7">
        <w:t>,</w:t>
      </w:r>
      <w:r w:rsidR="00C72305" w:rsidRPr="001005B7">
        <w:t xml:space="preserve"> </w:t>
      </w:r>
      <w:r w:rsidR="00AC027B" w:rsidRPr="001005B7">
        <w:t>6:</w:t>
      </w:r>
      <w:r w:rsidR="00CE71E2" w:rsidRPr="001005B7">
        <w:t xml:space="preserve">6); </w:t>
      </w:r>
      <w:r w:rsidR="001561E0" w:rsidRPr="001005B7">
        <w:t>break and quit (</w:t>
      </w:r>
      <w:r w:rsidR="00027F91" w:rsidRPr="001005B7">
        <w:rPr>
          <w:rtl/>
          <w:lang w:bidi="he-IL"/>
        </w:rPr>
        <w:t>נִשְׁ</w:t>
      </w:r>
      <w:r w:rsidR="002236B1" w:rsidRPr="001005B7">
        <w:rPr>
          <w:rtl/>
          <w:lang w:bidi="he-IL"/>
        </w:rPr>
        <w:t>ב</w:t>
      </w:r>
      <w:r w:rsidR="00B80A98" w:rsidRPr="001005B7">
        <w:rPr>
          <w:rtl/>
          <w:lang w:bidi="he-IL"/>
        </w:rPr>
        <w:t>ּ</w:t>
      </w:r>
      <w:r w:rsidR="002236B1" w:rsidRPr="001005B7">
        <w:rPr>
          <w:rtl/>
          <w:lang w:bidi="he-IL"/>
        </w:rPr>
        <w:t>ְ</w:t>
      </w:r>
      <w:r w:rsidR="00027F91" w:rsidRPr="001005B7">
        <w:rPr>
          <w:rtl/>
          <w:lang w:bidi="he-IL"/>
        </w:rPr>
        <w:t>ְ</w:t>
      </w:r>
      <w:r w:rsidR="006612F5" w:rsidRPr="001005B7">
        <w:rPr>
          <w:rtl/>
          <w:lang w:bidi="he-IL"/>
        </w:rPr>
        <w:t>רו</w:t>
      </w:r>
      <w:r w:rsidR="00B66FED" w:rsidRPr="001005B7">
        <w:t xml:space="preserve">, </w:t>
      </w:r>
      <w:r w:rsidR="002D36DF" w:rsidRPr="001005B7">
        <w:rPr>
          <w:rtl/>
          <w:lang w:bidi="he-IL"/>
        </w:rPr>
        <w:t>נִשְׁבְְּ</w:t>
      </w:r>
      <w:r w:rsidR="00690805" w:rsidRPr="001005B7">
        <w:rPr>
          <w:rtl/>
          <w:lang w:bidi="he-IL"/>
        </w:rPr>
        <w:t>תוּ</w:t>
      </w:r>
      <w:r w:rsidR="00AC027B" w:rsidRPr="001005B7">
        <w:rPr>
          <w:i/>
          <w:iCs/>
        </w:rPr>
        <w:t xml:space="preserve">, </w:t>
      </w:r>
      <w:r w:rsidR="00AC027B" w:rsidRPr="001005B7">
        <w:t>6:</w:t>
      </w:r>
      <w:r w:rsidR="00D23CD1" w:rsidRPr="001005B7">
        <w:t>6</w:t>
      </w:r>
      <w:r w:rsidR="001561E0" w:rsidRPr="001005B7">
        <w:t xml:space="preserve">); </w:t>
      </w:r>
      <w:r w:rsidR="00F037E9" w:rsidRPr="001005B7">
        <w:t>kep</w:t>
      </w:r>
      <w:r w:rsidR="00E17DC7" w:rsidRPr="001005B7">
        <w:t>t</w:t>
      </w:r>
      <w:r w:rsidR="00F037E9" w:rsidRPr="001005B7">
        <w:t xml:space="preserve"> secure</w:t>
      </w:r>
      <w:r w:rsidR="00FB738F" w:rsidRPr="001005B7">
        <w:t>/confined</w:t>
      </w:r>
      <w:r w:rsidR="00F037E9" w:rsidRPr="001005B7">
        <w:t xml:space="preserve"> (</w:t>
      </w:r>
      <w:r w:rsidR="00261933" w:rsidRPr="001005B7">
        <w:rPr>
          <w:rtl/>
          <w:lang w:bidi="he-IL"/>
        </w:rPr>
        <w:t>נ</w:t>
      </w:r>
      <w:r w:rsidR="008216A5" w:rsidRPr="001005B7">
        <w:rPr>
          <w:rtl/>
          <w:lang w:bidi="he-IL"/>
        </w:rPr>
        <w:t>ָ</w:t>
      </w:r>
      <w:r w:rsidR="00D74359" w:rsidRPr="001005B7">
        <w:rPr>
          <w:rtl/>
          <w:lang w:bidi="he-IL"/>
        </w:rPr>
        <w:t>צַר</w:t>
      </w:r>
      <w:r w:rsidR="00374611" w:rsidRPr="001005B7">
        <w:t xml:space="preserve">, </w:t>
      </w:r>
      <w:r w:rsidR="00CC4265" w:rsidRPr="001005B7">
        <w:rPr>
          <w:rtl/>
          <w:lang w:bidi="he-IL"/>
        </w:rPr>
        <w:t>צוּר</w:t>
      </w:r>
      <w:r w:rsidR="002C5BA6" w:rsidRPr="001005B7">
        <w:rPr>
          <w:i/>
          <w:iCs/>
        </w:rPr>
        <w:t>,</w:t>
      </w:r>
      <w:r w:rsidR="00374611" w:rsidRPr="001005B7">
        <w:rPr>
          <w:i/>
          <w:iCs/>
        </w:rPr>
        <w:t xml:space="preserve"> </w:t>
      </w:r>
      <w:r w:rsidR="00AC027B" w:rsidRPr="001005B7">
        <w:t>6:</w:t>
      </w:r>
      <w:r w:rsidR="00E17DC7" w:rsidRPr="001005B7">
        <w:t>12)</w:t>
      </w:r>
      <w:r w:rsidR="00B9381E" w:rsidRPr="001005B7">
        <w:t xml:space="preserve">; </w:t>
      </w:r>
      <w:r w:rsidR="002529D4" w:rsidRPr="001005B7">
        <w:t xml:space="preserve">make </w:t>
      </w:r>
      <w:r w:rsidR="000A33E7" w:rsidRPr="001005B7">
        <w:t xml:space="preserve">a </w:t>
      </w:r>
      <w:r w:rsidR="002529D4" w:rsidRPr="001005B7">
        <w:t xml:space="preserve">sweet </w:t>
      </w:r>
      <w:r w:rsidR="000A33E7" w:rsidRPr="001005B7">
        <w:t>aroma</w:t>
      </w:r>
      <w:r w:rsidR="002529D4" w:rsidRPr="001005B7">
        <w:t xml:space="preserve"> (</w:t>
      </w:r>
      <w:r w:rsidR="00AF511C" w:rsidRPr="001005B7">
        <w:rPr>
          <w:rtl/>
          <w:lang w:bidi="he-IL"/>
        </w:rPr>
        <w:t>רִיַח</w:t>
      </w:r>
      <w:r w:rsidR="00724755" w:rsidRPr="001005B7">
        <w:rPr>
          <w:rtl/>
          <w:lang w:bidi="he-IL"/>
        </w:rPr>
        <w:t xml:space="preserve"> </w:t>
      </w:r>
      <w:r w:rsidR="00AF511C" w:rsidRPr="001005B7">
        <w:rPr>
          <w:rtl/>
          <w:lang w:bidi="he-IL"/>
        </w:rPr>
        <w:t>נִיחַׄח</w:t>
      </w:r>
      <w:r w:rsidR="007150A9" w:rsidRPr="001005B7">
        <w:t xml:space="preserve">, </w:t>
      </w:r>
      <w:r w:rsidR="00AC027B" w:rsidRPr="001005B7">
        <w:t>6:</w:t>
      </w:r>
      <w:r w:rsidR="007150A9" w:rsidRPr="001005B7">
        <w:t>13</w:t>
      </w:r>
      <w:r w:rsidR="00191977" w:rsidRPr="001005B7">
        <w:t>)</w:t>
      </w:r>
      <w:r w:rsidR="007150A9" w:rsidRPr="001005B7">
        <w:t xml:space="preserve">; </w:t>
      </w:r>
      <w:r w:rsidR="00D858E1" w:rsidRPr="001005B7">
        <w:t>desolation</w:t>
      </w:r>
      <w:r w:rsidR="00DE2E2A" w:rsidRPr="001005B7">
        <w:t>, something desolate</w:t>
      </w:r>
      <w:r w:rsidR="00D858E1" w:rsidRPr="001005B7">
        <w:t xml:space="preserve"> (</w:t>
      </w:r>
      <w:r w:rsidR="009C10D5" w:rsidRPr="001005B7">
        <w:rPr>
          <w:rtl/>
          <w:lang w:bidi="he-IL"/>
        </w:rPr>
        <w:t>שְׁמ</w:t>
      </w:r>
      <w:r w:rsidR="00B66C0F" w:rsidRPr="001005B7">
        <w:rPr>
          <w:rtl/>
          <w:lang w:bidi="he-IL"/>
        </w:rPr>
        <w:t>ָמָה</w:t>
      </w:r>
      <w:r w:rsidR="00781ACD" w:rsidRPr="001005B7">
        <w:t xml:space="preserve">, </w:t>
      </w:r>
      <w:r w:rsidR="002E153B" w:rsidRPr="001005B7">
        <w:rPr>
          <w:rtl/>
          <w:lang w:bidi="he-IL"/>
        </w:rPr>
        <w:t>מְ</w:t>
      </w:r>
      <w:r w:rsidR="00BC4D9F" w:rsidRPr="001005B7">
        <w:rPr>
          <w:rtl/>
          <w:lang w:bidi="he-IL"/>
        </w:rPr>
        <w:t>שַׁמָּה</w:t>
      </w:r>
      <w:r w:rsidR="00781ACD" w:rsidRPr="001005B7">
        <w:t xml:space="preserve">, </w:t>
      </w:r>
      <w:r w:rsidR="00AC027B" w:rsidRPr="001005B7">
        <w:t>6:</w:t>
      </w:r>
      <w:r w:rsidR="00781ACD" w:rsidRPr="001005B7">
        <w:t>14).</w:t>
      </w:r>
    </w:p>
    <w:p w14:paraId="3A3CDB56" w14:textId="77777777" w:rsidR="0019363A" w:rsidRPr="001005B7" w:rsidRDefault="0019363A" w:rsidP="0019363A">
      <w:pPr>
        <w:rPr>
          <w:rFonts w:cstheme="minorHAnsi"/>
        </w:rPr>
      </w:pPr>
    </w:p>
    <w:p w14:paraId="4E6C3B4F" w14:textId="28259492" w:rsidR="0002601D" w:rsidRPr="001005B7" w:rsidRDefault="0019363A" w:rsidP="004869DA">
      <w:r w:rsidRPr="001005B7">
        <w:rPr>
          <w:rFonts w:cstheme="minorHAnsi"/>
        </w:rPr>
        <w:t xml:space="preserve">The effect of such </w:t>
      </w:r>
      <w:r w:rsidR="008620C9" w:rsidRPr="001005B7">
        <w:rPr>
          <w:rFonts w:cstheme="minorHAnsi"/>
        </w:rPr>
        <w:t xml:space="preserve">devices is to slow down the </w:t>
      </w:r>
      <w:r w:rsidR="004A470E" w:rsidRPr="001005B7">
        <w:rPr>
          <w:rFonts w:cstheme="minorHAnsi"/>
        </w:rPr>
        <w:t>message’s</w:t>
      </w:r>
      <w:r w:rsidR="009358FE" w:rsidRPr="001005B7">
        <w:rPr>
          <w:rFonts w:cstheme="minorHAnsi"/>
        </w:rPr>
        <w:t xml:space="preserve"> </w:t>
      </w:r>
      <w:r w:rsidR="008620C9" w:rsidRPr="001005B7">
        <w:rPr>
          <w:rFonts w:cstheme="minorHAnsi"/>
        </w:rPr>
        <w:t>de</w:t>
      </w:r>
      <w:r w:rsidR="008620C9" w:rsidRPr="001005B7">
        <w:t xml:space="preserve">livery </w:t>
      </w:r>
      <w:r w:rsidR="0089423D" w:rsidRPr="001005B7">
        <w:t>and</w:t>
      </w:r>
      <w:r w:rsidR="00D629CC" w:rsidRPr="001005B7">
        <w:t xml:space="preserve"> </w:t>
      </w:r>
      <w:r w:rsidR="008620C9" w:rsidRPr="001005B7">
        <w:t>giv</w:t>
      </w:r>
      <w:r w:rsidR="0089423D" w:rsidRPr="001005B7">
        <w:t>e</w:t>
      </w:r>
      <w:r w:rsidR="008620C9" w:rsidRPr="001005B7">
        <w:t xml:space="preserve"> people </w:t>
      </w:r>
      <w:r w:rsidR="00EB6BC0" w:rsidRPr="001005B7">
        <w:t xml:space="preserve">more time </w:t>
      </w:r>
      <w:r w:rsidR="00DC7902" w:rsidRPr="001005B7">
        <w:t>for</w:t>
      </w:r>
      <w:r w:rsidR="00EB6BC0" w:rsidRPr="001005B7">
        <w:t xml:space="preserve"> assimilat</w:t>
      </w:r>
      <w:r w:rsidR="00DC7902" w:rsidRPr="001005B7">
        <w:t>ing</w:t>
      </w:r>
      <w:r w:rsidR="00EB6BC0" w:rsidRPr="001005B7">
        <w:t xml:space="preserve"> it and </w:t>
      </w:r>
      <w:r w:rsidR="000A6B8D" w:rsidRPr="001005B7">
        <w:t>make it harder to</w:t>
      </w:r>
      <w:r w:rsidR="00EB6BC0" w:rsidRPr="001005B7">
        <w:t xml:space="preserve"> dismiss</w:t>
      </w:r>
      <w:r w:rsidR="00D629CC" w:rsidRPr="001005B7">
        <w:t xml:space="preserve">, </w:t>
      </w:r>
      <w:r w:rsidR="00D729D4" w:rsidRPr="001005B7">
        <w:t xml:space="preserve">to </w:t>
      </w:r>
      <w:r w:rsidR="00CD0210" w:rsidRPr="001005B7">
        <w:t xml:space="preserve">nuance and </w:t>
      </w:r>
      <w:r w:rsidR="00D729D4" w:rsidRPr="001005B7">
        <w:t>underscore</w:t>
      </w:r>
      <w:r w:rsidR="00CD0210" w:rsidRPr="001005B7">
        <w:t xml:space="preserve"> key features</w:t>
      </w:r>
      <w:r w:rsidR="00102F84" w:rsidRPr="001005B7">
        <w:t>, and</w:t>
      </w:r>
      <w:r w:rsidR="00926A21" w:rsidRPr="001005B7">
        <w:t xml:space="preserve"> to suggest links between motifs that one might not otherwise have made.</w:t>
      </w:r>
    </w:p>
    <w:p w14:paraId="1B89F517" w14:textId="709A8A5A" w:rsidR="00985B77" w:rsidRPr="001005B7" w:rsidRDefault="00D27400" w:rsidP="00493833">
      <w:pPr>
        <w:pStyle w:val="Heading3"/>
      </w:pPr>
      <w:r w:rsidRPr="001005B7">
        <w:t>Translation</w:t>
      </w:r>
    </w:p>
    <w:p w14:paraId="291086B9" w14:textId="3413EC20" w:rsidR="00C7530C" w:rsidRPr="001005B7" w:rsidRDefault="00D27400" w:rsidP="00BF2C79">
      <w:r w:rsidRPr="001005B7">
        <w:rPr>
          <w:vertAlign w:val="superscript"/>
        </w:rPr>
        <w:t>1</w:t>
      </w:r>
      <w:r w:rsidR="00426427" w:rsidRPr="001005B7">
        <w:t>Yahweh’s message came to me</w:t>
      </w:r>
      <w:r w:rsidR="00AD6817" w:rsidRPr="001005B7">
        <w:t>:</w:t>
      </w:r>
      <w:r w:rsidR="00726467" w:rsidRPr="001005B7">
        <w:t xml:space="preserve"> </w:t>
      </w:r>
      <w:r w:rsidR="00074AC8" w:rsidRPr="001005B7">
        <w:rPr>
          <w:vertAlign w:val="superscript"/>
        </w:rPr>
        <w:t>2</w:t>
      </w:r>
      <w:r w:rsidR="00D3329B" w:rsidRPr="001005B7">
        <w:t>My man</w:t>
      </w:r>
      <w:r w:rsidR="00426427" w:rsidRPr="001005B7">
        <w:t>,</w:t>
      </w:r>
      <w:r w:rsidR="00074AC8" w:rsidRPr="001005B7">
        <w:t xml:space="preserve"> </w:t>
      </w:r>
      <w:r w:rsidR="00460E7D" w:rsidRPr="001005B7">
        <w:t>se</w:t>
      </w:r>
      <w:r w:rsidR="00074AC8" w:rsidRPr="001005B7">
        <w:t>t your face</w:t>
      </w:r>
      <w:r w:rsidR="00CE6FA2" w:rsidRPr="001005B7">
        <w:t xml:space="preserve"> to the mountains of Israel</w:t>
      </w:r>
      <w:r w:rsidR="00DB13CF" w:rsidRPr="001005B7">
        <w:t>.</w:t>
      </w:r>
      <w:r w:rsidR="004A331C" w:rsidRPr="001005B7">
        <w:t xml:space="preserve"> </w:t>
      </w:r>
      <w:r w:rsidR="00DB13CF" w:rsidRPr="001005B7">
        <w:t>P</w:t>
      </w:r>
      <w:r w:rsidR="004A331C" w:rsidRPr="001005B7">
        <w:t xml:space="preserve">rophesy to them </w:t>
      </w:r>
      <w:r w:rsidR="000372EE" w:rsidRPr="001005B7">
        <w:rPr>
          <w:vertAlign w:val="superscript"/>
        </w:rPr>
        <w:t>3</w:t>
      </w:r>
      <w:r w:rsidR="00F52598" w:rsidRPr="001005B7">
        <w:t>and</w:t>
      </w:r>
      <w:r w:rsidR="000372EE" w:rsidRPr="001005B7">
        <w:t xml:space="preserve"> say: Mountains of Israel, listen </w:t>
      </w:r>
      <w:r w:rsidR="006D7BDA" w:rsidRPr="001005B7">
        <w:t xml:space="preserve">to the Lord Yahweh’s message. </w:t>
      </w:r>
    </w:p>
    <w:p w14:paraId="1764FC0D" w14:textId="7513CF0C" w:rsidR="00664DB6" w:rsidRPr="001005B7" w:rsidRDefault="006D7BDA" w:rsidP="00BF2C79">
      <w:r w:rsidRPr="001005B7">
        <w:t>The Lord Yahweh has said this</w:t>
      </w:r>
      <w:r w:rsidR="00901B3F" w:rsidRPr="001005B7">
        <w:t xml:space="preserve"> to the mountains</w:t>
      </w:r>
      <w:r w:rsidR="00AA6F93" w:rsidRPr="001005B7">
        <w:t xml:space="preserve"> an</w:t>
      </w:r>
      <w:r w:rsidR="00940A5A" w:rsidRPr="001005B7">
        <w:t>d</w:t>
      </w:r>
      <w:r w:rsidR="00901B3F" w:rsidRPr="001005B7">
        <w:t xml:space="preserve"> to the hills, to the </w:t>
      </w:r>
      <w:r w:rsidR="00A141F1" w:rsidRPr="001005B7">
        <w:t>ravines and to the</w:t>
      </w:r>
      <w:r w:rsidR="00F474B0" w:rsidRPr="001005B7">
        <w:t xml:space="preserve"> canyons</w:t>
      </w:r>
      <w:r w:rsidR="00773059" w:rsidRPr="001005B7">
        <w:t xml:space="preserve">: </w:t>
      </w:r>
      <w:r w:rsidR="00817C62" w:rsidRPr="001005B7">
        <w:t>Here am I</w:t>
      </w:r>
      <w:r w:rsidR="003C5882">
        <w:t>,</w:t>
      </w:r>
      <w:r w:rsidR="00817C62" w:rsidRPr="001005B7">
        <w:t xml:space="preserve"> </w:t>
      </w:r>
      <w:r w:rsidR="003C5882">
        <w:t xml:space="preserve">I </w:t>
      </w:r>
      <w:r w:rsidR="00320EE8" w:rsidRPr="001005B7">
        <w:t>myself</w:t>
      </w:r>
      <w:r w:rsidR="002E74B6" w:rsidRPr="001005B7">
        <w:t xml:space="preserve"> </w:t>
      </w:r>
      <w:r w:rsidR="003C5882">
        <w:t xml:space="preserve">am </w:t>
      </w:r>
      <w:r w:rsidR="002E74B6" w:rsidRPr="001005B7">
        <w:t xml:space="preserve">causing </w:t>
      </w:r>
      <w:r w:rsidR="00042972" w:rsidRPr="001005B7">
        <w:t xml:space="preserve">a sword </w:t>
      </w:r>
      <w:r w:rsidR="002E74B6" w:rsidRPr="001005B7">
        <w:t>to come against you</w:t>
      </w:r>
      <w:r w:rsidR="00C02248" w:rsidRPr="001005B7">
        <w:t xml:space="preserve"> and </w:t>
      </w:r>
      <w:r w:rsidR="009568E5" w:rsidRPr="001005B7">
        <w:t>obliterat</w:t>
      </w:r>
      <w:r w:rsidR="00C946B8" w:rsidRPr="001005B7">
        <w:t>ing</w:t>
      </w:r>
      <w:r w:rsidR="00C02248" w:rsidRPr="001005B7">
        <w:t xml:space="preserve"> your shrines.</w:t>
      </w:r>
      <w:r w:rsidR="00F474B0" w:rsidRPr="001005B7">
        <w:t xml:space="preserve"> </w:t>
      </w:r>
      <w:r w:rsidR="00790BF3" w:rsidRPr="001005B7">
        <w:rPr>
          <w:vertAlign w:val="superscript"/>
        </w:rPr>
        <w:t>4</w:t>
      </w:r>
      <w:r w:rsidR="00773059" w:rsidRPr="001005B7">
        <w:t>Your altars</w:t>
      </w:r>
      <w:r w:rsidR="00F474B0" w:rsidRPr="001005B7">
        <w:t xml:space="preserve"> </w:t>
      </w:r>
      <w:r w:rsidR="003462D2" w:rsidRPr="001005B7">
        <w:t>will become desolate</w:t>
      </w:r>
      <w:r w:rsidR="00694453" w:rsidRPr="001005B7">
        <w:t xml:space="preserve"> and your </w:t>
      </w:r>
      <w:r w:rsidR="00DF2939" w:rsidRPr="001005B7">
        <w:t>burners</w:t>
      </w:r>
      <w:r w:rsidR="00694453" w:rsidRPr="001005B7">
        <w:t xml:space="preserve"> will </w:t>
      </w:r>
      <w:r w:rsidR="00D8541D" w:rsidRPr="001005B7">
        <w:t>break</w:t>
      </w:r>
      <w:r w:rsidR="009E78FB" w:rsidRPr="001005B7">
        <w:t xml:space="preserve">. I will </w:t>
      </w:r>
      <w:r w:rsidR="00624B26" w:rsidRPr="001005B7">
        <w:t xml:space="preserve">cause your </w:t>
      </w:r>
      <w:r w:rsidR="00E22543" w:rsidRPr="001005B7">
        <w:t>slain</w:t>
      </w:r>
      <w:r w:rsidR="00624B26" w:rsidRPr="001005B7">
        <w:t xml:space="preserve"> to fall in front of your </w:t>
      </w:r>
      <w:r w:rsidR="0079223A" w:rsidRPr="001005B7">
        <w:t>lump</w:t>
      </w:r>
      <w:r w:rsidR="00B327E7" w:rsidRPr="001005B7">
        <w:t>s</w:t>
      </w:r>
      <w:r w:rsidR="00624B26" w:rsidRPr="001005B7">
        <w:t xml:space="preserve">. </w:t>
      </w:r>
      <w:r w:rsidR="00624B26" w:rsidRPr="001005B7">
        <w:rPr>
          <w:vertAlign w:val="superscript"/>
        </w:rPr>
        <w:t>5</w:t>
      </w:r>
      <w:r w:rsidR="007D683B" w:rsidRPr="001005B7">
        <w:t xml:space="preserve">I will put the </w:t>
      </w:r>
      <w:r w:rsidR="007F457C" w:rsidRPr="001005B7">
        <w:t>carcasses</w:t>
      </w:r>
      <w:r w:rsidR="007D683B" w:rsidRPr="001005B7">
        <w:t xml:space="preserve"> of the Israelites</w:t>
      </w:r>
      <w:r w:rsidR="00765E92" w:rsidRPr="001005B7">
        <w:t xml:space="preserve"> </w:t>
      </w:r>
      <w:r w:rsidR="005A6D8B" w:rsidRPr="001005B7">
        <w:t xml:space="preserve">in front of your </w:t>
      </w:r>
      <w:r w:rsidR="00CA5386" w:rsidRPr="001005B7">
        <w:t>lump</w:t>
      </w:r>
      <w:r w:rsidR="005A6D8B" w:rsidRPr="001005B7">
        <w:t xml:space="preserve">s </w:t>
      </w:r>
      <w:r w:rsidR="00765E92" w:rsidRPr="001005B7">
        <w:t xml:space="preserve">and scatter your bones around </w:t>
      </w:r>
      <w:r w:rsidR="003F6BB7" w:rsidRPr="001005B7">
        <w:t>your altars</w:t>
      </w:r>
      <w:r w:rsidR="00B948C7" w:rsidRPr="001005B7">
        <w:t xml:space="preserve"> </w:t>
      </w:r>
      <w:r w:rsidR="00B948C7" w:rsidRPr="001005B7">
        <w:rPr>
          <w:vertAlign w:val="superscript"/>
        </w:rPr>
        <w:t>6</w:t>
      </w:r>
      <w:r w:rsidR="00B948C7" w:rsidRPr="001005B7">
        <w:t>in all your settlements</w:t>
      </w:r>
      <w:r w:rsidR="007E3B4C">
        <w:t>, t</w:t>
      </w:r>
      <w:r w:rsidR="00F63405" w:rsidRPr="001005B7">
        <w:t>he</w:t>
      </w:r>
      <w:r w:rsidR="00034576" w:rsidRPr="001005B7">
        <w:t xml:space="preserve"> towns</w:t>
      </w:r>
      <w:r w:rsidR="007E3B4C">
        <w:t xml:space="preserve"> </w:t>
      </w:r>
      <w:r w:rsidR="005E6122" w:rsidRPr="001005B7">
        <w:t>becom</w:t>
      </w:r>
      <w:r w:rsidR="007E3B4C">
        <w:t>ing</w:t>
      </w:r>
      <w:r w:rsidR="005E6122" w:rsidRPr="001005B7">
        <w:t xml:space="preserve"> waste</w:t>
      </w:r>
      <w:r w:rsidR="007A267F" w:rsidRPr="001005B7">
        <w:t>,</w:t>
      </w:r>
      <w:r w:rsidR="00B411DB" w:rsidRPr="001005B7">
        <w:t xml:space="preserve"> </w:t>
      </w:r>
      <w:r w:rsidR="001664D8" w:rsidRPr="001005B7">
        <w:t xml:space="preserve">and </w:t>
      </w:r>
      <w:r w:rsidR="00F63405" w:rsidRPr="001005B7">
        <w:t>the</w:t>
      </w:r>
      <w:r w:rsidR="00B411DB" w:rsidRPr="001005B7">
        <w:t xml:space="preserve"> </w:t>
      </w:r>
      <w:r w:rsidR="00F63405" w:rsidRPr="001005B7">
        <w:t>shrine</w:t>
      </w:r>
      <w:r w:rsidR="00B411DB" w:rsidRPr="001005B7">
        <w:t>s</w:t>
      </w:r>
      <w:r w:rsidR="003C7151" w:rsidRPr="001005B7">
        <w:t xml:space="preserve"> becom</w:t>
      </w:r>
      <w:r w:rsidR="001905E0">
        <w:t>ing</w:t>
      </w:r>
      <w:r w:rsidR="003C7151" w:rsidRPr="001005B7">
        <w:t xml:space="preserve"> desolate</w:t>
      </w:r>
      <w:r w:rsidR="00323055" w:rsidRPr="001005B7">
        <w:t xml:space="preserve">, in order that your altars </w:t>
      </w:r>
      <w:r w:rsidR="00774709" w:rsidRPr="001005B7">
        <w:t>may become waste</w:t>
      </w:r>
      <w:r w:rsidR="00B325C6" w:rsidRPr="001005B7">
        <w:t xml:space="preserve"> and </w:t>
      </w:r>
      <w:r w:rsidR="00E253E4" w:rsidRPr="001005B7">
        <w:t>be</w:t>
      </w:r>
      <w:r w:rsidR="00891A26" w:rsidRPr="001005B7">
        <w:t>come</w:t>
      </w:r>
      <w:r w:rsidR="00E253E4" w:rsidRPr="001005B7">
        <w:t xml:space="preserve"> </w:t>
      </w:r>
      <w:r w:rsidR="00BC6DBA" w:rsidRPr="001005B7">
        <w:t>desolate</w:t>
      </w:r>
      <w:r w:rsidR="00F24703" w:rsidRPr="001005B7">
        <w:t>/</w:t>
      </w:r>
      <w:r w:rsidR="00351A0C" w:rsidRPr="001005B7">
        <w:t>accountable</w:t>
      </w:r>
      <w:r w:rsidR="00E7442A" w:rsidRPr="001005B7">
        <w:t>,</w:t>
      </w:r>
      <w:r w:rsidR="007708BF" w:rsidRPr="001005B7">
        <w:rPr>
          <w:rStyle w:val="FootnoteReference"/>
        </w:rPr>
        <w:footnoteReference w:id="191"/>
      </w:r>
      <w:r w:rsidR="00E7442A" w:rsidRPr="001005B7">
        <w:t xml:space="preserve"> </w:t>
      </w:r>
      <w:r w:rsidR="00B325C6" w:rsidRPr="001005B7">
        <w:t xml:space="preserve">your </w:t>
      </w:r>
      <w:r w:rsidR="00CA5386" w:rsidRPr="001005B7">
        <w:t>lump</w:t>
      </w:r>
      <w:r w:rsidR="00B325C6" w:rsidRPr="001005B7">
        <w:t xml:space="preserve">s </w:t>
      </w:r>
      <w:r w:rsidR="00892D42" w:rsidRPr="001005B7">
        <w:t>b</w:t>
      </w:r>
      <w:r w:rsidR="005A21DF" w:rsidRPr="001005B7">
        <w:t>reak</w:t>
      </w:r>
      <w:r w:rsidR="001F78C3" w:rsidRPr="001005B7">
        <w:t xml:space="preserve"> and </w:t>
      </w:r>
      <w:r w:rsidR="00E7775E" w:rsidRPr="001005B7">
        <w:t>quit</w:t>
      </w:r>
      <w:r w:rsidR="00585BCA" w:rsidRPr="001005B7">
        <w:t xml:space="preserve">, your </w:t>
      </w:r>
      <w:r w:rsidR="003B4639" w:rsidRPr="001005B7">
        <w:t>burner</w:t>
      </w:r>
      <w:r w:rsidR="00585BCA" w:rsidRPr="001005B7">
        <w:t xml:space="preserve">s </w:t>
      </w:r>
      <w:r w:rsidR="007C7E75" w:rsidRPr="001005B7">
        <w:t xml:space="preserve">be </w:t>
      </w:r>
      <w:r w:rsidR="00585BCA" w:rsidRPr="001005B7">
        <w:t>cut down</w:t>
      </w:r>
      <w:r w:rsidR="009C231B" w:rsidRPr="001005B7">
        <w:t xml:space="preserve">, the things you have made </w:t>
      </w:r>
      <w:r w:rsidR="00D749A1" w:rsidRPr="001005B7">
        <w:t>be wiped out</w:t>
      </w:r>
      <w:r w:rsidR="000C62D9" w:rsidRPr="001005B7">
        <w:t>,</w:t>
      </w:r>
      <w:r w:rsidR="00D749A1" w:rsidRPr="001005B7">
        <w:t xml:space="preserve"> </w:t>
      </w:r>
      <w:r w:rsidR="00D749A1" w:rsidRPr="001005B7">
        <w:rPr>
          <w:vertAlign w:val="superscript"/>
        </w:rPr>
        <w:t>7</w:t>
      </w:r>
      <w:r w:rsidR="000C62D9" w:rsidRPr="001005B7">
        <w:t>and t</w:t>
      </w:r>
      <w:r w:rsidR="006D4CC8" w:rsidRPr="001005B7">
        <w:t>h</w:t>
      </w:r>
      <w:r w:rsidR="00463FE8" w:rsidRPr="001005B7">
        <w:t>e slain</w:t>
      </w:r>
      <w:r w:rsidR="002B3076" w:rsidRPr="001005B7">
        <w:t xml:space="preserve"> </w:t>
      </w:r>
      <w:r w:rsidR="006D4CC8" w:rsidRPr="001005B7">
        <w:t>fall among you</w:t>
      </w:r>
      <w:r w:rsidR="0013465F" w:rsidRPr="001005B7">
        <w:t>. A</w:t>
      </w:r>
      <w:r w:rsidR="00242F01" w:rsidRPr="001005B7">
        <w:t>nd you will acknowledge that I am Yahweh</w:t>
      </w:r>
      <w:r w:rsidR="00664DB6" w:rsidRPr="001005B7">
        <w:t>.</w:t>
      </w:r>
      <w:r w:rsidR="00BF2C79" w:rsidRPr="001005B7">
        <w:t xml:space="preserve"> </w:t>
      </w:r>
    </w:p>
    <w:p w14:paraId="2F687793" w14:textId="6856D22A" w:rsidR="000330EF" w:rsidRPr="001005B7" w:rsidRDefault="009B02A8" w:rsidP="00FD3870">
      <w:r w:rsidRPr="001005B7">
        <w:rPr>
          <w:vertAlign w:val="superscript"/>
        </w:rPr>
        <w:t>8</w:t>
      </w:r>
      <w:r w:rsidR="00AC1E77" w:rsidRPr="001005B7">
        <w:t>I</w:t>
      </w:r>
      <w:r w:rsidRPr="001005B7">
        <w:t xml:space="preserve"> </w:t>
      </w:r>
      <w:r w:rsidR="002E57DF" w:rsidRPr="001005B7">
        <w:t>will le</w:t>
      </w:r>
      <w:r w:rsidR="00183C35" w:rsidRPr="001005B7">
        <w:t>ave</w:t>
      </w:r>
      <w:r w:rsidR="002E57DF" w:rsidRPr="001005B7">
        <w:t xml:space="preserve"> </w:t>
      </w:r>
      <w:r w:rsidR="00183C35" w:rsidRPr="001005B7">
        <w:t>[</w:t>
      </w:r>
      <w:r w:rsidR="00C80652" w:rsidRPr="001005B7">
        <w:t>some people</w:t>
      </w:r>
      <w:r w:rsidR="00183C35" w:rsidRPr="001005B7">
        <w:t>]</w:t>
      </w:r>
      <w:r w:rsidR="00633DD4" w:rsidRPr="001005B7">
        <w:t xml:space="preserve"> </w:t>
      </w:r>
      <w:r w:rsidR="001C38D5" w:rsidRPr="001005B7">
        <w:t>through</w:t>
      </w:r>
      <w:r w:rsidR="00C80652" w:rsidRPr="001005B7">
        <w:t xml:space="preserve"> you</w:t>
      </w:r>
      <w:r w:rsidR="00DE08B9" w:rsidRPr="001005B7">
        <w:t>r</w:t>
      </w:r>
      <w:r w:rsidR="00A40C2D" w:rsidRPr="001005B7">
        <w:t xml:space="preserve"> </w:t>
      </w:r>
      <w:r w:rsidR="00AC1E77" w:rsidRPr="001005B7">
        <w:t>hav</w:t>
      </w:r>
      <w:r w:rsidR="001C38D5" w:rsidRPr="001005B7">
        <w:t>ing</w:t>
      </w:r>
      <w:r w:rsidR="00A40C2D" w:rsidRPr="001005B7">
        <w:t xml:space="preserve"> </w:t>
      </w:r>
      <w:r w:rsidR="00F30664" w:rsidRPr="001005B7">
        <w:t xml:space="preserve">some </w:t>
      </w:r>
      <w:r w:rsidR="00A13D6E" w:rsidRPr="001005B7">
        <w:t xml:space="preserve">survivors </w:t>
      </w:r>
      <w:r w:rsidR="00F30664" w:rsidRPr="001005B7">
        <w:t>of</w:t>
      </w:r>
      <w:r w:rsidR="00A40C2D" w:rsidRPr="001005B7">
        <w:t xml:space="preserve"> the sword among the nations</w:t>
      </w:r>
      <w:r w:rsidR="00384969" w:rsidRPr="001005B7">
        <w:t>,</w:t>
      </w:r>
      <w:r w:rsidR="00AA66D6" w:rsidRPr="001005B7">
        <w:t xml:space="preserve"> when you scatter in the countries</w:t>
      </w:r>
      <w:r w:rsidR="00FD3870" w:rsidRPr="001005B7">
        <w:t xml:space="preserve">, </w:t>
      </w:r>
      <w:r w:rsidR="00AA66D6" w:rsidRPr="001005B7">
        <w:rPr>
          <w:vertAlign w:val="superscript"/>
        </w:rPr>
        <w:t>9</w:t>
      </w:r>
      <w:r w:rsidR="00FD3870" w:rsidRPr="001005B7">
        <w:t>and</w:t>
      </w:r>
      <w:r w:rsidR="0007198A" w:rsidRPr="001005B7">
        <w:t xml:space="preserve"> </w:t>
      </w:r>
      <w:r w:rsidR="00610C96">
        <w:t xml:space="preserve">your </w:t>
      </w:r>
      <w:r w:rsidR="00B72697" w:rsidRPr="001005B7">
        <w:t>surviv</w:t>
      </w:r>
      <w:r w:rsidR="00610C96">
        <w:t>ors</w:t>
      </w:r>
      <w:r w:rsidR="0007198A" w:rsidRPr="001005B7">
        <w:t xml:space="preserve"> will be mindful of me</w:t>
      </w:r>
      <w:r w:rsidR="00B41B4C" w:rsidRPr="001005B7">
        <w:t xml:space="preserve"> among the nations </w:t>
      </w:r>
      <w:r w:rsidR="003C2DD0" w:rsidRPr="001005B7">
        <w:t xml:space="preserve">where they </w:t>
      </w:r>
      <w:r w:rsidR="00376F72" w:rsidRPr="001005B7">
        <w:t>have become</w:t>
      </w:r>
      <w:r w:rsidR="003C2DD0" w:rsidRPr="001005B7">
        <w:t xml:space="preserve"> </w:t>
      </w:r>
      <w:r w:rsidR="001277DD" w:rsidRPr="001005B7">
        <w:t>captives</w:t>
      </w:r>
      <w:r w:rsidR="00D245C5" w:rsidRPr="001005B7">
        <w:t xml:space="preserve">, that I broke </w:t>
      </w:r>
      <w:r w:rsidR="00147760" w:rsidRPr="001005B7">
        <w:t xml:space="preserve">as regards their </w:t>
      </w:r>
      <w:r w:rsidR="00F51F25" w:rsidRPr="001005B7">
        <w:t>whori</w:t>
      </w:r>
      <w:r w:rsidR="00C346D7" w:rsidRPr="001005B7">
        <w:t>ng</w:t>
      </w:r>
      <w:r w:rsidR="00F51F25" w:rsidRPr="001005B7">
        <w:t xml:space="preserve"> mind</w:t>
      </w:r>
      <w:r w:rsidR="00C346D7" w:rsidRPr="001005B7">
        <w:t xml:space="preserve"> that</w:t>
      </w:r>
      <w:r w:rsidR="00F51F25" w:rsidRPr="001005B7">
        <w:t xml:space="preserve"> turned </w:t>
      </w:r>
      <w:r w:rsidR="00647496" w:rsidRPr="001005B7">
        <w:t xml:space="preserve">aside </w:t>
      </w:r>
      <w:r w:rsidR="00F51F25" w:rsidRPr="001005B7">
        <w:t>from me</w:t>
      </w:r>
      <w:r w:rsidR="007F33C5" w:rsidRPr="001005B7">
        <w:t xml:space="preserve">, and </w:t>
      </w:r>
      <w:r w:rsidR="00892ACC" w:rsidRPr="001005B7">
        <w:t>as regards</w:t>
      </w:r>
      <w:r w:rsidR="00F120C4" w:rsidRPr="001005B7">
        <w:t xml:space="preserve"> </w:t>
      </w:r>
      <w:r w:rsidR="007F33C5" w:rsidRPr="001005B7">
        <w:t xml:space="preserve">their eyes </w:t>
      </w:r>
      <w:r w:rsidR="002A13D1" w:rsidRPr="001005B7">
        <w:t xml:space="preserve">whoring </w:t>
      </w:r>
      <w:r w:rsidR="007F33C5" w:rsidRPr="001005B7">
        <w:t xml:space="preserve">after their </w:t>
      </w:r>
      <w:r w:rsidR="00CA5386" w:rsidRPr="001005B7">
        <w:t>lump</w:t>
      </w:r>
      <w:r w:rsidR="008D43B1" w:rsidRPr="001005B7">
        <w:t>s</w:t>
      </w:r>
      <w:r w:rsidR="00780731" w:rsidRPr="001005B7">
        <w:t>, and t</w:t>
      </w:r>
      <w:r w:rsidR="00C23ABB" w:rsidRPr="001005B7">
        <w:t xml:space="preserve">hey will </w:t>
      </w:r>
      <w:r w:rsidR="007F0640" w:rsidRPr="001005B7">
        <w:t>feel</w:t>
      </w:r>
      <w:r w:rsidR="00C23ABB" w:rsidRPr="001005B7">
        <w:t xml:space="preserve"> </w:t>
      </w:r>
      <w:r w:rsidR="00E27AF4" w:rsidRPr="001005B7">
        <w:t xml:space="preserve">a </w:t>
      </w:r>
      <w:r w:rsidR="00C23ABB" w:rsidRPr="001005B7">
        <w:t>loath</w:t>
      </w:r>
      <w:r w:rsidR="00E27AF4" w:rsidRPr="001005B7">
        <w:t>ing</w:t>
      </w:r>
      <w:r w:rsidR="00C23ABB" w:rsidRPr="001005B7">
        <w:t xml:space="preserve"> </w:t>
      </w:r>
      <w:r w:rsidR="005F3401" w:rsidRPr="001005B7">
        <w:t xml:space="preserve">at </w:t>
      </w:r>
      <w:r w:rsidR="00FE6CEF" w:rsidRPr="001005B7">
        <w:t xml:space="preserve">the sight of </w:t>
      </w:r>
      <w:r w:rsidR="005F3401" w:rsidRPr="001005B7">
        <w:t>them</w:t>
      </w:r>
      <w:r w:rsidR="00DC147C" w:rsidRPr="001005B7">
        <w:t>selves</w:t>
      </w:r>
      <w:r w:rsidR="00BB7775" w:rsidRPr="001005B7">
        <w:rPr>
          <w:rStyle w:val="FootnoteReference"/>
        </w:rPr>
        <w:footnoteReference w:id="192"/>
      </w:r>
      <w:r w:rsidR="00C23ABB" w:rsidRPr="001005B7">
        <w:t xml:space="preserve"> </w:t>
      </w:r>
      <w:r w:rsidR="00190BA5" w:rsidRPr="001005B7">
        <w:t xml:space="preserve">in </w:t>
      </w:r>
      <w:r w:rsidR="00483C71" w:rsidRPr="001005B7">
        <w:t>relation to</w:t>
      </w:r>
      <w:r w:rsidR="003E3835" w:rsidRPr="001005B7">
        <w:t xml:space="preserve"> the dire things that they </w:t>
      </w:r>
      <w:r w:rsidR="00EC72A5" w:rsidRPr="001005B7">
        <w:t>have done</w:t>
      </w:r>
      <w:r w:rsidR="008C0F7F" w:rsidRPr="001005B7">
        <w:t>,</w:t>
      </w:r>
      <w:r w:rsidR="00872A54" w:rsidRPr="001005B7">
        <w:t xml:space="preserve"> </w:t>
      </w:r>
      <w:r w:rsidR="008C0F7F" w:rsidRPr="001005B7">
        <w:t>regard</w:t>
      </w:r>
      <w:r w:rsidR="008B4FCD" w:rsidRPr="001005B7">
        <w:t>ing</w:t>
      </w:r>
      <w:r w:rsidR="00872A54" w:rsidRPr="001005B7">
        <w:t xml:space="preserve"> all their outrages. </w:t>
      </w:r>
      <w:r w:rsidR="00872A54" w:rsidRPr="001005B7">
        <w:rPr>
          <w:vertAlign w:val="superscript"/>
        </w:rPr>
        <w:t>10</w:t>
      </w:r>
      <w:r w:rsidR="006350EC" w:rsidRPr="001005B7">
        <w:t>And</w:t>
      </w:r>
      <w:r w:rsidR="00872A54" w:rsidRPr="001005B7">
        <w:t xml:space="preserve"> they will acknowledge</w:t>
      </w:r>
      <w:r w:rsidR="00B515E4" w:rsidRPr="001005B7">
        <w:t xml:space="preserve"> that I am Yahweh [who] </w:t>
      </w:r>
      <w:r w:rsidR="001E06AA" w:rsidRPr="001005B7">
        <w:t>ha</w:t>
      </w:r>
      <w:r w:rsidR="00D37DD6" w:rsidRPr="001005B7">
        <w:t>ve</w:t>
      </w:r>
      <w:r w:rsidR="00B515E4" w:rsidRPr="001005B7">
        <w:t xml:space="preserve"> </w:t>
      </w:r>
      <w:r w:rsidR="00FF7CA9" w:rsidRPr="001005B7">
        <w:t xml:space="preserve">not </w:t>
      </w:r>
      <w:r w:rsidR="00F94674" w:rsidRPr="001005B7">
        <w:t>sp</w:t>
      </w:r>
      <w:r w:rsidR="001E06AA" w:rsidRPr="001005B7">
        <w:t>oken</w:t>
      </w:r>
      <w:r w:rsidR="00F94674" w:rsidRPr="001005B7">
        <w:t xml:space="preserve"> </w:t>
      </w:r>
      <w:r w:rsidR="00FF7CA9" w:rsidRPr="001005B7">
        <w:t>gratuitously</w:t>
      </w:r>
      <w:r w:rsidR="00BD062A" w:rsidRPr="001005B7">
        <w:t xml:space="preserve"> </w:t>
      </w:r>
      <w:r w:rsidR="00F94674" w:rsidRPr="001005B7">
        <w:t xml:space="preserve">about </w:t>
      </w:r>
      <w:r w:rsidR="00202601" w:rsidRPr="001005B7">
        <w:t>doing this dire thing to them.</w:t>
      </w:r>
    </w:p>
    <w:p w14:paraId="4AAC7B0D" w14:textId="78049B30" w:rsidR="000D006E" w:rsidRPr="001005B7" w:rsidRDefault="00243A20" w:rsidP="000D006E">
      <w:r w:rsidRPr="001005B7">
        <w:rPr>
          <w:vertAlign w:val="superscript"/>
        </w:rPr>
        <w:t>11</w:t>
      </w:r>
      <w:r w:rsidR="002F4836" w:rsidRPr="001005B7">
        <w:t>The Lord Y</w:t>
      </w:r>
      <w:r w:rsidR="0054701F" w:rsidRPr="001005B7">
        <w:t>ahweh</w:t>
      </w:r>
      <w:r w:rsidR="002F4836" w:rsidRPr="001005B7">
        <w:t xml:space="preserve"> </w:t>
      </w:r>
      <w:r w:rsidR="00945D63" w:rsidRPr="001005B7">
        <w:t xml:space="preserve">has </w:t>
      </w:r>
      <w:r w:rsidR="002F4836" w:rsidRPr="001005B7">
        <w:t xml:space="preserve">said this: </w:t>
      </w:r>
      <w:r w:rsidR="006936F4" w:rsidRPr="001005B7">
        <w:t>Bang</w:t>
      </w:r>
      <w:r w:rsidR="0033795B" w:rsidRPr="001005B7">
        <w:t xml:space="preserve"> your </w:t>
      </w:r>
      <w:r w:rsidR="006936F4" w:rsidRPr="001005B7">
        <w:t>fist</w:t>
      </w:r>
      <w:r w:rsidR="00F5080D" w:rsidRPr="001005B7">
        <w:t>, stamp your foot, say, “</w:t>
      </w:r>
      <w:r w:rsidR="00416487" w:rsidRPr="001005B7">
        <w:t>Grr</w:t>
      </w:r>
      <w:r w:rsidR="00526CC5" w:rsidRPr="001005B7">
        <w:t>,”</w:t>
      </w:r>
      <w:r w:rsidR="001F15BC" w:rsidRPr="001005B7">
        <w:rPr>
          <w:rStyle w:val="FootnoteReference"/>
        </w:rPr>
        <w:footnoteReference w:id="193"/>
      </w:r>
      <w:r w:rsidR="00526CC5" w:rsidRPr="001005B7">
        <w:t xml:space="preserve"> regarding all the outrages</w:t>
      </w:r>
      <w:r w:rsidR="002205EC" w:rsidRPr="001005B7">
        <w:t xml:space="preserve">, </w:t>
      </w:r>
      <w:r w:rsidR="009E38FA" w:rsidRPr="001005B7">
        <w:t xml:space="preserve">dire </w:t>
      </w:r>
      <w:r w:rsidR="000220F6" w:rsidRPr="001005B7">
        <w:t>thin</w:t>
      </w:r>
      <w:r w:rsidR="00E317A0" w:rsidRPr="001005B7">
        <w:t>gs</w:t>
      </w:r>
      <w:r w:rsidR="002205EC" w:rsidRPr="001005B7">
        <w:t>,</w:t>
      </w:r>
      <w:r w:rsidR="00932ED7" w:rsidRPr="001005B7">
        <w:rPr>
          <w:rStyle w:val="FootnoteReference"/>
        </w:rPr>
        <w:footnoteReference w:id="194"/>
      </w:r>
      <w:r w:rsidR="00F11F46" w:rsidRPr="001005B7">
        <w:t xml:space="preserve"> of</w:t>
      </w:r>
      <w:r w:rsidR="009E38FA" w:rsidRPr="001005B7">
        <w:t xml:space="preserve"> </w:t>
      </w:r>
      <w:r w:rsidR="00526CC5" w:rsidRPr="001005B7">
        <w:t>Israel’s household</w:t>
      </w:r>
      <w:r w:rsidR="00963DAD" w:rsidRPr="001005B7">
        <w:t xml:space="preserve">, who will fall by </w:t>
      </w:r>
      <w:r w:rsidR="00E26EEB" w:rsidRPr="001005B7">
        <w:t xml:space="preserve">sword, by famine, and by epidemic. </w:t>
      </w:r>
      <w:r w:rsidR="00E26EEB" w:rsidRPr="001005B7">
        <w:rPr>
          <w:vertAlign w:val="superscript"/>
        </w:rPr>
        <w:t>12</w:t>
      </w:r>
      <w:r w:rsidR="007D2B3C" w:rsidRPr="001005B7">
        <w:t xml:space="preserve">The person who is far away will </w:t>
      </w:r>
      <w:r w:rsidR="00EF45F4" w:rsidRPr="001005B7">
        <w:t>die</w:t>
      </w:r>
      <w:r w:rsidR="007D2B3C" w:rsidRPr="001005B7">
        <w:t xml:space="preserve"> by epidemic</w:t>
      </w:r>
      <w:r w:rsidR="007A49F2" w:rsidRPr="001005B7">
        <w:t>, the person who is near will fall by sword</w:t>
      </w:r>
      <w:r w:rsidR="00BB29B5" w:rsidRPr="001005B7">
        <w:t xml:space="preserve">, the person who remains </w:t>
      </w:r>
      <w:r w:rsidR="00EF45F4" w:rsidRPr="001005B7">
        <w:t xml:space="preserve">and is </w:t>
      </w:r>
      <w:r w:rsidR="007B2D62" w:rsidRPr="001005B7">
        <w:t>kept secur</w:t>
      </w:r>
      <w:r w:rsidR="000D2834" w:rsidRPr="001005B7">
        <w:t>e</w:t>
      </w:r>
      <w:r w:rsidR="002E5A15" w:rsidRPr="001005B7">
        <w:rPr>
          <w:rStyle w:val="FootnoteReference"/>
        </w:rPr>
        <w:footnoteReference w:id="195"/>
      </w:r>
      <w:r w:rsidR="00EF45F4" w:rsidRPr="001005B7">
        <w:t xml:space="preserve"> will die</w:t>
      </w:r>
      <w:r w:rsidR="00305C25" w:rsidRPr="001005B7">
        <w:t xml:space="preserve"> by famine</w:t>
      </w:r>
      <w:r w:rsidR="00DF3CCB" w:rsidRPr="001005B7">
        <w:t>. So</w:t>
      </w:r>
      <w:r w:rsidR="00EC40B1" w:rsidRPr="001005B7">
        <w:t xml:space="preserve"> </w:t>
      </w:r>
      <w:r w:rsidR="004F2E2C" w:rsidRPr="001005B7">
        <w:t>I will expend</w:t>
      </w:r>
      <w:r w:rsidR="002470A4" w:rsidRPr="001005B7">
        <w:t xml:space="preserve"> my fury on them</w:t>
      </w:r>
      <w:r w:rsidR="00305C25" w:rsidRPr="001005B7">
        <w:t>.</w:t>
      </w:r>
      <w:r w:rsidR="000D006E" w:rsidRPr="001005B7">
        <w:t xml:space="preserve"> </w:t>
      </w:r>
      <w:r w:rsidR="00305C25" w:rsidRPr="001005B7">
        <w:rPr>
          <w:vertAlign w:val="superscript"/>
        </w:rPr>
        <w:t>13</w:t>
      </w:r>
      <w:r w:rsidR="00747057" w:rsidRPr="001005B7">
        <w:t>And y</w:t>
      </w:r>
      <w:r w:rsidR="002470A4" w:rsidRPr="001005B7">
        <w:t>ou</w:t>
      </w:r>
      <w:r w:rsidR="00A4059A" w:rsidRPr="001005B7">
        <w:t xml:space="preserve"> will acknowledge </w:t>
      </w:r>
      <w:r w:rsidR="002470A4" w:rsidRPr="001005B7">
        <w:t>that I am Yahweh</w:t>
      </w:r>
      <w:r w:rsidR="00444981" w:rsidRPr="001005B7">
        <w:t xml:space="preserve"> when their </w:t>
      </w:r>
      <w:r w:rsidR="00463FE8" w:rsidRPr="001005B7">
        <w:t>slain</w:t>
      </w:r>
      <w:r w:rsidR="00444981" w:rsidRPr="001005B7">
        <w:t xml:space="preserve"> </w:t>
      </w:r>
      <w:r w:rsidR="00CA4BBE" w:rsidRPr="001005B7">
        <w:t>ar</w:t>
      </w:r>
      <w:r w:rsidR="00444981" w:rsidRPr="001005B7">
        <w:t>e</w:t>
      </w:r>
      <w:r w:rsidR="005053ED" w:rsidRPr="001005B7">
        <w:t xml:space="preserve"> among their </w:t>
      </w:r>
      <w:r w:rsidR="00CA5386" w:rsidRPr="001005B7">
        <w:t>lump</w:t>
      </w:r>
      <w:r w:rsidR="0093236A" w:rsidRPr="001005B7">
        <w:t>s</w:t>
      </w:r>
      <w:r w:rsidR="005053ED" w:rsidRPr="001005B7">
        <w:t xml:space="preserve"> around their altars</w:t>
      </w:r>
      <w:r w:rsidR="00715F72" w:rsidRPr="001005B7">
        <w:t xml:space="preserve"> </w:t>
      </w:r>
      <w:r w:rsidR="000578B2" w:rsidRPr="001005B7">
        <w:t>at</w:t>
      </w:r>
      <w:r w:rsidR="00715F72" w:rsidRPr="001005B7">
        <w:t xml:space="preserve"> every high hill</w:t>
      </w:r>
      <w:r w:rsidR="00CA2F8A" w:rsidRPr="001005B7">
        <w:t xml:space="preserve">, </w:t>
      </w:r>
      <w:r w:rsidR="000578B2" w:rsidRPr="001005B7">
        <w:t>on</w:t>
      </w:r>
      <w:r w:rsidR="00CA2F8A" w:rsidRPr="001005B7">
        <w:t xml:space="preserve"> all the heads of the mountains</w:t>
      </w:r>
      <w:r w:rsidR="000578B2" w:rsidRPr="001005B7">
        <w:t xml:space="preserve">, </w:t>
      </w:r>
      <w:r w:rsidR="00BC7714" w:rsidRPr="001005B7">
        <w:t>under every flourishing tree</w:t>
      </w:r>
      <w:r w:rsidR="00682877" w:rsidRPr="001005B7">
        <w:t>, and</w:t>
      </w:r>
      <w:r w:rsidR="00B31144" w:rsidRPr="001005B7">
        <w:t xml:space="preserve"> under every </w:t>
      </w:r>
      <w:r w:rsidR="00EB0CB9" w:rsidRPr="001005B7">
        <w:t>leafy terebinth</w:t>
      </w:r>
      <w:r w:rsidR="00A24C85" w:rsidRPr="001005B7">
        <w:t>,</w:t>
      </w:r>
      <w:r w:rsidR="00CE7A4D" w:rsidRPr="001005B7">
        <w:rPr>
          <w:rStyle w:val="FootnoteReference"/>
        </w:rPr>
        <w:footnoteReference w:id="196"/>
      </w:r>
      <w:r w:rsidR="00A24C85" w:rsidRPr="001005B7">
        <w:t xml:space="preserve"> the place where they </w:t>
      </w:r>
      <w:r w:rsidR="00870D4A" w:rsidRPr="001005B7">
        <w:t>mad</w:t>
      </w:r>
      <w:r w:rsidR="00A24C85" w:rsidRPr="001005B7">
        <w:t xml:space="preserve">e </w:t>
      </w:r>
      <w:r w:rsidR="000A33E7" w:rsidRPr="001005B7">
        <w:t xml:space="preserve">a </w:t>
      </w:r>
      <w:r w:rsidR="00A24C85" w:rsidRPr="001005B7">
        <w:t xml:space="preserve">sweet </w:t>
      </w:r>
      <w:r w:rsidR="001D4779" w:rsidRPr="001005B7">
        <w:t>aroma</w:t>
      </w:r>
      <w:r w:rsidR="00173926" w:rsidRPr="001005B7">
        <w:t xml:space="preserve"> </w:t>
      </w:r>
      <w:r w:rsidR="00870D4A" w:rsidRPr="001005B7">
        <w:t>for</w:t>
      </w:r>
      <w:r w:rsidR="00173926" w:rsidRPr="001005B7">
        <w:t xml:space="preserve"> </w:t>
      </w:r>
      <w:r w:rsidR="000C5628" w:rsidRPr="001005B7">
        <w:t xml:space="preserve">all </w:t>
      </w:r>
      <w:r w:rsidR="00173926" w:rsidRPr="001005B7">
        <w:t xml:space="preserve">their </w:t>
      </w:r>
      <w:r w:rsidR="00CA5386" w:rsidRPr="001005B7">
        <w:t>lump</w:t>
      </w:r>
      <w:r w:rsidR="000B48AB" w:rsidRPr="001005B7">
        <w:t>s</w:t>
      </w:r>
      <w:r w:rsidR="00173926" w:rsidRPr="001005B7">
        <w:t xml:space="preserve">. </w:t>
      </w:r>
    </w:p>
    <w:p w14:paraId="54DE0009" w14:textId="28DF8C5B" w:rsidR="00940C4A" w:rsidRPr="001005B7" w:rsidRDefault="000C5628" w:rsidP="000578B2">
      <w:r w:rsidRPr="001005B7">
        <w:rPr>
          <w:vertAlign w:val="superscript"/>
        </w:rPr>
        <w:t>14</w:t>
      </w:r>
      <w:r w:rsidR="00CF2875" w:rsidRPr="001005B7">
        <w:t>So I</w:t>
      </w:r>
      <w:r w:rsidR="00173926" w:rsidRPr="001005B7">
        <w:t xml:space="preserve"> will </w:t>
      </w:r>
      <w:r w:rsidR="003077BA" w:rsidRPr="001005B7">
        <w:t xml:space="preserve">stretch out my hand against them and make their </w:t>
      </w:r>
      <w:r w:rsidR="000C6264" w:rsidRPr="001005B7">
        <w:t>country a de</w:t>
      </w:r>
      <w:r w:rsidR="003B597F" w:rsidRPr="001005B7">
        <w:t>sol</w:t>
      </w:r>
      <w:r w:rsidR="00692E8F" w:rsidRPr="001005B7">
        <w:t>at</w:t>
      </w:r>
      <w:r w:rsidR="00487355" w:rsidRPr="001005B7">
        <w:t>ion</w:t>
      </w:r>
      <w:r w:rsidR="005B0AD2" w:rsidRPr="001005B7">
        <w:t>,</w:t>
      </w:r>
      <w:r w:rsidR="000C6264" w:rsidRPr="001005B7">
        <w:t xml:space="preserve"> </w:t>
      </w:r>
      <w:r w:rsidR="00487355" w:rsidRPr="001005B7">
        <w:t>something desolate</w:t>
      </w:r>
      <w:r w:rsidR="00386D5B" w:rsidRPr="001005B7">
        <w:t>, from wilderness</w:t>
      </w:r>
      <w:r w:rsidR="006C5B3E" w:rsidRPr="001005B7">
        <w:t xml:space="preserve"> to </w:t>
      </w:r>
      <w:proofErr w:type="spellStart"/>
      <w:r w:rsidR="006C5B3E" w:rsidRPr="001005B7">
        <w:t>Diblah</w:t>
      </w:r>
      <w:proofErr w:type="spellEnd"/>
      <w:r w:rsidR="00C31935" w:rsidRPr="001005B7">
        <w:t>, in all their settlements</w:t>
      </w:r>
      <w:r w:rsidR="00B33A8A" w:rsidRPr="001005B7">
        <w:t>. And they will acknowledge that I am Yahweh.</w:t>
      </w:r>
    </w:p>
    <w:p w14:paraId="151933D4" w14:textId="4E439A0B" w:rsidR="00940C4A" w:rsidRPr="001005B7" w:rsidRDefault="00940C4A" w:rsidP="00493833">
      <w:pPr>
        <w:pStyle w:val="Heading3"/>
      </w:pPr>
      <w:r w:rsidRPr="001005B7">
        <w:t xml:space="preserve">Textual </w:t>
      </w:r>
      <w:r w:rsidR="0081750C" w:rsidRPr="001005B7">
        <w:t>N</w:t>
      </w:r>
      <w:r w:rsidRPr="001005B7">
        <w:t>otes</w:t>
      </w:r>
    </w:p>
    <w:p w14:paraId="5CF3B4CD" w14:textId="460CC9A0" w:rsidR="002B2B43" w:rsidRPr="001005B7" w:rsidRDefault="002B2B43" w:rsidP="0068119C">
      <w:pPr>
        <w:ind w:firstLine="0"/>
      </w:pPr>
      <w:r w:rsidRPr="001005B7">
        <w:rPr>
          <w:sz w:val="18"/>
          <w:szCs w:val="18"/>
        </w:rPr>
        <w:t xml:space="preserve">MT </w:t>
      </w:r>
      <w:r w:rsidR="00011C65" w:rsidRPr="001005B7">
        <w:t xml:space="preserve">has </w:t>
      </w:r>
      <w:r w:rsidR="00385DD1" w:rsidRPr="001005B7">
        <w:rPr>
          <w:lang w:eastAsia="en-GB"/>
        </w:rPr>
        <w:t>marker</w:t>
      </w:r>
      <w:r w:rsidR="00A04693" w:rsidRPr="001005B7">
        <w:rPr>
          <w:lang w:eastAsia="en-GB"/>
        </w:rPr>
        <w:t>s</w:t>
      </w:r>
      <w:r w:rsidR="00143325">
        <w:rPr>
          <w:lang w:eastAsia="en-GB"/>
        </w:rPr>
        <w:t>*</w:t>
      </w:r>
      <w:r w:rsidR="00011C65" w:rsidRPr="001005B7">
        <w:rPr>
          <w:lang w:eastAsia="en-GB"/>
        </w:rPr>
        <w:t xml:space="preserve"> </w:t>
      </w:r>
      <w:r w:rsidR="000D44F9" w:rsidRPr="001005B7">
        <w:rPr>
          <w:lang w:eastAsia="en-GB"/>
        </w:rPr>
        <w:t>after 6:10</w:t>
      </w:r>
      <w:r w:rsidR="003423C6" w:rsidRPr="001005B7">
        <w:rPr>
          <w:lang w:eastAsia="en-GB"/>
        </w:rPr>
        <w:t xml:space="preserve"> and</w:t>
      </w:r>
      <w:r w:rsidR="000D44F9" w:rsidRPr="001005B7">
        <w:rPr>
          <w:lang w:eastAsia="en-GB"/>
        </w:rPr>
        <w:t xml:space="preserve"> </w:t>
      </w:r>
      <w:r w:rsidR="003423C6" w:rsidRPr="001005B7">
        <w:rPr>
          <w:lang w:eastAsia="en-GB"/>
        </w:rPr>
        <w:t xml:space="preserve">14. </w:t>
      </w:r>
    </w:p>
    <w:p w14:paraId="3526C7A7" w14:textId="0FD32C1C" w:rsidR="00DD3E41" w:rsidRPr="001005B7" w:rsidRDefault="001929B6" w:rsidP="0068119C">
      <w:pPr>
        <w:ind w:firstLine="0"/>
      </w:pPr>
      <w:r w:rsidRPr="001005B7">
        <w:rPr>
          <w:sz w:val="18"/>
          <w:szCs w:val="18"/>
        </w:rPr>
        <w:t>MT</w:t>
      </w:r>
      <w:r w:rsidR="00704A6D" w:rsidRPr="001005B7">
        <w:t xml:space="preserve">’s version of the chapter includes many phrases missing from </w:t>
      </w:r>
      <w:r w:rsidR="00711BA2" w:rsidRPr="001005B7">
        <w:rPr>
          <w:sz w:val="18"/>
          <w:szCs w:val="18"/>
        </w:rPr>
        <w:t>LXX</w:t>
      </w:r>
      <w:r w:rsidR="00704A6D" w:rsidRPr="001005B7">
        <w:t xml:space="preserve">, </w:t>
      </w:r>
      <w:r w:rsidR="00E5083A" w:rsidRPr="001005B7">
        <w:t xml:space="preserve">some of which </w:t>
      </w:r>
      <w:r w:rsidR="00C01038" w:rsidRPr="001005B7">
        <w:t>I</w:t>
      </w:r>
      <w:r w:rsidR="00E5083A" w:rsidRPr="001005B7">
        <w:t xml:space="preserve"> note here</w:t>
      </w:r>
      <w:r w:rsidR="00FA65DE" w:rsidRPr="001005B7">
        <w:t>. A</w:t>
      </w:r>
      <w:r w:rsidR="00EC3E73" w:rsidRPr="001005B7">
        <w:t>s usual</w:t>
      </w:r>
      <w:r w:rsidR="00610AD4" w:rsidRPr="001005B7">
        <w:t>,</w:t>
      </w:r>
      <w:r w:rsidR="00EC3E73" w:rsidRPr="001005B7">
        <w:t xml:space="preserve"> </w:t>
      </w:r>
      <w:r w:rsidR="00E5083A" w:rsidRPr="001005B7">
        <w:t xml:space="preserve">this </w:t>
      </w:r>
      <w:r w:rsidR="001714B5" w:rsidRPr="001005B7">
        <w:t xml:space="preserve">may indicate that </w:t>
      </w:r>
      <w:r w:rsidRPr="001005B7">
        <w:rPr>
          <w:sz w:val="18"/>
          <w:szCs w:val="18"/>
        </w:rPr>
        <w:t>MT</w:t>
      </w:r>
      <w:r w:rsidRPr="001005B7">
        <w:t xml:space="preserve"> </w:t>
      </w:r>
      <w:r w:rsidR="00E5083A" w:rsidRPr="001005B7">
        <w:t xml:space="preserve">is </w:t>
      </w:r>
      <w:r w:rsidR="001714B5" w:rsidRPr="001005B7">
        <w:t>an expanded version of the text underlying</w:t>
      </w:r>
      <w:r w:rsidR="004908C7" w:rsidRPr="001005B7">
        <w:t xml:space="preserve"> </w:t>
      </w:r>
      <w:r w:rsidR="00711BA2" w:rsidRPr="001005B7">
        <w:rPr>
          <w:sz w:val="18"/>
          <w:szCs w:val="18"/>
        </w:rPr>
        <w:t>LXX</w:t>
      </w:r>
      <w:r w:rsidR="00C75A26" w:rsidRPr="001005B7">
        <w:t>,</w:t>
      </w:r>
      <w:r w:rsidR="004908C7" w:rsidRPr="001005B7">
        <w:t xml:space="preserve"> or that </w:t>
      </w:r>
      <w:r w:rsidR="001B1961" w:rsidRPr="001005B7">
        <w:rPr>
          <w:sz w:val="18"/>
          <w:szCs w:val="18"/>
        </w:rPr>
        <w:t>LXX</w:t>
      </w:r>
      <w:r w:rsidR="001B1961" w:rsidRPr="001005B7">
        <w:t xml:space="preserve"> </w:t>
      </w:r>
      <w:r w:rsidR="004908C7" w:rsidRPr="001005B7">
        <w:t xml:space="preserve">has simplified that </w:t>
      </w:r>
      <w:r w:rsidR="00117954" w:rsidRPr="001005B7">
        <w:t>underlying version</w:t>
      </w:r>
      <w:r w:rsidR="0034538F" w:rsidRPr="001005B7">
        <w:t xml:space="preserve"> with its repetitions, or </w:t>
      </w:r>
      <w:r w:rsidR="00610AD4" w:rsidRPr="001005B7">
        <w:t>a mixture</w:t>
      </w:r>
      <w:r w:rsidR="0034538F" w:rsidRPr="001005B7">
        <w:t xml:space="preserve"> </w:t>
      </w:r>
      <w:r w:rsidR="00376557" w:rsidRPr="001005B7">
        <w:t>of both</w:t>
      </w:r>
      <w:r w:rsidR="00117954" w:rsidRPr="001005B7">
        <w:t>.</w:t>
      </w:r>
      <w:r w:rsidR="00117954" w:rsidRPr="001005B7">
        <w:rPr>
          <w:rStyle w:val="FootnoteReference"/>
        </w:rPr>
        <w:footnoteReference w:id="197"/>
      </w:r>
      <w:r w:rsidR="00011C97" w:rsidRPr="001005B7">
        <w:t xml:space="preserve"> </w:t>
      </w:r>
    </w:p>
    <w:p w14:paraId="6DCA7D06" w14:textId="77777777" w:rsidR="00DD3E41" w:rsidRPr="001005B7" w:rsidRDefault="00DD3E41" w:rsidP="0081750C"/>
    <w:p w14:paraId="44AD51DD" w14:textId="641D8514" w:rsidR="002F6BD9" w:rsidRPr="001005B7" w:rsidRDefault="00732D69" w:rsidP="00732D69">
      <w:pPr>
        <w:ind w:firstLine="0"/>
      </w:pPr>
      <w:r w:rsidRPr="001005B7">
        <w:rPr>
          <w:b/>
          <w:bCs/>
        </w:rPr>
        <w:t xml:space="preserve">6:3 </w:t>
      </w:r>
      <w:r w:rsidR="005909AC" w:rsidRPr="001005B7">
        <w:t xml:space="preserve">Q </w:t>
      </w:r>
      <w:r w:rsidR="00AF5844" w:rsidRPr="001005B7">
        <w:rPr>
          <w:rFonts w:cstheme="minorHAnsi"/>
          <w:rtl/>
          <w:lang w:bidi="he-IL"/>
        </w:rPr>
        <w:t>גֵּא</w:t>
      </w:r>
      <w:r w:rsidR="004F4857" w:rsidRPr="001005B7">
        <w:rPr>
          <w:rFonts w:cstheme="minorHAnsi"/>
          <w:rtl/>
          <w:lang w:bidi="he-IL"/>
        </w:rPr>
        <w:t>ׇיוֹת</w:t>
      </w:r>
      <w:r w:rsidR="005C44F8" w:rsidRPr="001005B7">
        <w:rPr>
          <w:b/>
          <w:bCs/>
        </w:rPr>
        <w:t xml:space="preserve"> </w:t>
      </w:r>
      <w:r w:rsidR="004F4857" w:rsidRPr="001005B7">
        <w:t>and</w:t>
      </w:r>
      <w:r w:rsidR="004F4857" w:rsidRPr="001005B7">
        <w:rPr>
          <w:b/>
          <w:bCs/>
        </w:rPr>
        <w:t xml:space="preserve"> </w:t>
      </w:r>
      <w:r w:rsidR="00627B4C" w:rsidRPr="001005B7">
        <w:t xml:space="preserve">K </w:t>
      </w:r>
      <w:r w:rsidR="00752C7A" w:rsidRPr="001005B7">
        <w:rPr>
          <w:rFonts w:cstheme="minorHAnsi"/>
          <w:rtl/>
          <w:lang w:bidi="he-IL"/>
        </w:rPr>
        <w:t>גאית</w:t>
      </w:r>
      <w:r w:rsidR="004F4857" w:rsidRPr="001005B7">
        <w:t xml:space="preserve"> </w:t>
      </w:r>
      <w:r w:rsidR="001221B2" w:rsidRPr="001005B7">
        <w:t>a</w:t>
      </w:r>
      <w:r w:rsidR="00555BA9" w:rsidRPr="001005B7">
        <w:t>re</w:t>
      </w:r>
      <w:r w:rsidR="00627B4C" w:rsidRPr="001005B7">
        <w:t xml:space="preserve"> different spellings of </w:t>
      </w:r>
      <w:r w:rsidR="00B6339E" w:rsidRPr="001005B7">
        <w:t>th</w:t>
      </w:r>
      <w:r w:rsidR="00071483" w:rsidRPr="001005B7">
        <w:t>e</w:t>
      </w:r>
      <w:r w:rsidR="00B6339E" w:rsidRPr="001005B7">
        <w:t xml:space="preserve"> word</w:t>
      </w:r>
      <w:r w:rsidR="00071483" w:rsidRPr="001005B7">
        <w:t xml:space="preserve"> for </w:t>
      </w:r>
      <w:r w:rsidR="00D04F31" w:rsidRPr="001005B7">
        <w:t>“</w:t>
      </w:r>
      <w:r w:rsidR="00071483" w:rsidRPr="001005B7">
        <w:t>canyons</w:t>
      </w:r>
      <w:r w:rsidR="00B6339E" w:rsidRPr="001005B7">
        <w:t>.</w:t>
      </w:r>
      <w:r w:rsidR="00D04F31" w:rsidRPr="001005B7">
        <w:t>”</w:t>
      </w:r>
    </w:p>
    <w:p w14:paraId="7E18180F" w14:textId="508AD845" w:rsidR="00462E71" w:rsidRPr="001005B7" w:rsidRDefault="00732D69" w:rsidP="00732D69">
      <w:pPr>
        <w:ind w:firstLine="0"/>
      </w:pPr>
      <w:r w:rsidRPr="001005B7">
        <w:rPr>
          <w:b/>
          <w:bCs/>
        </w:rPr>
        <w:t xml:space="preserve">6:5 </w:t>
      </w:r>
      <w:r w:rsidR="001B1961" w:rsidRPr="001005B7">
        <w:rPr>
          <w:sz w:val="18"/>
          <w:szCs w:val="18"/>
        </w:rPr>
        <w:t xml:space="preserve">LXX </w:t>
      </w:r>
      <w:r w:rsidR="00462E71" w:rsidRPr="001005B7">
        <w:t xml:space="preserve">lacks </w:t>
      </w:r>
      <w:r w:rsidR="00AC027B" w:rsidRPr="001005B7">
        <w:t>6:</w:t>
      </w:r>
      <w:r w:rsidR="00462E71" w:rsidRPr="001005B7">
        <w:t>5a.</w:t>
      </w:r>
    </w:p>
    <w:p w14:paraId="3B4C86F0" w14:textId="6D4A8F30" w:rsidR="00430864" w:rsidRPr="001005B7" w:rsidRDefault="005A2A59" w:rsidP="005A2A59">
      <w:pPr>
        <w:ind w:firstLine="0"/>
      </w:pPr>
      <w:r w:rsidRPr="001005B7">
        <w:rPr>
          <w:b/>
          <w:bCs/>
        </w:rPr>
        <w:t xml:space="preserve">6:8 </w:t>
      </w:r>
      <w:r w:rsidR="001B1961" w:rsidRPr="001005B7">
        <w:rPr>
          <w:sz w:val="18"/>
          <w:szCs w:val="18"/>
        </w:rPr>
        <w:t>L</w:t>
      </w:r>
      <w:r w:rsidR="004C039F" w:rsidRPr="001005B7">
        <w:rPr>
          <w:sz w:val="18"/>
          <w:szCs w:val="18"/>
        </w:rPr>
        <w:t xml:space="preserve">XX </w:t>
      </w:r>
      <w:r w:rsidR="00430864" w:rsidRPr="001005B7">
        <w:t>lac</w:t>
      </w:r>
      <w:r w:rsidR="00617945" w:rsidRPr="001005B7">
        <w:t xml:space="preserve">ks </w:t>
      </w:r>
      <w:r w:rsidR="00556C7C" w:rsidRPr="001005B7">
        <w:t>“I</w:t>
      </w:r>
      <w:r w:rsidR="00617945" w:rsidRPr="001005B7">
        <w:rPr>
          <w:i/>
          <w:iCs/>
        </w:rPr>
        <w:t xml:space="preserve"> </w:t>
      </w:r>
      <w:r w:rsidR="00617945" w:rsidRPr="001005B7">
        <w:t>will</w:t>
      </w:r>
      <w:r w:rsidR="00617945" w:rsidRPr="001005B7">
        <w:rPr>
          <w:i/>
          <w:iCs/>
        </w:rPr>
        <w:t xml:space="preserve"> </w:t>
      </w:r>
      <w:r w:rsidR="00617945" w:rsidRPr="001005B7">
        <w:t>leave</w:t>
      </w:r>
      <w:r w:rsidR="00617945" w:rsidRPr="001005B7">
        <w:rPr>
          <w:i/>
          <w:iCs/>
        </w:rPr>
        <w:t xml:space="preserve"> </w:t>
      </w:r>
      <w:r w:rsidR="00A26681" w:rsidRPr="001005B7">
        <w:t>[</w:t>
      </w:r>
      <w:r w:rsidR="00617945" w:rsidRPr="001005B7">
        <w:t>some</w:t>
      </w:r>
      <w:r w:rsidR="00617945" w:rsidRPr="001005B7">
        <w:rPr>
          <w:i/>
          <w:iCs/>
        </w:rPr>
        <w:t xml:space="preserve"> </w:t>
      </w:r>
      <w:r w:rsidR="00617945" w:rsidRPr="001005B7">
        <w:t>peopl</w:t>
      </w:r>
      <w:r w:rsidR="00A26681" w:rsidRPr="001005B7">
        <w:t>e].”</w:t>
      </w:r>
    </w:p>
    <w:p w14:paraId="50EF4A05" w14:textId="77777777" w:rsidR="00FC0BDF" w:rsidRDefault="005A2A59" w:rsidP="005A2A59">
      <w:pPr>
        <w:ind w:firstLine="0"/>
      </w:pPr>
      <w:r w:rsidRPr="001005B7">
        <w:rPr>
          <w:b/>
          <w:bCs/>
        </w:rPr>
        <w:t xml:space="preserve">6:9 </w:t>
      </w:r>
      <w:r w:rsidR="00F5427C" w:rsidRPr="001005B7">
        <w:t>For</w:t>
      </w:r>
      <w:r w:rsidR="00BC6500" w:rsidRPr="001005B7">
        <w:t xml:space="preserve"> </w:t>
      </w:r>
      <w:r w:rsidR="00201F0E" w:rsidRPr="001005B7">
        <w:rPr>
          <w:rFonts w:cstheme="minorHAnsi"/>
          <w:rtl/>
          <w:lang w:bidi="he-IL"/>
        </w:rPr>
        <w:t>נִשְׁב</w:t>
      </w:r>
      <w:r w:rsidR="007931A1" w:rsidRPr="001005B7">
        <w:rPr>
          <w:rFonts w:cstheme="minorHAnsi"/>
          <w:rtl/>
          <w:lang w:bidi="he-IL"/>
        </w:rPr>
        <w:t>ּ</w:t>
      </w:r>
      <w:r w:rsidR="00201F0E" w:rsidRPr="001005B7">
        <w:rPr>
          <w:rFonts w:cstheme="minorHAnsi"/>
          <w:rtl/>
          <w:lang w:bidi="he-IL"/>
        </w:rPr>
        <w:t>ַ</w:t>
      </w:r>
      <w:r w:rsidR="00087FBA" w:rsidRPr="001005B7">
        <w:rPr>
          <w:rFonts w:cstheme="minorHAnsi"/>
          <w:rtl/>
          <w:lang w:bidi="he-IL"/>
        </w:rPr>
        <w:t>ַרְת</w:t>
      </w:r>
      <w:r w:rsidR="00FA6AF5" w:rsidRPr="001005B7">
        <w:rPr>
          <w:rFonts w:cstheme="minorHAnsi"/>
          <w:rtl/>
          <w:lang w:bidi="he-IL"/>
        </w:rPr>
        <w:t>ִּי</w:t>
      </w:r>
      <w:r w:rsidR="00BC589C" w:rsidRPr="001005B7">
        <w:rPr>
          <w:rFonts w:cstheme="minorHAnsi"/>
        </w:rPr>
        <w:t>,</w:t>
      </w:r>
      <w:r w:rsidR="00BC589C" w:rsidRPr="001005B7">
        <w:rPr>
          <w:rFonts w:cstheme="minorHAnsi"/>
          <w:i/>
          <w:iCs/>
        </w:rPr>
        <w:t xml:space="preserve"> </w:t>
      </w:r>
      <w:r w:rsidR="00A26681" w:rsidRPr="001005B7">
        <w:rPr>
          <w:rFonts w:cstheme="minorHAnsi"/>
        </w:rPr>
        <w:t>I</w:t>
      </w:r>
      <w:r w:rsidR="00224655" w:rsidRPr="001005B7">
        <w:rPr>
          <w:rFonts w:cstheme="minorHAnsi"/>
          <w:i/>
          <w:iCs/>
        </w:rPr>
        <w:t xml:space="preserve"> </w:t>
      </w:r>
      <w:r w:rsidR="00224655" w:rsidRPr="001005B7">
        <w:rPr>
          <w:rFonts w:cstheme="minorHAnsi"/>
        </w:rPr>
        <w:t>broke</w:t>
      </w:r>
      <w:r w:rsidR="00224655" w:rsidRPr="001005B7">
        <w:rPr>
          <w:rFonts w:cstheme="minorHAnsi"/>
          <w:i/>
          <w:iCs/>
        </w:rPr>
        <w:t>,</w:t>
      </w:r>
      <w:r w:rsidR="00A26681" w:rsidRPr="001005B7">
        <w:rPr>
          <w:rFonts w:cstheme="minorHAnsi"/>
          <w:i/>
          <w:iCs/>
        </w:rPr>
        <w:t>”</w:t>
      </w:r>
      <w:r w:rsidR="00224655" w:rsidRPr="001005B7">
        <w:rPr>
          <w:rFonts w:cstheme="minorHAnsi"/>
          <w:i/>
          <w:iCs/>
        </w:rPr>
        <w:t xml:space="preserve"> </w:t>
      </w:r>
      <w:r w:rsidR="004C039F" w:rsidRPr="001005B7">
        <w:rPr>
          <w:sz w:val="18"/>
          <w:szCs w:val="18"/>
        </w:rPr>
        <w:t>LXX</w:t>
      </w:r>
      <w:r w:rsidR="00954464" w:rsidRPr="001005B7">
        <w:t xml:space="preserve"> “I swore”</w:t>
      </w:r>
      <w:r w:rsidR="005F7B8D" w:rsidRPr="001005B7">
        <w:t xml:space="preserve"> implies</w:t>
      </w:r>
      <w:r w:rsidR="00032635" w:rsidRPr="001005B7">
        <w:t xml:space="preserve"> </w:t>
      </w:r>
      <w:r w:rsidR="00032635" w:rsidRPr="001005B7">
        <w:rPr>
          <w:rFonts w:cstheme="minorHAnsi"/>
          <w:rtl/>
          <w:lang w:bidi="he-IL"/>
        </w:rPr>
        <w:t>וִשְׁב</w:t>
      </w:r>
      <w:r w:rsidR="00CB47CA" w:rsidRPr="001005B7">
        <w:rPr>
          <w:rFonts w:cstheme="minorHAnsi"/>
          <w:rtl/>
          <w:lang w:bidi="he-IL"/>
        </w:rPr>
        <w:t>ּ</w:t>
      </w:r>
      <w:r w:rsidR="00032635" w:rsidRPr="001005B7">
        <w:rPr>
          <w:rFonts w:cstheme="minorHAnsi"/>
          <w:rtl/>
          <w:lang w:bidi="he-IL"/>
        </w:rPr>
        <w:t>ַ</w:t>
      </w:r>
      <w:r w:rsidR="008E1F40" w:rsidRPr="001005B7">
        <w:rPr>
          <w:rFonts w:cstheme="minorHAnsi"/>
          <w:rtl/>
          <w:lang w:bidi="he-IL"/>
        </w:rPr>
        <w:t>עְתִּי</w:t>
      </w:r>
      <w:r w:rsidR="005D08E1" w:rsidRPr="001005B7">
        <w:t>.</w:t>
      </w:r>
      <w:r w:rsidR="009B3867" w:rsidRPr="001005B7">
        <w:rPr>
          <w:vertAlign w:val="superscript"/>
        </w:rPr>
        <w:t xml:space="preserve"> </w:t>
      </w:r>
    </w:p>
    <w:p w14:paraId="44FCC255" w14:textId="06F77C42" w:rsidR="006C116A" w:rsidRPr="001005B7" w:rsidRDefault="00FC0BDF" w:rsidP="005A2A59">
      <w:pPr>
        <w:ind w:firstLine="0"/>
      </w:pPr>
      <w:r>
        <w:t>W</w:t>
      </w:r>
      <w:r w:rsidR="002149BA" w:rsidRPr="001005B7">
        <w:t xml:space="preserve">hereas </w:t>
      </w:r>
      <w:r w:rsidR="004C039F" w:rsidRPr="001005B7">
        <w:rPr>
          <w:sz w:val="18"/>
          <w:szCs w:val="18"/>
        </w:rPr>
        <w:t>LXX</w:t>
      </w:r>
      <w:r w:rsidR="004C039F" w:rsidRPr="001005B7">
        <w:t xml:space="preserve"> </w:t>
      </w:r>
      <w:r w:rsidR="002149BA" w:rsidRPr="001005B7">
        <w:t>render</w:t>
      </w:r>
      <w:r w:rsidR="00FF76AE" w:rsidRPr="001005B7">
        <w:t>s</w:t>
      </w:r>
      <w:r w:rsidR="002149BA" w:rsidRPr="001005B7">
        <w:t xml:space="preserve"> </w:t>
      </w:r>
      <w:r w:rsidR="002149BA" w:rsidRPr="001005B7">
        <w:rPr>
          <w:rFonts w:cstheme="minorHAnsi"/>
          <w:rtl/>
          <w:lang w:bidi="he-IL"/>
        </w:rPr>
        <w:t>גׅ</w:t>
      </w:r>
      <w:r w:rsidR="005E7659" w:rsidRPr="001005B7">
        <w:rPr>
          <w:rFonts w:cstheme="minorHAnsi"/>
          <w:rtl/>
          <w:lang w:bidi="he-IL"/>
        </w:rPr>
        <w:t>לּוּלׅים</w:t>
      </w:r>
      <w:r w:rsidR="002149BA" w:rsidRPr="001005B7">
        <w:t xml:space="preserve"> </w:t>
      </w:r>
      <w:r w:rsidR="004F4B0B" w:rsidRPr="001005B7">
        <w:t>“idols” in 6:</w:t>
      </w:r>
      <w:r w:rsidR="00FF76AE" w:rsidRPr="001005B7">
        <w:t xml:space="preserve">4, 6, </w:t>
      </w:r>
      <w:r w:rsidR="00B26CFD" w:rsidRPr="001005B7">
        <w:t xml:space="preserve">here </w:t>
      </w:r>
      <w:r w:rsidR="00BC0B32" w:rsidRPr="001005B7">
        <w:t xml:space="preserve">it has “practices” (see the textual note on </w:t>
      </w:r>
      <w:r w:rsidR="00C770F4" w:rsidRPr="001005B7">
        <w:t>20:7).</w:t>
      </w:r>
    </w:p>
    <w:p w14:paraId="3DDB0323" w14:textId="6ACB896C" w:rsidR="00B03D9A" w:rsidRPr="001005B7" w:rsidRDefault="005A2A59" w:rsidP="005A2A59">
      <w:pPr>
        <w:ind w:firstLine="0"/>
      </w:pPr>
      <w:r w:rsidRPr="001005B7">
        <w:rPr>
          <w:b/>
          <w:bCs/>
        </w:rPr>
        <w:t xml:space="preserve">6:10 </w:t>
      </w:r>
      <w:r w:rsidR="006E13FD" w:rsidRPr="001005B7">
        <w:rPr>
          <w:sz w:val="18"/>
          <w:szCs w:val="18"/>
        </w:rPr>
        <w:t>LXX</w:t>
      </w:r>
      <w:r w:rsidR="00DE2A74" w:rsidRPr="001005B7">
        <w:t xml:space="preserve"> lacks</w:t>
      </w:r>
      <w:r w:rsidR="00A47382" w:rsidRPr="001005B7">
        <w:t xml:space="preserve"> </w:t>
      </w:r>
      <w:r w:rsidR="00E43373" w:rsidRPr="001005B7">
        <w:t>“</w:t>
      </w:r>
      <w:r w:rsidR="00DE2A74" w:rsidRPr="001005B7">
        <w:t>no</w:t>
      </w:r>
      <w:r w:rsidR="00E12CFB" w:rsidRPr="001005B7">
        <w:t>t</w:t>
      </w:r>
      <w:r w:rsidR="00E12CFB" w:rsidRPr="001005B7">
        <w:rPr>
          <w:i/>
          <w:iCs/>
        </w:rPr>
        <w:t xml:space="preserve"> </w:t>
      </w:r>
      <w:r w:rsidR="00E12CFB" w:rsidRPr="001005B7">
        <w:t>gratuitously</w:t>
      </w:r>
      <w:r w:rsidR="00DE2A74" w:rsidRPr="001005B7">
        <w:rPr>
          <w:i/>
          <w:iCs/>
        </w:rPr>
        <w:t xml:space="preserve"> </w:t>
      </w:r>
      <w:r w:rsidR="00DE2A74" w:rsidRPr="001005B7">
        <w:t>about</w:t>
      </w:r>
      <w:r w:rsidR="00DE2A74" w:rsidRPr="001005B7">
        <w:rPr>
          <w:i/>
          <w:iCs/>
        </w:rPr>
        <w:t xml:space="preserve"> </w:t>
      </w:r>
      <w:r w:rsidR="00DE2A74" w:rsidRPr="001005B7">
        <w:t>doing</w:t>
      </w:r>
      <w:r w:rsidR="00DE2A74" w:rsidRPr="001005B7">
        <w:rPr>
          <w:i/>
          <w:iCs/>
        </w:rPr>
        <w:t xml:space="preserve"> </w:t>
      </w:r>
      <w:r w:rsidR="00DE2A74" w:rsidRPr="001005B7">
        <w:t>this</w:t>
      </w:r>
      <w:r w:rsidR="00DE2A74" w:rsidRPr="001005B7">
        <w:rPr>
          <w:i/>
          <w:iCs/>
        </w:rPr>
        <w:t xml:space="preserve"> </w:t>
      </w:r>
      <w:r w:rsidR="00DE2A74" w:rsidRPr="001005B7">
        <w:t>dire</w:t>
      </w:r>
      <w:r w:rsidR="00DE2A74" w:rsidRPr="001005B7">
        <w:rPr>
          <w:i/>
          <w:iCs/>
        </w:rPr>
        <w:t xml:space="preserve"> </w:t>
      </w:r>
      <w:r w:rsidR="00DE2A74" w:rsidRPr="001005B7">
        <w:t>thing</w:t>
      </w:r>
      <w:r w:rsidR="00DE2A74" w:rsidRPr="001005B7">
        <w:rPr>
          <w:i/>
          <w:iCs/>
        </w:rPr>
        <w:t xml:space="preserve"> </w:t>
      </w:r>
      <w:r w:rsidR="00DE2A74" w:rsidRPr="001005B7">
        <w:t>to</w:t>
      </w:r>
      <w:r w:rsidR="00DE2A74" w:rsidRPr="001005B7">
        <w:rPr>
          <w:i/>
          <w:iCs/>
        </w:rPr>
        <w:t xml:space="preserve"> </w:t>
      </w:r>
      <w:r w:rsidR="00DE2A74" w:rsidRPr="001005B7">
        <w:t>them.</w:t>
      </w:r>
      <w:r w:rsidR="00E43373" w:rsidRPr="001005B7">
        <w:t>”</w:t>
      </w:r>
    </w:p>
    <w:p w14:paraId="5F69A657" w14:textId="5B2C39D3" w:rsidR="000E135D" w:rsidRPr="001005B7" w:rsidRDefault="003E6407" w:rsidP="005A2A59">
      <w:pPr>
        <w:ind w:firstLine="0"/>
      </w:pPr>
      <w:r w:rsidRPr="001005B7">
        <w:rPr>
          <w:b/>
          <w:bCs/>
        </w:rPr>
        <w:t>6:11</w:t>
      </w:r>
      <w:r w:rsidR="008A12E7" w:rsidRPr="001005B7">
        <w:t xml:space="preserve"> </w:t>
      </w:r>
      <w:r w:rsidR="006E13FD" w:rsidRPr="001005B7">
        <w:rPr>
          <w:sz w:val="18"/>
          <w:szCs w:val="18"/>
        </w:rPr>
        <w:t>LXX</w:t>
      </w:r>
      <w:r w:rsidR="004F0AE6" w:rsidRPr="001005B7">
        <w:t xml:space="preserve"> lacks </w:t>
      </w:r>
      <w:r w:rsidR="005260E9" w:rsidRPr="001005B7">
        <w:t>“</w:t>
      </w:r>
      <w:r w:rsidR="004F0AE6" w:rsidRPr="001005B7">
        <w:t>dire</w:t>
      </w:r>
      <w:r w:rsidR="004F0AE6" w:rsidRPr="001005B7">
        <w:rPr>
          <w:i/>
          <w:iCs/>
        </w:rPr>
        <w:t xml:space="preserve"> </w:t>
      </w:r>
      <w:r w:rsidR="004F0AE6" w:rsidRPr="001005B7">
        <w:t>things</w:t>
      </w:r>
      <w:r w:rsidR="00E226AA" w:rsidRPr="001005B7">
        <w:t>.</w:t>
      </w:r>
      <w:r w:rsidR="005260E9" w:rsidRPr="001005B7">
        <w:t>”</w:t>
      </w:r>
      <w:r w:rsidR="00E226AA" w:rsidRPr="001005B7">
        <w:t xml:space="preserve"> </w:t>
      </w:r>
    </w:p>
    <w:p w14:paraId="3516D040" w14:textId="12D2934D" w:rsidR="00E460EE" w:rsidRPr="001005B7" w:rsidRDefault="003E6407" w:rsidP="003E6407">
      <w:pPr>
        <w:ind w:firstLine="0"/>
      </w:pPr>
      <w:r w:rsidRPr="001005B7">
        <w:rPr>
          <w:b/>
          <w:bCs/>
        </w:rPr>
        <w:t xml:space="preserve">6:13 </w:t>
      </w:r>
      <w:r w:rsidR="006E13FD" w:rsidRPr="001005B7">
        <w:rPr>
          <w:sz w:val="18"/>
          <w:szCs w:val="18"/>
        </w:rPr>
        <w:t>LXX</w:t>
      </w:r>
      <w:r w:rsidR="00A87134" w:rsidRPr="001005B7">
        <w:t xml:space="preserve"> lacks </w:t>
      </w:r>
      <w:r w:rsidR="005260E9" w:rsidRPr="001005B7">
        <w:t>“</w:t>
      </w:r>
      <w:r w:rsidR="00E460EE" w:rsidRPr="001005B7">
        <w:t>on</w:t>
      </w:r>
      <w:r w:rsidR="00E460EE" w:rsidRPr="001005B7">
        <w:rPr>
          <w:i/>
          <w:iCs/>
        </w:rPr>
        <w:t xml:space="preserve"> </w:t>
      </w:r>
      <w:r w:rsidR="00E460EE" w:rsidRPr="001005B7">
        <w:t>all</w:t>
      </w:r>
      <w:r w:rsidR="00E460EE" w:rsidRPr="001005B7">
        <w:rPr>
          <w:i/>
          <w:iCs/>
        </w:rPr>
        <w:t xml:space="preserve"> </w:t>
      </w:r>
      <w:r w:rsidR="00E460EE" w:rsidRPr="001005B7">
        <w:t>the</w:t>
      </w:r>
      <w:r w:rsidR="00E460EE" w:rsidRPr="001005B7">
        <w:rPr>
          <w:i/>
          <w:iCs/>
        </w:rPr>
        <w:t xml:space="preserve"> </w:t>
      </w:r>
      <w:r w:rsidR="00E460EE" w:rsidRPr="001005B7">
        <w:t>heads</w:t>
      </w:r>
      <w:r w:rsidR="00E460EE" w:rsidRPr="001005B7">
        <w:rPr>
          <w:i/>
          <w:iCs/>
        </w:rPr>
        <w:t xml:space="preserve"> </w:t>
      </w:r>
      <w:r w:rsidR="00E460EE" w:rsidRPr="001005B7">
        <w:t>of</w:t>
      </w:r>
      <w:r w:rsidR="00E460EE" w:rsidRPr="001005B7">
        <w:rPr>
          <w:i/>
          <w:iCs/>
        </w:rPr>
        <w:t xml:space="preserve"> </w:t>
      </w:r>
      <w:r w:rsidR="00E460EE" w:rsidRPr="001005B7">
        <w:t>the</w:t>
      </w:r>
      <w:r w:rsidR="00E460EE" w:rsidRPr="001005B7">
        <w:rPr>
          <w:i/>
          <w:iCs/>
        </w:rPr>
        <w:t xml:space="preserve"> </w:t>
      </w:r>
      <w:r w:rsidR="00E460EE" w:rsidRPr="001005B7">
        <w:t>mountains.</w:t>
      </w:r>
      <w:r w:rsidR="00EC3AA3" w:rsidRPr="001005B7">
        <w:t>”</w:t>
      </w:r>
    </w:p>
    <w:p w14:paraId="61A8DCDF" w14:textId="4639D4C1" w:rsidR="001131BA" w:rsidRPr="001005B7" w:rsidRDefault="003E6407" w:rsidP="00B421F6">
      <w:pPr>
        <w:ind w:firstLine="0"/>
      </w:pPr>
      <w:r w:rsidRPr="001005B7">
        <w:rPr>
          <w:b/>
          <w:bCs/>
        </w:rPr>
        <w:t xml:space="preserve">6:14 </w:t>
      </w:r>
      <w:r w:rsidR="00DD2995" w:rsidRPr="001005B7">
        <w:t xml:space="preserve">Literally, </w:t>
      </w:r>
      <w:r w:rsidR="0069778E" w:rsidRPr="001005B7">
        <w:t xml:space="preserve">“from the wilderness of </w:t>
      </w:r>
      <w:proofErr w:type="spellStart"/>
      <w:r w:rsidR="0069778E" w:rsidRPr="001005B7">
        <w:t>Diblah</w:t>
      </w:r>
      <w:proofErr w:type="spellEnd"/>
      <w:r w:rsidR="0069778E" w:rsidRPr="001005B7">
        <w:t xml:space="preserve">.” </w:t>
      </w:r>
      <w:r w:rsidR="00DB486B" w:rsidRPr="001005B7">
        <w:t xml:space="preserve">Such a </w:t>
      </w:r>
      <w:r w:rsidR="005F5A4E" w:rsidRPr="001005B7">
        <w:t>place is unknown</w:t>
      </w:r>
      <w:r w:rsidR="00902FD0" w:rsidRPr="001005B7">
        <w:t>, thou</w:t>
      </w:r>
      <w:r w:rsidR="003D1DFD" w:rsidRPr="001005B7">
        <w:t xml:space="preserve">gh </w:t>
      </w:r>
      <w:proofErr w:type="spellStart"/>
      <w:r w:rsidR="00904D11" w:rsidRPr="001005B7">
        <w:t>Diblah</w:t>
      </w:r>
      <w:proofErr w:type="spellEnd"/>
      <w:r w:rsidR="00FE1139" w:rsidRPr="001005B7">
        <w:t xml:space="preserve"> occurs instead of </w:t>
      </w:r>
      <w:proofErr w:type="spellStart"/>
      <w:r w:rsidR="00FE1139" w:rsidRPr="001005B7">
        <w:t>Riblah</w:t>
      </w:r>
      <w:proofErr w:type="spellEnd"/>
      <w:r w:rsidR="00FE1139" w:rsidRPr="001005B7">
        <w:t xml:space="preserve"> </w:t>
      </w:r>
      <w:r w:rsidR="00836FAC" w:rsidRPr="001005B7">
        <w:t xml:space="preserve">in </w:t>
      </w:r>
      <w:r w:rsidR="006E13FD" w:rsidRPr="001005B7">
        <w:rPr>
          <w:sz w:val="18"/>
          <w:szCs w:val="18"/>
        </w:rPr>
        <w:t>L</w:t>
      </w:r>
      <w:r w:rsidR="00073A37" w:rsidRPr="001005B7">
        <w:rPr>
          <w:sz w:val="18"/>
          <w:szCs w:val="18"/>
        </w:rPr>
        <w:t>XX</w:t>
      </w:r>
      <w:r w:rsidR="00836FAC" w:rsidRPr="001005B7">
        <w:t xml:space="preserve"> </w:t>
      </w:r>
      <w:r w:rsidR="00FE1139" w:rsidRPr="001005B7">
        <w:t>at</w:t>
      </w:r>
      <w:r w:rsidR="00A934CE" w:rsidRPr="001005B7">
        <w:t xml:space="preserve"> (e.g.)</w:t>
      </w:r>
      <w:r w:rsidR="00FE1139" w:rsidRPr="001005B7">
        <w:t xml:space="preserve"> 2</w:t>
      </w:r>
      <w:r w:rsidR="003C0787" w:rsidRPr="001005B7">
        <w:t> </w:t>
      </w:r>
      <w:r w:rsidR="006558CA" w:rsidRPr="001005B7">
        <w:t>Kgs</w:t>
      </w:r>
      <w:r w:rsidR="00FE1139" w:rsidRPr="001005B7">
        <w:t xml:space="preserve"> </w:t>
      </w:r>
      <w:r w:rsidR="0032063D" w:rsidRPr="001005B7">
        <w:t>23:33</w:t>
      </w:r>
      <w:r w:rsidR="00836FAC" w:rsidRPr="001005B7">
        <w:t>; 25:20</w:t>
      </w:r>
      <w:r w:rsidR="00D22C5C" w:rsidRPr="001005B7">
        <w:t xml:space="preserve">. </w:t>
      </w:r>
      <w:proofErr w:type="spellStart"/>
      <w:r w:rsidR="0032063D" w:rsidRPr="001005B7">
        <w:t>Ribla</w:t>
      </w:r>
      <w:r w:rsidR="0056744F" w:rsidRPr="001005B7">
        <w:t>h</w:t>
      </w:r>
      <w:proofErr w:type="spellEnd"/>
      <w:r w:rsidR="007D412A" w:rsidRPr="001005B7">
        <w:t xml:space="preserve"> </w:t>
      </w:r>
      <w:r w:rsidR="00904D11" w:rsidRPr="001005B7">
        <w:t>might be</w:t>
      </w:r>
      <w:r w:rsidR="0032063D" w:rsidRPr="001005B7">
        <w:t xml:space="preserve"> original here</w:t>
      </w:r>
      <w:r w:rsidR="00904D11" w:rsidRPr="001005B7">
        <w:t>, then</w:t>
      </w:r>
      <w:r w:rsidR="002263B0" w:rsidRPr="001005B7">
        <w:t>, as</w:t>
      </w:r>
      <w:r w:rsidR="00F463C6" w:rsidRPr="001005B7">
        <w:t xml:space="preserve"> Heb</w:t>
      </w:r>
      <w:r w:rsidR="00320E2B" w:rsidRPr="001005B7">
        <w:t>.</w:t>
      </w:r>
      <w:r w:rsidR="00287D4A" w:rsidRPr="001005B7">
        <w:t xml:space="preserve"> </w:t>
      </w:r>
      <w:r w:rsidR="00287D4A" w:rsidRPr="001005B7">
        <w:rPr>
          <w:rFonts w:cstheme="minorHAnsi"/>
          <w:rtl/>
          <w:lang w:bidi="he-IL"/>
        </w:rPr>
        <w:t>ד</w:t>
      </w:r>
      <w:r w:rsidR="00F463C6" w:rsidRPr="001005B7">
        <w:t xml:space="preserve"> and</w:t>
      </w:r>
      <w:r w:rsidR="00287D4A" w:rsidRPr="001005B7">
        <w:t xml:space="preserve"> </w:t>
      </w:r>
      <w:r w:rsidR="00B421F6" w:rsidRPr="001005B7">
        <w:rPr>
          <w:rFonts w:cstheme="minorHAnsi"/>
          <w:rtl/>
          <w:lang w:bidi="he-IL"/>
        </w:rPr>
        <w:t>ר</w:t>
      </w:r>
      <w:r w:rsidR="00F463C6" w:rsidRPr="001005B7">
        <w:rPr>
          <w:i/>
          <w:iCs/>
        </w:rPr>
        <w:t xml:space="preserve"> </w:t>
      </w:r>
      <w:r w:rsidR="00F463C6" w:rsidRPr="001005B7">
        <w:t>are easily confused</w:t>
      </w:r>
      <w:r w:rsidR="00BC1E1B" w:rsidRPr="001005B7">
        <w:t>.</w:t>
      </w:r>
      <w:r w:rsidR="00292239" w:rsidRPr="001005B7">
        <w:t xml:space="preserve"> Jerome (71</w:t>
      </w:r>
      <w:r w:rsidR="00F46900" w:rsidRPr="001005B7">
        <w:t>–</w:t>
      </w:r>
      <w:r w:rsidR="00292239" w:rsidRPr="001005B7">
        <w:t xml:space="preserve">72) and </w:t>
      </w:r>
      <w:proofErr w:type="spellStart"/>
      <w:r w:rsidR="00292239" w:rsidRPr="001005B7">
        <w:t>Qimhi</w:t>
      </w:r>
      <w:proofErr w:type="spellEnd"/>
      <w:r w:rsidR="00292239" w:rsidRPr="001005B7">
        <w:t xml:space="preserve"> (in MG) imply the assumption that they are the same place.</w:t>
      </w:r>
      <w:r w:rsidR="00BC1E1B" w:rsidRPr="001005B7">
        <w:t xml:space="preserve"> </w:t>
      </w:r>
    </w:p>
    <w:p w14:paraId="556B28FD" w14:textId="0F089BCB" w:rsidR="001131BA" w:rsidRPr="001005B7" w:rsidRDefault="001131BA" w:rsidP="00493833">
      <w:pPr>
        <w:pStyle w:val="Heading3"/>
      </w:pPr>
      <w:r w:rsidRPr="001005B7">
        <w:t>Verse-by-Verse Commentary</w:t>
      </w:r>
    </w:p>
    <w:p w14:paraId="767E2CDF" w14:textId="51A9FED1" w:rsidR="003A4DC6" w:rsidRPr="001005B7" w:rsidRDefault="00F45222" w:rsidP="003A4DC6">
      <w:pPr>
        <w:pStyle w:val="FootnoteText"/>
        <w:rPr>
          <w:sz w:val="22"/>
          <w:szCs w:val="22"/>
        </w:rPr>
      </w:pPr>
      <w:r w:rsidRPr="001005B7">
        <w:rPr>
          <w:b/>
          <w:bCs/>
          <w:sz w:val="22"/>
          <w:szCs w:val="22"/>
        </w:rPr>
        <w:t>6:</w:t>
      </w:r>
      <w:r w:rsidR="00F207BB" w:rsidRPr="001005B7">
        <w:rPr>
          <w:b/>
          <w:bCs/>
          <w:sz w:val="22"/>
          <w:szCs w:val="22"/>
        </w:rPr>
        <w:t>1</w:t>
      </w:r>
      <w:r w:rsidR="00F46900" w:rsidRPr="001005B7">
        <w:rPr>
          <w:b/>
          <w:bCs/>
          <w:sz w:val="22"/>
          <w:szCs w:val="22"/>
        </w:rPr>
        <w:t>–</w:t>
      </w:r>
      <w:r w:rsidR="009D2230" w:rsidRPr="001005B7">
        <w:rPr>
          <w:b/>
          <w:bCs/>
          <w:sz w:val="22"/>
          <w:szCs w:val="22"/>
        </w:rPr>
        <w:t>3</w:t>
      </w:r>
      <w:r w:rsidR="006D7A7A" w:rsidRPr="001005B7">
        <w:rPr>
          <w:b/>
          <w:bCs/>
          <w:sz w:val="22"/>
          <w:szCs w:val="22"/>
        </w:rPr>
        <w:t>b</w:t>
      </w:r>
      <w:r w:rsidR="00966FDC" w:rsidRPr="001005B7">
        <w:rPr>
          <w:rFonts w:cstheme="minorHAnsi"/>
          <w:b/>
          <w:bCs/>
          <w:sz w:val="22"/>
          <w:szCs w:val="22"/>
        </w:rPr>
        <w:t>α</w:t>
      </w:r>
      <w:r w:rsidR="00F207BB" w:rsidRPr="001005B7">
        <w:rPr>
          <w:b/>
          <w:bCs/>
          <w:sz w:val="22"/>
          <w:szCs w:val="22"/>
        </w:rPr>
        <w:t xml:space="preserve"> </w:t>
      </w:r>
      <w:r w:rsidR="00F207BB" w:rsidRPr="001005B7">
        <w:rPr>
          <w:sz w:val="22"/>
          <w:szCs w:val="22"/>
        </w:rPr>
        <w:t>Ezekiel begins with a</w:t>
      </w:r>
      <w:r w:rsidR="00FF4CBD" w:rsidRPr="001005B7">
        <w:rPr>
          <w:sz w:val="22"/>
          <w:szCs w:val="22"/>
        </w:rPr>
        <w:t xml:space="preserve"> </w:t>
      </w:r>
      <w:r w:rsidR="00F207BB" w:rsidRPr="001005B7">
        <w:rPr>
          <w:sz w:val="22"/>
          <w:szCs w:val="22"/>
        </w:rPr>
        <w:t xml:space="preserve">fulsome and repetitive </w:t>
      </w:r>
      <w:r w:rsidR="00FF4CBD" w:rsidRPr="001005B7">
        <w:rPr>
          <w:sz w:val="22"/>
          <w:szCs w:val="22"/>
        </w:rPr>
        <w:t>introduction that</w:t>
      </w:r>
      <w:r w:rsidR="00E718BA" w:rsidRPr="001005B7">
        <w:rPr>
          <w:sz w:val="22"/>
          <w:szCs w:val="22"/>
        </w:rPr>
        <w:t xml:space="preserve"> records Yahweh’s </w:t>
      </w:r>
      <w:r w:rsidR="00BF4900" w:rsidRPr="001005B7">
        <w:rPr>
          <w:sz w:val="22"/>
          <w:szCs w:val="22"/>
        </w:rPr>
        <w:t>reaching out</w:t>
      </w:r>
      <w:r w:rsidR="003B492A" w:rsidRPr="001005B7">
        <w:rPr>
          <w:sz w:val="22"/>
          <w:szCs w:val="22"/>
        </w:rPr>
        <w:t xml:space="preserve"> to him</w:t>
      </w:r>
      <w:r w:rsidR="00E718BA" w:rsidRPr="001005B7">
        <w:rPr>
          <w:sz w:val="22"/>
          <w:szCs w:val="22"/>
        </w:rPr>
        <w:t xml:space="preserve">, </w:t>
      </w:r>
      <w:r w:rsidR="00AA7A55" w:rsidRPr="001005B7">
        <w:rPr>
          <w:sz w:val="22"/>
          <w:szCs w:val="22"/>
        </w:rPr>
        <w:t xml:space="preserve">the </w:t>
      </w:r>
      <w:r w:rsidR="003B492A" w:rsidRPr="001005B7">
        <w:rPr>
          <w:sz w:val="22"/>
          <w:szCs w:val="22"/>
        </w:rPr>
        <w:t>initiative he is to take</w:t>
      </w:r>
      <w:r w:rsidR="00577EDE" w:rsidRPr="001005B7">
        <w:rPr>
          <w:sz w:val="22"/>
          <w:szCs w:val="22"/>
        </w:rPr>
        <w:t xml:space="preserve">, the beginning of </w:t>
      </w:r>
      <w:r w:rsidR="001D6888" w:rsidRPr="001005B7">
        <w:rPr>
          <w:sz w:val="22"/>
          <w:szCs w:val="22"/>
        </w:rPr>
        <w:t>the</w:t>
      </w:r>
      <w:r w:rsidR="00577EDE" w:rsidRPr="001005B7">
        <w:rPr>
          <w:sz w:val="22"/>
          <w:szCs w:val="22"/>
        </w:rPr>
        <w:t xml:space="preserve"> actual words </w:t>
      </w:r>
      <w:r w:rsidR="001D6888" w:rsidRPr="001005B7">
        <w:rPr>
          <w:sz w:val="22"/>
          <w:szCs w:val="22"/>
        </w:rPr>
        <w:t>he is to say</w:t>
      </w:r>
      <w:r w:rsidR="00FF4CBD" w:rsidRPr="001005B7">
        <w:rPr>
          <w:sz w:val="22"/>
          <w:szCs w:val="22"/>
        </w:rPr>
        <w:t xml:space="preserve">, and </w:t>
      </w:r>
      <w:r w:rsidR="001D6888" w:rsidRPr="001005B7">
        <w:rPr>
          <w:sz w:val="22"/>
          <w:szCs w:val="22"/>
        </w:rPr>
        <w:t xml:space="preserve">the </w:t>
      </w:r>
      <w:r w:rsidR="00315F5E" w:rsidRPr="001005B7">
        <w:rPr>
          <w:sz w:val="22"/>
          <w:szCs w:val="22"/>
        </w:rPr>
        <w:t xml:space="preserve">specific </w:t>
      </w:r>
      <w:r w:rsidR="001D6888" w:rsidRPr="001005B7">
        <w:rPr>
          <w:sz w:val="22"/>
          <w:szCs w:val="22"/>
        </w:rPr>
        <w:t>identity of his addressees</w:t>
      </w:r>
      <w:r w:rsidR="00FF4CBD" w:rsidRPr="001005B7">
        <w:rPr>
          <w:sz w:val="22"/>
          <w:szCs w:val="22"/>
        </w:rPr>
        <w:t xml:space="preserve">. </w:t>
      </w:r>
      <w:r w:rsidR="00391595" w:rsidRPr="001005B7">
        <w:rPr>
          <w:sz w:val="22"/>
          <w:szCs w:val="22"/>
        </w:rPr>
        <w:t>This</w:t>
      </w:r>
      <w:r w:rsidR="00EC3C71" w:rsidRPr="001005B7">
        <w:rPr>
          <w:sz w:val="22"/>
          <w:szCs w:val="22"/>
        </w:rPr>
        <w:t xml:space="preserve"> opening testimony (</w:t>
      </w:r>
      <w:r w:rsidR="00AC027B" w:rsidRPr="001005B7">
        <w:rPr>
          <w:sz w:val="22"/>
          <w:szCs w:val="22"/>
        </w:rPr>
        <w:t>6:</w:t>
      </w:r>
      <w:r w:rsidR="00EC3C71" w:rsidRPr="001005B7">
        <w:rPr>
          <w:sz w:val="22"/>
          <w:szCs w:val="22"/>
        </w:rPr>
        <w:t>1) applies to the chapter as a whole</w:t>
      </w:r>
      <w:r w:rsidR="00986518" w:rsidRPr="001005B7">
        <w:rPr>
          <w:sz w:val="22"/>
          <w:szCs w:val="22"/>
        </w:rPr>
        <w:t xml:space="preserve"> and</w:t>
      </w:r>
      <w:r w:rsidR="00281B3A">
        <w:rPr>
          <w:sz w:val="22"/>
          <w:szCs w:val="22"/>
        </w:rPr>
        <w:t xml:space="preserve"> it</w:t>
      </w:r>
      <w:r w:rsidR="00EC3C71" w:rsidRPr="001005B7">
        <w:rPr>
          <w:sz w:val="22"/>
          <w:szCs w:val="22"/>
        </w:rPr>
        <w:t xml:space="preserve"> will </w:t>
      </w:r>
      <w:r w:rsidR="00986518" w:rsidRPr="001005B7">
        <w:rPr>
          <w:sz w:val="22"/>
          <w:szCs w:val="22"/>
        </w:rPr>
        <w:t xml:space="preserve">then </w:t>
      </w:r>
      <w:r w:rsidR="00EC3C71" w:rsidRPr="001005B7">
        <w:rPr>
          <w:sz w:val="22"/>
          <w:szCs w:val="22"/>
        </w:rPr>
        <w:t xml:space="preserve">recur </w:t>
      </w:r>
      <w:r w:rsidR="00B60F70" w:rsidRPr="001005B7">
        <w:rPr>
          <w:sz w:val="22"/>
          <w:szCs w:val="22"/>
        </w:rPr>
        <w:t xml:space="preserve">as the introduction to the next chapter (7:1). </w:t>
      </w:r>
      <w:r w:rsidR="00177837" w:rsidRPr="001005B7">
        <w:rPr>
          <w:sz w:val="22"/>
          <w:szCs w:val="22"/>
        </w:rPr>
        <w:t>E</w:t>
      </w:r>
      <w:r w:rsidR="0067355E" w:rsidRPr="001005B7">
        <w:rPr>
          <w:sz w:val="22"/>
          <w:szCs w:val="22"/>
        </w:rPr>
        <w:t xml:space="preserve">ven when it </w:t>
      </w:r>
      <w:r w:rsidR="00B82541" w:rsidRPr="001005B7">
        <w:rPr>
          <w:sz w:val="22"/>
          <w:szCs w:val="22"/>
        </w:rPr>
        <w:t>g</w:t>
      </w:r>
      <w:r w:rsidR="0013111B" w:rsidRPr="001005B7">
        <w:rPr>
          <w:sz w:val="22"/>
          <w:szCs w:val="22"/>
        </w:rPr>
        <w:t>oes on to</w:t>
      </w:r>
      <w:r w:rsidR="00B82541" w:rsidRPr="001005B7">
        <w:rPr>
          <w:sz w:val="22"/>
          <w:szCs w:val="22"/>
        </w:rPr>
        <w:t xml:space="preserve"> a sequence of words that have not appeared before (</w:t>
      </w:r>
      <w:r w:rsidR="003334F5" w:rsidRPr="001005B7">
        <w:rPr>
          <w:sz w:val="22"/>
          <w:szCs w:val="22"/>
        </w:rPr>
        <w:t>mountains</w:t>
      </w:r>
      <w:r w:rsidR="003334F5" w:rsidRPr="001005B7">
        <w:rPr>
          <w:i/>
          <w:iCs/>
          <w:sz w:val="22"/>
          <w:szCs w:val="22"/>
        </w:rPr>
        <w:t>,</w:t>
      </w:r>
      <w:r w:rsidR="00986518" w:rsidRPr="001005B7">
        <w:rPr>
          <w:sz w:val="22"/>
          <w:szCs w:val="22"/>
        </w:rPr>
        <w:t xml:space="preserve"> </w:t>
      </w:r>
      <w:r w:rsidR="003334F5" w:rsidRPr="001005B7">
        <w:rPr>
          <w:sz w:val="22"/>
          <w:szCs w:val="22"/>
        </w:rPr>
        <w:t>hills</w:t>
      </w:r>
      <w:r w:rsidR="003334F5" w:rsidRPr="001005B7">
        <w:rPr>
          <w:i/>
          <w:iCs/>
          <w:sz w:val="22"/>
          <w:szCs w:val="22"/>
        </w:rPr>
        <w:t>,</w:t>
      </w:r>
      <w:r w:rsidR="00986518" w:rsidRPr="001005B7">
        <w:rPr>
          <w:sz w:val="22"/>
          <w:szCs w:val="22"/>
        </w:rPr>
        <w:t xml:space="preserve"> </w:t>
      </w:r>
      <w:r w:rsidR="003334F5" w:rsidRPr="001005B7">
        <w:rPr>
          <w:sz w:val="22"/>
          <w:szCs w:val="22"/>
        </w:rPr>
        <w:t>ravines</w:t>
      </w:r>
      <w:r w:rsidR="003334F5" w:rsidRPr="001005B7">
        <w:rPr>
          <w:i/>
          <w:iCs/>
          <w:sz w:val="22"/>
          <w:szCs w:val="22"/>
        </w:rPr>
        <w:t>,</w:t>
      </w:r>
      <w:r w:rsidR="00986518" w:rsidRPr="001005B7">
        <w:rPr>
          <w:sz w:val="22"/>
          <w:szCs w:val="22"/>
        </w:rPr>
        <w:t xml:space="preserve"> </w:t>
      </w:r>
      <w:r w:rsidR="003334F5" w:rsidRPr="001005B7">
        <w:rPr>
          <w:sz w:val="22"/>
          <w:szCs w:val="22"/>
        </w:rPr>
        <w:t>canyons)</w:t>
      </w:r>
      <w:r w:rsidR="00177837" w:rsidRPr="001005B7">
        <w:rPr>
          <w:sz w:val="22"/>
          <w:szCs w:val="22"/>
        </w:rPr>
        <w:t xml:space="preserve">, </w:t>
      </w:r>
      <w:r w:rsidR="008D09D9" w:rsidRPr="001005B7">
        <w:rPr>
          <w:sz w:val="22"/>
          <w:szCs w:val="22"/>
        </w:rPr>
        <w:t>this long introduction</w:t>
      </w:r>
      <w:r w:rsidR="003334F5" w:rsidRPr="001005B7">
        <w:rPr>
          <w:sz w:val="22"/>
          <w:szCs w:val="22"/>
        </w:rPr>
        <w:t xml:space="preserve"> is still simply </w:t>
      </w:r>
      <w:r w:rsidR="001D4850" w:rsidRPr="001005B7">
        <w:rPr>
          <w:sz w:val="22"/>
          <w:szCs w:val="22"/>
        </w:rPr>
        <w:t xml:space="preserve">preparing us for </w:t>
      </w:r>
      <w:r w:rsidR="006A1EAC" w:rsidRPr="001005B7">
        <w:rPr>
          <w:sz w:val="22"/>
          <w:szCs w:val="22"/>
        </w:rPr>
        <w:t>Ezekiel’</w:t>
      </w:r>
      <w:r w:rsidR="008D09D9" w:rsidRPr="001005B7">
        <w:rPr>
          <w:sz w:val="22"/>
          <w:szCs w:val="22"/>
        </w:rPr>
        <w:t>s</w:t>
      </w:r>
      <w:r w:rsidR="001D4850" w:rsidRPr="001005B7">
        <w:rPr>
          <w:sz w:val="22"/>
          <w:szCs w:val="22"/>
        </w:rPr>
        <w:t xml:space="preserve"> actual message.</w:t>
      </w:r>
      <w:r w:rsidR="00C06BC9" w:rsidRPr="001005B7">
        <w:rPr>
          <w:sz w:val="22"/>
          <w:szCs w:val="22"/>
        </w:rPr>
        <w:t xml:space="preserve"> </w:t>
      </w:r>
      <w:r w:rsidR="00F830B4" w:rsidRPr="001005B7">
        <w:rPr>
          <w:sz w:val="22"/>
          <w:szCs w:val="22"/>
        </w:rPr>
        <w:t>“</w:t>
      </w:r>
      <w:r w:rsidR="007B3466" w:rsidRPr="001005B7">
        <w:rPr>
          <w:sz w:val="22"/>
          <w:szCs w:val="22"/>
        </w:rPr>
        <w:t>M</w:t>
      </w:r>
      <w:r w:rsidR="001D4850" w:rsidRPr="001005B7">
        <w:rPr>
          <w:sz w:val="22"/>
          <w:szCs w:val="22"/>
        </w:rPr>
        <w:t xml:space="preserve">ountains </w:t>
      </w:r>
      <w:r w:rsidR="007F547F" w:rsidRPr="001005B7">
        <w:rPr>
          <w:sz w:val="22"/>
          <w:szCs w:val="22"/>
        </w:rPr>
        <w:t>of</w:t>
      </w:r>
      <w:r w:rsidR="007F547F" w:rsidRPr="001005B7">
        <w:rPr>
          <w:i/>
          <w:iCs/>
          <w:sz w:val="22"/>
          <w:szCs w:val="22"/>
        </w:rPr>
        <w:t xml:space="preserve"> </w:t>
      </w:r>
      <w:r w:rsidR="007F547F" w:rsidRPr="001005B7">
        <w:rPr>
          <w:sz w:val="22"/>
          <w:szCs w:val="22"/>
        </w:rPr>
        <w:t>Israel</w:t>
      </w:r>
      <w:r w:rsidR="00F830B4" w:rsidRPr="001005B7">
        <w:rPr>
          <w:sz w:val="22"/>
          <w:szCs w:val="22"/>
        </w:rPr>
        <w:t>”</w:t>
      </w:r>
      <w:r w:rsidR="007F547F" w:rsidRPr="001005B7">
        <w:rPr>
          <w:i/>
          <w:iCs/>
          <w:sz w:val="22"/>
          <w:szCs w:val="22"/>
        </w:rPr>
        <w:t xml:space="preserve"> </w:t>
      </w:r>
      <w:r w:rsidR="007E6FE8" w:rsidRPr="001005B7">
        <w:rPr>
          <w:sz w:val="22"/>
          <w:szCs w:val="22"/>
        </w:rPr>
        <w:t xml:space="preserve">denotes what </w:t>
      </w:r>
      <w:r w:rsidR="00EB78D5" w:rsidRPr="001005B7">
        <w:rPr>
          <w:sz w:val="22"/>
          <w:szCs w:val="22"/>
        </w:rPr>
        <w:t>he</w:t>
      </w:r>
      <w:r w:rsidR="00472644" w:rsidRPr="001005B7">
        <w:rPr>
          <w:sz w:val="22"/>
          <w:szCs w:val="22"/>
        </w:rPr>
        <w:t xml:space="preserve"> </w:t>
      </w:r>
      <w:r w:rsidR="000248E2" w:rsidRPr="001005B7">
        <w:rPr>
          <w:sz w:val="22"/>
          <w:szCs w:val="22"/>
        </w:rPr>
        <w:t xml:space="preserve">and other people </w:t>
      </w:r>
      <w:r w:rsidR="009A1938" w:rsidRPr="001005B7">
        <w:rPr>
          <w:sz w:val="22"/>
          <w:szCs w:val="22"/>
        </w:rPr>
        <w:t>commonly</w:t>
      </w:r>
      <w:r w:rsidR="00472644" w:rsidRPr="001005B7">
        <w:rPr>
          <w:sz w:val="22"/>
          <w:szCs w:val="22"/>
        </w:rPr>
        <w:t xml:space="preserve"> term </w:t>
      </w:r>
      <w:r w:rsidR="00D47BCB" w:rsidRPr="001005B7">
        <w:rPr>
          <w:sz w:val="22"/>
          <w:szCs w:val="22"/>
        </w:rPr>
        <w:t xml:space="preserve">the </w:t>
      </w:r>
      <w:r w:rsidR="000B0EFA" w:rsidRPr="001005B7">
        <w:rPr>
          <w:sz w:val="22"/>
          <w:szCs w:val="22"/>
        </w:rPr>
        <w:t>“</w:t>
      </w:r>
      <w:r w:rsidR="00895075" w:rsidRPr="001005B7">
        <w:rPr>
          <w:sz w:val="22"/>
          <w:szCs w:val="22"/>
        </w:rPr>
        <w:t>country</w:t>
      </w:r>
      <w:r w:rsidR="00895075" w:rsidRPr="001005B7">
        <w:rPr>
          <w:i/>
          <w:iCs/>
          <w:sz w:val="22"/>
          <w:szCs w:val="22"/>
        </w:rPr>
        <w:t xml:space="preserve"> </w:t>
      </w:r>
      <w:r w:rsidR="00895075" w:rsidRPr="001005B7">
        <w:rPr>
          <w:sz w:val="22"/>
          <w:szCs w:val="22"/>
        </w:rPr>
        <w:t>of</w:t>
      </w:r>
      <w:r w:rsidR="00895075" w:rsidRPr="001005B7">
        <w:rPr>
          <w:i/>
          <w:iCs/>
          <w:sz w:val="22"/>
          <w:szCs w:val="22"/>
        </w:rPr>
        <w:t xml:space="preserve"> </w:t>
      </w:r>
      <w:r w:rsidR="00895075" w:rsidRPr="001005B7">
        <w:rPr>
          <w:sz w:val="22"/>
          <w:szCs w:val="22"/>
        </w:rPr>
        <w:t>Israel</w:t>
      </w:r>
      <w:r w:rsidR="00DA1CBD" w:rsidRPr="001005B7">
        <w:rPr>
          <w:sz w:val="22"/>
          <w:szCs w:val="22"/>
        </w:rPr>
        <w:t>” and thus</w:t>
      </w:r>
      <w:r w:rsidR="00DA1CBD" w:rsidRPr="001005B7">
        <w:rPr>
          <w:i/>
          <w:iCs/>
          <w:sz w:val="22"/>
          <w:szCs w:val="22"/>
        </w:rPr>
        <w:t xml:space="preserve"> </w:t>
      </w:r>
      <w:r w:rsidR="00DA1CBD" w:rsidRPr="001005B7">
        <w:rPr>
          <w:sz w:val="22"/>
          <w:szCs w:val="22"/>
        </w:rPr>
        <w:t>denotes the land from Dan to Beersheba (cf. 6:14; 37:22)</w:t>
      </w:r>
      <w:r w:rsidR="00626396" w:rsidRPr="001005B7">
        <w:rPr>
          <w:sz w:val="22"/>
          <w:szCs w:val="22"/>
        </w:rPr>
        <w:t>.</w:t>
      </w:r>
      <w:r w:rsidR="00DA1CBD" w:rsidRPr="001005B7">
        <w:rPr>
          <w:sz w:val="22"/>
          <w:szCs w:val="22"/>
        </w:rPr>
        <w:t xml:space="preserve"> </w:t>
      </w:r>
      <w:r w:rsidR="00A83E54" w:rsidRPr="001005B7">
        <w:rPr>
          <w:sz w:val="22"/>
          <w:szCs w:val="22"/>
        </w:rPr>
        <w:t>Th</w:t>
      </w:r>
      <w:r w:rsidR="00626396" w:rsidRPr="001005B7">
        <w:rPr>
          <w:sz w:val="22"/>
          <w:szCs w:val="22"/>
        </w:rPr>
        <w:t>e</w:t>
      </w:r>
      <w:r w:rsidR="00665C90" w:rsidRPr="001005B7">
        <w:rPr>
          <w:sz w:val="22"/>
          <w:szCs w:val="22"/>
        </w:rPr>
        <w:t xml:space="preserve"> di</w:t>
      </w:r>
      <w:r w:rsidR="00C52587" w:rsidRPr="001005B7">
        <w:rPr>
          <w:sz w:val="22"/>
          <w:szCs w:val="22"/>
        </w:rPr>
        <w:t>s</w:t>
      </w:r>
      <w:r w:rsidR="00665C90" w:rsidRPr="001005B7">
        <w:rPr>
          <w:sz w:val="22"/>
          <w:szCs w:val="22"/>
        </w:rPr>
        <w:t>tinctive expression</w:t>
      </w:r>
      <w:r w:rsidR="003A0F54" w:rsidRPr="001005B7">
        <w:rPr>
          <w:sz w:val="22"/>
          <w:szCs w:val="22"/>
        </w:rPr>
        <w:t xml:space="preserve"> might</w:t>
      </w:r>
      <w:r w:rsidR="005D6738" w:rsidRPr="001005B7">
        <w:rPr>
          <w:sz w:val="22"/>
          <w:szCs w:val="22"/>
        </w:rPr>
        <w:t xml:space="preserve"> suggest the distinctiveness of their homeland</w:t>
      </w:r>
      <w:r w:rsidR="00A83E54" w:rsidRPr="001005B7">
        <w:rPr>
          <w:sz w:val="22"/>
          <w:szCs w:val="22"/>
        </w:rPr>
        <w:t>,</w:t>
      </w:r>
      <w:r w:rsidR="005D6738" w:rsidRPr="001005B7">
        <w:rPr>
          <w:sz w:val="22"/>
          <w:szCs w:val="22"/>
        </w:rPr>
        <w:t xml:space="preserve"> for</w:t>
      </w:r>
      <w:r w:rsidR="00C52587" w:rsidRPr="001005B7">
        <w:rPr>
          <w:sz w:val="22"/>
          <w:szCs w:val="22"/>
        </w:rPr>
        <w:t xml:space="preserve"> him</w:t>
      </w:r>
      <w:r w:rsidR="005D6738" w:rsidRPr="001005B7">
        <w:rPr>
          <w:sz w:val="22"/>
          <w:szCs w:val="22"/>
        </w:rPr>
        <w:t xml:space="preserve"> and his community in </w:t>
      </w:r>
      <w:proofErr w:type="spellStart"/>
      <w:r w:rsidR="005D6738" w:rsidRPr="001005B7">
        <w:rPr>
          <w:sz w:val="22"/>
          <w:szCs w:val="22"/>
        </w:rPr>
        <w:t>Kebar</w:t>
      </w:r>
      <w:proofErr w:type="spellEnd"/>
      <w:r w:rsidR="00D904D2" w:rsidRPr="001005B7">
        <w:rPr>
          <w:sz w:val="22"/>
          <w:szCs w:val="22"/>
        </w:rPr>
        <w:t xml:space="preserve">. </w:t>
      </w:r>
      <w:r w:rsidR="00E5399F" w:rsidRPr="001005B7">
        <w:rPr>
          <w:sz w:val="22"/>
          <w:szCs w:val="22"/>
        </w:rPr>
        <w:t>People might</w:t>
      </w:r>
      <w:r w:rsidR="00234330" w:rsidRPr="001005B7">
        <w:rPr>
          <w:sz w:val="22"/>
          <w:szCs w:val="22"/>
        </w:rPr>
        <w:t xml:space="preserve"> look </w:t>
      </w:r>
      <w:r w:rsidR="003A7702" w:rsidRPr="001005B7">
        <w:rPr>
          <w:sz w:val="22"/>
          <w:szCs w:val="22"/>
        </w:rPr>
        <w:t>in the direction of those mountains</w:t>
      </w:r>
      <w:r w:rsidR="00234330" w:rsidRPr="001005B7">
        <w:rPr>
          <w:sz w:val="22"/>
          <w:szCs w:val="22"/>
        </w:rPr>
        <w:t xml:space="preserve"> in anticipation</w:t>
      </w:r>
      <w:r w:rsidR="008C0C8D" w:rsidRPr="001005B7">
        <w:rPr>
          <w:sz w:val="22"/>
          <w:szCs w:val="22"/>
        </w:rPr>
        <w:t xml:space="preserve"> of being able to go home</w:t>
      </w:r>
      <w:r w:rsidR="004B45A8" w:rsidRPr="001005B7">
        <w:rPr>
          <w:sz w:val="22"/>
          <w:szCs w:val="22"/>
        </w:rPr>
        <w:t xml:space="preserve"> one day</w:t>
      </w:r>
      <w:r w:rsidR="00BE17F4" w:rsidRPr="001005B7">
        <w:rPr>
          <w:sz w:val="22"/>
          <w:szCs w:val="22"/>
        </w:rPr>
        <w:t xml:space="preserve"> (Lind, 62</w:t>
      </w:r>
      <w:r w:rsidR="007D23F0" w:rsidRPr="001005B7">
        <w:rPr>
          <w:sz w:val="22"/>
          <w:szCs w:val="22"/>
        </w:rPr>
        <w:t xml:space="preserve">). </w:t>
      </w:r>
      <w:r w:rsidR="00895A3D" w:rsidRPr="001005B7">
        <w:rPr>
          <w:sz w:val="22"/>
          <w:szCs w:val="22"/>
        </w:rPr>
        <w:t>“</w:t>
      </w:r>
      <w:r w:rsidR="00626396" w:rsidRPr="001005B7">
        <w:rPr>
          <w:sz w:val="22"/>
          <w:szCs w:val="22"/>
        </w:rPr>
        <w:t>M</w:t>
      </w:r>
      <w:r w:rsidR="00974A9B" w:rsidRPr="001005B7">
        <w:rPr>
          <w:sz w:val="22"/>
          <w:szCs w:val="22"/>
        </w:rPr>
        <w:t>ountains</w:t>
      </w:r>
      <w:r w:rsidR="00895A3D" w:rsidRPr="001005B7">
        <w:rPr>
          <w:sz w:val="22"/>
          <w:szCs w:val="22"/>
        </w:rPr>
        <w:t>”</w:t>
      </w:r>
      <w:r w:rsidR="00974A9B" w:rsidRPr="001005B7">
        <w:rPr>
          <w:i/>
          <w:iCs/>
          <w:sz w:val="22"/>
          <w:szCs w:val="22"/>
        </w:rPr>
        <w:t xml:space="preserve"> </w:t>
      </w:r>
      <w:r w:rsidR="00974A9B" w:rsidRPr="001005B7">
        <w:rPr>
          <w:sz w:val="22"/>
          <w:szCs w:val="22"/>
        </w:rPr>
        <w:t>or</w:t>
      </w:r>
      <w:r w:rsidR="00974A9B" w:rsidRPr="001005B7">
        <w:rPr>
          <w:i/>
          <w:iCs/>
          <w:sz w:val="22"/>
          <w:szCs w:val="22"/>
        </w:rPr>
        <w:t xml:space="preserve"> </w:t>
      </w:r>
      <w:r w:rsidR="00974A9B" w:rsidRPr="001005B7">
        <w:rPr>
          <w:sz w:val="22"/>
          <w:szCs w:val="22"/>
        </w:rPr>
        <w:t xml:space="preserve">highland is an appropriate </w:t>
      </w:r>
      <w:r w:rsidR="0061513F" w:rsidRPr="001005B7">
        <w:rPr>
          <w:sz w:val="22"/>
          <w:szCs w:val="22"/>
        </w:rPr>
        <w:t xml:space="preserve">term for the bulk of that land. </w:t>
      </w:r>
      <w:r w:rsidR="00982267" w:rsidRPr="001005B7">
        <w:rPr>
          <w:sz w:val="22"/>
          <w:szCs w:val="22"/>
        </w:rPr>
        <w:t>F</w:t>
      </w:r>
      <w:r w:rsidR="00785DAB" w:rsidRPr="001005B7">
        <w:rPr>
          <w:sz w:val="22"/>
          <w:szCs w:val="22"/>
        </w:rPr>
        <w:t>or practical purposes</w:t>
      </w:r>
      <w:r w:rsidR="0061513F" w:rsidRPr="001005B7">
        <w:rPr>
          <w:sz w:val="22"/>
          <w:szCs w:val="22"/>
        </w:rPr>
        <w:t>,</w:t>
      </w:r>
      <w:r w:rsidR="00785DAB" w:rsidRPr="001005B7">
        <w:rPr>
          <w:sz w:val="22"/>
          <w:szCs w:val="22"/>
        </w:rPr>
        <w:t xml:space="preserve"> in th</w:t>
      </w:r>
      <w:r w:rsidR="00F56FC8" w:rsidRPr="001005B7">
        <w:rPr>
          <w:sz w:val="22"/>
          <w:szCs w:val="22"/>
        </w:rPr>
        <w:t>e</w:t>
      </w:r>
      <w:r w:rsidR="00785DAB" w:rsidRPr="001005B7">
        <w:rPr>
          <w:sz w:val="22"/>
          <w:szCs w:val="22"/>
        </w:rPr>
        <w:t xml:space="preserve"> context </w:t>
      </w:r>
      <w:r w:rsidR="00F56FC8" w:rsidRPr="001005B7">
        <w:rPr>
          <w:sz w:val="22"/>
          <w:szCs w:val="22"/>
        </w:rPr>
        <w:t xml:space="preserve">of Ezekiel </w:t>
      </w:r>
      <w:r w:rsidR="00785DAB" w:rsidRPr="001005B7">
        <w:rPr>
          <w:sz w:val="22"/>
          <w:szCs w:val="22"/>
        </w:rPr>
        <w:t xml:space="preserve">it </w:t>
      </w:r>
      <w:r w:rsidR="00F56FC8" w:rsidRPr="001005B7">
        <w:rPr>
          <w:sz w:val="22"/>
          <w:szCs w:val="22"/>
        </w:rPr>
        <w:t xml:space="preserve">often </w:t>
      </w:r>
      <w:r w:rsidR="00785DAB" w:rsidRPr="001005B7">
        <w:rPr>
          <w:sz w:val="22"/>
          <w:szCs w:val="22"/>
        </w:rPr>
        <w:t>denotes Judah</w:t>
      </w:r>
      <w:r w:rsidR="00920692" w:rsidRPr="001005B7">
        <w:rPr>
          <w:sz w:val="22"/>
          <w:szCs w:val="22"/>
        </w:rPr>
        <w:t>, as is sometimes specific</w:t>
      </w:r>
      <w:r w:rsidR="004A6087" w:rsidRPr="001005B7">
        <w:rPr>
          <w:sz w:val="22"/>
          <w:szCs w:val="22"/>
        </w:rPr>
        <w:t xml:space="preserve"> (e.g., 19:9).</w:t>
      </w:r>
      <w:r w:rsidR="00982267" w:rsidRPr="001005B7">
        <w:rPr>
          <w:sz w:val="22"/>
          <w:szCs w:val="22"/>
        </w:rPr>
        <w:t xml:space="preserve"> But in the context of </w:t>
      </w:r>
      <w:r w:rsidR="008F2A70" w:rsidRPr="001005B7">
        <w:rPr>
          <w:sz w:val="22"/>
          <w:szCs w:val="22"/>
        </w:rPr>
        <w:t xml:space="preserve">Yahweh’s commitment and purpose, </w:t>
      </w:r>
      <w:r w:rsidR="003E1B3E" w:rsidRPr="001005B7">
        <w:rPr>
          <w:sz w:val="22"/>
          <w:szCs w:val="22"/>
        </w:rPr>
        <w:t xml:space="preserve">ultimately </w:t>
      </w:r>
      <w:r w:rsidR="00332B81" w:rsidRPr="001005B7">
        <w:rPr>
          <w:sz w:val="22"/>
          <w:szCs w:val="22"/>
        </w:rPr>
        <w:t>“</w:t>
      </w:r>
      <w:r w:rsidR="008F2A70" w:rsidRPr="001005B7">
        <w:rPr>
          <w:sz w:val="22"/>
          <w:szCs w:val="22"/>
        </w:rPr>
        <w:t>mountains of Israel</w:t>
      </w:r>
      <w:r w:rsidR="00332B81" w:rsidRPr="001005B7">
        <w:rPr>
          <w:sz w:val="22"/>
          <w:szCs w:val="22"/>
        </w:rPr>
        <w:t>”</w:t>
      </w:r>
      <w:r w:rsidR="008F2A70" w:rsidRPr="001005B7">
        <w:rPr>
          <w:sz w:val="22"/>
          <w:szCs w:val="22"/>
        </w:rPr>
        <w:t xml:space="preserve"> really does mean Israel</w:t>
      </w:r>
      <w:r w:rsidR="00B652C6" w:rsidRPr="001005B7">
        <w:rPr>
          <w:sz w:val="22"/>
          <w:szCs w:val="22"/>
        </w:rPr>
        <w:t>,</w:t>
      </w:r>
      <w:r w:rsidR="008F2A70" w:rsidRPr="001005B7">
        <w:rPr>
          <w:sz w:val="22"/>
          <w:szCs w:val="22"/>
        </w:rPr>
        <w:t xml:space="preserve"> even if Judah stands for </w:t>
      </w:r>
      <w:r w:rsidR="003E1B3E" w:rsidRPr="001005B7">
        <w:rPr>
          <w:sz w:val="22"/>
          <w:szCs w:val="22"/>
        </w:rPr>
        <w:t xml:space="preserve">Israel at the moment (cf. </w:t>
      </w:r>
      <w:r w:rsidR="00CA1B9E" w:rsidRPr="001005B7">
        <w:rPr>
          <w:sz w:val="22"/>
          <w:szCs w:val="22"/>
        </w:rPr>
        <w:t>37:15</w:t>
      </w:r>
      <w:r w:rsidR="00F46900" w:rsidRPr="001005B7">
        <w:rPr>
          <w:sz w:val="22"/>
          <w:szCs w:val="22"/>
        </w:rPr>
        <w:t>–</w:t>
      </w:r>
      <w:r w:rsidR="00CA1B9E" w:rsidRPr="001005B7">
        <w:rPr>
          <w:sz w:val="22"/>
          <w:szCs w:val="22"/>
        </w:rPr>
        <w:t>38)</w:t>
      </w:r>
      <w:r w:rsidR="008F2A70" w:rsidRPr="001005B7">
        <w:rPr>
          <w:sz w:val="22"/>
          <w:szCs w:val="22"/>
        </w:rPr>
        <w:t>.</w:t>
      </w:r>
      <w:r w:rsidR="0063281D" w:rsidRPr="001005B7">
        <w:rPr>
          <w:sz w:val="22"/>
          <w:szCs w:val="22"/>
        </w:rPr>
        <w:t xml:space="preserve"> The other three terms enrich the point</w:t>
      </w:r>
      <w:r w:rsidR="005D076E" w:rsidRPr="001005B7">
        <w:rPr>
          <w:sz w:val="22"/>
          <w:szCs w:val="22"/>
        </w:rPr>
        <w:t xml:space="preserve"> in a way that will recur: e.g., </w:t>
      </w:r>
      <w:r w:rsidR="00D2151A" w:rsidRPr="001005B7">
        <w:rPr>
          <w:sz w:val="22"/>
          <w:szCs w:val="22"/>
        </w:rPr>
        <w:t>36:4, 6</w:t>
      </w:r>
      <w:r w:rsidR="003D7E3E" w:rsidRPr="001005B7">
        <w:rPr>
          <w:sz w:val="22"/>
          <w:szCs w:val="22"/>
        </w:rPr>
        <w:t>.</w:t>
      </w:r>
      <w:r w:rsidR="003D7E3E" w:rsidRPr="001005B7">
        <w:rPr>
          <w:rStyle w:val="FootnoteReference"/>
          <w:sz w:val="22"/>
          <w:szCs w:val="22"/>
        </w:rPr>
        <w:footnoteReference w:id="198"/>
      </w:r>
      <w:r w:rsidR="0063281D" w:rsidRPr="001005B7">
        <w:rPr>
          <w:sz w:val="22"/>
          <w:szCs w:val="22"/>
        </w:rPr>
        <w:t xml:space="preserve"> Canaan is a country of hills and valleys, a country that Yahweh looks after and keeps his eye on (Deut 11:11</w:t>
      </w:r>
      <w:r w:rsidR="00F46900" w:rsidRPr="001005B7">
        <w:rPr>
          <w:sz w:val="22"/>
          <w:szCs w:val="22"/>
        </w:rPr>
        <w:t>–</w:t>
      </w:r>
      <w:r w:rsidR="0063281D" w:rsidRPr="001005B7">
        <w:rPr>
          <w:sz w:val="22"/>
          <w:szCs w:val="22"/>
        </w:rPr>
        <w:t>12). But Ezekiel is about to declare that Yahweh now intends to devastate it.</w:t>
      </w:r>
      <w:r w:rsidR="007157F7" w:rsidRPr="001005B7">
        <w:rPr>
          <w:sz w:val="22"/>
          <w:szCs w:val="22"/>
        </w:rPr>
        <w:t xml:space="preserve"> </w:t>
      </w:r>
      <w:r w:rsidR="00FC5AFA" w:rsidRPr="001005B7">
        <w:rPr>
          <w:sz w:val="22"/>
          <w:szCs w:val="22"/>
        </w:rPr>
        <w:t>“</w:t>
      </w:r>
      <w:r w:rsidR="0042413A" w:rsidRPr="001005B7">
        <w:rPr>
          <w:rFonts w:ascii="Calibri" w:hAnsi="Calibri" w:cs="Calibri"/>
          <w:sz w:val="22"/>
          <w:szCs w:val="22"/>
        </w:rPr>
        <w:t xml:space="preserve">Imagine God saying to Ezekiel, </w:t>
      </w:r>
      <w:r w:rsidR="0006753D" w:rsidRPr="001005B7">
        <w:rPr>
          <w:rFonts w:ascii="Calibri" w:hAnsi="Calibri" w:cs="Calibri"/>
          <w:sz w:val="22"/>
          <w:szCs w:val="22"/>
        </w:rPr>
        <w:t>‘</w:t>
      </w:r>
      <w:r w:rsidR="0042413A" w:rsidRPr="001005B7">
        <w:rPr>
          <w:rFonts w:ascii="Calibri" w:hAnsi="Calibri" w:cs="Calibri"/>
          <w:sz w:val="22"/>
          <w:szCs w:val="22"/>
        </w:rPr>
        <w:t>Prophesy to the Rocky</w:t>
      </w:r>
      <w:r w:rsidR="00B907C3" w:rsidRPr="001005B7">
        <w:rPr>
          <w:rFonts w:ascii="Calibri" w:hAnsi="Calibri" w:cs="Calibri"/>
          <w:sz w:val="22"/>
          <w:szCs w:val="22"/>
        </w:rPr>
        <w:t xml:space="preserve"> </w:t>
      </w:r>
      <w:r w:rsidR="0042413A" w:rsidRPr="001005B7">
        <w:rPr>
          <w:rFonts w:ascii="Calibri" w:hAnsi="Calibri" w:cs="Calibri"/>
          <w:sz w:val="22"/>
          <w:szCs w:val="22"/>
        </w:rPr>
        <w:t>Mountains, to the Appalachians, and the Sierras</w:t>
      </w:r>
      <w:r w:rsidR="00FC5AFA" w:rsidRPr="001005B7">
        <w:rPr>
          <w:rFonts w:ascii="Calibri" w:hAnsi="Calibri" w:cs="Calibri"/>
          <w:sz w:val="22"/>
          <w:szCs w:val="22"/>
        </w:rPr>
        <w:t>.</w:t>
      </w:r>
      <w:r w:rsidR="0006753D" w:rsidRPr="001005B7">
        <w:rPr>
          <w:rFonts w:ascii="Calibri" w:hAnsi="Calibri" w:cs="Calibri"/>
          <w:sz w:val="22"/>
          <w:szCs w:val="22"/>
        </w:rPr>
        <w:t>’</w:t>
      </w:r>
      <w:r w:rsidR="00691E1D">
        <w:rPr>
          <w:rFonts w:ascii="Calibri" w:hAnsi="Calibri" w:cs="Calibri"/>
          <w:sz w:val="22"/>
          <w:szCs w:val="22"/>
        </w:rPr>
        <w:t>”</w:t>
      </w:r>
      <w:r w:rsidR="000351BD" w:rsidRPr="001005B7">
        <w:rPr>
          <w:rFonts w:ascii="Calibri" w:hAnsi="Calibri" w:cs="Calibri"/>
          <w:sz w:val="22"/>
          <w:szCs w:val="22"/>
        </w:rPr>
        <w:t xml:space="preserve"> </w:t>
      </w:r>
      <w:r w:rsidR="00E6348A" w:rsidRPr="001005B7">
        <w:rPr>
          <w:rFonts w:ascii="Calibri" w:hAnsi="Calibri" w:cs="Calibri"/>
          <w:sz w:val="22"/>
          <w:szCs w:val="22"/>
        </w:rPr>
        <w:t>The command to confront the mountains is a command to confront the people who</w:t>
      </w:r>
      <w:r w:rsidR="00B907C3" w:rsidRPr="001005B7">
        <w:rPr>
          <w:rFonts w:ascii="Calibri" w:hAnsi="Calibri" w:cs="Calibri"/>
          <w:sz w:val="22"/>
          <w:szCs w:val="22"/>
        </w:rPr>
        <w:t xml:space="preserve"> identify with them</w:t>
      </w:r>
      <w:r w:rsidR="007D23F0" w:rsidRPr="001005B7">
        <w:rPr>
          <w:rFonts w:ascii="Calibri" w:hAnsi="Calibri" w:cs="Calibri"/>
          <w:sz w:val="22"/>
          <w:szCs w:val="22"/>
        </w:rPr>
        <w:t xml:space="preserve"> (</w:t>
      </w:r>
      <w:r w:rsidR="007D23F0" w:rsidRPr="001005B7">
        <w:rPr>
          <w:sz w:val="22"/>
          <w:szCs w:val="22"/>
        </w:rPr>
        <w:t>Bowen, 31</w:t>
      </w:r>
      <w:r w:rsidR="00F46900" w:rsidRPr="001005B7">
        <w:rPr>
          <w:sz w:val="22"/>
          <w:szCs w:val="22"/>
        </w:rPr>
        <w:t>–</w:t>
      </w:r>
      <w:r w:rsidR="007D23F0" w:rsidRPr="001005B7">
        <w:rPr>
          <w:sz w:val="22"/>
          <w:szCs w:val="22"/>
        </w:rPr>
        <w:t>32).</w:t>
      </w:r>
      <w:r w:rsidR="00B907C3" w:rsidRPr="001005B7">
        <w:rPr>
          <w:rFonts w:ascii="Calibri" w:hAnsi="Calibri" w:cs="Calibri"/>
          <w:sz w:val="22"/>
          <w:szCs w:val="22"/>
        </w:rPr>
        <w:t xml:space="preserve"> </w:t>
      </w:r>
      <w:r w:rsidR="003A4DC6" w:rsidRPr="001005B7">
        <w:rPr>
          <w:rFonts w:ascii="Calibri" w:hAnsi="Calibri" w:cs="Calibri"/>
          <w:sz w:val="22"/>
          <w:szCs w:val="22"/>
        </w:rPr>
        <w:t xml:space="preserve">Origen </w:t>
      </w:r>
      <w:r w:rsidR="00C12374" w:rsidRPr="001005B7">
        <w:rPr>
          <w:rFonts w:ascii="Calibri" w:hAnsi="Calibri" w:cs="Calibri"/>
          <w:sz w:val="22"/>
          <w:szCs w:val="22"/>
        </w:rPr>
        <w:t>(478</w:t>
      </w:r>
      <w:r w:rsidR="00F46900" w:rsidRPr="001005B7">
        <w:rPr>
          <w:rFonts w:ascii="Calibri" w:hAnsi="Calibri" w:cs="Calibri"/>
          <w:sz w:val="22"/>
          <w:szCs w:val="22"/>
        </w:rPr>
        <w:t>–</w:t>
      </w:r>
      <w:r w:rsidR="00C12374" w:rsidRPr="001005B7">
        <w:rPr>
          <w:rFonts w:ascii="Calibri" w:hAnsi="Calibri" w:cs="Calibri"/>
          <w:sz w:val="22"/>
          <w:szCs w:val="22"/>
        </w:rPr>
        <w:t xml:space="preserve">79) </w:t>
      </w:r>
      <w:r w:rsidR="003A4DC6" w:rsidRPr="001005B7">
        <w:rPr>
          <w:rFonts w:ascii="Calibri" w:hAnsi="Calibri" w:cs="Calibri"/>
          <w:sz w:val="22"/>
          <w:szCs w:val="22"/>
        </w:rPr>
        <w:t>thinks of the mountains as standing for th</w:t>
      </w:r>
      <w:r w:rsidR="00C12374" w:rsidRPr="001005B7">
        <w:rPr>
          <w:rFonts w:ascii="Calibri" w:hAnsi="Calibri" w:cs="Calibri"/>
          <w:sz w:val="22"/>
          <w:szCs w:val="22"/>
        </w:rPr>
        <w:t>e</w:t>
      </w:r>
      <w:r w:rsidR="003A4DC6" w:rsidRPr="001005B7">
        <w:rPr>
          <w:rFonts w:ascii="Calibri" w:hAnsi="Calibri" w:cs="Calibri"/>
          <w:sz w:val="22"/>
          <w:szCs w:val="22"/>
        </w:rPr>
        <w:t xml:space="preserve"> country’s </w:t>
      </w:r>
      <w:r w:rsidR="00C12374" w:rsidRPr="001005B7">
        <w:rPr>
          <w:sz w:val="22"/>
          <w:szCs w:val="22"/>
        </w:rPr>
        <w:t xml:space="preserve">leaders. </w:t>
      </w:r>
    </w:p>
    <w:p w14:paraId="7F6EB88A" w14:textId="2AC796E7" w:rsidR="00181B57" w:rsidRPr="001005B7" w:rsidRDefault="00A14A8D" w:rsidP="00181B57">
      <w:pPr>
        <w:pStyle w:val="FootnoteText"/>
        <w:rPr>
          <w:sz w:val="22"/>
          <w:szCs w:val="22"/>
        </w:rPr>
      </w:pPr>
      <w:r w:rsidRPr="001005B7">
        <w:rPr>
          <w:rFonts w:ascii="Calibri" w:hAnsi="Calibri" w:cs="Calibri"/>
          <w:sz w:val="22"/>
          <w:szCs w:val="22"/>
        </w:rPr>
        <w:t>Yahweh is commi</w:t>
      </w:r>
      <w:r w:rsidR="00001DAA" w:rsidRPr="001005B7">
        <w:rPr>
          <w:rFonts w:ascii="Calibri" w:hAnsi="Calibri" w:cs="Calibri"/>
          <w:sz w:val="22"/>
          <w:szCs w:val="22"/>
        </w:rPr>
        <w:t>s</w:t>
      </w:r>
      <w:r w:rsidRPr="001005B7">
        <w:rPr>
          <w:rFonts w:ascii="Calibri" w:hAnsi="Calibri" w:cs="Calibri"/>
          <w:sz w:val="22"/>
          <w:szCs w:val="22"/>
        </w:rPr>
        <w:t xml:space="preserve">sioning </w:t>
      </w:r>
      <w:r w:rsidRPr="001005B7">
        <w:rPr>
          <w:sz w:val="22"/>
          <w:szCs w:val="22"/>
        </w:rPr>
        <w:t>another</w:t>
      </w:r>
      <w:r w:rsidR="00700A29" w:rsidRPr="001005B7">
        <w:rPr>
          <w:sz w:val="22"/>
          <w:szCs w:val="22"/>
        </w:rPr>
        <w:t xml:space="preserve"> sign act</w:t>
      </w:r>
      <w:r w:rsidR="00823FE1" w:rsidRPr="001005B7">
        <w:rPr>
          <w:sz w:val="22"/>
          <w:szCs w:val="22"/>
        </w:rPr>
        <w:t>. I</w:t>
      </w:r>
      <w:r w:rsidR="00001DAA" w:rsidRPr="001005B7">
        <w:rPr>
          <w:sz w:val="22"/>
          <w:szCs w:val="22"/>
        </w:rPr>
        <w:t>n fulfilling the commission (though as usual we are not told that he did so)</w:t>
      </w:r>
      <w:r w:rsidR="003132ED" w:rsidRPr="001005B7">
        <w:rPr>
          <w:sz w:val="22"/>
          <w:szCs w:val="22"/>
        </w:rPr>
        <w:t xml:space="preserve">, </w:t>
      </w:r>
      <w:r w:rsidR="00A37A02" w:rsidRPr="001005B7">
        <w:rPr>
          <w:sz w:val="22"/>
          <w:szCs w:val="22"/>
        </w:rPr>
        <w:t>one might assume that he would</w:t>
      </w:r>
      <w:r w:rsidR="003132ED" w:rsidRPr="001005B7">
        <w:rPr>
          <w:sz w:val="22"/>
          <w:szCs w:val="22"/>
        </w:rPr>
        <w:t xml:space="preserve"> literally direct</w:t>
      </w:r>
      <w:r w:rsidR="009F5493" w:rsidRPr="001005B7">
        <w:rPr>
          <w:sz w:val="22"/>
          <w:szCs w:val="22"/>
        </w:rPr>
        <w:t xml:space="preserve"> his face to</w:t>
      </w:r>
      <w:r w:rsidR="00585F64" w:rsidRPr="001005B7">
        <w:rPr>
          <w:sz w:val="22"/>
          <w:szCs w:val="22"/>
        </w:rPr>
        <w:t>wards</w:t>
      </w:r>
      <w:r w:rsidR="009F5493" w:rsidRPr="001005B7">
        <w:rPr>
          <w:sz w:val="22"/>
          <w:szCs w:val="22"/>
        </w:rPr>
        <w:t xml:space="preserve"> the mountains</w:t>
      </w:r>
      <w:r w:rsidR="00141EA8" w:rsidRPr="001005B7">
        <w:rPr>
          <w:sz w:val="22"/>
          <w:szCs w:val="22"/>
        </w:rPr>
        <w:t xml:space="preserve">, </w:t>
      </w:r>
      <w:r w:rsidR="009F6C54" w:rsidRPr="001005B7">
        <w:rPr>
          <w:sz w:val="22"/>
          <w:szCs w:val="22"/>
        </w:rPr>
        <w:t>though he would not be able to see them. The same would apply</w:t>
      </w:r>
      <w:r w:rsidR="00141EA8" w:rsidRPr="001005B7">
        <w:rPr>
          <w:sz w:val="22"/>
          <w:szCs w:val="22"/>
        </w:rPr>
        <w:t xml:space="preserve"> in connection with other commands to </w:t>
      </w:r>
      <w:r w:rsidR="00766A90" w:rsidRPr="001005B7">
        <w:rPr>
          <w:sz w:val="22"/>
          <w:szCs w:val="22"/>
        </w:rPr>
        <w:t>“</w:t>
      </w:r>
      <w:r w:rsidR="004A5D06" w:rsidRPr="001005B7">
        <w:rPr>
          <w:sz w:val="22"/>
          <w:szCs w:val="22"/>
        </w:rPr>
        <w:t>se</w:t>
      </w:r>
      <w:r w:rsidR="00141EA8" w:rsidRPr="001005B7">
        <w:rPr>
          <w:sz w:val="22"/>
          <w:szCs w:val="22"/>
        </w:rPr>
        <w:t>t</w:t>
      </w:r>
      <w:r w:rsidR="00E95D90" w:rsidRPr="001005B7">
        <w:rPr>
          <w:i/>
          <w:iCs/>
          <w:sz w:val="22"/>
          <w:szCs w:val="22"/>
        </w:rPr>
        <w:t xml:space="preserve"> </w:t>
      </w:r>
      <w:r w:rsidR="00E95D90" w:rsidRPr="001005B7">
        <w:rPr>
          <w:sz w:val="22"/>
          <w:szCs w:val="22"/>
        </w:rPr>
        <w:t>your</w:t>
      </w:r>
      <w:r w:rsidR="00E95D90" w:rsidRPr="001005B7">
        <w:rPr>
          <w:i/>
          <w:iCs/>
          <w:sz w:val="22"/>
          <w:szCs w:val="22"/>
        </w:rPr>
        <w:t xml:space="preserve"> </w:t>
      </w:r>
      <w:r w:rsidR="00E95D90" w:rsidRPr="001005B7">
        <w:rPr>
          <w:sz w:val="22"/>
          <w:szCs w:val="22"/>
        </w:rPr>
        <w:t>face</w:t>
      </w:r>
      <w:r w:rsidR="00766A90" w:rsidRPr="001005B7">
        <w:rPr>
          <w:sz w:val="22"/>
          <w:szCs w:val="22"/>
        </w:rPr>
        <w:t>”</w:t>
      </w:r>
      <w:r w:rsidR="00E95D90" w:rsidRPr="001005B7">
        <w:rPr>
          <w:i/>
          <w:iCs/>
          <w:sz w:val="22"/>
          <w:szCs w:val="22"/>
        </w:rPr>
        <w:t xml:space="preserve"> </w:t>
      </w:r>
      <w:r w:rsidR="00E95D90" w:rsidRPr="001005B7">
        <w:rPr>
          <w:sz w:val="22"/>
          <w:szCs w:val="22"/>
        </w:rPr>
        <w:t>(e.g.</w:t>
      </w:r>
      <w:r w:rsidR="00585F64" w:rsidRPr="001005B7">
        <w:rPr>
          <w:sz w:val="22"/>
          <w:szCs w:val="22"/>
        </w:rPr>
        <w:t>,</w:t>
      </w:r>
      <w:r w:rsidR="003A63C8" w:rsidRPr="001005B7">
        <w:rPr>
          <w:sz w:val="22"/>
          <w:szCs w:val="22"/>
        </w:rPr>
        <w:t xml:space="preserve"> </w:t>
      </w:r>
      <w:r w:rsidR="00CE707B" w:rsidRPr="001005B7">
        <w:rPr>
          <w:sz w:val="22"/>
          <w:szCs w:val="22"/>
        </w:rPr>
        <w:t>13:</w:t>
      </w:r>
      <w:r w:rsidR="00590FC6" w:rsidRPr="001005B7">
        <w:rPr>
          <w:sz w:val="22"/>
          <w:szCs w:val="22"/>
        </w:rPr>
        <w:t xml:space="preserve">17; </w:t>
      </w:r>
      <w:r w:rsidR="003A63C8" w:rsidRPr="001005B7">
        <w:rPr>
          <w:sz w:val="22"/>
          <w:szCs w:val="22"/>
        </w:rPr>
        <w:t>20:46 [21:2]</w:t>
      </w:r>
      <w:r w:rsidR="001D5B03" w:rsidRPr="001005B7">
        <w:rPr>
          <w:sz w:val="22"/>
          <w:szCs w:val="22"/>
        </w:rPr>
        <w:t xml:space="preserve">; 21:2 [7]; </w:t>
      </w:r>
      <w:r w:rsidR="00906D22" w:rsidRPr="001005B7">
        <w:rPr>
          <w:sz w:val="22"/>
          <w:szCs w:val="22"/>
        </w:rPr>
        <w:t>25:2</w:t>
      </w:r>
      <w:r w:rsidR="00E40B54" w:rsidRPr="001005B7">
        <w:rPr>
          <w:sz w:val="22"/>
          <w:szCs w:val="22"/>
        </w:rPr>
        <w:t>; 28:21; 29:2</w:t>
      </w:r>
      <w:r w:rsidR="00ED355C" w:rsidRPr="001005B7">
        <w:rPr>
          <w:sz w:val="22"/>
          <w:szCs w:val="22"/>
        </w:rPr>
        <w:t>; 35:2; 38:2)</w:t>
      </w:r>
      <w:r w:rsidR="00144816">
        <w:rPr>
          <w:sz w:val="22"/>
          <w:szCs w:val="22"/>
        </w:rPr>
        <w:t>, which</w:t>
      </w:r>
      <w:r w:rsidR="00206358" w:rsidRPr="001005B7">
        <w:rPr>
          <w:sz w:val="22"/>
          <w:szCs w:val="22"/>
        </w:rPr>
        <w:t xml:space="preserve"> usually relates to Yahweh’s taking action against other peoples</w:t>
      </w:r>
      <w:r w:rsidR="00037069" w:rsidRPr="001005B7">
        <w:rPr>
          <w:sz w:val="22"/>
          <w:szCs w:val="22"/>
        </w:rPr>
        <w:t>. I</w:t>
      </w:r>
      <w:r w:rsidR="00501BF9" w:rsidRPr="001005B7">
        <w:rPr>
          <w:sz w:val="22"/>
          <w:szCs w:val="22"/>
        </w:rPr>
        <w:t>t characteristically leads into a command to p</w:t>
      </w:r>
      <w:r w:rsidR="001A2ECE" w:rsidRPr="001005B7">
        <w:rPr>
          <w:sz w:val="22"/>
          <w:szCs w:val="22"/>
        </w:rPr>
        <w:t>rophesy against the object in whose direction one looks</w:t>
      </w:r>
      <w:r w:rsidR="00206358" w:rsidRPr="001005B7">
        <w:rPr>
          <w:sz w:val="22"/>
          <w:szCs w:val="22"/>
        </w:rPr>
        <w:t>.</w:t>
      </w:r>
      <w:r w:rsidR="00022E9E" w:rsidRPr="001005B7">
        <w:rPr>
          <w:sz w:val="22"/>
          <w:szCs w:val="22"/>
        </w:rPr>
        <w:t xml:space="preserve"> </w:t>
      </w:r>
      <w:r w:rsidR="00080E1E" w:rsidRPr="001005B7">
        <w:rPr>
          <w:sz w:val="22"/>
          <w:szCs w:val="22"/>
        </w:rPr>
        <w:t>Ezekiel had been appointed a lookout</w:t>
      </w:r>
      <w:r w:rsidR="00815329" w:rsidRPr="001005B7">
        <w:rPr>
          <w:sz w:val="22"/>
          <w:szCs w:val="22"/>
        </w:rPr>
        <w:t xml:space="preserve"> against</w:t>
      </w:r>
      <w:r w:rsidR="0024695E" w:rsidRPr="001005B7">
        <w:rPr>
          <w:sz w:val="22"/>
          <w:szCs w:val="22"/>
        </w:rPr>
        <w:t xml:space="preserve"> invasion, attack and siege</w:t>
      </w:r>
      <w:r w:rsidR="004D53E1" w:rsidRPr="001005B7">
        <w:rPr>
          <w:sz w:val="22"/>
          <w:szCs w:val="22"/>
        </w:rPr>
        <w:t>. H</w:t>
      </w:r>
      <w:r w:rsidR="00E560A9" w:rsidRPr="001005B7">
        <w:rPr>
          <w:sz w:val="22"/>
          <w:szCs w:val="22"/>
        </w:rPr>
        <w:t>ere he is commissioned to set that invasion, attack, and siege going</w:t>
      </w:r>
      <w:r w:rsidR="00181B57" w:rsidRPr="001005B7">
        <w:rPr>
          <w:sz w:val="22"/>
          <w:szCs w:val="22"/>
        </w:rPr>
        <w:t xml:space="preserve"> </w:t>
      </w:r>
      <w:r w:rsidR="00037162" w:rsidRPr="001005B7">
        <w:rPr>
          <w:sz w:val="22"/>
          <w:szCs w:val="22"/>
        </w:rPr>
        <w:t>(</w:t>
      </w:r>
      <w:r w:rsidR="00181B57" w:rsidRPr="001005B7">
        <w:rPr>
          <w:sz w:val="22"/>
          <w:szCs w:val="22"/>
        </w:rPr>
        <w:t>Brownlee, 96</w:t>
      </w:r>
      <w:r w:rsidR="00037162" w:rsidRPr="001005B7">
        <w:rPr>
          <w:sz w:val="22"/>
          <w:szCs w:val="22"/>
        </w:rPr>
        <w:t>)</w:t>
      </w:r>
      <w:r w:rsidR="00181B57" w:rsidRPr="001005B7">
        <w:rPr>
          <w:sz w:val="22"/>
          <w:szCs w:val="22"/>
        </w:rPr>
        <w:t>.</w:t>
      </w:r>
    </w:p>
    <w:p w14:paraId="23FAB4DB" w14:textId="5CF4DDD4" w:rsidR="00C02846" w:rsidRPr="001005B7" w:rsidRDefault="009C2AD9" w:rsidP="000250D9">
      <w:pPr>
        <w:rPr>
          <w:rFonts w:cstheme="minorHAnsi"/>
        </w:rPr>
      </w:pPr>
      <w:r w:rsidRPr="001005B7">
        <w:rPr>
          <w:b/>
          <w:bCs/>
        </w:rPr>
        <w:t>6:</w:t>
      </w:r>
      <w:r w:rsidR="004C0539" w:rsidRPr="001005B7">
        <w:rPr>
          <w:b/>
          <w:bCs/>
        </w:rPr>
        <w:t>3b</w:t>
      </w:r>
      <w:r w:rsidR="009C4454" w:rsidRPr="001005B7">
        <w:rPr>
          <w:rFonts w:cstheme="minorHAnsi"/>
          <w:b/>
          <w:bCs/>
        </w:rPr>
        <w:t>β</w:t>
      </w:r>
      <w:r w:rsidR="00F46900" w:rsidRPr="001005B7">
        <w:rPr>
          <w:b/>
          <w:bCs/>
        </w:rPr>
        <w:t>–</w:t>
      </w:r>
      <w:r w:rsidR="00832F6A" w:rsidRPr="001005B7">
        <w:rPr>
          <w:b/>
          <w:bCs/>
        </w:rPr>
        <w:t>4</w:t>
      </w:r>
      <w:r w:rsidR="004C0539" w:rsidRPr="001005B7">
        <w:rPr>
          <w:b/>
          <w:bCs/>
        </w:rPr>
        <w:t xml:space="preserve"> </w:t>
      </w:r>
      <w:r w:rsidR="00C22CF7" w:rsidRPr="001005B7">
        <w:t>Yahweh</w:t>
      </w:r>
      <w:r w:rsidR="000351BD" w:rsidRPr="001005B7">
        <w:t xml:space="preserve"> is </w:t>
      </w:r>
      <w:r w:rsidR="008661C9" w:rsidRPr="001005B7">
        <w:t xml:space="preserve">not actually </w:t>
      </w:r>
      <w:r w:rsidR="000351BD" w:rsidRPr="001005B7">
        <w:t xml:space="preserve">taking aim at </w:t>
      </w:r>
      <w:r w:rsidR="0041307B" w:rsidRPr="001005B7">
        <w:t>Israel’s</w:t>
      </w:r>
      <w:r w:rsidR="000351BD" w:rsidRPr="001005B7">
        <w:t xml:space="preserve"> natural </w:t>
      </w:r>
      <w:r w:rsidR="008661C9" w:rsidRPr="001005B7">
        <w:t>topography</w:t>
      </w:r>
      <w:r w:rsidR="00E424F9" w:rsidRPr="001005B7">
        <w:t xml:space="preserve"> but at the religious topography and its creators. </w:t>
      </w:r>
      <w:r w:rsidR="005A691B" w:rsidRPr="001005B7">
        <w:t>The highlan</w:t>
      </w:r>
      <w:r w:rsidR="00527576" w:rsidRPr="001005B7">
        <w:t>d</w:t>
      </w:r>
      <w:r w:rsidR="00CF5663" w:rsidRPr="001005B7">
        <w:t xml:space="preserve"> has many </w:t>
      </w:r>
      <w:r w:rsidR="00766A90" w:rsidRPr="001005B7">
        <w:t>“</w:t>
      </w:r>
      <w:r w:rsidR="00CF5663" w:rsidRPr="001005B7">
        <w:t>shrines</w:t>
      </w:r>
      <w:r w:rsidR="00766A90" w:rsidRPr="001005B7">
        <w:t>”</w:t>
      </w:r>
      <w:r w:rsidR="00CF5663" w:rsidRPr="001005B7">
        <w:t xml:space="preserve"> (</w:t>
      </w:r>
      <w:r w:rsidR="005759C3" w:rsidRPr="001005B7">
        <w:rPr>
          <w:rFonts w:cstheme="minorHAnsi"/>
          <w:rtl/>
          <w:lang w:bidi="he-IL"/>
        </w:rPr>
        <w:t>בָ</w:t>
      </w:r>
      <w:r w:rsidR="00717D9B" w:rsidRPr="001005B7">
        <w:rPr>
          <w:rFonts w:cstheme="minorHAnsi"/>
          <w:rtl/>
          <w:lang w:bidi="he-IL"/>
        </w:rPr>
        <w:t>ּ</w:t>
      </w:r>
      <w:r w:rsidR="005759C3" w:rsidRPr="001005B7">
        <w:rPr>
          <w:rFonts w:cstheme="minorHAnsi"/>
          <w:rtl/>
          <w:lang w:bidi="he-IL"/>
        </w:rPr>
        <w:t>מוׄת</w:t>
      </w:r>
      <w:r w:rsidR="00527576" w:rsidRPr="001005B7">
        <w:rPr>
          <w:rFonts w:cstheme="minorHAnsi"/>
        </w:rPr>
        <w:t>). They are</w:t>
      </w:r>
      <w:r w:rsidR="00984721" w:rsidRPr="001005B7">
        <w:rPr>
          <w:rFonts w:cstheme="minorHAnsi"/>
        </w:rPr>
        <w:t xml:space="preserve"> traditionally </w:t>
      </w:r>
      <w:r w:rsidR="00527576" w:rsidRPr="001005B7">
        <w:rPr>
          <w:rFonts w:cstheme="minorHAnsi"/>
        </w:rPr>
        <w:t xml:space="preserve">termed </w:t>
      </w:r>
      <w:r w:rsidR="00984721" w:rsidRPr="001005B7">
        <w:rPr>
          <w:rFonts w:cstheme="minorHAnsi"/>
        </w:rPr>
        <w:t>“high places</w:t>
      </w:r>
      <w:r w:rsidR="00527576" w:rsidRPr="001005B7">
        <w:rPr>
          <w:rFonts w:cstheme="minorHAnsi"/>
        </w:rPr>
        <w:t>,</w:t>
      </w:r>
      <w:r w:rsidR="00984721" w:rsidRPr="001005B7">
        <w:rPr>
          <w:rFonts w:cstheme="minorHAnsi"/>
        </w:rPr>
        <w:t>”</w:t>
      </w:r>
      <w:r w:rsidR="00527576" w:rsidRPr="001005B7">
        <w:rPr>
          <w:rFonts w:cstheme="minorHAnsi"/>
        </w:rPr>
        <w:t xml:space="preserve"> and many were </w:t>
      </w:r>
      <w:r w:rsidR="00003D4E" w:rsidRPr="001005B7">
        <w:rPr>
          <w:rFonts w:cstheme="minorHAnsi"/>
        </w:rPr>
        <w:t>in elevated positions like churches in English villages</w:t>
      </w:r>
      <w:r w:rsidR="00D47549" w:rsidRPr="001005B7">
        <w:rPr>
          <w:rFonts w:cstheme="minorHAnsi"/>
        </w:rPr>
        <w:t>. T</w:t>
      </w:r>
      <w:r w:rsidR="001F5CEC" w:rsidRPr="001005B7">
        <w:rPr>
          <w:rFonts w:cstheme="minorHAnsi"/>
        </w:rPr>
        <w:t>his might be another resona</w:t>
      </w:r>
      <w:r w:rsidR="00D47549" w:rsidRPr="001005B7">
        <w:rPr>
          <w:rFonts w:cstheme="minorHAnsi"/>
        </w:rPr>
        <w:t>n</w:t>
      </w:r>
      <w:r w:rsidR="001F5CEC" w:rsidRPr="001005B7">
        <w:rPr>
          <w:rFonts w:cstheme="minorHAnsi"/>
        </w:rPr>
        <w:t xml:space="preserve">ce of the expression </w:t>
      </w:r>
      <w:r w:rsidR="00AD44DC" w:rsidRPr="001005B7">
        <w:rPr>
          <w:rFonts w:cstheme="minorHAnsi"/>
        </w:rPr>
        <w:t>“</w:t>
      </w:r>
      <w:r w:rsidR="001F5CEC" w:rsidRPr="001005B7">
        <w:rPr>
          <w:rFonts w:cstheme="minorHAnsi"/>
        </w:rPr>
        <w:t>mountains</w:t>
      </w:r>
      <w:r w:rsidR="001F5CEC" w:rsidRPr="001005B7">
        <w:rPr>
          <w:rFonts w:cstheme="minorHAnsi"/>
          <w:i/>
          <w:iCs/>
        </w:rPr>
        <w:t xml:space="preserve"> </w:t>
      </w:r>
      <w:r w:rsidR="001F5CEC" w:rsidRPr="001005B7">
        <w:rPr>
          <w:rFonts w:cstheme="minorHAnsi"/>
        </w:rPr>
        <w:t>of</w:t>
      </w:r>
      <w:r w:rsidR="001F5CEC" w:rsidRPr="001005B7">
        <w:rPr>
          <w:rFonts w:cstheme="minorHAnsi"/>
          <w:i/>
          <w:iCs/>
        </w:rPr>
        <w:t xml:space="preserve"> </w:t>
      </w:r>
      <w:r w:rsidR="001F5CEC" w:rsidRPr="001005B7">
        <w:rPr>
          <w:rFonts w:cstheme="minorHAnsi"/>
        </w:rPr>
        <w:t>Israel,</w:t>
      </w:r>
      <w:r w:rsidR="00AD44DC" w:rsidRPr="001005B7">
        <w:rPr>
          <w:rFonts w:cstheme="minorHAnsi"/>
        </w:rPr>
        <w:t>”</w:t>
      </w:r>
      <w:r w:rsidR="001F5CEC" w:rsidRPr="001005B7">
        <w:rPr>
          <w:rFonts w:cstheme="minorHAnsi"/>
          <w:i/>
          <w:iCs/>
        </w:rPr>
        <w:t xml:space="preserve"> </w:t>
      </w:r>
      <w:r w:rsidR="00003D4E" w:rsidRPr="001005B7">
        <w:rPr>
          <w:rFonts w:cstheme="minorHAnsi"/>
        </w:rPr>
        <w:t xml:space="preserve">though </w:t>
      </w:r>
      <w:r w:rsidR="000B7E95" w:rsidRPr="001005B7">
        <w:rPr>
          <w:rFonts w:cstheme="minorHAnsi"/>
        </w:rPr>
        <w:t>insofar as the</w:t>
      </w:r>
      <w:r w:rsidR="00282B55" w:rsidRPr="001005B7">
        <w:rPr>
          <w:rFonts w:cstheme="minorHAnsi"/>
        </w:rPr>
        <w:t xml:space="preserve"> shrines</w:t>
      </w:r>
      <w:r w:rsidR="000B7E95" w:rsidRPr="001005B7">
        <w:rPr>
          <w:rFonts w:cstheme="minorHAnsi"/>
        </w:rPr>
        <w:t xml:space="preserve"> </w:t>
      </w:r>
      <w:r w:rsidR="00210E70" w:rsidRPr="001005B7">
        <w:rPr>
          <w:rFonts w:cstheme="minorHAnsi"/>
        </w:rPr>
        <w:t xml:space="preserve">actually </w:t>
      </w:r>
      <w:r w:rsidR="000B7E95" w:rsidRPr="001005B7">
        <w:rPr>
          <w:rFonts w:cstheme="minorHAnsi"/>
        </w:rPr>
        <w:t>were high places they might simply have been</w:t>
      </w:r>
      <w:r w:rsidR="00CA1513" w:rsidRPr="001005B7">
        <w:rPr>
          <w:rFonts w:cstheme="minorHAnsi"/>
        </w:rPr>
        <w:t xml:space="preserve"> platforms</w:t>
      </w:r>
      <w:r w:rsidR="000B7E95" w:rsidRPr="001005B7">
        <w:rPr>
          <w:rFonts w:cstheme="minorHAnsi"/>
        </w:rPr>
        <w:t xml:space="preserve">. </w:t>
      </w:r>
      <w:r w:rsidR="00460A23" w:rsidRPr="001005B7">
        <w:rPr>
          <w:rFonts w:cstheme="minorHAnsi"/>
        </w:rPr>
        <w:t>Given that t</w:t>
      </w:r>
      <w:r w:rsidR="00956330" w:rsidRPr="001005B7">
        <w:rPr>
          <w:rFonts w:cstheme="minorHAnsi"/>
        </w:rPr>
        <w:t xml:space="preserve">hey </w:t>
      </w:r>
      <w:r w:rsidR="005C3A13" w:rsidRPr="001005B7">
        <w:rPr>
          <w:rFonts w:cstheme="minorHAnsi"/>
        </w:rPr>
        <w:t xml:space="preserve">needed to be accessible to people, they </w:t>
      </w:r>
      <w:r w:rsidR="00DB19E3" w:rsidRPr="001005B7">
        <w:rPr>
          <w:rFonts w:cstheme="minorHAnsi"/>
        </w:rPr>
        <w:t>we</w:t>
      </w:r>
      <w:r w:rsidR="00956330" w:rsidRPr="001005B7">
        <w:rPr>
          <w:rFonts w:cstheme="minorHAnsi"/>
        </w:rPr>
        <w:t xml:space="preserve">re spread </w:t>
      </w:r>
      <w:r w:rsidR="00282B55" w:rsidRPr="001005B7">
        <w:rPr>
          <w:rFonts w:cstheme="minorHAnsi"/>
        </w:rPr>
        <w:t>through</w:t>
      </w:r>
      <w:r w:rsidR="00295E31" w:rsidRPr="001005B7">
        <w:rPr>
          <w:rFonts w:cstheme="minorHAnsi"/>
        </w:rPr>
        <w:t xml:space="preserve">out the country’s </w:t>
      </w:r>
      <w:r w:rsidR="00956330" w:rsidRPr="001005B7">
        <w:rPr>
          <w:rFonts w:cstheme="minorHAnsi"/>
        </w:rPr>
        <w:t>settlements</w:t>
      </w:r>
      <w:r w:rsidR="00DC7A9C" w:rsidRPr="001005B7">
        <w:rPr>
          <w:rFonts w:cstheme="minorHAnsi"/>
        </w:rPr>
        <w:t>.</w:t>
      </w:r>
      <w:r w:rsidR="00F27C26" w:rsidRPr="001005B7">
        <w:rPr>
          <w:rFonts w:cstheme="minorHAnsi"/>
        </w:rPr>
        <w:t xml:space="preserve"> </w:t>
      </w:r>
      <w:r w:rsidR="00214D4D" w:rsidRPr="001005B7">
        <w:rPr>
          <w:rFonts w:cstheme="minorHAnsi"/>
        </w:rPr>
        <w:t>Integral to the</w:t>
      </w:r>
      <w:r w:rsidR="00460A23" w:rsidRPr="001005B7">
        <w:rPr>
          <w:rFonts w:cstheme="minorHAnsi"/>
        </w:rPr>
        <w:t>m</w:t>
      </w:r>
      <w:r w:rsidR="00214D4D" w:rsidRPr="001005B7">
        <w:rPr>
          <w:rFonts w:cstheme="minorHAnsi"/>
        </w:rPr>
        <w:t xml:space="preserve"> are the altars</w:t>
      </w:r>
      <w:r w:rsidR="00E5089A" w:rsidRPr="001005B7">
        <w:rPr>
          <w:rFonts w:cstheme="minorHAnsi"/>
          <w:i/>
          <w:iCs/>
        </w:rPr>
        <w:t xml:space="preserve"> </w:t>
      </w:r>
      <w:r w:rsidR="00E5089A" w:rsidRPr="001005B7">
        <w:rPr>
          <w:rFonts w:cstheme="minorHAnsi"/>
        </w:rPr>
        <w:t>on which sacrificial offerings would be made</w:t>
      </w:r>
      <w:r w:rsidR="002F6A50" w:rsidRPr="001005B7">
        <w:rPr>
          <w:rFonts w:cstheme="minorHAnsi"/>
        </w:rPr>
        <w:t>. T</w:t>
      </w:r>
      <w:r w:rsidR="00C84007" w:rsidRPr="001005B7">
        <w:rPr>
          <w:rFonts w:cstheme="minorHAnsi"/>
        </w:rPr>
        <w:t xml:space="preserve">he </w:t>
      </w:r>
      <w:r w:rsidR="00E43308" w:rsidRPr="001005B7">
        <w:rPr>
          <w:rFonts w:cstheme="minorHAnsi"/>
        </w:rPr>
        <w:t>burners</w:t>
      </w:r>
      <w:r w:rsidR="006D22F5" w:rsidRPr="001005B7">
        <w:rPr>
          <w:rFonts w:cstheme="minorHAnsi"/>
        </w:rPr>
        <w:t xml:space="preserve"> </w:t>
      </w:r>
      <w:r w:rsidR="00EC60DE" w:rsidRPr="001005B7">
        <w:rPr>
          <w:rFonts w:cstheme="minorHAnsi"/>
        </w:rPr>
        <w:t>(</w:t>
      </w:r>
      <w:r w:rsidR="00FD0F92" w:rsidRPr="001005B7">
        <w:rPr>
          <w:rFonts w:cstheme="minorHAnsi"/>
          <w:rtl/>
          <w:lang w:bidi="he-IL"/>
        </w:rPr>
        <w:t>חַ</w:t>
      </w:r>
      <w:r w:rsidR="00A66822" w:rsidRPr="001005B7">
        <w:rPr>
          <w:rFonts w:cstheme="minorHAnsi"/>
          <w:rtl/>
          <w:lang w:bidi="he-IL"/>
        </w:rPr>
        <w:t>מָּנִים</w:t>
      </w:r>
      <w:r w:rsidR="00755491" w:rsidRPr="001005B7">
        <w:rPr>
          <w:rFonts w:cstheme="minorHAnsi"/>
        </w:rPr>
        <w:t>;</w:t>
      </w:r>
      <w:r w:rsidR="00F8736B" w:rsidRPr="001005B7">
        <w:rPr>
          <w:rFonts w:cstheme="minorHAnsi"/>
        </w:rPr>
        <w:t xml:space="preserve"> </w:t>
      </w:r>
      <w:r w:rsidR="00EC60DE" w:rsidRPr="001005B7">
        <w:rPr>
          <w:rFonts w:cstheme="minorHAnsi"/>
        </w:rPr>
        <w:t>Lev 2</w:t>
      </w:r>
      <w:r w:rsidR="00437D78" w:rsidRPr="001005B7">
        <w:rPr>
          <w:rFonts w:cstheme="minorHAnsi"/>
        </w:rPr>
        <w:t>6:30; 2</w:t>
      </w:r>
      <w:r w:rsidR="006062F1" w:rsidRPr="001005B7">
        <w:rPr>
          <w:rFonts w:cstheme="minorHAnsi"/>
        </w:rPr>
        <w:t> </w:t>
      </w:r>
      <w:r w:rsidR="00437D78" w:rsidRPr="001005B7">
        <w:rPr>
          <w:rFonts w:cstheme="minorHAnsi"/>
        </w:rPr>
        <w:t xml:space="preserve">Chr 14:5 [4]; 34:4; </w:t>
      </w:r>
      <w:r w:rsidR="00AD742D" w:rsidRPr="001005B7">
        <w:rPr>
          <w:rFonts w:cstheme="minorHAnsi"/>
        </w:rPr>
        <w:t xml:space="preserve">Isa </w:t>
      </w:r>
      <w:r w:rsidR="00437D78" w:rsidRPr="001005B7">
        <w:rPr>
          <w:rFonts w:cstheme="minorHAnsi"/>
        </w:rPr>
        <w:t>17:8; 27:9</w:t>
      </w:r>
      <w:r w:rsidR="00AD742D" w:rsidRPr="001005B7">
        <w:rPr>
          <w:rFonts w:cstheme="minorHAnsi"/>
        </w:rPr>
        <w:t>)</w:t>
      </w:r>
      <w:r w:rsidR="00437D78" w:rsidRPr="001005B7">
        <w:rPr>
          <w:rFonts w:cstheme="minorHAnsi"/>
        </w:rPr>
        <w:t xml:space="preserve"> </w:t>
      </w:r>
      <w:r w:rsidR="00041294" w:rsidRPr="001005B7">
        <w:rPr>
          <w:rFonts w:cstheme="minorHAnsi"/>
        </w:rPr>
        <w:t>m</w:t>
      </w:r>
      <w:r w:rsidR="00AD742D" w:rsidRPr="001005B7">
        <w:rPr>
          <w:rFonts w:cstheme="minorHAnsi"/>
        </w:rPr>
        <w:t>ight</w:t>
      </w:r>
      <w:r w:rsidR="00E43308" w:rsidRPr="001005B7">
        <w:rPr>
          <w:rFonts w:cstheme="minorHAnsi"/>
        </w:rPr>
        <w:t xml:space="preserve"> </w:t>
      </w:r>
      <w:r w:rsidR="00C505E9" w:rsidRPr="001005B7">
        <w:rPr>
          <w:rFonts w:cstheme="minorHAnsi"/>
        </w:rPr>
        <w:t>then</w:t>
      </w:r>
      <w:r w:rsidR="00E43308" w:rsidRPr="001005B7">
        <w:rPr>
          <w:rFonts w:cstheme="minorHAnsi"/>
        </w:rPr>
        <w:t xml:space="preserve"> </w:t>
      </w:r>
      <w:r w:rsidR="00041294" w:rsidRPr="001005B7">
        <w:rPr>
          <w:rFonts w:cstheme="minorHAnsi"/>
        </w:rPr>
        <w:t xml:space="preserve">be </w:t>
      </w:r>
      <w:r w:rsidR="006D22F5" w:rsidRPr="001005B7">
        <w:rPr>
          <w:rFonts w:cstheme="minorHAnsi"/>
        </w:rPr>
        <w:t xml:space="preserve">stands on which incense could be </w:t>
      </w:r>
      <w:r w:rsidR="00966A50" w:rsidRPr="001005B7">
        <w:rPr>
          <w:rFonts w:cstheme="minorHAnsi"/>
        </w:rPr>
        <w:t>set</w:t>
      </w:r>
      <w:r w:rsidR="00C505E9" w:rsidRPr="001005B7">
        <w:rPr>
          <w:rFonts w:cstheme="minorHAnsi"/>
        </w:rPr>
        <w:t xml:space="preserve"> and which </w:t>
      </w:r>
      <w:r w:rsidR="00D67D49" w:rsidRPr="001005B7">
        <w:rPr>
          <w:rFonts w:cstheme="minorHAnsi"/>
        </w:rPr>
        <w:t xml:space="preserve">themselves stand </w:t>
      </w:r>
      <w:r w:rsidR="00EC60DE" w:rsidRPr="001005B7">
        <w:rPr>
          <w:rFonts w:cstheme="minorHAnsi"/>
        </w:rPr>
        <w:t>in</w:t>
      </w:r>
      <w:r w:rsidR="00D67D49" w:rsidRPr="001005B7">
        <w:rPr>
          <w:rFonts w:cstheme="minorHAnsi"/>
        </w:rPr>
        <w:t xml:space="preserve"> the s</w:t>
      </w:r>
      <w:r w:rsidR="007E5E27" w:rsidRPr="001005B7">
        <w:rPr>
          <w:rFonts w:cstheme="minorHAnsi"/>
        </w:rPr>
        <w:t>hrine</w:t>
      </w:r>
      <w:r w:rsidR="00964188">
        <w:rPr>
          <w:rFonts w:cstheme="minorHAnsi"/>
        </w:rPr>
        <w:t>s</w:t>
      </w:r>
      <w:r w:rsidR="007E5E27" w:rsidRPr="001005B7">
        <w:rPr>
          <w:rFonts w:cstheme="minorHAnsi"/>
        </w:rPr>
        <w:t>.</w:t>
      </w:r>
      <w:r w:rsidR="00966A50" w:rsidRPr="001005B7">
        <w:rPr>
          <w:rFonts w:cstheme="minorHAnsi"/>
        </w:rPr>
        <w:t xml:space="preserve"> </w:t>
      </w:r>
      <w:r w:rsidR="00DD744E" w:rsidRPr="001005B7">
        <w:rPr>
          <w:rFonts w:cstheme="minorHAnsi"/>
        </w:rPr>
        <w:t>W</w:t>
      </w:r>
      <w:r w:rsidR="00966A50" w:rsidRPr="001005B7">
        <w:rPr>
          <w:rFonts w:cstheme="minorHAnsi"/>
        </w:rPr>
        <w:t xml:space="preserve">hy does Yahweh intend to destroy shrines, altars, and </w:t>
      </w:r>
      <w:r w:rsidR="005A0FA2" w:rsidRPr="001005B7">
        <w:rPr>
          <w:rFonts w:cstheme="minorHAnsi"/>
        </w:rPr>
        <w:t xml:space="preserve">burners? </w:t>
      </w:r>
      <w:r w:rsidR="00AF1D1F" w:rsidRPr="001005B7">
        <w:rPr>
          <w:rFonts w:cstheme="minorHAnsi"/>
        </w:rPr>
        <w:t xml:space="preserve">The clue comes in the following reference to </w:t>
      </w:r>
      <w:r w:rsidR="00100AAA" w:rsidRPr="001005B7">
        <w:rPr>
          <w:rFonts w:cstheme="minorHAnsi"/>
        </w:rPr>
        <w:t>“</w:t>
      </w:r>
      <w:r w:rsidR="00AF1D1F" w:rsidRPr="001005B7">
        <w:rPr>
          <w:rFonts w:cstheme="minorHAnsi"/>
        </w:rPr>
        <w:t>l</w:t>
      </w:r>
      <w:r w:rsidR="00184A3F" w:rsidRPr="001005B7">
        <w:rPr>
          <w:rFonts w:cstheme="minorHAnsi"/>
        </w:rPr>
        <w:t>umps</w:t>
      </w:r>
      <w:r w:rsidR="00100AAA" w:rsidRPr="001005B7">
        <w:rPr>
          <w:rFonts w:cstheme="minorHAnsi"/>
        </w:rPr>
        <w:t>”</w:t>
      </w:r>
      <w:r w:rsidR="006B74D7" w:rsidRPr="001005B7">
        <w:rPr>
          <w:rFonts w:cstheme="minorHAnsi"/>
          <w:i/>
          <w:iCs/>
        </w:rPr>
        <w:t xml:space="preserve"> </w:t>
      </w:r>
      <w:r w:rsidR="006B74D7" w:rsidRPr="001005B7">
        <w:rPr>
          <w:rFonts w:cstheme="minorHAnsi"/>
        </w:rPr>
        <w:t>(</w:t>
      </w:r>
      <w:r w:rsidR="00402BDC" w:rsidRPr="001005B7">
        <w:rPr>
          <w:rFonts w:cstheme="minorHAnsi"/>
          <w:rtl/>
          <w:lang w:bidi="he-IL"/>
        </w:rPr>
        <w:t>ג</w:t>
      </w:r>
      <w:r w:rsidR="00BD301B" w:rsidRPr="001005B7">
        <w:rPr>
          <w:rFonts w:cstheme="minorHAnsi"/>
          <w:rtl/>
          <w:lang w:bidi="he-IL"/>
        </w:rPr>
        <w:t>ּ</w:t>
      </w:r>
      <w:r w:rsidR="00402BDC" w:rsidRPr="001005B7">
        <w:rPr>
          <w:rFonts w:cstheme="minorHAnsi"/>
          <w:rtl/>
          <w:lang w:bidi="he-IL"/>
        </w:rPr>
        <w:t>ִלּו</w:t>
      </w:r>
      <w:r w:rsidR="00387E8C" w:rsidRPr="001005B7">
        <w:rPr>
          <w:rFonts w:cstheme="minorHAnsi"/>
          <w:rtl/>
          <w:lang w:bidi="he-IL"/>
        </w:rPr>
        <w:t>ּלִים</w:t>
      </w:r>
      <w:r w:rsidR="00387E8C" w:rsidRPr="001005B7">
        <w:rPr>
          <w:rFonts w:cstheme="minorHAnsi"/>
        </w:rPr>
        <w:t>,</w:t>
      </w:r>
      <w:r w:rsidR="00D92A22" w:rsidRPr="001005B7">
        <w:rPr>
          <w:rFonts w:cstheme="minorHAnsi"/>
        </w:rPr>
        <w:t xml:space="preserve"> traditionally “idols</w:t>
      </w:r>
      <w:r w:rsidR="005021D2" w:rsidRPr="001005B7">
        <w:rPr>
          <w:rFonts w:cstheme="minorHAnsi"/>
        </w:rPr>
        <w:t>”</w:t>
      </w:r>
      <w:r w:rsidR="001C73BF">
        <w:rPr>
          <w:rFonts w:cstheme="minorHAnsi"/>
        </w:rPr>
        <w:t>; see the section on “Who God Is” in the introduction to this commentary</w:t>
      </w:r>
      <w:r w:rsidR="00D92A22" w:rsidRPr="001005B7">
        <w:rPr>
          <w:rFonts w:cstheme="minorHAnsi"/>
        </w:rPr>
        <w:t>)</w:t>
      </w:r>
      <w:r w:rsidR="005021D2" w:rsidRPr="001005B7">
        <w:rPr>
          <w:rFonts w:cstheme="minorHAnsi"/>
        </w:rPr>
        <w:t>. They are</w:t>
      </w:r>
      <w:r w:rsidR="0057730A" w:rsidRPr="001005B7">
        <w:rPr>
          <w:rFonts w:cstheme="minorHAnsi"/>
        </w:rPr>
        <w:t xml:space="preserve"> </w:t>
      </w:r>
      <w:r w:rsidR="006F765D" w:rsidRPr="001005B7">
        <w:rPr>
          <w:rFonts w:cstheme="minorHAnsi"/>
        </w:rPr>
        <w:t xml:space="preserve">aids to worship that symbolize </w:t>
      </w:r>
      <w:r w:rsidR="00455CEC" w:rsidRPr="001005B7">
        <w:rPr>
          <w:rFonts w:cstheme="minorHAnsi"/>
        </w:rPr>
        <w:t>a deity’s</w:t>
      </w:r>
      <w:r w:rsidR="006F765D" w:rsidRPr="001005B7">
        <w:rPr>
          <w:rFonts w:cstheme="minorHAnsi"/>
        </w:rPr>
        <w:t xml:space="preserve"> presence </w:t>
      </w:r>
      <w:r w:rsidR="00C95E0D" w:rsidRPr="001005B7">
        <w:rPr>
          <w:rFonts w:cstheme="minorHAnsi"/>
        </w:rPr>
        <w:t>for people</w:t>
      </w:r>
      <w:r w:rsidR="003E5E97" w:rsidRPr="001005B7">
        <w:rPr>
          <w:rFonts w:cstheme="minorHAnsi"/>
        </w:rPr>
        <w:t xml:space="preserve">, but </w:t>
      </w:r>
      <w:r w:rsidR="00E973A6" w:rsidRPr="001005B7">
        <w:rPr>
          <w:rFonts w:cstheme="minorHAnsi"/>
        </w:rPr>
        <w:t xml:space="preserve">they are </w:t>
      </w:r>
      <w:r w:rsidR="003E5E97" w:rsidRPr="001005B7">
        <w:rPr>
          <w:rFonts w:cstheme="minorHAnsi"/>
        </w:rPr>
        <w:t>not one</w:t>
      </w:r>
      <w:r w:rsidR="00E973A6" w:rsidRPr="001005B7">
        <w:rPr>
          <w:rFonts w:cstheme="minorHAnsi"/>
        </w:rPr>
        <w:t>s</w:t>
      </w:r>
      <w:r w:rsidR="003E5E97" w:rsidRPr="001005B7">
        <w:rPr>
          <w:rFonts w:cstheme="minorHAnsi"/>
        </w:rPr>
        <w:t xml:space="preserve"> that can be used with </w:t>
      </w:r>
      <w:r w:rsidR="004D0517" w:rsidRPr="001005B7">
        <w:rPr>
          <w:rFonts w:cstheme="minorHAnsi"/>
        </w:rPr>
        <w:t xml:space="preserve">Yahweh’s </w:t>
      </w:r>
      <w:r w:rsidR="003E5E97" w:rsidRPr="001005B7">
        <w:rPr>
          <w:rFonts w:cstheme="minorHAnsi"/>
        </w:rPr>
        <w:t>approval</w:t>
      </w:r>
      <w:r w:rsidR="00C95E0D" w:rsidRPr="001005B7">
        <w:rPr>
          <w:rFonts w:cstheme="minorHAnsi"/>
        </w:rPr>
        <w:t xml:space="preserve">. </w:t>
      </w:r>
      <w:r w:rsidR="005627CA">
        <w:rPr>
          <w:rFonts w:cstheme="minorHAnsi"/>
        </w:rPr>
        <w:t xml:space="preserve">Ezekiel shares the word </w:t>
      </w:r>
      <w:r w:rsidR="001C73BF">
        <w:rPr>
          <w:rFonts w:cstheme="minorHAnsi"/>
        </w:rPr>
        <w:t>“</w:t>
      </w:r>
      <w:r w:rsidR="005627CA">
        <w:rPr>
          <w:rFonts w:cstheme="minorHAnsi"/>
        </w:rPr>
        <w:t>l</w:t>
      </w:r>
      <w:r w:rsidR="001C73BF">
        <w:rPr>
          <w:rFonts w:cstheme="minorHAnsi"/>
        </w:rPr>
        <w:t>umps”</w:t>
      </w:r>
      <w:r w:rsidR="00711E33">
        <w:rPr>
          <w:rFonts w:cstheme="minorHAnsi"/>
        </w:rPr>
        <w:t xml:space="preserve"> with Lev 26:30</w:t>
      </w:r>
      <w:r w:rsidR="008A1AAE">
        <w:rPr>
          <w:rFonts w:cstheme="minorHAnsi"/>
        </w:rPr>
        <w:t>, but he</w:t>
      </w:r>
      <w:r w:rsidR="00CC1E10" w:rsidRPr="001005B7">
        <w:rPr>
          <w:rFonts w:cstheme="minorHAnsi"/>
        </w:rPr>
        <w:t xml:space="preserve"> </w:t>
      </w:r>
      <w:r w:rsidR="00861F15" w:rsidRPr="001005B7">
        <w:rPr>
          <w:rFonts w:cstheme="minorHAnsi"/>
        </w:rPr>
        <w:t>use</w:t>
      </w:r>
      <w:r w:rsidR="00CD666D" w:rsidRPr="001005B7">
        <w:rPr>
          <w:rFonts w:cstheme="minorHAnsi"/>
        </w:rPr>
        <w:t xml:space="preserve">s </w:t>
      </w:r>
      <w:r w:rsidR="00B12271" w:rsidRPr="001005B7">
        <w:rPr>
          <w:rFonts w:cstheme="minorHAnsi"/>
        </w:rPr>
        <w:t>thirty-nine times</w:t>
      </w:r>
      <w:r w:rsidR="00861F15" w:rsidRPr="001005B7">
        <w:rPr>
          <w:rFonts w:cstheme="minorHAnsi"/>
        </w:rPr>
        <w:t xml:space="preserve">. </w:t>
      </w:r>
      <w:r w:rsidR="000B492F">
        <w:rPr>
          <w:rFonts w:cstheme="minorHAnsi"/>
        </w:rPr>
        <w:t>While e</w:t>
      </w:r>
      <w:r w:rsidR="00861F15" w:rsidRPr="001005B7">
        <w:rPr>
          <w:rFonts w:cstheme="minorHAnsi"/>
        </w:rPr>
        <w:t xml:space="preserve">tymologically it </w:t>
      </w:r>
      <w:r w:rsidR="00FC6350" w:rsidRPr="001005B7">
        <w:rPr>
          <w:rFonts w:cstheme="minorHAnsi"/>
        </w:rPr>
        <w:t>may suggest lumps</w:t>
      </w:r>
      <w:r w:rsidR="00CC1E10" w:rsidRPr="001005B7">
        <w:rPr>
          <w:rFonts w:cstheme="minorHAnsi"/>
        </w:rPr>
        <w:t xml:space="preserve"> </w:t>
      </w:r>
      <w:r w:rsidR="00131934" w:rsidRPr="001005B7">
        <w:rPr>
          <w:rFonts w:cstheme="minorHAnsi"/>
        </w:rPr>
        <w:t>(</w:t>
      </w:r>
      <w:r w:rsidR="00ED25A6" w:rsidRPr="001005B7">
        <w:rPr>
          <w:rFonts w:cstheme="minorHAnsi"/>
        </w:rPr>
        <w:t>of wood</w:t>
      </w:r>
      <w:r w:rsidR="00131934" w:rsidRPr="001005B7">
        <w:rPr>
          <w:rFonts w:cstheme="minorHAnsi"/>
        </w:rPr>
        <w:t xml:space="preserve">, or </w:t>
      </w:r>
      <w:r w:rsidR="0045075F">
        <w:rPr>
          <w:rFonts w:cstheme="minorHAnsi"/>
        </w:rPr>
        <w:t>rock</w:t>
      </w:r>
      <w:r w:rsidR="00131934" w:rsidRPr="001005B7">
        <w:rPr>
          <w:rFonts w:cstheme="minorHAnsi"/>
        </w:rPr>
        <w:t>, or feces?)</w:t>
      </w:r>
      <w:r w:rsidR="00CA3CD1" w:rsidRPr="001005B7">
        <w:rPr>
          <w:rFonts w:cstheme="minorHAnsi"/>
        </w:rPr>
        <w:t>,</w:t>
      </w:r>
      <w:r w:rsidR="00656351" w:rsidRPr="001005B7">
        <w:rPr>
          <w:rFonts w:cstheme="minorHAnsi"/>
        </w:rPr>
        <w:t xml:space="preserve"> its</w:t>
      </w:r>
      <w:r w:rsidR="00040F0F" w:rsidRPr="001005B7">
        <w:rPr>
          <w:rFonts w:cstheme="minorHAnsi"/>
        </w:rPr>
        <w:t xml:space="preserve"> </w:t>
      </w:r>
      <w:r w:rsidR="00915E36" w:rsidRPr="001005B7">
        <w:rPr>
          <w:rFonts w:cstheme="minorHAnsi"/>
        </w:rPr>
        <w:t xml:space="preserve">spelling </w:t>
      </w:r>
      <w:r w:rsidR="00303AFA" w:rsidRPr="001005B7">
        <w:rPr>
          <w:rFonts w:cstheme="minorHAnsi"/>
        </w:rPr>
        <w:t>brings in</w:t>
      </w:r>
      <w:r w:rsidR="00915E36" w:rsidRPr="001005B7">
        <w:rPr>
          <w:rFonts w:cstheme="minorHAnsi"/>
        </w:rPr>
        <w:t xml:space="preserve"> the vowels of </w:t>
      </w:r>
      <w:r w:rsidR="002531CA" w:rsidRPr="001005B7">
        <w:rPr>
          <w:rFonts w:cstheme="minorHAnsi"/>
        </w:rPr>
        <w:t xml:space="preserve">the </w:t>
      </w:r>
      <w:r w:rsidR="00656351" w:rsidRPr="001005B7">
        <w:rPr>
          <w:rFonts w:cstheme="minorHAnsi"/>
        </w:rPr>
        <w:t>term</w:t>
      </w:r>
      <w:r w:rsidR="0041459F" w:rsidRPr="001005B7">
        <w:rPr>
          <w:rFonts w:cstheme="minorHAnsi"/>
        </w:rPr>
        <w:t xml:space="preserve"> </w:t>
      </w:r>
      <w:r w:rsidR="00C720C8" w:rsidRPr="001005B7">
        <w:rPr>
          <w:rFonts w:cstheme="minorHAnsi"/>
        </w:rPr>
        <w:t>“</w:t>
      </w:r>
      <w:r w:rsidR="0041459F" w:rsidRPr="001005B7">
        <w:rPr>
          <w:rFonts w:cstheme="minorHAnsi"/>
        </w:rPr>
        <w:t>detestable</w:t>
      </w:r>
      <w:r w:rsidR="0041459F" w:rsidRPr="001005B7">
        <w:rPr>
          <w:rFonts w:cstheme="minorHAnsi"/>
          <w:i/>
          <w:iCs/>
        </w:rPr>
        <w:t xml:space="preserve"> </w:t>
      </w:r>
      <w:r w:rsidR="00852CF8" w:rsidRPr="001005B7">
        <w:rPr>
          <w:rFonts w:cstheme="minorHAnsi"/>
        </w:rPr>
        <w:t>object</w:t>
      </w:r>
      <w:r w:rsidR="0041459F" w:rsidRPr="001005B7">
        <w:rPr>
          <w:rFonts w:cstheme="minorHAnsi"/>
        </w:rPr>
        <w:t>s</w:t>
      </w:r>
      <w:r w:rsidR="00C720C8" w:rsidRPr="001005B7">
        <w:rPr>
          <w:rFonts w:cstheme="minorHAnsi"/>
        </w:rPr>
        <w:t>”</w:t>
      </w:r>
      <w:r w:rsidR="0041459F" w:rsidRPr="001005B7">
        <w:rPr>
          <w:rFonts w:cstheme="minorHAnsi"/>
          <w:i/>
          <w:iCs/>
        </w:rPr>
        <w:t xml:space="preserve"> </w:t>
      </w:r>
      <w:r w:rsidR="0041459F" w:rsidRPr="001005B7">
        <w:rPr>
          <w:rFonts w:cstheme="minorHAnsi"/>
        </w:rPr>
        <w:t>(</w:t>
      </w:r>
      <w:r w:rsidR="00330130" w:rsidRPr="001005B7">
        <w:rPr>
          <w:rFonts w:cstheme="minorHAnsi"/>
          <w:rtl/>
          <w:lang w:bidi="he-IL"/>
        </w:rPr>
        <w:t>שִׁקּוּ</w:t>
      </w:r>
      <w:r w:rsidR="003974C0" w:rsidRPr="001005B7">
        <w:rPr>
          <w:rFonts w:cstheme="minorHAnsi"/>
          <w:rtl/>
          <w:lang w:bidi="he-IL"/>
        </w:rPr>
        <w:t>צִים</w:t>
      </w:r>
      <w:r w:rsidR="008E74D6" w:rsidRPr="001005B7">
        <w:rPr>
          <w:rFonts w:cstheme="minorHAnsi"/>
        </w:rPr>
        <w:t>; see 5:11</w:t>
      </w:r>
      <w:r w:rsidR="00BE0B3A" w:rsidRPr="001005B7">
        <w:rPr>
          <w:rFonts w:cstheme="minorHAnsi"/>
        </w:rPr>
        <w:t>)</w:t>
      </w:r>
      <w:r w:rsidR="00CA3CD1" w:rsidRPr="001005B7">
        <w:rPr>
          <w:rFonts w:cstheme="minorHAnsi"/>
        </w:rPr>
        <w:t>,</w:t>
      </w:r>
      <w:r w:rsidR="00BE0B3A" w:rsidRPr="001005B7">
        <w:rPr>
          <w:rFonts w:cstheme="minorHAnsi"/>
        </w:rPr>
        <w:t xml:space="preserve"> and thus </w:t>
      </w:r>
      <w:r w:rsidR="009E668F" w:rsidRPr="001005B7">
        <w:rPr>
          <w:rFonts w:cstheme="minorHAnsi"/>
        </w:rPr>
        <w:t>adds</w:t>
      </w:r>
      <w:r w:rsidR="00FD0B5D" w:rsidRPr="001005B7">
        <w:rPr>
          <w:rFonts w:cstheme="minorHAnsi"/>
        </w:rPr>
        <w:t xml:space="preserve"> a</w:t>
      </w:r>
      <w:r w:rsidR="009D0D95" w:rsidRPr="001005B7">
        <w:rPr>
          <w:rFonts w:cstheme="minorHAnsi"/>
        </w:rPr>
        <w:t xml:space="preserve"> further</w:t>
      </w:r>
      <w:r w:rsidR="00FD0B5D" w:rsidRPr="001005B7">
        <w:rPr>
          <w:rFonts w:cstheme="minorHAnsi"/>
        </w:rPr>
        <w:t xml:space="preserve"> explicit</w:t>
      </w:r>
      <w:r w:rsidR="00BE0B3A" w:rsidRPr="001005B7">
        <w:rPr>
          <w:rFonts w:cstheme="minorHAnsi"/>
        </w:rPr>
        <w:t xml:space="preserve"> </w:t>
      </w:r>
      <w:r w:rsidR="009E668F" w:rsidRPr="001005B7">
        <w:rPr>
          <w:rFonts w:cstheme="minorHAnsi"/>
        </w:rPr>
        <w:t xml:space="preserve">pejorative connotation to the </w:t>
      </w:r>
      <w:r w:rsidR="00B328F7" w:rsidRPr="001005B7">
        <w:rPr>
          <w:rFonts w:cstheme="minorHAnsi"/>
        </w:rPr>
        <w:t>word</w:t>
      </w:r>
      <w:r w:rsidR="0013208E" w:rsidRPr="001005B7">
        <w:rPr>
          <w:rFonts w:cstheme="minorHAnsi"/>
        </w:rPr>
        <w:t>.</w:t>
      </w:r>
      <w:r w:rsidR="00ED25A6" w:rsidRPr="001005B7">
        <w:rPr>
          <w:rFonts w:cstheme="minorHAnsi"/>
        </w:rPr>
        <w:t xml:space="preserve"> </w:t>
      </w:r>
      <w:r w:rsidR="009934C8" w:rsidRPr="001005B7">
        <w:rPr>
          <w:rFonts w:cstheme="minorHAnsi"/>
        </w:rPr>
        <w:t xml:space="preserve">Ezekiel’s introduction of this </w:t>
      </w:r>
      <w:r w:rsidR="00B328F7" w:rsidRPr="001005B7">
        <w:rPr>
          <w:rFonts w:cstheme="minorHAnsi"/>
        </w:rPr>
        <w:t>term</w:t>
      </w:r>
      <w:r w:rsidR="009934C8" w:rsidRPr="001005B7">
        <w:rPr>
          <w:rFonts w:cstheme="minorHAnsi"/>
        </w:rPr>
        <w:t xml:space="preserve"> </w:t>
      </w:r>
      <w:r w:rsidR="009D0D95" w:rsidRPr="001005B7">
        <w:rPr>
          <w:rFonts w:cstheme="minorHAnsi"/>
        </w:rPr>
        <w:t>indicates</w:t>
      </w:r>
      <w:r w:rsidR="009934C8" w:rsidRPr="001005B7">
        <w:rPr>
          <w:rFonts w:cstheme="minorHAnsi"/>
        </w:rPr>
        <w:t xml:space="preserve"> why </w:t>
      </w:r>
      <w:r w:rsidR="004F57DB" w:rsidRPr="001005B7">
        <w:rPr>
          <w:rFonts w:cstheme="minorHAnsi"/>
        </w:rPr>
        <w:t>Yahweh will want to obliterate shrines</w:t>
      </w:r>
      <w:r w:rsidR="005B2992" w:rsidRPr="001005B7">
        <w:rPr>
          <w:rFonts w:cstheme="minorHAnsi"/>
        </w:rPr>
        <w:t>, destroy altars, and smash burners</w:t>
      </w:r>
      <w:r w:rsidR="004C57FA" w:rsidRPr="001005B7">
        <w:rPr>
          <w:rFonts w:cstheme="minorHAnsi"/>
        </w:rPr>
        <w:t xml:space="preserve">: the deity </w:t>
      </w:r>
      <w:r w:rsidR="00702BAD" w:rsidRPr="001005B7">
        <w:rPr>
          <w:rFonts w:cstheme="minorHAnsi"/>
        </w:rPr>
        <w:t>in whose honor people offer their worship cannot be Yahweh, whether o</w:t>
      </w:r>
      <w:r w:rsidR="00FA1E54" w:rsidRPr="001005B7">
        <w:rPr>
          <w:rFonts w:cstheme="minorHAnsi"/>
        </w:rPr>
        <w:t>r</w:t>
      </w:r>
      <w:r w:rsidR="00702BAD" w:rsidRPr="001005B7">
        <w:rPr>
          <w:rFonts w:cstheme="minorHAnsi"/>
        </w:rPr>
        <w:t xml:space="preserve"> not th</w:t>
      </w:r>
      <w:r w:rsidR="00FA1E54" w:rsidRPr="001005B7">
        <w:rPr>
          <w:rFonts w:cstheme="minorHAnsi"/>
        </w:rPr>
        <w:t>e</w:t>
      </w:r>
      <w:r w:rsidR="00702BAD" w:rsidRPr="001005B7">
        <w:rPr>
          <w:rFonts w:cstheme="minorHAnsi"/>
        </w:rPr>
        <w:t>y think it is</w:t>
      </w:r>
      <w:r w:rsidR="005B2992" w:rsidRPr="001005B7">
        <w:rPr>
          <w:rFonts w:cstheme="minorHAnsi"/>
        </w:rPr>
        <w:t xml:space="preserve">. </w:t>
      </w:r>
      <w:r w:rsidR="006D01C5" w:rsidRPr="001005B7">
        <w:rPr>
          <w:rFonts w:cstheme="minorHAnsi"/>
        </w:rPr>
        <w:t>I</w:t>
      </w:r>
      <w:r w:rsidR="005B2992" w:rsidRPr="001005B7">
        <w:rPr>
          <w:rFonts w:cstheme="minorHAnsi"/>
        </w:rPr>
        <w:t xml:space="preserve">t </w:t>
      </w:r>
      <w:r w:rsidR="001B489F" w:rsidRPr="001005B7">
        <w:rPr>
          <w:rFonts w:cstheme="minorHAnsi"/>
        </w:rPr>
        <w:t xml:space="preserve">thus </w:t>
      </w:r>
      <w:r w:rsidR="00B6122E" w:rsidRPr="001005B7">
        <w:rPr>
          <w:rFonts w:cstheme="minorHAnsi"/>
        </w:rPr>
        <w:t xml:space="preserve">indicates why he will </w:t>
      </w:r>
      <w:r w:rsidR="0015014B" w:rsidRPr="001005B7">
        <w:rPr>
          <w:rFonts w:cstheme="minorHAnsi"/>
        </w:rPr>
        <w:t xml:space="preserve">slaughter the people who worship these </w:t>
      </w:r>
      <w:r w:rsidR="000C0C52" w:rsidRPr="001005B7">
        <w:rPr>
          <w:rFonts w:cstheme="minorHAnsi"/>
        </w:rPr>
        <w:t>lumps</w:t>
      </w:r>
      <w:r w:rsidR="001B489F" w:rsidRPr="001005B7">
        <w:rPr>
          <w:rFonts w:cstheme="minorHAnsi"/>
        </w:rPr>
        <w:t xml:space="preserve"> in the shrines</w:t>
      </w:r>
      <w:r w:rsidR="007F5CD6" w:rsidRPr="001005B7">
        <w:rPr>
          <w:rFonts w:cstheme="minorHAnsi"/>
        </w:rPr>
        <w:t>,</w:t>
      </w:r>
      <w:r w:rsidR="0015014B" w:rsidRPr="001005B7">
        <w:rPr>
          <w:rFonts w:cstheme="minorHAnsi"/>
        </w:rPr>
        <w:t xml:space="preserve"> as he will slaughter </w:t>
      </w:r>
      <w:r w:rsidR="00DC6501" w:rsidRPr="001005B7">
        <w:rPr>
          <w:rFonts w:cstheme="minorHAnsi"/>
        </w:rPr>
        <w:t xml:space="preserve">people </w:t>
      </w:r>
      <w:r w:rsidR="00F10B4B" w:rsidRPr="001005B7">
        <w:rPr>
          <w:rFonts w:cstheme="minorHAnsi"/>
        </w:rPr>
        <w:t>i</w:t>
      </w:r>
      <w:r w:rsidR="0015014B" w:rsidRPr="001005B7">
        <w:rPr>
          <w:rFonts w:cstheme="minorHAnsi"/>
        </w:rPr>
        <w:t>n Jerusale</w:t>
      </w:r>
      <w:r w:rsidR="00F10B4B" w:rsidRPr="001005B7">
        <w:rPr>
          <w:rFonts w:cstheme="minorHAnsi"/>
        </w:rPr>
        <w:t>m</w:t>
      </w:r>
      <w:r w:rsidR="001B489F" w:rsidRPr="001005B7">
        <w:rPr>
          <w:rFonts w:cstheme="minorHAnsi"/>
        </w:rPr>
        <w:t xml:space="preserve"> whose worship </w:t>
      </w:r>
      <w:r w:rsidR="006B1366" w:rsidRPr="001005B7">
        <w:rPr>
          <w:rFonts w:cstheme="minorHAnsi"/>
        </w:rPr>
        <w:t>has parallel devastating characteristics</w:t>
      </w:r>
      <w:r w:rsidR="00F10B4B" w:rsidRPr="001005B7">
        <w:rPr>
          <w:rFonts w:cstheme="minorHAnsi"/>
        </w:rPr>
        <w:t xml:space="preserve">. </w:t>
      </w:r>
    </w:p>
    <w:p w14:paraId="785F9F53" w14:textId="558C6F12" w:rsidR="00B6183E" w:rsidRPr="008B2FCB" w:rsidRDefault="009C2AD9" w:rsidP="008B2FCB">
      <w:r w:rsidRPr="001005B7">
        <w:rPr>
          <w:rFonts w:cstheme="minorHAnsi"/>
          <w:b/>
          <w:bCs/>
        </w:rPr>
        <w:t>6:</w:t>
      </w:r>
      <w:r w:rsidR="00C02846" w:rsidRPr="001005B7">
        <w:rPr>
          <w:rFonts w:cstheme="minorHAnsi"/>
          <w:b/>
          <w:bCs/>
        </w:rPr>
        <w:t>5</w:t>
      </w:r>
      <w:r w:rsidR="00F46900" w:rsidRPr="001005B7">
        <w:rPr>
          <w:rFonts w:cstheme="minorHAnsi"/>
          <w:b/>
          <w:bCs/>
        </w:rPr>
        <w:t>–</w:t>
      </w:r>
      <w:r w:rsidR="00A064D0" w:rsidRPr="001005B7">
        <w:rPr>
          <w:rFonts w:cstheme="minorHAnsi"/>
          <w:b/>
          <w:bCs/>
        </w:rPr>
        <w:t>7</w:t>
      </w:r>
      <w:r w:rsidR="00C02846" w:rsidRPr="001005B7">
        <w:rPr>
          <w:rFonts w:cstheme="minorHAnsi"/>
          <w:b/>
          <w:bCs/>
        </w:rPr>
        <w:t xml:space="preserve"> </w:t>
      </w:r>
      <w:r w:rsidR="00F10B4B" w:rsidRPr="001005B7">
        <w:rPr>
          <w:rFonts w:cstheme="minorHAnsi"/>
        </w:rPr>
        <w:t xml:space="preserve">It will be appropriate to </w:t>
      </w:r>
      <w:r w:rsidR="006B1366" w:rsidRPr="001005B7">
        <w:rPr>
          <w:rFonts w:cstheme="minorHAnsi"/>
        </w:rPr>
        <w:t>bring about such calamity</w:t>
      </w:r>
      <w:r w:rsidR="00F10B4B" w:rsidRPr="001005B7">
        <w:rPr>
          <w:rFonts w:cstheme="minorHAnsi"/>
        </w:rPr>
        <w:t xml:space="preserve"> when </w:t>
      </w:r>
      <w:r w:rsidR="006B1366" w:rsidRPr="001005B7">
        <w:rPr>
          <w:rFonts w:cstheme="minorHAnsi"/>
        </w:rPr>
        <w:t>people</w:t>
      </w:r>
      <w:r w:rsidR="00F10B4B" w:rsidRPr="001005B7">
        <w:rPr>
          <w:rFonts w:cstheme="minorHAnsi"/>
        </w:rPr>
        <w:t xml:space="preserve"> are in the very midst of worship, </w:t>
      </w:r>
      <w:r w:rsidR="00901DFD" w:rsidRPr="001005B7">
        <w:rPr>
          <w:rFonts w:cstheme="minorHAnsi"/>
        </w:rPr>
        <w:t>w</w:t>
      </w:r>
      <w:r w:rsidR="00F15B7D" w:rsidRPr="001005B7">
        <w:rPr>
          <w:rFonts w:cstheme="minorHAnsi"/>
        </w:rPr>
        <w:t xml:space="preserve">hen they are </w:t>
      </w:r>
      <w:r w:rsidR="00480348" w:rsidRPr="001005B7">
        <w:rPr>
          <w:rFonts w:cstheme="minorHAnsi"/>
        </w:rPr>
        <w:t>“</w:t>
      </w:r>
      <w:r w:rsidR="00C22B58" w:rsidRPr="001005B7">
        <w:rPr>
          <w:rFonts w:cstheme="minorHAnsi"/>
        </w:rPr>
        <w:t>in</w:t>
      </w:r>
      <w:r w:rsidR="00C22B58" w:rsidRPr="001005B7">
        <w:rPr>
          <w:rFonts w:cstheme="minorHAnsi"/>
          <w:i/>
          <w:iCs/>
        </w:rPr>
        <w:t xml:space="preserve"> </w:t>
      </w:r>
      <w:r w:rsidR="00C22B58" w:rsidRPr="001005B7">
        <w:rPr>
          <w:rFonts w:cstheme="minorHAnsi"/>
        </w:rPr>
        <w:t>front</w:t>
      </w:r>
      <w:r w:rsidR="00C22B58" w:rsidRPr="001005B7">
        <w:rPr>
          <w:rFonts w:cstheme="minorHAnsi"/>
          <w:i/>
          <w:iCs/>
        </w:rPr>
        <w:t xml:space="preserve"> </w:t>
      </w:r>
      <w:r w:rsidR="00C22B58" w:rsidRPr="001005B7">
        <w:rPr>
          <w:rFonts w:cstheme="minorHAnsi"/>
        </w:rPr>
        <w:t>of</w:t>
      </w:r>
      <w:r w:rsidR="00C22B58" w:rsidRPr="001005B7">
        <w:rPr>
          <w:rFonts w:cstheme="minorHAnsi"/>
          <w:i/>
          <w:iCs/>
        </w:rPr>
        <w:t xml:space="preserve"> </w:t>
      </w:r>
      <w:r w:rsidR="00C22B58" w:rsidRPr="001005B7">
        <w:rPr>
          <w:rFonts w:cstheme="minorHAnsi"/>
        </w:rPr>
        <w:t>your</w:t>
      </w:r>
      <w:r w:rsidR="00C22B58" w:rsidRPr="001005B7">
        <w:rPr>
          <w:rFonts w:cstheme="minorHAnsi"/>
          <w:i/>
          <w:iCs/>
        </w:rPr>
        <w:t xml:space="preserve"> </w:t>
      </w:r>
      <w:r w:rsidR="00681DB9" w:rsidRPr="001005B7">
        <w:rPr>
          <w:rFonts w:cstheme="minorHAnsi"/>
        </w:rPr>
        <w:t>lump</w:t>
      </w:r>
      <w:r w:rsidR="00C22B58" w:rsidRPr="001005B7">
        <w:rPr>
          <w:rFonts w:cstheme="minorHAnsi"/>
        </w:rPr>
        <w:t>s,</w:t>
      </w:r>
      <w:r w:rsidR="00480348" w:rsidRPr="001005B7">
        <w:rPr>
          <w:rFonts w:cstheme="minorHAnsi"/>
        </w:rPr>
        <w:t>”</w:t>
      </w:r>
      <w:r w:rsidR="00C22B58" w:rsidRPr="001005B7">
        <w:rPr>
          <w:rFonts w:cstheme="minorHAnsi"/>
        </w:rPr>
        <w:t xml:space="preserve"> and </w:t>
      </w:r>
      <w:r w:rsidR="006512C2" w:rsidRPr="001005B7">
        <w:rPr>
          <w:rFonts w:cstheme="minorHAnsi"/>
        </w:rPr>
        <w:t xml:space="preserve">to </w:t>
      </w:r>
      <w:r w:rsidR="00C22B58" w:rsidRPr="001005B7">
        <w:rPr>
          <w:rFonts w:cstheme="minorHAnsi"/>
        </w:rPr>
        <w:t xml:space="preserve">scatter their bones around their </w:t>
      </w:r>
      <w:r w:rsidR="00D42021" w:rsidRPr="001005B7">
        <w:rPr>
          <w:rFonts w:cstheme="minorHAnsi"/>
        </w:rPr>
        <w:t>altars</w:t>
      </w:r>
      <w:r w:rsidR="009F1707" w:rsidRPr="001005B7">
        <w:rPr>
          <w:rFonts w:cstheme="minorHAnsi"/>
        </w:rPr>
        <w:t xml:space="preserve"> (cf.</w:t>
      </w:r>
      <w:r w:rsidR="009D2868" w:rsidRPr="001005B7">
        <w:rPr>
          <w:rFonts w:cstheme="minorHAnsi"/>
        </w:rPr>
        <w:t xml:space="preserve"> </w:t>
      </w:r>
      <w:r w:rsidR="009F1707" w:rsidRPr="001005B7">
        <w:rPr>
          <w:rFonts w:cstheme="minorHAnsi"/>
        </w:rPr>
        <w:t xml:space="preserve">Jer </w:t>
      </w:r>
      <w:r w:rsidR="00EB4FAB" w:rsidRPr="001005B7">
        <w:rPr>
          <w:rFonts w:cstheme="minorHAnsi"/>
        </w:rPr>
        <w:t>7:2—8:2)</w:t>
      </w:r>
      <w:r w:rsidR="00D42021" w:rsidRPr="001005B7">
        <w:rPr>
          <w:rFonts w:cstheme="minorHAnsi"/>
        </w:rPr>
        <w:t>.</w:t>
      </w:r>
      <w:r w:rsidR="00B54EEA" w:rsidRPr="001005B7">
        <w:rPr>
          <w:rFonts w:cstheme="minorHAnsi"/>
        </w:rPr>
        <w:t xml:space="preserve"> I</w:t>
      </w:r>
      <w:r w:rsidR="007843CB" w:rsidRPr="001005B7">
        <w:rPr>
          <w:rFonts w:cstheme="minorHAnsi"/>
        </w:rPr>
        <w:t>n an act of poetic justice, i</w:t>
      </w:r>
      <w:r w:rsidR="00B54EEA" w:rsidRPr="001005B7">
        <w:rPr>
          <w:rFonts w:cstheme="minorHAnsi"/>
        </w:rPr>
        <w:t>t will expose the emptiness of these so-called representations of deity</w:t>
      </w:r>
      <w:r w:rsidR="00E46A20">
        <w:rPr>
          <w:rFonts w:cstheme="minorHAnsi"/>
        </w:rPr>
        <w:t>. T</w:t>
      </w:r>
      <w:r w:rsidR="00EF3345" w:rsidRPr="001005B7">
        <w:t xml:space="preserve">he trouble with </w:t>
      </w:r>
      <w:r w:rsidR="00DE313B">
        <w:t>any idols</w:t>
      </w:r>
      <w:r w:rsidR="00897A95" w:rsidRPr="001005B7">
        <w:t xml:space="preserve"> is that </w:t>
      </w:r>
      <w:r w:rsidR="00897A95" w:rsidRPr="001005B7">
        <w:rPr>
          <w:rFonts w:cstheme="minorHAnsi"/>
        </w:rPr>
        <w:t xml:space="preserve">they are no more than </w:t>
      </w:r>
      <w:r w:rsidR="00480348" w:rsidRPr="001005B7">
        <w:rPr>
          <w:rFonts w:cstheme="minorHAnsi"/>
        </w:rPr>
        <w:t>“</w:t>
      </w:r>
      <w:r w:rsidR="00897A95" w:rsidRPr="001005B7">
        <w:rPr>
          <w:rFonts w:cstheme="minorHAnsi"/>
        </w:rPr>
        <w:t>things</w:t>
      </w:r>
      <w:r w:rsidR="00897A95" w:rsidRPr="001005B7">
        <w:rPr>
          <w:rFonts w:cstheme="minorHAnsi"/>
          <w:i/>
          <w:iCs/>
        </w:rPr>
        <w:t xml:space="preserve"> </w:t>
      </w:r>
      <w:r w:rsidR="00897A95" w:rsidRPr="001005B7">
        <w:rPr>
          <w:rFonts w:cstheme="minorHAnsi"/>
        </w:rPr>
        <w:t>you</w:t>
      </w:r>
      <w:r w:rsidR="00897A95" w:rsidRPr="001005B7">
        <w:rPr>
          <w:rFonts w:cstheme="minorHAnsi"/>
          <w:i/>
          <w:iCs/>
        </w:rPr>
        <w:t xml:space="preserve"> </w:t>
      </w:r>
      <w:r w:rsidR="00897A95" w:rsidRPr="001005B7">
        <w:rPr>
          <w:rFonts w:cstheme="minorHAnsi"/>
        </w:rPr>
        <w:t>have</w:t>
      </w:r>
      <w:r w:rsidR="00897A95" w:rsidRPr="001005B7">
        <w:rPr>
          <w:rFonts w:cstheme="minorHAnsi"/>
          <w:i/>
          <w:iCs/>
        </w:rPr>
        <w:t xml:space="preserve"> </w:t>
      </w:r>
      <w:r w:rsidR="00897A95" w:rsidRPr="001005B7">
        <w:rPr>
          <w:rFonts w:cstheme="minorHAnsi"/>
        </w:rPr>
        <w:t>made</w:t>
      </w:r>
      <w:r w:rsidR="00480348" w:rsidRPr="001005B7">
        <w:rPr>
          <w:rFonts w:cstheme="minorHAnsi"/>
        </w:rPr>
        <w:t>”</w:t>
      </w:r>
      <w:r w:rsidR="003C0860" w:rsidRPr="001005B7">
        <w:rPr>
          <w:rFonts w:cstheme="minorHAnsi"/>
        </w:rPr>
        <w:t xml:space="preserve"> (</w:t>
      </w:r>
      <w:proofErr w:type="spellStart"/>
      <w:r w:rsidR="003C0860" w:rsidRPr="001005B7">
        <w:rPr>
          <w:rFonts w:cstheme="minorHAnsi"/>
        </w:rPr>
        <w:t>Ps</w:t>
      </w:r>
      <w:r w:rsidR="009872C0" w:rsidRPr="001005B7">
        <w:rPr>
          <w:rFonts w:cstheme="minorHAnsi"/>
        </w:rPr>
        <w:t>s</w:t>
      </w:r>
      <w:proofErr w:type="spellEnd"/>
      <w:r w:rsidR="003C0860" w:rsidRPr="001005B7">
        <w:rPr>
          <w:rFonts w:cstheme="minorHAnsi"/>
        </w:rPr>
        <w:t xml:space="preserve"> 115:4</w:t>
      </w:r>
      <w:r w:rsidR="006E058E" w:rsidRPr="001005B7">
        <w:rPr>
          <w:rFonts w:cstheme="minorHAnsi"/>
        </w:rPr>
        <w:t>; 135:15)</w:t>
      </w:r>
      <w:r w:rsidR="000A20FB" w:rsidRPr="001005B7">
        <w:rPr>
          <w:rFonts w:cstheme="minorHAnsi"/>
        </w:rPr>
        <w:t>,</w:t>
      </w:r>
      <w:r w:rsidR="008E47BF" w:rsidRPr="001005B7">
        <w:rPr>
          <w:rFonts w:cstheme="minorHAnsi"/>
        </w:rPr>
        <w:t xml:space="preserve"> like</w:t>
      </w:r>
      <w:r w:rsidR="00B25A9C" w:rsidRPr="001005B7">
        <w:rPr>
          <w:rFonts w:cstheme="minorHAnsi"/>
        </w:rPr>
        <w:t xml:space="preserve"> the altars, </w:t>
      </w:r>
      <w:r w:rsidR="00BF0CE6" w:rsidRPr="001005B7">
        <w:rPr>
          <w:rFonts w:cstheme="minorHAnsi"/>
        </w:rPr>
        <w:t xml:space="preserve">burners, and </w:t>
      </w:r>
      <w:r w:rsidR="008A149F" w:rsidRPr="001005B7">
        <w:rPr>
          <w:rFonts w:cstheme="minorHAnsi"/>
        </w:rPr>
        <w:t>carved pillars (Isa 17:</w:t>
      </w:r>
      <w:r w:rsidR="00024000" w:rsidRPr="001005B7">
        <w:rPr>
          <w:rFonts w:cstheme="minorHAnsi"/>
        </w:rPr>
        <w:t>7</w:t>
      </w:r>
      <w:r w:rsidR="00F46900" w:rsidRPr="001005B7">
        <w:rPr>
          <w:rFonts w:cstheme="minorHAnsi"/>
        </w:rPr>
        <w:t>–</w:t>
      </w:r>
      <w:r w:rsidR="00024000" w:rsidRPr="001005B7">
        <w:rPr>
          <w:rFonts w:cstheme="minorHAnsi"/>
        </w:rPr>
        <w:t>8</w:t>
      </w:r>
      <w:r w:rsidR="00E551F5" w:rsidRPr="001005B7">
        <w:rPr>
          <w:rFonts w:cstheme="minorHAnsi"/>
        </w:rPr>
        <w:t xml:space="preserve">). </w:t>
      </w:r>
      <w:r w:rsidR="00E46A20" w:rsidRPr="001005B7">
        <w:rPr>
          <w:rFonts w:cstheme="minorHAnsi"/>
        </w:rPr>
        <w:t xml:space="preserve">Yahweh </w:t>
      </w:r>
      <w:r w:rsidR="00E46A20" w:rsidRPr="001005B7">
        <w:t>will put the people’s carcasses on the carcasses of their lumps (Lev 26:30)</w:t>
      </w:r>
      <w:r w:rsidR="00E46A20">
        <w:t xml:space="preserve"> and</w:t>
      </w:r>
      <w:r w:rsidR="00DB30E8" w:rsidRPr="001005B7">
        <w:t xml:space="preserve"> thus </w:t>
      </w:r>
      <w:r w:rsidR="00ED5A25" w:rsidRPr="001005B7">
        <w:rPr>
          <w:rFonts w:cstheme="minorHAnsi"/>
        </w:rPr>
        <w:t>defile the locations of their so-called worship.</w:t>
      </w:r>
      <w:r w:rsidR="009D2868" w:rsidRPr="001005B7">
        <w:rPr>
          <w:rFonts w:cstheme="minorHAnsi"/>
        </w:rPr>
        <w:t xml:space="preserve"> Josiah </w:t>
      </w:r>
      <w:r w:rsidR="000A20FB" w:rsidRPr="001005B7">
        <w:rPr>
          <w:rFonts w:cstheme="minorHAnsi"/>
        </w:rPr>
        <w:t>acted thus</w:t>
      </w:r>
      <w:r w:rsidR="009D2868" w:rsidRPr="001005B7">
        <w:rPr>
          <w:rFonts w:cstheme="minorHAnsi"/>
        </w:rPr>
        <w:t xml:space="preserve"> not so long ago (</w:t>
      </w:r>
      <w:r w:rsidR="009D2868" w:rsidRPr="001005B7">
        <w:rPr>
          <w:rFonts w:cstheme="minorHAnsi"/>
          <w:bCs/>
        </w:rPr>
        <w:t>2</w:t>
      </w:r>
      <w:r w:rsidR="003C0787" w:rsidRPr="001005B7">
        <w:rPr>
          <w:rFonts w:cstheme="minorHAnsi"/>
          <w:bCs/>
        </w:rPr>
        <w:t> </w:t>
      </w:r>
      <w:r w:rsidR="009D2868" w:rsidRPr="001005B7">
        <w:rPr>
          <w:rFonts w:cstheme="minorHAnsi"/>
          <w:bCs/>
        </w:rPr>
        <w:t>Kgs</w:t>
      </w:r>
      <w:r w:rsidR="009D2868" w:rsidRPr="001005B7">
        <w:rPr>
          <w:rFonts w:cstheme="minorHAnsi"/>
        </w:rPr>
        <w:t xml:space="preserve"> 23), but </w:t>
      </w:r>
      <w:r w:rsidR="00951EE8" w:rsidRPr="001005B7">
        <w:rPr>
          <w:rFonts w:cstheme="minorHAnsi"/>
        </w:rPr>
        <w:t>the action</w:t>
      </w:r>
      <w:r w:rsidR="00C37C4A" w:rsidRPr="001005B7">
        <w:rPr>
          <w:rFonts w:cstheme="minorHAnsi"/>
        </w:rPr>
        <w:t xml:space="preserve"> needs </w:t>
      </w:r>
      <w:r w:rsidR="00951EE8" w:rsidRPr="001005B7">
        <w:rPr>
          <w:rFonts w:cstheme="minorHAnsi"/>
        </w:rPr>
        <w:t>tak</w:t>
      </w:r>
      <w:r w:rsidR="00C37C4A" w:rsidRPr="001005B7">
        <w:rPr>
          <w:rFonts w:cstheme="minorHAnsi"/>
        </w:rPr>
        <w:t>ing again (see</w:t>
      </w:r>
      <w:r w:rsidR="000D0661" w:rsidRPr="001005B7">
        <w:rPr>
          <w:rFonts w:cstheme="minorHAnsi"/>
        </w:rPr>
        <w:t xml:space="preserve"> 2</w:t>
      </w:r>
      <w:r w:rsidR="003C0787" w:rsidRPr="001005B7">
        <w:rPr>
          <w:rFonts w:cstheme="minorHAnsi"/>
        </w:rPr>
        <w:t> </w:t>
      </w:r>
      <w:r w:rsidR="006558CA" w:rsidRPr="001005B7">
        <w:rPr>
          <w:rFonts w:cstheme="minorHAnsi"/>
        </w:rPr>
        <w:t>Kgs</w:t>
      </w:r>
      <w:r w:rsidR="000D0661" w:rsidRPr="001005B7">
        <w:rPr>
          <w:rFonts w:cstheme="minorHAnsi"/>
        </w:rPr>
        <w:t xml:space="preserve"> 23:</w:t>
      </w:r>
      <w:r w:rsidR="004F73E3" w:rsidRPr="001005B7">
        <w:rPr>
          <w:rFonts w:cstheme="minorHAnsi"/>
        </w:rPr>
        <w:t>31</w:t>
      </w:r>
      <w:r w:rsidR="00F46900" w:rsidRPr="001005B7">
        <w:rPr>
          <w:rFonts w:cstheme="minorHAnsi"/>
        </w:rPr>
        <w:t>–</w:t>
      </w:r>
      <w:r w:rsidR="004F73E3" w:rsidRPr="001005B7">
        <w:rPr>
          <w:rFonts w:cstheme="minorHAnsi"/>
        </w:rPr>
        <w:t>24:20).</w:t>
      </w:r>
      <w:r w:rsidR="00DB61CF" w:rsidRPr="001005B7">
        <w:rPr>
          <w:rFonts w:cstheme="minorHAnsi"/>
        </w:rPr>
        <w:t xml:space="preserve"> It is also appropriate that the</w:t>
      </w:r>
      <w:r w:rsidR="00035921" w:rsidRPr="001005B7">
        <w:rPr>
          <w:rFonts w:cstheme="minorHAnsi"/>
        </w:rPr>
        <w:t xml:space="preserve"> </w:t>
      </w:r>
      <w:r w:rsidR="00A71406" w:rsidRPr="001005B7">
        <w:rPr>
          <w:rFonts w:cstheme="minorHAnsi"/>
        </w:rPr>
        <w:t xml:space="preserve">altars will thus become </w:t>
      </w:r>
      <w:r w:rsidR="00F300A6" w:rsidRPr="001005B7">
        <w:rPr>
          <w:rFonts w:cstheme="minorHAnsi"/>
        </w:rPr>
        <w:t>“</w:t>
      </w:r>
      <w:r w:rsidR="00A71406" w:rsidRPr="001005B7">
        <w:rPr>
          <w:rFonts w:cstheme="minorHAnsi"/>
        </w:rPr>
        <w:t>waste</w:t>
      </w:r>
      <w:r w:rsidR="00F300A6" w:rsidRPr="001005B7">
        <w:rPr>
          <w:rFonts w:cstheme="minorHAnsi"/>
        </w:rPr>
        <w:t>”</w:t>
      </w:r>
      <w:r w:rsidR="00A71406" w:rsidRPr="001005B7">
        <w:rPr>
          <w:rFonts w:cstheme="minorHAnsi"/>
        </w:rPr>
        <w:t xml:space="preserve"> and </w:t>
      </w:r>
      <w:r w:rsidR="00F300A6" w:rsidRPr="001005B7">
        <w:rPr>
          <w:rFonts w:cstheme="minorHAnsi"/>
        </w:rPr>
        <w:t>“</w:t>
      </w:r>
      <w:r w:rsidR="00A71406" w:rsidRPr="001005B7">
        <w:rPr>
          <w:rFonts w:cstheme="minorHAnsi"/>
        </w:rPr>
        <w:t>desolate</w:t>
      </w:r>
      <w:r w:rsidR="00F300A6" w:rsidRPr="001005B7">
        <w:rPr>
          <w:rFonts w:cstheme="minorHAnsi"/>
        </w:rPr>
        <w:t>”</w:t>
      </w:r>
      <w:r w:rsidR="00A71406" w:rsidRPr="001005B7">
        <w:rPr>
          <w:rFonts w:cstheme="minorHAnsi"/>
        </w:rPr>
        <w:t xml:space="preserve"> and </w:t>
      </w:r>
      <w:r w:rsidR="00FA4CF9" w:rsidRPr="001005B7">
        <w:rPr>
          <w:rFonts w:cstheme="minorHAnsi"/>
        </w:rPr>
        <w:t>will also be</w:t>
      </w:r>
      <w:r w:rsidR="00A71406" w:rsidRPr="001005B7">
        <w:rPr>
          <w:rFonts w:cstheme="minorHAnsi"/>
        </w:rPr>
        <w:t xml:space="preserve"> treated as accountable for </w:t>
      </w:r>
      <w:r w:rsidR="002643A9" w:rsidRPr="001005B7">
        <w:rPr>
          <w:rFonts w:cstheme="minorHAnsi"/>
        </w:rPr>
        <w:t>the wrongdoing they facilitate</w:t>
      </w:r>
      <w:r w:rsidR="00617411" w:rsidRPr="001005B7">
        <w:rPr>
          <w:rFonts w:cstheme="minorHAnsi"/>
        </w:rPr>
        <w:t xml:space="preserve"> (</w:t>
      </w:r>
      <w:r w:rsidR="00617411" w:rsidRPr="001005B7">
        <w:rPr>
          <w:rFonts w:cstheme="minorHAnsi"/>
          <w:rtl/>
          <w:lang w:bidi="he-IL"/>
        </w:rPr>
        <w:t>אָ</w:t>
      </w:r>
      <w:r w:rsidR="00CD2E71" w:rsidRPr="001005B7">
        <w:rPr>
          <w:rFonts w:cstheme="minorHAnsi"/>
          <w:rtl/>
          <w:lang w:bidi="he-IL"/>
        </w:rPr>
        <w:t>שׁ</w:t>
      </w:r>
      <w:r w:rsidR="008B311B" w:rsidRPr="001005B7">
        <w:rPr>
          <w:rFonts w:cstheme="minorHAnsi"/>
          <w:rtl/>
          <w:lang w:bidi="he-IL"/>
        </w:rPr>
        <w:t>ַם</w:t>
      </w:r>
      <w:r w:rsidR="00364060" w:rsidRPr="001005B7">
        <w:rPr>
          <w:rFonts w:cstheme="minorHAnsi"/>
        </w:rPr>
        <w:t>)</w:t>
      </w:r>
      <w:r w:rsidR="002643A9" w:rsidRPr="001005B7">
        <w:rPr>
          <w:rFonts w:cstheme="minorHAnsi"/>
        </w:rPr>
        <w:t>.</w:t>
      </w:r>
      <w:r w:rsidR="00596805" w:rsidRPr="001005B7">
        <w:rPr>
          <w:rStyle w:val="FootnoteReference"/>
          <w:rFonts w:cstheme="minorHAnsi"/>
        </w:rPr>
        <w:footnoteReference w:id="199"/>
      </w:r>
      <w:r w:rsidR="007C0E00">
        <w:rPr>
          <w:rFonts w:cstheme="minorHAnsi"/>
        </w:rPr>
        <w:t xml:space="preserve"> A</w:t>
      </w:r>
      <w:r w:rsidR="00724B8F">
        <w:rPr>
          <w:rFonts w:cstheme="minorHAnsi"/>
        </w:rPr>
        <w:t xml:space="preserve">n </w:t>
      </w:r>
      <w:r w:rsidR="00544CC8">
        <w:rPr>
          <w:rFonts w:cstheme="minorHAnsi"/>
        </w:rPr>
        <w:t>a</w:t>
      </w:r>
      <w:r w:rsidR="00724B8F">
        <w:rPr>
          <w:rFonts w:cstheme="minorHAnsi"/>
        </w:rPr>
        <w:t>l</w:t>
      </w:r>
      <w:r w:rsidR="00544CC8">
        <w:rPr>
          <w:rFonts w:cstheme="minorHAnsi"/>
        </w:rPr>
        <w:t>t</w:t>
      </w:r>
      <w:r w:rsidR="00724B8F">
        <w:rPr>
          <w:rFonts w:cstheme="minorHAnsi"/>
        </w:rPr>
        <w:t>a</w:t>
      </w:r>
      <w:r w:rsidR="00544CC8">
        <w:rPr>
          <w:rFonts w:cstheme="minorHAnsi"/>
        </w:rPr>
        <w:t xml:space="preserve">r </w:t>
      </w:r>
      <w:r w:rsidR="00724B8F">
        <w:rPr>
          <w:rFonts w:cstheme="minorHAnsi"/>
        </w:rPr>
        <w:t xml:space="preserve">is </w:t>
      </w:r>
      <w:r w:rsidR="00B90CD5">
        <w:rPr>
          <w:rFonts w:cstheme="minorHAnsi"/>
        </w:rPr>
        <w:t xml:space="preserve">after </w:t>
      </w:r>
      <w:r w:rsidR="00544CC8">
        <w:rPr>
          <w:rFonts w:cstheme="minorHAnsi"/>
        </w:rPr>
        <w:t>all,</w:t>
      </w:r>
      <w:r w:rsidR="002643A9" w:rsidRPr="001005B7">
        <w:rPr>
          <w:rFonts w:cstheme="minorHAnsi"/>
        </w:rPr>
        <w:t xml:space="preserve"> </w:t>
      </w:r>
      <w:r w:rsidR="00544CC8">
        <w:rPr>
          <w:rFonts w:cstheme="minorHAnsi"/>
        </w:rPr>
        <w:t>a</w:t>
      </w:r>
      <w:r w:rsidR="007078EB" w:rsidRPr="001005B7">
        <w:rPr>
          <w:rFonts w:cstheme="minorHAnsi"/>
        </w:rPr>
        <w:t>mong other things</w:t>
      </w:r>
      <w:r w:rsidR="001E77BB" w:rsidRPr="001005B7">
        <w:rPr>
          <w:rFonts w:cstheme="minorHAnsi"/>
        </w:rPr>
        <w:t>, the</w:t>
      </w:r>
      <w:r w:rsidR="006D5603" w:rsidRPr="001005B7">
        <w:rPr>
          <w:rFonts w:cstheme="minorHAnsi"/>
        </w:rPr>
        <w:t xml:space="preserve"> place</w:t>
      </w:r>
      <w:r w:rsidR="001E77BB" w:rsidRPr="001005B7">
        <w:rPr>
          <w:rFonts w:cstheme="minorHAnsi"/>
        </w:rPr>
        <w:t xml:space="preserve"> </w:t>
      </w:r>
      <w:r w:rsidR="006D5603" w:rsidRPr="001005B7">
        <w:rPr>
          <w:rFonts w:cstheme="minorHAnsi"/>
        </w:rPr>
        <w:t>where</w:t>
      </w:r>
      <w:r w:rsidR="001E77BB" w:rsidRPr="001005B7">
        <w:rPr>
          <w:rFonts w:cstheme="minorHAnsi"/>
        </w:rPr>
        <w:t xml:space="preserve"> people mak</w:t>
      </w:r>
      <w:r w:rsidR="006D5603" w:rsidRPr="001005B7">
        <w:rPr>
          <w:rFonts w:cstheme="minorHAnsi"/>
        </w:rPr>
        <w:t>e</w:t>
      </w:r>
      <w:r w:rsidR="001E77BB" w:rsidRPr="001005B7">
        <w:rPr>
          <w:rFonts w:cstheme="minorHAnsi"/>
        </w:rPr>
        <w:t xml:space="preserve"> offerings </w:t>
      </w:r>
      <w:r w:rsidR="00461293" w:rsidRPr="001005B7">
        <w:rPr>
          <w:rFonts w:cstheme="minorHAnsi"/>
        </w:rPr>
        <w:t xml:space="preserve">designed </w:t>
      </w:r>
      <w:r w:rsidR="001E77BB" w:rsidRPr="001005B7">
        <w:rPr>
          <w:rFonts w:cstheme="minorHAnsi"/>
        </w:rPr>
        <w:t xml:space="preserve">to </w:t>
      </w:r>
      <w:r w:rsidR="007D11C3" w:rsidRPr="001005B7">
        <w:rPr>
          <w:rFonts w:cstheme="minorHAnsi"/>
        </w:rPr>
        <w:t>put things right</w:t>
      </w:r>
      <w:r w:rsidR="00BA3A3A" w:rsidRPr="001005B7">
        <w:rPr>
          <w:rFonts w:cstheme="minorHAnsi"/>
        </w:rPr>
        <w:t xml:space="preserve"> with Yahweh</w:t>
      </w:r>
      <w:r w:rsidR="007D11C3" w:rsidRPr="001005B7">
        <w:rPr>
          <w:rFonts w:cstheme="minorHAnsi"/>
        </w:rPr>
        <w:t xml:space="preserve"> </w:t>
      </w:r>
      <w:r w:rsidR="007A2A45" w:rsidRPr="001005B7">
        <w:rPr>
          <w:rFonts w:cstheme="minorHAnsi"/>
        </w:rPr>
        <w:t xml:space="preserve">by making restitution </w:t>
      </w:r>
      <w:r w:rsidR="007D11C3" w:rsidRPr="001005B7">
        <w:rPr>
          <w:rFonts w:cstheme="minorHAnsi"/>
        </w:rPr>
        <w:t>when the</w:t>
      </w:r>
      <w:r w:rsidR="00B90CD5">
        <w:rPr>
          <w:rFonts w:cstheme="minorHAnsi"/>
        </w:rPr>
        <w:t>y</w:t>
      </w:r>
      <w:r w:rsidR="007D11C3" w:rsidRPr="001005B7">
        <w:rPr>
          <w:rFonts w:cstheme="minorHAnsi"/>
        </w:rPr>
        <w:t xml:space="preserve"> are accountable for </w:t>
      </w:r>
      <w:r w:rsidR="00E20775" w:rsidRPr="001005B7">
        <w:rPr>
          <w:rFonts w:cstheme="minorHAnsi"/>
        </w:rPr>
        <w:t>wrongdoing (</w:t>
      </w:r>
      <w:r w:rsidR="00B8225D" w:rsidRPr="001005B7">
        <w:rPr>
          <w:rFonts w:cstheme="minorHAnsi"/>
        </w:rPr>
        <w:t xml:space="preserve">the noun </w:t>
      </w:r>
      <w:r w:rsidR="00B8225D" w:rsidRPr="001005B7">
        <w:rPr>
          <w:rFonts w:cstheme="minorHAnsi"/>
          <w:rtl/>
          <w:lang w:bidi="he-IL"/>
        </w:rPr>
        <w:t>אׇשׇׁם</w:t>
      </w:r>
      <w:r w:rsidR="00C51685" w:rsidRPr="001005B7">
        <w:rPr>
          <w:rFonts w:cstheme="minorHAnsi"/>
        </w:rPr>
        <w:t xml:space="preserve">, </w:t>
      </w:r>
      <w:r w:rsidR="00E20775" w:rsidRPr="001005B7">
        <w:rPr>
          <w:rFonts w:cstheme="minorHAnsi"/>
        </w:rPr>
        <w:t>traditionally, “guilt</w:t>
      </w:r>
      <w:r w:rsidR="00951C6E" w:rsidRPr="001005B7">
        <w:rPr>
          <w:rFonts w:cstheme="minorHAnsi"/>
        </w:rPr>
        <w:t xml:space="preserve"> </w:t>
      </w:r>
      <w:r w:rsidR="00E20775" w:rsidRPr="001005B7">
        <w:rPr>
          <w:rFonts w:cstheme="minorHAnsi"/>
        </w:rPr>
        <w:t xml:space="preserve">offerings” </w:t>
      </w:r>
      <w:r w:rsidR="00951C6E" w:rsidRPr="001005B7">
        <w:rPr>
          <w:rFonts w:cstheme="minorHAnsi"/>
        </w:rPr>
        <w:t>or “trespass offerings</w:t>
      </w:r>
      <w:r w:rsidR="00B86A07" w:rsidRPr="001005B7">
        <w:rPr>
          <w:rFonts w:cstheme="minorHAnsi"/>
        </w:rPr>
        <w:t>”</w:t>
      </w:r>
      <w:r w:rsidR="00951C6E" w:rsidRPr="001005B7">
        <w:rPr>
          <w:rFonts w:cstheme="minorHAnsi"/>
        </w:rPr>
        <w:t>).</w:t>
      </w:r>
      <w:r w:rsidR="00A3677E" w:rsidRPr="001005B7">
        <w:rPr>
          <w:rStyle w:val="FootnoteReference"/>
          <w:rFonts w:cstheme="minorHAnsi"/>
        </w:rPr>
        <w:footnoteReference w:id="200"/>
      </w:r>
      <w:r w:rsidR="001E77BB" w:rsidRPr="001005B7">
        <w:rPr>
          <w:rFonts w:cstheme="minorHAnsi"/>
        </w:rPr>
        <w:t xml:space="preserve"> </w:t>
      </w:r>
      <w:r w:rsidR="006D5603" w:rsidRPr="001005B7">
        <w:rPr>
          <w:rFonts w:cstheme="minorHAnsi"/>
        </w:rPr>
        <w:t xml:space="preserve">But these altars have become means of </w:t>
      </w:r>
      <w:r w:rsidR="00FD3199" w:rsidRPr="001005B7">
        <w:rPr>
          <w:rFonts w:cstheme="minorHAnsi"/>
        </w:rPr>
        <w:t>wrongdoing rather than means of putting wrongdoing right.</w:t>
      </w:r>
      <w:r w:rsidR="00A9034C" w:rsidRPr="001005B7">
        <w:rPr>
          <w:rFonts w:cstheme="minorHAnsi"/>
        </w:rPr>
        <w:t xml:space="preserve"> So they will be </w:t>
      </w:r>
      <w:r w:rsidR="00D80251" w:rsidRPr="001005B7">
        <w:rPr>
          <w:rFonts w:cstheme="minorHAnsi"/>
        </w:rPr>
        <w:t xml:space="preserve">given </w:t>
      </w:r>
      <w:r w:rsidR="00A9034C" w:rsidRPr="001005B7">
        <w:rPr>
          <w:rFonts w:cstheme="minorHAnsi"/>
        </w:rPr>
        <w:t>recogni</w:t>
      </w:r>
      <w:r w:rsidR="00D80251" w:rsidRPr="001005B7">
        <w:rPr>
          <w:rFonts w:cstheme="minorHAnsi"/>
        </w:rPr>
        <w:t>tion</w:t>
      </w:r>
      <w:r w:rsidR="00A9034C" w:rsidRPr="001005B7">
        <w:rPr>
          <w:rFonts w:cstheme="minorHAnsi"/>
        </w:rPr>
        <w:t xml:space="preserve"> for the</w:t>
      </w:r>
      <w:r w:rsidR="00D80251" w:rsidRPr="001005B7">
        <w:rPr>
          <w:rFonts w:cstheme="minorHAnsi"/>
        </w:rPr>
        <w:t>ir</w:t>
      </w:r>
      <w:r w:rsidR="00A9034C" w:rsidRPr="001005B7">
        <w:rPr>
          <w:rFonts w:cstheme="minorHAnsi"/>
        </w:rPr>
        <w:t xml:space="preserve"> guilt</w:t>
      </w:r>
      <w:r w:rsidR="00D50316" w:rsidRPr="001005B7">
        <w:rPr>
          <w:rFonts w:cstheme="minorHAnsi"/>
        </w:rPr>
        <w:t xml:space="preserve"> (</w:t>
      </w:r>
      <w:r w:rsidR="00D50316" w:rsidRPr="001005B7">
        <w:t>Rashi, in MG)</w:t>
      </w:r>
      <w:r w:rsidR="00A9034C" w:rsidRPr="001005B7">
        <w:rPr>
          <w:rFonts w:cstheme="minorHAnsi"/>
        </w:rPr>
        <w:t>.</w:t>
      </w:r>
      <w:r w:rsidR="00521F35" w:rsidRPr="001005B7">
        <w:rPr>
          <w:rFonts w:cstheme="minorHAnsi"/>
        </w:rPr>
        <w:t xml:space="preserve"> </w:t>
      </w:r>
      <w:r w:rsidR="000D602C" w:rsidRPr="001005B7">
        <w:rPr>
          <w:rFonts w:cstheme="minorHAnsi"/>
        </w:rPr>
        <w:t xml:space="preserve">And one </w:t>
      </w:r>
      <w:r w:rsidR="00967AD6" w:rsidRPr="001005B7">
        <w:rPr>
          <w:rFonts w:cstheme="minorHAnsi"/>
        </w:rPr>
        <w:t>consequence</w:t>
      </w:r>
      <w:r w:rsidR="000D602C" w:rsidRPr="001005B7">
        <w:rPr>
          <w:rFonts w:cstheme="minorHAnsi"/>
        </w:rPr>
        <w:t xml:space="preserve"> will be that </w:t>
      </w:r>
      <w:r w:rsidR="00967AD6" w:rsidRPr="001005B7">
        <w:rPr>
          <w:rFonts w:cstheme="minorHAnsi"/>
        </w:rPr>
        <w:t>people “</w:t>
      </w:r>
      <w:r w:rsidR="00967AD6" w:rsidRPr="001005B7">
        <w:t>will</w:t>
      </w:r>
      <w:r w:rsidR="00967AD6" w:rsidRPr="001005B7">
        <w:rPr>
          <w:i/>
          <w:iCs/>
        </w:rPr>
        <w:t xml:space="preserve"> </w:t>
      </w:r>
      <w:r w:rsidR="00967AD6" w:rsidRPr="001005B7">
        <w:t>acknowledge</w:t>
      </w:r>
      <w:r w:rsidR="00967AD6" w:rsidRPr="001005B7">
        <w:rPr>
          <w:i/>
          <w:iCs/>
        </w:rPr>
        <w:t xml:space="preserve"> </w:t>
      </w:r>
      <w:r w:rsidR="00967AD6" w:rsidRPr="001005B7">
        <w:t>that</w:t>
      </w:r>
      <w:r w:rsidR="00967AD6" w:rsidRPr="001005B7">
        <w:rPr>
          <w:i/>
          <w:iCs/>
        </w:rPr>
        <w:t xml:space="preserve"> </w:t>
      </w:r>
      <w:r w:rsidR="00967AD6" w:rsidRPr="001005B7">
        <w:t>I</w:t>
      </w:r>
      <w:r w:rsidR="00967AD6" w:rsidRPr="001005B7">
        <w:rPr>
          <w:i/>
          <w:iCs/>
        </w:rPr>
        <w:t xml:space="preserve"> </w:t>
      </w:r>
      <w:r w:rsidR="00967AD6" w:rsidRPr="001005B7">
        <w:t>am</w:t>
      </w:r>
      <w:r w:rsidR="00967AD6" w:rsidRPr="001005B7">
        <w:rPr>
          <w:i/>
          <w:iCs/>
        </w:rPr>
        <w:t xml:space="preserve"> </w:t>
      </w:r>
      <w:r w:rsidR="00967AD6" w:rsidRPr="001005B7">
        <w:t>Yahweh.”</w:t>
      </w:r>
      <w:r w:rsidR="00967AD6" w:rsidRPr="001005B7">
        <w:rPr>
          <w:rFonts w:cstheme="minorHAnsi"/>
        </w:rPr>
        <w:t xml:space="preserve"> </w:t>
      </w:r>
      <w:r w:rsidR="008F173A" w:rsidRPr="001005B7">
        <w:rPr>
          <w:rFonts w:cstheme="minorHAnsi"/>
        </w:rPr>
        <w:t>In</w:t>
      </w:r>
      <w:r w:rsidR="008F173A" w:rsidRPr="001005B7">
        <w:rPr>
          <w:rFonts w:cstheme="minorHAnsi"/>
          <w:b/>
          <w:bCs/>
        </w:rPr>
        <w:t xml:space="preserve"> </w:t>
      </w:r>
      <w:r w:rsidR="008F173A" w:rsidRPr="001005B7">
        <w:rPr>
          <w:rFonts w:cstheme="minorHAnsi"/>
        </w:rPr>
        <w:t>Ezekiel</w:t>
      </w:r>
      <w:r w:rsidR="008F173A" w:rsidRPr="001005B7">
        <w:rPr>
          <w:rFonts w:cstheme="minorHAnsi"/>
          <w:b/>
          <w:bCs/>
        </w:rPr>
        <w:t xml:space="preserve"> </w:t>
      </w:r>
      <w:r w:rsidR="00A80265" w:rsidRPr="001005B7">
        <w:rPr>
          <w:rFonts w:cstheme="minorHAnsi"/>
        </w:rPr>
        <w:t xml:space="preserve">Yahweh has </w:t>
      </w:r>
      <w:r w:rsidR="00C04B29">
        <w:rPr>
          <w:rFonts w:cstheme="minorHAnsi"/>
        </w:rPr>
        <w:t xml:space="preserve">so far </w:t>
      </w:r>
      <w:r w:rsidR="00A80265" w:rsidRPr="001005B7">
        <w:rPr>
          <w:rFonts w:cstheme="minorHAnsi"/>
        </w:rPr>
        <w:t xml:space="preserve">used the verb </w:t>
      </w:r>
      <w:r w:rsidR="00B668E4" w:rsidRPr="001005B7">
        <w:rPr>
          <w:rFonts w:cstheme="minorHAnsi"/>
          <w:rtl/>
          <w:lang w:bidi="he-IL"/>
        </w:rPr>
        <w:t>יׇדַע</w:t>
      </w:r>
      <w:r w:rsidR="00B668E4" w:rsidRPr="001005B7">
        <w:rPr>
          <w:rFonts w:cstheme="minorHAnsi"/>
        </w:rPr>
        <w:t>, “</w:t>
      </w:r>
      <w:r w:rsidR="00A80265" w:rsidRPr="001005B7">
        <w:rPr>
          <w:rFonts w:cstheme="minorHAnsi"/>
        </w:rPr>
        <w:t>acknowledge</w:t>
      </w:r>
      <w:r w:rsidR="00B668E4" w:rsidRPr="001005B7">
        <w:rPr>
          <w:rFonts w:cstheme="minorHAnsi"/>
        </w:rPr>
        <w:t>,”</w:t>
      </w:r>
      <w:r w:rsidR="00A80265" w:rsidRPr="001005B7">
        <w:rPr>
          <w:rFonts w:cstheme="minorHAnsi"/>
        </w:rPr>
        <w:t xml:space="preserve"> </w:t>
      </w:r>
      <w:r w:rsidR="0075122F" w:rsidRPr="001005B7">
        <w:rPr>
          <w:rFonts w:cstheme="minorHAnsi"/>
        </w:rPr>
        <w:t>twice</w:t>
      </w:r>
      <w:r w:rsidR="00A80265" w:rsidRPr="001005B7">
        <w:rPr>
          <w:rFonts w:cstheme="minorHAnsi"/>
        </w:rPr>
        <w:t xml:space="preserve"> (</w:t>
      </w:r>
      <w:r w:rsidR="008F0DE7" w:rsidRPr="001005B7">
        <w:rPr>
          <w:rFonts w:cstheme="minorHAnsi"/>
        </w:rPr>
        <w:t>2:</w:t>
      </w:r>
      <w:r w:rsidR="00742FAA" w:rsidRPr="001005B7">
        <w:rPr>
          <w:rFonts w:cstheme="minorHAnsi"/>
        </w:rPr>
        <w:t xml:space="preserve">5—see the </w:t>
      </w:r>
      <w:r w:rsidR="00557029" w:rsidRPr="001005B7">
        <w:rPr>
          <w:rFonts w:cstheme="minorHAnsi"/>
        </w:rPr>
        <w:t xml:space="preserve">verse-by-verse </w:t>
      </w:r>
      <w:r w:rsidR="00742FAA" w:rsidRPr="001005B7">
        <w:rPr>
          <w:rFonts w:cstheme="minorHAnsi"/>
        </w:rPr>
        <w:t>c</w:t>
      </w:r>
      <w:r w:rsidR="00105E1B" w:rsidRPr="001005B7">
        <w:rPr>
          <w:rFonts w:cstheme="minorHAnsi"/>
        </w:rPr>
        <w:t>o</w:t>
      </w:r>
      <w:r w:rsidR="00742FAA" w:rsidRPr="001005B7">
        <w:rPr>
          <w:rFonts w:cstheme="minorHAnsi"/>
        </w:rPr>
        <w:t>mment</w:t>
      </w:r>
      <w:r w:rsidR="001648D7" w:rsidRPr="001005B7">
        <w:rPr>
          <w:rFonts w:cstheme="minorHAnsi"/>
        </w:rPr>
        <w:t>ary</w:t>
      </w:r>
      <w:r w:rsidR="00105E1B" w:rsidRPr="001005B7">
        <w:rPr>
          <w:rFonts w:cstheme="minorHAnsi"/>
        </w:rPr>
        <w:t xml:space="preserve">; </w:t>
      </w:r>
      <w:r w:rsidR="000B463E" w:rsidRPr="001005B7">
        <w:rPr>
          <w:rFonts w:cstheme="minorHAnsi"/>
        </w:rPr>
        <w:t xml:space="preserve">and </w:t>
      </w:r>
      <w:r w:rsidR="00105E1B" w:rsidRPr="001005B7">
        <w:rPr>
          <w:rFonts w:cstheme="minorHAnsi"/>
        </w:rPr>
        <w:t>5:1</w:t>
      </w:r>
      <w:r w:rsidR="004A51F8" w:rsidRPr="001005B7">
        <w:rPr>
          <w:rFonts w:cstheme="minorHAnsi"/>
        </w:rPr>
        <w:t>3</w:t>
      </w:r>
      <w:r w:rsidR="0075122F" w:rsidRPr="001005B7">
        <w:rPr>
          <w:rFonts w:cstheme="minorHAnsi"/>
        </w:rPr>
        <w:t>)</w:t>
      </w:r>
      <w:r w:rsidR="00544059" w:rsidRPr="001005B7">
        <w:rPr>
          <w:rFonts w:cstheme="minorHAnsi"/>
        </w:rPr>
        <w:t>. H</w:t>
      </w:r>
      <w:r w:rsidR="004E162B" w:rsidRPr="001005B7">
        <w:rPr>
          <w:rFonts w:cstheme="minorHAnsi"/>
        </w:rPr>
        <w:t>ere for the first time</w:t>
      </w:r>
      <w:r w:rsidR="0075122F" w:rsidRPr="001005B7">
        <w:rPr>
          <w:rFonts w:cstheme="minorHAnsi"/>
        </w:rPr>
        <w:t xml:space="preserve"> he </w:t>
      </w:r>
      <w:r w:rsidR="004E162B" w:rsidRPr="001005B7">
        <w:rPr>
          <w:rFonts w:cstheme="minorHAnsi"/>
        </w:rPr>
        <w:t xml:space="preserve">uses it </w:t>
      </w:r>
      <w:r w:rsidR="003C0B25" w:rsidRPr="001005B7">
        <w:rPr>
          <w:rFonts w:cstheme="minorHAnsi"/>
        </w:rPr>
        <w:t xml:space="preserve">in </w:t>
      </w:r>
      <w:r w:rsidR="00CC4AE5" w:rsidRPr="001005B7">
        <w:rPr>
          <w:rFonts w:cstheme="minorHAnsi"/>
        </w:rPr>
        <w:t>this</w:t>
      </w:r>
      <w:r w:rsidR="003C0B25" w:rsidRPr="001005B7">
        <w:rPr>
          <w:rFonts w:cstheme="minorHAnsi"/>
        </w:rPr>
        <w:t xml:space="preserve"> more technical and important context</w:t>
      </w:r>
      <w:r w:rsidR="003C0B25" w:rsidRPr="001005B7">
        <w:t xml:space="preserve"> </w:t>
      </w:r>
      <w:r w:rsidR="000C0308" w:rsidRPr="001005B7">
        <w:t xml:space="preserve">(cf. </w:t>
      </w:r>
      <w:r w:rsidR="0042084A" w:rsidRPr="001005B7">
        <w:t>6:</w:t>
      </w:r>
      <w:r w:rsidR="000C0308" w:rsidRPr="001005B7">
        <w:t>13, 14</w:t>
      </w:r>
      <w:r w:rsidR="005623A1" w:rsidRPr="001005B7">
        <w:t xml:space="preserve">; also </w:t>
      </w:r>
      <w:r w:rsidR="003D021F" w:rsidRPr="001005B7">
        <w:t>6:</w:t>
      </w:r>
      <w:r w:rsidR="005623A1" w:rsidRPr="001005B7">
        <w:t>10</w:t>
      </w:r>
      <w:r w:rsidR="00A405FA" w:rsidRPr="001005B7">
        <w:t xml:space="preserve">; and see the </w:t>
      </w:r>
      <w:r w:rsidR="008B2FCB">
        <w:t xml:space="preserve">section on </w:t>
      </w:r>
      <w:r w:rsidR="00B6183E">
        <w:t>“What It Means that Yahweh is God</w:t>
      </w:r>
      <w:r w:rsidR="00A90248">
        <w:t>” in the introduction to this commentary).</w:t>
      </w:r>
    </w:p>
    <w:p w14:paraId="5A720B05" w14:textId="7FC24DE2" w:rsidR="00D21EDF" w:rsidRPr="001005B7" w:rsidRDefault="00ED4BA9" w:rsidP="00EC5D15">
      <w:pPr>
        <w:rPr>
          <w:rFonts w:cstheme="minorHAnsi"/>
        </w:rPr>
      </w:pPr>
      <w:r w:rsidRPr="001005B7">
        <w:rPr>
          <w:rFonts w:cstheme="minorHAnsi"/>
          <w:b/>
          <w:bCs/>
        </w:rPr>
        <w:t xml:space="preserve">6:8 </w:t>
      </w:r>
      <w:r w:rsidR="00215C0C" w:rsidRPr="001005B7">
        <w:rPr>
          <w:rFonts w:cstheme="minorHAnsi"/>
        </w:rPr>
        <w:t xml:space="preserve">Twice Yahweh has </w:t>
      </w:r>
      <w:r w:rsidR="004F7C91" w:rsidRPr="001005B7">
        <w:rPr>
          <w:rFonts w:cstheme="minorHAnsi"/>
        </w:rPr>
        <w:t xml:space="preserve">spoken as if he </w:t>
      </w:r>
      <w:r w:rsidR="005E2C33" w:rsidRPr="001005B7">
        <w:rPr>
          <w:rFonts w:cstheme="minorHAnsi"/>
        </w:rPr>
        <w:t>might</w:t>
      </w:r>
      <w:r w:rsidR="004F7C91" w:rsidRPr="001005B7">
        <w:rPr>
          <w:rFonts w:cstheme="minorHAnsi"/>
        </w:rPr>
        <w:t xml:space="preserve"> allow a group of people to survive his act</w:t>
      </w:r>
      <w:r w:rsidR="00DD7448" w:rsidRPr="001005B7">
        <w:rPr>
          <w:rFonts w:cstheme="minorHAnsi"/>
        </w:rPr>
        <w:t xml:space="preserve"> of devastation</w:t>
      </w:r>
      <w:r w:rsidR="00C16BEA" w:rsidRPr="001005B7">
        <w:rPr>
          <w:rFonts w:cstheme="minorHAnsi"/>
        </w:rPr>
        <w:t xml:space="preserve"> but has</w:t>
      </w:r>
      <w:r w:rsidR="00DD7448" w:rsidRPr="001005B7">
        <w:rPr>
          <w:rFonts w:cstheme="minorHAnsi"/>
        </w:rPr>
        <w:t xml:space="preserve"> then turned it into a false hope (</w:t>
      </w:r>
      <w:r w:rsidR="001E3EF0" w:rsidRPr="001005B7">
        <w:rPr>
          <w:rFonts w:cstheme="minorHAnsi"/>
        </w:rPr>
        <w:t xml:space="preserve">5:4, </w:t>
      </w:r>
      <w:r w:rsidR="005E2C33" w:rsidRPr="001005B7">
        <w:rPr>
          <w:rFonts w:cstheme="minorHAnsi"/>
        </w:rPr>
        <w:t xml:space="preserve">12). </w:t>
      </w:r>
      <w:r w:rsidR="00C47E34" w:rsidRPr="001005B7">
        <w:rPr>
          <w:rFonts w:cstheme="minorHAnsi"/>
        </w:rPr>
        <w:t>Here he</w:t>
      </w:r>
      <w:r w:rsidR="00014B0E" w:rsidRPr="001005B7">
        <w:rPr>
          <w:rFonts w:cstheme="minorHAnsi"/>
        </w:rPr>
        <w:t xml:space="preserve"> again sounds as if he </w:t>
      </w:r>
      <w:r w:rsidR="004848BD" w:rsidRPr="001005B7">
        <w:rPr>
          <w:rFonts w:cstheme="minorHAnsi"/>
        </w:rPr>
        <w:t>is offering some hope</w:t>
      </w:r>
      <w:r w:rsidR="00555FD1" w:rsidRPr="001005B7">
        <w:rPr>
          <w:rFonts w:cstheme="minorHAnsi"/>
        </w:rPr>
        <w:t xml:space="preserve"> but the “promise” turns out to be sardonic.</w:t>
      </w:r>
      <w:r w:rsidR="00C47E34" w:rsidRPr="001005B7">
        <w:rPr>
          <w:rFonts w:cstheme="minorHAnsi"/>
        </w:rPr>
        <w:t xml:space="preserve"> </w:t>
      </w:r>
      <w:r w:rsidR="003E4470" w:rsidRPr="001005B7">
        <w:rPr>
          <w:rFonts w:cstheme="minorHAnsi"/>
        </w:rPr>
        <w:t>H</w:t>
      </w:r>
      <w:r w:rsidR="00C47E34" w:rsidRPr="001005B7">
        <w:rPr>
          <w:rFonts w:cstheme="minorHAnsi"/>
        </w:rPr>
        <w:t>e will</w:t>
      </w:r>
      <w:r w:rsidR="00606CD2" w:rsidRPr="001005B7">
        <w:rPr>
          <w:rFonts w:cstheme="minorHAnsi"/>
        </w:rPr>
        <w:t xml:space="preserve"> </w:t>
      </w:r>
      <w:r w:rsidR="00BD799D" w:rsidRPr="001005B7">
        <w:rPr>
          <w:rFonts w:cstheme="minorHAnsi"/>
        </w:rPr>
        <w:t>“</w:t>
      </w:r>
      <w:r w:rsidR="00C47E34" w:rsidRPr="001005B7">
        <w:rPr>
          <w:rFonts w:cstheme="minorHAnsi"/>
        </w:rPr>
        <w:t>leave</w:t>
      </w:r>
      <w:r w:rsidR="00BD799D" w:rsidRPr="001005B7">
        <w:rPr>
          <w:rFonts w:cstheme="minorHAnsi"/>
        </w:rPr>
        <w:t>”</w:t>
      </w:r>
      <w:r w:rsidR="00C47E34" w:rsidRPr="001005B7">
        <w:rPr>
          <w:rFonts w:cstheme="minorHAnsi"/>
        </w:rPr>
        <w:t xml:space="preserve"> some people</w:t>
      </w:r>
      <w:r w:rsidR="007B1D15" w:rsidRPr="001005B7">
        <w:rPr>
          <w:rFonts w:cstheme="minorHAnsi"/>
        </w:rPr>
        <w:t xml:space="preserve"> (</w:t>
      </w:r>
      <w:r w:rsidR="007B1D15" w:rsidRPr="001005B7">
        <w:rPr>
          <w:rFonts w:cstheme="minorHAnsi"/>
          <w:rtl/>
          <w:lang w:bidi="he-IL"/>
        </w:rPr>
        <w:t>יׇתַר</w:t>
      </w:r>
      <w:r w:rsidR="008F0E09" w:rsidRPr="001005B7">
        <w:rPr>
          <w:rFonts w:cstheme="minorHAnsi"/>
        </w:rPr>
        <w:t xml:space="preserve"> </w:t>
      </w:r>
      <w:proofErr w:type="spellStart"/>
      <w:r w:rsidR="008F0E09" w:rsidRPr="001005B7">
        <w:rPr>
          <w:rFonts w:cstheme="minorHAnsi"/>
        </w:rPr>
        <w:t>hiphil</w:t>
      </w:r>
      <w:proofErr w:type="spellEnd"/>
      <w:r w:rsidR="008F0E09" w:rsidRPr="001005B7">
        <w:rPr>
          <w:rFonts w:cstheme="minorHAnsi"/>
        </w:rPr>
        <w:t xml:space="preserve">, a word that </w:t>
      </w:r>
      <w:r w:rsidR="000A3F42" w:rsidRPr="001005B7">
        <w:rPr>
          <w:rFonts w:cstheme="minorHAnsi"/>
        </w:rPr>
        <w:t>might seem to have positive</w:t>
      </w:r>
      <w:r w:rsidR="008F0E09" w:rsidRPr="001005B7">
        <w:rPr>
          <w:rFonts w:cstheme="minorHAnsi"/>
        </w:rPr>
        <w:t xml:space="preserve"> “remnant” connotations</w:t>
      </w:r>
      <w:r w:rsidR="00D6428F" w:rsidRPr="001005B7">
        <w:rPr>
          <w:rFonts w:cstheme="minorHAnsi"/>
        </w:rPr>
        <w:t>)</w:t>
      </w:r>
      <w:r w:rsidR="00CD3CBA" w:rsidRPr="001005B7">
        <w:rPr>
          <w:rFonts w:cstheme="minorHAnsi"/>
        </w:rPr>
        <w:t xml:space="preserve">, </w:t>
      </w:r>
      <w:r w:rsidR="000B0424" w:rsidRPr="001005B7">
        <w:rPr>
          <w:rFonts w:cstheme="minorHAnsi"/>
        </w:rPr>
        <w:t>exempt</w:t>
      </w:r>
      <w:r w:rsidR="00CD3CBA" w:rsidRPr="001005B7">
        <w:rPr>
          <w:rFonts w:cstheme="minorHAnsi"/>
        </w:rPr>
        <w:t>ing them</w:t>
      </w:r>
      <w:r w:rsidR="000B0424" w:rsidRPr="001005B7">
        <w:rPr>
          <w:rFonts w:cstheme="minorHAnsi"/>
        </w:rPr>
        <w:t xml:space="preserve"> from the </w:t>
      </w:r>
      <w:r w:rsidR="00A617E6" w:rsidRPr="001005B7">
        <w:rPr>
          <w:rFonts w:cstheme="minorHAnsi"/>
        </w:rPr>
        <w:t>slaughter</w:t>
      </w:r>
      <w:r w:rsidR="00A83AB1" w:rsidRPr="001005B7">
        <w:rPr>
          <w:rFonts w:cstheme="minorHAnsi"/>
        </w:rPr>
        <w:t xml:space="preserve"> </w:t>
      </w:r>
      <w:r w:rsidR="00616E99" w:rsidRPr="001005B7">
        <w:rPr>
          <w:rFonts w:cstheme="minorHAnsi"/>
        </w:rPr>
        <w:t>and letting</w:t>
      </w:r>
      <w:r w:rsidR="00022618" w:rsidRPr="001005B7">
        <w:rPr>
          <w:rFonts w:cstheme="minorHAnsi"/>
        </w:rPr>
        <w:t xml:space="preserve"> </w:t>
      </w:r>
      <w:r w:rsidR="000B0E95" w:rsidRPr="001005B7">
        <w:rPr>
          <w:rFonts w:cstheme="minorHAnsi"/>
        </w:rPr>
        <w:t>them live</w:t>
      </w:r>
      <w:r w:rsidR="00EF67B2" w:rsidRPr="001005B7">
        <w:rPr>
          <w:rFonts w:cstheme="minorHAnsi"/>
        </w:rPr>
        <w:t xml:space="preserve"> on when th</w:t>
      </w:r>
      <w:r w:rsidR="00DE50B3" w:rsidRPr="001005B7">
        <w:rPr>
          <w:rFonts w:cstheme="minorHAnsi"/>
        </w:rPr>
        <w:t>e</w:t>
      </w:r>
      <w:r w:rsidR="00EF67B2" w:rsidRPr="001005B7">
        <w:rPr>
          <w:rFonts w:cstheme="minorHAnsi"/>
        </w:rPr>
        <w:t xml:space="preserve">y have been scattered. </w:t>
      </w:r>
      <w:r w:rsidR="0038662E" w:rsidRPr="001005B7">
        <w:rPr>
          <w:rFonts w:cstheme="minorHAnsi"/>
        </w:rPr>
        <w:t xml:space="preserve">But it will turn out that </w:t>
      </w:r>
      <w:r w:rsidR="00636747" w:rsidRPr="001005B7">
        <w:rPr>
          <w:rFonts w:cstheme="minorHAnsi"/>
        </w:rPr>
        <w:t>their prospect there is not very positive.</w:t>
      </w:r>
      <w:r w:rsidR="00EC5D15" w:rsidRPr="001005B7">
        <w:rPr>
          <w:rFonts w:cstheme="minorHAnsi"/>
        </w:rPr>
        <w:t xml:space="preserve"> I</w:t>
      </w:r>
      <w:r w:rsidR="004D0691" w:rsidRPr="001005B7">
        <w:rPr>
          <w:rFonts w:cstheme="minorHAnsi"/>
        </w:rPr>
        <w:t xml:space="preserve">n </w:t>
      </w:r>
      <w:r w:rsidR="004A60AD" w:rsidRPr="001005B7">
        <w:rPr>
          <w:rFonts w:cstheme="minorHAnsi"/>
        </w:rPr>
        <w:t>6:8</w:t>
      </w:r>
      <w:r w:rsidR="00F46900" w:rsidRPr="001005B7">
        <w:rPr>
          <w:rFonts w:cstheme="minorHAnsi"/>
        </w:rPr>
        <w:t>–</w:t>
      </w:r>
      <w:r w:rsidR="004A60AD" w:rsidRPr="001005B7">
        <w:rPr>
          <w:rFonts w:cstheme="minorHAnsi"/>
        </w:rPr>
        <w:t>10,</w:t>
      </w:r>
      <w:r w:rsidR="004D0691" w:rsidRPr="001005B7">
        <w:rPr>
          <w:rFonts w:cstheme="minorHAnsi"/>
        </w:rPr>
        <w:t xml:space="preserve"> </w:t>
      </w:r>
      <w:r w:rsidR="00E81B20" w:rsidRPr="001005B7">
        <w:rPr>
          <w:rFonts w:cstheme="minorHAnsi"/>
        </w:rPr>
        <w:t xml:space="preserve">Yahweh moves in a </w:t>
      </w:r>
      <w:r w:rsidR="00FF2ADA" w:rsidRPr="001005B7">
        <w:rPr>
          <w:rFonts w:cstheme="minorHAnsi"/>
        </w:rPr>
        <w:t xml:space="preserve">potentially </w:t>
      </w:r>
      <w:r w:rsidR="00E81B20" w:rsidRPr="001005B7">
        <w:rPr>
          <w:rFonts w:cstheme="minorHAnsi"/>
        </w:rPr>
        <w:t xml:space="preserve">confusing way between </w:t>
      </w:r>
      <w:r w:rsidR="00BD799D" w:rsidRPr="001005B7">
        <w:rPr>
          <w:rFonts w:cstheme="minorHAnsi"/>
        </w:rPr>
        <w:t>“</w:t>
      </w:r>
      <w:r w:rsidR="006A5EED" w:rsidRPr="001005B7">
        <w:rPr>
          <w:rFonts w:cstheme="minorHAnsi"/>
        </w:rPr>
        <w:t>you</w:t>
      </w:r>
      <w:r w:rsidR="00BD799D" w:rsidRPr="001005B7">
        <w:rPr>
          <w:rFonts w:cstheme="minorHAnsi"/>
        </w:rPr>
        <w:t>”</w:t>
      </w:r>
      <w:r w:rsidR="006A5EED" w:rsidRPr="001005B7">
        <w:rPr>
          <w:rFonts w:cstheme="minorHAnsi"/>
        </w:rPr>
        <w:t xml:space="preserve"> and </w:t>
      </w:r>
      <w:r w:rsidR="00BD799D" w:rsidRPr="001005B7">
        <w:rPr>
          <w:rFonts w:cstheme="minorHAnsi"/>
        </w:rPr>
        <w:t>“</w:t>
      </w:r>
      <w:r w:rsidR="006A5EED" w:rsidRPr="001005B7">
        <w:rPr>
          <w:rFonts w:cstheme="minorHAnsi"/>
        </w:rPr>
        <w:t>they</w:t>
      </w:r>
      <w:r w:rsidR="00A83AB1" w:rsidRPr="001005B7">
        <w:rPr>
          <w:rFonts w:cstheme="minorHAnsi"/>
        </w:rPr>
        <w:t>,</w:t>
      </w:r>
      <w:r w:rsidR="00BD799D" w:rsidRPr="001005B7">
        <w:rPr>
          <w:rFonts w:cstheme="minorHAnsi"/>
        </w:rPr>
        <w:t>”</w:t>
      </w:r>
      <w:r w:rsidR="00A83AB1" w:rsidRPr="001005B7">
        <w:rPr>
          <w:rFonts w:cstheme="minorHAnsi"/>
        </w:rPr>
        <w:t xml:space="preserve"> between the </w:t>
      </w:r>
      <w:r w:rsidR="00D470B9" w:rsidRPr="001005B7">
        <w:rPr>
          <w:rFonts w:cstheme="minorHAnsi"/>
        </w:rPr>
        <w:t xml:space="preserve">people in </w:t>
      </w:r>
      <w:proofErr w:type="spellStart"/>
      <w:r w:rsidR="00D470B9" w:rsidRPr="001005B7">
        <w:rPr>
          <w:rFonts w:cstheme="minorHAnsi"/>
        </w:rPr>
        <w:t>Kebar</w:t>
      </w:r>
      <w:proofErr w:type="spellEnd"/>
      <w:r w:rsidR="00D470B9" w:rsidRPr="001005B7">
        <w:rPr>
          <w:rFonts w:cstheme="minorHAnsi"/>
        </w:rPr>
        <w:t xml:space="preserve"> and the people still in Judah</w:t>
      </w:r>
      <w:r w:rsidR="006A5EED" w:rsidRPr="001005B7">
        <w:rPr>
          <w:rFonts w:cstheme="minorHAnsi"/>
        </w:rPr>
        <w:t xml:space="preserve">. </w:t>
      </w:r>
      <w:r w:rsidR="00E37EB2" w:rsidRPr="001005B7">
        <w:rPr>
          <w:rFonts w:cstheme="minorHAnsi"/>
        </w:rPr>
        <w:t>Strictly</w:t>
      </w:r>
      <w:r w:rsidR="005D52CF" w:rsidRPr="001005B7">
        <w:rPr>
          <w:rFonts w:cstheme="minorHAnsi"/>
        </w:rPr>
        <w:t xml:space="preserve"> a</w:t>
      </w:r>
      <w:r w:rsidR="00D36F00" w:rsidRPr="001005B7">
        <w:rPr>
          <w:rFonts w:cstheme="minorHAnsi"/>
        </w:rPr>
        <w:t>ccording to the grammar of this chapter</w:t>
      </w:r>
      <w:r w:rsidR="003D2EF9" w:rsidRPr="001005B7">
        <w:rPr>
          <w:rFonts w:cstheme="minorHAnsi"/>
        </w:rPr>
        <w:t xml:space="preserve">, </w:t>
      </w:r>
      <w:r w:rsidR="00454FD7" w:rsidRPr="001005B7">
        <w:rPr>
          <w:rFonts w:cstheme="minorHAnsi"/>
        </w:rPr>
        <w:t>“</w:t>
      </w:r>
      <w:r w:rsidR="003D2EF9" w:rsidRPr="001005B7">
        <w:rPr>
          <w:rFonts w:cstheme="minorHAnsi"/>
        </w:rPr>
        <w:t>you</w:t>
      </w:r>
      <w:r w:rsidR="00454FD7" w:rsidRPr="001005B7">
        <w:rPr>
          <w:rFonts w:cstheme="minorHAnsi"/>
        </w:rPr>
        <w:t>”</w:t>
      </w:r>
      <w:r w:rsidR="003D2EF9" w:rsidRPr="001005B7">
        <w:rPr>
          <w:rFonts w:cstheme="minorHAnsi"/>
        </w:rPr>
        <w:t xml:space="preserve"> is </w:t>
      </w:r>
      <w:r w:rsidR="00D36F00" w:rsidRPr="001005B7">
        <w:rPr>
          <w:rFonts w:cstheme="minorHAnsi"/>
        </w:rPr>
        <w:t xml:space="preserve">still </w:t>
      </w:r>
      <w:r w:rsidR="003D2EF9" w:rsidRPr="001005B7">
        <w:rPr>
          <w:rFonts w:cstheme="minorHAnsi"/>
        </w:rPr>
        <w:t xml:space="preserve">the mountains that </w:t>
      </w:r>
      <w:r w:rsidR="00C15213" w:rsidRPr="001005B7">
        <w:rPr>
          <w:rFonts w:cstheme="minorHAnsi"/>
        </w:rPr>
        <w:t>Ezekiel</w:t>
      </w:r>
      <w:r w:rsidR="003D2EF9" w:rsidRPr="001005B7">
        <w:rPr>
          <w:rFonts w:cstheme="minorHAnsi"/>
        </w:rPr>
        <w:t xml:space="preserve"> has been commissioned to address, </w:t>
      </w:r>
      <w:r w:rsidR="005D52CF" w:rsidRPr="001005B7">
        <w:rPr>
          <w:rFonts w:cstheme="minorHAnsi"/>
        </w:rPr>
        <w:t>but it</w:t>
      </w:r>
      <w:r w:rsidR="00DD6F90" w:rsidRPr="001005B7">
        <w:rPr>
          <w:rFonts w:cstheme="minorHAnsi"/>
        </w:rPr>
        <w:t xml:space="preserve"> stand</w:t>
      </w:r>
      <w:r w:rsidR="005D52CF" w:rsidRPr="001005B7">
        <w:rPr>
          <w:rFonts w:cstheme="minorHAnsi"/>
        </w:rPr>
        <w:t>s</w:t>
      </w:r>
      <w:r w:rsidR="00DD6F90" w:rsidRPr="001005B7">
        <w:rPr>
          <w:rFonts w:cstheme="minorHAnsi"/>
        </w:rPr>
        <w:t xml:space="preserve"> for </w:t>
      </w:r>
      <w:r w:rsidR="00036FB6" w:rsidRPr="001005B7">
        <w:rPr>
          <w:rFonts w:cstheme="minorHAnsi"/>
        </w:rPr>
        <w:t>the people who live in these highlands</w:t>
      </w:r>
      <w:r w:rsidR="00055DC9" w:rsidRPr="001005B7">
        <w:rPr>
          <w:rFonts w:cstheme="minorHAnsi"/>
        </w:rPr>
        <w:t>. T</w:t>
      </w:r>
      <w:r w:rsidR="00036FB6" w:rsidRPr="001005B7">
        <w:rPr>
          <w:rFonts w:cstheme="minorHAnsi"/>
        </w:rPr>
        <w:t>h</w:t>
      </w:r>
      <w:r w:rsidR="00450A6D" w:rsidRPr="001005B7">
        <w:rPr>
          <w:rFonts w:cstheme="minorHAnsi"/>
        </w:rPr>
        <w:t xml:space="preserve">is </w:t>
      </w:r>
      <w:r w:rsidR="00454FD7" w:rsidRPr="001005B7">
        <w:rPr>
          <w:rFonts w:cstheme="minorHAnsi"/>
        </w:rPr>
        <w:t>“</w:t>
      </w:r>
      <w:r w:rsidR="00450A6D" w:rsidRPr="001005B7">
        <w:rPr>
          <w:rFonts w:cstheme="minorHAnsi"/>
        </w:rPr>
        <w:t>you</w:t>
      </w:r>
      <w:r w:rsidR="00454FD7" w:rsidRPr="001005B7">
        <w:rPr>
          <w:rFonts w:cstheme="minorHAnsi"/>
        </w:rPr>
        <w:t>”</w:t>
      </w:r>
      <w:r w:rsidR="00B408EB" w:rsidRPr="001005B7">
        <w:rPr>
          <w:rFonts w:cstheme="minorHAnsi"/>
        </w:rPr>
        <w:t xml:space="preserve"> </w:t>
      </w:r>
      <w:r w:rsidR="00036FB6" w:rsidRPr="001005B7">
        <w:rPr>
          <w:rFonts w:cstheme="minorHAnsi"/>
        </w:rPr>
        <w:t xml:space="preserve">will </w:t>
      </w:r>
      <w:r w:rsidR="00450A6D" w:rsidRPr="001005B7">
        <w:rPr>
          <w:rFonts w:cstheme="minorHAnsi"/>
        </w:rPr>
        <w:t xml:space="preserve">themselves </w:t>
      </w:r>
      <w:r w:rsidR="00036FB6" w:rsidRPr="001005B7">
        <w:rPr>
          <w:rFonts w:cstheme="minorHAnsi"/>
        </w:rPr>
        <w:t xml:space="preserve">have some survivors </w:t>
      </w:r>
      <w:r w:rsidR="005377FE" w:rsidRPr="001005B7">
        <w:rPr>
          <w:rFonts w:cstheme="minorHAnsi"/>
        </w:rPr>
        <w:t>after the fall of Jer</w:t>
      </w:r>
      <w:r w:rsidR="00F833D9" w:rsidRPr="001005B7">
        <w:rPr>
          <w:rFonts w:cstheme="minorHAnsi"/>
        </w:rPr>
        <w:t>usalem</w:t>
      </w:r>
      <w:r w:rsidR="00055DC9" w:rsidRPr="001005B7">
        <w:rPr>
          <w:rFonts w:cstheme="minorHAnsi"/>
        </w:rPr>
        <w:t>,</w:t>
      </w:r>
      <w:r w:rsidR="00B408EB" w:rsidRPr="001005B7">
        <w:rPr>
          <w:rFonts w:cstheme="minorHAnsi"/>
        </w:rPr>
        <w:t xml:space="preserve"> Ezekiel implies,</w:t>
      </w:r>
      <w:r w:rsidR="00055DC9" w:rsidRPr="001005B7">
        <w:rPr>
          <w:rFonts w:cstheme="minorHAnsi"/>
        </w:rPr>
        <w:t xml:space="preserve"> and in due course </w:t>
      </w:r>
      <w:r w:rsidR="00450A6D" w:rsidRPr="001005B7">
        <w:rPr>
          <w:rFonts w:cstheme="minorHAnsi"/>
        </w:rPr>
        <w:t xml:space="preserve">these survivors </w:t>
      </w:r>
      <w:r w:rsidR="00055DC9" w:rsidRPr="001005B7">
        <w:rPr>
          <w:rFonts w:cstheme="minorHAnsi"/>
        </w:rPr>
        <w:t>will be reading</w:t>
      </w:r>
      <w:r w:rsidR="001E7BB8" w:rsidRPr="001005B7">
        <w:rPr>
          <w:rFonts w:cstheme="minorHAnsi"/>
        </w:rPr>
        <w:t xml:space="preserve"> Ezekiel’s chapters as messages</w:t>
      </w:r>
      <w:r w:rsidR="00055DC9" w:rsidRPr="001005B7">
        <w:rPr>
          <w:rFonts w:cstheme="minorHAnsi"/>
        </w:rPr>
        <w:t xml:space="preserve"> </w:t>
      </w:r>
      <w:r w:rsidR="001E7BB8" w:rsidRPr="001005B7">
        <w:rPr>
          <w:rFonts w:cstheme="minorHAnsi"/>
        </w:rPr>
        <w:t>that</w:t>
      </w:r>
      <w:r w:rsidR="00055DC9" w:rsidRPr="001005B7">
        <w:rPr>
          <w:rFonts w:cstheme="minorHAnsi"/>
        </w:rPr>
        <w:t xml:space="preserve"> </w:t>
      </w:r>
      <w:r w:rsidR="00461680" w:rsidRPr="001005B7">
        <w:rPr>
          <w:rFonts w:cstheme="minorHAnsi"/>
        </w:rPr>
        <w:t>relat</w:t>
      </w:r>
      <w:r w:rsidR="001E7BB8" w:rsidRPr="001005B7">
        <w:rPr>
          <w:rFonts w:cstheme="minorHAnsi"/>
        </w:rPr>
        <w:t>e</w:t>
      </w:r>
      <w:r w:rsidR="00461680" w:rsidRPr="001005B7">
        <w:rPr>
          <w:rFonts w:cstheme="minorHAnsi"/>
        </w:rPr>
        <w:t xml:space="preserve"> to the</w:t>
      </w:r>
      <w:r w:rsidR="001E7BB8" w:rsidRPr="001005B7">
        <w:rPr>
          <w:rFonts w:cstheme="minorHAnsi"/>
        </w:rPr>
        <w:t>m</w:t>
      </w:r>
      <w:r w:rsidR="00036FB6" w:rsidRPr="001005B7">
        <w:rPr>
          <w:rFonts w:cstheme="minorHAnsi"/>
        </w:rPr>
        <w:t xml:space="preserve">. </w:t>
      </w:r>
      <w:r w:rsidR="00FF2ADA" w:rsidRPr="001005B7">
        <w:rPr>
          <w:rFonts w:cstheme="minorHAnsi"/>
        </w:rPr>
        <w:t xml:space="preserve">But </w:t>
      </w:r>
      <w:r w:rsidR="001E7BB8" w:rsidRPr="001005B7">
        <w:rPr>
          <w:rFonts w:cstheme="minorHAnsi"/>
        </w:rPr>
        <w:t xml:space="preserve">in the meantime, </w:t>
      </w:r>
      <w:r w:rsidR="00FF2ADA" w:rsidRPr="001005B7">
        <w:rPr>
          <w:rFonts w:cstheme="minorHAnsi"/>
        </w:rPr>
        <w:t xml:space="preserve">Ezekiel is going to deliver this message to a </w:t>
      </w:r>
      <w:r w:rsidR="00454FD7" w:rsidRPr="001005B7">
        <w:rPr>
          <w:rFonts w:cstheme="minorHAnsi"/>
        </w:rPr>
        <w:t>“</w:t>
      </w:r>
      <w:r w:rsidR="00FF2ADA" w:rsidRPr="001005B7">
        <w:rPr>
          <w:rFonts w:cstheme="minorHAnsi"/>
        </w:rPr>
        <w:t>you</w:t>
      </w:r>
      <w:r w:rsidR="00454FD7" w:rsidRPr="001005B7">
        <w:rPr>
          <w:rFonts w:cstheme="minorHAnsi"/>
        </w:rPr>
        <w:t>”</w:t>
      </w:r>
      <w:r w:rsidR="00FF2ADA" w:rsidRPr="001005B7">
        <w:rPr>
          <w:rFonts w:cstheme="minorHAnsi"/>
        </w:rPr>
        <w:t xml:space="preserve"> comprising his own </w:t>
      </w:r>
      <w:r w:rsidR="00461680" w:rsidRPr="001005B7">
        <w:rPr>
          <w:rFonts w:cstheme="minorHAnsi"/>
        </w:rPr>
        <w:t xml:space="preserve">community in </w:t>
      </w:r>
      <w:proofErr w:type="spellStart"/>
      <w:r w:rsidR="00461680" w:rsidRPr="001005B7">
        <w:rPr>
          <w:rFonts w:cstheme="minorHAnsi"/>
        </w:rPr>
        <w:t>Kebar</w:t>
      </w:r>
      <w:proofErr w:type="spellEnd"/>
      <w:r w:rsidR="00FF2ADA" w:rsidRPr="001005B7">
        <w:rPr>
          <w:rFonts w:cstheme="minorHAnsi"/>
        </w:rPr>
        <w:t xml:space="preserve">. </w:t>
      </w:r>
    </w:p>
    <w:p w14:paraId="48B91780" w14:textId="77777777" w:rsidR="000F6594" w:rsidRDefault="00D21EDF" w:rsidP="000F6594">
      <w:pPr>
        <w:rPr>
          <w:rFonts w:cstheme="minorHAnsi"/>
        </w:rPr>
      </w:pPr>
      <w:r w:rsidRPr="001005B7">
        <w:rPr>
          <w:rFonts w:cstheme="minorHAnsi"/>
          <w:b/>
          <w:bCs/>
        </w:rPr>
        <w:t xml:space="preserve">6:9 </w:t>
      </w:r>
      <w:r w:rsidR="00D3584B" w:rsidRPr="001005B7">
        <w:rPr>
          <w:rFonts w:cstheme="minorHAnsi"/>
        </w:rPr>
        <w:t>So</w:t>
      </w:r>
      <w:r w:rsidR="00BF48FD" w:rsidRPr="001005B7">
        <w:rPr>
          <w:rFonts w:cstheme="minorHAnsi"/>
        </w:rPr>
        <w:t xml:space="preserve"> Yahweh pictures survivors of </w:t>
      </w:r>
      <w:r w:rsidR="00CD3232" w:rsidRPr="001005B7">
        <w:rPr>
          <w:rFonts w:cstheme="minorHAnsi"/>
        </w:rPr>
        <w:t>the catastrophe</w:t>
      </w:r>
      <w:r w:rsidR="00BF48FD" w:rsidRPr="001005B7">
        <w:rPr>
          <w:rFonts w:cstheme="minorHAnsi"/>
        </w:rPr>
        <w:t xml:space="preserve"> coming to be mindful of Yahweh, </w:t>
      </w:r>
      <w:r w:rsidR="00D3584B" w:rsidRPr="001005B7">
        <w:rPr>
          <w:rFonts w:cstheme="minorHAnsi"/>
        </w:rPr>
        <w:t xml:space="preserve">but his words also imply </w:t>
      </w:r>
      <w:r w:rsidR="000901A5" w:rsidRPr="001005B7">
        <w:rPr>
          <w:rFonts w:cstheme="minorHAnsi"/>
        </w:rPr>
        <w:t>a challenge to t</w:t>
      </w:r>
      <w:r w:rsidR="00AE11CC" w:rsidRPr="001005B7">
        <w:rPr>
          <w:rFonts w:cstheme="minorHAnsi"/>
        </w:rPr>
        <w:t>h</w:t>
      </w:r>
      <w:r w:rsidR="000901A5" w:rsidRPr="001005B7">
        <w:rPr>
          <w:rFonts w:cstheme="minorHAnsi"/>
        </w:rPr>
        <w:t>e</w:t>
      </w:r>
      <w:r w:rsidR="00AE11CC" w:rsidRPr="001005B7">
        <w:rPr>
          <w:rFonts w:cstheme="minorHAnsi"/>
        </w:rPr>
        <w:t xml:space="preserve"> present </w:t>
      </w:r>
      <w:r w:rsidR="002A2F4E" w:rsidRPr="001005B7">
        <w:rPr>
          <w:rFonts w:cstheme="minorHAnsi"/>
        </w:rPr>
        <w:t>“</w:t>
      </w:r>
      <w:r w:rsidR="00AE11CC" w:rsidRPr="001005B7">
        <w:rPr>
          <w:rFonts w:cstheme="minorHAnsi"/>
        </w:rPr>
        <w:t>you</w:t>
      </w:r>
      <w:r w:rsidR="002A2F4E" w:rsidRPr="001005B7">
        <w:rPr>
          <w:rFonts w:cstheme="minorHAnsi"/>
        </w:rPr>
        <w:t>”</w:t>
      </w:r>
      <w:r w:rsidR="00AE11CC" w:rsidRPr="001005B7">
        <w:rPr>
          <w:rFonts w:cstheme="minorHAnsi"/>
          <w:i/>
          <w:iCs/>
        </w:rPr>
        <w:t xml:space="preserve"> </w:t>
      </w:r>
      <w:r w:rsidR="000901A5" w:rsidRPr="001005B7">
        <w:rPr>
          <w:rFonts w:cstheme="minorHAnsi"/>
        </w:rPr>
        <w:t>in</w:t>
      </w:r>
      <w:r w:rsidR="000901A5" w:rsidRPr="001005B7">
        <w:rPr>
          <w:rFonts w:cstheme="minorHAnsi"/>
          <w:i/>
          <w:iCs/>
        </w:rPr>
        <w:t xml:space="preserve"> </w:t>
      </w:r>
      <w:proofErr w:type="spellStart"/>
      <w:r w:rsidR="000901A5" w:rsidRPr="001005B7">
        <w:rPr>
          <w:rFonts w:cstheme="minorHAnsi"/>
        </w:rPr>
        <w:t>Kebar</w:t>
      </w:r>
      <w:proofErr w:type="spellEnd"/>
      <w:r w:rsidR="000901A5" w:rsidRPr="001005B7">
        <w:rPr>
          <w:rFonts w:cstheme="minorHAnsi"/>
        </w:rPr>
        <w:t>, who</w:t>
      </w:r>
      <w:r w:rsidR="00AE11CC" w:rsidRPr="001005B7">
        <w:rPr>
          <w:rFonts w:cstheme="minorHAnsi"/>
        </w:rPr>
        <w:t xml:space="preserve"> </w:t>
      </w:r>
      <w:r w:rsidR="000901A5" w:rsidRPr="001005B7">
        <w:rPr>
          <w:rFonts w:cstheme="minorHAnsi"/>
        </w:rPr>
        <w:t xml:space="preserve">need </w:t>
      </w:r>
      <w:r w:rsidR="00AE11CC" w:rsidRPr="001005B7">
        <w:rPr>
          <w:rFonts w:cstheme="minorHAnsi"/>
        </w:rPr>
        <w:t xml:space="preserve">to see that their </w:t>
      </w:r>
      <w:r w:rsidR="00AA6F53" w:rsidRPr="001005B7">
        <w:rPr>
          <w:rFonts w:cstheme="minorHAnsi"/>
        </w:rPr>
        <w:t>surviving the 597 calamity constitutes a call to be mindful of Yahweh now</w:t>
      </w:r>
      <w:r w:rsidR="00B940F8" w:rsidRPr="001005B7">
        <w:rPr>
          <w:rFonts w:cstheme="minorHAnsi"/>
        </w:rPr>
        <w:t>.</w:t>
      </w:r>
      <w:r w:rsidR="00215B23" w:rsidRPr="001005B7">
        <w:rPr>
          <w:rFonts w:cstheme="minorHAnsi"/>
        </w:rPr>
        <w:t xml:space="preserve"> </w:t>
      </w:r>
      <w:r w:rsidR="009E2FA2" w:rsidRPr="001005B7">
        <w:rPr>
          <w:rFonts w:cstheme="minorHAnsi"/>
        </w:rPr>
        <w:t>If</w:t>
      </w:r>
      <w:r w:rsidR="00215B23" w:rsidRPr="001005B7">
        <w:rPr>
          <w:rFonts w:cstheme="minorHAnsi"/>
        </w:rPr>
        <w:t xml:space="preserve"> </w:t>
      </w:r>
      <w:r w:rsidR="00B940F8" w:rsidRPr="001005B7">
        <w:rPr>
          <w:rFonts w:cstheme="minorHAnsi"/>
        </w:rPr>
        <w:t xml:space="preserve">either </w:t>
      </w:r>
      <w:r w:rsidR="00837D81" w:rsidRPr="001005B7">
        <w:rPr>
          <w:rFonts w:cstheme="minorHAnsi"/>
        </w:rPr>
        <w:t xml:space="preserve">of the groups </w:t>
      </w:r>
      <w:r w:rsidR="00CD1ADE" w:rsidRPr="001005B7">
        <w:rPr>
          <w:rFonts w:cstheme="minorHAnsi"/>
        </w:rPr>
        <w:t>called</w:t>
      </w:r>
      <w:r w:rsidR="00837D81" w:rsidRPr="001005B7">
        <w:rPr>
          <w:rFonts w:cstheme="minorHAnsi"/>
        </w:rPr>
        <w:t xml:space="preserve"> </w:t>
      </w:r>
      <w:r w:rsidR="009378D1" w:rsidRPr="001005B7">
        <w:rPr>
          <w:rFonts w:cstheme="minorHAnsi"/>
        </w:rPr>
        <w:t>“</w:t>
      </w:r>
      <w:r w:rsidR="00B940F8" w:rsidRPr="001005B7">
        <w:rPr>
          <w:rFonts w:cstheme="minorHAnsi"/>
        </w:rPr>
        <w:t>you</w:t>
      </w:r>
      <w:r w:rsidR="009378D1" w:rsidRPr="001005B7">
        <w:rPr>
          <w:rFonts w:cstheme="minorHAnsi"/>
        </w:rPr>
        <w:t>”</w:t>
      </w:r>
      <w:r w:rsidR="00B940F8" w:rsidRPr="001005B7">
        <w:rPr>
          <w:rFonts w:cstheme="minorHAnsi"/>
          <w:i/>
          <w:iCs/>
        </w:rPr>
        <w:t xml:space="preserve"> </w:t>
      </w:r>
      <w:r w:rsidR="008B5B64" w:rsidRPr="001005B7">
        <w:rPr>
          <w:rFonts w:cstheme="minorHAnsi"/>
        </w:rPr>
        <w:t xml:space="preserve">are </w:t>
      </w:r>
      <w:r w:rsidR="00215B23" w:rsidRPr="001005B7">
        <w:rPr>
          <w:rFonts w:cstheme="minorHAnsi"/>
        </w:rPr>
        <w:t>to</w:t>
      </w:r>
      <w:r w:rsidR="00AD42FE" w:rsidRPr="001005B7">
        <w:rPr>
          <w:rFonts w:cstheme="minorHAnsi"/>
        </w:rPr>
        <w:t xml:space="preserve"> </w:t>
      </w:r>
      <w:r w:rsidR="002A2F4E" w:rsidRPr="001005B7">
        <w:rPr>
          <w:rFonts w:cstheme="minorHAnsi"/>
        </w:rPr>
        <w:t>“</w:t>
      </w:r>
      <w:r w:rsidR="00376B03" w:rsidRPr="001005B7">
        <w:rPr>
          <w:rFonts w:cstheme="minorHAnsi"/>
        </w:rPr>
        <w:t xml:space="preserve">be </w:t>
      </w:r>
      <w:r w:rsidR="00AD42FE" w:rsidRPr="001005B7">
        <w:rPr>
          <w:rFonts w:cstheme="minorHAnsi"/>
        </w:rPr>
        <w:t>mindful</w:t>
      </w:r>
      <w:r w:rsidR="002A2F4E" w:rsidRPr="001005B7">
        <w:rPr>
          <w:rFonts w:cstheme="minorHAnsi"/>
        </w:rPr>
        <w:t>”</w:t>
      </w:r>
      <w:r w:rsidR="00EB70C2" w:rsidRPr="001005B7">
        <w:rPr>
          <w:rFonts w:cstheme="minorHAnsi"/>
          <w:i/>
          <w:iCs/>
        </w:rPr>
        <w:t xml:space="preserve"> </w:t>
      </w:r>
      <w:r w:rsidR="00B45332" w:rsidRPr="001005B7">
        <w:rPr>
          <w:rFonts w:cstheme="minorHAnsi"/>
        </w:rPr>
        <w:t>of Yahweh</w:t>
      </w:r>
      <w:r w:rsidR="00CB310F" w:rsidRPr="001005B7">
        <w:rPr>
          <w:rFonts w:cstheme="minorHAnsi"/>
        </w:rPr>
        <w:t xml:space="preserve"> </w:t>
      </w:r>
      <w:r w:rsidR="00EB70C2" w:rsidRPr="001005B7">
        <w:rPr>
          <w:rFonts w:cstheme="minorHAnsi"/>
        </w:rPr>
        <w:t>(</w:t>
      </w:r>
      <w:r w:rsidR="00550A02" w:rsidRPr="001005B7">
        <w:rPr>
          <w:rFonts w:cstheme="minorHAnsi"/>
          <w:rtl/>
          <w:lang w:bidi="he-IL"/>
        </w:rPr>
        <w:t>ז</w:t>
      </w:r>
      <w:r w:rsidR="00653DA5" w:rsidRPr="001005B7">
        <w:rPr>
          <w:rFonts w:cstheme="minorHAnsi"/>
          <w:rtl/>
          <w:lang w:bidi="he-IL"/>
        </w:rPr>
        <w:t>ָכַר</w:t>
      </w:r>
      <w:r w:rsidR="00653DA5" w:rsidRPr="001005B7">
        <w:rPr>
          <w:rFonts w:cstheme="minorHAnsi"/>
        </w:rPr>
        <w:t>,</w:t>
      </w:r>
      <w:r w:rsidR="00EB70C2" w:rsidRPr="001005B7">
        <w:rPr>
          <w:rFonts w:cstheme="minorHAnsi"/>
        </w:rPr>
        <w:t xml:space="preserve"> traditionally </w:t>
      </w:r>
      <w:r w:rsidR="000E0D0E" w:rsidRPr="001005B7">
        <w:rPr>
          <w:rFonts w:cstheme="minorHAnsi"/>
        </w:rPr>
        <w:t>“</w:t>
      </w:r>
      <w:r w:rsidR="00EB70C2" w:rsidRPr="001005B7">
        <w:rPr>
          <w:rFonts w:cstheme="minorHAnsi"/>
        </w:rPr>
        <w:t>remember</w:t>
      </w:r>
      <w:r w:rsidR="000E0D0E" w:rsidRPr="001005B7">
        <w:rPr>
          <w:rFonts w:cstheme="minorHAnsi"/>
        </w:rPr>
        <w:t>”)</w:t>
      </w:r>
      <w:r w:rsidR="009E2FA2" w:rsidRPr="001005B7">
        <w:rPr>
          <w:rFonts w:cstheme="minorHAnsi"/>
        </w:rPr>
        <w:t>, it</w:t>
      </w:r>
      <w:r w:rsidR="000E0D0E" w:rsidRPr="001005B7">
        <w:rPr>
          <w:rFonts w:cstheme="minorHAnsi"/>
        </w:rPr>
        <w:t xml:space="preserve"> implies more than</w:t>
      </w:r>
      <w:r w:rsidR="00376B03" w:rsidRPr="001005B7">
        <w:rPr>
          <w:rFonts w:cstheme="minorHAnsi"/>
        </w:rPr>
        <w:t xml:space="preserve"> </w:t>
      </w:r>
      <w:r w:rsidR="00CB310F" w:rsidRPr="001005B7">
        <w:rPr>
          <w:rFonts w:cstheme="minorHAnsi"/>
        </w:rPr>
        <w:t>an accidental</w:t>
      </w:r>
      <w:r w:rsidR="008B2F1A" w:rsidRPr="001005B7">
        <w:rPr>
          <w:rFonts w:cstheme="minorHAnsi"/>
        </w:rPr>
        <w:t xml:space="preserve"> reminiscence</w:t>
      </w:r>
      <w:r w:rsidR="00544059" w:rsidRPr="001005B7">
        <w:rPr>
          <w:rFonts w:cstheme="minorHAnsi"/>
        </w:rPr>
        <w:t>. I</w:t>
      </w:r>
      <w:r w:rsidR="008B2F1A" w:rsidRPr="001005B7">
        <w:rPr>
          <w:rFonts w:cstheme="minorHAnsi"/>
        </w:rPr>
        <w:t>t</w:t>
      </w:r>
      <w:r w:rsidR="00482532" w:rsidRPr="001005B7">
        <w:rPr>
          <w:rFonts w:cstheme="minorHAnsi"/>
        </w:rPr>
        <w:t xml:space="preserve"> denotes a deliberate calling to mind and holding in mind, and </w:t>
      </w:r>
      <w:r w:rsidR="006519CB" w:rsidRPr="001005B7">
        <w:rPr>
          <w:rFonts w:cstheme="minorHAnsi"/>
        </w:rPr>
        <w:t xml:space="preserve">the taking of </w:t>
      </w:r>
      <w:r w:rsidR="00CD7ABD" w:rsidRPr="001005B7">
        <w:rPr>
          <w:rFonts w:cstheme="minorHAnsi"/>
        </w:rPr>
        <w:t xml:space="preserve">appropriate </w:t>
      </w:r>
      <w:r w:rsidR="006519CB" w:rsidRPr="001005B7">
        <w:rPr>
          <w:rFonts w:cstheme="minorHAnsi"/>
        </w:rPr>
        <w:t xml:space="preserve">action. </w:t>
      </w:r>
      <w:r w:rsidR="00D33043" w:rsidRPr="001005B7">
        <w:rPr>
          <w:rFonts w:cstheme="minorHAnsi"/>
        </w:rPr>
        <w:t xml:space="preserve">The </w:t>
      </w:r>
      <w:r w:rsidR="00D81F7F" w:rsidRPr="001005B7">
        <w:rPr>
          <w:rFonts w:cstheme="minorHAnsi"/>
        </w:rPr>
        <w:t>verb</w:t>
      </w:r>
      <w:r w:rsidR="00745962" w:rsidRPr="001005B7">
        <w:rPr>
          <w:rFonts w:cstheme="minorHAnsi"/>
        </w:rPr>
        <w:t xml:space="preserve"> </w:t>
      </w:r>
      <w:r w:rsidR="00173873" w:rsidRPr="001005B7">
        <w:rPr>
          <w:rFonts w:cstheme="minorHAnsi"/>
        </w:rPr>
        <w:t xml:space="preserve">is another </w:t>
      </w:r>
      <w:r w:rsidR="00D81F7F" w:rsidRPr="001005B7">
        <w:rPr>
          <w:rFonts w:cstheme="minorHAnsi"/>
        </w:rPr>
        <w:t>that</w:t>
      </w:r>
      <w:r w:rsidR="00173873" w:rsidRPr="001005B7">
        <w:rPr>
          <w:rFonts w:cstheme="minorHAnsi"/>
        </w:rPr>
        <w:t xml:space="preserve"> combin</w:t>
      </w:r>
      <w:r w:rsidR="00D81F7F" w:rsidRPr="001005B7">
        <w:rPr>
          <w:rFonts w:cstheme="minorHAnsi"/>
        </w:rPr>
        <w:t>es</w:t>
      </w:r>
      <w:r w:rsidR="00173873" w:rsidRPr="001005B7">
        <w:rPr>
          <w:rFonts w:cstheme="minorHAnsi"/>
        </w:rPr>
        <w:t xml:space="preserve"> mental activity and </w:t>
      </w:r>
      <w:r w:rsidR="007212C0" w:rsidRPr="001005B7">
        <w:rPr>
          <w:rFonts w:cstheme="minorHAnsi"/>
        </w:rPr>
        <w:t xml:space="preserve">the </w:t>
      </w:r>
      <w:r w:rsidR="004F2184" w:rsidRPr="001005B7">
        <w:rPr>
          <w:rFonts w:cstheme="minorHAnsi"/>
        </w:rPr>
        <w:t>decision of the will, like kno</w:t>
      </w:r>
      <w:r w:rsidR="00C9319C" w:rsidRPr="001005B7">
        <w:rPr>
          <w:rFonts w:cstheme="minorHAnsi"/>
        </w:rPr>
        <w:t>wing</w:t>
      </w:r>
      <w:r w:rsidR="00134B99" w:rsidRPr="001005B7">
        <w:rPr>
          <w:rFonts w:cstheme="minorHAnsi"/>
        </w:rPr>
        <w:t>,</w:t>
      </w:r>
      <w:r w:rsidR="004F2184" w:rsidRPr="001005B7">
        <w:rPr>
          <w:rFonts w:cstheme="minorHAnsi"/>
        </w:rPr>
        <w:t xml:space="preserve"> lov</w:t>
      </w:r>
      <w:r w:rsidR="00C9319C" w:rsidRPr="001005B7">
        <w:rPr>
          <w:rFonts w:cstheme="minorHAnsi"/>
        </w:rPr>
        <w:t>ing</w:t>
      </w:r>
      <w:r w:rsidR="00134B99" w:rsidRPr="001005B7">
        <w:rPr>
          <w:rFonts w:cstheme="minorHAnsi"/>
        </w:rPr>
        <w:t>,</w:t>
      </w:r>
      <w:r w:rsidR="00C9319C" w:rsidRPr="001005B7">
        <w:rPr>
          <w:rFonts w:cstheme="minorHAnsi"/>
        </w:rPr>
        <w:t xml:space="preserve"> or hating</w:t>
      </w:r>
      <w:r w:rsidR="007212C0" w:rsidRPr="001005B7">
        <w:rPr>
          <w:rFonts w:cstheme="minorHAnsi"/>
        </w:rPr>
        <w:t xml:space="preserve">, </w:t>
      </w:r>
      <w:r w:rsidR="0059516B">
        <w:rPr>
          <w:rFonts w:cstheme="minorHAnsi"/>
        </w:rPr>
        <w:t xml:space="preserve">as it works </w:t>
      </w:r>
      <w:r w:rsidR="007212C0" w:rsidRPr="001005B7">
        <w:rPr>
          <w:rFonts w:cstheme="minorHAnsi"/>
        </w:rPr>
        <w:t>on the assumption that th</w:t>
      </w:r>
      <w:r w:rsidR="00D7463D" w:rsidRPr="001005B7">
        <w:rPr>
          <w:rFonts w:cstheme="minorHAnsi"/>
        </w:rPr>
        <w:t>inking and acting</w:t>
      </w:r>
      <w:r w:rsidR="007212C0" w:rsidRPr="001005B7">
        <w:rPr>
          <w:rFonts w:cstheme="minorHAnsi"/>
        </w:rPr>
        <w:t xml:space="preserve"> naturally go together.</w:t>
      </w:r>
      <w:r w:rsidR="007545F4" w:rsidRPr="001005B7">
        <w:rPr>
          <w:rFonts w:cstheme="minorHAnsi"/>
        </w:rPr>
        <w:t xml:space="preserve"> </w:t>
      </w:r>
      <w:r w:rsidR="00907594" w:rsidRPr="001005B7">
        <w:rPr>
          <w:rFonts w:cstheme="minorHAnsi"/>
        </w:rPr>
        <w:t xml:space="preserve">If Ezekiel is covertly inviting the </w:t>
      </w:r>
      <w:proofErr w:type="spellStart"/>
      <w:r w:rsidR="00907594" w:rsidRPr="001005B7">
        <w:rPr>
          <w:rFonts w:cstheme="minorHAnsi"/>
        </w:rPr>
        <w:t>Kebar</w:t>
      </w:r>
      <w:r w:rsidR="00A87915">
        <w:rPr>
          <w:rFonts w:cstheme="minorHAnsi"/>
        </w:rPr>
        <w:t>ites</w:t>
      </w:r>
      <w:proofErr w:type="spellEnd"/>
      <w:r w:rsidR="00907594" w:rsidRPr="001005B7">
        <w:rPr>
          <w:rFonts w:cstheme="minorHAnsi"/>
        </w:rPr>
        <w:t xml:space="preserve"> to think about themselves, then he is also inviting them to think about that truth concerning Yahweh, which might generate some mindfulness on their part. </w:t>
      </w:r>
    </w:p>
    <w:p w14:paraId="62AD418D" w14:textId="18EFF5E5" w:rsidR="0085191C" w:rsidRPr="001005B7" w:rsidRDefault="007545F4" w:rsidP="000F6594">
      <w:pPr>
        <w:rPr>
          <w:rFonts w:cstheme="minorHAnsi"/>
        </w:rPr>
      </w:pPr>
      <w:r w:rsidRPr="001005B7">
        <w:rPr>
          <w:rFonts w:cstheme="minorHAnsi"/>
        </w:rPr>
        <w:t xml:space="preserve">The reference to the people’s mindfulness contains further surprises. </w:t>
      </w:r>
      <w:r w:rsidR="007F1B36" w:rsidRPr="001005B7">
        <w:rPr>
          <w:rFonts w:cstheme="minorHAnsi"/>
        </w:rPr>
        <w:t>Yahweh has been tough so far in the Ezekiel scroll. He has spoken as one who is furiously angry</w:t>
      </w:r>
      <w:r w:rsidR="00ED180E" w:rsidRPr="001005B7">
        <w:rPr>
          <w:rFonts w:cstheme="minorHAnsi"/>
        </w:rPr>
        <w:t>,</w:t>
      </w:r>
      <w:r w:rsidR="007F1B36" w:rsidRPr="001005B7">
        <w:rPr>
          <w:rFonts w:cstheme="minorHAnsi"/>
        </w:rPr>
        <w:t xml:space="preserve"> relentlessly </w:t>
      </w:r>
      <w:r w:rsidR="00ED180E" w:rsidRPr="001005B7">
        <w:rPr>
          <w:rFonts w:cstheme="minorHAnsi"/>
        </w:rPr>
        <w:t>devastating, and mercilessly unsparing</w:t>
      </w:r>
      <w:r w:rsidR="000C6072" w:rsidRPr="001005B7">
        <w:rPr>
          <w:rFonts w:cstheme="minorHAnsi"/>
        </w:rPr>
        <w:t xml:space="preserve">, in light of people’s faithlessness. </w:t>
      </w:r>
      <w:r w:rsidR="003D3040" w:rsidRPr="001005B7">
        <w:rPr>
          <w:rFonts w:cstheme="minorHAnsi"/>
        </w:rPr>
        <w:t>He has declared that</w:t>
      </w:r>
      <w:r w:rsidR="003B5AF1" w:rsidRPr="001005B7">
        <w:rPr>
          <w:rFonts w:cstheme="minorHAnsi"/>
        </w:rPr>
        <w:t xml:space="preserve"> he himself w</w:t>
      </w:r>
      <w:r w:rsidR="003D3040" w:rsidRPr="001005B7">
        <w:rPr>
          <w:rFonts w:cstheme="minorHAnsi"/>
        </w:rPr>
        <w:t>ill not be mindful (3:20)</w:t>
      </w:r>
      <w:r w:rsidR="001842BC" w:rsidRPr="001005B7">
        <w:rPr>
          <w:rFonts w:cstheme="minorHAnsi"/>
        </w:rPr>
        <w:t xml:space="preserve">, and </w:t>
      </w:r>
      <w:r w:rsidR="00605F32" w:rsidRPr="001005B7">
        <w:rPr>
          <w:rFonts w:cstheme="minorHAnsi"/>
        </w:rPr>
        <w:t xml:space="preserve">in his allusions to Lev 26 </w:t>
      </w:r>
      <w:r w:rsidR="001842BC" w:rsidRPr="001005B7">
        <w:rPr>
          <w:rFonts w:cstheme="minorHAnsi"/>
        </w:rPr>
        <w:t>he has</w:t>
      </w:r>
      <w:r w:rsidR="00605F32" w:rsidRPr="001005B7">
        <w:rPr>
          <w:rFonts w:cstheme="minorHAnsi"/>
        </w:rPr>
        <w:t xml:space="preserve"> made no reference</w:t>
      </w:r>
      <w:r w:rsidR="007140A2" w:rsidRPr="001005B7">
        <w:rPr>
          <w:rFonts w:cstheme="minorHAnsi"/>
        </w:rPr>
        <w:t xml:space="preserve"> to</w:t>
      </w:r>
      <w:r w:rsidR="001842BC" w:rsidRPr="001005B7">
        <w:rPr>
          <w:rFonts w:cstheme="minorHAnsi"/>
        </w:rPr>
        <w:t xml:space="preserve"> </w:t>
      </w:r>
      <w:r w:rsidR="005F25B1" w:rsidRPr="001005B7">
        <w:rPr>
          <w:rFonts w:cstheme="minorHAnsi"/>
        </w:rPr>
        <w:t>the p</w:t>
      </w:r>
      <w:r w:rsidR="008802FF" w:rsidRPr="001005B7">
        <w:rPr>
          <w:rFonts w:cstheme="minorHAnsi"/>
        </w:rPr>
        <w:t>ossibility of</w:t>
      </w:r>
      <w:r w:rsidR="005F25B1" w:rsidRPr="001005B7">
        <w:rPr>
          <w:rFonts w:cstheme="minorHAnsi"/>
        </w:rPr>
        <w:t xml:space="preserve"> be</w:t>
      </w:r>
      <w:r w:rsidR="008802FF" w:rsidRPr="001005B7">
        <w:rPr>
          <w:rFonts w:cstheme="minorHAnsi"/>
        </w:rPr>
        <w:t xml:space="preserve">ing </w:t>
      </w:r>
      <w:r w:rsidR="005F25B1" w:rsidRPr="001005B7">
        <w:rPr>
          <w:rFonts w:cstheme="minorHAnsi"/>
        </w:rPr>
        <w:t xml:space="preserve">mindful of </w:t>
      </w:r>
      <w:r w:rsidR="00605F32" w:rsidRPr="001005B7">
        <w:rPr>
          <w:rFonts w:cstheme="minorHAnsi"/>
        </w:rPr>
        <w:t>his</w:t>
      </w:r>
      <w:r w:rsidR="005F25B1" w:rsidRPr="001005B7">
        <w:rPr>
          <w:rFonts w:cstheme="minorHAnsi"/>
        </w:rPr>
        <w:t xml:space="preserve"> covenant </w:t>
      </w:r>
      <w:r w:rsidR="00605F32" w:rsidRPr="001005B7">
        <w:rPr>
          <w:rFonts w:cstheme="minorHAnsi"/>
        </w:rPr>
        <w:t>(</w:t>
      </w:r>
      <w:r w:rsidR="001617D1" w:rsidRPr="001005B7">
        <w:rPr>
          <w:rFonts w:cstheme="minorHAnsi"/>
        </w:rPr>
        <w:t>L</w:t>
      </w:r>
      <w:r w:rsidR="007140A2" w:rsidRPr="001005B7">
        <w:rPr>
          <w:rFonts w:cstheme="minorHAnsi"/>
        </w:rPr>
        <w:t xml:space="preserve">ev </w:t>
      </w:r>
      <w:r w:rsidR="00605F32" w:rsidRPr="001005B7">
        <w:rPr>
          <w:rFonts w:cstheme="minorHAnsi"/>
        </w:rPr>
        <w:t>26:4</w:t>
      </w:r>
      <w:r w:rsidR="008802FF" w:rsidRPr="001005B7">
        <w:rPr>
          <w:rFonts w:cstheme="minorHAnsi"/>
        </w:rPr>
        <w:t>2</w:t>
      </w:r>
      <w:r w:rsidR="00605F32" w:rsidRPr="001005B7">
        <w:rPr>
          <w:rFonts w:cstheme="minorHAnsi"/>
        </w:rPr>
        <w:t>)</w:t>
      </w:r>
      <w:r w:rsidR="003D3040" w:rsidRPr="001005B7">
        <w:rPr>
          <w:rFonts w:cstheme="minorHAnsi"/>
        </w:rPr>
        <w:t xml:space="preserve">. </w:t>
      </w:r>
      <w:r w:rsidR="00364CE4" w:rsidRPr="001005B7">
        <w:rPr>
          <w:rFonts w:cstheme="minorHAnsi"/>
        </w:rPr>
        <w:t xml:space="preserve">It is doubtful whether here </w:t>
      </w:r>
      <w:r w:rsidR="00966D5A" w:rsidRPr="001005B7">
        <w:t>law might become prophecy</w:t>
      </w:r>
      <w:r w:rsidR="00301E43" w:rsidRPr="001005B7">
        <w:t xml:space="preserve"> </w:t>
      </w:r>
      <w:r w:rsidR="00966D5A" w:rsidRPr="001005B7">
        <w:t>in the context of exile.</w:t>
      </w:r>
      <w:r w:rsidR="00966D5A" w:rsidRPr="001005B7">
        <w:rPr>
          <w:rStyle w:val="FootnoteReference"/>
        </w:rPr>
        <w:footnoteReference w:id="201"/>
      </w:r>
      <w:r w:rsidR="00CC3449" w:rsidRPr="001005B7">
        <w:rPr>
          <w:rFonts w:cstheme="minorHAnsi"/>
        </w:rPr>
        <w:t xml:space="preserve"> </w:t>
      </w:r>
      <w:r w:rsidR="000C6072" w:rsidRPr="001005B7">
        <w:rPr>
          <w:rFonts w:cstheme="minorHAnsi"/>
        </w:rPr>
        <w:t xml:space="preserve">But he </w:t>
      </w:r>
      <w:r w:rsidR="00CC3449" w:rsidRPr="001005B7">
        <w:rPr>
          <w:rFonts w:cstheme="minorHAnsi"/>
        </w:rPr>
        <w:t>does here speak of how</w:t>
      </w:r>
      <w:r w:rsidR="000C6072" w:rsidRPr="001005B7">
        <w:rPr>
          <w:rFonts w:cstheme="minorHAnsi"/>
        </w:rPr>
        <w:t xml:space="preserve"> </w:t>
      </w:r>
      <w:r w:rsidR="00130AEE" w:rsidRPr="001005B7">
        <w:rPr>
          <w:rFonts w:cstheme="minorHAnsi"/>
        </w:rPr>
        <w:t xml:space="preserve">he </w:t>
      </w:r>
      <w:r w:rsidR="00857BD1">
        <w:rPr>
          <w:rFonts w:cstheme="minorHAnsi"/>
        </w:rPr>
        <w:t>himself</w:t>
      </w:r>
      <w:r w:rsidR="00391440">
        <w:rPr>
          <w:rFonts w:cstheme="minorHAnsi"/>
        </w:rPr>
        <w:t xml:space="preserve"> </w:t>
      </w:r>
      <w:r w:rsidR="003C7481" w:rsidRPr="001005B7">
        <w:rPr>
          <w:rFonts w:cstheme="minorHAnsi"/>
        </w:rPr>
        <w:t>“</w:t>
      </w:r>
      <w:r w:rsidR="00130AEE" w:rsidRPr="001005B7">
        <w:rPr>
          <w:rFonts w:cstheme="minorHAnsi"/>
        </w:rPr>
        <w:t>broke</w:t>
      </w:r>
      <w:r w:rsidR="003C7481" w:rsidRPr="001005B7">
        <w:rPr>
          <w:rFonts w:cstheme="minorHAnsi"/>
        </w:rPr>
        <w:t>”</w:t>
      </w:r>
      <w:r w:rsidR="00130AEE" w:rsidRPr="001005B7">
        <w:rPr>
          <w:rFonts w:cstheme="minorHAnsi"/>
        </w:rPr>
        <w:t xml:space="preserve"> </w:t>
      </w:r>
      <w:r w:rsidR="001617D1" w:rsidRPr="001005B7">
        <w:rPr>
          <w:rFonts w:cstheme="minorHAnsi"/>
        </w:rPr>
        <w:t>(</w:t>
      </w:r>
      <w:r w:rsidR="00AA67CC" w:rsidRPr="001005B7">
        <w:rPr>
          <w:rFonts w:cstheme="minorHAnsi"/>
          <w:rtl/>
          <w:lang w:bidi="he-IL"/>
        </w:rPr>
        <w:t>שָׁבַר</w:t>
      </w:r>
      <w:r w:rsidR="00AA67CC" w:rsidRPr="001005B7">
        <w:rPr>
          <w:rFonts w:cstheme="minorHAnsi"/>
        </w:rPr>
        <w:t xml:space="preserve"> niphal) </w:t>
      </w:r>
      <w:r w:rsidR="00130AEE" w:rsidRPr="001005B7">
        <w:rPr>
          <w:rFonts w:cstheme="minorHAnsi"/>
        </w:rPr>
        <w:t>as a result of</w:t>
      </w:r>
      <w:r w:rsidR="000E1717" w:rsidRPr="001005B7">
        <w:rPr>
          <w:rFonts w:cstheme="minorHAnsi"/>
        </w:rPr>
        <w:t xml:space="preserve"> their unfaithfulness</w:t>
      </w:r>
      <w:r w:rsidR="004264C6" w:rsidRPr="001005B7">
        <w:rPr>
          <w:rFonts w:cstheme="minorHAnsi"/>
        </w:rPr>
        <w:t xml:space="preserve"> to him</w:t>
      </w:r>
      <w:r w:rsidR="00F407EA" w:rsidRPr="001005B7">
        <w:rPr>
          <w:rFonts w:cstheme="minorHAnsi"/>
        </w:rPr>
        <w:t>, their “whoring</w:t>
      </w:r>
      <w:r w:rsidR="007A6147" w:rsidRPr="001005B7">
        <w:rPr>
          <w:rFonts w:cstheme="minorHAnsi"/>
        </w:rPr>
        <w:t>.</w:t>
      </w:r>
      <w:r w:rsidR="00F407EA" w:rsidRPr="001005B7">
        <w:rPr>
          <w:rFonts w:cstheme="minorHAnsi"/>
        </w:rPr>
        <w:t>”</w:t>
      </w:r>
      <w:r w:rsidR="00006B3A" w:rsidRPr="001005B7">
        <w:rPr>
          <w:rFonts w:cstheme="minorHAnsi"/>
        </w:rPr>
        <w:t xml:space="preserve"> </w:t>
      </w:r>
      <w:r w:rsidR="00DC1BFD" w:rsidRPr="001005B7">
        <w:rPr>
          <w:rFonts w:cstheme="minorHAnsi"/>
        </w:rPr>
        <w:t xml:space="preserve">A woman whose husband is </w:t>
      </w:r>
      <w:r w:rsidR="0020612B" w:rsidRPr="001005B7">
        <w:rPr>
          <w:rFonts w:cstheme="minorHAnsi"/>
        </w:rPr>
        <w:t>promiscuous</w:t>
      </w:r>
      <w:r w:rsidR="009F36EA" w:rsidRPr="001005B7">
        <w:rPr>
          <w:rFonts w:cstheme="minorHAnsi"/>
        </w:rPr>
        <w:t xml:space="preserve"> </w:t>
      </w:r>
      <w:r w:rsidR="002E51BA" w:rsidRPr="001005B7">
        <w:rPr>
          <w:rFonts w:cstheme="minorHAnsi"/>
        </w:rPr>
        <w:t>may well</w:t>
      </w:r>
      <w:r w:rsidR="009F36EA" w:rsidRPr="001005B7">
        <w:rPr>
          <w:rFonts w:cstheme="minorHAnsi"/>
        </w:rPr>
        <w:t xml:space="preserve"> get </w:t>
      </w:r>
      <w:r w:rsidR="002E51BA" w:rsidRPr="001005B7">
        <w:rPr>
          <w:rFonts w:cstheme="minorHAnsi"/>
        </w:rPr>
        <w:t xml:space="preserve">both </w:t>
      </w:r>
      <w:r w:rsidR="009F36EA" w:rsidRPr="001005B7">
        <w:rPr>
          <w:rFonts w:cstheme="minorHAnsi"/>
        </w:rPr>
        <w:t xml:space="preserve">furiously angry and desperately hurt. </w:t>
      </w:r>
      <w:r w:rsidR="00516EE8" w:rsidRPr="001005B7">
        <w:rPr>
          <w:rFonts w:cstheme="minorHAnsi"/>
        </w:rPr>
        <w:t>Yahweh is both.</w:t>
      </w:r>
      <w:r w:rsidR="00034ED3" w:rsidRPr="001005B7">
        <w:rPr>
          <w:rFonts w:cstheme="minorHAnsi"/>
        </w:rPr>
        <w:t xml:space="preserve"> </w:t>
      </w:r>
      <w:r w:rsidR="00006B3A" w:rsidRPr="001005B7">
        <w:rPr>
          <w:rFonts w:cstheme="minorHAnsi"/>
        </w:rPr>
        <w:t>He</w:t>
      </w:r>
      <w:r w:rsidR="00DA4CB7" w:rsidRPr="001005B7">
        <w:rPr>
          <w:rFonts w:cstheme="minorHAnsi"/>
        </w:rPr>
        <w:t xml:space="preserve"> uses</w:t>
      </w:r>
      <w:r w:rsidR="00006B3A" w:rsidRPr="001005B7">
        <w:rPr>
          <w:rFonts w:cstheme="minorHAnsi"/>
        </w:rPr>
        <w:t xml:space="preserve"> </w:t>
      </w:r>
      <w:r w:rsidR="00DA4CB7" w:rsidRPr="001005B7">
        <w:rPr>
          <w:rFonts w:cstheme="minorHAnsi"/>
        </w:rPr>
        <w:t xml:space="preserve">the same verb for </w:t>
      </w:r>
      <w:r w:rsidR="003E465B" w:rsidRPr="001005B7">
        <w:rPr>
          <w:rFonts w:cstheme="minorHAnsi"/>
        </w:rPr>
        <w:t>“</w:t>
      </w:r>
      <w:r w:rsidR="00DA4CB7" w:rsidRPr="001005B7">
        <w:rPr>
          <w:rFonts w:cstheme="minorHAnsi"/>
        </w:rPr>
        <w:t>broke</w:t>
      </w:r>
      <w:r w:rsidR="003E465B" w:rsidRPr="001005B7">
        <w:rPr>
          <w:rFonts w:cstheme="minorHAnsi"/>
        </w:rPr>
        <w:t>”</w:t>
      </w:r>
      <w:r w:rsidR="00DA4CB7" w:rsidRPr="001005B7">
        <w:rPr>
          <w:rFonts w:cstheme="minorHAnsi"/>
          <w:i/>
          <w:iCs/>
        </w:rPr>
        <w:t xml:space="preserve"> </w:t>
      </w:r>
      <w:r w:rsidR="00DA4CB7" w:rsidRPr="001005B7">
        <w:rPr>
          <w:rFonts w:cstheme="minorHAnsi"/>
        </w:rPr>
        <w:t>with regard to hi</w:t>
      </w:r>
      <w:r w:rsidR="00C93AA5" w:rsidRPr="001005B7">
        <w:rPr>
          <w:rFonts w:cstheme="minorHAnsi"/>
        </w:rPr>
        <w:t>s hurt as he used</w:t>
      </w:r>
      <w:r w:rsidR="00DA4CB7" w:rsidRPr="001005B7">
        <w:rPr>
          <w:rFonts w:cstheme="minorHAnsi"/>
        </w:rPr>
        <w:t xml:space="preserve"> in </w:t>
      </w:r>
      <w:r w:rsidR="0042084A" w:rsidRPr="001005B7">
        <w:rPr>
          <w:rFonts w:cstheme="minorHAnsi"/>
        </w:rPr>
        <w:t>6:</w:t>
      </w:r>
      <w:r w:rsidR="00DA4CB7" w:rsidRPr="001005B7">
        <w:rPr>
          <w:rFonts w:cstheme="minorHAnsi"/>
        </w:rPr>
        <w:t>4, 6</w:t>
      </w:r>
      <w:r w:rsidR="00D94769" w:rsidRPr="001005B7">
        <w:rPr>
          <w:rFonts w:cstheme="minorHAnsi"/>
        </w:rPr>
        <w:t>. T</w:t>
      </w:r>
      <w:r w:rsidR="00590156" w:rsidRPr="001005B7">
        <w:rPr>
          <w:rFonts w:cstheme="minorHAnsi"/>
        </w:rPr>
        <w:t xml:space="preserve">here was a link between the </w:t>
      </w:r>
      <w:r w:rsidR="00D63B7A" w:rsidRPr="001005B7">
        <w:rPr>
          <w:rFonts w:cstheme="minorHAnsi"/>
        </w:rPr>
        <w:t xml:space="preserve">burners </w:t>
      </w:r>
      <w:r w:rsidR="00301002" w:rsidRPr="001005B7">
        <w:rPr>
          <w:rFonts w:cstheme="minorHAnsi"/>
        </w:rPr>
        <w:t>breaking</w:t>
      </w:r>
      <w:r w:rsidR="00D94769" w:rsidRPr="001005B7">
        <w:rPr>
          <w:rFonts w:cstheme="minorHAnsi"/>
        </w:rPr>
        <w:t>,</w:t>
      </w:r>
      <w:r w:rsidR="00D63B7A" w:rsidRPr="001005B7">
        <w:rPr>
          <w:rFonts w:cstheme="minorHAnsi"/>
        </w:rPr>
        <w:t xml:space="preserve"> the lum</w:t>
      </w:r>
      <w:r w:rsidR="00DD1E83" w:rsidRPr="001005B7">
        <w:rPr>
          <w:rFonts w:cstheme="minorHAnsi"/>
        </w:rPr>
        <w:t>p</w:t>
      </w:r>
      <w:r w:rsidR="00D63B7A" w:rsidRPr="001005B7">
        <w:rPr>
          <w:rFonts w:cstheme="minorHAnsi"/>
        </w:rPr>
        <w:t>s breaking</w:t>
      </w:r>
      <w:r w:rsidR="00D94769" w:rsidRPr="001005B7">
        <w:rPr>
          <w:rFonts w:cstheme="minorHAnsi"/>
        </w:rPr>
        <w:t>,</w:t>
      </w:r>
      <w:r w:rsidR="00D63B7A" w:rsidRPr="001005B7">
        <w:rPr>
          <w:rFonts w:cstheme="minorHAnsi"/>
        </w:rPr>
        <w:t xml:space="preserve"> and him breaking</w:t>
      </w:r>
      <w:r w:rsidR="00301002" w:rsidRPr="001005B7">
        <w:rPr>
          <w:rFonts w:cstheme="minorHAnsi"/>
        </w:rPr>
        <w:t xml:space="preserve"> </w:t>
      </w:r>
      <w:r w:rsidR="00301002" w:rsidRPr="001005B7">
        <w:t>(</w:t>
      </w:r>
      <w:r w:rsidR="00573675" w:rsidRPr="001005B7">
        <w:rPr>
          <w:rFonts w:cstheme="minorHAnsi"/>
        </w:rPr>
        <w:t xml:space="preserve">Vg. </w:t>
      </w:r>
      <w:r w:rsidR="00362C7A" w:rsidRPr="001005B7">
        <w:rPr>
          <w:rFonts w:cstheme="minorHAnsi"/>
        </w:rPr>
        <w:t>has “</w:t>
      </w:r>
      <w:r w:rsidR="00301002" w:rsidRPr="001005B7">
        <w:rPr>
          <w:rFonts w:cstheme="minorHAnsi"/>
        </w:rPr>
        <w:t>I broke their heart</w:t>
      </w:r>
      <w:r w:rsidR="00362C7A" w:rsidRPr="001005B7">
        <w:rPr>
          <w:rFonts w:cstheme="minorHAnsi"/>
        </w:rPr>
        <w:t>,”</w:t>
      </w:r>
      <w:r w:rsidR="00301002" w:rsidRPr="001005B7">
        <w:rPr>
          <w:rFonts w:cstheme="minorHAnsi"/>
        </w:rPr>
        <w:t xml:space="preserve"> </w:t>
      </w:r>
      <w:r w:rsidR="00362C7A" w:rsidRPr="001005B7">
        <w:rPr>
          <w:rFonts w:cstheme="minorHAnsi"/>
        </w:rPr>
        <w:t xml:space="preserve">which is </w:t>
      </w:r>
      <w:r w:rsidR="00DA58E6" w:rsidRPr="001005B7">
        <w:rPr>
          <w:rFonts w:cstheme="minorHAnsi"/>
        </w:rPr>
        <w:t xml:space="preserve">a </w:t>
      </w:r>
      <w:r w:rsidR="00DE7AF7" w:rsidRPr="001005B7">
        <w:rPr>
          <w:rFonts w:cstheme="minorHAnsi"/>
        </w:rPr>
        <w:t>“</w:t>
      </w:r>
      <w:r w:rsidR="00301002" w:rsidRPr="001005B7">
        <w:rPr>
          <w:rFonts w:cstheme="minorHAnsi"/>
        </w:rPr>
        <w:t>great difference</w:t>
      </w:r>
      <w:r w:rsidR="00DE7AF7" w:rsidRPr="001005B7">
        <w:rPr>
          <w:rFonts w:cstheme="minorHAnsi"/>
        </w:rPr>
        <w:t>”</w:t>
      </w:r>
      <w:r w:rsidR="0012710E" w:rsidRPr="001005B7">
        <w:rPr>
          <w:rFonts w:cstheme="minorHAnsi"/>
        </w:rPr>
        <w:t xml:space="preserve">; </w:t>
      </w:r>
      <w:r w:rsidR="0012710E" w:rsidRPr="001005B7">
        <w:t>Greenhill</w:t>
      </w:r>
      <w:r w:rsidR="00DA58E6" w:rsidRPr="001005B7">
        <w:t>, 157</w:t>
      </w:r>
      <w:r w:rsidR="00DE7AF7" w:rsidRPr="001005B7">
        <w:rPr>
          <w:rFonts w:cstheme="minorHAnsi"/>
        </w:rPr>
        <w:t>)</w:t>
      </w:r>
      <w:r w:rsidR="00301002" w:rsidRPr="001005B7">
        <w:rPr>
          <w:rFonts w:cstheme="minorHAnsi"/>
        </w:rPr>
        <w:t>.</w:t>
      </w:r>
      <w:r w:rsidR="00673B66" w:rsidRPr="001005B7">
        <w:rPr>
          <w:rFonts w:cstheme="minorHAnsi"/>
        </w:rPr>
        <w:t xml:space="preserve"> </w:t>
      </w:r>
      <w:r w:rsidR="00D94769" w:rsidRPr="001005B7">
        <w:rPr>
          <w:rFonts w:cstheme="minorHAnsi"/>
        </w:rPr>
        <w:t>Like the English verb</w:t>
      </w:r>
      <w:r w:rsidR="00D22A61" w:rsidRPr="001005B7">
        <w:rPr>
          <w:rFonts w:cstheme="minorHAnsi"/>
        </w:rPr>
        <w:t xml:space="preserve"> </w:t>
      </w:r>
      <w:r w:rsidR="00241FC6" w:rsidRPr="001005B7">
        <w:rPr>
          <w:rFonts w:cstheme="minorHAnsi"/>
        </w:rPr>
        <w:t>“</w:t>
      </w:r>
      <w:r w:rsidR="00D22A61" w:rsidRPr="001005B7">
        <w:rPr>
          <w:rFonts w:cstheme="minorHAnsi"/>
        </w:rPr>
        <w:t>whore</w:t>
      </w:r>
      <w:r w:rsidR="00D94769" w:rsidRPr="001005B7">
        <w:rPr>
          <w:rFonts w:cstheme="minorHAnsi"/>
        </w:rPr>
        <w:t>,</w:t>
      </w:r>
      <w:r w:rsidR="00D22A61" w:rsidRPr="001005B7">
        <w:rPr>
          <w:rFonts w:cstheme="minorHAnsi"/>
        </w:rPr>
        <w:t>”</w:t>
      </w:r>
      <w:r w:rsidR="00D94769" w:rsidRPr="001005B7">
        <w:rPr>
          <w:rFonts w:cstheme="minorHAnsi"/>
        </w:rPr>
        <w:t xml:space="preserve"> the verb </w:t>
      </w:r>
      <w:r w:rsidR="007A6147" w:rsidRPr="001005B7">
        <w:rPr>
          <w:rFonts w:cstheme="minorHAnsi"/>
          <w:rtl/>
          <w:lang w:bidi="he-IL"/>
        </w:rPr>
        <w:t>זָנָה</w:t>
      </w:r>
      <w:r w:rsidR="007A6147" w:rsidRPr="001005B7">
        <w:rPr>
          <w:rFonts w:cstheme="minorHAnsi"/>
        </w:rPr>
        <w:t xml:space="preserve"> </w:t>
      </w:r>
      <w:r w:rsidR="00D94769" w:rsidRPr="001005B7">
        <w:rPr>
          <w:rFonts w:cstheme="minorHAnsi"/>
        </w:rPr>
        <w:t xml:space="preserve">suggests sexual looseness more generally than involvement in the sex trade. </w:t>
      </w:r>
      <w:r w:rsidR="004F41AF" w:rsidRPr="001005B7">
        <w:rPr>
          <w:rFonts w:cstheme="minorHAnsi"/>
        </w:rPr>
        <w:t>Such s</w:t>
      </w:r>
      <w:r w:rsidR="003C74A5" w:rsidRPr="001005B7">
        <w:rPr>
          <w:rFonts w:cstheme="minorHAnsi"/>
        </w:rPr>
        <w:t>e</w:t>
      </w:r>
      <w:r w:rsidR="004F41AF" w:rsidRPr="001005B7">
        <w:rPr>
          <w:rFonts w:cstheme="minorHAnsi"/>
        </w:rPr>
        <w:t>xual looseness</w:t>
      </w:r>
      <w:r w:rsidR="00D94769" w:rsidRPr="001005B7">
        <w:rPr>
          <w:rFonts w:cstheme="minorHAnsi"/>
        </w:rPr>
        <w:t xml:space="preserve"> involves </w:t>
      </w:r>
      <w:r w:rsidR="003C74A5" w:rsidRPr="001005B7">
        <w:rPr>
          <w:rFonts w:cstheme="minorHAnsi"/>
        </w:rPr>
        <w:t xml:space="preserve">both </w:t>
      </w:r>
      <w:r w:rsidR="00D94769" w:rsidRPr="001005B7">
        <w:rPr>
          <w:rFonts w:cstheme="minorHAnsi"/>
        </w:rPr>
        <w:t>the mind, physiologically the heart (</w:t>
      </w:r>
      <w:r w:rsidR="00D94769" w:rsidRPr="001005B7">
        <w:rPr>
          <w:rFonts w:cstheme="minorHAnsi"/>
          <w:rtl/>
          <w:lang w:bidi="he-IL"/>
        </w:rPr>
        <w:t>לֵב</w:t>
      </w:r>
      <w:r w:rsidR="00D94769" w:rsidRPr="001005B7">
        <w:rPr>
          <w:rFonts w:cstheme="minorHAnsi"/>
        </w:rPr>
        <w:t xml:space="preserve">), and the eyes (cf. Num 15:39; </w:t>
      </w:r>
      <w:r w:rsidR="00D94769" w:rsidRPr="001005B7">
        <w:t>Brownlee, 99).</w:t>
      </w:r>
      <w:r w:rsidR="00D94769" w:rsidRPr="001005B7">
        <w:rPr>
          <w:rFonts w:cstheme="minorHAnsi"/>
        </w:rPr>
        <w:t xml:space="preserve"> In Israelite conceptuality, the heart suggests thinking, forming attitudes, and making decisions.</w:t>
      </w:r>
      <w:r w:rsidR="00751884" w:rsidRPr="001005B7">
        <w:rPr>
          <w:rStyle w:val="FootnoteReference"/>
          <w:rFonts w:cstheme="minorHAnsi"/>
        </w:rPr>
        <w:footnoteReference w:id="202"/>
      </w:r>
      <w:r w:rsidR="00D94769" w:rsidRPr="001005B7">
        <w:rPr>
          <w:rFonts w:cstheme="minorHAnsi"/>
        </w:rPr>
        <w:t xml:space="preserve"> So Yahweh is concerned about the way the Israelites’ mind had worked. But whoring is also an activity of the eyes, with which people look to visual aids to worship such as images (cf. 18:6). Jewish and Christian worship has thus commonly been hesitant about the visual that can be an aid but can also a deception. </w:t>
      </w:r>
      <w:r w:rsidR="000050F4" w:rsidRPr="001005B7">
        <w:rPr>
          <w:rFonts w:cstheme="minorHAnsi"/>
        </w:rPr>
        <w:t xml:space="preserve">Yahweh’s </w:t>
      </w:r>
      <w:r w:rsidR="000E4685" w:rsidRPr="001005B7">
        <w:rPr>
          <w:rFonts w:cstheme="minorHAnsi"/>
        </w:rPr>
        <w:t>intention</w:t>
      </w:r>
      <w:r w:rsidR="000050F4" w:rsidRPr="001005B7">
        <w:rPr>
          <w:rFonts w:cstheme="minorHAnsi"/>
        </w:rPr>
        <w:t xml:space="preserve"> is that</w:t>
      </w:r>
      <w:r w:rsidR="009B2464" w:rsidRPr="001005B7">
        <w:rPr>
          <w:rFonts w:cstheme="minorHAnsi"/>
        </w:rPr>
        <w:t xml:space="preserve"> </w:t>
      </w:r>
      <w:r w:rsidR="00516EE8" w:rsidRPr="001005B7">
        <w:rPr>
          <w:rFonts w:cstheme="minorHAnsi"/>
        </w:rPr>
        <w:t>t</w:t>
      </w:r>
      <w:r w:rsidR="00555C87" w:rsidRPr="001005B7">
        <w:rPr>
          <w:rFonts w:cstheme="minorHAnsi"/>
        </w:rPr>
        <w:t xml:space="preserve">he survivors </w:t>
      </w:r>
      <w:r w:rsidR="00C00DA1" w:rsidRPr="001005B7">
        <w:rPr>
          <w:rFonts w:cstheme="minorHAnsi"/>
        </w:rPr>
        <w:t xml:space="preserve">of the </w:t>
      </w:r>
      <w:r w:rsidR="009D7E19" w:rsidRPr="001005B7">
        <w:rPr>
          <w:rFonts w:cstheme="minorHAnsi"/>
        </w:rPr>
        <w:t xml:space="preserve">coming </w:t>
      </w:r>
      <w:r w:rsidR="00C00DA1" w:rsidRPr="001005B7">
        <w:rPr>
          <w:rFonts w:cstheme="minorHAnsi"/>
        </w:rPr>
        <w:t xml:space="preserve">catastrophe will </w:t>
      </w:r>
      <w:r w:rsidR="00AE2489" w:rsidRPr="001005B7">
        <w:rPr>
          <w:rFonts w:cstheme="minorHAnsi"/>
        </w:rPr>
        <w:t>come to see themselves</w:t>
      </w:r>
      <w:r w:rsidR="00594BEF" w:rsidRPr="001005B7">
        <w:rPr>
          <w:rFonts w:cstheme="minorHAnsi"/>
        </w:rPr>
        <w:t>,</w:t>
      </w:r>
      <w:r w:rsidR="00361ACD" w:rsidRPr="001005B7">
        <w:rPr>
          <w:rFonts w:cstheme="minorHAnsi"/>
        </w:rPr>
        <w:t xml:space="preserve"> come to recognize that they cannot complain at what Yahweh has done</w:t>
      </w:r>
      <w:r w:rsidR="00170767" w:rsidRPr="001005B7">
        <w:rPr>
          <w:rFonts w:cstheme="minorHAnsi"/>
        </w:rPr>
        <w:t xml:space="preserve"> </w:t>
      </w:r>
      <w:r w:rsidR="00FA631D" w:rsidRPr="001005B7">
        <w:rPr>
          <w:rFonts w:cstheme="minorHAnsi"/>
        </w:rPr>
        <w:t xml:space="preserve">in bringing calamity to his people, </w:t>
      </w:r>
      <w:r w:rsidR="00965DFD" w:rsidRPr="001005B7">
        <w:rPr>
          <w:rFonts w:cstheme="minorHAnsi"/>
        </w:rPr>
        <w:t>because they</w:t>
      </w:r>
      <w:r w:rsidR="00361ACD" w:rsidRPr="001005B7">
        <w:rPr>
          <w:rFonts w:cstheme="minorHAnsi"/>
        </w:rPr>
        <w:t xml:space="preserve"> deserved it</w:t>
      </w:r>
      <w:r w:rsidR="002A07D7" w:rsidRPr="001005B7">
        <w:rPr>
          <w:rFonts w:cstheme="minorHAnsi"/>
        </w:rPr>
        <w:t xml:space="preserve">. They will </w:t>
      </w:r>
      <w:r w:rsidR="00594BEF" w:rsidRPr="001005B7">
        <w:rPr>
          <w:rFonts w:cstheme="minorHAnsi"/>
        </w:rPr>
        <w:t xml:space="preserve">thus </w:t>
      </w:r>
      <w:r w:rsidR="00317DB6" w:rsidRPr="001005B7">
        <w:rPr>
          <w:rFonts w:cstheme="minorHAnsi"/>
        </w:rPr>
        <w:t xml:space="preserve">come </w:t>
      </w:r>
      <w:r w:rsidR="00594BEF" w:rsidRPr="001005B7">
        <w:rPr>
          <w:rFonts w:cstheme="minorHAnsi"/>
        </w:rPr>
        <w:t>to</w:t>
      </w:r>
      <w:r w:rsidR="00AE2489" w:rsidRPr="001005B7">
        <w:rPr>
          <w:rFonts w:cstheme="minorHAnsi"/>
        </w:rPr>
        <w:t xml:space="preserve"> </w:t>
      </w:r>
      <w:r w:rsidR="00E93254" w:rsidRPr="001005B7">
        <w:rPr>
          <w:rFonts w:cstheme="minorHAnsi"/>
        </w:rPr>
        <w:t>“</w:t>
      </w:r>
      <w:r w:rsidR="00AE2489" w:rsidRPr="001005B7">
        <w:rPr>
          <w:rFonts w:cstheme="minorHAnsi"/>
        </w:rPr>
        <w:t>feel</w:t>
      </w:r>
      <w:r w:rsidR="00E93254" w:rsidRPr="001005B7">
        <w:rPr>
          <w:rFonts w:cstheme="minorHAnsi"/>
        </w:rPr>
        <w:t xml:space="preserve"> a</w:t>
      </w:r>
      <w:r w:rsidR="00AE2489" w:rsidRPr="001005B7">
        <w:rPr>
          <w:rFonts w:cstheme="minorHAnsi"/>
          <w:i/>
          <w:iCs/>
        </w:rPr>
        <w:t xml:space="preserve"> </w:t>
      </w:r>
      <w:r w:rsidR="00AE2489" w:rsidRPr="001005B7">
        <w:rPr>
          <w:rFonts w:cstheme="minorHAnsi"/>
        </w:rPr>
        <w:t>loathing</w:t>
      </w:r>
      <w:r w:rsidR="00AE2489" w:rsidRPr="001005B7">
        <w:rPr>
          <w:rFonts w:cstheme="minorHAnsi"/>
          <w:i/>
          <w:iCs/>
        </w:rPr>
        <w:t xml:space="preserve"> </w:t>
      </w:r>
      <w:r w:rsidR="00AE2489" w:rsidRPr="001005B7">
        <w:rPr>
          <w:rFonts w:cstheme="minorHAnsi"/>
        </w:rPr>
        <w:t>at</w:t>
      </w:r>
      <w:r w:rsidR="00AE2489" w:rsidRPr="001005B7">
        <w:rPr>
          <w:rFonts w:cstheme="minorHAnsi"/>
          <w:i/>
          <w:iCs/>
        </w:rPr>
        <w:t xml:space="preserve"> </w:t>
      </w:r>
      <w:r w:rsidR="00494305" w:rsidRPr="001005B7">
        <w:rPr>
          <w:rFonts w:cstheme="minorHAnsi"/>
        </w:rPr>
        <w:t>the</w:t>
      </w:r>
      <w:r w:rsidR="00494305" w:rsidRPr="001005B7">
        <w:rPr>
          <w:rFonts w:cstheme="minorHAnsi"/>
          <w:i/>
          <w:iCs/>
        </w:rPr>
        <w:t xml:space="preserve"> </w:t>
      </w:r>
      <w:r w:rsidR="00494305" w:rsidRPr="001005B7">
        <w:rPr>
          <w:rFonts w:cstheme="minorHAnsi"/>
        </w:rPr>
        <w:t>sight</w:t>
      </w:r>
      <w:r w:rsidR="00494305" w:rsidRPr="001005B7">
        <w:rPr>
          <w:rFonts w:cstheme="minorHAnsi"/>
          <w:i/>
          <w:iCs/>
        </w:rPr>
        <w:t xml:space="preserve"> </w:t>
      </w:r>
      <w:r w:rsidR="00494305" w:rsidRPr="001005B7">
        <w:rPr>
          <w:rFonts w:cstheme="minorHAnsi"/>
        </w:rPr>
        <w:t>o</w:t>
      </w:r>
      <w:r w:rsidR="00E93254" w:rsidRPr="001005B7">
        <w:rPr>
          <w:rFonts w:cstheme="minorHAnsi"/>
        </w:rPr>
        <w:t>f</w:t>
      </w:r>
      <w:r w:rsidR="00494305" w:rsidRPr="001005B7">
        <w:rPr>
          <w:rFonts w:cstheme="minorHAnsi"/>
          <w:i/>
          <w:iCs/>
        </w:rPr>
        <w:t xml:space="preserve"> </w:t>
      </w:r>
      <w:r w:rsidR="00AE2489" w:rsidRPr="001005B7">
        <w:rPr>
          <w:rFonts w:cstheme="minorHAnsi"/>
        </w:rPr>
        <w:t>themselves</w:t>
      </w:r>
      <w:r w:rsidR="00AE2489" w:rsidRPr="001005B7">
        <w:rPr>
          <w:rFonts w:cstheme="minorHAnsi"/>
          <w:i/>
          <w:iCs/>
        </w:rPr>
        <w:t xml:space="preserve"> </w:t>
      </w:r>
      <w:r w:rsidR="00102E49" w:rsidRPr="001005B7">
        <w:rPr>
          <w:rFonts w:cstheme="minorHAnsi"/>
        </w:rPr>
        <w:t>in</w:t>
      </w:r>
      <w:r w:rsidR="00102E49" w:rsidRPr="001005B7">
        <w:rPr>
          <w:rFonts w:cstheme="minorHAnsi"/>
          <w:i/>
          <w:iCs/>
        </w:rPr>
        <w:t xml:space="preserve"> </w:t>
      </w:r>
      <w:r w:rsidR="00102E49" w:rsidRPr="001005B7">
        <w:rPr>
          <w:rFonts w:cstheme="minorHAnsi"/>
        </w:rPr>
        <w:t>relation</w:t>
      </w:r>
      <w:r w:rsidR="00102E49" w:rsidRPr="001005B7">
        <w:rPr>
          <w:rFonts w:cstheme="minorHAnsi"/>
          <w:i/>
          <w:iCs/>
        </w:rPr>
        <w:t xml:space="preserve"> </w:t>
      </w:r>
      <w:r w:rsidR="00102E49" w:rsidRPr="001005B7">
        <w:rPr>
          <w:rFonts w:cstheme="minorHAnsi"/>
        </w:rPr>
        <w:t>to</w:t>
      </w:r>
      <w:r w:rsidR="006350EC" w:rsidRPr="001005B7">
        <w:rPr>
          <w:rFonts w:cstheme="minorHAnsi"/>
          <w:i/>
          <w:iCs/>
        </w:rPr>
        <w:t xml:space="preserve"> </w:t>
      </w:r>
      <w:r w:rsidR="006350EC" w:rsidRPr="001005B7">
        <w:rPr>
          <w:rFonts w:cstheme="minorHAnsi"/>
        </w:rPr>
        <w:t>the</w:t>
      </w:r>
      <w:r w:rsidR="006350EC" w:rsidRPr="001005B7">
        <w:rPr>
          <w:rFonts w:cstheme="minorHAnsi"/>
          <w:i/>
          <w:iCs/>
        </w:rPr>
        <w:t xml:space="preserve"> </w:t>
      </w:r>
      <w:r w:rsidR="006350EC" w:rsidRPr="001005B7">
        <w:rPr>
          <w:rFonts w:cstheme="minorHAnsi"/>
        </w:rPr>
        <w:t>dire</w:t>
      </w:r>
      <w:r w:rsidR="006350EC" w:rsidRPr="001005B7">
        <w:rPr>
          <w:rFonts w:cstheme="minorHAnsi"/>
          <w:i/>
          <w:iCs/>
        </w:rPr>
        <w:t xml:space="preserve"> </w:t>
      </w:r>
      <w:r w:rsidR="006350EC" w:rsidRPr="001005B7">
        <w:rPr>
          <w:rFonts w:cstheme="minorHAnsi"/>
        </w:rPr>
        <w:t>things</w:t>
      </w:r>
      <w:r w:rsidR="006350EC" w:rsidRPr="001005B7">
        <w:rPr>
          <w:rFonts w:cstheme="minorHAnsi"/>
          <w:i/>
          <w:iCs/>
        </w:rPr>
        <w:t xml:space="preserve"> </w:t>
      </w:r>
      <w:r w:rsidR="006350EC" w:rsidRPr="001005B7">
        <w:rPr>
          <w:rFonts w:cstheme="minorHAnsi"/>
        </w:rPr>
        <w:t>they</w:t>
      </w:r>
      <w:r w:rsidR="006350EC" w:rsidRPr="001005B7">
        <w:rPr>
          <w:rFonts w:cstheme="minorHAnsi"/>
          <w:i/>
          <w:iCs/>
        </w:rPr>
        <w:t xml:space="preserve"> </w:t>
      </w:r>
      <w:r w:rsidR="006350EC" w:rsidRPr="001005B7">
        <w:rPr>
          <w:rFonts w:cstheme="minorHAnsi"/>
        </w:rPr>
        <w:t>have</w:t>
      </w:r>
      <w:r w:rsidR="006350EC" w:rsidRPr="001005B7">
        <w:rPr>
          <w:rFonts w:cstheme="minorHAnsi"/>
          <w:i/>
          <w:iCs/>
        </w:rPr>
        <w:t xml:space="preserve"> </w:t>
      </w:r>
      <w:r w:rsidR="006350EC" w:rsidRPr="001005B7">
        <w:rPr>
          <w:rFonts w:cstheme="minorHAnsi"/>
        </w:rPr>
        <w:t>done</w:t>
      </w:r>
      <w:r w:rsidR="00965DFD" w:rsidRPr="001005B7">
        <w:rPr>
          <w:rFonts w:cstheme="minorHAnsi"/>
        </w:rPr>
        <w:t>.</w:t>
      </w:r>
      <w:r w:rsidR="00E93254" w:rsidRPr="001005B7">
        <w:rPr>
          <w:rFonts w:cstheme="minorHAnsi"/>
        </w:rPr>
        <w:t>”</w:t>
      </w:r>
      <w:r w:rsidR="00965DFD" w:rsidRPr="001005B7">
        <w:rPr>
          <w:rFonts w:cstheme="minorHAnsi"/>
        </w:rPr>
        <w:t xml:space="preserve"> </w:t>
      </w:r>
      <w:r w:rsidR="005B766D" w:rsidRPr="001005B7">
        <w:rPr>
          <w:rFonts w:cstheme="minorHAnsi"/>
        </w:rPr>
        <w:t>The verb</w:t>
      </w:r>
      <w:r w:rsidR="00D7563E" w:rsidRPr="001005B7">
        <w:rPr>
          <w:rFonts w:cstheme="minorHAnsi"/>
        </w:rPr>
        <w:t xml:space="preserve"> “feel a loathing”</w:t>
      </w:r>
      <w:r w:rsidR="00170B33" w:rsidRPr="001005B7">
        <w:rPr>
          <w:rFonts w:cstheme="minorHAnsi"/>
        </w:rPr>
        <w:t xml:space="preserve"> (</w:t>
      </w:r>
      <w:r w:rsidR="0011120E" w:rsidRPr="001005B7">
        <w:rPr>
          <w:rFonts w:cstheme="minorHAnsi"/>
          <w:rtl/>
          <w:lang w:bidi="he-IL"/>
        </w:rPr>
        <w:t>ק</w:t>
      </w:r>
      <w:r w:rsidR="001A0EA1" w:rsidRPr="001005B7">
        <w:rPr>
          <w:rFonts w:cstheme="minorHAnsi"/>
          <w:rtl/>
          <w:lang w:bidi="he-IL"/>
        </w:rPr>
        <w:t>וּט</w:t>
      </w:r>
      <w:r w:rsidR="001943DC" w:rsidRPr="001005B7">
        <w:rPr>
          <w:rFonts w:cstheme="minorHAnsi"/>
        </w:rPr>
        <w:t xml:space="preserve"> niphal</w:t>
      </w:r>
      <w:r w:rsidR="00170B33" w:rsidRPr="001005B7">
        <w:rPr>
          <w:rFonts w:cstheme="minorHAnsi"/>
        </w:rPr>
        <w:t>) occurs only in Ezekiel</w:t>
      </w:r>
      <w:r w:rsidR="00C32FA5" w:rsidRPr="001005B7">
        <w:rPr>
          <w:rFonts w:cstheme="minorHAnsi"/>
        </w:rPr>
        <w:t xml:space="preserve"> and can have a semi-positive connotation</w:t>
      </w:r>
      <w:r w:rsidR="007F132E" w:rsidRPr="001005B7">
        <w:rPr>
          <w:rFonts w:cstheme="minorHAnsi"/>
        </w:rPr>
        <w:t xml:space="preserve"> (20:43; 36:31)</w:t>
      </w:r>
      <w:r w:rsidR="00293176" w:rsidRPr="001005B7">
        <w:rPr>
          <w:rFonts w:cstheme="minorHAnsi"/>
        </w:rPr>
        <w:t xml:space="preserve">, </w:t>
      </w:r>
      <w:r w:rsidR="007E06AC" w:rsidRPr="001005B7">
        <w:rPr>
          <w:rFonts w:cstheme="minorHAnsi"/>
        </w:rPr>
        <w:t xml:space="preserve">but there are no pointers to that connotation here. This is more the kind of loathing that Yahweh himself had for Israel </w:t>
      </w:r>
      <w:r w:rsidR="00724678" w:rsidRPr="001005B7">
        <w:rPr>
          <w:rFonts w:cstheme="minorHAnsi"/>
        </w:rPr>
        <w:t>in the wilderness (</w:t>
      </w:r>
      <w:proofErr w:type="spellStart"/>
      <w:r w:rsidR="00724678" w:rsidRPr="001005B7">
        <w:rPr>
          <w:rFonts w:cstheme="minorHAnsi"/>
        </w:rPr>
        <w:t>Psa</w:t>
      </w:r>
      <w:proofErr w:type="spellEnd"/>
      <w:r w:rsidR="00724678" w:rsidRPr="001005B7">
        <w:rPr>
          <w:rFonts w:cstheme="minorHAnsi"/>
        </w:rPr>
        <w:t xml:space="preserve"> 95:10).</w:t>
      </w:r>
    </w:p>
    <w:p w14:paraId="3E066FE7" w14:textId="07DDDC60" w:rsidR="00103F13" w:rsidRPr="001005B7" w:rsidRDefault="00813D0B" w:rsidP="00D33873">
      <w:pPr>
        <w:rPr>
          <w:rFonts w:cstheme="minorHAnsi"/>
          <w:b/>
          <w:bCs/>
        </w:rPr>
      </w:pPr>
      <w:r w:rsidRPr="001005B7">
        <w:rPr>
          <w:rFonts w:cstheme="minorHAnsi"/>
          <w:b/>
          <w:bCs/>
        </w:rPr>
        <w:t xml:space="preserve">6:10 </w:t>
      </w:r>
      <w:r w:rsidR="00220D77" w:rsidRPr="001005B7">
        <w:rPr>
          <w:rFonts w:cstheme="minorHAnsi"/>
        </w:rPr>
        <w:t>Nevertheless,</w:t>
      </w:r>
      <w:r w:rsidR="003F02FF" w:rsidRPr="001005B7">
        <w:t xml:space="preserve"> </w:t>
      </w:r>
      <w:r w:rsidR="000B4435" w:rsidRPr="001005B7">
        <w:t xml:space="preserve">in another respect </w:t>
      </w:r>
      <w:r w:rsidR="003F02FF" w:rsidRPr="001005B7">
        <w:t>“the death brought about by Yahweh with the sword on the mountains of Israel is not his final goal</w:t>
      </w:r>
      <w:r w:rsidR="00803618" w:rsidRPr="001005B7">
        <w:t>” (</w:t>
      </w:r>
      <w:proofErr w:type="spellStart"/>
      <w:r w:rsidR="00803618" w:rsidRPr="001005B7">
        <w:t>Zimmerli</w:t>
      </w:r>
      <w:proofErr w:type="spellEnd"/>
      <w:r w:rsidR="00481F1F" w:rsidRPr="001005B7">
        <w:t>,</w:t>
      </w:r>
      <w:r w:rsidR="00803618" w:rsidRPr="001005B7">
        <w:rPr>
          <w:i/>
          <w:iCs/>
        </w:rPr>
        <w:t xml:space="preserve"> </w:t>
      </w:r>
      <w:r w:rsidR="00803618" w:rsidRPr="001005B7">
        <w:t>1:190</w:t>
      </w:r>
      <w:r w:rsidR="00375E12" w:rsidRPr="001005B7">
        <w:t>).</w:t>
      </w:r>
      <w:r w:rsidR="003F02FF" w:rsidRPr="001005B7">
        <w:t xml:space="preserve"> </w:t>
      </w:r>
      <w:r w:rsidR="002B5EE7" w:rsidRPr="001005B7">
        <w:rPr>
          <w:rFonts w:cstheme="minorHAnsi"/>
        </w:rPr>
        <w:t xml:space="preserve">The first half of </w:t>
      </w:r>
      <w:r w:rsidR="00746C31" w:rsidRPr="001005B7">
        <w:rPr>
          <w:rFonts w:cstheme="minorHAnsi"/>
        </w:rPr>
        <w:t>the two messages from Yahweh that comprise Ezek 6 comes to an end with another act of acknowledgment of Yahweh</w:t>
      </w:r>
      <w:r w:rsidR="006B3286" w:rsidRPr="001005B7">
        <w:rPr>
          <w:rFonts w:cstheme="minorHAnsi"/>
        </w:rPr>
        <w:t>, qualified by another</w:t>
      </w:r>
      <w:r w:rsidR="00875496" w:rsidRPr="001005B7">
        <w:rPr>
          <w:rFonts w:cstheme="minorHAnsi"/>
        </w:rPr>
        <w:t xml:space="preserve"> </w:t>
      </w:r>
      <w:r w:rsidR="008D1B36" w:rsidRPr="001005B7">
        <w:rPr>
          <w:rFonts w:cstheme="minorHAnsi"/>
        </w:rPr>
        <w:t xml:space="preserve">description of Yahweh. </w:t>
      </w:r>
      <w:r w:rsidR="001C0119" w:rsidRPr="001005B7">
        <w:rPr>
          <w:rFonts w:cstheme="minorHAnsi"/>
        </w:rPr>
        <w:t>H</w:t>
      </w:r>
      <w:r w:rsidR="008D1B36" w:rsidRPr="001005B7">
        <w:rPr>
          <w:rFonts w:cstheme="minorHAnsi"/>
        </w:rPr>
        <w:t xml:space="preserve">e will </w:t>
      </w:r>
      <w:r w:rsidR="00503726" w:rsidRPr="001005B7">
        <w:rPr>
          <w:rFonts w:cstheme="minorHAnsi"/>
        </w:rPr>
        <w:t>ensure that some of the community in Judah survive</w:t>
      </w:r>
      <w:r w:rsidR="00B106C6" w:rsidRPr="001005B7">
        <w:rPr>
          <w:rFonts w:cstheme="minorHAnsi"/>
        </w:rPr>
        <w:t xml:space="preserve">, </w:t>
      </w:r>
      <w:r w:rsidR="00947E21" w:rsidRPr="001005B7">
        <w:rPr>
          <w:rFonts w:cstheme="minorHAnsi"/>
        </w:rPr>
        <w:t xml:space="preserve">but </w:t>
      </w:r>
      <w:r w:rsidR="00B106C6" w:rsidRPr="001005B7">
        <w:rPr>
          <w:rFonts w:cstheme="minorHAnsi"/>
        </w:rPr>
        <w:t xml:space="preserve">he implies no inappropriateness in the action he </w:t>
      </w:r>
      <w:r w:rsidR="00947E21" w:rsidRPr="001005B7">
        <w:rPr>
          <w:rFonts w:cstheme="minorHAnsi"/>
        </w:rPr>
        <w:t xml:space="preserve">will </w:t>
      </w:r>
      <w:r w:rsidR="00B106C6" w:rsidRPr="001005B7">
        <w:rPr>
          <w:rFonts w:cstheme="minorHAnsi"/>
        </w:rPr>
        <w:t>take.</w:t>
      </w:r>
      <w:r w:rsidR="00984AA9" w:rsidRPr="001005B7">
        <w:rPr>
          <w:rFonts w:cstheme="minorHAnsi"/>
        </w:rPr>
        <w:t xml:space="preserve"> They will deserve it</w:t>
      </w:r>
      <w:r w:rsidR="00C274AF" w:rsidRPr="001005B7">
        <w:rPr>
          <w:rFonts w:cstheme="minorHAnsi"/>
        </w:rPr>
        <w:t>.</w:t>
      </w:r>
      <w:r w:rsidR="00665F90" w:rsidRPr="001005B7">
        <w:rPr>
          <w:rFonts w:cstheme="minorHAnsi"/>
        </w:rPr>
        <w:t xml:space="preserve"> </w:t>
      </w:r>
      <w:r w:rsidR="00897172" w:rsidRPr="001005B7">
        <w:rPr>
          <w:rFonts w:cstheme="minorHAnsi"/>
        </w:rPr>
        <w:t>H</w:t>
      </w:r>
      <w:r w:rsidR="00665F90" w:rsidRPr="001005B7">
        <w:rPr>
          <w:rFonts w:cstheme="minorHAnsi"/>
        </w:rPr>
        <w:t xml:space="preserve">is act of destruction will not be </w:t>
      </w:r>
      <w:r w:rsidR="00733F7B" w:rsidRPr="001005B7">
        <w:rPr>
          <w:rFonts w:cstheme="minorHAnsi"/>
        </w:rPr>
        <w:t xml:space="preserve">undertaken </w:t>
      </w:r>
      <w:r w:rsidR="0020273C" w:rsidRPr="001005B7">
        <w:rPr>
          <w:rFonts w:cstheme="minorHAnsi"/>
        </w:rPr>
        <w:t>“</w:t>
      </w:r>
      <w:r w:rsidR="00665F90" w:rsidRPr="001005B7">
        <w:rPr>
          <w:rFonts w:cstheme="minorHAnsi"/>
        </w:rPr>
        <w:t>gratuitous</w:t>
      </w:r>
      <w:r w:rsidR="00733F7B" w:rsidRPr="001005B7">
        <w:rPr>
          <w:rFonts w:cstheme="minorHAnsi"/>
        </w:rPr>
        <w:t>ly</w:t>
      </w:r>
      <w:r w:rsidR="0020273C" w:rsidRPr="001005B7">
        <w:rPr>
          <w:rFonts w:cstheme="minorHAnsi"/>
        </w:rPr>
        <w:t>”</w:t>
      </w:r>
      <w:r w:rsidR="00537C3C" w:rsidRPr="001005B7">
        <w:rPr>
          <w:rFonts w:cstheme="minorHAnsi"/>
        </w:rPr>
        <w:t xml:space="preserve"> (</w:t>
      </w:r>
      <w:r w:rsidR="00537C3C" w:rsidRPr="001005B7">
        <w:rPr>
          <w:rFonts w:cstheme="minorHAnsi"/>
          <w:rtl/>
          <w:lang w:bidi="he-IL"/>
        </w:rPr>
        <w:t>ח</w:t>
      </w:r>
      <w:r w:rsidR="00270E06" w:rsidRPr="001005B7">
        <w:rPr>
          <w:rFonts w:cstheme="minorHAnsi"/>
          <w:rtl/>
          <w:lang w:bidi="he-IL"/>
        </w:rPr>
        <w:t>ִנׇּם</w:t>
      </w:r>
      <w:r w:rsidR="00270E06" w:rsidRPr="001005B7">
        <w:rPr>
          <w:rFonts w:cstheme="minorHAnsi"/>
        </w:rPr>
        <w:t>)</w:t>
      </w:r>
      <w:r w:rsidR="00612793" w:rsidRPr="001005B7">
        <w:rPr>
          <w:rFonts w:cstheme="minorHAnsi"/>
        </w:rPr>
        <w:t xml:space="preserve">. In due course it will become more explicit that </w:t>
      </w:r>
      <w:r w:rsidR="00CF2061" w:rsidRPr="001005B7">
        <w:rPr>
          <w:rFonts w:cstheme="minorHAnsi"/>
        </w:rPr>
        <w:t xml:space="preserve">his act </w:t>
      </w:r>
      <w:r w:rsidR="007E2CC0" w:rsidRPr="001005B7">
        <w:rPr>
          <w:rFonts w:cstheme="minorHAnsi"/>
        </w:rPr>
        <w:t>will be non-gratuitous n</w:t>
      </w:r>
      <w:r w:rsidR="00211786" w:rsidRPr="001005B7">
        <w:rPr>
          <w:rFonts w:cstheme="minorHAnsi"/>
        </w:rPr>
        <w:t xml:space="preserve">ot only in the sense that there was reason for it </w:t>
      </w:r>
      <w:r w:rsidR="00D40097" w:rsidRPr="001005B7">
        <w:rPr>
          <w:rFonts w:cstheme="minorHAnsi"/>
        </w:rPr>
        <w:t>(cf. 14</w:t>
      </w:r>
      <w:r w:rsidR="00097891" w:rsidRPr="001005B7">
        <w:rPr>
          <w:rFonts w:cstheme="minorHAnsi"/>
        </w:rPr>
        <w:t>:23)</w:t>
      </w:r>
      <w:r w:rsidR="008F0D9A" w:rsidRPr="001005B7">
        <w:rPr>
          <w:rFonts w:cstheme="minorHAnsi"/>
        </w:rPr>
        <w:t xml:space="preserve"> </w:t>
      </w:r>
      <w:r w:rsidR="000D7FD0" w:rsidRPr="001005B7">
        <w:rPr>
          <w:rFonts w:cstheme="minorHAnsi"/>
        </w:rPr>
        <w:t xml:space="preserve">but also </w:t>
      </w:r>
      <w:r w:rsidR="00A7615D" w:rsidRPr="001005B7">
        <w:rPr>
          <w:rFonts w:cstheme="minorHAnsi"/>
        </w:rPr>
        <w:t xml:space="preserve">in the sense </w:t>
      </w:r>
      <w:r w:rsidR="000D7FD0" w:rsidRPr="001005B7">
        <w:rPr>
          <w:rFonts w:cstheme="minorHAnsi"/>
        </w:rPr>
        <w:t>that it was not</w:t>
      </w:r>
      <w:r w:rsidR="00A7615D" w:rsidRPr="001005B7">
        <w:rPr>
          <w:rFonts w:cstheme="minorHAnsi"/>
        </w:rPr>
        <w:t xml:space="preserve"> leading nowhere</w:t>
      </w:r>
      <w:r w:rsidR="007157F7" w:rsidRPr="001005B7">
        <w:rPr>
          <w:rFonts w:cstheme="minorHAnsi"/>
        </w:rPr>
        <w:t xml:space="preserve"> </w:t>
      </w:r>
      <w:r w:rsidR="0006613A" w:rsidRPr="001005B7">
        <w:rPr>
          <w:rFonts w:cstheme="minorHAnsi"/>
        </w:rPr>
        <w:t>(</w:t>
      </w:r>
      <w:r w:rsidR="000D7FD0" w:rsidRPr="001005B7">
        <w:rPr>
          <w:rFonts w:cstheme="minorHAnsi"/>
        </w:rPr>
        <w:t>cf.</w:t>
      </w:r>
      <w:r w:rsidR="0006613A" w:rsidRPr="001005B7">
        <w:rPr>
          <w:rFonts w:cstheme="minorHAnsi"/>
        </w:rPr>
        <w:t xml:space="preserve"> </w:t>
      </w:r>
      <w:r w:rsidR="00573675" w:rsidRPr="001005B7">
        <w:rPr>
          <w:rFonts w:cstheme="minorHAnsi"/>
        </w:rPr>
        <w:t xml:space="preserve">Vg. </w:t>
      </w:r>
      <w:r w:rsidR="0006613A" w:rsidRPr="001005B7">
        <w:rPr>
          <w:rFonts w:cstheme="minorHAnsi"/>
        </w:rPr>
        <w:t>here</w:t>
      </w:r>
      <w:r w:rsidR="00BD3CC1" w:rsidRPr="001005B7">
        <w:rPr>
          <w:rFonts w:cstheme="minorHAnsi"/>
        </w:rPr>
        <w:t>; and Prov 1:17</w:t>
      </w:r>
      <w:r w:rsidR="0006613A" w:rsidRPr="001005B7">
        <w:rPr>
          <w:rFonts w:cstheme="minorHAnsi"/>
        </w:rPr>
        <w:t>)</w:t>
      </w:r>
      <w:r w:rsidR="00513121" w:rsidRPr="001005B7">
        <w:rPr>
          <w:rFonts w:cstheme="minorHAnsi"/>
        </w:rPr>
        <w:t xml:space="preserve">. </w:t>
      </w:r>
      <w:r w:rsidR="007974DD" w:rsidRPr="001005B7">
        <w:rPr>
          <w:rFonts w:cstheme="minorHAnsi"/>
        </w:rPr>
        <w:t>H</w:t>
      </w:r>
      <w:r w:rsidR="008F0D9A" w:rsidRPr="001005B7">
        <w:rPr>
          <w:rFonts w:cstheme="minorHAnsi"/>
        </w:rPr>
        <w:t>is act of mercy will be undertaken gratuitously</w:t>
      </w:r>
      <w:r w:rsidR="00513121" w:rsidRPr="001005B7">
        <w:rPr>
          <w:rFonts w:cstheme="minorHAnsi"/>
        </w:rPr>
        <w:t xml:space="preserve"> in the sense that i</w:t>
      </w:r>
      <w:r w:rsidR="00992EBD" w:rsidRPr="001005B7">
        <w:rPr>
          <w:rFonts w:cstheme="minorHAnsi"/>
        </w:rPr>
        <w:t>t emerges from his covenant commitment</w:t>
      </w:r>
      <w:r w:rsidR="00070B31" w:rsidRPr="001005B7">
        <w:rPr>
          <w:rFonts w:cstheme="minorHAnsi"/>
        </w:rPr>
        <w:t>,</w:t>
      </w:r>
      <w:r w:rsidR="00992EBD" w:rsidRPr="001005B7">
        <w:rPr>
          <w:rFonts w:cstheme="minorHAnsi"/>
        </w:rPr>
        <w:t xml:space="preserve"> not from their deserve (to use the Leviticus terminology)</w:t>
      </w:r>
      <w:r w:rsidR="005A70A2" w:rsidRPr="001005B7">
        <w:rPr>
          <w:rFonts w:cstheme="minorHAnsi"/>
        </w:rPr>
        <w:t>. It will not be undertaken</w:t>
      </w:r>
      <w:r w:rsidR="002D4C06" w:rsidRPr="001005B7">
        <w:rPr>
          <w:rFonts w:cstheme="minorHAnsi"/>
        </w:rPr>
        <w:t xml:space="preserve"> gratuitously in </w:t>
      </w:r>
      <w:r w:rsidR="007974DD" w:rsidRPr="001005B7">
        <w:rPr>
          <w:rFonts w:cstheme="minorHAnsi"/>
        </w:rPr>
        <w:t>that other</w:t>
      </w:r>
      <w:r w:rsidR="002D4C06" w:rsidRPr="001005B7">
        <w:rPr>
          <w:rFonts w:cstheme="minorHAnsi"/>
        </w:rPr>
        <w:t xml:space="preserve"> sense: it will not fail to lead somewhere</w:t>
      </w:r>
      <w:r w:rsidR="003105FB" w:rsidRPr="001005B7">
        <w:rPr>
          <w:rFonts w:cstheme="minorHAnsi"/>
        </w:rPr>
        <w:t>, in provoking their necessary response</w:t>
      </w:r>
      <w:r w:rsidR="002F590D" w:rsidRPr="001005B7">
        <w:rPr>
          <w:rFonts w:cstheme="minorHAnsi"/>
        </w:rPr>
        <w:t xml:space="preserve">. But in Ezek 6, </w:t>
      </w:r>
      <w:r w:rsidR="00372C38" w:rsidRPr="001005B7">
        <w:rPr>
          <w:rFonts w:cstheme="minorHAnsi"/>
        </w:rPr>
        <w:t>such connotations are not present.</w:t>
      </w:r>
      <w:r w:rsidR="007157F7" w:rsidRPr="001005B7">
        <w:rPr>
          <w:rFonts w:cstheme="minorHAnsi"/>
        </w:rPr>
        <w:t xml:space="preserve"> </w:t>
      </w:r>
    </w:p>
    <w:p w14:paraId="6D92787C" w14:textId="206984CC" w:rsidR="00EA04A3" w:rsidRPr="001005B7" w:rsidRDefault="007974DD" w:rsidP="005D7616">
      <w:pPr>
        <w:rPr>
          <w:rFonts w:cstheme="minorHAnsi"/>
        </w:rPr>
      </w:pPr>
      <w:r w:rsidRPr="001005B7">
        <w:rPr>
          <w:rFonts w:cstheme="minorHAnsi"/>
          <w:b/>
          <w:bCs/>
        </w:rPr>
        <w:t>6:</w:t>
      </w:r>
      <w:r w:rsidR="008101A1" w:rsidRPr="001005B7">
        <w:rPr>
          <w:rFonts w:cstheme="minorHAnsi"/>
          <w:b/>
          <w:bCs/>
        </w:rPr>
        <w:t>11</w:t>
      </w:r>
      <w:r w:rsidR="00F46900" w:rsidRPr="001005B7">
        <w:rPr>
          <w:rFonts w:cstheme="minorHAnsi"/>
          <w:b/>
          <w:bCs/>
        </w:rPr>
        <w:t>–</w:t>
      </w:r>
      <w:r w:rsidR="008101A1" w:rsidRPr="001005B7">
        <w:rPr>
          <w:rFonts w:cstheme="minorHAnsi"/>
          <w:b/>
          <w:bCs/>
        </w:rPr>
        <w:t>1</w:t>
      </w:r>
      <w:r w:rsidR="00C13282" w:rsidRPr="001005B7">
        <w:rPr>
          <w:rFonts w:cstheme="minorHAnsi"/>
          <w:b/>
          <w:bCs/>
        </w:rPr>
        <w:t>2</w:t>
      </w:r>
      <w:r w:rsidR="008101A1" w:rsidRPr="001005B7">
        <w:rPr>
          <w:rFonts w:cstheme="minorHAnsi"/>
          <w:b/>
          <w:bCs/>
        </w:rPr>
        <w:t xml:space="preserve"> </w:t>
      </w:r>
      <w:r w:rsidR="000C7C03" w:rsidRPr="001005B7">
        <w:rPr>
          <w:rFonts w:cstheme="minorHAnsi"/>
        </w:rPr>
        <w:t>The second</w:t>
      </w:r>
      <w:r w:rsidR="004847A1" w:rsidRPr="001005B7">
        <w:rPr>
          <w:rFonts w:cstheme="minorHAnsi"/>
        </w:rPr>
        <w:t>, shorter unit within the chapter thus</w:t>
      </w:r>
      <w:r w:rsidR="000C7C03" w:rsidRPr="001005B7">
        <w:rPr>
          <w:rFonts w:cstheme="minorHAnsi"/>
        </w:rPr>
        <w:t xml:space="preserve"> </w:t>
      </w:r>
      <w:r w:rsidR="002910E3" w:rsidRPr="001005B7">
        <w:rPr>
          <w:rFonts w:cstheme="minorHAnsi"/>
        </w:rPr>
        <w:t>continues with an atmosphere of</w:t>
      </w:r>
      <w:r w:rsidR="00FF197B" w:rsidRPr="001005B7">
        <w:rPr>
          <w:rFonts w:cstheme="minorHAnsi"/>
        </w:rPr>
        <w:t xml:space="preserve"> threat and warning</w:t>
      </w:r>
      <w:r w:rsidR="00D454C3" w:rsidRPr="001005B7">
        <w:rPr>
          <w:rFonts w:cstheme="minorHAnsi"/>
        </w:rPr>
        <w:t xml:space="preserve">. </w:t>
      </w:r>
      <w:r w:rsidR="00D44BCF" w:rsidRPr="001005B7">
        <w:rPr>
          <w:rFonts w:cstheme="minorHAnsi"/>
        </w:rPr>
        <w:t>Yahweh commissions another sign act</w:t>
      </w:r>
      <w:r w:rsidR="00FF7555" w:rsidRPr="001005B7">
        <w:rPr>
          <w:rFonts w:cstheme="minorHAnsi"/>
        </w:rPr>
        <w:t xml:space="preserve"> that involves not merely </w:t>
      </w:r>
      <w:r w:rsidR="00517A08">
        <w:rPr>
          <w:rFonts w:cstheme="minorHAnsi"/>
        </w:rPr>
        <w:t xml:space="preserve">looks that are </w:t>
      </w:r>
      <w:r w:rsidR="006B2381" w:rsidRPr="001005B7">
        <w:rPr>
          <w:rFonts w:cstheme="minorHAnsi"/>
        </w:rPr>
        <w:t>threatening but physical expressions of</w:t>
      </w:r>
      <w:r w:rsidR="002228EB" w:rsidRPr="001005B7">
        <w:rPr>
          <w:rFonts w:cstheme="minorHAnsi"/>
        </w:rPr>
        <w:t xml:space="preserve"> </w:t>
      </w:r>
      <w:r w:rsidR="00A256E3" w:rsidRPr="001005B7">
        <w:rPr>
          <w:rFonts w:cstheme="minorHAnsi"/>
        </w:rPr>
        <w:t xml:space="preserve">hostility and </w:t>
      </w:r>
      <w:r w:rsidR="002228EB" w:rsidRPr="001005B7">
        <w:rPr>
          <w:rFonts w:cstheme="minorHAnsi"/>
        </w:rPr>
        <w:t>anger</w:t>
      </w:r>
      <w:r w:rsidR="009517D5" w:rsidRPr="001005B7">
        <w:rPr>
          <w:rFonts w:cstheme="minorHAnsi"/>
        </w:rPr>
        <w:t xml:space="preserve"> that would be associated with action </w:t>
      </w:r>
      <w:r w:rsidR="000E46D6" w:rsidRPr="001005B7">
        <w:rPr>
          <w:rFonts w:cstheme="minorHAnsi"/>
        </w:rPr>
        <w:t xml:space="preserve">(cf. </w:t>
      </w:r>
      <w:r w:rsidR="00B66E4D" w:rsidRPr="001005B7">
        <w:rPr>
          <w:rFonts w:cstheme="minorHAnsi"/>
        </w:rPr>
        <w:t>25:6</w:t>
      </w:r>
      <w:r w:rsidR="000E46D6" w:rsidRPr="001005B7">
        <w:rPr>
          <w:rFonts w:cstheme="minorHAnsi"/>
        </w:rPr>
        <w:t>). Ezekiel is again the means of implementing Yahweh’s intention by means of his gestures.</w:t>
      </w:r>
      <w:r w:rsidR="009B5C49" w:rsidRPr="001005B7">
        <w:rPr>
          <w:rFonts w:cstheme="minorHAnsi"/>
        </w:rPr>
        <w:t xml:space="preserve"> Once </w:t>
      </w:r>
      <w:r w:rsidR="00B738CF">
        <w:rPr>
          <w:rFonts w:cstheme="minorHAnsi"/>
        </w:rPr>
        <w:t>more</w:t>
      </w:r>
      <w:r w:rsidR="009B5C49" w:rsidRPr="001005B7">
        <w:rPr>
          <w:rFonts w:cstheme="minorHAnsi"/>
        </w:rPr>
        <w:t xml:space="preserve">, </w:t>
      </w:r>
      <w:r w:rsidR="00492A14" w:rsidRPr="001005B7">
        <w:rPr>
          <w:rFonts w:cstheme="minorHAnsi"/>
        </w:rPr>
        <w:t>“</w:t>
      </w:r>
      <w:r w:rsidR="00E732A0" w:rsidRPr="001005B7">
        <w:rPr>
          <w:rFonts w:cstheme="minorHAnsi"/>
        </w:rPr>
        <w:t>s</w:t>
      </w:r>
      <w:r w:rsidR="0071142A" w:rsidRPr="001005B7">
        <w:rPr>
          <w:rFonts w:cstheme="minorHAnsi"/>
        </w:rPr>
        <w:t>word</w:t>
      </w:r>
      <w:r w:rsidR="00E732A0" w:rsidRPr="001005B7">
        <w:rPr>
          <w:rFonts w:cstheme="minorHAnsi"/>
        </w:rPr>
        <w:t>,</w:t>
      </w:r>
      <w:r w:rsidR="00492A14" w:rsidRPr="001005B7">
        <w:rPr>
          <w:rFonts w:cstheme="minorHAnsi"/>
        </w:rPr>
        <w:t>”</w:t>
      </w:r>
      <w:r w:rsidR="0071142A" w:rsidRPr="001005B7">
        <w:rPr>
          <w:rFonts w:cstheme="minorHAnsi"/>
        </w:rPr>
        <w:t xml:space="preserve"> </w:t>
      </w:r>
      <w:r w:rsidR="00492A14" w:rsidRPr="001005B7">
        <w:rPr>
          <w:rFonts w:cstheme="minorHAnsi"/>
        </w:rPr>
        <w:t>“</w:t>
      </w:r>
      <w:r w:rsidR="0071142A" w:rsidRPr="001005B7">
        <w:rPr>
          <w:rFonts w:cstheme="minorHAnsi"/>
        </w:rPr>
        <w:t>famine</w:t>
      </w:r>
      <w:r w:rsidR="00E732A0" w:rsidRPr="001005B7">
        <w:rPr>
          <w:rFonts w:cstheme="minorHAnsi"/>
        </w:rPr>
        <w:t>,</w:t>
      </w:r>
      <w:r w:rsidR="00492A14" w:rsidRPr="001005B7">
        <w:rPr>
          <w:rFonts w:cstheme="minorHAnsi"/>
        </w:rPr>
        <w:t>”</w:t>
      </w:r>
      <w:r w:rsidR="00E732A0" w:rsidRPr="001005B7">
        <w:rPr>
          <w:rFonts w:cstheme="minorHAnsi"/>
        </w:rPr>
        <w:t xml:space="preserve"> and</w:t>
      </w:r>
      <w:r w:rsidR="0071142A" w:rsidRPr="001005B7">
        <w:rPr>
          <w:rFonts w:cstheme="minorHAnsi"/>
        </w:rPr>
        <w:t xml:space="preserve"> </w:t>
      </w:r>
      <w:r w:rsidR="00492A14" w:rsidRPr="001005B7">
        <w:rPr>
          <w:rFonts w:cstheme="minorHAnsi"/>
        </w:rPr>
        <w:t>“</w:t>
      </w:r>
      <w:r w:rsidR="0071142A" w:rsidRPr="001005B7">
        <w:rPr>
          <w:rFonts w:cstheme="minorHAnsi"/>
        </w:rPr>
        <w:t>epidemic</w:t>
      </w:r>
      <w:r w:rsidR="00492A14" w:rsidRPr="001005B7">
        <w:rPr>
          <w:rFonts w:cstheme="minorHAnsi"/>
        </w:rPr>
        <w:t>”</w:t>
      </w:r>
      <w:r w:rsidR="00892EF8" w:rsidRPr="001005B7">
        <w:rPr>
          <w:rFonts w:cstheme="minorHAnsi"/>
        </w:rPr>
        <w:t xml:space="preserve"> </w:t>
      </w:r>
      <w:r w:rsidR="00E732A0" w:rsidRPr="001005B7">
        <w:rPr>
          <w:rFonts w:cstheme="minorHAnsi"/>
        </w:rPr>
        <w:t xml:space="preserve">imply implementing the threat in </w:t>
      </w:r>
      <w:r w:rsidR="00892EF8" w:rsidRPr="001005B7">
        <w:rPr>
          <w:rFonts w:cstheme="minorHAnsi"/>
        </w:rPr>
        <w:t>Lev 26:25</w:t>
      </w:r>
      <w:r w:rsidR="00F46900" w:rsidRPr="001005B7">
        <w:rPr>
          <w:rFonts w:cstheme="minorHAnsi"/>
        </w:rPr>
        <w:t>–</w:t>
      </w:r>
      <w:r w:rsidR="00892EF8" w:rsidRPr="001005B7">
        <w:rPr>
          <w:rFonts w:cstheme="minorHAnsi"/>
        </w:rPr>
        <w:t>26</w:t>
      </w:r>
      <w:r w:rsidR="00C70108" w:rsidRPr="001005B7">
        <w:rPr>
          <w:rFonts w:cstheme="minorHAnsi"/>
        </w:rPr>
        <w:t xml:space="preserve">, though they are also a threat that recurs in Jeremiah (e.g., </w:t>
      </w:r>
      <w:r w:rsidR="002737E0" w:rsidRPr="001005B7">
        <w:rPr>
          <w:rFonts w:cstheme="minorHAnsi"/>
        </w:rPr>
        <w:t>14:12</w:t>
      </w:r>
      <w:r w:rsidR="00C70108" w:rsidRPr="001005B7">
        <w:rPr>
          <w:rFonts w:cstheme="minorHAnsi"/>
        </w:rPr>
        <w:t>).</w:t>
      </w:r>
      <w:r w:rsidR="008971A0" w:rsidRPr="001005B7">
        <w:rPr>
          <w:rFonts w:cstheme="minorHAnsi"/>
        </w:rPr>
        <w:t xml:space="preserve"> </w:t>
      </w:r>
      <w:r w:rsidR="00397A6A" w:rsidRPr="001005B7">
        <w:rPr>
          <w:rFonts w:cstheme="minorHAnsi"/>
        </w:rPr>
        <w:t>T</w:t>
      </w:r>
      <w:r w:rsidR="00114D1F" w:rsidRPr="001005B7">
        <w:rPr>
          <w:rFonts w:cstheme="minorHAnsi"/>
        </w:rPr>
        <w:t xml:space="preserve">here is no consistent pattern </w:t>
      </w:r>
      <w:r w:rsidR="00397A6A" w:rsidRPr="001005B7">
        <w:rPr>
          <w:rFonts w:cstheme="minorHAnsi"/>
        </w:rPr>
        <w:t>in the</w:t>
      </w:r>
      <w:r w:rsidR="00114D1F" w:rsidRPr="001005B7">
        <w:rPr>
          <w:rFonts w:cstheme="minorHAnsi"/>
        </w:rPr>
        <w:t xml:space="preserve"> associati</w:t>
      </w:r>
      <w:r w:rsidR="00397A6A" w:rsidRPr="001005B7">
        <w:rPr>
          <w:rFonts w:cstheme="minorHAnsi"/>
        </w:rPr>
        <w:t>on</w:t>
      </w:r>
      <w:r w:rsidR="00114D1F" w:rsidRPr="001005B7">
        <w:rPr>
          <w:rFonts w:cstheme="minorHAnsi"/>
        </w:rPr>
        <w:t xml:space="preserve"> </w:t>
      </w:r>
      <w:r w:rsidR="00397A6A" w:rsidRPr="001005B7">
        <w:rPr>
          <w:rFonts w:cstheme="minorHAnsi"/>
        </w:rPr>
        <w:t xml:space="preserve">of </w:t>
      </w:r>
      <w:r w:rsidR="00114D1F" w:rsidRPr="001005B7">
        <w:rPr>
          <w:rFonts w:cstheme="minorHAnsi"/>
        </w:rPr>
        <w:t>these three scourges with different locations</w:t>
      </w:r>
      <w:r w:rsidR="00C944D8" w:rsidRPr="001005B7">
        <w:rPr>
          <w:rFonts w:cstheme="minorHAnsi"/>
        </w:rPr>
        <w:t xml:space="preserve">, </w:t>
      </w:r>
      <w:r w:rsidR="004E1F6D" w:rsidRPr="001005B7">
        <w:rPr>
          <w:rFonts w:cstheme="minorHAnsi"/>
        </w:rPr>
        <w:t xml:space="preserve">within the city, outside the city, or far away </w:t>
      </w:r>
      <w:r w:rsidR="00713064" w:rsidRPr="001005B7">
        <w:rPr>
          <w:rFonts w:cstheme="minorHAnsi"/>
        </w:rPr>
        <w:t>(</w:t>
      </w:r>
      <w:r w:rsidR="004E1F6D" w:rsidRPr="001005B7">
        <w:rPr>
          <w:rFonts w:cstheme="minorHAnsi"/>
        </w:rPr>
        <w:t>see</w:t>
      </w:r>
      <w:r w:rsidR="00713064" w:rsidRPr="001005B7">
        <w:rPr>
          <w:rFonts w:cstheme="minorHAnsi"/>
        </w:rPr>
        <w:t>, e.g.,</w:t>
      </w:r>
      <w:r w:rsidR="004E1F6D" w:rsidRPr="001005B7">
        <w:rPr>
          <w:rFonts w:cstheme="minorHAnsi"/>
        </w:rPr>
        <w:t xml:space="preserve"> </w:t>
      </w:r>
      <w:r w:rsidR="00100CCF" w:rsidRPr="001005B7">
        <w:rPr>
          <w:rFonts w:cstheme="minorHAnsi"/>
        </w:rPr>
        <w:t>5:12, 17; 7:15).</w:t>
      </w:r>
      <w:r w:rsidR="00713064" w:rsidRPr="001005B7">
        <w:rPr>
          <w:rFonts w:cstheme="minorHAnsi"/>
        </w:rPr>
        <w:t xml:space="preserve"> The pattern </w:t>
      </w:r>
      <w:r w:rsidR="00A65EC4" w:rsidRPr="001005B7">
        <w:rPr>
          <w:rFonts w:cstheme="minorHAnsi"/>
        </w:rPr>
        <w:t>could</w:t>
      </w:r>
      <w:r w:rsidR="00713064" w:rsidRPr="001005B7">
        <w:rPr>
          <w:rFonts w:cstheme="minorHAnsi"/>
        </w:rPr>
        <w:t xml:space="preserve"> be </w:t>
      </w:r>
      <w:r w:rsidR="0032370A" w:rsidRPr="001005B7">
        <w:rPr>
          <w:rFonts w:cstheme="minorHAnsi"/>
        </w:rPr>
        <w:t xml:space="preserve">a </w:t>
      </w:r>
      <w:r w:rsidR="00713064" w:rsidRPr="001005B7">
        <w:rPr>
          <w:rFonts w:cstheme="minorHAnsi"/>
        </w:rPr>
        <w:t xml:space="preserve">random </w:t>
      </w:r>
      <w:r w:rsidR="0032370A" w:rsidRPr="001005B7">
        <w:rPr>
          <w:rFonts w:cstheme="minorHAnsi"/>
        </w:rPr>
        <w:t>way of distributing the scourges</w:t>
      </w:r>
      <w:r w:rsidR="00A65EC4" w:rsidRPr="001005B7">
        <w:rPr>
          <w:rFonts w:cstheme="minorHAnsi"/>
        </w:rPr>
        <w:t xml:space="preserve"> and</w:t>
      </w:r>
      <w:r w:rsidR="000B0EFF">
        <w:rPr>
          <w:rFonts w:cstheme="minorHAnsi"/>
        </w:rPr>
        <w:t xml:space="preserve"> it</w:t>
      </w:r>
      <w:r w:rsidR="00A65EC4" w:rsidRPr="001005B7">
        <w:rPr>
          <w:rFonts w:cstheme="minorHAnsi"/>
        </w:rPr>
        <w:t xml:space="preserve"> may simply mean</w:t>
      </w:r>
      <w:r w:rsidR="006423EC" w:rsidRPr="001005B7">
        <w:rPr>
          <w:rFonts w:cstheme="minorHAnsi"/>
        </w:rPr>
        <w:t xml:space="preserve"> that</w:t>
      </w:r>
      <w:r w:rsidR="00A65EC4" w:rsidRPr="001005B7">
        <w:rPr>
          <w:rFonts w:cstheme="minorHAnsi"/>
        </w:rPr>
        <w:t xml:space="preserve"> all three will be known in all three locations. But maybe it’s no coincidence that Yahweh starts with the people who are far away from the city</w:t>
      </w:r>
      <w:r w:rsidR="009773E2" w:rsidRPr="001005B7">
        <w:rPr>
          <w:rFonts w:cstheme="minorHAnsi"/>
        </w:rPr>
        <w:t xml:space="preserve">, </w:t>
      </w:r>
      <w:r w:rsidR="009B4FD7" w:rsidRPr="001005B7">
        <w:rPr>
          <w:rFonts w:cstheme="minorHAnsi"/>
        </w:rPr>
        <w:t xml:space="preserve">which is a description of </w:t>
      </w:r>
      <w:r w:rsidR="009773E2" w:rsidRPr="001005B7">
        <w:rPr>
          <w:rFonts w:cstheme="minorHAnsi"/>
        </w:rPr>
        <w:t xml:space="preserve">the </w:t>
      </w:r>
      <w:proofErr w:type="spellStart"/>
      <w:r w:rsidR="009773E2" w:rsidRPr="001005B7">
        <w:rPr>
          <w:rFonts w:cstheme="minorHAnsi"/>
        </w:rPr>
        <w:t>Kebar</w:t>
      </w:r>
      <w:r w:rsidR="006D537F">
        <w:rPr>
          <w:rFonts w:cstheme="minorHAnsi"/>
        </w:rPr>
        <w:t>ites</w:t>
      </w:r>
      <w:proofErr w:type="spellEnd"/>
      <w:r w:rsidR="009B4FD7" w:rsidRPr="001005B7">
        <w:rPr>
          <w:rFonts w:cstheme="minorHAnsi"/>
        </w:rPr>
        <w:t xml:space="preserve">, and starts with epidemic, which might be the scourge that is more likely to affect them than </w:t>
      </w:r>
      <w:r w:rsidR="00911BC5" w:rsidRPr="001005B7">
        <w:rPr>
          <w:rFonts w:cstheme="minorHAnsi"/>
        </w:rPr>
        <w:t>sword or famine</w:t>
      </w:r>
      <w:r w:rsidR="00424591" w:rsidRPr="001005B7">
        <w:rPr>
          <w:rFonts w:cstheme="minorHAnsi"/>
        </w:rPr>
        <w:t>, before going on to</w:t>
      </w:r>
      <w:r w:rsidR="00FD127C" w:rsidRPr="001005B7">
        <w:rPr>
          <w:rFonts w:cstheme="minorHAnsi"/>
        </w:rPr>
        <w:t xml:space="preserve"> the people who fall in the battle for Jerusalem</w:t>
      </w:r>
      <w:r w:rsidR="00D919B6" w:rsidRPr="001005B7">
        <w:rPr>
          <w:rFonts w:cstheme="minorHAnsi"/>
        </w:rPr>
        <w:t xml:space="preserve"> and the </w:t>
      </w:r>
      <w:r w:rsidR="004B625C" w:rsidRPr="001005B7">
        <w:rPr>
          <w:rFonts w:cstheme="minorHAnsi"/>
        </w:rPr>
        <w:t>people who remain in the city</w:t>
      </w:r>
      <w:r w:rsidR="00D01DBD">
        <w:rPr>
          <w:rFonts w:cstheme="minorHAnsi"/>
        </w:rPr>
        <w:t>,</w:t>
      </w:r>
      <w:r w:rsidR="004B625C" w:rsidRPr="001005B7">
        <w:rPr>
          <w:rFonts w:cstheme="minorHAnsi"/>
        </w:rPr>
        <w:t xml:space="preserve"> </w:t>
      </w:r>
      <w:r w:rsidR="0052543B" w:rsidRPr="001005B7">
        <w:rPr>
          <w:rFonts w:cstheme="minorHAnsi"/>
        </w:rPr>
        <w:t>think they are safe and secure</w:t>
      </w:r>
      <w:r w:rsidR="00D01DBD">
        <w:rPr>
          <w:rFonts w:cstheme="minorHAnsi"/>
        </w:rPr>
        <w:t>,</w:t>
      </w:r>
      <w:r w:rsidR="0052543B" w:rsidRPr="001005B7">
        <w:rPr>
          <w:rFonts w:cstheme="minorHAnsi"/>
        </w:rPr>
        <w:t xml:space="preserve"> but forget they are under siege</w:t>
      </w:r>
      <w:r w:rsidR="00E66E5C" w:rsidRPr="001005B7">
        <w:rPr>
          <w:rFonts w:cstheme="minorHAnsi"/>
        </w:rPr>
        <w:t>.</w:t>
      </w:r>
      <w:r w:rsidR="0052543B" w:rsidRPr="001005B7">
        <w:rPr>
          <w:rFonts w:cstheme="minorHAnsi"/>
        </w:rPr>
        <w:t xml:space="preserve"> </w:t>
      </w:r>
    </w:p>
    <w:p w14:paraId="3BBD3F90" w14:textId="77BC6D3B" w:rsidR="005D7616" w:rsidRPr="001005B7" w:rsidRDefault="00E87AB5" w:rsidP="00FA568A">
      <w:pPr>
        <w:rPr>
          <w:rFonts w:cstheme="minorHAnsi"/>
        </w:rPr>
      </w:pPr>
      <w:r w:rsidRPr="001005B7">
        <w:rPr>
          <w:rFonts w:cstheme="minorHAnsi"/>
          <w:b/>
          <w:bCs/>
        </w:rPr>
        <w:t>6:</w:t>
      </w:r>
      <w:r w:rsidR="00FA568A" w:rsidRPr="001005B7">
        <w:rPr>
          <w:rFonts w:cstheme="minorHAnsi"/>
          <w:b/>
          <w:bCs/>
        </w:rPr>
        <w:t xml:space="preserve">13 </w:t>
      </w:r>
      <w:r w:rsidR="00620E50" w:rsidRPr="001005B7">
        <w:rPr>
          <w:rFonts w:cstheme="minorHAnsi"/>
        </w:rPr>
        <w:t xml:space="preserve">Such an implication in </w:t>
      </w:r>
      <w:r w:rsidR="006E5334" w:rsidRPr="001005B7">
        <w:rPr>
          <w:rFonts w:cstheme="minorHAnsi"/>
        </w:rPr>
        <w:t xml:space="preserve">the order in </w:t>
      </w:r>
      <w:r w:rsidR="003D021F" w:rsidRPr="001005B7">
        <w:rPr>
          <w:rFonts w:cstheme="minorHAnsi"/>
        </w:rPr>
        <w:t>6:</w:t>
      </w:r>
      <w:r w:rsidR="006E5334" w:rsidRPr="001005B7">
        <w:rPr>
          <w:rFonts w:cstheme="minorHAnsi"/>
        </w:rPr>
        <w:t xml:space="preserve">12 would fit with </w:t>
      </w:r>
      <w:r w:rsidR="00EA3A66" w:rsidRPr="001005B7">
        <w:rPr>
          <w:rFonts w:cstheme="minorHAnsi"/>
        </w:rPr>
        <w:t xml:space="preserve">the further move </w:t>
      </w:r>
      <w:r w:rsidR="00BF463F" w:rsidRPr="001005B7">
        <w:rPr>
          <w:rFonts w:cstheme="minorHAnsi"/>
        </w:rPr>
        <w:t>from</w:t>
      </w:r>
      <w:r w:rsidR="00EA3A66" w:rsidRPr="001005B7">
        <w:rPr>
          <w:rFonts w:cstheme="minorHAnsi"/>
        </w:rPr>
        <w:t xml:space="preserve"> third-pers</w:t>
      </w:r>
      <w:r w:rsidR="00C9068A" w:rsidRPr="001005B7">
        <w:rPr>
          <w:rFonts w:cstheme="minorHAnsi"/>
        </w:rPr>
        <w:t xml:space="preserve">on references in </w:t>
      </w:r>
      <w:r w:rsidR="0042084A" w:rsidRPr="001005B7">
        <w:rPr>
          <w:rFonts w:cstheme="minorHAnsi"/>
        </w:rPr>
        <w:t>6:</w:t>
      </w:r>
      <w:r w:rsidR="00C9068A" w:rsidRPr="001005B7">
        <w:rPr>
          <w:rFonts w:cstheme="minorHAnsi"/>
        </w:rPr>
        <w:t>11</w:t>
      </w:r>
      <w:r w:rsidR="00F46900" w:rsidRPr="001005B7">
        <w:rPr>
          <w:rFonts w:cstheme="minorHAnsi"/>
        </w:rPr>
        <w:t>–</w:t>
      </w:r>
      <w:r w:rsidR="00C9068A" w:rsidRPr="001005B7">
        <w:rPr>
          <w:rFonts w:cstheme="minorHAnsi"/>
        </w:rPr>
        <w:t>12</w:t>
      </w:r>
      <w:r w:rsidR="004F031C" w:rsidRPr="001005B7">
        <w:rPr>
          <w:rFonts w:cstheme="minorHAnsi"/>
        </w:rPr>
        <w:t xml:space="preserve"> to</w:t>
      </w:r>
      <w:r w:rsidR="00C9068A" w:rsidRPr="001005B7">
        <w:rPr>
          <w:rFonts w:cstheme="minorHAnsi"/>
        </w:rPr>
        <w:t xml:space="preserve"> second-person address</w:t>
      </w:r>
      <w:r w:rsidR="004F031C" w:rsidRPr="001005B7">
        <w:rPr>
          <w:rFonts w:cstheme="minorHAnsi"/>
        </w:rPr>
        <w:t>,</w:t>
      </w:r>
      <w:r w:rsidR="00C9068A" w:rsidRPr="001005B7">
        <w:rPr>
          <w:rFonts w:cstheme="minorHAnsi"/>
        </w:rPr>
        <w:t xml:space="preserve"> </w:t>
      </w:r>
      <w:r w:rsidR="00AD30AF" w:rsidRPr="001005B7">
        <w:rPr>
          <w:rFonts w:cstheme="minorHAnsi"/>
        </w:rPr>
        <w:t>as Yahweh speaks for the third time of people acknowledging him</w:t>
      </w:r>
      <w:r w:rsidR="00E30AFA" w:rsidRPr="001005B7">
        <w:rPr>
          <w:rFonts w:cstheme="minorHAnsi"/>
        </w:rPr>
        <w:t xml:space="preserve">. But </w:t>
      </w:r>
      <w:r w:rsidR="000C6BA6" w:rsidRPr="001005B7">
        <w:rPr>
          <w:rFonts w:cstheme="minorHAnsi"/>
        </w:rPr>
        <w:t xml:space="preserve">he </w:t>
      </w:r>
      <w:r w:rsidR="00662CD5">
        <w:rPr>
          <w:rFonts w:cstheme="minorHAnsi"/>
        </w:rPr>
        <w:t xml:space="preserve">then </w:t>
      </w:r>
      <w:r w:rsidR="00880E16" w:rsidRPr="001005B7">
        <w:rPr>
          <w:rFonts w:cstheme="minorHAnsi"/>
        </w:rPr>
        <w:t>moves</w:t>
      </w:r>
      <w:r w:rsidR="000C6BA6" w:rsidRPr="001005B7">
        <w:rPr>
          <w:rFonts w:cstheme="minorHAnsi"/>
        </w:rPr>
        <w:t xml:space="preserve"> back again to speaking of </w:t>
      </w:r>
      <w:r w:rsidR="00C64D9E" w:rsidRPr="001005B7">
        <w:rPr>
          <w:rFonts w:cstheme="minorHAnsi"/>
        </w:rPr>
        <w:t>“</w:t>
      </w:r>
      <w:r w:rsidR="00EB034A" w:rsidRPr="001005B7">
        <w:rPr>
          <w:rFonts w:cstheme="minorHAnsi"/>
        </w:rPr>
        <w:t>their</w:t>
      </w:r>
      <w:r w:rsidR="00C64D9E" w:rsidRPr="001005B7">
        <w:rPr>
          <w:rFonts w:cstheme="minorHAnsi"/>
        </w:rPr>
        <w:t>”</w:t>
      </w:r>
      <w:r w:rsidR="00EB034A" w:rsidRPr="001005B7">
        <w:rPr>
          <w:rFonts w:cstheme="minorHAnsi"/>
          <w:i/>
          <w:iCs/>
        </w:rPr>
        <w:t xml:space="preserve"> </w:t>
      </w:r>
      <w:r w:rsidR="00EB034A" w:rsidRPr="001005B7">
        <w:rPr>
          <w:rFonts w:cstheme="minorHAnsi"/>
        </w:rPr>
        <w:t>slain</w:t>
      </w:r>
      <w:r w:rsidR="005E26F3">
        <w:rPr>
          <w:rFonts w:cstheme="minorHAnsi"/>
        </w:rPr>
        <w:t>,</w:t>
      </w:r>
      <w:r w:rsidR="00EB034A" w:rsidRPr="001005B7">
        <w:rPr>
          <w:rFonts w:cstheme="minorHAnsi"/>
        </w:rPr>
        <w:t xml:space="preserve"> </w:t>
      </w:r>
      <w:r w:rsidR="00C64D9E" w:rsidRPr="001005B7">
        <w:rPr>
          <w:rFonts w:cstheme="minorHAnsi"/>
        </w:rPr>
        <w:t>“</w:t>
      </w:r>
      <w:r w:rsidR="000928D4" w:rsidRPr="001005B7">
        <w:rPr>
          <w:rFonts w:cstheme="minorHAnsi"/>
        </w:rPr>
        <w:t>their</w:t>
      </w:r>
      <w:r w:rsidR="00C64D9E" w:rsidRPr="001005B7">
        <w:rPr>
          <w:rFonts w:cstheme="minorHAnsi"/>
        </w:rPr>
        <w:t>”</w:t>
      </w:r>
      <w:r w:rsidR="000928D4" w:rsidRPr="001005B7">
        <w:rPr>
          <w:rFonts w:cstheme="minorHAnsi"/>
          <w:i/>
          <w:iCs/>
        </w:rPr>
        <w:t xml:space="preserve"> </w:t>
      </w:r>
      <w:r w:rsidR="00EB034A" w:rsidRPr="001005B7">
        <w:rPr>
          <w:rFonts w:cstheme="minorHAnsi"/>
        </w:rPr>
        <w:t>altars</w:t>
      </w:r>
      <w:r w:rsidR="005E26F3">
        <w:rPr>
          <w:rFonts w:cstheme="minorHAnsi"/>
        </w:rPr>
        <w:t>,</w:t>
      </w:r>
      <w:r w:rsidR="00EB034A" w:rsidRPr="001005B7">
        <w:rPr>
          <w:rFonts w:cstheme="minorHAnsi"/>
        </w:rPr>
        <w:t xml:space="preserve"> and </w:t>
      </w:r>
      <w:r w:rsidR="0076592A" w:rsidRPr="001005B7">
        <w:rPr>
          <w:rFonts w:cstheme="minorHAnsi"/>
        </w:rPr>
        <w:t>“</w:t>
      </w:r>
      <w:r w:rsidR="000928D4" w:rsidRPr="001005B7">
        <w:rPr>
          <w:rFonts w:cstheme="minorHAnsi"/>
        </w:rPr>
        <w:t>their</w:t>
      </w:r>
      <w:r w:rsidR="0076592A" w:rsidRPr="001005B7">
        <w:rPr>
          <w:rFonts w:cstheme="minorHAnsi"/>
        </w:rPr>
        <w:t>”</w:t>
      </w:r>
      <w:r w:rsidR="000928D4" w:rsidRPr="001005B7">
        <w:rPr>
          <w:rFonts w:cstheme="minorHAnsi"/>
          <w:i/>
          <w:iCs/>
        </w:rPr>
        <w:t xml:space="preserve"> </w:t>
      </w:r>
      <w:r w:rsidR="00EB034A" w:rsidRPr="001005B7">
        <w:rPr>
          <w:rFonts w:cstheme="minorHAnsi"/>
        </w:rPr>
        <w:t xml:space="preserve">lumps. </w:t>
      </w:r>
      <w:r w:rsidR="001A6B26" w:rsidRPr="001005B7">
        <w:rPr>
          <w:rFonts w:cstheme="minorHAnsi"/>
        </w:rPr>
        <w:t>S</w:t>
      </w:r>
      <w:r w:rsidR="005802E8" w:rsidRPr="001005B7">
        <w:rPr>
          <w:rFonts w:cstheme="minorHAnsi"/>
        </w:rPr>
        <w:t>witch</w:t>
      </w:r>
      <w:r w:rsidR="001A6B26" w:rsidRPr="001005B7">
        <w:rPr>
          <w:rFonts w:cstheme="minorHAnsi"/>
        </w:rPr>
        <w:t>ing</w:t>
      </w:r>
      <w:r w:rsidR="005802E8" w:rsidRPr="001005B7">
        <w:rPr>
          <w:rFonts w:cstheme="minorHAnsi"/>
        </w:rPr>
        <w:t xml:space="preserve"> between </w:t>
      </w:r>
      <w:r w:rsidR="00CD4DB9" w:rsidRPr="001005B7">
        <w:rPr>
          <w:rFonts w:cstheme="minorHAnsi"/>
        </w:rPr>
        <w:t xml:space="preserve">rhetorical addressees and “real” addressees </w:t>
      </w:r>
      <w:r w:rsidR="00E53B77" w:rsidRPr="001005B7">
        <w:rPr>
          <w:rFonts w:cstheme="minorHAnsi"/>
        </w:rPr>
        <w:t xml:space="preserve">contributes to </w:t>
      </w:r>
      <w:r w:rsidR="001A6B26" w:rsidRPr="001005B7">
        <w:rPr>
          <w:rFonts w:cstheme="minorHAnsi"/>
        </w:rPr>
        <w:t>the</w:t>
      </w:r>
      <w:r w:rsidR="00E53B77" w:rsidRPr="001005B7">
        <w:rPr>
          <w:rFonts w:cstheme="minorHAnsi"/>
        </w:rPr>
        <w:t xml:space="preserve"> communicative effect</w:t>
      </w:r>
      <w:r w:rsidR="001A6B26" w:rsidRPr="001005B7">
        <w:rPr>
          <w:rFonts w:cstheme="minorHAnsi"/>
        </w:rPr>
        <w:t xml:space="preserve"> of his words</w:t>
      </w:r>
      <w:r w:rsidR="00E53B77" w:rsidRPr="001005B7">
        <w:rPr>
          <w:rFonts w:cstheme="minorHAnsi"/>
        </w:rPr>
        <w:t>.</w:t>
      </w:r>
      <w:r w:rsidR="00E53B77" w:rsidRPr="001005B7">
        <w:rPr>
          <w:rStyle w:val="FootnoteReference"/>
          <w:rFonts w:cstheme="minorHAnsi"/>
        </w:rPr>
        <w:footnoteReference w:id="203"/>
      </w:r>
      <w:r w:rsidR="00FA568A" w:rsidRPr="001005B7">
        <w:rPr>
          <w:rFonts w:cstheme="minorHAnsi"/>
        </w:rPr>
        <w:t xml:space="preserve"> </w:t>
      </w:r>
      <w:r w:rsidR="005D7616" w:rsidRPr="001005B7">
        <w:rPr>
          <w:rFonts w:cstheme="minorHAnsi"/>
        </w:rPr>
        <w:t>The note about the location of the altars</w:t>
      </w:r>
      <w:r w:rsidR="001974EE" w:rsidRPr="001005B7">
        <w:rPr>
          <w:rFonts w:cstheme="minorHAnsi"/>
        </w:rPr>
        <w:t>,</w:t>
      </w:r>
      <w:r w:rsidR="005D7616" w:rsidRPr="001005B7">
        <w:rPr>
          <w:rFonts w:cstheme="minorHAnsi"/>
        </w:rPr>
        <w:t xml:space="preserve"> where people die (</w:t>
      </w:r>
      <w:r w:rsidR="0097105D" w:rsidRPr="001005B7">
        <w:rPr>
          <w:rFonts w:cstheme="minorHAnsi"/>
        </w:rPr>
        <w:t>“</w:t>
      </w:r>
      <w:r w:rsidR="005D7616" w:rsidRPr="001005B7">
        <w:rPr>
          <w:rFonts w:cstheme="minorHAnsi"/>
        </w:rPr>
        <w:t>high hill,</w:t>
      </w:r>
      <w:r w:rsidR="0097105D" w:rsidRPr="001005B7">
        <w:rPr>
          <w:rFonts w:cstheme="minorHAnsi"/>
        </w:rPr>
        <w:t>”</w:t>
      </w:r>
      <w:r w:rsidR="005D7616" w:rsidRPr="001005B7">
        <w:rPr>
          <w:rFonts w:cstheme="minorHAnsi"/>
        </w:rPr>
        <w:t xml:space="preserve"> </w:t>
      </w:r>
      <w:r w:rsidR="0097105D" w:rsidRPr="001005B7">
        <w:rPr>
          <w:rFonts w:cstheme="minorHAnsi"/>
        </w:rPr>
        <w:t>“</w:t>
      </w:r>
      <w:r w:rsidR="005D7616" w:rsidRPr="001005B7">
        <w:rPr>
          <w:rFonts w:cstheme="minorHAnsi"/>
        </w:rPr>
        <w:t>heads of the mountains,</w:t>
      </w:r>
      <w:r w:rsidR="0097105D" w:rsidRPr="001005B7">
        <w:rPr>
          <w:rFonts w:cstheme="minorHAnsi"/>
        </w:rPr>
        <w:t>”</w:t>
      </w:r>
      <w:r w:rsidR="005D7616" w:rsidRPr="001005B7">
        <w:rPr>
          <w:rFonts w:cstheme="minorHAnsi"/>
        </w:rPr>
        <w:t xml:space="preserve"> </w:t>
      </w:r>
      <w:r w:rsidR="0097105D" w:rsidRPr="001005B7">
        <w:rPr>
          <w:rFonts w:cstheme="minorHAnsi"/>
        </w:rPr>
        <w:t>“</w:t>
      </w:r>
      <w:r w:rsidR="005D7616" w:rsidRPr="001005B7">
        <w:rPr>
          <w:rFonts w:cstheme="minorHAnsi"/>
        </w:rPr>
        <w:t>flourishing tree,</w:t>
      </w:r>
      <w:r w:rsidR="0097105D" w:rsidRPr="001005B7">
        <w:rPr>
          <w:rFonts w:cstheme="minorHAnsi"/>
        </w:rPr>
        <w:t>”</w:t>
      </w:r>
      <w:r w:rsidR="005D7616" w:rsidRPr="001005B7">
        <w:rPr>
          <w:rFonts w:cstheme="minorHAnsi"/>
        </w:rPr>
        <w:t xml:space="preserve"> </w:t>
      </w:r>
      <w:r w:rsidR="0097105D" w:rsidRPr="001005B7">
        <w:rPr>
          <w:rFonts w:cstheme="minorHAnsi"/>
        </w:rPr>
        <w:t>“</w:t>
      </w:r>
      <w:r w:rsidR="005D7616" w:rsidRPr="001005B7">
        <w:rPr>
          <w:rFonts w:cstheme="minorHAnsi"/>
        </w:rPr>
        <w:t>leafy terebinth</w:t>
      </w:r>
      <w:r w:rsidR="0097105D" w:rsidRPr="001005B7">
        <w:rPr>
          <w:rFonts w:cstheme="minorHAnsi"/>
        </w:rPr>
        <w:t>”</w:t>
      </w:r>
      <w:r w:rsidR="005D7616" w:rsidRPr="001005B7">
        <w:rPr>
          <w:rFonts w:cstheme="minorHAnsi"/>
        </w:rPr>
        <w:t>)</w:t>
      </w:r>
      <w:r w:rsidR="001974EE" w:rsidRPr="001005B7">
        <w:rPr>
          <w:rFonts w:cstheme="minorHAnsi"/>
        </w:rPr>
        <w:t>,</w:t>
      </w:r>
      <w:r w:rsidR="005D7616" w:rsidRPr="001005B7">
        <w:rPr>
          <w:rFonts w:cstheme="minorHAnsi"/>
        </w:rPr>
        <w:t xml:space="preserve"> takes up the language of Deut 12:2, the beginning of Moses’ detailed commands in Deuteronomy</w:t>
      </w:r>
      <w:r w:rsidR="004C601D" w:rsidRPr="001005B7">
        <w:rPr>
          <w:rFonts w:cstheme="minorHAnsi"/>
        </w:rPr>
        <w:t>. T</w:t>
      </w:r>
      <w:r w:rsidR="005D7616" w:rsidRPr="001005B7">
        <w:rPr>
          <w:rFonts w:cstheme="minorHAnsi"/>
        </w:rPr>
        <w:t xml:space="preserve">hey were the locations where the Israelites were supposed to demolish the altars, also taken up by other prophets (e.g., Hos 4:13; Jer 17:2 and incorporated in the story of Israel (e.g., </w:t>
      </w:r>
      <w:r w:rsidR="00017ED0" w:rsidRPr="001005B7">
        <w:t>1 Kgs</w:t>
      </w:r>
      <w:r w:rsidR="005D7616" w:rsidRPr="001005B7">
        <w:rPr>
          <w:rFonts w:cstheme="minorHAnsi"/>
        </w:rPr>
        <w:t xml:space="preserve"> 14:23; 2</w:t>
      </w:r>
      <w:r w:rsidR="00D7410F" w:rsidRPr="001005B7">
        <w:rPr>
          <w:rFonts w:cstheme="minorHAnsi"/>
        </w:rPr>
        <w:t> </w:t>
      </w:r>
      <w:r w:rsidR="006558CA" w:rsidRPr="001005B7">
        <w:rPr>
          <w:rFonts w:cstheme="minorHAnsi"/>
        </w:rPr>
        <w:t>Kgs</w:t>
      </w:r>
      <w:r w:rsidR="005D7616" w:rsidRPr="001005B7">
        <w:rPr>
          <w:rFonts w:cstheme="minorHAnsi"/>
        </w:rPr>
        <w:t xml:space="preserve"> 16:4; 17:10). </w:t>
      </w:r>
      <w:r w:rsidR="006E0939" w:rsidRPr="001005B7">
        <w:rPr>
          <w:rFonts w:cstheme="minorHAnsi"/>
        </w:rPr>
        <w:t>Ezekiel</w:t>
      </w:r>
      <w:r w:rsidR="005D7616" w:rsidRPr="001005B7">
        <w:rPr>
          <w:rFonts w:cstheme="minorHAnsi"/>
        </w:rPr>
        <w:t xml:space="preserve"> finally goes back to Lev 26:31 for </w:t>
      </w:r>
      <w:r w:rsidR="00BF7D8B" w:rsidRPr="001005B7">
        <w:rPr>
          <w:rFonts w:cstheme="minorHAnsi"/>
        </w:rPr>
        <w:t>his</w:t>
      </w:r>
      <w:r w:rsidR="005D7616" w:rsidRPr="001005B7">
        <w:rPr>
          <w:rFonts w:cstheme="minorHAnsi"/>
        </w:rPr>
        <w:t xml:space="preserve"> allusion to their sweet aroma, but </w:t>
      </w:r>
      <w:r w:rsidR="000A67B6" w:rsidRPr="001005B7">
        <w:rPr>
          <w:rFonts w:cstheme="minorHAnsi"/>
        </w:rPr>
        <w:t>he does so w</w:t>
      </w:r>
      <w:r w:rsidR="005D7616" w:rsidRPr="001005B7">
        <w:rPr>
          <w:rFonts w:cstheme="minorHAnsi"/>
        </w:rPr>
        <w:t xml:space="preserve">ith a twist, as </w:t>
      </w:r>
      <w:r w:rsidR="000A67B6" w:rsidRPr="001005B7">
        <w:rPr>
          <w:rFonts w:cstheme="minorHAnsi"/>
        </w:rPr>
        <w:t>he</w:t>
      </w:r>
      <w:r w:rsidR="005D7616" w:rsidRPr="001005B7">
        <w:rPr>
          <w:rFonts w:cstheme="minorHAnsi"/>
        </w:rPr>
        <w:t xml:space="preserve"> refers to such offerings </w:t>
      </w:r>
      <w:r w:rsidR="00E17ABF">
        <w:rPr>
          <w:rFonts w:cstheme="minorHAnsi"/>
        </w:rPr>
        <w:t xml:space="preserve">made </w:t>
      </w:r>
      <w:r w:rsidR="005D7616" w:rsidRPr="001005B7">
        <w:rPr>
          <w:rFonts w:cstheme="minorHAnsi"/>
        </w:rPr>
        <w:t>to their lumps (all of them), not to Yahweh. The many references to such sweet aromas in the Torah imply how much Yahweh loves the smell of barbecue</w:t>
      </w:r>
      <w:r w:rsidR="007565DB" w:rsidRPr="001005B7">
        <w:rPr>
          <w:rFonts w:cstheme="minorHAnsi"/>
        </w:rPr>
        <w:t>. O</w:t>
      </w:r>
      <w:r w:rsidR="005D7616" w:rsidRPr="001005B7">
        <w:rPr>
          <w:rFonts w:cstheme="minorHAnsi"/>
        </w:rPr>
        <w:t xml:space="preserve">nly </w:t>
      </w:r>
      <w:r w:rsidR="00B978AD" w:rsidRPr="001005B7">
        <w:rPr>
          <w:rFonts w:cstheme="minorHAnsi"/>
        </w:rPr>
        <w:t xml:space="preserve">in </w:t>
      </w:r>
      <w:r w:rsidR="005D7616" w:rsidRPr="001005B7">
        <w:rPr>
          <w:rFonts w:cstheme="minorHAnsi"/>
        </w:rPr>
        <w:t xml:space="preserve">Ezekiel </w:t>
      </w:r>
      <w:r w:rsidR="00B978AD" w:rsidRPr="001005B7">
        <w:rPr>
          <w:rFonts w:cstheme="minorHAnsi"/>
        </w:rPr>
        <w:t xml:space="preserve">does he </w:t>
      </w:r>
      <w:r w:rsidR="005D7616" w:rsidRPr="001005B7">
        <w:rPr>
          <w:rFonts w:cstheme="minorHAnsi"/>
        </w:rPr>
        <w:t xml:space="preserve">slate these sweet aromas as offered to idols rather than to </w:t>
      </w:r>
      <w:r w:rsidR="00720720" w:rsidRPr="001005B7">
        <w:rPr>
          <w:rFonts w:cstheme="minorHAnsi"/>
        </w:rPr>
        <w:t>him</w:t>
      </w:r>
      <w:r w:rsidR="005D7616" w:rsidRPr="001005B7">
        <w:rPr>
          <w:rFonts w:cstheme="minorHAnsi"/>
        </w:rPr>
        <w:t>.</w:t>
      </w:r>
    </w:p>
    <w:p w14:paraId="6CCB0758" w14:textId="303346B1" w:rsidR="00C9249E" w:rsidRPr="001005B7" w:rsidRDefault="006A4F72" w:rsidP="008C2C88">
      <w:r w:rsidRPr="001005B7">
        <w:rPr>
          <w:rFonts w:cstheme="minorHAnsi"/>
          <w:b/>
          <w:bCs/>
        </w:rPr>
        <w:t xml:space="preserve">14. </w:t>
      </w:r>
      <w:r w:rsidR="007E1E03" w:rsidRPr="001005B7">
        <w:rPr>
          <w:rFonts w:cstheme="minorHAnsi"/>
        </w:rPr>
        <w:t xml:space="preserve">Yahweh continues to </w:t>
      </w:r>
      <w:r w:rsidR="007A4B9B" w:rsidRPr="001005B7">
        <w:rPr>
          <w:rFonts w:cstheme="minorHAnsi"/>
        </w:rPr>
        <w:t>declar</w:t>
      </w:r>
      <w:r w:rsidR="007E1E03" w:rsidRPr="001005B7">
        <w:rPr>
          <w:rFonts w:cstheme="minorHAnsi"/>
        </w:rPr>
        <w:t xml:space="preserve">e that he </w:t>
      </w:r>
      <w:r w:rsidR="007A4B9B" w:rsidRPr="001005B7">
        <w:rPr>
          <w:rFonts w:cstheme="minorHAnsi"/>
        </w:rPr>
        <w:t xml:space="preserve">intends to </w:t>
      </w:r>
      <w:r w:rsidR="002F352F" w:rsidRPr="001005B7">
        <w:rPr>
          <w:rFonts w:cstheme="minorHAnsi"/>
        </w:rPr>
        <w:t>fulfill his warnings</w:t>
      </w:r>
      <w:r w:rsidR="000049AF" w:rsidRPr="001005B7">
        <w:rPr>
          <w:rFonts w:cstheme="minorHAnsi"/>
        </w:rPr>
        <w:t xml:space="preserve">, specifically and repeatedly </w:t>
      </w:r>
      <w:r w:rsidR="002F352F" w:rsidRPr="001005B7">
        <w:rPr>
          <w:rFonts w:cstheme="minorHAnsi"/>
        </w:rPr>
        <w:t>about</w:t>
      </w:r>
      <w:r w:rsidR="00282FC0" w:rsidRPr="001005B7">
        <w:rPr>
          <w:rFonts w:cstheme="minorHAnsi"/>
        </w:rPr>
        <w:t xml:space="preserve"> desolation </w:t>
      </w:r>
      <w:r w:rsidR="000049AF" w:rsidRPr="001005B7">
        <w:rPr>
          <w:rFonts w:cstheme="minorHAnsi"/>
        </w:rPr>
        <w:t>(</w:t>
      </w:r>
      <w:r w:rsidR="00AE24A7" w:rsidRPr="001005B7">
        <w:rPr>
          <w:rFonts w:cstheme="minorHAnsi"/>
        </w:rPr>
        <w:t xml:space="preserve">cf. </w:t>
      </w:r>
      <w:r w:rsidR="000049AF" w:rsidRPr="001005B7">
        <w:rPr>
          <w:rFonts w:cstheme="minorHAnsi"/>
        </w:rPr>
        <w:t>Lev</w:t>
      </w:r>
      <w:r w:rsidR="00282FC0" w:rsidRPr="001005B7">
        <w:rPr>
          <w:rFonts w:cstheme="minorHAnsi"/>
        </w:rPr>
        <w:t xml:space="preserve"> </w:t>
      </w:r>
      <w:r w:rsidR="007A4B9B" w:rsidRPr="001005B7">
        <w:rPr>
          <w:rFonts w:cstheme="minorHAnsi"/>
        </w:rPr>
        <w:t>26:</w:t>
      </w:r>
      <w:r w:rsidR="00716335" w:rsidRPr="001005B7">
        <w:rPr>
          <w:rFonts w:cstheme="minorHAnsi"/>
        </w:rPr>
        <w:t>31</w:t>
      </w:r>
      <w:r w:rsidR="00F46900" w:rsidRPr="001005B7">
        <w:rPr>
          <w:rFonts w:cstheme="minorHAnsi"/>
        </w:rPr>
        <w:t>–</w:t>
      </w:r>
      <w:r w:rsidR="00716335" w:rsidRPr="001005B7">
        <w:rPr>
          <w:rFonts w:cstheme="minorHAnsi"/>
        </w:rPr>
        <w:t>33)</w:t>
      </w:r>
      <w:r w:rsidR="00423573" w:rsidRPr="001005B7">
        <w:rPr>
          <w:rFonts w:cstheme="minorHAnsi"/>
        </w:rPr>
        <w:t>. H</w:t>
      </w:r>
      <w:r w:rsidR="001D3502" w:rsidRPr="001005B7">
        <w:rPr>
          <w:rFonts w:cstheme="minorHAnsi"/>
        </w:rPr>
        <w:t xml:space="preserve">e further underlines the declaration </w:t>
      </w:r>
      <w:r w:rsidR="00686D17" w:rsidRPr="001005B7">
        <w:rPr>
          <w:rFonts w:cstheme="minorHAnsi"/>
        </w:rPr>
        <w:t xml:space="preserve">with the reference to </w:t>
      </w:r>
      <w:r w:rsidR="0038660F" w:rsidRPr="001005B7">
        <w:rPr>
          <w:rFonts w:cstheme="minorHAnsi"/>
        </w:rPr>
        <w:t xml:space="preserve">desolation stretching from </w:t>
      </w:r>
      <w:r w:rsidR="00686D17" w:rsidRPr="001005B7">
        <w:rPr>
          <w:rFonts w:cstheme="minorHAnsi"/>
        </w:rPr>
        <w:t xml:space="preserve">wilderness </w:t>
      </w:r>
      <w:r w:rsidR="0038660F" w:rsidRPr="001005B7">
        <w:rPr>
          <w:rFonts w:cstheme="minorHAnsi"/>
        </w:rPr>
        <w:t>to</w:t>
      </w:r>
      <w:r w:rsidR="00686D17" w:rsidRPr="001005B7">
        <w:rPr>
          <w:rFonts w:cstheme="minorHAnsi"/>
        </w:rPr>
        <w:t xml:space="preserve"> </w:t>
      </w:r>
      <w:proofErr w:type="spellStart"/>
      <w:r w:rsidR="00686D17" w:rsidRPr="001005B7">
        <w:rPr>
          <w:rFonts w:cstheme="minorHAnsi"/>
        </w:rPr>
        <w:t>Dibla</w:t>
      </w:r>
      <w:r w:rsidR="00423573" w:rsidRPr="001005B7">
        <w:rPr>
          <w:rFonts w:cstheme="minorHAnsi"/>
        </w:rPr>
        <w:t>h</w:t>
      </w:r>
      <w:proofErr w:type="spellEnd"/>
      <w:r w:rsidR="007E6AEA" w:rsidRPr="001005B7">
        <w:rPr>
          <w:rFonts w:cstheme="minorHAnsi"/>
        </w:rPr>
        <w:t xml:space="preserve">. </w:t>
      </w:r>
      <w:r w:rsidR="007F5980" w:rsidRPr="001005B7">
        <w:rPr>
          <w:rFonts w:cstheme="minorHAnsi"/>
        </w:rPr>
        <w:t>The double reference suggests a compre</w:t>
      </w:r>
      <w:r w:rsidR="0038660F" w:rsidRPr="001005B7">
        <w:rPr>
          <w:rFonts w:cstheme="minorHAnsi"/>
        </w:rPr>
        <w:t>hen</w:t>
      </w:r>
      <w:r w:rsidR="007F5980" w:rsidRPr="001005B7">
        <w:rPr>
          <w:rFonts w:cstheme="minorHAnsi"/>
        </w:rPr>
        <w:t>sive de</w:t>
      </w:r>
      <w:r w:rsidR="00CA6966" w:rsidRPr="001005B7">
        <w:rPr>
          <w:rFonts w:cstheme="minorHAnsi"/>
        </w:rPr>
        <w:t>vasta</w:t>
      </w:r>
      <w:r w:rsidR="007F5980" w:rsidRPr="001005B7">
        <w:rPr>
          <w:rFonts w:cstheme="minorHAnsi"/>
        </w:rPr>
        <w:t xml:space="preserve">tion, from far south to far north, </w:t>
      </w:r>
      <w:r w:rsidR="003B235E" w:rsidRPr="001005B7">
        <w:rPr>
          <w:rFonts w:cstheme="minorHAnsi"/>
        </w:rPr>
        <w:t xml:space="preserve">even further than </w:t>
      </w:r>
      <w:r w:rsidR="007F5980" w:rsidRPr="001005B7">
        <w:rPr>
          <w:rFonts w:cstheme="minorHAnsi"/>
        </w:rPr>
        <w:t xml:space="preserve">from Beersheba </w:t>
      </w:r>
      <w:r w:rsidR="003B235E" w:rsidRPr="001005B7">
        <w:rPr>
          <w:rFonts w:cstheme="minorHAnsi"/>
        </w:rPr>
        <w:t>to Dan</w:t>
      </w:r>
      <w:r w:rsidR="001A2CCD" w:rsidRPr="001005B7">
        <w:rPr>
          <w:rFonts w:cstheme="minorHAnsi"/>
        </w:rPr>
        <w:t xml:space="preserve"> if </w:t>
      </w:r>
      <w:proofErr w:type="spellStart"/>
      <w:r w:rsidR="001A2CCD" w:rsidRPr="001005B7">
        <w:rPr>
          <w:rFonts w:cstheme="minorHAnsi"/>
        </w:rPr>
        <w:t>Diblah</w:t>
      </w:r>
      <w:proofErr w:type="spellEnd"/>
      <w:r w:rsidR="001A2CCD" w:rsidRPr="001005B7">
        <w:rPr>
          <w:rFonts w:cstheme="minorHAnsi"/>
        </w:rPr>
        <w:t xml:space="preserve"> is the same place as </w:t>
      </w:r>
      <w:proofErr w:type="spellStart"/>
      <w:r w:rsidR="001A2CCD" w:rsidRPr="001005B7">
        <w:rPr>
          <w:rFonts w:cstheme="minorHAnsi"/>
        </w:rPr>
        <w:t>Riblah</w:t>
      </w:r>
      <w:proofErr w:type="spellEnd"/>
      <w:r w:rsidR="001A2CCD" w:rsidRPr="001005B7">
        <w:rPr>
          <w:rFonts w:cstheme="minorHAnsi"/>
        </w:rPr>
        <w:t xml:space="preserve"> (see </w:t>
      </w:r>
      <w:r w:rsidR="00F81C86" w:rsidRPr="001005B7">
        <w:rPr>
          <w:rFonts w:cstheme="minorHAnsi"/>
        </w:rPr>
        <w:t>Num 34:11</w:t>
      </w:r>
      <w:r w:rsidR="00A83658" w:rsidRPr="001005B7">
        <w:rPr>
          <w:rFonts w:cstheme="minorHAnsi"/>
        </w:rPr>
        <w:t>; and the textual note).</w:t>
      </w:r>
      <w:r w:rsidR="009A2491" w:rsidRPr="001005B7">
        <w:rPr>
          <w:rFonts w:cstheme="minorHAnsi"/>
        </w:rPr>
        <w:t xml:space="preserve"> </w:t>
      </w:r>
      <w:r w:rsidR="004404FC" w:rsidRPr="001005B7">
        <w:rPr>
          <w:rFonts w:cstheme="minorHAnsi"/>
        </w:rPr>
        <w:t>And</w:t>
      </w:r>
      <w:r w:rsidR="009A2491" w:rsidRPr="001005B7">
        <w:rPr>
          <w:rFonts w:cstheme="minorHAnsi"/>
        </w:rPr>
        <w:t xml:space="preserve"> </w:t>
      </w:r>
      <w:r w:rsidR="009A2491" w:rsidRPr="001005B7">
        <w:rPr>
          <w:rFonts w:ascii="Calibri" w:hAnsi="Calibri" w:cs="Calibri"/>
          <w:shd w:val="clear" w:color="auto" w:fill="FFFFFF"/>
        </w:rPr>
        <w:t xml:space="preserve">“for the ancient reader, </w:t>
      </w:r>
      <w:proofErr w:type="spellStart"/>
      <w:r w:rsidR="009A2491" w:rsidRPr="001005B7">
        <w:rPr>
          <w:rFonts w:ascii="Calibri" w:hAnsi="Calibri" w:cs="Calibri"/>
          <w:shd w:val="clear" w:color="auto" w:fill="FFFFFF"/>
        </w:rPr>
        <w:t>Riblah</w:t>
      </w:r>
      <w:proofErr w:type="spellEnd"/>
      <w:r w:rsidR="009A2491" w:rsidRPr="001005B7">
        <w:rPr>
          <w:rFonts w:ascii="Calibri" w:hAnsi="Calibri" w:cs="Calibri"/>
          <w:shd w:val="clear" w:color="auto" w:fill="FFFFFF"/>
        </w:rPr>
        <w:t xml:space="preserve"> was fraught with horrific associations”</w:t>
      </w:r>
      <w:r w:rsidR="00CC0C01" w:rsidRPr="001005B7">
        <w:rPr>
          <w:rFonts w:ascii="Calibri" w:hAnsi="Calibri" w:cs="Calibri"/>
          <w:shd w:val="clear" w:color="auto" w:fill="FFFFFF"/>
        </w:rPr>
        <w:t xml:space="preserve"> (</w:t>
      </w:r>
      <w:proofErr w:type="spellStart"/>
      <w:r w:rsidR="00CC0C01" w:rsidRPr="001005B7">
        <w:t>Darr</w:t>
      </w:r>
      <w:proofErr w:type="spellEnd"/>
      <w:r w:rsidR="00CC0C01" w:rsidRPr="001005B7">
        <w:t>, on the passage</w:t>
      </w:r>
      <w:r w:rsidR="00FE4C47" w:rsidRPr="001005B7">
        <w:t>)</w:t>
      </w:r>
      <w:r w:rsidR="004419D7" w:rsidRPr="001005B7">
        <w:rPr>
          <w:rFonts w:ascii="Calibri" w:hAnsi="Calibri" w:cs="Calibri"/>
          <w:shd w:val="clear" w:color="auto" w:fill="FFFFFF"/>
        </w:rPr>
        <w:t>: see</w:t>
      </w:r>
      <w:r w:rsidR="00113F72" w:rsidRPr="001005B7">
        <w:rPr>
          <w:rFonts w:ascii="Calibri" w:hAnsi="Calibri" w:cs="Calibri"/>
          <w:shd w:val="clear" w:color="auto" w:fill="FFFFFF"/>
        </w:rPr>
        <w:t>, e.g.,</w:t>
      </w:r>
      <w:r w:rsidR="004419D7" w:rsidRPr="001005B7">
        <w:rPr>
          <w:rFonts w:ascii="Calibri" w:hAnsi="Calibri" w:cs="Calibri"/>
          <w:shd w:val="clear" w:color="auto" w:fill="FFFFFF"/>
        </w:rPr>
        <w:t xml:space="preserve"> </w:t>
      </w:r>
      <w:r w:rsidR="004307BE" w:rsidRPr="001005B7">
        <w:rPr>
          <w:rFonts w:ascii="Calibri" w:hAnsi="Calibri" w:cs="Calibri"/>
          <w:shd w:val="clear" w:color="auto" w:fill="FFFFFF"/>
        </w:rPr>
        <w:t>2</w:t>
      </w:r>
      <w:r w:rsidR="00D7410F" w:rsidRPr="001005B7">
        <w:rPr>
          <w:rFonts w:ascii="Calibri" w:hAnsi="Calibri" w:cs="Calibri"/>
          <w:shd w:val="clear" w:color="auto" w:fill="FFFFFF"/>
        </w:rPr>
        <w:t> </w:t>
      </w:r>
      <w:r w:rsidR="006558CA" w:rsidRPr="001005B7">
        <w:rPr>
          <w:rFonts w:ascii="Calibri" w:hAnsi="Calibri" w:cs="Calibri"/>
          <w:shd w:val="clear" w:color="auto" w:fill="FFFFFF"/>
        </w:rPr>
        <w:t>Kgs</w:t>
      </w:r>
      <w:r w:rsidR="004307BE" w:rsidRPr="001005B7">
        <w:rPr>
          <w:rFonts w:ascii="Calibri" w:hAnsi="Calibri" w:cs="Calibri"/>
          <w:shd w:val="clear" w:color="auto" w:fill="FFFFFF"/>
        </w:rPr>
        <w:t xml:space="preserve"> 23:33</w:t>
      </w:r>
      <w:r w:rsidR="004307BE" w:rsidRPr="001005B7">
        <w:rPr>
          <w:rFonts w:ascii="Calibri" w:hAnsi="Calibri" w:cs="Calibri"/>
        </w:rPr>
        <w:t>; 25:6</w:t>
      </w:r>
      <w:r w:rsidR="00F46900" w:rsidRPr="001005B7">
        <w:rPr>
          <w:rFonts w:ascii="Calibri" w:hAnsi="Calibri" w:cs="Calibri"/>
        </w:rPr>
        <w:t>–</w:t>
      </w:r>
      <w:r w:rsidR="009C143F" w:rsidRPr="001005B7">
        <w:rPr>
          <w:rFonts w:ascii="Calibri" w:hAnsi="Calibri" w:cs="Calibri"/>
        </w:rPr>
        <w:t>7</w:t>
      </w:r>
      <w:r w:rsidR="00FC0112" w:rsidRPr="001005B7">
        <w:rPr>
          <w:rFonts w:ascii="Calibri" w:hAnsi="Calibri" w:cs="Calibri"/>
        </w:rPr>
        <w:t>, 18</w:t>
      </w:r>
      <w:r w:rsidR="00F46900" w:rsidRPr="001005B7">
        <w:rPr>
          <w:rFonts w:ascii="Calibri" w:hAnsi="Calibri" w:cs="Calibri"/>
        </w:rPr>
        <w:t>–</w:t>
      </w:r>
      <w:r w:rsidR="00FC0112" w:rsidRPr="001005B7">
        <w:rPr>
          <w:rFonts w:ascii="Calibri" w:hAnsi="Calibri" w:cs="Calibri"/>
        </w:rPr>
        <w:t>21.</w:t>
      </w:r>
      <w:r w:rsidR="00CF3D34" w:rsidRPr="001005B7">
        <w:rPr>
          <w:rFonts w:ascii="Calibri" w:hAnsi="Calibri" w:cs="Calibri"/>
        </w:rPr>
        <w:t xml:space="preserve"> </w:t>
      </w:r>
      <w:r w:rsidR="00E8502A" w:rsidRPr="001005B7">
        <w:rPr>
          <w:rFonts w:cstheme="minorHAnsi"/>
        </w:rPr>
        <w:t>T</w:t>
      </w:r>
      <w:r w:rsidR="00EA5D35" w:rsidRPr="001005B7">
        <w:rPr>
          <w:rFonts w:cstheme="minorHAnsi"/>
        </w:rPr>
        <w:t xml:space="preserve">he First Testament often refers to Yahweh stretching out his hand </w:t>
      </w:r>
      <w:r w:rsidR="00834FB5" w:rsidRPr="001005B7">
        <w:rPr>
          <w:rFonts w:cstheme="minorHAnsi"/>
        </w:rPr>
        <w:t xml:space="preserve">against Israel’s oppressors and against Israel itself (e.g., Isa 5:25; </w:t>
      </w:r>
      <w:r w:rsidR="00611239" w:rsidRPr="001005B7">
        <w:rPr>
          <w:rFonts w:cstheme="minorHAnsi"/>
        </w:rPr>
        <w:t xml:space="preserve">Jer 51:25; </w:t>
      </w:r>
      <w:proofErr w:type="spellStart"/>
      <w:r w:rsidR="00834FB5" w:rsidRPr="001005B7">
        <w:rPr>
          <w:rFonts w:cstheme="minorHAnsi"/>
        </w:rPr>
        <w:t>Zeph</w:t>
      </w:r>
      <w:proofErr w:type="spellEnd"/>
      <w:r w:rsidR="00834FB5" w:rsidRPr="001005B7">
        <w:rPr>
          <w:rFonts w:cstheme="minorHAnsi"/>
        </w:rPr>
        <w:t xml:space="preserve"> 1:4)</w:t>
      </w:r>
      <w:r w:rsidR="00E8502A" w:rsidRPr="001005B7">
        <w:rPr>
          <w:rFonts w:cstheme="minorHAnsi"/>
        </w:rPr>
        <w:t xml:space="preserve">. But in the present context with the chapter’s final reference to </w:t>
      </w:r>
      <w:r w:rsidR="00054A7F" w:rsidRPr="001005B7">
        <w:rPr>
          <w:rFonts w:cstheme="minorHAnsi"/>
        </w:rPr>
        <w:t>Israel’s acknowledging him,</w:t>
      </w:r>
      <w:r w:rsidR="00834FB5" w:rsidRPr="001005B7">
        <w:rPr>
          <w:rFonts w:cstheme="minorHAnsi"/>
        </w:rPr>
        <w:t xml:space="preserve"> </w:t>
      </w:r>
      <w:r w:rsidR="00B10098" w:rsidRPr="001005B7">
        <w:rPr>
          <w:rFonts w:cstheme="minorHAnsi"/>
        </w:rPr>
        <w:t xml:space="preserve">particular irony </w:t>
      </w:r>
      <w:r w:rsidR="00054A7F" w:rsidRPr="001005B7">
        <w:rPr>
          <w:rFonts w:cstheme="minorHAnsi"/>
        </w:rPr>
        <w:t xml:space="preserve">would </w:t>
      </w:r>
      <w:r w:rsidR="00B10098" w:rsidRPr="001005B7">
        <w:rPr>
          <w:rFonts w:cstheme="minorHAnsi"/>
        </w:rPr>
        <w:t>attach to any Israelite recollection of</w:t>
      </w:r>
      <w:r w:rsidR="00F3309F" w:rsidRPr="001005B7">
        <w:rPr>
          <w:rFonts w:cstheme="minorHAnsi"/>
        </w:rPr>
        <w:t xml:space="preserve"> </w:t>
      </w:r>
      <w:r w:rsidR="006A1037" w:rsidRPr="001005B7">
        <w:rPr>
          <w:rFonts w:cstheme="minorHAnsi"/>
        </w:rPr>
        <w:t>hi</w:t>
      </w:r>
      <w:r w:rsidR="00611239" w:rsidRPr="001005B7">
        <w:rPr>
          <w:rFonts w:cstheme="minorHAnsi"/>
        </w:rPr>
        <w:t>s long</w:t>
      </w:r>
      <w:r w:rsidR="00D166D9">
        <w:rPr>
          <w:rFonts w:cstheme="minorHAnsi"/>
        </w:rPr>
        <w:t>-</w:t>
      </w:r>
      <w:r w:rsidR="00611239" w:rsidRPr="001005B7">
        <w:rPr>
          <w:rFonts w:cstheme="minorHAnsi"/>
        </w:rPr>
        <w:t>ago</w:t>
      </w:r>
      <w:r w:rsidR="00F3309F" w:rsidRPr="001005B7">
        <w:rPr>
          <w:rFonts w:cstheme="minorHAnsi"/>
        </w:rPr>
        <w:t xml:space="preserve"> declar</w:t>
      </w:r>
      <w:r w:rsidR="00611239" w:rsidRPr="001005B7">
        <w:rPr>
          <w:rFonts w:cstheme="minorHAnsi"/>
        </w:rPr>
        <w:t>ation</w:t>
      </w:r>
      <w:r w:rsidR="00F3309F" w:rsidRPr="001005B7">
        <w:rPr>
          <w:rFonts w:cstheme="minorHAnsi"/>
        </w:rPr>
        <w:t xml:space="preserve"> </w:t>
      </w:r>
      <w:r w:rsidR="001A23E7" w:rsidRPr="001005B7">
        <w:rPr>
          <w:rFonts w:cstheme="minorHAnsi"/>
        </w:rPr>
        <w:t>that “the Egyptians will acknowledge that I am Yahweh when</w:t>
      </w:r>
      <w:r w:rsidR="00C410E7" w:rsidRPr="001005B7">
        <w:rPr>
          <w:rFonts w:cstheme="minorHAnsi"/>
        </w:rPr>
        <w:t xml:space="preserve"> I stretch out my hand against Egypt</w:t>
      </w:r>
      <w:r w:rsidR="00FD6387" w:rsidRPr="001005B7">
        <w:rPr>
          <w:rFonts w:cstheme="minorHAnsi"/>
        </w:rPr>
        <w:t xml:space="preserve"> and get the Israelites out from among them” (Exod 7:5). </w:t>
      </w:r>
      <w:r w:rsidR="006A1037" w:rsidRPr="001005B7">
        <w:rPr>
          <w:rFonts w:cstheme="minorHAnsi"/>
        </w:rPr>
        <w:t xml:space="preserve">It doubles the tragedy of </w:t>
      </w:r>
      <w:r w:rsidR="00E82F29" w:rsidRPr="001005B7">
        <w:rPr>
          <w:rFonts w:cstheme="minorHAnsi"/>
        </w:rPr>
        <w:t xml:space="preserve">such references to Yahweh’s action against his own people. </w:t>
      </w:r>
    </w:p>
    <w:p w14:paraId="77973295" w14:textId="77777777" w:rsidR="005B5F0B" w:rsidRPr="001005B7" w:rsidRDefault="005B5F0B" w:rsidP="00493833">
      <w:pPr>
        <w:pStyle w:val="Heading3"/>
      </w:pPr>
      <w:r w:rsidRPr="001005B7">
        <w:t xml:space="preserve">Biblical Theology Comments </w:t>
      </w:r>
    </w:p>
    <w:p w14:paraId="7FCEC04D" w14:textId="34412464" w:rsidR="00CC6F3E" w:rsidRPr="001005B7" w:rsidRDefault="00352523" w:rsidP="000D30EC">
      <w:pPr>
        <w:rPr>
          <w:rFonts w:cstheme="minorHAnsi"/>
        </w:rPr>
      </w:pPr>
      <w:r w:rsidRPr="001005B7">
        <w:rPr>
          <w:rFonts w:cstheme="minorHAnsi"/>
        </w:rPr>
        <w:t>L</w:t>
      </w:r>
      <w:r w:rsidR="0058689F" w:rsidRPr="001005B7">
        <w:rPr>
          <w:rFonts w:cstheme="minorHAnsi"/>
        </w:rPr>
        <w:t>ike parish churches, the</w:t>
      </w:r>
      <w:r w:rsidRPr="001005B7">
        <w:rPr>
          <w:rFonts w:cstheme="minorHAnsi"/>
        </w:rPr>
        <w:t xml:space="preserve"> shrines</w:t>
      </w:r>
      <w:r w:rsidR="0058689F" w:rsidRPr="001005B7">
        <w:rPr>
          <w:rFonts w:cstheme="minorHAnsi"/>
        </w:rPr>
        <w:t xml:space="preserve"> were local centers of worship, sacrifice, prayer, and festival that were accessible to people living all over Judah,</w:t>
      </w:r>
      <w:r w:rsidR="00A05AD9" w:rsidRPr="001005B7">
        <w:rPr>
          <w:rFonts w:cstheme="minorHAnsi"/>
        </w:rPr>
        <w:t xml:space="preserve"> to complement </w:t>
      </w:r>
      <w:r w:rsidR="0058689F" w:rsidRPr="001005B7">
        <w:rPr>
          <w:rFonts w:cstheme="minorHAnsi"/>
        </w:rPr>
        <w:t xml:space="preserve">the Jerusalem sanctuary </w:t>
      </w:r>
      <w:r w:rsidR="00A05AD9" w:rsidRPr="001005B7">
        <w:rPr>
          <w:rFonts w:cstheme="minorHAnsi"/>
        </w:rPr>
        <w:t>that</w:t>
      </w:r>
      <w:r w:rsidR="00011C97" w:rsidRPr="001005B7">
        <w:rPr>
          <w:rFonts w:cstheme="minorHAnsi"/>
        </w:rPr>
        <w:t xml:space="preserve"> </w:t>
      </w:r>
      <w:r w:rsidR="005F0AD2" w:rsidRPr="001005B7">
        <w:rPr>
          <w:rFonts w:cstheme="minorHAnsi"/>
        </w:rPr>
        <w:t xml:space="preserve">was </w:t>
      </w:r>
      <w:r w:rsidR="004C2E55" w:rsidRPr="001005B7">
        <w:rPr>
          <w:rFonts w:cstheme="minorHAnsi"/>
        </w:rPr>
        <w:t>too</w:t>
      </w:r>
      <w:r w:rsidR="005F0AD2" w:rsidRPr="001005B7">
        <w:rPr>
          <w:rFonts w:cstheme="minorHAnsi"/>
        </w:rPr>
        <w:t xml:space="preserve"> f</w:t>
      </w:r>
      <w:r w:rsidR="00E87821" w:rsidRPr="001005B7">
        <w:rPr>
          <w:rFonts w:cstheme="minorHAnsi"/>
        </w:rPr>
        <w:t>a</w:t>
      </w:r>
      <w:r w:rsidR="005F0AD2" w:rsidRPr="001005B7">
        <w:rPr>
          <w:rFonts w:cstheme="minorHAnsi"/>
        </w:rPr>
        <w:t xml:space="preserve">r </w:t>
      </w:r>
      <w:r w:rsidR="004C2E55" w:rsidRPr="001005B7">
        <w:rPr>
          <w:rFonts w:cstheme="minorHAnsi"/>
        </w:rPr>
        <w:t xml:space="preserve">away for </w:t>
      </w:r>
      <w:r w:rsidR="005F0AD2" w:rsidRPr="001005B7">
        <w:rPr>
          <w:rFonts w:cstheme="minorHAnsi"/>
        </w:rPr>
        <w:t>most people to visit except</w:t>
      </w:r>
      <w:r w:rsidR="0058689F" w:rsidRPr="001005B7">
        <w:rPr>
          <w:rFonts w:cstheme="minorHAnsi"/>
        </w:rPr>
        <w:t xml:space="preserve"> on special occasions. </w:t>
      </w:r>
      <w:r w:rsidR="00CC6F3E" w:rsidRPr="001005B7">
        <w:rPr>
          <w:rFonts w:cstheme="minorHAnsi"/>
        </w:rPr>
        <w:t xml:space="preserve">In different contexts the First Testament accepts or repudiates local shrines. They are a practical necessity if people are to be able to worship, but they can </w:t>
      </w:r>
      <w:r w:rsidR="00E87821" w:rsidRPr="001005B7">
        <w:rPr>
          <w:rFonts w:cstheme="minorHAnsi"/>
        </w:rPr>
        <w:t xml:space="preserve">easily </w:t>
      </w:r>
      <w:r w:rsidR="00CC6F3E" w:rsidRPr="001005B7">
        <w:rPr>
          <w:rFonts w:cstheme="minorHAnsi"/>
        </w:rPr>
        <w:t>be the site of worship that is alien to Yahweh’s nature and instructions</w:t>
      </w:r>
      <w:r w:rsidR="009C1F90" w:rsidRPr="001005B7">
        <w:rPr>
          <w:rFonts w:cstheme="minorHAnsi"/>
        </w:rPr>
        <w:t>,</w:t>
      </w:r>
      <w:r w:rsidR="00CC6F3E" w:rsidRPr="001005B7">
        <w:rPr>
          <w:rFonts w:cstheme="minorHAnsi"/>
        </w:rPr>
        <w:t xml:space="preserve"> </w:t>
      </w:r>
      <w:r w:rsidR="00FA54A4" w:rsidRPr="001005B7">
        <w:rPr>
          <w:rFonts w:cstheme="minorHAnsi"/>
        </w:rPr>
        <w:t>and</w:t>
      </w:r>
      <w:r w:rsidR="00CC6F3E" w:rsidRPr="001005B7">
        <w:rPr>
          <w:rFonts w:cstheme="minorHAnsi"/>
        </w:rPr>
        <w:t xml:space="preserve"> </w:t>
      </w:r>
      <w:r w:rsidR="001179F2">
        <w:rPr>
          <w:rFonts w:cstheme="minorHAnsi"/>
        </w:rPr>
        <w:t xml:space="preserve">be </w:t>
      </w:r>
      <w:r w:rsidR="00CC6F3E" w:rsidRPr="001005B7">
        <w:rPr>
          <w:rFonts w:cstheme="minorHAnsi"/>
        </w:rPr>
        <w:t>worse than useless. It is the second consideration that arises here. The</w:t>
      </w:r>
      <w:r w:rsidR="00FA54A4" w:rsidRPr="001005B7">
        <w:rPr>
          <w:rFonts w:cstheme="minorHAnsi"/>
        </w:rPr>
        <w:t xml:space="preserve"> people’s</w:t>
      </w:r>
      <w:r w:rsidR="00CC6F3E" w:rsidRPr="001005B7">
        <w:rPr>
          <w:rFonts w:cstheme="minorHAnsi"/>
        </w:rPr>
        <w:t xml:space="preserve"> worship is associated </w:t>
      </w:r>
      <w:r w:rsidR="00BF7327" w:rsidRPr="001005B7">
        <w:rPr>
          <w:rFonts w:cstheme="minorHAnsi"/>
        </w:rPr>
        <w:t xml:space="preserve">with </w:t>
      </w:r>
      <w:r w:rsidR="00452DFD" w:rsidRPr="001005B7">
        <w:rPr>
          <w:rFonts w:cstheme="minorHAnsi"/>
        </w:rPr>
        <w:t>idols</w:t>
      </w:r>
      <w:r w:rsidR="00BF7327" w:rsidRPr="001005B7">
        <w:rPr>
          <w:rFonts w:cstheme="minorHAnsi"/>
        </w:rPr>
        <w:t>.</w:t>
      </w:r>
      <w:r w:rsidR="00607FF6">
        <w:rPr>
          <w:rFonts w:cstheme="minorHAnsi"/>
        </w:rPr>
        <w:t xml:space="preserve"> The word that Ezekiel uses </w:t>
      </w:r>
      <w:r w:rsidR="00EA5D8C">
        <w:rPr>
          <w:rFonts w:cstheme="minorHAnsi"/>
        </w:rPr>
        <w:t>i</w:t>
      </w:r>
      <w:r w:rsidR="00333820" w:rsidRPr="001005B7">
        <w:rPr>
          <w:rFonts w:cstheme="minorHAnsi"/>
        </w:rPr>
        <w:t>n this chapter</w:t>
      </w:r>
      <w:r w:rsidR="00EA5D8C">
        <w:rPr>
          <w:rFonts w:cstheme="minorHAnsi"/>
        </w:rPr>
        <w:t xml:space="preserve"> to describe them</w:t>
      </w:r>
      <w:r w:rsidR="00333820" w:rsidRPr="001005B7">
        <w:rPr>
          <w:rFonts w:cstheme="minorHAnsi"/>
        </w:rPr>
        <w:t>,</w:t>
      </w:r>
      <w:r w:rsidR="001A7017" w:rsidRPr="001005B7">
        <w:rPr>
          <w:rFonts w:cstheme="minorHAnsi"/>
        </w:rPr>
        <w:t xml:space="preserve"> </w:t>
      </w:r>
      <w:r w:rsidR="008F334F" w:rsidRPr="001005B7">
        <w:rPr>
          <w:rFonts w:cstheme="minorHAnsi"/>
        </w:rPr>
        <w:t>“</w:t>
      </w:r>
      <w:r w:rsidR="00CC6F3E" w:rsidRPr="001005B7">
        <w:rPr>
          <w:rFonts w:cstheme="minorHAnsi"/>
        </w:rPr>
        <w:t>lumps</w:t>
      </w:r>
      <w:r w:rsidR="008F334F" w:rsidRPr="001005B7">
        <w:rPr>
          <w:rFonts w:cstheme="minorHAnsi"/>
        </w:rPr>
        <w:t>”</w:t>
      </w:r>
      <w:r w:rsidR="00CC6F3E" w:rsidRPr="001005B7">
        <w:rPr>
          <w:rFonts w:cstheme="minorHAnsi"/>
          <w:i/>
          <w:iCs/>
        </w:rPr>
        <w:t xml:space="preserve"> </w:t>
      </w:r>
      <w:r w:rsidR="00CC6F3E" w:rsidRPr="001005B7">
        <w:rPr>
          <w:rFonts w:cstheme="minorHAnsi"/>
        </w:rPr>
        <w:t>(</w:t>
      </w:r>
      <w:r w:rsidR="009C1F90" w:rsidRPr="001005B7">
        <w:rPr>
          <w:rFonts w:cstheme="minorHAnsi"/>
          <w:rtl/>
          <w:lang w:bidi="he-IL"/>
        </w:rPr>
        <w:t>ג</w:t>
      </w:r>
      <w:r w:rsidR="00936387" w:rsidRPr="001005B7">
        <w:rPr>
          <w:rFonts w:cstheme="minorHAnsi"/>
          <w:rtl/>
          <w:lang w:bidi="he-IL"/>
        </w:rPr>
        <w:t>ִלּוּ</w:t>
      </w:r>
      <w:r w:rsidR="001F3380" w:rsidRPr="001005B7">
        <w:rPr>
          <w:rFonts w:cstheme="minorHAnsi"/>
          <w:rtl/>
          <w:lang w:bidi="he-IL"/>
        </w:rPr>
        <w:t>לִי</w:t>
      </w:r>
      <w:r w:rsidR="00936387" w:rsidRPr="001005B7">
        <w:rPr>
          <w:rFonts w:cstheme="minorHAnsi"/>
          <w:rtl/>
          <w:lang w:bidi="he-IL"/>
        </w:rPr>
        <w:t>ם</w:t>
      </w:r>
      <w:r w:rsidR="00CC6F3E" w:rsidRPr="001005B7">
        <w:rPr>
          <w:rFonts w:cstheme="minorHAnsi"/>
        </w:rPr>
        <w:t>)</w:t>
      </w:r>
      <w:r w:rsidR="00C9053E" w:rsidRPr="001005B7">
        <w:rPr>
          <w:rFonts w:cstheme="minorHAnsi"/>
        </w:rPr>
        <w:t xml:space="preserve">, </w:t>
      </w:r>
      <w:r w:rsidR="005E65AB" w:rsidRPr="001005B7">
        <w:rPr>
          <w:rFonts w:cstheme="minorHAnsi"/>
        </w:rPr>
        <w:t xml:space="preserve">is </w:t>
      </w:r>
      <w:r w:rsidR="001A7017" w:rsidRPr="001005B7">
        <w:rPr>
          <w:rFonts w:cstheme="minorHAnsi"/>
        </w:rPr>
        <w:t>just</w:t>
      </w:r>
      <w:r w:rsidR="00CC6F3E" w:rsidRPr="001005B7">
        <w:rPr>
          <w:rFonts w:cstheme="minorHAnsi"/>
        </w:rPr>
        <w:t xml:space="preserve"> one of the words traditionally translated “idol</w:t>
      </w:r>
      <w:r w:rsidR="00C9053E" w:rsidRPr="001005B7">
        <w:rPr>
          <w:rFonts w:cstheme="minorHAnsi"/>
        </w:rPr>
        <w:t>s</w:t>
      </w:r>
      <w:r w:rsidR="004F2D4D" w:rsidRPr="001005B7">
        <w:rPr>
          <w:rFonts w:cstheme="minorHAnsi"/>
        </w:rPr>
        <w:t>.</w:t>
      </w:r>
      <w:r w:rsidR="00CC6F3E" w:rsidRPr="001005B7">
        <w:rPr>
          <w:rFonts w:cstheme="minorHAnsi"/>
        </w:rPr>
        <w:t xml:space="preserve">” </w:t>
      </w:r>
      <w:r w:rsidR="00087EAB" w:rsidRPr="001005B7">
        <w:rPr>
          <w:rFonts w:cstheme="minorHAnsi"/>
        </w:rPr>
        <w:t>Others are</w:t>
      </w:r>
      <w:r w:rsidR="005E65AB" w:rsidRPr="001005B7">
        <w:rPr>
          <w:rFonts w:cstheme="minorHAnsi"/>
        </w:rPr>
        <w:t xml:space="preserve"> </w:t>
      </w:r>
      <w:r w:rsidR="00D3153B" w:rsidRPr="001005B7">
        <w:rPr>
          <w:rFonts w:cstheme="minorHAnsi"/>
          <w:rtl/>
          <w:lang w:bidi="he-IL"/>
        </w:rPr>
        <w:t>אֶלִילִים</w:t>
      </w:r>
      <w:r w:rsidR="00CC6F3E" w:rsidRPr="001005B7">
        <w:rPr>
          <w:rFonts w:cstheme="minorHAnsi"/>
        </w:rPr>
        <w:t xml:space="preserve"> (which etymologically suggests empty </w:t>
      </w:r>
      <w:proofErr w:type="spellStart"/>
      <w:r w:rsidR="00CC6F3E" w:rsidRPr="001005B7">
        <w:rPr>
          <w:rFonts w:cstheme="minorHAnsi"/>
        </w:rPr>
        <w:t>godlets</w:t>
      </w:r>
      <w:proofErr w:type="spellEnd"/>
      <w:r w:rsidR="004E6F08" w:rsidRPr="001005B7">
        <w:rPr>
          <w:rFonts w:cstheme="minorHAnsi"/>
        </w:rPr>
        <w:t>; 30:13</w:t>
      </w:r>
      <w:r w:rsidR="00CC6F3E" w:rsidRPr="001005B7">
        <w:rPr>
          <w:rFonts w:cstheme="minorHAnsi"/>
        </w:rPr>
        <w:t>),</w:t>
      </w:r>
      <w:r w:rsidR="00C763F6" w:rsidRPr="001005B7">
        <w:rPr>
          <w:rFonts w:cstheme="minorHAnsi"/>
        </w:rPr>
        <w:t xml:space="preserve"> </w:t>
      </w:r>
      <w:r w:rsidR="00C763F6" w:rsidRPr="001005B7">
        <w:rPr>
          <w:rFonts w:cstheme="minorHAnsi"/>
          <w:rtl/>
          <w:lang w:bidi="he-IL"/>
        </w:rPr>
        <w:t>ת</w:t>
      </w:r>
      <w:r w:rsidR="008F057B" w:rsidRPr="001005B7">
        <w:rPr>
          <w:rFonts w:cstheme="minorHAnsi"/>
          <w:rtl/>
          <w:lang w:bidi="he-IL"/>
        </w:rPr>
        <w:t>ּ</w:t>
      </w:r>
      <w:r w:rsidR="00C763F6" w:rsidRPr="001005B7">
        <w:rPr>
          <w:rFonts w:cstheme="minorHAnsi"/>
          <w:rtl/>
          <w:lang w:bidi="he-IL"/>
        </w:rPr>
        <w:t>ְרָ</w:t>
      </w:r>
      <w:r w:rsidR="00B239DD" w:rsidRPr="001005B7">
        <w:rPr>
          <w:rFonts w:cstheme="minorHAnsi"/>
          <w:rtl/>
          <w:lang w:bidi="he-IL"/>
        </w:rPr>
        <w:t>פִים</w:t>
      </w:r>
      <w:r w:rsidR="00CC6F3E" w:rsidRPr="001005B7">
        <w:rPr>
          <w:rFonts w:cstheme="minorHAnsi"/>
        </w:rPr>
        <w:t xml:space="preserve"> (which likely denotes effigies</w:t>
      </w:r>
      <w:r w:rsidR="007641EF" w:rsidRPr="001005B7">
        <w:rPr>
          <w:rFonts w:cstheme="minorHAnsi"/>
        </w:rPr>
        <w:t>; 21:2</w:t>
      </w:r>
      <w:r w:rsidR="00C10B46" w:rsidRPr="001005B7">
        <w:rPr>
          <w:rFonts w:cstheme="minorHAnsi"/>
        </w:rPr>
        <w:t>1</w:t>
      </w:r>
      <w:r w:rsidR="007641EF" w:rsidRPr="001005B7">
        <w:rPr>
          <w:rFonts w:cstheme="minorHAnsi"/>
        </w:rPr>
        <w:t xml:space="preserve"> [2</w:t>
      </w:r>
      <w:r w:rsidR="00C10B46" w:rsidRPr="001005B7">
        <w:rPr>
          <w:rFonts w:cstheme="minorHAnsi"/>
        </w:rPr>
        <w:t>6</w:t>
      </w:r>
      <w:r w:rsidR="007641EF" w:rsidRPr="001005B7">
        <w:rPr>
          <w:rFonts w:cstheme="minorHAnsi"/>
        </w:rPr>
        <w:t>]</w:t>
      </w:r>
      <w:r w:rsidR="00CC6F3E" w:rsidRPr="001005B7">
        <w:rPr>
          <w:rFonts w:cstheme="minorHAnsi"/>
        </w:rPr>
        <w:t>),</w:t>
      </w:r>
      <w:r w:rsidR="00B239DD" w:rsidRPr="001005B7">
        <w:rPr>
          <w:rFonts w:cstheme="minorHAnsi"/>
        </w:rPr>
        <w:t xml:space="preserve"> </w:t>
      </w:r>
      <w:r w:rsidR="001225F9" w:rsidRPr="001005B7">
        <w:rPr>
          <w:rFonts w:cstheme="minorHAnsi"/>
          <w:rtl/>
          <w:lang w:bidi="he-IL"/>
        </w:rPr>
        <w:t>צְלָ</w:t>
      </w:r>
      <w:r w:rsidR="00BE1D30" w:rsidRPr="001005B7">
        <w:rPr>
          <w:rFonts w:cstheme="minorHAnsi"/>
          <w:rtl/>
          <w:lang w:bidi="he-IL"/>
        </w:rPr>
        <w:t>מ</w:t>
      </w:r>
      <w:r w:rsidR="001225F9" w:rsidRPr="001005B7">
        <w:rPr>
          <w:rFonts w:cstheme="minorHAnsi"/>
          <w:rtl/>
          <w:lang w:bidi="he-IL"/>
        </w:rPr>
        <w:t>ִים</w:t>
      </w:r>
      <w:r w:rsidR="00003C22" w:rsidRPr="001005B7">
        <w:rPr>
          <w:rFonts w:cstheme="minorHAnsi"/>
          <w:i/>
          <w:iCs/>
        </w:rPr>
        <w:t xml:space="preserve"> </w:t>
      </w:r>
      <w:r w:rsidR="00003C22" w:rsidRPr="001005B7">
        <w:rPr>
          <w:rFonts w:cstheme="minorHAnsi"/>
        </w:rPr>
        <w:t>(images</w:t>
      </w:r>
      <w:r w:rsidR="00BB5C31" w:rsidRPr="001005B7">
        <w:rPr>
          <w:rFonts w:cstheme="minorHAnsi"/>
        </w:rPr>
        <w:t>, which supposedly resemble the deity;</w:t>
      </w:r>
      <w:r w:rsidR="00003C22" w:rsidRPr="001005B7">
        <w:rPr>
          <w:rFonts w:cstheme="minorHAnsi"/>
        </w:rPr>
        <w:t xml:space="preserve"> </w:t>
      </w:r>
      <w:r w:rsidR="008257EE" w:rsidRPr="001005B7">
        <w:rPr>
          <w:rFonts w:cstheme="minorHAnsi"/>
        </w:rPr>
        <w:t>7:20),</w:t>
      </w:r>
      <w:r w:rsidR="002A190A" w:rsidRPr="001005B7">
        <w:rPr>
          <w:rFonts w:cstheme="minorHAnsi"/>
        </w:rPr>
        <w:t xml:space="preserve"> </w:t>
      </w:r>
      <w:r w:rsidR="00661949" w:rsidRPr="001005B7">
        <w:rPr>
          <w:rFonts w:cstheme="minorHAnsi"/>
          <w:rtl/>
          <w:lang w:bidi="he-IL"/>
        </w:rPr>
        <w:t>ס</w:t>
      </w:r>
      <w:r w:rsidR="001A4FB6" w:rsidRPr="001005B7">
        <w:rPr>
          <w:rFonts w:cstheme="minorHAnsi"/>
          <w:rtl/>
          <w:lang w:bidi="he-IL"/>
        </w:rPr>
        <w:t>ֵ</w:t>
      </w:r>
      <w:r w:rsidR="00982391" w:rsidRPr="001005B7">
        <w:rPr>
          <w:rFonts w:cstheme="minorHAnsi"/>
          <w:rtl/>
          <w:lang w:bidi="he-IL"/>
        </w:rPr>
        <w:t>מֶל</w:t>
      </w:r>
      <w:r w:rsidR="00511CED" w:rsidRPr="001005B7">
        <w:rPr>
          <w:rFonts w:cstheme="minorHAnsi"/>
          <w:i/>
          <w:iCs/>
        </w:rPr>
        <w:t xml:space="preserve"> </w:t>
      </w:r>
      <w:r w:rsidR="00511CED" w:rsidRPr="001005B7">
        <w:rPr>
          <w:rFonts w:cstheme="minorHAnsi"/>
        </w:rPr>
        <w:t>(statue</w:t>
      </w:r>
      <w:r w:rsidR="00D53C0C" w:rsidRPr="001005B7">
        <w:rPr>
          <w:rFonts w:cstheme="minorHAnsi"/>
        </w:rPr>
        <w:t>; 8:3, 5</w:t>
      </w:r>
      <w:r w:rsidR="00511CED" w:rsidRPr="001005B7">
        <w:rPr>
          <w:rFonts w:cstheme="minorHAnsi"/>
        </w:rPr>
        <w:t>),</w:t>
      </w:r>
      <w:r w:rsidR="00FD20FB">
        <w:rPr>
          <w:rFonts w:cstheme="minorHAnsi"/>
        </w:rPr>
        <w:t xml:space="preserve"> and</w:t>
      </w:r>
      <w:r w:rsidR="00661949" w:rsidRPr="001005B7">
        <w:rPr>
          <w:rFonts w:cstheme="minorHAnsi"/>
        </w:rPr>
        <w:t xml:space="preserve"> </w:t>
      </w:r>
      <w:r w:rsidR="000927F0" w:rsidRPr="001005B7">
        <w:rPr>
          <w:rFonts w:cstheme="minorHAnsi"/>
          <w:rtl/>
          <w:lang w:bidi="he-IL"/>
        </w:rPr>
        <w:t>מַ</w:t>
      </w:r>
      <w:r w:rsidR="00E3237B" w:rsidRPr="001005B7">
        <w:rPr>
          <w:rFonts w:cstheme="minorHAnsi"/>
          <w:rtl/>
          <w:lang w:bidi="he-IL"/>
        </w:rPr>
        <w:t>ש</w:t>
      </w:r>
      <w:r w:rsidR="007472F4" w:rsidRPr="001005B7">
        <w:rPr>
          <w:rFonts w:cstheme="minorHAnsi"/>
          <w:rtl/>
          <w:lang w:bidi="he-IL"/>
        </w:rPr>
        <w:t>ֹ</w:t>
      </w:r>
      <w:r w:rsidR="006842B6" w:rsidRPr="001005B7">
        <w:rPr>
          <w:rFonts w:cstheme="minorHAnsi"/>
          <w:rtl/>
          <w:lang w:bidi="he-IL"/>
        </w:rPr>
        <w:t>ְכִּית</w:t>
      </w:r>
      <w:r w:rsidR="00511CED" w:rsidRPr="001005B7">
        <w:rPr>
          <w:rFonts w:cstheme="minorHAnsi"/>
        </w:rPr>
        <w:t xml:space="preserve"> </w:t>
      </w:r>
      <w:r w:rsidR="00561144" w:rsidRPr="001005B7">
        <w:rPr>
          <w:rFonts w:cstheme="minorHAnsi"/>
        </w:rPr>
        <w:t>(figure, icon</w:t>
      </w:r>
      <w:r w:rsidR="00350976" w:rsidRPr="001005B7">
        <w:rPr>
          <w:rFonts w:cstheme="minorHAnsi"/>
        </w:rPr>
        <w:t>; 8:</w:t>
      </w:r>
      <w:r w:rsidR="004F2D4D" w:rsidRPr="001005B7">
        <w:rPr>
          <w:rFonts w:cstheme="minorHAnsi"/>
        </w:rPr>
        <w:t>12</w:t>
      </w:r>
      <w:r w:rsidR="00561144" w:rsidRPr="001005B7">
        <w:rPr>
          <w:rFonts w:cstheme="minorHAnsi"/>
        </w:rPr>
        <w:t>)</w:t>
      </w:r>
      <w:r w:rsidR="00CC6F3E" w:rsidRPr="001005B7">
        <w:rPr>
          <w:rFonts w:cstheme="minorHAnsi"/>
        </w:rPr>
        <w:t>.</w:t>
      </w:r>
      <w:r w:rsidR="007922BC" w:rsidRPr="001005B7">
        <w:rPr>
          <w:rStyle w:val="FootnoteReference"/>
          <w:rFonts w:cstheme="minorHAnsi"/>
        </w:rPr>
        <w:footnoteReference w:id="204"/>
      </w:r>
      <w:r w:rsidR="00CC6F3E" w:rsidRPr="001005B7">
        <w:rPr>
          <w:rFonts w:cstheme="minorHAnsi"/>
        </w:rPr>
        <w:t xml:space="preserve"> </w:t>
      </w:r>
      <w:r w:rsidR="004F4CCD" w:rsidRPr="001005B7">
        <w:rPr>
          <w:rFonts w:cstheme="minorHAnsi"/>
        </w:rPr>
        <w:t xml:space="preserve">The </w:t>
      </w:r>
      <w:r w:rsidR="002E3B8C" w:rsidRPr="001005B7">
        <w:rPr>
          <w:rFonts w:cstheme="minorHAnsi"/>
        </w:rPr>
        <w:t xml:space="preserve">First </w:t>
      </w:r>
      <w:r w:rsidR="000E00E5" w:rsidRPr="001005B7">
        <w:rPr>
          <w:rFonts w:cstheme="minorHAnsi"/>
        </w:rPr>
        <w:t xml:space="preserve">Testament </w:t>
      </w:r>
      <w:r w:rsidR="00603221">
        <w:rPr>
          <w:rFonts w:cstheme="minorHAnsi"/>
        </w:rPr>
        <w:t>commonly</w:t>
      </w:r>
      <w:r w:rsidR="000E00E5" w:rsidRPr="001005B7">
        <w:rPr>
          <w:rFonts w:cstheme="minorHAnsi"/>
        </w:rPr>
        <w:t xml:space="preserve"> critiques but sometimes accepts </w:t>
      </w:r>
      <w:r w:rsidR="00603221">
        <w:rPr>
          <w:rFonts w:cstheme="minorHAnsi"/>
        </w:rPr>
        <w:t xml:space="preserve">some of its words </w:t>
      </w:r>
      <w:r w:rsidR="008257C1">
        <w:rPr>
          <w:rFonts w:cstheme="minorHAnsi"/>
        </w:rPr>
        <w:t xml:space="preserve">for statues and </w:t>
      </w:r>
      <w:r w:rsidR="00FF1DE4">
        <w:rPr>
          <w:rFonts w:cstheme="minorHAnsi"/>
        </w:rPr>
        <w:t>totem poles</w:t>
      </w:r>
      <w:r w:rsidR="004F4CCD" w:rsidRPr="001005B7">
        <w:rPr>
          <w:rFonts w:cstheme="minorHAnsi"/>
        </w:rPr>
        <w:t>, l</w:t>
      </w:r>
      <w:r w:rsidR="00CC6F3E" w:rsidRPr="001005B7">
        <w:rPr>
          <w:rFonts w:cstheme="minorHAnsi"/>
        </w:rPr>
        <w:t>ike the shrines themselves</w:t>
      </w:r>
      <w:r w:rsidR="009B7B5D" w:rsidRPr="001005B7">
        <w:rPr>
          <w:rFonts w:cstheme="minorHAnsi"/>
        </w:rPr>
        <w:t>. T</w:t>
      </w:r>
      <w:r w:rsidR="00CC6F3E" w:rsidRPr="001005B7">
        <w:rPr>
          <w:rFonts w:cstheme="minorHAnsi"/>
        </w:rPr>
        <w:t>hey can evidently be used in a way that coheres with faithfulness to Yahweh or that clashes with it.</w:t>
      </w:r>
      <w:r w:rsidR="00011C97" w:rsidRPr="001005B7">
        <w:rPr>
          <w:rFonts w:cstheme="minorHAnsi"/>
        </w:rPr>
        <w:t xml:space="preserve"> </w:t>
      </w:r>
    </w:p>
    <w:p w14:paraId="5335F98C" w14:textId="0F883C7D" w:rsidR="00B653DB" w:rsidRPr="001005B7" w:rsidRDefault="00663690" w:rsidP="00B653DB">
      <w:pPr>
        <w:rPr>
          <w:rFonts w:cstheme="minorHAnsi"/>
        </w:rPr>
      </w:pPr>
      <w:r w:rsidRPr="001005B7">
        <w:rPr>
          <w:rFonts w:cstheme="minorHAnsi"/>
        </w:rPr>
        <w:t xml:space="preserve">This is one factor that can make </w:t>
      </w:r>
      <w:r w:rsidR="00D660B4" w:rsidRPr="001005B7">
        <w:rPr>
          <w:rFonts w:cstheme="minorHAnsi"/>
        </w:rPr>
        <w:t xml:space="preserve">Ezekiel and other parts of </w:t>
      </w:r>
      <w:r w:rsidRPr="001005B7">
        <w:rPr>
          <w:rFonts w:cstheme="minorHAnsi"/>
        </w:rPr>
        <w:t>t</w:t>
      </w:r>
      <w:r w:rsidR="00D660B4" w:rsidRPr="001005B7">
        <w:rPr>
          <w:rFonts w:cstheme="minorHAnsi"/>
        </w:rPr>
        <w:t>he First Testament (and Christian thinking) confusing in the way they speak of idolatry, though the ambiguity can be illuminating. Aids in worship such as shrines, altars, columns, incense, and sacrifice can be aids to true worship of God. They can be aids to worship that imply an understanding of God that has become skewed. They can be aids to worship of other deities. Either the second or the third of th</w:t>
      </w:r>
      <w:r w:rsidR="00BD599F" w:rsidRPr="001005B7">
        <w:rPr>
          <w:rFonts w:cstheme="minorHAnsi"/>
        </w:rPr>
        <w:t>ese</w:t>
      </w:r>
      <w:r w:rsidR="00D660B4" w:rsidRPr="001005B7">
        <w:rPr>
          <w:rFonts w:cstheme="minorHAnsi"/>
        </w:rPr>
        <w:t xml:space="preserve"> use</w:t>
      </w:r>
      <w:r w:rsidR="00BD599F" w:rsidRPr="001005B7">
        <w:rPr>
          <w:rFonts w:cstheme="minorHAnsi"/>
        </w:rPr>
        <w:t>s</w:t>
      </w:r>
      <w:r w:rsidR="00D660B4" w:rsidRPr="001005B7">
        <w:rPr>
          <w:rFonts w:cstheme="minorHAnsi"/>
        </w:rPr>
        <w:t xml:space="preserve"> of such aids can be termed idolatry, both frequently featured in Israel, both might be called whoring (especially as a skewed understanding of God entered into people’s political policies), and both might be the subject of Ezekiel’s critique.</w:t>
      </w:r>
      <w:r w:rsidR="00826164" w:rsidRPr="001005B7">
        <w:rPr>
          <w:rFonts w:cstheme="minorHAnsi"/>
        </w:rPr>
        <w:t xml:space="preserve"> Is an image of Yahweh an idol? Yes and no.</w:t>
      </w:r>
    </w:p>
    <w:p w14:paraId="1F33A58B" w14:textId="22174473" w:rsidR="00E40189" w:rsidRPr="001005B7" w:rsidRDefault="002C4790" w:rsidP="00F01CEF">
      <w:r w:rsidRPr="001005B7">
        <w:rPr>
          <w:rFonts w:cstheme="minorHAnsi"/>
        </w:rPr>
        <w:t xml:space="preserve">Although the First Testament can characterize worship at the shrines as involving unfaithfulness to Yahweh or whoring, neither the First Testament nor ancient Near Eastern documents point towards a literally sexual element in the worship there. </w:t>
      </w:r>
      <w:r w:rsidR="0016208C">
        <w:rPr>
          <w:rFonts w:cstheme="minorHAnsi"/>
        </w:rPr>
        <w:t>W</w:t>
      </w:r>
      <w:r w:rsidRPr="001005B7">
        <w:rPr>
          <w:rFonts w:cstheme="minorHAnsi"/>
        </w:rPr>
        <w:t xml:space="preserve">orship was concerned about fertility in the sense that people would pray for the necessary fertility of their womenfolk and of the ground, but there is no indication that </w:t>
      </w:r>
      <w:r w:rsidR="0016208C">
        <w:rPr>
          <w:rFonts w:cstheme="minorHAnsi"/>
        </w:rPr>
        <w:t xml:space="preserve">in worship </w:t>
      </w:r>
      <w:r w:rsidRPr="001005B7">
        <w:rPr>
          <w:rFonts w:cstheme="minorHAnsi"/>
        </w:rPr>
        <w:t>they acted out a concern with fertility.</w:t>
      </w:r>
    </w:p>
    <w:p w14:paraId="297BBA35" w14:textId="77777777" w:rsidR="00C61187" w:rsidRPr="001005B7" w:rsidRDefault="00C61187" w:rsidP="00493833">
      <w:pPr>
        <w:pStyle w:val="Heading3"/>
      </w:pPr>
      <w:r w:rsidRPr="001005B7">
        <w:t xml:space="preserve">Application and Devotional Implications </w:t>
      </w:r>
    </w:p>
    <w:p w14:paraId="0AA34066" w14:textId="49358E06" w:rsidR="00C61187" w:rsidRPr="001005B7" w:rsidRDefault="00C61187" w:rsidP="00C61187">
      <w:pPr>
        <w:rPr>
          <w:rFonts w:cstheme="minorHAnsi"/>
        </w:rPr>
      </w:pPr>
      <w:r w:rsidRPr="001005B7">
        <w:t xml:space="preserve">Why would people worship in the way Ezekiel describes them worshiping in the shrines, with the aids they use there? In a sense, the Scriptures </w:t>
      </w:r>
      <w:r w:rsidR="00D11DD1">
        <w:t>are</w:t>
      </w:r>
      <w:r w:rsidRPr="001005B7">
        <w:t xml:space="preserve"> rather rigid</w:t>
      </w:r>
      <w:r w:rsidR="00D11DD1">
        <w:t xml:space="preserve"> in the worship they commend</w:t>
      </w:r>
      <w:r w:rsidRPr="001005B7">
        <w:t xml:space="preserve">. </w:t>
      </w:r>
      <w:r w:rsidR="00316308">
        <w:t>They</w:t>
      </w:r>
      <w:r w:rsidRPr="001005B7">
        <w:t xml:space="preserve"> allow worship of only one God, because there is only one God who deserves the title. </w:t>
      </w:r>
      <w:r w:rsidR="00316308">
        <w:t>They</w:t>
      </w:r>
      <w:r w:rsidRPr="001005B7">
        <w:t xml:space="preserve"> allow no aids such as images of God, because this God cannot be imaged. </w:t>
      </w:r>
      <w:r w:rsidR="00316308">
        <w:t>They</w:t>
      </w:r>
      <w:r w:rsidRPr="001005B7">
        <w:t xml:space="preserve"> require a focus on some things that God did a long time ago. Now in a traditional society, people know that they must talk to God about their need for children or for healing or for the crops to grow. The country’s political leaders feel the need to look for political resources if the country is to survive and they find it hard to avoid making some religious compromises if they are to find these resources. In the modern Western world, the need </w:t>
      </w:r>
      <w:r w:rsidR="00E56F03">
        <w:t>people</w:t>
      </w:r>
      <w:r w:rsidRPr="001005B7">
        <w:t xml:space="preserve"> feel is for peace of heart. So people need such concerns to be God’s focus. While God is interested in those things, the Scriptures give the impression that they are not as central for God as they often are for his people, who can thus to end up with a longing for a God who is quite other than the picture the Scriptures give. The question is whether we will settle for God as the Scriptures portray him or whether we prefer gods we make. </w:t>
      </w:r>
      <w:r w:rsidRPr="001005B7">
        <w:rPr>
          <w:rFonts w:cstheme="minorHAnsi"/>
        </w:rPr>
        <w:t>“A</w:t>
      </w:r>
      <w:r w:rsidRPr="001005B7">
        <w:rPr>
          <w:rFonts w:eastAsia="AJensonPro-Lt" w:cstheme="minorHAnsi"/>
          <w:sz w:val="21"/>
          <w:szCs w:val="21"/>
        </w:rPr>
        <w:t>ll worship</w:t>
      </w:r>
      <w:r w:rsidRPr="001005B7">
        <w:rPr>
          <w:rFonts w:cstheme="minorHAnsi"/>
        </w:rPr>
        <w:t xml:space="preserve"> </w:t>
      </w:r>
      <w:r w:rsidRPr="001005B7">
        <w:rPr>
          <w:rFonts w:eastAsia="AJensonPro-Lt" w:cstheme="minorHAnsi"/>
          <w:sz w:val="21"/>
          <w:szCs w:val="21"/>
        </w:rPr>
        <w:t>is perverse and rejected by God when men</w:t>
      </w:r>
      <w:r w:rsidRPr="001005B7">
        <w:rPr>
          <w:rFonts w:cstheme="minorHAnsi"/>
        </w:rPr>
        <w:t xml:space="preserve"> </w:t>
      </w:r>
      <w:r w:rsidRPr="001005B7">
        <w:rPr>
          <w:rFonts w:eastAsia="AJensonPro-Lt" w:cstheme="minorHAnsi"/>
          <w:sz w:val="21"/>
          <w:szCs w:val="21"/>
        </w:rPr>
        <w:t>bring anything forward of themselves” (</w:t>
      </w:r>
      <w:r w:rsidRPr="001005B7">
        <w:t>Calvin, 1:228).</w:t>
      </w:r>
      <w:r w:rsidRPr="001005B7">
        <w:rPr>
          <w:rFonts w:eastAsia="AJensonPro-Lt" w:cstheme="minorHAnsi"/>
          <w:sz w:val="21"/>
          <w:szCs w:val="21"/>
        </w:rPr>
        <w:t xml:space="preserve"> And if we are going to turn from gods we manufacture to God as he is, </w:t>
      </w:r>
      <w:r w:rsidRPr="001005B7">
        <w:rPr>
          <w:rFonts w:cstheme="minorHAnsi"/>
        </w:rPr>
        <w:t>loathing or disgust may become important (</w:t>
      </w:r>
      <w:r w:rsidRPr="001005B7">
        <w:t>Bowen, 35</w:t>
      </w:r>
      <w:r w:rsidR="00F46900" w:rsidRPr="001005B7">
        <w:t>–</w:t>
      </w:r>
      <w:r w:rsidRPr="001005B7">
        <w:t>36).</w:t>
      </w:r>
    </w:p>
    <w:p w14:paraId="33EA44EC" w14:textId="77777777" w:rsidR="00C61187" w:rsidRPr="001005B7" w:rsidRDefault="00C61187" w:rsidP="00C61187">
      <w:r w:rsidRPr="001005B7">
        <w:t xml:space="preserve">“Idolatry is a permanent fact of human history, and at a deeper level than </w:t>
      </w:r>
      <w:r w:rsidRPr="001005B7">
        <w:rPr>
          <w:rFonts w:cstheme="minorHAnsi"/>
        </w:rPr>
        <w:t>the homiletical cliché that we can “make an idol” of money or prestige or</w:t>
      </w:r>
      <w:r w:rsidRPr="001005B7">
        <w:t xml:space="preserve"> </w:t>
      </w:r>
      <w:r w:rsidRPr="001005B7">
        <w:rPr>
          <w:rFonts w:cstheme="minorHAnsi"/>
        </w:rPr>
        <w:t>whatever, though this is of course true” (</w:t>
      </w:r>
      <w:r w:rsidRPr="001005B7">
        <w:t>Jenson, 82).</w:t>
      </w:r>
    </w:p>
    <w:p w14:paraId="133D1155" w14:textId="49BA17ED" w:rsidR="00BD2FF9" w:rsidRPr="001005B7" w:rsidRDefault="00FB1B41" w:rsidP="00493833">
      <w:pPr>
        <w:pStyle w:val="Heading3"/>
      </w:pPr>
      <w:r w:rsidRPr="001005B7">
        <w:t xml:space="preserve">Selected </w:t>
      </w:r>
      <w:r w:rsidR="00BD2FF9" w:rsidRPr="001005B7">
        <w:t>Bibliography</w:t>
      </w:r>
    </w:p>
    <w:p w14:paraId="001FB139" w14:textId="4B062C28" w:rsidR="00837014" w:rsidRPr="001005B7" w:rsidRDefault="00BD2FF9" w:rsidP="006F5BB0">
      <w:pPr>
        <w:pStyle w:val="ListParagraph"/>
        <w:rPr>
          <w:color w:val="auto"/>
          <w:lang w:val="en-US"/>
        </w:rPr>
      </w:pPr>
      <w:r w:rsidRPr="001005B7">
        <w:rPr>
          <w:color w:val="auto"/>
          <w:lang w:val="en-US"/>
        </w:rPr>
        <w:t xml:space="preserve">Adam, Klaus-Peter. </w:t>
      </w:r>
      <w:r w:rsidR="009506CE" w:rsidRPr="001005B7">
        <w:rPr>
          <w:color w:val="auto"/>
          <w:lang w:val="en-US"/>
        </w:rPr>
        <w:t>“</w:t>
      </w:r>
      <w:proofErr w:type="spellStart"/>
      <w:r w:rsidR="009506CE" w:rsidRPr="001005B7">
        <w:rPr>
          <w:color w:val="auto"/>
          <w:lang w:val="en-US"/>
        </w:rPr>
        <w:t>Gillûlîm</w:t>
      </w:r>
      <w:proofErr w:type="spellEnd"/>
      <w:r w:rsidR="009506CE" w:rsidRPr="001005B7">
        <w:rPr>
          <w:color w:val="auto"/>
          <w:lang w:val="en-US"/>
        </w:rPr>
        <w:t xml:space="preserve">: Rollers, Scarabs, in Ezekiel.” </w:t>
      </w:r>
      <w:r w:rsidR="009506CE" w:rsidRPr="001005B7">
        <w:rPr>
          <w:i/>
          <w:color w:val="auto"/>
          <w:lang w:val="en-US"/>
        </w:rPr>
        <w:t>CBQ</w:t>
      </w:r>
      <w:r w:rsidR="009506CE" w:rsidRPr="001005B7">
        <w:rPr>
          <w:color w:val="auto"/>
          <w:lang w:val="en-US"/>
        </w:rPr>
        <w:t xml:space="preserve"> </w:t>
      </w:r>
      <w:r w:rsidR="00D167F9" w:rsidRPr="001005B7">
        <w:rPr>
          <w:color w:val="auto"/>
          <w:lang w:val="en-US"/>
        </w:rPr>
        <w:t>83 (2021): 220</w:t>
      </w:r>
      <w:r w:rsidR="00F46900" w:rsidRPr="001005B7">
        <w:rPr>
          <w:color w:val="auto"/>
          <w:lang w:val="en-US"/>
        </w:rPr>
        <w:t>–</w:t>
      </w:r>
      <w:r w:rsidR="00D76D99" w:rsidRPr="001005B7">
        <w:rPr>
          <w:color w:val="auto"/>
          <w:lang w:val="en-US"/>
        </w:rPr>
        <w:t xml:space="preserve">40. </w:t>
      </w:r>
    </w:p>
    <w:p w14:paraId="35DBA97B" w14:textId="77777777" w:rsidR="00A063A8" w:rsidRPr="001005B7" w:rsidRDefault="00A063A8" w:rsidP="00A063A8">
      <w:pPr>
        <w:pStyle w:val="ListParagraph"/>
        <w:rPr>
          <w:color w:val="auto"/>
          <w:lang w:val="en-US"/>
        </w:rPr>
      </w:pPr>
      <w:r w:rsidRPr="001005B7">
        <w:rPr>
          <w:color w:val="auto"/>
          <w:lang w:val="en-US"/>
        </w:rPr>
        <w:t xml:space="preserve">Compton, R. Andrew. “Deixis Variation as a Literary Device in Ezekiel: Utilizing an Oft Neglected Linguistic Feature in Exegesis.” </w:t>
      </w:r>
      <w:r w:rsidRPr="001005B7">
        <w:rPr>
          <w:i/>
          <w:color w:val="auto"/>
          <w:lang w:val="en-US"/>
        </w:rPr>
        <w:t>Mid-America Journal of Theology</w:t>
      </w:r>
      <w:r w:rsidRPr="001005B7">
        <w:rPr>
          <w:color w:val="auto"/>
          <w:lang w:val="en-US"/>
        </w:rPr>
        <w:t xml:space="preserve"> 28 (2017): 77–107.</w:t>
      </w:r>
    </w:p>
    <w:p w14:paraId="17811883" w14:textId="08D940DC" w:rsidR="00203172" w:rsidRPr="001005B7" w:rsidRDefault="00203172" w:rsidP="006F5BB0">
      <w:pPr>
        <w:pStyle w:val="ListParagraph"/>
        <w:rPr>
          <w:color w:val="auto"/>
          <w:lang w:val="en-US"/>
        </w:rPr>
      </w:pPr>
      <w:r w:rsidRPr="001005B7">
        <w:rPr>
          <w:color w:val="auto"/>
          <w:lang w:val="en-US"/>
        </w:rPr>
        <w:t xml:space="preserve">Ganzel, Tova. “Transformation of Pentateuchal Descriptions of Idolatry.” In </w:t>
      </w:r>
      <w:r w:rsidR="00C26093" w:rsidRPr="001005B7">
        <w:rPr>
          <w:color w:val="auto"/>
          <w:lang w:val="en-US"/>
        </w:rPr>
        <w:t xml:space="preserve">William A. </w:t>
      </w:r>
      <w:proofErr w:type="spellStart"/>
      <w:r w:rsidR="00C26093" w:rsidRPr="001005B7">
        <w:rPr>
          <w:color w:val="auto"/>
          <w:lang w:val="en-US"/>
        </w:rPr>
        <w:t>Tooman</w:t>
      </w:r>
      <w:proofErr w:type="spellEnd"/>
      <w:r w:rsidR="00C26093" w:rsidRPr="001005B7">
        <w:rPr>
          <w:color w:val="auto"/>
          <w:lang w:val="en-US"/>
        </w:rPr>
        <w:t xml:space="preserve"> and Michael A. Lyons, </w:t>
      </w:r>
      <w:r w:rsidR="00433613" w:rsidRPr="001005B7">
        <w:rPr>
          <w:color w:val="auto"/>
          <w:lang w:val="en-US"/>
        </w:rPr>
        <w:t>ed.,</w:t>
      </w:r>
      <w:r w:rsidR="004A77D5" w:rsidRPr="001005B7">
        <w:rPr>
          <w:color w:val="auto"/>
          <w:lang w:val="en-US"/>
        </w:rPr>
        <w:t xml:space="preserve"> </w:t>
      </w:r>
      <w:r w:rsidR="004A77D5" w:rsidRPr="001005B7">
        <w:rPr>
          <w:i/>
          <w:iCs/>
          <w:color w:val="auto"/>
          <w:lang w:val="en-US"/>
        </w:rPr>
        <w:t>Transforming Visions:</w:t>
      </w:r>
      <w:r w:rsidR="00433613" w:rsidRPr="001005B7">
        <w:rPr>
          <w:color w:val="auto"/>
          <w:lang w:val="en-US"/>
        </w:rPr>
        <w:t xml:space="preserve"> </w:t>
      </w:r>
      <w:r w:rsidR="00AF02E8" w:rsidRPr="001005B7">
        <w:rPr>
          <w:i/>
          <w:iCs/>
          <w:color w:val="auto"/>
          <w:lang w:val="en-US"/>
        </w:rPr>
        <w:t>Transformations of Text</w:t>
      </w:r>
      <w:r w:rsidR="004A77D5" w:rsidRPr="001005B7">
        <w:rPr>
          <w:i/>
          <w:iCs/>
          <w:color w:val="auto"/>
          <w:lang w:val="en-US"/>
        </w:rPr>
        <w:t>,</w:t>
      </w:r>
      <w:r w:rsidR="00AF02E8" w:rsidRPr="001005B7">
        <w:rPr>
          <w:i/>
          <w:iCs/>
          <w:color w:val="auto"/>
          <w:lang w:val="en-US"/>
        </w:rPr>
        <w:t xml:space="preserve"> Tradition and Theology in Ezekiel</w:t>
      </w:r>
      <w:r w:rsidR="00EB1407" w:rsidRPr="001005B7">
        <w:rPr>
          <w:color w:val="auto"/>
          <w:lang w:val="en-US"/>
        </w:rPr>
        <w:t xml:space="preserve">, </w:t>
      </w:r>
      <w:r w:rsidR="00F54A22" w:rsidRPr="001005B7">
        <w:rPr>
          <w:color w:val="auto"/>
          <w:lang w:val="en-US"/>
        </w:rPr>
        <w:t>33</w:t>
      </w:r>
      <w:r w:rsidR="00F46900" w:rsidRPr="001005B7">
        <w:rPr>
          <w:color w:val="auto"/>
          <w:lang w:val="en-US"/>
        </w:rPr>
        <w:t>–</w:t>
      </w:r>
      <w:r w:rsidR="00F54A22" w:rsidRPr="001005B7">
        <w:rPr>
          <w:color w:val="auto"/>
          <w:lang w:val="en-US"/>
        </w:rPr>
        <w:t>49. Cambridge: Clarke, 2010.</w:t>
      </w:r>
    </w:p>
    <w:p w14:paraId="37C6DF83" w14:textId="0D275A6C" w:rsidR="007043A2" w:rsidRPr="001005B7" w:rsidRDefault="00A25D1F" w:rsidP="006F5BB0">
      <w:pPr>
        <w:pStyle w:val="ListParagraph"/>
        <w:rPr>
          <w:color w:val="auto"/>
          <w:lang w:val="en-US"/>
        </w:rPr>
      </w:pPr>
      <w:r w:rsidRPr="001005B7">
        <w:rPr>
          <w:color w:val="auto"/>
          <w:lang w:val="en-US"/>
        </w:rPr>
        <w:t xml:space="preserve">Lust, J., K. Hauspie, and A. </w:t>
      </w:r>
      <w:proofErr w:type="spellStart"/>
      <w:r w:rsidRPr="001005B7">
        <w:rPr>
          <w:color w:val="auto"/>
          <w:lang w:val="en-US"/>
        </w:rPr>
        <w:t>Ternier</w:t>
      </w:r>
      <w:proofErr w:type="spellEnd"/>
      <w:r w:rsidRPr="001005B7">
        <w:rPr>
          <w:color w:val="auto"/>
          <w:lang w:val="en-US"/>
        </w:rPr>
        <w:t xml:space="preserve">. “Notes to the Septuagint: Ezekiel </w:t>
      </w:r>
      <w:r w:rsidR="00425D6F" w:rsidRPr="001005B7">
        <w:rPr>
          <w:color w:val="auto"/>
          <w:lang w:val="en-US"/>
        </w:rPr>
        <w:t>6</w:t>
      </w:r>
      <w:r w:rsidRPr="001005B7">
        <w:rPr>
          <w:color w:val="auto"/>
          <w:lang w:val="en-US"/>
        </w:rPr>
        <w:t xml:space="preserve">.” </w:t>
      </w:r>
      <w:r w:rsidRPr="001005B7">
        <w:rPr>
          <w:i/>
          <w:color w:val="auto"/>
          <w:lang w:val="en-US"/>
        </w:rPr>
        <w:t>ETL</w:t>
      </w:r>
      <w:r w:rsidRPr="001005B7">
        <w:rPr>
          <w:color w:val="auto"/>
          <w:lang w:val="en-US"/>
        </w:rPr>
        <w:t xml:space="preserve"> 7</w:t>
      </w:r>
      <w:r w:rsidR="00042DC5" w:rsidRPr="001005B7">
        <w:rPr>
          <w:color w:val="auto"/>
          <w:lang w:val="en-US"/>
        </w:rPr>
        <w:t>6 (2000):</w:t>
      </w:r>
      <w:r w:rsidR="00AB0684" w:rsidRPr="001005B7">
        <w:rPr>
          <w:color w:val="auto"/>
          <w:lang w:val="en-US"/>
        </w:rPr>
        <w:t xml:space="preserve"> </w:t>
      </w:r>
      <w:r w:rsidR="003135B5" w:rsidRPr="001005B7">
        <w:rPr>
          <w:color w:val="auto"/>
          <w:lang w:val="en-US"/>
        </w:rPr>
        <w:t>396</w:t>
      </w:r>
      <w:r w:rsidR="00F46900" w:rsidRPr="001005B7">
        <w:rPr>
          <w:color w:val="auto"/>
          <w:lang w:val="en-US"/>
        </w:rPr>
        <w:t>–</w:t>
      </w:r>
      <w:r w:rsidR="003135B5" w:rsidRPr="001005B7">
        <w:rPr>
          <w:color w:val="auto"/>
          <w:lang w:val="en-US"/>
        </w:rPr>
        <w:t>403.</w:t>
      </w:r>
    </w:p>
    <w:p w14:paraId="636A87F5" w14:textId="77777777" w:rsidR="00471E35" w:rsidRPr="001005B7" w:rsidRDefault="00681612" w:rsidP="006F5BB0">
      <w:pPr>
        <w:pStyle w:val="ListParagraph"/>
        <w:rPr>
          <w:color w:val="auto"/>
          <w:lang w:val="en-US"/>
        </w:rPr>
      </w:pPr>
      <w:r w:rsidRPr="001005B7">
        <w:rPr>
          <w:color w:val="auto"/>
          <w:lang w:val="en-US"/>
        </w:rPr>
        <w:t>Lyons, Michael A. </w:t>
      </w:r>
      <w:r w:rsidRPr="001005B7">
        <w:rPr>
          <w:i/>
          <w:iCs/>
          <w:color w:val="auto"/>
          <w:lang w:val="en-US"/>
        </w:rPr>
        <w:t>From Law to Prophecy: Ezekiel's Use of the Holiness Code</w:t>
      </w:r>
      <w:r w:rsidRPr="001005B7">
        <w:rPr>
          <w:color w:val="auto"/>
          <w:lang w:val="en-US"/>
        </w:rPr>
        <w:t>. LHBOTS 507. London: T&amp;T Clark, 2009.</w:t>
      </w:r>
    </w:p>
    <w:p w14:paraId="28B9AA77" w14:textId="4F64228E" w:rsidR="005778DA" w:rsidRPr="001005B7" w:rsidRDefault="005778DA" w:rsidP="005778DA">
      <w:pPr>
        <w:tabs>
          <w:tab w:val="left" w:pos="3328"/>
        </w:tabs>
        <w:spacing w:after="60" w:line="240" w:lineRule="auto"/>
        <w:ind w:left="567" w:hanging="567"/>
        <w:rPr>
          <w:rFonts w:ascii="Calibri" w:eastAsia="Times New Roman" w:hAnsi="Calibri" w:cs="Calibri"/>
          <w:lang w:eastAsia="en-GB"/>
        </w:rPr>
      </w:pPr>
      <w:proofErr w:type="spellStart"/>
      <w:r w:rsidRPr="001005B7">
        <w:rPr>
          <w:rFonts w:ascii="Calibri" w:eastAsia="Times New Roman" w:hAnsi="Calibri" w:cs="Calibri"/>
          <w:lang w:eastAsia="en-GB"/>
        </w:rPr>
        <w:t>Markter</w:t>
      </w:r>
      <w:proofErr w:type="spellEnd"/>
      <w:r w:rsidRPr="001005B7">
        <w:rPr>
          <w:rFonts w:ascii="Calibri" w:eastAsia="Times New Roman" w:hAnsi="Calibri" w:cs="Calibri"/>
          <w:lang w:eastAsia="en-GB"/>
        </w:rPr>
        <w:t xml:space="preserve">, Florian. </w:t>
      </w:r>
      <w:proofErr w:type="spellStart"/>
      <w:r w:rsidRPr="001005B7">
        <w:rPr>
          <w:rFonts w:ascii="Calibri" w:eastAsia="Times New Roman" w:hAnsi="Calibri" w:cs="Calibri"/>
          <w:i/>
          <w:iCs/>
          <w:lang w:eastAsia="en-GB"/>
        </w:rPr>
        <w:t>Transformationen</w:t>
      </w:r>
      <w:proofErr w:type="spellEnd"/>
      <w:r w:rsidRPr="001005B7">
        <w:rPr>
          <w:rFonts w:ascii="Calibri" w:eastAsia="Times New Roman" w:hAnsi="Calibri" w:cs="Calibri"/>
          <w:i/>
          <w:iCs/>
          <w:lang w:eastAsia="en-GB"/>
        </w:rPr>
        <w:t xml:space="preserve">: Zur Anthropologie des </w:t>
      </w:r>
      <w:proofErr w:type="spellStart"/>
      <w:r w:rsidRPr="001005B7">
        <w:rPr>
          <w:rFonts w:ascii="Calibri" w:eastAsia="Times New Roman" w:hAnsi="Calibri" w:cs="Calibri"/>
          <w:i/>
          <w:iCs/>
          <w:lang w:eastAsia="en-GB"/>
        </w:rPr>
        <w:t>Propheten</w:t>
      </w:r>
      <w:proofErr w:type="spellEnd"/>
      <w:r w:rsidRPr="001005B7">
        <w:rPr>
          <w:rFonts w:ascii="Calibri" w:eastAsia="Times New Roman" w:hAnsi="Calibri" w:cs="Calibri"/>
          <w:i/>
          <w:iCs/>
          <w:lang w:eastAsia="en-GB"/>
        </w:rPr>
        <w:t xml:space="preserve"> Ezechiel </w:t>
      </w:r>
      <w:proofErr w:type="spellStart"/>
      <w:r w:rsidRPr="001005B7">
        <w:rPr>
          <w:rFonts w:ascii="Calibri" w:eastAsia="Times New Roman" w:hAnsi="Calibri" w:cs="Calibri"/>
          <w:i/>
          <w:iCs/>
          <w:lang w:eastAsia="en-GB"/>
        </w:rPr>
        <w:t>unter</w:t>
      </w:r>
      <w:proofErr w:type="spellEnd"/>
      <w:r w:rsidRPr="001005B7">
        <w:rPr>
          <w:rFonts w:ascii="Calibri" w:eastAsia="Times New Roman" w:hAnsi="Calibri" w:cs="Calibri"/>
          <w:i/>
          <w:iCs/>
          <w:lang w:eastAsia="en-GB"/>
        </w:rPr>
        <w:t xml:space="preserve"> </w:t>
      </w:r>
      <w:proofErr w:type="spellStart"/>
      <w:r w:rsidRPr="001005B7">
        <w:rPr>
          <w:rFonts w:ascii="Calibri" w:eastAsia="Times New Roman" w:hAnsi="Calibri" w:cs="Calibri"/>
          <w:i/>
          <w:iCs/>
          <w:lang w:eastAsia="en-GB"/>
        </w:rPr>
        <w:t>besonderer</w:t>
      </w:r>
      <w:proofErr w:type="spellEnd"/>
      <w:r w:rsidRPr="001005B7">
        <w:rPr>
          <w:rFonts w:ascii="Calibri" w:eastAsia="Times New Roman" w:hAnsi="Calibri" w:cs="Calibri"/>
          <w:i/>
          <w:iCs/>
          <w:lang w:eastAsia="en-GB"/>
        </w:rPr>
        <w:t xml:space="preserve"> </w:t>
      </w:r>
      <w:proofErr w:type="spellStart"/>
      <w:r w:rsidRPr="001005B7">
        <w:rPr>
          <w:rFonts w:ascii="Calibri" w:eastAsia="Times New Roman" w:hAnsi="Calibri" w:cs="Calibri"/>
          <w:i/>
          <w:iCs/>
          <w:lang w:eastAsia="en-GB"/>
        </w:rPr>
        <w:t>Berücksichtigung</w:t>
      </w:r>
      <w:proofErr w:type="spellEnd"/>
      <w:r w:rsidRPr="001005B7">
        <w:rPr>
          <w:rFonts w:ascii="Calibri" w:eastAsia="Times New Roman" w:hAnsi="Calibri" w:cs="Calibri"/>
          <w:i/>
          <w:iCs/>
          <w:lang w:eastAsia="en-GB"/>
        </w:rPr>
        <w:t xml:space="preserve"> des </w:t>
      </w:r>
      <w:proofErr w:type="spellStart"/>
      <w:r w:rsidRPr="001005B7">
        <w:rPr>
          <w:rFonts w:ascii="Calibri" w:eastAsia="Times New Roman" w:hAnsi="Calibri" w:cs="Calibri"/>
          <w:i/>
          <w:iCs/>
          <w:lang w:eastAsia="en-GB"/>
        </w:rPr>
        <w:t>Motivs</w:t>
      </w:r>
      <w:proofErr w:type="spellEnd"/>
      <w:r w:rsidRPr="001005B7">
        <w:rPr>
          <w:rFonts w:ascii="Calibri" w:eastAsia="Times New Roman" w:hAnsi="Calibri" w:cs="Calibri"/>
          <w:i/>
          <w:iCs/>
          <w:lang w:eastAsia="en-GB"/>
        </w:rPr>
        <w:t xml:space="preserve"> "</w:t>
      </w:r>
      <w:proofErr w:type="spellStart"/>
      <w:r w:rsidRPr="001005B7">
        <w:rPr>
          <w:rFonts w:ascii="Calibri" w:eastAsia="Times New Roman" w:hAnsi="Calibri" w:cs="Calibri"/>
          <w:i/>
          <w:iCs/>
          <w:lang w:eastAsia="en-GB"/>
        </w:rPr>
        <w:t>Herz</w:t>
      </w:r>
      <w:proofErr w:type="spellEnd"/>
      <w:r w:rsidRPr="001005B7">
        <w:rPr>
          <w:rFonts w:ascii="Calibri" w:eastAsia="Times New Roman" w:hAnsi="Calibri" w:cs="Calibri"/>
          <w:i/>
          <w:iCs/>
          <w:lang w:eastAsia="en-GB"/>
        </w:rPr>
        <w:t>."</w:t>
      </w:r>
      <w:r w:rsidRPr="001005B7">
        <w:rPr>
          <w:rFonts w:ascii="Calibri" w:eastAsia="Times New Roman" w:hAnsi="Calibri" w:cs="Calibri"/>
          <w:lang w:eastAsia="en-GB"/>
        </w:rPr>
        <w:t> </w:t>
      </w:r>
      <w:r w:rsidR="000960B0" w:rsidRPr="001005B7">
        <w:rPr>
          <w:rFonts w:ascii="Calibri" w:eastAsia="Times New Roman" w:hAnsi="Calibri" w:cs="Calibri"/>
          <w:lang w:eastAsia="en-GB"/>
        </w:rPr>
        <w:t xml:space="preserve">Würzburg: </w:t>
      </w:r>
      <w:proofErr w:type="spellStart"/>
      <w:r w:rsidR="000960B0" w:rsidRPr="001005B7">
        <w:rPr>
          <w:rFonts w:ascii="Calibri" w:eastAsia="Times New Roman" w:hAnsi="Calibri" w:cs="Calibri"/>
          <w:lang w:eastAsia="en-GB"/>
        </w:rPr>
        <w:t>Echter</w:t>
      </w:r>
      <w:proofErr w:type="spellEnd"/>
      <w:r w:rsidR="000960B0" w:rsidRPr="001005B7">
        <w:rPr>
          <w:rFonts w:ascii="Calibri" w:eastAsia="Times New Roman" w:hAnsi="Calibri" w:cs="Calibri"/>
          <w:lang w:eastAsia="en-GB"/>
        </w:rPr>
        <w:t>, 2013.</w:t>
      </w:r>
    </w:p>
    <w:p w14:paraId="64841A34" w14:textId="43F76DE5" w:rsidR="00506AD2" w:rsidRPr="001005B7" w:rsidRDefault="00A54C2D" w:rsidP="006F5BB0">
      <w:pPr>
        <w:pStyle w:val="ListParagraph"/>
        <w:rPr>
          <w:color w:val="auto"/>
          <w:lang w:val="en-US"/>
        </w:rPr>
      </w:pPr>
      <w:proofErr w:type="spellStart"/>
      <w:r w:rsidRPr="001005B7">
        <w:rPr>
          <w:color w:val="auto"/>
          <w:lang w:val="en-US"/>
        </w:rPr>
        <w:t>Mushayabasa</w:t>
      </w:r>
      <w:proofErr w:type="spellEnd"/>
      <w:r w:rsidRPr="001005B7">
        <w:rPr>
          <w:color w:val="auto"/>
          <w:lang w:val="en-US"/>
        </w:rPr>
        <w:t xml:space="preserve">, </w:t>
      </w:r>
      <w:r w:rsidR="00A32DF3" w:rsidRPr="001005B7">
        <w:rPr>
          <w:color w:val="auto"/>
          <w:lang w:val="en-US"/>
        </w:rPr>
        <w:t>Godwin.</w:t>
      </w:r>
      <w:r w:rsidR="00A05808" w:rsidRPr="001005B7">
        <w:rPr>
          <w:color w:val="auto"/>
          <w:lang w:val="en-US"/>
        </w:rPr>
        <w:t xml:space="preserve"> “</w:t>
      </w:r>
      <w:r w:rsidR="006575E7" w:rsidRPr="001005B7">
        <w:rPr>
          <w:i/>
          <w:color w:val="auto"/>
          <w:rtl/>
          <w:lang w:val="en-US" w:bidi="he-IL"/>
        </w:rPr>
        <w:t>שׁמם</w:t>
      </w:r>
      <w:r w:rsidR="0080073D" w:rsidRPr="001005B7">
        <w:rPr>
          <w:color w:val="auto"/>
          <w:lang w:val="en-US"/>
        </w:rPr>
        <w:t xml:space="preserve"> or</w:t>
      </w:r>
      <w:r w:rsidR="006575E7" w:rsidRPr="001005B7">
        <w:rPr>
          <w:color w:val="auto"/>
          <w:lang w:val="en-US"/>
        </w:rPr>
        <w:t xml:space="preserve"> </w:t>
      </w:r>
      <w:r w:rsidR="006575E7" w:rsidRPr="001005B7">
        <w:rPr>
          <w:color w:val="auto"/>
          <w:rtl/>
          <w:lang w:val="en-US" w:bidi="he-IL"/>
        </w:rPr>
        <w:t>שׁ</w:t>
      </w:r>
      <w:r w:rsidR="00E93713" w:rsidRPr="001005B7">
        <w:rPr>
          <w:color w:val="auto"/>
          <w:rtl/>
          <w:lang w:val="en-US" w:bidi="he-IL"/>
        </w:rPr>
        <w:t>בר</w:t>
      </w:r>
      <w:r w:rsidR="0080073D" w:rsidRPr="001005B7">
        <w:rPr>
          <w:color w:val="auto"/>
          <w:lang w:val="en-US"/>
        </w:rPr>
        <w:t>:</w:t>
      </w:r>
      <w:r w:rsidR="00A05808" w:rsidRPr="001005B7">
        <w:rPr>
          <w:color w:val="auto"/>
          <w:lang w:val="en-US"/>
        </w:rPr>
        <w:t xml:space="preserve"> Revisiting the Text-critical </w:t>
      </w:r>
      <w:r w:rsidR="00D32EA9" w:rsidRPr="001005B7">
        <w:rPr>
          <w:color w:val="auto"/>
          <w:lang w:val="en-US"/>
        </w:rPr>
        <w:t>N</w:t>
      </w:r>
      <w:r w:rsidR="00A05808" w:rsidRPr="001005B7">
        <w:rPr>
          <w:color w:val="auto"/>
          <w:lang w:val="en-US"/>
        </w:rPr>
        <w:t>ote in Ezek 6:4a in the Light of Current Views on the Text of Ezekiel</w:t>
      </w:r>
      <w:r w:rsidR="00D32EA9" w:rsidRPr="001005B7">
        <w:rPr>
          <w:color w:val="auto"/>
          <w:lang w:val="en-US"/>
        </w:rPr>
        <w:t>.</w:t>
      </w:r>
      <w:r w:rsidR="00FE5810" w:rsidRPr="001005B7">
        <w:rPr>
          <w:color w:val="auto"/>
          <w:lang w:val="en-US"/>
        </w:rPr>
        <w:t>”</w:t>
      </w:r>
      <w:r w:rsidR="00D32EA9" w:rsidRPr="001005B7">
        <w:rPr>
          <w:color w:val="auto"/>
          <w:lang w:val="en-US"/>
        </w:rPr>
        <w:t xml:space="preserve"> </w:t>
      </w:r>
      <w:r w:rsidR="00CD2DE0" w:rsidRPr="001005B7">
        <w:rPr>
          <w:i/>
          <w:color w:val="auto"/>
          <w:lang w:val="en-US"/>
        </w:rPr>
        <w:t>Journal of Northwest Semitic Languages</w:t>
      </w:r>
      <w:r w:rsidR="00D32EA9" w:rsidRPr="001005B7">
        <w:rPr>
          <w:color w:val="auto"/>
          <w:lang w:val="en-US"/>
        </w:rPr>
        <w:t xml:space="preserve"> </w:t>
      </w:r>
      <w:r w:rsidR="00324323" w:rsidRPr="001005B7">
        <w:rPr>
          <w:color w:val="auto"/>
          <w:lang w:val="en-US"/>
        </w:rPr>
        <w:t xml:space="preserve">41 (2015): </w:t>
      </w:r>
      <w:r w:rsidR="00E72031" w:rsidRPr="001005B7">
        <w:rPr>
          <w:color w:val="auto"/>
          <w:lang w:val="en-US"/>
        </w:rPr>
        <w:t>57</w:t>
      </w:r>
      <w:r w:rsidR="00F46900" w:rsidRPr="001005B7">
        <w:rPr>
          <w:color w:val="auto"/>
          <w:lang w:val="en-US"/>
        </w:rPr>
        <w:t>–</w:t>
      </w:r>
      <w:r w:rsidR="00E72031" w:rsidRPr="001005B7">
        <w:rPr>
          <w:color w:val="auto"/>
          <w:lang w:val="en-US"/>
        </w:rPr>
        <w:t>67.</w:t>
      </w:r>
    </w:p>
    <w:p w14:paraId="333D633F" w14:textId="604B0B1B" w:rsidR="003301D9" w:rsidRPr="001005B7" w:rsidRDefault="007043A2" w:rsidP="006F5BB0">
      <w:pPr>
        <w:pStyle w:val="ListParagraph"/>
        <w:rPr>
          <w:color w:val="auto"/>
          <w:lang w:val="en-US"/>
        </w:rPr>
      </w:pPr>
      <w:r w:rsidRPr="001005B7">
        <w:rPr>
          <w:i/>
          <w:iCs/>
          <w:color w:val="auto"/>
          <w:lang w:val="en-US"/>
        </w:rPr>
        <w:t xml:space="preserve">––– </w:t>
      </w:r>
      <w:r w:rsidR="00A54C2D" w:rsidRPr="001005B7">
        <w:rPr>
          <w:color w:val="auto"/>
          <w:lang w:val="en-US"/>
        </w:rPr>
        <w:t>“Shorter or Longer Text</w:t>
      </w:r>
      <w:r w:rsidR="00A32DF3" w:rsidRPr="001005B7">
        <w:rPr>
          <w:color w:val="auto"/>
          <w:lang w:val="en-US"/>
        </w:rPr>
        <w:t xml:space="preserve"> in Ezekiel 6: The Role of Genre.” </w:t>
      </w:r>
      <w:r w:rsidR="009C2804" w:rsidRPr="001005B7">
        <w:rPr>
          <w:i/>
          <w:color w:val="auto"/>
          <w:lang w:val="en-US"/>
        </w:rPr>
        <w:t xml:space="preserve">HTS </w:t>
      </w:r>
      <w:r w:rsidR="009C2804" w:rsidRPr="001005B7">
        <w:rPr>
          <w:color w:val="auto"/>
          <w:lang w:val="en-US"/>
        </w:rPr>
        <w:t>70</w:t>
      </w:r>
      <w:r w:rsidR="003F3FE5" w:rsidRPr="001005B7">
        <w:rPr>
          <w:color w:val="auto"/>
          <w:lang w:val="en-US"/>
        </w:rPr>
        <w:t>/</w:t>
      </w:r>
      <w:r w:rsidR="009C2804" w:rsidRPr="001005B7">
        <w:rPr>
          <w:color w:val="auto"/>
          <w:lang w:val="en-US"/>
        </w:rPr>
        <w:t>3</w:t>
      </w:r>
      <w:r w:rsidR="003F3FE5" w:rsidRPr="001005B7">
        <w:rPr>
          <w:color w:val="auto"/>
          <w:lang w:val="en-US"/>
        </w:rPr>
        <w:t xml:space="preserve"> (2014).</w:t>
      </w:r>
    </w:p>
    <w:p w14:paraId="2A1FFE69" w14:textId="577876C4" w:rsidR="003301D9" w:rsidRPr="001005B7" w:rsidRDefault="00870C55" w:rsidP="003062B5">
      <w:pPr>
        <w:pStyle w:val="Heading2"/>
        <w:rPr>
          <w:color w:val="auto"/>
        </w:rPr>
      </w:pPr>
      <w:r w:rsidRPr="001005B7">
        <w:rPr>
          <w:color w:val="auto"/>
        </w:rPr>
        <w:t>Yahweh Declares that t</w:t>
      </w:r>
      <w:r w:rsidR="00A23F59" w:rsidRPr="001005B7">
        <w:rPr>
          <w:color w:val="auto"/>
        </w:rPr>
        <w:t xml:space="preserve">he End Is </w:t>
      </w:r>
      <w:r w:rsidRPr="001005B7">
        <w:rPr>
          <w:color w:val="auto"/>
        </w:rPr>
        <w:t>Here</w:t>
      </w:r>
      <w:r w:rsidR="00A23F59" w:rsidRPr="001005B7">
        <w:rPr>
          <w:color w:val="auto"/>
        </w:rPr>
        <w:t xml:space="preserve"> </w:t>
      </w:r>
      <w:r w:rsidR="00662A21" w:rsidRPr="001005B7">
        <w:rPr>
          <w:color w:val="auto"/>
        </w:rPr>
        <w:t>(7:1</w:t>
      </w:r>
      <w:r w:rsidR="00F46900" w:rsidRPr="001005B7">
        <w:rPr>
          <w:color w:val="auto"/>
        </w:rPr>
        <w:t>–</w:t>
      </w:r>
      <w:r w:rsidR="00E83C30" w:rsidRPr="001005B7">
        <w:rPr>
          <w:color w:val="auto"/>
        </w:rPr>
        <w:t>27)</w:t>
      </w:r>
    </w:p>
    <w:p w14:paraId="26B8DB37" w14:textId="470C2BD7" w:rsidR="00E83C30" w:rsidRPr="001005B7" w:rsidRDefault="00E83C30" w:rsidP="00493833">
      <w:pPr>
        <w:pStyle w:val="Heading3"/>
      </w:pPr>
      <w:r w:rsidRPr="001005B7">
        <w:t>Outline</w:t>
      </w:r>
    </w:p>
    <w:p w14:paraId="480D9992" w14:textId="39AC5992" w:rsidR="0084435B" w:rsidRPr="001005B7" w:rsidRDefault="00C47AC7" w:rsidP="002709D8">
      <w:r w:rsidRPr="001005B7">
        <w:t>“An end—the end is coming!”</w:t>
      </w:r>
      <w:r w:rsidR="006F1CE7">
        <w:t xml:space="preserve"> </w:t>
      </w:r>
      <w:r w:rsidR="00692AB4" w:rsidRPr="001005B7">
        <w:t xml:space="preserve">Ezek </w:t>
      </w:r>
      <w:r w:rsidR="00276751" w:rsidRPr="001005B7">
        <w:t xml:space="preserve">7 </w:t>
      </w:r>
      <w:r w:rsidR="00692AB4" w:rsidRPr="001005B7">
        <w:t>pairs with Ezek 1 in being</w:t>
      </w:r>
      <w:r w:rsidR="00E777DC" w:rsidRPr="001005B7">
        <w:t xml:space="preserve"> </w:t>
      </w:r>
      <w:r w:rsidR="007E01F2" w:rsidRPr="001005B7">
        <w:t xml:space="preserve">vivid, concrete, </w:t>
      </w:r>
      <w:r w:rsidR="00A33D51" w:rsidRPr="001005B7">
        <w:t>stimulating, thought-provoking,</w:t>
      </w:r>
      <w:r w:rsidR="007E01F2" w:rsidRPr="001005B7">
        <w:t xml:space="preserve"> puzzling in many of its details, </w:t>
      </w:r>
      <w:r w:rsidR="002709D8" w:rsidRPr="001005B7">
        <w:t xml:space="preserve">challenging in it use of rare words, </w:t>
      </w:r>
      <w:r w:rsidR="007E01F2" w:rsidRPr="001005B7">
        <w:t>hapaxes</w:t>
      </w:r>
      <w:r w:rsidR="00E91992">
        <w:t>*</w:t>
      </w:r>
      <w:r w:rsidR="00B472FA" w:rsidRPr="001005B7">
        <w:t xml:space="preserve"> and other </w:t>
      </w:r>
      <w:r w:rsidR="00E24247" w:rsidRPr="001005B7">
        <w:t>conun</w:t>
      </w:r>
      <w:r w:rsidR="009857EB" w:rsidRPr="001005B7">
        <w:t>d</w:t>
      </w:r>
      <w:r w:rsidR="00E24247" w:rsidRPr="001005B7">
        <w:t>rums in the meaning of words and phrases</w:t>
      </w:r>
      <w:r w:rsidR="009857EB" w:rsidRPr="001005B7">
        <w:t>,</w:t>
      </w:r>
      <w:r w:rsidR="00B472FA" w:rsidRPr="001005B7">
        <w:t xml:space="preserve"> </w:t>
      </w:r>
      <w:r w:rsidR="00371967" w:rsidRPr="001005B7">
        <w:t>jerky and lurching (Block, 1:241) in its use of gender, person, and number,</w:t>
      </w:r>
      <w:r w:rsidR="00E7533C">
        <w:t xml:space="preserve"> and</w:t>
      </w:r>
      <w:r w:rsidR="00E469F8">
        <w:t xml:space="preserve"> </w:t>
      </w:r>
      <w:r w:rsidR="00371967" w:rsidRPr="001005B7">
        <w:t>repetitive</w:t>
      </w:r>
      <w:r w:rsidR="009D159D">
        <w:t>.</w:t>
      </w:r>
      <w:r w:rsidR="00601E02" w:rsidRPr="001005B7">
        <w:t xml:space="preserve"> In these respec</w:t>
      </w:r>
      <w:r w:rsidR="00B472FA" w:rsidRPr="001005B7">
        <w:t>t</w:t>
      </w:r>
      <w:r w:rsidR="00601E02" w:rsidRPr="001005B7">
        <w:t xml:space="preserve">s both chapters contrast with the </w:t>
      </w:r>
      <w:r w:rsidR="009D159D">
        <w:t>ones</w:t>
      </w:r>
      <w:r w:rsidR="00601E02" w:rsidRPr="001005B7">
        <w:t xml:space="preserve"> in between and constitute a frame around them</w:t>
      </w:r>
      <w:r w:rsidR="00E114EC" w:rsidRPr="001005B7">
        <w:t>, a significance</w:t>
      </w:r>
      <w:r w:rsidR="00CC2012" w:rsidRPr="001005B7">
        <w:t xml:space="preserve"> corroborated</w:t>
      </w:r>
      <w:r w:rsidR="00E114EC" w:rsidRPr="001005B7">
        <w:t xml:space="preserve"> </w:t>
      </w:r>
      <w:r w:rsidR="00216A05" w:rsidRPr="001005B7">
        <w:t>by the</w:t>
      </w:r>
      <w:r w:rsidR="00E23D50" w:rsidRPr="001005B7">
        <w:t xml:space="preserve"> chronological note</w:t>
      </w:r>
      <w:r w:rsidR="00C04960" w:rsidRPr="001005B7">
        <w:t xml:space="preserve"> in 8:1</w:t>
      </w:r>
      <w:r w:rsidR="00E23D50" w:rsidRPr="001005B7">
        <w:t xml:space="preserve"> </w:t>
      </w:r>
      <w:r w:rsidR="00C04960" w:rsidRPr="001005B7">
        <w:t>(the first date since 1:1</w:t>
      </w:r>
      <w:r w:rsidR="00F46900" w:rsidRPr="001005B7">
        <w:t>–</w:t>
      </w:r>
      <w:r w:rsidR="00C04960" w:rsidRPr="001005B7">
        <w:t>3)</w:t>
      </w:r>
      <w:r w:rsidR="00E23D50" w:rsidRPr="001005B7">
        <w:t xml:space="preserve"> </w:t>
      </w:r>
      <w:r w:rsidR="00216A05" w:rsidRPr="001005B7">
        <w:t xml:space="preserve">that </w:t>
      </w:r>
      <w:r w:rsidR="00E23D50" w:rsidRPr="001005B7">
        <w:t xml:space="preserve">marks </w:t>
      </w:r>
      <w:r w:rsidR="00C04960" w:rsidRPr="001005B7">
        <w:t>a new</w:t>
      </w:r>
      <w:r w:rsidR="00E23D50" w:rsidRPr="001005B7">
        <w:t xml:space="preserve"> beginning</w:t>
      </w:r>
      <w:r w:rsidR="00C04960" w:rsidRPr="001005B7">
        <w:t>.</w:t>
      </w:r>
      <w:r w:rsidR="00E23D50" w:rsidRPr="001005B7">
        <w:t xml:space="preserve"> </w:t>
      </w:r>
      <w:r w:rsidR="0084435B" w:rsidRPr="001005B7">
        <w:t xml:space="preserve">Other </w:t>
      </w:r>
      <w:r w:rsidR="00791F5C" w:rsidRPr="001005B7">
        <w:t xml:space="preserve">innovative </w:t>
      </w:r>
      <w:r w:rsidR="0084435B" w:rsidRPr="001005B7">
        <w:t>expression</w:t>
      </w:r>
      <w:r w:rsidR="000C63CF">
        <w:t>s</w:t>
      </w:r>
      <w:r w:rsidR="0084435B" w:rsidRPr="001005B7">
        <w:t xml:space="preserve"> in this chapter combine with </w:t>
      </w:r>
      <w:r w:rsidR="00B92EAF" w:rsidRPr="001005B7">
        <w:t>the</w:t>
      </w:r>
      <w:r w:rsidR="0084435B" w:rsidRPr="001005B7">
        <w:t xml:space="preserve"> jerkiness t</w:t>
      </w:r>
      <w:r w:rsidR="00B92EAF" w:rsidRPr="001005B7">
        <w:t>o</w:t>
      </w:r>
      <w:r w:rsidR="0084435B" w:rsidRPr="001005B7">
        <w:t xml:space="preserve"> make for more uncertainty about understanding some individual words and phrases than has been</w:t>
      </w:r>
      <w:r w:rsidR="00B92EAF" w:rsidRPr="001005B7">
        <w:t xml:space="preserve"> characteristic of</w:t>
      </w:r>
      <w:r w:rsidR="0084435B" w:rsidRPr="001005B7">
        <w:t xml:space="preserve"> chapters 2</w:t>
      </w:r>
      <w:r w:rsidR="00F46900" w:rsidRPr="001005B7">
        <w:t>–</w:t>
      </w:r>
      <w:r w:rsidR="0084435B" w:rsidRPr="001005B7">
        <w:t>6.</w:t>
      </w:r>
    </w:p>
    <w:p w14:paraId="13355497" w14:textId="3AE845A0" w:rsidR="000C2E4F" w:rsidRPr="001005B7" w:rsidRDefault="00963B52" w:rsidP="000C2E4F">
      <w:pPr>
        <w:rPr>
          <w:rFonts w:ascii="Calibri" w:hAnsi="Calibri" w:cs="Calibri"/>
        </w:rPr>
      </w:pPr>
      <w:r w:rsidRPr="001005B7">
        <w:t>Alongside th</w:t>
      </w:r>
      <w:r w:rsidR="00652CAA" w:rsidRPr="001005B7">
        <w:t>e similarities and complementarity of</w:t>
      </w:r>
      <w:r w:rsidR="00BC789C" w:rsidRPr="001005B7">
        <w:t xml:space="preserve"> Ezek 1 and 7</w:t>
      </w:r>
      <w:r w:rsidR="00652CAA" w:rsidRPr="001005B7">
        <w:t xml:space="preserve"> </w:t>
      </w:r>
      <w:r w:rsidR="001957EB" w:rsidRPr="001005B7">
        <w:t>a</w:t>
      </w:r>
      <w:r w:rsidRPr="001005B7">
        <w:t>re differences</w:t>
      </w:r>
      <w:r w:rsidR="00995F47" w:rsidRPr="001005B7">
        <w:t xml:space="preserve">. </w:t>
      </w:r>
      <w:r w:rsidR="00463169" w:rsidRPr="001005B7">
        <w:t xml:space="preserve">Ezek 1 is </w:t>
      </w:r>
      <w:r w:rsidR="00B66AA3" w:rsidRPr="001005B7">
        <w:t xml:space="preserve">rhythmic, full of imagery, and </w:t>
      </w:r>
      <w:r w:rsidR="00A06B83" w:rsidRPr="001005B7">
        <w:t>characterized by parallelism,</w:t>
      </w:r>
      <w:r w:rsidR="00AC29D3">
        <w:t>*</w:t>
      </w:r>
      <w:r w:rsidR="00A06B83" w:rsidRPr="001005B7">
        <w:t xml:space="preserve"> but it cannot</w:t>
      </w:r>
      <w:r w:rsidR="000547A4" w:rsidRPr="001005B7">
        <w:t xml:space="preserve"> be laid out as poetry</w:t>
      </w:r>
      <w:r w:rsidR="00C768EA" w:rsidRPr="001005B7">
        <w:t>. W</w:t>
      </w:r>
      <w:r w:rsidR="00992557" w:rsidRPr="001005B7">
        <w:t xml:space="preserve">hile </w:t>
      </w:r>
      <w:r w:rsidR="008D2A2B" w:rsidRPr="001005B7">
        <w:t xml:space="preserve">Ezek 7 </w:t>
      </w:r>
      <w:r w:rsidR="005D3ADF" w:rsidRPr="001005B7">
        <w:t>is</w:t>
      </w:r>
      <w:r w:rsidR="001464D4" w:rsidRPr="001005B7">
        <w:t xml:space="preserve"> not as tightly poetic as some later chapters in </w:t>
      </w:r>
      <w:r w:rsidR="00912A23" w:rsidRPr="001005B7">
        <w:t>Ezekiel</w:t>
      </w:r>
      <w:r w:rsidR="001464D4" w:rsidRPr="001005B7">
        <w:t xml:space="preserve"> and it has some prose features</w:t>
      </w:r>
      <w:r w:rsidR="00912A23" w:rsidRPr="001005B7">
        <w:t xml:space="preserve">, </w:t>
      </w:r>
      <w:r w:rsidR="00B81D2B" w:rsidRPr="001005B7">
        <w:t>it is</w:t>
      </w:r>
      <w:r w:rsidR="00993C49" w:rsidRPr="001005B7">
        <w:rPr>
          <w:rFonts w:ascii="Roboto" w:eastAsia="Times New Roman" w:hAnsi="Roboto" w:cs="Times New Roman"/>
          <w:sz w:val="21"/>
          <w:szCs w:val="21"/>
          <w:lang w:eastAsia="en-GB"/>
        </w:rPr>
        <w:t xml:space="preserve"> full of </w:t>
      </w:r>
      <w:r w:rsidR="00B81D2B" w:rsidRPr="001005B7">
        <w:rPr>
          <w:rFonts w:ascii="Roboto" w:eastAsia="Times New Roman" w:hAnsi="Roboto" w:cs="Times New Roman"/>
          <w:sz w:val="21"/>
          <w:szCs w:val="21"/>
          <w:lang w:eastAsia="en-GB"/>
        </w:rPr>
        <w:t>“</w:t>
      </w:r>
      <w:r w:rsidR="00822E6D" w:rsidRPr="001005B7">
        <w:rPr>
          <w:rFonts w:ascii="Roboto" w:eastAsia="Times New Roman" w:hAnsi="Roboto" w:cs="Times New Roman"/>
          <w:sz w:val="21"/>
          <w:szCs w:val="21"/>
          <w:lang w:eastAsia="en-GB"/>
        </w:rPr>
        <w:t>d</w:t>
      </w:r>
      <w:r w:rsidR="00993C49" w:rsidRPr="001005B7">
        <w:rPr>
          <w:rFonts w:ascii="Roboto" w:eastAsia="Times New Roman" w:hAnsi="Roboto" w:cs="Times New Roman"/>
          <w:sz w:val="21"/>
          <w:szCs w:val="21"/>
          <w:lang w:eastAsia="en-GB"/>
        </w:rPr>
        <w:t xml:space="preserve">ivine </w:t>
      </w:r>
      <w:r w:rsidR="00822E6D" w:rsidRPr="001005B7">
        <w:rPr>
          <w:rFonts w:ascii="Roboto" w:eastAsia="Times New Roman" w:hAnsi="Roboto" w:cs="Times New Roman"/>
          <w:sz w:val="21"/>
          <w:szCs w:val="21"/>
          <w:lang w:eastAsia="en-GB"/>
        </w:rPr>
        <w:t>r</w:t>
      </w:r>
      <w:r w:rsidR="00993C49" w:rsidRPr="001005B7">
        <w:rPr>
          <w:rFonts w:ascii="Roboto" w:eastAsia="Times New Roman" w:hAnsi="Roboto" w:cs="Times New Roman"/>
          <w:sz w:val="21"/>
          <w:szCs w:val="21"/>
          <w:lang w:eastAsia="en-GB"/>
        </w:rPr>
        <w:t xml:space="preserve">hetoric, </w:t>
      </w:r>
      <w:r w:rsidR="00822E6D" w:rsidRPr="001005B7">
        <w:rPr>
          <w:rFonts w:ascii="Roboto" w:eastAsia="Times New Roman" w:hAnsi="Roboto" w:cs="Times New Roman"/>
          <w:sz w:val="21"/>
          <w:szCs w:val="21"/>
          <w:lang w:eastAsia="en-GB"/>
        </w:rPr>
        <w:t>a</w:t>
      </w:r>
      <w:r w:rsidR="00993C49" w:rsidRPr="001005B7">
        <w:rPr>
          <w:rFonts w:ascii="Roboto" w:eastAsia="Times New Roman" w:hAnsi="Roboto" w:cs="Times New Roman"/>
          <w:sz w:val="21"/>
          <w:szCs w:val="21"/>
          <w:lang w:eastAsia="en-GB"/>
        </w:rPr>
        <w:t xml:space="preserve">syndeton, </w:t>
      </w:r>
      <w:r w:rsidR="00822E6D" w:rsidRPr="001005B7">
        <w:rPr>
          <w:rFonts w:ascii="Roboto" w:eastAsia="Times New Roman" w:hAnsi="Roboto" w:cs="Times New Roman"/>
          <w:sz w:val="21"/>
          <w:szCs w:val="21"/>
          <w:lang w:eastAsia="en-GB"/>
        </w:rPr>
        <w:t>a</w:t>
      </w:r>
      <w:r w:rsidR="00993C49" w:rsidRPr="001005B7">
        <w:rPr>
          <w:rFonts w:ascii="Roboto" w:eastAsia="Times New Roman" w:hAnsi="Roboto" w:cs="Times New Roman"/>
          <w:sz w:val="21"/>
          <w:szCs w:val="21"/>
          <w:lang w:eastAsia="en-GB"/>
        </w:rPr>
        <w:t xml:space="preserve">nadiplosis, </w:t>
      </w:r>
      <w:r w:rsidR="00822E6D" w:rsidRPr="001005B7">
        <w:rPr>
          <w:rFonts w:ascii="Roboto" w:eastAsia="Times New Roman" w:hAnsi="Roboto" w:cs="Times New Roman"/>
          <w:sz w:val="21"/>
          <w:szCs w:val="21"/>
          <w:lang w:eastAsia="en-GB"/>
        </w:rPr>
        <w:t>e</w:t>
      </w:r>
      <w:r w:rsidR="00993C49" w:rsidRPr="001005B7">
        <w:rPr>
          <w:rFonts w:ascii="Roboto" w:eastAsia="Times New Roman" w:hAnsi="Roboto" w:cs="Times New Roman"/>
          <w:sz w:val="21"/>
          <w:szCs w:val="21"/>
          <w:lang w:eastAsia="en-GB"/>
        </w:rPr>
        <w:t xml:space="preserve">panalepsis, </w:t>
      </w:r>
      <w:r w:rsidR="00822E6D" w:rsidRPr="001005B7">
        <w:rPr>
          <w:rFonts w:ascii="Roboto" w:eastAsia="Times New Roman" w:hAnsi="Roboto" w:cs="Times New Roman"/>
          <w:sz w:val="21"/>
          <w:szCs w:val="21"/>
          <w:lang w:eastAsia="en-GB"/>
        </w:rPr>
        <w:t>m</w:t>
      </w:r>
      <w:r w:rsidR="00993C49" w:rsidRPr="001005B7">
        <w:rPr>
          <w:rFonts w:ascii="Roboto" w:eastAsia="Times New Roman" w:hAnsi="Roboto" w:cs="Times New Roman"/>
          <w:sz w:val="21"/>
          <w:szCs w:val="21"/>
          <w:lang w:eastAsia="en-GB"/>
        </w:rPr>
        <w:t xml:space="preserve">etaphors, </w:t>
      </w:r>
      <w:r w:rsidR="00822E6D" w:rsidRPr="001005B7">
        <w:rPr>
          <w:rFonts w:ascii="Roboto" w:eastAsia="Times New Roman" w:hAnsi="Roboto" w:cs="Times New Roman"/>
          <w:sz w:val="21"/>
          <w:szCs w:val="21"/>
          <w:lang w:eastAsia="en-GB"/>
        </w:rPr>
        <w:t>p</w:t>
      </w:r>
      <w:r w:rsidR="00993C49" w:rsidRPr="001005B7">
        <w:rPr>
          <w:rFonts w:ascii="Roboto" w:eastAsia="Times New Roman" w:hAnsi="Roboto" w:cs="Times New Roman"/>
          <w:sz w:val="21"/>
          <w:szCs w:val="21"/>
          <w:lang w:eastAsia="en-GB"/>
        </w:rPr>
        <w:t>aronomasia, apostroph</w:t>
      </w:r>
      <w:r w:rsidR="0022653F" w:rsidRPr="001005B7">
        <w:rPr>
          <w:rFonts w:ascii="Roboto" w:eastAsia="Times New Roman" w:hAnsi="Roboto" w:cs="Times New Roman"/>
          <w:sz w:val="21"/>
          <w:szCs w:val="21"/>
          <w:lang w:eastAsia="en-GB"/>
        </w:rPr>
        <w:t>e”</w:t>
      </w:r>
      <w:r w:rsidR="00556B1A" w:rsidRPr="001005B7">
        <w:rPr>
          <w:rFonts w:ascii="Roboto" w:eastAsia="Times New Roman" w:hAnsi="Roboto" w:cs="Times New Roman"/>
          <w:sz w:val="21"/>
          <w:szCs w:val="21"/>
          <w:lang w:eastAsia="en-GB"/>
        </w:rPr>
        <w:t xml:space="preserve"> (Green</w:t>
      </w:r>
      <w:r w:rsidR="00556B1A" w:rsidRPr="001005B7">
        <w:t>hill</w:t>
      </w:r>
      <w:r w:rsidR="00822E6D" w:rsidRPr="001005B7">
        <w:t>, 166</w:t>
      </w:r>
      <w:r w:rsidR="00556B1A" w:rsidRPr="001005B7">
        <w:t>)</w:t>
      </w:r>
      <w:r w:rsidR="00B239DF" w:rsidRPr="001005B7">
        <w:rPr>
          <w:rFonts w:ascii="Roboto" w:eastAsia="Times New Roman" w:hAnsi="Roboto" w:cs="Times New Roman"/>
          <w:sz w:val="21"/>
          <w:szCs w:val="21"/>
          <w:lang w:eastAsia="en-GB"/>
        </w:rPr>
        <w:t>,</w:t>
      </w:r>
      <w:r w:rsidR="0022653F" w:rsidRPr="001005B7">
        <w:rPr>
          <w:rFonts w:ascii="Roboto" w:eastAsia="Times New Roman" w:hAnsi="Roboto" w:cs="Times New Roman"/>
          <w:sz w:val="21"/>
          <w:szCs w:val="21"/>
          <w:lang w:eastAsia="en-GB"/>
        </w:rPr>
        <w:t xml:space="preserve"> and </w:t>
      </w:r>
      <w:r w:rsidR="0022653F" w:rsidRPr="001005B7">
        <w:t>laying it out as poetry works.</w:t>
      </w:r>
      <w:r w:rsidR="00AB7F2A" w:rsidRPr="001005B7">
        <w:rPr>
          <w:rStyle w:val="FootnoteReference"/>
        </w:rPr>
        <w:footnoteReference w:id="205"/>
      </w:r>
      <w:r w:rsidR="0022653F" w:rsidRPr="001005B7">
        <w:t xml:space="preserve"> </w:t>
      </w:r>
      <w:r w:rsidR="008227CD">
        <w:t xml:space="preserve">While </w:t>
      </w:r>
      <w:r w:rsidR="00237FD2" w:rsidRPr="001005B7">
        <w:t>Ezek 1 hints</w:t>
      </w:r>
      <w:r w:rsidR="00A06B83" w:rsidRPr="001005B7">
        <w:t xml:space="preserve"> </w:t>
      </w:r>
      <w:r w:rsidR="00DE10CA" w:rsidRPr="001005B7">
        <w:t>that it introduces a solemn message</w:t>
      </w:r>
      <w:r w:rsidR="0069393B" w:rsidRPr="001005B7">
        <w:t>,</w:t>
      </w:r>
      <w:r w:rsidR="007B79DC" w:rsidRPr="001005B7">
        <w:t xml:space="preserve"> but only hints at</w:t>
      </w:r>
      <w:r w:rsidR="00863AFB" w:rsidRPr="001005B7">
        <w:t xml:space="preserve"> it</w:t>
      </w:r>
      <w:r w:rsidR="008227CD">
        <w:t>,</w:t>
      </w:r>
      <w:r w:rsidR="007B79DC" w:rsidRPr="001005B7">
        <w:t xml:space="preserve"> </w:t>
      </w:r>
      <w:r w:rsidR="003A5081" w:rsidRPr="001005B7">
        <w:rPr>
          <w:rFonts w:ascii="Calibri" w:hAnsi="Calibri" w:cs="Calibri"/>
        </w:rPr>
        <w:t>Ezek</w:t>
      </w:r>
      <w:r w:rsidR="005945C3" w:rsidRPr="001005B7">
        <w:rPr>
          <w:rFonts w:ascii="Calibri" w:hAnsi="Calibri" w:cs="Calibri"/>
        </w:rPr>
        <w:t xml:space="preserve"> 7</w:t>
      </w:r>
      <w:r w:rsidR="003A5081" w:rsidRPr="001005B7">
        <w:rPr>
          <w:rFonts w:ascii="Calibri" w:hAnsi="Calibri" w:cs="Calibri"/>
        </w:rPr>
        <w:t xml:space="preserve"> </w:t>
      </w:r>
      <w:r w:rsidR="005945C3" w:rsidRPr="001005B7">
        <w:rPr>
          <w:rFonts w:ascii="Calibri" w:hAnsi="Calibri" w:cs="Calibri"/>
        </w:rPr>
        <w:t>“</w:t>
      </w:r>
      <w:r w:rsidR="003A5081" w:rsidRPr="001005B7">
        <w:rPr>
          <w:rFonts w:ascii="Calibri" w:hAnsi="Calibri" w:cs="Calibri"/>
        </w:rPr>
        <w:t>voices an insistent announcement of doomsday</w:t>
      </w:r>
      <w:r w:rsidR="008A39F5" w:rsidRPr="001005B7">
        <w:rPr>
          <w:rFonts w:ascii="Calibri" w:hAnsi="Calibri" w:cs="Calibri"/>
        </w:rPr>
        <w:t>.”</w:t>
      </w:r>
      <w:r w:rsidR="008A39F5" w:rsidRPr="001005B7">
        <w:rPr>
          <w:rStyle w:val="FootnoteReference"/>
          <w:rFonts w:ascii="Calibri" w:hAnsi="Calibri" w:cs="Calibri"/>
        </w:rPr>
        <w:footnoteReference w:id="206"/>
      </w:r>
      <w:r w:rsidR="000312E0" w:rsidRPr="001005B7">
        <w:rPr>
          <w:rFonts w:ascii="Calibri" w:hAnsi="Calibri" w:cs="Calibri"/>
        </w:rPr>
        <w:t xml:space="preserve"> </w:t>
      </w:r>
      <w:r w:rsidR="008836BF" w:rsidRPr="001005B7">
        <w:t>In a</w:t>
      </w:r>
      <w:r w:rsidR="003868F9" w:rsidRPr="001005B7">
        <w:t xml:space="preserve"> </w:t>
      </w:r>
      <w:r w:rsidR="00261002" w:rsidRPr="001005B7">
        <w:t xml:space="preserve">hard-hitting, </w:t>
      </w:r>
      <w:r w:rsidR="001577F6" w:rsidRPr="001005B7">
        <w:t>forceful</w:t>
      </w:r>
      <w:r w:rsidR="00CC3749" w:rsidRPr="001005B7">
        <w:t xml:space="preserve">, terse, </w:t>
      </w:r>
      <w:r w:rsidR="00261002" w:rsidRPr="001005B7">
        <w:t>yet repetitive</w:t>
      </w:r>
      <w:r w:rsidR="00CC3749" w:rsidRPr="001005B7">
        <w:t xml:space="preserve"> </w:t>
      </w:r>
      <w:r w:rsidR="00F51278" w:rsidRPr="001005B7">
        <w:t>warning</w:t>
      </w:r>
      <w:r w:rsidR="008836BF" w:rsidRPr="001005B7">
        <w:t>, Yahweh declares</w:t>
      </w:r>
      <w:r w:rsidR="00F51278" w:rsidRPr="001005B7">
        <w:t xml:space="preserve"> that the end is coming upon </w:t>
      </w:r>
      <w:r w:rsidR="00E00965" w:rsidRPr="001005B7">
        <w:t>Judah</w:t>
      </w:r>
      <w:r w:rsidR="00490468" w:rsidRPr="001005B7">
        <w:t>, and</w:t>
      </w:r>
      <w:r w:rsidR="00136907" w:rsidRPr="001005B7">
        <w:t xml:space="preserve"> chapter 7</w:t>
      </w:r>
      <w:r w:rsidR="00490468" w:rsidRPr="001005B7">
        <w:t xml:space="preserve"> </w:t>
      </w:r>
      <w:r w:rsidR="00CA0E0A" w:rsidRPr="001005B7">
        <w:t>brings Ezek</w:t>
      </w:r>
      <w:r w:rsidR="00FF6152" w:rsidRPr="001005B7">
        <w:t>i</w:t>
      </w:r>
      <w:r w:rsidR="00CA0E0A" w:rsidRPr="001005B7">
        <w:t>el 1</w:t>
      </w:r>
      <w:r w:rsidR="00F46900" w:rsidRPr="001005B7">
        <w:t>–</w:t>
      </w:r>
      <w:r w:rsidR="00CA0E0A" w:rsidRPr="001005B7">
        <w:t>7 to a</w:t>
      </w:r>
      <w:r w:rsidR="00221A58">
        <w:t xml:space="preserve"> close</w:t>
      </w:r>
      <w:r w:rsidR="00CA0E0A" w:rsidRPr="001005B7">
        <w:t xml:space="preserve"> with this </w:t>
      </w:r>
      <w:r w:rsidR="00490468" w:rsidRPr="001005B7">
        <w:t>warning</w:t>
      </w:r>
      <w:r w:rsidR="00D63DE8" w:rsidRPr="001005B7">
        <w:t>.</w:t>
      </w:r>
      <w:r w:rsidR="00C20A89" w:rsidRPr="001005B7">
        <w:t xml:space="preserve"> </w:t>
      </w:r>
      <w:r w:rsidR="00863AFB" w:rsidRPr="001005B7">
        <w:t xml:space="preserve">Its </w:t>
      </w:r>
      <w:r w:rsidR="006832E2" w:rsidRPr="001005B7">
        <w:t xml:space="preserve">language also picks up motifs from other previous chapters, which contributes </w:t>
      </w:r>
      <w:r w:rsidR="00F50F05" w:rsidRPr="001005B7">
        <w:t xml:space="preserve">further </w:t>
      </w:r>
      <w:r w:rsidR="006832E2" w:rsidRPr="001005B7">
        <w:t>to it</w:t>
      </w:r>
      <w:r w:rsidR="00F50F05" w:rsidRPr="001005B7">
        <w:t>s</w:t>
      </w:r>
      <w:r w:rsidR="006832E2" w:rsidRPr="001005B7">
        <w:t xml:space="preserve"> </w:t>
      </w:r>
      <w:r w:rsidR="0007491E" w:rsidRPr="001005B7">
        <w:t xml:space="preserve">functioning as </w:t>
      </w:r>
      <w:r w:rsidR="00270D53">
        <w:t>a</w:t>
      </w:r>
      <w:r w:rsidR="0007491E" w:rsidRPr="001005B7">
        <w:t xml:space="preserve"> climax to Ezek 1</w:t>
      </w:r>
      <w:r w:rsidR="00F46900" w:rsidRPr="001005B7">
        <w:t>–</w:t>
      </w:r>
      <w:r w:rsidR="0007491E" w:rsidRPr="001005B7">
        <w:t>7</w:t>
      </w:r>
      <w:r w:rsidR="00872718" w:rsidRPr="001005B7">
        <w:t>: outrages</w:t>
      </w:r>
      <w:r w:rsidR="0041517A" w:rsidRPr="001005B7">
        <w:t xml:space="preserve"> and detestable </w:t>
      </w:r>
      <w:r w:rsidR="00852CF8" w:rsidRPr="001005B7">
        <w:t>objec</w:t>
      </w:r>
      <w:r w:rsidR="00B5256B" w:rsidRPr="001005B7">
        <w:t>ts</w:t>
      </w:r>
      <w:r w:rsidR="00872718" w:rsidRPr="001005B7">
        <w:t>, Yahweh</w:t>
      </w:r>
      <w:r w:rsidR="00813D57" w:rsidRPr="001005B7">
        <w:t xml:space="preserve"> </w:t>
      </w:r>
      <w:r w:rsidR="00594B8D" w:rsidRPr="001005B7">
        <w:t xml:space="preserve">will </w:t>
      </w:r>
      <w:r w:rsidR="00813D57" w:rsidRPr="001005B7">
        <w:t>not pity and</w:t>
      </w:r>
      <w:r w:rsidR="00594B8D" w:rsidRPr="001005B7">
        <w:t xml:space="preserve"> </w:t>
      </w:r>
      <w:r w:rsidR="00DE6008" w:rsidRPr="001005B7">
        <w:t>not s</w:t>
      </w:r>
      <w:r w:rsidR="00432392" w:rsidRPr="001005B7">
        <w:t>how concern</w:t>
      </w:r>
      <w:r w:rsidR="00D1110B" w:rsidRPr="001005B7">
        <w:t xml:space="preserve">, his expending anger and </w:t>
      </w:r>
      <w:r w:rsidR="00A14098" w:rsidRPr="001005B7">
        <w:t>fury</w:t>
      </w:r>
      <w:r w:rsidR="00254DCB" w:rsidRPr="001005B7">
        <w:t>, the people’s wildness</w:t>
      </w:r>
      <w:r w:rsidR="00127C68" w:rsidRPr="001005B7">
        <w:t xml:space="preserve"> as a horde</w:t>
      </w:r>
      <w:r w:rsidR="00254DCB" w:rsidRPr="001005B7">
        <w:t>,</w:t>
      </w:r>
      <w:r w:rsidR="00417ACE" w:rsidRPr="001005B7">
        <w:t xml:space="preserve"> sword, epidemic, and famine, </w:t>
      </w:r>
      <w:r w:rsidR="00272B88" w:rsidRPr="001005B7">
        <w:t xml:space="preserve">and </w:t>
      </w:r>
      <w:r w:rsidR="00064377" w:rsidRPr="001005B7">
        <w:t xml:space="preserve">Yahweh’s </w:t>
      </w:r>
      <w:r w:rsidR="00272B88" w:rsidRPr="001005B7">
        <w:t>signature expression in Ezekiel</w:t>
      </w:r>
      <w:r w:rsidR="001E7280" w:rsidRPr="001005B7">
        <w:t>,</w:t>
      </w:r>
      <w:r w:rsidR="00272B88" w:rsidRPr="001005B7">
        <w:t xml:space="preserve"> </w:t>
      </w:r>
      <w:r w:rsidR="006379F9" w:rsidRPr="001005B7">
        <w:t>“</w:t>
      </w:r>
      <w:r w:rsidR="00064377" w:rsidRPr="001005B7">
        <w:t>they/</w:t>
      </w:r>
      <w:r w:rsidR="00272B88" w:rsidRPr="001005B7">
        <w:t>y</w:t>
      </w:r>
      <w:r w:rsidR="00DE6008" w:rsidRPr="001005B7">
        <w:t>ou will acknowledge that I am Yahweh.</w:t>
      </w:r>
      <w:r w:rsidR="006379F9" w:rsidRPr="001005B7">
        <w:t>”</w:t>
      </w:r>
      <w:r w:rsidR="001E7280" w:rsidRPr="001005B7">
        <w:t xml:space="preserve"> </w:t>
      </w:r>
      <w:r w:rsidR="002766C5">
        <w:t xml:space="preserve">Further, it </w:t>
      </w:r>
      <w:r w:rsidR="00523FC4" w:rsidRPr="001005B7">
        <w:rPr>
          <w:rFonts w:ascii="Roboto" w:eastAsia="Times New Roman" w:hAnsi="Roboto" w:cs="Times New Roman"/>
          <w:sz w:val="21"/>
          <w:szCs w:val="21"/>
          <w:lang w:eastAsia="en-GB"/>
        </w:rPr>
        <w:t>contin</w:t>
      </w:r>
      <w:r w:rsidR="00A44298" w:rsidRPr="001005B7">
        <w:rPr>
          <w:rFonts w:ascii="Roboto" w:eastAsia="Times New Roman" w:hAnsi="Roboto" w:cs="Times New Roman"/>
          <w:sz w:val="21"/>
          <w:szCs w:val="21"/>
          <w:lang w:eastAsia="en-GB"/>
        </w:rPr>
        <w:t>u</w:t>
      </w:r>
      <w:r w:rsidR="00523FC4" w:rsidRPr="001005B7">
        <w:rPr>
          <w:rFonts w:ascii="Roboto" w:eastAsia="Times New Roman" w:hAnsi="Roboto" w:cs="Times New Roman"/>
          <w:sz w:val="21"/>
          <w:szCs w:val="21"/>
          <w:lang w:eastAsia="en-GB"/>
        </w:rPr>
        <w:t xml:space="preserve">es the </w:t>
      </w:r>
      <w:r w:rsidR="00A44298" w:rsidRPr="001005B7">
        <w:rPr>
          <w:rFonts w:ascii="Roboto" w:eastAsia="Times New Roman" w:hAnsi="Roboto" w:cs="Times New Roman"/>
          <w:sz w:val="21"/>
          <w:szCs w:val="21"/>
          <w:lang w:eastAsia="en-GB"/>
        </w:rPr>
        <w:t xml:space="preserve">process of </w:t>
      </w:r>
      <w:r w:rsidR="002766C5">
        <w:rPr>
          <w:rFonts w:ascii="Roboto" w:eastAsia="Times New Roman" w:hAnsi="Roboto" w:cs="Times New Roman"/>
          <w:sz w:val="21"/>
          <w:szCs w:val="21"/>
          <w:lang w:eastAsia="en-GB"/>
        </w:rPr>
        <w:t>explaining</w:t>
      </w:r>
      <w:r w:rsidR="00EA6CE1" w:rsidRPr="001005B7">
        <w:rPr>
          <w:rFonts w:ascii="Roboto" w:eastAsia="Times New Roman" w:hAnsi="Roboto" w:cs="Times New Roman"/>
          <w:sz w:val="21"/>
          <w:szCs w:val="21"/>
          <w:lang w:eastAsia="en-GB"/>
        </w:rPr>
        <w:t xml:space="preserve"> the sign acts </w:t>
      </w:r>
      <w:r w:rsidR="00EA6CE1" w:rsidRPr="001005B7">
        <w:rPr>
          <w:rFonts w:ascii="Calibri" w:eastAsia="Times New Roman" w:hAnsi="Calibri" w:cs="Calibri"/>
          <w:lang w:eastAsia="en-GB"/>
        </w:rPr>
        <w:t>commissioned in</w:t>
      </w:r>
      <w:r w:rsidR="000C2E4F" w:rsidRPr="001005B7">
        <w:rPr>
          <w:rFonts w:ascii="Calibri" w:eastAsia="Times New Roman" w:hAnsi="Calibri" w:cs="Calibri"/>
          <w:lang w:eastAsia="en-GB"/>
        </w:rPr>
        <w:t xml:space="preserve"> </w:t>
      </w:r>
      <w:r w:rsidR="00D61F6E" w:rsidRPr="001005B7">
        <w:rPr>
          <w:rFonts w:ascii="Calibri" w:eastAsia="Times New Roman" w:hAnsi="Calibri" w:cs="Calibri"/>
          <w:lang w:eastAsia="en-GB"/>
        </w:rPr>
        <w:t>4:1</w:t>
      </w:r>
      <w:r w:rsidR="00F46900" w:rsidRPr="001005B7">
        <w:rPr>
          <w:rFonts w:ascii="Calibri" w:eastAsia="Times New Roman" w:hAnsi="Calibri" w:cs="Calibri"/>
          <w:lang w:eastAsia="en-GB"/>
        </w:rPr>
        <w:t>–</w:t>
      </w:r>
      <w:r w:rsidR="00D61F6E" w:rsidRPr="001005B7">
        <w:rPr>
          <w:rFonts w:ascii="Calibri" w:eastAsia="Times New Roman" w:hAnsi="Calibri" w:cs="Calibri"/>
          <w:lang w:eastAsia="en-GB"/>
        </w:rPr>
        <w:t>5:4</w:t>
      </w:r>
      <w:r w:rsidR="00336715" w:rsidRPr="001005B7">
        <w:rPr>
          <w:rFonts w:ascii="Calibri" w:eastAsia="Times New Roman" w:hAnsi="Calibri" w:cs="Calibri"/>
          <w:lang w:eastAsia="en-GB"/>
        </w:rPr>
        <w:t xml:space="preserve"> (</w:t>
      </w:r>
      <w:proofErr w:type="spellStart"/>
      <w:r w:rsidR="00336715" w:rsidRPr="001005B7">
        <w:rPr>
          <w:rFonts w:ascii="Calibri" w:hAnsi="Calibri" w:cs="Calibri"/>
        </w:rPr>
        <w:t>Häner</w:t>
      </w:r>
      <w:proofErr w:type="spellEnd"/>
      <w:r w:rsidR="00336715" w:rsidRPr="001005B7">
        <w:rPr>
          <w:rFonts w:ascii="Calibri" w:hAnsi="Calibri" w:cs="Calibri"/>
        </w:rPr>
        <w:t>, 1</w:t>
      </w:r>
      <w:r w:rsidR="00A340B8" w:rsidRPr="001005B7">
        <w:rPr>
          <w:rFonts w:ascii="Calibri" w:hAnsi="Calibri" w:cs="Calibri"/>
        </w:rPr>
        <w:t>47</w:t>
      </w:r>
      <w:r w:rsidR="00F46900" w:rsidRPr="001005B7">
        <w:rPr>
          <w:rFonts w:ascii="Calibri" w:hAnsi="Calibri" w:cs="Calibri"/>
        </w:rPr>
        <w:t>–</w:t>
      </w:r>
      <w:r w:rsidR="00336715" w:rsidRPr="001005B7">
        <w:rPr>
          <w:rFonts w:ascii="Calibri" w:hAnsi="Calibri" w:cs="Calibri"/>
        </w:rPr>
        <w:t>50).</w:t>
      </w:r>
    </w:p>
    <w:p w14:paraId="6F78A48F" w14:textId="3D470772" w:rsidR="009248B5" w:rsidRPr="001005B7" w:rsidRDefault="00E67DE2" w:rsidP="00BD6A32">
      <w:r>
        <w:t>Its</w:t>
      </w:r>
      <w:r w:rsidR="00BD6A32" w:rsidRPr="001005B7">
        <w:t xml:space="preserve"> formal framework suggests that it</w:t>
      </w:r>
      <w:r w:rsidR="000C48E5" w:rsidRPr="001005B7">
        <w:t xml:space="preserve"> </w:t>
      </w:r>
      <w:r w:rsidR="00861A58" w:rsidRPr="001005B7">
        <w:t xml:space="preserve">brings together </w:t>
      </w:r>
      <w:r w:rsidR="0044265F" w:rsidRPr="001005B7">
        <w:t>two</w:t>
      </w:r>
      <w:r w:rsidR="00861A58" w:rsidRPr="001005B7">
        <w:t xml:space="preserve"> short messages </w:t>
      </w:r>
      <w:r w:rsidR="0044265F" w:rsidRPr="001005B7">
        <w:t xml:space="preserve">and one longer one </w:t>
      </w:r>
      <w:r w:rsidR="00861A58" w:rsidRPr="001005B7">
        <w:t xml:space="preserve">that were </w:t>
      </w:r>
      <w:r w:rsidR="009248B5" w:rsidRPr="001005B7">
        <w:t xml:space="preserve">originally independent. </w:t>
      </w:r>
      <w:r w:rsidR="007D0329" w:rsidRPr="001005B7">
        <w:t>The first third of the chapter</w:t>
      </w:r>
      <w:r w:rsidR="00DE2C61" w:rsidRPr="001005B7">
        <w:t xml:space="preserve"> </w:t>
      </w:r>
      <w:r w:rsidR="002E5FDC" w:rsidRPr="001005B7">
        <w:t>unfolds:</w:t>
      </w:r>
    </w:p>
    <w:p w14:paraId="35E49943" w14:textId="77777777" w:rsidR="004F119B" w:rsidRPr="001005B7" w:rsidRDefault="004F119B" w:rsidP="00870C55"/>
    <w:p w14:paraId="04F1ECB6" w14:textId="32BB3D76" w:rsidR="009248B5" w:rsidRPr="001005B7" w:rsidRDefault="00CE6132" w:rsidP="00870C55">
      <w:r w:rsidRPr="001005B7">
        <w:t>Ezekiel’s introduction</w:t>
      </w:r>
      <w:r w:rsidR="00DE2C61" w:rsidRPr="001005B7">
        <w:t xml:space="preserve"> </w:t>
      </w:r>
      <w:r w:rsidR="00CF4AF7" w:rsidRPr="001005B7">
        <w:t>to the entire chapter</w:t>
      </w:r>
      <w:r w:rsidRPr="001005B7">
        <w:t xml:space="preserve"> </w:t>
      </w:r>
      <w:r w:rsidR="00F90455" w:rsidRPr="001005B7">
        <w:t>(</w:t>
      </w:r>
      <w:r w:rsidR="003D021F" w:rsidRPr="001005B7">
        <w:t>7:</w:t>
      </w:r>
      <w:r w:rsidR="00F90455" w:rsidRPr="001005B7">
        <w:t>1)</w:t>
      </w:r>
    </w:p>
    <w:p w14:paraId="0FE88D15" w14:textId="77777777" w:rsidR="00E21324" w:rsidRPr="001005B7" w:rsidRDefault="00E21324" w:rsidP="00870C55"/>
    <w:p w14:paraId="5B318907" w14:textId="0D568E27" w:rsidR="00F90455" w:rsidRPr="001005B7" w:rsidRDefault="00F90455" w:rsidP="00870C55">
      <w:r w:rsidRPr="001005B7">
        <w:t xml:space="preserve">Yahweh’s introduction </w:t>
      </w:r>
      <w:r w:rsidR="009E4497" w:rsidRPr="001005B7">
        <w:t xml:space="preserve">to a message </w:t>
      </w:r>
      <w:r w:rsidRPr="001005B7">
        <w:t>(</w:t>
      </w:r>
      <w:r w:rsidR="003D021F" w:rsidRPr="001005B7">
        <w:t>7:</w:t>
      </w:r>
      <w:r w:rsidRPr="001005B7">
        <w:t>2</w:t>
      </w:r>
      <w:r w:rsidR="003815B1" w:rsidRPr="001005B7">
        <w:t>a</w:t>
      </w:r>
      <w:r w:rsidR="005F663C" w:rsidRPr="001005B7">
        <w:rPr>
          <w:rFonts w:cstheme="minorHAnsi"/>
        </w:rPr>
        <w:t>α</w:t>
      </w:r>
      <w:r w:rsidR="003815B1" w:rsidRPr="001005B7">
        <w:t>)</w:t>
      </w:r>
    </w:p>
    <w:p w14:paraId="5150CF9F" w14:textId="77FEA425" w:rsidR="00B14646" w:rsidRPr="001005B7" w:rsidRDefault="00B14646" w:rsidP="00870C55">
      <w:r w:rsidRPr="001005B7">
        <w:t xml:space="preserve">The </w:t>
      </w:r>
      <w:r w:rsidR="009E4497" w:rsidRPr="001005B7">
        <w:t xml:space="preserve">message: the </w:t>
      </w:r>
      <w:r w:rsidRPr="001005B7">
        <w:t>end is coming (</w:t>
      </w:r>
      <w:r w:rsidR="003D021F" w:rsidRPr="001005B7">
        <w:t>7:</w:t>
      </w:r>
      <w:r w:rsidRPr="001005B7">
        <w:t>2a</w:t>
      </w:r>
      <w:r w:rsidRPr="001005B7">
        <w:rPr>
          <w:rFonts w:cstheme="minorHAnsi"/>
        </w:rPr>
        <w:t>β</w:t>
      </w:r>
      <w:r w:rsidR="00F46900" w:rsidRPr="001005B7">
        <w:t>–</w:t>
      </w:r>
      <w:r w:rsidR="009E119C" w:rsidRPr="001005B7">
        <w:t>4</w:t>
      </w:r>
      <w:r w:rsidR="008678D4" w:rsidRPr="001005B7">
        <w:t>a</w:t>
      </w:r>
      <w:r w:rsidR="00637B78" w:rsidRPr="001005B7">
        <w:t>b</w:t>
      </w:r>
      <w:r w:rsidR="00637B78" w:rsidRPr="001005B7">
        <w:rPr>
          <w:rFonts w:cstheme="minorHAnsi"/>
        </w:rPr>
        <w:t>α</w:t>
      </w:r>
      <w:r w:rsidR="009E119C" w:rsidRPr="001005B7">
        <w:t>)</w:t>
      </w:r>
    </w:p>
    <w:p w14:paraId="08A37959" w14:textId="307DF519" w:rsidR="00637B78" w:rsidRPr="001005B7" w:rsidRDefault="009E4497" w:rsidP="00870C55">
      <w:r w:rsidRPr="001005B7">
        <w:t xml:space="preserve">Yahweh’s </w:t>
      </w:r>
      <w:r w:rsidR="005A091A" w:rsidRPr="001005B7">
        <w:t xml:space="preserve">expectation regarding the result: </w:t>
      </w:r>
      <w:r w:rsidR="00637B78" w:rsidRPr="001005B7">
        <w:t>you will acknowledge (</w:t>
      </w:r>
      <w:r w:rsidR="003D021F" w:rsidRPr="001005B7">
        <w:t>7:</w:t>
      </w:r>
      <w:r w:rsidR="00637B78" w:rsidRPr="001005B7">
        <w:t>4b</w:t>
      </w:r>
      <w:r w:rsidR="00637B78" w:rsidRPr="001005B7">
        <w:rPr>
          <w:rFonts w:cstheme="minorHAnsi"/>
        </w:rPr>
        <w:t>β</w:t>
      </w:r>
      <w:r w:rsidR="00637B78" w:rsidRPr="001005B7">
        <w:t>)</w:t>
      </w:r>
    </w:p>
    <w:p w14:paraId="4A12BCDE" w14:textId="01957FB5" w:rsidR="00870C55" w:rsidRPr="001005B7" w:rsidRDefault="00011C97" w:rsidP="00870C55">
      <w:r w:rsidRPr="001005B7">
        <w:t xml:space="preserve">  </w:t>
      </w:r>
    </w:p>
    <w:p w14:paraId="059697C0" w14:textId="3F7A27D8" w:rsidR="00E83C30" w:rsidRPr="001005B7" w:rsidRDefault="00E21324" w:rsidP="00E83C30">
      <w:r w:rsidRPr="001005B7">
        <w:t xml:space="preserve">Yahweh’s introduction </w:t>
      </w:r>
      <w:r w:rsidR="00F62180" w:rsidRPr="001005B7">
        <w:t xml:space="preserve">to a message </w:t>
      </w:r>
      <w:r w:rsidRPr="001005B7">
        <w:t>(</w:t>
      </w:r>
      <w:r w:rsidR="003D021F" w:rsidRPr="001005B7">
        <w:t>7:</w:t>
      </w:r>
      <w:r w:rsidRPr="001005B7">
        <w:t>5</w:t>
      </w:r>
      <w:r w:rsidR="006273A9" w:rsidRPr="001005B7">
        <w:t>a)</w:t>
      </w:r>
    </w:p>
    <w:p w14:paraId="5DAB4605" w14:textId="413C6912" w:rsidR="00E83C30" w:rsidRPr="001005B7" w:rsidRDefault="00F62180" w:rsidP="00E83C30">
      <w:r w:rsidRPr="001005B7">
        <w:t>The message: a</w:t>
      </w:r>
      <w:r w:rsidR="008E0EA0" w:rsidRPr="001005B7">
        <w:t xml:space="preserve"> dire event, t</w:t>
      </w:r>
      <w:r w:rsidR="006273A9" w:rsidRPr="001005B7">
        <w:t>he end</w:t>
      </w:r>
      <w:r w:rsidR="00A03F64" w:rsidRPr="001005B7">
        <w:t>,</w:t>
      </w:r>
      <w:r w:rsidR="006273A9" w:rsidRPr="001005B7">
        <w:t xml:space="preserve"> is coming (</w:t>
      </w:r>
      <w:r w:rsidR="0042084A" w:rsidRPr="001005B7">
        <w:t>7:</w:t>
      </w:r>
      <w:r w:rsidR="006273A9" w:rsidRPr="001005B7">
        <w:t>5b</w:t>
      </w:r>
      <w:r w:rsidR="00F46900" w:rsidRPr="001005B7">
        <w:t>–</w:t>
      </w:r>
      <w:r w:rsidR="00893B8A" w:rsidRPr="001005B7">
        <w:t>9a</w:t>
      </w:r>
      <w:r w:rsidR="008E0EA0" w:rsidRPr="001005B7">
        <w:t>b</w:t>
      </w:r>
      <w:r w:rsidR="00893B8A" w:rsidRPr="001005B7">
        <w:rPr>
          <w:rFonts w:cstheme="minorHAnsi"/>
        </w:rPr>
        <w:t>α</w:t>
      </w:r>
      <w:r w:rsidR="00A03F64" w:rsidRPr="001005B7">
        <w:rPr>
          <w:rFonts w:cstheme="minorHAnsi"/>
        </w:rPr>
        <w:t>)</w:t>
      </w:r>
    </w:p>
    <w:p w14:paraId="2A88DF69" w14:textId="4C36C5A7" w:rsidR="00893B8A" w:rsidRPr="001005B7" w:rsidRDefault="00EB72CC" w:rsidP="00E83C30">
      <w:r w:rsidRPr="001005B7">
        <w:t xml:space="preserve">Yahweh’s expectation regarding the result: </w:t>
      </w:r>
      <w:r w:rsidR="00893B8A" w:rsidRPr="001005B7">
        <w:t>you will acknowledge (</w:t>
      </w:r>
      <w:r w:rsidR="003D021F" w:rsidRPr="001005B7">
        <w:t>7:</w:t>
      </w:r>
      <w:r w:rsidR="00893B8A" w:rsidRPr="001005B7">
        <w:t>9</w:t>
      </w:r>
      <w:r w:rsidR="008E0EA0" w:rsidRPr="001005B7">
        <w:t>b</w:t>
      </w:r>
      <w:r w:rsidR="008E0EA0" w:rsidRPr="001005B7">
        <w:rPr>
          <w:rFonts w:cstheme="minorHAnsi"/>
        </w:rPr>
        <w:t>β</w:t>
      </w:r>
      <w:r w:rsidR="008E0EA0" w:rsidRPr="001005B7">
        <w:t>)</w:t>
      </w:r>
    </w:p>
    <w:p w14:paraId="7318544F" w14:textId="77777777" w:rsidR="00AC6A6E" w:rsidRPr="001005B7" w:rsidRDefault="00AC6A6E" w:rsidP="00E83C30"/>
    <w:p w14:paraId="1FF8059F" w14:textId="0E5D62F4" w:rsidR="00AC6A6E" w:rsidRPr="001005B7" w:rsidRDefault="00F741E6" w:rsidP="007C786F">
      <w:pPr>
        <w:ind w:firstLine="0"/>
      </w:pPr>
      <w:r w:rsidRPr="001005B7">
        <w:t xml:space="preserve">Once more, </w:t>
      </w:r>
      <w:r w:rsidR="00635DCB" w:rsidRPr="001005B7">
        <w:t>Ezekiel</w:t>
      </w:r>
      <w:r w:rsidRPr="001005B7">
        <w:t xml:space="preserve"> pictures disaster coming on Jerusalem as if it is</w:t>
      </w:r>
      <w:r w:rsidR="00D7497F" w:rsidRPr="001005B7">
        <w:t xml:space="preserve"> </w:t>
      </w:r>
      <w:r w:rsidRPr="001005B7">
        <w:t>happening</w:t>
      </w:r>
      <w:r w:rsidR="00D7497F" w:rsidRPr="001005B7">
        <w:t xml:space="preserve"> right now</w:t>
      </w:r>
      <w:r w:rsidRPr="001005B7">
        <w:t xml:space="preserve">. Once more he moves between </w:t>
      </w:r>
      <w:r w:rsidR="003943BE" w:rsidRPr="001005B7">
        <w:t xml:space="preserve">speaking </w:t>
      </w:r>
      <w:r w:rsidRPr="001005B7">
        <w:t xml:space="preserve">as if he </w:t>
      </w:r>
      <w:r w:rsidR="003943BE" w:rsidRPr="001005B7">
        <w:t>is</w:t>
      </w:r>
      <w:r w:rsidRPr="001005B7">
        <w:t xml:space="preserve"> addressing the</w:t>
      </w:r>
      <w:r w:rsidR="003943BE" w:rsidRPr="001005B7">
        <w:t xml:space="preserve"> city</w:t>
      </w:r>
      <w:r w:rsidRPr="001005B7">
        <w:t xml:space="preserve"> and speaking to the </w:t>
      </w:r>
      <w:proofErr w:type="spellStart"/>
      <w:r w:rsidRPr="001005B7">
        <w:t>Kebar</w:t>
      </w:r>
      <w:r w:rsidR="006D537F">
        <w:t>ites</w:t>
      </w:r>
      <w:proofErr w:type="spellEnd"/>
      <w:r w:rsidRPr="001005B7">
        <w:t xml:space="preserve"> whom he is </w:t>
      </w:r>
      <w:r w:rsidR="004906E1" w:rsidRPr="001005B7">
        <w:t>directly</w:t>
      </w:r>
      <w:r w:rsidRPr="001005B7">
        <w:t xml:space="preserve"> addressing and who also need to know what Yahweh is threatening. </w:t>
      </w:r>
      <w:r w:rsidR="00A71EA7" w:rsidRPr="001005B7">
        <w:t xml:space="preserve">As well as </w:t>
      </w:r>
      <w:r w:rsidR="00A71EA7" w:rsidRPr="001005B7">
        <w:rPr>
          <w:rFonts w:ascii="Calibri" w:hAnsi="Calibri" w:cs="Calibri"/>
        </w:rPr>
        <w:t>corresponding in form, t</w:t>
      </w:r>
      <w:r w:rsidR="007C786F" w:rsidRPr="001005B7">
        <w:rPr>
          <w:rFonts w:ascii="Calibri" w:hAnsi="Calibri" w:cs="Calibri"/>
        </w:rPr>
        <w:t xml:space="preserve">he two messages overlap in </w:t>
      </w:r>
      <w:r w:rsidR="00A71EA7" w:rsidRPr="001005B7">
        <w:rPr>
          <w:rFonts w:ascii="Calibri" w:hAnsi="Calibri" w:cs="Calibri"/>
        </w:rPr>
        <w:t>content</w:t>
      </w:r>
      <w:r w:rsidR="00640BE3" w:rsidRPr="001005B7">
        <w:rPr>
          <w:rFonts w:ascii="Calibri" w:hAnsi="Calibri" w:cs="Calibri"/>
        </w:rPr>
        <w:t>,</w:t>
      </w:r>
      <w:r w:rsidR="003738D1" w:rsidRPr="001005B7">
        <w:rPr>
          <w:rFonts w:ascii="Calibri" w:hAnsi="Calibri" w:cs="Calibri"/>
        </w:rPr>
        <w:t xml:space="preserve"> and complement each other</w:t>
      </w:r>
      <w:r w:rsidR="00A917A7" w:rsidRPr="001005B7">
        <w:rPr>
          <w:rFonts w:ascii="Calibri" w:hAnsi="Calibri" w:cs="Calibri"/>
        </w:rPr>
        <w:t xml:space="preserve"> (cf. Allen</w:t>
      </w:r>
      <w:r w:rsidR="001909FA" w:rsidRPr="001005B7">
        <w:rPr>
          <w:rFonts w:ascii="Calibri" w:hAnsi="Calibri" w:cs="Calibri"/>
        </w:rPr>
        <w:t>,</w:t>
      </w:r>
      <w:r w:rsidR="00A917A7" w:rsidRPr="001005B7">
        <w:rPr>
          <w:rFonts w:ascii="Calibri" w:hAnsi="Calibri" w:cs="Calibri"/>
          <w:i/>
          <w:iCs/>
        </w:rPr>
        <w:t xml:space="preserve"> </w:t>
      </w:r>
      <w:r w:rsidR="00A917A7" w:rsidRPr="001005B7">
        <w:rPr>
          <w:rFonts w:ascii="Calibri" w:hAnsi="Calibri" w:cs="Calibri"/>
        </w:rPr>
        <w:t>1:105, 107).</w:t>
      </w:r>
      <w:r w:rsidR="000E5232" w:rsidRPr="001005B7">
        <w:rPr>
          <w:rFonts w:ascii="Calibri" w:hAnsi="Calibri" w:cs="Calibri"/>
        </w:rPr>
        <w:t xml:space="preserve"> </w:t>
      </w:r>
      <w:r w:rsidR="00DE1FCD" w:rsidRPr="001005B7">
        <w:rPr>
          <w:rFonts w:ascii="Calibri" w:hAnsi="Calibri" w:cs="Calibri"/>
        </w:rPr>
        <w:t xml:space="preserve">There are a number of possible explanations </w:t>
      </w:r>
      <w:r w:rsidR="001B5D3A" w:rsidRPr="001005B7">
        <w:rPr>
          <w:rFonts w:ascii="Calibri" w:hAnsi="Calibri" w:cs="Calibri"/>
        </w:rPr>
        <w:t>for the chapter</w:t>
      </w:r>
      <w:r w:rsidR="00531264" w:rsidRPr="001005B7">
        <w:rPr>
          <w:rFonts w:ascii="Calibri" w:hAnsi="Calibri" w:cs="Calibri"/>
        </w:rPr>
        <w:t>’s</w:t>
      </w:r>
      <w:r w:rsidR="001B5D3A" w:rsidRPr="001005B7">
        <w:rPr>
          <w:rFonts w:ascii="Calibri" w:hAnsi="Calibri" w:cs="Calibri"/>
        </w:rPr>
        <w:t xml:space="preserve"> including </w:t>
      </w:r>
      <w:r w:rsidR="00531264" w:rsidRPr="001005B7">
        <w:rPr>
          <w:rFonts w:ascii="Calibri" w:hAnsi="Calibri" w:cs="Calibri"/>
        </w:rPr>
        <w:t>two</w:t>
      </w:r>
      <w:r w:rsidR="001B5D3A" w:rsidRPr="001005B7">
        <w:rPr>
          <w:rFonts w:ascii="Calibri" w:hAnsi="Calibri" w:cs="Calibri"/>
        </w:rPr>
        <w:t xml:space="preserve"> versions of similar messages</w:t>
      </w:r>
      <w:r w:rsidR="009837D3" w:rsidRPr="001005B7">
        <w:rPr>
          <w:rFonts w:ascii="Calibri" w:hAnsi="Calibri" w:cs="Calibri"/>
        </w:rPr>
        <w:t>, but the</w:t>
      </w:r>
      <w:r w:rsidR="00BC7FE0" w:rsidRPr="001005B7">
        <w:rPr>
          <w:rFonts w:ascii="Calibri" w:hAnsi="Calibri" w:cs="Calibri"/>
        </w:rPr>
        <w:t xml:space="preserve"> two</w:t>
      </w:r>
      <w:r w:rsidR="009837D3" w:rsidRPr="001005B7">
        <w:rPr>
          <w:rFonts w:ascii="Calibri" w:hAnsi="Calibri" w:cs="Calibri"/>
        </w:rPr>
        <w:t xml:space="preserve"> </w:t>
      </w:r>
      <w:r w:rsidR="006F3810" w:rsidRPr="001005B7">
        <w:rPr>
          <w:rFonts w:ascii="Calibri" w:hAnsi="Calibri" w:cs="Calibri"/>
        </w:rPr>
        <w:t xml:space="preserve">versions </w:t>
      </w:r>
      <w:r w:rsidR="009837D3" w:rsidRPr="001005B7">
        <w:rPr>
          <w:rFonts w:ascii="Calibri" w:hAnsi="Calibri" w:cs="Calibri"/>
        </w:rPr>
        <w:t>function</w:t>
      </w:r>
      <w:r w:rsidR="005B24F2" w:rsidRPr="001005B7">
        <w:rPr>
          <w:rFonts w:ascii="Calibri" w:hAnsi="Calibri" w:cs="Calibri"/>
        </w:rPr>
        <w:t xml:space="preserve"> in the manner of parallelism</w:t>
      </w:r>
      <w:r w:rsidR="00ED64BD" w:rsidRPr="001005B7">
        <w:rPr>
          <w:rFonts w:ascii="Calibri" w:hAnsi="Calibri" w:cs="Calibri"/>
        </w:rPr>
        <w:t xml:space="preserve"> (</w:t>
      </w:r>
      <w:proofErr w:type="spellStart"/>
      <w:r w:rsidR="00ED64BD" w:rsidRPr="001005B7">
        <w:rPr>
          <w:rFonts w:ascii="Calibri" w:hAnsi="Calibri" w:cs="Calibri"/>
        </w:rPr>
        <w:t>Darr</w:t>
      </w:r>
      <w:proofErr w:type="spellEnd"/>
      <w:r w:rsidR="00ED64BD" w:rsidRPr="001005B7">
        <w:rPr>
          <w:rFonts w:ascii="Calibri" w:hAnsi="Calibri" w:cs="Calibri"/>
        </w:rPr>
        <w:t xml:space="preserve">, on </w:t>
      </w:r>
      <w:r w:rsidR="0042084A" w:rsidRPr="001005B7">
        <w:rPr>
          <w:rFonts w:ascii="Calibri" w:hAnsi="Calibri" w:cs="Calibri"/>
        </w:rPr>
        <w:t>7:</w:t>
      </w:r>
      <w:r w:rsidR="00ED64BD" w:rsidRPr="001005B7">
        <w:rPr>
          <w:rFonts w:ascii="Calibri" w:hAnsi="Calibri" w:cs="Calibri"/>
        </w:rPr>
        <w:t>5</w:t>
      </w:r>
      <w:r w:rsidR="00F46900" w:rsidRPr="001005B7">
        <w:rPr>
          <w:rFonts w:ascii="Calibri" w:hAnsi="Calibri" w:cs="Calibri"/>
        </w:rPr>
        <w:t>–</w:t>
      </w:r>
      <w:r w:rsidR="0021717C" w:rsidRPr="001005B7">
        <w:rPr>
          <w:rFonts w:ascii="Calibri" w:hAnsi="Calibri" w:cs="Calibri"/>
        </w:rPr>
        <w:t>9).</w:t>
      </w:r>
      <w:r w:rsidR="005B24F2" w:rsidRPr="001005B7">
        <w:rPr>
          <w:rFonts w:ascii="Calibri" w:hAnsi="Calibri" w:cs="Calibri"/>
        </w:rPr>
        <w:t xml:space="preserve"> </w:t>
      </w:r>
      <w:r w:rsidR="00B61628" w:rsidRPr="001005B7">
        <w:rPr>
          <w:rFonts w:ascii="Calibri" w:eastAsia="Times New Roman" w:hAnsi="Calibri" w:cs="Calibri"/>
          <w:lang w:eastAsia="en-GB"/>
        </w:rPr>
        <w:t>They suggest</w:t>
      </w:r>
      <w:r w:rsidR="001251F3" w:rsidRPr="001005B7">
        <w:rPr>
          <w:rFonts w:ascii="Calibri" w:eastAsia="Times New Roman" w:hAnsi="Calibri" w:cs="Calibri"/>
          <w:lang w:eastAsia="en-GB"/>
        </w:rPr>
        <w:t xml:space="preserve">, </w:t>
      </w:r>
      <w:r w:rsidR="00822E6D" w:rsidRPr="001005B7">
        <w:rPr>
          <w:rFonts w:ascii="Calibri" w:eastAsia="Times New Roman" w:hAnsi="Calibri" w:cs="Calibri"/>
          <w:lang w:eastAsia="en-GB"/>
        </w:rPr>
        <w:t>“f</w:t>
      </w:r>
      <w:r w:rsidR="001251F3" w:rsidRPr="001005B7">
        <w:rPr>
          <w:rFonts w:ascii="Calibri" w:eastAsia="Times New Roman" w:hAnsi="Calibri" w:cs="Calibri"/>
          <w:lang w:eastAsia="en-GB"/>
        </w:rPr>
        <w:t>irst</w:t>
      </w:r>
      <w:r w:rsidR="00822E6D" w:rsidRPr="001005B7">
        <w:rPr>
          <w:rFonts w:ascii="Calibri" w:eastAsia="Times New Roman" w:hAnsi="Calibri" w:cs="Calibri"/>
          <w:lang w:eastAsia="en-GB"/>
        </w:rPr>
        <w:t>,</w:t>
      </w:r>
      <w:r w:rsidR="00B61628" w:rsidRPr="001005B7">
        <w:rPr>
          <w:rFonts w:ascii="Calibri" w:eastAsia="Times New Roman" w:hAnsi="Calibri" w:cs="Calibri"/>
          <w:lang w:eastAsia="en-GB"/>
        </w:rPr>
        <w:t xml:space="preserve"> the zeal, intention, and speed of the speaker; </w:t>
      </w:r>
      <w:r w:rsidR="00822E6D" w:rsidRPr="001005B7">
        <w:rPr>
          <w:rFonts w:ascii="Calibri" w:eastAsia="Times New Roman" w:hAnsi="Calibri" w:cs="Calibri"/>
          <w:lang w:eastAsia="en-GB"/>
        </w:rPr>
        <w:t>s</w:t>
      </w:r>
      <w:r w:rsidR="00B61628" w:rsidRPr="001005B7">
        <w:rPr>
          <w:rFonts w:ascii="Calibri" w:eastAsia="Times New Roman" w:hAnsi="Calibri" w:cs="Calibri"/>
          <w:lang w:eastAsia="en-GB"/>
        </w:rPr>
        <w:t>econdly, the evidence, certain</w:t>
      </w:r>
      <w:r w:rsidR="001251F3" w:rsidRPr="001005B7">
        <w:rPr>
          <w:rFonts w:ascii="Calibri" w:eastAsia="Times New Roman" w:hAnsi="Calibri" w:cs="Calibri"/>
          <w:lang w:eastAsia="en-GB"/>
        </w:rPr>
        <w:t>t</w:t>
      </w:r>
      <w:r w:rsidR="00B61628" w:rsidRPr="001005B7">
        <w:rPr>
          <w:rFonts w:ascii="Calibri" w:eastAsia="Times New Roman" w:hAnsi="Calibri" w:cs="Calibri"/>
          <w:lang w:eastAsia="en-GB"/>
        </w:rPr>
        <w:t>y, and weight of the thing spoken of</w:t>
      </w:r>
      <w:r w:rsidR="0091546E" w:rsidRPr="001005B7">
        <w:rPr>
          <w:rFonts w:ascii="Calibri" w:eastAsia="Times New Roman" w:hAnsi="Calibri" w:cs="Calibri"/>
          <w:lang w:eastAsia="en-GB"/>
        </w:rPr>
        <w:t>:</w:t>
      </w:r>
      <w:r w:rsidR="00B61628" w:rsidRPr="001005B7">
        <w:rPr>
          <w:rFonts w:ascii="Calibri" w:eastAsia="Times New Roman" w:hAnsi="Calibri" w:cs="Calibri"/>
          <w:lang w:eastAsia="en-GB"/>
        </w:rPr>
        <w:t xml:space="preserve"> </w:t>
      </w:r>
      <w:r w:rsidR="00822E6D" w:rsidRPr="001005B7">
        <w:rPr>
          <w:rFonts w:ascii="Calibri" w:eastAsia="Times New Roman" w:hAnsi="Calibri" w:cs="Calibri"/>
          <w:lang w:eastAsia="en-GB"/>
        </w:rPr>
        <w:t>t</w:t>
      </w:r>
      <w:r w:rsidR="00B61628" w:rsidRPr="001005B7">
        <w:rPr>
          <w:rFonts w:ascii="Calibri" w:eastAsia="Times New Roman" w:hAnsi="Calibri" w:cs="Calibri"/>
          <w:lang w:eastAsia="en-GB"/>
        </w:rPr>
        <w:t>hirdly, they serve to make the deeper impression</w:t>
      </w:r>
      <w:r w:rsidR="0021717C" w:rsidRPr="001005B7">
        <w:rPr>
          <w:rFonts w:ascii="Calibri" w:eastAsia="Times New Roman" w:hAnsi="Calibri" w:cs="Calibri"/>
          <w:lang w:eastAsia="en-GB"/>
        </w:rPr>
        <w:t>” (</w:t>
      </w:r>
      <w:r w:rsidR="0021717C" w:rsidRPr="001005B7">
        <w:rPr>
          <w:rFonts w:ascii="Calibri" w:hAnsi="Calibri" w:cs="Calibri"/>
        </w:rPr>
        <w:t>Greenhill</w:t>
      </w:r>
      <w:r w:rsidR="00822E6D" w:rsidRPr="001005B7">
        <w:rPr>
          <w:rFonts w:ascii="Calibri" w:hAnsi="Calibri" w:cs="Calibri"/>
        </w:rPr>
        <w:t>, 163</w:t>
      </w:r>
      <w:r w:rsidR="0021717C" w:rsidRPr="001005B7">
        <w:rPr>
          <w:rFonts w:ascii="Calibri" w:hAnsi="Calibri" w:cs="Calibri"/>
        </w:rPr>
        <w:t>).</w:t>
      </w:r>
      <w:r w:rsidR="00D739B5" w:rsidRPr="001005B7">
        <w:rPr>
          <w:rFonts w:ascii="Calibri" w:eastAsia="Times New Roman" w:hAnsi="Calibri" w:cs="Calibri"/>
          <w:lang w:eastAsia="en-GB"/>
        </w:rPr>
        <w:t xml:space="preserve"> And t</w:t>
      </w:r>
      <w:r w:rsidR="005B24F2" w:rsidRPr="001005B7">
        <w:rPr>
          <w:rFonts w:ascii="Calibri" w:hAnsi="Calibri" w:cs="Calibri"/>
        </w:rPr>
        <w:t>he</w:t>
      </w:r>
      <w:r w:rsidR="004561EC" w:rsidRPr="001005B7">
        <w:rPr>
          <w:rFonts w:ascii="Calibri" w:hAnsi="Calibri" w:cs="Calibri"/>
        </w:rPr>
        <w:t>y hint that people need to hear r</w:t>
      </w:r>
      <w:r w:rsidR="005B24F2" w:rsidRPr="001005B7">
        <w:rPr>
          <w:rFonts w:ascii="Calibri" w:hAnsi="Calibri" w:cs="Calibri"/>
        </w:rPr>
        <w:t>epetitions</w:t>
      </w:r>
      <w:r w:rsidR="006F7625" w:rsidRPr="001005B7">
        <w:rPr>
          <w:rFonts w:ascii="Calibri" w:hAnsi="Calibri" w:cs="Calibri"/>
        </w:rPr>
        <w:t>,</w:t>
      </w:r>
      <w:r w:rsidR="005B24F2" w:rsidRPr="001005B7">
        <w:rPr>
          <w:rFonts w:ascii="Calibri" w:hAnsi="Calibri" w:cs="Calibri"/>
        </w:rPr>
        <w:t xml:space="preserve"> </w:t>
      </w:r>
      <w:r w:rsidR="004561EC" w:rsidRPr="001005B7">
        <w:rPr>
          <w:rFonts w:ascii="Calibri" w:hAnsi="Calibri" w:cs="Calibri"/>
        </w:rPr>
        <w:t>because they are deaf</w:t>
      </w:r>
      <w:r w:rsidR="00436945" w:rsidRPr="001005B7">
        <w:rPr>
          <w:rFonts w:ascii="Calibri" w:hAnsi="Calibri" w:cs="Calibri"/>
        </w:rPr>
        <w:t xml:space="preserve"> (Calvin</w:t>
      </w:r>
      <w:r w:rsidR="001909FA" w:rsidRPr="001005B7">
        <w:rPr>
          <w:rFonts w:ascii="Calibri" w:hAnsi="Calibri" w:cs="Calibri"/>
        </w:rPr>
        <w:t>,</w:t>
      </w:r>
      <w:r w:rsidR="00436945" w:rsidRPr="001005B7">
        <w:rPr>
          <w:rFonts w:ascii="Calibri" w:hAnsi="Calibri" w:cs="Calibri"/>
        </w:rPr>
        <w:t xml:space="preserve"> 1:253).</w:t>
      </w:r>
      <w:r w:rsidR="00A43476" w:rsidRPr="001005B7">
        <w:rPr>
          <w:rFonts w:ascii="Calibri" w:hAnsi="Calibri" w:cs="Calibri"/>
        </w:rPr>
        <w:t xml:space="preserve"> </w:t>
      </w:r>
      <w:r w:rsidR="002E4374" w:rsidRPr="001005B7">
        <w:rPr>
          <w:rFonts w:ascii="Calibri" w:hAnsi="Calibri" w:cs="Calibri"/>
        </w:rPr>
        <w:t>The repetition</w:t>
      </w:r>
      <w:r w:rsidR="000B47C5" w:rsidRPr="001005B7">
        <w:rPr>
          <w:rFonts w:ascii="Calibri" w:hAnsi="Calibri" w:cs="Calibri"/>
        </w:rPr>
        <w:t>s</w:t>
      </w:r>
      <w:r w:rsidR="002E4374" w:rsidRPr="001005B7">
        <w:rPr>
          <w:rFonts w:ascii="Calibri" w:hAnsi="Calibri" w:cs="Calibri"/>
        </w:rPr>
        <w:t xml:space="preserve"> </w:t>
      </w:r>
      <w:r w:rsidR="000B47C5" w:rsidRPr="001005B7">
        <w:t>underscore</w:t>
      </w:r>
      <w:r w:rsidR="00E83456" w:rsidRPr="001005B7">
        <w:t xml:space="preserve"> features of the message</w:t>
      </w:r>
      <w:r w:rsidR="00EF44F8" w:rsidRPr="001005B7">
        <w:t xml:space="preserve">: </w:t>
      </w:r>
      <w:r w:rsidR="00E83456" w:rsidRPr="001005B7">
        <w:t xml:space="preserve">the </w:t>
      </w:r>
      <w:r w:rsidR="003F3B2A" w:rsidRPr="001005B7">
        <w:t xml:space="preserve">motif of the end </w:t>
      </w:r>
      <w:r w:rsidR="00EF44F8" w:rsidRPr="001005B7">
        <w:t>that is</w:t>
      </w:r>
      <w:r w:rsidR="003F3B2A" w:rsidRPr="001005B7">
        <w:t xml:space="preserve"> imminent</w:t>
      </w:r>
      <w:r w:rsidR="00D0244F" w:rsidRPr="001005B7">
        <w:t>, its being an expression of Yahweh’s anger</w:t>
      </w:r>
      <w:r w:rsidR="00D5361A" w:rsidRPr="001005B7">
        <w:t xml:space="preserve"> at the outrageous nature of the roads that Jerusalem walks</w:t>
      </w:r>
      <w:r w:rsidR="00DA6004" w:rsidRPr="001005B7">
        <w:t xml:space="preserve">, his unsparing and unpitying </w:t>
      </w:r>
      <w:r w:rsidR="00245CCB" w:rsidRPr="001005B7">
        <w:t>resolve</w:t>
      </w:r>
      <w:r w:rsidR="003D0A48" w:rsidRPr="001005B7">
        <w:t xml:space="preserve">, his intent that </w:t>
      </w:r>
      <w:r w:rsidR="00E93F2E" w:rsidRPr="001005B7">
        <w:t>the message</w:t>
      </w:r>
      <w:r w:rsidR="003D0A48" w:rsidRPr="001005B7">
        <w:t xml:space="preserve"> should </w:t>
      </w:r>
      <w:r w:rsidR="00245CCB" w:rsidRPr="001005B7">
        <w:t>bring</w:t>
      </w:r>
      <w:r w:rsidR="007850DD" w:rsidRPr="001005B7">
        <w:t xml:space="preserve"> </w:t>
      </w:r>
      <w:r w:rsidR="003D0A48" w:rsidRPr="001005B7">
        <w:t xml:space="preserve">his hearers (in </w:t>
      </w:r>
      <w:proofErr w:type="spellStart"/>
      <w:r w:rsidR="003D0A48" w:rsidRPr="001005B7">
        <w:t>Kebar</w:t>
      </w:r>
      <w:proofErr w:type="spellEnd"/>
      <w:r w:rsidR="003D0A48" w:rsidRPr="001005B7">
        <w:t>)</w:t>
      </w:r>
      <w:r w:rsidR="007850DD" w:rsidRPr="001005B7">
        <w:t xml:space="preserve"> </w:t>
      </w:r>
      <w:r w:rsidR="00245CCB" w:rsidRPr="001005B7">
        <w:t xml:space="preserve">to </w:t>
      </w:r>
      <w:r w:rsidR="007850DD" w:rsidRPr="001005B7">
        <w:t>recogniz</w:t>
      </w:r>
      <w:r w:rsidR="00245CCB" w:rsidRPr="001005B7">
        <w:t>e</w:t>
      </w:r>
      <w:r w:rsidR="007850DD" w:rsidRPr="001005B7">
        <w:t xml:space="preserve"> Yahweh. </w:t>
      </w:r>
      <w:r w:rsidR="00F4005A" w:rsidRPr="001005B7">
        <w:t xml:space="preserve">The differences </w:t>
      </w:r>
      <w:r w:rsidR="007D728A" w:rsidRPr="001005B7">
        <w:t xml:space="preserve">in the second version </w:t>
      </w:r>
      <w:r w:rsidR="00960978" w:rsidRPr="001005B7">
        <w:t>make</w:t>
      </w:r>
      <w:r w:rsidR="007D728A" w:rsidRPr="001005B7">
        <w:t xml:space="preserve"> </w:t>
      </w:r>
      <w:r w:rsidR="00F4005A" w:rsidRPr="001005B7">
        <w:t>other mo</w:t>
      </w:r>
      <w:r w:rsidR="00D0244F" w:rsidRPr="001005B7">
        <w:t>tifs</w:t>
      </w:r>
      <w:r w:rsidR="00960978" w:rsidRPr="001005B7">
        <w:t xml:space="preserve"> explicit</w:t>
      </w:r>
      <w:r w:rsidR="009300F5" w:rsidRPr="001005B7">
        <w:t>: the end as an expression of doom</w:t>
      </w:r>
      <w:r w:rsidR="00465D79" w:rsidRPr="001005B7">
        <w:t>, the cer</w:t>
      </w:r>
      <w:r w:rsidR="008F13B5" w:rsidRPr="001005B7">
        <w:t xml:space="preserve">tainty that </w:t>
      </w:r>
      <w:r w:rsidR="00727718">
        <w:t>the end</w:t>
      </w:r>
      <w:r w:rsidR="008F13B5" w:rsidRPr="001005B7">
        <w:t xml:space="preserve"> is waking up,</w:t>
      </w:r>
      <w:r w:rsidR="00B05951">
        <w:t xml:space="preserve"> </w:t>
      </w:r>
      <w:r w:rsidR="00A91FFF">
        <w:t>and</w:t>
      </w:r>
      <w:r w:rsidR="008F13B5" w:rsidRPr="001005B7">
        <w:t xml:space="preserve"> its </w:t>
      </w:r>
      <w:r w:rsidR="00AB21C1" w:rsidRPr="001005B7">
        <w:t>nature as tumult and no</w:t>
      </w:r>
      <w:r w:rsidR="00050566" w:rsidRPr="001005B7">
        <w:t>t something to celebrate.</w:t>
      </w:r>
    </w:p>
    <w:p w14:paraId="3BA4A31F" w14:textId="4A8F84E7" w:rsidR="007316D6" w:rsidRPr="001005B7" w:rsidRDefault="00EA4069" w:rsidP="00683E69">
      <w:r w:rsidRPr="001005B7">
        <w:t xml:space="preserve">After the opening two </w:t>
      </w:r>
      <w:r w:rsidR="00FF488C" w:rsidRPr="001005B7">
        <w:t xml:space="preserve">overlapping </w:t>
      </w:r>
      <w:r w:rsidRPr="001005B7">
        <w:t>message</w:t>
      </w:r>
      <w:r w:rsidR="00FF488C" w:rsidRPr="001005B7">
        <w:t>s</w:t>
      </w:r>
      <w:r w:rsidRPr="001005B7">
        <w:t>, t</w:t>
      </w:r>
      <w:r w:rsidR="00797025" w:rsidRPr="001005B7">
        <w:t>he main bulk of the chapter</w:t>
      </w:r>
      <w:r w:rsidR="007C303E" w:rsidRPr="001005B7">
        <w:t xml:space="preserve"> in 7:10</w:t>
      </w:r>
      <w:r w:rsidR="00F46900" w:rsidRPr="001005B7">
        <w:t>–</w:t>
      </w:r>
      <w:r w:rsidR="007C303E" w:rsidRPr="001005B7">
        <w:t>27</w:t>
      </w:r>
      <w:r w:rsidR="0045495F" w:rsidRPr="001005B7">
        <w:t xml:space="preserve"> </w:t>
      </w:r>
      <w:r w:rsidR="003079F6" w:rsidRPr="001005B7">
        <w:t>has no introductio</w:t>
      </w:r>
      <w:r w:rsidR="00D82AFC" w:rsidRPr="001005B7">
        <w:t xml:space="preserve">n. It </w:t>
      </w:r>
      <w:r w:rsidR="00325758" w:rsidRPr="001005B7">
        <w:t>just continues</w:t>
      </w:r>
      <w:r w:rsidR="003079F6" w:rsidRPr="001005B7">
        <w:t xml:space="preserve"> from </w:t>
      </w:r>
      <w:r w:rsidR="0042084A" w:rsidRPr="001005B7">
        <w:t>7:</w:t>
      </w:r>
      <w:r w:rsidR="00BE6A38" w:rsidRPr="001005B7">
        <w:t>5</w:t>
      </w:r>
      <w:r w:rsidR="00F46900" w:rsidRPr="001005B7">
        <w:t>–</w:t>
      </w:r>
      <w:r w:rsidR="00BE6A38" w:rsidRPr="001005B7">
        <w:t>9</w:t>
      </w:r>
      <w:r w:rsidR="00643DB0" w:rsidRPr="001005B7">
        <w:t xml:space="preserve"> (cf. Sweeney, 48).</w:t>
      </w:r>
      <w:r w:rsidR="00BE6A38" w:rsidRPr="001005B7">
        <w:t xml:space="preserve"> </w:t>
      </w:r>
      <w:r w:rsidR="00CB60D0" w:rsidRPr="001005B7">
        <w:t>Like 7:1</w:t>
      </w:r>
      <w:r w:rsidR="00F46900" w:rsidRPr="001005B7">
        <w:t>–</w:t>
      </w:r>
      <w:r w:rsidR="00CB60D0" w:rsidRPr="001005B7">
        <w:t>9, it</w:t>
      </w:r>
      <w:r w:rsidR="0045495F" w:rsidRPr="001005B7">
        <w:t xml:space="preserve"> starts from the fact that </w:t>
      </w:r>
      <w:r w:rsidR="00286A7B" w:rsidRPr="001005B7">
        <w:t xml:space="preserve">doom is coming, </w:t>
      </w:r>
      <w:r w:rsidR="001C0B68" w:rsidRPr="001005B7">
        <w:t xml:space="preserve">that </w:t>
      </w:r>
      <w:r w:rsidR="00286A7B" w:rsidRPr="001005B7">
        <w:t>the end is coming</w:t>
      </w:r>
      <w:r w:rsidR="00632244" w:rsidRPr="001005B7">
        <w:t xml:space="preserve">, </w:t>
      </w:r>
      <w:r w:rsidR="001C0B68" w:rsidRPr="001005B7">
        <w:t xml:space="preserve">that </w:t>
      </w:r>
      <w:r w:rsidR="009C1611" w:rsidRPr="001005B7">
        <w:t>the day is coming, and</w:t>
      </w:r>
      <w:r w:rsidR="006F463B" w:rsidRPr="001005B7">
        <w:t xml:space="preserve"> </w:t>
      </w:r>
      <w:r w:rsidR="00A91FFF">
        <w:t xml:space="preserve">it </w:t>
      </w:r>
      <w:r w:rsidR="005D5E04" w:rsidRPr="001005B7">
        <w:t>closes</w:t>
      </w:r>
      <w:r w:rsidR="00147557" w:rsidRPr="001005B7">
        <w:t xml:space="preserve"> </w:t>
      </w:r>
      <w:r w:rsidR="001C0B68" w:rsidRPr="001005B7">
        <w:t xml:space="preserve">with </w:t>
      </w:r>
      <w:r w:rsidR="005D5E04" w:rsidRPr="001005B7">
        <w:t>people</w:t>
      </w:r>
      <w:r w:rsidR="00894A7F" w:rsidRPr="001005B7">
        <w:t xml:space="preserve"> acknowledg</w:t>
      </w:r>
      <w:r w:rsidR="001C0B68" w:rsidRPr="001005B7">
        <w:t>ing</w:t>
      </w:r>
      <w:r w:rsidR="00894A7F" w:rsidRPr="001005B7">
        <w:t xml:space="preserve"> </w:t>
      </w:r>
      <w:r w:rsidR="005D5E04" w:rsidRPr="001005B7">
        <w:t>Yahweh.</w:t>
      </w:r>
      <w:r w:rsidR="00963517" w:rsidRPr="001005B7">
        <w:t xml:space="preserve"> It includes </w:t>
      </w:r>
      <w:r w:rsidR="007316D6" w:rsidRPr="001005B7">
        <w:t xml:space="preserve">no formal markers </w:t>
      </w:r>
      <w:r w:rsidR="00490966" w:rsidRPr="001005B7">
        <w:t xml:space="preserve">indicating where </w:t>
      </w:r>
      <w:r w:rsidR="00A160C1" w:rsidRPr="001005B7">
        <w:t>units</w:t>
      </w:r>
      <w:r w:rsidR="00963517" w:rsidRPr="001005B7">
        <w:t xml:space="preserve"> </w:t>
      </w:r>
      <w:r w:rsidR="009D50F7" w:rsidRPr="001005B7">
        <w:t xml:space="preserve">might have </w:t>
      </w:r>
      <w:r w:rsidR="00490966" w:rsidRPr="001005B7">
        <w:t>beg</w:t>
      </w:r>
      <w:r w:rsidR="00E45B45" w:rsidRPr="001005B7">
        <w:t>u</w:t>
      </w:r>
      <w:r w:rsidR="000E74DF" w:rsidRPr="001005B7">
        <w:t>n</w:t>
      </w:r>
      <w:r w:rsidR="00490966" w:rsidRPr="001005B7">
        <w:t xml:space="preserve"> </w:t>
      </w:r>
      <w:r w:rsidR="007F6CA8" w:rsidRPr="001005B7">
        <w:t>a</w:t>
      </w:r>
      <w:r w:rsidR="00490966" w:rsidRPr="001005B7">
        <w:t>nd end</w:t>
      </w:r>
      <w:r w:rsidR="000E74DF" w:rsidRPr="001005B7">
        <w:t>ed</w:t>
      </w:r>
      <w:r w:rsidR="00490966" w:rsidRPr="001005B7">
        <w:t xml:space="preserve"> before </w:t>
      </w:r>
      <w:r w:rsidR="00E45B45" w:rsidRPr="001005B7">
        <w:t xml:space="preserve">being </w:t>
      </w:r>
      <w:r w:rsidR="00490966" w:rsidRPr="001005B7">
        <w:t>put together</w:t>
      </w:r>
      <w:r w:rsidR="00E45B45" w:rsidRPr="001005B7">
        <w:t xml:space="preserve"> here. I</w:t>
      </w:r>
      <w:r w:rsidR="007938E4" w:rsidRPr="001005B7">
        <w:t xml:space="preserve">t does incorporate </w:t>
      </w:r>
      <w:r w:rsidR="00137DF8" w:rsidRPr="001005B7">
        <w:t>notes that m</w:t>
      </w:r>
      <w:r w:rsidR="007938E4" w:rsidRPr="001005B7">
        <w:t>ay</w:t>
      </w:r>
      <w:r w:rsidR="00137DF8" w:rsidRPr="001005B7">
        <w:t xml:space="preserve"> s</w:t>
      </w:r>
      <w:r w:rsidR="0050630F" w:rsidRPr="001005B7">
        <w:t>ignify</w:t>
      </w:r>
      <w:r w:rsidR="00137DF8" w:rsidRPr="001005B7">
        <w:t xml:space="preserve"> </w:t>
      </w:r>
      <w:r w:rsidR="006D2324" w:rsidRPr="001005B7">
        <w:t xml:space="preserve">transitions from one </w:t>
      </w:r>
      <w:r w:rsidR="006F463B" w:rsidRPr="001005B7">
        <w:t>unit</w:t>
      </w:r>
      <w:r w:rsidR="007938E4" w:rsidRPr="001005B7">
        <w:t xml:space="preserve"> </w:t>
      </w:r>
      <w:r w:rsidR="009132FD" w:rsidRPr="001005B7">
        <w:t>to another</w:t>
      </w:r>
      <w:r w:rsidR="002732B0" w:rsidRPr="001005B7">
        <w:t xml:space="preserve">, as well as </w:t>
      </w:r>
      <w:r w:rsidR="00B83CB9" w:rsidRPr="001005B7">
        <w:t xml:space="preserve">motifs in common between the </w:t>
      </w:r>
      <w:r w:rsidR="00E67F8C" w:rsidRPr="001005B7">
        <w:t>units</w:t>
      </w:r>
      <w:r w:rsidR="00B83CB9" w:rsidRPr="001005B7">
        <w:t xml:space="preserve"> that suggest they </w:t>
      </w:r>
      <w:r w:rsidR="002732B0" w:rsidRPr="001005B7">
        <w:t>a</w:t>
      </w:r>
      <w:r w:rsidR="00B83CB9" w:rsidRPr="001005B7">
        <w:t xml:space="preserve">re </w:t>
      </w:r>
      <w:r w:rsidR="002732B0" w:rsidRPr="001005B7">
        <w:t xml:space="preserve">integrally </w:t>
      </w:r>
      <w:r w:rsidR="00B83CB9" w:rsidRPr="001005B7">
        <w:t>parts of this longer piece</w:t>
      </w:r>
      <w:r w:rsidR="002732B0" w:rsidRPr="001005B7">
        <w:t xml:space="preserve"> </w:t>
      </w:r>
      <w:r w:rsidR="00AB46A0" w:rsidRPr="001005B7">
        <w:t>ra</w:t>
      </w:r>
      <w:r w:rsidR="000E74DF" w:rsidRPr="001005B7">
        <w:t>t</w:t>
      </w:r>
      <w:r w:rsidR="00AB46A0" w:rsidRPr="001005B7">
        <w:t>her than an assemblage of originally separate messages</w:t>
      </w:r>
      <w:r w:rsidR="00B83CB9" w:rsidRPr="001005B7">
        <w:t>.</w:t>
      </w:r>
      <w:r w:rsidR="00AB46A0" w:rsidRPr="001005B7">
        <w:t xml:space="preserve"> </w:t>
      </w:r>
      <w:r w:rsidR="0007771A" w:rsidRPr="001005B7">
        <w:t>One might outline it:</w:t>
      </w:r>
    </w:p>
    <w:p w14:paraId="3D3A929E" w14:textId="77777777" w:rsidR="002A6CCE" w:rsidRPr="001005B7" w:rsidRDefault="002A6CCE" w:rsidP="00237305"/>
    <w:p w14:paraId="7E2AAB2D" w14:textId="2533AE09" w:rsidR="002F61D1" w:rsidRPr="001005B7" w:rsidRDefault="00F41746" w:rsidP="00237305">
      <w:r w:rsidRPr="001005B7">
        <w:t xml:space="preserve">The day that is coming </w:t>
      </w:r>
      <w:r w:rsidR="002F61D1" w:rsidRPr="001005B7">
        <w:t>(</w:t>
      </w:r>
      <w:r w:rsidR="0042084A" w:rsidRPr="001005B7">
        <w:t>7:</w:t>
      </w:r>
      <w:r w:rsidR="002F61D1" w:rsidRPr="001005B7">
        <w:t>10</w:t>
      </w:r>
      <w:r w:rsidR="00F46900" w:rsidRPr="001005B7">
        <w:t>–</w:t>
      </w:r>
      <w:r w:rsidR="002F61D1" w:rsidRPr="001005B7">
        <w:t>13)</w:t>
      </w:r>
    </w:p>
    <w:p w14:paraId="48F49253" w14:textId="57582820" w:rsidR="00920A75" w:rsidRPr="001005B7" w:rsidRDefault="00F41746" w:rsidP="00237305">
      <w:r w:rsidRPr="001005B7">
        <w:tab/>
      </w:r>
      <w:r w:rsidR="001B043B" w:rsidRPr="001005B7">
        <w:t xml:space="preserve">Following </w:t>
      </w:r>
      <w:r w:rsidR="003D021F" w:rsidRPr="001005B7">
        <w:t>7:</w:t>
      </w:r>
      <w:r w:rsidR="001B043B" w:rsidRPr="001005B7">
        <w:t xml:space="preserve">9, </w:t>
      </w:r>
      <w:r w:rsidR="00920A75" w:rsidRPr="001005B7">
        <w:t>there is a new beginning</w:t>
      </w:r>
    </w:p>
    <w:p w14:paraId="27B9D0FF" w14:textId="699D50B4" w:rsidR="00F41746" w:rsidRPr="001005B7" w:rsidRDefault="000C119B" w:rsidP="00920A75">
      <w:pPr>
        <w:ind w:left="720"/>
      </w:pPr>
      <w:r w:rsidRPr="001005B7">
        <w:t>The last colon</w:t>
      </w:r>
      <w:r w:rsidR="009D2A42">
        <w:t>*</w:t>
      </w:r>
      <w:r w:rsidRPr="001005B7">
        <w:t xml:space="preserve"> in </w:t>
      </w:r>
      <w:r w:rsidR="003D021F" w:rsidRPr="001005B7">
        <w:t>7:</w:t>
      </w:r>
      <w:r w:rsidRPr="001005B7">
        <w:t>13 may be a dramatic conclusion</w:t>
      </w:r>
    </w:p>
    <w:p w14:paraId="1D89EC52" w14:textId="3548FD39" w:rsidR="008A5011" w:rsidRPr="001005B7" w:rsidRDefault="00C356B5" w:rsidP="00237305">
      <w:r w:rsidRPr="001005B7">
        <w:t xml:space="preserve">The totality of the calamity </w:t>
      </w:r>
      <w:r w:rsidR="008A5011" w:rsidRPr="001005B7">
        <w:t>(</w:t>
      </w:r>
      <w:r w:rsidR="0042084A" w:rsidRPr="001005B7">
        <w:t>7:</w:t>
      </w:r>
      <w:r w:rsidR="008A5011" w:rsidRPr="001005B7">
        <w:t>14</w:t>
      </w:r>
      <w:r w:rsidR="00F46900" w:rsidRPr="001005B7">
        <w:t>–</w:t>
      </w:r>
      <w:r w:rsidR="008A5011" w:rsidRPr="001005B7">
        <w:t>18)</w:t>
      </w:r>
    </w:p>
    <w:p w14:paraId="55AEAC26" w14:textId="77777777" w:rsidR="001B043B" w:rsidRPr="001005B7" w:rsidRDefault="00DE6390" w:rsidP="0052429D">
      <w:pPr>
        <w:ind w:left="1440" w:firstLine="0"/>
      </w:pPr>
      <w:r w:rsidRPr="001005B7">
        <w:t xml:space="preserve">The </w:t>
      </w:r>
      <w:r w:rsidR="00706CCB" w:rsidRPr="001005B7">
        <w:t xml:space="preserve">new imagery may suggest a beginning </w:t>
      </w:r>
    </w:p>
    <w:p w14:paraId="1C70BF4A" w14:textId="4A4B3779" w:rsidR="00DE6390" w:rsidRPr="001005B7" w:rsidRDefault="001B043B" w:rsidP="0052429D">
      <w:pPr>
        <w:ind w:left="1440" w:firstLine="0"/>
      </w:pPr>
      <w:r w:rsidRPr="001005B7">
        <w:t>T</w:t>
      </w:r>
      <w:r w:rsidR="00706CCB" w:rsidRPr="001005B7">
        <w:t xml:space="preserve">he </w:t>
      </w:r>
      <w:r w:rsidR="00DE6390" w:rsidRPr="001005B7">
        <w:t xml:space="preserve">fourfold </w:t>
      </w:r>
      <w:r w:rsidR="00EA5907" w:rsidRPr="001005B7">
        <w:t>“</w:t>
      </w:r>
      <w:r w:rsidR="00DE6390" w:rsidRPr="001005B7">
        <w:t>all</w:t>
      </w:r>
      <w:r w:rsidR="00EA5907" w:rsidRPr="001005B7">
        <w:t>”</w:t>
      </w:r>
      <w:r w:rsidR="00DE6390" w:rsidRPr="001005B7">
        <w:t xml:space="preserve"> may suggest an ending</w:t>
      </w:r>
    </w:p>
    <w:p w14:paraId="5A482B42" w14:textId="17EE4708" w:rsidR="0052429D" w:rsidRPr="001005B7" w:rsidRDefault="00250130" w:rsidP="00250130">
      <w:r w:rsidRPr="001005B7">
        <w:t xml:space="preserve">The </w:t>
      </w:r>
      <w:r w:rsidR="00A147E6" w:rsidRPr="001005B7">
        <w:t>sil</w:t>
      </w:r>
      <w:r w:rsidRPr="001005B7">
        <w:t>ver and gold and the</w:t>
      </w:r>
      <w:r w:rsidR="00A147E6" w:rsidRPr="001005B7">
        <w:t xml:space="preserve"> </w:t>
      </w:r>
      <w:r w:rsidR="00F30A62" w:rsidRPr="001005B7">
        <w:t>object it makes</w:t>
      </w:r>
      <w:r w:rsidRPr="001005B7">
        <w:t xml:space="preserve"> </w:t>
      </w:r>
      <w:r w:rsidR="0052429D" w:rsidRPr="001005B7">
        <w:t>(</w:t>
      </w:r>
      <w:r w:rsidR="0042084A" w:rsidRPr="001005B7">
        <w:t>7:</w:t>
      </w:r>
      <w:r w:rsidR="0052429D" w:rsidRPr="001005B7">
        <w:t>19</w:t>
      </w:r>
      <w:r w:rsidR="00F46900" w:rsidRPr="001005B7">
        <w:t>–</w:t>
      </w:r>
      <w:r w:rsidRPr="001005B7">
        <w:t>22)</w:t>
      </w:r>
    </w:p>
    <w:p w14:paraId="7C985191" w14:textId="4DE859EC" w:rsidR="00250130" w:rsidRPr="001005B7" w:rsidRDefault="00250130" w:rsidP="00250130">
      <w:r w:rsidRPr="001005B7">
        <w:tab/>
        <w:t>The new imagery may again suggest a beginning</w:t>
      </w:r>
    </w:p>
    <w:p w14:paraId="3FD9EA38" w14:textId="19268264" w:rsidR="00107ED8" w:rsidRPr="001005B7" w:rsidRDefault="00A80E80" w:rsidP="00250130">
      <w:r w:rsidRPr="001005B7">
        <w:tab/>
        <w:t xml:space="preserve">The tricolon in </w:t>
      </w:r>
      <w:r w:rsidR="003D021F" w:rsidRPr="001005B7">
        <w:t>7:</w:t>
      </w:r>
      <w:r w:rsidRPr="001005B7">
        <w:t>22 may suggest an ending</w:t>
      </w:r>
    </w:p>
    <w:p w14:paraId="1CD2941D" w14:textId="2BB5FAD2" w:rsidR="009132FD" w:rsidRPr="001005B7" w:rsidRDefault="00A020E9" w:rsidP="00250130">
      <w:r w:rsidRPr="001005B7">
        <w:t xml:space="preserve">The rationale for the </w:t>
      </w:r>
      <w:r w:rsidR="0022664B" w:rsidRPr="001005B7">
        <w:t xml:space="preserve">calamity </w:t>
      </w:r>
      <w:r w:rsidR="009132FD" w:rsidRPr="001005B7">
        <w:t>(23</w:t>
      </w:r>
      <w:r w:rsidR="00F46900" w:rsidRPr="001005B7">
        <w:t>–</w:t>
      </w:r>
      <w:r w:rsidR="009132FD" w:rsidRPr="001005B7">
        <w:t>27)</w:t>
      </w:r>
    </w:p>
    <w:p w14:paraId="6F1174B1" w14:textId="39F293C5" w:rsidR="00D80B70" w:rsidRPr="001005B7" w:rsidRDefault="0022664B" w:rsidP="00237305">
      <w:r w:rsidRPr="001005B7">
        <w:tab/>
      </w:r>
      <w:r w:rsidR="0056774E" w:rsidRPr="001005B7">
        <w:t xml:space="preserve">Again, </w:t>
      </w:r>
      <w:r w:rsidRPr="001005B7">
        <w:t>the</w:t>
      </w:r>
      <w:r w:rsidR="0056774E" w:rsidRPr="001005B7">
        <w:t xml:space="preserve"> new image</w:t>
      </w:r>
      <w:r w:rsidRPr="001005B7">
        <w:t xml:space="preserve">, </w:t>
      </w:r>
      <w:r w:rsidR="00E01D6F" w:rsidRPr="001005B7">
        <w:t>the</w:t>
      </w:r>
      <w:r w:rsidRPr="001005B7">
        <w:t xml:space="preserve"> imperative </w:t>
      </w:r>
      <w:r w:rsidR="0056774E" w:rsidRPr="001005B7">
        <w:t xml:space="preserve">and </w:t>
      </w:r>
      <w:r w:rsidR="00E01D6F" w:rsidRPr="001005B7">
        <w:t>the</w:t>
      </w:r>
      <w:r w:rsidR="0056774E" w:rsidRPr="001005B7">
        <w:t xml:space="preserve"> tricolon may suggest a</w:t>
      </w:r>
      <w:r w:rsidR="00E01D6F" w:rsidRPr="001005B7">
        <w:t xml:space="preserve"> </w:t>
      </w:r>
      <w:r w:rsidR="0056774E" w:rsidRPr="001005B7">
        <w:t xml:space="preserve">beginning </w:t>
      </w:r>
    </w:p>
    <w:p w14:paraId="194E8432" w14:textId="05851389" w:rsidR="0056774E" w:rsidRPr="001005B7" w:rsidRDefault="0056774E" w:rsidP="00237305">
      <w:r w:rsidRPr="001005B7">
        <w:tab/>
      </w:r>
      <w:r w:rsidR="00BC750A" w:rsidRPr="001005B7">
        <w:t>T</w:t>
      </w:r>
      <w:r w:rsidRPr="001005B7">
        <w:t xml:space="preserve">here is no doubt that </w:t>
      </w:r>
      <w:r w:rsidR="003D021F" w:rsidRPr="001005B7">
        <w:t>7:</w:t>
      </w:r>
      <w:r w:rsidRPr="001005B7">
        <w:t>27 is a conclusion.</w:t>
      </w:r>
      <w:r w:rsidRPr="001005B7">
        <w:tab/>
      </w:r>
    </w:p>
    <w:p w14:paraId="6C743A99" w14:textId="77777777" w:rsidR="00C31C81" w:rsidRPr="001005B7" w:rsidRDefault="00C31C81" w:rsidP="00237305"/>
    <w:p w14:paraId="35D90271" w14:textId="77777777" w:rsidR="00BC09EF" w:rsidRDefault="00DB6B95" w:rsidP="00D62B94">
      <w:r w:rsidRPr="001005B7">
        <w:t>As well as having</w:t>
      </w:r>
      <w:r w:rsidR="007737F0" w:rsidRPr="001005B7">
        <w:t xml:space="preserve"> points of connection with </w:t>
      </w:r>
      <w:r w:rsidR="00351EBC" w:rsidRPr="001005B7">
        <w:t>preceding messages in the scroll</w:t>
      </w:r>
      <w:r w:rsidRPr="001005B7">
        <w:t>, Ezek 7</w:t>
      </w:r>
      <w:r w:rsidR="00351EBC" w:rsidRPr="001005B7">
        <w:t xml:space="preserve"> makes connections with the messages of earlier prophets.</w:t>
      </w:r>
      <w:r w:rsidR="00C20002" w:rsidRPr="001005B7">
        <w:t xml:space="preserve"> Amos </w:t>
      </w:r>
      <w:r w:rsidR="00316710" w:rsidRPr="001005B7">
        <w:t>had long ago declared that</w:t>
      </w:r>
      <w:r w:rsidR="00C20002" w:rsidRPr="001005B7">
        <w:t xml:space="preserve"> </w:t>
      </w:r>
      <w:r w:rsidR="00BC750A" w:rsidRPr="001005B7">
        <w:t>“</w:t>
      </w:r>
      <w:r w:rsidR="00D951BB" w:rsidRPr="001005B7">
        <w:t>the end is coming</w:t>
      </w:r>
      <w:r w:rsidR="00BC750A" w:rsidRPr="001005B7">
        <w:t>”</w:t>
      </w:r>
      <w:r w:rsidR="00D951BB" w:rsidRPr="001005B7">
        <w:t xml:space="preserve"> </w:t>
      </w:r>
      <w:r w:rsidR="00ED11B4" w:rsidRPr="001005B7">
        <w:t>for Ephraim (8:2)</w:t>
      </w:r>
      <w:r w:rsidR="006943E2" w:rsidRPr="001005B7">
        <w:t xml:space="preserve">, as it was, and that </w:t>
      </w:r>
      <w:r w:rsidR="00C20002" w:rsidRPr="001005B7">
        <w:t>Yahweh’s</w:t>
      </w:r>
      <w:r w:rsidR="007737F0" w:rsidRPr="001005B7">
        <w:t xml:space="preserve"> </w:t>
      </w:r>
      <w:r w:rsidR="007725E8" w:rsidRPr="001005B7">
        <w:t xml:space="preserve">day </w:t>
      </w:r>
      <w:r w:rsidR="00344FDC" w:rsidRPr="001005B7">
        <w:t>was</w:t>
      </w:r>
      <w:r w:rsidR="007725E8" w:rsidRPr="001005B7">
        <w:t xml:space="preserve"> </w:t>
      </w:r>
      <w:r w:rsidR="00087925" w:rsidRPr="001005B7">
        <w:t>arriving</w:t>
      </w:r>
      <w:r w:rsidR="007725E8" w:rsidRPr="001005B7">
        <w:t xml:space="preserve"> for Ephraim as a day of </w:t>
      </w:r>
      <w:r w:rsidR="00600C97" w:rsidRPr="001005B7">
        <w:t>ultimate calamity (5:</w:t>
      </w:r>
      <w:r w:rsidR="0020694F" w:rsidRPr="001005B7">
        <w:t>18</w:t>
      </w:r>
      <w:r w:rsidR="00F46900" w:rsidRPr="001005B7">
        <w:t>–</w:t>
      </w:r>
      <w:r w:rsidR="0020694F" w:rsidRPr="001005B7">
        <w:t>20)</w:t>
      </w:r>
      <w:r w:rsidR="00354B54" w:rsidRPr="001005B7">
        <w:t xml:space="preserve">, </w:t>
      </w:r>
      <w:r w:rsidR="00600C97" w:rsidRPr="001005B7">
        <w:t xml:space="preserve">as it </w:t>
      </w:r>
      <w:r w:rsidR="00EF6866" w:rsidRPr="001005B7">
        <w:t>was</w:t>
      </w:r>
      <w:r w:rsidR="009E4885" w:rsidRPr="001005B7">
        <w:t>.</w:t>
      </w:r>
      <w:r w:rsidR="003D11BE" w:rsidRPr="001005B7">
        <w:t xml:space="preserve"> </w:t>
      </w:r>
      <w:r w:rsidR="009E5648" w:rsidRPr="001005B7">
        <w:t xml:space="preserve">Ezek </w:t>
      </w:r>
      <w:r w:rsidR="00AD1BAE" w:rsidRPr="001005B7">
        <w:t xml:space="preserve">7 </w:t>
      </w:r>
      <w:r w:rsidR="009E5648" w:rsidRPr="001005B7">
        <w:t>does not use the expression “Yahweh’s day</w:t>
      </w:r>
      <w:r w:rsidR="00AD1BAE" w:rsidRPr="001005B7">
        <w:t xml:space="preserve">” (at least, </w:t>
      </w:r>
      <w:r w:rsidR="000B0D86" w:rsidRPr="001005B7">
        <w:rPr>
          <w:sz w:val="18"/>
          <w:szCs w:val="18"/>
        </w:rPr>
        <w:t>MT</w:t>
      </w:r>
      <w:r w:rsidR="00AD1BAE" w:rsidRPr="001005B7">
        <w:t xml:space="preserve"> does not; </w:t>
      </w:r>
      <w:r w:rsidR="00073A37" w:rsidRPr="001005B7">
        <w:rPr>
          <w:sz w:val="18"/>
          <w:szCs w:val="18"/>
        </w:rPr>
        <w:t>LXX</w:t>
      </w:r>
      <w:r w:rsidR="00AD1BAE" w:rsidRPr="001005B7">
        <w:t xml:space="preserve"> doe</w:t>
      </w:r>
      <w:r w:rsidR="00EF6676" w:rsidRPr="001005B7">
        <w:t>s</w:t>
      </w:r>
      <w:r w:rsidR="00AD1BAE" w:rsidRPr="001005B7">
        <w:t xml:space="preserve">, in </w:t>
      </w:r>
      <w:r w:rsidR="003D021F" w:rsidRPr="001005B7">
        <w:t>7:</w:t>
      </w:r>
      <w:r w:rsidR="00AD1BAE" w:rsidRPr="001005B7">
        <w:t>10)</w:t>
      </w:r>
      <w:r w:rsidR="002B6B81" w:rsidRPr="001005B7">
        <w:t>, but it</w:t>
      </w:r>
      <w:r w:rsidR="001C1D0F" w:rsidRPr="001005B7">
        <w:t xml:space="preserve"> </w:t>
      </w:r>
      <w:r w:rsidR="002B6B81" w:rsidRPr="001005B7">
        <w:t xml:space="preserve">speaks </w:t>
      </w:r>
      <w:r w:rsidR="001C1D0F" w:rsidRPr="001005B7">
        <w:t xml:space="preserve">four times </w:t>
      </w:r>
      <w:r w:rsidR="002B6B81" w:rsidRPr="001005B7">
        <w:t xml:space="preserve">of </w:t>
      </w:r>
      <w:r w:rsidR="004F2F55" w:rsidRPr="001005B7">
        <w:t>“</w:t>
      </w:r>
      <w:r w:rsidR="001C1D0F" w:rsidRPr="001005B7">
        <w:t>the</w:t>
      </w:r>
      <w:r w:rsidR="001C1D0F" w:rsidRPr="001005B7">
        <w:rPr>
          <w:i/>
          <w:iCs/>
        </w:rPr>
        <w:t xml:space="preserve"> </w:t>
      </w:r>
      <w:r w:rsidR="001C1D0F" w:rsidRPr="001005B7">
        <w:t>day.</w:t>
      </w:r>
      <w:r w:rsidR="004F2F55" w:rsidRPr="001005B7">
        <w:t>”</w:t>
      </w:r>
      <w:r w:rsidR="001C1D0F" w:rsidRPr="001005B7">
        <w:rPr>
          <w:i/>
          <w:iCs/>
        </w:rPr>
        <w:t xml:space="preserve"> </w:t>
      </w:r>
      <w:r w:rsidR="00365B98" w:rsidRPr="001005B7">
        <w:t>Ezekiel shows more detailed and systematic awareness of Zephaniah’s m</w:t>
      </w:r>
      <w:r w:rsidR="00B92751" w:rsidRPr="001005B7">
        <w:t>ore recent</w:t>
      </w:r>
      <w:r w:rsidR="003D11BE" w:rsidRPr="001005B7">
        <w:t xml:space="preserve"> declar</w:t>
      </w:r>
      <w:r w:rsidR="00365B98" w:rsidRPr="001005B7">
        <w:t>ations</w:t>
      </w:r>
      <w:r w:rsidR="003D11BE" w:rsidRPr="001005B7">
        <w:t xml:space="preserve"> </w:t>
      </w:r>
      <w:r w:rsidR="00287CA7" w:rsidRPr="001005B7">
        <w:t xml:space="preserve">that the </w:t>
      </w:r>
      <w:r w:rsidR="00790CC8" w:rsidRPr="001005B7">
        <w:t>threat</w:t>
      </w:r>
      <w:r w:rsidR="00287CA7" w:rsidRPr="001005B7">
        <w:t xml:space="preserve"> </w:t>
      </w:r>
      <w:r w:rsidR="00A95AA3" w:rsidRPr="001005B7">
        <w:t xml:space="preserve">to Ephraim </w:t>
      </w:r>
      <w:r w:rsidR="00287CA7" w:rsidRPr="001005B7">
        <w:t>applied to</w:t>
      </w:r>
      <w:r w:rsidR="00371490" w:rsidRPr="001005B7">
        <w:t xml:space="preserve"> Judah (1:</w:t>
      </w:r>
      <w:r w:rsidR="00E54060" w:rsidRPr="001005B7">
        <w:t>1</w:t>
      </w:r>
      <w:r w:rsidR="00F46900" w:rsidRPr="001005B7">
        <w:t>–</w:t>
      </w:r>
      <w:r w:rsidR="00205356" w:rsidRPr="001005B7">
        <w:t xml:space="preserve">18), and </w:t>
      </w:r>
      <w:r w:rsidR="00C42147" w:rsidRPr="001005B7">
        <w:t xml:space="preserve">the calamity in 597 as it </w:t>
      </w:r>
      <w:r w:rsidR="00A95AA3" w:rsidRPr="001005B7">
        <w:t xml:space="preserve">had </w:t>
      </w:r>
      <w:r w:rsidR="00C42147" w:rsidRPr="001005B7">
        <w:t xml:space="preserve">affected </w:t>
      </w:r>
      <w:r w:rsidR="00A95AA3" w:rsidRPr="001005B7">
        <w:t>the</w:t>
      </w:r>
      <w:r w:rsidR="003221BA" w:rsidRPr="001005B7">
        <w:t xml:space="preserve"> </w:t>
      </w:r>
      <w:r w:rsidR="00FB5259" w:rsidRPr="001005B7">
        <w:t xml:space="preserve">Judahites now in </w:t>
      </w:r>
      <w:proofErr w:type="spellStart"/>
      <w:r w:rsidR="003221BA" w:rsidRPr="001005B7">
        <w:t>Keba</w:t>
      </w:r>
      <w:r w:rsidR="00F36C0C" w:rsidRPr="001005B7">
        <w:t>r</w:t>
      </w:r>
      <w:proofErr w:type="spellEnd"/>
      <w:r w:rsidR="00F36C0C" w:rsidRPr="001005B7">
        <w:t xml:space="preserve"> </w:t>
      </w:r>
      <w:r w:rsidR="00FB3546" w:rsidRPr="001005B7">
        <w:t xml:space="preserve">could have seemed the </w:t>
      </w:r>
      <w:r w:rsidR="008E5C01" w:rsidRPr="001005B7">
        <w:t xml:space="preserve">vindication of this </w:t>
      </w:r>
      <w:r w:rsidR="005E4617" w:rsidRPr="001005B7">
        <w:t>warning</w:t>
      </w:r>
      <w:r w:rsidR="00F703A7" w:rsidRPr="001005B7">
        <w:t xml:space="preserve">. If </w:t>
      </w:r>
      <w:r w:rsidR="00BA5806" w:rsidRPr="001005B7">
        <w:t xml:space="preserve">it did, </w:t>
      </w:r>
      <w:r w:rsidR="007D2A44" w:rsidRPr="001005B7">
        <w:t xml:space="preserve">Ezekiel declares that </w:t>
      </w:r>
      <w:r w:rsidR="00F703A7" w:rsidRPr="001005B7">
        <w:t>nevertheless</w:t>
      </w:r>
      <w:r w:rsidR="007D2A44" w:rsidRPr="001005B7">
        <w:t xml:space="preserve"> the </w:t>
      </w:r>
      <w:r w:rsidR="009E4885" w:rsidRPr="001005B7">
        <w:t>threat still hangs over</w:t>
      </w:r>
      <w:r w:rsidR="007D2A44" w:rsidRPr="001005B7">
        <w:t xml:space="preserve"> Judah</w:t>
      </w:r>
      <w:r w:rsidR="00C174A6" w:rsidRPr="001005B7">
        <w:t xml:space="preserve">. </w:t>
      </w:r>
      <w:r w:rsidR="007C1E65" w:rsidRPr="001005B7">
        <w:t xml:space="preserve">Ezekiel’s other significant links are harder to </w:t>
      </w:r>
      <w:r w:rsidR="00CA5547" w:rsidRPr="001005B7">
        <w:t>interpret.</w:t>
      </w:r>
      <w:r w:rsidR="00E36432" w:rsidRPr="001005B7">
        <w:t xml:space="preserve"> He has many detailed </w:t>
      </w:r>
      <w:r w:rsidR="00C8503C" w:rsidRPr="001005B7">
        <w:t xml:space="preserve">verbal </w:t>
      </w:r>
      <w:r w:rsidR="00E36432" w:rsidRPr="001005B7">
        <w:t xml:space="preserve">points of connection with </w:t>
      </w:r>
      <w:r w:rsidR="007163F2" w:rsidRPr="001005B7">
        <w:t xml:space="preserve">the declaration </w:t>
      </w:r>
      <w:r w:rsidR="0031440D" w:rsidRPr="001005B7">
        <w:t xml:space="preserve">in Isa 13 </w:t>
      </w:r>
      <w:r w:rsidR="007163F2" w:rsidRPr="001005B7">
        <w:t xml:space="preserve">that Yahweh’s day has come for </w:t>
      </w:r>
      <w:r w:rsidR="009D21AF" w:rsidRPr="001005B7">
        <w:t>(Assyria and) Babylon</w:t>
      </w:r>
      <w:r w:rsidR="00E36432" w:rsidRPr="001005B7">
        <w:t xml:space="preserve">, </w:t>
      </w:r>
      <w:r w:rsidR="00514185" w:rsidRPr="001005B7">
        <w:t xml:space="preserve">but the </w:t>
      </w:r>
      <w:r w:rsidR="009A25DF" w:rsidRPr="001005B7">
        <w:t>question of the origin of th</w:t>
      </w:r>
      <w:r w:rsidR="00040E25" w:rsidRPr="001005B7">
        <w:t>at</w:t>
      </w:r>
      <w:r w:rsidR="009A25DF" w:rsidRPr="001005B7">
        <w:t xml:space="preserve"> chapter is convoluted</w:t>
      </w:r>
      <w:r w:rsidR="00CF60A4" w:rsidRPr="001005B7">
        <w:t xml:space="preserve">. </w:t>
      </w:r>
      <w:r w:rsidR="00771541" w:rsidRPr="001005B7">
        <w:t>Ezekiel might be implying that the day that has come for Assyria and is coming for Babylon</w:t>
      </w:r>
      <w:r w:rsidR="00CF60A4" w:rsidRPr="001005B7">
        <w:t xml:space="preserve"> has also come f</w:t>
      </w:r>
      <w:r w:rsidR="00BA4F41" w:rsidRPr="001005B7">
        <w:t>or</w:t>
      </w:r>
      <w:r w:rsidR="00CF60A4" w:rsidRPr="001005B7">
        <w:t xml:space="preserve"> Judah</w:t>
      </w:r>
      <w:r w:rsidR="00A74347" w:rsidRPr="001005B7">
        <w:t>,</w:t>
      </w:r>
      <w:r w:rsidR="00CF60A4" w:rsidRPr="001005B7">
        <w:t xml:space="preserve"> or Isa 13 might be declaring that the </w:t>
      </w:r>
      <w:r w:rsidR="00520D38" w:rsidRPr="001005B7">
        <w:t xml:space="preserve">day that </w:t>
      </w:r>
      <w:r w:rsidR="007F5940" w:rsidRPr="001005B7">
        <w:t xml:space="preserve">has come for Judah is coming for Babylon. </w:t>
      </w:r>
      <w:r w:rsidR="00BA4F41" w:rsidRPr="001005B7">
        <w:t xml:space="preserve">In turn, this parallel </w:t>
      </w:r>
      <w:r w:rsidR="00236842" w:rsidRPr="001005B7">
        <w:t>suggests</w:t>
      </w:r>
      <w:r w:rsidR="00EB5B36" w:rsidRPr="001005B7">
        <w:t xml:space="preserve"> a point of contact with Gen</w:t>
      </w:r>
      <w:r w:rsidR="00133835" w:rsidRPr="001005B7">
        <w:t xml:space="preserve"> 6:</w:t>
      </w:r>
      <w:r w:rsidR="007F2061" w:rsidRPr="001005B7">
        <w:t>13: “</w:t>
      </w:r>
      <w:r w:rsidR="005F16FD" w:rsidRPr="001005B7">
        <w:t>an</w:t>
      </w:r>
      <w:r w:rsidR="007F2061" w:rsidRPr="001005B7">
        <w:t xml:space="preserve"> end of all flesh is coming</w:t>
      </w:r>
      <w:r w:rsidR="005F16FD" w:rsidRPr="001005B7">
        <w:t xml:space="preserve">.” </w:t>
      </w:r>
      <w:r w:rsidR="0095506F" w:rsidRPr="001005B7">
        <w:t xml:space="preserve">The action that Yahweh took at the beginning is being repeated in Judah. </w:t>
      </w:r>
      <w:r w:rsidR="00236842" w:rsidRPr="001005B7">
        <w:t>C</w:t>
      </w:r>
      <w:r w:rsidR="00FE1157" w:rsidRPr="001005B7">
        <w:t xml:space="preserve">onversely, </w:t>
      </w:r>
      <w:r w:rsidR="009D0973" w:rsidRPr="001005B7">
        <w:t>Dan</w:t>
      </w:r>
      <w:r w:rsidR="006873F2" w:rsidRPr="001005B7">
        <w:t xml:space="preserve"> 8</w:t>
      </w:r>
      <w:r w:rsidR="00F46900" w:rsidRPr="001005B7">
        <w:t>–</w:t>
      </w:r>
      <w:r w:rsidR="006873F2" w:rsidRPr="001005B7">
        <w:t xml:space="preserve">12 will </w:t>
      </w:r>
      <w:r w:rsidR="00DF18FD" w:rsidRPr="001005B7">
        <w:t xml:space="preserve">declare that the end of which Ezekiel and these other prophets spoke is coming </w:t>
      </w:r>
      <w:r w:rsidR="00CA5E28" w:rsidRPr="001005B7">
        <w:t xml:space="preserve">for the world powers </w:t>
      </w:r>
      <w:r w:rsidR="006F423C" w:rsidRPr="001005B7">
        <w:t>in the context of the Maccabean crisis.</w:t>
      </w:r>
      <w:r w:rsidR="00DF18FD" w:rsidRPr="001005B7">
        <w:t xml:space="preserve"> </w:t>
      </w:r>
    </w:p>
    <w:p w14:paraId="27427DF4" w14:textId="3CA23506" w:rsidR="00470976" w:rsidRPr="001005B7" w:rsidRDefault="00CA5E28" w:rsidP="00D62B94">
      <w:r w:rsidRPr="001005B7">
        <w:t xml:space="preserve">Ezekiel was surely aware </w:t>
      </w:r>
      <w:r w:rsidR="00752C8D" w:rsidRPr="001005B7">
        <w:t xml:space="preserve">of </w:t>
      </w:r>
      <w:r w:rsidR="00DE22E7" w:rsidRPr="001005B7">
        <w:t>taking up</w:t>
      </w:r>
      <w:r w:rsidR="00752C8D" w:rsidRPr="001005B7">
        <w:t xml:space="preserve"> the message that Yahweh had earlier </w:t>
      </w:r>
      <w:r w:rsidR="00B54401" w:rsidRPr="001005B7">
        <w:t>issu</w:t>
      </w:r>
      <w:r w:rsidR="00752C8D" w:rsidRPr="001005B7">
        <w:t xml:space="preserve">ed through some of </w:t>
      </w:r>
      <w:r w:rsidR="00A92FDC" w:rsidRPr="001005B7">
        <w:t>his predecessors</w:t>
      </w:r>
      <w:r w:rsidR="00A14D8B" w:rsidRPr="001005B7">
        <w:t>,</w:t>
      </w:r>
      <w:r w:rsidR="004B7A4D" w:rsidRPr="001005B7">
        <w:t xml:space="preserve"> and </w:t>
      </w:r>
      <w:r w:rsidR="009701FC" w:rsidRPr="001005B7">
        <w:t xml:space="preserve">perhaps had a sense that this </w:t>
      </w:r>
      <w:r w:rsidR="00B54401" w:rsidRPr="001005B7">
        <w:t xml:space="preserve">link was </w:t>
      </w:r>
      <w:r w:rsidR="00096A2E" w:rsidRPr="001005B7">
        <w:t xml:space="preserve">one consideration that gave </w:t>
      </w:r>
      <w:r w:rsidR="0090169C" w:rsidRPr="001005B7">
        <w:t>authority to his message, though one cannot know</w:t>
      </w:r>
      <w:r w:rsidR="00B54401" w:rsidRPr="001005B7">
        <w:t xml:space="preserve"> </w:t>
      </w:r>
      <w:r w:rsidR="0090169C" w:rsidRPr="001005B7">
        <w:t xml:space="preserve">how far people in </w:t>
      </w:r>
      <w:proofErr w:type="spellStart"/>
      <w:r w:rsidR="0090169C" w:rsidRPr="001005B7">
        <w:t>Kebar</w:t>
      </w:r>
      <w:proofErr w:type="spellEnd"/>
      <w:r w:rsidR="0090169C" w:rsidRPr="001005B7">
        <w:t xml:space="preserve"> </w:t>
      </w:r>
      <w:r w:rsidR="00FB5FB5" w:rsidRPr="001005B7">
        <w:t xml:space="preserve">would be aware of </w:t>
      </w:r>
      <w:r w:rsidR="00B75282" w:rsidRPr="001005B7">
        <w:t>this background to his message.</w:t>
      </w:r>
    </w:p>
    <w:p w14:paraId="0047F229" w14:textId="77777777" w:rsidR="001303F3" w:rsidRPr="001005B7" w:rsidRDefault="001303F3" w:rsidP="00493833">
      <w:pPr>
        <w:pStyle w:val="Heading3"/>
      </w:pPr>
      <w:r w:rsidRPr="001005B7">
        <w:t>Translation</w:t>
      </w:r>
    </w:p>
    <w:p w14:paraId="6321CD28" w14:textId="3CE89843" w:rsidR="001303F3" w:rsidRPr="001005B7" w:rsidRDefault="001303F3" w:rsidP="001303F3">
      <w:r w:rsidRPr="001005B7">
        <w:rPr>
          <w:vertAlign w:val="superscript"/>
        </w:rPr>
        <w:t>1</w:t>
      </w:r>
      <w:r w:rsidRPr="001005B7">
        <w:t xml:space="preserve">Yahweh’s message came to me: </w:t>
      </w:r>
      <w:r w:rsidRPr="001005B7">
        <w:rPr>
          <w:vertAlign w:val="superscript"/>
        </w:rPr>
        <w:t>2</w:t>
      </w:r>
      <w:r w:rsidR="001B5655" w:rsidRPr="001005B7">
        <w:t>So y</w:t>
      </w:r>
      <w:r w:rsidRPr="001005B7">
        <w:t xml:space="preserve">ou, </w:t>
      </w:r>
      <w:r w:rsidR="00D3329B" w:rsidRPr="001005B7">
        <w:t>my man</w:t>
      </w:r>
      <w:r w:rsidRPr="001005B7">
        <w:t xml:space="preserve">. The Lord Yahweh has said this to Israel’s </w:t>
      </w:r>
      <w:r w:rsidR="00F706AC" w:rsidRPr="001005B7">
        <w:t>land</w:t>
      </w:r>
      <w:r w:rsidRPr="001005B7">
        <w:t xml:space="preserve">. </w:t>
      </w:r>
    </w:p>
    <w:p w14:paraId="22C87590" w14:textId="77777777" w:rsidR="001303F3" w:rsidRPr="001005B7" w:rsidRDefault="001303F3" w:rsidP="001303F3"/>
    <w:p w14:paraId="7F52EB1A" w14:textId="77777777" w:rsidR="001303F3" w:rsidRPr="001005B7" w:rsidRDefault="001303F3" w:rsidP="001303F3">
      <w:r w:rsidRPr="001005B7">
        <w:t>An end—the end is coming,</w:t>
      </w:r>
    </w:p>
    <w:p w14:paraId="2B1243D3" w14:textId="77777777" w:rsidR="001303F3" w:rsidRPr="001005B7" w:rsidRDefault="001303F3" w:rsidP="001303F3">
      <w:pPr>
        <w:ind w:left="720"/>
      </w:pPr>
      <w:r w:rsidRPr="001005B7">
        <w:t>upon the four corners of the earth.</w:t>
      </w:r>
    </w:p>
    <w:p w14:paraId="76C0C765" w14:textId="77777777" w:rsidR="001303F3" w:rsidRPr="001005B7" w:rsidRDefault="001303F3" w:rsidP="001303F3">
      <w:r w:rsidRPr="001005B7">
        <w:rPr>
          <w:vertAlign w:val="superscript"/>
        </w:rPr>
        <w:t>3</w:t>
      </w:r>
      <w:r w:rsidRPr="001005B7">
        <w:t>The end is now upon you,</w:t>
      </w:r>
    </w:p>
    <w:p w14:paraId="5CAE7469" w14:textId="77777777" w:rsidR="001303F3" w:rsidRPr="001005B7" w:rsidRDefault="001303F3" w:rsidP="001303F3">
      <w:r w:rsidRPr="001005B7">
        <w:tab/>
        <w:t>and I will send off my anger against you.</w:t>
      </w:r>
    </w:p>
    <w:p w14:paraId="2BB4D0C3" w14:textId="299B2198" w:rsidR="001303F3" w:rsidRPr="001005B7" w:rsidRDefault="001303F3" w:rsidP="001303F3">
      <w:r w:rsidRPr="001005B7">
        <w:t xml:space="preserve">I will rule in accordance with your </w:t>
      </w:r>
      <w:r w:rsidR="00DE35DB" w:rsidRPr="001005B7">
        <w:t>path</w:t>
      </w:r>
      <w:r w:rsidRPr="001005B7">
        <w:t>s,</w:t>
      </w:r>
    </w:p>
    <w:p w14:paraId="52B9A2E7" w14:textId="4C7220DF" w:rsidR="001303F3" w:rsidRPr="001005B7" w:rsidRDefault="001303F3" w:rsidP="001303F3">
      <w:r w:rsidRPr="001005B7">
        <w:tab/>
        <w:t xml:space="preserve">and </w:t>
      </w:r>
      <w:r w:rsidR="00EF3A3A" w:rsidRPr="001005B7">
        <w:t xml:space="preserve">lay </w:t>
      </w:r>
      <w:r w:rsidRPr="001005B7">
        <w:t xml:space="preserve">your outrages upon you. </w:t>
      </w:r>
    </w:p>
    <w:p w14:paraId="36AB5E7F" w14:textId="77777777" w:rsidR="001303F3" w:rsidRPr="001005B7" w:rsidRDefault="001303F3" w:rsidP="001303F3">
      <w:r w:rsidRPr="001005B7">
        <w:rPr>
          <w:vertAlign w:val="superscript"/>
        </w:rPr>
        <w:t>4</w:t>
      </w:r>
      <w:r w:rsidRPr="001005B7">
        <w:t>My eye will not be pitying over you,</w:t>
      </w:r>
    </w:p>
    <w:p w14:paraId="6754FB29" w14:textId="6AE49CBD" w:rsidR="001303F3" w:rsidRPr="001005B7" w:rsidRDefault="001303F3" w:rsidP="001303F3">
      <w:r w:rsidRPr="001005B7">
        <w:tab/>
        <w:t xml:space="preserve">and I will not </w:t>
      </w:r>
      <w:r w:rsidR="004C68B7" w:rsidRPr="001005B7">
        <w:t>show</w:t>
      </w:r>
      <w:r w:rsidR="004C7C3B" w:rsidRPr="001005B7">
        <w:t xml:space="preserve"> concern</w:t>
      </w:r>
      <w:r w:rsidRPr="001005B7">
        <w:t>.</w:t>
      </w:r>
    </w:p>
    <w:p w14:paraId="4234499B" w14:textId="057340E1" w:rsidR="001303F3" w:rsidRPr="001005B7" w:rsidRDefault="001303F3" w:rsidP="001303F3">
      <w:r w:rsidRPr="001005B7">
        <w:t xml:space="preserve">Because I will </w:t>
      </w:r>
      <w:r w:rsidR="006421BC" w:rsidRPr="001005B7">
        <w:t xml:space="preserve">lay </w:t>
      </w:r>
      <w:r w:rsidRPr="001005B7">
        <w:t xml:space="preserve">your </w:t>
      </w:r>
      <w:r w:rsidR="00DE35DB" w:rsidRPr="001005B7">
        <w:t>paths</w:t>
      </w:r>
      <w:r w:rsidRPr="001005B7">
        <w:t xml:space="preserve"> upon you,</w:t>
      </w:r>
    </w:p>
    <w:p w14:paraId="6AF8A6DB" w14:textId="0A9E69A9" w:rsidR="001303F3" w:rsidRPr="001005B7" w:rsidRDefault="001303F3" w:rsidP="001303F3">
      <w:r w:rsidRPr="001005B7">
        <w:tab/>
      </w:r>
      <w:r w:rsidR="005C6230">
        <w:t xml:space="preserve">and </w:t>
      </w:r>
      <w:r w:rsidRPr="001005B7">
        <w:t xml:space="preserve">your outrages </w:t>
      </w:r>
      <w:r w:rsidR="00445F46">
        <w:t>[</w:t>
      </w:r>
      <w:r w:rsidRPr="001005B7">
        <w:t>that</w:t>
      </w:r>
      <w:r w:rsidR="00445F46">
        <w:t>] happen</w:t>
      </w:r>
      <w:r w:rsidRPr="001005B7">
        <w:t xml:space="preserve"> within you,</w:t>
      </w:r>
    </w:p>
    <w:p w14:paraId="602620CF" w14:textId="77777777" w:rsidR="001303F3" w:rsidRPr="001005B7" w:rsidRDefault="001303F3" w:rsidP="001303F3">
      <w:pPr>
        <w:rPr>
          <w:vertAlign w:val="superscript"/>
        </w:rPr>
      </w:pPr>
      <w:r w:rsidRPr="001005B7">
        <w:tab/>
        <w:t>and you people will acknowledge that I am Yahweh.</w:t>
      </w:r>
    </w:p>
    <w:p w14:paraId="31C58BC7" w14:textId="77777777" w:rsidR="001303F3" w:rsidRPr="001005B7" w:rsidRDefault="001303F3" w:rsidP="001303F3">
      <w:pPr>
        <w:rPr>
          <w:vertAlign w:val="superscript"/>
        </w:rPr>
      </w:pPr>
    </w:p>
    <w:p w14:paraId="02901E53" w14:textId="77777777" w:rsidR="001303F3" w:rsidRPr="001005B7" w:rsidRDefault="001303F3" w:rsidP="001303F3">
      <w:r w:rsidRPr="001005B7">
        <w:rPr>
          <w:vertAlign w:val="superscript"/>
        </w:rPr>
        <w:t>5</w:t>
      </w:r>
      <w:r w:rsidRPr="001005B7">
        <w:t>The Lord Yahweh has said this.</w:t>
      </w:r>
    </w:p>
    <w:p w14:paraId="6DE7FF23" w14:textId="77777777" w:rsidR="001303F3" w:rsidRPr="001005B7" w:rsidRDefault="001303F3" w:rsidP="001303F3"/>
    <w:p w14:paraId="7833C944" w14:textId="77777777" w:rsidR="001303F3" w:rsidRPr="001005B7" w:rsidRDefault="001303F3" w:rsidP="001303F3">
      <w:r w:rsidRPr="001005B7">
        <w:t>One dire event, a dire event,</w:t>
      </w:r>
    </w:p>
    <w:p w14:paraId="75BD27AB" w14:textId="1DDF5497" w:rsidR="001303F3" w:rsidRPr="001005B7" w:rsidRDefault="001303F3" w:rsidP="001303F3">
      <w:pPr>
        <w:rPr>
          <w:vertAlign w:val="superscript"/>
        </w:rPr>
      </w:pPr>
      <w:r w:rsidRPr="001005B7">
        <w:tab/>
        <w:t>there, it is coming</w:t>
      </w:r>
      <w:r w:rsidR="005B24BC" w:rsidRPr="001005B7">
        <w:t>.</w:t>
      </w:r>
    </w:p>
    <w:p w14:paraId="74A7AF99" w14:textId="77777777" w:rsidR="001303F3" w:rsidRPr="001005B7" w:rsidRDefault="001303F3" w:rsidP="001303F3">
      <w:r w:rsidRPr="001005B7">
        <w:rPr>
          <w:vertAlign w:val="superscript"/>
        </w:rPr>
        <w:t>6</w:t>
      </w:r>
      <w:r w:rsidRPr="001005B7">
        <w:t xml:space="preserve">An end is coming, </w:t>
      </w:r>
    </w:p>
    <w:p w14:paraId="600870C0" w14:textId="3A05A10C" w:rsidR="001303F3" w:rsidRPr="001005B7" w:rsidRDefault="001303F3" w:rsidP="001303F3">
      <w:pPr>
        <w:ind w:left="720"/>
        <w:rPr>
          <w:vertAlign w:val="superscript"/>
        </w:rPr>
      </w:pPr>
      <w:r w:rsidRPr="001005B7">
        <w:t>the end is coming</w:t>
      </w:r>
      <w:r w:rsidR="005B24BC" w:rsidRPr="001005B7">
        <w:t>.</w:t>
      </w:r>
    </w:p>
    <w:p w14:paraId="3EDA4C71" w14:textId="77777777" w:rsidR="001303F3" w:rsidRPr="001005B7" w:rsidRDefault="001303F3" w:rsidP="001303F3">
      <w:r w:rsidRPr="001005B7">
        <w:t xml:space="preserve"> It is waking up for you,</w:t>
      </w:r>
    </w:p>
    <w:p w14:paraId="57B36AF5" w14:textId="0D1CC9FF" w:rsidR="001303F3" w:rsidRPr="001005B7" w:rsidRDefault="001303F3" w:rsidP="001303F3">
      <w:r w:rsidRPr="001005B7">
        <w:tab/>
        <w:t>there, it is coming</w:t>
      </w:r>
      <w:r w:rsidR="00107C07" w:rsidRPr="001005B7">
        <w:t>.</w:t>
      </w:r>
      <w:r w:rsidRPr="001005B7">
        <w:rPr>
          <w:rStyle w:val="FootnoteReference"/>
        </w:rPr>
        <w:footnoteReference w:id="207"/>
      </w:r>
    </w:p>
    <w:p w14:paraId="191B2607" w14:textId="77777777" w:rsidR="001303F3" w:rsidRPr="001005B7" w:rsidRDefault="001303F3" w:rsidP="001303F3">
      <w:pPr>
        <w:rPr>
          <w:vertAlign w:val="superscript"/>
        </w:rPr>
      </w:pPr>
      <w:r w:rsidRPr="001005B7">
        <w:rPr>
          <w:vertAlign w:val="superscript"/>
        </w:rPr>
        <w:t>7</w:t>
      </w:r>
      <w:r w:rsidRPr="001005B7">
        <w:t>Doom is coming for you,</w:t>
      </w:r>
      <w:r w:rsidRPr="001005B7">
        <w:rPr>
          <w:rStyle w:val="FootnoteReference"/>
        </w:rPr>
        <w:footnoteReference w:id="208"/>
      </w:r>
    </w:p>
    <w:p w14:paraId="418E9909" w14:textId="77777777" w:rsidR="001303F3" w:rsidRPr="001005B7" w:rsidRDefault="001303F3" w:rsidP="001303F3">
      <w:r w:rsidRPr="001005B7">
        <w:tab/>
        <w:t>one who lives in the country.</w:t>
      </w:r>
    </w:p>
    <w:p w14:paraId="1691B47B" w14:textId="77777777" w:rsidR="001303F3" w:rsidRPr="001005B7" w:rsidRDefault="001303F3" w:rsidP="001303F3">
      <w:r w:rsidRPr="001005B7">
        <w:t>The time is coming, the day is imminent,</w:t>
      </w:r>
    </w:p>
    <w:p w14:paraId="6EC58DB9" w14:textId="6D4B23D0" w:rsidR="001303F3" w:rsidRPr="001005B7" w:rsidRDefault="001303F3" w:rsidP="001303F3">
      <w:pPr>
        <w:rPr>
          <w:vertAlign w:val="superscript"/>
        </w:rPr>
      </w:pPr>
      <w:r w:rsidRPr="001005B7">
        <w:tab/>
      </w:r>
      <w:r w:rsidR="0061741A" w:rsidRPr="001005B7">
        <w:t>T</w:t>
      </w:r>
      <w:r w:rsidRPr="001005B7">
        <w:t>umult</w:t>
      </w:r>
      <w:r w:rsidR="0061741A">
        <w:t>,</w:t>
      </w:r>
      <w:r w:rsidRPr="001005B7">
        <w:t xml:space="preserve"> and not shouting on the mountains.</w:t>
      </w:r>
    </w:p>
    <w:p w14:paraId="2BDAF782" w14:textId="77777777" w:rsidR="001303F3" w:rsidRPr="001005B7" w:rsidRDefault="001303F3" w:rsidP="001303F3">
      <w:r w:rsidRPr="001005B7">
        <w:rPr>
          <w:vertAlign w:val="superscript"/>
        </w:rPr>
        <w:t>8</w:t>
      </w:r>
      <w:r w:rsidRPr="001005B7">
        <w:t>I will now, imminently, pour out my fury upon you,</w:t>
      </w:r>
    </w:p>
    <w:p w14:paraId="0A55EF1A" w14:textId="77777777" w:rsidR="001303F3" w:rsidRPr="001005B7" w:rsidRDefault="001303F3" w:rsidP="001303F3">
      <w:r w:rsidRPr="001005B7">
        <w:tab/>
        <w:t>and expend my anger against you.</w:t>
      </w:r>
    </w:p>
    <w:p w14:paraId="1DC266C1" w14:textId="25A2DA46" w:rsidR="001303F3" w:rsidRPr="001005B7" w:rsidRDefault="001303F3" w:rsidP="001303F3">
      <w:r w:rsidRPr="001005B7">
        <w:t xml:space="preserve">I will rule in accordance with your </w:t>
      </w:r>
      <w:r w:rsidR="00DE35DB" w:rsidRPr="001005B7">
        <w:t>paths</w:t>
      </w:r>
      <w:r w:rsidRPr="001005B7">
        <w:t>,</w:t>
      </w:r>
    </w:p>
    <w:p w14:paraId="45ECB754" w14:textId="725A4D2F" w:rsidR="001303F3" w:rsidRPr="001005B7" w:rsidRDefault="001303F3" w:rsidP="001303F3">
      <w:r w:rsidRPr="001005B7">
        <w:tab/>
        <w:t xml:space="preserve">and </w:t>
      </w:r>
      <w:r w:rsidR="006421BC" w:rsidRPr="001005B7">
        <w:t xml:space="preserve">lay </w:t>
      </w:r>
      <w:r w:rsidRPr="001005B7">
        <w:t>upon you all your outrages.</w:t>
      </w:r>
    </w:p>
    <w:p w14:paraId="2BE7CE88" w14:textId="77777777" w:rsidR="00872757" w:rsidRDefault="001303F3" w:rsidP="001303F3">
      <w:r w:rsidRPr="001005B7">
        <w:rPr>
          <w:vertAlign w:val="superscript"/>
        </w:rPr>
        <w:t>9</w:t>
      </w:r>
      <w:r w:rsidRPr="001005B7">
        <w:t xml:space="preserve">My eye will not </w:t>
      </w:r>
      <w:r w:rsidR="00872757">
        <w:t xml:space="preserve">be </w:t>
      </w:r>
      <w:r w:rsidRPr="001005B7">
        <w:t>pity</w:t>
      </w:r>
      <w:r w:rsidR="00872757">
        <w:t xml:space="preserve">ing </w:t>
      </w:r>
    </w:p>
    <w:p w14:paraId="2541FAB8" w14:textId="3007B1D5" w:rsidR="001303F3" w:rsidRPr="001005B7" w:rsidRDefault="001303F3" w:rsidP="00872757">
      <w:pPr>
        <w:ind w:left="720"/>
      </w:pPr>
      <w:r w:rsidRPr="001005B7">
        <w:t xml:space="preserve">and I will not </w:t>
      </w:r>
      <w:r w:rsidR="004C68B7" w:rsidRPr="001005B7">
        <w:t>show concern</w:t>
      </w:r>
      <w:r w:rsidR="00872757">
        <w:t>,</w:t>
      </w:r>
    </w:p>
    <w:p w14:paraId="6F3C1937" w14:textId="1FF6EA04" w:rsidR="001303F3" w:rsidRPr="001005B7" w:rsidRDefault="00872757" w:rsidP="00872757">
      <w:r>
        <w:t xml:space="preserve">As I </w:t>
      </w:r>
      <w:r w:rsidR="00D4092D">
        <w:t xml:space="preserve">lay it upon you </w:t>
      </w:r>
      <w:r w:rsidR="001303F3" w:rsidRPr="001005B7">
        <w:t xml:space="preserve">in accordance with your </w:t>
      </w:r>
      <w:r w:rsidR="00AE389D" w:rsidRPr="001005B7">
        <w:t>path</w:t>
      </w:r>
      <w:r w:rsidR="001303F3" w:rsidRPr="001005B7">
        <w:t>s</w:t>
      </w:r>
      <w:r w:rsidR="00527A08" w:rsidRPr="001005B7">
        <w:t>.</w:t>
      </w:r>
    </w:p>
    <w:p w14:paraId="6FA051E8" w14:textId="349584A6" w:rsidR="001303F3" w:rsidRPr="001005B7" w:rsidRDefault="00D4092D" w:rsidP="00D4092D">
      <w:pPr>
        <w:ind w:left="720"/>
      </w:pPr>
      <w:r>
        <w:t>and yo</w:t>
      </w:r>
      <w:r w:rsidR="001303F3" w:rsidRPr="001005B7">
        <w:t xml:space="preserve">ur outrages </w:t>
      </w:r>
      <w:r>
        <w:t>[that] happen</w:t>
      </w:r>
      <w:r w:rsidR="001303F3" w:rsidRPr="001005B7">
        <w:t xml:space="preserve"> within you, </w:t>
      </w:r>
    </w:p>
    <w:p w14:paraId="74732617" w14:textId="77777777" w:rsidR="001303F3" w:rsidRPr="001005B7" w:rsidRDefault="001303F3" w:rsidP="001303F3">
      <w:pPr>
        <w:ind w:left="720"/>
      </w:pPr>
      <w:r w:rsidRPr="001005B7">
        <w:t>and you people will acknowledge that I am Yahweh, the one who strikes down.</w:t>
      </w:r>
    </w:p>
    <w:p w14:paraId="00894775" w14:textId="77777777" w:rsidR="001303F3" w:rsidRPr="001005B7" w:rsidRDefault="001303F3" w:rsidP="001303F3"/>
    <w:p w14:paraId="2D86F3CD" w14:textId="77777777" w:rsidR="001303F3" w:rsidRPr="001005B7" w:rsidRDefault="001303F3" w:rsidP="001303F3">
      <w:r w:rsidRPr="001005B7">
        <w:rPr>
          <w:vertAlign w:val="superscript"/>
        </w:rPr>
        <w:t>10</w:t>
      </w:r>
      <w:r w:rsidRPr="001005B7">
        <w:t>There is the day, there it is coming,</w:t>
      </w:r>
    </w:p>
    <w:p w14:paraId="2D43BDF7" w14:textId="77777777" w:rsidR="001303F3" w:rsidRPr="001005B7" w:rsidRDefault="001303F3" w:rsidP="001303F3">
      <w:pPr>
        <w:rPr>
          <w:vertAlign w:val="superscript"/>
        </w:rPr>
      </w:pPr>
      <w:r w:rsidRPr="001005B7">
        <w:tab/>
        <w:t>doom is going out.</w:t>
      </w:r>
    </w:p>
    <w:p w14:paraId="1ADB7E71" w14:textId="77777777" w:rsidR="001303F3" w:rsidRPr="001005B7" w:rsidRDefault="001303F3" w:rsidP="001303F3">
      <w:r w:rsidRPr="001005B7">
        <w:t>The scepter has blossomed, arrogance has budded,</w:t>
      </w:r>
    </w:p>
    <w:p w14:paraId="718E7EBD" w14:textId="5543139A" w:rsidR="001303F3" w:rsidRPr="001005B7" w:rsidRDefault="001303F3" w:rsidP="001303F3">
      <w:pPr>
        <w:ind w:left="720"/>
      </w:pPr>
      <w:r w:rsidRPr="001005B7">
        <w:rPr>
          <w:vertAlign w:val="superscript"/>
        </w:rPr>
        <w:t>11</w:t>
      </w:r>
      <w:r w:rsidR="00287BA8" w:rsidRPr="001005B7">
        <w:t>in that</w:t>
      </w:r>
      <w:r w:rsidRPr="001005B7">
        <w:t xml:space="preserve"> violence has risen up to be faithless scepter.</w:t>
      </w:r>
    </w:p>
    <w:p w14:paraId="02A11E60" w14:textId="77777777" w:rsidR="001303F3" w:rsidRPr="001005B7" w:rsidRDefault="001303F3" w:rsidP="001303F3">
      <w:r w:rsidRPr="001005B7">
        <w:t xml:space="preserve">Nothing of them, nothing of the horde of them, </w:t>
      </w:r>
    </w:p>
    <w:p w14:paraId="7A16EE90" w14:textId="77777777" w:rsidR="001303F3" w:rsidRPr="001005B7" w:rsidRDefault="001303F3" w:rsidP="001303F3">
      <w:pPr>
        <w:ind w:left="720"/>
      </w:pPr>
      <w:r w:rsidRPr="001005B7">
        <w:t>nothing of their tumult,</w:t>
      </w:r>
    </w:p>
    <w:p w14:paraId="5CCAF22A" w14:textId="77777777" w:rsidR="001303F3" w:rsidRPr="001005B7" w:rsidRDefault="001303F3" w:rsidP="001303F3">
      <w:pPr>
        <w:rPr>
          <w:vertAlign w:val="superscript"/>
        </w:rPr>
      </w:pPr>
      <w:r w:rsidRPr="001005B7">
        <w:t>Nothing by way of eminence in them:</w:t>
      </w:r>
    </w:p>
    <w:p w14:paraId="70B91CBB" w14:textId="77777777" w:rsidR="001303F3" w:rsidRPr="001005B7" w:rsidRDefault="001303F3" w:rsidP="001303F3">
      <w:pPr>
        <w:ind w:left="720"/>
      </w:pPr>
      <w:r w:rsidRPr="001005B7">
        <w:rPr>
          <w:vertAlign w:val="superscript"/>
        </w:rPr>
        <w:t>12</w:t>
      </w:r>
      <w:r w:rsidRPr="001005B7">
        <w:t>the time is coming, the day is arriving.</w:t>
      </w:r>
    </w:p>
    <w:p w14:paraId="08902C38" w14:textId="1316C8D8" w:rsidR="001303F3" w:rsidRPr="001005B7" w:rsidRDefault="005377F3" w:rsidP="001303F3">
      <w:r>
        <w:t>[When] t</w:t>
      </w:r>
      <w:r w:rsidR="001303F3" w:rsidRPr="001005B7">
        <w:t>he buyer is not to celebrate, the seller is not to mourn,</w:t>
      </w:r>
    </w:p>
    <w:p w14:paraId="1DFD249B" w14:textId="77777777" w:rsidR="001303F3" w:rsidRPr="001005B7" w:rsidRDefault="001303F3" w:rsidP="001303F3">
      <w:pPr>
        <w:rPr>
          <w:vertAlign w:val="superscript"/>
        </w:rPr>
      </w:pPr>
      <w:r w:rsidRPr="001005B7">
        <w:t xml:space="preserve"> </w:t>
      </w:r>
      <w:r w:rsidRPr="001005B7">
        <w:tab/>
        <w:t>because wrath applies to their entire horde.</w:t>
      </w:r>
    </w:p>
    <w:p w14:paraId="137213FF" w14:textId="77777777" w:rsidR="001303F3" w:rsidRPr="001005B7" w:rsidRDefault="001303F3" w:rsidP="001303F3">
      <w:r w:rsidRPr="001005B7">
        <w:rPr>
          <w:vertAlign w:val="superscript"/>
        </w:rPr>
        <w:t>13</w:t>
      </w:r>
      <w:r w:rsidRPr="001005B7">
        <w:t xml:space="preserve">Because the seller will not turn back to what was sold, </w:t>
      </w:r>
    </w:p>
    <w:p w14:paraId="1A75CE45" w14:textId="77777777" w:rsidR="001303F3" w:rsidRPr="001005B7" w:rsidRDefault="001303F3" w:rsidP="001303F3">
      <w:pPr>
        <w:rPr>
          <w:vertAlign w:val="superscript"/>
        </w:rPr>
      </w:pPr>
      <w:r w:rsidRPr="001005B7">
        <w:tab/>
        <w:t>even as long as they are alive.</w:t>
      </w:r>
      <w:r w:rsidRPr="001005B7">
        <w:rPr>
          <w:rStyle w:val="FootnoteReference"/>
        </w:rPr>
        <w:footnoteReference w:id="209"/>
      </w:r>
    </w:p>
    <w:p w14:paraId="3476DC1F" w14:textId="77777777" w:rsidR="001303F3" w:rsidRPr="001005B7" w:rsidRDefault="001303F3" w:rsidP="001303F3">
      <w:r w:rsidRPr="001005B7">
        <w:t xml:space="preserve">Because the revelation applies to its entire horde— </w:t>
      </w:r>
    </w:p>
    <w:p w14:paraId="4EE76DCC" w14:textId="77777777" w:rsidR="001303F3" w:rsidRPr="001005B7" w:rsidRDefault="001303F3" w:rsidP="001303F3">
      <w:pPr>
        <w:ind w:left="720"/>
      </w:pPr>
      <w:r w:rsidRPr="001005B7">
        <w:t>it will not turn back.</w:t>
      </w:r>
    </w:p>
    <w:p w14:paraId="1F6C1177" w14:textId="77777777" w:rsidR="001303F3" w:rsidRPr="001005B7" w:rsidRDefault="001303F3" w:rsidP="001303F3">
      <w:r w:rsidRPr="001005B7">
        <w:t xml:space="preserve">An individual with his waywardness [in] his life— </w:t>
      </w:r>
    </w:p>
    <w:p w14:paraId="0FE6BA5B" w14:textId="77777777" w:rsidR="001303F3" w:rsidRPr="001005B7" w:rsidRDefault="001303F3" w:rsidP="001303F3">
      <w:pPr>
        <w:ind w:left="720"/>
      </w:pPr>
      <w:r w:rsidRPr="001005B7">
        <w:t>they will not stand firm.</w:t>
      </w:r>
    </w:p>
    <w:p w14:paraId="2187EA69" w14:textId="77777777" w:rsidR="001303F3" w:rsidRPr="001005B7" w:rsidRDefault="001303F3" w:rsidP="001303F3">
      <w:pPr>
        <w:ind w:left="720"/>
      </w:pPr>
    </w:p>
    <w:p w14:paraId="76387E35" w14:textId="77777777" w:rsidR="001303F3" w:rsidRPr="001005B7" w:rsidRDefault="001303F3" w:rsidP="001303F3">
      <w:r w:rsidRPr="001005B7">
        <w:rPr>
          <w:vertAlign w:val="superscript"/>
        </w:rPr>
        <w:t>14</w:t>
      </w:r>
      <w:r w:rsidRPr="001005B7">
        <w:t>People are blowing the horn,</w:t>
      </w:r>
    </w:p>
    <w:p w14:paraId="704E9CB4" w14:textId="77777777" w:rsidR="001303F3" w:rsidRPr="001005B7" w:rsidRDefault="001303F3" w:rsidP="001303F3">
      <w:r w:rsidRPr="001005B7">
        <w:tab/>
        <w:t>yes, getting everything ready.</w:t>
      </w:r>
    </w:p>
    <w:p w14:paraId="12DEA37F" w14:textId="77777777" w:rsidR="001303F3" w:rsidRPr="001005B7" w:rsidRDefault="001303F3" w:rsidP="001303F3">
      <w:r w:rsidRPr="001005B7">
        <w:t>But there is no one going out to battle,</w:t>
      </w:r>
    </w:p>
    <w:p w14:paraId="02330D97" w14:textId="77777777" w:rsidR="001303F3" w:rsidRPr="001005B7" w:rsidRDefault="001303F3" w:rsidP="001303F3">
      <w:pPr>
        <w:rPr>
          <w:vertAlign w:val="superscript"/>
        </w:rPr>
      </w:pPr>
      <w:r w:rsidRPr="001005B7">
        <w:tab/>
        <w:t>because my wrath applies to its entire horde.</w:t>
      </w:r>
    </w:p>
    <w:p w14:paraId="7B9D1425" w14:textId="77777777" w:rsidR="001303F3" w:rsidRPr="001005B7" w:rsidRDefault="001303F3" w:rsidP="001303F3">
      <w:r w:rsidRPr="001005B7">
        <w:rPr>
          <w:vertAlign w:val="superscript"/>
        </w:rPr>
        <w:t>15</w:t>
      </w:r>
      <w:r w:rsidRPr="001005B7">
        <w:t>The sword outside,</w:t>
      </w:r>
    </w:p>
    <w:p w14:paraId="541ADBC9" w14:textId="77777777" w:rsidR="001303F3" w:rsidRPr="001005B7" w:rsidRDefault="001303F3" w:rsidP="001303F3">
      <w:r w:rsidRPr="001005B7">
        <w:tab/>
        <w:t>epidemic and famine inside:</w:t>
      </w:r>
    </w:p>
    <w:p w14:paraId="256E80AB" w14:textId="566E49A5" w:rsidR="001303F3" w:rsidRPr="001005B7" w:rsidRDefault="00986952" w:rsidP="001303F3">
      <w:r>
        <w:t>While o</w:t>
      </w:r>
      <w:r w:rsidR="001303F3" w:rsidRPr="001005B7">
        <w:t xml:space="preserve">ne who is in the </w:t>
      </w:r>
      <w:r w:rsidR="00A710B5">
        <w:t>open country</w:t>
      </w:r>
      <w:r w:rsidR="001303F3" w:rsidRPr="001005B7">
        <w:t xml:space="preserve"> will die by the sword,</w:t>
      </w:r>
    </w:p>
    <w:p w14:paraId="1B4AE103" w14:textId="7615EF3B" w:rsidR="001303F3" w:rsidRPr="001005B7" w:rsidRDefault="001303F3" w:rsidP="001303F3">
      <w:r w:rsidRPr="001005B7">
        <w:tab/>
        <w:t xml:space="preserve">one </w:t>
      </w:r>
      <w:r w:rsidR="00174132">
        <w:t xml:space="preserve">famine and epidemic will consume </w:t>
      </w:r>
      <w:r w:rsidR="00E8624F">
        <w:t xml:space="preserve">one </w:t>
      </w:r>
      <w:r w:rsidRPr="001005B7">
        <w:t>who is in the city.</w:t>
      </w:r>
    </w:p>
    <w:p w14:paraId="22A6EF1B" w14:textId="77777777" w:rsidR="001303F3" w:rsidRPr="001005B7" w:rsidRDefault="001303F3" w:rsidP="001303F3">
      <w:r w:rsidRPr="001005B7">
        <w:rPr>
          <w:vertAlign w:val="superscript"/>
        </w:rPr>
        <w:t>16</w:t>
      </w:r>
      <w:r w:rsidRPr="001005B7">
        <w:t>Their survivors will survive</w:t>
      </w:r>
    </w:p>
    <w:p w14:paraId="792FAF6E" w14:textId="77777777" w:rsidR="001303F3" w:rsidRPr="001005B7" w:rsidRDefault="001303F3" w:rsidP="001303F3">
      <w:r w:rsidRPr="001005B7">
        <w:tab/>
        <w:t>and will be into the mountains,</w:t>
      </w:r>
    </w:p>
    <w:p w14:paraId="3569F9E2" w14:textId="77777777" w:rsidR="001303F3" w:rsidRPr="001005B7" w:rsidRDefault="001303F3" w:rsidP="001303F3">
      <w:r w:rsidRPr="001005B7">
        <w:t>Like the pigeons of the ravines, all of them,</w:t>
      </w:r>
    </w:p>
    <w:p w14:paraId="3DA434BC" w14:textId="616417C7" w:rsidR="001303F3" w:rsidRPr="001005B7" w:rsidRDefault="001303F3" w:rsidP="001303F3">
      <w:r w:rsidRPr="001005B7">
        <w:tab/>
        <w:t>moaning</w:t>
      </w:r>
      <w:r w:rsidR="00B06CF7" w:rsidRPr="001005B7">
        <w:rPr>
          <w:vertAlign w:val="superscript"/>
        </w:rPr>
        <w:t xml:space="preserve"> </w:t>
      </w:r>
      <w:r w:rsidRPr="001005B7">
        <w:t>each in their waywardness.</w:t>
      </w:r>
    </w:p>
    <w:p w14:paraId="5F87DDC5" w14:textId="0242B373" w:rsidR="001303F3" w:rsidRPr="001005B7" w:rsidRDefault="001303F3" w:rsidP="001303F3">
      <w:r w:rsidRPr="001005B7">
        <w:rPr>
          <w:vertAlign w:val="superscript"/>
        </w:rPr>
        <w:t>17</w:t>
      </w:r>
      <w:r w:rsidRPr="001005B7">
        <w:t>A</w:t>
      </w:r>
      <w:r w:rsidR="00E8624F">
        <w:t>s a</w:t>
      </w:r>
      <w:r w:rsidRPr="001005B7">
        <w:t>ll hands</w:t>
      </w:r>
      <w:r w:rsidR="00774D86">
        <w:t xml:space="preserve"> will</w:t>
      </w:r>
      <w:r w:rsidRPr="001005B7">
        <w:t xml:space="preserve"> become feeble,</w:t>
      </w:r>
    </w:p>
    <w:p w14:paraId="7A53C7B9" w14:textId="4B8D6787" w:rsidR="001303F3" w:rsidRPr="001005B7" w:rsidRDefault="001303F3" w:rsidP="001303F3">
      <w:r w:rsidRPr="001005B7">
        <w:tab/>
        <w:t>all knees will run with water.</w:t>
      </w:r>
    </w:p>
    <w:p w14:paraId="7B21F964" w14:textId="77777777" w:rsidR="001303F3" w:rsidRPr="001005B7" w:rsidRDefault="001303F3" w:rsidP="001303F3">
      <w:r w:rsidRPr="001005B7">
        <w:rPr>
          <w:vertAlign w:val="superscript"/>
        </w:rPr>
        <w:t>18</w:t>
      </w:r>
      <w:r w:rsidRPr="001005B7">
        <w:t>They will wrap on sack,</w:t>
      </w:r>
    </w:p>
    <w:p w14:paraId="616974D3" w14:textId="77777777" w:rsidR="001303F3" w:rsidRPr="001005B7" w:rsidRDefault="001303F3" w:rsidP="001303F3">
      <w:r w:rsidRPr="001005B7">
        <w:tab/>
        <w:t>and horror will cover them.</w:t>
      </w:r>
    </w:p>
    <w:p w14:paraId="25B3BA77" w14:textId="77777777" w:rsidR="001303F3" w:rsidRPr="001005B7" w:rsidRDefault="001303F3" w:rsidP="001303F3">
      <w:r w:rsidRPr="001005B7">
        <w:t>Towards all faces, shame,</w:t>
      </w:r>
    </w:p>
    <w:p w14:paraId="7B052BB6" w14:textId="77777777" w:rsidR="001303F3" w:rsidRPr="001005B7" w:rsidRDefault="001303F3" w:rsidP="001303F3">
      <w:r w:rsidRPr="001005B7">
        <w:tab/>
        <w:t xml:space="preserve">on all their heads, </w:t>
      </w:r>
      <w:proofErr w:type="spellStart"/>
      <w:r w:rsidRPr="001005B7">
        <w:t>shornness</w:t>
      </w:r>
      <w:proofErr w:type="spellEnd"/>
      <w:r w:rsidRPr="001005B7">
        <w:t>.</w:t>
      </w:r>
    </w:p>
    <w:p w14:paraId="106AE612" w14:textId="77777777" w:rsidR="001303F3" w:rsidRPr="001005B7" w:rsidRDefault="001303F3" w:rsidP="001303F3"/>
    <w:p w14:paraId="70090B3D" w14:textId="5F1392EB" w:rsidR="001303F3" w:rsidRPr="001005B7" w:rsidRDefault="001303F3" w:rsidP="001303F3">
      <w:r w:rsidRPr="001005B7">
        <w:rPr>
          <w:vertAlign w:val="superscript"/>
        </w:rPr>
        <w:t>19</w:t>
      </w:r>
      <w:r w:rsidR="000711DB">
        <w:t>As they throw t</w:t>
      </w:r>
      <w:r w:rsidRPr="001005B7">
        <w:t>heir silver into the streets,</w:t>
      </w:r>
    </w:p>
    <w:p w14:paraId="26012709" w14:textId="4AD082F4" w:rsidR="001303F3" w:rsidRPr="001005B7" w:rsidRDefault="001303F3" w:rsidP="001303F3">
      <w:pPr>
        <w:rPr>
          <w:vertAlign w:val="superscript"/>
        </w:rPr>
      </w:pPr>
      <w:r w:rsidRPr="001005B7">
        <w:tab/>
      </w:r>
      <w:r w:rsidR="000711DB">
        <w:t xml:space="preserve">and </w:t>
      </w:r>
      <w:r w:rsidRPr="001005B7">
        <w:t>their gold be</w:t>
      </w:r>
      <w:r w:rsidR="00E734B8" w:rsidRPr="001005B7">
        <w:t>come</w:t>
      </w:r>
      <w:r w:rsidR="000711DB">
        <w:t>s</w:t>
      </w:r>
      <w:r w:rsidRPr="001005B7">
        <w:t xml:space="preserve"> something to be shunned</w:t>
      </w:r>
      <w:r w:rsidR="00441FC9">
        <w:t>,</w:t>
      </w:r>
      <w:r w:rsidRPr="001005B7">
        <w:rPr>
          <w:rStyle w:val="FootnoteReference"/>
        </w:rPr>
        <w:footnoteReference w:id="210"/>
      </w:r>
    </w:p>
    <w:p w14:paraId="1543521F" w14:textId="13062CED" w:rsidR="001303F3" w:rsidRPr="001005B7" w:rsidRDefault="00441FC9" w:rsidP="001303F3">
      <w:r>
        <w:t>As t</w:t>
      </w:r>
      <w:r w:rsidR="001303F3" w:rsidRPr="001005B7">
        <w:t>heir silver and their gold will not be able to rescue them</w:t>
      </w:r>
    </w:p>
    <w:p w14:paraId="75C3A478" w14:textId="13F5B672" w:rsidR="00441FC9" w:rsidRPr="001005B7" w:rsidRDefault="001303F3" w:rsidP="00441FC9">
      <w:r w:rsidRPr="001005B7">
        <w:tab/>
        <w:t>on the day of Yahweh’s wrath</w:t>
      </w:r>
      <w:r w:rsidR="00441FC9">
        <w:t>,</w:t>
      </w:r>
    </w:p>
    <w:p w14:paraId="1B15EE5B" w14:textId="67E04687" w:rsidR="001303F3" w:rsidRPr="001005B7" w:rsidRDefault="00441FC9" w:rsidP="001303F3">
      <w:r>
        <w:t>As t</w:t>
      </w:r>
      <w:r w:rsidR="001303F3" w:rsidRPr="001005B7">
        <w:t>hey will not satisfy their appetite,</w:t>
      </w:r>
    </w:p>
    <w:p w14:paraId="3365D1B5" w14:textId="1A0DB737" w:rsidR="001303F3" w:rsidRPr="001005B7" w:rsidRDefault="001303F3" w:rsidP="001303F3">
      <w:r w:rsidRPr="001005B7">
        <w:tab/>
        <w:t>and they will not fill their stomachs</w:t>
      </w:r>
      <w:r w:rsidR="00B12D1C">
        <w:t>,</w:t>
      </w:r>
    </w:p>
    <w:p w14:paraId="642ACC84" w14:textId="6BF30BC7" w:rsidR="001303F3" w:rsidRPr="001005B7" w:rsidRDefault="001303F3" w:rsidP="001303F3">
      <w:pPr>
        <w:rPr>
          <w:vertAlign w:val="superscript"/>
        </w:rPr>
      </w:pPr>
      <w:r w:rsidRPr="001005B7">
        <w:t xml:space="preserve">Because their waywardness </w:t>
      </w:r>
      <w:r w:rsidR="00BC5D14" w:rsidRPr="001005B7">
        <w:t>was</w:t>
      </w:r>
      <w:r w:rsidRPr="001005B7">
        <w:t xml:space="preserve"> </w:t>
      </w:r>
      <w:r w:rsidR="00B71BC2" w:rsidRPr="001005B7">
        <w:t>their downfall</w:t>
      </w:r>
      <w:r w:rsidRPr="001005B7">
        <w:t>,</w:t>
      </w:r>
    </w:p>
    <w:p w14:paraId="58F4D3E5" w14:textId="77527832" w:rsidR="001303F3" w:rsidRPr="001005B7" w:rsidRDefault="001303F3" w:rsidP="00C94DCE">
      <w:r w:rsidRPr="001005B7">
        <w:tab/>
      </w:r>
      <w:r w:rsidRPr="001005B7">
        <w:rPr>
          <w:vertAlign w:val="superscript"/>
        </w:rPr>
        <w:t>20</w:t>
      </w:r>
      <w:r w:rsidRPr="001005B7">
        <w:t xml:space="preserve">and his ornate object of </w:t>
      </w:r>
      <w:r w:rsidR="001C5ED7" w:rsidRPr="001005B7">
        <w:t>splend</w:t>
      </w:r>
      <w:r w:rsidR="000838A4" w:rsidRPr="001005B7">
        <w:t>or</w:t>
      </w:r>
      <w:r w:rsidR="00D52C7E" w:rsidRPr="001005B7">
        <w:t xml:space="preserve"> </w:t>
      </w:r>
      <w:r w:rsidR="00BC5D14" w:rsidRPr="001005B7">
        <w:t>it</w:t>
      </w:r>
      <w:r w:rsidRPr="001005B7">
        <w:t xml:space="preserve"> made into an object of </w:t>
      </w:r>
      <w:r w:rsidR="00790828" w:rsidRPr="001005B7">
        <w:t>pride</w:t>
      </w:r>
      <w:r w:rsidRPr="001005B7">
        <w:t>.</w:t>
      </w:r>
    </w:p>
    <w:p w14:paraId="4371E044" w14:textId="07AC7602" w:rsidR="001303F3" w:rsidRPr="001005B7" w:rsidRDefault="00236D70" w:rsidP="001303F3">
      <w:r w:rsidRPr="001005B7">
        <w:t xml:space="preserve">In that </w:t>
      </w:r>
      <w:r w:rsidR="0032070B" w:rsidRPr="001005B7">
        <w:t xml:space="preserve">they made </w:t>
      </w:r>
      <w:r w:rsidRPr="001005B7">
        <w:t>t</w:t>
      </w:r>
      <w:r w:rsidR="001303F3" w:rsidRPr="001005B7">
        <w:t>heir outrageous images, their abhorrent things,</w:t>
      </w:r>
      <w:r w:rsidR="00355166" w:rsidRPr="001005B7">
        <w:rPr>
          <w:rStyle w:val="FootnoteReference"/>
        </w:rPr>
        <w:footnoteReference w:id="211"/>
      </w:r>
      <w:r w:rsidR="001303F3" w:rsidRPr="001005B7">
        <w:t xml:space="preserve"> in it</w:t>
      </w:r>
      <w:r w:rsidRPr="001005B7">
        <w:t>,</w:t>
      </w:r>
    </w:p>
    <w:p w14:paraId="02B57603" w14:textId="7CC6EB47" w:rsidR="001303F3" w:rsidRPr="001005B7" w:rsidRDefault="001303F3" w:rsidP="001303F3">
      <w:pPr>
        <w:ind w:left="720"/>
      </w:pPr>
      <w:r w:rsidRPr="001005B7">
        <w:t xml:space="preserve">therefore I am giving </w:t>
      </w:r>
      <w:r w:rsidR="00FE191E" w:rsidRPr="001005B7">
        <w:t xml:space="preserve">it </w:t>
      </w:r>
      <w:r w:rsidRPr="001005B7">
        <w:t>to them as something to be shunned.</w:t>
      </w:r>
    </w:p>
    <w:p w14:paraId="067CF463" w14:textId="78EEFD0A" w:rsidR="001303F3" w:rsidRPr="001005B7" w:rsidRDefault="001303F3" w:rsidP="001303F3">
      <w:r w:rsidRPr="001005B7">
        <w:rPr>
          <w:vertAlign w:val="superscript"/>
        </w:rPr>
        <w:t>21</w:t>
      </w:r>
      <w:r w:rsidRPr="001005B7">
        <w:t xml:space="preserve">I will give it into the hand of </w:t>
      </w:r>
      <w:r w:rsidR="00513EBB" w:rsidRPr="001005B7">
        <w:t>foreign</w:t>
      </w:r>
      <w:r w:rsidRPr="001005B7">
        <w:t xml:space="preserve">ers as </w:t>
      </w:r>
      <w:r w:rsidR="009D59F8" w:rsidRPr="001005B7">
        <w:t>loot</w:t>
      </w:r>
      <w:r w:rsidRPr="001005B7">
        <w:t>,</w:t>
      </w:r>
    </w:p>
    <w:p w14:paraId="02B81C4A" w14:textId="3A892F47" w:rsidR="001303F3" w:rsidRPr="001005B7" w:rsidRDefault="001303F3" w:rsidP="001303F3">
      <w:r w:rsidRPr="001005B7">
        <w:tab/>
        <w:t>and to the most faithless of the earth</w:t>
      </w:r>
      <w:r w:rsidRPr="001005B7">
        <w:rPr>
          <w:rStyle w:val="FootnoteReference"/>
        </w:rPr>
        <w:footnoteReference w:id="212"/>
      </w:r>
      <w:r w:rsidRPr="001005B7">
        <w:t xml:space="preserve"> as </w:t>
      </w:r>
      <w:r w:rsidR="00F24355" w:rsidRPr="001005B7">
        <w:t>plunder</w:t>
      </w:r>
      <w:r w:rsidRPr="001005B7">
        <w:t>.</w:t>
      </w:r>
    </w:p>
    <w:p w14:paraId="6C21EE54" w14:textId="0E899BF4" w:rsidR="001303F3" w:rsidRPr="001005B7" w:rsidRDefault="001303F3" w:rsidP="001303F3">
      <w:pPr>
        <w:rPr>
          <w:vertAlign w:val="superscript"/>
        </w:rPr>
      </w:pPr>
      <w:r w:rsidRPr="001005B7">
        <w:t xml:space="preserve"> They will </w:t>
      </w:r>
      <w:r w:rsidR="00614984" w:rsidRPr="001005B7">
        <w:t>treat</w:t>
      </w:r>
      <w:r w:rsidRPr="001005B7">
        <w:t xml:space="preserve"> it</w:t>
      </w:r>
      <w:r w:rsidR="00B02419" w:rsidRPr="001005B7">
        <w:t xml:space="preserve"> as something ordinary</w:t>
      </w:r>
      <w:r w:rsidRPr="001005B7">
        <w:rPr>
          <w:rStyle w:val="FootnoteReference"/>
        </w:rPr>
        <w:footnoteReference w:id="213"/>
      </w:r>
      <w:r w:rsidRPr="001005B7">
        <w:rPr>
          <w:vertAlign w:val="superscript"/>
        </w:rPr>
        <w:t xml:space="preserve"> 22</w:t>
      </w:r>
      <w:r w:rsidRPr="001005B7">
        <w:t>and I will turn my face from them,</w:t>
      </w:r>
    </w:p>
    <w:p w14:paraId="6CC10AF3" w14:textId="68EF979C" w:rsidR="001303F3" w:rsidRPr="001005B7" w:rsidRDefault="001303F3" w:rsidP="001303F3">
      <w:r w:rsidRPr="001005B7">
        <w:tab/>
        <w:t xml:space="preserve">they will </w:t>
      </w:r>
      <w:r w:rsidR="00657E8D" w:rsidRPr="001005B7">
        <w:t>treat as something ordinary</w:t>
      </w:r>
      <w:r w:rsidRPr="001005B7">
        <w:t xml:space="preserve"> what I treasured away—</w:t>
      </w:r>
    </w:p>
    <w:p w14:paraId="44CDEEA9" w14:textId="4344A6C9" w:rsidR="001303F3" w:rsidRPr="001005B7" w:rsidRDefault="006F6C34" w:rsidP="001303F3">
      <w:pPr>
        <w:ind w:left="720"/>
        <w:rPr>
          <w:vertAlign w:val="superscript"/>
        </w:rPr>
      </w:pPr>
      <w:r>
        <w:t xml:space="preserve">and </w:t>
      </w:r>
      <w:r w:rsidR="005F0566" w:rsidRPr="001005B7">
        <w:t>violent people</w:t>
      </w:r>
      <w:r w:rsidR="001303F3" w:rsidRPr="001005B7">
        <w:t xml:space="preserve"> will come into it and </w:t>
      </w:r>
      <w:r w:rsidR="00834B4C" w:rsidRPr="001005B7">
        <w:t>treat</w:t>
      </w:r>
      <w:r w:rsidR="001303F3" w:rsidRPr="001005B7">
        <w:t xml:space="preserve"> it</w:t>
      </w:r>
      <w:r w:rsidR="00834B4C" w:rsidRPr="001005B7">
        <w:t xml:space="preserve"> as something ordinar</w:t>
      </w:r>
      <w:r w:rsidR="004C16DA" w:rsidRPr="001005B7">
        <w:t>y</w:t>
      </w:r>
      <w:r w:rsidR="001303F3" w:rsidRPr="001005B7">
        <w:t>.</w:t>
      </w:r>
    </w:p>
    <w:p w14:paraId="2B498FE7" w14:textId="77777777" w:rsidR="001303F3" w:rsidRPr="001005B7" w:rsidRDefault="001303F3" w:rsidP="001303F3"/>
    <w:p w14:paraId="402267D6" w14:textId="77777777" w:rsidR="001303F3" w:rsidRPr="001005B7" w:rsidRDefault="001303F3" w:rsidP="001303F3">
      <w:pPr>
        <w:rPr>
          <w:vertAlign w:val="superscript"/>
        </w:rPr>
      </w:pPr>
      <w:r w:rsidRPr="001005B7">
        <w:rPr>
          <w:vertAlign w:val="superscript"/>
        </w:rPr>
        <w:t>23</w:t>
      </w:r>
      <w:r w:rsidRPr="001005B7">
        <w:t>Make the fetter,</w:t>
      </w:r>
    </w:p>
    <w:p w14:paraId="02F64B32" w14:textId="77777777" w:rsidR="001303F3" w:rsidRPr="001005B7" w:rsidRDefault="001303F3" w:rsidP="001303F3">
      <w:r w:rsidRPr="001005B7">
        <w:tab/>
        <w:t>because the country is full of bloody ruling,</w:t>
      </w:r>
      <w:r w:rsidRPr="001005B7">
        <w:rPr>
          <w:rStyle w:val="FootnoteReference"/>
        </w:rPr>
        <w:footnoteReference w:id="214"/>
      </w:r>
    </w:p>
    <w:p w14:paraId="3DAF7775" w14:textId="77777777" w:rsidR="001303F3" w:rsidRPr="001005B7" w:rsidRDefault="001303F3" w:rsidP="001303F3">
      <w:r w:rsidRPr="001005B7">
        <w:tab/>
        <w:t>the city is full of violence.</w:t>
      </w:r>
    </w:p>
    <w:p w14:paraId="0F86A97D" w14:textId="77777777" w:rsidR="001303F3" w:rsidRPr="001005B7" w:rsidRDefault="001303F3" w:rsidP="001303F3">
      <w:r w:rsidRPr="001005B7">
        <w:rPr>
          <w:vertAlign w:val="superscript"/>
        </w:rPr>
        <w:t>24</w:t>
      </w:r>
      <w:r w:rsidRPr="001005B7">
        <w:t>I will get the direst of the nations to come,</w:t>
      </w:r>
    </w:p>
    <w:p w14:paraId="3C20CCB1" w14:textId="77777777" w:rsidR="001303F3" w:rsidRPr="001005B7" w:rsidRDefault="001303F3" w:rsidP="001303F3">
      <w:pPr>
        <w:rPr>
          <w:vertAlign w:val="superscript"/>
        </w:rPr>
      </w:pPr>
      <w:r w:rsidRPr="001005B7">
        <w:tab/>
        <w:t>and enter into possession of their houses.</w:t>
      </w:r>
    </w:p>
    <w:p w14:paraId="5159898D" w14:textId="532983D5" w:rsidR="001303F3" w:rsidRPr="001005B7" w:rsidRDefault="001303F3" w:rsidP="001303F3">
      <w:r w:rsidRPr="001005B7">
        <w:t>I will terminate the p</w:t>
      </w:r>
      <w:r w:rsidR="00CF7AE0" w:rsidRPr="001005B7">
        <w:t>rid</w:t>
      </w:r>
      <w:r w:rsidR="00D2298C" w:rsidRPr="001005B7">
        <w:t>e</w:t>
      </w:r>
      <w:r w:rsidRPr="001005B7">
        <w:t xml:space="preserve"> of the </w:t>
      </w:r>
      <w:r w:rsidR="00DA6B05" w:rsidRPr="001005B7">
        <w:t>strong</w:t>
      </w:r>
      <w:r w:rsidRPr="001005B7">
        <w:t>,</w:t>
      </w:r>
    </w:p>
    <w:p w14:paraId="72FECB99" w14:textId="6C49C23B" w:rsidR="001303F3" w:rsidRPr="001005B7" w:rsidRDefault="001303F3" w:rsidP="001303F3">
      <w:pPr>
        <w:rPr>
          <w:vertAlign w:val="superscript"/>
        </w:rPr>
      </w:pPr>
      <w:r w:rsidRPr="001005B7">
        <w:tab/>
        <w:t xml:space="preserve">and their sanctifiers will be </w:t>
      </w:r>
      <w:r w:rsidR="004C16DA" w:rsidRPr="001005B7">
        <w:t>treated as ordinary</w:t>
      </w:r>
      <w:r w:rsidRPr="001005B7">
        <w:t>.</w:t>
      </w:r>
    </w:p>
    <w:p w14:paraId="30A44F8C" w14:textId="77777777" w:rsidR="00F14975" w:rsidRDefault="001303F3" w:rsidP="001303F3">
      <w:r w:rsidRPr="001005B7">
        <w:rPr>
          <w:vertAlign w:val="superscript"/>
        </w:rPr>
        <w:t>25</w:t>
      </w:r>
      <w:r w:rsidR="00F33D6B">
        <w:t>As c</w:t>
      </w:r>
      <w:r w:rsidRPr="001005B7">
        <w:t>losing up</w:t>
      </w:r>
      <w:r w:rsidRPr="001005B7">
        <w:rPr>
          <w:rStyle w:val="FootnoteReference"/>
        </w:rPr>
        <w:footnoteReference w:id="215"/>
      </w:r>
      <w:r w:rsidRPr="001005B7">
        <w:t xml:space="preserve"> is coming, </w:t>
      </w:r>
    </w:p>
    <w:p w14:paraId="25F0DC9A" w14:textId="671B8D69" w:rsidR="001303F3" w:rsidRPr="001005B7" w:rsidRDefault="001303F3" w:rsidP="001303F3">
      <w:pPr>
        <w:ind w:left="720"/>
      </w:pPr>
      <w:r w:rsidRPr="001005B7">
        <w:t>they will seek well-being, but there will be non</w:t>
      </w:r>
      <w:r w:rsidR="000D7945">
        <w:t>e</w:t>
      </w:r>
      <w:r w:rsidR="00F14975">
        <w:t>,</w:t>
      </w:r>
    </w:p>
    <w:p w14:paraId="244BBB24" w14:textId="5022E595" w:rsidR="001303F3" w:rsidRPr="001005B7" w:rsidRDefault="001303F3" w:rsidP="001303F3">
      <w:r w:rsidRPr="001005B7">
        <w:rPr>
          <w:vertAlign w:val="superscript"/>
        </w:rPr>
        <w:t>26</w:t>
      </w:r>
      <w:r w:rsidR="00F14975">
        <w:t>As d</w:t>
      </w:r>
      <w:r w:rsidRPr="001005B7">
        <w:t>isaster upon disaster come</w:t>
      </w:r>
      <w:r w:rsidR="00583A4A">
        <w:t>s</w:t>
      </w:r>
      <w:r w:rsidRPr="001005B7">
        <w:t>,</w:t>
      </w:r>
    </w:p>
    <w:p w14:paraId="08571A97" w14:textId="67AD8FD6" w:rsidR="001303F3" w:rsidRPr="001005B7" w:rsidRDefault="001303F3" w:rsidP="001303F3">
      <w:r w:rsidRPr="001005B7">
        <w:tab/>
      </w:r>
      <w:r w:rsidR="00583A4A">
        <w:t xml:space="preserve">and </w:t>
      </w:r>
      <w:r w:rsidRPr="001005B7">
        <w:t>report follow</w:t>
      </w:r>
      <w:r w:rsidR="00583A4A">
        <w:t>s</w:t>
      </w:r>
      <w:r w:rsidRPr="001005B7">
        <w:t xml:space="preserve"> report.</w:t>
      </w:r>
    </w:p>
    <w:p w14:paraId="10A3C36A" w14:textId="77777777" w:rsidR="001303F3" w:rsidRPr="001005B7" w:rsidRDefault="001303F3" w:rsidP="001303F3">
      <w:r w:rsidRPr="001005B7">
        <w:t>They will look for a vision from a prophet,</w:t>
      </w:r>
    </w:p>
    <w:p w14:paraId="758C6197" w14:textId="77777777" w:rsidR="001303F3" w:rsidRPr="001005B7" w:rsidRDefault="001303F3" w:rsidP="001303F3">
      <w:r w:rsidRPr="001005B7">
        <w:tab/>
        <w:t>but instruction will perish from priest,</w:t>
      </w:r>
    </w:p>
    <w:p w14:paraId="2588E4E1" w14:textId="77777777" w:rsidR="001303F3" w:rsidRPr="001005B7" w:rsidRDefault="001303F3" w:rsidP="001303F3">
      <w:r w:rsidRPr="001005B7">
        <w:tab/>
        <w:t>and counsel from elders.</w:t>
      </w:r>
    </w:p>
    <w:p w14:paraId="0FC14B81" w14:textId="061DA4BF" w:rsidR="001303F3" w:rsidRPr="001005B7" w:rsidRDefault="001303F3" w:rsidP="001303F3">
      <w:pPr>
        <w:rPr>
          <w:vertAlign w:val="superscript"/>
        </w:rPr>
      </w:pPr>
      <w:r w:rsidRPr="001005B7">
        <w:rPr>
          <w:vertAlign w:val="superscript"/>
        </w:rPr>
        <w:t>27</w:t>
      </w:r>
      <w:r w:rsidRPr="001005B7">
        <w:t>Th</w:t>
      </w:r>
      <w:r w:rsidR="005B63E6">
        <w:t>ough the</w:t>
      </w:r>
      <w:r w:rsidRPr="001005B7">
        <w:t xml:space="preserve"> king mourn</w:t>
      </w:r>
      <w:r w:rsidR="005B63E6">
        <w:t>s</w:t>
      </w:r>
      <w:r w:rsidRPr="001005B7">
        <w:t>,</w:t>
      </w:r>
    </w:p>
    <w:p w14:paraId="057A5D72" w14:textId="2A1C6030" w:rsidR="001303F3" w:rsidRPr="001005B7" w:rsidRDefault="001303F3" w:rsidP="001303F3">
      <w:r w:rsidRPr="001005B7">
        <w:tab/>
        <w:t xml:space="preserve">the </w:t>
      </w:r>
      <w:r w:rsidR="00CC71DF" w:rsidRPr="001005B7">
        <w:t>prince</w:t>
      </w:r>
      <w:r w:rsidRPr="001005B7">
        <w:t xml:space="preserve"> clothe</w:t>
      </w:r>
      <w:r w:rsidR="005B63E6">
        <w:t>s</w:t>
      </w:r>
      <w:r w:rsidRPr="001005B7">
        <w:t xml:space="preserve"> himself in desolation,</w:t>
      </w:r>
    </w:p>
    <w:p w14:paraId="425FA020" w14:textId="6141D5C3" w:rsidR="001303F3" w:rsidRPr="001005B7" w:rsidRDefault="00E60AA8" w:rsidP="00E60AA8">
      <w:r>
        <w:t xml:space="preserve">And </w:t>
      </w:r>
      <w:r w:rsidR="001303F3" w:rsidRPr="001005B7">
        <w:t>the hands of the citizenry</w:t>
      </w:r>
      <w:r>
        <w:t xml:space="preserve"> </w:t>
      </w:r>
      <w:r w:rsidR="001303F3" w:rsidRPr="001005B7">
        <w:t>tremble</w:t>
      </w:r>
      <w:r>
        <w:t>,</w:t>
      </w:r>
      <w:r w:rsidR="001303F3" w:rsidRPr="001005B7">
        <w:t xml:space="preserve"> </w:t>
      </w:r>
    </w:p>
    <w:p w14:paraId="698ED0ED" w14:textId="2CDA215E" w:rsidR="001303F3" w:rsidRPr="001005B7" w:rsidRDefault="00E60AA8" w:rsidP="00E60AA8">
      <w:pPr>
        <w:ind w:left="720"/>
      </w:pPr>
      <w:r>
        <w:t>as I deal with them b</w:t>
      </w:r>
      <w:r w:rsidR="001303F3" w:rsidRPr="001005B7">
        <w:t xml:space="preserve">ecause of their </w:t>
      </w:r>
      <w:r w:rsidR="00AE389D" w:rsidRPr="001005B7">
        <w:t>paths</w:t>
      </w:r>
      <w:r w:rsidR="001303F3" w:rsidRPr="001005B7">
        <w:t>,</w:t>
      </w:r>
    </w:p>
    <w:p w14:paraId="26F2041E" w14:textId="55851E62" w:rsidR="001303F3" w:rsidRPr="001005B7" w:rsidRDefault="00582220" w:rsidP="001303F3">
      <w:r>
        <w:t>A</w:t>
      </w:r>
      <w:r w:rsidR="001303F3" w:rsidRPr="001005B7">
        <w:t xml:space="preserve">nd </w:t>
      </w:r>
      <w:r>
        <w:t xml:space="preserve">rule for them </w:t>
      </w:r>
      <w:r w:rsidR="001303F3" w:rsidRPr="001005B7">
        <w:t>with their rulings,</w:t>
      </w:r>
    </w:p>
    <w:p w14:paraId="3DECFDF3" w14:textId="119A4273" w:rsidR="001303F3" w:rsidRPr="001005B7" w:rsidRDefault="001303F3" w:rsidP="001303F3">
      <w:r w:rsidRPr="001005B7">
        <w:tab/>
        <w:t>and they will acknowledge that I am Yahweh.</w:t>
      </w:r>
    </w:p>
    <w:p w14:paraId="5867CAA8" w14:textId="77777777" w:rsidR="003F7D04" w:rsidRPr="001005B7" w:rsidRDefault="003F7D04" w:rsidP="00493833">
      <w:pPr>
        <w:pStyle w:val="Heading3"/>
      </w:pPr>
      <w:r w:rsidRPr="001005B7">
        <w:t>Textual Notes</w:t>
      </w:r>
    </w:p>
    <w:p w14:paraId="3CF1A872" w14:textId="10B94690" w:rsidR="007E3CEC" w:rsidRPr="001005B7" w:rsidRDefault="00E95B66" w:rsidP="007E3CEC">
      <w:pPr>
        <w:ind w:firstLine="0"/>
      </w:pPr>
      <w:r w:rsidRPr="001005B7">
        <w:rPr>
          <w:sz w:val="18"/>
          <w:szCs w:val="18"/>
        </w:rPr>
        <w:t>MT</w:t>
      </w:r>
      <w:r w:rsidRPr="001005B7">
        <w:t xml:space="preserve"> has</w:t>
      </w:r>
      <w:r w:rsidR="00D14FBF">
        <w:t xml:space="preserve"> </w:t>
      </w:r>
      <w:r w:rsidR="0090495C" w:rsidRPr="001005B7">
        <w:rPr>
          <w:lang w:eastAsia="en-GB"/>
        </w:rPr>
        <w:t>marker</w:t>
      </w:r>
      <w:r w:rsidR="00FF1A90">
        <w:rPr>
          <w:lang w:eastAsia="en-GB"/>
        </w:rPr>
        <w:t>s</w:t>
      </w:r>
      <w:r w:rsidR="00BF1E95" w:rsidRPr="001005B7">
        <w:rPr>
          <w:lang w:eastAsia="en-GB"/>
        </w:rPr>
        <w:t xml:space="preserve">* </w:t>
      </w:r>
      <w:r w:rsidRPr="001005B7">
        <w:t xml:space="preserve">after 7:4, 22, </w:t>
      </w:r>
      <w:r w:rsidR="00FF1A90">
        <w:t xml:space="preserve">and </w:t>
      </w:r>
      <w:r w:rsidRPr="001005B7">
        <w:t>27.</w:t>
      </w:r>
    </w:p>
    <w:p w14:paraId="78D68B09" w14:textId="77777777" w:rsidR="00A04693" w:rsidRPr="001005B7" w:rsidRDefault="00A04693" w:rsidP="007E3CEC">
      <w:pPr>
        <w:ind w:firstLine="0"/>
      </w:pPr>
    </w:p>
    <w:p w14:paraId="20D67084" w14:textId="1F760A90" w:rsidR="003F7D04" w:rsidRPr="001005B7" w:rsidRDefault="003F7D04" w:rsidP="00E95B66">
      <w:pPr>
        <w:ind w:firstLine="0"/>
      </w:pPr>
      <w:r w:rsidRPr="001005B7">
        <w:t>As is the case with 1:4</w:t>
      </w:r>
      <w:r w:rsidR="00F46900" w:rsidRPr="001005B7">
        <w:t>–</w:t>
      </w:r>
      <w:r w:rsidRPr="001005B7">
        <w:t>28b</w:t>
      </w:r>
      <w:r w:rsidRPr="001005B7">
        <w:rPr>
          <w:rFonts w:cstheme="minorHAnsi"/>
        </w:rPr>
        <w:t>α</w:t>
      </w:r>
      <w:r w:rsidRPr="001005B7">
        <w:t xml:space="preserve"> with its jerkiness, repetitiveness, and other puzzles, </w:t>
      </w:r>
      <w:r w:rsidR="00073A37" w:rsidRPr="001005B7">
        <w:rPr>
          <w:sz w:val="18"/>
          <w:szCs w:val="18"/>
        </w:rPr>
        <w:t>LXX</w:t>
      </w:r>
      <w:r w:rsidRPr="001005B7">
        <w:t xml:space="preserve"> differs considerably from </w:t>
      </w:r>
      <w:r w:rsidR="00D54394" w:rsidRPr="001005B7">
        <w:rPr>
          <w:sz w:val="18"/>
          <w:szCs w:val="18"/>
        </w:rPr>
        <w:t>MT</w:t>
      </w:r>
      <w:r w:rsidR="00D54394" w:rsidRPr="001005B7">
        <w:t xml:space="preserve"> </w:t>
      </w:r>
      <w:r w:rsidRPr="001005B7">
        <w:t>in Ezek 7 and is considerably shorter. These differences m</w:t>
      </w:r>
      <w:r w:rsidR="007F199A" w:rsidRPr="001005B7">
        <w:t>ight</w:t>
      </w:r>
      <w:r w:rsidRPr="001005B7">
        <w:t xml:space="preserve"> </w:t>
      </w:r>
      <w:r w:rsidR="00FE2ACA">
        <w:t>mean</w:t>
      </w:r>
      <w:r w:rsidRPr="001005B7">
        <w:t xml:space="preserve"> the two forms of the chapter go back to different earlier versions, or </w:t>
      </w:r>
      <w:r w:rsidR="00D54394" w:rsidRPr="001005B7">
        <w:rPr>
          <w:sz w:val="18"/>
          <w:szCs w:val="18"/>
        </w:rPr>
        <w:t>MT</w:t>
      </w:r>
      <w:r w:rsidRPr="001005B7">
        <w:t xml:space="preserve"> developed the version that also underlies </w:t>
      </w:r>
      <w:r w:rsidR="00431DCF" w:rsidRPr="001005B7">
        <w:rPr>
          <w:sz w:val="18"/>
          <w:szCs w:val="18"/>
        </w:rPr>
        <w:t>LXX</w:t>
      </w:r>
      <w:r w:rsidRPr="001005B7">
        <w:t>,</w:t>
      </w:r>
      <w:r w:rsidR="006F166E" w:rsidRPr="001005B7">
        <w:rPr>
          <w:rStyle w:val="FootnoteReference"/>
        </w:rPr>
        <w:footnoteReference w:id="216"/>
      </w:r>
      <w:r w:rsidRPr="001005B7">
        <w:t xml:space="preserve"> or </w:t>
      </w:r>
      <w:r w:rsidR="00431DCF" w:rsidRPr="001005B7">
        <w:rPr>
          <w:sz w:val="18"/>
          <w:szCs w:val="18"/>
        </w:rPr>
        <w:t>LXX</w:t>
      </w:r>
      <w:r w:rsidR="00CF3143">
        <w:t xml:space="preserve"> </w:t>
      </w:r>
      <w:r w:rsidRPr="001005B7">
        <w:t>developed the version that also underlies</w:t>
      </w:r>
      <w:r w:rsidR="00D54394" w:rsidRPr="001005B7">
        <w:t xml:space="preserve"> </w:t>
      </w:r>
      <w:r w:rsidR="00D54394" w:rsidRPr="001005B7">
        <w:rPr>
          <w:sz w:val="18"/>
          <w:szCs w:val="18"/>
        </w:rPr>
        <w:t>MT</w:t>
      </w:r>
      <w:r w:rsidRPr="001005B7">
        <w:t xml:space="preserve"> or sought to clarify it or simplify it, or e</w:t>
      </w:r>
      <w:r w:rsidR="00EC7F62" w:rsidRPr="001005B7">
        <w:t>i</w:t>
      </w:r>
      <w:r w:rsidRPr="001005B7">
        <w:t>ther version accidentally shorten</w:t>
      </w:r>
      <w:r w:rsidR="00CF3143">
        <w:t>ed</w:t>
      </w:r>
      <w:r w:rsidRPr="001005B7">
        <w:t xml:space="preserve"> or otherwise alter</w:t>
      </w:r>
      <w:r w:rsidR="00CF3143">
        <w:t>ed</w:t>
      </w:r>
      <w:r w:rsidRPr="001005B7">
        <w:t xml:space="preserve"> the one it was starting from</w:t>
      </w:r>
      <w:r w:rsidR="00B025E8">
        <w:t>—or</w:t>
      </w:r>
      <w:r w:rsidR="00827D6D">
        <w:t xml:space="preserve"> </w:t>
      </w:r>
      <w:r w:rsidR="00B025E8">
        <w:t>some combination of these possibilities.</w:t>
      </w:r>
      <w:r w:rsidRPr="001005B7">
        <w:t xml:space="preserve">. The translation above follows </w:t>
      </w:r>
      <w:r w:rsidR="00D54394" w:rsidRPr="001005B7">
        <w:rPr>
          <w:sz w:val="18"/>
          <w:szCs w:val="18"/>
        </w:rPr>
        <w:t>MT</w:t>
      </w:r>
      <w:r w:rsidRPr="001005B7">
        <w:t xml:space="preserve">, but here I note many of the differences from </w:t>
      </w:r>
      <w:r w:rsidR="00431DCF" w:rsidRPr="001005B7">
        <w:rPr>
          <w:sz w:val="18"/>
          <w:szCs w:val="18"/>
        </w:rPr>
        <w:t>LXX</w:t>
      </w:r>
      <w:r w:rsidRPr="001005B7">
        <w:t>.</w:t>
      </w:r>
    </w:p>
    <w:p w14:paraId="679F5E77" w14:textId="77777777" w:rsidR="003A2268" w:rsidRPr="001005B7" w:rsidRDefault="003A2268" w:rsidP="003F7D04"/>
    <w:p w14:paraId="7308B7CF" w14:textId="62E68350" w:rsidR="003F7D04" w:rsidRPr="001005B7" w:rsidRDefault="006F0B05" w:rsidP="006F0B05">
      <w:pPr>
        <w:ind w:firstLine="0"/>
      </w:pPr>
      <w:r w:rsidRPr="001005B7">
        <w:rPr>
          <w:b/>
          <w:bCs/>
        </w:rPr>
        <w:t>7</w:t>
      </w:r>
      <w:r w:rsidR="002D353D" w:rsidRPr="001005B7">
        <w:rPr>
          <w:b/>
          <w:bCs/>
        </w:rPr>
        <w:t xml:space="preserve">:2 </w:t>
      </w:r>
      <w:r w:rsidR="00D54394" w:rsidRPr="001005B7">
        <w:rPr>
          <w:sz w:val="18"/>
          <w:szCs w:val="18"/>
        </w:rPr>
        <w:t>MT</w:t>
      </w:r>
      <w:r w:rsidR="003F7D04" w:rsidRPr="001005B7">
        <w:t xml:space="preserve">’s </w:t>
      </w:r>
      <w:r w:rsidR="00EE3BFB" w:rsidRPr="001005B7">
        <w:t xml:space="preserve">mid-verse </w:t>
      </w:r>
      <w:r w:rsidR="003F7D04" w:rsidRPr="001005B7">
        <w:t>accent link</w:t>
      </w:r>
      <w:r w:rsidR="00EE3BFB" w:rsidRPr="001005B7">
        <w:t>s</w:t>
      </w:r>
      <w:r w:rsidR="003F7D04" w:rsidRPr="001005B7">
        <w:t xml:space="preserve"> </w:t>
      </w:r>
      <w:r w:rsidR="00FA31FC" w:rsidRPr="001005B7">
        <w:rPr>
          <w:rFonts w:cstheme="minorHAnsi"/>
          <w:rtl/>
          <w:lang w:bidi="he-IL"/>
        </w:rPr>
        <w:t>קֵץ</w:t>
      </w:r>
      <w:r w:rsidR="00FA31FC" w:rsidRPr="001005B7">
        <w:t xml:space="preserve">, </w:t>
      </w:r>
      <w:r w:rsidR="00410257" w:rsidRPr="001005B7">
        <w:t>“</w:t>
      </w:r>
      <w:r w:rsidR="003F7D04" w:rsidRPr="001005B7">
        <w:t>an</w:t>
      </w:r>
      <w:r w:rsidR="003F7D04" w:rsidRPr="001005B7">
        <w:rPr>
          <w:i/>
          <w:iCs/>
        </w:rPr>
        <w:t xml:space="preserve"> </w:t>
      </w:r>
      <w:r w:rsidR="003F7D04" w:rsidRPr="001005B7">
        <w:t>end</w:t>
      </w:r>
      <w:r w:rsidR="00FA31FC" w:rsidRPr="001005B7">
        <w:t>,</w:t>
      </w:r>
      <w:r w:rsidR="00410257" w:rsidRPr="001005B7">
        <w:t>”</w:t>
      </w:r>
      <w:r w:rsidR="003F7D04" w:rsidRPr="001005B7">
        <w:t xml:space="preserve"> with the first half of the verse. </w:t>
      </w:r>
    </w:p>
    <w:p w14:paraId="308074A4" w14:textId="6B90D066" w:rsidR="003F7D04" w:rsidRPr="001005B7" w:rsidRDefault="002D353D" w:rsidP="002D353D">
      <w:pPr>
        <w:ind w:firstLine="0"/>
      </w:pPr>
      <w:r w:rsidRPr="001005B7">
        <w:rPr>
          <w:b/>
          <w:bCs/>
        </w:rPr>
        <w:t>7:3</w:t>
      </w:r>
      <w:r w:rsidR="003F7D04" w:rsidRPr="001005B7">
        <w:rPr>
          <w:vertAlign w:val="superscript"/>
        </w:rPr>
        <w:t xml:space="preserve"> </w:t>
      </w:r>
      <w:r w:rsidR="003F7D04" w:rsidRPr="001005B7">
        <w:t xml:space="preserve">In </w:t>
      </w:r>
      <w:r w:rsidR="00431DCF" w:rsidRPr="001005B7">
        <w:rPr>
          <w:sz w:val="18"/>
          <w:szCs w:val="18"/>
        </w:rPr>
        <w:t>LXX</w:t>
      </w:r>
      <w:r w:rsidR="003F7D04" w:rsidRPr="001005B7">
        <w:t xml:space="preserve">, </w:t>
      </w:r>
      <w:r w:rsidR="0042084A" w:rsidRPr="001005B7">
        <w:t>7:</w:t>
      </w:r>
      <w:r w:rsidR="003F7D04" w:rsidRPr="001005B7">
        <w:t>3</w:t>
      </w:r>
      <w:r w:rsidR="00F46900" w:rsidRPr="001005B7">
        <w:t>–</w:t>
      </w:r>
      <w:r w:rsidR="003F7D04" w:rsidRPr="001005B7">
        <w:t xml:space="preserve">5 follow </w:t>
      </w:r>
      <w:r w:rsidR="0042084A" w:rsidRPr="001005B7">
        <w:t>7:</w:t>
      </w:r>
      <w:r w:rsidR="003F7D04" w:rsidRPr="001005B7">
        <w:t>6</w:t>
      </w:r>
      <w:r w:rsidR="00F46900" w:rsidRPr="001005B7">
        <w:t>–</w:t>
      </w:r>
      <w:r w:rsidR="003F7D04" w:rsidRPr="001005B7">
        <w:t>9.</w:t>
      </w:r>
    </w:p>
    <w:p w14:paraId="4B07758B" w14:textId="30AB21DF" w:rsidR="003F7D04" w:rsidRPr="001005B7" w:rsidRDefault="006F0B05" w:rsidP="006F0B05">
      <w:pPr>
        <w:ind w:firstLine="0"/>
      </w:pPr>
      <w:r w:rsidRPr="001005B7">
        <w:rPr>
          <w:b/>
          <w:bCs/>
        </w:rPr>
        <w:t>7:4</w:t>
      </w:r>
      <w:r w:rsidR="003F7D04" w:rsidRPr="001005B7">
        <w:t xml:space="preserve"> Whereas </w:t>
      </w:r>
      <w:r w:rsidR="0042084A" w:rsidRPr="001005B7">
        <w:t>7:</w:t>
      </w:r>
      <w:r w:rsidR="003F7D04" w:rsidRPr="001005B7">
        <w:t>3</w:t>
      </w:r>
      <w:r w:rsidR="00F46900" w:rsidRPr="001005B7">
        <w:t>–</w:t>
      </w:r>
      <w:r w:rsidR="003F7D04" w:rsidRPr="001005B7">
        <w:t>4ab</w:t>
      </w:r>
      <w:r w:rsidR="003F7D04" w:rsidRPr="001005B7">
        <w:rPr>
          <w:rFonts w:cstheme="minorHAnsi"/>
        </w:rPr>
        <w:t>α</w:t>
      </w:r>
      <w:r w:rsidR="003F7D04" w:rsidRPr="001005B7">
        <w:t xml:space="preserve"> addressed the land as f</w:t>
      </w:r>
      <w:r w:rsidR="00025A6B" w:rsidRPr="001005B7">
        <w:t>.</w:t>
      </w:r>
      <w:r w:rsidR="003F7D04" w:rsidRPr="001005B7">
        <w:t xml:space="preserve"> s</w:t>
      </w:r>
      <w:r w:rsidR="00AF391C" w:rsidRPr="001005B7">
        <w:t>g.</w:t>
      </w:r>
      <w:r w:rsidR="003F7D04" w:rsidRPr="001005B7">
        <w:t>, this last colon has the m</w:t>
      </w:r>
      <w:r w:rsidR="00AC4565" w:rsidRPr="001005B7">
        <w:t>.</w:t>
      </w:r>
      <w:r w:rsidR="003F7D04" w:rsidRPr="001005B7">
        <w:t xml:space="preserve"> pl</w:t>
      </w:r>
      <w:r w:rsidR="00B84432" w:rsidRPr="001005B7">
        <w:t>.</w:t>
      </w:r>
      <w:r w:rsidR="003F7D04" w:rsidRPr="001005B7">
        <w:t xml:space="preserve"> (but </w:t>
      </w:r>
      <w:r w:rsidR="00711BA2" w:rsidRPr="001005B7">
        <w:rPr>
          <w:sz w:val="18"/>
          <w:szCs w:val="18"/>
        </w:rPr>
        <w:t>LXX</w:t>
      </w:r>
      <w:r w:rsidR="003F7D04" w:rsidRPr="001005B7">
        <w:t xml:space="preserve"> continues the f</w:t>
      </w:r>
      <w:r w:rsidR="00AC4565" w:rsidRPr="001005B7">
        <w:t>.</w:t>
      </w:r>
      <w:r w:rsidR="003F7D04" w:rsidRPr="001005B7">
        <w:t xml:space="preserve"> sg</w:t>
      </w:r>
      <w:r w:rsidR="00AF391C" w:rsidRPr="001005B7">
        <w:t>.</w:t>
      </w:r>
      <w:r w:rsidR="003F7D04" w:rsidRPr="001005B7">
        <w:t xml:space="preserve">). The dynamic repeats in </w:t>
      </w:r>
      <w:r w:rsidR="003D021F" w:rsidRPr="001005B7">
        <w:t>7:</w:t>
      </w:r>
      <w:r w:rsidR="003F7D04" w:rsidRPr="001005B7">
        <w:t xml:space="preserve">9. </w:t>
      </w:r>
    </w:p>
    <w:p w14:paraId="783537A6" w14:textId="4B26B670" w:rsidR="003F7D04" w:rsidRPr="001005B7" w:rsidRDefault="006F0B05" w:rsidP="006F0B05">
      <w:pPr>
        <w:ind w:firstLine="0"/>
      </w:pPr>
      <w:r w:rsidRPr="001005B7">
        <w:rPr>
          <w:b/>
          <w:bCs/>
        </w:rPr>
        <w:t xml:space="preserve">7:5 </w:t>
      </w:r>
      <w:r w:rsidR="00CF51DB" w:rsidRPr="001005B7">
        <w:rPr>
          <w:sz w:val="18"/>
          <w:szCs w:val="18"/>
        </w:rPr>
        <w:t>LXX</w:t>
      </w:r>
      <w:r w:rsidR="003F7D04" w:rsidRPr="001005B7">
        <w:t xml:space="preserve"> lacks </w:t>
      </w:r>
      <w:r w:rsidR="003D021F" w:rsidRPr="001005B7">
        <w:t>7:</w:t>
      </w:r>
      <w:r w:rsidR="003F7D04" w:rsidRPr="001005B7">
        <w:t>5b.</w:t>
      </w:r>
    </w:p>
    <w:p w14:paraId="2CA4D98F" w14:textId="1905202E" w:rsidR="003F7D04" w:rsidRPr="001005B7" w:rsidRDefault="00BA1181" w:rsidP="00BA1181">
      <w:pPr>
        <w:ind w:firstLine="0"/>
      </w:pPr>
      <w:r w:rsidRPr="001005B7">
        <w:rPr>
          <w:b/>
          <w:bCs/>
        </w:rPr>
        <w:t xml:space="preserve">7:6 </w:t>
      </w:r>
      <w:r w:rsidR="00CF51DB" w:rsidRPr="001005B7">
        <w:rPr>
          <w:sz w:val="18"/>
          <w:szCs w:val="18"/>
        </w:rPr>
        <w:t>LXX</w:t>
      </w:r>
      <w:r w:rsidR="003F7D04" w:rsidRPr="001005B7">
        <w:t xml:space="preserve"> lacks </w:t>
      </w:r>
      <w:r w:rsidR="00F254D0" w:rsidRPr="001005B7">
        <w:t>“</w:t>
      </w:r>
      <w:r w:rsidR="003F7D04" w:rsidRPr="001005B7">
        <w:t>the</w:t>
      </w:r>
      <w:r w:rsidR="003F7D04" w:rsidRPr="001005B7">
        <w:rPr>
          <w:i/>
          <w:iCs/>
        </w:rPr>
        <w:t xml:space="preserve"> </w:t>
      </w:r>
      <w:r w:rsidR="003F7D04" w:rsidRPr="001005B7">
        <w:t>end</w:t>
      </w:r>
      <w:r w:rsidR="003F7D04" w:rsidRPr="001005B7">
        <w:rPr>
          <w:i/>
          <w:iCs/>
        </w:rPr>
        <w:t xml:space="preserve"> </w:t>
      </w:r>
      <w:r w:rsidR="003F7D04" w:rsidRPr="001005B7">
        <w:t>is</w:t>
      </w:r>
      <w:r w:rsidR="003F7D04" w:rsidRPr="001005B7">
        <w:rPr>
          <w:i/>
          <w:iCs/>
        </w:rPr>
        <w:t xml:space="preserve"> </w:t>
      </w:r>
      <w:r w:rsidR="003F7D04" w:rsidRPr="001005B7">
        <w:t>coming,</w:t>
      </w:r>
      <w:r w:rsidR="00F254D0" w:rsidRPr="001005B7">
        <w:t>”</w:t>
      </w:r>
      <w:r w:rsidR="003F7D04" w:rsidRPr="001005B7">
        <w:t xml:space="preserve"> the rest of </w:t>
      </w:r>
      <w:r w:rsidR="003D021F" w:rsidRPr="001005B7">
        <w:t>7:</w:t>
      </w:r>
      <w:r w:rsidR="003F7D04" w:rsidRPr="001005B7">
        <w:t xml:space="preserve">6, and </w:t>
      </w:r>
      <w:r w:rsidR="00F254D0" w:rsidRPr="001005B7">
        <w:t>“</w:t>
      </w:r>
      <w:r w:rsidR="003F7D04" w:rsidRPr="001005B7">
        <w:t>doom</w:t>
      </w:r>
      <w:r w:rsidR="003F7D04" w:rsidRPr="001005B7">
        <w:rPr>
          <w:i/>
          <w:iCs/>
        </w:rPr>
        <w:t xml:space="preserve"> </w:t>
      </w:r>
      <w:r w:rsidR="003F7D04" w:rsidRPr="001005B7">
        <w:t>is</w:t>
      </w:r>
      <w:r w:rsidR="003F7D04" w:rsidRPr="001005B7">
        <w:rPr>
          <w:i/>
          <w:iCs/>
        </w:rPr>
        <w:t xml:space="preserve"> </w:t>
      </w:r>
      <w:r w:rsidR="003F7D04" w:rsidRPr="001005B7">
        <w:t>coming</w:t>
      </w:r>
      <w:r w:rsidR="00F254D0" w:rsidRPr="001005B7">
        <w:t>”</w:t>
      </w:r>
      <w:r w:rsidR="003F7D04" w:rsidRPr="001005B7">
        <w:rPr>
          <w:i/>
          <w:iCs/>
        </w:rPr>
        <w:t xml:space="preserve"> </w:t>
      </w:r>
      <w:r w:rsidR="003F7D04" w:rsidRPr="001005B7">
        <w:t xml:space="preserve">in </w:t>
      </w:r>
      <w:r w:rsidR="003D021F" w:rsidRPr="001005B7">
        <w:t>7:</w:t>
      </w:r>
      <w:r w:rsidR="003F7D04" w:rsidRPr="001005B7">
        <w:t xml:space="preserve">7—in other words, after </w:t>
      </w:r>
      <w:r w:rsidR="00FD28DD" w:rsidRPr="001005B7">
        <w:t>“a</w:t>
      </w:r>
      <w:r w:rsidR="003F7D04" w:rsidRPr="001005B7">
        <w:t>n</w:t>
      </w:r>
      <w:r w:rsidR="003F7D04" w:rsidRPr="001005B7">
        <w:rPr>
          <w:i/>
          <w:iCs/>
        </w:rPr>
        <w:t xml:space="preserve"> </w:t>
      </w:r>
      <w:r w:rsidR="003F7D04" w:rsidRPr="001005B7">
        <w:t>end</w:t>
      </w:r>
      <w:r w:rsidR="003F7D04" w:rsidRPr="001005B7">
        <w:rPr>
          <w:i/>
          <w:iCs/>
        </w:rPr>
        <w:t xml:space="preserve"> </w:t>
      </w:r>
      <w:r w:rsidR="003F7D04" w:rsidRPr="001005B7">
        <w:t>is</w:t>
      </w:r>
      <w:r w:rsidR="003F7D04" w:rsidRPr="001005B7">
        <w:rPr>
          <w:i/>
          <w:iCs/>
        </w:rPr>
        <w:t xml:space="preserve"> </w:t>
      </w:r>
      <w:r w:rsidR="003F7D04" w:rsidRPr="001005B7">
        <w:t>coming</w:t>
      </w:r>
      <w:r w:rsidR="00FD28DD" w:rsidRPr="001005B7">
        <w:t>”</w:t>
      </w:r>
      <w:r w:rsidR="003F7D04" w:rsidRPr="001005B7">
        <w:rPr>
          <w:i/>
          <w:iCs/>
        </w:rPr>
        <w:t xml:space="preserve"> </w:t>
      </w:r>
      <w:r w:rsidR="003F7D04" w:rsidRPr="001005B7">
        <w:t xml:space="preserve">it goes straight to </w:t>
      </w:r>
      <w:r w:rsidR="00FD28DD" w:rsidRPr="001005B7">
        <w:t>“</w:t>
      </w:r>
      <w:r w:rsidR="003F7D04" w:rsidRPr="001005B7">
        <w:t>for</w:t>
      </w:r>
      <w:r w:rsidR="003F7D04" w:rsidRPr="001005B7">
        <w:rPr>
          <w:i/>
          <w:iCs/>
        </w:rPr>
        <w:t xml:space="preserve"> </w:t>
      </w:r>
      <w:r w:rsidR="003F7D04" w:rsidRPr="001005B7">
        <w:t>you</w:t>
      </w:r>
      <w:r w:rsidR="003F7D04" w:rsidRPr="001005B7">
        <w:rPr>
          <w:i/>
          <w:iCs/>
        </w:rPr>
        <w:t xml:space="preserve">, </w:t>
      </w:r>
      <w:r w:rsidR="003F7D04" w:rsidRPr="001005B7">
        <w:t>one</w:t>
      </w:r>
      <w:r w:rsidR="003F7D04" w:rsidRPr="001005B7">
        <w:rPr>
          <w:i/>
          <w:iCs/>
        </w:rPr>
        <w:t xml:space="preserve"> </w:t>
      </w:r>
      <w:r w:rsidR="003F7D04" w:rsidRPr="001005B7">
        <w:t>who</w:t>
      </w:r>
      <w:r w:rsidR="003F7D04" w:rsidRPr="001005B7">
        <w:rPr>
          <w:i/>
          <w:iCs/>
        </w:rPr>
        <w:t xml:space="preserve"> </w:t>
      </w:r>
      <w:r w:rsidR="003F7D04" w:rsidRPr="001005B7">
        <w:t>lives</w:t>
      </w:r>
      <w:r w:rsidR="003F7D04" w:rsidRPr="001005B7">
        <w:rPr>
          <w:i/>
          <w:iCs/>
        </w:rPr>
        <w:t xml:space="preserve"> </w:t>
      </w:r>
      <w:r w:rsidR="003F7D04" w:rsidRPr="001005B7">
        <w:t>in</w:t>
      </w:r>
      <w:r w:rsidR="003F7D04" w:rsidRPr="001005B7">
        <w:rPr>
          <w:i/>
          <w:iCs/>
        </w:rPr>
        <w:t xml:space="preserve"> </w:t>
      </w:r>
      <w:r w:rsidR="003F7D04" w:rsidRPr="001005B7">
        <w:t>the</w:t>
      </w:r>
      <w:r w:rsidR="003F7D04" w:rsidRPr="001005B7">
        <w:rPr>
          <w:i/>
          <w:iCs/>
        </w:rPr>
        <w:t xml:space="preserve"> </w:t>
      </w:r>
      <w:r w:rsidR="003F7D04" w:rsidRPr="001005B7">
        <w:t>country</w:t>
      </w:r>
      <w:r w:rsidR="00E02CEB" w:rsidRPr="001005B7">
        <w:t>.</w:t>
      </w:r>
      <w:r w:rsidR="00FD28DD" w:rsidRPr="001005B7">
        <w:t>”</w:t>
      </w:r>
      <w:r w:rsidR="003F7D04" w:rsidRPr="001005B7">
        <w:t xml:space="preserve"> </w:t>
      </w:r>
      <w:r w:rsidR="00E02CEB" w:rsidRPr="001005B7">
        <w:t xml:space="preserve">Jumping from one </w:t>
      </w:r>
      <w:r w:rsidR="00447567" w:rsidRPr="001005B7">
        <w:rPr>
          <w:rFonts w:cstheme="minorHAnsi"/>
          <w:rtl/>
          <w:lang w:bidi="he-IL"/>
        </w:rPr>
        <w:t>בׇּא</w:t>
      </w:r>
      <w:r w:rsidR="00C153B4" w:rsidRPr="001005B7">
        <w:t xml:space="preserve"> </w:t>
      </w:r>
      <w:r w:rsidR="00447567" w:rsidRPr="001005B7">
        <w:t xml:space="preserve">to another </w:t>
      </w:r>
      <w:r w:rsidR="00AB58DA" w:rsidRPr="001005B7">
        <w:rPr>
          <w:rFonts w:cstheme="minorHAnsi"/>
          <w:rtl/>
          <w:lang w:bidi="he-IL"/>
        </w:rPr>
        <w:t>בּ</w:t>
      </w:r>
      <w:r w:rsidR="006A0366" w:rsidRPr="001005B7">
        <w:rPr>
          <w:rFonts w:cstheme="minorHAnsi"/>
          <w:rtl/>
          <w:lang w:bidi="he-IL"/>
        </w:rPr>
        <w:t>ׇא</w:t>
      </w:r>
      <w:r w:rsidR="00AB58DA" w:rsidRPr="001005B7">
        <w:t xml:space="preserve"> w</w:t>
      </w:r>
      <w:r w:rsidR="003F7D04" w:rsidRPr="001005B7">
        <w:t>ould be an easy slip.</w:t>
      </w:r>
    </w:p>
    <w:p w14:paraId="4B3B1F56" w14:textId="18D204E6" w:rsidR="003F7D04" w:rsidRPr="001005B7" w:rsidRDefault="00BA1181" w:rsidP="00BA1181">
      <w:pPr>
        <w:ind w:firstLine="0"/>
      </w:pPr>
      <w:r w:rsidRPr="001005B7">
        <w:rPr>
          <w:b/>
          <w:bCs/>
        </w:rPr>
        <w:t xml:space="preserve">7:7 </w:t>
      </w:r>
      <w:r w:rsidR="003F7D04" w:rsidRPr="001005B7">
        <w:t>For</w:t>
      </w:r>
      <w:r w:rsidR="006A0366" w:rsidRPr="001005B7">
        <w:t xml:space="preserve"> </w:t>
      </w:r>
      <w:r w:rsidR="00F82CB3" w:rsidRPr="001005B7">
        <w:rPr>
          <w:rFonts w:cstheme="minorHAnsi"/>
          <w:rtl/>
          <w:lang w:bidi="he-IL"/>
        </w:rPr>
        <w:t>מְהו</w:t>
      </w:r>
      <w:r w:rsidR="00174FE9" w:rsidRPr="001005B7">
        <w:rPr>
          <w:rFonts w:cstheme="minorHAnsi"/>
          <w:rtl/>
          <w:lang w:bidi="he-IL"/>
        </w:rPr>
        <w:t>ּמׇה</w:t>
      </w:r>
      <w:r w:rsidR="0098521D" w:rsidRPr="001005B7">
        <w:rPr>
          <w:rFonts w:cstheme="minorHAnsi"/>
          <w:rtl/>
          <w:lang w:bidi="he-IL"/>
        </w:rPr>
        <w:t xml:space="preserve"> </w:t>
      </w:r>
      <w:r w:rsidR="00174FE9" w:rsidRPr="001005B7">
        <w:rPr>
          <w:rFonts w:cstheme="minorHAnsi"/>
          <w:rtl/>
          <w:lang w:bidi="he-IL"/>
        </w:rPr>
        <w:t>וְלֹא־</w:t>
      </w:r>
      <w:r w:rsidR="00525B58" w:rsidRPr="001005B7">
        <w:rPr>
          <w:rFonts w:cstheme="minorHAnsi"/>
          <w:rtl/>
          <w:lang w:bidi="he-IL"/>
        </w:rPr>
        <w:t>הֵד</w:t>
      </w:r>
      <w:r w:rsidR="0098521D" w:rsidRPr="001005B7">
        <w:rPr>
          <w:rFonts w:cstheme="minorHAnsi"/>
          <w:rtl/>
          <w:lang w:bidi="he-IL"/>
        </w:rPr>
        <w:t xml:space="preserve"> </w:t>
      </w:r>
      <w:r w:rsidR="00C01A64" w:rsidRPr="001005B7">
        <w:rPr>
          <w:rFonts w:cstheme="minorHAnsi"/>
          <w:rtl/>
          <w:lang w:bidi="he-IL"/>
        </w:rPr>
        <w:t>הׇרִים</w:t>
      </w:r>
      <w:r w:rsidR="003F7D04" w:rsidRPr="001005B7">
        <w:t xml:space="preserve">, </w:t>
      </w:r>
      <w:r w:rsidR="00C01A64" w:rsidRPr="001005B7">
        <w:t>“</w:t>
      </w:r>
      <w:r w:rsidR="0098521D" w:rsidRPr="001005B7">
        <w:t>tumult</w:t>
      </w:r>
      <w:r w:rsidR="000F5A39">
        <w:t>,</w:t>
      </w:r>
      <w:r w:rsidR="0098521D" w:rsidRPr="001005B7">
        <w:t xml:space="preserve"> and not shouting on the mountains,” </w:t>
      </w:r>
      <w:r w:rsidR="00CF51DB" w:rsidRPr="001005B7">
        <w:rPr>
          <w:sz w:val="18"/>
          <w:szCs w:val="18"/>
        </w:rPr>
        <w:t>LXX</w:t>
      </w:r>
      <w:r w:rsidR="003F7D04" w:rsidRPr="001005B7">
        <w:t xml:space="preserve"> has “not with wildness nor with anguish.” </w:t>
      </w:r>
      <w:r w:rsidR="003F7D04" w:rsidRPr="001005B7">
        <w:rPr>
          <w:rFonts w:cstheme="minorHAnsi"/>
          <w:rtl/>
          <w:lang w:bidi="he-IL"/>
        </w:rPr>
        <w:t>הֵד</w:t>
      </w:r>
      <w:r w:rsidR="00906391" w:rsidRPr="001005B7">
        <w:t xml:space="preserve"> </w:t>
      </w:r>
      <w:r w:rsidR="003F7D04" w:rsidRPr="001005B7">
        <w:t>is a hapax</w:t>
      </w:r>
      <w:r w:rsidR="002C0BED" w:rsidRPr="001005B7">
        <w:t>;</w:t>
      </w:r>
      <w:r w:rsidR="003F7D04" w:rsidRPr="001005B7">
        <w:t xml:space="preserve"> it might be an alternative for </w:t>
      </w:r>
      <w:r w:rsidR="003F7D04" w:rsidRPr="001005B7">
        <w:rPr>
          <w:rFonts w:cstheme="minorHAnsi"/>
          <w:rtl/>
          <w:lang w:bidi="he-IL"/>
        </w:rPr>
        <w:t>הֵידָד</w:t>
      </w:r>
      <w:r w:rsidR="003F7D04" w:rsidRPr="001005B7">
        <w:t xml:space="preserve">. Neither need imply a positive shouting, as </w:t>
      </w:r>
      <w:r w:rsidR="00CF51DB" w:rsidRPr="001005B7">
        <w:rPr>
          <w:sz w:val="18"/>
          <w:szCs w:val="18"/>
        </w:rPr>
        <w:t>LXX</w:t>
      </w:r>
      <w:r w:rsidR="003F7D04" w:rsidRPr="001005B7">
        <w:t xml:space="preserve"> presupposes for </w:t>
      </w:r>
      <w:r w:rsidR="00F82689" w:rsidRPr="001005B7">
        <w:rPr>
          <w:sz w:val="18"/>
          <w:szCs w:val="18"/>
        </w:rPr>
        <w:t>MT</w:t>
      </w:r>
      <w:r w:rsidR="003F7D04" w:rsidRPr="001005B7">
        <w:t xml:space="preserve">’s word. </w:t>
      </w:r>
      <w:proofErr w:type="spellStart"/>
      <w:r w:rsidR="003F7D04" w:rsidRPr="001005B7">
        <w:t>Theod</w:t>
      </w:r>
      <w:proofErr w:type="spellEnd"/>
      <w:r w:rsidR="00241C55" w:rsidRPr="001005B7">
        <w:t>.</w:t>
      </w:r>
      <w:r w:rsidR="003F7D04" w:rsidRPr="001005B7">
        <w:t xml:space="preserve"> “glory” suggests </w:t>
      </w:r>
      <w:r w:rsidR="003F7D04" w:rsidRPr="001005B7">
        <w:rPr>
          <w:rFonts w:cstheme="minorHAnsi"/>
          <w:rtl/>
          <w:lang w:bidi="he-IL"/>
        </w:rPr>
        <w:t>הוׄד</w:t>
      </w:r>
      <w:r w:rsidR="003F7D04" w:rsidRPr="001005B7">
        <w:rPr>
          <w:i/>
          <w:iCs/>
        </w:rPr>
        <w:t xml:space="preserve"> </w:t>
      </w:r>
      <w:r w:rsidR="003F7D04" w:rsidRPr="001005B7">
        <w:t>(</w:t>
      </w:r>
      <w:r w:rsidR="003F7D04" w:rsidRPr="001005B7">
        <w:rPr>
          <w:i/>
          <w:iCs/>
        </w:rPr>
        <w:t>HUB</w:t>
      </w:r>
      <w:r w:rsidR="003F7D04" w:rsidRPr="001005B7">
        <w:t xml:space="preserve">). </w:t>
      </w:r>
    </w:p>
    <w:p w14:paraId="362DFEA9" w14:textId="6CF97401" w:rsidR="003F7D04" w:rsidRPr="001005B7" w:rsidRDefault="00BA1181" w:rsidP="00BA1181">
      <w:pPr>
        <w:ind w:firstLine="0"/>
      </w:pPr>
      <w:r w:rsidRPr="001005B7">
        <w:rPr>
          <w:b/>
          <w:bCs/>
        </w:rPr>
        <w:t xml:space="preserve">7:10 </w:t>
      </w:r>
      <w:r w:rsidR="003F7D04" w:rsidRPr="001005B7">
        <w:t xml:space="preserve">For the first two cola, </w:t>
      </w:r>
      <w:r w:rsidR="00B91031" w:rsidRPr="001005B7">
        <w:rPr>
          <w:sz w:val="18"/>
          <w:szCs w:val="18"/>
        </w:rPr>
        <w:t>LXX</w:t>
      </w:r>
      <w:r w:rsidR="003F7D04" w:rsidRPr="001005B7">
        <w:t xml:space="preserve"> has “Behold, the end is coming, behold a day of the Lord,” which might reflect puzzlement at the word </w:t>
      </w:r>
      <w:r w:rsidR="003F7D04" w:rsidRPr="001005B7">
        <w:rPr>
          <w:rFonts w:cstheme="minorHAnsi"/>
          <w:rtl/>
          <w:lang w:bidi="he-IL"/>
        </w:rPr>
        <w:t>צְפִירָה</w:t>
      </w:r>
      <w:r w:rsidR="003F7D04" w:rsidRPr="001005B7">
        <w:rPr>
          <w:rFonts w:cstheme="minorHAnsi"/>
        </w:rPr>
        <w:t xml:space="preserve"> (</w:t>
      </w:r>
      <w:r w:rsidR="00583714" w:rsidRPr="001005B7">
        <w:rPr>
          <w:rFonts w:cstheme="minorHAnsi"/>
        </w:rPr>
        <w:t>“</w:t>
      </w:r>
      <w:r w:rsidR="003F7D04" w:rsidRPr="001005B7">
        <w:rPr>
          <w:rFonts w:cstheme="minorHAnsi"/>
        </w:rPr>
        <w:t>doom</w:t>
      </w:r>
      <w:r w:rsidR="00583714" w:rsidRPr="001005B7">
        <w:rPr>
          <w:rFonts w:cstheme="minorHAnsi"/>
        </w:rPr>
        <w:t>”</w:t>
      </w:r>
      <w:r w:rsidR="003F7D04" w:rsidRPr="001005B7">
        <w:rPr>
          <w:rFonts w:cstheme="minorHAnsi"/>
        </w:rPr>
        <w:t>).</w:t>
      </w:r>
    </w:p>
    <w:p w14:paraId="1D8F59C3" w14:textId="26F646F3" w:rsidR="003F7D04" w:rsidRPr="001005B7" w:rsidRDefault="00BA1181" w:rsidP="00BA1181">
      <w:pPr>
        <w:ind w:firstLine="0"/>
      </w:pPr>
      <w:r w:rsidRPr="001005B7">
        <w:rPr>
          <w:b/>
          <w:bCs/>
        </w:rPr>
        <w:t>7:11</w:t>
      </w:r>
      <w:r w:rsidR="003F7D04" w:rsidRPr="001005B7">
        <w:t xml:space="preserve"> </w:t>
      </w:r>
      <w:r w:rsidR="00B91031" w:rsidRPr="001005B7">
        <w:rPr>
          <w:sz w:val="18"/>
          <w:szCs w:val="18"/>
        </w:rPr>
        <w:t>LXX</w:t>
      </w:r>
      <w:r w:rsidR="003F7D04" w:rsidRPr="001005B7">
        <w:t xml:space="preserve">’s brief paraphrase of the </w:t>
      </w:r>
      <w:r w:rsidR="00227927" w:rsidRPr="001005B7">
        <w:t xml:space="preserve">middle </w:t>
      </w:r>
      <w:r w:rsidR="003F7D04" w:rsidRPr="001005B7">
        <w:t>two cola</w:t>
      </w:r>
      <w:r w:rsidR="003F7D04" w:rsidRPr="001005B7">
        <w:rPr>
          <w:i/>
          <w:iCs/>
        </w:rPr>
        <w:t xml:space="preserve"> </w:t>
      </w:r>
      <w:r w:rsidR="003F7D04" w:rsidRPr="001005B7">
        <w:t xml:space="preserve">reflects the difficulty of their briskness, and in particular of </w:t>
      </w:r>
      <w:r w:rsidR="003F7D04" w:rsidRPr="001005B7">
        <w:rPr>
          <w:rFonts w:cstheme="minorHAnsi"/>
          <w:rtl/>
          <w:lang w:bidi="he-IL"/>
        </w:rPr>
        <w:t>מֶהֱמֵהֶם</w:t>
      </w:r>
      <w:r w:rsidR="003F7D04" w:rsidRPr="001005B7">
        <w:t xml:space="preserve">, </w:t>
      </w:r>
      <w:r w:rsidR="00583714" w:rsidRPr="001005B7">
        <w:t>“</w:t>
      </w:r>
      <w:r w:rsidR="003F7D04" w:rsidRPr="001005B7">
        <w:t>of</w:t>
      </w:r>
      <w:r w:rsidR="003F7D04" w:rsidRPr="001005B7">
        <w:rPr>
          <w:i/>
          <w:iCs/>
        </w:rPr>
        <w:t xml:space="preserve"> </w:t>
      </w:r>
      <w:r w:rsidR="003F7D04" w:rsidRPr="001005B7">
        <w:t>their</w:t>
      </w:r>
      <w:r w:rsidR="003F7D04" w:rsidRPr="001005B7">
        <w:rPr>
          <w:i/>
          <w:iCs/>
        </w:rPr>
        <w:t xml:space="preserve"> </w:t>
      </w:r>
      <w:r w:rsidR="003F7D04" w:rsidRPr="001005B7">
        <w:t>tumult,</w:t>
      </w:r>
      <w:r w:rsidR="00FB749D" w:rsidRPr="001005B7">
        <w:t>”</w:t>
      </w:r>
      <w:r w:rsidR="003F7D04" w:rsidRPr="001005B7">
        <w:rPr>
          <w:i/>
          <w:iCs/>
        </w:rPr>
        <w:t xml:space="preserve"> </w:t>
      </w:r>
      <w:r w:rsidR="003F7D04" w:rsidRPr="001005B7">
        <w:t xml:space="preserve">which I take to be </w:t>
      </w:r>
      <w:r w:rsidR="003F7D04" w:rsidRPr="001005B7">
        <w:rPr>
          <w:rFonts w:cstheme="minorHAnsi"/>
          <w:rtl/>
          <w:lang w:bidi="he-IL"/>
        </w:rPr>
        <w:t>הֵמָה</w:t>
      </w:r>
      <w:r w:rsidR="003F7D04" w:rsidRPr="001005B7">
        <w:t xml:space="preserve"> </w:t>
      </w:r>
      <w:r w:rsidR="003F7D04" w:rsidRPr="001005B7">
        <w:rPr>
          <w:rFonts w:cstheme="minorHAnsi"/>
        </w:rPr>
        <w:t xml:space="preserve">from the root </w:t>
      </w:r>
      <w:r w:rsidR="003F7D04" w:rsidRPr="001005B7">
        <w:rPr>
          <w:rFonts w:cstheme="minorHAnsi"/>
          <w:rtl/>
          <w:lang w:bidi="he-IL"/>
        </w:rPr>
        <w:t>הָמָה</w:t>
      </w:r>
      <w:r w:rsidR="003F7D04" w:rsidRPr="001005B7">
        <w:rPr>
          <w:rFonts w:cstheme="minorHAnsi"/>
        </w:rPr>
        <w:t xml:space="preserve"> and thus an alternative for </w:t>
      </w:r>
      <w:r w:rsidR="003F7D04" w:rsidRPr="001005B7">
        <w:rPr>
          <w:rFonts w:cstheme="minorHAnsi"/>
          <w:rtl/>
          <w:lang w:bidi="he-IL"/>
        </w:rPr>
        <w:t>הָמוׄן</w:t>
      </w:r>
      <w:r w:rsidR="003F7D04" w:rsidRPr="001005B7">
        <w:rPr>
          <w:rFonts w:cstheme="minorHAnsi"/>
        </w:rPr>
        <w:t xml:space="preserve"> (</w:t>
      </w:r>
      <w:r w:rsidR="003F7D04" w:rsidRPr="001005B7">
        <w:rPr>
          <w:rFonts w:cstheme="minorHAnsi"/>
          <w:i/>
          <w:iCs/>
        </w:rPr>
        <w:t xml:space="preserve">DCH </w:t>
      </w:r>
      <w:r w:rsidR="003F7D04" w:rsidRPr="001005B7">
        <w:rPr>
          <w:rFonts w:cstheme="minorHAnsi"/>
        </w:rPr>
        <w:t xml:space="preserve">2:568; </w:t>
      </w:r>
      <w:r w:rsidR="003F7D04" w:rsidRPr="001005B7">
        <w:rPr>
          <w:rFonts w:cstheme="minorHAnsi"/>
          <w:i/>
          <w:iCs/>
        </w:rPr>
        <w:t>CTAT</w:t>
      </w:r>
      <w:r w:rsidR="003F7D04" w:rsidRPr="001005B7">
        <w:rPr>
          <w:rFonts w:cstheme="minorHAnsi"/>
        </w:rPr>
        <w:t xml:space="preserve">, 49). </w:t>
      </w:r>
    </w:p>
    <w:p w14:paraId="1F734271" w14:textId="1771286B" w:rsidR="003F7D04" w:rsidRPr="001005B7" w:rsidRDefault="00BA1181" w:rsidP="00E165BD">
      <w:pPr>
        <w:ind w:firstLine="0"/>
      </w:pPr>
      <w:r w:rsidRPr="001005B7">
        <w:rPr>
          <w:b/>
          <w:bCs/>
        </w:rPr>
        <w:t xml:space="preserve">7:12 </w:t>
      </w:r>
      <w:r w:rsidR="00711BA2" w:rsidRPr="001005B7">
        <w:rPr>
          <w:sz w:val="18"/>
          <w:szCs w:val="18"/>
        </w:rPr>
        <w:t>LXX</w:t>
      </w:r>
      <w:r w:rsidR="003F7D04" w:rsidRPr="001005B7">
        <w:t xml:space="preserve"> lacks the final colon and the similar cola in </w:t>
      </w:r>
      <w:r w:rsidR="0042084A" w:rsidRPr="001005B7">
        <w:t>7:</w:t>
      </w:r>
      <w:r w:rsidR="003F7D04" w:rsidRPr="001005B7">
        <w:t xml:space="preserve">13 and 14, which suggests they are part of the distinctively </w:t>
      </w:r>
      <w:r w:rsidR="00F82689" w:rsidRPr="001005B7">
        <w:rPr>
          <w:sz w:val="18"/>
          <w:szCs w:val="18"/>
        </w:rPr>
        <w:t>MT</w:t>
      </w:r>
      <w:r w:rsidR="003F7D04" w:rsidRPr="001005B7">
        <w:t xml:space="preserve"> </w:t>
      </w:r>
      <w:r w:rsidR="0086576F" w:rsidRPr="001005B7">
        <w:t>ve</w:t>
      </w:r>
      <w:r w:rsidR="003F7D04" w:rsidRPr="001005B7">
        <w:t>rsion of the text (Allen</w:t>
      </w:r>
      <w:r w:rsidR="00966497" w:rsidRPr="001005B7">
        <w:t>,</w:t>
      </w:r>
      <w:r w:rsidR="003F7D04" w:rsidRPr="001005B7">
        <w:t xml:space="preserve"> 1:101).</w:t>
      </w:r>
    </w:p>
    <w:p w14:paraId="23C8B029" w14:textId="63EE88A3" w:rsidR="003F7D04" w:rsidRPr="001005B7" w:rsidRDefault="00E165BD" w:rsidP="00E165BD">
      <w:pPr>
        <w:ind w:firstLine="0"/>
      </w:pPr>
      <w:r w:rsidRPr="001005B7">
        <w:rPr>
          <w:b/>
          <w:bCs/>
        </w:rPr>
        <w:t xml:space="preserve">7:13 </w:t>
      </w:r>
      <w:r w:rsidR="00711BA2" w:rsidRPr="001005B7">
        <w:rPr>
          <w:sz w:val="18"/>
          <w:szCs w:val="18"/>
        </w:rPr>
        <w:t>LXX</w:t>
      </w:r>
      <w:r w:rsidR="003F7D04" w:rsidRPr="001005B7">
        <w:t xml:space="preserve"> lacks most of </w:t>
      </w:r>
      <w:r w:rsidR="003D021F" w:rsidRPr="001005B7">
        <w:t>7:</w:t>
      </w:r>
      <w:r w:rsidR="003F7D04" w:rsidRPr="001005B7">
        <w:t xml:space="preserve">13 after the first colon, and the third and fourth cola in </w:t>
      </w:r>
      <w:r w:rsidR="003D021F" w:rsidRPr="001005B7">
        <w:t>7:</w:t>
      </w:r>
      <w:r w:rsidR="003F7D04" w:rsidRPr="001005B7">
        <w:t>14.</w:t>
      </w:r>
    </w:p>
    <w:p w14:paraId="651AD6D4" w14:textId="7EDB4226" w:rsidR="003F7D04" w:rsidRPr="001005B7" w:rsidRDefault="00E165BD" w:rsidP="008649D3">
      <w:pPr>
        <w:ind w:firstLine="0"/>
      </w:pPr>
      <w:r w:rsidRPr="001005B7">
        <w:rPr>
          <w:b/>
          <w:bCs/>
        </w:rPr>
        <w:t>7:</w:t>
      </w:r>
      <w:r w:rsidR="008649D3" w:rsidRPr="001005B7">
        <w:rPr>
          <w:b/>
          <w:bCs/>
        </w:rPr>
        <w:t>14</w:t>
      </w:r>
      <w:r w:rsidR="003F7D04" w:rsidRPr="001005B7">
        <w:t xml:space="preserve"> For</w:t>
      </w:r>
      <w:r w:rsidR="008519AD" w:rsidRPr="001005B7">
        <w:t xml:space="preserve"> </w:t>
      </w:r>
      <w:r w:rsidR="008519AD" w:rsidRPr="005E4796">
        <w:rPr>
          <w:i/>
          <w:iCs/>
        </w:rPr>
        <w:t>qatal</w:t>
      </w:r>
      <w:r w:rsidR="004E220C">
        <w:t>*</w:t>
      </w:r>
      <w:r w:rsidR="003F7D04" w:rsidRPr="001005B7">
        <w:t xml:space="preserve"> </w:t>
      </w:r>
      <w:r w:rsidR="005560AB" w:rsidRPr="001005B7">
        <w:rPr>
          <w:rFonts w:cstheme="minorHAnsi"/>
          <w:rtl/>
          <w:lang w:bidi="he-IL"/>
        </w:rPr>
        <w:t>ת</w:t>
      </w:r>
      <w:r w:rsidR="00CA29E2" w:rsidRPr="001005B7">
        <w:rPr>
          <w:rFonts w:cstheme="minorHAnsi"/>
          <w:rtl/>
          <w:lang w:bidi="he-IL"/>
        </w:rPr>
        <w:t>ׇּקְעוּ</w:t>
      </w:r>
      <w:r w:rsidR="008519AD" w:rsidRPr="001005B7">
        <w:t>, “people are blowing</w:t>
      </w:r>
      <w:r w:rsidR="00255841" w:rsidRPr="001005B7">
        <w:t>”</w:t>
      </w:r>
      <w:r w:rsidR="003F7D04" w:rsidRPr="001005B7">
        <w:t xml:space="preserve"> (cf. Sym</w:t>
      </w:r>
      <w:r w:rsidR="00B0683A" w:rsidRPr="001005B7">
        <w:t>.</w:t>
      </w:r>
      <w:r w:rsidR="003F7D04" w:rsidRPr="001005B7">
        <w:t xml:space="preserve">), </w:t>
      </w:r>
      <w:r w:rsidR="00711BA2" w:rsidRPr="001005B7">
        <w:rPr>
          <w:sz w:val="18"/>
          <w:szCs w:val="18"/>
        </w:rPr>
        <w:t>LXX</w:t>
      </w:r>
      <w:r w:rsidR="003F7D04" w:rsidRPr="001005B7">
        <w:t xml:space="preserve"> and </w:t>
      </w:r>
      <w:r w:rsidR="00573675" w:rsidRPr="001005B7">
        <w:t xml:space="preserve">Vg. </w:t>
      </w:r>
      <w:r w:rsidR="003F7D04" w:rsidRPr="001005B7">
        <w:t xml:space="preserve">have </w:t>
      </w:r>
      <w:proofErr w:type="spellStart"/>
      <w:r w:rsidR="003F7D04" w:rsidRPr="001005B7">
        <w:t>imp</w:t>
      </w:r>
      <w:r w:rsidR="006629F8" w:rsidRPr="001005B7">
        <w:t>v</w:t>
      </w:r>
      <w:proofErr w:type="spellEnd"/>
      <w:r w:rsidR="00CB198A" w:rsidRPr="001005B7">
        <w:t>.</w:t>
      </w:r>
      <w:r w:rsidR="003245F9" w:rsidRPr="001005B7">
        <w:t xml:space="preserve">, implying </w:t>
      </w:r>
      <w:r w:rsidR="003245F9" w:rsidRPr="001005B7">
        <w:rPr>
          <w:rFonts w:cstheme="minorHAnsi"/>
          <w:rtl/>
          <w:lang w:bidi="he-IL"/>
        </w:rPr>
        <w:t>תִּקְעוּ</w:t>
      </w:r>
      <w:r w:rsidR="003F7D04" w:rsidRPr="001005B7">
        <w:t xml:space="preserve"> (cf. Jer 6:1), and another </w:t>
      </w:r>
      <w:proofErr w:type="spellStart"/>
      <w:r w:rsidR="00AB1374">
        <w:t>impv</w:t>
      </w:r>
      <w:proofErr w:type="spellEnd"/>
      <w:r w:rsidR="00AB1374">
        <w:t xml:space="preserve">. </w:t>
      </w:r>
      <w:r w:rsidR="003F7D04" w:rsidRPr="001005B7">
        <w:t xml:space="preserve">in the parallel colon where </w:t>
      </w:r>
      <w:r w:rsidR="0086576F" w:rsidRPr="001005B7">
        <w:rPr>
          <w:sz w:val="18"/>
          <w:szCs w:val="18"/>
        </w:rPr>
        <w:t>MT</w:t>
      </w:r>
      <w:r w:rsidR="003F7D04" w:rsidRPr="001005B7">
        <w:t xml:space="preserve"> has inf</w:t>
      </w:r>
      <w:r w:rsidR="00B13188" w:rsidRPr="001005B7">
        <w:t>.</w:t>
      </w:r>
      <w:r w:rsidR="003F7D04" w:rsidRPr="001005B7">
        <w:t xml:space="preserve"> continuing the </w:t>
      </w:r>
      <w:r w:rsidR="003F7D04" w:rsidRPr="005E4796">
        <w:rPr>
          <w:i/>
          <w:iCs/>
        </w:rPr>
        <w:t>qatal</w:t>
      </w:r>
      <w:r w:rsidR="003F7D04" w:rsidRPr="001005B7">
        <w:t>.</w:t>
      </w:r>
    </w:p>
    <w:p w14:paraId="51B07D39" w14:textId="6F7D5445" w:rsidR="003F7D04" w:rsidRPr="001005B7" w:rsidRDefault="008649D3" w:rsidP="008649D3">
      <w:pPr>
        <w:ind w:firstLine="0"/>
      </w:pPr>
      <w:r w:rsidRPr="001005B7">
        <w:rPr>
          <w:b/>
          <w:bCs/>
        </w:rPr>
        <w:t xml:space="preserve">7:16 </w:t>
      </w:r>
      <w:r w:rsidR="003F7D04" w:rsidRPr="001005B7">
        <w:t xml:space="preserve">For </w:t>
      </w:r>
      <w:r w:rsidR="003F7D04" w:rsidRPr="001005B7">
        <w:rPr>
          <w:rFonts w:cstheme="minorHAnsi"/>
          <w:rtl/>
          <w:lang w:bidi="he-IL"/>
        </w:rPr>
        <w:t>הׄמוׄת</w:t>
      </w:r>
      <w:r w:rsidR="003F7D04" w:rsidRPr="001005B7">
        <w:t xml:space="preserve">, </w:t>
      </w:r>
      <w:r w:rsidR="00FB749D" w:rsidRPr="001005B7">
        <w:t>“</w:t>
      </w:r>
      <w:r w:rsidR="003F7D04" w:rsidRPr="001005B7">
        <w:t>moaning,</w:t>
      </w:r>
      <w:r w:rsidR="00FB749D" w:rsidRPr="001005B7">
        <w:t>”</w:t>
      </w:r>
      <w:r w:rsidR="003F7D04" w:rsidRPr="001005B7">
        <w:rPr>
          <w:rFonts w:cstheme="minorHAnsi"/>
          <w:i/>
          <w:iCs/>
        </w:rPr>
        <w:t xml:space="preserve"> </w:t>
      </w:r>
      <w:r w:rsidR="00B91031" w:rsidRPr="001005B7">
        <w:rPr>
          <w:sz w:val="18"/>
          <w:szCs w:val="18"/>
        </w:rPr>
        <w:t>LXX</w:t>
      </w:r>
      <w:r w:rsidR="003F7D04" w:rsidRPr="001005B7">
        <w:t xml:space="preserve"> “I will kill” suggests a form from </w:t>
      </w:r>
      <w:r w:rsidR="003F7D04" w:rsidRPr="001005B7">
        <w:rPr>
          <w:rFonts w:cstheme="minorHAnsi"/>
          <w:rtl/>
          <w:lang w:bidi="he-IL"/>
        </w:rPr>
        <w:t>מוׄת</w:t>
      </w:r>
      <w:r w:rsidR="003F7D04" w:rsidRPr="001005B7">
        <w:t xml:space="preserve"> (Greenberg</w:t>
      </w:r>
      <w:r w:rsidR="00966497" w:rsidRPr="001005B7">
        <w:t>,</w:t>
      </w:r>
      <w:r w:rsidR="003F7D04" w:rsidRPr="001005B7">
        <w:t xml:space="preserve"> 1:143).</w:t>
      </w:r>
    </w:p>
    <w:p w14:paraId="7AC0D75C" w14:textId="650D731D" w:rsidR="003F7D04" w:rsidRPr="001005B7" w:rsidRDefault="008649D3" w:rsidP="008649D3">
      <w:pPr>
        <w:ind w:firstLine="0"/>
      </w:pPr>
      <w:r w:rsidRPr="001005B7">
        <w:rPr>
          <w:b/>
          <w:bCs/>
        </w:rPr>
        <w:t>7:17</w:t>
      </w:r>
      <w:r w:rsidR="003F7D04" w:rsidRPr="001005B7">
        <w:t xml:space="preserve"> For</w:t>
      </w:r>
      <w:r w:rsidR="003F1586" w:rsidRPr="001005B7">
        <w:t xml:space="preserve"> </w:t>
      </w:r>
      <w:r w:rsidR="006F621A" w:rsidRPr="001005B7">
        <w:rPr>
          <w:rFonts w:cstheme="minorHAnsi"/>
          <w:rtl/>
          <w:lang w:bidi="he-IL"/>
        </w:rPr>
        <w:t>תֵ</w:t>
      </w:r>
      <w:r w:rsidR="00D22007" w:rsidRPr="001005B7">
        <w:rPr>
          <w:rFonts w:cstheme="minorHAnsi"/>
          <w:rtl/>
          <w:lang w:bidi="he-IL"/>
        </w:rPr>
        <w:t>ּ</w:t>
      </w:r>
      <w:r w:rsidR="006F621A" w:rsidRPr="001005B7">
        <w:rPr>
          <w:rFonts w:cstheme="minorHAnsi"/>
          <w:rtl/>
          <w:lang w:bidi="he-IL"/>
        </w:rPr>
        <w:t>לַ</w:t>
      </w:r>
      <w:r w:rsidR="00851BC9" w:rsidRPr="001005B7">
        <w:rPr>
          <w:rFonts w:cstheme="minorHAnsi"/>
          <w:rtl/>
          <w:lang w:bidi="he-IL"/>
        </w:rPr>
        <w:t>כְ</w:t>
      </w:r>
      <w:r w:rsidR="00D22007" w:rsidRPr="001005B7">
        <w:rPr>
          <w:rFonts w:cstheme="minorHAnsi"/>
          <w:rtl/>
          <w:lang w:bidi="he-IL"/>
        </w:rPr>
        <w:t>נׇה</w:t>
      </w:r>
      <w:r w:rsidR="00963B59" w:rsidRPr="001005B7">
        <w:t xml:space="preserve">, </w:t>
      </w:r>
      <w:r w:rsidR="003F7D04" w:rsidRPr="001005B7">
        <w:t xml:space="preserve">literally, “go water” </w:t>
      </w:r>
      <w:r w:rsidR="00963B59" w:rsidRPr="001005B7">
        <w:t>(</w:t>
      </w:r>
      <w:r w:rsidR="003F7D04" w:rsidRPr="001005B7">
        <w:t xml:space="preserve">people will wet themselves), </w:t>
      </w:r>
      <w:r w:rsidR="00B91031" w:rsidRPr="001005B7">
        <w:rPr>
          <w:sz w:val="18"/>
          <w:szCs w:val="18"/>
        </w:rPr>
        <w:t>LXX</w:t>
      </w:r>
      <w:r w:rsidR="003F7D04" w:rsidRPr="001005B7">
        <w:t xml:space="preserve"> has “will be sullied by moisture” (</w:t>
      </w:r>
      <w:r w:rsidR="003F7D04" w:rsidRPr="001005B7">
        <w:rPr>
          <w:i/>
          <w:iCs/>
        </w:rPr>
        <w:t>NETS</w:t>
      </w:r>
      <w:r w:rsidR="003F7D04" w:rsidRPr="001005B7">
        <w:t xml:space="preserve">). </w:t>
      </w:r>
    </w:p>
    <w:p w14:paraId="14727B8D" w14:textId="6A514AEE" w:rsidR="003F7D04" w:rsidRPr="001005B7" w:rsidRDefault="008649D3" w:rsidP="00D13655">
      <w:pPr>
        <w:ind w:firstLine="0"/>
      </w:pPr>
      <w:r w:rsidRPr="001005B7">
        <w:rPr>
          <w:b/>
          <w:bCs/>
        </w:rPr>
        <w:t>7:19</w:t>
      </w:r>
      <w:r w:rsidR="003F7D04" w:rsidRPr="001005B7">
        <w:t xml:space="preserve"> </w:t>
      </w:r>
      <w:r w:rsidR="00B91031" w:rsidRPr="001005B7">
        <w:rPr>
          <w:sz w:val="18"/>
          <w:szCs w:val="18"/>
        </w:rPr>
        <w:t>LXX</w:t>
      </w:r>
      <w:r w:rsidR="003F7D04" w:rsidRPr="001005B7">
        <w:t xml:space="preserve"> lacks the third and fourth cola.</w:t>
      </w:r>
    </w:p>
    <w:p w14:paraId="61F9D9F1" w14:textId="77777777" w:rsidR="006818FA" w:rsidRDefault="00354498" w:rsidP="00354498">
      <w:pPr>
        <w:ind w:firstLine="0"/>
      </w:pPr>
      <w:r w:rsidRPr="001005B7">
        <w:rPr>
          <w:b/>
          <w:bCs/>
        </w:rPr>
        <w:t>7:23</w:t>
      </w:r>
      <w:r w:rsidR="003F7D04" w:rsidRPr="001005B7">
        <w:rPr>
          <w:rFonts w:cstheme="minorHAnsi"/>
          <w:rtl/>
          <w:lang w:bidi="he-IL"/>
        </w:rPr>
        <w:t xml:space="preserve">רַתּוׄק </w:t>
      </w:r>
      <w:r w:rsidR="006818FA">
        <w:t xml:space="preserve">, </w:t>
      </w:r>
      <w:r w:rsidR="00303B10" w:rsidRPr="001005B7">
        <w:t>“</w:t>
      </w:r>
      <w:r w:rsidR="003F7D04" w:rsidRPr="001005B7">
        <w:t>fetter</w:t>
      </w:r>
      <w:r w:rsidR="006818FA">
        <w:t>,</w:t>
      </w:r>
      <w:r w:rsidR="00303B10" w:rsidRPr="001005B7">
        <w:t>”</w:t>
      </w:r>
      <w:r w:rsidR="003F7D04" w:rsidRPr="001005B7">
        <w:t xml:space="preserve"> is another hapax, though similar words have this meaning. </w:t>
      </w:r>
      <w:r w:rsidR="007113C3" w:rsidRPr="001005B7">
        <w:rPr>
          <w:sz w:val="18"/>
          <w:szCs w:val="18"/>
        </w:rPr>
        <w:t>LXX</w:t>
      </w:r>
      <w:r w:rsidR="003F7D04" w:rsidRPr="001005B7">
        <w:t xml:space="preserve"> has “they will make disorder,” introducing the cola that follow (Olley, 282). </w:t>
      </w:r>
    </w:p>
    <w:p w14:paraId="06FA89C5" w14:textId="7E7B79BA" w:rsidR="003F7D04" w:rsidRPr="001005B7" w:rsidRDefault="007113C3" w:rsidP="00354498">
      <w:pPr>
        <w:ind w:firstLine="0"/>
      </w:pPr>
      <w:r w:rsidRPr="001005B7">
        <w:rPr>
          <w:sz w:val="18"/>
          <w:szCs w:val="18"/>
        </w:rPr>
        <w:t>LXX</w:t>
      </w:r>
      <w:r w:rsidR="003F7D04" w:rsidRPr="001005B7">
        <w:t xml:space="preserve"> “full of peoples” then perhaps implies </w:t>
      </w:r>
      <w:r w:rsidR="003F7D04" w:rsidRPr="001005B7">
        <w:rPr>
          <w:rFonts w:cstheme="minorHAnsi"/>
          <w:rtl/>
          <w:lang w:bidi="he-IL"/>
        </w:rPr>
        <w:t>עַמִּים</w:t>
      </w:r>
      <w:r w:rsidR="003F7D04" w:rsidRPr="001005B7">
        <w:rPr>
          <w:rFonts w:cstheme="minorHAnsi"/>
        </w:rPr>
        <w:t xml:space="preserve"> for </w:t>
      </w:r>
      <w:r w:rsidR="003F7D04" w:rsidRPr="001005B7">
        <w:rPr>
          <w:rFonts w:cstheme="minorHAnsi"/>
          <w:rtl/>
          <w:lang w:bidi="he-IL"/>
        </w:rPr>
        <w:t>דָמִים</w:t>
      </w:r>
      <w:r w:rsidR="003F7D04" w:rsidRPr="001005B7">
        <w:rPr>
          <w:rFonts w:cstheme="minorHAnsi"/>
        </w:rPr>
        <w:t>.</w:t>
      </w:r>
      <w:r w:rsidR="003F7D04" w:rsidRPr="001005B7">
        <w:rPr>
          <w:rStyle w:val="FootnoteReference"/>
          <w:rFonts w:cstheme="minorHAnsi"/>
        </w:rPr>
        <w:footnoteReference w:id="217"/>
      </w:r>
    </w:p>
    <w:p w14:paraId="54841139" w14:textId="73BBACB5" w:rsidR="003F7D04" w:rsidRPr="001005B7" w:rsidRDefault="009817FA" w:rsidP="009817FA">
      <w:pPr>
        <w:ind w:firstLine="0"/>
      </w:pPr>
      <w:r w:rsidRPr="001005B7">
        <w:rPr>
          <w:b/>
          <w:bCs/>
        </w:rPr>
        <w:t xml:space="preserve">7:24 </w:t>
      </w:r>
      <w:r w:rsidR="007113C3" w:rsidRPr="001005B7">
        <w:rPr>
          <w:sz w:val="18"/>
          <w:szCs w:val="18"/>
        </w:rPr>
        <w:t>LXX</w:t>
      </w:r>
      <w:r w:rsidR="003F7D04" w:rsidRPr="001005B7">
        <w:t xml:space="preserve"> lacks </w:t>
      </w:r>
      <w:r w:rsidR="003D021F" w:rsidRPr="001005B7">
        <w:t>7:</w:t>
      </w:r>
      <w:r w:rsidR="003F7D04" w:rsidRPr="001005B7">
        <w:t>24a, perhaps by a slip</w:t>
      </w:r>
      <w:r w:rsidR="00FE6359" w:rsidRPr="001005B7">
        <w:t>, as</w:t>
      </w:r>
      <w:r w:rsidR="003F7D04" w:rsidRPr="001005B7">
        <w:t xml:space="preserve"> </w:t>
      </w:r>
      <w:r w:rsidR="0042084A" w:rsidRPr="001005B7">
        <w:t>7:</w:t>
      </w:r>
      <w:r w:rsidR="003F7D04" w:rsidRPr="001005B7">
        <w:t xml:space="preserve">24a and 24b begin with similar </w:t>
      </w:r>
      <w:proofErr w:type="spellStart"/>
      <w:r w:rsidR="003F7D04" w:rsidRPr="001005B7">
        <w:t>hiphil</w:t>
      </w:r>
      <w:proofErr w:type="spellEnd"/>
      <w:r w:rsidR="003F7D04" w:rsidRPr="001005B7">
        <w:t xml:space="preserve"> verbs (Cooke, 83).</w:t>
      </w:r>
      <w:r w:rsidR="003F7D04" w:rsidRPr="001005B7">
        <w:rPr>
          <w:vertAlign w:val="superscript"/>
        </w:rPr>
        <w:t xml:space="preserve"> </w:t>
      </w:r>
      <w:r w:rsidR="003F7D04" w:rsidRPr="001005B7">
        <w:t xml:space="preserve">Then for </w:t>
      </w:r>
      <w:r w:rsidR="003F7D04" w:rsidRPr="001005B7">
        <w:rPr>
          <w:rFonts w:cstheme="minorHAnsi"/>
          <w:rtl/>
          <w:lang w:bidi="he-IL"/>
        </w:rPr>
        <w:t>מְקַדְשֵׁיהֶם</w:t>
      </w:r>
      <w:r w:rsidR="00AB717A">
        <w:rPr>
          <w:rFonts w:cstheme="minorHAnsi"/>
        </w:rPr>
        <w:t xml:space="preserve">, </w:t>
      </w:r>
      <w:r w:rsidR="00880D9A" w:rsidRPr="001005B7">
        <w:rPr>
          <w:rFonts w:cstheme="minorHAnsi"/>
        </w:rPr>
        <w:t>“</w:t>
      </w:r>
      <w:r w:rsidR="004450CA">
        <w:rPr>
          <w:rFonts w:cstheme="minorHAnsi"/>
        </w:rPr>
        <w:t xml:space="preserve">their </w:t>
      </w:r>
      <w:r w:rsidR="003F7D04" w:rsidRPr="001005B7">
        <w:rPr>
          <w:rFonts w:cstheme="minorHAnsi"/>
        </w:rPr>
        <w:t>sanctifiers</w:t>
      </w:r>
      <w:r w:rsidR="00AB717A">
        <w:rPr>
          <w:rFonts w:cstheme="minorHAnsi"/>
        </w:rPr>
        <w:t>,</w:t>
      </w:r>
      <w:r w:rsidR="00880D9A" w:rsidRPr="001005B7">
        <w:rPr>
          <w:rFonts w:cstheme="minorHAnsi"/>
        </w:rPr>
        <w:t>”</w:t>
      </w:r>
      <w:r w:rsidR="003F7D04" w:rsidRPr="001005B7">
        <w:rPr>
          <w:rFonts w:cstheme="minorHAnsi"/>
        </w:rPr>
        <w:t xml:space="preserve"> a piel </w:t>
      </w:r>
      <w:proofErr w:type="spellStart"/>
      <w:r w:rsidR="003F7D04" w:rsidRPr="001005B7">
        <w:rPr>
          <w:rFonts w:cstheme="minorHAnsi"/>
        </w:rPr>
        <w:t>p</w:t>
      </w:r>
      <w:r w:rsidR="000941A0" w:rsidRPr="001005B7">
        <w:rPr>
          <w:rFonts w:cstheme="minorHAnsi"/>
        </w:rPr>
        <w:t>tc</w:t>
      </w:r>
      <w:proofErr w:type="spellEnd"/>
      <w:r w:rsidR="000941A0" w:rsidRPr="001005B7">
        <w:rPr>
          <w:rFonts w:cstheme="minorHAnsi"/>
        </w:rPr>
        <w:t>.</w:t>
      </w:r>
      <w:r w:rsidR="003F7D04" w:rsidRPr="001005B7">
        <w:rPr>
          <w:rFonts w:cstheme="minorHAnsi"/>
        </w:rPr>
        <w:t xml:space="preserve">, </w:t>
      </w:r>
      <w:r w:rsidR="007113C3" w:rsidRPr="001005B7">
        <w:rPr>
          <w:sz w:val="18"/>
          <w:szCs w:val="18"/>
        </w:rPr>
        <w:t>LXX</w:t>
      </w:r>
      <w:r w:rsidR="003F7D04" w:rsidRPr="001005B7">
        <w:rPr>
          <w:rFonts w:cstheme="minorHAnsi"/>
        </w:rPr>
        <w:t xml:space="preserve"> and </w:t>
      </w:r>
      <w:r w:rsidR="00573675" w:rsidRPr="001005B7">
        <w:rPr>
          <w:rFonts w:cstheme="minorHAnsi"/>
        </w:rPr>
        <w:t xml:space="preserve">Vg. </w:t>
      </w:r>
      <w:r w:rsidR="003F7D04" w:rsidRPr="001005B7">
        <w:rPr>
          <w:rFonts w:cstheme="minorHAnsi"/>
        </w:rPr>
        <w:t xml:space="preserve">imply the more expected pointing </w:t>
      </w:r>
      <w:r w:rsidR="003F7D04" w:rsidRPr="001005B7">
        <w:rPr>
          <w:rFonts w:cstheme="minorHAnsi"/>
          <w:rtl/>
          <w:lang w:bidi="he-IL"/>
        </w:rPr>
        <w:t>מִקְדְשֵׁיהֶם</w:t>
      </w:r>
      <w:r w:rsidR="003F7D04" w:rsidRPr="001005B7">
        <w:rPr>
          <w:rFonts w:cstheme="minorHAnsi"/>
        </w:rPr>
        <w:t xml:space="preserve">, “their sanctuaries.” </w:t>
      </w:r>
    </w:p>
    <w:p w14:paraId="2B048125" w14:textId="430753AC" w:rsidR="003F7D04" w:rsidRPr="001005B7" w:rsidRDefault="009817FA" w:rsidP="008B0F73">
      <w:pPr>
        <w:ind w:firstLine="0"/>
      </w:pPr>
      <w:r w:rsidRPr="001005B7">
        <w:rPr>
          <w:b/>
          <w:bCs/>
        </w:rPr>
        <w:t xml:space="preserve">7:27 </w:t>
      </w:r>
      <w:r w:rsidR="007113C3" w:rsidRPr="001005B7">
        <w:rPr>
          <w:sz w:val="18"/>
          <w:szCs w:val="18"/>
        </w:rPr>
        <w:t>LXX</w:t>
      </w:r>
      <w:r w:rsidR="003F7D04" w:rsidRPr="001005B7">
        <w:t xml:space="preserve"> lacks the first colon. </w:t>
      </w:r>
    </w:p>
    <w:p w14:paraId="7BED62A4" w14:textId="69110ADB" w:rsidR="00470976" w:rsidRPr="001005B7" w:rsidRDefault="00114838" w:rsidP="00493833">
      <w:pPr>
        <w:pStyle w:val="Heading3"/>
      </w:pPr>
      <w:r w:rsidRPr="001005B7">
        <w:t>Verse-by-Verse Commentary</w:t>
      </w:r>
    </w:p>
    <w:p w14:paraId="3E7A7E7D" w14:textId="275A3978" w:rsidR="00D473C7" w:rsidRPr="001005B7" w:rsidRDefault="00181F3E" w:rsidP="003D1A22">
      <w:r w:rsidRPr="001005B7">
        <w:rPr>
          <w:b/>
          <w:bCs/>
        </w:rPr>
        <w:t>7:</w:t>
      </w:r>
      <w:r w:rsidR="002F73C2" w:rsidRPr="001005B7">
        <w:rPr>
          <w:b/>
          <w:bCs/>
        </w:rPr>
        <w:t>1</w:t>
      </w:r>
      <w:r w:rsidR="00F46900" w:rsidRPr="001005B7">
        <w:rPr>
          <w:b/>
          <w:bCs/>
        </w:rPr>
        <w:t>–</w:t>
      </w:r>
      <w:r w:rsidR="002F73C2" w:rsidRPr="001005B7">
        <w:rPr>
          <w:b/>
          <w:bCs/>
        </w:rPr>
        <w:t xml:space="preserve">2 </w:t>
      </w:r>
      <w:r w:rsidR="00BE4327" w:rsidRPr="001005B7">
        <w:t>Yahweh begins with a “so you” (</w:t>
      </w:r>
      <w:r w:rsidR="00546EF4" w:rsidRPr="001005B7">
        <w:rPr>
          <w:rFonts w:cstheme="minorHAnsi"/>
          <w:rtl/>
          <w:lang w:bidi="he-IL"/>
        </w:rPr>
        <w:t>וְאַתׇּה</w:t>
      </w:r>
      <w:r w:rsidR="00546EF4" w:rsidRPr="001005B7">
        <w:t>)</w:t>
      </w:r>
      <w:r w:rsidR="000A42AE" w:rsidRPr="001005B7">
        <w:t xml:space="preserve"> suggest</w:t>
      </w:r>
      <w:r w:rsidR="007E07AF" w:rsidRPr="001005B7">
        <w:t>ing</w:t>
      </w:r>
      <w:r w:rsidR="000A42AE" w:rsidRPr="001005B7">
        <w:t xml:space="preserve"> a continuation from what precedes</w:t>
      </w:r>
      <w:r w:rsidR="00BE30A0" w:rsidRPr="001005B7">
        <w:t xml:space="preserve"> (cf. </w:t>
      </w:r>
      <w:r w:rsidR="0022425B" w:rsidRPr="001005B7">
        <w:t>22:2; 27:2; 37:</w:t>
      </w:r>
      <w:r w:rsidR="0023367D" w:rsidRPr="001005B7">
        <w:t>15). H</w:t>
      </w:r>
      <w:r w:rsidR="007E07AF" w:rsidRPr="001005B7">
        <w:t xml:space="preserve">is </w:t>
      </w:r>
      <w:r w:rsidR="00735983" w:rsidRPr="001005B7">
        <w:t>intr</w:t>
      </w:r>
      <w:r w:rsidR="004D2BEA" w:rsidRPr="001005B7">
        <w:t xml:space="preserve">oductory </w:t>
      </w:r>
      <w:r w:rsidR="007E07AF" w:rsidRPr="001005B7">
        <w:t>words to Ez</w:t>
      </w:r>
      <w:r w:rsidR="00E60F5A" w:rsidRPr="001005B7">
        <w:t xml:space="preserve">ekiel also </w:t>
      </w:r>
      <w:r w:rsidR="00273876" w:rsidRPr="001005B7">
        <w:t>re</w:t>
      </w:r>
      <w:r w:rsidR="006049AF" w:rsidRPr="001005B7">
        <w:t>peat</w:t>
      </w:r>
      <w:r w:rsidR="00273876" w:rsidRPr="001005B7">
        <w:t xml:space="preserve"> some phrases </w:t>
      </w:r>
      <w:r w:rsidR="004D2BEA" w:rsidRPr="001005B7">
        <w:t>f</w:t>
      </w:r>
      <w:r w:rsidR="00E22372" w:rsidRPr="001005B7">
        <w:t>rom</w:t>
      </w:r>
      <w:r w:rsidR="00273876" w:rsidRPr="001005B7">
        <w:t xml:space="preserve"> 6:1</w:t>
      </w:r>
      <w:r w:rsidR="00F46900" w:rsidRPr="001005B7">
        <w:t>–</w:t>
      </w:r>
      <w:r w:rsidR="00273876" w:rsidRPr="001005B7">
        <w:t>2</w:t>
      </w:r>
      <w:r w:rsidR="00430174" w:rsidRPr="001005B7">
        <w:t xml:space="preserve">, though </w:t>
      </w:r>
      <w:r w:rsidR="004D2BEA" w:rsidRPr="001005B7">
        <w:t>they are</w:t>
      </w:r>
      <w:r w:rsidR="00444E5E" w:rsidRPr="001005B7">
        <w:t xml:space="preserve"> shorter</w:t>
      </w:r>
      <w:r w:rsidR="006E19A7" w:rsidRPr="001005B7">
        <w:t>, and he</w:t>
      </w:r>
      <w:r w:rsidR="007330BC" w:rsidRPr="001005B7">
        <w:t xml:space="preserve"> moves away from the unusual </w:t>
      </w:r>
      <w:r w:rsidR="004835F2" w:rsidRPr="001005B7">
        <w:t>address</w:t>
      </w:r>
      <w:r w:rsidR="007330BC" w:rsidRPr="001005B7">
        <w:t xml:space="preserve"> </w:t>
      </w:r>
      <w:r w:rsidR="00880D9A" w:rsidRPr="001005B7">
        <w:t>“</w:t>
      </w:r>
      <w:r w:rsidR="00D66125" w:rsidRPr="001005B7">
        <w:t>mountains</w:t>
      </w:r>
      <w:r w:rsidR="00D66125" w:rsidRPr="001005B7">
        <w:rPr>
          <w:i/>
          <w:iCs/>
        </w:rPr>
        <w:t xml:space="preserve"> </w:t>
      </w:r>
      <w:r w:rsidR="00D66125" w:rsidRPr="001005B7">
        <w:t>of</w:t>
      </w:r>
      <w:r w:rsidR="00D66125" w:rsidRPr="001005B7">
        <w:rPr>
          <w:i/>
          <w:iCs/>
        </w:rPr>
        <w:t xml:space="preserve"> </w:t>
      </w:r>
      <w:r w:rsidR="00D66125" w:rsidRPr="001005B7">
        <w:t>Israel</w:t>
      </w:r>
      <w:r w:rsidR="00880D9A" w:rsidRPr="001005B7">
        <w:t>”</w:t>
      </w:r>
      <w:r w:rsidR="00D66125" w:rsidRPr="001005B7">
        <w:t xml:space="preserve"> </w:t>
      </w:r>
      <w:r w:rsidR="00837C16" w:rsidRPr="001005B7">
        <w:t xml:space="preserve">to </w:t>
      </w:r>
      <w:r w:rsidR="002A7F11" w:rsidRPr="001005B7">
        <w:t xml:space="preserve">another unusual </w:t>
      </w:r>
      <w:r w:rsidR="00AF2F70" w:rsidRPr="001005B7">
        <w:t>address</w:t>
      </w:r>
      <w:r w:rsidR="000219EC" w:rsidRPr="001005B7">
        <w:t>,</w:t>
      </w:r>
      <w:r w:rsidR="004637B0" w:rsidRPr="001005B7">
        <w:t xml:space="preserve"> </w:t>
      </w:r>
      <w:r w:rsidR="005278A2" w:rsidRPr="001005B7">
        <w:rPr>
          <w:rFonts w:cstheme="minorHAnsi"/>
          <w:rtl/>
          <w:lang w:bidi="he-IL"/>
        </w:rPr>
        <w:t>אַד</w:t>
      </w:r>
      <w:r w:rsidR="00593EFE" w:rsidRPr="001005B7">
        <w:rPr>
          <w:rFonts w:cstheme="minorHAnsi"/>
          <w:rtl/>
          <w:lang w:bidi="he-IL"/>
        </w:rPr>
        <w:t>ְ</w:t>
      </w:r>
      <w:r w:rsidR="005278A2" w:rsidRPr="001005B7">
        <w:rPr>
          <w:rFonts w:cstheme="minorHAnsi"/>
          <w:rtl/>
          <w:lang w:bidi="he-IL"/>
        </w:rPr>
        <w:t>מַת</w:t>
      </w:r>
      <w:r w:rsidR="00556715" w:rsidRPr="001005B7">
        <w:rPr>
          <w:rFonts w:cstheme="minorHAnsi"/>
          <w:rtl/>
          <w:lang w:bidi="he-IL"/>
        </w:rPr>
        <w:t xml:space="preserve"> </w:t>
      </w:r>
      <w:r w:rsidR="005278A2" w:rsidRPr="001005B7">
        <w:rPr>
          <w:rFonts w:cstheme="minorHAnsi"/>
          <w:rtl/>
          <w:lang w:bidi="he-IL"/>
        </w:rPr>
        <w:t>יִש</w:t>
      </w:r>
      <w:r w:rsidR="00543A77" w:rsidRPr="001005B7">
        <w:rPr>
          <w:rFonts w:cstheme="minorHAnsi"/>
          <w:rtl/>
          <w:lang w:bidi="he-IL"/>
        </w:rPr>
        <w:t>ְֹרָא</w:t>
      </w:r>
      <w:r w:rsidR="004C5A68" w:rsidRPr="001005B7">
        <w:rPr>
          <w:rFonts w:cstheme="minorHAnsi"/>
          <w:rtl/>
          <w:lang w:bidi="he-IL"/>
        </w:rPr>
        <w:t>ֵל</w:t>
      </w:r>
      <w:r w:rsidR="00DA2382" w:rsidRPr="001005B7">
        <w:rPr>
          <w:rFonts w:cstheme="minorHAnsi"/>
        </w:rPr>
        <w:t>, “Israel’s</w:t>
      </w:r>
      <w:r w:rsidR="00F706AC" w:rsidRPr="001005B7">
        <w:rPr>
          <w:rFonts w:cstheme="minorHAnsi"/>
        </w:rPr>
        <w:t xml:space="preserve"> land</w:t>
      </w:r>
      <w:r w:rsidR="00071DC3" w:rsidRPr="001005B7">
        <w:rPr>
          <w:rFonts w:cstheme="minorHAnsi"/>
        </w:rPr>
        <w:t>,</w:t>
      </w:r>
      <w:r w:rsidR="00F706AC" w:rsidRPr="001005B7">
        <w:rPr>
          <w:rFonts w:cstheme="minorHAnsi"/>
        </w:rPr>
        <w:t>” in the sense of</w:t>
      </w:r>
      <w:r w:rsidR="00DA2382" w:rsidRPr="001005B7">
        <w:rPr>
          <w:rFonts w:cstheme="minorHAnsi"/>
        </w:rPr>
        <w:t xml:space="preserve"> </w:t>
      </w:r>
      <w:r w:rsidR="0067401B" w:rsidRPr="001005B7">
        <w:rPr>
          <w:rFonts w:cstheme="minorHAnsi"/>
        </w:rPr>
        <w:t>“</w:t>
      </w:r>
      <w:r w:rsidR="00DA2382" w:rsidRPr="001005B7">
        <w:rPr>
          <w:rFonts w:cstheme="minorHAnsi"/>
        </w:rPr>
        <w:t>soil</w:t>
      </w:r>
      <w:r w:rsidR="009326D0" w:rsidRPr="001005B7">
        <w:rPr>
          <w:rFonts w:cstheme="minorHAnsi"/>
        </w:rPr>
        <w:t>.</w:t>
      </w:r>
      <w:r w:rsidR="0067401B" w:rsidRPr="001005B7">
        <w:rPr>
          <w:rFonts w:cstheme="minorHAnsi"/>
        </w:rPr>
        <w:t>”</w:t>
      </w:r>
      <w:r w:rsidR="00A3113C" w:rsidRPr="001005B7">
        <w:rPr>
          <w:rFonts w:cstheme="minorHAnsi"/>
        </w:rPr>
        <w:t xml:space="preserve"> </w:t>
      </w:r>
      <w:r w:rsidR="00DD7DA4" w:rsidRPr="001005B7">
        <w:rPr>
          <w:rFonts w:cstheme="minorHAnsi"/>
        </w:rPr>
        <w:t xml:space="preserve">Because “land of Israel” is the default </w:t>
      </w:r>
      <w:r w:rsidR="00F800B2" w:rsidRPr="001005B7">
        <w:rPr>
          <w:rFonts w:cstheme="minorHAnsi"/>
        </w:rPr>
        <w:t xml:space="preserve">English </w:t>
      </w:r>
      <w:r w:rsidR="00DD7DA4" w:rsidRPr="001005B7">
        <w:rPr>
          <w:rFonts w:cstheme="minorHAnsi"/>
        </w:rPr>
        <w:t xml:space="preserve">translation </w:t>
      </w:r>
      <w:r w:rsidR="00F800B2" w:rsidRPr="001005B7">
        <w:rPr>
          <w:rFonts w:cstheme="minorHAnsi"/>
        </w:rPr>
        <w:t>of</w:t>
      </w:r>
      <w:r w:rsidR="00593EFE" w:rsidRPr="001005B7">
        <w:rPr>
          <w:rFonts w:cstheme="minorHAnsi"/>
        </w:rPr>
        <w:t xml:space="preserve"> </w:t>
      </w:r>
      <w:r w:rsidR="00593EFE" w:rsidRPr="001005B7">
        <w:rPr>
          <w:rFonts w:cstheme="minorHAnsi"/>
          <w:rtl/>
          <w:lang w:bidi="he-IL"/>
        </w:rPr>
        <w:t>א</w:t>
      </w:r>
      <w:r w:rsidR="00097CB3" w:rsidRPr="001005B7">
        <w:rPr>
          <w:rFonts w:cstheme="minorHAnsi"/>
          <w:rtl/>
          <w:lang w:bidi="he-IL"/>
        </w:rPr>
        <w:t>ֶרֶץ</w:t>
      </w:r>
      <w:r w:rsidR="00994F1C" w:rsidRPr="001005B7">
        <w:rPr>
          <w:rFonts w:cstheme="minorHAnsi"/>
          <w:rtl/>
          <w:lang w:bidi="he-IL"/>
        </w:rPr>
        <w:t xml:space="preserve"> </w:t>
      </w:r>
      <w:r w:rsidR="00097CB3" w:rsidRPr="001005B7">
        <w:rPr>
          <w:rFonts w:cstheme="minorHAnsi"/>
          <w:rtl/>
          <w:lang w:bidi="he-IL"/>
        </w:rPr>
        <w:t>יִשְֹר</w:t>
      </w:r>
      <w:r w:rsidR="00994F1C" w:rsidRPr="001005B7">
        <w:rPr>
          <w:rFonts w:cstheme="minorHAnsi"/>
          <w:rtl/>
          <w:lang w:bidi="he-IL"/>
        </w:rPr>
        <w:t>ָאֵל</w:t>
      </w:r>
      <w:r w:rsidR="009B09F2" w:rsidRPr="001005B7">
        <w:rPr>
          <w:rFonts w:cstheme="minorHAnsi"/>
        </w:rPr>
        <w:t>,</w:t>
      </w:r>
      <w:r w:rsidR="009B09F2" w:rsidRPr="001005B7">
        <w:rPr>
          <w:rFonts w:cstheme="minorHAnsi"/>
          <w:i/>
          <w:iCs/>
        </w:rPr>
        <w:t xml:space="preserve"> </w:t>
      </w:r>
      <w:r w:rsidR="009B09F2" w:rsidRPr="001005B7">
        <w:rPr>
          <w:rFonts w:cstheme="minorHAnsi"/>
        </w:rPr>
        <w:t>i</w:t>
      </w:r>
      <w:r w:rsidR="00736987" w:rsidRPr="001005B7">
        <w:rPr>
          <w:rFonts w:cstheme="minorHAnsi"/>
        </w:rPr>
        <w:t xml:space="preserve">t is not obvious to </w:t>
      </w:r>
      <w:r w:rsidR="00F5094F" w:rsidRPr="001005B7">
        <w:rPr>
          <w:rFonts w:cstheme="minorHAnsi"/>
        </w:rPr>
        <w:t xml:space="preserve">people reading the Scriptures in English that </w:t>
      </w:r>
      <w:r w:rsidR="00DF5CCD" w:rsidRPr="001005B7">
        <w:rPr>
          <w:rFonts w:cstheme="minorHAnsi"/>
        </w:rPr>
        <w:t>Ezekiel</w:t>
      </w:r>
      <w:r w:rsidR="00D4080D" w:rsidRPr="001005B7">
        <w:rPr>
          <w:rFonts w:cstheme="minorHAnsi"/>
        </w:rPr>
        <w:t>’</w:t>
      </w:r>
      <w:r w:rsidR="00DF5CCD" w:rsidRPr="001005B7">
        <w:rPr>
          <w:rFonts w:cstheme="minorHAnsi"/>
        </w:rPr>
        <w:t>s</w:t>
      </w:r>
      <w:r w:rsidR="00A3113C" w:rsidRPr="001005B7">
        <w:rPr>
          <w:rFonts w:cstheme="minorHAnsi"/>
        </w:rPr>
        <w:t xml:space="preserve"> expression</w:t>
      </w:r>
      <w:r w:rsidR="00E2512F" w:rsidRPr="001005B7">
        <w:rPr>
          <w:rFonts w:cstheme="minorHAnsi"/>
        </w:rPr>
        <w:t xml:space="preserve"> is</w:t>
      </w:r>
      <w:r w:rsidR="00A3113C" w:rsidRPr="001005B7">
        <w:rPr>
          <w:rFonts w:cstheme="minorHAnsi"/>
        </w:rPr>
        <w:t xml:space="preserve"> </w:t>
      </w:r>
      <w:r w:rsidR="00305B78" w:rsidRPr="001005B7">
        <w:rPr>
          <w:rFonts w:cstheme="minorHAnsi"/>
        </w:rPr>
        <w:t>novel</w:t>
      </w:r>
      <w:r w:rsidR="00F65012" w:rsidRPr="001005B7">
        <w:rPr>
          <w:rFonts w:cstheme="minorHAnsi"/>
        </w:rPr>
        <w:t>. It is</w:t>
      </w:r>
      <w:r w:rsidR="00305B78" w:rsidRPr="001005B7">
        <w:rPr>
          <w:rFonts w:cstheme="minorHAnsi"/>
        </w:rPr>
        <w:t xml:space="preserve"> </w:t>
      </w:r>
      <w:r w:rsidR="00A3113C" w:rsidRPr="001005B7">
        <w:rPr>
          <w:rFonts w:cstheme="minorHAnsi"/>
        </w:rPr>
        <w:t xml:space="preserve">peculiar to </w:t>
      </w:r>
      <w:r w:rsidR="00DF5CCD" w:rsidRPr="001005B7">
        <w:rPr>
          <w:rFonts w:cstheme="minorHAnsi"/>
        </w:rPr>
        <w:t>him</w:t>
      </w:r>
      <w:r w:rsidR="00F65012" w:rsidRPr="001005B7">
        <w:rPr>
          <w:rFonts w:cstheme="minorHAnsi"/>
        </w:rPr>
        <w:t>, and</w:t>
      </w:r>
      <w:r w:rsidR="006A7D94" w:rsidRPr="001005B7">
        <w:rPr>
          <w:rFonts w:cstheme="minorHAnsi"/>
        </w:rPr>
        <w:t xml:space="preserve"> </w:t>
      </w:r>
      <w:r w:rsidR="006838A0">
        <w:rPr>
          <w:rFonts w:cstheme="minorHAnsi"/>
        </w:rPr>
        <w:t xml:space="preserve">it is </w:t>
      </w:r>
      <w:r w:rsidR="00A3113C" w:rsidRPr="001005B7">
        <w:rPr>
          <w:rFonts w:cstheme="minorHAnsi"/>
        </w:rPr>
        <w:t>one</w:t>
      </w:r>
      <w:r w:rsidR="006A7D94" w:rsidRPr="001005B7">
        <w:rPr>
          <w:rFonts w:cstheme="minorHAnsi"/>
        </w:rPr>
        <w:t xml:space="preserve"> </w:t>
      </w:r>
      <w:r w:rsidR="00E61B4E" w:rsidRPr="001005B7">
        <w:rPr>
          <w:rFonts w:cstheme="minorHAnsi"/>
        </w:rPr>
        <w:t>he</w:t>
      </w:r>
      <w:r w:rsidR="006A7D94" w:rsidRPr="001005B7">
        <w:rPr>
          <w:rFonts w:cstheme="minorHAnsi"/>
        </w:rPr>
        <w:t xml:space="preserve"> </w:t>
      </w:r>
      <w:r w:rsidR="0002221C" w:rsidRPr="001005B7">
        <w:rPr>
          <w:rFonts w:cstheme="minorHAnsi"/>
        </w:rPr>
        <w:t>make</w:t>
      </w:r>
      <w:r w:rsidR="00F65012" w:rsidRPr="001005B7">
        <w:rPr>
          <w:rFonts w:cstheme="minorHAnsi"/>
        </w:rPr>
        <w:t>s</w:t>
      </w:r>
      <w:r w:rsidR="0002221C" w:rsidRPr="001005B7">
        <w:rPr>
          <w:rFonts w:cstheme="minorHAnsi"/>
        </w:rPr>
        <w:t xml:space="preserve"> much </w:t>
      </w:r>
      <w:r w:rsidR="006A7D94" w:rsidRPr="001005B7">
        <w:rPr>
          <w:rFonts w:cstheme="minorHAnsi"/>
        </w:rPr>
        <w:t xml:space="preserve">use </w:t>
      </w:r>
      <w:r w:rsidR="0002221C" w:rsidRPr="001005B7">
        <w:rPr>
          <w:rFonts w:cstheme="minorHAnsi"/>
        </w:rPr>
        <w:t>of</w:t>
      </w:r>
      <w:r w:rsidR="004E5EE1" w:rsidRPr="001005B7">
        <w:rPr>
          <w:rFonts w:cstheme="minorHAnsi"/>
        </w:rPr>
        <w:t xml:space="preserve">. </w:t>
      </w:r>
      <w:r w:rsidR="00071DC3" w:rsidRPr="001005B7">
        <w:rPr>
          <w:rFonts w:cstheme="minorHAnsi"/>
        </w:rPr>
        <w:t xml:space="preserve">As with </w:t>
      </w:r>
      <w:r w:rsidR="009E114F" w:rsidRPr="001005B7">
        <w:rPr>
          <w:rFonts w:cstheme="minorHAnsi"/>
        </w:rPr>
        <w:t>“mountains”</w:t>
      </w:r>
      <w:r w:rsidR="00DD368B" w:rsidRPr="001005B7">
        <w:rPr>
          <w:rFonts w:cstheme="minorHAnsi"/>
        </w:rPr>
        <w:t xml:space="preserve"> (6:</w:t>
      </w:r>
      <w:r w:rsidR="00E51038" w:rsidRPr="001005B7">
        <w:rPr>
          <w:rFonts w:cstheme="minorHAnsi"/>
        </w:rPr>
        <w:t>2</w:t>
      </w:r>
      <w:r w:rsidR="00F46900" w:rsidRPr="001005B7">
        <w:rPr>
          <w:rFonts w:cstheme="minorHAnsi"/>
        </w:rPr>
        <w:t>–</w:t>
      </w:r>
      <w:r w:rsidR="00DD368B" w:rsidRPr="001005B7">
        <w:rPr>
          <w:rFonts w:cstheme="minorHAnsi"/>
        </w:rPr>
        <w:t>3)</w:t>
      </w:r>
      <w:r w:rsidR="00E51038" w:rsidRPr="001005B7">
        <w:rPr>
          <w:rFonts w:cstheme="minorHAnsi"/>
        </w:rPr>
        <w:t>,</w:t>
      </w:r>
      <w:r w:rsidR="009E114F" w:rsidRPr="001005B7">
        <w:rPr>
          <w:rFonts w:cstheme="minorHAnsi"/>
        </w:rPr>
        <w:t xml:space="preserve"> s</w:t>
      </w:r>
      <w:r w:rsidR="00AD3C8F" w:rsidRPr="001005B7">
        <w:rPr>
          <w:rFonts w:cstheme="minorHAnsi"/>
        </w:rPr>
        <w:t xml:space="preserve">ome poignancy </w:t>
      </w:r>
      <w:r w:rsidR="009E114F" w:rsidRPr="001005B7">
        <w:rPr>
          <w:rFonts w:cstheme="minorHAnsi"/>
        </w:rPr>
        <w:t xml:space="preserve">could </w:t>
      </w:r>
      <w:r w:rsidR="00AD3C8F" w:rsidRPr="001005B7">
        <w:rPr>
          <w:rFonts w:cstheme="minorHAnsi"/>
        </w:rPr>
        <w:t xml:space="preserve">attach to it for people separated from the </w:t>
      </w:r>
      <w:r w:rsidR="00812ED0" w:rsidRPr="001005B7">
        <w:rPr>
          <w:rFonts w:cstheme="minorHAnsi"/>
        </w:rPr>
        <w:t>soil</w:t>
      </w:r>
      <w:r w:rsidR="00E61B4E" w:rsidRPr="001005B7">
        <w:rPr>
          <w:rFonts w:cstheme="minorHAnsi"/>
        </w:rPr>
        <w:t xml:space="preserve"> of the promised land</w:t>
      </w:r>
      <w:r w:rsidR="00D622B1" w:rsidRPr="001005B7">
        <w:rPr>
          <w:rFonts w:cstheme="minorHAnsi"/>
        </w:rPr>
        <w:t xml:space="preserve">, though </w:t>
      </w:r>
      <w:r w:rsidR="00C93F34" w:rsidRPr="001005B7">
        <w:rPr>
          <w:rFonts w:cstheme="minorHAnsi"/>
        </w:rPr>
        <w:t xml:space="preserve">here </w:t>
      </w:r>
      <w:r w:rsidR="00C82001" w:rsidRPr="001005B7">
        <w:rPr>
          <w:rFonts w:cstheme="minorHAnsi"/>
        </w:rPr>
        <w:t xml:space="preserve">(like </w:t>
      </w:r>
      <w:r w:rsidR="00705FE0" w:rsidRPr="001005B7">
        <w:rPr>
          <w:rFonts w:cstheme="minorHAnsi"/>
        </w:rPr>
        <w:t>“</w:t>
      </w:r>
      <w:r w:rsidR="00C82001" w:rsidRPr="001005B7">
        <w:rPr>
          <w:rFonts w:cstheme="minorHAnsi"/>
        </w:rPr>
        <w:t>mountains</w:t>
      </w:r>
      <w:r w:rsidR="00705FE0" w:rsidRPr="001005B7">
        <w:rPr>
          <w:rFonts w:cstheme="minorHAnsi"/>
        </w:rPr>
        <w:t>”</w:t>
      </w:r>
      <w:r w:rsidR="00927FD5" w:rsidRPr="001005B7">
        <w:rPr>
          <w:rFonts w:cstheme="minorHAnsi"/>
        </w:rPr>
        <w:t xml:space="preserve">) </w:t>
      </w:r>
      <w:r w:rsidR="00C93F34" w:rsidRPr="001005B7">
        <w:rPr>
          <w:rFonts w:cstheme="minorHAnsi"/>
        </w:rPr>
        <w:t>it stands for its people</w:t>
      </w:r>
      <w:r w:rsidR="00E61B4E" w:rsidRPr="001005B7">
        <w:rPr>
          <w:rFonts w:cstheme="minorHAnsi"/>
        </w:rPr>
        <w:t>.</w:t>
      </w:r>
      <w:r w:rsidR="00882F97" w:rsidRPr="001005B7">
        <w:rPr>
          <w:rFonts w:cstheme="minorHAnsi"/>
        </w:rPr>
        <w:t xml:space="preserve"> </w:t>
      </w:r>
      <w:r w:rsidR="00DB7F7C" w:rsidRPr="001005B7">
        <w:rPr>
          <w:rFonts w:cstheme="minorHAnsi"/>
        </w:rPr>
        <w:t>Th</w:t>
      </w:r>
      <w:r w:rsidR="00C2240C" w:rsidRPr="001005B7">
        <w:rPr>
          <w:rFonts w:cstheme="minorHAnsi"/>
        </w:rPr>
        <w:t>e</w:t>
      </w:r>
      <w:r w:rsidR="00DB7F7C" w:rsidRPr="001005B7">
        <w:rPr>
          <w:rFonts w:cstheme="minorHAnsi"/>
        </w:rPr>
        <w:t xml:space="preserve"> </w:t>
      </w:r>
      <w:r w:rsidR="00C2240C" w:rsidRPr="001005B7">
        <w:rPr>
          <w:rFonts w:cstheme="minorHAnsi"/>
        </w:rPr>
        <w:t xml:space="preserve">novelty of the </w:t>
      </w:r>
      <w:r w:rsidR="00DB7F7C" w:rsidRPr="001005B7">
        <w:rPr>
          <w:rFonts w:cstheme="minorHAnsi"/>
        </w:rPr>
        <w:t xml:space="preserve">expression arouses attention, but before </w:t>
      </w:r>
      <w:r w:rsidR="00A81D55" w:rsidRPr="001005B7">
        <w:rPr>
          <w:rFonts w:cstheme="minorHAnsi"/>
        </w:rPr>
        <w:t xml:space="preserve">readers </w:t>
      </w:r>
      <w:r w:rsidR="00DB7F7C" w:rsidRPr="001005B7">
        <w:rPr>
          <w:rFonts w:cstheme="minorHAnsi"/>
        </w:rPr>
        <w:t>have had chance to wonder about it,</w:t>
      </w:r>
      <w:r w:rsidR="00471754" w:rsidRPr="001005B7">
        <w:t xml:space="preserve"> </w:t>
      </w:r>
      <w:r w:rsidR="004C2ADB" w:rsidRPr="001005B7">
        <w:t xml:space="preserve">Yahweh </w:t>
      </w:r>
      <w:r w:rsidR="00BC5DC8" w:rsidRPr="001005B7">
        <w:t xml:space="preserve">hits </w:t>
      </w:r>
      <w:r w:rsidR="00A81D55" w:rsidRPr="001005B7">
        <w:t>them</w:t>
      </w:r>
      <w:r w:rsidR="00BC5DC8" w:rsidRPr="001005B7">
        <w:t xml:space="preserve"> with the</w:t>
      </w:r>
      <w:r w:rsidR="00BC5DC8" w:rsidRPr="001005B7">
        <w:rPr>
          <w:i/>
          <w:iCs/>
        </w:rPr>
        <w:t xml:space="preserve"> </w:t>
      </w:r>
      <w:r w:rsidR="00915A46" w:rsidRPr="001005B7">
        <w:t xml:space="preserve">word </w:t>
      </w:r>
      <w:r w:rsidR="007654A5" w:rsidRPr="001005B7">
        <w:rPr>
          <w:rFonts w:cstheme="minorHAnsi"/>
          <w:rtl/>
          <w:lang w:bidi="he-IL"/>
        </w:rPr>
        <w:t>קֵ</w:t>
      </w:r>
      <w:r w:rsidR="00627AC6" w:rsidRPr="001005B7">
        <w:rPr>
          <w:rFonts w:cstheme="minorHAnsi"/>
          <w:rtl/>
          <w:lang w:bidi="he-IL"/>
        </w:rPr>
        <w:t>ץ</w:t>
      </w:r>
      <w:r w:rsidR="00627AC6" w:rsidRPr="001005B7">
        <w:t xml:space="preserve">, </w:t>
      </w:r>
      <w:r w:rsidR="009E10EE" w:rsidRPr="001005B7">
        <w:t>“</w:t>
      </w:r>
      <w:r w:rsidR="00BC5DC8" w:rsidRPr="001005B7">
        <w:t>end</w:t>
      </w:r>
      <w:r w:rsidR="00627AC6" w:rsidRPr="001005B7">
        <w:t>,</w:t>
      </w:r>
      <w:r w:rsidR="009E10EE" w:rsidRPr="001005B7">
        <w:t>”</w:t>
      </w:r>
      <w:r w:rsidR="007C116C" w:rsidRPr="001005B7">
        <w:t xml:space="preserve"> then repeats it as </w:t>
      </w:r>
      <w:r w:rsidR="009E10EE" w:rsidRPr="001005B7">
        <w:t>“</w:t>
      </w:r>
      <w:r w:rsidR="007C116C" w:rsidRPr="001005B7">
        <w:t>the</w:t>
      </w:r>
      <w:r w:rsidR="007C116C" w:rsidRPr="001005B7">
        <w:rPr>
          <w:i/>
          <w:iCs/>
        </w:rPr>
        <w:t xml:space="preserve"> </w:t>
      </w:r>
      <w:r w:rsidR="007C116C" w:rsidRPr="001005B7">
        <w:t>end</w:t>
      </w:r>
      <w:r w:rsidR="009E10EE" w:rsidRPr="001005B7">
        <w:t>”</w:t>
      </w:r>
      <w:r w:rsidR="002C660E" w:rsidRPr="001005B7">
        <w:t xml:space="preserve"> and with further</w:t>
      </w:r>
      <w:r w:rsidR="008348C8" w:rsidRPr="001005B7">
        <w:t xml:space="preserve"> questions </w:t>
      </w:r>
      <w:r w:rsidR="008A6269" w:rsidRPr="001005B7">
        <w:t xml:space="preserve">raised by </w:t>
      </w:r>
      <w:r w:rsidR="008348C8" w:rsidRPr="001005B7">
        <w:t>th</w:t>
      </w:r>
      <w:r w:rsidR="00571D31" w:rsidRPr="001005B7">
        <w:t>e</w:t>
      </w:r>
      <w:r w:rsidR="008348C8" w:rsidRPr="001005B7">
        <w:t xml:space="preserve"> word</w:t>
      </w:r>
      <w:r w:rsidR="008A6269" w:rsidRPr="001005B7">
        <w:t xml:space="preserve">, then </w:t>
      </w:r>
      <w:r w:rsidR="00EB4F1F" w:rsidRPr="001005B7">
        <w:t xml:space="preserve">with </w:t>
      </w:r>
      <w:r w:rsidR="00571D31" w:rsidRPr="001005B7">
        <w:t xml:space="preserve">the question of </w:t>
      </w:r>
      <w:r w:rsidR="00C110BE" w:rsidRPr="001005B7">
        <w:t>the identity of</w:t>
      </w:r>
      <w:r w:rsidR="003506FB" w:rsidRPr="001005B7">
        <w:t xml:space="preserve"> </w:t>
      </w:r>
      <w:r w:rsidR="00F66E77" w:rsidRPr="001005B7">
        <w:rPr>
          <w:rFonts w:cstheme="minorHAnsi"/>
          <w:rtl/>
          <w:lang w:bidi="he-IL"/>
        </w:rPr>
        <w:t>אַרְ</w:t>
      </w:r>
      <w:r w:rsidR="00363DC8" w:rsidRPr="001005B7">
        <w:rPr>
          <w:rFonts w:cstheme="minorHAnsi"/>
          <w:rtl/>
          <w:lang w:bidi="he-IL"/>
        </w:rPr>
        <w:t>בַּע</w:t>
      </w:r>
      <w:r w:rsidR="00EC5451" w:rsidRPr="001005B7">
        <w:rPr>
          <w:rFonts w:cstheme="minorHAnsi"/>
          <w:rtl/>
          <w:lang w:bidi="he-IL"/>
        </w:rPr>
        <w:t xml:space="preserve"> </w:t>
      </w:r>
      <w:r w:rsidR="00363DC8" w:rsidRPr="001005B7">
        <w:rPr>
          <w:rFonts w:cstheme="minorHAnsi"/>
          <w:rtl/>
          <w:lang w:bidi="he-IL"/>
        </w:rPr>
        <w:t>כַ</w:t>
      </w:r>
      <w:r w:rsidR="00ED50E7" w:rsidRPr="001005B7">
        <w:rPr>
          <w:rFonts w:cstheme="minorHAnsi"/>
          <w:rtl/>
          <w:lang w:bidi="he-IL"/>
        </w:rPr>
        <w:t>ּ</w:t>
      </w:r>
      <w:r w:rsidR="00363DC8" w:rsidRPr="001005B7">
        <w:rPr>
          <w:rFonts w:cstheme="minorHAnsi"/>
          <w:rtl/>
          <w:lang w:bidi="he-IL"/>
        </w:rPr>
        <w:t>נְ</w:t>
      </w:r>
      <w:r w:rsidR="004878AB" w:rsidRPr="001005B7">
        <w:rPr>
          <w:rFonts w:cstheme="minorHAnsi"/>
          <w:rtl/>
          <w:lang w:bidi="he-IL"/>
        </w:rPr>
        <w:t>פוֹ</w:t>
      </w:r>
      <w:r w:rsidR="00EC5451" w:rsidRPr="001005B7">
        <w:rPr>
          <w:rFonts w:cstheme="minorHAnsi"/>
          <w:rtl/>
          <w:lang w:bidi="he-IL"/>
        </w:rPr>
        <w:t xml:space="preserve">ת </w:t>
      </w:r>
      <w:r w:rsidR="004878AB" w:rsidRPr="001005B7">
        <w:rPr>
          <w:rFonts w:cstheme="minorHAnsi"/>
          <w:rtl/>
          <w:lang w:bidi="he-IL"/>
        </w:rPr>
        <w:t>הׇאׇ</w:t>
      </w:r>
      <w:r w:rsidR="00E84C5A" w:rsidRPr="001005B7">
        <w:rPr>
          <w:rFonts w:cstheme="minorHAnsi"/>
          <w:rtl/>
          <w:lang w:bidi="he-IL"/>
        </w:rPr>
        <w:t>רֶץ</w:t>
      </w:r>
      <w:r w:rsidR="00ED50E7" w:rsidRPr="001005B7">
        <w:t xml:space="preserve">, </w:t>
      </w:r>
      <w:r w:rsidR="00494FA3" w:rsidRPr="001005B7">
        <w:t>“</w:t>
      </w:r>
      <w:r w:rsidR="00C110BE" w:rsidRPr="001005B7">
        <w:t>the</w:t>
      </w:r>
      <w:r w:rsidR="00C110BE" w:rsidRPr="001005B7">
        <w:rPr>
          <w:i/>
          <w:iCs/>
        </w:rPr>
        <w:t xml:space="preserve"> </w:t>
      </w:r>
      <w:r w:rsidR="00C110BE" w:rsidRPr="001005B7">
        <w:t>four</w:t>
      </w:r>
      <w:r w:rsidR="00C110BE" w:rsidRPr="001005B7">
        <w:rPr>
          <w:i/>
          <w:iCs/>
        </w:rPr>
        <w:t xml:space="preserve"> </w:t>
      </w:r>
      <w:r w:rsidR="00C110BE" w:rsidRPr="001005B7">
        <w:t>corners</w:t>
      </w:r>
      <w:r w:rsidR="00C17D20" w:rsidRPr="001005B7">
        <w:t xml:space="preserve"> of the earth/country</w:t>
      </w:r>
      <w:r w:rsidR="006A4E2C" w:rsidRPr="001005B7">
        <w:t>.</w:t>
      </w:r>
      <w:r w:rsidR="00494FA3" w:rsidRPr="001005B7">
        <w:t>”</w:t>
      </w:r>
      <w:r w:rsidR="00655787" w:rsidRPr="001005B7">
        <w:t xml:space="preserve"> </w:t>
      </w:r>
      <w:r w:rsidR="00A12FE9" w:rsidRPr="001005B7">
        <w:t xml:space="preserve">As </w:t>
      </w:r>
      <w:r w:rsidR="002F19F6" w:rsidRPr="001005B7">
        <w:rPr>
          <w:sz w:val="18"/>
          <w:szCs w:val="18"/>
        </w:rPr>
        <w:t>MT</w:t>
      </w:r>
      <w:r w:rsidR="00655787" w:rsidRPr="001005B7">
        <w:t xml:space="preserve"> </w:t>
      </w:r>
      <w:r w:rsidR="002D443D" w:rsidRPr="001005B7">
        <w:t>understands</w:t>
      </w:r>
      <w:r w:rsidR="00EB4F1F" w:rsidRPr="001005B7">
        <w:t xml:space="preserve"> 7:2</w:t>
      </w:r>
      <w:r w:rsidR="00A12FE9" w:rsidRPr="001005B7">
        <w:t>,</w:t>
      </w:r>
      <w:r w:rsidR="00DA4901" w:rsidRPr="001005B7">
        <w:t xml:space="preserve"> </w:t>
      </w:r>
      <w:r w:rsidR="00127986" w:rsidRPr="001005B7">
        <w:t>“</w:t>
      </w:r>
      <w:r w:rsidR="00DA4901" w:rsidRPr="001005B7">
        <w:t>Yahweh</w:t>
      </w:r>
      <w:r w:rsidR="00DA4901" w:rsidRPr="001005B7">
        <w:rPr>
          <w:i/>
          <w:iCs/>
        </w:rPr>
        <w:t xml:space="preserve"> </w:t>
      </w:r>
      <w:r w:rsidR="00DA4901" w:rsidRPr="001005B7">
        <w:t>has</w:t>
      </w:r>
      <w:r w:rsidR="00DA4901" w:rsidRPr="001005B7">
        <w:rPr>
          <w:i/>
          <w:iCs/>
        </w:rPr>
        <w:t xml:space="preserve"> </w:t>
      </w:r>
      <w:r w:rsidR="00DA4901" w:rsidRPr="001005B7">
        <w:t>said</w:t>
      </w:r>
      <w:r w:rsidR="00DA4901" w:rsidRPr="001005B7">
        <w:rPr>
          <w:i/>
          <w:iCs/>
        </w:rPr>
        <w:t xml:space="preserve"> </w:t>
      </w:r>
      <w:r w:rsidR="00DA4901" w:rsidRPr="001005B7">
        <w:t>thi</w:t>
      </w:r>
      <w:r w:rsidR="00A70E2A" w:rsidRPr="001005B7">
        <w:t>s</w:t>
      </w:r>
      <w:r w:rsidR="00DA4901" w:rsidRPr="001005B7">
        <w:rPr>
          <w:i/>
          <w:iCs/>
        </w:rPr>
        <w:t xml:space="preserve"> </w:t>
      </w:r>
      <w:r w:rsidR="00DA4901" w:rsidRPr="001005B7">
        <w:t>to</w:t>
      </w:r>
      <w:r w:rsidR="00A70E2A" w:rsidRPr="001005B7">
        <w:rPr>
          <w:i/>
          <w:iCs/>
        </w:rPr>
        <w:t xml:space="preserve"> </w:t>
      </w:r>
      <w:r w:rsidR="00204B93" w:rsidRPr="001005B7">
        <w:t>Israel’s</w:t>
      </w:r>
      <w:r w:rsidR="00A70E2A" w:rsidRPr="001005B7">
        <w:rPr>
          <w:i/>
          <w:iCs/>
        </w:rPr>
        <w:t xml:space="preserve"> </w:t>
      </w:r>
      <w:r w:rsidR="00814307" w:rsidRPr="001005B7">
        <w:t>land</w:t>
      </w:r>
      <w:r w:rsidR="00FF281F" w:rsidRPr="001005B7">
        <w:rPr>
          <w:i/>
          <w:iCs/>
        </w:rPr>
        <w:t>:</w:t>
      </w:r>
      <w:r w:rsidR="00A70E2A" w:rsidRPr="001005B7">
        <w:rPr>
          <w:i/>
          <w:iCs/>
        </w:rPr>
        <w:t xml:space="preserve"> </w:t>
      </w:r>
      <w:r w:rsidR="00FF281F" w:rsidRPr="001005B7">
        <w:t>An</w:t>
      </w:r>
      <w:r w:rsidR="00FF281F" w:rsidRPr="001005B7">
        <w:rPr>
          <w:i/>
          <w:iCs/>
        </w:rPr>
        <w:t xml:space="preserve"> </w:t>
      </w:r>
      <w:r w:rsidR="00FF281F" w:rsidRPr="001005B7">
        <w:t>end</w:t>
      </w:r>
      <w:r w:rsidR="00555B82" w:rsidRPr="001005B7">
        <w:t>!</w:t>
      </w:r>
      <w:r w:rsidR="00494FA3" w:rsidRPr="001005B7">
        <w:t>”</w:t>
      </w:r>
      <w:r w:rsidR="00FF281F" w:rsidRPr="001005B7">
        <w:t xml:space="preserve"> </w:t>
      </w:r>
      <w:r w:rsidR="00B54227" w:rsidRPr="001005B7">
        <w:t xml:space="preserve">(see the </w:t>
      </w:r>
      <w:r w:rsidR="0081550E" w:rsidRPr="001005B7">
        <w:t>textual note),</w:t>
      </w:r>
      <w:r w:rsidR="00FF281F" w:rsidRPr="001005B7">
        <w:t xml:space="preserve"> add</w:t>
      </w:r>
      <w:r w:rsidR="0081550E" w:rsidRPr="001005B7">
        <w:t>ing</w:t>
      </w:r>
      <w:r w:rsidR="00FF281F" w:rsidRPr="001005B7">
        <w:t xml:space="preserve"> </w:t>
      </w:r>
      <w:r w:rsidR="00A12FE9" w:rsidRPr="001005B7">
        <w:t xml:space="preserve">further </w:t>
      </w:r>
      <w:r w:rsidR="00FF281F" w:rsidRPr="001005B7">
        <w:t>to the impact.</w:t>
      </w:r>
      <w:r w:rsidR="005F593A" w:rsidRPr="001005B7">
        <w:t xml:space="preserve"> </w:t>
      </w:r>
    </w:p>
    <w:p w14:paraId="108B6CF1" w14:textId="72C172C8" w:rsidR="007D10AC" w:rsidRPr="001005B7" w:rsidRDefault="000B6E32" w:rsidP="003D1A22">
      <w:r w:rsidRPr="001005B7">
        <w:t>W</w:t>
      </w:r>
      <w:r w:rsidR="00C41085" w:rsidRPr="001005B7">
        <w:t xml:space="preserve">hose end is Yahweh referring to? </w:t>
      </w:r>
      <w:r w:rsidR="00555B82" w:rsidRPr="001005B7">
        <w:t>“</w:t>
      </w:r>
      <w:r w:rsidR="00E4494B" w:rsidRPr="001005B7">
        <w:t>F</w:t>
      </w:r>
      <w:r w:rsidR="00C41085" w:rsidRPr="001005B7">
        <w:t>our</w:t>
      </w:r>
      <w:r w:rsidR="00C41085" w:rsidRPr="001005B7">
        <w:rPr>
          <w:i/>
          <w:iCs/>
        </w:rPr>
        <w:t xml:space="preserve"> </w:t>
      </w:r>
      <w:r w:rsidR="00C41085" w:rsidRPr="001005B7">
        <w:t>corner</w:t>
      </w:r>
      <w:r w:rsidR="009F13D6" w:rsidRPr="001005B7">
        <w:t>s</w:t>
      </w:r>
      <w:r w:rsidR="00555B82" w:rsidRPr="001005B7">
        <w:t>”</w:t>
      </w:r>
      <w:r w:rsidR="009F13D6" w:rsidRPr="001005B7">
        <w:rPr>
          <w:i/>
          <w:iCs/>
        </w:rPr>
        <w:t xml:space="preserve"> </w:t>
      </w:r>
      <w:r w:rsidR="00E4494B" w:rsidRPr="001005B7">
        <w:t>(</w:t>
      </w:r>
      <w:r w:rsidR="00395063" w:rsidRPr="001005B7">
        <w:rPr>
          <w:rFonts w:cstheme="minorHAnsi"/>
          <w:rtl/>
          <w:lang w:bidi="he-IL"/>
        </w:rPr>
        <w:t>כ</w:t>
      </w:r>
      <w:r w:rsidR="008C4B35" w:rsidRPr="001005B7">
        <w:rPr>
          <w:rFonts w:cstheme="minorHAnsi"/>
          <w:rtl/>
          <w:lang w:bidi="he-IL"/>
        </w:rPr>
        <w:t>ּ</w:t>
      </w:r>
      <w:r w:rsidR="00395063" w:rsidRPr="001005B7">
        <w:rPr>
          <w:rFonts w:cstheme="minorHAnsi"/>
          <w:rtl/>
          <w:lang w:bidi="he-IL"/>
        </w:rPr>
        <w:t>ָנָף</w:t>
      </w:r>
      <w:r w:rsidR="0023477D" w:rsidRPr="001005B7">
        <w:t>, lite</w:t>
      </w:r>
      <w:r w:rsidR="00E4494B" w:rsidRPr="001005B7">
        <w:t xml:space="preserve">rally, </w:t>
      </w:r>
      <w:r w:rsidR="00555B82" w:rsidRPr="001005B7">
        <w:t>“</w:t>
      </w:r>
      <w:r w:rsidR="00E4494B" w:rsidRPr="001005B7">
        <w:t>wings</w:t>
      </w:r>
      <w:r w:rsidR="00555B82" w:rsidRPr="001005B7">
        <w:t>”</w:t>
      </w:r>
      <w:r w:rsidR="00E4494B" w:rsidRPr="001005B7">
        <w:t xml:space="preserve">) </w:t>
      </w:r>
      <w:r w:rsidR="009F13D6" w:rsidRPr="001005B7">
        <w:t>otherwise appear only in Deut</w:t>
      </w:r>
      <w:r w:rsidR="009024D4" w:rsidRPr="001005B7">
        <w:t xml:space="preserve"> 22:12</w:t>
      </w:r>
      <w:r w:rsidR="008D7906">
        <w:t xml:space="preserve">, </w:t>
      </w:r>
      <w:r w:rsidR="00CC5D44">
        <w:t>applying to</w:t>
      </w:r>
      <w:r w:rsidR="009024D4" w:rsidRPr="001005B7">
        <w:t xml:space="preserve"> a garment</w:t>
      </w:r>
      <w:r w:rsidR="008D7906">
        <w:t>,</w:t>
      </w:r>
      <w:r w:rsidR="009024D4" w:rsidRPr="001005B7">
        <w:t xml:space="preserve"> and Isa 11:12</w:t>
      </w:r>
      <w:r w:rsidR="003D17C0" w:rsidRPr="001005B7">
        <w:t xml:space="preserve">, where they are the four corners of the earth (Job </w:t>
      </w:r>
      <w:r w:rsidR="00B532F1" w:rsidRPr="001005B7">
        <w:t>37:3; 38:13 also refers to earth’s corners</w:t>
      </w:r>
      <w:r w:rsidR="00C55545" w:rsidRPr="001005B7">
        <w:t>)</w:t>
      </w:r>
      <w:r w:rsidRPr="001005B7">
        <w:t>. T</w:t>
      </w:r>
      <w:r w:rsidR="00C3133A" w:rsidRPr="001005B7">
        <w:t xml:space="preserve">his meaning fits here, especially when the phrase follows </w:t>
      </w:r>
      <w:r w:rsidR="00A15FAC" w:rsidRPr="001005B7">
        <w:t>“</w:t>
      </w:r>
      <w:r w:rsidR="00C3133A" w:rsidRPr="001005B7">
        <w:t>land</w:t>
      </w:r>
      <w:r w:rsidR="00C3133A" w:rsidRPr="001005B7">
        <w:rPr>
          <w:i/>
          <w:iCs/>
        </w:rPr>
        <w:t xml:space="preserve"> </w:t>
      </w:r>
      <w:r w:rsidR="00C3133A" w:rsidRPr="001005B7">
        <w:t>of</w:t>
      </w:r>
      <w:r w:rsidR="00C3133A" w:rsidRPr="001005B7">
        <w:rPr>
          <w:i/>
          <w:iCs/>
        </w:rPr>
        <w:t xml:space="preserve"> </w:t>
      </w:r>
      <w:r w:rsidR="00C3133A" w:rsidRPr="001005B7">
        <w:t>Israel.</w:t>
      </w:r>
      <w:r w:rsidR="00A15FAC" w:rsidRPr="001005B7">
        <w:t>”</w:t>
      </w:r>
      <w:r w:rsidR="00C3133A" w:rsidRPr="001005B7">
        <w:t xml:space="preserve"> </w:t>
      </w:r>
      <w:r w:rsidR="000E3052" w:rsidRPr="001005B7">
        <w:t xml:space="preserve">Yahweh is declaring that the end is coming on the earth, </w:t>
      </w:r>
      <w:r w:rsidR="00877A32" w:rsidRPr="001005B7">
        <w:t xml:space="preserve">as Gen 6:13 once </w:t>
      </w:r>
      <w:r w:rsidR="00F809D2" w:rsidRPr="001005B7">
        <w:t>declared</w:t>
      </w:r>
      <w:r w:rsidR="00C5750C" w:rsidRPr="001005B7">
        <w:t xml:space="preserve">. One can imagine </w:t>
      </w:r>
      <w:r w:rsidR="001C1E40" w:rsidRPr="001005B7">
        <w:t xml:space="preserve">the Israelites welcoming this good news. </w:t>
      </w:r>
      <w:r w:rsidR="00F625E4" w:rsidRPr="001005B7">
        <w:t xml:space="preserve">An end coming on the earth would mean bringing catastrophe on the nations in their waywardness and thus fulfilling God’s purpose for his people </w:t>
      </w:r>
      <w:r w:rsidR="00F625E4">
        <w:t xml:space="preserve">who are </w:t>
      </w:r>
      <w:r w:rsidR="00F625E4" w:rsidRPr="001005B7">
        <w:t xml:space="preserve">oppressed by them. </w:t>
      </w:r>
      <w:r w:rsidR="000D7001" w:rsidRPr="001005B7">
        <w:t>After 587, p</w:t>
      </w:r>
      <w:r w:rsidR="006F53AB" w:rsidRPr="001005B7">
        <w:t xml:space="preserve">eople </w:t>
      </w:r>
      <w:r w:rsidR="005921C6" w:rsidRPr="001005B7">
        <w:t xml:space="preserve">living </w:t>
      </w:r>
      <w:r w:rsidR="006F53AB" w:rsidRPr="001005B7">
        <w:t xml:space="preserve">in the </w:t>
      </w:r>
      <w:r w:rsidR="005921C6" w:rsidRPr="001005B7">
        <w:t xml:space="preserve">desolate </w:t>
      </w:r>
      <w:r w:rsidR="006F53AB" w:rsidRPr="001005B7">
        <w:t xml:space="preserve">wastes of </w:t>
      </w:r>
      <w:r w:rsidR="00B43F64" w:rsidRPr="001005B7">
        <w:t>“</w:t>
      </w:r>
      <w:r w:rsidR="006F53AB" w:rsidRPr="001005B7">
        <w:t>the</w:t>
      </w:r>
      <w:r w:rsidR="006F53AB" w:rsidRPr="001005B7">
        <w:rPr>
          <w:i/>
          <w:iCs/>
        </w:rPr>
        <w:t xml:space="preserve"> </w:t>
      </w:r>
      <w:r w:rsidR="006F53AB" w:rsidRPr="001005B7">
        <w:t>land</w:t>
      </w:r>
      <w:r w:rsidR="006F53AB" w:rsidRPr="001005B7">
        <w:rPr>
          <w:i/>
          <w:iCs/>
        </w:rPr>
        <w:t xml:space="preserve"> </w:t>
      </w:r>
      <w:r w:rsidR="006F53AB" w:rsidRPr="001005B7">
        <w:t>of</w:t>
      </w:r>
      <w:r w:rsidR="006F53AB" w:rsidRPr="001005B7">
        <w:rPr>
          <w:i/>
          <w:iCs/>
        </w:rPr>
        <w:t xml:space="preserve"> </w:t>
      </w:r>
      <w:r w:rsidR="006F53AB" w:rsidRPr="001005B7">
        <w:t>Israel</w:t>
      </w:r>
      <w:r w:rsidR="00B43F64" w:rsidRPr="001005B7">
        <w:t>”</w:t>
      </w:r>
      <w:r w:rsidR="000F2874" w:rsidRPr="001005B7">
        <w:rPr>
          <w:i/>
          <w:iCs/>
        </w:rPr>
        <w:t xml:space="preserve"> </w:t>
      </w:r>
      <w:r w:rsidR="000F2874" w:rsidRPr="001005B7">
        <w:t xml:space="preserve">will be assuring themselves that </w:t>
      </w:r>
      <w:r w:rsidR="000D7001" w:rsidRPr="001005B7">
        <w:t xml:space="preserve">they will </w:t>
      </w:r>
      <w:r w:rsidR="005926A8" w:rsidRPr="001005B7">
        <w:t>regain possession of the country (33:24)</w:t>
      </w:r>
      <w:r w:rsidR="003E5717" w:rsidRPr="001005B7">
        <w:t xml:space="preserve">, and the </w:t>
      </w:r>
      <w:proofErr w:type="spellStart"/>
      <w:r w:rsidR="003E5717" w:rsidRPr="001005B7">
        <w:t>Kebar</w:t>
      </w:r>
      <w:r w:rsidR="000B1180">
        <w:t>ites</w:t>
      </w:r>
      <w:proofErr w:type="spellEnd"/>
      <w:r w:rsidR="003E5717" w:rsidRPr="001005B7">
        <w:t xml:space="preserve"> will be giving themselves assurances on those lines</w:t>
      </w:r>
      <w:r w:rsidR="00411B70" w:rsidRPr="001005B7">
        <w:t xml:space="preserve"> (Odell, 88).</w:t>
      </w:r>
      <w:r w:rsidR="00F87E1D">
        <w:t xml:space="preserve"> </w:t>
      </w:r>
      <w:r w:rsidR="00F87E1D" w:rsidRPr="001005B7">
        <w:t>But Ezekiel’s rhetoric works like that of other prophets (e.g., Amos 1–3): first issue a declaration concerning calamity for other peoples, then turn it on Israel.</w:t>
      </w:r>
    </w:p>
    <w:p w14:paraId="4A492A54" w14:textId="7A10A284" w:rsidR="00CD0A98" w:rsidRPr="001005B7" w:rsidRDefault="00BC4447" w:rsidP="00F92754">
      <w:pPr>
        <w:rPr>
          <w:rFonts w:cstheme="minorHAnsi"/>
        </w:rPr>
      </w:pPr>
      <w:r w:rsidRPr="001005B7">
        <w:rPr>
          <w:rFonts w:cstheme="minorHAnsi"/>
          <w:b/>
          <w:bCs/>
        </w:rPr>
        <w:t>7:</w:t>
      </w:r>
      <w:r w:rsidR="00D47011" w:rsidRPr="001005B7">
        <w:rPr>
          <w:rFonts w:cstheme="minorHAnsi"/>
          <w:b/>
          <w:bCs/>
        </w:rPr>
        <w:t>3</w:t>
      </w:r>
      <w:r w:rsidR="00F46900" w:rsidRPr="001005B7">
        <w:rPr>
          <w:rFonts w:cstheme="minorHAnsi"/>
          <w:b/>
          <w:bCs/>
        </w:rPr>
        <w:t>–</w:t>
      </w:r>
      <w:r w:rsidR="00D47011" w:rsidRPr="001005B7">
        <w:rPr>
          <w:rFonts w:cstheme="minorHAnsi"/>
          <w:b/>
          <w:bCs/>
        </w:rPr>
        <w:t>4</w:t>
      </w:r>
      <w:r w:rsidR="00D47011" w:rsidRPr="001005B7">
        <w:rPr>
          <w:rFonts w:cstheme="minorHAnsi"/>
        </w:rPr>
        <w:t xml:space="preserve">. </w:t>
      </w:r>
      <w:r w:rsidR="008D1F85" w:rsidRPr="001005B7">
        <w:rPr>
          <w:rFonts w:cstheme="minorHAnsi"/>
        </w:rPr>
        <w:t>T</w:t>
      </w:r>
      <w:r w:rsidR="00525E48" w:rsidRPr="001005B7">
        <w:rPr>
          <w:rFonts w:cstheme="minorHAnsi"/>
        </w:rPr>
        <w:t>hey w</w:t>
      </w:r>
      <w:r w:rsidR="00E808A8" w:rsidRPr="001005B7">
        <w:rPr>
          <w:rFonts w:cstheme="minorHAnsi"/>
        </w:rPr>
        <w:t>ould be</w:t>
      </w:r>
      <w:r w:rsidR="00525E48" w:rsidRPr="001005B7">
        <w:rPr>
          <w:rFonts w:cstheme="minorHAnsi"/>
        </w:rPr>
        <w:t xml:space="preserve"> deceiving themselves.</w:t>
      </w:r>
      <w:r w:rsidR="00CE2E9B">
        <w:rPr>
          <w:rFonts w:cstheme="minorHAnsi"/>
        </w:rPr>
        <w:t xml:space="preserve"> “T</w:t>
      </w:r>
      <w:r w:rsidR="00B01C36" w:rsidRPr="001005B7">
        <w:t>he</w:t>
      </w:r>
      <w:r w:rsidR="00B01C36" w:rsidRPr="001005B7">
        <w:rPr>
          <w:i/>
          <w:iCs/>
        </w:rPr>
        <w:t xml:space="preserve"> </w:t>
      </w:r>
      <w:r w:rsidR="00E84B9E" w:rsidRPr="001005B7">
        <w:t>end</w:t>
      </w:r>
      <w:r w:rsidR="00E84B9E" w:rsidRPr="001005B7">
        <w:rPr>
          <w:i/>
          <w:iCs/>
        </w:rPr>
        <w:t xml:space="preserve"> </w:t>
      </w:r>
      <w:r w:rsidR="00E84B9E" w:rsidRPr="001005B7">
        <w:t>is</w:t>
      </w:r>
      <w:r w:rsidR="00E84B9E" w:rsidRPr="001005B7">
        <w:rPr>
          <w:i/>
          <w:iCs/>
        </w:rPr>
        <w:t xml:space="preserve"> </w:t>
      </w:r>
      <w:r w:rsidR="00E84B9E" w:rsidRPr="001005B7">
        <w:t>coming</w:t>
      </w:r>
      <w:r w:rsidR="00FC780E">
        <w:t>,</w:t>
      </w:r>
      <w:r w:rsidR="00B43F64" w:rsidRPr="001005B7">
        <w:t>”</w:t>
      </w:r>
      <w:r w:rsidR="00FC780E" w:rsidRPr="001005B7">
        <w:rPr>
          <w:rFonts w:cstheme="minorHAnsi"/>
        </w:rPr>
        <w:t xml:space="preserve"> </w:t>
      </w:r>
      <w:r w:rsidR="00FC780E" w:rsidRPr="001005B7">
        <w:rPr>
          <w:rFonts w:cstheme="minorHAnsi"/>
          <w:rtl/>
          <w:lang w:bidi="he-IL"/>
        </w:rPr>
        <w:t>בׇּא הַקֵּץ</w:t>
      </w:r>
      <w:r w:rsidR="00FC780E" w:rsidRPr="001005B7">
        <w:rPr>
          <w:rFonts w:cstheme="minorHAnsi"/>
        </w:rPr>
        <w:t xml:space="preserve">, </w:t>
      </w:r>
      <w:r w:rsidR="00F511EB" w:rsidRPr="001005B7">
        <w:t xml:space="preserve">were Amos’s words to Ephraim (Amos </w:t>
      </w:r>
      <w:r w:rsidR="00BF4E43" w:rsidRPr="001005B7">
        <w:t>8:2)</w:t>
      </w:r>
      <w:r w:rsidR="003D2110" w:rsidRPr="001005B7">
        <w:t xml:space="preserve">. In </w:t>
      </w:r>
      <w:r w:rsidR="001713C5" w:rsidRPr="001005B7">
        <w:t>that context</w:t>
      </w:r>
      <w:r w:rsidR="004B6BE0" w:rsidRPr="001005B7">
        <w:t>,</w:t>
      </w:r>
      <w:r w:rsidR="001713C5" w:rsidRPr="001005B7">
        <w:t xml:space="preserve"> and </w:t>
      </w:r>
      <w:r w:rsidR="00DA2BFB" w:rsidRPr="001005B7">
        <w:t xml:space="preserve">here in </w:t>
      </w:r>
      <w:r w:rsidR="003D021F" w:rsidRPr="001005B7">
        <w:t>7:</w:t>
      </w:r>
      <w:r w:rsidR="00DA2BFB" w:rsidRPr="001005B7">
        <w:t>2</w:t>
      </w:r>
      <w:r w:rsidR="002C1B7A" w:rsidRPr="001005B7">
        <w:t>,</w:t>
      </w:r>
      <w:r w:rsidR="00DA2BFB" w:rsidRPr="001005B7">
        <w:t xml:space="preserve"> and in </w:t>
      </w:r>
      <w:r w:rsidR="0042084A" w:rsidRPr="001005B7">
        <w:t>7:</w:t>
      </w:r>
      <w:r w:rsidR="0052021B" w:rsidRPr="001005B7">
        <w:t>5</w:t>
      </w:r>
      <w:r w:rsidR="00F46900" w:rsidRPr="001005B7">
        <w:t>–</w:t>
      </w:r>
      <w:r w:rsidR="0052021B" w:rsidRPr="001005B7">
        <w:t xml:space="preserve">7 where </w:t>
      </w:r>
      <w:r w:rsidR="007C2C03">
        <w:t>they</w:t>
      </w:r>
      <w:r w:rsidR="0052021B" w:rsidRPr="001005B7">
        <w:t xml:space="preserve"> explicitly appl</w:t>
      </w:r>
      <w:r w:rsidR="009A5449">
        <w:t>y</w:t>
      </w:r>
      <w:r w:rsidR="0052021B" w:rsidRPr="001005B7">
        <w:t xml:space="preserve"> to Juda</w:t>
      </w:r>
      <w:r w:rsidR="004B6BE0" w:rsidRPr="001005B7">
        <w:t>h</w:t>
      </w:r>
      <w:r w:rsidR="0052021B" w:rsidRPr="001005B7">
        <w:t>,</w:t>
      </w:r>
      <w:r w:rsidR="004440D7" w:rsidRPr="001005B7">
        <w:t xml:space="preserve"> </w:t>
      </w:r>
      <w:r w:rsidR="00C12C42" w:rsidRPr="001005B7">
        <w:rPr>
          <w:rFonts w:cstheme="minorHAnsi"/>
          <w:rtl/>
          <w:lang w:bidi="he-IL"/>
        </w:rPr>
        <w:t>בָ</w:t>
      </w:r>
      <w:r w:rsidR="00130F35" w:rsidRPr="001005B7">
        <w:rPr>
          <w:rFonts w:cstheme="minorHAnsi"/>
          <w:rtl/>
          <w:lang w:bidi="he-IL"/>
        </w:rPr>
        <w:t>ּ</w:t>
      </w:r>
      <w:r w:rsidR="00C12C42" w:rsidRPr="001005B7">
        <w:rPr>
          <w:rFonts w:cstheme="minorHAnsi"/>
          <w:rtl/>
          <w:lang w:bidi="he-IL"/>
        </w:rPr>
        <w:t>א</w:t>
      </w:r>
      <w:r w:rsidR="00C02910" w:rsidRPr="001005B7">
        <w:rPr>
          <w:rFonts w:cstheme="minorHAnsi"/>
          <w:i/>
          <w:iCs/>
        </w:rPr>
        <w:t xml:space="preserve"> </w:t>
      </w:r>
      <w:r w:rsidR="00C02910" w:rsidRPr="001005B7">
        <w:rPr>
          <w:rFonts w:cstheme="minorHAnsi"/>
        </w:rPr>
        <w:t>or f</w:t>
      </w:r>
      <w:r w:rsidR="00025A6B" w:rsidRPr="001005B7">
        <w:rPr>
          <w:rFonts w:cstheme="minorHAnsi"/>
        </w:rPr>
        <w:t>.</w:t>
      </w:r>
      <w:r w:rsidR="00C02910" w:rsidRPr="001005B7">
        <w:rPr>
          <w:rFonts w:cstheme="minorHAnsi"/>
        </w:rPr>
        <w:t xml:space="preserve"> </w:t>
      </w:r>
      <w:r w:rsidR="00B25E24" w:rsidRPr="001005B7">
        <w:rPr>
          <w:rFonts w:cstheme="minorHAnsi"/>
          <w:rtl/>
          <w:lang w:bidi="he-IL"/>
        </w:rPr>
        <w:t>ב</w:t>
      </w:r>
      <w:r w:rsidR="00130F35" w:rsidRPr="001005B7">
        <w:rPr>
          <w:rFonts w:cstheme="minorHAnsi"/>
          <w:rtl/>
          <w:lang w:bidi="he-IL"/>
        </w:rPr>
        <w:t>ּ</w:t>
      </w:r>
      <w:r w:rsidR="00B25E24" w:rsidRPr="001005B7">
        <w:rPr>
          <w:rFonts w:cstheme="minorHAnsi"/>
          <w:rtl/>
          <w:lang w:bidi="he-IL"/>
        </w:rPr>
        <w:t>ָאָה</w:t>
      </w:r>
      <w:r w:rsidR="001055A6" w:rsidRPr="001005B7">
        <w:t xml:space="preserve"> can be parsed either as a participle or as a </w:t>
      </w:r>
      <w:r w:rsidR="001055A6" w:rsidRPr="005E4796">
        <w:rPr>
          <w:i/>
          <w:iCs/>
        </w:rPr>
        <w:t>qatal</w:t>
      </w:r>
      <w:r w:rsidR="0060068D" w:rsidRPr="001005B7">
        <w:t>. O</w:t>
      </w:r>
      <w:r w:rsidR="00030BC0" w:rsidRPr="001005B7">
        <w:t xml:space="preserve">n the latter </w:t>
      </w:r>
      <w:r w:rsidR="0046445C" w:rsidRPr="001005B7">
        <w:t xml:space="preserve">hypothesis, </w:t>
      </w:r>
      <w:r w:rsidR="0060068D" w:rsidRPr="001005B7">
        <w:t>the word</w:t>
      </w:r>
      <w:r w:rsidR="0046445C" w:rsidRPr="001005B7">
        <w:t xml:space="preserve"> </w:t>
      </w:r>
      <w:r w:rsidR="001055A6" w:rsidRPr="001005B7">
        <w:t>more literally</w:t>
      </w:r>
      <w:r w:rsidR="0046445C" w:rsidRPr="001005B7">
        <w:t xml:space="preserve"> signifies</w:t>
      </w:r>
      <w:r w:rsidR="001055A6" w:rsidRPr="001005B7">
        <w:t xml:space="preserve"> </w:t>
      </w:r>
      <w:r w:rsidR="00F46D02" w:rsidRPr="001005B7">
        <w:t xml:space="preserve">“has come.” </w:t>
      </w:r>
      <w:r w:rsidR="0082384F" w:rsidRPr="001005B7">
        <w:t>I</w:t>
      </w:r>
      <w:r w:rsidR="00F46D02" w:rsidRPr="001005B7">
        <w:t>n either context, the prophet is speaking of something that is on its way</w:t>
      </w:r>
      <w:r w:rsidR="003A4EDF" w:rsidRPr="001005B7">
        <w:t>. I</w:t>
      </w:r>
      <w:r w:rsidR="005E1279" w:rsidRPr="001005B7">
        <w:t xml:space="preserve">t has not literally arrived. </w:t>
      </w:r>
      <w:r w:rsidR="0059294B" w:rsidRPr="001005B7">
        <w:t xml:space="preserve">The situation is different from the one that will hold </w:t>
      </w:r>
      <w:r w:rsidR="006F7FD6" w:rsidRPr="001005B7">
        <w:t>just a few yea</w:t>
      </w:r>
      <w:r w:rsidR="002F6A4D" w:rsidRPr="001005B7">
        <w:t>r</w:t>
      </w:r>
      <w:r w:rsidR="006F7FD6" w:rsidRPr="001005B7">
        <w:t>s later</w:t>
      </w:r>
      <w:r w:rsidR="002F6A4D" w:rsidRPr="001005B7">
        <w:t>,</w:t>
      </w:r>
      <w:r w:rsidR="006F7FD6" w:rsidRPr="001005B7">
        <w:t xml:space="preserve"> when Lam </w:t>
      </w:r>
      <w:r w:rsidR="00110C3D" w:rsidRPr="001005B7">
        <w:t xml:space="preserve">4:18 </w:t>
      </w:r>
      <w:r w:rsidR="004C7D2B" w:rsidRPr="001005B7">
        <w:t xml:space="preserve">uses the same word to </w:t>
      </w:r>
      <w:r w:rsidR="00311C03" w:rsidRPr="001005B7">
        <w:t>lament that</w:t>
      </w:r>
      <w:r w:rsidR="006B3CAF" w:rsidRPr="001005B7">
        <w:t xml:space="preserve"> “our end has come.” </w:t>
      </w:r>
      <w:r w:rsidR="001676E2">
        <w:t>I</w:t>
      </w:r>
      <w:r w:rsidR="00075E3B" w:rsidRPr="001005B7">
        <w:t xml:space="preserve">f </w:t>
      </w:r>
      <w:r w:rsidR="00533AD6" w:rsidRPr="001005B7">
        <w:t>“</w:t>
      </w:r>
      <w:r w:rsidR="00EC492C" w:rsidRPr="001005B7">
        <w:t>an</w:t>
      </w:r>
      <w:r w:rsidR="00EC492C" w:rsidRPr="001005B7">
        <w:rPr>
          <w:i/>
          <w:iCs/>
        </w:rPr>
        <w:t xml:space="preserve"> </w:t>
      </w:r>
      <w:r w:rsidR="00EC492C" w:rsidRPr="001005B7">
        <w:t>end</w:t>
      </w:r>
      <w:r w:rsidR="00533AD6" w:rsidRPr="001005B7">
        <w:t>”</w:t>
      </w:r>
      <w:r w:rsidR="00EC492C" w:rsidRPr="001005B7">
        <w:t xml:space="preserve"> </w:t>
      </w:r>
      <w:r w:rsidR="00B06A3A" w:rsidRPr="001005B7">
        <w:t xml:space="preserve">did </w:t>
      </w:r>
      <w:r w:rsidR="00EC492C" w:rsidRPr="001005B7">
        <w:t>arrive</w:t>
      </w:r>
      <w:r w:rsidR="00B06A3A" w:rsidRPr="001005B7">
        <w:t xml:space="preserve"> thus</w:t>
      </w:r>
      <w:r w:rsidR="00EC492C" w:rsidRPr="001005B7">
        <w:t xml:space="preserve"> for Ephraim in 722,</w:t>
      </w:r>
      <w:r w:rsidR="00FE7E34">
        <w:t xml:space="preserve"> as Amos said,</w:t>
      </w:r>
      <w:r w:rsidR="00EC492C" w:rsidRPr="001005B7">
        <w:t xml:space="preserve"> </w:t>
      </w:r>
      <w:r w:rsidR="00533AD6" w:rsidRPr="001005B7">
        <w:t>“</w:t>
      </w:r>
      <w:r w:rsidR="00EC492C" w:rsidRPr="001005B7">
        <w:t>an</w:t>
      </w:r>
      <w:r w:rsidR="00EC492C" w:rsidRPr="001005B7">
        <w:rPr>
          <w:i/>
          <w:iCs/>
        </w:rPr>
        <w:t xml:space="preserve"> </w:t>
      </w:r>
      <w:r w:rsidR="00EC492C" w:rsidRPr="001005B7">
        <w:t>end</w:t>
      </w:r>
      <w:r w:rsidR="00533AD6" w:rsidRPr="001005B7">
        <w:t>”</w:t>
      </w:r>
      <w:r w:rsidR="00EC492C" w:rsidRPr="001005B7">
        <w:rPr>
          <w:i/>
          <w:iCs/>
        </w:rPr>
        <w:t xml:space="preserve"> </w:t>
      </w:r>
      <w:r w:rsidR="00EC492C" w:rsidRPr="001005B7">
        <w:t>is now imminent for Judah</w:t>
      </w:r>
      <w:r w:rsidR="0041759F" w:rsidRPr="001005B7">
        <w:t xml:space="preserve">. </w:t>
      </w:r>
      <w:r w:rsidR="000C65CA" w:rsidRPr="001005B7">
        <w:t>It is</w:t>
      </w:r>
      <w:r w:rsidR="003B45A2" w:rsidRPr="001005B7">
        <w:t xml:space="preserve"> </w:t>
      </w:r>
      <w:r w:rsidR="003B45A2" w:rsidRPr="001005B7">
        <w:rPr>
          <w:rFonts w:cstheme="minorHAnsi"/>
          <w:rtl/>
          <w:lang w:bidi="he-IL"/>
        </w:rPr>
        <w:t>עׇלַ</w:t>
      </w:r>
      <w:r w:rsidR="00E248F9" w:rsidRPr="001005B7">
        <w:rPr>
          <w:rFonts w:cstheme="minorHAnsi"/>
          <w:rtl/>
          <w:lang w:bidi="he-IL"/>
        </w:rPr>
        <w:t>יִךְ</w:t>
      </w:r>
      <w:r w:rsidR="00E248F9" w:rsidRPr="001005B7">
        <w:t xml:space="preserve">, </w:t>
      </w:r>
      <w:r w:rsidR="00533AD6" w:rsidRPr="001005B7">
        <w:t>“</w:t>
      </w:r>
      <w:r w:rsidR="000C65CA" w:rsidRPr="001005B7">
        <w:t>upon</w:t>
      </w:r>
      <w:r w:rsidR="000C65CA" w:rsidRPr="001005B7">
        <w:rPr>
          <w:i/>
          <w:iCs/>
        </w:rPr>
        <w:t xml:space="preserve"> </w:t>
      </w:r>
      <w:r w:rsidR="000C65CA" w:rsidRPr="001005B7">
        <w:t>you,</w:t>
      </w:r>
      <w:r w:rsidR="00533AD6" w:rsidRPr="001005B7">
        <w:t>”</w:t>
      </w:r>
      <w:r w:rsidR="000C65CA" w:rsidRPr="001005B7">
        <w:rPr>
          <w:i/>
          <w:iCs/>
        </w:rPr>
        <w:t xml:space="preserve"> </w:t>
      </w:r>
      <w:r w:rsidR="00FF26AE" w:rsidRPr="001005B7">
        <w:t>upon</w:t>
      </w:r>
      <w:r w:rsidR="00FF26AE" w:rsidRPr="001005B7">
        <w:rPr>
          <w:i/>
          <w:iCs/>
        </w:rPr>
        <w:t xml:space="preserve"> </w:t>
      </w:r>
      <w:r w:rsidR="008B0377">
        <w:t>the</w:t>
      </w:r>
      <w:r w:rsidR="00FF26AE" w:rsidRPr="001005B7">
        <w:rPr>
          <w:i/>
          <w:iCs/>
        </w:rPr>
        <w:t xml:space="preserve"> </w:t>
      </w:r>
      <w:r w:rsidR="000C65CA" w:rsidRPr="001005B7">
        <w:t>land of Isr</w:t>
      </w:r>
      <w:r w:rsidR="008D0943" w:rsidRPr="001005B7">
        <w:t>a</w:t>
      </w:r>
      <w:r w:rsidR="000C65CA" w:rsidRPr="001005B7">
        <w:t>el</w:t>
      </w:r>
      <w:r w:rsidR="00C22672" w:rsidRPr="001005B7">
        <w:t>.</w:t>
      </w:r>
      <w:r w:rsidR="004C0D10" w:rsidRPr="001005B7">
        <w:t xml:space="preserve"> Yahweh</w:t>
      </w:r>
      <w:r w:rsidR="00C22672" w:rsidRPr="001005B7">
        <w:t xml:space="preserve"> will use </w:t>
      </w:r>
      <w:r w:rsidR="001257C9" w:rsidRPr="001005B7">
        <w:t>the preposition</w:t>
      </w:r>
      <w:r w:rsidR="00C22672" w:rsidRPr="001005B7">
        <w:t xml:space="preserve"> </w:t>
      </w:r>
      <w:r w:rsidR="00B0724E" w:rsidRPr="001005B7">
        <w:t xml:space="preserve">six more times in </w:t>
      </w:r>
      <w:r w:rsidR="0042084A" w:rsidRPr="001005B7">
        <w:t>7:</w:t>
      </w:r>
      <w:r w:rsidR="00260C91" w:rsidRPr="001005B7">
        <w:t>3</w:t>
      </w:r>
      <w:r w:rsidR="00F46900" w:rsidRPr="001005B7">
        <w:t>–</w:t>
      </w:r>
      <w:r w:rsidR="00260C91" w:rsidRPr="001005B7">
        <w:t>9</w:t>
      </w:r>
      <w:r w:rsidR="001257C9" w:rsidRPr="001005B7">
        <w:t xml:space="preserve"> in different ways</w:t>
      </w:r>
      <w:r w:rsidR="00260C91" w:rsidRPr="001005B7">
        <w:t xml:space="preserve">. </w:t>
      </w:r>
      <w:r w:rsidR="001257C9" w:rsidRPr="001005B7">
        <w:t xml:space="preserve">It’s on you, all right. </w:t>
      </w:r>
      <w:r w:rsidR="00656CC9">
        <w:t>So t</w:t>
      </w:r>
      <w:r w:rsidR="00427D43" w:rsidRPr="001005B7">
        <w:t xml:space="preserve">he corners are </w:t>
      </w:r>
      <w:r w:rsidR="00A1717F">
        <w:t>the</w:t>
      </w:r>
      <w:r w:rsidR="00427D43" w:rsidRPr="001005B7">
        <w:t xml:space="preserve"> corne</w:t>
      </w:r>
      <w:r w:rsidR="009E7B00" w:rsidRPr="001005B7">
        <w:t>r</w:t>
      </w:r>
      <w:r w:rsidR="00427D43" w:rsidRPr="001005B7">
        <w:t>s of the land</w:t>
      </w:r>
      <w:r w:rsidR="009E7B00" w:rsidRPr="001005B7">
        <w:t>.</w:t>
      </w:r>
      <w:r w:rsidR="0053540B" w:rsidRPr="001005B7">
        <w:rPr>
          <w:rFonts w:cstheme="minorHAnsi"/>
        </w:rPr>
        <w:t xml:space="preserve"> </w:t>
      </w:r>
      <w:r w:rsidR="001076FB" w:rsidRPr="001005B7">
        <w:t>Yahweh</w:t>
      </w:r>
      <w:r w:rsidR="0053540B" w:rsidRPr="001005B7">
        <w:t xml:space="preserve"> </w:t>
      </w:r>
      <w:r w:rsidR="00AA49BA" w:rsidRPr="001005B7">
        <w:t>goes on to</w:t>
      </w:r>
      <w:r w:rsidR="00E40326" w:rsidRPr="001005B7">
        <w:t xml:space="preserve"> explain </w:t>
      </w:r>
      <w:r w:rsidR="00446BB1" w:rsidRPr="001005B7">
        <w:t>the event</w:t>
      </w:r>
      <w:r w:rsidR="008A19E6" w:rsidRPr="001005B7">
        <w:t xml:space="preserve"> and </w:t>
      </w:r>
      <w:r w:rsidR="00E40326" w:rsidRPr="001005B7">
        <w:t>its rationale in familia</w:t>
      </w:r>
      <w:r w:rsidR="00246074" w:rsidRPr="001005B7">
        <w:t>r terms</w:t>
      </w:r>
      <w:r w:rsidR="00A23A95" w:rsidRPr="001005B7">
        <w:t xml:space="preserve">: </w:t>
      </w:r>
      <w:r w:rsidR="00F77C33" w:rsidRPr="001005B7">
        <w:t>I</w:t>
      </w:r>
      <w:r w:rsidR="00542205" w:rsidRPr="001005B7">
        <w:rPr>
          <w:i/>
          <w:iCs/>
        </w:rPr>
        <w:t xml:space="preserve"> </w:t>
      </w:r>
      <w:r w:rsidR="00542205" w:rsidRPr="001005B7">
        <w:t>will</w:t>
      </w:r>
      <w:r w:rsidR="00F31584" w:rsidRPr="001005B7">
        <w:t xml:space="preserve"> </w:t>
      </w:r>
      <w:r w:rsidR="00A23A95" w:rsidRPr="001005B7">
        <w:t>send</w:t>
      </w:r>
      <w:r w:rsidR="00A23A95" w:rsidRPr="001005B7">
        <w:rPr>
          <w:i/>
          <w:iCs/>
        </w:rPr>
        <w:t xml:space="preserve"> </w:t>
      </w:r>
      <w:r w:rsidR="00A23A95" w:rsidRPr="001005B7">
        <w:t>off</w:t>
      </w:r>
      <w:r w:rsidR="00326771" w:rsidRPr="001005B7">
        <w:t xml:space="preserve"> </w:t>
      </w:r>
      <w:r w:rsidR="00A23A95" w:rsidRPr="001005B7">
        <w:t>(</w:t>
      </w:r>
      <w:r w:rsidR="00BC45CC" w:rsidRPr="001005B7">
        <w:rPr>
          <w:rFonts w:cstheme="minorHAnsi"/>
          <w:rtl/>
          <w:lang w:bidi="he-IL"/>
        </w:rPr>
        <w:t>שׇׁלַ</w:t>
      </w:r>
      <w:r w:rsidR="00277A4E" w:rsidRPr="001005B7">
        <w:rPr>
          <w:rFonts w:cstheme="minorHAnsi"/>
          <w:rtl/>
          <w:lang w:bidi="he-IL"/>
        </w:rPr>
        <w:t>חח</w:t>
      </w:r>
      <w:r w:rsidR="00B94EDD" w:rsidRPr="001005B7">
        <w:t xml:space="preserve"> </w:t>
      </w:r>
      <w:r w:rsidR="00277A4E" w:rsidRPr="001005B7">
        <w:t xml:space="preserve">piel; cf. </w:t>
      </w:r>
      <w:r w:rsidR="00A23A95" w:rsidRPr="001005B7">
        <w:t>5:17)</w:t>
      </w:r>
      <w:r w:rsidR="000C7B2F" w:rsidRPr="001005B7">
        <w:t xml:space="preserve"> my</w:t>
      </w:r>
      <w:r w:rsidR="000C7B2F" w:rsidRPr="001005B7">
        <w:rPr>
          <w:i/>
          <w:iCs/>
        </w:rPr>
        <w:t xml:space="preserve"> </w:t>
      </w:r>
      <w:r w:rsidR="000C7B2F" w:rsidRPr="001005B7">
        <w:t>ange</w:t>
      </w:r>
      <w:r w:rsidR="00303CAD" w:rsidRPr="001005B7">
        <w:t>r (</w:t>
      </w:r>
      <w:r w:rsidR="00175D4B" w:rsidRPr="001005B7">
        <w:rPr>
          <w:rFonts w:cstheme="minorHAnsi"/>
          <w:rtl/>
          <w:lang w:bidi="he-IL"/>
        </w:rPr>
        <w:t>אַפִּי</w:t>
      </w:r>
      <w:r w:rsidR="004B2154" w:rsidRPr="001005B7">
        <w:t>;</w:t>
      </w:r>
      <w:r w:rsidR="00EE0AA7" w:rsidRPr="001005B7">
        <w:t xml:space="preserve"> </w:t>
      </w:r>
      <w:r w:rsidR="004B2154" w:rsidRPr="001005B7">
        <w:t xml:space="preserve">cf. </w:t>
      </w:r>
      <w:r w:rsidR="00EE0AA7" w:rsidRPr="001005B7">
        <w:t>5</w:t>
      </w:r>
      <w:r w:rsidR="000C7B2F" w:rsidRPr="001005B7">
        <w:t>:13)</w:t>
      </w:r>
      <w:r w:rsidR="00E81D1D" w:rsidRPr="001005B7">
        <w:t xml:space="preserve"> </w:t>
      </w:r>
      <w:r w:rsidR="00641395" w:rsidRPr="001005B7">
        <w:t>at</w:t>
      </w:r>
      <w:r w:rsidR="00E81D1D" w:rsidRPr="001005B7">
        <w:t xml:space="preserve"> people’s outrages</w:t>
      </w:r>
      <w:r w:rsidR="00011C97" w:rsidRPr="001005B7">
        <w:t xml:space="preserve"> </w:t>
      </w:r>
      <w:r w:rsidR="00A363D2" w:rsidRPr="001005B7">
        <w:t>(</w:t>
      </w:r>
      <w:r w:rsidR="001619AF" w:rsidRPr="001005B7">
        <w:rPr>
          <w:rFonts w:cstheme="minorHAnsi"/>
          <w:rtl/>
          <w:lang w:bidi="he-IL"/>
        </w:rPr>
        <w:t>ת</w:t>
      </w:r>
      <w:r w:rsidR="00E27D10" w:rsidRPr="001005B7">
        <w:rPr>
          <w:rFonts w:cstheme="minorHAnsi"/>
          <w:rtl/>
          <w:lang w:bidi="he-IL"/>
        </w:rPr>
        <w:t>ּוֹעֵב</w:t>
      </w:r>
      <w:r w:rsidR="00C01E9D" w:rsidRPr="001005B7">
        <w:rPr>
          <w:rFonts w:cstheme="minorHAnsi"/>
          <w:rtl/>
          <w:lang w:bidi="he-IL"/>
        </w:rPr>
        <w:t>וֹת</w:t>
      </w:r>
      <w:r w:rsidR="00C01E9D" w:rsidRPr="001005B7">
        <w:t>;</w:t>
      </w:r>
      <w:r w:rsidR="007B1D63" w:rsidRPr="001005B7">
        <w:t xml:space="preserve"> 5</w:t>
      </w:r>
      <w:r w:rsidR="00A363D2" w:rsidRPr="001005B7">
        <w:t>:9, 11; 6:9, 1</w:t>
      </w:r>
      <w:r w:rsidR="001E10CD" w:rsidRPr="001005B7">
        <w:t>1</w:t>
      </w:r>
      <w:r w:rsidR="00A363D2" w:rsidRPr="001005B7">
        <w:t>)</w:t>
      </w:r>
      <w:r w:rsidR="00E81D1D" w:rsidRPr="001005B7">
        <w:t xml:space="preserve"> </w:t>
      </w:r>
      <w:r w:rsidR="00641395" w:rsidRPr="001005B7">
        <w:t xml:space="preserve">in light of which </w:t>
      </w:r>
      <w:r w:rsidR="004B6FDC" w:rsidRPr="001005B7">
        <w:t>“</w:t>
      </w:r>
      <w:r w:rsidR="00542205" w:rsidRPr="001005B7">
        <w:t>my</w:t>
      </w:r>
      <w:r w:rsidR="00641395" w:rsidRPr="001005B7">
        <w:rPr>
          <w:i/>
          <w:iCs/>
        </w:rPr>
        <w:t xml:space="preserve"> </w:t>
      </w:r>
      <w:r w:rsidR="00641395" w:rsidRPr="001005B7">
        <w:t>eye</w:t>
      </w:r>
      <w:r w:rsidR="00641395" w:rsidRPr="001005B7">
        <w:rPr>
          <w:i/>
          <w:iCs/>
        </w:rPr>
        <w:t xml:space="preserve"> </w:t>
      </w:r>
      <w:r w:rsidR="00641395" w:rsidRPr="001005B7">
        <w:t>will</w:t>
      </w:r>
      <w:r w:rsidR="00641395" w:rsidRPr="001005B7">
        <w:rPr>
          <w:i/>
          <w:iCs/>
        </w:rPr>
        <w:t xml:space="preserve"> </w:t>
      </w:r>
      <w:r w:rsidR="00641395" w:rsidRPr="001005B7">
        <w:t>not</w:t>
      </w:r>
      <w:r w:rsidR="00641395" w:rsidRPr="001005B7">
        <w:rPr>
          <w:i/>
          <w:iCs/>
        </w:rPr>
        <w:t xml:space="preserve"> </w:t>
      </w:r>
      <w:r w:rsidR="006E19D0" w:rsidRPr="001005B7">
        <w:t>be</w:t>
      </w:r>
      <w:r w:rsidR="006E19D0" w:rsidRPr="001005B7">
        <w:rPr>
          <w:i/>
          <w:iCs/>
        </w:rPr>
        <w:t xml:space="preserve"> </w:t>
      </w:r>
      <w:r w:rsidR="00213305" w:rsidRPr="001005B7">
        <w:t>pitying over</w:t>
      </w:r>
      <w:r w:rsidR="006E19D0" w:rsidRPr="001005B7">
        <w:rPr>
          <w:i/>
          <w:iCs/>
        </w:rPr>
        <w:t xml:space="preserve"> </w:t>
      </w:r>
      <w:r w:rsidR="006E19D0" w:rsidRPr="001005B7">
        <w:t>you</w:t>
      </w:r>
      <w:r w:rsidR="00641395" w:rsidRPr="001005B7">
        <w:rPr>
          <w:i/>
          <w:iCs/>
        </w:rPr>
        <w:t xml:space="preserve"> </w:t>
      </w:r>
      <w:r w:rsidR="00641395" w:rsidRPr="001005B7">
        <w:t>and</w:t>
      </w:r>
      <w:r w:rsidR="004B6FDC" w:rsidRPr="001005B7">
        <w:t xml:space="preserve"> I</w:t>
      </w:r>
      <w:r w:rsidR="00641395" w:rsidRPr="001005B7">
        <w:rPr>
          <w:i/>
          <w:iCs/>
        </w:rPr>
        <w:t xml:space="preserve"> </w:t>
      </w:r>
      <w:r w:rsidR="00641395" w:rsidRPr="001005B7">
        <w:t>will</w:t>
      </w:r>
      <w:r w:rsidR="00641395" w:rsidRPr="001005B7">
        <w:rPr>
          <w:i/>
          <w:iCs/>
        </w:rPr>
        <w:t xml:space="preserve"> </w:t>
      </w:r>
      <w:r w:rsidR="00641395" w:rsidRPr="001005B7">
        <w:t>not</w:t>
      </w:r>
      <w:r w:rsidR="00641395" w:rsidRPr="001005B7">
        <w:rPr>
          <w:i/>
          <w:iCs/>
        </w:rPr>
        <w:t xml:space="preserve"> </w:t>
      </w:r>
      <w:r w:rsidR="00592B2D" w:rsidRPr="001005B7">
        <w:t>show concern</w:t>
      </w:r>
      <w:r w:rsidR="007B1D63" w:rsidRPr="001005B7">
        <w:t>”</w:t>
      </w:r>
      <w:r w:rsidR="00E81D1D" w:rsidRPr="001005B7">
        <w:t xml:space="preserve"> </w:t>
      </w:r>
      <w:r w:rsidR="00C901EE" w:rsidRPr="001005B7">
        <w:t>(</w:t>
      </w:r>
      <w:r w:rsidR="00646725" w:rsidRPr="001005B7">
        <w:t xml:space="preserve">cf. </w:t>
      </w:r>
      <w:r w:rsidR="00C901EE" w:rsidRPr="001005B7">
        <w:t>5:1</w:t>
      </w:r>
      <w:r w:rsidR="00646725" w:rsidRPr="001005B7">
        <w:t>1</w:t>
      </w:r>
      <w:r w:rsidR="00C901EE" w:rsidRPr="001005B7">
        <w:t>)</w:t>
      </w:r>
      <w:r w:rsidR="00843948" w:rsidRPr="001005B7">
        <w:t xml:space="preserve">. He also has </w:t>
      </w:r>
      <w:r w:rsidR="00DD7BFB" w:rsidRPr="001005B7">
        <w:t xml:space="preserve">newer ways of making the point. </w:t>
      </w:r>
      <w:r w:rsidR="009170CE" w:rsidRPr="001005B7">
        <w:t xml:space="preserve">He intends to </w:t>
      </w:r>
      <w:r w:rsidR="00DC2E6F" w:rsidRPr="001005B7">
        <w:t>“</w:t>
      </w:r>
      <w:r w:rsidR="009170CE" w:rsidRPr="001005B7">
        <w:t>rule</w:t>
      </w:r>
      <w:r w:rsidR="00DC2E6F" w:rsidRPr="001005B7">
        <w:t>,”</w:t>
      </w:r>
      <w:r w:rsidR="009170CE" w:rsidRPr="001005B7">
        <w:rPr>
          <w:i/>
          <w:iCs/>
        </w:rPr>
        <w:t xml:space="preserve"> </w:t>
      </w:r>
      <w:r w:rsidR="00DC2E6F" w:rsidRPr="001005B7">
        <w:t>to</w:t>
      </w:r>
      <w:r w:rsidR="005D3F58" w:rsidRPr="001005B7">
        <w:t xml:space="preserve"> exercise authority </w:t>
      </w:r>
      <w:r w:rsidR="00DC2E6F" w:rsidRPr="001005B7">
        <w:t xml:space="preserve">and </w:t>
      </w:r>
      <w:r w:rsidR="009605BD" w:rsidRPr="001005B7">
        <w:t>make decision</w:t>
      </w:r>
      <w:r w:rsidR="00DC2E6F" w:rsidRPr="001005B7">
        <w:t>s</w:t>
      </w:r>
      <w:r w:rsidR="009605BD" w:rsidRPr="001005B7">
        <w:t xml:space="preserve"> about Israel </w:t>
      </w:r>
      <w:r w:rsidR="009170CE" w:rsidRPr="001005B7">
        <w:t>(</w:t>
      </w:r>
      <w:r w:rsidR="001C5A1D" w:rsidRPr="001005B7">
        <w:rPr>
          <w:rFonts w:cstheme="minorHAnsi"/>
          <w:rtl/>
          <w:lang w:bidi="he-IL"/>
        </w:rPr>
        <w:t>שָׁפַט</w:t>
      </w:r>
      <w:r w:rsidR="002822EA" w:rsidRPr="001005B7">
        <w:rPr>
          <w:rFonts w:cstheme="minorHAnsi"/>
        </w:rPr>
        <w:t xml:space="preserve">, </w:t>
      </w:r>
      <w:r w:rsidR="00506A83" w:rsidRPr="001005B7">
        <w:rPr>
          <w:rFonts w:cstheme="minorHAnsi"/>
        </w:rPr>
        <w:t>traditiona</w:t>
      </w:r>
      <w:r w:rsidR="002822EA" w:rsidRPr="001005B7">
        <w:rPr>
          <w:rFonts w:cstheme="minorHAnsi"/>
        </w:rPr>
        <w:t>lly “judge”</w:t>
      </w:r>
      <w:r w:rsidR="005D3F58" w:rsidRPr="001005B7">
        <w:rPr>
          <w:rFonts w:cstheme="minorHAnsi"/>
        </w:rPr>
        <w:t>)</w:t>
      </w:r>
      <w:r w:rsidR="00506A83" w:rsidRPr="001005B7">
        <w:rPr>
          <w:rFonts w:cstheme="minorHAnsi"/>
        </w:rPr>
        <w:t xml:space="preserve"> in a way that takes account of the</w:t>
      </w:r>
      <w:r w:rsidR="00AE389D" w:rsidRPr="001005B7">
        <w:rPr>
          <w:rFonts w:cstheme="minorHAnsi"/>
        </w:rPr>
        <w:t xml:space="preserve"> “paths”</w:t>
      </w:r>
      <w:r w:rsidR="007B2737" w:rsidRPr="001005B7">
        <w:rPr>
          <w:rFonts w:cstheme="minorHAnsi"/>
        </w:rPr>
        <w:t xml:space="preserve"> </w:t>
      </w:r>
      <w:r w:rsidR="002B3C27" w:rsidRPr="001005B7">
        <w:rPr>
          <w:rFonts w:cstheme="minorHAnsi"/>
        </w:rPr>
        <w:t>(</w:t>
      </w:r>
      <w:r w:rsidR="00631C84" w:rsidRPr="001005B7">
        <w:rPr>
          <w:rFonts w:cstheme="minorHAnsi"/>
          <w:rtl/>
          <w:lang w:bidi="he-IL"/>
        </w:rPr>
        <w:t>ד</w:t>
      </w:r>
      <w:r w:rsidR="00CF0B88" w:rsidRPr="001005B7">
        <w:rPr>
          <w:rFonts w:cstheme="minorHAnsi"/>
          <w:rtl/>
          <w:lang w:bidi="he-IL"/>
        </w:rPr>
        <w:t>ּ</w:t>
      </w:r>
      <w:r w:rsidR="00631C84" w:rsidRPr="001005B7">
        <w:rPr>
          <w:rFonts w:cstheme="minorHAnsi"/>
          <w:rtl/>
          <w:lang w:bidi="he-IL"/>
        </w:rPr>
        <w:t>ֶ</w:t>
      </w:r>
      <w:r w:rsidR="005A3969" w:rsidRPr="001005B7">
        <w:rPr>
          <w:rFonts w:cstheme="minorHAnsi"/>
          <w:rtl/>
          <w:lang w:bidi="he-IL"/>
        </w:rPr>
        <w:t>רֶך</w:t>
      </w:r>
      <w:r w:rsidR="002B3C27" w:rsidRPr="001005B7">
        <w:rPr>
          <w:rFonts w:cstheme="minorHAnsi"/>
          <w:rtl/>
          <w:lang w:bidi="he-IL"/>
        </w:rPr>
        <w:t>ְ</w:t>
      </w:r>
      <w:r w:rsidR="007B2737" w:rsidRPr="001005B7">
        <w:rPr>
          <w:rFonts w:cstheme="minorHAnsi"/>
        </w:rPr>
        <w:t xml:space="preserve">) </w:t>
      </w:r>
      <w:r w:rsidR="00C23C62" w:rsidRPr="001005B7">
        <w:rPr>
          <w:rFonts w:cstheme="minorHAnsi"/>
        </w:rPr>
        <w:t xml:space="preserve">that </w:t>
      </w:r>
      <w:r w:rsidR="00615D02" w:rsidRPr="001005B7">
        <w:rPr>
          <w:rFonts w:cstheme="minorHAnsi"/>
        </w:rPr>
        <w:t>Israel</w:t>
      </w:r>
      <w:r w:rsidR="00C23C62" w:rsidRPr="001005B7">
        <w:rPr>
          <w:rFonts w:cstheme="minorHAnsi"/>
        </w:rPr>
        <w:t xml:space="preserve"> ha</w:t>
      </w:r>
      <w:r w:rsidR="0023465B" w:rsidRPr="001005B7">
        <w:rPr>
          <w:rFonts w:cstheme="minorHAnsi"/>
        </w:rPr>
        <w:t>s</w:t>
      </w:r>
      <w:r w:rsidR="00C23C62" w:rsidRPr="001005B7">
        <w:rPr>
          <w:rFonts w:cstheme="minorHAnsi"/>
        </w:rPr>
        <w:t xml:space="preserve"> been walking. </w:t>
      </w:r>
      <w:r w:rsidR="005637CD" w:rsidRPr="001005B7">
        <w:rPr>
          <w:rFonts w:cstheme="minorHAnsi"/>
        </w:rPr>
        <w:t>“I</w:t>
      </w:r>
      <w:r w:rsidR="00C23C62" w:rsidRPr="001005B7">
        <w:rPr>
          <w:rFonts w:cstheme="minorHAnsi"/>
        </w:rPr>
        <w:t xml:space="preserve"> will </w:t>
      </w:r>
      <w:r w:rsidR="006421BC" w:rsidRPr="001005B7">
        <w:rPr>
          <w:rFonts w:cstheme="minorHAnsi"/>
        </w:rPr>
        <w:t>lay</w:t>
      </w:r>
      <w:r w:rsidR="006421BC" w:rsidRPr="001005B7">
        <w:rPr>
          <w:rFonts w:cstheme="minorHAnsi"/>
          <w:i/>
          <w:iCs/>
        </w:rPr>
        <w:t xml:space="preserve"> </w:t>
      </w:r>
      <w:r w:rsidR="004D5A78" w:rsidRPr="001005B7">
        <w:rPr>
          <w:rFonts w:cstheme="minorHAnsi"/>
        </w:rPr>
        <w:t>your</w:t>
      </w:r>
      <w:r w:rsidR="004D5A78" w:rsidRPr="001005B7">
        <w:rPr>
          <w:rFonts w:cstheme="minorHAnsi"/>
          <w:i/>
          <w:iCs/>
        </w:rPr>
        <w:t xml:space="preserve"> </w:t>
      </w:r>
      <w:r w:rsidR="00E9450A">
        <w:rPr>
          <w:rFonts w:cstheme="minorHAnsi"/>
        </w:rPr>
        <w:t>outrages</w:t>
      </w:r>
      <w:r w:rsidR="003443A1" w:rsidRPr="001005B7">
        <w:rPr>
          <w:rFonts w:cstheme="minorHAnsi"/>
          <w:i/>
          <w:iCs/>
        </w:rPr>
        <w:t xml:space="preserve"> </w:t>
      </w:r>
      <w:r w:rsidR="00EA4C1C" w:rsidRPr="001005B7">
        <w:rPr>
          <w:rFonts w:cstheme="minorHAnsi"/>
        </w:rPr>
        <w:t>upon</w:t>
      </w:r>
      <w:r w:rsidR="00EA4C1C" w:rsidRPr="001005B7">
        <w:rPr>
          <w:rFonts w:cstheme="minorHAnsi"/>
          <w:i/>
          <w:iCs/>
        </w:rPr>
        <w:t xml:space="preserve"> </w:t>
      </w:r>
      <w:r w:rsidR="00EA4C1C" w:rsidRPr="001005B7">
        <w:rPr>
          <w:rFonts w:cstheme="minorHAnsi"/>
        </w:rPr>
        <w:t>you</w:t>
      </w:r>
      <w:r w:rsidR="005637CD" w:rsidRPr="001005B7">
        <w:rPr>
          <w:rFonts w:cstheme="minorHAnsi"/>
        </w:rPr>
        <w:t>”</w:t>
      </w:r>
      <w:r w:rsidR="008F1BA7" w:rsidRPr="001005B7">
        <w:rPr>
          <w:rFonts w:cstheme="minorHAnsi"/>
        </w:rPr>
        <w:t xml:space="preserve"> suggests making </w:t>
      </w:r>
      <w:r w:rsidR="002E0DF4" w:rsidRPr="001005B7">
        <w:rPr>
          <w:rFonts w:cstheme="minorHAnsi"/>
        </w:rPr>
        <w:t>Israel</w:t>
      </w:r>
      <w:r w:rsidR="008F1BA7" w:rsidRPr="001005B7">
        <w:rPr>
          <w:rFonts w:cstheme="minorHAnsi"/>
        </w:rPr>
        <w:t xml:space="preserve"> carry them, bear the </w:t>
      </w:r>
      <w:r w:rsidR="00316ECE" w:rsidRPr="001005B7">
        <w:rPr>
          <w:rFonts w:cstheme="minorHAnsi"/>
        </w:rPr>
        <w:t xml:space="preserve">practical </w:t>
      </w:r>
      <w:r w:rsidR="008F1BA7" w:rsidRPr="001005B7">
        <w:rPr>
          <w:rFonts w:cstheme="minorHAnsi"/>
        </w:rPr>
        <w:t>bur</w:t>
      </w:r>
      <w:r w:rsidR="00E60158" w:rsidRPr="001005B7">
        <w:rPr>
          <w:rFonts w:cstheme="minorHAnsi"/>
        </w:rPr>
        <w:t>d</w:t>
      </w:r>
      <w:r w:rsidR="008F1BA7" w:rsidRPr="001005B7">
        <w:rPr>
          <w:rFonts w:cstheme="minorHAnsi"/>
        </w:rPr>
        <w:t>en of them, pay the price for them.</w:t>
      </w:r>
      <w:r w:rsidR="00A443C0" w:rsidRPr="001005B7">
        <w:rPr>
          <w:rFonts w:cstheme="minorHAnsi"/>
        </w:rPr>
        <w:t xml:space="preserve"> Thus he will </w:t>
      </w:r>
      <w:r w:rsidR="006F1C86" w:rsidRPr="001005B7">
        <w:rPr>
          <w:rFonts w:cstheme="minorHAnsi"/>
        </w:rPr>
        <w:t>“</w:t>
      </w:r>
      <w:r w:rsidR="00A57898" w:rsidRPr="001005B7">
        <w:rPr>
          <w:rFonts w:cstheme="minorHAnsi"/>
        </w:rPr>
        <w:t>lay</w:t>
      </w:r>
      <w:r w:rsidR="00A57898" w:rsidRPr="001005B7">
        <w:rPr>
          <w:rFonts w:cstheme="minorHAnsi"/>
          <w:i/>
          <w:iCs/>
        </w:rPr>
        <w:t xml:space="preserve"> </w:t>
      </w:r>
      <w:r w:rsidR="00A443C0" w:rsidRPr="001005B7">
        <w:rPr>
          <w:rFonts w:cstheme="minorHAnsi"/>
        </w:rPr>
        <w:t>your</w:t>
      </w:r>
      <w:r w:rsidR="00A443C0" w:rsidRPr="001005B7">
        <w:rPr>
          <w:rFonts w:cstheme="minorHAnsi"/>
          <w:i/>
          <w:iCs/>
        </w:rPr>
        <w:t xml:space="preserve"> </w:t>
      </w:r>
      <w:r w:rsidR="00D74320" w:rsidRPr="001005B7">
        <w:rPr>
          <w:rFonts w:cstheme="minorHAnsi"/>
        </w:rPr>
        <w:t>paths</w:t>
      </w:r>
      <w:r w:rsidR="00A443C0" w:rsidRPr="001005B7">
        <w:rPr>
          <w:rFonts w:cstheme="minorHAnsi"/>
          <w:i/>
          <w:iCs/>
        </w:rPr>
        <w:t xml:space="preserve"> </w:t>
      </w:r>
      <w:r w:rsidR="00B83019" w:rsidRPr="00B83019">
        <w:rPr>
          <w:rFonts w:cstheme="minorHAnsi"/>
        </w:rPr>
        <w:t>up</w:t>
      </w:r>
      <w:r w:rsidR="00A443C0" w:rsidRPr="00B83019">
        <w:rPr>
          <w:rFonts w:cstheme="minorHAnsi"/>
        </w:rPr>
        <w:t>on</w:t>
      </w:r>
      <w:r w:rsidR="00A443C0" w:rsidRPr="001005B7">
        <w:rPr>
          <w:rFonts w:cstheme="minorHAnsi"/>
          <w:i/>
          <w:iCs/>
        </w:rPr>
        <w:t xml:space="preserve"> </w:t>
      </w:r>
      <w:r w:rsidR="00A443C0" w:rsidRPr="001005B7">
        <w:rPr>
          <w:rFonts w:cstheme="minorHAnsi"/>
        </w:rPr>
        <w:t>you</w:t>
      </w:r>
      <w:r w:rsidR="00517A05" w:rsidRPr="001005B7">
        <w:rPr>
          <w:rFonts w:cstheme="minorHAnsi"/>
        </w:rPr>
        <w:t>,</w:t>
      </w:r>
      <w:r w:rsidR="006F1C86" w:rsidRPr="001005B7">
        <w:rPr>
          <w:rFonts w:cstheme="minorHAnsi"/>
        </w:rPr>
        <w:t>”</w:t>
      </w:r>
      <w:r w:rsidR="00517A05" w:rsidRPr="001005B7">
        <w:rPr>
          <w:rFonts w:cstheme="minorHAnsi"/>
        </w:rPr>
        <w:t xml:space="preserve"> make </w:t>
      </w:r>
      <w:r w:rsidR="006F1C86" w:rsidRPr="001005B7">
        <w:rPr>
          <w:rFonts w:cstheme="minorHAnsi"/>
        </w:rPr>
        <w:t>you</w:t>
      </w:r>
      <w:r w:rsidR="00517A05" w:rsidRPr="001005B7">
        <w:rPr>
          <w:rFonts w:cstheme="minorHAnsi"/>
        </w:rPr>
        <w:t xml:space="preserve"> bear the </w:t>
      </w:r>
      <w:r w:rsidR="00F740EE" w:rsidRPr="001005B7">
        <w:rPr>
          <w:rFonts w:cstheme="minorHAnsi"/>
        </w:rPr>
        <w:t xml:space="preserve">practical </w:t>
      </w:r>
      <w:r w:rsidR="00517A05" w:rsidRPr="001005B7">
        <w:rPr>
          <w:rFonts w:cstheme="minorHAnsi"/>
        </w:rPr>
        <w:t>burden of the</w:t>
      </w:r>
      <w:r w:rsidR="00E2421E">
        <w:rPr>
          <w:rFonts w:cstheme="minorHAnsi"/>
        </w:rPr>
        <w:t>m</w:t>
      </w:r>
      <w:r w:rsidR="00F37BD9">
        <w:rPr>
          <w:rFonts w:cstheme="minorHAnsi"/>
        </w:rPr>
        <w:t xml:space="preserve"> and of “your</w:t>
      </w:r>
      <w:r w:rsidR="00517A05" w:rsidRPr="001005B7">
        <w:rPr>
          <w:rFonts w:cstheme="minorHAnsi"/>
        </w:rPr>
        <w:t xml:space="preserve"> outrages</w:t>
      </w:r>
      <w:r w:rsidR="00517A05" w:rsidRPr="001005B7">
        <w:rPr>
          <w:rFonts w:cstheme="minorHAnsi"/>
          <w:i/>
          <w:iCs/>
        </w:rPr>
        <w:t xml:space="preserve"> </w:t>
      </w:r>
      <w:r w:rsidR="00FD2150" w:rsidRPr="001005B7">
        <w:rPr>
          <w:rFonts w:cstheme="minorHAnsi"/>
        </w:rPr>
        <w:t>that</w:t>
      </w:r>
      <w:r w:rsidR="00FD2150" w:rsidRPr="001005B7">
        <w:rPr>
          <w:rFonts w:cstheme="minorHAnsi"/>
          <w:i/>
          <w:iCs/>
        </w:rPr>
        <w:t xml:space="preserve"> </w:t>
      </w:r>
      <w:r w:rsidR="00F37BD9">
        <w:rPr>
          <w:rFonts w:cstheme="minorHAnsi"/>
        </w:rPr>
        <w:t>happen</w:t>
      </w:r>
      <w:r w:rsidR="00FD2150" w:rsidRPr="001005B7">
        <w:rPr>
          <w:rFonts w:cstheme="minorHAnsi"/>
          <w:i/>
          <w:iCs/>
        </w:rPr>
        <w:t xml:space="preserve"> </w:t>
      </w:r>
      <w:r w:rsidR="00FD2150" w:rsidRPr="001005B7">
        <w:rPr>
          <w:rFonts w:cstheme="minorHAnsi"/>
        </w:rPr>
        <w:t>within</w:t>
      </w:r>
      <w:r w:rsidR="00FD2150" w:rsidRPr="001005B7">
        <w:rPr>
          <w:rFonts w:cstheme="minorHAnsi"/>
          <w:i/>
          <w:iCs/>
        </w:rPr>
        <w:t xml:space="preserve"> </w:t>
      </w:r>
      <w:r w:rsidR="00FD2150" w:rsidRPr="001005B7">
        <w:rPr>
          <w:rFonts w:cstheme="minorHAnsi"/>
        </w:rPr>
        <w:t>you,</w:t>
      </w:r>
      <w:r w:rsidR="006F1C86" w:rsidRPr="001005B7">
        <w:rPr>
          <w:rFonts w:cstheme="minorHAnsi"/>
        </w:rPr>
        <w:t>”</w:t>
      </w:r>
      <w:r w:rsidR="00FD2150" w:rsidRPr="001005B7">
        <w:rPr>
          <w:rFonts w:cstheme="minorHAnsi"/>
        </w:rPr>
        <w:t xml:space="preserve"> the o</w:t>
      </w:r>
      <w:r w:rsidR="006F426A">
        <w:rPr>
          <w:rFonts w:cstheme="minorHAnsi"/>
        </w:rPr>
        <w:t>nes</w:t>
      </w:r>
      <w:r w:rsidR="00FD2150" w:rsidRPr="001005B7">
        <w:rPr>
          <w:rFonts w:cstheme="minorHAnsi"/>
        </w:rPr>
        <w:t xml:space="preserve"> that characterize </w:t>
      </w:r>
      <w:r w:rsidR="006F426A">
        <w:rPr>
          <w:rFonts w:cstheme="minorHAnsi"/>
        </w:rPr>
        <w:t xml:space="preserve">Israel’s </w:t>
      </w:r>
      <w:r w:rsidR="00FD2150" w:rsidRPr="001005B7">
        <w:rPr>
          <w:rFonts w:cstheme="minorHAnsi"/>
        </w:rPr>
        <w:t>life</w:t>
      </w:r>
      <w:r w:rsidR="003443A1" w:rsidRPr="001005B7">
        <w:rPr>
          <w:rFonts w:cstheme="minorHAnsi"/>
        </w:rPr>
        <w:t>.</w:t>
      </w:r>
      <w:r w:rsidR="00011C97" w:rsidRPr="001005B7">
        <w:rPr>
          <w:rFonts w:cstheme="minorHAnsi"/>
          <w:i/>
          <w:iCs/>
        </w:rPr>
        <w:t xml:space="preserve"> </w:t>
      </w:r>
      <w:r w:rsidR="00776DA9" w:rsidRPr="001005B7">
        <w:rPr>
          <w:rFonts w:cstheme="minorHAnsi"/>
        </w:rPr>
        <w:t xml:space="preserve">Paradoxically, </w:t>
      </w:r>
      <w:r w:rsidR="008C1A4E" w:rsidRPr="001005B7">
        <w:rPr>
          <w:rFonts w:cstheme="minorHAnsi"/>
        </w:rPr>
        <w:t>all th</w:t>
      </w:r>
      <w:r w:rsidR="00BC1003" w:rsidRPr="001005B7">
        <w:rPr>
          <w:rFonts w:cstheme="minorHAnsi"/>
        </w:rPr>
        <w:t>is</w:t>
      </w:r>
      <w:r w:rsidR="008C1A4E" w:rsidRPr="001005B7">
        <w:rPr>
          <w:rFonts w:cstheme="minorHAnsi"/>
        </w:rPr>
        <w:t xml:space="preserve"> will mean that</w:t>
      </w:r>
      <w:r w:rsidR="001B77D1" w:rsidRPr="001005B7">
        <w:rPr>
          <w:rFonts w:cstheme="minorHAnsi"/>
        </w:rPr>
        <w:t xml:space="preserve"> people acknowledge Yahweh.</w:t>
      </w:r>
      <w:r w:rsidR="00775A8A" w:rsidRPr="001005B7">
        <w:rPr>
          <w:rFonts w:cstheme="minorHAnsi"/>
        </w:rPr>
        <w:t xml:space="preserve"> </w:t>
      </w:r>
      <w:r w:rsidR="00A22693" w:rsidRPr="001005B7">
        <w:rPr>
          <w:rFonts w:cstheme="minorHAnsi"/>
        </w:rPr>
        <w:t xml:space="preserve">“The greatest consolation for those being punished </w:t>
      </w:r>
      <w:r w:rsidR="004543D0" w:rsidRPr="001005B7">
        <w:rPr>
          <w:rFonts w:cstheme="minorHAnsi"/>
        </w:rPr>
        <w:t>is the knowledge of the God who punishes”</w:t>
      </w:r>
      <w:r w:rsidR="00BC1003" w:rsidRPr="001005B7">
        <w:rPr>
          <w:rFonts w:cstheme="minorHAnsi"/>
        </w:rPr>
        <w:t xml:space="preserve"> (</w:t>
      </w:r>
      <w:proofErr w:type="spellStart"/>
      <w:r w:rsidR="00BC1003" w:rsidRPr="001005B7">
        <w:t>Theodoret</w:t>
      </w:r>
      <w:proofErr w:type="spellEnd"/>
      <w:r w:rsidR="00BC1003" w:rsidRPr="001005B7">
        <w:t>, 66</w:t>
      </w:r>
      <w:r w:rsidRPr="001005B7">
        <w:t>)</w:t>
      </w:r>
      <w:r w:rsidR="00BC1003" w:rsidRPr="001005B7">
        <w:t>.</w:t>
      </w:r>
      <w:r w:rsidR="00110E75" w:rsidRPr="001005B7">
        <w:rPr>
          <w:rFonts w:cstheme="minorHAnsi"/>
        </w:rPr>
        <w:t xml:space="preserve"> But Ezekiel’s more immediate point here is that the </w:t>
      </w:r>
      <w:proofErr w:type="spellStart"/>
      <w:r w:rsidR="00110E75" w:rsidRPr="001005B7">
        <w:rPr>
          <w:rFonts w:cstheme="minorHAnsi"/>
        </w:rPr>
        <w:t>Kebar</w:t>
      </w:r>
      <w:proofErr w:type="spellEnd"/>
      <w:r w:rsidR="00110E75" w:rsidRPr="001005B7">
        <w:rPr>
          <w:rFonts w:cstheme="minorHAnsi"/>
        </w:rPr>
        <w:t xml:space="preserve"> community will come to ackno</w:t>
      </w:r>
      <w:r w:rsidR="0069697E" w:rsidRPr="001005B7">
        <w:rPr>
          <w:rFonts w:cstheme="minorHAnsi"/>
        </w:rPr>
        <w:t>wledge Yahweh</w:t>
      </w:r>
      <w:r w:rsidR="006052CB" w:rsidRPr="001005B7">
        <w:rPr>
          <w:rFonts w:cstheme="minorHAnsi"/>
        </w:rPr>
        <w:t>,</w:t>
      </w:r>
      <w:r w:rsidR="0069697E" w:rsidRPr="001005B7">
        <w:rPr>
          <w:rFonts w:cstheme="minorHAnsi"/>
        </w:rPr>
        <w:t xml:space="preserve"> as a result of the action he takes against Israel.</w:t>
      </w:r>
    </w:p>
    <w:p w14:paraId="638B6081" w14:textId="321F23E7" w:rsidR="0018213F" w:rsidRPr="001005B7" w:rsidRDefault="00BC4447" w:rsidP="00E4764A">
      <w:r w:rsidRPr="001005B7">
        <w:rPr>
          <w:b/>
          <w:bCs/>
        </w:rPr>
        <w:t>7:</w:t>
      </w:r>
      <w:r w:rsidR="00874D71" w:rsidRPr="001005B7">
        <w:rPr>
          <w:b/>
          <w:bCs/>
        </w:rPr>
        <w:t>5</w:t>
      </w:r>
      <w:r w:rsidR="00F46900" w:rsidRPr="001005B7">
        <w:rPr>
          <w:b/>
          <w:bCs/>
        </w:rPr>
        <w:t>–</w:t>
      </w:r>
      <w:r w:rsidR="0080140F" w:rsidRPr="001005B7">
        <w:rPr>
          <w:b/>
          <w:bCs/>
        </w:rPr>
        <w:t>6</w:t>
      </w:r>
      <w:r w:rsidR="00874D71" w:rsidRPr="001005B7">
        <w:rPr>
          <w:b/>
          <w:bCs/>
        </w:rPr>
        <w:t xml:space="preserve"> </w:t>
      </w:r>
      <w:r w:rsidR="0011277A" w:rsidRPr="001005B7">
        <w:t>Ezekiel adds a</w:t>
      </w:r>
      <w:r w:rsidR="00D94986" w:rsidRPr="001005B7">
        <w:t>nother version</w:t>
      </w:r>
      <w:r w:rsidR="0011277A" w:rsidRPr="001005B7">
        <w:t xml:space="preserve"> o</w:t>
      </w:r>
      <w:r w:rsidR="00BA747E" w:rsidRPr="001005B7">
        <w:t>f</w:t>
      </w:r>
      <w:r w:rsidR="0011277A" w:rsidRPr="001005B7">
        <w:t xml:space="preserve"> the same message</w:t>
      </w:r>
      <w:r w:rsidR="00BA747E" w:rsidRPr="001005B7">
        <w:t xml:space="preserve"> with a new introduction</w:t>
      </w:r>
      <w:r w:rsidR="000F67E3" w:rsidRPr="001005B7">
        <w:t xml:space="preserve">. </w:t>
      </w:r>
      <w:r w:rsidR="0080694C" w:rsidRPr="001005B7">
        <w:t>Perhaps it was</w:t>
      </w:r>
      <w:r w:rsidR="00DC765E" w:rsidRPr="001005B7">
        <w:t xml:space="preserve"> </w:t>
      </w:r>
      <w:r w:rsidR="0011277A" w:rsidRPr="001005B7">
        <w:t xml:space="preserve">originally delivered on another occasion. </w:t>
      </w:r>
      <w:r w:rsidR="00716248" w:rsidRPr="001005B7">
        <w:t>It</w:t>
      </w:r>
      <w:r w:rsidR="0011277A" w:rsidRPr="001005B7">
        <w:t xml:space="preserve"> </w:t>
      </w:r>
      <w:r w:rsidR="000F67E3" w:rsidRPr="001005B7">
        <w:t>incorporat</w:t>
      </w:r>
      <w:r w:rsidR="00453B58" w:rsidRPr="001005B7">
        <w:t>es</w:t>
      </w:r>
      <w:r w:rsidR="000F67E3" w:rsidRPr="001005B7">
        <w:t xml:space="preserve"> many repetitions when compared with 7:2</w:t>
      </w:r>
      <w:r w:rsidR="00F46900" w:rsidRPr="001005B7">
        <w:t>–</w:t>
      </w:r>
      <w:r w:rsidR="000F67E3" w:rsidRPr="001005B7">
        <w:t>4</w:t>
      </w:r>
      <w:r w:rsidR="00453B58" w:rsidRPr="001005B7">
        <w:t xml:space="preserve"> but </w:t>
      </w:r>
      <w:r w:rsidR="001E1A25">
        <w:t xml:space="preserve">it </w:t>
      </w:r>
      <w:r w:rsidR="00453B58" w:rsidRPr="001005B7">
        <w:t>also</w:t>
      </w:r>
      <w:r w:rsidR="000F67E3" w:rsidRPr="001005B7">
        <w:t xml:space="preserve"> </w:t>
      </w:r>
      <w:r w:rsidR="0011277A" w:rsidRPr="001005B7">
        <w:t>provides readers with other ways of thinking about th</w:t>
      </w:r>
      <w:r w:rsidR="00453B58" w:rsidRPr="001005B7">
        <w:t>e</w:t>
      </w:r>
      <w:r w:rsidR="0011277A" w:rsidRPr="001005B7">
        <w:t xml:space="preserve"> </w:t>
      </w:r>
      <w:r w:rsidR="00A279B0" w:rsidRPr="001005B7">
        <w:t>“</w:t>
      </w:r>
      <w:r w:rsidR="0011277A" w:rsidRPr="001005B7">
        <w:t>end</w:t>
      </w:r>
      <w:r w:rsidR="00AD70B4" w:rsidRPr="001005B7">
        <w:t>,</w:t>
      </w:r>
      <w:r w:rsidR="00A279B0" w:rsidRPr="001005B7">
        <w:t>”</w:t>
      </w:r>
      <w:r w:rsidR="0011277A" w:rsidRPr="001005B7">
        <w:t xml:space="preserve"> </w:t>
      </w:r>
      <w:r w:rsidR="00AD70B4" w:rsidRPr="001005B7">
        <w:t>which</w:t>
      </w:r>
      <w:r w:rsidR="001C60E4" w:rsidRPr="001005B7">
        <w:t xml:space="preserve"> is </w:t>
      </w:r>
      <w:r w:rsidR="00A279B0" w:rsidRPr="001005B7">
        <w:t>“</w:t>
      </w:r>
      <w:r w:rsidR="001C60E4" w:rsidRPr="001005B7">
        <w:t>one</w:t>
      </w:r>
      <w:r w:rsidR="001C60E4" w:rsidRPr="001005B7">
        <w:rPr>
          <w:i/>
          <w:iCs/>
        </w:rPr>
        <w:t xml:space="preserve"> </w:t>
      </w:r>
      <w:r w:rsidR="001C60E4" w:rsidRPr="001005B7">
        <w:t>dire</w:t>
      </w:r>
      <w:r w:rsidR="001C60E4" w:rsidRPr="001005B7">
        <w:rPr>
          <w:i/>
          <w:iCs/>
        </w:rPr>
        <w:t xml:space="preserve"> </w:t>
      </w:r>
      <w:r w:rsidR="001C60E4" w:rsidRPr="001005B7">
        <w:t>event</w:t>
      </w:r>
      <w:r w:rsidR="00AD70B4" w:rsidRPr="001005B7">
        <w:t>.</w:t>
      </w:r>
      <w:r w:rsidR="00A279B0" w:rsidRPr="001005B7">
        <w:t>”</w:t>
      </w:r>
      <w:r w:rsidR="00811675" w:rsidRPr="001005B7">
        <w:t xml:space="preserve"> </w:t>
      </w:r>
      <w:r w:rsidR="0003647C" w:rsidRPr="001005B7">
        <w:t>Yahweh th</w:t>
      </w:r>
      <w:r w:rsidR="000B4271" w:rsidRPr="001005B7">
        <w:t>us</w:t>
      </w:r>
      <w:r w:rsidR="0003647C" w:rsidRPr="001005B7">
        <w:t xml:space="preserve"> picks up a word used to describe individual dire </w:t>
      </w:r>
      <w:r w:rsidR="00E93277" w:rsidRPr="001005B7">
        <w:t>things (5:</w:t>
      </w:r>
      <w:r w:rsidR="00064C34" w:rsidRPr="001005B7">
        <w:t>1</w:t>
      </w:r>
      <w:r w:rsidR="005656ED" w:rsidRPr="001005B7">
        <w:t>6, 17)</w:t>
      </w:r>
      <w:r w:rsidR="00852460">
        <w:t>. I</w:t>
      </w:r>
      <w:r w:rsidR="000B4271" w:rsidRPr="001005B7">
        <w:t xml:space="preserve">t </w:t>
      </w:r>
      <w:r w:rsidR="00852460">
        <w:t xml:space="preserve">thus </w:t>
      </w:r>
      <w:r w:rsidR="000B4271" w:rsidRPr="001005B7">
        <w:t>becomes a bigger word</w:t>
      </w:r>
      <w:r w:rsidR="009E387A" w:rsidRPr="001005B7">
        <w:t xml:space="preserve"> to </w:t>
      </w:r>
      <w:r w:rsidR="00482D5D">
        <w:t>characterize</w:t>
      </w:r>
      <w:r w:rsidR="009E387A" w:rsidRPr="001005B7">
        <w:t xml:space="preserve"> the end</w:t>
      </w:r>
      <w:r w:rsidR="00716248" w:rsidRPr="001005B7">
        <w:t xml:space="preserve"> as a total, special </w:t>
      </w:r>
      <w:r w:rsidR="00983544" w:rsidRPr="001005B7">
        <w:t>calamity</w:t>
      </w:r>
      <w:r w:rsidR="003202F0" w:rsidRPr="001005B7">
        <w:t xml:space="preserve"> (Rashi</w:t>
      </w:r>
      <w:r w:rsidR="006B0E25" w:rsidRPr="001005B7">
        <w:t>,</w:t>
      </w:r>
      <w:r w:rsidR="003202F0" w:rsidRPr="001005B7">
        <w:t xml:space="preserve"> in MG)</w:t>
      </w:r>
      <w:r w:rsidR="00716248" w:rsidRPr="001005B7">
        <w:t>,</w:t>
      </w:r>
      <w:r w:rsidR="0010298C" w:rsidRPr="001005B7">
        <w:t xml:space="preserve"> </w:t>
      </w:r>
      <w:r w:rsidR="000B4271" w:rsidRPr="001005B7">
        <w:t xml:space="preserve">though it </w:t>
      </w:r>
      <w:r w:rsidR="009E387A" w:rsidRPr="001005B7">
        <w:t>also thereby surrepti</w:t>
      </w:r>
      <w:r w:rsidR="00BD15C8" w:rsidRPr="001005B7">
        <w:t>t</w:t>
      </w:r>
      <w:r w:rsidR="009E387A" w:rsidRPr="001005B7">
        <w:t>iously</w:t>
      </w:r>
      <w:r w:rsidR="00BD15C8" w:rsidRPr="001005B7">
        <w:t xml:space="preserve"> </w:t>
      </w:r>
      <w:r w:rsidR="00E62E89" w:rsidRPr="001005B7">
        <w:t>scales down the significance of the</w:t>
      </w:r>
      <w:r w:rsidR="00E62E89" w:rsidRPr="001005B7">
        <w:rPr>
          <w:i/>
          <w:iCs/>
        </w:rPr>
        <w:t xml:space="preserve"> </w:t>
      </w:r>
      <w:r w:rsidR="00E62E89" w:rsidRPr="001005B7">
        <w:t>end (NJPS does the same by translating</w:t>
      </w:r>
      <w:r w:rsidR="000D2147" w:rsidRPr="001005B7">
        <w:t xml:space="preserve"> </w:t>
      </w:r>
      <w:r w:rsidR="000D2147" w:rsidRPr="001005B7">
        <w:rPr>
          <w:rFonts w:cstheme="minorHAnsi"/>
          <w:rtl/>
          <w:lang w:bidi="he-IL"/>
        </w:rPr>
        <w:t>קֵ</w:t>
      </w:r>
      <w:r w:rsidR="00712CDB" w:rsidRPr="001005B7">
        <w:rPr>
          <w:rFonts w:cstheme="minorHAnsi"/>
          <w:rtl/>
          <w:lang w:bidi="he-IL"/>
        </w:rPr>
        <w:t>ץ</w:t>
      </w:r>
      <w:r w:rsidR="00074870" w:rsidRPr="001005B7">
        <w:t xml:space="preserve"> </w:t>
      </w:r>
      <w:r w:rsidR="00E62E89" w:rsidRPr="001005B7">
        <w:t>“doom”).</w:t>
      </w:r>
      <w:r w:rsidR="003252D5" w:rsidRPr="001005B7">
        <w:t xml:space="preserve"> </w:t>
      </w:r>
      <w:r w:rsidR="007E1576" w:rsidRPr="001005B7">
        <w:t>Th</w:t>
      </w:r>
      <w:r w:rsidR="00C6399E">
        <w:t>at</w:t>
      </w:r>
      <w:r w:rsidR="007E1576" w:rsidRPr="001005B7">
        <w:t xml:space="preserve"> end </w:t>
      </w:r>
      <w:r w:rsidR="0031537D" w:rsidRPr="001005B7">
        <w:t>“</w:t>
      </w:r>
      <w:r w:rsidR="00962FFE" w:rsidRPr="001005B7">
        <w:t>is</w:t>
      </w:r>
      <w:r w:rsidR="00962FFE" w:rsidRPr="001005B7">
        <w:rPr>
          <w:i/>
          <w:iCs/>
        </w:rPr>
        <w:t xml:space="preserve"> </w:t>
      </w:r>
      <w:r w:rsidR="00962FFE" w:rsidRPr="001005B7">
        <w:t>waking</w:t>
      </w:r>
      <w:r w:rsidR="00962FFE" w:rsidRPr="001005B7">
        <w:rPr>
          <w:i/>
          <w:iCs/>
        </w:rPr>
        <w:t xml:space="preserve"> </w:t>
      </w:r>
      <w:r w:rsidR="00962FFE" w:rsidRPr="001005B7">
        <w:t>up</w:t>
      </w:r>
      <w:r w:rsidR="00962FFE" w:rsidRPr="001005B7">
        <w:rPr>
          <w:i/>
          <w:iCs/>
        </w:rPr>
        <w:t xml:space="preserve"> </w:t>
      </w:r>
      <w:r w:rsidR="00962FFE" w:rsidRPr="001005B7">
        <w:t>for</w:t>
      </w:r>
      <w:r w:rsidR="00962FFE" w:rsidRPr="001005B7">
        <w:rPr>
          <w:i/>
          <w:iCs/>
        </w:rPr>
        <w:t xml:space="preserve"> </w:t>
      </w:r>
      <w:r w:rsidR="00962FFE" w:rsidRPr="001005B7">
        <w:t>you</w:t>
      </w:r>
      <w:r w:rsidR="0031537D" w:rsidRPr="001005B7">
        <w:t>”</w:t>
      </w:r>
      <w:r w:rsidR="00B91CFD" w:rsidRPr="001005B7">
        <w:rPr>
          <w:i/>
          <w:iCs/>
        </w:rPr>
        <w:t xml:space="preserve"> </w:t>
      </w:r>
      <w:r w:rsidR="00F83CC6" w:rsidRPr="001005B7">
        <w:t>(</w:t>
      </w:r>
      <w:r w:rsidR="00712CDB" w:rsidRPr="001005B7">
        <w:rPr>
          <w:rFonts w:cstheme="minorHAnsi"/>
          <w:rtl/>
          <w:lang w:bidi="he-IL"/>
        </w:rPr>
        <w:t>הֵ</w:t>
      </w:r>
      <w:r w:rsidR="00896D28" w:rsidRPr="001005B7">
        <w:rPr>
          <w:rFonts w:cstheme="minorHAnsi"/>
          <w:rtl/>
          <w:lang w:bidi="he-IL"/>
        </w:rPr>
        <w:t>קִיץ</w:t>
      </w:r>
      <w:r w:rsidR="000201A1" w:rsidRPr="001005B7">
        <w:t>)</w:t>
      </w:r>
      <w:r w:rsidR="000201A1" w:rsidRPr="001005B7">
        <w:rPr>
          <w:i/>
          <w:iCs/>
        </w:rPr>
        <w:t xml:space="preserve">. </w:t>
      </w:r>
      <w:r w:rsidR="000201A1" w:rsidRPr="001005B7">
        <w:t>T</w:t>
      </w:r>
      <w:r w:rsidR="00776F91" w:rsidRPr="001005B7">
        <w:t>h</w:t>
      </w:r>
      <w:r w:rsidR="000201A1" w:rsidRPr="001005B7">
        <w:t>is</w:t>
      </w:r>
      <w:r w:rsidR="00962FFE" w:rsidRPr="001005B7">
        <w:t xml:space="preserve"> verb</w:t>
      </w:r>
      <w:r w:rsidR="0065444E" w:rsidRPr="001005B7">
        <w:t xml:space="preserve"> </w:t>
      </w:r>
      <w:r w:rsidR="00F122EB" w:rsidRPr="001005B7">
        <w:t xml:space="preserve">neatly looks as if it is </w:t>
      </w:r>
      <w:r w:rsidR="005A749D" w:rsidRPr="001005B7">
        <w:t xml:space="preserve">specially </w:t>
      </w:r>
      <w:r w:rsidR="00F122EB" w:rsidRPr="001005B7">
        <w:t>related to</w:t>
      </w:r>
      <w:r w:rsidR="000201A1" w:rsidRPr="001005B7">
        <w:t xml:space="preserve"> the </w:t>
      </w:r>
      <w:r w:rsidR="005A749D" w:rsidRPr="001005B7">
        <w:t>“</w:t>
      </w:r>
      <w:r w:rsidR="000201A1" w:rsidRPr="001005B7">
        <w:t>end</w:t>
      </w:r>
      <w:r w:rsidR="005A749D" w:rsidRPr="001005B7">
        <w:t>”</w:t>
      </w:r>
      <w:r w:rsidR="00896D28" w:rsidRPr="001005B7">
        <w:t xml:space="preserve"> </w:t>
      </w:r>
      <w:r w:rsidR="005A749D" w:rsidRPr="001005B7">
        <w:t>(</w:t>
      </w:r>
      <w:r w:rsidR="00896D28" w:rsidRPr="001005B7">
        <w:rPr>
          <w:rFonts w:cstheme="minorHAnsi"/>
          <w:rtl/>
          <w:lang w:bidi="he-IL"/>
        </w:rPr>
        <w:t>קֵץ</w:t>
      </w:r>
      <w:r w:rsidR="005A749D" w:rsidRPr="001005B7">
        <w:rPr>
          <w:rFonts w:cstheme="minorHAnsi"/>
        </w:rPr>
        <w:t>)</w:t>
      </w:r>
      <w:r w:rsidR="00E94526" w:rsidRPr="001005B7">
        <w:t xml:space="preserve">. </w:t>
      </w:r>
      <w:r w:rsidR="00BB2461">
        <w:t>It</w:t>
      </w:r>
      <w:r w:rsidR="00E77FF0" w:rsidRPr="001005B7">
        <w:t xml:space="preserve"> convey</w:t>
      </w:r>
      <w:r w:rsidR="004838CE" w:rsidRPr="001005B7">
        <w:t>s</w:t>
      </w:r>
      <w:r w:rsidR="00E77FF0" w:rsidRPr="001005B7">
        <w:t xml:space="preserve"> a negative equivalent to</w:t>
      </w:r>
      <w:r w:rsidR="00384A10" w:rsidRPr="001005B7">
        <w:t xml:space="preserve"> the </w:t>
      </w:r>
      <w:r w:rsidR="00327F69" w:rsidRPr="001005B7">
        <w:t>idea of</w:t>
      </w:r>
      <w:r w:rsidR="00384A10" w:rsidRPr="001005B7">
        <w:t xml:space="preserve"> Yahweh’s arm </w:t>
      </w:r>
      <w:r w:rsidR="004D1B78" w:rsidRPr="001005B7">
        <w:t>stir</w:t>
      </w:r>
      <w:r w:rsidR="00327F69" w:rsidRPr="001005B7">
        <w:t>ring</w:t>
      </w:r>
      <w:r w:rsidR="004D1B78" w:rsidRPr="001005B7">
        <w:t xml:space="preserve"> itself to deliver his people (Isa 51:9)</w:t>
      </w:r>
      <w:r w:rsidR="00C064A1" w:rsidRPr="001005B7">
        <w:t xml:space="preserve">. </w:t>
      </w:r>
      <w:r w:rsidR="00477AD6" w:rsidRPr="001005B7">
        <w:t>Whereas t</w:t>
      </w:r>
      <w:r w:rsidR="0071295E" w:rsidRPr="001005B7">
        <w:t>he end has been looking sleepy, it is waking up</w:t>
      </w:r>
      <w:r w:rsidR="00943B6F" w:rsidRPr="001005B7">
        <w:t xml:space="preserve">, </w:t>
      </w:r>
      <w:r w:rsidR="000D2545" w:rsidRPr="001005B7">
        <w:t>and</w:t>
      </w:r>
      <w:r w:rsidR="00943B6F" w:rsidRPr="001005B7">
        <w:t xml:space="preserve"> not in a good way</w:t>
      </w:r>
      <w:r w:rsidR="003C3644" w:rsidRPr="001005B7">
        <w:rPr>
          <w:rFonts w:cstheme="minorHAnsi"/>
          <w:lang w:eastAsia="en-GB"/>
        </w:rPr>
        <w:t>.</w:t>
      </w:r>
    </w:p>
    <w:p w14:paraId="0EFAE66C" w14:textId="2F1D4F88" w:rsidR="0056299E" w:rsidRPr="001005B7" w:rsidRDefault="009A1424" w:rsidP="007A5BEF">
      <w:r w:rsidRPr="001005B7">
        <w:rPr>
          <w:b/>
          <w:bCs/>
        </w:rPr>
        <w:t>7:</w:t>
      </w:r>
      <w:r w:rsidR="0080140F" w:rsidRPr="001005B7">
        <w:rPr>
          <w:b/>
          <w:bCs/>
        </w:rPr>
        <w:t>7</w:t>
      </w:r>
      <w:r w:rsidR="00F46900" w:rsidRPr="001005B7">
        <w:rPr>
          <w:b/>
          <w:bCs/>
        </w:rPr>
        <w:t>–</w:t>
      </w:r>
      <w:r w:rsidR="0080140F" w:rsidRPr="001005B7">
        <w:rPr>
          <w:b/>
          <w:bCs/>
        </w:rPr>
        <w:t xml:space="preserve">9 </w:t>
      </w:r>
      <w:r w:rsidR="0062748B" w:rsidRPr="001005B7">
        <w:t xml:space="preserve">“Still the Prophet </w:t>
      </w:r>
      <w:proofErr w:type="spellStart"/>
      <w:r w:rsidR="0062748B" w:rsidRPr="001005B7">
        <w:t>ringeth</w:t>
      </w:r>
      <w:proofErr w:type="spellEnd"/>
      <w:r w:rsidR="0062748B" w:rsidRPr="001005B7">
        <w:t xml:space="preserve"> this doleful knell in their </w:t>
      </w:r>
      <w:proofErr w:type="spellStart"/>
      <w:r w:rsidR="0062748B" w:rsidRPr="001005B7">
        <w:t>eares</w:t>
      </w:r>
      <w:proofErr w:type="spellEnd"/>
      <w:r w:rsidR="0062748B" w:rsidRPr="001005B7">
        <w:t xml:space="preserve">” </w:t>
      </w:r>
      <w:r w:rsidR="00080325" w:rsidRPr="001005B7">
        <w:t>in light of their being</w:t>
      </w:r>
      <w:r w:rsidR="0062748B" w:rsidRPr="001005B7">
        <w:t xml:space="preserve"> afflicted by such “dead lethargy”</w:t>
      </w:r>
      <w:r w:rsidR="00F646A5" w:rsidRPr="001005B7">
        <w:t xml:space="preserve"> (Trapp,</w:t>
      </w:r>
      <w:r w:rsidR="00F646A5" w:rsidRPr="001005B7">
        <w:rPr>
          <w:i/>
          <w:iCs/>
        </w:rPr>
        <w:t xml:space="preserve"> </w:t>
      </w:r>
      <w:r w:rsidR="00F646A5" w:rsidRPr="001005B7">
        <w:t xml:space="preserve">409). </w:t>
      </w:r>
      <w:r w:rsidR="00563355" w:rsidRPr="001005B7">
        <w:t>He</w:t>
      </w:r>
      <w:r w:rsidR="00236E4F" w:rsidRPr="001005B7">
        <w:t xml:space="preserve"> </w:t>
      </w:r>
      <w:r w:rsidR="00563355" w:rsidRPr="001005B7">
        <w:t xml:space="preserve">now </w:t>
      </w:r>
      <w:r w:rsidR="00236E4F" w:rsidRPr="001005B7">
        <w:t>put</w:t>
      </w:r>
      <w:r w:rsidR="00563355" w:rsidRPr="001005B7">
        <w:t>s</w:t>
      </w:r>
      <w:r w:rsidR="00236E4F" w:rsidRPr="001005B7">
        <w:t xml:space="preserve"> it yet </w:t>
      </w:r>
      <w:r w:rsidR="00943B6F" w:rsidRPr="001005B7">
        <w:t xml:space="preserve">in yet </w:t>
      </w:r>
      <w:r w:rsidR="00236E4F" w:rsidRPr="001005B7">
        <w:t xml:space="preserve">other </w:t>
      </w:r>
      <w:r w:rsidR="00943B6F" w:rsidRPr="001005B7">
        <w:t>terms</w:t>
      </w:r>
      <w:r w:rsidR="00236E4F" w:rsidRPr="001005B7">
        <w:t xml:space="preserve">, </w:t>
      </w:r>
      <w:r w:rsidR="00F01B86" w:rsidRPr="001005B7">
        <w:t>“</w:t>
      </w:r>
      <w:r w:rsidR="00E46834" w:rsidRPr="001005B7">
        <w:t>doom</w:t>
      </w:r>
      <w:r w:rsidR="00E46834" w:rsidRPr="001005B7">
        <w:rPr>
          <w:i/>
          <w:iCs/>
        </w:rPr>
        <w:t xml:space="preserve"> </w:t>
      </w:r>
      <w:r w:rsidR="00E46834" w:rsidRPr="001005B7">
        <w:t>is</w:t>
      </w:r>
      <w:r w:rsidR="00E46834" w:rsidRPr="001005B7">
        <w:rPr>
          <w:i/>
          <w:iCs/>
        </w:rPr>
        <w:t xml:space="preserve"> </w:t>
      </w:r>
      <w:r w:rsidR="00E46834" w:rsidRPr="001005B7">
        <w:t>coming</w:t>
      </w:r>
      <w:r w:rsidR="00E46834" w:rsidRPr="001005B7">
        <w:rPr>
          <w:i/>
          <w:iCs/>
        </w:rPr>
        <w:t xml:space="preserve"> </w:t>
      </w:r>
      <w:r w:rsidR="00B154CD" w:rsidRPr="001005B7">
        <w:t>for</w:t>
      </w:r>
      <w:r w:rsidR="00E46834" w:rsidRPr="001005B7">
        <w:rPr>
          <w:i/>
          <w:iCs/>
        </w:rPr>
        <w:t xml:space="preserve"> </w:t>
      </w:r>
      <w:r w:rsidR="00E46834" w:rsidRPr="001005B7">
        <w:t>you</w:t>
      </w:r>
      <w:r w:rsidR="0080140F" w:rsidRPr="001005B7">
        <w:t>.</w:t>
      </w:r>
      <w:r w:rsidR="00F01B86" w:rsidRPr="001005B7">
        <w:t>”</w:t>
      </w:r>
      <w:r w:rsidR="0080140F" w:rsidRPr="001005B7">
        <w:t xml:space="preserve"> T</w:t>
      </w:r>
      <w:r w:rsidR="00E46834" w:rsidRPr="001005B7">
        <w:t xml:space="preserve">his </w:t>
      </w:r>
      <w:r w:rsidR="00CA6592" w:rsidRPr="001005B7">
        <w:t>noun (</w:t>
      </w:r>
      <w:r w:rsidR="002A32FF" w:rsidRPr="001005B7">
        <w:rPr>
          <w:rFonts w:cstheme="minorHAnsi"/>
          <w:rtl/>
          <w:lang w:bidi="he-IL"/>
        </w:rPr>
        <w:t>צְ</w:t>
      </w:r>
      <w:r w:rsidR="000C5C27" w:rsidRPr="001005B7">
        <w:rPr>
          <w:rFonts w:cstheme="minorHAnsi"/>
          <w:rtl/>
          <w:lang w:bidi="he-IL"/>
        </w:rPr>
        <w:t>פִירָה</w:t>
      </w:r>
      <w:r w:rsidR="00CA6592" w:rsidRPr="001005B7">
        <w:rPr>
          <w:rFonts w:cstheme="minorHAnsi"/>
        </w:rPr>
        <w:t>)</w:t>
      </w:r>
      <w:r w:rsidR="00CA6592" w:rsidRPr="001005B7">
        <w:rPr>
          <w:rFonts w:cstheme="minorHAnsi"/>
          <w:i/>
          <w:iCs/>
        </w:rPr>
        <w:t xml:space="preserve"> </w:t>
      </w:r>
      <w:r w:rsidR="00FA5FD3" w:rsidRPr="001005B7">
        <w:rPr>
          <w:rFonts w:cstheme="minorHAnsi"/>
        </w:rPr>
        <w:t xml:space="preserve">occurs only here and </w:t>
      </w:r>
      <w:r w:rsidR="00EF178C" w:rsidRPr="001005B7">
        <w:rPr>
          <w:rFonts w:cstheme="minorHAnsi"/>
        </w:rPr>
        <w:t>i</w:t>
      </w:r>
      <w:r w:rsidR="00FA5FD3" w:rsidRPr="001005B7">
        <w:rPr>
          <w:rFonts w:cstheme="minorHAnsi"/>
        </w:rPr>
        <w:t xml:space="preserve">n </w:t>
      </w:r>
      <w:r w:rsidR="003D021F" w:rsidRPr="001005B7">
        <w:rPr>
          <w:rFonts w:cstheme="minorHAnsi"/>
        </w:rPr>
        <w:t>7:</w:t>
      </w:r>
      <w:r w:rsidR="00FA5FD3" w:rsidRPr="001005B7">
        <w:rPr>
          <w:rFonts w:cstheme="minorHAnsi"/>
        </w:rPr>
        <w:t xml:space="preserve">10 </w:t>
      </w:r>
      <w:r w:rsidR="00EF178C" w:rsidRPr="001005B7">
        <w:t>and</w:t>
      </w:r>
      <w:r w:rsidR="00E46834" w:rsidRPr="001005B7">
        <w:t xml:space="preserve"> its meaning is a matter of guesswork</w:t>
      </w:r>
      <w:r w:rsidR="00CA6592" w:rsidRPr="001005B7">
        <w:t>.</w:t>
      </w:r>
      <w:r w:rsidR="007157F7" w:rsidRPr="001005B7">
        <w:t xml:space="preserve"> </w:t>
      </w:r>
      <w:r w:rsidR="003C23B1" w:rsidRPr="001005B7">
        <w:t>It might make people think of the Babylonian king in</w:t>
      </w:r>
      <w:r w:rsidR="00C84FB7" w:rsidRPr="001005B7">
        <w:t xml:space="preserve"> his diadem (</w:t>
      </w:r>
      <w:r w:rsidR="00900A03" w:rsidRPr="001005B7">
        <w:rPr>
          <w:rFonts w:cstheme="minorHAnsi"/>
        </w:rPr>
        <w:t xml:space="preserve">also </w:t>
      </w:r>
      <w:r w:rsidR="00900A03" w:rsidRPr="001005B7">
        <w:rPr>
          <w:rFonts w:cstheme="minorHAnsi"/>
          <w:rtl/>
          <w:lang w:bidi="he-IL"/>
        </w:rPr>
        <w:t>צְפִירָה</w:t>
      </w:r>
      <w:r w:rsidR="00B154CD" w:rsidRPr="001005B7">
        <w:t xml:space="preserve">; </w:t>
      </w:r>
      <w:r w:rsidR="00A22D4F" w:rsidRPr="001005B7">
        <w:t xml:space="preserve">Isa 28:5) or </w:t>
      </w:r>
      <w:r w:rsidR="00195653" w:rsidRPr="001005B7">
        <w:t>of that</w:t>
      </w:r>
      <w:r w:rsidR="002137B7" w:rsidRPr="001005B7">
        <w:t xml:space="preserve"> king as a goat </w:t>
      </w:r>
      <w:r w:rsidR="00551066" w:rsidRPr="001005B7">
        <w:t>(</w:t>
      </w:r>
      <w:r w:rsidR="00900A03" w:rsidRPr="001005B7">
        <w:rPr>
          <w:rFonts w:cstheme="minorHAnsi"/>
          <w:rtl/>
          <w:lang w:bidi="he-IL"/>
        </w:rPr>
        <w:t>צָפִיר</w:t>
      </w:r>
      <w:r w:rsidR="00551066" w:rsidRPr="001005B7">
        <w:rPr>
          <w:rFonts w:cstheme="minorHAnsi"/>
        </w:rPr>
        <w:t>)</w:t>
      </w:r>
      <w:r w:rsidR="00195653" w:rsidRPr="001005B7">
        <w:rPr>
          <w:rFonts w:cstheme="minorHAnsi"/>
        </w:rPr>
        <w:t>,</w:t>
      </w:r>
      <w:r w:rsidR="00551066" w:rsidRPr="001005B7">
        <w:rPr>
          <w:rFonts w:cstheme="minorHAnsi"/>
        </w:rPr>
        <w:t xml:space="preserve"> </w:t>
      </w:r>
      <w:r w:rsidR="007A0956" w:rsidRPr="001005B7">
        <w:t xml:space="preserve">or </w:t>
      </w:r>
      <w:r w:rsidR="00195653" w:rsidRPr="001005B7">
        <w:t xml:space="preserve">later </w:t>
      </w:r>
      <w:r w:rsidR="00C20F6B" w:rsidRPr="001005B7">
        <w:t>make people</w:t>
      </w:r>
      <w:r w:rsidR="00195653" w:rsidRPr="001005B7">
        <w:t xml:space="preserve"> </w:t>
      </w:r>
      <w:r w:rsidR="00551066" w:rsidRPr="001005B7">
        <w:t xml:space="preserve">see Antiochus </w:t>
      </w:r>
      <w:r w:rsidR="00195653" w:rsidRPr="001005B7">
        <w:t xml:space="preserve">IV as </w:t>
      </w:r>
      <w:r w:rsidR="00807F8C" w:rsidRPr="001005B7">
        <w:t xml:space="preserve">the goat </w:t>
      </w:r>
      <w:r w:rsidR="00D65531" w:rsidRPr="001005B7">
        <w:t>that is</w:t>
      </w:r>
      <w:r w:rsidR="00551066" w:rsidRPr="001005B7">
        <w:t xml:space="preserve"> a reincarnation of the Babylonian king </w:t>
      </w:r>
      <w:r w:rsidR="002137B7" w:rsidRPr="001005B7">
        <w:t>(</w:t>
      </w:r>
      <w:r w:rsidR="00AB4448" w:rsidRPr="001005B7">
        <w:rPr>
          <w:rFonts w:cstheme="minorHAnsi"/>
        </w:rPr>
        <w:t xml:space="preserve">cf. Dan </w:t>
      </w:r>
      <w:r w:rsidR="00B4745F" w:rsidRPr="001005B7">
        <w:rPr>
          <w:rFonts w:cstheme="minorHAnsi"/>
        </w:rPr>
        <w:t>8:5, 8, 21).</w:t>
      </w:r>
      <w:r w:rsidR="00B4745F" w:rsidRPr="001005B7">
        <w:rPr>
          <w:rStyle w:val="FootnoteReference"/>
          <w:rFonts w:cstheme="minorHAnsi"/>
        </w:rPr>
        <w:footnoteReference w:id="218"/>
      </w:r>
      <w:r w:rsidR="00FF4AD3" w:rsidRPr="001005B7">
        <w:rPr>
          <w:rFonts w:cstheme="minorHAnsi"/>
        </w:rPr>
        <w:t xml:space="preserve"> </w:t>
      </w:r>
      <w:r w:rsidR="00EF13C6" w:rsidRPr="001005B7">
        <w:rPr>
          <w:rFonts w:cstheme="minorHAnsi"/>
        </w:rPr>
        <w:t xml:space="preserve">Anyway, </w:t>
      </w:r>
      <w:r w:rsidR="009E731B" w:rsidRPr="001005B7">
        <w:rPr>
          <w:rFonts w:cstheme="minorHAnsi"/>
        </w:rPr>
        <w:t>“</w:t>
      </w:r>
      <w:r w:rsidR="00EF13C6" w:rsidRPr="001005B7">
        <w:rPr>
          <w:rFonts w:cstheme="minorHAnsi"/>
        </w:rPr>
        <w:t>t</w:t>
      </w:r>
      <w:r w:rsidR="00D41A97" w:rsidRPr="001005B7">
        <w:t>he</w:t>
      </w:r>
      <w:r w:rsidR="00D41A97" w:rsidRPr="001005B7">
        <w:rPr>
          <w:i/>
          <w:iCs/>
        </w:rPr>
        <w:t xml:space="preserve"> </w:t>
      </w:r>
      <w:r w:rsidR="00D41A97" w:rsidRPr="001005B7">
        <w:t>time</w:t>
      </w:r>
      <w:r w:rsidR="00D41A97" w:rsidRPr="001005B7">
        <w:rPr>
          <w:i/>
          <w:iCs/>
        </w:rPr>
        <w:t xml:space="preserve"> </w:t>
      </w:r>
      <w:r w:rsidR="00D41A97" w:rsidRPr="001005B7">
        <w:t>is</w:t>
      </w:r>
      <w:r w:rsidR="00D41A97" w:rsidRPr="001005B7">
        <w:rPr>
          <w:i/>
          <w:iCs/>
        </w:rPr>
        <w:t xml:space="preserve"> </w:t>
      </w:r>
      <w:r w:rsidR="00D41A97" w:rsidRPr="001005B7">
        <w:t>coming</w:t>
      </w:r>
      <w:r w:rsidR="00B2466A" w:rsidRPr="001005B7">
        <w:t>,</w:t>
      </w:r>
      <w:r w:rsidR="009E731B" w:rsidRPr="001005B7">
        <w:t>”</w:t>
      </w:r>
      <w:r w:rsidR="00FF4AD3" w:rsidRPr="001005B7">
        <w:t xml:space="preserve"> </w:t>
      </w:r>
      <w:r w:rsidR="00930C36" w:rsidRPr="001005B7">
        <w:t>the time for things to happen</w:t>
      </w:r>
      <w:r w:rsidR="00CA0644" w:rsidRPr="001005B7">
        <w:t xml:space="preserve">. </w:t>
      </w:r>
      <w:r w:rsidR="009E731B" w:rsidRPr="001005B7">
        <w:t>“</w:t>
      </w:r>
      <w:r w:rsidR="00CA0644" w:rsidRPr="001005B7">
        <w:t>T</w:t>
      </w:r>
      <w:r w:rsidR="00930C36" w:rsidRPr="001005B7">
        <w:t>he</w:t>
      </w:r>
      <w:r w:rsidR="00930C36" w:rsidRPr="001005B7">
        <w:rPr>
          <w:i/>
          <w:iCs/>
        </w:rPr>
        <w:t xml:space="preserve"> </w:t>
      </w:r>
      <w:r w:rsidR="00930C36" w:rsidRPr="001005B7">
        <w:t>day</w:t>
      </w:r>
      <w:r w:rsidR="009E731B" w:rsidRPr="001005B7">
        <w:t>”</w:t>
      </w:r>
      <w:r w:rsidR="00ED4261" w:rsidRPr="001005B7">
        <w:rPr>
          <w:i/>
          <w:iCs/>
        </w:rPr>
        <w:t xml:space="preserve"> </w:t>
      </w:r>
      <w:r w:rsidR="00ED4261" w:rsidRPr="001005B7">
        <w:t>is imminent</w:t>
      </w:r>
      <w:r w:rsidR="00585EBC" w:rsidRPr="001005B7">
        <w:t xml:space="preserve">. </w:t>
      </w:r>
      <w:r w:rsidR="005E31D7" w:rsidRPr="001005B7">
        <w:t xml:space="preserve">The </w:t>
      </w:r>
      <w:r w:rsidR="005A4AB2" w:rsidRPr="001005B7">
        <w:t xml:space="preserve">motif of </w:t>
      </w:r>
      <w:r w:rsidR="00A53CDB" w:rsidRPr="001005B7">
        <w:t>“</w:t>
      </w:r>
      <w:r w:rsidR="005A4AB2" w:rsidRPr="001005B7">
        <w:t>Yahweh’s day</w:t>
      </w:r>
      <w:r w:rsidR="00A53CDB" w:rsidRPr="001005B7">
        <w:t>”</w:t>
      </w:r>
      <w:r w:rsidR="005A4AB2" w:rsidRPr="001005B7">
        <w:t xml:space="preserve"> or</w:t>
      </w:r>
      <w:r w:rsidR="00081E8E" w:rsidRPr="001005B7">
        <w:t xml:space="preserve"> </w:t>
      </w:r>
      <w:r w:rsidR="00A53CDB" w:rsidRPr="001005B7">
        <w:t>“</w:t>
      </w:r>
      <w:r w:rsidR="00081E8E" w:rsidRPr="001005B7">
        <w:t>that day</w:t>
      </w:r>
      <w:r w:rsidR="00A53CDB" w:rsidRPr="001005B7">
        <w:t>”</w:t>
      </w:r>
      <w:r w:rsidR="00081E8E" w:rsidRPr="001005B7">
        <w:t xml:space="preserve"> is so familiar in the prophets</w:t>
      </w:r>
      <w:r w:rsidR="009E556E" w:rsidRPr="001005B7">
        <w:t>,</w:t>
      </w:r>
      <w:r w:rsidR="00081E8E" w:rsidRPr="001005B7">
        <w:t xml:space="preserve"> </w:t>
      </w:r>
      <w:r w:rsidR="004F3850" w:rsidRPr="001005B7">
        <w:t>and Ezekiel picks</w:t>
      </w:r>
      <w:r w:rsidR="00751E50">
        <w:t xml:space="preserve"> up</w:t>
      </w:r>
      <w:r w:rsidR="004F3850" w:rsidRPr="001005B7">
        <w:t xml:space="preserve"> so many associated motifs from the p</w:t>
      </w:r>
      <w:r w:rsidR="009E556E" w:rsidRPr="001005B7">
        <w:t>r</w:t>
      </w:r>
      <w:r w:rsidR="004F3850" w:rsidRPr="001005B7">
        <w:t>ophets</w:t>
      </w:r>
      <w:r w:rsidR="009E556E" w:rsidRPr="001005B7">
        <w:t>,</w:t>
      </w:r>
      <w:r w:rsidR="004F3850" w:rsidRPr="001005B7">
        <w:t xml:space="preserve"> </w:t>
      </w:r>
      <w:r w:rsidR="00081E8E" w:rsidRPr="001005B7">
        <w:t xml:space="preserve">that </w:t>
      </w:r>
      <w:r w:rsidR="00C34474" w:rsidRPr="001005B7">
        <w:t xml:space="preserve">one can assume </w:t>
      </w:r>
      <w:r w:rsidR="00CA114F" w:rsidRPr="001005B7">
        <w:t xml:space="preserve">that by </w:t>
      </w:r>
      <w:r w:rsidR="00F05AF3" w:rsidRPr="001005B7">
        <w:t>“</w:t>
      </w:r>
      <w:r w:rsidR="00CA114F" w:rsidRPr="001005B7">
        <w:t>that</w:t>
      </w:r>
      <w:r w:rsidR="00CA114F" w:rsidRPr="001005B7">
        <w:rPr>
          <w:i/>
          <w:iCs/>
        </w:rPr>
        <w:t xml:space="preserve"> </w:t>
      </w:r>
      <w:r w:rsidR="00CA114F" w:rsidRPr="001005B7">
        <w:t>day</w:t>
      </w:r>
      <w:r w:rsidR="00F05AF3" w:rsidRPr="001005B7">
        <w:t>”</w:t>
      </w:r>
      <w:r w:rsidR="00CA114F" w:rsidRPr="001005B7">
        <w:rPr>
          <w:i/>
          <w:iCs/>
        </w:rPr>
        <w:t xml:space="preserve"> </w:t>
      </w:r>
      <w:r w:rsidR="004F3850" w:rsidRPr="001005B7">
        <w:t>he refers to Yahweh’s day and that his re</w:t>
      </w:r>
      <w:r w:rsidR="009E556E" w:rsidRPr="001005B7">
        <w:t>a</w:t>
      </w:r>
      <w:r w:rsidR="004F3850" w:rsidRPr="001005B7">
        <w:t>ders would pi</w:t>
      </w:r>
      <w:r w:rsidR="009E556E" w:rsidRPr="001005B7">
        <w:t>c</w:t>
      </w:r>
      <w:r w:rsidR="004F3850" w:rsidRPr="001005B7">
        <w:t>k up the allusion</w:t>
      </w:r>
      <w:r w:rsidR="009E556E" w:rsidRPr="001005B7">
        <w:t xml:space="preserve"> (he uses the actual expression in </w:t>
      </w:r>
      <w:r w:rsidR="00286DD0" w:rsidRPr="001005B7">
        <w:t>13:5; 30:3).</w:t>
      </w:r>
      <w:r w:rsidR="007157F7" w:rsidRPr="001005B7">
        <w:t xml:space="preserve"> </w:t>
      </w:r>
      <w:r w:rsidR="00627AB8" w:rsidRPr="001005B7">
        <w:t xml:space="preserve">His use of it matches Amos’s </w:t>
      </w:r>
      <w:r w:rsidR="007E709E" w:rsidRPr="001005B7">
        <w:t>(5:</w:t>
      </w:r>
      <w:r w:rsidR="00627AB8" w:rsidRPr="001005B7">
        <w:t xml:space="preserve">18): if people thought it would be a great day when Yahweh would </w:t>
      </w:r>
      <w:r w:rsidR="00254F64" w:rsidRPr="001005B7">
        <w:t xml:space="preserve">put down his foes and </w:t>
      </w:r>
      <w:r w:rsidR="00627AB8" w:rsidRPr="001005B7">
        <w:t>fulfill his promises</w:t>
      </w:r>
      <w:r w:rsidR="00254F64" w:rsidRPr="001005B7">
        <w:t xml:space="preserve"> (another way of ta</w:t>
      </w:r>
      <w:r w:rsidR="00B626B2" w:rsidRPr="001005B7">
        <w:t xml:space="preserve">lking about </w:t>
      </w:r>
      <w:r w:rsidR="00F05AF3" w:rsidRPr="001005B7">
        <w:t>“</w:t>
      </w:r>
      <w:r w:rsidR="00B626B2" w:rsidRPr="001005B7">
        <w:t>the</w:t>
      </w:r>
      <w:r w:rsidR="00B626B2" w:rsidRPr="001005B7">
        <w:rPr>
          <w:i/>
          <w:iCs/>
        </w:rPr>
        <w:t xml:space="preserve"> </w:t>
      </w:r>
      <w:r w:rsidR="00B626B2" w:rsidRPr="001005B7">
        <w:t>end</w:t>
      </w:r>
      <w:r w:rsidR="00F05AF3" w:rsidRPr="001005B7">
        <w:t>”</w:t>
      </w:r>
      <w:r w:rsidR="00B626B2" w:rsidRPr="001005B7">
        <w:t xml:space="preserve">), then they have another think coming—or rather, they are right, but they have to redesignate themselves as the foes. </w:t>
      </w:r>
      <w:r w:rsidR="00585EBC" w:rsidRPr="001005B7">
        <w:t>The likelihood that Ezekiel refers to Yahweh’s day is increased by the next colon.</w:t>
      </w:r>
      <w:r w:rsidR="00067213" w:rsidRPr="001005B7">
        <w:t xml:space="preserve"> It was reasonable for people to assume that</w:t>
      </w:r>
      <w:r w:rsidR="00E7674F" w:rsidRPr="001005B7">
        <w:t xml:space="preserve"> Yahweh’s day</w:t>
      </w:r>
      <w:r w:rsidR="00067213" w:rsidRPr="001005B7">
        <w:t xml:space="preserve"> would be a time of </w:t>
      </w:r>
      <w:r w:rsidR="00C17137" w:rsidRPr="001005B7">
        <w:t>triumphant</w:t>
      </w:r>
      <w:r w:rsidR="0021221A" w:rsidRPr="001005B7">
        <w:t xml:space="preserve"> </w:t>
      </w:r>
      <w:r w:rsidR="00F74589" w:rsidRPr="001005B7">
        <w:t>“</w:t>
      </w:r>
      <w:r w:rsidR="00050107" w:rsidRPr="001005B7">
        <w:t>shouting</w:t>
      </w:r>
      <w:r w:rsidR="00050107" w:rsidRPr="001005B7">
        <w:rPr>
          <w:i/>
          <w:iCs/>
        </w:rPr>
        <w:t xml:space="preserve"> </w:t>
      </w:r>
      <w:r w:rsidR="00050107" w:rsidRPr="001005B7">
        <w:t>on</w:t>
      </w:r>
      <w:r w:rsidR="00050107" w:rsidRPr="001005B7">
        <w:rPr>
          <w:i/>
          <w:iCs/>
        </w:rPr>
        <w:t xml:space="preserve"> </w:t>
      </w:r>
      <w:r w:rsidR="00050107" w:rsidRPr="001005B7">
        <w:t>the</w:t>
      </w:r>
      <w:r w:rsidR="00050107" w:rsidRPr="001005B7">
        <w:rPr>
          <w:i/>
          <w:iCs/>
        </w:rPr>
        <w:t xml:space="preserve"> </w:t>
      </w:r>
      <w:r w:rsidR="00050107" w:rsidRPr="001005B7">
        <w:t>mountains</w:t>
      </w:r>
      <w:r w:rsidR="00F74589" w:rsidRPr="001005B7">
        <w:t>”</w:t>
      </w:r>
      <w:r w:rsidR="00050107" w:rsidRPr="001005B7">
        <w:rPr>
          <w:i/>
          <w:iCs/>
        </w:rPr>
        <w:t xml:space="preserve"> </w:t>
      </w:r>
      <w:r w:rsidR="001F3976" w:rsidRPr="001005B7">
        <w:t>(e.g., Isa 16:</w:t>
      </w:r>
      <w:r w:rsidR="005F54A7" w:rsidRPr="001005B7">
        <w:t>9</w:t>
      </w:r>
      <w:r w:rsidR="00F46900" w:rsidRPr="001005B7">
        <w:t>–</w:t>
      </w:r>
      <w:r w:rsidR="00951B2F" w:rsidRPr="001005B7">
        <w:t>10</w:t>
      </w:r>
      <w:r w:rsidR="001F3976" w:rsidRPr="001005B7">
        <w:t xml:space="preserve">; </w:t>
      </w:r>
      <w:r w:rsidR="0007497C" w:rsidRPr="001005B7">
        <w:t>22:1</w:t>
      </w:r>
      <w:r w:rsidR="00F46900" w:rsidRPr="001005B7">
        <w:t>–</w:t>
      </w:r>
      <w:r w:rsidR="0007497C" w:rsidRPr="001005B7">
        <w:t xml:space="preserve">5; </w:t>
      </w:r>
      <w:r w:rsidR="001F3976" w:rsidRPr="001005B7">
        <w:t>Jer</w:t>
      </w:r>
      <w:r w:rsidR="00ED2F85" w:rsidRPr="001005B7">
        <w:t xml:space="preserve"> 25:30)</w:t>
      </w:r>
      <w:r w:rsidR="001763E5" w:rsidRPr="001005B7">
        <w:t xml:space="preserve">. </w:t>
      </w:r>
      <w:r w:rsidR="00D17E10" w:rsidRPr="001005B7">
        <w:t xml:space="preserve">Ezekiel </w:t>
      </w:r>
      <w:r w:rsidR="00BB24D6" w:rsidRPr="001005B7">
        <w:t xml:space="preserve">also </w:t>
      </w:r>
      <w:r w:rsidR="00D17E10" w:rsidRPr="001005B7">
        <w:t xml:space="preserve">seeks to disabuse them of this </w:t>
      </w:r>
      <w:r w:rsidR="00BB24D6" w:rsidRPr="001005B7">
        <w:t>aspect of thei</w:t>
      </w:r>
      <w:r w:rsidR="001A0FF5" w:rsidRPr="001005B7">
        <w:t>r</w:t>
      </w:r>
      <w:r w:rsidR="00BB24D6" w:rsidRPr="001005B7">
        <w:t xml:space="preserve"> expectation</w:t>
      </w:r>
      <w:r w:rsidR="00D17E10" w:rsidRPr="001005B7">
        <w:t>.</w:t>
      </w:r>
      <w:r w:rsidR="00351687" w:rsidRPr="001005B7">
        <w:t xml:space="preserve"> </w:t>
      </w:r>
      <w:r w:rsidR="00A55E52" w:rsidRPr="001005B7">
        <w:t>As In Amos, t</w:t>
      </w:r>
      <w:r w:rsidR="00D7759A" w:rsidRPr="001005B7">
        <w:t xml:space="preserve">he reason is the necessity for Yahweh to </w:t>
      </w:r>
      <w:r w:rsidR="00F74589" w:rsidRPr="001005B7">
        <w:t>“</w:t>
      </w:r>
      <w:r w:rsidR="003401EC" w:rsidRPr="001005B7">
        <w:t>pour</w:t>
      </w:r>
      <w:r w:rsidR="003401EC" w:rsidRPr="001005B7">
        <w:rPr>
          <w:i/>
          <w:iCs/>
        </w:rPr>
        <w:t xml:space="preserve"> </w:t>
      </w:r>
      <w:r w:rsidR="003401EC" w:rsidRPr="001005B7">
        <w:t>out</w:t>
      </w:r>
      <w:r w:rsidR="003401EC" w:rsidRPr="001005B7">
        <w:rPr>
          <w:i/>
          <w:iCs/>
        </w:rPr>
        <w:t xml:space="preserve"> </w:t>
      </w:r>
      <w:r w:rsidR="003401EC" w:rsidRPr="001005B7">
        <w:t>fury,</w:t>
      </w:r>
      <w:r w:rsidR="00F74589" w:rsidRPr="001005B7">
        <w:t>”</w:t>
      </w:r>
      <w:r w:rsidR="003401EC" w:rsidRPr="001005B7">
        <w:t xml:space="preserve"> to </w:t>
      </w:r>
      <w:r w:rsidR="00F74589" w:rsidRPr="001005B7">
        <w:t>“</w:t>
      </w:r>
      <w:r w:rsidR="003401EC" w:rsidRPr="001005B7">
        <w:t>expend</w:t>
      </w:r>
      <w:r w:rsidR="003401EC" w:rsidRPr="001005B7">
        <w:rPr>
          <w:i/>
          <w:iCs/>
        </w:rPr>
        <w:t xml:space="preserve"> </w:t>
      </w:r>
      <w:r w:rsidR="003401EC" w:rsidRPr="001005B7">
        <w:t>anger</w:t>
      </w:r>
      <w:r w:rsidR="00F74589" w:rsidRPr="001005B7">
        <w:t>”</w:t>
      </w:r>
      <w:r w:rsidR="003401EC" w:rsidRPr="001005B7">
        <w:t xml:space="preserve"> on the people (5:</w:t>
      </w:r>
      <w:r w:rsidR="00DE3321" w:rsidRPr="001005B7">
        <w:t>13, 15; 6:12)</w:t>
      </w:r>
      <w:r w:rsidR="00D316EC" w:rsidRPr="001005B7">
        <w:t xml:space="preserve">, to </w:t>
      </w:r>
      <w:r w:rsidR="00F74589" w:rsidRPr="001005B7">
        <w:t>“</w:t>
      </w:r>
      <w:r w:rsidR="00067081" w:rsidRPr="001005B7">
        <w:t>rule</w:t>
      </w:r>
      <w:r w:rsidR="00F74589" w:rsidRPr="001005B7">
        <w:t>”</w:t>
      </w:r>
      <w:r w:rsidR="00067081" w:rsidRPr="001005B7">
        <w:rPr>
          <w:i/>
          <w:iCs/>
        </w:rPr>
        <w:t xml:space="preserve"> </w:t>
      </w:r>
      <w:r w:rsidR="00067081" w:rsidRPr="001005B7">
        <w:t>or exercise au</w:t>
      </w:r>
      <w:r w:rsidR="00290A24" w:rsidRPr="001005B7">
        <w:t xml:space="preserve">thority in keeping with their </w:t>
      </w:r>
      <w:r w:rsidR="00592D01" w:rsidRPr="001005B7">
        <w:t>“</w:t>
      </w:r>
      <w:r w:rsidR="00D74320" w:rsidRPr="001005B7">
        <w:t>paths</w:t>
      </w:r>
      <w:r w:rsidR="00351687" w:rsidRPr="001005B7">
        <w:t>.</w:t>
      </w:r>
      <w:r w:rsidR="00592D01" w:rsidRPr="001005B7">
        <w:t>”</w:t>
      </w:r>
      <w:r w:rsidR="00290A24" w:rsidRPr="001005B7">
        <w:t xml:space="preserve"> </w:t>
      </w:r>
      <w:r w:rsidR="00344407" w:rsidRPr="001005B7">
        <w:t>But this talk of Yahweh’s day and of the end</w:t>
      </w:r>
      <w:r w:rsidR="004D6A53" w:rsidRPr="001005B7">
        <w:t xml:space="preserve"> is not at all concrete (</w:t>
      </w:r>
      <w:r w:rsidR="0042084A" w:rsidRPr="001005B7">
        <w:t>7:</w:t>
      </w:r>
      <w:r w:rsidR="004D6A53" w:rsidRPr="001005B7">
        <w:t>10</w:t>
      </w:r>
      <w:r w:rsidR="00F46900" w:rsidRPr="001005B7">
        <w:t>–</w:t>
      </w:r>
      <w:r w:rsidR="004D6A53" w:rsidRPr="001005B7">
        <w:t>27 will complement it). End, dire event, time, day</w:t>
      </w:r>
      <w:r w:rsidR="00F57713" w:rsidRPr="001005B7">
        <w:t xml:space="preserve">: </w:t>
      </w:r>
      <w:r w:rsidR="00336996" w:rsidRPr="001005B7">
        <w:t xml:space="preserve">seeking to arouse people, </w:t>
      </w:r>
      <w:r w:rsidR="00F57713" w:rsidRPr="001005B7">
        <w:t>Ezekiel just portrays a situation that is</w:t>
      </w:r>
      <w:r w:rsidR="004D6A53" w:rsidRPr="001005B7">
        <w:t xml:space="preserve"> hopeless</w:t>
      </w:r>
      <w:r w:rsidR="003E3787" w:rsidRPr="001005B7">
        <w:t xml:space="preserve"> (</w:t>
      </w:r>
      <w:r w:rsidR="008B2038" w:rsidRPr="001005B7">
        <w:t xml:space="preserve">Jenson, </w:t>
      </w:r>
      <w:r w:rsidR="007839DF" w:rsidRPr="001005B7">
        <w:t>69</w:t>
      </w:r>
      <w:r w:rsidR="00F46900" w:rsidRPr="001005B7">
        <w:t>–</w:t>
      </w:r>
      <w:r w:rsidR="007839DF" w:rsidRPr="001005B7">
        <w:t>72</w:t>
      </w:r>
      <w:r w:rsidR="008B2038" w:rsidRPr="001005B7">
        <w:t xml:space="preserve">). </w:t>
      </w:r>
      <w:r w:rsidR="00336996" w:rsidRPr="001005B7">
        <w:t xml:space="preserve">Yahweh’s </w:t>
      </w:r>
      <w:r w:rsidR="00A55E52" w:rsidRPr="001005B7">
        <w:t xml:space="preserve">closing statement </w:t>
      </w:r>
      <w:r w:rsidR="00D32AE0" w:rsidRPr="001005B7">
        <w:t>regarding</w:t>
      </w:r>
      <w:r w:rsidR="00A55E52" w:rsidRPr="001005B7">
        <w:t xml:space="preserve"> the </w:t>
      </w:r>
      <w:r w:rsidR="00D32AE0" w:rsidRPr="001005B7">
        <w:t>intent</w:t>
      </w:r>
      <w:r w:rsidR="00A55E52" w:rsidRPr="001005B7">
        <w:t xml:space="preserve"> o</w:t>
      </w:r>
      <w:r w:rsidR="001A0FF5" w:rsidRPr="001005B7">
        <w:t>f</w:t>
      </w:r>
      <w:r w:rsidR="00A55E52" w:rsidRPr="001005B7">
        <w:t xml:space="preserve"> his action </w:t>
      </w:r>
      <w:r w:rsidR="00D70C74" w:rsidRPr="001005B7">
        <w:t>qualifies the description of who Yahweh is</w:t>
      </w:r>
      <w:r w:rsidR="007862A9" w:rsidRPr="001005B7">
        <w:t xml:space="preserve"> in light of </w:t>
      </w:r>
      <w:r w:rsidR="0042084A" w:rsidRPr="001005B7">
        <w:t>7:</w:t>
      </w:r>
      <w:r w:rsidR="007862A9" w:rsidRPr="001005B7">
        <w:t>2</w:t>
      </w:r>
      <w:r w:rsidR="00F46900" w:rsidRPr="001005B7">
        <w:t>–</w:t>
      </w:r>
      <w:r w:rsidR="007862A9" w:rsidRPr="001005B7">
        <w:t>9</w:t>
      </w:r>
      <w:r w:rsidR="00754B19">
        <w:t xml:space="preserve"> and receives emphasis through the description of </w:t>
      </w:r>
      <w:r w:rsidR="009543E8">
        <w:t xml:space="preserve">him as “the one who strikes down” </w:t>
      </w:r>
      <w:r w:rsidR="00210146">
        <w:t>(</w:t>
      </w:r>
      <w:r w:rsidR="00EC0E35">
        <w:rPr>
          <w:rFonts w:cstheme="minorHAnsi"/>
          <w:rtl/>
          <w:lang w:bidi="he-IL"/>
        </w:rPr>
        <w:t>מַכּ</w:t>
      </w:r>
      <w:r w:rsidR="008F1B42">
        <w:rPr>
          <w:rFonts w:cstheme="minorHAnsi"/>
          <w:rtl/>
          <w:lang w:bidi="he-IL"/>
        </w:rPr>
        <w:t>ֶה</w:t>
      </w:r>
      <w:r w:rsidR="008F1B42">
        <w:t xml:space="preserve">) </w:t>
      </w:r>
      <w:r w:rsidR="00752992">
        <w:t xml:space="preserve">turns the colon into one with five words, one more than the usual maximum, and thus one with </w:t>
      </w:r>
      <w:r w:rsidR="007A5BEF">
        <w:t>unusual emphasis. Yet perhaps</w:t>
      </w:r>
      <w:r w:rsidR="006F3180" w:rsidRPr="001005B7">
        <w:t xml:space="preserve"> the recipients of str</w:t>
      </w:r>
      <w:r w:rsidR="00B57B0C" w:rsidRPr="001005B7">
        <w:t>i</w:t>
      </w:r>
      <w:r w:rsidR="006F3180" w:rsidRPr="001005B7">
        <w:t>king</w:t>
      </w:r>
      <w:r w:rsidR="00B57B0C" w:rsidRPr="001005B7">
        <w:t xml:space="preserve"> down are entitled to recall that this is the action of a father who is aiming at discipline and correction (Prov </w:t>
      </w:r>
      <w:r w:rsidR="00D55828" w:rsidRPr="001005B7">
        <w:t>23:13</w:t>
      </w:r>
      <w:r w:rsidR="00F46900" w:rsidRPr="001005B7">
        <w:t>–</w:t>
      </w:r>
      <w:r w:rsidR="00D55828" w:rsidRPr="001005B7">
        <w:t xml:space="preserve">15; cf. </w:t>
      </w:r>
      <w:r w:rsidR="003E0B81" w:rsidRPr="001005B7">
        <w:t>Heb 12:6)</w:t>
      </w:r>
      <w:r w:rsidR="00CF5F13" w:rsidRPr="001005B7">
        <w:t xml:space="preserve"> (Jerome, 76).</w:t>
      </w:r>
    </w:p>
    <w:p w14:paraId="0000109C" w14:textId="7D4567F9" w:rsidR="003F510C" w:rsidRPr="001005B7" w:rsidRDefault="003D15B4" w:rsidP="006F6CB9">
      <w:r w:rsidRPr="001005B7">
        <w:rPr>
          <w:b/>
          <w:bCs/>
        </w:rPr>
        <w:t>7:</w:t>
      </w:r>
      <w:r w:rsidR="00ED73FE" w:rsidRPr="001005B7">
        <w:rPr>
          <w:b/>
          <w:bCs/>
        </w:rPr>
        <w:t>10</w:t>
      </w:r>
      <w:r w:rsidR="00F46900" w:rsidRPr="001005B7">
        <w:rPr>
          <w:b/>
          <w:bCs/>
        </w:rPr>
        <w:t>–</w:t>
      </w:r>
      <w:r w:rsidR="00ED73FE" w:rsidRPr="001005B7">
        <w:rPr>
          <w:b/>
          <w:bCs/>
        </w:rPr>
        <w:t>1</w:t>
      </w:r>
      <w:r w:rsidR="009C78F9" w:rsidRPr="001005B7">
        <w:rPr>
          <w:b/>
          <w:bCs/>
        </w:rPr>
        <w:t>2a</w:t>
      </w:r>
      <w:r w:rsidR="00043F88" w:rsidRPr="001005B7">
        <w:rPr>
          <w:rFonts w:cstheme="minorHAnsi"/>
          <w:b/>
          <w:bCs/>
        </w:rPr>
        <w:t>α</w:t>
      </w:r>
      <w:r w:rsidR="00ED73FE" w:rsidRPr="001005B7">
        <w:rPr>
          <w:b/>
          <w:bCs/>
        </w:rPr>
        <w:t xml:space="preserve"> </w:t>
      </w:r>
      <w:r w:rsidR="00776C72" w:rsidRPr="001005B7">
        <w:t xml:space="preserve">Again beginning afresh, </w:t>
      </w:r>
      <w:r w:rsidR="002771C6" w:rsidRPr="001005B7">
        <w:t>Yahweh goes on</w:t>
      </w:r>
      <w:r w:rsidR="00E91124" w:rsidRPr="001005B7">
        <w:t xml:space="preserve"> </w:t>
      </w:r>
      <w:r w:rsidR="002771C6" w:rsidRPr="001005B7">
        <w:t>to describe</w:t>
      </w:r>
      <w:r w:rsidR="004E738C" w:rsidRPr="001005B7">
        <w:t xml:space="preserve"> </w:t>
      </w:r>
      <w:r w:rsidR="000460F0" w:rsidRPr="001005B7">
        <w:t xml:space="preserve">further </w:t>
      </w:r>
      <w:r w:rsidR="004E738C" w:rsidRPr="001005B7">
        <w:t>the necessity for</w:t>
      </w:r>
      <w:r w:rsidR="002771C6" w:rsidRPr="001005B7">
        <w:t xml:space="preserve"> </w:t>
      </w:r>
      <w:r w:rsidR="00603125" w:rsidRPr="001005B7">
        <w:t>“</w:t>
      </w:r>
      <w:r w:rsidR="00E91124" w:rsidRPr="001005B7">
        <w:t>the</w:t>
      </w:r>
      <w:r w:rsidR="00E91124" w:rsidRPr="001005B7">
        <w:rPr>
          <w:i/>
          <w:iCs/>
        </w:rPr>
        <w:t xml:space="preserve"> </w:t>
      </w:r>
      <w:r w:rsidR="00E91124" w:rsidRPr="001005B7">
        <w:t>day</w:t>
      </w:r>
      <w:r w:rsidR="00603125" w:rsidRPr="001005B7">
        <w:t>”</w:t>
      </w:r>
      <w:r w:rsidR="00E91124" w:rsidRPr="001005B7">
        <w:rPr>
          <w:i/>
          <w:iCs/>
        </w:rPr>
        <w:t xml:space="preserve"> </w:t>
      </w:r>
      <w:r w:rsidR="00E91124" w:rsidRPr="001005B7">
        <w:t xml:space="preserve">that is </w:t>
      </w:r>
      <w:r w:rsidR="00603125" w:rsidRPr="001005B7">
        <w:t>“</w:t>
      </w:r>
      <w:r w:rsidR="00E91124" w:rsidRPr="001005B7">
        <w:t>coming</w:t>
      </w:r>
      <w:r w:rsidR="0042314D" w:rsidRPr="001005B7">
        <w:t>,</w:t>
      </w:r>
      <w:r w:rsidR="00603125" w:rsidRPr="001005B7">
        <w:t>”</w:t>
      </w:r>
      <w:r w:rsidR="0042314D" w:rsidRPr="001005B7">
        <w:t xml:space="preserve"> </w:t>
      </w:r>
      <w:r w:rsidR="004E738C" w:rsidRPr="001005B7">
        <w:t xml:space="preserve">for </w:t>
      </w:r>
      <w:r w:rsidR="0042314D" w:rsidRPr="001005B7">
        <w:t xml:space="preserve">the </w:t>
      </w:r>
      <w:r w:rsidR="00603125" w:rsidRPr="001005B7">
        <w:t>“</w:t>
      </w:r>
      <w:r w:rsidR="0042314D" w:rsidRPr="001005B7">
        <w:t>doom</w:t>
      </w:r>
      <w:r w:rsidR="00603125" w:rsidRPr="001005B7">
        <w:t>”</w:t>
      </w:r>
      <w:r w:rsidR="0042314D" w:rsidRPr="001005B7">
        <w:rPr>
          <w:i/>
          <w:iCs/>
        </w:rPr>
        <w:t xml:space="preserve"> </w:t>
      </w:r>
      <w:r w:rsidR="0042314D" w:rsidRPr="001005B7">
        <w:t>that is</w:t>
      </w:r>
      <w:r w:rsidR="00B94D41" w:rsidRPr="001005B7">
        <w:t xml:space="preserve"> going out</w:t>
      </w:r>
      <w:r w:rsidR="00F76E29" w:rsidRPr="001005B7">
        <w:t>,</w:t>
      </w:r>
      <w:r w:rsidR="00502054" w:rsidRPr="001005B7">
        <w:t xml:space="preserve"> i</w:t>
      </w:r>
      <w:r w:rsidR="00F92FD2" w:rsidRPr="001005B7">
        <w:t>n Jerusalem</w:t>
      </w:r>
      <w:r w:rsidR="00397D37" w:rsidRPr="001005B7">
        <w:t xml:space="preserve">. The necessity lies in the </w:t>
      </w:r>
      <w:r w:rsidR="0007094D" w:rsidRPr="001005B7">
        <w:t xml:space="preserve">ceremonial </w:t>
      </w:r>
      <w:r w:rsidR="00075805" w:rsidRPr="001005B7">
        <w:t>“</w:t>
      </w:r>
      <w:r w:rsidR="005F0F4E" w:rsidRPr="001005B7">
        <w:t>scepter</w:t>
      </w:r>
      <w:r w:rsidR="00EB7A2E" w:rsidRPr="001005B7">
        <w:t>,</w:t>
      </w:r>
      <w:r w:rsidR="00075805" w:rsidRPr="001005B7">
        <w:t>”</w:t>
      </w:r>
      <w:r w:rsidR="0007094D" w:rsidRPr="001005B7">
        <w:t xml:space="preserve"> or the </w:t>
      </w:r>
      <w:r w:rsidR="00F92FD2" w:rsidRPr="001005B7">
        <w:t xml:space="preserve">real </w:t>
      </w:r>
      <w:r w:rsidR="0007094D" w:rsidRPr="001005B7">
        <w:t>club</w:t>
      </w:r>
      <w:r w:rsidR="00FE5C71" w:rsidRPr="001005B7">
        <w:t xml:space="preserve"> </w:t>
      </w:r>
      <w:r w:rsidR="00A24A95" w:rsidRPr="001005B7">
        <w:t xml:space="preserve">with physical </w:t>
      </w:r>
      <w:r w:rsidR="00C87CDC" w:rsidRPr="001005B7">
        <w:t>force</w:t>
      </w:r>
      <w:r w:rsidR="00F1426F" w:rsidRPr="001005B7">
        <w:t xml:space="preserve"> </w:t>
      </w:r>
      <w:r w:rsidR="00D0005A" w:rsidRPr="001005B7">
        <w:t>(</w:t>
      </w:r>
      <w:r w:rsidR="00192B6E" w:rsidRPr="001005B7">
        <w:rPr>
          <w:rFonts w:cstheme="minorHAnsi"/>
          <w:rtl/>
          <w:lang w:bidi="he-IL"/>
        </w:rPr>
        <w:t>מַט</w:t>
      </w:r>
      <w:r w:rsidR="009F511A" w:rsidRPr="001005B7">
        <w:rPr>
          <w:rFonts w:cstheme="minorHAnsi"/>
          <w:rtl/>
          <w:lang w:bidi="he-IL"/>
        </w:rPr>
        <w:t>ֶּה</w:t>
      </w:r>
      <w:r w:rsidR="005F34CE" w:rsidRPr="001005B7">
        <w:rPr>
          <w:i/>
          <w:iCs/>
        </w:rPr>
        <w:t xml:space="preserve"> </w:t>
      </w:r>
      <w:r w:rsidR="005F34CE" w:rsidRPr="001005B7">
        <w:t>could denote either)</w:t>
      </w:r>
      <w:r w:rsidR="00EB7A2E" w:rsidRPr="001005B7">
        <w:t>,</w:t>
      </w:r>
      <w:r w:rsidR="005F34CE" w:rsidRPr="001005B7">
        <w:t xml:space="preserve"> </w:t>
      </w:r>
      <w:r w:rsidR="000C05BD" w:rsidRPr="001005B7">
        <w:t xml:space="preserve">that </w:t>
      </w:r>
      <w:r w:rsidR="00FE5C71" w:rsidRPr="001005B7">
        <w:t>ha</w:t>
      </w:r>
      <w:r w:rsidR="000C05BD" w:rsidRPr="001005B7">
        <w:t>s</w:t>
      </w:r>
      <w:r w:rsidR="00FE5C71" w:rsidRPr="001005B7">
        <w:t xml:space="preserve"> </w:t>
      </w:r>
      <w:r w:rsidR="00805594" w:rsidRPr="001005B7">
        <w:t>“</w:t>
      </w:r>
      <w:r w:rsidR="00477AAB" w:rsidRPr="001005B7">
        <w:t>blossomed</w:t>
      </w:r>
      <w:r w:rsidR="00805594" w:rsidRPr="001005B7">
        <w:t>”</w:t>
      </w:r>
      <w:r w:rsidR="00477AAB" w:rsidRPr="001005B7">
        <w:rPr>
          <w:i/>
          <w:iCs/>
        </w:rPr>
        <w:t xml:space="preserve"> </w:t>
      </w:r>
      <w:r w:rsidR="000C05BD" w:rsidRPr="001005B7">
        <w:t>(</w:t>
      </w:r>
      <w:r w:rsidR="00F14B29" w:rsidRPr="001005B7">
        <w:rPr>
          <w:rFonts w:cstheme="minorHAnsi"/>
          <w:rtl/>
          <w:lang w:bidi="he-IL"/>
        </w:rPr>
        <w:t>צ</w:t>
      </w:r>
      <w:r w:rsidR="004E4F65" w:rsidRPr="001005B7">
        <w:rPr>
          <w:rFonts w:cstheme="minorHAnsi"/>
          <w:rtl/>
          <w:lang w:bidi="he-IL"/>
        </w:rPr>
        <w:t>וּץ</w:t>
      </w:r>
      <w:r w:rsidR="006B6169" w:rsidRPr="001005B7">
        <w:t xml:space="preserve">) </w:t>
      </w:r>
      <w:r w:rsidR="00477AAB" w:rsidRPr="001005B7">
        <w:t>or flourished</w:t>
      </w:r>
      <w:r w:rsidR="00EB7A2E" w:rsidRPr="001005B7">
        <w:t xml:space="preserve"> in Jerusalem.</w:t>
      </w:r>
      <w:r w:rsidR="00C87CDC" w:rsidRPr="001005B7">
        <w:t xml:space="preserve"> Yes,</w:t>
      </w:r>
      <w:r w:rsidR="00477AAB" w:rsidRPr="001005B7">
        <w:t xml:space="preserve"> leadership is being exercised </w:t>
      </w:r>
      <w:r w:rsidR="00EB7A2E" w:rsidRPr="001005B7">
        <w:t>there</w:t>
      </w:r>
      <w:r w:rsidR="00F1426F" w:rsidRPr="001005B7">
        <w:t>. The trouble is th</w:t>
      </w:r>
      <w:r w:rsidR="00242448" w:rsidRPr="001005B7">
        <w:t xml:space="preserve">e usual one: in the exercise of leadership </w:t>
      </w:r>
      <w:r w:rsidR="00075805" w:rsidRPr="001005B7">
        <w:t>“</w:t>
      </w:r>
      <w:r w:rsidR="00903FE2" w:rsidRPr="001005B7">
        <w:t>arrogance</w:t>
      </w:r>
      <w:r w:rsidR="00075805" w:rsidRPr="001005B7">
        <w:t>”</w:t>
      </w:r>
      <w:r w:rsidR="00903FE2" w:rsidRPr="001005B7">
        <w:rPr>
          <w:i/>
          <w:iCs/>
        </w:rPr>
        <w:t xml:space="preserve"> </w:t>
      </w:r>
      <w:r w:rsidR="00944D71" w:rsidRPr="001005B7">
        <w:t>(</w:t>
      </w:r>
      <w:r w:rsidR="00944D71" w:rsidRPr="001005B7">
        <w:rPr>
          <w:rFonts w:cstheme="minorHAnsi"/>
          <w:rtl/>
          <w:lang w:bidi="he-IL"/>
        </w:rPr>
        <w:t>זׇדוֹ</w:t>
      </w:r>
      <w:r w:rsidR="00003CED" w:rsidRPr="001005B7">
        <w:rPr>
          <w:rFonts w:cstheme="minorHAnsi"/>
          <w:rtl/>
          <w:lang w:bidi="he-IL"/>
        </w:rPr>
        <w:t>ן</w:t>
      </w:r>
      <w:r w:rsidR="00003CED" w:rsidRPr="001005B7">
        <w:t xml:space="preserve">) </w:t>
      </w:r>
      <w:r w:rsidR="00903FE2" w:rsidRPr="001005B7">
        <w:t>or pres</w:t>
      </w:r>
      <w:r w:rsidR="009D4C6B" w:rsidRPr="001005B7">
        <w:t xml:space="preserve">umption </w:t>
      </w:r>
      <w:r w:rsidR="00075805" w:rsidRPr="001005B7">
        <w:t>“</w:t>
      </w:r>
      <w:r w:rsidR="009D4C6B" w:rsidRPr="001005B7">
        <w:t>has</w:t>
      </w:r>
      <w:r w:rsidR="00242448" w:rsidRPr="001005B7">
        <w:t xml:space="preserve"> </w:t>
      </w:r>
      <w:r w:rsidR="00A36B16" w:rsidRPr="001005B7">
        <w:t>budded.</w:t>
      </w:r>
      <w:r w:rsidR="00075805" w:rsidRPr="001005B7">
        <w:t>”</w:t>
      </w:r>
      <w:r w:rsidR="00A36B16" w:rsidRPr="001005B7">
        <w:t xml:space="preserve"> </w:t>
      </w:r>
      <w:r w:rsidR="007300BA" w:rsidRPr="001005B7">
        <w:t xml:space="preserve">There is </w:t>
      </w:r>
      <w:r w:rsidR="004554B2" w:rsidRPr="001005B7">
        <w:t xml:space="preserve">something deeply sad about this combination of the language of budding and blossoming </w:t>
      </w:r>
      <w:r w:rsidR="00846F34" w:rsidRPr="001005B7">
        <w:t xml:space="preserve">and the noun arrogance. </w:t>
      </w:r>
      <w:r w:rsidR="00672EDF" w:rsidRPr="001005B7">
        <w:t xml:space="preserve">Arrogance </w:t>
      </w:r>
      <w:r w:rsidR="005A0D72" w:rsidRPr="001005B7">
        <w:t>especially</w:t>
      </w:r>
      <w:r w:rsidR="002E0376" w:rsidRPr="001005B7">
        <w:t xml:space="preserve"> denotes presumption in relation to God, the besetting temptation of leadership</w:t>
      </w:r>
      <w:r w:rsidR="004B0DD4" w:rsidRPr="001005B7">
        <w:t>. But it also finds expression in the way leaders treat their peopl</w:t>
      </w:r>
      <w:r w:rsidR="00356F50" w:rsidRPr="001005B7">
        <w:t xml:space="preserve">e. </w:t>
      </w:r>
      <w:r w:rsidR="00BB46A4" w:rsidRPr="001005B7">
        <w:t xml:space="preserve">Both are implicit in </w:t>
      </w:r>
      <w:r w:rsidR="004A5838" w:rsidRPr="001005B7">
        <w:t>“</w:t>
      </w:r>
      <w:r w:rsidR="00BB46A4" w:rsidRPr="001005B7">
        <w:t>violence</w:t>
      </w:r>
      <w:r w:rsidR="004A5838" w:rsidRPr="001005B7">
        <w:t>”</w:t>
      </w:r>
      <w:r w:rsidR="00E4764A" w:rsidRPr="001005B7">
        <w:rPr>
          <w:i/>
          <w:iCs/>
        </w:rPr>
        <w:t xml:space="preserve"> </w:t>
      </w:r>
      <w:r w:rsidR="00E4764A" w:rsidRPr="001005B7">
        <w:t xml:space="preserve">towards people </w:t>
      </w:r>
      <w:r w:rsidR="000348EC">
        <w:t>being</w:t>
      </w:r>
      <w:r w:rsidR="00CA7831" w:rsidRPr="001005B7">
        <w:t xml:space="preserve"> a</w:t>
      </w:r>
      <w:r w:rsidR="00045890">
        <w:t xml:space="preserve"> </w:t>
      </w:r>
      <w:r w:rsidR="00CA7831" w:rsidRPr="001005B7">
        <w:t xml:space="preserve">violation </w:t>
      </w:r>
      <w:r w:rsidR="002D076C" w:rsidRPr="001005B7">
        <w:t>of</w:t>
      </w:r>
      <w:r w:rsidR="00CA7831" w:rsidRPr="001005B7">
        <w:t xml:space="preserve"> Yahweh’s </w:t>
      </w:r>
      <w:r w:rsidR="00E36062" w:rsidRPr="001005B7">
        <w:t xml:space="preserve">expectations </w:t>
      </w:r>
      <w:r w:rsidR="00370F86" w:rsidRPr="001005B7">
        <w:t>about</w:t>
      </w:r>
      <w:r w:rsidR="00E36062" w:rsidRPr="001005B7">
        <w:t xml:space="preserve"> people</w:t>
      </w:r>
      <w:r w:rsidR="00370F86" w:rsidRPr="001005B7">
        <w:t>’s welfare</w:t>
      </w:r>
      <w:r w:rsidR="001C13D0" w:rsidRPr="001005B7">
        <w:t xml:space="preserve"> </w:t>
      </w:r>
      <w:r w:rsidR="007F527E" w:rsidRPr="001005B7">
        <w:t>(</w:t>
      </w:r>
      <w:r w:rsidR="007113C3" w:rsidRPr="001005B7">
        <w:rPr>
          <w:sz w:val="18"/>
          <w:szCs w:val="18"/>
        </w:rPr>
        <w:t>LXX</w:t>
      </w:r>
      <w:r w:rsidR="007F527E" w:rsidRPr="001005B7">
        <w:t xml:space="preserve"> t</w:t>
      </w:r>
      <w:r w:rsidR="006F6CB9" w:rsidRPr="001005B7">
        <w:t>ake</w:t>
      </w:r>
      <w:r w:rsidR="007F527E" w:rsidRPr="001005B7">
        <w:t xml:space="preserve">s </w:t>
      </w:r>
      <w:r w:rsidR="007F527E" w:rsidRPr="001005B7">
        <w:rPr>
          <w:rFonts w:cstheme="minorHAnsi"/>
          <w:rtl/>
          <w:lang w:bidi="he-IL"/>
        </w:rPr>
        <w:t>חָמָ</w:t>
      </w:r>
      <w:r w:rsidR="006F6CB9" w:rsidRPr="001005B7">
        <w:rPr>
          <w:rFonts w:cstheme="minorHAnsi"/>
          <w:rtl/>
          <w:lang w:bidi="he-IL"/>
        </w:rPr>
        <w:t>ס</w:t>
      </w:r>
      <w:r w:rsidR="006F6CB9" w:rsidRPr="001005B7">
        <w:t xml:space="preserve"> to signify </w:t>
      </w:r>
      <w:r w:rsidR="00DE2834" w:rsidRPr="001005B7">
        <w:t>“lawlessness”</w:t>
      </w:r>
      <w:r w:rsidR="00F80D61" w:rsidRPr="001005B7">
        <w:t xml:space="preserve">; </w:t>
      </w:r>
      <w:r w:rsidR="00573675" w:rsidRPr="001005B7">
        <w:t xml:space="preserve">Vg. </w:t>
      </w:r>
      <w:r w:rsidR="00482B37" w:rsidRPr="001005B7">
        <w:t xml:space="preserve">has </w:t>
      </w:r>
      <w:proofErr w:type="spellStart"/>
      <w:r w:rsidR="00482B37" w:rsidRPr="001005B7">
        <w:rPr>
          <w:i/>
          <w:iCs/>
        </w:rPr>
        <w:t>iniquitas</w:t>
      </w:r>
      <w:proofErr w:type="spellEnd"/>
      <w:r w:rsidR="00482B37" w:rsidRPr="001005B7">
        <w:t xml:space="preserve">, </w:t>
      </w:r>
      <w:r w:rsidR="0062024F" w:rsidRPr="001005B7">
        <w:t>unfairness/injustice</w:t>
      </w:r>
      <w:r w:rsidR="00DE2834" w:rsidRPr="001005B7">
        <w:t>).</w:t>
      </w:r>
      <w:r w:rsidR="006E0F7A" w:rsidRPr="001005B7">
        <w:t xml:space="preserve"> So the exercise of the scepter or club is </w:t>
      </w:r>
      <w:r w:rsidR="004A5838" w:rsidRPr="001005B7">
        <w:t>“</w:t>
      </w:r>
      <w:r w:rsidR="006E0F7A" w:rsidRPr="001005B7">
        <w:t>faithless</w:t>
      </w:r>
      <w:r w:rsidR="004A5838" w:rsidRPr="001005B7">
        <w:t>”</w:t>
      </w:r>
      <w:r w:rsidR="00370F86" w:rsidRPr="001005B7">
        <w:t xml:space="preserve"> (</w:t>
      </w:r>
      <w:r w:rsidR="00D423E0" w:rsidRPr="001005B7">
        <w:t xml:space="preserve">the noun </w:t>
      </w:r>
      <w:r w:rsidR="002533E1" w:rsidRPr="001005B7">
        <w:rPr>
          <w:rFonts w:cstheme="minorHAnsi"/>
          <w:rtl/>
          <w:lang w:bidi="he-IL"/>
        </w:rPr>
        <w:t>רֶשַׁע</w:t>
      </w:r>
      <w:r w:rsidR="00D423E0" w:rsidRPr="001005B7">
        <w:rPr>
          <w:rFonts w:cstheme="minorHAnsi"/>
        </w:rPr>
        <w:t>,</w:t>
      </w:r>
      <w:r w:rsidR="00D423E0" w:rsidRPr="001005B7">
        <w:rPr>
          <w:rFonts w:cstheme="minorHAnsi"/>
          <w:i/>
          <w:iCs/>
        </w:rPr>
        <w:t xml:space="preserve"> </w:t>
      </w:r>
      <w:r w:rsidR="006E0F7A" w:rsidRPr="001005B7">
        <w:t xml:space="preserve">another word </w:t>
      </w:r>
      <w:r w:rsidR="003C112D" w:rsidRPr="001005B7">
        <w:t>combin</w:t>
      </w:r>
      <w:r w:rsidR="00BB08B6" w:rsidRPr="001005B7">
        <w:t>ing</w:t>
      </w:r>
      <w:r w:rsidR="003C112D" w:rsidRPr="001005B7">
        <w:t xml:space="preserve"> wrongdoing in relation to God and to people</w:t>
      </w:r>
      <w:r w:rsidR="005701FD" w:rsidRPr="001005B7">
        <w:t>)</w:t>
      </w:r>
      <w:r w:rsidR="003C112D" w:rsidRPr="001005B7">
        <w:t>.</w:t>
      </w:r>
      <w:r w:rsidR="00C6582D" w:rsidRPr="001005B7">
        <w:t xml:space="preserve"> The four </w:t>
      </w:r>
      <w:r w:rsidR="005726D7" w:rsidRPr="001005B7">
        <w:t xml:space="preserve">laconic </w:t>
      </w:r>
      <w:r w:rsidR="00F20A44" w:rsidRPr="001005B7">
        <w:t>“</w:t>
      </w:r>
      <w:r w:rsidR="00C6582D" w:rsidRPr="001005B7">
        <w:t>nothing</w:t>
      </w:r>
      <w:r w:rsidR="00F20A44" w:rsidRPr="001005B7">
        <w:t>”</w:t>
      </w:r>
      <w:r w:rsidR="00C6582D" w:rsidRPr="001005B7">
        <w:t xml:space="preserve"> phrases then describe the </w:t>
      </w:r>
      <w:r w:rsidR="0053554C" w:rsidRPr="001005B7">
        <w:t>way doom will pan out for these leaders</w:t>
      </w:r>
      <w:r w:rsidR="00A3640D" w:rsidRPr="001005B7">
        <w:t xml:space="preserve"> as </w:t>
      </w:r>
      <w:r w:rsidR="00F20A44" w:rsidRPr="001005B7">
        <w:t>“</w:t>
      </w:r>
      <w:r w:rsidR="00A3640D" w:rsidRPr="001005B7">
        <w:t>the</w:t>
      </w:r>
      <w:r w:rsidR="00A3640D" w:rsidRPr="001005B7">
        <w:rPr>
          <w:i/>
          <w:iCs/>
        </w:rPr>
        <w:t xml:space="preserve"> </w:t>
      </w:r>
      <w:r w:rsidR="00A3640D" w:rsidRPr="001005B7">
        <w:t>time</w:t>
      </w:r>
      <w:r w:rsidR="00A3640D" w:rsidRPr="001005B7">
        <w:rPr>
          <w:i/>
          <w:iCs/>
        </w:rPr>
        <w:t xml:space="preserve"> </w:t>
      </w:r>
      <w:r w:rsidR="00A3640D" w:rsidRPr="001005B7">
        <w:t>is</w:t>
      </w:r>
      <w:r w:rsidR="00A3640D" w:rsidRPr="001005B7">
        <w:rPr>
          <w:i/>
          <w:iCs/>
        </w:rPr>
        <w:t xml:space="preserve"> </w:t>
      </w:r>
      <w:r w:rsidR="00A3640D" w:rsidRPr="001005B7">
        <w:t>coming</w:t>
      </w:r>
      <w:r w:rsidR="00F20A44" w:rsidRPr="001005B7">
        <w:t>”</w:t>
      </w:r>
      <w:r w:rsidR="00A3640D" w:rsidRPr="001005B7">
        <w:t xml:space="preserve"> and </w:t>
      </w:r>
      <w:r w:rsidR="00F20A44" w:rsidRPr="001005B7">
        <w:t>“</w:t>
      </w:r>
      <w:r w:rsidR="00A3640D" w:rsidRPr="001005B7">
        <w:t>the</w:t>
      </w:r>
      <w:r w:rsidR="00A3640D" w:rsidRPr="001005B7">
        <w:rPr>
          <w:i/>
          <w:iCs/>
        </w:rPr>
        <w:t xml:space="preserve"> </w:t>
      </w:r>
      <w:r w:rsidR="00A3640D" w:rsidRPr="001005B7">
        <w:t>day</w:t>
      </w:r>
      <w:r w:rsidR="00A3640D" w:rsidRPr="001005B7">
        <w:rPr>
          <w:i/>
          <w:iCs/>
        </w:rPr>
        <w:t xml:space="preserve"> </w:t>
      </w:r>
      <w:r w:rsidR="00A3640D" w:rsidRPr="001005B7">
        <w:t>is</w:t>
      </w:r>
      <w:r w:rsidR="00A3640D" w:rsidRPr="001005B7">
        <w:rPr>
          <w:i/>
          <w:iCs/>
        </w:rPr>
        <w:t xml:space="preserve"> </w:t>
      </w:r>
      <w:r w:rsidR="00A3640D" w:rsidRPr="001005B7">
        <w:t>arriving.</w:t>
      </w:r>
      <w:r w:rsidR="00F20A44" w:rsidRPr="001005B7">
        <w:t>”</w:t>
      </w:r>
      <w:r w:rsidR="000E1103" w:rsidRPr="001005B7">
        <w:t xml:space="preserve"> While </w:t>
      </w:r>
      <w:r w:rsidR="00E63CD7" w:rsidRPr="001005B7">
        <w:t xml:space="preserve">the end is going to affect the entire community, it is going to be especially </w:t>
      </w:r>
      <w:r w:rsidR="00425C02" w:rsidRPr="001005B7">
        <w:t xml:space="preserve">devastating for its leadership because of the special responsibility it bears for the roads </w:t>
      </w:r>
      <w:r w:rsidR="00DA1EDD" w:rsidRPr="001005B7">
        <w:t xml:space="preserve">along which it conducts the city, for the city’s outrages. </w:t>
      </w:r>
      <w:r w:rsidR="008D1CC1" w:rsidRPr="001005B7">
        <w:t>I</w:t>
      </w:r>
      <w:r w:rsidR="00A24DA8" w:rsidRPr="001005B7">
        <w:t xml:space="preserve">n 597 </w:t>
      </w:r>
      <w:r w:rsidR="009C1F5A" w:rsidRPr="001005B7">
        <w:t xml:space="preserve">the leadership especially suffered, </w:t>
      </w:r>
      <w:r w:rsidR="00A24DA8" w:rsidRPr="001005B7">
        <w:t xml:space="preserve">and it will </w:t>
      </w:r>
      <w:r w:rsidR="009C1F5A" w:rsidRPr="001005B7">
        <w:t>do so again</w:t>
      </w:r>
      <w:r w:rsidR="00A24DA8" w:rsidRPr="001005B7">
        <w:t xml:space="preserve"> in 587</w:t>
      </w:r>
      <w:r w:rsidR="00592DFE" w:rsidRPr="001005B7">
        <w:t>.</w:t>
      </w:r>
    </w:p>
    <w:p w14:paraId="214595A6" w14:textId="4B4C3DE2" w:rsidR="00664C8E" w:rsidRPr="001005B7" w:rsidRDefault="00D20F29" w:rsidP="004E761F">
      <w:r w:rsidRPr="001005B7">
        <w:rPr>
          <w:b/>
          <w:bCs/>
        </w:rPr>
        <w:t>7:</w:t>
      </w:r>
      <w:r w:rsidR="00F91E5C" w:rsidRPr="001005B7">
        <w:rPr>
          <w:b/>
          <w:bCs/>
        </w:rPr>
        <w:t>12</w:t>
      </w:r>
      <w:r w:rsidR="00043F88" w:rsidRPr="001005B7">
        <w:rPr>
          <w:b/>
          <w:bCs/>
        </w:rPr>
        <w:t>a</w:t>
      </w:r>
      <w:r w:rsidR="00043F88" w:rsidRPr="001005B7">
        <w:rPr>
          <w:rFonts w:cstheme="minorHAnsi"/>
          <w:b/>
          <w:bCs/>
        </w:rPr>
        <w:t>β</w:t>
      </w:r>
      <w:r w:rsidR="00F91E5C" w:rsidRPr="001005B7">
        <w:rPr>
          <w:b/>
          <w:bCs/>
        </w:rPr>
        <w:t xml:space="preserve"> </w:t>
      </w:r>
      <w:r w:rsidR="00F91E5C" w:rsidRPr="001005B7">
        <w:t xml:space="preserve">Yahweh </w:t>
      </w:r>
      <w:r w:rsidR="00433645" w:rsidRPr="001005B7">
        <w:t xml:space="preserve">now describes some concrete implications </w:t>
      </w:r>
      <w:r w:rsidR="00E53DAB" w:rsidRPr="001005B7">
        <w:t xml:space="preserve">that will issue </w:t>
      </w:r>
      <w:r w:rsidR="009D57A3" w:rsidRPr="001005B7">
        <w:t>from</w:t>
      </w:r>
      <w:r w:rsidR="00660AB9" w:rsidRPr="001005B7">
        <w:t xml:space="preserve"> the time coming and the day arriving</w:t>
      </w:r>
      <w:r w:rsidR="00511634" w:rsidRPr="001005B7">
        <w:t xml:space="preserve">. </w:t>
      </w:r>
      <w:r w:rsidR="006C212E" w:rsidRPr="001005B7">
        <w:t>T</w:t>
      </w:r>
      <w:r w:rsidR="00511634" w:rsidRPr="001005B7">
        <w:t>hese imminent realities</w:t>
      </w:r>
      <w:r w:rsidR="006C212E" w:rsidRPr="001005B7">
        <w:t xml:space="preserve"> </w:t>
      </w:r>
      <w:r w:rsidR="004C7BD5" w:rsidRPr="001005B7">
        <w:t xml:space="preserve">will </w:t>
      </w:r>
      <w:r w:rsidR="006C212E" w:rsidRPr="001005B7">
        <w:t xml:space="preserve">make </w:t>
      </w:r>
      <w:r w:rsidR="008A13F4" w:rsidRPr="001005B7">
        <w:t xml:space="preserve">it inappropriate to carry on </w:t>
      </w:r>
      <w:r w:rsidR="005F5E52" w:rsidRPr="001005B7">
        <w:t xml:space="preserve">with </w:t>
      </w:r>
      <w:r w:rsidR="008A13F4" w:rsidRPr="001005B7">
        <w:t>life as if everything were normal</w:t>
      </w:r>
      <w:r w:rsidR="00EA7B5A" w:rsidRPr="001005B7">
        <w:t xml:space="preserve">. </w:t>
      </w:r>
      <w:r w:rsidR="00713796" w:rsidRPr="001005B7">
        <w:t>Imagine</w:t>
      </w:r>
      <w:r w:rsidR="00164476" w:rsidRPr="001005B7">
        <w:t xml:space="preserve"> an everyday situation in which </w:t>
      </w:r>
      <w:r w:rsidR="00F11CA2" w:rsidRPr="001005B7">
        <w:t xml:space="preserve">people </w:t>
      </w:r>
      <w:r w:rsidR="00D262DF" w:rsidRPr="001005B7">
        <w:t>celebrat</w:t>
      </w:r>
      <w:r w:rsidR="00F11CA2" w:rsidRPr="001005B7">
        <w:t>e</w:t>
      </w:r>
      <w:r w:rsidR="00D262DF" w:rsidRPr="001005B7">
        <w:t xml:space="preserve"> or mourn</w:t>
      </w:r>
      <w:r w:rsidR="00530EA7" w:rsidRPr="001005B7">
        <w:t>.</w:t>
      </w:r>
      <w:r w:rsidR="00D262DF" w:rsidRPr="001005B7">
        <w:t xml:space="preserve"> </w:t>
      </w:r>
      <w:r w:rsidR="00530EA7" w:rsidRPr="001005B7">
        <w:t>F</w:t>
      </w:r>
      <w:r w:rsidR="00880E33" w:rsidRPr="001005B7">
        <w:t xml:space="preserve">armers come to town </w:t>
      </w:r>
      <w:r w:rsidR="008351A7" w:rsidRPr="001005B7">
        <w:t>with</w:t>
      </w:r>
      <w:r w:rsidR="00880E33" w:rsidRPr="001005B7">
        <w:t xml:space="preserve"> their produce</w:t>
      </w:r>
      <w:r w:rsidR="00EA7B5A" w:rsidRPr="001005B7">
        <w:t xml:space="preserve"> </w:t>
      </w:r>
      <w:r w:rsidR="00880E33" w:rsidRPr="001005B7">
        <w:t xml:space="preserve">and then </w:t>
      </w:r>
      <w:r w:rsidR="00805E31" w:rsidRPr="001005B7">
        <w:t>“</w:t>
      </w:r>
      <w:r w:rsidR="009F0FB5" w:rsidRPr="001005B7">
        <w:t>celebrate</w:t>
      </w:r>
      <w:r w:rsidR="00805E31" w:rsidRPr="001005B7">
        <w:t>”</w:t>
      </w:r>
      <w:r w:rsidR="009F0FB5" w:rsidRPr="001005B7">
        <w:rPr>
          <w:i/>
          <w:iCs/>
        </w:rPr>
        <w:t xml:space="preserve"> </w:t>
      </w:r>
      <w:r w:rsidR="009F0FB5" w:rsidRPr="001005B7">
        <w:t xml:space="preserve">or </w:t>
      </w:r>
      <w:r w:rsidR="00805E31" w:rsidRPr="001005B7">
        <w:t>“</w:t>
      </w:r>
      <w:r w:rsidR="009F0FB5" w:rsidRPr="001005B7">
        <w:t>mourn</w:t>
      </w:r>
      <w:r w:rsidR="00805E31" w:rsidRPr="001005B7">
        <w:t>”</w:t>
      </w:r>
      <w:r w:rsidR="009F0FB5" w:rsidRPr="001005B7">
        <w:rPr>
          <w:i/>
          <w:iCs/>
        </w:rPr>
        <w:t xml:space="preserve"> </w:t>
      </w:r>
      <w:r w:rsidR="008351A7" w:rsidRPr="001005B7">
        <w:t xml:space="preserve">according to how their transactions </w:t>
      </w:r>
      <w:r w:rsidR="007A79B6" w:rsidRPr="001005B7">
        <w:t>went</w:t>
      </w:r>
      <w:r w:rsidR="001D17E3" w:rsidRPr="001005B7">
        <w:t xml:space="preserve">, how good </w:t>
      </w:r>
      <w:r w:rsidR="007A79B6" w:rsidRPr="001005B7">
        <w:t>was</w:t>
      </w:r>
      <w:r w:rsidR="001D17E3" w:rsidRPr="001005B7">
        <w:t xml:space="preserve"> the price they g</w:t>
      </w:r>
      <w:r w:rsidR="007A79B6" w:rsidRPr="001005B7">
        <w:t>o</w:t>
      </w:r>
      <w:r w:rsidR="001D17E3" w:rsidRPr="001005B7">
        <w:t xml:space="preserve">t and </w:t>
      </w:r>
      <w:r w:rsidR="009C0FF5" w:rsidRPr="001005B7">
        <w:t xml:space="preserve">how far they </w:t>
      </w:r>
      <w:r w:rsidR="007A79B6" w:rsidRPr="001005B7">
        <w:t>we</w:t>
      </w:r>
      <w:r w:rsidR="009C0FF5" w:rsidRPr="001005B7">
        <w:t xml:space="preserve">re </w:t>
      </w:r>
      <w:r w:rsidR="00530EA7" w:rsidRPr="001005B7">
        <w:t xml:space="preserve">also </w:t>
      </w:r>
      <w:r w:rsidR="009C0FF5" w:rsidRPr="001005B7">
        <w:t>able to barter for the things they themselves need</w:t>
      </w:r>
      <w:r w:rsidR="002A3681">
        <w:t>ed</w:t>
      </w:r>
      <w:r w:rsidR="009C0FF5" w:rsidRPr="001005B7">
        <w:t xml:space="preserve">. </w:t>
      </w:r>
      <w:r w:rsidR="00EB732A" w:rsidRPr="001005B7">
        <w:t xml:space="preserve">All that </w:t>
      </w:r>
      <w:r w:rsidR="00F64D8C" w:rsidRPr="001005B7">
        <w:t>will be</w:t>
      </w:r>
      <w:r w:rsidR="00EB732A" w:rsidRPr="001005B7">
        <w:t xml:space="preserve"> stupid in light of</w:t>
      </w:r>
      <w:r w:rsidR="004E0DBF" w:rsidRPr="001005B7">
        <w:t xml:space="preserve"> the day of </w:t>
      </w:r>
      <w:r w:rsidR="008F6728" w:rsidRPr="001005B7">
        <w:t>“</w:t>
      </w:r>
      <w:r w:rsidR="004E0DBF" w:rsidRPr="001005B7">
        <w:t>wrath</w:t>
      </w:r>
      <w:r w:rsidR="008F6728" w:rsidRPr="001005B7">
        <w:t>”</w:t>
      </w:r>
      <w:r w:rsidR="004E0DBF" w:rsidRPr="001005B7">
        <w:rPr>
          <w:i/>
          <w:iCs/>
        </w:rPr>
        <w:t xml:space="preserve"> </w:t>
      </w:r>
      <w:r w:rsidR="00575E24" w:rsidRPr="001005B7">
        <w:t xml:space="preserve">that </w:t>
      </w:r>
      <w:r w:rsidR="004E0DBF" w:rsidRPr="001005B7">
        <w:t>is coming</w:t>
      </w:r>
      <w:r w:rsidR="00373933" w:rsidRPr="001005B7">
        <w:t xml:space="preserve"> on the </w:t>
      </w:r>
      <w:r w:rsidR="008F6728" w:rsidRPr="001005B7">
        <w:t>“</w:t>
      </w:r>
      <w:r w:rsidR="00373933" w:rsidRPr="001005B7">
        <w:t>entire</w:t>
      </w:r>
      <w:r w:rsidR="00373933" w:rsidRPr="001005B7">
        <w:rPr>
          <w:i/>
          <w:iCs/>
        </w:rPr>
        <w:t xml:space="preserve"> </w:t>
      </w:r>
      <w:r w:rsidR="00373933" w:rsidRPr="001005B7">
        <w:t>horde</w:t>
      </w:r>
      <w:r w:rsidR="008F6728" w:rsidRPr="001005B7">
        <w:t>”</w:t>
      </w:r>
      <w:r w:rsidR="00373933" w:rsidRPr="001005B7">
        <w:t xml:space="preserve"> in the city.</w:t>
      </w:r>
      <w:r w:rsidR="00A000E5" w:rsidRPr="001005B7">
        <w:t xml:space="preserve"> </w:t>
      </w:r>
      <w:r w:rsidR="004E761F" w:rsidRPr="001005B7">
        <w:t>In the market in a traditional society, “buying and selling are colorful signs of life” and “an occasion of calculated play,” but “the day of God breaks up the natural course of things</w:t>
      </w:r>
      <w:r w:rsidR="00B96AFB" w:rsidRPr="001005B7">
        <w:t>” (</w:t>
      </w:r>
      <w:proofErr w:type="spellStart"/>
      <w:r w:rsidR="00B96AFB" w:rsidRPr="001005B7">
        <w:t>Zimmerli</w:t>
      </w:r>
      <w:proofErr w:type="spellEnd"/>
      <w:r w:rsidR="00BF2EAB" w:rsidRPr="001005B7">
        <w:t>,</w:t>
      </w:r>
      <w:r w:rsidR="00B96AFB" w:rsidRPr="001005B7">
        <w:rPr>
          <w:i/>
          <w:iCs/>
        </w:rPr>
        <w:t xml:space="preserve"> </w:t>
      </w:r>
      <w:r w:rsidR="00B96AFB" w:rsidRPr="001005B7">
        <w:t>1:208).</w:t>
      </w:r>
      <w:r w:rsidR="004E761F" w:rsidRPr="001005B7">
        <w:t xml:space="preserve"> </w:t>
      </w:r>
      <w:r w:rsidR="00400C5A" w:rsidRPr="001005B7">
        <w:t>To speak of</w:t>
      </w:r>
      <w:r w:rsidR="00664C8E" w:rsidRPr="001005B7">
        <w:t xml:space="preserve"> Yahweh’s </w:t>
      </w:r>
      <w:r w:rsidR="0015038F" w:rsidRPr="001005B7">
        <w:t>“</w:t>
      </w:r>
      <w:r w:rsidR="00664C8E" w:rsidRPr="001005B7">
        <w:t>wrath</w:t>
      </w:r>
      <w:r w:rsidR="0015038F" w:rsidRPr="001005B7">
        <w:t>”</w:t>
      </w:r>
      <w:r w:rsidR="00664C8E" w:rsidRPr="001005B7">
        <w:t xml:space="preserve"> is another way of referring to his fury (e.g., 5:13, 15)</w:t>
      </w:r>
      <w:r w:rsidR="004B2DCA" w:rsidRPr="001005B7">
        <w:t>,</w:t>
      </w:r>
      <w:r w:rsidR="00316157" w:rsidRPr="001005B7">
        <w:t xml:space="preserve"> another way of pointing to</w:t>
      </w:r>
      <w:r w:rsidR="00664C8E" w:rsidRPr="001005B7">
        <w:t xml:space="preserve"> the ferocity of what </w:t>
      </w:r>
      <w:r w:rsidR="00316157" w:rsidRPr="001005B7">
        <w:t xml:space="preserve">will </w:t>
      </w:r>
      <w:r w:rsidR="00664C8E" w:rsidRPr="001005B7">
        <w:t xml:space="preserve">issue from his acting. The effect of using this other word is to make a connection with two words linked by alliteration, </w:t>
      </w:r>
      <w:r w:rsidR="0015038F" w:rsidRPr="001005B7">
        <w:t>“</w:t>
      </w:r>
      <w:r w:rsidR="008A5F44" w:rsidRPr="001005B7">
        <w:t>wrath</w:t>
      </w:r>
      <w:r w:rsidR="0015038F" w:rsidRPr="001005B7">
        <w:t>”</w:t>
      </w:r>
      <w:r w:rsidR="008A5F44" w:rsidRPr="001005B7">
        <w:t xml:space="preserve"> and </w:t>
      </w:r>
      <w:r w:rsidR="0015038F" w:rsidRPr="001005B7">
        <w:t>“</w:t>
      </w:r>
      <w:r w:rsidR="008A5F44" w:rsidRPr="001005B7">
        <w:t>horde</w:t>
      </w:r>
      <w:r w:rsidR="00293BF7" w:rsidRPr="001005B7">
        <w:t>”</w:t>
      </w:r>
      <w:r w:rsidR="008A5F44" w:rsidRPr="001005B7">
        <w:t xml:space="preserve"> </w:t>
      </w:r>
      <w:r w:rsidR="002C241D" w:rsidRPr="001005B7">
        <w:t>(</w:t>
      </w:r>
      <w:r w:rsidR="00CA79C6" w:rsidRPr="001005B7">
        <w:rPr>
          <w:rFonts w:cstheme="minorHAnsi"/>
          <w:rtl/>
          <w:lang w:bidi="he-IL"/>
        </w:rPr>
        <w:t>ח</w:t>
      </w:r>
      <w:r w:rsidR="00CA32AE" w:rsidRPr="001005B7">
        <w:rPr>
          <w:rFonts w:cstheme="minorHAnsi"/>
          <w:rtl/>
          <w:lang w:bidi="he-IL"/>
        </w:rPr>
        <w:t>ָרוׄן</w:t>
      </w:r>
      <w:r w:rsidR="00664C8E" w:rsidRPr="001005B7">
        <w:rPr>
          <w:rFonts w:cstheme="minorHAnsi"/>
          <w:i/>
          <w:iCs/>
        </w:rPr>
        <w:t xml:space="preserve"> </w:t>
      </w:r>
      <w:r w:rsidR="00664C8E" w:rsidRPr="001005B7">
        <w:rPr>
          <w:rFonts w:cstheme="minorHAnsi"/>
        </w:rPr>
        <w:t xml:space="preserve">and </w:t>
      </w:r>
      <w:r w:rsidR="00621E38" w:rsidRPr="001005B7">
        <w:rPr>
          <w:rFonts w:cstheme="minorHAnsi"/>
          <w:rtl/>
          <w:lang w:bidi="he-IL"/>
        </w:rPr>
        <w:t>הָמוׄן</w:t>
      </w:r>
      <w:r w:rsidR="002C241D" w:rsidRPr="001005B7">
        <w:rPr>
          <w:rFonts w:cstheme="minorHAnsi"/>
        </w:rPr>
        <w:t>)</w:t>
      </w:r>
      <w:r w:rsidR="00B96AFB" w:rsidRPr="001005B7">
        <w:t xml:space="preserve"> (Block</w:t>
      </w:r>
      <w:r w:rsidR="00BF2EAB" w:rsidRPr="001005B7">
        <w:t>,</w:t>
      </w:r>
      <w:r w:rsidR="00B96AFB" w:rsidRPr="001005B7">
        <w:t xml:space="preserve"> </w:t>
      </w:r>
      <w:r w:rsidR="001F0DCD" w:rsidRPr="001005B7">
        <w:t>1:</w:t>
      </w:r>
      <w:r w:rsidR="00B96AFB" w:rsidRPr="001005B7">
        <w:t>259</w:t>
      </w:r>
      <w:r w:rsidR="001F0DCD" w:rsidRPr="001005B7">
        <w:t>)</w:t>
      </w:r>
      <w:r w:rsidR="00B96AFB" w:rsidRPr="001005B7">
        <w:t>.</w:t>
      </w:r>
      <w:r w:rsidR="002C241D" w:rsidRPr="001005B7">
        <w:t xml:space="preserve"> The horde</w:t>
      </w:r>
      <w:r w:rsidR="00163BE0" w:rsidRPr="001005B7">
        <w:t>, the city’s entire people, is overcome by wrath.</w:t>
      </w:r>
      <w:r w:rsidR="007157F7" w:rsidRPr="001005B7">
        <w:t xml:space="preserve"> </w:t>
      </w:r>
    </w:p>
    <w:p w14:paraId="31B30233" w14:textId="7FE654F8" w:rsidR="003D76CA" w:rsidRPr="001005B7" w:rsidRDefault="00A5338E" w:rsidP="00110D18">
      <w:r w:rsidRPr="001005B7">
        <w:rPr>
          <w:b/>
          <w:bCs/>
        </w:rPr>
        <w:t>7:</w:t>
      </w:r>
      <w:r w:rsidR="00BF785E" w:rsidRPr="001005B7">
        <w:rPr>
          <w:b/>
          <w:bCs/>
        </w:rPr>
        <w:t xml:space="preserve">13 </w:t>
      </w:r>
      <w:r w:rsidR="00DB4CD2" w:rsidRPr="001005B7">
        <w:t xml:space="preserve">Ezekiel </w:t>
      </w:r>
      <w:r w:rsidR="00285FC0">
        <w:t xml:space="preserve">may </w:t>
      </w:r>
      <w:r w:rsidR="00DB4CD2" w:rsidRPr="001005B7">
        <w:t>go on to</w:t>
      </w:r>
      <w:r w:rsidR="00622DA9" w:rsidRPr="001005B7">
        <w:t xml:space="preserve"> point to a more serious form of transaction</w:t>
      </w:r>
      <w:r w:rsidR="00EA4B5E" w:rsidRPr="001005B7">
        <w:t>. Suppose a</w:t>
      </w:r>
      <w:r w:rsidR="007B4783" w:rsidRPr="001005B7">
        <w:t xml:space="preserve"> family has got into difficulties</w:t>
      </w:r>
      <w:r w:rsidR="00485E4A" w:rsidRPr="001005B7">
        <w:t xml:space="preserve"> </w:t>
      </w:r>
      <w:r w:rsidR="008C787E" w:rsidRPr="001005B7">
        <w:t xml:space="preserve">and </w:t>
      </w:r>
      <w:r w:rsidR="00485E4A" w:rsidRPr="001005B7">
        <w:t xml:space="preserve">has had to sell some of </w:t>
      </w:r>
      <w:r w:rsidR="008C787E" w:rsidRPr="001005B7">
        <w:t>its</w:t>
      </w:r>
      <w:r w:rsidR="00485E4A" w:rsidRPr="001005B7">
        <w:t xml:space="preserve"> property</w:t>
      </w:r>
      <w:r w:rsidR="00EA4B5E" w:rsidRPr="001005B7">
        <w:t>. I</w:t>
      </w:r>
      <w:r w:rsidR="00485E4A" w:rsidRPr="001005B7">
        <w:t>t will hope one day to come back to redeem it</w:t>
      </w:r>
      <w:r w:rsidR="007A676C" w:rsidRPr="001005B7">
        <w:t xml:space="preserve">, as the Torah </w:t>
      </w:r>
      <w:r w:rsidR="000E4A02" w:rsidRPr="001005B7">
        <w:t xml:space="preserve">lays down should happen </w:t>
      </w:r>
      <w:r w:rsidR="003C5895" w:rsidRPr="001005B7">
        <w:t>after fifty years</w:t>
      </w:r>
      <w:r w:rsidR="00485E4A" w:rsidRPr="001005B7">
        <w:t xml:space="preserve"> </w:t>
      </w:r>
      <w:r w:rsidR="003C5895" w:rsidRPr="001005B7">
        <w:t xml:space="preserve">if it doesn’t happen before </w:t>
      </w:r>
      <w:r w:rsidR="00485E4A" w:rsidRPr="001005B7">
        <w:t>(cf.</w:t>
      </w:r>
      <w:r w:rsidR="00844142" w:rsidRPr="001005B7">
        <w:t xml:space="preserve"> </w:t>
      </w:r>
      <w:r w:rsidR="00485E4A" w:rsidRPr="001005B7">
        <w:t>Lev 25:28)</w:t>
      </w:r>
      <w:r w:rsidR="00A40741" w:rsidRPr="001005B7">
        <w:t xml:space="preserve">. </w:t>
      </w:r>
      <w:r w:rsidR="000A4CF5" w:rsidRPr="001005B7">
        <w:t>It’s not going to happen</w:t>
      </w:r>
      <w:r w:rsidR="00C43D8E" w:rsidRPr="001005B7">
        <w:t xml:space="preserve"> during </w:t>
      </w:r>
      <w:r w:rsidR="006D640D" w:rsidRPr="001005B7">
        <w:t>anybody’s</w:t>
      </w:r>
      <w:r w:rsidR="00C43D8E" w:rsidRPr="001005B7">
        <w:t xml:space="preserve"> lifetime</w:t>
      </w:r>
      <w:r w:rsidR="00E26540" w:rsidRPr="001005B7">
        <w:t xml:space="preserve">. </w:t>
      </w:r>
      <w:r w:rsidR="00426FAB" w:rsidRPr="001005B7">
        <w:t xml:space="preserve">Actually, </w:t>
      </w:r>
      <w:r w:rsidR="00E91ACF" w:rsidRPr="001005B7">
        <w:t xml:space="preserve">Yahweh did tell </w:t>
      </w:r>
      <w:r w:rsidR="00426FAB" w:rsidRPr="001005B7">
        <w:t xml:space="preserve">Jeremiah </w:t>
      </w:r>
      <w:r w:rsidR="00E91ACF" w:rsidRPr="001005B7">
        <w:t>to</w:t>
      </w:r>
      <w:r w:rsidR="00426FAB" w:rsidRPr="001005B7">
        <w:t xml:space="preserve"> </w:t>
      </w:r>
      <w:r w:rsidR="00420B59" w:rsidRPr="001005B7">
        <w:t>act along these lines in a way that</w:t>
      </w:r>
      <w:r w:rsidR="00426FAB" w:rsidRPr="001005B7">
        <w:t xml:space="preserve"> </w:t>
      </w:r>
      <w:r w:rsidR="00E91ACF" w:rsidRPr="001005B7">
        <w:t>no one in their right mind w</w:t>
      </w:r>
      <w:r w:rsidR="00420B59" w:rsidRPr="001005B7">
        <w:t>ould</w:t>
      </w:r>
      <w:r w:rsidR="00E91ACF" w:rsidRPr="001005B7">
        <w:t xml:space="preserve"> </w:t>
      </w:r>
      <w:r w:rsidR="00420B59" w:rsidRPr="001005B7">
        <w:t>(Jer 32)</w:t>
      </w:r>
      <w:r w:rsidR="009F5CBB" w:rsidRPr="001005B7">
        <w:t xml:space="preserve">, and it would be a sign of hope at the darkest moment. </w:t>
      </w:r>
      <w:r w:rsidR="00110D18" w:rsidRPr="001005B7">
        <w:t>But meanwhile,</w:t>
      </w:r>
      <w:r w:rsidR="00A40741" w:rsidRPr="001005B7">
        <w:t xml:space="preserve"> this </w:t>
      </w:r>
      <w:r w:rsidR="000A2D7F" w:rsidRPr="001005B7">
        <w:t>“</w:t>
      </w:r>
      <w:r w:rsidR="005C4533" w:rsidRPr="001005B7">
        <w:t>revelati</w:t>
      </w:r>
      <w:r w:rsidR="00A40741" w:rsidRPr="001005B7">
        <w:t>on</w:t>
      </w:r>
      <w:r w:rsidR="000A2D7F" w:rsidRPr="001005B7">
        <w:t>”</w:t>
      </w:r>
      <w:r w:rsidR="00E26540" w:rsidRPr="001005B7">
        <w:rPr>
          <w:i/>
          <w:iCs/>
        </w:rPr>
        <w:t xml:space="preserve"> </w:t>
      </w:r>
      <w:r w:rsidR="00E26540" w:rsidRPr="001005B7">
        <w:t>that Yahweh is giving Ezekiel</w:t>
      </w:r>
      <w:r w:rsidR="00D01CF3" w:rsidRPr="001005B7">
        <w:t xml:space="preserve"> again</w:t>
      </w:r>
      <w:r w:rsidR="00E26540" w:rsidRPr="001005B7">
        <w:t xml:space="preserve"> </w:t>
      </w:r>
      <w:r w:rsidR="00F70146" w:rsidRPr="001005B7">
        <w:t xml:space="preserve">applies to the entire </w:t>
      </w:r>
      <w:r w:rsidR="00E3003B" w:rsidRPr="001005B7">
        <w:t>“</w:t>
      </w:r>
      <w:r w:rsidR="00C32F26" w:rsidRPr="001005B7">
        <w:t>horde</w:t>
      </w:r>
      <w:r w:rsidR="00E3003B" w:rsidRPr="001005B7">
        <w:t>”</w:t>
      </w:r>
      <w:r w:rsidR="00C32F26" w:rsidRPr="001005B7">
        <w:rPr>
          <w:i/>
          <w:iCs/>
        </w:rPr>
        <w:t xml:space="preserve"> </w:t>
      </w:r>
      <w:r w:rsidR="00C32F26" w:rsidRPr="001005B7">
        <w:t>of Israel.</w:t>
      </w:r>
      <w:r w:rsidR="008C2782" w:rsidRPr="001005B7">
        <w:t xml:space="preserve"> In calling it a revelation,</w:t>
      </w:r>
      <w:r w:rsidR="00DE0352" w:rsidRPr="001005B7">
        <w:t xml:space="preserve"> </w:t>
      </w:r>
      <w:r w:rsidR="005067D5" w:rsidRPr="001005B7">
        <w:t>Ezekiel</w:t>
      </w:r>
      <w:r w:rsidR="00DE0352" w:rsidRPr="001005B7">
        <w:t xml:space="preserve"> uses a different word (</w:t>
      </w:r>
      <w:r w:rsidR="007A7D04" w:rsidRPr="001005B7">
        <w:rPr>
          <w:rFonts w:cstheme="minorHAnsi"/>
          <w:rtl/>
          <w:lang w:bidi="he-IL"/>
        </w:rPr>
        <w:t>חָ</w:t>
      </w:r>
      <w:r w:rsidR="00920601" w:rsidRPr="001005B7">
        <w:rPr>
          <w:rFonts w:cstheme="minorHAnsi"/>
          <w:rtl/>
          <w:lang w:bidi="he-IL"/>
        </w:rPr>
        <w:t>ז</w:t>
      </w:r>
      <w:r w:rsidR="003F3063" w:rsidRPr="001005B7">
        <w:rPr>
          <w:rFonts w:cstheme="minorHAnsi"/>
          <w:rtl/>
          <w:lang w:bidi="he-IL"/>
        </w:rPr>
        <w:t>וׄן</w:t>
      </w:r>
      <w:r w:rsidR="00664C8E" w:rsidRPr="001005B7">
        <w:t>)</w:t>
      </w:r>
      <w:r w:rsidR="008D4A1A" w:rsidRPr="001005B7">
        <w:t xml:space="preserve"> from </w:t>
      </w:r>
      <w:r w:rsidR="005F1351" w:rsidRPr="001005B7">
        <w:t xml:space="preserve">the one </w:t>
      </w:r>
      <w:r w:rsidR="008E4D92" w:rsidRPr="001005B7">
        <w:t>with which he</w:t>
      </w:r>
      <w:r w:rsidR="003113DC" w:rsidRPr="001005B7">
        <w:t xml:space="preserve"> describe</w:t>
      </w:r>
      <w:r w:rsidR="008E4D92" w:rsidRPr="001005B7">
        <w:t>d</w:t>
      </w:r>
      <w:r w:rsidR="003113DC" w:rsidRPr="001005B7">
        <w:t xml:space="preserve"> his </w:t>
      </w:r>
      <w:r w:rsidR="00E3003B" w:rsidRPr="001005B7">
        <w:t>“</w:t>
      </w:r>
      <w:r w:rsidR="003113DC" w:rsidRPr="001005B7">
        <w:t>vision</w:t>
      </w:r>
      <w:r w:rsidR="00E3003B" w:rsidRPr="001005B7">
        <w:t>”</w:t>
      </w:r>
      <w:r w:rsidR="00C8235D" w:rsidRPr="001005B7">
        <w:t xml:space="preserve"> in 1:1</w:t>
      </w:r>
      <w:r w:rsidR="005F1351" w:rsidRPr="001005B7">
        <w:t xml:space="preserve"> (</w:t>
      </w:r>
      <w:r w:rsidR="00631337" w:rsidRPr="001005B7">
        <w:rPr>
          <w:rFonts w:cstheme="minorHAnsi"/>
          <w:rtl/>
          <w:lang w:bidi="he-IL"/>
        </w:rPr>
        <w:t>מַרְ</w:t>
      </w:r>
      <w:r w:rsidR="00FB4BD0" w:rsidRPr="001005B7">
        <w:rPr>
          <w:rFonts w:cstheme="minorHAnsi"/>
          <w:rtl/>
          <w:lang w:bidi="he-IL"/>
        </w:rPr>
        <w:t>א</w:t>
      </w:r>
      <w:r w:rsidR="00631337" w:rsidRPr="001005B7">
        <w:rPr>
          <w:rFonts w:cstheme="minorHAnsi"/>
          <w:rtl/>
          <w:lang w:bidi="he-IL"/>
        </w:rPr>
        <w:t>ָה</w:t>
      </w:r>
      <w:r w:rsidR="00FE4C21" w:rsidRPr="001005B7">
        <w:t>)</w:t>
      </w:r>
      <w:r w:rsidR="00EA21E3" w:rsidRPr="001005B7">
        <w:t>. I</w:t>
      </w:r>
      <w:r w:rsidR="00444AC1" w:rsidRPr="001005B7">
        <w:t>t is</w:t>
      </w:r>
      <w:r w:rsidR="00664C8E" w:rsidRPr="001005B7">
        <w:t xml:space="preserve"> another word linked by alliteration to the </w:t>
      </w:r>
      <w:r w:rsidR="00444AC1" w:rsidRPr="001005B7">
        <w:t>term</w:t>
      </w:r>
      <w:r w:rsidR="00A23AAA" w:rsidRPr="001005B7">
        <w:t>s</w:t>
      </w:r>
      <w:r w:rsidR="00664C8E" w:rsidRPr="001005B7">
        <w:t xml:space="preserve"> for </w:t>
      </w:r>
      <w:r w:rsidR="00E3003B" w:rsidRPr="001005B7">
        <w:t>“</w:t>
      </w:r>
      <w:r w:rsidR="00664C8E" w:rsidRPr="001005B7">
        <w:t>horde</w:t>
      </w:r>
      <w:r w:rsidR="00E3003B" w:rsidRPr="001005B7">
        <w:t>”</w:t>
      </w:r>
      <w:r w:rsidR="00444AC1" w:rsidRPr="001005B7">
        <w:rPr>
          <w:i/>
          <w:iCs/>
        </w:rPr>
        <w:t xml:space="preserve"> </w:t>
      </w:r>
      <w:r w:rsidR="00444AC1" w:rsidRPr="001005B7">
        <w:t xml:space="preserve">and </w:t>
      </w:r>
      <w:r w:rsidR="00E3003B" w:rsidRPr="001005B7">
        <w:t>“</w:t>
      </w:r>
      <w:r w:rsidR="00444AC1" w:rsidRPr="001005B7">
        <w:t>wrath</w:t>
      </w:r>
      <w:r w:rsidR="00A23AAA" w:rsidRPr="001005B7">
        <w:t>,</w:t>
      </w:r>
      <w:r w:rsidR="00E3003B" w:rsidRPr="001005B7">
        <w:t>”</w:t>
      </w:r>
      <w:r w:rsidR="00A23AAA" w:rsidRPr="001005B7">
        <w:t xml:space="preserve"> so it further heightens the solemnity of his </w:t>
      </w:r>
      <w:r w:rsidR="00146373" w:rsidRPr="001005B7">
        <w:t xml:space="preserve">declaration, tying together </w:t>
      </w:r>
      <w:r w:rsidR="00136416" w:rsidRPr="001005B7">
        <w:t>revelation, city, and wrath</w:t>
      </w:r>
      <w:r w:rsidR="00FE4C21" w:rsidRPr="001005B7">
        <w:t xml:space="preserve">. </w:t>
      </w:r>
      <w:r w:rsidR="00CF78BE">
        <w:t>“</w:t>
      </w:r>
      <w:r w:rsidR="004243CB">
        <w:t>V</w:t>
      </w:r>
      <w:r w:rsidR="00136416" w:rsidRPr="001005B7">
        <w:t>ision</w:t>
      </w:r>
      <w:r w:rsidR="00CF78BE">
        <w:t>”</w:t>
      </w:r>
      <w:r w:rsidR="00136416" w:rsidRPr="001005B7">
        <w:t xml:space="preserve"> and </w:t>
      </w:r>
      <w:r w:rsidR="00CF78BE">
        <w:t>“</w:t>
      </w:r>
      <w:r w:rsidR="00136416" w:rsidRPr="001005B7">
        <w:t>revelation</w:t>
      </w:r>
      <w:r w:rsidR="00CF78BE">
        <w:t>”</w:t>
      </w:r>
      <w:r w:rsidR="00136416" w:rsidRPr="001005B7">
        <w:t xml:space="preserve"> b</w:t>
      </w:r>
      <w:r w:rsidR="00FE4C21" w:rsidRPr="001005B7">
        <w:t xml:space="preserve">oth suggest something a person sees, </w:t>
      </w:r>
      <w:r w:rsidR="00885C49" w:rsidRPr="001005B7">
        <w:t xml:space="preserve">but </w:t>
      </w:r>
      <w:r w:rsidR="00B86A30" w:rsidRPr="001005B7">
        <w:t>“</w:t>
      </w:r>
      <w:r w:rsidR="00D62CBC" w:rsidRPr="001005B7">
        <w:t>revelation</w:t>
      </w:r>
      <w:r w:rsidR="00B86A30" w:rsidRPr="001005B7">
        <w:t>”</w:t>
      </w:r>
      <w:r w:rsidR="00885C49" w:rsidRPr="001005B7">
        <w:t xml:space="preserve"> makes more explicit </w:t>
      </w:r>
      <w:r w:rsidR="00D62CBC" w:rsidRPr="001005B7">
        <w:t xml:space="preserve">the reference to </w:t>
      </w:r>
      <w:r w:rsidR="0013189C">
        <w:t>the</w:t>
      </w:r>
      <w:r w:rsidR="003A5786" w:rsidRPr="001005B7">
        <w:t xml:space="preserve"> person see</w:t>
      </w:r>
      <w:r w:rsidR="0013189C">
        <w:t>ing it</w:t>
      </w:r>
      <w:r w:rsidR="003A5786" w:rsidRPr="001005B7">
        <w:t xml:space="preserve"> </w:t>
      </w:r>
      <w:r w:rsidR="00FC271B">
        <w:t xml:space="preserve">through </w:t>
      </w:r>
      <w:r w:rsidR="003A5786" w:rsidRPr="001005B7">
        <w:t>it</w:t>
      </w:r>
      <w:r w:rsidR="00FC271B">
        <w:t>s</w:t>
      </w:r>
      <w:r w:rsidR="003A5786" w:rsidRPr="001005B7">
        <w:t xml:space="preserve"> being revealed. The word underlines how seriously people need to take the </w:t>
      </w:r>
      <w:r w:rsidR="0077528C" w:rsidRPr="001005B7">
        <w:t>message Ezekiel gives them. God has revealed what he intends to do</w:t>
      </w:r>
      <w:r w:rsidR="00EA21E3" w:rsidRPr="001005B7">
        <w:t>, and</w:t>
      </w:r>
      <w:r w:rsidR="00A157C0" w:rsidRPr="001005B7">
        <w:t xml:space="preserve"> </w:t>
      </w:r>
      <w:r w:rsidR="003B6A0E" w:rsidRPr="001005B7">
        <w:t xml:space="preserve">Ezekiel is telling them. And it doesn’t just apply to </w:t>
      </w:r>
      <w:r w:rsidR="00E0154D" w:rsidRPr="001005B7">
        <w:t>particular individuals who get into economic trouble. It applies to the entire community</w:t>
      </w:r>
      <w:r w:rsidR="00202957" w:rsidRPr="001005B7">
        <w:t xml:space="preserve">. </w:t>
      </w:r>
    </w:p>
    <w:p w14:paraId="4809E597" w14:textId="21156C35" w:rsidR="006F7DB1" w:rsidRPr="001005B7" w:rsidRDefault="00F23266" w:rsidP="00110D18">
      <w:r w:rsidRPr="001005B7">
        <w:t xml:space="preserve">The </w:t>
      </w:r>
      <w:r w:rsidR="00412D6E" w:rsidRPr="001005B7">
        <w:t>“</w:t>
      </w:r>
      <w:r w:rsidRPr="001005B7">
        <w:t>revelation</w:t>
      </w:r>
      <w:r w:rsidR="00412D6E" w:rsidRPr="001005B7">
        <w:t>”</w:t>
      </w:r>
      <w:r w:rsidRPr="001005B7">
        <w:rPr>
          <w:i/>
          <w:iCs/>
        </w:rPr>
        <w:t xml:space="preserve"> </w:t>
      </w:r>
      <w:r w:rsidRPr="001005B7">
        <w:t>says that</w:t>
      </w:r>
      <w:r w:rsidR="00202957" w:rsidRPr="001005B7">
        <w:t xml:space="preserve"> </w:t>
      </w:r>
      <w:r w:rsidR="00B86A30" w:rsidRPr="001005B7">
        <w:t>“</w:t>
      </w:r>
      <w:r w:rsidR="00202957" w:rsidRPr="001005B7">
        <w:t>wrath</w:t>
      </w:r>
      <w:r w:rsidR="00B86A30" w:rsidRPr="001005B7">
        <w:t>”</w:t>
      </w:r>
      <w:r w:rsidR="00202957" w:rsidRPr="001005B7">
        <w:rPr>
          <w:i/>
          <w:iCs/>
        </w:rPr>
        <w:t xml:space="preserve"> </w:t>
      </w:r>
      <w:r w:rsidR="005337E7" w:rsidRPr="001005B7">
        <w:t xml:space="preserve">is </w:t>
      </w:r>
      <w:r w:rsidR="005A6D6D" w:rsidRPr="001005B7">
        <w:t>on its way</w:t>
      </w:r>
      <w:r w:rsidR="005337E7" w:rsidRPr="001005B7">
        <w:t xml:space="preserve"> to</w:t>
      </w:r>
      <w:r w:rsidR="00556425" w:rsidRPr="001005B7">
        <w:rPr>
          <w:i/>
          <w:iCs/>
        </w:rPr>
        <w:t xml:space="preserve"> </w:t>
      </w:r>
      <w:r w:rsidR="00B86A30" w:rsidRPr="001005B7">
        <w:t>“</w:t>
      </w:r>
      <w:r w:rsidR="00556425" w:rsidRPr="001005B7">
        <w:t>the</w:t>
      </w:r>
      <w:r w:rsidR="005337E7" w:rsidRPr="001005B7">
        <w:rPr>
          <w:i/>
          <w:iCs/>
        </w:rPr>
        <w:t xml:space="preserve"> </w:t>
      </w:r>
      <w:r w:rsidR="005337E7" w:rsidRPr="001005B7">
        <w:t>entire</w:t>
      </w:r>
      <w:r w:rsidR="00556425" w:rsidRPr="001005B7">
        <w:rPr>
          <w:i/>
          <w:iCs/>
        </w:rPr>
        <w:t xml:space="preserve"> </w:t>
      </w:r>
      <w:r w:rsidR="00556425" w:rsidRPr="001005B7">
        <w:t>horde</w:t>
      </w:r>
      <w:r w:rsidR="005337E7" w:rsidRPr="001005B7">
        <w:rPr>
          <w:i/>
          <w:iCs/>
        </w:rPr>
        <w:t xml:space="preserve"> </w:t>
      </w:r>
      <w:r w:rsidR="005337E7" w:rsidRPr="001005B7">
        <w:t>of</w:t>
      </w:r>
      <w:r w:rsidR="005337E7" w:rsidRPr="001005B7">
        <w:rPr>
          <w:i/>
          <w:iCs/>
        </w:rPr>
        <w:t xml:space="preserve"> </w:t>
      </w:r>
      <w:r w:rsidR="005337E7" w:rsidRPr="001005B7">
        <w:t>them</w:t>
      </w:r>
      <w:r w:rsidR="00B86A30" w:rsidRPr="001005B7">
        <w:t>”</w:t>
      </w:r>
      <w:r w:rsidR="005337E7" w:rsidRPr="001005B7">
        <w:t xml:space="preserve"> and </w:t>
      </w:r>
      <w:r w:rsidR="00B86A30" w:rsidRPr="001005B7">
        <w:t>“</w:t>
      </w:r>
      <w:r w:rsidR="005A6D6D" w:rsidRPr="001005B7">
        <w:t>it</w:t>
      </w:r>
      <w:r w:rsidR="005A6D6D" w:rsidRPr="001005B7">
        <w:rPr>
          <w:i/>
          <w:iCs/>
        </w:rPr>
        <w:t xml:space="preserve"> </w:t>
      </w:r>
      <w:r w:rsidR="005A6D6D" w:rsidRPr="001005B7">
        <w:t>will</w:t>
      </w:r>
      <w:r w:rsidR="005A6D6D" w:rsidRPr="001005B7">
        <w:rPr>
          <w:i/>
          <w:iCs/>
        </w:rPr>
        <w:t xml:space="preserve"> </w:t>
      </w:r>
      <w:r w:rsidR="005A6D6D" w:rsidRPr="001005B7">
        <w:t>not</w:t>
      </w:r>
      <w:r w:rsidR="005A6D6D" w:rsidRPr="001005B7">
        <w:rPr>
          <w:i/>
          <w:iCs/>
        </w:rPr>
        <w:t xml:space="preserve"> </w:t>
      </w:r>
      <w:r w:rsidR="005A6D6D" w:rsidRPr="001005B7">
        <w:t>turn</w:t>
      </w:r>
      <w:r w:rsidR="005A6D6D" w:rsidRPr="001005B7">
        <w:rPr>
          <w:i/>
          <w:iCs/>
        </w:rPr>
        <w:t xml:space="preserve"> </w:t>
      </w:r>
      <w:r w:rsidR="005A6D6D" w:rsidRPr="001005B7">
        <w:t>back</w:t>
      </w:r>
      <w:r w:rsidR="00C57FCC" w:rsidRPr="001005B7">
        <w:t>.</w:t>
      </w:r>
      <w:r w:rsidR="00D95554" w:rsidRPr="001005B7">
        <w:t>”</w:t>
      </w:r>
      <w:r w:rsidR="00C57FCC" w:rsidRPr="001005B7">
        <w:t xml:space="preserve"> </w:t>
      </w:r>
      <w:r w:rsidR="00D95554" w:rsidRPr="001005B7">
        <w:t xml:space="preserve">To Amos Yahweh kept saying, </w:t>
      </w:r>
      <w:r w:rsidR="00C57FCC" w:rsidRPr="001005B7">
        <w:t>“I will not turn it back</w:t>
      </w:r>
      <w:r w:rsidR="00047D71" w:rsidRPr="001005B7">
        <w:t>”</w:t>
      </w:r>
      <w:r w:rsidR="00B20624" w:rsidRPr="001005B7">
        <w:t xml:space="preserve">: the threat </w:t>
      </w:r>
      <w:r w:rsidR="0081075C" w:rsidRPr="001005B7">
        <w:t xml:space="preserve">originally </w:t>
      </w:r>
      <w:r w:rsidR="00B70E67" w:rsidRPr="001005B7">
        <w:t>concern</w:t>
      </w:r>
      <w:r w:rsidR="0081075C" w:rsidRPr="001005B7">
        <w:t>ed</w:t>
      </w:r>
      <w:r w:rsidR="00B70E67" w:rsidRPr="001005B7">
        <w:t xml:space="preserve"> other peoples, </w:t>
      </w:r>
      <w:r w:rsidR="0081075C" w:rsidRPr="001005B7">
        <w:t>but</w:t>
      </w:r>
      <w:r w:rsidR="00B70E67" w:rsidRPr="001005B7">
        <w:t xml:space="preserve"> </w:t>
      </w:r>
      <w:r w:rsidR="006765BC" w:rsidRPr="001005B7">
        <w:t xml:space="preserve">it </w:t>
      </w:r>
      <w:r w:rsidR="00B70E67" w:rsidRPr="001005B7">
        <w:t xml:space="preserve">eventually </w:t>
      </w:r>
      <w:r w:rsidR="00654C48" w:rsidRPr="001005B7">
        <w:t>concern</w:t>
      </w:r>
      <w:r w:rsidR="0081075C" w:rsidRPr="001005B7">
        <w:t>ed</w:t>
      </w:r>
      <w:r w:rsidR="00654C48" w:rsidRPr="001005B7">
        <w:t xml:space="preserve"> Judah and Ephraim (Amos 2:4, 6)</w:t>
      </w:r>
      <w:r w:rsidR="0031473F" w:rsidRPr="001005B7">
        <w:t xml:space="preserve">. Ironically, </w:t>
      </w:r>
      <w:r w:rsidR="0081075C" w:rsidRPr="001005B7">
        <w:t>Ezekiel</w:t>
      </w:r>
      <w:r w:rsidR="0031473F" w:rsidRPr="001005B7">
        <w:t xml:space="preserve"> </w:t>
      </w:r>
      <w:r w:rsidR="00457F0C" w:rsidRPr="001005B7">
        <w:t xml:space="preserve">is </w:t>
      </w:r>
      <w:r w:rsidR="0031473F" w:rsidRPr="001005B7">
        <w:t>also neatly pick</w:t>
      </w:r>
      <w:r w:rsidR="00457F0C" w:rsidRPr="001005B7">
        <w:t>ing</w:t>
      </w:r>
      <w:r w:rsidR="0031473F" w:rsidRPr="001005B7">
        <w:t xml:space="preserve"> up the expression he </w:t>
      </w:r>
      <w:r w:rsidR="00457F0C" w:rsidRPr="001005B7">
        <w:t xml:space="preserve">himself </w:t>
      </w:r>
      <w:r w:rsidR="0031473F" w:rsidRPr="001005B7">
        <w:t xml:space="preserve">used of the seller who </w:t>
      </w:r>
      <w:r w:rsidR="00452C46" w:rsidRPr="001005B7">
        <w:t>“</w:t>
      </w:r>
      <w:r w:rsidR="0031473F" w:rsidRPr="001005B7">
        <w:t>will</w:t>
      </w:r>
      <w:r w:rsidR="0031473F" w:rsidRPr="001005B7">
        <w:rPr>
          <w:i/>
          <w:iCs/>
        </w:rPr>
        <w:t xml:space="preserve"> </w:t>
      </w:r>
      <w:r w:rsidR="0031473F" w:rsidRPr="001005B7">
        <w:t>not</w:t>
      </w:r>
      <w:r w:rsidR="0031473F" w:rsidRPr="001005B7">
        <w:rPr>
          <w:i/>
          <w:iCs/>
        </w:rPr>
        <w:t xml:space="preserve"> </w:t>
      </w:r>
      <w:r w:rsidR="0031473F" w:rsidRPr="001005B7">
        <w:t>turn</w:t>
      </w:r>
      <w:r w:rsidR="0031473F" w:rsidRPr="001005B7">
        <w:rPr>
          <w:i/>
          <w:iCs/>
        </w:rPr>
        <w:t xml:space="preserve"> </w:t>
      </w:r>
      <w:r w:rsidR="0031473F" w:rsidRPr="001005B7">
        <w:t>back.</w:t>
      </w:r>
      <w:r w:rsidR="00452C46" w:rsidRPr="001005B7">
        <w:t>”</w:t>
      </w:r>
      <w:r w:rsidR="00D10C7C" w:rsidRPr="001005B7">
        <w:t xml:space="preserve"> </w:t>
      </w:r>
      <w:r w:rsidR="00E52E9C" w:rsidRPr="001005B7">
        <w:t>No</w:t>
      </w:r>
      <w:r w:rsidR="0096584E" w:rsidRPr="001005B7">
        <w:t xml:space="preserve"> </w:t>
      </w:r>
      <w:r w:rsidR="00452C46" w:rsidRPr="001005B7">
        <w:t>“</w:t>
      </w:r>
      <w:r w:rsidR="0059512C" w:rsidRPr="001005B7">
        <w:t>individual</w:t>
      </w:r>
      <w:r w:rsidR="00452C46" w:rsidRPr="001005B7">
        <w:t>”</w:t>
      </w:r>
      <w:r w:rsidR="0059512C" w:rsidRPr="001005B7">
        <w:t xml:space="preserve"> within this horde</w:t>
      </w:r>
      <w:r w:rsidR="0096584E" w:rsidRPr="001005B7">
        <w:t xml:space="preserve"> will escape</w:t>
      </w:r>
      <w:r w:rsidR="00190736" w:rsidRPr="001005B7">
        <w:t xml:space="preserve"> the wrath that is coming</w:t>
      </w:r>
      <w:r w:rsidR="00E957B4" w:rsidRPr="001005B7">
        <w:t>, b</w:t>
      </w:r>
      <w:r w:rsidR="00DD2911" w:rsidRPr="001005B7">
        <w:t xml:space="preserve">ecause of their </w:t>
      </w:r>
      <w:r w:rsidR="00452C46" w:rsidRPr="001005B7">
        <w:t>“</w:t>
      </w:r>
      <w:r w:rsidR="00DD2911" w:rsidRPr="001005B7">
        <w:t>waywardness.</w:t>
      </w:r>
      <w:r w:rsidR="00452C46" w:rsidRPr="001005B7">
        <w:t>”</w:t>
      </w:r>
      <w:r w:rsidR="00DD2911" w:rsidRPr="001005B7">
        <w:t xml:space="preserve"> </w:t>
      </w:r>
      <w:r w:rsidR="00A16E92" w:rsidRPr="001005B7">
        <w:t xml:space="preserve">The modern Western reader wants to </w:t>
      </w:r>
      <w:r w:rsidR="00E62FD4" w:rsidRPr="001005B7">
        <w:t xml:space="preserve">know whether there are no faithful individuals within this horde and </w:t>
      </w:r>
      <w:r w:rsidR="00607979" w:rsidRPr="001005B7">
        <w:t xml:space="preserve">to know </w:t>
      </w:r>
      <w:r w:rsidR="00E62FD4" w:rsidRPr="001005B7">
        <w:t xml:space="preserve">what happens to them, but Ezekiel’s focus lies on the waywardness of the community as a whole and </w:t>
      </w:r>
      <w:r w:rsidR="00947132" w:rsidRPr="001005B7">
        <w:t xml:space="preserve">on the fact that no one who </w:t>
      </w:r>
      <w:r w:rsidR="00154623" w:rsidRPr="001005B7">
        <w:t>has</w:t>
      </w:r>
      <w:r w:rsidR="00E5553A" w:rsidRPr="001005B7">
        <w:t xml:space="preserve"> </w:t>
      </w:r>
      <w:r w:rsidR="00B278D9" w:rsidRPr="001005B7">
        <w:t>“</w:t>
      </w:r>
      <w:r w:rsidR="00E5553A" w:rsidRPr="001005B7">
        <w:t>his</w:t>
      </w:r>
      <w:r w:rsidR="00E5553A" w:rsidRPr="001005B7">
        <w:rPr>
          <w:i/>
          <w:iCs/>
        </w:rPr>
        <w:t xml:space="preserve"> </w:t>
      </w:r>
      <w:r w:rsidR="00E5553A" w:rsidRPr="001005B7">
        <w:t>waywardness</w:t>
      </w:r>
      <w:r w:rsidR="00B278D9" w:rsidRPr="001005B7">
        <w:t>”</w:t>
      </w:r>
      <w:r w:rsidR="00154623" w:rsidRPr="001005B7">
        <w:t xml:space="preserve"> is going to escape.</w:t>
      </w:r>
      <w:r w:rsidR="0077072E" w:rsidRPr="001005B7">
        <w:t xml:space="preserve"> </w:t>
      </w:r>
      <w:r w:rsidR="006506E0" w:rsidRPr="001005B7">
        <w:t>They will not</w:t>
      </w:r>
      <w:r w:rsidR="000842A4" w:rsidRPr="001005B7">
        <w:t xml:space="preserve"> be able to</w:t>
      </w:r>
      <w:r w:rsidR="006506E0" w:rsidRPr="001005B7">
        <w:t xml:space="preserve"> </w:t>
      </w:r>
      <w:r w:rsidR="00B278D9" w:rsidRPr="001005B7">
        <w:t>“</w:t>
      </w:r>
      <w:r w:rsidR="006506E0" w:rsidRPr="001005B7">
        <w:t>stand</w:t>
      </w:r>
      <w:r w:rsidR="006506E0" w:rsidRPr="001005B7">
        <w:rPr>
          <w:i/>
          <w:iCs/>
        </w:rPr>
        <w:t xml:space="preserve"> </w:t>
      </w:r>
      <w:r w:rsidR="006506E0" w:rsidRPr="001005B7">
        <w:t>firm</w:t>
      </w:r>
      <w:r w:rsidR="00B278D9" w:rsidRPr="001005B7">
        <w:t>”</w:t>
      </w:r>
      <w:r w:rsidR="006506E0" w:rsidRPr="001005B7">
        <w:rPr>
          <w:i/>
          <w:iCs/>
        </w:rPr>
        <w:t xml:space="preserve"> </w:t>
      </w:r>
      <w:r w:rsidR="006506E0" w:rsidRPr="001005B7">
        <w:t>(</w:t>
      </w:r>
      <w:r w:rsidR="006E0FEF" w:rsidRPr="001005B7">
        <w:rPr>
          <w:rFonts w:cstheme="minorHAnsi"/>
          <w:rtl/>
          <w:lang w:bidi="he-IL"/>
        </w:rPr>
        <w:t>חָזַ</w:t>
      </w:r>
      <w:r w:rsidR="00E1768E" w:rsidRPr="001005B7">
        <w:rPr>
          <w:rFonts w:cstheme="minorHAnsi"/>
          <w:rtl/>
          <w:lang w:bidi="he-IL"/>
        </w:rPr>
        <w:t>ק</w:t>
      </w:r>
      <w:r w:rsidR="008516ED" w:rsidRPr="001005B7">
        <w:rPr>
          <w:i/>
          <w:iCs/>
        </w:rPr>
        <w:t xml:space="preserve"> </w:t>
      </w:r>
      <w:proofErr w:type="spellStart"/>
      <w:r w:rsidR="008516ED" w:rsidRPr="001005B7">
        <w:t>hitpael</w:t>
      </w:r>
      <w:proofErr w:type="spellEnd"/>
      <w:r w:rsidR="008516ED" w:rsidRPr="001005B7">
        <w:t>)</w:t>
      </w:r>
      <w:r w:rsidR="006506E0" w:rsidRPr="001005B7">
        <w:t xml:space="preserve">. </w:t>
      </w:r>
      <w:r w:rsidR="000842A4" w:rsidRPr="001005B7">
        <w:t>This</w:t>
      </w:r>
      <w:r w:rsidR="006506E0" w:rsidRPr="001005B7">
        <w:t xml:space="preserve"> significant ver</w:t>
      </w:r>
      <w:r w:rsidR="00392029" w:rsidRPr="001005B7">
        <w:t>b express</w:t>
      </w:r>
      <w:r w:rsidR="000842A4" w:rsidRPr="001005B7">
        <w:t>es</w:t>
      </w:r>
      <w:r w:rsidR="00392029" w:rsidRPr="001005B7">
        <w:t xml:space="preserve"> the idea of </w:t>
      </w:r>
      <w:r w:rsidR="0044018A" w:rsidRPr="001005B7">
        <w:t xml:space="preserve">strengthening yourself and </w:t>
      </w:r>
      <w:r w:rsidR="00392029" w:rsidRPr="001005B7">
        <w:t>showing yourself strong</w:t>
      </w:r>
      <w:r w:rsidR="006506E0" w:rsidRPr="001005B7">
        <w:t xml:space="preserve"> </w:t>
      </w:r>
      <w:r w:rsidR="0044018A" w:rsidRPr="001005B7">
        <w:t xml:space="preserve">(e.g., </w:t>
      </w:r>
      <w:r w:rsidR="002C7E78" w:rsidRPr="001005B7">
        <w:t>1</w:t>
      </w:r>
      <w:r w:rsidR="000223FD" w:rsidRPr="001005B7">
        <w:t> </w:t>
      </w:r>
      <w:r w:rsidR="001B2EC2" w:rsidRPr="001005B7">
        <w:t>Sam 4:9</w:t>
      </w:r>
      <w:r w:rsidR="002C7E78" w:rsidRPr="001005B7">
        <w:t>; 30:6).</w:t>
      </w:r>
      <w:r w:rsidR="007E62C9" w:rsidRPr="001005B7">
        <w:t xml:space="preserve"> People will know that </w:t>
      </w:r>
      <w:r w:rsidR="0078180B" w:rsidRPr="001005B7">
        <w:t>this</w:t>
      </w:r>
      <w:r w:rsidR="007E62C9" w:rsidRPr="001005B7">
        <w:t xml:space="preserve"> is what they need to do, but they will not </w:t>
      </w:r>
      <w:r w:rsidR="0078180B" w:rsidRPr="001005B7">
        <w:t xml:space="preserve">be </w:t>
      </w:r>
      <w:r w:rsidR="007E62C9" w:rsidRPr="001005B7">
        <w:t>able to do it.</w:t>
      </w:r>
      <w:r w:rsidR="00E5503E" w:rsidRPr="001005B7">
        <w:t xml:space="preserve"> The two cola comprising the last line in </w:t>
      </w:r>
      <w:r w:rsidR="003D021F" w:rsidRPr="001005B7">
        <w:t>7:</w:t>
      </w:r>
      <w:r w:rsidR="00E5503E" w:rsidRPr="001005B7">
        <w:t>13 are particularly jerky</w:t>
      </w:r>
      <w:r w:rsidR="00945470" w:rsidRPr="001005B7">
        <w:t xml:space="preserve"> and the last colon is unusually short (</w:t>
      </w:r>
      <w:r w:rsidR="007205D0" w:rsidRPr="001005B7">
        <w:rPr>
          <w:rFonts w:cstheme="minorHAnsi"/>
          <w:rtl/>
          <w:lang w:bidi="he-IL"/>
        </w:rPr>
        <w:t>לֹא</w:t>
      </w:r>
      <w:r w:rsidR="007B2645" w:rsidRPr="001005B7">
        <w:rPr>
          <w:rFonts w:cstheme="minorHAnsi"/>
          <w:rtl/>
          <w:lang w:bidi="he-IL"/>
        </w:rPr>
        <w:t xml:space="preserve"> </w:t>
      </w:r>
      <w:r w:rsidR="007205D0" w:rsidRPr="001005B7">
        <w:rPr>
          <w:rFonts w:cstheme="minorHAnsi"/>
          <w:rtl/>
          <w:lang w:bidi="he-IL"/>
        </w:rPr>
        <w:t>י</w:t>
      </w:r>
      <w:r w:rsidR="002C36AB" w:rsidRPr="001005B7">
        <w:rPr>
          <w:rFonts w:cstheme="minorHAnsi"/>
          <w:rtl/>
          <w:lang w:bidi="he-IL"/>
        </w:rPr>
        <w:t>ִתְחַ</w:t>
      </w:r>
      <w:r w:rsidR="00931333" w:rsidRPr="001005B7">
        <w:rPr>
          <w:rFonts w:cstheme="minorHAnsi"/>
          <w:rtl/>
          <w:lang w:bidi="he-IL"/>
        </w:rPr>
        <w:t>זָּקוּ</w:t>
      </w:r>
      <w:r w:rsidR="00D150F2" w:rsidRPr="001005B7">
        <w:rPr>
          <w:rFonts w:cstheme="minorHAnsi"/>
        </w:rPr>
        <w:t>,</w:t>
      </w:r>
      <w:r w:rsidR="00D150F2" w:rsidRPr="001005B7">
        <w:rPr>
          <w:rFonts w:cstheme="minorHAnsi"/>
          <w:i/>
          <w:iCs/>
        </w:rPr>
        <w:t xml:space="preserve"> </w:t>
      </w:r>
      <w:r w:rsidR="00945470" w:rsidRPr="001005B7">
        <w:t xml:space="preserve">just a negative and </w:t>
      </w:r>
      <w:r w:rsidR="00D150F2" w:rsidRPr="001005B7">
        <w:t>is</w:t>
      </w:r>
      <w:r w:rsidR="00945470" w:rsidRPr="001005B7">
        <w:t xml:space="preserve"> verb)</w:t>
      </w:r>
      <w:r w:rsidR="00194A7F" w:rsidRPr="001005B7">
        <w:t xml:space="preserve"> and punchy</w:t>
      </w:r>
      <w:r w:rsidR="00CD7B22" w:rsidRPr="001005B7">
        <w:t>.</w:t>
      </w:r>
      <w:r w:rsidR="00D42E23" w:rsidRPr="001005B7">
        <w:t xml:space="preserve"> It makes for a </w:t>
      </w:r>
      <w:r w:rsidR="00CD7B22" w:rsidRPr="001005B7">
        <w:t xml:space="preserve">forceful </w:t>
      </w:r>
      <w:r w:rsidR="00D42E23" w:rsidRPr="001005B7">
        <w:t xml:space="preserve">conclusion to </w:t>
      </w:r>
      <w:r w:rsidR="0042084A" w:rsidRPr="001005B7">
        <w:t>7:</w:t>
      </w:r>
      <w:r w:rsidR="00A01638" w:rsidRPr="001005B7">
        <w:t>10</w:t>
      </w:r>
      <w:r w:rsidR="00F46900" w:rsidRPr="001005B7">
        <w:t>–</w:t>
      </w:r>
      <w:r w:rsidR="00A01638" w:rsidRPr="001005B7">
        <w:t>13.</w:t>
      </w:r>
    </w:p>
    <w:p w14:paraId="51A450D0" w14:textId="60C2F715" w:rsidR="004B0C6C" w:rsidRPr="001005B7" w:rsidRDefault="00BF164B" w:rsidP="007C409E">
      <w:r w:rsidRPr="001005B7">
        <w:rPr>
          <w:b/>
          <w:bCs/>
        </w:rPr>
        <w:t>7:</w:t>
      </w:r>
      <w:r w:rsidR="004B0C6C" w:rsidRPr="001005B7">
        <w:rPr>
          <w:b/>
          <w:bCs/>
        </w:rPr>
        <w:t>14</w:t>
      </w:r>
      <w:r w:rsidR="00F46900" w:rsidRPr="001005B7">
        <w:rPr>
          <w:b/>
          <w:bCs/>
        </w:rPr>
        <w:t>–</w:t>
      </w:r>
      <w:r w:rsidR="00636780" w:rsidRPr="001005B7">
        <w:rPr>
          <w:b/>
          <w:bCs/>
        </w:rPr>
        <w:t>15</w:t>
      </w:r>
      <w:r w:rsidR="00B834C0" w:rsidRPr="001005B7">
        <w:rPr>
          <w:b/>
          <w:bCs/>
        </w:rPr>
        <w:t xml:space="preserve"> </w:t>
      </w:r>
      <w:r w:rsidR="00060B8B" w:rsidRPr="001005B7">
        <w:t>Ezekiel begins with a</w:t>
      </w:r>
      <w:r w:rsidR="00060B8B" w:rsidRPr="001005B7">
        <w:rPr>
          <w:b/>
          <w:bCs/>
        </w:rPr>
        <w:t xml:space="preserve"> </w:t>
      </w:r>
      <w:r w:rsidR="00502D82" w:rsidRPr="00B77665">
        <w:rPr>
          <w:i/>
          <w:iCs/>
        </w:rPr>
        <w:t>qatal</w:t>
      </w:r>
      <w:r w:rsidR="00502D82" w:rsidRPr="001005B7">
        <w:t xml:space="preserve"> verb </w:t>
      </w:r>
      <w:r w:rsidR="00060B8B" w:rsidRPr="001005B7">
        <w:t xml:space="preserve">that </w:t>
      </w:r>
      <w:r w:rsidR="00502D82" w:rsidRPr="001005B7">
        <w:t>mak</w:t>
      </w:r>
      <w:r w:rsidR="00E727BB" w:rsidRPr="001005B7">
        <w:t>es</w:t>
      </w:r>
      <w:r w:rsidR="00502D82" w:rsidRPr="001005B7">
        <w:t xml:space="preserve"> for a vivid description of something </w:t>
      </w:r>
      <w:r w:rsidR="00432901" w:rsidRPr="001005B7">
        <w:t xml:space="preserve">that is going </w:t>
      </w:r>
      <w:r w:rsidR="00502D82" w:rsidRPr="001005B7">
        <w:t>to happen</w:t>
      </w:r>
      <w:r w:rsidR="005D4724">
        <w:t>,</w:t>
      </w:r>
      <w:r w:rsidR="00502D82" w:rsidRPr="001005B7">
        <w:t xml:space="preserve"> as if it has already happened</w:t>
      </w:r>
      <w:r w:rsidR="00D42E23" w:rsidRPr="001005B7">
        <w:t>, and th</w:t>
      </w:r>
      <w:r w:rsidR="00E727BB" w:rsidRPr="001005B7">
        <w:t>e</w:t>
      </w:r>
      <w:r w:rsidR="00D42E23" w:rsidRPr="001005B7">
        <w:t xml:space="preserve"> transition </w:t>
      </w:r>
      <w:r w:rsidR="00E727BB" w:rsidRPr="001005B7">
        <w:t xml:space="preserve">marks the beginning of another </w:t>
      </w:r>
      <w:r w:rsidR="006536D5" w:rsidRPr="001005B7">
        <w:t>section in the message</w:t>
      </w:r>
      <w:r w:rsidR="00E727BB" w:rsidRPr="001005B7">
        <w:t xml:space="preserve">. </w:t>
      </w:r>
      <w:r w:rsidR="005561E9" w:rsidRPr="001005B7">
        <w:t>He</w:t>
      </w:r>
      <w:r w:rsidR="00E727BB" w:rsidRPr="001005B7">
        <w:t xml:space="preserve"> pictures </w:t>
      </w:r>
      <w:r w:rsidR="00F26574" w:rsidRPr="001005B7">
        <w:t>the blowing of a horn</w:t>
      </w:r>
      <w:r w:rsidR="00AC4FC4" w:rsidRPr="001005B7">
        <w:t>, which</w:t>
      </w:r>
      <w:r w:rsidR="00307F9C" w:rsidRPr="001005B7">
        <w:t xml:space="preserve"> would in this situation summon the fighters to assemble to defend the city because an attack is imminent</w:t>
      </w:r>
      <w:r w:rsidR="0006191F" w:rsidRPr="001005B7">
        <w:t xml:space="preserve">. </w:t>
      </w:r>
      <w:r w:rsidR="00B67711" w:rsidRPr="001005B7">
        <w:t xml:space="preserve">But no one is responding. </w:t>
      </w:r>
      <w:r w:rsidR="00C63226" w:rsidRPr="001005B7">
        <w:t xml:space="preserve">Are they </w:t>
      </w:r>
      <w:r w:rsidR="00615106" w:rsidRPr="001005B7">
        <w:t xml:space="preserve">too scared? Are they </w:t>
      </w:r>
      <w:r w:rsidR="00C63226" w:rsidRPr="001005B7">
        <w:t>paralyzed</w:t>
      </w:r>
      <w:r w:rsidR="00615106" w:rsidRPr="001005B7">
        <w:t xml:space="preserve">? </w:t>
      </w:r>
      <w:r w:rsidR="00B41245" w:rsidRPr="001005B7">
        <w:t xml:space="preserve">It’s </w:t>
      </w:r>
      <w:r w:rsidR="00407390" w:rsidRPr="001005B7">
        <w:t xml:space="preserve">again </w:t>
      </w:r>
      <w:r w:rsidR="00B41245" w:rsidRPr="001005B7">
        <w:t xml:space="preserve">because of Yahweh’s </w:t>
      </w:r>
      <w:r w:rsidR="00AB13BE" w:rsidRPr="001005B7">
        <w:t>“</w:t>
      </w:r>
      <w:r w:rsidR="00B41245" w:rsidRPr="001005B7">
        <w:t>wrath</w:t>
      </w:r>
      <w:r w:rsidR="0027085A" w:rsidRPr="001005B7">
        <w:t>,</w:t>
      </w:r>
      <w:r w:rsidR="00AB13BE" w:rsidRPr="001005B7">
        <w:t>”</w:t>
      </w:r>
      <w:r w:rsidR="0027085A" w:rsidRPr="001005B7">
        <w:t xml:space="preserve"> </w:t>
      </w:r>
      <w:r w:rsidR="00BC4A83" w:rsidRPr="001005B7">
        <w:t>the term that makes for</w:t>
      </w:r>
      <w:r w:rsidR="00AE31A6" w:rsidRPr="001005B7">
        <w:t xml:space="preserve"> a link with the horde—</w:t>
      </w:r>
      <w:r w:rsidR="00950DB9" w:rsidRPr="001005B7">
        <w:t>"</w:t>
      </w:r>
      <w:r w:rsidR="00AE31A6" w:rsidRPr="001005B7">
        <w:t>the</w:t>
      </w:r>
      <w:r w:rsidR="00AE31A6" w:rsidRPr="001005B7">
        <w:rPr>
          <w:i/>
          <w:iCs/>
        </w:rPr>
        <w:t xml:space="preserve"> </w:t>
      </w:r>
      <w:r w:rsidR="00AE31A6" w:rsidRPr="001005B7">
        <w:t>entire</w:t>
      </w:r>
      <w:r w:rsidR="00AE31A6" w:rsidRPr="001005B7">
        <w:rPr>
          <w:i/>
          <w:iCs/>
        </w:rPr>
        <w:t xml:space="preserve"> </w:t>
      </w:r>
      <w:r w:rsidR="00AE31A6" w:rsidRPr="001005B7">
        <w:t>horde.</w:t>
      </w:r>
      <w:r w:rsidR="00950DB9" w:rsidRPr="001005B7">
        <w:t>”</w:t>
      </w:r>
      <w:r w:rsidR="00C025F0" w:rsidRPr="001005B7">
        <w:t xml:space="preserve"> Ezekiel </w:t>
      </w:r>
      <w:r w:rsidR="00010699" w:rsidRPr="001005B7">
        <w:t xml:space="preserve">thus </w:t>
      </w:r>
      <w:r w:rsidR="00451014" w:rsidRPr="001005B7">
        <w:t>underline</w:t>
      </w:r>
      <w:r w:rsidR="00010699" w:rsidRPr="001005B7">
        <w:t>s</w:t>
      </w:r>
      <w:r w:rsidR="00451014" w:rsidRPr="001005B7">
        <w:t xml:space="preserve"> his </w:t>
      </w:r>
      <w:r w:rsidR="006304B2" w:rsidRPr="001005B7">
        <w:t>point</w:t>
      </w:r>
      <w:r w:rsidR="00451014" w:rsidRPr="001005B7">
        <w:t xml:space="preserve"> by using</w:t>
      </w:r>
      <w:r w:rsidR="00363022" w:rsidRPr="001005B7">
        <w:t xml:space="preserve"> </w:t>
      </w:r>
      <w:r w:rsidR="00C025F0" w:rsidRPr="001005B7">
        <w:t>familiar</w:t>
      </w:r>
      <w:r w:rsidR="00363022" w:rsidRPr="001005B7">
        <w:t xml:space="preserve"> forms of expression</w:t>
      </w:r>
      <w:r w:rsidR="00E71337" w:rsidRPr="001005B7">
        <w:t xml:space="preserve"> in this new section of the message</w:t>
      </w:r>
      <w:r w:rsidR="006304B2" w:rsidRPr="001005B7">
        <w:t>, and continues to do so as he speaks of</w:t>
      </w:r>
      <w:r w:rsidR="00AA71E5" w:rsidRPr="001005B7">
        <w:t xml:space="preserve"> sword, epidemic, and famine</w:t>
      </w:r>
      <w:r w:rsidR="002970D7" w:rsidRPr="001005B7">
        <w:t xml:space="preserve">, </w:t>
      </w:r>
      <w:r w:rsidR="00F77D24" w:rsidRPr="001005B7">
        <w:t xml:space="preserve">the means whereby </w:t>
      </w:r>
      <w:r w:rsidR="00307D17" w:rsidRPr="001005B7">
        <w:t>Yahweh</w:t>
      </w:r>
      <w:r w:rsidR="00F77D24" w:rsidRPr="001005B7">
        <w:t xml:space="preserve"> implements his fury</w:t>
      </w:r>
      <w:r w:rsidR="0092086E" w:rsidRPr="001005B7">
        <w:t xml:space="preserve"> and the reason there is no one to respond to the blowing of a horn.</w:t>
      </w:r>
      <w:r w:rsidR="007157F7" w:rsidRPr="001005B7">
        <w:t xml:space="preserve"> </w:t>
      </w:r>
    </w:p>
    <w:p w14:paraId="488628CB" w14:textId="6234C3E7" w:rsidR="00EB37D3" w:rsidRPr="001005B7" w:rsidRDefault="00307D17" w:rsidP="002D7FA4">
      <w:r w:rsidRPr="001005B7">
        <w:rPr>
          <w:b/>
          <w:bCs/>
        </w:rPr>
        <w:t>7:</w:t>
      </w:r>
      <w:r w:rsidR="008E1289" w:rsidRPr="001005B7">
        <w:rPr>
          <w:b/>
          <w:bCs/>
        </w:rPr>
        <w:t>16</w:t>
      </w:r>
      <w:r w:rsidR="00F46900" w:rsidRPr="001005B7">
        <w:rPr>
          <w:b/>
          <w:bCs/>
        </w:rPr>
        <w:t>–</w:t>
      </w:r>
      <w:r w:rsidR="008E1289" w:rsidRPr="001005B7">
        <w:rPr>
          <w:b/>
          <w:bCs/>
        </w:rPr>
        <w:t xml:space="preserve">18 </w:t>
      </w:r>
      <w:r w:rsidR="008E1289" w:rsidRPr="001005B7">
        <w:t xml:space="preserve">Yahweh </w:t>
      </w:r>
      <w:r w:rsidR="00855437" w:rsidRPr="001005B7">
        <w:t xml:space="preserve">again </w:t>
      </w:r>
      <w:r w:rsidR="00405BB7" w:rsidRPr="001005B7">
        <w:t>takes up</w:t>
      </w:r>
      <w:r w:rsidR="008E1289" w:rsidRPr="001005B7">
        <w:t xml:space="preserve"> the idea that </w:t>
      </w:r>
      <w:r w:rsidR="008B33D2" w:rsidRPr="001005B7">
        <w:t xml:space="preserve">some people might </w:t>
      </w:r>
      <w:r w:rsidR="00BD672B" w:rsidRPr="001005B7">
        <w:t>“</w:t>
      </w:r>
      <w:r w:rsidR="00A1019C" w:rsidRPr="001005B7">
        <w:t>survive</w:t>
      </w:r>
      <w:r w:rsidR="00E439C5" w:rsidRPr="001005B7">
        <w:t>”</w:t>
      </w:r>
      <w:r w:rsidR="008B33D2" w:rsidRPr="001005B7">
        <w:t xml:space="preserve"> </w:t>
      </w:r>
      <w:r w:rsidR="00405BB7" w:rsidRPr="001005B7">
        <w:t>the calamity</w:t>
      </w:r>
      <w:r w:rsidR="00DD2C80" w:rsidRPr="001005B7">
        <w:t xml:space="preserve"> (cf. 6:8</w:t>
      </w:r>
      <w:r w:rsidR="00F46900" w:rsidRPr="001005B7">
        <w:t>–</w:t>
      </w:r>
      <w:r w:rsidR="00DD2C80" w:rsidRPr="001005B7">
        <w:t>9)</w:t>
      </w:r>
      <w:r w:rsidR="004A038E" w:rsidRPr="001005B7">
        <w:t xml:space="preserve">. </w:t>
      </w:r>
      <w:r w:rsidR="008439EE" w:rsidRPr="001005B7">
        <w:t>Maybe he literally means they will be taking refuge in the mountains</w:t>
      </w:r>
      <w:r w:rsidR="002545B3" w:rsidRPr="001005B7">
        <w:t>,</w:t>
      </w:r>
      <w:r w:rsidR="00ED2F30" w:rsidRPr="001005B7">
        <w:t xml:space="preserve"> away from Jerusalem</w:t>
      </w:r>
      <w:r w:rsidR="003E1B63" w:rsidRPr="001005B7">
        <w:t>. I</w:t>
      </w:r>
      <w:r w:rsidR="00ED2F30" w:rsidRPr="001005B7">
        <w:t xml:space="preserve">t </w:t>
      </w:r>
      <w:r w:rsidR="002A3E51" w:rsidRPr="001005B7">
        <w:t>c</w:t>
      </w:r>
      <w:r w:rsidR="00ED2F30" w:rsidRPr="001005B7">
        <w:t xml:space="preserve">ould be a natural thing for fugitives to do. </w:t>
      </w:r>
      <w:r w:rsidR="0060311D" w:rsidRPr="001005B7">
        <w:t>But the reference to the</w:t>
      </w:r>
      <w:r w:rsidR="00D102B5" w:rsidRPr="001005B7">
        <w:t xml:space="preserve"> survivors</w:t>
      </w:r>
      <w:r w:rsidR="0060311D" w:rsidRPr="001005B7">
        <w:t xml:space="preserve"> </w:t>
      </w:r>
      <w:r w:rsidR="00A72971" w:rsidRPr="001005B7">
        <w:t>fl</w:t>
      </w:r>
      <w:r w:rsidR="00E26D5C">
        <w:t>eeing</w:t>
      </w:r>
      <w:r w:rsidR="00A72971" w:rsidRPr="001005B7">
        <w:t xml:space="preserve"> there becomes a metaphor</w:t>
      </w:r>
      <w:r w:rsidR="00ED060D" w:rsidRPr="001005B7">
        <w:t xml:space="preserve">. They are like </w:t>
      </w:r>
      <w:r w:rsidR="00EA2D86" w:rsidRPr="001005B7">
        <w:t>helpless</w:t>
      </w:r>
      <w:r w:rsidR="00092EA8" w:rsidRPr="001005B7">
        <w:t xml:space="preserve"> little birds</w:t>
      </w:r>
      <w:r w:rsidR="00EA2D86" w:rsidRPr="001005B7">
        <w:t>, vulnerable to b</w:t>
      </w:r>
      <w:r w:rsidR="000E03B3" w:rsidRPr="001005B7">
        <w:t>e</w:t>
      </w:r>
      <w:r w:rsidR="00EA2D86" w:rsidRPr="001005B7">
        <w:t>ing caught by hunters</w:t>
      </w:r>
      <w:r w:rsidR="000E03B3" w:rsidRPr="001005B7">
        <w:t xml:space="preserve">, hiding in the ravines in the </w:t>
      </w:r>
      <w:r w:rsidR="00C755ED" w:rsidRPr="001005B7">
        <w:t>mountains, cooing as pigeons</w:t>
      </w:r>
      <w:r w:rsidR="00C755ED" w:rsidRPr="001005B7">
        <w:rPr>
          <w:i/>
          <w:iCs/>
        </w:rPr>
        <w:t xml:space="preserve"> </w:t>
      </w:r>
      <w:r w:rsidR="00C755ED" w:rsidRPr="001005B7">
        <w:t>do</w:t>
      </w:r>
      <w:r w:rsidR="005C077F" w:rsidRPr="001005B7">
        <w:t xml:space="preserve">. </w:t>
      </w:r>
      <w:r w:rsidR="005B7054" w:rsidRPr="001005B7">
        <w:t>T</w:t>
      </w:r>
      <w:r w:rsidR="005C077F" w:rsidRPr="001005B7">
        <w:t xml:space="preserve">heir </w:t>
      </w:r>
      <w:r w:rsidR="008003F5" w:rsidRPr="001005B7">
        <w:t xml:space="preserve">apparently </w:t>
      </w:r>
      <w:r w:rsidR="005C077F" w:rsidRPr="001005B7">
        <w:t xml:space="preserve">plaintive cooing </w:t>
      </w:r>
      <w:r w:rsidR="008003F5" w:rsidRPr="001005B7">
        <w:t xml:space="preserve">can earn </w:t>
      </w:r>
      <w:r w:rsidR="005B7054" w:rsidRPr="001005B7">
        <w:t>these birds</w:t>
      </w:r>
      <w:r w:rsidR="008003F5" w:rsidRPr="001005B7">
        <w:t xml:space="preserve"> the name “</w:t>
      </w:r>
      <w:r w:rsidR="005C077F" w:rsidRPr="001005B7">
        <w:t>mourning doves</w:t>
      </w:r>
      <w:r w:rsidR="008003F5" w:rsidRPr="001005B7">
        <w:t>.”</w:t>
      </w:r>
      <w:r w:rsidR="00CF2211" w:rsidRPr="001005B7">
        <w:t xml:space="preserve"> These survivors will be </w:t>
      </w:r>
      <w:r w:rsidR="00B12BF2" w:rsidRPr="001005B7">
        <w:t>“</w:t>
      </w:r>
      <w:r w:rsidR="00CF2211" w:rsidRPr="001005B7">
        <w:t>moaning</w:t>
      </w:r>
      <w:r w:rsidR="00B12BF2" w:rsidRPr="001005B7">
        <w:t>”</w:t>
      </w:r>
      <w:r w:rsidR="00CF2211" w:rsidRPr="001005B7">
        <w:t xml:space="preserve"> like that</w:t>
      </w:r>
      <w:r w:rsidR="001272D7" w:rsidRPr="001005B7">
        <w:t>,</w:t>
      </w:r>
      <w:r w:rsidR="003D0BA5" w:rsidRPr="001005B7">
        <w:t xml:space="preserve"> because of </w:t>
      </w:r>
      <w:r w:rsidR="00B12BF2" w:rsidRPr="001005B7">
        <w:t>“</w:t>
      </w:r>
      <w:r w:rsidR="006E6EF7" w:rsidRPr="001005B7">
        <w:t>their</w:t>
      </w:r>
      <w:r w:rsidR="006E6EF7" w:rsidRPr="001005B7">
        <w:rPr>
          <w:i/>
          <w:iCs/>
        </w:rPr>
        <w:t xml:space="preserve"> </w:t>
      </w:r>
      <w:r w:rsidR="006E6EF7" w:rsidRPr="001005B7">
        <w:t>waywardness.</w:t>
      </w:r>
      <w:r w:rsidR="00B12BF2" w:rsidRPr="001005B7">
        <w:t>”</w:t>
      </w:r>
      <w:r w:rsidR="006E6EF7" w:rsidRPr="001005B7">
        <w:t xml:space="preserve"> </w:t>
      </w:r>
      <w:r w:rsidR="00D80165" w:rsidRPr="001005B7">
        <w:t xml:space="preserve">The idea of some people escaping the disaster in this </w:t>
      </w:r>
      <w:r w:rsidR="009119A3" w:rsidRPr="001005B7">
        <w:t>fashion</w:t>
      </w:r>
      <w:r w:rsidR="00D80165" w:rsidRPr="001005B7">
        <w:t xml:space="preserve"> is another way of seeking to get home its magnitude</w:t>
      </w:r>
      <w:r w:rsidR="009119A3" w:rsidRPr="001005B7">
        <w:t>, and t</w:t>
      </w:r>
      <w:r w:rsidR="00F77D21" w:rsidRPr="001005B7">
        <w:t>h</w:t>
      </w:r>
      <w:r w:rsidR="00E0117A" w:rsidRPr="001005B7">
        <w:t>e</w:t>
      </w:r>
      <w:r w:rsidR="00F77D21" w:rsidRPr="001005B7">
        <w:t xml:space="preserve"> reference to </w:t>
      </w:r>
      <w:r w:rsidR="008673C5" w:rsidRPr="001005B7">
        <w:t xml:space="preserve">their </w:t>
      </w:r>
      <w:r w:rsidR="00F77D21" w:rsidRPr="001005B7">
        <w:t xml:space="preserve">waywardness </w:t>
      </w:r>
      <w:r w:rsidR="00131090" w:rsidRPr="001005B7">
        <w:t>explains</w:t>
      </w:r>
      <w:r w:rsidR="00440FD4" w:rsidRPr="001005B7">
        <w:t xml:space="preserve"> why they have experienced th</w:t>
      </w:r>
      <w:r w:rsidR="00310584" w:rsidRPr="001005B7">
        <w:t xml:space="preserve">is </w:t>
      </w:r>
      <w:r w:rsidR="00440FD4" w:rsidRPr="001005B7">
        <w:t>catastrophe</w:t>
      </w:r>
      <w:r w:rsidR="00131090" w:rsidRPr="001005B7">
        <w:t>.</w:t>
      </w:r>
      <w:r w:rsidR="008673C5" w:rsidRPr="001005B7">
        <w:t xml:space="preserve"> </w:t>
      </w:r>
      <w:r w:rsidR="00E63212" w:rsidRPr="001005B7">
        <w:t>Might they also be acknowledging that waywardness</w:t>
      </w:r>
      <w:r w:rsidR="00A16F25" w:rsidRPr="001005B7">
        <w:t>,</w:t>
      </w:r>
      <w:r w:rsidR="00E63212" w:rsidRPr="001005B7">
        <w:t xml:space="preserve"> turning back from it</w:t>
      </w:r>
      <w:r w:rsidR="00A16F25" w:rsidRPr="001005B7">
        <w:t>,</w:t>
      </w:r>
      <w:r w:rsidR="00F74CFA" w:rsidRPr="001005B7">
        <w:t xml:space="preserve"> and becoming mindful of Yahweh in a </w:t>
      </w:r>
      <w:r w:rsidR="00A16F25" w:rsidRPr="001005B7">
        <w:t>creative</w:t>
      </w:r>
      <w:r w:rsidR="00F74CFA" w:rsidRPr="001005B7">
        <w:t xml:space="preserve"> way</w:t>
      </w:r>
      <w:r w:rsidR="00E63212" w:rsidRPr="001005B7">
        <w:t xml:space="preserve"> (cf. 6:8</w:t>
      </w:r>
      <w:r w:rsidR="00F46900" w:rsidRPr="001005B7">
        <w:t>–</w:t>
      </w:r>
      <w:r w:rsidR="00E63212" w:rsidRPr="001005B7">
        <w:t xml:space="preserve">9)? </w:t>
      </w:r>
      <w:r w:rsidR="00A74912" w:rsidRPr="001005B7">
        <w:t xml:space="preserve">What follows </w:t>
      </w:r>
      <w:r w:rsidR="00B17DB7" w:rsidRPr="001005B7">
        <w:t>rather</w:t>
      </w:r>
      <w:r w:rsidR="00A74912" w:rsidRPr="001005B7">
        <w:t xml:space="preserve"> underlines once more the magnitude of the calamity</w:t>
      </w:r>
      <w:r w:rsidR="00927301" w:rsidRPr="001005B7">
        <w:t>: all</w:t>
      </w:r>
      <w:r w:rsidR="00927301" w:rsidRPr="001005B7">
        <w:rPr>
          <w:i/>
          <w:iCs/>
        </w:rPr>
        <w:t xml:space="preserve"> </w:t>
      </w:r>
      <w:r w:rsidR="00927301" w:rsidRPr="001005B7">
        <w:t>hand</w:t>
      </w:r>
      <w:r w:rsidR="007075BE" w:rsidRPr="001005B7">
        <w:t>s</w:t>
      </w:r>
      <w:r w:rsidR="00927301" w:rsidRPr="001005B7">
        <w:t>, all</w:t>
      </w:r>
      <w:r w:rsidR="00927301" w:rsidRPr="001005B7">
        <w:rPr>
          <w:i/>
          <w:iCs/>
        </w:rPr>
        <w:t xml:space="preserve"> </w:t>
      </w:r>
      <w:r w:rsidR="00927301" w:rsidRPr="001005B7">
        <w:t>knees, all</w:t>
      </w:r>
      <w:r w:rsidR="00927301" w:rsidRPr="001005B7">
        <w:rPr>
          <w:i/>
          <w:iCs/>
        </w:rPr>
        <w:t xml:space="preserve"> </w:t>
      </w:r>
      <w:r w:rsidR="00927301" w:rsidRPr="001005B7">
        <w:t>faces, all heads</w:t>
      </w:r>
      <w:r w:rsidR="007075BE" w:rsidRPr="001005B7">
        <w:t>.</w:t>
      </w:r>
      <w:r w:rsidR="00B23D12" w:rsidRPr="001005B7">
        <w:t xml:space="preserve"> </w:t>
      </w:r>
      <w:r w:rsidR="00B17DB7" w:rsidRPr="001005B7">
        <w:t>People</w:t>
      </w:r>
      <w:r w:rsidR="00B23D12" w:rsidRPr="001005B7">
        <w:t xml:space="preserve"> are </w:t>
      </w:r>
      <w:r w:rsidR="0091188C" w:rsidRPr="001005B7">
        <w:t xml:space="preserve">putting on the </w:t>
      </w:r>
      <w:r w:rsidR="000F6791" w:rsidRPr="001005B7">
        <w:t>garb appropriate to</w:t>
      </w:r>
      <w:r w:rsidR="0091188C" w:rsidRPr="001005B7">
        <w:t xml:space="preserve"> mourn</w:t>
      </w:r>
      <w:r w:rsidR="00F5097E" w:rsidRPr="001005B7">
        <w:t>ers,</w:t>
      </w:r>
      <w:r w:rsidR="000F6791" w:rsidRPr="001005B7">
        <w:t xml:space="preserve"> </w:t>
      </w:r>
      <w:r w:rsidR="005C1D9F" w:rsidRPr="001005B7">
        <w:t xml:space="preserve">who </w:t>
      </w:r>
      <w:r w:rsidR="000F6791" w:rsidRPr="001005B7">
        <w:t xml:space="preserve">are horrified by what they have experienced. </w:t>
      </w:r>
      <w:r w:rsidR="008A539C">
        <w:t>W</w:t>
      </w:r>
      <w:r w:rsidR="0019426E" w:rsidRPr="001005B7">
        <w:t>hat kind of mourning and horror</w:t>
      </w:r>
      <w:r w:rsidR="0019426E" w:rsidRPr="001005B7">
        <w:rPr>
          <w:i/>
          <w:iCs/>
        </w:rPr>
        <w:t xml:space="preserve"> </w:t>
      </w:r>
      <w:r w:rsidR="0019426E" w:rsidRPr="001005B7">
        <w:t xml:space="preserve">is it? </w:t>
      </w:r>
      <w:r w:rsidR="000166B6" w:rsidRPr="001005B7">
        <w:t>In due course</w:t>
      </w:r>
      <w:r w:rsidR="0088306D" w:rsidRPr="001005B7">
        <w:t>, at least,</w:t>
      </w:r>
      <w:r w:rsidR="000166B6" w:rsidRPr="001005B7">
        <w:t xml:space="preserve"> </w:t>
      </w:r>
      <w:r w:rsidR="00080CF2" w:rsidRPr="001005B7">
        <w:t xml:space="preserve">people in Jerusalem </w:t>
      </w:r>
      <w:r w:rsidR="0088306D" w:rsidRPr="001005B7">
        <w:t xml:space="preserve">and in </w:t>
      </w:r>
      <w:proofErr w:type="spellStart"/>
      <w:r w:rsidR="0088306D" w:rsidRPr="001005B7">
        <w:t>Kebar</w:t>
      </w:r>
      <w:proofErr w:type="spellEnd"/>
      <w:r w:rsidR="0088306D" w:rsidRPr="001005B7">
        <w:t xml:space="preserve"> might</w:t>
      </w:r>
      <w:r w:rsidR="00080CF2" w:rsidRPr="001005B7">
        <w:t xml:space="preserve"> think about that question</w:t>
      </w:r>
      <w:r w:rsidR="0088306D" w:rsidRPr="001005B7">
        <w:t>, and engage in mourning and horror</w:t>
      </w:r>
      <w:r w:rsidR="009B3500" w:rsidRPr="001005B7">
        <w:t>, in turning and mindfulness, at the waywardness that led to the calamity.</w:t>
      </w:r>
    </w:p>
    <w:p w14:paraId="6A9820DB" w14:textId="7E446F26" w:rsidR="00A267FA" w:rsidRPr="001005B7" w:rsidRDefault="00A97A6B" w:rsidP="00A1079E">
      <w:r w:rsidRPr="001005B7">
        <w:rPr>
          <w:b/>
          <w:bCs/>
        </w:rPr>
        <w:t>7:</w:t>
      </w:r>
      <w:r w:rsidR="00526E25" w:rsidRPr="001005B7">
        <w:rPr>
          <w:b/>
          <w:bCs/>
        </w:rPr>
        <w:t>19</w:t>
      </w:r>
      <w:r w:rsidR="00F46900" w:rsidRPr="001005B7">
        <w:rPr>
          <w:b/>
          <w:bCs/>
        </w:rPr>
        <w:t>–</w:t>
      </w:r>
      <w:r w:rsidR="00526E25" w:rsidRPr="001005B7">
        <w:rPr>
          <w:b/>
          <w:bCs/>
        </w:rPr>
        <w:t>2</w:t>
      </w:r>
      <w:r w:rsidR="008B49B4" w:rsidRPr="001005B7">
        <w:rPr>
          <w:b/>
          <w:bCs/>
        </w:rPr>
        <w:t>0</w:t>
      </w:r>
      <w:r w:rsidR="00A2619C" w:rsidRPr="001005B7">
        <w:rPr>
          <w:b/>
          <w:bCs/>
        </w:rPr>
        <w:t xml:space="preserve"> </w:t>
      </w:r>
      <w:r w:rsidR="002D7FA4" w:rsidRPr="001005B7">
        <w:t xml:space="preserve">For a third section of the message, </w:t>
      </w:r>
      <w:r w:rsidR="00743A5F" w:rsidRPr="001005B7">
        <w:t xml:space="preserve">Ezekiel </w:t>
      </w:r>
      <w:r w:rsidR="00136D62" w:rsidRPr="001005B7">
        <w:t xml:space="preserve">switches to yet another image. </w:t>
      </w:r>
      <w:r w:rsidR="001D5C7F" w:rsidRPr="001005B7">
        <w:t>People do</w:t>
      </w:r>
      <w:r w:rsidR="00752DA0" w:rsidRPr="001005B7">
        <w:t xml:space="preserve"> not normally</w:t>
      </w:r>
      <w:r w:rsidR="001D5C7F" w:rsidRPr="001005B7">
        <w:t xml:space="preserve"> throw away their silver </w:t>
      </w:r>
      <w:r w:rsidR="0089766B" w:rsidRPr="001005B7">
        <w:t>or</w:t>
      </w:r>
      <w:r w:rsidR="0024239A" w:rsidRPr="001005B7">
        <w:t xml:space="preserve"> </w:t>
      </w:r>
      <w:r w:rsidR="00106D99" w:rsidRPr="001005B7">
        <w:t>re</w:t>
      </w:r>
      <w:r w:rsidR="00E30C8A" w:rsidRPr="001005B7">
        <w:t>nounc</w:t>
      </w:r>
      <w:r w:rsidR="00106D99" w:rsidRPr="001005B7">
        <w:t>e their gold</w:t>
      </w:r>
      <w:r w:rsidR="00E30C8A" w:rsidRPr="001005B7">
        <w:t xml:space="preserve"> as if it is </w:t>
      </w:r>
      <w:r w:rsidR="001D6442" w:rsidRPr="001005B7">
        <w:t>“</w:t>
      </w:r>
      <w:r w:rsidR="00E30C8A" w:rsidRPr="001005B7">
        <w:t>s</w:t>
      </w:r>
      <w:r w:rsidR="002360A9" w:rsidRPr="001005B7">
        <w:t>o</w:t>
      </w:r>
      <w:r w:rsidR="00E30C8A" w:rsidRPr="001005B7">
        <w:t>met</w:t>
      </w:r>
      <w:r w:rsidR="002360A9" w:rsidRPr="001005B7">
        <w:t>h</w:t>
      </w:r>
      <w:r w:rsidR="00E30C8A" w:rsidRPr="001005B7">
        <w:t>ing</w:t>
      </w:r>
      <w:r w:rsidR="00912ECD" w:rsidRPr="001005B7">
        <w:rPr>
          <w:i/>
          <w:iCs/>
        </w:rPr>
        <w:t xml:space="preserve"> </w:t>
      </w:r>
      <w:r w:rsidR="00210D09" w:rsidRPr="001005B7">
        <w:t>to</w:t>
      </w:r>
      <w:r w:rsidR="00210D09" w:rsidRPr="001005B7">
        <w:rPr>
          <w:i/>
          <w:iCs/>
        </w:rPr>
        <w:t xml:space="preserve"> </w:t>
      </w:r>
      <w:r w:rsidR="00210D09" w:rsidRPr="001005B7">
        <w:t>be</w:t>
      </w:r>
      <w:r w:rsidR="00210D09" w:rsidRPr="001005B7">
        <w:rPr>
          <w:i/>
          <w:iCs/>
        </w:rPr>
        <w:t xml:space="preserve"> </w:t>
      </w:r>
      <w:r w:rsidR="009B4A3B" w:rsidRPr="001005B7">
        <w:t>shunned</w:t>
      </w:r>
      <w:r w:rsidR="001D6442" w:rsidRPr="001005B7">
        <w:t>”</w:t>
      </w:r>
      <w:r w:rsidR="00DC1F40" w:rsidRPr="001005B7">
        <w:t xml:space="preserve"> (</w:t>
      </w:r>
      <w:r w:rsidR="00447F60" w:rsidRPr="001005B7">
        <w:rPr>
          <w:rFonts w:cstheme="minorHAnsi"/>
          <w:rtl/>
          <w:lang w:bidi="he-IL"/>
        </w:rPr>
        <w:t>נִד</w:t>
      </w:r>
      <w:r w:rsidR="00004154" w:rsidRPr="001005B7">
        <w:rPr>
          <w:rFonts w:cstheme="minorHAnsi"/>
          <w:rtl/>
          <w:lang w:bidi="he-IL"/>
        </w:rPr>
        <w:t>ָּה</w:t>
      </w:r>
      <w:r w:rsidR="00C86964" w:rsidRPr="001005B7">
        <w:rPr>
          <w:rFonts w:cstheme="minorHAnsi"/>
        </w:rPr>
        <w:t>,</w:t>
      </w:r>
      <w:r w:rsidR="006802F2" w:rsidRPr="001005B7">
        <w:t xml:space="preserve"> from </w:t>
      </w:r>
      <w:r w:rsidR="00004154" w:rsidRPr="001005B7">
        <w:rPr>
          <w:rFonts w:cstheme="minorHAnsi"/>
          <w:rtl/>
          <w:lang w:bidi="he-IL"/>
        </w:rPr>
        <w:t>נָדַד</w:t>
      </w:r>
      <w:r w:rsidR="006802F2" w:rsidRPr="001005B7">
        <w:t xml:space="preserve"> </w:t>
      </w:r>
      <w:r w:rsidR="009A3585" w:rsidRPr="001005B7">
        <w:t xml:space="preserve">meaning </w:t>
      </w:r>
      <w:r w:rsidR="003012E4" w:rsidRPr="001005B7">
        <w:t>“depart</w:t>
      </w:r>
      <w:r w:rsidR="00DE6358" w:rsidRPr="001005B7">
        <w:t>” or “</w:t>
      </w:r>
      <w:r w:rsidR="00C81022" w:rsidRPr="001005B7">
        <w:t>flee”</w:t>
      </w:r>
      <w:r w:rsidR="00E90681" w:rsidRPr="001005B7">
        <w:rPr>
          <w:rFonts w:cstheme="minorHAnsi"/>
        </w:rPr>
        <w:t>)</w:t>
      </w:r>
      <w:r w:rsidR="00B93C0F" w:rsidRPr="001005B7">
        <w:rPr>
          <w:rFonts w:cstheme="minorHAnsi"/>
        </w:rPr>
        <w:t>. Th</w:t>
      </w:r>
      <w:r w:rsidR="0089766B" w:rsidRPr="001005B7">
        <w:rPr>
          <w:rFonts w:cstheme="minorHAnsi"/>
        </w:rPr>
        <w:t>is</w:t>
      </w:r>
      <w:r w:rsidR="00B93C0F" w:rsidRPr="001005B7">
        <w:rPr>
          <w:rFonts w:cstheme="minorHAnsi"/>
        </w:rPr>
        <w:t xml:space="preserve"> noun</w:t>
      </w:r>
      <w:r w:rsidR="00C81022" w:rsidRPr="001005B7">
        <w:rPr>
          <w:rFonts w:cstheme="minorHAnsi"/>
        </w:rPr>
        <w:t xml:space="preserve"> </w:t>
      </w:r>
      <w:r w:rsidR="00542692" w:rsidRPr="001005B7">
        <w:rPr>
          <w:rFonts w:cstheme="minorHAnsi"/>
        </w:rPr>
        <w:t xml:space="preserve">is especially used of </w:t>
      </w:r>
      <w:r w:rsidR="00242006" w:rsidRPr="001005B7">
        <w:rPr>
          <w:rFonts w:cstheme="minorHAnsi"/>
        </w:rPr>
        <w:t>a woman’s separati</w:t>
      </w:r>
      <w:r w:rsidR="00996C65" w:rsidRPr="001005B7">
        <w:rPr>
          <w:rFonts w:cstheme="minorHAnsi"/>
        </w:rPr>
        <w:t xml:space="preserve">ng </w:t>
      </w:r>
      <w:r w:rsidR="00C751D9" w:rsidRPr="001005B7">
        <w:rPr>
          <w:rFonts w:cstheme="minorHAnsi"/>
        </w:rPr>
        <w:t>herself</w:t>
      </w:r>
      <w:r w:rsidR="00242006" w:rsidRPr="001005B7">
        <w:rPr>
          <w:rFonts w:cstheme="minorHAnsi"/>
        </w:rPr>
        <w:t xml:space="preserve"> during menstruation</w:t>
      </w:r>
      <w:r w:rsidR="00B93C0F" w:rsidRPr="001005B7">
        <w:rPr>
          <w:rFonts w:cstheme="minorHAnsi"/>
        </w:rPr>
        <w:t xml:space="preserve">, and </w:t>
      </w:r>
      <w:r w:rsidR="009461E3" w:rsidRPr="001005B7">
        <w:rPr>
          <w:rFonts w:cstheme="minorHAnsi"/>
        </w:rPr>
        <w:t>some modern translations assume that</w:t>
      </w:r>
      <w:r w:rsidR="00AF51B9" w:rsidRPr="001005B7">
        <w:rPr>
          <w:rFonts w:cstheme="minorHAnsi"/>
        </w:rPr>
        <w:t xml:space="preserve"> reference</w:t>
      </w:r>
      <w:r w:rsidR="00C751D9" w:rsidRPr="001005B7">
        <w:rPr>
          <w:rFonts w:cstheme="minorHAnsi"/>
        </w:rPr>
        <w:t>.</w:t>
      </w:r>
      <w:r w:rsidR="00070A33" w:rsidRPr="001005B7">
        <w:rPr>
          <w:rFonts w:cstheme="minorHAnsi"/>
        </w:rPr>
        <w:t xml:space="preserve"> It would suggest the powerful idea that wealth has become a source of </w:t>
      </w:r>
      <w:r w:rsidR="00C32082" w:rsidRPr="001005B7">
        <w:rPr>
          <w:rFonts w:cstheme="minorHAnsi"/>
        </w:rPr>
        <w:t xml:space="preserve">defilement and </w:t>
      </w:r>
      <w:r w:rsidR="00070A33" w:rsidRPr="001005B7">
        <w:rPr>
          <w:rFonts w:cstheme="minorHAnsi"/>
        </w:rPr>
        <w:t>shame rather than honor.</w:t>
      </w:r>
      <w:r w:rsidR="00F27CF1" w:rsidRPr="001005B7">
        <w:rPr>
          <w:rStyle w:val="FootnoteReference"/>
          <w:rFonts w:cstheme="minorHAnsi"/>
        </w:rPr>
        <w:footnoteReference w:id="219"/>
      </w:r>
      <w:r w:rsidR="00C751D9" w:rsidRPr="001005B7">
        <w:rPr>
          <w:rFonts w:cstheme="minorHAnsi"/>
        </w:rPr>
        <w:t xml:space="preserve"> B</w:t>
      </w:r>
      <w:r w:rsidR="00B93C0F" w:rsidRPr="001005B7">
        <w:rPr>
          <w:rFonts w:cstheme="minorHAnsi"/>
        </w:rPr>
        <w:t xml:space="preserve">ut </w:t>
      </w:r>
      <w:r w:rsidR="00711BA2" w:rsidRPr="001005B7">
        <w:rPr>
          <w:sz w:val="18"/>
          <w:szCs w:val="18"/>
        </w:rPr>
        <w:t>LXX</w:t>
      </w:r>
      <w:r w:rsidR="00811D6E" w:rsidRPr="001005B7">
        <w:rPr>
          <w:rFonts w:cstheme="minorHAnsi"/>
        </w:rPr>
        <w:t xml:space="preserve"> </w:t>
      </w:r>
      <w:r w:rsidR="00951078" w:rsidRPr="001005B7">
        <w:rPr>
          <w:rFonts w:cstheme="minorHAnsi"/>
        </w:rPr>
        <w:t>“disdained/disregarded” and Vg</w:t>
      </w:r>
      <w:r w:rsidR="008A14C9" w:rsidRPr="001005B7">
        <w:rPr>
          <w:rFonts w:cstheme="minorHAnsi"/>
        </w:rPr>
        <w:t>.</w:t>
      </w:r>
      <w:r w:rsidR="00951078" w:rsidRPr="001005B7">
        <w:rPr>
          <w:rFonts w:cstheme="minorHAnsi"/>
        </w:rPr>
        <w:t xml:space="preserve"> </w:t>
      </w:r>
      <w:r w:rsidR="006A2349" w:rsidRPr="001005B7">
        <w:rPr>
          <w:rFonts w:cstheme="minorHAnsi"/>
        </w:rPr>
        <w:t>“</w:t>
      </w:r>
      <w:r w:rsidR="00951078" w:rsidRPr="001005B7">
        <w:rPr>
          <w:rFonts w:cstheme="minorHAnsi"/>
        </w:rPr>
        <w:t>dung</w:t>
      </w:r>
      <w:r w:rsidR="006A2349" w:rsidRPr="001005B7">
        <w:rPr>
          <w:rFonts w:cstheme="minorHAnsi"/>
        </w:rPr>
        <w:t xml:space="preserve">” </w:t>
      </w:r>
      <w:r w:rsidR="009461E3" w:rsidRPr="001005B7">
        <w:rPr>
          <w:rFonts w:cstheme="minorHAnsi"/>
        </w:rPr>
        <w:t>(</w:t>
      </w:r>
      <w:r w:rsidR="006A2349" w:rsidRPr="001005B7">
        <w:rPr>
          <w:rFonts w:cstheme="minorHAnsi"/>
        </w:rPr>
        <w:t>cf. KJV) fit the context better</w:t>
      </w:r>
      <w:r w:rsidR="008F0F1E" w:rsidRPr="001005B7">
        <w:rPr>
          <w:rFonts w:cstheme="minorHAnsi"/>
        </w:rPr>
        <w:t>,</w:t>
      </w:r>
      <w:r w:rsidR="001D62EB" w:rsidRPr="001005B7">
        <w:rPr>
          <w:rFonts w:cstheme="minorHAnsi"/>
        </w:rPr>
        <w:t xml:space="preserve"> as this understand</w:t>
      </w:r>
      <w:r w:rsidR="008F0F1E" w:rsidRPr="001005B7">
        <w:rPr>
          <w:rFonts w:cstheme="minorHAnsi"/>
        </w:rPr>
        <w:t>ing</w:t>
      </w:r>
      <w:r w:rsidR="001D62EB" w:rsidRPr="001005B7">
        <w:rPr>
          <w:rFonts w:cstheme="minorHAnsi"/>
        </w:rPr>
        <w:t xml:space="preserve"> leads into the next line</w:t>
      </w:r>
      <w:r w:rsidR="009B4A3B" w:rsidRPr="001005B7">
        <w:rPr>
          <w:rFonts w:cstheme="minorHAnsi"/>
        </w:rPr>
        <w:t xml:space="preserve">. </w:t>
      </w:r>
      <w:r w:rsidR="001846E9" w:rsidRPr="001005B7">
        <w:t>Given that m</w:t>
      </w:r>
      <w:r w:rsidR="009B4A3B" w:rsidRPr="001005B7">
        <w:t>oney has not been invented, silver and gold are like cash</w:t>
      </w:r>
      <w:r w:rsidR="001846E9" w:rsidRPr="001005B7">
        <w:t>. No,</w:t>
      </w:r>
      <w:r w:rsidR="009B4A3B" w:rsidRPr="001005B7">
        <w:t xml:space="preserve"> </w:t>
      </w:r>
      <w:r w:rsidR="006E1533" w:rsidRPr="001005B7">
        <w:t>they a</w:t>
      </w:r>
      <w:r w:rsidR="009B4A3B" w:rsidRPr="001005B7">
        <w:t xml:space="preserve">re not </w:t>
      </w:r>
      <w:r w:rsidR="000C6DF0" w:rsidRPr="001005B7">
        <w:t xml:space="preserve">normally </w:t>
      </w:r>
      <w:r w:rsidR="009B4A3B" w:rsidRPr="001005B7">
        <w:t xml:space="preserve">thrown away or </w:t>
      </w:r>
      <w:r w:rsidR="006E1533" w:rsidRPr="001005B7">
        <w:t>repudiated</w:t>
      </w:r>
      <w:r w:rsidR="000E6D56" w:rsidRPr="001005B7">
        <w:t>: Ezekiel’s declaration is a litotes.</w:t>
      </w:r>
      <w:r w:rsidR="00353FD8" w:rsidRPr="001005B7">
        <w:t>*</w:t>
      </w:r>
      <w:r w:rsidR="000E6D56" w:rsidRPr="001005B7">
        <w:t xml:space="preserve"> But </w:t>
      </w:r>
      <w:r w:rsidR="001875B7" w:rsidRPr="001005B7">
        <w:t>“</w:t>
      </w:r>
      <w:r w:rsidR="000C6DF0" w:rsidRPr="001005B7">
        <w:t>on</w:t>
      </w:r>
      <w:r w:rsidR="000C6DF0" w:rsidRPr="001005B7">
        <w:rPr>
          <w:i/>
          <w:iCs/>
        </w:rPr>
        <w:t xml:space="preserve"> </w:t>
      </w:r>
      <w:r w:rsidR="000C6DF0" w:rsidRPr="001005B7">
        <w:t>the</w:t>
      </w:r>
      <w:r w:rsidR="000C6DF0" w:rsidRPr="001005B7">
        <w:rPr>
          <w:i/>
          <w:iCs/>
        </w:rPr>
        <w:t xml:space="preserve"> </w:t>
      </w:r>
      <w:r w:rsidR="000C6DF0" w:rsidRPr="001005B7">
        <w:t>day</w:t>
      </w:r>
      <w:r w:rsidR="000C6DF0" w:rsidRPr="001005B7">
        <w:rPr>
          <w:i/>
          <w:iCs/>
        </w:rPr>
        <w:t xml:space="preserve"> </w:t>
      </w:r>
      <w:r w:rsidR="000C6DF0" w:rsidRPr="001005B7">
        <w:t>of</w:t>
      </w:r>
      <w:r w:rsidR="000C6DF0" w:rsidRPr="001005B7">
        <w:rPr>
          <w:i/>
          <w:iCs/>
        </w:rPr>
        <w:t xml:space="preserve"> </w:t>
      </w:r>
      <w:r w:rsidR="000C6DF0" w:rsidRPr="001005B7">
        <w:t>Yahweh’s</w:t>
      </w:r>
      <w:r w:rsidR="000C6DF0" w:rsidRPr="001005B7">
        <w:rPr>
          <w:i/>
          <w:iCs/>
        </w:rPr>
        <w:t xml:space="preserve"> </w:t>
      </w:r>
      <w:r w:rsidR="000C6DF0" w:rsidRPr="001005B7">
        <w:t>wrath</w:t>
      </w:r>
      <w:r w:rsidR="007275CC" w:rsidRPr="001005B7">
        <w:t>”</w:t>
      </w:r>
      <w:r w:rsidR="000C6DF0" w:rsidRPr="001005B7">
        <w:rPr>
          <w:i/>
          <w:iCs/>
        </w:rPr>
        <w:t xml:space="preserve"> </w:t>
      </w:r>
      <w:r w:rsidR="000C6DF0" w:rsidRPr="001005B7">
        <w:t>they will be useless.</w:t>
      </w:r>
      <w:r w:rsidR="00BE6595" w:rsidRPr="001005B7">
        <w:t xml:space="preserve"> </w:t>
      </w:r>
      <w:r w:rsidR="00784946" w:rsidRPr="001005B7">
        <w:t xml:space="preserve">Ezekiel recalls </w:t>
      </w:r>
      <w:r w:rsidR="00E94A4B" w:rsidRPr="001005B7">
        <w:t xml:space="preserve">virtually word for word a line from </w:t>
      </w:r>
      <w:proofErr w:type="spellStart"/>
      <w:r w:rsidR="00E94A4B" w:rsidRPr="001005B7">
        <w:t>Zeph</w:t>
      </w:r>
      <w:proofErr w:type="spellEnd"/>
      <w:r w:rsidR="00E94A4B" w:rsidRPr="001005B7">
        <w:t xml:space="preserve"> 1:18 and </w:t>
      </w:r>
      <w:r w:rsidR="00E02DCD" w:rsidRPr="001005B7">
        <w:t>nuances it: t</w:t>
      </w:r>
      <w:r w:rsidR="003B3D54" w:rsidRPr="001005B7">
        <w:t>here will be no food to buy</w:t>
      </w:r>
      <w:r w:rsidR="00FF6CD9" w:rsidRPr="001005B7">
        <w:t>,</w:t>
      </w:r>
      <w:r w:rsidR="003B3D54" w:rsidRPr="001005B7">
        <w:t xml:space="preserve"> and y</w:t>
      </w:r>
      <w:r w:rsidR="00BE6595" w:rsidRPr="001005B7">
        <w:t>ou can’t eat gold or silver</w:t>
      </w:r>
      <w:r w:rsidR="003B3D54" w:rsidRPr="001005B7">
        <w:t>.</w:t>
      </w:r>
      <w:r w:rsidR="001B300B" w:rsidRPr="001005B7">
        <w:t xml:space="preserve"> </w:t>
      </w:r>
      <w:r w:rsidR="00F96CA6" w:rsidRPr="001005B7">
        <w:t>He</w:t>
      </w:r>
      <w:r w:rsidR="004F558F" w:rsidRPr="001005B7">
        <w:t xml:space="preserve"> </w:t>
      </w:r>
      <w:r w:rsidR="009F7D1F" w:rsidRPr="001005B7">
        <w:t xml:space="preserve">again </w:t>
      </w:r>
      <w:r w:rsidR="004F558F" w:rsidRPr="001005B7">
        <w:t xml:space="preserve">restates </w:t>
      </w:r>
      <w:r w:rsidR="008348BE" w:rsidRPr="001005B7">
        <w:t>the cause of their downfall</w:t>
      </w:r>
      <w:r w:rsidR="00851D39" w:rsidRPr="001005B7">
        <w:t xml:space="preserve"> by </w:t>
      </w:r>
      <w:r w:rsidR="007A1D85" w:rsidRPr="001005B7">
        <w:t>combining</w:t>
      </w:r>
      <w:r w:rsidR="009D035B" w:rsidRPr="001005B7">
        <w:t xml:space="preserve"> expression</w:t>
      </w:r>
      <w:r w:rsidR="00595EF0" w:rsidRPr="001005B7">
        <w:t>s</w:t>
      </w:r>
      <w:r w:rsidR="007A1D85" w:rsidRPr="001005B7">
        <w:t xml:space="preserve"> he has used before</w:t>
      </w:r>
      <w:r w:rsidR="00595EF0" w:rsidRPr="001005B7">
        <w:t>:</w:t>
      </w:r>
      <w:r w:rsidR="003530EB" w:rsidRPr="001005B7">
        <w:t xml:space="preserve"> </w:t>
      </w:r>
      <w:r w:rsidR="00334B3A" w:rsidRPr="001005B7">
        <w:t>“</w:t>
      </w:r>
      <w:r w:rsidR="003530EB" w:rsidRPr="001005B7">
        <w:t>waywardness</w:t>
      </w:r>
      <w:r w:rsidR="00334B3A" w:rsidRPr="001005B7">
        <w:t>”</w:t>
      </w:r>
      <w:r w:rsidR="003530EB" w:rsidRPr="001005B7">
        <w:t xml:space="preserve"> </w:t>
      </w:r>
      <w:r w:rsidR="00F96530" w:rsidRPr="001005B7">
        <w:t>is</w:t>
      </w:r>
      <w:r w:rsidR="00E500CA" w:rsidRPr="001005B7">
        <w:t xml:space="preserve"> </w:t>
      </w:r>
      <w:r w:rsidR="00E27C64" w:rsidRPr="001005B7">
        <w:t>their “downfall</w:t>
      </w:r>
      <w:r w:rsidR="008348BE" w:rsidRPr="001005B7">
        <w:t>,</w:t>
      </w:r>
      <w:r w:rsidR="00334B3A" w:rsidRPr="001005B7">
        <w:t>”</w:t>
      </w:r>
      <w:r w:rsidR="008348BE" w:rsidRPr="001005B7">
        <w:t xml:space="preserve"> </w:t>
      </w:r>
      <w:r w:rsidR="00CC375A" w:rsidRPr="001005B7">
        <w:t>the obstacle they f</w:t>
      </w:r>
      <w:r w:rsidR="00F96530" w:rsidRPr="001005B7">
        <w:t>a</w:t>
      </w:r>
      <w:r w:rsidR="00CC375A" w:rsidRPr="001005B7">
        <w:t>ll over</w:t>
      </w:r>
      <w:r w:rsidR="00940306" w:rsidRPr="001005B7">
        <w:t xml:space="preserve"> (</w:t>
      </w:r>
      <w:r w:rsidR="00940306" w:rsidRPr="001005B7">
        <w:rPr>
          <w:rFonts w:cstheme="minorHAnsi"/>
          <w:rtl/>
          <w:lang w:bidi="he-IL"/>
        </w:rPr>
        <w:t>מׅ</w:t>
      </w:r>
      <w:r w:rsidR="00382075" w:rsidRPr="001005B7">
        <w:rPr>
          <w:rFonts w:cstheme="minorHAnsi"/>
          <w:rtl/>
          <w:lang w:bidi="he-IL"/>
        </w:rPr>
        <w:t>כְשׄ</w:t>
      </w:r>
      <w:r w:rsidR="00652F62" w:rsidRPr="001005B7">
        <w:rPr>
          <w:rFonts w:cstheme="minorHAnsi"/>
          <w:rtl/>
          <w:lang w:bidi="he-IL"/>
        </w:rPr>
        <w:t>וׄל</w:t>
      </w:r>
      <w:r w:rsidR="00652F62" w:rsidRPr="001005B7">
        <w:t>)</w:t>
      </w:r>
      <w:r w:rsidR="00130A7E" w:rsidRPr="001005B7">
        <w:t>,</w:t>
      </w:r>
      <w:r w:rsidR="00CC375A" w:rsidRPr="001005B7">
        <w:t xml:space="preserve"> </w:t>
      </w:r>
      <w:r w:rsidR="00652F62" w:rsidRPr="001005B7">
        <w:t>the thing t</w:t>
      </w:r>
      <w:r w:rsidR="008348BE" w:rsidRPr="001005B7">
        <w:t>hat ma</w:t>
      </w:r>
      <w:r w:rsidR="00916DA6" w:rsidRPr="001005B7">
        <w:t>kes</w:t>
      </w:r>
      <w:r w:rsidR="0025700B" w:rsidRPr="001005B7">
        <w:t xml:space="preserve"> Yahweh’s wrath f</w:t>
      </w:r>
      <w:r w:rsidR="008348BE" w:rsidRPr="001005B7">
        <w:t>a</w:t>
      </w:r>
      <w:r w:rsidR="0025700B" w:rsidRPr="001005B7">
        <w:t>ll</w:t>
      </w:r>
      <w:r w:rsidR="005346DE" w:rsidRPr="001005B7">
        <w:rPr>
          <w:i/>
          <w:iCs/>
        </w:rPr>
        <w:t xml:space="preserve"> </w:t>
      </w:r>
      <w:r w:rsidR="005346DE" w:rsidRPr="001005B7">
        <w:t>(see 3:20</w:t>
      </w:r>
      <w:r w:rsidR="00916DA6" w:rsidRPr="001005B7">
        <w:t>)</w:t>
      </w:r>
      <w:r w:rsidR="0066385F" w:rsidRPr="001005B7">
        <w:t>. T</w:t>
      </w:r>
      <w:r w:rsidR="00595EF0" w:rsidRPr="001005B7">
        <w:t>he compound expression will re</w:t>
      </w:r>
      <w:r w:rsidR="00EF6B09" w:rsidRPr="001005B7">
        <w:t xml:space="preserve">cur (14:3, 4, 7; 18:30; 44:12). </w:t>
      </w:r>
      <w:r w:rsidR="00F13F53" w:rsidRPr="001005B7">
        <w:t>Ezekiel</w:t>
      </w:r>
      <w:r w:rsidR="00221BE5" w:rsidRPr="001005B7">
        <w:t xml:space="preserve"> </w:t>
      </w:r>
      <w:r w:rsidR="0025700B" w:rsidRPr="001005B7">
        <w:t xml:space="preserve">then </w:t>
      </w:r>
      <w:r w:rsidR="00FC2B59" w:rsidRPr="001005B7">
        <w:t>moves to a different way of describing th</w:t>
      </w:r>
      <w:r w:rsidR="002901FD" w:rsidRPr="001005B7">
        <w:t>e dynamic of this downfall</w:t>
      </w:r>
      <w:r w:rsidR="00C16024" w:rsidRPr="001005B7">
        <w:t>, th</w:t>
      </w:r>
      <w:r w:rsidR="0028387C" w:rsidRPr="001005B7">
        <w:t>ough the sent</w:t>
      </w:r>
      <w:r w:rsidR="00994781" w:rsidRPr="001005B7">
        <w:t>en</w:t>
      </w:r>
      <w:r w:rsidR="0028387C" w:rsidRPr="001005B7">
        <w:t>ce is allusive</w:t>
      </w:r>
      <w:r w:rsidR="005806E9" w:rsidRPr="001005B7">
        <w:t xml:space="preserve">. </w:t>
      </w:r>
      <w:r w:rsidR="007166A2" w:rsidRPr="001005B7">
        <w:t xml:space="preserve">In 24:21, </w:t>
      </w:r>
      <w:r w:rsidR="008110DF" w:rsidRPr="001005B7">
        <w:t>Yahweh speaks</w:t>
      </w:r>
      <w:r w:rsidR="00774EDE" w:rsidRPr="001005B7">
        <w:t xml:space="preserve"> of the temp</w:t>
      </w:r>
      <w:r w:rsidR="00B84FB9" w:rsidRPr="001005B7">
        <w:t xml:space="preserve">le </w:t>
      </w:r>
      <w:r w:rsidR="00DC0E76" w:rsidRPr="001005B7">
        <w:t xml:space="preserve">as an object of pride </w:t>
      </w:r>
      <w:r w:rsidR="00145A63" w:rsidRPr="001005B7">
        <w:t xml:space="preserve">to </w:t>
      </w:r>
      <w:r w:rsidR="00F308CC" w:rsidRPr="001005B7">
        <w:t xml:space="preserve">the </w:t>
      </w:r>
      <w:r w:rsidR="00145A63" w:rsidRPr="001005B7">
        <w:t>people</w:t>
      </w:r>
      <w:r w:rsidR="00E23B7C" w:rsidRPr="001005B7">
        <w:t xml:space="preserve"> (</w:t>
      </w:r>
      <w:r w:rsidR="00E23B7C" w:rsidRPr="001005B7">
        <w:rPr>
          <w:rFonts w:cstheme="minorHAnsi"/>
          <w:rtl/>
          <w:lang w:bidi="he-IL"/>
        </w:rPr>
        <w:t>גָאוֹן</w:t>
      </w:r>
      <w:r w:rsidR="00E23B7C" w:rsidRPr="001005B7">
        <w:t>)</w:t>
      </w:r>
      <w:r w:rsidR="00BD703A" w:rsidRPr="001005B7">
        <w:t xml:space="preserve">, and that reference makes sense </w:t>
      </w:r>
      <w:r w:rsidR="005F7676" w:rsidRPr="001005B7">
        <w:t>in 7:20</w:t>
      </w:r>
      <w:r w:rsidR="001C0AED" w:rsidRPr="001005B7">
        <w:t xml:space="preserve"> (Rashi and </w:t>
      </w:r>
      <w:proofErr w:type="spellStart"/>
      <w:r w:rsidR="001C0AED" w:rsidRPr="001005B7">
        <w:t>Qimhi</w:t>
      </w:r>
      <w:proofErr w:type="spellEnd"/>
      <w:r w:rsidR="00F1577D" w:rsidRPr="001005B7">
        <w:t>,</w:t>
      </w:r>
      <w:r w:rsidR="001C0AED" w:rsidRPr="001005B7">
        <w:t xml:space="preserve"> in MG</w:t>
      </w:r>
      <w:r w:rsidR="00002E98" w:rsidRPr="001005B7">
        <w:t>).</w:t>
      </w:r>
      <w:r w:rsidR="00C3748C" w:rsidRPr="001005B7">
        <w:t xml:space="preserve"> </w:t>
      </w:r>
      <w:r w:rsidR="00F52A1F" w:rsidRPr="001005B7">
        <w:t xml:space="preserve">The temple is Yahweh’s </w:t>
      </w:r>
      <w:r w:rsidR="00E34DAE" w:rsidRPr="001005B7">
        <w:t xml:space="preserve">own </w:t>
      </w:r>
      <w:r w:rsidR="00F52A1F" w:rsidRPr="001005B7">
        <w:t>“ornate object of splendor” (</w:t>
      </w:r>
      <w:r w:rsidR="00E34DAE" w:rsidRPr="001005B7">
        <w:rPr>
          <w:rFonts w:cstheme="minorHAnsi"/>
          <w:rtl/>
          <w:lang w:bidi="he-IL"/>
        </w:rPr>
        <w:t>צְ</w:t>
      </w:r>
      <w:r w:rsidR="00AF253D" w:rsidRPr="001005B7">
        <w:rPr>
          <w:rFonts w:cstheme="minorHAnsi"/>
          <w:rtl/>
          <w:lang w:bidi="he-IL"/>
        </w:rPr>
        <w:t>בִי</w:t>
      </w:r>
      <w:r w:rsidR="00A1079E" w:rsidRPr="001005B7">
        <w:rPr>
          <w:rFonts w:cstheme="minorHAnsi"/>
          <w:rtl/>
          <w:lang w:bidi="he-IL"/>
        </w:rPr>
        <w:t xml:space="preserve"> </w:t>
      </w:r>
      <w:r w:rsidR="00AF253D" w:rsidRPr="001005B7">
        <w:rPr>
          <w:rFonts w:cstheme="minorHAnsi"/>
          <w:rtl/>
          <w:lang w:bidi="he-IL"/>
        </w:rPr>
        <w:t>עֶדְ</w:t>
      </w:r>
      <w:r w:rsidR="00025DCE" w:rsidRPr="001005B7">
        <w:rPr>
          <w:rFonts w:cstheme="minorHAnsi"/>
          <w:rtl/>
          <w:lang w:bidi="he-IL"/>
        </w:rPr>
        <w:t>יוֹ</w:t>
      </w:r>
      <w:r w:rsidR="00025DCE" w:rsidRPr="001005B7">
        <w:t>).</w:t>
      </w:r>
      <w:r w:rsidR="00A1079E" w:rsidRPr="001005B7">
        <w:t xml:space="preserve"> But t</w:t>
      </w:r>
      <w:r w:rsidR="000423A0" w:rsidRPr="001005B7">
        <w:t>h</w:t>
      </w:r>
      <w:r w:rsidR="00B52577" w:rsidRPr="001005B7">
        <w:t>e</w:t>
      </w:r>
      <w:r w:rsidR="000423A0" w:rsidRPr="001005B7">
        <w:t xml:space="preserve"> </w:t>
      </w:r>
      <w:r w:rsidR="005657B3" w:rsidRPr="001005B7">
        <w:t>wa</w:t>
      </w:r>
      <w:r w:rsidR="00DC4147" w:rsidRPr="001005B7">
        <w:t>ywardness</w:t>
      </w:r>
      <w:r w:rsidR="003C6EAB" w:rsidRPr="001005B7">
        <w:t xml:space="preserve"> </w:t>
      </w:r>
      <w:r w:rsidR="00795501" w:rsidRPr="001005B7">
        <w:t>(that i</w:t>
      </w:r>
      <w:r w:rsidR="002C7C20" w:rsidRPr="001005B7">
        <w:t>s, the wayward people</w:t>
      </w:r>
      <w:r w:rsidR="00A91B9E" w:rsidRPr="001005B7">
        <w:t>)</w:t>
      </w:r>
      <w:r w:rsidR="00052B9B" w:rsidRPr="001005B7">
        <w:t xml:space="preserve"> that caused people’s downfall</w:t>
      </w:r>
      <w:r w:rsidR="007A594E" w:rsidRPr="001005B7">
        <w:t xml:space="preserve"> </w:t>
      </w:r>
      <w:r w:rsidR="00C40785" w:rsidRPr="001005B7">
        <w:t>turned it</w:t>
      </w:r>
      <w:r w:rsidR="003C35E7" w:rsidRPr="001005B7">
        <w:t xml:space="preserve"> </w:t>
      </w:r>
      <w:r w:rsidR="001905E3" w:rsidRPr="001005B7">
        <w:t>into</w:t>
      </w:r>
      <w:r w:rsidR="003C35E7" w:rsidRPr="001005B7">
        <w:t xml:space="preserve"> </w:t>
      </w:r>
      <w:r w:rsidR="00BF650E" w:rsidRPr="001005B7">
        <w:t>“</w:t>
      </w:r>
      <w:r w:rsidR="00ED0C5C" w:rsidRPr="001005B7">
        <w:t>an</w:t>
      </w:r>
      <w:r w:rsidR="00ED0C5C" w:rsidRPr="001005B7">
        <w:rPr>
          <w:i/>
          <w:iCs/>
        </w:rPr>
        <w:t xml:space="preserve"> </w:t>
      </w:r>
      <w:r w:rsidR="00ED0C5C" w:rsidRPr="001005B7">
        <w:t>object</w:t>
      </w:r>
      <w:r w:rsidR="00ED0C5C" w:rsidRPr="001005B7">
        <w:rPr>
          <w:i/>
          <w:iCs/>
        </w:rPr>
        <w:t xml:space="preserve"> </w:t>
      </w:r>
      <w:r w:rsidR="00ED0C5C" w:rsidRPr="001005B7">
        <w:t>of</w:t>
      </w:r>
      <w:r w:rsidR="00D375AD" w:rsidRPr="001005B7">
        <w:t xml:space="preserve"> </w:t>
      </w:r>
      <w:r w:rsidR="00D90984" w:rsidRPr="001005B7">
        <w:t>p</w:t>
      </w:r>
      <w:r w:rsidR="00D2298C" w:rsidRPr="001005B7">
        <w:t>ride</w:t>
      </w:r>
      <w:r w:rsidR="00D51437" w:rsidRPr="001005B7">
        <w:t>”</w:t>
      </w:r>
      <w:r w:rsidR="00D90984" w:rsidRPr="001005B7">
        <w:rPr>
          <w:i/>
          <w:iCs/>
        </w:rPr>
        <w:t xml:space="preserve"> </w:t>
      </w:r>
      <w:r w:rsidR="00D90984" w:rsidRPr="001005B7">
        <w:t>or majesty</w:t>
      </w:r>
      <w:r w:rsidR="00D375AD" w:rsidRPr="001005B7">
        <w:t xml:space="preserve"> (</w:t>
      </w:r>
      <w:r w:rsidR="00CB1AB0" w:rsidRPr="001005B7">
        <w:rPr>
          <w:rFonts w:cstheme="minorHAnsi"/>
          <w:rtl/>
          <w:lang w:bidi="he-IL"/>
        </w:rPr>
        <w:t>גָ</w:t>
      </w:r>
      <w:r w:rsidR="00185373" w:rsidRPr="001005B7">
        <w:rPr>
          <w:rFonts w:cstheme="minorHAnsi"/>
          <w:rtl/>
          <w:lang w:bidi="he-IL"/>
        </w:rPr>
        <w:t>אוֹן</w:t>
      </w:r>
      <w:r w:rsidR="00AD1ADA" w:rsidRPr="001005B7">
        <w:t>)</w:t>
      </w:r>
      <w:r w:rsidR="00DA3D24" w:rsidRPr="001005B7">
        <w:t xml:space="preserve"> </w:t>
      </w:r>
      <w:r w:rsidR="00E82318" w:rsidRPr="001005B7">
        <w:t xml:space="preserve">in some new </w:t>
      </w:r>
      <w:r w:rsidR="005F65A8" w:rsidRPr="001005B7">
        <w:t xml:space="preserve">and terrible </w:t>
      </w:r>
      <w:r w:rsidR="00E82318" w:rsidRPr="001005B7">
        <w:t>sense for them</w:t>
      </w:r>
      <w:r w:rsidR="00054215" w:rsidRPr="001005B7">
        <w:t xml:space="preserve">. </w:t>
      </w:r>
      <w:r w:rsidR="00DA14DE" w:rsidRPr="001005B7">
        <w:t>It happened through</w:t>
      </w:r>
      <w:r w:rsidR="008C628A" w:rsidRPr="001005B7">
        <w:t xml:space="preserve"> </w:t>
      </w:r>
      <w:r w:rsidR="00DA14DE" w:rsidRPr="001005B7">
        <w:t>their</w:t>
      </w:r>
      <w:r w:rsidR="008C628A" w:rsidRPr="001005B7">
        <w:t xml:space="preserve"> introducing </w:t>
      </w:r>
      <w:r w:rsidR="0012771A" w:rsidRPr="001005B7">
        <w:t>into it</w:t>
      </w:r>
      <w:r w:rsidR="00415A46" w:rsidRPr="001005B7">
        <w:t xml:space="preserve"> </w:t>
      </w:r>
      <w:r w:rsidR="00CF56AD" w:rsidRPr="001005B7">
        <w:t xml:space="preserve">a </w:t>
      </w:r>
      <w:r w:rsidR="003E2D0B" w:rsidRPr="001005B7">
        <w:t>collection</w:t>
      </w:r>
      <w:r w:rsidR="00CF56AD" w:rsidRPr="001005B7">
        <w:t xml:space="preserve"> of </w:t>
      </w:r>
      <w:r w:rsidR="00D51437" w:rsidRPr="001005B7">
        <w:t>“</w:t>
      </w:r>
      <w:r w:rsidR="00C05A66" w:rsidRPr="001005B7">
        <w:t>outrageous images</w:t>
      </w:r>
      <w:r w:rsidR="00D51437" w:rsidRPr="001005B7">
        <w:t>”</w:t>
      </w:r>
      <w:r w:rsidR="00C05A66" w:rsidRPr="001005B7">
        <w:t xml:space="preserve"> </w:t>
      </w:r>
      <w:r w:rsidR="003E2D0B" w:rsidRPr="001005B7">
        <w:t>that are</w:t>
      </w:r>
      <w:r w:rsidR="00C05A66" w:rsidRPr="001005B7">
        <w:t xml:space="preserve"> thus </w:t>
      </w:r>
      <w:r w:rsidR="00D51437" w:rsidRPr="001005B7">
        <w:t>“</w:t>
      </w:r>
      <w:r w:rsidR="00C05A66" w:rsidRPr="001005B7">
        <w:t>detestabl</w:t>
      </w:r>
      <w:r w:rsidR="002747C0" w:rsidRPr="001005B7">
        <w:t>e</w:t>
      </w:r>
      <w:r w:rsidR="002747C0" w:rsidRPr="001005B7">
        <w:rPr>
          <w:i/>
          <w:iCs/>
        </w:rPr>
        <w:t xml:space="preserve"> </w:t>
      </w:r>
      <w:r w:rsidR="002747C0" w:rsidRPr="001005B7">
        <w:t>objects</w:t>
      </w:r>
      <w:r w:rsidR="0071720C" w:rsidRPr="001005B7">
        <w:t>.</w:t>
      </w:r>
      <w:r w:rsidR="00D51437" w:rsidRPr="001005B7">
        <w:t>”</w:t>
      </w:r>
      <w:r w:rsidR="0071720C" w:rsidRPr="001005B7">
        <w:t xml:space="preserve"> The</w:t>
      </w:r>
      <w:r w:rsidR="002E437F" w:rsidRPr="001005B7">
        <w:t>se</w:t>
      </w:r>
      <w:r w:rsidR="0071720C" w:rsidRPr="001005B7">
        <w:t xml:space="preserve"> are familiar value judgments in Ezekiel</w:t>
      </w:r>
      <w:r w:rsidR="00FF2CAC" w:rsidRPr="001005B7">
        <w:t xml:space="preserve"> except for the noun </w:t>
      </w:r>
      <w:r w:rsidR="00D316E9" w:rsidRPr="001005B7">
        <w:t>“</w:t>
      </w:r>
      <w:r w:rsidR="00FF2CAC" w:rsidRPr="001005B7">
        <w:t>images</w:t>
      </w:r>
      <w:r w:rsidR="00D316E9" w:rsidRPr="001005B7">
        <w:t>”</w:t>
      </w:r>
      <w:r w:rsidR="00185373" w:rsidRPr="001005B7">
        <w:rPr>
          <w:i/>
          <w:iCs/>
        </w:rPr>
        <w:t xml:space="preserve"> </w:t>
      </w:r>
      <w:r w:rsidR="00185373" w:rsidRPr="001005B7">
        <w:t>(</w:t>
      </w:r>
      <w:r w:rsidR="00C34B7B" w:rsidRPr="001005B7">
        <w:rPr>
          <w:rFonts w:cstheme="minorHAnsi"/>
          <w:rtl/>
          <w:lang w:bidi="he-IL"/>
        </w:rPr>
        <w:t>צ</w:t>
      </w:r>
      <w:r w:rsidR="00D91969" w:rsidRPr="001005B7">
        <w:rPr>
          <w:rFonts w:cstheme="minorHAnsi"/>
          <w:rtl/>
          <w:lang w:bidi="he-IL"/>
        </w:rPr>
        <w:t>ֶלֶם</w:t>
      </w:r>
      <w:r w:rsidR="00D91969" w:rsidRPr="001005B7">
        <w:t>),</w:t>
      </w:r>
      <w:r w:rsidR="00A6075B" w:rsidRPr="001005B7">
        <w:t xml:space="preserve"> which Ezekiel uses of </w:t>
      </w:r>
      <w:r w:rsidR="005B574B" w:rsidRPr="001005B7">
        <w:t>“idols” only here</w:t>
      </w:r>
      <w:r w:rsidR="00CF1198" w:rsidRPr="001005B7">
        <w:t>.</w:t>
      </w:r>
      <w:r w:rsidR="00CF1198" w:rsidRPr="001005B7">
        <w:rPr>
          <w:rStyle w:val="FootnoteReference"/>
        </w:rPr>
        <w:footnoteReference w:id="220"/>
      </w:r>
      <w:r w:rsidR="00F174C1" w:rsidRPr="001005B7">
        <w:t xml:space="preserve"> </w:t>
      </w:r>
      <w:r w:rsidR="00A71031" w:rsidRPr="001005B7">
        <w:t>The result o</w:t>
      </w:r>
      <w:r w:rsidR="00F720A4" w:rsidRPr="001005B7">
        <w:t>f</w:t>
      </w:r>
      <w:r w:rsidR="00A71031" w:rsidRPr="001005B7">
        <w:t xml:space="preserve"> their action is to make the temple into </w:t>
      </w:r>
      <w:r w:rsidR="00185D05" w:rsidRPr="001005B7">
        <w:t>a place</w:t>
      </w:r>
      <w:r w:rsidR="00A71031" w:rsidRPr="001005B7">
        <w:t xml:space="preserve"> </w:t>
      </w:r>
      <w:r w:rsidR="00185D05" w:rsidRPr="001005B7">
        <w:t>Yahweh</w:t>
      </w:r>
      <w:r w:rsidR="00A71031" w:rsidRPr="001005B7">
        <w:t xml:space="preserve"> has</w:t>
      </w:r>
      <w:r w:rsidR="00E164A3" w:rsidRPr="001005B7">
        <w:t xml:space="preserve"> given up </w:t>
      </w:r>
      <w:r w:rsidR="00C1331D" w:rsidRPr="001005B7">
        <w:t>o</w:t>
      </w:r>
      <w:r w:rsidR="00E164A3" w:rsidRPr="001005B7">
        <w:t>n and</w:t>
      </w:r>
      <w:r w:rsidR="00A71031" w:rsidRPr="001005B7">
        <w:t xml:space="preserve"> </w:t>
      </w:r>
      <w:r w:rsidR="003F3DBD" w:rsidRPr="001005B7">
        <w:t>surrendered to them</w:t>
      </w:r>
      <w:r w:rsidR="009B3CD4" w:rsidRPr="001005B7">
        <w:t xml:space="preserve"> </w:t>
      </w:r>
      <w:r w:rsidR="00D316E9" w:rsidRPr="001005B7">
        <w:t>“</w:t>
      </w:r>
      <w:r w:rsidR="009B3CD4" w:rsidRPr="001005B7">
        <w:t>as</w:t>
      </w:r>
      <w:r w:rsidR="009B3CD4" w:rsidRPr="001005B7">
        <w:rPr>
          <w:i/>
          <w:iCs/>
        </w:rPr>
        <w:t xml:space="preserve"> </w:t>
      </w:r>
      <w:r w:rsidR="009B3CD4" w:rsidRPr="001005B7">
        <w:t>something</w:t>
      </w:r>
      <w:r w:rsidR="009B3CD4" w:rsidRPr="001005B7">
        <w:rPr>
          <w:i/>
          <w:iCs/>
        </w:rPr>
        <w:t xml:space="preserve"> </w:t>
      </w:r>
      <w:r w:rsidR="009B3CD4" w:rsidRPr="001005B7">
        <w:t>to</w:t>
      </w:r>
      <w:r w:rsidR="009B3CD4" w:rsidRPr="001005B7">
        <w:rPr>
          <w:i/>
          <w:iCs/>
        </w:rPr>
        <w:t xml:space="preserve"> </w:t>
      </w:r>
      <w:r w:rsidR="009B3CD4" w:rsidRPr="001005B7">
        <w:t>be</w:t>
      </w:r>
      <w:r w:rsidR="009B3CD4" w:rsidRPr="001005B7">
        <w:rPr>
          <w:i/>
          <w:iCs/>
        </w:rPr>
        <w:t xml:space="preserve"> </w:t>
      </w:r>
      <w:r w:rsidR="009B3CD4" w:rsidRPr="001005B7">
        <w:t>shunned</w:t>
      </w:r>
      <w:r w:rsidR="00D316E9" w:rsidRPr="001005B7">
        <w:t>”</w:t>
      </w:r>
      <w:r w:rsidR="009B3CD4" w:rsidRPr="001005B7">
        <w:t xml:space="preserve">—with irony, he repeats the word from </w:t>
      </w:r>
      <w:r w:rsidR="003D021F" w:rsidRPr="001005B7">
        <w:t>7:</w:t>
      </w:r>
      <w:r w:rsidR="00E164A3" w:rsidRPr="001005B7">
        <w:t>19.</w:t>
      </w:r>
      <w:r w:rsidR="009B3CD4" w:rsidRPr="001005B7">
        <w:t xml:space="preserve"> </w:t>
      </w:r>
    </w:p>
    <w:p w14:paraId="4B3C47D2" w14:textId="74EE329B" w:rsidR="00801A55" w:rsidRPr="001005B7" w:rsidRDefault="00002E98" w:rsidP="001F7EDC">
      <w:r w:rsidRPr="001005B7">
        <w:rPr>
          <w:b/>
          <w:bCs/>
        </w:rPr>
        <w:t>7:</w:t>
      </w:r>
      <w:r w:rsidR="002D1D8E" w:rsidRPr="001005B7">
        <w:rPr>
          <w:b/>
          <w:bCs/>
        </w:rPr>
        <w:t>21</w:t>
      </w:r>
      <w:r w:rsidR="00F46900" w:rsidRPr="001005B7">
        <w:rPr>
          <w:b/>
          <w:bCs/>
        </w:rPr>
        <w:t>–</w:t>
      </w:r>
      <w:r w:rsidR="002D1D8E" w:rsidRPr="001005B7">
        <w:rPr>
          <w:b/>
          <w:bCs/>
        </w:rPr>
        <w:t xml:space="preserve">22 </w:t>
      </w:r>
      <w:r w:rsidR="002A1944" w:rsidRPr="001005B7">
        <w:t>Thus, w</w:t>
      </w:r>
      <w:r w:rsidR="00DA4C14" w:rsidRPr="001005B7">
        <w:t xml:space="preserve">hereas the temple had been </w:t>
      </w:r>
      <w:r w:rsidR="0062301B" w:rsidRPr="001005B7">
        <w:t>his</w:t>
      </w:r>
      <w:r w:rsidR="00DA4C14" w:rsidRPr="001005B7">
        <w:t xml:space="preserve"> gift to them, </w:t>
      </w:r>
      <w:r w:rsidR="002A1944" w:rsidRPr="001005B7">
        <w:t>t</w:t>
      </w:r>
      <w:r w:rsidR="002474BD" w:rsidRPr="001005B7">
        <w:t xml:space="preserve">hey have </w:t>
      </w:r>
      <w:r w:rsidR="002D1D8E" w:rsidRPr="001005B7">
        <w:t xml:space="preserve">turned </w:t>
      </w:r>
      <w:r w:rsidR="00414609" w:rsidRPr="001005B7">
        <w:t>it</w:t>
      </w:r>
      <w:r w:rsidR="009A20E6" w:rsidRPr="001005B7">
        <w:t xml:space="preserve"> into something he might as well pass </w:t>
      </w:r>
      <w:r w:rsidR="009125D8" w:rsidRPr="001005B7">
        <w:t xml:space="preserve">on </w:t>
      </w:r>
      <w:r w:rsidR="0062301B" w:rsidRPr="001005B7">
        <w:t>as</w:t>
      </w:r>
      <w:r w:rsidR="009125D8" w:rsidRPr="001005B7">
        <w:t xml:space="preserve"> </w:t>
      </w:r>
      <w:r w:rsidR="006E142C" w:rsidRPr="001005B7">
        <w:t>a gift to</w:t>
      </w:r>
      <w:r w:rsidR="009A20E6" w:rsidRPr="001005B7">
        <w:t xml:space="preserve"> </w:t>
      </w:r>
      <w:r w:rsidR="00145514" w:rsidRPr="001005B7">
        <w:t>foreigners</w:t>
      </w:r>
      <w:r w:rsidR="00AD1C0B" w:rsidRPr="001005B7">
        <w:t xml:space="preserve"> and </w:t>
      </w:r>
      <w:r w:rsidR="00665061" w:rsidRPr="001005B7">
        <w:t>to</w:t>
      </w:r>
      <w:r w:rsidR="0020587D" w:rsidRPr="001005B7">
        <w:t xml:space="preserve"> </w:t>
      </w:r>
      <w:r w:rsidR="00085871" w:rsidRPr="001005B7">
        <w:t>“</w:t>
      </w:r>
      <w:r w:rsidR="00AD1C0B" w:rsidRPr="001005B7">
        <w:t>the</w:t>
      </w:r>
      <w:r w:rsidR="00AD1C0B" w:rsidRPr="001005B7">
        <w:rPr>
          <w:i/>
          <w:iCs/>
        </w:rPr>
        <w:t xml:space="preserve"> </w:t>
      </w:r>
      <w:r w:rsidR="005E08B7" w:rsidRPr="001005B7">
        <w:t>most</w:t>
      </w:r>
      <w:r w:rsidR="005E08B7" w:rsidRPr="001005B7">
        <w:rPr>
          <w:i/>
          <w:iCs/>
        </w:rPr>
        <w:t xml:space="preserve"> </w:t>
      </w:r>
      <w:r w:rsidR="00AD1C0B" w:rsidRPr="001005B7">
        <w:t>faithless</w:t>
      </w:r>
      <w:r w:rsidR="00AD1C0B" w:rsidRPr="001005B7">
        <w:rPr>
          <w:i/>
          <w:iCs/>
        </w:rPr>
        <w:t xml:space="preserve"> </w:t>
      </w:r>
      <w:r w:rsidR="00AD1C0B" w:rsidRPr="001005B7">
        <w:t>of</w:t>
      </w:r>
      <w:r w:rsidR="00AD1C0B" w:rsidRPr="001005B7">
        <w:rPr>
          <w:i/>
          <w:iCs/>
        </w:rPr>
        <w:t xml:space="preserve"> </w:t>
      </w:r>
      <w:r w:rsidR="00AD1C0B" w:rsidRPr="001005B7">
        <w:t>the</w:t>
      </w:r>
      <w:r w:rsidR="00AD1C0B" w:rsidRPr="001005B7">
        <w:rPr>
          <w:i/>
          <w:iCs/>
        </w:rPr>
        <w:t xml:space="preserve"> </w:t>
      </w:r>
      <w:r w:rsidR="00AD1C0B" w:rsidRPr="001005B7">
        <w:t>earth</w:t>
      </w:r>
      <w:r w:rsidR="00AA34E0" w:rsidRPr="001005B7">
        <w:t>” and</w:t>
      </w:r>
      <w:r w:rsidR="00D41B9C" w:rsidRPr="001005B7">
        <w:t xml:space="preserve"> thus </w:t>
      </w:r>
      <w:r w:rsidR="00AA34E0" w:rsidRPr="001005B7">
        <w:t>“</w:t>
      </w:r>
      <w:r w:rsidR="00BD3BF8" w:rsidRPr="001005B7">
        <w:t>t</w:t>
      </w:r>
      <w:r w:rsidR="00AA380F" w:rsidRPr="001005B7">
        <w:t>reat</w:t>
      </w:r>
      <w:r w:rsidR="00BD3BF8" w:rsidRPr="001005B7">
        <w:t xml:space="preserve"> </w:t>
      </w:r>
      <w:r w:rsidR="00AA34E0" w:rsidRPr="001005B7">
        <w:t xml:space="preserve">it </w:t>
      </w:r>
      <w:r w:rsidR="00AA380F" w:rsidRPr="001005B7">
        <w:t>as</w:t>
      </w:r>
      <w:r w:rsidR="00BD3BF8" w:rsidRPr="001005B7">
        <w:t xml:space="preserve"> something ordinary</w:t>
      </w:r>
      <w:r w:rsidR="005C760B" w:rsidRPr="001005B7">
        <w:t>,</w:t>
      </w:r>
      <w:r w:rsidR="00AA380F" w:rsidRPr="001005B7">
        <w:t>” profane it</w:t>
      </w:r>
      <w:r w:rsidR="00DD5FCE" w:rsidRPr="001005B7">
        <w:t xml:space="preserve"> (</w:t>
      </w:r>
      <w:r w:rsidR="00DD5FCE" w:rsidRPr="001005B7">
        <w:rPr>
          <w:rFonts w:cstheme="minorHAnsi"/>
          <w:rtl/>
          <w:lang w:bidi="he-IL"/>
        </w:rPr>
        <w:t>חָלַל</w:t>
      </w:r>
      <w:r w:rsidR="00DD5FCE" w:rsidRPr="001005B7">
        <w:t xml:space="preserve"> piel)</w:t>
      </w:r>
      <w:r w:rsidR="00D41B9C" w:rsidRPr="001005B7">
        <w:t xml:space="preserve">. </w:t>
      </w:r>
      <w:r w:rsidR="005C4E73" w:rsidRPr="001005B7">
        <w:t xml:space="preserve">There are two levels of seriousness about profaning. It can mean </w:t>
      </w:r>
      <w:r w:rsidR="006D4B2B" w:rsidRPr="001005B7">
        <w:t xml:space="preserve">simply </w:t>
      </w:r>
      <w:r w:rsidR="005C4E73" w:rsidRPr="001005B7">
        <w:t xml:space="preserve">treating something or someone as ordinary rather than special and separate. Or it can mean substantively polluting or defiling something or someone sacred. </w:t>
      </w:r>
      <w:r w:rsidR="003326A4" w:rsidRPr="001005B7">
        <w:t>Both sorts of profanation</w:t>
      </w:r>
      <w:r w:rsidR="00AD1C0B" w:rsidRPr="001005B7">
        <w:t xml:space="preserve"> will happen when the Babylonians arrive</w:t>
      </w:r>
      <w:r w:rsidR="00B6624D" w:rsidRPr="001005B7">
        <w:t xml:space="preserve"> and take </w:t>
      </w:r>
      <w:r w:rsidR="003326A4" w:rsidRPr="001005B7">
        <w:t>the temple</w:t>
      </w:r>
      <w:r w:rsidR="00B6624D" w:rsidRPr="001005B7">
        <w:t xml:space="preserve"> as </w:t>
      </w:r>
      <w:r w:rsidR="00C676E9" w:rsidRPr="001005B7">
        <w:t>“</w:t>
      </w:r>
      <w:r w:rsidR="00B6624D" w:rsidRPr="001005B7">
        <w:t>plunder</w:t>
      </w:r>
      <w:r w:rsidR="00C676E9" w:rsidRPr="001005B7">
        <w:t>”</w:t>
      </w:r>
      <w:r w:rsidR="00B6624D" w:rsidRPr="001005B7">
        <w:rPr>
          <w:i/>
          <w:iCs/>
        </w:rPr>
        <w:t xml:space="preserve"> </w:t>
      </w:r>
      <w:r w:rsidR="00B6624D" w:rsidRPr="001005B7">
        <w:t xml:space="preserve">and </w:t>
      </w:r>
      <w:r w:rsidR="00C676E9" w:rsidRPr="001005B7">
        <w:t>“</w:t>
      </w:r>
      <w:r w:rsidR="00B6624D" w:rsidRPr="001005B7">
        <w:t>spoil.</w:t>
      </w:r>
      <w:r w:rsidR="00C676E9" w:rsidRPr="001005B7">
        <w:t>”</w:t>
      </w:r>
      <w:r w:rsidR="00B6624D" w:rsidRPr="001005B7">
        <w:t xml:space="preserve"> </w:t>
      </w:r>
      <w:r w:rsidR="00A50A48" w:rsidRPr="001005B7">
        <w:t>Reall</w:t>
      </w:r>
      <w:r w:rsidR="000312CB" w:rsidRPr="001005B7">
        <w:t>y</w:t>
      </w:r>
      <w:r w:rsidR="00A50A48" w:rsidRPr="001005B7">
        <w:t>,</w:t>
      </w:r>
      <w:r w:rsidR="000312CB" w:rsidRPr="001005B7">
        <w:t xml:space="preserve"> </w:t>
      </w:r>
      <w:r w:rsidR="00A50A48" w:rsidRPr="001005B7">
        <w:t>it</w:t>
      </w:r>
      <w:r w:rsidR="000312CB" w:rsidRPr="001005B7">
        <w:t xml:space="preserve"> is </w:t>
      </w:r>
      <w:r w:rsidR="007E6FE4" w:rsidRPr="001005B7">
        <w:t xml:space="preserve">defiled and </w:t>
      </w:r>
      <w:r w:rsidR="000312CB" w:rsidRPr="001005B7">
        <w:t>p</w:t>
      </w:r>
      <w:r w:rsidR="001471A7" w:rsidRPr="001005B7">
        <w:t>rofan</w:t>
      </w:r>
      <w:r w:rsidR="000312CB" w:rsidRPr="001005B7">
        <w:t>ed already, but these pagan feet will</w:t>
      </w:r>
      <w:r w:rsidR="00976080" w:rsidRPr="001005B7">
        <w:t xml:space="preserve"> p</w:t>
      </w:r>
      <w:r w:rsidR="001471A7" w:rsidRPr="001005B7">
        <w:t>rofan</w:t>
      </w:r>
      <w:r w:rsidR="00723631" w:rsidRPr="001005B7">
        <w:t>e</w:t>
      </w:r>
      <w:r w:rsidR="00976080" w:rsidRPr="001005B7">
        <w:t xml:space="preserve"> it</w:t>
      </w:r>
      <w:r w:rsidR="00723631" w:rsidRPr="001005B7">
        <w:t xml:space="preserve"> further</w:t>
      </w:r>
      <w:r w:rsidR="003E1B63" w:rsidRPr="001005B7">
        <w:t>.</w:t>
      </w:r>
      <w:r w:rsidR="00BD41E3" w:rsidRPr="001005B7">
        <w:rPr>
          <w:rStyle w:val="FootnoteReference"/>
        </w:rPr>
        <w:footnoteReference w:id="221"/>
      </w:r>
      <w:r w:rsidR="00163D53" w:rsidRPr="001005B7">
        <w:t xml:space="preserve"> </w:t>
      </w:r>
      <w:r w:rsidR="00AE39AD" w:rsidRPr="001005B7">
        <w:t xml:space="preserve">In Ezekiel, </w:t>
      </w:r>
      <w:r w:rsidR="004B3780">
        <w:t>“</w:t>
      </w:r>
      <w:r w:rsidR="00163D53" w:rsidRPr="001005B7">
        <w:t>the past, present and future of Israel as a whole are defined by using the categories of profanation and sanctification</w:t>
      </w:r>
      <w:r w:rsidR="00AE39AD" w:rsidRPr="001005B7">
        <w:t>.”</w:t>
      </w:r>
      <w:r w:rsidR="00AE39AD" w:rsidRPr="001005B7">
        <w:rPr>
          <w:rStyle w:val="FootnoteReference"/>
        </w:rPr>
        <w:footnoteReference w:id="222"/>
      </w:r>
      <w:r w:rsidR="00A87B89" w:rsidRPr="001005B7">
        <w:t xml:space="preserve"> Yahweh will later note </w:t>
      </w:r>
      <w:r w:rsidR="007D7162" w:rsidRPr="001005B7">
        <w:t xml:space="preserve">that </w:t>
      </w:r>
      <w:r w:rsidR="00A87B89" w:rsidRPr="001005B7">
        <w:t xml:space="preserve">he </w:t>
      </w:r>
      <w:r w:rsidR="00EF0ED0" w:rsidRPr="001005B7">
        <w:t>di</w:t>
      </w:r>
      <w:r w:rsidR="00A87B89" w:rsidRPr="001005B7">
        <w:t xml:space="preserve">d </w:t>
      </w:r>
      <w:r w:rsidR="007D7162" w:rsidRPr="001005B7">
        <w:t>indeed</w:t>
      </w:r>
      <w:r w:rsidR="00FA7E46" w:rsidRPr="001005B7">
        <w:t xml:space="preserve"> bring about a</w:t>
      </w:r>
      <w:r w:rsidR="003212F6" w:rsidRPr="001005B7">
        <w:t xml:space="preserve"> profanation by pagan feet</w:t>
      </w:r>
      <w:r w:rsidR="00E9520F" w:rsidRPr="001005B7">
        <w:t xml:space="preserve"> (Isa 47:6).</w:t>
      </w:r>
      <w:r w:rsidR="008733A5" w:rsidRPr="001005B7">
        <w:t xml:space="preserve"> </w:t>
      </w:r>
      <w:r w:rsidR="007404B3" w:rsidRPr="001005B7">
        <w:t>“I</w:t>
      </w:r>
      <w:r w:rsidR="000C1B5E" w:rsidRPr="001005B7">
        <w:rPr>
          <w:i/>
          <w:iCs/>
        </w:rPr>
        <w:t xml:space="preserve"> </w:t>
      </w:r>
      <w:r w:rsidR="00976080" w:rsidRPr="001005B7">
        <w:t xml:space="preserve">will turn </w:t>
      </w:r>
      <w:r w:rsidR="000C1B5E" w:rsidRPr="001005B7">
        <w:t>my</w:t>
      </w:r>
      <w:r w:rsidR="00976080" w:rsidRPr="001005B7">
        <w:t xml:space="preserve"> face</w:t>
      </w:r>
      <w:r w:rsidR="001E3DAB" w:rsidRPr="001005B7">
        <w:t xml:space="preserve"> from them</w:t>
      </w:r>
      <w:r w:rsidR="007404B3" w:rsidRPr="001005B7">
        <w:t>”</w:t>
      </w:r>
      <w:r w:rsidR="001E3DAB" w:rsidRPr="001005B7">
        <w:t xml:space="preserve"> is a</w:t>
      </w:r>
      <w:r w:rsidR="00726B25" w:rsidRPr="001005B7">
        <w:t xml:space="preserve"> further shocking threat: when someone </w:t>
      </w:r>
      <w:r w:rsidR="00D34154" w:rsidRPr="001005B7">
        <w:t xml:space="preserve">turns their face to you, it </w:t>
      </w:r>
      <w:r w:rsidR="00A01686" w:rsidRPr="001005B7">
        <w:t>signif</w:t>
      </w:r>
      <w:r w:rsidR="007908DD">
        <w:t>ies</w:t>
      </w:r>
      <w:r w:rsidR="00D34154" w:rsidRPr="001005B7">
        <w:t xml:space="preserve"> their favor and blessing, but when they turn </w:t>
      </w:r>
      <w:r w:rsidR="001C43F2" w:rsidRPr="001005B7">
        <w:t xml:space="preserve">it </w:t>
      </w:r>
      <w:r w:rsidR="00D34154" w:rsidRPr="001005B7">
        <w:t xml:space="preserve">away, </w:t>
      </w:r>
      <w:r w:rsidR="001C43F2" w:rsidRPr="001005B7">
        <w:t>this</w:t>
      </w:r>
      <w:r w:rsidR="00D34154" w:rsidRPr="001005B7">
        <w:t xml:space="preserve"> </w:t>
      </w:r>
      <w:r w:rsidR="00B9228A" w:rsidRPr="001005B7">
        <w:t>signifies</w:t>
      </w:r>
      <w:r w:rsidR="00D34154" w:rsidRPr="001005B7">
        <w:t xml:space="preserve"> </w:t>
      </w:r>
      <w:r w:rsidR="0074421B" w:rsidRPr="001005B7">
        <w:t>abandonment.</w:t>
      </w:r>
      <w:r w:rsidR="00976080" w:rsidRPr="001005B7">
        <w:t xml:space="preserve"> </w:t>
      </w:r>
      <w:r w:rsidR="00C16882" w:rsidRPr="001005B7">
        <w:t>Yahweh makes the point again in yet another shocking formulation:</w:t>
      </w:r>
      <w:r w:rsidR="00B462BD" w:rsidRPr="001005B7">
        <w:t xml:space="preserve"> </w:t>
      </w:r>
      <w:r w:rsidR="004C20A5" w:rsidRPr="001005B7">
        <w:t>his action will mean</w:t>
      </w:r>
      <w:r w:rsidR="008A261D" w:rsidRPr="001005B7">
        <w:t xml:space="preserve"> </w:t>
      </w:r>
      <w:r w:rsidR="007669EB" w:rsidRPr="001005B7">
        <w:t>“</w:t>
      </w:r>
      <w:r w:rsidR="008A261D" w:rsidRPr="001005B7">
        <w:t>they</w:t>
      </w:r>
      <w:r w:rsidR="008A261D" w:rsidRPr="001005B7">
        <w:rPr>
          <w:i/>
          <w:iCs/>
        </w:rPr>
        <w:t xml:space="preserve"> </w:t>
      </w:r>
      <w:r w:rsidR="008A261D" w:rsidRPr="001005B7">
        <w:t>will</w:t>
      </w:r>
      <w:r w:rsidR="008A261D" w:rsidRPr="001005B7">
        <w:rPr>
          <w:i/>
          <w:iCs/>
        </w:rPr>
        <w:t xml:space="preserve"> </w:t>
      </w:r>
      <w:r w:rsidR="001B65C1" w:rsidRPr="001005B7">
        <w:t xml:space="preserve">treat as </w:t>
      </w:r>
      <w:r w:rsidR="00860209" w:rsidRPr="001005B7">
        <w:t xml:space="preserve">something </w:t>
      </w:r>
      <w:r w:rsidR="001B65C1" w:rsidRPr="001005B7">
        <w:t>ordinary</w:t>
      </w:r>
      <w:r w:rsidR="008A261D" w:rsidRPr="001005B7">
        <w:rPr>
          <w:i/>
          <w:iCs/>
        </w:rPr>
        <w:t xml:space="preserve"> </w:t>
      </w:r>
      <w:r w:rsidR="00D57664" w:rsidRPr="001005B7">
        <w:t>what</w:t>
      </w:r>
      <w:r w:rsidR="007669EB" w:rsidRPr="001005B7">
        <w:t xml:space="preserve"> I</w:t>
      </w:r>
      <w:r w:rsidR="00D57664" w:rsidRPr="001005B7">
        <w:rPr>
          <w:i/>
          <w:iCs/>
        </w:rPr>
        <w:t xml:space="preserve"> </w:t>
      </w:r>
      <w:r w:rsidR="008A261D" w:rsidRPr="001005B7">
        <w:t>treasure</w:t>
      </w:r>
      <w:r w:rsidR="00D57664" w:rsidRPr="001005B7">
        <w:t>d</w:t>
      </w:r>
      <w:r w:rsidR="00D57664" w:rsidRPr="001005B7">
        <w:rPr>
          <w:i/>
          <w:iCs/>
        </w:rPr>
        <w:t xml:space="preserve"> </w:t>
      </w:r>
      <w:r w:rsidR="00D57664" w:rsidRPr="001005B7">
        <w:t>away</w:t>
      </w:r>
      <w:r w:rsidR="00703098" w:rsidRPr="001005B7">
        <w:t>,</w:t>
      </w:r>
      <w:r w:rsidR="007669EB" w:rsidRPr="001005B7">
        <w:t>”</w:t>
      </w:r>
      <w:r w:rsidR="00703098" w:rsidRPr="001005B7">
        <w:t xml:space="preserve"> a unique expression for the temple itself</w:t>
      </w:r>
      <w:r w:rsidR="00541C9B" w:rsidRPr="001005B7">
        <w:t xml:space="preserve"> that suggests </w:t>
      </w:r>
      <w:r w:rsidR="00BF3562" w:rsidRPr="001005B7">
        <w:t>its</w:t>
      </w:r>
      <w:r w:rsidR="00541C9B" w:rsidRPr="001005B7">
        <w:t xml:space="preserve"> importance to him</w:t>
      </w:r>
      <w:r w:rsidR="007B7FD4" w:rsidRPr="001005B7">
        <w:t>. H</w:t>
      </w:r>
      <w:r w:rsidR="00A33128" w:rsidRPr="001005B7">
        <w:t>e will enable the</w:t>
      </w:r>
      <w:r w:rsidR="008A1B97" w:rsidRPr="001005B7">
        <w:t xml:space="preserve"> invaders</w:t>
      </w:r>
      <w:r w:rsidR="00A33128" w:rsidRPr="001005B7">
        <w:t xml:space="preserve"> to</w:t>
      </w:r>
      <w:r w:rsidR="00703098" w:rsidRPr="001005B7">
        <w:t xml:space="preserve"> treat </w:t>
      </w:r>
      <w:r w:rsidR="007B7FD4" w:rsidRPr="001005B7">
        <w:t xml:space="preserve">it </w:t>
      </w:r>
      <w:r w:rsidR="00167240" w:rsidRPr="001005B7">
        <w:t xml:space="preserve">as something they can just trample </w:t>
      </w:r>
      <w:r w:rsidR="007B7FD4" w:rsidRPr="001005B7">
        <w:t xml:space="preserve">about </w:t>
      </w:r>
      <w:r w:rsidR="00167240" w:rsidRPr="001005B7">
        <w:t>in</w:t>
      </w:r>
      <w:r w:rsidR="00A33128" w:rsidRPr="001005B7">
        <w:t xml:space="preserve">, </w:t>
      </w:r>
      <w:r w:rsidR="003F2C37" w:rsidRPr="001005B7">
        <w:t xml:space="preserve">as </w:t>
      </w:r>
      <w:r w:rsidR="00883BE1" w:rsidRPr="001005B7">
        <w:t xml:space="preserve">people of </w:t>
      </w:r>
      <w:r w:rsidR="003F2C37" w:rsidRPr="001005B7">
        <w:t>violen</w:t>
      </w:r>
      <w:r w:rsidR="00883BE1" w:rsidRPr="001005B7">
        <w:t>ce</w:t>
      </w:r>
      <w:r w:rsidR="00A33128" w:rsidRPr="001005B7">
        <w:rPr>
          <w:i/>
          <w:iCs/>
        </w:rPr>
        <w:t xml:space="preserve"> </w:t>
      </w:r>
      <w:r w:rsidR="00A33128" w:rsidRPr="001005B7">
        <w:t>(</w:t>
      </w:r>
      <w:r w:rsidR="007D3569" w:rsidRPr="001005B7">
        <w:rPr>
          <w:rFonts w:cstheme="minorHAnsi"/>
          <w:rtl/>
          <w:lang w:bidi="he-IL"/>
        </w:rPr>
        <w:t>פְרִי</w:t>
      </w:r>
      <w:r w:rsidR="00EE122F" w:rsidRPr="001005B7">
        <w:rPr>
          <w:rFonts w:cstheme="minorHAnsi"/>
          <w:rtl/>
          <w:lang w:bidi="he-IL"/>
        </w:rPr>
        <w:t>צִים</w:t>
      </w:r>
      <w:r w:rsidR="00786594" w:rsidRPr="001005B7">
        <w:rPr>
          <w:rFonts w:cstheme="minorHAnsi"/>
        </w:rPr>
        <w:t>)</w:t>
      </w:r>
      <w:r w:rsidR="00B42BF3" w:rsidRPr="001005B7">
        <w:t xml:space="preserve">. It is </w:t>
      </w:r>
      <w:r w:rsidR="00B1510F" w:rsidRPr="001005B7">
        <w:t>appropriate</w:t>
      </w:r>
      <w:r w:rsidR="005673A1" w:rsidRPr="001005B7">
        <w:t xml:space="preserve"> </w:t>
      </w:r>
      <w:r w:rsidR="00786594" w:rsidRPr="001005B7">
        <w:t>in terms of</w:t>
      </w:r>
      <w:r w:rsidR="005673A1" w:rsidRPr="001005B7">
        <w:t xml:space="preserve"> poetic justice</w:t>
      </w:r>
      <w:r w:rsidR="00B1510F" w:rsidRPr="001005B7">
        <w:t xml:space="preserve"> (Jer </w:t>
      </w:r>
      <w:r w:rsidR="00FD3078" w:rsidRPr="001005B7">
        <w:t>7:11).</w:t>
      </w:r>
      <w:r w:rsidR="00CC5AC1" w:rsidRPr="001005B7">
        <w:t xml:space="preserve"> </w:t>
      </w:r>
      <w:r w:rsidR="00B20ED8" w:rsidRPr="001005B7">
        <w:t>T</w:t>
      </w:r>
      <w:r w:rsidR="00307895" w:rsidRPr="001005B7">
        <w:t xml:space="preserve">he </w:t>
      </w:r>
      <w:r w:rsidR="00F61EF5" w:rsidRPr="001005B7">
        <w:t>“</w:t>
      </w:r>
      <w:r w:rsidR="00307895" w:rsidRPr="001005B7">
        <w:t>it</w:t>
      </w:r>
      <w:r w:rsidR="00F61EF5" w:rsidRPr="001005B7">
        <w:t>”</w:t>
      </w:r>
      <w:r w:rsidR="00307895" w:rsidRPr="001005B7">
        <w:t xml:space="preserve"> in </w:t>
      </w:r>
      <w:r w:rsidR="00372E1B" w:rsidRPr="001005B7">
        <w:t>this last colon is f</w:t>
      </w:r>
      <w:r w:rsidR="00FA1971">
        <w:t>eminine</w:t>
      </w:r>
      <w:r w:rsidR="00372E1B" w:rsidRPr="001005B7">
        <w:t>, which</w:t>
      </w:r>
      <w:r w:rsidR="002932C1" w:rsidRPr="001005B7">
        <w:t xml:space="preserve"> suggests</w:t>
      </w:r>
      <w:r w:rsidR="00D73802" w:rsidRPr="001005B7">
        <w:t xml:space="preserve"> something broader than the temple—</w:t>
      </w:r>
      <w:r w:rsidR="002932C1" w:rsidRPr="001005B7">
        <w:t>the city or the land.</w:t>
      </w:r>
    </w:p>
    <w:p w14:paraId="1E5E357F" w14:textId="3408FE17" w:rsidR="00645554" w:rsidRDefault="0069441B" w:rsidP="00A35E24">
      <w:r w:rsidRPr="001005B7">
        <w:rPr>
          <w:b/>
          <w:bCs/>
        </w:rPr>
        <w:t>7:</w:t>
      </w:r>
      <w:r w:rsidR="00EC53B0" w:rsidRPr="001005B7">
        <w:rPr>
          <w:b/>
          <w:bCs/>
        </w:rPr>
        <w:t>23</w:t>
      </w:r>
      <w:r w:rsidR="00275E88" w:rsidRPr="001005B7">
        <w:rPr>
          <w:b/>
          <w:bCs/>
        </w:rPr>
        <w:t xml:space="preserve"> </w:t>
      </w:r>
      <w:r w:rsidR="00C93E0D" w:rsidRPr="001005B7">
        <w:t xml:space="preserve">The jump to </w:t>
      </w:r>
      <w:r w:rsidR="00982CAE" w:rsidRPr="001005B7">
        <w:t>another kind of verbal expression, a</w:t>
      </w:r>
      <w:r w:rsidR="008A3AD1" w:rsidRPr="001005B7">
        <w:t xml:space="preserve">nother </w:t>
      </w:r>
      <w:r w:rsidR="00982CAE" w:rsidRPr="001005B7">
        <w:t xml:space="preserve">imperative, </w:t>
      </w:r>
      <w:r w:rsidR="00F523B3" w:rsidRPr="001005B7">
        <w:t>marks</w:t>
      </w:r>
      <w:r w:rsidR="00EE7877" w:rsidRPr="001005B7">
        <w:t xml:space="preserve"> the beginning to</w:t>
      </w:r>
      <w:r w:rsidR="004B0AB1" w:rsidRPr="001005B7">
        <w:t xml:space="preserve"> a</w:t>
      </w:r>
      <w:r w:rsidR="003967A4" w:rsidRPr="001005B7">
        <w:t xml:space="preserve"> </w:t>
      </w:r>
      <w:r w:rsidR="009B0777" w:rsidRPr="001005B7">
        <w:t>final</w:t>
      </w:r>
      <w:r w:rsidR="004B0AB1" w:rsidRPr="001005B7">
        <w:t xml:space="preserve"> new </w:t>
      </w:r>
      <w:r w:rsidR="00EE7877" w:rsidRPr="001005B7">
        <w:t>section</w:t>
      </w:r>
      <w:r w:rsidR="00D9038E" w:rsidRPr="001005B7">
        <w:t>.</w:t>
      </w:r>
      <w:r w:rsidR="00EC3C47" w:rsidRPr="001005B7">
        <w:t xml:space="preserve"> </w:t>
      </w:r>
      <w:r w:rsidR="00337C08" w:rsidRPr="001005B7">
        <w:t>If we f</w:t>
      </w:r>
      <w:r w:rsidR="00BC56A6" w:rsidRPr="001005B7">
        <w:t>ill</w:t>
      </w:r>
      <w:r w:rsidR="00337C08" w:rsidRPr="001005B7">
        <w:t xml:space="preserve"> in</w:t>
      </w:r>
      <w:r w:rsidR="00BC56A6" w:rsidRPr="001005B7">
        <w:t xml:space="preserve"> the gaps </w:t>
      </w:r>
      <w:r w:rsidR="00D51EA0" w:rsidRPr="001005B7">
        <w:t xml:space="preserve">in </w:t>
      </w:r>
      <w:r w:rsidR="003D021F" w:rsidRPr="001005B7">
        <w:t>7:</w:t>
      </w:r>
      <w:r w:rsidR="00D51EA0" w:rsidRPr="001005B7">
        <w:t>23</w:t>
      </w:r>
      <w:r w:rsidR="00BC56A6" w:rsidRPr="001005B7">
        <w:t xml:space="preserve">, Yahweh </w:t>
      </w:r>
      <w:r w:rsidR="002B4B5C" w:rsidRPr="001005B7">
        <w:t xml:space="preserve">is </w:t>
      </w:r>
      <w:r w:rsidR="00BC56A6" w:rsidRPr="001005B7">
        <w:t>urg</w:t>
      </w:r>
      <w:r w:rsidR="002B4B5C" w:rsidRPr="001005B7">
        <w:t>ing</w:t>
      </w:r>
      <w:r w:rsidR="00BC56A6" w:rsidRPr="001005B7">
        <w:t xml:space="preserve"> </w:t>
      </w:r>
      <w:r w:rsidR="000377D9" w:rsidRPr="001005B7">
        <w:t xml:space="preserve">someone </w:t>
      </w:r>
      <w:r w:rsidR="00A01CC7" w:rsidRPr="001005B7">
        <w:t xml:space="preserve">metaphorically </w:t>
      </w:r>
      <w:r w:rsidR="000377D9" w:rsidRPr="001005B7">
        <w:t>to make the</w:t>
      </w:r>
      <w:r w:rsidR="00BA7CE4" w:rsidRPr="001005B7">
        <w:t xml:space="preserve"> chains</w:t>
      </w:r>
      <w:r w:rsidR="007819C7" w:rsidRPr="001005B7">
        <w:rPr>
          <w:i/>
          <w:iCs/>
        </w:rPr>
        <w:t xml:space="preserve"> </w:t>
      </w:r>
      <w:r w:rsidR="007819C7" w:rsidRPr="001005B7">
        <w:t xml:space="preserve">with </w:t>
      </w:r>
      <w:r w:rsidR="00344382" w:rsidRPr="001005B7">
        <w:t xml:space="preserve">which </w:t>
      </w:r>
      <w:r w:rsidR="007819C7" w:rsidRPr="001005B7">
        <w:t>an invader will</w:t>
      </w:r>
      <w:r w:rsidR="00AA6B0D" w:rsidRPr="001005B7">
        <w:t xml:space="preserve"> </w:t>
      </w:r>
      <w:r w:rsidR="00F764F6" w:rsidRPr="001005B7">
        <w:t>take action on Yahweh’s behalf</w:t>
      </w:r>
      <w:r w:rsidR="00337C08" w:rsidRPr="001005B7">
        <w:t>,</w:t>
      </w:r>
      <w:r w:rsidR="00F764F6" w:rsidRPr="001005B7">
        <w:t xml:space="preserve"> on account of the</w:t>
      </w:r>
      <w:r w:rsidR="00D56E9B" w:rsidRPr="001005B7">
        <w:t xml:space="preserve"> </w:t>
      </w:r>
      <w:r w:rsidR="00F61EF5" w:rsidRPr="001005B7">
        <w:t>“</w:t>
      </w:r>
      <w:r w:rsidR="00D56E9B" w:rsidRPr="001005B7">
        <w:t>blood</w:t>
      </w:r>
      <w:r w:rsidR="00344382" w:rsidRPr="001005B7">
        <w:t>y</w:t>
      </w:r>
      <w:r w:rsidR="00D56E9B" w:rsidRPr="001005B7">
        <w:rPr>
          <w:i/>
          <w:iCs/>
        </w:rPr>
        <w:t xml:space="preserve"> </w:t>
      </w:r>
      <w:r w:rsidR="00D56E9B" w:rsidRPr="001005B7">
        <w:t>ruling</w:t>
      </w:r>
      <w:r w:rsidR="00F61EF5" w:rsidRPr="001005B7">
        <w:t>”</w:t>
      </w:r>
      <w:r w:rsidR="00D56E9B" w:rsidRPr="001005B7">
        <w:rPr>
          <w:i/>
          <w:iCs/>
        </w:rPr>
        <w:t xml:space="preserve"> </w:t>
      </w:r>
      <w:r w:rsidR="00D56E9B" w:rsidRPr="001005B7">
        <w:t xml:space="preserve">and </w:t>
      </w:r>
      <w:r w:rsidR="00F61EF5" w:rsidRPr="001005B7">
        <w:t>“</w:t>
      </w:r>
      <w:r w:rsidR="00D56E9B" w:rsidRPr="001005B7">
        <w:t>violence</w:t>
      </w:r>
      <w:r w:rsidR="00F61EF5" w:rsidRPr="001005B7">
        <w:t>”</w:t>
      </w:r>
      <w:r w:rsidR="00344382" w:rsidRPr="001005B7">
        <w:t xml:space="preserve"> </w:t>
      </w:r>
      <w:r w:rsidR="00712648" w:rsidRPr="001005B7">
        <w:t xml:space="preserve">(see </w:t>
      </w:r>
      <w:r w:rsidR="003D021F" w:rsidRPr="001005B7">
        <w:t>7:</w:t>
      </w:r>
      <w:r w:rsidR="00712648" w:rsidRPr="001005B7">
        <w:t xml:space="preserve">11) </w:t>
      </w:r>
      <w:r w:rsidR="00344382" w:rsidRPr="001005B7">
        <w:t>in the city</w:t>
      </w:r>
      <w:r w:rsidR="00065582" w:rsidRPr="001005B7">
        <w:rPr>
          <w:i/>
          <w:iCs/>
        </w:rPr>
        <w:t xml:space="preserve">. </w:t>
      </w:r>
      <w:r w:rsidR="00A514A5" w:rsidRPr="001005B7">
        <w:t>The someone might be the king of Babylon in succession to the king of Assyria in Isa 7, or one of Yahweh’s supernatural aides, as in Isa 40:3</w:t>
      </w:r>
      <w:r w:rsidR="00F46900" w:rsidRPr="001005B7">
        <w:t>–</w:t>
      </w:r>
      <w:r w:rsidR="00A514A5" w:rsidRPr="001005B7">
        <w:t>5</w:t>
      </w:r>
      <w:r w:rsidR="00C33F89" w:rsidRPr="001005B7">
        <w:t>. Bu</w:t>
      </w:r>
      <w:r w:rsidR="003B0221" w:rsidRPr="001005B7">
        <w:t xml:space="preserve">t this </w:t>
      </w:r>
      <w:r w:rsidR="005422E8" w:rsidRPr="001005B7">
        <w:t>“</w:t>
      </w:r>
      <w:r w:rsidR="003B0221" w:rsidRPr="001005B7">
        <w:t>fetter</w:t>
      </w:r>
      <w:r w:rsidR="005422E8" w:rsidRPr="001005B7">
        <w:t>”</w:t>
      </w:r>
      <w:r w:rsidR="003B0221" w:rsidRPr="001005B7">
        <w:rPr>
          <w:i/>
          <w:iCs/>
        </w:rPr>
        <w:t xml:space="preserve"> </w:t>
      </w:r>
      <w:r w:rsidR="00AB3C18" w:rsidRPr="001005B7">
        <w:t xml:space="preserve">also </w:t>
      </w:r>
      <w:r w:rsidR="003B0221" w:rsidRPr="001005B7">
        <w:t xml:space="preserve">recalls </w:t>
      </w:r>
      <w:r w:rsidR="00D92839" w:rsidRPr="001005B7">
        <w:t>the cords of 3:22</w:t>
      </w:r>
      <w:r w:rsidR="00F46900" w:rsidRPr="001005B7">
        <w:t>–</w:t>
      </w:r>
      <w:r w:rsidR="00D92839" w:rsidRPr="001005B7">
        <w:t xml:space="preserve">27 </w:t>
      </w:r>
      <w:r w:rsidR="00052662" w:rsidRPr="001005B7">
        <w:t>and 4:8</w:t>
      </w:r>
      <w:r w:rsidR="00C33F89" w:rsidRPr="001005B7">
        <w:t>, so maybe the commission suggests another sign act</w:t>
      </w:r>
      <w:r w:rsidR="000606D8" w:rsidRPr="001005B7">
        <w:t xml:space="preserve"> (Odell, 87).</w:t>
      </w:r>
      <w:r w:rsidR="00052662" w:rsidRPr="001005B7">
        <w:t xml:space="preserve"> </w:t>
      </w:r>
      <w:r w:rsidR="008B1A9A" w:rsidRPr="001005B7">
        <w:t>One way or another,</w:t>
      </w:r>
      <w:r w:rsidR="00744BA9" w:rsidRPr="001005B7">
        <w:t xml:space="preserve"> </w:t>
      </w:r>
      <w:r w:rsidR="006E7642">
        <w:t>Ezekiel</w:t>
      </w:r>
      <w:r w:rsidR="00744BA9" w:rsidRPr="001005B7">
        <w:t xml:space="preserve"> is </w:t>
      </w:r>
      <w:r w:rsidR="008B1A9A" w:rsidRPr="001005B7">
        <w:t>a</w:t>
      </w:r>
      <w:r w:rsidR="00072A2A" w:rsidRPr="001005B7">
        <w:t xml:space="preserve">gain </w:t>
      </w:r>
      <w:r w:rsidR="00C83355" w:rsidRPr="001005B7">
        <w:t xml:space="preserve">talking about Yahweh’s action against the </w:t>
      </w:r>
      <w:r w:rsidR="00072A2A" w:rsidRPr="001005B7">
        <w:t xml:space="preserve">country’s </w:t>
      </w:r>
      <w:r w:rsidR="00425500" w:rsidRPr="001005B7">
        <w:t>corrupt</w:t>
      </w:r>
      <w:r w:rsidR="00213E3F" w:rsidRPr="001005B7">
        <w:t xml:space="preserve"> </w:t>
      </w:r>
      <w:r w:rsidR="00C83355" w:rsidRPr="001005B7">
        <w:t>leadership</w:t>
      </w:r>
      <w:r w:rsidR="00C761B8" w:rsidRPr="001005B7">
        <w:t>.</w:t>
      </w:r>
      <w:r w:rsidR="003C0EF3" w:rsidRPr="001005B7">
        <w:t xml:space="preserve"> </w:t>
      </w:r>
      <w:r w:rsidR="005B7034" w:rsidRPr="001005B7">
        <w:t xml:space="preserve">It has ignored his </w:t>
      </w:r>
      <w:r w:rsidR="00B32A7B" w:rsidRPr="001005B7">
        <w:t>rulings (5:6</w:t>
      </w:r>
      <w:r w:rsidR="00F46900" w:rsidRPr="001005B7">
        <w:t>–</w:t>
      </w:r>
      <w:r w:rsidR="00B32A7B" w:rsidRPr="001005B7">
        <w:t>7) and preferred its own</w:t>
      </w:r>
      <w:r w:rsidR="00072A2A" w:rsidRPr="001005B7">
        <w:t>,</w:t>
      </w:r>
      <w:r w:rsidR="00B32A7B" w:rsidRPr="001005B7">
        <w:t xml:space="preserve"> </w:t>
      </w:r>
      <w:r w:rsidR="00A644EF" w:rsidRPr="001005B7">
        <w:t>wantonly shed</w:t>
      </w:r>
      <w:r w:rsidR="004C7662" w:rsidRPr="001005B7">
        <w:t>ding</w:t>
      </w:r>
      <w:r w:rsidR="00A644EF" w:rsidRPr="001005B7">
        <w:t xml:space="preserve"> people’s blood</w:t>
      </w:r>
      <w:r w:rsidR="00A90309" w:rsidRPr="001005B7">
        <w:t xml:space="preserve"> through </w:t>
      </w:r>
      <w:r w:rsidR="00C77D6A" w:rsidRPr="001005B7">
        <w:t xml:space="preserve">encouraging </w:t>
      </w:r>
      <w:r w:rsidR="005842A5" w:rsidRPr="001005B7">
        <w:t>exploitation</w:t>
      </w:r>
      <w:r w:rsidR="00C77D6A" w:rsidRPr="001005B7">
        <w:t xml:space="preserve"> in economic policies and </w:t>
      </w:r>
      <w:r w:rsidR="001B75A5" w:rsidRPr="001005B7">
        <w:t xml:space="preserve">fraud in </w:t>
      </w:r>
      <w:r w:rsidR="00C77D6A" w:rsidRPr="001005B7">
        <w:t>decision-making</w:t>
      </w:r>
      <w:r w:rsidR="00065582" w:rsidRPr="001005B7">
        <w:t xml:space="preserve"> (cf. 9:9; 11:6; 22:6, 12, 25, 27)</w:t>
      </w:r>
      <w:r w:rsidR="00C77D6A" w:rsidRPr="001005B7">
        <w:t>.</w:t>
      </w:r>
      <w:r w:rsidR="00380668" w:rsidRPr="001005B7">
        <w:t xml:space="preserve"> </w:t>
      </w:r>
    </w:p>
    <w:p w14:paraId="2B5E7A2D" w14:textId="38753642" w:rsidR="00C70357" w:rsidRPr="001005B7" w:rsidRDefault="003524BF" w:rsidP="00A35E24">
      <w:r>
        <w:rPr>
          <w:b/>
          <w:bCs/>
        </w:rPr>
        <w:t>7:</w:t>
      </w:r>
      <w:r w:rsidR="00645554">
        <w:rPr>
          <w:b/>
          <w:bCs/>
        </w:rPr>
        <w:t xml:space="preserve">24 </w:t>
      </w:r>
      <w:r w:rsidR="001E4100" w:rsidRPr="001005B7">
        <w:t xml:space="preserve">Yahweh has no compunction about bringing </w:t>
      </w:r>
      <w:r w:rsidR="006820EF" w:rsidRPr="001005B7">
        <w:t>“</w:t>
      </w:r>
      <w:r w:rsidR="001E4100" w:rsidRPr="001005B7">
        <w:t>the</w:t>
      </w:r>
      <w:r w:rsidR="001E4100" w:rsidRPr="001005B7">
        <w:rPr>
          <w:i/>
          <w:iCs/>
        </w:rPr>
        <w:t xml:space="preserve"> </w:t>
      </w:r>
      <w:r w:rsidR="001E4100" w:rsidRPr="001005B7">
        <w:t>direst</w:t>
      </w:r>
      <w:r w:rsidR="001E4100" w:rsidRPr="001005B7">
        <w:rPr>
          <w:i/>
          <w:iCs/>
        </w:rPr>
        <w:t xml:space="preserve"> </w:t>
      </w:r>
      <w:r w:rsidR="001E4100" w:rsidRPr="001005B7">
        <w:t>of</w:t>
      </w:r>
      <w:r w:rsidR="001E4100" w:rsidRPr="001005B7">
        <w:rPr>
          <w:i/>
          <w:iCs/>
        </w:rPr>
        <w:t xml:space="preserve"> </w:t>
      </w:r>
      <w:r w:rsidR="001E4100" w:rsidRPr="001005B7">
        <w:t>nations</w:t>
      </w:r>
      <w:r w:rsidR="00FB0A84" w:rsidRPr="001005B7">
        <w:t>,</w:t>
      </w:r>
      <w:r w:rsidR="006820EF" w:rsidRPr="001005B7">
        <w:t>”</w:t>
      </w:r>
      <w:r w:rsidR="00FB0A84" w:rsidRPr="001005B7">
        <w:t xml:space="preserve"> another expression for </w:t>
      </w:r>
      <w:r w:rsidR="006820EF" w:rsidRPr="001005B7">
        <w:t>“</w:t>
      </w:r>
      <w:r w:rsidR="00FB0A84" w:rsidRPr="001005B7">
        <w:t>the</w:t>
      </w:r>
      <w:r w:rsidR="00FB0A84" w:rsidRPr="001005B7">
        <w:rPr>
          <w:i/>
          <w:iCs/>
        </w:rPr>
        <w:t xml:space="preserve"> </w:t>
      </w:r>
      <w:r w:rsidR="00FB0A84" w:rsidRPr="001005B7">
        <w:t>faithless</w:t>
      </w:r>
      <w:r w:rsidR="00FB0A84" w:rsidRPr="001005B7">
        <w:rPr>
          <w:i/>
          <w:iCs/>
        </w:rPr>
        <w:t xml:space="preserve"> </w:t>
      </w:r>
      <w:r w:rsidR="00FB0A84" w:rsidRPr="001005B7">
        <w:t>of</w:t>
      </w:r>
      <w:r w:rsidR="00FB0A84" w:rsidRPr="001005B7">
        <w:rPr>
          <w:i/>
          <w:iCs/>
        </w:rPr>
        <w:t xml:space="preserve"> </w:t>
      </w:r>
      <w:r w:rsidR="00FB0A84" w:rsidRPr="001005B7">
        <w:t>the</w:t>
      </w:r>
      <w:r w:rsidR="00FB0A84" w:rsidRPr="001005B7">
        <w:rPr>
          <w:i/>
          <w:iCs/>
        </w:rPr>
        <w:t xml:space="preserve"> </w:t>
      </w:r>
      <w:r w:rsidR="00FB0A84" w:rsidRPr="001005B7">
        <w:t>earth</w:t>
      </w:r>
      <w:r w:rsidR="007D01B5" w:rsidRPr="001005B7">
        <w:t>,</w:t>
      </w:r>
      <w:r w:rsidR="006820EF" w:rsidRPr="001005B7">
        <w:t>”</w:t>
      </w:r>
      <w:r w:rsidR="007D01B5" w:rsidRPr="001005B7">
        <w:t xml:space="preserve"> to</w:t>
      </w:r>
      <w:r w:rsidR="001C48A1" w:rsidRPr="001005B7">
        <w:t xml:space="preserve"> come to do his dirty work</w:t>
      </w:r>
      <w:r>
        <w:t>, though</w:t>
      </w:r>
      <w:r w:rsidR="007D01B5" w:rsidRPr="001005B7">
        <w:t xml:space="preserve"> </w:t>
      </w:r>
      <w:r w:rsidR="00836877" w:rsidRPr="001005B7">
        <w:t xml:space="preserve">Ezekiel </w:t>
      </w:r>
      <w:r w:rsidR="001C48A1" w:rsidRPr="001005B7">
        <w:t xml:space="preserve">will </w:t>
      </w:r>
      <w:r w:rsidR="00836877" w:rsidRPr="001005B7">
        <w:t xml:space="preserve">in due course note that he will </w:t>
      </w:r>
      <w:r w:rsidR="001C48A1" w:rsidRPr="001005B7">
        <w:t>deal with them, too</w:t>
      </w:r>
      <w:r w:rsidR="00FA3883" w:rsidRPr="001005B7">
        <w:t>, in time</w:t>
      </w:r>
      <w:r w:rsidR="00836877" w:rsidRPr="001005B7">
        <w:t>.</w:t>
      </w:r>
      <w:r w:rsidR="00F274BA" w:rsidRPr="001005B7">
        <w:t xml:space="preserve"> T</w:t>
      </w:r>
      <w:r w:rsidR="00DB0057" w:rsidRPr="001005B7">
        <w:t xml:space="preserve">o connect some more dots, </w:t>
      </w:r>
      <w:r w:rsidR="00D30071" w:rsidRPr="001005B7">
        <w:t xml:space="preserve">the poetic justice </w:t>
      </w:r>
      <w:r w:rsidR="00DB1F10" w:rsidRPr="001005B7">
        <w:t>cor</w:t>
      </w:r>
      <w:r w:rsidR="00FA3883" w:rsidRPr="001005B7">
        <w:t>responding to</w:t>
      </w:r>
      <w:r w:rsidR="00D30071" w:rsidRPr="001005B7">
        <w:t xml:space="preserve"> the corruption whereby the</w:t>
      </w:r>
      <w:r w:rsidR="009159A9" w:rsidRPr="001005B7">
        <w:t xml:space="preserve"> leaders</w:t>
      </w:r>
      <w:r w:rsidR="00D30071" w:rsidRPr="001005B7">
        <w:t xml:space="preserve"> have acquired nice homes for themselves will involve these invaders taking over those homes</w:t>
      </w:r>
      <w:r w:rsidR="00DB1F10" w:rsidRPr="001005B7">
        <w:t>.</w:t>
      </w:r>
      <w:r w:rsidR="0073551A" w:rsidRPr="001005B7">
        <w:t xml:space="preserve"> </w:t>
      </w:r>
      <w:r w:rsidR="00DB1F10" w:rsidRPr="001005B7">
        <w:t>T</w:t>
      </w:r>
      <w:r w:rsidR="00DC1E0F" w:rsidRPr="001005B7">
        <w:t xml:space="preserve">here will be further irony involved when they </w:t>
      </w:r>
      <w:r w:rsidR="0088174A" w:rsidRPr="001005B7">
        <w:t>“</w:t>
      </w:r>
      <w:r w:rsidR="00DC1E0F" w:rsidRPr="001005B7">
        <w:t>e</w:t>
      </w:r>
      <w:r w:rsidR="0073551A" w:rsidRPr="001005B7">
        <w:t>nter</w:t>
      </w:r>
      <w:r w:rsidR="0073551A" w:rsidRPr="001005B7">
        <w:rPr>
          <w:i/>
          <w:iCs/>
        </w:rPr>
        <w:t xml:space="preserve"> </w:t>
      </w:r>
      <w:r w:rsidR="0073551A" w:rsidRPr="001005B7">
        <w:t>into</w:t>
      </w:r>
      <w:r w:rsidR="0073551A" w:rsidRPr="001005B7">
        <w:rPr>
          <w:i/>
          <w:iCs/>
        </w:rPr>
        <w:t xml:space="preserve"> </w:t>
      </w:r>
      <w:r w:rsidR="0073551A" w:rsidRPr="001005B7">
        <w:t>possession</w:t>
      </w:r>
      <w:r w:rsidR="0088174A" w:rsidRPr="001005B7">
        <w:t>”</w:t>
      </w:r>
      <w:r w:rsidR="00DC1E0F" w:rsidRPr="001005B7">
        <w:t xml:space="preserve"> of the</w:t>
      </w:r>
      <w:r w:rsidR="00DB1F10" w:rsidRPr="001005B7">
        <w:t>m</w:t>
      </w:r>
      <w:r w:rsidR="00D93128" w:rsidRPr="001005B7">
        <w:t xml:space="preserve"> </w:t>
      </w:r>
      <w:r w:rsidR="00601FD4" w:rsidRPr="001005B7">
        <w:t>(</w:t>
      </w:r>
      <w:r w:rsidR="009956B1" w:rsidRPr="001005B7">
        <w:rPr>
          <w:rFonts w:cstheme="minorHAnsi"/>
          <w:rtl/>
          <w:lang w:bidi="he-IL"/>
        </w:rPr>
        <w:t>י</w:t>
      </w:r>
      <w:r w:rsidR="007F4225" w:rsidRPr="001005B7">
        <w:rPr>
          <w:rFonts w:cstheme="minorHAnsi"/>
          <w:rtl/>
          <w:lang w:bidi="he-IL"/>
        </w:rPr>
        <w:t>ׇרַשׁ</w:t>
      </w:r>
      <w:r w:rsidR="007F4225" w:rsidRPr="001005B7">
        <w:t>),</w:t>
      </w:r>
      <w:r w:rsidR="00DC1E0F" w:rsidRPr="001005B7">
        <w:t xml:space="preserve"> because that is the </w:t>
      </w:r>
      <w:r w:rsidR="00986F5B" w:rsidRPr="001005B7">
        <w:t xml:space="preserve">First Testament’s </w:t>
      </w:r>
      <w:r w:rsidR="00DC1E0F" w:rsidRPr="001005B7">
        <w:t xml:space="preserve">word </w:t>
      </w:r>
      <w:r w:rsidR="00986F5B" w:rsidRPr="001005B7">
        <w:t xml:space="preserve">for the Israelites’ entering into possession of Canaan. </w:t>
      </w:r>
      <w:r w:rsidR="000B44D8">
        <w:t xml:space="preserve">“The pride of </w:t>
      </w:r>
      <w:r w:rsidR="00D519C6">
        <w:t>the strong” could be</w:t>
      </w:r>
      <w:r w:rsidR="000B44D8" w:rsidRPr="001005B7">
        <w:t xml:space="preserve"> </w:t>
      </w:r>
      <w:r w:rsidR="00D519C6">
        <w:t xml:space="preserve">their </w:t>
      </w:r>
      <w:r w:rsidR="000B44D8" w:rsidRPr="001005B7">
        <w:t xml:space="preserve">impressiveness, </w:t>
      </w:r>
      <w:r w:rsidR="00D519C6">
        <w:t>a</w:t>
      </w:r>
      <w:r w:rsidR="000B44D8" w:rsidRPr="001005B7">
        <w:t xml:space="preserve"> majesty about the “mighty,” the formidable, the fierce</w:t>
      </w:r>
      <w:r w:rsidR="000B44D8" w:rsidRPr="001005B7">
        <w:rPr>
          <w:i/>
          <w:iCs/>
        </w:rPr>
        <w:t xml:space="preserve"> </w:t>
      </w:r>
      <w:r w:rsidR="000B44D8" w:rsidRPr="001005B7">
        <w:t>people in Jerusalem</w:t>
      </w:r>
      <w:r w:rsidR="000B44D8">
        <w:t xml:space="preserve">. </w:t>
      </w:r>
      <w:r w:rsidR="007F00AB">
        <w:t>Or</w:t>
      </w:r>
      <w:r w:rsidR="000B44D8">
        <w:t xml:space="preserve"> </w:t>
      </w:r>
      <w:r w:rsidR="00455E2B">
        <w:t>it</w:t>
      </w:r>
      <w:r w:rsidR="004C155B">
        <w:t xml:space="preserve"> </w:t>
      </w:r>
      <w:r w:rsidR="003F3415">
        <w:t>could</w:t>
      </w:r>
      <w:r w:rsidR="00496554">
        <w:t xml:space="preserve"> </w:t>
      </w:r>
      <w:r w:rsidR="00455E2B">
        <w:t>denote the thing they are proud of—the temple</w:t>
      </w:r>
      <w:r w:rsidR="00AA298C">
        <w:t xml:space="preserve">: </w:t>
      </w:r>
      <w:r w:rsidR="004C155B">
        <w:t>c</w:t>
      </w:r>
      <w:r w:rsidR="00635914" w:rsidRPr="001005B7">
        <w:t>f. 7:20</w:t>
      </w:r>
      <w:r w:rsidR="001E76D7" w:rsidRPr="001005B7">
        <w:t xml:space="preserve">. But </w:t>
      </w:r>
      <w:r w:rsidR="00AA298C">
        <w:t>that</w:t>
      </w:r>
      <w:r w:rsidR="00E7198A">
        <w:t xml:space="preserve"> earlier comment about pride</w:t>
      </w:r>
      <w:r w:rsidR="0090435D" w:rsidRPr="001005B7">
        <w:rPr>
          <w:i/>
          <w:iCs/>
        </w:rPr>
        <w:t xml:space="preserve"> </w:t>
      </w:r>
      <w:r w:rsidR="006B6F21" w:rsidRPr="001005B7">
        <w:t>referred to the impressive</w:t>
      </w:r>
      <w:r w:rsidR="006B6F21" w:rsidRPr="001005B7">
        <w:rPr>
          <w:i/>
          <w:iCs/>
        </w:rPr>
        <w:t xml:space="preserve"> </w:t>
      </w:r>
      <w:r w:rsidR="004C17BA" w:rsidRPr="001005B7">
        <w:t>aids to</w:t>
      </w:r>
      <w:r w:rsidR="00415B8E" w:rsidRPr="001005B7">
        <w:t xml:space="preserve"> worship that </w:t>
      </w:r>
      <w:r w:rsidR="00312004" w:rsidRPr="001005B7">
        <w:t>the</w:t>
      </w:r>
      <w:r w:rsidR="004C17BA" w:rsidRPr="001005B7">
        <w:t xml:space="preserve"> powerful people</w:t>
      </w:r>
      <w:r w:rsidR="00107DD4" w:rsidRPr="001005B7">
        <w:t xml:space="preserve"> introduced</w:t>
      </w:r>
      <w:r w:rsidR="00AE246A" w:rsidRPr="001005B7">
        <w:t xml:space="preserve"> into the temple</w:t>
      </w:r>
      <w:r w:rsidR="00312004" w:rsidRPr="001005B7">
        <w:t xml:space="preserve">, and the parallelism </w:t>
      </w:r>
      <w:r w:rsidR="00A94DD2" w:rsidRPr="001005B7">
        <w:t>suggests the same reference</w:t>
      </w:r>
      <w:r w:rsidR="00934311" w:rsidRPr="001005B7">
        <w:t xml:space="preserve"> here. </w:t>
      </w:r>
      <w:r w:rsidR="00B54DB4" w:rsidRPr="001005B7">
        <w:t>The arrival of the invader</w:t>
      </w:r>
      <w:r w:rsidR="00D77DA5" w:rsidRPr="001005B7">
        <w:t>s</w:t>
      </w:r>
      <w:r w:rsidR="00B54DB4" w:rsidRPr="001005B7">
        <w:t xml:space="preserve"> will be Yahweh’s means of stopping the worship that is facilitated by th</w:t>
      </w:r>
      <w:r w:rsidR="00D77DA5" w:rsidRPr="001005B7">
        <w:t>o</w:t>
      </w:r>
      <w:r w:rsidR="00B54DB4" w:rsidRPr="001005B7">
        <w:t xml:space="preserve">se aids. </w:t>
      </w:r>
      <w:r w:rsidR="004516EB" w:rsidRPr="001005B7">
        <w:t>Telling</w:t>
      </w:r>
      <w:r w:rsidR="006F4186" w:rsidRPr="001005B7">
        <w:t xml:space="preserve">ly, </w:t>
      </w:r>
      <w:r w:rsidR="00D77DA5" w:rsidRPr="001005B7">
        <w:t>Yahweh</w:t>
      </w:r>
      <w:r w:rsidR="006F4186" w:rsidRPr="001005B7">
        <w:t xml:space="preserve"> speaks of </w:t>
      </w:r>
      <w:r w:rsidR="00077108" w:rsidRPr="001005B7">
        <w:t>“</w:t>
      </w:r>
      <w:r w:rsidR="006F4186" w:rsidRPr="001005B7">
        <w:t>their</w:t>
      </w:r>
      <w:r w:rsidR="006F4186" w:rsidRPr="001005B7">
        <w:rPr>
          <w:i/>
          <w:iCs/>
        </w:rPr>
        <w:t xml:space="preserve"> </w:t>
      </w:r>
      <w:r w:rsidR="006F4186" w:rsidRPr="001005B7">
        <w:t>sanct</w:t>
      </w:r>
      <w:r w:rsidR="008F556C" w:rsidRPr="001005B7">
        <w:t>ifiers</w:t>
      </w:r>
      <w:r w:rsidR="000709EA" w:rsidRPr="001005B7">
        <w:t>,</w:t>
      </w:r>
      <w:r w:rsidR="00077108" w:rsidRPr="001005B7">
        <w:t>”</w:t>
      </w:r>
      <w:r w:rsidR="006110D8" w:rsidRPr="001005B7">
        <w:t xml:space="preserve"> which are</w:t>
      </w:r>
      <w:r w:rsidR="000709EA" w:rsidRPr="001005B7">
        <w:t xml:space="preserve"> </w:t>
      </w:r>
      <w:r w:rsidR="001E4C10" w:rsidRPr="001005B7">
        <w:t>“their sanctuaries</w:t>
      </w:r>
      <w:r w:rsidR="00A72FE5" w:rsidRPr="001005B7">
        <w:t>” (see the textual note)</w:t>
      </w:r>
      <w:r w:rsidR="00AC64CD" w:rsidRPr="001005B7">
        <w:t>,</w:t>
      </w:r>
      <w:r w:rsidR="001E4C10" w:rsidRPr="001005B7">
        <w:t xml:space="preserve"> </w:t>
      </w:r>
      <w:r w:rsidR="001D4B6A" w:rsidRPr="001005B7">
        <w:t xml:space="preserve">a doubly </w:t>
      </w:r>
      <w:r w:rsidR="00931E03" w:rsidRPr="001005B7">
        <w:t xml:space="preserve">or triply </w:t>
      </w:r>
      <w:r w:rsidR="001D4B6A" w:rsidRPr="001005B7">
        <w:t xml:space="preserve">pejorative expression. </w:t>
      </w:r>
      <w:r w:rsidR="00053FC3" w:rsidRPr="001005B7">
        <w:t>Yahweh disowns the</w:t>
      </w:r>
      <w:r w:rsidR="00EB621C" w:rsidRPr="001005B7">
        <w:t xml:space="preserve"> sanctuaries</w:t>
      </w:r>
      <w:r w:rsidR="00052E82" w:rsidRPr="001005B7">
        <w:t xml:space="preserve"> as theirs rather than his</w:t>
      </w:r>
      <w:r w:rsidR="00D46F15" w:rsidRPr="001005B7">
        <w:t>, and as plural rather than singular</w:t>
      </w:r>
      <w:r w:rsidR="00052E82" w:rsidRPr="001005B7">
        <w:t xml:space="preserve"> (</w:t>
      </w:r>
      <w:r w:rsidR="00931E03" w:rsidRPr="001005B7">
        <w:t xml:space="preserve">cf. Lev 26:31 and </w:t>
      </w:r>
      <w:r w:rsidR="00052E82" w:rsidRPr="001005B7">
        <w:t xml:space="preserve">contrast </w:t>
      </w:r>
      <w:r w:rsidR="00AC64CD" w:rsidRPr="001005B7">
        <w:t>“</w:t>
      </w:r>
      <w:r w:rsidR="00052E82" w:rsidRPr="001005B7">
        <w:t>my</w:t>
      </w:r>
      <w:r w:rsidR="00052E82" w:rsidRPr="001005B7">
        <w:rPr>
          <w:i/>
          <w:iCs/>
        </w:rPr>
        <w:t xml:space="preserve"> </w:t>
      </w:r>
      <w:r w:rsidR="00052E82" w:rsidRPr="001005B7">
        <w:t>sanctuary</w:t>
      </w:r>
      <w:r w:rsidR="00AC64CD" w:rsidRPr="001005B7">
        <w:t>”</w:t>
      </w:r>
      <w:r w:rsidR="00AD2CED" w:rsidRPr="001005B7">
        <w:t xml:space="preserve"> in </w:t>
      </w:r>
      <w:r w:rsidR="00661779" w:rsidRPr="001005B7">
        <w:t xml:space="preserve">Ezek </w:t>
      </w:r>
      <w:r w:rsidR="00AD2CED" w:rsidRPr="001005B7">
        <w:t>5:11)</w:t>
      </w:r>
      <w:r w:rsidR="00727454" w:rsidRPr="001005B7">
        <w:t>, and turns them into their self-made sanctifiers rather than real sanctuaries.</w:t>
      </w:r>
      <w:r w:rsidR="00A712D5" w:rsidRPr="001005B7">
        <w:t xml:space="preserve"> </w:t>
      </w:r>
      <w:r w:rsidR="003E50F0" w:rsidRPr="001005B7">
        <w:t>T</w:t>
      </w:r>
      <w:r w:rsidR="00A712D5" w:rsidRPr="001005B7">
        <w:t xml:space="preserve">o make it worse, even if they are sacred places, the arrival of the nations will mean </w:t>
      </w:r>
      <w:r w:rsidR="008A57B3" w:rsidRPr="001005B7">
        <w:t xml:space="preserve">they </w:t>
      </w:r>
      <w:r w:rsidR="00292477" w:rsidRPr="001005B7">
        <w:t>“</w:t>
      </w:r>
      <w:r w:rsidR="008A57B3" w:rsidRPr="001005B7">
        <w:t>will</w:t>
      </w:r>
      <w:r w:rsidR="008A57B3" w:rsidRPr="001005B7">
        <w:rPr>
          <w:i/>
          <w:iCs/>
        </w:rPr>
        <w:t xml:space="preserve"> </w:t>
      </w:r>
      <w:r w:rsidR="008A57B3" w:rsidRPr="001005B7">
        <w:t>be</w:t>
      </w:r>
      <w:r w:rsidR="008A57B3" w:rsidRPr="001005B7">
        <w:rPr>
          <w:i/>
          <w:iCs/>
        </w:rPr>
        <w:t xml:space="preserve"> </w:t>
      </w:r>
      <w:r w:rsidR="00957E36">
        <w:t>treated as ordinary</w:t>
      </w:r>
      <w:r w:rsidR="00292477" w:rsidRPr="001005B7">
        <w:t>”</w:t>
      </w:r>
      <w:r w:rsidR="00694367" w:rsidRPr="001005B7">
        <w:t xml:space="preserve"> (</w:t>
      </w:r>
      <w:r w:rsidR="002E1229" w:rsidRPr="001005B7">
        <w:rPr>
          <w:rFonts w:cstheme="minorHAnsi"/>
          <w:rtl/>
          <w:lang w:bidi="he-IL"/>
        </w:rPr>
        <w:t>נ</w:t>
      </w:r>
      <w:r w:rsidR="0020248A" w:rsidRPr="001005B7">
        <w:rPr>
          <w:rFonts w:cstheme="minorHAnsi"/>
          <w:rtl/>
          <w:lang w:bidi="he-IL"/>
        </w:rPr>
        <w:t>ִחֲלוּ</w:t>
      </w:r>
      <w:r w:rsidR="00694367" w:rsidRPr="001005B7">
        <w:rPr>
          <w:rFonts w:cstheme="minorHAnsi"/>
        </w:rPr>
        <w:t>).</w:t>
      </w:r>
      <w:r w:rsidR="00B0576E" w:rsidRPr="001005B7">
        <w:t xml:space="preserve"> </w:t>
      </w:r>
      <w:r w:rsidR="00D93122" w:rsidRPr="001005B7">
        <w:t xml:space="preserve">This verb </w:t>
      </w:r>
      <w:r w:rsidR="00A334BB" w:rsidRPr="001005B7">
        <w:t>occurred in the piel (</w:t>
      </w:r>
      <w:r w:rsidR="003F3B90" w:rsidRPr="001005B7">
        <w:t>transitive</w:t>
      </w:r>
      <w:r w:rsidR="00A334BB" w:rsidRPr="001005B7">
        <w:t xml:space="preserve">) three times in </w:t>
      </w:r>
      <w:r w:rsidR="0042084A" w:rsidRPr="001005B7">
        <w:t>7:</w:t>
      </w:r>
      <w:r w:rsidR="0079652D" w:rsidRPr="001005B7">
        <w:t>21</w:t>
      </w:r>
      <w:r w:rsidR="00F46900" w:rsidRPr="001005B7">
        <w:t>–</w:t>
      </w:r>
      <w:r w:rsidR="0079652D" w:rsidRPr="001005B7">
        <w:t xml:space="preserve">22, but </w:t>
      </w:r>
      <w:r w:rsidR="00D0165A" w:rsidRPr="001005B7">
        <w:t>this time it is</w:t>
      </w:r>
      <w:r w:rsidR="003F3B90" w:rsidRPr="001005B7">
        <w:t xml:space="preserve"> </w:t>
      </w:r>
      <w:r w:rsidR="00D0165A" w:rsidRPr="001005B7">
        <w:t xml:space="preserve">niphal </w:t>
      </w:r>
      <w:r w:rsidR="003F3B90" w:rsidRPr="001005B7">
        <w:t>(intransitive</w:t>
      </w:r>
      <w:r w:rsidR="00694367" w:rsidRPr="001005B7">
        <w:t>)</w:t>
      </w:r>
      <w:r w:rsidR="00AE5957" w:rsidRPr="001005B7">
        <w:t>.</w:t>
      </w:r>
      <w:r w:rsidR="00694367" w:rsidRPr="001005B7">
        <w:t xml:space="preserve"> </w:t>
      </w:r>
      <w:r w:rsidR="00573675" w:rsidRPr="001005B7">
        <w:t xml:space="preserve">Vg. </w:t>
      </w:r>
      <w:r w:rsidR="002B75DD" w:rsidRPr="001005B7">
        <w:t xml:space="preserve">translates </w:t>
      </w:r>
      <w:r w:rsidR="00A35E24" w:rsidRPr="001005B7">
        <w:t>it</w:t>
      </w:r>
      <w:r w:rsidR="002B75DD" w:rsidRPr="001005B7">
        <w:t xml:space="preserve"> in the same way as the verb in </w:t>
      </w:r>
      <w:r w:rsidR="003D021F" w:rsidRPr="001005B7">
        <w:t>7:</w:t>
      </w:r>
      <w:r w:rsidR="002B75DD" w:rsidRPr="001005B7">
        <w:t>24</w:t>
      </w:r>
      <w:r w:rsidR="006D4E01" w:rsidRPr="001005B7">
        <w:t xml:space="preserve">a: </w:t>
      </w:r>
      <w:r w:rsidR="007A15B4" w:rsidRPr="001005B7">
        <w:t xml:space="preserve">the </w:t>
      </w:r>
      <w:r w:rsidR="00D6059A" w:rsidRPr="001005B7">
        <w:t>nations will “</w:t>
      </w:r>
      <w:r w:rsidR="006D4E01" w:rsidRPr="001005B7">
        <w:t>enter into possession” of the sanctuaries</w:t>
      </w:r>
      <w:r w:rsidR="00412542" w:rsidRPr="001005B7">
        <w:t>,</w:t>
      </w:r>
      <w:r w:rsidR="006D4E01" w:rsidRPr="001005B7">
        <w:t xml:space="preserve">” </w:t>
      </w:r>
      <w:r w:rsidR="00412542" w:rsidRPr="001005B7">
        <w:t>as if the verb is</w:t>
      </w:r>
      <w:r w:rsidR="001638BF" w:rsidRPr="001005B7">
        <w:t xml:space="preserve"> </w:t>
      </w:r>
      <w:r w:rsidR="001638BF" w:rsidRPr="001005B7">
        <w:rPr>
          <w:rFonts w:cstheme="minorHAnsi"/>
          <w:rtl/>
          <w:lang w:bidi="he-IL"/>
        </w:rPr>
        <w:t>נָחַל</w:t>
      </w:r>
      <w:r w:rsidR="001638BF" w:rsidRPr="001005B7">
        <w:t xml:space="preserve"> </w:t>
      </w:r>
      <w:r w:rsidR="00BB79DF" w:rsidRPr="001005B7">
        <w:t xml:space="preserve">rather than </w:t>
      </w:r>
      <w:r w:rsidR="00BB79DF" w:rsidRPr="001005B7">
        <w:rPr>
          <w:rFonts w:cstheme="minorHAnsi"/>
          <w:rtl/>
          <w:lang w:bidi="he-IL"/>
        </w:rPr>
        <w:t>חׇ</w:t>
      </w:r>
      <w:r w:rsidR="00872ED9" w:rsidRPr="001005B7">
        <w:rPr>
          <w:rFonts w:cstheme="minorHAnsi"/>
          <w:rtl/>
          <w:lang w:bidi="he-IL"/>
        </w:rPr>
        <w:t>לַל</w:t>
      </w:r>
      <w:r w:rsidR="001638BF" w:rsidRPr="001005B7">
        <w:t xml:space="preserve"> </w:t>
      </w:r>
      <w:r w:rsidR="00872ED9" w:rsidRPr="001005B7">
        <w:t xml:space="preserve">niphal. </w:t>
      </w:r>
      <w:r w:rsidR="00CD4E36" w:rsidRPr="001005B7">
        <w:t>It</w:t>
      </w:r>
      <w:r w:rsidR="00EB7C1D" w:rsidRPr="001005B7">
        <w:t xml:space="preserve"> at least</w:t>
      </w:r>
      <w:r w:rsidR="006D4E01" w:rsidRPr="001005B7">
        <w:t xml:space="preserve"> </w:t>
      </w:r>
      <w:r w:rsidR="004F0A2A" w:rsidRPr="001005B7">
        <w:t>suggests</w:t>
      </w:r>
      <w:r w:rsidR="00B0576E" w:rsidRPr="001005B7">
        <w:t xml:space="preserve"> a paro</w:t>
      </w:r>
      <w:r w:rsidR="00044566" w:rsidRPr="001005B7">
        <w:t>no</w:t>
      </w:r>
      <w:r w:rsidR="00B0576E" w:rsidRPr="001005B7">
        <w:t xml:space="preserve">masia </w:t>
      </w:r>
      <w:r w:rsidR="004F0A2A" w:rsidRPr="001005B7">
        <w:t xml:space="preserve">as </w:t>
      </w:r>
      <w:r w:rsidR="00C1486D" w:rsidRPr="001005B7">
        <w:t xml:space="preserve">it </w:t>
      </w:r>
      <w:r w:rsidR="004F0A2A" w:rsidRPr="001005B7">
        <w:t>points to</w:t>
      </w:r>
      <w:r w:rsidR="00C1486D" w:rsidRPr="001005B7">
        <w:t xml:space="preserve"> </w:t>
      </w:r>
      <w:r w:rsidR="00CD4E36" w:rsidRPr="001005B7">
        <w:t xml:space="preserve">the First Testament’s </w:t>
      </w:r>
      <w:r w:rsidR="00C1486D" w:rsidRPr="001005B7">
        <w:t>other verb for receiving Canaan as an endowment (</w:t>
      </w:r>
      <w:r w:rsidR="00132B97" w:rsidRPr="001005B7">
        <w:rPr>
          <w:rFonts w:cstheme="minorHAnsi"/>
          <w:rtl/>
          <w:lang w:bidi="he-IL"/>
        </w:rPr>
        <w:t>נָחַל</w:t>
      </w:r>
      <w:r w:rsidR="006D1018" w:rsidRPr="001005B7">
        <w:t>; cf. 47:14</w:t>
      </w:r>
      <w:r w:rsidR="008A7EA9" w:rsidRPr="001005B7">
        <w:t>).</w:t>
      </w:r>
      <w:r w:rsidR="00C1486D" w:rsidRPr="001005B7">
        <w:t xml:space="preserve"> </w:t>
      </w:r>
    </w:p>
    <w:p w14:paraId="1E521C64" w14:textId="172369C4" w:rsidR="00A732DB" w:rsidRPr="001005B7" w:rsidRDefault="00132B97" w:rsidP="00A732DB">
      <w:r w:rsidRPr="001005B7">
        <w:rPr>
          <w:b/>
          <w:bCs/>
        </w:rPr>
        <w:t>7:</w:t>
      </w:r>
      <w:r w:rsidR="00283436" w:rsidRPr="001005B7">
        <w:rPr>
          <w:b/>
          <w:bCs/>
        </w:rPr>
        <w:t>25</w:t>
      </w:r>
      <w:r w:rsidR="00F46900" w:rsidRPr="001005B7">
        <w:rPr>
          <w:b/>
          <w:bCs/>
        </w:rPr>
        <w:t>–</w:t>
      </w:r>
      <w:r w:rsidR="00283436" w:rsidRPr="001005B7">
        <w:rPr>
          <w:b/>
          <w:bCs/>
        </w:rPr>
        <w:t>2</w:t>
      </w:r>
      <w:r w:rsidR="00E36EBB" w:rsidRPr="001005B7">
        <w:rPr>
          <w:b/>
          <w:bCs/>
        </w:rPr>
        <w:t>6</w:t>
      </w:r>
      <w:r w:rsidR="00283436" w:rsidRPr="001005B7">
        <w:rPr>
          <w:b/>
          <w:bCs/>
        </w:rPr>
        <w:t xml:space="preserve"> </w:t>
      </w:r>
      <w:r w:rsidR="00292477" w:rsidRPr="001005B7">
        <w:t>“</w:t>
      </w:r>
      <w:r w:rsidR="006F0B9A" w:rsidRPr="001005B7">
        <w:t>C</w:t>
      </w:r>
      <w:r w:rsidR="00E36EBB" w:rsidRPr="001005B7">
        <w:t>losing</w:t>
      </w:r>
      <w:r w:rsidR="00E36EBB" w:rsidRPr="001005B7">
        <w:rPr>
          <w:i/>
          <w:iCs/>
        </w:rPr>
        <w:t xml:space="preserve"> </w:t>
      </w:r>
      <w:r w:rsidR="00E36EBB" w:rsidRPr="001005B7">
        <w:t>up</w:t>
      </w:r>
      <w:r w:rsidR="00D7264C" w:rsidRPr="001005B7">
        <w:t>”</w:t>
      </w:r>
      <w:r w:rsidR="00E36EBB" w:rsidRPr="001005B7">
        <w:rPr>
          <w:i/>
          <w:iCs/>
        </w:rPr>
        <w:t xml:space="preserve"> </w:t>
      </w:r>
      <w:r w:rsidRPr="001005B7">
        <w:t>(</w:t>
      </w:r>
      <w:r w:rsidR="00FA5FEE" w:rsidRPr="001005B7">
        <w:rPr>
          <w:rFonts w:cstheme="minorHAnsi"/>
          <w:rtl/>
          <w:lang w:bidi="he-IL"/>
        </w:rPr>
        <w:t>קְ</w:t>
      </w:r>
      <w:r w:rsidR="00155230" w:rsidRPr="001005B7">
        <w:rPr>
          <w:rFonts w:cstheme="minorHAnsi"/>
          <w:rtl/>
          <w:lang w:bidi="he-IL"/>
        </w:rPr>
        <w:t>דָפָה</w:t>
      </w:r>
      <w:r w:rsidR="00155230" w:rsidRPr="001005B7">
        <w:t xml:space="preserve">) </w:t>
      </w:r>
      <w:r w:rsidR="00E2382E" w:rsidRPr="001005B7">
        <w:t>is another hapax</w:t>
      </w:r>
      <w:r w:rsidR="00E36EBB" w:rsidRPr="001005B7">
        <w:t>,</w:t>
      </w:r>
      <w:r w:rsidR="00E2382E" w:rsidRPr="001005B7">
        <w:t xml:space="preserve"> but it </w:t>
      </w:r>
      <w:r w:rsidR="006A3F6C" w:rsidRPr="001005B7">
        <w:t xml:space="preserve">is </w:t>
      </w:r>
      <w:r w:rsidR="00E2382E" w:rsidRPr="001005B7">
        <w:t>likely somehow</w:t>
      </w:r>
      <w:r w:rsidR="00D12581" w:rsidRPr="001005B7">
        <w:t xml:space="preserve"> </w:t>
      </w:r>
      <w:r w:rsidR="006A3F6C" w:rsidRPr="001005B7">
        <w:t>another expression for things coming to an end</w:t>
      </w:r>
      <w:r w:rsidR="00A72FE5" w:rsidRPr="001005B7">
        <w:t xml:space="preserve"> (see the </w:t>
      </w:r>
      <w:r w:rsidR="001B2527" w:rsidRPr="001005B7">
        <w:t>transl</w:t>
      </w:r>
      <w:r w:rsidR="00B034F2" w:rsidRPr="001005B7">
        <w:t>a</w:t>
      </w:r>
      <w:r w:rsidR="001B2527" w:rsidRPr="001005B7">
        <w:t>tion</w:t>
      </w:r>
      <w:r w:rsidR="00A72FE5" w:rsidRPr="001005B7">
        <w:t xml:space="preserve"> </w:t>
      </w:r>
      <w:r w:rsidR="00A54EE5" w:rsidRPr="001005B7">
        <w:t>foot</w:t>
      </w:r>
      <w:r w:rsidR="00A72FE5" w:rsidRPr="001005B7">
        <w:t>note).</w:t>
      </w:r>
      <w:r w:rsidR="006A3F6C" w:rsidRPr="001005B7">
        <w:t xml:space="preserve"> </w:t>
      </w:r>
      <w:r w:rsidR="00961262" w:rsidRPr="001005B7">
        <w:t>In the context of that threat</w:t>
      </w:r>
      <w:r w:rsidR="00994BD6" w:rsidRPr="001005B7">
        <w:t xml:space="preserve">, </w:t>
      </w:r>
      <w:r w:rsidR="002A077C" w:rsidRPr="001005B7">
        <w:t xml:space="preserve">some </w:t>
      </w:r>
      <w:r w:rsidR="00777871" w:rsidRPr="001005B7">
        <w:t>people</w:t>
      </w:r>
      <w:r w:rsidR="002A6A4F" w:rsidRPr="001005B7">
        <w:t xml:space="preserve"> will </w:t>
      </w:r>
      <w:r w:rsidR="002A077C" w:rsidRPr="001005B7">
        <w:t xml:space="preserve">at last </w:t>
      </w:r>
      <w:r w:rsidR="002A6A4F" w:rsidRPr="001005B7">
        <w:t>turn to God</w:t>
      </w:r>
      <w:r w:rsidR="00246793" w:rsidRPr="001005B7">
        <w:t xml:space="preserve">, but once more the apparent note of hope </w:t>
      </w:r>
      <w:r w:rsidR="009E667C" w:rsidRPr="001005B7">
        <w:t>is nothing of the kind</w:t>
      </w:r>
      <w:r w:rsidR="00071D3C" w:rsidRPr="001005B7">
        <w:t>. T</w:t>
      </w:r>
      <w:r w:rsidR="00777871" w:rsidRPr="001005B7">
        <w:t xml:space="preserve">he following cola suggest that Ezekiel refers especially to </w:t>
      </w:r>
      <w:r w:rsidR="00B00C8E" w:rsidRPr="001005B7">
        <w:t xml:space="preserve">the city’s leadership who have to make the decisions about how Judah should </w:t>
      </w:r>
      <w:r w:rsidR="00644A8F" w:rsidRPr="001005B7">
        <w:t xml:space="preserve">try to </w:t>
      </w:r>
      <w:r w:rsidR="00071D3C" w:rsidRPr="001005B7">
        <w:t>cope</w:t>
      </w:r>
      <w:r w:rsidR="00644A8F" w:rsidRPr="001005B7">
        <w:t xml:space="preserve"> with the coming invasion</w:t>
      </w:r>
      <w:r w:rsidR="00071D3C" w:rsidRPr="001005B7">
        <w:t>. T</w:t>
      </w:r>
      <w:r w:rsidR="00FE1674" w:rsidRPr="001005B7">
        <w:t xml:space="preserve">hey </w:t>
      </w:r>
      <w:r w:rsidR="0008038B" w:rsidRPr="001005B7">
        <w:t xml:space="preserve">will </w:t>
      </w:r>
      <w:r w:rsidR="001F6C9F" w:rsidRPr="001005B7">
        <w:t>turn to Yahweh</w:t>
      </w:r>
      <w:r w:rsidR="00A9278A" w:rsidRPr="001005B7">
        <w:t>,</w:t>
      </w:r>
      <w:r w:rsidR="001F6C9F" w:rsidRPr="001005B7">
        <w:t xml:space="preserve"> but they will </w:t>
      </w:r>
      <w:r w:rsidR="002A6A4F" w:rsidRPr="001005B7">
        <w:t>find he is not listening.</w:t>
      </w:r>
      <w:r w:rsidR="00EA3F01" w:rsidRPr="001005B7">
        <w:t xml:space="preserve"> </w:t>
      </w:r>
      <w:r w:rsidR="008B3F9E">
        <w:t>H</w:t>
      </w:r>
      <w:r w:rsidR="0008038B" w:rsidRPr="001005B7">
        <w:t>e has tu</w:t>
      </w:r>
      <w:r w:rsidR="00FE1674" w:rsidRPr="001005B7">
        <w:t>r</w:t>
      </w:r>
      <w:r w:rsidR="0008038B" w:rsidRPr="001005B7">
        <w:t>n</w:t>
      </w:r>
      <w:r w:rsidR="00FE1674" w:rsidRPr="001005B7">
        <w:t>e</w:t>
      </w:r>
      <w:r w:rsidR="0008038B" w:rsidRPr="001005B7">
        <w:t>d his face away</w:t>
      </w:r>
      <w:r w:rsidR="006942F8" w:rsidRPr="001005B7">
        <w:t>.</w:t>
      </w:r>
      <w:r w:rsidR="00CE1F55" w:rsidRPr="001005B7">
        <w:t xml:space="preserve"> </w:t>
      </w:r>
      <w:r w:rsidR="00726972" w:rsidRPr="001005B7">
        <w:t>As people were indeed saying in Jerusalem</w:t>
      </w:r>
      <w:r w:rsidR="00CE1F55" w:rsidRPr="001005B7">
        <w:t>,</w:t>
      </w:r>
      <w:r w:rsidR="00726972" w:rsidRPr="001005B7">
        <w:t xml:space="preserve"> or soon will be, there is no well-being to be had (Jer </w:t>
      </w:r>
      <w:r w:rsidR="00F21CA5" w:rsidRPr="001005B7">
        <w:t>8:15)</w:t>
      </w:r>
      <w:r w:rsidR="004A3A54" w:rsidRPr="001005B7">
        <w:t>. T</w:t>
      </w:r>
      <w:r w:rsidR="00087C40" w:rsidRPr="001005B7">
        <w:t>his is Ezekiel’s first reference to</w:t>
      </w:r>
      <w:r w:rsidR="00650D08" w:rsidRPr="001005B7">
        <w:t xml:space="preserve"> </w:t>
      </w:r>
      <w:r w:rsidR="00650D08" w:rsidRPr="001005B7">
        <w:rPr>
          <w:i/>
          <w:iCs/>
        </w:rPr>
        <w:t>shalom</w:t>
      </w:r>
      <w:r w:rsidR="00087C40" w:rsidRPr="001005B7">
        <w:t>, and he will not make many more (</w:t>
      </w:r>
      <w:r w:rsidR="00535CB2" w:rsidRPr="001005B7">
        <w:t>13:10, 16; 34:25; 37:26).</w:t>
      </w:r>
      <w:r w:rsidR="00D6156A" w:rsidRPr="001005B7">
        <w:rPr>
          <w:rStyle w:val="FootnoteReference"/>
        </w:rPr>
        <w:footnoteReference w:id="223"/>
      </w:r>
      <w:r w:rsidR="00F21CA5" w:rsidRPr="001005B7">
        <w:t xml:space="preserve"> </w:t>
      </w:r>
      <w:r w:rsidR="00F92CBA" w:rsidRPr="001005B7">
        <w:t xml:space="preserve">The news will get worse and worse. </w:t>
      </w:r>
      <w:r w:rsidR="00375BEA" w:rsidRPr="001005B7">
        <w:t xml:space="preserve">The </w:t>
      </w:r>
      <w:r w:rsidR="00EF55E0" w:rsidRPr="001005B7">
        <w:t xml:space="preserve">combination of prophet, priest, and </w:t>
      </w:r>
      <w:r w:rsidR="00AC4DFE" w:rsidRPr="001005B7">
        <w:t>elder</w:t>
      </w:r>
      <w:r w:rsidR="002A543C" w:rsidRPr="001005B7">
        <w:t xml:space="preserve"> </w:t>
      </w:r>
      <w:r w:rsidR="00C11299" w:rsidRPr="001005B7">
        <w:t>(</w:t>
      </w:r>
      <w:r w:rsidR="002A543C" w:rsidRPr="001005B7">
        <w:t>or wise person or official</w:t>
      </w:r>
      <w:r w:rsidR="00C11299" w:rsidRPr="001005B7">
        <w:t>)</w:t>
      </w:r>
      <w:r w:rsidR="00AC4DFE" w:rsidRPr="001005B7">
        <w:t xml:space="preserve"> recurs</w:t>
      </w:r>
      <w:r w:rsidR="00214053" w:rsidRPr="001005B7">
        <w:t xml:space="preserve"> </w:t>
      </w:r>
      <w:r w:rsidR="00AC4D08" w:rsidRPr="001005B7">
        <w:t>(</w:t>
      </w:r>
      <w:r w:rsidR="00214053" w:rsidRPr="001005B7">
        <w:t xml:space="preserve">see especially </w:t>
      </w:r>
      <w:r w:rsidR="00AC4DFE" w:rsidRPr="001005B7">
        <w:t>Jer 18:18</w:t>
      </w:r>
      <w:r w:rsidR="00AC4D08" w:rsidRPr="001005B7">
        <w:t>)</w:t>
      </w:r>
      <w:r w:rsidR="00214053" w:rsidRPr="001005B7">
        <w:t>.</w:t>
      </w:r>
      <w:r w:rsidR="001D13E0" w:rsidRPr="001005B7">
        <w:t xml:space="preserve"> </w:t>
      </w:r>
      <w:r w:rsidR="00214053" w:rsidRPr="001005B7">
        <w:t>H</w:t>
      </w:r>
      <w:r w:rsidR="001D13E0" w:rsidRPr="001005B7">
        <w:t>ere Ezekiel</w:t>
      </w:r>
      <w:r w:rsidR="003D1132" w:rsidRPr="001005B7">
        <w:t xml:space="preserve"> tweaks it</w:t>
      </w:r>
      <w:r w:rsidR="0000489D" w:rsidRPr="001005B7">
        <w:t xml:space="preserve">. He could have </w:t>
      </w:r>
      <w:r w:rsidR="00904833" w:rsidRPr="001005B7">
        <w:t xml:space="preserve">been neat and </w:t>
      </w:r>
      <w:r w:rsidR="00CA168C" w:rsidRPr="001005B7">
        <w:t>had three cola about seeking insight or three about failing to find it</w:t>
      </w:r>
      <w:r w:rsidR="002573CF" w:rsidRPr="001005B7">
        <w:t>, or even three of each</w:t>
      </w:r>
      <w:r w:rsidR="00AC4D08" w:rsidRPr="001005B7">
        <w:t>.</w:t>
      </w:r>
      <w:r w:rsidR="00904833" w:rsidRPr="001005B7">
        <w:t xml:space="preserve"> </w:t>
      </w:r>
      <w:r w:rsidR="00AC4D08" w:rsidRPr="001005B7">
        <w:t>I</w:t>
      </w:r>
      <w:r w:rsidR="002573CF" w:rsidRPr="001005B7">
        <w:t xml:space="preserve">nstead, </w:t>
      </w:r>
      <w:r w:rsidR="00904833" w:rsidRPr="001005B7">
        <w:t>he has one about seeking and two about not fin</w:t>
      </w:r>
      <w:r w:rsidR="002573CF" w:rsidRPr="001005B7">
        <w:t>di</w:t>
      </w:r>
      <w:r w:rsidR="00904833" w:rsidRPr="001005B7">
        <w:t>n</w:t>
      </w:r>
      <w:r w:rsidR="002573CF" w:rsidRPr="001005B7">
        <w:t>g</w:t>
      </w:r>
      <w:r w:rsidR="00CB0516" w:rsidRPr="001005B7">
        <w:t xml:space="preserve">. </w:t>
      </w:r>
      <w:r w:rsidR="004B0D97" w:rsidRPr="001005B7">
        <w:t xml:space="preserve">His threat about </w:t>
      </w:r>
      <w:r w:rsidR="003C28C9" w:rsidRPr="001005B7">
        <w:t>a prophetic word again re</w:t>
      </w:r>
      <w:r w:rsidR="00E67A88" w:rsidRPr="001005B7">
        <w:t>formulates one that appears in</w:t>
      </w:r>
      <w:r w:rsidR="003C28C9" w:rsidRPr="001005B7">
        <w:t xml:space="preserve"> </w:t>
      </w:r>
      <w:r w:rsidR="00CB0516" w:rsidRPr="001005B7">
        <w:t xml:space="preserve">Amos </w:t>
      </w:r>
      <w:r w:rsidR="003C28C9" w:rsidRPr="001005B7">
        <w:t>(</w:t>
      </w:r>
      <w:r w:rsidR="00CB0516" w:rsidRPr="001005B7">
        <w:t>8:</w:t>
      </w:r>
      <w:r w:rsidR="003C28C9" w:rsidRPr="001005B7">
        <w:t>11</w:t>
      </w:r>
      <w:r w:rsidR="00F46900" w:rsidRPr="001005B7">
        <w:t>–</w:t>
      </w:r>
      <w:r w:rsidR="003C28C9" w:rsidRPr="001005B7">
        <w:t>12)</w:t>
      </w:r>
      <w:r w:rsidR="00CB0516" w:rsidRPr="001005B7">
        <w:t>.</w:t>
      </w:r>
      <w:r w:rsidR="00EF55E0" w:rsidRPr="001005B7">
        <w:t xml:space="preserve"> </w:t>
      </w:r>
      <w:r w:rsidR="00F53128" w:rsidRPr="001005B7">
        <w:t xml:space="preserve">It also </w:t>
      </w:r>
      <w:r w:rsidR="00647CC9" w:rsidRPr="001005B7">
        <w:t>recalls</w:t>
      </w:r>
      <w:r w:rsidR="00C35120" w:rsidRPr="001005B7">
        <w:t xml:space="preserve"> another moment in Jerusalem soon after this, when Zedekiah</w:t>
      </w:r>
      <w:r w:rsidR="00791BCB" w:rsidRPr="001005B7">
        <w:t xml:space="preserve"> sends </w:t>
      </w:r>
      <w:r w:rsidR="00375843" w:rsidRPr="001005B7">
        <w:t>to seek counsel from</w:t>
      </w:r>
      <w:r w:rsidR="00791BCB" w:rsidRPr="001005B7">
        <w:t xml:space="preserve"> Jeremiah </w:t>
      </w:r>
      <w:r w:rsidR="00375843" w:rsidRPr="001005B7">
        <w:t>and gets a dusty response (</w:t>
      </w:r>
      <w:r w:rsidR="002074B9" w:rsidRPr="001005B7">
        <w:t>Jer 38:14</w:t>
      </w:r>
      <w:r w:rsidR="00F46900" w:rsidRPr="001005B7">
        <w:t>–</w:t>
      </w:r>
      <w:r w:rsidR="002074B9" w:rsidRPr="001005B7">
        <w:t xml:space="preserve">15). </w:t>
      </w:r>
    </w:p>
    <w:p w14:paraId="1923412F" w14:textId="7DD2DCB5" w:rsidR="00FB4080" w:rsidRPr="001005B7" w:rsidRDefault="00B034F2" w:rsidP="00976080">
      <w:r w:rsidRPr="001005B7">
        <w:rPr>
          <w:b/>
          <w:bCs/>
        </w:rPr>
        <w:t>7:</w:t>
      </w:r>
      <w:r w:rsidR="005F10A3" w:rsidRPr="001005B7">
        <w:rPr>
          <w:b/>
          <w:bCs/>
        </w:rPr>
        <w:t xml:space="preserve">27 </w:t>
      </w:r>
      <w:r w:rsidR="00EA3F01" w:rsidRPr="001005B7">
        <w:t xml:space="preserve">When </w:t>
      </w:r>
      <w:r w:rsidR="00B83D6F" w:rsidRPr="001005B7">
        <w:t>Yahweh mention</w:t>
      </w:r>
      <w:r w:rsidR="00EA3F01" w:rsidRPr="001005B7">
        <w:t>ed</w:t>
      </w:r>
      <w:r w:rsidR="00B83D6F" w:rsidRPr="001005B7">
        <w:t xml:space="preserve"> </w:t>
      </w:r>
      <w:r w:rsidR="00805F84" w:rsidRPr="001005B7">
        <w:t>just a single</w:t>
      </w:r>
      <w:r w:rsidR="00B83D6F" w:rsidRPr="001005B7">
        <w:t xml:space="preserve"> fetter</w:t>
      </w:r>
      <w:r w:rsidR="007979AA" w:rsidRPr="001005B7">
        <w:t xml:space="preserve"> (</w:t>
      </w:r>
      <w:r w:rsidR="003D021F" w:rsidRPr="001005B7">
        <w:t>7:</w:t>
      </w:r>
      <w:r w:rsidR="007979AA" w:rsidRPr="001005B7">
        <w:t>23)</w:t>
      </w:r>
      <w:r w:rsidR="00EA3F01" w:rsidRPr="001005B7">
        <w:t>, he</w:t>
      </w:r>
      <w:r w:rsidR="00B83D6F" w:rsidRPr="001005B7">
        <w:t xml:space="preserve"> may </w:t>
      </w:r>
      <w:r w:rsidR="0055672B" w:rsidRPr="001005B7">
        <w:t xml:space="preserve">have </w:t>
      </w:r>
      <w:r w:rsidR="00EA3F01" w:rsidRPr="001005B7">
        <w:t>indicated that</w:t>
      </w:r>
      <w:r w:rsidR="00B83D6F" w:rsidRPr="001005B7">
        <w:t xml:space="preserve"> he ha</w:t>
      </w:r>
      <w:r w:rsidR="0055672B" w:rsidRPr="001005B7">
        <w:t>d</w:t>
      </w:r>
      <w:r w:rsidR="00B83D6F" w:rsidRPr="001005B7">
        <w:t xml:space="preserve"> the king in mind</w:t>
      </w:r>
      <w:r w:rsidR="0055672B" w:rsidRPr="001005B7">
        <w:t xml:space="preserve">, and </w:t>
      </w:r>
      <w:r w:rsidR="00805F84" w:rsidRPr="001005B7">
        <w:t>this threat</w:t>
      </w:r>
      <w:r w:rsidR="00535504" w:rsidRPr="001005B7">
        <w:t xml:space="preserve"> fits that possibility</w:t>
      </w:r>
      <w:r w:rsidR="0098245A" w:rsidRPr="001005B7">
        <w:t>. It</w:t>
      </w:r>
      <w:r w:rsidR="00535504" w:rsidRPr="001005B7">
        <w:t xml:space="preserve"> coheres with 2</w:t>
      </w:r>
      <w:r w:rsidR="00D7410F" w:rsidRPr="001005B7">
        <w:t> </w:t>
      </w:r>
      <w:r w:rsidR="006558CA" w:rsidRPr="001005B7">
        <w:t>Kgs</w:t>
      </w:r>
      <w:r w:rsidR="00535504" w:rsidRPr="001005B7">
        <w:t xml:space="preserve"> </w:t>
      </w:r>
      <w:r w:rsidR="00FA0C09" w:rsidRPr="001005B7">
        <w:t>23</w:t>
      </w:r>
      <w:r w:rsidR="00F46900" w:rsidRPr="001005B7">
        <w:t>–</w:t>
      </w:r>
      <w:r w:rsidR="00FA0C09" w:rsidRPr="001005B7">
        <w:t xml:space="preserve">24 </w:t>
      </w:r>
      <w:r w:rsidR="00535504" w:rsidRPr="001005B7">
        <w:t>hold</w:t>
      </w:r>
      <w:r w:rsidR="000B4AC7">
        <w:t>ing</w:t>
      </w:r>
      <w:r w:rsidR="00535504" w:rsidRPr="001005B7">
        <w:t xml:space="preserve"> the king responsible for policies in Jerusalem</w:t>
      </w:r>
      <w:r w:rsidR="00393655">
        <w:t>,</w:t>
      </w:r>
      <w:r w:rsidR="00641A60" w:rsidRPr="001005B7">
        <w:t xml:space="preserve"> </w:t>
      </w:r>
      <w:r w:rsidR="002401D6" w:rsidRPr="001005B7">
        <w:t>in Ezekiel’s lifetime</w:t>
      </w:r>
      <w:r w:rsidR="00210583" w:rsidRPr="001005B7">
        <w:t xml:space="preserve">. </w:t>
      </w:r>
      <w:r w:rsidR="00173493">
        <w:t>N</w:t>
      </w:r>
      <w:r w:rsidR="00732FBB" w:rsidRPr="001005B7">
        <w:t xml:space="preserve">ations commonly hold their president </w:t>
      </w:r>
      <w:r w:rsidR="00A04FED" w:rsidRPr="001005B7">
        <w:t xml:space="preserve">or prime minister </w:t>
      </w:r>
      <w:r w:rsidR="00732FBB" w:rsidRPr="001005B7">
        <w:t xml:space="preserve">responsible for </w:t>
      </w:r>
      <w:r w:rsidR="00A04FED" w:rsidRPr="001005B7">
        <w:t>their destiny</w:t>
      </w:r>
      <w:r w:rsidR="00732FBB" w:rsidRPr="001005B7">
        <w:t>.</w:t>
      </w:r>
      <w:r w:rsidR="00A04FED" w:rsidRPr="001005B7">
        <w:t xml:space="preserve"> </w:t>
      </w:r>
      <w:r w:rsidR="00BB4417" w:rsidRPr="001005B7">
        <w:t xml:space="preserve">Ezekiel usually avoids </w:t>
      </w:r>
      <w:r w:rsidR="00EF0F25" w:rsidRPr="001005B7">
        <w:t>describ</w:t>
      </w:r>
      <w:r w:rsidR="00BB4417" w:rsidRPr="001005B7">
        <w:t xml:space="preserve">ing the Israelite king </w:t>
      </w:r>
      <w:r w:rsidR="00EF0F25" w:rsidRPr="001005B7">
        <w:t>as “king</w:t>
      </w:r>
      <w:r w:rsidR="00027091" w:rsidRPr="001005B7">
        <w:t>,</w:t>
      </w:r>
      <w:r w:rsidR="00B712C4" w:rsidRPr="001005B7">
        <w:t>” prefer</w:t>
      </w:r>
      <w:r w:rsidR="00027091" w:rsidRPr="001005B7">
        <w:t>ring</w:t>
      </w:r>
      <w:r w:rsidR="00B712C4" w:rsidRPr="001005B7">
        <w:t xml:space="preserve"> to call him “</w:t>
      </w:r>
      <w:r w:rsidR="00CC71DF" w:rsidRPr="001005B7">
        <w:t>prince</w:t>
      </w:r>
      <w:r w:rsidR="00B712C4" w:rsidRPr="001005B7">
        <w:t>” (</w:t>
      </w:r>
      <w:r w:rsidR="00D771CE" w:rsidRPr="001005B7">
        <w:rPr>
          <w:rFonts w:cstheme="minorHAnsi"/>
          <w:rtl/>
          <w:lang w:bidi="he-IL"/>
        </w:rPr>
        <w:t>נָשֹ</w:t>
      </w:r>
      <w:r w:rsidR="00AC2595" w:rsidRPr="001005B7">
        <w:rPr>
          <w:rFonts w:cstheme="minorHAnsi"/>
          <w:rtl/>
          <w:lang w:bidi="he-IL"/>
        </w:rPr>
        <w:t>ִיא</w:t>
      </w:r>
      <w:r w:rsidR="009508BD" w:rsidRPr="001005B7">
        <w:rPr>
          <w:rFonts w:cstheme="minorHAnsi"/>
        </w:rPr>
        <w:t>), and</w:t>
      </w:r>
      <w:r w:rsidR="00030A8A" w:rsidRPr="001005B7">
        <w:rPr>
          <w:rFonts w:cstheme="minorHAnsi"/>
          <w:i/>
          <w:iCs/>
        </w:rPr>
        <w:t xml:space="preserve"> </w:t>
      </w:r>
      <w:r w:rsidR="009508BD" w:rsidRPr="001005B7">
        <w:t>i</w:t>
      </w:r>
      <w:r w:rsidR="004C3AA5" w:rsidRPr="001005B7">
        <w:t>n the parallelism</w:t>
      </w:r>
      <w:r w:rsidR="009508BD" w:rsidRPr="001005B7">
        <w:t xml:space="preserve"> here, </w:t>
      </w:r>
      <w:r w:rsidR="00D7264C" w:rsidRPr="001005B7">
        <w:t>“</w:t>
      </w:r>
      <w:r w:rsidR="00CC71DF" w:rsidRPr="001005B7">
        <w:t>prince</w:t>
      </w:r>
      <w:r w:rsidR="00D7264C" w:rsidRPr="001005B7">
        <w:t>”</w:t>
      </w:r>
      <w:r w:rsidR="009508BD" w:rsidRPr="001005B7">
        <w:t xml:space="preserve"> will refer to the king</w:t>
      </w:r>
      <w:r w:rsidR="00A44C3D" w:rsidRPr="001005B7">
        <w:t xml:space="preserve"> (cf. </w:t>
      </w:r>
      <w:proofErr w:type="spellStart"/>
      <w:r w:rsidR="00A44C3D" w:rsidRPr="001005B7">
        <w:t>Qimhi</w:t>
      </w:r>
      <w:proofErr w:type="spellEnd"/>
      <w:r w:rsidR="00BD55C3" w:rsidRPr="001005B7">
        <w:t>,</w:t>
      </w:r>
      <w:r w:rsidR="00A44C3D" w:rsidRPr="001005B7">
        <w:t xml:space="preserve"> in MG)</w:t>
      </w:r>
      <w:r w:rsidR="00B64D56" w:rsidRPr="001005B7">
        <w:t xml:space="preserve">. </w:t>
      </w:r>
      <w:r w:rsidR="00857C97" w:rsidRPr="001005B7">
        <w:t xml:space="preserve">The term occurs most often in Numbers to refer to the heads or chiefs of the clans, so Ezekiel’s use of the word for the head of the entire nation is innovative. </w:t>
      </w:r>
      <w:r w:rsidR="00BB3D88" w:rsidRPr="001005B7">
        <w:t>H</w:t>
      </w:r>
      <w:r w:rsidR="00857C97" w:rsidRPr="001005B7">
        <w:t>e is</w:t>
      </w:r>
      <w:r w:rsidR="00BB3D88" w:rsidRPr="001005B7">
        <w:t xml:space="preserve"> taking up </w:t>
      </w:r>
      <w:r w:rsidR="00857C97" w:rsidRPr="001005B7">
        <w:t xml:space="preserve">a title from Israel’s </w:t>
      </w:r>
      <w:r w:rsidR="00AE3D50" w:rsidRPr="001005B7">
        <w:t>history</w:t>
      </w:r>
      <w:r w:rsidR="00857C97" w:rsidRPr="001005B7">
        <w:t xml:space="preserve">, </w:t>
      </w:r>
      <w:r w:rsidR="00AE3D50" w:rsidRPr="001005B7">
        <w:t xml:space="preserve">but </w:t>
      </w:r>
      <w:r w:rsidR="00EB1012" w:rsidRPr="001005B7">
        <w:t xml:space="preserve">his </w:t>
      </w:r>
      <w:r w:rsidR="00AE3D50" w:rsidRPr="001005B7">
        <w:t>us</w:t>
      </w:r>
      <w:r w:rsidR="00EB1012" w:rsidRPr="001005B7">
        <w:t>e of it</w:t>
      </w:r>
      <w:r w:rsidR="00C050DB" w:rsidRPr="001005B7">
        <w:t xml:space="preserve"> simultaneously enhances its meaning and downgrades</w:t>
      </w:r>
      <w:r w:rsidR="00857C97" w:rsidRPr="001005B7">
        <w:t xml:space="preserve"> the significance of the </w:t>
      </w:r>
      <w:r w:rsidR="00EB1012" w:rsidRPr="001005B7">
        <w:t>person to whom it applies</w:t>
      </w:r>
      <w:r w:rsidR="00857C97" w:rsidRPr="001005B7">
        <w:t xml:space="preserve">. </w:t>
      </w:r>
      <w:r w:rsidR="00B30873" w:rsidRPr="001005B7">
        <w:t xml:space="preserve">Ezekiel </w:t>
      </w:r>
      <w:r w:rsidR="00514921" w:rsidRPr="001005B7">
        <w:t>also</w:t>
      </w:r>
      <w:r w:rsidR="00B67841" w:rsidRPr="001005B7">
        <w:t xml:space="preserve"> never names Zedekiah or Jehoiachin</w:t>
      </w:r>
      <w:r w:rsidR="00FB36BE" w:rsidRPr="001005B7">
        <w:t>,</w:t>
      </w:r>
      <w:r w:rsidR="00B67841" w:rsidRPr="001005B7">
        <w:t xml:space="preserve"> </w:t>
      </w:r>
      <w:r w:rsidR="00C92367" w:rsidRPr="001005B7">
        <w:t>even while</w:t>
      </w:r>
      <w:r w:rsidR="00404C47" w:rsidRPr="001005B7">
        <w:t xml:space="preserve"> referring to them several times </w:t>
      </w:r>
      <w:r w:rsidR="00B67841" w:rsidRPr="001005B7">
        <w:t>(the c</w:t>
      </w:r>
      <w:r w:rsidR="00494BE5" w:rsidRPr="001005B7">
        <w:t>u</w:t>
      </w:r>
      <w:r w:rsidR="00B67841" w:rsidRPr="001005B7">
        <w:t xml:space="preserve">rator names </w:t>
      </w:r>
      <w:r w:rsidR="00ED1876" w:rsidRPr="001005B7">
        <w:t>Jehoiachin</w:t>
      </w:r>
      <w:r w:rsidR="00B67841" w:rsidRPr="001005B7">
        <w:t xml:space="preserve"> in 1:2)</w:t>
      </w:r>
      <w:r w:rsidR="00514921" w:rsidRPr="001005B7">
        <w:t xml:space="preserve">. </w:t>
      </w:r>
      <w:r w:rsidR="001D298D" w:rsidRPr="001005B7">
        <w:t>L</w:t>
      </w:r>
      <w:r w:rsidR="00D60585" w:rsidRPr="001005B7">
        <w:t>ikewise</w:t>
      </w:r>
      <w:r w:rsidR="009A0675" w:rsidRPr="001005B7">
        <w:t xml:space="preserve"> in the parallelism,</w:t>
      </w:r>
      <w:r w:rsidR="00D60585" w:rsidRPr="001005B7">
        <w:t xml:space="preserve"> </w:t>
      </w:r>
      <w:r w:rsidR="007C61D3" w:rsidRPr="001005B7">
        <w:t>“</w:t>
      </w:r>
      <w:r w:rsidR="00D60585" w:rsidRPr="001005B7">
        <w:t>clothe</w:t>
      </w:r>
      <w:r w:rsidR="00D60585" w:rsidRPr="001005B7">
        <w:rPr>
          <w:i/>
          <w:iCs/>
        </w:rPr>
        <w:t xml:space="preserve"> </w:t>
      </w:r>
      <w:r w:rsidR="00D60585" w:rsidRPr="001005B7">
        <w:t>himself</w:t>
      </w:r>
      <w:r w:rsidR="00D60585" w:rsidRPr="001005B7">
        <w:rPr>
          <w:i/>
          <w:iCs/>
        </w:rPr>
        <w:t xml:space="preserve"> </w:t>
      </w:r>
      <w:r w:rsidR="00D60585" w:rsidRPr="001005B7">
        <w:t>in</w:t>
      </w:r>
      <w:r w:rsidR="00D60585" w:rsidRPr="001005B7">
        <w:rPr>
          <w:i/>
          <w:iCs/>
        </w:rPr>
        <w:t xml:space="preserve"> </w:t>
      </w:r>
      <w:r w:rsidR="00D60585" w:rsidRPr="001005B7">
        <w:t>desolation</w:t>
      </w:r>
      <w:r w:rsidR="007C61D3" w:rsidRPr="001005B7">
        <w:t>”</w:t>
      </w:r>
      <w:r w:rsidR="009A0675" w:rsidRPr="001005B7">
        <w:rPr>
          <w:i/>
          <w:iCs/>
        </w:rPr>
        <w:t xml:space="preserve"> </w:t>
      </w:r>
      <w:r w:rsidR="009A0675" w:rsidRPr="001005B7">
        <w:t xml:space="preserve">makes for a vivid restatement of </w:t>
      </w:r>
      <w:r w:rsidR="006441C1" w:rsidRPr="001005B7">
        <w:t>“</w:t>
      </w:r>
      <w:r w:rsidR="009A0675" w:rsidRPr="001005B7">
        <w:t>mourn.</w:t>
      </w:r>
      <w:r w:rsidR="006441C1" w:rsidRPr="001005B7">
        <w:t>”</w:t>
      </w:r>
      <w:r w:rsidR="009A0675" w:rsidRPr="001005B7">
        <w:t xml:space="preserve"> </w:t>
      </w:r>
      <w:r w:rsidR="00711BA2" w:rsidRPr="001005B7">
        <w:rPr>
          <w:sz w:val="18"/>
          <w:szCs w:val="18"/>
        </w:rPr>
        <w:t>LXX</w:t>
      </w:r>
      <w:r w:rsidR="00A208D3" w:rsidRPr="001005B7">
        <w:t xml:space="preserve">’s term for </w:t>
      </w:r>
      <w:r w:rsidR="006441C1" w:rsidRPr="001005B7">
        <w:t>“</w:t>
      </w:r>
      <w:r w:rsidR="00A208D3" w:rsidRPr="001005B7">
        <w:t>desolation</w:t>
      </w:r>
      <w:r w:rsidR="006441C1" w:rsidRPr="001005B7">
        <w:t>”</w:t>
      </w:r>
      <w:r w:rsidR="00EA27E2" w:rsidRPr="001005B7">
        <w:t xml:space="preserve"> </w:t>
      </w:r>
      <w:r w:rsidR="00F61D42" w:rsidRPr="001005B7">
        <w:t>is</w:t>
      </w:r>
      <w:r w:rsidR="00706556" w:rsidRPr="001005B7">
        <w:t xml:space="preserve"> </w:t>
      </w:r>
      <w:proofErr w:type="spellStart"/>
      <w:r w:rsidR="00FD513C" w:rsidRPr="001005B7">
        <w:rPr>
          <w:rFonts w:cstheme="minorHAnsi"/>
        </w:rPr>
        <w:t>ả</w:t>
      </w:r>
      <w:r w:rsidR="006F23A7" w:rsidRPr="001005B7">
        <w:rPr>
          <w:rFonts w:cstheme="minorHAnsi"/>
        </w:rPr>
        <w:t>φ</w:t>
      </w:r>
      <w:proofErr w:type="spellEnd"/>
      <w:r w:rsidR="004A5C53" w:rsidRPr="001005B7">
        <w:rPr>
          <w:rFonts w:cstheme="minorHAnsi"/>
        </w:rPr>
        <w:t>ανισμ</w:t>
      </w:r>
      <w:r w:rsidR="00983F04" w:rsidRPr="001005B7">
        <w:rPr>
          <w:rFonts w:cstheme="minorHAnsi"/>
        </w:rPr>
        <w:t>ó</w:t>
      </w:r>
      <w:r w:rsidR="00E10307" w:rsidRPr="001005B7">
        <w:rPr>
          <w:rFonts w:cstheme="minorHAnsi"/>
        </w:rPr>
        <w:t>ς</w:t>
      </w:r>
      <w:r w:rsidR="00E10307" w:rsidRPr="001005B7">
        <w:t>:</w:t>
      </w:r>
      <w:r w:rsidR="006F247A" w:rsidRPr="001005B7">
        <w:t xml:space="preserve"> </w:t>
      </w:r>
      <w:r w:rsidR="00EA27E2" w:rsidRPr="001005B7">
        <w:t>“</w:t>
      </w:r>
      <w:r w:rsidR="00EA27E2" w:rsidRPr="001005B7">
        <w:rPr>
          <w:rFonts w:ascii="GentiumAlt" w:hAnsi="GentiumAlt" w:cs="GentiumAlt"/>
          <w:sz w:val="21"/>
          <w:szCs w:val="21"/>
        </w:rPr>
        <w:t>Where one might</w:t>
      </w:r>
      <w:r w:rsidR="00A732DB" w:rsidRPr="001005B7">
        <w:rPr>
          <w:rFonts w:ascii="GentiumAlt" w:hAnsi="GentiumAlt" w:cs="GentiumAlt"/>
          <w:sz w:val="21"/>
          <w:szCs w:val="21"/>
        </w:rPr>
        <w:t xml:space="preserve"> </w:t>
      </w:r>
      <w:r w:rsidR="00EA27E2" w:rsidRPr="001005B7">
        <w:rPr>
          <w:rFonts w:ascii="GentiumAlt" w:hAnsi="GentiumAlt" w:cs="GentiumAlt"/>
          <w:sz w:val="21"/>
          <w:szCs w:val="21"/>
        </w:rPr>
        <w:t>expect a ruler to ‘be clothed’ in royal garments, taking a lead, here he</w:t>
      </w:r>
      <w:r w:rsidR="00853C3D" w:rsidRPr="001005B7">
        <w:rPr>
          <w:rFonts w:ascii="GentiumAlt" w:hAnsi="GentiumAlt" w:cs="GentiumAlt"/>
          <w:sz w:val="21"/>
          <w:szCs w:val="21"/>
        </w:rPr>
        <w:t xml:space="preserve"> </w:t>
      </w:r>
      <w:r w:rsidR="00EA27E2" w:rsidRPr="001005B7">
        <w:rPr>
          <w:rFonts w:ascii="GentiumAlt" w:hAnsi="GentiumAlt" w:cs="GentiumAlt"/>
          <w:sz w:val="21"/>
          <w:szCs w:val="21"/>
        </w:rPr>
        <w:t>is clothed in ‘disappearance’”</w:t>
      </w:r>
      <w:r w:rsidR="00813382" w:rsidRPr="001005B7">
        <w:rPr>
          <w:rFonts w:ascii="GentiumAlt" w:hAnsi="GentiumAlt" w:cs="GentiumAlt"/>
          <w:sz w:val="21"/>
          <w:szCs w:val="21"/>
        </w:rPr>
        <w:t>(</w:t>
      </w:r>
      <w:r w:rsidR="00813382" w:rsidRPr="001005B7">
        <w:t>Olley, 283).</w:t>
      </w:r>
      <w:r w:rsidR="00A96AA8" w:rsidRPr="001005B7">
        <w:rPr>
          <w:rFonts w:ascii="GentiumAlt" w:hAnsi="GentiumAlt" w:cs="GentiumAlt"/>
          <w:sz w:val="21"/>
          <w:szCs w:val="21"/>
        </w:rPr>
        <w:t xml:space="preserve"> </w:t>
      </w:r>
      <w:r w:rsidR="007E6337" w:rsidRPr="001005B7">
        <w:t xml:space="preserve">The third </w:t>
      </w:r>
      <w:r w:rsidR="007A4AA7" w:rsidRPr="001005B7">
        <w:t>verbal expression about hands</w:t>
      </w:r>
      <w:r w:rsidR="007A4AA7" w:rsidRPr="001005B7">
        <w:rPr>
          <w:i/>
          <w:iCs/>
        </w:rPr>
        <w:t xml:space="preserve"> </w:t>
      </w:r>
      <w:r w:rsidR="007A4AA7" w:rsidRPr="001005B7">
        <w:t>that will</w:t>
      </w:r>
      <w:r w:rsidR="007A4AA7" w:rsidRPr="001005B7">
        <w:rPr>
          <w:i/>
          <w:iCs/>
        </w:rPr>
        <w:t xml:space="preserve"> </w:t>
      </w:r>
      <w:r w:rsidR="007A4AA7" w:rsidRPr="001005B7">
        <w:t xml:space="preserve">tremble </w:t>
      </w:r>
      <w:r w:rsidR="00EF45FD">
        <w:t>constitutes</w:t>
      </w:r>
      <w:r w:rsidR="007A4AA7" w:rsidRPr="001005B7">
        <w:t xml:space="preserve"> another</w:t>
      </w:r>
      <w:r w:rsidR="009C2F50" w:rsidRPr="001005B7">
        <w:t xml:space="preserve"> vivid restatement</w:t>
      </w:r>
      <w:r w:rsidR="007A433F" w:rsidRPr="001005B7">
        <w:t>, though the identity of</w:t>
      </w:r>
      <w:r w:rsidR="007A4AA7" w:rsidRPr="001005B7">
        <w:t xml:space="preserve"> </w:t>
      </w:r>
      <w:r w:rsidR="006F338A" w:rsidRPr="001005B7">
        <w:t>“</w:t>
      </w:r>
      <w:r w:rsidR="007A433F" w:rsidRPr="001005B7">
        <w:t>the</w:t>
      </w:r>
      <w:r w:rsidR="007A433F" w:rsidRPr="001005B7">
        <w:rPr>
          <w:i/>
          <w:iCs/>
        </w:rPr>
        <w:t xml:space="preserve"> </w:t>
      </w:r>
      <w:r w:rsidR="0079083E" w:rsidRPr="001005B7">
        <w:t>citizenry</w:t>
      </w:r>
      <w:r w:rsidR="006F338A" w:rsidRPr="001005B7">
        <w:t>”</w:t>
      </w:r>
      <w:r w:rsidR="0079083E" w:rsidRPr="001005B7">
        <w:rPr>
          <w:i/>
          <w:iCs/>
        </w:rPr>
        <w:t xml:space="preserve"> </w:t>
      </w:r>
      <w:r w:rsidR="007A433F" w:rsidRPr="001005B7">
        <w:t xml:space="preserve">is trickier. </w:t>
      </w:r>
      <w:r w:rsidR="00145B63" w:rsidRPr="001005B7">
        <w:t xml:space="preserve">The </w:t>
      </w:r>
      <w:r w:rsidR="00DE6B5E" w:rsidRPr="001005B7">
        <w:t xml:space="preserve">expression </w:t>
      </w:r>
      <w:r w:rsidR="0037506A" w:rsidRPr="001005B7">
        <w:rPr>
          <w:rFonts w:cstheme="minorHAnsi"/>
          <w:rtl/>
          <w:lang w:bidi="he-IL"/>
        </w:rPr>
        <w:t>עַם</w:t>
      </w:r>
      <w:r w:rsidR="002D3E84" w:rsidRPr="001005B7">
        <w:rPr>
          <w:rFonts w:cstheme="minorHAnsi"/>
          <w:rtl/>
          <w:lang w:bidi="he-IL"/>
        </w:rPr>
        <w:t xml:space="preserve"> </w:t>
      </w:r>
      <w:r w:rsidR="0037506A" w:rsidRPr="001005B7">
        <w:rPr>
          <w:rFonts w:cstheme="minorHAnsi"/>
          <w:rtl/>
          <w:lang w:bidi="he-IL"/>
        </w:rPr>
        <w:t>הָ</w:t>
      </w:r>
      <w:r w:rsidR="00CB4BBC" w:rsidRPr="001005B7">
        <w:rPr>
          <w:rFonts w:cstheme="minorHAnsi"/>
          <w:rtl/>
          <w:lang w:bidi="he-IL"/>
        </w:rPr>
        <w:t>אָרֶץ</w:t>
      </w:r>
      <w:r w:rsidR="00537264" w:rsidRPr="001005B7">
        <w:t xml:space="preserve"> </w:t>
      </w:r>
      <w:r w:rsidR="00DE6B5E" w:rsidRPr="001005B7">
        <w:t>is literally “the people of the country</w:t>
      </w:r>
      <w:r w:rsidR="002D3E84" w:rsidRPr="001005B7">
        <w:t>”</w:t>
      </w:r>
      <w:r w:rsidR="00DE6B5E" w:rsidRPr="001005B7">
        <w:t xml:space="preserve"> </w:t>
      </w:r>
      <w:r w:rsidR="002D3E84" w:rsidRPr="001005B7">
        <w:t xml:space="preserve">and the </w:t>
      </w:r>
      <w:r w:rsidR="00E1053E" w:rsidRPr="001005B7">
        <w:t xml:space="preserve">immediately </w:t>
      </w:r>
      <w:r w:rsidR="00145B63" w:rsidRPr="001005B7">
        <w:t xml:space="preserve">obvious interpretation </w:t>
      </w:r>
      <w:r w:rsidR="00BB4032" w:rsidRPr="001005B7">
        <w:t xml:space="preserve">of </w:t>
      </w:r>
      <w:r w:rsidR="009967A1">
        <w:t>it</w:t>
      </w:r>
      <w:r w:rsidR="00145B63" w:rsidRPr="001005B7">
        <w:t xml:space="preserve"> </w:t>
      </w:r>
      <w:r w:rsidR="00BB4032" w:rsidRPr="001005B7">
        <w:t xml:space="preserve">is that it </w:t>
      </w:r>
      <w:r w:rsidR="00145B63" w:rsidRPr="001005B7">
        <w:t xml:space="preserve">refers to </w:t>
      </w:r>
      <w:r w:rsidR="00ED1328" w:rsidRPr="001005B7">
        <w:t>Juda</w:t>
      </w:r>
      <w:r w:rsidR="009341C0" w:rsidRPr="001005B7">
        <w:t>h</w:t>
      </w:r>
      <w:r w:rsidR="00ED1328" w:rsidRPr="001005B7">
        <w:t>ites</w:t>
      </w:r>
      <w:r w:rsidR="00145B63" w:rsidRPr="001005B7">
        <w:t xml:space="preserve"> in general</w:t>
      </w:r>
      <w:r w:rsidR="00C05855" w:rsidRPr="001005B7">
        <w:t>. B</w:t>
      </w:r>
      <w:r w:rsidR="00145B63" w:rsidRPr="001005B7">
        <w:t xml:space="preserve">ut </w:t>
      </w:r>
      <w:r w:rsidR="00225685" w:rsidRPr="001005B7">
        <w:t xml:space="preserve">in some contexts </w:t>
      </w:r>
      <w:r w:rsidR="002E0C9A" w:rsidRPr="001005B7">
        <w:t>it looks more like a term fo</w:t>
      </w:r>
      <w:r w:rsidR="00DF6723" w:rsidRPr="001005B7">
        <w:t>r</w:t>
      </w:r>
      <w:r w:rsidR="00145B63" w:rsidRPr="001005B7">
        <w:t xml:space="preserve"> </w:t>
      </w:r>
      <w:r w:rsidR="00DF6723" w:rsidRPr="001005B7">
        <w:t xml:space="preserve">something like </w:t>
      </w:r>
      <w:r w:rsidR="00317884" w:rsidRPr="001005B7">
        <w:t>landowners</w:t>
      </w:r>
      <w:r w:rsidR="002F3069" w:rsidRPr="001005B7">
        <w:t>,</w:t>
      </w:r>
      <w:r w:rsidR="00833F2D" w:rsidRPr="001005B7">
        <w:t xml:space="preserve"> heads of households,</w:t>
      </w:r>
      <w:r w:rsidR="00C822F0" w:rsidRPr="001005B7">
        <w:rPr>
          <w:rStyle w:val="FootnoteReference"/>
        </w:rPr>
        <w:footnoteReference w:id="224"/>
      </w:r>
      <w:r w:rsidR="001F092A" w:rsidRPr="001005B7">
        <w:t xml:space="preserve"> </w:t>
      </w:r>
      <w:r w:rsidR="002F3069" w:rsidRPr="001005B7">
        <w:t xml:space="preserve">and that understanding mostly works for Ezekiel. </w:t>
      </w:r>
      <w:r w:rsidR="00DF6723" w:rsidRPr="001005B7">
        <w:t>It</w:t>
      </w:r>
      <w:r w:rsidR="001F092A" w:rsidRPr="001005B7">
        <w:t xml:space="preserve"> would fit with </w:t>
      </w:r>
      <w:r w:rsidR="0090106D" w:rsidRPr="001005B7">
        <w:t>Yahweh’s closing dec</w:t>
      </w:r>
      <w:r w:rsidR="009C66BB" w:rsidRPr="001005B7">
        <w:t xml:space="preserve">laration. </w:t>
      </w:r>
      <w:r w:rsidR="00FB40BA" w:rsidRPr="001005B7">
        <w:t>“</w:t>
      </w:r>
      <w:r w:rsidR="009C66BB" w:rsidRPr="001005B7">
        <w:t>Because</w:t>
      </w:r>
      <w:r w:rsidR="009C66BB" w:rsidRPr="001005B7">
        <w:rPr>
          <w:i/>
          <w:iCs/>
        </w:rPr>
        <w:t xml:space="preserve"> </w:t>
      </w:r>
      <w:r w:rsidR="009C66BB" w:rsidRPr="001005B7">
        <w:t>of</w:t>
      </w:r>
      <w:r w:rsidR="009C66BB" w:rsidRPr="001005B7">
        <w:rPr>
          <w:i/>
          <w:iCs/>
        </w:rPr>
        <w:t xml:space="preserve"> </w:t>
      </w:r>
      <w:r w:rsidR="009C66BB" w:rsidRPr="001005B7">
        <w:t>their</w:t>
      </w:r>
      <w:r w:rsidR="00D52C52" w:rsidRPr="001005B7">
        <w:rPr>
          <w:i/>
          <w:iCs/>
        </w:rPr>
        <w:t xml:space="preserve"> </w:t>
      </w:r>
      <w:r w:rsidR="00D52C52" w:rsidRPr="001005B7">
        <w:t>path</w:t>
      </w:r>
      <w:r w:rsidR="009C66BB" w:rsidRPr="001005B7">
        <w:t>s</w:t>
      </w:r>
      <w:r w:rsidR="00EC6FEE" w:rsidRPr="001005B7">
        <w:t>,</w:t>
      </w:r>
      <w:r w:rsidR="00FB40BA" w:rsidRPr="001005B7">
        <w:t>”</w:t>
      </w:r>
      <w:r w:rsidR="00EC6FEE" w:rsidRPr="001005B7">
        <w:t xml:space="preserve"> </w:t>
      </w:r>
      <w:r w:rsidR="00F7011A" w:rsidRPr="001005B7">
        <w:t xml:space="preserve">the </w:t>
      </w:r>
      <w:r w:rsidR="0025523B" w:rsidRPr="001005B7">
        <w:t>roads</w:t>
      </w:r>
      <w:r w:rsidR="00F7011A" w:rsidRPr="001005B7">
        <w:t xml:space="preserve"> they have been walking, </w:t>
      </w:r>
      <w:r w:rsidR="00BE32BA" w:rsidRPr="001005B7">
        <w:t>“</w:t>
      </w:r>
      <w:r w:rsidR="009C66BB" w:rsidRPr="001005B7">
        <w:t>I</w:t>
      </w:r>
      <w:r w:rsidR="009C66BB" w:rsidRPr="001005B7">
        <w:rPr>
          <w:i/>
          <w:iCs/>
        </w:rPr>
        <w:t xml:space="preserve"> </w:t>
      </w:r>
      <w:r w:rsidR="009C66BB" w:rsidRPr="001005B7">
        <w:t>will</w:t>
      </w:r>
      <w:r w:rsidR="009C66BB" w:rsidRPr="001005B7">
        <w:rPr>
          <w:i/>
          <w:iCs/>
        </w:rPr>
        <w:t xml:space="preserve"> </w:t>
      </w:r>
      <w:r w:rsidR="009C66BB" w:rsidRPr="001005B7">
        <w:t>deal</w:t>
      </w:r>
      <w:r w:rsidR="009C66BB" w:rsidRPr="001005B7">
        <w:rPr>
          <w:i/>
          <w:iCs/>
        </w:rPr>
        <w:t xml:space="preserve"> </w:t>
      </w:r>
      <w:r w:rsidR="009C66BB" w:rsidRPr="001005B7">
        <w:t>with</w:t>
      </w:r>
      <w:r w:rsidR="009C66BB" w:rsidRPr="001005B7">
        <w:rPr>
          <w:i/>
          <w:iCs/>
        </w:rPr>
        <w:t xml:space="preserve"> </w:t>
      </w:r>
      <w:r w:rsidR="009C66BB" w:rsidRPr="001005B7">
        <w:t>them</w:t>
      </w:r>
      <w:r w:rsidR="00C3091F" w:rsidRPr="001005B7">
        <w:t>,</w:t>
      </w:r>
      <w:r w:rsidR="00BE32BA" w:rsidRPr="001005B7">
        <w:t>”</w:t>
      </w:r>
      <w:r w:rsidR="000E78BD" w:rsidRPr="001005B7">
        <w:t xml:space="preserve"> could apply to everyone. But </w:t>
      </w:r>
      <w:r w:rsidR="001E427C" w:rsidRPr="001005B7">
        <w:t>“</w:t>
      </w:r>
      <w:r w:rsidR="000E78BD" w:rsidRPr="001005B7">
        <w:t>their</w:t>
      </w:r>
      <w:r w:rsidR="000E78BD" w:rsidRPr="001005B7">
        <w:rPr>
          <w:i/>
          <w:iCs/>
        </w:rPr>
        <w:t xml:space="preserve"> </w:t>
      </w:r>
      <w:r w:rsidR="000E78BD" w:rsidRPr="001005B7">
        <w:t>rulings</w:t>
      </w:r>
      <w:r w:rsidR="001E427C" w:rsidRPr="001005B7">
        <w:t>”</w:t>
      </w:r>
      <w:r w:rsidR="000E78BD" w:rsidRPr="001005B7">
        <w:t xml:space="preserve"> </w:t>
      </w:r>
      <w:r w:rsidR="00881FC3" w:rsidRPr="001005B7">
        <w:t>are</w:t>
      </w:r>
      <w:r w:rsidR="000E78BD" w:rsidRPr="001005B7">
        <w:t xml:space="preserve"> the decision</w:t>
      </w:r>
      <w:r w:rsidR="00881FC3" w:rsidRPr="001005B7">
        <w:t>s of decision</w:t>
      </w:r>
      <w:r w:rsidR="000E78BD" w:rsidRPr="001005B7">
        <w:t>-makers</w:t>
      </w:r>
      <w:r w:rsidR="00E577EE" w:rsidRPr="001005B7">
        <w:t>, and Yahweh’s decision is to treat them as toughly as they treat their people.</w:t>
      </w:r>
      <w:r w:rsidR="002A7C16" w:rsidRPr="001005B7">
        <w:t xml:space="preserve"> </w:t>
      </w:r>
      <w:r w:rsidR="003E3557" w:rsidRPr="001005B7">
        <w:t xml:space="preserve">Thus, </w:t>
      </w:r>
      <w:r w:rsidR="001E427C" w:rsidRPr="001005B7">
        <w:t>“I</w:t>
      </w:r>
      <w:r w:rsidR="00A732DB" w:rsidRPr="001005B7">
        <w:rPr>
          <w:i/>
          <w:iCs/>
        </w:rPr>
        <w:t xml:space="preserve"> </w:t>
      </w:r>
      <w:r w:rsidR="00A732DB" w:rsidRPr="001005B7">
        <w:t>will</w:t>
      </w:r>
      <w:r w:rsidR="00A732DB" w:rsidRPr="001005B7">
        <w:rPr>
          <w:i/>
          <w:iCs/>
        </w:rPr>
        <w:t xml:space="preserve"> </w:t>
      </w:r>
      <w:r w:rsidR="00A732DB" w:rsidRPr="001005B7">
        <w:t>rule</w:t>
      </w:r>
      <w:r w:rsidR="00A732DB" w:rsidRPr="001005B7">
        <w:rPr>
          <w:i/>
          <w:iCs/>
        </w:rPr>
        <w:t xml:space="preserve"> </w:t>
      </w:r>
      <w:r w:rsidR="00A732DB" w:rsidRPr="001005B7">
        <w:t>in</w:t>
      </w:r>
      <w:r w:rsidR="00A732DB" w:rsidRPr="001005B7">
        <w:rPr>
          <w:i/>
          <w:iCs/>
        </w:rPr>
        <w:t xml:space="preserve"> </w:t>
      </w:r>
      <w:r w:rsidR="00A732DB" w:rsidRPr="001005B7">
        <w:t>accordance</w:t>
      </w:r>
      <w:r w:rsidR="00A732DB" w:rsidRPr="001005B7">
        <w:rPr>
          <w:i/>
          <w:iCs/>
        </w:rPr>
        <w:t xml:space="preserve"> </w:t>
      </w:r>
      <w:r w:rsidR="00A732DB" w:rsidRPr="001005B7">
        <w:t>with</w:t>
      </w:r>
      <w:r w:rsidR="00A732DB" w:rsidRPr="001005B7">
        <w:rPr>
          <w:i/>
          <w:iCs/>
        </w:rPr>
        <w:t xml:space="preserve"> </w:t>
      </w:r>
      <w:r w:rsidR="00A732DB" w:rsidRPr="001005B7">
        <w:t>your</w:t>
      </w:r>
      <w:r w:rsidR="00A732DB" w:rsidRPr="001005B7">
        <w:rPr>
          <w:i/>
          <w:iCs/>
        </w:rPr>
        <w:t xml:space="preserve"> </w:t>
      </w:r>
      <w:r w:rsidR="0025523B" w:rsidRPr="001005B7">
        <w:t>path</w:t>
      </w:r>
      <w:r w:rsidR="00A732DB" w:rsidRPr="001005B7">
        <w:t>s</w:t>
      </w:r>
      <w:r w:rsidR="001E427C" w:rsidRPr="001005B7">
        <w:t>”</w:t>
      </w:r>
      <w:r w:rsidR="00FE6E12" w:rsidRPr="001005B7">
        <w:t xml:space="preserve"> is where the chapter almost started, and </w:t>
      </w:r>
      <w:r w:rsidR="0048558F" w:rsidRPr="001005B7">
        <w:t>“</w:t>
      </w:r>
      <w:r w:rsidR="00BB4768" w:rsidRPr="001005B7">
        <w:t xml:space="preserve">their </w:t>
      </w:r>
      <w:r w:rsidR="0025523B" w:rsidRPr="001005B7">
        <w:t>path</w:t>
      </w:r>
      <w:r w:rsidR="00BB4768" w:rsidRPr="001005B7">
        <w:t>s</w:t>
      </w:r>
      <w:r w:rsidR="0048558F" w:rsidRPr="001005B7">
        <w:t>”</w:t>
      </w:r>
      <w:r w:rsidR="00BB4768" w:rsidRPr="001005B7">
        <w:t xml:space="preserve"> </w:t>
      </w:r>
      <w:r w:rsidR="00AA4804" w:rsidRPr="001005B7">
        <w:t xml:space="preserve">and </w:t>
      </w:r>
      <w:r w:rsidR="0048558F" w:rsidRPr="001005B7">
        <w:t>“</w:t>
      </w:r>
      <w:r w:rsidR="00BB4768" w:rsidRPr="001005B7">
        <w:t>their rulings</w:t>
      </w:r>
      <w:r w:rsidR="0048558F" w:rsidRPr="001005B7">
        <w:t>”</w:t>
      </w:r>
      <w:r w:rsidR="00AA4804" w:rsidRPr="001005B7">
        <w:t xml:space="preserve"> is almost where it </w:t>
      </w:r>
      <w:r w:rsidR="0048558F" w:rsidRPr="001005B7">
        <w:t>ends</w:t>
      </w:r>
      <w:r w:rsidR="00207A05" w:rsidRPr="001005B7">
        <w:t xml:space="preserve"> (Olley, 283).</w:t>
      </w:r>
      <w:r w:rsidR="003E3557" w:rsidRPr="001005B7">
        <w:t xml:space="preserve"> </w:t>
      </w:r>
      <w:r w:rsidR="00EF5A83" w:rsidRPr="001005B7">
        <w:t>N</w:t>
      </w:r>
      <w:r w:rsidR="003E3557" w:rsidRPr="001005B7">
        <w:t>ecessarily it actually finishes with</w:t>
      </w:r>
      <w:r w:rsidR="002A7C16" w:rsidRPr="001005B7">
        <w:rPr>
          <w:i/>
          <w:iCs/>
        </w:rPr>
        <w:t xml:space="preserve"> </w:t>
      </w:r>
      <w:r w:rsidR="0048558F" w:rsidRPr="001005B7">
        <w:rPr>
          <w:i/>
          <w:iCs/>
        </w:rPr>
        <w:t>“</w:t>
      </w:r>
      <w:r w:rsidR="002A7C16" w:rsidRPr="001005B7">
        <w:t>they</w:t>
      </w:r>
      <w:r w:rsidR="002A7C16" w:rsidRPr="001005B7">
        <w:rPr>
          <w:i/>
          <w:iCs/>
        </w:rPr>
        <w:t xml:space="preserve"> </w:t>
      </w:r>
      <w:r w:rsidR="002A7C16" w:rsidRPr="001005B7">
        <w:t>will</w:t>
      </w:r>
      <w:r w:rsidR="002A7C16" w:rsidRPr="001005B7">
        <w:rPr>
          <w:i/>
          <w:iCs/>
        </w:rPr>
        <w:t xml:space="preserve"> </w:t>
      </w:r>
      <w:r w:rsidR="002A7C16" w:rsidRPr="001005B7">
        <w:t>acknowledge</w:t>
      </w:r>
      <w:r w:rsidR="002A7C16" w:rsidRPr="001005B7">
        <w:rPr>
          <w:i/>
          <w:iCs/>
        </w:rPr>
        <w:t xml:space="preserve"> </w:t>
      </w:r>
      <w:r w:rsidR="002A7C16" w:rsidRPr="001005B7">
        <w:t>that</w:t>
      </w:r>
      <w:r w:rsidR="0048558F" w:rsidRPr="001005B7">
        <w:t xml:space="preserve"> I</w:t>
      </w:r>
      <w:r w:rsidR="002A7C16" w:rsidRPr="001005B7">
        <w:rPr>
          <w:i/>
          <w:iCs/>
        </w:rPr>
        <w:t xml:space="preserve"> </w:t>
      </w:r>
      <w:r w:rsidR="002A7C16" w:rsidRPr="001005B7">
        <w:t>am</w:t>
      </w:r>
      <w:r w:rsidR="002A7C16" w:rsidRPr="001005B7">
        <w:rPr>
          <w:i/>
          <w:iCs/>
        </w:rPr>
        <w:t xml:space="preserve"> </w:t>
      </w:r>
      <w:r w:rsidR="002A7C16" w:rsidRPr="001005B7">
        <w:t>Yahweh</w:t>
      </w:r>
      <w:r w:rsidR="00210583" w:rsidRPr="001005B7">
        <w:t>.</w:t>
      </w:r>
      <w:r w:rsidR="0048558F" w:rsidRPr="001005B7">
        <w:t>”</w:t>
      </w:r>
      <w:r w:rsidR="00210583" w:rsidRPr="001005B7">
        <w:t xml:space="preserve"> I</w:t>
      </w:r>
      <w:r w:rsidR="00455B18" w:rsidRPr="001005B7">
        <w:t>t applies</w:t>
      </w:r>
      <w:r w:rsidR="00455B18" w:rsidRPr="001005B7">
        <w:rPr>
          <w:i/>
          <w:iCs/>
        </w:rPr>
        <w:t xml:space="preserve"> </w:t>
      </w:r>
      <w:r w:rsidR="00744996" w:rsidRPr="001005B7">
        <w:t xml:space="preserve">not only </w:t>
      </w:r>
      <w:r w:rsidR="00455B18" w:rsidRPr="001005B7">
        <w:t xml:space="preserve">to </w:t>
      </w:r>
      <w:r w:rsidR="00744996" w:rsidRPr="001005B7">
        <w:t xml:space="preserve">the people in </w:t>
      </w:r>
      <w:proofErr w:type="spellStart"/>
      <w:r w:rsidR="00744996" w:rsidRPr="001005B7">
        <w:t>Kebar</w:t>
      </w:r>
      <w:proofErr w:type="spellEnd"/>
      <w:r w:rsidR="00744996" w:rsidRPr="001005B7">
        <w:t xml:space="preserve"> but </w:t>
      </w:r>
      <w:r w:rsidR="008A51F2" w:rsidRPr="001005B7">
        <w:t xml:space="preserve">also </w:t>
      </w:r>
      <w:r w:rsidR="00455B18" w:rsidRPr="001005B7">
        <w:t xml:space="preserve">to </w:t>
      </w:r>
      <w:r w:rsidR="00744996" w:rsidRPr="001005B7">
        <w:t>the people in Jerusalem.</w:t>
      </w:r>
      <w:r w:rsidR="002A7C16" w:rsidRPr="001005B7">
        <w:t xml:space="preserve"> </w:t>
      </w:r>
      <w:r w:rsidR="000F7E5F" w:rsidRPr="001005B7">
        <w:t>Yahweh</w:t>
      </w:r>
      <w:r w:rsidR="002A7C16" w:rsidRPr="001005B7">
        <w:t xml:space="preserve"> ha</w:t>
      </w:r>
      <w:r w:rsidR="000F7E5F" w:rsidRPr="001005B7">
        <w:t>s</w:t>
      </w:r>
      <w:r w:rsidR="002A7C16" w:rsidRPr="001005B7">
        <w:t xml:space="preserve"> the power and the will to do </w:t>
      </w:r>
      <w:r w:rsidR="000F7E5F" w:rsidRPr="001005B7">
        <w:t>as he says</w:t>
      </w:r>
      <w:r w:rsidR="002A7C16" w:rsidRPr="001005B7">
        <w:t>.</w:t>
      </w:r>
      <w:r w:rsidR="009C66BB" w:rsidRPr="001005B7">
        <w:rPr>
          <w:i/>
          <w:iCs/>
        </w:rPr>
        <w:t xml:space="preserve"> </w:t>
      </w:r>
    </w:p>
    <w:p w14:paraId="5D69E403" w14:textId="77777777" w:rsidR="008A320E" w:rsidRPr="001005B7" w:rsidRDefault="008A320E" w:rsidP="00493833">
      <w:pPr>
        <w:pStyle w:val="Heading3"/>
      </w:pPr>
      <w:r w:rsidRPr="001005B7">
        <w:t xml:space="preserve">Biblical Theology Comments </w:t>
      </w:r>
    </w:p>
    <w:p w14:paraId="374AEE39" w14:textId="65C46B03" w:rsidR="008F5844" w:rsidRPr="001005B7" w:rsidRDefault="00C37B58" w:rsidP="00AC70A4">
      <w:r w:rsidRPr="001005B7">
        <w:t xml:space="preserve">The Scriptures as a whole, and </w:t>
      </w:r>
      <w:r w:rsidR="00A004BD" w:rsidRPr="001005B7">
        <w:t>Ezekiel’s message</w:t>
      </w:r>
      <w:r w:rsidRPr="001005B7">
        <w:t xml:space="preserve"> in particular,</w:t>
      </w:r>
      <w:r w:rsidR="00A004BD" w:rsidRPr="001005B7">
        <w:t xml:space="preserve"> presuppose that there are </w:t>
      </w:r>
      <w:r w:rsidR="006A541F" w:rsidRPr="001005B7">
        <w:t xml:space="preserve">various ways of describing the </w:t>
      </w:r>
      <w:r w:rsidR="00977DE5" w:rsidRPr="001005B7">
        <w:t>causality</w:t>
      </w:r>
      <w:r w:rsidR="006A541F" w:rsidRPr="001005B7">
        <w:t xml:space="preserve"> whereby things happen in the world</w:t>
      </w:r>
      <w:r w:rsidR="008725A9" w:rsidRPr="001005B7">
        <w:t xml:space="preserve"> and </w:t>
      </w:r>
      <w:r w:rsidR="00455B18" w:rsidRPr="001005B7">
        <w:t xml:space="preserve">of </w:t>
      </w:r>
      <w:r w:rsidR="00CE74E4" w:rsidRPr="001005B7">
        <w:t xml:space="preserve">describing </w:t>
      </w:r>
      <w:r w:rsidR="008725A9" w:rsidRPr="001005B7">
        <w:t xml:space="preserve">God’s involvement in </w:t>
      </w:r>
      <w:r w:rsidR="00CE74E4" w:rsidRPr="001005B7">
        <w:t>the world</w:t>
      </w:r>
      <w:r w:rsidR="007C5B9D" w:rsidRPr="001005B7">
        <w:t>. In describing</w:t>
      </w:r>
      <w:r w:rsidR="006A541F" w:rsidRPr="001005B7">
        <w:t xml:space="preserve"> </w:t>
      </w:r>
      <w:r w:rsidR="007C5B9D" w:rsidRPr="001005B7">
        <w:t xml:space="preserve">human actions, </w:t>
      </w:r>
      <w:r w:rsidR="006A541F" w:rsidRPr="001005B7">
        <w:t>I can say</w:t>
      </w:r>
      <w:r w:rsidR="007C5B9D" w:rsidRPr="001005B7">
        <w:t xml:space="preserve"> (for instance),</w:t>
      </w:r>
      <w:r w:rsidR="006A541F" w:rsidRPr="001005B7">
        <w:t xml:space="preserve"> </w:t>
      </w:r>
      <w:r w:rsidR="00324F3D">
        <w:t>“</w:t>
      </w:r>
      <w:r w:rsidR="006A541F" w:rsidRPr="001005B7">
        <w:t>I decided to write this commentary</w:t>
      </w:r>
      <w:r w:rsidR="00321A6D" w:rsidRPr="001005B7">
        <w:t>,</w:t>
      </w:r>
      <w:r w:rsidR="00780646" w:rsidRPr="001005B7">
        <w:t>” or</w:t>
      </w:r>
      <w:r w:rsidR="006A541F" w:rsidRPr="001005B7">
        <w:t xml:space="preserve"> “my hormones </w:t>
      </w:r>
      <w:r w:rsidR="00836D1B" w:rsidRPr="001005B7">
        <w:t>made</w:t>
      </w:r>
      <w:r w:rsidR="006A541F" w:rsidRPr="001005B7">
        <w:t xml:space="preserve"> me do it” </w:t>
      </w:r>
      <w:r w:rsidR="00780646" w:rsidRPr="001005B7">
        <w:t>or</w:t>
      </w:r>
      <w:r w:rsidR="006A541F" w:rsidRPr="001005B7">
        <w:t xml:space="preserve"> </w:t>
      </w:r>
      <w:r w:rsidR="006D3A3A" w:rsidRPr="001005B7">
        <w:t>“</w:t>
      </w:r>
      <w:r w:rsidR="00780646" w:rsidRPr="001005B7">
        <w:t>m</w:t>
      </w:r>
      <w:r w:rsidR="006D3A3A" w:rsidRPr="001005B7">
        <w:t xml:space="preserve">y upbringing </w:t>
      </w:r>
      <w:r w:rsidR="00CF6B53" w:rsidRPr="001005B7">
        <w:t>made it happen</w:t>
      </w:r>
      <w:r w:rsidR="00780646" w:rsidRPr="001005B7">
        <w:t>,</w:t>
      </w:r>
      <w:r w:rsidR="00CF6B53" w:rsidRPr="001005B7">
        <w:t xml:space="preserve">” </w:t>
      </w:r>
      <w:r w:rsidR="00780646" w:rsidRPr="001005B7">
        <w:t>or</w:t>
      </w:r>
      <w:r w:rsidR="006D3A3A" w:rsidRPr="001005B7">
        <w:t xml:space="preserve"> </w:t>
      </w:r>
      <w:r w:rsidR="007A1613" w:rsidRPr="001005B7">
        <w:t>“</w:t>
      </w:r>
      <w:r w:rsidR="006D3A3A" w:rsidRPr="001005B7">
        <w:t>the working of the educational system in</w:t>
      </w:r>
      <w:r w:rsidR="00CF6B53" w:rsidRPr="001005B7">
        <w:t xml:space="preserve"> my culture made it happen</w:t>
      </w:r>
      <w:r w:rsidR="00780646" w:rsidRPr="001005B7">
        <w:t>,</w:t>
      </w:r>
      <w:r w:rsidR="00CF6B53" w:rsidRPr="001005B7">
        <w:t xml:space="preserve">” </w:t>
      </w:r>
      <w:r w:rsidR="00780646" w:rsidRPr="001005B7">
        <w:t>or</w:t>
      </w:r>
      <w:r w:rsidR="00762033" w:rsidRPr="001005B7">
        <w:t xml:space="preserve"> “God led me to do it.” </w:t>
      </w:r>
      <w:r w:rsidR="00CF6B53" w:rsidRPr="001005B7">
        <w:t>All may be true</w:t>
      </w:r>
      <w:r w:rsidR="00A76825" w:rsidRPr="001005B7">
        <w:t xml:space="preserve"> and illuminating</w:t>
      </w:r>
      <w:r w:rsidR="00210583" w:rsidRPr="001005B7">
        <w:t>. N</w:t>
      </w:r>
      <w:r w:rsidR="00A76825" w:rsidRPr="001005B7">
        <w:t xml:space="preserve">one is complete on </w:t>
      </w:r>
      <w:r w:rsidR="00956846" w:rsidRPr="001005B7">
        <w:t>i</w:t>
      </w:r>
      <w:r w:rsidR="00A76825" w:rsidRPr="001005B7">
        <w:t>ts own</w:t>
      </w:r>
      <w:r w:rsidR="00956846" w:rsidRPr="001005B7">
        <w:t xml:space="preserve">. </w:t>
      </w:r>
      <w:r w:rsidR="00B97D4C" w:rsidRPr="001005B7">
        <w:t>The account of the building of the wilderness sanctuary in Exodus 25</w:t>
      </w:r>
      <w:r w:rsidR="00F46900" w:rsidRPr="001005B7">
        <w:t>–</w:t>
      </w:r>
      <w:r w:rsidR="00B97D4C" w:rsidRPr="001005B7">
        <w:t>40 describes Yahweh’s desire, leadership initiatives, and ordinary people’s generosity combin</w:t>
      </w:r>
      <w:r w:rsidR="00864005">
        <w:t>ing</w:t>
      </w:r>
      <w:r w:rsidR="00B97D4C" w:rsidRPr="001005B7">
        <w:t xml:space="preserve"> to bring a sanctuary into being. In Jerusalem, socio-economic policies that benefit the powerful</w:t>
      </w:r>
      <w:r w:rsidR="00876690" w:rsidRPr="001005B7">
        <w:t xml:space="preserve"> go together with</w:t>
      </w:r>
      <w:r w:rsidR="00B97D4C" w:rsidRPr="001005B7">
        <w:t xml:space="preserve"> religious initiatives that issue in impressive aids to worship. Ezekiel is concerned both for worship that honors Yahweh and for socio-economic policies that honor his people. </w:t>
      </w:r>
      <w:r w:rsidR="00AC70A4" w:rsidRPr="001005B7">
        <w:t>And</w:t>
      </w:r>
      <w:r w:rsidR="004F202F" w:rsidRPr="001005B7">
        <w:t xml:space="preserve"> </w:t>
      </w:r>
      <w:r w:rsidR="00956846" w:rsidRPr="001005B7">
        <w:t xml:space="preserve">Ezek 7 </w:t>
      </w:r>
      <w:r w:rsidR="00A37817" w:rsidRPr="001005B7">
        <w:t>can describe events that are going to happen in various ways.</w:t>
      </w:r>
    </w:p>
    <w:p w14:paraId="6ABC3D49" w14:textId="77777777" w:rsidR="002D62EA" w:rsidRPr="001005B7" w:rsidRDefault="002D62EA" w:rsidP="00C74939"/>
    <w:p w14:paraId="4575D7BF" w14:textId="297118A4" w:rsidR="002D62EA" w:rsidRPr="001005B7" w:rsidRDefault="00D47436" w:rsidP="005B6AB2">
      <w:pPr>
        <w:pStyle w:val="Bullet"/>
      </w:pPr>
      <w:r w:rsidRPr="001005B7">
        <w:t>The end is coming</w:t>
      </w:r>
      <w:r w:rsidR="00A8182D" w:rsidRPr="001005B7">
        <w:t>.</w:t>
      </w:r>
    </w:p>
    <w:p w14:paraId="302E9372" w14:textId="6EF109B2" w:rsidR="00D47436" w:rsidRPr="001005B7" w:rsidRDefault="00D47436" w:rsidP="005B6AB2">
      <w:pPr>
        <w:pStyle w:val="Bullet"/>
      </w:pPr>
      <w:r w:rsidRPr="001005B7">
        <w:t>I will send off my anger.</w:t>
      </w:r>
    </w:p>
    <w:p w14:paraId="4D045B53" w14:textId="1FDF9C06" w:rsidR="00897A33" w:rsidRPr="001005B7" w:rsidRDefault="00897A33" w:rsidP="005B6AB2">
      <w:pPr>
        <w:pStyle w:val="Bullet"/>
      </w:pPr>
      <w:r w:rsidRPr="001005B7">
        <w:t xml:space="preserve">I will </w:t>
      </w:r>
      <w:r w:rsidR="00A57898" w:rsidRPr="001005B7">
        <w:t xml:space="preserve">lay </w:t>
      </w:r>
      <w:r w:rsidRPr="001005B7">
        <w:t>your outrages upon you.</w:t>
      </w:r>
    </w:p>
    <w:p w14:paraId="550E59D2" w14:textId="72CB25A4" w:rsidR="00A8182D" w:rsidRPr="001005B7" w:rsidRDefault="00A8182D" w:rsidP="005B6AB2">
      <w:pPr>
        <w:pStyle w:val="Bullet"/>
      </w:pPr>
      <w:r w:rsidRPr="001005B7">
        <w:t>The end is waking up for you.</w:t>
      </w:r>
    </w:p>
    <w:p w14:paraId="0E5BD406" w14:textId="1EACA264" w:rsidR="001C790D" w:rsidRPr="001005B7" w:rsidRDefault="001C790D" w:rsidP="005B6AB2">
      <w:pPr>
        <w:pStyle w:val="Bullet"/>
      </w:pPr>
      <w:r w:rsidRPr="001005B7">
        <w:t xml:space="preserve">Your outrages </w:t>
      </w:r>
      <w:r w:rsidR="00E40D3D">
        <w:t>happen</w:t>
      </w:r>
      <w:r w:rsidRPr="001005B7">
        <w:t xml:space="preserve"> within you.</w:t>
      </w:r>
    </w:p>
    <w:p w14:paraId="056437C6" w14:textId="59E9ADAD" w:rsidR="000D0898" w:rsidRPr="001005B7" w:rsidRDefault="000D0898" w:rsidP="005B6AB2">
      <w:pPr>
        <w:pStyle w:val="Bullet"/>
      </w:pPr>
      <w:r w:rsidRPr="001005B7">
        <w:t>The scept</w:t>
      </w:r>
      <w:r w:rsidR="00BB7DE4" w:rsidRPr="001005B7">
        <w:t>er</w:t>
      </w:r>
      <w:r w:rsidRPr="001005B7">
        <w:t xml:space="preserve"> has blossomed, arrogance has budded</w:t>
      </w:r>
      <w:r w:rsidR="00825AB0" w:rsidRPr="001005B7">
        <w:t>, violence has risen up.</w:t>
      </w:r>
    </w:p>
    <w:p w14:paraId="0183EDBC" w14:textId="16487437" w:rsidR="008D045E" w:rsidRPr="001005B7" w:rsidRDefault="008D045E" w:rsidP="005B6AB2">
      <w:pPr>
        <w:pStyle w:val="Bullet"/>
      </w:pPr>
      <w:r w:rsidRPr="001005B7">
        <w:t>Wrath applies to their entire horde.</w:t>
      </w:r>
    </w:p>
    <w:p w14:paraId="6C879B2F" w14:textId="526D6417" w:rsidR="00FF5590" w:rsidRPr="001005B7" w:rsidRDefault="00FF5590" w:rsidP="005B6AB2">
      <w:pPr>
        <w:pStyle w:val="Bullet"/>
      </w:pPr>
      <w:r w:rsidRPr="001005B7">
        <w:t>Their way</w:t>
      </w:r>
      <w:r w:rsidR="00E173E4" w:rsidRPr="001005B7">
        <w:t>w</w:t>
      </w:r>
      <w:r w:rsidRPr="001005B7">
        <w:t xml:space="preserve">ardness was </w:t>
      </w:r>
      <w:r w:rsidR="00A6224B" w:rsidRPr="001005B7">
        <w:t>their downfall</w:t>
      </w:r>
      <w:r w:rsidRPr="001005B7">
        <w:t>.</w:t>
      </w:r>
    </w:p>
    <w:p w14:paraId="6DC56D75" w14:textId="77777777" w:rsidR="008F5844" w:rsidRPr="001005B7" w:rsidRDefault="008F5844" w:rsidP="00080BD5"/>
    <w:p w14:paraId="3C6DA456" w14:textId="660746A7" w:rsidR="00987601" w:rsidRPr="001005B7" w:rsidRDefault="00145E81" w:rsidP="008115E4">
      <w:pPr>
        <w:ind w:firstLine="0"/>
      </w:pPr>
      <w:r w:rsidRPr="001005B7">
        <w:t xml:space="preserve">An understanding of events in the world needs to work with the inherent links between </w:t>
      </w:r>
      <w:r w:rsidR="004E3CD9" w:rsidRPr="001005B7">
        <w:t xml:space="preserve">human </w:t>
      </w:r>
      <w:r w:rsidRPr="001005B7">
        <w:t>acts and conse</w:t>
      </w:r>
      <w:r w:rsidR="004E3CD9" w:rsidRPr="001005B7">
        <w:t>q</w:t>
      </w:r>
      <w:r w:rsidRPr="001005B7">
        <w:t>u</w:t>
      </w:r>
      <w:r w:rsidR="004E3CD9" w:rsidRPr="001005B7">
        <w:t>e</w:t>
      </w:r>
      <w:r w:rsidRPr="001005B7">
        <w:t>nces</w:t>
      </w:r>
      <w:r w:rsidR="004E3CD9" w:rsidRPr="001005B7">
        <w:t xml:space="preserve"> and also between God’s decisions and events. “Sins boomerang, bringing doom upon the perpetrators”</w:t>
      </w:r>
      <w:r w:rsidR="00C813EA" w:rsidRPr="001005B7">
        <w:t xml:space="preserve"> (Brownlee, 106</w:t>
      </w:r>
      <w:r w:rsidR="00C37B58" w:rsidRPr="001005B7">
        <w:t>).</w:t>
      </w:r>
      <w:r w:rsidR="00264F50" w:rsidRPr="001005B7">
        <w:t xml:space="preserve"> </w:t>
      </w:r>
      <w:r w:rsidR="0030622D" w:rsidRPr="001005B7">
        <w:t>I</w:t>
      </w:r>
      <w:r w:rsidR="00074619" w:rsidRPr="001005B7">
        <w:t>n addition, God is involved</w:t>
      </w:r>
      <w:r w:rsidR="003321B6" w:rsidRPr="001005B7">
        <w:t>, and involved</w:t>
      </w:r>
      <w:r w:rsidR="00074619" w:rsidRPr="001005B7">
        <w:t xml:space="preserve"> in the violence of history</w:t>
      </w:r>
      <w:r w:rsidR="00B55577" w:rsidRPr="001005B7">
        <w:t xml:space="preserve"> </w:t>
      </w:r>
      <w:r w:rsidR="00607677" w:rsidRPr="001005B7">
        <w:t>(</w:t>
      </w:r>
      <w:r w:rsidR="00B55577" w:rsidRPr="001005B7">
        <w:t xml:space="preserve">Jenson, </w:t>
      </w:r>
      <w:r w:rsidR="003A25B5" w:rsidRPr="001005B7">
        <w:t>77</w:t>
      </w:r>
      <w:r w:rsidR="00607677" w:rsidRPr="001005B7">
        <w:t>).</w:t>
      </w:r>
      <w:r w:rsidR="00B87506" w:rsidRPr="001005B7">
        <w:t xml:space="preserve"> </w:t>
      </w:r>
      <w:r w:rsidR="00264F50" w:rsidRPr="001005B7">
        <w:t>God sometimes works through th</w:t>
      </w:r>
      <w:r w:rsidR="00B87506" w:rsidRPr="001005B7">
        <w:t>ose inherent links</w:t>
      </w:r>
      <w:r w:rsidR="00264F50" w:rsidRPr="001005B7">
        <w:t xml:space="preserve"> and sometimes independently of </w:t>
      </w:r>
      <w:r w:rsidR="00B87506" w:rsidRPr="001005B7">
        <w:t>them.</w:t>
      </w:r>
    </w:p>
    <w:p w14:paraId="069CF023" w14:textId="031D5983" w:rsidR="00EC50EB" w:rsidRPr="001005B7" w:rsidRDefault="0063475F" w:rsidP="00493833">
      <w:pPr>
        <w:pStyle w:val="Heading3"/>
      </w:pPr>
      <w:r w:rsidRPr="001005B7">
        <w:t xml:space="preserve">Application and Devotional Implications </w:t>
      </w:r>
    </w:p>
    <w:p w14:paraId="4AA9EEEB" w14:textId="7351CB76" w:rsidR="005553E8" w:rsidRPr="001005B7" w:rsidRDefault="00F90985" w:rsidP="00506D44">
      <w:r w:rsidRPr="001005B7">
        <w:t>“</w:t>
      </w:r>
      <w:r w:rsidR="00CD132E" w:rsidRPr="001005B7">
        <w:t>An end is coming, the end is coming</w:t>
      </w:r>
      <w:r w:rsidRPr="001005B7">
        <w:t xml:space="preserve">” (7:6). </w:t>
      </w:r>
      <w:r w:rsidR="00B6340D" w:rsidRPr="001005B7">
        <w:t>Both these statements are important and their interrelationship is important, in a broader sense than Ezekiel means the</w:t>
      </w:r>
      <w:r w:rsidR="0030622D" w:rsidRPr="001005B7">
        <w:t>m</w:t>
      </w:r>
      <w:r w:rsidR="00B6340D" w:rsidRPr="001005B7">
        <w:t xml:space="preserve"> but in a way that coheres with his message</w:t>
      </w:r>
      <w:r w:rsidR="005A3630" w:rsidRPr="001005B7">
        <w:t xml:space="preserve">, especially when it is set in the context of the Scriptures as a whole. </w:t>
      </w:r>
      <w:r w:rsidR="00EE675C" w:rsidRPr="001005B7">
        <w:t xml:space="preserve">Using the word </w:t>
      </w:r>
      <w:r w:rsidR="00EE675C" w:rsidRPr="001005B7">
        <w:rPr>
          <w:i/>
          <w:iCs/>
        </w:rPr>
        <w:t>eschatology</w:t>
      </w:r>
      <w:r w:rsidR="00EE675C" w:rsidRPr="001005B7">
        <w:t xml:space="preserve"> is always a bad idea because </w:t>
      </w:r>
      <w:r w:rsidR="003F1C13" w:rsidRPr="001005B7">
        <w:t>it</w:t>
      </w:r>
      <w:r w:rsidR="00F140E8" w:rsidRPr="001005B7">
        <w:t xml:space="preserve"> can</w:t>
      </w:r>
      <w:r w:rsidR="003F1C13" w:rsidRPr="001005B7">
        <w:t xml:space="preserve"> mean so many different things, but </w:t>
      </w:r>
      <w:r w:rsidR="00B36752" w:rsidRPr="001005B7">
        <w:t>if I were going to use it, here are the two things that I would mean by it. On one hand,</w:t>
      </w:r>
      <w:r w:rsidR="00F140E8" w:rsidRPr="001005B7">
        <w:t xml:space="preserve"> </w:t>
      </w:r>
      <w:r w:rsidR="00C05CDA" w:rsidRPr="001005B7">
        <w:t xml:space="preserve">integral to </w:t>
      </w:r>
      <w:r w:rsidR="00F140E8" w:rsidRPr="001005B7">
        <w:t>scriptural faith</w:t>
      </w:r>
      <w:r w:rsidR="00C05CDA" w:rsidRPr="001005B7">
        <w:t xml:space="preserve"> is the fact that there is a beginning and an end to God’s </w:t>
      </w:r>
      <w:r w:rsidR="00A14662" w:rsidRPr="001005B7">
        <w:t xml:space="preserve">total purpose in the world. </w:t>
      </w:r>
      <w:r w:rsidR="001027AC" w:rsidRPr="001005B7">
        <w:t xml:space="preserve">God’s </w:t>
      </w:r>
      <w:r w:rsidR="00D43793" w:rsidRPr="001005B7">
        <w:t>action in the world</w:t>
      </w:r>
      <w:r w:rsidR="00A14662" w:rsidRPr="001005B7">
        <w:t xml:space="preserve"> beg</w:t>
      </w:r>
      <w:r w:rsidR="00FE66D6" w:rsidRPr="001005B7">
        <w:t>a</w:t>
      </w:r>
      <w:r w:rsidR="00A14662" w:rsidRPr="001005B7">
        <w:t>n with creation</w:t>
      </w:r>
      <w:r w:rsidR="00D43793" w:rsidRPr="001005B7">
        <w:t>,</w:t>
      </w:r>
      <w:r w:rsidR="00A14662" w:rsidRPr="001005B7">
        <w:t xml:space="preserve"> and it will end with the fulfillment of creation. </w:t>
      </w:r>
      <w:r w:rsidR="00A45D0D" w:rsidRPr="001005B7">
        <w:t>It began with a Beginning (a</w:t>
      </w:r>
      <w:r w:rsidR="00FE66D6" w:rsidRPr="001005B7">
        <w:t xml:space="preserve"> </w:t>
      </w:r>
      <w:r w:rsidR="00B575F0" w:rsidRPr="001005B7">
        <w:rPr>
          <w:rFonts w:cstheme="minorHAnsi"/>
          <w:rtl/>
          <w:lang w:bidi="he-IL"/>
        </w:rPr>
        <w:t>רֵא</w:t>
      </w:r>
      <w:r w:rsidR="00BA034D" w:rsidRPr="001005B7">
        <w:rPr>
          <w:rFonts w:cstheme="minorHAnsi"/>
          <w:rtl/>
          <w:lang w:bidi="he-IL"/>
        </w:rPr>
        <w:t>שׁ</w:t>
      </w:r>
      <w:r w:rsidR="00A7358B" w:rsidRPr="001005B7">
        <w:rPr>
          <w:rFonts w:cstheme="minorHAnsi"/>
          <w:rtl/>
          <w:lang w:bidi="he-IL"/>
        </w:rPr>
        <w:t>ִית</w:t>
      </w:r>
      <w:r w:rsidR="00070C7E" w:rsidRPr="001005B7">
        <w:t xml:space="preserve"> </w:t>
      </w:r>
      <w:r w:rsidR="003A7B94" w:rsidRPr="001005B7">
        <w:rPr>
          <w:rFonts w:cstheme="minorHAnsi"/>
        </w:rPr>
        <w:t>in Hebrew,</w:t>
      </w:r>
      <w:r w:rsidR="003A7B94" w:rsidRPr="001005B7">
        <w:rPr>
          <w:i/>
          <w:iCs/>
        </w:rPr>
        <w:t xml:space="preserve"> </w:t>
      </w:r>
      <w:r w:rsidR="003A7B94" w:rsidRPr="001005B7">
        <w:t>a</w:t>
      </w:r>
      <w:r w:rsidR="00A45D0D" w:rsidRPr="001005B7">
        <w:t xml:space="preserve">n </w:t>
      </w:r>
      <w:proofErr w:type="spellStart"/>
      <w:r w:rsidR="00CD2640" w:rsidRPr="001005B7">
        <w:rPr>
          <w:rFonts w:cstheme="minorHAnsi"/>
        </w:rPr>
        <w:t>ả</w:t>
      </w:r>
      <w:r w:rsidR="00E56351" w:rsidRPr="001005B7">
        <w:rPr>
          <w:rFonts w:cstheme="minorHAnsi"/>
        </w:rPr>
        <w:t>ρχ</w:t>
      </w:r>
      <w:r w:rsidR="008D6E70" w:rsidRPr="001005B7">
        <w:rPr>
          <w:rFonts w:cstheme="minorHAnsi"/>
        </w:rPr>
        <w:t>ή</w:t>
      </w:r>
      <w:proofErr w:type="spellEnd"/>
      <w:r w:rsidR="003A7B94" w:rsidRPr="001005B7">
        <w:rPr>
          <w:rFonts w:cstheme="minorHAnsi"/>
          <w:i/>
          <w:iCs/>
        </w:rPr>
        <w:t xml:space="preserve"> </w:t>
      </w:r>
      <w:r w:rsidR="00567076" w:rsidRPr="001005B7">
        <w:rPr>
          <w:rFonts w:cstheme="minorHAnsi"/>
        </w:rPr>
        <w:t>in Greek</w:t>
      </w:r>
      <w:r w:rsidR="00070C7E" w:rsidRPr="001005B7">
        <w:rPr>
          <w:rFonts w:cstheme="minorHAnsi"/>
        </w:rPr>
        <w:t>)</w:t>
      </w:r>
      <w:r w:rsidR="00070C7E" w:rsidRPr="001005B7">
        <w:rPr>
          <w:i/>
          <w:iCs/>
        </w:rPr>
        <w:t xml:space="preserve"> </w:t>
      </w:r>
      <w:r w:rsidR="00A45D0D" w:rsidRPr="001005B7">
        <w:t>and it will end with an End</w:t>
      </w:r>
      <w:r w:rsidR="00F140E8" w:rsidRPr="001005B7">
        <w:t xml:space="preserve"> </w:t>
      </w:r>
      <w:r w:rsidR="00070C7E" w:rsidRPr="001005B7">
        <w:t>(a</w:t>
      </w:r>
      <w:r w:rsidR="008D6E70" w:rsidRPr="001005B7">
        <w:t xml:space="preserve"> </w:t>
      </w:r>
      <w:r w:rsidR="008D6E70" w:rsidRPr="001005B7">
        <w:rPr>
          <w:rFonts w:cstheme="minorHAnsi"/>
          <w:rtl/>
          <w:lang w:bidi="he-IL"/>
        </w:rPr>
        <w:t>ק</w:t>
      </w:r>
      <w:r w:rsidR="00CF719A" w:rsidRPr="001005B7">
        <w:rPr>
          <w:rFonts w:cstheme="minorHAnsi"/>
          <w:rtl/>
          <w:lang w:bidi="he-IL"/>
        </w:rPr>
        <w:t>ֵץ</w:t>
      </w:r>
      <w:r w:rsidR="00567076" w:rsidRPr="001005B7">
        <w:t xml:space="preserve"> </w:t>
      </w:r>
      <w:r w:rsidR="000B2F6D" w:rsidRPr="001005B7">
        <w:rPr>
          <w:rFonts w:cstheme="minorHAnsi"/>
        </w:rPr>
        <w:t>in Hebrew, a</w:t>
      </w:r>
      <w:r w:rsidR="00070C7E" w:rsidRPr="001005B7">
        <w:t>n</w:t>
      </w:r>
      <w:r w:rsidR="007D77F7" w:rsidRPr="001005B7">
        <w:t xml:space="preserve"> </w:t>
      </w:r>
      <w:proofErr w:type="spellStart"/>
      <w:r w:rsidR="009B0F3E" w:rsidRPr="001005B7">
        <w:rPr>
          <w:rFonts w:cstheme="minorHAnsi"/>
        </w:rPr>
        <w:t>ἔ</w:t>
      </w:r>
      <w:r w:rsidR="00130930" w:rsidRPr="001005B7">
        <w:rPr>
          <w:rFonts w:cstheme="minorHAnsi"/>
        </w:rPr>
        <w:t>σχ</w:t>
      </w:r>
      <w:proofErr w:type="spellEnd"/>
      <w:r w:rsidR="00130930" w:rsidRPr="001005B7">
        <w:rPr>
          <w:rFonts w:cstheme="minorHAnsi"/>
        </w:rPr>
        <w:t>ατον</w:t>
      </w:r>
      <w:r w:rsidR="000B2F6D" w:rsidRPr="001005B7">
        <w:t xml:space="preserve"> in Greek). </w:t>
      </w:r>
      <w:r w:rsidR="00D15CB4" w:rsidRPr="001005B7">
        <w:t>On</w:t>
      </w:r>
      <w:r w:rsidR="00871F8F" w:rsidRPr="001005B7">
        <w:t xml:space="preserve"> the way between these two, God’s activity sees </w:t>
      </w:r>
      <w:r w:rsidR="00D15CB4" w:rsidRPr="001005B7">
        <w:t>many</w:t>
      </w:r>
      <w:r w:rsidR="009E5263" w:rsidRPr="001005B7">
        <w:t xml:space="preserve"> </w:t>
      </w:r>
      <w:r w:rsidR="007548B5" w:rsidRPr="001005B7">
        <w:t xml:space="preserve">new </w:t>
      </w:r>
      <w:r w:rsidR="00871F8F" w:rsidRPr="001005B7">
        <w:t xml:space="preserve">beginnings and </w:t>
      </w:r>
      <w:r w:rsidR="009E5263" w:rsidRPr="001005B7">
        <w:t xml:space="preserve">many </w:t>
      </w:r>
      <w:r w:rsidR="007548B5" w:rsidRPr="001005B7">
        <w:t xml:space="preserve">interim </w:t>
      </w:r>
      <w:r w:rsidR="00871F8F" w:rsidRPr="001005B7">
        <w:t>ends</w:t>
      </w:r>
      <w:r w:rsidR="007548B5" w:rsidRPr="001005B7">
        <w:t xml:space="preserve">. There are </w:t>
      </w:r>
      <w:r w:rsidR="009E5263" w:rsidRPr="001005B7">
        <w:t xml:space="preserve">many </w:t>
      </w:r>
      <w:r w:rsidR="007548B5" w:rsidRPr="001005B7">
        <w:t xml:space="preserve">points where God starts again and </w:t>
      </w:r>
      <w:r w:rsidR="009E5263" w:rsidRPr="001005B7">
        <w:t xml:space="preserve">many </w:t>
      </w:r>
      <w:r w:rsidR="007548B5" w:rsidRPr="001005B7">
        <w:t>points</w:t>
      </w:r>
      <w:r w:rsidR="009E5263" w:rsidRPr="001005B7">
        <w:t xml:space="preserve"> when</w:t>
      </w:r>
      <w:r w:rsidR="007548B5" w:rsidRPr="001005B7">
        <w:t xml:space="preserve"> </w:t>
      </w:r>
      <w:r w:rsidR="004E17E9" w:rsidRPr="001005B7">
        <w:t>he brings about</w:t>
      </w:r>
      <w:r w:rsidR="00B36752" w:rsidRPr="001005B7">
        <w:t xml:space="preserve"> </w:t>
      </w:r>
      <w:r w:rsidR="004E17E9" w:rsidRPr="001005B7">
        <w:t>a provisional or partial</w:t>
      </w:r>
      <w:r w:rsidR="008B686C" w:rsidRPr="001005B7">
        <w:t xml:space="preserve"> fulfillment. </w:t>
      </w:r>
      <w:r w:rsidR="006B0DDA" w:rsidRPr="001005B7">
        <w:t>In</w:t>
      </w:r>
      <w:r w:rsidR="0077444F" w:rsidRPr="001005B7">
        <w:t xml:space="preserve"> speak</w:t>
      </w:r>
      <w:r w:rsidR="006B0DDA" w:rsidRPr="001005B7">
        <w:t>ing</w:t>
      </w:r>
      <w:r w:rsidR="0077444F" w:rsidRPr="001005B7">
        <w:t xml:space="preserve"> of the end as about to happen, he often sounds as if he is promising or threatening th</w:t>
      </w:r>
      <w:r w:rsidR="0094289E" w:rsidRPr="001005B7">
        <w:t>e final End, and it may be only afterwards that people discover that it was only a</w:t>
      </w:r>
      <w:r w:rsidR="00614838" w:rsidRPr="001005B7">
        <w:t>n interim end. Maybe things will never be the same after this end, but things will go on.</w:t>
      </w:r>
      <w:r w:rsidR="00865B8F" w:rsidRPr="001005B7">
        <w:t xml:space="preserve"> </w:t>
      </w:r>
    </w:p>
    <w:p w14:paraId="56ADEA68" w14:textId="2CED6E57" w:rsidR="00D85956" w:rsidRPr="001005B7" w:rsidRDefault="00865B8F" w:rsidP="00506D44">
      <w:pPr>
        <w:rPr>
          <w:rFonts w:cstheme="minorHAnsi"/>
        </w:rPr>
      </w:pPr>
      <w:r w:rsidRPr="001005B7">
        <w:t>The people of God live in light of the possibility that they will see an end in their lifetime</w:t>
      </w:r>
      <w:r w:rsidR="00837201" w:rsidRPr="001005B7">
        <w:t>.</w:t>
      </w:r>
      <w:r w:rsidRPr="001005B7">
        <w:t xml:space="preserve"> </w:t>
      </w:r>
      <w:r w:rsidR="00837201" w:rsidRPr="001005B7">
        <w:t>T</w:t>
      </w:r>
      <w:r w:rsidRPr="001005B7">
        <w:t xml:space="preserve">hey live in light of the certainty that </w:t>
      </w:r>
      <w:r w:rsidR="002D11B1" w:rsidRPr="001005B7">
        <w:t>eventually God will bring about the</w:t>
      </w:r>
      <w:r w:rsidR="0063538D">
        <w:t xml:space="preserve"> final</w:t>
      </w:r>
      <w:r w:rsidR="002D11B1" w:rsidRPr="001005B7">
        <w:t xml:space="preserve"> </w:t>
      </w:r>
      <w:r w:rsidR="0063538D">
        <w:t>E</w:t>
      </w:r>
      <w:r w:rsidR="002D11B1" w:rsidRPr="001005B7">
        <w:t>nd.</w:t>
      </w:r>
      <w:r w:rsidR="00011C97" w:rsidRPr="001005B7">
        <w:t xml:space="preserve"> </w:t>
      </w:r>
      <w:r w:rsidR="00EB35C0" w:rsidRPr="001005B7">
        <w:t>“</w:t>
      </w:r>
      <w:r w:rsidR="006E54A1" w:rsidRPr="001005B7">
        <w:rPr>
          <w:rFonts w:ascii="Roboto" w:eastAsia="Times New Roman" w:hAnsi="Roboto" w:cs="Times New Roman"/>
          <w:sz w:val="21"/>
          <w:szCs w:val="21"/>
          <w:lang w:eastAsia="en-GB"/>
        </w:rPr>
        <w:t xml:space="preserve">Kingdoms and </w:t>
      </w:r>
      <w:r w:rsidR="00496ABD" w:rsidRPr="001005B7">
        <w:rPr>
          <w:rFonts w:ascii="Roboto" w:eastAsia="Times New Roman" w:hAnsi="Roboto" w:cs="Times New Roman"/>
          <w:sz w:val="21"/>
          <w:szCs w:val="21"/>
          <w:lang w:eastAsia="en-GB"/>
        </w:rPr>
        <w:t>c</w:t>
      </w:r>
      <w:r w:rsidR="006E54A1" w:rsidRPr="001005B7">
        <w:rPr>
          <w:rFonts w:ascii="Roboto" w:eastAsia="Times New Roman" w:hAnsi="Roboto" w:cs="Times New Roman"/>
          <w:sz w:val="21"/>
          <w:szCs w:val="21"/>
          <w:lang w:eastAsia="en-GB"/>
        </w:rPr>
        <w:t>hurches have their periods; they may continue for some hundreds of years, but at length they expire</w:t>
      </w:r>
      <w:r w:rsidR="005553E8" w:rsidRPr="001005B7">
        <w:rPr>
          <w:rFonts w:ascii="Roboto" w:eastAsia="Times New Roman" w:hAnsi="Roboto" w:cs="Times New Roman"/>
          <w:sz w:val="21"/>
          <w:szCs w:val="21"/>
          <w:lang w:eastAsia="en-GB"/>
        </w:rPr>
        <w:t>” (</w:t>
      </w:r>
      <w:r w:rsidR="005553E8" w:rsidRPr="001005B7">
        <w:t>Greenhill</w:t>
      </w:r>
      <w:r w:rsidR="00496ABD" w:rsidRPr="001005B7">
        <w:t>, 163</w:t>
      </w:r>
      <w:r w:rsidR="005553E8" w:rsidRPr="001005B7">
        <w:t>).</w:t>
      </w:r>
      <w:r w:rsidR="00EB35C0" w:rsidRPr="001005B7">
        <w:rPr>
          <w:rFonts w:ascii="Roboto" w:eastAsia="Times New Roman" w:hAnsi="Roboto" w:cs="Times New Roman"/>
          <w:sz w:val="21"/>
          <w:szCs w:val="21"/>
          <w:lang w:eastAsia="en-GB"/>
        </w:rPr>
        <w:t xml:space="preserve"> </w:t>
      </w:r>
      <w:r w:rsidR="00C630EB" w:rsidRPr="001005B7">
        <w:rPr>
          <w:rFonts w:cstheme="minorHAnsi"/>
        </w:rPr>
        <w:t>“</w:t>
      </w:r>
      <w:r w:rsidR="005553E8" w:rsidRPr="001005B7">
        <w:rPr>
          <w:rFonts w:cstheme="minorHAnsi"/>
        </w:rPr>
        <w:t>W</w:t>
      </w:r>
      <w:r w:rsidR="0077259C" w:rsidRPr="001005B7">
        <w:rPr>
          <w:rFonts w:cstheme="minorHAnsi"/>
        </w:rPr>
        <w:t xml:space="preserve">hile Ezekiel was not proclaiming the end of the world, he was proclaiming to his contemporaries that </w:t>
      </w:r>
      <w:r w:rsidR="0077259C" w:rsidRPr="001005B7">
        <w:rPr>
          <w:rFonts w:cstheme="minorHAnsi"/>
          <w:i/>
          <w:iCs/>
          <w:lang w:bidi="he-IL"/>
        </w:rPr>
        <w:t xml:space="preserve">their </w:t>
      </w:r>
      <w:r w:rsidR="0077259C" w:rsidRPr="001005B7">
        <w:rPr>
          <w:rFonts w:cstheme="minorHAnsi"/>
        </w:rPr>
        <w:t>world was coming to an end.</w:t>
      </w:r>
      <w:r w:rsidR="00C630EB" w:rsidRPr="001005B7">
        <w:rPr>
          <w:rFonts w:cstheme="minorHAnsi"/>
        </w:rPr>
        <w:t>”</w:t>
      </w:r>
      <w:r w:rsidR="00BA6AD1" w:rsidRPr="001005B7">
        <w:rPr>
          <w:rFonts w:cstheme="minorHAnsi"/>
        </w:rPr>
        <w:t xml:space="preserve"> </w:t>
      </w:r>
      <w:r w:rsidR="00F61F56" w:rsidRPr="001005B7">
        <w:rPr>
          <w:rFonts w:cstheme="minorHAnsi"/>
        </w:rPr>
        <w:t>They need to take account of that fact</w:t>
      </w:r>
      <w:r w:rsidR="00FC4AB0" w:rsidRPr="001005B7">
        <w:rPr>
          <w:rFonts w:cstheme="minorHAnsi"/>
        </w:rPr>
        <w:t>, b</w:t>
      </w:r>
      <w:r w:rsidR="00EE20AA" w:rsidRPr="001005B7">
        <w:rPr>
          <w:rFonts w:cstheme="minorHAnsi"/>
        </w:rPr>
        <w:t>ut Ezekiel has a hard time getting them to do so</w:t>
      </w:r>
      <w:r w:rsidR="00FC4AB0" w:rsidRPr="001005B7">
        <w:rPr>
          <w:rFonts w:cstheme="minorHAnsi"/>
        </w:rPr>
        <w:t>, a</w:t>
      </w:r>
      <w:r w:rsidR="00EE20AA" w:rsidRPr="001005B7">
        <w:rPr>
          <w:rFonts w:cstheme="minorHAnsi"/>
        </w:rPr>
        <w:t>nd f</w:t>
      </w:r>
      <w:r w:rsidR="00F61F56" w:rsidRPr="001005B7">
        <w:rPr>
          <w:rFonts w:cstheme="minorHAnsi"/>
        </w:rPr>
        <w:t>or the church, t</w:t>
      </w:r>
      <w:r w:rsidR="00BA6AD1" w:rsidRPr="001005B7">
        <w:rPr>
          <w:rFonts w:cstheme="minorHAnsi"/>
        </w:rPr>
        <w:t xml:space="preserve">he </w:t>
      </w:r>
      <w:r w:rsidR="00A762A9" w:rsidRPr="001005B7">
        <w:rPr>
          <w:rFonts w:cstheme="minorHAnsi"/>
        </w:rPr>
        <w:t xml:space="preserve">problem is that </w:t>
      </w:r>
      <w:r w:rsidR="00BA6AD1" w:rsidRPr="001005B7">
        <w:rPr>
          <w:rFonts w:cstheme="minorHAnsi"/>
        </w:rPr>
        <w:t>belief that Jesus is coming doesn’t make a difference to Christians</w:t>
      </w:r>
      <w:r w:rsidR="00917DBC" w:rsidRPr="001005B7">
        <w:rPr>
          <w:rFonts w:cstheme="minorHAnsi"/>
        </w:rPr>
        <w:t xml:space="preserve"> (</w:t>
      </w:r>
      <w:r w:rsidR="00917DBC" w:rsidRPr="001005B7">
        <w:t>Blenkinsopp, 50).</w:t>
      </w:r>
      <w:r w:rsidR="00506D44" w:rsidRPr="001005B7">
        <w:t xml:space="preserve"> </w:t>
      </w:r>
      <w:r w:rsidR="001A35C7" w:rsidRPr="001005B7">
        <w:t>T</w:t>
      </w:r>
      <w:r w:rsidR="00506D44" w:rsidRPr="001005B7">
        <w:t>here is another sol</w:t>
      </w:r>
      <w:r w:rsidR="00467583" w:rsidRPr="001005B7">
        <w:t xml:space="preserve">emn fact that Ezekiel brings home to us. </w:t>
      </w:r>
      <w:r w:rsidR="003456A9" w:rsidRPr="001005B7">
        <w:rPr>
          <w:rFonts w:cstheme="minorHAnsi"/>
        </w:rPr>
        <w:t>We think of the en</w:t>
      </w:r>
      <w:r w:rsidR="00967102" w:rsidRPr="001005B7">
        <w:rPr>
          <w:rFonts w:cstheme="minorHAnsi"/>
        </w:rPr>
        <w:t>d</w:t>
      </w:r>
      <w:r w:rsidR="003456A9" w:rsidRPr="001005B7">
        <w:rPr>
          <w:rFonts w:cstheme="minorHAnsi"/>
        </w:rPr>
        <w:t xml:space="preserve"> (the kingdom) in a positive way. But there cannot be a new kingdom without the destruction of the old</w:t>
      </w:r>
      <w:r w:rsidR="00010FC3" w:rsidRPr="001005B7">
        <w:rPr>
          <w:rFonts w:cstheme="minorHAnsi"/>
        </w:rPr>
        <w:t xml:space="preserve"> (</w:t>
      </w:r>
      <w:r w:rsidR="00010FC3" w:rsidRPr="001005B7">
        <w:t xml:space="preserve">Jenson, </w:t>
      </w:r>
      <w:r w:rsidR="00E6382C" w:rsidRPr="001005B7">
        <w:t>69</w:t>
      </w:r>
      <w:r w:rsidR="00F46900" w:rsidRPr="001005B7">
        <w:t>–</w:t>
      </w:r>
      <w:r w:rsidR="00E6382C" w:rsidRPr="001005B7">
        <w:t>72</w:t>
      </w:r>
      <w:r w:rsidR="00010FC3" w:rsidRPr="001005B7">
        <w:t>).</w:t>
      </w:r>
      <w:r w:rsidR="00CC083A" w:rsidRPr="001005B7">
        <w:t xml:space="preserve"> There has to be an end if there is to be something eternal.</w:t>
      </w:r>
      <w:r w:rsidR="00CC083A" w:rsidRPr="001005B7">
        <w:rPr>
          <w:rStyle w:val="FootnoteReference"/>
        </w:rPr>
        <w:footnoteReference w:id="225"/>
      </w:r>
    </w:p>
    <w:p w14:paraId="70A6C8B0" w14:textId="749CCEC1" w:rsidR="00F54A65" w:rsidRPr="001005B7" w:rsidRDefault="00FB1B41" w:rsidP="00493833">
      <w:pPr>
        <w:pStyle w:val="Heading3"/>
      </w:pPr>
      <w:r w:rsidRPr="001005B7">
        <w:t xml:space="preserve">Selected </w:t>
      </w:r>
      <w:r w:rsidR="00F54A65" w:rsidRPr="001005B7">
        <w:t>Bibliography</w:t>
      </w:r>
    </w:p>
    <w:p w14:paraId="57F71987" w14:textId="09F05452" w:rsidR="000B33CC" w:rsidRPr="001005B7" w:rsidRDefault="000B33CC" w:rsidP="006409A0">
      <w:pPr>
        <w:spacing w:after="60" w:line="240" w:lineRule="auto"/>
        <w:ind w:left="567" w:hanging="567"/>
        <w:rPr>
          <w:rFonts w:ascii="Calibri" w:eastAsia="Times New Roman" w:hAnsi="Calibri" w:cs="Calibri"/>
          <w:lang w:eastAsia="en-GB"/>
        </w:rPr>
      </w:pPr>
      <w:bookmarkStart w:id="0" w:name="_Hlk136954417"/>
      <w:proofErr w:type="spellStart"/>
      <w:r w:rsidRPr="001005B7">
        <w:rPr>
          <w:rFonts w:ascii="Calibri" w:eastAsia="Times New Roman" w:hAnsi="Calibri" w:cs="Calibri"/>
          <w:lang w:eastAsia="en-GB"/>
        </w:rPr>
        <w:t>Deselaers</w:t>
      </w:r>
      <w:proofErr w:type="spellEnd"/>
      <w:r w:rsidRPr="001005B7">
        <w:rPr>
          <w:rFonts w:ascii="Calibri" w:eastAsia="Times New Roman" w:hAnsi="Calibri" w:cs="Calibri"/>
          <w:lang w:eastAsia="en-GB"/>
        </w:rPr>
        <w:t xml:space="preserve">, Paul. </w:t>
      </w:r>
      <w:r w:rsidR="00332A14" w:rsidRPr="001005B7">
        <w:rPr>
          <w:rFonts w:ascii="Calibri" w:eastAsia="Times New Roman" w:hAnsi="Calibri" w:cs="Calibri"/>
          <w:lang w:eastAsia="en-GB"/>
        </w:rPr>
        <w:t>“D</w:t>
      </w:r>
      <w:r w:rsidRPr="001005B7">
        <w:rPr>
          <w:rFonts w:ascii="Calibri" w:eastAsia="Times New Roman" w:hAnsi="Calibri" w:cs="Calibri"/>
          <w:lang w:eastAsia="en-GB"/>
        </w:rPr>
        <w:t xml:space="preserve">er </w:t>
      </w:r>
      <w:proofErr w:type="spellStart"/>
      <w:r w:rsidRPr="001005B7">
        <w:rPr>
          <w:rFonts w:ascii="Calibri" w:eastAsia="Times New Roman" w:hAnsi="Calibri" w:cs="Calibri"/>
          <w:lang w:eastAsia="en-GB"/>
        </w:rPr>
        <w:t>Wächteramt</w:t>
      </w:r>
      <w:proofErr w:type="spellEnd"/>
      <w:r w:rsidRPr="001005B7">
        <w:rPr>
          <w:rFonts w:ascii="Calibri" w:eastAsia="Times New Roman" w:hAnsi="Calibri" w:cs="Calibri"/>
          <w:lang w:eastAsia="en-GB"/>
        </w:rPr>
        <w:t xml:space="preserve">: </w:t>
      </w:r>
      <w:bookmarkEnd w:id="0"/>
      <w:proofErr w:type="spellStart"/>
      <w:r w:rsidRPr="001005B7">
        <w:rPr>
          <w:rFonts w:ascii="Calibri" w:eastAsia="Times New Roman" w:hAnsi="Calibri" w:cs="Calibri"/>
          <w:lang w:eastAsia="en-GB"/>
        </w:rPr>
        <w:t>Ezechiels</w:t>
      </w:r>
      <w:proofErr w:type="spellEnd"/>
      <w:r w:rsidRPr="001005B7">
        <w:rPr>
          <w:rFonts w:ascii="Calibri" w:eastAsia="Times New Roman" w:hAnsi="Calibri" w:cs="Calibri"/>
          <w:lang w:eastAsia="en-GB"/>
        </w:rPr>
        <w:t xml:space="preserve"> </w:t>
      </w:r>
      <w:proofErr w:type="spellStart"/>
      <w:r w:rsidRPr="001005B7">
        <w:rPr>
          <w:rFonts w:ascii="Calibri" w:eastAsia="Times New Roman" w:hAnsi="Calibri" w:cs="Calibri"/>
          <w:lang w:eastAsia="en-GB"/>
        </w:rPr>
        <w:t>dienst</w:t>
      </w:r>
      <w:proofErr w:type="spellEnd"/>
      <w:r w:rsidRPr="001005B7">
        <w:rPr>
          <w:rFonts w:ascii="Calibri" w:eastAsia="Times New Roman" w:hAnsi="Calibri" w:cs="Calibri"/>
          <w:lang w:eastAsia="en-GB"/>
        </w:rPr>
        <w:t xml:space="preserve"> an </w:t>
      </w:r>
      <w:proofErr w:type="spellStart"/>
      <w:r w:rsidRPr="001005B7">
        <w:rPr>
          <w:rFonts w:ascii="Calibri" w:eastAsia="Times New Roman" w:hAnsi="Calibri" w:cs="Calibri"/>
          <w:lang w:eastAsia="en-GB"/>
        </w:rPr>
        <w:t>ewigen</w:t>
      </w:r>
      <w:proofErr w:type="spellEnd"/>
      <w:r w:rsidRPr="001005B7">
        <w:rPr>
          <w:rFonts w:ascii="Calibri" w:eastAsia="Times New Roman" w:hAnsi="Calibri" w:cs="Calibri"/>
          <w:lang w:eastAsia="en-GB"/>
        </w:rPr>
        <w:t xml:space="preserve"> Bund.</w:t>
      </w:r>
      <w:r w:rsidR="00332A14" w:rsidRPr="001005B7">
        <w:rPr>
          <w:rFonts w:ascii="Calibri" w:eastAsia="Times New Roman" w:hAnsi="Calibri" w:cs="Calibri"/>
          <w:lang w:eastAsia="en-GB"/>
        </w:rPr>
        <w:t>”</w:t>
      </w:r>
      <w:r w:rsidRPr="001005B7">
        <w:rPr>
          <w:rFonts w:ascii="Calibri" w:eastAsia="Times New Roman" w:hAnsi="Calibri" w:cs="Calibri"/>
          <w:lang w:eastAsia="en-GB"/>
        </w:rPr>
        <w:t xml:space="preserve"> </w:t>
      </w:r>
      <w:r w:rsidR="004B414A" w:rsidRPr="001005B7">
        <w:rPr>
          <w:rFonts w:ascii="Calibri" w:eastAsia="Times New Roman" w:hAnsi="Calibri" w:cs="Calibri"/>
          <w:lang w:eastAsia="en-GB"/>
        </w:rPr>
        <w:t xml:space="preserve">In Christoph </w:t>
      </w:r>
      <w:proofErr w:type="spellStart"/>
      <w:r w:rsidRPr="001005B7">
        <w:rPr>
          <w:rFonts w:ascii="Calibri" w:eastAsia="Times New Roman" w:hAnsi="Calibri" w:cs="Calibri"/>
          <w:lang w:eastAsia="en-GB"/>
        </w:rPr>
        <w:t>Dohmen</w:t>
      </w:r>
      <w:proofErr w:type="spellEnd"/>
      <w:r w:rsidRPr="001005B7">
        <w:rPr>
          <w:rFonts w:ascii="Calibri" w:eastAsia="Times New Roman" w:hAnsi="Calibri" w:cs="Calibri"/>
          <w:lang w:eastAsia="en-GB"/>
        </w:rPr>
        <w:t xml:space="preserve"> and Christian </w:t>
      </w:r>
      <w:proofErr w:type="spellStart"/>
      <w:r w:rsidRPr="001005B7">
        <w:rPr>
          <w:rFonts w:ascii="Calibri" w:eastAsia="Times New Roman" w:hAnsi="Calibri" w:cs="Calibri"/>
          <w:lang w:eastAsia="en-GB"/>
        </w:rPr>
        <w:t>Frevel</w:t>
      </w:r>
      <w:proofErr w:type="spellEnd"/>
      <w:r w:rsidRPr="001005B7">
        <w:rPr>
          <w:rFonts w:ascii="Calibri" w:eastAsia="Times New Roman" w:hAnsi="Calibri" w:cs="Calibri"/>
          <w:lang w:eastAsia="en-GB"/>
        </w:rPr>
        <w:t>, ed.</w:t>
      </w:r>
      <w:r w:rsidR="004B414A" w:rsidRPr="001005B7">
        <w:rPr>
          <w:rFonts w:ascii="Calibri" w:eastAsia="Times New Roman" w:hAnsi="Calibri" w:cs="Calibri"/>
          <w:lang w:eastAsia="en-GB"/>
        </w:rPr>
        <w:t>,</w:t>
      </w:r>
      <w:r w:rsidRPr="001005B7">
        <w:rPr>
          <w:rFonts w:ascii="Calibri" w:eastAsia="Times New Roman" w:hAnsi="Calibri" w:cs="Calibri"/>
          <w:lang w:eastAsia="en-GB"/>
        </w:rPr>
        <w:t> </w:t>
      </w:r>
      <w:r w:rsidRPr="001005B7">
        <w:rPr>
          <w:rFonts w:ascii="Calibri" w:eastAsia="Times New Roman" w:hAnsi="Calibri" w:cs="Calibri"/>
          <w:i/>
          <w:iCs/>
          <w:lang w:eastAsia="en-GB"/>
        </w:rPr>
        <w:t xml:space="preserve">Für </w:t>
      </w:r>
      <w:proofErr w:type="spellStart"/>
      <w:r w:rsidRPr="001005B7">
        <w:rPr>
          <w:rFonts w:ascii="Calibri" w:eastAsia="Times New Roman" w:hAnsi="Calibri" w:cs="Calibri"/>
          <w:i/>
          <w:iCs/>
          <w:lang w:eastAsia="en-GB"/>
        </w:rPr>
        <w:t>immer</w:t>
      </w:r>
      <w:proofErr w:type="spellEnd"/>
      <w:r w:rsidRPr="001005B7">
        <w:rPr>
          <w:rFonts w:ascii="Calibri" w:eastAsia="Times New Roman" w:hAnsi="Calibri" w:cs="Calibri"/>
          <w:i/>
          <w:iCs/>
          <w:lang w:eastAsia="en-GB"/>
        </w:rPr>
        <w:t xml:space="preserve"> </w:t>
      </w:r>
      <w:proofErr w:type="spellStart"/>
      <w:r w:rsidRPr="001005B7">
        <w:rPr>
          <w:rFonts w:ascii="Calibri" w:eastAsia="Times New Roman" w:hAnsi="Calibri" w:cs="Calibri"/>
          <w:i/>
          <w:iCs/>
          <w:lang w:eastAsia="en-GB"/>
        </w:rPr>
        <w:t>verbündet</w:t>
      </w:r>
      <w:proofErr w:type="spellEnd"/>
      <w:r w:rsidRPr="001005B7">
        <w:rPr>
          <w:rFonts w:ascii="Calibri" w:eastAsia="Times New Roman" w:hAnsi="Calibri" w:cs="Calibri"/>
          <w:i/>
          <w:iCs/>
          <w:lang w:eastAsia="en-GB"/>
        </w:rPr>
        <w:t xml:space="preserve">: </w:t>
      </w:r>
      <w:proofErr w:type="spellStart"/>
      <w:r w:rsidRPr="001005B7">
        <w:rPr>
          <w:rFonts w:ascii="Calibri" w:eastAsia="Times New Roman" w:hAnsi="Calibri" w:cs="Calibri"/>
          <w:i/>
          <w:iCs/>
          <w:lang w:eastAsia="en-GB"/>
        </w:rPr>
        <w:t>Studien</w:t>
      </w:r>
      <w:proofErr w:type="spellEnd"/>
      <w:r w:rsidRPr="001005B7">
        <w:rPr>
          <w:rFonts w:ascii="Calibri" w:eastAsia="Times New Roman" w:hAnsi="Calibri" w:cs="Calibri"/>
          <w:i/>
          <w:iCs/>
          <w:lang w:eastAsia="en-GB"/>
        </w:rPr>
        <w:t xml:space="preserve"> </w:t>
      </w:r>
      <w:proofErr w:type="spellStart"/>
      <w:r w:rsidRPr="001005B7">
        <w:rPr>
          <w:rFonts w:ascii="Calibri" w:eastAsia="Times New Roman" w:hAnsi="Calibri" w:cs="Calibri"/>
          <w:i/>
          <w:iCs/>
          <w:lang w:eastAsia="en-GB"/>
        </w:rPr>
        <w:t>zur</w:t>
      </w:r>
      <w:proofErr w:type="spellEnd"/>
      <w:r w:rsidRPr="001005B7">
        <w:rPr>
          <w:rFonts w:ascii="Calibri" w:eastAsia="Times New Roman" w:hAnsi="Calibri" w:cs="Calibri"/>
          <w:i/>
          <w:iCs/>
          <w:lang w:eastAsia="en-GB"/>
        </w:rPr>
        <w:t xml:space="preserve"> </w:t>
      </w:r>
      <w:proofErr w:type="spellStart"/>
      <w:r w:rsidRPr="001005B7">
        <w:rPr>
          <w:rFonts w:ascii="Calibri" w:eastAsia="Times New Roman" w:hAnsi="Calibri" w:cs="Calibri"/>
          <w:i/>
          <w:iCs/>
          <w:lang w:eastAsia="en-GB"/>
        </w:rPr>
        <w:t>Bundestheologie</w:t>
      </w:r>
      <w:proofErr w:type="spellEnd"/>
      <w:r w:rsidRPr="001005B7">
        <w:rPr>
          <w:rFonts w:ascii="Calibri" w:eastAsia="Times New Roman" w:hAnsi="Calibri" w:cs="Calibri"/>
          <w:i/>
          <w:iCs/>
          <w:lang w:eastAsia="en-GB"/>
        </w:rPr>
        <w:t xml:space="preserve"> der </w:t>
      </w:r>
      <w:proofErr w:type="spellStart"/>
      <w:r w:rsidRPr="001005B7">
        <w:rPr>
          <w:rFonts w:ascii="Calibri" w:eastAsia="Times New Roman" w:hAnsi="Calibri" w:cs="Calibri"/>
          <w:i/>
          <w:iCs/>
          <w:lang w:eastAsia="en-GB"/>
        </w:rPr>
        <w:t>Bibel</w:t>
      </w:r>
      <w:proofErr w:type="spellEnd"/>
      <w:r w:rsidR="006409A0" w:rsidRPr="001005B7">
        <w:rPr>
          <w:rFonts w:ascii="Calibri" w:eastAsia="Times New Roman" w:hAnsi="Calibri" w:cs="Calibri"/>
          <w:lang w:eastAsia="en-GB"/>
        </w:rPr>
        <w:t>, 37</w:t>
      </w:r>
      <w:r w:rsidR="00F440C0">
        <w:rPr>
          <w:rFonts w:ascii="Calibri" w:eastAsia="Times New Roman" w:hAnsi="Calibri" w:cs="Calibri"/>
          <w:lang w:eastAsia="en-GB"/>
        </w:rPr>
        <w:t>–</w:t>
      </w:r>
      <w:r w:rsidR="006409A0" w:rsidRPr="001005B7">
        <w:rPr>
          <w:rFonts w:ascii="Calibri" w:eastAsia="Times New Roman" w:hAnsi="Calibri" w:cs="Calibri"/>
          <w:lang w:eastAsia="en-GB"/>
        </w:rPr>
        <w:t>42.</w:t>
      </w:r>
      <w:r w:rsidRPr="001005B7">
        <w:rPr>
          <w:rFonts w:ascii="Calibri" w:eastAsia="Times New Roman" w:hAnsi="Calibri" w:cs="Calibri"/>
          <w:lang w:eastAsia="en-GB"/>
        </w:rPr>
        <w:t xml:space="preserve"> Stuttgart: KBW, 2007.</w:t>
      </w:r>
    </w:p>
    <w:p w14:paraId="0E54A73D" w14:textId="1E74018C" w:rsidR="00743A7E" w:rsidRPr="001005B7" w:rsidRDefault="00743A7E" w:rsidP="006F5BB0">
      <w:pPr>
        <w:pStyle w:val="ListParagraph"/>
        <w:rPr>
          <w:color w:val="auto"/>
          <w:lang w:val="en-US"/>
        </w:rPr>
      </w:pPr>
      <w:r w:rsidRPr="001005B7">
        <w:rPr>
          <w:color w:val="auto"/>
          <w:lang w:val="en-US"/>
        </w:rPr>
        <w:t xml:space="preserve">Ganzel, Tova. “The Defilement and Desecration of the Temple in Ezekiel.” </w:t>
      </w:r>
      <w:r w:rsidRPr="001005B7">
        <w:rPr>
          <w:i/>
          <w:iCs/>
          <w:color w:val="auto"/>
          <w:lang w:val="en-US"/>
        </w:rPr>
        <w:t>Biblica</w:t>
      </w:r>
      <w:r w:rsidRPr="001005B7">
        <w:rPr>
          <w:color w:val="auto"/>
          <w:lang w:val="en-US"/>
        </w:rPr>
        <w:t xml:space="preserve"> 89 (2008): 369</w:t>
      </w:r>
      <w:r w:rsidR="00F46900" w:rsidRPr="001005B7">
        <w:rPr>
          <w:color w:val="auto"/>
          <w:lang w:val="en-US"/>
        </w:rPr>
        <w:t>–</w:t>
      </w:r>
      <w:r w:rsidRPr="001005B7">
        <w:rPr>
          <w:color w:val="auto"/>
          <w:lang w:val="en-US"/>
        </w:rPr>
        <w:t xml:space="preserve">79. </w:t>
      </w:r>
    </w:p>
    <w:p w14:paraId="3750D76C" w14:textId="66109022" w:rsidR="0019662E" w:rsidRPr="001005B7" w:rsidRDefault="0019662E" w:rsidP="006F5BB0">
      <w:pPr>
        <w:pStyle w:val="ListParagraph"/>
        <w:rPr>
          <w:color w:val="auto"/>
          <w:lang w:val="en-US"/>
        </w:rPr>
      </w:pPr>
      <w:r w:rsidRPr="001005B7">
        <w:rPr>
          <w:color w:val="auto"/>
          <w:lang w:val="en-US"/>
        </w:rPr>
        <w:t xml:space="preserve">Klein, Anja. </w:t>
      </w:r>
      <w:r w:rsidR="00FE56F0" w:rsidRPr="001005B7">
        <w:rPr>
          <w:color w:val="auto"/>
          <w:lang w:val="en-US"/>
        </w:rPr>
        <w:t>“‘</w:t>
      </w:r>
      <w:r w:rsidRPr="001005B7">
        <w:rPr>
          <w:color w:val="auto"/>
          <w:lang w:val="en-US"/>
        </w:rPr>
        <w:t xml:space="preserve">Das Ende </w:t>
      </w:r>
      <w:proofErr w:type="spellStart"/>
      <w:r w:rsidRPr="001005B7">
        <w:rPr>
          <w:color w:val="auto"/>
          <w:lang w:val="en-US"/>
        </w:rPr>
        <w:t>kommt</w:t>
      </w:r>
      <w:proofErr w:type="spellEnd"/>
      <w:r w:rsidR="00FE56F0" w:rsidRPr="001005B7">
        <w:rPr>
          <w:color w:val="auto"/>
          <w:lang w:val="en-US"/>
        </w:rPr>
        <w:t>’</w:t>
      </w:r>
      <w:r w:rsidR="00F46900" w:rsidRPr="001005B7">
        <w:rPr>
          <w:color w:val="auto"/>
          <w:lang w:val="en-US"/>
        </w:rPr>
        <w:t>–</w:t>
      </w:r>
      <w:proofErr w:type="spellStart"/>
      <w:r w:rsidRPr="001005B7">
        <w:rPr>
          <w:color w:val="auto"/>
          <w:lang w:val="en-US"/>
        </w:rPr>
        <w:t>Textgeschichte</w:t>
      </w:r>
      <w:proofErr w:type="spellEnd"/>
      <w:r w:rsidRPr="001005B7">
        <w:rPr>
          <w:color w:val="auto"/>
          <w:lang w:val="en-US"/>
        </w:rPr>
        <w:t xml:space="preserve">, </w:t>
      </w:r>
      <w:proofErr w:type="spellStart"/>
      <w:r w:rsidRPr="001005B7">
        <w:rPr>
          <w:color w:val="auto"/>
          <w:lang w:val="en-US"/>
        </w:rPr>
        <w:t>Redaktion</w:t>
      </w:r>
      <w:proofErr w:type="spellEnd"/>
      <w:r w:rsidRPr="001005B7">
        <w:rPr>
          <w:color w:val="auto"/>
          <w:lang w:val="en-US"/>
        </w:rPr>
        <w:t xml:space="preserve"> und </w:t>
      </w:r>
      <w:proofErr w:type="spellStart"/>
      <w:r w:rsidRPr="001005B7">
        <w:rPr>
          <w:color w:val="auto"/>
          <w:lang w:val="en-US"/>
        </w:rPr>
        <w:t>literarische</w:t>
      </w:r>
      <w:proofErr w:type="spellEnd"/>
      <w:r w:rsidRPr="001005B7">
        <w:rPr>
          <w:color w:val="auto"/>
          <w:lang w:val="en-US"/>
        </w:rPr>
        <w:t xml:space="preserve"> Horizonte in </w:t>
      </w:r>
      <w:proofErr w:type="spellStart"/>
      <w:r w:rsidRPr="001005B7">
        <w:rPr>
          <w:color w:val="auto"/>
          <w:lang w:val="en-US"/>
        </w:rPr>
        <w:t>Ez</w:t>
      </w:r>
      <w:proofErr w:type="spellEnd"/>
      <w:r w:rsidRPr="001005B7">
        <w:rPr>
          <w:color w:val="auto"/>
          <w:lang w:val="en-US"/>
        </w:rPr>
        <w:t> 7,1–12</w:t>
      </w:r>
      <w:r w:rsidR="00FE56F0" w:rsidRPr="001005B7">
        <w:rPr>
          <w:color w:val="auto"/>
          <w:lang w:val="en-US"/>
        </w:rPr>
        <w:t xml:space="preserve">a.” </w:t>
      </w:r>
      <w:r w:rsidRPr="001005B7">
        <w:rPr>
          <w:color w:val="auto"/>
          <w:lang w:val="en-US"/>
        </w:rPr>
        <w:t xml:space="preserve">In Jan Christian Gertz, Corinna </w:t>
      </w:r>
      <w:proofErr w:type="spellStart"/>
      <w:r w:rsidRPr="001005B7">
        <w:rPr>
          <w:color w:val="auto"/>
          <w:lang w:val="en-US"/>
        </w:rPr>
        <w:t>Körting</w:t>
      </w:r>
      <w:proofErr w:type="spellEnd"/>
      <w:r w:rsidRPr="001005B7">
        <w:rPr>
          <w:color w:val="auto"/>
          <w:lang w:val="en-US"/>
        </w:rPr>
        <w:t xml:space="preserve"> und Markus Witte, ed., </w:t>
      </w:r>
      <w:r w:rsidRPr="001005B7">
        <w:rPr>
          <w:i/>
          <w:iCs/>
          <w:color w:val="auto"/>
          <w:lang w:val="en-US"/>
        </w:rPr>
        <w:t xml:space="preserve">Das Buch Ezechiel: </w:t>
      </w:r>
      <w:proofErr w:type="spellStart"/>
      <w:r w:rsidRPr="001005B7">
        <w:rPr>
          <w:i/>
          <w:iCs/>
          <w:color w:val="auto"/>
          <w:lang w:val="en-US"/>
        </w:rPr>
        <w:t>Komposition</w:t>
      </w:r>
      <w:proofErr w:type="spellEnd"/>
      <w:r w:rsidRPr="001005B7">
        <w:rPr>
          <w:i/>
          <w:iCs/>
          <w:color w:val="auto"/>
          <w:lang w:val="en-US"/>
        </w:rPr>
        <w:t xml:space="preserve">, </w:t>
      </w:r>
      <w:proofErr w:type="spellStart"/>
      <w:r w:rsidRPr="001005B7">
        <w:rPr>
          <w:i/>
          <w:iCs/>
          <w:color w:val="auto"/>
          <w:lang w:val="en-US"/>
        </w:rPr>
        <w:t>Redaktion</w:t>
      </w:r>
      <w:proofErr w:type="spellEnd"/>
      <w:r w:rsidRPr="001005B7">
        <w:rPr>
          <w:i/>
          <w:iCs/>
          <w:color w:val="auto"/>
          <w:lang w:val="en-US"/>
        </w:rPr>
        <w:t xml:space="preserve"> und </w:t>
      </w:r>
      <w:proofErr w:type="spellStart"/>
      <w:r w:rsidRPr="001005B7">
        <w:rPr>
          <w:i/>
          <w:iCs/>
          <w:color w:val="auto"/>
          <w:lang w:val="en-US"/>
        </w:rPr>
        <w:t>Rezeption</w:t>
      </w:r>
      <w:proofErr w:type="spellEnd"/>
      <w:r w:rsidRPr="001005B7">
        <w:rPr>
          <w:color w:val="auto"/>
          <w:lang w:val="en-US"/>
        </w:rPr>
        <w:t xml:space="preserve">, </w:t>
      </w:r>
      <w:r w:rsidR="007F247E" w:rsidRPr="001005B7">
        <w:rPr>
          <w:color w:val="auto"/>
          <w:lang w:val="en-US"/>
        </w:rPr>
        <w:t>63</w:t>
      </w:r>
      <w:r w:rsidR="00F46900" w:rsidRPr="001005B7">
        <w:rPr>
          <w:color w:val="auto"/>
          <w:lang w:val="en-US"/>
        </w:rPr>
        <w:t>–</w:t>
      </w:r>
      <w:r w:rsidR="007F247E" w:rsidRPr="001005B7">
        <w:rPr>
          <w:color w:val="auto"/>
          <w:lang w:val="en-US"/>
        </w:rPr>
        <w:t>8</w:t>
      </w:r>
      <w:r w:rsidR="008B55E8" w:rsidRPr="001005B7">
        <w:rPr>
          <w:color w:val="auto"/>
          <w:lang w:val="en-US"/>
        </w:rPr>
        <w:t>7</w:t>
      </w:r>
      <w:r w:rsidRPr="001005B7">
        <w:rPr>
          <w:color w:val="auto"/>
          <w:lang w:val="en-US"/>
        </w:rPr>
        <w:t>. BZAW 516. Berlin: de Gruyter, 2020.</w:t>
      </w:r>
    </w:p>
    <w:p w14:paraId="2A9263E7" w14:textId="43620366" w:rsidR="007975CD" w:rsidRPr="001005B7" w:rsidRDefault="00406A85" w:rsidP="006F5BB0">
      <w:pPr>
        <w:pStyle w:val="ListParagraph"/>
        <w:rPr>
          <w:color w:val="auto"/>
          <w:lang w:val="en-US"/>
        </w:rPr>
      </w:pPr>
      <w:r w:rsidRPr="001005B7">
        <w:rPr>
          <w:color w:val="auto"/>
          <w:lang w:val="en-US"/>
        </w:rPr>
        <w:t>Lust, J</w:t>
      </w:r>
      <w:r w:rsidR="00A00159">
        <w:rPr>
          <w:color w:val="auto"/>
          <w:lang w:val="en-US"/>
        </w:rPr>
        <w:t>ohan</w:t>
      </w:r>
      <w:r w:rsidRPr="001005B7">
        <w:rPr>
          <w:color w:val="auto"/>
          <w:lang w:val="en-US"/>
        </w:rPr>
        <w:t>, K</w:t>
      </w:r>
      <w:r w:rsidR="008B315A">
        <w:rPr>
          <w:color w:val="auto"/>
          <w:lang w:val="en-US"/>
        </w:rPr>
        <w:t>atrin</w:t>
      </w:r>
      <w:r w:rsidRPr="001005B7">
        <w:rPr>
          <w:color w:val="auto"/>
          <w:lang w:val="en-US"/>
        </w:rPr>
        <w:t xml:space="preserve"> Hauspie, and </w:t>
      </w:r>
      <w:proofErr w:type="spellStart"/>
      <w:r w:rsidRPr="001005B7">
        <w:rPr>
          <w:color w:val="auto"/>
          <w:lang w:val="en-US"/>
        </w:rPr>
        <w:t>A</w:t>
      </w:r>
      <w:r w:rsidR="008B315A">
        <w:rPr>
          <w:color w:val="auto"/>
          <w:lang w:val="en-US"/>
        </w:rPr>
        <w:t>ntoon</w:t>
      </w:r>
      <w:proofErr w:type="spellEnd"/>
      <w:r w:rsidRPr="001005B7">
        <w:rPr>
          <w:color w:val="auto"/>
          <w:lang w:val="en-US"/>
        </w:rPr>
        <w:t xml:space="preserve"> </w:t>
      </w:r>
      <w:proofErr w:type="spellStart"/>
      <w:r w:rsidRPr="001005B7">
        <w:rPr>
          <w:color w:val="auto"/>
          <w:lang w:val="en-US"/>
        </w:rPr>
        <w:t>Ternier</w:t>
      </w:r>
      <w:proofErr w:type="spellEnd"/>
      <w:r w:rsidRPr="001005B7">
        <w:rPr>
          <w:color w:val="auto"/>
          <w:lang w:val="en-US"/>
        </w:rPr>
        <w:t xml:space="preserve">. </w:t>
      </w:r>
      <w:r w:rsidR="00874AC7" w:rsidRPr="001005B7">
        <w:rPr>
          <w:color w:val="auto"/>
          <w:lang w:val="en-US"/>
        </w:rPr>
        <w:t>“Notes to the Septuagint: Ezekiel 7.”</w:t>
      </w:r>
      <w:r w:rsidR="005169D1" w:rsidRPr="001005B7">
        <w:rPr>
          <w:color w:val="auto"/>
          <w:lang w:val="en-US"/>
        </w:rPr>
        <w:t xml:space="preserve"> </w:t>
      </w:r>
      <w:r w:rsidR="005169D1" w:rsidRPr="001005B7">
        <w:rPr>
          <w:i/>
          <w:iCs/>
          <w:color w:val="auto"/>
          <w:lang w:val="en-US"/>
        </w:rPr>
        <w:t>ETL</w:t>
      </w:r>
      <w:r w:rsidR="005169D1" w:rsidRPr="001005B7">
        <w:rPr>
          <w:color w:val="auto"/>
          <w:lang w:val="en-US"/>
        </w:rPr>
        <w:t xml:space="preserve"> </w:t>
      </w:r>
      <w:r w:rsidR="000404AF" w:rsidRPr="001005B7">
        <w:rPr>
          <w:color w:val="auto"/>
          <w:lang w:val="en-US"/>
        </w:rPr>
        <w:t>384</w:t>
      </w:r>
      <w:r w:rsidR="00F46900" w:rsidRPr="001005B7">
        <w:rPr>
          <w:color w:val="auto"/>
          <w:lang w:val="en-US"/>
        </w:rPr>
        <w:t>–</w:t>
      </w:r>
      <w:r w:rsidR="00191DAF" w:rsidRPr="001005B7">
        <w:rPr>
          <w:color w:val="auto"/>
          <w:lang w:val="en-US"/>
        </w:rPr>
        <w:t>94.</w:t>
      </w:r>
    </w:p>
    <w:p w14:paraId="1328077C" w14:textId="77777777" w:rsidR="0050010C" w:rsidRPr="001005B7" w:rsidRDefault="00CD2D12" w:rsidP="0050010C">
      <w:pPr>
        <w:pStyle w:val="ListParagraph"/>
        <w:rPr>
          <w:color w:val="auto"/>
          <w:lang w:val="en-US"/>
        </w:rPr>
      </w:pPr>
      <w:r w:rsidRPr="001005B7">
        <w:rPr>
          <w:color w:val="auto"/>
          <w:lang w:val="en-US"/>
        </w:rPr>
        <w:t xml:space="preserve">Mackie, Timothy. </w:t>
      </w:r>
      <w:r w:rsidR="00142D91" w:rsidRPr="001005B7">
        <w:rPr>
          <w:color w:val="auto"/>
          <w:lang w:val="en-US"/>
        </w:rPr>
        <w:t>“</w:t>
      </w:r>
      <w:r w:rsidRPr="001005B7">
        <w:rPr>
          <w:color w:val="auto"/>
          <w:lang w:val="en-US"/>
        </w:rPr>
        <w:t>Transformation in Ezekiel’s Textual History: Ezekiel 7 in the Masoretic Text</w:t>
      </w:r>
      <w:r w:rsidR="00142D91" w:rsidRPr="001005B7">
        <w:rPr>
          <w:color w:val="auto"/>
          <w:lang w:val="en-US"/>
        </w:rPr>
        <w:t xml:space="preserve"> </w:t>
      </w:r>
      <w:r w:rsidRPr="001005B7">
        <w:rPr>
          <w:color w:val="auto"/>
          <w:lang w:val="en-US"/>
        </w:rPr>
        <w:t>and the Septuagint</w:t>
      </w:r>
      <w:r w:rsidR="00142D91" w:rsidRPr="001005B7">
        <w:rPr>
          <w:color w:val="auto"/>
          <w:lang w:val="en-US"/>
        </w:rPr>
        <w:t xml:space="preserve">.” In </w:t>
      </w:r>
      <w:r w:rsidR="00112564" w:rsidRPr="001005B7">
        <w:rPr>
          <w:color w:val="auto"/>
          <w:lang w:val="en-US"/>
        </w:rPr>
        <w:t xml:space="preserve">William A. </w:t>
      </w:r>
      <w:proofErr w:type="spellStart"/>
      <w:r w:rsidR="00142D91" w:rsidRPr="001005B7">
        <w:rPr>
          <w:color w:val="auto"/>
          <w:lang w:val="en-US"/>
        </w:rPr>
        <w:t>Tooman</w:t>
      </w:r>
      <w:proofErr w:type="spellEnd"/>
      <w:r w:rsidR="00142D91" w:rsidRPr="001005B7">
        <w:rPr>
          <w:color w:val="auto"/>
          <w:lang w:val="en-US"/>
        </w:rPr>
        <w:t xml:space="preserve"> and </w:t>
      </w:r>
      <w:r w:rsidR="00112564" w:rsidRPr="001005B7">
        <w:rPr>
          <w:color w:val="auto"/>
          <w:lang w:val="en-US"/>
        </w:rPr>
        <w:t xml:space="preserve">Michael </w:t>
      </w:r>
      <w:r w:rsidR="00192B22" w:rsidRPr="001005B7">
        <w:rPr>
          <w:color w:val="auto"/>
          <w:lang w:val="en-US"/>
        </w:rPr>
        <w:t xml:space="preserve">A. </w:t>
      </w:r>
      <w:r w:rsidR="00142D91" w:rsidRPr="001005B7">
        <w:rPr>
          <w:color w:val="auto"/>
          <w:lang w:val="en-US"/>
        </w:rPr>
        <w:t xml:space="preserve">Lyons, </w:t>
      </w:r>
      <w:r w:rsidR="0058195C" w:rsidRPr="001005B7">
        <w:rPr>
          <w:i/>
          <w:iCs/>
          <w:color w:val="auto"/>
          <w:lang w:val="en-US"/>
        </w:rPr>
        <w:t>Transforming Visions</w:t>
      </w:r>
      <w:r w:rsidR="00ED5A86" w:rsidRPr="001005B7">
        <w:rPr>
          <w:i/>
          <w:iCs/>
          <w:color w:val="auto"/>
          <w:lang w:val="en-US"/>
        </w:rPr>
        <w:t>:</w:t>
      </w:r>
      <w:r w:rsidR="00ED5A86" w:rsidRPr="001005B7">
        <w:rPr>
          <w:color w:val="auto"/>
          <w:lang w:val="en-US"/>
        </w:rPr>
        <w:t xml:space="preserve"> </w:t>
      </w:r>
      <w:r w:rsidR="00ED5A86" w:rsidRPr="001005B7">
        <w:rPr>
          <w:i/>
          <w:iCs/>
          <w:color w:val="auto"/>
          <w:lang w:val="en-US"/>
        </w:rPr>
        <w:t>Transformations of Text, Tradition and Theology in Ezekiel</w:t>
      </w:r>
      <w:r w:rsidR="00ED5A86" w:rsidRPr="001005B7">
        <w:rPr>
          <w:color w:val="auto"/>
          <w:lang w:val="en-US"/>
        </w:rPr>
        <w:t xml:space="preserve">, </w:t>
      </w:r>
      <w:r w:rsidR="0058195C" w:rsidRPr="001005B7">
        <w:rPr>
          <w:color w:val="auto"/>
          <w:lang w:val="en-US"/>
        </w:rPr>
        <w:t>249</w:t>
      </w:r>
      <w:r w:rsidR="00F46900" w:rsidRPr="001005B7">
        <w:rPr>
          <w:color w:val="auto"/>
          <w:lang w:val="en-US"/>
        </w:rPr>
        <w:t>–</w:t>
      </w:r>
      <w:r w:rsidR="0058195C" w:rsidRPr="001005B7">
        <w:rPr>
          <w:color w:val="auto"/>
          <w:lang w:val="en-US"/>
        </w:rPr>
        <w:t xml:space="preserve">78. </w:t>
      </w:r>
      <w:r w:rsidR="00A37425" w:rsidRPr="001005B7">
        <w:rPr>
          <w:color w:val="auto"/>
          <w:lang w:val="en-US"/>
        </w:rPr>
        <w:t>Cambridge: Clarke, 2010.</w:t>
      </w:r>
    </w:p>
    <w:p w14:paraId="2B2E1E2F" w14:textId="116EB3DE" w:rsidR="0050010C" w:rsidRPr="001005B7" w:rsidRDefault="0050010C" w:rsidP="00265D46">
      <w:pPr>
        <w:spacing w:after="60" w:line="240" w:lineRule="auto"/>
        <w:ind w:left="567" w:hanging="567"/>
        <w:rPr>
          <w:rFonts w:ascii="Calibri" w:eastAsia="Times New Roman" w:hAnsi="Calibri" w:cs="Calibri"/>
          <w:lang w:val="de-DE" w:eastAsia="en-GB"/>
        </w:rPr>
      </w:pPr>
      <w:proofErr w:type="spellStart"/>
      <w:r w:rsidRPr="001005B7">
        <w:t>Stiebert</w:t>
      </w:r>
      <w:proofErr w:type="spellEnd"/>
      <w:r w:rsidRPr="001005B7">
        <w:t xml:space="preserve">. Johanna. </w:t>
      </w:r>
      <w:r w:rsidR="00250BAA" w:rsidRPr="001005B7">
        <w:t>”</w:t>
      </w:r>
      <w:r w:rsidRPr="001005B7">
        <w:t>Riches in Isaiah and Ezekiel: An Example of Prophetic Inversion.</w:t>
      </w:r>
      <w:r w:rsidR="00AA0669" w:rsidRPr="001005B7">
        <w:t>“</w:t>
      </w:r>
      <w:r w:rsidR="00AA0669" w:rsidRPr="001005B7">
        <w:rPr>
          <w:rFonts w:ascii="Calibri" w:eastAsia="Times New Roman" w:hAnsi="Calibri" w:cs="Calibri"/>
          <w:lang w:val="de-DE" w:eastAsia="en-GB"/>
        </w:rPr>
        <w:t xml:space="preserve"> In </w:t>
      </w:r>
      <w:r w:rsidR="00AA0669" w:rsidRPr="001005B7">
        <w:t xml:space="preserve">Sean </w:t>
      </w:r>
      <w:proofErr w:type="spellStart"/>
      <w:r w:rsidR="00AA0669" w:rsidRPr="001005B7">
        <w:t>Freyne</w:t>
      </w:r>
      <w:proofErr w:type="spellEnd"/>
      <w:r w:rsidR="00AA0669" w:rsidRPr="001005B7">
        <w:t xml:space="preserve"> and Ellen </w:t>
      </w:r>
      <w:r w:rsidR="00CB095F" w:rsidRPr="001005B7">
        <w:t>v</w:t>
      </w:r>
      <w:r w:rsidR="00AA0669" w:rsidRPr="001005B7">
        <w:t xml:space="preserve">an </w:t>
      </w:r>
      <w:proofErr w:type="spellStart"/>
      <w:r w:rsidR="00AA0669" w:rsidRPr="001005B7">
        <w:t>Wolde</w:t>
      </w:r>
      <w:proofErr w:type="spellEnd"/>
      <w:r w:rsidR="00AA0669" w:rsidRPr="001005B7">
        <w:t>, ed.,</w:t>
      </w:r>
      <w:r w:rsidR="00A9256F" w:rsidRPr="001005B7">
        <w:t xml:space="preserve"> </w:t>
      </w:r>
      <w:r w:rsidRPr="001005B7">
        <w:rPr>
          <w:i/>
          <w:iCs/>
        </w:rPr>
        <w:t>The Many Voices of the Bible</w:t>
      </w:r>
      <w:r w:rsidR="00A9256F" w:rsidRPr="001005B7">
        <w:t xml:space="preserve">, </w:t>
      </w:r>
      <w:r w:rsidR="00265D46" w:rsidRPr="001005B7">
        <w:t>33</w:t>
      </w:r>
      <w:r w:rsidR="00F440C0">
        <w:t>–</w:t>
      </w:r>
      <w:r w:rsidR="00265D46" w:rsidRPr="001005B7">
        <w:t>40.</w:t>
      </w:r>
      <w:r w:rsidRPr="001005B7">
        <w:t xml:space="preserve"> Concilium 2002/1. London: SCM, 200</w:t>
      </w:r>
      <w:r w:rsidR="00AA0669" w:rsidRPr="001005B7">
        <w:t>0.</w:t>
      </w:r>
    </w:p>
    <w:p w14:paraId="70B96390" w14:textId="02F3A42F" w:rsidR="004A2C72" w:rsidRPr="001005B7" w:rsidRDefault="00620DEB" w:rsidP="006F5BB0">
      <w:pPr>
        <w:pStyle w:val="ListParagraph"/>
        <w:rPr>
          <w:color w:val="auto"/>
          <w:lang w:val="en-US"/>
        </w:rPr>
      </w:pPr>
      <w:r w:rsidRPr="001005B7">
        <w:rPr>
          <w:color w:val="auto"/>
          <w:lang w:val="en-US"/>
        </w:rPr>
        <w:t>v</w:t>
      </w:r>
      <w:r w:rsidR="00895D30" w:rsidRPr="001005B7">
        <w:rPr>
          <w:color w:val="auto"/>
          <w:lang w:val="en-US"/>
        </w:rPr>
        <w:t xml:space="preserve">an </w:t>
      </w:r>
      <w:proofErr w:type="spellStart"/>
      <w:r w:rsidR="00895D30" w:rsidRPr="001005B7">
        <w:rPr>
          <w:color w:val="auto"/>
          <w:lang w:val="en-US"/>
        </w:rPr>
        <w:t>Rooy</w:t>
      </w:r>
      <w:proofErr w:type="spellEnd"/>
      <w:r w:rsidR="00895D30" w:rsidRPr="001005B7">
        <w:rPr>
          <w:color w:val="auto"/>
          <w:lang w:val="en-US"/>
        </w:rPr>
        <w:t xml:space="preserve">, </w:t>
      </w:r>
      <w:proofErr w:type="spellStart"/>
      <w:r w:rsidRPr="001005B7">
        <w:rPr>
          <w:color w:val="auto"/>
          <w:lang w:val="en-US"/>
        </w:rPr>
        <w:t>Herrie</w:t>
      </w:r>
      <w:proofErr w:type="spellEnd"/>
      <w:r w:rsidRPr="001005B7">
        <w:rPr>
          <w:color w:val="auto"/>
          <w:lang w:val="en-US"/>
        </w:rPr>
        <w:t xml:space="preserve">. </w:t>
      </w:r>
      <w:r w:rsidR="00895D30" w:rsidRPr="001005B7">
        <w:rPr>
          <w:color w:val="auto"/>
          <w:lang w:val="en-US"/>
        </w:rPr>
        <w:t>“</w:t>
      </w:r>
      <w:proofErr w:type="spellStart"/>
      <w:r w:rsidR="00895D30" w:rsidRPr="001005B7">
        <w:rPr>
          <w:color w:val="auto"/>
          <w:lang w:val="en-US"/>
        </w:rPr>
        <w:t>Vrede</w:t>
      </w:r>
      <w:proofErr w:type="spellEnd"/>
      <w:r w:rsidR="00895D30" w:rsidRPr="001005B7">
        <w:rPr>
          <w:color w:val="auto"/>
          <w:lang w:val="en-US"/>
        </w:rPr>
        <w:t xml:space="preserve"> in die </w:t>
      </w:r>
      <w:proofErr w:type="spellStart"/>
      <w:r w:rsidR="00895D30" w:rsidRPr="001005B7">
        <w:rPr>
          <w:color w:val="auto"/>
          <w:lang w:val="en-US"/>
        </w:rPr>
        <w:t>Boek</w:t>
      </w:r>
      <w:proofErr w:type="spellEnd"/>
      <w:r w:rsidR="00895D30" w:rsidRPr="001005B7">
        <w:rPr>
          <w:color w:val="auto"/>
          <w:lang w:val="en-US"/>
        </w:rPr>
        <w:t xml:space="preserve"> </w:t>
      </w:r>
      <w:r w:rsidR="00895D30" w:rsidRPr="001005B7">
        <w:rPr>
          <w:color w:val="auto"/>
          <w:sz w:val="20"/>
          <w:szCs w:val="20"/>
          <w:lang w:val="en-US"/>
        </w:rPr>
        <w:t xml:space="preserve">van </w:t>
      </w:r>
      <w:proofErr w:type="spellStart"/>
      <w:r w:rsidR="00895D30" w:rsidRPr="001005B7">
        <w:rPr>
          <w:color w:val="auto"/>
          <w:sz w:val="20"/>
          <w:szCs w:val="20"/>
          <w:lang w:val="en-US"/>
        </w:rPr>
        <w:t>Esegiël</w:t>
      </w:r>
      <w:proofErr w:type="spellEnd"/>
      <w:r w:rsidR="00895D30" w:rsidRPr="001005B7">
        <w:rPr>
          <w:color w:val="auto"/>
          <w:lang w:val="en-US"/>
        </w:rPr>
        <w:t>.”</w:t>
      </w:r>
      <w:r w:rsidRPr="001005B7">
        <w:rPr>
          <w:color w:val="auto"/>
          <w:lang w:val="en-US"/>
        </w:rPr>
        <w:t xml:space="preserve"> </w:t>
      </w:r>
      <w:r w:rsidR="00D7023D" w:rsidRPr="001005B7">
        <w:rPr>
          <w:i/>
          <w:iCs/>
          <w:color w:val="auto"/>
          <w:lang w:val="en-US"/>
        </w:rPr>
        <w:t xml:space="preserve">HTS </w:t>
      </w:r>
      <w:r w:rsidR="00D7023D" w:rsidRPr="001005B7">
        <w:rPr>
          <w:color w:val="auto"/>
          <w:lang w:val="en-US"/>
        </w:rPr>
        <w:t>71</w:t>
      </w:r>
      <w:r w:rsidR="00967DEF" w:rsidRPr="001005B7">
        <w:rPr>
          <w:color w:val="auto"/>
          <w:lang w:val="en-US"/>
        </w:rPr>
        <w:t>/1</w:t>
      </w:r>
      <w:r w:rsidR="00FD5C29" w:rsidRPr="001005B7">
        <w:rPr>
          <w:color w:val="auto"/>
          <w:lang w:val="en-US"/>
        </w:rPr>
        <w:t xml:space="preserve"> </w:t>
      </w:r>
      <w:r w:rsidR="00967DEF" w:rsidRPr="001005B7">
        <w:rPr>
          <w:color w:val="auto"/>
          <w:lang w:val="en-US"/>
        </w:rPr>
        <w:t>(</w:t>
      </w:r>
      <w:r w:rsidR="00FD5C29" w:rsidRPr="001005B7">
        <w:rPr>
          <w:color w:val="auto"/>
          <w:lang w:val="en-US"/>
        </w:rPr>
        <w:t>2015</w:t>
      </w:r>
      <w:r w:rsidR="00967DEF" w:rsidRPr="001005B7">
        <w:rPr>
          <w:color w:val="auto"/>
          <w:lang w:val="en-US"/>
        </w:rPr>
        <w:t>).</w:t>
      </w:r>
    </w:p>
    <w:p w14:paraId="37787DD6" w14:textId="402403F0" w:rsidR="00FA7E46" w:rsidRPr="001005B7" w:rsidRDefault="00FA7E46" w:rsidP="006F5BB0">
      <w:pPr>
        <w:pStyle w:val="ListParagraph"/>
        <w:rPr>
          <w:color w:val="auto"/>
          <w:lang w:val="en-US"/>
        </w:rPr>
      </w:pPr>
      <w:r w:rsidRPr="001005B7">
        <w:rPr>
          <w:color w:val="auto"/>
          <w:lang w:val="en-US"/>
        </w:rPr>
        <w:t xml:space="preserve">Wong, </w:t>
      </w:r>
      <w:r w:rsidR="000647D0" w:rsidRPr="001005B7">
        <w:rPr>
          <w:color w:val="auto"/>
          <w:lang w:val="en-US"/>
        </w:rPr>
        <w:t xml:space="preserve">Ka Leung. “Profanation/Sanctification and the Past, Present and Future of Israel in the Book of Ezekiel.” </w:t>
      </w:r>
      <w:r w:rsidR="000647D0" w:rsidRPr="001005B7">
        <w:rPr>
          <w:i/>
          <w:iCs/>
          <w:color w:val="auto"/>
          <w:lang w:val="en-US"/>
        </w:rPr>
        <w:t>JSOT</w:t>
      </w:r>
      <w:r w:rsidR="000647D0" w:rsidRPr="001005B7">
        <w:rPr>
          <w:color w:val="auto"/>
          <w:lang w:val="en-US"/>
        </w:rPr>
        <w:t xml:space="preserve"> </w:t>
      </w:r>
      <w:r w:rsidR="00F35CC4" w:rsidRPr="001005B7">
        <w:rPr>
          <w:color w:val="auto"/>
          <w:lang w:val="en-US"/>
        </w:rPr>
        <w:t>28 (2003): 210</w:t>
      </w:r>
      <w:r w:rsidR="00F46900" w:rsidRPr="001005B7">
        <w:rPr>
          <w:color w:val="auto"/>
          <w:lang w:val="en-US"/>
        </w:rPr>
        <w:t>–</w:t>
      </w:r>
      <w:r w:rsidR="00F35CC4" w:rsidRPr="001005B7">
        <w:rPr>
          <w:color w:val="auto"/>
          <w:lang w:val="en-US"/>
        </w:rPr>
        <w:t xml:space="preserve">39. </w:t>
      </w:r>
    </w:p>
    <w:p w14:paraId="2E4324F6" w14:textId="67284A6D" w:rsidR="00221A9A" w:rsidRPr="001005B7" w:rsidRDefault="001527FC" w:rsidP="003062B5">
      <w:pPr>
        <w:pStyle w:val="Heading2"/>
        <w:rPr>
          <w:color w:val="auto"/>
        </w:rPr>
      </w:pPr>
      <w:r w:rsidRPr="001005B7">
        <w:rPr>
          <w:color w:val="auto"/>
        </w:rPr>
        <w:t xml:space="preserve">Part Two: </w:t>
      </w:r>
      <w:r w:rsidR="00221A9A" w:rsidRPr="001005B7">
        <w:rPr>
          <w:color w:val="auto"/>
        </w:rPr>
        <w:t>Yahweh’s Message</w:t>
      </w:r>
      <w:r w:rsidR="007C70B8" w:rsidRPr="001005B7">
        <w:rPr>
          <w:color w:val="auto"/>
        </w:rPr>
        <w:t>s</w:t>
      </w:r>
      <w:r w:rsidR="00221A9A" w:rsidRPr="001005B7">
        <w:rPr>
          <w:color w:val="auto"/>
        </w:rPr>
        <w:t xml:space="preserve"> to Ezekiel</w:t>
      </w:r>
      <w:r w:rsidR="005A283B" w:rsidRPr="001005B7">
        <w:rPr>
          <w:color w:val="auto"/>
        </w:rPr>
        <w:t>,</w:t>
      </w:r>
      <w:r w:rsidR="003A15C5" w:rsidRPr="001005B7">
        <w:rPr>
          <w:color w:val="auto"/>
        </w:rPr>
        <w:t xml:space="preserve"> Year Six (</w:t>
      </w:r>
      <w:r w:rsidR="0016503D" w:rsidRPr="001005B7">
        <w:rPr>
          <w:color w:val="auto"/>
        </w:rPr>
        <w:t>8:</w:t>
      </w:r>
      <w:r w:rsidR="008C20C7" w:rsidRPr="001005B7">
        <w:rPr>
          <w:color w:val="auto"/>
        </w:rPr>
        <w:t>1</w:t>
      </w:r>
      <w:r w:rsidR="00F46900" w:rsidRPr="001005B7">
        <w:rPr>
          <w:color w:val="auto"/>
        </w:rPr>
        <w:t>–</w:t>
      </w:r>
      <w:r w:rsidR="008C20C7" w:rsidRPr="001005B7">
        <w:rPr>
          <w:color w:val="auto"/>
        </w:rPr>
        <w:t>19:14)</w:t>
      </w:r>
    </w:p>
    <w:p w14:paraId="084A10C3" w14:textId="3173C60A" w:rsidR="00995CD8" w:rsidRPr="001005B7" w:rsidRDefault="00722BB3" w:rsidP="00151F47">
      <w:r w:rsidRPr="001005B7">
        <w:t xml:space="preserve">The date in 8:1 </w:t>
      </w:r>
      <w:r w:rsidR="00FF4C45" w:rsidRPr="001005B7">
        <w:t>marks a new beginning</w:t>
      </w:r>
      <w:r w:rsidR="0044307B" w:rsidRPr="001005B7">
        <w:t>,</w:t>
      </w:r>
      <w:r w:rsidR="00DE4A7F" w:rsidRPr="001005B7">
        <w:t xml:space="preserve"> </w:t>
      </w:r>
      <w:r w:rsidR="00A1052A">
        <w:t>introducing</w:t>
      </w:r>
      <w:r w:rsidR="00DE4A7F" w:rsidRPr="001005B7">
        <w:t xml:space="preserve"> </w:t>
      </w:r>
      <w:r w:rsidR="00885A28" w:rsidRPr="001005B7">
        <w:t>Ezek 8</w:t>
      </w:r>
      <w:r w:rsidR="00F46900" w:rsidRPr="001005B7">
        <w:t>–</w:t>
      </w:r>
      <w:r w:rsidR="00885A28" w:rsidRPr="001005B7">
        <w:t>19</w:t>
      </w:r>
      <w:r w:rsidR="00082514" w:rsidRPr="001005B7">
        <w:t xml:space="preserve">. </w:t>
      </w:r>
      <w:r w:rsidR="00F92321" w:rsidRPr="001005B7">
        <w:t xml:space="preserve">Part One has </w:t>
      </w:r>
      <w:r w:rsidR="00DE5C8A">
        <w:t xml:space="preserve">announced </w:t>
      </w:r>
      <w:r w:rsidR="00F92321" w:rsidRPr="001005B7">
        <w:t>the further catastrophe that is coming on Jerusalem and the rationale for it, but it has done so mostly in general terms. More concrete critique and threat now follow</w:t>
      </w:r>
      <w:r w:rsidR="00850B23">
        <w:t xml:space="preserve"> in Part Two of the scroll</w:t>
      </w:r>
      <w:r w:rsidR="00F92321" w:rsidRPr="001005B7">
        <w:t>.</w:t>
      </w:r>
      <w:r w:rsidR="00A10ED9" w:rsidRPr="001005B7">
        <w:t xml:space="preserve"> </w:t>
      </w:r>
      <w:r w:rsidR="00082514" w:rsidRPr="001005B7">
        <w:t>T</w:t>
      </w:r>
      <w:r w:rsidR="000B5377" w:rsidRPr="001005B7">
        <w:t>h</w:t>
      </w:r>
      <w:r w:rsidR="00D454CF" w:rsidRPr="001005B7">
        <w:t>e next date</w:t>
      </w:r>
      <w:r w:rsidR="005B2576" w:rsidRPr="001005B7">
        <w:t>,</w:t>
      </w:r>
      <w:r w:rsidR="00D454CF" w:rsidRPr="001005B7">
        <w:t xml:space="preserve"> in 20:1</w:t>
      </w:r>
      <w:r w:rsidR="005B2576" w:rsidRPr="001005B7">
        <w:t>,</w:t>
      </w:r>
      <w:r w:rsidR="00772206" w:rsidRPr="001005B7">
        <w:t xml:space="preserve"> is</w:t>
      </w:r>
      <w:r w:rsidR="007D3DE9" w:rsidRPr="001005B7">
        <w:t xml:space="preserve"> another year later</w:t>
      </w:r>
      <w:r w:rsidR="004A12C5" w:rsidRPr="001005B7">
        <w:t xml:space="preserve">, and it </w:t>
      </w:r>
      <w:r w:rsidR="001351D8" w:rsidRPr="001005B7">
        <w:t xml:space="preserve">will </w:t>
      </w:r>
      <w:r w:rsidR="005A7DAE" w:rsidRPr="001005B7">
        <w:t>introduce</w:t>
      </w:r>
      <w:r w:rsidR="001351D8" w:rsidRPr="001005B7">
        <w:t xml:space="preserve"> </w:t>
      </w:r>
      <w:r w:rsidR="006400D1">
        <w:t xml:space="preserve">Part Three, </w:t>
      </w:r>
      <w:r w:rsidR="001351D8" w:rsidRPr="001005B7">
        <w:t>20:1</w:t>
      </w:r>
      <w:r w:rsidR="00F46900" w:rsidRPr="001005B7">
        <w:t>–</w:t>
      </w:r>
      <w:r w:rsidR="001F12D4" w:rsidRPr="001005B7">
        <w:t>23:49</w:t>
      </w:r>
      <w:r w:rsidR="006400D1">
        <w:t>,</w:t>
      </w:r>
      <w:r w:rsidR="005551F2" w:rsidRPr="001005B7">
        <w:t xml:space="preserve"> and</w:t>
      </w:r>
      <w:r w:rsidR="0041202B" w:rsidRPr="001005B7">
        <w:t xml:space="preserve"> take </w:t>
      </w:r>
      <w:r w:rsidR="005551F2" w:rsidRPr="001005B7">
        <w:t>readers</w:t>
      </w:r>
      <w:r w:rsidR="0041202B" w:rsidRPr="001005B7">
        <w:t xml:space="preserve"> to the </w:t>
      </w:r>
      <w:r w:rsidR="007F14F5" w:rsidRPr="001005B7">
        <w:t>siege of Jerusalem (24:1).</w:t>
      </w:r>
      <w:r w:rsidR="00E451F3" w:rsidRPr="001005B7">
        <w:t xml:space="preserve"> </w:t>
      </w:r>
      <w:r w:rsidR="00C20729" w:rsidRPr="001005B7">
        <w:t>T</w:t>
      </w:r>
      <w:r w:rsidR="00E451F3" w:rsidRPr="001005B7">
        <w:t xml:space="preserve">he contents of Parts One, Two, and Three </w:t>
      </w:r>
      <w:r w:rsidR="002F5014" w:rsidRPr="001005B7">
        <w:t xml:space="preserve">thus </w:t>
      </w:r>
      <w:r w:rsidR="00E451F3" w:rsidRPr="001005B7">
        <w:t xml:space="preserve">mark the initiation, </w:t>
      </w:r>
      <w:r w:rsidR="002F5014" w:rsidRPr="001005B7">
        <w:t xml:space="preserve">the </w:t>
      </w:r>
      <w:r w:rsidR="00E451F3" w:rsidRPr="001005B7">
        <w:t xml:space="preserve">main body, and </w:t>
      </w:r>
      <w:r w:rsidR="002F5014" w:rsidRPr="001005B7">
        <w:t xml:space="preserve">the </w:t>
      </w:r>
      <w:r w:rsidR="00C20729" w:rsidRPr="001005B7">
        <w:t>end</w:t>
      </w:r>
      <w:r w:rsidR="00E451F3" w:rsidRPr="001005B7">
        <w:t xml:space="preserve"> of Ezekiel’s work before the siege</w:t>
      </w:r>
      <w:r w:rsidR="00675D8F" w:rsidRPr="001005B7">
        <w:t>. They</w:t>
      </w:r>
      <w:r w:rsidR="00D675F6" w:rsidRPr="001005B7">
        <w:t xml:space="preserve"> </w:t>
      </w:r>
      <w:r w:rsidR="007329EA" w:rsidRPr="001005B7">
        <w:t>suggest</w:t>
      </w:r>
      <w:r w:rsidR="00D675F6" w:rsidRPr="001005B7">
        <w:t xml:space="preserve"> increasing tension</w:t>
      </w:r>
      <w:r w:rsidR="007F14F5" w:rsidRPr="001005B7">
        <w:t xml:space="preserve"> </w:t>
      </w:r>
      <w:r w:rsidR="007329EA" w:rsidRPr="001005B7">
        <w:t xml:space="preserve">as they </w:t>
      </w:r>
      <w:r w:rsidR="005624BE" w:rsidRPr="001005B7">
        <w:t xml:space="preserve">put increasing stress on the waywardness that makes the </w:t>
      </w:r>
      <w:r w:rsidR="007A1BF9" w:rsidRPr="001005B7">
        <w:t xml:space="preserve">catastrophe necessary and </w:t>
      </w:r>
      <w:r w:rsidR="004B63B5" w:rsidRPr="001005B7">
        <w:t xml:space="preserve">on </w:t>
      </w:r>
      <w:r w:rsidR="007A1BF9" w:rsidRPr="001005B7">
        <w:t>the unmitigated disaster it will be</w:t>
      </w:r>
      <w:r w:rsidR="006023F6" w:rsidRPr="001005B7">
        <w:t xml:space="preserve">, </w:t>
      </w:r>
      <w:r w:rsidR="00C37787" w:rsidRPr="001005B7">
        <w:t xml:space="preserve">though they also allow </w:t>
      </w:r>
      <w:r w:rsidR="006F1E21" w:rsidRPr="001005B7">
        <w:t xml:space="preserve">some </w:t>
      </w:r>
      <w:r w:rsidR="007E2638" w:rsidRPr="001005B7">
        <w:t>possibilities for a more positive future</w:t>
      </w:r>
      <w:r w:rsidR="006F1E21" w:rsidRPr="001005B7">
        <w:t xml:space="preserve"> </w:t>
      </w:r>
      <w:r w:rsidR="00897DB0" w:rsidRPr="001005B7">
        <w:t>b</w:t>
      </w:r>
      <w:r w:rsidR="00353BD1" w:rsidRPr="001005B7">
        <w:t>ecause of</w:t>
      </w:r>
      <w:r w:rsidR="00897DB0" w:rsidRPr="001005B7">
        <w:t xml:space="preserve"> who Yahweh is</w:t>
      </w:r>
      <w:r w:rsidR="007E2638" w:rsidRPr="001005B7">
        <w:t xml:space="preserve"> and </w:t>
      </w:r>
      <w:r w:rsidR="00353BD1" w:rsidRPr="001005B7">
        <w:t>because of</w:t>
      </w:r>
      <w:r w:rsidR="007E2638" w:rsidRPr="001005B7">
        <w:t xml:space="preserve"> his commitments</w:t>
      </w:r>
      <w:r w:rsidR="007A1BF9" w:rsidRPr="001005B7">
        <w:t xml:space="preserve">. </w:t>
      </w:r>
      <w:r w:rsidR="007A0F61" w:rsidRPr="001005B7">
        <w:t>While t</w:t>
      </w:r>
      <w:r w:rsidR="00252BD3" w:rsidRPr="001005B7">
        <w:t xml:space="preserve">he </w:t>
      </w:r>
      <w:r w:rsidR="00174334" w:rsidRPr="001005B7">
        <w:t>chronological framework of the parts may imply</w:t>
      </w:r>
      <w:r w:rsidR="00B20D7B" w:rsidRPr="001005B7">
        <w:t xml:space="preserve"> </w:t>
      </w:r>
      <w:r w:rsidR="00252BD3" w:rsidRPr="001005B7">
        <w:t xml:space="preserve">that all the material in </w:t>
      </w:r>
      <w:r w:rsidR="00C706DB" w:rsidRPr="001005B7">
        <w:t xml:space="preserve">chapters </w:t>
      </w:r>
      <w:r w:rsidR="00D66C38" w:rsidRPr="001005B7">
        <w:t>8</w:t>
      </w:r>
      <w:r w:rsidR="00F46900" w:rsidRPr="001005B7">
        <w:t>–</w:t>
      </w:r>
      <w:r w:rsidR="00D66C38" w:rsidRPr="001005B7">
        <w:t xml:space="preserve">19 </w:t>
      </w:r>
      <w:r w:rsidR="008D2558" w:rsidRPr="001005B7">
        <w:t>basical</w:t>
      </w:r>
      <w:r w:rsidR="001A313F" w:rsidRPr="001005B7">
        <w:t xml:space="preserve">ly </w:t>
      </w:r>
      <w:r w:rsidR="00E41D54" w:rsidRPr="001005B7">
        <w:t>issued</w:t>
      </w:r>
      <w:r w:rsidR="00145BD8" w:rsidRPr="001005B7">
        <w:t xml:space="preserve"> from that same year</w:t>
      </w:r>
      <w:r w:rsidR="00011ABD" w:rsidRPr="001005B7">
        <w:t xml:space="preserve">, </w:t>
      </w:r>
      <w:r w:rsidR="00D70361" w:rsidRPr="001005B7">
        <w:t xml:space="preserve">Part Two is as long as Parts One and Three put together, and </w:t>
      </w:r>
      <w:r w:rsidR="00A860DD" w:rsidRPr="001005B7">
        <w:t>at</w:t>
      </w:r>
      <w:r w:rsidR="008D2558" w:rsidRPr="001005B7">
        <w:t xml:space="preserve"> least as significant is the </w:t>
      </w:r>
      <w:r w:rsidR="00B20D7B" w:rsidRPr="001005B7">
        <w:t xml:space="preserve">thematic organization of </w:t>
      </w:r>
      <w:r w:rsidR="00CC2DB1" w:rsidRPr="001005B7">
        <w:t>t</w:t>
      </w:r>
      <w:r w:rsidR="00B20D7B" w:rsidRPr="001005B7">
        <w:t>he chapters</w:t>
      </w:r>
      <w:r w:rsidR="00CC2DB1" w:rsidRPr="001005B7">
        <w:t xml:space="preserve">, which means we cannot </w:t>
      </w:r>
      <w:r w:rsidR="00F92321" w:rsidRPr="001005B7">
        <w:t>necessarily make that inference</w:t>
      </w:r>
      <w:r w:rsidR="00CC7F6F" w:rsidRPr="001005B7">
        <w:t xml:space="preserve">. </w:t>
      </w:r>
    </w:p>
    <w:p w14:paraId="7ACE3A8E" w14:textId="7C94EA6A" w:rsidR="000F2BEE" w:rsidRPr="001005B7" w:rsidRDefault="000F2BEE" w:rsidP="000F2BEE">
      <w:r w:rsidRPr="001005B7">
        <w:t>Ezek 1</w:t>
      </w:r>
      <w:r w:rsidR="00F46900" w:rsidRPr="001005B7">
        <w:t>–</w:t>
      </w:r>
      <w:r w:rsidRPr="001005B7">
        <w:t>7 compris</w:t>
      </w:r>
      <w:r w:rsidR="00A827FB" w:rsidRPr="001005B7">
        <w:t>e</w:t>
      </w:r>
      <w:r w:rsidR="001A313F" w:rsidRPr="001005B7">
        <w:t>d</w:t>
      </w:r>
      <w:r w:rsidRPr="001005B7">
        <w:t xml:space="preserve"> a sequence of visions, symbolic acts, explanations of the symbolic acts</w:t>
      </w:r>
      <w:r w:rsidR="006661CE" w:rsidRPr="001005B7">
        <w:t>,</w:t>
      </w:r>
      <w:r w:rsidRPr="001005B7">
        <w:t xml:space="preserve"> and rationales for them, and Ezek 8</w:t>
      </w:r>
      <w:r w:rsidR="00F46900" w:rsidRPr="001005B7">
        <w:t>–</w:t>
      </w:r>
      <w:r w:rsidRPr="001005B7">
        <w:t>11 begin</w:t>
      </w:r>
      <w:r w:rsidR="006C2E19" w:rsidRPr="001005B7">
        <w:t>s</w:t>
      </w:r>
      <w:r w:rsidRPr="001005B7">
        <w:t xml:space="preserve"> a parallel sequence</w:t>
      </w:r>
      <w:r w:rsidR="00F16BA6" w:rsidRPr="001005B7">
        <w:t>:</w:t>
      </w:r>
      <w:r w:rsidR="005E1A21" w:rsidRPr="001005B7">
        <w:t xml:space="preserve"> </w:t>
      </w:r>
    </w:p>
    <w:p w14:paraId="54A9567E" w14:textId="77777777" w:rsidR="000F2BEE" w:rsidRPr="001005B7" w:rsidRDefault="000F2BEE" w:rsidP="000F2BEE"/>
    <w:p w14:paraId="7BC22036" w14:textId="15CBCCB2" w:rsidR="00B40F2D" w:rsidRPr="001005B7" w:rsidRDefault="00B40F2D" w:rsidP="000F2BEE">
      <w:r w:rsidRPr="001005B7">
        <w:t>1:1</w:t>
      </w:r>
      <w:r w:rsidR="00F46900" w:rsidRPr="001005B7">
        <w:t>–</w:t>
      </w:r>
      <w:r w:rsidRPr="001005B7">
        <w:t xml:space="preserve">3 </w:t>
      </w:r>
      <w:r w:rsidRPr="001005B7">
        <w:tab/>
      </w:r>
      <w:r w:rsidRPr="001005B7">
        <w:tab/>
      </w:r>
      <w:r w:rsidR="002C7E76" w:rsidRPr="001005B7">
        <w:tab/>
      </w:r>
      <w:r w:rsidR="00CA618B" w:rsidRPr="001005B7">
        <w:t xml:space="preserve">          </w:t>
      </w:r>
      <w:r w:rsidRPr="001005B7">
        <w:t>A date</w:t>
      </w:r>
      <w:r w:rsidRPr="001005B7">
        <w:tab/>
      </w:r>
      <w:r w:rsidRPr="001005B7">
        <w:tab/>
      </w:r>
      <w:r w:rsidRPr="001005B7">
        <w:tab/>
        <w:t xml:space="preserve">8:1 </w:t>
      </w:r>
      <w:r w:rsidR="002A0ECA" w:rsidRPr="001005B7">
        <w:tab/>
      </w:r>
    </w:p>
    <w:p w14:paraId="7F67F1D1" w14:textId="3E76D55B" w:rsidR="000F2BEE" w:rsidRPr="001005B7" w:rsidRDefault="000F2BEE" w:rsidP="000F2BEE">
      <w:r w:rsidRPr="001005B7">
        <w:t>1:</w:t>
      </w:r>
      <w:r w:rsidR="00C9354D" w:rsidRPr="001005B7">
        <w:t>4</w:t>
      </w:r>
      <w:r w:rsidR="00F46900" w:rsidRPr="001005B7">
        <w:t>–</w:t>
      </w:r>
      <w:r w:rsidRPr="001005B7">
        <w:t>3:15/3:27</w:t>
      </w:r>
      <w:r w:rsidRPr="001005B7">
        <w:tab/>
      </w:r>
      <w:r w:rsidR="002C7E76" w:rsidRPr="001005B7">
        <w:tab/>
      </w:r>
      <w:r w:rsidR="00CA618B" w:rsidRPr="001005B7">
        <w:t xml:space="preserve">          </w:t>
      </w:r>
      <w:r w:rsidRPr="001005B7">
        <w:t>Visions</w:t>
      </w:r>
      <w:r w:rsidRPr="001005B7">
        <w:tab/>
      </w:r>
      <w:r w:rsidRPr="001005B7">
        <w:tab/>
      </w:r>
      <w:r w:rsidRPr="001005B7">
        <w:tab/>
        <w:t>8:</w:t>
      </w:r>
      <w:r w:rsidR="00C9354D" w:rsidRPr="001005B7">
        <w:t>2</w:t>
      </w:r>
      <w:r w:rsidR="00F46900" w:rsidRPr="001005B7">
        <w:t>–</w:t>
      </w:r>
      <w:r w:rsidRPr="001005B7">
        <w:t>11:25</w:t>
      </w:r>
    </w:p>
    <w:p w14:paraId="51B4DB28" w14:textId="116BE6E2" w:rsidR="000F2BEE" w:rsidRPr="001005B7" w:rsidRDefault="000F2BEE" w:rsidP="000F2BEE">
      <w:r w:rsidRPr="001005B7">
        <w:t>3:1</w:t>
      </w:r>
      <w:r w:rsidR="00F52825" w:rsidRPr="001005B7">
        <w:t>6</w:t>
      </w:r>
      <w:r w:rsidRPr="001005B7">
        <w:t>/4:1</w:t>
      </w:r>
      <w:r w:rsidR="00F46900" w:rsidRPr="001005B7">
        <w:t>–</w:t>
      </w:r>
      <w:r w:rsidRPr="001005B7">
        <w:t>5:4</w:t>
      </w:r>
      <w:r w:rsidRPr="001005B7">
        <w:tab/>
      </w:r>
      <w:r w:rsidR="002C7E76" w:rsidRPr="001005B7">
        <w:tab/>
        <w:t xml:space="preserve">     </w:t>
      </w:r>
      <w:r w:rsidRPr="001005B7">
        <w:t>Symbolic acts</w:t>
      </w:r>
      <w:r w:rsidRPr="001005B7">
        <w:tab/>
      </w:r>
      <w:r w:rsidRPr="001005B7">
        <w:tab/>
        <w:t>12:1</w:t>
      </w:r>
      <w:r w:rsidR="00F46900" w:rsidRPr="001005B7">
        <w:t>–</w:t>
      </w:r>
      <w:r w:rsidRPr="001005B7">
        <w:t>20</w:t>
      </w:r>
    </w:p>
    <w:p w14:paraId="22486DAB" w14:textId="2B116AEE" w:rsidR="000F2BEE" w:rsidRPr="001005B7" w:rsidRDefault="000F2BEE" w:rsidP="000F2BEE">
      <w:r w:rsidRPr="001005B7">
        <w:t>5:5</w:t>
      </w:r>
      <w:r w:rsidR="00F46900" w:rsidRPr="001005B7">
        <w:t>–</w:t>
      </w:r>
      <w:r w:rsidRPr="001005B7">
        <w:t>7:27</w:t>
      </w:r>
      <w:r w:rsidRPr="001005B7">
        <w:tab/>
        <w:t>Explanations</w:t>
      </w:r>
      <w:r w:rsidR="00A44223" w:rsidRPr="001005B7">
        <w:t>,</w:t>
      </w:r>
      <w:r w:rsidRPr="001005B7">
        <w:t xml:space="preserve"> indictments</w:t>
      </w:r>
      <w:r w:rsidR="00A44223" w:rsidRPr="001005B7">
        <w:t xml:space="preserve">, and </w:t>
      </w:r>
      <w:r w:rsidR="004743E6" w:rsidRPr="001005B7">
        <w:t>threats</w:t>
      </w:r>
      <w:r w:rsidRPr="001005B7">
        <w:tab/>
        <w:t>12:21</w:t>
      </w:r>
      <w:r w:rsidR="00F46900" w:rsidRPr="001005B7">
        <w:t>–</w:t>
      </w:r>
      <w:r w:rsidRPr="001005B7">
        <w:t>14:</w:t>
      </w:r>
      <w:r w:rsidR="00035BFA" w:rsidRPr="001005B7">
        <w:t>11</w:t>
      </w:r>
    </w:p>
    <w:p w14:paraId="77C331E5" w14:textId="77777777" w:rsidR="007445A3" w:rsidRPr="001005B7" w:rsidRDefault="007445A3" w:rsidP="007445A3">
      <w:pPr>
        <w:ind w:firstLine="0"/>
      </w:pPr>
    </w:p>
    <w:p w14:paraId="44B91F2B" w14:textId="5D29CBDD" w:rsidR="007445A3" w:rsidRPr="001005B7" w:rsidRDefault="002D0391" w:rsidP="007445A3">
      <w:pPr>
        <w:ind w:firstLine="0"/>
      </w:pPr>
      <w:r w:rsidRPr="001005B7">
        <w:t>The sequence continues with f</w:t>
      </w:r>
      <w:r w:rsidR="007445A3" w:rsidRPr="001005B7">
        <w:t xml:space="preserve">urther </w:t>
      </w:r>
      <w:r w:rsidR="005424CA" w:rsidRPr="001005B7">
        <w:t>explanations,</w:t>
      </w:r>
      <w:r w:rsidR="007445A3" w:rsidRPr="001005B7">
        <w:t xml:space="preserve"> indictments</w:t>
      </w:r>
      <w:r w:rsidR="00516218" w:rsidRPr="001005B7">
        <w:t xml:space="preserve">, and threats </w:t>
      </w:r>
      <w:r w:rsidR="005424CA" w:rsidRPr="001005B7">
        <w:t xml:space="preserve">in the form of </w:t>
      </w:r>
      <w:r w:rsidR="00B13E84" w:rsidRPr="001005B7">
        <w:rPr>
          <w:rFonts w:cstheme="minorHAnsi"/>
          <w:rtl/>
          <w:lang w:bidi="he-IL"/>
        </w:rPr>
        <w:t>מְשָׁ</w:t>
      </w:r>
      <w:r w:rsidR="00CE48E8" w:rsidRPr="001005B7">
        <w:rPr>
          <w:rFonts w:cstheme="minorHAnsi"/>
          <w:rtl/>
          <w:lang w:bidi="he-IL"/>
        </w:rPr>
        <w:t>לׅים</w:t>
      </w:r>
      <w:r w:rsidR="00303326" w:rsidRPr="001005B7">
        <w:t>—</w:t>
      </w:r>
      <w:r w:rsidR="00D44F2E" w:rsidRPr="001005B7">
        <w:t xml:space="preserve"> </w:t>
      </w:r>
      <w:r w:rsidR="00CE48E8" w:rsidRPr="001005B7">
        <w:t>parables,</w:t>
      </w:r>
      <w:r w:rsidR="00624921">
        <w:t>*</w:t>
      </w:r>
      <w:r w:rsidR="00CE48E8" w:rsidRPr="001005B7">
        <w:t xml:space="preserve"> sayings, and allegories</w:t>
      </w:r>
      <w:r w:rsidR="00D44F2E" w:rsidRPr="001005B7">
        <w:t>:</w:t>
      </w:r>
    </w:p>
    <w:p w14:paraId="663CA4FE" w14:textId="77777777" w:rsidR="00664EDC" w:rsidRPr="001005B7" w:rsidRDefault="00664EDC" w:rsidP="007445A3">
      <w:pPr>
        <w:ind w:firstLine="0"/>
      </w:pPr>
    </w:p>
    <w:p w14:paraId="42EC739E" w14:textId="6FBD5AF9" w:rsidR="00035BFA" w:rsidRPr="001005B7" w:rsidRDefault="00B11835" w:rsidP="00917875">
      <w:r w:rsidRPr="001005B7">
        <w:t>14:12</w:t>
      </w:r>
      <w:r w:rsidR="00F46900" w:rsidRPr="001005B7">
        <w:t>–</w:t>
      </w:r>
      <w:r w:rsidR="001C0ECE" w:rsidRPr="001005B7">
        <w:t xml:space="preserve">23 </w:t>
      </w:r>
      <w:r w:rsidR="001C0ECE" w:rsidRPr="001005B7">
        <w:tab/>
        <w:t xml:space="preserve">A saying about </w:t>
      </w:r>
      <w:r w:rsidR="009F6112" w:rsidRPr="001005B7">
        <w:t>Noah, Daniel, and Jo</w:t>
      </w:r>
      <w:r w:rsidR="00470385" w:rsidRPr="001005B7">
        <w:t>b</w:t>
      </w:r>
    </w:p>
    <w:p w14:paraId="6B6532D5" w14:textId="15CCA39B" w:rsidR="003D2B67" w:rsidRPr="001005B7" w:rsidRDefault="003D2B67" w:rsidP="00917875">
      <w:r w:rsidRPr="001005B7">
        <w:t>15:</w:t>
      </w:r>
      <w:r w:rsidR="00FE2BFE" w:rsidRPr="001005B7">
        <w:t>1</w:t>
      </w:r>
      <w:r w:rsidR="00F46900" w:rsidRPr="001005B7">
        <w:t>–</w:t>
      </w:r>
      <w:r w:rsidR="00FE2BFE" w:rsidRPr="001005B7">
        <w:t xml:space="preserve">8 </w:t>
      </w:r>
      <w:r w:rsidR="00FE2BFE" w:rsidRPr="001005B7">
        <w:tab/>
      </w:r>
      <w:r w:rsidR="0026340A">
        <w:tab/>
      </w:r>
      <w:r w:rsidR="00C738F4" w:rsidRPr="001005B7">
        <w:t>A</w:t>
      </w:r>
      <w:r w:rsidR="00DC5D43" w:rsidRPr="001005B7">
        <w:t xml:space="preserve"> tree </w:t>
      </w:r>
      <w:r w:rsidR="0095124B" w:rsidRPr="001005B7">
        <w:t>consigned to the</w:t>
      </w:r>
      <w:r w:rsidR="00DC5D43" w:rsidRPr="001005B7">
        <w:t xml:space="preserve"> fire</w:t>
      </w:r>
    </w:p>
    <w:p w14:paraId="5EDCBDC2" w14:textId="1957BAB8" w:rsidR="004B2309" w:rsidRPr="001005B7" w:rsidRDefault="004B2309" w:rsidP="00917875">
      <w:r w:rsidRPr="001005B7">
        <w:t>16:1</w:t>
      </w:r>
      <w:r w:rsidR="00F46900" w:rsidRPr="001005B7">
        <w:t>–</w:t>
      </w:r>
      <w:r w:rsidR="00EA4706" w:rsidRPr="001005B7">
        <w:t xml:space="preserve">63 </w:t>
      </w:r>
      <w:r w:rsidR="00EA4706" w:rsidRPr="001005B7">
        <w:tab/>
      </w:r>
      <w:r w:rsidR="00412CB4" w:rsidRPr="001005B7">
        <w:t xml:space="preserve">The story of a foundling and of </w:t>
      </w:r>
      <w:r w:rsidR="005C7FFD" w:rsidRPr="001005B7">
        <w:t>covenantal outrages (</w:t>
      </w:r>
      <w:r w:rsidR="0064161A" w:rsidRPr="001005B7">
        <w:t>with</w:t>
      </w:r>
      <w:r w:rsidR="005C7FFD" w:rsidRPr="001005B7">
        <w:t xml:space="preserve"> a note of hope)</w:t>
      </w:r>
    </w:p>
    <w:p w14:paraId="5F95B00D" w14:textId="6711A844" w:rsidR="00F35E07" w:rsidRPr="001005B7" w:rsidRDefault="00F35E07" w:rsidP="00917875">
      <w:r w:rsidRPr="001005B7">
        <w:t>17:1</w:t>
      </w:r>
      <w:r w:rsidR="00F46900" w:rsidRPr="001005B7">
        <w:t>–</w:t>
      </w:r>
      <w:r w:rsidR="001F4934" w:rsidRPr="001005B7">
        <w:t>2</w:t>
      </w:r>
      <w:r w:rsidR="00394907" w:rsidRPr="001005B7">
        <w:t>4</w:t>
      </w:r>
      <w:r w:rsidR="00394907" w:rsidRPr="001005B7">
        <w:tab/>
      </w:r>
      <w:r w:rsidR="001661F5" w:rsidRPr="001005B7">
        <w:t>A</w:t>
      </w:r>
      <w:r w:rsidR="00DD37A1" w:rsidRPr="001005B7">
        <w:t>n eagle, a cedar, and a vine</w:t>
      </w:r>
      <w:r w:rsidR="009E024A" w:rsidRPr="001005B7">
        <w:t xml:space="preserve"> (</w:t>
      </w:r>
      <w:r w:rsidR="0064161A" w:rsidRPr="001005B7">
        <w:t>with</w:t>
      </w:r>
      <w:r w:rsidR="009E024A" w:rsidRPr="001005B7">
        <w:t xml:space="preserve"> a note of hope)</w:t>
      </w:r>
    </w:p>
    <w:p w14:paraId="14F1203B" w14:textId="2C8228ED" w:rsidR="00365F41" w:rsidRPr="001005B7" w:rsidRDefault="00365F41" w:rsidP="00917875">
      <w:r w:rsidRPr="001005B7">
        <w:t>18:1</w:t>
      </w:r>
      <w:r w:rsidR="00F46900" w:rsidRPr="001005B7">
        <w:t>–</w:t>
      </w:r>
      <w:r w:rsidR="00B1401E" w:rsidRPr="001005B7">
        <w:t xml:space="preserve">32 </w:t>
      </w:r>
      <w:r w:rsidR="00B1401E" w:rsidRPr="001005B7">
        <w:tab/>
        <w:t>A saying</w:t>
      </w:r>
      <w:r w:rsidR="0078734A" w:rsidRPr="001005B7">
        <w:t xml:space="preserve"> about responsibility </w:t>
      </w:r>
      <w:r w:rsidR="00401997" w:rsidRPr="001005B7">
        <w:t xml:space="preserve">and turning </w:t>
      </w:r>
      <w:r w:rsidR="0078734A" w:rsidRPr="001005B7">
        <w:t>(with a note of hope)</w:t>
      </w:r>
    </w:p>
    <w:p w14:paraId="4C46E782" w14:textId="0B21BBAC" w:rsidR="007445A3" w:rsidRPr="001005B7" w:rsidRDefault="0078734A" w:rsidP="007445A3">
      <w:pPr>
        <w:ind w:firstLine="0"/>
      </w:pPr>
      <w:r w:rsidRPr="001005B7">
        <w:tab/>
        <w:t>19:1</w:t>
      </w:r>
      <w:r w:rsidR="00F46900" w:rsidRPr="001005B7">
        <w:t>–</w:t>
      </w:r>
      <w:r w:rsidR="00D63F45" w:rsidRPr="001005B7">
        <w:t xml:space="preserve">14 </w:t>
      </w:r>
      <w:r w:rsidR="00D63F45" w:rsidRPr="001005B7">
        <w:tab/>
        <w:t>A</w:t>
      </w:r>
      <w:r w:rsidR="00401997" w:rsidRPr="001005B7">
        <w:t xml:space="preserve"> </w:t>
      </w:r>
      <w:r w:rsidR="00CB5639" w:rsidRPr="001005B7">
        <w:t>requiem</w:t>
      </w:r>
      <w:r w:rsidR="00401997" w:rsidRPr="001005B7">
        <w:t xml:space="preserve"> </w:t>
      </w:r>
      <w:r w:rsidR="00E412D5" w:rsidRPr="001005B7">
        <w:t>about a mother and her offspring</w:t>
      </w:r>
    </w:p>
    <w:p w14:paraId="4D657821" w14:textId="77777777" w:rsidR="00A822B5" w:rsidRPr="001005B7" w:rsidRDefault="00A822B5" w:rsidP="007445A3">
      <w:pPr>
        <w:ind w:firstLine="0"/>
      </w:pPr>
    </w:p>
    <w:p w14:paraId="01F31730" w14:textId="30D97675" w:rsidR="00A822B5" w:rsidRPr="001005B7" w:rsidRDefault="00A822B5" w:rsidP="00A822B5">
      <w:r w:rsidRPr="001005B7">
        <w:t>In 5:11 Ezekiel reported Yahweh’s declaration, “you</w:t>
      </w:r>
      <w:r w:rsidRPr="001005B7">
        <w:rPr>
          <w:i/>
          <w:iCs/>
        </w:rPr>
        <w:t xml:space="preserve"> </w:t>
      </w:r>
      <w:r w:rsidRPr="001005B7">
        <w:t>have defiled my sanctuary with all your abhorrent things and with all your outrages,” but he did not describe what these outrages were. He now does so in</w:t>
      </w:r>
      <w:r w:rsidR="00A55651">
        <w:t xml:space="preserve"> an</w:t>
      </w:r>
      <w:r w:rsidRPr="001005B7">
        <w:t xml:space="preserve"> account of a visionary journey to Jerusalem that “provides for the elders</w:t>
      </w:r>
      <w:r w:rsidRPr="001005B7">
        <w:rPr>
          <w:rFonts w:cstheme="minorHAnsi"/>
          <w:lang w:eastAsia="en-GB"/>
        </w:rPr>
        <w:t>…</w:t>
      </w:r>
      <w:r w:rsidRPr="001005B7">
        <w:t xml:space="preserve"> the Lord’s indictment of Jerusalem’s leadership” and thus makes clear “why the exiles’ immediate future cannot lie back there” (Lind,</w:t>
      </w:r>
      <w:r w:rsidRPr="001005B7">
        <w:rPr>
          <w:i/>
          <w:iCs/>
        </w:rPr>
        <w:t xml:space="preserve"> </w:t>
      </w:r>
      <w:r w:rsidRPr="001005B7">
        <w:t xml:space="preserve">76). </w:t>
      </w:r>
      <w:r w:rsidR="00D87A64" w:rsidRPr="001005B7">
        <w:t>The basic shape of Ezek 8–11 is that of one extended “two-part prophetic oracle” (</w:t>
      </w:r>
      <w:proofErr w:type="spellStart"/>
      <w:r w:rsidR="00D87A64" w:rsidRPr="001005B7">
        <w:t>Zimmerli</w:t>
      </w:r>
      <w:proofErr w:type="spellEnd"/>
      <w:r w:rsidR="00D87A64" w:rsidRPr="001005B7">
        <w:t>,</w:t>
      </w:r>
      <w:r w:rsidR="00D87A64" w:rsidRPr="001005B7">
        <w:rPr>
          <w:i/>
          <w:iCs/>
        </w:rPr>
        <w:t xml:space="preserve"> </w:t>
      </w:r>
      <w:r w:rsidR="00D87A64" w:rsidRPr="001005B7">
        <w:t>1:235)</w:t>
      </w:r>
      <w:r w:rsidR="00792448">
        <w:t xml:space="preserve">, but they also </w:t>
      </w:r>
      <w:r w:rsidRPr="001005B7">
        <w:t>form a continuous narrative, in four acts.</w:t>
      </w:r>
    </w:p>
    <w:p w14:paraId="65CD3E56" w14:textId="77777777" w:rsidR="00A822B5" w:rsidRPr="001005B7" w:rsidRDefault="00A822B5" w:rsidP="00A822B5"/>
    <w:p w14:paraId="0DDD6867" w14:textId="15A1D020" w:rsidR="00A822B5" w:rsidRPr="001005B7" w:rsidRDefault="00A822B5" w:rsidP="006F5BB0">
      <w:pPr>
        <w:pStyle w:val="ListParagraph"/>
        <w:numPr>
          <w:ilvl w:val="0"/>
          <w:numId w:val="15"/>
        </w:numPr>
        <w:rPr>
          <w:color w:val="auto"/>
          <w:lang w:val="en-US"/>
        </w:rPr>
      </w:pPr>
      <w:r w:rsidRPr="001005B7">
        <w:rPr>
          <w:color w:val="auto"/>
          <w:lang w:val="en-US"/>
        </w:rPr>
        <w:t>Act 1: Ezekiel relates how Yahweh takes him in spirit to Jerusalem to see the idolatrous things happening in the temple (8:1</w:t>
      </w:r>
      <w:r w:rsidR="00F46900" w:rsidRPr="001005B7">
        <w:rPr>
          <w:color w:val="auto"/>
          <w:lang w:val="en-US"/>
        </w:rPr>
        <w:t>–</w:t>
      </w:r>
      <w:r w:rsidRPr="001005B7">
        <w:rPr>
          <w:color w:val="auto"/>
          <w:lang w:val="en-US"/>
        </w:rPr>
        <w:t>18)</w:t>
      </w:r>
    </w:p>
    <w:p w14:paraId="01FAE4E7" w14:textId="0ADEC230" w:rsidR="00A822B5" w:rsidRPr="001005B7" w:rsidRDefault="00A822B5" w:rsidP="006F5BB0">
      <w:pPr>
        <w:pStyle w:val="ListParagraph"/>
        <w:numPr>
          <w:ilvl w:val="0"/>
          <w:numId w:val="15"/>
        </w:numPr>
        <w:rPr>
          <w:color w:val="auto"/>
          <w:lang w:val="en-US"/>
        </w:rPr>
      </w:pPr>
      <w:r w:rsidRPr="001005B7">
        <w:rPr>
          <w:color w:val="auto"/>
          <w:lang w:val="en-US"/>
        </w:rPr>
        <w:t>Act 2: He hears Yahweh commissioning executioners and also commissioning someone to mark people exempted from execution (9:1</w:t>
      </w:r>
      <w:r w:rsidR="00F46900" w:rsidRPr="001005B7">
        <w:rPr>
          <w:color w:val="auto"/>
          <w:lang w:val="en-US"/>
        </w:rPr>
        <w:t>–</w:t>
      </w:r>
      <w:r w:rsidRPr="001005B7">
        <w:rPr>
          <w:color w:val="auto"/>
          <w:lang w:val="en-US"/>
        </w:rPr>
        <w:t>11)</w:t>
      </w:r>
    </w:p>
    <w:p w14:paraId="112C2F36" w14:textId="3127EC35" w:rsidR="00A822B5" w:rsidRPr="001005B7" w:rsidRDefault="00A822B5" w:rsidP="006F5BB0">
      <w:pPr>
        <w:pStyle w:val="ListParagraph"/>
        <w:numPr>
          <w:ilvl w:val="0"/>
          <w:numId w:val="15"/>
        </w:numPr>
        <w:rPr>
          <w:color w:val="auto"/>
          <w:lang w:val="en-US"/>
        </w:rPr>
      </w:pPr>
      <w:r w:rsidRPr="001005B7">
        <w:rPr>
          <w:color w:val="auto"/>
          <w:lang w:val="en-US"/>
        </w:rPr>
        <w:t>Act 3: He has a repeat of his first vision, the entourage now being over the temple, and hears Yahweh commissioning the sprinkling of fire over Jerusalem (10:1</w:t>
      </w:r>
      <w:r w:rsidR="00F46900" w:rsidRPr="001005B7">
        <w:rPr>
          <w:color w:val="auto"/>
          <w:lang w:val="en-US"/>
        </w:rPr>
        <w:t>–</w:t>
      </w:r>
      <w:r w:rsidRPr="001005B7">
        <w:rPr>
          <w:color w:val="auto"/>
          <w:lang w:val="en-US"/>
        </w:rPr>
        <w:t>22)</w:t>
      </w:r>
    </w:p>
    <w:p w14:paraId="671BF46C" w14:textId="2E17EC99" w:rsidR="00A822B5" w:rsidRPr="001005B7" w:rsidRDefault="00A822B5" w:rsidP="006F5BB0">
      <w:pPr>
        <w:pStyle w:val="ListParagraph"/>
        <w:numPr>
          <w:ilvl w:val="0"/>
          <w:numId w:val="15"/>
        </w:numPr>
        <w:rPr>
          <w:color w:val="auto"/>
          <w:lang w:val="en-US"/>
        </w:rPr>
      </w:pPr>
      <w:r w:rsidRPr="001005B7">
        <w:rPr>
          <w:color w:val="auto"/>
          <w:lang w:val="en-US"/>
        </w:rPr>
        <w:t xml:space="preserve">Act 4: He receives messages of trouble and promise for both communities, the entourage moves off, and Yahweh takes him back to </w:t>
      </w:r>
      <w:proofErr w:type="spellStart"/>
      <w:r w:rsidRPr="001005B7">
        <w:rPr>
          <w:color w:val="auto"/>
          <w:lang w:val="en-US"/>
        </w:rPr>
        <w:t>Kebar</w:t>
      </w:r>
      <w:proofErr w:type="spellEnd"/>
      <w:r w:rsidRPr="001005B7">
        <w:rPr>
          <w:color w:val="auto"/>
          <w:lang w:val="en-US"/>
        </w:rPr>
        <w:t xml:space="preserve"> (11:1</w:t>
      </w:r>
      <w:r w:rsidR="00F46900" w:rsidRPr="001005B7">
        <w:rPr>
          <w:color w:val="auto"/>
          <w:lang w:val="en-US"/>
        </w:rPr>
        <w:t>–</w:t>
      </w:r>
      <w:r w:rsidRPr="001005B7">
        <w:rPr>
          <w:color w:val="auto"/>
          <w:lang w:val="en-US"/>
        </w:rPr>
        <w:t>25)</w:t>
      </w:r>
    </w:p>
    <w:p w14:paraId="367CC0DB" w14:textId="77777777" w:rsidR="00A822B5" w:rsidRPr="001005B7" w:rsidRDefault="00A822B5" w:rsidP="00A822B5"/>
    <w:p w14:paraId="5BB0832A" w14:textId="6143EA23" w:rsidR="00FE6BFA" w:rsidRPr="001005B7" w:rsidRDefault="00A822B5" w:rsidP="00FE6BFA">
      <w:pPr>
        <w:ind w:firstLine="0"/>
      </w:pPr>
      <w:r w:rsidRPr="001005B7">
        <w:t>In the opening verses (8:1</w:t>
      </w:r>
      <w:r w:rsidR="00F46900" w:rsidRPr="001005B7">
        <w:t>–</w:t>
      </w:r>
      <w:r w:rsidRPr="001005B7">
        <w:t>4), then, Ezekiel describes a spirit tak</w:t>
      </w:r>
      <w:r w:rsidR="00293958">
        <w:t>ing</w:t>
      </w:r>
      <w:r w:rsidRPr="001005B7">
        <w:t xml:space="preserve"> him in a vision to Jerusalem while he remains bodily in the company of </w:t>
      </w:r>
      <w:r w:rsidR="008537B4">
        <w:t>some</w:t>
      </w:r>
      <w:r w:rsidRPr="001005B7">
        <w:t xml:space="preserve"> Judahite elders in </w:t>
      </w:r>
      <w:proofErr w:type="spellStart"/>
      <w:r w:rsidRPr="001005B7">
        <w:t>Kebar</w:t>
      </w:r>
      <w:proofErr w:type="spellEnd"/>
      <w:r w:rsidRPr="001005B7">
        <w:t>. Yahweh</w:t>
      </w:r>
      <w:r w:rsidR="00180CEB" w:rsidRPr="001005B7">
        <w:t xml:space="preserve"> in his</w:t>
      </w:r>
      <w:r w:rsidRPr="001005B7">
        <w:t xml:space="preserve"> </w:t>
      </w:r>
      <w:r w:rsidR="00180CEB" w:rsidRPr="001005B7">
        <w:t>magnificence</w:t>
      </w:r>
      <w:r w:rsidRPr="001005B7">
        <w:t xml:space="preserve"> is also there in Jerusalem. In the closing verses (11:22</w:t>
      </w:r>
      <w:r w:rsidR="00F46900" w:rsidRPr="001005B7">
        <w:t>–</w:t>
      </w:r>
      <w:r w:rsidRPr="001005B7">
        <w:t>25) he describes Yahweh mov</w:t>
      </w:r>
      <w:r w:rsidR="00775936">
        <w:t>ing</w:t>
      </w:r>
      <w:r w:rsidRPr="001005B7">
        <w:t xml:space="preserve"> away from the city, the spirit bring</w:t>
      </w:r>
      <w:r w:rsidR="00775936">
        <w:t>ing</w:t>
      </w:r>
      <w:r w:rsidRPr="001005B7">
        <w:t xml:space="preserve"> him back to </w:t>
      </w:r>
      <w:proofErr w:type="spellStart"/>
      <w:r w:rsidRPr="001005B7">
        <w:t>Kebar</w:t>
      </w:r>
      <w:proofErr w:type="spellEnd"/>
      <w:r w:rsidRPr="001005B7">
        <w:t xml:space="preserve"> in the vision, the vision then ceas</w:t>
      </w:r>
      <w:r w:rsidR="00775936">
        <w:t>ing</w:t>
      </w:r>
      <w:r w:rsidRPr="001005B7">
        <w:t xml:space="preserve">, and </w:t>
      </w:r>
      <w:r w:rsidR="00775936">
        <w:t>his</w:t>
      </w:r>
      <w:r w:rsidRPr="001005B7">
        <w:t xml:space="preserve"> tell</w:t>
      </w:r>
      <w:r w:rsidR="00FE6BFA">
        <w:t>ing</w:t>
      </w:r>
      <w:r w:rsidRPr="001005B7">
        <w:t xml:space="preserve"> the exile community what Yahweh had shown him in Jerusalem. These two paragraphs thus open and close the four chapters. In 12:1, Ezekiel then relates a new commission, not with a new date but beginning again with “Yahweh’s</w:t>
      </w:r>
      <w:r w:rsidRPr="001005B7">
        <w:rPr>
          <w:i/>
          <w:iCs/>
        </w:rPr>
        <w:t xml:space="preserve"> </w:t>
      </w:r>
      <w:r w:rsidRPr="001005B7">
        <w:t>message</w:t>
      </w:r>
      <w:r w:rsidRPr="001005B7">
        <w:rPr>
          <w:i/>
          <w:iCs/>
        </w:rPr>
        <w:t xml:space="preserve"> </w:t>
      </w:r>
      <w:r w:rsidRPr="001005B7">
        <w:t>came</w:t>
      </w:r>
      <w:r w:rsidRPr="001005B7">
        <w:rPr>
          <w:i/>
          <w:iCs/>
        </w:rPr>
        <w:t xml:space="preserve"> </w:t>
      </w:r>
      <w:r w:rsidRPr="001005B7">
        <w:t>to</w:t>
      </w:r>
      <w:r w:rsidRPr="001005B7">
        <w:rPr>
          <w:i/>
          <w:iCs/>
        </w:rPr>
        <w:t xml:space="preserve"> </w:t>
      </w:r>
      <w:r w:rsidRPr="001005B7">
        <w:t xml:space="preserve">me” as in 6:1 and 7:1. </w:t>
      </w:r>
      <w:r w:rsidR="00FE6BFA" w:rsidRPr="001005B7">
        <w:t xml:space="preserve">The medieval chapter divisions mark semi-complete units within Ezekiel 8–11, and for convenience we will treat the four chapters separately. </w:t>
      </w:r>
    </w:p>
    <w:p w14:paraId="3F2F2A94" w14:textId="61A5B9DD" w:rsidR="00A822B5" w:rsidRPr="001005B7" w:rsidRDefault="00A822B5" w:rsidP="00A822B5">
      <w:r w:rsidRPr="001005B7">
        <w:t>Ezekiel’s visionary experiences are unique to him among First Testament prophets, though accounts of such experiences recur in apocalypses from the Second Temple period and from subsequent centuries.</w:t>
      </w:r>
      <w:r w:rsidRPr="001005B7">
        <w:rPr>
          <w:rStyle w:val="FootnoteReference"/>
        </w:rPr>
        <w:footnoteReference w:id="226"/>
      </w:r>
      <w:r w:rsidRPr="001005B7">
        <w:t xml:space="preserve"> As the experiences God will give John on Patmos are one way whereby God seeks to get a message home to Christian communities in Western Turkey, these experiences that God gives Ezekiel are one way whereby God seeks to get a message home to the </w:t>
      </w:r>
      <w:proofErr w:type="spellStart"/>
      <w:r w:rsidRPr="001005B7">
        <w:t>Kebar</w:t>
      </w:r>
      <w:proofErr w:type="spellEnd"/>
      <w:r w:rsidRPr="001005B7">
        <w:t xml:space="preserve"> community. It is a spectacular means whereby he seeks to get home the perspective that also appears in Ezekiel’s more straightforward prophetic messages concerning God’s assessment of Judah and his threats concerning its future, though it is also more concrete in the picture it paints. The chapters, then, seek to </w:t>
      </w:r>
      <w:r w:rsidR="00856B60">
        <w:t>communicate</w:t>
      </w:r>
      <w:r w:rsidRPr="001005B7">
        <w:t xml:space="preserve"> vividly to people in </w:t>
      </w:r>
      <w:proofErr w:type="spellStart"/>
      <w:r w:rsidRPr="001005B7">
        <w:t>Kebar</w:t>
      </w:r>
      <w:proofErr w:type="spellEnd"/>
      <w:r w:rsidRPr="001005B7">
        <w:t xml:space="preserve"> what is happening in Jerusalem</w:t>
      </w:r>
      <w:r w:rsidR="00886B64">
        <w:t xml:space="preserve"> and</w:t>
      </w:r>
      <w:r w:rsidRPr="001005B7">
        <w:t xml:space="preserve"> what Yahweh intends to do about it</w:t>
      </w:r>
      <w:r w:rsidR="005A7C7B">
        <w:t xml:space="preserve">. </w:t>
      </w:r>
      <w:r w:rsidR="00B327FE">
        <w:t>While</w:t>
      </w:r>
      <w:r w:rsidR="005A7C7B">
        <w:t xml:space="preserve"> they</w:t>
      </w:r>
      <w:r w:rsidRPr="001005B7">
        <w:t xml:space="preserve"> must not hope for </w:t>
      </w:r>
      <w:r w:rsidR="00E70B60">
        <w:t xml:space="preserve">the </w:t>
      </w:r>
      <w:r w:rsidRPr="001005B7">
        <w:t xml:space="preserve">restoration </w:t>
      </w:r>
      <w:r w:rsidR="00E70B60">
        <w:t xml:space="preserve">of the city or their own return there </w:t>
      </w:r>
      <w:r w:rsidRPr="001005B7">
        <w:t>in the near future</w:t>
      </w:r>
      <w:r w:rsidR="005A7C7B">
        <w:t xml:space="preserve">, </w:t>
      </w:r>
      <w:r w:rsidR="00E70B60">
        <w:t>Yahweh will take them back there is due course</w:t>
      </w:r>
      <w:r w:rsidR="009E3016">
        <w:t>.</w:t>
      </w:r>
    </w:p>
    <w:p w14:paraId="0F813980" w14:textId="3E9FC7EB" w:rsidR="00A822B5" w:rsidRPr="001005B7" w:rsidRDefault="009E3016" w:rsidP="00A822B5">
      <w:r>
        <w:t>T</w:t>
      </w:r>
      <w:r w:rsidR="00A822B5" w:rsidRPr="001005B7">
        <w:t xml:space="preserve">he four chapters make sense as they stand as a composition designed to communicate in the </w:t>
      </w:r>
      <w:proofErr w:type="spellStart"/>
      <w:r w:rsidR="00A822B5" w:rsidRPr="001005B7">
        <w:t>Kebar</w:t>
      </w:r>
      <w:r w:rsidR="00031DD1">
        <w:t>ites</w:t>
      </w:r>
      <w:proofErr w:type="spellEnd"/>
      <w:r w:rsidR="00A822B5" w:rsidRPr="001005B7">
        <w:t>, though as usual the form in which we have them may reflect later compositional work dating from before or after the fall of Jerusalem in 587. Actually, “The literary integrity of these chapters has consumed copious amounts of scholarly ink”</w:t>
      </w:r>
      <w:r w:rsidR="00A822B5" w:rsidRPr="001005B7">
        <w:rPr>
          <w:rStyle w:val="FootnoteReference"/>
        </w:rPr>
        <w:footnoteReference w:id="227"/>
      </w:r>
      <w:r w:rsidR="00A822B5" w:rsidRPr="001005B7">
        <w:t xml:space="preserve"> and they may indeed have “a complex redactional history,” though many of the</w:t>
      </w:r>
      <w:r w:rsidR="003908D0">
        <w:t>ir</w:t>
      </w:r>
      <w:r w:rsidR="00A822B5" w:rsidRPr="001005B7">
        <w:t xml:space="preserve"> “tensions and gaps” may relate to the fact that they “are presented as a vision. A dreamworld is not the same as the waking world” (Bowen, 44). As usual, the variety in accounts of their possible redactional history raises the question whether this redactional history cannot be traced. And on any theory, the Jewish community saw the </w:t>
      </w:r>
      <w:r w:rsidR="000C1AC4">
        <w:t xml:space="preserve">form of </w:t>
      </w:r>
      <w:r w:rsidR="00A822B5" w:rsidRPr="001005B7">
        <w:t xml:space="preserve">the chapters that we have as one that would be good for people to study, whether or not it corresponded to what Ezekiel read to people in 592. </w:t>
      </w:r>
    </w:p>
    <w:p w14:paraId="6B878CC8" w14:textId="19BDE961" w:rsidR="00A822B5" w:rsidRPr="001005B7" w:rsidRDefault="00A822B5" w:rsidP="00A822B5">
      <w:r w:rsidRPr="001005B7">
        <w:t>The two Testaments include a few accounts of visions that give straightforward revelations of something to which a person did not have access, and information that they would not otherwise have (e.g., 2 Kgs 5:26, though Elisha does not speak in terms of a “vision” or of “seeing”). But generally visions do not communicate straightforward information in a straightforward way. Ezek 1 conveyed information that in a sense can be expressed in a straightforward way, about matters such as God’s awesomeness and God’s capacity to appear anywhere, but it conveyed it by means of images that bring home truths in a less prosaic fashion. Ezek 37 and 40</w:t>
      </w:r>
      <w:r w:rsidR="00F46900" w:rsidRPr="001005B7">
        <w:t>–</w:t>
      </w:r>
      <w:r w:rsidRPr="001005B7">
        <w:t xml:space="preserve">48 convey information about God’s future intentions whose practical implications are harder to state. </w:t>
      </w:r>
      <w:r w:rsidR="00E10CED">
        <w:t>W</w:t>
      </w:r>
      <w:r w:rsidRPr="001005B7">
        <w:t>hile God did within a few decades bring about the renewal of the nation, its land, and its temple, h</w:t>
      </w:r>
      <w:r w:rsidR="008E0755">
        <w:t>is action did not entail</w:t>
      </w:r>
      <w:r w:rsidRPr="001005B7">
        <w:t xml:space="preserve"> a straightforward implementing of those visons. The</w:t>
      </w:r>
      <w:r w:rsidR="009E14BD">
        <w:t>y</w:t>
      </w:r>
      <w:r w:rsidRPr="001005B7">
        <w:t xml:space="preserve"> are more like statements of his ultimate intentions, expressed in figurative terms such as may inspire people with hope. And they involve hyperbole.</w:t>
      </w:r>
      <w:r w:rsidR="00104ABB">
        <w:t>*</w:t>
      </w:r>
    </w:p>
    <w:p w14:paraId="61688300" w14:textId="702DB30F" w:rsidR="00F31586" w:rsidRPr="001005B7" w:rsidRDefault="00A822B5" w:rsidP="00507134">
      <w:r w:rsidRPr="001005B7">
        <w:t>Ezekiel and his readers might initially take the vision in Ezek 8 as representing things that were actually taking place in Jerusalem, though the second of the scenes is harder to understand in that way. Chapters 9</w:t>
      </w:r>
      <w:r w:rsidR="00F46900" w:rsidRPr="001005B7">
        <w:t>–</w:t>
      </w:r>
      <w:r w:rsidRPr="001005B7">
        <w:t>11 are more like Ezek 37 and 40</w:t>
      </w:r>
      <w:r w:rsidR="00F46900" w:rsidRPr="001005B7">
        <w:t>–</w:t>
      </w:r>
      <w:r w:rsidRPr="001005B7">
        <w:t xml:space="preserve">48: they express God’s intentions but not in a way that found fulfillment in the lifetime of Ezekiel and his readers, or anyone else so far. They, too, involve hyperbole. It seems likely that Ezek 8 likewise does not describe something that anyone could have actually seen in Jerusalem. It interprets the significance of what was going on, in figurative terms and in hyperbole. </w:t>
      </w:r>
    </w:p>
    <w:p w14:paraId="4EDE682F" w14:textId="1DBE7E60" w:rsidR="00A822B5" w:rsidRPr="001005B7" w:rsidRDefault="00A822B5" w:rsidP="00A822B5">
      <w:pPr>
        <w:rPr>
          <w:rFonts w:ascii="Calibri" w:hAnsi="Calibri" w:cs="Calibri"/>
        </w:rPr>
      </w:pPr>
      <w:r w:rsidRPr="001005B7">
        <w:t>The aim of Ezek 37 and 40</w:t>
      </w:r>
      <w:r w:rsidR="00F46900" w:rsidRPr="001005B7">
        <w:t>–</w:t>
      </w:r>
      <w:r w:rsidRPr="001005B7">
        <w:t>48 is to encourage through the use of symbolism and hyperbole, and to inspire faith and hope of the kin</w:t>
      </w:r>
      <w:r w:rsidR="009D4659">
        <w:t>d that will b</w:t>
      </w:r>
      <w:r w:rsidR="007B28B7">
        <w:t>e</w:t>
      </w:r>
      <w:r w:rsidR="009D4659">
        <w:t xml:space="preserve"> needed</w:t>
      </w:r>
      <w:r w:rsidRPr="001005B7">
        <w:t xml:space="preserve"> when Judahites seek to rebuild the nation. They </w:t>
      </w:r>
      <w:r w:rsidR="007B28B7">
        <w:t>will be able to</w:t>
      </w:r>
      <w:r w:rsidRPr="001005B7">
        <w:t xml:space="preserve"> do so in the knowledge that their ventures are in keeping with God’s ultimate vision, even though they may look implausible if not hopeless (see Ezra-Nehemiah). The aim of Ezek 8</w:t>
      </w:r>
      <w:r w:rsidR="00F46900" w:rsidRPr="001005B7">
        <w:t>–</w:t>
      </w:r>
      <w:r w:rsidRPr="001005B7">
        <w:t xml:space="preserve">11 is to shock through the use of symbolism and hyperbole, to horrify the </w:t>
      </w:r>
      <w:proofErr w:type="spellStart"/>
      <w:r w:rsidRPr="001005B7">
        <w:t>Kebar</w:t>
      </w:r>
      <w:proofErr w:type="spellEnd"/>
      <w:r w:rsidRPr="001005B7">
        <w:t xml:space="preserve"> community with its picture of current reality in Jerusalem, to prepare it for the grim future that hangs over the city, and to inspire it to turn to God. Visions such as Ezekiel’s function like science fiction and other imaginative literature, some of which is dystopian, some utopian. It may thus inspire action or inspire hope</w:t>
      </w:r>
      <w:r w:rsidR="009741DF">
        <w:t xml:space="preserve"> (t</w:t>
      </w:r>
      <w:r w:rsidRPr="001005B7">
        <w:t>he principles apply</w:t>
      </w:r>
      <w:r w:rsidR="000B5016">
        <w:t>ing</w:t>
      </w:r>
      <w:r w:rsidRPr="001005B7">
        <w:t xml:space="preserve"> to Ezekiel also apply to Revelation</w:t>
      </w:r>
      <w:r w:rsidR="000B5016">
        <w:t>)</w:t>
      </w:r>
      <w:r w:rsidRPr="001005B7">
        <w:t>.</w:t>
      </w:r>
      <w:r w:rsidR="00317041">
        <w:t xml:space="preserve"> </w:t>
      </w:r>
    </w:p>
    <w:p w14:paraId="3C1DC967" w14:textId="4B419F44" w:rsidR="00C835BC" w:rsidRPr="001005B7" w:rsidRDefault="0028786C" w:rsidP="00C835BC">
      <w:r>
        <w:t xml:space="preserve">Ezekiel’s hearers </w:t>
      </w:r>
      <w:r w:rsidR="00A822B5" w:rsidRPr="001005B7">
        <w:t xml:space="preserve">might want urgently to know how they are to think literally about the future. </w:t>
      </w:r>
      <w:r w:rsidR="0010042B">
        <w:t>Yahweh</w:t>
      </w:r>
      <w:r w:rsidR="00A822B5" w:rsidRPr="001005B7">
        <w:t xml:space="preserve"> does not tell them. He wants them to live in light of the hyperbole, both dystopian and utopian, and to react accordingly. It is Ezekiel</w:t>
      </w:r>
      <w:r w:rsidR="005B673E">
        <w:t>’s location</w:t>
      </w:r>
      <w:r w:rsidR="00A822B5" w:rsidRPr="001005B7">
        <w:t xml:space="preserve"> in the context of the rest of the Scriptures that helps answer the question of how to think literally about events in the 590s and 580s. In connection with the vision in Ezek 8</w:t>
      </w:r>
      <w:r w:rsidR="00F46900" w:rsidRPr="001005B7">
        <w:t>–</w:t>
      </w:r>
      <w:r w:rsidR="00A822B5" w:rsidRPr="001005B7">
        <w:t>11, the narrative and more straightforward preaching in Jeremiah, 2 Kgs 22</w:t>
      </w:r>
      <w:r w:rsidR="00F46900" w:rsidRPr="001005B7">
        <w:t>–</w:t>
      </w:r>
      <w:r w:rsidR="00A822B5" w:rsidRPr="001005B7">
        <w:t>25, and 2 Chr 33</w:t>
      </w:r>
      <w:r w:rsidR="00F46900" w:rsidRPr="001005B7">
        <w:t>–</w:t>
      </w:r>
      <w:r w:rsidR="00A822B5" w:rsidRPr="001005B7">
        <w:t>36 do so. Without Ezek 8</w:t>
      </w:r>
      <w:r w:rsidR="00F46900" w:rsidRPr="001005B7">
        <w:t>–</w:t>
      </w:r>
      <w:r w:rsidR="00A822B5" w:rsidRPr="001005B7">
        <w:t xml:space="preserve">11, however, readers of the Scriptures get </w:t>
      </w:r>
      <w:r w:rsidR="00AE27AE">
        <w:t>less</w:t>
      </w:r>
      <w:r w:rsidR="00A822B5" w:rsidRPr="001005B7">
        <w:t xml:space="preserve"> impression of the horror of what was happening and what would happen in Jerusalem.</w:t>
      </w:r>
      <w:r w:rsidR="00885434" w:rsidRPr="001005B7">
        <w:t xml:space="preserve"> </w:t>
      </w:r>
      <w:r w:rsidR="00C835BC" w:rsidRPr="001005B7">
        <w:t xml:space="preserve">Read after 587, the chapters would function as an explanation of why things had happened as they did—they would function as theodicy. They would explain the necessity for Yahweh to take action, and confirm that it is a fearful thing to fall into the hands of the living God (Heb 10:31). Yet they would also make it surprising that events in 587 were nowhere near as bad as this vision threatens. As usual, Yahweh cannot bring himself to implement his threats. </w:t>
      </w:r>
    </w:p>
    <w:p w14:paraId="31B121B8" w14:textId="09FA6CB8" w:rsidR="00AF4E4A" w:rsidRPr="001005B7" w:rsidRDefault="00552F94" w:rsidP="003062B5">
      <w:pPr>
        <w:pStyle w:val="Heading2"/>
        <w:rPr>
          <w:color w:val="auto"/>
        </w:rPr>
      </w:pPr>
      <w:r w:rsidRPr="001005B7">
        <w:rPr>
          <w:color w:val="auto"/>
        </w:rPr>
        <w:t xml:space="preserve">Outrages in the Temple </w:t>
      </w:r>
      <w:r w:rsidR="00050204" w:rsidRPr="001005B7">
        <w:rPr>
          <w:color w:val="auto"/>
        </w:rPr>
        <w:t>(</w:t>
      </w:r>
      <w:r w:rsidR="00694AF3" w:rsidRPr="001005B7">
        <w:rPr>
          <w:color w:val="auto"/>
        </w:rPr>
        <w:t>8:1</w:t>
      </w:r>
      <w:r w:rsidR="00F46900" w:rsidRPr="001005B7">
        <w:rPr>
          <w:color w:val="auto"/>
        </w:rPr>
        <w:t>–</w:t>
      </w:r>
      <w:r w:rsidRPr="001005B7">
        <w:rPr>
          <w:color w:val="auto"/>
        </w:rPr>
        <w:t>18</w:t>
      </w:r>
      <w:r w:rsidR="00694AF3" w:rsidRPr="001005B7">
        <w:rPr>
          <w:color w:val="auto"/>
        </w:rPr>
        <w:t>)</w:t>
      </w:r>
    </w:p>
    <w:p w14:paraId="73675EE4" w14:textId="77777777" w:rsidR="00AF4E4A" w:rsidRPr="001005B7" w:rsidRDefault="00AF4E4A" w:rsidP="00493833">
      <w:pPr>
        <w:pStyle w:val="Heading3"/>
      </w:pPr>
      <w:r w:rsidRPr="001005B7">
        <w:t>Outline</w:t>
      </w:r>
    </w:p>
    <w:p w14:paraId="368AA716" w14:textId="3F456C47" w:rsidR="00CB4BB7" w:rsidRPr="001005B7" w:rsidRDefault="00AF4E4A" w:rsidP="0043348F">
      <w:r w:rsidRPr="001005B7">
        <w:t xml:space="preserve">In the </w:t>
      </w:r>
      <w:r w:rsidR="00BD0BEE" w:rsidRPr="001005B7">
        <w:t>four-act drama comprising Ezek 8</w:t>
      </w:r>
      <w:r w:rsidR="00F46900" w:rsidRPr="001005B7">
        <w:t>–</w:t>
      </w:r>
      <w:r w:rsidR="00BD0BEE" w:rsidRPr="001005B7">
        <w:t xml:space="preserve">11, </w:t>
      </w:r>
      <w:r w:rsidR="00A110F6" w:rsidRPr="001005B7">
        <w:t>Act 1</w:t>
      </w:r>
      <w:r w:rsidR="00BA2C5A" w:rsidRPr="001005B7">
        <w:t xml:space="preserve"> </w:t>
      </w:r>
      <w:r w:rsidR="00BA4936" w:rsidRPr="001005B7">
        <w:t>outlines</w:t>
      </w:r>
      <w:r w:rsidR="00BA2C5A" w:rsidRPr="001005B7">
        <w:t xml:space="preserve"> how</w:t>
      </w:r>
      <w:r w:rsidR="00BA4936" w:rsidRPr="001005B7">
        <w:t>:</w:t>
      </w:r>
    </w:p>
    <w:p w14:paraId="1C8E25A0" w14:textId="77777777" w:rsidR="00CB4BB7" w:rsidRPr="001005B7" w:rsidRDefault="00CB4BB7" w:rsidP="0043348F"/>
    <w:p w14:paraId="104BE76B" w14:textId="05D7E857" w:rsidR="000035B9" w:rsidRPr="001005B7" w:rsidRDefault="0025594B" w:rsidP="0043348F">
      <w:r w:rsidRPr="001005B7">
        <w:t xml:space="preserve">Yahweh transports </w:t>
      </w:r>
      <w:r w:rsidR="00A110F6" w:rsidRPr="001005B7">
        <w:t>Ezekiel</w:t>
      </w:r>
      <w:r w:rsidRPr="001005B7">
        <w:t xml:space="preserve"> to Jerusalem (</w:t>
      </w:r>
      <w:r w:rsidR="0042084A" w:rsidRPr="001005B7">
        <w:t>8:</w:t>
      </w:r>
      <w:r w:rsidRPr="001005B7">
        <w:t>1</w:t>
      </w:r>
      <w:r w:rsidR="00F7161B">
        <w:t>–</w:t>
      </w:r>
      <w:r w:rsidR="0043348F" w:rsidRPr="001005B7">
        <w:t>4)</w:t>
      </w:r>
    </w:p>
    <w:p w14:paraId="33D3D066" w14:textId="6604E6A9" w:rsidR="003F0549" w:rsidRPr="001005B7" w:rsidRDefault="0043348F" w:rsidP="0043348F">
      <w:r w:rsidRPr="001005B7">
        <w:t xml:space="preserve">Yahweh shows </w:t>
      </w:r>
      <w:r w:rsidR="00AC2C94" w:rsidRPr="001005B7">
        <w:t>him</w:t>
      </w:r>
      <w:r w:rsidR="00011C97" w:rsidRPr="001005B7">
        <w:t xml:space="preserve"> </w:t>
      </w:r>
      <w:r w:rsidR="00A413E2" w:rsidRPr="001005B7">
        <w:t>the outrages in the temple</w:t>
      </w:r>
      <w:r w:rsidR="00AC2C94" w:rsidRPr="001005B7">
        <w:t xml:space="preserve"> area</w:t>
      </w:r>
      <w:r w:rsidR="00BB1286" w:rsidRPr="001005B7">
        <w:t>:</w:t>
      </w:r>
    </w:p>
    <w:p w14:paraId="7ADA7E8B" w14:textId="738D1598" w:rsidR="00C13958" w:rsidRPr="001005B7" w:rsidRDefault="0043348F" w:rsidP="003F0549">
      <w:pPr>
        <w:ind w:left="720"/>
      </w:pPr>
      <w:r w:rsidRPr="001005B7">
        <w:t xml:space="preserve">the statue </w:t>
      </w:r>
      <w:r w:rsidR="00C13958" w:rsidRPr="001005B7">
        <w:t xml:space="preserve">north of the </w:t>
      </w:r>
      <w:r w:rsidR="00BB1286" w:rsidRPr="001005B7">
        <w:t>temple</w:t>
      </w:r>
      <w:r w:rsidR="00C13958" w:rsidRPr="001005B7">
        <w:t xml:space="preserve"> (</w:t>
      </w:r>
      <w:r w:rsidR="0042084A" w:rsidRPr="001005B7">
        <w:t>8:</w:t>
      </w:r>
      <w:r w:rsidR="00C13958" w:rsidRPr="001005B7">
        <w:t>5</w:t>
      </w:r>
      <w:r w:rsidR="00F46900" w:rsidRPr="001005B7">
        <w:t>–</w:t>
      </w:r>
      <w:r w:rsidR="00C13958" w:rsidRPr="001005B7">
        <w:t>6)</w:t>
      </w:r>
    </w:p>
    <w:p w14:paraId="01E7E23A" w14:textId="5496616D" w:rsidR="00FE234B" w:rsidRPr="001005B7" w:rsidRDefault="005D4A28" w:rsidP="00BD7B7E">
      <w:pPr>
        <w:ind w:left="720"/>
      </w:pPr>
      <w:r w:rsidRPr="001005B7">
        <w:t>the image rooms (</w:t>
      </w:r>
      <w:r w:rsidR="0042084A" w:rsidRPr="001005B7">
        <w:t>8:</w:t>
      </w:r>
      <w:r w:rsidRPr="001005B7">
        <w:t>7</w:t>
      </w:r>
      <w:r w:rsidR="00F46900" w:rsidRPr="001005B7">
        <w:t>–</w:t>
      </w:r>
      <w:r w:rsidRPr="001005B7">
        <w:t>13)</w:t>
      </w:r>
    </w:p>
    <w:p w14:paraId="4A5B31BD" w14:textId="1874F575" w:rsidR="005D4A28" w:rsidRPr="001005B7" w:rsidRDefault="005D4A28" w:rsidP="00BD7B7E">
      <w:pPr>
        <w:ind w:left="720"/>
      </w:pPr>
      <w:r w:rsidRPr="001005B7">
        <w:t>the women crying for Tammuz (</w:t>
      </w:r>
      <w:r w:rsidR="0042084A" w:rsidRPr="001005B7">
        <w:t>8:</w:t>
      </w:r>
      <w:r w:rsidRPr="001005B7">
        <w:t>14</w:t>
      </w:r>
      <w:r w:rsidR="00F46900" w:rsidRPr="001005B7">
        <w:t>–</w:t>
      </w:r>
      <w:r w:rsidRPr="001005B7">
        <w:t>15)</w:t>
      </w:r>
    </w:p>
    <w:p w14:paraId="24711FB7" w14:textId="4B7EB82D" w:rsidR="005D4A28" w:rsidRPr="001005B7" w:rsidRDefault="0085562E" w:rsidP="00BD7B7E">
      <w:pPr>
        <w:ind w:left="720"/>
      </w:pPr>
      <w:r w:rsidRPr="001005B7">
        <w:t xml:space="preserve">the </w:t>
      </w:r>
      <w:r w:rsidR="000E3317" w:rsidRPr="001005B7">
        <w:t>men</w:t>
      </w:r>
      <w:r w:rsidRPr="001005B7">
        <w:t xml:space="preserve"> bowing to the </w:t>
      </w:r>
      <w:r w:rsidR="00650122" w:rsidRPr="001005B7">
        <w:t>s</w:t>
      </w:r>
      <w:r w:rsidRPr="001005B7">
        <w:t>un (</w:t>
      </w:r>
      <w:r w:rsidR="003D021F" w:rsidRPr="001005B7">
        <w:t>8:</w:t>
      </w:r>
      <w:r w:rsidRPr="001005B7">
        <w:t>16</w:t>
      </w:r>
      <w:r w:rsidR="003F0549" w:rsidRPr="001005B7">
        <w:t>)</w:t>
      </w:r>
    </w:p>
    <w:p w14:paraId="51AACEED" w14:textId="4B010B35" w:rsidR="003F0549" w:rsidRPr="001005B7" w:rsidRDefault="003F0549" w:rsidP="0043348F">
      <w:r w:rsidRPr="001005B7">
        <w:t>Yahweh declares his decision to act in fury (</w:t>
      </w:r>
      <w:r w:rsidR="0042084A" w:rsidRPr="001005B7">
        <w:t>8:</w:t>
      </w:r>
      <w:r w:rsidR="00060F4B" w:rsidRPr="001005B7">
        <w:t>17</w:t>
      </w:r>
      <w:r w:rsidR="00F46900" w:rsidRPr="001005B7">
        <w:t>–</w:t>
      </w:r>
      <w:r w:rsidRPr="001005B7">
        <w:t>18</w:t>
      </w:r>
      <w:r w:rsidR="000E3317" w:rsidRPr="001005B7">
        <w:t>)</w:t>
      </w:r>
    </w:p>
    <w:p w14:paraId="0C33FE9F" w14:textId="1F48DC0C" w:rsidR="0043348F" w:rsidRPr="001005B7" w:rsidRDefault="0043348F" w:rsidP="0043348F"/>
    <w:p w14:paraId="0D3F6EC2" w14:textId="1155B2B7" w:rsidR="00C876BC" w:rsidRPr="001005B7" w:rsidRDefault="00C876BC" w:rsidP="00F71231">
      <w:pPr>
        <w:ind w:firstLine="0"/>
      </w:pPr>
      <w:r w:rsidRPr="001005B7">
        <w:t xml:space="preserve">In each of </w:t>
      </w:r>
      <w:r w:rsidR="00F066D5" w:rsidRPr="001005B7">
        <w:t>the</w:t>
      </w:r>
      <w:r w:rsidRPr="001005B7">
        <w:t xml:space="preserve"> </w:t>
      </w:r>
      <w:r w:rsidR="00F71231" w:rsidRPr="001005B7">
        <w:t xml:space="preserve">four </w:t>
      </w:r>
      <w:r w:rsidR="002B54CA">
        <w:t xml:space="preserve">little </w:t>
      </w:r>
      <w:r w:rsidR="00F066D5" w:rsidRPr="001005B7">
        <w:t>scenes</w:t>
      </w:r>
      <w:r w:rsidRPr="001005B7">
        <w:t>, Ezekiel follows approximately the same pattern:</w:t>
      </w:r>
    </w:p>
    <w:p w14:paraId="5588C2FF" w14:textId="77777777" w:rsidR="00C876BC" w:rsidRPr="001005B7" w:rsidRDefault="00C876BC" w:rsidP="00C876BC"/>
    <w:p w14:paraId="7AAD8527" w14:textId="77777777" w:rsidR="00C876BC" w:rsidRPr="001005B7" w:rsidRDefault="00C876BC" w:rsidP="00C876BC">
      <w:r w:rsidRPr="001005B7">
        <w:t>Yahweh had me move to a particular place</w:t>
      </w:r>
    </w:p>
    <w:p w14:paraId="6DDA252C" w14:textId="1B651570" w:rsidR="00C876BC" w:rsidRPr="001005B7" w:rsidRDefault="00C876BC" w:rsidP="00C876BC">
      <w:r w:rsidRPr="001005B7">
        <w:t xml:space="preserve">I looked at what people were doing and </w:t>
      </w:r>
      <w:r w:rsidR="002B54CA">
        <w:t xml:space="preserve">I </w:t>
      </w:r>
      <w:r w:rsidRPr="001005B7">
        <w:t xml:space="preserve">noted, “There </w:t>
      </w:r>
      <w:r w:rsidR="009C7E58" w:rsidRPr="001005B7">
        <w:rPr>
          <w:rFonts w:cstheme="minorHAnsi"/>
          <w:lang w:eastAsia="en-GB"/>
        </w:rPr>
        <w:t>…</w:t>
      </w:r>
      <w:r w:rsidRPr="001005B7">
        <w:t>”</w:t>
      </w:r>
    </w:p>
    <w:p w14:paraId="64D0FA80" w14:textId="77777777" w:rsidR="00C876BC" w:rsidRPr="001005B7" w:rsidRDefault="00C876BC" w:rsidP="00C876BC">
      <w:r w:rsidRPr="001005B7">
        <w:t>This is something of what I saw</w:t>
      </w:r>
    </w:p>
    <w:p w14:paraId="4026E188" w14:textId="77777777" w:rsidR="00C876BC" w:rsidRPr="001005B7" w:rsidRDefault="00C876BC" w:rsidP="00C876BC">
      <w:r w:rsidRPr="001005B7">
        <w:t>This is what Yahweh said about its offensive nature</w:t>
      </w:r>
    </w:p>
    <w:p w14:paraId="2EA700DD" w14:textId="77777777" w:rsidR="00C876BC" w:rsidRPr="001005B7" w:rsidRDefault="00C876BC" w:rsidP="00C876BC">
      <w:r w:rsidRPr="001005B7">
        <w:t>This is what he declared about me seeing further outrages.</w:t>
      </w:r>
    </w:p>
    <w:p w14:paraId="34FAA76D" w14:textId="77777777" w:rsidR="00F71231" w:rsidRPr="001005B7" w:rsidRDefault="00F71231" w:rsidP="008C0C50">
      <w:pPr>
        <w:rPr>
          <w:rFonts w:cstheme="minorHAnsi"/>
        </w:rPr>
      </w:pPr>
    </w:p>
    <w:p w14:paraId="411BDA7A" w14:textId="0CDDE10B" w:rsidR="008C0C50" w:rsidRPr="001005B7" w:rsidRDefault="00C876BC" w:rsidP="008C0C50">
      <w:r w:rsidRPr="001005B7">
        <w:rPr>
          <w:rFonts w:cstheme="minorHAnsi"/>
        </w:rPr>
        <w:t>T</w:t>
      </w:r>
      <w:r w:rsidR="00A01F46" w:rsidRPr="001005B7">
        <w:rPr>
          <w:rFonts w:cstheme="minorHAnsi"/>
        </w:rPr>
        <w:t xml:space="preserve">he four accounts </w:t>
      </w:r>
      <w:r w:rsidR="007D2661" w:rsidRPr="001005B7">
        <w:rPr>
          <w:rFonts w:cstheme="minorHAnsi"/>
        </w:rPr>
        <w:t>relate to</w:t>
      </w:r>
      <w:r w:rsidR="0090571D" w:rsidRPr="001005B7">
        <w:rPr>
          <w:rFonts w:cstheme="minorHAnsi"/>
        </w:rPr>
        <w:t xml:space="preserve"> separate </w:t>
      </w:r>
      <w:r w:rsidR="00666477" w:rsidRPr="001005B7">
        <w:rPr>
          <w:rFonts w:cstheme="minorHAnsi"/>
        </w:rPr>
        <w:t>scenes</w:t>
      </w:r>
      <w:r w:rsidR="0090571D" w:rsidRPr="001005B7">
        <w:rPr>
          <w:rFonts w:cstheme="minorHAnsi"/>
        </w:rPr>
        <w:t xml:space="preserve"> </w:t>
      </w:r>
      <w:r w:rsidR="00820411" w:rsidRPr="001005B7">
        <w:rPr>
          <w:rFonts w:cstheme="minorHAnsi"/>
        </w:rPr>
        <w:t>with</w:t>
      </w:r>
      <w:r w:rsidR="0090571D" w:rsidRPr="001005B7">
        <w:rPr>
          <w:rFonts w:cstheme="minorHAnsi"/>
        </w:rPr>
        <w:t>in a vision</w:t>
      </w:r>
      <w:r w:rsidR="00E33FE9" w:rsidRPr="001005B7">
        <w:rPr>
          <w:rFonts w:cstheme="minorHAnsi"/>
        </w:rPr>
        <w:t>. T</w:t>
      </w:r>
      <w:r w:rsidR="007D2661" w:rsidRPr="001005B7">
        <w:rPr>
          <w:rFonts w:cstheme="minorHAnsi"/>
        </w:rPr>
        <w:t xml:space="preserve">hey are </w:t>
      </w:r>
      <w:r w:rsidR="0090571D" w:rsidRPr="001005B7">
        <w:rPr>
          <w:rFonts w:cstheme="minorHAnsi"/>
        </w:rPr>
        <w:t xml:space="preserve">not </w:t>
      </w:r>
      <w:r w:rsidR="00807CB7" w:rsidRPr="001005B7">
        <w:rPr>
          <w:rFonts w:cstheme="minorHAnsi"/>
        </w:rPr>
        <w:t>a sequence of</w:t>
      </w:r>
      <w:r w:rsidR="00820411" w:rsidRPr="001005B7">
        <w:rPr>
          <w:rFonts w:cstheme="minorHAnsi"/>
        </w:rPr>
        <w:t xml:space="preserve"> events</w:t>
      </w:r>
      <w:r w:rsidR="007E4DBD" w:rsidRPr="001005B7">
        <w:rPr>
          <w:rFonts w:cstheme="minorHAnsi"/>
        </w:rPr>
        <w:t xml:space="preserve"> follow</w:t>
      </w:r>
      <w:r w:rsidR="00BB5B52" w:rsidRPr="001005B7">
        <w:rPr>
          <w:rFonts w:cstheme="minorHAnsi"/>
        </w:rPr>
        <w:t>ing</w:t>
      </w:r>
      <w:r w:rsidR="007E4DBD" w:rsidRPr="001005B7">
        <w:rPr>
          <w:rFonts w:cstheme="minorHAnsi"/>
        </w:rPr>
        <w:t xml:space="preserve"> each other </w:t>
      </w:r>
      <w:r w:rsidR="00625876" w:rsidRPr="001005B7">
        <w:rPr>
          <w:rFonts w:cstheme="minorHAnsi"/>
        </w:rPr>
        <w:t>a</w:t>
      </w:r>
      <w:r w:rsidR="007E4DBD" w:rsidRPr="001005B7">
        <w:rPr>
          <w:rFonts w:cstheme="minorHAnsi"/>
        </w:rPr>
        <w:t>s</w:t>
      </w:r>
      <w:r w:rsidR="00820411" w:rsidRPr="001005B7">
        <w:rPr>
          <w:rFonts w:cstheme="minorHAnsi"/>
        </w:rPr>
        <w:t xml:space="preserve"> </w:t>
      </w:r>
      <w:r w:rsidR="0090571D" w:rsidRPr="001005B7">
        <w:rPr>
          <w:rFonts w:cstheme="minorHAnsi"/>
        </w:rPr>
        <w:t xml:space="preserve">part of one </w:t>
      </w:r>
      <w:r w:rsidR="007E4DBD" w:rsidRPr="001005B7">
        <w:rPr>
          <w:rFonts w:cstheme="minorHAnsi"/>
        </w:rPr>
        <w:t>chronological sequ</w:t>
      </w:r>
      <w:r w:rsidR="00691744" w:rsidRPr="001005B7">
        <w:rPr>
          <w:rFonts w:cstheme="minorHAnsi"/>
        </w:rPr>
        <w:t>ence in Jerusalem history, like (say) 2</w:t>
      </w:r>
      <w:r w:rsidR="00B346E4" w:rsidRPr="001005B7">
        <w:rPr>
          <w:rFonts w:cstheme="minorHAnsi"/>
        </w:rPr>
        <w:t> </w:t>
      </w:r>
      <w:r w:rsidR="006558CA" w:rsidRPr="001005B7">
        <w:rPr>
          <w:rFonts w:cstheme="minorHAnsi"/>
        </w:rPr>
        <w:t>Kgs</w:t>
      </w:r>
      <w:r w:rsidR="00691744" w:rsidRPr="001005B7">
        <w:rPr>
          <w:rFonts w:cstheme="minorHAnsi"/>
        </w:rPr>
        <w:t xml:space="preserve"> 2</w:t>
      </w:r>
      <w:r w:rsidR="003D5B32" w:rsidRPr="001005B7">
        <w:rPr>
          <w:rFonts w:cstheme="minorHAnsi"/>
        </w:rPr>
        <w:t>5</w:t>
      </w:r>
      <w:r w:rsidR="00691744" w:rsidRPr="001005B7">
        <w:rPr>
          <w:rFonts w:cstheme="minorHAnsi"/>
        </w:rPr>
        <w:t>.</w:t>
      </w:r>
      <w:r w:rsidR="00C70EEE" w:rsidRPr="001005B7">
        <w:rPr>
          <w:rFonts w:cstheme="minorHAnsi"/>
        </w:rPr>
        <w:t xml:space="preserve"> </w:t>
      </w:r>
      <w:r w:rsidR="00477ACC" w:rsidRPr="001005B7">
        <w:t>The</w:t>
      </w:r>
      <w:r w:rsidR="00C01604" w:rsidRPr="001005B7">
        <w:t xml:space="preserve">re is no indication that </w:t>
      </w:r>
      <w:r w:rsidR="0037440C" w:rsidRPr="001005B7">
        <w:t>they</w:t>
      </w:r>
      <w:r w:rsidR="00C70EEE" w:rsidRPr="001005B7">
        <w:t xml:space="preserve"> descri</w:t>
      </w:r>
      <w:r w:rsidR="00C01604" w:rsidRPr="001005B7">
        <w:t>be</w:t>
      </w:r>
      <w:r w:rsidR="00C70EEE" w:rsidRPr="001005B7">
        <w:t xml:space="preserve"> something </w:t>
      </w:r>
      <w:r w:rsidR="00477ACC" w:rsidRPr="001005B7">
        <w:t>Ezekiel</w:t>
      </w:r>
      <w:r w:rsidR="00C70EEE" w:rsidRPr="001005B7">
        <w:t xml:space="preserve"> </w:t>
      </w:r>
      <w:r w:rsidR="00D17FD6" w:rsidRPr="001005B7">
        <w:t>had seen</w:t>
      </w:r>
      <w:r w:rsidR="008B7C1F" w:rsidRPr="001005B7">
        <w:t xml:space="preserve"> when he lived in Jerusalem</w:t>
      </w:r>
      <w:r w:rsidR="009E07DF">
        <w:t xml:space="preserve"> or</w:t>
      </w:r>
      <w:r w:rsidR="008B7C1F" w:rsidRPr="001005B7">
        <w:t xml:space="preserve"> </w:t>
      </w:r>
      <w:r w:rsidR="00D17FD6" w:rsidRPr="001005B7">
        <w:t xml:space="preserve">that he </w:t>
      </w:r>
      <w:r w:rsidR="00C70EEE" w:rsidRPr="001005B7">
        <w:t xml:space="preserve">could have seen </w:t>
      </w:r>
      <w:r w:rsidR="00477ACC" w:rsidRPr="001005B7">
        <w:t xml:space="preserve">if he </w:t>
      </w:r>
      <w:r w:rsidR="00344879" w:rsidRPr="001005B7">
        <w:t xml:space="preserve">paid a bodily visit </w:t>
      </w:r>
      <w:r w:rsidR="00D17FD6" w:rsidRPr="001005B7">
        <w:t xml:space="preserve">there </w:t>
      </w:r>
      <w:r w:rsidR="00C70EEE" w:rsidRPr="001005B7">
        <w:t xml:space="preserve">or that </w:t>
      </w:r>
      <w:r w:rsidR="0081669A" w:rsidRPr="001005B7">
        <w:t xml:space="preserve">a visitor from Jerusalem </w:t>
      </w:r>
      <w:r w:rsidR="00C70EEE" w:rsidRPr="001005B7">
        <w:t>could have been reported</w:t>
      </w:r>
      <w:r w:rsidR="00344879" w:rsidRPr="001005B7">
        <w:t xml:space="preserve"> to him</w:t>
      </w:r>
      <w:r w:rsidR="0098078E" w:rsidRPr="001005B7">
        <w:t>.</w:t>
      </w:r>
      <w:r w:rsidR="008B2B56" w:rsidRPr="001005B7">
        <w:t xml:space="preserve"> </w:t>
      </w:r>
      <w:r w:rsidR="00730DBD" w:rsidRPr="001005B7">
        <w:t>The vision</w:t>
      </w:r>
      <w:r w:rsidR="00A06B8B" w:rsidRPr="001005B7">
        <w:t xml:space="preserve"> </w:t>
      </w:r>
      <w:r w:rsidR="00C314DD" w:rsidRPr="001005B7">
        <w:t>will build on</w:t>
      </w:r>
      <w:r w:rsidR="00A06B8B" w:rsidRPr="001005B7">
        <w:t xml:space="preserve"> </w:t>
      </w:r>
      <w:r w:rsidR="00C657D8" w:rsidRPr="001005B7">
        <w:t>some knowledge of Jerusalem</w:t>
      </w:r>
      <w:r w:rsidR="00C314DD" w:rsidRPr="001005B7">
        <w:t xml:space="preserve"> that he has</w:t>
      </w:r>
      <w:r w:rsidR="00271FCC" w:rsidRPr="001005B7">
        <w:t>,</w:t>
      </w:r>
      <w:r w:rsidR="00950B72" w:rsidRPr="001005B7">
        <w:t xml:space="preserve"> but it raises pu</w:t>
      </w:r>
      <w:r w:rsidR="00DB2C70" w:rsidRPr="001005B7">
        <w:t>zzles about the location as well as the nature of the events it relates</w:t>
      </w:r>
      <w:r w:rsidR="00730DBD" w:rsidRPr="001005B7">
        <w:t>. W</w:t>
      </w:r>
      <w:r w:rsidR="00FB7A33" w:rsidRPr="001005B7">
        <w:t>hile</w:t>
      </w:r>
      <w:r w:rsidR="00DB2C70" w:rsidRPr="001005B7">
        <w:t xml:space="preserve"> </w:t>
      </w:r>
      <w:r w:rsidR="00296C0C" w:rsidRPr="001005B7">
        <w:t>1 Kgs</w:t>
      </w:r>
      <w:r w:rsidR="00FB7A33" w:rsidRPr="001005B7">
        <w:t xml:space="preserve"> 6</w:t>
      </w:r>
      <w:r w:rsidR="00F46900" w:rsidRPr="001005B7">
        <w:t>–</w:t>
      </w:r>
      <w:r w:rsidR="00FB7A33" w:rsidRPr="001005B7">
        <w:t xml:space="preserve">7 describes Solomon’s building of the temple, it </w:t>
      </w:r>
      <w:r w:rsidR="003634AB" w:rsidRPr="001005B7">
        <w:t>says</w:t>
      </w:r>
      <w:r w:rsidR="00FB7A33" w:rsidRPr="001005B7">
        <w:t xml:space="preserve"> little about the courtyards around the main temple building or its environs</w:t>
      </w:r>
      <w:r w:rsidR="00C47D5E" w:rsidRPr="001005B7">
        <w:t xml:space="preserve">, which are important in this vision. </w:t>
      </w:r>
      <w:r w:rsidR="00052B04" w:rsidRPr="001005B7">
        <w:t>Indeed,</w:t>
      </w:r>
      <w:r w:rsidR="00C47D5E" w:rsidRPr="001005B7">
        <w:t xml:space="preserve"> the vision </w:t>
      </w:r>
      <w:r w:rsidR="0074761D" w:rsidRPr="001005B7">
        <w:t>hardly</w:t>
      </w:r>
      <w:r w:rsidR="00950B72" w:rsidRPr="001005B7">
        <w:t xml:space="preserve"> invite</w:t>
      </w:r>
      <w:r w:rsidR="0074761D" w:rsidRPr="001005B7">
        <w:t>s</w:t>
      </w:r>
      <w:r w:rsidR="00950B72" w:rsidRPr="001005B7">
        <w:t xml:space="preserve"> </w:t>
      </w:r>
      <w:r w:rsidR="0074761D" w:rsidRPr="001005B7">
        <w:t>readers</w:t>
      </w:r>
      <w:r w:rsidR="00950B72" w:rsidRPr="001005B7">
        <w:t xml:space="preserve"> to relate it to</w:t>
      </w:r>
      <w:r w:rsidR="00C657D8" w:rsidRPr="001005B7">
        <w:t xml:space="preserve"> </w:t>
      </w:r>
      <w:r w:rsidR="00A47A10" w:rsidRPr="001005B7">
        <w:t xml:space="preserve">such </w:t>
      </w:r>
      <w:r w:rsidR="003E145A" w:rsidRPr="001005B7">
        <w:t xml:space="preserve">geographical </w:t>
      </w:r>
      <w:r w:rsidR="009C5DCD">
        <w:t xml:space="preserve">or material </w:t>
      </w:r>
      <w:r w:rsidR="003E145A" w:rsidRPr="001005B7">
        <w:t>realities</w:t>
      </w:r>
      <w:r w:rsidR="0067008A" w:rsidRPr="001005B7">
        <w:t xml:space="preserve"> any more than (say) Gen 1 (or Gen 1</w:t>
      </w:r>
      <w:r w:rsidR="00F46900" w:rsidRPr="001005B7">
        <w:t>–</w:t>
      </w:r>
      <w:r w:rsidR="0067008A" w:rsidRPr="001005B7">
        <w:t xml:space="preserve">11 as a whole) invites </w:t>
      </w:r>
      <w:r w:rsidR="0074761D" w:rsidRPr="001005B7">
        <w:t xml:space="preserve">readers </w:t>
      </w:r>
      <w:r w:rsidR="0067008A" w:rsidRPr="001005B7">
        <w:t xml:space="preserve">to relate it to </w:t>
      </w:r>
      <w:r w:rsidR="00430DAC" w:rsidRPr="001005B7">
        <w:t xml:space="preserve">geographical or chronological realities. </w:t>
      </w:r>
      <w:r w:rsidR="005701A7" w:rsidRPr="001005B7">
        <w:t xml:space="preserve">As Gen 1 concerns </w:t>
      </w:r>
      <w:r w:rsidR="0071138B" w:rsidRPr="001005B7">
        <w:t>real</w:t>
      </w:r>
      <w:r w:rsidR="005701A7" w:rsidRPr="001005B7">
        <w:t xml:space="preserve"> </w:t>
      </w:r>
      <w:r w:rsidR="00A6108F" w:rsidRPr="001005B7">
        <w:t>fact</w:t>
      </w:r>
      <w:r w:rsidR="0071138B" w:rsidRPr="001005B7">
        <w:t xml:space="preserve">s about </w:t>
      </w:r>
      <w:r w:rsidR="00A6108F" w:rsidRPr="001005B7">
        <w:t>God creat</w:t>
      </w:r>
      <w:r w:rsidR="0071138B" w:rsidRPr="001005B7">
        <w:t>ing</w:t>
      </w:r>
      <w:r w:rsidR="00A6108F" w:rsidRPr="001005B7">
        <w:t xml:space="preserve"> the worl</w:t>
      </w:r>
      <w:r w:rsidR="008D4144" w:rsidRPr="001005B7">
        <w:t>d</w:t>
      </w:r>
      <w:r w:rsidR="008C007F" w:rsidRPr="001005B7">
        <w:t xml:space="preserve"> (it was made </w:t>
      </w:r>
      <w:r w:rsidR="002509C8" w:rsidRPr="001005B7">
        <w:t xml:space="preserve">in a purposeful fashion, it was made </w:t>
      </w:r>
      <w:r w:rsidR="00F3240F" w:rsidRPr="001005B7">
        <w:t>by the exercise of God’s un</w:t>
      </w:r>
      <w:r w:rsidR="00A96B45" w:rsidRPr="001005B7">
        <w:t>c</w:t>
      </w:r>
      <w:r w:rsidR="007B364E" w:rsidRPr="001005B7">
        <w:t>ontest</w:t>
      </w:r>
      <w:r w:rsidR="00A96B45" w:rsidRPr="001005B7">
        <w:t xml:space="preserve">ed sovereignty, it was made </w:t>
      </w:r>
      <w:r w:rsidR="008C007F" w:rsidRPr="001005B7">
        <w:t>good</w:t>
      </w:r>
      <w:r w:rsidR="00A96B45" w:rsidRPr="001005B7">
        <w:t>)</w:t>
      </w:r>
      <w:r w:rsidR="008C007F" w:rsidRPr="001005B7">
        <w:t xml:space="preserve">, </w:t>
      </w:r>
      <w:r w:rsidR="00AC312F" w:rsidRPr="001005B7">
        <w:t>so Ezek</w:t>
      </w:r>
      <w:r w:rsidR="000C7B7B" w:rsidRPr="001005B7">
        <w:t xml:space="preserve"> </w:t>
      </w:r>
      <w:r w:rsidR="001C0B95" w:rsidRPr="001005B7">
        <w:t xml:space="preserve">8 </w:t>
      </w:r>
      <w:r w:rsidR="000C7B7B" w:rsidRPr="001005B7">
        <w:t xml:space="preserve">concerns </w:t>
      </w:r>
      <w:r w:rsidR="00632463" w:rsidRPr="001005B7">
        <w:t>real facts</w:t>
      </w:r>
      <w:r w:rsidR="000C7B7B" w:rsidRPr="001005B7">
        <w:t xml:space="preserve"> </w:t>
      </w:r>
      <w:r w:rsidR="008D4144" w:rsidRPr="001005B7">
        <w:t xml:space="preserve">about </w:t>
      </w:r>
      <w:r w:rsidR="009F4B5D">
        <w:t>Jerusalem’s</w:t>
      </w:r>
      <w:r w:rsidR="00AF0B20" w:rsidRPr="001005B7">
        <w:t xml:space="preserve"> religion and</w:t>
      </w:r>
      <w:r w:rsidR="000C7B7B" w:rsidRPr="001005B7">
        <w:t xml:space="preserve"> worship</w:t>
      </w:r>
      <w:r w:rsidR="00143494" w:rsidRPr="001005B7">
        <w:t xml:space="preserve"> (th</w:t>
      </w:r>
      <w:r w:rsidR="00AF0B20" w:rsidRPr="001005B7">
        <w:t>ey were</w:t>
      </w:r>
      <w:r w:rsidR="00143494" w:rsidRPr="001005B7">
        <w:t xml:space="preserve"> influenced by</w:t>
      </w:r>
      <w:r w:rsidR="00E66357" w:rsidRPr="001005B7">
        <w:t xml:space="preserve"> </w:t>
      </w:r>
      <w:r w:rsidR="003C5FFF">
        <w:t>other peoples’</w:t>
      </w:r>
      <w:r w:rsidR="002F6CDB" w:rsidRPr="001005B7">
        <w:t xml:space="preserve"> </w:t>
      </w:r>
      <w:r w:rsidR="00AF0B20" w:rsidRPr="001005B7">
        <w:t xml:space="preserve">religion and </w:t>
      </w:r>
      <w:r w:rsidR="002F6CDB" w:rsidRPr="001005B7">
        <w:t>worship</w:t>
      </w:r>
      <w:r w:rsidR="00E66357" w:rsidRPr="001005B7">
        <w:t xml:space="preserve"> in a way that contest</w:t>
      </w:r>
      <w:r w:rsidR="00331CB1">
        <w:t>ed</w:t>
      </w:r>
      <w:r w:rsidR="00E66357" w:rsidRPr="001005B7">
        <w:t xml:space="preserve"> Yahweh’s sovereignty</w:t>
      </w:r>
      <w:r w:rsidR="001C0B95" w:rsidRPr="001005B7">
        <w:t>)</w:t>
      </w:r>
      <w:r w:rsidR="00F1474A" w:rsidRPr="001005B7">
        <w:t xml:space="preserve">. </w:t>
      </w:r>
      <w:r w:rsidR="00CD44A7" w:rsidRPr="001005B7">
        <w:rPr>
          <w:rFonts w:cstheme="minorHAnsi"/>
        </w:rPr>
        <w:t xml:space="preserve">It fits with some of Jeremiah’s scathing accounts of religion and worship in Jerusalem (e.g., </w:t>
      </w:r>
      <w:r w:rsidR="004656B1" w:rsidRPr="001005B7">
        <w:rPr>
          <w:rFonts w:cstheme="minorHAnsi"/>
        </w:rPr>
        <w:t xml:space="preserve">Jer </w:t>
      </w:r>
      <w:r w:rsidR="00CD44A7" w:rsidRPr="001005B7">
        <w:rPr>
          <w:rFonts w:cstheme="minorHAnsi"/>
        </w:rPr>
        <w:t>7:17; 44:17</w:t>
      </w:r>
      <w:r w:rsidR="00F46900" w:rsidRPr="001005B7">
        <w:rPr>
          <w:rFonts w:cstheme="minorHAnsi"/>
        </w:rPr>
        <w:t>–</w:t>
      </w:r>
      <w:r w:rsidR="00CD44A7" w:rsidRPr="001005B7">
        <w:rPr>
          <w:rFonts w:cstheme="minorHAnsi"/>
        </w:rPr>
        <w:t>19</w:t>
      </w:r>
      <w:r w:rsidR="00DF12EF" w:rsidRPr="001005B7">
        <w:rPr>
          <w:rFonts w:cstheme="minorHAnsi"/>
        </w:rPr>
        <w:t>)</w:t>
      </w:r>
      <w:r w:rsidR="00CD44A7" w:rsidRPr="001005B7">
        <w:rPr>
          <w:rFonts w:cstheme="minorHAnsi"/>
        </w:rPr>
        <w:t xml:space="preserve">. </w:t>
      </w:r>
      <w:r w:rsidR="00DF12EF" w:rsidRPr="001005B7">
        <w:rPr>
          <w:rFonts w:cstheme="minorHAnsi"/>
        </w:rPr>
        <w:t>But Ezekiel has a</w:t>
      </w:r>
      <w:r w:rsidR="008470EC" w:rsidRPr="001005B7">
        <w:rPr>
          <w:rFonts w:cstheme="minorHAnsi"/>
        </w:rPr>
        <w:t xml:space="preserve"> </w:t>
      </w:r>
      <w:r w:rsidR="00DF12EF" w:rsidRPr="001005B7">
        <w:rPr>
          <w:rFonts w:cstheme="minorHAnsi"/>
        </w:rPr>
        <w:t>more vivid imagination than Jeremiah. And</w:t>
      </w:r>
      <w:r w:rsidR="00CD44A7" w:rsidRPr="001005B7">
        <w:rPr>
          <w:rFonts w:cstheme="minorHAnsi"/>
        </w:rPr>
        <w:t xml:space="preserve"> </w:t>
      </w:r>
      <w:r w:rsidR="00E62AE9" w:rsidRPr="001005B7">
        <w:t>i</w:t>
      </w:r>
      <w:r w:rsidR="008B2B56" w:rsidRPr="001005B7">
        <w:t>t is a</w:t>
      </w:r>
      <w:r w:rsidR="00E62AE9" w:rsidRPr="001005B7">
        <w:t>n account of a</w:t>
      </w:r>
      <w:r w:rsidR="0093051B" w:rsidRPr="001005B7">
        <w:t xml:space="preserve"> sequence of imaginary scenes that</w:t>
      </w:r>
      <w:r w:rsidR="008B2B56" w:rsidRPr="001005B7">
        <w:t xml:space="preserve"> </w:t>
      </w:r>
      <w:r w:rsidR="00E62AE9" w:rsidRPr="001005B7">
        <w:t>Yahweh enable</w:t>
      </w:r>
      <w:r w:rsidR="008470EC" w:rsidRPr="001005B7">
        <w:t>d</w:t>
      </w:r>
      <w:r w:rsidR="00E62AE9" w:rsidRPr="001005B7">
        <w:t xml:space="preserve"> him to </w:t>
      </w:r>
      <w:r w:rsidR="008B2B56" w:rsidRPr="001005B7">
        <w:t xml:space="preserve">see in his </w:t>
      </w:r>
      <w:r w:rsidR="0093051B" w:rsidRPr="001005B7">
        <w:t>vision</w:t>
      </w:r>
      <w:r w:rsidR="008B2B56" w:rsidRPr="001005B7">
        <w:t>, like the Valley of the Bones</w:t>
      </w:r>
      <w:r w:rsidR="00B90C77" w:rsidRPr="001005B7">
        <w:t xml:space="preserve"> </w:t>
      </w:r>
      <w:r w:rsidR="00E17D37" w:rsidRPr="001005B7">
        <w:t xml:space="preserve">in </w:t>
      </w:r>
      <w:r w:rsidR="00B90C77" w:rsidRPr="001005B7">
        <w:t>37:</w:t>
      </w:r>
      <w:r w:rsidR="00E17D37" w:rsidRPr="001005B7">
        <w:t>1</w:t>
      </w:r>
      <w:r w:rsidR="00F46900" w:rsidRPr="001005B7">
        <w:t>–</w:t>
      </w:r>
      <w:r w:rsidR="00E17D37" w:rsidRPr="001005B7">
        <w:t>14.</w:t>
      </w:r>
      <w:r w:rsidR="00542F92" w:rsidRPr="001005B7">
        <w:rPr>
          <w:rStyle w:val="FootnoteReference"/>
        </w:rPr>
        <w:footnoteReference w:id="228"/>
      </w:r>
      <w:r w:rsidR="007157F7" w:rsidRPr="001005B7">
        <w:t xml:space="preserve"> </w:t>
      </w:r>
    </w:p>
    <w:p w14:paraId="6708CDD4" w14:textId="38BBC8E3" w:rsidR="000035B9" w:rsidRPr="001005B7" w:rsidRDefault="000035B9" w:rsidP="00493833">
      <w:pPr>
        <w:pStyle w:val="Heading3"/>
      </w:pPr>
      <w:r w:rsidRPr="001005B7">
        <w:t>Translation</w:t>
      </w:r>
    </w:p>
    <w:p w14:paraId="062F2029" w14:textId="44DFF0E1" w:rsidR="000035B9" w:rsidRPr="001005B7" w:rsidRDefault="000035B9" w:rsidP="00804C98">
      <w:r w:rsidRPr="001005B7">
        <w:rPr>
          <w:vertAlign w:val="superscript"/>
        </w:rPr>
        <w:t>1</w:t>
      </w:r>
      <w:r w:rsidR="00AA0537" w:rsidRPr="001005B7">
        <w:t>Then,</w:t>
      </w:r>
      <w:r w:rsidR="00A65360" w:rsidRPr="001005B7">
        <w:t xml:space="preserve"> i</w:t>
      </w:r>
      <w:r w:rsidR="00E1684D" w:rsidRPr="001005B7">
        <w:t>n the si</w:t>
      </w:r>
      <w:r w:rsidR="008F213F" w:rsidRPr="001005B7">
        <w:t>xth year, in the sixth</w:t>
      </w:r>
      <w:r w:rsidR="00C13AA6" w:rsidRPr="001005B7">
        <w:t xml:space="preserve"> </w:t>
      </w:r>
      <w:r w:rsidR="006C5661" w:rsidRPr="001005B7">
        <w:t>[month]</w:t>
      </w:r>
      <w:r w:rsidR="008F213F" w:rsidRPr="001005B7">
        <w:t xml:space="preserve">, </w:t>
      </w:r>
      <w:r w:rsidR="004B73B7" w:rsidRPr="001005B7">
        <w:t>on the fifth of the month</w:t>
      </w:r>
      <w:r w:rsidR="000E78A8" w:rsidRPr="001005B7">
        <w:t>, I was sitting in my house</w:t>
      </w:r>
      <w:r w:rsidR="00952732" w:rsidRPr="001005B7">
        <w:t>,</w:t>
      </w:r>
      <w:r w:rsidR="001403D7" w:rsidRPr="001005B7">
        <w:t xml:space="preserve"> with</w:t>
      </w:r>
      <w:r w:rsidR="001F0802" w:rsidRPr="001005B7">
        <w:t xml:space="preserve"> the Judahite elders sitting in front of me</w:t>
      </w:r>
      <w:r w:rsidR="00C1228C" w:rsidRPr="001005B7">
        <w:t>, and the hand of the Lord Yahweh fell on me</w:t>
      </w:r>
      <w:r w:rsidR="002D1BFB" w:rsidRPr="001005B7">
        <w:t xml:space="preserve"> there. </w:t>
      </w:r>
      <w:r w:rsidR="002D1BFB" w:rsidRPr="001005B7">
        <w:rPr>
          <w:vertAlign w:val="superscript"/>
        </w:rPr>
        <w:t>2</w:t>
      </w:r>
      <w:r w:rsidR="00B610D8" w:rsidRPr="001005B7">
        <w:t xml:space="preserve">I </w:t>
      </w:r>
      <w:r w:rsidR="00804C98" w:rsidRPr="001005B7">
        <w:t>saw</w:t>
      </w:r>
      <w:r w:rsidR="00B610D8" w:rsidRPr="001005B7">
        <w:t>,</w:t>
      </w:r>
      <w:r w:rsidR="00D864BC" w:rsidRPr="001005B7">
        <w:rPr>
          <w:rStyle w:val="FootnoteReference"/>
        </w:rPr>
        <w:footnoteReference w:id="229"/>
      </w:r>
      <w:r w:rsidR="00B610D8" w:rsidRPr="001005B7">
        <w:t xml:space="preserve"> and there, </w:t>
      </w:r>
      <w:r w:rsidR="00C93D7F" w:rsidRPr="001005B7">
        <w:t xml:space="preserve">a form </w:t>
      </w:r>
      <w:r w:rsidR="00676726">
        <w:t xml:space="preserve">something </w:t>
      </w:r>
      <w:r w:rsidR="006C6A6F" w:rsidRPr="001005B7">
        <w:t>like the appearance of fire</w:t>
      </w:r>
      <w:r w:rsidR="00AA30E4" w:rsidRPr="001005B7">
        <w:t xml:space="preserve">. From the appearance of its </w:t>
      </w:r>
      <w:r w:rsidR="009F3644" w:rsidRPr="001005B7">
        <w:t>wa</w:t>
      </w:r>
      <w:r w:rsidR="00363159" w:rsidRPr="001005B7">
        <w:t>i</w:t>
      </w:r>
      <w:r w:rsidR="009F3644" w:rsidRPr="001005B7">
        <w:t>st</w:t>
      </w:r>
      <w:r w:rsidR="00AA30E4" w:rsidRPr="001005B7">
        <w:t xml:space="preserve"> </w:t>
      </w:r>
      <w:r w:rsidR="008B61E5" w:rsidRPr="001005B7">
        <w:t>and</w:t>
      </w:r>
      <w:r w:rsidR="00A04E6A" w:rsidRPr="001005B7">
        <w:t xml:space="preserve"> down</w:t>
      </w:r>
      <w:r w:rsidR="003A6B7A" w:rsidRPr="001005B7">
        <w:t>ward</w:t>
      </w:r>
      <w:r w:rsidR="008B61E5" w:rsidRPr="001005B7">
        <w:t>, fire</w:t>
      </w:r>
      <w:r w:rsidR="00021876" w:rsidRPr="001005B7">
        <w:t xml:space="preserve">, and from its </w:t>
      </w:r>
      <w:r w:rsidR="009F3644" w:rsidRPr="001005B7">
        <w:t>wa</w:t>
      </w:r>
      <w:r w:rsidR="00363159" w:rsidRPr="001005B7">
        <w:t>i</w:t>
      </w:r>
      <w:r w:rsidR="009F3644" w:rsidRPr="001005B7">
        <w:t>st</w:t>
      </w:r>
      <w:r w:rsidR="00021876" w:rsidRPr="001005B7">
        <w:t xml:space="preserve"> and upward</w:t>
      </w:r>
      <w:r w:rsidR="00480110" w:rsidRPr="001005B7">
        <w:t xml:space="preserve">, </w:t>
      </w:r>
      <w:r w:rsidR="007C5784">
        <w:t xml:space="preserve">something </w:t>
      </w:r>
      <w:r w:rsidR="007438A8" w:rsidRPr="001005B7">
        <w:t xml:space="preserve">like </w:t>
      </w:r>
      <w:r w:rsidR="00480110" w:rsidRPr="001005B7">
        <w:t>the appearance of brightness</w:t>
      </w:r>
      <w:r w:rsidR="00A26431" w:rsidRPr="001005B7">
        <w:t xml:space="preserve">, </w:t>
      </w:r>
      <w:r w:rsidR="00676726">
        <w:t xml:space="preserve">something </w:t>
      </w:r>
      <w:r w:rsidR="00A26431" w:rsidRPr="001005B7">
        <w:t xml:space="preserve">like the look of </w:t>
      </w:r>
      <w:proofErr w:type="spellStart"/>
      <w:r w:rsidR="00A26431" w:rsidRPr="001005B7">
        <w:rPr>
          <w:i/>
          <w:iCs/>
        </w:rPr>
        <w:t>hashmal</w:t>
      </w:r>
      <w:proofErr w:type="spellEnd"/>
      <w:r w:rsidR="00A26431" w:rsidRPr="001005B7">
        <w:t>.</w:t>
      </w:r>
      <w:r w:rsidR="001B6270" w:rsidRPr="001005B7">
        <w:t xml:space="preserve"> </w:t>
      </w:r>
      <w:r w:rsidR="001B6270" w:rsidRPr="001005B7">
        <w:rPr>
          <w:vertAlign w:val="superscript"/>
        </w:rPr>
        <w:t>3</w:t>
      </w:r>
      <w:r w:rsidR="001B6270" w:rsidRPr="001005B7">
        <w:t xml:space="preserve">He put out </w:t>
      </w:r>
      <w:r w:rsidR="00477CD9" w:rsidRPr="001005B7">
        <w:t xml:space="preserve">the </w:t>
      </w:r>
      <w:r w:rsidR="00CD7CF5" w:rsidRPr="001005B7">
        <w:t>shape</w:t>
      </w:r>
      <w:r w:rsidR="00477CD9" w:rsidRPr="001005B7">
        <w:t xml:space="preserve"> of a hand and got me by </w:t>
      </w:r>
      <w:r w:rsidR="00F46BE4" w:rsidRPr="001005B7">
        <w:t xml:space="preserve">a tuft of </w:t>
      </w:r>
      <w:r w:rsidR="00477CD9" w:rsidRPr="001005B7">
        <w:t>the hair o</w:t>
      </w:r>
      <w:r w:rsidR="00366686" w:rsidRPr="001005B7">
        <w:t>n</w:t>
      </w:r>
      <w:r w:rsidR="00477CD9" w:rsidRPr="001005B7">
        <w:t xml:space="preserve"> my head</w:t>
      </w:r>
      <w:r w:rsidR="00A93756" w:rsidRPr="001005B7">
        <w:t xml:space="preserve">, and a </w:t>
      </w:r>
      <w:r w:rsidR="00DE7F56" w:rsidRPr="001005B7">
        <w:t>spirit</w:t>
      </w:r>
      <w:r w:rsidR="00964CCD" w:rsidRPr="001005B7">
        <w:rPr>
          <w:rStyle w:val="FootnoteReference"/>
        </w:rPr>
        <w:footnoteReference w:id="230"/>
      </w:r>
      <w:r w:rsidR="00DE7F56" w:rsidRPr="001005B7">
        <w:t xml:space="preserve"> </w:t>
      </w:r>
      <w:r w:rsidR="00A93756" w:rsidRPr="001005B7">
        <w:t>lifted me between the earth and the heavens</w:t>
      </w:r>
      <w:r w:rsidR="00F955A3" w:rsidRPr="001005B7">
        <w:t xml:space="preserve"> and </w:t>
      </w:r>
      <w:r w:rsidR="00A81C5C" w:rsidRPr="001005B7">
        <w:t>had</w:t>
      </w:r>
      <w:r w:rsidR="00F955A3" w:rsidRPr="001005B7">
        <w:t xml:space="preserve"> me come to Jerusalem in </w:t>
      </w:r>
      <w:r w:rsidR="00AB335A" w:rsidRPr="001005B7">
        <w:t xml:space="preserve">a </w:t>
      </w:r>
      <w:r w:rsidR="00F955A3" w:rsidRPr="001005B7">
        <w:t>divine vision</w:t>
      </w:r>
      <w:r w:rsidR="005F2164" w:rsidRPr="001005B7">
        <w:t>,</w:t>
      </w:r>
      <w:r w:rsidR="004D2205" w:rsidRPr="001005B7">
        <w:rPr>
          <w:rStyle w:val="FootnoteReference"/>
        </w:rPr>
        <w:footnoteReference w:id="231"/>
      </w:r>
      <w:r w:rsidR="00522500" w:rsidRPr="001005B7">
        <w:t xml:space="preserve"> to</w:t>
      </w:r>
      <w:r w:rsidR="001C1760" w:rsidRPr="001005B7">
        <w:t xml:space="preserve"> the entrance </w:t>
      </w:r>
      <w:r w:rsidR="00501A6C" w:rsidRPr="001005B7">
        <w:t xml:space="preserve">of the </w:t>
      </w:r>
      <w:r w:rsidR="00342B3A" w:rsidRPr="001005B7">
        <w:t>i</w:t>
      </w:r>
      <w:r w:rsidR="00506DF5" w:rsidRPr="001005B7">
        <w:t>n</w:t>
      </w:r>
      <w:r w:rsidR="00F47B63" w:rsidRPr="001005B7">
        <w:t>ner</w:t>
      </w:r>
      <w:r w:rsidR="00506DF5" w:rsidRPr="001005B7">
        <w:t xml:space="preserve"> </w:t>
      </w:r>
      <w:r w:rsidR="00342B3A" w:rsidRPr="001005B7">
        <w:t>g</w:t>
      </w:r>
      <w:r w:rsidR="00501A6C" w:rsidRPr="001005B7">
        <w:t>ate</w:t>
      </w:r>
      <w:r w:rsidR="00F60A4A" w:rsidRPr="001005B7">
        <w:t>way that</w:t>
      </w:r>
      <w:r w:rsidR="006616A6" w:rsidRPr="001005B7">
        <w:t xml:space="preserve"> </w:t>
      </w:r>
      <w:r w:rsidR="00F9210C" w:rsidRPr="001005B7">
        <w:t>fac</w:t>
      </w:r>
      <w:r w:rsidR="00F60A4A" w:rsidRPr="001005B7">
        <w:t>es</w:t>
      </w:r>
      <w:r w:rsidR="00F9210C" w:rsidRPr="001005B7">
        <w:t xml:space="preserve"> </w:t>
      </w:r>
      <w:r w:rsidR="006616A6" w:rsidRPr="001005B7">
        <w:t>north</w:t>
      </w:r>
      <w:r w:rsidR="0001114A" w:rsidRPr="001005B7">
        <w:t>ward</w:t>
      </w:r>
      <w:r w:rsidR="006616A6" w:rsidRPr="001005B7">
        <w:t xml:space="preserve">, where </w:t>
      </w:r>
      <w:r w:rsidR="00CC3A44" w:rsidRPr="001005B7">
        <w:t xml:space="preserve">was </w:t>
      </w:r>
      <w:r w:rsidR="0021373F" w:rsidRPr="001005B7">
        <w:t>the s</w:t>
      </w:r>
      <w:r w:rsidR="00980F70" w:rsidRPr="001005B7">
        <w:t xml:space="preserve">eat of the </w:t>
      </w:r>
      <w:r w:rsidR="00481E55" w:rsidRPr="001005B7">
        <w:t>creation</w:t>
      </w:r>
      <w:r w:rsidR="00980F70" w:rsidRPr="001005B7">
        <w:t xml:space="preserve"> </w:t>
      </w:r>
      <w:r w:rsidR="00A707F9" w:rsidRPr="001005B7">
        <w:t>statue</w:t>
      </w:r>
      <w:r w:rsidR="00F51B32" w:rsidRPr="001005B7">
        <w:t xml:space="preserve"> that</w:t>
      </w:r>
      <w:r w:rsidR="00B36D3D" w:rsidRPr="001005B7">
        <w:t xml:space="preserve"> </w:t>
      </w:r>
      <w:r w:rsidR="00763BFF" w:rsidRPr="001005B7">
        <w:t>arouses</w:t>
      </w:r>
      <w:r w:rsidR="00B36D3D" w:rsidRPr="001005B7">
        <w:t xml:space="preserve"> </w:t>
      </w:r>
      <w:r w:rsidR="00BD1862" w:rsidRPr="001005B7">
        <w:t>passion</w:t>
      </w:r>
      <w:r w:rsidR="00B36D3D" w:rsidRPr="001005B7">
        <w:t>.</w:t>
      </w:r>
      <w:r w:rsidR="00CA4178" w:rsidRPr="001005B7">
        <w:rPr>
          <w:rStyle w:val="FootnoteReference"/>
        </w:rPr>
        <w:footnoteReference w:id="232"/>
      </w:r>
      <w:r w:rsidR="00A707F9" w:rsidRPr="001005B7">
        <w:t xml:space="preserve"> </w:t>
      </w:r>
      <w:r w:rsidR="00141019" w:rsidRPr="001005B7">
        <w:rPr>
          <w:vertAlign w:val="superscript"/>
        </w:rPr>
        <w:t>4</w:t>
      </w:r>
      <w:r w:rsidR="00F528A5" w:rsidRPr="001005B7">
        <w:t xml:space="preserve">And there, the </w:t>
      </w:r>
      <w:r w:rsidR="00180CEB" w:rsidRPr="001005B7">
        <w:t>magnificence</w:t>
      </w:r>
      <w:r w:rsidR="00F528A5" w:rsidRPr="001005B7">
        <w:t xml:space="preserve"> of the God of Israel was there, </w:t>
      </w:r>
      <w:r w:rsidR="00A92030" w:rsidRPr="001005B7">
        <w:t>like the vision</w:t>
      </w:r>
      <w:r w:rsidR="00352364" w:rsidRPr="001005B7">
        <w:t xml:space="preserve"> </w:t>
      </w:r>
      <w:r w:rsidR="00A92030" w:rsidRPr="001005B7">
        <w:t xml:space="preserve">that I saw in the </w:t>
      </w:r>
      <w:r w:rsidR="001E3397" w:rsidRPr="001005B7">
        <w:t>plain</w:t>
      </w:r>
      <w:r w:rsidR="00A92030" w:rsidRPr="001005B7">
        <w:t>.</w:t>
      </w:r>
    </w:p>
    <w:p w14:paraId="289DC167" w14:textId="6F588687" w:rsidR="00381558" w:rsidRPr="001005B7" w:rsidRDefault="00A92030" w:rsidP="00381558">
      <w:pPr>
        <w:rPr>
          <w:vertAlign w:val="superscript"/>
        </w:rPr>
      </w:pPr>
      <w:r w:rsidRPr="001005B7">
        <w:rPr>
          <w:vertAlign w:val="superscript"/>
        </w:rPr>
        <w:t>5</w:t>
      </w:r>
      <w:r w:rsidR="009E5D54" w:rsidRPr="001005B7">
        <w:t>He said to me</w:t>
      </w:r>
      <w:r w:rsidR="00FF0D55" w:rsidRPr="001005B7">
        <w:t>,</w:t>
      </w:r>
      <w:r w:rsidR="009E5D54" w:rsidRPr="001005B7">
        <w:t xml:space="preserve"> </w:t>
      </w:r>
      <w:r w:rsidR="00D3329B" w:rsidRPr="001005B7">
        <w:t>My man</w:t>
      </w:r>
      <w:r w:rsidR="009E5D54" w:rsidRPr="001005B7">
        <w:t xml:space="preserve">, </w:t>
      </w:r>
      <w:r w:rsidR="00B24DE9" w:rsidRPr="001005B7">
        <w:t>lift your eyes in a north</w:t>
      </w:r>
      <w:r w:rsidR="001256F3" w:rsidRPr="001005B7">
        <w:t>ward</w:t>
      </w:r>
      <w:r w:rsidR="00B24DE9" w:rsidRPr="001005B7">
        <w:t xml:space="preserve"> direction, will you</w:t>
      </w:r>
      <w:r w:rsidR="00352364" w:rsidRPr="001005B7">
        <w:t xml:space="preserve">. So I lifted my eyes </w:t>
      </w:r>
      <w:r w:rsidR="00606A4E" w:rsidRPr="001005B7">
        <w:t>in a north</w:t>
      </w:r>
      <w:r w:rsidR="001256F3" w:rsidRPr="001005B7">
        <w:t>ward</w:t>
      </w:r>
      <w:r w:rsidR="00606A4E" w:rsidRPr="001005B7">
        <w:t xml:space="preserve"> direction, and there, </w:t>
      </w:r>
      <w:r w:rsidR="005B6F0F" w:rsidRPr="001005B7">
        <w:t xml:space="preserve">to the </w:t>
      </w:r>
      <w:r w:rsidR="003B50EC" w:rsidRPr="001005B7">
        <w:t>north of the altar gate</w:t>
      </w:r>
      <w:r w:rsidR="009A3FC5" w:rsidRPr="001005B7">
        <w:t>way</w:t>
      </w:r>
      <w:r w:rsidR="003B50EC" w:rsidRPr="001005B7">
        <w:t xml:space="preserve"> was th</w:t>
      </w:r>
      <w:r w:rsidR="004A7AF2" w:rsidRPr="001005B7">
        <w:t>is</w:t>
      </w:r>
      <w:r w:rsidR="003B50EC" w:rsidRPr="001005B7">
        <w:t xml:space="preserve"> statue</w:t>
      </w:r>
      <w:r w:rsidR="00B159FA" w:rsidRPr="001005B7">
        <w:t xml:space="preserve"> that</w:t>
      </w:r>
      <w:r w:rsidR="00607C5E" w:rsidRPr="001005B7">
        <w:t xml:space="preserve"> </w:t>
      </w:r>
      <w:r w:rsidR="00CC7A59" w:rsidRPr="001005B7">
        <w:t>ar</w:t>
      </w:r>
      <w:r w:rsidR="00B159FA" w:rsidRPr="001005B7">
        <w:t>ou</w:t>
      </w:r>
      <w:r w:rsidR="00CC7A59" w:rsidRPr="001005B7">
        <w:t>ses passion</w:t>
      </w:r>
      <w:r w:rsidR="00267799" w:rsidRPr="001005B7">
        <w:t xml:space="preserve">, in the entrance. </w:t>
      </w:r>
      <w:r w:rsidR="00FF0D55" w:rsidRPr="001005B7">
        <w:rPr>
          <w:vertAlign w:val="superscript"/>
        </w:rPr>
        <w:t>6</w:t>
      </w:r>
      <w:r w:rsidR="00FF0D55" w:rsidRPr="001005B7">
        <w:t>He said to me</w:t>
      </w:r>
      <w:r w:rsidR="00254EE7">
        <w:t>,</w:t>
      </w:r>
      <w:r w:rsidR="00FF0D55" w:rsidRPr="001005B7">
        <w:t xml:space="preserve"> </w:t>
      </w:r>
      <w:r w:rsidR="00D3329B" w:rsidRPr="001005B7">
        <w:t>My man</w:t>
      </w:r>
      <w:r w:rsidR="00FF0D55" w:rsidRPr="001005B7">
        <w:t>,</w:t>
      </w:r>
      <w:r w:rsidR="007035BD" w:rsidRPr="001005B7">
        <w:t xml:space="preserve"> do you see what those </w:t>
      </w:r>
      <w:r w:rsidR="00DF17D6" w:rsidRPr="001005B7">
        <w:t>people</w:t>
      </w:r>
      <w:r w:rsidR="007035BD" w:rsidRPr="001005B7">
        <w:t xml:space="preserve"> are doing</w:t>
      </w:r>
      <w:r w:rsidR="00C3046A" w:rsidRPr="001005B7">
        <w:t xml:space="preserve">, </w:t>
      </w:r>
      <w:r w:rsidR="00C73185" w:rsidRPr="001005B7">
        <w:t xml:space="preserve">the great </w:t>
      </w:r>
      <w:r w:rsidR="00C934C5" w:rsidRPr="001005B7">
        <w:t xml:space="preserve">outrages that </w:t>
      </w:r>
      <w:r w:rsidR="00C86FF4" w:rsidRPr="001005B7">
        <w:t>Israel’s</w:t>
      </w:r>
      <w:r w:rsidR="00C934C5" w:rsidRPr="001005B7">
        <w:t xml:space="preserve"> house</w:t>
      </w:r>
      <w:r w:rsidR="00BF2C1B" w:rsidRPr="001005B7">
        <w:t>hold</w:t>
      </w:r>
      <w:r w:rsidR="00C934C5" w:rsidRPr="001005B7">
        <w:t xml:space="preserve"> are doing </w:t>
      </w:r>
      <w:r w:rsidR="00A27706" w:rsidRPr="001005B7">
        <w:t xml:space="preserve">here, </w:t>
      </w:r>
      <w:r w:rsidR="00F141F1" w:rsidRPr="001005B7">
        <w:t xml:space="preserve">so as </w:t>
      </w:r>
      <w:r w:rsidR="000F501B" w:rsidRPr="001005B7">
        <w:t xml:space="preserve">to be </w:t>
      </w:r>
      <w:r w:rsidR="002F5DDE" w:rsidRPr="001005B7">
        <w:t>distant</w:t>
      </w:r>
      <w:r w:rsidR="000F501B" w:rsidRPr="001005B7">
        <w:t xml:space="preserve"> from my sanctuary</w:t>
      </w:r>
      <w:r w:rsidR="00213448" w:rsidRPr="001005B7">
        <w:t>!</w:t>
      </w:r>
      <w:r w:rsidR="00215052" w:rsidRPr="001005B7">
        <w:rPr>
          <w:rStyle w:val="FootnoteReference"/>
        </w:rPr>
        <w:footnoteReference w:id="233"/>
      </w:r>
      <w:r w:rsidR="00A471B7" w:rsidRPr="001005B7">
        <w:t xml:space="preserve"> </w:t>
      </w:r>
      <w:r w:rsidR="00642751" w:rsidRPr="001005B7">
        <w:t>But y</w:t>
      </w:r>
      <w:r w:rsidR="00E7089A" w:rsidRPr="001005B7">
        <w:t xml:space="preserve">ou will </w:t>
      </w:r>
      <w:r w:rsidR="00642751" w:rsidRPr="001005B7">
        <w:t xml:space="preserve">yet </w:t>
      </w:r>
      <w:r w:rsidR="00F87796" w:rsidRPr="001005B7">
        <w:t>see more</w:t>
      </w:r>
      <w:r w:rsidR="00E7089A" w:rsidRPr="001005B7">
        <w:t xml:space="preserve"> </w:t>
      </w:r>
      <w:r w:rsidR="00F1203B" w:rsidRPr="001005B7">
        <w:t>big</w:t>
      </w:r>
      <w:r w:rsidR="00FC07AE" w:rsidRPr="001005B7">
        <w:t xml:space="preserve"> outrages.</w:t>
      </w:r>
    </w:p>
    <w:p w14:paraId="1BC0C65D" w14:textId="6E30AE14" w:rsidR="00D278C4" w:rsidRPr="001005B7" w:rsidRDefault="00CC4A20" w:rsidP="005C0170">
      <w:r w:rsidRPr="001005B7">
        <w:rPr>
          <w:vertAlign w:val="superscript"/>
        </w:rPr>
        <w:t>7</w:t>
      </w:r>
      <w:r w:rsidRPr="001005B7">
        <w:t xml:space="preserve">He </w:t>
      </w:r>
      <w:r w:rsidR="00A2389C" w:rsidRPr="001005B7">
        <w:t>had</w:t>
      </w:r>
      <w:r w:rsidRPr="001005B7">
        <w:t xml:space="preserve"> me come </w:t>
      </w:r>
      <w:r w:rsidR="00A106C3" w:rsidRPr="001005B7">
        <w:t>to the entrance of the courtyard</w:t>
      </w:r>
      <w:r w:rsidR="007627D0" w:rsidRPr="001005B7">
        <w:t xml:space="preserve">, </w:t>
      </w:r>
      <w:r w:rsidR="00BF0330" w:rsidRPr="001005B7">
        <w:t>a</w:t>
      </w:r>
      <w:r w:rsidR="007627D0" w:rsidRPr="001005B7">
        <w:t xml:space="preserve">nd I </w:t>
      </w:r>
      <w:r w:rsidR="0097132D" w:rsidRPr="001005B7">
        <w:t>saw</w:t>
      </w:r>
      <w:r w:rsidR="007627D0" w:rsidRPr="001005B7">
        <w:t>, and there</w:t>
      </w:r>
      <w:r w:rsidR="00E1325C" w:rsidRPr="001005B7">
        <w:t xml:space="preserve">, a hole in the wall. </w:t>
      </w:r>
      <w:r w:rsidR="00E1325C" w:rsidRPr="001005B7">
        <w:rPr>
          <w:vertAlign w:val="superscript"/>
        </w:rPr>
        <w:t>8</w:t>
      </w:r>
      <w:r w:rsidR="00E1325C" w:rsidRPr="001005B7">
        <w:t xml:space="preserve">He said to me, </w:t>
      </w:r>
      <w:r w:rsidR="00D3329B" w:rsidRPr="001005B7">
        <w:t>My man</w:t>
      </w:r>
      <w:r w:rsidR="008338E9" w:rsidRPr="001005B7">
        <w:t xml:space="preserve">, break through the wall, will you. I broke through the wall, and there, </w:t>
      </w:r>
      <w:r w:rsidR="00106F35" w:rsidRPr="001005B7">
        <w:t>an</w:t>
      </w:r>
      <w:r w:rsidR="004E1AB0" w:rsidRPr="001005B7">
        <w:rPr>
          <w:rStyle w:val="FootnoteReference"/>
        </w:rPr>
        <w:footnoteReference w:id="234"/>
      </w:r>
      <w:r w:rsidR="00106F35" w:rsidRPr="001005B7">
        <w:t xml:space="preserve"> entrance</w:t>
      </w:r>
      <w:r w:rsidR="004A3C84" w:rsidRPr="001005B7">
        <w:t xml:space="preserve">. </w:t>
      </w:r>
      <w:r w:rsidR="004A3C84" w:rsidRPr="001005B7">
        <w:rPr>
          <w:vertAlign w:val="superscript"/>
        </w:rPr>
        <w:t>9</w:t>
      </w:r>
      <w:r w:rsidR="004A3C84" w:rsidRPr="001005B7">
        <w:t xml:space="preserve">He said to me, </w:t>
      </w:r>
      <w:r w:rsidR="0003494C" w:rsidRPr="001005B7">
        <w:t xml:space="preserve">Come, </w:t>
      </w:r>
      <w:r w:rsidR="00787364" w:rsidRPr="001005B7">
        <w:t>see</w:t>
      </w:r>
      <w:r w:rsidR="0003494C" w:rsidRPr="001005B7">
        <w:t xml:space="preserve"> the dire outrages that those</w:t>
      </w:r>
      <w:r w:rsidR="004456DD" w:rsidRPr="001005B7">
        <w:t xml:space="preserve"> </w:t>
      </w:r>
      <w:r w:rsidR="0003494C" w:rsidRPr="001005B7">
        <w:t>pe</w:t>
      </w:r>
      <w:r w:rsidR="004456DD" w:rsidRPr="001005B7">
        <w:t>o</w:t>
      </w:r>
      <w:r w:rsidR="0003494C" w:rsidRPr="001005B7">
        <w:t>ple are doing</w:t>
      </w:r>
      <w:r w:rsidR="004456DD" w:rsidRPr="001005B7">
        <w:t xml:space="preserve"> here. </w:t>
      </w:r>
      <w:r w:rsidR="004456DD" w:rsidRPr="001005B7">
        <w:rPr>
          <w:vertAlign w:val="superscript"/>
        </w:rPr>
        <w:t>10</w:t>
      </w:r>
      <w:r w:rsidR="004456DD" w:rsidRPr="001005B7">
        <w:t xml:space="preserve">I came and </w:t>
      </w:r>
      <w:r w:rsidR="00787364" w:rsidRPr="001005B7">
        <w:t>saw</w:t>
      </w:r>
      <w:r w:rsidR="004456DD" w:rsidRPr="001005B7">
        <w:t xml:space="preserve">, </w:t>
      </w:r>
      <w:r w:rsidR="00705E90" w:rsidRPr="001005B7">
        <w:t xml:space="preserve">and there, every </w:t>
      </w:r>
      <w:r w:rsidR="00B63122" w:rsidRPr="001005B7">
        <w:t>shape</w:t>
      </w:r>
      <w:r w:rsidR="00705E90" w:rsidRPr="001005B7">
        <w:t xml:space="preserve"> of reptile and </w:t>
      </w:r>
      <w:r w:rsidR="00D37769" w:rsidRPr="001005B7">
        <w:t>animal</w:t>
      </w:r>
      <w:r w:rsidR="00A45105" w:rsidRPr="001005B7">
        <w:t>,</w:t>
      </w:r>
      <w:r w:rsidR="00D51F57" w:rsidRPr="001005B7">
        <w:t xml:space="preserve"> something abhorrent</w:t>
      </w:r>
      <w:r w:rsidR="000C451F" w:rsidRPr="001005B7">
        <w:t>,</w:t>
      </w:r>
      <w:r w:rsidR="00A45105" w:rsidRPr="001005B7">
        <w:t xml:space="preserve"> and all the lumps of </w:t>
      </w:r>
      <w:r w:rsidR="009F741E" w:rsidRPr="001005B7">
        <w:t>Israel’s</w:t>
      </w:r>
      <w:r w:rsidR="00A45105" w:rsidRPr="001005B7">
        <w:t xml:space="preserve"> household</w:t>
      </w:r>
      <w:r w:rsidR="00DE4960" w:rsidRPr="001005B7">
        <w:t xml:space="preserve">, </w:t>
      </w:r>
      <w:r w:rsidR="00DD2A91" w:rsidRPr="001005B7">
        <w:t>engrav</w:t>
      </w:r>
      <w:r w:rsidR="00DE4960" w:rsidRPr="001005B7">
        <w:t xml:space="preserve">ed </w:t>
      </w:r>
      <w:r w:rsidR="003F192A" w:rsidRPr="001005B7">
        <w:t xml:space="preserve">on the wall, all around. </w:t>
      </w:r>
      <w:r w:rsidR="003F192A" w:rsidRPr="001005B7">
        <w:rPr>
          <w:vertAlign w:val="superscript"/>
        </w:rPr>
        <w:t>11</w:t>
      </w:r>
      <w:r w:rsidR="003F192A" w:rsidRPr="001005B7">
        <w:t>An</w:t>
      </w:r>
      <w:r w:rsidR="00BF0330" w:rsidRPr="001005B7">
        <w:t>d</w:t>
      </w:r>
      <w:r w:rsidR="003F192A" w:rsidRPr="001005B7">
        <w:t xml:space="preserve"> seventy </w:t>
      </w:r>
      <w:r w:rsidR="00C34514" w:rsidRPr="001005B7">
        <w:t>individuals</w:t>
      </w:r>
      <w:r w:rsidR="00D47872" w:rsidRPr="001005B7">
        <w:t xml:space="preserve"> from the</w:t>
      </w:r>
      <w:r w:rsidR="00C34514" w:rsidRPr="001005B7">
        <w:t xml:space="preserve"> elders of </w:t>
      </w:r>
      <w:r w:rsidR="007B653B" w:rsidRPr="001005B7">
        <w:t xml:space="preserve">Israel’s </w:t>
      </w:r>
      <w:r w:rsidR="00C34514" w:rsidRPr="001005B7">
        <w:t xml:space="preserve">household </w:t>
      </w:r>
      <w:r w:rsidR="002D01A1">
        <w:t>(</w:t>
      </w:r>
      <w:r w:rsidR="005F25BC">
        <w:t>and</w:t>
      </w:r>
      <w:r w:rsidR="00C34514" w:rsidRPr="001005B7">
        <w:t xml:space="preserve"> </w:t>
      </w:r>
      <w:proofErr w:type="spellStart"/>
      <w:r w:rsidR="00C34514" w:rsidRPr="001005B7">
        <w:t>Ya</w:t>
      </w:r>
      <w:r w:rsidR="00BF0330" w:rsidRPr="001005B7">
        <w:rPr>
          <w:rFonts w:cstheme="minorHAnsi"/>
        </w:rPr>
        <w:t>ʾ</w:t>
      </w:r>
      <w:r w:rsidR="00BF0330" w:rsidRPr="001005B7">
        <w:t>azaniah</w:t>
      </w:r>
      <w:proofErr w:type="spellEnd"/>
      <w:r w:rsidR="00FA261F" w:rsidRPr="001005B7">
        <w:t xml:space="preserve"> ben </w:t>
      </w:r>
      <w:proofErr w:type="spellStart"/>
      <w:r w:rsidR="00FA261F" w:rsidRPr="001005B7">
        <w:t>Shaphan</w:t>
      </w:r>
      <w:proofErr w:type="spellEnd"/>
      <w:r w:rsidR="00FA261F" w:rsidRPr="001005B7">
        <w:t xml:space="preserve"> standing among them</w:t>
      </w:r>
      <w:r w:rsidR="002D01A1">
        <w:t xml:space="preserve">) </w:t>
      </w:r>
      <w:r w:rsidR="002D01A1" w:rsidRPr="001005B7">
        <w:t>standing in front of them</w:t>
      </w:r>
      <w:r w:rsidR="00B1041A" w:rsidRPr="001005B7">
        <w:t xml:space="preserve">, </w:t>
      </w:r>
      <w:r w:rsidR="00964809">
        <w:t xml:space="preserve">with </w:t>
      </w:r>
      <w:r w:rsidR="00442F91" w:rsidRPr="001005B7">
        <w:t>an</w:t>
      </w:r>
      <w:r w:rsidR="00261D17" w:rsidRPr="001005B7">
        <w:t xml:space="preserve"> individual</w:t>
      </w:r>
      <w:r w:rsidR="00B1041A" w:rsidRPr="001005B7">
        <w:t xml:space="preserve"> his censor in his hand</w:t>
      </w:r>
      <w:r w:rsidR="00630BEF" w:rsidRPr="001005B7">
        <w:t xml:space="preserve">, and </w:t>
      </w:r>
      <w:r w:rsidR="0095568C" w:rsidRPr="001005B7">
        <w:t xml:space="preserve">the </w:t>
      </w:r>
      <w:r w:rsidR="00E132E8" w:rsidRPr="001005B7">
        <w:t>lavishness</w:t>
      </w:r>
      <w:r w:rsidR="00746F9F" w:rsidRPr="001005B7">
        <w:rPr>
          <w:rStyle w:val="FootnoteReference"/>
        </w:rPr>
        <w:footnoteReference w:id="235"/>
      </w:r>
      <w:r w:rsidR="003D3A55" w:rsidRPr="001005B7">
        <w:t xml:space="preserve"> of </w:t>
      </w:r>
      <w:r w:rsidR="00B35523" w:rsidRPr="001005B7">
        <w:t>a</w:t>
      </w:r>
      <w:r w:rsidR="007B653B" w:rsidRPr="001005B7">
        <w:t>n incense</w:t>
      </w:r>
      <w:r w:rsidR="00B35523" w:rsidRPr="001005B7">
        <w:t xml:space="preserve"> cloud going up. </w:t>
      </w:r>
      <w:r w:rsidR="008B6AC0" w:rsidRPr="001005B7">
        <w:rPr>
          <w:vertAlign w:val="superscript"/>
        </w:rPr>
        <w:t>12</w:t>
      </w:r>
      <w:r w:rsidR="008B6AC0" w:rsidRPr="001005B7">
        <w:t xml:space="preserve">He said to me, </w:t>
      </w:r>
      <w:r w:rsidR="00D3329B" w:rsidRPr="001005B7">
        <w:t>My man</w:t>
      </w:r>
      <w:r w:rsidR="008B6AC0" w:rsidRPr="001005B7">
        <w:t>, have you seen</w:t>
      </w:r>
      <w:r w:rsidR="00394B5F" w:rsidRPr="001005B7">
        <w:t xml:space="preserve"> what the elders of </w:t>
      </w:r>
      <w:r w:rsidR="00F4696E" w:rsidRPr="001005B7">
        <w:t xml:space="preserve">Israel’s </w:t>
      </w:r>
      <w:r w:rsidR="00394B5F" w:rsidRPr="001005B7">
        <w:t xml:space="preserve">household are doing in the dark, </w:t>
      </w:r>
      <w:r w:rsidR="00A16C9D" w:rsidRPr="001005B7">
        <w:t xml:space="preserve">an individual in </w:t>
      </w:r>
      <w:r w:rsidR="00731FC2" w:rsidRPr="001005B7">
        <w:t xml:space="preserve">his </w:t>
      </w:r>
      <w:r w:rsidR="00362E7A" w:rsidRPr="001005B7">
        <w:t>icon</w:t>
      </w:r>
      <w:r w:rsidR="00731FC2" w:rsidRPr="001005B7">
        <w:t xml:space="preserve"> rooms</w:t>
      </w:r>
      <w:r w:rsidR="009628B5" w:rsidRPr="001005B7">
        <w:t>!</w:t>
      </w:r>
      <w:r w:rsidR="00731FC2" w:rsidRPr="001005B7">
        <w:t xml:space="preserve"> Because they are saying</w:t>
      </w:r>
      <w:r w:rsidR="00BB6BE5" w:rsidRPr="001005B7">
        <w:t xml:space="preserve">, Yahweh is not </w:t>
      </w:r>
      <w:r w:rsidR="00AA68A6" w:rsidRPr="001005B7">
        <w:t>seeing</w:t>
      </w:r>
      <w:r w:rsidR="00BB6BE5" w:rsidRPr="001005B7">
        <w:t xml:space="preserve"> us</w:t>
      </w:r>
      <w:r w:rsidR="00155E64">
        <w:t>, given that</w:t>
      </w:r>
      <w:r w:rsidR="00BB6BE5" w:rsidRPr="001005B7">
        <w:t xml:space="preserve"> Yahweh has abandoned the country. </w:t>
      </w:r>
      <w:r w:rsidR="005504FB" w:rsidRPr="001005B7">
        <w:rPr>
          <w:vertAlign w:val="superscript"/>
        </w:rPr>
        <w:t>13</w:t>
      </w:r>
      <w:r w:rsidR="005504FB" w:rsidRPr="001005B7">
        <w:t xml:space="preserve">And he said to me, </w:t>
      </w:r>
      <w:r w:rsidR="00B41312" w:rsidRPr="001005B7">
        <w:t xml:space="preserve">You will </w:t>
      </w:r>
      <w:r w:rsidR="00C41955" w:rsidRPr="001005B7">
        <w:t xml:space="preserve">yet </w:t>
      </w:r>
      <w:r w:rsidR="00B41312" w:rsidRPr="001005B7">
        <w:t xml:space="preserve">see </w:t>
      </w:r>
      <w:r w:rsidR="00C41955" w:rsidRPr="001005B7">
        <w:t>more big</w:t>
      </w:r>
      <w:r w:rsidR="00B41312" w:rsidRPr="001005B7">
        <w:t xml:space="preserve"> outrages</w:t>
      </w:r>
      <w:r w:rsidR="00D278C4" w:rsidRPr="001005B7">
        <w:t xml:space="preserve"> that those people are doing. </w:t>
      </w:r>
    </w:p>
    <w:p w14:paraId="215811D6" w14:textId="321B45A7" w:rsidR="00381558" w:rsidRPr="001005B7" w:rsidRDefault="00D278C4" w:rsidP="00381558">
      <w:r w:rsidRPr="001005B7">
        <w:rPr>
          <w:vertAlign w:val="superscript"/>
        </w:rPr>
        <w:t>14</w:t>
      </w:r>
      <w:r w:rsidR="00B46379" w:rsidRPr="001005B7">
        <w:t xml:space="preserve">He </w:t>
      </w:r>
      <w:r w:rsidR="008F52A1" w:rsidRPr="001005B7">
        <w:t>had</w:t>
      </w:r>
      <w:r w:rsidR="00B46379" w:rsidRPr="001005B7">
        <w:t xml:space="preserve"> me come to the entrance of the gate</w:t>
      </w:r>
      <w:r w:rsidR="00326397" w:rsidRPr="001005B7">
        <w:t>way</w:t>
      </w:r>
      <w:r w:rsidR="00B46379" w:rsidRPr="001005B7">
        <w:t xml:space="preserve"> of Yahweh’s house</w:t>
      </w:r>
      <w:r w:rsidR="00B41312" w:rsidRPr="001005B7">
        <w:t xml:space="preserve"> </w:t>
      </w:r>
      <w:r w:rsidR="003A10A7" w:rsidRPr="001005B7">
        <w:t>that is to the north</w:t>
      </w:r>
      <w:r w:rsidR="0006600B" w:rsidRPr="001005B7">
        <w:t>, and there</w:t>
      </w:r>
      <w:r w:rsidR="005E6BA6" w:rsidRPr="001005B7">
        <w:t>,</w:t>
      </w:r>
      <w:r w:rsidR="0006600B" w:rsidRPr="001005B7">
        <w:t xml:space="preserve"> the women</w:t>
      </w:r>
      <w:r w:rsidR="002429AC" w:rsidRPr="001005B7">
        <w:t xml:space="preserve"> were sitting there crying for </w:t>
      </w:r>
      <w:r w:rsidR="00B72B5F" w:rsidRPr="001005B7">
        <w:t xml:space="preserve">the </w:t>
      </w:r>
      <w:r w:rsidR="002429AC" w:rsidRPr="001005B7">
        <w:t xml:space="preserve">Tammuz. </w:t>
      </w:r>
      <w:r w:rsidR="00435272" w:rsidRPr="001005B7">
        <w:rPr>
          <w:vertAlign w:val="superscript"/>
        </w:rPr>
        <w:t>15</w:t>
      </w:r>
      <w:r w:rsidR="00435272" w:rsidRPr="001005B7">
        <w:t xml:space="preserve">He said to me, </w:t>
      </w:r>
      <w:r w:rsidR="00D3329B" w:rsidRPr="001005B7">
        <w:t>My man</w:t>
      </w:r>
      <w:r w:rsidR="00435272" w:rsidRPr="001005B7">
        <w:t>, h</w:t>
      </w:r>
      <w:r w:rsidR="00F62DBA" w:rsidRPr="001005B7">
        <w:t>a</w:t>
      </w:r>
      <w:r w:rsidR="00435272" w:rsidRPr="001005B7">
        <w:t>ve you seen</w:t>
      </w:r>
      <w:r w:rsidR="00EF321A" w:rsidRPr="001005B7">
        <w:t>!</w:t>
      </w:r>
      <w:r w:rsidR="00F62DBA" w:rsidRPr="001005B7">
        <w:t xml:space="preserve"> You will </w:t>
      </w:r>
      <w:r w:rsidR="00AC6710" w:rsidRPr="001005B7">
        <w:t>yet</w:t>
      </w:r>
      <w:r w:rsidR="00F62DBA" w:rsidRPr="001005B7">
        <w:t xml:space="preserve"> </w:t>
      </w:r>
      <w:r w:rsidR="00EB66C4">
        <w:t xml:space="preserve">further </w:t>
      </w:r>
      <w:r w:rsidR="00F62DBA" w:rsidRPr="001005B7">
        <w:t>see</w:t>
      </w:r>
      <w:r w:rsidR="00BA0228" w:rsidRPr="001005B7">
        <w:t xml:space="preserve"> bigger outrages than these.</w:t>
      </w:r>
    </w:p>
    <w:p w14:paraId="58526264" w14:textId="4841BD44" w:rsidR="009278D3" w:rsidRPr="001005B7" w:rsidRDefault="00B04306" w:rsidP="00BB5AB9">
      <w:r w:rsidRPr="001005B7">
        <w:rPr>
          <w:vertAlign w:val="superscript"/>
        </w:rPr>
        <w:t>16</w:t>
      </w:r>
      <w:r w:rsidRPr="001005B7">
        <w:t xml:space="preserve">He </w:t>
      </w:r>
      <w:r w:rsidR="007F2B9A" w:rsidRPr="001005B7">
        <w:t xml:space="preserve">had </w:t>
      </w:r>
      <w:r w:rsidRPr="001005B7">
        <w:t xml:space="preserve">me come to the </w:t>
      </w:r>
      <w:r w:rsidR="009A5B9B" w:rsidRPr="001005B7">
        <w:t xml:space="preserve">inner </w:t>
      </w:r>
      <w:r w:rsidRPr="001005B7">
        <w:t>courtyard of Yahweh’s house</w:t>
      </w:r>
      <w:r w:rsidR="00283686" w:rsidRPr="001005B7">
        <w:t xml:space="preserve">, and there, </w:t>
      </w:r>
      <w:r w:rsidR="00F26EBD" w:rsidRPr="001005B7">
        <w:t xml:space="preserve">at </w:t>
      </w:r>
      <w:r w:rsidR="00283686" w:rsidRPr="001005B7">
        <w:t xml:space="preserve">the entrance </w:t>
      </w:r>
      <w:r w:rsidR="00D65692" w:rsidRPr="001005B7">
        <w:t xml:space="preserve">of Yahweh’s palace, between the </w:t>
      </w:r>
      <w:r w:rsidR="00C26296">
        <w:t>foyer</w:t>
      </w:r>
      <w:r w:rsidR="00D65692" w:rsidRPr="001005B7">
        <w:t xml:space="preserve"> and the altar</w:t>
      </w:r>
      <w:r w:rsidR="002A2CA1" w:rsidRPr="001005B7">
        <w:t>, some</w:t>
      </w:r>
      <w:r w:rsidR="002D59E5" w:rsidRPr="001005B7">
        <w:rPr>
          <w:rStyle w:val="FootnoteReference"/>
        </w:rPr>
        <w:footnoteReference w:id="236"/>
      </w:r>
      <w:r w:rsidR="002A2CA1" w:rsidRPr="001005B7">
        <w:t xml:space="preserve"> twenty-five individuals</w:t>
      </w:r>
      <w:r w:rsidR="00EB6E73" w:rsidRPr="001005B7">
        <w:t>, their backs to Yahweh’s palace</w:t>
      </w:r>
      <w:r w:rsidR="0000191E" w:rsidRPr="001005B7">
        <w:t xml:space="preserve"> and their faces eastward</w:t>
      </w:r>
      <w:r w:rsidR="00945674" w:rsidRPr="001005B7">
        <w:t>, and they were bowing down</w:t>
      </w:r>
      <w:r w:rsidR="00663EDE" w:rsidRPr="001005B7">
        <w:rPr>
          <w:rStyle w:val="FootnoteReference"/>
        </w:rPr>
        <w:footnoteReference w:id="237"/>
      </w:r>
      <w:r w:rsidR="00945674" w:rsidRPr="001005B7">
        <w:t xml:space="preserve"> </w:t>
      </w:r>
      <w:r w:rsidR="00BB5AB9" w:rsidRPr="001005B7">
        <w:t xml:space="preserve">eastward, to the sun. </w:t>
      </w:r>
    </w:p>
    <w:p w14:paraId="0B6EFB5D" w14:textId="31C90075" w:rsidR="00BB5AB9" w:rsidRPr="001005B7" w:rsidRDefault="001C41A8" w:rsidP="00BB5AB9">
      <w:r w:rsidRPr="001005B7">
        <w:rPr>
          <w:vertAlign w:val="superscript"/>
        </w:rPr>
        <w:t>17</w:t>
      </w:r>
      <w:r w:rsidRPr="001005B7">
        <w:t xml:space="preserve">He said to me, </w:t>
      </w:r>
      <w:r w:rsidR="00B606EC" w:rsidRPr="001005B7">
        <w:t xml:space="preserve">Have you seen, </w:t>
      </w:r>
      <w:r w:rsidR="00D3329B" w:rsidRPr="001005B7">
        <w:t>my man</w:t>
      </w:r>
      <w:r w:rsidR="00EF321A" w:rsidRPr="001005B7">
        <w:t>!</w:t>
      </w:r>
      <w:r w:rsidR="00B606EC" w:rsidRPr="001005B7">
        <w:t xml:space="preserve"> </w:t>
      </w:r>
      <w:r w:rsidR="00E67D8D" w:rsidRPr="001005B7">
        <w:t xml:space="preserve">Is it trivial </w:t>
      </w:r>
      <w:r w:rsidR="00B04431" w:rsidRPr="001005B7">
        <w:t xml:space="preserve">for </w:t>
      </w:r>
      <w:r w:rsidR="00F42DC4" w:rsidRPr="001005B7">
        <w:t>Judah’s</w:t>
      </w:r>
      <w:r w:rsidR="00B04431" w:rsidRPr="001005B7">
        <w:t xml:space="preserve"> household </w:t>
      </w:r>
      <w:r w:rsidR="00513BB1" w:rsidRPr="001005B7">
        <w:t>from</w:t>
      </w:r>
      <w:r w:rsidR="00B04431" w:rsidRPr="001005B7">
        <w:t xml:space="preserve"> </w:t>
      </w:r>
      <w:r w:rsidR="00057686" w:rsidRPr="001005B7">
        <w:t>perform</w:t>
      </w:r>
      <w:r w:rsidR="00513BB1" w:rsidRPr="001005B7">
        <w:t>ing</w:t>
      </w:r>
      <w:r w:rsidR="00B04431" w:rsidRPr="001005B7">
        <w:t xml:space="preserve"> </w:t>
      </w:r>
      <w:r w:rsidR="009E7C0D" w:rsidRPr="001005B7">
        <w:t xml:space="preserve">the outrages that they have </w:t>
      </w:r>
      <w:r w:rsidR="0013171D" w:rsidRPr="001005B7">
        <w:t>performed</w:t>
      </w:r>
      <w:r w:rsidR="009E7C0D" w:rsidRPr="001005B7">
        <w:t xml:space="preserve"> here</w:t>
      </w:r>
      <w:r w:rsidR="000814EA" w:rsidRPr="001005B7">
        <w:t xml:space="preserve">, </w:t>
      </w:r>
      <w:r w:rsidR="004D2F59" w:rsidRPr="001005B7">
        <w:t>because</w:t>
      </w:r>
      <w:r w:rsidR="000814EA" w:rsidRPr="001005B7">
        <w:t xml:space="preserve"> they have filled the country with violence and further </w:t>
      </w:r>
      <w:r w:rsidR="002F4482" w:rsidRPr="001005B7">
        <w:t>enraged</w:t>
      </w:r>
      <w:r w:rsidR="000814EA" w:rsidRPr="001005B7">
        <w:t xml:space="preserve"> me</w:t>
      </w:r>
      <w:r w:rsidR="00EA079D" w:rsidRPr="001005B7">
        <w:t>, and there they are</w:t>
      </w:r>
      <w:r w:rsidR="00304B96" w:rsidRPr="001005B7">
        <w:t>,</w:t>
      </w:r>
      <w:r w:rsidR="004B6AF0" w:rsidRPr="001005B7">
        <w:t xml:space="preserve"> putting the </w:t>
      </w:r>
      <w:r w:rsidR="00E32FFF" w:rsidRPr="001005B7">
        <w:t>shoot</w:t>
      </w:r>
      <w:r w:rsidR="004B6AF0" w:rsidRPr="001005B7">
        <w:t xml:space="preserve"> to their nose</w:t>
      </w:r>
      <w:r w:rsidR="00FF1C3B" w:rsidRPr="001005B7">
        <w:t>?</w:t>
      </w:r>
      <w:r w:rsidR="004B6AF0" w:rsidRPr="001005B7">
        <w:t xml:space="preserve"> </w:t>
      </w:r>
      <w:r w:rsidR="004B6AF0" w:rsidRPr="001005B7">
        <w:rPr>
          <w:vertAlign w:val="superscript"/>
        </w:rPr>
        <w:t>18</w:t>
      </w:r>
      <w:r w:rsidR="001B3E08" w:rsidRPr="001005B7">
        <w:t xml:space="preserve">So I myself for my part will </w:t>
      </w:r>
      <w:r w:rsidR="0021459D" w:rsidRPr="001005B7">
        <w:t>perform with</w:t>
      </w:r>
      <w:r w:rsidR="001B3E08" w:rsidRPr="001005B7">
        <w:t xml:space="preserve"> fury</w:t>
      </w:r>
      <w:r w:rsidR="003D63B3">
        <w:t>.</w:t>
      </w:r>
      <w:r w:rsidR="00E022F5">
        <w:t xml:space="preserve"> </w:t>
      </w:r>
      <w:r w:rsidR="003D63B3">
        <w:t>I</w:t>
      </w:r>
      <w:r w:rsidR="00E022F5">
        <w:t>n that</w:t>
      </w:r>
      <w:r w:rsidR="00FB6203">
        <w:t xml:space="preserve"> </w:t>
      </w:r>
      <w:r w:rsidR="00D650E5" w:rsidRPr="001005B7">
        <w:t xml:space="preserve">my eye will not </w:t>
      </w:r>
      <w:r w:rsidR="00A462CE" w:rsidRPr="001005B7">
        <w:t>pity</w:t>
      </w:r>
      <w:r w:rsidR="00D650E5" w:rsidRPr="001005B7">
        <w:t xml:space="preserve"> and I will not </w:t>
      </w:r>
      <w:r w:rsidR="00592B2D" w:rsidRPr="001005B7">
        <w:t>show concern</w:t>
      </w:r>
      <w:r w:rsidR="003D63B3">
        <w:t>, t</w:t>
      </w:r>
      <w:r w:rsidR="00C92DB2" w:rsidRPr="001005B7">
        <w:t xml:space="preserve">hey will call out into my ears in a loud voice but I will not </w:t>
      </w:r>
      <w:r w:rsidR="00143648" w:rsidRPr="001005B7">
        <w:t>listen to them.</w:t>
      </w:r>
    </w:p>
    <w:p w14:paraId="137F69A5" w14:textId="59D72D3E" w:rsidR="007157D8" w:rsidRPr="001005B7" w:rsidRDefault="00626DA0" w:rsidP="00493833">
      <w:pPr>
        <w:pStyle w:val="Heading3"/>
      </w:pPr>
      <w:r w:rsidRPr="001005B7">
        <w:t>Textual Notes</w:t>
      </w:r>
    </w:p>
    <w:p w14:paraId="4C17AEA2" w14:textId="578F8B52" w:rsidR="0057377E" w:rsidRPr="001005B7" w:rsidRDefault="002F19F6" w:rsidP="00976EDA">
      <w:pPr>
        <w:ind w:firstLine="0"/>
      </w:pPr>
      <w:r w:rsidRPr="001005B7">
        <w:rPr>
          <w:sz w:val="18"/>
          <w:szCs w:val="18"/>
        </w:rPr>
        <w:t>MT</w:t>
      </w:r>
      <w:r w:rsidR="0057377E" w:rsidRPr="001005B7">
        <w:t xml:space="preserve"> has </w:t>
      </w:r>
      <w:r w:rsidR="0090495C" w:rsidRPr="001005B7">
        <w:rPr>
          <w:lang w:eastAsia="en-GB"/>
        </w:rPr>
        <w:t>marker</w:t>
      </w:r>
      <w:r w:rsidR="00720125" w:rsidRPr="001005B7">
        <w:rPr>
          <w:lang w:eastAsia="en-GB"/>
        </w:rPr>
        <w:t>s</w:t>
      </w:r>
      <w:r w:rsidR="00F71943" w:rsidRPr="001005B7">
        <w:rPr>
          <w:lang w:eastAsia="en-GB"/>
        </w:rPr>
        <w:t>*</w:t>
      </w:r>
      <w:r w:rsidR="00411C57" w:rsidRPr="001005B7">
        <w:t xml:space="preserve"> after 8:6</w:t>
      </w:r>
      <w:r w:rsidR="00B422D8">
        <w:t xml:space="preserve"> and</w:t>
      </w:r>
      <w:r w:rsidR="00411C57" w:rsidRPr="001005B7">
        <w:t xml:space="preserve"> 14.</w:t>
      </w:r>
    </w:p>
    <w:p w14:paraId="07CA8675" w14:textId="77777777" w:rsidR="0057377E" w:rsidRPr="001005B7" w:rsidRDefault="0057377E" w:rsidP="00976EDA">
      <w:pPr>
        <w:ind w:firstLine="0"/>
        <w:rPr>
          <w:b/>
          <w:bCs/>
        </w:rPr>
      </w:pPr>
    </w:p>
    <w:p w14:paraId="1C81CCF2" w14:textId="15006B0E" w:rsidR="004660E3" w:rsidRPr="001005B7" w:rsidRDefault="00976EDA" w:rsidP="00976EDA">
      <w:pPr>
        <w:ind w:firstLine="0"/>
      </w:pPr>
      <w:r w:rsidRPr="001005B7">
        <w:rPr>
          <w:b/>
          <w:bCs/>
        </w:rPr>
        <w:t>8:1</w:t>
      </w:r>
      <w:r w:rsidR="008A6B54" w:rsidRPr="001005B7">
        <w:t xml:space="preserve"> </w:t>
      </w:r>
      <w:r w:rsidR="00420C8D" w:rsidRPr="001005B7">
        <w:rPr>
          <w:sz w:val="18"/>
          <w:szCs w:val="18"/>
        </w:rPr>
        <w:t>LXX</w:t>
      </w:r>
      <w:r w:rsidR="00A709DE" w:rsidRPr="001005B7">
        <w:t xml:space="preserve"> has “eighth</w:t>
      </w:r>
      <w:r w:rsidR="006B3586" w:rsidRPr="001005B7">
        <w:t xml:space="preserve"> year</w:t>
      </w:r>
      <w:r w:rsidR="00A709DE" w:rsidRPr="001005B7">
        <w:t>”</w:t>
      </w:r>
      <w:r w:rsidR="006B3586" w:rsidRPr="001005B7">
        <w:t xml:space="preserve"> and </w:t>
      </w:r>
      <w:r w:rsidR="002A79C9" w:rsidRPr="001005B7">
        <w:t>“fifth</w:t>
      </w:r>
      <w:r w:rsidR="009B35E0" w:rsidRPr="001005B7">
        <w:t xml:space="preserve"> month</w:t>
      </w:r>
      <w:r w:rsidR="002A79C9" w:rsidRPr="001005B7">
        <w:t>.”</w:t>
      </w:r>
    </w:p>
    <w:p w14:paraId="5F670B1E" w14:textId="5B70B2DD" w:rsidR="00626DA0" w:rsidRPr="001005B7" w:rsidRDefault="00976EDA" w:rsidP="00976EDA">
      <w:pPr>
        <w:ind w:firstLine="0"/>
        <w:rPr>
          <w:rFonts w:cstheme="minorHAnsi"/>
        </w:rPr>
      </w:pPr>
      <w:r w:rsidRPr="001005B7">
        <w:rPr>
          <w:b/>
          <w:bCs/>
        </w:rPr>
        <w:t>8:2</w:t>
      </w:r>
      <w:r w:rsidR="00626DA0" w:rsidRPr="001005B7">
        <w:t xml:space="preserve"> For</w:t>
      </w:r>
      <w:r w:rsidR="008560DF" w:rsidRPr="001005B7">
        <w:t xml:space="preserve"> </w:t>
      </w:r>
      <w:r w:rsidR="00C845B3" w:rsidRPr="001005B7">
        <w:rPr>
          <w:rFonts w:cstheme="minorHAnsi"/>
          <w:rtl/>
          <w:lang w:bidi="he-IL"/>
        </w:rPr>
        <w:t>אֵשׁ</w:t>
      </w:r>
      <w:r w:rsidR="00C54A87" w:rsidRPr="001005B7">
        <w:t xml:space="preserve">, </w:t>
      </w:r>
      <w:r w:rsidR="00420C8D" w:rsidRPr="001005B7">
        <w:rPr>
          <w:sz w:val="18"/>
          <w:szCs w:val="18"/>
        </w:rPr>
        <w:t>LXX</w:t>
      </w:r>
      <w:r w:rsidR="008A1865" w:rsidRPr="001005B7">
        <w:t xml:space="preserve"> “a</w:t>
      </w:r>
      <w:r w:rsidR="00B276D7" w:rsidRPr="001005B7">
        <w:t xml:space="preserve"> ma</w:t>
      </w:r>
      <w:r w:rsidR="00B826A2" w:rsidRPr="001005B7">
        <w:t>n</w:t>
      </w:r>
      <w:r w:rsidR="008A1865" w:rsidRPr="001005B7">
        <w:t>”</w:t>
      </w:r>
      <w:r w:rsidR="00C54A87" w:rsidRPr="001005B7">
        <w:t xml:space="preserve"> implies</w:t>
      </w:r>
      <w:r w:rsidR="002C2D9D" w:rsidRPr="001005B7">
        <w:t xml:space="preserve"> </w:t>
      </w:r>
      <w:r w:rsidR="002C2D9D" w:rsidRPr="001005B7">
        <w:rPr>
          <w:rFonts w:cstheme="minorHAnsi"/>
          <w:rtl/>
          <w:lang w:bidi="he-IL"/>
        </w:rPr>
        <w:t>אִישׁ</w:t>
      </w:r>
      <w:r w:rsidR="005A6B7B" w:rsidRPr="001005B7">
        <w:rPr>
          <w:rFonts w:cstheme="minorHAnsi"/>
        </w:rPr>
        <w:t>. It</w:t>
      </w:r>
      <w:r w:rsidR="006236AA" w:rsidRPr="001005B7">
        <w:rPr>
          <w:rFonts w:cstheme="minorHAnsi"/>
        </w:rPr>
        <w:t xml:space="preserve"> would be a unique comparison</w:t>
      </w:r>
      <w:r w:rsidR="00A06F31" w:rsidRPr="001005B7">
        <w:rPr>
          <w:rFonts w:cstheme="minorHAnsi"/>
        </w:rPr>
        <w:t xml:space="preserve"> for Yahweh in Ezekiel, who</w:t>
      </w:r>
      <w:r w:rsidR="00D6443C" w:rsidRPr="001005B7">
        <w:rPr>
          <w:rFonts w:cstheme="minorHAnsi"/>
        </w:rPr>
        <w:t xml:space="preserve"> elsewhere </w:t>
      </w:r>
      <w:r w:rsidR="00A30E6C">
        <w:rPr>
          <w:rFonts w:cstheme="minorHAnsi"/>
        </w:rPr>
        <w:t>uses</w:t>
      </w:r>
      <w:r w:rsidR="00840765" w:rsidRPr="001005B7">
        <w:rPr>
          <w:rFonts w:cstheme="minorHAnsi"/>
        </w:rPr>
        <w:t xml:space="preserve"> </w:t>
      </w:r>
      <w:r w:rsidR="00840765" w:rsidRPr="001005B7">
        <w:rPr>
          <w:rFonts w:cstheme="minorHAnsi"/>
          <w:rtl/>
          <w:lang w:bidi="he-IL"/>
        </w:rPr>
        <w:t>א</w:t>
      </w:r>
      <w:r w:rsidR="00150EC3" w:rsidRPr="001005B7">
        <w:rPr>
          <w:rFonts w:cstheme="minorHAnsi"/>
          <w:rtl/>
          <w:lang w:bidi="he-IL"/>
        </w:rPr>
        <w:t>ָדָ</w:t>
      </w:r>
      <w:r w:rsidR="002F1DF8" w:rsidRPr="001005B7">
        <w:rPr>
          <w:rFonts w:cstheme="minorHAnsi"/>
          <w:rtl/>
          <w:lang w:bidi="he-IL"/>
        </w:rPr>
        <w:t>ם</w:t>
      </w:r>
      <w:r w:rsidR="00AE6C2E" w:rsidRPr="001005B7">
        <w:rPr>
          <w:rFonts w:cstheme="minorHAnsi"/>
        </w:rPr>
        <w:t xml:space="preserve"> </w:t>
      </w:r>
      <w:r w:rsidR="00A30E6C">
        <w:rPr>
          <w:rFonts w:cstheme="minorHAnsi"/>
        </w:rPr>
        <w:t xml:space="preserve">in describing God </w:t>
      </w:r>
      <w:r w:rsidR="00AE6C2E" w:rsidRPr="001005B7">
        <w:rPr>
          <w:rFonts w:cstheme="minorHAnsi"/>
        </w:rPr>
        <w:t>and</w:t>
      </w:r>
      <w:r w:rsidR="00A06F31" w:rsidRPr="001005B7">
        <w:rPr>
          <w:rFonts w:cstheme="minorHAnsi"/>
        </w:rPr>
        <w:t xml:space="preserve"> uses</w:t>
      </w:r>
      <w:r w:rsidR="008B42E7" w:rsidRPr="001005B7">
        <w:t xml:space="preserve"> </w:t>
      </w:r>
      <w:r w:rsidR="008B42E7" w:rsidRPr="001005B7">
        <w:rPr>
          <w:rFonts w:cstheme="minorHAnsi"/>
          <w:rtl/>
          <w:lang w:bidi="he-IL"/>
        </w:rPr>
        <w:t>אִישׁ</w:t>
      </w:r>
      <w:r w:rsidR="00DE27C6" w:rsidRPr="001005B7">
        <w:rPr>
          <w:rFonts w:cstheme="minorHAnsi"/>
        </w:rPr>
        <w:t xml:space="preserve"> </w:t>
      </w:r>
      <w:r w:rsidR="00A06F31" w:rsidRPr="001005B7">
        <w:rPr>
          <w:rFonts w:cstheme="minorHAnsi"/>
        </w:rPr>
        <w:t xml:space="preserve">to </w:t>
      </w:r>
      <w:r w:rsidR="00DE27C6" w:rsidRPr="001005B7">
        <w:rPr>
          <w:rFonts w:cstheme="minorHAnsi"/>
        </w:rPr>
        <w:t>describe</w:t>
      </w:r>
      <w:r w:rsidR="00586460" w:rsidRPr="001005B7">
        <w:rPr>
          <w:rFonts w:cstheme="minorHAnsi"/>
        </w:rPr>
        <w:t xml:space="preserve"> a supernatural figure</w:t>
      </w:r>
      <w:r w:rsidR="00DE27C6" w:rsidRPr="001005B7">
        <w:rPr>
          <w:rFonts w:cstheme="minorHAnsi"/>
        </w:rPr>
        <w:t xml:space="preserve"> who is less than God.</w:t>
      </w:r>
    </w:p>
    <w:p w14:paraId="2C8DA3FC" w14:textId="63EBC0A9" w:rsidR="00BD17F6" w:rsidRPr="001005B7" w:rsidRDefault="00976EDA" w:rsidP="00976EDA">
      <w:pPr>
        <w:ind w:firstLine="0"/>
        <w:rPr>
          <w:rFonts w:cstheme="minorHAnsi"/>
        </w:rPr>
      </w:pPr>
      <w:r w:rsidRPr="001005B7">
        <w:rPr>
          <w:rFonts w:cstheme="minorHAnsi"/>
          <w:b/>
          <w:bCs/>
        </w:rPr>
        <w:t>8:3</w:t>
      </w:r>
      <w:r w:rsidR="001A6C8C" w:rsidRPr="001005B7">
        <w:rPr>
          <w:rFonts w:cstheme="minorHAnsi"/>
        </w:rPr>
        <w:t xml:space="preserve"> </w:t>
      </w:r>
      <w:r w:rsidR="00420C8D" w:rsidRPr="001005B7">
        <w:rPr>
          <w:sz w:val="18"/>
          <w:szCs w:val="18"/>
        </w:rPr>
        <w:t>LXX</w:t>
      </w:r>
      <w:r w:rsidR="001A6C8C" w:rsidRPr="001005B7">
        <w:rPr>
          <w:rFonts w:cstheme="minorHAnsi"/>
        </w:rPr>
        <w:t xml:space="preserve"> lacks</w:t>
      </w:r>
      <w:r w:rsidR="00C52A15" w:rsidRPr="001005B7">
        <w:rPr>
          <w:rFonts w:cstheme="minorHAnsi"/>
        </w:rPr>
        <w:t xml:space="preserve"> </w:t>
      </w:r>
      <w:r w:rsidR="00762BA7" w:rsidRPr="001005B7">
        <w:rPr>
          <w:rFonts w:cstheme="minorHAnsi"/>
        </w:rPr>
        <w:t>“</w:t>
      </w:r>
      <w:r w:rsidR="00F47B63" w:rsidRPr="001005B7">
        <w:rPr>
          <w:rFonts w:cstheme="minorHAnsi"/>
        </w:rPr>
        <w:t>i</w:t>
      </w:r>
      <w:r w:rsidR="00B660D1" w:rsidRPr="001005B7">
        <w:rPr>
          <w:rFonts w:cstheme="minorHAnsi"/>
        </w:rPr>
        <w:t>n</w:t>
      </w:r>
      <w:r w:rsidR="00F47B63" w:rsidRPr="001005B7">
        <w:rPr>
          <w:rFonts w:cstheme="minorHAnsi"/>
        </w:rPr>
        <w:t>ner</w:t>
      </w:r>
      <w:r w:rsidR="00762BA7" w:rsidRPr="001005B7">
        <w:rPr>
          <w:rFonts w:cstheme="minorHAnsi"/>
        </w:rPr>
        <w:t>” (</w:t>
      </w:r>
      <w:r w:rsidR="00B25E72" w:rsidRPr="001005B7">
        <w:rPr>
          <w:rFonts w:cstheme="minorHAnsi"/>
          <w:rtl/>
          <w:lang w:bidi="he-IL"/>
        </w:rPr>
        <w:t>הַפּ</w:t>
      </w:r>
      <w:r w:rsidR="00547E99" w:rsidRPr="001005B7">
        <w:rPr>
          <w:rFonts w:cstheme="minorHAnsi"/>
          <w:rtl/>
          <w:lang w:bidi="he-IL"/>
        </w:rPr>
        <w:t>ְנׅימׅית</w:t>
      </w:r>
      <w:r w:rsidR="006E21D1" w:rsidRPr="001005B7">
        <w:rPr>
          <w:rFonts w:cstheme="minorHAnsi"/>
        </w:rPr>
        <w:t>)</w:t>
      </w:r>
      <w:r w:rsidR="00D833A5" w:rsidRPr="001005B7">
        <w:rPr>
          <w:rFonts w:cstheme="minorHAnsi"/>
        </w:rPr>
        <w:t xml:space="preserve"> </w:t>
      </w:r>
      <w:r w:rsidR="001D18AC" w:rsidRPr="001005B7">
        <w:rPr>
          <w:rFonts w:cstheme="minorHAnsi"/>
        </w:rPr>
        <w:t>which precedes</w:t>
      </w:r>
      <w:r w:rsidR="00733D58" w:rsidRPr="001005B7">
        <w:rPr>
          <w:rFonts w:cstheme="minorHAnsi"/>
        </w:rPr>
        <w:t xml:space="preserve"> the similar word </w:t>
      </w:r>
      <w:r w:rsidR="006E21D1" w:rsidRPr="001005B7">
        <w:rPr>
          <w:rFonts w:cstheme="minorHAnsi"/>
        </w:rPr>
        <w:t>“</w:t>
      </w:r>
      <w:r w:rsidR="00202FD1" w:rsidRPr="001005B7">
        <w:rPr>
          <w:rFonts w:cstheme="minorHAnsi"/>
        </w:rPr>
        <w:t>facing</w:t>
      </w:r>
      <w:r w:rsidR="006E21D1" w:rsidRPr="001005B7">
        <w:rPr>
          <w:rFonts w:cstheme="minorHAnsi"/>
        </w:rPr>
        <w:t>,”</w:t>
      </w:r>
      <w:r w:rsidR="00153CC0" w:rsidRPr="001005B7">
        <w:rPr>
          <w:rFonts w:cstheme="minorHAnsi"/>
        </w:rPr>
        <w:t xml:space="preserve"> </w:t>
      </w:r>
      <w:r w:rsidR="00153CC0" w:rsidRPr="001005B7">
        <w:rPr>
          <w:rFonts w:cstheme="minorHAnsi"/>
          <w:rtl/>
          <w:lang w:bidi="he-IL"/>
        </w:rPr>
        <w:t>הַפּ</w:t>
      </w:r>
      <w:r w:rsidR="00E74335" w:rsidRPr="001005B7">
        <w:rPr>
          <w:rFonts w:cstheme="minorHAnsi"/>
          <w:rtl/>
          <w:lang w:bidi="he-IL"/>
        </w:rPr>
        <w:t>וֺנֶ</w:t>
      </w:r>
      <w:r w:rsidR="00351E82" w:rsidRPr="001005B7">
        <w:rPr>
          <w:rFonts w:cstheme="minorHAnsi"/>
          <w:rtl/>
          <w:lang w:bidi="he-IL"/>
        </w:rPr>
        <w:t>ה</w:t>
      </w:r>
      <w:r w:rsidR="00733D58" w:rsidRPr="001005B7">
        <w:rPr>
          <w:rFonts w:cstheme="minorHAnsi"/>
        </w:rPr>
        <w:t>.</w:t>
      </w:r>
    </w:p>
    <w:p w14:paraId="082F3169" w14:textId="4B15470B" w:rsidR="0060349A" w:rsidRPr="001005B7" w:rsidRDefault="00324379" w:rsidP="00324379">
      <w:pPr>
        <w:ind w:firstLine="0"/>
        <w:rPr>
          <w:rFonts w:cstheme="minorHAnsi"/>
        </w:rPr>
      </w:pPr>
      <w:r w:rsidRPr="001005B7">
        <w:rPr>
          <w:rFonts w:cstheme="minorHAnsi"/>
          <w:b/>
          <w:bCs/>
        </w:rPr>
        <w:t>8:5</w:t>
      </w:r>
      <w:r w:rsidR="00AB0FDB" w:rsidRPr="001005B7">
        <w:rPr>
          <w:rFonts w:cstheme="minorHAnsi"/>
        </w:rPr>
        <w:t xml:space="preserve"> </w:t>
      </w:r>
      <w:r w:rsidR="009A5551" w:rsidRPr="001005B7">
        <w:rPr>
          <w:rFonts w:cstheme="minorHAnsi"/>
        </w:rPr>
        <w:t xml:space="preserve">For </w:t>
      </w:r>
      <w:r w:rsidR="00D33127" w:rsidRPr="001005B7">
        <w:rPr>
          <w:rFonts w:cstheme="minorHAnsi"/>
          <w:rtl/>
          <w:lang w:bidi="he-IL"/>
        </w:rPr>
        <w:t>המִּזְ</w:t>
      </w:r>
      <w:r w:rsidR="00EF5D1F" w:rsidRPr="001005B7">
        <w:rPr>
          <w:rFonts w:cstheme="minorHAnsi"/>
          <w:rtl/>
          <w:lang w:bidi="he-IL"/>
        </w:rPr>
        <w:t>בֵּחַ</w:t>
      </w:r>
      <w:r w:rsidR="00EF5D1F" w:rsidRPr="001005B7">
        <w:rPr>
          <w:rFonts w:cstheme="minorHAnsi"/>
        </w:rPr>
        <w:t>, “alt</w:t>
      </w:r>
      <w:r w:rsidR="006039F2" w:rsidRPr="001005B7">
        <w:rPr>
          <w:rFonts w:cstheme="minorHAnsi"/>
        </w:rPr>
        <w:t>a</w:t>
      </w:r>
      <w:r w:rsidR="00EF5D1F" w:rsidRPr="001005B7">
        <w:rPr>
          <w:rFonts w:cstheme="minorHAnsi"/>
        </w:rPr>
        <w:t xml:space="preserve">r,” </w:t>
      </w:r>
      <w:r w:rsidR="00711BA2" w:rsidRPr="001005B7">
        <w:rPr>
          <w:sz w:val="18"/>
          <w:szCs w:val="18"/>
        </w:rPr>
        <w:t>LXX</w:t>
      </w:r>
      <w:r w:rsidR="00EF5D1F" w:rsidRPr="001005B7">
        <w:rPr>
          <w:rFonts w:cstheme="minorHAnsi"/>
        </w:rPr>
        <w:t xml:space="preserve"> </w:t>
      </w:r>
      <w:r w:rsidR="006039F2" w:rsidRPr="001005B7">
        <w:rPr>
          <w:rFonts w:cstheme="minorHAnsi"/>
        </w:rPr>
        <w:t xml:space="preserve">“east” </w:t>
      </w:r>
      <w:r w:rsidR="00EF5D1F" w:rsidRPr="001005B7">
        <w:rPr>
          <w:rFonts w:cstheme="minorHAnsi"/>
        </w:rPr>
        <w:t>implies</w:t>
      </w:r>
      <w:r w:rsidR="006039F2" w:rsidRPr="001005B7">
        <w:rPr>
          <w:rFonts w:cstheme="minorHAnsi"/>
        </w:rPr>
        <w:t xml:space="preserve"> </w:t>
      </w:r>
      <w:r w:rsidR="0051228B" w:rsidRPr="001005B7">
        <w:rPr>
          <w:rFonts w:cstheme="minorHAnsi"/>
          <w:rtl/>
          <w:lang w:bidi="he-IL"/>
        </w:rPr>
        <w:t>הַמ</w:t>
      </w:r>
      <w:r w:rsidR="002F45B6" w:rsidRPr="001005B7">
        <w:rPr>
          <w:rFonts w:cstheme="minorHAnsi"/>
          <w:rtl/>
          <w:lang w:bidi="he-IL"/>
        </w:rPr>
        <w:t>ִּזְרׇח</w:t>
      </w:r>
      <w:r w:rsidR="00581AA8" w:rsidRPr="001005B7">
        <w:rPr>
          <w:rFonts w:cstheme="minorHAnsi"/>
        </w:rPr>
        <w:t>.</w:t>
      </w:r>
      <w:r w:rsidR="00EF5D1F" w:rsidRPr="001005B7">
        <w:rPr>
          <w:rFonts w:cstheme="minorHAnsi"/>
        </w:rPr>
        <w:t xml:space="preserve"> </w:t>
      </w:r>
    </w:p>
    <w:p w14:paraId="1C6BFA48" w14:textId="6590CCC1" w:rsidR="00C813E7" w:rsidRPr="001005B7" w:rsidRDefault="00420C8D" w:rsidP="00324379">
      <w:pPr>
        <w:ind w:firstLine="0"/>
        <w:rPr>
          <w:rFonts w:cstheme="minorHAnsi"/>
        </w:rPr>
      </w:pPr>
      <w:r w:rsidRPr="001005B7">
        <w:rPr>
          <w:sz w:val="18"/>
          <w:szCs w:val="18"/>
        </w:rPr>
        <w:t>LXX</w:t>
      </w:r>
      <w:r w:rsidR="00AB0FDB" w:rsidRPr="001005B7">
        <w:rPr>
          <w:rFonts w:cstheme="minorHAnsi"/>
        </w:rPr>
        <w:t xml:space="preserve"> </w:t>
      </w:r>
      <w:r w:rsidR="00A54164" w:rsidRPr="001005B7">
        <w:rPr>
          <w:rFonts w:cstheme="minorHAnsi"/>
        </w:rPr>
        <w:t xml:space="preserve">lacks the reference to the </w:t>
      </w:r>
      <w:r w:rsidR="00213162" w:rsidRPr="001005B7">
        <w:rPr>
          <w:rFonts w:cstheme="minorHAnsi"/>
        </w:rPr>
        <w:t xml:space="preserve">creation </w:t>
      </w:r>
      <w:r w:rsidR="00A54164" w:rsidRPr="001005B7">
        <w:rPr>
          <w:rFonts w:cstheme="minorHAnsi"/>
        </w:rPr>
        <w:t xml:space="preserve">statue. </w:t>
      </w:r>
    </w:p>
    <w:p w14:paraId="42D6B03B" w14:textId="4C5F1932" w:rsidR="00FC07AE" w:rsidRPr="001005B7" w:rsidRDefault="00324379" w:rsidP="00324379">
      <w:pPr>
        <w:ind w:firstLine="0"/>
        <w:rPr>
          <w:rFonts w:cstheme="minorHAnsi"/>
        </w:rPr>
      </w:pPr>
      <w:r w:rsidRPr="001005B7">
        <w:rPr>
          <w:rFonts w:cstheme="minorHAnsi"/>
          <w:b/>
          <w:bCs/>
        </w:rPr>
        <w:t>8:6</w:t>
      </w:r>
      <w:r w:rsidR="00FE3C2B" w:rsidRPr="001005B7">
        <w:rPr>
          <w:rFonts w:cstheme="minorHAnsi"/>
        </w:rPr>
        <w:t xml:space="preserve"> Q has</w:t>
      </w:r>
      <w:r w:rsidR="00221125" w:rsidRPr="001005B7">
        <w:rPr>
          <w:rFonts w:cstheme="minorHAnsi"/>
        </w:rPr>
        <w:t xml:space="preserve"> </w:t>
      </w:r>
      <w:r w:rsidR="00221125" w:rsidRPr="001005B7">
        <w:rPr>
          <w:rFonts w:cstheme="minorHAnsi"/>
          <w:rtl/>
          <w:lang w:bidi="he-IL"/>
        </w:rPr>
        <w:t>מ</w:t>
      </w:r>
      <w:r w:rsidR="00215052" w:rsidRPr="001005B7">
        <w:rPr>
          <w:rFonts w:cstheme="minorHAnsi"/>
          <w:rtl/>
          <w:lang w:bidi="he-IL"/>
        </w:rPr>
        <w:t>ָ</w:t>
      </w:r>
      <w:r w:rsidR="00221125" w:rsidRPr="001005B7">
        <w:rPr>
          <w:rFonts w:cstheme="minorHAnsi"/>
          <w:rtl/>
          <w:lang w:bidi="he-IL"/>
        </w:rPr>
        <w:t>ה</w:t>
      </w:r>
      <w:r w:rsidR="009B2E7A" w:rsidRPr="001005B7">
        <w:rPr>
          <w:rFonts w:cstheme="minorHAnsi"/>
          <w:rtl/>
          <w:lang w:bidi="he-IL"/>
        </w:rPr>
        <w:t xml:space="preserve"> </w:t>
      </w:r>
      <w:r w:rsidR="00221125" w:rsidRPr="001005B7">
        <w:rPr>
          <w:rFonts w:cstheme="minorHAnsi"/>
          <w:rtl/>
          <w:lang w:bidi="he-IL"/>
        </w:rPr>
        <w:t>ה</w:t>
      </w:r>
      <w:r w:rsidR="009B2E7A" w:rsidRPr="001005B7">
        <w:rPr>
          <w:rFonts w:cstheme="minorHAnsi"/>
          <w:rtl/>
          <w:lang w:bidi="he-IL"/>
        </w:rPr>
        <w:t>ֵם</w:t>
      </w:r>
      <w:r w:rsidR="00FE3C2B" w:rsidRPr="001005B7">
        <w:rPr>
          <w:rFonts w:cstheme="minorHAnsi"/>
        </w:rPr>
        <w:t>, K has</w:t>
      </w:r>
      <w:r w:rsidR="009B2E7A" w:rsidRPr="001005B7">
        <w:rPr>
          <w:rFonts w:cstheme="minorHAnsi"/>
        </w:rPr>
        <w:t xml:space="preserve"> </w:t>
      </w:r>
      <w:r w:rsidR="009B2E7A" w:rsidRPr="001005B7">
        <w:rPr>
          <w:rFonts w:cstheme="minorHAnsi"/>
          <w:rtl/>
          <w:lang w:bidi="he-IL"/>
        </w:rPr>
        <w:t>מהם</w:t>
      </w:r>
      <w:r w:rsidR="00215052" w:rsidRPr="001005B7">
        <w:rPr>
          <w:rFonts w:cstheme="minorHAnsi"/>
        </w:rPr>
        <w:t xml:space="preserve"> without the vowel letter.</w:t>
      </w:r>
      <w:r w:rsidR="00643ADD" w:rsidRPr="001005B7">
        <w:rPr>
          <w:rFonts w:cstheme="minorHAnsi"/>
        </w:rPr>
        <w:t xml:space="preserve"> At the end of the verse, </w:t>
      </w:r>
      <w:r w:rsidR="00BA2F94" w:rsidRPr="001005B7">
        <w:rPr>
          <w:sz w:val="18"/>
          <w:szCs w:val="18"/>
        </w:rPr>
        <w:t>LXX</w:t>
      </w:r>
      <w:r w:rsidR="001B4CA9" w:rsidRPr="001005B7">
        <w:rPr>
          <w:rFonts w:cstheme="minorHAnsi"/>
        </w:rPr>
        <w:t xml:space="preserve"> has “</w:t>
      </w:r>
      <w:r w:rsidR="00354101" w:rsidRPr="001005B7">
        <w:rPr>
          <w:rFonts w:cstheme="minorHAnsi"/>
        </w:rPr>
        <w:t xml:space="preserve">see </w:t>
      </w:r>
      <w:r w:rsidR="00F1203B" w:rsidRPr="001005B7">
        <w:rPr>
          <w:rFonts w:cstheme="minorHAnsi"/>
        </w:rPr>
        <w:t>bigger”</w:t>
      </w:r>
      <w:r w:rsidR="007A67AB" w:rsidRPr="001005B7">
        <w:rPr>
          <w:rFonts w:cstheme="minorHAnsi"/>
        </w:rPr>
        <w:t xml:space="preserve"> </w:t>
      </w:r>
      <w:r w:rsidR="00B929A6" w:rsidRPr="001005B7">
        <w:rPr>
          <w:rFonts w:cstheme="minorHAnsi"/>
        </w:rPr>
        <w:t>(</w:t>
      </w:r>
      <w:r w:rsidR="007B0EB4" w:rsidRPr="001005B7">
        <w:rPr>
          <w:rFonts w:cstheme="minorHAnsi"/>
        </w:rPr>
        <w:t>cf.</w:t>
      </w:r>
      <w:r w:rsidR="007A67AB" w:rsidRPr="001005B7">
        <w:rPr>
          <w:rFonts w:cstheme="minorHAnsi"/>
        </w:rPr>
        <w:t xml:space="preserve"> also </w:t>
      </w:r>
      <w:r w:rsidR="0042084A" w:rsidRPr="001005B7">
        <w:rPr>
          <w:rFonts w:cstheme="minorHAnsi"/>
        </w:rPr>
        <w:t>8:</w:t>
      </w:r>
      <w:r w:rsidR="007A67AB" w:rsidRPr="001005B7">
        <w:rPr>
          <w:rFonts w:cstheme="minorHAnsi"/>
        </w:rPr>
        <w:t>13</w:t>
      </w:r>
      <w:r w:rsidR="00842269" w:rsidRPr="001005B7">
        <w:rPr>
          <w:rFonts w:cstheme="minorHAnsi"/>
        </w:rPr>
        <w:t>, 15</w:t>
      </w:r>
      <w:r w:rsidR="00B929A6" w:rsidRPr="001005B7">
        <w:rPr>
          <w:rFonts w:cstheme="minorHAnsi"/>
        </w:rPr>
        <w:t>)</w:t>
      </w:r>
      <w:r w:rsidR="007526B7" w:rsidRPr="001005B7">
        <w:rPr>
          <w:rFonts w:cstheme="minorHAnsi"/>
        </w:rPr>
        <w:t>.</w:t>
      </w:r>
      <w:r w:rsidR="00F1203B" w:rsidRPr="001005B7">
        <w:rPr>
          <w:rFonts w:cstheme="minorHAnsi"/>
        </w:rPr>
        <w:t xml:space="preserve"> </w:t>
      </w:r>
    </w:p>
    <w:p w14:paraId="2DFE7B7A" w14:textId="100D0E2B" w:rsidR="00324053" w:rsidRPr="001005B7" w:rsidRDefault="00324379" w:rsidP="00324379">
      <w:pPr>
        <w:ind w:firstLine="0"/>
        <w:rPr>
          <w:rFonts w:cstheme="minorHAnsi"/>
        </w:rPr>
      </w:pPr>
      <w:r w:rsidRPr="001005B7">
        <w:rPr>
          <w:rFonts w:cstheme="minorHAnsi"/>
          <w:b/>
          <w:bCs/>
        </w:rPr>
        <w:t>8:7</w:t>
      </w:r>
      <w:r w:rsidR="00F46900" w:rsidRPr="001005B7">
        <w:rPr>
          <w:rFonts w:cstheme="minorHAnsi"/>
          <w:b/>
          <w:bCs/>
        </w:rPr>
        <w:t>–</w:t>
      </w:r>
      <w:r w:rsidR="00111EBA" w:rsidRPr="001005B7">
        <w:rPr>
          <w:rFonts w:cstheme="minorHAnsi"/>
          <w:b/>
          <w:bCs/>
        </w:rPr>
        <w:t>8</w:t>
      </w:r>
      <w:r w:rsidR="00324053" w:rsidRPr="001005B7">
        <w:rPr>
          <w:rFonts w:cstheme="minorHAnsi"/>
        </w:rPr>
        <w:t xml:space="preserve"> </w:t>
      </w:r>
      <w:r w:rsidR="00BA2F94" w:rsidRPr="001005B7">
        <w:rPr>
          <w:sz w:val="18"/>
          <w:szCs w:val="18"/>
        </w:rPr>
        <w:t>LXX</w:t>
      </w:r>
      <w:r w:rsidR="00324053" w:rsidRPr="001005B7">
        <w:rPr>
          <w:rFonts w:cstheme="minorHAnsi"/>
        </w:rPr>
        <w:t xml:space="preserve"> </w:t>
      </w:r>
      <w:r w:rsidR="00111EBA" w:rsidRPr="001005B7">
        <w:rPr>
          <w:rFonts w:cstheme="minorHAnsi"/>
        </w:rPr>
        <w:t xml:space="preserve">has a shorter version of </w:t>
      </w:r>
      <w:r w:rsidR="003D021F" w:rsidRPr="001005B7">
        <w:rPr>
          <w:rFonts w:cstheme="minorHAnsi"/>
        </w:rPr>
        <w:t>8:</w:t>
      </w:r>
      <w:r w:rsidR="00B94963" w:rsidRPr="001005B7">
        <w:rPr>
          <w:rFonts w:cstheme="minorHAnsi"/>
        </w:rPr>
        <w:t>7b</w:t>
      </w:r>
      <w:r w:rsidR="00F46900" w:rsidRPr="001005B7">
        <w:rPr>
          <w:rFonts w:cstheme="minorHAnsi"/>
        </w:rPr>
        <w:t>–</w:t>
      </w:r>
      <w:r w:rsidR="004C6963" w:rsidRPr="001005B7">
        <w:rPr>
          <w:rFonts w:cstheme="minorHAnsi"/>
        </w:rPr>
        <w:t>8, w</w:t>
      </w:r>
      <w:r w:rsidR="00930A38" w:rsidRPr="001005B7">
        <w:rPr>
          <w:rFonts w:cstheme="minorHAnsi"/>
        </w:rPr>
        <w:t xml:space="preserve">here </w:t>
      </w:r>
      <w:r w:rsidR="00036C8D" w:rsidRPr="001005B7">
        <w:rPr>
          <w:rFonts w:cstheme="minorHAnsi"/>
        </w:rPr>
        <w:t xml:space="preserve">there </w:t>
      </w:r>
      <w:r w:rsidR="00930A38" w:rsidRPr="001005B7">
        <w:rPr>
          <w:rFonts w:cstheme="minorHAnsi"/>
        </w:rPr>
        <w:t xml:space="preserve">is some overlap </w:t>
      </w:r>
      <w:r w:rsidR="004C6963" w:rsidRPr="001005B7">
        <w:rPr>
          <w:rFonts w:cstheme="minorHAnsi"/>
        </w:rPr>
        <w:t xml:space="preserve">in </w:t>
      </w:r>
      <w:r w:rsidR="002F19F6" w:rsidRPr="001005B7">
        <w:rPr>
          <w:sz w:val="18"/>
          <w:szCs w:val="18"/>
        </w:rPr>
        <w:t>MT</w:t>
      </w:r>
      <w:r w:rsidR="0094769A" w:rsidRPr="001005B7">
        <w:rPr>
          <w:rFonts w:cstheme="minorHAnsi"/>
        </w:rPr>
        <w:t>.</w:t>
      </w:r>
    </w:p>
    <w:p w14:paraId="1250EA51" w14:textId="0D605F8A" w:rsidR="00A92915" w:rsidRPr="001005B7" w:rsidRDefault="00324379" w:rsidP="00324379">
      <w:pPr>
        <w:ind w:firstLine="0"/>
      </w:pPr>
      <w:r w:rsidRPr="001005B7">
        <w:rPr>
          <w:rFonts w:cstheme="minorHAnsi"/>
          <w:b/>
          <w:bCs/>
        </w:rPr>
        <w:t>8:10</w:t>
      </w:r>
      <w:r w:rsidR="007157F7" w:rsidRPr="001005B7">
        <w:rPr>
          <w:rFonts w:cstheme="minorHAnsi"/>
          <w:b/>
          <w:bCs/>
        </w:rPr>
        <w:t xml:space="preserve"> </w:t>
      </w:r>
      <w:r w:rsidR="00A92915" w:rsidRPr="001005B7">
        <w:rPr>
          <w:rFonts w:cstheme="minorHAnsi"/>
        </w:rPr>
        <w:t xml:space="preserve">For </w:t>
      </w:r>
      <w:r w:rsidR="006E21D1" w:rsidRPr="001005B7">
        <w:rPr>
          <w:rFonts w:cstheme="minorHAnsi"/>
        </w:rPr>
        <w:t>“</w:t>
      </w:r>
      <w:r w:rsidR="00A92915" w:rsidRPr="001005B7">
        <w:t>every</w:t>
      </w:r>
      <w:r w:rsidR="00A92915" w:rsidRPr="001005B7">
        <w:rPr>
          <w:i/>
          <w:iCs/>
        </w:rPr>
        <w:t xml:space="preserve"> </w:t>
      </w:r>
      <w:r w:rsidR="00A92915" w:rsidRPr="001005B7">
        <w:t>form</w:t>
      </w:r>
      <w:r w:rsidR="00A92915" w:rsidRPr="001005B7">
        <w:rPr>
          <w:i/>
          <w:iCs/>
        </w:rPr>
        <w:t xml:space="preserve"> </w:t>
      </w:r>
      <w:r w:rsidR="00A92915" w:rsidRPr="001005B7">
        <w:t>of</w:t>
      </w:r>
      <w:r w:rsidR="00A92915" w:rsidRPr="001005B7">
        <w:rPr>
          <w:i/>
          <w:iCs/>
        </w:rPr>
        <w:t xml:space="preserve"> </w:t>
      </w:r>
      <w:r w:rsidR="00A92915" w:rsidRPr="001005B7">
        <w:t>reptile</w:t>
      </w:r>
      <w:r w:rsidR="00A92915" w:rsidRPr="001005B7">
        <w:rPr>
          <w:i/>
          <w:iCs/>
        </w:rPr>
        <w:t xml:space="preserve"> </w:t>
      </w:r>
      <w:r w:rsidR="00A92915" w:rsidRPr="001005B7">
        <w:t>and</w:t>
      </w:r>
      <w:r w:rsidR="00A92915" w:rsidRPr="001005B7">
        <w:rPr>
          <w:i/>
          <w:iCs/>
        </w:rPr>
        <w:t xml:space="preserve"> </w:t>
      </w:r>
      <w:r w:rsidR="00A92915" w:rsidRPr="001005B7">
        <w:t>animal</w:t>
      </w:r>
      <w:r w:rsidR="001558EB" w:rsidRPr="001005B7">
        <w:t>,</w:t>
      </w:r>
      <w:r w:rsidR="004777DC" w:rsidRPr="001005B7">
        <w:rPr>
          <w:i/>
          <w:iCs/>
        </w:rPr>
        <w:t xml:space="preserve"> </w:t>
      </w:r>
      <w:r w:rsidR="001558EB" w:rsidRPr="001005B7">
        <w:t xml:space="preserve">something </w:t>
      </w:r>
      <w:r w:rsidR="004777DC" w:rsidRPr="001005B7">
        <w:t>abhorren</w:t>
      </w:r>
      <w:r w:rsidR="001558EB" w:rsidRPr="001005B7">
        <w:t>t</w:t>
      </w:r>
      <w:r w:rsidR="00E4543A" w:rsidRPr="001005B7">
        <w:t>,</w:t>
      </w:r>
      <w:r w:rsidR="00436254" w:rsidRPr="001005B7">
        <w:t>”</w:t>
      </w:r>
      <w:r w:rsidR="00A92915" w:rsidRPr="001005B7">
        <w:t xml:space="preserve"> </w:t>
      </w:r>
      <w:r w:rsidR="00BA2F94" w:rsidRPr="001005B7">
        <w:rPr>
          <w:sz w:val="18"/>
          <w:szCs w:val="18"/>
        </w:rPr>
        <w:t>LXX</w:t>
      </w:r>
      <w:r w:rsidR="00A92915" w:rsidRPr="001005B7">
        <w:t xml:space="preserve"> has “</w:t>
      </w:r>
      <w:r w:rsidR="00CF5521" w:rsidRPr="001005B7">
        <w:t>empty outrages.”</w:t>
      </w:r>
      <w:r w:rsidR="005977E8" w:rsidRPr="001005B7">
        <w:t xml:space="preserve"> </w:t>
      </w:r>
    </w:p>
    <w:p w14:paraId="2A02494B" w14:textId="1F576EAA" w:rsidR="00C12D69" w:rsidRPr="001005B7" w:rsidRDefault="003309C9" w:rsidP="00CE1C54">
      <w:pPr>
        <w:ind w:firstLine="0"/>
        <w:rPr>
          <w:rFonts w:cstheme="minorHAnsi"/>
        </w:rPr>
      </w:pPr>
      <w:r w:rsidRPr="001005B7">
        <w:rPr>
          <w:b/>
          <w:bCs/>
        </w:rPr>
        <w:t>8:12</w:t>
      </w:r>
      <w:r w:rsidR="007526B7" w:rsidRPr="001005B7">
        <w:t xml:space="preserve"> </w:t>
      </w:r>
      <w:r w:rsidR="00F76650" w:rsidRPr="001005B7">
        <w:t xml:space="preserve">For </w:t>
      </w:r>
      <w:r w:rsidR="00CD4436" w:rsidRPr="001005B7">
        <w:rPr>
          <w:rFonts w:cstheme="minorHAnsi"/>
          <w:rtl/>
          <w:lang w:bidi="he-IL"/>
        </w:rPr>
        <w:t>ב</w:t>
      </w:r>
      <w:r w:rsidR="00510C9B" w:rsidRPr="001005B7">
        <w:rPr>
          <w:rFonts w:cstheme="minorHAnsi"/>
          <w:rtl/>
          <w:lang w:bidi="he-IL"/>
        </w:rPr>
        <w:t>ּ</w:t>
      </w:r>
      <w:r w:rsidR="00CD4436" w:rsidRPr="001005B7">
        <w:rPr>
          <w:rFonts w:cstheme="minorHAnsi"/>
          <w:rtl/>
          <w:lang w:bidi="he-IL"/>
        </w:rPr>
        <w:t>ְ</w:t>
      </w:r>
      <w:r w:rsidR="003C2A70" w:rsidRPr="001005B7">
        <w:rPr>
          <w:rFonts w:cstheme="minorHAnsi"/>
          <w:rtl/>
          <w:lang w:bidi="he-IL"/>
        </w:rPr>
        <w:t>חַדְרֵי</w:t>
      </w:r>
      <w:r w:rsidR="00CA6346" w:rsidRPr="001005B7">
        <w:rPr>
          <w:rFonts w:cstheme="minorHAnsi"/>
          <w:rtl/>
          <w:lang w:bidi="he-IL"/>
        </w:rPr>
        <w:t xml:space="preserve"> </w:t>
      </w:r>
      <w:r w:rsidR="00FC25A6" w:rsidRPr="001005B7">
        <w:rPr>
          <w:rFonts w:cstheme="minorHAnsi"/>
          <w:rtl/>
          <w:lang w:bidi="he-IL"/>
        </w:rPr>
        <w:t>מַשְֹ</w:t>
      </w:r>
      <w:r w:rsidR="00973E45" w:rsidRPr="001005B7">
        <w:rPr>
          <w:rFonts w:cstheme="minorHAnsi"/>
          <w:rtl/>
          <w:lang w:bidi="he-IL"/>
        </w:rPr>
        <w:t>כ</w:t>
      </w:r>
      <w:r w:rsidR="004D6B0C" w:rsidRPr="001005B7">
        <w:rPr>
          <w:rFonts w:cstheme="minorHAnsi"/>
          <w:rtl/>
          <w:lang w:bidi="he-IL"/>
        </w:rPr>
        <w:t>ּ</w:t>
      </w:r>
      <w:r w:rsidR="00973E45" w:rsidRPr="001005B7">
        <w:rPr>
          <w:rFonts w:cstheme="minorHAnsi"/>
          <w:rtl/>
          <w:lang w:bidi="he-IL"/>
        </w:rPr>
        <w:t>ִיתוֺ</w:t>
      </w:r>
      <w:r w:rsidR="00056748" w:rsidRPr="001005B7">
        <w:t xml:space="preserve"> </w:t>
      </w:r>
      <w:r w:rsidR="00BA2F94" w:rsidRPr="001005B7">
        <w:rPr>
          <w:sz w:val="18"/>
          <w:szCs w:val="18"/>
        </w:rPr>
        <w:t>LXX</w:t>
      </w:r>
      <w:r w:rsidR="007526B7" w:rsidRPr="001005B7">
        <w:t xml:space="preserve"> has “</w:t>
      </w:r>
      <w:r w:rsidR="00AD1731" w:rsidRPr="001005B7">
        <w:t xml:space="preserve">in </w:t>
      </w:r>
      <w:r w:rsidR="00FA5D46" w:rsidRPr="001005B7">
        <w:t xml:space="preserve">their </w:t>
      </w:r>
      <w:r w:rsidR="00286F5C" w:rsidRPr="001005B7">
        <w:t xml:space="preserve">hidden </w:t>
      </w:r>
      <w:r w:rsidR="007526B7" w:rsidRPr="001005B7">
        <w:t>bedroom</w:t>
      </w:r>
      <w:r w:rsidR="00D6491D" w:rsidRPr="001005B7">
        <w:t>,” which suggests</w:t>
      </w:r>
      <w:r w:rsidR="00AD1731" w:rsidRPr="001005B7">
        <w:t xml:space="preserve"> </w:t>
      </w:r>
      <w:r w:rsidR="00AD1731" w:rsidRPr="001005B7">
        <w:rPr>
          <w:rFonts w:cstheme="minorHAnsi"/>
          <w:rtl/>
          <w:lang w:bidi="he-IL"/>
        </w:rPr>
        <w:t>מִשׁ</w:t>
      </w:r>
      <w:r w:rsidR="009000CE" w:rsidRPr="001005B7">
        <w:rPr>
          <w:rFonts w:cstheme="minorHAnsi"/>
          <w:rtl/>
          <w:lang w:bidi="he-IL"/>
        </w:rPr>
        <w:t>ְ</w:t>
      </w:r>
      <w:r w:rsidR="00AD1731" w:rsidRPr="001005B7">
        <w:rPr>
          <w:rFonts w:cstheme="minorHAnsi"/>
          <w:rtl/>
          <w:lang w:bidi="he-IL"/>
        </w:rPr>
        <w:t>כ</w:t>
      </w:r>
      <w:r w:rsidR="00FD79DD" w:rsidRPr="001005B7">
        <w:rPr>
          <w:rFonts w:cstheme="minorHAnsi"/>
          <w:rtl/>
          <w:lang w:bidi="he-IL"/>
        </w:rPr>
        <w:t>ּ</w:t>
      </w:r>
      <w:r w:rsidR="005326FB" w:rsidRPr="001005B7">
        <w:rPr>
          <w:rFonts w:cstheme="minorHAnsi"/>
          <w:rtl/>
          <w:lang w:bidi="he-IL"/>
        </w:rPr>
        <w:t>ָ</w:t>
      </w:r>
      <w:r w:rsidR="00C30674" w:rsidRPr="001005B7">
        <w:rPr>
          <w:rFonts w:cstheme="minorHAnsi"/>
          <w:rtl/>
          <w:lang w:bidi="he-IL"/>
        </w:rPr>
        <w:t>בוֺ</w:t>
      </w:r>
      <w:r w:rsidR="00D6491D" w:rsidRPr="001005B7">
        <w:t xml:space="preserve"> </w:t>
      </w:r>
      <w:r w:rsidR="00A76330" w:rsidRPr="001005B7">
        <w:rPr>
          <w:rFonts w:cstheme="minorHAnsi"/>
        </w:rPr>
        <w:t xml:space="preserve">rather than </w:t>
      </w:r>
      <w:r w:rsidR="00C30674" w:rsidRPr="001005B7">
        <w:rPr>
          <w:rFonts w:cstheme="minorHAnsi"/>
          <w:rtl/>
          <w:lang w:bidi="he-IL"/>
        </w:rPr>
        <w:t>מַשְֹכ</w:t>
      </w:r>
      <w:r w:rsidR="00C76516" w:rsidRPr="001005B7">
        <w:rPr>
          <w:rFonts w:cstheme="minorHAnsi"/>
          <w:rtl/>
          <w:lang w:bidi="he-IL"/>
        </w:rPr>
        <w:t>ּ</w:t>
      </w:r>
      <w:r w:rsidR="00C30674" w:rsidRPr="001005B7">
        <w:rPr>
          <w:rFonts w:cstheme="minorHAnsi"/>
          <w:rtl/>
          <w:lang w:bidi="he-IL"/>
        </w:rPr>
        <w:t>ִיתו</w:t>
      </w:r>
      <w:r w:rsidR="006C5222" w:rsidRPr="001005B7">
        <w:rPr>
          <w:rFonts w:cstheme="minorHAnsi"/>
          <w:rtl/>
          <w:lang w:bidi="he-IL"/>
        </w:rPr>
        <w:t>ֹ</w:t>
      </w:r>
      <w:r w:rsidR="00935E70" w:rsidRPr="001005B7">
        <w:rPr>
          <w:rFonts w:cstheme="minorHAnsi"/>
        </w:rPr>
        <w:t>.</w:t>
      </w:r>
    </w:p>
    <w:p w14:paraId="27815750" w14:textId="00543A0B" w:rsidR="00AF3BD5" w:rsidRPr="001005B7" w:rsidRDefault="00CE1C54" w:rsidP="004A64A8">
      <w:pPr>
        <w:ind w:firstLine="0"/>
      </w:pPr>
      <w:r w:rsidRPr="001005B7">
        <w:rPr>
          <w:rFonts w:cstheme="minorHAnsi"/>
          <w:b/>
          <w:bCs/>
        </w:rPr>
        <w:t>8:16</w:t>
      </w:r>
      <w:r w:rsidR="003225D6" w:rsidRPr="001005B7">
        <w:rPr>
          <w:rFonts w:cstheme="minorHAnsi"/>
        </w:rPr>
        <w:t xml:space="preserve"> </w:t>
      </w:r>
      <w:r w:rsidR="00F058BB" w:rsidRPr="001005B7">
        <w:rPr>
          <w:rFonts w:cstheme="minorHAnsi"/>
        </w:rPr>
        <w:t xml:space="preserve">For </w:t>
      </w:r>
      <w:r w:rsidR="0057027E" w:rsidRPr="001005B7">
        <w:rPr>
          <w:rFonts w:cstheme="minorHAnsi"/>
        </w:rPr>
        <w:t>“</w:t>
      </w:r>
      <w:r w:rsidR="00F058BB" w:rsidRPr="001005B7">
        <w:rPr>
          <w:rFonts w:cstheme="minorHAnsi"/>
        </w:rPr>
        <w:t>twenty</w:t>
      </w:r>
      <w:r w:rsidR="00F058BB" w:rsidRPr="001005B7">
        <w:rPr>
          <w:rFonts w:cstheme="minorHAnsi"/>
          <w:i/>
          <w:iCs/>
        </w:rPr>
        <w:t>-</w:t>
      </w:r>
      <w:r w:rsidR="00F058BB" w:rsidRPr="001005B7">
        <w:rPr>
          <w:rFonts w:cstheme="minorHAnsi"/>
        </w:rPr>
        <w:t>five,</w:t>
      </w:r>
      <w:r w:rsidR="0057027E" w:rsidRPr="001005B7">
        <w:rPr>
          <w:rFonts w:cstheme="minorHAnsi"/>
        </w:rPr>
        <w:t>”</w:t>
      </w:r>
      <w:r w:rsidR="00F058BB" w:rsidRPr="001005B7">
        <w:rPr>
          <w:rFonts w:cstheme="minorHAnsi"/>
          <w:i/>
          <w:iCs/>
        </w:rPr>
        <w:t xml:space="preserve"> </w:t>
      </w:r>
      <w:r w:rsidR="00BA2F94" w:rsidRPr="001005B7">
        <w:rPr>
          <w:sz w:val="18"/>
          <w:szCs w:val="18"/>
        </w:rPr>
        <w:t>LXX</w:t>
      </w:r>
      <w:r w:rsidR="00BC599B" w:rsidRPr="001005B7">
        <w:rPr>
          <w:rFonts w:cstheme="minorHAnsi"/>
        </w:rPr>
        <w:t xml:space="preserve"> has </w:t>
      </w:r>
      <w:r w:rsidR="0057027E" w:rsidRPr="001005B7">
        <w:rPr>
          <w:rFonts w:cstheme="minorHAnsi"/>
        </w:rPr>
        <w:t>“</w:t>
      </w:r>
      <w:r w:rsidR="00BC599B" w:rsidRPr="001005B7">
        <w:rPr>
          <w:rFonts w:cstheme="minorHAnsi"/>
        </w:rPr>
        <w:t>twenty</w:t>
      </w:r>
      <w:r w:rsidR="000C24E6" w:rsidRPr="001005B7">
        <w:rPr>
          <w:rFonts w:cstheme="minorHAnsi"/>
        </w:rPr>
        <w:t>.”</w:t>
      </w:r>
    </w:p>
    <w:p w14:paraId="3E1A9475" w14:textId="7C0BFCAB" w:rsidR="005A608C" w:rsidRPr="001005B7" w:rsidRDefault="009E5F27" w:rsidP="009E5F27">
      <w:pPr>
        <w:ind w:firstLine="0"/>
        <w:rPr>
          <w:rFonts w:cstheme="minorHAnsi"/>
        </w:rPr>
      </w:pPr>
      <w:r w:rsidRPr="001005B7">
        <w:rPr>
          <w:rFonts w:cstheme="minorHAnsi"/>
          <w:b/>
          <w:bCs/>
        </w:rPr>
        <w:t>8:17</w:t>
      </w:r>
      <w:r w:rsidR="005A608C" w:rsidRPr="001005B7">
        <w:rPr>
          <w:rFonts w:cstheme="minorHAnsi"/>
        </w:rPr>
        <w:t xml:space="preserve"> </w:t>
      </w:r>
      <w:r w:rsidR="00BA2F94" w:rsidRPr="001005B7">
        <w:rPr>
          <w:sz w:val="18"/>
          <w:szCs w:val="18"/>
        </w:rPr>
        <w:t>LXX</w:t>
      </w:r>
      <w:r w:rsidR="005A608C" w:rsidRPr="001005B7">
        <w:rPr>
          <w:rFonts w:cstheme="minorHAnsi"/>
        </w:rPr>
        <w:t xml:space="preserve"> lacks </w:t>
      </w:r>
      <w:r w:rsidR="0057027E" w:rsidRPr="001005B7">
        <w:rPr>
          <w:rFonts w:cstheme="minorHAnsi"/>
        </w:rPr>
        <w:t>“</w:t>
      </w:r>
      <w:r w:rsidR="005A608C" w:rsidRPr="001005B7">
        <w:t>and</w:t>
      </w:r>
      <w:r w:rsidR="005A608C" w:rsidRPr="001005B7">
        <w:rPr>
          <w:i/>
          <w:iCs/>
        </w:rPr>
        <w:t xml:space="preserve"> </w:t>
      </w:r>
      <w:r w:rsidR="005A608C" w:rsidRPr="001005B7">
        <w:t>further</w:t>
      </w:r>
      <w:r w:rsidR="005A608C" w:rsidRPr="001005B7">
        <w:rPr>
          <w:i/>
          <w:iCs/>
        </w:rPr>
        <w:t xml:space="preserve"> </w:t>
      </w:r>
      <w:r w:rsidR="002F4482" w:rsidRPr="001005B7">
        <w:t>enraged</w:t>
      </w:r>
      <w:r w:rsidR="002F4482" w:rsidRPr="001005B7">
        <w:rPr>
          <w:i/>
          <w:iCs/>
        </w:rPr>
        <w:t xml:space="preserve"> </w:t>
      </w:r>
      <w:r w:rsidR="005A608C" w:rsidRPr="001005B7">
        <w:t>me.</w:t>
      </w:r>
      <w:r w:rsidR="0057027E" w:rsidRPr="001005B7">
        <w:t>”</w:t>
      </w:r>
    </w:p>
    <w:p w14:paraId="0ACF271D" w14:textId="75872542" w:rsidR="00C12D69" w:rsidRPr="001005B7" w:rsidRDefault="009E5F27" w:rsidP="008115E4">
      <w:pPr>
        <w:ind w:firstLine="0"/>
      </w:pPr>
      <w:r w:rsidRPr="001005B7">
        <w:rPr>
          <w:b/>
          <w:bCs/>
        </w:rPr>
        <w:t>8:18</w:t>
      </w:r>
      <w:r w:rsidR="003357CB" w:rsidRPr="001005B7">
        <w:t xml:space="preserve"> </w:t>
      </w:r>
      <w:r w:rsidR="00784549" w:rsidRPr="001005B7">
        <w:rPr>
          <w:sz w:val="18"/>
          <w:szCs w:val="18"/>
        </w:rPr>
        <w:t xml:space="preserve">LXX </w:t>
      </w:r>
      <w:r w:rsidR="003357CB" w:rsidRPr="001005B7">
        <w:t xml:space="preserve">lacks </w:t>
      </w:r>
      <w:r w:rsidR="003D021F" w:rsidRPr="001005B7">
        <w:t>8:</w:t>
      </w:r>
      <w:r w:rsidR="003357CB" w:rsidRPr="001005B7">
        <w:t>18b</w:t>
      </w:r>
      <w:r w:rsidR="00B55412" w:rsidRPr="001005B7">
        <w:t>, which overlaps with 9:1</w:t>
      </w:r>
      <w:r w:rsidR="004161D4" w:rsidRPr="001005B7">
        <w:t>a</w:t>
      </w:r>
      <w:r w:rsidR="00C473CC" w:rsidRPr="001005B7">
        <w:rPr>
          <w:rFonts w:cstheme="minorHAnsi"/>
        </w:rPr>
        <w:t>α</w:t>
      </w:r>
      <w:r w:rsidR="00C473CC" w:rsidRPr="001005B7">
        <w:t>.</w:t>
      </w:r>
    </w:p>
    <w:p w14:paraId="081A664B" w14:textId="1F006330" w:rsidR="00F67343" w:rsidRPr="001005B7" w:rsidRDefault="005B47D6" w:rsidP="00493833">
      <w:pPr>
        <w:pStyle w:val="Heading3"/>
      </w:pPr>
      <w:r w:rsidRPr="001005B7">
        <w:t>Vers</w:t>
      </w:r>
      <w:r w:rsidR="00DC4731" w:rsidRPr="001005B7">
        <w:t>e</w:t>
      </w:r>
      <w:r w:rsidRPr="001005B7">
        <w:t>-by-Verse Commentary</w:t>
      </w:r>
    </w:p>
    <w:p w14:paraId="4FEB24F7" w14:textId="0DD6FE2B" w:rsidR="00BE7B1B" w:rsidRPr="001005B7" w:rsidRDefault="007E0280" w:rsidP="00D314DB">
      <w:pPr>
        <w:rPr>
          <w:rFonts w:ascii="Calibri" w:hAnsi="Calibri" w:cs="Calibri"/>
        </w:rPr>
      </w:pPr>
      <w:r w:rsidRPr="001005B7">
        <w:rPr>
          <w:b/>
        </w:rPr>
        <w:t>8:</w:t>
      </w:r>
      <w:r w:rsidR="00A26A8B" w:rsidRPr="001005B7">
        <w:rPr>
          <w:b/>
        </w:rPr>
        <w:t>1</w:t>
      </w:r>
      <w:r w:rsidR="004E0C56" w:rsidRPr="001005B7">
        <w:rPr>
          <w:b/>
        </w:rPr>
        <w:t>a</w:t>
      </w:r>
      <w:r w:rsidR="00A26A8B" w:rsidRPr="001005B7">
        <w:rPr>
          <w:bCs/>
        </w:rPr>
        <w:t xml:space="preserve"> </w:t>
      </w:r>
      <w:r w:rsidR="002A6020" w:rsidRPr="001005B7">
        <w:rPr>
          <w:bCs/>
        </w:rPr>
        <w:t>A</w:t>
      </w:r>
      <w:r w:rsidR="00A26A8B" w:rsidRPr="001005B7">
        <w:rPr>
          <w:bCs/>
        </w:rPr>
        <w:t xml:space="preserve"> year has passed since </w:t>
      </w:r>
      <w:r w:rsidR="008408BC" w:rsidRPr="001005B7">
        <w:rPr>
          <w:bCs/>
        </w:rPr>
        <w:t>the date in 1:2</w:t>
      </w:r>
      <w:r w:rsidR="00563221" w:rsidRPr="001005B7">
        <w:rPr>
          <w:bCs/>
        </w:rPr>
        <w:t>. I</w:t>
      </w:r>
      <w:r w:rsidR="006129AD" w:rsidRPr="001005B7">
        <w:rPr>
          <w:bCs/>
        </w:rPr>
        <w:t>t is now late summer 592</w:t>
      </w:r>
      <w:r w:rsidR="00563221" w:rsidRPr="001005B7">
        <w:rPr>
          <w:bCs/>
        </w:rPr>
        <w:t xml:space="preserve">, and the </w:t>
      </w:r>
      <w:r w:rsidR="00B94525" w:rsidRPr="001005B7">
        <w:rPr>
          <w:bCs/>
        </w:rPr>
        <w:t>s</w:t>
      </w:r>
      <w:r w:rsidR="00563221" w:rsidRPr="001005B7">
        <w:rPr>
          <w:bCs/>
        </w:rPr>
        <w:t xml:space="preserve">ixth </w:t>
      </w:r>
      <w:r w:rsidR="00B94525" w:rsidRPr="001005B7">
        <w:rPr>
          <w:bCs/>
        </w:rPr>
        <w:t xml:space="preserve">year after the fall of Jerusalem that </w:t>
      </w:r>
      <w:r w:rsidR="007010FD" w:rsidRPr="001005B7">
        <w:rPr>
          <w:bCs/>
        </w:rPr>
        <w:t xml:space="preserve">had </w:t>
      </w:r>
      <w:r w:rsidR="00B94525" w:rsidRPr="001005B7">
        <w:rPr>
          <w:bCs/>
        </w:rPr>
        <w:t xml:space="preserve">led to the forced migration of the </w:t>
      </w:r>
      <w:proofErr w:type="spellStart"/>
      <w:r w:rsidR="00B94525" w:rsidRPr="001005B7">
        <w:rPr>
          <w:bCs/>
        </w:rPr>
        <w:t>Kebar</w:t>
      </w:r>
      <w:r w:rsidR="00196DEB">
        <w:rPr>
          <w:bCs/>
        </w:rPr>
        <w:t>ites</w:t>
      </w:r>
      <w:proofErr w:type="spellEnd"/>
      <w:r w:rsidR="00404750" w:rsidRPr="001005B7">
        <w:rPr>
          <w:bCs/>
        </w:rPr>
        <w:t>. P</w:t>
      </w:r>
      <w:r w:rsidR="003F6794" w:rsidRPr="001005B7">
        <w:rPr>
          <w:bCs/>
        </w:rPr>
        <w:t xml:space="preserve">erhaps Ezekiel has been sitting at home </w:t>
      </w:r>
      <w:r w:rsidR="00785692" w:rsidRPr="001005B7">
        <w:rPr>
          <w:bCs/>
        </w:rPr>
        <w:t xml:space="preserve">all the time, </w:t>
      </w:r>
      <w:r w:rsidR="00F66F53" w:rsidRPr="001005B7">
        <w:rPr>
          <w:bCs/>
        </w:rPr>
        <w:t xml:space="preserve">as he is here, </w:t>
      </w:r>
      <w:r w:rsidR="003F6794" w:rsidRPr="001005B7">
        <w:rPr>
          <w:bCs/>
        </w:rPr>
        <w:t xml:space="preserve">in keeping with </w:t>
      </w:r>
      <w:r w:rsidR="00FC3C58" w:rsidRPr="001005B7">
        <w:rPr>
          <w:bCs/>
        </w:rPr>
        <w:t>3:24</w:t>
      </w:r>
      <w:r w:rsidR="00F46900" w:rsidRPr="001005B7">
        <w:rPr>
          <w:bCs/>
        </w:rPr>
        <w:t>–</w:t>
      </w:r>
      <w:r w:rsidR="00FC3C58" w:rsidRPr="001005B7">
        <w:rPr>
          <w:bCs/>
        </w:rPr>
        <w:t>27</w:t>
      </w:r>
      <w:r w:rsidR="007C7748" w:rsidRPr="001005B7">
        <w:rPr>
          <w:bCs/>
        </w:rPr>
        <w:t>, or perhaps he has been out preaching</w:t>
      </w:r>
      <w:r w:rsidR="00BB244C" w:rsidRPr="001005B7">
        <w:rPr>
          <w:bCs/>
        </w:rPr>
        <w:t xml:space="preserve">. </w:t>
      </w:r>
      <w:r w:rsidR="00EC403C" w:rsidRPr="001005B7">
        <w:rPr>
          <w:bCs/>
        </w:rPr>
        <w:t>Ei</w:t>
      </w:r>
      <w:r w:rsidR="00BB244C" w:rsidRPr="001005B7">
        <w:rPr>
          <w:bCs/>
        </w:rPr>
        <w:t xml:space="preserve">ther </w:t>
      </w:r>
      <w:r w:rsidR="00EC403C" w:rsidRPr="001005B7">
        <w:rPr>
          <w:bCs/>
        </w:rPr>
        <w:t xml:space="preserve">way, </w:t>
      </w:r>
      <w:r w:rsidR="00C42D5D" w:rsidRPr="001005B7">
        <w:rPr>
          <w:bCs/>
        </w:rPr>
        <w:t xml:space="preserve">Yahweh </w:t>
      </w:r>
      <w:r w:rsidR="00CC1AEC" w:rsidRPr="001005B7">
        <w:rPr>
          <w:bCs/>
        </w:rPr>
        <w:t xml:space="preserve">now </w:t>
      </w:r>
      <w:r w:rsidR="00C42D5D" w:rsidRPr="001005B7">
        <w:rPr>
          <w:bCs/>
        </w:rPr>
        <w:t xml:space="preserve">reaches out to him </w:t>
      </w:r>
      <w:r w:rsidR="009E7997" w:rsidRPr="001005B7">
        <w:rPr>
          <w:bCs/>
        </w:rPr>
        <w:t>afresh</w:t>
      </w:r>
      <w:r w:rsidR="00CC1AEC" w:rsidRPr="001005B7">
        <w:rPr>
          <w:bCs/>
        </w:rPr>
        <w:t>.</w:t>
      </w:r>
      <w:r w:rsidR="001107AD" w:rsidRPr="001005B7">
        <w:rPr>
          <w:bCs/>
        </w:rPr>
        <w:t xml:space="preserve"> Rhetorically, th</w:t>
      </w:r>
      <w:r w:rsidR="0072434E" w:rsidRPr="001005B7">
        <w:rPr>
          <w:bCs/>
        </w:rPr>
        <w:t>e provision of a</w:t>
      </w:r>
      <w:r w:rsidR="001107AD" w:rsidRPr="001005B7">
        <w:rPr>
          <w:bCs/>
        </w:rPr>
        <w:t xml:space="preserve"> date signifies </w:t>
      </w:r>
      <w:r w:rsidR="00910C87" w:rsidRPr="001005B7">
        <w:rPr>
          <w:bCs/>
        </w:rPr>
        <w:t>to</w:t>
      </w:r>
      <w:r w:rsidR="001107AD" w:rsidRPr="001005B7">
        <w:rPr>
          <w:bCs/>
        </w:rPr>
        <w:t xml:space="preserve"> readers that they are about to read something new</w:t>
      </w:r>
      <w:r w:rsidR="00E834C5" w:rsidRPr="001005B7">
        <w:rPr>
          <w:bCs/>
        </w:rPr>
        <w:t xml:space="preserve">. Ezekiel has made </w:t>
      </w:r>
      <w:r w:rsidR="00B8608D" w:rsidRPr="001005B7">
        <w:rPr>
          <w:bCs/>
        </w:rPr>
        <w:t>a sequence of</w:t>
      </w:r>
      <w:r w:rsidR="00E834C5" w:rsidRPr="001005B7">
        <w:rPr>
          <w:bCs/>
        </w:rPr>
        <w:t xml:space="preserve"> references to </w:t>
      </w:r>
      <w:r w:rsidR="00B8608D" w:rsidRPr="001005B7">
        <w:rPr>
          <w:bCs/>
        </w:rPr>
        <w:t xml:space="preserve">outrages in Jerusalem and </w:t>
      </w:r>
      <w:r w:rsidR="00B23E6C" w:rsidRPr="001005B7">
        <w:rPr>
          <w:bCs/>
        </w:rPr>
        <w:t xml:space="preserve">has passed on a number of </w:t>
      </w:r>
      <w:r w:rsidR="0071719B" w:rsidRPr="001005B7">
        <w:rPr>
          <w:bCs/>
        </w:rPr>
        <w:t>threats of death</w:t>
      </w:r>
      <w:r w:rsidR="00220639" w:rsidRPr="001005B7">
        <w:rPr>
          <w:bCs/>
        </w:rPr>
        <w:t xml:space="preserve"> coming</w:t>
      </w:r>
      <w:r w:rsidR="0071719B" w:rsidRPr="001005B7">
        <w:rPr>
          <w:bCs/>
        </w:rPr>
        <w:t xml:space="preserve"> there</w:t>
      </w:r>
      <w:r w:rsidR="00E33FE9" w:rsidRPr="001005B7">
        <w:rPr>
          <w:bCs/>
        </w:rPr>
        <w:t>. M</w:t>
      </w:r>
      <w:r w:rsidR="004E7C4C" w:rsidRPr="001005B7">
        <w:rPr>
          <w:bCs/>
        </w:rPr>
        <w:t xml:space="preserve">ore concrete pictures </w:t>
      </w:r>
      <w:r w:rsidR="0088548D" w:rsidRPr="001005B7">
        <w:rPr>
          <w:bCs/>
        </w:rPr>
        <w:t xml:space="preserve">of critique and </w:t>
      </w:r>
      <w:r w:rsidR="00B1270D" w:rsidRPr="001005B7">
        <w:rPr>
          <w:bCs/>
        </w:rPr>
        <w:t xml:space="preserve">threat </w:t>
      </w:r>
      <w:r w:rsidR="004E7C4C" w:rsidRPr="001005B7">
        <w:rPr>
          <w:bCs/>
        </w:rPr>
        <w:t>will now follow.</w:t>
      </w:r>
      <w:r w:rsidR="001107AD" w:rsidRPr="001005B7">
        <w:rPr>
          <w:bCs/>
        </w:rPr>
        <w:t xml:space="preserve"> </w:t>
      </w:r>
      <w:r w:rsidR="00BA6BCB" w:rsidRPr="001005B7">
        <w:rPr>
          <w:bCs/>
        </w:rPr>
        <w:t>“</w:t>
      </w:r>
      <w:r w:rsidR="006E3095" w:rsidRPr="001005B7">
        <w:rPr>
          <w:bCs/>
        </w:rPr>
        <w:t>Elders</w:t>
      </w:r>
      <w:r w:rsidR="00BA6BCB" w:rsidRPr="001005B7">
        <w:rPr>
          <w:bCs/>
        </w:rPr>
        <w:t>”</w:t>
      </w:r>
      <w:r w:rsidR="006E3095" w:rsidRPr="001005B7">
        <w:rPr>
          <w:bCs/>
        </w:rPr>
        <w:t xml:space="preserve"> </w:t>
      </w:r>
      <w:r w:rsidR="00D52F76" w:rsidRPr="001005B7">
        <w:rPr>
          <w:bCs/>
        </w:rPr>
        <w:t>d</w:t>
      </w:r>
      <w:r w:rsidR="005D56C9">
        <w:rPr>
          <w:bCs/>
        </w:rPr>
        <w:t>e</w:t>
      </w:r>
      <w:r w:rsidR="00C05CD7">
        <w:rPr>
          <w:bCs/>
        </w:rPr>
        <w:t>not</w:t>
      </w:r>
      <w:r w:rsidR="00D52F76" w:rsidRPr="001005B7">
        <w:rPr>
          <w:bCs/>
        </w:rPr>
        <w:t xml:space="preserve">es not </w:t>
      </w:r>
      <w:r w:rsidR="006E3095" w:rsidRPr="001005B7">
        <w:rPr>
          <w:bCs/>
        </w:rPr>
        <w:t xml:space="preserve">a formally </w:t>
      </w:r>
      <w:r w:rsidR="00560363" w:rsidRPr="001005B7">
        <w:rPr>
          <w:bCs/>
        </w:rPr>
        <w:t>qualified</w:t>
      </w:r>
      <w:r w:rsidR="006E3095" w:rsidRPr="001005B7">
        <w:rPr>
          <w:bCs/>
        </w:rPr>
        <w:t xml:space="preserve"> group like priests</w:t>
      </w:r>
      <w:r w:rsidR="00CB3107" w:rsidRPr="001005B7">
        <w:rPr>
          <w:bCs/>
        </w:rPr>
        <w:t>,</w:t>
      </w:r>
      <w:r w:rsidR="00B71716" w:rsidRPr="001005B7">
        <w:rPr>
          <w:bCs/>
        </w:rPr>
        <w:t xml:space="preserve"> or a cha</w:t>
      </w:r>
      <w:r w:rsidR="002E48BD" w:rsidRPr="001005B7">
        <w:rPr>
          <w:bCs/>
        </w:rPr>
        <w:t>r</w:t>
      </w:r>
      <w:r w:rsidR="00B71716" w:rsidRPr="001005B7">
        <w:rPr>
          <w:bCs/>
        </w:rPr>
        <w:t xml:space="preserve">ismatically </w:t>
      </w:r>
      <w:r w:rsidR="002E48BD" w:rsidRPr="001005B7">
        <w:rPr>
          <w:bCs/>
        </w:rPr>
        <w:t>qualified group like prophets</w:t>
      </w:r>
      <w:r w:rsidR="005D56C9">
        <w:rPr>
          <w:bCs/>
        </w:rPr>
        <w:t xml:space="preserve">, but </w:t>
      </w:r>
      <w:r w:rsidR="006E3095" w:rsidRPr="001005B7">
        <w:rPr>
          <w:bCs/>
        </w:rPr>
        <w:t xml:space="preserve">senior members of the community, the heads of households. </w:t>
      </w:r>
      <w:r w:rsidR="00F66F53" w:rsidRPr="001005B7">
        <w:rPr>
          <w:bCs/>
        </w:rPr>
        <w:t>Presum</w:t>
      </w:r>
      <w:r w:rsidR="00E46E45" w:rsidRPr="001005B7">
        <w:rPr>
          <w:bCs/>
        </w:rPr>
        <w:t>a</w:t>
      </w:r>
      <w:r w:rsidR="00F66F53" w:rsidRPr="001005B7">
        <w:rPr>
          <w:bCs/>
        </w:rPr>
        <w:t>bly the</w:t>
      </w:r>
      <w:r w:rsidR="00C87FCB" w:rsidRPr="001005B7">
        <w:rPr>
          <w:bCs/>
        </w:rPr>
        <w:t>y</w:t>
      </w:r>
      <w:r w:rsidR="00F66F53" w:rsidRPr="001005B7">
        <w:rPr>
          <w:bCs/>
        </w:rPr>
        <w:t xml:space="preserve"> are </w:t>
      </w:r>
      <w:r w:rsidR="00B1270D" w:rsidRPr="001005B7">
        <w:rPr>
          <w:bCs/>
        </w:rPr>
        <w:t xml:space="preserve">with him </w:t>
      </w:r>
      <w:r w:rsidR="00A87106" w:rsidRPr="001005B7">
        <w:rPr>
          <w:bCs/>
        </w:rPr>
        <w:t>seek</w:t>
      </w:r>
      <w:r w:rsidR="00973212" w:rsidRPr="001005B7">
        <w:rPr>
          <w:bCs/>
        </w:rPr>
        <w:t>ing</w:t>
      </w:r>
      <w:r w:rsidR="00F66F53" w:rsidRPr="001005B7">
        <w:rPr>
          <w:bCs/>
        </w:rPr>
        <w:t xml:space="preserve"> a message, or claim</w:t>
      </w:r>
      <w:r w:rsidR="00C916B3" w:rsidRPr="001005B7">
        <w:rPr>
          <w:bCs/>
        </w:rPr>
        <w:t>ing</w:t>
      </w:r>
      <w:r w:rsidR="00F66F53" w:rsidRPr="001005B7">
        <w:rPr>
          <w:bCs/>
        </w:rPr>
        <w:t xml:space="preserve"> to</w:t>
      </w:r>
      <w:r w:rsidR="003B0DE8" w:rsidRPr="001005B7">
        <w:rPr>
          <w:bCs/>
        </w:rPr>
        <w:t xml:space="preserve"> </w:t>
      </w:r>
      <w:r w:rsidR="007F5816" w:rsidRPr="001005B7">
        <w:rPr>
          <w:bCs/>
        </w:rPr>
        <w:t xml:space="preserve">do so </w:t>
      </w:r>
      <w:r w:rsidR="000F57E2" w:rsidRPr="001005B7">
        <w:rPr>
          <w:bCs/>
        </w:rPr>
        <w:t>(cf. 14:</w:t>
      </w:r>
      <w:r w:rsidR="00481EA6" w:rsidRPr="001005B7">
        <w:rPr>
          <w:bCs/>
        </w:rPr>
        <w:t>1</w:t>
      </w:r>
      <w:r w:rsidR="00F46900" w:rsidRPr="001005B7">
        <w:rPr>
          <w:bCs/>
        </w:rPr>
        <w:t>–</w:t>
      </w:r>
      <w:r w:rsidR="00481EA6" w:rsidRPr="001005B7">
        <w:rPr>
          <w:bCs/>
        </w:rPr>
        <w:t xml:space="preserve">3; </w:t>
      </w:r>
      <w:r w:rsidR="00F45D2D" w:rsidRPr="001005B7">
        <w:rPr>
          <w:bCs/>
        </w:rPr>
        <w:t>20:1)</w:t>
      </w:r>
      <w:r w:rsidR="00F41303" w:rsidRPr="001005B7">
        <w:rPr>
          <w:bCs/>
        </w:rPr>
        <w:t xml:space="preserve">, which implies some background in </w:t>
      </w:r>
      <w:r w:rsidR="00E16F73" w:rsidRPr="001005B7">
        <w:rPr>
          <w:bCs/>
        </w:rPr>
        <w:t>hi</w:t>
      </w:r>
      <w:r w:rsidR="00F41303" w:rsidRPr="001005B7">
        <w:rPr>
          <w:bCs/>
        </w:rPr>
        <w:t xml:space="preserve">s having </w:t>
      </w:r>
      <w:r w:rsidR="00817158" w:rsidRPr="001005B7">
        <w:rPr>
          <w:bCs/>
        </w:rPr>
        <w:t xml:space="preserve">been functioning as a prophet </w:t>
      </w:r>
      <w:r w:rsidR="00AD7142" w:rsidRPr="001005B7">
        <w:rPr>
          <w:bCs/>
        </w:rPr>
        <w:t xml:space="preserve">along lines adumbrated by </w:t>
      </w:r>
      <w:r w:rsidR="00DC5D21" w:rsidRPr="001005B7">
        <w:rPr>
          <w:bCs/>
        </w:rPr>
        <w:t>Ezekiel 1</w:t>
      </w:r>
      <w:r w:rsidR="00F46900" w:rsidRPr="001005B7">
        <w:rPr>
          <w:bCs/>
        </w:rPr>
        <w:t>–</w:t>
      </w:r>
      <w:r w:rsidR="00DC5D21" w:rsidRPr="001005B7">
        <w:rPr>
          <w:bCs/>
        </w:rPr>
        <w:t xml:space="preserve">7, </w:t>
      </w:r>
      <w:r w:rsidR="00817158" w:rsidRPr="001005B7">
        <w:rPr>
          <w:bCs/>
        </w:rPr>
        <w:t xml:space="preserve">and </w:t>
      </w:r>
      <w:r w:rsidR="00C644DE" w:rsidRPr="001005B7">
        <w:rPr>
          <w:bCs/>
        </w:rPr>
        <w:t xml:space="preserve">in </w:t>
      </w:r>
      <w:r w:rsidR="00817158" w:rsidRPr="001005B7">
        <w:rPr>
          <w:bCs/>
        </w:rPr>
        <w:t>their recognizing they need to pay attention to him</w:t>
      </w:r>
      <w:r w:rsidR="00F66F53" w:rsidRPr="001005B7">
        <w:rPr>
          <w:bCs/>
        </w:rPr>
        <w:t>.</w:t>
      </w:r>
      <w:r w:rsidR="00E46E45" w:rsidRPr="001005B7">
        <w:rPr>
          <w:bCs/>
        </w:rPr>
        <w:t xml:space="preserve"> </w:t>
      </w:r>
      <w:r w:rsidR="00616855" w:rsidRPr="001005B7">
        <w:rPr>
          <w:rFonts w:cstheme="minorHAnsi"/>
          <w:bCs/>
        </w:rPr>
        <w:t>Does it imply a</w:t>
      </w:r>
      <w:r w:rsidR="003653BE" w:rsidRPr="001005B7">
        <w:rPr>
          <w:rFonts w:cstheme="minorHAnsi"/>
          <w:bCs/>
        </w:rPr>
        <w:t xml:space="preserve"> crisis in leadership</w:t>
      </w:r>
      <w:r w:rsidR="00616855" w:rsidRPr="001005B7">
        <w:rPr>
          <w:rFonts w:cstheme="minorHAnsi"/>
          <w:bCs/>
        </w:rPr>
        <w:t xml:space="preserve"> in the community</w:t>
      </w:r>
      <w:r w:rsidR="00AB63E6" w:rsidRPr="001005B7">
        <w:rPr>
          <w:rFonts w:cstheme="minorHAnsi"/>
          <w:bCs/>
        </w:rPr>
        <w:t xml:space="preserve"> (</w:t>
      </w:r>
      <w:r w:rsidR="00AB63E6" w:rsidRPr="001005B7">
        <w:t>Bowen, 43</w:t>
      </w:r>
      <w:r w:rsidR="006B2281" w:rsidRPr="001005B7">
        <w:t>)</w:t>
      </w:r>
      <w:r w:rsidR="003653BE" w:rsidRPr="001005B7">
        <w:rPr>
          <w:rFonts w:cstheme="minorHAnsi"/>
          <w:bCs/>
        </w:rPr>
        <w:t>?</w:t>
      </w:r>
      <w:r w:rsidR="00616855" w:rsidRPr="001005B7">
        <w:rPr>
          <w:rFonts w:cstheme="minorHAnsi"/>
          <w:bCs/>
        </w:rPr>
        <w:t xml:space="preserve"> That would provide </w:t>
      </w:r>
      <w:r w:rsidR="006B2281" w:rsidRPr="001005B7">
        <w:rPr>
          <w:rFonts w:cstheme="minorHAnsi"/>
          <w:bCs/>
        </w:rPr>
        <w:t xml:space="preserve">further </w:t>
      </w:r>
      <w:r w:rsidR="00616855" w:rsidRPr="001005B7">
        <w:rPr>
          <w:rFonts w:cstheme="minorHAnsi"/>
          <w:bCs/>
        </w:rPr>
        <w:t>background</w:t>
      </w:r>
      <w:r w:rsidR="00A6278C" w:rsidRPr="001005B7">
        <w:rPr>
          <w:rFonts w:cstheme="minorHAnsi"/>
          <w:bCs/>
        </w:rPr>
        <w:t xml:space="preserve"> </w:t>
      </w:r>
      <w:r w:rsidR="006B2281" w:rsidRPr="001005B7">
        <w:rPr>
          <w:rFonts w:cstheme="minorHAnsi"/>
          <w:bCs/>
        </w:rPr>
        <w:t xml:space="preserve">to </w:t>
      </w:r>
      <w:r w:rsidR="00A6278C" w:rsidRPr="001005B7">
        <w:rPr>
          <w:rFonts w:cstheme="minorHAnsi"/>
          <w:bCs/>
        </w:rPr>
        <w:t>the vision that follows. But Ezekiel says nothing about</w:t>
      </w:r>
      <w:r w:rsidR="00B134CF">
        <w:rPr>
          <w:rFonts w:cstheme="minorHAnsi"/>
          <w:bCs/>
        </w:rPr>
        <w:t xml:space="preserve"> their reason for</w:t>
      </w:r>
      <w:r w:rsidR="00A6278C" w:rsidRPr="001005B7">
        <w:rPr>
          <w:rFonts w:cstheme="minorHAnsi"/>
          <w:bCs/>
        </w:rPr>
        <w:t xml:space="preserve"> </w:t>
      </w:r>
      <w:r w:rsidR="00B134CF">
        <w:rPr>
          <w:rFonts w:cstheme="minorHAnsi"/>
          <w:bCs/>
        </w:rPr>
        <w:t>being</w:t>
      </w:r>
      <w:r w:rsidR="00A6278C" w:rsidRPr="001005B7">
        <w:rPr>
          <w:rFonts w:cstheme="minorHAnsi"/>
          <w:bCs/>
        </w:rPr>
        <w:t xml:space="preserve"> there </w:t>
      </w:r>
      <w:r w:rsidR="00A47583" w:rsidRPr="001005B7">
        <w:rPr>
          <w:rFonts w:cstheme="minorHAnsi"/>
          <w:bCs/>
        </w:rPr>
        <w:t>o</w:t>
      </w:r>
      <w:r w:rsidR="00A6278C" w:rsidRPr="001005B7">
        <w:rPr>
          <w:rFonts w:cstheme="minorHAnsi"/>
          <w:bCs/>
        </w:rPr>
        <w:t xml:space="preserve">r what they </w:t>
      </w:r>
      <w:r w:rsidR="00A6278C" w:rsidRPr="001005B7">
        <w:rPr>
          <w:rFonts w:ascii="Calibri" w:hAnsi="Calibri" w:cs="Calibri"/>
          <w:bCs/>
        </w:rPr>
        <w:t>asked him</w:t>
      </w:r>
      <w:r w:rsidR="003653BE" w:rsidRPr="001005B7">
        <w:rPr>
          <w:rFonts w:ascii="Calibri" w:hAnsi="Calibri" w:cs="Calibri"/>
          <w:bCs/>
        </w:rPr>
        <w:t>. Their initiative isn’t the point.</w:t>
      </w:r>
      <w:r w:rsidR="00F91D39" w:rsidRPr="001005B7">
        <w:rPr>
          <w:rFonts w:ascii="Calibri" w:hAnsi="Calibri" w:cs="Calibri"/>
          <w:bCs/>
        </w:rPr>
        <w:t xml:space="preserve"> </w:t>
      </w:r>
      <w:r w:rsidR="00D6368F" w:rsidRPr="001005B7">
        <w:rPr>
          <w:rFonts w:ascii="Calibri" w:hAnsi="Calibri" w:cs="Calibri"/>
          <w:bCs/>
        </w:rPr>
        <w:t>Indeed,</w:t>
      </w:r>
      <w:r w:rsidR="002674ED" w:rsidRPr="001005B7">
        <w:rPr>
          <w:rFonts w:ascii="Calibri" w:hAnsi="Calibri" w:cs="Calibri"/>
          <w:bCs/>
        </w:rPr>
        <w:t xml:space="preserve"> Yahweh’s words in 7:26 </w:t>
      </w:r>
      <w:r w:rsidR="003B4EEB" w:rsidRPr="001005B7">
        <w:rPr>
          <w:rFonts w:ascii="Calibri" w:hAnsi="Calibri" w:cs="Calibri"/>
          <w:bCs/>
        </w:rPr>
        <w:t>do not augur well for them.</w:t>
      </w:r>
      <w:r w:rsidR="00D6368F" w:rsidRPr="001005B7">
        <w:rPr>
          <w:rFonts w:ascii="Calibri" w:hAnsi="Calibri" w:cs="Calibri"/>
          <w:bCs/>
        </w:rPr>
        <w:t xml:space="preserve"> </w:t>
      </w:r>
      <w:r w:rsidR="00BB62E7" w:rsidRPr="001005B7">
        <w:rPr>
          <w:rFonts w:ascii="Calibri" w:hAnsi="Calibri" w:cs="Calibri"/>
        </w:rPr>
        <w:t>Even i</w:t>
      </w:r>
      <w:r w:rsidR="00D314DB" w:rsidRPr="001005B7">
        <w:rPr>
          <w:rFonts w:ascii="Calibri" w:hAnsi="Calibri" w:cs="Calibri"/>
        </w:rPr>
        <w:t>f they do</w:t>
      </w:r>
      <w:r w:rsidR="0033529D" w:rsidRPr="001005B7">
        <w:rPr>
          <w:rFonts w:ascii="Calibri" w:hAnsi="Calibri" w:cs="Calibri"/>
        </w:rPr>
        <w:t xml:space="preserve"> come to consult with him,</w:t>
      </w:r>
      <w:r w:rsidR="00BB62E7" w:rsidRPr="001005B7">
        <w:rPr>
          <w:rFonts w:ascii="Calibri" w:hAnsi="Calibri" w:cs="Calibri"/>
        </w:rPr>
        <w:t xml:space="preserve"> </w:t>
      </w:r>
      <w:r w:rsidR="0033529D" w:rsidRPr="001005B7">
        <w:rPr>
          <w:rFonts w:ascii="Calibri" w:hAnsi="Calibri" w:cs="Calibri"/>
        </w:rPr>
        <w:t xml:space="preserve">they don’t </w:t>
      </w:r>
      <w:r w:rsidR="00BB62E7" w:rsidRPr="001005B7">
        <w:rPr>
          <w:rFonts w:ascii="Calibri" w:hAnsi="Calibri" w:cs="Calibri"/>
        </w:rPr>
        <w:t xml:space="preserve">then </w:t>
      </w:r>
      <w:r w:rsidR="0033529D" w:rsidRPr="001005B7">
        <w:rPr>
          <w:rFonts w:ascii="Calibri" w:hAnsi="Calibri" w:cs="Calibri"/>
        </w:rPr>
        <w:t>do what Yahweh tells them (33:30</w:t>
      </w:r>
      <w:r w:rsidR="00F46900" w:rsidRPr="001005B7">
        <w:rPr>
          <w:rFonts w:ascii="Calibri" w:hAnsi="Calibri" w:cs="Calibri"/>
        </w:rPr>
        <w:t>–</w:t>
      </w:r>
      <w:r w:rsidR="0033529D" w:rsidRPr="001005B7">
        <w:rPr>
          <w:rFonts w:ascii="Calibri" w:hAnsi="Calibri" w:cs="Calibri"/>
        </w:rPr>
        <w:t>33)</w:t>
      </w:r>
      <w:r w:rsidR="00B65C9B" w:rsidRPr="001005B7">
        <w:rPr>
          <w:rFonts w:ascii="Calibri" w:hAnsi="Calibri" w:cs="Calibri"/>
        </w:rPr>
        <w:t xml:space="preserve"> (</w:t>
      </w:r>
      <w:r w:rsidR="00B65C9B" w:rsidRPr="001005B7">
        <w:t>Olley, 284).</w:t>
      </w:r>
      <w:r w:rsidR="00D314DB" w:rsidRPr="001005B7">
        <w:rPr>
          <w:rFonts w:ascii="Calibri" w:hAnsi="Calibri" w:cs="Calibri"/>
        </w:rPr>
        <w:t xml:space="preserve"> </w:t>
      </w:r>
      <w:r w:rsidR="00D6368F" w:rsidRPr="001005B7">
        <w:rPr>
          <w:bCs/>
        </w:rPr>
        <w:t>And</w:t>
      </w:r>
      <w:r w:rsidR="003B63D0" w:rsidRPr="001005B7">
        <w:rPr>
          <w:bCs/>
        </w:rPr>
        <w:t xml:space="preserve"> “the prophet could pro</w:t>
      </w:r>
      <w:r w:rsidR="001C1714" w:rsidRPr="001005B7">
        <w:rPr>
          <w:bCs/>
        </w:rPr>
        <w:t>claim</w:t>
      </w:r>
      <w:r w:rsidR="003B63D0" w:rsidRPr="001005B7">
        <w:rPr>
          <w:bCs/>
        </w:rPr>
        <w:t xml:space="preserve"> naught for their comfort”</w:t>
      </w:r>
      <w:r w:rsidR="00EF753A" w:rsidRPr="001005B7">
        <w:rPr>
          <w:bCs/>
        </w:rPr>
        <w:t xml:space="preserve"> (</w:t>
      </w:r>
      <w:r w:rsidR="00EF753A" w:rsidRPr="001005B7">
        <w:t>Allen</w:t>
      </w:r>
      <w:r w:rsidR="003F6C53" w:rsidRPr="001005B7">
        <w:t>,</w:t>
      </w:r>
      <w:r w:rsidR="00EF753A" w:rsidRPr="001005B7">
        <w:t xml:space="preserve"> 1:137).</w:t>
      </w:r>
      <w:r w:rsidR="00D66D5A" w:rsidRPr="001005B7">
        <w:rPr>
          <w:rStyle w:val="FootnoteReference"/>
          <w:bCs/>
        </w:rPr>
        <w:footnoteReference w:id="238"/>
      </w:r>
      <w:r w:rsidR="00D66D5A" w:rsidRPr="001005B7">
        <w:rPr>
          <w:bCs/>
        </w:rPr>
        <w:t xml:space="preserve"> </w:t>
      </w:r>
    </w:p>
    <w:p w14:paraId="2DEC4CED" w14:textId="5880763B" w:rsidR="005B47D6" w:rsidRPr="001005B7" w:rsidRDefault="007E0280" w:rsidP="00F63960">
      <w:pPr>
        <w:rPr>
          <w:rFonts w:cstheme="minorHAnsi"/>
          <w:bCs/>
        </w:rPr>
      </w:pPr>
      <w:r w:rsidRPr="001005B7">
        <w:rPr>
          <w:b/>
        </w:rPr>
        <w:t>8:</w:t>
      </w:r>
      <w:r w:rsidR="00BE7B1B" w:rsidRPr="001005B7">
        <w:rPr>
          <w:b/>
        </w:rPr>
        <w:t>1b</w:t>
      </w:r>
      <w:r w:rsidR="00F46900" w:rsidRPr="001005B7">
        <w:rPr>
          <w:b/>
        </w:rPr>
        <w:t>–</w:t>
      </w:r>
      <w:r w:rsidR="00BE7B1B" w:rsidRPr="001005B7">
        <w:rPr>
          <w:b/>
        </w:rPr>
        <w:t xml:space="preserve">2 </w:t>
      </w:r>
      <w:r w:rsidR="00BE7B1B" w:rsidRPr="001005B7">
        <w:rPr>
          <w:bCs/>
        </w:rPr>
        <w:t>But</w:t>
      </w:r>
      <w:r w:rsidR="00BE7B1B" w:rsidRPr="001005B7">
        <w:rPr>
          <w:b/>
        </w:rPr>
        <w:t xml:space="preserve"> </w:t>
      </w:r>
      <w:r w:rsidR="009C1170" w:rsidRPr="001005B7">
        <w:rPr>
          <w:bCs/>
        </w:rPr>
        <w:t xml:space="preserve">Yahweh’s hand </w:t>
      </w:r>
      <w:r w:rsidR="008F1B4B" w:rsidRPr="001005B7">
        <w:rPr>
          <w:bCs/>
        </w:rPr>
        <w:t>“</w:t>
      </w:r>
      <w:r w:rsidR="009D510E" w:rsidRPr="001005B7">
        <w:rPr>
          <w:bCs/>
        </w:rPr>
        <w:t>fell</w:t>
      </w:r>
      <w:r w:rsidR="008F1B4B" w:rsidRPr="001005B7">
        <w:rPr>
          <w:bCs/>
        </w:rPr>
        <w:t>”</w:t>
      </w:r>
      <w:r w:rsidR="009C1170" w:rsidRPr="001005B7">
        <w:rPr>
          <w:bCs/>
        </w:rPr>
        <w:t xml:space="preserve"> on him </w:t>
      </w:r>
      <w:r w:rsidR="005E6B0B" w:rsidRPr="001005B7">
        <w:rPr>
          <w:bCs/>
        </w:rPr>
        <w:t>in their presence</w:t>
      </w:r>
      <w:r w:rsidR="001F3AF1" w:rsidRPr="001005B7">
        <w:rPr>
          <w:bCs/>
        </w:rPr>
        <w:t>, which in this context mean</w:t>
      </w:r>
      <w:r w:rsidR="008D5724">
        <w:rPr>
          <w:bCs/>
        </w:rPr>
        <w:t>s</w:t>
      </w:r>
      <w:r w:rsidR="001F3AF1" w:rsidRPr="001005B7">
        <w:rPr>
          <w:bCs/>
        </w:rPr>
        <w:t xml:space="preserve"> he </w:t>
      </w:r>
      <w:r w:rsidR="00031FB9" w:rsidRPr="001005B7">
        <w:rPr>
          <w:bCs/>
        </w:rPr>
        <w:t>s</w:t>
      </w:r>
      <w:r w:rsidR="0084166D" w:rsidRPr="001005B7">
        <w:rPr>
          <w:bCs/>
        </w:rPr>
        <w:t>aw</w:t>
      </w:r>
      <w:r w:rsidR="00031FB9" w:rsidRPr="001005B7">
        <w:rPr>
          <w:bCs/>
        </w:rPr>
        <w:t xml:space="preserve"> something that only Yahweh c</w:t>
      </w:r>
      <w:r w:rsidR="001B1D3E" w:rsidRPr="001005B7">
        <w:rPr>
          <w:bCs/>
        </w:rPr>
        <w:t>ould</w:t>
      </w:r>
      <w:r w:rsidR="00031FB9" w:rsidRPr="001005B7">
        <w:rPr>
          <w:bCs/>
        </w:rPr>
        <w:t xml:space="preserve"> enable</w:t>
      </w:r>
      <w:r w:rsidR="009C1170" w:rsidRPr="001005B7">
        <w:rPr>
          <w:bCs/>
        </w:rPr>
        <w:t xml:space="preserve"> </w:t>
      </w:r>
      <w:r w:rsidR="006F1DB6" w:rsidRPr="001005B7">
        <w:rPr>
          <w:bCs/>
        </w:rPr>
        <w:t>him to see</w:t>
      </w:r>
      <w:r w:rsidR="003210C3" w:rsidRPr="001005B7">
        <w:rPr>
          <w:bCs/>
        </w:rPr>
        <w:t>. It was what</w:t>
      </w:r>
      <w:r w:rsidR="006F1DB6" w:rsidRPr="001005B7">
        <w:rPr>
          <w:bCs/>
        </w:rPr>
        <w:t xml:space="preserve"> happened a year earlier </w:t>
      </w:r>
      <w:r w:rsidR="009C1170" w:rsidRPr="001005B7">
        <w:rPr>
          <w:bCs/>
        </w:rPr>
        <w:t>(see 1:3; also 3:</w:t>
      </w:r>
      <w:r w:rsidR="00FF4E9C" w:rsidRPr="001005B7">
        <w:rPr>
          <w:bCs/>
        </w:rPr>
        <w:t xml:space="preserve">14, </w:t>
      </w:r>
      <w:r w:rsidR="009C1170" w:rsidRPr="001005B7">
        <w:rPr>
          <w:bCs/>
        </w:rPr>
        <w:t>22</w:t>
      </w:r>
      <w:r w:rsidR="00031FB9" w:rsidRPr="001005B7">
        <w:rPr>
          <w:bCs/>
        </w:rPr>
        <w:t>)</w:t>
      </w:r>
      <w:r w:rsidR="00FB654E">
        <w:rPr>
          <w:bCs/>
        </w:rPr>
        <w:t>. B</w:t>
      </w:r>
      <w:r w:rsidR="00643F32" w:rsidRPr="001005B7">
        <w:rPr>
          <w:bCs/>
        </w:rPr>
        <w:t>ut</w:t>
      </w:r>
      <w:r w:rsidR="002173F2" w:rsidRPr="001005B7">
        <w:rPr>
          <w:bCs/>
        </w:rPr>
        <w:t xml:space="preserve"> </w:t>
      </w:r>
      <w:r w:rsidR="008E6899" w:rsidRPr="001005B7">
        <w:rPr>
          <w:bCs/>
        </w:rPr>
        <w:t>“</w:t>
      </w:r>
      <w:r w:rsidR="009D510E" w:rsidRPr="001005B7">
        <w:rPr>
          <w:bCs/>
        </w:rPr>
        <w:t>fell</w:t>
      </w:r>
      <w:r w:rsidR="008E6899" w:rsidRPr="001005B7">
        <w:rPr>
          <w:bCs/>
        </w:rPr>
        <w:t>”</w:t>
      </w:r>
      <w:r w:rsidR="002173F2" w:rsidRPr="001005B7">
        <w:rPr>
          <w:bCs/>
        </w:rPr>
        <w:t xml:space="preserve"> is a stronger expression</w:t>
      </w:r>
      <w:r w:rsidR="00BF3601" w:rsidRPr="001005B7">
        <w:rPr>
          <w:bCs/>
        </w:rPr>
        <w:t xml:space="preserve"> than</w:t>
      </w:r>
      <w:r w:rsidR="00276F7A" w:rsidRPr="001005B7">
        <w:rPr>
          <w:bCs/>
        </w:rPr>
        <w:t xml:space="preserve"> </w:t>
      </w:r>
      <w:r w:rsidR="008E6899" w:rsidRPr="001005B7">
        <w:rPr>
          <w:bCs/>
        </w:rPr>
        <w:t>“</w:t>
      </w:r>
      <w:r w:rsidR="002A55D9" w:rsidRPr="001005B7">
        <w:rPr>
          <w:bCs/>
        </w:rPr>
        <w:t>came</w:t>
      </w:r>
      <w:r w:rsidR="00931CFC" w:rsidRPr="001005B7">
        <w:rPr>
          <w:bCs/>
        </w:rPr>
        <w:t>,</w:t>
      </w:r>
      <w:r w:rsidR="008E6899" w:rsidRPr="001005B7">
        <w:rPr>
          <w:bCs/>
        </w:rPr>
        <w:t>”</w:t>
      </w:r>
      <w:r w:rsidR="00931CFC" w:rsidRPr="001005B7">
        <w:rPr>
          <w:bCs/>
        </w:rPr>
        <w:t xml:space="preserve"> the verb there</w:t>
      </w:r>
      <w:r w:rsidR="009D510E" w:rsidRPr="001005B7">
        <w:rPr>
          <w:bCs/>
          <w:i/>
          <w:iCs/>
        </w:rPr>
        <w:t xml:space="preserve"> </w:t>
      </w:r>
      <w:r w:rsidR="006E3338" w:rsidRPr="001005B7">
        <w:rPr>
          <w:bCs/>
        </w:rPr>
        <w:t>(</w:t>
      </w:r>
      <w:r w:rsidR="009D510E" w:rsidRPr="001005B7">
        <w:rPr>
          <w:bCs/>
        </w:rPr>
        <w:t>literally, “was/bec</w:t>
      </w:r>
      <w:r w:rsidR="002A55D9" w:rsidRPr="001005B7">
        <w:rPr>
          <w:bCs/>
        </w:rPr>
        <w:t>a</w:t>
      </w:r>
      <w:r w:rsidR="009D510E" w:rsidRPr="001005B7">
        <w:rPr>
          <w:bCs/>
        </w:rPr>
        <w:t>me</w:t>
      </w:r>
      <w:r w:rsidR="00B97BAC" w:rsidRPr="001005B7">
        <w:rPr>
          <w:bCs/>
        </w:rPr>
        <w:t>,” though 3:</w:t>
      </w:r>
      <w:r w:rsidR="002F54F9" w:rsidRPr="001005B7">
        <w:rPr>
          <w:bCs/>
        </w:rPr>
        <w:t>14</w:t>
      </w:r>
      <w:r w:rsidR="00B97BAC" w:rsidRPr="001005B7">
        <w:rPr>
          <w:bCs/>
        </w:rPr>
        <w:t xml:space="preserve"> ha</w:t>
      </w:r>
      <w:r w:rsidR="00255BAA" w:rsidRPr="001005B7">
        <w:rPr>
          <w:bCs/>
        </w:rPr>
        <w:t>d</w:t>
      </w:r>
      <w:r w:rsidR="00B97BAC" w:rsidRPr="001005B7">
        <w:rPr>
          <w:bCs/>
        </w:rPr>
        <w:t xml:space="preserve"> </w:t>
      </w:r>
      <w:r w:rsidR="002F54F9" w:rsidRPr="001005B7">
        <w:rPr>
          <w:bCs/>
        </w:rPr>
        <w:t>Yahweh’s hand being</w:t>
      </w:r>
      <w:r w:rsidR="000738B5" w:rsidRPr="001005B7">
        <w:rPr>
          <w:bCs/>
        </w:rPr>
        <w:t xml:space="preserve"> </w:t>
      </w:r>
      <w:r w:rsidR="008E6899" w:rsidRPr="001005B7">
        <w:rPr>
          <w:bCs/>
        </w:rPr>
        <w:t>“</w:t>
      </w:r>
      <w:r w:rsidR="000738B5" w:rsidRPr="001005B7">
        <w:rPr>
          <w:bCs/>
        </w:rPr>
        <w:t>strong on me</w:t>
      </w:r>
      <w:r w:rsidR="007E04FD" w:rsidRPr="001005B7">
        <w:rPr>
          <w:bCs/>
        </w:rPr>
        <w:t>”</w:t>
      </w:r>
      <w:r w:rsidR="000738B5" w:rsidRPr="001005B7">
        <w:rPr>
          <w:bCs/>
        </w:rPr>
        <w:t>)</w:t>
      </w:r>
      <w:r w:rsidR="00031FB9" w:rsidRPr="001005B7">
        <w:rPr>
          <w:bCs/>
        </w:rPr>
        <w:t>.</w:t>
      </w:r>
      <w:r w:rsidR="00064AAB" w:rsidRPr="001005B7">
        <w:rPr>
          <w:bCs/>
        </w:rPr>
        <w:t xml:space="preserve"> </w:t>
      </w:r>
      <w:r w:rsidR="00755F09" w:rsidRPr="001005B7">
        <w:rPr>
          <w:rFonts w:cstheme="minorHAnsi"/>
          <w:bCs/>
        </w:rPr>
        <w:t>Ezekiel</w:t>
      </w:r>
      <w:r w:rsidR="00E4254A" w:rsidRPr="001005B7">
        <w:rPr>
          <w:rFonts w:cstheme="minorHAnsi"/>
          <w:bCs/>
        </w:rPr>
        <w:t xml:space="preserve"> had a </w:t>
      </w:r>
      <w:r w:rsidR="00255BAA" w:rsidRPr="001005B7">
        <w:rPr>
          <w:rFonts w:cstheme="minorHAnsi"/>
          <w:bCs/>
        </w:rPr>
        <w:t>powerful</w:t>
      </w:r>
      <w:r w:rsidR="00E4254A" w:rsidRPr="001005B7">
        <w:rPr>
          <w:rFonts w:cstheme="minorHAnsi"/>
          <w:bCs/>
        </w:rPr>
        <w:t xml:space="preserve"> sense of being gripped by God.</w:t>
      </w:r>
      <w:r w:rsidR="0092004A" w:rsidRPr="001005B7">
        <w:rPr>
          <w:rFonts w:cstheme="minorHAnsi"/>
          <w:bCs/>
        </w:rPr>
        <w:t xml:space="preserve"> Commentators sometimes </w:t>
      </w:r>
      <w:r w:rsidR="00FF541C" w:rsidRPr="001005B7">
        <w:rPr>
          <w:rFonts w:cstheme="minorHAnsi"/>
          <w:bCs/>
        </w:rPr>
        <w:t>apply</w:t>
      </w:r>
      <w:r w:rsidR="00F86154" w:rsidRPr="001005B7">
        <w:rPr>
          <w:rFonts w:cstheme="minorHAnsi"/>
          <w:bCs/>
        </w:rPr>
        <w:t xml:space="preserve"> the word </w:t>
      </w:r>
      <w:r w:rsidR="007E04FD" w:rsidRPr="001005B7">
        <w:rPr>
          <w:rFonts w:cstheme="minorHAnsi"/>
          <w:bCs/>
        </w:rPr>
        <w:t>“</w:t>
      </w:r>
      <w:r w:rsidR="00F86154" w:rsidRPr="001005B7">
        <w:rPr>
          <w:rFonts w:cstheme="minorHAnsi"/>
          <w:bCs/>
        </w:rPr>
        <w:t>ecstasy</w:t>
      </w:r>
      <w:r w:rsidR="007E04FD" w:rsidRPr="001005B7">
        <w:rPr>
          <w:rFonts w:cstheme="minorHAnsi"/>
          <w:bCs/>
        </w:rPr>
        <w:t>”</w:t>
      </w:r>
      <w:r w:rsidR="00FF541C" w:rsidRPr="001005B7">
        <w:rPr>
          <w:rFonts w:cstheme="minorHAnsi"/>
          <w:bCs/>
          <w:i/>
          <w:iCs/>
        </w:rPr>
        <w:t xml:space="preserve"> </w:t>
      </w:r>
      <w:r w:rsidR="00FF541C" w:rsidRPr="001005B7">
        <w:rPr>
          <w:rFonts w:cstheme="minorHAnsi"/>
          <w:bCs/>
        </w:rPr>
        <w:t>to his experience</w:t>
      </w:r>
      <w:r w:rsidR="00122CE5" w:rsidRPr="001005B7">
        <w:rPr>
          <w:rFonts w:cstheme="minorHAnsi"/>
          <w:bCs/>
        </w:rPr>
        <w:t xml:space="preserve"> (e.g., Blenkinsopp, 52)</w:t>
      </w:r>
      <w:r w:rsidR="004A3D69" w:rsidRPr="001005B7">
        <w:rPr>
          <w:rFonts w:cstheme="minorHAnsi"/>
          <w:bCs/>
        </w:rPr>
        <w:t>.</w:t>
      </w:r>
      <w:r w:rsidR="00437A20" w:rsidRPr="001005B7">
        <w:rPr>
          <w:rFonts w:cstheme="minorHAnsi"/>
          <w:bCs/>
        </w:rPr>
        <w:t xml:space="preserve"> </w:t>
      </w:r>
      <w:r w:rsidR="004A3D69" w:rsidRPr="001005B7">
        <w:rPr>
          <w:rFonts w:cstheme="minorHAnsi"/>
          <w:bCs/>
        </w:rPr>
        <w:t>W</w:t>
      </w:r>
      <w:r w:rsidR="00E82FC0" w:rsidRPr="001005B7">
        <w:rPr>
          <w:rFonts w:cstheme="minorHAnsi"/>
          <w:bCs/>
        </w:rPr>
        <w:t xml:space="preserve">hile </w:t>
      </w:r>
      <w:r w:rsidR="00255BAA" w:rsidRPr="001005B7">
        <w:rPr>
          <w:rFonts w:cstheme="minorHAnsi"/>
          <w:bCs/>
        </w:rPr>
        <w:t xml:space="preserve">words such as </w:t>
      </w:r>
      <w:r w:rsidR="009D3D81" w:rsidRPr="001005B7">
        <w:rPr>
          <w:rFonts w:cstheme="minorHAnsi"/>
          <w:bCs/>
        </w:rPr>
        <w:t>“</w:t>
      </w:r>
      <w:r w:rsidR="00255BAA" w:rsidRPr="001005B7">
        <w:rPr>
          <w:rFonts w:cstheme="minorHAnsi"/>
          <w:bCs/>
        </w:rPr>
        <w:t>trance</w:t>
      </w:r>
      <w:r w:rsidR="009D3D81" w:rsidRPr="001005B7">
        <w:rPr>
          <w:rFonts w:cstheme="minorHAnsi"/>
          <w:bCs/>
        </w:rPr>
        <w:t>”</w:t>
      </w:r>
      <w:r w:rsidR="00255BAA" w:rsidRPr="001005B7">
        <w:rPr>
          <w:rFonts w:cstheme="minorHAnsi"/>
          <w:bCs/>
        </w:rPr>
        <w:t xml:space="preserve"> may not be helpful, </w:t>
      </w:r>
      <w:r w:rsidR="001764C1" w:rsidRPr="001005B7">
        <w:rPr>
          <w:rFonts w:cstheme="minorHAnsi"/>
          <w:bCs/>
        </w:rPr>
        <w:t>his testimony</w:t>
      </w:r>
      <w:r w:rsidR="00117016" w:rsidRPr="001005B7">
        <w:rPr>
          <w:rFonts w:cstheme="minorHAnsi"/>
          <w:bCs/>
        </w:rPr>
        <w:t xml:space="preserve"> does imply a </w:t>
      </w:r>
      <w:r w:rsidR="00B96609" w:rsidRPr="001005B7">
        <w:rPr>
          <w:rFonts w:cstheme="minorHAnsi"/>
          <w:bCs/>
        </w:rPr>
        <w:t xml:space="preserve">separating of </w:t>
      </w:r>
      <w:r w:rsidR="004A2A90" w:rsidRPr="001005B7">
        <w:rPr>
          <w:rFonts w:cstheme="minorHAnsi"/>
          <w:bCs/>
        </w:rPr>
        <w:t xml:space="preserve">his sense of </w:t>
      </w:r>
      <w:r w:rsidR="009C1152" w:rsidRPr="001005B7">
        <w:rPr>
          <w:rFonts w:cstheme="minorHAnsi"/>
          <w:bCs/>
        </w:rPr>
        <w:t>mind and body</w:t>
      </w:r>
      <w:r w:rsidR="00437A20" w:rsidRPr="001005B7">
        <w:rPr>
          <w:rFonts w:cstheme="minorHAnsi"/>
          <w:bCs/>
        </w:rPr>
        <w:t>.</w:t>
      </w:r>
      <w:r w:rsidR="00A91E7E" w:rsidRPr="001005B7">
        <w:rPr>
          <w:rFonts w:cstheme="minorHAnsi"/>
          <w:bCs/>
        </w:rPr>
        <w:t xml:space="preserve"> </w:t>
      </w:r>
      <w:r w:rsidR="004522F9" w:rsidRPr="001005B7">
        <w:rPr>
          <w:bCs/>
        </w:rPr>
        <w:t>H</w:t>
      </w:r>
      <w:r w:rsidR="006823C5" w:rsidRPr="001005B7">
        <w:rPr>
          <w:bCs/>
        </w:rPr>
        <w:t>is description of what happens to him recall</w:t>
      </w:r>
      <w:r w:rsidR="006B2BAA" w:rsidRPr="001005B7">
        <w:rPr>
          <w:bCs/>
        </w:rPr>
        <w:t>s</w:t>
      </w:r>
      <w:r w:rsidR="006823C5" w:rsidRPr="001005B7">
        <w:rPr>
          <w:bCs/>
        </w:rPr>
        <w:t xml:space="preserve"> </w:t>
      </w:r>
      <w:r w:rsidR="00F05F54" w:rsidRPr="001005B7">
        <w:rPr>
          <w:bCs/>
        </w:rPr>
        <w:t>1:4</w:t>
      </w:r>
      <w:r w:rsidR="00F46900" w:rsidRPr="001005B7">
        <w:rPr>
          <w:bCs/>
        </w:rPr>
        <w:t>–</w:t>
      </w:r>
      <w:r w:rsidR="00F05F54" w:rsidRPr="001005B7">
        <w:rPr>
          <w:bCs/>
        </w:rPr>
        <w:t>28, though he doesn</w:t>
      </w:r>
      <w:r w:rsidR="000E1F6F">
        <w:rPr>
          <w:bCs/>
        </w:rPr>
        <w:t>’</w:t>
      </w:r>
      <w:r w:rsidR="00F05F54" w:rsidRPr="001005B7">
        <w:rPr>
          <w:bCs/>
        </w:rPr>
        <w:t>t make the comparison</w:t>
      </w:r>
      <w:r w:rsidR="000E1F6F">
        <w:rPr>
          <w:bCs/>
        </w:rPr>
        <w:t xml:space="preserve"> at this point</w:t>
      </w:r>
      <w:r w:rsidR="00F05F54" w:rsidRPr="001005B7">
        <w:rPr>
          <w:bCs/>
        </w:rPr>
        <w:t xml:space="preserve">. </w:t>
      </w:r>
      <w:r w:rsidR="002F06CD" w:rsidRPr="001005B7">
        <w:rPr>
          <w:bCs/>
        </w:rPr>
        <w:t>H</w:t>
      </w:r>
      <w:r w:rsidR="004522F9" w:rsidRPr="001005B7">
        <w:rPr>
          <w:bCs/>
        </w:rPr>
        <w:t xml:space="preserve">e </w:t>
      </w:r>
      <w:r w:rsidR="004E763D" w:rsidRPr="001005B7">
        <w:rPr>
          <w:bCs/>
        </w:rPr>
        <w:t xml:space="preserve">again </w:t>
      </w:r>
      <w:r w:rsidR="004522F9" w:rsidRPr="001005B7">
        <w:rPr>
          <w:bCs/>
        </w:rPr>
        <w:t xml:space="preserve">sees </w:t>
      </w:r>
      <w:r w:rsidR="00FB668D" w:rsidRPr="001005B7">
        <w:rPr>
          <w:bCs/>
        </w:rPr>
        <w:t>“a</w:t>
      </w:r>
      <w:r w:rsidR="004522F9" w:rsidRPr="001005B7">
        <w:rPr>
          <w:bCs/>
          <w:i/>
          <w:iCs/>
        </w:rPr>
        <w:t xml:space="preserve"> </w:t>
      </w:r>
      <w:r w:rsidR="004522F9" w:rsidRPr="001005B7">
        <w:rPr>
          <w:bCs/>
        </w:rPr>
        <w:t>form</w:t>
      </w:r>
      <w:r w:rsidR="002F35A7" w:rsidRPr="001005B7">
        <w:rPr>
          <w:bCs/>
        </w:rPr>
        <w:t>”</w:t>
      </w:r>
      <w:r w:rsidR="00E45C8F" w:rsidRPr="001005B7">
        <w:rPr>
          <w:bCs/>
        </w:rPr>
        <w:t xml:space="preserve"> (the word occurred nine times in 1:</w:t>
      </w:r>
      <w:r w:rsidR="009B460A" w:rsidRPr="001005B7">
        <w:rPr>
          <w:bCs/>
        </w:rPr>
        <w:t>4</w:t>
      </w:r>
      <w:r w:rsidR="00F46900" w:rsidRPr="001005B7">
        <w:rPr>
          <w:bCs/>
        </w:rPr>
        <w:t>–</w:t>
      </w:r>
      <w:r w:rsidR="009B460A" w:rsidRPr="001005B7">
        <w:rPr>
          <w:bCs/>
        </w:rPr>
        <w:t>2</w:t>
      </w:r>
      <w:r w:rsidR="00BE2333" w:rsidRPr="001005B7">
        <w:rPr>
          <w:bCs/>
        </w:rPr>
        <w:t>8</w:t>
      </w:r>
      <w:r w:rsidR="009B460A" w:rsidRPr="001005B7">
        <w:rPr>
          <w:bCs/>
        </w:rPr>
        <w:t>)</w:t>
      </w:r>
      <w:r w:rsidR="00F25C19" w:rsidRPr="001005B7">
        <w:rPr>
          <w:bCs/>
        </w:rPr>
        <w:t xml:space="preserve"> like </w:t>
      </w:r>
      <w:r w:rsidR="0040728C" w:rsidRPr="001005B7">
        <w:rPr>
          <w:bCs/>
        </w:rPr>
        <w:t>“</w:t>
      </w:r>
      <w:r w:rsidR="00F25C19" w:rsidRPr="001005B7">
        <w:rPr>
          <w:bCs/>
        </w:rPr>
        <w:t>the</w:t>
      </w:r>
      <w:r w:rsidR="00F25C19" w:rsidRPr="001005B7">
        <w:rPr>
          <w:bCs/>
          <w:i/>
          <w:iCs/>
        </w:rPr>
        <w:t xml:space="preserve"> </w:t>
      </w:r>
      <w:r w:rsidR="00F25C19" w:rsidRPr="001005B7">
        <w:rPr>
          <w:bCs/>
        </w:rPr>
        <w:t>appearance</w:t>
      </w:r>
      <w:r w:rsidR="0040728C" w:rsidRPr="001005B7">
        <w:rPr>
          <w:bCs/>
        </w:rPr>
        <w:t>”</w:t>
      </w:r>
      <w:r w:rsidR="00F25C19" w:rsidRPr="001005B7">
        <w:rPr>
          <w:bCs/>
          <w:i/>
          <w:iCs/>
        </w:rPr>
        <w:t xml:space="preserve"> </w:t>
      </w:r>
      <w:r w:rsidR="00F25C19" w:rsidRPr="001005B7">
        <w:rPr>
          <w:bCs/>
        </w:rPr>
        <w:t>(</w:t>
      </w:r>
      <w:r w:rsidR="00C569D0" w:rsidRPr="001005B7">
        <w:rPr>
          <w:bCs/>
        </w:rPr>
        <w:t>fifteen times in 1:4</w:t>
      </w:r>
      <w:r w:rsidR="00F46900" w:rsidRPr="001005B7">
        <w:rPr>
          <w:bCs/>
        </w:rPr>
        <w:t>–</w:t>
      </w:r>
      <w:r w:rsidR="00C569D0" w:rsidRPr="001005B7">
        <w:rPr>
          <w:bCs/>
        </w:rPr>
        <w:t>28)</w:t>
      </w:r>
      <w:r w:rsidR="00EB1F7F" w:rsidRPr="001005B7">
        <w:rPr>
          <w:bCs/>
        </w:rPr>
        <w:t xml:space="preserve"> of </w:t>
      </w:r>
      <w:r w:rsidR="004D62B5" w:rsidRPr="001005B7">
        <w:rPr>
          <w:bCs/>
        </w:rPr>
        <w:t>“</w:t>
      </w:r>
      <w:r w:rsidR="00EB1F7F" w:rsidRPr="001005B7">
        <w:rPr>
          <w:bCs/>
        </w:rPr>
        <w:t>fire</w:t>
      </w:r>
      <w:r w:rsidR="004D62B5" w:rsidRPr="001005B7">
        <w:rPr>
          <w:bCs/>
        </w:rPr>
        <w:t>”</w:t>
      </w:r>
      <w:r w:rsidR="00BE2333" w:rsidRPr="001005B7">
        <w:rPr>
          <w:bCs/>
        </w:rPr>
        <w:t xml:space="preserve"> (six times)</w:t>
      </w:r>
      <w:r w:rsidR="005E67DE" w:rsidRPr="001005B7">
        <w:rPr>
          <w:bCs/>
        </w:rPr>
        <w:t xml:space="preserve">. </w:t>
      </w:r>
      <w:r w:rsidR="00E15AC2" w:rsidRPr="001005B7">
        <w:rPr>
          <w:bCs/>
        </w:rPr>
        <w:t>In effect, h</w:t>
      </w:r>
      <w:r w:rsidR="00A91E7E" w:rsidRPr="001005B7">
        <w:rPr>
          <w:bCs/>
        </w:rPr>
        <w:t xml:space="preserve">is </w:t>
      </w:r>
      <w:r w:rsidR="002369FF" w:rsidRPr="001005B7">
        <w:rPr>
          <w:bCs/>
        </w:rPr>
        <w:t>account</w:t>
      </w:r>
      <w:r w:rsidR="0088293F" w:rsidRPr="001005B7">
        <w:rPr>
          <w:bCs/>
        </w:rPr>
        <w:t xml:space="preserve"> </w:t>
      </w:r>
      <w:r w:rsidR="004611BB" w:rsidRPr="001005B7">
        <w:rPr>
          <w:bCs/>
        </w:rPr>
        <w:t>focuses on</w:t>
      </w:r>
      <w:r w:rsidR="002B38B4" w:rsidRPr="001005B7">
        <w:rPr>
          <w:bCs/>
        </w:rPr>
        <w:t xml:space="preserve"> the figure </w:t>
      </w:r>
      <w:r w:rsidR="0029538F" w:rsidRPr="001005B7">
        <w:rPr>
          <w:bCs/>
        </w:rPr>
        <w:t xml:space="preserve">on the throne </w:t>
      </w:r>
      <w:r w:rsidR="000E1F6F">
        <w:rPr>
          <w:bCs/>
        </w:rPr>
        <w:t>from</w:t>
      </w:r>
      <w:r w:rsidR="002F06CD" w:rsidRPr="001005B7">
        <w:rPr>
          <w:bCs/>
        </w:rPr>
        <w:t xml:space="preserve"> the earlier vision</w:t>
      </w:r>
      <w:r w:rsidR="005B46BF" w:rsidRPr="001005B7">
        <w:rPr>
          <w:bCs/>
        </w:rPr>
        <w:t>. T</w:t>
      </w:r>
      <w:r w:rsidR="00154192" w:rsidRPr="001005B7">
        <w:rPr>
          <w:bCs/>
        </w:rPr>
        <w:t xml:space="preserve">here is </w:t>
      </w:r>
      <w:r w:rsidR="003B0F28">
        <w:rPr>
          <w:bCs/>
        </w:rPr>
        <w:t xml:space="preserve">apparently </w:t>
      </w:r>
      <w:r w:rsidR="00154192" w:rsidRPr="001005B7">
        <w:rPr>
          <w:bCs/>
        </w:rPr>
        <w:t>no</w:t>
      </w:r>
      <w:r w:rsidR="00D705AD" w:rsidRPr="001005B7">
        <w:rPr>
          <w:rFonts w:cstheme="minorHAnsi"/>
          <w:bCs/>
        </w:rPr>
        <w:t xml:space="preserve"> need of the </w:t>
      </w:r>
      <w:r w:rsidR="007E5219" w:rsidRPr="001005B7">
        <w:rPr>
          <w:rFonts w:cstheme="minorHAnsi"/>
          <w:bCs/>
        </w:rPr>
        <w:t>living creatures</w:t>
      </w:r>
      <w:r w:rsidR="00D705AD" w:rsidRPr="001005B7">
        <w:rPr>
          <w:rFonts w:cstheme="minorHAnsi"/>
          <w:bCs/>
        </w:rPr>
        <w:t xml:space="preserve"> now</w:t>
      </w:r>
      <w:r w:rsidR="002B12F8" w:rsidRPr="001005B7">
        <w:rPr>
          <w:rFonts w:cstheme="minorHAnsi"/>
          <w:bCs/>
        </w:rPr>
        <w:t xml:space="preserve"> (</w:t>
      </w:r>
      <w:proofErr w:type="spellStart"/>
      <w:r w:rsidR="002B12F8" w:rsidRPr="001005B7">
        <w:t>Theodoret</w:t>
      </w:r>
      <w:proofErr w:type="spellEnd"/>
      <w:r w:rsidR="002B12F8" w:rsidRPr="001005B7">
        <w:t>, 70).</w:t>
      </w:r>
      <w:r w:rsidR="00154192" w:rsidRPr="001005B7">
        <w:rPr>
          <w:rFonts w:cstheme="minorHAnsi"/>
          <w:bCs/>
        </w:rPr>
        <w:t xml:space="preserve"> </w:t>
      </w:r>
      <w:r w:rsidR="002369FF" w:rsidRPr="001005B7">
        <w:rPr>
          <w:rFonts w:cstheme="minorHAnsi"/>
          <w:bCs/>
        </w:rPr>
        <w:t>The description</w:t>
      </w:r>
      <w:r w:rsidR="00163143" w:rsidRPr="001005B7">
        <w:rPr>
          <w:bCs/>
        </w:rPr>
        <w:t xml:space="preserve"> </w:t>
      </w:r>
      <w:r w:rsidR="00676AB9" w:rsidRPr="001005B7">
        <w:rPr>
          <w:bCs/>
        </w:rPr>
        <w:t xml:space="preserve">broadly </w:t>
      </w:r>
      <w:r w:rsidR="00163143" w:rsidRPr="001005B7">
        <w:rPr>
          <w:bCs/>
        </w:rPr>
        <w:t>repeats th</w:t>
      </w:r>
      <w:r w:rsidR="0029538F" w:rsidRPr="001005B7">
        <w:rPr>
          <w:bCs/>
        </w:rPr>
        <w:t xml:space="preserve">e </w:t>
      </w:r>
      <w:r w:rsidR="002369FF" w:rsidRPr="001005B7">
        <w:rPr>
          <w:bCs/>
        </w:rPr>
        <w:t>one</w:t>
      </w:r>
      <w:r w:rsidR="00163143" w:rsidRPr="001005B7">
        <w:rPr>
          <w:bCs/>
        </w:rPr>
        <w:t xml:space="preserve"> in 1:27 except </w:t>
      </w:r>
      <w:r w:rsidR="00FE4023" w:rsidRPr="001005B7">
        <w:rPr>
          <w:bCs/>
        </w:rPr>
        <w:t xml:space="preserve">that it puts </w:t>
      </w:r>
      <w:r w:rsidR="00163143" w:rsidRPr="001005B7">
        <w:rPr>
          <w:bCs/>
        </w:rPr>
        <w:t>things in a different order</w:t>
      </w:r>
      <w:r w:rsidR="00721FD7" w:rsidRPr="001005B7">
        <w:rPr>
          <w:bCs/>
        </w:rPr>
        <w:t xml:space="preserve">, and </w:t>
      </w:r>
      <w:r w:rsidR="00AF2AC6" w:rsidRPr="001005B7">
        <w:rPr>
          <w:rFonts w:cstheme="minorHAnsi"/>
          <w:bCs/>
        </w:rPr>
        <w:t>replac</w:t>
      </w:r>
      <w:r w:rsidR="00FE4023" w:rsidRPr="001005B7">
        <w:rPr>
          <w:rFonts w:cstheme="minorHAnsi"/>
          <w:bCs/>
        </w:rPr>
        <w:t>es</w:t>
      </w:r>
      <w:r w:rsidR="00AF2AC6" w:rsidRPr="001005B7">
        <w:rPr>
          <w:rFonts w:cstheme="minorHAnsi"/>
          <w:bCs/>
        </w:rPr>
        <w:t xml:space="preserve"> </w:t>
      </w:r>
      <w:r w:rsidR="004D62B5" w:rsidRPr="001005B7">
        <w:rPr>
          <w:rFonts w:cstheme="minorHAnsi"/>
          <w:bCs/>
        </w:rPr>
        <w:t>“</w:t>
      </w:r>
      <w:r w:rsidR="002F2C70" w:rsidRPr="001005B7">
        <w:rPr>
          <w:bCs/>
        </w:rPr>
        <w:t>brightness</w:t>
      </w:r>
      <w:r w:rsidR="004D62B5" w:rsidRPr="001005B7">
        <w:rPr>
          <w:bCs/>
        </w:rPr>
        <w:t>”</w:t>
      </w:r>
      <w:r w:rsidR="002F2C70" w:rsidRPr="001005B7">
        <w:rPr>
          <w:bCs/>
          <w:i/>
          <w:iCs/>
        </w:rPr>
        <w:t xml:space="preserve"> </w:t>
      </w:r>
      <w:r w:rsidR="002F2C70" w:rsidRPr="001005B7">
        <w:rPr>
          <w:bCs/>
        </w:rPr>
        <w:t>(</w:t>
      </w:r>
      <w:r w:rsidR="000B10AF" w:rsidRPr="001005B7">
        <w:rPr>
          <w:rFonts w:cstheme="minorHAnsi"/>
          <w:b/>
          <w:rtl/>
          <w:lang w:bidi="he-IL"/>
        </w:rPr>
        <w:t>נֹגַה</w:t>
      </w:r>
      <w:r w:rsidR="00C06A91" w:rsidRPr="001005B7">
        <w:rPr>
          <w:bCs/>
        </w:rPr>
        <w:t>)</w:t>
      </w:r>
      <w:r w:rsidR="00EC6E39" w:rsidRPr="001005B7">
        <w:rPr>
          <w:bCs/>
        </w:rPr>
        <w:t xml:space="preserve"> by </w:t>
      </w:r>
      <w:r w:rsidR="004D62B5" w:rsidRPr="001005B7">
        <w:rPr>
          <w:bCs/>
        </w:rPr>
        <w:t>“</w:t>
      </w:r>
      <w:r w:rsidR="00EC6E39" w:rsidRPr="001005B7">
        <w:rPr>
          <w:bCs/>
        </w:rPr>
        <w:t>radiance</w:t>
      </w:r>
      <w:r w:rsidR="004D62B5" w:rsidRPr="001005B7">
        <w:rPr>
          <w:bCs/>
        </w:rPr>
        <w:t>”</w:t>
      </w:r>
      <w:r w:rsidR="00EC6E39" w:rsidRPr="001005B7">
        <w:rPr>
          <w:bCs/>
          <w:i/>
          <w:iCs/>
        </w:rPr>
        <w:t xml:space="preserve"> </w:t>
      </w:r>
      <w:r w:rsidR="00EC6E39" w:rsidRPr="001005B7">
        <w:rPr>
          <w:bCs/>
        </w:rPr>
        <w:t>(</w:t>
      </w:r>
      <w:r w:rsidR="00FB5817" w:rsidRPr="001005B7">
        <w:rPr>
          <w:rFonts w:cstheme="minorHAnsi"/>
          <w:b/>
          <w:rtl/>
          <w:lang w:bidi="he-IL"/>
        </w:rPr>
        <w:t>זֹהַ</w:t>
      </w:r>
      <w:r w:rsidR="001E1EF9" w:rsidRPr="001005B7">
        <w:rPr>
          <w:rFonts w:cstheme="minorHAnsi"/>
          <w:b/>
          <w:rtl/>
          <w:lang w:bidi="he-IL"/>
        </w:rPr>
        <w:t>ר</w:t>
      </w:r>
      <w:r w:rsidR="00EC6E39" w:rsidRPr="001005B7">
        <w:rPr>
          <w:rFonts w:cstheme="minorHAnsi"/>
          <w:bCs/>
        </w:rPr>
        <w:t>).</w:t>
      </w:r>
    </w:p>
    <w:p w14:paraId="58E1805C" w14:textId="77777777" w:rsidR="00E04A01" w:rsidRDefault="007E0280" w:rsidP="00801AF0">
      <w:pPr>
        <w:rPr>
          <w:rFonts w:cstheme="minorHAnsi"/>
          <w:bCs/>
        </w:rPr>
      </w:pPr>
      <w:r w:rsidRPr="001005B7">
        <w:rPr>
          <w:rFonts w:cstheme="minorHAnsi"/>
          <w:b/>
        </w:rPr>
        <w:t>8:</w:t>
      </w:r>
      <w:r w:rsidR="001C4748" w:rsidRPr="001005B7">
        <w:rPr>
          <w:rFonts w:cstheme="minorHAnsi"/>
          <w:b/>
        </w:rPr>
        <w:t>3</w:t>
      </w:r>
      <w:r w:rsidR="00F46900" w:rsidRPr="001005B7">
        <w:rPr>
          <w:rFonts w:cstheme="minorHAnsi"/>
          <w:b/>
        </w:rPr>
        <w:t>–</w:t>
      </w:r>
      <w:r w:rsidR="001C4748" w:rsidRPr="001005B7">
        <w:rPr>
          <w:rFonts w:cstheme="minorHAnsi"/>
          <w:b/>
        </w:rPr>
        <w:t xml:space="preserve">4 </w:t>
      </w:r>
      <w:r w:rsidR="00F95A68" w:rsidRPr="001005B7">
        <w:rPr>
          <w:rFonts w:cstheme="minorHAnsi"/>
          <w:bCs/>
        </w:rPr>
        <w:t xml:space="preserve">Ezekiel’s account of Yahweh’s hand reaching out to him </w:t>
      </w:r>
      <w:r w:rsidR="00B752C8" w:rsidRPr="001005B7">
        <w:rPr>
          <w:rFonts w:cstheme="minorHAnsi"/>
          <w:bCs/>
        </w:rPr>
        <w:t xml:space="preserve">and taking him by the hair, </w:t>
      </w:r>
      <w:r w:rsidR="00653EFD" w:rsidRPr="001005B7">
        <w:rPr>
          <w:rFonts w:cstheme="minorHAnsi"/>
          <w:bCs/>
        </w:rPr>
        <w:t xml:space="preserve">and </w:t>
      </w:r>
      <w:r w:rsidR="00B752C8" w:rsidRPr="001005B7">
        <w:rPr>
          <w:rFonts w:cstheme="minorHAnsi"/>
          <w:bCs/>
        </w:rPr>
        <w:t xml:space="preserve">of </w:t>
      </w:r>
      <w:r w:rsidR="00CF4B9E" w:rsidRPr="001005B7">
        <w:rPr>
          <w:rFonts w:cstheme="minorHAnsi"/>
          <w:bCs/>
        </w:rPr>
        <w:t>a spirit/wind lifting him</w:t>
      </w:r>
      <w:r w:rsidR="000A24DC" w:rsidRPr="001005B7">
        <w:rPr>
          <w:rFonts w:cstheme="minorHAnsi"/>
          <w:bCs/>
        </w:rPr>
        <w:t xml:space="preserve"> into midair</w:t>
      </w:r>
      <w:r w:rsidR="00551826" w:rsidRPr="001005B7">
        <w:rPr>
          <w:rFonts w:cstheme="minorHAnsi"/>
          <w:bCs/>
        </w:rPr>
        <w:t>,</w:t>
      </w:r>
      <w:r w:rsidR="00CF4B9E" w:rsidRPr="001005B7">
        <w:rPr>
          <w:rFonts w:cstheme="minorHAnsi"/>
          <w:bCs/>
        </w:rPr>
        <w:t xml:space="preserve"> </w:t>
      </w:r>
      <w:r w:rsidR="00F95A68" w:rsidRPr="001005B7">
        <w:rPr>
          <w:rFonts w:cstheme="minorHAnsi"/>
          <w:bCs/>
        </w:rPr>
        <w:t xml:space="preserve">is </w:t>
      </w:r>
      <w:r w:rsidR="00BF3601" w:rsidRPr="001005B7">
        <w:rPr>
          <w:rFonts w:cstheme="minorHAnsi"/>
          <w:bCs/>
        </w:rPr>
        <w:t xml:space="preserve">also </w:t>
      </w:r>
      <w:r w:rsidR="00F95A68" w:rsidRPr="001005B7">
        <w:rPr>
          <w:rFonts w:cstheme="minorHAnsi"/>
          <w:bCs/>
        </w:rPr>
        <w:t>more concret</w:t>
      </w:r>
      <w:r w:rsidR="00E52941" w:rsidRPr="001005B7">
        <w:rPr>
          <w:rFonts w:cstheme="minorHAnsi"/>
          <w:bCs/>
        </w:rPr>
        <w:t>e</w:t>
      </w:r>
      <w:r w:rsidR="00F95A68" w:rsidRPr="001005B7">
        <w:rPr>
          <w:rFonts w:cstheme="minorHAnsi"/>
          <w:bCs/>
        </w:rPr>
        <w:t xml:space="preserve"> </w:t>
      </w:r>
      <w:r w:rsidR="00E52941" w:rsidRPr="001005B7">
        <w:rPr>
          <w:rFonts w:cstheme="minorHAnsi"/>
          <w:bCs/>
        </w:rPr>
        <w:t xml:space="preserve">and forceful </w:t>
      </w:r>
      <w:r w:rsidR="00F95A68" w:rsidRPr="001005B7">
        <w:rPr>
          <w:rFonts w:cstheme="minorHAnsi"/>
          <w:bCs/>
        </w:rPr>
        <w:t>than the one in 3:14, 22</w:t>
      </w:r>
      <w:r w:rsidR="00F46900" w:rsidRPr="001005B7">
        <w:rPr>
          <w:rFonts w:cstheme="minorHAnsi"/>
          <w:bCs/>
        </w:rPr>
        <w:t>–</w:t>
      </w:r>
      <w:r w:rsidR="00E52941" w:rsidRPr="001005B7">
        <w:rPr>
          <w:rFonts w:cstheme="minorHAnsi"/>
          <w:bCs/>
        </w:rPr>
        <w:t>24</w:t>
      </w:r>
      <w:r w:rsidR="00860232" w:rsidRPr="001005B7">
        <w:rPr>
          <w:rFonts w:cstheme="minorHAnsi"/>
          <w:bCs/>
        </w:rPr>
        <w:t xml:space="preserve">. </w:t>
      </w:r>
      <w:r w:rsidR="00A10ACD" w:rsidRPr="001005B7">
        <w:rPr>
          <w:rFonts w:cstheme="minorHAnsi"/>
          <w:bCs/>
        </w:rPr>
        <w:t>On the other hand,</w:t>
      </w:r>
      <w:r w:rsidR="00E8342A">
        <w:rPr>
          <w:rFonts w:cstheme="minorHAnsi"/>
          <w:bCs/>
        </w:rPr>
        <w:t xml:space="preserve"> there</w:t>
      </w:r>
      <w:r w:rsidR="00860232" w:rsidRPr="001005B7">
        <w:rPr>
          <w:rFonts w:cstheme="minorHAnsi"/>
          <w:bCs/>
        </w:rPr>
        <w:t xml:space="preserve"> </w:t>
      </w:r>
      <w:r w:rsidR="00F27687" w:rsidRPr="001005B7">
        <w:rPr>
          <w:rFonts w:cstheme="minorHAnsi"/>
          <w:bCs/>
        </w:rPr>
        <w:t xml:space="preserve">the spirit/wind carried him bodily about, as </w:t>
      </w:r>
      <w:r w:rsidR="00C92699" w:rsidRPr="001005B7">
        <w:rPr>
          <w:rFonts w:cstheme="minorHAnsi"/>
          <w:bCs/>
        </w:rPr>
        <w:t xml:space="preserve">Yahweh’s spirit </w:t>
      </w:r>
      <w:r w:rsidR="00F27687" w:rsidRPr="001005B7">
        <w:rPr>
          <w:rFonts w:cstheme="minorHAnsi"/>
          <w:bCs/>
        </w:rPr>
        <w:t>did</w:t>
      </w:r>
      <w:r w:rsidR="005A6B63" w:rsidRPr="001005B7">
        <w:rPr>
          <w:rFonts w:cstheme="minorHAnsi"/>
          <w:bCs/>
        </w:rPr>
        <w:t xml:space="preserve"> </w:t>
      </w:r>
      <w:r w:rsidR="00CF7E31" w:rsidRPr="001005B7">
        <w:rPr>
          <w:rFonts w:cstheme="minorHAnsi"/>
          <w:bCs/>
        </w:rPr>
        <w:t xml:space="preserve">Elijah </w:t>
      </w:r>
      <w:r w:rsidR="00E07FBC" w:rsidRPr="001005B7">
        <w:rPr>
          <w:rFonts w:cstheme="minorHAnsi"/>
          <w:bCs/>
        </w:rPr>
        <w:t>and Elisha</w:t>
      </w:r>
      <w:r w:rsidR="005A6B63" w:rsidRPr="001005B7">
        <w:rPr>
          <w:rFonts w:cstheme="minorHAnsi"/>
          <w:bCs/>
        </w:rPr>
        <w:t xml:space="preserve"> (</w:t>
      </w:r>
      <w:r w:rsidR="00296C0C" w:rsidRPr="001005B7">
        <w:t>1 Kgs</w:t>
      </w:r>
      <w:r w:rsidR="005A6B63" w:rsidRPr="001005B7">
        <w:rPr>
          <w:rFonts w:cstheme="minorHAnsi"/>
          <w:bCs/>
        </w:rPr>
        <w:t xml:space="preserve"> 18:12; 2</w:t>
      </w:r>
      <w:r w:rsidR="00B346E4" w:rsidRPr="001005B7">
        <w:rPr>
          <w:rFonts w:cstheme="minorHAnsi"/>
          <w:bCs/>
        </w:rPr>
        <w:t> </w:t>
      </w:r>
      <w:r w:rsidR="006558CA" w:rsidRPr="001005B7">
        <w:rPr>
          <w:rFonts w:cstheme="minorHAnsi"/>
          <w:bCs/>
        </w:rPr>
        <w:t>Kgs</w:t>
      </w:r>
      <w:r w:rsidR="005A6B63" w:rsidRPr="001005B7">
        <w:rPr>
          <w:rFonts w:cstheme="minorHAnsi"/>
          <w:bCs/>
        </w:rPr>
        <w:t xml:space="preserve"> 2:1</w:t>
      </w:r>
      <w:r w:rsidR="00F46900" w:rsidRPr="001005B7">
        <w:rPr>
          <w:rFonts w:cstheme="minorHAnsi"/>
          <w:bCs/>
        </w:rPr>
        <w:t>–</w:t>
      </w:r>
      <w:r w:rsidR="005A6B63" w:rsidRPr="001005B7">
        <w:rPr>
          <w:rFonts w:cstheme="minorHAnsi"/>
          <w:bCs/>
        </w:rPr>
        <w:t>1</w:t>
      </w:r>
      <w:r w:rsidR="00E07FBC" w:rsidRPr="001005B7">
        <w:rPr>
          <w:rFonts w:cstheme="minorHAnsi"/>
          <w:bCs/>
        </w:rPr>
        <w:t>8)</w:t>
      </w:r>
      <w:r w:rsidR="00413E61" w:rsidRPr="001005B7">
        <w:rPr>
          <w:rFonts w:cstheme="minorHAnsi"/>
          <w:bCs/>
        </w:rPr>
        <w:t>. H</w:t>
      </w:r>
      <w:r w:rsidR="00C701FF" w:rsidRPr="001005B7">
        <w:rPr>
          <w:rFonts w:cstheme="minorHAnsi"/>
          <w:bCs/>
        </w:rPr>
        <w:t>ere</w:t>
      </w:r>
      <w:r w:rsidR="00413E61" w:rsidRPr="001005B7">
        <w:rPr>
          <w:rFonts w:cstheme="minorHAnsi"/>
          <w:bCs/>
        </w:rPr>
        <w:t>,</w:t>
      </w:r>
      <w:r w:rsidR="00C701FF" w:rsidRPr="001005B7">
        <w:rPr>
          <w:rFonts w:cstheme="minorHAnsi"/>
          <w:bCs/>
        </w:rPr>
        <w:t xml:space="preserve"> Yahweh takes him on an imaginary journey </w:t>
      </w:r>
      <w:r w:rsidR="001D22FD" w:rsidRPr="001005B7">
        <w:rPr>
          <w:rFonts w:cstheme="minorHAnsi"/>
          <w:bCs/>
        </w:rPr>
        <w:t>“</w:t>
      </w:r>
      <w:r w:rsidR="00C701FF" w:rsidRPr="001005B7">
        <w:rPr>
          <w:rFonts w:cstheme="minorHAnsi"/>
          <w:bCs/>
        </w:rPr>
        <w:t>in</w:t>
      </w:r>
      <w:r w:rsidR="00C701FF" w:rsidRPr="001005B7">
        <w:rPr>
          <w:rFonts w:cstheme="minorHAnsi"/>
          <w:bCs/>
          <w:i/>
          <w:iCs/>
        </w:rPr>
        <w:t xml:space="preserve"> </w:t>
      </w:r>
      <w:r w:rsidR="001D22FD" w:rsidRPr="001005B7">
        <w:rPr>
          <w:rFonts w:cstheme="minorHAnsi"/>
          <w:bCs/>
        </w:rPr>
        <w:t xml:space="preserve">a </w:t>
      </w:r>
      <w:r w:rsidR="00C701FF" w:rsidRPr="001005B7">
        <w:rPr>
          <w:rFonts w:cstheme="minorHAnsi"/>
          <w:bCs/>
        </w:rPr>
        <w:t>divine</w:t>
      </w:r>
      <w:r w:rsidR="00C701FF" w:rsidRPr="001005B7">
        <w:rPr>
          <w:rFonts w:cstheme="minorHAnsi"/>
          <w:bCs/>
          <w:i/>
          <w:iCs/>
        </w:rPr>
        <w:t xml:space="preserve"> </w:t>
      </w:r>
      <w:r w:rsidR="00C701FF" w:rsidRPr="001005B7">
        <w:rPr>
          <w:rFonts w:cstheme="minorHAnsi"/>
          <w:bCs/>
        </w:rPr>
        <w:t>vision</w:t>
      </w:r>
      <w:r w:rsidR="001D22FD" w:rsidRPr="001005B7">
        <w:rPr>
          <w:rFonts w:cstheme="minorHAnsi"/>
          <w:bCs/>
        </w:rPr>
        <w:t>”</w:t>
      </w:r>
      <w:r w:rsidR="00C701FF" w:rsidRPr="001005B7">
        <w:rPr>
          <w:rFonts w:cstheme="minorHAnsi"/>
          <w:bCs/>
          <w:i/>
          <w:iCs/>
        </w:rPr>
        <w:t xml:space="preserve"> </w:t>
      </w:r>
      <w:r w:rsidR="00C701FF" w:rsidRPr="001005B7">
        <w:rPr>
          <w:rFonts w:cstheme="minorHAnsi"/>
          <w:bCs/>
        </w:rPr>
        <w:t>(cf. 1:1). Hi</w:t>
      </w:r>
      <w:r w:rsidR="00E34D91" w:rsidRPr="001005B7">
        <w:rPr>
          <w:rFonts w:cstheme="minorHAnsi"/>
          <w:bCs/>
        </w:rPr>
        <w:t xml:space="preserve">s experience </w:t>
      </w:r>
      <w:r w:rsidR="00C701FF" w:rsidRPr="001005B7">
        <w:rPr>
          <w:rFonts w:cstheme="minorHAnsi"/>
          <w:bCs/>
        </w:rPr>
        <w:t xml:space="preserve">does </w:t>
      </w:r>
      <w:r w:rsidR="00E34D91" w:rsidRPr="001005B7">
        <w:rPr>
          <w:rFonts w:cstheme="minorHAnsi"/>
          <w:bCs/>
        </w:rPr>
        <w:t xml:space="preserve">parallels </w:t>
      </w:r>
      <w:r w:rsidR="00633001" w:rsidRPr="001005B7">
        <w:rPr>
          <w:rFonts w:cstheme="minorHAnsi"/>
          <w:bCs/>
        </w:rPr>
        <w:t xml:space="preserve">Elisha’s </w:t>
      </w:r>
      <w:r w:rsidR="00C701FF" w:rsidRPr="001005B7">
        <w:rPr>
          <w:rFonts w:cstheme="minorHAnsi"/>
          <w:bCs/>
        </w:rPr>
        <w:t>on another occasion</w:t>
      </w:r>
      <w:r w:rsidR="00E07FBC" w:rsidRPr="001005B7">
        <w:rPr>
          <w:rFonts w:cstheme="minorHAnsi"/>
          <w:bCs/>
        </w:rPr>
        <w:t xml:space="preserve"> </w:t>
      </w:r>
      <w:r w:rsidR="00633001" w:rsidRPr="001005B7">
        <w:rPr>
          <w:rFonts w:cstheme="minorHAnsi"/>
          <w:bCs/>
        </w:rPr>
        <w:t>(2</w:t>
      </w:r>
      <w:r w:rsidR="005048BB" w:rsidRPr="001005B7">
        <w:rPr>
          <w:rFonts w:cstheme="minorHAnsi"/>
          <w:bCs/>
        </w:rPr>
        <w:t> </w:t>
      </w:r>
      <w:r w:rsidR="006558CA" w:rsidRPr="001005B7">
        <w:rPr>
          <w:rFonts w:cstheme="minorHAnsi"/>
          <w:bCs/>
        </w:rPr>
        <w:t>Kgs</w:t>
      </w:r>
      <w:r w:rsidR="00633001" w:rsidRPr="001005B7">
        <w:rPr>
          <w:rFonts w:cstheme="minorHAnsi"/>
          <w:bCs/>
        </w:rPr>
        <w:t xml:space="preserve"> 5:26)</w:t>
      </w:r>
      <w:r w:rsidR="00DA73C8" w:rsidRPr="001005B7">
        <w:rPr>
          <w:rFonts w:cstheme="minorHAnsi"/>
          <w:bCs/>
        </w:rPr>
        <w:t xml:space="preserve"> </w:t>
      </w:r>
      <w:r w:rsidR="00E07FBC" w:rsidRPr="001005B7">
        <w:rPr>
          <w:rFonts w:cstheme="minorHAnsi"/>
          <w:bCs/>
        </w:rPr>
        <w:t>and anticipates Paul’s (</w:t>
      </w:r>
      <w:r w:rsidR="009628F1" w:rsidRPr="001005B7">
        <w:rPr>
          <w:rFonts w:cstheme="minorHAnsi"/>
          <w:bCs/>
        </w:rPr>
        <w:t>1</w:t>
      </w:r>
      <w:r w:rsidR="00BC088B" w:rsidRPr="001005B7">
        <w:rPr>
          <w:rFonts w:cstheme="minorHAnsi"/>
          <w:bCs/>
        </w:rPr>
        <w:t> Cor</w:t>
      </w:r>
      <w:r w:rsidR="009628F1" w:rsidRPr="001005B7">
        <w:rPr>
          <w:rFonts w:cstheme="minorHAnsi"/>
          <w:bCs/>
        </w:rPr>
        <w:t xml:space="preserve"> 5:3; </w:t>
      </w:r>
      <w:r w:rsidR="00E07FBC" w:rsidRPr="001005B7">
        <w:rPr>
          <w:rFonts w:cstheme="minorHAnsi"/>
          <w:bCs/>
        </w:rPr>
        <w:t>2</w:t>
      </w:r>
      <w:r w:rsidR="00BC088B" w:rsidRPr="001005B7">
        <w:rPr>
          <w:rFonts w:cstheme="minorHAnsi"/>
          <w:bCs/>
        </w:rPr>
        <w:t> Cor</w:t>
      </w:r>
      <w:r w:rsidR="00D509DB" w:rsidRPr="001005B7">
        <w:rPr>
          <w:rFonts w:cstheme="minorHAnsi"/>
          <w:bCs/>
        </w:rPr>
        <w:t xml:space="preserve"> 12:1</w:t>
      </w:r>
      <w:r w:rsidR="00F46900" w:rsidRPr="001005B7">
        <w:rPr>
          <w:rFonts w:cstheme="minorHAnsi"/>
          <w:bCs/>
        </w:rPr>
        <w:t>–</w:t>
      </w:r>
      <w:r w:rsidR="00D509DB" w:rsidRPr="001005B7">
        <w:rPr>
          <w:rFonts w:cstheme="minorHAnsi"/>
          <w:bCs/>
        </w:rPr>
        <w:t>4).</w:t>
      </w:r>
      <w:r w:rsidR="00E731C8" w:rsidRPr="001005B7">
        <w:rPr>
          <w:rFonts w:cstheme="minorHAnsi"/>
          <w:bCs/>
        </w:rPr>
        <w:t xml:space="preserve"> </w:t>
      </w:r>
      <w:r w:rsidR="003B7880" w:rsidRPr="001005B7">
        <w:rPr>
          <w:rFonts w:cstheme="minorHAnsi"/>
          <w:bCs/>
        </w:rPr>
        <w:t>Ezekiel w</w:t>
      </w:r>
      <w:r w:rsidR="00E731C8" w:rsidRPr="001005B7">
        <w:rPr>
          <w:rFonts w:cstheme="minorHAnsi"/>
          <w:bCs/>
        </w:rPr>
        <w:t>ould</w:t>
      </w:r>
      <w:r w:rsidR="003B7880" w:rsidRPr="001005B7">
        <w:rPr>
          <w:rFonts w:cstheme="minorHAnsi"/>
          <w:bCs/>
        </w:rPr>
        <w:t xml:space="preserve"> be familiar with the temple, </w:t>
      </w:r>
      <w:r w:rsidR="001D60DF" w:rsidRPr="001005B7">
        <w:rPr>
          <w:rFonts w:cstheme="minorHAnsi"/>
          <w:bCs/>
        </w:rPr>
        <w:t>and this familiarity will provide background to</w:t>
      </w:r>
      <w:r w:rsidR="004A1D19" w:rsidRPr="001005B7">
        <w:rPr>
          <w:rFonts w:cstheme="minorHAnsi"/>
          <w:bCs/>
        </w:rPr>
        <w:t xml:space="preserve"> his vision </w:t>
      </w:r>
      <w:r w:rsidR="005F0064" w:rsidRPr="001005B7">
        <w:rPr>
          <w:rFonts w:cstheme="minorHAnsi"/>
          <w:bCs/>
        </w:rPr>
        <w:t xml:space="preserve">and to its broad intelligibility, but </w:t>
      </w:r>
      <w:r w:rsidR="00100DD7" w:rsidRPr="001005B7">
        <w:rPr>
          <w:rFonts w:cstheme="minorHAnsi"/>
          <w:bCs/>
        </w:rPr>
        <w:t>hi</w:t>
      </w:r>
      <w:r w:rsidR="00A617FF" w:rsidRPr="001005B7">
        <w:rPr>
          <w:rFonts w:cstheme="minorHAnsi"/>
          <w:bCs/>
        </w:rPr>
        <w:t>s</w:t>
      </w:r>
      <w:r w:rsidR="00DE0420" w:rsidRPr="001005B7">
        <w:rPr>
          <w:rFonts w:cstheme="minorHAnsi"/>
          <w:bCs/>
        </w:rPr>
        <w:t xml:space="preserve"> </w:t>
      </w:r>
      <w:r w:rsidR="00A617FF" w:rsidRPr="001005B7">
        <w:rPr>
          <w:rFonts w:cstheme="minorHAnsi"/>
          <w:bCs/>
        </w:rPr>
        <w:t xml:space="preserve">other </w:t>
      </w:r>
      <w:r w:rsidR="00DE0420" w:rsidRPr="001005B7">
        <w:rPr>
          <w:rFonts w:cstheme="minorHAnsi"/>
          <w:bCs/>
        </w:rPr>
        <w:t xml:space="preserve">visions go beyond </w:t>
      </w:r>
      <w:r w:rsidR="006209DB" w:rsidRPr="001005B7">
        <w:rPr>
          <w:rFonts w:cstheme="minorHAnsi"/>
          <w:bCs/>
        </w:rPr>
        <w:t xml:space="preserve">present realities such as anyone could </w:t>
      </w:r>
      <w:r w:rsidR="00100DD7" w:rsidRPr="001005B7">
        <w:rPr>
          <w:rFonts w:cstheme="minorHAnsi"/>
          <w:bCs/>
        </w:rPr>
        <w:t xml:space="preserve">actually see, </w:t>
      </w:r>
      <w:r w:rsidR="0032332A" w:rsidRPr="001005B7">
        <w:rPr>
          <w:rFonts w:cstheme="minorHAnsi"/>
          <w:bCs/>
        </w:rPr>
        <w:t xml:space="preserve">so there’s no presupposition that what he sees here </w:t>
      </w:r>
      <w:r w:rsidR="00E2016E" w:rsidRPr="001005B7">
        <w:rPr>
          <w:rFonts w:cstheme="minorHAnsi"/>
          <w:bCs/>
        </w:rPr>
        <w:t xml:space="preserve">was </w:t>
      </w:r>
      <w:r w:rsidR="00A617FF" w:rsidRPr="001005B7">
        <w:rPr>
          <w:rFonts w:cstheme="minorHAnsi"/>
          <w:bCs/>
        </w:rPr>
        <w:t>literal</w:t>
      </w:r>
      <w:r w:rsidR="000340B0" w:rsidRPr="001005B7">
        <w:rPr>
          <w:rFonts w:cstheme="minorHAnsi"/>
          <w:bCs/>
        </w:rPr>
        <w:t>ly</w:t>
      </w:r>
      <w:r w:rsidR="00AB3A9D" w:rsidRPr="001005B7">
        <w:rPr>
          <w:rFonts w:cstheme="minorHAnsi"/>
          <w:bCs/>
        </w:rPr>
        <w:t xml:space="preserve"> happening</w:t>
      </w:r>
      <w:r w:rsidR="00F31A79">
        <w:rPr>
          <w:rFonts w:cstheme="minorHAnsi"/>
          <w:bCs/>
        </w:rPr>
        <w:t>.</w:t>
      </w:r>
      <w:r w:rsidR="00AB3A9D" w:rsidRPr="001005B7">
        <w:rPr>
          <w:rFonts w:cstheme="minorHAnsi"/>
          <w:bCs/>
        </w:rPr>
        <w:t xml:space="preserve"> </w:t>
      </w:r>
      <w:r w:rsidR="00F31A79">
        <w:rPr>
          <w:rFonts w:cstheme="minorHAnsi"/>
          <w:bCs/>
        </w:rPr>
        <w:t>R</w:t>
      </w:r>
      <w:r w:rsidR="00B0737E" w:rsidRPr="001005B7">
        <w:rPr>
          <w:rFonts w:cstheme="minorHAnsi"/>
          <w:bCs/>
        </w:rPr>
        <w:t>ather</w:t>
      </w:r>
      <w:r w:rsidR="00F31A79">
        <w:rPr>
          <w:rFonts w:cstheme="minorHAnsi"/>
          <w:bCs/>
        </w:rPr>
        <w:t xml:space="preserve">, </w:t>
      </w:r>
      <w:r w:rsidR="005A222C" w:rsidRPr="001005B7">
        <w:rPr>
          <w:rFonts w:cstheme="minorHAnsi"/>
          <w:bCs/>
        </w:rPr>
        <w:t xml:space="preserve">Yahweh </w:t>
      </w:r>
      <w:r w:rsidR="008225BD" w:rsidRPr="001005B7">
        <w:rPr>
          <w:rFonts w:cstheme="minorHAnsi"/>
          <w:bCs/>
        </w:rPr>
        <w:t xml:space="preserve">was </w:t>
      </w:r>
      <w:r w:rsidR="005A222C" w:rsidRPr="001005B7">
        <w:rPr>
          <w:rFonts w:cstheme="minorHAnsi"/>
          <w:bCs/>
        </w:rPr>
        <w:t>bring</w:t>
      </w:r>
      <w:r w:rsidR="00B0737E" w:rsidRPr="001005B7">
        <w:rPr>
          <w:rFonts w:cstheme="minorHAnsi"/>
          <w:bCs/>
        </w:rPr>
        <w:t>ing</w:t>
      </w:r>
      <w:r w:rsidR="005A222C" w:rsidRPr="001005B7">
        <w:rPr>
          <w:rFonts w:cstheme="minorHAnsi"/>
          <w:bCs/>
        </w:rPr>
        <w:t xml:space="preserve"> home the </w:t>
      </w:r>
      <w:r w:rsidR="000C3471" w:rsidRPr="001005B7">
        <w:rPr>
          <w:rFonts w:cstheme="minorHAnsi"/>
          <w:bCs/>
        </w:rPr>
        <w:t>implications</w:t>
      </w:r>
      <w:r w:rsidR="005A222C" w:rsidRPr="001005B7">
        <w:rPr>
          <w:rFonts w:cstheme="minorHAnsi"/>
          <w:bCs/>
        </w:rPr>
        <w:t xml:space="preserve"> of what </w:t>
      </w:r>
      <w:r w:rsidR="008225BD" w:rsidRPr="001005B7">
        <w:rPr>
          <w:rFonts w:cstheme="minorHAnsi"/>
          <w:bCs/>
        </w:rPr>
        <w:t>wa</w:t>
      </w:r>
      <w:r w:rsidR="005A222C" w:rsidRPr="001005B7">
        <w:rPr>
          <w:rFonts w:cstheme="minorHAnsi"/>
          <w:bCs/>
        </w:rPr>
        <w:t xml:space="preserve">s happening there so that </w:t>
      </w:r>
      <w:r w:rsidR="000C3471" w:rsidRPr="001005B7">
        <w:rPr>
          <w:rFonts w:cstheme="minorHAnsi"/>
          <w:bCs/>
        </w:rPr>
        <w:t>Ezekiel</w:t>
      </w:r>
      <w:r w:rsidR="005A222C" w:rsidRPr="001005B7">
        <w:rPr>
          <w:rFonts w:cstheme="minorHAnsi"/>
          <w:bCs/>
        </w:rPr>
        <w:t xml:space="preserve"> c</w:t>
      </w:r>
      <w:r w:rsidR="008225BD" w:rsidRPr="001005B7">
        <w:rPr>
          <w:rFonts w:cstheme="minorHAnsi"/>
          <w:bCs/>
        </w:rPr>
        <w:t>ould</w:t>
      </w:r>
      <w:r w:rsidR="005A222C" w:rsidRPr="001005B7">
        <w:rPr>
          <w:rFonts w:cstheme="minorHAnsi"/>
          <w:bCs/>
        </w:rPr>
        <w:t xml:space="preserve"> describe it to people in </w:t>
      </w:r>
      <w:proofErr w:type="spellStart"/>
      <w:r w:rsidR="005A222C" w:rsidRPr="001005B7">
        <w:rPr>
          <w:rFonts w:cstheme="minorHAnsi"/>
          <w:bCs/>
        </w:rPr>
        <w:t>Kebar</w:t>
      </w:r>
      <w:proofErr w:type="spellEnd"/>
      <w:r w:rsidR="005A222C" w:rsidRPr="001005B7">
        <w:rPr>
          <w:rFonts w:cstheme="minorHAnsi"/>
          <w:bCs/>
        </w:rPr>
        <w:t xml:space="preserve">. </w:t>
      </w:r>
    </w:p>
    <w:p w14:paraId="71EA2F84" w14:textId="6821F7A7" w:rsidR="004A7DB3" w:rsidRPr="001005B7" w:rsidRDefault="00774007" w:rsidP="00801AF0">
      <w:r w:rsidRPr="001005B7">
        <w:rPr>
          <w:rFonts w:cstheme="minorHAnsi"/>
          <w:bCs/>
        </w:rPr>
        <w:t xml:space="preserve">His </w:t>
      </w:r>
      <w:r w:rsidR="00ED5BE9" w:rsidRPr="001005B7">
        <w:rPr>
          <w:rFonts w:cstheme="minorHAnsi"/>
          <w:bCs/>
        </w:rPr>
        <w:t xml:space="preserve">initial </w:t>
      </w:r>
      <w:r w:rsidR="006A47AC" w:rsidRPr="001005B7">
        <w:rPr>
          <w:rFonts w:cstheme="minorHAnsi"/>
          <w:bCs/>
        </w:rPr>
        <w:t>allusion to</w:t>
      </w:r>
      <w:r w:rsidR="004F2ADF" w:rsidRPr="001005B7">
        <w:rPr>
          <w:rFonts w:cstheme="minorHAnsi"/>
          <w:bCs/>
        </w:rPr>
        <w:t xml:space="preserve"> </w:t>
      </w:r>
      <w:r w:rsidR="006C40FC" w:rsidRPr="001005B7">
        <w:rPr>
          <w:rFonts w:cstheme="minorHAnsi"/>
          <w:bCs/>
        </w:rPr>
        <w:t>“</w:t>
      </w:r>
      <w:r w:rsidR="004F2ADF" w:rsidRPr="001005B7">
        <w:rPr>
          <w:rFonts w:cstheme="minorHAnsi"/>
          <w:bCs/>
        </w:rPr>
        <w:t>the</w:t>
      </w:r>
      <w:r w:rsidR="004F2ADF" w:rsidRPr="001005B7">
        <w:rPr>
          <w:rFonts w:cstheme="minorHAnsi"/>
          <w:bCs/>
          <w:i/>
          <w:iCs/>
        </w:rPr>
        <w:t xml:space="preserve"> </w:t>
      </w:r>
      <w:r w:rsidR="004F2ADF" w:rsidRPr="001005B7">
        <w:rPr>
          <w:rFonts w:cstheme="minorHAnsi"/>
          <w:bCs/>
        </w:rPr>
        <w:t>statue</w:t>
      </w:r>
      <w:r w:rsidR="006C40FC" w:rsidRPr="001005B7">
        <w:rPr>
          <w:rFonts w:cstheme="minorHAnsi"/>
          <w:bCs/>
        </w:rPr>
        <w:t>”</w:t>
      </w:r>
      <w:r w:rsidR="004F2ADF" w:rsidRPr="001005B7">
        <w:rPr>
          <w:rFonts w:cstheme="minorHAnsi"/>
          <w:bCs/>
          <w:i/>
          <w:iCs/>
        </w:rPr>
        <w:t xml:space="preserve"> </w:t>
      </w:r>
      <w:r w:rsidR="004F2ADF" w:rsidRPr="001005B7">
        <w:rPr>
          <w:rFonts w:cstheme="minorHAnsi"/>
          <w:bCs/>
        </w:rPr>
        <w:t xml:space="preserve">at </w:t>
      </w:r>
      <w:r w:rsidR="006C40FC" w:rsidRPr="001005B7">
        <w:rPr>
          <w:rFonts w:cstheme="minorHAnsi"/>
          <w:bCs/>
        </w:rPr>
        <w:t>“</w:t>
      </w:r>
      <w:r w:rsidR="004F2ADF" w:rsidRPr="001005B7">
        <w:rPr>
          <w:rFonts w:cstheme="minorHAnsi"/>
          <w:bCs/>
        </w:rPr>
        <w:t>the</w:t>
      </w:r>
      <w:r w:rsidR="004F2ADF" w:rsidRPr="001005B7">
        <w:rPr>
          <w:rFonts w:cstheme="minorHAnsi"/>
          <w:bCs/>
          <w:i/>
          <w:iCs/>
        </w:rPr>
        <w:t xml:space="preserve"> </w:t>
      </w:r>
      <w:r w:rsidR="004F2ADF" w:rsidRPr="001005B7">
        <w:rPr>
          <w:rFonts w:cstheme="minorHAnsi"/>
          <w:bCs/>
        </w:rPr>
        <w:t>inner</w:t>
      </w:r>
      <w:r w:rsidR="004F2ADF" w:rsidRPr="001005B7">
        <w:rPr>
          <w:rFonts w:cstheme="minorHAnsi"/>
          <w:bCs/>
          <w:i/>
          <w:iCs/>
        </w:rPr>
        <w:t xml:space="preserve"> </w:t>
      </w:r>
      <w:r w:rsidR="004F2ADF" w:rsidRPr="001005B7">
        <w:rPr>
          <w:rFonts w:cstheme="minorHAnsi"/>
          <w:bCs/>
        </w:rPr>
        <w:t>gatew</w:t>
      </w:r>
      <w:r w:rsidR="008C0A66" w:rsidRPr="001005B7">
        <w:rPr>
          <w:rFonts w:cstheme="minorHAnsi"/>
          <w:bCs/>
        </w:rPr>
        <w:t>a</w:t>
      </w:r>
      <w:r w:rsidR="004F2ADF" w:rsidRPr="001005B7">
        <w:rPr>
          <w:rFonts w:cstheme="minorHAnsi"/>
          <w:bCs/>
        </w:rPr>
        <w:t>y</w:t>
      </w:r>
      <w:r w:rsidR="006C40FC" w:rsidRPr="001005B7">
        <w:rPr>
          <w:rFonts w:cstheme="minorHAnsi"/>
          <w:bCs/>
        </w:rPr>
        <w:t>”</w:t>
      </w:r>
      <w:r w:rsidR="004F2ADF" w:rsidRPr="001005B7">
        <w:rPr>
          <w:rFonts w:cstheme="minorHAnsi"/>
          <w:bCs/>
          <w:i/>
          <w:iCs/>
        </w:rPr>
        <w:t xml:space="preserve"> </w:t>
      </w:r>
      <w:r w:rsidR="008C0A66" w:rsidRPr="001005B7">
        <w:rPr>
          <w:rFonts w:cstheme="minorHAnsi"/>
          <w:bCs/>
        </w:rPr>
        <w:t>introduces t</w:t>
      </w:r>
      <w:r w:rsidR="00F73120" w:rsidRPr="001005B7">
        <w:rPr>
          <w:rFonts w:cstheme="minorHAnsi"/>
          <w:bCs/>
        </w:rPr>
        <w:t xml:space="preserve">his </w:t>
      </w:r>
      <w:r w:rsidR="00A82041" w:rsidRPr="001005B7">
        <w:rPr>
          <w:rFonts w:cstheme="minorHAnsi"/>
          <w:bCs/>
        </w:rPr>
        <w:t xml:space="preserve">first </w:t>
      </w:r>
      <w:r w:rsidR="00F73120" w:rsidRPr="001005B7">
        <w:rPr>
          <w:rFonts w:cstheme="minorHAnsi"/>
          <w:bCs/>
        </w:rPr>
        <w:t>outrage</w:t>
      </w:r>
      <w:r w:rsidR="005B46BF" w:rsidRPr="001005B7">
        <w:rPr>
          <w:rFonts w:cstheme="minorHAnsi"/>
          <w:bCs/>
        </w:rPr>
        <w:t>. H</w:t>
      </w:r>
      <w:r w:rsidR="00F73120" w:rsidRPr="001005B7">
        <w:rPr>
          <w:rFonts w:cstheme="minorHAnsi"/>
          <w:bCs/>
        </w:rPr>
        <w:t>e will s</w:t>
      </w:r>
      <w:r w:rsidR="00ED5BE9" w:rsidRPr="001005B7">
        <w:rPr>
          <w:rFonts w:cstheme="minorHAnsi"/>
          <w:bCs/>
        </w:rPr>
        <w:t>h</w:t>
      </w:r>
      <w:r w:rsidR="00F73120" w:rsidRPr="001005B7">
        <w:rPr>
          <w:rFonts w:cstheme="minorHAnsi"/>
          <w:bCs/>
        </w:rPr>
        <w:t>ortly</w:t>
      </w:r>
      <w:r w:rsidR="008C0A66" w:rsidRPr="001005B7">
        <w:rPr>
          <w:rFonts w:cstheme="minorHAnsi"/>
          <w:bCs/>
        </w:rPr>
        <w:t xml:space="preserve"> </w:t>
      </w:r>
      <w:r w:rsidR="00ED5BE9" w:rsidRPr="001005B7">
        <w:rPr>
          <w:rFonts w:cstheme="minorHAnsi"/>
          <w:bCs/>
        </w:rPr>
        <w:t xml:space="preserve">describe </w:t>
      </w:r>
      <w:r w:rsidR="00FE718C" w:rsidRPr="001005B7">
        <w:rPr>
          <w:rFonts w:cstheme="minorHAnsi"/>
          <w:bCs/>
        </w:rPr>
        <w:t>how Yahweh draws attention to it and comments on it.</w:t>
      </w:r>
      <w:r w:rsidR="008A6FF8" w:rsidRPr="001005B7">
        <w:rPr>
          <w:rFonts w:cstheme="minorHAnsi"/>
          <w:bCs/>
        </w:rPr>
        <w:t xml:space="preserve"> </w:t>
      </w:r>
      <w:r w:rsidR="004800DB" w:rsidRPr="001005B7">
        <w:rPr>
          <w:rFonts w:cstheme="minorHAnsi"/>
          <w:bCs/>
        </w:rPr>
        <w:t>“</w:t>
      </w:r>
      <w:r w:rsidR="009231D7" w:rsidRPr="001005B7">
        <w:rPr>
          <w:rFonts w:cstheme="minorHAnsi"/>
          <w:bCs/>
        </w:rPr>
        <w:t>T</w:t>
      </w:r>
      <w:r w:rsidR="00CD20E6" w:rsidRPr="001005B7">
        <w:rPr>
          <w:rFonts w:cstheme="minorHAnsi"/>
          <w:bCs/>
        </w:rPr>
        <w:t>he</w:t>
      </w:r>
      <w:r w:rsidR="00CD20E6" w:rsidRPr="001005B7">
        <w:rPr>
          <w:rFonts w:cstheme="minorHAnsi"/>
          <w:bCs/>
          <w:i/>
          <w:iCs/>
        </w:rPr>
        <w:t xml:space="preserve"> </w:t>
      </w:r>
      <w:r w:rsidR="00CD20E6" w:rsidRPr="001005B7">
        <w:rPr>
          <w:rFonts w:cstheme="minorHAnsi"/>
          <w:bCs/>
        </w:rPr>
        <w:t>in</w:t>
      </w:r>
      <w:r w:rsidR="0037550A" w:rsidRPr="001005B7">
        <w:rPr>
          <w:rFonts w:cstheme="minorHAnsi"/>
          <w:bCs/>
        </w:rPr>
        <w:t>ner</w:t>
      </w:r>
      <w:r w:rsidR="00CD20E6" w:rsidRPr="001005B7">
        <w:rPr>
          <w:rFonts w:cstheme="minorHAnsi"/>
          <w:bCs/>
          <w:i/>
          <w:iCs/>
        </w:rPr>
        <w:t xml:space="preserve"> </w:t>
      </w:r>
      <w:r w:rsidR="00CD20E6" w:rsidRPr="001005B7">
        <w:rPr>
          <w:rFonts w:cstheme="minorHAnsi"/>
          <w:bCs/>
        </w:rPr>
        <w:t>gateway</w:t>
      </w:r>
      <w:r w:rsidR="00CD20E6" w:rsidRPr="001005B7">
        <w:rPr>
          <w:rFonts w:cstheme="minorHAnsi"/>
          <w:bCs/>
          <w:i/>
          <w:iCs/>
        </w:rPr>
        <w:t xml:space="preserve"> </w:t>
      </w:r>
      <w:r w:rsidR="00CD20E6" w:rsidRPr="001005B7">
        <w:rPr>
          <w:rFonts w:cstheme="minorHAnsi"/>
          <w:bCs/>
        </w:rPr>
        <w:t>that</w:t>
      </w:r>
      <w:r w:rsidR="00CD20E6" w:rsidRPr="001005B7">
        <w:rPr>
          <w:rFonts w:cstheme="minorHAnsi"/>
          <w:bCs/>
          <w:i/>
          <w:iCs/>
        </w:rPr>
        <w:t xml:space="preserve"> </w:t>
      </w:r>
      <w:r w:rsidR="00CD20E6" w:rsidRPr="001005B7">
        <w:rPr>
          <w:rFonts w:cstheme="minorHAnsi"/>
          <w:bCs/>
        </w:rPr>
        <w:t>faces</w:t>
      </w:r>
      <w:r w:rsidR="00CD20E6" w:rsidRPr="001005B7">
        <w:rPr>
          <w:rFonts w:cstheme="minorHAnsi"/>
          <w:bCs/>
          <w:i/>
          <w:iCs/>
        </w:rPr>
        <w:t xml:space="preserve"> </w:t>
      </w:r>
      <w:r w:rsidR="00CD20E6" w:rsidRPr="001005B7">
        <w:rPr>
          <w:rFonts w:cstheme="minorHAnsi"/>
          <w:bCs/>
        </w:rPr>
        <w:t>northward</w:t>
      </w:r>
      <w:r w:rsidR="004800DB" w:rsidRPr="001005B7">
        <w:rPr>
          <w:rFonts w:cstheme="minorHAnsi"/>
          <w:bCs/>
        </w:rPr>
        <w:t>”</w:t>
      </w:r>
      <w:r w:rsidR="00CD20E6" w:rsidRPr="001005B7">
        <w:rPr>
          <w:rFonts w:cstheme="minorHAnsi"/>
          <w:bCs/>
        </w:rPr>
        <w:t xml:space="preserve"> </w:t>
      </w:r>
      <w:r w:rsidR="003F433F" w:rsidRPr="001005B7">
        <w:rPr>
          <w:rFonts w:cstheme="minorHAnsi"/>
          <w:bCs/>
        </w:rPr>
        <w:t>was a gateway</w:t>
      </w:r>
      <w:r w:rsidR="001B38A5" w:rsidRPr="001005B7">
        <w:rPr>
          <w:rFonts w:cstheme="minorHAnsi"/>
          <w:bCs/>
        </w:rPr>
        <w:t xml:space="preserve"> </w:t>
      </w:r>
      <w:r w:rsidR="00267CEE" w:rsidRPr="001005B7">
        <w:rPr>
          <w:rFonts w:cstheme="minorHAnsi"/>
          <w:bCs/>
        </w:rPr>
        <w:t>lead</w:t>
      </w:r>
      <w:r w:rsidR="009231D7" w:rsidRPr="001005B7">
        <w:rPr>
          <w:rFonts w:cstheme="minorHAnsi"/>
          <w:bCs/>
        </w:rPr>
        <w:t>ing into</w:t>
      </w:r>
      <w:r w:rsidR="003F433F" w:rsidRPr="001005B7">
        <w:rPr>
          <w:rFonts w:cstheme="minorHAnsi"/>
          <w:bCs/>
        </w:rPr>
        <w:t xml:space="preserve"> the city</w:t>
      </w:r>
      <w:r w:rsidR="00E704DD" w:rsidRPr="001005B7">
        <w:rPr>
          <w:rFonts w:cstheme="minorHAnsi"/>
          <w:bCs/>
        </w:rPr>
        <w:t xml:space="preserve"> </w:t>
      </w:r>
      <w:r w:rsidR="001645E8" w:rsidRPr="001005B7">
        <w:rPr>
          <w:rFonts w:cstheme="minorHAnsi"/>
          <w:bCs/>
        </w:rPr>
        <w:t>a</w:t>
      </w:r>
      <w:r w:rsidR="00E704DD" w:rsidRPr="001005B7">
        <w:rPr>
          <w:rFonts w:cstheme="minorHAnsi"/>
          <w:bCs/>
        </w:rPr>
        <w:t>nd thus into the temple</w:t>
      </w:r>
      <w:r w:rsidR="003A031E" w:rsidRPr="001005B7">
        <w:rPr>
          <w:rFonts w:cstheme="minorHAnsi"/>
          <w:bCs/>
        </w:rPr>
        <w:t>.</w:t>
      </w:r>
      <w:r w:rsidR="001645E8" w:rsidRPr="001005B7">
        <w:rPr>
          <w:rFonts w:cstheme="minorHAnsi"/>
          <w:bCs/>
        </w:rPr>
        <w:t xml:space="preserve"> Solomon’s temple was at the northern extent of the city</w:t>
      </w:r>
      <w:r w:rsidR="00E704DD" w:rsidRPr="001005B7">
        <w:rPr>
          <w:rFonts w:cstheme="minorHAnsi"/>
          <w:bCs/>
        </w:rPr>
        <w:t>,</w:t>
      </w:r>
      <w:r w:rsidR="001B38A5" w:rsidRPr="001005B7">
        <w:rPr>
          <w:rFonts w:cstheme="minorHAnsi"/>
          <w:bCs/>
        </w:rPr>
        <w:t xml:space="preserve"> </w:t>
      </w:r>
      <w:r w:rsidR="00394E66" w:rsidRPr="001005B7">
        <w:rPr>
          <w:rFonts w:cstheme="minorHAnsi"/>
          <w:bCs/>
        </w:rPr>
        <w:t xml:space="preserve">the direction from which </w:t>
      </w:r>
      <w:r w:rsidR="007E4C15" w:rsidRPr="001005B7">
        <w:rPr>
          <w:rFonts w:cstheme="minorHAnsi"/>
          <w:bCs/>
        </w:rPr>
        <w:t>someone</w:t>
      </w:r>
      <w:r w:rsidR="00394E66" w:rsidRPr="001005B7">
        <w:rPr>
          <w:rFonts w:cstheme="minorHAnsi"/>
          <w:bCs/>
        </w:rPr>
        <w:t xml:space="preserve"> would </w:t>
      </w:r>
      <w:r w:rsidR="007E4C15" w:rsidRPr="001005B7">
        <w:rPr>
          <w:rFonts w:cstheme="minorHAnsi"/>
          <w:bCs/>
        </w:rPr>
        <w:t xml:space="preserve">usually </w:t>
      </w:r>
      <w:r w:rsidR="00394E66" w:rsidRPr="001005B7">
        <w:rPr>
          <w:rFonts w:cstheme="minorHAnsi"/>
          <w:bCs/>
        </w:rPr>
        <w:t>arrive</w:t>
      </w:r>
      <w:r w:rsidR="007E4C15" w:rsidRPr="001005B7">
        <w:rPr>
          <w:rFonts w:cstheme="minorHAnsi"/>
          <w:bCs/>
        </w:rPr>
        <w:t xml:space="preserve"> from Babylon</w:t>
      </w:r>
      <w:r w:rsidR="00080BAB" w:rsidRPr="001005B7">
        <w:rPr>
          <w:rFonts w:cstheme="minorHAnsi"/>
          <w:bCs/>
        </w:rPr>
        <w:t>ia</w:t>
      </w:r>
      <w:r w:rsidR="007E4C15" w:rsidRPr="001005B7">
        <w:rPr>
          <w:rFonts w:cstheme="minorHAnsi"/>
          <w:bCs/>
        </w:rPr>
        <w:t xml:space="preserve"> unless they were flying across the desert</w:t>
      </w:r>
      <w:r w:rsidR="002D0A2C" w:rsidRPr="001005B7">
        <w:rPr>
          <w:rFonts w:cstheme="minorHAnsi"/>
          <w:bCs/>
        </w:rPr>
        <w:t>.</w:t>
      </w:r>
      <w:r w:rsidR="00291688" w:rsidRPr="001005B7">
        <w:rPr>
          <w:rFonts w:cstheme="minorHAnsi"/>
          <w:bCs/>
        </w:rPr>
        <w:t xml:space="preserve"> </w:t>
      </w:r>
      <w:r w:rsidR="004800DB" w:rsidRPr="001005B7">
        <w:rPr>
          <w:rFonts w:cstheme="minorHAnsi"/>
          <w:bCs/>
        </w:rPr>
        <w:t>“</w:t>
      </w:r>
      <w:r w:rsidR="00D672A8" w:rsidRPr="001005B7">
        <w:rPr>
          <w:rFonts w:cstheme="minorHAnsi"/>
          <w:bCs/>
        </w:rPr>
        <w:t>S</w:t>
      </w:r>
      <w:r w:rsidR="00F22873" w:rsidRPr="001005B7">
        <w:rPr>
          <w:rFonts w:cstheme="minorHAnsi"/>
          <w:bCs/>
        </w:rPr>
        <w:t>tatue</w:t>
      </w:r>
      <w:r w:rsidR="004800DB" w:rsidRPr="001005B7">
        <w:rPr>
          <w:rFonts w:cstheme="minorHAnsi"/>
          <w:bCs/>
        </w:rPr>
        <w:t>”</w:t>
      </w:r>
      <w:r w:rsidR="00011C97" w:rsidRPr="001005B7">
        <w:rPr>
          <w:rFonts w:cstheme="minorHAnsi"/>
          <w:bCs/>
        </w:rPr>
        <w:t xml:space="preserve"> </w:t>
      </w:r>
      <w:r w:rsidR="00F22873" w:rsidRPr="001005B7">
        <w:rPr>
          <w:rFonts w:cstheme="minorHAnsi"/>
          <w:bCs/>
        </w:rPr>
        <w:t>(</w:t>
      </w:r>
      <w:r w:rsidR="003E4ADF" w:rsidRPr="001005B7">
        <w:rPr>
          <w:rFonts w:cstheme="minorHAnsi"/>
          <w:b/>
          <w:rtl/>
          <w:lang w:bidi="he-IL"/>
        </w:rPr>
        <w:t>סֵמֶֶ</w:t>
      </w:r>
      <w:r w:rsidR="00FD4CB7" w:rsidRPr="001005B7">
        <w:rPr>
          <w:rFonts w:cstheme="minorHAnsi"/>
          <w:b/>
          <w:rtl/>
          <w:lang w:bidi="he-IL"/>
        </w:rPr>
        <w:t>ל</w:t>
      </w:r>
      <w:r w:rsidR="00F22873" w:rsidRPr="001005B7">
        <w:rPr>
          <w:rFonts w:cstheme="minorHAnsi"/>
          <w:bCs/>
        </w:rPr>
        <w:t>) is yet another word for an idol</w:t>
      </w:r>
      <w:r w:rsidR="004C3D91" w:rsidRPr="001005B7">
        <w:rPr>
          <w:rFonts w:cstheme="minorHAnsi"/>
          <w:bCs/>
        </w:rPr>
        <w:t xml:space="preserve">. </w:t>
      </w:r>
      <w:r w:rsidR="00784549" w:rsidRPr="001005B7">
        <w:rPr>
          <w:sz w:val="18"/>
          <w:szCs w:val="18"/>
        </w:rPr>
        <w:t>LXX</w:t>
      </w:r>
      <w:r w:rsidR="00784549" w:rsidRPr="001005B7">
        <w:t xml:space="preserve"> </w:t>
      </w:r>
      <w:r w:rsidR="008A2BC5" w:rsidRPr="001005B7">
        <w:rPr>
          <w:rFonts w:cstheme="minorHAnsi"/>
          <w:bCs/>
        </w:rPr>
        <w:t xml:space="preserve">calls it a stela, </w:t>
      </w:r>
      <w:r w:rsidR="00695D64" w:rsidRPr="001005B7">
        <w:rPr>
          <w:rFonts w:cstheme="minorHAnsi"/>
          <w:bCs/>
        </w:rPr>
        <w:t>a</w:t>
      </w:r>
      <w:r w:rsidR="008A2BC5" w:rsidRPr="001005B7">
        <w:rPr>
          <w:rFonts w:cstheme="minorHAnsi"/>
          <w:bCs/>
        </w:rPr>
        <w:t xml:space="preserve"> commemorative inscription, and there could have been one there,</w:t>
      </w:r>
      <w:r w:rsidR="006F1C5A" w:rsidRPr="001005B7">
        <w:rPr>
          <w:rFonts w:cstheme="minorHAnsi"/>
          <w:bCs/>
        </w:rPr>
        <w:t xml:space="preserve"> but the other occurrences of</w:t>
      </w:r>
      <w:r w:rsidR="00D85ED6" w:rsidRPr="001005B7">
        <w:rPr>
          <w:rFonts w:cstheme="minorHAnsi"/>
          <w:bCs/>
        </w:rPr>
        <w:t xml:space="preserve"> </w:t>
      </w:r>
      <w:r w:rsidR="00BC77F5" w:rsidRPr="001005B7">
        <w:rPr>
          <w:rFonts w:cstheme="minorHAnsi"/>
          <w:b/>
          <w:rtl/>
          <w:lang w:bidi="he-IL"/>
        </w:rPr>
        <w:t>סֵמֶֶל</w:t>
      </w:r>
      <w:r w:rsidR="006F1C5A" w:rsidRPr="001005B7">
        <w:rPr>
          <w:rFonts w:cstheme="minorHAnsi"/>
          <w:bCs/>
        </w:rPr>
        <w:t xml:space="preserve"> suggest something more outrageous</w:t>
      </w:r>
      <w:r w:rsidR="00FD5C88" w:rsidRPr="001005B7">
        <w:rPr>
          <w:rFonts w:cstheme="minorHAnsi"/>
          <w:bCs/>
        </w:rPr>
        <w:t>. T</w:t>
      </w:r>
      <w:r w:rsidR="006F1C5A" w:rsidRPr="001005B7">
        <w:rPr>
          <w:rFonts w:cstheme="minorHAnsi"/>
          <w:bCs/>
        </w:rPr>
        <w:t>he</w:t>
      </w:r>
      <w:r w:rsidR="004E46FE" w:rsidRPr="001005B7">
        <w:rPr>
          <w:rFonts w:cstheme="minorHAnsi"/>
          <w:bCs/>
        </w:rPr>
        <w:t>se other occurrences are</w:t>
      </w:r>
      <w:r w:rsidR="006F1C5A" w:rsidRPr="001005B7">
        <w:rPr>
          <w:rFonts w:cstheme="minorHAnsi"/>
          <w:bCs/>
        </w:rPr>
        <w:t xml:space="preserve"> in Deut 4:16</w:t>
      </w:r>
      <w:r w:rsidR="00AA12B8" w:rsidRPr="001005B7">
        <w:rPr>
          <w:rFonts w:cstheme="minorHAnsi"/>
          <w:bCs/>
        </w:rPr>
        <w:t xml:space="preserve">, </w:t>
      </w:r>
      <w:r w:rsidR="006F1C5A" w:rsidRPr="001005B7">
        <w:rPr>
          <w:rFonts w:cstheme="minorHAnsi"/>
          <w:bCs/>
        </w:rPr>
        <w:t xml:space="preserve">which is significant in light of the description Ezekiel will give in </w:t>
      </w:r>
      <w:r w:rsidR="003D021F" w:rsidRPr="001005B7">
        <w:rPr>
          <w:rFonts w:cstheme="minorHAnsi"/>
          <w:bCs/>
        </w:rPr>
        <w:t>8:</w:t>
      </w:r>
      <w:r w:rsidR="006F1C5A" w:rsidRPr="001005B7">
        <w:rPr>
          <w:rFonts w:cstheme="minorHAnsi"/>
          <w:bCs/>
        </w:rPr>
        <w:t>10</w:t>
      </w:r>
      <w:r w:rsidR="00AA12B8" w:rsidRPr="001005B7">
        <w:rPr>
          <w:rFonts w:cstheme="minorHAnsi"/>
          <w:bCs/>
        </w:rPr>
        <w:t>,</w:t>
      </w:r>
      <w:r w:rsidR="006F1C5A" w:rsidRPr="001005B7">
        <w:rPr>
          <w:rFonts w:cstheme="minorHAnsi"/>
          <w:bCs/>
        </w:rPr>
        <w:t xml:space="preserve"> and </w:t>
      </w:r>
      <w:r w:rsidR="00AE266B" w:rsidRPr="001005B7">
        <w:rPr>
          <w:rFonts w:cstheme="minorHAnsi"/>
          <w:bCs/>
        </w:rPr>
        <w:t xml:space="preserve">in </w:t>
      </w:r>
      <w:r w:rsidR="006F1C5A" w:rsidRPr="001005B7">
        <w:rPr>
          <w:rFonts w:cstheme="minorHAnsi"/>
          <w:bCs/>
        </w:rPr>
        <w:t>2</w:t>
      </w:r>
      <w:r w:rsidR="006062F1" w:rsidRPr="001005B7">
        <w:rPr>
          <w:rFonts w:cstheme="minorHAnsi"/>
          <w:bCs/>
        </w:rPr>
        <w:t> </w:t>
      </w:r>
      <w:r w:rsidR="006F1C5A" w:rsidRPr="001005B7">
        <w:rPr>
          <w:rFonts w:cstheme="minorHAnsi"/>
          <w:bCs/>
        </w:rPr>
        <w:t>Chr 33:7, 15 in a later description of Manasseh’s image which Josiah removed.</w:t>
      </w:r>
      <w:r w:rsidR="002F282B" w:rsidRPr="001005B7">
        <w:rPr>
          <w:rFonts w:cstheme="minorHAnsi"/>
          <w:bCs/>
        </w:rPr>
        <w:t xml:space="preserve"> </w:t>
      </w:r>
      <w:r w:rsidR="009A3CB8" w:rsidRPr="001005B7">
        <w:rPr>
          <w:rFonts w:cstheme="minorHAnsi"/>
          <w:bCs/>
        </w:rPr>
        <w:t>That parallel</w:t>
      </w:r>
      <w:r w:rsidR="00C344CC" w:rsidRPr="001005B7">
        <w:rPr>
          <w:rFonts w:cstheme="minorHAnsi"/>
          <w:bCs/>
        </w:rPr>
        <w:t xml:space="preserve"> cohere</w:t>
      </w:r>
      <w:r w:rsidR="00E06488">
        <w:rPr>
          <w:rFonts w:cstheme="minorHAnsi"/>
          <w:bCs/>
        </w:rPr>
        <w:t>s</w:t>
      </w:r>
      <w:r w:rsidR="00C344CC" w:rsidRPr="001005B7">
        <w:rPr>
          <w:rFonts w:cstheme="minorHAnsi"/>
          <w:bCs/>
        </w:rPr>
        <w:t xml:space="preserve"> with the general implication </w:t>
      </w:r>
      <w:r w:rsidR="004C1EE6" w:rsidRPr="001005B7">
        <w:rPr>
          <w:rFonts w:cstheme="minorHAnsi"/>
          <w:bCs/>
        </w:rPr>
        <w:t>in 2</w:t>
      </w:r>
      <w:r w:rsidR="00F734B2" w:rsidRPr="001005B7">
        <w:rPr>
          <w:rFonts w:cstheme="minorHAnsi"/>
          <w:bCs/>
        </w:rPr>
        <w:t> </w:t>
      </w:r>
      <w:r w:rsidR="004C1EE6" w:rsidRPr="001005B7">
        <w:rPr>
          <w:rFonts w:cstheme="minorHAnsi"/>
          <w:bCs/>
        </w:rPr>
        <w:t xml:space="preserve">Kings and Jeremiah </w:t>
      </w:r>
      <w:r w:rsidR="00C344CC" w:rsidRPr="001005B7">
        <w:rPr>
          <w:rFonts w:cstheme="minorHAnsi"/>
          <w:bCs/>
        </w:rPr>
        <w:t xml:space="preserve">that </w:t>
      </w:r>
      <w:r w:rsidR="004C1EE6" w:rsidRPr="001005B7">
        <w:rPr>
          <w:rFonts w:cstheme="minorHAnsi"/>
          <w:bCs/>
        </w:rPr>
        <w:t>the decades leading up to 587 saw a reversion to the religious practices that Josiah</w:t>
      </w:r>
      <w:r w:rsidR="00D74EB9" w:rsidRPr="001005B7">
        <w:rPr>
          <w:rFonts w:cstheme="minorHAnsi"/>
          <w:bCs/>
        </w:rPr>
        <w:t xml:space="preserve"> outlaw</w:t>
      </w:r>
      <w:r w:rsidR="004437C7">
        <w:rPr>
          <w:rFonts w:cstheme="minorHAnsi"/>
          <w:bCs/>
        </w:rPr>
        <w:t>ed</w:t>
      </w:r>
      <w:r w:rsidR="00D74EB9" w:rsidRPr="001005B7">
        <w:rPr>
          <w:rFonts w:cstheme="minorHAnsi"/>
          <w:bCs/>
        </w:rPr>
        <w:t>.</w:t>
      </w:r>
      <w:r w:rsidR="004C1EE6" w:rsidRPr="001005B7">
        <w:rPr>
          <w:rFonts w:cstheme="minorHAnsi"/>
          <w:bCs/>
        </w:rPr>
        <w:t xml:space="preserve"> </w:t>
      </w:r>
      <w:r w:rsidR="004C3D91" w:rsidRPr="001005B7">
        <w:rPr>
          <w:rFonts w:cstheme="minorHAnsi"/>
          <w:bCs/>
        </w:rPr>
        <w:t>The traditional translation “</w:t>
      </w:r>
      <w:r w:rsidR="00F40844" w:rsidRPr="001005B7">
        <w:rPr>
          <w:rFonts w:cstheme="minorHAnsi"/>
          <w:bCs/>
        </w:rPr>
        <w:t>i</w:t>
      </w:r>
      <w:r w:rsidR="00DA0DFE" w:rsidRPr="001005B7">
        <w:rPr>
          <w:rFonts w:cstheme="minorHAnsi"/>
          <w:bCs/>
        </w:rPr>
        <w:t xml:space="preserve">mage of jealousy” suggests an image of a deity other than Yahweh, </w:t>
      </w:r>
      <w:r w:rsidR="005B2FE7" w:rsidRPr="001005B7">
        <w:rPr>
          <w:rFonts w:cstheme="minorHAnsi"/>
          <w:bCs/>
        </w:rPr>
        <w:t>though</w:t>
      </w:r>
      <w:r w:rsidR="00DA0DFE" w:rsidRPr="001005B7">
        <w:rPr>
          <w:rFonts w:cstheme="minorHAnsi"/>
          <w:bCs/>
        </w:rPr>
        <w:t xml:space="preserve"> </w:t>
      </w:r>
      <w:r w:rsidR="000174D8" w:rsidRPr="001005B7">
        <w:rPr>
          <w:rFonts w:cstheme="minorHAnsi"/>
          <w:bCs/>
        </w:rPr>
        <w:t xml:space="preserve">an image of Yahweh would </w:t>
      </w:r>
      <w:r w:rsidR="00991811" w:rsidRPr="001005B7">
        <w:rPr>
          <w:rFonts w:cstheme="minorHAnsi"/>
          <w:bCs/>
        </w:rPr>
        <w:t xml:space="preserve">also </w:t>
      </w:r>
      <w:r w:rsidR="000174D8" w:rsidRPr="001005B7">
        <w:rPr>
          <w:rFonts w:cstheme="minorHAnsi"/>
          <w:bCs/>
        </w:rPr>
        <w:t>be enough to cause Yahweh passionate fury.</w:t>
      </w:r>
      <w:r w:rsidR="00D41BD3" w:rsidRPr="001005B7">
        <w:rPr>
          <w:rFonts w:cstheme="minorHAnsi"/>
          <w:bCs/>
        </w:rPr>
        <w:t xml:space="preserve"> </w:t>
      </w:r>
      <w:r w:rsidR="000C7675" w:rsidRPr="001005B7">
        <w:rPr>
          <w:rFonts w:cstheme="minorHAnsi"/>
          <w:bCs/>
        </w:rPr>
        <w:t>But</w:t>
      </w:r>
      <w:r w:rsidR="00E74237" w:rsidRPr="001005B7">
        <w:rPr>
          <w:rFonts w:cstheme="minorHAnsi"/>
          <w:bCs/>
        </w:rPr>
        <w:t xml:space="preserve"> if i</w:t>
      </w:r>
      <w:r w:rsidR="00121F59" w:rsidRPr="001005B7">
        <w:rPr>
          <w:rFonts w:cstheme="minorHAnsi"/>
          <w:bCs/>
        </w:rPr>
        <w:t>t</w:t>
      </w:r>
      <w:r w:rsidR="00E74237" w:rsidRPr="001005B7">
        <w:rPr>
          <w:rFonts w:cstheme="minorHAnsi"/>
          <w:bCs/>
        </w:rPr>
        <w:t xml:space="preserve"> was a </w:t>
      </w:r>
      <w:r w:rsidR="00050FD8" w:rsidRPr="001005B7">
        <w:rPr>
          <w:rFonts w:cstheme="minorHAnsi"/>
          <w:bCs/>
        </w:rPr>
        <w:t>“</w:t>
      </w:r>
      <w:r w:rsidR="00E74237" w:rsidRPr="001005B7">
        <w:rPr>
          <w:rFonts w:cstheme="minorHAnsi"/>
          <w:bCs/>
        </w:rPr>
        <w:t>creation statue,</w:t>
      </w:r>
      <w:r w:rsidR="00050FD8" w:rsidRPr="001005B7">
        <w:rPr>
          <w:rFonts w:cstheme="minorHAnsi"/>
          <w:bCs/>
        </w:rPr>
        <w:t>”</w:t>
      </w:r>
      <w:r w:rsidR="00E74237" w:rsidRPr="001005B7">
        <w:rPr>
          <w:rFonts w:cstheme="minorHAnsi"/>
          <w:bCs/>
        </w:rPr>
        <w:t xml:space="preserve"> </w:t>
      </w:r>
      <w:r w:rsidR="00716D02" w:rsidRPr="001005B7">
        <w:rPr>
          <w:rFonts w:cstheme="minorHAnsi"/>
          <w:bCs/>
        </w:rPr>
        <w:t>an image of a creat</w:t>
      </w:r>
      <w:r w:rsidR="000C7675" w:rsidRPr="001005B7">
        <w:rPr>
          <w:rFonts w:cstheme="minorHAnsi"/>
          <w:bCs/>
        </w:rPr>
        <w:t>or deity</w:t>
      </w:r>
      <w:r w:rsidR="00120090" w:rsidRPr="001005B7">
        <w:rPr>
          <w:rFonts w:cstheme="minorHAnsi"/>
          <w:bCs/>
        </w:rPr>
        <w:t xml:space="preserve"> with its </w:t>
      </w:r>
      <w:r w:rsidR="000B10AD" w:rsidRPr="001005B7">
        <w:rPr>
          <w:rFonts w:cstheme="minorHAnsi"/>
          <w:bCs/>
        </w:rPr>
        <w:t>seat</w:t>
      </w:r>
      <w:r w:rsidR="000B10AD" w:rsidRPr="001005B7">
        <w:rPr>
          <w:rFonts w:cstheme="minorHAnsi"/>
          <w:bCs/>
          <w:i/>
          <w:iCs/>
        </w:rPr>
        <w:t xml:space="preserve"> </w:t>
      </w:r>
      <w:r w:rsidR="000B10AD" w:rsidRPr="001005B7">
        <w:rPr>
          <w:rFonts w:cstheme="minorHAnsi"/>
          <w:bCs/>
        </w:rPr>
        <w:t>or throne</w:t>
      </w:r>
      <w:r w:rsidR="00470607" w:rsidRPr="001005B7">
        <w:rPr>
          <w:rFonts w:cstheme="minorHAnsi"/>
          <w:bCs/>
        </w:rPr>
        <w:t xml:space="preserve"> (see the translation </w:t>
      </w:r>
      <w:r w:rsidR="00A54EE5" w:rsidRPr="001005B7">
        <w:rPr>
          <w:rFonts w:cstheme="minorHAnsi"/>
          <w:bCs/>
        </w:rPr>
        <w:t>footn</w:t>
      </w:r>
      <w:r w:rsidR="00470607" w:rsidRPr="001005B7">
        <w:rPr>
          <w:rFonts w:cstheme="minorHAnsi"/>
          <w:bCs/>
        </w:rPr>
        <w:t>o</w:t>
      </w:r>
      <w:r w:rsidR="000902AB" w:rsidRPr="001005B7">
        <w:rPr>
          <w:rFonts w:cstheme="minorHAnsi"/>
          <w:bCs/>
        </w:rPr>
        <w:t>t</w:t>
      </w:r>
      <w:r w:rsidR="00470607" w:rsidRPr="001005B7">
        <w:rPr>
          <w:rFonts w:cstheme="minorHAnsi"/>
          <w:bCs/>
        </w:rPr>
        <w:t>e)</w:t>
      </w:r>
      <w:r w:rsidR="00AE5E21" w:rsidRPr="001005B7">
        <w:rPr>
          <w:rFonts w:cstheme="minorHAnsi"/>
          <w:bCs/>
        </w:rPr>
        <w:t>,</w:t>
      </w:r>
      <w:r w:rsidR="00716D02" w:rsidRPr="001005B7">
        <w:rPr>
          <w:rFonts w:cstheme="minorHAnsi"/>
          <w:bCs/>
        </w:rPr>
        <w:t xml:space="preserve"> this would fit with the nature orientation of the other three outrages in Ezekiel’s vision. </w:t>
      </w:r>
      <w:r w:rsidR="00713804" w:rsidRPr="001005B7">
        <w:rPr>
          <w:rFonts w:cstheme="minorHAnsi"/>
          <w:bCs/>
        </w:rPr>
        <w:t>Whatever the visionary statue</w:t>
      </w:r>
      <w:r w:rsidR="00696515" w:rsidRPr="001005B7">
        <w:rPr>
          <w:rFonts w:cstheme="minorHAnsi"/>
          <w:bCs/>
        </w:rPr>
        <w:t xml:space="preserve"> was</w:t>
      </w:r>
      <w:r w:rsidR="00713804" w:rsidRPr="001005B7">
        <w:rPr>
          <w:rFonts w:cstheme="minorHAnsi"/>
          <w:bCs/>
        </w:rPr>
        <w:t>,</w:t>
      </w:r>
      <w:r w:rsidR="00606A78" w:rsidRPr="001005B7">
        <w:rPr>
          <w:rStyle w:val="FootnoteReference"/>
          <w:rFonts w:cstheme="minorHAnsi"/>
          <w:bCs/>
        </w:rPr>
        <w:footnoteReference w:id="239"/>
      </w:r>
      <w:r w:rsidR="000902AB" w:rsidRPr="001005B7">
        <w:rPr>
          <w:rFonts w:cstheme="minorHAnsi"/>
          <w:bCs/>
        </w:rPr>
        <w:t xml:space="preserve"> </w:t>
      </w:r>
      <w:r w:rsidR="00713804" w:rsidRPr="001005B7">
        <w:rPr>
          <w:rFonts w:cstheme="minorHAnsi"/>
          <w:bCs/>
        </w:rPr>
        <w:t xml:space="preserve">the </w:t>
      </w:r>
      <w:r w:rsidR="00FF5E29" w:rsidRPr="001005B7">
        <w:rPr>
          <w:rFonts w:cstheme="minorHAnsi"/>
          <w:bCs/>
        </w:rPr>
        <w:t xml:space="preserve">visionary </w:t>
      </w:r>
      <w:r w:rsidR="00713804" w:rsidRPr="001005B7">
        <w:rPr>
          <w:rFonts w:cstheme="minorHAnsi"/>
          <w:bCs/>
        </w:rPr>
        <w:t xml:space="preserve">presence of </w:t>
      </w:r>
      <w:r w:rsidR="009876CD" w:rsidRPr="001005B7">
        <w:rPr>
          <w:rFonts w:cstheme="minorHAnsi"/>
          <w:bCs/>
        </w:rPr>
        <w:t>“</w:t>
      </w:r>
      <w:r w:rsidR="002B2F94" w:rsidRPr="001005B7">
        <w:rPr>
          <w:rFonts w:cstheme="minorHAnsi"/>
          <w:bCs/>
        </w:rPr>
        <w:t>the</w:t>
      </w:r>
      <w:r w:rsidR="002B2F94" w:rsidRPr="001005B7">
        <w:rPr>
          <w:rFonts w:cstheme="minorHAnsi"/>
          <w:bCs/>
          <w:i/>
          <w:iCs/>
        </w:rPr>
        <w:t xml:space="preserve"> </w:t>
      </w:r>
      <w:r w:rsidR="00180CEB" w:rsidRPr="001005B7">
        <w:rPr>
          <w:rFonts w:cstheme="minorHAnsi"/>
          <w:bCs/>
        </w:rPr>
        <w:t>magnificence</w:t>
      </w:r>
      <w:r w:rsidR="002B2F94" w:rsidRPr="001005B7">
        <w:rPr>
          <w:rFonts w:cstheme="minorHAnsi"/>
          <w:bCs/>
          <w:i/>
          <w:iCs/>
        </w:rPr>
        <w:t xml:space="preserve"> </w:t>
      </w:r>
      <w:r w:rsidR="002B2F94" w:rsidRPr="001005B7">
        <w:rPr>
          <w:rFonts w:cstheme="minorHAnsi"/>
          <w:bCs/>
        </w:rPr>
        <w:t>of</w:t>
      </w:r>
      <w:r w:rsidR="002B2F94" w:rsidRPr="001005B7">
        <w:rPr>
          <w:rFonts w:cstheme="minorHAnsi"/>
          <w:bCs/>
          <w:i/>
          <w:iCs/>
        </w:rPr>
        <w:t xml:space="preserve"> </w:t>
      </w:r>
      <w:r w:rsidR="002B2F94" w:rsidRPr="001005B7">
        <w:rPr>
          <w:rFonts w:cstheme="minorHAnsi"/>
          <w:bCs/>
        </w:rPr>
        <w:t>the</w:t>
      </w:r>
      <w:r w:rsidR="002B2F94" w:rsidRPr="001005B7">
        <w:rPr>
          <w:rFonts w:cstheme="minorHAnsi"/>
          <w:bCs/>
          <w:i/>
          <w:iCs/>
        </w:rPr>
        <w:t xml:space="preserve"> </w:t>
      </w:r>
      <w:r w:rsidR="002B2F94" w:rsidRPr="001005B7">
        <w:rPr>
          <w:rFonts w:cstheme="minorHAnsi"/>
          <w:bCs/>
        </w:rPr>
        <w:t>God</w:t>
      </w:r>
      <w:r w:rsidR="002B2F94" w:rsidRPr="001005B7">
        <w:rPr>
          <w:rFonts w:cstheme="minorHAnsi"/>
          <w:bCs/>
          <w:i/>
          <w:iCs/>
        </w:rPr>
        <w:t xml:space="preserve"> </w:t>
      </w:r>
      <w:r w:rsidR="002B2F94" w:rsidRPr="001005B7">
        <w:rPr>
          <w:rFonts w:cstheme="minorHAnsi"/>
          <w:bCs/>
        </w:rPr>
        <w:t>of</w:t>
      </w:r>
      <w:r w:rsidR="002B2F94" w:rsidRPr="001005B7">
        <w:rPr>
          <w:rFonts w:cstheme="minorHAnsi"/>
          <w:bCs/>
          <w:i/>
          <w:iCs/>
        </w:rPr>
        <w:t xml:space="preserve"> </w:t>
      </w:r>
      <w:r w:rsidR="002B2F94" w:rsidRPr="001005B7">
        <w:rPr>
          <w:rFonts w:cstheme="minorHAnsi"/>
          <w:bCs/>
        </w:rPr>
        <w:t>Israel</w:t>
      </w:r>
      <w:r w:rsidR="009876CD" w:rsidRPr="001005B7">
        <w:rPr>
          <w:rFonts w:cstheme="minorHAnsi"/>
          <w:bCs/>
        </w:rPr>
        <w:t>”</w:t>
      </w:r>
      <w:r w:rsidR="002B2F94" w:rsidRPr="001005B7">
        <w:rPr>
          <w:rFonts w:cstheme="minorHAnsi"/>
          <w:bCs/>
        </w:rPr>
        <w:t xml:space="preserve"> there, as </w:t>
      </w:r>
      <w:r w:rsidR="00130E51" w:rsidRPr="001005B7">
        <w:rPr>
          <w:rFonts w:cstheme="minorHAnsi"/>
          <w:bCs/>
        </w:rPr>
        <w:t>“</w:t>
      </w:r>
      <w:r w:rsidR="002B2F94" w:rsidRPr="001005B7">
        <w:rPr>
          <w:rFonts w:cstheme="minorHAnsi"/>
          <w:bCs/>
        </w:rPr>
        <w:t>Yahweh’s</w:t>
      </w:r>
      <w:r w:rsidR="002B2F94" w:rsidRPr="001005B7">
        <w:rPr>
          <w:rFonts w:cstheme="minorHAnsi"/>
          <w:bCs/>
          <w:i/>
          <w:iCs/>
        </w:rPr>
        <w:t xml:space="preserve"> </w:t>
      </w:r>
      <w:r w:rsidR="00180CEB" w:rsidRPr="001005B7">
        <w:rPr>
          <w:rFonts w:cstheme="minorHAnsi"/>
          <w:bCs/>
        </w:rPr>
        <w:t>magnificence</w:t>
      </w:r>
      <w:r w:rsidR="00130E51" w:rsidRPr="001005B7">
        <w:rPr>
          <w:rFonts w:cstheme="minorHAnsi"/>
          <w:bCs/>
        </w:rPr>
        <w:t>”</w:t>
      </w:r>
      <w:r w:rsidR="002B2F94" w:rsidRPr="001005B7">
        <w:rPr>
          <w:rFonts w:cstheme="minorHAnsi"/>
          <w:bCs/>
        </w:rPr>
        <w:t xml:space="preserve"> had been </w:t>
      </w:r>
      <w:r w:rsidR="00130E51" w:rsidRPr="001005B7">
        <w:rPr>
          <w:rFonts w:cstheme="minorHAnsi"/>
          <w:bCs/>
        </w:rPr>
        <w:t>“</w:t>
      </w:r>
      <w:r w:rsidR="002B2F94" w:rsidRPr="001005B7">
        <w:rPr>
          <w:rFonts w:cstheme="minorHAnsi"/>
          <w:bCs/>
        </w:rPr>
        <w:t>in</w:t>
      </w:r>
      <w:r w:rsidR="002B2F94" w:rsidRPr="001005B7">
        <w:rPr>
          <w:rFonts w:cstheme="minorHAnsi"/>
          <w:bCs/>
          <w:i/>
          <w:iCs/>
        </w:rPr>
        <w:t xml:space="preserve"> </w:t>
      </w:r>
      <w:r w:rsidR="002B2F94" w:rsidRPr="001005B7">
        <w:rPr>
          <w:rFonts w:cstheme="minorHAnsi"/>
          <w:bCs/>
        </w:rPr>
        <w:t>the</w:t>
      </w:r>
      <w:r w:rsidR="002B2F94" w:rsidRPr="001005B7">
        <w:rPr>
          <w:rFonts w:cstheme="minorHAnsi"/>
          <w:bCs/>
          <w:i/>
          <w:iCs/>
        </w:rPr>
        <w:t xml:space="preserve"> </w:t>
      </w:r>
      <w:r w:rsidR="001E3397" w:rsidRPr="001005B7">
        <w:rPr>
          <w:rFonts w:cstheme="minorHAnsi"/>
          <w:bCs/>
        </w:rPr>
        <w:t>plain</w:t>
      </w:r>
      <w:r w:rsidR="00130E51" w:rsidRPr="001005B7">
        <w:rPr>
          <w:rFonts w:cstheme="minorHAnsi"/>
          <w:bCs/>
        </w:rPr>
        <w:t>”</w:t>
      </w:r>
      <w:r w:rsidR="002B2F94" w:rsidRPr="001005B7">
        <w:rPr>
          <w:rFonts w:cstheme="minorHAnsi"/>
          <w:bCs/>
        </w:rPr>
        <w:t xml:space="preserve"> (3:22</w:t>
      </w:r>
      <w:r w:rsidR="00F46900" w:rsidRPr="001005B7">
        <w:rPr>
          <w:rFonts w:cstheme="minorHAnsi"/>
          <w:bCs/>
        </w:rPr>
        <w:t>–</w:t>
      </w:r>
      <w:r w:rsidR="002B2F94" w:rsidRPr="001005B7">
        <w:rPr>
          <w:rFonts w:cstheme="minorHAnsi"/>
          <w:bCs/>
        </w:rPr>
        <w:t>23), confront</w:t>
      </w:r>
      <w:r w:rsidR="00FF5E29" w:rsidRPr="001005B7">
        <w:rPr>
          <w:rFonts w:cstheme="minorHAnsi"/>
          <w:bCs/>
        </w:rPr>
        <w:t>s</w:t>
      </w:r>
      <w:r w:rsidR="002B2F94" w:rsidRPr="001005B7">
        <w:rPr>
          <w:rFonts w:cstheme="minorHAnsi"/>
          <w:bCs/>
        </w:rPr>
        <w:t xml:space="preserve"> this monstrosity</w:t>
      </w:r>
      <w:r w:rsidR="000E211E">
        <w:rPr>
          <w:rFonts w:cstheme="minorHAnsi"/>
          <w:bCs/>
        </w:rPr>
        <w:t>. It</w:t>
      </w:r>
      <w:r w:rsidR="00163510" w:rsidRPr="001005B7">
        <w:rPr>
          <w:rFonts w:cstheme="minorHAnsi"/>
          <w:bCs/>
        </w:rPr>
        <w:t xml:space="preserve"> expos</w:t>
      </w:r>
      <w:r w:rsidR="00FF5E29" w:rsidRPr="001005B7">
        <w:rPr>
          <w:rFonts w:cstheme="minorHAnsi"/>
          <w:bCs/>
        </w:rPr>
        <w:t>es</w:t>
      </w:r>
      <w:r w:rsidR="00163510" w:rsidRPr="001005B7">
        <w:rPr>
          <w:rFonts w:cstheme="minorHAnsi"/>
          <w:bCs/>
        </w:rPr>
        <w:t xml:space="preserve"> it</w:t>
      </w:r>
      <w:r w:rsidR="00860FEF" w:rsidRPr="001005B7">
        <w:rPr>
          <w:rFonts w:cstheme="minorHAnsi"/>
          <w:bCs/>
        </w:rPr>
        <w:t xml:space="preserve"> and</w:t>
      </w:r>
      <w:r w:rsidR="001B309C" w:rsidRPr="001005B7">
        <w:rPr>
          <w:rFonts w:cstheme="minorHAnsi"/>
          <w:bCs/>
        </w:rPr>
        <w:t xml:space="preserve"> </w:t>
      </w:r>
      <w:r w:rsidR="00860FEF" w:rsidRPr="001005B7">
        <w:rPr>
          <w:rFonts w:cstheme="minorHAnsi"/>
          <w:bCs/>
        </w:rPr>
        <w:t xml:space="preserve">further </w:t>
      </w:r>
      <w:r w:rsidR="001B309C" w:rsidRPr="001005B7">
        <w:rPr>
          <w:rFonts w:cstheme="minorHAnsi"/>
          <w:bCs/>
        </w:rPr>
        <w:t>nuances the scandal of what Ezekiel sees</w:t>
      </w:r>
      <w:r w:rsidR="003A0369" w:rsidRPr="001005B7">
        <w:rPr>
          <w:rFonts w:cstheme="minorHAnsi"/>
          <w:bCs/>
        </w:rPr>
        <w:t xml:space="preserve"> (“not that he enjoyed being so close”</w:t>
      </w:r>
      <w:r w:rsidR="00982055" w:rsidRPr="001005B7">
        <w:rPr>
          <w:rFonts w:cstheme="minorHAnsi"/>
          <w:bCs/>
        </w:rPr>
        <w:t xml:space="preserve">; </w:t>
      </w:r>
      <w:r w:rsidR="00C54F98" w:rsidRPr="001005B7">
        <w:t>Jerome, 92</w:t>
      </w:r>
      <w:r w:rsidR="00982055" w:rsidRPr="001005B7">
        <w:t>)</w:t>
      </w:r>
      <w:r w:rsidR="002B75E8" w:rsidRPr="001005B7">
        <w:rPr>
          <w:rFonts w:cstheme="minorHAnsi"/>
          <w:bCs/>
        </w:rPr>
        <w:t>.</w:t>
      </w:r>
      <w:r w:rsidR="00982055" w:rsidRPr="001005B7">
        <w:rPr>
          <w:rStyle w:val="FootnoteReference"/>
          <w:rFonts w:cstheme="minorHAnsi"/>
          <w:bCs/>
        </w:rPr>
        <w:footnoteReference w:id="240"/>
      </w:r>
      <w:r w:rsidR="002B75E8" w:rsidRPr="001005B7">
        <w:rPr>
          <w:rFonts w:cstheme="minorHAnsi"/>
          <w:bCs/>
        </w:rPr>
        <w:t xml:space="preserve"> </w:t>
      </w:r>
      <w:r w:rsidR="001C4CD2" w:rsidRPr="001005B7">
        <w:rPr>
          <w:rFonts w:cstheme="minorHAnsi"/>
          <w:bCs/>
        </w:rPr>
        <w:t>I</w:t>
      </w:r>
      <w:r w:rsidR="00F31E1B" w:rsidRPr="001005B7">
        <w:rPr>
          <w:rFonts w:cstheme="minorHAnsi"/>
          <w:bCs/>
        </w:rPr>
        <w:t xml:space="preserve">n Ezekiel as in </w:t>
      </w:r>
      <w:r w:rsidR="007A2A5A" w:rsidRPr="001005B7">
        <w:rPr>
          <w:rFonts w:cstheme="minorHAnsi"/>
          <w:bCs/>
        </w:rPr>
        <w:t xml:space="preserve">the Torah, </w:t>
      </w:r>
      <w:r w:rsidR="00D2002D" w:rsidRPr="001005B7">
        <w:rPr>
          <w:rFonts w:cstheme="minorHAnsi"/>
          <w:bCs/>
        </w:rPr>
        <w:t>an</w:t>
      </w:r>
      <w:r w:rsidR="007A2A5A" w:rsidRPr="001005B7">
        <w:rPr>
          <w:rFonts w:cstheme="minorHAnsi"/>
          <w:bCs/>
        </w:rPr>
        <w:t xml:space="preserve"> essential quality of </w:t>
      </w:r>
      <w:r w:rsidR="00E22D39" w:rsidRPr="001005B7">
        <w:rPr>
          <w:rFonts w:cstheme="minorHAnsi"/>
          <w:bCs/>
        </w:rPr>
        <w:t xml:space="preserve">Yahweh’s </w:t>
      </w:r>
      <w:r w:rsidR="00180CEB" w:rsidRPr="001005B7">
        <w:rPr>
          <w:rFonts w:cstheme="minorHAnsi"/>
          <w:bCs/>
        </w:rPr>
        <w:t>magnificence</w:t>
      </w:r>
      <w:r w:rsidR="007A2A5A" w:rsidRPr="001005B7">
        <w:rPr>
          <w:rFonts w:cstheme="minorHAnsi"/>
          <w:bCs/>
        </w:rPr>
        <w:t xml:space="preserve"> is its </w:t>
      </w:r>
      <w:r w:rsidR="00F1782E" w:rsidRPr="001005B7">
        <w:rPr>
          <w:rFonts w:cstheme="minorHAnsi"/>
          <w:bCs/>
        </w:rPr>
        <w:t xml:space="preserve">mobility </w:t>
      </w:r>
      <w:r w:rsidR="008918BB" w:rsidRPr="001005B7">
        <w:rPr>
          <w:rFonts w:cstheme="minorHAnsi"/>
          <w:bCs/>
        </w:rPr>
        <w:t>and transitoriness</w:t>
      </w:r>
      <w:r w:rsidR="00D2002D" w:rsidRPr="001005B7">
        <w:rPr>
          <w:rFonts w:cstheme="minorHAnsi"/>
          <w:bCs/>
        </w:rPr>
        <w:t>,</w:t>
      </w:r>
      <w:r w:rsidR="006555A1" w:rsidRPr="001005B7">
        <w:rPr>
          <w:rStyle w:val="FootnoteReference"/>
          <w:rFonts w:cstheme="minorHAnsi"/>
          <w:bCs/>
        </w:rPr>
        <w:footnoteReference w:id="241"/>
      </w:r>
      <w:r w:rsidR="00E22D39" w:rsidRPr="001005B7">
        <w:rPr>
          <w:rFonts w:cstheme="minorHAnsi"/>
          <w:bCs/>
        </w:rPr>
        <w:t xml:space="preserve"> </w:t>
      </w:r>
      <w:r w:rsidR="00D2002D" w:rsidRPr="001005B7">
        <w:rPr>
          <w:rFonts w:cstheme="minorHAnsi"/>
          <w:bCs/>
        </w:rPr>
        <w:t xml:space="preserve">which means that </w:t>
      </w:r>
      <w:r w:rsidR="00E22D39" w:rsidRPr="001005B7">
        <w:rPr>
          <w:rFonts w:cstheme="minorHAnsi"/>
          <w:bCs/>
        </w:rPr>
        <w:t xml:space="preserve">Yahweh’s </w:t>
      </w:r>
      <w:r w:rsidR="00180CEB" w:rsidRPr="001005B7">
        <w:rPr>
          <w:rFonts w:cstheme="minorHAnsi"/>
          <w:bCs/>
        </w:rPr>
        <w:t>magnificence</w:t>
      </w:r>
      <w:r w:rsidR="00E22D39" w:rsidRPr="001005B7">
        <w:rPr>
          <w:rFonts w:cstheme="minorHAnsi"/>
          <w:bCs/>
        </w:rPr>
        <w:t xml:space="preserve">, which had previously made its presence felt in the </w:t>
      </w:r>
      <w:r w:rsidR="001E3397" w:rsidRPr="001005B7">
        <w:rPr>
          <w:rFonts w:cstheme="minorHAnsi"/>
          <w:bCs/>
        </w:rPr>
        <w:t>plain</w:t>
      </w:r>
      <w:r w:rsidR="00E22D39" w:rsidRPr="001005B7">
        <w:rPr>
          <w:rFonts w:cstheme="minorHAnsi"/>
          <w:bCs/>
        </w:rPr>
        <w:t xml:space="preserve"> and by the </w:t>
      </w:r>
      <w:proofErr w:type="spellStart"/>
      <w:r w:rsidR="00E22D39" w:rsidRPr="001005B7">
        <w:rPr>
          <w:rFonts w:cstheme="minorHAnsi"/>
          <w:bCs/>
        </w:rPr>
        <w:t>Kebar</w:t>
      </w:r>
      <w:proofErr w:type="spellEnd"/>
      <w:r w:rsidR="00E22D39" w:rsidRPr="001005B7">
        <w:rPr>
          <w:rFonts w:cstheme="minorHAnsi"/>
          <w:bCs/>
        </w:rPr>
        <w:t xml:space="preserve">, </w:t>
      </w:r>
      <w:r w:rsidR="0010386A" w:rsidRPr="001005B7">
        <w:rPr>
          <w:rFonts w:cstheme="minorHAnsi"/>
          <w:bCs/>
        </w:rPr>
        <w:t>can</w:t>
      </w:r>
      <w:r w:rsidR="00E22D39" w:rsidRPr="001005B7">
        <w:rPr>
          <w:rFonts w:cstheme="minorHAnsi"/>
          <w:bCs/>
        </w:rPr>
        <w:t xml:space="preserve"> now </w:t>
      </w:r>
      <w:r w:rsidR="0010386A" w:rsidRPr="001005B7">
        <w:rPr>
          <w:rFonts w:cstheme="minorHAnsi"/>
          <w:bCs/>
        </w:rPr>
        <w:t xml:space="preserve">be </w:t>
      </w:r>
      <w:r w:rsidR="00E22D39" w:rsidRPr="001005B7">
        <w:rPr>
          <w:rFonts w:cstheme="minorHAnsi"/>
          <w:bCs/>
        </w:rPr>
        <w:t>in Jerusalem.</w:t>
      </w:r>
      <w:r w:rsidR="005A61EF" w:rsidRPr="001005B7">
        <w:rPr>
          <w:rFonts w:cstheme="minorHAnsi"/>
          <w:bCs/>
        </w:rPr>
        <w:t xml:space="preserve"> </w:t>
      </w:r>
    </w:p>
    <w:p w14:paraId="53386BF9" w14:textId="322D2D81" w:rsidR="009E24BE" w:rsidRPr="001005B7" w:rsidRDefault="007E0280" w:rsidP="00F96405">
      <w:pPr>
        <w:rPr>
          <w:rFonts w:cstheme="minorHAnsi"/>
          <w:bCs/>
        </w:rPr>
      </w:pPr>
      <w:r w:rsidRPr="001005B7">
        <w:rPr>
          <w:rFonts w:cstheme="minorHAnsi"/>
          <w:b/>
        </w:rPr>
        <w:t>8:</w:t>
      </w:r>
      <w:r w:rsidR="00CF7C8D" w:rsidRPr="001005B7">
        <w:rPr>
          <w:rFonts w:cstheme="minorHAnsi"/>
          <w:b/>
        </w:rPr>
        <w:t>5</w:t>
      </w:r>
      <w:r w:rsidR="00F46900" w:rsidRPr="001005B7">
        <w:rPr>
          <w:rFonts w:cstheme="minorHAnsi"/>
          <w:b/>
        </w:rPr>
        <w:t>–</w:t>
      </w:r>
      <w:r w:rsidR="00CF7C8D" w:rsidRPr="001005B7">
        <w:rPr>
          <w:rFonts w:cstheme="minorHAnsi"/>
          <w:b/>
        </w:rPr>
        <w:t xml:space="preserve">6 </w:t>
      </w:r>
      <w:r w:rsidR="005B7FD6" w:rsidRPr="001005B7">
        <w:rPr>
          <w:rFonts w:cstheme="minorHAnsi"/>
          <w:bCs/>
        </w:rPr>
        <w:t>In</w:t>
      </w:r>
      <w:r w:rsidR="005B7FD6" w:rsidRPr="001005B7">
        <w:rPr>
          <w:rFonts w:cstheme="minorHAnsi"/>
          <w:b/>
        </w:rPr>
        <w:t xml:space="preserve"> </w:t>
      </w:r>
      <w:r w:rsidR="005B7FD6" w:rsidRPr="001005B7">
        <w:rPr>
          <w:rFonts w:cstheme="minorHAnsi"/>
          <w:bCs/>
        </w:rPr>
        <w:t>his</w:t>
      </w:r>
      <w:r w:rsidR="005B7FD6" w:rsidRPr="001005B7">
        <w:rPr>
          <w:rFonts w:cstheme="minorHAnsi"/>
          <w:b/>
        </w:rPr>
        <w:t xml:space="preserve"> </w:t>
      </w:r>
      <w:r w:rsidR="005B7FD6" w:rsidRPr="001005B7">
        <w:rPr>
          <w:rFonts w:cstheme="minorHAnsi"/>
          <w:bCs/>
        </w:rPr>
        <w:t>vision</w:t>
      </w:r>
      <w:r w:rsidR="005B7FD6" w:rsidRPr="001005B7">
        <w:rPr>
          <w:rFonts w:cstheme="minorHAnsi"/>
          <w:b/>
        </w:rPr>
        <w:t xml:space="preserve"> </w:t>
      </w:r>
      <w:r w:rsidR="00E44D13" w:rsidRPr="001005B7">
        <w:rPr>
          <w:rFonts w:cstheme="minorHAnsi"/>
          <w:bCs/>
        </w:rPr>
        <w:t xml:space="preserve">Ezekiel is </w:t>
      </w:r>
      <w:r w:rsidR="005B7FD6" w:rsidRPr="001005B7">
        <w:rPr>
          <w:rFonts w:cstheme="minorHAnsi"/>
          <w:bCs/>
        </w:rPr>
        <w:t>apparen</w:t>
      </w:r>
      <w:r w:rsidR="00E44D13" w:rsidRPr="001005B7">
        <w:rPr>
          <w:rFonts w:cstheme="minorHAnsi"/>
          <w:bCs/>
        </w:rPr>
        <w:t>tly</w:t>
      </w:r>
      <w:r w:rsidR="00FF4D05">
        <w:rPr>
          <w:rFonts w:cstheme="minorHAnsi"/>
          <w:bCs/>
        </w:rPr>
        <w:t xml:space="preserve"> </w:t>
      </w:r>
      <w:r w:rsidR="00E44D13" w:rsidRPr="001005B7">
        <w:rPr>
          <w:rFonts w:cstheme="minorHAnsi"/>
          <w:bCs/>
        </w:rPr>
        <w:t xml:space="preserve">in the </w:t>
      </w:r>
      <w:r w:rsidR="006530C0" w:rsidRPr="001005B7">
        <w:rPr>
          <w:rFonts w:cstheme="minorHAnsi"/>
          <w:bCs/>
        </w:rPr>
        <w:t xml:space="preserve">environs </w:t>
      </w:r>
      <w:r w:rsidR="00E44D13" w:rsidRPr="001005B7">
        <w:rPr>
          <w:rFonts w:cstheme="minorHAnsi"/>
          <w:bCs/>
        </w:rPr>
        <w:t xml:space="preserve">of the temple itself, </w:t>
      </w:r>
      <w:r w:rsidR="00D708BB" w:rsidRPr="001005B7">
        <w:rPr>
          <w:rFonts w:cstheme="minorHAnsi"/>
          <w:bCs/>
        </w:rPr>
        <w:t xml:space="preserve">which is </w:t>
      </w:r>
      <w:r w:rsidR="00E44D13" w:rsidRPr="001005B7">
        <w:rPr>
          <w:rFonts w:cstheme="minorHAnsi"/>
          <w:bCs/>
        </w:rPr>
        <w:t xml:space="preserve">just south of the </w:t>
      </w:r>
      <w:r w:rsidR="00BE5669" w:rsidRPr="001005B7">
        <w:rPr>
          <w:rFonts w:cstheme="minorHAnsi"/>
          <w:bCs/>
        </w:rPr>
        <w:t>city wall and gateway.</w:t>
      </w:r>
      <w:r w:rsidR="000A62E3" w:rsidRPr="001005B7">
        <w:rPr>
          <w:rFonts w:cstheme="minorHAnsi"/>
          <w:bCs/>
        </w:rPr>
        <w:t xml:space="preserve"> </w:t>
      </w:r>
      <w:r w:rsidR="006066B5" w:rsidRPr="001005B7">
        <w:rPr>
          <w:rFonts w:cstheme="minorHAnsi"/>
          <w:bCs/>
        </w:rPr>
        <w:t>He</w:t>
      </w:r>
      <w:r w:rsidR="000A62E3" w:rsidRPr="001005B7">
        <w:rPr>
          <w:rFonts w:cstheme="minorHAnsi"/>
          <w:bCs/>
        </w:rPr>
        <w:t xml:space="preserve"> can see the image from there</w:t>
      </w:r>
      <w:r w:rsidR="008435E4" w:rsidRPr="001005B7">
        <w:rPr>
          <w:rFonts w:cstheme="minorHAnsi"/>
          <w:bCs/>
        </w:rPr>
        <w:t xml:space="preserve">, from a </w:t>
      </w:r>
      <w:r w:rsidR="00180295" w:rsidRPr="001005B7">
        <w:rPr>
          <w:rFonts w:cstheme="minorHAnsi"/>
          <w:bCs/>
        </w:rPr>
        <w:t>gateway</w:t>
      </w:r>
      <w:r w:rsidR="007315AB" w:rsidRPr="001005B7">
        <w:rPr>
          <w:rFonts w:cstheme="minorHAnsi"/>
          <w:bCs/>
        </w:rPr>
        <w:t xml:space="preserve"> that leads</w:t>
      </w:r>
      <w:r w:rsidR="00180295" w:rsidRPr="001005B7">
        <w:rPr>
          <w:rFonts w:cstheme="minorHAnsi"/>
          <w:bCs/>
        </w:rPr>
        <w:t xml:space="preserve"> into the temple </w:t>
      </w:r>
      <w:r w:rsidR="00A57B05" w:rsidRPr="001005B7">
        <w:rPr>
          <w:rFonts w:cstheme="minorHAnsi"/>
          <w:bCs/>
        </w:rPr>
        <w:t>enclosure</w:t>
      </w:r>
      <w:r w:rsidR="00295BD0" w:rsidRPr="001005B7">
        <w:rPr>
          <w:rFonts w:cstheme="minorHAnsi"/>
          <w:bCs/>
        </w:rPr>
        <w:t xml:space="preserve">. </w:t>
      </w:r>
      <w:r w:rsidR="00926DAC" w:rsidRPr="001005B7">
        <w:rPr>
          <w:rFonts w:cstheme="minorHAnsi"/>
          <w:bCs/>
        </w:rPr>
        <w:t>Only here does</w:t>
      </w:r>
      <w:r w:rsidR="007C6B44" w:rsidRPr="001005B7">
        <w:rPr>
          <w:rFonts w:cstheme="minorHAnsi"/>
          <w:bCs/>
        </w:rPr>
        <w:t xml:space="preserve"> the First Testament </w:t>
      </w:r>
      <w:r w:rsidR="00926DAC" w:rsidRPr="001005B7">
        <w:rPr>
          <w:rFonts w:cstheme="minorHAnsi"/>
          <w:bCs/>
        </w:rPr>
        <w:t xml:space="preserve">refer </w:t>
      </w:r>
      <w:r w:rsidR="007C6B44" w:rsidRPr="001005B7">
        <w:rPr>
          <w:rFonts w:cstheme="minorHAnsi"/>
          <w:bCs/>
        </w:rPr>
        <w:t xml:space="preserve">to an </w:t>
      </w:r>
      <w:r w:rsidR="00772EA6" w:rsidRPr="001005B7">
        <w:rPr>
          <w:rFonts w:cstheme="minorHAnsi"/>
          <w:bCs/>
        </w:rPr>
        <w:t>“</w:t>
      </w:r>
      <w:r w:rsidR="007C6B44" w:rsidRPr="001005B7">
        <w:rPr>
          <w:rFonts w:cstheme="minorHAnsi"/>
          <w:bCs/>
        </w:rPr>
        <w:t>altar</w:t>
      </w:r>
      <w:r w:rsidR="007C6B44" w:rsidRPr="001005B7">
        <w:rPr>
          <w:rFonts w:cstheme="minorHAnsi"/>
          <w:bCs/>
          <w:i/>
          <w:iCs/>
        </w:rPr>
        <w:t xml:space="preserve"> </w:t>
      </w:r>
      <w:r w:rsidR="007C6B44" w:rsidRPr="001005B7">
        <w:rPr>
          <w:rFonts w:cstheme="minorHAnsi"/>
          <w:bCs/>
        </w:rPr>
        <w:t>gate</w:t>
      </w:r>
      <w:r w:rsidR="00E67FE1" w:rsidRPr="001005B7">
        <w:rPr>
          <w:rFonts w:cstheme="minorHAnsi"/>
          <w:bCs/>
        </w:rPr>
        <w:t>way</w:t>
      </w:r>
      <w:r w:rsidR="007C6B44" w:rsidRPr="001005B7">
        <w:rPr>
          <w:rFonts w:cstheme="minorHAnsi"/>
          <w:bCs/>
        </w:rPr>
        <w:t>,</w:t>
      </w:r>
      <w:r w:rsidR="00772EA6" w:rsidRPr="001005B7">
        <w:rPr>
          <w:rFonts w:cstheme="minorHAnsi"/>
          <w:bCs/>
        </w:rPr>
        <w:t>”</w:t>
      </w:r>
      <w:r w:rsidR="007C6B44" w:rsidRPr="001005B7">
        <w:rPr>
          <w:rFonts w:cstheme="minorHAnsi"/>
          <w:bCs/>
        </w:rPr>
        <w:t xml:space="preserve"> which</w:t>
      </w:r>
      <w:r w:rsidR="005E0EE8" w:rsidRPr="001005B7">
        <w:rPr>
          <w:rFonts w:cstheme="minorHAnsi"/>
          <w:bCs/>
        </w:rPr>
        <w:t xml:space="preserve"> might </w:t>
      </w:r>
      <w:r w:rsidR="00786469" w:rsidRPr="001005B7">
        <w:rPr>
          <w:rFonts w:cstheme="minorHAnsi"/>
          <w:bCs/>
        </w:rPr>
        <w:t xml:space="preserve">mean </w:t>
      </w:r>
      <w:r w:rsidR="005E0EE8" w:rsidRPr="001005B7">
        <w:rPr>
          <w:rFonts w:cstheme="minorHAnsi"/>
          <w:bCs/>
        </w:rPr>
        <w:t>a</w:t>
      </w:r>
      <w:r w:rsidR="007C6B44" w:rsidRPr="001005B7">
        <w:rPr>
          <w:rFonts w:cstheme="minorHAnsi"/>
          <w:bCs/>
        </w:rPr>
        <w:t xml:space="preserve"> gate</w:t>
      </w:r>
      <w:r w:rsidR="00E67FE1" w:rsidRPr="001005B7">
        <w:rPr>
          <w:rFonts w:cstheme="minorHAnsi"/>
          <w:bCs/>
        </w:rPr>
        <w:t>way</w:t>
      </w:r>
      <w:r w:rsidR="007C6B44" w:rsidRPr="001005B7">
        <w:rPr>
          <w:rFonts w:cstheme="minorHAnsi"/>
          <w:bCs/>
        </w:rPr>
        <w:t xml:space="preserve"> </w:t>
      </w:r>
      <w:r w:rsidR="005E0EE8" w:rsidRPr="001005B7">
        <w:rPr>
          <w:rFonts w:cstheme="minorHAnsi"/>
          <w:bCs/>
        </w:rPr>
        <w:t>on the northern side of the temple area</w:t>
      </w:r>
      <w:r w:rsidR="002034F9" w:rsidRPr="001005B7">
        <w:rPr>
          <w:rFonts w:cstheme="minorHAnsi"/>
          <w:bCs/>
        </w:rPr>
        <w:t xml:space="preserve"> that therefore led towards </w:t>
      </w:r>
      <w:r w:rsidR="00180295" w:rsidRPr="001005B7">
        <w:rPr>
          <w:rFonts w:cstheme="minorHAnsi"/>
          <w:bCs/>
        </w:rPr>
        <w:t>the sacrificial alta</w:t>
      </w:r>
      <w:r w:rsidR="00C72239" w:rsidRPr="001005B7">
        <w:rPr>
          <w:rFonts w:cstheme="minorHAnsi"/>
          <w:bCs/>
        </w:rPr>
        <w:t>r</w:t>
      </w:r>
      <w:r w:rsidR="006C3351" w:rsidRPr="001005B7">
        <w:rPr>
          <w:rFonts w:cstheme="minorHAnsi"/>
          <w:bCs/>
        </w:rPr>
        <w:t>,</w:t>
      </w:r>
      <w:r w:rsidR="00A30466" w:rsidRPr="001005B7">
        <w:rPr>
          <w:rFonts w:cstheme="minorHAnsi"/>
          <w:bCs/>
        </w:rPr>
        <w:t xml:space="preserve"> or might </w:t>
      </w:r>
      <w:r w:rsidR="003130FB" w:rsidRPr="001005B7">
        <w:rPr>
          <w:rFonts w:cstheme="minorHAnsi"/>
          <w:bCs/>
        </w:rPr>
        <w:t xml:space="preserve">imply </w:t>
      </w:r>
      <w:r w:rsidR="00A30466" w:rsidRPr="001005B7">
        <w:rPr>
          <w:rFonts w:cstheme="minorHAnsi"/>
          <w:bCs/>
        </w:rPr>
        <w:t xml:space="preserve">an altar </w:t>
      </w:r>
      <w:r w:rsidR="005A1A25" w:rsidRPr="001005B7">
        <w:rPr>
          <w:rFonts w:cstheme="minorHAnsi"/>
          <w:bCs/>
        </w:rPr>
        <w:t>north of the temple court</w:t>
      </w:r>
      <w:r w:rsidR="003130FB" w:rsidRPr="001005B7">
        <w:rPr>
          <w:rFonts w:cstheme="minorHAnsi"/>
          <w:bCs/>
        </w:rPr>
        <w:t xml:space="preserve"> that was</w:t>
      </w:r>
      <w:r w:rsidR="005A1A25" w:rsidRPr="001005B7">
        <w:rPr>
          <w:rFonts w:cstheme="minorHAnsi"/>
          <w:bCs/>
        </w:rPr>
        <w:t xml:space="preserve"> </w:t>
      </w:r>
      <w:r w:rsidR="00A30466" w:rsidRPr="001005B7">
        <w:rPr>
          <w:rFonts w:cstheme="minorHAnsi"/>
          <w:bCs/>
        </w:rPr>
        <w:t xml:space="preserve">associated with the </w:t>
      </w:r>
      <w:r w:rsidR="00A9606F" w:rsidRPr="001005B7">
        <w:rPr>
          <w:rFonts w:cstheme="minorHAnsi"/>
          <w:bCs/>
        </w:rPr>
        <w:t>creat</w:t>
      </w:r>
      <w:r w:rsidR="00CD679F" w:rsidRPr="001005B7">
        <w:rPr>
          <w:rFonts w:cstheme="minorHAnsi"/>
          <w:bCs/>
        </w:rPr>
        <w:t>ion</w:t>
      </w:r>
      <w:r w:rsidR="00A30466" w:rsidRPr="001005B7">
        <w:rPr>
          <w:rFonts w:cstheme="minorHAnsi"/>
          <w:bCs/>
        </w:rPr>
        <w:t xml:space="preserve"> statue</w:t>
      </w:r>
      <w:r w:rsidR="006C3351" w:rsidRPr="001005B7">
        <w:rPr>
          <w:rFonts w:cstheme="minorHAnsi"/>
          <w:bCs/>
        </w:rPr>
        <w:t xml:space="preserve"> </w:t>
      </w:r>
      <w:r w:rsidR="005A1A25" w:rsidRPr="001005B7">
        <w:rPr>
          <w:rFonts w:cstheme="minorHAnsi"/>
          <w:bCs/>
        </w:rPr>
        <w:t>and</w:t>
      </w:r>
      <w:r w:rsidR="006C3351" w:rsidRPr="001005B7">
        <w:rPr>
          <w:rFonts w:cstheme="minorHAnsi"/>
          <w:bCs/>
        </w:rPr>
        <w:t xml:space="preserve"> </w:t>
      </w:r>
      <w:r w:rsidR="005F5589" w:rsidRPr="001005B7">
        <w:rPr>
          <w:rFonts w:cstheme="minorHAnsi"/>
          <w:bCs/>
        </w:rPr>
        <w:t xml:space="preserve">was </w:t>
      </w:r>
      <w:r w:rsidR="006C3351" w:rsidRPr="001005B7">
        <w:rPr>
          <w:rFonts w:cstheme="minorHAnsi"/>
          <w:bCs/>
        </w:rPr>
        <w:t>therefore near the northern gateway to the city</w:t>
      </w:r>
      <w:r w:rsidR="002D617A" w:rsidRPr="001005B7">
        <w:rPr>
          <w:rFonts w:cstheme="minorHAnsi"/>
          <w:bCs/>
        </w:rPr>
        <w:t xml:space="preserve"> (</w:t>
      </w:r>
      <w:r w:rsidR="00F64D96" w:rsidRPr="001005B7">
        <w:t>s</w:t>
      </w:r>
      <w:r w:rsidR="002D617A" w:rsidRPr="001005B7">
        <w:t xml:space="preserve">o respectively Rashi and </w:t>
      </w:r>
      <w:proofErr w:type="spellStart"/>
      <w:r w:rsidR="002D617A" w:rsidRPr="001005B7">
        <w:t>Qimhi</w:t>
      </w:r>
      <w:proofErr w:type="spellEnd"/>
      <w:r w:rsidR="00F1577D" w:rsidRPr="001005B7">
        <w:t>,</w:t>
      </w:r>
      <w:r w:rsidR="002D617A" w:rsidRPr="001005B7">
        <w:t xml:space="preserve"> in MG</w:t>
      </w:r>
      <w:r w:rsidR="00F64D96" w:rsidRPr="001005B7">
        <w:t>)</w:t>
      </w:r>
      <w:r w:rsidR="00AA0E17" w:rsidRPr="001005B7">
        <w:rPr>
          <w:rFonts w:cstheme="minorHAnsi"/>
          <w:bCs/>
        </w:rPr>
        <w:t>.</w:t>
      </w:r>
      <w:r w:rsidR="006C3351" w:rsidRPr="001005B7">
        <w:rPr>
          <w:rFonts w:cstheme="minorHAnsi"/>
          <w:bCs/>
        </w:rPr>
        <w:t xml:space="preserve"> </w:t>
      </w:r>
      <w:r w:rsidR="00AB6BB3" w:rsidRPr="001005B7">
        <w:rPr>
          <w:rFonts w:cstheme="minorHAnsi"/>
          <w:bCs/>
        </w:rPr>
        <w:t xml:space="preserve">Jer 11:13 </w:t>
      </w:r>
      <w:r w:rsidR="00C2115C" w:rsidRPr="001005B7">
        <w:rPr>
          <w:rFonts w:cstheme="minorHAnsi"/>
          <w:bCs/>
        </w:rPr>
        <w:t>ref</w:t>
      </w:r>
      <w:r w:rsidR="00F96405" w:rsidRPr="001005B7">
        <w:rPr>
          <w:rFonts w:cstheme="minorHAnsi"/>
          <w:bCs/>
        </w:rPr>
        <w:t>ers to the</w:t>
      </w:r>
      <w:r w:rsidR="00AA0E17" w:rsidRPr="001005B7">
        <w:rPr>
          <w:rFonts w:cstheme="minorHAnsi"/>
          <w:bCs/>
        </w:rPr>
        <w:t>re being</w:t>
      </w:r>
      <w:r w:rsidR="00F96405" w:rsidRPr="001005B7">
        <w:rPr>
          <w:rFonts w:cstheme="minorHAnsi"/>
          <w:bCs/>
        </w:rPr>
        <w:t xml:space="preserve"> a number of altars in Jerusalem. </w:t>
      </w:r>
      <w:r w:rsidR="003C7943" w:rsidRPr="001005B7">
        <w:rPr>
          <w:rFonts w:cstheme="minorHAnsi"/>
          <w:bCs/>
        </w:rPr>
        <w:t>The people worshiping at this image</w:t>
      </w:r>
      <w:r w:rsidR="00035673" w:rsidRPr="001005B7">
        <w:rPr>
          <w:rFonts w:cstheme="minorHAnsi"/>
          <w:bCs/>
        </w:rPr>
        <w:t xml:space="preserve"> perhaps think they can get away with their worship th</w:t>
      </w:r>
      <w:r w:rsidR="00D14053" w:rsidRPr="001005B7">
        <w:rPr>
          <w:rFonts w:cstheme="minorHAnsi"/>
          <w:bCs/>
        </w:rPr>
        <w:t>at is</w:t>
      </w:r>
      <w:r w:rsidR="00035673" w:rsidRPr="001005B7">
        <w:rPr>
          <w:rFonts w:cstheme="minorHAnsi"/>
          <w:bCs/>
        </w:rPr>
        <w:t xml:space="preserve"> </w:t>
      </w:r>
      <w:r w:rsidR="00AA0E17" w:rsidRPr="001005B7">
        <w:rPr>
          <w:rFonts w:cstheme="minorHAnsi"/>
          <w:bCs/>
        </w:rPr>
        <w:t>“</w:t>
      </w:r>
      <w:r w:rsidR="00035673" w:rsidRPr="001005B7">
        <w:rPr>
          <w:rFonts w:cstheme="minorHAnsi"/>
          <w:bCs/>
        </w:rPr>
        <w:t>distan</w:t>
      </w:r>
      <w:r w:rsidR="00C37061" w:rsidRPr="001005B7">
        <w:rPr>
          <w:rFonts w:cstheme="minorHAnsi"/>
          <w:bCs/>
        </w:rPr>
        <w:t>t</w:t>
      </w:r>
      <w:r w:rsidR="00035673" w:rsidRPr="001005B7">
        <w:rPr>
          <w:rFonts w:cstheme="minorHAnsi"/>
          <w:bCs/>
          <w:i/>
          <w:iCs/>
        </w:rPr>
        <w:t xml:space="preserve"> </w:t>
      </w:r>
      <w:r w:rsidR="00035673" w:rsidRPr="001005B7">
        <w:rPr>
          <w:rFonts w:cstheme="minorHAnsi"/>
          <w:bCs/>
        </w:rPr>
        <w:t>from</w:t>
      </w:r>
      <w:r w:rsidR="00C37061" w:rsidRPr="001005B7">
        <w:rPr>
          <w:rFonts w:cstheme="minorHAnsi"/>
          <w:bCs/>
          <w:i/>
          <w:iCs/>
        </w:rPr>
        <w:t xml:space="preserve"> </w:t>
      </w:r>
      <w:r w:rsidR="00C37061" w:rsidRPr="001005B7">
        <w:rPr>
          <w:rFonts w:cstheme="minorHAnsi"/>
          <w:bCs/>
        </w:rPr>
        <w:t>my</w:t>
      </w:r>
      <w:r w:rsidR="00C37061" w:rsidRPr="001005B7">
        <w:rPr>
          <w:rFonts w:cstheme="minorHAnsi"/>
          <w:bCs/>
          <w:i/>
          <w:iCs/>
        </w:rPr>
        <w:t xml:space="preserve"> </w:t>
      </w:r>
      <w:r w:rsidR="00C37061" w:rsidRPr="001005B7">
        <w:rPr>
          <w:rFonts w:cstheme="minorHAnsi"/>
          <w:bCs/>
        </w:rPr>
        <w:t>sanctuary</w:t>
      </w:r>
      <w:r w:rsidR="00AA0E17" w:rsidRPr="001005B7">
        <w:rPr>
          <w:rFonts w:cstheme="minorHAnsi"/>
          <w:bCs/>
        </w:rPr>
        <w:t>”</w:t>
      </w:r>
      <w:r w:rsidR="002D6520" w:rsidRPr="001005B7">
        <w:rPr>
          <w:rFonts w:cstheme="minorHAnsi"/>
          <w:bCs/>
        </w:rPr>
        <w:t xml:space="preserve"> </w:t>
      </w:r>
      <w:r w:rsidR="00D14053" w:rsidRPr="001005B7">
        <w:rPr>
          <w:rFonts w:cstheme="minorHAnsi"/>
          <w:bCs/>
        </w:rPr>
        <w:t>(</w:t>
      </w:r>
      <w:r w:rsidR="002D6520" w:rsidRPr="001005B7">
        <w:rPr>
          <w:rFonts w:cstheme="minorHAnsi"/>
          <w:bCs/>
        </w:rPr>
        <w:t>a general term for the entire temple area</w:t>
      </w:r>
      <w:r w:rsidR="00D14053" w:rsidRPr="001005B7">
        <w:rPr>
          <w:rFonts w:cstheme="minorHAnsi"/>
          <w:bCs/>
        </w:rPr>
        <w:t>) in the sense of outside it</w:t>
      </w:r>
      <w:r w:rsidR="00AB6BB3" w:rsidRPr="001005B7">
        <w:rPr>
          <w:rFonts w:cstheme="minorHAnsi"/>
          <w:bCs/>
        </w:rPr>
        <w:t xml:space="preserve">. </w:t>
      </w:r>
      <w:r w:rsidR="00F93025" w:rsidRPr="001005B7">
        <w:rPr>
          <w:rFonts w:cstheme="minorHAnsi"/>
          <w:bCs/>
        </w:rPr>
        <w:t>They behave as if they think Yahweh cannot see</w:t>
      </w:r>
      <w:r w:rsidR="009A1B51" w:rsidRPr="001005B7">
        <w:rPr>
          <w:rFonts w:cstheme="minorHAnsi"/>
          <w:bCs/>
        </w:rPr>
        <w:t xml:space="preserve"> there</w:t>
      </w:r>
      <w:r w:rsidR="00C37061" w:rsidRPr="001005B7">
        <w:rPr>
          <w:rFonts w:cstheme="minorHAnsi"/>
          <w:bCs/>
        </w:rPr>
        <w:t>!</w:t>
      </w:r>
      <w:r w:rsidR="00862EFD" w:rsidRPr="001005B7">
        <w:rPr>
          <w:rFonts w:cstheme="minorHAnsi"/>
          <w:bCs/>
        </w:rPr>
        <w:t xml:space="preserve"> </w:t>
      </w:r>
      <w:r w:rsidR="00F93025">
        <w:rPr>
          <w:rFonts w:cstheme="minorHAnsi"/>
          <w:bCs/>
        </w:rPr>
        <w:t>P</w:t>
      </w:r>
      <w:r w:rsidR="00862EFD" w:rsidRPr="001005B7">
        <w:rPr>
          <w:rFonts w:cstheme="minorHAnsi"/>
          <w:bCs/>
        </w:rPr>
        <w:t xml:space="preserve">rophets </w:t>
      </w:r>
      <w:r w:rsidR="002E05E8" w:rsidRPr="001005B7">
        <w:rPr>
          <w:rFonts w:cstheme="minorHAnsi"/>
          <w:bCs/>
        </w:rPr>
        <w:t xml:space="preserve">can </w:t>
      </w:r>
      <w:r w:rsidR="00862EFD" w:rsidRPr="001005B7">
        <w:rPr>
          <w:rFonts w:cstheme="minorHAnsi"/>
          <w:bCs/>
        </w:rPr>
        <w:t>berate Israel for the implications o</w:t>
      </w:r>
      <w:r w:rsidR="00DD1390" w:rsidRPr="001005B7">
        <w:rPr>
          <w:rFonts w:cstheme="minorHAnsi"/>
          <w:bCs/>
        </w:rPr>
        <w:t>f</w:t>
      </w:r>
      <w:r w:rsidR="00862EFD" w:rsidRPr="001005B7">
        <w:rPr>
          <w:rFonts w:cstheme="minorHAnsi"/>
          <w:bCs/>
        </w:rPr>
        <w:t xml:space="preserve"> their actions and not just for what they </w:t>
      </w:r>
      <w:r w:rsidR="00DD1390" w:rsidRPr="001005B7">
        <w:rPr>
          <w:rFonts w:cstheme="minorHAnsi"/>
          <w:bCs/>
        </w:rPr>
        <w:t>explicitly say, and Yahweh may be doing so here</w:t>
      </w:r>
      <w:r w:rsidR="002E05E8" w:rsidRPr="001005B7">
        <w:rPr>
          <w:rFonts w:cstheme="minorHAnsi"/>
          <w:bCs/>
        </w:rPr>
        <w:t xml:space="preserve">. </w:t>
      </w:r>
    </w:p>
    <w:p w14:paraId="672387E9" w14:textId="7C43AFFC" w:rsidR="00E657C4" w:rsidRPr="001005B7" w:rsidRDefault="007E0280" w:rsidP="00E01F9B">
      <w:pPr>
        <w:rPr>
          <w:rFonts w:cstheme="minorHAnsi"/>
          <w:bCs/>
        </w:rPr>
      </w:pPr>
      <w:r w:rsidRPr="001005B7">
        <w:rPr>
          <w:rFonts w:cstheme="minorHAnsi"/>
          <w:b/>
        </w:rPr>
        <w:t>8:</w:t>
      </w:r>
      <w:r w:rsidR="00180EC9" w:rsidRPr="001005B7">
        <w:rPr>
          <w:rFonts w:cstheme="minorHAnsi"/>
          <w:b/>
        </w:rPr>
        <w:t>7</w:t>
      </w:r>
      <w:r w:rsidR="00F46900" w:rsidRPr="001005B7">
        <w:rPr>
          <w:rFonts w:cstheme="minorHAnsi"/>
          <w:b/>
        </w:rPr>
        <w:t>–</w:t>
      </w:r>
      <w:r w:rsidR="00B25E1D" w:rsidRPr="001005B7">
        <w:rPr>
          <w:rFonts w:cstheme="minorHAnsi"/>
          <w:b/>
        </w:rPr>
        <w:t>1</w:t>
      </w:r>
      <w:r w:rsidR="00C90B64" w:rsidRPr="001005B7">
        <w:rPr>
          <w:rFonts w:cstheme="minorHAnsi"/>
          <w:b/>
        </w:rPr>
        <w:t>0</w:t>
      </w:r>
      <w:r w:rsidR="003F7F85" w:rsidRPr="001005B7">
        <w:rPr>
          <w:rFonts w:cstheme="minorHAnsi"/>
          <w:b/>
        </w:rPr>
        <w:t xml:space="preserve"> </w:t>
      </w:r>
      <w:r w:rsidR="007B3539" w:rsidRPr="001005B7">
        <w:rPr>
          <w:rFonts w:cstheme="minorHAnsi"/>
          <w:bCs/>
        </w:rPr>
        <w:t>Th</w:t>
      </w:r>
      <w:r w:rsidR="00C41965" w:rsidRPr="001005B7">
        <w:rPr>
          <w:rFonts w:cstheme="minorHAnsi"/>
          <w:bCs/>
        </w:rPr>
        <w:t>e</w:t>
      </w:r>
      <w:r w:rsidR="007B3539" w:rsidRPr="001005B7">
        <w:rPr>
          <w:rFonts w:cstheme="minorHAnsi"/>
          <w:bCs/>
        </w:rPr>
        <w:t xml:space="preserve"> second </w:t>
      </w:r>
      <w:r w:rsidR="000D53DC" w:rsidRPr="001005B7">
        <w:rPr>
          <w:rFonts w:cstheme="minorHAnsi"/>
          <w:bCs/>
        </w:rPr>
        <w:t>scene in the vision</w:t>
      </w:r>
      <w:r w:rsidR="007B3539" w:rsidRPr="001005B7">
        <w:rPr>
          <w:rFonts w:cstheme="minorHAnsi"/>
          <w:bCs/>
        </w:rPr>
        <w:t xml:space="preserve"> is much the most complex. </w:t>
      </w:r>
      <w:r w:rsidR="00972F73" w:rsidRPr="001005B7">
        <w:rPr>
          <w:rFonts w:cstheme="minorHAnsi"/>
          <w:bCs/>
        </w:rPr>
        <w:t>While</w:t>
      </w:r>
      <w:r w:rsidR="001D79C0" w:rsidRPr="001005B7">
        <w:rPr>
          <w:rFonts w:cstheme="minorHAnsi"/>
          <w:bCs/>
        </w:rPr>
        <w:t xml:space="preserve"> </w:t>
      </w:r>
      <w:r w:rsidR="00514CD7" w:rsidRPr="001005B7">
        <w:rPr>
          <w:rFonts w:cstheme="minorHAnsi"/>
          <w:bCs/>
        </w:rPr>
        <w:t>Solomon’s</w:t>
      </w:r>
      <w:r w:rsidR="00972F73" w:rsidRPr="001005B7">
        <w:rPr>
          <w:rFonts w:cstheme="minorHAnsi"/>
          <w:bCs/>
        </w:rPr>
        <w:t xml:space="preserve"> </w:t>
      </w:r>
      <w:r w:rsidR="001D79C0" w:rsidRPr="001005B7">
        <w:rPr>
          <w:rFonts w:cstheme="minorHAnsi"/>
          <w:bCs/>
        </w:rPr>
        <w:t>palace had cour</w:t>
      </w:r>
      <w:r w:rsidR="00514CD7" w:rsidRPr="001005B7">
        <w:rPr>
          <w:rFonts w:cstheme="minorHAnsi"/>
          <w:bCs/>
        </w:rPr>
        <w:t>tyards (e.g</w:t>
      </w:r>
      <w:r w:rsidR="00E345A1" w:rsidRPr="001005B7">
        <w:rPr>
          <w:rFonts w:cstheme="minorHAnsi"/>
          <w:bCs/>
        </w:rPr>
        <w:t>.</w:t>
      </w:r>
      <w:r w:rsidR="00514CD7" w:rsidRPr="001005B7">
        <w:rPr>
          <w:rFonts w:cstheme="minorHAnsi"/>
          <w:bCs/>
        </w:rPr>
        <w:t xml:space="preserve">, </w:t>
      </w:r>
      <w:r w:rsidR="00296C0C" w:rsidRPr="001005B7">
        <w:t>1 Kgs</w:t>
      </w:r>
      <w:r w:rsidR="00514CD7" w:rsidRPr="001005B7">
        <w:rPr>
          <w:rFonts w:cstheme="minorHAnsi"/>
          <w:bCs/>
        </w:rPr>
        <w:t xml:space="preserve"> 7:</w:t>
      </w:r>
      <w:r w:rsidR="00E345A1" w:rsidRPr="001005B7">
        <w:rPr>
          <w:rFonts w:cstheme="minorHAnsi"/>
          <w:bCs/>
        </w:rPr>
        <w:t>8</w:t>
      </w:r>
      <w:r w:rsidR="00F46900" w:rsidRPr="001005B7">
        <w:rPr>
          <w:rFonts w:cstheme="minorHAnsi"/>
          <w:bCs/>
        </w:rPr>
        <w:t>–</w:t>
      </w:r>
      <w:r w:rsidR="00383AAA" w:rsidRPr="001005B7">
        <w:rPr>
          <w:rFonts w:cstheme="minorHAnsi"/>
          <w:bCs/>
        </w:rPr>
        <w:t>12</w:t>
      </w:r>
      <w:r w:rsidR="00514CD7" w:rsidRPr="001005B7">
        <w:rPr>
          <w:rFonts w:cstheme="minorHAnsi"/>
          <w:bCs/>
        </w:rPr>
        <w:t>)</w:t>
      </w:r>
      <w:r w:rsidR="00F116FF" w:rsidRPr="001005B7">
        <w:rPr>
          <w:rFonts w:cstheme="minorHAnsi"/>
          <w:bCs/>
        </w:rPr>
        <w:t>,</w:t>
      </w:r>
      <w:r w:rsidR="00972F73" w:rsidRPr="001005B7">
        <w:rPr>
          <w:rFonts w:cstheme="minorHAnsi"/>
          <w:bCs/>
        </w:rPr>
        <w:t xml:space="preserve"> </w:t>
      </w:r>
      <w:r w:rsidR="00D776D0" w:rsidRPr="001005B7">
        <w:rPr>
          <w:rFonts w:cstheme="minorHAnsi"/>
          <w:bCs/>
        </w:rPr>
        <w:t>elsewhere Ezekiel’s references</w:t>
      </w:r>
      <w:r w:rsidR="00F614D5" w:rsidRPr="001005B7">
        <w:rPr>
          <w:rFonts w:cstheme="minorHAnsi"/>
          <w:bCs/>
        </w:rPr>
        <w:t xml:space="preserve"> are to the temple courtyard</w:t>
      </w:r>
      <w:r w:rsidR="004D3171" w:rsidRPr="001005B7">
        <w:rPr>
          <w:rFonts w:cstheme="minorHAnsi"/>
          <w:bCs/>
        </w:rPr>
        <w:t>s, and so it would be he</w:t>
      </w:r>
      <w:r w:rsidR="00EA6E9B" w:rsidRPr="001005B7">
        <w:rPr>
          <w:rFonts w:cstheme="minorHAnsi"/>
          <w:bCs/>
        </w:rPr>
        <w:t xml:space="preserve">re. It is not clear what the </w:t>
      </w:r>
      <w:r w:rsidR="00BC42CD" w:rsidRPr="001005B7">
        <w:rPr>
          <w:rFonts w:cstheme="minorHAnsi"/>
          <w:bCs/>
        </w:rPr>
        <w:t>“</w:t>
      </w:r>
      <w:r w:rsidR="00EA6E9B" w:rsidRPr="001005B7">
        <w:rPr>
          <w:rFonts w:cstheme="minorHAnsi"/>
          <w:bCs/>
        </w:rPr>
        <w:t>wall</w:t>
      </w:r>
      <w:r w:rsidR="00BC42CD" w:rsidRPr="001005B7">
        <w:rPr>
          <w:rFonts w:cstheme="minorHAnsi"/>
          <w:bCs/>
        </w:rPr>
        <w:t>”</w:t>
      </w:r>
      <w:r w:rsidR="00EA6E9B" w:rsidRPr="001005B7">
        <w:rPr>
          <w:rFonts w:cstheme="minorHAnsi"/>
          <w:bCs/>
        </w:rPr>
        <w:t xml:space="preserve"> </w:t>
      </w:r>
      <w:r w:rsidR="00F15B22" w:rsidRPr="001005B7">
        <w:rPr>
          <w:rFonts w:cstheme="minorHAnsi"/>
          <w:bCs/>
        </w:rPr>
        <w:t xml:space="preserve">or the </w:t>
      </w:r>
      <w:r w:rsidR="00BC42CD" w:rsidRPr="001005B7">
        <w:rPr>
          <w:rFonts w:cstheme="minorHAnsi"/>
          <w:bCs/>
        </w:rPr>
        <w:t>“</w:t>
      </w:r>
      <w:r w:rsidR="00F15B22" w:rsidRPr="001005B7">
        <w:rPr>
          <w:rFonts w:cstheme="minorHAnsi"/>
          <w:bCs/>
        </w:rPr>
        <w:t>entrance</w:t>
      </w:r>
      <w:r w:rsidR="00BC42CD" w:rsidRPr="001005B7">
        <w:rPr>
          <w:rFonts w:cstheme="minorHAnsi"/>
          <w:bCs/>
        </w:rPr>
        <w:t>”</w:t>
      </w:r>
      <w:r w:rsidR="00F15B22" w:rsidRPr="001005B7">
        <w:rPr>
          <w:rFonts w:cstheme="minorHAnsi"/>
          <w:bCs/>
          <w:i/>
          <w:iCs/>
        </w:rPr>
        <w:t xml:space="preserve"> </w:t>
      </w:r>
      <w:r w:rsidR="00EA6E9B" w:rsidRPr="001005B7">
        <w:rPr>
          <w:rFonts w:cstheme="minorHAnsi"/>
          <w:bCs/>
        </w:rPr>
        <w:t>would refer to, but th</w:t>
      </w:r>
      <w:r w:rsidR="00D13C7E" w:rsidRPr="001005B7">
        <w:rPr>
          <w:rFonts w:cstheme="minorHAnsi"/>
          <w:bCs/>
        </w:rPr>
        <w:t>ese</w:t>
      </w:r>
      <w:r w:rsidR="00EA6E9B" w:rsidRPr="001005B7">
        <w:rPr>
          <w:rFonts w:cstheme="minorHAnsi"/>
          <w:bCs/>
        </w:rPr>
        <w:t xml:space="preserve"> </w:t>
      </w:r>
      <w:r w:rsidR="005C0773">
        <w:rPr>
          <w:rFonts w:cstheme="minorHAnsi"/>
          <w:bCs/>
        </w:rPr>
        <w:t xml:space="preserve">may </w:t>
      </w:r>
      <w:r w:rsidR="00EA6E9B" w:rsidRPr="001005B7">
        <w:rPr>
          <w:rFonts w:cstheme="minorHAnsi"/>
          <w:bCs/>
        </w:rPr>
        <w:t xml:space="preserve">exist only in </w:t>
      </w:r>
      <w:r w:rsidR="00F15B22" w:rsidRPr="001005B7">
        <w:rPr>
          <w:rFonts w:cstheme="minorHAnsi"/>
          <w:bCs/>
        </w:rPr>
        <w:t>the vision</w:t>
      </w:r>
      <w:r w:rsidR="0049221A" w:rsidRPr="001005B7">
        <w:rPr>
          <w:rFonts w:cstheme="minorHAnsi"/>
          <w:bCs/>
        </w:rPr>
        <w:t>, as</w:t>
      </w:r>
      <w:r w:rsidR="00524A66" w:rsidRPr="001005B7">
        <w:rPr>
          <w:rFonts w:cstheme="minorHAnsi"/>
          <w:bCs/>
        </w:rPr>
        <w:t xml:space="preserve"> would more evidently </w:t>
      </w:r>
      <w:r w:rsidR="00ED7945" w:rsidRPr="001005B7">
        <w:rPr>
          <w:rFonts w:cstheme="minorHAnsi"/>
          <w:bCs/>
        </w:rPr>
        <w:t xml:space="preserve">be true of </w:t>
      </w:r>
      <w:r w:rsidR="00BC42CD" w:rsidRPr="001005B7">
        <w:rPr>
          <w:rFonts w:cstheme="minorHAnsi"/>
          <w:bCs/>
        </w:rPr>
        <w:t>“</w:t>
      </w:r>
      <w:r w:rsidR="00ED7945" w:rsidRPr="001005B7">
        <w:t>every</w:t>
      </w:r>
      <w:r w:rsidR="00ED7945" w:rsidRPr="001005B7">
        <w:rPr>
          <w:i/>
          <w:iCs/>
        </w:rPr>
        <w:t xml:space="preserve"> </w:t>
      </w:r>
      <w:r w:rsidR="00ED7945" w:rsidRPr="001005B7">
        <w:t>form</w:t>
      </w:r>
      <w:r w:rsidR="00ED7945" w:rsidRPr="001005B7">
        <w:rPr>
          <w:i/>
          <w:iCs/>
        </w:rPr>
        <w:t xml:space="preserve"> </w:t>
      </w:r>
      <w:r w:rsidR="00ED7945" w:rsidRPr="001005B7">
        <w:t>of</w:t>
      </w:r>
      <w:r w:rsidR="00ED7945" w:rsidRPr="001005B7">
        <w:rPr>
          <w:i/>
          <w:iCs/>
        </w:rPr>
        <w:t xml:space="preserve"> </w:t>
      </w:r>
      <w:r w:rsidR="00ED7945" w:rsidRPr="001005B7">
        <w:t>reptile</w:t>
      </w:r>
      <w:r w:rsidR="00ED7945" w:rsidRPr="001005B7">
        <w:rPr>
          <w:i/>
          <w:iCs/>
        </w:rPr>
        <w:t xml:space="preserve"> </w:t>
      </w:r>
      <w:r w:rsidR="00ED7945" w:rsidRPr="001005B7">
        <w:t>and</w:t>
      </w:r>
      <w:r w:rsidR="00ED7945" w:rsidRPr="001005B7">
        <w:rPr>
          <w:i/>
          <w:iCs/>
        </w:rPr>
        <w:t xml:space="preserve"> </w:t>
      </w:r>
      <w:r w:rsidR="00ED7945" w:rsidRPr="001005B7">
        <w:t>anima</w:t>
      </w:r>
      <w:r w:rsidR="00D657C2" w:rsidRPr="001005B7">
        <w:t>l</w:t>
      </w:r>
      <w:r w:rsidR="001F26D5" w:rsidRPr="001005B7">
        <w:rPr>
          <w:i/>
          <w:iCs/>
        </w:rPr>
        <w:t xml:space="preserve">, </w:t>
      </w:r>
      <w:r w:rsidR="001F26D5" w:rsidRPr="001005B7">
        <w:t>something</w:t>
      </w:r>
      <w:r w:rsidR="001F26D5" w:rsidRPr="001005B7">
        <w:rPr>
          <w:i/>
          <w:iCs/>
        </w:rPr>
        <w:t xml:space="preserve"> </w:t>
      </w:r>
      <w:r w:rsidR="001F26D5" w:rsidRPr="001005B7">
        <w:t>abhorrent</w:t>
      </w:r>
      <w:r w:rsidR="00ED7945" w:rsidRPr="001005B7">
        <w:rPr>
          <w:i/>
          <w:iCs/>
        </w:rPr>
        <w:t xml:space="preserve"> </w:t>
      </w:r>
      <w:r w:rsidR="00ED7945" w:rsidRPr="001005B7">
        <w:t>portrayed</w:t>
      </w:r>
      <w:r w:rsidR="00ED7945" w:rsidRPr="001005B7">
        <w:rPr>
          <w:i/>
          <w:iCs/>
        </w:rPr>
        <w:t xml:space="preserve"> </w:t>
      </w:r>
      <w:r w:rsidR="00ED7945" w:rsidRPr="001005B7">
        <w:t>on</w:t>
      </w:r>
      <w:r w:rsidR="00ED7945" w:rsidRPr="001005B7">
        <w:rPr>
          <w:i/>
          <w:iCs/>
        </w:rPr>
        <w:t xml:space="preserve"> </w:t>
      </w:r>
      <w:r w:rsidR="00ED7945" w:rsidRPr="001005B7">
        <w:t>the</w:t>
      </w:r>
      <w:r w:rsidR="00ED7945" w:rsidRPr="001005B7">
        <w:rPr>
          <w:i/>
          <w:iCs/>
        </w:rPr>
        <w:t xml:space="preserve"> </w:t>
      </w:r>
      <w:r w:rsidR="00ED7945" w:rsidRPr="001005B7">
        <w:t>wall</w:t>
      </w:r>
      <w:r w:rsidR="00846711" w:rsidRPr="001005B7">
        <w:t>.</w:t>
      </w:r>
      <w:r w:rsidR="00BC42CD" w:rsidRPr="001005B7">
        <w:t>”</w:t>
      </w:r>
      <w:r w:rsidR="00011C97" w:rsidRPr="001005B7">
        <w:t xml:space="preserve"> </w:t>
      </w:r>
      <w:r w:rsidR="009D3695" w:rsidRPr="001005B7">
        <w:t>Reptiles</w:t>
      </w:r>
      <w:r w:rsidR="00DA77BF" w:rsidRPr="001005B7">
        <w:t xml:space="preserve"> appear with quite neutral significance in Genesis </w:t>
      </w:r>
      <w:r w:rsidR="0024741A" w:rsidRPr="001005B7">
        <w:t xml:space="preserve">and elsewhere </w:t>
      </w:r>
      <w:r w:rsidR="00DA77BF" w:rsidRPr="001005B7">
        <w:t xml:space="preserve">as part of God’s creation, but </w:t>
      </w:r>
      <w:r w:rsidR="00CD595F" w:rsidRPr="001005B7">
        <w:t>here the</w:t>
      </w:r>
      <w:r w:rsidR="00BE5EDE" w:rsidRPr="001005B7">
        <w:t xml:space="preserve"> context give</w:t>
      </w:r>
      <w:r w:rsidR="006647CD" w:rsidRPr="001005B7">
        <w:t>s</w:t>
      </w:r>
      <w:r w:rsidR="00BE5EDE" w:rsidRPr="001005B7">
        <w:t xml:space="preserve"> them negative connotations. </w:t>
      </w:r>
      <w:r w:rsidR="00406394" w:rsidRPr="001005B7">
        <w:t>Likewise t</w:t>
      </w:r>
      <w:r w:rsidR="00AF077A" w:rsidRPr="001005B7">
        <w:t>here was nothing wrong with engravings</w:t>
      </w:r>
      <w:r w:rsidR="00C17488" w:rsidRPr="001005B7">
        <w:t xml:space="preserve"> in themselves</w:t>
      </w:r>
      <w:r w:rsidR="00E12276" w:rsidRPr="001005B7">
        <w:t>.</w:t>
      </w:r>
      <w:r w:rsidR="00C17488" w:rsidRPr="001005B7">
        <w:t xml:space="preserve"> </w:t>
      </w:r>
      <w:r w:rsidR="00E12276" w:rsidRPr="001005B7">
        <w:t>T</w:t>
      </w:r>
      <w:r w:rsidR="00C17488" w:rsidRPr="001005B7">
        <w:t>he temple</w:t>
      </w:r>
      <w:r w:rsidR="00966201" w:rsidRPr="001005B7">
        <w:t xml:space="preserve"> had them</w:t>
      </w:r>
      <w:r w:rsidR="00AF077A" w:rsidRPr="001005B7">
        <w:t xml:space="preserve"> </w:t>
      </w:r>
      <w:r w:rsidR="00966201" w:rsidRPr="001005B7">
        <w:t>(</w:t>
      </w:r>
      <w:r w:rsidR="00296C0C" w:rsidRPr="001005B7">
        <w:t>1 Kgs</w:t>
      </w:r>
      <w:r w:rsidR="00966201" w:rsidRPr="001005B7">
        <w:t xml:space="preserve"> 6</w:t>
      </w:r>
      <w:r w:rsidR="003C0F57" w:rsidRPr="001005B7">
        <w:t>). The issue was what</w:t>
      </w:r>
      <w:r w:rsidR="00FE5E2D" w:rsidRPr="001005B7">
        <w:t xml:space="preserve"> engravings </w:t>
      </w:r>
      <w:r w:rsidR="00893BB4" w:rsidRPr="001005B7">
        <w:t>represented</w:t>
      </w:r>
      <w:r w:rsidR="003C0F57" w:rsidRPr="001005B7">
        <w:t xml:space="preserve">. </w:t>
      </w:r>
      <w:r w:rsidR="006647CD" w:rsidRPr="001005B7">
        <w:t>The idea of portraying the</w:t>
      </w:r>
      <w:r w:rsidR="00702FE0" w:rsidRPr="001005B7">
        <w:t>se creatures</w:t>
      </w:r>
      <w:r w:rsidR="006647CD" w:rsidRPr="001005B7">
        <w:t xml:space="preserve"> compares with the prohibitions in Deut 4:16</w:t>
      </w:r>
      <w:r w:rsidR="00F46900" w:rsidRPr="001005B7">
        <w:t>–</w:t>
      </w:r>
      <w:r w:rsidR="006647CD" w:rsidRPr="001005B7">
        <w:t>24</w:t>
      </w:r>
      <w:r w:rsidR="001102CE" w:rsidRPr="001005B7">
        <w:t>,</w:t>
      </w:r>
      <w:r w:rsidR="006514DF">
        <w:t xml:space="preserve"> a chapter with which Ezek 8–11 has a number of links (Ganzel 20</w:t>
      </w:r>
      <w:r w:rsidR="00FD6B89">
        <w:t>20</w:t>
      </w:r>
      <w:r w:rsidR="006514DF">
        <w:t xml:space="preserve">, </w:t>
      </w:r>
      <w:r w:rsidR="0023613D">
        <w:t>65–70).</w:t>
      </w:r>
      <w:r w:rsidR="001102CE" w:rsidRPr="001005B7">
        <w:t xml:space="preserve"> while</w:t>
      </w:r>
      <w:r w:rsidR="006647CD" w:rsidRPr="001005B7">
        <w:t xml:space="preserve"> </w:t>
      </w:r>
      <w:r w:rsidR="00DA77BF" w:rsidRPr="001005B7">
        <w:t>Lev 11</w:t>
      </w:r>
      <w:r w:rsidR="00CF2542" w:rsidRPr="001005B7">
        <w:t xml:space="preserve"> </w:t>
      </w:r>
      <w:r w:rsidR="00916EB0" w:rsidRPr="001005B7">
        <w:t xml:space="preserve">speaks of </w:t>
      </w:r>
      <w:r w:rsidR="001D0365" w:rsidRPr="001005B7">
        <w:t>“</w:t>
      </w:r>
      <w:r w:rsidR="00D94E58" w:rsidRPr="001005B7">
        <w:t>abhorrent</w:t>
      </w:r>
      <w:r w:rsidR="001D0365" w:rsidRPr="001005B7">
        <w:t>”</w:t>
      </w:r>
      <w:r w:rsidR="00D94E58" w:rsidRPr="001005B7">
        <w:rPr>
          <w:i/>
          <w:iCs/>
        </w:rPr>
        <w:t xml:space="preserve"> </w:t>
      </w:r>
      <w:r w:rsidR="00D94E58" w:rsidRPr="001005B7">
        <w:t>creatures</w:t>
      </w:r>
      <w:r w:rsidR="00916EB0" w:rsidRPr="001005B7">
        <w:t xml:space="preserve"> </w:t>
      </w:r>
      <w:r w:rsidR="00D94E58" w:rsidRPr="001005B7">
        <w:t xml:space="preserve">that are </w:t>
      </w:r>
      <w:r w:rsidR="00CF2542" w:rsidRPr="001005B7">
        <w:t>forbidden to Israelites</w:t>
      </w:r>
      <w:r w:rsidR="00D94E58" w:rsidRPr="001005B7">
        <w:t xml:space="preserve"> (</w:t>
      </w:r>
      <w:r w:rsidR="001102CE" w:rsidRPr="001005B7">
        <w:t>Ezekiel</w:t>
      </w:r>
      <w:r w:rsidR="002B1151" w:rsidRPr="001005B7">
        <w:t xml:space="preserve"> uses the Leviticus word</w:t>
      </w:r>
      <w:r w:rsidR="00893BB4" w:rsidRPr="001005B7">
        <w:t xml:space="preserve"> </w:t>
      </w:r>
      <w:r w:rsidR="00893BB4" w:rsidRPr="001005B7">
        <w:rPr>
          <w:rFonts w:cstheme="minorHAnsi"/>
          <w:rtl/>
          <w:lang w:bidi="he-IL"/>
        </w:rPr>
        <w:t>שׁ</w:t>
      </w:r>
      <w:r w:rsidR="00C67014" w:rsidRPr="001005B7">
        <w:rPr>
          <w:rFonts w:cstheme="minorHAnsi"/>
          <w:rtl/>
          <w:lang w:bidi="he-IL"/>
        </w:rPr>
        <w:t>ֶקֶץ</w:t>
      </w:r>
      <w:r w:rsidR="002B1151" w:rsidRPr="001005B7">
        <w:t xml:space="preserve"> </w:t>
      </w:r>
      <w:r w:rsidR="00E3116F" w:rsidRPr="001005B7">
        <w:rPr>
          <w:rFonts w:cstheme="minorHAnsi"/>
        </w:rPr>
        <w:t>instead of his usual</w:t>
      </w:r>
      <w:r w:rsidR="00C67014" w:rsidRPr="001005B7">
        <w:rPr>
          <w:rFonts w:cstheme="minorHAnsi"/>
        </w:rPr>
        <w:t xml:space="preserve"> </w:t>
      </w:r>
      <w:r w:rsidR="00C67014" w:rsidRPr="001005B7">
        <w:rPr>
          <w:rFonts w:cstheme="minorHAnsi"/>
          <w:rtl/>
          <w:lang w:bidi="he-IL"/>
        </w:rPr>
        <w:t>שׁ</w:t>
      </w:r>
      <w:r w:rsidR="00966FE5" w:rsidRPr="001005B7">
        <w:rPr>
          <w:rFonts w:cstheme="minorHAnsi"/>
          <w:rtl/>
          <w:lang w:bidi="he-IL"/>
        </w:rPr>
        <w:t>ׅקּּוּץ</w:t>
      </w:r>
      <w:r w:rsidR="001D0365" w:rsidRPr="001005B7">
        <w:rPr>
          <w:rFonts w:cstheme="minorHAnsi"/>
        </w:rPr>
        <w:t>).</w:t>
      </w:r>
      <w:r w:rsidR="00F15007" w:rsidRPr="001005B7">
        <w:t xml:space="preserve"> </w:t>
      </w:r>
      <w:r w:rsidR="005B4807" w:rsidRPr="001005B7">
        <w:t xml:space="preserve">Lions and dragons </w:t>
      </w:r>
      <w:r w:rsidR="001102CE" w:rsidRPr="001005B7">
        <w:t xml:space="preserve">feature </w:t>
      </w:r>
      <w:r w:rsidR="005B4807" w:rsidRPr="001005B7">
        <w:t xml:space="preserve">on the Ishtar Gate </w:t>
      </w:r>
      <w:r w:rsidR="001102CE" w:rsidRPr="001005B7">
        <w:t>in B</w:t>
      </w:r>
      <w:r w:rsidR="0076189B" w:rsidRPr="001005B7">
        <w:t>abylon</w:t>
      </w:r>
      <w:r w:rsidR="00F64D96" w:rsidRPr="001005B7">
        <w:t xml:space="preserve"> (Greenberg</w:t>
      </w:r>
      <w:r w:rsidR="003F6C53" w:rsidRPr="001005B7">
        <w:t>,</w:t>
      </w:r>
      <w:r w:rsidR="00880E95" w:rsidRPr="001005B7">
        <w:t xml:space="preserve"> 1:</w:t>
      </w:r>
      <w:r w:rsidR="00F64D96" w:rsidRPr="001005B7">
        <w:t>169</w:t>
      </w:r>
      <w:r w:rsidR="00880E95" w:rsidRPr="001005B7">
        <w:t>)</w:t>
      </w:r>
      <w:r w:rsidR="00623172" w:rsidRPr="001005B7">
        <w:t>,</w:t>
      </w:r>
      <w:r w:rsidR="00462B4F" w:rsidRPr="001005B7">
        <w:t xml:space="preserve"> </w:t>
      </w:r>
      <w:r w:rsidR="00372C43" w:rsidRPr="001005B7">
        <w:t xml:space="preserve">and </w:t>
      </w:r>
      <w:r w:rsidR="00623172" w:rsidRPr="001005B7">
        <w:t xml:space="preserve">images of deities in animal form </w:t>
      </w:r>
      <w:r w:rsidR="00372C43" w:rsidRPr="001005B7">
        <w:t xml:space="preserve">feature </w:t>
      </w:r>
      <w:r w:rsidR="00035171" w:rsidRPr="001005B7">
        <w:t>on the walls of tombs in Egypt, Judah’s key all</w:t>
      </w:r>
      <w:r w:rsidR="00F41BF6" w:rsidRPr="001005B7">
        <w:t>y</w:t>
      </w:r>
      <w:r w:rsidR="00880E95" w:rsidRPr="001005B7">
        <w:t xml:space="preserve"> (Blenkinsopp, 55; Wright, 102</w:t>
      </w:r>
      <w:r w:rsidR="00F46900" w:rsidRPr="001005B7">
        <w:t>–</w:t>
      </w:r>
      <w:r w:rsidR="00880E95" w:rsidRPr="001005B7">
        <w:t>3).</w:t>
      </w:r>
      <w:r w:rsidR="00895CA9" w:rsidRPr="001005B7">
        <w:t xml:space="preserve"> So </w:t>
      </w:r>
      <w:r w:rsidR="002C230E" w:rsidRPr="001005B7">
        <w:t xml:space="preserve">the portrayal of these engravings might combine </w:t>
      </w:r>
      <w:r w:rsidR="00462B4F" w:rsidRPr="001005B7">
        <w:t>ref</w:t>
      </w:r>
      <w:r w:rsidR="002C230E" w:rsidRPr="001005B7">
        <w:t>erence</w:t>
      </w:r>
      <w:r w:rsidR="00462B4F" w:rsidRPr="001005B7">
        <w:t xml:space="preserve">s to </w:t>
      </w:r>
      <w:r w:rsidR="002C230E" w:rsidRPr="001005B7">
        <w:t xml:space="preserve">Deuteronomy, Leviticus, </w:t>
      </w:r>
      <w:r w:rsidR="00462B4F" w:rsidRPr="001005B7">
        <w:t>Bab</w:t>
      </w:r>
      <w:r w:rsidR="009E3542" w:rsidRPr="001005B7">
        <w:t>ylon, and Egypt, and suggest turning away from Yahweh</w:t>
      </w:r>
      <w:r w:rsidR="00011C97" w:rsidRPr="001005B7">
        <w:t xml:space="preserve"> </w:t>
      </w:r>
      <w:r w:rsidR="00462B4F" w:rsidRPr="001005B7">
        <w:t>and</w:t>
      </w:r>
      <w:r w:rsidR="00DB7166" w:rsidRPr="001005B7">
        <w:t xml:space="preserve"> </w:t>
      </w:r>
      <w:r w:rsidR="009B565F" w:rsidRPr="001005B7">
        <w:t xml:space="preserve">implicitly </w:t>
      </w:r>
      <w:r w:rsidR="00DB7166" w:rsidRPr="001005B7">
        <w:t>rejecti</w:t>
      </w:r>
      <w:r w:rsidR="009E3542" w:rsidRPr="001005B7">
        <w:t>ng</w:t>
      </w:r>
      <w:r w:rsidR="00DB7166" w:rsidRPr="001005B7">
        <w:t xml:space="preserve"> the distinctiveness of Yahweh’s expectations of Israelites</w:t>
      </w:r>
      <w:r w:rsidR="00AC3FBA">
        <w:t>. This</w:t>
      </w:r>
      <w:r w:rsidR="00DB7166" w:rsidRPr="001005B7">
        <w:t xml:space="preserve"> could be an</w:t>
      </w:r>
      <w:r w:rsidR="00D26488" w:rsidRPr="001005B7">
        <w:t xml:space="preserve"> issue</w:t>
      </w:r>
      <w:r w:rsidR="00DB7166" w:rsidRPr="001005B7">
        <w:t xml:space="preserve"> </w:t>
      </w:r>
      <w:r w:rsidR="009B565F" w:rsidRPr="001005B7">
        <w:t xml:space="preserve">both </w:t>
      </w:r>
      <w:r w:rsidR="00DB7166" w:rsidRPr="001005B7">
        <w:t xml:space="preserve">in </w:t>
      </w:r>
      <w:proofErr w:type="spellStart"/>
      <w:r w:rsidR="00DB7166" w:rsidRPr="001005B7">
        <w:t>Kebar</w:t>
      </w:r>
      <w:proofErr w:type="spellEnd"/>
      <w:r w:rsidR="00DB7166" w:rsidRPr="001005B7">
        <w:t xml:space="preserve"> </w:t>
      </w:r>
      <w:r w:rsidR="009B565F" w:rsidRPr="001005B7">
        <w:t>and</w:t>
      </w:r>
      <w:r w:rsidR="00DB7166" w:rsidRPr="001005B7">
        <w:t xml:space="preserve"> in Jerusalem. </w:t>
      </w:r>
      <w:r w:rsidR="00330F38" w:rsidRPr="001005B7">
        <w:t xml:space="preserve">Once again, the portrayal of </w:t>
      </w:r>
      <w:r w:rsidR="00281589" w:rsidRPr="001005B7">
        <w:t xml:space="preserve">people acting </w:t>
      </w:r>
      <w:r w:rsidR="005A425F" w:rsidRPr="001005B7">
        <w:t xml:space="preserve">in </w:t>
      </w:r>
      <w:r w:rsidR="009E7B31" w:rsidRPr="001005B7">
        <w:t xml:space="preserve">hole-and-corner </w:t>
      </w:r>
      <w:r w:rsidR="00A34738" w:rsidRPr="001005B7">
        <w:t xml:space="preserve">locations suggests </w:t>
      </w:r>
      <w:r w:rsidR="0089396F" w:rsidRPr="001005B7">
        <w:t>a</w:t>
      </w:r>
      <w:r w:rsidR="0081092C" w:rsidRPr="001005B7">
        <w:t>n</w:t>
      </w:r>
      <w:r w:rsidR="0089396F" w:rsidRPr="001005B7">
        <w:t xml:space="preserve"> </w:t>
      </w:r>
      <w:r w:rsidR="00E01F9B" w:rsidRPr="001005B7">
        <w:t>ingenuous</w:t>
      </w:r>
      <w:r w:rsidR="0089396F" w:rsidRPr="001005B7">
        <w:t xml:space="preserve"> assumption that they can evade Yahweh’s knowledge</w:t>
      </w:r>
      <w:r w:rsidR="00E01F9B" w:rsidRPr="001005B7">
        <w:t xml:space="preserve"> of what they are doing and thinking.</w:t>
      </w:r>
      <w:r w:rsidR="0089396F" w:rsidRPr="001005B7">
        <w:t xml:space="preserve"> </w:t>
      </w:r>
    </w:p>
    <w:p w14:paraId="0D714D69" w14:textId="54E67902" w:rsidR="00080C55" w:rsidRPr="001005B7" w:rsidRDefault="007E0280" w:rsidP="00E25C6F">
      <w:r w:rsidRPr="001005B7">
        <w:rPr>
          <w:b/>
          <w:bCs/>
        </w:rPr>
        <w:t>8:</w:t>
      </w:r>
      <w:r w:rsidR="00C90B64" w:rsidRPr="001005B7">
        <w:rPr>
          <w:b/>
          <w:bCs/>
        </w:rPr>
        <w:t>11</w:t>
      </w:r>
      <w:r w:rsidR="00F46900" w:rsidRPr="001005B7">
        <w:rPr>
          <w:b/>
          <w:bCs/>
        </w:rPr>
        <w:t>–</w:t>
      </w:r>
      <w:r w:rsidR="00C90B64" w:rsidRPr="001005B7">
        <w:rPr>
          <w:b/>
          <w:bCs/>
        </w:rPr>
        <w:t xml:space="preserve">13 </w:t>
      </w:r>
      <w:r w:rsidR="00751500" w:rsidRPr="001005B7">
        <w:t xml:space="preserve">The </w:t>
      </w:r>
      <w:r w:rsidR="0024261B" w:rsidRPr="001005B7">
        <w:t>“</w:t>
      </w:r>
      <w:r w:rsidR="00A4446A" w:rsidRPr="001005B7">
        <w:t>seventy</w:t>
      </w:r>
      <w:r w:rsidR="00A4446A" w:rsidRPr="001005B7">
        <w:rPr>
          <w:i/>
          <w:iCs/>
        </w:rPr>
        <w:t xml:space="preserve"> </w:t>
      </w:r>
      <w:r w:rsidR="00A4446A" w:rsidRPr="001005B7">
        <w:t>elders</w:t>
      </w:r>
      <w:r w:rsidR="0024261B" w:rsidRPr="001005B7">
        <w:t>”</w:t>
      </w:r>
      <w:r w:rsidR="00A4446A" w:rsidRPr="001005B7">
        <w:t xml:space="preserve"> are a parody of the seventy elders</w:t>
      </w:r>
      <w:r w:rsidR="004945EC" w:rsidRPr="001005B7">
        <w:t xml:space="preserve"> </w:t>
      </w:r>
      <w:r w:rsidR="00102088" w:rsidRPr="001005B7">
        <w:t>in the Torah (</w:t>
      </w:r>
      <w:r w:rsidR="00A91149" w:rsidRPr="001005B7">
        <w:t>Exod 24:1, 9; Num 11:16</w:t>
      </w:r>
      <w:r w:rsidR="00F46900" w:rsidRPr="001005B7">
        <w:t>–</w:t>
      </w:r>
      <w:r w:rsidR="00250D51" w:rsidRPr="001005B7">
        <w:t>30</w:t>
      </w:r>
      <w:r w:rsidR="004945EC" w:rsidRPr="001005B7">
        <w:t>)</w:t>
      </w:r>
      <w:r w:rsidR="007C2A03" w:rsidRPr="001005B7">
        <w:t>.</w:t>
      </w:r>
      <w:r w:rsidR="009D72DC" w:rsidRPr="001005B7">
        <w:t xml:space="preserve"> </w:t>
      </w:r>
      <w:proofErr w:type="spellStart"/>
      <w:r w:rsidR="001A0FCA" w:rsidRPr="001005B7">
        <w:t>Ya</w:t>
      </w:r>
      <w:r w:rsidR="001A0FCA" w:rsidRPr="001005B7">
        <w:rPr>
          <w:rFonts w:cstheme="minorHAnsi"/>
        </w:rPr>
        <w:t>ʾ</w:t>
      </w:r>
      <w:r w:rsidR="001A0FCA" w:rsidRPr="001005B7">
        <w:t>azaniah</w:t>
      </w:r>
      <w:proofErr w:type="spellEnd"/>
      <w:r w:rsidR="001A0FCA" w:rsidRPr="001005B7">
        <w:t xml:space="preserve"> ben </w:t>
      </w:r>
      <w:proofErr w:type="spellStart"/>
      <w:r w:rsidR="001A0FCA" w:rsidRPr="001005B7">
        <w:t>Shaphan</w:t>
      </w:r>
      <w:proofErr w:type="spellEnd"/>
      <w:r w:rsidR="001A0FCA" w:rsidRPr="001005B7">
        <w:t xml:space="preserve"> </w:t>
      </w:r>
      <w:r w:rsidR="003C79AD" w:rsidRPr="001005B7">
        <w:t xml:space="preserve">is </w:t>
      </w:r>
      <w:r w:rsidR="007742E2" w:rsidRPr="001005B7">
        <w:t xml:space="preserve">thus </w:t>
      </w:r>
      <w:r w:rsidR="001A0FCA" w:rsidRPr="001005B7">
        <w:t>distinguish</w:t>
      </w:r>
      <w:r w:rsidR="007742E2" w:rsidRPr="001005B7">
        <w:t>able</w:t>
      </w:r>
      <w:r w:rsidR="001A0FCA" w:rsidRPr="001005B7">
        <w:t xml:space="preserve"> from </w:t>
      </w:r>
      <w:r w:rsidR="00462B4F" w:rsidRPr="001005B7">
        <w:t>t</w:t>
      </w:r>
      <w:r w:rsidR="001A0FCA" w:rsidRPr="001005B7">
        <w:t xml:space="preserve">he other </w:t>
      </w:r>
      <w:r w:rsidR="003B5A15" w:rsidRPr="001005B7">
        <w:t>four</w:t>
      </w:r>
      <w:r w:rsidR="001A0FCA" w:rsidRPr="001005B7">
        <w:t xml:space="preserve"> </w:t>
      </w:r>
      <w:proofErr w:type="spellStart"/>
      <w:r w:rsidR="001A0FCA" w:rsidRPr="001005B7">
        <w:t>Ya</w:t>
      </w:r>
      <w:r w:rsidR="001A0FCA" w:rsidRPr="001005B7">
        <w:rPr>
          <w:rFonts w:cstheme="minorHAnsi"/>
        </w:rPr>
        <w:t>ʾ</w:t>
      </w:r>
      <w:r w:rsidR="001A0FCA" w:rsidRPr="001005B7">
        <w:t>azaniah</w:t>
      </w:r>
      <w:r w:rsidR="004B29C7" w:rsidRPr="001005B7">
        <w:t>s</w:t>
      </w:r>
      <w:proofErr w:type="spellEnd"/>
      <w:r w:rsidR="003C79AD" w:rsidRPr="001005B7">
        <w:t xml:space="preserve"> in the First Testament in this period</w:t>
      </w:r>
      <w:r w:rsidR="00960CF1" w:rsidRPr="001005B7">
        <w:t>. Perhaps he</w:t>
      </w:r>
      <w:r w:rsidR="00C9118C" w:rsidRPr="001005B7">
        <w:t xml:space="preserve"> was well-known as </w:t>
      </w:r>
      <w:r w:rsidR="004203AE" w:rsidRPr="001005B7">
        <w:t>a</w:t>
      </w:r>
      <w:r w:rsidR="00C9118C" w:rsidRPr="001005B7">
        <w:t xml:space="preserve"> senior figure among the elders</w:t>
      </w:r>
      <w:r w:rsidR="00960CF1" w:rsidRPr="001005B7">
        <w:t>, b</w:t>
      </w:r>
      <w:r w:rsidR="00845ED2" w:rsidRPr="001005B7">
        <w:t xml:space="preserve">ut </w:t>
      </w:r>
      <w:r w:rsidR="00F02DC1" w:rsidRPr="001005B7">
        <w:t xml:space="preserve">it is also </w:t>
      </w:r>
      <w:r w:rsidR="00950FD8" w:rsidRPr="001005B7">
        <w:t>noteworthy</w:t>
      </w:r>
      <w:r w:rsidR="00F02DC1" w:rsidRPr="001005B7">
        <w:t xml:space="preserve"> that </w:t>
      </w:r>
      <w:proofErr w:type="spellStart"/>
      <w:r w:rsidR="00845ED2" w:rsidRPr="001005B7">
        <w:t>Shaphan</w:t>
      </w:r>
      <w:proofErr w:type="spellEnd"/>
      <w:r w:rsidR="00845ED2" w:rsidRPr="001005B7">
        <w:t xml:space="preserve"> </w:t>
      </w:r>
      <w:r w:rsidR="00C46B0F" w:rsidRPr="001005B7">
        <w:t>(e.g., 2</w:t>
      </w:r>
      <w:r w:rsidR="005048BB" w:rsidRPr="001005B7">
        <w:t> </w:t>
      </w:r>
      <w:r w:rsidR="006558CA" w:rsidRPr="001005B7">
        <w:t>Kgs</w:t>
      </w:r>
      <w:r w:rsidR="00C46B0F" w:rsidRPr="001005B7">
        <w:t xml:space="preserve"> 22:8; </w:t>
      </w:r>
      <w:r w:rsidR="00AB6671" w:rsidRPr="001005B7">
        <w:t xml:space="preserve">25:22) </w:t>
      </w:r>
      <w:r w:rsidR="00845ED2" w:rsidRPr="001005B7">
        <w:t>was the head of an important family,</w:t>
      </w:r>
      <w:r w:rsidR="009B3BA5" w:rsidRPr="001005B7">
        <w:t xml:space="preserve"> a</w:t>
      </w:r>
      <w:r w:rsidR="00950FD8" w:rsidRPr="001005B7">
        <w:t>nd</w:t>
      </w:r>
      <w:r w:rsidR="00845ED2" w:rsidRPr="001005B7">
        <w:t xml:space="preserve"> that this man’s name means “Yahweh will give ear” (see </w:t>
      </w:r>
      <w:r w:rsidR="003D021F" w:rsidRPr="001005B7">
        <w:t>8:</w:t>
      </w:r>
      <w:r w:rsidR="00845ED2" w:rsidRPr="001005B7">
        <w:t>18)</w:t>
      </w:r>
      <w:r w:rsidR="000D6A7C" w:rsidRPr="001005B7">
        <w:t>. B</w:t>
      </w:r>
      <w:r w:rsidR="00950FD8" w:rsidRPr="001005B7">
        <w:t>oth facts su</w:t>
      </w:r>
      <w:r w:rsidR="00011734" w:rsidRPr="001005B7">
        <w:t xml:space="preserve">ggest some irony. </w:t>
      </w:r>
      <w:r w:rsidR="00DD6487" w:rsidRPr="001005B7">
        <w:t xml:space="preserve">Burning incense </w:t>
      </w:r>
      <w:r w:rsidR="00052912" w:rsidRPr="001005B7">
        <w:t>is</w:t>
      </w:r>
      <w:r w:rsidR="00DD6487" w:rsidRPr="001005B7">
        <w:t xml:space="preserve"> a symbol of worship going up to </w:t>
      </w:r>
      <w:r w:rsidR="00052912" w:rsidRPr="001005B7">
        <w:t>God</w:t>
      </w:r>
      <w:r w:rsidR="008D3202" w:rsidRPr="001005B7">
        <w:t>, and particularly of prayers going up to God</w:t>
      </w:r>
      <w:r w:rsidR="00903007" w:rsidRPr="001005B7">
        <w:t xml:space="preserve"> (Rev 8:3</w:t>
      </w:r>
      <w:r w:rsidR="00F46900" w:rsidRPr="001005B7">
        <w:t>–</w:t>
      </w:r>
      <w:r w:rsidR="00903007" w:rsidRPr="001005B7">
        <w:t>4).</w:t>
      </w:r>
      <w:r w:rsidR="008D3202" w:rsidRPr="001005B7">
        <w:t xml:space="preserve"> </w:t>
      </w:r>
      <w:r w:rsidR="00903007" w:rsidRPr="001005B7">
        <w:t>So these</w:t>
      </w:r>
      <w:r w:rsidR="00A04A81" w:rsidRPr="001005B7">
        <w:t xml:space="preserve"> people</w:t>
      </w:r>
      <w:r w:rsidR="008D3202" w:rsidRPr="001005B7">
        <w:t xml:space="preserve"> are </w:t>
      </w:r>
      <w:r w:rsidR="00065EF1" w:rsidRPr="001005B7">
        <w:t xml:space="preserve">leaders who are </w:t>
      </w:r>
      <w:r w:rsidR="00A04A81" w:rsidRPr="001005B7">
        <w:t xml:space="preserve">praying in a way that </w:t>
      </w:r>
      <w:r w:rsidR="00B65CB9" w:rsidRPr="001005B7">
        <w:t>suggests</w:t>
      </w:r>
      <w:r w:rsidR="00A04A81" w:rsidRPr="001005B7">
        <w:t xml:space="preserve"> they </w:t>
      </w:r>
      <w:r w:rsidR="00065EF1" w:rsidRPr="001005B7">
        <w:t>know</w:t>
      </w:r>
      <w:r w:rsidR="00B65CB9" w:rsidRPr="001005B7">
        <w:t xml:space="preserve"> </w:t>
      </w:r>
      <w:r w:rsidR="008D3202" w:rsidRPr="001005B7">
        <w:t xml:space="preserve">they </w:t>
      </w:r>
      <w:r w:rsidR="00931457" w:rsidRPr="001005B7">
        <w:t>need to</w:t>
      </w:r>
      <w:r w:rsidR="008D3202" w:rsidRPr="001005B7">
        <w:t xml:space="preserve"> </w:t>
      </w:r>
      <w:r w:rsidR="005C5AAC" w:rsidRPr="001005B7">
        <w:t xml:space="preserve">so in light of </w:t>
      </w:r>
      <w:r w:rsidR="008D3202" w:rsidRPr="001005B7">
        <w:t>a</w:t>
      </w:r>
      <w:r w:rsidR="00B65CB9" w:rsidRPr="001005B7">
        <w:t>n actual or</w:t>
      </w:r>
      <w:r w:rsidR="008D3202" w:rsidRPr="001005B7">
        <w:t xml:space="preserve"> potential crisis.</w:t>
      </w:r>
      <w:r w:rsidR="00B8303B" w:rsidRPr="001005B7">
        <w:t xml:space="preserve"> </w:t>
      </w:r>
      <w:r w:rsidR="00FA3C94" w:rsidRPr="001005B7">
        <w:t>Offering incense</w:t>
      </w:r>
      <w:r w:rsidR="00CC6C35" w:rsidRPr="001005B7">
        <w:t xml:space="preserve"> was generally the business of priests, but when the First Testament critiques the offering of incense, </w:t>
      </w:r>
      <w:r w:rsidR="0026573E" w:rsidRPr="001005B7">
        <w:t xml:space="preserve">as Jeremiah often does, </w:t>
      </w:r>
      <w:r w:rsidR="00FB5B64" w:rsidRPr="001005B7">
        <w:t>its</w:t>
      </w:r>
      <w:r w:rsidR="00CC6C35" w:rsidRPr="001005B7">
        <w:t xml:space="preserve"> critiques </w:t>
      </w:r>
      <w:r w:rsidR="006E5651" w:rsidRPr="001005B7">
        <w:t xml:space="preserve">generally relate </w:t>
      </w:r>
      <w:r w:rsidR="00AF76A2" w:rsidRPr="001005B7">
        <w:t xml:space="preserve">not to unqualified people </w:t>
      </w:r>
      <w:r w:rsidR="00A4373A" w:rsidRPr="001005B7">
        <w:t xml:space="preserve">making the offering but </w:t>
      </w:r>
      <w:r w:rsidR="006E5651" w:rsidRPr="001005B7">
        <w:t xml:space="preserve">to </w:t>
      </w:r>
      <w:r w:rsidR="00A4373A" w:rsidRPr="001005B7">
        <w:t xml:space="preserve">the </w:t>
      </w:r>
      <w:r w:rsidR="006E5651" w:rsidRPr="001005B7">
        <w:t xml:space="preserve">incense being offered to </w:t>
      </w:r>
      <w:r w:rsidR="00580A49" w:rsidRPr="001005B7">
        <w:t>the wrong deit</w:t>
      </w:r>
      <w:r w:rsidR="00E11BB2" w:rsidRPr="001005B7">
        <w:t>ies</w:t>
      </w:r>
      <w:r w:rsidR="00341A34" w:rsidRPr="001005B7">
        <w:t xml:space="preserve">. </w:t>
      </w:r>
      <w:r w:rsidR="00AA7542" w:rsidRPr="001005B7">
        <w:t xml:space="preserve">That’s the problem here: </w:t>
      </w:r>
      <w:r w:rsidR="00F611B5" w:rsidRPr="001005B7">
        <w:t>“</w:t>
      </w:r>
      <w:r w:rsidR="00AA7542" w:rsidRPr="001005B7">
        <w:t>m</w:t>
      </w:r>
      <w:r w:rsidR="00F611B5" w:rsidRPr="001005B7">
        <w:t>y people, your leaders lead you astray” (Isa 3:12</w:t>
      </w:r>
      <w:r w:rsidR="00B47CB9" w:rsidRPr="001005B7">
        <w:t>) (</w:t>
      </w:r>
      <w:proofErr w:type="spellStart"/>
      <w:r w:rsidR="00B47CB9" w:rsidRPr="001005B7">
        <w:t>Qimhi</w:t>
      </w:r>
      <w:proofErr w:type="spellEnd"/>
      <w:r w:rsidR="00F1577D" w:rsidRPr="001005B7">
        <w:t>,</w:t>
      </w:r>
      <w:r w:rsidR="00B47CB9" w:rsidRPr="001005B7">
        <w:t xml:space="preserve"> in MG</w:t>
      </w:r>
      <w:r w:rsidR="00CF44EE" w:rsidRPr="001005B7">
        <w:t>).</w:t>
      </w:r>
      <w:r w:rsidR="00F611B5" w:rsidRPr="001005B7">
        <w:t xml:space="preserve"> </w:t>
      </w:r>
      <w:r w:rsidR="00427DFB" w:rsidRPr="001005B7">
        <w:t xml:space="preserve">Yahweh’s additional point is that the elders are offering this worship </w:t>
      </w:r>
      <w:r w:rsidR="00523BEB" w:rsidRPr="001005B7">
        <w:t>“</w:t>
      </w:r>
      <w:r w:rsidR="00300040" w:rsidRPr="001005B7">
        <w:t>in</w:t>
      </w:r>
      <w:r w:rsidR="00300040" w:rsidRPr="001005B7">
        <w:rPr>
          <w:i/>
          <w:iCs/>
        </w:rPr>
        <w:t xml:space="preserve"> </w:t>
      </w:r>
      <w:r w:rsidR="00300040" w:rsidRPr="001005B7">
        <w:t>the</w:t>
      </w:r>
      <w:r w:rsidR="00300040" w:rsidRPr="001005B7">
        <w:rPr>
          <w:i/>
          <w:iCs/>
        </w:rPr>
        <w:t xml:space="preserve"> </w:t>
      </w:r>
      <w:r w:rsidR="00300040" w:rsidRPr="001005B7">
        <w:t>dark</w:t>
      </w:r>
      <w:r w:rsidR="005456E9" w:rsidRPr="001005B7">
        <w:t>,</w:t>
      </w:r>
      <w:r w:rsidR="002F584D" w:rsidRPr="001005B7">
        <w:t xml:space="preserve"> in</w:t>
      </w:r>
      <w:r w:rsidR="002F584D" w:rsidRPr="001005B7">
        <w:rPr>
          <w:i/>
          <w:iCs/>
        </w:rPr>
        <w:t xml:space="preserve"> </w:t>
      </w:r>
      <w:r w:rsidR="002F584D" w:rsidRPr="001005B7">
        <w:t>their</w:t>
      </w:r>
      <w:r w:rsidR="002F584D" w:rsidRPr="001005B7">
        <w:rPr>
          <w:i/>
          <w:iCs/>
        </w:rPr>
        <w:t xml:space="preserve"> </w:t>
      </w:r>
      <w:r w:rsidR="002F584D" w:rsidRPr="001005B7">
        <w:t>icon</w:t>
      </w:r>
      <w:r w:rsidR="002F584D" w:rsidRPr="001005B7">
        <w:rPr>
          <w:i/>
          <w:iCs/>
        </w:rPr>
        <w:t xml:space="preserve"> </w:t>
      </w:r>
      <w:r w:rsidR="002F584D" w:rsidRPr="001005B7">
        <w:t>rooms,</w:t>
      </w:r>
      <w:r w:rsidR="00523BEB" w:rsidRPr="001005B7">
        <w:t>”</w:t>
      </w:r>
      <w:r w:rsidR="002F584D" w:rsidRPr="001005B7">
        <w:t xml:space="preserve"> which might imply </w:t>
      </w:r>
      <w:r w:rsidR="005456E9" w:rsidRPr="001005B7">
        <w:t xml:space="preserve">rooms in </w:t>
      </w:r>
      <w:r w:rsidR="002F584D" w:rsidRPr="001005B7">
        <w:t xml:space="preserve">their own homes </w:t>
      </w:r>
      <w:r w:rsidR="009E02BC" w:rsidRPr="001005B7">
        <w:t>or rooms they had in the temple complex</w:t>
      </w:r>
      <w:r w:rsidR="00D32D10" w:rsidRPr="001005B7">
        <w:t>—either way, these rooms</w:t>
      </w:r>
      <w:r w:rsidR="00971254" w:rsidRPr="001005B7">
        <w:t>, too,</w:t>
      </w:r>
      <w:r w:rsidR="00D32D10" w:rsidRPr="001005B7">
        <w:t xml:space="preserve"> may exist only</w:t>
      </w:r>
      <w:r w:rsidR="00654DE8" w:rsidRPr="001005B7">
        <w:t xml:space="preserve"> in Ezekiel’s vision. </w:t>
      </w:r>
      <w:r w:rsidR="008E6DC1" w:rsidRPr="001005B7">
        <w:t xml:space="preserve">It also again means they are </w:t>
      </w:r>
      <w:r w:rsidR="00077E34" w:rsidRPr="001005B7">
        <w:t>“</w:t>
      </w:r>
      <w:r w:rsidR="008E6DC1" w:rsidRPr="001005B7">
        <w:t>distant</w:t>
      </w:r>
      <w:r w:rsidR="008E6DC1" w:rsidRPr="001005B7">
        <w:rPr>
          <w:i/>
          <w:iCs/>
        </w:rPr>
        <w:t xml:space="preserve"> </w:t>
      </w:r>
      <w:r w:rsidR="008E6DC1" w:rsidRPr="001005B7">
        <w:t>from</w:t>
      </w:r>
      <w:r w:rsidR="008E6DC1" w:rsidRPr="001005B7">
        <w:rPr>
          <w:i/>
          <w:iCs/>
        </w:rPr>
        <w:t xml:space="preserve"> </w:t>
      </w:r>
      <w:r w:rsidR="008E6DC1" w:rsidRPr="001005B7">
        <w:t>my</w:t>
      </w:r>
      <w:r w:rsidR="008E6DC1" w:rsidRPr="001005B7">
        <w:rPr>
          <w:i/>
          <w:iCs/>
        </w:rPr>
        <w:t xml:space="preserve"> </w:t>
      </w:r>
      <w:r w:rsidR="008E6DC1" w:rsidRPr="001005B7">
        <w:t>sanctuary</w:t>
      </w:r>
      <w:r w:rsidR="00077E34" w:rsidRPr="001005B7">
        <w:t>”</w:t>
      </w:r>
      <w:r w:rsidR="008E6DC1" w:rsidRPr="001005B7">
        <w:t xml:space="preserve"> (</w:t>
      </w:r>
      <w:r w:rsidR="003D021F" w:rsidRPr="001005B7">
        <w:t>8:</w:t>
      </w:r>
      <w:r w:rsidR="008E6DC1" w:rsidRPr="001005B7">
        <w:t>6)</w:t>
      </w:r>
      <w:r w:rsidR="002072E7" w:rsidRPr="001005B7">
        <w:t>,</w:t>
      </w:r>
      <w:r w:rsidR="00971254" w:rsidRPr="001005B7">
        <w:t xml:space="preserve"> a</w:t>
      </w:r>
      <w:r w:rsidR="004C76C5" w:rsidRPr="001005B7">
        <w:t>nd</w:t>
      </w:r>
      <w:r w:rsidR="008F4977" w:rsidRPr="001005B7">
        <w:t xml:space="preserve"> think that Yahweh </w:t>
      </w:r>
      <w:r w:rsidR="00077E34" w:rsidRPr="001005B7">
        <w:t>“</w:t>
      </w:r>
      <w:r w:rsidR="002E7856" w:rsidRPr="001005B7">
        <w:t>is</w:t>
      </w:r>
      <w:r w:rsidR="002E7856" w:rsidRPr="001005B7">
        <w:rPr>
          <w:i/>
          <w:iCs/>
        </w:rPr>
        <w:t xml:space="preserve"> </w:t>
      </w:r>
      <w:r w:rsidR="002E7856" w:rsidRPr="001005B7">
        <w:t>not</w:t>
      </w:r>
      <w:r w:rsidR="002E7856" w:rsidRPr="001005B7">
        <w:rPr>
          <w:i/>
          <w:iCs/>
        </w:rPr>
        <w:t xml:space="preserve"> </w:t>
      </w:r>
      <w:r w:rsidR="00AA68A6" w:rsidRPr="001005B7">
        <w:t>seeing</w:t>
      </w:r>
      <w:r w:rsidR="002E7856" w:rsidRPr="001005B7">
        <w:rPr>
          <w:i/>
          <w:iCs/>
        </w:rPr>
        <w:t xml:space="preserve"> </w:t>
      </w:r>
      <w:r w:rsidR="002E7856" w:rsidRPr="001005B7">
        <w:t>us.</w:t>
      </w:r>
      <w:r w:rsidR="00077E34" w:rsidRPr="001005B7">
        <w:t>”</w:t>
      </w:r>
      <w:r w:rsidR="002E7856" w:rsidRPr="001005B7">
        <w:t xml:space="preserve"> </w:t>
      </w:r>
      <w:r w:rsidR="00761153" w:rsidRPr="001005B7">
        <w:t>T</w:t>
      </w:r>
      <w:r w:rsidR="009F5E48" w:rsidRPr="001005B7">
        <w:t>he reason is not that he is only present in the sanctuary or</w:t>
      </w:r>
      <w:r w:rsidR="002E7856" w:rsidRPr="001005B7">
        <w:t xml:space="preserve"> only cares about what happens </w:t>
      </w:r>
      <w:r w:rsidR="00667386" w:rsidRPr="001005B7">
        <w:t>there</w:t>
      </w:r>
      <w:r w:rsidR="001E1F8A" w:rsidRPr="001005B7">
        <w:t xml:space="preserve"> or cannot see them in their secret locations</w:t>
      </w:r>
      <w:r w:rsidR="00667386" w:rsidRPr="001005B7">
        <w:t xml:space="preserve">. It is the poignant and ironic one that </w:t>
      </w:r>
      <w:r w:rsidR="00A86571" w:rsidRPr="001005B7">
        <w:t xml:space="preserve">he </w:t>
      </w:r>
      <w:r w:rsidR="00D843D5" w:rsidRPr="001005B7">
        <w:t>“</w:t>
      </w:r>
      <w:r w:rsidR="00A86571" w:rsidRPr="001005B7">
        <w:t>has</w:t>
      </w:r>
      <w:r w:rsidR="00A86571" w:rsidRPr="001005B7">
        <w:rPr>
          <w:i/>
          <w:iCs/>
        </w:rPr>
        <w:t xml:space="preserve"> </w:t>
      </w:r>
      <w:r w:rsidR="00A86571" w:rsidRPr="001005B7">
        <w:t>ab</w:t>
      </w:r>
      <w:r w:rsidR="00BC4078" w:rsidRPr="001005B7">
        <w:t>a</w:t>
      </w:r>
      <w:r w:rsidR="00A86571" w:rsidRPr="001005B7">
        <w:t>ndoned</w:t>
      </w:r>
      <w:r w:rsidR="00A86571" w:rsidRPr="001005B7">
        <w:rPr>
          <w:i/>
          <w:iCs/>
        </w:rPr>
        <w:t xml:space="preserve"> </w:t>
      </w:r>
      <w:r w:rsidR="00A86571" w:rsidRPr="001005B7">
        <w:t>the</w:t>
      </w:r>
      <w:r w:rsidR="00A86571" w:rsidRPr="001005B7">
        <w:rPr>
          <w:i/>
          <w:iCs/>
        </w:rPr>
        <w:t xml:space="preserve"> </w:t>
      </w:r>
      <w:r w:rsidR="00A86571" w:rsidRPr="001005B7">
        <w:t>country</w:t>
      </w:r>
      <w:r w:rsidR="00D843D5" w:rsidRPr="001005B7">
        <w:t>”</w:t>
      </w:r>
      <w:r w:rsidR="00BC4078" w:rsidRPr="001005B7">
        <w:t xml:space="preserve"> (cf. 9:9)</w:t>
      </w:r>
      <w:r w:rsidR="007401E7" w:rsidRPr="001005B7">
        <w:t xml:space="preserve">. </w:t>
      </w:r>
      <w:r w:rsidR="008325A6" w:rsidRPr="001005B7">
        <w:t>O</w:t>
      </w:r>
      <w:r w:rsidR="005C7EFD" w:rsidRPr="001005B7">
        <w:t xml:space="preserve">ne </w:t>
      </w:r>
      <w:r w:rsidR="008325A6" w:rsidRPr="001005B7">
        <w:t xml:space="preserve">can </w:t>
      </w:r>
      <w:r w:rsidR="005C7EFD" w:rsidRPr="001005B7">
        <w:t>properly say</w:t>
      </w:r>
      <w:r w:rsidR="008325A6" w:rsidRPr="001005B7">
        <w:t xml:space="preserve"> such things</w:t>
      </w:r>
      <w:r w:rsidR="005C7EFD" w:rsidRPr="001005B7">
        <w:t xml:space="preserve"> in prayer (e.g., </w:t>
      </w:r>
      <w:proofErr w:type="spellStart"/>
      <w:r w:rsidR="005C7EFD" w:rsidRPr="001005B7">
        <w:t>Ps</w:t>
      </w:r>
      <w:r w:rsidR="00234BED" w:rsidRPr="001005B7">
        <w:t>a</w:t>
      </w:r>
      <w:proofErr w:type="spellEnd"/>
      <w:r w:rsidR="005C7EFD" w:rsidRPr="001005B7">
        <w:t xml:space="preserve"> </w:t>
      </w:r>
      <w:r w:rsidR="0084040E" w:rsidRPr="001005B7">
        <w:t xml:space="preserve">22:1 [2]). </w:t>
      </w:r>
      <w:r w:rsidR="006C5216" w:rsidRPr="001005B7">
        <w:t xml:space="preserve">Their action is an expression of despair rather than defiance. </w:t>
      </w:r>
      <w:r w:rsidR="007401E7" w:rsidRPr="001005B7">
        <w:t xml:space="preserve">Perhaps </w:t>
      </w:r>
      <w:r w:rsidR="008916AE" w:rsidRPr="001005B7">
        <w:t>Yahweh</w:t>
      </w:r>
      <w:r w:rsidR="00F90522" w:rsidRPr="001005B7">
        <w:t xml:space="preserve"> </w:t>
      </w:r>
      <w:r w:rsidR="007401E7" w:rsidRPr="001005B7">
        <w:t xml:space="preserve">has renounced any ownership of </w:t>
      </w:r>
      <w:r w:rsidR="00272F64" w:rsidRPr="001005B7">
        <w:t>the country.</w:t>
      </w:r>
      <w:r w:rsidR="007401E7" w:rsidRPr="001005B7">
        <w:rPr>
          <w:rStyle w:val="FootnoteReference"/>
        </w:rPr>
        <w:footnoteReference w:id="242"/>
      </w:r>
      <w:r w:rsidR="00E568CD" w:rsidRPr="001005B7">
        <w:t xml:space="preserve"> </w:t>
      </w:r>
      <w:r w:rsidR="008916AE" w:rsidRPr="001005B7">
        <w:t>But w</w:t>
      </w:r>
      <w:r w:rsidR="00E568CD" w:rsidRPr="001005B7">
        <w:t xml:space="preserve">hat if </w:t>
      </w:r>
      <w:r w:rsidRPr="001005B7">
        <w:t>their words</w:t>
      </w:r>
      <w:r w:rsidR="00BC4078" w:rsidRPr="001005B7">
        <w:t xml:space="preserve"> </w:t>
      </w:r>
      <w:r w:rsidR="00644A18" w:rsidRPr="001005B7">
        <w:t>become “a self-fulfilling prophecy”</w:t>
      </w:r>
      <w:r w:rsidR="00FA6097" w:rsidRPr="001005B7">
        <w:t>?</w:t>
      </w:r>
      <w:r w:rsidR="00644A18" w:rsidRPr="001005B7">
        <w:rPr>
          <w:rStyle w:val="FootnoteReference"/>
        </w:rPr>
        <w:footnoteReference w:id="243"/>
      </w:r>
    </w:p>
    <w:p w14:paraId="35B3CC13" w14:textId="58B207FA" w:rsidR="00CE1DB6" w:rsidRPr="001005B7" w:rsidRDefault="007E0280" w:rsidP="00CE1DB6">
      <w:pPr>
        <w:rPr>
          <w:rFonts w:cstheme="minorHAnsi"/>
        </w:rPr>
      </w:pPr>
      <w:r w:rsidRPr="001005B7">
        <w:rPr>
          <w:rFonts w:cstheme="minorHAnsi"/>
          <w:b/>
          <w:bCs/>
        </w:rPr>
        <w:t>8:</w:t>
      </w:r>
      <w:r w:rsidR="00B63D36" w:rsidRPr="001005B7">
        <w:rPr>
          <w:rFonts w:cstheme="minorHAnsi"/>
          <w:b/>
          <w:bCs/>
        </w:rPr>
        <w:t>14</w:t>
      </w:r>
      <w:r w:rsidR="00F46900" w:rsidRPr="001005B7">
        <w:rPr>
          <w:rFonts w:cstheme="minorHAnsi"/>
          <w:b/>
          <w:bCs/>
        </w:rPr>
        <w:t>–</w:t>
      </w:r>
      <w:r w:rsidR="00B63D36" w:rsidRPr="001005B7">
        <w:rPr>
          <w:rFonts w:cstheme="minorHAnsi"/>
          <w:b/>
          <w:bCs/>
        </w:rPr>
        <w:t>15</w:t>
      </w:r>
      <w:r w:rsidR="00B63D36" w:rsidRPr="001005B7">
        <w:rPr>
          <w:rFonts w:cstheme="minorHAnsi"/>
        </w:rPr>
        <w:t xml:space="preserve"> </w:t>
      </w:r>
      <w:r w:rsidR="00946867" w:rsidRPr="001005B7">
        <w:rPr>
          <w:rFonts w:cstheme="minorHAnsi"/>
        </w:rPr>
        <w:t>In contrast to the second</w:t>
      </w:r>
      <w:r w:rsidR="005A66F6" w:rsidRPr="001005B7">
        <w:rPr>
          <w:rFonts w:cstheme="minorHAnsi"/>
        </w:rPr>
        <w:t xml:space="preserve"> scene in the vision</w:t>
      </w:r>
      <w:r w:rsidR="00946867" w:rsidRPr="001005B7">
        <w:rPr>
          <w:rFonts w:cstheme="minorHAnsi"/>
        </w:rPr>
        <w:t>, th</w:t>
      </w:r>
      <w:r w:rsidR="005A66F6" w:rsidRPr="001005B7">
        <w:rPr>
          <w:rFonts w:cstheme="minorHAnsi"/>
        </w:rPr>
        <w:t>e</w:t>
      </w:r>
      <w:r w:rsidR="00946867" w:rsidRPr="001005B7">
        <w:rPr>
          <w:rFonts w:cstheme="minorHAnsi"/>
        </w:rPr>
        <w:t xml:space="preserve"> third account is the simplest. </w:t>
      </w:r>
      <w:r w:rsidR="006E76DF" w:rsidRPr="001005B7">
        <w:rPr>
          <w:rFonts w:cstheme="minorHAnsi"/>
        </w:rPr>
        <w:t xml:space="preserve">The variation seems </w:t>
      </w:r>
      <w:r w:rsidR="008F0B10" w:rsidRPr="001005B7">
        <w:rPr>
          <w:rFonts w:cstheme="minorHAnsi"/>
        </w:rPr>
        <w:t xml:space="preserve">to be </w:t>
      </w:r>
      <w:r w:rsidR="006E76DF" w:rsidRPr="001005B7">
        <w:rPr>
          <w:rFonts w:cstheme="minorHAnsi"/>
        </w:rPr>
        <w:t>simply for vari</w:t>
      </w:r>
      <w:r w:rsidR="00092903" w:rsidRPr="001005B7">
        <w:rPr>
          <w:rFonts w:cstheme="minorHAnsi"/>
        </w:rPr>
        <w:t>e</w:t>
      </w:r>
      <w:r w:rsidR="006E76DF" w:rsidRPr="001005B7">
        <w:rPr>
          <w:rFonts w:cstheme="minorHAnsi"/>
        </w:rPr>
        <w:t>t</w:t>
      </w:r>
      <w:r w:rsidR="00092903" w:rsidRPr="001005B7">
        <w:rPr>
          <w:rFonts w:cstheme="minorHAnsi"/>
        </w:rPr>
        <w:t>y’s sake</w:t>
      </w:r>
      <w:r w:rsidR="002844BD">
        <w:rPr>
          <w:rFonts w:cstheme="minorHAnsi"/>
        </w:rPr>
        <w:t>, in that t</w:t>
      </w:r>
      <w:r w:rsidR="006E76DF" w:rsidRPr="001005B7">
        <w:rPr>
          <w:rFonts w:cstheme="minorHAnsi"/>
        </w:rPr>
        <w:t xml:space="preserve">his third sight is not </w:t>
      </w:r>
      <w:r w:rsidR="003E7214" w:rsidRPr="001005B7">
        <w:rPr>
          <w:rFonts w:cstheme="minorHAnsi"/>
        </w:rPr>
        <w:t xml:space="preserve">less troublesome than the second. </w:t>
      </w:r>
      <w:r w:rsidR="003B675D" w:rsidRPr="001005B7">
        <w:rPr>
          <w:rFonts w:cstheme="minorHAnsi"/>
        </w:rPr>
        <w:t xml:space="preserve">But </w:t>
      </w:r>
      <w:r w:rsidR="00B63D36" w:rsidRPr="001005B7">
        <w:rPr>
          <w:rFonts w:cstheme="minorHAnsi"/>
        </w:rPr>
        <w:t>Yahweh</w:t>
      </w:r>
      <w:r w:rsidR="00092903" w:rsidRPr="001005B7">
        <w:rPr>
          <w:rFonts w:cstheme="minorHAnsi"/>
        </w:rPr>
        <w:t xml:space="preserve"> </w:t>
      </w:r>
      <w:r w:rsidR="00830772" w:rsidRPr="001005B7">
        <w:rPr>
          <w:rFonts w:cstheme="minorHAnsi"/>
        </w:rPr>
        <w:t xml:space="preserve">now </w:t>
      </w:r>
      <w:r w:rsidR="00B63D36" w:rsidRPr="001005B7">
        <w:rPr>
          <w:rFonts w:cstheme="minorHAnsi"/>
        </w:rPr>
        <w:t>take</w:t>
      </w:r>
      <w:r w:rsidR="008F0B10" w:rsidRPr="001005B7">
        <w:rPr>
          <w:rFonts w:cstheme="minorHAnsi"/>
        </w:rPr>
        <w:t>s</w:t>
      </w:r>
      <w:r w:rsidR="00B63D36" w:rsidRPr="001005B7">
        <w:rPr>
          <w:rFonts w:cstheme="minorHAnsi"/>
        </w:rPr>
        <w:t xml:space="preserve"> Ezekiel nearer the actual sanctuary</w:t>
      </w:r>
      <w:r w:rsidR="0090526E">
        <w:rPr>
          <w:rFonts w:cstheme="minorHAnsi"/>
        </w:rPr>
        <w:t>,</w:t>
      </w:r>
      <w:r w:rsidR="00830772" w:rsidRPr="001005B7">
        <w:rPr>
          <w:rFonts w:cstheme="minorHAnsi"/>
        </w:rPr>
        <w:t xml:space="preserve"> </w:t>
      </w:r>
      <w:r w:rsidR="007E1B57" w:rsidRPr="001005B7">
        <w:rPr>
          <w:rFonts w:cstheme="minorHAnsi"/>
        </w:rPr>
        <w:t>“</w:t>
      </w:r>
      <w:r w:rsidR="00CA5F0D" w:rsidRPr="001005B7">
        <w:rPr>
          <w:rFonts w:cstheme="minorHAnsi"/>
        </w:rPr>
        <w:t>Yahweh’s</w:t>
      </w:r>
      <w:r w:rsidR="00CA5F0D" w:rsidRPr="001005B7">
        <w:rPr>
          <w:rFonts w:cstheme="minorHAnsi"/>
          <w:i/>
          <w:iCs/>
        </w:rPr>
        <w:t xml:space="preserve"> </w:t>
      </w:r>
      <w:r w:rsidR="00CA5F0D" w:rsidRPr="001005B7">
        <w:rPr>
          <w:rFonts w:cstheme="minorHAnsi"/>
        </w:rPr>
        <w:t>house</w:t>
      </w:r>
      <w:r w:rsidR="005803AA" w:rsidRPr="001005B7">
        <w:rPr>
          <w:rFonts w:cstheme="minorHAnsi"/>
        </w:rPr>
        <w:t>,</w:t>
      </w:r>
      <w:r w:rsidR="007E1B57" w:rsidRPr="001005B7">
        <w:rPr>
          <w:rFonts w:cstheme="minorHAnsi"/>
        </w:rPr>
        <w:t>”</w:t>
      </w:r>
      <w:r w:rsidR="00FF024B" w:rsidRPr="001005B7">
        <w:rPr>
          <w:rFonts w:cstheme="minorHAnsi"/>
        </w:rPr>
        <w:t xml:space="preserve"> </w:t>
      </w:r>
      <w:r w:rsidR="005803AA" w:rsidRPr="001005B7">
        <w:rPr>
          <w:rFonts w:cstheme="minorHAnsi"/>
        </w:rPr>
        <w:t>a</w:t>
      </w:r>
      <w:r w:rsidR="00210D37" w:rsidRPr="001005B7">
        <w:rPr>
          <w:rFonts w:cstheme="minorHAnsi"/>
        </w:rPr>
        <w:t>nd</w:t>
      </w:r>
      <w:r w:rsidR="00FF024B" w:rsidRPr="001005B7">
        <w:rPr>
          <w:rFonts w:cstheme="minorHAnsi"/>
        </w:rPr>
        <w:t xml:space="preserve"> there are</w:t>
      </w:r>
      <w:r w:rsidR="009A4C53" w:rsidRPr="001005B7">
        <w:rPr>
          <w:rFonts w:cstheme="minorHAnsi"/>
        </w:rPr>
        <w:t xml:space="preserve"> </w:t>
      </w:r>
      <w:r w:rsidR="007E1B57" w:rsidRPr="001005B7">
        <w:rPr>
          <w:rFonts w:cstheme="minorHAnsi"/>
        </w:rPr>
        <w:t>“</w:t>
      </w:r>
      <w:r w:rsidR="009A4C53" w:rsidRPr="001005B7">
        <w:rPr>
          <w:rFonts w:cstheme="minorHAnsi"/>
        </w:rPr>
        <w:t>women</w:t>
      </w:r>
      <w:r w:rsidR="009A4C53" w:rsidRPr="001005B7">
        <w:rPr>
          <w:rFonts w:cstheme="minorHAnsi"/>
          <w:i/>
          <w:iCs/>
        </w:rPr>
        <w:t xml:space="preserve"> </w:t>
      </w:r>
      <w:r w:rsidR="009A4C53" w:rsidRPr="001005B7">
        <w:rPr>
          <w:rFonts w:cstheme="minorHAnsi"/>
        </w:rPr>
        <w:t>crying</w:t>
      </w:r>
      <w:r w:rsidR="009A4C53" w:rsidRPr="001005B7">
        <w:rPr>
          <w:rFonts w:cstheme="minorHAnsi"/>
          <w:i/>
          <w:iCs/>
        </w:rPr>
        <w:t xml:space="preserve"> </w:t>
      </w:r>
      <w:r w:rsidR="009A4C53" w:rsidRPr="001005B7">
        <w:rPr>
          <w:rFonts w:cstheme="minorHAnsi"/>
        </w:rPr>
        <w:t>for</w:t>
      </w:r>
      <w:r w:rsidR="009A4C53" w:rsidRPr="001005B7">
        <w:rPr>
          <w:rFonts w:cstheme="minorHAnsi"/>
          <w:i/>
          <w:iCs/>
        </w:rPr>
        <w:t xml:space="preserve"> </w:t>
      </w:r>
      <w:r w:rsidR="009A4C53" w:rsidRPr="001005B7">
        <w:rPr>
          <w:rFonts w:cstheme="minorHAnsi"/>
        </w:rPr>
        <w:t>the</w:t>
      </w:r>
      <w:r w:rsidR="009A4C53" w:rsidRPr="001005B7">
        <w:rPr>
          <w:rFonts w:cstheme="minorHAnsi"/>
          <w:i/>
          <w:iCs/>
        </w:rPr>
        <w:t xml:space="preserve"> </w:t>
      </w:r>
      <w:r w:rsidR="009A4C53" w:rsidRPr="001005B7">
        <w:rPr>
          <w:rFonts w:cstheme="minorHAnsi"/>
        </w:rPr>
        <w:t>Tammuz</w:t>
      </w:r>
      <w:r w:rsidR="007E1B57" w:rsidRPr="001005B7">
        <w:rPr>
          <w:rFonts w:cstheme="minorHAnsi"/>
        </w:rPr>
        <w:t>”</w:t>
      </w:r>
      <w:r w:rsidR="009A4C53" w:rsidRPr="001005B7">
        <w:rPr>
          <w:rFonts w:cstheme="minorHAnsi"/>
          <w:i/>
          <w:iCs/>
        </w:rPr>
        <w:t xml:space="preserve"> </w:t>
      </w:r>
      <w:r w:rsidR="009A4C53" w:rsidRPr="001005B7">
        <w:rPr>
          <w:rFonts w:cstheme="minorHAnsi"/>
        </w:rPr>
        <w:t>there</w:t>
      </w:r>
      <w:r w:rsidR="00210D37" w:rsidRPr="001005B7">
        <w:rPr>
          <w:rFonts w:cstheme="minorHAnsi"/>
        </w:rPr>
        <w:t>,</w:t>
      </w:r>
      <w:r w:rsidR="009A4C53" w:rsidRPr="001005B7">
        <w:rPr>
          <w:rFonts w:cstheme="minorHAnsi"/>
        </w:rPr>
        <w:t xml:space="preserve"> as there were men </w:t>
      </w:r>
      <w:r w:rsidR="00DA4CF2" w:rsidRPr="001005B7">
        <w:rPr>
          <w:rFonts w:cstheme="minorHAnsi"/>
        </w:rPr>
        <w:t xml:space="preserve">offering incense in </w:t>
      </w:r>
      <w:r w:rsidR="0042084A" w:rsidRPr="001005B7">
        <w:rPr>
          <w:rFonts w:cstheme="minorHAnsi"/>
        </w:rPr>
        <w:t>8:</w:t>
      </w:r>
      <w:r w:rsidR="005C55FB" w:rsidRPr="001005B7">
        <w:rPr>
          <w:rFonts w:cstheme="minorHAnsi"/>
        </w:rPr>
        <w:t>7</w:t>
      </w:r>
      <w:r w:rsidR="00F46900" w:rsidRPr="001005B7">
        <w:rPr>
          <w:rFonts w:cstheme="minorHAnsi"/>
        </w:rPr>
        <w:t>–</w:t>
      </w:r>
      <w:r w:rsidR="005C55FB" w:rsidRPr="001005B7">
        <w:rPr>
          <w:rFonts w:cstheme="minorHAnsi"/>
        </w:rPr>
        <w:t xml:space="preserve">13. </w:t>
      </w:r>
      <w:r w:rsidR="005F7778" w:rsidRPr="001005B7">
        <w:rPr>
          <w:rFonts w:cstheme="minorHAnsi"/>
        </w:rPr>
        <w:t xml:space="preserve">Tammuz, </w:t>
      </w:r>
      <w:r w:rsidR="00D9592E" w:rsidRPr="001005B7">
        <w:rPr>
          <w:rFonts w:cstheme="minorHAnsi"/>
        </w:rPr>
        <w:t xml:space="preserve">the Hebrew equivalent of </w:t>
      </w:r>
      <w:proofErr w:type="spellStart"/>
      <w:r w:rsidR="00D9592E" w:rsidRPr="001005B7">
        <w:rPr>
          <w:rFonts w:cstheme="minorHAnsi"/>
        </w:rPr>
        <w:t>Dumu</w:t>
      </w:r>
      <w:proofErr w:type="spellEnd"/>
      <w:r w:rsidR="00551FC5" w:rsidRPr="001005B7">
        <w:rPr>
          <w:rFonts w:cstheme="minorHAnsi"/>
        </w:rPr>
        <w:t>-</w:t>
      </w:r>
      <w:r w:rsidR="00D9592E" w:rsidRPr="001005B7">
        <w:rPr>
          <w:rFonts w:cstheme="minorHAnsi"/>
        </w:rPr>
        <w:t>zi,</w:t>
      </w:r>
      <w:r w:rsidR="00551FC5" w:rsidRPr="001005B7">
        <w:rPr>
          <w:rFonts w:cstheme="minorHAnsi"/>
        </w:rPr>
        <w:t xml:space="preserve"> </w:t>
      </w:r>
      <w:r w:rsidR="009259AC" w:rsidRPr="001005B7">
        <w:rPr>
          <w:rFonts w:cstheme="minorHAnsi"/>
        </w:rPr>
        <w:t>may have been</w:t>
      </w:r>
      <w:r w:rsidR="00674032" w:rsidRPr="001005B7">
        <w:rPr>
          <w:rFonts w:cstheme="minorHAnsi"/>
        </w:rPr>
        <w:t xml:space="preserve"> a </w:t>
      </w:r>
      <w:r w:rsidR="005C55FB" w:rsidRPr="001005B7">
        <w:rPr>
          <w:rFonts w:cstheme="minorHAnsi"/>
        </w:rPr>
        <w:t xml:space="preserve">long-ago </w:t>
      </w:r>
      <w:r w:rsidR="00674032" w:rsidRPr="001005B7">
        <w:rPr>
          <w:rFonts w:cstheme="minorHAnsi"/>
        </w:rPr>
        <w:t>Sumerian king</w:t>
      </w:r>
      <w:r w:rsidR="005C55FB" w:rsidRPr="001005B7">
        <w:rPr>
          <w:rFonts w:cstheme="minorHAnsi"/>
        </w:rPr>
        <w:t>,</w:t>
      </w:r>
      <w:r w:rsidR="00674032" w:rsidRPr="001005B7">
        <w:rPr>
          <w:rFonts w:cstheme="minorHAnsi"/>
        </w:rPr>
        <w:t xml:space="preserve"> </w:t>
      </w:r>
      <w:r w:rsidR="009259AC" w:rsidRPr="001005B7">
        <w:rPr>
          <w:rFonts w:cstheme="minorHAnsi"/>
        </w:rPr>
        <w:t xml:space="preserve">but he is </w:t>
      </w:r>
      <w:r w:rsidR="00F824FE" w:rsidRPr="001005B7">
        <w:rPr>
          <w:rFonts w:cstheme="minorHAnsi"/>
        </w:rPr>
        <w:t xml:space="preserve">better known as </w:t>
      </w:r>
      <w:r w:rsidR="00937441" w:rsidRPr="001005B7">
        <w:rPr>
          <w:rFonts w:cstheme="minorHAnsi"/>
        </w:rPr>
        <w:t>the</w:t>
      </w:r>
      <w:r w:rsidR="00F824FE" w:rsidRPr="001005B7">
        <w:rPr>
          <w:rFonts w:cstheme="minorHAnsi"/>
        </w:rPr>
        <w:t xml:space="preserve"> god who </w:t>
      </w:r>
      <w:r w:rsidR="00166102" w:rsidRPr="001005B7">
        <w:rPr>
          <w:rFonts w:cstheme="minorHAnsi"/>
        </w:rPr>
        <w:t xml:space="preserve">in </w:t>
      </w:r>
      <w:r w:rsidR="002C16EB" w:rsidRPr="001005B7">
        <w:rPr>
          <w:rFonts w:cstheme="minorHAnsi"/>
        </w:rPr>
        <w:t xml:space="preserve">some stories </w:t>
      </w:r>
      <w:r w:rsidR="00F824FE" w:rsidRPr="001005B7">
        <w:rPr>
          <w:rFonts w:cstheme="minorHAnsi"/>
        </w:rPr>
        <w:t>descend</w:t>
      </w:r>
      <w:r w:rsidR="006B3738" w:rsidRPr="001005B7">
        <w:rPr>
          <w:rFonts w:cstheme="minorHAnsi"/>
        </w:rPr>
        <w:t>s</w:t>
      </w:r>
      <w:r w:rsidR="00F824FE" w:rsidRPr="001005B7">
        <w:rPr>
          <w:rFonts w:cstheme="minorHAnsi"/>
        </w:rPr>
        <w:t xml:space="preserve"> </w:t>
      </w:r>
      <w:r w:rsidR="003E0DE0" w:rsidRPr="001005B7">
        <w:rPr>
          <w:rFonts w:cstheme="minorHAnsi"/>
        </w:rPr>
        <w:t xml:space="preserve">to the underworld </w:t>
      </w:r>
      <w:r w:rsidR="00937441" w:rsidRPr="001005B7">
        <w:rPr>
          <w:rFonts w:cstheme="minorHAnsi"/>
        </w:rPr>
        <w:t>and</w:t>
      </w:r>
      <w:r w:rsidR="003E0DE0" w:rsidRPr="001005B7">
        <w:rPr>
          <w:rFonts w:cstheme="minorHAnsi"/>
        </w:rPr>
        <w:t xml:space="preserve"> then r</w:t>
      </w:r>
      <w:r w:rsidR="007A6362" w:rsidRPr="001005B7">
        <w:rPr>
          <w:rFonts w:cstheme="minorHAnsi"/>
        </w:rPr>
        <w:t>e</w:t>
      </w:r>
      <w:r w:rsidR="003E0DE0" w:rsidRPr="001005B7">
        <w:rPr>
          <w:rFonts w:cstheme="minorHAnsi"/>
        </w:rPr>
        <w:t>tu</w:t>
      </w:r>
      <w:r w:rsidR="007A6362" w:rsidRPr="001005B7">
        <w:rPr>
          <w:rFonts w:cstheme="minorHAnsi"/>
        </w:rPr>
        <w:t>r</w:t>
      </w:r>
      <w:r w:rsidR="003E0DE0" w:rsidRPr="001005B7">
        <w:rPr>
          <w:rFonts w:cstheme="minorHAnsi"/>
        </w:rPr>
        <w:t>n</w:t>
      </w:r>
      <w:r w:rsidR="006B3738" w:rsidRPr="001005B7">
        <w:rPr>
          <w:rFonts w:cstheme="minorHAnsi"/>
        </w:rPr>
        <w:t>s</w:t>
      </w:r>
      <w:r w:rsidR="003E0DE0" w:rsidRPr="001005B7">
        <w:rPr>
          <w:rFonts w:cstheme="minorHAnsi"/>
        </w:rPr>
        <w:t xml:space="preserve"> each year</w:t>
      </w:r>
      <w:r w:rsidR="00990679" w:rsidRPr="001005B7">
        <w:rPr>
          <w:rFonts w:cstheme="minorHAnsi"/>
        </w:rPr>
        <w:t>,</w:t>
      </w:r>
      <w:r w:rsidR="007A6362" w:rsidRPr="001005B7">
        <w:rPr>
          <w:rFonts w:cstheme="minorHAnsi"/>
        </w:rPr>
        <w:t xml:space="preserve"> in a way mirrored in or mirroring the death of nature </w:t>
      </w:r>
      <w:r w:rsidR="0062583D" w:rsidRPr="001005B7">
        <w:rPr>
          <w:rFonts w:cstheme="minorHAnsi"/>
        </w:rPr>
        <w:t>in the</w:t>
      </w:r>
      <w:r w:rsidR="007A6362" w:rsidRPr="001005B7">
        <w:rPr>
          <w:rFonts w:cstheme="minorHAnsi"/>
        </w:rPr>
        <w:t xml:space="preserve"> dry season and </w:t>
      </w:r>
      <w:r w:rsidR="006115D4" w:rsidRPr="001005B7">
        <w:rPr>
          <w:rFonts w:cstheme="minorHAnsi"/>
        </w:rPr>
        <w:t>the earth’s</w:t>
      </w:r>
      <w:r w:rsidR="007A6362" w:rsidRPr="001005B7">
        <w:rPr>
          <w:rFonts w:cstheme="minorHAnsi"/>
        </w:rPr>
        <w:t xml:space="preserve"> subsequent resuscitation.</w:t>
      </w:r>
      <w:r w:rsidR="00403604" w:rsidRPr="001005B7">
        <w:rPr>
          <w:rStyle w:val="FootnoteReference"/>
          <w:rFonts w:cstheme="minorHAnsi"/>
        </w:rPr>
        <w:footnoteReference w:id="244"/>
      </w:r>
      <w:r w:rsidR="007A6362" w:rsidRPr="001005B7">
        <w:rPr>
          <w:rFonts w:cstheme="minorHAnsi"/>
        </w:rPr>
        <w:t xml:space="preserve"> Crying for </w:t>
      </w:r>
      <w:r w:rsidR="00C56BBA" w:rsidRPr="001005B7">
        <w:rPr>
          <w:rFonts w:cstheme="minorHAnsi"/>
        </w:rPr>
        <w:t xml:space="preserve">the </w:t>
      </w:r>
      <w:r w:rsidR="007A6362" w:rsidRPr="001005B7">
        <w:rPr>
          <w:rFonts w:cstheme="minorHAnsi"/>
        </w:rPr>
        <w:t xml:space="preserve">Tammuz, then, would be </w:t>
      </w:r>
      <w:r w:rsidR="004A1DA8" w:rsidRPr="001005B7">
        <w:rPr>
          <w:rFonts w:cstheme="minorHAnsi"/>
        </w:rPr>
        <w:t xml:space="preserve">an enacted prayer </w:t>
      </w:r>
      <w:r w:rsidR="00220199" w:rsidRPr="001005B7">
        <w:rPr>
          <w:rFonts w:cstheme="minorHAnsi"/>
        </w:rPr>
        <w:t xml:space="preserve">in late summer </w:t>
      </w:r>
      <w:r w:rsidR="004A1DA8" w:rsidRPr="001005B7">
        <w:rPr>
          <w:rFonts w:cstheme="minorHAnsi"/>
        </w:rPr>
        <w:t>for the coming of the rains</w:t>
      </w:r>
      <w:r w:rsidR="00EC32F1" w:rsidRPr="001005B7">
        <w:rPr>
          <w:rFonts w:cstheme="minorHAnsi"/>
        </w:rPr>
        <w:t>.</w:t>
      </w:r>
      <w:r w:rsidR="005D0749" w:rsidRPr="001005B7">
        <w:rPr>
          <w:rFonts w:cstheme="minorHAnsi"/>
        </w:rPr>
        <w:t xml:space="preserve"> </w:t>
      </w:r>
      <w:r w:rsidR="00FE1E2A">
        <w:rPr>
          <w:rFonts w:cstheme="minorHAnsi"/>
        </w:rPr>
        <w:t>This</w:t>
      </w:r>
      <w:r w:rsidR="00976A32" w:rsidRPr="001005B7">
        <w:rPr>
          <w:rFonts w:cstheme="minorHAnsi"/>
        </w:rPr>
        <w:t xml:space="preserve"> practice</w:t>
      </w:r>
      <w:r w:rsidR="00FE1E2A">
        <w:rPr>
          <w:rFonts w:cstheme="minorHAnsi"/>
        </w:rPr>
        <w:t>, too,</w:t>
      </w:r>
      <w:r w:rsidR="00976A32" w:rsidRPr="001005B7">
        <w:rPr>
          <w:rFonts w:cstheme="minorHAnsi"/>
        </w:rPr>
        <w:t xml:space="preserve"> would resonate</w:t>
      </w:r>
      <w:r w:rsidR="00AA5DF4" w:rsidRPr="001005B7">
        <w:rPr>
          <w:rFonts w:cstheme="minorHAnsi"/>
        </w:rPr>
        <w:t xml:space="preserve"> in </w:t>
      </w:r>
      <w:proofErr w:type="spellStart"/>
      <w:r w:rsidR="00C56BBA" w:rsidRPr="001005B7">
        <w:rPr>
          <w:rFonts w:cstheme="minorHAnsi"/>
        </w:rPr>
        <w:t>K</w:t>
      </w:r>
      <w:r w:rsidR="00AA5DF4" w:rsidRPr="001005B7">
        <w:rPr>
          <w:rFonts w:cstheme="minorHAnsi"/>
        </w:rPr>
        <w:t>ebar</w:t>
      </w:r>
      <w:proofErr w:type="spellEnd"/>
      <w:r w:rsidR="00AA5DF4" w:rsidRPr="001005B7">
        <w:rPr>
          <w:rFonts w:cstheme="minorHAnsi"/>
        </w:rPr>
        <w:t>.</w:t>
      </w:r>
    </w:p>
    <w:p w14:paraId="68FBFB6A" w14:textId="05388044" w:rsidR="00531AFF" w:rsidRPr="001005B7" w:rsidRDefault="00901CE6" w:rsidP="00CE1DB6">
      <w:pPr>
        <w:rPr>
          <w:rFonts w:cstheme="minorHAnsi"/>
        </w:rPr>
      </w:pPr>
      <w:r w:rsidRPr="001005B7">
        <w:rPr>
          <w:rFonts w:cstheme="minorHAnsi"/>
          <w:b/>
          <w:bCs/>
        </w:rPr>
        <w:t>8:</w:t>
      </w:r>
      <w:r w:rsidR="00EC32F1" w:rsidRPr="001005B7">
        <w:rPr>
          <w:rFonts w:cstheme="minorHAnsi"/>
          <w:b/>
          <w:bCs/>
        </w:rPr>
        <w:t>16</w:t>
      </w:r>
      <w:r w:rsidR="00EC32F1" w:rsidRPr="001005B7">
        <w:rPr>
          <w:rFonts w:cstheme="minorHAnsi"/>
        </w:rPr>
        <w:t xml:space="preserve"> </w:t>
      </w:r>
      <w:r w:rsidR="00D25792" w:rsidRPr="001005B7">
        <w:rPr>
          <w:rFonts w:cstheme="minorHAnsi"/>
        </w:rPr>
        <w:t>“</w:t>
      </w:r>
      <w:r w:rsidR="00D77503" w:rsidRPr="001005B7">
        <w:rPr>
          <w:rFonts w:ascii="Calibri" w:hAnsi="Calibri" w:cs="Calibri"/>
        </w:rPr>
        <w:t>Every step Ezekiel has taken has brought him nearer to the holiest</w:t>
      </w:r>
      <w:r w:rsidR="00766524" w:rsidRPr="001005B7">
        <w:rPr>
          <w:rFonts w:ascii="Calibri" w:hAnsi="Calibri" w:cs="Calibri"/>
        </w:rPr>
        <w:t xml:space="preserve"> </w:t>
      </w:r>
      <w:r w:rsidR="00D77503" w:rsidRPr="001005B7">
        <w:rPr>
          <w:rFonts w:ascii="Calibri" w:hAnsi="Calibri" w:cs="Calibri"/>
        </w:rPr>
        <w:t>place of the public temple worship, the open space between the vestibule</w:t>
      </w:r>
      <w:r w:rsidR="00D415B9" w:rsidRPr="001005B7">
        <w:rPr>
          <w:rFonts w:cstheme="minorHAnsi"/>
        </w:rPr>
        <w:t xml:space="preserve"> </w:t>
      </w:r>
      <w:r w:rsidR="00D77503" w:rsidRPr="001005B7">
        <w:rPr>
          <w:rFonts w:ascii="Calibri" w:hAnsi="Calibri" w:cs="Calibri"/>
        </w:rPr>
        <w:t>of the temple and the altar of burnt offering, which he now</w:t>
      </w:r>
      <w:r w:rsidR="00D415B9" w:rsidRPr="001005B7">
        <w:rPr>
          <w:rFonts w:cstheme="minorHAnsi"/>
        </w:rPr>
        <w:t xml:space="preserve"> </w:t>
      </w:r>
      <w:r w:rsidR="00D77503" w:rsidRPr="001005B7">
        <w:rPr>
          <w:rFonts w:ascii="Calibri" w:hAnsi="Calibri" w:cs="Calibri"/>
        </w:rPr>
        <w:t>approaches by way of the inner court</w:t>
      </w:r>
      <w:r w:rsidR="004D345C" w:rsidRPr="001005B7">
        <w:rPr>
          <w:rFonts w:ascii="Calibri" w:hAnsi="Calibri" w:cs="Calibri"/>
        </w:rPr>
        <w:t>” (</w:t>
      </w:r>
      <w:proofErr w:type="spellStart"/>
      <w:r w:rsidR="004D345C" w:rsidRPr="001005B7">
        <w:t>Eichrodt</w:t>
      </w:r>
      <w:proofErr w:type="spellEnd"/>
      <w:r w:rsidR="004D345C" w:rsidRPr="001005B7">
        <w:t>, 126</w:t>
      </w:r>
      <w:r w:rsidR="00F46900" w:rsidRPr="001005B7">
        <w:t>–</w:t>
      </w:r>
      <w:r w:rsidR="004D345C" w:rsidRPr="001005B7">
        <w:t>27)</w:t>
      </w:r>
      <w:r w:rsidR="002A1692">
        <w:t>. It is</w:t>
      </w:r>
      <w:r w:rsidR="00D415B9" w:rsidRPr="001005B7">
        <w:rPr>
          <w:rFonts w:ascii="Calibri" w:hAnsi="Calibri" w:cs="Calibri"/>
        </w:rPr>
        <w:t xml:space="preserve"> </w:t>
      </w:r>
      <w:r w:rsidR="006B2ADA" w:rsidRPr="001005B7">
        <w:rPr>
          <w:rFonts w:ascii="Calibri" w:hAnsi="Calibri" w:cs="Calibri"/>
        </w:rPr>
        <w:t>a proper place to pray in a desperate situation (Joel 2:17)</w:t>
      </w:r>
      <w:r w:rsidR="00D330C6" w:rsidRPr="001005B7">
        <w:rPr>
          <w:rFonts w:ascii="Calibri" w:hAnsi="Calibri" w:cs="Calibri"/>
        </w:rPr>
        <w:t xml:space="preserve">. </w:t>
      </w:r>
      <w:r w:rsidR="009A6C8B" w:rsidRPr="001005B7">
        <w:rPr>
          <w:rFonts w:cstheme="minorHAnsi"/>
        </w:rPr>
        <w:t xml:space="preserve">The </w:t>
      </w:r>
      <w:r w:rsidR="00D408A9" w:rsidRPr="001005B7">
        <w:rPr>
          <w:rFonts w:cstheme="minorHAnsi"/>
        </w:rPr>
        <w:t>sun</w:t>
      </w:r>
      <w:r w:rsidR="00011C97" w:rsidRPr="001005B7">
        <w:rPr>
          <w:rFonts w:cstheme="minorHAnsi"/>
        </w:rPr>
        <w:t xml:space="preserve"> </w:t>
      </w:r>
      <w:r w:rsidR="00D408A9" w:rsidRPr="001005B7">
        <w:rPr>
          <w:rFonts w:cstheme="minorHAnsi"/>
        </w:rPr>
        <w:t xml:space="preserve">has </w:t>
      </w:r>
      <w:r w:rsidR="009A6C8B" w:rsidRPr="001005B7">
        <w:rPr>
          <w:rFonts w:cstheme="minorHAnsi"/>
        </w:rPr>
        <w:t>frightening power</w:t>
      </w:r>
      <w:r w:rsidR="00D408A9" w:rsidRPr="001005B7">
        <w:rPr>
          <w:rFonts w:cstheme="minorHAnsi"/>
        </w:rPr>
        <w:t>, which</w:t>
      </w:r>
      <w:r w:rsidR="009A6C8B" w:rsidRPr="001005B7">
        <w:rPr>
          <w:rFonts w:cstheme="minorHAnsi"/>
        </w:rPr>
        <w:t xml:space="preserve"> might make it seem appropriate to bow down to the deity represented by it. A</w:t>
      </w:r>
      <w:r w:rsidR="00457255" w:rsidRPr="001005B7">
        <w:rPr>
          <w:rFonts w:cstheme="minorHAnsi"/>
        </w:rPr>
        <w:t xml:space="preserve">s with the other outrages, </w:t>
      </w:r>
      <w:r w:rsidR="009A6C8B" w:rsidRPr="001005B7">
        <w:rPr>
          <w:rFonts w:cstheme="minorHAnsi"/>
        </w:rPr>
        <w:t xml:space="preserve">however, </w:t>
      </w:r>
      <w:r w:rsidR="00457255" w:rsidRPr="001005B7">
        <w:rPr>
          <w:rFonts w:cstheme="minorHAnsi"/>
        </w:rPr>
        <w:t xml:space="preserve">the worshipers might not see themselves as </w:t>
      </w:r>
      <w:r w:rsidR="00ED48C0" w:rsidRPr="001005B7">
        <w:rPr>
          <w:rFonts w:cstheme="minorHAnsi"/>
        </w:rPr>
        <w:t>bowing down</w:t>
      </w:r>
      <w:r w:rsidR="00457255" w:rsidRPr="001005B7">
        <w:rPr>
          <w:rFonts w:cstheme="minorHAnsi"/>
        </w:rPr>
        <w:t xml:space="preserve"> </w:t>
      </w:r>
      <w:r w:rsidR="00ED48C0" w:rsidRPr="001005B7">
        <w:rPr>
          <w:rFonts w:cstheme="minorHAnsi"/>
        </w:rPr>
        <w:t xml:space="preserve">to </w:t>
      </w:r>
      <w:r w:rsidR="00457255" w:rsidRPr="001005B7">
        <w:rPr>
          <w:rFonts w:cstheme="minorHAnsi"/>
        </w:rPr>
        <w:t xml:space="preserve">the sun rather than </w:t>
      </w:r>
      <w:r w:rsidR="00ED48C0" w:rsidRPr="001005B7">
        <w:rPr>
          <w:rFonts w:cstheme="minorHAnsi"/>
        </w:rPr>
        <w:t xml:space="preserve">to </w:t>
      </w:r>
      <w:r w:rsidR="00457255" w:rsidRPr="001005B7">
        <w:rPr>
          <w:rFonts w:cstheme="minorHAnsi"/>
        </w:rPr>
        <w:t>Yahweh</w:t>
      </w:r>
      <w:r w:rsidR="00384C6E" w:rsidRPr="001005B7">
        <w:rPr>
          <w:rFonts w:cstheme="minorHAnsi"/>
        </w:rPr>
        <w:t>, but</w:t>
      </w:r>
      <w:r w:rsidR="007235A3" w:rsidRPr="001005B7">
        <w:rPr>
          <w:rFonts w:cstheme="minorHAnsi"/>
        </w:rPr>
        <w:t xml:space="preserve"> </w:t>
      </w:r>
      <w:r w:rsidR="00E93167" w:rsidRPr="001005B7">
        <w:rPr>
          <w:rFonts w:cstheme="minorHAnsi"/>
        </w:rPr>
        <w:t>rather</w:t>
      </w:r>
      <w:r w:rsidR="00384C6E" w:rsidRPr="001005B7">
        <w:rPr>
          <w:rFonts w:cstheme="minorHAnsi"/>
        </w:rPr>
        <w:t xml:space="preserve"> as</w:t>
      </w:r>
      <w:r w:rsidR="00E93167" w:rsidRPr="001005B7">
        <w:rPr>
          <w:rFonts w:cstheme="minorHAnsi"/>
        </w:rPr>
        <w:t xml:space="preserve"> </w:t>
      </w:r>
      <w:r w:rsidR="007235A3" w:rsidRPr="001005B7">
        <w:rPr>
          <w:rFonts w:cstheme="minorHAnsi"/>
        </w:rPr>
        <w:t>engaged in “solarized Yahweh worship”</w:t>
      </w:r>
      <w:r w:rsidR="00B541D8" w:rsidRPr="001005B7">
        <w:rPr>
          <w:rFonts w:cstheme="minorHAnsi"/>
        </w:rPr>
        <w:t xml:space="preserve"> (</w:t>
      </w:r>
      <w:proofErr w:type="spellStart"/>
      <w:r w:rsidR="00B541D8" w:rsidRPr="001005B7">
        <w:t>Zimmerli</w:t>
      </w:r>
      <w:proofErr w:type="spellEnd"/>
      <w:r w:rsidR="003F6C53" w:rsidRPr="001005B7">
        <w:t>,</w:t>
      </w:r>
      <w:r w:rsidR="00B541D8" w:rsidRPr="001005B7">
        <w:rPr>
          <w:i/>
          <w:iCs/>
        </w:rPr>
        <w:t xml:space="preserve"> </w:t>
      </w:r>
      <w:r w:rsidR="00B541D8" w:rsidRPr="001005B7">
        <w:t>1:244).</w:t>
      </w:r>
      <w:r w:rsidR="004F107E" w:rsidRPr="001005B7">
        <w:rPr>
          <w:rFonts w:cstheme="minorHAnsi"/>
        </w:rPr>
        <w:t xml:space="preserve"> And</w:t>
      </w:r>
      <w:r w:rsidR="007235A3" w:rsidRPr="001005B7">
        <w:rPr>
          <w:rFonts w:cstheme="minorHAnsi"/>
        </w:rPr>
        <w:t xml:space="preserve"> </w:t>
      </w:r>
      <w:r w:rsidR="004F107E" w:rsidRPr="001005B7">
        <w:rPr>
          <w:rFonts w:cstheme="minorHAnsi"/>
        </w:rPr>
        <w:t>p</w:t>
      </w:r>
      <w:r w:rsidR="00CE48AF" w:rsidRPr="001005B7">
        <w:rPr>
          <w:rFonts w:cstheme="minorHAnsi"/>
        </w:rPr>
        <w:t xml:space="preserve">ossibly </w:t>
      </w:r>
      <w:r w:rsidR="00CE48AF" w:rsidRPr="001005B7">
        <w:rPr>
          <w:rFonts w:cstheme="minorHAnsi"/>
          <w:shd w:val="clear" w:color="auto" w:fill="FFFFFF"/>
        </w:rPr>
        <w:t xml:space="preserve">“Ezekiel is not so much opposed to the worship of </w:t>
      </w:r>
      <w:r w:rsidR="00CE48AF" w:rsidRPr="001005B7">
        <w:rPr>
          <w:rFonts w:cstheme="minorHAnsi"/>
          <w:i/>
          <w:iCs/>
          <w:shd w:val="clear" w:color="auto" w:fill="FFFFFF"/>
        </w:rPr>
        <w:t>Yahweh</w:t>
      </w:r>
      <w:r w:rsidR="00CE48AF" w:rsidRPr="001005B7">
        <w:rPr>
          <w:rFonts w:cstheme="minorHAnsi"/>
          <w:shd w:val="clear" w:color="auto" w:fill="FFFFFF"/>
        </w:rPr>
        <w:t xml:space="preserve"> as the sun, but with the worship of </w:t>
      </w:r>
      <w:r w:rsidR="00CE48AF" w:rsidRPr="001005B7">
        <w:rPr>
          <w:rFonts w:cstheme="minorHAnsi"/>
          <w:i/>
          <w:iCs/>
          <w:shd w:val="clear" w:color="auto" w:fill="FFFFFF"/>
        </w:rPr>
        <w:t>the</w:t>
      </w:r>
      <w:r w:rsidR="00CE48AF" w:rsidRPr="001005B7">
        <w:rPr>
          <w:rFonts w:cstheme="minorHAnsi"/>
          <w:shd w:val="clear" w:color="auto" w:fill="FFFFFF"/>
        </w:rPr>
        <w:t xml:space="preserve"> </w:t>
      </w:r>
      <w:r w:rsidR="00CE48AF" w:rsidRPr="001005B7">
        <w:rPr>
          <w:rFonts w:cstheme="minorHAnsi"/>
          <w:i/>
          <w:iCs/>
          <w:shd w:val="clear" w:color="auto" w:fill="FFFFFF"/>
        </w:rPr>
        <w:t>sun</w:t>
      </w:r>
      <w:r w:rsidR="00CE48AF" w:rsidRPr="001005B7">
        <w:rPr>
          <w:rFonts w:cstheme="minorHAnsi"/>
          <w:shd w:val="clear" w:color="auto" w:fill="FFFFFF"/>
        </w:rPr>
        <w:t xml:space="preserve"> (that is, a physical object) as Yahweh.”</w:t>
      </w:r>
      <w:r w:rsidR="00CE48AF" w:rsidRPr="001005B7">
        <w:rPr>
          <w:rStyle w:val="FootnoteReference"/>
          <w:rFonts w:cstheme="minorHAnsi"/>
          <w:shd w:val="clear" w:color="auto" w:fill="FFFFFF"/>
        </w:rPr>
        <w:footnoteReference w:id="245"/>
      </w:r>
      <w:r w:rsidR="00CE48AF" w:rsidRPr="001005B7">
        <w:rPr>
          <w:rFonts w:cstheme="minorHAnsi"/>
          <w:shd w:val="clear" w:color="auto" w:fill="FFFFFF"/>
        </w:rPr>
        <w:t xml:space="preserve"> </w:t>
      </w:r>
      <w:r w:rsidR="00413778" w:rsidRPr="001005B7">
        <w:rPr>
          <w:rFonts w:cstheme="minorHAnsi"/>
          <w:shd w:val="clear" w:color="auto" w:fill="FFFFFF"/>
        </w:rPr>
        <w:t xml:space="preserve">Indeed, </w:t>
      </w:r>
      <w:r w:rsidR="00BD294F" w:rsidRPr="001005B7">
        <w:rPr>
          <w:rFonts w:cstheme="minorHAnsi"/>
          <w:shd w:val="clear" w:color="auto" w:fill="FFFFFF"/>
        </w:rPr>
        <w:t>“</w:t>
      </w:r>
      <w:r w:rsidR="00413778" w:rsidRPr="001005B7">
        <w:rPr>
          <w:rFonts w:cstheme="minorHAnsi"/>
          <w:shd w:val="clear" w:color="auto" w:fill="FFFFFF"/>
        </w:rPr>
        <w:t>w</w:t>
      </w:r>
      <w:r w:rsidR="00310F9B" w:rsidRPr="001005B7">
        <w:rPr>
          <w:rFonts w:ascii="Calibri" w:hAnsi="Calibri" w:cs="Calibri"/>
        </w:rPr>
        <w:t>as it an act of apostasy or was it preparation for a standard temple morning service that Ezekiel interprets as corrupt</w:t>
      </w:r>
      <w:r w:rsidR="008441E9" w:rsidRPr="001005B7">
        <w:rPr>
          <w:rFonts w:ascii="Calibri" w:hAnsi="Calibri" w:cs="Calibri"/>
        </w:rPr>
        <w:t>”</w:t>
      </w:r>
      <w:r w:rsidR="00310F9B" w:rsidRPr="001005B7">
        <w:rPr>
          <w:rFonts w:ascii="Calibri" w:hAnsi="Calibri" w:cs="Calibri"/>
        </w:rPr>
        <w:t xml:space="preserve"> because of </w:t>
      </w:r>
      <w:r w:rsidR="008441E9" w:rsidRPr="001005B7">
        <w:rPr>
          <w:rFonts w:ascii="Calibri" w:hAnsi="Calibri" w:cs="Calibri"/>
        </w:rPr>
        <w:t>what he has seen earlier</w:t>
      </w:r>
      <w:r w:rsidR="00310F9B" w:rsidRPr="001005B7">
        <w:rPr>
          <w:rFonts w:ascii="Calibri" w:hAnsi="Calibri" w:cs="Calibri"/>
        </w:rPr>
        <w:t>?</w:t>
      </w:r>
      <w:r w:rsidR="0063446C" w:rsidRPr="001005B7">
        <w:rPr>
          <w:rFonts w:ascii="Calibri" w:hAnsi="Calibri" w:cs="Calibri"/>
        </w:rPr>
        <w:t xml:space="preserve"> (</w:t>
      </w:r>
      <w:r w:rsidR="0063446C" w:rsidRPr="001005B7">
        <w:t>Sweeney, 59).</w:t>
      </w:r>
      <w:r w:rsidR="008441E9" w:rsidRPr="001005B7">
        <w:rPr>
          <w:rFonts w:ascii="Calibri" w:hAnsi="Calibri" w:cs="Calibri"/>
        </w:rPr>
        <w:t xml:space="preserve"> </w:t>
      </w:r>
      <w:r w:rsidR="002E3F04" w:rsidRPr="001005B7">
        <w:rPr>
          <w:rFonts w:ascii="Calibri" w:hAnsi="Calibri" w:cs="Calibri"/>
        </w:rPr>
        <w:t>But t</w:t>
      </w:r>
      <w:r w:rsidR="003B6F86" w:rsidRPr="001005B7">
        <w:rPr>
          <w:rFonts w:ascii="Calibri" w:hAnsi="Calibri" w:cs="Calibri"/>
        </w:rPr>
        <w:t>hese people are at</w:t>
      </w:r>
      <w:r w:rsidR="00260570" w:rsidRPr="001005B7">
        <w:rPr>
          <w:rFonts w:ascii="Calibri" w:hAnsi="Calibri" w:cs="Calibri"/>
        </w:rPr>
        <w:t xml:space="preserve"> the</w:t>
      </w:r>
      <w:r w:rsidR="00260570" w:rsidRPr="001005B7">
        <w:rPr>
          <w:rFonts w:cstheme="minorHAnsi"/>
        </w:rPr>
        <w:t xml:space="preserve"> very </w:t>
      </w:r>
      <w:r w:rsidR="00AF65FF" w:rsidRPr="001005B7">
        <w:rPr>
          <w:rFonts w:cstheme="minorHAnsi"/>
        </w:rPr>
        <w:t>“</w:t>
      </w:r>
      <w:r w:rsidR="00260570" w:rsidRPr="001005B7">
        <w:rPr>
          <w:rFonts w:cstheme="minorHAnsi"/>
        </w:rPr>
        <w:t>entrance</w:t>
      </w:r>
      <w:r w:rsidR="00260570" w:rsidRPr="001005B7">
        <w:rPr>
          <w:rFonts w:cstheme="minorHAnsi"/>
          <w:i/>
          <w:iCs/>
        </w:rPr>
        <w:t xml:space="preserve"> </w:t>
      </w:r>
      <w:r w:rsidR="00260570" w:rsidRPr="001005B7">
        <w:rPr>
          <w:rFonts w:cstheme="minorHAnsi"/>
        </w:rPr>
        <w:t>to</w:t>
      </w:r>
      <w:r w:rsidR="00260570" w:rsidRPr="001005B7">
        <w:rPr>
          <w:rFonts w:cstheme="minorHAnsi"/>
          <w:i/>
          <w:iCs/>
        </w:rPr>
        <w:t xml:space="preserve"> </w:t>
      </w:r>
      <w:r w:rsidR="00260570" w:rsidRPr="001005B7">
        <w:rPr>
          <w:rFonts w:cstheme="minorHAnsi"/>
        </w:rPr>
        <w:t>Yahweh’s</w:t>
      </w:r>
      <w:r w:rsidR="00260570" w:rsidRPr="001005B7">
        <w:rPr>
          <w:rFonts w:cstheme="minorHAnsi"/>
          <w:i/>
          <w:iCs/>
        </w:rPr>
        <w:t xml:space="preserve"> </w:t>
      </w:r>
      <w:r w:rsidR="00260570" w:rsidRPr="001005B7">
        <w:rPr>
          <w:rFonts w:cstheme="minorHAnsi"/>
        </w:rPr>
        <w:t>palace</w:t>
      </w:r>
      <w:r w:rsidR="004C174A" w:rsidRPr="001005B7">
        <w:rPr>
          <w:rFonts w:cstheme="minorHAnsi"/>
        </w:rPr>
        <w:t>”</w:t>
      </w:r>
      <w:r w:rsidR="003B6F86" w:rsidRPr="001005B7">
        <w:rPr>
          <w:rFonts w:cstheme="minorHAnsi"/>
        </w:rPr>
        <w:t xml:space="preserve"> and they</w:t>
      </w:r>
      <w:r w:rsidR="0007382D" w:rsidRPr="001005B7">
        <w:rPr>
          <w:rFonts w:cstheme="minorHAnsi"/>
        </w:rPr>
        <w:t xml:space="preserve"> have turned their backs</w:t>
      </w:r>
      <w:r w:rsidR="006E2CBA" w:rsidRPr="001005B7">
        <w:rPr>
          <w:rFonts w:cstheme="minorHAnsi"/>
        </w:rPr>
        <w:t>, metaphorically and literally</w:t>
      </w:r>
      <w:r w:rsidR="00F11811" w:rsidRPr="001005B7">
        <w:rPr>
          <w:rFonts w:cstheme="minorHAnsi"/>
        </w:rPr>
        <w:t>. T</w:t>
      </w:r>
      <w:r w:rsidR="006E2CBA" w:rsidRPr="001005B7">
        <w:rPr>
          <w:rFonts w:cstheme="minorHAnsi"/>
        </w:rPr>
        <w:t xml:space="preserve">he emphasis in Ezekiel’s words lies here. </w:t>
      </w:r>
      <w:r w:rsidR="000B12C1" w:rsidRPr="001005B7">
        <w:rPr>
          <w:rFonts w:cstheme="minorHAnsi"/>
          <w:shd w:val="clear" w:color="auto" w:fill="FFFFFF"/>
        </w:rPr>
        <w:t>I</w:t>
      </w:r>
      <w:r w:rsidR="00CF70D7" w:rsidRPr="001005B7">
        <w:rPr>
          <w:rFonts w:cstheme="minorHAnsi"/>
          <w:shd w:val="clear" w:color="auto" w:fill="FFFFFF"/>
        </w:rPr>
        <w:t>n such worship</w:t>
      </w:r>
      <w:r w:rsidR="005C0F5E" w:rsidRPr="001005B7">
        <w:rPr>
          <w:rFonts w:cstheme="minorHAnsi"/>
        </w:rPr>
        <w:t xml:space="preserve"> the</w:t>
      </w:r>
      <w:r w:rsidR="000B12C1" w:rsidRPr="001005B7">
        <w:rPr>
          <w:rFonts w:cstheme="minorHAnsi"/>
        </w:rPr>
        <w:t>y</w:t>
      </w:r>
      <w:r w:rsidR="005C0F5E" w:rsidRPr="001005B7">
        <w:rPr>
          <w:rFonts w:cstheme="minorHAnsi"/>
        </w:rPr>
        <w:t xml:space="preserve"> have </w:t>
      </w:r>
      <w:r w:rsidR="000B12C1" w:rsidRPr="001005B7">
        <w:rPr>
          <w:rFonts w:cstheme="minorHAnsi"/>
        </w:rPr>
        <w:t xml:space="preserve">surely </w:t>
      </w:r>
      <w:r w:rsidR="005C0F5E" w:rsidRPr="001005B7">
        <w:rPr>
          <w:rFonts w:cstheme="minorHAnsi"/>
        </w:rPr>
        <w:t>turned their backs on Yahweh</w:t>
      </w:r>
      <w:r w:rsidR="00A079C0" w:rsidRPr="001005B7">
        <w:rPr>
          <w:rFonts w:cstheme="minorHAnsi"/>
        </w:rPr>
        <w:t xml:space="preserve"> (Jer 32:33)</w:t>
      </w:r>
      <w:r w:rsidR="00C6686A" w:rsidRPr="001005B7">
        <w:rPr>
          <w:rFonts w:cstheme="minorHAnsi"/>
        </w:rPr>
        <w:t>.</w:t>
      </w:r>
    </w:p>
    <w:p w14:paraId="671AE31C" w14:textId="0D9CA099" w:rsidR="00A14170" w:rsidRPr="001005B7" w:rsidRDefault="00B838F4" w:rsidP="0023076E">
      <w:pPr>
        <w:rPr>
          <w:rFonts w:cstheme="minorHAnsi"/>
          <w:i/>
          <w:iCs/>
        </w:rPr>
      </w:pPr>
      <w:r w:rsidRPr="001005B7">
        <w:rPr>
          <w:rFonts w:cstheme="minorHAnsi"/>
          <w:b/>
          <w:bCs/>
        </w:rPr>
        <w:t>8:</w:t>
      </w:r>
      <w:r w:rsidR="004F7EE9" w:rsidRPr="001005B7">
        <w:rPr>
          <w:rFonts w:cstheme="minorHAnsi"/>
          <w:b/>
          <w:bCs/>
        </w:rPr>
        <w:t>17</w:t>
      </w:r>
      <w:r w:rsidR="004F7EE9" w:rsidRPr="001005B7">
        <w:rPr>
          <w:rFonts w:cstheme="minorHAnsi"/>
        </w:rPr>
        <w:t xml:space="preserve"> Yahweh sums up his </w:t>
      </w:r>
      <w:r w:rsidR="00D554DF" w:rsidRPr="001005B7">
        <w:rPr>
          <w:rFonts w:cstheme="minorHAnsi"/>
        </w:rPr>
        <w:t xml:space="preserve">sense of Jerusalem’s </w:t>
      </w:r>
      <w:r w:rsidR="004C174A" w:rsidRPr="001005B7">
        <w:rPr>
          <w:rFonts w:cstheme="minorHAnsi"/>
        </w:rPr>
        <w:t>“</w:t>
      </w:r>
      <w:r w:rsidR="00D554DF" w:rsidRPr="001005B7">
        <w:rPr>
          <w:rFonts w:cstheme="minorHAnsi"/>
        </w:rPr>
        <w:t>outrages</w:t>
      </w:r>
      <w:r w:rsidR="003D4F3B" w:rsidRPr="001005B7">
        <w:rPr>
          <w:rFonts w:cstheme="minorHAnsi"/>
        </w:rPr>
        <w:t>.</w:t>
      </w:r>
      <w:r w:rsidR="004C174A" w:rsidRPr="001005B7">
        <w:rPr>
          <w:rFonts w:cstheme="minorHAnsi"/>
        </w:rPr>
        <w:t>”</w:t>
      </w:r>
      <w:r w:rsidR="003D4F3B" w:rsidRPr="001005B7">
        <w:rPr>
          <w:rFonts w:cstheme="minorHAnsi"/>
        </w:rPr>
        <w:t xml:space="preserve"> While </w:t>
      </w:r>
      <w:r w:rsidR="004C174A" w:rsidRPr="001005B7">
        <w:rPr>
          <w:rFonts w:cstheme="minorHAnsi"/>
        </w:rPr>
        <w:t>“</w:t>
      </w:r>
      <w:r w:rsidR="003D4F3B" w:rsidRPr="001005B7">
        <w:rPr>
          <w:rFonts w:cstheme="minorHAnsi"/>
        </w:rPr>
        <w:t>violence</w:t>
      </w:r>
      <w:r w:rsidR="004C174A" w:rsidRPr="001005B7">
        <w:rPr>
          <w:rFonts w:cstheme="minorHAnsi"/>
        </w:rPr>
        <w:t>”</w:t>
      </w:r>
      <w:r w:rsidR="003D4F3B" w:rsidRPr="001005B7">
        <w:rPr>
          <w:rFonts w:cstheme="minorHAnsi"/>
        </w:rPr>
        <w:t xml:space="preserve"> could </w:t>
      </w:r>
      <w:r w:rsidR="00F36F74" w:rsidRPr="001005B7">
        <w:rPr>
          <w:rFonts w:cstheme="minorHAnsi"/>
        </w:rPr>
        <w:t>denote</w:t>
      </w:r>
      <w:r w:rsidR="00FB2CBA" w:rsidRPr="001005B7">
        <w:rPr>
          <w:rFonts w:cstheme="minorHAnsi"/>
        </w:rPr>
        <w:t xml:space="preserve"> violating</w:t>
      </w:r>
      <w:r w:rsidR="003D4F3B" w:rsidRPr="001005B7">
        <w:rPr>
          <w:rFonts w:cstheme="minorHAnsi"/>
        </w:rPr>
        <w:t xml:space="preserve"> his expectations regarding worship, the word has previ</w:t>
      </w:r>
      <w:r w:rsidR="00F36F74" w:rsidRPr="001005B7">
        <w:rPr>
          <w:rFonts w:cstheme="minorHAnsi"/>
        </w:rPr>
        <w:t xml:space="preserve">ously denoted </w:t>
      </w:r>
      <w:r w:rsidR="00605D68" w:rsidRPr="001005B7">
        <w:rPr>
          <w:rFonts w:cstheme="minorHAnsi"/>
        </w:rPr>
        <w:t xml:space="preserve">people’s </w:t>
      </w:r>
      <w:r w:rsidR="00B60CE8" w:rsidRPr="001005B7">
        <w:rPr>
          <w:rFonts w:cstheme="minorHAnsi"/>
        </w:rPr>
        <w:t xml:space="preserve">wrongful </w:t>
      </w:r>
      <w:r w:rsidR="00A5141A" w:rsidRPr="001005B7">
        <w:rPr>
          <w:rFonts w:cstheme="minorHAnsi"/>
        </w:rPr>
        <w:t xml:space="preserve">violent </w:t>
      </w:r>
      <w:r w:rsidR="00B60CE8" w:rsidRPr="001005B7">
        <w:rPr>
          <w:rFonts w:cstheme="minorHAnsi"/>
        </w:rPr>
        <w:t xml:space="preserve">action </w:t>
      </w:r>
      <w:r w:rsidR="00605D68" w:rsidRPr="001005B7">
        <w:rPr>
          <w:rFonts w:cstheme="minorHAnsi"/>
        </w:rPr>
        <w:t>towards</w:t>
      </w:r>
      <w:r w:rsidR="00B60CE8" w:rsidRPr="001005B7">
        <w:rPr>
          <w:rFonts w:cstheme="minorHAnsi"/>
        </w:rPr>
        <w:t xml:space="preserve"> one another, particularly </w:t>
      </w:r>
      <w:r w:rsidR="00E64EB2" w:rsidRPr="001005B7">
        <w:rPr>
          <w:rFonts w:cstheme="minorHAnsi"/>
        </w:rPr>
        <w:t xml:space="preserve">the strong </w:t>
      </w:r>
      <w:r w:rsidR="00694C2F" w:rsidRPr="001005B7">
        <w:rPr>
          <w:rFonts w:cstheme="minorHAnsi"/>
        </w:rPr>
        <w:t>towards</w:t>
      </w:r>
      <w:r w:rsidR="000F2A33" w:rsidRPr="001005B7">
        <w:rPr>
          <w:rFonts w:cstheme="minorHAnsi"/>
        </w:rPr>
        <w:t xml:space="preserve"> </w:t>
      </w:r>
      <w:r w:rsidR="00E64EB2" w:rsidRPr="001005B7">
        <w:rPr>
          <w:rFonts w:cstheme="minorHAnsi"/>
        </w:rPr>
        <w:t>the weak</w:t>
      </w:r>
      <w:r w:rsidR="00B92144" w:rsidRPr="001005B7">
        <w:rPr>
          <w:rFonts w:cstheme="minorHAnsi"/>
        </w:rPr>
        <w:t>. M</w:t>
      </w:r>
      <w:r w:rsidR="00E64EB2" w:rsidRPr="001005B7">
        <w:rPr>
          <w:rFonts w:cstheme="minorHAnsi"/>
        </w:rPr>
        <w:t>ore likely that is the reference here</w:t>
      </w:r>
      <w:r w:rsidR="00581559" w:rsidRPr="001005B7">
        <w:rPr>
          <w:rFonts w:cstheme="minorHAnsi"/>
        </w:rPr>
        <w:t>, as</w:t>
      </w:r>
      <w:r w:rsidR="006C77CA" w:rsidRPr="001005B7">
        <w:rPr>
          <w:rFonts w:cstheme="minorHAnsi"/>
        </w:rPr>
        <w:t xml:space="preserve"> </w:t>
      </w:r>
      <w:r w:rsidR="0075158D" w:rsidRPr="001005B7">
        <w:rPr>
          <w:rFonts w:cstheme="minorHAnsi"/>
        </w:rPr>
        <w:t>9:9</w:t>
      </w:r>
      <w:r w:rsidR="00581559" w:rsidRPr="001005B7">
        <w:rPr>
          <w:rFonts w:cstheme="minorHAnsi"/>
        </w:rPr>
        <w:t xml:space="preserve"> and</w:t>
      </w:r>
      <w:r w:rsidR="0075158D" w:rsidRPr="001005B7">
        <w:rPr>
          <w:rFonts w:cstheme="minorHAnsi"/>
        </w:rPr>
        <w:t xml:space="preserve"> </w:t>
      </w:r>
      <w:r w:rsidR="006C77CA" w:rsidRPr="001005B7">
        <w:rPr>
          <w:rFonts w:cstheme="minorHAnsi"/>
        </w:rPr>
        <w:t>11:1</w:t>
      </w:r>
      <w:r w:rsidR="00F46900" w:rsidRPr="001005B7">
        <w:rPr>
          <w:rFonts w:cstheme="minorHAnsi"/>
        </w:rPr>
        <w:t>–</w:t>
      </w:r>
      <w:r w:rsidR="006C77CA" w:rsidRPr="001005B7">
        <w:rPr>
          <w:rFonts w:cstheme="minorHAnsi"/>
        </w:rPr>
        <w:t xml:space="preserve">12 </w:t>
      </w:r>
      <w:r w:rsidR="00120E6A" w:rsidRPr="001005B7">
        <w:rPr>
          <w:rFonts w:cstheme="minorHAnsi"/>
        </w:rPr>
        <w:t xml:space="preserve">will </w:t>
      </w:r>
      <w:r w:rsidR="006C5804" w:rsidRPr="001005B7">
        <w:rPr>
          <w:rFonts w:cstheme="minorHAnsi"/>
        </w:rPr>
        <w:t>confirm</w:t>
      </w:r>
      <w:r w:rsidR="006B189E" w:rsidRPr="001005B7">
        <w:rPr>
          <w:rFonts w:cstheme="minorHAnsi"/>
        </w:rPr>
        <w:t xml:space="preserve">. Yahweh </w:t>
      </w:r>
      <w:r w:rsidR="00120E6A" w:rsidRPr="001005B7">
        <w:rPr>
          <w:rFonts w:cstheme="minorHAnsi"/>
        </w:rPr>
        <w:t xml:space="preserve">thus </w:t>
      </w:r>
      <w:r w:rsidR="006B189E" w:rsidRPr="001005B7">
        <w:rPr>
          <w:rFonts w:cstheme="minorHAnsi"/>
        </w:rPr>
        <w:t xml:space="preserve">adds </w:t>
      </w:r>
      <w:r w:rsidR="00BC2DB2" w:rsidRPr="001005B7">
        <w:rPr>
          <w:rFonts w:cstheme="minorHAnsi"/>
        </w:rPr>
        <w:t xml:space="preserve">this </w:t>
      </w:r>
      <w:r w:rsidR="006B189E" w:rsidRPr="001005B7">
        <w:rPr>
          <w:rFonts w:cstheme="minorHAnsi"/>
        </w:rPr>
        <w:t>reference to the</w:t>
      </w:r>
      <w:r w:rsidR="007157F7" w:rsidRPr="001005B7">
        <w:rPr>
          <w:rFonts w:cstheme="minorHAnsi"/>
        </w:rPr>
        <w:t xml:space="preserve"> </w:t>
      </w:r>
      <w:r w:rsidR="006B189E" w:rsidRPr="001005B7">
        <w:rPr>
          <w:rFonts w:cstheme="minorHAnsi"/>
        </w:rPr>
        <w:t>comments about worship.</w:t>
      </w:r>
      <w:r w:rsidR="00543C58" w:rsidRPr="001005B7">
        <w:rPr>
          <w:rFonts w:cstheme="minorHAnsi"/>
        </w:rPr>
        <w:t xml:space="preserve"> Perhaps there is an implication that the social disorder follows from the religious disorder</w:t>
      </w:r>
      <w:r w:rsidR="008266B7" w:rsidRPr="001005B7">
        <w:rPr>
          <w:rFonts w:cstheme="minorHAnsi"/>
        </w:rPr>
        <w:t xml:space="preserve"> (Sweeney, </w:t>
      </w:r>
      <w:r w:rsidR="005D7D3C" w:rsidRPr="001005B7">
        <w:rPr>
          <w:rFonts w:cstheme="minorHAnsi"/>
        </w:rPr>
        <w:t>59).</w:t>
      </w:r>
      <w:r w:rsidR="00543C58" w:rsidRPr="001005B7">
        <w:rPr>
          <w:rFonts w:cstheme="minorHAnsi"/>
        </w:rPr>
        <w:t xml:space="preserve"> </w:t>
      </w:r>
      <w:r w:rsidR="003A6342" w:rsidRPr="001005B7">
        <w:rPr>
          <w:rFonts w:cstheme="minorHAnsi"/>
        </w:rPr>
        <w:t>We can only guess at the significance of</w:t>
      </w:r>
      <w:r w:rsidR="00C763D3" w:rsidRPr="001005B7">
        <w:rPr>
          <w:rFonts w:cstheme="minorHAnsi"/>
        </w:rPr>
        <w:t xml:space="preserve"> </w:t>
      </w:r>
      <w:r w:rsidR="004F5690" w:rsidRPr="001005B7">
        <w:rPr>
          <w:rFonts w:cstheme="minorHAnsi"/>
        </w:rPr>
        <w:t>“</w:t>
      </w:r>
      <w:r w:rsidR="00C763D3" w:rsidRPr="001005B7">
        <w:rPr>
          <w:rFonts w:cstheme="minorHAnsi"/>
        </w:rPr>
        <w:t>p</w:t>
      </w:r>
      <w:r w:rsidR="00983BA2" w:rsidRPr="001005B7">
        <w:rPr>
          <w:rFonts w:cstheme="minorHAnsi"/>
        </w:rPr>
        <w:t>utting</w:t>
      </w:r>
      <w:r w:rsidR="00983BA2" w:rsidRPr="001005B7">
        <w:rPr>
          <w:rFonts w:cstheme="minorHAnsi"/>
          <w:i/>
          <w:iCs/>
        </w:rPr>
        <w:t xml:space="preserve"> </w:t>
      </w:r>
      <w:r w:rsidR="00983BA2" w:rsidRPr="001005B7">
        <w:rPr>
          <w:rFonts w:cstheme="minorHAnsi"/>
        </w:rPr>
        <w:t>the</w:t>
      </w:r>
      <w:r w:rsidR="00983BA2" w:rsidRPr="001005B7">
        <w:rPr>
          <w:rFonts w:cstheme="minorHAnsi"/>
          <w:i/>
          <w:iCs/>
        </w:rPr>
        <w:t xml:space="preserve"> </w:t>
      </w:r>
      <w:r w:rsidR="00983BA2" w:rsidRPr="001005B7">
        <w:rPr>
          <w:rFonts w:cstheme="minorHAnsi"/>
        </w:rPr>
        <w:t>branch</w:t>
      </w:r>
      <w:r w:rsidR="00983BA2" w:rsidRPr="001005B7">
        <w:rPr>
          <w:rFonts w:cstheme="minorHAnsi"/>
          <w:i/>
          <w:iCs/>
        </w:rPr>
        <w:t xml:space="preserve"> </w:t>
      </w:r>
      <w:r w:rsidR="00983BA2" w:rsidRPr="001005B7">
        <w:rPr>
          <w:rFonts w:cstheme="minorHAnsi"/>
        </w:rPr>
        <w:t>to</w:t>
      </w:r>
      <w:r w:rsidR="00983BA2" w:rsidRPr="001005B7">
        <w:rPr>
          <w:rFonts w:cstheme="minorHAnsi"/>
          <w:i/>
          <w:iCs/>
        </w:rPr>
        <w:t xml:space="preserve"> </w:t>
      </w:r>
      <w:r w:rsidR="00983BA2" w:rsidRPr="001005B7">
        <w:rPr>
          <w:rFonts w:cstheme="minorHAnsi"/>
        </w:rPr>
        <w:t>their</w:t>
      </w:r>
      <w:r w:rsidR="00983BA2" w:rsidRPr="001005B7">
        <w:rPr>
          <w:rFonts w:cstheme="minorHAnsi"/>
          <w:i/>
          <w:iCs/>
        </w:rPr>
        <w:t xml:space="preserve"> </w:t>
      </w:r>
      <w:r w:rsidR="00983BA2" w:rsidRPr="001005B7">
        <w:rPr>
          <w:rFonts w:cstheme="minorHAnsi"/>
        </w:rPr>
        <w:t>nose</w:t>
      </w:r>
      <w:r w:rsidR="00B84048" w:rsidRPr="001005B7">
        <w:rPr>
          <w:rFonts w:cstheme="minorHAnsi"/>
        </w:rPr>
        <w:t>.</w:t>
      </w:r>
      <w:r w:rsidR="00353896" w:rsidRPr="001005B7">
        <w:rPr>
          <w:rFonts w:cstheme="minorHAnsi"/>
        </w:rPr>
        <w:t>”</w:t>
      </w:r>
      <w:r w:rsidR="00B84048" w:rsidRPr="001005B7">
        <w:rPr>
          <w:rFonts w:cstheme="minorHAnsi"/>
        </w:rPr>
        <w:t xml:space="preserve"> It might be</w:t>
      </w:r>
      <w:r w:rsidR="00983BA2" w:rsidRPr="001005B7">
        <w:rPr>
          <w:rFonts w:cstheme="minorHAnsi"/>
          <w:i/>
          <w:iCs/>
        </w:rPr>
        <w:t xml:space="preserve"> </w:t>
      </w:r>
      <w:r w:rsidR="003A6342" w:rsidRPr="001005B7">
        <w:rPr>
          <w:rFonts w:cstheme="minorHAnsi"/>
        </w:rPr>
        <w:t xml:space="preserve">a gesture of commitment like a salute, so that Yahweh’s comment sums up the actions he has drawn attention to in </w:t>
      </w:r>
      <w:r w:rsidR="0042084A" w:rsidRPr="001005B7">
        <w:rPr>
          <w:rFonts w:cstheme="minorHAnsi"/>
        </w:rPr>
        <w:t>8:</w:t>
      </w:r>
      <w:r w:rsidR="003A6342" w:rsidRPr="001005B7">
        <w:rPr>
          <w:rFonts w:cstheme="minorHAnsi"/>
        </w:rPr>
        <w:t>5</w:t>
      </w:r>
      <w:r w:rsidR="00F46900" w:rsidRPr="001005B7">
        <w:rPr>
          <w:rFonts w:cstheme="minorHAnsi"/>
        </w:rPr>
        <w:t>–</w:t>
      </w:r>
      <w:r w:rsidR="003A6342" w:rsidRPr="001005B7">
        <w:rPr>
          <w:rFonts w:cstheme="minorHAnsi"/>
        </w:rPr>
        <w:t>16</w:t>
      </w:r>
      <w:r w:rsidR="00B84048" w:rsidRPr="001005B7">
        <w:rPr>
          <w:rFonts w:cstheme="minorHAnsi"/>
        </w:rPr>
        <w:t xml:space="preserve">. Or it might be </w:t>
      </w:r>
      <w:r w:rsidR="00EA5C32" w:rsidRPr="001005B7">
        <w:rPr>
          <w:rFonts w:cstheme="minorHAnsi"/>
        </w:rPr>
        <w:t xml:space="preserve">a </w:t>
      </w:r>
      <w:r w:rsidR="00983BA2" w:rsidRPr="001005B7">
        <w:rPr>
          <w:rFonts w:cstheme="minorHAnsi"/>
        </w:rPr>
        <w:t xml:space="preserve">gesture of </w:t>
      </w:r>
      <w:r w:rsidR="00EA5C32" w:rsidRPr="001005B7">
        <w:rPr>
          <w:rFonts w:cstheme="minorHAnsi"/>
        </w:rPr>
        <w:t xml:space="preserve">contempt like </w:t>
      </w:r>
      <w:r w:rsidR="00166CA1" w:rsidRPr="001005B7">
        <w:rPr>
          <w:rFonts w:cstheme="minorHAnsi"/>
        </w:rPr>
        <w:t>thumbing one’s nose</w:t>
      </w:r>
      <w:r w:rsidR="006E7F36" w:rsidRPr="001005B7">
        <w:rPr>
          <w:rFonts w:cstheme="minorHAnsi"/>
        </w:rPr>
        <w:t xml:space="preserve">. </w:t>
      </w:r>
      <w:r w:rsidR="00922CD0" w:rsidRPr="001005B7">
        <w:rPr>
          <w:rFonts w:cstheme="minorHAnsi"/>
        </w:rPr>
        <w:t>Or perhaps</w:t>
      </w:r>
      <w:r w:rsidR="00153706" w:rsidRPr="001005B7">
        <w:rPr>
          <w:rFonts w:cstheme="minorHAnsi"/>
        </w:rPr>
        <w:t xml:space="preserve"> their incense </w:t>
      </w:r>
      <w:r w:rsidR="007256D3" w:rsidRPr="001005B7">
        <w:rPr>
          <w:rFonts w:cstheme="minorHAnsi"/>
        </w:rPr>
        <w:t xml:space="preserve">just seemed like a </w:t>
      </w:r>
      <w:r w:rsidR="0023076E" w:rsidRPr="001005B7">
        <w:rPr>
          <w:rFonts w:cstheme="minorHAnsi"/>
        </w:rPr>
        <w:t>s</w:t>
      </w:r>
      <w:r w:rsidR="00415533" w:rsidRPr="001005B7">
        <w:rPr>
          <w:rFonts w:cstheme="minorHAnsi"/>
        </w:rPr>
        <w:t>tench</w:t>
      </w:r>
      <w:r w:rsidR="00C34FA2" w:rsidRPr="001005B7">
        <w:rPr>
          <w:rFonts w:cstheme="minorHAnsi"/>
        </w:rPr>
        <w:t xml:space="preserve"> </w:t>
      </w:r>
      <w:r w:rsidR="00F420FE" w:rsidRPr="001005B7">
        <w:rPr>
          <w:rFonts w:cstheme="minorHAnsi"/>
        </w:rPr>
        <w:t xml:space="preserve">to Yahweh </w:t>
      </w:r>
      <w:r w:rsidR="00C34FA2" w:rsidRPr="001005B7">
        <w:rPr>
          <w:rFonts w:cstheme="minorHAnsi"/>
        </w:rPr>
        <w:t>(</w:t>
      </w:r>
      <w:proofErr w:type="spellStart"/>
      <w:r w:rsidR="00C34FA2" w:rsidRPr="001005B7">
        <w:rPr>
          <w:rFonts w:cstheme="minorHAnsi"/>
        </w:rPr>
        <w:t>Qimhi</w:t>
      </w:r>
      <w:proofErr w:type="spellEnd"/>
      <w:r w:rsidR="00F1577D" w:rsidRPr="001005B7">
        <w:rPr>
          <w:rFonts w:cstheme="minorHAnsi"/>
        </w:rPr>
        <w:t>,</w:t>
      </w:r>
      <w:r w:rsidR="00C34FA2" w:rsidRPr="001005B7">
        <w:rPr>
          <w:rFonts w:cstheme="minorHAnsi"/>
        </w:rPr>
        <w:t xml:space="preserve"> in MG)</w:t>
      </w:r>
      <w:r w:rsidR="00922CD0" w:rsidRPr="001005B7">
        <w:rPr>
          <w:rFonts w:cstheme="minorHAnsi"/>
        </w:rPr>
        <w:t>,</w:t>
      </w:r>
      <w:r w:rsidR="00973E3A" w:rsidRPr="001005B7">
        <w:rPr>
          <w:rFonts w:cstheme="minorHAnsi"/>
        </w:rPr>
        <w:t xml:space="preserve"> </w:t>
      </w:r>
      <w:r w:rsidR="0023076E" w:rsidRPr="001005B7">
        <w:rPr>
          <w:rFonts w:cstheme="minorHAnsi"/>
        </w:rPr>
        <w:t xml:space="preserve">which </w:t>
      </w:r>
      <w:r w:rsidR="00922CD0" w:rsidRPr="001005B7">
        <w:rPr>
          <w:rFonts w:cstheme="minorHAnsi"/>
        </w:rPr>
        <w:t xml:space="preserve">would </w:t>
      </w:r>
      <w:r w:rsidR="0023076E" w:rsidRPr="001005B7">
        <w:rPr>
          <w:rFonts w:cstheme="minorHAnsi"/>
        </w:rPr>
        <w:t>f</w:t>
      </w:r>
      <w:r w:rsidR="00973E3A" w:rsidRPr="001005B7">
        <w:rPr>
          <w:rFonts w:cstheme="minorHAnsi"/>
        </w:rPr>
        <w:t>it with the Jewish tradition that originally Ezek</w:t>
      </w:r>
      <w:r w:rsidR="00991FFA" w:rsidRPr="001005B7">
        <w:rPr>
          <w:rFonts w:cstheme="minorHAnsi"/>
        </w:rPr>
        <w:t>i</w:t>
      </w:r>
      <w:r w:rsidR="00973E3A" w:rsidRPr="001005B7">
        <w:rPr>
          <w:rFonts w:cstheme="minorHAnsi"/>
        </w:rPr>
        <w:t>el wrote “my nose.”</w:t>
      </w:r>
      <w:r w:rsidR="00AB5F57" w:rsidRPr="001005B7">
        <w:rPr>
          <w:rStyle w:val="FootnoteReference"/>
          <w:rFonts w:cstheme="minorHAnsi"/>
        </w:rPr>
        <w:footnoteReference w:id="246"/>
      </w:r>
    </w:p>
    <w:p w14:paraId="5B8FC118" w14:textId="4655F01B" w:rsidR="00A97494" w:rsidRPr="001005B7" w:rsidRDefault="00A42E55" w:rsidP="0001520C">
      <w:pPr>
        <w:rPr>
          <w:rFonts w:cstheme="minorHAnsi"/>
        </w:rPr>
      </w:pPr>
      <w:r w:rsidRPr="001005B7">
        <w:rPr>
          <w:rFonts w:cstheme="minorHAnsi"/>
          <w:b/>
          <w:bCs/>
        </w:rPr>
        <w:t>18</w:t>
      </w:r>
      <w:r w:rsidRPr="001005B7">
        <w:rPr>
          <w:rFonts w:cstheme="minorHAnsi"/>
        </w:rPr>
        <w:t xml:space="preserve">. The result will be the familiar one. </w:t>
      </w:r>
      <w:r w:rsidR="006E6036" w:rsidRPr="001005B7">
        <w:rPr>
          <w:rFonts w:cstheme="minorHAnsi"/>
        </w:rPr>
        <w:t xml:space="preserve">While </w:t>
      </w:r>
      <w:r w:rsidR="008E7B38" w:rsidRPr="001005B7">
        <w:rPr>
          <w:rFonts w:cstheme="minorHAnsi"/>
        </w:rPr>
        <w:t>Yahweh</w:t>
      </w:r>
      <w:r w:rsidR="0001520C" w:rsidRPr="001005B7">
        <w:rPr>
          <w:rFonts w:cstheme="minorHAnsi"/>
        </w:rPr>
        <w:t xml:space="preserve"> </w:t>
      </w:r>
      <w:r w:rsidR="00C97FD6" w:rsidRPr="001005B7">
        <w:rPr>
          <w:rFonts w:cstheme="minorHAnsi"/>
        </w:rPr>
        <w:t xml:space="preserve">listens to </w:t>
      </w:r>
      <w:r w:rsidR="0001520C" w:rsidRPr="001005B7">
        <w:rPr>
          <w:rFonts w:cstheme="minorHAnsi"/>
        </w:rPr>
        <w:t xml:space="preserve">the cry of the </w:t>
      </w:r>
      <w:r w:rsidR="005E0F96" w:rsidRPr="001005B7">
        <w:rPr>
          <w:rFonts w:cstheme="minorHAnsi"/>
        </w:rPr>
        <w:t>needy</w:t>
      </w:r>
      <w:r w:rsidR="006E6036" w:rsidRPr="001005B7">
        <w:rPr>
          <w:rFonts w:cstheme="minorHAnsi"/>
        </w:rPr>
        <w:t>,</w:t>
      </w:r>
      <w:r w:rsidR="0001520C" w:rsidRPr="001005B7">
        <w:rPr>
          <w:rFonts w:cstheme="minorHAnsi"/>
        </w:rPr>
        <w:t xml:space="preserve"> this is the</w:t>
      </w:r>
      <w:r w:rsidR="008E7B38" w:rsidRPr="001005B7">
        <w:rPr>
          <w:rFonts w:cstheme="minorHAnsi"/>
        </w:rPr>
        <w:t xml:space="preserve"> </w:t>
      </w:r>
      <w:r w:rsidR="0001520C" w:rsidRPr="001005B7">
        <w:rPr>
          <w:rFonts w:cstheme="minorHAnsi"/>
        </w:rPr>
        <w:t xml:space="preserve">cry of </w:t>
      </w:r>
      <w:r w:rsidR="008E7B38" w:rsidRPr="001005B7">
        <w:rPr>
          <w:rFonts w:cstheme="minorHAnsi"/>
        </w:rPr>
        <w:t>the violent</w:t>
      </w:r>
      <w:r w:rsidR="007E09F8" w:rsidRPr="001005B7">
        <w:rPr>
          <w:rFonts w:cstheme="minorHAnsi"/>
        </w:rPr>
        <w:t>, and</w:t>
      </w:r>
      <w:r w:rsidR="008E7B38" w:rsidRPr="001005B7">
        <w:rPr>
          <w:rFonts w:cstheme="minorHAnsi"/>
        </w:rPr>
        <w:t xml:space="preserve"> </w:t>
      </w:r>
      <w:r w:rsidR="00F420FE" w:rsidRPr="001005B7">
        <w:rPr>
          <w:rFonts w:cstheme="minorHAnsi"/>
        </w:rPr>
        <w:t>h</w:t>
      </w:r>
      <w:r w:rsidR="008E7B38" w:rsidRPr="001005B7">
        <w:rPr>
          <w:rFonts w:cstheme="minorHAnsi"/>
        </w:rPr>
        <w:t>e doesn’t listen to them</w:t>
      </w:r>
      <w:r w:rsidR="007E09F8" w:rsidRPr="001005B7">
        <w:rPr>
          <w:rFonts w:cstheme="minorHAnsi"/>
        </w:rPr>
        <w:t xml:space="preserve"> (Lind, 80).</w:t>
      </w:r>
    </w:p>
    <w:p w14:paraId="4C85DFB3" w14:textId="77777777" w:rsidR="008A320E" w:rsidRPr="001005B7" w:rsidRDefault="008A320E" w:rsidP="00493833">
      <w:pPr>
        <w:pStyle w:val="Heading3"/>
      </w:pPr>
      <w:r w:rsidRPr="001005B7">
        <w:t xml:space="preserve">Biblical Theology Comments </w:t>
      </w:r>
    </w:p>
    <w:p w14:paraId="5F0546E6" w14:textId="7D56B0EC" w:rsidR="00AE5FE7" w:rsidRPr="001005B7" w:rsidRDefault="00721B30" w:rsidP="00E842B6">
      <w:r w:rsidRPr="001005B7">
        <w:rPr>
          <w:rFonts w:cstheme="minorHAnsi"/>
          <w:bCs/>
        </w:rPr>
        <w:t xml:space="preserve">Ezekiel enables us to see something of </w:t>
      </w:r>
      <w:r w:rsidR="000E3FC5" w:rsidRPr="001005B7">
        <w:rPr>
          <w:rFonts w:cstheme="minorHAnsi"/>
          <w:bCs/>
        </w:rPr>
        <w:t xml:space="preserve">the diversity of statements that need to be made about </w:t>
      </w:r>
      <w:r w:rsidR="00BE1D4E" w:rsidRPr="001005B7">
        <w:rPr>
          <w:rFonts w:cstheme="minorHAnsi"/>
          <w:bCs/>
        </w:rPr>
        <w:t>Yahweh</w:t>
      </w:r>
      <w:r w:rsidR="000E3FC5" w:rsidRPr="001005B7">
        <w:rPr>
          <w:rFonts w:cstheme="minorHAnsi"/>
          <w:bCs/>
        </w:rPr>
        <w:t xml:space="preserve">. </w:t>
      </w:r>
      <w:r w:rsidR="00A9685B" w:rsidRPr="001005B7">
        <w:t>Yahweh</w:t>
      </w:r>
      <w:r w:rsidR="000E3FC5" w:rsidRPr="001005B7">
        <w:t xml:space="preserve"> is simply </w:t>
      </w:r>
      <w:r w:rsidR="00353896" w:rsidRPr="001005B7">
        <w:t>“</w:t>
      </w:r>
      <w:r w:rsidR="000E3FC5" w:rsidRPr="001005B7">
        <w:t>he</w:t>
      </w:r>
      <w:r w:rsidR="006105C4" w:rsidRPr="001005B7">
        <w:t>,</w:t>
      </w:r>
      <w:r w:rsidR="00353896" w:rsidRPr="001005B7">
        <w:t>”</w:t>
      </w:r>
      <w:r w:rsidR="00A9685B" w:rsidRPr="001005B7">
        <w:t xml:space="preserve"> a person, not a thing or a principle</w:t>
      </w:r>
      <w:r w:rsidR="00B90EFA" w:rsidRPr="001005B7">
        <w:t>, b</w:t>
      </w:r>
      <w:r w:rsidR="006105C4" w:rsidRPr="001005B7">
        <w:t>u</w:t>
      </w:r>
      <w:r w:rsidR="00B90EFA" w:rsidRPr="001005B7">
        <w:t>t someone who</w:t>
      </w:r>
      <w:r w:rsidR="0073076B" w:rsidRPr="001005B7">
        <w:t xml:space="preserve"> acts and speaks. </w:t>
      </w:r>
      <w:r w:rsidR="000E3FC5" w:rsidRPr="001005B7">
        <w:t xml:space="preserve">He is </w:t>
      </w:r>
      <w:r w:rsidR="00353896" w:rsidRPr="001005B7">
        <w:t>“</w:t>
      </w:r>
      <w:r w:rsidR="000E3FC5" w:rsidRPr="001005B7">
        <w:t>God</w:t>
      </w:r>
      <w:r w:rsidR="0073076B" w:rsidRPr="001005B7">
        <w:t>,</w:t>
      </w:r>
      <w:r w:rsidR="00353896" w:rsidRPr="001005B7">
        <w:t>”</w:t>
      </w:r>
      <w:r w:rsidR="0073076B" w:rsidRPr="001005B7">
        <w:t xml:space="preserve"> not simply a god</w:t>
      </w:r>
      <w:r w:rsidR="00887DA5" w:rsidRPr="001005B7">
        <w:t>. T</w:t>
      </w:r>
      <w:r w:rsidR="00175708" w:rsidRPr="001005B7">
        <w:t>here is only one being like Yahweh</w:t>
      </w:r>
      <w:r w:rsidR="000E3FC5" w:rsidRPr="001005B7">
        <w:t xml:space="preserve">. He is </w:t>
      </w:r>
      <w:r w:rsidR="00353896" w:rsidRPr="001005B7">
        <w:t>“</w:t>
      </w:r>
      <w:r w:rsidR="000E3FC5" w:rsidRPr="001005B7">
        <w:t>the</w:t>
      </w:r>
      <w:r w:rsidR="000E3FC5" w:rsidRPr="001005B7">
        <w:rPr>
          <w:i/>
          <w:iCs/>
        </w:rPr>
        <w:t xml:space="preserve"> </w:t>
      </w:r>
      <w:r w:rsidR="000E3FC5" w:rsidRPr="001005B7">
        <w:t>God</w:t>
      </w:r>
      <w:r w:rsidR="000E3FC5" w:rsidRPr="001005B7">
        <w:rPr>
          <w:i/>
          <w:iCs/>
        </w:rPr>
        <w:t xml:space="preserve"> </w:t>
      </w:r>
      <w:r w:rsidR="000E3FC5" w:rsidRPr="001005B7">
        <w:t>of</w:t>
      </w:r>
      <w:r w:rsidR="000E3FC5" w:rsidRPr="001005B7">
        <w:rPr>
          <w:i/>
          <w:iCs/>
        </w:rPr>
        <w:t xml:space="preserve"> </w:t>
      </w:r>
      <w:r w:rsidR="000E3FC5" w:rsidRPr="001005B7">
        <w:t>Israel</w:t>
      </w:r>
      <w:r w:rsidR="00887DA5" w:rsidRPr="001005B7">
        <w:t>.</w:t>
      </w:r>
      <w:r w:rsidR="00353896" w:rsidRPr="001005B7">
        <w:t>”</w:t>
      </w:r>
      <w:r w:rsidR="00887DA5" w:rsidRPr="001005B7">
        <w:t xml:space="preserve"> H</w:t>
      </w:r>
      <w:r w:rsidR="00D64F59" w:rsidRPr="001005B7">
        <w:t xml:space="preserve">e associated himself with this people in the course of </w:t>
      </w:r>
      <w:r w:rsidR="00993B60" w:rsidRPr="001005B7">
        <w:t xml:space="preserve">fulfilling his aims for all </w:t>
      </w:r>
      <w:r w:rsidR="005068BA" w:rsidRPr="001005B7">
        <w:t>people</w:t>
      </w:r>
      <w:r w:rsidR="00993B60" w:rsidRPr="001005B7">
        <w:t>s</w:t>
      </w:r>
      <w:r w:rsidR="000E3FC5" w:rsidRPr="001005B7">
        <w:t>. He is a being of majesty</w:t>
      </w:r>
      <w:r w:rsidR="00887DA5" w:rsidRPr="001005B7">
        <w:t>,</w:t>
      </w:r>
      <w:r w:rsidR="00993B60" w:rsidRPr="001005B7">
        <w:t xml:space="preserve"> </w:t>
      </w:r>
      <w:r w:rsidR="008A6A96" w:rsidRPr="001005B7">
        <w:t xml:space="preserve">glory, honor, and </w:t>
      </w:r>
      <w:r w:rsidR="004A5004" w:rsidRPr="001005B7">
        <w:t>magnificence</w:t>
      </w:r>
      <w:r w:rsidR="00887DA5" w:rsidRPr="001005B7">
        <w:t>. H</w:t>
      </w:r>
      <w:r w:rsidR="008A6A96" w:rsidRPr="001005B7">
        <w:t>e is not your buddy</w:t>
      </w:r>
      <w:r w:rsidR="00591DD4" w:rsidRPr="001005B7">
        <w:t xml:space="preserve">, though he is your father and mother. </w:t>
      </w:r>
      <w:r w:rsidR="0065116C" w:rsidRPr="001005B7">
        <w:t xml:space="preserve">He has </w:t>
      </w:r>
      <w:r w:rsidR="00A51CB5" w:rsidRPr="001005B7">
        <w:t>“</w:t>
      </w:r>
      <w:r w:rsidR="0065116C" w:rsidRPr="001005B7">
        <w:t>t</w:t>
      </w:r>
      <w:r w:rsidR="00A21A98" w:rsidRPr="001005B7">
        <w:t>h</w:t>
      </w:r>
      <w:r w:rsidR="0065116C" w:rsidRPr="001005B7">
        <w:t>e appearance of fire</w:t>
      </w:r>
      <w:r w:rsidR="00A21A98" w:rsidRPr="001005B7">
        <w:t>,</w:t>
      </w:r>
      <w:r w:rsidR="00A51CB5" w:rsidRPr="001005B7">
        <w:t>”</w:t>
      </w:r>
      <w:r w:rsidR="00A21A98" w:rsidRPr="001005B7">
        <w:t xml:space="preserve"> </w:t>
      </w:r>
      <w:r w:rsidR="00072121" w:rsidRPr="001005B7">
        <w:t xml:space="preserve">powerful and dangerous. </w:t>
      </w:r>
      <w:r w:rsidR="006665F6" w:rsidRPr="001005B7">
        <w:t xml:space="preserve">He has the dynamic of the </w:t>
      </w:r>
      <w:r w:rsidR="00A51CB5" w:rsidRPr="001005B7">
        <w:t>“</w:t>
      </w:r>
      <w:r w:rsidR="006665F6" w:rsidRPr="001005B7">
        <w:t>wind</w:t>
      </w:r>
      <w:r w:rsidR="00266316" w:rsidRPr="001005B7">
        <w:t>.</w:t>
      </w:r>
      <w:r w:rsidR="00A51CB5" w:rsidRPr="001005B7">
        <w:t>”</w:t>
      </w:r>
      <w:r w:rsidR="00266316" w:rsidRPr="001005B7">
        <w:t xml:space="preserve"> H</w:t>
      </w:r>
      <w:r w:rsidR="00E7312B" w:rsidRPr="001005B7">
        <w:t>e is</w:t>
      </w:r>
      <w:r w:rsidR="00AE7918" w:rsidRPr="001005B7">
        <w:t xml:space="preserve"> capable of sweeping </w:t>
      </w:r>
      <w:r w:rsidR="00F0014A" w:rsidRPr="001005B7">
        <w:t>someone across deserts</w:t>
      </w:r>
      <w:r w:rsidR="00E7312B" w:rsidRPr="001005B7">
        <w:t>.</w:t>
      </w:r>
      <w:r w:rsidR="00486982" w:rsidRPr="001005B7">
        <w:t xml:space="preserve"> He </w:t>
      </w:r>
      <w:r w:rsidR="00E7312B" w:rsidRPr="001005B7">
        <w:t>is capable of reaching out and grasping</w:t>
      </w:r>
      <w:r w:rsidR="00266316" w:rsidRPr="001005B7">
        <w:t>. H</w:t>
      </w:r>
      <w:r w:rsidR="00E7312B" w:rsidRPr="001005B7">
        <w:t>is touch is not gentle.</w:t>
      </w:r>
      <w:r w:rsidR="00072121" w:rsidRPr="001005B7">
        <w:t xml:space="preserve"> </w:t>
      </w:r>
      <w:r w:rsidR="000621AA" w:rsidRPr="001005B7">
        <w:t>He cannot be imaged</w:t>
      </w:r>
      <w:r w:rsidR="00E842B6" w:rsidRPr="001005B7">
        <w:t xml:space="preserve">, and therefore he must not be. </w:t>
      </w:r>
    </w:p>
    <w:p w14:paraId="2FFE2FF3" w14:textId="75B4EEF3" w:rsidR="00D4070D" w:rsidRPr="001005B7" w:rsidRDefault="00E842B6" w:rsidP="00790282">
      <w:r w:rsidRPr="001005B7">
        <w:t>He is</w:t>
      </w:r>
      <w:r w:rsidR="0096299A" w:rsidRPr="001005B7">
        <w:t xml:space="preserve"> lord of creation and lord of Israel’s history</w:t>
      </w:r>
      <w:r w:rsidR="0090153F" w:rsidRPr="001005B7">
        <w:t xml:space="preserve"> (Wright, 106</w:t>
      </w:r>
      <w:r w:rsidR="00F46900" w:rsidRPr="001005B7">
        <w:t>–</w:t>
      </w:r>
      <w:r w:rsidR="0090153F" w:rsidRPr="001005B7">
        <w:t>7)</w:t>
      </w:r>
      <w:r w:rsidR="00060728" w:rsidRPr="001005B7">
        <w:t xml:space="preserve"> </w:t>
      </w:r>
      <w:r w:rsidR="00C30164" w:rsidRPr="001005B7">
        <w:t>and i</w:t>
      </w:r>
      <w:r w:rsidR="00060728" w:rsidRPr="001005B7">
        <w:t xml:space="preserve">t is possible to </w:t>
      </w:r>
      <w:r w:rsidR="00C30164" w:rsidRPr="001005B7">
        <w:t>underplay one or the other.</w:t>
      </w:r>
      <w:r w:rsidRPr="001005B7">
        <w:t xml:space="preserve"> </w:t>
      </w:r>
      <w:r w:rsidR="00AE5FE7" w:rsidRPr="001005B7">
        <w:t xml:space="preserve">He is also lord of experience </w:t>
      </w:r>
      <w:r w:rsidR="00846DDD" w:rsidRPr="001005B7">
        <w:t>and lord of th</w:t>
      </w:r>
      <w:r w:rsidR="008610E6" w:rsidRPr="001005B7">
        <w:t>e</w:t>
      </w:r>
      <w:r w:rsidR="00846DDD" w:rsidRPr="001005B7">
        <w:t xml:space="preserve"> history that cam</w:t>
      </w:r>
      <w:r w:rsidR="002F1A77" w:rsidRPr="001005B7">
        <w:t>e</w:t>
      </w:r>
      <w:r w:rsidR="00846DDD" w:rsidRPr="001005B7">
        <w:t xml:space="preserve"> to a climax in Jesus.</w:t>
      </w:r>
      <w:r w:rsidR="004A094C" w:rsidRPr="001005B7">
        <w:t xml:space="preserve"> </w:t>
      </w:r>
      <w:r w:rsidR="008610E6" w:rsidRPr="001005B7">
        <w:t>H</w:t>
      </w:r>
      <w:r w:rsidR="004A094C" w:rsidRPr="001005B7">
        <w:t>e</w:t>
      </w:r>
      <w:r w:rsidR="002F1A77" w:rsidRPr="001005B7">
        <w:t xml:space="preserve"> is</w:t>
      </w:r>
      <w:r w:rsidR="004A094C" w:rsidRPr="001005B7">
        <w:t xml:space="preserve"> the Lord known in his basic nature to all </w:t>
      </w:r>
      <w:r w:rsidR="008610E6" w:rsidRPr="001005B7">
        <w:t>people</w:t>
      </w:r>
      <w:r w:rsidR="004A094C" w:rsidRPr="001005B7">
        <w:t>s</w:t>
      </w:r>
      <w:r w:rsidR="004D340F" w:rsidRPr="001005B7">
        <w:t>,</w:t>
      </w:r>
      <w:r w:rsidR="004A094C" w:rsidRPr="001005B7">
        <w:t xml:space="preserve"> and </w:t>
      </w:r>
      <w:r w:rsidR="004D340F" w:rsidRPr="001005B7">
        <w:t xml:space="preserve">the </w:t>
      </w:r>
      <w:r w:rsidR="00350E9D" w:rsidRPr="001005B7">
        <w:t xml:space="preserve">Lord known more fully in that history. The history of what he did in Israel and in Jesus </w:t>
      </w:r>
      <w:r w:rsidR="004D340F" w:rsidRPr="001005B7">
        <w:t xml:space="preserve">gives </w:t>
      </w:r>
      <w:r w:rsidR="008118F1" w:rsidRPr="001005B7">
        <w:t xml:space="preserve">crucial </w:t>
      </w:r>
      <w:r w:rsidR="001B014C" w:rsidRPr="001005B7">
        <w:t>information to anyone who otherwise know</w:t>
      </w:r>
      <w:r w:rsidR="004D340F" w:rsidRPr="001005B7">
        <w:t>s</w:t>
      </w:r>
      <w:r w:rsidR="001B014C" w:rsidRPr="001005B7">
        <w:t xml:space="preserve"> only what they learn from creation, </w:t>
      </w:r>
      <w:r w:rsidR="0020281F" w:rsidRPr="001005B7">
        <w:t xml:space="preserve">from their national culture, and </w:t>
      </w:r>
      <w:r w:rsidR="00A95DB8" w:rsidRPr="001005B7">
        <w:t>from their own experience</w:t>
      </w:r>
      <w:r w:rsidR="0020281F" w:rsidRPr="001005B7">
        <w:t xml:space="preserve">. </w:t>
      </w:r>
      <w:r w:rsidR="0062624D" w:rsidRPr="001005B7">
        <w:t>C</w:t>
      </w:r>
      <w:r w:rsidR="00392D71" w:rsidRPr="001005B7">
        <w:t xml:space="preserve">onversely, people who know that history also learn from creation, culture, and experience, and </w:t>
      </w:r>
      <w:r w:rsidR="00D563B1" w:rsidRPr="001005B7">
        <w:t xml:space="preserve">get to fill out what they already knew </w:t>
      </w:r>
      <w:r w:rsidR="00FF693C" w:rsidRPr="001005B7">
        <w:t xml:space="preserve">in </w:t>
      </w:r>
      <w:r w:rsidR="00D563B1" w:rsidRPr="001005B7">
        <w:t xml:space="preserve">that way. One can see how Israel did </w:t>
      </w:r>
      <w:r w:rsidR="00FF693C" w:rsidRPr="001005B7">
        <w:t>so</w:t>
      </w:r>
      <w:r w:rsidR="00D563B1" w:rsidRPr="001005B7">
        <w:t xml:space="preserve"> and how the church did </w:t>
      </w:r>
      <w:r w:rsidR="00FF693C" w:rsidRPr="001005B7">
        <w:t>so,</w:t>
      </w:r>
      <w:r w:rsidR="00D245A7" w:rsidRPr="001005B7">
        <w:t xml:space="preserve"> and how it contributes to the Scriptures. But Ezekiel and the history of the church also show how</w:t>
      </w:r>
      <w:r w:rsidR="00856095" w:rsidRPr="001005B7">
        <w:t xml:space="preserve"> the crucial nature of what we learn from that history gets overlai</w:t>
      </w:r>
      <w:r w:rsidR="00964AB7" w:rsidRPr="001005B7">
        <w:t>d and we end up just with what we know from creation, from culture, and from experience, without realizing what has happened.</w:t>
      </w:r>
      <w:r w:rsidR="00D84400" w:rsidRPr="001005B7">
        <w:t xml:space="preserve"> </w:t>
      </w:r>
    </w:p>
    <w:p w14:paraId="348009A2" w14:textId="0DFE3C7E" w:rsidR="00D4070D" w:rsidRPr="001005B7" w:rsidRDefault="008B4063" w:rsidP="00493833">
      <w:pPr>
        <w:pStyle w:val="Heading3"/>
      </w:pPr>
      <w:r w:rsidRPr="001005B7">
        <w:t xml:space="preserve">Application and Devotional Implications </w:t>
      </w:r>
    </w:p>
    <w:p w14:paraId="496E7AF4" w14:textId="39B84512" w:rsidR="00414EA3" w:rsidRPr="001005B7" w:rsidRDefault="00815E20" w:rsidP="00037326">
      <w:r w:rsidRPr="001005B7">
        <w:rPr>
          <w:rFonts w:cstheme="minorHAnsi"/>
        </w:rPr>
        <w:t xml:space="preserve">The presence of the elders </w:t>
      </w:r>
      <w:r w:rsidR="002F5055" w:rsidRPr="001005B7">
        <w:rPr>
          <w:rFonts w:cstheme="minorHAnsi"/>
        </w:rPr>
        <w:t xml:space="preserve">in </w:t>
      </w:r>
      <w:proofErr w:type="spellStart"/>
      <w:r w:rsidR="002F5055" w:rsidRPr="001005B7">
        <w:rPr>
          <w:rFonts w:cstheme="minorHAnsi"/>
        </w:rPr>
        <w:t>Kebar</w:t>
      </w:r>
      <w:proofErr w:type="spellEnd"/>
      <w:r w:rsidR="002F5055" w:rsidRPr="001005B7">
        <w:rPr>
          <w:rFonts w:cstheme="minorHAnsi"/>
        </w:rPr>
        <w:t xml:space="preserve"> coming to see Ezekiel and the prominence of the elders and the women praying </w:t>
      </w:r>
      <w:r w:rsidR="00794E24" w:rsidRPr="001005B7">
        <w:rPr>
          <w:rFonts w:cstheme="minorHAnsi"/>
        </w:rPr>
        <w:t xml:space="preserve">in Jerusalem </w:t>
      </w:r>
      <w:r w:rsidR="0079538C" w:rsidRPr="001005B7">
        <w:rPr>
          <w:rFonts w:cstheme="minorHAnsi"/>
        </w:rPr>
        <w:t>suggest that</w:t>
      </w:r>
      <w:r w:rsidR="00794E24" w:rsidRPr="001005B7">
        <w:rPr>
          <w:rFonts w:cstheme="minorHAnsi"/>
        </w:rPr>
        <w:t xml:space="preserve"> </w:t>
      </w:r>
      <w:r w:rsidR="001D1AE0" w:rsidRPr="001005B7">
        <w:rPr>
          <w:rFonts w:cstheme="minorHAnsi"/>
        </w:rPr>
        <w:t xml:space="preserve">key </w:t>
      </w:r>
      <w:r w:rsidR="00A94356" w:rsidRPr="001005B7">
        <w:rPr>
          <w:rFonts w:cstheme="minorHAnsi"/>
        </w:rPr>
        <w:t>question</w:t>
      </w:r>
      <w:r w:rsidR="00B00A31" w:rsidRPr="001005B7">
        <w:rPr>
          <w:rFonts w:cstheme="minorHAnsi"/>
        </w:rPr>
        <w:t>s</w:t>
      </w:r>
      <w:r w:rsidR="00A94356" w:rsidRPr="001005B7">
        <w:rPr>
          <w:rFonts w:cstheme="minorHAnsi"/>
        </w:rPr>
        <w:t xml:space="preserve"> </w:t>
      </w:r>
      <w:r w:rsidR="00B00A31" w:rsidRPr="001005B7">
        <w:rPr>
          <w:rFonts w:cstheme="minorHAnsi"/>
        </w:rPr>
        <w:t>raised by</w:t>
      </w:r>
      <w:r w:rsidR="00084ECE" w:rsidRPr="001005B7">
        <w:rPr>
          <w:rFonts w:cstheme="minorHAnsi"/>
        </w:rPr>
        <w:t xml:space="preserve"> this chapter </w:t>
      </w:r>
      <w:r w:rsidR="00B00A31" w:rsidRPr="001005B7">
        <w:rPr>
          <w:rFonts w:cstheme="minorHAnsi"/>
        </w:rPr>
        <w:t>are</w:t>
      </w:r>
      <w:r w:rsidR="00084ECE" w:rsidRPr="001005B7">
        <w:rPr>
          <w:rFonts w:cstheme="minorHAnsi"/>
        </w:rPr>
        <w:t xml:space="preserve"> </w:t>
      </w:r>
      <w:r w:rsidR="005A29DB">
        <w:rPr>
          <w:rFonts w:cstheme="minorHAnsi"/>
        </w:rPr>
        <w:t xml:space="preserve">the identity of </w:t>
      </w:r>
      <w:r w:rsidR="00084ECE" w:rsidRPr="001005B7">
        <w:rPr>
          <w:rFonts w:cstheme="minorHAnsi"/>
        </w:rPr>
        <w:t xml:space="preserve">who you pray to when you are in need </w:t>
      </w:r>
      <w:r w:rsidR="00BD16F9" w:rsidRPr="001005B7">
        <w:rPr>
          <w:rFonts w:cstheme="minorHAnsi"/>
        </w:rPr>
        <w:t>and</w:t>
      </w:r>
      <w:r w:rsidR="00084ECE" w:rsidRPr="001005B7">
        <w:rPr>
          <w:rFonts w:cstheme="minorHAnsi"/>
        </w:rPr>
        <w:t xml:space="preserve"> how you pray to Yahwe</w:t>
      </w:r>
      <w:r w:rsidR="0090153F" w:rsidRPr="001005B7">
        <w:rPr>
          <w:rFonts w:cstheme="minorHAnsi"/>
        </w:rPr>
        <w:t>h (</w:t>
      </w:r>
      <w:r w:rsidR="0090153F" w:rsidRPr="001005B7">
        <w:t>Odell, 104</w:t>
      </w:r>
      <w:r w:rsidR="00E96AFD" w:rsidRPr="001005B7">
        <w:t>).</w:t>
      </w:r>
      <w:r w:rsidR="001D1AE0" w:rsidRPr="001005B7">
        <w:rPr>
          <w:rFonts w:cstheme="minorHAnsi"/>
        </w:rPr>
        <w:t xml:space="preserve"> </w:t>
      </w:r>
      <w:r w:rsidR="00615D78" w:rsidRPr="001005B7">
        <w:t>“With respect to us as well</w:t>
      </w:r>
      <w:r w:rsidR="00CF3E3B" w:rsidRPr="001005B7">
        <w:t>, one must pray</w:t>
      </w:r>
      <w:r w:rsidR="00617314" w:rsidRPr="001005B7">
        <w:t xml:space="preserve"> that the </w:t>
      </w:r>
      <w:r w:rsidR="00617314" w:rsidRPr="001005B7">
        <w:rPr>
          <w:i/>
          <w:iCs/>
        </w:rPr>
        <w:t xml:space="preserve">elders of the house of Israel </w:t>
      </w:r>
      <w:r w:rsidR="009C7E58" w:rsidRPr="001005B7">
        <w:rPr>
          <w:rFonts w:cstheme="minorHAnsi"/>
          <w:lang w:eastAsia="en-GB"/>
        </w:rPr>
        <w:t>…</w:t>
      </w:r>
      <w:r w:rsidR="00617314" w:rsidRPr="001005B7">
        <w:rPr>
          <w:i/>
          <w:iCs/>
        </w:rPr>
        <w:t xml:space="preserve"> </w:t>
      </w:r>
      <w:r w:rsidR="00617314" w:rsidRPr="001005B7">
        <w:t>not</w:t>
      </w:r>
      <w:r w:rsidR="00617314" w:rsidRPr="001005B7">
        <w:rPr>
          <w:i/>
          <w:iCs/>
        </w:rPr>
        <w:t xml:space="preserve"> stand </w:t>
      </w:r>
      <w:r w:rsidR="00617314" w:rsidRPr="001005B7">
        <w:t>in their errors</w:t>
      </w:r>
      <w:r w:rsidR="00E22EF3" w:rsidRPr="001005B7">
        <w:t xml:space="preserve"> </w:t>
      </w:r>
      <w:r w:rsidR="009C7E58" w:rsidRPr="001005B7">
        <w:rPr>
          <w:rFonts w:cstheme="minorHAnsi"/>
          <w:lang w:eastAsia="en-GB"/>
        </w:rPr>
        <w:t>…</w:t>
      </w:r>
      <w:r w:rsidR="00E22EF3" w:rsidRPr="001005B7">
        <w:t xml:space="preserve"> and that the smoke of </w:t>
      </w:r>
      <w:r w:rsidR="00E22EF3" w:rsidRPr="001005B7">
        <w:rPr>
          <w:i/>
          <w:iCs/>
        </w:rPr>
        <w:t>sacrilege</w:t>
      </w:r>
      <w:r w:rsidR="00E22EF3" w:rsidRPr="001005B7">
        <w:t xml:space="preserve"> </w:t>
      </w:r>
      <w:r w:rsidR="00BC066F" w:rsidRPr="001005B7">
        <w:t xml:space="preserve">that is in opposition to God </w:t>
      </w:r>
      <w:r w:rsidR="007152EB" w:rsidRPr="001005B7">
        <w:t>may not ‘ascend’”</w:t>
      </w:r>
      <w:r w:rsidR="00E96AFD" w:rsidRPr="001005B7">
        <w:t xml:space="preserve"> (Jerome, 95).</w:t>
      </w:r>
      <w:r w:rsidR="001D1AE0" w:rsidRPr="001005B7">
        <w:t xml:space="preserve"> </w:t>
      </w:r>
      <w:r w:rsidR="00CB6696" w:rsidRPr="001005B7">
        <w:t xml:space="preserve">The elders </w:t>
      </w:r>
      <w:r w:rsidR="00F55675" w:rsidRPr="001005B7">
        <w:t xml:space="preserve">in </w:t>
      </w:r>
      <w:proofErr w:type="spellStart"/>
      <w:r w:rsidR="00F55675" w:rsidRPr="001005B7">
        <w:t>Kebar</w:t>
      </w:r>
      <w:proofErr w:type="spellEnd"/>
      <w:r w:rsidR="00E27EAF" w:rsidRPr="001005B7">
        <w:t xml:space="preserve"> </w:t>
      </w:r>
      <w:r w:rsidR="00CB6696" w:rsidRPr="001005B7">
        <w:t xml:space="preserve">go through the motions of seeking to solve their problems </w:t>
      </w:r>
      <w:r w:rsidR="00E6742E" w:rsidRPr="001005B7">
        <w:t>by turning to God</w:t>
      </w:r>
      <w:r w:rsidR="00F55675" w:rsidRPr="001005B7">
        <w:t>, and so do the elders in Jerusalem</w:t>
      </w:r>
      <w:r w:rsidR="00E6742E" w:rsidRPr="001005B7">
        <w:t xml:space="preserve">, but the way they do so </w:t>
      </w:r>
      <w:r w:rsidR="007959C9" w:rsidRPr="001005B7">
        <w:t xml:space="preserve">gets them nowhere or takes them into a </w:t>
      </w:r>
      <w:r w:rsidR="00E6742E" w:rsidRPr="001005B7">
        <w:t>worse situation</w:t>
      </w:r>
      <w:r w:rsidR="00F143BF" w:rsidRPr="001005B7">
        <w:t xml:space="preserve">. </w:t>
      </w:r>
      <w:r w:rsidR="001077E8" w:rsidRPr="001005B7">
        <w:t>“N</w:t>
      </w:r>
      <w:r w:rsidR="001077E8" w:rsidRPr="001005B7">
        <w:rPr>
          <w:rFonts w:ascii="MinionPro-Regular" w:hAnsi="MinionPro-Regular" w:cs="MinionPro-Regular"/>
        </w:rPr>
        <w:t>othing sanctifies a place more than</w:t>
      </w:r>
      <w:r w:rsidR="001077E8" w:rsidRPr="001005B7">
        <w:t xml:space="preserve"> </w:t>
      </w:r>
      <w:r w:rsidR="001077E8" w:rsidRPr="001005B7">
        <w:rPr>
          <w:rFonts w:ascii="MinionPro-Regular" w:hAnsi="MinionPro-Regular" w:cs="MinionPro-Regular"/>
        </w:rPr>
        <w:t>obedience and sincerity of faith</w:t>
      </w:r>
      <w:r w:rsidR="006D3EAB" w:rsidRPr="001005B7">
        <w:rPr>
          <w:rFonts w:ascii="MinionPro-Regular" w:hAnsi="MinionPro-Regular" w:cs="MinionPro-Regular"/>
        </w:rPr>
        <w:t>” (</w:t>
      </w:r>
      <w:r w:rsidR="006D3EAB" w:rsidRPr="001005B7">
        <w:t>Calvin</w:t>
      </w:r>
      <w:r w:rsidR="003E4AC1" w:rsidRPr="001005B7">
        <w:t>,</w:t>
      </w:r>
      <w:r w:rsidR="006D3EAB" w:rsidRPr="001005B7">
        <w:t xml:space="preserve"> 1:302).</w:t>
      </w:r>
      <w:r w:rsidR="00037326" w:rsidRPr="001005B7">
        <w:t xml:space="preserve"> But sincerity of faith in itself achieves nothing without </w:t>
      </w:r>
      <w:r w:rsidR="006C54A1">
        <w:t xml:space="preserve">the faith being exercised in the </w:t>
      </w:r>
      <w:r w:rsidR="00275861">
        <w:t>right</w:t>
      </w:r>
      <w:r w:rsidR="006C54A1">
        <w:t xml:space="preserve"> direction and without </w:t>
      </w:r>
      <w:r w:rsidR="00037326" w:rsidRPr="001005B7">
        <w:t>obedience.</w:t>
      </w:r>
    </w:p>
    <w:p w14:paraId="57DF93DF" w14:textId="17138702" w:rsidR="00932AA9" w:rsidRPr="001005B7" w:rsidRDefault="00BE51D2" w:rsidP="00037326">
      <w:r w:rsidRPr="001005B7">
        <w:t>D</w:t>
      </w:r>
      <w:r w:rsidR="00932AA9" w:rsidRPr="001005B7">
        <w:t>uring Sukkot</w:t>
      </w:r>
      <w:r w:rsidR="00514D33" w:rsidRPr="001005B7">
        <w:t xml:space="preserve"> cel</w:t>
      </w:r>
      <w:r w:rsidR="006D1E4D" w:rsidRPr="001005B7">
        <w:t>e</w:t>
      </w:r>
      <w:r w:rsidR="00514D33" w:rsidRPr="001005B7">
        <w:t>brations</w:t>
      </w:r>
      <w:r w:rsidR="00932AA9" w:rsidRPr="001005B7">
        <w:t>,</w:t>
      </w:r>
      <w:r w:rsidRPr="001005B7">
        <w:t xml:space="preserve"> the Mishnah recalls, </w:t>
      </w:r>
      <w:r w:rsidR="00514D33" w:rsidRPr="001005B7">
        <w:t>when worshipers</w:t>
      </w:r>
      <w:r w:rsidR="006D1E4D" w:rsidRPr="001005B7">
        <w:t xml:space="preserve"> reached the gate that leads out to the east, </w:t>
      </w:r>
      <w:r w:rsidR="00E838A5" w:rsidRPr="001005B7">
        <w:t>they turned their faces to the west</w:t>
      </w:r>
      <w:r w:rsidR="00573B96" w:rsidRPr="001005B7">
        <w:t>, towards the temple building itself</w:t>
      </w:r>
      <w:r w:rsidR="00CD7BCF" w:rsidRPr="001005B7">
        <w:t>, and</w:t>
      </w:r>
      <w:r w:rsidR="00DF1014" w:rsidRPr="001005B7">
        <w:t xml:space="preserve"> they</w:t>
      </w:r>
      <w:r w:rsidR="00CD7BCF" w:rsidRPr="001005B7">
        <w:t xml:space="preserve"> recalled </w:t>
      </w:r>
      <w:r w:rsidR="00F757EF" w:rsidRPr="001005B7">
        <w:t xml:space="preserve">how these </w:t>
      </w:r>
      <w:r w:rsidR="00DF1014" w:rsidRPr="001005B7">
        <w:t>people</w:t>
      </w:r>
      <w:r w:rsidR="00F757EF" w:rsidRPr="001005B7">
        <w:t xml:space="preserve"> in Ezek 8</w:t>
      </w:r>
      <w:r w:rsidR="00A12C55" w:rsidRPr="001005B7">
        <w:t xml:space="preserve"> turned east and worshiped the sun</w:t>
      </w:r>
      <w:r w:rsidR="00CD37A9" w:rsidRPr="001005B7">
        <w:t>. A</w:t>
      </w:r>
      <w:r w:rsidR="002637A9" w:rsidRPr="001005B7">
        <w:t xml:space="preserve">nd </w:t>
      </w:r>
      <w:r w:rsidR="00CD37A9" w:rsidRPr="001005B7">
        <w:t>they said</w:t>
      </w:r>
      <w:r w:rsidR="002637A9" w:rsidRPr="001005B7">
        <w:t>, “</w:t>
      </w:r>
      <w:r w:rsidR="00B26CE2" w:rsidRPr="001005B7">
        <w:t>B</w:t>
      </w:r>
      <w:r w:rsidR="002637A9" w:rsidRPr="001005B7">
        <w:t xml:space="preserve">ut </w:t>
      </w:r>
      <w:r w:rsidR="00FD3ED6" w:rsidRPr="001005B7">
        <w:t>us</w:t>
      </w:r>
      <w:r w:rsidR="002637A9" w:rsidRPr="001005B7">
        <w:t xml:space="preserve">, </w:t>
      </w:r>
      <w:r w:rsidR="00FD3ED6" w:rsidRPr="001005B7">
        <w:t>our</w:t>
      </w:r>
      <w:r w:rsidR="002637A9" w:rsidRPr="001005B7">
        <w:t xml:space="preserve"> eyes are turned to</w:t>
      </w:r>
      <w:r w:rsidR="005061E4" w:rsidRPr="001005B7">
        <w:t>ward</w:t>
      </w:r>
      <w:r w:rsidR="009F0C0D" w:rsidRPr="001005B7">
        <w:t>s</w:t>
      </w:r>
      <w:r w:rsidR="002637A9" w:rsidRPr="001005B7">
        <w:t xml:space="preserve"> the Lord</w:t>
      </w:r>
      <w:r w:rsidR="00A740CD" w:rsidRPr="001005B7">
        <w:t xml:space="preserve">.” Or as Rabbi Judah put it, </w:t>
      </w:r>
      <w:r w:rsidR="004B1D7E" w:rsidRPr="001005B7">
        <w:t>“We are the Lord’s</w:t>
      </w:r>
      <w:r w:rsidR="00E52CAB" w:rsidRPr="001005B7">
        <w:t>, and our eyes are tur</w:t>
      </w:r>
      <w:r w:rsidR="00626AB5" w:rsidRPr="001005B7">
        <w:t>ned</w:t>
      </w:r>
      <w:r w:rsidR="00E52CAB" w:rsidRPr="001005B7">
        <w:t xml:space="preserve"> to</w:t>
      </w:r>
      <w:r w:rsidR="00DC0DBE" w:rsidRPr="001005B7">
        <w:t>ward</w:t>
      </w:r>
      <w:r w:rsidR="009F0C0D" w:rsidRPr="001005B7">
        <w:t>s</w:t>
      </w:r>
      <w:r w:rsidR="00E52CAB" w:rsidRPr="001005B7">
        <w:t xml:space="preserve"> the Lord” (</w:t>
      </w:r>
      <w:r w:rsidR="00E52CAB" w:rsidRPr="00A336AE">
        <w:rPr>
          <w:i/>
          <w:iCs/>
        </w:rPr>
        <w:t>m. Sukkah</w:t>
      </w:r>
      <w:r w:rsidR="000E691A" w:rsidRPr="001005B7">
        <w:t xml:space="preserve"> </w:t>
      </w:r>
      <w:r w:rsidR="00E52CAB" w:rsidRPr="001005B7">
        <w:t>5.</w:t>
      </w:r>
      <w:r w:rsidR="000E691A" w:rsidRPr="001005B7">
        <w:t>4</w:t>
      </w:r>
      <w:r w:rsidR="00E52CAB" w:rsidRPr="001005B7">
        <w:t>).</w:t>
      </w:r>
      <w:r w:rsidR="00F757EF" w:rsidRPr="001005B7">
        <w:t xml:space="preserve"> </w:t>
      </w:r>
    </w:p>
    <w:p w14:paraId="14B72B03" w14:textId="7FB2F12C" w:rsidR="00584248" w:rsidRPr="001005B7" w:rsidRDefault="00FB1B41" w:rsidP="00493833">
      <w:pPr>
        <w:pStyle w:val="Heading3"/>
        <w:rPr>
          <w:rFonts w:cstheme="minorHAnsi"/>
        </w:rPr>
      </w:pPr>
      <w:r w:rsidRPr="001005B7">
        <w:t xml:space="preserve">Selected </w:t>
      </w:r>
      <w:r w:rsidR="00CD7E49" w:rsidRPr="001005B7">
        <w:t>Bibliography</w:t>
      </w:r>
    </w:p>
    <w:p w14:paraId="2F53CE31" w14:textId="632639E8" w:rsidR="00EE30D5" w:rsidRPr="001005B7" w:rsidRDefault="00EE30D5" w:rsidP="006F5BB0">
      <w:pPr>
        <w:pStyle w:val="ListParagraph"/>
        <w:rPr>
          <w:rStyle w:val="medium-font"/>
          <w:color w:val="auto"/>
          <w:lang w:val="en-US"/>
        </w:rPr>
      </w:pPr>
      <w:proofErr w:type="spellStart"/>
      <w:r w:rsidRPr="001005B7">
        <w:rPr>
          <w:rStyle w:val="medium-font"/>
          <w:color w:val="auto"/>
          <w:lang w:val="en-US"/>
        </w:rPr>
        <w:t>Amzallag</w:t>
      </w:r>
      <w:proofErr w:type="spellEnd"/>
      <w:r w:rsidRPr="001005B7">
        <w:rPr>
          <w:rStyle w:val="medium-font"/>
          <w:color w:val="auto"/>
          <w:lang w:val="en-US"/>
        </w:rPr>
        <w:t xml:space="preserve">, Nissim. “Revisiting the Ezekiel Theodicy.” </w:t>
      </w:r>
      <w:r w:rsidRPr="001005B7">
        <w:rPr>
          <w:rStyle w:val="medium-font"/>
          <w:i/>
          <w:iCs/>
          <w:color w:val="auto"/>
          <w:lang w:val="en-US"/>
        </w:rPr>
        <w:t>RB</w:t>
      </w:r>
      <w:r w:rsidRPr="001005B7">
        <w:rPr>
          <w:rStyle w:val="medium-font"/>
          <w:color w:val="auto"/>
          <w:lang w:val="en-US"/>
        </w:rPr>
        <w:t xml:space="preserve"> 128 (2021): 525</w:t>
      </w:r>
      <w:r w:rsidR="00F46900" w:rsidRPr="001005B7">
        <w:rPr>
          <w:rStyle w:val="medium-font"/>
          <w:color w:val="auto"/>
          <w:lang w:val="en-US"/>
        </w:rPr>
        <w:t>–</w:t>
      </w:r>
      <w:r w:rsidRPr="001005B7">
        <w:rPr>
          <w:rStyle w:val="medium-font"/>
          <w:color w:val="auto"/>
          <w:lang w:val="en-US"/>
        </w:rPr>
        <w:t>45.</w:t>
      </w:r>
    </w:p>
    <w:p w14:paraId="3828CC6C" w14:textId="09FCBFFB" w:rsidR="007A5135" w:rsidRPr="00F80293" w:rsidRDefault="007A5135" w:rsidP="00F80293">
      <w:pPr>
        <w:spacing w:after="60" w:line="240" w:lineRule="auto"/>
        <w:ind w:left="567" w:hanging="567"/>
        <w:rPr>
          <w:rFonts w:ascii="Calibri" w:eastAsia="Times New Roman" w:hAnsi="Calibri" w:cs="Calibri"/>
          <w:color w:val="000000"/>
          <w:lang w:eastAsia="en-GB"/>
        </w:rPr>
      </w:pPr>
      <w:r w:rsidRPr="001005B7">
        <w:t>Block, Daniel I. “Divine Abandonment: Ezekiel's Adapt</w:t>
      </w:r>
      <w:r w:rsidR="0099755D" w:rsidRPr="001005B7">
        <w:t>ation of</w:t>
      </w:r>
      <w:r w:rsidRPr="001005B7">
        <w:t xml:space="preserve"> an Ancient Near Eastern Motif.” In</w:t>
      </w:r>
      <w:r w:rsidR="001C0C32">
        <w:t xml:space="preserve"> Margaret S.</w:t>
      </w:r>
      <w:r w:rsidRPr="001005B7">
        <w:t xml:space="preserve"> </w:t>
      </w:r>
      <w:r w:rsidR="00763094" w:rsidRPr="005469A6">
        <w:rPr>
          <w:rFonts w:ascii="Calibri" w:eastAsia="Times New Roman" w:hAnsi="Calibri" w:cs="Calibri"/>
          <w:color w:val="000000"/>
          <w:lang w:eastAsia="en-GB"/>
        </w:rPr>
        <w:t>Odell</w:t>
      </w:r>
      <w:r w:rsidR="00763094">
        <w:rPr>
          <w:rFonts w:ascii="Calibri" w:eastAsia="Times New Roman" w:hAnsi="Calibri" w:cs="Calibri"/>
          <w:color w:val="000000"/>
          <w:lang w:eastAsia="en-GB"/>
        </w:rPr>
        <w:t xml:space="preserve"> and</w:t>
      </w:r>
      <w:r w:rsidR="00763094" w:rsidRPr="005469A6">
        <w:rPr>
          <w:rFonts w:ascii="Calibri" w:eastAsia="Times New Roman" w:hAnsi="Calibri" w:cs="Calibri"/>
          <w:color w:val="000000"/>
          <w:lang w:eastAsia="en-GB"/>
        </w:rPr>
        <w:t xml:space="preserve"> J</w:t>
      </w:r>
      <w:r w:rsidR="00763094">
        <w:rPr>
          <w:rFonts w:ascii="Calibri" w:eastAsia="Times New Roman" w:hAnsi="Calibri" w:cs="Calibri"/>
          <w:color w:val="000000"/>
          <w:lang w:eastAsia="en-GB"/>
        </w:rPr>
        <w:t>ohn</w:t>
      </w:r>
      <w:r w:rsidR="00763094" w:rsidRPr="005469A6">
        <w:rPr>
          <w:rFonts w:ascii="Calibri" w:eastAsia="Times New Roman" w:hAnsi="Calibri" w:cs="Calibri"/>
          <w:color w:val="000000"/>
          <w:lang w:eastAsia="en-GB"/>
        </w:rPr>
        <w:t xml:space="preserve"> T. Strong</w:t>
      </w:r>
      <w:r w:rsidR="00763094">
        <w:rPr>
          <w:rFonts w:ascii="Calibri" w:eastAsia="Times New Roman" w:hAnsi="Calibri" w:cs="Calibri"/>
          <w:color w:val="000000"/>
          <w:lang w:eastAsia="en-GB"/>
        </w:rPr>
        <w:t xml:space="preserve">, </w:t>
      </w:r>
      <w:r w:rsidR="00763094" w:rsidRPr="005469A6">
        <w:rPr>
          <w:rFonts w:ascii="Calibri" w:eastAsia="Times New Roman" w:hAnsi="Calibri" w:cs="Calibri"/>
          <w:color w:val="000000"/>
          <w:lang w:eastAsia="en-GB"/>
        </w:rPr>
        <w:t>ed.</w:t>
      </w:r>
      <w:r w:rsidR="001C0C32">
        <w:rPr>
          <w:rFonts w:ascii="Calibri" w:eastAsia="Times New Roman" w:hAnsi="Calibri" w:cs="Calibri"/>
          <w:color w:val="000000"/>
          <w:lang w:eastAsia="en-GB"/>
        </w:rPr>
        <w:t>,</w:t>
      </w:r>
      <w:r w:rsidR="00763094" w:rsidRPr="005469A6">
        <w:rPr>
          <w:rFonts w:ascii="Calibri" w:eastAsia="Times New Roman" w:hAnsi="Calibri" w:cs="Calibri"/>
          <w:color w:val="000000"/>
          <w:lang w:eastAsia="en-GB"/>
        </w:rPr>
        <w:t> </w:t>
      </w:r>
      <w:r w:rsidR="00763094" w:rsidRPr="00A85225">
        <w:rPr>
          <w:rFonts w:ascii="Calibri" w:eastAsia="Times New Roman" w:hAnsi="Calibri" w:cs="Calibri"/>
          <w:i/>
          <w:iCs/>
          <w:color w:val="000000"/>
          <w:lang w:eastAsia="en-GB"/>
        </w:rPr>
        <w:t>The Book of Ezekiel: Theological and Anthropological Perspectives</w:t>
      </w:r>
      <w:r w:rsidR="001C0C32">
        <w:rPr>
          <w:rFonts w:ascii="Calibri" w:eastAsia="Times New Roman" w:hAnsi="Calibri" w:cs="Calibri"/>
          <w:color w:val="000000"/>
          <w:lang w:eastAsia="en-GB"/>
        </w:rPr>
        <w:t>, 15–42</w:t>
      </w:r>
      <w:r w:rsidR="00763094">
        <w:rPr>
          <w:rFonts w:ascii="Calibri" w:eastAsia="Times New Roman" w:hAnsi="Calibri" w:cs="Calibri"/>
          <w:color w:val="000000"/>
          <w:lang w:eastAsia="en-GB"/>
        </w:rPr>
        <w:t>.</w:t>
      </w:r>
      <w:r w:rsidR="00763094" w:rsidRPr="005469A6">
        <w:rPr>
          <w:rFonts w:ascii="Calibri" w:eastAsia="Times New Roman" w:hAnsi="Calibri" w:cs="Calibri"/>
          <w:color w:val="000000"/>
          <w:lang w:eastAsia="en-GB"/>
        </w:rPr>
        <w:t> </w:t>
      </w:r>
      <w:proofErr w:type="spellStart"/>
      <w:r w:rsidR="00763094" w:rsidRPr="005469A6">
        <w:rPr>
          <w:rFonts w:ascii="Calibri" w:eastAsia="Times New Roman" w:hAnsi="Calibri" w:cs="Calibri"/>
          <w:color w:val="000000"/>
          <w:lang w:eastAsia="en-GB"/>
        </w:rPr>
        <w:t>SBLSymS</w:t>
      </w:r>
      <w:proofErr w:type="spellEnd"/>
      <w:r w:rsidR="00763094" w:rsidRPr="005469A6">
        <w:rPr>
          <w:rFonts w:ascii="Calibri" w:eastAsia="Times New Roman" w:hAnsi="Calibri" w:cs="Calibri"/>
          <w:color w:val="000000"/>
          <w:lang w:eastAsia="en-GB"/>
        </w:rPr>
        <w:t xml:space="preserve"> 9</w:t>
      </w:r>
      <w:r w:rsidR="00763094">
        <w:rPr>
          <w:rFonts w:ascii="Calibri" w:eastAsia="Times New Roman" w:hAnsi="Calibri" w:cs="Calibri"/>
          <w:color w:val="000000"/>
          <w:lang w:eastAsia="en-GB"/>
        </w:rPr>
        <w:t>.</w:t>
      </w:r>
      <w:r w:rsidR="00763094" w:rsidRPr="005469A6">
        <w:rPr>
          <w:rFonts w:ascii="Calibri" w:eastAsia="Times New Roman" w:hAnsi="Calibri" w:cs="Calibri"/>
          <w:color w:val="000000"/>
          <w:lang w:eastAsia="en-GB"/>
        </w:rPr>
        <w:t xml:space="preserve"> Atlanta, GA: Society of Biblical Literature, 2000.</w:t>
      </w:r>
    </w:p>
    <w:p w14:paraId="4ADC25B8" w14:textId="0E941DD8" w:rsidR="00CD7E49" w:rsidRPr="001005B7" w:rsidRDefault="00CD7E49" w:rsidP="006F5BB0">
      <w:pPr>
        <w:pStyle w:val="ListParagraph"/>
        <w:rPr>
          <w:color w:val="auto"/>
          <w:lang w:val="en-US"/>
        </w:rPr>
      </w:pPr>
      <w:r w:rsidRPr="001005B7">
        <w:rPr>
          <w:color w:val="auto"/>
          <w:lang w:val="en-US"/>
        </w:rPr>
        <w:t xml:space="preserve">Kemp, </w:t>
      </w:r>
      <w:r w:rsidR="009F3518" w:rsidRPr="001005B7">
        <w:rPr>
          <w:color w:val="auto"/>
          <w:lang w:val="en-US"/>
        </w:rPr>
        <w:t xml:space="preserve">Joel B. </w:t>
      </w:r>
      <w:r w:rsidRPr="001005B7">
        <w:rPr>
          <w:color w:val="auto"/>
          <w:lang w:val="en-US"/>
        </w:rPr>
        <w:t>“</w:t>
      </w:r>
      <w:r w:rsidR="009F3518" w:rsidRPr="001005B7">
        <w:rPr>
          <w:color w:val="auto"/>
          <w:lang w:val="en-US"/>
        </w:rPr>
        <w:t xml:space="preserve">Renounced and Abandoned: The </w:t>
      </w:r>
      <w:r w:rsidRPr="001005B7">
        <w:rPr>
          <w:color w:val="auto"/>
          <w:lang w:val="en-US"/>
        </w:rPr>
        <w:t>Legal Meaning</w:t>
      </w:r>
      <w:r w:rsidR="009F3518" w:rsidRPr="001005B7">
        <w:rPr>
          <w:color w:val="auto"/>
          <w:lang w:val="en-US"/>
        </w:rPr>
        <w:t xml:space="preserve"> of </w:t>
      </w:r>
      <w:r w:rsidR="00B8600C" w:rsidRPr="001005B7">
        <w:rPr>
          <w:color w:val="auto"/>
          <w:rtl/>
          <w:lang w:val="en-US" w:bidi="he-IL"/>
        </w:rPr>
        <w:t>עז</w:t>
      </w:r>
      <w:r w:rsidR="003C2E2F" w:rsidRPr="001005B7">
        <w:rPr>
          <w:color w:val="auto"/>
          <w:rtl/>
          <w:lang w:val="en-US" w:bidi="he-IL"/>
        </w:rPr>
        <w:t>ב</w:t>
      </w:r>
      <w:r w:rsidR="00D541CC" w:rsidRPr="001005B7">
        <w:rPr>
          <w:color w:val="auto"/>
          <w:lang w:val="en-US"/>
        </w:rPr>
        <w:t xml:space="preserve"> in Ezekiel 8:12</w:t>
      </w:r>
      <w:r w:rsidR="002C1941" w:rsidRPr="001005B7">
        <w:rPr>
          <w:color w:val="auto"/>
          <w:lang w:val="en-US"/>
        </w:rPr>
        <w:t xml:space="preserve"> and 9:9.” </w:t>
      </w:r>
      <w:r w:rsidR="002C1941" w:rsidRPr="001005B7">
        <w:rPr>
          <w:i/>
          <w:color w:val="auto"/>
          <w:lang w:val="en-US"/>
        </w:rPr>
        <w:t>CBQ</w:t>
      </w:r>
      <w:r w:rsidR="002C1941" w:rsidRPr="001005B7">
        <w:rPr>
          <w:color w:val="auto"/>
          <w:lang w:val="en-US"/>
        </w:rPr>
        <w:t xml:space="preserve"> 79 (2017): </w:t>
      </w:r>
      <w:r w:rsidR="001423C1" w:rsidRPr="001005B7">
        <w:rPr>
          <w:color w:val="auto"/>
          <w:lang w:val="en-US"/>
        </w:rPr>
        <w:t>593</w:t>
      </w:r>
      <w:r w:rsidR="00F46900" w:rsidRPr="001005B7">
        <w:rPr>
          <w:color w:val="auto"/>
          <w:lang w:val="en-US"/>
        </w:rPr>
        <w:t>–</w:t>
      </w:r>
      <w:r w:rsidR="001423C1" w:rsidRPr="001005B7">
        <w:rPr>
          <w:color w:val="auto"/>
          <w:lang w:val="en-US"/>
        </w:rPr>
        <w:t xml:space="preserve">614. </w:t>
      </w:r>
    </w:p>
    <w:p w14:paraId="7BA8473E" w14:textId="1D3C7FE3" w:rsidR="002D43F6" w:rsidRPr="001005B7" w:rsidRDefault="00541FA5" w:rsidP="006F5BB0">
      <w:pPr>
        <w:pStyle w:val="ListParagraph"/>
        <w:rPr>
          <w:color w:val="auto"/>
          <w:lang w:val="en-US"/>
        </w:rPr>
      </w:pPr>
      <w:proofErr w:type="spellStart"/>
      <w:r w:rsidRPr="001005B7">
        <w:rPr>
          <w:color w:val="auto"/>
          <w:lang w:val="en-US"/>
        </w:rPr>
        <w:t>Lutzky</w:t>
      </w:r>
      <w:proofErr w:type="spellEnd"/>
      <w:r w:rsidRPr="001005B7">
        <w:rPr>
          <w:color w:val="auto"/>
          <w:lang w:val="en-US"/>
        </w:rPr>
        <w:t>, H. C. “</w:t>
      </w:r>
      <w:r w:rsidR="002B282F" w:rsidRPr="001005B7">
        <w:rPr>
          <w:color w:val="auto"/>
          <w:lang w:val="en-US"/>
        </w:rPr>
        <w:t xml:space="preserve">On </w:t>
      </w:r>
      <w:r w:rsidR="00E213AF" w:rsidRPr="001005B7">
        <w:rPr>
          <w:color w:val="auto"/>
          <w:lang w:val="en-US"/>
        </w:rPr>
        <w:t xml:space="preserve">‘The </w:t>
      </w:r>
      <w:r w:rsidRPr="001005B7">
        <w:rPr>
          <w:color w:val="auto"/>
          <w:lang w:val="en-US"/>
        </w:rPr>
        <w:t>Image</w:t>
      </w:r>
      <w:r w:rsidR="00E213AF" w:rsidRPr="001005B7">
        <w:rPr>
          <w:color w:val="auto"/>
          <w:lang w:val="en-US"/>
        </w:rPr>
        <w:t xml:space="preserve"> of Jealousy’ (Ezekiel viii </w:t>
      </w:r>
      <w:r w:rsidR="005A2FC1" w:rsidRPr="001005B7">
        <w:rPr>
          <w:color w:val="auto"/>
          <w:lang w:val="en-US"/>
        </w:rPr>
        <w:t>3, 5.</w:t>
      </w:r>
      <w:r w:rsidRPr="001005B7">
        <w:rPr>
          <w:color w:val="auto"/>
          <w:lang w:val="en-US"/>
        </w:rPr>
        <w:t>”</w:t>
      </w:r>
      <w:r w:rsidR="005A2FC1" w:rsidRPr="001005B7">
        <w:rPr>
          <w:color w:val="auto"/>
          <w:lang w:val="en-US"/>
        </w:rPr>
        <w:t xml:space="preserve"> </w:t>
      </w:r>
      <w:r w:rsidR="005A2FC1" w:rsidRPr="001005B7">
        <w:rPr>
          <w:i/>
          <w:color w:val="auto"/>
          <w:lang w:val="en-US"/>
        </w:rPr>
        <w:t>VT</w:t>
      </w:r>
      <w:r w:rsidR="005A2FC1" w:rsidRPr="001005B7">
        <w:rPr>
          <w:color w:val="auto"/>
          <w:lang w:val="en-US"/>
        </w:rPr>
        <w:t xml:space="preserve"> 40 (1990): 121</w:t>
      </w:r>
      <w:r w:rsidR="00F46900" w:rsidRPr="001005B7">
        <w:rPr>
          <w:color w:val="auto"/>
          <w:lang w:val="en-US"/>
        </w:rPr>
        <w:t>–</w:t>
      </w:r>
      <w:r w:rsidR="002B282F" w:rsidRPr="001005B7">
        <w:rPr>
          <w:color w:val="auto"/>
          <w:lang w:val="en-US"/>
        </w:rPr>
        <w:t>25.</w:t>
      </w:r>
    </w:p>
    <w:p w14:paraId="1627257E" w14:textId="49A48093" w:rsidR="009963AA" w:rsidRPr="001005B7" w:rsidRDefault="009963AA" w:rsidP="006F5BB0">
      <w:pPr>
        <w:pStyle w:val="ListParagraph"/>
        <w:rPr>
          <w:color w:val="auto"/>
          <w:lang w:val="en-US"/>
        </w:rPr>
      </w:pPr>
      <w:proofErr w:type="spellStart"/>
      <w:r w:rsidRPr="001005B7">
        <w:rPr>
          <w:color w:val="auto"/>
          <w:lang w:val="en-US"/>
        </w:rPr>
        <w:t>Middlemas</w:t>
      </w:r>
      <w:proofErr w:type="spellEnd"/>
      <w:r w:rsidRPr="001005B7">
        <w:rPr>
          <w:color w:val="auto"/>
          <w:lang w:val="en-US"/>
        </w:rPr>
        <w:t>, Jill. “Trans</w:t>
      </w:r>
      <w:r w:rsidR="008543D5" w:rsidRPr="001005B7">
        <w:rPr>
          <w:color w:val="auto"/>
          <w:lang w:val="en-US"/>
        </w:rPr>
        <w:t>formation of the Image.” In</w:t>
      </w:r>
      <w:r w:rsidR="0048581E" w:rsidRPr="001005B7">
        <w:rPr>
          <w:color w:val="auto"/>
          <w:lang w:val="en-US"/>
        </w:rPr>
        <w:t xml:space="preserve"> William A.</w:t>
      </w:r>
      <w:r w:rsidR="008543D5" w:rsidRPr="001005B7">
        <w:rPr>
          <w:color w:val="auto"/>
          <w:lang w:val="en-US"/>
        </w:rPr>
        <w:t xml:space="preserve"> </w:t>
      </w:r>
      <w:proofErr w:type="spellStart"/>
      <w:r w:rsidR="0048581E" w:rsidRPr="001005B7">
        <w:rPr>
          <w:color w:val="auto"/>
          <w:lang w:val="en-US"/>
        </w:rPr>
        <w:t>Tooman</w:t>
      </w:r>
      <w:proofErr w:type="spellEnd"/>
      <w:r w:rsidR="0048581E" w:rsidRPr="001005B7">
        <w:rPr>
          <w:color w:val="auto"/>
          <w:lang w:val="en-US"/>
        </w:rPr>
        <w:t xml:space="preserve"> and Michael A. </w:t>
      </w:r>
      <w:r w:rsidR="008543D5" w:rsidRPr="001005B7">
        <w:rPr>
          <w:color w:val="auto"/>
          <w:lang w:val="en-US"/>
        </w:rPr>
        <w:t xml:space="preserve">Lyons, </w:t>
      </w:r>
      <w:r w:rsidR="008543D5" w:rsidRPr="001005B7">
        <w:rPr>
          <w:i/>
          <w:color w:val="auto"/>
          <w:lang w:val="en-US"/>
        </w:rPr>
        <w:t>Transforming Visions</w:t>
      </w:r>
      <w:r w:rsidR="00112564" w:rsidRPr="001005B7">
        <w:rPr>
          <w:i/>
          <w:iCs/>
          <w:color w:val="auto"/>
          <w:lang w:val="en-US"/>
        </w:rPr>
        <w:t>:</w:t>
      </w:r>
      <w:r w:rsidR="00112564" w:rsidRPr="001005B7">
        <w:rPr>
          <w:color w:val="auto"/>
          <w:lang w:val="en-US"/>
        </w:rPr>
        <w:t xml:space="preserve"> </w:t>
      </w:r>
      <w:r w:rsidR="00112564" w:rsidRPr="001005B7">
        <w:rPr>
          <w:i/>
          <w:iCs/>
          <w:color w:val="auto"/>
          <w:lang w:val="en-US"/>
        </w:rPr>
        <w:t>Transformations of Text, Tradition and Theology in Ezekiel</w:t>
      </w:r>
      <w:r w:rsidR="008543D5" w:rsidRPr="001005B7">
        <w:rPr>
          <w:color w:val="auto"/>
          <w:lang w:val="en-US"/>
        </w:rPr>
        <w:t xml:space="preserve">, </w:t>
      </w:r>
      <w:r w:rsidR="00E02575" w:rsidRPr="001005B7">
        <w:rPr>
          <w:color w:val="auto"/>
          <w:lang w:val="en-US"/>
        </w:rPr>
        <w:t>113</w:t>
      </w:r>
      <w:r w:rsidR="00F46900" w:rsidRPr="001005B7">
        <w:rPr>
          <w:color w:val="auto"/>
          <w:lang w:val="en-US"/>
        </w:rPr>
        <w:t>–</w:t>
      </w:r>
      <w:r w:rsidR="00517F00" w:rsidRPr="001005B7">
        <w:rPr>
          <w:color w:val="auto"/>
          <w:lang w:val="en-US"/>
        </w:rPr>
        <w:t>38.</w:t>
      </w:r>
      <w:r w:rsidR="00FD6ACC" w:rsidRPr="001005B7">
        <w:rPr>
          <w:color w:val="auto"/>
          <w:lang w:val="en-US"/>
        </w:rPr>
        <w:t xml:space="preserve"> Cambridge: Clarke, 2010.</w:t>
      </w:r>
    </w:p>
    <w:p w14:paraId="4284B51B" w14:textId="7496F0A6" w:rsidR="008747DB" w:rsidRPr="001005B7" w:rsidRDefault="0058608B" w:rsidP="006F5BB0">
      <w:pPr>
        <w:pStyle w:val="ListParagraph"/>
        <w:rPr>
          <w:color w:val="auto"/>
          <w:lang w:val="en-US"/>
        </w:rPr>
      </w:pPr>
      <w:proofErr w:type="spellStart"/>
      <w:r w:rsidRPr="001005B7">
        <w:rPr>
          <w:color w:val="auto"/>
          <w:lang w:val="en-US"/>
        </w:rPr>
        <w:t>Nihan</w:t>
      </w:r>
      <w:proofErr w:type="spellEnd"/>
      <w:r w:rsidRPr="001005B7">
        <w:rPr>
          <w:color w:val="auto"/>
          <w:lang w:val="en-US"/>
        </w:rPr>
        <w:t xml:space="preserve">, Christophe. “Ezechiel 8 </w:t>
      </w:r>
      <w:proofErr w:type="spellStart"/>
      <w:r w:rsidRPr="001005B7">
        <w:rPr>
          <w:color w:val="auto"/>
          <w:lang w:val="en-US"/>
        </w:rPr>
        <w:t>im</w:t>
      </w:r>
      <w:proofErr w:type="spellEnd"/>
      <w:r w:rsidRPr="001005B7">
        <w:rPr>
          <w:color w:val="auto"/>
          <w:lang w:val="en-US"/>
        </w:rPr>
        <w:t xml:space="preserve"> </w:t>
      </w:r>
      <w:proofErr w:type="spellStart"/>
      <w:r w:rsidRPr="001005B7">
        <w:rPr>
          <w:color w:val="auto"/>
          <w:lang w:val="en-US"/>
        </w:rPr>
        <w:t>Rahmen</w:t>
      </w:r>
      <w:proofErr w:type="spellEnd"/>
      <w:r w:rsidRPr="001005B7">
        <w:rPr>
          <w:color w:val="auto"/>
          <w:lang w:val="en-US"/>
        </w:rPr>
        <w:t xml:space="preserve"> des Buches</w:t>
      </w:r>
      <w:r w:rsidR="00F46900" w:rsidRPr="001005B7">
        <w:rPr>
          <w:color w:val="auto"/>
          <w:lang w:val="en-US"/>
        </w:rPr>
        <w:t>–</w:t>
      </w:r>
      <w:proofErr w:type="spellStart"/>
      <w:r w:rsidRPr="001005B7">
        <w:rPr>
          <w:color w:val="auto"/>
          <w:lang w:val="en-US"/>
        </w:rPr>
        <w:t>Kompositions</w:t>
      </w:r>
      <w:proofErr w:type="spellEnd"/>
      <w:r w:rsidRPr="001005B7">
        <w:rPr>
          <w:color w:val="auto"/>
          <w:lang w:val="en-US"/>
        </w:rPr>
        <w:t xml:space="preserve">- und </w:t>
      </w:r>
      <w:proofErr w:type="spellStart"/>
      <w:r w:rsidRPr="001005B7">
        <w:rPr>
          <w:color w:val="auto"/>
          <w:lang w:val="en-US"/>
        </w:rPr>
        <w:t>religionsgeschichtliche</w:t>
      </w:r>
      <w:proofErr w:type="spellEnd"/>
      <w:r w:rsidRPr="001005B7">
        <w:rPr>
          <w:color w:val="auto"/>
          <w:lang w:val="en-US"/>
        </w:rPr>
        <w:t xml:space="preserve"> </w:t>
      </w:r>
      <w:proofErr w:type="spellStart"/>
      <w:r w:rsidRPr="001005B7">
        <w:rPr>
          <w:color w:val="auto"/>
          <w:lang w:val="en-US"/>
        </w:rPr>
        <w:t>Aspekt</w:t>
      </w:r>
      <w:r w:rsidR="008747DB" w:rsidRPr="001005B7">
        <w:rPr>
          <w:color w:val="auto"/>
          <w:lang w:val="en-US"/>
        </w:rPr>
        <w:t>e</w:t>
      </w:r>
      <w:proofErr w:type="spellEnd"/>
      <w:r w:rsidR="008747DB" w:rsidRPr="001005B7">
        <w:rPr>
          <w:color w:val="auto"/>
          <w:lang w:val="en-US"/>
        </w:rPr>
        <w:t xml:space="preserve">.” </w:t>
      </w:r>
      <w:r w:rsidR="00DE61ED" w:rsidRPr="001005B7">
        <w:rPr>
          <w:color w:val="auto"/>
          <w:lang w:val="en-US"/>
        </w:rPr>
        <w:t xml:space="preserve">In Jan Christian Gertz, Corinna </w:t>
      </w:r>
      <w:proofErr w:type="spellStart"/>
      <w:r w:rsidR="00DE61ED" w:rsidRPr="001005B7">
        <w:rPr>
          <w:color w:val="auto"/>
          <w:lang w:val="en-US"/>
        </w:rPr>
        <w:t>Körting</w:t>
      </w:r>
      <w:proofErr w:type="spellEnd"/>
      <w:r w:rsidR="00DE61ED" w:rsidRPr="001005B7">
        <w:rPr>
          <w:color w:val="auto"/>
          <w:lang w:val="en-US"/>
        </w:rPr>
        <w:t xml:space="preserve"> und Markus Witte, ed., </w:t>
      </w:r>
      <w:r w:rsidR="00DE61ED" w:rsidRPr="001005B7">
        <w:rPr>
          <w:i/>
          <w:iCs/>
          <w:color w:val="auto"/>
          <w:lang w:val="en-US"/>
        </w:rPr>
        <w:t xml:space="preserve">Das Buch Ezechiel: </w:t>
      </w:r>
      <w:proofErr w:type="spellStart"/>
      <w:r w:rsidR="00DE61ED" w:rsidRPr="001005B7">
        <w:rPr>
          <w:i/>
          <w:iCs/>
          <w:color w:val="auto"/>
          <w:lang w:val="en-US"/>
        </w:rPr>
        <w:t>Komposition</w:t>
      </w:r>
      <w:proofErr w:type="spellEnd"/>
      <w:r w:rsidR="00DE61ED" w:rsidRPr="001005B7">
        <w:rPr>
          <w:i/>
          <w:iCs/>
          <w:color w:val="auto"/>
          <w:lang w:val="en-US"/>
        </w:rPr>
        <w:t xml:space="preserve">, </w:t>
      </w:r>
      <w:proofErr w:type="spellStart"/>
      <w:r w:rsidR="00DE61ED" w:rsidRPr="001005B7">
        <w:rPr>
          <w:i/>
          <w:iCs/>
          <w:color w:val="auto"/>
          <w:lang w:val="en-US"/>
        </w:rPr>
        <w:t>Redaktion</w:t>
      </w:r>
      <w:proofErr w:type="spellEnd"/>
      <w:r w:rsidR="00DE61ED" w:rsidRPr="001005B7">
        <w:rPr>
          <w:i/>
          <w:iCs/>
          <w:color w:val="auto"/>
          <w:lang w:val="en-US"/>
        </w:rPr>
        <w:t xml:space="preserve"> und </w:t>
      </w:r>
      <w:proofErr w:type="spellStart"/>
      <w:r w:rsidR="00DE61ED" w:rsidRPr="001005B7">
        <w:rPr>
          <w:i/>
          <w:iCs/>
          <w:color w:val="auto"/>
          <w:lang w:val="en-US"/>
        </w:rPr>
        <w:t>Rezeption</w:t>
      </w:r>
      <w:proofErr w:type="spellEnd"/>
      <w:r w:rsidR="00DE61ED" w:rsidRPr="001005B7">
        <w:rPr>
          <w:color w:val="auto"/>
          <w:lang w:val="en-US"/>
        </w:rPr>
        <w:t xml:space="preserve">, </w:t>
      </w:r>
      <w:r w:rsidR="007F55D9" w:rsidRPr="001005B7">
        <w:rPr>
          <w:color w:val="auto"/>
          <w:lang w:val="en-US"/>
        </w:rPr>
        <w:t>89</w:t>
      </w:r>
      <w:r w:rsidR="00F46900" w:rsidRPr="001005B7">
        <w:rPr>
          <w:color w:val="auto"/>
          <w:lang w:val="en-US"/>
        </w:rPr>
        <w:t>–</w:t>
      </w:r>
      <w:r w:rsidR="007F55D9" w:rsidRPr="001005B7">
        <w:rPr>
          <w:color w:val="auto"/>
          <w:lang w:val="en-US"/>
        </w:rPr>
        <w:t>124</w:t>
      </w:r>
      <w:r w:rsidR="00DE61ED" w:rsidRPr="001005B7">
        <w:rPr>
          <w:color w:val="auto"/>
          <w:lang w:val="en-US"/>
        </w:rPr>
        <w:t>. BZAW 516. Berlin: de Gruyter, 2020.</w:t>
      </w:r>
    </w:p>
    <w:p w14:paraId="79385CD3" w14:textId="2F89DA6A" w:rsidR="0089468C" w:rsidRPr="001005B7" w:rsidRDefault="001C71F1" w:rsidP="006F5BB0">
      <w:pPr>
        <w:pStyle w:val="ListParagraph"/>
        <w:rPr>
          <w:color w:val="auto"/>
          <w:lang w:val="en-US"/>
        </w:rPr>
      </w:pPr>
      <w:r w:rsidRPr="001005B7">
        <w:rPr>
          <w:color w:val="auto"/>
          <w:lang w:val="en-US"/>
        </w:rPr>
        <w:t xml:space="preserve">Odell, </w:t>
      </w:r>
      <w:r w:rsidR="00A33EE5" w:rsidRPr="001005B7">
        <w:rPr>
          <w:color w:val="auto"/>
          <w:lang w:val="en-US"/>
        </w:rPr>
        <w:t>Margaret S. “What Was the Image of Jealousy in Ezekiel 8?” in</w:t>
      </w:r>
      <w:r w:rsidR="0089468C" w:rsidRPr="001005B7">
        <w:rPr>
          <w:color w:val="auto"/>
          <w:lang w:val="en-US"/>
        </w:rPr>
        <w:t xml:space="preserve"> Lester L. </w:t>
      </w:r>
      <w:proofErr w:type="spellStart"/>
      <w:r w:rsidR="0089468C" w:rsidRPr="001005B7">
        <w:rPr>
          <w:color w:val="auto"/>
          <w:lang w:val="en-US"/>
        </w:rPr>
        <w:t>Grabbe</w:t>
      </w:r>
      <w:proofErr w:type="spellEnd"/>
      <w:r w:rsidR="0089468C" w:rsidRPr="001005B7">
        <w:rPr>
          <w:color w:val="auto"/>
          <w:lang w:val="en-US"/>
        </w:rPr>
        <w:t xml:space="preserve"> and Alice Ogden Bellis, ed., </w:t>
      </w:r>
      <w:r w:rsidR="0089468C" w:rsidRPr="001005B7">
        <w:rPr>
          <w:i/>
          <w:iCs/>
          <w:color w:val="auto"/>
          <w:lang w:val="en-US"/>
        </w:rPr>
        <w:t>The Priests in the Prophets: The Portrayal of Priests, Prophets, and Other Religious Specialists in the Latter Prophets</w:t>
      </w:r>
      <w:r w:rsidR="004D007B" w:rsidRPr="001005B7">
        <w:rPr>
          <w:color w:val="auto"/>
          <w:lang w:val="en-US"/>
        </w:rPr>
        <w:t xml:space="preserve">, </w:t>
      </w:r>
      <w:r w:rsidR="001D5792" w:rsidRPr="001005B7">
        <w:rPr>
          <w:color w:val="auto"/>
          <w:lang w:val="en-US"/>
        </w:rPr>
        <w:t>134</w:t>
      </w:r>
      <w:r w:rsidR="00F46900" w:rsidRPr="001005B7">
        <w:rPr>
          <w:color w:val="auto"/>
          <w:lang w:val="en-US"/>
        </w:rPr>
        <w:t>–</w:t>
      </w:r>
      <w:r w:rsidR="001D5792" w:rsidRPr="001005B7">
        <w:rPr>
          <w:color w:val="auto"/>
          <w:lang w:val="en-US"/>
        </w:rPr>
        <w:t xml:space="preserve">48. </w:t>
      </w:r>
      <w:proofErr w:type="spellStart"/>
      <w:r w:rsidR="007A3AC9" w:rsidRPr="001005B7">
        <w:rPr>
          <w:color w:val="auto"/>
          <w:lang w:val="en-US"/>
        </w:rPr>
        <w:t>JSOTSup</w:t>
      </w:r>
      <w:proofErr w:type="spellEnd"/>
      <w:r w:rsidR="007A3AC9" w:rsidRPr="001005B7">
        <w:rPr>
          <w:color w:val="auto"/>
          <w:lang w:val="en-US"/>
        </w:rPr>
        <w:t xml:space="preserve"> 408. </w:t>
      </w:r>
      <w:r w:rsidR="00C0580C" w:rsidRPr="001005B7">
        <w:rPr>
          <w:color w:val="auto"/>
          <w:lang w:val="en-US"/>
        </w:rPr>
        <w:t>London: T&amp;T Clark, 2004.</w:t>
      </w:r>
    </w:p>
    <w:p w14:paraId="2A0482EF" w14:textId="18752683" w:rsidR="008D296B" w:rsidRPr="001005B7" w:rsidRDefault="00E66584" w:rsidP="006F5BB0">
      <w:pPr>
        <w:pStyle w:val="ListParagraph"/>
        <w:rPr>
          <w:color w:val="auto"/>
          <w:lang w:val="en-US"/>
        </w:rPr>
      </w:pPr>
      <w:proofErr w:type="spellStart"/>
      <w:r w:rsidRPr="001005B7">
        <w:rPr>
          <w:color w:val="auto"/>
          <w:lang w:val="en-US"/>
        </w:rPr>
        <w:t>To</w:t>
      </w:r>
      <w:r w:rsidR="00F06DBB" w:rsidRPr="001005B7">
        <w:rPr>
          <w:color w:val="auto"/>
          <w:lang w:val="en-US"/>
        </w:rPr>
        <w:t>o</w:t>
      </w:r>
      <w:r w:rsidRPr="001005B7">
        <w:rPr>
          <w:color w:val="auto"/>
          <w:lang w:val="en-US"/>
        </w:rPr>
        <w:t>man</w:t>
      </w:r>
      <w:proofErr w:type="spellEnd"/>
      <w:r w:rsidRPr="001005B7">
        <w:rPr>
          <w:color w:val="auto"/>
          <w:lang w:val="en-US"/>
        </w:rPr>
        <w:t xml:space="preserve">, William A. </w:t>
      </w:r>
      <w:r w:rsidR="00F06DBB" w:rsidRPr="001005B7">
        <w:rPr>
          <w:color w:val="auto"/>
          <w:lang w:val="en-US"/>
        </w:rPr>
        <w:t>“</w:t>
      </w:r>
      <w:r w:rsidRPr="001005B7">
        <w:rPr>
          <w:color w:val="auto"/>
          <w:lang w:val="en-US"/>
        </w:rPr>
        <w:t>Ezekiel’s Radical Challenge to Inviolability</w:t>
      </w:r>
      <w:r w:rsidR="006C1FE8" w:rsidRPr="001005B7">
        <w:rPr>
          <w:color w:val="auto"/>
          <w:lang w:val="en-US"/>
        </w:rPr>
        <w:t>.”</w:t>
      </w:r>
      <w:r w:rsidR="000D4A5F" w:rsidRPr="001005B7">
        <w:rPr>
          <w:color w:val="auto"/>
          <w:lang w:val="en-US"/>
        </w:rPr>
        <w:t xml:space="preserve"> </w:t>
      </w:r>
      <w:r w:rsidR="000D4A5F" w:rsidRPr="001005B7">
        <w:rPr>
          <w:i/>
          <w:color w:val="auto"/>
          <w:lang w:val="en-US"/>
        </w:rPr>
        <w:t xml:space="preserve">ZAW </w:t>
      </w:r>
      <w:r w:rsidR="000D4A5F" w:rsidRPr="001005B7">
        <w:rPr>
          <w:color w:val="auto"/>
          <w:lang w:val="en-US"/>
        </w:rPr>
        <w:t xml:space="preserve">121 (2009): </w:t>
      </w:r>
      <w:r w:rsidR="008C7CDA" w:rsidRPr="001005B7">
        <w:rPr>
          <w:color w:val="auto"/>
          <w:lang w:val="en-US"/>
        </w:rPr>
        <w:t>498</w:t>
      </w:r>
      <w:r w:rsidR="00F46900" w:rsidRPr="001005B7">
        <w:rPr>
          <w:color w:val="auto"/>
          <w:lang w:val="en-US"/>
        </w:rPr>
        <w:t>–</w:t>
      </w:r>
      <w:r w:rsidR="008C7CDA" w:rsidRPr="001005B7">
        <w:rPr>
          <w:color w:val="auto"/>
          <w:lang w:val="en-US"/>
        </w:rPr>
        <w:t>514.</w:t>
      </w:r>
    </w:p>
    <w:p w14:paraId="439B1779" w14:textId="509FB061" w:rsidR="00295497" w:rsidRPr="001005B7" w:rsidRDefault="003C0248" w:rsidP="006F5BB0">
      <w:pPr>
        <w:pStyle w:val="ListParagraph"/>
        <w:rPr>
          <w:color w:val="auto"/>
          <w:lang w:val="en-US"/>
        </w:rPr>
      </w:pPr>
      <w:r w:rsidRPr="001005B7">
        <w:rPr>
          <w:color w:val="auto"/>
          <w:lang w:val="en-US"/>
        </w:rPr>
        <w:t xml:space="preserve">Wong, Ka Leung. </w:t>
      </w:r>
      <w:r w:rsidR="00D50A38" w:rsidRPr="001005B7">
        <w:rPr>
          <w:color w:val="auto"/>
          <w:lang w:val="en-US"/>
        </w:rPr>
        <w:t>“A Note on Ezekiel viii 6.”</w:t>
      </w:r>
      <w:r w:rsidR="000D6FF0" w:rsidRPr="001005B7">
        <w:rPr>
          <w:color w:val="auto"/>
          <w:lang w:val="en-US"/>
        </w:rPr>
        <w:t xml:space="preserve"> </w:t>
      </w:r>
      <w:r w:rsidR="000D6FF0" w:rsidRPr="001005B7">
        <w:rPr>
          <w:i/>
          <w:color w:val="auto"/>
          <w:lang w:val="en-US"/>
        </w:rPr>
        <w:t>VT</w:t>
      </w:r>
      <w:r w:rsidR="000D6FF0" w:rsidRPr="001005B7">
        <w:rPr>
          <w:color w:val="auto"/>
          <w:lang w:val="en-US"/>
        </w:rPr>
        <w:t xml:space="preserve"> 51 (2001): </w:t>
      </w:r>
      <w:r w:rsidR="00E15BFC" w:rsidRPr="001005B7">
        <w:rPr>
          <w:color w:val="auto"/>
          <w:lang w:val="en-US"/>
        </w:rPr>
        <w:t>396</w:t>
      </w:r>
      <w:r w:rsidR="00F46900" w:rsidRPr="001005B7">
        <w:rPr>
          <w:color w:val="auto"/>
          <w:lang w:val="en-US"/>
        </w:rPr>
        <w:t>–</w:t>
      </w:r>
      <w:r w:rsidR="00E15BFC" w:rsidRPr="001005B7">
        <w:rPr>
          <w:color w:val="auto"/>
          <w:lang w:val="en-US"/>
        </w:rPr>
        <w:t xml:space="preserve">400. </w:t>
      </w:r>
    </w:p>
    <w:p w14:paraId="4A74B88B" w14:textId="6D25DFBA" w:rsidR="00295497" w:rsidRPr="001005B7" w:rsidRDefault="005108CD" w:rsidP="003062B5">
      <w:pPr>
        <w:pStyle w:val="Heading2"/>
        <w:rPr>
          <w:color w:val="auto"/>
        </w:rPr>
      </w:pPr>
      <w:r w:rsidRPr="001005B7">
        <w:rPr>
          <w:color w:val="auto"/>
        </w:rPr>
        <w:t xml:space="preserve">The Executioners </w:t>
      </w:r>
      <w:r w:rsidR="008551CF" w:rsidRPr="001005B7">
        <w:rPr>
          <w:color w:val="auto"/>
        </w:rPr>
        <w:t xml:space="preserve">and the Marker </w:t>
      </w:r>
      <w:r w:rsidRPr="001005B7">
        <w:rPr>
          <w:color w:val="auto"/>
        </w:rPr>
        <w:t>(9:1</w:t>
      </w:r>
      <w:r w:rsidR="00F46900" w:rsidRPr="001005B7">
        <w:rPr>
          <w:color w:val="auto"/>
        </w:rPr>
        <w:t>–</w:t>
      </w:r>
      <w:r w:rsidR="008551CF" w:rsidRPr="001005B7">
        <w:rPr>
          <w:color w:val="auto"/>
        </w:rPr>
        <w:t>11)</w:t>
      </w:r>
    </w:p>
    <w:p w14:paraId="2F414D8A" w14:textId="74C2BBEE" w:rsidR="00667AAB" w:rsidRPr="001005B7" w:rsidRDefault="00C66D00" w:rsidP="00493833">
      <w:pPr>
        <w:pStyle w:val="Heading3"/>
      </w:pPr>
      <w:r w:rsidRPr="001005B7">
        <w:t>Outline</w:t>
      </w:r>
    </w:p>
    <w:p w14:paraId="6B4199D5" w14:textId="61749849" w:rsidR="00183ACC" w:rsidRPr="001005B7" w:rsidRDefault="00183ACC" w:rsidP="00C66D00">
      <w:r w:rsidRPr="001005B7">
        <w:t>The vision continues without any</w:t>
      </w:r>
      <w:r w:rsidR="008820C1" w:rsidRPr="001005B7">
        <w:t xml:space="preserve"> interruption</w:t>
      </w:r>
      <w:r w:rsidR="00F711BA" w:rsidRPr="001005B7">
        <w:t xml:space="preserve"> to describe the implementing of the intention</w:t>
      </w:r>
      <w:r w:rsidR="007A3BDF" w:rsidRPr="001005B7">
        <w:t xml:space="preserve"> announced</w:t>
      </w:r>
      <w:r w:rsidR="00011C97" w:rsidRPr="001005B7">
        <w:t xml:space="preserve"> </w:t>
      </w:r>
      <w:r w:rsidR="00F711BA" w:rsidRPr="001005B7">
        <w:t>in 8:18 in a way that also follows on from 5:5</w:t>
      </w:r>
      <w:r w:rsidR="00F46900" w:rsidRPr="001005B7">
        <w:t>–</w:t>
      </w:r>
      <w:r w:rsidR="00F711BA" w:rsidRPr="001005B7">
        <w:t>17</w:t>
      </w:r>
      <w:r w:rsidR="00EF13A3" w:rsidRPr="001005B7">
        <w:t xml:space="preserve"> </w:t>
      </w:r>
      <w:r w:rsidR="005A7FEF" w:rsidRPr="001005B7">
        <w:t>(</w:t>
      </w:r>
      <w:proofErr w:type="spellStart"/>
      <w:r w:rsidR="005A7FEF" w:rsidRPr="001005B7">
        <w:t>H</w:t>
      </w:r>
      <w:r w:rsidR="005A7FEF" w:rsidRPr="001005B7">
        <w:rPr>
          <w:rFonts w:cstheme="minorHAnsi"/>
        </w:rPr>
        <w:t>ä</w:t>
      </w:r>
      <w:r w:rsidR="005A7FEF" w:rsidRPr="001005B7">
        <w:t>ner</w:t>
      </w:r>
      <w:proofErr w:type="spellEnd"/>
      <w:r w:rsidR="005A7FEF" w:rsidRPr="001005B7">
        <w:t>, 170).</w:t>
      </w:r>
      <w:r w:rsidR="00F711BA" w:rsidRPr="001005B7">
        <w:t xml:space="preserve"> </w:t>
      </w:r>
      <w:r w:rsidR="0077458E" w:rsidRPr="001005B7">
        <w:t xml:space="preserve">It constitutes </w:t>
      </w:r>
      <w:r w:rsidR="00F97F08" w:rsidRPr="001005B7">
        <w:t>Act 2</w:t>
      </w:r>
      <w:r w:rsidR="009B36CD" w:rsidRPr="001005B7">
        <w:t xml:space="preserve"> </w:t>
      </w:r>
      <w:r w:rsidR="004815E5" w:rsidRPr="001005B7">
        <w:t>in Ezek 8</w:t>
      </w:r>
      <w:r w:rsidR="00F46900" w:rsidRPr="001005B7">
        <w:t>–</w:t>
      </w:r>
      <w:r w:rsidR="004815E5" w:rsidRPr="001005B7">
        <w:t>11</w:t>
      </w:r>
      <w:r w:rsidR="007E2739" w:rsidRPr="001005B7">
        <w:t xml:space="preserve">. </w:t>
      </w:r>
      <w:r w:rsidR="00A9407F">
        <w:t xml:space="preserve">As well as </w:t>
      </w:r>
      <w:r w:rsidR="007A3BDF" w:rsidRPr="001005B7">
        <w:t>continu</w:t>
      </w:r>
      <w:r w:rsidR="00A9407F">
        <w:t>ing</w:t>
      </w:r>
      <w:r w:rsidR="007A3BDF" w:rsidRPr="001005B7">
        <w:t xml:space="preserve"> 8</w:t>
      </w:r>
      <w:r w:rsidR="009A0ED0" w:rsidRPr="001005B7">
        <w:t>:1</w:t>
      </w:r>
      <w:r w:rsidR="00F46900" w:rsidRPr="001005B7">
        <w:t>–</w:t>
      </w:r>
      <w:r w:rsidR="009A0ED0" w:rsidRPr="001005B7">
        <w:t>18</w:t>
      </w:r>
      <w:r w:rsidR="00A9407F">
        <w:t>, its narrative</w:t>
      </w:r>
      <w:r w:rsidR="007A3BDF" w:rsidRPr="001005B7">
        <w:t xml:space="preserve"> anticipates </w:t>
      </w:r>
      <w:r w:rsidR="00803341" w:rsidRPr="001005B7">
        <w:t>10</w:t>
      </w:r>
      <w:r w:rsidR="009A0ED0" w:rsidRPr="001005B7">
        <w:t>:1</w:t>
      </w:r>
      <w:r w:rsidR="00F46900" w:rsidRPr="001005B7">
        <w:t>–</w:t>
      </w:r>
      <w:r w:rsidR="00803341" w:rsidRPr="001005B7">
        <w:t>22</w:t>
      </w:r>
      <w:r w:rsidR="007A3BDF" w:rsidRPr="001005B7">
        <w:t>. But it has “its own narrative plot and style”</w:t>
      </w:r>
      <w:r w:rsidR="004815E5" w:rsidRPr="001005B7">
        <w:t>:</w:t>
      </w:r>
      <w:r w:rsidR="007A3BDF" w:rsidRPr="001005B7">
        <w:t xml:space="preserve"> </w:t>
      </w:r>
      <w:r w:rsidR="004815E5" w:rsidRPr="001005B7">
        <w:t>i</w:t>
      </w:r>
      <w:r w:rsidR="007A3BDF" w:rsidRPr="001005B7">
        <w:t>t is verbal rather than visual</w:t>
      </w:r>
      <w:r w:rsidR="004815E5" w:rsidRPr="001005B7">
        <w:t xml:space="preserve"> a</w:t>
      </w:r>
      <w:r w:rsidR="007A3BDF" w:rsidRPr="001005B7">
        <w:t>nd it takes on “a quasi-legal flavor”</w:t>
      </w:r>
      <w:r w:rsidR="00E46684" w:rsidRPr="001005B7">
        <w:t xml:space="preserve"> (Block</w:t>
      </w:r>
      <w:r w:rsidR="003E4AC1" w:rsidRPr="001005B7">
        <w:t>,</w:t>
      </w:r>
      <w:r w:rsidR="00E46684" w:rsidRPr="001005B7">
        <w:rPr>
          <w:i/>
          <w:iCs/>
        </w:rPr>
        <w:t xml:space="preserve"> </w:t>
      </w:r>
      <w:r w:rsidR="00D413A5" w:rsidRPr="001005B7">
        <w:t>1:</w:t>
      </w:r>
      <w:r w:rsidR="00E46684" w:rsidRPr="001005B7">
        <w:t>302</w:t>
      </w:r>
      <w:r w:rsidR="00F46900" w:rsidRPr="001005B7">
        <w:t>–</w:t>
      </w:r>
      <w:r w:rsidR="00E46684" w:rsidRPr="001005B7">
        <w:t>3</w:t>
      </w:r>
      <w:r w:rsidR="00D413A5" w:rsidRPr="001005B7">
        <w:t>)</w:t>
      </w:r>
      <w:r w:rsidR="00E46684" w:rsidRPr="001005B7">
        <w:t>.</w:t>
      </w:r>
      <w:r w:rsidR="00D413A5" w:rsidRPr="001005B7">
        <w:t xml:space="preserve"> </w:t>
      </w:r>
      <w:r w:rsidR="002E5FDC" w:rsidRPr="001005B7">
        <w:t>It unfolds:</w:t>
      </w:r>
    </w:p>
    <w:p w14:paraId="087AC56B" w14:textId="77777777" w:rsidR="00183ACC" w:rsidRPr="001005B7" w:rsidRDefault="00183ACC" w:rsidP="00C66D00"/>
    <w:p w14:paraId="78C21F1B" w14:textId="229E320F" w:rsidR="00EB1F76" w:rsidRPr="001005B7" w:rsidRDefault="0059242B" w:rsidP="00F711BA">
      <w:r w:rsidRPr="001005B7">
        <w:t xml:space="preserve">Yahweh </w:t>
      </w:r>
      <w:r w:rsidR="00AB0985" w:rsidRPr="001005B7">
        <w:t xml:space="preserve">draws attention to </w:t>
      </w:r>
      <w:r w:rsidR="00F711BA" w:rsidRPr="001005B7">
        <w:t>the</w:t>
      </w:r>
      <w:r w:rsidRPr="001005B7">
        <w:t xml:space="preserve"> </w:t>
      </w:r>
      <w:r w:rsidR="00CF2557" w:rsidRPr="001005B7">
        <w:t>execut</w:t>
      </w:r>
      <w:r w:rsidR="00EB1F76" w:rsidRPr="001005B7">
        <w:t>ioners</w:t>
      </w:r>
      <w:r w:rsidR="00CF2557" w:rsidRPr="001005B7">
        <w:t xml:space="preserve"> and</w:t>
      </w:r>
      <w:r w:rsidR="00183ACC" w:rsidRPr="001005B7">
        <w:t xml:space="preserve"> </w:t>
      </w:r>
      <w:r w:rsidR="001130DE">
        <w:t xml:space="preserve">the </w:t>
      </w:r>
      <w:r w:rsidR="00CF2557" w:rsidRPr="001005B7">
        <w:t>scribe</w:t>
      </w:r>
      <w:r w:rsidR="00F711BA" w:rsidRPr="001005B7">
        <w:t xml:space="preserve"> he has appointed</w:t>
      </w:r>
      <w:r w:rsidR="008820C1" w:rsidRPr="001005B7">
        <w:t xml:space="preserve"> (</w:t>
      </w:r>
      <w:r w:rsidR="0042084A" w:rsidRPr="001005B7">
        <w:t>9:</w:t>
      </w:r>
      <w:r w:rsidR="008820C1" w:rsidRPr="001005B7">
        <w:t>1</w:t>
      </w:r>
      <w:r w:rsidR="00F46900" w:rsidRPr="001005B7">
        <w:t>–</w:t>
      </w:r>
      <w:r w:rsidR="00F711BA" w:rsidRPr="001005B7">
        <w:t>2</w:t>
      </w:r>
      <w:r w:rsidR="008820C1" w:rsidRPr="001005B7">
        <w:t>)</w:t>
      </w:r>
    </w:p>
    <w:p w14:paraId="0B7B2DCC" w14:textId="5B6F9941" w:rsidR="00EB1F76" w:rsidRPr="001005B7" w:rsidRDefault="00F711BA" w:rsidP="00C66D00">
      <w:r w:rsidRPr="001005B7">
        <w:t>He</w:t>
      </w:r>
      <w:r w:rsidR="00AB0985" w:rsidRPr="001005B7">
        <w:t xml:space="preserve"> bid</w:t>
      </w:r>
      <w:r w:rsidR="00DD35FC" w:rsidRPr="001005B7">
        <w:t>s</w:t>
      </w:r>
      <w:r w:rsidR="00AB0985" w:rsidRPr="001005B7">
        <w:t xml:space="preserve"> them undertake their work</w:t>
      </w:r>
      <w:r w:rsidR="00EB1F76" w:rsidRPr="001005B7">
        <w:t xml:space="preserve"> (</w:t>
      </w:r>
      <w:r w:rsidR="0042084A" w:rsidRPr="001005B7">
        <w:t>9:</w:t>
      </w:r>
      <w:r w:rsidR="00EB1F76" w:rsidRPr="001005B7">
        <w:t>3</w:t>
      </w:r>
      <w:r w:rsidR="00F46900" w:rsidRPr="001005B7">
        <w:t>–</w:t>
      </w:r>
      <w:r w:rsidR="00EB1F76" w:rsidRPr="001005B7">
        <w:t>7</w:t>
      </w:r>
      <w:r w:rsidR="0084473A" w:rsidRPr="001005B7">
        <w:t>a</w:t>
      </w:r>
      <w:r w:rsidR="00EB1F76" w:rsidRPr="001005B7">
        <w:t>)</w:t>
      </w:r>
    </w:p>
    <w:p w14:paraId="1936677E" w14:textId="22626F0A" w:rsidR="00C66D00" w:rsidRPr="001005B7" w:rsidRDefault="00DD35FC" w:rsidP="00C66D00">
      <w:r w:rsidRPr="001005B7">
        <w:t xml:space="preserve">They begin, but </w:t>
      </w:r>
      <w:r w:rsidR="00EB1F76" w:rsidRPr="001005B7">
        <w:t>Ezekiel protests and Yahweh responds (</w:t>
      </w:r>
      <w:r w:rsidR="0042084A" w:rsidRPr="001005B7">
        <w:t>9:</w:t>
      </w:r>
      <w:r w:rsidR="0084473A" w:rsidRPr="001005B7">
        <w:t>7b</w:t>
      </w:r>
      <w:r w:rsidR="00F46900" w:rsidRPr="001005B7">
        <w:t>–</w:t>
      </w:r>
      <w:r w:rsidR="00EB1F76" w:rsidRPr="001005B7">
        <w:t>10)</w:t>
      </w:r>
    </w:p>
    <w:p w14:paraId="0F870027" w14:textId="2960800E" w:rsidR="00F711BA" w:rsidRPr="001005B7" w:rsidRDefault="00F711BA" w:rsidP="00C66D00">
      <w:r w:rsidRPr="001005B7">
        <w:t>The scribe reports back (</w:t>
      </w:r>
      <w:r w:rsidR="003D021F" w:rsidRPr="001005B7">
        <w:t>9:</w:t>
      </w:r>
      <w:r w:rsidRPr="001005B7">
        <w:t>11)</w:t>
      </w:r>
    </w:p>
    <w:p w14:paraId="5E122D42" w14:textId="77777777" w:rsidR="007A3BDF" w:rsidRPr="001005B7" w:rsidRDefault="007A3BDF" w:rsidP="00C66D00"/>
    <w:p w14:paraId="79DABE6C" w14:textId="36F2DDD6" w:rsidR="00F8542F" w:rsidRPr="001005B7" w:rsidRDefault="009D22BC" w:rsidP="00C66D00">
      <w:r w:rsidRPr="001005B7">
        <w:t>As was the case in</w:t>
      </w:r>
      <w:r w:rsidR="006C3256" w:rsidRPr="001005B7">
        <w:t xml:space="preserve"> 8:1</w:t>
      </w:r>
      <w:r w:rsidR="00F46900" w:rsidRPr="001005B7">
        <w:t>–</w:t>
      </w:r>
      <w:r w:rsidR="006C3256" w:rsidRPr="001005B7">
        <w:t xml:space="preserve">18, </w:t>
      </w:r>
      <w:r w:rsidRPr="001005B7">
        <w:t xml:space="preserve">Yahweh gives Ezekiel a vision </w:t>
      </w:r>
      <w:r w:rsidR="00B123D3" w:rsidRPr="001005B7">
        <w:t>of some imaginary scenes in Jerusalem. They do not correspond to anything that</w:t>
      </w:r>
      <w:r w:rsidR="00053020" w:rsidRPr="001005B7">
        <w:t xml:space="preserve"> was happening or was going to happen. </w:t>
      </w:r>
      <w:r w:rsidR="00CC721C" w:rsidRPr="001005B7">
        <w:t>They d</w:t>
      </w:r>
      <w:r w:rsidR="001675B1" w:rsidRPr="001005B7">
        <w:t>o</w:t>
      </w:r>
      <w:r w:rsidR="00CC721C" w:rsidRPr="001005B7">
        <w:t xml:space="preserve"> correspond to something that </w:t>
      </w:r>
      <w:r w:rsidR="00096F95" w:rsidRPr="001005B7">
        <w:t>Yahweh could contemplate doing, though Ezekiel’s protest</w:t>
      </w:r>
      <w:r w:rsidR="00EB20D8" w:rsidRPr="001005B7">
        <w:t xml:space="preserve"> indicate</w:t>
      </w:r>
      <w:r w:rsidR="00526496" w:rsidRPr="001005B7">
        <w:t>s</w:t>
      </w:r>
      <w:r w:rsidR="00EB20D8" w:rsidRPr="001005B7">
        <w:t xml:space="preserve"> why it would be impossible for Yahweh to do what </w:t>
      </w:r>
      <w:r w:rsidR="005E0EAD" w:rsidRPr="001005B7">
        <w:t xml:space="preserve">the vision describes. The tension between what Yahweh might properly do </w:t>
      </w:r>
      <w:r w:rsidR="00FE4A3A" w:rsidRPr="001005B7">
        <w:t xml:space="preserve">in response to the </w:t>
      </w:r>
      <w:r w:rsidR="00526496" w:rsidRPr="001005B7">
        <w:t xml:space="preserve">city’s </w:t>
      </w:r>
      <w:r w:rsidR="00FE4A3A" w:rsidRPr="001005B7">
        <w:t>waywardness and what he cannot do</w:t>
      </w:r>
      <w:r w:rsidR="00143738" w:rsidRPr="001005B7">
        <w:t xml:space="preserve"> because of his commitment to Israel is the same tension that arises in Exod 32</w:t>
      </w:r>
      <w:r w:rsidR="00F46900" w:rsidRPr="001005B7">
        <w:t>–</w:t>
      </w:r>
      <w:r w:rsidR="00143738" w:rsidRPr="001005B7">
        <w:t>34</w:t>
      </w:r>
      <w:r w:rsidR="007E28BD" w:rsidRPr="001005B7">
        <w:t>,</w:t>
      </w:r>
      <w:r w:rsidR="00143738" w:rsidRPr="001005B7">
        <w:t xml:space="preserve"> and in Jeremiah where </w:t>
      </w:r>
      <w:r w:rsidR="00B26651" w:rsidRPr="001005B7">
        <w:t xml:space="preserve">Yahweh speaks both of utterly destroying Judah and of letting some people survive </w:t>
      </w:r>
      <w:r w:rsidR="002964B2" w:rsidRPr="001005B7">
        <w:t>the coming calamity. And it corresponds to what happens</w:t>
      </w:r>
      <w:r w:rsidR="008D07A0" w:rsidRPr="001005B7">
        <w:t xml:space="preserve"> and doesn’t happen</w:t>
      </w:r>
      <w:r w:rsidR="002964B2" w:rsidRPr="001005B7">
        <w:t xml:space="preserve"> in 587.</w:t>
      </w:r>
      <w:r w:rsidR="009320EA" w:rsidRPr="001005B7">
        <w:t xml:space="preserve"> The significance of the vision for people in </w:t>
      </w:r>
      <w:proofErr w:type="spellStart"/>
      <w:r w:rsidR="009320EA" w:rsidRPr="001005B7">
        <w:t>Kebar</w:t>
      </w:r>
      <w:proofErr w:type="spellEnd"/>
      <w:r w:rsidR="009320EA" w:rsidRPr="001005B7">
        <w:t xml:space="preserve"> is to recognize these dynamics in Yahweh’s relationship with Israel</w:t>
      </w:r>
      <w:r w:rsidR="00C3192A" w:rsidRPr="001005B7">
        <w:t>, and to be people who moan and gr</w:t>
      </w:r>
      <w:r w:rsidR="00D80621" w:rsidRPr="001005B7">
        <w:t>oan.</w:t>
      </w:r>
    </w:p>
    <w:p w14:paraId="201E2D83" w14:textId="1BE12C97" w:rsidR="00CF2557" w:rsidRPr="001005B7" w:rsidRDefault="00FA7752" w:rsidP="00493833">
      <w:pPr>
        <w:pStyle w:val="Heading3"/>
      </w:pPr>
      <w:r w:rsidRPr="001005B7">
        <w:t>Translation</w:t>
      </w:r>
    </w:p>
    <w:p w14:paraId="22A94CF3" w14:textId="033A8C90" w:rsidR="0084473A" w:rsidRPr="001005B7" w:rsidRDefault="00FA7752" w:rsidP="00A004B7">
      <w:r w:rsidRPr="001005B7">
        <w:rPr>
          <w:vertAlign w:val="superscript"/>
        </w:rPr>
        <w:t>1</w:t>
      </w:r>
      <w:r w:rsidR="00583922" w:rsidRPr="001005B7">
        <w:t xml:space="preserve">He called in a loud voice </w:t>
      </w:r>
      <w:r w:rsidR="00D52186" w:rsidRPr="001005B7">
        <w:t>in my ears</w:t>
      </w:r>
      <w:r w:rsidR="009171EA" w:rsidRPr="001005B7">
        <w:t xml:space="preserve">: </w:t>
      </w:r>
      <w:r w:rsidR="00FC233C" w:rsidRPr="001005B7">
        <w:t xml:space="preserve">The </w:t>
      </w:r>
      <w:r w:rsidR="00243B78" w:rsidRPr="001005B7">
        <w:t xml:space="preserve">city’s </w:t>
      </w:r>
      <w:r w:rsidR="00FC233C" w:rsidRPr="001005B7">
        <w:t>charges have c</w:t>
      </w:r>
      <w:r w:rsidR="009171EA" w:rsidRPr="001005B7">
        <w:t>ome near,</w:t>
      </w:r>
      <w:r w:rsidR="00246CC8" w:rsidRPr="001005B7">
        <w:t xml:space="preserve"> [each</w:t>
      </w:r>
      <w:r w:rsidR="008550BA" w:rsidRPr="001005B7">
        <w:t>]</w:t>
      </w:r>
      <w:r w:rsidR="00246CC8" w:rsidRPr="001005B7">
        <w:t xml:space="preserve"> individual </w:t>
      </w:r>
      <w:r w:rsidR="008550BA" w:rsidRPr="001005B7">
        <w:t>his d</w:t>
      </w:r>
      <w:r w:rsidR="00A46C47" w:rsidRPr="001005B7">
        <w:t>e</w:t>
      </w:r>
      <w:r w:rsidR="00827762" w:rsidRPr="001005B7">
        <w:t>struction</w:t>
      </w:r>
      <w:r w:rsidR="008550BA" w:rsidRPr="001005B7">
        <w:t xml:space="preserve"> </w:t>
      </w:r>
      <w:r w:rsidR="00E92C75" w:rsidRPr="001005B7">
        <w:t xml:space="preserve">instrument </w:t>
      </w:r>
      <w:r w:rsidR="008550BA" w:rsidRPr="001005B7">
        <w:t>in his hand</w:t>
      </w:r>
      <w:r w:rsidR="00A61762" w:rsidRPr="001005B7">
        <w:t xml:space="preserve">. </w:t>
      </w:r>
      <w:r w:rsidR="00A61762" w:rsidRPr="001005B7">
        <w:rPr>
          <w:vertAlign w:val="superscript"/>
        </w:rPr>
        <w:t>2</w:t>
      </w:r>
      <w:r w:rsidR="00565EC4" w:rsidRPr="001005B7">
        <w:t>And</w:t>
      </w:r>
      <w:r w:rsidR="00A61762" w:rsidRPr="001005B7">
        <w:t xml:space="preserve"> there</w:t>
      </w:r>
      <w:r w:rsidR="00986E21" w:rsidRPr="001005B7">
        <w:t>:</w:t>
      </w:r>
      <w:r w:rsidR="00A61762" w:rsidRPr="001005B7">
        <w:t xml:space="preserve"> six </w:t>
      </w:r>
      <w:r w:rsidR="00255CFA" w:rsidRPr="001005B7">
        <w:t xml:space="preserve">individuals coming </w:t>
      </w:r>
      <w:r w:rsidR="00D2322B" w:rsidRPr="001005B7">
        <w:t>from the</w:t>
      </w:r>
      <w:r w:rsidR="00381B31" w:rsidRPr="001005B7">
        <w:t xml:space="preserve"> </w:t>
      </w:r>
      <w:r w:rsidR="00903B28" w:rsidRPr="001005B7">
        <w:t>direction of</w:t>
      </w:r>
      <w:r w:rsidR="00D2322B" w:rsidRPr="001005B7">
        <w:t xml:space="preserve"> the upper gate</w:t>
      </w:r>
      <w:r w:rsidR="00F02CFB" w:rsidRPr="001005B7">
        <w:t>way</w:t>
      </w:r>
      <w:r w:rsidR="00873D54" w:rsidRPr="001005B7">
        <w:t xml:space="preserve"> </w:t>
      </w:r>
      <w:r w:rsidR="00903B28" w:rsidRPr="001005B7">
        <w:t xml:space="preserve">that </w:t>
      </w:r>
      <w:r w:rsidR="00873D54" w:rsidRPr="001005B7">
        <w:t>fac</w:t>
      </w:r>
      <w:r w:rsidR="00903B28" w:rsidRPr="001005B7">
        <w:t>es</w:t>
      </w:r>
      <w:r w:rsidR="00873D54" w:rsidRPr="001005B7">
        <w:t xml:space="preserve"> northward, [each] </w:t>
      </w:r>
      <w:r w:rsidR="00903B28" w:rsidRPr="001005B7">
        <w:t>individual</w:t>
      </w:r>
      <w:r w:rsidR="00873D54" w:rsidRPr="001005B7">
        <w:t xml:space="preserve"> </w:t>
      </w:r>
      <w:r w:rsidR="00B26AC5" w:rsidRPr="001005B7">
        <w:t xml:space="preserve">his </w:t>
      </w:r>
      <w:r w:rsidR="00E92C75" w:rsidRPr="001005B7">
        <w:t xml:space="preserve">shattering </w:t>
      </w:r>
      <w:r w:rsidR="00815FC8" w:rsidRPr="001005B7">
        <w:t>instrument</w:t>
      </w:r>
      <w:r w:rsidR="00E92C75" w:rsidRPr="001005B7">
        <w:t xml:space="preserve"> </w:t>
      </w:r>
      <w:r w:rsidR="00B26AC5" w:rsidRPr="001005B7">
        <w:t>in his han</w:t>
      </w:r>
      <w:r w:rsidR="0054617A" w:rsidRPr="001005B7">
        <w:t xml:space="preserve">d, </w:t>
      </w:r>
      <w:r w:rsidR="00903B28" w:rsidRPr="001005B7">
        <w:t>and</w:t>
      </w:r>
      <w:r w:rsidR="0054617A" w:rsidRPr="001005B7">
        <w:t xml:space="preserve"> </w:t>
      </w:r>
      <w:r w:rsidR="005E56D4" w:rsidRPr="001005B7">
        <w:t>one</w:t>
      </w:r>
      <w:r w:rsidR="00903B28" w:rsidRPr="001005B7">
        <w:t xml:space="preserve"> individual</w:t>
      </w:r>
      <w:r w:rsidR="0054617A" w:rsidRPr="001005B7">
        <w:t xml:space="preserve"> among them</w:t>
      </w:r>
      <w:r w:rsidR="00B26AC5" w:rsidRPr="001005B7">
        <w:t xml:space="preserve"> </w:t>
      </w:r>
      <w:r w:rsidR="001D05EF" w:rsidRPr="001005B7">
        <w:t>clothed</w:t>
      </w:r>
      <w:r w:rsidR="00B06468" w:rsidRPr="001005B7">
        <w:t xml:space="preserve"> in linen</w:t>
      </w:r>
      <w:r w:rsidR="0060542C" w:rsidRPr="001005B7">
        <w:t xml:space="preserve">, </w:t>
      </w:r>
      <w:r w:rsidR="003F451F" w:rsidRPr="001005B7">
        <w:t>with</w:t>
      </w:r>
      <w:r w:rsidR="0060542C" w:rsidRPr="001005B7">
        <w:t xml:space="preserve"> a </w:t>
      </w:r>
      <w:r w:rsidR="008D15F9" w:rsidRPr="001005B7">
        <w:t>scribe</w:t>
      </w:r>
      <w:r w:rsidR="00A65417" w:rsidRPr="001005B7">
        <w:t>’s</w:t>
      </w:r>
      <w:r w:rsidR="0060542C" w:rsidRPr="001005B7">
        <w:t xml:space="preserve"> </w:t>
      </w:r>
      <w:r w:rsidR="00C77077">
        <w:t>equipme</w:t>
      </w:r>
      <w:r w:rsidR="00D13077">
        <w:t>nt</w:t>
      </w:r>
      <w:r w:rsidR="0060542C" w:rsidRPr="001005B7">
        <w:t xml:space="preserve"> </w:t>
      </w:r>
      <w:r w:rsidR="00F21F8D" w:rsidRPr="001005B7">
        <w:t>at</w:t>
      </w:r>
      <w:r w:rsidR="0060542C" w:rsidRPr="001005B7">
        <w:t xml:space="preserve"> his </w:t>
      </w:r>
      <w:r w:rsidR="00F21F8D" w:rsidRPr="001005B7">
        <w:t>wa</w:t>
      </w:r>
      <w:r w:rsidR="00666379" w:rsidRPr="001005B7">
        <w:t>i</w:t>
      </w:r>
      <w:r w:rsidR="00F21F8D" w:rsidRPr="001005B7">
        <w:t>st</w:t>
      </w:r>
      <w:r w:rsidR="0060542C" w:rsidRPr="001005B7">
        <w:t xml:space="preserve">. </w:t>
      </w:r>
      <w:r w:rsidR="00562023" w:rsidRPr="001005B7">
        <w:t xml:space="preserve">They came and stood next to the bronze altar. </w:t>
      </w:r>
    </w:p>
    <w:p w14:paraId="288C0FCC" w14:textId="1CF40877" w:rsidR="003979F3" w:rsidRPr="001005B7" w:rsidRDefault="0095779D" w:rsidP="00A004B7">
      <w:r w:rsidRPr="001005B7">
        <w:rPr>
          <w:vertAlign w:val="superscript"/>
        </w:rPr>
        <w:t>3</w:t>
      </w:r>
      <w:r w:rsidRPr="001005B7">
        <w:t xml:space="preserve">Now </w:t>
      </w:r>
      <w:r w:rsidR="00C4285C" w:rsidRPr="001005B7">
        <w:t xml:space="preserve">the </w:t>
      </w:r>
      <w:r w:rsidR="00180CEB" w:rsidRPr="001005B7">
        <w:t>magnificence</w:t>
      </w:r>
      <w:r w:rsidR="00C4285C" w:rsidRPr="001005B7">
        <w:t xml:space="preserve"> of Israel’s God </w:t>
      </w:r>
      <w:r w:rsidR="009A1F60" w:rsidRPr="001005B7">
        <w:t>had gone up</w:t>
      </w:r>
      <w:r w:rsidR="0037113F" w:rsidRPr="001005B7">
        <w:rPr>
          <w:rStyle w:val="FootnoteReference"/>
        </w:rPr>
        <w:footnoteReference w:id="247"/>
      </w:r>
      <w:r w:rsidR="009A1F60" w:rsidRPr="001005B7">
        <w:t xml:space="preserve"> from on the </w:t>
      </w:r>
      <w:r w:rsidR="000D19B2" w:rsidRPr="001005B7">
        <w:t>griffin</w:t>
      </w:r>
      <w:r w:rsidR="009A1F60" w:rsidRPr="001005B7">
        <w:t xml:space="preserve"> </w:t>
      </w:r>
      <w:r w:rsidR="00066600" w:rsidRPr="001005B7">
        <w:t>that it was on</w:t>
      </w:r>
      <w:r w:rsidR="00332FC1" w:rsidRPr="001005B7">
        <w:t>,</w:t>
      </w:r>
      <w:r w:rsidR="003C154E" w:rsidRPr="001005B7">
        <w:t xml:space="preserve"> to the </w:t>
      </w:r>
      <w:r w:rsidR="005426EA" w:rsidRPr="001005B7">
        <w:t xml:space="preserve">threshold </w:t>
      </w:r>
      <w:r w:rsidR="00EA2628" w:rsidRPr="001005B7">
        <w:t>of the house. He</w:t>
      </w:r>
      <w:r w:rsidR="00F10485" w:rsidRPr="001005B7">
        <w:t xml:space="preserve"> called </w:t>
      </w:r>
      <w:r w:rsidR="0058398C" w:rsidRPr="001005B7">
        <w:t xml:space="preserve">to </w:t>
      </w:r>
      <w:r w:rsidR="00F10485" w:rsidRPr="001005B7">
        <w:t xml:space="preserve">the </w:t>
      </w:r>
      <w:r w:rsidR="00AE74C2" w:rsidRPr="001005B7">
        <w:t>individual</w:t>
      </w:r>
      <w:r w:rsidR="00F10485" w:rsidRPr="001005B7">
        <w:t xml:space="preserve"> clothed in linen</w:t>
      </w:r>
      <w:r w:rsidR="00AE74C2" w:rsidRPr="001005B7">
        <w:t>,</w:t>
      </w:r>
      <w:r w:rsidR="00D50E88" w:rsidRPr="001005B7">
        <w:t xml:space="preserve"> </w:t>
      </w:r>
      <w:r w:rsidR="003F451F" w:rsidRPr="001005B7">
        <w:t>with</w:t>
      </w:r>
      <w:r w:rsidR="00D50E88" w:rsidRPr="001005B7">
        <w:t xml:space="preserve"> </w:t>
      </w:r>
      <w:r w:rsidR="0041560B" w:rsidRPr="001005B7">
        <w:t>a</w:t>
      </w:r>
      <w:r w:rsidR="00D50E88" w:rsidRPr="001005B7">
        <w:t xml:space="preserve"> </w:t>
      </w:r>
      <w:r w:rsidR="00887F00" w:rsidRPr="001005B7">
        <w:t>scribe</w:t>
      </w:r>
      <w:r w:rsidR="00F21F8D" w:rsidRPr="001005B7">
        <w:t>’s</w:t>
      </w:r>
      <w:r w:rsidR="009D4E9E" w:rsidRPr="001005B7">
        <w:t xml:space="preserve"> </w:t>
      </w:r>
      <w:r w:rsidR="00423757" w:rsidRPr="001005B7">
        <w:t>equipment</w:t>
      </w:r>
      <w:r w:rsidR="009D4E9E" w:rsidRPr="001005B7">
        <w:t xml:space="preserve"> </w:t>
      </w:r>
      <w:r w:rsidR="009F3644" w:rsidRPr="001005B7">
        <w:t>at</w:t>
      </w:r>
      <w:r w:rsidR="009D4E9E" w:rsidRPr="001005B7">
        <w:t xml:space="preserve"> his </w:t>
      </w:r>
      <w:r w:rsidR="009F3644" w:rsidRPr="001005B7">
        <w:t>wa</w:t>
      </w:r>
      <w:r w:rsidR="006A01C7" w:rsidRPr="001005B7">
        <w:t>i</w:t>
      </w:r>
      <w:r w:rsidR="009F3644" w:rsidRPr="001005B7">
        <w:t>st</w:t>
      </w:r>
      <w:r w:rsidR="001D05EF" w:rsidRPr="001005B7">
        <w:t>.</w:t>
      </w:r>
      <w:r w:rsidR="009D4E9E" w:rsidRPr="001005B7">
        <w:t xml:space="preserve"> </w:t>
      </w:r>
      <w:r w:rsidR="009D4E9E" w:rsidRPr="001005B7">
        <w:rPr>
          <w:vertAlign w:val="superscript"/>
        </w:rPr>
        <w:t>4</w:t>
      </w:r>
      <w:r w:rsidR="009D4E9E" w:rsidRPr="001005B7">
        <w:t>Yahweh</w:t>
      </w:r>
      <w:r w:rsidR="0020683F" w:rsidRPr="001005B7">
        <w:t xml:space="preserve"> said to him, Pass through</w:t>
      </w:r>
      <w:r w:rsidR="00A004B7" w:rsidRPr="001005B7">
        <w:t xml:space="preserve"> the middle of the city</w:t>
      </w:r>
      <w:r w:rsidR="00BE17FE" w:rsidRPr="001005B7">
        <w:t xml:space="preserve">, through the middle of Jerusalem, </w:t>
      </w:r>
      <w:r w:rsidR="00570892" w:rsidRPr="001005B7">
        <w:t xml:space="preserve">and put a mark on the foreheads of the </w:t>
      </w:r>
      <w:r w:rsidR="00624E6C" w:rsidRPr="001005B7">
        <w:t>individuals who are</w:t>
      </w:r>
      <w:r w:rsidR="009E3F03" w:rsidRPr="001005B7">
        <w:t xml:space="preserve"> </w:t>
      </w:r>
      <w:r w:rsidR="004545B0" w:rsidRPr="001005B7">
        <w:t xml:space="preserve">groaning </w:t>
      </w:r>
      <w:r w:rsidR="009E3F03" w:rsidRPr="001005B7">
        <w:t xml:space="preserve">and </w:t>
      </w:r>
      <w:r w:rsidR="004D68C7" w:rsidRPr="001005B7">
        <w:t>m</w:t>
      </w:r>
      <w:r w:rsidR="009E3F03" w:rsidRPr="001005B7">
        <w:t>oaning</w:t>
      </w:r>
      <w:r w:rsidR="009A23E6" w:rsidRPr="001005B7">
        <w:rPr>
          <w:rStyle w:val="FootnoteReference"/>
        </w:rPr>
        <w:footnoteReference w:id="248"/>
      </w:r>
      <w:r w:rsidR="004D68C7" w:rsidRPr="001005B7">
        <w:t xml:space="preserve"> </w:t>
      </w:r>
      <w:r w:rsidR="004E39A1" w:rsidRPr="001005B7">
        <w:t xml:space="preserve">over the outrages that are </w:t>
      </w:r>
      <w:r w:rsidR="004508FA" w:rsidRPr="001005B7">
        <w:t>perform</w:t>
      </w:r>
      <w:r w:rsidR="004E39A1" w:rsidRPr="001005B7">
        <w:t xml:space="preserve">ed </w:t>
      </w:r>
      <w:r w:rsidR="000038AB" w:rsidRPr="001005B7">
        <w:t>in the middle of it.</w:t>
      </w:r>
      <w:r w:rsidR="004508FA" w:rsidRPr="001005B7">
        <w:t xml:space="preserve"> </w:t>
      </w:r>
      <w:r w:rsidR="000D434C" w:rsidRPr="001005B7">
        <w:rPr>
          <w:vertAlign w:val="superscript"/>
        </w:rPr>
        <w:t>5</w:t>
      </w:r>
      <w:r w:rsidR="002E30A5" w:rsidRPr="001005B7">
        <w:t>But</w:t>
      </w:r>
      <w:r w:rsidR="00BB3877" w:rsidRPr="001005B7">
        <w:t xml:space="preserve"> to thes</w:t>
      </w:r>
      <w:r w:rsidR="002E30A5" w:rsidRPr="001005B7">
        <w:t>e</w:t>
      </w:r>
      <w:r w:rsidR="00BB3877" w:rsidRPr="001005B7">
        <w:t xml:space="preserve"> he</w:t>
      </w:r>
      <w:r w:rsidR="009E3F03" w:rsidRPr="001005B7">
        <w:t xml:space="preserve"> </w:t>
      </w:r>
      <w:r w:rsidR="00BB3877" w:rsidRPr="001005B7">
        <w:t>said</w:t>
      </w:r>
      <w:r w:rsidR="00A62AFB" w:rsidRPr="001005B7">
        <w:t xml:space="preserve"> in my ears, Pass through</w:t>
      </w:r>
      <w:r w:rsidR="006D5959" w:rsidRPr="001005B7">
        <w:t xml:space="preserve"> the city behind him, and strike down</w:t>
      </w:r>
      <w:r w:rsidR="003B2A4D" w:rsidRPr="001005B7">
        <w:t>. You</w:t>
      </w:r>
      <w:r w:rsidR="005608D1" w:rsidRPr="001005B7">
        <w:t>r</w:t>
      </w:r>
      <w:r w:rsidR="003B2A4D" w:rsidRPr="001005B7">
        <w:t xml:space="preserve"> eye is not to pity</w:t>
      </w:r>
      <w:r w:rsidR="009E3F03" w:rsidRPr="001005B7">
        <w:t xml:space="preserve"> </w:t>
      </w:r>
      <w:r w:rsidR="00EB57FD" w:rsidRPr="001005B7">
        <w:t xml:space="preserve">and you are not to </w:t>
      </w:r>
      <w:r w:rsidR="00181CE0" w:rsidRPr="001005B7">
        <w:t>show concern</w:t>
      </w:r>
      <w:r w:rsidR="00EB57FD" w:rsidRPr="001005B7">
        <w:t xml:space="preserve">. </w:t>
      </w:r>
      <w:r w:rsidR="00733137" w:rsidRPr="001005B7">
        <w:rPr>
          <w:vertAlign w:val="superscript"/>
        </w:rPr>
        <w:t>6</w:t>
      </w:r>
      <w:r w:rsidR="00733137" w:rsidRPr="001005B7">
        <w:t>Elder, youth and girl</w:t>
      </w:r>
      <w:r w:rsidR="00DC00F5" w:rsidRPr="001005B7">
        <w:t>, baby and women</w:t>
      </w:r>
      <w:r w:rsidR="00B50136">
        <w:t>,</w:t>
      </w:r>
      <w:r w:rsidR="002C30D3" w:rsidRPr="001005B7">
        <w:t xml:space="preserve"> you are to slay to de</w:t>
      </w:r>
      <w:r w:rsidR="00827762" w:rsidRPr="001005B7">
        <w:t>struction</w:t>
      </w:r>
      <w:r w:rsidR="0084473A" w:rsidRPr="001005B7">
        <w:t>. B</w:t>
      </w:r>
      <w:r w:rsidR="00D45ECE" w:rsidRPr="001005B7">
        <w:t xml:space="preserve">ut any individual </w:t>
      </w:r>
      <w:r w:rsidR="00BD455B" w:rsidRPr="001005B7">
        <w:t>on whom is the mark</w:t>
      </w:r>
      <w:r w:rsidR="002216DE" w:rsidRPr="001005B7">
        <w:t>, do not touch</w:t>
      </w:r>
      <w:r w:rsidR="0084473A" w:rsidRPr="001005B7">
        <w:t xml:space="preserve">. </w:t>
      </w:r>
      <w:r w:rsidR="00D001C6" w:rsidRPr="001005B7">
        <w:t>F</w:t>
      </w:r>
      <w:r w:rsidR="00CD3DAD" w:rsidRPr="001005B7">
        <w:t>rom my sanctuary you are to start.</w:t>
      </w:r>
      <w:r w:rsidR="004E7196" w:rsidRPr="001005B7">
        <w:t xml:space="preserve"> So they started with the individual elders who were in front of the house.</w:t>
      </w:r>
      <w:r w:rsidR="009C7A04" w:rsidRPr="001005B7">
        <w:t xml:space="preserve"> </w:t>
      </w:r>
      <w:r w:rsidR="009C7A04" w:rsidRPr="001005B7">
        <w:rPr>
          <w:vertAlign w:val="superscript"/>
        </w:rPr>
        <w:t>7</w:t>
      </w:r>
      <w:r w:rsidR="009C7A04" w:rsidRPr="001005B7">
        <w:t xml:space="preserve">He said to them, </w:t>
      </w:r>
      <w:r w:rsidR="00F9676C" w:rsidRPr="001005B7">
        <w:t>Defile the house</w:t>
      </w:r>
      <w:r w:rsidR="009C3B57" w:rsidRPr="001005B7">
        <w:t xml:space="preserve"> and fill its courtyards with</w:t>
      </w:r>
      <w:r w:rsidR="00C96E0E" w:rsidRPr="001005B7">
        <w:t xml:space="preserve"> the </w:t>
      </w:r>
      <w:r w:rsidR="00463FE8" w:rsidRPr="001005B7">
        <w:t>slain</w:t>
      </w:r>
      <w:r w:rsidR="003D60D4" w:rsidRPr="001005B7">
        <w:t>—g</w:t>
      </w:r>
      <w:r w:rsidR="00C96E0E" w:rsidRPr="001005B7">
        <w:t>o out.</w:t>
      </w:r>
      <w:r w:rsidR="003D60D4" w:rsidRPr="001005B7">
        <w:t xml:space="preserve"> </w:t>
      </w:r>
    </w:p>
    <w:p w14:paraId="37EFE7B5" w14:textId="4B60576D" w:rsidR="0084744B" w:rsidRPr="001005B7" w:rsidRDefault="003D60D4" w:rsidP="00A004B7">
      <w:r w:rsidRPr="001005B7">
        <w:t xml:space="preserve">They went out and struck down </w:t>
      </w:r>
      <w:r w:rsidR="0066233A" w:rsidRPr="001005B7">
        <w:t xml:space="preserve">in the city. </w:t>
      </w:r>
      <w:r w:rsidR="0066233A" w:rsidRPr="001005B7">
        <w:rPr>
          <w:vertAlign w:val="superscript"/>
        </w:rPr>
        <w:t>8</w:t>
      </w:r>
      <w:r w:rsidR="004612D8" w:rsidRPr="001005B7">
        <w:t>T</w:t>
      </w:r>
      <w:r w:rsidR="00617476" w:rsidRPr="001005B7">
        <w:t>hen</w:t>
      </w:r>
      <w:r w:rsidR="004612D8" w:rsidRPr="001005B7">
        <w:t>,</w:t>
      </w:r>
      <w:r w:rsidR="00617476" w:rsidRPr="001005B7">
        <w:t xml:space="preserve"> </w:t>
      </w:r>
      <w:r w:rsidR="003F3AE2" w:rsidRPr="001005B7">
        <w:t xml:space="preserve">while </w:t>
      </w:r>
      <w:r w:rsidR="00617476" w:rsidRPr="001005B7">
        <w:t>they were striking down</w:t>
      </w:r>
      <w:r w:rsidR="00BC2506" w:rsidRPr="001005B7">
        <w:t>,</w:t>
      </w:r>
      <w:r w:rsidR="002B3BF2" w:rsidRPr="001005B7">
        <w:t xml:space="preserve"> and I</w:t>
      </w:r>
      <w:r w:rsidR="00DD35FC" w:rsidRPr="001005B7">
        <w:t xml:space="preserve"> for my part </w:t>
      </w:r>
      <w:r w:rsidR="002B3BF2" w:rsidRPr="001005B7">
        <w:t>remained, I fell on my face and cried out</w:t>
      </w:r>
      <w:r w:rsidR="00B14CF2" w:rsidRPr="001005B7">
        <w:t xml:space="preserve">. I said, </w:t>
      </w:r>
      <w:proofErr w:type="spellStart"/>
      <w:r w:rsidR="00B14CF2" w:rsidRPr="001005B7">
        <w:t>A</w:t>
      </w:r>
      <w:r w:rsidR="00DD35FC" w:rsidRPr="001005B7">
        <w:t>a</w:t>
      </w:r>
      <w:r w:rsidR="00B14CF2" w:rsidRPr="001005B7">
        <w:t>gh</w:t>
      </w:r>
      <w:proofErr w:type="spellEnd"/>
      <w:r w:rsidR="00B14CF2" w:rsidRPr="001005B7">
        <w:t>, Lord Yahweh</w:t>
      </w:r>
      <w:r w:rsidR="00C06E05" w:rsidRPr="001005B7">
        <w:t xml:space="preserve">, </w:t>
      </w:r>
      <w:r w:rsidR="000C47FE" w:rsidRPr="001005B7">
        <w:t xml:space="preserve">are </w:t>
      </w:r>
      <w:r w:rsidR="00C06E05" w:rsidRPr="001005B7">
        <w:t>you destroying all that remains of Isr</w:t>
      </w:r>
      <w:r w:rsidR="00F4160B" w:rsidRPr="001005B7">
        <w:t>ael, in pouring out your fury on Jerusalem</w:t>
      </w:r>
      <w:r w:rsidR="000C47FE" w:rsidRPr="001005B7">
        <w:t xml:space="preserve">? </w:t>
      </w:r>
      <w:r w:rsidR="006856E5" w:rsidRPr="001005B7">
        <w:rPr>
          <w:vertAlign w:val="superscript"/>
        </w:rPr>
        <w:t>9</w:t>
      </w:r>
      <w:r w:rsidR="006856E5" w:rsidRPr="001005B7">
        <w:t xml:space="preserve">He said to me, The </w:t>
      </w:r>
      <w:r w:rsidR="007415E4" w:rsidRPr="001005B7">
        <w:t>w</w:t>
      </w:r>
      <w:r w:rsidR="006856E5" w:rsidRPr="001005B7">
        <w:t>aywardness</w:t>
      </w:r>
      <w:r w:rsidR="00DE0809">
        <w:t xml:space="preserve"> of the</w:t>
      </w:r>
      <w:r w:rsidR="006856E5" w:rsidRPr="001005B7">
        <w:t xml:space="preserve"> household</w:t>
      </w:r>
      <w:r w:rsidR="00271802" w:rsidRPr="001005B7">
        <w:t xml:space="preserve"> of Israel and Judah is very, very great</w:t>
      </w:r>
      <w:r w:rsidR="00D462C8" w:rsidRPr="001005B7">
        <w:t>.</w:t>
      </w:r>
      <w:r w:rsidR="00DD35FC" w:rsidRPr="001005B7">
        <w:t xml:space="preserve"> </w:t>
      </w:r>
      <w:r w:rsidR="00D462C8" w:rsidRPr="001005B7">
        <w:t>T</w:t>
      </w:r>
      <w:r w:rsidR="008119A6" w:rsidRPr="001005B7">
        <w:t>he country is full of bloodshed</w:t>
      </w:r>
      <w:r w:rsidR="00DD35FC" w:rsidRPr="001005B7">
        <w:t>,</w:t>
      </w:r>
      <w:r w:rsidR="008119A6" w:rsidRPr="001005B7">
        <w:t xml:space="preserve"> </w:t>
      </w:r>
      <w:r w:rsidR="001D52C9">
        <w:t xml:space="preserve">with </w:t>
      </w:r>
      <w:r w:rsidR="00DD35FC" w:rsidRPr="001005B7">
        <w:t>t</w:t>
      </w:r>
      <w:r w:rsidR="00BA0DB3" w:rsidRPr="001005B7">
        <w:t xml:space="preserve">he city full of </w:t>
      </w:r>
      <w:r w:rsidR="00DD63F7" w:rsidRPr="001005B7">
        <w:t>perversion</w:t>
      </w:r>
      <w:r w:rsidR="00BA0DB3" w:rsidRPr="001005B7">
        <w:t xml:space="preserve">. </w:t>
      </w:r>
      <w:r w:rsidR="000354A6" w:rsidRPr="001005B7">
        <w:t xml:space="preserve">Because they have said, </w:t>
      </w:r>
      <w:r w:rsidR="00FA18FD" w:rsidRPr="001005B7">
        <w:t>Yahweh has abandoned the country</w:t>
      </w:r>
      <w:r w:rsidR="00D7350F">
        <w:t>.</w:t>
      </w:r>
      <w:r w:rsidR="00FA18FD" w:rsidRPr="001005B7">
        <w:t xml:space="preserve"> Yahweh is not seeing. </w:t>
      </w:r>
      <w:r w:rsidR="005D1F32" w:rsidRPr="001005B7">
        <w:rPr>
          <w:vertAlign w:val="superscript"/>
        </w:rPr>
        <w:t>10</w:t>
      </w:r>
      <w:r w:rsidR="005D1F32" w:rsidRPr="001005B7">
        <w:t xml:space="preserve">So I for my part—my eye will </w:t>
      </w:r>
      <w:r w:rsidR="000145C5" w:rsidRPr="001005B7">
        <w:t xml:space="preserve">not pity and I will not </w:t>
      </w:r>
      <w:r w:rsidR="00181CE0" w:rsidRPr="001005B7">
        <w:t>show concern</w:t>
      </w:r>
      <w:r w:rsidR="000145C5" w:rsidRPr="001005B7">
        <w:t xml:space="preserve">. I </w:t>
      </w:r>
      <w:r w:rsidR="00B52082" w:rsidRPr="001005B7">
        <w:t>am</w:t>
      </w:r>
      <w:r w:rsidR="000145C5" w:rsidRPr="001005B7">
        <w:t xml:space="preserve"> put</w:t>
      </w:r>
      <w:r w:rsidR="00B52082" w:rsidRPr="001005B7">
        <w:t>ting</w:t>
      </w:r>
      <w:r w:rsidR="000145C5" w:rsidRPr="001005B7">
        <w:t xml:space="preserve"> their </w:t>
      </w:r>
      <w:r w:rsidR="00386C3B" w:rsidRPr="001005B7">
        <w:t>path</w:t>
      </w:r>
      <w:r w:rsidR="000145C5" w:rsidRPr="001005B7">
        <w:t xml:space="preserve"> </w:t>
      </w:r>
      <w:r w:rsidR="0029424C" w:rsidRPr="001005B7">
        <w:t>against</w:t>
      </w:r>
      <w:r w:rsidR="000145C5" w:rsidRPr="001005B7">
        <w:t xml:space="preserve"> their head</w:t>
      </w:r>
      <w:r w:rsidR="0042699D" w:rsidRPr="001005B7">
        <w:t>.</w:t>
      </w:r>
      <w:r w:rsidR="0029424C" w:rsidRPr="001005B7">
        <w:rPr>
          <w:rStyle w:val="FootnoteReference"/>
        </w:rPr>
        <w:footnoteReference w:id="249"/>
      </w:r>
      <w:r w:rsidR="0042699D" w:rsidRPr="001005B7">
        <w:t xml:space="preserve"> </w:t>
      </w:r>
    </w:p>
    <w:p w14:paraId="0EB733CE" w14:textId="5921CFCF" w:rsidR="00A004B7" w:rsidRPr="001005B7" w:rsidRDefault="0042699D" w:rsidP="00A004B7">
      <w:r w:rsidRPr="001005B7">
        <w:rPr>
          <w:vertAlign w:val="superscript"/>
        </w:rPr>
        <w:t>11</w:t>
      </w:r>
      <w:r w:rsidRPr="001005B7">
        <w:t xml:space="preserve">And there, </w:t>
      </w:r>
      <w:r w:rsidR="004E391A" w:rsidRPr="001005B7">
        <w:t xml:space="preserve">the individual clothed in linen who had the </w:t>
      </w:r>
      <w:r w:rsidR="00423757" w:rsidRPr="001005B7">
        <w:t>equipment at</w:t>
      </w:r>
      <w:r w:rsidR="004E391A" w:rsidRPr="001005B7">
        <w:t xml:space="preserve"> his </w:t>
      </w:r>
      <w:r w:rsidR="00423757" w:rsidRPr="001005B7">
        <w:t>waist</w:t>
      </w:r>
      <w:r w:rsidR="00EE26EF" w:rsidRPr="001005B7">
        <w:t xml:space="preserve"> brought back word</w:t>
      </w:r>
      <w:r w:rsidR="00AA0AEB" w:rsidRPr="001005B7">
        <w:t xml:space="preserve">: I have </w:t>
      </w:r>
      <w:r w:rsidR="00423757" w:rsidRPr="001005B7">
        <w:t>acted</w:t>
      </w:r>
      <w:r w:rsidR="00AA0AEB" w:rsidRPr="001005B7">
        <w:t xml:space="preserve"> in accordance with all </w:t>
      </w:r>
      <w:r w:rsidR="007539CB" w:rsidRPr="001005B7">
        <w:t>that you commanded me.</w:t>
      </w:r>
      <w:r w:rsidR="006856E5" w:rsidRPr="001005B7">
        <w:t xml:space="preserve"> </w:t>
      </w:r>
    </w:p>
    <w:p w14:paraId="6816723D" w14:textId="37E57DF6" w:rsidR="00FA7752" w:rsidRPr="001005B7" w:rsidRDefault="00FA7752" w:rsidP="00493833">
      <w:pPr>
        <w:pStyle w:val="Heading3"/>
      </w:pPr>
      <w:r w:rsidRPr="001005B7">
        <w:t>Textual Notes</w:t>
      </w:r>
    </w:p>
    <w:p w14:paraId="293433B0" w14:textId="3029B3DD" w:rsidR="00967C3A" w:rsidRPr="001005B7" w:rsidRDefault="007334C2" w:rsidP="00967C3A">
      <w:pPr>
        <w:ind w:firstLine="0"/>
        <w:rPr>
          <w:lang w:eastAsia="en-GB"/>
        </w:rPr>
      </w:pPr>
      <w:r w:rsidRPr="001005B7">
        <w:rPr>
          <w:sz w:val="18"/>
          <w:szCs w:val="18"/>
        </w:rPr>
        <w:t>MT</w:t>
      </w:r>
      <w:r w:rsidR="00967C3A" w:rsidRPr="001005B7">
        <w:rPr>
          <w:lang w:eastAsia="en-GB"/>
        </w:rPr>
        <w:t xml:space="preserve"> has </w:t>
      </w:r>
      <w:r w:rsidR="0090495C" w:rsidRPr="001005B7">
        <w:rPr>
          <w:lang w:eastAsia="en-GB"/>
        </w:rPr>
        <w:t>marker</w:t>
      </w:r>
      <w:r w:rsidR="00720125" w:rsidRPr="001005B7">
        <w:rPr>
          <w:lang w:eastAsia="en-GB"/>
        </w:rPr>
        <w:t>s</w:t>
      </w:r>
      <w:r w:rsidR="004C2172" w:rsidRPr="001005B7">
        <w:rPr>
          <w:lang w:eastAsia="en-GB"/>
        </w:rPr>
        <w:t xml:space="preserve">* </w:t>
      </w:r>
      <w:r w:rsidR="00967C3A" w:rsidRPr="001005B7">
        <w:rPr>
          <w:lang w:eastAsia="en-GB"/>
        </w:rPr>
        <w:t>after 9:</w:t>
      </w:r>
      <w:r w:rsidR="00BB065C" w:rsidRPr="001005B7">
        <w:rPr>
          <w:lang w:eastAsia="en-GB"/>
        </w:rPr>
        <w:t>3</w:t>
      </w:r>
      <w:r w:rsidR="00F90E74">
        <w:rPr>
          <w:lang w:eastAsia="en-GB"/>
        </w:rPr>
        <w:t xml:space="preserve"> and</w:t>
      </w:r>
      <w:r w:rsidR="00BB065C" w:rsidRPr="001005B7">
        <w:rPr>
          <w:lang w:eastAsia="en-GB"/>
        </w:rPr>
        <w:t xml:space="preserve"> 11</w:t>
      </w:r>
      <w:r w:rsidR="002C103B" w:rsidRPr="001005B7">
        <w:rPr>
          <w:lang w:eastAsia="en-GB"/>
        </w:rPr>
        <w:t>.</w:t>
      </w:r>
    </w:p>
    <w:p w14:paraId="38B7A42B" w14:textId="77777777" w:rsidR="00967C3A" w:rsidRPr="001005B7" w:rsidRDefault="00967C3A" w:rsidP="00967C3A">
      <w:pPr>
        <w:ind w:firstLine="0"/>
        <w:rPr>
          <w:lang w:eastAsia="en-GB"/>
        </w:rPr>
      </w:pPr>
    </w:p>
    <w:p w14:paraId="40D9E70F" w14:textId="1D079457" w:rsidR="00356B98" w:rsidRPr="001005B7" w:rsidRDefault="00390169" w:rsidP="00390169">
      <w:pPr>
        <w:ind w:firstLine="0"/>
      </w:pPr>
      <w:r w:rsidRPr="001005B7">
        <w:rPr>
          <w:b/>
          <w:bCs/>
        </w:rPr>
        <w:t>9:1</w:t>
      </w:r>
      <w:r w:rsidR="00596ABF" w:rsidRPr="001005B7">
        <w:t xml:space="preserve"> </w:t>
      </w:r>
      <w:r w:rsidR="00986E21" w:rsidRPr="001005B7">
        <w:t>For</w:t>
      </w:r>
      <w:r w:rsidR="00D645B9" w:rsidRPr="001005B7">
        <w:t xml:space="preserve"> </w:t>
      </w:r>
      <w:r w:rsidR="00835458" w:rsidRPr="001005B7">
        <w:rPr>
          <w:rFonts w:cstheme="minorHAnsi"/>
          <w:rtl/>
          <w:lang w:bidi="he-IL"/>
        </w:rPr>
        <w:t>פ</w:t>
      </w:r>
      <w:r w:rsidR="005D438F" w:rsidRPr="001005B7">
        <w:rPr>
          <w:rFonts w:cstheme="minorHAnsi"/>
          <w:rtl/>
          <w:lang w:bidi="he-IL"/>
        </w:rPr>
        <w:t>ּ</w:t>
      </w:r>
      <w:r w:rsidR="00835458" w:rsidRPr="001005B7">
        <w:rPr>
          <w:rFonts w:cstheme="minorHAnsi"/>
          <w:rtl/>
          <w:lang w:bidi="he-IL"/>
        </w:rPr>
        <w:t>ְכֻדּ</w:t>
      </w:r>
      <w:r w:rsidR="00385C1F" w:rsidRPr="001005B7">
        <w:rPr>
          <w:rFonts w:cstheme="minorHAnsi"/>
          <w:rtl/>
          <w:lang w:bidi="he-IL"/>
        </w:rPr>
        <w:t>וֹת</w:t>
      </w:r>
      <w:r w:rsidR="00385C1F" w:rsidRPr="001005B7">
        <w:t xml:space="preserve">, </w:t>
      </w:r>
      <w:r w:rsidR="00784549" w:rsidRPr="001005B7">
        <w:rPr>
          <w:sz w:val="18"/>
          <w:szCs w:val="18"/>
        </w:rPr>
        <w:t>LXX</w:t>
      </w:r>
      <w:r w:rsidR="00784549" w:rsidRPr="001005B7">
        <w:t xml:space="preserve"> </w:t>
      </w:r>
      <w:r w:rsidR="00596ABF" w:rsidRPr="001005B7">
        <w:t>has</w:t>
      </w:r>
      <w:r w:rsidR="00CB1DD5" w:rsidRPr="001005B7">
        <w:t xml:space="preserve"> </w:t>
      </w:r>
      <w:proofErr w:type="spellStart"/>
      <w:r w:rsidR="00245CEA" w:rsidRPr="001005B7">
        <w:rPr>
          <w:rFonts w:cstheme="minorHAnsi"/>
        </w:rPr>
        <w:t>ἐ</w:t>
      </w:r>
      <w:r w:rsidR="00D95D4D" w:rsidRPr="001005B7">
        <w:rPr>
          <w:rFonts w:cstheme="minorHAnsi"/>
        </w:rPr>
        <w:t>κδ</w:t>
      </w:r>
      <w:r w:rsidR="00564693" w:rsidRPr="001005B7">
        <w:rPr>
          <w:rFonts w:cstheme="minorHAnsi"/>
        </w:rPr>
        <w:t>ίκησις</w:t>
      </w:r>
      <w:proofErr w:type="spellEnd"/>
      <w:r w:rsidR="00596ABF" w:rsidRPr="001005B7">
        <w:rPr>
          <w:i/>
          <w:iCs/>
        </w:rPr>
        <w:t xml:space="preserve"> </w:t>
      </w:r>
      <w:r w:rsidR="00596ABF" w:rsidRPr="001005B7">
        <w:t xml:space="preserve">(“vengeance”; cf. </w:t>
      </w:r>
      <w:r w:rsidR="00CD4B58" w:rsidRPr="001005B7">
        <w:rPr>
          <w:sz w:val="18"/>
          <w:szCs w:val="18"/>
        </w:rPr>
        <w:t>NIV</w:t>
      </w:r>
      <w:r w:rsidR="007C3872" w:rsidRPr="001005B7">
        <w:t>)</w:t>
      </w:r>
      <w:r w:rsidR="00986E21" w:rsidRPr="001005B7">
        <w:t>. Sym</w:t>
      </w:r>
      <w:r w:rsidR="00B0683A" w:rsidRPr="001005B7">
        <w:t>.</w:t>
      </w:r>
      <w:r w:rsidR="00986E21" w:rsidRPr="001005B7">
        <w:t xml:space="preserve"> has</w:t>
      </w:r>
      <w:r w:rsidR="002641DA" w:rsidRPr="001005B7">
        <w:t xml:space="preserve"> </w:t>
      </w:r>
      <w:r w:rsidR="00C27136" w:rsidRPr="001005B7">
        <w:rPr>
          <w:rFonts w:cstheme="minorHAnsi"/>
        </w:rPr>
        <w:t>ἐπ</w:t>
      </w:r>
      <w:proofErr w:type="spellStart"/>
      <w:r w:rsidR="00C27136" w:rsidRPr="001005B7">
        <w:rPr>
          <w:rFonts w:cstheme="minorHAnsi"/>
        </w:rPr>
        <w:t>ισκο</w:t>
      </w:r>
      <w:proofErr w:type="spellEnd"/>
      <w:r w:rsidR="00C27136" w:rsidRPr="001005B7">
        <w:rPr>
          <w:rFonts w:cstheme="minorHAnsi"/>
        </w:rPr>
        <w:t>πή</w:t>
      </w:r>
      <w:r w:rsidR="00986E21" w:rsidRPr="001005B7">
        <w:t>;</w:t>
      </w:r>
      <w:r w:rsidR="00596ABF" w:rsidRPr="001005B7">
        <w:t xml:space="preserve"> see the </w:t>
      </w:r>
      <w:r w:rsidR="00232335" w:rsidRPr="001005B7">
        <w:t xml:space="preserve">verse-by-verse </w:t>
      </w:r>
      <w:r w:rsidR="00596ABF" w:rsidRPr="001005B7">
        <w:t xml:space="preserve">commentary. </w:t>
      </w:r>
      <w:r w:rsidR="00693FA6" w:rsidRPr="001005B7">
        <w:rPr>
          <w:sz w:val="18"/>
          <w:szCs w:val="18"/>
        </w:rPr>
        <w:t>LXX</w:t>
      </w:r>
      <w:r w:rsidR="00EE27F3" w:rsidRPr="001005B7">
        <w:t>’</w:t>
      </w:r>
      <w:r w:rsidR="00596ABF" w:rsidRPr="001005B7">
        <w:t>s</w:t>
      </w:r>
      <w:r w:rsidR="00986E21" w:rsidRPr="001005B7">
        <w:t xml:space="preserve"> translation</w:t>
      </w:r>
      <w:r w:rsidR="00596ABF" w:rsidRPr="001005B7">
        <w:t xml:space="preserve"> makes for a first link with the exodus story (see Exod 7:4; 12:12.)</w:t>
      </w:r>
      <w:r w:rsidR="00D91C41" w:rsidRPr="001005B7">
        <w:t>.</w:t>
      </w:r>
      <w:r w:rsidR="00596ABF" w:rsidRPr="001005B7">
        <w:rPr>
          <w:rStyle w:val="FootnoteReference"/>
        </w:rPr>
        <w:footnoteReference w:id="250"/>
      </w:r>
      <w:r w:rsidR="00D91C41" w:rsidRPr="001005B7">
        <w:t xml:space="preserve"> </w:t>
      </w:r>
      <w:r w:rsidR="00690BA5" w:rsidRPr="001005B7">
        <w:t xml:space="preserve">With </w:t>
      </w:r>
      <w:r w:rsidR="00693FA6" w:rsidRPr="001005B7">
        <w:rPr>
          <w:sz w:val="18"/>
          <w:szCs w:val="18"/>
        </w:rPr>
        <w:t>LXX</w:t>
      </w:r>
      <w:r w:rsidR="00EC58AE" w:rsidRPr="001005B7">
        <w:t xml:space="preserve"> and</w:t>
      </w:r>
      <w:r w:rsidR="00690BA5" w:rsidRPr="001005B7">
        <w:t xml:space="preserve"> </w:t>
      </w:r>
      <w:r w:rsidR="00573675" w:rsidRPr="001005B7">
        <w:t xml:space="preserve">Vg. </w:t>
      </w:r>
      <w:r w:rsidR="000D0AE6" w:rsidRPr="001005B7">
        <w:t>I</w:t>
      </w:r>
      <w:r w:rsidR="00EE37F0" w:rsidRPr="001005B7">
        <w:t xml:space="preserve"> </w:t>
      </w:r>
      <w:r w:rsidR="002F4B9C" w:rsidRPr="001005B7">
        <w:t xml:space="preserve">read </w:t>
      </w:r>
      <w:r w:rsidR="00EA1BB6" w:rsidRPr="001005B7">
        <w:t>the verb of which th</w:t>
      </w:r>
      <w:r w:rsidR="00913C88" w:rsidRPr="001005B7">
        <w:t xml:space="preserve">at noun </w:t>
      </w:r>
      <w:r w:rsidR="009D1BC3" w:rsidRPr="001005B7">
        <w:t>i</w:t>
      </w:r>
      <w:r w:rsidR="00913C88" w:rsidRPr="001005B7">
        <w:t xml:space="preserve">s the subject </w:t>
      </w:r>
      <w:r w:rsidR="005817FC" w:rsidRPr="001005B7">
        <w:t>as</w:t>
      </w:r>
      <w:r w:rsidR="00913C88" w:rsidRPr="001005B7">
        <w:t xml:space="preserve"> </w:t>
      </w:r>
      <w:r w:rsidR="0086197F" w:rsidRPr="001005B7">
        <w:rPr>
          <w:rFonts w:cstheme="minorHAnsi"/>
          <w:rtl/>
          <w:lang w:bidi="he-IL"/>
        </w:rPr>
        <w:t>ק</w:t>
      </w:r>
      <w:r w:rsidR="00865D9D" w:rsidRPr="001005B7">
        <w:rPr>
          <w:rFonts w:cstheme="minorHAnsi"/>
          <w:rtl/>
          <w:lang w:bidi="he-IL"/>
        </w:rPr>
        <w:t>ָ</w:t>
      </w:r>
      <w:r w:rsidR="00C4063A" w:rsidRPr="001005B7">
        <w:rPr>
          <w:rFonts w:cstheme="minorHAnsi"/>
          <w:rtl/>
          <w:lang w:bidi="he-IL"/>
        </w:rPr>
        <w:t>ֽ</w:t>
      </w:r>
      <w:r w:rsidR="00865D9D" w:rsidRPr="001005B7">
        <w:rPr>
          <w:rFonts w:cstheme="minorHAnsi"/>
          <w:rtl/>
          <w:lang w:bidi="he-IL"/>
        </w:rPr>
        <w:t>רְב</w:t>
      </w:r>
      <w:r w:rsidR="00147264" w:rsidRPr="001005B7">
        <w:rPr>
          <w:rFonts w:cstheme="minorHAnsi"/>
          <w:rtl/>
          <w:lang w:bidi="he-IL"/>
        </w:rPr>
        <w:t>וּ</w:t>
      </w:r>
      <w:r w:rsidR="00BE1A7E" w:rsidRPr="001005B7">
        <w:t xml:space="preserve"> (in </w:t>
      </w:r>
      <w:r w:rsidR="007334C2" w:rsidRPr="001005B7">
        <w:rPr>
          <w:sz w:val="18"/>
          <w:szCs w:val="18"/>
        </w:rPr>
        <w:t>MT</w:t>
      </w:r>
      <w:r w:rsidR="00BE1A7E" w:rsidRPr="001005B7">
        <w:t xml:space="preserve"> it lacks the metheg)</w:t>
      </w:r>
      <w:r w:rsidR="00976F86" w:rsidRPr="001005B7">
        <w:t xml:space="preserve"> </w:t>
      </w:r>
      <w:r w:rsidR="004507E4" w:rsidRPr="001005B7">
        <w:rPr>
          <w:rFonts w:cstheme="minorHAnsi"/>
        </w:rPr>
        <w:t xml:space="preserve">and </w:t>
      </w:r>
      <w:r w:rsidR="00976F86" w:rsidRPr="001005B7">
        <w:rPr>
          <w:rFonts w:cstheme="minorHAnsi"/>
        </w:rPr>
        <w:t xml:space="preserve">I </w:t>
      </w:r>
      <w:r w:rsidR="004507E4" w:rsidRPr="001005B7">
        <w:rPr>
          <w:rFonts w:cstheme="minorHAnsi"/>
        </w:rPr>
        <w:t>parse</w:t>
      </w:r>
      <w:r w:rsidR="002F4B9C" w:rsidRPr="001005B7">
        <w:rPr>
          <w:rFonts w:cstheme="minorHAnsi"/>
        </w:rPr>
        <w:t xml:space="preserve"> it</w:t>
      </w:r>
      <w:r w:rsidR="004507E4" w:rsidRPr="001005B7">
        <w:rPr>
          <w:rFonts w:cstheme="minorHAnsi"/>
        </w:rPr>
        <w:t xml:space="preserve"> as </w:t>
      </w:r>
      <w:proofErr w:type="spellStart"/>
      <w:r w:rsidR="008E799B" w:rsidRPr="001005B7">
        <w:rPr>
          <w:rFonts w:cstheme="minorHAnsi"/>
        </w:rPr>
        <w:t>qal</w:t>
      </w:r>
      <w:proofErr w:type="spellEnd"/>
      <w:r w:rsidR="008E799B" w:rsidRPr="001005B7">
        <w:rPr>
          <w:rFonts w:cstheme="minorHAnsi"/>
        </w:rPr>
        <w:t xml:space="preserve"> </w:t>
      </w:r>
      <w:r w:rsidR="004507E4" w:rsidRPr="00B77665">
        <w:rPr>
          <w:rFonts w:cstheme="minorHAnsi"/>
          <w:i/>
          <w:iCs/>
        </w:rPr>
        <w:t>qatal</w:t>
      </w:r>
      <w:r w:rsidR="00EB54FC">
        <w:rPr>
          <w:rFonts w:cstheme="minorHAnsi"/>
        </w:rPr>
        <w:t>*</w:t>
      </w:r>
      <w:r w:rsidR="004B62B1" w:rsidRPr="001005B7">
        <w:rPr>
          <w:rFonts w:cstheme="minorHAnsi"/>
        </w:rPr>
        <w:t xml:space="preserve"> </w:t>
      </w:r>
      <w:r w:rsidR="00101CB7" w:rsidRPr="001005B7">
        <w:rPr>
          <w:rFonts w:cstheme="minorHAnsi"/>
        </w:rPr>
        <w:t>(</w:t>
      </w:r>
      <w:r w:rsidR="002A6A5C" w:rsidRPr="001005B7">
        <w:rPr>
          <w:rFonts w:cstheme="minorHAnsi"/>
        </w:rPr>
        <w:t>so, e.g.,</w:t>
      </w:r>
      <w:r w:rsidR="00101CB7" w:rsidRPr="001005B7">
        <w:rPr>
          <w:rFonts w:cstheme="minorHAnsi"/>
        </w:rPr>
        <w:t xml:space="preserve"> Deut 31:14</w:t>
      </w:r>
      <w:r w:rsidR="004B3B97" w:rsidRPr="001005B7">
        <w:rPr>
          <w:rFonts w:cstheme="minorHAnsi"/>
        </w:rPr>
        <w:t xml:space="preserve">; </w:t>
      </w:r>
      <w:r w:rsidR="002B32E2" w:rsidRPr="001005B7">
        <w:t>1 Kgs</w:t>
      </w:r>
      <w:r w:rsidR="004B3B97" w:rsidRPr="001005B7">
        <w:rPr>
          <w:rFonts w:cstheme="minorHAnsi"/>
        </w:rPr>
        <w:t xml:space="preserve"> 2:7</w:t>
      </w:r>
      <w:r w:rsidR="00101CB7" w:rsidRPr="001005B7">
        <w:rPr>
          <w:rFonts w:cstheme="minorHAnsi"/>
        </w:rPr>
        <w:t xml:space="preserve">) </w:t>
      </w:r>
      <w:r w:rsidR="00695788" w:rsidRPr="001005B7">
        <w:rPr>
          <w:rFonts w:cstheme="minorHAnsi"/>
        </w:rPr>
        <w:t>rather than</w:t>
      </w:r>
      <w:r w:rsidR="004B62B1" w:rsidRPr="001005B7">
        <w:rPr>
          <w:rFonts w:cstheme="minorHAnsi"/>
        </w:rPr>
        <w:t xml:space="preserve"> </w:t>
      </w:r>
      <w:r w:rsidR="00B94EA5" w:rsidRPr="001005B7">
        <w:rPr>
          <w:rFonts w:cstheme="minorHAnsi"/>
        </w:rPr>
        <w:t xml:space="preserve">piel </w:t>
      </w:r>
      <w:proofErr w:type="spellStart"/>
      <w:r w:rsidR="00B94EA5" w:rsidRPr="001005B7">
        <w:rPr>
          <w:rFonts w:cstheme="minorHAnsi"/>
        </w:rPr>
        <w:t>imp</w:t>
      </w:r>
      <w:r w:rsidR="00DD3774" w:rsidRPr="001005B7">
        <w:rPr>
          <w:rFonts w:cstheme="minorHAnsi"/>
        </w:rPr>
        <w:t>v</w:t>
      </w:r>
      <w:proofErr w:type="spellEnd"/>
      <w:r w:rsidR="00DD3774" w:rsidRPr="001005B7">
        <w:rPr>
          <w:rFonts w:cstheme="minorHAnsi"/>
        </w:rPr>
        <w:t>.</w:t>
      </w:r>
      <w:r w:rsidR="00B94EA5" w:rsidRPr="001005B7">
        <w:rPr>
          <w:rFonts w:cstheme="minorHAnsi"/>
        </w:rPr>
        <w:t xml:space="preserve"> (cf. Isa 41:21)</w:t>
      </w:r>
      <w:r w:rsidR="009776E7" w:rsidRPr="001005B7">
        <w:rPr>
          <w:rFonts w:cstheme="minorHAnsi"/>
        </w:rPr>
        <w:t>,</w:t>
      </w:r>
      <w:r w:rsidR="00695788" w:rsidRPr="001005B7">
        <w:rPr>
          <w:rFonts w:cstheme="minorHAnsi"/>
        </w:rPr>
        <w:t xml:space="preserve"> or reading it as</w:t>
      </w:r>
      <w:r w:rsidR="006B44DB" w:rsidRPr="001005B7">
        <w:rPr>
          <w:rFonts w:cstheme="minorHAnsi"/>
        </w:rPr>
        <w:t xml:space="preserve"> </w:t>
      </w:r>
      <w:r w:rsidR="000E1474" w:rsidRPr="001005B7">
        <w:rPr>
          <w:rFonts w:cstheme="minorHAnsi"/>
          <w:rtl/>
          <w:lang w:bidi="he-IL"/>
        </w:rPr>
        <w:t>קָרְבּוּ</w:t>
      </w:r>
      <w:r w:rsidR="004A673D" w:rsidRPr="001005B7">
        <w:rPr>
          <w:rFonts w:cstheme="minorHAnsi"/>
        </w:rPr>
        <w:t xml:space="preserve"> </w:t>
      </w:r>
      <w:r w:rsidR="005C7905" w:rsidRPr="001005B7">
        <w:rPr>
          <w:rFonts w:cstheme="minorHAnsi"/>
        </w:rPr>
        <w:t xml:space="preserve">(lacking the </w:t>
      </w:r>
      <w:proofErr w:type="spellStart"/>
      <w:r w:rsidR="005C7905" w:rsidRPr="001005B7">
        <w:rPr>
          <w:rFonts w:cstheme="minorHAnsi"/>
        </w:rPr>
        <w:t>daghes</w:t>
      </w:r>
      <w:proofErr w:type="spellEnd"/>
      <w:r w:rsidR="005C7905" w:rsidRPr="001005B7">
        <w:rPr>
          <w:rFonts w:cstheme="minorHAnsi"/>
        </w:rPr>
        <w:t xml:space="preserve">) </w:t>
      </w:r>
      <w:r w:rsidR="006E1D9E" w:rsidRPr="001005B7">
        <w:rPr>
          <w:rFonts w:cstheme="minorHAnsi"/>
        </w:rPr>
        <w:t>and pars</w:t>
      </w:r>
      <w:r w:rsidR="000E2A9C" w:rsidRPr="001005B7">
        <w:rPr>
          <w:rFonts w:cstheme="minorHAnsi"/>
        </w:rPr>
        <w:t>ing</w:t>
      </w:r>
      <w:r w:rsidR="006E1D9E" w:rsidRPr="001005B7">
        <w:rPr>
          <w:rFonts w:cstheme="minorHAnsi"/>
        </w:rPr>
        <w:t xml:space="preserve"> </w:t>
      </w:r>
      <w:r w:rsidR="000E2A9C" w:rsidRPr="001005B7">
        <w:rPr>
          <w:rFonts w:cstheme="minorHAnsi"/>
        </w:rPr>
        <w:t xml:space="preserve">it </w:t>
      </w:r>
      <w:r w:rsidR="006E1D9E" w:rsidRPr="001005B7">
        <w:rPr>
          <w:rFonts w:cstheme="minorHAnsi"/>
        </w:rPr>
        <w:t xml:space="preserve">as </w:t>
      </w:r>
      <w:r w:rsidR="000E2A9C" w:rsidRPr="001005B7">
        <w:rPr>
          <w:rFonts w:cstheme="minorHAnsi"/>
        </w:rPr>
        <w:t xml:space="preserve">an anomalous </w:t>
      </w:r>
      <w:proofErr w:type="spellStart"/>
      <w:r w:rsidR="007A2938" w:rsidRPr="001005B7">
        <w:rPr>
          <w:rFonts w:cstheme="minorHAnsi"/>
        </w:rPr>
        <w:t>qal</w:t>
      </w:r>
      <w:proofErr w:type="spellEnd"/>
      <w:r w:rsidR="007A2938" w:rsidRPr="001005B7">
        <w:rPr>
          <w:rFonts w:cstheme="minorHAnsi"/>
        </w:rPr>
        <w:t xml:space="preserve"> </w:t>
      </w:r>
      <w:proofErr w:type="spellStart"/>
      <w:r w:rsidR="007A2938" w:rsidRPr="001005B7">
        <w:rPr>
          <w:rFonts w:cstheme="minorHAnsi"/>
        </w:rPr>
        <w:t>imp</w:t>
      </w:r>
      <w:r w:rsidR="00DD3774" w:rsidRPr="001005B7">
        <w:rPr>
          <w:rFonts w:cstheme="minorHAnsi"/>
        </w:rPr>
        <w:t>v</w:t>
      </w:r>
      <w:proofErr w:type="spellEnd"/>
      <w:r w:rsidR="00DD3774" w:rsidRPr="001005B7">
        <w:rPr>
          <w:rFonts w:cstheme="minorHAnsi"/>
        </w:rPr>
        <w:t>.</w:t>
      </w:r>
      <w:r w:rsidR="00AE74C2" w:rsidRPr="001005B7">
        <w:rPr>
          <w:rFonts w:cstheme="minorHAnsi"/>
        </w:rPr>
        <w:t xml:space="preserve"> that</w:t>
      </w:r>
      <w:r w:rsidR="00C71AFA" w:rsidRPr="001005B7">
        <w:rPr>
          <w:rFonts w:cstheme="minorHAnsi"/>
        </w:rPr>
        <w:t xml:space="preserve"> </w:t>
      </w:r>
      <w:r w:rsidR="00AE74C2" w:rsidRPr="001005B7">
        <w:rPr>
          <w:rFonts w:cstheme="minorHAnsi"/>
        </w:rPr>
        <w:t xml:space="preserve">thus </w:t>
      </w:r>
      <w:r w:rsidR="00C71AFA" w:rsidRPr="001005B7">
        <w:rPr>
          <w:rFonts w:cstheme="minorHAnsi"/>
        </w:rPr>
        <w:t>contrast</w:t>
      </w:r>
      <w:r w:rsidR="00AE74C2" w:rsidRPr="001005B7">
        <w:rPr>
          <w:rFonts w:cstheme="minorHAnsi"/>
        </w:rPr>
        <w:t>s with</w:t>
      </w:r>
      <w:r w:rsidR="007A1439" w:rsidRPr="001005B7">
        <w:rPr>
          <w:rFonts w:cstheme="minorHAnsi"/>
        </w:rPr>
        <w:t xml:space="preserve"> the usual</w:t>
      </w:r>
      <w:r w:rsidR="0018663F" w:rsidRPr="001005B7">
        <w:rPr>
          <w:rFonts w:cstheme="minorHAnsi"/>
        </w:rPr>
        <w:t xml:space="preserve"> </w:t>
      </w:r>
      <w:r w:rsidR="005F5042" w:rsidRPr="001005B7">
        <w:rPr>
          <w:rFonts w:cstheme="minorHAnsi"/>
          <w:rtl/>
          <w:lang w:bidi="he-IL"/>
        </w:rPr>
        <w:t>קׅרְבּו</w:t>
      </w:r>
      <w:r w:rsidR="006B44DB" w:rsidRPr="001005B7">
        <w:rPr>
          <w:rFonts w:cstheme="minorHAnsi"/>
          <w:rtl/>
          <w:lang w:bidi="he-IL"/>
        </w:rPr>
        <w:t>ּ</w:t>
      </w:r>
      <w:r w:rsidR="00B33DEC" w:rsidRPr="001005B7">
        <w:rPr>
          <w:rFonts w:cstheme="minorHAnsi"/>
          <w:i/>
          <w:iCs/>
        </w:rPr>
        <w:t xml:space="preserve"> </w:t>
      </w:r>
      <w:r w:rsidR="00B33DEC" w:rsidRPr="001005B7">
        <w:rPr>
          <w:rFonts w:cstheme="minorHAnsi"/>
        </w:rPr>
        <w:t xml:space="preserve">(e.g., </w:t>
      </w:r>
      <w:r w:rsidR="00E843A9" w:rsidRPr="001005B7">
        <w:rPr>
          <w:rFonts w:cstheme="minorHAnsi"/>
        </w:rPr>
        <w:t>Exod 16:9</w:t>
      </w:r>
      <w:r w:rsidR="007A1439" w:rsidRPr="001005B7">
        <w:rPr>
          <w:rFonts w:cstheme="minorHAnsi"/>
        </w:rPr>
        <w:t>;</w:t>
      </w:r>
      <w:r w:rsidR="009B74D4" w:rsidRPr="001005B7">
        <w:rPr>
          <w:rFonts w:cstheme="minorHAnsi"/>
        </w:rPr>
        <w:t xml:space="preserve"> Lev 10:</w:t>
      </w:r>
      <w:r w:rsidR="00EC282D" w:rsidRPr="001005B7">
        <w:rPr>
          <w:rFonts w:cstheme="minorHAnsi"/>
        </w:rPr>
        <w:t>4</w:t>
      </w:r>
      <w:r w:rsidR="007A1439" w:rsidRPr="001005B7">
        <w:rPr>
          <w:rFonts w:cstheme="minorHAnsi"/>
        </w:rPr>
        <w:t>)</w:t>
      </w:r>
      <w:r w:rsidR="008114A8" w:rsidRPr="001005B7">
        <w:rPr>
          <w:rFonts w:cstheme="minorHAnsi"/>
        </w:rPr>
        <w:t xml:space="preserve"> (All</w:t>
      </w:r>
      <w:r w:rsidR="008114A8" w:rsidRPr="001005B7">
        <w:t>en</w:t>
      </w:r>
      <w:r w:rsidR="003E4AC1" w:rsidRPr="001005B7">
        <w:t>,</w:t>
      </w:r>
      <w:r w:rsidR="008114A8" w:rsidRPr="001005B7">
        <w:t xml:space="preserve"> 1:122)</w:t>
      </w:r>
      <w:r w:rsidR="007104D5" w:rsidRPr="001005B7">
        <w:t>.</w:t>
      </w:r>
    </w:p>
    <w:p w14:paraId="4335AF0D" w14:textId="66C03174" w:rsidR="00F71026" w:rsidRPr="001005B7" w:rsidRDefault="00804890" w:rsidP="00390169">
      <w:pPr>
        <w:ind w:firstLine="0"/>
      </w:pPr>
      <w:r w:rsidRPr="001005B7">
        <w:rPr>
          <w:b/>
          <w:bCs/>
        </w:rPr>
        <w:t xml:space="preserve">9:2 </w:t>
      </w:r>
      <w:r w:rsidRPr="001005B7">
        <w:t xml:space="preserve">For </w:t>
      </w:r>
      <w:r w:rsidR="0018240D" w:rsidRPr="001005B7">
        <w:rPr>
          <w:rFonts w:cstheme="minorHAnsi"/>
          <w:rtl/>
          <w:lang w:bidi="he-IL"/>
        </w:rPr>
        <w:t>ס</w:t>
      </w:r>
      <w:r w:rsidR="009C643E" w:rsidRPr="001005B7">
        <w:rPr>
          <w:rFonts w:cstheme="minorHAnsi"/>
          <w:rtl/>
          <w:lang w:bidi="he-IL"/>
        </w:rPr>
        <w:t>ֹפֵר</w:t>
      </w:r>
      <w:r w:rsidR="00416DFD" w:rsidRPr="001005B7">
        <w:t xml:space="preserve">, “scribe,” </w:t>
      </w:r>
      <w:r w:rsidR="00711BA2" w:rsidRPr="001005B7">
        <w:rPr>
          <w:sz w:val="18"/>
          <w:szCs w:val="18"/>
        </w:rPr>
        <w:t>LXX</w:t>
      </w:r>
      <w:r w:rsidR="00C23938" w:rsidRPr="001005B7">
        <w:t xml:space="preserve"> has “sapphire.”</w:t>
      </w:r>
    </w:p>
    <w:p w14:paraId="61BCFF53" w14:textId="22EA10D2" w:rsidR="004923A8" w:rsidRPr="001005B7" w:rsidRDefault="00390169" w:rsidP="00390169">
      <w:pPr>
        <w:ind w:firstLine="0"/>
      </w:pPr>
      <w:r w:rsidRPr="001005B7">
        <w:rPr>
          <w:b/>
          <w:bCs/>
        </w:rPr>
        <w:t xml:space="preserve">9:4 </w:t>
      </w:r>
      <w:r w:rsidR="00693FA6" w:rsidRPr="001005B7">
        <w:rPr>
          <w:sz w:val="18"/>
          <w:szCs w:val="18"/>
        </w:rPr>
        <w:t>LXX</w:t>
      </w:r>
      <w:r w:rsidR="004923A8" w:rsidRPr="001005B7">
        <w:t xml:space="preserve"> lacks </w:t>
      </w:r>
      <w:r w:rsidR="00F54CBD" w:rsidRPr="001005B7">
        <w:t>“</w:t>
      </w:r>
      <w:r w:rsidR="004923A8" w:rsidRPr="001005B7">
        <w:t>through the middle of the city.</w:t>
      </w:r>
      <w:r w:rsidR="00F54CBD" w:rsidRPr="001005B7">
        <w:t>”</w:t>
      </w:r>
    </w:p>
    <w:p w14:paraId="32461B5B" w14:textId="5804FFBE" w:rsidR="000C37D3" w:rsidRPr="001005B7" w:rsidRDefault="00390169" w:rsidP="00390169">
      <w:pPr>
        <w:ind w:firstLine="0"/>
      </w:pPr>
      <w:r w:rsidRPr="001005B7">
        <w:rPr>
          <w:b/>
          <w:bCs/>
        </w:rPr>
        <w:t>9:5</w:t>
      </w:r>
      <w:r w:rsidR="005608D1" w:rsidRPr="001005B7">
        <w:t xml:space="preserve"> </w:t>
      </w:r>
      <w:r w:rsidR="00593A7F" w:rsidRPr="001005B7">
        <w:t xml:space="preserve">K </w:t>
      </w:r>
      <w:r w:rsidR="00593A7F" w:rsidRPr="001005B7">
        <w:rPr>
          <w:rFonts w:cstheme="minorHAnsi"/>
          <w:rtl/>
          <w:lang w:bidi="he-IL"/>
        </w:rPr>
        <w:t>עַל</w:t>
      </w:r>
      <w:r w:rsidR="00593A7F" w:rsidRPr="001005B7">
        <w:t xml:space="preserve"> </w:t>
      </w:r>
      <w:r w:rsidR="00593A7F" w:rsidRPr="001005B7">
        <w:rPr>
          <w:rFonts w:cstheme="minorHAnsi"/>
        </w:rPr>
        <w:t xml:space="preserve">(“upon”) is a slip for </w:t>
      </w:r>
      <w:r w:rsidR="00593A7F" w:rsidRPr="001005B7">
        <w:rPr>
          <w:rFonts w:cstheme="minorHAnsi"/>
          <w:rtl/>
          <w:lang w:bidi="he-IL"/>
        </w:rPr>
        <w:t>אַל</w:t>
      </w:r>
      <w:r w:rsidR="00593A7F" w:rsidRPr="001005B7">
        <w:rPr>
          <w:rFonts w:cstheme="minorHAnsi"/>
        </w:rPr>
        <w:t>, “not.” Then f</w:t>
      </w:r>
      <w:r w:rsidR="00922400" w:rsidRPr="001005B7">
        <w:t xml:space="preserve">or </w:t>
      </w:r>
      <w:r w:rsidR="0082755D" w:rsidRPr="001005B7">
        <w:t xml:space="preserve">Q sg. </w:t>
      </w:r>
      <w:r w:rsidR="008368F1" w:rsidRPr="001005B7">
        <w:rPr>
          <w:rFonts w:cstheme="minorHAnsi"/>
          <w:rtl/>
          <w:lang w:bidi="he-IL"/>
        </w:rPr>
        <w:t>עֵינְכ</w:t>
      </w:r>
      <w:r w:rsidR="00037038" w:rsidRPr="001005B7">
        <w:rPr>
          <w:rFonts w:cstheme="minorHAnsi"/>
          <w:rtl/>
          <w:lang w:bidi="he-IL"/>
        </w:rPr>
        <w:t>ֶם</w:t>
      </w:r>
      <w:r w:rsidR="00037038" w:rsidRPr="001005B7">
        <w:t xml:space="preserve">, </w:t>
      </w:r>
      <w:r w:rsidR="005608D1" w:rsidRPr="001005B7">
        <w:t xml:space="preserve">K has </w:t>
      </w:r>
      <w:r w:rsidR="00037038" w:rsidRPr="001005B7">
        <w:t xml:space="preserve">pl. </w:t>
      </w:r>
      <w:r w:rsidR="00037038" w:rsidRPr="001005B7">
        <w:rPr>
          <w:rFonts w:cstheme="minorHAnsi"/>
          <w:rtl/>
          <w:lang w:bidi="he-IL"/>
        </w:rPr>
        <w:t>עיניכם</w:t>
      </w:r>
      <w:r w:rsidR="007C3872" w:rsidRPr="001005B7">
        <w:t>.</w:t>
      </w:r>
    </w:p>
    <w:p w14:paraId="020A80A2" w14:textId="71C57DE2" w:rsidR="004A16DD" w:rsidRPr="001005B7" w:rsidRDefault="00914BD6" w:rsidP="00390169">
      <w:pPr>
        <w:ind w:firstLine="0"/>
      </w:pPr>
      <w:r w:rsidRPr="001005B7">
        <w:rPr>
          <w:b/>
          <w:bCs/>
        </w:rPr>
        <w:t>9:6</w:t>
      </w:r>
      <w:r w:rsidR="008F4797" w:rsidRPr="001005B7">
        <w:rPr>
          <w:b/>
          <w:bCs/>
        </w:rPr>
        <w:t>b</w:t>
      </w:r>
      <w:r w:rsidRPr="001005B7">
        <w:t xml:space="preserve"> </w:t>
      </w:r>
      <w:r w:rsidR="00711BA2" w:rsidRPr="001005B7">
        <w:rPr>
          <w:sz w:val="18"/>
          <w:szCs w:val="18"/>
        </w:rPr>
        <w:t>LXX</w:t>
      </w:r>
      <w:r w:rsidRPr="001005B7">
        <w:t xml:space="preserve"> lacks the specification that they were</w:t>
      </w:r>
      <w:r w:rsidR="00A44B9D" w:rsidRPr="001005B7">
        <w:t xml:space="preserve"> the</w:t>
      </w:r>
      <w:r w:rsidRPr="001005B7">
        <w:t xml:space="preserve"> “elders.”</w:t>
      </w:r>
    </w:p>
    <w:p w14:paraId="76D39F31" w14:textId="4BE8F8EB" w:rsidR="00586E01" w:rsidRPr="001005B7" w:rsidRDefault="00390169" w:rsidP="00390169">
      <w:pPr>
        <w:ind w:firstLine="0"/>
      </w:pPr>
      <w:r w:rsidRPr="001005B7">
        <w:rPr>
          <w:b/>
          <w:bCs/>
        </w:rPr>
        <w:t>9:7</w:t>
      </w:r>
      <w:r w:rsidR="0081385A" w:rsidRPr="001005B7">
        <w:t xml:space="preserve"> </w:t>
      </w:r>
      <w:r w:rsidR="00693FA6" w:rsidRPr="001005B7">
        <w:rPr>
          <w:sz w:val="18"/>
          <w:szCs w:val="18"/>
        </w:rPr>
        <w:t>LXX</w:t>
      </w:r>
      <w:r w:rsidR="0081385A" w:rsidRPr="001005B7">
        <w:t xml:space="preserve"> </w:t>
      </w:r>
      <w:r w:rsidR="002F2036" w:rsidRPr="001005B7">
        <w:t xml:space="preserve">has a shorter and varying form of </w:t>
      </w:r>
      <w:r w:rsidR="003D021F" w:rsidRPr="001005B7">
        <w:t>9:</w:t>
      </w:r>
      <w:r w:rsidR="002F2036" w:rsidRPr="001005B7">
        <w:t>7.</w:t>
      </w:r>
    </w:p>
    <w:p w14:paraId="04ABBDD2" w14:textId="69A6ED9C" w:rsidR="00293006" w:rsidRPr="001005B7" w:rsidRDefault="00390169" w:rsidP="00390169">
      <w:pPr>
        <w:ind w:firstLine="0"/>
      </w:pPr>
      <w:r w:rsidRPr="001005B7">
        <w:rPr>
          <w:b/>
          <w:bCs/>
        </w:rPr>
        <w:t>9:8</w:t>
      </w:r>
      <w:r w:rsidR="00163BC0" w:rsidRPr="001005B7">
        <w:t xml:space="preserve"> </w:t>
      </w:r>
      <w:r w:rsidR="00693FA6" w:rsidRPr="001005B7">
        <w:rPr>
          <w:sz w:val="18"/>
          <w:szCs w:val="18"/>
        </w:rPr>
        <w:t>LXX</w:t>
      </w:r>
      <w:r w:rsidR="00163BC0" w:rsidRPr="001005B7">
        <w:t xml:space="preserve"> lacks </w:t>
      </w:r>
      <w:r w:rsidR="00FD00BE" w:rsidRPr="001005B7">
        <w:t>“</w:t>
      </w:r>
      <w:r w:rsidR="00163BC0" w:rsidRPr="001005B7">
        <w:t>and</w:t>
      </w:r>
      <w:r w:rsidR="00163BC0" w:rsidRPr="001005B7">
        <w:rPr>
          <w:i/>
          <w:iCs/>
        </w:rPr>
        <w:t xml:space="preserve"> </w:t>
      </w:r>
      <w:r w:rsidR="00FD00BE" w:rsidRPr="001005B7">
        <w:t>I</w:t>
      </w:r>
      <w:r w:rsidR="00163BC0" w:rsidRPr="001005B7">
        <w:rPr>
          <w:i/>
          <w:iCs/>
        </w:rPr>
        <w:t xml:space="preserve"> </w:t>
      </w:r>
      <w:r w:rsidR="00163BC0" w:rsidRPr="001005B7">
        <w:t>myself</w:t>
      </w:r>
      <w:r w:rsidR="00163BC0" w:rsidRPr="001005B7">
        <w:rPr>
          <w:i/>
          <w:iCs/>
        </w:rPr>
        <w:t xml:space="preserve"> </w:t>
      </w:r>
      <w:r w:rsidR="00163BC0" w:rsidRPr="001005B7">
        <w:t>remained</w:t>
      </w:r>
      <w:r w:rsidR="005F4BC8" w:rsidRPr="001005B7">
        <w:t>,</w:t>
      </w:r>
      <w:r w:rsidR="00FD00BE" w:rsidRPr="001005B7">
        <w:t>”</w:t>
      </w:r>
      <w:r w:rsidR="005F4BC8" w:rsidRPr="001005B7">
        <w:t xml:space="preserve"> </w:t>
      </w:r>
      <w:r w:rsidR="00E51473" w:rsidRPr="001005B7">
        <w:rPr>
          <w:rFonts w:cstheme="minorHAnsi"/>
          <w:rtl/>
          <w:lang w:bidi="he-IL"/>
        </w:rPr>
        <w:t>וֽנ</w:t>
      </w:r>
      <w:r w:rsidR="002355D0" w:rsidRPr="001005B7">
        <w:rPr>
          <w:rFonts w:cstheme="minorHAnsi"/>
          <w:rtl/>
          <w:lang w:bidi="he-IL"/>
        </w:rPr>
        <w:t>ֵאשׁ</w:t>
      </w:r>
      <w:r w:rsidR="00E740F2" w:rsidRPr="001005B7">
        <w:rPr>
          <w:rFonts w:cstheme="minorHAnsi"/>
          <w:rtl/>
          <w:lang w:bidi="he-IL"/>
        </w:rPr>
        <w:t>ֲאַר</w:t>
      </w:r>
      <w:r w:rsidR="00F71132" w:rsidRPr="001005B7">
        <w:t>,</w:t>
      </w:r>
      <w:r w:rsidR="00B42110" w:rsidRPr="001005B7">
        <w:t xml:space="preserve"> a composite form from the niphal and the </w:t>
      </w:r>
      <w:r w:rsidR="00B42110" w:rsidRPr="001005B7">
        <w:rPr>
          <w:i/>
          <w:iCs/>
        </w:rPr>
        <w:t>waw</w:t>
      </w:r>
      <w:r w:rsidR="00B42110" w:rsidRPr="001005B7">
        <w:t>-consecutive</w:t>
      </w:r>
      <w:r w:rsidR="0096178F" w:rsidRPr="001005B7">
        <w:t xml:space="preserve"> (Rashi</w:t>
      </w:r>
      <w:r w:rsidR="007A17D1" w:rsidRPr="001005B7">
        <w:t>,</w:t>
      </w:r>
      <w:r w:rsidR="0096178F" w:rsidRPr="001005B7">
        <w:t xml:space="preserve"> in MG).</w:t>
      </w:r>
    </w:p>
    <w:p w14:paraId="1C00838B" w14:textId="58F05F91" w:rsidR="00CE004A" w:rsidRPr="001005B7" w:rsidRDefault="00390169" w:rsidP="00390169">
      <w:pPr>
        <w:ind w:firstLine="0"/>
      </w:pPr>
      <w:r w:rsidRPr="001005B7">
        <w:rPr>
          <w:b/>
          <w:bCs/>
        </w:rPr>
        <w:t>9:9</w:t>
      </w:r>
      <w:r w:rsidR="00442BB6" w:rsidRPr="001005B7">
        <w:t xml:space="preserve"> </w:t>
      </w:r>
      <w:r w:rsidR="00304598" w:rsidRPr="001005B7">
        <w:t xml:space="preserve">For </w:t>
      </w:r>
      <w:r w:rsidR="00526F92" w:rsidRPr="001005B7">
        <w:rPr>
          <w:rFonts w:cstheme="minorHAnsi"/>
          <w:rtl/>
          <w:lang w:bidi="he-IL"/>
        </w:rPr>
        <w:t>דׇּמִ</w:t>
      </w:r>
      <w:r w:rsidR="002E0641" w:rsidRPr="001005B7">
        <w:rPr>
          <w:rFonts w:cstheme="minorHAnsi"/>
          <w:rtl/>
          <w:lang w:bidi="he-IL"/>
        </w:rPr>
        <w:t>ים</w:t>
      </w:r>
      <w:r w:rsidR="002E0641" w:rsidRPr="001005B7">
        <w:t xml:space="preserve">, “bloodshed,” </w:t>
      </w:r>
      <w:r w:rsidR="00AE2DF4" w:rsidRPr="001005B7">
        <w:rPr>
          <w:sz w:val="18"/>
          <w:szCs w:val="18"/>
        </w:rPr>
        <w:t>LXX</w:t>
      </w:r>
      <w:r w:rsidR="00442BB6" w:rsidRPr="001005B7">
        <w:t xml:space="preserve"> has </w:t>
      </w:r>
      <w:r w:rsidR="008A380B" w:rsidRPr="001005B7">
        <w:t>“full of many people</w:t>
      </w:r>
      <w:r w:rsidR="006F07C8" w:rsidRPr="001005B7">
        <w:t xml:space="preserve">” </w:t>
      </w:r>
      <w:r w:rsidR="00C83DAC" w:rsidRPr="001005B7">
        <w:t>(see the textual note on 7:23)</w:t>
      </w:r>
      <w:r w:rsidR="006F42F3" w:rsidRPr="001005B7">
        <w:t>.</w:t>
      </w:r>
      <w:r w:rsidR="00753620" w:rsidRPr="001005B7">
        <w:t xml:space="preserve"> It then renders </w:t>
      </w:r>
      <w:r w:rsidR="0066343A" w:rsidRPr="001005B7">
        <w:t>the hapax</w:t>
      </w:r>
      <w:r w:rsidR="002F4FD1">
        <w:t>*</w:t>
      </w:r>
      <w:r w:rsidR="0066343A" w:rsidRPr="001005B7">
        <w:t xml:space="preserve"> </w:t>
      </w:r>
      <w:r w:rsidR="0066343A" w:rsidRPr="001005B7">
        <w:rPr>
          <w:rFonts w:cstheme="minorHAnsi"/>
          <w:rtl/>
          <w:lang w:bidi="he-IL"/>
        </w:rPr>
        <w:t>מֻטָּה</w:t>
      </w:r>
      <w:r w:rsidR="006F42F3" w:rsidRPr="001005B7">
        <w:t xml:space="preserve"> </w:t>
      </w:r>
      <w:r w:rsidR="0066343A" w:rsidRPr="001005B7">
        <w:t xml:space="preserve">(see the </w:t>
      </w:r>
      <w:r w:rsidR="00232335" w:rsidRPr="001005B7">
        <w:t xml:space="preserve">verse-by-verse </w:t>
      </w:r>
      <w:r w:rsidR="0066343A" w:rsidRPr="001005B7">
        <w:t>commentary)</w:t>
      </w:r>
      <w:r w:rsidR="006F42F3" w:rsidRPr="001005B7">
        <w:t xml:space="preserve"> “</w:t>
      </w:r>
      <w:r w:rsidR="0066343A" w:rsidRPr="001005B7">
        <w:t xml:space="preserve">injustice and </w:t>
      </w:r>
      <w:r w:rsidR="00D56119" w:rsidRPr="001005B7">
        <w:t>defilement</w:t>
      </w:r>
      <w:r w:rsidR="00651E04" w:rsidRPr="001005B7">
        <w:t>.”</w:t>
      </w:r>
    </w:p>
    <w:p w14:paraId="08602A54" w14:textId="012983C9" w:rsidR="00F80FCD" w:rsidRPr="001005B7" w:rsidRDefault="00390169" w:rsidP="00971C34">
      <w:pPr>
        <w:ind w:firstLine="0"/>
      </w:pPr>
      <w:r w:rsidRPr="001005B7">
        <w:rPr>
          <w:b/>
          <w:bCs/>
        </w:rPr>
        <w:t>9:11</w:t>
      </w:r>
      <w:r w:rsidR="0052782B" w:rsidRPr="001005B7">
        <w:t xml:space="preserve"> K</w:t>
      </w:r>
      <w:r w:rsidR="00F03538" w:rsidRPr="001005B7">
        <w:t xml:space="preserve">, </w:t>
      </w:r>
      <w:r w:rsidR="00AE2DF4" w:rsidRPr="001005B7">
        <w:rPr>
          <w:sz w:val="18"/>
          <w:szCs w:val="18"/>
        </w:rPr>
        <w:t>LX</w:t>
      </w:r>
      <w:r w:rsidR="001D3FD4" w:rsidRPr="001005B7">
        <w:rPr>
          <w:sz w:val="18"/>
          <w:szCs w:val="18"/>
        </w:rPr>
        <w:t>X,</w:t>
      </w:r>
      <w:r w:rsidR="00F03538" w:rsidRPr="001005B7">
        <w:t xml:space="preserve"> </w:t>
      </w:r>
      <w:r w:rsidR="00573675" w:rsidRPr="001005B7">
        <w:t xml:space="preserve">Vg. </w:t>
      </w:r>
      <w:r w:rsidR="00726B53" w:rsidRPr="001005B7">
        <w:t xml:space="preserve">lack </w:t>
      </w:r>
      <w:r w:rsidR="004465BE" w:rsidRPr="001005B7">
        <w:t>“</w:t>
      </w:r>
      <w:r w:rsidR="00726B53" w:rsidRPr="001005B7">
        <w:t>all.</w:t>
      </w:r>
      <w:r w:rsidR="004465BE" w:rsidRPr="001005B7">
        <w:t>”</w:t>
      </w:r>
    </w:p>
    <w:p w14:paraId="78D2D030" w14:textId="68D1CB2F" w:rsidR="00494CD4" w:rsidRPr="001005B7" w:rsidRDefault="00494CD4" w:rsidP="00493833">
      <w:pPr>
        <w:pStyle w:val="Heading3"/>
      </w:pPr>
      <w:r w:rsidRPr="001005B7">
        <w:t>Verse-by-Verse Commentary</w:t>
      </w:r>
    </w:p>
    <w:p w14:paraId="3DD1FAE0" w14:textId="6309B193" w:rsidR="005A2B6D" w:rsidRPr="001005B7" w:rsidRDefault="008B5B44" w:rsidP="005A2B6D">
      <w:pPr>
        <w:rPr>
          <w:rFonts w:cstheme="minorHAnsi"/>
        </w:rPr>
      </w:pPr>
      <w:r w:rsidRPr="001005B7">
        <w:rPr>
          <w:b/>
          <w:bCs/>
        </w:rPr>
        <w:t>9:</w:t>
      </w:r>
      <w:r w:rsidR="00327338" w:rsidRPr="001005B7">
        <w:rPr>
          <w:b/>
          <w:bCs/>
        </w:rPr>
        <w:t xml:space="preserve">1 </w:t>
      </w:r>
      <w:r w:rsidR="00266D25" w:rsidRPr="001005B7">
        <w:t xml:space="preserve">An exposure and critique like that in Ezek 8 has </w:t>
      </w:r>
      <w:r w:rsidR="009203D6" w:rsidRPr="001005B7">
        <w:t xml:space="preserve">to lead into Yahweh declaring the intention to act against </w:t>
      </w:r>
      <w:r w:rsidR="008E12B7" w:rsidRPr="001005B7">
        <w:t>the guilty</w:t>
      </w:r>
      <w:r w:rsidR="0095201E" w:rsidRPr="001005B7">
        <w:t>. T</w:t>
      </w:r>
      <w:r w:rsidR="008E12B7" w:rsidRPr="001005B7">
        <w:t>h</w:t>
      </w:r>
      <w:r w:rsidR="00832246">
        <w:t>is</w:t>
      </w:r>
      <w:r w:rsidR="008E12B7" w:rsidRPr="001005B7">
        <w:t xml:space="preserve"> is how p</w:t>
      </w:r>
      <w:r w:rsidR="001B0972" w:rsidRPr="001005B7">
        <w:t>r</w:t>
      </w:r>
      <w:r w:rsidR="008E12B7" w:rsidRPr="001005B7">
        <w:t xml:space="preserve">ophecy works. So </w:t>
      </w:r>
      <w:r w:rsidR="00274AC7" w:rsidRPr="001005B7">
        <w:t>Ezekiel</w:t>
      </w:r>
      <w:r w:rsidR="00274AC7" w:rsidRPr="001005B7">
        <w:rPr>
          <w:b/>
          <w:bCs/>
        </w:rPr>
        <w:t xml:space="preserve"> </w:t>
      </w:r>
      <w:r w:rsidR="00274AC7" w:rsidRPr="001005B7">
        <w:t>c</w:t>
      </w:r>
      <w:r w:rsidR="005B4E70" w:rsidRPr="001005B7">
        <w:t>arr</w:t>
      </w:r>
      <w:r w:rsidR="003B6F63" w:rsidRPr="001005B7">
        <w:t>i</w:t>
      </w:r>
      <w:r w:rsidR="00274AC7" w:rsidRPr="001005B7">
        <w:t>es</w:t>
      </w:r>
      <w:r w:rsidR="003B6F63" w:rsidRPr="001005B7">
        <w:t xml:space="preserve"> </w:t>
      </w:r>
      <w:r w:rsidR="00274AC7" w:rsidRPr="001005B7">
        <w:t xml:space="preserve">straight </w:t>
      </w:r>
      <w:r w:rsidR="003B6F63" w:rsidRPr="001005B7">
        <w:t xml:space="preserve">on </w:t>
      </w:r>
      <w:r w:rsidR="00963327" w:rsidRPr="001005B7">
        <w:t xml:space="preserve">from </w:t>
      </w:r>
      <w:r w:rsidR="00FE3602" w:rsidRPr="001005B7">
        <w:t>8:17</w:t>
      </w:r>
      <w:r w:rsidR="00F46900" w:rsidRPr="001005B7">
        <w:t>–</w:t>
      </w:r>
      <w:r w:rsidR="00FE3602" w:rsidRPr="001005B7">
        <w:t>18</w:t>
      </w:r>
      <w:r w:rsidR="005B4E70" w:rsidRPr="001005B7">
        <w:t>,</w:t>
      </w:r>
      <w:r w:rsidR="00FE3602" w:rsidRPr="001005B7">
        <w:t xml:space="preserve"> re</w:t>
      </w:r>
      <w:r w:rsidR="000D6800" w:rsidRPr="001005B7">
        <w:t>lat</w:t>
      </w:r>
      <w:r w:rsidR="00274AC7" w:rsidRPr="001005B7">
        <w:t>ing</w:t>
      </w:r>
      <w:r w:rsidR="00DF6C5B" w:rsidRPr="001005B7">
        <w:t xml:space="preserve"> Yahweh’s words to him</w:t>
      </w:r>
      <w:r w:rsidR="00D20218" w:rsidRPr="001005B7">
        <w:t xml:space="preserve"> </w:t>
      </w:r>
      <w:r w:rsidR="006C1E1E" w:rsidRPr="001005B7">
        <w:t>and describ</w:t>
      </w:r>
      <w:r w:rsidR="00831250" w:rsidRPr="001005B7">
        <w:t>ing</w:t>
      </w:r>
      <w:r w:rsidR="006C1E1E" w:rsidRPr="001005B7">
        <w:t xml:space="preserve"> </w:t>
      </w:r>
      <w:r w:rsidR="00FC4EC6" w:rsidRPr="001005B7">
        <w:t>scenes from his vision</w:t>
      </w:r>
      <w:r w:rsidR="00DF6C5B" w:rsidRPr="001005B7">
        <w:t xml:space="preserve">, </w:t>
      </w:r>
      <w:r w:rsidR="00831250" w:rsidRPr="001005B7">
        <w:t>though</w:t>
      </w:r>
      <w:r w:rsidR="00374575" w:rsidRPr="001005B7">
        <w:t xml:space="preserve"> </w:t>
      </w:r>
      <w:r w:rsidR="00D274D6" w:rsidRPr="001005B7">
        <w:t>his reports</w:t>
      </w:r>
      <w:r w:rsidR="00FC5CD2" w:rsidRPr="001005B7">
        <w:t xml:space="preserve"> </w:t>
      </w:r>
      <w:r w:rsidR="00291600" w:rsidRPr="001005B7">
        <w:t>make the transition</w:t>
      </w:r>
      <w:r w:rsidR="00F62D77" w:rsidRPr="001005B7">
        <w:t xml:space="preserve"> from one </w:t>
      </w:r>
      <w:r w:rsidR="004D51DD" w:rsidRPr="001005B7">
        <w:t xml:space="preserve">scene </w:t>
      </w:r>
      <w:r w:rsidR="00F62D77" w:rsidRPr="001005B7">
        <w:t xml:space="preserve">to the next </w:t>
      </w:r>
      <w:r w:rsidR="00291600" w:rsidRPr="001005B7">
        <w:t>in a jumpy way</w:t>
      </w:r>
      <w:r w:rsidR="00237576" w:rsidRPr="001005B7">
        <w:t xml:space="preserve">. </w:t>
      </w:r>
      <w:r w:rsidR="00337278" w:rsidRPr="001005B7">
        <w:t>A</w:t>
      </w:r>
      <w:r w:rsidR="001226D4" w:rsidRPr="001005B7">
        <w:t>nd a</w:t>
      </w:r>
      <w:r w:rsidR="00337278" w:rsidRPr="001005B7">
        <w:t xml:space="preserve">s </w:t>
      </w:r>
      <w:r w:rsidR="004A5E3A" w:rsidRPr="001005B7">
        <w:t>he</w:t>
      </w:r>
      <w:r w:rsidR="00337278" w:rsidRPr="001005B7">
        <w:t xml:space="preserve"> had </w:t>
      </w:r>
      <w:r w:rsidR="00D25D5A" w:rsidRPr="001005B7">
        <w:t xml:space="preserve">introduced </w:t>
      </w:r>
      <w:r w:rsidR="00384260" w:rsidRPr="001005B7">
        <w:t xml:space="preserve">without further explanation </w:t>
      </w:r>
      <w:r w:rsidR="00D25D5A" w:rsidRPr="001005B7">
        <w:t>reference</w:t>
      </w:r>
      <w:r w:rsidR="009B05EB" w:rsidRPr="001005B7">
        <w:t>s in the earlier scenes</w:t>
      </w:r>
      <w:r w:rsidR="00D25D5A" w:rsidRPr="001005B7">
        <w:t xml:space="preserve"> to </w:t>
      </w:r>
      <w:r w:rsidR="00C83C11" w:rsidRPr="001005B7">
        <w:t xml:space="preserve">the inner gateway, the statue there, </w:t>
      </w:r>
      <w:r w:rsidR="0075375C" w:rsidRPr="001005B7">
        <w:t xml:space="preserve">and </w:t>
      </w:r>
      <w:r w:rsidR="004D51DD" w:rsidRPr="001005B7">
        <w:t>other features</w:t>
      </w:r>
      <w:r w:rsidR="0075375C" w:rsidRPr="001005B7">
        <w:t xml:space="preserve">, so </w:t>
      </w:r>
      <w:r w:rsidR="00CF3196" w:rsidRPr="001005B7">
        <w:t>now he</w:t>
      </w:r>
      <w:r w:rsidR="00545D1D" w:rsidRPr="001005B7">
        <w:t>—or rather Yahweh—</w:t>
      </w:r>
      <w:r w:rsidR="009213CD" w:rsidRPr="001005B7">
        <w:t>i</w:t>
      </w:r>
      <w:r w:rsidR="00CF3196" w:rsidRPr="001005B7">
        <w:t xml:space="preserve">ntroduces reference to the </w:t>
      </w:r>
      <w:r w:rsidR="0063787E" w:rsidRPr="001005B7">
        <w:t xml:space="preserve">city’s </w:t>
      </w:r>
      <w:r w:rsidR="00520131" w:rsidRPr="001005B7">
        <w:t>“</w:t>
      </w:r>
      <w:r w:rsidR="0063787E" w:rsidRPr="001005B7">
        <w:t>charges,</w:t>
      </w:r>
      <w:r w:rsidR="00520131" w:rsidRPr="001005B7">
        <w:t>”</w:t>
      </w:r>
      <w:r w:rsidR="002E4811" w:rsidRPr="001005B7">
        <w:t xml:space="preserve"> and </w:t>
      </w:r>
      <w:r w:rsidR="005874BE" w:rsidRPr="001005B7">
        <w:t xml:space="preserve">in a moment </w:t>
      </w:r>
      <w:r w:rsidR="002E4811" w:rsidRPr="001005B7">
        <w:t>he will</w:t>
      </w:r>
      <w:r w:rsidR="005874BE" w:rsidRPr="001005B7">
        <w:t xml:space="preserve"> allude</w:t>
      </w:r>
      <w:r w:rsidR="0063787E" w:rsidRPr="001005B7">
        <w:t xml:space="preserve"> </w:t>
      </w:r>
      <w:r w:rsidR="00305B7C" w:rsidRPr="001005B7">
        <w:t xml:space="preserve">to </w:t>
      </w:r>
      <w:r w:rsidR="00520131" w:rsidRPr="001005B7">
        <w:t>“</w:t>
      </w:r>
      <w:r w:rsidR="0063787E" w:rsidRPr="001005B7">
        <w:t xml:space="preserve">the </w:t>
      </w:r>
      <w:r w:rsidR="00CF3196" w:rsidRPr="001005B7">
        <w:t>upper gateway,</w:t>
      </w:r>
      <w:r w:rsidR="00520131" w:rsidRPr="001005B7">
        <w:t>”</w:t>
      </w:r>
      <w:r w:rsidR="0063787E" w:rsidRPr="001005B7">
        <w:t xml:space="preserve"> </w:t>
      </w:r>
      <w:r w:rsidR="00520131" w:rsidRPr="001005B7">
        <w:t>“</w:t>
      </w:r>
      <w:r w:rsidR="00E425F9" w:rsidRPr="001005B7">
        <w:t>the</w:t>
      </w:r>
      <w:r w:rsidR="00E425F9" w:rsidRPr="001005B7">
        <w:rPr>
          <w:i/>
          <w:iCs/>
        </w:rPr>
        <w:t xml:space="preserve"> </w:t>
      </w:r>
      <w:r w:rsidR="00E425F9" w:rsidRPr="001005B7">
        <w:t>bronze</w:t>
      </w:r>
      <w:r w:rsidR="00E425F9" w:rsidRPr="001005B7">
        <w:rPr>
          <w:i/>
          <w:iCs/>
        </w:rPr>
        <w:t xml:space="preserve"> </w:t>
      </w:r>
      <w:r w:rsidR="00E425F9" w:rsidRPr="001005B7">
        <w:t>altar,</w:t>
      </w:r>
      <w:r w:rsidR="00520131" w:rsidRPr="001005B7">
        <w:t>”</w:t>
      </w:r>
      <w:r w:rsidR="00E425F9" w:rsidRPr="001005B7">
        <w:rPr>
          <w:i/>
          <w:iCs/>
        </w:rPr>
        <w:t xml:space="preserve"> </w:t>
      </w:r>
      <w:r w:rsidR="0063787E" w:rsidRPr="001005B7">
        <w:t>and so on, without explaining them.</w:t>
      </w:r>
      <w:r w:rsidR="005C4346" w:rsidRPr="001005B7">
        <w:t xml:space="preserve"> </w:t>
      </w:r>
      <w:r w:rsidR="000D5A4A" w:rsidRPr="001005B7">
        <w:t>H</w:t>
      </w:r>
      <w:r w:rsidR="005C4346" w:rsidRPr="001005B7">
        <w:t>e and Yahweh</w:t>
      </w:r>
      <w:r w:rsidR="0052740A" w:rsidRPr="001005B7">
        <w:t xml:space="preserve"> </w:t>
      </w:r>
      <w:r w:rsidR="000D5A4A" w:rsidRPr="001005B7">
        <w:t xml:space="preserve">likely </w:t>
      </w:r>
      <w:r w:rsidR="0052740A" w:rsidRPr="001005B7">
        <w:t>presuppose that readers</w:t>
      </w:r>
      <w:r w:rsidR="005C4346" w:rsidRPr="001005B7">
        <w:t xml:space="preserve"> </w:t>
      </w:r>
      <w:r w:rsidR="000D5A4A" w:rsidRPr="001005B7">
        <w:t>k</w:t>
      </w:r>
      <w:r w:rsidR="005C4346" w:rsidRPr="001005B7">
        <w:t xml:space="preserve">now about </w:t>
      </w:r>
      <w:r w:rsidR="000D5A4A" w:rsidRPr="001005B7">
        <w:t xml:space="preserve">some of </w:t>
      </w:r>
      <w:r w:rsidR="005C4346" w:rsidRPr="001005B7">
        <w:t>them</w:t>
      </w:r>
      <w:r w:rsidR="000D5A4A" w:rsidRPr="001005B7">
        <w:t xml:space="preserve">, </w:t>
      </w:r>
      <w:r w:rsidR="00301EF0" w:rsidRPr="001005B7">
        <w:t xml:space="preserve">but </w:t>
      </w:r>
      <w:r w:rsidR="000D5A4A" w:rsidRPr="001005B7">
        <w:t xml:space="preserve">some appear in the vision without Ezekiel understanding any more about them than </w:t>
      </w:r>
      <w:r w:rsidR="00DF0A31" w:rsidRPr="001005B7">
        <w:t xml:space="preserve">his readers would, </w:t>
      </w:r>
      <w:r w:rsidR="008A6391" w:rsidRPr="001005B7">
        <w:t xml:space="preserve">and some feature </w:t>
      </w:r>
      <w:r w:rsidR="007E64B4" w:rsidRPr="001005B7">
        <w:t xml:space="preserve">items that </w:t>
      </w:r>
      <w:r w:rsidR="00CC531C" w:rsidRPr="001005B7">
        <w:t>the story</w:t>
      </w:r>
      <w:r w:rsidR="007E64B4" w:rsidRPr="001005B7">
        <w:t xml:space="preserve"> </w:t>
      </w:r>
      <w:r w:rsidR="005763D1" w:rsidRPr="001005B7">
        <w:t>will later explain</w:t>
      </w:r>
      <w:r w:rsidR="00CF729B" w:rsidRPr="001005B7">
        <w:t xml:space="preserve">. Yahweh first tells </w:t>
      </w:r>
      <w:r w:rsidR="00B02F50" w:rsidRPr="001005B7">
        <w:t xml:space="preserve">him </w:t>
      </w:r>
      <w:r w:rsidR="00AC0FE9" w:rsidRPr="001005B7">
        <w:t xml:space="preserve">(and thus the readers) </w:t>
      </w:r>
      <w:r w:rsidR="00B02F50" w:rsidRPr="001005B7">
        <w:t xml:space="preserve">about </w:t>
      </w:r>
      <w:r w:rsidR="00617EC4" w:rsidRPr="001005B7">
        <w:t>a process</w:t>
      </w:r>
      <w:r w:rsidR="00B02F50" w:rsidRPr="001005B7">
        <w:t xml:space="preserve"> that is </w:t>
      </w:r>
      <w:r w:rsidR="00CC531C" w:rsidRPr="001005B7">
        <w:t>in</w:t>
      </w:r>
      <w:r w:rsidR="00B02F50" w:rsidRPr="001005B7">
        <w:t xml:space="preserve"> midst </w:t>
      </w:r>
      <w:r w:rsidR="00AC0FE9" w:rsidRPr="001005B7">
        <w:t xml:space="preserve">of happening. </w:t>
      </w:r>
      <w:r w:rsidR="00D91E1C" w:rsidRPr="001005B7">
        <w:t>“</w:t>
      </w:r>
      <w:r w:rsidR="00451CBE" w:rsidRPr="001005B7">
        <w:t>Charges</w:t>
      </w:r>
      <w:r w:rsidR="00D91E1C" w:rsidRPr="001005B7">
        <w:t>”</w:t>
      </w:r>
      <w:r w:rsidR="00451CBE" w:rsidRPr="001005B7">
        <w:t xml:space="preserve"> (</w:t>
      </w:r>
      <w:r w:rsidR="00300EB1" w:rsidRPr="001005B7">
        <w:rPr>
          <w:rFonts w:cstheme="minorHAnsi"/>
          <w:rtl/>
          <w:lang w:bidi="he-IL"/>
        </w:rPr>
        <w:t>פ</w:t>
      </w:r>
      <w:r w:rsidR="0090274C" w:rsidRPr="001005B7">
        <w:rPr>
          <w:rFonts w:cstheme="minorHAnsi"/>
          <w:rtl/>
          <w:lang w:bidi="he-IL"/>
        </w:rPr>
        <w:t>ּ</w:t>
      </w:r>
      <w:r w:rsidR="00D462C5" w:rsidRPr="001005B7">
        <w:rPr>
          <w:rFonts w:cstheme="minorHAnsi"/>
          <w:rtl/>
          <w:lang w:bidi="he-IL"/>
        </w:rPr>
        <w:t>ְקֻדָּה</w:t>
      </w:r>
      <w:r w:rsidR="00765179" w:rsidRPr="001005B7">
        <w:rPr>
          <w:rFonts w:cstheme="minorHAnsi"/>
        </w:rPr>
        <w:t xml:space="preserve">) are appointments </w:t>
      </w:r>
      <w:r w:rsidR="00ED6168" w:rsidRPr="001005B7">
        <w:rPr>
          <w:rFonts w:cstheme="minorHAnsi"/>
        </w:rPr>
        <w:t xml:space="preserve">or offices </w:t>
      </w:r>
      <w:r w:rsidR="00B4686B" w:rsidRPr="001005B7">
        <w:rPr>
          <w:rFonts w:cstheme="minorHAnsi"/>
        </w:rPr>
        <w:t>(e.g.,</w:t>
      </w:r>
      <w:r w:rsidR="00C408EA" w:rsidRPr="001005B7">
        <w:rPr>
          <w:rFonts w:cstheme="minorHAnsi"/>
        </w:rPr>
        <w:t xml:space="preserve"> </w:t>
      </w:r>
      <w:proofErr w:type="spellStart"/>
      <w:r w:rsidR="00C408EA" w:rsidRPr="001005B7">
        <w:rPr>
          <w:rFonts w:cstheme="minorHAnsi"/>
        </w:rPr>
        <w:t>Ps</w:t>
      </w:r>
      <w:r w:rsidR="00234BED" w:rsidRPr="001005B7">
        <w:rPr>
          <w:rFonts w:cstheme="minorHAnsi"/>
        </w:rPr>
        <w:t>a</w:t>
      </w:r>
      <w:proofErr w:type="spellEnd"/>
      <w:r w:rsidR="00C408EA" w:rsidRPr="001005B7">
        <w:rPr>
          <w:rFonts w:cstheme="minorHAnsi"/>
        </w:rPr>
        <w:t xml:space="preserve"> 109:8)</w:t>
      </w:r>
      <w:r w:rsidR="0055702F" w:rsidRPr="001005B7">
        <w:rPr>
          <w:rFonts w:cstheme="minorHAnsi"/>
        </w:rPr>
        <w:t xml:space="preserve">, but the word </w:t>
      </w:r>
      <w:r w:rsidR="00195353" w:rsidRPr="001005B7">
        <w:rPr>
          <w:rFonts w:cstheme="minorHAnsi"/>
        </w:rPr>
        <w:t>is</w:t>
      </w:r>
      <w:r w:rsidR="0055702F" w:rsidRPr="001005B7">
        <w:rPr>
          <w:rFonts w:cstheme="minorHAnsi"/>
        </w:rPr>
        <w:t xml:space="preserve"> commonly used to refer to the people who hold the appointment</w:t>
      </w:r>
      <w:r w:rsidR="00195353" w:rsidRPr="001005B7">
        <w:rPr>
          <w:rFonts w:cstheme="minorHAnsi"/>
        </w:rPr>
        <w:t xml:space="preserve"> (e.g., </w:t>
      </w:r>
      <w:r w:rsidR="00403301" w:rsidRPr="001005B7">
        <w:rPr>
          <w:rFonts w:cstheme="minorHAnsi"/>
        </w:rPr>
        <w:t xml:space="preserve">Ezek </w:t>
      </w:r>
      <w:r w:rsidR="00195353" w:rsidRPr="001005B7">
        <w:rPr>
          <w:rFonts w:cstheme="minorHAnsi"/>
        </w:rPr>
        <w:t>44:</w:t>
      </w:r>
      <w:r w:rsidR="00B6440A" w:rsidRPr="001005B7">
        <w:rPr>
          <w:rFonts w:cstheme="minorHAnsi"/>
        </w:rPr>
        <w:t>11)</w:t>
      </w:r>
      <w:r w:rsidR="000602DA" w:rsidRPr="001005B7">
        <w:rPr>
          <w:rFonts w:cstheme="minorHAnsi"/>
        </w:rPr>
        <w:t xml:space="preserve">. It usually </w:t>
      </w:r>
      <w:r w:rsidR="000E2BD1" w:rsidRPr="001005B7">
        <w:rPr>
          <w:rFonts w:cstheme="minorHAnsi"/>
        </w:rPr>
        <w:t>denotes</w:t>
      </w:r>
      <w:r w:rsidR="00C24928" w:rsidRPr="001005B7">
        <w:rPr>
          <w:rFonts w:cstheme="minorHAnsi"/>
        </w:rPr>
        <w:t xml:space="preserve"> oversight in the temple</w:t>
      </w:r>
      <w:r w:rsidR="00CF0219" w:rsidRPr="001005B7">
        <w:rPr>
          <w:rFonts w:cstheme="minorHAnsi"/>
        </w:rPr>
        <w:t>, and it has positive resonance in Isa 60:17</w:t>
      </w:r>
      <w:r w:rsidR="009A26B0" w:rsidRPr="001005B7">
        <w:rPr>
          <w:rFonts w:cstheme="minorHAnsi"/>
        </w:rPr>
        <w:t xml:space="preserve">. </w:t>
      </w:r>
      <w:r w:rsidR="00AB4684" w:rsidRPr="001005B7">
        <w:rPr>
          <w:rFonts w:cstheme="minorHAnsi"/>
        </w:rPr>
        <w:t>But the verb from which it comes (</w:t>
      </w:r>
      <w:r w:rsidR="004C49EC" w:rsidRPr="001005B7">
        <w:rPr>
          <w:rFonts w:cstheme="minorHAnsi"/>
          <w:rtl/>
          <w:lang w:bidi="he-IL"/>
        </w:rPr>
        <w:t>פ</w:t>
      </w:r>
      <w:r w:rsidR="0090274C" w:rsidRPr="001005B7">
        <w:rPr>
          <w:rFonts w:cstheme="minorHAnsi"/>
          <w:rtl/>
          <w:lang w:bidi="he-IL"/>
        </w:rPr>
        <w:t>ּ</w:t>
      </w:r>
      <w:r w:rsidR="004C49EC" w:rsidRPr="001005B7">
        <w:rPr>
          <w:rFonts w:cstheme="minorHAnsi"/>
          <w:rtl/>
          <w:lang w:bidi="he-IL"/>
        </w:rPr>
        <w:t>ָקַד</w:t>
      </w:r>
      <w:r w:rsidR="00AB4684" w:rsidRPr="001005B7">
        <w:rPr>
          <w:rFonts w:cstheme="minorHAnsi"/>
        </w:rPr>
        <w:t xml:space="preserve">), </w:t>
      </w:r>
      <w:r w:rsidR="00C707F7" w:rsidRPr="001005B7">
        <w:rPr>
          <w:rFonts w:cstheme="minorHAnsi"/>
        </w:rPr>
        <w:t>tradi</w:t>
      </w:r>
      <w:r w:rsidR="00AB4684" w:rsidRPr="001005B7">
        <w:rPr>
          <w:rFonts w:cstheme="minorHAnsi"/>
        </w:rPr>
        <w:t>tionally translated “visit,” often denotes</w:t>
      </w:r>
      <w:r w:rsidR="00011C97" w:rsidRPr="001005B7">
        <w:rPr>
          <w:rFonts w:cstheme="minorHAnsi"/>
        </w:rPr>
        <w:t xml:space="preserve"> </w:t>
      </w:r>
      <w:r w:rsidR="00AB4684" w:rsidRPr="001005B7">
        <w:rPr>
          <w:rFonts w:cstheme="minorHAnsi"/>
        </w:rPr>
        <w:t>a mafia-style visit. And</w:t>
      </w:r>
      <w:r w:rsidR="0086018F" w:rsidRPr="001005B7">
        <w:rPr>
          <w:rFonts w:cstheme="minorHAnsi"/>
        </w:rPr>
        <w:t xml:space="preserve"> </w:t>
      </w:r>
      <w:r w:rsidR="00AB4684" w:rsidRPr="001005B7">
        <w:rPr>
          <w:rFonts w:cstheme="minorHAnsi"/>
        </w:rPr>
        <w:t>h</w:t>
      </w:r>
      <w:r w:rsidR="009A26B0" w:rsidRPr="001005B7">
        <w:rPr>
          <w:rFonts w:cstheme="minorHAnsi"/>
        </w:rPr>
        <w:t>ere,</w:t>
      </w:r>
      <w:r w:rsidR="00AB4684" w:rsidRPr="001005B7">
        <w:rPr>
          <w:rFonts w:cstheme="minorHAnsi"/>
        </w:rPr>
        <w:t xml:space="preserve"> the charges are </w:t>
      </w:r>
      <w:r w:rsidR="00BE05A7" w:rsidRPr="001005B7">
        <w:rPr>
          <w:rFonts w:cstheme="minorHAnsi"/>
        </w:rPr>
        <w:t>aides of Yahweh who are like city police</w:t>
      </w:r>
      <w:r w:rsidR="0043748B" w:rsidRPr="001005B7">
        <w:rPr>
          <w:rFonts w:cstheme="minorHAnsi"/>
        </w:rPr>
        <w:t>, each armed with a lethal weapon.</w:t>
      </w:r>
      <w:r w:rsidR="00216F1D" w:rsidRPr="001005B7">
        <w:rPr>
          <w:rFonts w:cstheme="minorHAnsi"/>
        </w:rPr>
        <w:t xml:space="preserve"> </w:t>
      </w:r>
      <w:r w:rsidR="00D434C2">
        <w:rPr>
          <w:rFonts w:cstheme="minorHAnsi"/>
        </w:rPr>
        <w:t>P</w:t>
      </w:r>
      <w:r w:rsidR="00206EF4" w:rsidRPr="001005B7">
        <w:rPr>
          <w:rFonts w:cstheme="minorHAnsi"/>
        </w:rPr>
        <w:t xml:space="preserve">ossessing </w:t>
      </w:r>
      <w:r w:rsidR="0063233B" w:rsidRPr="001005B7">
        <w:rPr>
          <w:rFonts w:cstheme="minorHAnsi"/>
        </w:rPr>
        <w:t xml:space="preserve">such </w:t>
      </w:r>
      <w:r w:rsidR="00206EF4" w:rsidRPr="001005B7">
        <w:rPr>
          <w:rFonts w:cstheme="minorHAnsi"/>
        </w:rPr>
        <w:t>a</w:t>
      </w:r>
      <w:r w:rsidR="009478B9" w:rsidRPr="001005B7">
        <w:rPr>
          <w:rFonts w:cstheme="minorHAnsi"/>
        </w:rPr>
        <w:t xml:space="preserve"> </w:t>
      </w:r>
      <w:r w:rsidR="00170595" w:rsidRPr="001005B7">
        <w:rPr>
          <w:rFonts w:cstheme="minorHAnsi"/>
        </w:rPr>
        <w:t>“</w:t>
      </w:r>
      <w:r w:rsidR="009478B9" w:rsidRPr="001005B7">
        <w:rPr>
          <w:rFonts w:cstheme="minorHAnsi"/>
        </w:rPr>
        <w:t>destruction</w:t>
      </w:r>
      <w:r w:rsidR="00206EF4" w:rsidRPr="001005B7">
        <w:rPr>
          <w:rFonts w:cstheme="minorHAnsi"/>
        </w:rPr>
        <w:t xml:space="preserve"> instrument</w:t>
      </w:r>
      <w:r w:rsidR="00170595" w:rsidRPr="001005B7">
        <w:rPr>
          <w:rFonts w:cstheme="minorHAnsi"/>
        </w:rPr>
        <w:t>”</w:t>
      </w:r>
      <w:r w:rsidR="00206EF4" w:rsidRPr="001005B7">
        <w:rPr>
          <w:rFonts w:cstheme="minorHAnsi"/>
          <w:i/>
          <w:iCs/>
        </w:rPr>
        <w:t xml:space="preserve"> </w:t>
      </w:r>
      <w:r w:rsidR="00206EF4" w:rsidRPr="001005B7">
        <w:rPr>
          <w:rFonts w:cstheme="minorHAnsi"/>
        </w:rPr>
        <w:t>(</w:t>
      </w:r>
      <w:r w:rsidR="00925C12" w:rsidRPr="001005B7">
        <w:rPr>
          <w:rFonts w:cstheme="minorHAnsi"/>
          <w:rtl/>
          <w:lang w:bidi="he-IL"/>
        </w:rPr>
        <w:t>מַשׁ</w:t>
      </w:r>
      <w:r w:rsidR="00811327" w:rsidRPr="001005B7">
        <w:rPr>
          <w:rFonts w:cstheme="minorHAnsi"/>
          <w:rtl/>
          <w:lang w:bidi="he-IL"/>
        </w:rPr>
        <w:t>ְחֵ</w:t>
      </w:r>
      <w:r w:rsidR="001B6C8E" w:rsidRPr="001005B7">
        <w:rPr>
          <w:rFonts w:cstheme="minorHAnsi"/>
          <w:rtl/>
          <w:lang w:bidi="he-IL"/>
        </w:rPr>
        <w:t>ת</w:t>
      </w:r>
      <w:r w:rsidR="00F710C0" w:rsidRPr="001005B7">
        <w:rPr>
          <w:rFonts w:cstheme="minorHAnsi"/>
          <w:i/>
          <w:iCs/>
        </w:rPr>
        <w:t xml:space="preserve"> </w:t>
      </w:r>
      <w:r w:rsidR="00F710C0" w:rsidRPr="001005B7">
        <w:rPr>
          <w:rFonts w:cstheme="minorHAnsi"/>
        </w:rPr>
        <w:t>from</w:t>
      </w:r>
      <w:r w:rsidR="001B6C8E" w:rsidRPr="001005B7">
        <w:rPr>
          <w:rFonts w:cstheme="minorHAnsi"/>
        </w:rPr>
        <w:t xml:space="preserve"> </w:t>
      </w:r>
      <w:r w:rsidR="001B6C8E" w:rsidRPr="001005B7">
        <w:rPr>
          <w:rFonts w:cstheme="minorHAnsi"/>
          <w:rtl/>
          <w:lang w:bidi="he-IL"/>
        </w:rPr>
        <w:t>שָׁחַת</w:t>
      </w:r>
      <w:r w:rsidR="004926E0" w:rsidRPr="001005B7">
        <w:rPr>
          <w:rFonts w:cstheme="minorHAnsi"/>
        </w:rPr>
        <w:t xml:space="preserve">) suggests that they are </w:t>
      </w:r>
      <w:r w:rsidR="005B4B70" w:rsidRPr="001005B7">
        <w:rPr>
          <w:rFonts w:cstheme="minorHAnsi"/>
        </w:rPr>
        <w:t xml:space="preserve">Yahweh’s agents in implementing the </w:t>
      </w:r>
      <w:r w:rsidR="006D1766" w:rsidRPr="001005B7">
        <w:rPr>
          <w:rFonts w:cstheme="minorHAnsi"/>
        </w:rPr>
        <w:t>“</w:t>
      </w:r>
      <w:r w:rsidR="005B4B70" w:rsidRPr="001005B7">
        <w:rPr>
          <w:rFonts w:cstheme="minorHAnsi"/>
        </w:rPr>
        <w:t>destruction</w:t>
      </w:r>
      <w:r w:rsidR="006D1766" w:rsidRPr="001005B7">
        <w:rPr>
          <w:rFonts w:cstheme="minorHAnsi"/>
        </w:rPr>
        <w:t>”</w:t>
      </w:r>
      <w:r w:rsidR="005B4B70" w:rsidRPr="001005B7">
        <w:rPr>
          <w:rFonts w:cstheme="minorHAnsi"/>
        </w:rPr>
        <w:t xml:space="preserve"> he threatened in 5:16 (</w:t>
      </w:r>
      <w:r w:rsidR="008A1A6E" w:rsidRPr="001005B7">
        <w:rPr>
          <w:rFonts w:cstheme="minorHAnsi"/>
        </w:rPr>
        <w:t>the more common noun</w:t>
      </w:r>
      <w:r w:rsidR="00BE5BF3" w:rsidRPr="001005B7">
        <w:rPr>
          <w:rFonts w:cstheme="minorHAnsi"/>
        </w:rPr>
        <w:t xml:space="preserve"> </w:t>
      </w:r>
      <w:r w:rsidR="00BE5BF3" w:rsidRPr="001005B7">
        <w:rPr>
          <w:rFonts w:cstheme="minorHAnsi"/>
          <w:rtl/>
          <w:lang w:bidi="he-IL"/>
        </w:rPr>
        <w:t>מַשְׁחִית</w:t>
      </w:r>
      <w:r w:rsidR="00327338" w:rsidRPr="001005B7">
        <w:t>).</w:t>
      </w:r>
      <w:r w:rsidR="00011C97" w:rsidRPr="001005B7">
        <w:t xml:space="preserve"> </w:t>
      </w:r>
      <w:r w:rsidR="001A2AD8">
        <w:rPr>
          <w:rFonts w:cstheme="minorHAnsi"/>
        </w:rPr>
        <w:t>T</w:t>
      </w:r>
      <w:r w:rsidR="00327338" w:rsidRPr="001005B7">
        <w:t xml:space="preserve">hey might grimly remind some readers of </w:t>
      </w:r>
      <w:r w:rsidR="00F749E0" w:rsidRPr="001005B7">
        <w:t xml:space="preserve">the </w:t>
      </w:r>
      <w:r w:rsidR="00170595" w:rsidRPr="001005B7">
        <w:t>“</w:t>
      </w:r>
      <w:r w:rsidR="00F749E0" w:rsidRPr="001005B7">
        <w:t>destruction aide</w:t>
      </w:r>
      <w:r w:rsidR="00170595" w:rsidRPr="001005B7">
        <w:t>”</w:t>
      </w:r>
      <w:r w:rsidR="00F749E0" w:rsidRPr="001005B7">
        <w:t xml:space="preserve"> in 2</w:t>
      </w:r>
      <w:r w:rsidR="000223FD" w:rsidRPr="001005B7">
        <w:t> </w:t>
      </w:r>
      <w:r w:rsidR="00F749E0" w:rsidRPr="001005B7">
        <w:t>Sam 24</w:t>
      </w:r>
      <w:r w:rsidR="00B52CD1" w:rsidRPr="001005B7">
        <w:t>:</w:t>
      </w:r>
      <w:r w:rsidR="00F749E0" w:rsidRPr="001005B7">
        <w:t>16</w:t>
      </w:r>
      <w:r w:rsidR="0032265A" w:rsidRPr="001005B7">
        <w:t xml:space="preserve"> (</w:t>
      </w:r>
      <w:r w:rsidR="00395A32" w:rsidRPr="001005B7">
        <w:rPr>
          <w:rFonts w:cstheme="minorHAnsi"/>
          <w:rtl/>
          <w:lang w:bidi="he-IL"/>
        </w:rPr>
        <w:t>מ</w:t>
      </w:r>
      <w:r w:rsidR="00683B2C" w:rsidRPr="001005B7">
        <w:rPr>
          <w:rFonts w:cstheme="minorHAnsi"/>
          <w:rtl/>
          <w:lang w:bidi="he-IL"/>
        </w:rPr>
        <w:t>ַלְאָך</w:t>
      </w:r>
      <w:r w:rsidR="007F767D" w:rsidRPr="001005B7">
        <w:rPr>
          <w:rFonts w:cstheme="minorHAnsi"/>
          <w:rtl/>
          <w:lang w:bidi="he-IL"/>
        </w:rPr>
        <w:t>הַ</w:t>
      </w:r>
      <w:r w:rsidR="00B5211C" w:rsidRPr="001005B7">
        <w:rPr>
          <w:rFonts w:cstheme="minorHAnsi"/>
          <w:rtl/>
          <w:lang w:bidi="he-IL"/>
        </w:rPr>
        <w:t xml:space="preserve"> </w:t>
      </w:r>
      <w:r w:rsidR="007F767D" w:rsidRPr="001005B7">
        <w:rPr>
          <w:rFonts w:cstheme="minorHAnsi"/>
          <w:rtl/>
          <w:lang w:bidi="he-IL"/>
        </w:rPr>
        <w:t>מַּשׁ</w:t>
      </w:r>
      <w:r w:rsidR="006A015E" w:rsidRPr="001005B7">
        <w:rPr>
          <w:rFonts w:cstheme="minorHAnsi"/>
          <w:rtl/>
          <w:lang w:bidi="he-IL"/>
        </w:rPr>
        <w:t>ְֽח</w:t>
      </w:r>
      <w:r w:rsidR="00B5211C" w:rsidRPr="001005B7">
        <w:rPr>
          <w:rFonts w:cstheme="minorHAnsi"/>
          <w:rtl/>
          <w:lang w:bidi="he-IL"/>
        </w:rPr>
        <w:t>ִית</w:t>
      </w:r>
      <w:r w:rsidR="0032265A" w:rsidRPr="001005B7">
        <w:t>)</w:t>
      </w:r>
      <w:r w:rsidR="00740F9E">
        <w:t>,</w:t>
      </w:r>
      <w:r w:rsidR="0032265A" w:rsidRPr="001005B7">
        <w:t xml:space="preserve"> </w:t>
      </w:r>
      <w:r w:rsidR="001B2A3D" w:rsidRPr="001005B7">
        <w:t xml:space="preserve">or </w:t>
      </w:r>
      <w:r w:rsidR="00327338" w:rsidRPr="001005B7">
        <w:t xml:space="preserve">the </w:t>
      </w:r>
      <w:r w:rsidR="00170595" w:rsidRPr="001005B7">
        <w:t>“</w:t>
      </w:r>
      <w:r w:rsidR="00327338" w:rsidRPr="001005B7">
        <w:t>destruction</w:t>
      </w:r>
      <w:r w:rsidR="00170595" w:rsidRPr="001005B7">
        <w:t>”</w:t>
      </w:r>
      <w:r w:rsidR="00327338" w:rsidRPr="001005B7">
        <w:t xml:space="preserve"> of the Egyptians (</w:t>
      </w:r>
      <w:r w:rsidR="004F1D72" w:rsidRPr="001005B7">
        <w:rPr>
          <w:rFonts w:cstheme="minorHAnsi"/>
          <w:rtl/>
          <w:lang w:bidi="he-IL"/>
        </w:rPr>
        <w:t>מַשְׁחִית</w:t>
      </w:r>
      <w:r w:rsidR="00327338" w:rsidRPr="001005B7">
        <w:rPr>
          <w:rFonts w:cstheme="minorHAnsi"/>
        </w:rPr>
        <w:t xml:space="preserve">) </w:t>
      </w:r>
      <w:r w:rsidR="00327338" w:rsidRPr="001005B7">
        <w:t>from wh</w:t>
      </w:r>
      <w:r w:rsidR="00CE6490" w:rsidRPr="001005B7">
        <w:t>ich</w:t>
      </w:r>
      <w:r w:rsidR="00327338" w:rsidRPr="001005B7">
        <w:t xml:space="preserve"> the Israelites were once protected </w:t>
      </w:r>
      <w:r w:rsidR="003B13AC">
        <w:t xml:space="preserve">in </w:t>
      </w:r>
      <w:r w:rsidR="00327338" w:rsidRPr="001005B7">
        <w:t>Exod 12:13</w:t>
      </w:r>
      <w:r w:rsidR="003B13AC">
        <w:t>,</w:t>
      </w:r>
      <w:r w:rsidR="00327338" w:rsidRPr="001005B7">
        <w:t xml:space="preserve"> or the aide who once struck down the Assyrians who had invaded Judah </w:t>
      </w:r>
      <w:r w:rsidR="001751DE" w:rsidRPr="001005B7">
        <w:t>in 2</w:t>
      </w:r>
      <w:r w:rsidR="00F25264" w:rsidRPr="001005B7">
        <w:t> </w:t>
      </w:r>
      <w:r w:rsidR="006558CA" w:rsidRPr="001005B7">
        <w:t>Kgs</w:t>
      </w:r>
      <w:r w:rsidR="001751DE" w:rsidRPr="001005B7">
        <w:t xml:space="preserve"> 19:35 </w:t>
      </w:r>
      <w:r w:rsidR="00327338" w:rsidRPr="001005B7">
        <w:t>(</w:t>
      </w:r>
      <w:r w:rsidR="00FC6DCF" w:rsidRPr="001005B7">
        <w:rPr>
          <w:rFonts w:cstheme="minorHAnsi"/>
          <w:rtl/>
          <w:lang w:bidi="he-IL"/>
        </w:rPr>
        <w:t>נָכָה</w:t>
      </w:r>
      <w:r w:rsidR="001B2A3D" w:rsidRPr="001005B7">
        <w:rPr>
          <w:rFonts w:cstheme="minorHAnsi"/>
          <w:i/>
          <w:iCs/>
        </w:rPr>
        <w:t xml:space="preserve"> </w:t>
      </w:r>
      <w:proofErr w:type="spellStart"/>
      <w:r w:rsidR="001B2A3D" w:rsidRPr="001005B7">
        <w:rPr>
          <w:rFonts w:cstheme="minorHAnsi"/>
        </w:rPr>
        <w:t>hiphil</w:t>
      </w:r>
      <w:proofErr w:type="spellEnd"/>
      <w:r w:rsidR="001751DE" w:rsidRPr="001005B7">
        <w:rPr>
          <w:rFonts w:cstheme="minorHAnsi"/>
        </w:rPr>
        <w:t xml:space="preserve">, the verb in </w:t>
      </w:r>
      <w:r w:rsidR="0042084A" w:rsidRPr="001005B7">
        <w:rPr>
          <w:rFonts w:cstheme="minorHAnsi"/>
        </w:rPr>
        <w:t>9:</w:t>
      </w:r>
      <w:r w:rsidR="00CA47B3" w:rsidRPr="001005B7">
        <w:rPr>
          <w:rFonts w:cstheme="minorHAnsi"/>
        </w:rPr>
        <w:t xml:space="preserve">5 and </w:t>
      </w:r>
      <w:r w:rsidR="00A95A2A" w:rsidRPr="001005B7">
        <w:rPr>
          <w:rFonts w:cstheme="minorHAnsi"/>
        </w:rPr>
        <w:t>8).</w:t>
      </w:r>
      <w:r w:rsidR="00327338" w:rsidRPr="001005B7">
        <w:t xml:space="preserve"> </w:t>
      </w:r>
      <w:r w:rsidR="001824F8" w:rsidRPr="001005B7">
        <w:t>Th</w:t>
      </w:r>
      <w:r w:rsidR="00740F9E">
        <w:t>is vision’s</w:t>
      </w:r>
      <w:r w:rsidR="001824F8" w:rsidRPr="001005B7">
        <w:t xml:space="preserve"> distinctive </w:t>
      </w:r>
      <w:r w:rsidR="007E698A" w:rsidRPr="001005B7">
        <w:t>feature is that Yahweh has a multiplicity of executioners rather than just one.</w:t>
      </w:r>
      <w:r w:rsidR="0052057A" w:rsidRPr="001005B7">
        <w:rPr>
          <w:rStyle w:val="FootnoteReference"/>
        </w:rPr>
        <w:footnoteReference w:id="251"/>
      </w:r>
      <w:r w:rsidR="00FB66E6">
        <w:t xml:space="preserve"> Literally, the execu</w:t>
      </w:r>
      <w:r w:rsidR="00705887">
        <w:t>tioners suggest the Babylonian military (Ganzel 20</w:t>
      </w:r>
      <w:r w:rsidR="00834006">
        <w:t>1</w:t>
      </w:r>
      <w:r w:rsidR="00705887">
        <w:t xml:space="preserve">4, </w:t>
      </w:r>
      <w:r w:rsidR="00834006">
        <w:t>1048).</w:t>
      </w:r>
      <w:r w:rsidR="00705887">
        <w:t xml:space="preserve"> </w:t>
      </w:r>
      <w:r w:rsidR="007E698A" w:rsidRPr="001005B7">
        <w:t xml:space="preserve"> </w:t>
      </w:r>
      <w:r w:rsidR="00F4106F" w:rsidRPr="001005B7">
        <w:rPr>
          <w:rFonts w:cstheme="minorHAnsi"/>
        </w:rPr>
        <w:t>“Ezekiel’s vision is the proclamation of an act of judgement”</w:t>
      </w:r>
      <w:r w:rsidR="00FC6DCF" w:rsidRPr="001005B7">
        <w:rPr>
          <w:rFonts w:cstheme="minorHAnsi"/>
        </w:rPr>
        <w:t xml:space="preserve"> (</w:t>
      </w:r>
      <w:proofErr w:type="spellStart"/>
      <w:r w:rsidR="00FC6DCF" w:rsidRPr="001005B7">
        <w:t>Zimmerli</w:t>
      </w:r>
      <w:proofErr w:type="spellEnd"/>
      <w:r w:rsidR="00D35952" w:rsidRPr="001005B7">
        <w:t>,</w:t>
      </w:r>
      <w:r w:rsidR="00937A14" w:rsidRPr="001005B7">
        <w:t xml:space="preserve"> </w:t>
      </w:r>
      <w:r w:rsidR="00FC6DCF" w:rsidRPr="001005B7">
        <w:t>1:247</w:t>
      </w:r>
      <w:r w:rsidR="00937A14" w:rsidRPr="001005B7">
        <w:t>)</w:t>
      </w:r>
      <w:r w:rsidR="00F4106F" w:rsidRPr="001005B7">
        <w:rPr>
          <w:rFonts w:cstheme="minorHAnsi"/>
        </w:rPr>
        <w:t xml:space="preserve"> </w:t>
      </w:r>
      <w:r w:rsidR="0032362C" w:rsidRPr="001005B7">
        <w:rPr>
          <w:rFonts w:cstheme="minorHAnsi"/>
        </w:rPr>
        <w:t xml:space="preserve">instead of an act of deliverance. </w:t>
      </w:r>
      <w:r w:rsidR="006D1766" w:rsidRPr="001005B7">
        <w:rPr>
          <w:rFonts w:cstheme="minorHAnsi"/>
        </w:rPr>
        <w:t>“</w:t>
      </w:r>
      <w:r w:rsidR="00C178DA" w:rsidRPr="001005B7">
        <w:rPr>
          <w:rFonts w:cstheme="minorHAnsi"/>
        </w:rPr>
        <w:t>They have come near</w:t>
      </w:r>
      <w:r w:rsidR="006D1766" w:rsidRPr="001005B7">
        <w:rPr>
          <w:rFonts w:cstheme="minorHAnsi"/>
        </w:rPr>
        <w:t>”</w:t>
      </w:r>
      <w:r w:rsidR="00C178DA" w:rsidRPr="001005B7">
        <w:rPr>
          <w:rFonts w:cstheme="minorHAnsi"/>
        </w:rPr>
        <w:t xml:space="preserve"> </w:t>
      </w:r>
      <w:r w:rsidR="00CB005E" w:rsidRPr="001005B7">
        <w:rPr>
          <w:rFonts w:cstheme="minorHAnsi"/>
        </w:rPr>
        <w:t xml:space="preserve">is </w:t>
      </w:r>
      <w:r w:rsidR="00B049BA">
        <w:rPr>
          <w:rFonts w:cstheme="minorHAnsi"/>
        </w:rPr>
        <w:t xml:space="preserve">perhaps </w:t>
      </w:r>
      <w:r w:rsidR="00CB005E" w:rsidRPr="001005B7">
        <w:rPr>
          <w:rFonts w:cstheme="minorHAnsi"/>
        </w:rPr>
        <w:t>an</w:t>
      </w:r>
      <w:r w:rsidR="00C178DA" w:rsidRPr="001005B7">
        <w:rPr>
          <w:rFonts w:cstheme="minorHAnsi"/>
        </w:rPr>
        <w:t xml:space="preserve"> anticipatory</w:t>
      </w:r>
      <w:r w:rsidR="00CB005E" w:rsidRPr="001005B7">
        <w:rPr>
          <w:rFonts w:cstheme="minorHAnsi"/>
        </w:rPr>
        <w:t xml:space="preserve"> </w:t>
      </w:r>
      <w:r w:rsidR="00CB005E" w:rsidRPr="00B77665">
        <w:rPr>
          <w:rFonts w:cstheme="minorHAnsi"/>
          <w:i/>
          <w:iCs/>
        </w:rPr>
        <w:t>qatal</w:t>
      </w:r>
      <w:r w:rsidR="00CB005E" w:rsidRPr="001005B7">
        <w:rPr>
          <w:rFonts w:cstheme="minorHAnsi"/>
        </w:rPr>
        <w:t>: Yahweh has s</w:t>
      </w:r>
      <w:r w:rsidR="00DF4C1D" w:rsidRPr="001005B7">
        <w:rPr>
          <w:rFonts w:cstheme="minorHAnsi"/>
        </w:rPr>
        <w:t>e</w:t>
      </w:r>
      <w:r w:rsidR="00CB005E" w:rsidRPr="001005B7">
        <w:rPr>
          <w:rFonts w:cstheme="minorHAnsi"/>
        </w:rPr>
        <w:t>t going a process and thus they are coming near.</w:t>
      </w:r>
      <w:r w:rsidR="00B0229D" w:rsidRPr="001005B7">
        <w:rPr>
          <w:rFonts w:cstheme="minorHAnsi"/>
        </w:rPr>
        <w:t xml:space="preserve"> </w:t>
      </w:r>
      <w:r w:rsidR="00FA17DD" w:rsidRPr="001005B7">
        <w:rPr>
          <w:rFonts w:cstheme="minorHAnsi"/>
        </w:rPr>
        <w:t>They</w:t>
      </w:r>
      <w:r w:rsidR="00E5007D" w:rsidRPr="001005B7">
        <w:rPr>
          <w:rFonts w:cstheme="minorHAnsi"/>
        </w:rPr>
        <w:t xml:space="preserve"> are involved in implementing the process whereby </w:t>
      </w:r>
      <w:r w:rsidR="002B51D0" w:rsidRPr="001005B7">
        <w:rPr>
          <w:rFonts w:cstheme="minorHAnsi"/>
        </w:rPr>
        <w:t>“</w:t>
      </w:r>
      <w:r w:rsidR="00E5007D" w:rsidRPr="001005B7">
        <w:rPr>
          <w:rFonts w:cstheme="minorHAnsi"/>
        </w:rPr>
        <w:t>the</w:t>
      </w:r>
      <w:r w:rsidR="00E5007D" w:rsidRPr="001005B7">
        <w:rPr>
          <w:rFonts w:cstheme="minorHAnsi"/>
          <w:i/>
          <w:iCs/>
        </w:rPr>
        <w:t xml:space="preserve"> </w:t>
      </w:r>
      <w:r w:rsidR="00E5007D" w:rsidRPr="001005B7">
        <w:rPr>
          <w:rFonts w:cstheme="minorHAnsi"/>
        </w:rPr>
        <w:t>end</w:t>
      </w:r>
      <w:r w:rsidR="00E5007D" w:rsidRPr="001005B7">
        <w:rPr>
          <w:rFonts w:cstheme="minorHAnsi"/>
          <w:i/>
          <w:iCs/>
        </w:rPr>
        <w:t xml:space="preserve"> </w:t>
      </w:r>
      <w:r w:rsidR="00E5007D" w:rsidRPr="001005B7">
        <w:rPr>
          <w:rFonts w:cstheme="minorHAnsi"/>
        </w:rPr>
        <w:t>is</w:t>
      </w:r>
      <w:r w:rsidR="00E5007D" w:rsidRPr="001005B7">
        <w:rPr>
          <w:rFonts w:cstheme="minorHAnsi"/>
          <w:i/>
          <w:iCs/>
        </w:rPr>
        <w:t xml:space="preserve"> </w:t>
      </w:r>
      <w:r w:rsidR="00E5007D" w:rsidRPr="001005B7">
        <w:rPr>
          <w:rFonts w:cstheme="minorHAnsi"/>
        </w:rPr>
        <w:t>coming</w:t>
      </w:r>
      <w:r w:rsidR="00E5007D" w:rsidRPr="001005B7">
        <w:rPr>
          <w:rFonts w:cstheme="minorHAnsi"/>
          <w:i/>
          <w:iCs/>
        </w:rPr>
        <w:t xml:space="preserve"> </w:t>
      </w:r>
      <w:r w:rsidR="009067D8" w:rsidRPr="001005B7">
        <w:rPr>
          <w:rFonts w:cstheme="minorHAnsi"/>
          <w:lang w:eastAsia="en-GB"/>
        </w:rPr>
        <w:t>…</w:t>
      </w:r>
      <w:r w:rsidR="00D95B47" w:rsidRPr="001005B7">
        <w:rPr>
          <w:rFonts w:cstheme="minorHAnsi"/>
          <w:i/>
          <w:iCs/>
        </w:rPr>
        <w:t xml:space="preserve"> </w:t>
      </w:r>
      <w:r w:rsidR="00D95B47" w:rsidRPr="001005B7">
        <w:rPr>
          <w:rFonts w:cstheme="minorHAnsi"/>
        </w:rPr>
        <w:t>doom</w:t>
      </w:r>
      <w:r w:rsidR="00D95B47" w:rsidRPr="001005B7">
        <w:rPr>
          <w:rFonts w:cstheme="minorHAnsi"/>
          <w:i/>
          <w:iCs/>
        </w:rPr>
        <w:t xml:space="preserve"> </w:t>
      </w:r>
      <w:r w:rsidR="00817131" w:rsidRPr="001005B7">
        <w:rPr>
          <w:rFonts w:cstheme="minorHAnsi"/>
        </w:rPr>
        <w:t>is</w:t>
      </w:r>
      <w:r w:rsidR="00D95B47" w:rsidRPr="001005B7">
        <w:rPr>
          <w:rFonts w:cstheme="minorHAnsi"/>
          <w:i/>
          <w:iCs/>
        </w:rPr>
        <w:t xml:space="preserve"> </w:t>
      </w:r>
      <w:r w:rsidR="00D95B47" w:rsidRPr="001005B7">
        <w:rPr>
          <w:rFonts w:cstheme="minorHAnsi"/>
        </w:rPr>
        <w:t>coming</w:t>
      </w:r>
      <w:r w:rsidR="002B51D0" w:rsidRPr="001005B7">
        <w:rPr>
          <w:rFonts w:cstheme="minorHAnsi"/>
        </w:rPr>
        <w:t>”</w:t>
      </w:r>
      <w:r w:rsidR="00D95B47" w:rsidRPr="001005B7">
        <w:rPr>
          <w:rFonts w:cstheme="minorHAnsi"/>
          <w:i/>
          <w:iCs/>
        </w:rPr>
        <w:t xml:space="preserve"> </w:t>
      </w:r>
      <w:r w:rsidR="00D95B47" w:rsidRPr="001005B7">
        <w:rPr>
          <w:rFonts w:cstheme="minorHAnsi"/>
        </w:rPr>
        <w:t>(7:5</w:t>
      </w:r>
      <w:r w:rsidR="00F46900" w:rsidRPr="001005B7">
        <w:rPr>
          <w:rFonts w:cstheme="minorHAnsi"/>
        </w:rPr>
        <w:t>–</w:t>
      </w:r>
      <w:r w:rsidR="00D95B47" w:rsidRPr="001005B7">
        <w:rPr>
          <w:rFonts w:cstheme="minorHAnsi"/>
        </w:rPr>
        <w:t xml:space="preserve">7). </w:t>
      </w:r>
      <w:r w:rsidR="005A2B6D" w:rsidRPr="001005B7">
        <w:rPr>
          <w:rFonts w:cstheme="minorHAnsi"/>
        </w:rPr>
        <w:t xml:space="preserve">Their </w:t>
      </w:r>
      <w:r w:rsidR="002B51D0" w:rsidRPr="001005B7">
        <w:rPr>
          <w:rFonts w:cstheme="minorHAnsi"/>
        </w:rPr>
        <w:t>“</w:t>
      </w:r>
      <w:r w:rsidR="005A2B6D" w:rsidRPr="001005B7">
        <w:rPr>
          <w:rFonts w:cstheme="minorHAnsi"/>
        </w:rPr>
        <w:t>destruction instrument</w:t>
      </w:r>
      <w:r w:rsidR="002B51D0" w:rsidRPr="001005B7">
        <w:rPr>
          <w:rFonts w:cstheme="minorHAnsi"/>
        </w:rPr>
        <w:t>”</w:t>
      </w:r>
      <w:r w:rsidR="005A2B6D" w:rsidRPr="001005B7">
        <w:rPr>
          <w:rFonts w:cstheme="minorHAnsi"/>
          <w:i/>
          <w:iCs/>
        </w:rPr>
        <w:t xml:space="preserve"> </w:t>
      </w:r>
      <w:r w:rsidR="0060274F" w:rsidRPr="001005B7">
        <w:rPr>
          <w:rFonts w:cstheme="minorHAnsi"/>
        </w:rPr>
        <w:t xml:space="preserve">also </w:t>
      </w:r>
      <w:r w:rsidR="005A2B6D" w:rsidRPr="001005B7">
        <w:t>anticipates the axe of which John the Baptizer speaks</w:t>
      </w:r>
      <w:r w:rsidR="007157F7" w:rsidRPr="001005B7">
        <w:t xml:space="preserve"> </w:t>
      </w:r>
      <w:r w:rsidR="005A2B6D" w:rsidRPr="001005B7">
        <w:t>(Matt 3:10; Luke 3:9</w:t>
      </w:r>
      <w:r w:rsidR="00EA3010" w:rsidRPr="001005B7">
        <w:t>) (Jerome, 100).</w:t>
      </w:r>
    </w:p>
    <w:p w14:paraId="5EEE269C" w14:textId="01425337" w:rsidR="00F84531" w:rsidRPr="001005B7" w:rsidRDefault="008B5B44" w:rsidP="008D7CB6">
      <w:pPr>
        <w:rPr>
          <w:rFonts w:cstheme="minorHAnsi"/>
        </w:rPr>
      </w:pPr>
      <w:r w:rsidRPr="001005B7">
        <w:rPr>
          <w:b/>
          <w:bCs/>
        </w:rPr>
        <w:t>9:</w:t>
      </w:r>
      <w:r w:rsidR="008A763A" w:rsidRPr="001005B7">
        <w:rPr>
          <w:b/>
          <w:bCs/>
        </w:rPr>
        <w:t xml:space="preserve">2 </w:t>
      </w:r>
      <w:r w:rsidR="00527A1F" w:rsidRPr="001005B7">
        <w:t xml:space="preserve">Possibly there are six </w:t>
      </w:r>
      <w:r w:rsidR="008B4D4E" w:rsidRPr="001005B7">
        <w:t xml:space="preserve">of these </w:t>
      </w:r>
      <w:r w:rsidR="00527A1F" w:rsidRPr="001005B7">
        <w:t xml:space="preserve">charges because </w:t>
      </w:r>
      <w:r w:rsidR="002061A5" w:rsidRPr="001005B7">
        <w:t>addi</w:t>
      </w:r>
      <w:r w:rsidR="00305B5E" w:rsidRPr="001005B7">
        <w:t>ng</w:t>
      </w:r>
      <w:r w:rsidR="002061A5" w:rsidRPr="001005B7">
        <w:t xml:space="preserve"> the one </w:t>
      </w:r>
      <w:r w:rsidR="00FD7EE7" w:rsidRPr="001005B7">
        <w:t>clothed</w:t>
      </w:r>
      <w:r w:rsidR="002061A5" w:rsidRPr="001005B7">
        <w:t xml:space="preserve"> in linen makes for seven, a characteristically proper number for a complete team</w:t>
      </w:r>
      <w:r w:rsidR="002D1B95" w:rsidRPr="001005B7">
        <w:t xml:space="preserve">. </w:t>
      </w:r>
      <w:r w:rsidR="002E1621" w:rsidRPr="001005B7">
        <w:rPr>
          <w:rFonts w:cstheme="minorHAnsi"/>
        </w:rPr>
        <w:t xml:space="preserve">In KJV the Babylonian officers in Jer 39:3 number seven, but they come to different totals in </w:t>
      </w:r>
      <w:r w:rsidR="00573675" w:rsidRPr="001005B7">
        <w:rPr>
          <w:rFonts w:cstheme="minorHAnsi"/>
        </w:rPr>
        <w:t xml:space="preserve">Vg. </w:t>
      </w:r>
      <w:r w:rsidR="002E1621" w:rsidRPr="001005B7">
        <w:rPr>
          <w:rFonts w:cstheme="minorHAnsi"/>
        </w:rPr>
        <w:t>and in modern translations</w:t>
      </w:r>
      <w:r w:rsidR="00C9681D" w:rsidRPr="001005B7">
        <w:rPr>
          <w:rFonts w:cstheme="minorHAnsi"/>
        </w:rPr>
        <w:t xml:space="preserve">. </w:t>
      </w:r>
      <w:r w:rsidR="00711BA2" w:rsidRPr="001005B7">
        <w:rPr>
          <w:sz w:val="18"/>
          <w:szCs w:val="18"/>
        </w:rPr>
        <w:t>LXX</w:t>
      </w:r>
      <w:r w:rsidR="002E1621" w:rsidRPr="001005B7">
        <w:rPr>
          <w:rFonts w:cstheme="minorHAnsi"/>
        </w:rPr>
        <w:t xml:space="preserve"> </w:t>
      </w:r>
      <w:r w:rsidR="00C9681D" w:rsidRPr="001005B7">
        <w:rPr>
          <w:rFonts w:cstheme="minorHAnsi"/>
        </w:rPr>
        <w:t>might imply either six or seven</w:t>
      </w:r>
      <w:r w:rsidR="00180E3F" w:rsidRPr="001005B7">
        <w:rPr>
          <w:rFonts w:cstheme="minorHAnsi"/>
        </w:rPr>
        <w:t xml:space="preserve">. </w:t>
      </w:r>
      <w:r w:rsidR="00180E3F" w:rsidRPr="001005B7">
        <w:rPr>
          <w:rFonts w:cstheme="minorHAnsi"/>
          <w:i/>
          <w:iCs/>
        </w:rPr>
        <w:t>B</w:t>
      </w:r>
      <w:r w:rsidR="00E52259" w:rsidRPr="001005B7">
        <w:rPr>
          <w:rFonts w:cstheme="minorHAnsi"/>
          <w:i/>
          <w:iCs/>
        </w:rPr>
        <w:t xml:space="preserve">. Shabbat </w:t>
      </w:r>
      <w:r w:rsidR="00E52259" w:rsidRPr="001005B7">
        <w:rPr>
          <w:rFonts w:cstheme="minorHAnsi"/>
        </w:rPr>
        <w:t xml:space="preserve">lists them as </w:t>
      </w:r>
      <w:r w:rsidR="00E52259" w:rsidRPr="001005B7">
        <w:t>rage, anger, fury, destruction, breaker, and annihilator</w:t>
      </w:r>
      <w:r w:rsidR="0095201E" w:rsidRPr="001005B7">
        <w:t>.</w:t>
      </w:r>
      <w:r w:rsidR="0009241F" w:rsidRPr="001005B7">
        <w:t xml:space="preserve"> </w:t>
      </w:r>
      <w:proofErr w:type="spellStart"/>
      <w:r w:rsidR="0009241F" w:rsidRPr="001005B7">
        <w:t>Ps</w:t>
      </w:r>
      <w:r w:rsidR="003C7039" w:rsidRPr="001005B7">
        <w:t>a</w:t>
      </w:r>
      <w:proofErr w:type="spellEnd"/>
      <w:r w:rsidR="007B0953" w:rsidRPr="001005B7">
        <w:t xml:space="preserve"> </w:t>
      </w:r>
      <w:r w:rsidR="0009241F" w:rsidRPr="001005B7">
        <w:t>78:49</w:t>
      </w:r>
      <w:r w:rsidR="001E7AA0" w:rsidRPr="001005B7">
        <w:t xml:space="preserve"> has a comparable but shorter list</w:t>
      </w:r>
      <w:r w:rsidR="00F93C12" w:rsidRPr="001005B7">
        <w:t xml:space="preserve"> (Greenberg</w:t>
      </w:r>
      <w:r w:rsidR="00D35952" w:rsidRPr="001005B7">
        <w:t>,</w:t>
      </w:r>
      <w:r w:rsidR="00F93C12" w:rsidRPr="001005B7">
        <w:t xml:space="preserve"> </w:t>
      </w:r>
      <w:r w:rsidR="00E966C2" w:rsidRPr="001005B7">
        <w:t>1:</w:t>
      </w:r>
      <w:r w:rsidR="00F93C12" w:rsidRPr="001005B7">
        <w:t>175</w:t>
      </w:r>
      <w:r w:rsidR="00E966C2" w:rsidRPr="001005B7">
        <w:t>).</w:t>
      </w:r>
      <w:r w:rsidR="000A0C5F" w:rsidRPr="001005B7">
        <w:t xml:space="preserve"> </w:t>
      </w:r>
      <w:r w:rsidR="009C2E7F" w:rsidRPr="001005B7">
        <w:t xml:space="preserve">In some way </w:t>
      </w:r>
      <w:r w:rsidR="009C2E7F" w:rsidRPr="001005B7">
        <w:rPr>
          <w:rFonts w:cstheme="minorHAnsi"/>
        </w:rPr>
        <w:t>they</w:t>
      </w:r>
      <w:r w:rsidR="00691858" w:rsidRPr="001005B7">
        <w:rPr>
          <w:rFonts w:cstheme="minorHAnsi"/>
        </w:rPr>
        <w:t xml:space="preserve"> will</w:t>
      </w:r>
      <w:r w:rsidR="009C2E7F" w:rsidRPr="001005B7">
        <w:rPr>
          <w:rFonts w:cstheme="minorHAnsi"/>
        </w:rPr>
        <w:t xml:space="preserve"> </w:t>
      </w:r>
      <w:r w:rsidR="00DC2FAC" w:rsidRPr="001005B7">
        <w:rPr>
          <w:rFonts w:cstheme="minorHAnsi"/>
        </w:rPr>
        <w:t xml:space="preserve">indeed </w:t>
      </w:r>
      <w:r w:rsidR="009C2E7F" w:rsidRPr="001005B7">
        <w:rPr>
          <w:rFonts w:cstheme="minorHAnsi"/>
        </w:rPr>
        <w:t xml:space="preserve">stand for the Babylonians, coming from the north </w:t>
      </w:r>
      <w:r w:rsidR="004C6BB7" w:rsidRPr="001005B7">
        <w:rPr>
          <w:rFonts w:cstheme="minorHAnsi"/>
        </w:rPr>
        <w:t xml:space="preserve">as Ezekiel did and </w:t>
      </w:r>
      <w:r w:rsidR="009C2E7F" w:rsidRPr="001005B7">
        <w:rPr>
          <w:rFonts w:cstheme="minorHAnsi"/>
        </w:rPr>
        <w:t xml:space="preserve">as the Babylonians will, </w:t>
      </w:r>
      <w:r w:rsidR="00DC2FAC" w:rsidRPr="001005B7">
        <w:rPr>
          <w:rFonts w:cstheme="minorHAnsi"/>
        </w:rPr>
        <w:t xml:space="preserve">and </w:t>
      </w:r>
      <w:r w:rsidR="009C2E7F" w:rsidRPr="001005B7">
        <w:rPr>
          <w:rFonts w:cstheme="minorHAnsi"/>
        </w:rPr>
        <w:t xml:space="preserve">like the </w:t>
      </w:r>
      <w:r w:rsidR="00691858" w:rsidRPr="001005B7">
        <w:rPr>
          <w:rFonts w:cstheme="minorHAnsi"/>
        </w:rPr>
        <w:t>enemy</w:t>
      </w:r>
      <w:r w:rsidR="009C2E7F" w:rsidRPr="001005B7">
        <w:rPr>
          <w:rFonts w:cstheme="minorHAnsi"/>
        </w:rPr>
        <w:t xml:space="preserve"> </w:t>
      </w:r>
      <w:r w:rsidR="00691858" w:rsidRPr="001005B7">
        <w:rPr>
          <w:rFonts w:cstheme="minorHAnsi"/>
        </w:rPr>
        <w:t xml:space="preserve">from the north </w:t>
      </w:r>
      <w:r w:rsidR="009C2E7F" w:rsidRPr="001005B7">
        <w:rPr>
          <w:rFonts w:cstheme="minorHAnsi"/>
        </w:rPr>
        <w:t>in Jeremiah</w:t>
      </w:r>
      <w:r w:rsidR="00E966C2" w:rsidRPr="001005B7">
        <w:rPr>
          <w:rFonts w:cstheme="minorHAnsi"/>
        </w:rPr>
        <w:t xml:space="preserve"> (</w:t>
      </w:r>
      <w:r w:rsidR="00BF23C3" w:rsidRPr="001005B7">
        <w:rPr>
          <w:rFonts w:cstheme="minorHAnsi"/>
        </w:rPr>
        <w:t>Calvin</w:t>
      </w:r>
      <w:r w:rsidR="00D35952" w:rsidRPr="001005B7">
        <w:rPr>
          <w:rFonts w:cstheme="minorHAnsi"/>
        </w:rPr>
        <w:t>,</w:t>
      </w:r>
      <w:r w:rsidR="00BF23C3" w:rsidRPr="001005B7">
        <w:rPr>
          <w:rFonts w:cstheme="minorHAnsi"/>
        </w:rPr>
        <w:t xml:space="preserve"> 1:321</w:t>
      </w:r>
      <w:r w:rsidR="008D7CB6" w:rsidRPr="001005B7">
        <w:rPr>
          <w:rFonts w:cstheme="minorHAnsi"/>
        </w:rPr>
        <w:t>)</w:t>
      </w:r>
      <w:r w:rsidR="00BF23C3" w:rsidRPr="001005B7">
        <w:rPr>
          <w:rFonts w:cstheme="minorHAnsi"/>
        </w:rPr>
        <w:t>.</w:t>
      </w:r>
      <w:r w:rsidR="008D7CB6" w:rsidRPr="001005B7">
        <w:rPr>
          <w:rFonts w:cstheme="minorHAnsi"/>
        </w:rPr>
        <w:t xml:space="preserve"> </w:t>
      </w:r>
      <w:r w:rsidR="00077D05" w:rsidRPr="001005B7">
        <w:t xml:space="preserve">The seven </w:t>
      </w:r>
      <w:r w:rsidR="00C001DB" w:rsidRPr="001005B7">
        <w:t>could</w:t>
      </w:r>
      <w:r w:rsidR="00077D05" w:rsidRPr="001005B7">
        <w:t xml:space="preserve"> remind some readers of the seven divine executioners in the Babylonian Poem of </w:t>
      </w:r>
      <w:proofErr w:type="spellStart"/>
      <w:r w:rsidR="00077D05" w:rsidRPr="001005B7">
        <w:t>Erra</w:t>
      </w:r>
      <w:proofErr w:type="spellEnd"/>
      <w:r w:rsidR="00C001DB" w:rsidRPr="001005B7">
        <w:t>,</w:t>
      </w:r>
      <w:r w:rsidR="00077D05" w:rsidRPr="001005B7">
        <w:rPr>
          <w:rStyle w:val="FootnoteReference"/>
        </w:rPr>
        <w:footnoteReference w:id="252"/>
      </w:r>
      <w:r w:rsidR="00077D05" w:rsidRPr="001005B7">
        <w:t xml:space="preserve"> </w:t>
      </w:r>
      <w:r w:rsidR="00C001DB" w:rsidRPr="001005B7">
        <w:t xml:space="preserve">and </w:t>
      </w:r>
      <w:r w:rsidR="00077D05" w:rsidRPr="001005B7">
        <w:t xml:space="preserve">they might be Yahweh’s supernatural aides. </w:t>
      </w:r>
      <w:r w:rsidR="00FD2280" w:rsidRPr="001005B7">
        <w:t>“</w:t>
      </w:r>
      <w:r w:rsidR="00BA55AA" w:rsidRPr="001005B7">
        <w:t>The</w:t>
      </w:r>
      <w:r w:rsidR="00BA55AA" w:rsidRPr="001005B7">
        <w:rPr>
          <w:i/>
          <w:iCs/>
        </w:rPr>
        <w:t xml:space="preserve"> </w:t>
      </w:r>
      <w:r w:rsidR="00BA55AA" w:rsidRPr="001005B7">
        <w:t>upper</w:t>
      </w:r>
      <w:r w:rsidR="00BA55AA" w:rsidRPr="001005B7">
        <w:rPr>
          <w:i/>
          <w:iCs/>
        </w:rPr>
        <w:t xml:space="preserve"> </w:t>
      </w:r>
      <w:r w:rsidR="00BA55AA" w:rsidRPr="001005B7">
        <w:t>gateway</w:t>
      </w:r>
      <w:r w:rsidR="00BA55AA" w:rsidRPr="001005B7">
        <w:rPr>
          <w:i/>
          <w:iCs/>
        </w:rPr>
        <w:t xml:space="preserve"> </w:t>
      </w:r>
      <w:r w:rsidR="00BA55AA" w:rsidRPr="001005B7">
        <w:t>facing</w:t>
      </w:r>
      <w:r w:rsidR="00BA55AA" w:rsidRPr="001005B7">
        <w:rPr>
          <w:i/>
          <w:iCs/>
        </w:rPr>
        <w:t xml:space="preserve"> </w:t>
      </w:r>
      <w:r w:rsidR="00BA55AA" w:rsidRPr="001005B7">
        <w:t>northward</w:t>
      </w:r>
      <w:r w:rsidR="00FD2280" w:rsidRPr="001005B7">
        <w:t>”</w:t>
      </w:r>
      <w:r w:rsidR="00BA55AA" w:rsidRPr="001005B7">
        <w:rPr>
          <w:i/>
          <w:iCs/>
        </w:rPr>
        <w:t xml:space="preserve"> </w:t>
      </w:r>
      <w:r w:rsidR="00E530E6" w:rsidRPr="001005B7">
        <w:t>sounds like a</w:t>
      </w:r>
      <w:r w:rsidR="00BA55AA" w:rsidRPr="001005B7">
        <w:t xml:space="preserve"> </w:t>
      </w:r>
      <w:r w:rsidR="00402E6E" w:rsidRPr="001005B7">
        <w:t xml:space="preserve">regular </w:t>
      </w:r>
      <w:r w:rsidR="00BA55AA" w:rsidRPr="001005B7">
        <w:t xml:space="preserve">access way into the city from the north. </w:t>
      </w:r>
      <w:r w:rsidR="00F067BC">
        <w:t>It</w:t>
      </w:r>
      <w:r w:rsidR="00BA55AA" w:rsidRPr="001005B7">
        <w:t xml:space="preserve"> </w:t>
      </w:r>
      <w:r w:rsidR="00F067BC">
        <w:t>might be</w:t>
      </w:r>
      <w:r w:rsidR="00BA55AA" w:rsidRPr="001005B7">
        <w:t xml:space="preserve"> the same as </w:t>
      </w:r>
      <w:r w:rsidR="00FD2280" w:rsidRPr="001005B7">
        <w:t>“</w:t>
      </w:r>
      <w:r w:rsidR="00BA55AA" w:rsidRPr="001005B7">
        <w:t>the</w:t>
      </w:r>
      <w:r w:rsidR="00BA55AA" w:rsidRPr="001005B7">
        <w:rPr>
          <w:i/>
          <w:iCs/>
        </w:rPr>
        <w:t xml:space="preserve"> </w:t>
      </w:r>
      <w:r w:rsidR="00BA55AA" w:rsidRPr="001005B7">
        <w:t>inner</w:t>
      </w:r>
      <w:r w:rsidR="00BA55AA" w:rsidRPr="001005B7">
        <w:rPr>
          <w:i/>
          <w:iCs/>
        </w:rPr>
        <w:t xml:space="preserve"> </w:t>
      </w:r>
      <w:r w:rsidR="00BA55AA" w:rsidRPr="001005B7">
        <w:t>gateway</w:t>
      </w:r>
      <w:r w:rsidR="00BA55AA" w:rsidRPr="001005B7">
        <w:rPr>
          <w:i/>
          <w:iCs/>
        </w:rPr>
        <w:t xml:space="preserve"> </w:t>
      </w:r>
      <w:r w:rsidR="00BA55AA" w:rsidRPr="001005B7">
        <w:t>that</w:t>
      </w:r>
      <w:r w:rsidR="00BA55AA" w:rsidRPr="001005B7">
        <w:rPr>
          <w:i/>
          <w:iCs/>
        </w:rPr>
        <w:t xml:space="preserve"> </w:t>
      </w:r>
      <w:r w:rsidR="00BA55AA" w:rsidRPr="001005B7">
        <w:t>faces</w:t>
      </w:r>
      <w:r w:rsidR="00BA55AA" w:rsidRPr="001005B7">
        <w:rPr>
          <w:i/>
          <w:iCs/>
        </w:rPr>
        <w:t xml:space="preserve"> </w:t>
      </w:r>
      <w:r w:rsidR="00BA55AA" w:rsidRPr="001005B7">
        <w:t>northward</w:t>
      </w:r>
      <w:r w:rsidR="00E42F15" w:rsidRPr="001005B7">
        <w:t>”</w:t>
      </w:r>
      <w:r w:rsidR="00BA55AA" w:rsidRPr="001005B7">
        <w:rPr>
          <w:i/>
          <w:iCs/>
        </w:rPr>
        <w:t xml:space="preserve"> </w:t>
      </w:r>
      <w:r w:rsidR="00BA55AA" w:rsidRPr="001005B7">
        <w:t>(8:3)</w:t>
      </w:r>
      <w:r w:rsidR="00E71C71" w:rsidRPr="001005B7">
        <w:t xml:space="preserve">, </w:t>
      </w:r>
      <w:r w:rsidR="00187A6C" w:rsidRPr="001005B7">
        <w:t>since</w:t>
      </w:r>
      <w:r w:rsidR="00BA55AA" w:rsidRPr="001005B7">
        <w:t xml:space="preserve"> the further north one goes in the city, the more </w:t>
      </w:r>
      <w:r w:rsidR="00E42F15" w:rsidRPr="001005B7">
        <w:t>“</w:t>
      </w:r>
      <w:r w:rsidR="00BA55AA" w:rsidRPr="001005B7">
        <w:t>upper</w:t>
      </w:r>
      <w:r w:rsidR="00E42F15" w:rsidRPr="001005B7">
        <w:t>”</w:t>
      </w:r>
      <w:r w:rsidR="00BA55AA" w:rsidRPr="001005B7">
        <w:rPr>
          <w:i/>
          <w:iCs/>
        </w:rPr>
        <w:t xml:space="preserve"> </w:t>
      </w:r>
      <w:r w:rsidR="00BA55AA" w:rsidRPr="001005B7">
        <w:t>one is. But the difference in the form of expression make</w:t>
      </w:r>
      <w:r w:rsidR="00E530E6" w:rsidRPr="001005B7">
        <w:t>s</w:t>
      </w:r>
      <w:r w:rsidR="00BA55AA" w:rsidRPr="001005B7">
        <w:t xml:space="preserve"> it look as if Ezekiel </w:t>
      </w:r>
      <w:r w:rsidR="003F679B">
        <w:t>might be</w:t>
      </w:r>
      <w:r w:rsidR="00BA55AA" w:rsidRPr="001005B7">
        <w:t xml:space="preserve"> deliberately distinguishing them</w:t>
      </w:r>
      <w:r w:rsidR="00CE47D7" w:rsidRPr="001005B7">
        <w:rPr>
          <w:rFonts w:cstheme="minorHAnsi"/>
        </w:rPr>
        <w:t xml:space="preserve">. </w:t>
      </w:r>
      <w:r w:rsidR="007F2EFF" w:rsidRPr="001005B7">
        <w:t xml:space="preserve">The </w:t>
      </w:r>
      <w:r w:rsidR="00E0060A" w:rsidRPr="001005B7">
        <w:t xml:space="preserve">six </w:t>
      </w:r>
      <w:r w:rsidR="008F3FA4" w:rsidRPr="001005B7">
        <w:t xml:space="preserve">aides’ weapon is now a </w:t>
      </w:r>
      <w:r w:rsidR="00F3063F" w:rsidRPr="001005B7">
        <w:t>“</w:t>
      </w:r>
      <w:r w:rsidR="008F3FA4" w:rsidRPr="001005B7">
        <w:t>shattering</w:t>
      </w:r>
      <w:r w:rsidR="007F2EFF" w:rsidRPr="001005B7">
        <w:t xml:space="preserve"> instrument</w:t>
      </w:r>
      <w:r w:rsidR="0095201E" w:rsidRPr="001005B7">
        <w:t>.</w:t>
      </w:r>
      <w:r w:rsidR="00F3063F" w:rsidRPr="001005B7">
        <w:t>”</w:t>
      </w:r>
      <w:r w:rsidR="0095201E" w:rsidRPr="001005B7">
        <w:t xml:space="preserve"> W</w:t>
      </w:r>
      <w:r w:rsidR="00675D3D" w:rsidRPr="001005B7">
        <w:t xml:space="preserve">e never discover </w:t>
      </w:r>
      <w:r w:rsidR="00402812" w:rsidRPr="001005B7">
        <w:t xml:space="preserve">its </w:t>
      </w:r>
      <w:r w:rsidR="00675D3D" w:rsidRPr="001005B7">
        <w:t>nature</w:t>
      </w:r>
      <w:r w:rsidR="008F3FA4" w:rsidRPr="001005B7">
        <w:rPr>
          <w:i/>
          <w:iCs/>
        </w:rPr>
        <w:t>.</w:t>
      </w:r>
      <w:r w:rsidR="00483DDE" w:rsidRPr="001005B7">
        <w:t xml:space="preserve"> </w:t>
      </w:r>
      <w:r w:rsidR="00E0060A" w:rsidRPr="001005B7">
        <w:t xml:space="preserve">The </w:t>
      </w:r>
      <w:r w:rsidR="00D66E07" w:rsidRPr="001005B7">
        <w:t>linen clothing of the seventh aide</w:t>
      </w:r>
      <w:r w:rsidR="002113A0" w:rsidRPr="001005B7">
        <w:t xml:space="preserve"> </w:t>
      </w:r>
      <w:r w:rsidR="005F75E1" w:rsidRPr="001005B7">
        <w:t>marks him out</w:t>
      </w:r>
      <w:r w:rsidR="00B01017" w:rsidRPr="001005B7">
        <w:t>.</w:t>
      </w:r>
      <w:r w:rsidR="00C37011" w:rsidRPr="001005B7">
        <w:rPr>
          <w:rStyle w:val="FootnoteReference"/>
        </w:rPr>
        <w:footnoteReference w:id="253"/>
      </w:r>
      <w:r w:rsidR="00B01017" w:rsidRPr="001005B7">
        <w:t xml:space="preserve"> </w:t>
      </w:r>
      <w:r w:rsidR="00491049" w:rsidRPr="001005B7">
        <w:t xml:space="preserve">Priests wore linen (e.g., </w:t>
      </w:r>
      <w:r w:rsidR="007F4731" w:rsidRPr="001005B7">
        <w:t>Lev 6:10</w:t>
      </w:r>
      <w:r w:rsidR="001761B3" w:rsidRPr="001005B7">
        <w:t>; 1</w:t>
      </w:r>
      <w:r w:rsidR="000223FD" w:rsidRPr="001005B7">
        <w:t> </w:t>
      </w:r>
      <w:r w:rsidR="001761B3" w:rsidRPr="001005B7">
        <w:t>Sam 22</w:t>
      </w:r>
      <w:r w:rsidR="00C35211" w:rsidRPr="001005B7">
        <w:t xml:space="preserve">:18), </w:t>
      </w:r>
      <w:r w:rsidR="00675D3D" w:rsidRPr="001005B7">
        <w:t xml:space="preserve">as later do divine aides </w:t>
      </w:r>
      <w:r w:rsidR="00ED1C69" w:rsidRPr="001005B7">
        <w:t>(e.g., Dan 10:5; 12:</w:t>
      </w:r>
      <w:r w:rsidR="00D91A3E" w:rsidRPr="001005B7">
        <w:t xml:space="preserve">6, 7), </w:t>
      </w:r>
      <w:r w:rsidR="00C35211" w:rsidRPr="001005B7">
        <w:t>and priests functioned as scribes</w:t>
      </w:r>
      <w:r w:rsidR="001A70A5" w:rsidRPr="001005B7">
        <w:t xml:space="preserve"> (e.g., Ezra </w:t>
      </w:r>
      <w:r w:rsidR="00305510" w:rsidRPr="001005B7">
        <w:t xml:space="preserve">7:11), but </w:t>
      </w:r>
      <w:r w:rsidR="00E33640" w:rsidRPr="001005B7">
        <w:t>it is not yet clear what is to be a scribe’s role in the scene that may unfold</w:t>
      </w:r>
      <w:r w:rsidR="0098517C" w:rsidRPr="001005B7">
        <w:t>.</w:t>
      </w:r>
      <w:r w:rsidR="00E33640" w:rsidRPr="001005B7">
        <w:t xml:space="preserve"> </w:t>
      </w:r>
      <w:r w:rsidR="00D91A3E" w:rsidRPr="001005B7">
        <w:t>It would be plausible for the</w:t>
      </w:r>
      <w:r w:rsidR="002740BC" w:rsidRPr="001005B7">
        <w:t xml:space="preserve"> aide </w:t>
      </w:r>
      <w:r w:rsidR="00D91A3E" w:rsidRPr="001005B7">
        <w:t xml:space="preserve">to be there </w:t>
      </w:r>
      <w:r w:rsidR="00962734" w:rsidRPr="001005B7">
        <w:t xml:space="preserve">just to list </w:t>
      </w:r>
      <w:r w:rsidR="00D91A3E" w:rsidRPr="001005B7">
        <w:t>people’s</w:t>
      </w:r>
      <w:r w:rsidR="00962734" w:rsidRPr="001005B7">
        <w:t xml:space="preserve"> wrongdoing</w:t>
      </w:r>
      <w:r w:rsidR="000A60DA" w:rsidRPr="001005B7">
        <w:t>s (</w:t>
      </w:r>
      <w:r w:rsidR="00BB769F" w:rsidRPr="001005B7">
        <w:t>c</w:t>
      </w:r>
      <w:r w:rsidR="000A60DA" w:rsidRPr="001005B7">
        <w:t>f. Jerome, 100).</w:t>
      </w:r>
      <w:r w:rsidR="00962734" w:rsidRPr="001005B7">
        <w:t xml:space="preserve"> </w:t>
      </w:r>
      <w:r w:rsidR="00C80D97" w:rsidRPr="001005B7">
        <w:t>But f</w:t>
      </w:r>
      <w:r w:rsidR="00F674F9" w:rsidRPr="001005B7">
        <w:t xml:space="preserve">or the moment, all seven take their stand </w:t>
      </w:r>
      <w:r w:rsidR="00F3063F" w:rsidRPr="001005B7">
        <w:t>“</w:t>
      </w:r>
      <w:r w:rsidR="001639A9" w:rsidRPr="001005B7">
        <w:t>next</w:t>
      </w:r>
      <w:r w:rsidR="001639A9" w:rsidRPr="001005B7">
        <w:rPr>
          <w:i/>
          <w:iCs/>
        </w:rPr>
        <w:t xml:space="preserve"> </w:t>
      </w:r>
      <w:r w:rsidR="001639A9" w:rsidRPr="001005B7">
        <w:t>to</w:t>
      </w:r>
      <w:r w:rsidR="001639A9" w:rsidRPr="001005B7">
        <w:rPr>
          <w:i/>
          <w:iCs/>
        </w:rPr>
        <w:t xml:space="preserve"> </w:t>
      </w:r>
      <w:r w:rsidR="001639A9" w:rsidRPr="001005B7">
        <w:t>the</w:t>
      </w:r>
      <w:r w:rsidR="001639A9" w:rsidRPr="001005B7">
        <w:rPr>
          <w:i/>
          <w:iCs/>
        </w:rPr>
        <w:t xml:space="preserve"> </w:t>
      </w:r>
      <w:r w:rsidR="001639A9" w:rsidRPr="001005B7">
        <w:t>bronze</w:t>
      </w:r>
      <w:r w:rsidR="001639A9" w:rsidRPr="001005B7">
        <w:rPr>
          <w:i/>
          <w:iCs/>
        </w:rPr>
        <w:t xml:space="preserve"> </w:t>
      </w:r>
      <w:r w:rsidR="001639A9" w:rsidRPr="001005B7">
        <w:t>altar,</w:t>
      </w:r>
      <w:r w:rsidR="00F3063F" w:rsidRPr="001005B7">
        <w:t>”</w:t>
      </w:r>
      <w:r w:rsidR="001639A9" w:rsidRPr="001005B7">
        <w:t xml:space="preserve"> </w:t>
      </w:r>
      <w:r w:rsidR="006938A8" w:rsidRPr="001005B7">
        <w:t xml:space="preserve">presumably the burnt offering altar </w:t>
      </w:r>
      <w:r w:rsidR="00D07ACD">
        <w:t>(</w:t>
      </w:r>
      <w:r w:rsidR="006938A8" w:rsidRPr="001005B7">
        <w:t>8:16</w:t>
      </w:r>
      <w:r w:rsidR="00D07ACD">
        <w:t>)</w:t>
      </w:r>
      <w:r w:rsidR="00A57CD4" w:rsidRPr="001005B7">
        <w:t>, which could symbolize the presence of Yahweh.</w:t>
      </w:r>
    </w:p>
    <w:p w14:paraId="4329DDFD" w14:textId="48CA18A1" w:rsidR="002F4C28" w:rsidRPr="001005B7" w:rsidRDefault="008B5B44" w:rsidP="00F646A0">
      <w:pPr>
        <w:rPr>
          <w:i/>
          <w:iCs/>
        </w:rPr>
      </w:pPr>
      <w:r w:rsidRPr="001005B7">
        <w:rPr>
          <w:b/>
          <w:bCs/>
        </w:rPr>
        <w:t>9:</w:t>
      </w:r>
      <w:r w:rsidR="00A57CD4" w:rsidRPr="001005B7">
        <w:rPr>
          <w:b/>
          <w:bCs/>
        </w:rPr>
        <w:t xml:space="preserve">3 </w:t>
      </w:r>
      <w:r w:rsidR="00127E51" w:rsidRPr="001005B7">
        <w:t>“Griffin</w:t>
      </w:r>
      <w:r w:rsidR="00E124B4" w:rsidRPr="001005B7">
        <w:t>”</w:t>
      </w:r>
      <w:r w:rsidR="00426A37" w:rsidRPr="001005B7">
        <w:t xml:space="preserve"> translates </w:t>
      </w:r>
      <w:r w:rsidR="000630F8" w:rsidRPr="001005B7">
        <w:rPr>
          <w:rFonts w:cstheme="minorHAnsi"/>
          <w:rtl/>
          <w:lang w:bidi="he-IL"/>
        </w:rPr>
        <w:t>כ</w:t>
      </w:r>
      <w:r w:rsidR="008E784E" w:rsidRPr="001005B7">
        <w:rPr>
          <w:rFonts w:cstheme="minorHAnsi"/>
          <w:rtl/>
          <w:lang w:bidi="he-IL"/>
        </w:rPr>
        <w:t>ּ</w:t>
      </w:r>
      <w:r w:rsidR="000630F8" w:rsidRPr="001005B7">
        <w:rPr>
          <w:rFonts w:cstheme="minorHAnsi"/>
          <w:rtl/>
          <w:lang w:bidi="he-IL"/>
        </w:rPr>
        <w:t>ְרוּב</w:t>
      </w:r>
      <w:r w:rsidR="005A63CF" w:rsidRPr="001005B7">
        <w:t>,</w:t>
      </w:r>
      <w:r w:rsidR="00EB3BC0" w:rsidRPr="001005B7">
        <w:t xml:space="preserve"> traditionally transliterated as</w:t>
      </w:r>
      <w:r w:rsidR="00EF1450" w:rsidRPr="001005B7">
        <w:t xml:space="preserve"> “cherub</w:t>
      </w:r>
      <w:r w:rsidR="00352513" w:rsidRPr="001005B7">
        <w:t>.</w:t>
      </w:r>
      <w:r w:rsidR="00265546" w:rsidRPr="001005B7">
        <w:t>”</w:t>
      </w:r>
      <w:r w:rsidR="00193787" w:rsidRPr="001005B7">
        <w:t xml:space="preserve"> </w:t>
      </w:r>
      <w:r w:rsidR="002621DF" w:rsidRPr="001005B7">
        <w:t>Elsewhere, a</w:t>
      </w:r>
      <w:r w:rsidR="00193787" w:rsidRPr="001005B7">
        <w:t xml:space="preserve"> </w:t>
      </w:r>
      <w:r w:rsidR="00127E51" w:rsidRPr="001005B7">
        <w:t>griffin</w:t>
      </w:r>
      <w:r w:rsidR="00F646A0" w:rsidRPr="001005B7">
        <w:t xml:space="preserve"> i</w:t>
      </w:r>
      <w:r w:rsidR="008C6E7B" w:rsidRPr="001005B7">
        <w:t xml:space="preserve">s a being that is part human, </w:t>
      </w:r>
      <w:r w:rsidR="003F13EF" w:rsidRPr="001005B7">
        <w:t>part animal, and part bird</w:t>
      </w:r>
      <w:r w:rsidR="006A6AC4" w:rsidRPr="001005B7">
        <w:t xml:space="preserve">, </w:t>
      </w:r>
      <w:r w:rsidR="0026579E" w:rsidRPr="001005B7">
        <w:t xml:space="preserve">can function as a </w:t>
      </w:r>
      <w:r w:rsidR="00520120" w:rsidRPr="001005B7">
        <w:t xml:space="preserve">temple </w:t>
      </w:r>
      <w:r w:rsidR="0026579E" w:rsidRPr="001005B7">
        <w:t xml:space="preserve">guardian, and can be </w:t>
      </w:r>
      <w:r w:rsidR="00FB285B" w:rsidRPr="001005B7">
        <w:t xml:space="preserve">represented </w:t>
      </w:r>
      <w:r w:rsidR="00374439" w:rsidRPr="001005B7">
        <w:t xml:space="preserve">in </w:t>
      </w:r>
      <w:r w:rsidR="0096265E" w:rsidRPr="001005B7">
        <w:t>statue</w:t>
      </w:r>
      <w:r w:rsidR="00374439" w:rsidRPr="001005B7">
        <w:t xml:space="preserve"> form</w:t>
      </w:r>
      <w:r w:rsidR="002621DF" w:rsidRPr="001005B7">
        <w:t xml:space="preserve">. </w:t>
      </w:r>
      <w:r w:rsidR="00985541" w:rsidRPr="001005B7">
        <w:t>I</w:t>
      </w:r>
      <w:r w:rsidR="00D8043F" w:rsidRPr="001005B7">
        <w:t xml:space="preserve">t thus </w:t>
      </w:r>
      <w:r w:rsidR="00686D2B" w:rsidRPr="001005B7">
        <w:t>fits</w:t>
      </w:r>
      <w:r w:rsidR="003A22D5" w:rsidRPr="001005B7">
        <w:rPr>
          <w:rFonts w:cstheme="minorHAnsi"/>
        </w:rPr>
        <w:t xml:space="preserve"> </w:t>
      </w:r>
      <w:r w:rsidR="00352513" w:rsidRPr="001005B7">
        <w:rPr>
          <w:rFonts w:cstheme="minorHAnsi"/>
        </w:rPr>
        <w:t xml:space="preserve">both </w:t>
      </w:r>
      <w:r w:rsidR="003A22D5" w:rsidRPr="001005B7">
        <w:rPr>
          <w:rFonts w:cstheme="minorHAnsi"/>
        </w:rPr>
        <w:t xml:space="preserve">the </w:t>
      </w:r>
      <w:r w:rsidR="00985541" w:rsidRPr="001005B7">
        <w:rPr>
          <w:rFonts w:cstheme="minorHAnsi"/>
          <w:rtl/>
          <w:lang w:bidi="he-IL"/>
        </w:rPr>
        <w:t>כְרוּבׅים</w:t>
      </w:r>
      <w:r w:rsidR="00834C71" w:rsidRPr="001005B7">
        <w:rPr>
          <w:rFonts w:cstheme="minorHAnsi"/>
        </w:rPr>
        <w:t xml:space="preserve"> above the covenant chest</w:t>
      </w:r>
      <w:r w:rsidR="003A22D5" w:rsidRPr="001005B7">
        <w:rPr>
          <w:rFonts w:cstheme="minorHAnsi"/>
        </w:rPr>
        <w:t xml:space="preserve"> </w:t>
      </w:r>
      <w:r w:rsidR="00AC55C3" w:rsidRPr="001005B7">
        <w:rPr>
          <w:rFonts w:cstheme="minorHAnsi"/>
        </w:rPr>
        <w:t>in the temple</w:t>
      </w:r>
      <w:r w:rsidR="00985541" w:rsidRPr="001005B7">
        <w:rPr>
          <w:rFonts w:cstheme="minorHAnsi"/>
        </w:rPr>
        <w:t xml:space="preserve"> and the creatures</w:t>
      </w:r>
      <w:r w:rsidR="00AC55C3" w:rsidRPr="001005B7">
        <w:rPr>
          <w:rFonts w:cstheme="minorHAnsi"/>
        </w:rPr>
        <w:t xml:space="preserve"> in Ezek 1</w:t>
      </w:r>
      <w:r w:rsidR="003F74CF" w:rsidRPr="001005B7">
        <w:rPr>
          <w:rFonts w:cstheme="minorHAnsi"/>
        </w:rPr>
        <w:t xml:space="preserve">. </w:t>
      </w:r>
      <w:r w:rsidR="00E42982" w:rsidRPr="001005B7">
        <w:rPr>
          <w:rFonts w:cstheme="minorHAnsi"/>
        </w:rPr>
        <w:t>While</w:t>
      </w:r>
      <w:r w:rsidR="006172AC" w:rsidRPr="001005B7">
        <w:rPr>
          <w:rFonts w:cstheme="minorHAnsi"/>
        </w:rPr>
        <w:t xml:space="preserve"> </w:t>
      </w:r>
      <w:r w:rsidR="00A23E48" w:rsidRPr="001005B7">
        <w:rPr>
          <w:rFonts w:cstheme="minorHAnsi"/>
        </w:rPr>
        <w:t>Ezek 1</w:t>
      </w:r>
      <w:r w:rsidR="006172AC" w:rsidRPr="001005B7">
        <w:rPr>
          <w:rFonts w:cstheme="minorHAnsi"/>
        </w:rPr>
        <w:t xml:space="preserve"> did not use the word</w:t>
      </w:r>
      <w:r w:rsidR="003F74CF" w:rsidRPr="001005B7">
        <w:rPr>
          <w:rFonts w:cstheme="minorHAnsi"/>
        </w:rPr>
        <w:t>,</w:t>
      </w:r>
      <w:r w:rsidR="006172AC" w:rsidRPr="001005B7">
        <w:rPr>
          <w:rFonts w:cstheme="minorHAnsi"/>
        </w:rPr>
        <w:t xml:space="preserve"> Ezek</w:t>
      </w:r>
      <w:r w:rsidR="00961188" w:rsidRPr="001005B7">
        <w:t xml:space="preserve"> 10 will</w:t>
      </w:r>
      <w:r w:rsidR="00265546" w:rsidRPr="001005B7">
        <w:t xml:space="preserve"> (see the </w:t>
      </w:r>
      <w:r w:rsidR="00D14DAA">
        <w:t>B</w:t>
      </w:r>
      <w:r w:rsidR="00DF52FC" w:rsidRPr="001005B7">
        <w:t xml:space="preserve">iblical </w:t>
      </w:r>
      <w:r w:rsidR="00D14DAA">
        <w:t>T</w:t>
      </w:r>
      <w:r w:rsidR="00DF52FC" w:rsidRPr="001005B7">
        <w:t xml:space="preserve">heology </w:t>
      </w:r>
      <w:r w:rsidR="006B500D" w:rsidRPr="001005B7">
        <w:t>c</w:t>
      </w:r>
      <w:r w:rsidR="00DF52FC" w:rsidRPr="001005B7">
        <w:t>omments</w:t>
      </w:r>
      <w:r w:rsidR="00265546" w:rsidRPr="001005B7">
        <w:t xml:space="preserve"> t</w:t>
      </w:r>
      <w:r w:rsidR="00323C62" w:rsidRPr="001005B7">
        <w:t>here</w:t>
      </w:r>
      <w:r w:rsidR="00265546" w:rsidRPr="001005B7">
        <w:t>). Ezek</w:t>
      </w:r>
      <w:r w:rsidR="00A6166E">
        <w:t>iel</w:t>
      </w:r>
      <w:r w:rsidR="00AB2913" w:rsidRPr="001005B7">
        <w:t xml:space="preserve"> move</w:t>
      </w:r>
      <w:r w:rsidR="00A6166E">
        <w:t>s</w:t>
      </w:r>
      <w:r w:rsidR="00AB2913" w:rsidRPr="001005B7">
        <w:t xml:space="preserve"> </w:t>
      </w:r>
      <w:r w:rsidR="00540C4C" w:rsidRPr="001005B7">
        <w:t>appare</w:t>
      </w:r>
      <w:r w:rsidR="00BD3803" w:rsidRPr="001005B7">
        <w:t>n</w:t>
      </w:r>
      <w:r w:rsidR="00540C4C" w:rsidRPr="001005B7">
        <w:t xml:space="preserve">tly randomly </w:t>
      </w:r>
      <w:r w:rsidR="00AB2913" w:rsidRPr="001005B7">
        <w:t>between singular and plural</w:t>
      </w:r>
      <w:r w:rsidR="006172AC" w:rsidRPr="001005B7">
        <w:t>.</w:t>
      </w:r>
      <w:r w:rsidR="00457451" w:rsidRPr="001005B7">
        <w:t xml:space="preserve"> </w:t>
      </w:r>
      <w:r w:rsidR="000514E8" w:rsidRPr="001005B7">
        <w:t>The background</w:t>
      </w:r>
      <w:r w:rsidR="004D54C2">
        <w:t xml:space="preserve"> </w:t>
      </w:r>
      <w:r w:rsidR="000514E8" w:rsidRPr="001005B7">
        <w:t xml:space="preserve">may be </w:t>
      </w:r>
      <w:r w:rsidR="00702E83" w:rsidRPr="001005B7">
        <w:t xml:space="preserve">that </w:t>
      </w:r>
      <w:r w:rsidR="00DE739B" w:rsidRPr="001005B7">
        <w:t xml:space="preserve">the </w:t>
      </w:r>
      <w:r w:rsidR="00EE26A1" w:rsidRPr="001005B7">
        <w:t xml:space="preserve">covenant chest with the </w:t>
      </w:r>
      <w:r w:rsidR="00E124B4" w:rsidRPr="001005B7">
        <w:t>griffin</w:t>
      </w:r>
      <w:r w:rsidR="00EE26A1" w:rsidRPr="001005B7">
        <w:t xml:space="preserve">s over it lies </w:t>
      </w:r>
      <w:r w:rsidR="00E77D41" w:rsidRPr="001005B7">
        <w:t>on a north-sout</w:t>
      </w:r>
      <w:r w:rsidR="005202C1" w:rsidRPr="001005B7">
        <w:t>h</w:t>
      </w:r>
      <w:r w:rsidR="00E77D41" w:rsidRPr="001005B7">
        <w:t xml:space="preserve"> axis, facing east</w:t>
      </w:r>
      <w:r w:rsidR="002A4007" w:rsidRPr="001005B7">
        <w:t xml:space="preserve">, </w:t>
      </w:r>
      <w:r w:rsidR="00F34240" w:rsidRPr="001005B7">
        <w:t>s</w:t>
      </w:r>
      <w:r w:rsidR="002A4007" w:rsidRPr="001005B7">
        <w:t>o that</w:t>
      </w:r>
      <w:r w:rsidR="005202C1" w:rsidRPr="001005B7">
        <w:t xml:space="preserve"> the chest’s poles can be seen from the entrance </w:t>
      </w:r>
      <w:r w:rsidR="00890B40" w:rsidRPr="001005B7">
        <w:t>t</w:t>
      </w:r>
      <w:r w:rsidR="005202C1" w:rsidRPr="001005B7">
        <w:t>o the sanctuary (</w:t>
      </w:r>
      <w:r w:rsidR="002B32E2" w:rsidRPr="001005B7">
        <w:t>1 Kgs</w:t>
      </w:r>
      <w:r w:rsidR="005202C1" w:rsidRPr="001005B7">
        <w:t xml:space="preserve"> 8:8)</w:t>
      </w:r>
      <w:r w:rsidR="00E77D41" w:rsidRPr="001005B7">
        <w:t xml:space="preserve">. Therefore </w:t>
      </w:r>
      <w:r w:rsidR="00171A0C" w:rsidRPr="001005B7">
        <w:t>someone entering the sanctuary</w:t>
      </w:r>
      <w:r w:rsidR="00E77D41" w:rsidRPr="001005B7">
        <w:t xml:space="preserve"> sees one </w:t>
      </w:r>
      <w:r w:rsidR="00E124B4" w:rsidRPr="001005B7">
        <w:t>griffin</w:t>
      </w:r>
      <w:r w:rsidR="00B516A5" w:rsidRPr="001005B7">
        <w:t xml:space="preserve"> (</w:t>
      </w:r>
      <w:proofErr w:type="spellStart"/>
      <w:r w:rsidR="00B516A5" w:rsidRPr="001005B7">
        <w:t>Zimmerli</w:t>
      </w:r>
      <w:proofErr w:type="spellEnd"/>
      <w:r w:rsidR="0046326C" w:rsidRPr="001005B7">
        <w:t>,</w:t>
      </w:r>
      <w:r w:rsidR="00B516A5" w:rsidRPr="001005B7">
        <w:rPr>
          <w:i/>
          <w:iCs/>
        </w:rPr>
        <w:t xml:space="preserve"> </w:t>
      </w:r>
      <w:r w:rsidR="00B516A5" w:rsidRPr="001005B7">
        <w:t>1:250).</w:t>
      </w:r>
      <w:r w:rsidR="00CC3E31" w:rsidRPr="001005B7">
        <w:t xml:space="preserve"> </w:t>
      </w:r>
      <w:r w:rsidR="00457451" w:rsidRPr="001005B7">
        <w:t xml:space="preserve">It seems likely that </w:t>
      </w:r>
      <w:r w:rsidR="002E08BF">
        <w:t xml:space="preserve">here </w:t>
      </w:r>
      <w:r w:rsidR="008F738E" w:rsidRPr="001005B7">
        <w:t>in 9:3</w:t>
      </w:r>
      <w:r w:rsidR="00845B24" w:rsidRPr="001005B7">
        <w:t>, in</w:t>
      </w:r>
      <w:r w:rsidR="00457451" w:rsidRPr="001005B7">
        <w:t xml:space="preserve"> </w:t>
      </w:r>
      <w:r w:rsidR="00515788" w:rsidRPr="001005B7">
        <w:t>the context of</w:t>
      </w:r>
      <w:r w:rsidR="00457451" w:rsidRPr="001005B7">
        <w:t xml:space="preserve"> a scene in the temple, </w:t>
      </w:r>
      <w:r w:rsidR="00270B01" w:rsidRPr="001005B7">
        <w:t xml:space="preserve">Ezekiel is referring to Yahweh’s </w:t>
      </w:r>
      <w:r w:rsidR="00180CEB" w:rsidRPr="001005B7">
        <w:t>magnificence</w:t>
      </w:r>
      <w:r w:rsidR="006172AC" w:rsidRPr="001005B7">
        <w:t xml:space="preserve"> </w:t>
      </w:r>
      <w:r w:rsidR="00E74DF3" w:rsidRPr="001005B7">
        <w:t>as enthroned on</w:t>
      </w:r>
      <w:r w:rsidR="00B127AE" w:rsidRPr="001005B7">
        <w:t xml:space="preserve"> the</w:t>
      </w:r>
      <w:r w:rsidR="000D685C" w:rsidRPr="001005B7">
        <w:t xml:space="preserve"> [</w:t>
      </w:r>
      <w:r w:rsidR="005364F2" w:rsidRPr="001005B7">
        <w:rPr>
          <w:rFonts w:cstheme="minorHAnsi"/>
          <w:rtl/>
          <w:lang w:bidi="he-IL"/>
        </w:rPr>
        <w:t>ים</w:t>
      </w:r>
      <w:r w:rsidR="00AE3015" w:rsidRPr="001005B7">
        <w:t>]</w:t>
      </w:r>
      <w:r w:rsidR="001E173F" w:rsidRPr="001005B7">
        <w:rPr>
          <w:rFonts w:cstheme="minorHAnsi"/>
          <w:rtl/>
          <w:lang w:bidi="he-IL"/>
        </w:rPr>
        <w:t>כ</w:t>
      </w:r>
      <w:r w:rsidR="00FB1A28" w:rsidRPr="001005B7">
        <w:rPr>
          <w:rFonts w:cstheme="minorHAnsi"/>
          <w:rtl/>
          <w:lang w:bidi="he-IL"/>
        </w:rPr>
        <w:t>ּ</w:t>
      </w:r>
      <w:r w:rsidR="001E173F" w:rsidRPr="001005B7">
        <w:rPr>
          <w:rFonts w:cstheme="minorHAnsi"/>
          <w:rtl/>
          <w:lang w:bidi="he-IL"/>
        </w:rPr>
        <w:t>ְרוּב</w:t>
      </w:r>
      <w:r w:rsidR="00EB30AF" w:rsidRPr="001005B7">
        <w:rPr>
          <w:rFonts w:cstheme="minorHAnsi"/>
        </w:rPr>
        <w:t xml:space="preserve"> (Tg</w:t>
      </w:r>
      <w:r w:rsidR="00E25618" w:rsidRPr="001005B7">
        <w:rPr>
          <w:rFonts w:cstheme="minorHAnsi"/>
        </w:rPr>
        <w:t>.</w:t>
      </w:r>
      <w:r w:rsidR="00EB30AF" w:rsidRPr="001005B7">
        <w:rPr>
          <w:rFonts w:cstheme="minorHAnsi"/>
        </w:rPr>
        <w:t>)</w:t>
      </w:r>
      <w:r w:rsidR="0066438B" w:rsidRPr="001005B7">
        <w:rPr>
          <w:rFonts w:cstheme="minorHAnsi"/>
        </w:rPr>
        <w:t xml:space="preserve"> </w:t>
      </w:r>
      <w:r w:rsidR="00970C78">
        <w:rPr>
          <w:rFonts w:cstheme="minorHAnsi"/>
        </w:rPr>
        <w:t xml:space="preserve">there </w:t>
      </w:r>
      <w:r w:rsidR="0066438B" w:rsidRPr="001005B7">
        <w:rPr>
          <w:rFonts w:cstheme="minorHAnsi"/>
        </w:rPr>
        <w:t>and is</w:t>
      </w:r>
      <w:r w:rsidR="0076183C" w:rsidRPr="001005B7">
        <w:rPr>
          <w:rFonts w:cstheme="minorHAnsi"/>
        </w:rPr>
        <w:t xml:space="preserve"> describing Yahweh as moving from there to </w:t>
      </w:r>
      <w:r w:rsidR="00FB176C" w:rsidRPr="001005B7">
        <w:rPr>
          <w:rFonts w:cstheme="minorHAnsi"/>
        </w:rPr>
        <w:t>the temple</w:t>
      </w:r>
      <w:r w:rsidR="00A76D97" w:rsidRPr="001005B7">
        <w:rPr>
          <w:rFonts w:cstheme="minorHAnsi"/>
          <w:i/>
          <w:iCs/>
        </w:rPr>
        <w:t xml:space="preserve"> </w:t>
      </w:r>
      <w:r w:rsidR="00A76D97" w:rsidRPr="001005B7">
        <w:rPr>
          <w:rFonts w:cstheme="minorHAnsi"/>
        </w:rPr>
        <w:t xml:space="preserve">threshold in order to </w:t>
      </w:r>
      <w:r w:rsidR="006F46B9" w:rsidRPr="001005B7">
        <w:rPr>
          <w:rFonts w:cstheme="minorHAnsi"/>
        </w:rPr>
        <w:t>address his a</w:t>
      </w:r>
      <w:r w:rsidR="00FB176C" w:rsidRPr="001005B7">
        <w:rPr>
          <w:rFonts w:cstheme="minorHAnsi"/>
        </w:rPr>
        <w:t>gent</w:t>
      </w:r>
      <w:r w:rsidR="006F46B9" w:rsidRPr="001005B7">
        <w:rPr>
          <w:rFonts w:cstheme="minorHAnsi"/>
        </w:rPr>
        <w:t>s.</w:t>
      </w:r>
      <w:r w:rsidR="00BD28D2" w:rsidRPr="001005B7">
        <w:rPr>
          <w:rFonts w:cstheme="minorHAnsi"/>
        </w:rPr>
        <w:t xml:space="preserve"> Thus his movement is not yet related to the idea of his leaving </w:t>
      </w:r>
      <w:r w:rsidR="00256F02" w:rsidRPr="001005B7">
        <w:rPr>
          <w:rFonts w:cstheme="minorHAnsi"/>
        </w:rPr>
        <w:t>the temple</w:t>
      </w:r>
      <w:r w:rsidR="00AD0430" w:rsidRPr="001005B7">
        <w:rPr>
          <w:rFonts w:cstheme="minorHAnsi"/>
        </w:rPr>
        <w:t>, which</w:t>
      </w:r>
      <w:r w:rsidR="00256F02" w:rsidRPr="001005B7">
        <w:rPr>
          <w:rFonts w:cstheme="minorHAnsi"/>
        </w:rPr>
        <w:t xml:space="preserve"> will come later. But anyway, the First Testament</w:t>
      </w:r>
      <w:r w:rsidR="002E44F7" w:rsidRPr="001005B7">
        <w:rPr>
          <w:rFonts w:cstheme="minorHAnsi"/>
        </w:rPr>
        <w:t xml:space="preserve"> recognizes that </w:t>
      </w:r>
      <w:r w:rsidR="00256F02" w:rsidRPr="001005B7">
        <w:rPr>
          <w:rFonts w:cstheme="minorHAnsi"/>
        </w:rPr>
        <w:t xml:space="preserve">Yahweh and his </w:t>
      </w:r>
      <w:r w:rsidR="00180CEB" w:rsidRPr="001005B7">
        <w:rPr>
          <w:rFonts w:cstheme="minorHAnsi"/>
        </w:rPr>
        <w:t>magnificence</w:t>
      </w:r>
      <w:r w:rsidR="00256F02" w:rsidRPr="001005B7">
        <w:rPr>
          <w:rFonts w:cstheme="minorHAnsi"/>
        </w:rPr>
        <w:t xml:space="preserve"> </w:t>
      </w:r>
      <w:r w:rsidR="002E44F7" w:rsidRPr="001005B7">
        <w:rPr>
          <w:rFonts w:cstheme="minorHAnsi"/>
        </w:rPr>
        <w:t xml:space="preserve">can be </w:t>
      </w:r>
      <w:r w:rsidR="008B4028" w:rsidRPr="001005B7">
        <w:rPr>
          <w:rFonts w:cstheme="minorHAnsi"/>
        </w:rPr>
        <w:t>simultan</w:t>
      </w:r>
      <w:r w:rsidR="002E44F7" w:rsidRPr="001005B7">
        <w:rPr>
          <w:rFonts w:cstheme="minorHAnsi"/>
        </w:rPr>
        <w:t>e</w:t>
      </w:r>
      <w:r w:rsidR="008B4028" w:rsidRPr="001005B7">
        <w:rPr>
          <w:rFonts w:cstheme="minorHAnsi"/>
        </w:rPr>
        <w:t xml:space="preserve">ously present in the heavens, </w:t>
      </w:r>
      <w:r w:rsidR="00CD10A6" w:rsidRPr="001005B7">
        <w:rPr>
          <w:rFonts w:cstheme="minorHAnsi"/>
        </w:rPr>
        <w:t>present in the temple, and mov</w:t>
      </w:r>
      <w:r w:rsidR="004F0FD0" w:rsidRPr="001005B7">
        <w:rPr>
          <w:rFonts w:cstheme="minorHAnsi"/>
        </w:rPr>
        <w:t>ing about</w:t>
      </w:r>
      <w:r w:rsidR="00CD10A6" w:rsidRPr="001005B7">
        <w:rPr>
          <w:rFonts w:cstheme="minorHAnsi"/>
        </w:rPr>
        <w:t xml:space="preserve"> in the world (Ezek 1), a</w:t>
      </w:r>
      <w:r w:rsidR="00D87764" w:rsidRPr="001005B7">
        <w:rPr>
          <w:rFonts w:cstheme="minorHAnsi"/>
        </w:rPr>
        <w:t xml:space="preserve">s Christians </w:t>
      </w:r>
      <w:r w:rsidR="002C5C76" w:rsidRPr="001005B7">
        <w:rPr>
          <w:rFonts w:cstheme="minorHAnsi"/>
        </w:rPr>
        <w:t>recognize that God is present in the heavens, in the congregation, and in the life of the indi</w:t>
      </w:r>
      <w:r w:rsidR="00DB6CAC" w:rsidRPr="001005B7">
        <w:rPr>
          <w:rFonts w:cstheme="minorHAnsi"/>
        </w:rPr>
        <w:t>vidual believer.</w:t>
      </w:r>
    </w:p>
    <w:p w14:paraId="23F38587" w14:textId="7E065221" w:rsidR="00C653A8" w:rsidRPr="001005B7" w:rsidRDefault="00CC3E31" w:rsidP="003E0D7F">
      <w:r w:rsidRPr="001005B7">
        <w:rPr>
          <w:rFonts w:cstheme="minorHAnsi"/>
          <w:b/>
          <w:bCs/>
        </w:rPr>
        <w:t>9:</w:t>
      </w:r>
      <w:r w:rsidR="0006310C" w:rsidRPr="001005B7">
        <w:rPr>
          <w:rFonts w:cstheme="minorHAnsi"/>
          <w:b/>
          <w:bCs/>
        </w:rPr>
        <w:t>4</w:t>
      </w:r>
      <w:r w:rsidR="00963A1B" w:rsidRPr="001005B7">
        <w:rPr>
          <w:rFonts w:cstheme="minorHAnsi"/>
          <w:b/>
          <w:bCs/>
        </w:rPr>
        <w:t xml:space="preserve"> </w:t>
      </w:r>
      <w:r w:rsidR="00963A1B" w:rsidRPr="001005B7">
        <w:rPr>
          <w:rFonts w:cstheme="minorHAnsi"/>
        </w:rPr>
        <w:t xml:space="preserve">Yahweh bids the scribe move southward from the temple area to the city itself and tells him and </w:t>
      </w:r>
      <w:r w:rsidR="00EF0337" w:rsidRPr="001005B7">
        <w:rPr>
          <w:rFonts w:cstheme="minorHAnsi"/>
        </w:rPr>
        <w:t xml:space="preserve">thus </w:t>
      </w:r>
      <w:r w:rsidR="00963A1B" w:rsidRPr="001005B7">
        <w:rPr>
          <w:rFonts w:cstheme="minorHAnsi"/>
        </w:rPr>
        <w:t>the readers what</w:t>
      </w:r>
      <w:r w:rsidR="00EF0337" w:rsidRPr="001005B7">
        <w:rPr>
          <w:rFonts w:cstheme="minorHAnsi"/>
        </w:rPr>
        <w:t xml:space="preserve"> he is here for. The word for a </w:t>
      </w:r>
      <w:r w:rsidR="005641E1" w:rsidRPr="001005B7">
        <w:rPr>
          <w:rFonts w:cstheme="minorHAnsi"/>
        </w:rPr>
        <w:t>“</w:t>
      </w:r>
      <w:r w:rsidR="00EF0337" w:rsidRPr="001005B7">
        <w:rPr>
          <w:rFonts w:cstheme="minorHAnsi"/>
        </w:rPr>
        <w:t>mark</w:t>
      </w:r>
      <w:r w:rsidR="005641E1" w:rsidRPr="001005B7">
        <w:rPr>
          <w:rFonts w:cstheme="minorHAnsi"/>
        </w:rPr>
        <w:t>”</w:t>
      </w:r>
      <w:r w:rsidR="00EF0337" w:rsidRPr="001005B7">
        <w:rPr>
          <w:rFonts w:cstheme="minorHAnsi"/>
          <w:i/>
          <w:iCs/>
        </w:rPr>
        <w:t xml:space="preserve"> </w:t>
      </w:r>
      <w:r w:rsidR="00EF0337" w:rsidRPr="001005B7">
        <w:rPr>
          <w:rFonts w:cstheme="minorHAnsi"/>
        </w:rPr>
        <w:t>is</w:t>
      </w:r>
      <w:r w:rsidRPr="001005B7">
        <w:rPr>
          <w:rFonts w:cstheme="minorHAnsi"/>
        </w:rPr>
        <w:t xml:space="preserve"> </w:t>
      </w:r>
      <w:r w:rsidR="009A662D" w:rsidRPr="001005B7">
        <w:rPr>
          <w:rFonts w:cstheme="minorHAnsi"/>
          <w:rtl/>
          <w:lang w:bidi="he-IL"/>
        </w:rPr>
        <w:t>ת</w:t>
      </w:r>
      <w:r w:rsidR="002E5923" w:rsidRPr="001005B7">
        <w:rPr>
          <w:rFonts w:cstheme="minorHAnsi"/>
          <w:rtl/>
          <w:lang w:bidi="he-IL"/>
        </w:rPr>
        <w:t>ּ</w:t>
      </w:r>
      <w:r w:rsidR="009A662D" w:rsidRPr="001005B7">
        <w:rPr>
          <w:rFonts w:cstheme="minorHAnsi"/>
          <w:rtl/>
          <w:lang w:bidi="he-IL"/>
        </w:rPr>
        <w:t>ָו</w:t>
      </w:r>
      <w:r w:rsidR="009459EA" w:rsidRPr="001005B7">
        <w:rPr>
          <w:rFonts w:cstheme="minorHAnsi"/>
        </w:rPr>
        <w:t>, the name of the last letter of the alphabet, t</w:t>
      </w:r>
      <w:r w:rsidR="007A0FB2" w:rsidRPr="001005B7">
        <w:rPr>
          <w:rFonts w:cstheme="minorHAnsi"/>
        </w:rPr>
        <w:t>.</w:t>
      </w:r>
      <w:r w:rsidR="009A5A22" w:rsidRPr="001005B7">
        <w:rPr>
          <w:rFonts w:cstheme="minorHAnsi"/>
        </w:rPr>
        <w:t xml:space="preserve"> </w:t>
      </w:r>
      <w:r w:rsidR="007A0FB2" w:rsidRPr="001005B7">
        <w:rPr>
          <w:rFonts w:cstheme="minorHAnsi"/>
        </w:rPr>
        <w:t>W</w:t>
      </w:r>
      <w:r w:rsidR="00EF0337" w:rsidRPr="001005B7">
        <w:rPr>
          <w:rFonts w:cstheme="minorHAnsi"/>
        </w:rPr>
        <w:t xml:space="preserve">e know </w:t>
      </w:r>
      <w:r w:rsidR="00604B7B">
        <w:rPr>
          <w:rFonts w:cstheme="minorHAnsi"/>
        </w:rPr>
        <w:t>no</w:t>
      </w:r>
      <w:r w:rsidR="009459EA" w:rsidRPr="001005B7">
        <w:rPr>
          <w:rFonts w:cstheme="minorHAnsi"/>
        </w:rPr>
        <w:t xml:space="preserve"> more of</w:t>
      </w:r>
      <w:r w:rsidR="00EF0337" w:rsidRPr="001005B7">
        <w:rPr>
          <w:rFonts w:cstheme="minorHAnsi"/>
        </w:rPr>
        <w:t xml:space="preserve"> </w:t>
      </w:r>
      <w:r w:rsidR="009A5A22" w:rsidRPr="001005B7">
        <w:rPr>
          <w:rFonts w:cstheme="minorHAnsi"/>
        </w:rPr>
        <w:t xml:space="preserve">what </w:t>
      </w:r>
      <w:r w:rsidR="00EF0337" w:rsidRPr="001005B7">
        <w:rPr>
          <w:rFonts w:cstheme="minorHAnsi"/>
        </w:rPr>
        <w:t>the mark w</w:t>
      </w:r>
      <w:r w:rsidR="009459EA" w:rsidRPr="001005B7">
        <w:rPr>
          <w:rFonts w:cstheme="minorHAnsi"/>
        </w:rPr>
        <w:t>ould be.</w:t>
      </w:r>
      <w:r w:rsidR="00963A1B" w:rsidRPr="001005B7">
        <w:rPr>
          <w:rFonts w:cstheme="minorHAnsi"/>
        </w:rPr>
        <w:t xml:space="preserve"> </w:t>
      </w:r>
      <w:r w:rsidR="000E3BD1" w:rsidRPr="001005B7">
        <w:rPr>
          <w:rFonts w:cstheme="minorHAnsi"/>
        </w:rPr>
        <w:t xml:space="preserve">In </w:t>
      </w:r>
      <w:r w:rsidR="003A6C95" w:rsidRPr="001005B7">
        <w:rPr>
          <w:rFonts w:cstheme="minorHAnsi"/>
        </w:rPr>
        <w:t xml:space="preserve">the </w:t>
      </w:r>
      <w:proofErr w:type="spellStart"/>
      <w:r w:rsidR="001507D2" w:rsidRPr="001005B7">
        <w:rPr>
          <w:rFonts w:cstheme="minorHAnsi"/>
        </w:rPr>
        <w:t>Pala</w:t>
      </w:r>
      <w:r w:rsidR="0057560F" w:rsidRPr="001005B7">
        <w:rPr>
          <w:rFonts w:cstheme="minorHAnsi"/>
        </w:rPr>
        <w:t>e</w:t>
      </w:r>
      <w:r w:rsidR="001507D2" w:rsidRPr="001005B7">
        <w:rPr>
          <w:rFonts w:cstheme="minorHAnsi"/>
        </w:rPr>
        <w:t>o</w:t>
      </w:r>
      <w:proofErr w:type="spellEnd"/>
      <w:r w:rsidR="001507D2" w:rsidRPr="001005B7">
        <w:rPr>
          <w:rFonts w:cstheme="minorHAnsi"/>
        </w:rPr>
        <w:t>-</w:t>
      </w:r>
      <w:r w:rsidR="000E3BD1" w:rsidRPr="001005B7">
        <w:rPr>
          <w:rFonts w:cstheme="minorHAnsi"/>
        </w:rPr>
        <w:t>Hebrew script</w:t>
      </w:r>
      <w:r w:rsidR="003A6C95" w:rsidRPr="001005B7">
        <w:rPr>
          <w:rFonts w:cstheme="minorHAnsi"/>
        </w:rPr>
        <w:t xml:space="preserve"> o</w:t>
      </w:r>
      <w:r w:rsidR="009F74C0" w:rsidRPr="001005B7">
        <w:rPr>
          <w:rFonts w:cstheme="minorHAnsi"/>
        </w:rPr>
        <w:t>f Ezekiel’s day</w:t>
      </w:r>
      <w:r w:rsidR="000E3BD1" w:rsidRPr="001005B7">
        <w:rPr>
          <w:rFonts w:cstheme="minorHAnsi"/>
        </w:rPr>
        <w:t xml:space="preserve">, </w:t>
      </w:r>
      <w:r w:rsidR="00583756" w:rsidRPr="001005B7">
        <w:rPr>
          <w:rFonts w:cstheme="minorHAnsi"/>
          <w:rtl/>
          <w:lang w:bidi="he-IL"/>
        </w:rPr>
        <w:t>ת</w:t>
      </w:r>
      <w:r w:rsidR="000C78D8" w:rsidRPr="001005B7">
        <w:rPr>
          <w:rFonts w:cstheme="minorHAnsi"/>
          <w:rtl/>
          <w:lang w:bidi="he-IL"/>
        </w:rPr>
        <w:t>ּ</w:t>
      </w:r>
      <w:r w:rsidR="00583756" w:rsidRPr="001005B7">
        <w:rPr>
          <w:rFonts w:cstheme="minorHAnsi"/>
          <w:rtl/>
          <w:lang w:bidi="he-IL"/>
        </w:rPr>
        <w:t>ָו</w:t>
      </w:r>
      <w:r w:rsidR="000E3BD1" w:rsidRPr="001005B7">
        <w:rPr>
          <w:rFonts w:cstheme="minorHAnsi"/>
        </w:rPr>
        <w:t xml:space="preserve"> would resemble a plus sign, </w:t>
      </w:r>
      <w:r w:rsidR="008C4370" w:rsidRPr="001005B7">
        <w:rPr>
          <w:rFonts w:cstheme="minorHAnsi"/>
        </w:rPr>
        <w:t xml:space="preserve">and it survives in a similar form in Greek </w:t>
      </w:r>
      <w:r w:rsidR="00D92195" w:rsidRPr="001005B7">
        <w:rPr>
          <w:rFonts w:cstheme="minorHAnsi"/>
        </w:rPr>
        <w:t>as</w:t>
      </w:r>
      <w:r w:rsidR="007A3E52" w:rsidRPr="001005B7">
        <w:rPr>
          <w:rFonts w:cstheme="minorHAnsi"/>
        </w:rPr>
        <w:t xml:space="preserve"> </w:t>
      </w:r>
      <w:r w:rsidR="00791DDE" w:rsidRPr="001005B7">
        <w:rPr>
          <w:rFonts w:cstheme="minorHAnsi"/>
          <w:i/>
          <w:iCs/>
        </w:rPr>
        <w:t>τ</w:t>
      </w:r>
      <w:r w:rsidR="00D92195" w:rsidRPr="001005B7">
        <w:rPr>
          <w:rFonts w:cstheme="minorHAnsi"/>
        </w:rPr>
        <w:t xml:space="preserve"> </w:t>
      </w:r>
      <w:r w:rsidR="008C4370" w:rsidRPr="001005B7">
        <w:rPr>
          <w:rFonts w:cstheme="minorHAnsi"/>
        </w:rPr>
        <w:t>and in Engl</w:t>
      </w:r>
      <w:r w:rsidR="007A3E52" w:rsidRPr="001005B7">
        <w:rPr>
          <w:rFonts w:cstheme="minorHAnsi"/>
        </w:rPr>
        <w:t>ish</w:t>
      </w:r>
      <w:r w:rsidR="008C4370" w:rsidRPr="001005B7">
        <w:rPr>
          <w:rFonts w:cstheme="minorHAnsi"/>
        </w:rPr>
        <w:t xml:space="preserve"> </w:t>
      </w:r>
      <w:r w:rsidR="00D92195" w:rsidRPr="001005B7">
        <w:rPr>
          <w:rFonts w:cstheme="minorHAnsi"/>
        </w:rPr>
        <w:t xml:space="preserve">as </w:t>
      </w:r>
      <w:r w:rsidR="00D92195" w:rsidRPr="001005B7">
        <w:rPr>
          <w:rFonts w:cstheme="minorHAnsi"/>
          <w:i/>
          <w:iCs/>
        </w:rPr>
        <w:t>t</w:t>
      </w:r>
      <w:r w:rsidR="003E0D7F" w:rsidRPr="001005B7">
        <w:rPr>
          <w:rFonts w:cstheme="minorHAnsi"/>
        </w:rPr>
        <w:t xml:space="preserve">. </w:t>
      </w:r>
      <w:r w:rsidR="009A5A22" w:rsidRPr="001005B7">
        <w:rPr>
          <w:rFonts w:cstheme="minorHAnsi"/>
        </w:rPr>
        <w:t xml:space="preserve">The description of </w:t>
      </w:r>
      <w:r w:rsidR="003E0D7F" w:rsidRPr="001005B7">
        <w:rPr>
          <w:rFonts w:cstheme="minorHAnsi"/>
        </w:rPr>
        <w:t>the scribe’s</w:t>
      </w:r>
      <w:r w:rsidR="009A5A22" w:rsidRPr="001005B7">
        <w:rPr>
          <w:rFonts w:cstheme="minorHAnsi"/>
        </w:rPr>
        <w:t xml:space="preserve"> role and of the people who receive the mark suggest its importance in the vision and in the vision’s significance for the people in </w:t>
      </w:r>
      <w:proofErr w:type="spellStart"/>
      <w:r w:rsidR="009A5A22" w:rsidRPr="001005B7">
        <w:rPr>
          <w:rFonts w:cstheme="minorHAnsi"/>
        </w:rPr>
        <w:t>Kebar</w:t>
      </w:r>
      <w:proofErr w:type="spellEnd"/>
      <w:r w:rsidR="009A5A22" w:rsidRPr="001005B7">
        <w:rPr>
          <w:rFonts w:cstheme="minorHAnsi"/>
        </w:rPr>
        <w:t xml:space="preserve">. We know about the </w:t>
      </w:r>
      <w:r w:rsidR="00CF5840" w:rsidRPr="001005B7">
        <w:rPr>
          <w:rFonts w:cstheme="minorHAnsi"/>
        </w:rPr>
        <w:t>“</w:t>
      </w:r>
      <w:r w:rsidR="009A5A22" w:rsidRPr="001005B7">
        <w:rPr>
          <w:rFonts w:cstheme="minorHAnsi"/>
        </w:rPr>
        <w:t>outrages</w:t>
      </w:r>
      <w:r w:rsidR="00CF5840" w:rsidRPr="001005B7">
        <w:rPr>
          <w:rFonts w:cstheme="minorHAnsi"/>
        </w:rPr>
        <w:t>”</w:t>
      </w:r>
      <w:r w:rsidR="009A5A22" w:rsidRPr="001005B7">
        <w:rPr>
          <w:rFonts w:cstheme="minorHAnsi"/>
        </w:rPr>
        <w:t xml:space="preserve"> </w:t>
      </w:r>
      <w:r w:rsidR="005446DD" w:rsidRPr="001005B7">
        <w:rPr>
          <w:rFonts w:cstheme="minorHAnsi"/>
        </w:rPr>
        <w:t>performed in the city (the word has been used fifteen times in Ezekiel 1</w:t>
      </w:r>
      <w:r w:rsidR="00F46900" w:rsidRPr="001005B7">
        <w:rPr>
          <w:rFonts w:cstheme="minorHAnsi"/>
        </w:rPr>
        <w:t>–</w:t>
      </w:r>
      <w:r w:rsidR="005446DD" w:rsidRPr="001005B7">
        <w:rPr>
          <w:rFonts w:cstheme="minorHAnsi"/>
        </w:rPr>
        <w:t>8). The new motif here is that there may be people who are</w:t>
      </w:r>
      <w:r w:rsidR="005446DD" w:rsidRPr="001005B7">
        <w:rPr>
          <w:i/>
          <w:iCs/>
        </w:rPr>
        <w:t xml:space="preserve"> </w:t>
      </w:r>
      <w:r w:rsidR="00437CBA" w:rsidRPr="001005B7">
        <w:t>“</w:t>
      </w:r>
      <w:r w:rsidR="004545B0" w:rsidRPr="001005B7">
        <w:t>groan</w:t>
      </w:r>
      <w:r w:rsidR="005446DD" w:rsidRPr="001005B7">
        <w:t>ing</w:t>
      </w:r>
      <w:r w:rsidR="005446DD" w:rsidRPr="001005B7">
        <w:rPr>
          <w:i/>
          <w:iCs/>
        </w:rPr>
        <w:t xml:space="preserve"> </w:t>
      </w:r>
      <w:r w:rsidR="005446DD" w:rsidRPr="001005B7">
        <w:t>and</w:t>
      </w:r>
      <w:r w:rsidR="005446DD" w:rsidRPr="001005B7">
        <w:rPr>
          <w:i/>
          <w:iCs/>
        </w:rPr>
        <w:t xml:space="preserve"> </w:t>
      </w:r>
      <w:r w:rsidR="005446DD" w:rsidRPr="001005B7">
        <w:t>moaning</w:t>
      </w:r>
      <w:r w:rsidR="00437CBA" w:rsidRPr="001005B7">
        <w:t>”</w:t>
      </w:r>
      <w:r w:rsidR="005446DD" w:rsidRPr="001005B7">
        <w:t xml:space="preserve"> over them. </w:t>
      </w:r>
      <w:r w:rsidR="00532F06" w:rsidRPr="001005B7">
        <w:t xml:space="preserve">The reference </w:t>
      </w:r>
      <w:r w:rsidR="00E8556B" w:rsidRPr="001005B7">
        <w:t>is</w:t>
      </w:r>
      <w:r w:rsidR="00532F06" w:rsidRPr="001005B7">
        <w:t xml:space="preserve"> m</w:t>
      </w:r>
      <w:r w:rsidR="00C653A8" w:rsidRPr="001005B7">
        <w:t xml:space="preserve">ore promising than </w:t>
      </w:r>
      <w:r w:rsidR="00E8556B" w:rsidRPr="001005B7">
        <w:t xml:space="preserve">the </w:t>
      </w:r>
      <w:r w:rsidR="0053007E" w:rsidRPr="001005B7">
        <w:t xml:space="preserve">previous </w:t>
      </w:r>
      <w:r w:rsidR="00E8556B" w:rsidRPr="001005B7">
        <w:t>allusion</w:t>
      </w:r>
      <w:r w:rsidR="0053007E" w:rsidRPr="001005B7">
        <w:t>s</w:t>
      </w:r>
      <w:r w:rsidR="00E8556B" w:rsidRPr="001005B7">
        <w:t xml:space="preserve"> to survivors</w:t>
      </w:r>
      <w:r w:rsidR="00DF024C" w:rsidRPr="001005B7">
        <w:t xml:space="preserve"> </w:t>
      </w:r>
      <w:r w:rsidR="0053007E" w:rsidRPr="001005B7">
        <w:t>(</w:t>
      </w:r>
      <w:r w:rsidR="00DA0E3E" w:rsidRPr="001005B7">
        <w:t>5:3</w:t>
      </w:r>
      <w:r w:rsidR="00F46900" w:rsidRPr="001005B7">
        <w:t>–</w:t>
      </w:r>
      <w:r w:rsidR="00DA0E3E" w:rsidRPr="001005B7">
        <w:t>4</w:t>
      </w:r>
      <w:r w:rsidR="0053007E" w:rsidRPr="001005B7">
        <w:t>; 6:8</w:t>
      </w:r>
      <w:r w:rsidR="00F46900" w:rsidRPr="001005B7">
        <w:t>–</w:t>
      </w:r>
      <w:r w:rsidR="00BB2870" w:rsidRPr="001005B7">
        <w:t>10)</w:t>
      </w:r>
      <w:r w:rsidR="00C653A8" w:rsidRPr="001005B7">
        <w:t>.</w:t>
      </w:r>
      <w:r w:rsidR="00BA4B0B" w:rsidRPr="001005B7">
        <w:t xml:space="preserve"> </w:t>
      </w:r>
      <w:r w:rsidR="0031115E" w:rsidRPr="001005B7">
        <w:t xml:space="preserve">In the First Testament, groaning and moaning does not suggest repentance, nor does </w:t>
      </w:r>
      <w:r w:rsidR="002F4486" w:rsidRPr="001005B7">
        <w:t xml:space="preserve">it suggest that these people are faithful rather than wayward </w:t>
      </w:r>
      <w:r w:rsidR="007E25F5" w:rsidRPr="001005B7">
        <w:t>(though it would surely presuppose that</w:t>
      </w:r>
      <w:r w:rsidR="00D334D5" w:rsidRPr="001005B7">
        <w:t>)</w:t>
      </w:r>
      <w:r w:rsidR="007E25F5" w:rsidRPr="001005B7">
        <w:t>.</w:t>
      </w:r>
      <w:r w:rsidR="00D334D5" w:rsidRPr="001005B7">
        <w:t xml:space="preserve"> </w:t>
      </w:r>
      <w:r w:rsidR="00E52517" w:rsidRPr="001005B7">
        <w:t>It more commonly suggests a reaction to disaster (</w:t>
      </w:r>
      <w:r w:rsidR="003A0730" w:rsidRPr="001005B7">
        <w:t>21:6</w:t>
      </w:r>
      <w:r w:rsidR="00F46900" w:rsidRPr="001005B7">
        <w:t>–</w:t>
      </w:r>
      <w:r w:rsidR="003A0730" w:rsidRPr="001005B7">
        <w:t>7 [11</w:t>
      </w:r>
      <w:r w:rsidR="00F46900" w:rsidRPr="001005B7">
        <w:t>–</w:t>
      </w:r>
      <w:r w:rsidR="003A0730" w:rsidRPr="001005B7">
        <w:t xml:space="preserve">12]; </w:t>
      </w:r>
      <w:r w:rsidR="00E52517" w:rsidRPr="001005B7">
        <w:t>24:17; 26:15</w:t>
      </w:r>
      <w:r w:rsidR="003A0730" w:rsidRPr="001005B7">
        <w:t>).</w:t>
      </w:r>
      <w:r w:rsidR="000C4009" w:rsidRPr="001005B7">
        <w:t xml:space="preserve"> </w:t>
      </w:r>
      <w:r w:rsidR="00144D32" w:rsidRPr="001005B7">
        <w:t xml:space="preserve">Ezekiel </w:t>
      </w:r>
      <w:r w:rsidR="001E38CF" w:rsidRPr="001005B7">
        <w:t>here speaks of groaning and moaning over people’s waywardness (cf. Isa 57:18), with which disasters often link</w:t>
      </w:r>
      <w:r w:rsidR="00D63F02" w:rsidRPr="001005B7">
        <w:t>.</w:t>
      </w:r>
    </w:p>
    <w:p w14:paraId="2BE9EAF4" w14:textId="5E40D30C" w:rsidR="006D256B" w:rsidRPr="001005B7" w:rsidRDefault="00053B47" w:rsidP="006D256B">
      <w:r w:rsidRPr="001005B7">
        <w:rPr>
          <w:b/>
          <w:bCs/>
        </w:rPr>
        <w:t>9:</w:t>
      </w:r>
      <w:r w:rsidR="0048122C" w:rsidRPr="001005B7">
        <w:rPr>
          <w:b/>
          <w:bCs/>
        </w:rPr>
        <w:t>5</w:t>
      </w:r>
      <w:r w:rsidR="00F46900" w:rsidRPr="001005B7">
        <w:rPr>
          <w:b/>
          <w:bCs/>
        </w:rPr>
        <w:t>–</w:t>
      </w:r>
      <w:r w:rsidR="00097678" w:rsidRPr="001005B7">
        <w:rPr>
          <w:b/>
          <w:bCs/>
        </w:rPr>
        <w:t>7a</w:t>
      </w:r>
      <w:r w:rsidR="0048122C" w:rsidRPr="001005B7">
        <w:rPr>
          <w:b/>
          <w:bCs/>
        </w:rPr>
        <w:t xml:space="preserve"> </w:t>
      </w:r>
      <w:r w:rsidR="00A77A6B" w:rsidRPr="001005B7">
        <w:t xml:space="preserve">If </w:t>
      </w:r>
      <w:r w:rsidR="0048122C" w:rsidRPr="001005B7">
        <w:t xml:space="preserve">the six </w:t>
      </w:r>
      <w:r w:rsidR="009E754C" w:rsidRPr="001005B7">
        <w:t>hav</w:t>
      </w:r>
      <w:r w:rsidR="00A77A6B" w:rsidRPr="001005B7">
        <w:t>e</w:t>
      </w:r>
      <w:r w:rsidR="00D63F02" w:rsidRPr="001005B7">
        <w:t xml:space="preserve"> instruments of destruction </w:t>
      </w:r>
      <w:r w:rsidR="009E754C" w:rsidRPr="001005B7">
        <w:t>and shattering</w:t>
      </w:r>
      <w:r w:rsidR="00A77A6B" w:rsidRPr="001005B7">
        <w:t xml:space="preserve">, </w:t>
      </w:r>
      <w:r w:rsidR="0048122C" w:rsidRPr="001005B7">
        <w:t xml:space="preserve">their prospective </w:t>
      </w:r>
      <w:r w:rsidR="00926826" w:rsidRPr="001005B7">
        <w:t>role</w:t>
      </w:r>
      <w:r w:rsidR="00A77A6B" w:rsidRPr="001005B7">
        <w:t xml:space="preserve"> is</w:t>
      </w:r>
      <w:r w:rsidR="0048122C" w:rsidRPr="001005B7">
        <w:t xml:space="preserve"> obvious</w:t>
      </w:r>
      <w:r w:rsidR="00926826" w:rsidRPr="001005B7">
        <w:t xml:space="preserve"> </w:t>
      </w:r>
      <w:r w:rsidR="009E754C" w:rsidRPr="001005B7">
        <w:t>enough</w:t>
      </w:r>
      <w:r w:rsidR="000F1B4B" w:rsidRPr="001005B7">
        <w:t>,</w:t>
      </w:r>
      <w:r w:rsidR="009E754C" w:rsidRPr="001005B7">
        <w:t xml:space="preserve"> </w:t>
      </w:r>
      <w:r w:rsidR="00A2474A" w:rsidRPr="001005B7">
        <w:t>while</w:t>
      </w:r>
      <w:r w:rsidR="00BF018D" w:rsidRPr="001005B7">
        <w:t xml:space="preserve"> </w:t>
      </w:r>
      <w:r w:rsidR="00926826" w:rsidRPr="001005B7">
        <w:t xml:space="preserve">the repeat of the phrase </w:t>
      </w:r>
      <w:r w:rsidR="00437CBA" w:rsidRPr="001005B7">
        <w:t>“</w:t>
      </w:r>
      <w:r w:rsidR="00926826" w:rsidRPr="001005B7">
        <w:t>in</w:t>
      </w:r>
      <w:r w:rsidR="00926826" w:rsidRPr="001005B7">
        <w:rPr>
          <w:i/>
          <w:iCs/>
        </w:rPr>
        <w:t xml:space="preserve"> </w:t>
      </w:r>
      <w:r w:rsidR="00926826" w:rsidRPr="001005B7">
        <w:t>my</w:t>
      </w:r>
      <w:r w:rsidR="00926826" w:rsidRPr="001005B7">
        <w:rPr>
          <w:i/>
          <w:iCs/>
        </w:rPr>
        <w:t xml:space="preserve"> </w:t>
      </w:r>
      <w:r w:rsidR="00926826" w:rsidRPr="001005B7">
        <w:t>ears</w:t>
      </w:r>
      <w:r w:rsidR="00437CBA" w:rsidRPr="001005B7">
        <w:t>”</w:t>
      </w:r>
      <w:r w:rsidR="00926826" w:rsidRPr="001005B7">
        <w:t xml:space="preserve"> (cf. </w:t>
      </w:r>
      <w:r w:rsidR="003D021F" w:rsidRPr="001005B7">
        <w:t>9:</w:t>
      </w:r>
      <w:r w:rsidR="00926826" w:rsidRPr="001005B7">
        <w:t xml:space="preserve">1) emphasizes their importance to </w:t>
      </w:r>
      <w:r w:rsidR="00BF018D" w:rsidRPr="001005B7">
        <w:t xml:space="preserve">Ezekiel and to </w:t>
      </w:r>
      <w:r w:rsidR="00926826" w:rsidRPr="001005B7">
        <w:t xml:space="preserve">people in </w:t>
      </w:r>
      <w:proofErr w:type="spellStart"/>
      <w:r w:rsidR="00926826" w:rsidRPr="001005B7">
        <w:t>Kebar</w:t>
      </w:r>
      <w:proofErr w:type="spellEnd"/>
      <w:r w:rsidR="00926826" w:rsidRPr="001005B7">
        <w:t xml:space="preserve">. First, then, Yahweh makes sure </w:t>
      </w:r>
      <w:r w:rsidR="00E12DA6" w:rsidRPr="001005B7">
        <w:t xml:space="preserve">of exempting </w:t>
      </w:r>
      <w:r w:rsidR="00926826" w:rsidRPr="001005B7">
        <w:t>people who are distressed</w:t>
      </w:r>
      <w:r w:rsidR="00DC1432" w:rsidRPr="001005B7">
        <w:t>, and</w:t>
      </w:r>
      <w:r w:rsidR="00E12DA6" w:rsidRPr="001005B7">
        <w:t xml:space="preserve"> then he makes sure that everyone else gets struck down. </w:t>
      </w:r>
      <w:r w:rsidR="00775D03" w:rsidRPr="001005B7">
        <w:t xml:space="preserve">The instruction that there is to be no </w:t>
      </w:r>
      <w:r w:rsidR="003E2390" w:rsidRPr="001005B7">
        <w:t xml:space="preserve">pitying or </w:t>
      </w:r>
      <w:r w:rsidR="00B10A16" w:rsidRPr="001005B7">
        <w:t>showing concern</w:t>
      </w:r>
      <w:r w:rsidR="003E2390" w:rsidRPr="001005B7">
        <w:t xml:space="preserve"> takes up the repeated declaration from earlier</w:t>
      </w:r>
      <w:r w:rsidR="00DC1432" w:rsidRPr="001005B7">
        <w:t>. W</w:t>
      </w:r>
      <w:r w:rsidR="00A22EEE" w:rsidRPr="001005B7">
        <w:t>hat the</w:t>
      </w:r>
      <w:r w:rsidR="00D914F6">
        <w:t xml:space="preserve"> six are to</w:t>
      </w:r>
      <w:r w:rsidR="00A22EEE" w:rsidRPr="001005B7">
        <w:t xml:space="preserve"> do</w:t>
      </w:r>
      <w:r w:rsidR="003E2390" w:rsidRPr="001005B7">
        <w:t xml:space="preserve"> is to reflect Yahweh’s intent</w:t>
      </w:r>
      <w:r w:rsidR="008247EC" w:rsidRPr="001005B7">
        <w:t>, with its “ruthlessness”</w:t>
      </w:r>
      <w:r w:rsidR="003E2390" w:rsidRPr="001005B7">
        <w:t xml:space="preserve"> (5:12; 7:4, 9; </w:t>
      </w:r>
      <w:r w:rsidR="00C653A8" w:rsidRPr="001005B7">
        <w:t>8:18</w:t>
      </w:r>
      <w:r w:rsidR="008247EC" w:rsidRPr="001005B7">
        <w:t>)</w:t>
      </w:r>
      <w:r w:rsidR="00111832" w:rsidRPr="001005B7">
        <w:t xml:space="preserve"> (Allen</w:t>
      </w:r>
      <w:r w:rsidR="0046326C" w:rsidRPr="001005B7">
        <w:t>,</w:t>
      </w:r>
      <w:r w:rsidR="00111832" w:rsidRPr="001005B7">
        <w:t xml:space="preserve"> </w:t>
      </w:r>
      <w:r w:rsidR="00F40681" w:rsidRPr="001005B7">
        <w:t>1:</w:t>
      </w:r>
      <w:r w:rsidR="00111832" w:rsidRPr="001005B7">
        <w:t>148</w:t>
      </w:r>
      <w:r w:rsidR="00F40681" w:rsidRPr="001005B7">
        <w:t>).</w:t>
      </w:r>
      <w:r w:rsidR="00C653A8" w:rsidRPr="001005B7">
        <w:t xml:space="preserve"> </w:t>
      </w:r>
      <w:r w:rsidR="00E12DA6" w:rsidRPr="001005B7">
        <w:t xml:space="preserve">Yahweh underscores the point and the horror by </w:t>
      </w:r>
      <w:r w:rsidR="006E23E5" w:rsidRPr="001005B7">
        <w:t xml:space="preserve">specifying </w:t>
      </w:r>
      <w:r w:rsidR="00E12DA6" w:rsidRPr="001005B7">
        <w:t xml:space="preserve">the groups </w:t>
      </w:r>
      <w:r w:rsidR="006E23E5" w:rsidRPr="001005B7">
        <w:t xml:space="preserve">of people to whom </w:t>
      </w:r>
      <w:r w:rsidR="00343070" w:rsidRPr="001005B7">
        <w:t>t</w:t>
      </w:r>
      <w:r w:rsidR="006E23E5" w:rsidRPr="001005B7">
        <w:t xml:space="preserve">his ruthlessness </w:t>
      </w:r>
      <w:r w:rsidR="00343070" w:rsidRPr="001005B7">
        <w:t>a</w:t>
      </w:r>
      <w:r w:rsidR="006E23E5" w:rsidRPr="001005B7">
        <w:t>pplies</w:t>
      </w:r>
      <w:r w:rsidR="00E12DA6" w:rsidRPr="001005B7">
        <w:t xml:space="preserve">. </w:t>
      </w:r>
      <w:r w:rsidR="00343070" w:rsidRPr="001005B7">
        <w:t>O</w:t>
      </w:r>
      <w:r w:rsidR="00E12DA6" w:rsidRPr="001005B7">
        <w:t>ne might have though</w:t>
      </w:r>
      <w:r w:rsidR="00775D03" w:rsidRPr="001005B7">
        <w:t>t</w:t>
      </w:r>
      <w:r w:rsidR="00E12DA6" w:rsidRPr="001005B7">
        <w:t xml:space="preserve"> that it was </w:t>
      </w:r>
      <w:r w:rsidR="00CD4FAA" w:rsidRPr="001005B7">
        <w:t>adult</w:t>
      </w:r>
      <w:r w:rsidR="00E12DA6" w:rsidRPr="001005B7">
        <w:t xml:space="preserve"> men who determined what happened in th</w:t>
      </w:r>
      <w:r w:rsidR="00775D03" w:rsidRPr="001005B7">
        <w:t>e city</w:t>
      </w:r>
      <w:r w:rsidR="00D408B8" w:rsidRPr="001005B7">
        <w:t xml:space="preserve"> with its waywardness</w:t>
      </w:r>
      <w:r w:rsidR="00245844" w:rsidRPr="001005B7">
        <w:t>,</w:t>
      </w:r>
      <w:r w:rsidR="00D408B8" w:rsidRPr="001005B7">
        <w:t xml:space="preserve"> and</w:t>
      </w:r>
      <w:r w:rsidR="00245844" w:rsidRPr="001005B7">
        <w:t xml:space="preserve"> </w:t>
      </w:r>
      <w:r w:rsidR="00D408B8" w:rsidRPr="001005B7">
        <w:t xml:space="preserve">that </w:t>
      </w:r>
      <w:r w:rsidR="00CD4FAA" w:rsidRPr="001005B7">
        <w:t>they w</w:t>
      </w:r>
      <w:r w:rsidR="007160BA" w:rsidRPr="001005B7">
        <w:t>ould be</w:t>
      </w:r>
      <w:r w:rsidR="00CD4FAA" w:rsidRPr="001005B7">
        <w:t xml:space="preserve"> the people who paid for their </w:t>
      </w:r>
      <w:r w:rsidR="008C3D04" w:rsidRPr="001005B7">
        <w:t xml:space="preserve">waywardness </w:t>
      </w:r>
      <w:r w:rsidR="007160BA" w:rsidRPr="001005B7">
        <w:t>through being</w:t>
      </w:r>
      <w:r w:rsidR="008C3D04" w:rsidRPr="001005B7">
        <w:t xml:space="preserve"> the people especially engaged in battle</w:t>
      </w:r>
      <w:r w:rsidR="00B53D0B" w:rsidRPr="001005B7">
        <w:t xml:space="preserve"> (Block, 1:308). </w:t>
      </w:r>
      <w:r w:rsidR="008C3D04" w:rsidRPr="001005B7">
        <w:t xml:space="preserve">It is thus </w:t>
      </w:r>
      <w:r w:rsidR="00277163" w:rsidRPr="001005B7">
        <w:t xml:space="preserve">both surprising and not surprising that </w:t>
      </w:r>
      <w:r w:rsidR="00775D03" w:rsidRPr="001005B7">
        <w:t xml:space="preserve">Yahweh specifically includes </w:t>
      </w:r>
      <w:r w:rsidR="0095517B" w:rsidRPr="001005B7">
        <w:t>the other groups</w:t>
      </w:r>
      <w:r w:rsidR="00775D03" w:rsidRPr="001005B7">
        <w:t xml:space="preserve">. </w:t>
      </w:r>
      <w:r w:rsidR="001600DB" w:rsidRPr="001005B7">
        <w:t>T</w:t>
      </w:r>
      <w:r w:rsidR="00775D03" w:rsidRPr="001005B7">
        <w:t xml:space="preserve">he entire city is </w:t>
      </w:r>
      <w:r w:rsidR="001600DB" w:rsidRPr="001005B7">
        <w:t xml:space="preserve">culpable and the entire city is </w:t>
      </w:r>
      <w:r w:rsidR="00775D03" w:rsidRPr="001005B7">
        <w:t xml:space="preserve">doomed. The requirement to </w:t>
      </w:r>
      <w:r w:rsidR="00CF6F86" w:rsidRPr="001005B7">
        <w:t>“</w:t>
      </w:r>
      <w:r w:rsidR="00775D03" w:rsidRPr="001005B7">
        <w:t>start</w:t>
      </w:r>
      <w:r w:rsidR="00775D03" w:rsidRPr="001005B7">
        <w:rPr>
          <w:i/>
          <w:iCs/>
        </w:rPr>
        <w:t xml:space="preserve"> </w:t>
      </w:r>
      <w:r w:rsidR="00775D03" w:rsidRPr="001005B7">
        <w:t>from</w:t>
      </w:r>
      <w:r w:rsidR="00775D03" w:rsidRPr="001005B7">
        <w:rPr>
          <w:i/>
          <w:iCs/>
        </w:rPr>
        <w:t xml:space="preserve"> </w:t>
      </w:r>
      <w:r w:rsidR="00775D03" w:rsidRPr="001005B7">
        <w:t>my</w:t>
      </w:r>
      <w:r w:rsidR="00775D03" w:rsidRPr="001005B7">
        <w:rPr>
          <w:i/>
          <w:iCs/>
        </w:rPr>
        <w:t xml:space="preserve"> </w:t>
      </w:r>
      <w:r w:rsidR="00775D03" w:rsidRPr="001005B7">
        <w:t>sanctuary</w:t>
      </w:r>
      <w:r w:rsidR="00872E5D" w:rsidRPr="001005B7">
        <w:t>”</w:t>
      </w:r>
      <w:r w:rsidR="00775D03" w:rsidRPr="001005B7">
        <w:t xml:space="preserve"> links with the instruction to </w:t>
      </w:r>
      <w:r w:rsidR="00CF6F86" w:rsidRPr="001005B7">
        <w:t>“</w:t>
      </w:r>
      <w:r w:rsidR="00775D03" w:rsidRPr="001005B7">
        <w:t>defile</w:t>
      </w:r>
      <w:r w:rsidR="00775D03" w:rsidRPr="001005B7">
        <w:rPr>
          <w:i/>
          <w:iCs/>
        </w:rPr>
        <w:t xml:space="preserve"> </w:t>
      </w:r>
      <w:r w:rsidR="00775D03" w:rsidRPr="001005B7">
        <w:t>the</w:t>
      </w:r>
      <w:r w:rsidR="00775D03" w:rsidRPr="001005B7">
        <w:rPr>
          <w:i/>
          <w:iCs/>
        </w:rPr>
        <w:t xml:space="preserve"> </w:t>
      </w:r>
      <w:r w:rsidR="00775D03" w:rsidRPr="001005B7">
        <w:t>house</w:t>
      </w:r>
      <w:r w:rsidR="003E2390" w:rsidRPr="001005B7">
        <w:t>,</w:t>
      </w:r>
      <w:r w:rsidR="00CF6F86" w:rsidRPr="001005B7">
        <w:t>”</w:t>
      </w:r>
      <w:r w:rsidR="003E2390" w:rsidRPr="001005B7">
        <w:t xml:space="preserve"> though </w:t>
      </w:r>
      <w:r w:rsidR="00940772">
        <w:t>it implies</w:t>
      </w:r>
      <w:r w:rsidR="001B5EDF">
        <w:t xml:space="preserve"> </w:t>
      </w:r>
      <w:r w:rsidR="00940772">
        <w:t>an</w:t>
      </w:r>
      <w:r w:rsidR="001B776E" w:rsidRPr="001005B7">
        <w:t xml:space="preserve"> attitude contrast</w:t>
      </w:r>
      <w:r w:rsidR="001B5EDF">
        <w:t>ing</w:t>
      </w:r>
      <w:r w:rsidR="001B776E" w:rsidRPr="001005B7">
        <w:t xml:space="preserve"> with that in 2</w:t>
      </w:r>
      <w:r w:rsidR="00F25264" w:rsidRPr="001005B7">
        <w:t> </w:t>
      </w:r>
      <w:r w:rsidR="006558CA" w:rsidRPr="001005B7">
        <w:t>Kgs</w:t>
      </w:r>
      <w:r w:rsidR="001B776E" w:rsidRPr="001005B7">
        <w:t xml:space="preserve"> 11:15</w:t>
      </w:r>
      <w:r w:rsidR="00C978A0" w:rsidRPr="001005B7">
        <w:t xml:space="preserve"> (</w:t>
      </w:r>
      <w:r w:rsidR="00072DAE" w:rsidRPr="001005B7">
        <w:t>Greenberg</w:t>
      </w:r>
      <w:r w:rsidR="000949DA" w:rsidRPr="001005B7">
        <w:t>,</w:t>
      </w:r>
      <w:r w:rsidR="00072DAE" w:rsidRPr="001005B7">
        <w:t xml:space="preserve"> 1:177)</w:t>
      </w:r>
      <w:r w:rsidR="001B5EDF">
        <w:t xml:space="preserve">. </w:t>
      </w:r>
      <w:proofErr w:type="spellStart"/>
      <w:r w:rsidR="001B5EDF">
        <w:t>It</w:t>
      </w:r>
      <w:r w:rsidR="003E2390" w:rsidRPr="001005B7">
        <w:t>t</w:t>
      </w:r>
      <w:proofErr w:type="spellEnd"/>
      <w:r w:rsidR="003E2390" w:rsidRPr="001005B7">
        <w:t xml:space="preserve"> may seem a</w:t>
      </w:r>
      <w:r w:rsidR="005D5779" w:rsidRPr="001005B7">
        <w:t xml:space="preserve"> su</w:t>
      </w:r>
      <w:r w:rsidR="001B776E" w:rsidRPr="001005B7">
        <w:t>r</w:t>
      </w:r>
      <w:r w:rsidR="005D5779" w:rsidRPr="001005B7">
        <w:t>pr</w:t>
      </w:r>
      <w:r w:rsidR="002C2FD5" w:rsidRPr="001005B7">
        <w:t>is</w:t>
      </w:r>
      <w:r w:rsidR="003E2390" w:rsidRPr="001005B7">
        <w:t xml:space="preserve">ing requirement in light of </w:t>
      </w:r>
      <w:r w:rsidR="005D5779" w:rsidRPr="001005B7">
        <w:t>Yahweh’s</w:t>
      </w:r>
      <w:r w:rsidR="003E2390" w:rsidRPr="001005B7">
        <w:t xml:space="preserve"> earlier declarations that the people have themselves </w:t>
      </w:r>
      <w:r w:rsidR="00716AEB" w:rsidRPr="001005B7">
        <w:t xml:space="preserve">already </w:t>
      </w:r>
      <w:r w:rsidR="003E2390" w:rsidRPr="001005B7">
        <w:t xml:space="preserve">defiled </w:t>
      </w:r>
      <w:r w:rsidR="00086B7D">
        <w:t>the sanctuary</w:t>
      </w:r>
      <w:r w:rsidR="00FF12E9" w:rsidRPr="001005B7">
        <w:t xml:space="preserve"> (5:11).</w:t>
      </w:r>
      <w:r w:rsidR="003E2390" w:rsidRPr="001005B7">
        <w:t xml:space="preserve"> </w:t>
      </w:r>
      <w:r w:rsidR="00256436" w:rsidRPr="001005B7">
        <w:t>Perhaps t</w:t>
      </w:r>
      <w:r w:rsidR="002C2FD5" w:rsidRPr="001005B7">
        <w:t>here is a defilement that seals the earlier one.</w:t>
      </w:r>
    </w:p>
    <w:p w14:paraId="1DFCDFA2" w14:textId="72312A4F" w:rsidR="00097678" w:rsidRPr="001005B7" w:rsidRDefault="0050124C" w:rsidP="00762D85">
      <w:r w:rsidRPr="001005B7">
        <w:rPr>
          <w:b/>
          <w:bCs/>
        </w:rPr>
        <w:t>9:</w:t>
      </w:r>
      <w:r w:rsidR="00097678" w:rsidRPr="001005B7">
        <w:rPr>
          <w:b/>
          <w:bCs/>
        </w:rPr>
        <w:t>7b</w:t>
      </w:r>
      <w:r w:rsidR="00F46900" w:rsidRPr="001005B7">
        <w:rPr>
          <w:b/>
          <w:bCs/>
        </w:rPr>
        <w:t>–</w:t>
      </w:r>
      <w:r w:rsidR="00097678" w:rsidRPr="001005B7">
        <w:rPr>
          <w:b/>
          <w:bCs/>
        </w:rPr>
        <w:t>8</w:t>
      </w:r>
      <w:r w:rsidR="005E1CEA" w:rsidRPr="001005B7">
        <w:rPr>
          <w:b/>
          <w:bCs/>
        </w:rPr>
        <w:t xml:space="preserve"> </w:t>
      </w:r>
      <w:r w:rsidR="00C7063A" w:rsidRPr="001005B7">
        <w:t xml:space="preserve">Prophets commonly respond to </w:t>
      </w:r>
      <w:r w:rsidR="00702A84" w:rsidRPr="001005B7">
        <w:t>Yahweh’s declarations of intent by protesting (e.g., Amos 7:1</w:t>
      </w:r>
      <w:r w:rsidR="00F46900" w:rsidRPr="001005B7">
        <w:t>–</w:t>
      </w:r>
      <w:r w:rsidR="00702A84" w:rsidRPr="001005B7">
        <w:t xml:space="preserve">9). </w:t>
      </w:r>
      <w:r w:rsidR="00B72145" w:rsidRPr="001005B7">
        <w:t xml:space="preserve">Being a prophet means prayer as well as </w:t>
      </w:r>
      <w:r w:rsidR="00B72145" w:rsidRPr="001005B7">
        <w:rPr>
          <w:rFonts w:ascii="Calibri" w:hAnsi="Calibri" w:cs="Calibri"/>
        </w:rPr>
        <w:t>preaching.</w:t>
      </w:r>
      <w:r w:rsidR="00520E08" w:rsidRPr="001005B7">
        <w:rPr>
          <w:rFonts w:ascii="Calibri" w:hAnsi="Calibri" w:cs="Calibri"/>
        </w:rPr>
        <w:t xml:space="preserve"> </w:t>
      </w:r>
      <w:r w:rsidRPr="001005B7">
        <w:rPr>
          <w:rFonts w:ascii="Calibri" w:eastAsia="GaramondMT" w:hAnsi="Calibri" w:cs="Calibri"/>
        </w:rPr>
        <w:t>Alt</w:t>
      </w:r>
      <w:r w:rsidR="00520E08" w:rsidRPr="001005B7">
        <w:rPr>
          <w:rFonts w:ascii="Calibri" w:eastAsia="GaramondMT" w:hAnsi="Calibri" w:cs="Calibri"/>
        </w:rPr>
        <w:t xml:space="preserve">hough </w:t>
      </w:r>
      <w:r w:rsidR="005F4D8D" w:rsidRPr="001005B7">
        <w:rPr>
          <w:rFonts w:ascii="Calibri" w:eastAsia="GaramondMT" w:hAnsi="Calibri" w:cs="Calibri"/>
        </w:rPr>
        <w:t>Ezekiel’s</w:t>
      </w:r>
      <w:r w:rsidR="00520E08" w:rsidRPr="001005B7">
        <w:rPr>
          <w:rFonts w:ascii="Calibri" w:eastAsia="GaramondMT" w:hAnsi="Calibri" w:cs="Calibri"/>
        </w:rPr>
        <w:t xml:space="preserve"> forehead was made as </w:t>
      </w:r>
      <w:r w:rsidR="00931B78" w:rsidRPr="001005B7">
        <w:rPr>
          <w:rFonts w:ascii="Calibri" w:eastAsia="GaramondMT" w:hAnsi="Calibri" w:cs="Calibri"/>
        </w:rPr>
        <w:t>tough</w:t>
      </w:r>
      <w:r w:rsidR="00520E08" w:rsidRPr="001005B7">
        <w:rPr>
          <w:rFonts w:ascii="Calibri" w:eastAsia="GaramondMT" w:hAnsi="Calibri" w:cs="Calibri"/>
        </w:rPr>
        <w:t xml:space="preserve"> as adamant (</w:t>
      </w:r>
      <w:r w:rsidR="00520E08" w:rsidRPr="001005B7">
        <w:rPr>
          <w:rFonts w:ascii="Calibri" w:eastAsia="GaramondExpertMT" w:hAnsi="Calibri" w:cs="Calibri"/>
        </w:rPr>
        <w:t>3</w:t>
      </w:r>
      <w:r w:rsidR="00520E08" w:rsidRPr="001005B7">
        <w:rPr>
          <w:rFonts w:ascii="Calibri" w:eastAsia="GaramondMT" w:hAnsi="Calibri" w:cs="Calibri"/>
        </w:rPr>
        <w:t>:</w:t>
      </w:r>
      <w:r w:rsidR="00520E08" w:rsidRPr="001005B7">
        <w:rPr>
          <w:rFonts w:ascii="Calibri" w:eastAsia="GaramondExpertMT" w:hAnsi="Calibri" w:cs="Calibri"/>
        </w:rPr>
        <w:t>9</w:t>
      </w:r>
      <w:r w:rsidR="00520E08" w:rsidRPr="001005B7">
        <w:rPr>
          <w:rFonts w:ascii="Calibri" w:eastAsia="GaramondMT" w:hAnsi="Calibri" w:cs="Calibri"/>
        </w:rPr>
        <w:t>),</w:t>
      </w:r>
      <w:r w:rsidR="00931B78" w:rsidRPr="001005B7">
        <w:rPr>
          <w:rFonts w:ascii="Calibri" w:eastAsia="GaramondMT" w:hAnsi="Calibri" w:cs="Calibri"/>
        </w:rPr>
        <w:t xml:space="preserve"> </w:t>
      </w:r>
      <w:r w:rsidR="00520E08" w:rsidRPr="001005B7">
        <w:rPr>
          <w:rFonts w:ascii="Calibri" w:hAnsi="Calibri" w:cs="Calibri"/>
        </w:rPr>
        <w:t>his heart was always a heart of flesh (</w:t>
      </w:r>
      <w:r w:rsidR="00520E08" w:rsidRPr="001005B7">
        <w:rPr>
          <w:rFonts w:ascii="Calibri" w:eastAsia="GaramondExpertMT" w:hAnsi="Calibri" w:cs="Calibri"/>
        </w:rPr>
        <w:t>36</w:t>
      </w:r>
      <w:r w:rsidR="003963CC" w:rsidRPr="001005B7">
        <w:rPr>
          <w:rFonts w:ascii="Calibri" w:eastAsia="GaramondExpertMT" w:hAnsi="Calibri" w:cs="Calibri"/>
        </w:rPr>
        <w:t>:26</w:t>
      </w:r>
      <w:r w:rsidR="00D7603F" w:rsidRPr="001005B7">
        <w:rPr>
          <w:rFonts w:ascii="Calibri" w:eastAsia="GaramondExpertMT" w:hAnsi="Calibri" w:cs="Calibri"/>
        </w:rPr>
        <w:t>) (</w:t>
      </w:r>
      <w:r w:rsidR="00D7603F" w:rsidRPr="001005B7">
        <w:t>Taylor,</w:t>
      </w:r>
      <w:r w:rsidR="00D7603F" w:rsidRPr="001005B7">
        <w:rPr>
          <w:i/>
          <w:iCs/>
        </w:rPr>
        <w:t xml:space="preserve"> </w:t>
      </w:r>
      <w:r w:rsidR="00D7603F" w:rsidRPr="001005B7">
        <w:t>105</w:t>
      </w:r>
      <w:r w:rsidR="004A1E42" w:rsidRPr="001005B7">
        <w:t>).</w:t>
      </w:r>
      <w:r w:rsidR="00424359" w:rsidRPr="001005B7">
        <w:rPr>
          <w:rFonts w:ascii="Calibri" w:eastAsia="GaramondExpertMT" w:hAnsi="Calibri" w:cs="Calibri"/>
        </w:rPr>
        <w:t xml:space="preserve"> </w:t>
      </w:r>
      <w:r w:rsidR="00476764">
        <w:rPr>
          <w:rFonts w:ascii="Calibri" w:eastAsia="GaramondExpertMT" w:hAnsi="Calibri" w:cs="Calibri"/>
        </w:rPr>
        <w:t>It l</w:t>
      </w:r>
      <w:r w:rsidR="00527D5E" w:rsidRPr="001005B7">
        <w:rPr>
          <w:rFonts w:ascii="Calibri" w:eastAsia="GaramondExpertMT" w:hAnsi="Calibri" w:cs="Calibri"/>
        </w:rPr>
        <w:t>ead</w:t>
      </w:r>
      <w:r w:rsidR="00476764">
        <w:rPr>
          <w:rFonts w:ascii="Calibri" w:eastAsia="GaramondExpertMT" w:hAnsi="Calibri" w:cs="Calibri"/>
        </w:rPr>
        <w:t>s</w:t>
      </w:r>
      <w:r w:rsidR="00527D5E" w:rsidRPr="001005B7">
        <w:rPr>
          <w:rFonts w:ascii="Calibri" w:eastAsia="GaramondExpertMT" w:hAnsi="Calibri" w:cs="Calibri"/>
        </w:rPr>
        <w:t xml:space="preserve"> into </w:t>
      </w:r>
      <w:r w:rsidR="00152E1A">
        <w:rPr>
          <w:rFonts w:ascii="Calibri" w:eastAsia="GaramondExpertMT" w:hAnsi="Calibri" w:cs="Calibri"/>
        </w:rPr>
        <w:t>a</w:t>
      </w:r>
      <w:r w:rsidR="00527D5E" w:rsidRPr="001005B7">
        <w:rPr>
          <w:rFonts w:ascii="Calibri" w:eastAsia="GaramondExpertMT" w:hAnsi="Calibri" w:cs="Calibri"/>
        </w:rPr>
        <w:t xml:space="preserve"> protest about Yahweh destroying </w:t>
      </w:r>
      <w:r w:rsidR="00872E5D" w:rsidRPr="001005B7">
        <w:rPr>
          <w:rFonts w:ascii="Calibri" w:eastAsia="GaramondExpertMT" w:hAnsi="Calibri" w:cs="Calibri"/>
        </w:rPr>
        <w:t>“</w:t>
      </w:r>
      <w:r w:rsidR="00527D5E" w:rsidRPr="001005B7">
        <w:rPr>
          <w:rFonts w:ascii="Calibri" w:eastAsia="GaramondExpertMT" w:hAnsi="Calibri" w:cs="Calibri"/>
        </w:rPr>
        <w:t>all</w:t>
      </w:r>
      <w:r w:rsidR="00527D5E" w:rsidRPr="001005B7">
        <w:rPr>
          <w:rFonts w:ascii="Calibri" w:eastAsia="GaramondExpertMT" w:hAnsi="Calibri" w:cs="Calibri"/>
          <w:i/>
          <w:iCs/>
        </w:rPr>
        <w:t xml:space="preserve"> </w:t>
      </w:r>
      <w:r w:rsidR="00527D5E" w:rsidRPr="001005B7">
        <w:rPr>
          <w:rFonts w:ascii="Calibri" w:eastAsia="GaramondExpertMT" w:hAnsi="Calibri" w:cs="Calibri"/>
        </w:rPr>
        <w:t>that</w:t>
      </w:r>
      <w:r w:rsidR="00527D5E" w:rsidRPr="001005B7">
        <w:rPr>
          <w:rFonts w:ascii="Calibri" w:eastAsia="GaramondExpertMT" w:hAnsi="Calibri" w:cs="Calibri"/>
          <w:i/>
          <w:iCs/>
        </w:rPr>
        <w:t xml:space="preserve"> </w:t>
      </w:r>
      <w:r w:rsidR="00527D5E" w:rsidRPr="001005B7">
        <w:rPr>
          <w:rFonts w:ascii="Calibri" w:eastAsia="GaramondExpertMT" w:hAnsi="Calibri" w:cs="Calibri"/>
        </w:rPr>
        <w:t>remains</w:t>
      </w:r>
      <w:r w:rsidR="00992403" w:rsidRPr="001005B7">
        <w:rPr>
          <w:rFonts w:ascii="Calibri" w:eastAsia="GaramondExpertMT" w:hAnsi="Calibri" w:cs="Calibri"/>
          <w:i/>
          <w:iCs/>
        </w:rPr>
        <w:t xml:space="preserve"> </w:t>
      </w:r>
      <w:r w:rsidR="00992403" w:rsidRPr="001005B7">
        <w:rPr>
          <w:rFonts w:ascii="Calibri" w:eastAsia="GaramondExpertMT" w:hAnsi="Calibri" w:cs="Calibri"/>
        </w:rPr>
        <w:t>of</w:t>
      </w:r>
      <w:r w:rsidR="00992403" w:rsidRPr="001005B7">
        <w:rPr>
          <w:rFonts w:ascii="Calibri" w:eastAsia="GaramondExpertMT" w:hAnsi="Calibri" w:cs="Calibri"/>
          <w:i/>
          <w:iCs/>
        </w:rPr>
        <w:t xml:space="preserve"> </w:t>
      </w:r>
      <w:r w:rsidR="00992403" w:rsidRPr="001005B7">
        <w:rPr>
          <w:rFonts w:ascii="Calibri" w:eastAsia="GaramondExpertMT" w:hAnsi="Calibri" w:cs="Calibri"/>
        </w:rPr>
        <w:t>Israel</w:t>
      </w:r>
      <w:r w:rsidR="00152E1A">
        <w:rPr>
          <w:rFonts w:ascii="Calibri" w:eastAsia="GaramondExpertMT" w:hAnsi="Calibri" w:cs="Calibri"/>
        </w:rPr>
        <w:t>.</w:t>
      </w:r>
      <w:r w:rsidR="00872E5D" w:rsidRPr="001005B7">
        <w:rPr>
          <w:rFonts w:ascii="Calibri" w:eastAsia="GaramondExpertMT" w:hAnsi="Calibri" w:cs="Calibri"/>
        </w:rPr>
        <w:t>”</w:t>
      </w:r>
      <w:r w:rsidR="00527D5E" w:rsidRPr="001005B7">
        <w:rPr>
          <w:rFonts w:ascii="Calibri" w:eastAsia="GaramondExpertMT" w:hAnsi="Calibri" w:cs="Calibri"/>
        </w:rPr>
        <w:t xml:space="preserve"> </w:t>
      </w:r>
      <w:r w:rsidR="00152E1A">
        <w:rPr>
          <w:rFonts w:ascii="Calibri" w:eastAsia="GaramondExpertMT" w:hAnsi="Calibri" w:cs="Calibri"/>
        </w:rPr>
        <w:t>And i</w:t>
      </w:r>
      <w:r w:rsidR="00FC65DE">
        <w:rPr>
          <w:rFonts w:ascii="Calibri" w:eastAsia="GaramondExpertMT" w:hAnsi="Calibri" w:cs="Calibri"/>
        </w:rPr>
        <w:t xml:space="preserve">n addition he </w:t>
      </w:r>
      <w:r w:rsidR="00E503CB" w:rsidRPr="001005B7">
        <w:rPr>
          <w:rFonts w:ascii="Calibri" w:eastAsia="GaramondExpertMT" w:hAnsi="Calibri" w:cs="Calibri"/>
        </w:rPr>
        <w:t>says</w:t>
      </w:r>
      <w:r w:rsidR="00FC65DE">
        <w:rPr>
          <w:rFonts w:ascii="Calibri" w:eastAsia="GaramondExpertMT" w:hAnsi="Calibri" w:cs="Calibri"/>
        </w:rPr>
        <w:t>,</w:t>
      </w:r>
      <w:r w:rsidR="00E503CB" w:rsidRPr="001005B7">
        <w:rPr>
          <w:rFonts w:ascii="Calibri" w:eastAsia="GaramondExpertMT" w:hAnsi="Calibri" w:cs="Calibri"/>
        </w:rPr>
        <w:t xml:space="preserve"> </w:t>
      </w:r>
      <w:r w:rsidR="00EC000B" w:rsidRPr="001005B7">
        <w:rPr>
          <w:rFonts w:ascii="Calibri" w:eastAsia="GaramondExpertMT" w:hAnsi="Calibri" w:cs="Calibri"/>
        </w:rPr>
        <w:t>“I</w:t>
      </w:r>
      <w:r w:rsidR="00E503CB" w:rsidRPr="001005B7">
        <w:rPr>
          <w:rFonts w:ascii="Calibri" w:eastAsia="GaramondExpertMT" w:hAnsi="Calibri" w:cs="Calibri"/>
          <w:i/>
          <w:iCs/>
        </w:rPr>
        <w:t xml:space="preserve"> </w:t>
      </w:r>
      <w:r w:rsidR="00E503CB" w:rsidRPr="001005B7">
        <w:rPr>
          <w:rFonts w:ascii="Calibri" w:eastAsia="GaramondExpertMT" w:hAnsi="Calibri" w:cs="Calibri"/>
        </w:rPr>
        <w:t>for</w:t>
      </w:r>
      <w:r w:rsidR="00E503CB" w:rsidRPr="001005B7">
        <w:rPr>
          <w:rFonts w:ascii="Calibri" w:eastAsia="GaramondExpertMT" w:hAnsi="Calibri" w:cs="Calibri"/>
          <w:i/>
          <w:iCs/>
        </w:rPr>
        <w:t xml:space="preserve"> </w:t>
      </w:r>
      <w:r w:rsidR="00E503CB" w:rsidRPr="001005B7">
        <w:rPr>
          <w:rFonts w:ascii="Calibri" w:eastAsia="GaramondExpertMT" w:hAnsi="Calibri" w:cs="Calibri"/>
        </w:rPr>
        <w:t>my</w:t>
      </w:r>
      <w:r w:rsidR="00E503CB" w:rsidRPr="001005B7">
        <w:rPr>
          <w:rFonts w:ascii="Calibri" w:eastAsia="GaramondExpertMT" w:hAnsi="Calibri" w:cs="Calibri"/>
          <w:i/>
          <w:iCs/>
        </w:rPr>
        <w:t xml:space="preserve"> </w:t>
      </w:r>
      <w:r w:rsidR="00E503CB" w:rsidRPr="001005B7">
        <w:rPr>
          <w:rFonts w:ascii="Calibri" w:eastAsia="GaramondExpertMT" w:hAnsi="Calibri" w:cs="Calibri"/>
        </w:rPr>
        <w:t>part</w:t>
      </w:r>
      <w:r w:rsidR="00556497" w:rsidRPr="001005B7">
        <w:rPr>
          <w:rFonts w:ascii="Calibri" w:eastAsia="GaramondExpertMT" w:hAnsi="Calibri" w:cs="Calibri"/>
          <w:i/>
          <w:iCs/>
        </w:rPr>
        <w:t xml:space="preserve"> </w:t>
      </w:r>
      <w:r w:rsidR="00556497" w:rsidRPr="001005B7">
        <w:rPr>
          <w:rFonts w:ascii="Calibri" w:eastAsia="GaramondExpertMT" w:hAnsi="Calibri" w:cs="Calibri"/>
        </w:rPr>
        <w:t>remained</w:t>
      </w:r>
      <w:r w:rsidR="00EC000B" w:rsidRPr="001005B7">
        <w:rPr>
          <w:rFonts w:ascii="Calibri" w:eastAsia="GaramondExpertMT" w:hAnsi="Calibri" w:cs="Calibri"/>
        </w:rPr>
        <w:t>”</w:t>
      </w:r>
      <w:r w:rsidR="003C738B" w:rsidRPr="001005B7">
        <w:rPr>
          <w:rFonts w:ascii="Calibri" w:eastAsia="GaramondExpertMT" w:hAnsi="Calibri" w:cs="Calibri"/>
        </w:rPr>
        <w:t xml:space="preserve"> (</w:t>
      </w:r>
      <w:r w:rsidR="003C738B" w:rsidRPr="001005B7">
        <w:rPr>
          <w:rFonts w:ascii="Calibri" w:eastAsia="GaramondExpertMT" w:hAnsi="Calibri" w:cs="Calibri"/>
          <w:rtl/>
          <w:lang w:bidi="he-IL"/>
        </w:rPr>
        <w:t>ּשׁ</w:t>
      </w:r>
      <w:r w:rsidR="00635471" w:rsidRPr="001005B7">
        <w:rPr>
          <w:rFonts w:ascii="Calibri" w:eastAsia="GaramondExpertMT" w:hAnsi="Calibri" w:cs="Calibri"/>
          <w:rtl/>
          <w:lang w:bidi="he-IL"/>
        </w:rPr>
        <w:t>ׇ</w:t>
      </w:r>
      <w:r w:rsidR="001E00E5" w:rsidRPr="001005B7">
        <w:rPr>
          <w:rFonts w:ascii="Calibri" w:eastAsia="GaramondExpertMT" w:hAnsi="Calibri" w:cs="Calibri"/>
          <w:rtl/>
          <w:lang w:bidi="he-IL"/>
        </w:rPr>
        <w:t>אַר</w:t>
      </w:r>
      <w:r w:rsidR="001E00E5" w:rsidRPr="001005B7">
        <w:rPr>
          <w:rFonts w:ascii="Calibri" w:eastAsia="GaramondExpertMT" w:hAnsi="Calibri" w:cs="Calibri"/>
        </w:rPr>
        <w:t xml:space="preserve"> niphal), </w:t>
      </w:r>
      <w:r w:rsidR="00B70A85" w:rsidRPr="001005B7">
        <w:rPr>
          <w:rFonts w:ascii="Calibri" w:eastAsia="GaramondExpertMT" w:hAnsi="Calibri" w:cs="Calibri"/>
        </w:rPr>
        <w:t>us</w:t>
      </w:r>
      <w:r w:rsidR="00D007B5" w:rsidRPr="001005B7">
        <w:rPr>
          <w:rFonts w:ascii="Calibri" w:eastAsia="GaramondExpertMT" w:hAnsi="Calibri" w:cs="Calibri"/>
        </w:rPr>
        <w:t>ing</w:t>
      </w:r>
      <w:r w:rsidR="00B70A85" w:rsidRPr="001005B7">
        <w:rPr>
          <w:rFonts w:ascii="Calibri" w:eastAsia="GaramondExpertMT" w:hAnsi="Calibri" w:cs="Calibri"/>
        </w:rPr>
        <w:t xml:space="preserve"> </w:t>
      </w:r>
      <w:r w:rsidR="00773B1B" w:rsidRPr="001005B7">
        <w:rPr>
          <w:rFonts w:ascii="Calibri" w:eastAsia="GaramondExpertMT" w:hAnsi="Calibri" w:cs="Calibri"/>
        </w:rPr>
        <w:t>the verb</w:t>
      </w:r>
      <w:r w:rsidR="00946F86" w:rsidRPr="001005B7">
        <w:rPr>
          <w:rFonts w:ascii="Calibri" w:eastAsia="GaramondExpertMT" w:hAnsi="Calibri" w:cs="Calibri"/>
        </w:rPr>
        <w:t xml:space="preserve"> </w:t>
      </w:r>
      <w:r w:rsidR="00BC0992">
        <w:rPr>
          <w:rFonts w:ascii="Calibri" w:eastAsia="GaramondExpertMT" w:hAnsi="Calibri" w:cs="Calibri"/>
        </w:rPr>
        <w:t>with</w:t>
      </w:r>
      <w:r w:rsidR="00D007B5" w:rsidRPr="001005B7">
        <w:rPr>
          <w:rFonts w:ascii="Calibri" w:eastAsia="GaramondExpertMT" w:hAnsi="Calibri" w:cs="Calibri"/>
        </w:rPr>
        <w:t xml:space="preserve"> a</w:t>
      </w:r>
      <w:r w:rsidR="00773B1B" w:rsidRPr="001005B7">
        <w:rPr>
          <w:rFonts w:ascii="Calibri" w:eastAsia="GaramondExpertMT" w:hAnsi="Calibri" w:cs="Calibri"/>
        </w:rPr>
        <w:t xml:space="preserve"> related noun</w:t>
      </w:r>
      <w:r w:rsidR="00735C44" w:rsidRPr="001005B7">
        <w:rPr>
          <w:rFonts w:ascii="Calibri" w:eastAsia="GaramondExpertMT" w:hAnsi="Calibri" w:cs="Calibri"/>
        </w:rPr>
        <w:t xml:space="preserve"> </w:t>
      </w:r>
      <w:r w:rsidR="00BC0992">
        <w:rPr>
          <w:rFonts w:ascii="Calibri" w:eastAsia="GaramondExpertMT" w:hAnsi="Calibri" w:cs="Calibri"/>
        </w:rPr>
        <w:t xml:space="preserve">that </w:t>
      </w:r>
      <w:r w:rsidR="00735C44" w:rsidRPr="001005B7">
        <w:rPr>
          <w:rFonts w:ascii="Calibri" w:eastAsia="GaramondExpertMT" w:hAnsi="Calibri" w:cs="Calibri"/>
        </w:rPr>
        <w:t>signif</w:t>
      </w:r>
      <w:r w:rsidR="007B1438">
        <w:rPr>
          <w:rFonts w:ascii="Calibri" w:eastAsia="GaramondExpertMT" w:hAnsi="Calibri" w:cs="Calibri"/>
        </w:rPr>
        <w:t>ies</w:t>
      </w:r>
      <w:r w:rsidR="00735C44" w:rsidRPr="001005B7">
        <w:rPr>
          <w:rFonts w:ascii="Calibri" w:eastAsia="GaramondExpertMT" w:hAnsi="Calibri" w:cs="Calibri"/>
        </w:rPr>
        <w:t xml:space="preserve"> the </w:t>
      </w:r>
      <w:r w:rsidR="00805E0B" w:rsidRPr="001005B7">
        <w:rPr>
          <w:rFonts w:ascii="Calibri" w:eastAsia="GaramondExpertMT" w:hAnsi="Calibri" w:cs="Calibri"/>
        </w:rPr>
        <w:t>“</w:t>
      </w:r>
      <w:r w:rsidR="00735C44" w:rsidRPr="001005B7">
        <w:rPr>
          <w:rFonts w:ascii="Calibri" w:eastAsia="GaramondExpertMT" w:hAnsi="Calibri" w:cs="Calibri"/>
        </w:rPr>
        <w:t>remains</w:t>
      </w:r>
      <w:r w:rsidR="00BF39BA" w:rsidRPr="001005B7">
        <w:rPr>
          <w:rFonts w:ascii="Calibri" w:eastAsia="GaramondExpertMT" w:hAnsi="Calibri" w:cs="Calibri"/>
        </w:rPr>
        <w:t>,</w:t>
      </w:r>
      <w:r w:rsidR="00805E0B" w:rsidRPr="001005B7">
        <w:rPr>
          <w:rFonts w:ascii="Calibri" w:eastAsia="GaramondExpertMT" w:hAnsi="Calibri" w:cs="Calibri"/>
        </w:rPr>
        <w:t>”</w:t>
      </w:r>
      <w:r w:rsidR="00773B1B" w:rsidRPr="001005B7">
        <w:rPr>
          <w:rFonts w:ascii="Calibri" w:eastAsia="GaramondExpertMT" w:hAnsi="Calibri" w:cs="Calibri"/>
        </w:rPr>
        <w:t xml:space="preserve"> traditionally translated “remnan</w:t>
      </w:r>
      <w:r w:rsidR="00546FBC" w:rsidRPr="001005B7">
        <w:rPr>
          <w:rFonts w:ascii="Calibri" w:eastAsia="GaramondExpertMT" w:hAnsi="Calibri" w:cs="Calibri"/>
        </w:rPr>
        <w:t>t”</w:t>
      </w:r>
      <w:r w:rsidR="00BF39BA" w:rsidRPr="001005B7">
        <w:rPr>
          <w:rFonts w:ascii="Calibri" w:eastAsia="GaramondExpertMT" w:hAnsi="Calibri" w:cs="Calibri"/>
        </w:rPr>
        <w:t xml:space="preserve"> (</w:t>
      </w:r>
      <w:r w:rsidR="00D138D8" w:rsidRPr="001005B7">
        <w:rPr>
          <w:rFonts w:ascii="Calibri" w:eastAsia="GaramondExpertMT" w:hAnsi="Calibri" w:cs="Calibri"/>
          <w:rtl/>
          <w:lang w:bidi="he-IL"/>
        </w:rPr>
        <w:t>שְׁא</w:t>
      </w:r>
      <w:r w:rsidR="00DF62DD" w:rsidRPr="001005B7">
        <w:rPr>
          <w:rFonts w:ascii="Calibri" w:eastAsia="GaramondExpertMT" w:hAnsi="Calibri" w:cs="Calibri"/>
          <w:rtl/>
          <w:lang w:bidi="he-IL"/>
        </w:rPr>
        <w:t>ֵ</w:t>
      </w:r>
      <w:r w:rsidR="00392874" w:rsidRPr="001005B7">
        <w:rPr>
          <w:rFonts w:ascii="Calibri" w:eastAsia="GaramondExpertMT" w:hAnsi="Calibri" w:cs="Calibri"/>
          <w:rtl/>
          <w:lang w:bidi="he-IL"/>
        </w:rPr>
        <w:t>רִית</w:t>
      </w:r>
      <w:r w:rsidR="00D138D8" w:rsidRPr="001005B7">
        <w:rPr>
          <w:rFonts w:ascii="Calibri" w:eastAsia="GaramondExpertMT" w:hAnsi="Calibri" w:cs="Calibri"/>
        </w:rPr>
        <w:t>)</w:t>
      </w:r>
      <w:r w:rsidR="00E26037" w:rsidRPr="001005B7">
        <w:rPr>
          <w:rFonts w:ascii="Calibri" w:eastAsia="GaramondExpertMT" w:hAnsi="Calibri" w:cs="Calibri"/>
        </w:rPr>
        <w:t>.</w:t>
      </w:r>
      <w:r w:rsidR="00546FBC" w:rsidRPr="001005B7">
        <w:rPr>
          <w:rFonts w:ascii="Calibri" w:eastAsia="GaramondExpertMT" w:hAnsi="Calibri" w:cs="Calibri"/>
        </w:rPr>
        <w:t xml:space="preserve"> </w:t>
      </w:r>
      <w:r w:rsidR="00946F86" w:rsidRPr="001005B7">
        <w:rPr>
          <w:rFonts w:ascii="Calibri" w:eastAsia="GaramondExpertMT" w:hAnsi="Calibri" w:cs="Calibri"/>
        </w:rPr>
        <w:t>His words</w:t>
      </w:r>
      <w:r w:rsidR="00546FBC" w:rsidRPr="001005B7">
        <w:rPr>
          <w:rFonts w:ascii="Calibri" w:eastAsia="GaramondExpertMT" w:hAnsi="Calibri" w:cs="Calibri"/>
        </w:rPr>
        <w:t xml:space="preserve"> recall </w:t>
      </w:r>
      <w:r w:rsidR="00EF7EC4" w:rsidRPr="001005B7">
        <w:rPr>
          <w:rFonts w:ascii="Calibri" w:eastAsia="GaramondExpertMT" w:hAnsi="Calibri" w:cs="Calibri"/>
        </w:rPr>
        <w:t xml:space="preserve">Elijah’s “I </w:t>
      </w:r>
      <w:r w:rsidR="000C558E" w:rsidRPr="001005B7">
        <w:rPr>
          <w:rFonts w:ascii="Calibri" w:eastAsia="GaramondExpertMT" w:hAnsi="Calibri" w:cs="Calibri"/>
        </w:rPr>
        <w:t>for my part alone am left as a prophet for Yahweh</w:t>
      </w:r>
      <w:r w:rsidR="008E05B0" w:rsidRPr="001005B7">
        <w:rPr>
          <w:rFonts w:ascii="Calibri" w:eastAsia="GaramondExpertMT" w:hAnsi="Calibri" w:cs="Calibri"/>
        </w:rPr>
        <w:t>” (</w:t>
      </w:r>
      <w:r w:rsidR="002B32E2" w:rsidRPr="001005B7">
        <w:t>1 Kgs</w:t>
      </w:r>
      <w:r w:rsidR="008E05B0" w:rsidRPr="001005B7">
        <w:rPr>
          <w:rFonts w:ascii="Calibri" w:eastAsia="GaramondExpertMT" w:hAnsi="Calibri" w:cs="Calibri"/>
        </w:rPr>
        <w:t xml:space="preserve"> 18:22). </w:t>
      </w:r>
      <w:r w:rsidR="00650104" w:rsidRPr="001005B7">
        <w:rPr>
          <w:rFonts w:ascii="Calibri" w:eastAsia="GaramondExpertMT" w:hAnsi="Calibri" w:cs="Calibri"/>
        </w:rPr>
        <w:t xml:space="preserve">Is he implying that there is no one else </w:t>
      </w:r>
      <w:r w:rsidR="0032456B" w:rsidRPr="001005B7">
        <w:rPr>
          <w:rFonts w:ascii="Calibri" w:eastAsia="GaramondExpertMT" w:hAnsi="Calibri" w:cs="Calibri"/>
        </w:rPr>
        <w:t>groaning and moaning? Is he the remnant?</w:t>
      </w:r>
      <w:r w:rsidR="00762D85" w:rsidRPr="001005B7">
        <w:t xml:space="preserve"> His s</w:t>
      </w:r>
      <w:r w:rsidR="00DE1E16" w:rsidRPr="001005B7">
        <w:t>equencing Israel</w:t>
      </w:r>
      <w:r w:rsidR="00011C97" w:rsidRPr="001005B7">
        <w:rPr>
          <w:i/>
          <w:iCs/>
        </w:rPr>
        <w:t xml:space="preserve"> </w:t>
      </w:r>
      <w:r w:rsidR="00DE1E16" w:rsidRPr="001005B7">
        <w:t xml:space="preserve">and Jerusalem, </w:t>
      </w:r>
      <w:r w:rsidR="007E1A43" w:rsidRPr="001005B7">
        <w:t xml:space="preserve">and </w:t>
      </w:r>
      <w:r w:rsidR="00DE1E16" w:rsidRPr="001005B7">
        <w:t>then</w:t>
      </w:r>
      <w:r w:rsidR="007B57B5" w:rsidRPr="001005B7">
        <w:t xml:space="preserve"> </w:t>
      </w:r>
      <w:r w:rsidR="005773BD" w:rsidRPr="001005B7">
        <w:t xml:space="preserve">in </w:t>
      </w:r>
      <w:r w:rsidR="003D021F" w:rsidRPr="001005B7">
        <w:t>9:</w:t>
      </w:r>
      <w:r w:rsidR="005773BD" w:rsidRPr="001005B7">
        <w:t xml:space="preserve">9 </w:t>
      </w:r>
      <w:r w:rsidR="003057F1" w:rsidRPr="001005B7">
        <w:t>“</w:t>
      </w:r>
      <w:r w:rsidR="007B57B5" w:rsidRPr="001005B7">
        <w:rPr>
          <w:i/>
          <w:iCs/>
        </w:rPr>
        <w:t xml:space="preserve">the </w:t>
      </w:r>
      <w:r w:rsidR="007B57B5" w:rsidRPr="001005B7">
        <w:t>household</w:t>
      </w:r>
      <w:r w:rsidR="007B57B5" w:rsidRPr="001005B7">
        <w:rPr>
          <w:i/>
          <w:iCs/>
        </w:rPr>
        <w:t xml:space="preserve"> </w:t>
      </w:r>
      <w:r w:rsidR="007B57B5" w:rsidRPr="001005B7">
        <w:t>of</w:t>
      </w:r>
      <w:r w:rsidR="007B57B5" w:rsidRPr="001005B7">
        <w:rPr>
          <w:i/>
          <w:iCs/>
        </w:rPr>
        <w:t xml:space="preserve"> </w:t>
      </w:r>
      <w:r w:rsidR="007B57B5" w:rsidRPr="001005B7">
        <w:t>Israel</w:t>
      </w:r>
      <w:r w:rsidR="003057F1" w:rsidRPr="001005B7">
        <w:t>”</w:t>
      </w:r>
      <w:r w:rsidR="007B57B5" w:rsidRPr="001005B7">
        <w:t xml:space="preserve"> and </w:t>
      </w:r>
      <w:r w:rsidR="003057F1" w:rsidRPr="001005B7">
        <w:t>“</w:t>
      </w:r>
      <w:r w:rsidR="007B57B5" w:rsidRPr="001005B7">
        <w:t>Judah,</w:t>
      </w:r>
      <w:r w:rsidR="003057F1" w:rsidRPr="001005B7">
        <w:t>”</w:t>
      </w:r>
      <w:r w:rsidR="007B57B5" w:rsidRPr="001005B7">
        <w:t xml:space="preserve"> </w:t>
      </w:r>
      <w:r w:rsidR="00097678" w:rsidRPr="001005B7">
        <w:t xml:space="preserve">makes the same point as </w:t>
      </w:r>
      <w:r w:rsidR="007B57B5" w:rsidRPr="001005B7">
        <w:t xml:space="preserve">the sequencing does </w:t>
      </w:r>
      <w:r w:rsidR="00097678" w:rsidRPr="001005B7">
        <w:t>in 4:4</w:t>
      </w:r>
      <w:r w:rsidR="00F46900" w:rsidRPr="001005B7">
        <w:t>–</w:t>
      </w:r>
      <w:r w:rsidR="00097678" w:rsidRPr="001005B7">
        <w:t xml:space="preserve">8: the odd phraseology </w:t>
      </w:r>
      <w:r w:rsidR="00A908E0" w:rsidRPr="001005B7">
        <w:t xml:space="preserve">means he </w:t>
      </w:r>
      <w:r w:rsidR="00097678" w:rsidRPr="001005B7">
        <w:t xml:space="preserve">covers both the people of Yahweh as a whole and Judah in particular. </w:t>
      </w:r>
    </w:p>
    <w:p w14:paraId="433AA055" w14:textId="375C34C8" w:rsidR="00346E3B" w:rsidRPr="001005B7" w:rsidRDefault="00677DC5" w:rsidP="00E27627">
      <w:r w:rsidRPr="001005B7">
        <w:rPr>
          <w:b/>
          <w:bCs/>
        </w:rPr>
        <w:t>9:</w:t>
      </w:r>
      <w:r w:rsidR="00957A07" w:rsidRPr="001005B7">
        <w:rPr>
          <w:b/>
          <w:bCs/>
        </w:rPr>
        <w:t xml:space="preserve">9 </w:t>
      </w:r>
      <w:r w:rsidR="00BD5B68" w:rsidRPr="001005B7">
        <w:t>Yahweh’s reasoning takes up a series of motifs from preceding chapters</w:t>
      </w:r>
      <w:r w:rsidR="00FB2AEC" w:rsidRPr="001005B7">
        <w:t xml:space="preserve">. They have </w:t>
      </w:r>
      <w:r w:rsidR="00BD1008" w:rsidRPr="001005B7">
        <w:t>referred to</w:t>
      </w:r>
      <w:r w:rsidR="00957A07" w:rsidRPr="001005B7">
        <w:t xml:space="preserve"> </w:t>
      </w:r>
      <w:r w:rsidR="00244E1E" w:rsidRPr="001005B7">
        <w:t>w</w:t>
      </w:r>
      <w:r w:rsidR="00BD5B68" w:rsidRPr="001005B7">
        <w:t>aywardness</w:t>
      </w:r>
      <w:r w:rsidR="002023C3" w:rsidRPr="001005B7">
        <w:t xml:space="preserve"> </w:t>
      </w:r>
      <w:r w:rsidR="00BD1008" w:rsidRPr="001005B7">
        <w:t xml:space="preserve">eleven times </w:t>
      </w:r>
      <w:r w:rsidR="00244E1E" w:rsidRPr="001005B7">
        <w:t>(</w:t>
      </w:r>
      <w:r w:rsidR="00BD1008" w:rsidRPr="001005B7">
        <w:t xml:space="preserve">e.g., </w:t>
      </w:r>
      <w:r w:rsidR="002023C3" w:rsidRPr="001005B7">
        <w:t>7:</w:t>
      </w:r>
      <w:r w:rsidR="005D6C90" w:rsidRPr="001005B7">
        <w:t xml:space="preserve">13, </w:t>
      </w:r>
      <w:r w:rsidR="0079240E" w:rsidRPr="001005B7">
        <w:t xml:space="preserve">16, </w:t>
      </w:r>
      <w:r w:rsidR="002023C3" w:rsidRPr="001005B7">
        <w:t>19</w:t>
      </w:r>
      <w:r w:rsidR="00244E1E" w:rsidRPr="001005B7">
        <w:t xml:space="preserve">), </w:t>
      </w:r>
      <w:r w:rsidR="00BD1008" w:rsidRPr="001005B7">
        <w:t xml:space="preserve">which supports the </w:t>
      </w:r>
      <w:r w:rsidR="00B95628" w:rsidRPr="001005B7">
        <w:t>“</w:t>
      </w:r>
      <w:r w:rsidR="009E496C" w:rsidRPr="001005B7">
        <w:t>very</w:t>
      </w:r>
      <w:r w:rsidR="009E496C" w:rsidRPr="001005B7">
        <w:rPr>
          <w:i/>
          <w:iCs/>
        </w:rPr>
        <w:t xml:space="preserve">, </w:t>
      </w:r>
      <w:r w:rsidR="009E496C" w:rsidRPr="001005B7">
        <w:t>very</w:t>
      </w:r>
      <w:r w:rsidR="009E496C" w:rsidRPr="001005B7">
        <w:rPr>
          <w:i/>
          <w:iCs/>
        </w:rPr>
        <w:t xml:space="preserve"> </w:t>
      </w:r>
      <w:r w:rsidR="009E496C" w:rsidRPr="001005B7">
        <w:t>great</w:t>
      </w:r>
      <w:r w:rsidR="00C07131" w:rsidRPr="001005B7">
        <w:t>.</w:t>
      </w:r>
      <w:r w:rsidR="00B95628" w:rsidRPr="001005B7">
        <w:t>”</w:t>
      </w:r>
      <w:r w:rsidR="00C07131" w:rsidRPr="001005B7">
        <w:t xml:space="preserve"> They have referred</w:t>
      </w:r>
      <w:r w:rsidR="009E496C" w:rsidRPr="001005B7">
        <w:t xml:space="preserve"> to</w:t>
      </w:r>
      <w:r w:rsidR="009E496C" w:rsidRPr="001005B7">
        <w:rPr>
          <w:i/>
          <w:iCs/>
        </w:rPr>
        <w:t xml:space="preserve"> </w:t>
      </w:r>
      <w:r w:rsidR="00F63300" w:rsidRPr="001005B7">
        <w:t xml:space="preserve">the city being </w:t>
      </w:r>
      <w:r w:rsidR="00B95628" w:rsidRPr="001005B7">
        <w:t>“</w:t>
      </w:r>
      <w:r w:rsidR="00F63300" w:rsidRPr="001005B7">
        <w:t>full</w:t>
      </w:r>
      <w:r w:rsidR="00F63300" w:rsidRPr="001005B7">
        <w:rPr>
          <w:i/>
          <w:iCs/>
        </w:rPr>
        <w:t xml:space="preserve"> </w:t>
      </w:r>
      <w:r w:rsidR="00F63300" w:rsidRPr="001005B7">
        <w:t>of</w:t>
      </w:r>
      <w:r w:rsidR="00F63300" w:rsidRPr="001005B7">
        <w:rPr>
          <w:i/>
          <w:iCs/>
        </w:rPr>
        <w:t xml:space="preserve"> </w:t>
      </w:r>
      <w:r w:rsidR="00F63300" w:rsidRPr="001005B7">
        <w:t>bloody</w:t>
      </w:r>
      <w:r w:rsidR="00F63300" w:rsidRPr="001005B7">
        <w:rPr>
          <w:i/>
          <w:iCs/>
        </w:rPr>
        <w:t xml:space="preserve"> </w:t>
      </w:r>
      <w:r w:rsidR="00F63300" w:rsidRPr="001005B7">
        <w:t>ruling,</w:t>
      </w:r>
      <w:r w:rsidR="00B95628" w:rsidRPr="001005B7">
        <w:t>”</w:t>
      </w:r>
      <w:r w:rsidR="00F63300" w:rsidRPr="001005B7">
        <w:t xml:space="preserve"> full of ruling </w:t>
      </w:r>
      <w:r w:rsidR="007B0A4B" w:rsidRPr="001005B7">
        <w:t xml:space="preserve">that was </w:t>
      </w:r>
      <w:r w:rsidR="00F63300" w:rsidRPr="001005B7">
        <w:t>characterized by</w:t>
      </w:r>
      <w:r w:rsidR="00F63300" w:rsidRPr="001005B7">
        <w:rPr>
          <w:i/>
          <w:iCs/>
        </w:rPr>
        <w:t xml:space="preserve"> </w:t>
      </w:r>
      <w:r w:rsidR="00244E1E" w:rsidRPr="001005B7">
        <w:t>b</w:t>
      </w:r>
      <w:r w:rsidR="002023C3" w:rsidRPr="001005B7">
        <w:t xml:space="preserve">loodshed </w:t>
      </w:r>
      <w:r w:rsidR="007B0A4B" w:rsidRPr="001005B7">
        <w:t xml:space="preserve">and thus </w:t>
      </w:r>
      <w:r w:rsidR="006173F2" w:rsidRPr="001005B7">
        <w:t>“</w:t>
      </w:r>
      <w:r w:rsidR="00984D38" w:rsidRPr="001005B7">
        <w:t xml:space="preserve">full of </w:t>
      </w:r>
      <w:r w:rsidR="007B0A4B" w:rsidRPr="001005B7">
        <w:t>violence</w:t>
      </w:r>
      <w:r w:rsidR="006173F2" w:rsidRPr="001005B7">
        <w:t>”</w:t>
      </w:r>
      <w:r w:rsidR="007B0A4B" w:rsidRPr="001005B7">
        <w:t xml:space="preserve"> </w:t>
      </w:r>
      <w:r w:rsidR="00244E1E" w:rsidRPr="001005B7">
        <w:t>(</w:t>
      </w:r>
      <w:r w:rsidR="002023C3" w:rsidRPr="001005B7">
        <w:t>7:23</w:t>
      </w:r>
      <w:r w:rsidR="003654C9" w:rsidRPr="001005B7">
        <w:t>; also compare and contrast Isa 1:15, 21)</w:t>
      </w:r>
      <w:r w:rsidR="004A1E42" w:rsidRPr="001005B7">
        <w:t xml:space="preserve"> (</w:t>
      </w:r>
      <w:proofErr w:type="spellStart"/>
      <w:r w:rsidR="004A1E42" w:rsidRPr="001005B7">
        <w:t>Qimhi</w:t>
      </w:r>
      <w:proofErr w:type="spellEnd"/>
      <w:r w:rsidR="0034722F" w:rsidRPr="001005B7">
        <w:t>,</w:t>
      </w:r>
      <w:r w:rsidR="004A1E42" w:rsidRPr="001005B7">
        <w:t xml:space="preserve"> in MG).</w:t>
      </w:r>
      <w:r w:rsidR="00556012" w:rsidRPr="001005B7">
        <w:t xml:space="preserve"> They have referred</w:t>
      </w:r>
      <w:r w:rsidR="006526F1" w:rsidRPr="001005B7">
        <w:t xml:space="preserve"> just now</w:t>
      </w:r>
      <w:r w:rsidR="009E496C" w:rsidRPr="001005B7">
        <w:t xml:space="preserve"> to</w:t>
      </w:r>
      <w:r w:rsidR="00EA4A94" w:rsidRPr="001005B7">
        <w:t xml:space="preserve"> what </w:t>
      </w:r>
      <w:r w:rsidR="00556012" w:rsidRPr="001005B7">
        <w:t>some people</w:t>
      </w:r>
      <w:r w:rsidR="00EA4A94" w:rsidRPr="001005B7">
        <w:t xml:space="preserve"> have said about Yahweh</w:t>
      </w:r>
      <w:r w:rsidR="009B3534" w:rsidRPr="001005B7">
        <w:t xml:space="preserve">’s abandonment and </w:t>
      </w:r>
      <w:r w:rsidR="00F862BF" w:rsidRPr="001005B7">
        <w:t xml:space="preserve">his </w:t>
      </w:r>
      <w:r w:rsidR="009B3534" w:rsidRPr="001005B7">
        <w:t>not seeing</w:t>
      </w:r>
      <w:r w:rsidR="00EA4A94" w:rsidRPr="001005B7">
        <w:t xml:space="preserve"> </w:t>
      </w:r>
      <w:r w:rsidR="00BC3EBF" w:rsidRPr="001005B7">
        <w:t>(</w:t>
      </w:r>
      <w:r w:rsidR="002023C3" w:rsidRPr="001005B7">
        <w:t>8:12</w:t>
      </w:r>
      <w:r w:rsidR="00BC3EBF" w:rsidRPr="001005B7">
        <w:t>).</w:t>
      </w:r>
      <w:r w:rsidR="00B66608" w:rsidRPr="001005B7">
        <w:t xml:space="preserve"> </w:t>
      </w:r>
      <w:r w:rsidR="00081DC2" w:rsidRPr="001005B7">
        <w:t>The exception proves the rule</w:t>
      </w:r>
      <w:r w:rsidR="00FC0A83" w:rsidRPr="001005B7">
        <w:t>:</w:t>
      </w:r>
      <w:r w:rsidR="00081DC2" w:rsidRPr="001005B7">
        <w:t xml:space="preserve"> the hapax</w:t>
      </w:r>
      <w:r w:rsidR="00ED698A" w:rsidRPr="001005B7">
        <w:t xml:space="preserve"> </w:t>
      </w:r>
      <w:r w:rsidR="006C7E0D" w:rsidRPr="001005B7">
        <w:t>“</w:t>
      </w:r>
      <w:r w:rsidR="00081DC2" w:rsidRPr="001005B7">
        <w:t>perversion</w:t>
      </w:r>
      <w:r w:rsidR="006C7E0D" w:rsidRPr="001005B7">
        <w:t>”</w:t>
      </w:r>
      <w:r w:rsidR="00ED698A" w:rsidRPr="001005B7">
        <w:rPr>
          <w:i/>
          <w:iCs/>
        </w:rPr>
        <w:t xml:space="preserve"> </w:t>
      </w:r>
      <w:r w:rsidR="00ED698A" w:rsidRPr="001005B7">
        <w:t>(</w:t>
      </w:r>
      <w:r w:rsidR="00791B4D" w:rsidRPr="001005B7">
        <w:rPr>
          <w:rFonts w:cstheme="minorHAnsi"/>
          <w:rtl/>
          <w:lang w:bidi="he-IL"/>
        </w:rPr>
        <w:t>מֻט</w:t>
      </w:r>
      <w:r w:rsidR="009D3CCD" w:rsidRPr="001005B7">
        <w:rPr>
          <w:rFonts w:cstheme="minorHAnsi"/>
          <w:rtl/>
          <w:lang w:bidi="he-IL"/>
        </w:rPr>
        <w:t>ָּה</w:t>
      </w:r>
      <w:r w:rsidR="00ED698A" w:rsidRPr="001005B7">
        <w:t>)</w:t>
      </w:r>
      <w:r w:rsidR="00FC0A83" w:rsidRPr="001005B7">
        <w:t xml:space="preserve"> </w:t>
      </w:r>
      <w:r w:rsidR="00ED698A" w:rsidRPr="001005B7">
        <w:t xml:space="preserve">is but one vowel different from </w:t>
      </w:r>
      <w:r w:rsidR="00A13766" w:rsidRPr="001005B7">
        <w:t xml:space="preserve">the </w:t>
      </w:r>
      <w:r w:rsidR="0044394C" w:rsidRPr="001005B7">
        <w:t>faithless</w:t>
      </w:r>
      <w:r w:rsidR="0044394C" w:rsidRPr="001005B7">
        <w:rPr>
          <w:i/>
          <w:iCs/>
        </w:rPr>
        <w:t xml:space="preserve"> </w:t>
      </w:r>
      <w:r w:rsidR="00D93E85" w:rsidRPr="001005B7">
        <w:rPr>
          <w:i/>
          <w:iCs/>
        </w:rPr>
        <w:t>“</w:t>
      </w:r>
      <w:r w:rsidR="0044394C" w:rsidRPr="001005B7">
        <w:t>scepter</w:t>
      </w:r>
      <w:r w:rsidR="006C7E0D" w:rsidRPr="001005B7">
        <w:t>”</w:t>
      </w:r>
      <w:r w:rsidR="0044394C" w:rsidRPr="001005B7">
        <w:t xml:space="preserve"> (</w:t>
      </w:r>
      <w:r w:rsidR="009D3CCD" w:rsidRPr="001005B7">
        <w:rPr>
          <w:rFonts w:cstheme="minorHAnsi"/>
          <w:rtl/>
          <w:lang w:bidi="he-IL"/>
        </w:rPr>
        <w:t>מ</w:t>
      </w:r>
      <w:r w:rsidR="00A0529E" w:rsidRPr="001005B7">
        <w:rPr>
          <w:rFonts w:cstheme="minorHAnsi"/>
          <w:rtl/>
          <w:lang w:bidi="he-IL"/>
        </w:rPr>
        <w:t>ַטָּה</w:t>
      </w:r>
      <w:r w:rsidR="00ED3206" w:rsidRPr="001005B7">
        <w:t>)</w:t>
      </w:r>
      <w:r w:rsidR="00946EA6" w:rsidRPr="001005B7">
        <w:t xml:space="preserve"> that is an expression of violence and arrogance (7:10).</w:t>
      </w:r>
      <w:r w:rsidR="00757883" w:rsidRPr="001005B7">
        <w:t xml:space="preserve"> Etymologically it suggests </w:t>
      </w:r>
      <w:r w:rsidR="00EF3AF5" w:rsidRPr="001005B7">
        <w:t>something stretched (from the verb</w:t>
      </w:r>
      <w:r w:rsidR="00A0529E" w:rsidRPr="001005B7">
        <w:t xml:space="preserve"> </w:t>
      </w:r>
      <w:r w:rsidR="00781E37" w:rsidRPr="001005B7">
        <w:rPr>
          <w:rFonts w:cstheme="minorHAnsi"/>
          <w:rtl/>
          <w:lang w:bidi="he-IL"/>
        </w:rPr>
        <w:t>נָטָה</w:t>
      </w:r>
      <w:r w:rsidR="00EF3AF5" w:rsidRPr="001005B7">
        <w:t>)</w:t>
      </w:r>
      <w:r w:rsidR="00971974" w:rsidRPr="001005B7">
        <w:t xml:space="preserve"> and thus “</w:t>
      </w:r>
      <w:r w:rsidR="00BC46D7" w:rsidRPr="001005B7">
        <w:rPr>
          <w:rFonts w:ascii="Calibri" w:hAnsi="Calibri" w:cs="Calibri"/>
        </w:rPr>
        <w:t>the unjust extension of the ruler's staff</w:t>
      </w:r>
      <w:r w:rsidR="00971974" w:rsidRPr="001005B7">
        <w:rPr>
          <w:rFonts w:ascii="Calibri" w:hAnsi="Calibri" w:cs="Calibri"/>
        </w:rPr>
        <w:t>” in</w:t>
      </w:r>
      <w:r w:rsidR="00BC46D7" w:rsidRPr="001005B7">
        <w:rPr>
          <w:rFonts w:ascii="Calibri" w:hAnsi="Calibri" w:cs="Calibri"/>
        </w:rPr>
        <w:t xml:space="preserve"> </w:t>
      </w:r>
      <w:r w:rsidR="00971974" w:rsidRPr="001005B7">
        <w:rPr>
          <w:rFonts w:ascii="Calibri" w:hAnsi="Calibri" w:cs="Calibri"/>
        </w:rPr>
        <w:t>“</w:t>
      </w:r>
      <w:r w:rsidR="00BC46D7" w:rsidRPr="001005B7">
        <w:rPr>
          <w:rFonts w:ascii="Calibri" w:hAnsi="Calibri" w:cs="Calibri"/>
        </w:rPr>
        <w:t>the exploitative perversion of the office</w:t>
      </w:r>
      <w:r w:rsidR="004A1E42" w:rsidRPr="001005B7">
        <w:rPr>
          <w:rFonts w:ascii="Calibri" w:hAnsi="Calibri" w:cs="Calibri"/>
        </w:rPr>
        <w:t>” (</w:t>
      </w:r>
      <w:r w:rsidR="004A1E42" w:rsidRPr="001005B7">
        <w:t>Block</w:t>
      </w:r>
      <w:r w:rsidR="000949DA" w:rsidRPr="001005B7">
        <w:t>,</w:t>
      </w:r>
      <w:r w:rsidR="0049480B" w:rsidRPr="001005B7">
        <w:t xml:space="preserve"> 1:</w:t>
      </w:r>
      <w:r w:rsidR="004A1E42" w:rsidRPr="001005B7">
        <w:t xml:space="preserve">302; cf. </w:t>
      </w:r>
      <w:proofErr w:type="spellStart"/>
      <w:r w:rsidR="004A1E42" w:rsidRPr="001005B7">
        <w:t>Zimmerli</w:t>
      </w:r>
      <w:proofErr w:type="spellEnd"/>
      <w:r w:rsidR="000949DA" w:rsidRPr="001005B7">
        <w:t>,</w:t>
      </w:r>
      <w:r w:rsidR="0049480B" w:rsidRPr="001005B7">
        <w:t xml:space="preserve"> </w:t>
      </w:r>
      <w:r w:rsidR="004A1E42" w:rsidRPr="001005B7">
        <w:t>1:196, 225</w:t>
      </w:r>
      <w:r w:rsidR="0049480B" w:rsidRPr="001005B7">
        <w:t>)</w:t>
      </w:r>
      <w:r w:rsidR="004A1E42" w:rsidRPr="001005B7">
        <w:t>.</w:t>
      </w:r>
      <w:r w:rsidR="00081DC2" w:rsidRPr="001005B7">
        <w:rPr>
          <w:rFonts w:ascii="Calibri" w:hAnsi="Calibri" w:cs="Calibri"/>
          <w:i/>
          <w:iCs/>
        </w:rPr>
        <w:t xml:space="preserve"> </w:t>
      </w:r>
      <w:r w:rsidR="00B66608" w:rsidRPr="001005B7">
        <w:t xml:space="preserve">The implication is, everything you have been saying so far </w:t>
      </w:r>
      <w:r w:rsidR="00220EAD" w:rsidRPr="001005B7">
        <w:t>provides the rationale for the action I am taking, does it not</w:t>
      </w:r>
      <w:r w:rsidR="00571BDD" w:rsidRPr="001005B7">
        <w:t>. I</w:t>
      </w:r>
      <w:r w:rsidR="00FB6955" w:rsidRPr="001005B7">
        <w:t>n addition, “does this hint that here also Yahweh will take the sinners with their own words?”</w:t>
      </w:r>
      <w:r w:rsidR="00DB0DCF" w:rsidRPr="001005B7">
        <w:t xml:space="preserve"> (</w:t>
      </w:r>
      <w:proofErr w:type="spellStart"/>
      <w:r w:rsidR="00DB0DCF" w:rsidRPr="001005B7">
        <w:t>Zimmerli</w:t>
      </w:r>
      <w:proofErr w:type="spellEnd"/>
      <w:r w:rsidR="000949DA" w:rsidRPr="001005B7">
        <w:t>,</w:t>
      </w:r>
      <w:r w:rsidR="00DB0DCF" w:rsidRPr="001005B7">
        <w:t xml:space="preserve"> 1:249).</w:t>
      </w:r>
      <w:r w:rsidR="00977478" w:rsidRPr="001005B7">
        <w:t xml:space="preserve"> </w:t>
      </w:r>
      <w:r w:rsidR="00BF736B" w:rsidRPr="001005B7">
        <w:t xml:space="preserve">Further, in the context of the references to </w:t>
      </w:r>
      <w:r w:rsidR="00826115" w:rsidRPr="001005B7">
        <w:t xml:space="preserve">bloodshed and exploitation, the </w:t>
      </w:r>
      <w:r w:rsidR="00292EFC" w:rsidRPr="001005B7">
        <w:t xml:space="preserve">conviction that </w:t>
      </w:r>
      <w:r w:rsidR="001D5737" w:rsidRPr="001005B7">
        <w:t>“</w:t>
      </w:r>
      <w:r w:rsidR="00A101E5" w:rsidRPr="001005B7">
        <w:t>Yahweh</w:t>
      </w:r>
      <w:r w:rsidR="00A101E5" w:rsidRPr="001005B7">
        <w:rPr>
          <w:i/>
          <w:iCs/>
        </w:rPr>
        <w:t xml:space="preserve"> </w:t>
      </w:r>
      <w:r w:rsidR="00A101E5" w:rsidRPr="001005B7">
        <w:t>has</w:t>
      </w:r>
      <w:r w:rsidR="00A101E5" w:rsidRPr="001005B7">
        <w:rPr>
          <w:i/>
          <w:iCs/>
        </w:rPr>
        <w:t xml:space="preserve"> </w:t>
      </w:r>
      <w:r w:rsidR="00A101E5" w:rsidRPr="001005B7">
        <w:t>abandoned</w:t>
      </w:r>
      <w:r w:rsidR="00A101E5" w:rsidRPr="001005B7">
        <w:rPr>
          <w:i/>
          <w:iCs/>
        </w:rPr>
        <w:t xml:space="preserve"> </w:t>
      </w:r>
      <w:r w:rsidR="00A101E5" w:rsidRPr="001005B7">
        <w:t>the</w:t>
      </w:r>
      <w:r w:rsidR="00A101E5" w:rsidRPr="001005B7">
        <w:rPr>
          <w:i/>
          <w:iCs/>
        </w:rPr>
        <w:t xml:space="preserve"> </w:t>
      </w:r>
      <w:r w:rsidR="00A101E5" w:rsidRPr="001005B7">
        <w:t>country</w:t>
      </w:r>
      <w:r w:rsidR="00A101E5" w:rsidRPr="001005B7">
        <w:rPr>
          <w:i/>
          <w:iCs/>
        </w:rPr>
        <w:t xml:space="preserve"> </w:t>
      </w:r>
      <w:r w:rsidR="00A101E5" w:rsidRPr="001005B7">
        <w:t>and</w:t>
      </w:r>
      <w:r w:rsidR="00A101E5" w:rsidRPr="001005B7">
        <w:rPr>
          <w:i/>
          <w:iCs/>
        </w:rPr>
        <w:t xml:space="preserve"> </w:t>
      </w:r>
      <w:r w:rsidR="00292EFC" w:rsidRPr="001005B7">
        <w:t>Yahweh</w:t>
      </w:r>
      <w:r w:rsidR="00292EFC" w:rsidRPr="001005B7">
        <w:rPr>
          <w:i/>
          <w:iCs/>
        </w:rPr>
        <w:t xml:space="preserve"> </w:t>
      </w:r>
      <w:r w:rsidR="00A101E5" w:rsidRPr="001005B7">
        <w:t>i</w:t>
      </w:r>
      <w:r w:rsidR="00292EFC" w:rsidRPr="001005B7">
        <w:t>s</w:t>
      </w:r>
      <w:r w:rsidR="00292EFC" w:rsidRPr="001005B7">
        <w:rPr>
          <w:i/>
          <w:iCs/>
        </w:rPr>
        <w:t xml:space="preserve"> </w:t>
      </w:r>
      <w:r w:rsidR="00292EFC" w:rsidRPr="001005B7">
        <w:t>not</w:t>
      </w:r>
      <w:r w:rsidR="00292EFC" w:rsidRPr="001005B7">
        <w:rPr>
          <w:i/>
          <w:iCs/>
        </w:rPr>
        <w:t xml:space="preserve"> </w:t>
      </w:r>
      <w:r w:rsidR="00292EFC" w:rsidRPr="001005B7">
        <w:t>seeing</w:t>
      </w:r>
      <w:r w:rsidR="001D5737" w:rsidRPr="001005B7">
        <w:t>”</w:t>
      </w:r>
      <w:r w:rsidR="00A101E5" w:rsidRPr="001005B7">
        <w:t xml:space="preserve"> </w:t>
      </w:r>
      <w:r w:rsidR="00A65938" w:rsidRPr="001005B7">
        <w:t>more clearly carries the implication “we can get away with anything” than it did in 8:12</w:t>
      </w:r>
      <w:r w:rsidR="00EB0700" w:rsidRPr="001005B7">
        <w:t xml:space="preserve"> (cf. </w:t>
      </w:r>
      <w:proofErr w:type="spellStart"/>
      <w:r w:rsidR="00EB0700" w:rsidRPr="001005B7">
        <w:t>Ps</w:t>
      </w:r>
      <w:r w:rsidR="003C7039" w:rsidRPr="001005B7">
        <w:t>a</w:t>
      </w:r>
      <w:proofErr w:type="spellEnd"/>
      <w:r w:rsidR="007B0953" w:rsidRPr="001005B7">
        <w:t xml:space="preserve"> </w:t>
      </w:r>
      <w:r w:rsidR="00EB0700" w:rsidRPr="001005B7">
        <w:t>94:</w:t>
      </w:r>
      <w:r w:rsidR="00226A1A" w:rsidRPr="001005B7">
        <w:t>5</w:t>
      </w:r>
      <w:r w:rsidR="00F46900" w:rsidRPr="001005B7">
        <w:t>–</w:t>
      </w:r>
      <w:r w:rsidR="00226A1A" w:rsidRPr="001005B7">
        <w:t>7</w:t>
      </w:r>
      <w:r w:rsidR="00EB0700" w:rsidRPr="001005B7">
        <w:t>)</w:t>
      </w:r>
      <w:r w:rsidR="00DB0DCF" w:rsidRPr="001005B7">
        <w:t xml:space="preserve"> (Allen</w:t>
      </w:r>
      <w:r w:rsidR="006E2085" w:rsidRPr="001005B7">
        <w:t>,</w:t>
      </w:r>
      <w:r w:rsidR="00335DF6" w:rsidRPr="001005B7">
        <w:t xml:space="preserve"> 1:</w:t>
      </w:r>
      <w:r w:rsidR="00DB0DCF" w:rsidRPr="001005B7">
        <w:t>150</w:t>
      </w:r>
      <w:r w:rsidR="0087248A" w:rsidRPr="001005B7">
        <w:t>)</w:t>
      </w:r>
      <w:r w:rsidR="00DB0DCF" w:rsidRPr="001005B7">
        <w:t>.</w:t>
      </w:r>
      <w:r w:rsidR="0034735A" w:rsidRPr="001005B7">
        <w:t xml:space="preserve"> </w:t>
      </w:r>
    </w:p>
    <w:p w14:paraId="259A6263" w14:textId="77777777" w:rsidR="0089662A" w:rsidRDefault="00346E3B" w:rsidP="0089662A">
      <w:pPr>
        <w:rPr>
          <w:lang w:eastAsia="en-GB"/>
        </w:rPr>
      </w:pPr>
      <w:r w:rsidRPr="001005B7">
        <w:rPr>
          <w:b/>
          <w:bCs/>
        </w:rPr>
        <w:t xml:space="preserve">9:10 </w:t>
      </w:r>
      <w:r w:rsidR="007645F6" w:rsidRPr="001005B7">
        <w:t>The recollection continues with the declaration of intent</w:t>
      </w:r>
      <w:r w:rsidR="005E341A" w:rsidRPr="001005B7">
        <w:t xml:space="preserve"> that follows from those </w:t>
      </w:r>
      <w:r w:rsidR="006B2362" w:rsidRPr="001005B7">
        <w:t>assertions</w:t>
      </w:r>
      <w:r w:rsidR="005E341A" w:rsidRPr="001005B7">
        <w:t xml:space="preserve"> about the people</w:t>
      </w:r>
      <w:r w:rsidR="006B2362" w:rsidRPr="001005B7">
        <w:t>:</w:t>
      </w:r>
      <w:r w:rsidR="007645F6" w:rsidRPr="001005B7">
        <w:t xml:space="preserve"> </w:t>
      </w:r>
      <w:r w:rsidR="005A5ECA" w:rsidRPr="001005B7">
        <w:t>“I</w:t>
      </w:r>
      <w:r w:rsidR="007645F6" w:rsidRPr="001005B7">
        <w:rPr>
          <w:i/>
          <w:iCs/>
        </w:rPr>
        <w:t xml:space="preserve"> </w:t>
      </w:r>
      <w:r w:rsidR="007645F6" w:rsidRPr="001005B7">
        <w:t>for</w:t>
      </w:r>
      <w:r w:rsidR="007645F6" w:rsidRPr="001005B7">
        <w:rPr>
          <w:i/>
          <w:iCs/>
        </w:rPr>
        <w:t xml:space="preserve"> </w:t>
      </w:r>
      <w:r w:rsidR="007645F6" w:rsidRPr="001005B7">
        <w:t>my</w:t>
      </w:r>
      <w:r w:rsidR="007645F6" w:rsidRPr="001005B7">
        <w:rPr>
          <w:i/>
          <w:iCs/>
        </w:rPr>
        <w:t xml:space="preserve"> </w:t>
      </w:r>
      <w:r w:rsidR="007645F6" w:rsidRPr="001005B7">
        <w:t>part</w:t>
      </w:r>
      <w:r w:rsidR="007645F6" w:rsidRPr="001005B7">
        <w:rPr>
          <w:i/>
          <w:iCs/>
        </w:rPr>
        <w:t>—</w:t>
      </w:r>
      <w:r w:rsidR="007645F6" w:rsidRPr="001005B7">
        <w:t>my</w:t>
      </w:r>
      <w:r w:rsidR="007645F6" w:rsidRPr="001005B7">
        <w:rPr>
          <w:i/>
          <w:iCs/>
        </w:rPr>
        <w:t xml:space="preserve"> </w:t>
      </w:r>
      <w:r w:rsidR="007645F6" w:rsidRPr="001005B7">
        <w:t>eye</w:t>
      </w:r>
      <w:r w:rsidR="007645F6" w:rsidRPr="001005B7">
        <w:rPr>
          <w:i/>
          <w:iCs/>
        </w:rPr>
        <w:t xml:space="preserve"> </w:t>
      </w:r>
      <w:r w:rsidR="007645F6" w:rsidRPr="001005B7">
        <w:t>will</w:t>
      </w:r>
      <w:r w:rsidR="007645F6" w:rsidRPr="001005B7">
        <w:rPr>
          <w:i/>
          <w:iCs/>
        </w:rPr>
        <w:t xml:space="preserve"> </w:t>
      </w:r>
      <w:r w:rsidR="007645F6" w:rsidRPr="001005B7">
        <w:t>not</w:t>
      </w:r>
      <w:r w:rsidR="007645F6" w:rsidRPr="001005B7">
        <w:rPr>
          <w:i/>
          <w:iCs/>
        </w:rPr>
        <w:t xml:space="preserve"> </w:t>
      </w:r>
      <w:r w:rsidR="007645F6" w:rsidRPr="001005B7">
        <w:t>pity</w:t>
      </w:r>
      <w:r w:rsidR="007645F6" w:rsidRPr="001005B7">
        <w:rPr>
          <w:i/>
          <w:iCs/>
        </w:rPr>
        <w:t xml:space="preserve"> </w:t>
      </w:r>
      <w:r w:rsidR="007645F6" w:rsidRPr="001005B7">
        <w:t>and</w:t>
      </w:r>
      <w:r w:rsidR="007645F6" w:rsidRPr="001005B7">
        <w:rPr>
          <w:i/>
          <w:iCs/>
        </w:rPr>
        <w:t xml:space="preserve"> </w:t>
      </w:r>
      <w:r w:rsidR="005A5ECA" w:rsidRPr="001005B7">
        <w:t>I</w:t>
      </w:r>
      <w:r w:rsidR="007645F6" w:rsidRPr="001005B7">
        <w:rPr>
          <w:i/>
          <w:iCs/>
        </w:rPr>
        <w:t xml:space="preserve"> </w:t>
      </w:r>
      <w:r w:rsidR="007645F6" w:rsidRPr="001005B7">
        <w:t>will</w:t>
      </w:r>
      <w:r w:rsidR="007645F6" w:rsidRPr="001005B7">
        <w:rPr>
          <w:i/>
          <w:iCs/>
        </w:rPr>
        <w:t xml:space="preserve"> </w:t>
      </w:r>
      <w:r w:rsidR="007645F6" w:rsidRPr="001005B7">
        <w:t>not</w:t>
      </w:r>
      <w:r w:rsidR="007645F6" w:rsidRPr="001005B7">
        <w:rPr>
          <w:i/>
          <w:iCs/>
        </w:rPr>
        <w:t xml:space="preserve"> </w:t>
      </w:r>
      <w:r w:rsidR="00B10A16" w:rsidRPr="001005B7">
        <w:t>show concern</w:t>
      </w:r>
      <w:r w:rsidR="005A5ECA" w:rsidRPr="001005B7">
        <w:t>”</w:t>
      </w:r>
      <w:r w:rsidR="007645F6" w:rsidRPr="001005B7">
        <w:t xml:space="preserve"> </w:t>
      </w:r>
      <w:r w:rsidR="00AB6386" w:rsidRPr="001005B7">
        <w:t>(</w:t>
      </w:r>
      <w:r w:rsidR="00A3758C" w:rsidRPr="001005B7">
        <w:t xml:space="preserve">cf. </w:t>
      </w:r>
      <w:r w:rsidR="00AB6386" w:rsidRPr="001005B7">
        <w:t xml:space="preserve">5:11; 7:4, </w:t>
      </w:r>
      <w:r w:rsidR="002657F4" w:rsidRPr="001005B7">
        <w:t>9</w:t>
      </w:r>
      <w:r w:rsidR="00630725" w:rsidRPr="001005B7">
        <w:t>; 8:18</w:t>
      </w:r>
      <w:r w:rsidR="005E341A" w:rsidRPr="001005B7">
        <w:t>)</w:t>
      </w:r>
      <w:r w:rsidR="00CB2B03" w:rsidRPr="001005B7">
        <w:t xml:space="preserve"> and </w:t>
      </w:r>
      <w:r w:rsidR="00E563EC" w:rsidRPr="001005B7">
        <w:t xml:space="preserve">with </w:t>
      </w:r>
      <w:r w:rsidR="00CB2B03" w:rsidRPr="001005B7">
        <w:t xml:space="preserve">the description of what Yahweh </w:t>
      </w:r>
      <w:r w:rsidR="00A90CDB" w:rsidRPr="001005B7">
        <w:t>describes himself as</w:t>
      </w:r>
      <w:r w:rsidR="00CB2B03" w:rsidRPr="001005B7">
        <w:t xml:space="preserve"> doing even now</w:t>
      </w:r>
      <w:r w:rsidR="00A90CDB" w:rsidRPr="001005B7">
        <w:t xml:space="preserve">, </w:t>
      </w:r>
      <w:r w:rsidR="00AE0217" w:rsidRPr="001005B7">
        <w:t>“</w:t>
      </w:r>
      <w:r w:rsidR="00A90CDB" w:rsidRPr="001005B7">
        <w:t>putting</w:t>
      </w:r>
      <w:r w:rsidR="00A90CDB" w:rsidRPr="001005B7">
        <w:rPr>
          <w:i/>
          <w:iCs/>
        </w:rPr>
        <w:t xml:space="preserve"> </w:t>
      </w:r>
      <w:r w:rsidR="00A90CDB" w:rsidRPr="001005B7">
        <w:t>their</w:t>
      </w:r>
      <w:r w:rsidR="00386C3B" w:rsidRPr="001005B7">
        <w:rPr>
          <w:i/>
          <w:iCs/>
        </w:rPr>
        <w:t xml:space="preserve"> </w:t>
      </w:r>
      <w:r w:rsidR="00386C3B" w:rsidRPr="001005B7">
        <w:t>path</w:t>
      </w:r>
      <w:r w:rsidR="00A90CDB" w:rsidRPr="001005B7">
        <w:rPr>
          <w:i/>
          <w:iCs/>
        </w:rPr>
        <w:t xml:space="preserve"> </w:t>
      </w:r>
      <w:r w:rsidR="00780F43" w:rsidRPr="001005B7">
        <w:t>against</w:t>
      </w:r>
      <w:r w:rsidR="00A90CDB" w:rsidRPr="001005B7">
        <w:rPr>
          <w:i/>
          <w:iCs/>
        </w:rPr>
        <w:t xml:space="preserve"> </w:t>
      </w:r>
      <w:r w:rsidR="00A90CDB" w:rsidRPr="001005B7">
        <w:t>their</w:t>
      </w:r>
      <w:r w:rsidR="00A90CDB" w:rsidRPr="001005B7">
        <w:rPr>
          <w:i/>
          <w:iCs/>
        </w:rPr>
        <w:t xml:space="preserve"> </w:t>
      </w:r>
      <w:r w:rsidR="00A90CDB" w:rsidRPr="001005B7">
        <w:t>head</w:t>
      </w:r>
      <w:r w:rsidR="00AE0217" w:rsidRPr="001005B7">
        <w:t>”</w:t>
      </w:r>
      <w:r w:rsidR="00181D40" w:rsidRPr="001005B7">
        <w:t xml:space="preserve"> </w:t>
      </w:r>
      <w:r w:rsidR="001925DC" w:rsidRPr="001005B7">
        <w:t xml:space="preserve">(cf. </w:t>
      </w:r>
      <w:r w:rsidR="00397F7A" w:rsidRPr="001005B7">
        <w:t>11:21</w:t>
      </w:r>
      <w:r w:rsidR="003F16F4" w:rsidRPr="001005B7">
        <w:t>; 16:43</w:t>
      </w:r>
      <w:r w:rsidR="00D95A90" w:rsidRPr="001005B7">
        <w:t>; 17:19</w:t>
      </w:r>
      <w:r w:rsidR="00677654" w:rsidRPr="001005B7">
        <w:t>; 22:31</w:t>
      </w:r>
      <w:r w:rsidR="007157F7" w:rsidRPr="001005B7">
        <w:t>).</w:t>
      </w:r>
      <w:r w:rsidR="001925DC" w:rsidRPr="001005B7">
        <w:t xml:space="preserve"> </w:t>
      </w:r>
      <w:r w:rsidR="00AF272D" w:rsidRPr="001005B7">
        <w:t xml:space="preserve">It is a more concrete image </w:t>
      </w:r>
      <w:r w:rsidR="00E21938" w:rsidRPr="001005B7">
        <w:t>than</w:t>
      </w:r>
      <w:r w:rsidR="00AF272D" w:rsidRPr="001005B7">
        <w:t xml:space="preserve"> </w:t>
      </w:r>
      <w:r w:rsidR="00040C7F" w:rsidRPr="001005B7">
        <w:t xml:space="preserve">the </w:t>
      </w:r>
      <w:r w:rsidR="00E21938" w:rsidRPr="001005B7">
        <w:t>expression</w:t>
      </w:r>
      <w:r w:rsidR="00040C7F" w:rsidRPr="001005B7">
        <w:t xml:space="preserve"> </w:t>
      </w:r>
      <w:r w:rsidR="00AF272D" w:rsidRPr="001005B7">
        <w:t>earlier</w:t>
      </w:r>
      <w:r w:rsidR="006A3DD2" w:rsidRPr="001005B7">
        <w:rPr>
          <w:i/>
          <w:iCs/>
        </w:rPr>
        <w:t xml:space="preserve"> </w:t>
      </w:r>
      <w:r w:rsidR="006A3DD2" w:rsidRPr="001005B7">
        <w:t>(</w:t>
      </w:r>
      <w:r w:rsidR="00AF272D" w:rsidRPr="001005B7">
        <w:t>see</w:t>
      </w:r>
      <w:r w:rsidR="0082668C" w:rsidRPr="001005B7">
        <w:t xml:space="preserve"> </w:t>
      </w:r>
      <w:r w:rsidR="006A3DD2" w:rsidRPr="001005B7">
        <w:t>7:</w:t>
      </w:r>
      <w:r w:rsidR="00BB1C0A" w:rsidRPr="001005B7">
        <w:t>3</w:t>
      </w:r>
      <w:r w:rsidR="00F46900" w:rsidRPr="001005B7">
        <w:t>–</w:t>
      </w:r>
      <w:r w:rsidR="006A3DD2" w:rsidRPr="001005B7">
        <w:t>4)</w:t>
      </w:r>
      <w:r w:rsidR="00BB1C0A" w:rsidRPr="001005B7">
        <w:t xml:space="preserve"> in referring to their hea</w:t>
      </w:r>
      <w:r w:rsidR="000D6D4F" w:rsidRPr="001005B7">
        <w:t>d, but the head</w:t>
      </w:r>
      <w:r w:rsidR="006077B6" w:rsidRPr="001005B7">
        <w:t>, as</w:t>
      </w:r>
      <w:r w:rsidR="00757711" w:rsidRPr="001005B7">
        <w:t xml:space="preserve"> such</w:t>
      </w:r>
      <w:r w:rsidR="00254A79" w:rsidRPr="001005B7">
        <w:t xml:space="preserve"> a</w:t>
      </w:r>
      <w:r w:rsidR="00F35AA7" w:rsidRPr="001005B7">
        <w:t xml:space="preserve"> </w:t>
      </w:r>
      <w:r w:rsidR="00254A79" w:rsidRPr="001005B7">
        <w:t>vital</w:t>
      </w:r>
      <w:r w:rsidR="001A4051" w:rsidRPr="001005B7">
        <w:t xml:space="preserve"> part of the body</w:t>
      </w:r>
      <w:r w:rsidR="00223789" w:rsidRPr="001005B7">
        <w:t>, stands for the person</w:t>
      </w:r>
      <w:r w:rsidR="00254A79" w:rsidRPr="001005B7">
        <w:t>. It</w:t>
      </w:r>
      <w:r w:rsidR="00942066" w:rsidRPr="001005B7">
        <w:t xml:space="preserve"> contain</w:t>
      </w:r>
      <w:r w:rsidR="005F66FD" w:rsidRPr="001005B7">
        <w:t>s</w:t>
      </w:r>
      <w:r w:rsidR="00942066" w:rsidRPr="001005B7">
        <w:t xml:space="preserve"> the </w:t>
      </w:r>
      <w:r w:rsidR="006E387F" w:rsidRPr="001005B7">
        <w:t>means of seeing, hearing, and speaking</w:t>
      </w:r>
      <w:r w:rsidR="001C62F1" w:rsidRPr="001005B7">
        <w:t>,</w:t>
      </w:r>
      <w:r w:rsidR="001F0DF4" w:rsidRPr="001005B7">
        <w:t xml:space="preserve"> </w:t>
      </w:r>
      <w:r w:rsidR="00906D50" w:rsidRPr="001005B7">
        <w:t xml:space="preserve">its being </w:t>
      </w:r>
      <w:r w:rsidR="00794021" w:rsidRPr="001005B7">
        <w:t>h</w:t>
      </w:r>
      <w:r w:rsidR="00F147D5" w:rsidRPr="001005B7">
        <w:t>arm</w:t>
      </w:r>
      <w:r w:rsidR="00906D50" w:rsidRPr="001005B7">
        <w:t>ed</w:t>
      </w:r>
      <w:r w:rsidR="005E12A1" w:rsidRPr="001005B7">
        <w:t xml:space="preserve"> </w:t>
      </w:r>
      <w:r w:rsidR="00794021" w:rsidRPr="001005B7">
        <w:t>is especially devastating</w:t>
      </w:r>
      <w:r w:rsidR="00EA036F" w:rsidRPr="001005B7">
        <w:t xml:space="preserve">, </w:t>
      </w:r>
      <w:r w:rsidR="001F0DF4" w:rsidRPr="001005B7">
        <w:t>i</w:t>
      </w:r>
      <w:r w:rsidR="00562942" w:rsidRPr="001005B7">
        <w:t>t</w:t>
      </w:r>
      <w:r w:rsidR="001F0DF4" w:rsidRPr="001005B7">
        <w:t xml:space="preserve"> is</w:t>
      </w:r>
      <w:r w:rsidR="00EA036F" w:rsidRPr="001005B7">
        <w:t xml:space="preserve"> vulnerable, and </w:t>
      </w:r>
      <w:r w:rsidR="001C62F1" w:rsidRPr="001005B7">
        <w:t xml:space="preserve">an attack will </w:t>
      </w:r>
      <w:r w:rsidR="0051225A" w:rsidRPr="001005B7">
        <w:t xml:space="preserve">especially </w:t>
      </w:r>
      <w:r w:rsidR="001C62F1" w:rsidRPr="001005B7">
        <w:t xml:space="preserve">go for </w:t>
      </w:r>
      <w:r w:rsidR="0051225A" w:rsidRPr="001005B7">
        <w:t xml:space="preserve">it </w:t>
      </w:r>
      <w:r w:rsidR="00BF5E60" w:rsidRPr="001005B7">
        <w:t>(e.g., Jer 23:19</w:t>
      </w:r>
      <w:r w:rsidR="000B348C" w:rsidRPr="001005B7">
        <w:t>; Amos 9:1</w:t>
      </w:r>
      <w:r w:rsidR="00232234" w:rsidRPr="001005B7">
        <w:t>; Jon 4:8</w:t>
      </w:r>
      <w:r w:rsidR="00BF5E60" w:rsidRPr="001005B7">
        <w:t>).</w:t>
      </w:r>
      <w:r w:rsidR="0058509F" w:rsidRPr="001005B7">
        <w:rPr>
          <w:rStyle w:val="FootnoteReference"/>
        </w:rPr>
        <w:footnoteReference w:id="254"/>
      </w:r>
      <w:r w:rsidR="00BF5E60" w:rsidRPr="001005B7">
        <w:t xml:space="preserve"> </w:t>
      </w:r>
      <w:r w:rsidR="0072430E" w:rsidRPr="001005B7">
        <w:t>The converse of hurt to the head is therefore blessing</w:t>
      </w:r>
      <w:r w:rsidR="00970FD0" w:rsidRPr="001005B7">
        <w:t xml:space="preserve">. </w:t>
      </w:r>
      <w:r w:rsidR="009A4F6A" w:rsidRPr="001005B7">
        <w:t xml:space="preserve">But here, </w:t>
      </w:r>
      <w:r w:rsidR="000D6D4F" w:rsidRPr="001005B7">
        <w:t>Yahweh</w:t>
      </w:r>
      <w:r w:rsidR="00707774" w:rsidRPr="001005B7">
        <w:t xml:space="preserve"> </w:t>
      </w:r>
      <w:r w:rsidR="00723E4E" w:rsidRPr="001005B7">
        <w:t>speaks of</w:t>
      </w:r>
      <w:r w:rsidR="00A6574A" w:rsidRPr="001005B7">
        <w:t xml:space="preserve"> making the</w:t>
      </w:r>
      <w:r w:rsidR="00723E4E" w:rsidRPr="001005B7">
        <w:t xml:space="preserve"> people</w:t>
      </w:r>
      <w:r w:rsidR="00A6574A" w:rsidRPr="001005B7">
        <w:t xml:space="preserve"> live under the </w:t>
      </w:r>
      <w:r w:rsidR="005D3D79" w:rsidRPr="001005B7">
        <w:t xml:space="preserve">practical </w:t>
      </w:r>
      <w:r w:rsidR="00A6574A" w:rsidRPr="001005B7">
        <w:t xml:space="preserve">burden of the </w:t>
      </w:r>
      <w:r w:rsidR="00764B25" w:rsidRPr="001005B7">
        <w:t xml:space="preserve">sober </w:t>
      </w:r>
      <w:r w:rsidR="00A6574A" w:rsidRPr="001005B7">
        <w:t xml:space="preserve">consequences that </w:t>
      </w:r>
      <w:r w:rsidR="001E2241" w:rsidRPr="001005B7">
        <w:t xml:space="preserve">will </w:t>
      </w:r>
      <w:r w:rsidR="00A6574A" w:rsidRPr="001005B7">
        <w:t xml:space="preserve">follow from the </w:t>
      </w:r>
      <w:r w:rsidR="00980B26" w:rsidRPr="001005B7">
        <w:t>route</w:t>
      </w:r>
      <w:r w:rsidR="00A6574A" w:rsidRPr="001005B7">
        <w:t xml:space="preserve"> they have been walking</w:t>
      </w:r>
      <w:r w:rsidR="0045336C" w:rsidRPr="001005B7">
        <w:t>. Their path</w:t>
      </w:r>
      <w:r w:rsidR="001456E3" w:rsidRPr="001005B7">
        <w:t xml:space="preserve"> has been characterized by blood</w:t>
      </w:r>
      <w:r w:rsidR="00780F43" w:rsidRPr="001005B7">
        <w:t xml:space="preserve">shed, and in effect Yahweh </w:t>
      </w:r>
      <w:r w:rsidR="001E2241" w:rsidRPr="001005B7">
        <w:t xml:space="preserve">is </w:t>
      </w:r>
      <w:r w:rsidR="00337570" w:rsidRPr="001005B7">
        <w:t xml:space="preserve">declaring the intention to </w:t>
      </w:r>
      <w:r w:rsidR="00776398" w:rsidRPr="001005B7">
        <w:t>bring</w:t>
      </w:r>
      <w:r w:rsidR="00780F43" w:rsidRPr="001005B7">
        <w:t xml:space="preserve"> their </w:t>
      </w:r>
      <w:r w:rsidR="00712EE2" w:rsidRPr="001005B7">
        <w:t>bloodshed</w:t>
      </w:r>
      <w:r w:rsidR="00776398" w:rsidRPr="001005B7">
        <w:t xml:space="preserve"> back </w:t>
      </w:r>
      <w:r w:rsidR="003F3135" w:rsidRPr="001005B7">
        <w:t>against</w:t>
      </w:r>
      <w:r w:rsidR="00776398" w:rsidRPr="001005B7">
        <w:t xml:space="preserve"> their own head</w:t>
      </w:r>
      <w:r w:rsidR="003F3135" w:rsidRPr="001005B7">
        <w:t>, their own person</w:t>
      </w:r>
      <w:r w:rsidR="005961DE" w:rsidRPr="001005B7">
        <w:t>,</w:t>
      </w:r>
      <w:r w:rsidR="003A2669" w:rsidRPr="001005B7">
        <w:t xml:space="preserve"> so that they experience bloodshed affecting them</w:t>
      </w:r>
      <w:r w:rsidR="00C2678E" w:rsidRPr="001005B7">
        <w:t xml:space="preserve"> (cf. </w:t>
      </w:r>
      <w:r w:rsidR="002B32E2" w:rsidRPr="001005B7">
        <w:t>1 Kgs</w:t>
      </w:r>
      <w:r w:rsidR="003D6692" w:rsidRPr="001005B7">
        <w:t xml:space="preserve"> 2:32</w:t>
      </w:r>
      <w:r w:rsidR="00F46900" w:rsidRPr="001005B7">
        <w:t>–</w:t>
      </w:r>
      <w:r w:rsidR="009F5FDA" w:rsidRPr="001005B7">
        <w:t>33</w:t>
      </w:r>
      <w:r w:rsidR="00F04860" w:rsidRPr="001005B7">
        <w:t>)</w:t>
      </w:r>
      <w:r w:rsidR="00541C96" w:rsidRPr="001005B7">
        <w:t xml:space="preserve">. </w:t>
      </w:r>
      <w:r w:rsidR="006D7604" w:rsidRPr="001005B7">
        <w:t>He will</w:t>
      </w:r>
      <w:r w:rsidR="00F50145" w:rsidRPr="001005B7">
        <w:t xml:space="preserve"> put </w:t>
      </w:r>
      <w:r w:rsidR="006D7604" w:rsidRPr="001005B7">
        <w:t>the point</w:t>
      </w:r>
      <w:r w:rsidR="00F50145" w:rsidRPr="001005B7">
        <w:t xml:space="preserve"> more succinctly</w:t>
      </w:r>
      <w:r w:rsidR="006D7604" w:rsidRPr="001005B7">
        <w:t xml:space="preserve"> later:</w:t>
      </w:r>
      <w:r w:rsidR="00F50145" w:rsidRPr="001005B7">
        <w:t xml:space="preserve"> their blood will be against their head (33:4; cf. Josh 2:19; </w:t>
      </w:r>
      <w:r w:rsidR="00721338" w:rsidRPr="001005B7">
        <w:t xml:space="preserve">1 Kgs </w:t>
      </w:r>
      <w:r w:rsidR="00F50145" w:rsidRPr="001005B7">
        <w:t>2:37).</w:t>
      </w:r>
      <w:r w:rsidR="00603731" w:rsidRPr="001005B7">
        <w:t xml:space="preserve"> </w:t>
      </w:r>
      <w:r w:rsidR="006846D5" w:rsidRPr="001005B7">
        <w:rPr>
          <w:lang w:eastAsia="en-GB"/>
        </w:rPr>
        <w:t xml:space="preserve">Indeed, </w:t>
      </w:r>
      <w:r w:rsidR="00C403EF" w:rsidRPr="001005B7">
        <w:t xml:space="preserve">a guilty person’s blood </w:t>
      </w:r>
      <w:r w:rsidR="006846D5" w:rsidRPr="001005B7">
        <w:t>can</w:t>
      </w:r>
      <w:r w:rsidR="00C403EF" w:rsidRPr="001005B7">
        <w:t xml:space="preserve"> be </w:t>
      </w:r>
      <w:r w:rsidR="006D6C38" w:rsidRPr="001005B7">
        <w:t>against</w:t>
      </w:r>
      <w:r w:rsidR="00C403EF" w:rsidRPr="001005B7">
        <w:t xml:space="preserve"> them</w:t>
      </w:r>
      <w:r w:rsidR="006D6C38" w:rsidRPr="001005B7">
        <w:t xml:space="preserve"> in the sense </w:t>
      </w:r>
      <w:r w:rsidR="00EE2654" w:rsidRPr="001005B7">
        <w:t>that they</w:t>
      </w:r>
      <w:r w:rsidR="0051125B" w:rsidRPr="001005B7">
        <w:t xml:space="preserve"> can bring about their own death</w:t>
      </w:r>
      <w:r w:rsidR="00C403EF" w:rsidRPr="001005B7">
        <w:t xml:space="preserve"> </w:t>
      </w:r>
      <w:r w:rsidR="00590374" w:rsidRPr="001005B7">
        <w:t>even when their wrongdoing did not involve blood</w:t>
      </w:r>
      <w:r w:rsidR="006D6C38" w:rsidRPr="001005B7">
        <w:t xml:space="preserve">shed </w:t>
      </w:r>
      <w:r w:rsidR="00C403EF" w:rsidRPr="001005B7">
        <w:t>(</w:t>
      </w:r>
      <w:r w:rsidR="004D7180" w:rsidRPr="001005B7">
        <w:t>18:13</w:t>
      </w:r>
      <w:r w:rsidR="00907115" w:rsidRPr="001005B7">
        <w:t xml:space="preserve">). The use of this expression in Lev </w:t>
      </w:r>
      <w:r w:rsidR="00A46301" w:rsidRPr="001005B7">
        <w:t>20:9</w:t>
      </w:r>
      <w:r w:rsidR="00F46900" w:rsidRPr="001005B7">
        <w:t>–</w:t>
      </w:r>
      <w:r w:rsidR="00851FA7" w:rsidRPr="001005B7">
        <w:t>16</w:t>
      </w:r>
      <w:r w:rsidR="00907115" w:rsidRPr="001005B7">
        <w:t xml:space="preserve"> suggests that it </w:t>
      </w:r>
      <w:r w:rsidR="002C63D4" w:rsidRPr="001005B7">
        <w:t xml:space="preserve">may </w:t>
      </w:r>
      <w:r w:rsidR="007406B2" w:rsidRPr="001005B7">
        <w:t xml:space="preserve">have </w:t>
      </w:r>
      <w:r w:rsidR="001F2FC7" w:rsidRPr="001005B7">
        <w:t xml:space="preserve">its background in the Torah, </w:t>
      </w:r>
      <w:r w:rsidR="00D21720" w:rsidRPr="001005B7">
        <w:t xml:space="preserve">though it </w:t>
      </w:r>
      <w:r w:rsidR="00393DF5" w:rsidRPr="001005B7">
        <w:t xml:space="preserve">more </w:t>
      </w:r>
      <w:r w:rsidR="00D21720" w:rsidRPr="001005B7">
        <w:t xml:space="preserve">likely found its way into the Torah from </w:t>
      </w:r>
      <w:r w:rsidR="00D603D6" w:rsidRPr="001005B7">
        <w:t>everyday life and everyday metaphor</w:t>
      </w:r>
      <w:r w:rsidR="00393DF5" w:rsidRPr="001005B7">
        <w:t>, rather than starting off as a technical legal expression</w:t>
      </w:r>
      <w:r w:rsidR="00E146E5" w:rsidRPr="001005B7">
        <w:t xml:space="preserve">. </w:t>
      </w:r>
      <w:r w:rsidR="00331A36">
        <w:t>I</w:t>
      </w:r>
      <w:r w:rsidR="00F95A43" w:rsidRPr="001005B7">
        <w:t>ts point here is that they</w:t>
      </w:r>
      <w:r w:rsidR="00551260" w:rsidRPr="001005B7">
        <w:t xml:space="preserve"> cannot complain</w:t>
      </w:r>
      <w:r w:rsidR="005B248F" w:rsidRPr="001005B7">
        <w:t xml:space="preserve"> if </w:t>
      </w:r>
      <w:r w:rsidR="00D947EE" w:rsidRPr="001005B7">
        <w:t>bloodshed comes to them</w:t>
      </w:r>
      <w:r w:rsidR="00551260" w:rsidRPr="001005B7">
        <w:t xml:space="preserve">. </w:t>
      </w:r>
      <w:r w:rsidR="00E146E5" w:rsidRPr="001005B7">
        <w:t xml:space="preserve">They can </w:t>
      </w:r>
      <w:r w:rsidR="00E146E5" w:rsidRPr="001005B7">
        <w:rPr>
          <w:lang w:eastAsia="en-GB"/>
        </w:rPr>
        <w:t>“cause [their</w:t>
      </w:r>
      <w:r w:rsidR="00D947EE" w:rsidRPr="001005B7">
        <w:rPr>
          <w:lang w:eastAsia="en-GB"/>
        </w:rPr>
        <w:t xml:space="preserve"> own</w:t>
      </w:r>
      <w:r w:rsidR="00E146E5" w:rsidRPr="001005B7">
        <w:rPr>
          <w:lang w:eastAsia="en-GB"/>
        </w:rPr>
        <w:t>] gray hair to go down in blood to Sheol” (</w:t>
      </w:r>
      <w:r w:rsidR="00721338" w:rsidRPr="001005B7">
        <w:t>1 Kgs</w:t>
      </w:r>
      <w:r w:rsidR="00E146E5" w:rsidRPr="001005B7">
        <w:rPr>
          <w:lang w:eastAsia="en-GB"/>
        </w:rPr>
        <w:t xml:space="preserve"> 2:9).</w:t>
      </w:r>
    </w:p>
    <w:p w14:paraId="7EDE7604" w14:textId="5AF289B9" w:rsidR="00F62792" w:rsidRPr="001005B7" w:rsidRDefault="00C94E7F" w:rsidP="0089662A">
      <w:pPr>
        <w:rPr>
          <w:lang w:eastAsia="en-GB"/>
        </w:rPr>
      </w:pPr>
      <w:r w:rsidRPr="001005B7">
        <w:rPr>
          <w:b/>
          <w:bCs/>
        </w:rPr>
        <w:t>9:</w:t>
      </w:r>
      <w:r w:rsidR="00584A1C" w:rsidRPr="001005B7">
        <w:rPr>
          <w:b/>
          <w:bCs/>
        </w:rPr>
        <w:t xml:space="preserve">11 </w:t>
      </w:r>
      <w:r w:rsidR="003565DA" w:rsidRPr="001005B7">
        <w:t xml:space="preserve">The </w:t>
      </w:r>
      <w:r w:rsidR="0013190B" w:rsidRPr="001005B7">
        <w:t>end of this scene in the vision is brisk</w:t>
      </w:r>
      <w:r w:rsidR="00BE6A74" w:rsidRPr="001005B7">
        <w:t xml:space="preserve">, and leaves Ezekiel and his </w:t>
      </w:r>
      <w:r w:rsidR="000B129F" w:rsidRPr="001005B7">
        <w:t>people with a series of questions</w:t>
      </w:r>
      <w:r w:rsidR="0013190B" w:rsidRPr="001005B7">
        <w:t xml:space="preserve">. </w:t>
      </w:r>
      <w:r w:rsidR="00262E05" w:rsidRPr="001005B7">
        <w:t xml:space="preserve">The scribe </w:t>
      </w:r>
      <w:r w:rsidR="000A1F92" w:rsidRPr="001005B7">
        <w:t>returns, and perhaps th</w:t>
      </w:r>
      <w:r w:rsidR="00233D76" w:rsidRPr="001005B7">
        <w:t>e scene thus comes to</w:t>
      </w:r>
      <w:r w:rsidR="00CD1BA3" w:rsidRPr="001005B7">
        <w:t xml:space="preserve"> a close that i</w:t>
      </w:r>
      <w:r w:rsidR="0063671C" w:rsidRPr="001005B7">
        <w:t>s</w:t>
      </w:r>
      <w:r w:rsidR="00233D76" w:rsidRPr="001005B7">
        <w:t xml:space="preserve"> not too gloomy, though Ezekiel does not say they </w:t>
      </w:r>
      <w:r w:rsidR="00286E96" w:rsidRPr="001005B7">
        <w:t xml:space="preserve">had </w:t>
      </w:r>
      <w:r w:rsidR="00233D76" w:rsidRPr="001005B7">
        <w:t>found anyone to put the mark on</w:t>
      </w:r>
      <w:r w:rsidR="005F2521" w:rsidRPr="001005B7">
        <w:t xml:space="preserve"> (see Jer 5:1</w:t>
      </w:r>
      <w:r w:rsidR="00F46900" w:rsidRPr="001005B7">
        <w:t>–</w:t>
      </w:r>
      <w:r w:rsidR="005F2521" w:rsidRPr="001005B7">
        <w:t>5</w:t>
      </w:r>
      <w:r w:rsidR="0017302F" w:rsidRPr="001005B7">
        <w:t>;</w:t>
      </w:r>
      <w:r w:rsidR="00A573ED" w:rsidRPr="001005B7">
        <w:t xml:space="preserve"> </w:t>
      </w:r>
      <w:proofErr w:type="spellStart"/>
      <w:r w:rsidR="00A573ED" w:rsidRPr="001005B7">
        <w:t>Darr</w:t>
      </w:r>
      <w:proofErr w:type="spellEnd"/>
      <w:r w:rsidR="00A573ED" w:rsidRPr="001005B7">
        <w:t xml:space="preserve">, on </w:t>
      </w:r>
      <w:r w:rsidR="003D021F" w:rsidRPr="001005B7">
        <w:t>9:</w:t>
      </w:r>
      <w:r w:rsidR="00A573ED" w:rsidRPr="001005B7">
        <w:t>4).</w:t>
      </w:r>
      <w:r w:rsidR="005F2521" w:rsidRPr="001005B7">
        <w:t xml:space="preserve"> </w:t>
      </w:r>
      <w:r w:rsidR="00934ECD" w:rsidRPr="001005B7">
        <w:t>There is no mention of the executioners’ return.</w:t>
      </w:r>
      <w:r w:rsidR="00BF232F" w:rsidRPr="001005B7">
        <w:t xml:space="preserve"> Have they simply struck down the entire city, in keeping with Yahweh’s implicit confirmation of their commission? </w:t>
      </w:r>
      <w:r w:rsidR="00881673" w:rsidRPr="001005B7">
        <w:t xml:space="preserve">Or has Yahweh been convinced by Ezekiel’s argument even though he points out </w:t>
      </w:r>
      <w:r w:rsidR="006F6B32" w:rsidRPr="001005B7">
        <w:t xml:space="preserve">the logic of his own decision? </w:t>
      </w:r>
      <w:r w:rsidR="00212986" w:rsidRPr="001005B7">
        <w:t xml:space="preserve">He did not actually have everyone in Jerusalem killed off. </w:t>
      </w:r>
      <w:r w:rsidR="00414F1D" w:rsidRPr="001005B7">
        <w:t>Here, t</w:t>
      </w:r>
      <w:r w:rsidR="00754BA7" w:rsidRPr="001005B7">
        <w:t xml:space="preserve">he movie simply stops and everyone freezes. </w:t>
      </w:r>
      <w:r w:rsidR="00414F1D" w:rsidRPr="001005B7">
        <w:t>W</w:t>
      </w:r>
      <w:r w:rsidR="00D83CA1" w:rsidRPr="001005B7">
        <w:t xml:space="preserve">e do not know how the story will end. </w:t>
      </w:r>
      <w:r w:rsidR="00414F1D" w:rsidRPr="001005B7">
        <w:t xml:space="preserve">In the meantime, </w:t>
      </w:r>
      <w:r w:rsidR="007E1567" w:rsidRPr="001005B7">
        <w:t xml:space="preserve">Greenhill </w:t>
      </w:r>
      <w:r w:rsidR="004A4433">
        <w:t xml:space="preserve">229 </w:t>
      </w:r>
      <w:r w:rsidR="007E1567" w:rsidRPr="001005B7">
        <w:t xml:space="preserve">suggests that </w:t>
      </w:r>
      <w:r w:rsidR="0098058E" w:rsidRPr="001005B7">
        <w:t xml:space="preserve">Yahweh’s aim </w:t>
      </w:r>
      <w:r w:rsidR="007E1567" w:rsidRPr="001005B7">
        <w:t>might be</w:t>
      </w:r>
      <w:r w:rsidR="00527B7E" w:rsidRPr="001005B7">
        <w:t>:</w:t>
      </w:r>
    </w:p>
    <w:p w14:paraId="1E27ACBF" w14:textId="73F3F4EE" w:rsidR="00494CD4" w:rsidRPr="001005B7" w:rsidRDefault="00903B0F" w:rsidP="00846AFC">
      <w:pPr>
        <w:pStyle w:val="Quote"/>
        <w:rPr>
          <w:color w:val="auto"/>
        </w:rPr>
      </w:pPr>
      <w:r w:rsidRPr="001005B7">
        <w:rPr>
          <w:color w:val="auto"/>
          <w:lang w:eastAsia="en-GB"/>
        </w:rPr>
        <w:t>1. To let us understand that the Lord is more solicitous about the welfare of the godly then the ruin of the wicked; he had a tender care of his mourners and mark</w:t>
      </w:r>
      <w:r w:rsidR="00354E5A" w:rsidRPr="001005B7">
        <w:rPr>
          <w:color w:val="auto"/>
          <w:lang w:eastAsia="en-GB"/>
        </w:rPr>
        <w:t>e</w:t>
      </w:r>
      <w:r w:rsidRPr="001005B7">
        <w:rPr>
          <w:color w:val="auto"/>
          <w:lang w:eastAsia="en-GB"/>
        </w:rPr>
        <w:t>d ones, he was desirous to hear of their safety, and acceptance of his love, and ther</w:t>
      </w:r>
      <w:r w:rsidR="00496ABD" w:rsidRPr="001005B7">
        <w:rPr>
          <w:color w:val="auto"/>
          <w:lang w:eastAsia="en-GB"/>
        </w:rPr>
        <w:t>e</w:t>
      </w:r>
      <w:r w:rsidRPr="001005B7">
        <w:rPr>
          <w:color w:val="auto"/>
          <w:lang w:eastAsia="en-GB"/>
        </w:rPr>
        <w:t>fore Christ hastens to make report of what was done; they are all seal</w:t>
      </w:r>
      <w:r w:rsidR="00354E5A" w:rsidRPr="001005B7">
        <w:rPr>
          <w:color w:val="auto"/>
          <w:lang w:eastAsia="en-GB"/>
        </w:rPr>
        <w:t>e</w:t>
      </w:r>
      <w:r w:rsidRPr="001005B7">
        <w:rPr>
          <w:color w:val="auto"/>
          <w:lang w:eastAsia="en-GB"/>
        </w:rPr>
        <w:t>d, and so secur</w:t>
      </w:r>
      <w:r w:rsidR="00354E5A" w:rsidRPr="001005B7">
        <w:rPr>
          <w:color w:val="auto"/>
          <w:lang w:eastAsia="en-GB"/>
        </w:rPr>
        <w:t>e</w:t>
      </w:r>
      <w:r w:rsidRPr="001005B7">
        <w:rPr>
          <w:color w:val="auto"/>
          <w:lang w:eastAsia="en-GB"/>
        </w:rPr>
        <w:t>d.</w:t>
      </w:r>
      <w:r w:rsidRPr="001005B7">
        <w:rPr>
          <w:color w:val="auto"/>
          <w:lang w:eastAsia="en-GB"/>
        </w:rPr>
        <w:br/>
        <w:t>2. To revive the drooping spirit of Ezek</w:t>
      </w:r>
      <w:r w:rsidR="00496ABD" w:rsidRPr="001005B7">
        <w:rPr>
          <w:color w:val="auto"/>
          <w:lang w:eastAsia="en-GB"/>
        </w:rPr>
        <w:t>iel,</w:t>
      </w:r>
      <w:r w:rsidRPr="001005B7">
        <w:rPr>
          <w:color w:val="auto"/>
          <w:lang w:eastAsia="en-GB"/>
        </w:rPr>
        <w:t xml:space="preserve"> who was perplexed and greatly cast down at the bloody slaughter of his people. He was yet in the </w:t>
      </w:r>
      <w:r w:rsidR="00354E5A" w:rsidRPr="001005B7">
        <w:rPr>
          <w:color w:val="auto"/>
          <w:lang w:eastAsia="en-GB"/>
        </w:rPr>
        <w:t>t</w:t>
      </w:r>
      <w:r w:rsidRPr="001005B7">
        <w:rPr>
          <w:color w:val="auto"/>
          <w:lang w:eastAsia="en-GB"/>
        </w:rPr>
        <w:t>emple, and the report was made in his presence, that so he</w:t>
      </w:r>
      <w:r w:rsidR="00354E5A" w:rsidRPr="001005B7">
        <w:rPr>
          <w:color w:val="auto"/>
          <w:lang w:eastAsia="en-GB"/>
        </w:rPr>
        <w:t>,</w:t>
      </w:r>
      <w:r w:rsidRPr="001005B7">
        <w:rPr>
          <w:color w:val="auto"/>
          <w:lang w:eastAsia="en-GB"/>
        </w:rPr>
        <w:t xml:space="preserve"> hearing it was wel</w:t>
      </w:r>
      <w:r w:rsidR="00354E5A" w:rsidRPr="001005B7">
        <w:rPr>
          <w:color w:val="auto"/>
          <w:lang w:eastAsia="en-GB"/>
        </w:rPr>
        <w:t>l</w:t>
      </w:r>
      <w:r w:rsidRPr="001005B7">
        <w:rPr>
          <w:color w:val="auto"/>
          <w:lang w:eastAsia="en-GB"/>
        </w:rPr>
        <w:t xml:space="preserve"> with all the godly</w:t>
      </w:r>
      <w:r w:rsidR="00354E5A" w:rsidRPr="001005B7">
        <w:rPr>
          <w:color w:val="auto"/>
          <w:lang w:eastAsia="en-GB"/>
        </w:rPr>
        <w:t>,</w:t>
      </w:r>
      <w:r w:rsidRPr="001005B7">
        <w:rPr>
          <w:color w:val="auto"/>
          <w:lang w:eastAsia="en-GB"/>
        </w:rPr>
        <w:t xml:space="preserve"> mourning party, might be comforted. Had the other six come in and told how many thousands they had slain, this would have added affliction to him that was afflicted</w:t>
      </w:r>
      <w:r w:rsidR="00611173" w:rsidRPr="001005B7">
        <w:rPr>
          <w:color w:val="auto"/>
          <w:lang w:eastAsia="en-GB"/>
        </w:rPr>
        <w:t>.</w:t>
      </w:r>
    </w:p>
    <w:p w14:paraId="48DAE385" w14:textId="77777777" w:rsidR="00832FA7" w:rsidRPr="001005B7" w:rsidRDefault="00832FA7" w:rsidP="00493833">
      <w:pPr>
        <w:pStyle w:val="Heading3"/>
      </w:pPr>
      <w:r w:rsidRPr="001005B7">
        <w:t xml:space="preserve">Biblical Theology Comments </w:t>
      </w:r>
    </w:p>
    <w:p w14:paraId="3524D015" w14:textId="0DA73A8B" w:rsidR="00716A75" w:rsidRPr="001005B7" w:rsidRDefault="00D157BA" w:rsidP="00CB35CE">
      <w:pPr>
        <w:rPr>
          <w:rFonts w:ascii="Calibri" w:hAnsi="Calibri" w:cs="Calibri"/>
        </w:rPr>
      </w:pPr>
      <w:r w:rsidRPr="001005B7">
        <w:t>Theodicy</w:t>
      </w:r>
      <w:r w:rsidR="004F2242" w:rsidRPr="001005B7">
        <w:t>, the justification of God,</w:t>
      </w:r>
      <w:r w:rsidRPr="001005B7">
        <w:t xml:space="preserve"> </w:t>
      </w:r>
      <w:r w:rsidR="00306456" w:rsidRPr="001005B7">
        <w:t xml:space="preserve">is not as important in the Scriptures as it </w:t>
      </w:r>
      <w:r w:rsidRPr="001005B7">
        <w:t xml:space="preserve">has become in </w:t>
      </w:r>
      <w:r w:rsidR="00FC7D99" w:rsidRPr="001005B7">
        <w:t>present-day theology and present-day study of the First Testament</w:t>
      </w:r>
      <w:r w:rsidR="00FE3218" w:rsidRPr="001005B7">
        <w:t xml:space="preserve">. The Scriptures are more inclined to focus on </w:t>
      </w:r>
      <w:proofErr w:type="spellStart"/>
      <w:r w:rsidR="00FE3218" w:rsidRPr="001005B7">
        <w:t>anthropodi</w:t>
      </w:r>
      <w:r w:rsidR="00DA2FD9" w:rsidRPr="001005B7">
        <w:t>cy</w:t>
      </w:r>
      <w:proofErr w:type="spellEnd"/>
      <w:r w:rsidR="00DA2FD9" w:rsidRPr="001005B7">
        <w:t>, the justification of humanity</w:t>
      </w:r>
      <w:r w:rsidR="00455A7D" w:rsidRPr="001005B7">
        <w:t>, and to take for granted the justification of God.</w:t>
      </w:r>
      <w:r w:rsidR="00760499" w:rsidRPr="001005B7">
        <w:t xml:space="preserve"> </w:t>
      </w:r>
      <w:r w:rsidR="00A71FA3" w:rsidRPr="001005B7">
        <w:t xml:space="preserve">A prophet such as Ezekiel </w:t>
      </w:r>
      <w:r w:rsidR="0098210E" w:rsidRPr="001005B7">
        <w:t>w</w:t>
      </w:r>
      <w:r w:rsidR="001F7E21" w:rsidRPr="001005B7">
        <w:t>ould</w:t>
      </w:r>
      <w:r w:rsidR="0098210E" w:rsidRPr="001005B7">
        <w:t xml:space="preserve"> recognize that </w:t>
      </w:r>
      <w:r w:rsidR="00BD5E35" w:rsidRPr="001005B7">
        <w:t xml:space="preserve">not every </w:t>
      </w:r>
      <w:r w:rsidR="008E7D60" w:rsidRPr="001005B7">
        <w:t xml:space="preserve">Judahite who had been taken off </w:t>
      </w:r>
      <w:r w:rsidR="00E73DDD" w:rsidRPr="001005B7">
        <w:t xml:space="preserve">to </w:t>
      </w:r>
      <w:proofErr w:type="spellStart"/>
      <w:r w:rsidR="00E73DDD" w:rsidRPr="001005B7">
        <w:t>Kebar</w:t>
      </w:r>
      <w:proofErr w:type="spellEnd"/>
      <w:r w:rsidR="00E73DDD" w:rsidRPr="001005B7">
        <w:t xml:space="preserve"> </w:t>
      </w:r>
      <w:r w:rsidR="001C61E9" w:rsidRPr="001005B7">
        <w:t xml:space="preserve">in 597 </w:t>
      </w:r>
      <w:r w:rsidR="00E73DDD" w:rsidRPr="001005B7">
        <w:t>w</w:t>
      </w:r>
      <w:r w:rsidR="007F09E3" w:rsidRPr="001005B7">
        <w:t>as</w:t>
      </w:r>
      <w:r w:rsidR="00E73DDD" w:rsidRPr="001005B7">
        <w:t xml:space="preserve"> </w:t>
      </w:r>
      <w:r w:rsidR="00BD5E35" w:rsidRPr="001005B7">
        <w:t xml:space="preserve">thereby shown to be more wayward than every </w:t>
      </w:r>
      <w:r w:rsidR="007F09E3" w:rsidRPr="001005B7">
        <w:t>Judahite who escaped that fate</w:t>
      </w:r>
      <w:r w:rsidR="008261AA" w:rsidRPr="001005B7">
        <w:t>. Nor, for that matter, was every</w:t>
      </w:r>
      <w:r w:rsidR="00F11E77" w:rsidRPr="001005B7">
        <w:t xml:space="preserve"> Judahite who had been taken off to </w:t>
      </w:r>
      <w:proofErr w:type="spellStart"/>
      <w:r w:rsidR="00F11E77" w:rsidRPr="001005B7">
        <w:t>Kebar</w:t>
      </w:r>
      <w:proofErr w:type="spellEnd"/>
      <w:r w:rsidR="00D148A9" w:rsidRPr="001005B7">
        <w:t xml:space="preserve"> thereby show</w:t>
      </w:r>
      <w:r w:rsidR="003D4AED" w:rsidRPr="001005B7">
        <w:t>n</w:t>
      </w:r>
      <w:r w:rsidR="00D148A9" w:rsidRPr="001005B7">
        <w:t xml:space="preserve"> to be a more promising fig than every Judahite </w:t>
      </w:r>
      <w:r w:rsidR="00D340A8" w:rsidRPr="001005B7">
        <w:t>left in Jerusalem, notwithstanding Jeremiah’s parable</w:t>
      </w:r>
      <w:r w:rsidR="00D340A8" w:rsidRPr="001005B7">
        <w:rPr>
          <w:rFonts w:ascii="Calibri" w:hAnsi="Calibri" w:cs="Calibri"/>
        </w:rPr>
        <w:t xml:space="preserve"> (Jer 24)</w:t>
      </w:r>
      <w:r w:rsidR="00DB799E" w:rsidRPr="001005B7">
        <w:rPr>
          <w:rFonts w:ascii="Calibri" w:hAnsi="Calibri" w:cs="Calibri"/>
        </w:rPr>
        <w:t>. And when Jerusalem finally falls in 587</w:t>
      </w:r>
      <w:r w:rsidR="002A7479" w:rsidRPr="001005B7">
        <w:rPr>
          <w:rFonts w:ascii="Calibri" w:hAnsi="Calibri" w:cs="Calibri"/>
        </w:rPr>
        <w:t xml:space="preserve">, things will no more work out in that fair way. Yet Ezekiel encourages his people to </w:t>
      </w:r>
      <w:r w:rsidR="00F61150" w:rsidRPr="001005B7">
        <w:rPr>
          <w:rFonts w:ascii="Calibri" w:hAnsi="Calibri" w:cs="Calibri"/>
        </w:rPr>
        <w:t>live on th</w:t>
      </w:r>
      <w:r w:rsidR="00187BE1" w:rsidRPr="001005B7">
        <w:rPr>
          <w:rFonts w:ascii="Calibri" w:hAnsi="Calibri" w:cs="Calibri"/>
        </w:rPr>
        <w:t>e</w:t>
      </w:r>
      <w:r w:rsidR="00F61150" w:rsidRPr="001005B7">
        <w:rPr>
          <w:rFonts w:ascii="Calibri" w:hAnsi="Calibri" w:cs="Calibri"/>
        </w:rPr>
        <w:t xml:space="preserve"> assumption</w:t>
      </w:r>
      <w:r w:rsidR="00187BE1" w:rsidRPr="001005B7">
        <w:rPr>
          <w:rFonts w:ascii="Calibri" w:hAnsi="Calibri" w:cs="Calibri"/>
        </w:rPr>
        <w:t xml:space="preserve"> that things </w:t>
      </w:r>
      <w:r w:rsidR="006B23D0" w:rsidRPr="001005B7">
        <w:rPr>
          <w:rFonts w:ascii="Calibri" w:hAnsi="Calibri" w:cs="Calibri"/>
        </w:rPr>
        <w:t xml:space="preserve">do </w:t>
      </w:r>
      <w:r w:rsidR="00187BE1" w:rsidRPr="001005B7">
        <w:rPr>
          <w:rFonts w:ascii="Calibri" w:hAnsi="Calibri" w:cs="Calibri"/>
        </w:rPr>
        <w:t>work out in a fair way</w:t>
      </w:r>
      <w:r w:rsidR="00CA719B" w:rsidRPr="001005B7">
        <w:rPr>
          <w:rFonts w:ascii="Calibri" w:hAnsi="Calibri" w:cs="Calibri"/>
        </w:rPr>
        <w:t>, because God is fair</w:t>
      </w:r>
      <w:r w:rsidR="00F61150" w:rsidRPr="001005B7">
        <w:rPr>
          <w:rFonts w:ascii="Calibri" w:hAnsi="Calibri" w:cs="Calibri"/>
        </w:rPr>
        <w:t>.</w:t>
      </w:r>
      <w:r w:rsidR="00CA719B" w:rsidRPr="001005B7">
        <w:rPr>
          <w:rFonts w:ascii="Calibri" w:hAnsi="Calibri" w:cs="Calibri"/>
        </w:rPr>
        <w:t xml:space="preserve"> </w:t>
      </w:r>
      <w:r w:rsidR="006B23D0" w:rsidRPr="001005B7">
        <w:rPr>
          <w:rFonts w:ascii="Calibri" w:hAnsi="Calibri" w:cs="Calibri"/>
        </w:rPr>
        <w:t>W</w:t>
      </w:r>
      <w:r w:rsidR="00CA719B" w:rsidRPr="001005B7">
        <w:rPr>
          <w:rFonts w:ascii="Calibri" w:hAnsi="Calibri" w:cs="Calibri"/>
        </w:rPr>
        <w:t xml:space="preserve">hen they do not, we </w:t>
      </w:r>
      <w:r w:rsidR="006B23D0" w:rsidRPr="001005B7">
        <w:rPr>
          <w:rFonts w:ascii="Calibri" w:hAnsi="Calibri" w:cs="Calibri"/>
        </w:rPr>
        <w:t xml:space="preserve">just </w:t>
      </w:r>
      <w:r w:rsidR="00CA719B" w:rsidRPr="001005B7">
        <w:rPr>
          <w:rFonts w:ascii="Calibri" w:hAnsi="Calibri" w:cs="Calibri"/>
        </w:rPr>
        <w:t xml:space="preserve">have to live with the fact, </w:t>
      </w:r>
      <w:r w:rsidR="007D5961" w:rsidRPr="001005B7">
        <w:rPr>
          <w:rFonts w:ascii="Calibri" w:hAnsi="Calibri" w:cs="Calibri"/>
        </w:rPr>
        <w:t xml:space="preserve">to </w:t>
      </w:r>
      <w:r w:rsidR="00CA719B" w:rsidRPr="001005B7">
        <w:rPr>
          <w:rFonts w:ascii="Calibri" w:hAnsi="Calibri" w:cs="Calibri"/>
        </w:rPr>
        <w:t xml:space="preserve">live by trust in Yahweh as the powerful and </w:t>
      </w:r>
      <w:r w:rsidR="00413ACA" w:rsidRPr="001005B7">
        <w:rPr>
          <w:rFonts w:ascii="Calibri" w:hAnsi="Calibri" w:cs="Calibri"/>
        </w:rPr>
        <w:t>fair one</w:t>
      </w:r>
      <w:r w:rsidR="00DB42AD" w:rsidRPr="001005B7">
        <w:rPr>
          <w:rFonts w:ascii="Calibri" w:hAnsi="Calibri" w:cs="Calibri"/>
        </w:rPr>
        <w:t>,</w:t>
      </w:r>
      <w:r w:rsidR="00413ACA" w:rsidRPr="001005B7">
        <w:rPr>
          <w:rFonts w:ascii="Calibri" w:hAnsi="Calibri" w:cs="Calibri"/>
        </w:rPr>
        <w:t xml:space="preserve"> </w:t>
      </w:r>
      <w:r w:rsidR="007D5961" w:rsidRPr="001005B7">
        <w:rPr>
          <w:rFonts w:ascii="Calibri" w:hAnsi="Calibri" w:cs="Calibri"/>
        </w:rPr>
        <w:t xml:space="preserve">even when we cannot understand what happens </w:t>
      </w:r>
      <w:r w:rsidR="00413ACA" w:rsidRPr="001005B7">
        <w:rPr>
          <w:rFonts w:ascii="Calibri" w:hAnsi="Calibri" w:cs="Calibri"/>
        </w:rPr>
        <w:t>(as the Job story says).</w:t>
      </w:r>
      <w:r w:rsidR="00F61150" w:rsidRPr="001005B7">
        <w:rPr>
          <w:rFonts w:ascii="Calibri" w:hAnsi="Calibri" w:cs="Calibri"/>
        </w:rPr>
        <w:t xml:space="preserve"> </w:t>
      </w:r>
    </w:p>
    <w:p w14:paraId="65685579" w14:textId="715207A1" w:rsidR="00716A75" w:rsidRPr="001005B7" w:rsidRDefault="00963502" w:rsidP="00493833">
      <w:pPr>
        <w:pStyle w:val="Heading3"/>
      </w:pPr>
      <w:r w:rsidRPr="001005B7">
        <w:t xml:space="preserve">Application and Devotional </w:t>
      </w:r>
      <w:r w:rsidR="00716A75" w:rsidRPr="001005B7">
        <w:t>Implications</w:t>
      </w:r>
    </w:p>
    <w:p w14:paraId="57D85575" w14:textId="427F35C7" w:rsidR="008624D2" w:rsidRPr="001005B7" w:rsidRDefault="00DB2194" w:rsidP="008624D2">
      <w:r w:rsidRPr="001005B7">
        <w:rPr>
          <w:rFonts w:cstheme="minorHAnsi"/>
        </w:rPr>
        <w:t>The cross</w:t>
      </w:r>
      <w:r w:rsidR="00B32884" w:rsidRPr="001005B7">
        <w:rPr>
          <w:rFonts w:cstheme="minorHAnsi"/>
        </w:rPr>
        <w:t xml:space="preserve"> </w:t>
      </w:r>
      <w:r w:rsidRPr="001005B7">
        <w:rPr>
          <w:rFonts w:cstheme="minorHAnsi"/>
        </w:rPr>
        <w:t>shape of the scribe’s mark encouraged church fathers to see it as an anticipation of the sign of the cross</w:t>
      </w:r>
      <w:r w:rsidR="0005127A" w:rsidRPr="001005B7">
        <w:rPr>
          <w:rFonts w:cstheme="minorHAnsi"/>
        </w:rPr>
        <w:t>.</w:t>
      </w:r>
      <w:r w:rsidRPr="001005B7">
        <w:rPr>
          <w:rFonts w:cstheme="minorHAnsi"/>
        </w:rPr>
        <w:t xml:space="preserve"> </w:t>
      </w:r>
      <w:r w:rsidR="00B32884" w:rsidRPr="001005B7">
        <w:rPr>
          <w:rFonts w:cstheme="minorHAnsi"/>
        </w:rPr>
        <w:t xml:space="preserve">So </w:t>
      </w:r>
      <w:r w:rsidR="0005127A" w:rsidRPr="001005B7">
        <w:rPr>
          <w:rFonts w:ascii="MinionPro-Regular" w:hAnsi="MinionPro-Regular" w:cs="MinionPro-Regular"/>
        </w:rPr>
        <w:t>Christ signed the apostles and the faithful “with that very seal of which Ezekiel spoke</w:t>
      </w:r>
      <w:r w:rsidR="009067D8" w:rsidRPr="001005B7">
        <w:rPr>
          <w:rFonts w:cstheme="minorHAnsi"/>
          <w:lang w:eastAsia="en-GB"/>
        </w:rPr>
        <w:t>…</w:t>
      </w:r>
      <w:r w:rsidR="0005127A" w:rsidRPr="001005B7">
        <w:rPr>
          <w:rFonts w:ascii="MinionPro-Regular" w:hAnsi="MinionPro-Regular" w:cs="MinionPro-Regular"/>
        </w:rPr>
        <w:t xml:space="preserve"> which he predicted would be the sign on our foreheads.”</w:t>
      </w:r>
      <w:r w:rsidR="0005127A" w:rsidRPr="001005B7">
        <w:rPr>
          <w:rStyle w:val="FootnoteReference"/>
          <w:rFonts w:ascii="MinionPro-Regular" w:hAnsi="MinionPro-Regular" w:cs="MinionPro-Regular"/>
        </w:rPr>
        <w:footnoteReference w:id="255"/>
      </w:r>
      <w:r w:rsidR="00B32884" w:rsidRPr="001005B7">
        <w:rPr>
          <w:rFonts w:ascii="MinionPro-Regular" w:hAnsi="MinionPro-Regular" w:cs="MinionPro-Regular"/>
        </w:rPr>
        <w:t xml:space="preserve"> And </w:t>
      </w:r>
      <w:r w:rsidR="00D7552F" w:rsidRPr="001005B7">
        <w:t>“</w:t>
      </w:r>
      <w:r w:rsidR="00B32884" w:rsidRPr="001005B7">
        <w:rPr>
          <w:rFonts w:ascii="Calibri" w:hAnsi="Calibri" w:cs="Calibri"/>
        </w:rPr>
        <w:t>i</w:t>
      </w:r>
      <w:r w:rsidR="00D7552F" w:rsidRPr="001005B7">
        <w:rPr>
          <w:rFonts w:ascii="Calibri" w:hAnsi="Calibri" w:cs="Calibri"/>
        </w:rPr>
        <w:t>t is impossible not to notice: the angel is told to perform the very gesture of baptismal chrism and of Ash Wednesday’s marking with ashes</w:t>
      </w:r>
      <w:r w:rsidR="00F44698" w:rsidRPr="001005B7">
        <w:rPr>
          <w:rFonts w:ascii="Calibri" w:hAnsi="Calibri" w:cs="Calibri"/>
        </w:rPr>
        <w:t>” (</w:t>
      </w:r>
      <w:r w:rsidR="00F44698" w:rsidRPr="001005B7">
        <w:t xml:space="preserve">Jenson, </w:t>
      </w:r>
      <w:r w:rsidR="00702867" w:rsidRPr="001005B7">
        <w:t>84</w:t>
      </w:r>
      <w:r w:rsidR="00F44698" w:rsidRPr="001005B7">
        <w:t>).</w:t>
      </w:r>
      <w:r w:rsidR="001A517A" w:rsidRPr="001005B7">
        <w:rPr>
          <w:rFonts w:ascii="Calibri" w:hAnsi="Calibri" w:cs="Calibri"/>
        </w:rPr>
        <w:t xml:space="preserve"> Whether or not we are convinced by such arguments, we will not</w:t>
      </w:r>
      <w:r w:rsidR="00FB4A29" w:rsidRPr="001005B7">
        <w:rPr>
          <w:rFonts w:ascii="Calibri" w:hAnsi="Calibri" w:cs="Calibri"/>
        </w:rPr>
        <w:t>e</w:t>
      </w:r>
      <w:r w:rsidR="001A517A" w:rsidRPr="001005B7">
        <w:rPr>
          <w:rFonts w:ascii="Calibri" w:hAnsi="Calibri" w:cs="Calibri"/>
        </w:rPr>
        <w:t xml:space="preserve"> that Jesus declared a blessing on</w:t>
      </w:r>
      <w:r w:rsidR="005F58FE" w:rsidRPr="001005B7">
        <w:t xml:space="preserve"> people who mourn (Matt 5:4</w:t>
      </w:r>
      <w:r w:rsidR="00F20733" w:rsidRPr="001005B7">
        <w:t xml:space="preserve">; </w:t>
      </w:r>
      <w:r w:rsidR="0092257C" w:rsidRPr="001005B7">
        <w:t>Greenhill</w:t>
      </w:r>
      <w:r w:rsidR="001D782A" w:rsidRPr="001005B7">
        <w:t>, 219</w:t>
      </w:r>
      <w:r w:rsidR="0092257C" w:rsidRPr="001005B7">
        <w:t>).</w:t>
      </w:r>
      <w:r w:rsidR="005F58FE" w:rsidRPr="001005B7">
        <w:t xml:space="preserve"> </w:t>
      </w:r>
      <w:r w:rsidR="00AA39BF" w:rsidRPr="001005B7">
        <w:t>And i</w:t>
      </w:r>
      <w:r w:rsidR="00CD62DA" w:rsidRPr="001005B7">
        <w:t xml:space="preserve">n focusing on people who </w:t>
      </w:r>
      <w:r w:rsidR="00583F69" w:rsidRPr="001005B7">
        <w:t xml:space="preserve">groan and moan about the outrages </w:t>
      </w:r>
      <w:r w:rsidR="006B0F5E" w:rsidRPr="001005B7">
        <w:t xml:space="preserve">committed by his people, </w:t>
      </w:r>
      <w:r w:rsidR="00767938" w:rsidRPr="001005B7">
        <w:t>God here shows what he wishes his people to be. So when we are light-hearted about waywardness and the affliction of the church and the slighting of God’s name, we are failing to be such people.</w:t>
      </w:r>
      <w:r w:rsidR="007B6BB6" w:rsidRPr="001005B7">
        <w:t xml:space="preserve"> </w:t>
      </w:r>
      <w:r w:rsidR="00767938" w:rsidRPr="001005B7">
        <w:rPr>
          <w:rFonts w:ascii="MinionPro-Regular" w:hAnsi="MinionPro-Regular" w:cs="MinionPro-Regular"/>
        </w:rPr>
        <w:t>“He does not reckon any among his own who do not groan at abominations”</w:t>
      </w:r>
      <w:r w:rsidR="00BB5AE2" w:rsidRPr="001005B7">
        <w:rPr>
          <w:rFonts w:ascii="MinionPro-Regular" w:hAnsi="MinionPro-Regular" w:cs="MinionPro-Regular"/>
        </w:rPr>
        <w:t xml:space="preserve"> (</w:t>
      </w:r>
      <w:r w:rsidR="00BB5AE2" w:rsidRPr="001005B7">
        <w:t>Calvin</w:t>
      </w:r>
      <w:r w:rsidR="006E2085" w:rsidRPr="001005B7">
        <w:t>,</w:t>
      </w:r>
      <w:r w:rsidR="00BB5AE2" w:rsidRPr="001005B7">
        <w:rPr>
          <w:i/>
          <w:iCs/>
        </w:rPr>
        <w:t xml:space="preserve"> </w:t>
      </w:r>
      <w:r w:rsidR="00BB5AE2" w:rsidRPr="001005B7">
        <w:t>1:327).</w:t>
      </w:r>
      <w:r w:rsidR="008624D2" w:rsidRPr="001005B7">
        <w:rPr>
          <w:rFonts w:ascii="MinionPro-Regular" w:hAnsi="MinionPro-Regular" w:cs="MinionPro-Regular"/>
        </w:rPr>
        <w:t xml:space="preserve"> </w:t>
      </w:r>
      <w:r w:rsidR="006137E4" w:rsidRPr="001005B7">
        <w:rPr>
          <w:rFonts w:ascii="MinionPro-Regular" w:hAnsi="MinionPro-Regular" w:cs="MinionPro-Regular"/>
        </w:rPr>
        <w:t>But g</w:t>
      </w:r>
      <w:r w:rsidR="008624D2" w:rsidRPr="001005B7">
        <w:rPr>
          <w:rFonts w:ascii="MinionPro-Regular" w:hAnsi="MinionPro-Regular" w:cs="MinionPro-Regular"/>
        </w:rPr>
        <w:t xml:space="preserve">iven </w:t>
      </w:r>
      <w:r w:rsidR="00B632BA" w:rsidRPr="001005B7">
        <w:rPr>
          <w:rFonts w:ascii="MinionPro-Regular" w:hAnsi="MinionPro-Regular" w:cs="MinionPro-Regular"/>
        </w:rPr>
        <w:t>his</w:t>
      </w:r>
      <w:r w:rsidR="008624D2" w:rsidRPr="001005B7">
        <w:rPr>
          <w:rFonts w:ascii="MinionPro-Regular" w:hAnsi="MinionPro-Regular" w:cs="MinionPro-Regular"/>
        </w:rPr>
        <w:t xml:space="preserve"> concern about outrages committed among his people, it is not surprising if </w:t>
      </w:r>
      <w:r w:rsidR="00213010" w:rsidRPr="001005B7">
        <w:rPr>
          <w:rFonts w:ascii="MinionPro-Regular" w:hAnsi="MinionPro-Regular" w:cs="MinionPro-Regular"/>
        </w:rPr>
        <w:t xml:space="preserve">God determines that catastrophe </w:t>
      </w:r>
      <w:r w:rsidR="00213010" w:rsidRPr="001005B7">
        <w:t>b</w:t>
      </w:r>
      <w:r w:rsidR="008624D2" w:rsidRPr="001005B7">
        <w:t>egin</w:t>
      </w:r>
      <w:r w:rsidR="00310383" w:rsidRPr="001005B7">
        <w:t>s</w:t>
      </w:r>
      <w:r w:rsidR="008624D2" w:rsidRPr="001005B7">
        <w:t xml:space="preserve"> from the sanctuary</w:t>
      </w:r>
      <w:r w:rsidR="00310383" w:rsidRPr="001005B7">
        <w:t xml:space="preserve">, that judgment begins from </w:t>
      </w:r>
      <w:r w:rsidR="008833E4" w:rsidRPr="001005B7">
        <w:t>God’s household</w:t>
      </w:r>
      <w:r w:rsidR="008624D2" w:rsidRPr="001005B7">
        <w:t xml:space="preserve"> </w:t>
      </w:r>
      <w:r w:rsidR="008833E4" w:rsidRPr="001005B7">
        <w:t>(</w:t>
      </w:r>
      <w:r w:rsidR="008624D2" w:rsidRPr="001005B7">
        <w:t>1 Peter 4:17</w:t>
      </w:r>
      <w:r w:rsidR="008833E4" w:rsidRPr="001005B7">
        <w:t>)</w:t>
      </w:r>
      <w:r w:rsidR="007B63EF" w:rsidRPr="001005B7">
        <w:t xml:space="preserve"> (Jerome, 103).</w:t>
      </w:r>
      <w:r w:rsidR="004C2C3F" w:rsidRPr="001005B7">
        <w:rPr>
          <w:rStyle w:val="FootnoteReference"/>
        </w:rPr>
        <w:footnoteReference w:id="256"/>
      </w:r>
    </w:p>
    <w:p w14:paraId="251FFB2D" w14:textId="234C7E9C" w:rsidR="008624D2" w:rsidRPr="001005B7" w:rsidRDefault="008624D2" w:rsidP="00767938">
      <w:pPr>
        <w:rPr>
          <w:rFonts w:ascii="MinionPro-Regular" w:hAnsi="MinionPro-Regular" w:cs="MinionPro-Regular"/>
        </w:rPr>
      </w:pPr>
      <w:r w:rsidRPr="001005B7">
        <w:rPr>
          <w:rFonts w:ascii="MinionPro-Regular" w:hAnsi="MinionPro-Regular" w:cs="MinionPro-Regular"/>
        </w:rPr>
        <w:t>On the other hand</w:t>
      </w:r>
      <w:r w:rsidR="005722F0" w:rsidRPr="001005B7">
        <w:rPr>
          <w:rFonts w:ascii="MinionPro-Regular" w:hAnsi="MinionPro-Regular" w:cs="MinionPro-Regular"/>
        </w:rPr>
        <w:t xml:space="preserve">, Blenkinsopp </w:t>
      </w:r>
      <w:r w:rsidR="00CB35CE" w:rsidRPr="001005B7">
        <w:rPr>
          <w:rFonts w:ascii="MinionPro-Regular" w:hAnsi="MinionPro-Regular" w:cs="MinionPro-Regular"/>
        </w:rPr>
        <w:t xml:space="preserve">(59) </w:t>
      </w:r>
      <w:r w:rsidR="005722F0" w:rsidRPr="001005B7">
        <w:rPr>
          <w:rFonts w:ascii="MinionPro-Regular" w:hAnsi="MinionPro-Regular" w:cs="MinionPro-Regular"/>
        </w:rPr>
        <w:t>comments:</w:t>
      </w:r>
    </w:p>
    <w:p w14:paraId="127EB71B" w14:textId="76737397" w:rsidR="00CE2DDD" w:rsidRPr="001005B7" w:rsidRDefault="00716A75" w:rsidP="00CB35CE">
      <w:pPr>
        <w:pStyle w:val="Quote"/>
        <w:rPr>
          <w:color w:val="auto"/>
        </w:rPr>
      </w:pPr>
      <w:r w:rsidRPr="001005B7">
        <w:rPr>
          <w:color w:val="auto"/>
        </w:rPr>
        <w:t>Amos, who saw in a series of visions the disasters awaiting Israel,</w:t>
      </w:r>
      <w:r w:rsidR="00A94494" w:rsidRPr="001005B7">
        <w:rPr>
          <w:color w:val="auto"/>
        </w:rPr>
        <w:t xml:space="preserve"> </w:t>
      </w:r>
      <w:r w:rsidRPr="001005B7">
        <w:rPr>
          <w:color w:val="auto"/>
        </w:rPr>
        <w:t>also interceded in moving language that by some means they might</w:t>
      </w:r>
      <w:r w:rsidR="0082143A" w:rsidRPr="001005B7">
        <w:rPr>
          <w:color w:val="auto"/>
        </w:rPr>
        <w:t xml:space="preserve"> </w:t>
      </w:r>
      <w:r w:rsidRPr="001005B7">
        <w:rPr>
          <w:color w:val="auto"/>
        </w:rPr>
        <w:t>be averted (Amos 7:16). The experience of failed intercession,</w:t>
      </w:r>
      <w:r w:rsidR="0082143A" w:rsidRPr="001005B7">
        <w:rPr>
          <w:color w:val="auto"/>
        </w:rPr>
        <w:t xml:space="preserve"> </w:t>
      </w:r>
      <w:r w:rsidRPr="001005B7">
        <w:rPr>
          <w:color w:val="auto"/>
        </w:rPr>
        <w:t>which Ezekiel shared with Jeremiah (Jer. 14:11</w:t>
      </w:r>
      <w:r w:rsidR="00F46900" w:rsidRPr="001005B7">
        <w:rPr>
          <w:color w:val="auto"/>
        </w:rPr>
        <w:t>–</w:t>
      </w:r>
      <w:r w:rsidRPr="001005B7">
        <w:rPr>
          <w:color w:val="auto"/>
        </w:rPr>
        <w:t>12; 15:1), produced</w:t>
      </w:r>
      <w:r w:rsidR="0082143A" w:rsidRPr="001005B7">
        <w:rPr>
          <w:color w:val="auto"/>
        </w:rPr>
        <w:t xml:space="preserve"> </w:t>
      </w:r>
      <w:r w:rsidRPr="001005B7">
        <w:rPr>
          <w:color w:val="auto"/>
        </w:rPr>
        <w:t>in him, as it did in Jeremiah, a</w:t>
      </w:r>
      <w:r w:rsidR="0082143A" w:rsidRPr="001005B7">
        <w:rPr>
          <w:color w:val="auto"/>
        </w:rPr>
        <w:t xml:space="preserve"> </w:t>
      </w:r>
      <w:r w:rsidRPr="001005B7">
        <w:rPr>
          <w:color w:val="auto"/>
        </w:rPr>
        <w:t>profound sense of the reality of sin,</w:t>
      </w:r>
      <w:r w:rsidR="0082143A" w:rsidRPr="001005B7">
        <w:rPr>
          <w:color w:val="auto"/>
        </w:rPr>
        <w:t xml:space="preserve"> </w:t>
      </w:r>
      <w:r w:rsidRPr="001005B7">
        <w:rPr>
          <w:color w:val="auto"/>
        </w:rPr>
        <w:t>of the desperate sickness of the human heart (see, e.g., Jer. 13:23;</w:t>
      </w:r>
      <w:r w:rsidR="0082143A" w:rsidRPr="001005B7">
        <w:rPr>
          <w:color w:val="auto"/>
        </w:rPr>
        <w:t xml:space="preserve"> </w:t>
      </w:r>
      <w:r w:rsidRPr="001005B7">
        <w:rPr>
          <w:color w:val="auto"/>
        </w:rPr>
        <w:t>17:9). This is something which is very difficult for us to share</w:t>
      </w:r>
      <w:r w:rsidR="0082143A" w:rsidRPr="001005B7">
        <w:rPr>
          <w:color w:val="auto"/>
        </w:rPr>
        <w:t xml:space="preserve"> </w:t>
      </w:r>
      <w:r w:rsidRPr="001005B7">
        <w:rPr>
          <w:color w:val="auto"/>
        </w:rPr>
        <w:t>today. We are more comfortable with the categories of</w:t>
      </w:r>
      <w:r w:rsidR="0082143A" w:rsidRPr="001005B7">
        <w:rPr>
          <w:color w:val="auto"/>
        </w:rPr>
        <w:t xml:space="preserve"> </w:t>
      </w:r>
      <w:r w:rsidRPr="001005B7">
        <w:rPr>
          <w:color w:val="auto"/>
        </w:rPr>
        <w:t>psychological illness and therapy than with those of sin and</w:t>
      </w:r>
      <w:r w:rsidR="0082143A" w:rsidRPr="001005B7">
        <w:rPr>
          <w:color w:val="auto"/>
        </w:rPr>
        <w:t xml:space="preserve"> </w:t>
      </w:r>
      <w:r w:rsidRPr="001005B7">
        <w:rPr>
          <w:color w:val="auto"/>
        </w:rPr>
        <w:t>salvation, and for us it is never too late. And, correspondingly, it is</w:t>
      </w:r>
      <w:r w:rsidR="0082143A" w:rsidRPr="001005B7">
        <w:rPr>
          <w:color w:val="auto"/>
        </w:rPr>
        <w:t xml:space="preserve"> </w:t>
      </w:r>
      <w:r w:rsidRPr="001005B7">
        <w:rPr>
          <w:color w:val="auto"/>
        </w:rPr>
        <w:t>much easier to think of ministry as a form of social service rather</w:t>
      </w:r>
      <w:r w:rsidR="0082143A" w:rsidRPr="001005B7">
        <w:rPr>
          <w:color w:val="auto"/>
        </w:rPr>
        <w:t xml:space="preserve"> </w:t>
      </w:r>
      <w:r w:rsidRPr="001005B7">
        <w:rPr>
          <w:color w:val="auto"/>
        </w:rPr>
        <w:t>than as prophetic in the sense just indicated. So Ezekiel prays, but</w:t>
      </w:r>
      <w:r w:rsidR="0082143A" w:rsidRPr="001005B7">
        <w:rPr>
          <w:color w:val="auto"/>
        </w:rPr>
        <w:t xml:space="preserve"> </w:t>
      </w:r>
      <w:r w:rsidRPr="001005B7">
        <w:rPr>
          <w:color w:val="auto"/>
        </w:rPr>
        <w:t>the answer is, in effect: Too late! Sin has reached its full measure,</w:t>
      </w:r>
      <w:r w:rsidR="004923A8" w:rsidRPr="001005B7">
        <w:rPr>
          <w:color w:val="auto"/>
        </w:rPr>
        <w:t xml:space="preserve"> </w:t>
      </w:r>
      <w:r w:rsidRPr="001005B7">
        <w:rPr>
          <w:color w:val="auto"/>
        </w:rPr>
        <w:t>the land is full of bloodshed, the city is filled with impurity.</w:t>
      </w:r>
      <w:r w:rsidR="00FB50B4" w:rsidRPr="001005B7">
        <w:rPr>
          <w:rFonts w:cs="Calibri"/>
          <w:color w:val="auto"/>
        </w:rPr>
        <w:t xml:space="preserve"> </w:t>
      </w:r>
    </w:p>
    <w:p w14:paraId="36890D39" w14:textId="77777777" w:rsidR="00CF1720" w:rsidRPr="001005B7" w:rsidRDefault="00EE6E51" w:rsidP="00493833">
      <w:pPr>
        <w:pStyle w:val="Heading3"/>
      </w:pPr>
      <w:r w:rsidRPr="001005B7">
        <w:t xml:space="preserve">Selected </w:t>
      </w:r>
      <w:r w:rsidR="00F77537" w:rsidRPr="001005B7">
        <w:t>Bibliography</w:t>
      </w:r>
    </w:p>
    <w:p w14:paraId="33CF4AAB" w14:textId="7A534ED5" w:rsidR="006A0A10" w:rsidRPr="001005B7" w:rsidRDefault="00151FCB" w:rsidP="006F5BB0">
      <w:pPr>
        <w:pStyle w:val="ListParagraph"/>
        <w:rPr>
          <w:color w:val="auto"/>
          <w:lang w:val="en-US"/>
        </w:rPr>
      </w:pPr>
      <w:r w:rsidRPr="001005B7">
        <w:rPr>
          <w:color w:val="auto"/>
          <w:lang w:val="en-US"/>
        </w:rPr>
        <w:t>Keister, Lane. “The Man in Linen: A New and Old Interpretation of Ezekiel 9</w:t>
      </w:r>
      <w:r w:rsidR="00F46900" w:rsidRPr="001005B7">
        <w:rPr>
          <w:color w:val="auto"/>
          <w:lang w:val="en-US"/>
        </w:rPr>
        <w:t>–</w:t>
      </w:r>
      <w:r w:rsidRPr="001005B7">
        <w:rPr>
          <w:color w:val="auto"/>
          <w:lang w:val="en-US"/>
        </w:rPr>
        <w:t xml:space="preserve">10.” </w:t>
      </w:r>
      <w:r w:rsidRPr="001005B7">
        <w:rPr>
          <w:i/>
          <w:color w:val="auto"/>
          <w:lang w:val="en-US"/>
        </w:rPr>
        <w:t>The Confessional Presbyteri</w:t>
      </w:r>
      <w:r w:rsidR="00F84531" w:rsidRPr="001005B7">
        <w:rPr>
          <w:i/>
          <w:color w:val="auto"/>
          <w:lang w:val="en-US"/>
        </w:rPr>
        <w:t>a</w:t>
      </w:r>
      <w:r w:rsidRPr="001005B7">
        <w:rPr>
          <w:i/>
          <w:color w:val="auto"/>
          <w:lang w:val="en-US"/>
        </w:rPr>
        <w:t xml:space="preserve">n </w:t>
      </w:r>
      <w:r w:rsidRPr="001005B7">
        <w:rPr>
          <w:color w:val="auto"/>
          <w:lang w:val="en-US"/>
        </w:rPr>
        <w:t>14 (2018): 29</w:t>
      </w:r>
      <w:r w:rsidR="00F46900" w:rsidRPr="001005B7">
        <w:rPr>
          <w:color w:val="auto"/>
          <w:lang w:val="en-US"/>
        </w:rPr>
        <w:t>–</w:t>
      </w:r>
      <w:r w:rsidRPr="001005B7">
        <w:rPr>
          <w:color w:val="auto"/>
          <w:lang w:val="en-US"/>
        </w:rPr>
        <w:t xml:space="preserve">36, 277. </w:t>
      </w:r>
    </w:p>
    <w:p w14:paraId="59C71EA2" w14:textId="60554554" w:rsidR="000274C7" w:rsidRPr="001005B7" w:rsidRDefault="000274C7" w:rsidP="006F5BB0">
      <w:pPr>
        <w:pStyle w:val="ListParagraph"/>
        <w:rPr>
          <w:color w:val="auto"/>
          <w:lang w:val="en-US"/>
        </w:rPr>
      </w:pPr>
      <w:r w:rsidRPr="001005B7">
        <w:rPr>
          <w:color w:val="auto"/>
          <w:lang w:val="en-US"/>
        </w:rPr>
        <w:t xml:space="preserve">Olley, John W. “Ezekiel LXX and Exodus Comparisons.” </w:t>
      </w:r>
      <w:r w:rsidRPr="001005B7">
        <w:rPr>
          <w:i/>
          <w:color w:val="auto"/>
          <w:lang w:val="en-US"/>
        </w:rPr>
        <w:t>VT</w:t>
      </w:r>
      <w:r w:rsidRPr="001005B7">
        <w:rPr>
          <w:color w:val="auto"/>
          <w:lang w:val="en-US"/>
        </w:rPr>
        <w:t xml:space="preserve"> 59 (2009): 116</w:t>
      </w:r>
      <w:r w:rsidR="00F46900" w:rsidRPr="001005B7">
        <w:rPr>
          <w:color w:val="auto"/>
          <w:lang w:val="en-US"/>
        </w:rPr>
        <w:t>–</w:t>
      </w:r>
      <w:r w:rsidRPr="001005B7">
        <w:rPr>
          <w:color w:val="auto"/>
          <w:lang w:val="en-US"/>
        </w:rPr>
        <w:t>22.</w:t>
      </w:r>
    </w:p>
    <w:p w14:paraId="127DBC07" w14:textId="4FB6455F" w:rsidR="007A721D" w:rsidRPr="001005B7" w:rsidRDefault="00722EFE" w:rsidP="006F5BB0">
      <w:pPr>
        <w:pStyle w:val="ListParagraph"/>
        <w:rPr>
          <w:color w:val="auto"/>
          <w:lang w:val="en-US"/>
        </w:rPr>
      </w:pPr>
      <w:r w:rsidRPr="001005B7">
        <w:rPr>
          <w:color w:val="auto"/>
          <w:lang w:val="en-US"/>
        </w:rPr>
        <w:t>Rued</w:t>
      </w:r>
      <w:r w:rsidR="00787EDC" w:rsidRPr="001005B7">
        <w:rPr>
          <w:color w:val="auto"/>
          <w:lang w:val="en-US"/>
        </w:rPr>
        <w:t>a Neto, Eduardo. “</w:t>
      </w:r>
      <w:r w:rsidR="0052691C" w:rsidRPr="001005B7">
        <w:rPr>
          <w:color w:val="auto"/>
          <w:lang w:val="en-US"/>
        </w:rPr>
        <w:t xml:space="preserve">Uma breve </w:t>
      </w:r>
      <w:proofErr w:type="spellStart"/>
      <w:r w:rsidR="0052691C" w:rsidRPr="001005B7">
        <w:rPr>
          <w:color w:val="auto"/>
          <w:lang w:val="en-US"/>
        </w:rPr>
        <w:t>análise</w:t>
      </w:r>
      <w:proofErr w:type="spellEnd"/>
      <w:r w:rsidR="0052691C" w:rsidRPr="001005B7">
        <w:rPr>
          <w:color w:val="auto"/>
          <w:lang w:val="en-US"/>
        </w:rPr>
        <w:t xml:space="preserve"> do </w:t>
      </w:r>
      <w:proofErr w:type="spellStart"/>
      <w:r w:rsidR="0052691C" w:rsidRPr="001005B7">
        <w:rPr>
          <w:color w:val="auto"/>
          <w:lang w:val="en-US"/>
        </w:rPr>
        <w:t>diálogo</w:t>
      </w:r>
      <w:proofErr w:type="spellEnd"/>
      <w:r w:rsidR="0052691C" w:rsidRPr="001005B7">
        <w:rPr>
          <w:color w:val="auto"/>
          <w:lang w:val="en-US"/>
        </w:rPr>
        <w:t xml:space="preserve"> intertextual entre Ezequiel 9:6, </w:t>
      </w:r>
      <w:proofErr w:type="spellStart"/>
      <w:r w:rsidR="0052691C" w:rsidRPr="001005B7">
        <w:rPr>
          <w:color w:val="auto"/>
          <w:lang w:val="en-US"/>
        </w:rPr>
        <w:t>Malaquias</w:t>
      </w:r>
      <w:proofErr w:type="spellEnd"/>
      <w:r w:rsidR="0052691C" w:rsidRPr="001005B7">
        <w:rPr>
          <w:color w:val="auto"/>
          <w:lang w:val="en-US"/>
        </w:rPr>
        <w:t xml:space="preserve"> 2:17–3:5 e 1Pedro 4:17.”</w:t>
      </w:r>
      <w:r w:rsidR="00976729" w:rsidRPr="001005B7">
        <w:rPr>
          <w:color w:val="auto"/>
          <w:lang w:val="en-US"/>
        </w:rPr>
        <w:t xml:space="preserve"> </w:t>
      </w:r>
      <w:proofErr w:type="spellStart"/>
      <w:r w:rsidR="00976729" w:rsidRPr="001005B7">
        <w:rPr>
          <w:i/>
          <w:iCs/>
          <w:color w:val="auto"/>
          <w:lang w:val="en-US"/>
        </w:rPr>
        <w:t>Revista</w:t>
      </w:r>
      <w:proofErr w:type="spellEnd"/>
      <w:r w:rsidR="00976729" w:rsidRPr="001005B7">
        <w:rPr>
          <w:color w:val="auto"/>
          <w:lang w:val="en-US"/>
        </w:rPr>
        <w:t xml:space="preserve"> </w:t>
      </w:r>
      <w:proofErr w:type="spellStart"/>
      <w:r w:rsidR="00976729" w:rsidRPr="001005B7">
        <w:rPr>
          <w:i/>
          <w:iCs/>
          <w:color w:val="auto"/>
          <w:lang w:val="en-US"/>
        </w:rPr>
        <w:t>Caminhando</w:t>
      </w:r>
      <w:proofErr w:type="spellEnd"/>
      <w:r w:rsidR="00976729" w:rsidRPr="001005B7">
        <w:rPr>
          <w:color w:val="auto"/>
          <w:lang w:val="en-US"/>
        </w:rPr>
        <w:t xml:space="preserve"> 27 (2022): 1</w:t>
      </w:r>
      <w:r w:rsidR="00F46900" w:rsidRPr="001005B7">
        <w:rPr>
          <w:color w:val="auto"/>
          <w:lang w:val="en-US"/>
        </w:rPr>
        <w:t>–</w:t>
      </w:r>
      <w:r w:rsidR="00976729" w:rsidRPr="001005B7">
        <w:rPr>
          <w:color w:val="auto"/>
          <w:lang w:val="en-US"/>
        </w:rPr>
        <w:t>14.</w:t>
      </w:r>
    </w:p>
    <w:p w14:paraId="35AAC5FD" w14:textId="4A77A520" w:rsidR="00787EDC" w:rsidRPr="001005B7" w:rsidRDefault="00F62282" w:rsidP="006F5BB0">
      <w:pPr>
        <w:pStyle w:val="ListParagraph"/>
        <w:rPr>
          <w:color w:val="auto"/>
          <w:lang w:val="en-US"/>
        </w:rPr>
      </w:pPr>
      <w:proofErr w:type="spellStart"/>
      <w:r w:rsidRPr="001005B7">
        <w:rPr>
          <w:color w:val="auto"/>
          <w:lang w:val="en-US"/>
        </w:rPr>
        <w:t>Sch</w:t>
      </w:r>
      <w:r w:rsidR="00CF0AF8" w:rsidRPr="001005B7">
        <w:rPr>
          <w:color w:val="auto"/>
          <w:lang w:val="en-US"/>
        </w:rPr>
        <w:t>öpflin</w:t>
      </w:r>
      <w:proofErr w:type="spellEnd"/>
      <w:r w:rsidR="00CF0AF8" w:rsidRPr="001005B7">
        <w:rPr>
          <w:color w:val="auto"/>
          <w:lang w:val="en-US"/>
        </w:rPr>
        <w:t xml:space="preserve">, Karin. </w:t>
      </w:r>
      <w:r w:rsidR="007A721D" w:rsidRPr="001005B7">
        <w:rPr>
          <w:color w:val="auto"/>
          <w:lang w:val="en-US"/>
        </w:rPr>
        <w:t>“</w:t>
      </w:r>
      <w:r w:rsidR="005D12F0" w:rsidRPr="001005B7">
        <w:rPr>
          <w:color w:val="auto"/>
          <w:lang w:val="en-US"/>
        </w:rPr>
        <w:t>YHWH’s Agents of Doom</w:t>
      </w:r>
      <w:r w:rsidR="007A721D" w:rsidRPr="001005B7">
        <w:rPr>
          <w:color w:val="auto"/>
          <w:lang w:val="en-US"/>
        </w:rPr>
        <w:t>:</w:t>
      </w:r>
      <w:r w:rsidR="005D12F0" w:rsidRPr="001005B7">
        <w:rPr>
          <w:color w:val="auto"/>
          <w:lang w:val="en-US"/>
        </w:rPr>
        <w:t xml:space="preserve"> The Punishing Function of Angels in </w:t>
      </w:r>
      <w:r w:rsidR="007A721D" w:rsidRPr="001005B7">
        <w:rPr>
          <w:color w:val="auto"/>
          <w:lang w:val="en-US"/>
        </w:rPr>
        <w:t>Post-Exilic</w:t>
      </w:r>
      <w:r w:rsidR="005D12F0" w:rsidRPr="001005B7">
        <w:rPr>
          <w:color w:val="auto"/>
          <w:lang w:val="en-US"/>
        </w:rPr>
        <w:t xml:space="preserve"> Writings of the Old Testamen</w:t>
      </w:r>
      <w:r w:rsidR="007A721D" w:rsidRPr="001005B7">
        <w:rPr>
          <w:color w:val="auto"/>
          <w:lang w:val="en-US"/>
        </w:rPr>
        <w:t xml:space="preserve">t.” In </w:t>
      </w:r>
      <w:r w:rsidR="001533AB" w:rsidRPr="001005B7">
        <w:rPr>
          <w:color w:val="auto"/>
          <w:lang w:val="en-US"/>
        </w:rPr>
        <w:t xml:space="preserve">Friedrich V. </w:t>
      </w:r>
      <w:proofErr w:type="spellStart"/>
      <w:r w:rsidR="00366C06" w:rsidRPr="001005B7">
        <w:rPr>
          <w:color w:val="auto"/>
          <w:lang w:val="en-US"/>
        </w:rPr>
        <w:t>Reiterer</w:t>
      </w:r>
      <w:proofErr w:type="spellEnd"/>
      <w:r w:rsidR="003C2105" w:rsidRPr="001005B7">
        <w:rPr>
          <w:color w:val="auto"/>
          <w:lang w:val="en-US"/>
        </w:rPr>
        <w:t xml:space="preserve">, </w:t>
      </w:r>
      <w:proofErr w:type="spellStart"/>
      <w:r w:rsidR="003C2105" w:rsidRPr="001005B7">
        <w:rPr>
          <w:color w:val="auto"/>
          <w:lang w:val="en-US"/>
        </w:rPr>
        <w:t>Tobis</w:t>
      </w:r>
      <w:proofErr w:type="spellEnd"/>
      <w:r w:rsidR="003C2105" w:rsidRPr="001005B7">
        <w:rPr>
          <w:color w:val="auto"/>
          <w:lang w:val="en-US"/>
        </w:rPr>
        <w:t xml:space="preserve"> Niklaus, and Kar</w:t>
      </w:r>
      <w:r w:rsidR="005F6674" w:rsidRPr="001005B7">
        <w:rPr>
          <w:color w:val="auto"/>
          <w:lang w:val="en-US"/>
        </w:rPr>
        <w:t>in</w:t>
      </w:r>
      <w:r w:rsidR="001533AB" w:rsidRPr="001005B7">
        <w:rPr>
          <w:color w:val="auto"/>
          <w:lang w:val="en-US"/>
        </w:rPr>
        <w:t xml:space="preserve"> </w:t>
      </w:r>
      <w:proofErr w:type="spellStart"/>
      <w:r w:rsidR="005F6674" w:rsidRPr="001005B7">
        <w:rPr>
          <w:color w:val="auto"/>
          <w:lang w:val="en-US"/>
        </w:rPr>
        <w:t>Schöpflin</w:t>
      </w:r>
      <w:proofErr w:type="spellEnd"/>
      <w:r w:rsidR="005F6674" w:rsidRPr="001005B7">
        <w:rPr>
          <w:color w:val="auto"/>
          <w:lang w:val="en-US"/>
        </w:rPr>
        <w:t xml:space="preserve">, </w:t>
      </w:r>
      <w:r w:rsidR="001533AB" w:rsidRPr="001005B7">
        <w:rPr>
          <w:color w:val="auto"/>
          <w:lang w:val="en-US"/>
        </w:rPr>
        <w:t>ed</w:t>
      </w:r>
      <w:r w:rsidR="001533AB" w:rsidRPr="001005B7">
        <w:rPr>
          <w:i/>
          <w:iCs/>
          <w:color w:val="auto"/>
          <w:lang w:val="en-US"/>
        </w:rPr>
        <w:t>.</w:t>
      </w:r>
      <w:r w:rsidR="005F6674" w:rsidRPr="001005B7">
        <w:rPr>
          <w:color w:val="auto"/>
          <w:lang w:val="en-US"/>
        </w:rPr>
        <w:t xml:space="preserve">, </w:t>
      </w:r>
      <w:r w:rsidR="00366C06" w:rsidRPr="001005B7">
        <w:rPr>
          <w:i/>
          <w:iCs/>
          <w:color w:val="auto"/>
          <w:lang w:val="en-US"/>
        </w:rPr>
        <w:t>Angels: The Concept of Celestial Beings</w:t>
      </w:r>
      <w:r w:rsidR="00613001" w:rsidRPr="001005B7">
        <w:rPr>
          <w:i/>
          <w:iCs/>
          <w:color w:val="auto"/>
          <w:lang w:val="en-US"/>
        </w:rPr>
        <w:t xml:space="preserve">. </w:t>
      </w:r>
      <w:r w:rsidR="00366C06" w:rsidRPr="001005B7">
        <w:rPr>
          <w:i/>
          <w:iCs/>
          <w:color w:val="auto"/>
          <w:lang w:val="en-US"/>
        </w:rPr>
        <w:t>Origins, Development and Reception</w:t>
      </w:r>
      <w:r w:rsidR="00E74B9D" w:rsidRPr="001005B7">
        <w:rPr>
          <w:color w:val="auto"/>
          <w:lang w:val="en-US"/>
        </w:rPr>
        <w:t>, 125</w:t>
      </w:r>
      <w:r w:rsidR="00F46900" w:rsidRPr="001005B7">
        <w:rPr>
          <w:color w:val="auto"/>
          <w:lang w:val="en-US"/>
        </w:rPr>
        <w:t>–</w:t>
      </w:r>
      <w:r w:rsidR="00E74B9D" w:rsidRPr="001005B7">
        <w:rPr>
          <w:color w:val="auto"/>
          <w:lang w:val="en-US"/>
        </w:rPr>
        <w:t>37</w:t>
      </w:r>
      <w:r w:rsidR="00211C02" w:rsidRPr="001005B7">
        <w:rPr>
          <w:color w:val="auto"/>
          <w:lang w:val="en-US"/>
        </w:rPr>
        <w:t>.</w:t>
      </w:r>
      <w:r w:rsidR="00366C06" w:rsidRPr="001005B7">
        <w:rPr>
          <w:color w:val="auto"/>
          <w:lang w:val="en-US"/>
        </w:rPr>
        <w:t xml:space="preserve"> </w:t>
      </w:r>
      <w:r w:rsidR="00F65EC5" w:rsidRPr="001005B7">
        <w:rPr>
          <w:color w:val="auto"/>
          <w:lang w:val="en-US"/>
        </w:rPr>
        <w:t>Deutero</w:t>
      </w:r>
      <w:r w:rsidR="00124089" w:rsidRPr="001005B7">
        <w:rPr>
          <w:color w:val="auto"/>
          <w:lang w:val="en-US"/>
        </w:rPr>
        <w:t xml:space="preserve">canonical and Cognate Literature Yearbook 2007. </w:t>
      </w:r>
      <w:r w:rsidR="00613001" w:rsidRPr="001005B7">
        <w:rPr>
          <w:color w:val="auto"/>
          <w:lang w:val="en-US"/>
        </w:rPr>
        <w:t>Berlin: de</w:t>
      </w:r>
      <w:r w:rsidR="00366C06" w:rsidRPr="001005B7">
        <w:rPr>
          <w:color w:val="auto"/>
          <w:lang w:val="en-US"/>
        </w:rPr>
        <w:t xml:space="preserve"> Gruyter, 200</w:t>
      </w:r>
      <w:r w:rsidR="001F101C" w:rsidRPr="001005B7">
        <w:rPr>
          <w:color w:val="auto"/>
          <w:lang w:val="en-US"/>
        </w:rPr>
        <w:t>7</w:t>
      </w:r>
      <w:r w:rsidR="00613001" w:rsidRPr="001005B7">
        <w:rPr>
          <w:color w:val="auto"/>
          <w:lang w:val="en-US"/>
        </w:rPr>
        <w:t>.</w:t>
      </w:r>
    </w:p>
    <w:p w14:paraId="5CA80861" w14:textId="25AD2F29" w:rsidR="00AC5C1F" w:rsidRPr="001005B7" w:rsidRDefault="00AC5C1F" w:rsidP="003062B5">
      <w:pPr>
        <w:pStyle w:val="Heading2"/>
        <w:rPr>
          <w:color w:val="auto"/>
        </w:rPr>
      </w:pPr>
      <w:r w:rsidRPr="001005B7">
        <w:rPr>
          <w:color w:val="auto"/>
        </w:rPr>
        <w:t xml:space="preserve">The </w:t>
      </w:r>
      <w:r w:rsidR="00180CEB" w:rsidRPr="001005B7">
        <w:rPr>
          <w:color w:val="auto"/>
        </w:rPr>
        <w:t xml:space="preserve">Magnificence of Yahweh </w:t>
      </w:r>
      <w:r w:rsidRPr="001005B7">
        <w:rPr>
          <w:color w:val="auto"/>
        </w:rPr>
        <w:t>Lifts (10:1</w:t>
      </w:r>
      <w:r w:rsidR="00F46900" w:rsidRPr="001005B7">
        <w:rPr>
          <w:color w:val="auto"/>
        </w:rPr>
        <w:t>–</w:t>
      </w:r>
      <w:r w:rsidRPr="001005B7">
        <w:rPr>
          <w:color w:val="auto"/>
        </w:rPr>
        <w:t>22)</w:t>
      </w:r>
    </w:p>
    <w:p w14:paraId="35565964" w14:textId="77777777" w:rsidR="00AC5C1F" w:rsidRPr="001005B7" w:rsidRDefault="00AC5C1F" w:rsidP="00493833">
      <w:pPr>
        <w:pStyle w:val="Heading3"/>
      </w:pPr>
      <w:r w:rsidRPr="001005B7">
        <w:t>Outline</w:t>
      </w:r>
    </w:p>
    <w:p w14:paraId="46BA2AD1" w14:textId="77777777" w:rsidR="00297A0A" w:rsidRPr="001005B7" w:rsidRDefault="00050DF8" w:rsidP="00297A0A">
      <w:r w:rsidRPr="001005B7">
        <w:t>T</w:t>
      </w:r>
      <w:r w:rsidR="00AC5C1F" w:rsidRPr="001005B7">
        <w:t xml:space="preserve">he vision </w:t>
      </w:r>
      <w:r w:rsidR="008E055E" w:rsidRPr="001005B7">
        <w:t xml:space="preserve">again </w:t>
      </w:r>
      <w:r w:rsidR="00AC5C1F" w:rsidRPr="001005B7">
        <w:t xml:space="preserve">continues, </w:t>
      </w:r>
      <w:r w:rsidRPr="001005B7">
        <w:t xml:space="preserve">but </w:t>
      </w:r>
      <w:r w:rsidR="00B43A90" w:rsidRPr="001005B7">
        <w:t>jump</w:t>
      </w:r>
      <w:r w:rsidR="00AC6062" w:rsidRPr="001005B7">
        <w:t>s</w:t>
      </w:r>
      <w:r w:rsidR="00B43A90" w:rsidRPr="001005B7">
        <w:t xml:space="preserve"> </w:t>
      </w:r>
      <w:r w:rsidR="00836315" w:rsidRPr="001005B7">
        <w:t>in a</w:t>
      </w:r>
      <w:r w:rsidR="00733821" w:rsidRPr="001005B7">
        <w:t>nother</w:t>
      </w:r>
      <w:r w:rsidR="00836315" w:rsidRPr="001005B7">
        <w:t xml:space="preserve"> different direction </w:t>
      </w:r>
      <w:r w:rsidR="0054411E" w:rsidRPr="001005B7">
        <w:t xml:space="preserve">for </w:t>
      </w:r>
      <w:r w:rsidR="00C656EA" w:rsidRPr="001005B7">
        <w:t>A</w:t>
      </w:r>
      <w:r w:rsidR="00B832B1" w:rsidRPr="001005B7">
        <w:t>ct</w:t>
      </w:r>
      <w:r w:rsidR="0054411E" w:rsidRPr="001005B7">
        <w:t xml:space="preserve"> 3 </w:t>
      </w:r>
      <w:r w:rsidR="00AC5C1F" w:rsidRPr="001005B7">
        <w:t xml:space="preserve">after </w:t>
      </w:r>
      <w:r w:rsidR="00836315" w:rsidRPr="001005B7">
        <w:t>the</w:t>
      </w:r>
      <w:r w:rsidR="00C32764" w:rsidRPr="001005B7">
        <w:t xml:space="preserve"> incomplete</w:t>
      </w:r>
      <w:r w:rsidR="00AC5C1F" w:rsidRPr="001005B7">
        <w:t xml:space="preserve"> ending to </w:t>
      </w:r>
      <w:r w:rsidR="00C656EA" w:rsidRPr="001005B7">
        <w:t>A</w:t>
      </w:r>
      <w:r w:rsidR="00B832B1" w:rsidRPr="001005B7">
        <w:t>ct</w:t>
      </w:r>
      <w:r w:rsidR="00AC5C1F" w:rsidRPr="001005B7">
        <w:t xml:space="preserve"> 2</w:t>
      </w:r>
      <w:r w:rsidR="00EB709E" w:rsidRPr="001005B7">
        <w:t xml:space="preserve"> </w:t>
      </w:r>
      <w:r w:rsidR="003C02FA" w:rsidRPr="001005B7">
        <w:t>and</w:t>
      </w:r>
      <w:r w:rsidR="00EB709E" w:rsidRPr="001005B7">
        <w:t xml:space="preserve"> its unanswered questions</w:t>
      </w:r>
      <w:r w:rsidR="00AC5C1F" w:rsidRPr="001005B7">
        <w:t>.</w:t>
      </w:r>
      <w:r w:rsidR="00D02C05">
        <w:t xml:space="preserve"> </w:t>
      </w:r>
      <w:r w:rsidR="00297A0A" w:rsidRPr="001005B7">
        <w:t xml:space="preserve">The chapter unfolds: </w:t>
      </w:r>
    </w:p>
    <w:p w14:paraId="6F0960E0" w14:textId="77777777" w:rsidR="00297A0A" w:rsidRPr="001005B7" w:rsidRDefault="00297A0A" w:rsidP="00297A0A"/>
    <w:p w14:paraId="55D6601E" w14:textId="77777777" w:rsidR="00297A0A" w:rsidRPr="001005B7" w:rsidRDefault="00297A0A" w:rsidP="00297A0A">
      <w:r w:rsidRPr="001005B7">
        <w:t>Ezekiel sees the throne above the heads of the griffins (10:1)</w:t>
      </w:r>
    </w:p>
    <w:p w14:paraId="1C324AB9" w14:textId="77777777" w:rsidR="00297A0A" w:rsidRPr="001005B7" w:rsidRDefault="00297A0A" w:rsidP="00297A0A">
      <w:r w:rsidRPr="001005B7">
        <w:t>Yahweh commissions the individual clothed in linen to get some fire (10:2)</w:t>
      </w:r>
    </w:p>
    <w:p w14:paraId="50695D4B" w14:textId="77777777" w:rsidR="00297A0A" w:rsidRPr="001005B7" w:rsidRDefault="00297A0A" w:rsidP="00297A0A">
      <w:r w:rsidRPr="001005B7">
        <w:t>A summary of the background situation (10:3–5)</w:t>
      </w:r>
    </w:p>
    <w:p w14:paraId="752CE806" w14:textId="77777777" w:rsidR="00297A0A" w:rsidRPr="001005B7" w:rsidRDefault="00297A0A" w:rsidP="00297A0A">
      <w:r w:rsidRPr="001005B7">
        <w:t>The individual clothed in linen gets the fire from the griffin (10:6–8)</w:t>
      </w:r>
    </w:p>
    <w:p w14:paraId="56CE2FF4" w14:textId="77777777" w:rsidR="00297A0A" w:rsidRPr="001005B7" w:rsidRDefault="00297A0A" w:rsidP="00297A0A">
      <w:r w:rsidRPr="001005B7">
        <w:t xml:space="preserve">Ezekiel notes further the nature of griffins, as already described in chapter 1 (10:9–17) </w:t>
      </w:r>
    </w:p>
    <w:p w14:paraId="3F12948F" w14:textId="77777777" w:rsidR="00297A0A" w:rsidRPr="001005B7" w:rsidRDefault="00297A0A" w:rsidP="00297A0A">
      <w:r w:rsidRPr="001005B7">
        <w:t>Yahweh’s magnificence rises from the temple threshold (10:18–19)</w:t>
      </w:r>
    </w:p>
    <w:p w14:paraId="46DA0186" w14:textId="77777777" w:rsidR="00297A0A" w:rsidRPr="001005B7" w:rsidRDefault="00297A0A" w:rsidP="00297A0A">
      <w:r w:rsidRPr="001005B7">
        <w:t>Ezekiel notes further some features of the griffins described in chapter 1 (10:20–22)</w:t>
      </w:r>
    </w:p>
    <w:p w14:paraId="21D08C4A" w14:textId="347947C6" w:rsidR="00ED268E" w:rsidRDefault="00ED268E" w:rsidP="00013BC9"/>
    <w:p w14:paraId="2AE31233" w14:textId="77777777" w:rsidR="002E3D96" w:rsidRDefault="005117F3" w:rsidP="00013BC9">
      <w:r w:rsidRPr="001005B7">
        <w:t xml:space="preserve">Without announcement, </w:t>
      </w:r>
      <w:r w:rsidR="00D707B0" w:rsidRPr="001005B7">
        <w:t xml:space="preserve">Ezekiel </w:t>
      </w:r>
      <w:r w:rsidR="00BD5FDB" w:rsidRPr="001005B7">
        <w:t xml:space="preserve">tells us that he </w:t>
      </w:r>
      <w:r w:rsidR="00D707B0" w:rsidRPr="001005B7">
        <w:t xml:space="preserve">now sees </w:t>
      </w:r>
      <w:r w:rsidR="006011BC" w:rsidRPr="001005B7">
        <w:t xml:space="preserve">something that </w:t>
      </w:r>
      <w:r w:rsidR="00815C13" w:rsidRPr="001005B7">
        <w:t>repeat</w:t>
      </w:r>
      <w:r w:rsidR="00307E40" w:rsidRPr="001005B7">
        <w:t>s</w:t>
      </w:r>
      <w:r w:rsidR="00815C13" w:rsidRPr="001005B7">
        <w:t xml:space="preserve"> the </w:t>
      </w:r>
      <w:r w:rsidR="004D3C0F" w:rsidRPr="001005B7">
        <w:t xml:space="preserve">sight </w:t>
      </w:r>
      <w:r w:rsidR="00815C13" w:rsidRPr="001005B7">
        <w:t>he described in chapter 1</w:t>
      </w:r>
      <w:r w:rsidR="00CB6E5A" w:rsidRPr="001005B7">
        <w:t>. A</w:t>
      </w:r>
      <w:r w:rsidR="00BD288E" w:rsidRPr="001005B7">
        <w:t>t point after point t</w:t>
      </w:r>
      <w:r w:rsidR="00B80CDF" w:rsidRPr="001005B7">
        <w:t>he wording is the same</w:t>
      </w:r>
      <w:r w:rsidR="001445D9" w:rsidRPr="001005B7">
        <w:t>. T</w:t>
      </w:r>
      <w:r w:rsidR="00B80CDF" w:rsidRPr="001005B7">
        <w:t xml:space="preserve">he extensive repetition </w:t>
      </w:r>
      <w:r w:rsidR="00D279B4" w:rsidRPr="001005B7">
        <w:t>slows the narrative down</w:t>
      </w:r>
      <w:r w:rsidR="001924FA" w:rsidRPr="001005B7">
        <w:t xml:space="preserve"> and might heighten its </w:t>
      </w:r>
      <w:r w:rsidR="00B07E42" w:rsidRPr="001005B7">
        <w:t>suspense</w:t>
      </w:r>
      <w:r w:rsidR="001924FA" w:rsidRPr="001005B7">
        <w:t xml:space="preserve">, </w:t>
      </w:r>
      <w:r w:rsidR="007B22BB" w:rsidRPr="001005B7">
        <w:t>enable the penny to drop for his readers</w:t>
      </w:r>
      <w:r w:rsidR="005058E9" w:rsidRPr="001005B7">
        <w:t>,</w:t>
      </w:r>
      <w:r w:rsidR="00904682" w:rsidRPr="001005B7">
        <w:t xml:space="preserve"> </w:t>
      </w:r>
      <w:r w:rsidR="007B22BB" w:rsidRPr="001005B7">
        <w:t>underscore</w:t>
      </w:r>
      <w:r w:rsidR="00904682" w:rsidRPr="001005B7">
        <w:t xml:space="preserve"> the link for them</w:t>
      </w:r>
      <w:r w:rsidR="005058E9" w:rsidRPr="001005B7">
        <w:t>,</w:t>
      </w:r>
      <w:r w:rsidR="00904682" w:rsidRPr="001005B7">
        <w:t xml:space="preserve"> </w:t>
      </w:r>
      <w:r w:rsidR="00B07E42" w:rsidRPr="001005B7">
        <w:t xml:space="preserve">and </w:t>
      </w:r>
      <w:r w:rsidR="005E181C" w:rsidRPr="001005B7">
        <w:t>indicate how the penny was dropping for him</w:t>
      </w:r>
      <w:r w:rsidR="00B80CDF" w:rsidRPr="001005B7">
        <w:t>.</w:t>
      </w:r>
      <w:r w:rsidR="00534B75" w:rsidRPr="001005B7">
        <w:rPr>
          <w:rStyle w:val="FootnoteReference"/>
        </w:rPr>
        <w:footnoteReference w:id="257"/>
      </w:r>
      <w:r w:rsidR="00B80CDF" w:rsidRPr="001005B7">
        <w:t xml:space="preserve"> </w:t>
      </w:r>
      <w:r w:rsidR="00B07E42" w:rsidRPr="001005B7">
        <w:t>Ezekiel</w:t>
      </w:r>
      <w:r w:rsidR="001A7F0E" w:rsidRPr="001005B7">
        <w:t xml:space="preserve"> will eventually note th</w:t>
      </w:r>
      <w:r w:rsidR="00B07E42" w:rsidRPr="001005B7">
        <w:t>e</w:t>
      </w:r>
      <w:r w:rsidR="001A7F0E" w:rsidRPr="001005B7">
        <w:t xml:space="preserve"> link</w:t>
      </w:r>
      <w:r w:rsidR="00B07E42" w:rsidRPr="001005B7">
        <w:t xml:space="preserve"> with chapter 1</w:t>
      </w:r>
      <w:r w:rsidR="001A7F0E" w:rsidRPr="001005B7">
        <w:t xml:space="preserve">, though </w:t>
      </w:r>
      <w:r w:rsidR="00D572A2">
        <w:t>he</w:t>
      </w:r>
      <w:r w:rsidR="001A7F0E" w:rsidRPr="001005B7">
        <w:t xml:space="preserve"> hint</w:t>
      </w:r>
      <w:r w:rsidR="00D572A2">
        <w:t>s</w:t>
      </w:r>
      <w:r w:rsidR="001A7F0E" w:rsidRPr="001005B7">
        <w:t xml:space="preserve"> </w:t>
      </w:r>
      <w:r w:rsidR="000122BC" w:rsidRPr="001005B7">
        <w:t>that he does not immediately make the connection. He now describes the creatures as “griffins” and they have a different role from before</w:t>
      </w:r>
      <w:r w:rsidR="00964748">
        <w:t>,</w:t>
      </w:r>
      <w:r w:rsidR="00263311" w:rsidRPr="001005B7">
        <w:t xml:space="preserve"> as the repository of fire</w:t>
      </w:r>
      <w:r w:rsidR="00CB6E5A" w:rsidRPr="001005B7">
        <w:t xml:space="preserve">. </w:t>
      </w:r>
      <w:r w:rsidR="00EF6F6F" w:rsidRPr="001005B7">
        <w:t xml:space="preserve">The </w:t>
      </w:r>
      <w:r w:rsidR="00BC1A3B" w:rsidRPr="001005B7">
        <w:t>introduction of the word “roller”</w:t>
      </w:r>
      <w:r w:rsidR="00525962" w:rsidRPr="001005B7">
        <w:rPr>
          <w:i/>
          <w:iCs/>
        </w:rPr>
        <w:t xml:space="preserve"> </w:t>
      </w:r>
      <w:r w:rsidR="00525962" w:rsidRPr="001005B7">
        <w:t>(</w:t>
      </w:r>
      <w:r w:rsidR="00525962" w:rsidRPr="001005B7">
        <w:rPr>
          <w:rFonts w:cstheme="minorHAnsi"/>
          <w:rtl/>
          <w:lang w:bidi="he-IL"/>
        </w:rPr>
        <w:t>גַּלְגַל</w:t>
      </w:r>
      <w:r w:rsidR="00525962" w:rsidRPr="001005B7">
        <w:t xml:space="preserve">) </w:t>
      </w:r>
      <w:r w:rsidR="00BC1A3B" w:rsidRPr="001005B7">
        <w:t xml:space="preserve">alongside the word for </w:t>
      </w:r>
      <w:r w:rsidR="008D6F31" w:rsidRPr="001005B7">
        <w:t xml:space="preserve">“wheels” </w:t>
      </w:r>
      <w:r w:rsidR="00D04A10" w:rsidRPr="001005B7">
        <w:t>is a parallel</w:t>
      </w:r>
      <w:r w:rsidR="009C6474" w:rsidRPr="001005B7">
        <w:t xml:space="preserve"> development</w:t>
      </w:r>
      <w:r w:rsidR="00D05546">
        <w:t>,</w:t>
      </w:r>
      <w:r w:rsidR="009C6474" w:rsidRPr="001005B7">
        <w:rPr>
          <w:rStyle w:val="FootnoteReference"/>
        </w:rPr>
        <w:footnoteReference w:id="258"/>
      </w:r>
      <w:r w:rsidR="009C6474" w:rsidRPr="001005B7">
        <w:t xml:space="preserve"> </w:t>
      </w:r>
      <w:r w:rsidR="00D05546">
        <w:t>and</w:t>
      </w:r>
      <w:r w:rsidR="007D41D7" w:rsidRPr="001005B7">
        <w:t xml:space="preserve"> the object of the vision now appears in the temple area.</w:t>
      </w:r>
      <w:r w:rsidR="006E3FA5" w:rsidRPr="001005B7">
        <w:t xml:space="preserve"> Further, t</w:t>
      </w:r>
      <w:r w:rsidR="00090859" w:rsidRPr="001005B7">
        <w:t xml:space="preserve">he </w:t>
      </w:r>
      <w:r w:rsidR="00013BC9" w:rsidRPr="001005B7">
        <w:t xml:space="preserve">new </w:t>
      </w:r>
      <w:r w:rsidR="00090859" w:rsidRPr="001005B7">
        <w:t xml:space="preserve">vision incorporates the </w:t>
      </w:r>
      <w:r w:rsidR="00E065E1" w:rsidRPr="001005B7">
        <w:t>individual</w:t>
      </w:r>
      <w:r w:rsidR="00090859" w:rsidRPr="001005B7">
        <w:t xml:space="preserve"> </w:t>
      </w:r>
      <w:r w:rsidR="00341712" w:rsidRPr="001005B7">
        <w:t>clothed</w:t>
      </w:r>
      <w:r w:rsidR="00090859" w:rsidRPr="001005B7">
        <w:t xml:space="preserve"> in linen from </w:t>
      </w:r>
      <w:r w:rsidR="007B0D4E" w:rsidRPr="001005B7">
        <w:t>chapter 9</w:t>
      </w:r>
      <w:r w:rsidR="00834E3A" w:rsidRPr="001005B7">
        <w:t>, but he receives a different role</w:t>
      </w:r>
      <w:r w:rsidR="00BD40BC" w:rsidRPr="001005B7">
        <w:t>, as</w:t>
      </w:r>
      <w:r w:rsidR="00B4592F" w:rsidRPr="001005B7">
        <w:t xml:space="preserve"> </w:t>
      </w:r>
      <w:r w:rsidR="00BD40BC" w:rsidRPr="001005B7">
        <w:t>dispenser of fire</w:t>
      </w:r>
      <w:r w:rsidR="00B4592F" w:rsidRPr="001005B7">
        <w:t xml:space="preserve">—though the dispensing does not </w:t>
      </w:r>
      <w:r w:rsidR="0013450F" w:rsidRPr="001005B7">
        <w:t xml:space="preserve">actually </w:t>
      </w:r>
      <w:r w:rsidR="00B4592F" w:rsidRPr="001005B7">
        <w:t>happen</w:t>
      </w:r>
      <w:r w:rsidR="0013450F" w:rsidRPr="001005B7">
        <w:t>, like the destruction in chapter 9. So</w:t>
      </w:r>
      <w:r w:rsidR="005869CF" w:rsidRPr="001005B7">
        <w:t xml:space="preserve"> </w:t>
      </w:r>
      <w:r w:rsidR="003F2688" w:rsidRPr="001005B7">
        <w:t>A</w:t>
      </w:r>
      <w:r w:rsidR="00B832B1" w:rsidRPr="001005B7">
        <w:t>ct</w:t>
      </w:r>
      <w:r w:rsidR="00B61601" w:rsidRPr="001005B7">
        <w:t xml:space="preserve"> 3</w:t>
      </w:r>
      <w:r w:rsidR="00DC2A76">
        <w:t xml:space="preserve"> again</w:t>
      </w:r>
      <w:r w:rsidR="00B832B1" w:rsidRPr="001005B7">
        <w:t xml:space="preserve"> </w:t>
      </w:r>
      <w:r w:rsidR="00B61601" w:rsidRPr="001005B7">
        <w:t xml:space="preserve">ends in the middle of things, like </w:t>
      </w:r>
      <w:r w:rsidR="003F2688" w:rsidRPr="001005B7">
        <w:t>A</w:t>
      </w:r>
      <w:r w:rsidR="00B832B1" w:rsidRPr="001005B7">
        <w:t>ct</w:t>
      </w:r>
      <w:r w:rsidR="00B61601" w:rsidRPr="001005B7">
        <w:t xml:space="preserve"> </w:t>
      </w:r>
      <w:r w:rsidR="004C7C78" w:rsidRPr="001005B7">
        <w:t>2</w:t>
      </w:r>
      <w:r w:rsidR="00B61601" w:rsidRPr="001005B7">
        <w:t>.</w:t>
      </w:r>
      <w:r w:rsidR="00B532A7" w:rsidRPr="001005B7">
        <w:t xml:space="preserve"> Further,</w:t>
      </w:r>
      <w:r w:rsidR="00B61601" w:rsidRPr="001005B7">
        <w:t xml:space="preserve"> </w:t>
      </w:r>
      <w:r w:rsidR="00757071" w:rsidRPr="001005B7">
        <w:t>it closes with Yahweh’s making a move from the temple threshold, but</w:t>
      </w:r>
      <w:r w:rsidR="00B532A7" w:rsidRPr="001005B7">
        <w:t xml:space="preserve"> it</w:t>
      </w:r>
      <w:r w:rsidR="00757071" w:rsidRPr="001005B7">
        <w:t xml:space="preserve"> does not indicate where it is going.</w:t>
      </w:r>
      <w:r w:rsidR="00863C83" w:rsidRPr="001005B7">
        <w:t xml:space="preserve"> </w:t>
      </w:r>
    </w:p>
    <w:p w14:paraId="4DEF14F0" w14:textId="2845C404" w:rsidR="00297A0A" w:rsidRDefault="00401121" w:rsidP="00013BC9">
      <w:pPr>
        <w:rPr>
          <w:rFonts w:cstheme="minorHAnsi"/>
          <w:lang w:eastAsia="en-GB"/>
        </w:rPr>
      </w:pPr>
      <w:r w:rsidRPr="001005B7">
        <w:t>The chapter</w:t>
      </w:r>
      <w:r w:rsidR="003A6A38" w:rsidRPr="001005B7">
        <w:t xml:space="preserve"> is jerky</w:t>
      </w:r>
      <w:r w:rsidR="00C50FCB">
        <w:t xml:space="preserve">, </w:t>
      </w:r>
      <w:r w:rsidR="00412D67" w:rsidRPr="001005B7">
        <w:t>and the usual</w:t>
      </w:r>
      <w:r w:rsidR="00355192" w:rsidRPr="001005B7">
        <w:t xml:space="preserve"> scholarly view is that it </w:t>
      </w:r>
      <w:r w:rsidR="002D55CD" w:rsidRPr="001005B7">
        <w:t xml:space="preserve">originally </w:t>
      </w:r>
      <w:r w:rsidR="006F7826" w:rsidRPr="001005B7">
        <w:t>comprise</w:t>
      </w:r>
      <w:r w:rsidR="002D55CD" w:rsidRPr="001005B7">
        <w:t>d</w:t>
      </w:r>
      <w:r w:rsidR="006F7826" w:rsidRPr="001005B7">
        <w:t xml:space="preserve"> </w:t>
      </w:r>
      <w:r w:rsidR="003C1E38" w:rsidRPr="001005B7">
        <w:t xml:space="preserve">something </w:t>
      </w:r>
      <w:r w:rsidR="002D55CD" w:rsidRPr="001005B7">
        <w:t xml:space="preserve">much </w:t>
      </w:r>
      <w:r w:rsidR="0086123B" w:rsidRPr="001005B7">
        <w:t>brief</w:t>
      </w:r>
      <w:r w:rsidR="002D55CD" w:rsidRPr="001005B7">
        <w:t xml:space="preserve">er </w:t>
      </w:r>
      <w:r w:rsidR="003C1E38" w:rsidRPr="001005B7">
        <w:t xml:space="preserve">that has been expanded </w:t>
      </w:r>
      <w:r w:rsidR="000B00BC" w:rsidRPr="001005B7">
        <w:t>by a process with several</w:t>
      </w:r>
      <w:r w:rsidR="003C1E38" w:rsidRPr="001005B7">
        <w:t xml:space="preserve"> stages</w:t>
      </w:r>
      <w:r w:rsidR="00E176A0" w:rsidRPr="001005B7">
        <w:t>. A</w:t>
      </w:r>
      <w:r w:rsidR="000B00BC" w:rsidRPr="001005B7">
        <w:t xml:space="preserve"> typical view </w:t>
      </w:r>
      <w:r w:rsidR="00541CF9" w:rsidRPr="001005B7">
        <w:t xml:space="preserve">sees the original version as comprising </w:t>
      </w:r>
      <w:r w:rsidR="0086123B" w:rsidRPr="001005B7">
        <w:t xml:space="preserve">slightly shorter versions of </w:t>
      </w:r>
      <w:r w:rsidR="0042084A" w:rsidRPr="001005B7">
        <w:t>10:</w:t>
      </w:r>
      <w:r w:rsidR="00541CF9" w:rsidRPr="001005B7">
        <w:t>2, 4, 17, 18a, 19b</w:t>
      </w:r>
      <w:r w:rsidR="00176DC0" w:rsidRPr="001005B7">
        <w:t xml:space="preserve"> </w:t>
      </w:r>
      <w:r w:rsidR="00EE77FD" w:rsidRPr="001005B7">
        <w:t>(</w:t>
      </w:r>
      <w:proofErr w:type="spellStart"/>
      <w:r w:rsidR="00176DC0" w:rsidRPr="001005B7">
        <w:t>Zimmerli</w:t>
      </w:r>
      <w:proofErr w:type="spellEnd"/>
      <w:r w:rsidR="00176DC0" w:rsidRPr="001005B7">
        <w:t>, especially</w:t>
      </w:r>
      <w:r w:rsidR="00176DC0" w:rsidRPr="001005B7">
        <w:rPr>
          <w:i/>
          <w:iCs/>
        </w:rPr>
        <w:t xml:space="preserve"> </w:t>
      </w:r>
      <w:r w:rsidR="00176DC0" w:rsidRPr="001005B7">
        <w:t xml:space="preserve">1:234; </w:t>
      </w:r>
      <w:r w:rsidR="00EE77FD" w:rsidRPr="001005B7">
        <w:t xml:space="preserve">see </w:t>
      </w:r>
      <w:r w:rsidR="00176DC0" w:rsidRPr="001005B7">
        <w:t>also, e.g., Allen</w:t>
      </w:r>
      <w:r w:rsidR="006E2085" w:rsidRPr="001005B7">
        <w:t>,</w:t>
      </w:r>
      <w:r w:rsidR="00EE77FD" w:rsidRPr="001005B7">
        <w:t xml:space="preserve"> </w:t>
      </w:r>
      <w:r w:rsidR="00982B73" w:rsidRPr="001005B7">
        <w:t>1:</w:t>
      </w:r>
      <w:r w:rsidR="00176DC0" w:rsidRPr="001005B7">
        <w:t>133</w:t>
      </w:r>
      <w:r w:rsidR="00F46900" w:rsidRPr="001005B7">
        <w:t>–</w:t>
      </w:r>
      <w:r w:rsidR="00176DC0" w:rsidRPr="001005B7">
        <w:t>36</w:t>
      </w:r>
      <w:r w:rsidR="006F3E9E" w:rsidRPr="001005B7">
        <w:t xml:space="preserve">; </w:t>
      </w:r>
      <w:proofErr w:type="spellStart"/>
      <w:r w:rsidR="00C343EC" w:rsidRPr="001005B7">
        <w:rPr>
          <w:rFonts w:cstheme="minorHAnsi"/>
          <w:lang w:eastAsia="en-GB"/>
        </w:rPr>
        <w:t>Pohlmann</w:t>
      </w:r>
      <w:proofErr w:type="spellEnd"/>
      <w:r w:rsidR="00E551EA" w:rsidRPr="001005B7">
        <w:rPr>
          <w:rFonts w:cstheme="minorHAnsi"/>
          <w:lang w:eastAsia="en-GB"/>
        </w:rPr>
        <w:t>,</w:t>
      </w:r>
      <w:r w:rsidR="00C343EC" w:rsidRPr="001005B7">
        <w:rPr>
          <w:rFonts w:cstheme="minorHAnsi"/>
          <w:lang w:eastAsia="en-GB"/>
        </w:rPr>
        <w:t xml:space="preserve"> </w:t>
      </w:r>
      <w:r w:rsidR="006B64B7" w:rsidRPr="001005B7">
        <w:rPr>
          <w:rFonts w:cstheme="minorHAnsi"/>
          <w:lang w:eastAsia="en-GB"/>
        </w:rPr>
        <w:t>1:</w:t>
      </w:r>
      <w:r w:rsidR="00C343EC" w:rsidRPr="001005B7">
        <w:rPr>
          <w:rFonts w:cstheme="minorHAnsi"/>
          <w:lang w:eastAsia="en-GB"/>
        </w:rPr>
        <w:t>151</w:t>
      </w:r>
      <w:r w:rsidR="00F46900" w:rsidRPr="001005B7">
        <w:rPr>
          <w:rFonts w:cstheme="minorHAnsi"/>
          <w:lang w:eastAsia="en-GB"/>
        </w:rPr>
        <w:t>–</w:t>
      </w:r>
      <w:r w:rsidR="00C343EC" w:rsidRPr="001005B7">
        <w:rPr>
          <w:rFonts w:cstheme="minorHAnsi"/>
          <w:lang w:eastAsia="en-GB"/>
        </w:rPr>
        <w:t>55</w:t>
      </w:r>
      <w:r w:rsidR="006F3E9E" w:rsidRPr="001005B7">
        <w:rPr>
          <w:rFonts w:cstheme="minorHAnsi"/>
          <w:lang w:eastAsia="en-GB"/>
        </w:rPr>
        <w:t>).</w:t>
      </w:r>
      <w:r w:rsidR="00A95558" w:rsidRPr="001005B7">
        <w:rPr>
          <w:rFonts w:cstheme="minorHAnsi"/>
          <w:lang w:eastAsia="en-GB"/>
        </w:rPr>
        <w:t xml:space="preserve"> </w:t>
      </w:r>
    </w:p>
    <w:p w14:paraId="227D5582" w14:textId="35E44853" w:rsidR="00AC5C1F" w:rsidRPr="001005B7" w:rsidRDefault="00AC5C1F" w:rsidP="00493833">
      <w:pPr>
        <w:pStyle w:val="Heading3"/>
      </w:pPr>
      <w:r w:rsidRPr="001005B7">
        <w:t>Translation</w:t>
      </w:r>
    </w:p>
    <w:p w14:paraId="78E9B114" w14:textId="587EEC0D" w:rsidR="00702288" w:rsidRPr="001005B7" w:rsidRDefault="00AC5C1F" w:rsidP="00992384">
      <w:r w:rsidRPr="001005B7">
        <w:rPr>
          <w:vertAlign w:val="superscript"/>
        </w:rPr>
        <w:t>1</w:t>
      </w:r>
      <w:r w:rsidR="007E3FA4">
        <w:t>Then</w:t>
      </w:r>
      <w:r w:rsidR="00224F00" w:rsidRPr="001005B7">
        <w:t xml:space="preserve"> I</w:t>
      </w:r>
      <w:r w:rsidRPr="001005B7">
        <w:t xml:space="preserve"> saw, and there, at</w:t>
      </w:r>
      <w:r w:rsidR="00B91B80" w:rsidRPr="001005B7">
        <w:rPr>
          <w:rStyle w:val="FootnoteReference"/>
        </w:rPr>
        <w:footnoteReference w:id="259"/>
      </w:r>
      <w:r w:rsidRPr="001005B7">
        <w:t xml:space="preserve"> the</w:t>
      </w:r>
      <w:r w:rsidR="006A7248" w:rsidRPr="001005B7">
        <w:t xml:space="preserve"> platform</w:t>
      </w:r>
      <w:r w:rsidR="00AF79FD" w:rsidRPr="001005B7">
        <w:t xml:space="preserve"> </w:t>
      </w:r>
      <w:r w:rsidRPr="001005B7">
        <w:t xml:space="preserve">that was </w:t>
      </w:r>
      <w:r w:rsidR="00C357A5" w:rsidRPr="001005B7">
        <w:t>over</w:t>
      </w:r>
      <w:r w:rsidRPr="001005B7">
        <w:t xml:space="preserve"> the head of the </w:t>
      </w:r>
      <w:r w:rsidR="00C37673" w:rsidRPr="001005B7">
        <w:t>griffin</w:t>
      </w:r>
      <w:r w:rsidRPr="001005B7">
        <w:t xml:space="preserve">s, there was something like </w:t>
      </w:r>
      <w:r w:rsidR="00F008DC" w:rsidRPr="001005B7">
        <w:t>sapphir</w:t>
      </w:r>
      <w:r w:rsidR="00221B16" w:rsidRPr="001005B7">
        <w:t>e</w:t>
      </w:r>
      <w:r w:rsidRPr="001005B7">
        <w:t xml:space="preserve"> stone, </w:t>
      </w:r>
      <w:r w:rsidR="008B39CB">
        <w:t>in that</w:t>
      </w:r>
      <w:r w:rsidR="00DE4E75">
        <w:t xml:space="preserve"> </w:t>
      </w:r>
      <w:r w:rsidRPr="001005B7">
        <w:t>something like the appearance of the form of a throne</w:t>
      </w:r>
      <w:r w:rsidR="00363317" w:rsidRPr="001005B7">
        <w:t xml:space="preserve"> could</w:t>
      </w:r>
      <w:r w:rsidRPr="001005B7">
        <w:t xml:space="preserve"> be seen </w:t>
      </w:r>
      <w:r w:rsidR="00B82ED6" w:rsidRPr="001005B7">
        <w:t>over</w:t>
      </w:r>
      <w:r w:rsidRPr="001005B7">
        <w:t xml:space="preserve"> them. </w:t>
      </w:r>
    </w:p>
    <w:p w14:paraId="486DF4CE" w14:textId="67444DA4" w:rsidR="003B1C60" w:rsidRPr="001005B7" w:rsidRDefault="00AC5C1F" w:rsidP="00F10CE5">
      <w:r w:rsidRPr="001005B7">
        <w:rPr>
          <w:vertAlign w:val="superscript"/>
        </w:rPr>
        <w:t>2</w:t>
      </w:r>
      <w:r w:rsidRPr="001005B7">
        <w:t xml:space="preserve">He said to the </w:t>
      </w:r>
      <w:r w:rsidR="001318CD" w:rsidRPr="001005B7">
        <w:t>individual</w:t>
      </w:r>
      <w:r w:rsidRPr="001005B7">
        <w:t xml:space="preserve"> clothed in linen</w:t>
      </w:r>
      <w:r w:rsidR="00A07613" w:rsidRPr="001005B7">
        <w:t>—he said,</w:t>
      </w:r>
      <w:r w:rsidR="006323FC" w:rsidRPr="001005B7">
        <w:rPr>
          <w:rStyle w:val="FootnoteReference"/>
        </w:rPr>
        <w:footnoteReference w:id="260"/>
      </w:r>
      <w:r w:rsidRPr="001005B7">
        <w:t xml:space="preserve"> Come </w:t>
      </w:r>
      <w:r w:rsidR="0032152D" w:rsidRPr="001005B7">
        <w:t>inside</w:t>
      </w:r>
      <w:r w:rsidR="00B75A68" w:rsidRPr="001005B7">
        <w:rPr>
          <w:rStyle w:val="FootnoteReference"/>
        </w:rPr>
        <w:footnoteReference w:id="261"/>
      </w:r>
      <w:r w:rsidRPr="001005B7">
        <w:t xml:space="preserve"> the </w:t>
      </w:r>
      <w:r w:rsidR="0060362D" w:rsidRPr="001005B7">
        <w:t>roller</w:t>
      </w:r>
      <w:r w:rsidRPr="001005B7">
        <w:t xml:space="preserve"> under the </w:t>
      </w:r>
      <w:r w:rsidR="00C37673" w:rsidRPr="001005B7">
        <w:t>griffin</w:t>
      </w:r>
      <w:r w:rsidRPr="001005B7">
        <w:t>, fill your fist</w:t>
      </w:r>
      <w:r w:rsidR="00A40472" w:rsidRPr="001005B7">
        <w:t>s</w:t>
      </w:r>
      <w:r w:rsidRPr="001005B7">
        <w:t xml:space="preserve"> with coals of fire from </w:t>
      </w:r>
      <w:r w:rsidR="006C2E9E" w:rsidRPr="001005B7">
        <w:t>between</w:t>
      </w:r>
      <w:r w:rsidRPr="001005B7">
        <w:t xml:space="preserve"> the </w:t>
      </w:r>
      <w:r w:rsidR="00ED2687" w:rsidRPr="001005B7">
        <w:t>griffin</w:t>
      </w:r>
      <w:r w:rsidRPr="001005B7">
        <w:t>s, and s</w:t>
      </w:r>
      <w:r w:rsidR="00B24C34" w:rsidRPr="001005B7">
        <w:t>prinkle</w:t>
      </w:r>
      <w:r w:rsidRPr="001005B7">
        <w:t xml:space="preserve"> them on the city. </w:t>
      </w:r>
      <w:r w:rsidR="003927A4" w:rsidRPr="001005B7">
        <w:t>H</w:t>
      </w:r>
      <w:r w:rsidRPr="001005B7">
        <w:t xml:space="preserve">e came, </w:t>
      </w:r>
      <w:r w:rsidR="00DD7553" w:rsidRPr="001005B7">
        <w:t>in front of</w:t>
      </w:r>
      <w:r w:rsidRPr="001005B7">
        <w:t xml:space="preserve"> my eyes. </w:t>
      </w:r>
    </w:p>
    <w:p w14:paraId="441FFAB3" w14:textId="775C59BE" w:rsidR="00AC5C1F" w:rsidRPr="001005B7" w:rsidRDefault="00AC5C1F" w:rsidP="008D2B5F">
      <w:r w:rsidRPr="001005B7">
        <w:rPr>
          <w:vertAlign w:val="superscript"/>
        </w:rPr>
        <w:t>3</w:t>
      </w:r>
      <w:r w:rsidRPr="001005B7">
        <w:t xml:space="preserve">Now the </w:t>
      </w:r>
      <w:r w:rsidR="00ED2687" w:rsidRPr="001005B7">
        <w:t>griffin</w:t>
      </w:r>
      <w:r w:rsidRPr="001005B7">
        <w:t xml:space="preserve">s were standing on the right of the house </w:t>
      </w:r>
      <w:r w:rsidR="003B70D9" w:rsidRPr="001005B7">
        <w:t xml:space="preserve">when </w:t>
      </w:r>
      <w:r w:rsidR="000A2128" w:rsidRPr="001005B7">
        <w:t>he</w:t>
      </w:r>
      <w:r w:rsidR="004F75AA" w:rsidRPr="001005B7">
        <w:t xml:space="preserve"> (the </w:t>
      </w:r>
      <w:r w:rsidR="00557E79" w:rsidRPr="001005B7">
        <w:t>individual</w:t>
      </w:r>
      <w:r w:rsidR="004F75AA" w:rsidRPr="001005B7">
        <w:t>)</w:t>
      </w:r>
      <w:r w:rsidR="000A2128" w:rsidRPr="001005B7">
        <w:t xml:space="preserve"> came in</w:t>
      </w:r>
      <w:r w:rsidRPr="001005B7">
        <w:t xml:space="preserve">, and the cloud was filling the inner courtyard. </w:t>
      </w:r>
      <w:r w:rsidRPr="001005B7">
        <w:rPr>
          <w:vertAlign w:val="superscript"/>
        </w:rPr>
        <w:t>4</w:t>
      </w:r>
      <w:r w:rsidR="00375C88" w:rsidRPr="001005B7">
        <w:t xml:space="preserve">Yahweh’s </w:t>
      </w:r>
      <w:r w:rsidR="00180CEB" w:rsidRPr="001005B7">
        <w:t>magnificence</w:t>
      </w:r>
      <w:r w:rsidR="00375C88" w:rsidRPr="001005B7">
        <w:t xml:space="preserve"> </w:t>
      </w:r>
      <w:r w:rsidR="00FF3DA7" w:rsidRPr="001005B7">
        <w:t xml:space="preserve">had </w:t>
      </w:r>
      <w:r w:rsidR="008F63F0" w:rsidRPr="001005B7">
        <w:t>r</w:t>
      </w:r>
      <w:r w:rsidR="00FF3DA7" w:rsidRPr="001005B7">
        <w:t>isen</w:t>
      </w:r>
      <w:r w:rsidR="008F63F0" w:rsidRPr="001005B7">
        <w:t xml:space="preserve"> from </w:t>
      </w:r>
      <w:r w:rsidR="00F94EC0" w:rsidRPr="001005B7">
        <w:t>above</w:t>
      </w:r>
      <w:r w:rsidR="008F63F0" w:rsidRPr="001005B7">
        <w:t xml:space="preserve"> the </w:t>
      </w:r>
      <w:r w:rsidR="00ED2687" w:rsidRPr="001005B7">
        <w:t>griffin</w:t>
      </w:r>
      <w:r w:rsidR="008F63F0" w:rsidRPr="001005B7">
        <w:t xml:space="preserve"> </w:t>
      </w:r>
      <w:r w:rsidR="00496F3D" w:rsidRPr="001005B7">
        <w:t xml:space="preserve">onto the </w:t>
      </w:r>
      <w:r w:rsidR="009A7609" w:rsidRPr="001005B7">
        <w:t>threshold</w:t>
      </w:r>
      <w:r w:rsidR="00496F3D" w:rsidRPr="001005B7">
        <w:t xml:space="preserve"> of the house</w:t>
      </w:r>
      <w:r w:rsidR="00A257B1" w:rsidRPr="001005B7">
        <w:t xml:space="preserve"> and </w:t>
      </w:r>
      <w:r w:rsidR="00751376" w:rsidRPr="001005B7">
        <w:t xml:space="preserve">the house </w:t>
      </w:r>
      <w:r w:rsidR="00D32FF2" w:rsidRPr="001005B7">
        <w:t xml:space="preserve">had </w:t>
      </w:r>
      <w:r w:rsidR="00751376" w:rsidRPr="001005B7">
        <w:t>filled with the cloud</w:t>
      </w:r>
      <w:r w:rsidR="00BB2D67">
        <w:t>,</w:t>
      </w:r>
      <w:r w:rsidR="00A257B1" w:rsidRPr="001005B7">
        <w:t xml:space="preserve"> </w:t>
      </w:r>
      <w:r w:rsidR="00BB2D67">
        <w:t xml:space="preserve">while </w:t>
      </w:r>
      <w:r w:rsidR="00AB04A3" w:rsidRPr="001005B7">
        <w:t xml:space="preserve">he courtyard filled with the </w:t>
      </w:r>
      <w:r w:rsidR="00D066AC" w:rsidRPr="001005B7">
        <w:t>bright</w:t>
      </w:r>
      <w:r w:rsidR="009C3982" w:rsidRPr="001005B7">
        <w:t>n</w:t>
      </w:r>
      <w:r w:rsidR="00D066AC" w:rsidRPr="001005B7">
        <w:t>ess</w:t>
      </w:r>
      <w:r w:rsidR="00E310D9" w:rsidRPr="001005B7">
        <w:t xml:space="preserve"> of </w:t>
      </w:r>
      <w:r w:rsidR="00992384" w:rsidRPr="001005B7">
        <w:t xml:space="preserve">Yahweh’s </w:t>
      </w:r>
      <w:r w:rsidR="00180CEB" w:rsidRPr="001005B7">
        <w:t>magnificence</w:t>
      </w:r>
      <w:r w:rsidR="000B0BA4" w:rsidRPr="001005B7">
        <w:t>,</w:t>
      </w:r>
      <w:r w:rsidR="00992384" w:rsidRPr="001005B7">
        <w:t xml:space="preserve"> </w:t>
      </w:r>
      <w:r w:rsidR="00992384" w:rsidRPr="001005B7">
        <w:rPr>
          <w:vertAlign w:val="superscript"/>
        </w:rPr>
        <w:t>5</w:t>
      </w:r>
      <w:r w:rsidR="000B0BA4" w:rsidRPr="001005B7">
        <w:t>a</w:t>
      </w:r>
      <w:r w:rsidR="00606B4A" w:rsidRPr="001005B7">
        <w:t>nd</w:t>
      </w:r>
      <w:r w:rsidR="00992384" w:rsidRPr="001005B7">
        <w:t xml:space="preserve"> the sound</w:t>
      </w:r>
      <w:r w:rsidR="00011C97" w:rsidRPr="001005B7">
        <w:t xml:space="preserve"> </w:t>
      </w:r>
      <w:r w:rsidR="00A3104C" w:rsidRPr="001005B7">
        <w:t xml:space="preserve">of the </w:t>
      </w:r>
      <w:r w:rsidR="007E4B87" w:rsidRPr="001005B7">
        <w:t>griffin</w:t>
      </w:r>
      <w:r w:rsidR="00A3104C" w:rsidRPr="001005B7">
        <w:t>s’ wings could be heard</w:t>
      </w:r>
      <w:r w:rsidR="00A06D0D" w:rsidRPr="001005B7">
        <w:t xml:space="preserve"> as far as the outer courtyard</w:t>
      </w:r>
      <w:r w:rsidR="007E2E0F" w:rsidRPr="001005B7">
        <w:t xml:space="preserve">, like the </w:t>
      </w:r>
      <w:r w:rsidR="00BC46C1" w:rsidRPr="001005B7">
        <w:t>sound</w:t>
      </w:r>
      <w:r w:rsidR="007E2E0F" w:rsidRPr="001005B7">
        <w:t xml:space="preserve"> of </w:t>
      </w:r>
      <w:r w:rsidR="00BC46C1" w:rsidRPr="001005B7">
        <w:t xml:space="preserve">El </w:t>
      </w:r>
      <w:proofErr w:type="spellStart"/>
      <w:r w:rsidR="007E2E0F" w:rsidRPr="001005B7">
        <w:t>Shadday</w:t>
      </w:r>
      <w:proofErr w:type="spellEnd"/>
      <w:r w:rsidR="00BC46C1" w:rsidRPr="001005B7">
        <w:t xml:space="preserve"> when he speaks.</w:t>
      </w:r>
    </w:p>
    <w:p w14:paraId="6E1FB6AC" w14:textId="2BCE381C" w:rsidR="003A469B" w:rsidRPr="001005B7" w:rsidRDefault="00B138E7" w:rsidP="007E4B87">
      <w:r w:rsidRPr="001005B7">
        <w:rPr>
          <w:vertAlign w:val="superscript"/>
        </w:rPr>
        <w:t>6</w:t>
      </w:r>
      <w:r w:rsidR="00D87827" w:rsidRPr="001005B7">
        <w:t>T</w:t>
      </w:r>
      <w:r w:rsidRPr="001005B7">
        <w:t xml:space="preserve">hen, when </w:t>
      </w:r>
      <w:r w:rsidR="005443CE" w:rsidRPr="001005B7">
        <w:t xml:space="preserve">he commanded the </w:t>
      </w:r>
      <w:r w:rsidR="00BA3BA5" w:rsidRPr="001005B7">
        <w:t xml:space="preserve">individual </w:t>
      </w:r>
      <w:r w:rsidR="008609E7" w:rsidRPr="001005B7">
        <w:t>clothed</w:t>
      </w:r>
      <w:r w:rsidR="005443CE" w:rsidRPr="001005B7">
        <w:t xml:space="preserve"> in linen</w:t>
      </w:r>
      <w:r w:rsidR="008763A5" w:rsidRPr="001005B7">
        <w:t xml:space="preserve">: Get fire from </w:t>
      </w:r>
      <w:r w:rsidR="008B22ED" w:rsidRPr="001005B7">
        <w:t>between</w:t>
      </w:r>
      <w:r w:rsidR="008763A5" w:rsidRPr="001005B7">
        <w:t xml:space="preserve"> the </w:t>
      </w:r>
      <w:r w:rsidR="00EC1EDE" w:rsidRPr="001005B7">
        <w:t>roller</w:t>
      </w:r>
      <w:r w:rsidR="006F0BB4" w:rsidRPr="001005B7">
        <w:t xml:space="preserve">, from </w:t>
      </w:r>
      <w:r w:rsidR="009E2F80" w:rsidRPr="001005B7">
        <w:t>between</w:t>
      </w:r>
      <w:r w:rsidR="006F0BB4" w:rsidRPr="001005B7">
        <w:t xml:space="preserve"> the </w:t>
      </w:r>
      <w:r w:rsidR="007E4B87" w:rsidRPr="001005B7">
        <w:t>griffin</w:t>
      </w:r>
      <w:r w:rsidR="006F0BB4" w:rsidRPr="001005B7">
        <w:t>s</w:t>
      </w:r>
      <w:r w:rsidR="00101E11" w:rsidRPr="001005B7">
        <w:t xml:space="preserve">, he came and stood </w:t>
      </w:r>
      <w:r w:rsidR="005C5D05" w:rsidRPr="001005B7">
        <w:t>beside</w:t>
      </w:r>
      <w:r w:rsidR="00101E11" w:rsidRPr="001005B7">
        <w:t xml:space="preserve"> </w:t>
      </w:r>
      <w:r w:rsidR="00330262" w:rsidRPr="001005B7">
        <w:t xml:space="preserve">the </w:t>
      </w:r>
      <w:r w:rsidR="00101E11" w:rsidRPr="001005B7">
        <w:t>w</w:t>
      </w:r>
      <w:r w:rsidR="00637064" w:rsidRPr="001005B7">
        <w:t xml:space="preserve">heel. </w:t>
      </w:r>
      <w:r w:rsidR="00637064" w:rsidRPr="001005B7">
        <w:rPr>
          <w:vertAlign w:val="superscript"/>
        </w:rPr>
        <w:t>7</w:t>
      </w:r>
      <w:r w:rsidR="00CC1B7C" w:rsidRPr="001005B7">
        <w:t xml:space="preserve">The </w:t>
      </w:r>
      <w:r w:rsidR="007E4B87" w:rsidRPr="001005B7">
        <w:t>griffin</w:t>
      </w:r>
      <w:r w:rsidR="00CC1B7C" w:rsidRPr="001005B7">
        <w:t xml:space="preserve"> put out its hand </w:t>
      </w:r>
      <w:r w:rsidR="009D200F" w:rsidRPr="001005B7">
        <w:t xml:space="preserve">from </w:t>
      </w:r>
      <w:r w:rsidR="004A3B96" w:rsidRPr="001005B7">
        <w:t>between</w:t>
      </w:r>
      <w:r w:rsidR="009D200F" w:rsidRPr="001005B7">
        <w:t xml:space="preserve"> the </w:t>
      </w:r>
      <w:r w:rsidR="00A15E52" w:rsidRPr="001005B7">
        <w:t>griffin</w:t>
      </w:r>
      <w:r w:rsidR="009D200F" w:rsidRPr="001005B7">
        <w:t>s</w:t>
      </w:r>
      <w:r w:rsidR="00216A2A" w:rsidRPr="001005B7">
        <w:t xml:space="preserve"> </w:t>
      </w:r>
      <w:r w:rsidR="00A90B7F" w:rsidRPr="001005B7">
        <w:t>to the fire that was between</w:t>
      </w:r>
      <w:r w:rsidR="009C3982" w:rsidRPr="001005B7">
        <w:t xml:space="preserve"> the </w:t>
      </w:r>
      <w:r w:rsidR="00A15E52" w:rsidRPr="001005B7">
        <w:t>griffin</w:t>
      </w:r>
      <w:r w:rsidR="009C3982" w:rsidRPr="001005B7">
        <w:t>s</w:t>
      </w:r>
      <w:r w:rsidR="0032218B" w:rsidRPr="001005B7">
        <w:t>,</w:t>
      </w:r>
      <w:r w:rsidR="00B8315C" w:rsidRPr="001005B7">
        <w:t xml:space="preserve"> </w:t>
      </w:r>
      <w:r w:rsidR="00216A2A" w:rsidRPr="001005B7">
        <w:t>and took</w:t>
      </w:r>
      <w:r w:rsidR="00371C7B" w:rsidRPr="001005B7">
        <w:t xml:space="preserve"> </w:t>
      </w:r>
      <w:r w:rsidR="00216A2A" w:rsidRPr="001005B7">
        <w:t xml:space="preserve">up </w:t>
      </w:r>
      <w:r w:rsidR="00711CBD" w:rsidRPr="001005B7">
        <w:t xml:space="preserve">and </w:t>
      </w:r>
      <w:r w:rsidR="00CC2604" w:rsidRPr="001005B7">
        <w:t xml:space="preserve">put </w:t>
      </w:r>
      <w:r w:rsidR="00371C7B" w:rsidRPr="001005B7">
        <w:t>[some]</w:t>
      </w:r>
      <w:r w:rsidR="00CC2604" w:rsidRPr="001005B7">
        <w:t xml:space="preserve"> into the fist</w:t>
      </w:r>
      <w:r w:rsidR="000919DD" w:rsidRPr="001005B7">
        <w:t>s</w:t>
      </w:r>
      <w:r w:rsidR="00CC2604" w:rsidRPr="001005B7">
        <w:t xml:space="preserve"> of the </w:t>
      </w:r>
      <w:r w:rsidR="00F945A6">
        <w:t>person</w:t>
      </w:r>
      <w:r w:rsidR="007334DD" w:rsidRPr="001005B7">
        <w:t xml:space="preserve"> </w:t>
      </w:r>
      <w:r w:rsidR="008609E7" w:rsidRPr="001005B7">
        <w:t>cloth</w:t>
      </w:r>
      <w:r w:rsidR="00CC2604" w:rsidRPr="001005B7">
        <w:t>ed in linen</w:t>
      </w:r>
      <w:r w:rsidR="00DD782B" w:rsidRPr="001005B7">
        <w:t xml:space="preserve">. </w:t>
      </w:r>
      <w:r w:rsidR="00284A26" w:rsidRPr="001005B7">
        <w:t>So he</w:t>
      </w:r>
      <w:r w:rsidR="00DD782B" w:rsidRPr="001005B7">
        <w:t xml:space="preserve"> got it and went out.</w:t>
      </w:r>
      <w:r w:rsidR="009D200F" w:rsidRPr="001005B7">
        <w:t xml:space="preserve"> </w:t>
      </w:r>
      <w:r w:rsidR="00F82395" w:rsidRPr="001005B7">
        <w:rPr>
          <w:vertAlign w:val="superscript"/>
        </w:rPr>
        <w:t>8</w:t>
      </w:r>
      <w:r w:rsidR="00F82395" w:rsidRPr="001005B7">
        <w:t xml:space="preserve">The </w:t>
      </w:r>
      <w:r w:rsidR="00A15E52" w:rsidRPr="001005B7">
        <w:t>griffin</w:t>
      </w:r>
      <w:r w:rsidR="00F82395" w:rsidRPr="001005B7">
        <w:t xml:space="preserve">s seemed to have the </w:t>
      </w:r>
      <w:r w:rsidR="00D06BB8" w:rsidRPr="001005B7">
        <w:t>shape</w:t>
      </w:r>
      <w:r w:rsidR="00F82395" w:rsidRPr="001005B7">
        <w:t xml:space="preserve"> of </w:t>
      </w:r>
      <w:r w:rsidR="003A469B" w:rsidRPr="001005B7">
        <w:t>a human hand under their wings.</w:t>
      </w:r>
    </w:p>
    <w:p w14:paraId="41360157" w14:textId="00370AA3" w:rsidR="00FB7D1F" w:rsidRPr="001005B7" w:rsidRDefault="003A469B" w:rsidP="00AF7889">
      <w:r w:rsidRPr="001005B7">
        <w:rPr>
          <w:vertAlign w:val="superscript"/>
        </w:rPr>
        <w:t>9</w:t>
      </w:r>
      <w:r w:rsidR="00224ABC" w:rsidRPr="001005B7">
        <w:t>I</w:t>
      </w:r>
      <w:r w:rsidRPr="001005B7">
        <w:t xml:space="preserve"> </w:t>
      </w:r>
      <w:r w:rsidR="00CD16BD" w:rsidRPr="001005B7">
        <w:t>s</w:t>
      </w:r>
      <w:r w:rsidRPr="001005B7">
        <w:t>aw</w:t>
      </w:r>
      <w:r w:rsidR="000F3C67" w:rsidRPr="001005B7">
        <w:t>, and there</w:t>
      </w:r>
      <w:r w:rsidR="0006752F" w:rsidRPr="001005B7">
        <w:t xml:space="preserve">, four wheels beside the </w:t>
      </w:r>
      <w:r w:rsidR="00A83025" w:rsidRPr="001005B7">
        <w:t>griffin</w:t>
      </w:r>
      <w:r w:rsidR="0006752F" w:rsidRPr="001005B7">
        <w:t>s</w:t>
      </w:r>
      <w:r w:rsidR="00E4152B" w:rsidRPr="001005B7">
        <w:t xml:space="preserve">, one wheel beside each </w:t>
      </w:r>
      <w:r w:rsidR="00A83025" w:rsidRPr="001005B7">
        <w:t>griffin</w:t>
      </w:r>
      <w:r w:rsidR="00C8038D">
        <w:t>, with</w:t>
      </w:r>
      <w:r w:rsidR="00017551">
        <w:t xml:space="preserve"> t</w:t>
      </w:r>
      <w:r w:rsidR="00915D5A" w:rsidRPr="001005B7">
        <w:t>he</w:t>
      </w:r>
      <w:r w:rsidR="00DC1024" w:rsidRPr="001005B7">
        <w:t xml:space="preserve"> </w:t>
      </w:r>
      <w:r w:rsidR="00C34938" w:rsidRPr="001005B7">
        <w:t>wheels’</w:t>
      </w:r>
      <w:r w:rsidR="00915D5A" w:rsidRPr="001005B7">
        <w:t xml:space="preserve"> appearance</w:t>
      </w:r>
      <w:r w:rsidR="00F975D3" w:rsidRPr="001005B7">
        <w:t xml:space="preserve"> </w:t>
      </w:r>
      <w:r w:rsidR="00A27BFC" w:rsidRPr="001005B7">
        <w:t xml:space="preserve">something </w:t>
      </w:r>
      <w:r w:rsidR="00F975D3" w:rsidRPr="001005B7">
        <w:t xml:space="preserve">like </w:t>
      </w:r>
      <w:r w:rsidR="00205027" w:rsidRPr="001005B7">
        <w:t>the look of</w:t>
      </w:r>
      <w:r w:rsidR="00F975D3" w:rsidRPr="001005B7">
        <w:t xml:space="preserve"> beryl stone</w:t>
      </w:r>
      <w:r w:rsidR="00017551">
        <w:t>,</w:t>
      </w:r>
      <w:r w:rsidR="00205027" w:rsidRPr="001005B7">
        <w:t xml:space="preserve"> </w:t>
      </w:r>
      <w:r w:rsidR="00205027" w:rsidRPr="001005B7">
        <w:rPr>
          <w:vertAlign w:val="superscript"/>
        </w:rPr>
        <w:t>10</w:t>
      </w:r>
      <w:r w:rsidR="00017551">
        <w:t>and t</w:t>
      </w:r>
      <w:r w:rsidR="00200FF3" w:rsidRPr="001005B7">
        <w:t>heir appearance</w:t>
      </w:r>
      <w:r w:rsidR="00E141DD" w:rsidRPr="001005B7">
        <w:t xml:space="preserve">: </w:t>
      </w:r>
      <w:r w:rsidR="00464CE6" w:rsidRPr="001005B7">
        <w:t xml:space="preserve">the four of them, </w:t>
      </w:r>
      <w:r w:rsidR="00E141DD" w:rsidRPr="001005B7">
        <w:t>each had the same form</w:t>
      </w:r>
      <w:r w:rsidR="00D827C5" w:rsidRPr="001005B7">
        <w:t>, as</w:t>
      </w:r>
      <w:r w:rsidR="000801B1" w:rsidRPr="001005B7">
        <w:t xml:space="preserve"> </w:t>
      </w:r>
      <w:r w:rsidR="00BC766F" w:rsidRPr="001005B7">
        <w:t>a</w:t>
      </w:r>
      <w:r w:rsidR="004E1F14" w:rsidRPr="001005B7">
        <w:t xml:space="preserve"> wheel would be in the mid</w:t>
      </w:r>
      <w:r w:rsidR="00DC4460" w:rsidRPr="001005B7">
        <w:t>dle</w:t>
      </w:r>
      <w:r w:rsidR="004E1F14" w:rsidRPr="001005B7">
        <w:t xml:space="preserve"> of </w:t>
      </w:r>
      <w:r w:rsidR="00BC766F" w:rsidRPr="001005B7">
        <w:t>a</w:t>
      </w:r>
      <w:r w:rsidR="004E1F14" w:rsidRPr="001005B7">
        <w:t xml:space="preserve"> wheel. </w:t>
      </w:r>
      <w:r w:rsidR="004E1F14" w:rsidRPr="001005B7">
        <w:rPr>
          <w:vertAlign w:val="superscript"/>
        </w:rPr>
        <w:t>11</w:t>
      </w:r>
      <w:r w:rsidR="00642D3F" w:rsidRPr="001005B7">
        <w:t xml:space="preserve">When they went, </w:t>
      </w:r>
      <w:r w:rsidR="007A7A14">
        <w:t xml:space="preserve">as </w:t>
      </w:r>
      <w:r w:rsidR="00F429F0" w:rsidRPr="001005B7">
        <w:t>th</w:t>
      </w:r>
      <w:r w:rsidR="00CF209C" w:rsidRPr="001005B7">
        <w:t>e</w:t>
      </w:r>
      <w:r w:rsidR="00F429F0" w:rsidRPr="001005B7">
        <w:t>y would go to</w:t>
      </w:r>
      <w:r w:rsidR="00C27477" w:rsidRPr="001005B7">
        <w:t xml:space="preserve"> their </w:t>
      </w:r>
      <w:r w:rsidR="002C522A" w:rsidRPr="001005B7">
        <w:t xml:space="preserve">four </w:t>
      </w:r>
      <w:r w:rsidR="00C27477" w:rsidRPr="001005B7">
        <w:t>quarters</w:t>
      </w:r>
      <w:r w:rsidR="00B476F8">
        <w:t xml:space="preserve">, </w:t>
      </w:r>
      <w:r w:rsidR="00C27477" w:rsidRPr="001005B7">
        <w:t>they would not turn</w:t>
      </w:r>
      <w:r w:rsidR="00DF0B2F" w:rsidRPr="001005B7">
        <w:t xml:space="preserve"> when they went, because </w:t>
      </w:r>
      <w:r w:rsidR="00962D2C" w:rsidRPr="001005B7">
        <w:t xml:space="preserve">they would go </w:t>
      </w:r>
      <w:r w:rsidR="00943435" w:rsidRPr="001005B7">
        <w:t xml:space="preserve">to </w:t>
      </w:r>
      <w:r w:rsidR="00DF0B2F" w:rsidRPr="001005B7">
        <w:t>the place</w:t>
      </w:r>
      <w:r w:rsidR="00D87305" w:rsidRPr="001005B7">
        <w:t xml:space="preserve"> that the head would face</w:t>
      </w:r>
      <w:r w:rsidR="00C2440E" w:rsidRPr="001005B7">
        <w:t>,</w:t>
      </w:r>
      <w:r w:rsidR="00911B6F" w:rsidRPr="001005B7">
        <w:t xml:space="preserve"> after it</w:t>
      </w:r>
      <w:r w:rsidR="005A2F50">
        <w:t>,</w:t>
      </w:r>
      <w:r w:rsidR="00911B6F" w:rsidRPr="001005B7">
        <w:t xml:space="preserve"> not turn</w:t>
      </w:r>
      <w:r w:rsidR="00543E39">
        <w:t>ing</w:t>
      </w:r>
      <w:r w:rsidR="00911B6F" w:rsidRPr="001005B7">
        <w:t xml:space="preserve"> when they went</w:t>
      </w:r>
      <w:r w:rsidR="004841C6">
        <w:t>,</w:t>
      </w:r>
      <w:r w:rsidR="00DC2B18" w:rsidRPr="001005B7">
        <w:t xml:space="preserve"> </w:t>
      </w:r>
      <w:r w:rsidR="00DC2B18" w:rsidRPr="001005B7">
        <w:rPr>
          <w:vertAlign w:val="superscript"/>
        </w:rPr>
        <w:t>12</w:t>
      </w:r>
      <w:r w:rsidR="004841C6">
        <w:t>t</w:t>
      </w:r>
      <w:r w:rsidR="00DC2B18" w:rsidRPr="001005B7">
        <w:t>heir entire body</w:t>
      </w:r>
      <w:r w:rsidR="002813E6" w:rsidRPr="001005B7">
        <w:t>, their back, their hands, their wings</w:t>
      </w:r>
      <w:r w:rsidR="009A2327" w:rsidRPr="001005B7">
        <w:t xml:space="preserve">, and </w:t>
      </w:r>
      <w:r w:rsidR="00F25E86" w:rsidRPr="001005B7">
        <w:t xml:space="preserve">the </w:t>
      </w:r>
      <w:r w:rsidR="007A504F" w:rsidRPr="001005B7">
        <w:t>wheels</w:t>
      </w:r>
      <w:r w:rsidR="00173916" w:rsidRPr="001005B7">
        <w:t xml:space="preserve">, </w:t>
      </w:r>
      <w:r w:rsidR="007A504F" w:rsidRPr="001005B7">
        <w:t xml:space="preserve">the </w:t>
      </w:r>
      <w:r w:rsidR="00F25E86" w:rsidRPr="001005B7">
        <w:t>four of them ha</w:t>
      </w:r>
      <w:r w:rsidR="005E1783">
        <w:t>ving</w:t>
      </w:r>
      <w:r w:rsidR="00CF10E2" w:rsidRPr="001005B7">
        <w:t xml:space="preserve"> their wheels full of eyes</w:t>
      </w:r>
      <w:r w:rsidR="00EC1737" w:rsidRPr="001005B7">
        <w:t xml:space="preserve"> around</w:t>
      </w:r>
      <w:r w:rsidR="00862E4E" w:rsidRPr="001005B7">
        <w:t xml:space="preserve">. </w:t>
      </w:r>
      <w:r w:rsidR="00862E4E" w:rsidRPr="001005B7">
        <w:rPr>
          <w:vertAlign w:val="superscript"/>
        </w:rPr>
        <w:t>13</w:t>
      </w:r>
      <w:r w:rsidR="00DE5E13" w:rsidRPr="001005B7">
        <w:t xml:space="preserve">The wheels, </w:t>
      </w:r>
      <w:r w:rsidR="00942B19" w:rsidRPr="001005B7">
        <w:t xml:space="preserve">someone was calling </w:t>
      </w:r>
      <w:r w:rsidR="00557FD7" w:rsidRPr="001005B7">
        <w:t xml:space="preserve">them </w:t>
      </w:r>
      <w:r w:rsidR="00942B19" w:rsidRPr="001005B7">
        <w:t xml:space="preserve">“the </w:t>
      </w:r>
      <w:r w:rsidR="009D2347" w:rsidRPr="001005B7">
        <w:t>roller</w:t>
      </w:r>
      <w:r w:rsidR="00942B19" w:rsidRPr="001005B7">
        <w:t xml:space="preserve">” in my ears. </w:t>
      </w:r>
      <w:r w:rsidR="00942B19" w:rsidRPr="001005B7">
        <w:rPr>
          <w:vertAlign w:val="superscript"/>
        </w:rPr>
        <w:t>14</w:t>
      </w:r>
      <w:r w:rsidR="00A75431" w:rsidRPr="001005B7">
        <w:t>Each ha</w:t>
      </w:r>
      <w:r w:rsidR="009B3325" w:rsidRPr="001005B7">
        <w:t>d</w:t>
      </w:r>
      <w:r w:rsidR="00A75431" w:rsidRPr="001005B7">
        <w:t xml:space="preserve"> four faces</w:t>
      </w:r>
      <w:r w:rsidR="00A75623" w:rsidRPr="001005B7">
        <w:t xml:space="preserve">, one face a </w:t>
      </w:r>
      <w:r w:rsidR="00A83025" w:rsidRPr="001005B7">
        <w:t>griffin</w:t>
      </w:r>
      <w:r w:rsidR="00A75623" w:rsidRPr="001005B7">
        <w:t>’s face</w:t>
      </w:r>
      <w:r w:rsidR="00B82B6C" w:rsidRPr="001005B7">
        <w:t xml:space="preserve">, the second face a human face, </w:t>
      </w:r>
      <w:r w:rsidR="00875B0C" w:rsidRPr="001005B7">
        <w:t>the third a lion’s face, and the fourth an eagle’s face.</w:t>
      </w:r>
    </w:p>
    <w:p w14:paraId="4DC0878E" w14:textId="0F0E525D" w:rsidR="00C27477" w:rsidRPr="001005B7" w:rsidRDefault="00875B0C" w:rsidP="00AF7889">
      <w:r w:rsidRPr="001005B7">
        <w:rPr>
          <w:vertAlign w:val="superscript"/>
        </w:rPr>
        <w:t>15</w:t>
      </w:r>
      <w:r w:rsidR="00945E2B" w:rsidRPr="001005B7">
        <w:t xml:space="preserve">The </w:t>
      </w:r>
      <w:r w:rsidR="00A83025" w:rsidRPr="001005B7">
        <w:t>griffin</w:t>
      </w:r>
      <w:r w:rsidR="00945E2B" w:rsidRPr="001005B7">
        <w:t xml:space="preserve">s </w:t>
      </w:r>
      <w:r w:rsidR="001F0705" w:rsidRPr="001005B7">
        <w:t>rose</w:t>
      </w:r>
      <w:r w:rsidR="00416AA1">
        <w:t>,</w:t>
      </w:r>
      <w:r w:rsidR="00891EF7" w:rsidRPr="001005B7">
        <w:t xml:space="preserve"> i</w:t>
      </w:r>
      <w:r w:rsidR="00AF7889" w:rsidRPr="001005B7">
        <w:t xml:space="preserve">t </w:t>
      </w:r>
      <w:r w:rsidR="00416AA1">
        <w:t>being</w:t>
      </w:r>
      <w:r w:rsidR="00AF7889" w:rsidRPr="001005B7">
        <w:t xml:space="preserve"> the </w:t>
      </w:r>
      <w:r w:rsidR="00056ACA" w:rsidRPr="001005B7">
        <w:t>living being</w:t>
      </w:r>
      <w:r w:rsidR="00AF7889" w:rsidRPr="001005B7">
        <w:t xml:space="preserve"> </w:t>
      </w:r>
      <w:r w:rsidR="00CD16BD" w:rsidRPr="001005B7">
        <w:t xml:space="preserve">that I saw by the </w:t>
      </w:r>
      <w:proofErr w:type="spellStart"/>
      <w:r w:rsidR="00CD16BD" w:rsidRPr="001005B7">
        <w:t>Kebar</w:t>
      </w:r>
      <w:proofErr w:type="spellEnd"/>
      <w:r w:rsidR="00CD16BD" w:rsidRPr="001005B7">
        <w:t xml:space="preserve"> Waterway. </w:t>
      </w:r>
      <w:r w:rsidR="00173C6E" w:rsidRPr="001005B7">
        <w:rPr>
          <w:vertAlign w:val="superscript"/>
        </w:rPr>
        <w:t>16</w:t>
      </w:r>
      <w:r w:rsidR="00905BE8" w:rsidRPr="001005B7">
        <w:t xml:space="preserve">When the </w:t>
      </w:r>
      <w:r w:rsidR="003001D1" w:rsidRPr="001005B7">
        <w:t>griffin</w:t>
      </w:r>
      <w:r w:rsidR="00905BE8" w:rsidRPr="001005B7">
        <w:t xml:space="preserve">s went, the wheels would go </w:t>
      </w:r>
      <w:r w:rsidR="0010076C" w:rsidRPr="001005B7">
        <w:t>beside them</w:t>
      </w:r>
      <w:r w:rsidR="00BC4BD6" w:rsidRPr="001005B7">
        <w:t>, and w</w:t>
      </w:r>
      <w:r w:rsidR="0010076C" w:rsidRPr="001005B7">
        <w:t xml:space="preserve">hen the </w:t>
      </w:r>
      <w:r w:rsidR="003001D1" w:rsidRPr="001005B7">
        <w:t>griffin</w:t>
      </w:r>
      <w:r w:rsidR="0010076C" w:rsidRPr="001005B7">
        <w:t xml:space="preserve">s lifted their wings </w:t>
      </w:r>
      <w:r w:rsidR="00D52CDA" w:rsidRPr="001005B7">
        <w:t xml:space="preserve">to </w:t>
      </w:r>
      <w:r w:rsidR="00D51222" w:rsidRPr="001005B7">
        <w:t>rise</w:t>
      </w:r>
      <w:r w:rsidR="00D52CDA" w:rsidRPr="001005B7">
        <w:t xml:space="preserve"> from on the earth, the wheels</w:t>
      </w:r>
      <w:r w:rsidR="00881B6B" w:rsidRPr="001005B7">
        <w:t>, they too,</w:t>
      </w:r>
      <w:r w:rsidR="00D52CDA" w:rsidRPr="001005B7">
        <w:t xml:space="preserve"> would not turn</w:t>
      </w:r>
      <w:r w:rsidR="00881B6B" w:rsidRPr="001005B7">
        <w:t xml:space="preserve"> </w:t>
      </w:r>
      <w:r w:rsidR="00EE79D1" w:rsidRPr="001005B7">
        <w:t>from bes</w:t>
      </w:r>
      <w:r w:rsidR="00892EB7" w:rsidRPr="001005B7">
        <w:t>i</w:t>
      </w:r>
      <w:r w:rsidR="00EE79D1" w:rsidRPr="001005B7">
        <w:t>de them.</w:t>
      </w:r>
      <w:r w:rsidR="00892EB7" w:rsidRPr="001005B7">
        <w:t xml:space="preserve"> </w:t>
      </w:r>
      <w:r w:rsidR="00892EB7" w:rsidRPr="001005B7">
        <w:rPr>
          <w:vertAlign w:val="superscript"/>
        </w:rPr>
        <w:t>17</w:t>
      </w:r>
      <w:r w:rsidR="00892EB7" w:rsidRPr="001005B7">
        <w:t>When they stood, they would stand</w:t>
      </w:r>
      <w:r w:rsidR="002E0532" w:rsidRPr="001005B7">
        <w:t xml:space="preserve">, and when they </w:t>
      </w:r>
      <w:r w:rsidR="001239E7" w:rsidRPr="001005B7">
        <w:t>rose</w:t>
      </w:r>
      <w:r w:rsidR="002E0532" w:rsidRPr="001005B7">
        <w:t xml:space="preserve">, </w:t>
      </w:r>
      <w:r w:rsidR="000C4520" w:rsidRPr="001005B7">
        <w:t xml:space="preserve">they would </w:t>
      </w:r>
      <w:r w:rsidR="001239E7" w:rsidRPr="001005B7">
        <w:t>rise</w:t>
      </w:r>
      <w:r w:rsidR="000C4520" w:rsidRPr="001005B7">
        <w:t xml:space="preserve"> with them, because the spirit of the </w:t>
      </w:r>
      <w:r w:rsidR="00056ACA" w:rsidRPr="001005B7">
        <w:t>living being</w:t>
      </w:r>
      <w:r w:rsidR="000C4520" w:rsidRPr="001005B7">
        <w:t xml:space="preserve"> was in them. </w:t>
      </w:r>
    </w:p>
    <w:p w14:paraId="2956E245" w14:textId="77777777" w:rsidR="00140747" w:rsidRDefault="0055165D" w:rsidP="00140747">
      <w:r w:rsidRPr="001005B7">
        <w:rPr>
          <w:vertAlign w:val="superscript"/>
        </w:rPr>
        <w:t>18</w:t>
      </w:r>
      <w:r w:rsidR="005F01A8" w:rsidRPr="001005B7">
        <w:t xml:space="preserve">And </w:t>
      </w:r>
      <w:r w:rsidRPr="001005B7">
        <w:t xml:space="preserve">Yahweh’s </w:t>
      </w:r>
      <w:r w:rsidR="00180CEB" w:rsidRPr="001005B7">
        <w:t>magnificence</w:t>
      </w:r>
      <w:r w:rsidR="00814A83" w:rsidRPr="001005B7">
        <w:t xml:space="preserve"> went out from on the house’s </w:t>
      </w:r>
      <w:r w:rsidR="006C636E" w:rsidRPr="001005B7">
        <w:t>threshold</w:t>
      </w:r>
      <w:r w:rsidR="00814A83" w:rsidRPr="001005B7">
        <w:t xml:space="preserve"> </w:t>
      </w:r>
      <w:r w:rsidR="00FB27AE" w:rsidRPr="001005B7">
        <w:t xml:space="preserve">and stood </w:t>
      </w:r>
      <w:r w:rsidR="0014597C" w:rsidRPr="001005B7">
        <w:t>above</w:t>
      </w:r>
      <w:r w:rsidR="00FB27AE" w:rsidRPr="001005B7">
        <w:t xml:space="preserve"> the </w:t>
      </w:r>
      <w:r w:rsidR="003001D1" w:rsidRPr="001005B7">
        <w:t>griffin</w:t>
      </w:r>
      <w:r w:rsidR="00FB27AE" w:rsidRPr="001005B7">
        <w:t xml:space="preserve">s. </w:t>
      </w:r>
      <w:r w:rsidR="00FB27AE" w:rsidRPr="001005B7">
        <w:rPr>
          <w:vertAlign w:val="superscript"/>
        </w:rPr>
        <w:t>19</w:t>
      </w:r>
      <w:r w:rsidR="00FB27AE" w:rsidRPr="001005B7">
        <w:t xml:space="preserve">The </w:t>
      </w:r>
      <w:r w:rsidR="003001D1" w:rsidRPr="001005B7">
        <w:t>griffin</w:t>
      </w:r>
      <w:r w:rsidR="00540342" w:rsidRPr="001005B7">
        <w:t>s lifted their wings and went up from the earth</w:t>
      </w:r>
      <w:r w:rsidR="00BE79B5" w:rsidRPr="001005B7">
        <w:t xml:space="preserve"> </w:t>
      </w:r>
      <w:r w:rsidR="00575A51" w:rsidRPr="001005B7">
        <w:t>in front of</w:t>
      </w:r>
      <w:r w:rsidR="00BE79B5" w:rsidRPr="001005B7">
        <w:t xml:space="preserve"> my eyes</w:t>
      </w:r>
      <w:r w:rsidR="00240EC5" w:rsidRPr="001005B7">
        <w:t xml:space="preserve"> when they went out</w:t>
      </w:r>
      <w:r w:rsidR="004968D7" w:rsidRPr="001005B7">
        <w:t>,</w:t>
      </w:r>
      <w:r w:rsidR="00240EC5" w:rsidRPr="001005B7">
        <w:t xml:space="preserve"> </w:t>
      </w:r>
      <w:r w:rsidR="004968D7" w:rsidRPr="001005B7">
        <w:t>w</w:t>
      </w:r>
      <w:r w:rsidR="00A10149" w:rsidRPr="001005B7">
        <w:t>ith the wheels a</w:t>
      </w:r>
      <w:r w:rsidR="00AC29D4" w:rsidRPr="001005B7">
        <w:t>long</w:t>
      </w:r>
      <w:r w:rsidR="002D1890" w:rsidRPr="001005B7">
        <w:t>side</w:t>
      </w:r>
      <w:r w:rsidR="00AC29D4" w:rsidRPr="001005B7">
        <w:t xml:space="preserve"> them</w:t>
      </w:r>
      <w:r w:rsidR="00A10149" w:rsidRPr="001005B7">
        <w:t xml:space="preserve">. It stood </w:t>
      </w:r>
      <w:r w:rsidR="002167DE" w:rsidRPr="001005B7">
        <w:t xml:space="preserve">at the entrance of the </w:t>
      </w:r>
      <w:r w:rsidR="00C70856" w:rsidRPr="001005B7">
        <w:t xml:space="preserve">eastern </w:t>
      </w:r>
      <w:r w:rsidR="002167DE" w:rsidRPr="001005B7">
        <w:t>gate</w:t>
      </w:r>
      <w:r w:rsidR="00B573E8" w:rsidRPr="001005B7">
        <w:t>way</w:t>
      </w:r>
      <w:r w:rsidR="002167DE" w:rsidRPr="001005B7">
        <w:t xml:space="preserve"> of Yahweh’s house</w:t>
      </w:r>
      <w:r w:rsidR="00C70856" w:rsidRPr="001005B7">
        <w:t xml:space="preserve">, with </w:t>
      </w:r>
      <w:r w:rsidR="00D143A4" w:rsidRPr="001005B7">
        <w:t xml:space="preserve">the </w:t>
      </w:r>
      <w:r w:rsidR="00180CEB" w:rsidRPr="001005B7">
        <w:t>magnificence</w:t>
      </w:r>
      <w:r w:rsidR="00C70856" w:rsidRPr="001005B7">
        <w:t xml:space="preserve"> </w:t>
      </w:r>
      <w:r w:rsidR="00D143A4" w:rsidRPr="001005B7">
        <w:t xml:space="preserve">of the God of Israel </w:t>
      </w:r>
      <w:r w:rsidR="004C5C1F" w:rsidRPr="001005B7">
        <w:t>over</w:t>
      </w:r>
      <w:r w:rsidR="00C70856" w:rsidRPr="001005B7">
        <w:t xml:space="preserve"> them</w:t>
      </w:r>
      <w:r w:rsidR="004C5C1F" w:rsidRPr="001005B7">
        <w:t>, above</w:t>
      </w:r>
      <w:r w:rsidR="00C70856" w:rsidRPr="001005B7">
        <w:t>.</w:t>
      </w:r>
      <w:r w:rsidR="004C5C1F" w:rsidRPr="001005B7">
        <w:t xml:space="preserve"> </w:t>
      </w:r>
    </w:p>
    <w:p w14:paraId="19E1865D" w14:textId="45495536" w:rsidR="00AC5C1F" w:rsidRPr="001005B7" w:rsidRDefault="004C5C1F" w:rsidP="00140747">
      <w:r w:rsidRPr="001005B7">
        <w:rPr>
          <w:vertAlign w:val="superscript"/>
        </w:rPr>
        <w:t>20</w:t>
      </w:r>
      <w:r w:rsidR="003D4C96" w:rsidRPr="001005B7">
        <w:t>I</w:t>
      </w:r>
      <w:r w:rsidR="00595C2A" w:rsidRPr="001005B7">
        <w:t xml:space="preserve">t was the </w:t>
      </w:r>
      <w:r w:rsidR="00350D68" w:rsidRPr="001005B7">
        <w:t>living being</w:t>
      </w:r>
      <w:r w:rsidR="00EB3266" w:rsidRPr="001005B7">
        <w:t xml:space="preserve"> that</w:t>
      </w:r>
      <w:r w:rsidR="00595C2A" w:rsidRPr="001005B7">
        <w:t xml:space="preserve"> I saw</w:t>
      </w:r>
      <w:r w:rsidR="00EB3266" w:rsidRPr="001005B7">
        <w:t xml:space="preserve"> under the God of Isr</w:t>
      </w:r>
      <w:r w:rsidR="00E8715A" w:rsidRPr="001005B7">
        <w:t xml:space="preserve">ael at the </w:t>
      </w:r>
      <w:proofErr w:type="spellStart"/>
      <w:r w:rsidR="00E8715A" w:rsidRPr="001005B7">
        <w:t>Kebar</w:t>
      </w:r>
      <w:proofErr w:type="spellEnd"/>
      <w:r w:rsidR="00E8715A" w:rsidRPr="001005B7">
        <w:t xml:space="preserve"> Waterway</w:t>
      </w:r>
      <w:r w:rsidR="00CB6E5A" w:rsidRPr="001005B7">
        <w:t>.</w:t>
      </w:r>
      <w:r w:rsidR="00E8715A" w:rsidRPr="001005B7">
        <w:t xml:space="preserve"> I acknowledged that they were </w:t>
      </w:r>
      <w:r w:rsidR="003001D1" w:rsidRPr="001005B7">
        <w:t>griffin</w:t>
      </w:r>
      <w:r w:rsidR="00E8715A" w:rsidRPr="001005B7">
        <w:t>s.</w:t>
      </w:r>
      <w:r w:rsidR="00D775D7" w:rsidRPr="001005B7">
        <w:t xml:space="preserve"> </w:t>
      </w:r>
      <w:r w:rsidR="00D775D7" w:rsidRPr="001005B7">
        <w:rPr>
          <w:vertAlign w:val="superscript"/>
        </w:rPr>
        <w:t>21</w:t>
      </w:r>
      <w:r w:rsidR="002B74F8" w:rsidRPr="001005B7">
        <w:t>Each had four faces</w:t>
      </w:r>
      <w:r w:rsidR="00081447" w:rsidRPr="001005B7">
        <w:t xml:space="preserve"> and each had four wings</w:t>
      </w:r>
      <w:r w:rsidR="008A23DE" w:rsidRPr="001005B7">
        <w:t>,</w:t>
      </w:r>
      <w:r w:rsidR="00EB15BC" w:rsidRPr="001005B7">
        <w:t xml:space="preserve"> and the appearance </w:t>
      </w:r>
      <w:r w:rsidR="0081765F" w:rsidRPr="001005B7">
        <w:t>o</w:t>
      </w:r>
      <w:r w:rsidR="00DE082C" w:rsidRPr="001005B7">
        <w:t>f</w:t>
      </w:r>
      <w:r w:rsidR="0081765F" w:rsidRPr="001005B7">
        <w:t xml:space="preserve"> human hands under their wings</w:t>
      </w:r>
      <w:r w:rsidR="001F69CA">
        <w:t>.</w:t>
      </w:r>
      <w:r w:rsidR="0081765F" w:rsidRPr="001005B7">
        <w:t xml:space="preserve"> </w:t>
      </w:r>
      <w:r w:rsidR="0081765F" w:rsidRPr="001005B7">
        <w:rPr>
          <w:vertAlign w:val="superscript"/>
        </w:rPr>
        <w:t>22</w:t>
      </w:r>
      <w:r w:rsidR="001F69CA">
        <w:t>And</w:t>
      </w:r>
      <w:r w:rsidR="006E7C62" w:rsidRPr="001005B7">
        <w:t xml:space="preserve"> the form of their faces</w:t>
      </w:r>
      <w:r w:rsidR="00D26D65">
        <w:t>:</w:t>
      </w:r>
      <w:r w:rsidR="006E7C62" w:rsidRPr="001005B7">
        <w:t xml:space="preserve"> they were the faces that I saw at the </w:t>
      </w:r>
      <w:proofErr w:type="spellStart"/>
      <w:r w:rsidR="006E7C62" w:rsidRPr="001005B7">
        <w:t>Kebar</w:t>
      </w:r>
      <w:proofErr w:type="spellEnd"/>
      <w:r w:rsidR="006E7C62" w:rsidRPr="001005B7">
        <w:t xml:space="preserve"> Waterway</w:t>
      </w:r>
      <w:r w:rsidR="0030604C" w:rsidRPr="001005B7">
        <w:t>. T</w:t>
      </w:r>
      <w:r w:rsidR="00DA4B28" w:rsidRPr="001005B7">
        <w:t>heir appearance and the</w:t>
      </w:r>
      <w:r w:rsidR="00FD3CA0" w:rsidRPr="001005B7">
        <w:t>y themselves</w:t>
      </w:r>
      <w:r w:rsidR="0030604C" w:rsidRPr="001005B7">
        <w:t xml:space="preserve">, </w:t>
      </w:r>
      <w:r w:rsidR="002C1726" w:rsidRPr="001005B7">
        <w:t>individually</w:t>
      </w:r>
      <w:r w:rsidR="00A06669" w:rsidRPr="001005B7">
        <w:t>,</w:t>
      </w:r>
      <w:r w:rsidR="002C1726" w:rsidRPr="001005B7">
        <w:t xml:space="preserve"> </w:t>
      </w:r>
      <w:r w:rsidR="00D134B5" w:rsidRPr="001005B7">
        <w:t>straight forward</w:t>
      </w:r>
      <w:r w:rsidR="004E1F79" w:rsidRPr="001005B7">
        <w:t xml:space="preserve"> they would go</w:t>
      </w:r>
      <w:r w:rsidR="00FB1FD2" w:rsidRPr="001005B7">
        <w:t>.</w:t>
      </w:r>
      <w:r w:rsidR="00391440">
        <w:t xml:space="preserve"> </w:t>
      </w:r>
    </w:p>
    <w:p w14:paraId="7BEC4F62" w14:textId="77777777" w:rsidR="00AC5C1F" w:rsidRPr="001005B7" w:rsidRDefault="00AC5C1F" w:rsidP="00493833">
      <w:pPr>
        <w:pStyle w:val="Heading3"/>
      </w:pPr>
      <w:r w:rsidRPr="001005B7">
        <w:t>Textual Notes</w:t>
      </w:r>
    </w:p>
    <w:p w14:paraId="661D2A0E" w14:textId="30028A92" w:rsidR="00AE45A3" w:rsidRPr="001005B7" w:rsidRDefault="008B4F2E" w:rsidP="008B4F2E">
      <w:pPr>
        <w:ind w:firstLine="0"/>
        <w:rPr>
          <w:rFonts w:cstheme="minorHAnsi"/>
        </w:rPr>
      </w:pPr>
      <w:r w:rsidRPr="001005B7">
        <w:rPr>
          <w:rFonts w:cstheme="minorHAnsi"/>
          <w:b/>
          <w:bCs/>
        </w:rPr>
        <w:t>10:7</w:t>
      </w:r>
      <w:r w:rsidR="001D3FD4" w:rsidRPr="001005B7">
        <w:rPr>
          <w:rFonts w:cstheme="minorHAnsi"/>
          <w:b/>
          <w:bCs/>
        </w:rPr>
        <w:t xml:space="preserve"> </w:t>
      </w:r>
      <w:r w:rsidR="001D3FD4" w:rsidRPr="001005B7">
        <w:rPr>
          <w:sz w:val="18"/>
          <w:szCs w:val="18"/>
        </w:rPr>
        <w:t>LX</w:t>
      </w:r>
      <w:r w:rsidR="00F26D23" w:rsidRPr="001005B7">
        <w:rPr>
          <w:sz w:val="18"/>
          <w:szCs w:val="18"/>
        </w:rPr>
        <w:t>X</w:t>
      </w:r>
      <w:r w:rsidR="00995E03" w:rsidRPr="001005B7">
        <w:rPr>
          <w:rFonts w:cstheme="minorHAnsi"/>
        </w:rPr>
        <w:t xml:space="preserve"> lacks </w:t>
      </w:r>
      <w:r w:rsidR="003001D1" w:rsidRPr="001005B7">
        <w:rPr>
          <w:rFonts w:cstheme="minorHAnsi"/>
        </w:rPr>
        <w:t>“</w:t>
      </w:r>
      <w:r w:rsidR="00995E03" w:rsidRPr="001005B7">
        <w:rPr>
          <w:rFonts w:cstheme="minorHAnsi"/>
        </w:rPr>
        <w:t xml:space="preserve">the </w:t>
      </w:r>
      <w:r w:rsidR="003001D1" w:rsidRPr="001005B7">
        <w:t>griffin</w:t>
      </w:r>
      <w:r w:rsidR="003001D1" w:rsidRPr="001005B7">
        <w:rPr>
          <w:rFonts w:cstheme="minorHAnsi"/>
        </w:rPr>
        <w:t>”</w:t>
      </w:r>
      <w:r w:rsidR="001E48E8" w:rsidRPr="001005B7">
        <w:rPr>
          <w:rFonts w:cstheme="minorHAnsi"/>
        </w:rPr>
        <w:t xml:space="preserve"> and </w:t>
      </w:r>
      <w:r w:rsidR="003001D1" w:rsidRPr="001005B7">
        <w:rPr>
          <w:rFonts w:cstheme="minorHAnsi"/>
        </w:rPr>
        <w:t>“</w:t>
      </w:r>
      <w:r w:rsidR="001E48E8" w:rsidRPr="001005B7">
        <w:rPr>
          <w:rFonts w:cstheme="minorHAnsi"/>
        </w:rPr>
        <w:t xml:space="preserve">from between the </w:t>
      </w:r>
      <w:r w:rsidR="003001D1" w:rsidRPr="001005B7">
        <w:rPr>
          <w:rFonts w:cstheme="minorHAnsi"/>
        </w:rPr>
        <w:t>griffin</w:t>
      </w:r>
      <w:r w:rsidR="001E48E8" w:rsidRPr="001005B7">
        <w:rPr>
          <w:rFonts w:cstheme="minorHAnsi"/>
        </w:rPr>
        <w:t>s.</w:t>
      </w:r>
      <w:r w:rsidR="003001D1" w:rsidRPr="001005B7">
        <w:rPr>
          <w:rFonts w:cstheme="minorHAnsi"/>
        </w:rPr>
        <w:t>”</w:t>
      </w:r>
    </w:p>
    <w:p w14:paraId="5079AD57" w14:textId="2644D444" w:rsidR="00AF00E4" w:rsidRPr="001005B7" w:rsidRDefault="00143F04" w:rsidP="008B4F2E">
      <w:pPr>
        <w:ind w:firstLine="0"/>
      </w:pPr>
      <w:r w:rsidRPr="001005B7">
        <w:rPr>
          <w:rFonts w:cstheme="minorHAnsi"/>
          <w:b/>
          <w:bCs/>
        </w:rPr>
        <w:t xml:space="preserve">10:8 </w:t>
      </w:r>
      <w:r w:rsidRPr="001005B7">
        <w:rPr>
          <w:rFonts w:cstheme="minorHAnsi"/>
        </w:rPr>
        <w:t xml:space="preserve">For </w:t>
      </w:r>
      <w:r w:rsidR="00CF5F49" w:rsidRPr="001005B7">
        <w:rPr>
          <w:rFonts w:cstheme="minorHAnsi"/>
          <w:rtl/>
          <w:lang w:bidi="he-IL"/>
        </w:rPr>
        <w:t>יַד</w:t>
      </w:r>
      <w:r w:rsidR="00CF5F49" w:rsidRPr="001005B7">
        <w:rPr>
          <w:rFonts w:cstheme="minorHAnsi"/>
        </w:rPr>
        <w:t xml:space="preserve">, </w:t>
      </w:r>
      <w:r w:rsidR="009A6772">
        <w:rPr>
          <w:rFonts w:cstheme="minorHAnsi"/>
        </w:rPr>
        <w:t xml:space="preserve">“hand,” </w:t>
      </w:r>
      <w:r w:rsidR="00CF5F49" w:rsidRPr="001005B7">
        <w:t>4QEzek</w:t>
      </w:r>
      <w:r w:rsidR="00CF5F49" w:rsidRPr="001005B7">
        <w:rPr>
          <w:vertAlign w:val="superscript"/>
        </w:rPr>
        <w:t>b</w:t>
      </w:r>
      <w:r w:rsidR="00CF5F49" w:rsidRPr="001005B7">
        <w:rPr>
          <w:vertAlign w:val="subscript"/>
        </w:rPr>
        <w:t xml:space="preserve"> </w:t>
      </w:r>
      <w:r w:rsidR="00545C3A" w:rsidRPr="001005B7">
        <w:t>has pl</w:t>
      </w:r>
      <w:r w:rsidR="00EF467B" w:rsidRPr="001005B7">
        <w:t>.</w:t>
      </w:r>
      <w:r w:rsidR="00545C3A" w:rsidRPr="001005B7">
        <w:t xml:space="preserve"> </w:t>
      </w:r>
      <w:r w:rsidR="00545C3A" w:rsidRPr="001005B7">
        <w:rPr>
          <w:rFonts w:cstheme="minorHAnsi"/>
          <w:rtl/>
          <w:lang w:bidi="he-IL"/>
        </w:rPr>
        <w:t>ידי</w:t>
      </w:r>
      <w:r w:rsidR="00545C3A" w:rsidRPr="001005B7">
        <w:t>.</w:t>
      </w:r>
    </w:p>
    <w:p w14:paraId="26151A96" w14:textId="5CBC7CC1" w:rsidR="002E3743" w:rsidRPr="001005B7" w:rsidRDefault="00DE163E" w:rsidP="00DE163E">
      <w:pPr>
        <w:ind w:firstLine="0"/>
        <w:rPr>
          <w:rFonts w:cstheme="minorHAnsi"/>
        </w:rPr>
      </w:pPr>
      <w:r w:rsidRPr="001005B7">
        <w:rPr>
          <w:rFonts w:cstheme="minorHAnsi"/>
          <w:b/>
          <w:bCs/>
        </w:rPr>
        <w:t>10:12</w:t>
      </w:r>
      <w:r w:rsidR="002E3743" w:rsidRPr="001005B7">
        <w:rPr>
          <w:rFonts w:cstheme="minorHAnsi"/>
        </w:rPr>
        <w:t xml:space="preserve"> </w:t>
      </w:r>
      <w:r w:rsidR="00F26D23" w:rsidRPr="001005B7">
        <w:rPr>
          <w:sz w:val="18"/>
          <w:szCs w:val="18"/>
        </w:rPr>
        <w:t>LXX</w:t>
      </w:r>
      <w:r w:rsidR="00F26D23" w:rsidRPr="001005B7">
        <w:t xml:space="preserve"> </w:t>
      </w:r>
      <w:r w:rsidR="002E3743" w:rsidRPr="001005B7">
        <w:rPr>
          <w:rFonts w:cstheme="minorHAnsi"/>
        </w:rPr>
        <w:t xml:space="preserve">lacks </w:t>
      </w:r>
      <w:r w:rsidR="003001D1" w:rsidRPr="001005B7">
        <w:rPr>
          <w:rFonts w:cstheme="minorHAnsi"/>
        </w:rPr>
        <w:t>“</w:t>
      </w:r>
      <w:r w:rsidR="002E3743" w:rsidRPr="001005B7">
        <w:rPr>
          <w:rFonts w:cstheme="minorHAnsi"/>
        </w:rPr>
        <w:t>their entire body.</w:t>
      </w:r>
      <w:r w:rsidR="003001D1" w:rsidRPr="001005B7">
        <w:rPr>
          <w:rFonts w:cstheme="minorHAnsi"/>
        </w:rPr>
        <w:t>”</w:t>
      </w:r>
    </w:p>
    <w:p w14:paraId="61EDE852" w14:textId="4112A3F3" w:rsidR="00077A50" w:rsidRPr="001005B7" w:rsidRDefault="00DE163E" w:rsidP="00DE163E">
      <w:pPr>
        <w:ind w:firstLine="0"/>
        <w:rPr>
          <w:rFonts w:cstheme="minorHAnsi"/>
        </w:rPr>
      </w:pPr>
      <w:r w:rsidRPr="001005B7">
        <w:rPr>
          <w:rFonts w:cstheme="minorHAnsi"/>
          <w:b/>
          <w:bCs/>
        </w:rPr>
        <w:t>10:14</w:t>
      </w:r>
      <w:r w:rsidR="00077A50" w:rsidRPr="001005B7">
        <w:rPr>
          <w:rFonts w:cstheme="minorHAnsi"/>
        </w:rPr>
        <w:t xml:space="preserve"> </w:t>
      </w:r>
      <w:r w:rsidR="00F26D23" w:rsidRPr="001005B7">
        <w:rPr>
          <w:sz w:val="18"/>
          <w:szCs w:val="18"/>
        </w:rPr>
        <w:t>LXX</w:t>
      </w:r>
      <w:r w:rsidR="00F26D23" w:rsidRPr="001005B7">
        <w:t xml:space="preserve"> </w:t>
      </w:r>
      <w:r w:rsidR="00077A50" w:rsidRPr="001005B7">
        <w:rPr>
          <w:rFonts w:cstheme="minorHAnsi"/>
        </w:rPr>
        <w:t xml:space="preserve">lacks </w:t>
      </w:r>
      <w:r w:rsidR="003D021F" w:rsidRPr="001005B7">
        <w:rPr>
          <w:rFonts w:cstheme="minorHAnsi"/>
        </w:rPr>
        <w:t>10:</w:t>
      </w:r>
      <w:r w:rsidR="00077A50" w:rsidRPr="001005B7">
        <w:rPr>
          <w:rFonts w:cstheme="minorHAnsi"/>
        </w:rPr>
        <w:t>14.</w:t>
      </w:r>
      <w:r w:rsidR="00D37C3F" w:rsidRPr="001005B7">
        <w:rPr>
          <w:rStyle w:val="FootnoteReference"/>
          <w:rFonts w:cstheme="minorHAnsi"/>
        </w:rPr>
        <w:footnoteReference w:id="262"/>
      </w:r>
    </w:p>
    <w:p w14:paraId="5AFDEA95" w14:textId="235E4D0B" w:rsidR="0020388A" w:rsidRPr="001005B7" w:rsidRDefault="00DE163E" w:rsidP="00DE163E">
      <w:pPr>
        <w:ind w:firstLine="0"/>
        <w:rPr>
          <w:rFonts w:cstheme="minorHAnsi"/>
        </w:rPr>
      </w:pPr>
      <w:r w:rsidRPr="001005B7">
        <w:rPr>
          <w:rFonts w:cstheme="minorHAnsi"/>
          <w:b/>
          <w:bCs/>
        </w:rPr>
        <w:t>10:17</w:t>
      </w:r>
      <w:r w:rsidR="0020388A" w:rsidRPr="001005B7">
        <w:rPr>
          <w:rFonts w:cstheme="minorHAnsi"/>
        </w:rPr>
        <w:t xml:space="preserve"> </w:t>
      </w:r>
      <w:r w:rsidR="00EB5E0C" w:rsidRPr="001005B7">
        <w:rPr>
          <w:rFonts w:cstheme="minorHAnsi"/>
        </w:rPr>
        <w:t xml:space="preserve">For </w:t>
      </w:r>
      <w:r w:rsidR="007C4641" w:rsidRPr="001005B7">
        <w:rPr>
          <w:rFonts w:cstheme="minorHAnsi"/>
          <w:rtl/>
          <w:lang w:bidi="he-IL"/>
        </w:rPr>
        <w:t>רוַּ</w:t>
      </w:r>
      <w:r w:rsidR="00B846D7" w:rsidRPr="001005B7">
        <w:rPr>
          <w:rFonts w:cstheme="minorHAnsi"/>
          <w:rtl/>
          <w:lang w:bidi="he-IL"/>
        </w:rPr>
        <w:t>ח</w:t>
      </w:r>
      <w:r w:rsidR="00FA56FD" w:rsidRPr="001005B7">
        <w:rPr>
          <w:rFonts w:cstheme="minorHAnsi"/>
          <w:rtl/>
          <w:lang w:bidi="he-IL"/>
        </w:rPr>
        <w:t xml:space="preserve"> </w:t>
      </w:r>
      <w:r w:rsidR="00B846D7" w:rsidRPr="001005B7">
        <w:rPr>
          <w:rFonts w:cstheme="minorHAnsi"/>
          <w:rtl/>
          <w:lang w:bidi="he-IL"/>
        </w:rPr>
        <w:t>הַחַיּ</w:t>
      </w:r>
      <w:r w:rsidR="00113F88" w:rsidRPr="001005B7">
        <w:rPr>
          <w:rFonts w:cstheme="minorHAnsi"/>
          <w:rtl/>
          <w:lang w:bidi="he-IL"/>
        </w:rPr>
        <w:t>ָה</w:t>
      </w:r>
      <w:r w:rsidR="00FA56FD" w:rsidRPr="001005B7">
        <w:rPr>
          <w:rFonts w:cstheme="minorHAnsi"/>
        </w:rPr>
        <w:t xml:space="preserve">, </w:t>
      </w:r>
      <w:r w:rsidR="003B765C" w:rsidRPr="001005B7">
        <w:rPr>
          <w:sz w:val="18"/>
          <w:szCs w:val="18"/>
        </w:rPr>
        <w:t>LXX</w:t>
      </w:r>
      <w:r w:rsidR="001B7A58" w:rsidRPr="001005B7">
        <w:rPr>
          <w:rFonts w:cstheme="minorHAnsi"/>
        </w:rPr>
        <w:t>, Vg</w:t>
      </w:r>
      <w:r w:rsidR="008A14C9" w:rsidRPr="001005B7">
        <w:rPr>
          <w:rFonts w:cstheme="minorHAnsi"/>
        </w:rPr>
        <w:t>.</w:t>
      </w:r>
      <w:r w:rsidR="006049C0" w:rsidRPr="001005B7">
        <w:rPr>
          <w:rFonts w:cstheme="minorHAnsi"/>
        </w:rPr>
        <w:t>, Aq</w:t>
      </w:r>
      <w:r w:rsidR="00C23738" w:rsidRPr="001005B7">
        <w:rPr>
          <w:rFonts w:cstheme="minorHAnsi"/>
        </w:rPr>
        <w:t>.</w:t>
      </w:r>
      <w:r w:rsidR="0020388A" w:rsidRPr="001005B7">
        <w:rPr>
          <w:rFonts w:cstheme="minorHAnsi"/>
        </w:rPr>
        <w:t xml:space="preserve"> ha</w:t>
      </w:r>
      <w:r w:rsidR="001B7A58" w:rsidRPr="001005B7">
        <w:rPr>
          <w:rFonts w:cstheme="minorHAnsi"/>
        </w:rPr>
        <w:t>ve</w:t>
      </w:r>
      <w:r w:rsidR="0020388A" w:rsidRPr="001005B7">
        <w:rPr>
          <w:rFonts w:cstheme="minorHAnsi"/>
        </w:rPr>
        <w:t xml:space="preserve"> “the spirit o</w:t>
      </w:r>
      <w:r w:rsidR="0017688B" w:rsidRPr="001005B7">
        <w:rPr>
          <w:rFonts w:cstheme="minorHAnsi"/>
        </w:rPr>
        <w:t>f life.”</w:t>
      </w:r>
    </w:p>
    <w:p w14:paraId="4F08A03F" w14:textId="78E67216" w:rsidR="003245E4" w:rsidRPr="001005B7" w:rsidRDefault="00DE163E" w:rsidP="00DE163E">
      <w:pPr>
        <w:ind w:firstLine="0"/>
        <w:rPr>
          <w:rFonts w:cstheme="minorHAnsi"/>
        </w:rPr>
      </w:pPr>
      <w:r w:rsidRPr="001005B7">
        <w:rPr>
          <w:rFonts w:cstheme="minorHAnsi"/>
          <w:b/>
          <w:bCs/>
        </w:rPr>
        <w:t>10:18</w:t>
      </w:r>
      <w:r w:rsidR="003245E4" w:rsidRPr="001005B7">
        <w:rPr>
          <w:rFonts w:cstheme="minorHAnsi"/>
        </w:rPr>
        <w:t xml:space="preserve"> </w:t>
      </w:r>
      <w:r w:rsidR="000D6CC3" w:rsidRPr="001005B7">
        <w:rPr>
          <w:rFonts w:cstheme="minorHAnsi"/>
        </w:rPr>
        <w:t xml:space="preserve">For </w:t>
      </w:r>
      <w:r w:rsidR="000D6CC3" w:rsidRPr="001005B7">
        <w:rPr>
          <w:rFonts w:cstheme="minorHAnsi"/>
          <w:rtl/>
          <w:lang w:bidi="he-IL"/>
        </w:rPr>
        <w:t>מֵעַל</w:t>
      </w:r>
      <w:r w:rsidR="007A4EA7" w:rsidRPr="001005B7">
        <w:rPr>
          <w:rFonts w:cstheme="minorHAnsi"/>
          <w:rtl/>
          <w:lang w:bidi="he-IL"/>
        </w:rPr>
        <w:t xml:space="preserve"> </w:t>
      </w:r>
      <w:r w:rsidR="00FA1A94" w:rsidRPr="001005B7">
        <w:rPr>
          <w:rFonts w:cstheme="minorHAnsi"/>
          <w:rtl/>
          <w:lang w:bidi="he-IL"/>
        </w:rPr>
        <w:t>מִפְתַּן</w:t>
      </w:r>
      <w:r w:rsidR="007A4EA7" w:rsidRPr="001005B7">
        <w:rPr>
          <w:rFonts w:cstheme="minorHAnsi"/>
          <w:rtl/>
          <w:lang w:bidi="he-IL"/>
        </w:rPr>
        <w:t xml:space="preserve"> </w:t>
      </w:r>
      <w:r w:rsidR="008E591E" w:rsidRPr="001005B7">
        <w:rPr>
          <w:rFonts w:cstheme="minorHAnsi"/>
          <w:rtl/>
          <w:lang w:bidi="he-IL"/>
        </w:rPr>
        <w:t>הַבָּיִת</w:t>
      </w:r>
      <w:r w:rsidR="007A4EA7" w:rsidRPr="001005B7">
        <w:rPr>
          <w:rFonts w:cstheme="minorHAnsi"/>
        </w:rPr>
        <w:t xml:space="preserve">, </w:t>
      </w:r>
      <w:r w:rsidR="00FD2ED0">
        <w:rPr>
          <w:rFonts w:cstheme="minorHAnsi"/>
        </w:rPr>
        <w:t xml:space="preserve">“from on the house’s </w:t>
      </w:r>
      <w:proofErr w:type="spellStart"/>
      <w:r w:rsidR="00FD2ED0">
        <w:rPr>
          <w:rFonts w:cstheme="minorHAnsi"/>
        </w:rPr>
        <w:t>threshold,”</w:t>
      </w:r>
      <w:r w:rsidR="00F26D23" w:rsidRPr="001005B7">
        <w:rPr>
          <w:sz w:val="18"/>
          <w:szCs w:val="18"/>
        </w:rPr>
        <w:t>LXX</w:t>
      </w:r>
      <w:proofErr w:type="spellEnd"/>
      <w:r w:rsidR="003245E4" w:rsidRPr="001005B7">
        <w:rPr>
          <w:rFonts w:cstheme="minorHAnsi"/>
        </w:rPr>
        <w:t xml:space="preserve"> has “from the house.”</w:t>
      </w:r>
    </w:p>
    <w:p w14:paraId="619C362E" w14:textId="729F2C00" w:rsidR="001D0A5D" w:rsidRPr="001005B7" w:rsidRDefault="00DE163E" w:rsidP="00DE163E">
      <w:pPr>
        <w:ind w:firstLine="0"/>
        <w:rPr>
          <w:rFonts w:cstheme="minorHAnsi"/>
        </w:rPr>
      </w:pPr>
      <w:r w:rsidRPr="001005B7">
        <w:rPr>
          <w:rFonts w:cstheme="minorHAnsi"/>
          <w:b/>
          <w:bCs/>
        </w:rPr>
        <w:t>10:21</w:t>
      </w:r>
      <w:r w:rsidR="001D0A5D" w:rsidRPr="001005B7">
        <w:rPr>
          <w:rFonts w:cstheme="minorHAnsi"/>
        </w:rPr>
        <w:t xml:space="preserve"> </w:t>
      </w:r>
      <w:r w:rsidR="00C628FF" w:rsidRPr="001005B7">
        <w:rPr>
          <w:rFonts w:cstheme="minorHAnsi"/>
        </w:rPr>
        <w:t xml:space="preserve">For </w:t>
      </w:r>
      <w:r w:rsidR="00A51245" w:rsidRPr="001005B7">
        <w:rPr>
          <w:sz w:val="18"/>
          <w:szCs w:val="18"/>
        </w:rPr>
        <w:t>MT</w:t>
      </w:r>
      <w:r w:rsidR="00C628FF" w:rsidRPr="001005B7">
        <w:rPr>
          <w:rFonts w:cstheme="minorHAnsi"/>
        </w:rPr>
        <w:t xml:space="preserve"> </w:t>
      </w:r>
      <w:r w:rsidR="00510340" w:rsidRPr="001005B7">
        <w:rPr>
          <w:rFonts w:cstheme="minorHAnsi"/>
        </w:rPr>
        <w:t xml:space="preserve">“four wings,” </w:t>
      </w:r>
      <w:r w:rsidR="00F26D23" w:rsidRPr="001005B7">
        <w:rPr>
          <w:sz w:val="18"/>
          <w:szCs w:val="18"/>
        </w:rPr>
        <w:t>LXX</w:t>
      </w:r>
      <w:r w:rsidR="00F26D23" w:rsidRPr="001005B7">
        <w:t xml:space="preserve"> </w:t>
      </w:r>
      <w:r w:rsidR="001D0A5D" w:rsidRPr="001005B7">
        <w:rPr>
          <w:rFonts w:cstheme="minorHAnsi"/>
        </w:rPr>
        <w:t>has “eight</w:t>
      </w:r>
      <w:r w:rsidR="00FD46E9" w:rsidRPr="001005B7">
        <w:rPr>
          <w:rFonts w:cstheme="minorHAnsi"/>
        </w:rPr>
        <w:t xml:space="preserve"> wings</w:t>
      </w:r>
      <w:r w:rsidR="001D0A5D" w:rsidRPr="001005B7">
        <w:rPr>
          <w:rFonts w:cstheme="minorHAnsi"/>
        </w:rPr>
        <w:t>.”</w:t>
      </w:r>
    </w:p>
    <w:p w14:paraId="71F00CAD" w14:textId="7D63BF4C" w:rsidR="00995E03" w:rsidRPr="001005B7" w:rsidRDefault="00DE163E" w:rsidP="000353A9">
      <w:pPr>
        <w:ind w:firstLine="0"/>
        <w:rPr>
          <w:rFonts w:cstheme="minorHAnsi"/>
        </w:rPr>
      </w:pPr>
      <w:r w:rsidRPr="001005B7">
        <w:rPr>
          <w:rFonts w:cstheme="minorHAnsi"/>
          <w:b/>
          <w:bCs/>
        </w:rPr>
        <w:t>10:22</w:t>
      </w:r>
      <w:r w:rsidR="000E065F" w:rsidRPr="001005B7">
        <w:rPr>
          <w:rFonts w:cstheme="minorHAnsi"/>
        </w:rPr>
        <w:t xml:space="preserve"> </w:t>
      </w:r>
      <w:r w:rsidR="00B52C2F" w:rsidRPr="001005B7">
        <w:rPr>
          <w:rFonts w:cstheme="minorHAnsi"/>
        </w:rPr>
        <w:t xml:space="preserve">After </w:t>
      </w:r>
      <w:r w:rsidR="003001D1" w:rsidRPr="001005B7">
        <w:rPr>
          <w:rFonts w:cstheme="minorHAnsi"/>
        </w:rPr>
        <w:t>“I</w:t>
      </w:r>
      <w:r w:rsidR="00B52C2F" w:rsidRPr="001005B7">
        <w:rPr>
          <w:rFonts w:cstheme="minorHAnsi"/>
          <w:i/>
          <w:iCs/>
        </w:rPr>
        <w:t xml:space="preserve"> </w:t>
      </w:r>
      <w:r w:rsidR="00B52C2F" w:rsidRPr="001005B7">
        <w:rPr>
          <w:rFonts w:cstheme="minorHAnsi"/>
        </w:rPr>
        <w:t>saw,</w:t>
      </w:r>
      <w:r w:rsidR="003001D1" w:rsidRPr="001005B7">
        <w:rPr>
          <w:rFonts w:cstheme="minorHAnsi"/>
        </w:rPr>
        <w:t>”</w:t>
      </w:r>
      <w:r w:rsidR="00B52C2F" w:rsidRPr="001005B7">
        <w:rPr>
          <w:rFonts w:cstheme="minorHAnsi"/>
          <w:i/>
          <w:iCs/>
        </w:rPr>
        <w:t xml:space="preserve"> </w:t>
      </w:r>
      <w:r w:rsidR="00DF3B3C" w:rsidRPr="001005B7">
        <w:rPr>
          <w:sz w:val="18"/>
          <w:szCs w:val="18"/>
        </w:rPr>
        <w:t>LXX</w:t>
      </w:r>
      <w:r w:rsidR="00DF3B3C" w:rsidRPr="001005B7">
        <w:t xml:space="preserve"> </w:t>
      </w:r>
      <w:r w:rsidR="000E065F" w:rsidRPr="001005B7">
        <w:rPr>
          <w:rFonts w:cstheme="minorHAnsi"/>
        </w:rPr>
        <w:t>also has “</w:t>
      </w:r>
      <w:r w:rsidR="007F71FC" w:rsidRPr="001005B7">
        <w:rPr>
          <w:rFonts w:cstheme="minorHAnsi"/>
        </w:rPr>
        <w:t>below the glory of the God of Israe</w:t>
      </w:r>
      <w:r w:rsidR="00065E95" w:rsidRPr="001005B7">
        <w:rPr>
          <w:rFonts w:cstheme="minorHAnsi"/>
        </w:rPr>
        <w:t>l</w:t>
      </w:r>
      <w:r w:rsidR="008B3AC2" w:rsidRPr="001005B7">
        <w:rPr>
          <w:rFonts w:cstheme="minorHAnsi"/>
        </w:rPr>
        <w:t>.”</w:t>
      </w:r>
      <w:r w:rsidR="00DF3B3C" w:rsidRPr="001005B7">
        <w:rPr>
          <w:sz w:val="18"/>
          <w:szCs w:val="18"/>
        </w:rPr>
        <w:t xml:space="preserve"> LXX</w:t>
      </w:r>
      <w:r w:rsidR="005840D2" w:rsidRPr="001005B7">
        <w:rPr>
          <w:rFonts w:cstheme="minorHAnsi"/>
        </w:rPr>
        <w:t xml:space="preserve"> </w:t>
      </w:r>
      <w:r w:rsidR="001319A9" w:rsidRPr="001005B7">
        <w:rPr>
          <w:rFonts w:cstheme="minorHAnsi"/>
        </w:rPr>
        <w:t xml:space="preserve">then </w:t>
      </w:r>
      <w:r w:rsidR="005840D2" w:rsidRPr="001005B7">
        <w:rPr>
          <w:rFonts w:cstheme="minorHAnsi"/>
        </w:rPr>
        <w:t>lacks</w:t>
      </w:r>
      <w:r w:rsidR="00065E95" w:rsidRPr="001005B7">
        <w:rPr>
          <w:rFonts w:cstheme="minorHAnsi"/>
        </w:rPr>
        <w:t xml:space="preserve"> “their appearance and the</w:t>
      </w:r>
      <w:r w:rsidR="001E0CA5" w:rsidRPr="001005B7">
        <w:rPr>
          <w:rFonts w:cstheme="minorHAnsi"/>
        </w:rPr>
        <w:t>y themselves</w:t>
      </w:r>
      <w:r w:rsidR="005840D2" w:rsidRPr="001005B7">
        <w:rPr>
          <w:rFonts w:cstheme="minorHAnsi"/>
        </w:rPr>
        <w:t>,</w:t>
      </w:r>
      <w:r w:rsidR="00F64456" w:rsidRPr="001005B7">
        <w:rPr>
          <w:rFonts w:cstheme="minorHAnsi"/>
        </w:rPr>
        <w:t>”</w:t>
      </w:r>
      <w:r w:rsidR="005840D2" w:rsidRPr="001005B7">
        <w:rPr>
          <w:rFonts w:cstheme="minorHAnsi"/>
        </w:rPr>
        <w:t xml:space="preserve"> </w:t>
      </w:r>
      <w:r w:rsidR="00F64456" w:rsidRPr="001005B7">
        <w:rPr>
          <w:rFonts w:cstheme="minorHAnsi"/>
        </w:rPr>
        <w:t>perhaps anticipat</w:t>
      </w:r>
      <w:r w:rsidR="005840D2" w:rsidRPr="001005B7">
        <w:rPr>
          <w:rFonts w:cstheme="minorHAnsi"/>
        </w:rPr>
        <w:t>ing</w:t>
      </w:r>
      <w:r w:rsidR="00F64456" w:rsidRPr="001005B7">
        <w:rPr>
          <w:rFonts w:cstheme="minorHAnsi"/>
        </w:rPr>
        <w:t xml:space="preserve"> </w:t>
      </w:r>
      <w:r w:rsidR="00117564" w:rsidRPr="001005B7">
        <w:rPr>
          <w:rFonts w:cstheme="minorHAnsi"/>
        </w:rPr>
        <w:t xml:space="preserve">the judgment in </w:t>
      </w:r>
      <w:r w:rsidR="00F64456" w:rsidRPr="001005B7">
        <w:rPr>
          <w:rFonts w:cstheme="minorHAnsi"/>
        </w:rPr>
        <w:t>GK</w:t>
      </w:r>
      <w:r w:rsidR="00117564" w:rsidRPr="001005B7">
        <w:rPr>
          <w:rFonts w:cstheme="minorHAnsi"/>
        </w:rPr>
        <w:t xml:space="preserve"> 117m that it is “unintelligible</w:t>
      </w:r>
      <w:r w:rsidR="005840D2" w:rsidRPr="001005B7">
        <w:rPr>
          <w:rFonts w:cstheme="minorHAnsi"/>
        </w:rPr>
        <w:t>” (contrast</w:t>
      </w:r>
      <w:r w:rsidR="004E5620" w:rsidRPr="001005B7">
        <w:rPr>
          <w:rFonts w:cstheme="minorHAnsi"/>
        </w:rPr>
        <w:t xml:space="preserve"> </w:t>
      </w:r>
      <w:r w:rsidR="004E5620" w:rsidRPr="001005B7">
        <w:rPr>
          <w:rFonts w:cstheme="minorHAnsi"/>
          <w:i/>
          <w:iCs/>
        </w:rPr>
        <w:t xml:space="preserve">TTH </w:t>
      </w:r>
      <w:r w:rsidR="00E01DFA" w:rsidRPr="001005B7">
        <w:rPr>
          <w:rFonts w:cstheme="minorHAnsi"/>
        </w:rPr>
        <w:t>197 observation 2;</w:t>
      </w:r>
      <w:r w:rsidR="005840D2" w:rsidRPr="001005B7">
        <w:rPr>
          <w:rFonts w:cstheme="minorHAnsi"/>
        </w:rPr>
        <w:t xml:space="preserve"> </w:t>
      </w:r>
      <w:r w:rsidR="0016499F" w:rsidRPr="001005B7">
        <w:rPr>
          <w:rFonts w:cstheme="minorHAnsi"/>
        </w:rPr>
        <w:t>DG 94 remark 6).</w:t>
      </w:r>
    </w:p>
    <w:p w14:paraId="7C3C93F3" w14:textId="2A559C2D" w:rsidR="00440392" w:rsidRPr="001005B7" w:rsidRDefault="00CD0D03" w:rsidP="00493833">
      <w:pPr>
        <w:pStyle w:val="Heading3"/>
      </w:pPr>
      <w:r w:rsidRPr="001005B7">
        <w:t>Vers</w:t>
      </w:r>
      <w:r w:rsidR="009537C9" w:rsidRPr="001005B7">
        <w:t>e</w:t>
      </w:r>
      <w:r w:rsidRPr="001005B7">
        <w:t>-by-Verse Commentary</w:t>
      </w:r>
    </w:p>
    <w:p w14:paraId="68D82A1E" w14:textId="294000DA" w:rsidR="00C83FCA" w:rsidRPr="001005B7" w:rsidRDefault="00C569B1" w:rsidP="00C83FCA">
      <w:r w:rsidRPr="001005B7">
        <w:rPr>
          <w:b/>
          <w:bCs/>
        </w:rPr>
        <w:t>10:</w:t>
      </w:r>
      <w:r w:rsidR="00CD0D03" w:rsidRPr="001005B7">
        <w:rPr>
          <w:b/>
          <w:bCs/>
        </w:rPr>
        <w:t xml:space="preserve">1 </w:t>
      </w:r>
      <w:r w:rsidR="00C53B89" w:rsidRPr="001005B7">
        <w:t>Ezekiel begins</w:t>
      </w:r>
      <w:r w:rsidR="00011C97" w:rsidRPr="001005B7">
        <w:t xml:space="preserve"> </w:t>
      </w:r>
      <w:r w:rsidR="006D385F" w:rsidRPr="001005B7">
        <w:t xml:space="preserve">Act 3 </w:t>
      </w:r>
      <w:proofErr w:type="spellStart"/>
      <w:r w:rsidR="00C53B89" w:rsidRPr="001005B7">
        <w:t>resu</w:t>
      </w:r>
      <w:r w:rsidR="00587276" w:rsidRPr="001005B7">
        <w:t>mptively</w:t>
      </w:r>
      <w:proofErr w:type="spellEnd"/>
      <w:r w:rsidR="00587276" w:rsidRPr="001005B7">
        <w:t xml:space="preserve">, reminding his hearers </w:t>
      </w:r>
      <w:r w:rsidR="00156AC2" w:rsidRPr="001005B7">
        <w:t>o</w:t>
      </w:r>
      <w:r w:rsidR="00587276" w:rsidRPr="001005B7">
        <w:t>f where he is</w:t>
      </w:r>
      <w:r w:rsidR="00FA0B8E" w:rsidRPr="001005B7">
        <w:t xml:space="preserve"> </w:t>
      </w:r>
      <w:r w:rsidR="00C162A9" w:rsidRPr="001005B7">
        <w:t xml:space="preserve">in his vision </w:t>
      </w:r>
      <w:r w:rsidR="00FA0B8E" w:rsidRPr="001005B7">
        <w:t>and of the setting of the events that are unfolding in front of him</w:t>
      </w:r>
      <w:r w:rsidR="00B539A9" w:rsidRPr="001005B7">
        <w:t xml:space="preserve">, and providing some background to </w:t>
      </w:r>
      <w:r w:rsidR="00031C1A" w:rsidRPr="001005B7">
        <w:t xml:space="preserve">what </w:t>
      </w:r>
      <w:r w:rsidR="00EC0064" w:rsidRPr="001005B7">
        <w:t>will</w:t>
      </w:r>
      <w:r w:rsidR="00031C1A" w:rsidRPr="001005B7">
        <w:t xml:space="preserve"> follow in </w:t>
      </w:r>
      <w:r w:rsidR="0042084A" w:rsidRPr="001005B7">
        <w:t>10:</w:t>
      </w:r>
      <w:r w:rsidR="00031C1A" w:rsidRPr="001005B7">
        <w:t>2</w:t>
      </w:r>
      <w:r w:rsidR="00F46900" w:rsidRPr="001005B7">
        <w:t>–</w:t>
      </w:r>
      <w:r w:rsidR="00031C1A" w:rsidRPr="001005B7">
        <w:t>8</w:t>
      </w:r>
      <w:r w:rsidR="00D301BC" w:rsidRPr="001005B7">
        <w:t>.</w:t>
      </w:r>
      <w:r w:rsidR="0077511C" w:rsidRPr="001005B7">
        <w:t xml:space="preserve"> </w:t>
      </w:r>
      <w:r w:rsidR="00941261">
        <w:t xml:space="preserve">In part one </w:t>
      </w:r>
      <w:r w:rsidR="00D301BC" w:rsidRPr="001005B7">
        <w:t>might</w:t>
      </w:r>
      <w:r w:rsidR="00776F7D">
        <w:t xml:space="preserve"> </w:t>
      </w:r>
      <w:r w:rsidR="00123EDA">
        <w:t xml:space="preserve">thus </w:t>
      </w:r>
      <w:r w:rsidR="00D301BC" w:rsidRPr="001005B7">
        <w:t xml:space="preserve">see this verse as </w:t>
      </w:r>
      <w:r w:rsidR="007E3241" w:rsidRPr="001005B7">
        <w:t xml:space="preserve">a </w:t>
      </w:r>
      <w:r w:rsidR="0077511C" w:rsidRPr="001005B7">
        <w:t>foot</w:t>
      </w:r>
      <w:r w:rsidR="007E3241" w:rsidRPr="001005B7">
        <w:t xml:space="preserve">note </w:t>
      </w:r>
      <w:r w:rsidR="00BB78FF" w:rsidRPr="001005B7">
        <w:t>to</w:t>
      </w:r>
      <w:r w:rsidR="007E3241" w:rsidRPr="001005B7">
        <w:t xml:space="preserve"> </w:t>
      </w:r>
      <w:r w:rsidR="00445BC7" w:rsidRPr="001005B7">
        <w:t>Act 2</w:t>
      </w:r>
      <w:r w:rsidR="00CA3BF4" w:rsidRPr="001005B7">
        <w:t xml:space="preserve">. It doesn’t answer the questions </w:t>
      </w:r>
      <w:r w:rsidR="00E77BD7" w:rsidRPr="001005B7">
        <w:t xml:space="preserve">that were </w:t>
      </w:r>
      <w:r w:rsidR="00CA3BF4" w:rsidRPr="001005B7">
        <w:t xml:space="preserve">left unresolved at the end of </w:t>
      </w:r>
      <w:r w:rsidR="00CD5550" w:rsidRPr="001005B7">
        <w:t>Act 2</w:t>
      </w:r>
      <w:r w:rsidR="00E77BD7" w:rsidRPr="001005B7">
        <w:t xml:space="preserve">, but it does make explicit the answer to another question that Ezekiel’s </w:t>
      </w:r>
      <w:r w:rsidR="006A5070" w:rsidRPr="001005B7">
        <w:t xml:space="preserve">readers might have in mind. They know about the </w:t>
      </w:r>
      <w:r w:rsidR="00B617D9" w:rsidRPr="001005B7">
        <w:t xml:space="preserve">symbolic </w:t>
      </w:r>
      <w:r w:rsidR="003001D1" w:rsidRPr="001005B7">
        <w:t>griffin</w:t>
      </w:r>
      <w:r w:rsidR="006A5070" w:rsidRPr="001005B7">
        <w:t>s in the temple</w:t>
      </w:r>
      <w:r w:rsidR="00692CC6" w:rsidRPr="001005B7">
        <w:t xml:space="preserve"> on which Yahweh</w:t>
      </w:r>
      <w:r w:rsidR="00180CEB" w:rsidRPr="001005B7">
        <w:t xml:space="preserve"> in his</w:t>
      </w:r>
      <w:r w:rsidR="00692CC6" w:rsidRPr="001005B7">
        <w:t xml:space="preserve"> </w:t>
      </w:r>
      <w:r w:rsidR="00180CEB" w:rsidRPr="001005B7">
        <w:t>magnificence</w:t>
      </w:r>
      <w:r w:rsidR="003A3C84" w:rsidRPr="001005B7">
        <w:t xml:space="preserve"> was </w:t>
      </w:r>
      <w:r w:rsidR="00952A1C" w:rsidRPr="001005B7">
        <w:t>en</w:t>
      </w:r>
      <w:r w:rsidR="003A3C84" w:rsidRPr="001005B7">
        <w:t xml:space="preserve">throned </w:t>
      </w:r>
      <w:r w:rsidR="00172282" w:rsidRPr="001005B7">
        <w:t>(</w:t>
      </w:r>
      <w:r w:rsidR="00981139" w:rsidRPr="001005B7">
        <w:t>cf.</w:t>
      </w:r>
      <w:r w:rsidR="00902A86" w:rsidRPr="001005B7">
        <w:t xml:space="preserve"> </w:t>
      </w:r>
      <w:r w:rsidR="00981139" w:rsidRPr="001005B7">
        <w:t xml:space="preserve">9:3) </w:t>
      </w:r>
      <w:r w:rsidR="003A3C84" w:rsidRPr="001005B7">
        <w:t>and they kn</w:t>
      </w:r>
      <w:r w:rsidR="009676CD" w:rsidRPr="001005B7">
        <w:t>o</w:t>
      </w:r>
      <w:r w:rsidR="003A3C84" w:rsidRPr="001005B7">
        <w:t>w</w:t>
      </w:r>
      <w:r w:rsidR="009676CD" w:rsidRPr="001005B7">
        <w:t xml:space="preserve"> something</w:t>
      </w:r>
      <w:r w:rsidR="003A3C84" w:rsidRPr="001005B7">
        <w:t xml:space="preserve"> about </w:t>
      </w:r>
      <w:r w:rsidR="00C54E1C" w:rsidRPr="001005B7">
        <w:t>Yahweh’s appearances to Ezekiel</w:t>
      </w:r>
      <w:r w:rsidR="005F5514" w:rsidRPr="001005B7">
        <w:t>,</w:t>
      </w:r>
      <w:r w:rsidR="00C54E1C" w:rsidRPr="001005B7">
        <w:t xml:space="preserve"> </w:t>
      </w:r>
      <w:r w:rsidR="007320B9" w:rsidRPr="001005B7">
        <w:t>the living creatures</w:t>
      </w:r>
      <w:r w:rsidR="005F5514" w:rsidRPr="001005B7">
        <w:t>,</w:t>
      </w:r>
      <w:r w:rsidR="00952A1C" w:rsidRPr="001005B7">
        <w:t xml:space="preserve"> the </w:t>
      </w:r>
      <w:r w:rsidR="00221B16" w:rsidRPr="001005B7">
        <w:t>sapphire</w:t>
      </w:r>
      <w:r w:rsidR="00952A1C" w:rsidRPr="001005B7">
        <w:t xml:space="preserve"> </w:t>
      </w:r>
      <w:r w:rsidR="0000729C" w:rsidRPr="001005B7">
        <w:t>stone</w:t>
      </w:r>
      <w:r w:rsidR="005F5514" w:rsidRPr="001005B7">
        <w:t>,</w:t>
      </w:r>
      <w:r w:rsidR="00CE39A3" w:rsidRPr="001005B7">
        <w:t xml:space="preserve"> the platform,</w:t>
      </w:r>
      <w:r w:rsidR="0000729C" w:rsidRPr="001005B7">
        <w:t xml:space="preserve"> and the throne </w:t>
      </w:r>
      <w:r w:rsidR="000F0888" w:rsidRPr="001005B7">
        <w:t>(cf. 1:4</w:t>
      </w:r>
      <w:r w:rsidR="00F46900" w:rsidRPr="001005B7">
        <w:t>–</w:t>
      </w:r>
      <w:r w:rsidR="000F0888" w:rsidRPr="001005B7">
        <w:t>28</w:t>
      </w:r>
      <w:r w:rsidR="00AF144F" w:rsidRPr="001005B7">
        <w:t>; 8:1</w:t>
      </w:r>
      <w:r w:rsidR="00F46900" w:rsidRPr="001005B7">
        <w:t>–</w:t>
      </w:r>
      <w:r w:rsidR="00AF144F" w:rsidRPr="001005B7">
        <w:t>4)</w:t>
      </w:r>
      <w:r w:rsidR="001873B8" w:rsidRPr="001005B7">
        <w:t>.</w:t>
      </w:r>
      <w:r w:rsidR="00713CE1" w:rsidRPr="001005B7">
        <w:t xml:space="preserve"> </w:t>
      </w:r>
      <w:r w:rsidR="001873B8" w:rsidRPr="001005B7">
        <w:t>I</w:t>
      </w:r>
      <w:r w:rsidR="00713CE1" w:rsidRPr="001005B7">
        <w:t xml:space="preserve">n case they had not been sure, Ezekiel </w:t>
      </w:r>
      <w:r w:rsidR="00FB40A3" w:rsidRPr="001005B7">
        <w:t>now identifies the two</w:t>
      </w:r>
      <w:r w:rsidR="002F48FA" w:rsidRPr="001005B7">
        <w:t>, while by no means satisfying every question the</w:t>
      </w:r>
      <w:r w:rsidR="00C14278" w:rsidRPr="001005B7">
        <w:t xml:space="preserve"> </w:t>
      </w:r>
      <w:r w:rsidR="00703A86" w:rsidRPr="001005B7">
        <w:t>hearers</w:t>
      </w:r>
      <w:r w:rsidR="002F48FA" w:rsidRPr="001005B7">
        <w:t xml:space="preserve"> might have had about them—indeed, his words add to the</w:t>
      </w:r>
      <w:r w:rsidR="00F27305">
        <w:t xml:space="preserve"> questions</w:t>
      </w:r>
      <w:r w:rsidR="00FB40A3" w:rsidRPr="001005B7">
        <w:t>. The living creatures in Ezek 1</w:t>
      </w:r>
      <w:r w:rsidR="00F46900" w:rsidRPr="001005B7">
        <w:t>–</w:t>
      </w:r>
      <w:r w:rsidR="003205B0" w:rsidRPr="001005B7">
        <w:t xml:space="preserve">3 </w:t>
      </w:r>
      <w:r w:rsidR="00FB40A3" w:rsidRPr="001005B7">
        <w:t xml:space="preserve">were visionary equivalents of the </w:t>
      </w:r>
      <w:r w:rsidR="00FD36B8" w:rsidRPr="001005B7">
        <w:t xml:space="preserve">wooden </w:t>
      </w:r>
      <w:r w:rsidR="003001D1" w:rsidRPr="001005B7">
        <w:t>griffin</w:t>
      </w:r>
      <w:r w:rsidR="00FD36B8" w:rsidRPr="001005B7">
        <w:t>s in the temple, and both</w:t>
      </w:r>
      <w:r w:rsidR="009B1A15" w:rsidRPr="001005B7">
        <w:t xml:space="preserve"> pointed to</w:t>
      </w:r>
      <w:r w:rsidR="00FD36B8" w:rsidRPr="001005B7">
        <w:t xml:space="preserve"> </w:t>
      </w:r>
      <w:r w:rsidR="003205B0" w:rsidRPr="001005B7">
        <w:t xml:space="preserve">the reality of Yahweh the God of Israel as the Lord enthroned in his </w:t>
      </w:r>
      <w:r w:rsidR="003E041D" w:rsidRPr="001005B7">
        <w:t>supernatural</w:t>
      </w:r>
      <w:r w:rsidR="003205B0" w:rsidRPr="001005B7">
        <w:t xml:space="preserve"> realm</w:t>
      </w:r>
      <w:r w:rsidR="003E041D" w:rsidRPr="001005B7">
        <w:t xml:space="preserve"> outside the heavens and the earth but </w:t>
      </w:r>
      <w:r w:rsidR="002405D4" w:rsidRPr="001005B7">
        <w:t xml:space="preserve">also present for his people and able to make his presence </w:t>
      </w:r>
      <w:r w:rsidR="00F91518" w:rsidRPr="001005B7">
        <w:t>felt anywhere in the heavens and the earth</w:t>
      </w:r>
      <w:r w:rsidR="00B539A9" w:rsidRPr="001005B7">
        <w:t>.</w:t>
      </w:r>
      <w:r w:rsidR="00C83FCA" w:rsidRPr="001005B7">
        <w:t xml:space="preserve"> Yet </w:t>
      </w:r>
      <w:r w:rsidR="009B1A15" w:rsidRPr="001005B7">
        <w:t>t</w:t>
      </w:r>
      <w:r w:rsidR="00C83FCA" w:rsidRPr="001005B7">
        <w:t xml:space="preserve">he creatures in </w:t>
      </w:r>
      <w:r w:rsidR="001D0ADC" w:rsidRPr="001005B7">
        <w:t>Ezekiel’s</w:t>
      </w:r>
      <w:r w:rsidR="00C83FCA" w:rsidRPr="001005B7">
        <w:t xml:space="preserve"> vision were quite different from the </w:t>
      </w:r>
      <w:r w:rsidR="003001D1" w:rsidRPr="001005B7">
        <w:t>griffin</w:t>
      </w:r>
      <w:r w:rsidR="00C83FCA" w:rsidRPr="001005B7">
        <w:t xml:space="preserve">s in the temple: there were four instead of two, with four wings and </w:t>
      </w:r>
      <w:r w:rsidR="005773A4" w:rsidRPr="001005B7">
        <w:t>four h</w:t>
      </w:r>
      <w:r w:rsidR="00C83FCA" w:rsidRPr="001005B7">
        <w:t xml:space="preserve">eads instead of two, and </w:t>
      </w:r>
      <w:r w:rsidR="005773A4" w:rsidRPr="001005B7">
        <w:t xml:space="preserve">with </w:t>
      </w:r>
      <w:r w:rsidR="00C83FCA" w:rsidRPr="001005B7">
        <w:t>the likeness of eagle, bull, lion, and human being. So it’s not surprising if Ezekiel did not make the connection immediately</w:t>
      </w:r>
      <w:r w:rsidR="001D0ADC" w:rsidRPr="001005B7">
        <w:t>, and if he did not assume his people would</w:t>
      </w:r>
      <w:r w:rsidR="00937660" w:rsidRPr="001005B7">
        <w:t xml:space="preserve"> (Block</w:t>
      </w:r>
      <w:r w:rsidR="00E551EA" w:rsidRPr="001005B7">
        <w:t>,</w:t>
      </w:r>
      <w:r w:rsidR="00937660" w:rsidRPr="001005B7">
        <w:t xml:space="preserve"> 1:319</w:t>
      </w:r>
      <w:r w:rsidR="00F46900" w:rsidRPr="001005B7">
        <w:t>–</w:t>
      </w:r>
      <w:r w:rsidR="00937660" w:rsidRPr="001005B7">
        <w:t>20).</w:t>
      </w:r>
      <w:r w:rsidR="00C44A93" w:rsidRPr="001005B7">
        <w:rPr>
          <w:rStyle w:val="FootnoteReference"/>
        </w:rPr>
        <w:footnoteReference w:id="263"/>
      </w:r>
      <w:r w:rsidR="00011C97" w:rsidRPr="001005B7">
        <w:t xml:space="preserve"> </w:t>
      </w:r>
    </w:p>
    <w:p w14:paraId="6894E020" w14:textId="77777777" w:rsidR="0008319E" w:rsidRDefault="00351444" w:rsidP="00900E1F">
      <w:r w:rsidRPr="001005B7">
        <w:rPr>
          <w:b/>
          <w:bCs/>
        </w:rPr>
        <w:t>10:</w:t>
      </w:r>
      <w:r w:rsidR="00F65AB0" w:rsidRPr="001005B7">
        <w:rPr>
          <w:b/>
          <w:bCs/>
        </w:rPr>
        <w:t xml:space="preserve">2 </w:t>
      </w:r>
      <w:r w:rsidR="008F2F8F">
        <w:t>He</w:t>
      </w:r>
      <w:r w:rsidR="00F65AB0" w:rsidRPr="001005B7">
        <w:t xml:space="preserve"> begins as he did in 8:</w:t>
      </w:r>
      <w:r w:rsidR="00D07E5B" w:rsidRPr="001005B7">
        <w:t xml:space="preserve">5 and 9:1, simply with </w:t>
      </w:r>
      <w:r w:rsidR="003001D1" w:rsidRPr="001005B7">
        <w:t>“</w:t>
      </w:r>
      <w:r w:rsidR="007661D6" w:rsidRPr="001005B7">
        <w:t>he said</w:t>
      </w:r>
      <w:r w:rsidR="003001D1" w:rsidRPr="001005B7">
        <w:t>”</w:t>
      </w:r>
      <w:r w:rsidR="007661D6" w:rsidRPr="001005B7">
        <w:t xml:space="preserve">: there is hardly need to identify who </w:t>
      </w:r>
      <w:r w:rsidR="007661D6" w:rsidRPr="001005B7">
        <w:rPr>
          <w:i/>
          <w:iCs/>
        </w:rPr>
        <w:t>he</w:t>
      </w:r>
      <w:r w:rsidR="007661D6" w:rsidRPr="001005B7">
        <w:t xml:space="preserve"> is. </w:t>
      </w:r>
      <w:r w:rsidR="00742CDC" w:rsidRPr="001005B7">
        <w:t>But in effect</w:t>
      </w:r>
      <w:r w:rsidR="00E133FC" w:rsidRPr="001005B7">
        <w:t xml:space="preserve"> </w:t>
      </w:r>
      <w:r w:rsidR="00CD4B84" w:rsidRPr="001005B7">
        <w:t>Ezekiel picks up the</w:t>
      </w:r>
      <w:r w:rsidR="00EC1110" w:rsidRPr="001005B7">
        <w:t xml:space="preserve"> “he”</w:t>
      </w:r>
      <w:r w:rsidR="00CD4B84" w:rsidRPr="001005B7">
        <w:rPr>
          <w:i/>
          <w:iCs/>
        </w:rPr>
        <w:t xml:space="preserve"> </w:t>
      </w:r>
      <w:r w:rsidR="00CD4B84" w:rsidRPr="001005B7">
        <w:t>from 9:9</w:t>
      </w:r>
      <w:r w:rsidR="00F46900" w:rsidRPr="001005B7">
        <w:t>–</w:t>
      </w:r>
      <w:r w:rsidR="00CD4B84" w:rsidRPr="001005B7">
        <w:t>11</w:t>
      </w:r>
      <w:r w:rsidR="000B0547" w:rsidRPr="001005B7">
        <w:t xml:space="preserve"> and</w:t>
      </w:r>
      <w:r w:rsidR="00224F00" w:rsidRPr="001005B7">
        <w:t xml:space="preserve"> </w:t>
      </w:r>
      <w:r w:rsidR="00D30925" w:rsidRPr="001005B7">
        <w:t>Yahweh</w:t>
      </w:r>
      <w:r w:rsidR="002B7AB3" w:rsidRPr="001005B7">
        <w:t xml:space="preserve"> resumes his conversation with </w:t>
      </w:r>
      <w:r w:rsidR="003001D1" w:rsidRPr="001005B7">
        <w:t>“</w:t>
      </w:r>
      <w:r w:rsidR="002B7AB3" w:rsidRPr="001005B7">
        <w:t>the</w:t>
      </w:r>
      <w:r w:rsidR="002B7AB3" w:rsidRPr="001005B7">
        <w:rPr>
          <w:i/>
          <w:iCs/>
        </w:rPr>
        <w:t xml:space="preserve"> </w:t>
      </w:r>
      <w:r w:rsidR="005E7AF0" w:rsidRPr="001005B7">
        <w:t>individual</w:t>
      </w:r>
      <w:r w:rsidR="002B7AB3" w:rsidRPr="001005B7">
        <w:rPr>
          <w:i/>
          <w:iCs/>
        </w:rPr>
        <w:t xml:space="preserve"> </w:t>
      </w:r>
      <w:r w:rsidR="002B7AB3" w:rsidRPr="001005B7">
        <w:t>clothed</w:t>
      </w:r>
      <w:r w:rsidR="002B7AB3" w:rsidRPr="001005B7">
        <w:rPr>
          <w:i/>
          <w:iCs/>
        </w:rPr>
        <w:t xml:space="preserve"> </w:t>
      </w:r>
      <w:r w:rsidR="002B7AB3" w:rsidRPr="001005B7">
        <w:t>in</w:t>
      </w:r>
      <w:r w:rsidR="002B7AB3" w:rsidRPr="001005B7">
        <w:rPr>
          <w:i/>
          <w:iCs/>
        </w:rPr>
        <w:t xml:space="preserve"> </w:t>
      </w:r>
      <w:r w:rsidR="002B7AB3" w:rsidRPr="001005B7">
        <w:t>linen</w:t>
      </w:r>
      <w:r w:rsidR="003001D1" w:rsidRPr="001005B7">
        <w:t>”</w:t>
      </w:r>
      <w:r w:rsidR="002B7AB3" w:rsidRPr="001005B7">
        <w:t xml:space="preserve"> </w:t>
      </w:r>
      <w:r w:rsidR="00293246" w:rsidRPr="001005B7">
        <w:t xml:space="preserve">from </w:t>
      </w:r>
      <w:r w:rsidR="004E5A7E" w:rsidRPr="001005B7">
        <w:t>there</w:t>
      </w:r>
      <w:r w:rsidR="003A1009" w:rsidRPr="001005B7">
        <w:t>,</w:t>
      </w:r>
      <w:r w:rsidR="00D73C25" w:rsidRPr="001005B7">
        <w:t xml:space="preserve"> and</w:t>
      </w:r>
      <w:r w:rsidR="00BF273F" w:rsidRPr="001005B7">
        <w:t xml:space="preserve"> gives </w:t>
      </w:r>
      <w:r w:rsidR="00D73C25" w:rsidRPr="001005B7">
        <w:t>him</w:t>
      </w:r>
      <w:r w:rsidR="00714EBB" w:rsidRPr="001005B7">
        <w:t xml:space="preserve"> another commission</w:t>
      </w:r>
      <w:r w:rsidR="0007728D" w:rsidRPr="001005B7">
        <w:t xml:space="preserve"> in which he speaks of a </w:t>
      </w:r>
      <w:r w:rsidR="003001D1" w:rsidRPr="001005B7">
        <w:t>“</w:t>
      </w:r>
      <w:r w:rsidR="0007728D" w:rsidRPr="001005B7">
        <w:t>roller</w:t>
      </w:r>
      <w:r w:rsidR="003001D1" w:rsidRPr="001005B7">
        <w:t>”</w:t>
      </w:r>
      <w:r w:rsidR="0007728D" w:rsidRPr="001005B7">
        <w:rPr>
          <w:i/>
          <w:iCs/>
        </w:rPr>
        <w:t xml:space="preserve"> </w:t>
      </w:r>
      <w:r w:rsidR="0007728D" w:rsidRPr="001005B7">
        <w:t>(</w:t>
      </w:r>
      <w:r w:rsidR="00D66E95" w:rsidRPr="001005B7">
        <w:rPr>
          <w:rFonts w:cstheme="minorHAnsi"/>
          <w:rtl/>
          <w:lang w:bidi="he-IL"/>
        </w:rPr>
        <w:t>גַ</w:t>
      </w:r>
      <w:r w:rsidR="00947DED" w:rsidRPr="001005B7">
        <w:rPr>
          <w:rFonts w:cstheme="minorHAnsi"/>
          <w:rtl/>
          <w:lang w:bidi="he-IL"/>
        </w:rPr>
        <w:t>ּ</w:t>
      </w:r>
      <w:r w:rsidR="00D66E95" w:rsidRPr="001005B7">
        <w:rPr>
          <w:rFonts w:cstheme="minorHAnsi"/>
          <w:rtl/>
          <w:lang w:bidi="he-IL"/>
        </w:rPr>
        <w:t>לְגַ</w:t>
      </w:r>
      <w:r w:rsidR="009173F6" w:rsidRPr="001005B7">
        <w:rPr>
          <w:rFonts w:cstheme="minorHAnsi"/>
          <w:rtl/>
          <w:lang w:bidi="he-IL"/>
        </w:rPr>
        <w:t>ל</w:t>
      </w:r>
      <w:r w:rsidR="00CC0D15" w:rsidRPr="001005B7">
        <w:t>),</w:t>
      </w:r>
      <w:r w:rsidR="009173F6" w:rsidRPr="001005B7">
        <w:t xml:space="preserve"> </w:t>
      </w:r>
      <w:r w:rsidR="00CC0D15" w:rsidRPr="001005B7">
        <w:t xml:space="preserve">a corporate term for the wheels, and </w:t>
      </w:r>
      <w:r w:rsidR="005C63FB" w:rsidRPr="001005B7">
        <w:t xml:space="preserve">of </w:t>
      </w:r>
      <w:r w:rsidR="00E01998" w:rsidRPr="001005B7">
        <w:t xml:space="preserve">a </w:t>
      </w:r>
      <w:r w:rsidR="003001D1" w:rsidRPr="001005B7">
        <w:t>“griffin”</w:t>
      </w:r>
      <w:r w:rsidR="00E01998" w:rsidRPr="001005B7">
        <w:rPr>
          <w:i/>
          <w:iCs/>
        </w:rPr>
        <w:t xml:space="preserve"> </w:t>
      </w:r>
      <w:r w:rsidR="00E01998" w:rsidRPr="001005B7">
        <w:t xml:space="preserve">in the singular, which </w:t>
      </w:r>
      <w:r w:rsidR="00740001" w:rsidRPr="001005B7">
        <w:t>Ezekiel</w:t>
      </w:r>
      <w:r w:rsidR="00E01998" w:rsidRPr="001005B7">
        <w:t xml:space="preserve"> also use</w:t>
      </w:r>
      <w:r w:rsidR="00740001" w:rsidRPr="001005B7">
        <w:t>s</w:t>
      </w:r>
      <w:r w:rsidR="00E01998" w:rsidRPr="001005B7">
        <w:t xml:space="preserve"> as a </w:t>
      </w:r>
      <w:r w:rsidR="00A10B2E" w:rsidRPr="001005B7">
        <w:t xml:space="preserve">corporate term for the </w:t>
      </w:r>
      <w:r w:rsidR="003001D1" w:rsidRPr="001005B7">
        <w:t>griffin</w:t>
      </w:r>
      <w:r w:rsidR="00A10B2E" w:rsidRPr="001005B7">
        <w:t xml:space="preserve"> arrangement as a whole.</w:t>
      </w:r>
      <w:r w:rsidR="005C63FB" w:rsidRPr="001005B7">
        <w:t xml:space="preserve"> </w:t>
      </w:r>
      <w:r w:rsidR="000713F2" w:rsidRPr="001005B7">
        <w:t xml:space="preserve">Interpreters usually assume </w:t>
      </w:r>
      <w:r w:rsidR="00B062A4" w:rsidRPr="001005B7">
        <w:t xml:space="preserve">that </w:t>
      </w:r>
      <w:r w:rsidR="005C63FB" w:rsidRPr="001005B7">
        <w:t>Yahweh’s</w:t>
      </w:r>
      <w:r w:rsidR="000713F2" w:rsidRPr="001005B7">
        <w:t xml:space="preserve"> commission</w:t>
      </w:r>
      <w:r w:rsidR="00192835" w:rsidRPr="001005B7">
        <w:t xml:space="preserve"> </w:t>
      </w:r>
      <w:r w:rsidR="003A1009" w:rsidRPr="001005B7">
        <w:t xml:space="preserve">then </w:t>
      </w:r>
      <w:r w:rsidR="00192835" w:rsidRPr="001005B7">
        <w:t>entails</w:t>
      </w:r>
      <w:r w:rsidR="000713F2" w:rsidRPr="001005B7">
        <w:t xml:space="preserve"> torch</w:t>
      </w:r>
      <w:r w:rsidR="00192835" w:rsidRPr="001005B7">
        <w:t>ing</w:t>
      </w:r>
      <w:r w:rsidR="000713F2" w:rsidRPr="001005B7">
        <w:t xml:space="preserve"> the city, </w:t>
      </w:r>
      <w:r w:rsidR="0055368B" w:rsidRPr="001005B7">
        <w:t>a commission that would be fulfilled in 587</w:t>
      </w:r>
      <w:r w:rsidR="00786ADF" w:rsidRPr="001005B7">
        <w:t xml:space="preserve">—more literally than </w:t>
      </w:r>
      <w:r w:rsidR="00EB5FF6" w:rsidRPr="001005B7">
        <w:t xml:space="preserve">the </w:t>
      </w:r>
      <w:r w:rsidR="00B062A4" w:rsidRPr="001005B7">
        <w:t xml:space="preserve">fulfilling of </w:t>
      </w:r>
      <w:r w:rsidR="00786ADF" w:rsidRPr="001005B7">
        <w:t>the commission to the other six aides</w:t>
      </w:r>
      <w:r w:rsidR="002A4261" w:rsidRPr="001005B7">
        <w:t xml:space="preserve"> (see 2</w:t>
      </w:r>
      <w:r w:rsidR="008D1847" w:rsidRPr="001005B7">
        <w:t> </w:t>
      </w:r>
      <w:r w:rsidR="006558CA" w:rsidRPr="001005B7">
        <w:t>Kgs</w:t>
      </w:r>
      <w:r w:rsidR="002A4261" w:rsidRPr="001005B7">
        <w:t xml:space="preserve"> 25:9)</w:t>
      </w:r>
      <w:r w:rsidR="0055368B" w:rsidRPr="001005B7">
        <w:t>. B</w:t>
      </w:r>
      <w:r w:rsidR="001C477C" w:rsidRPr="001005B7">
        <w:t xml:space="preserve">ut a series of considerations make this </w:t>
      </w:r>
      <w:r w:rsidR="0055368B" w:rsidRPr="001005B7">
        <w:t xml:space="preserve">an </w:t>
      </w:r>
      <w:r w:rsidR="001C477C" w:rsidRPr="001005B7">
        <w:t>implausible</w:t>
      </w:r>
      <w:r w:rsidR="0055368B" w:rsidRPr="001005B7">
        <w:t xml:space="preserve"> interpretation</w:t>
      </w:r>
      <w:r w:rsidR="008C5CD8">
        <w:t xml:space="preserve"> of the commission to the person clothed in linen</w:t>
      </w:r>
      <w:r w:rsidR="001C477C" w:rsidRPr="001005B7">
        <w:t xml:space="preserve">. </w:t>
      </w:r>
    </w:p>
    <w:p w14:paraId="188F8D77" w14:textId="35787107" w:rsidR="00F51644" w:rsidRPr="001005B7" w:rsidRDefault="001138DE" w:rsidP="00900E1F">
      <w:r>
        <w:t>First, s</w:t>
      </w:r>
      <w:r w:rsidR="00AF2824" w:rsidRPr="001005B7">
        <w:t>uch a</w:t>
      </w:r>
      <w:r w:rsidR="004850FB" w:rsidRPr="001005B7">
        <w:t xml:space="preserve"> task </w:t>
      </w:r>
      <w:r w:rsidR="00AF2824" w:rsidRPr="001005B7">
        <w:t xml:space="preserve">would </w:t>
      </w:r>
      <w:r w:rsidR="004850FB" w:rsidRPr="001005B7">
        <w:t>compare with th</w:t>
      </w:r>
      <w:r w:rsidR="007A57B9">
        <w:t xml:space="preserve">e task </w:t>
      </w:r>
      <w:r w:rsidR="00226E61" w:rsidRPr="001005B7">
        <w:t xml:space="preserve">of </w:t>
      </w:r>
      <w:r w:rsidR="000D10E5" w:rsidRPr="001005B7">
        <w:t xml:space="preserve">the </w:t>
      </w:r>
      <w:r w:rsidR="00AF2824" w:rsidRPr="001005B7">
        <w:t xml:space="preserve">other </w:t>
      </w:r>
      <w:r w:rsidR="000D10E5" w:rsidRPr="001005B7">
        <w:t xml:space="preserve">six aides, </w:t>
      </w:r>
      <w:r w:rsidR="00AF2824" w:rsidRPr="001005B7">
        <w:t xml:space="preserve">of </w:t>
      </w:r>
      <w:r w:rsidR="00226E61" w:rsidRPr="001005B7">
        <w:t>bringing destruction</w:t>
      </w:r>
      <w:r w:rsidR="0041650D" w:rsidRPr="001005B7">
        <w:t>.</w:t>
      </w:r>
      <w:r w:rsidR="00226E61" w:rsidRPr="001005B7">
        <w:t xml:space="preserve"> </w:t>
      </w:r>
      <w:r w:rsidR="0041650D" w:rsidRPr="001005B7">
        <w:t>I</w:t>
      </w:r>
      <w:r w:rsidR="00226E61" w:rsidRPr="001005B7">
        <w:t xml:space="preserve">t </w:t>
      </w:r>
      <w:r w:rsidR="00161A09" w:rsidRPr="001005B7">
        <w:t>would</w:t>
      </w:r>
      <w:r w:rsidR="00226E61" w:rsidRPr="001005B7">
        <w:t xml:space="preserve"> not compare with the task </w:t>
      </w:r>
      <w:r w:rsidR="00EB5FF6" w:rsidRPr="001005B7">
        <w:t>given to</w:t>
      </w:r>
      <w:r w:rsidR="00226E61" w:rsidRPr="001005B7">
        <w:t xml:space="preserve"> the person in linen</w:t>
      </w:r>
      <w:r w:rsidR="00CD365C" w:rsidRPr="001005B7">
        <w:t xml:space="preserve">, to ensure that the moaners and groaners survived. </w:t>
      </w:r>
      <w:r w:rsidR="0002081E" w:rsidRPr="001005B7">
        <w:t>Second</w:t>
      </w:r>
      <w:r w:rsidR="00D6011F" w:rsidRPr="001005B7">
        <w:t>,</w:t>
      </w:r>
      <w:r>
        <w:t xml:space="preserve"> while</w:t>
      </w:r>
      <w:r w:rsidR="00D279C6" w:rsidRPr="001005B7">
        <w:t xml:space="preserve"> </w:t>
      </w:r>
      <w:r w:rsidR="00D279C6" w:rsidRPr="001005B7">
        <w:rPr>
          <w:rFonts w:cstheme="minorHAnsi"/>
          <w:rtl/>
          <w:lang w:bidi="he-IL"/>
        </w:rPr>
        <w:t>זָרַק</w:t>
      </w:r>
      <w:r w:rsidR="001019AF" w:rsidRPr="001005B7">
        <w:t xml:space="preserve"> is traditionally t</w:t>
      </w:r>
      <w:r w:rsidR="001C2E7E" w:rsidRPr="001005B7">
        <w:t>ran</w:t>
      </w:r>
      <w:r w:rsidR="00174B5A" w:rsidRPr="001005B7">
        <w:t>slated</w:t>
      </w:r>
      <w:r w:rsidR="001019AF" w:rsidRPr="001005B7">
        <w:t xml:space="preserve"> “</w:t>
      </w:r>
      <w:r w:rsidR="001C2E7E" w:rsidRPr="001005B7">
        <w:t>sc</w:t>
      </w:r>
      <w:r w:rsidR="00174B5A" w:rsidRPr="001005B7">
        <w:t>a</w:t>
      </w:r>
      <w:r w:rsidR="001C2E7E" w:rsidRPr="001005B7">
        <w:t>tter</w:t>
      </w:r>
      <w:r w:rsidR="00F53BAA" w:rsidRPr="001005B7">
        <w:t xml:space="preserve">” </w:t>
      </w:r>
      <w:r w:rsidR="008C48B2" w:rsidRPr="001005B7">
        <w:t>here</w:t>
      </w:r>
      <w:r w:rsidR="00D60A6A" w:rsidRPr="001005B7">
        <w:t>, elsewhere it is regular</w:t>
      </w:r>
      <w:r w:rsidR="00092EDB" w:rsidRPr="001005B7">
        <w:t>ly</w:t>
      </w:r>
      <w:r w:rsidR="00AF3D8D" w:rsidRPr="001005B7">
        <w:t xml:space="preserve"> translated </w:t>
      </w:r>
      <w:r w:rsidR="003001D1" w:rsidRPr="001005B7">
        <w:t>“</w:t>
      </w:r>
      <w:r w:rsidR="00AF3D8D" w:rsidRPr="001005B7">
        <w:t>sprinkle</w:t>
      </w:r>
      <w:r w:rsidR="00C05D90" w:rsidRPr="001005B7">
        <w:t>.</w:t>
      </w:r>
      <w:r w:rsidR="003001D1" w:rsidRPr="001005B7">
        <w:t>”</w:t>
      </w:r>
      <w:r w:rsidR="006427D7" w:rsidRPr="001005B7">
        <w:t xml:space="preserve"> </w:t>
      </w:r>
      <w:r w:rsidR="00C05D90" w:rsidRPr="001005B7">
        <w:t>I</w:t>
      </w:r>
      <w:r w:rsidR="006427D7" w:rsidRPr="001005B7">
        <w:t>t is mostly a Torah word, and</w:t>
      </w:r>
      <w:r w:rsidR="00FE453F" w:rsidRPr="001005B7">
        <w:t xml:space="preserve"> it </w:t>
      </w:r>
      <w:r w:rsidR="00092EDB" w:rsidRPr="001005B7">
        <w:t>almost always</w:t>
      </w:r>
      <w:r w:rsidR="00FE453F" w:rsidRPr="001005B7">
        <w:t xml:space="preserve"> refers to sprinkling blood</w:t>
      </w:r>
      <w:r w:rsidR="00092EDB" w:rsidRPr="001005B7">
        <w:t xml:space="preserve"> or</w:t>
      </w:r>
      <w:r w:rsidR="00FE453F" w:rsidRPr="001005B7">
        <w:t xml:space="preserve"> water</w:t>
      </w:r>
      <w:r w:rsidR="00092EDB" w:rsidRPr="001005B7">
        <w:t xml:space="preserve"> in </w:t>
      </w:r>
      <w:r w:rsidR="00E8286B" w:rsidRPr="001005B7">
        <w:t>worship</w:t>
      </w:r>
      <w:r w:rsidR="00434BAA" w:rsidRPr="001005B7">
        <w:t xml:space="preserve"> rites</w:t>
      </w:r>
      <w:r w:rsidR="00E8286B" w:rsidRPr="001005B7">
        <w:t xml:space="preserve"> and other </w:t>
      </w:r>
      <w:r w:rsidR="00434BAA" w:rsidRPr="001005B7">
        <w:t xml:space="preserve">acts of </w:t>
      </w:r>
      <w:r w:rsidR="00092EDB" w:rsidRPr="001005B7">
        <w:t>purification.</w:t>
      </w:r>
      <w:r w:rsidR="006427D7" w:rsidRPr="001005B7">
        <w:t xml:space="preserve"> </w:t>
      </w:r>
      <w:r w:rsidR="00EE0801" w:rsidRPr="001005B7">
        <w:t>I</w:t>
      </w:r>
      <w:r w:rsidR="00D61052" w:rsidRPr="001005B7">
        <w:t>t</w:t>
      </w:r>
      <w:r w:rsidR="00DB0758" w:rsidRPr="001005B7">
        <w:rPr>
          <w:i/>
          <w:iCs/>
        </w:rPr>
        <w:t xml:space="preserve"> </w:t>
      </w:r>
      <w:r w:rsidR="00FB68EC" w:rsidRPr="001005B7">
        <w:t xml:space="preserve">features, for instance, in the </w:t>
      </w:r>
      <w:r w:rsidR="006C7EA1" w:rsidRPr="001005B7">
        <w:t>burnt offering</w:t>
      </w:r>
      <w:r w:rsidR="00290BFB" w:rsidRPr="001005B7">
        <w:t>,</w:t>
      </w:r>
      <w:r w:rsidR="008A77D7" w:rsidRPr="001005B7">
        <w:t xml:space="preserve"> well-being</w:t>
      </w:r>
      <w:r w:rsidR="00290BFB" w:rsidRPr="001005B7">
        <w:t xml:space="preserve">, and </w:t>
      </w:r>
      <w:r w:rsidR="00593607" w:rsidRPr="001005B7">
        <w:t>expia</w:t>
      </w:r>
      <w:r w:rsidR="00290BFB" w:rsidRPr="001005B7">
        <w:t>tion</w:t>
      </w:r>
      <w:r w:rsidR="006C7EA1" w:rsidRPr="001005B7">
        <w:t xml:space="preserve"> </w:t>
      </w:r>
      <w:r w:rsidR="00D20BA4" w:rsidRPr="001005B7">
        <w:t>sacrifices</w:t>
      </w:r>
      <w:r w:rsidR="006C7EA1" w:rsidRPr="001005B7">
        <w:t xml:space="preserve"> </w:t>
      </w:r>
      <w:r w:rsidR="003A01F5" w:rsidRPr="001005B7">
        <w:t>(e.g., Lev 1</w:t>
      </w:r>
      <w:r w:rsidR="005056A5" w:rsidRPr="001005B7">
        <w:t>:5</w:t>
      </w:r>
      <w:r w:rsidR="003A01F5" w:rsidRPr="001005B7">
        <w:t xml:space="preserve">; </w:t>
      </w:r>
      <w:r w:rsidR="003E4922" w:rsidRPr="001005B7">
        <w:t>3</w:t>
      </w:r>
      <w:r w:rsidR="005056A5" w:rsidRPr="001005B7">
        <w:t>:2</w:t>
      </w:r>
      <w:r w:rsidR="003E4922" w:rsidRPr="001005B7">
        <w:t>; 7:2)</w:t>
      </w:r>
      <w:r w:rsidR="00605ADE" w:rsidRPr="001005B7">
        <w:t xml:space="preserve">. </w:t>
      </w:r>
      <w:r w:rsidR="00EE0801" w:rsidRPr="001005B7">
        <w:t xml:space="preserve">It never elsewhere refers to fire or to bringing destruction. </w:t>
      </w:r>
    </w:p>
    <w:p w14:paraId="631D0BC2" w14:textId="4259B5A9" w:rsidR="0054748D" w:rsidRPr="001005B7" w:rsidRDefault="00AC4A50" w:rsidP="00900E1F">
      <w:r w:rsidRPr="001005B7">
        <w:t xml:space="preserve">Third, fire is in general a symbol of </w:t>
      </w:r>
      <w:r w:rsidR="00C4255F" w:rsidRPr="001005B7">
        <w:t xml:space="preserve">the presence of </w:t>
      </w:r>
      <w:r w:rsidRPr="001005B7">
        <w:t>Yahweh</w:t>
      </w:r>
      <w:r w:rsidR="00C4255F" w:rsidRPr="001005B7">
        <w:t>,</w:t>
      </w:r>
      <w:r w:rsidR="00D90398" w:rsidRPr="001005B7">
        <w:t xml:space="preserve"> and</w:t>
      </w:r>
      <w:r w:rsidRPr="001005B7">
        <w:t xml:space="preserve"> </w:t>
      </w:r>
      <w:r w:rsidR="00C4255F" w:rsidRPr="001005B7">
        <w:t xml:space="preserve">here </w:t>
      </w:r>
      <w:r w:rsidR="003236E8" w:rsidRPr="001005B7">
        <w:t>in Ezekiel it gains concrete</w:t>
      </w:r>
      <w:r w:rsidR="002F3913" w:rsidRPr="001005B7">
        <w:t xml:space="preserve"> embodiment</w:t>
      </w:r>
      <w:r w:rsidR="000C1428" w:rsidRPr="001005B7">
        <w:t>. Ezekiel speaks</w:t>
      </w:r>
      <w:r w:rsidR="003236E8" w:rsidRPr="001005B7">
        <w:t xml:space="preserve"> almost as if there is a brazier under the </w:t>
      </w:r>
      <w:r w:rsidR="003001D1" w:rsidRPr="001005B7">
        <w:t>griffin</w:t>
      </w:r>
      <w:r w:rsidR="003236E8" w:rsidRPr="001005B7">
        <w:t xml:space="preserve">s. </w:t>
      </w:r>
      <w:r w:rsidR="00DD638E" w:rsidRPr="001005B7">
        <w:t>Fire</w:t>
      </w:r>
      <w:r w:rsidR="0077138D">
        <w:t xml:space="preserve"> does</w:t>
      </w:r>
      <w:r w:rsidRPr="001005B7">
        <w:t xml:space="preserve"> suggest danger</w:t>
      </w:r>
      <w:r w:rsidR="0077138D">
        <w:t>, but w</w:t>
      </w:r>
      <w:r w:rsidR="007A6563" w:rsidRPr="001005B7">
        <w:t xml:space="preserve">hile </w:t>
      </w:r>
      <w:r w:rsidRPr="001005B7">
        <w:t>it can suggest wrath</w:t>
      </w:r>
      <w:r w:rsidR="006842A7" w:rsidRPr="001005B7">
        <w:t xml:space="preserve"> (</w:t>
      </w:r>
      <w:r w:rsidR="00395FE5" w:rsidRPr="001005B7">
        <w:t xml:space="preserve">e.g., </w:t>
      </w:r>
      <w:r w:rsidR="006842A7" w:rsidRPr="001005B7">
        <w:t>21:</w:t>
      </w:r>
      <w:r w:rsidR="00395FE5" w:rsidRPr="001005B7">
        <w:t>31 [36]; 22:21)</w:t>
      </w:r>
      <w:r w:rsidRPr="001005B7">
        <w:t xml:space="preserve">, it need not do so. </w:t>
      </w:r>
      <w:r w:rsidR="00FD0C70" w:rsidRPr="001005B7">
        <w:t>T</w:t>
      </w:r>
      <w:r w:rsidR="006F0438" w:rsidRPr="001005B7">
        <w:t>he sacrificial altar</w:t>
      </w:r>
      <w:r w:rsidR="00151DFA" w:rsidRPr="001005B7">
        <w:t xml:space="preserve"> </w:t>
      </w:r>
      <w:r w:rsidR="00FD0C70" w:rsidRPr="001005B7">
        <w:t>has a</w:t>
      </w:r>
      <w:r w:rsidR="006F0438" w:rsidRPr="001005B7">
        <w:t xml:space="preserve"> fire</w:t>
      </w:r>
      <w:r w:rsidR="006F0438" w:rsidRPr="001005B7">
        <w:rPr>
          <w:i/>
          <w:iCs/>
        </w:rPr>
        <w:t xml:space="preserve"> </w:t>
      </w:r>
      <w:r w:rsidR="00FD0C70" w:rsidRPr="001005B7">
        <w:t xml:space="preserve">that </w:t>
      </w:r>
      <w:r w:rsidR="006F0438" w:rsidRPr="001005B7">
        <w:t>never goes out</w:t>
      </w:r>
      <w:r w:rsidR="00F143AC" w:rsidRPr="001005B7">
        <w:t xml:space="preserve"> (</w:t>
      </w:r>
      <w:r w:rsidR="00536D88" w:rsidRPr="001005B7">
        <w:t>6:8</w:t>
      </w:r>
      <w:r w:rsidR="00F46900" w:rsidRPr="001005B7">
        <w:t>–</w:t>
      </w:r>
      <w:r w:rsidR="00536D88" w:rsidRPr="001005B7">
        <w:t>13</w:t>
      </w:r>
      <w:r w:rsidR="00BC2ED8" w:rsidRPr="001005B7">
        <w:t xml:space="preserve"> [1</w:t>
      </w:r>
      <w:r w:rsidR="00F46900" w:rsidRPr="001005B7">
        <w:t>–</w:t>
      </w:r>
      <w:r w:rsidR="00BC2ED8" w:rsidRPr="001005B7">
        <w:t>6])</w:t>
      </w:r>
      <w:r w:rsidR="00DD638E" w:rsidRPr="001005B7">
        <w:t>, and</w:t>
      </w:r>
      <w:r w:rsidR="006D2B8F" w:rsidRPr="001005B7">
        <w:t xml:space="preserve"> there was </w:t>
      </w:r>
      <w:r w:rsidR="00526C9E" w:rsidRPr="001005B7">
        <w:t xml:space="preserve">such </w:t>
      </w:r>
      <w:r w:rsidR="00F8486C" w:rsidRPr="001005B7">
        <w:t xml:space="preserve">altar </w:t>
      </w:r>
      <w:r w:rsidR="006D2B8F" w:rsidRPr="001005B7">
        <w:t>f</w:t>
      </w:r>
      <w:r w:rsidR="00526C9E" w:rsidRPr="001005B7">
        <w:t>i</w:t>
      </w:r>
      <w:r w:rsidR="006D2B8F" w:rsidRPr="001005B7">
        <w:t>r</w:t>
      </w:r>
      <w:r w:rsidR="00526C9E" w:rsidRPr="001005B7">
        <w:t>e</w:t>
      </w:r>
      <w:r w:rsidR="006D2B8F" w:rsidRPr="001005B7">
        <w:t xml:space="preserve"> not far from the temple </w:t>
      </w:r>
      <w:r w:rsidR="00F61103" w:rsidRPr="001005B7">
        <w:t xml:space="preserve">of which Ezekiel </w:t>
      </w:r>
      <w:r w:rsidR="00F8486C" w:rsidRPr="001005B7">
        <w:t xml:space="preserve">here </w:t>
      </w:r>
      <w:r w:rsidR="00F61103" w:rsidRPr="001005B7">
        <w:t xml:space="preserve">has visionary perception. </w:t>
      </w:r>
      <w:r w:rsidR="003001D1" w:rsidRPr="001005B7">
        <w:t>“</w:t>
      </w:r>
      <w:r w:rsidR="00463D3D" w:rsidRPr="001005B7">
        <w:t>C</w:t>
      </w:r>
      <w:r w:rsidR="00436DFD" w:rsidRPr="001005B7">
        <w:t>oals</w:t>
      </w:r>
      <w:r w:rsidR="00436DFD" w:rsidRPr="001005B7">
        <w:rPr>
          <w:i/>
          <w:iCs/>
        </w:rPr>
        <w:t xml:space="preserve"> </w:t>
      </w:r>
      <w:r w:rsidR="00436DFD" w:rsidRPr="001005B7">
        <w:t>of</w:t>
      </w:r>
      <w:r w:rsidR="00436DFD" w:rsidRPr="001005B7">
        <w:rPr>
          <w:i/>
          <w:iCs/>
        </w:rPr>
        <w:t xml:space="preserve"> </w:t>
      </w:r>
      <w:r w:rsidR="00436DFD" w:rsidRPr="001005B7">
        <w:t>fire</w:t>
      </w:r>
      <w:r w:rsidR="003001D1" w:rsidRPr="001005B7">
        <w:t>”</w:t>
      </w:r>
      <w:r w:rsidR="00436DFD" w:rsidRPr="001005B7">
        <w:rPr>
          <w:i/>
          <w:iCs/>
        </w:rPr>
        <w:t xml:space="preserve"> </w:t>
      </w:r>
      <w:r w:rsidR="00993968" w:rsidRPr="001005B7">
        <w:t>appear in the Da</w:t>
      </w:r>
      <w:r w:rsidR="00F80C63" w:rsidRPr="001005B7">
        <w:t xml:space="preserve">y of Atonement service </w:t>
      </w:r>
      <w:r w:rsidR="003C38A4" w:rsidRPr="001005B7">
        <w:t xml:space="preserve">in a pan </w:t>
      </w:r>
      <w:r w:rsidR="00E42F07" w:rsidRPr="001005B7">
        <w:t xml:space="preserve">brought </w:t>
      </w:r>
      <w:r w:rsidR="00C60EC3" w:rsidRPr="001005B7">
        <w:t>by Aaron</w:t>
      </w:r>
      <w:r w:rsidR="00402120" w:rsidRPr="001005B7">
        <w:t xml:space="preserve">, </w:t>
      </w:r>
      <w:r w:rsidR="008609E7" w:rsidRPr="001005B7">
        <w:t>cloth</w:t>
      </w:r>
      <w:r w:rsidR="00402120" w:rsidRPr="001005B7">
        <w:t>ed in linen</w:t>
      </w:r>
      <w:r w:rsidR="00114BE4" w:rsidRPr="001005B7">
        <w:t>,</w:t>
      </w:r>
      <w:r w:rsidR="00402120" w:rsidRPr="001005B7">
        <w:rPr>
          <w:i/>
          <w:iCs/>
        </w:rPr>
        <w:t xml:space="preserve"> </w:t>
      </w:r>
      <w:r w:rsidR="00E42F07" w:rsidRPr="001005B7">
        <w:t>from the altar of sacrifice</w:t>
      </w:r>
      <w:r w:rsidR="00114BE4" w:rsidRPr="001005B7">
        <w:t xml:space="preserve"> to the incense altar</w:t>
      </w:r>
      <w:r w:rsidR="0042171A" w:rsidRPr="001005B7">
        <w:t xml:space="preserve"> (Lev 16:</w:t>
      </w:r>
      <w:r w:rsidR="00926BD2" w:rsidRPr="001005B7">
        <w:t xml:space="preserve">4, </w:t>
      </w:r>
      <w:r w:rsidR="0042171A" w:rsidRPr="001005B7">
        <w:t>12</w:t>
      </w:r>
      <w:r w:rsidR="00325BDB" w:rsidRPr="001005B7">
        <w:t>)</w:t>
      </w:r>
      <w:r w:rsidR="00BB43DC" w:rsidRPr="001005B7">
        <w:t>. S</w:t>
      </w:r>
      <w:r w:rsidR="003526CE" w:rsidRPr="001005B7">
        <w:t xml:space="preserve">prinkling does feature, but </w:t>
      </w:r>
      <w:r w:rsidR="00325BDB" w:rsidRPr="001005B7">
        <w:t>t</w:t>
      </w:r>
      <w:r w:rsidR="003526CE" w:rsidRPr="001005B7">
        <w:t xml:space="preserve">here the verb is </w:t>
      </w:r>
      <w:r w:rsidR="00440BC1" w:rsidRPr="001005B7">
        <w:rPr>
          <w:rFonts w:cstheme="minorHAnsi"/>
          <w:rtl/>
          <w:lang w:bidi="he-IL"/>
        </w:rPr>
        <w:t>נָזָ</w:t>
      </w:r>
      <w:r w:rsidR="00251100" w:rsidRPr="001005B7">
        <w:rPr>
          <w:rFonts w:cstheme="minorHAnsi"/>
          <w:rtl/>
          <w:lang w:bidi="he-IL"/>
        </w:rPr>
        <w:t>ה</w:t>
      </w:r>
      <w:r w:rsidR="00C10301" w:rsidRPr="001005B7">
        <w:rPr>
          <w:rFonts w:cstheme="minorHAnsi"/>
        </w:rPr>
        <w:t xml:space="preserve"> </w:t>
      </w:r>
      <w:proofErr w:type="spellStart"/>
      <w:r w:rsidR="00C10301" w:rsidRPr="001005B7">
        <w:rPr>
          <w:rFonts w:cstheme="minorHAnsi"/>
        </w:rPr>
        <w:t>hiphil</w:t>
      </w:r>
      <w:proofErr w:type="spellEnd"/>
      <w:r w:rsidR="00566AC0" w:rsidRPr="001005B7">
        <w:rPr>
          <w:rFonts w:cstheme="minorHAnsi"/>
        </w:rPr>
        <w:t>, though Ezekiel uses</w:t>
      </w:r>
      <w:r w:rsidR="00251100" w:rsidRPr="001005B7">
        <w:rPr>
          <w:rFonts w:cstheme="minorHAnsi"/>
        </w:rPr>
        <w:t xml:space="preserve"> </w:t>
      </w:r>
      <w:r w:rsidR="00251100" w:rsidRPr="001005B7">
        <w:rPr>
          <w:rFonts w:cstheme="minorHAnsi"/>
          <w:rtl/>
          <w:lang w:bidi="he-IL"/>
        </w:rPr>
        <w:t>זָרַק</w:t>
      </w:r>
      <w:r w:rsidR="00566AC0" w:rsidRPr="001005B7">
        <w:rPr>
          <w:rFonts w:cstheme="minorHAnsi"/>
        </w:rPr>
        <w:t xml:space="preserve"> </w:t>
      </w:r>
      <w:r w:rsidR="0013549D" w:rsidRPr="001005B7">
        <w:rPr>
          <w:rFonts w:cstheme="minorHAnsi"/>
        </w:rPr>
        <w:t>in this connection in 43:18</w:t>
      </w:r>
      <w:r w:rsidR="00575F4C" w:rsidRPr="001005B7">
        <w:rPr>
          <w:rFonts w:cstheme="minorHAnsi"/>
        </w:rPr>
        <w:t>.</w:t>
      </w:r>
      <w:r w:rsidR="00E42F07" w:rsidRPr="001005B7">
        <w:t xml:space="preserve"> </w:t>
      </w:r>
      <w:r w:rsidR="000F73B6" w:rsidRPr="001005B7">
        <w:t xml:space="preserve">In speaking of sprinkling, then, </w:t>
      </w:r>
      <w:r w:rsidR="00F63BB2" w:rsidRPr="001005B7">
        <w:t xml:space="preserve">Yahweh accompanies his warnings of disaster with a note of promise. </w:t>
      </w:r>
      <w:r w:rsidR="00103E35" w:rsidRPr="001005B7">
        <w:t>And f</w:t>
      </w:r>
      <w:r w:rsidR="0054748D" w:rsidRPr="001005B7">
        <w:t xml:space="preserve">ourth, </w:t>
      </w:r>
      <w:r w:rsidR="002E4B9F" w:rsidRPr="001005B7">
        <w:t xml:space="preserve">purification issuing from the temple in a figurative </w:t>
      </w:r>
      <w:r w:rsidR="00E2338E" w:rsidRPr="001005B7">
        <w:t xml:space="preserve">form </w:t>
      </w:r>
      <w:r w:rsidR="002E4B9F" w:rsidRPr="001005B7">
        <w:t xml:space="preserve">features in Isaiah’s account </w:t>
      </w:r>
      <w:r w:rsidR="00284AD5" w:rsidRPr="001005B7">
        <w:t xml:space="preserve">of his commission as a prophet </w:t>
      </w:r>
      <w:r w:rsidR="00072518" w:rsidRPr="001005B7">
        <w:t>(</w:t>
      </w:r>
      <w:r w:rsidR="00284AD5" w:rsidRPr="001005B7">
        <w:t>Isa 6:5</w:t>
      </w:r>
      <w:r w:rsidR="00F46900" w:rsidRPr="001005B7">
        <w:t>–</w:t>
      </w:r>
      <w:r w:rsidR="00284AD5" w:rsidRPr="001005B7">
        <w:t>6</w:t>
      </w:r>
      <w:r w:rsidR="00072518" w:rsidRPr="001005B7">
        <w:t>)</w:t>
      </w:r>
      <w:r w:rsidR="0092203D" w:rsidRPr="001005B7">
        <w:t xml:space="preserve"> (Jerome,</w:t>
      </w:r>
      <w:r w:rsidR="00011C97" w:rsidRPr="001005B7">
        <w:t xml:space="preserve"> </w:t>
      </w:r>
      <w:r w:rsidR="0092203D" w:rsidRPr="001005B7">
        <w:t>106).</w:t>
      </w:r>
      <w:r w:rsidR="00C83C0E" w:rsidRPr="001005B7">
        <w:t xml:space="preserve"> </w:t>
      </w:r>
      <w:r w:rsidR="00152378" w:rsidRPr="001005B7">
        <w:t>Yahweh’s visionary commission</w:t>
      </w:r>
      <w:r w:rsidR="00E2338E" w:rsidRPr="001005B7">
        <w:t xml:space="preserve"> here</w:t>
      </w:r>
      <w:r w:rsidR="00152378" w:rsidRPr="001005B7">
        <w:t xml:space="preserve">, then, is that the </w:t>
      </w:r>
      <w:r w:rsidR="0038264C" w:rsidRPr="001005B7">
        <w:t>individual</w:t>
      </w:r>
      <w:r w:rsidR="00152378" w:rsidRPr="001005B7">
        <w:t xml:space="preserve"> </w:t>
      </w:r>
      <w:r w:rsidR="008609E7" w:rsidRPr="001005B7">
        <w:t>cloth</w:t>
      </w:r>
      <w:r w:rsidR="00152378" w:rsidRPr="001005B7">
        <w:t xml:space="preserve">ed in linen should </w:t>
      </w:r>
      <w:r w:rsidR="00EF6F1F" w:rsidRPr="001005B7">
        <w:t>follow up his identif</w:t>
      </w:r>
      <w:r w:rsidR="002248E0" w:rsidRPr="001005B7">
        <w:t>ication of</w:t>
      </w:r>
      <w:r w:rsidR="00EF6F1F" w:rsidRPr="001005B7">
        <w:t xml:space="preserve"> the moaners and groaners (though we still do not know for certain that there are any) </w:t>
      </w:r>
      <w:r w:rsidR="00622076" w:rsidRPr="001005B7">
        <w:t xml:space="preserve">by </w:t>
      </w:r>
      <w:r w:rsidR="00152378" w:rsidRPr="001005B7">
        <w:t>tak</w:t>
      </w:r>
      <w:r w:rsidR="00622076" w:rsidRPr="001005B7">
        <w:t>ing</w:t>
      </w:r>
      <w:r w:rsidR="00152378" w:rsidRPr="001005B7">
        <w:t xml:space="preserve"> on</w:t>
      </w:r>
      <w:r w:rsidR="00251F81" w:rsidRPr="001005B7">
        <w:t xml:space="preserve"> a </w:t>
      </w:r>
      <w:r w:rsidR="00622076" w:rsidRPr="001005B7">
        <w:t>quasi-</w:t>
      </w:r>
      <w:r w:rsidR="00251F81" w:rsidRPr="001005B7">
        <w:t xml:space="preserve">priestly commission </w:t>
      </w:r>
      <w:r w:rsidR="00622076" w:rsidRPr="001005B7">
        <w:t>to</w:t>
      </w:r>
      <w:r w:rsidR="00251F81" w:rsidRPr="001005B7">
        <w:t xml:space="preserve"> sprinkle purifying fire on the city</w:t>
      </w:r>
      <w:r w:rsidR="00622076" w:rsidRPr="001005B7">
        <w:t xml:space="preserve"> that will cleanse it from its </w:t>
      </w:r>
      <w:r w:rsidR="002D5CFC" w:rsidRPr="001005B7">
        <w:t>defilement and i</w:t>
      </w:r>
      <w:r w:rsidR="004709DD" w:rsidRPr="001005B7">
        <w:t>dolatry (cf. 36:25</w:t>
      </w:r>
      <w:r w:rsidR="007532DD" w:rsidRPr="001005B7">
        <w:t xml:space="preserve">, Ezekiel’s other </w:t>
      </w:r>
      <w:r w:rsidR="00DA0ADD" w:rsidRPr="001005B7">
        <w:t>use of this verb</w:t>
      </w:r>
      <w:r w:rsidR="007532DD" w:rsidRPr="001005B7">
        <w:t xml:space="preserve"> </w:t>
      </w:r>
      <w:r w:rsidR="0038264C" w:rsidRPr="001005B7">
        <w:t>“</w:t>
      </w:r>
      <w:r w:rsidR="007532DD" w:rsidRPr="001005B7">
        <w:t>sprink</w:t>
      </w:r>
      <w:r w:rsidR="00DA0ADD" w:rsidRPr="001005B7">
        <w:t>le</w:t>
      </w:r>
      <w:r w:rsidR="006D7E07" w:rsidRPr="001005B7">
        <w:t>”</w:t>
      </w:r>
      <w:r w:rsidR="004709DD" w:rsidRPr="001005B7">
        <w:t>)</w:t>
      </w:r>
      <w:r w:rsidR="00DA0ADD" w:rsidRPr="001005B7">
        <w:t>.</w:t>
      </w:r>
      <w:r w:rsidR="009215CD" w:rsidRPr="001005B7">
        <w:rPr>
          <w:rStyle w:val="FootnoteReference"/>
        </w:rPr>
        <w:footnoteReference w:id="264"/>
      </w:r>
      <w:r w:rsidR="007B0CE0" w:rsidRPr="001005B7">
        <w:t xml:space="preserve"> It could be a way</w:t>
      </w:r>
      <w:r w:rsidR="00A30112" w:rsidRPr="001005B7">
        <w:t xml:space="preserve"> of marking the moaners and groaners.</w:t>
      </w:r>
      <w:r w:rsidR="00A30112" w:rsidRPr="001005B7">
        <w:rPr>
          <w:rStyle w:val="FootnoteReference"/>
        </w:rPr>
        <w:footnoteReference w:id="265"/>
      </w:r>
      <w:r w:rsidR="0029125D" w:rsidRPr="001005B7">
        <w:t xml:space="preserve"> </w:t>
      </w:r>
    </w:p>
    <w:p w14:paraId="68393263" w14:textId="0B6028F2" w:rsidR="007A3F10" w:rsidRPr="001005B7" w:rsidRDefault="0096022C" w:rsidP="001143F4">
      <w:pPr>
        <w:rPr>
          <w:rFonts w:cstheme="minorHAnsi"/>
        </w:rPr>
      </w:pPr>
      <w:r w:rsidRPr="001005B7">
        <w:rPr>
          <w:b/>
          <w:bCs/>
        </w:rPr>
        <w:t>10:</w:t>
      </w:r>
      <w:r w:rsidR="007A3F10" w:rsidRPr="001005B7">
        <w:rPr>
          <w:b/>
          <w:bCs/>
        </w:rPr>
        <w:t>3</w:t>
      </w:r>
      <w:r w:rsidR="00F46900" w:rsidRPr="001005B7">
        <w:rPr>
          <w:b/>
          <w:bCs/>
        </w:rPr>
        <w:t>–</w:t>
      </w:r>
      <w:r w:rsidR="007A3F10" w:rsidRPr="001005B7">
        <w:rPr>
          <w:b/>
          <w:bCs/>
        </w:rPr>
        <w:t>5</w:t>
      </w:r>
      <w:r w:rsidR="007A3F10" w:rsidRPr="001005B7">
        <w:t xml:space="preserve"> Ezekiel again </w:t>
      </w:r>
      <w:r w:rsidR="009E27A1" w:rsidRPr="001005B7">
        <w:t xml:space="preserve">interrupts his vision account and creates suspense by describing further the </w:t>
      </w:r>
      <w:r w:rsidR="003001D1" w:rsidRPr="001005B7">
        <w:t>griffin</w:t>
      </w:r>
      <w:r w:rsidR="009E27A1" w:rsidRPr="001005B7">
        <w:t xml:space="preserve">s and </w:t>
      </w:r>
      <w:r w:rsidR="001948B4" w:rsidRPr="001005B7">
        <w:t xml:space="preserve">Yahweh’s </w:t>
      </w:r>
      <w:r w:rsidR="00180CEB" w:rsidRPr="001005B7">
        <w:t>magnificence</w:t>
      </w:r>
      <w:r w:rsidR="00996093" w:rsidRPr="001005B7">
        <w:t xml:space="preserve">, </w:t>
      </w:r>
      <w:r w:rsidR="005C39B0" w:rsidRPr="001005B7">
        <w:t xml:space="preserve">reprising </w:t>
      </w:r>
      <w:r w:rsidR="003F7150" w:rsidRPr="001005B7">
        <w:t xml:space="preserve">and expanding on 9:3 </w:t>
      </w:r>
      <w:r w:rsidR="00996093" w:rsidRPr="001005B7">
        <w:t xml:space="preserve">in terms that largely repeat </w:t>
      </w:r>
      <w:r w:rsidR="00712098" w:rsidRPr="001005B7">
        <w:t>elements from chapter 1</w:t>
      </w:r>
      <w:r w:rsidR="001948B4" w:rsidRPr="001005B7">
        <w:t xml:space="preserve">. </w:t>
      </w:r>
      <w:r w:rsidR="00B61D70" w:rsidRPr="001005B7">
        <w:t xml:space="preserve">The location of the </w:t>
      </w:r>
      <w:r w:rsidR="003001D1" w:rsidRPr="001005B7">
        <w:t>griffin</w:t>
      </w:r>
      <w:r w:rsidR="00B61D70" w:rsidRPr="001005B7">
        <w:t xml:space="preserve">s to the </w:t>
      </w:r>
      <w:r w:rsidR="009E0047" w:rsidRPr="001005B7">
        <w:t xml:space="preserve">right (south) of the temple makes for a contrast with the location of </w:t>
      </w:r>
      <w:r w:rsidR="00440ECF" w:rsidRPr="001005B7">
        <w:t xml:space="preserve">the creation </w:t>
      </w:r>
      <w:r w:rsidR="00267745" w:rsidRPr="001005B7">
        <w:t>statue</w:t>
      </w:r>
      <w:r w:rsidR="002C609F" w:rsidRPr="001005B7">
        <w:t xml:space="preserve">, the people crying </w:t>
      </w:r>
      <w:r w:rsidR="00221670" w:rsidRPr="001005B7">
        <w:t>for</w:t>
      </w:r>
      <w:r w:rsidR="002C609F" w:rsidRPr="001005B7">
        <w:t xml:space="preserve"> </w:t>
      </w:r>
      <w:r w:rsidR="00CE79FF" w:rsidRPr="001005B7">
        <w:t xml:space="preserve">the </w:t>
      </w:r>
      <w:r w:rsidR="002C609F" w:rsidRPr="001005B7">
        <w:t>Tammuz,</w:t>
      </w:r>
      <w:r w:rsidR="00440ECF" w:rsidRPr="001005B7">
        <w:t xml:space="preserve"> and </w:t>
      </w:r>
      <w:r w:rsidR="009E0047" w:rsidRPr="001005B7">
        <w:t xml:space="preserve">the </w:t>
      </w:r>
      <w:r w:rsidR="00D91FE7" w:rsidRPr="001005B7">
        <w:t>six executioners (</w:t>
      </w:r>
      <w:r w:rsidR="00440ECF" w:rsidRPr="001005B7">
        <w:t>8:</w:t>
      </w:r>
      <w:r w:rsidR="00F5758A" w:rsidRPr="001005B7">
        <w:t>5</w:t>
      </w:r>
      <w:r w:rsidR="002C609F" w:rsidRPr="001005B7">
        <w:t>, 14</w:t>
      </w:r>
      <w:r w:rsidR="00F5758A" w:rsidRPr="001005B7">
        <w:t xml:space="preserve">; </w:t>
      </w:r>
      <w:r w:rsidR="00D91FE7" w:rsidRPr="001005B7">
        <w:t>9:2)</w:t>
      </w:r>
      <w:r w:rsidR="00E378DA" w:rsidRPr="001005B7">
        <w:t xml:space="preserve">. The cloud </w:t>
      </w:r>
      <w:r w:rsidR="004C21D2" w:rsidRPr="001005B7">
        <w:t>(</w:t>
      </w:r>
      <w:r w:rsidR="00317C47" w:rsidRPr="001005B7">
        <w:rPr>
          <w:rFonts w:cstheme="minorHAnsi"/>
          <w:rtl/>
          <w:lang w:bidi="he-IL"/>
        </w:rPr>
        <w:t>עָ</w:t>
      </w:r>
      <w:r w:rsidR="00B06864" w:rsidRPr="001005B7">
        <w:rPr>
          <w:rFonts w:cstheme="minorHAnsi"/>
          <w:rtl/>
          <w:lang w:bidi="he-IL"/>
        </w:rPr>
        <w:t>נָן</w:t>
      </w:r>
      <w:r w:rsidR="004C21D2" w:rsidRPr="001005B7">
        <w:rPr>
          <w:rFonts w:cstheme="minorHAnsi"/>
        </w:rPr>
        <w:t>)</w:t>
      </w:r>
      <w:r w:rsidR="002D0593" w:rsidRPr="001005B7">
        <w:rPr>
          <w:rFonts w:cstheme="minorHAnsi"/>
        </w:rPr>
        <w:t xml:space="preserve"> looks like a different </w:t>
      </w:r>
      <w:r w:rsidR="00FF7E75" w:rsidRPr="001005B7">
        <w:rPr>
          <w:rFonts w:cstheme="minorHAnsi"/>
        </w:rPr>
        <w:t>one</w:t>
      </w:r>
      <w:r w:rsidR="002D0593" w:rsidRPr="001005B7">
        <w:rPr>
          <w:rFonts w:cstheme="minorHAnsi"/>
        </w:rPr>
        <w:t xml:space="preserve"> from the </w:t>
      </w:r>
      <w:r w:rsidR="00FF7E75" w:rsidRPr="001005B7">
        <w:rPr>
          <w:rFonts w:cstheme="minorHAnsi"/>
        </w:rPr>
        <w:t>storm cloud</w:t>
      </w:r>
      <w:r w:rsidR="002D0593" w:rsidRPr="001005B7">
        <w:rPr>
          <w:rFonts w:cstheme="minorHAnsi"/>
        </w:rPr>
        <w:t xml:space="preserve"> </w:t>
      </w:r>
      <w:r w:rsidR="006B666D" w:rsidRPr="001005B7">
        <w:rPr>
          <w:rFonts w:cstheme="minorHAnsi"/>
        </w:rPr>
        <w:t>in 1:</w:t>
      </w:r>
      <w:r w:rsidR="00933A63" w:rsidRPr="001005B7">
        <w:rPr>
          <w:rFonts w:cstheme="minorHAnsi"/>
        </w:rPr>
        <w:t>4</w:t>
      </w:r>
      <w:r w:rsidR="004465DF" w:rsidRPr="001005B7">
        <w:rPr>
          <w:rFonts w:cstheme="minorHAnsi"/>
        </w:rPr>
        <w:t>. I</w:t>
      </w:r>
      <w:r w:rsidR="00D800AE" w:rsidRPr="001005B7">
        <w:rPr>
          <w:rFonts w:cstheme="minorHAnsi"/>
        </w:rPr>
        <w:t xml:space="preserve">t is the cloud that simultaneously </w:t>
      </w:r>
      <w:r w:rsidR="000A518B" w:rsidRPr="001005B7">
        <w:rPr>
          <w:rFonts w:cstheme="minorHAnsi"/>
        </w:rPr>
        <w:t>reveals and conceals Yahweh’s presence</w:t>
      </w:r>
      <w:r w:rsidR="0088387D" w:rsidRPr="001005B7">
        <w:rPr>
          <w:rFonts w:cstheme="minorHAnsi"/>
        </w:rPr>
        <w:t>, esp</w:t>
      </w:r>
      <w:r w:rsidR="004465DF" w:rsidRPr="001005B7">
        <w:rPr>
          <w:rFonts w:cstheme="minorHAnsi"/>
        </w:rPr>
        <w:t xml:space="preserve">ecially </w:t>
      </w:r>
      <w:r w:rsidR="00B06864" w:rsidRPr="001005B7">
        <w:rPr>
          <w:rFonts w:cstheme="minorHAnsi"/>
        </w:rPr>
        <w:t xml:space="preserve">at </w:t>
      </w:r>
      <w:r w:rsidR="003512A4" w:rsidRPr="001005B7">
        <w:rPr>
          <w:rFonts w:cstheme="minorHAnsi"/>
        </w:rPr>
        <w:t xml:space="preserve">great moments in Israel’s story </w:t>
      </w:r>
      <w:r w:rsidR="00E46995" w:rsidRPr="001005B7">
        <w:rPr>
          <w:rFonts w:cstheme="minorHAnsi"/>
        </w:rPr>
        <w:t xml:space="preserve">and </w:t>
      </w:r>
      <w:r w:rsidR="003F1D0C" w:rsidRPr="001005B7">
        <w:rPr>
          <w:rFonts w:cstheme="minorHAnsi"/>
        </w:rPr>
        <w:t xml:space="preserve">thus in connection with </w:t>
      </w:r>
      <w:r w:rsidR="004465DF" w:rsidRPr="001005B7">
        <w:rPr>
          <w:rFonts w:cstheme="minorHAnsi"/>
        </w:rPr>
        <w:t xml:space="preserve">the </w:t>
      </w:r>
      <w:r w:rsidR="0018529C" w:rsidRPr="001005B7">
        <w:rPr>
          <w:rFonts w:cstheme="minorHAnsi"/>
        </w:rPr>
        <w:t xml:space="preserve">construction of the </w:t>
      </w:r>
      <w:r w:rsidR="003F1D0C" w:rsidRPr="001005B7">
        <w:rPr>
          <w:rFonts w:cstheme="minorHAnsi"/>
        </w:rPr>
        <w:t xml:space="preserve">wilderness sanctuary and the building of the </w:t>
      </w:r>
      <w:r w:rsidR="004465DF" w:rsidRPr="001005B7">
        <w:rPr>
          <w:rFonts w:cstheme="minorHAnsi"/>
        </w:rPr>
        <w:t>temple</w:t>
      </w:r>
      <w:r w:rsidR="000A518B" w:rsidRPr="001005B7">
        <w:rPr>
          <w:rFonts w:cstheme="minorHAnsi"/>
        </w:rPr>
        <w:t xml:space="preserve"> (cf. </w:t>
      </w:r>
      <w:r w:rsidR="00A57E01" w:rsidRPr="001005B7">
        <w:rPr>
          <w:rFonts w:cstheme="minorHAnsi"/>
        </w:rPr>
        <w:t>Exod 13:21</w:t>
      </w:r>
      <w:r w:rsidR="00F46900" w:rsidRPr="001005B7">
        <w:rPr>
          <w:rFonts w:cstheme="minorHAnsi"/>
        </w:rPr>
        <w:t>–</w:t>
      </w:r>
      <w:r w:rsidR="00A57E01" w:rsidRPr="001005B7">
        <w:rPr>
          <w:rFonts w:cstheme="minorHAnsi"/>
        </w:rPr>
        <w:t>22;</w:t>
      </w:r>
      <w:r w:rsidR="00D15B11" w:rsidRPr="001005B7">
        <w:rPr>
          <w:rFonts w:cstheme="minorHAnsi"/>
        </w:rPr>
        <w:t xml:space="preserve"> Num 9:</w:t>
      </w:r>
      <w:r w:rsidR="009C16D6" w:rsidRPr="001005B7">
        <w:rPr>
          <w:rFonts w:cstheme="minorHAnsi"/>
        </w:rPr>
        <w:t>15</w:t>
      </w:r>
      <w:r w:rsidR="00F46900" w:rsidRPr="001005B7">
        <w:rPr>
          <w:rFonts w:cstheme="minorHAnsi"/>
        </w:rPr>
        <w:t>–</w:t>
      </w:r>
      <w:r w:rsidR="009C16D6" w:rsidRPr="001005B7">
        <w:rPr>
          <w:rFonts w:cstheme="minorHAnsi"/>
        </w:rPr>
        <w:t>23;</w:t>
      </w:r>
      <w:r w:rsidR="00A57E01" w:rsidRPr="001005B7">
        <w:rPr>
          <w:rFonts w:cstheme="minorHAnsi"/>
        </w:rPr>
        <w:t xml:space="preserve"> </w:t>
      </w:r>
      <w:r w:rsidR="00721338" w:rsidRPr="001005B7">
        <w:t>1 Kgs</w:t>
      </w:r>
      <w:r w:rsidR="009C16D6" w:rsidRPr="001005B7">
        <w:rPr>
          <w:rFonts w:cstheme="minorHAnsi"/>
        </w:rPr>
        <w:t xml:space="preserve"> 8:10</w:t>
      </w:r>
      <w:r w:rsidR="00F46900" w:rsidRPr="001005B7">
        <w:rPr>
          <w:rFonts w:cstheme="minorHAnsi"/>
        </w:rPr>
        <w:t>–</w:t>
      </w:r>
      <w:r w:rsidR="009C16D6" w:rsidRPr="001005B7">
        <w:rPr>
          <w:rFonts w:cstheme="minorHAnsi"/>
        </w:rPr>
        <w:t>11</w:t>
      </w:r>
      <w:r w:rsidR="00333EB2" w:rsidRPr="001005B7">
        <w:rPr>
          <w:rFonts w:cstheme="minorHAnsi"/>
        </w:rPr>
        <w:t>)</w:t>
      </w:r>
      <w:r w:rsidR="00117B31" w:rsidRPr="001005B7">
        <w:rPr>
          <w:rFonts w:cstheme="minorHAnsi"/>
        </w:rPr>
        <w:t xml:space="preserve">. </w:t>
      </w:r>
      <w:r w:rsidR="006A2D86" w:rsidRPr="001005B7">
        <w:rPr>
          <w:rFonts w:cstheme="minorHAnsi"/>
        </w:rPr>
        <w:t xml:space="preserve">So </w:t>
      </w:r>
      <w:r w:rsidR="006D7E07" w:rsidRPr="001005B7">
        <w:rPr>
          <w:rFonts w:cstheme="minorHAnsi"/>
        </w:rPr>
        <w:t>i</w:t>
      </w:r>
      <w:r w:rsidR="00EA4844" w:rsidRPr="001005B7">
        <w:rPr>
          <w:rFonts w:cstheme="minorHAnsi"/>
        </w:rPr>
        <w:t>t fits in a vision of this kind</w:t>
      </w:r>
      <w:r w:rsidR="006A2D86" w:rsidRPr="001005B7">
        <w:rPr>
          <w:rFonts w:cstheme="minorHAnsi"/>
        </w:rPr>
        <w:t>, though</w:t>
      </w:r>
      <w:r w:rsidR="00EA4844" w:rsidRPr="001005B7">
        <w:rPr>
          <w:rFonts w:cstheme="minorHAnsi"/>
        </w:rPr>
        <w:t xml:space="preserve"> Eze</w:t>
      </w:r>
      <w:r w:rsidR="00B04FE0" w:rsidRPr="001005B7">
        <w:rPr>
          <w:rFonts w:cstheme="minorHAnsi"/>
        </w:rPr>
        <w:t xml:space="preserve">kiel </w:t>
      </w:r>
      <w:r w:rsidR="00EA4844" w:rsidRPr="001005B7">
        <w:rPr>
          <w:rFonts w:cstheme="minorHAnsi"/>
        </w:rPr>
        <w:t>mention</w:t>
      </w:r>
      <w:r w:rsidR="006A2D86" w:rsidRPr="001005B7">
        <w:rPr>
          <w:rFonts w:cstheme="minorHAnsi"/>
        </w:rPr>
        <w:t>s</w:t>
      </w:r>
      <w:r w:rsidR="00EA4844" w:rsidRPr="001005B7">
        <w:rPr>
          <w:rFonts w:cstheme="minorHAnsi"/>
        </w:rPr>
        <w:t xml:space="preserve"> it only here</w:t>
      </w:r>
      <w:r w:rsidR="00C330EB" w:rsidRPr="001005B7">
        <w:rPr>
          <w:rFonts w:cstheme="minorHAnsi"/>
        </w:rPr>
        <w:t>.</w:t>
      </w:r>
    </w:p>
    <w:p w14:paraId="04B90326" w14:textId="51E0B566" w:rsidR="00346E4B" w:rsidRPr="001005B7" w:rsidRDefault="006A2D86" w:rsidP="00346E4B">
      <w:r w:rsidRPr="001005B7">
        <w:rPr>
          <w:b/>
          <w:bCs/>
        </w:rPr>
        <w:t>10:</w:t>
      </w:r>
      <w:r w:rsidR="009A1A92" w:rsidRPr="001005B7">
        <w:rPr>
          <w:b/>
          <w:bCs/>
        </w:rPr>
        <w:t>6</w:t>
      </w:r>
      <w:r w:rsidR="00F46900" w:rsidRPr="001005B7">
        <w:rPr>
          <w:b/>
          <w:bCs/>
        </w:rPr>
        <w:t>–</w:t>
      </w:r>
      <w:r w:rsidR="009A1A92" w:rsidRPr="001005B7">
        <w:rPr>
          <w:b/>
          <w:bCs/>
        </w:rPr>
        <w:t>8</w:t>
      </w:r>
      <w:r w:rsidR="009A1A92" w:rsidRPr="001005B7">
        <w:t xml:space="preserve"> </w:t>
      </w:r>
      <w:r w:rsidR="00C62230" w:rsidRPr="001005B7">
        <w:t xml:space="preserve">The </w:t>
      </w:r>
      <w:r w:rsidR="00BA3BA5" w:rsidRPr="001005B7">
        <w:t>individual</w:t>
      </w:r>
      <w:r w:rsidR="00C62230" w:rsidRPr="001005B7">
        <w:t xml:space="preserve"> </w:t>
      </w:r>
      <w:r w:rsidR="009A1887" w:rsidRPr="001005B7">
        <w:t>cloth</w:t>
      </w:r>
      <w:r w:rsidR="00C62230" w:rsidRPr="001005B7">
        <w:t>ed in linen does a</w:t>
      </w:r>
      <w:r w:rsidR="00B04FE0" w:rsidRPr="001005B7">
        <w:t xml:space="preserve">s Yahweh </w:t>
      </w:r>
      <w:r w:rsidR="00C62230" w:rsidRPr="001005B7">
        <w:t>says</w:t>
      </w:r>
      <w:r w:rsidR="00065D68">
        <w:t xml:space="preserve">. </w:t>
      </w:r>
      <w:r w:rsidR="004D6351">
        <w:t>T</w:t>
      </w:r>
      <w:r w:rsidR="00C62230" w:rsidRPr="001005B7">
        <w:t xml:space="preserve">his is </w:t>
      </w:r>
      <w:r w:rsidR="004D6351">
        <w:t xml:space="preserve">surely </w:t>
      </w:r>
      <w:r w:rsidR="00C62230" w:rsidRPr="001005B7">
        <w:t xml:space="preserve">a </w:t>
      </w:r>
      <w:r w:rsidR="003F7948" w:rsidRPr="001005B7">
        <w:t>dramatic moment and something monumental is about to happen</w:t>
      </w:r>
      <w:r w:rsidR="009067D8" w:rsidRPr="001005B7">
        <w:rPr>
          <w:rFonts w:cstheme="minorHAnsi"/>
          <w:lang w:eastAsia="en-GB"/>
        </w:rPr>
        <w:t>…</w:t>
      </w:r>
      <w:r w:rsidR="009067D8" w:rsidRPr="001005B7">
        <w:rPr>
          <w:i/>
          <w:iCs/>
          <w:lang w:eastAsia="en-GB"/>
        </w:rPr>
        <w:t>.</w:t>
      </w:r>
      <w:r w:rsidR="003F7948" w:rsidRPr="001005B7">
        <w:t xml:space="preserve"> But it doesn</w:t>
      </w:r>
      <w:r w:rsidR="003001D1" w:rsidRPr="001005B7">
        <w:t>’</w:t>
      </w:r>
      <w:r w:rsidR="003F7948" w:rsidRPr="001005B7">
        <w:t>t</w:t>
      </w:r>
      <w:r w:rsidR="00844F19" w:rsidRPr="001005B7">
        <w:t xml:space="preserve">, as in </w:t>
      </w:r>
      <w:r w:rsidR="005C37C5" w:rsidRPr="001005B7">
        <w:t>chapter 9</w:t>
      </w:r>
      <w:r w:rsidR="003F7948" w:rsidRPr="001005B7">
        <w:t>.</w:t>
      </w:r>
      <w:r w:rsidR="00346E4B" w:rsidRPr="001005B7">
        <w:t xml:space="preserve"> </w:t>
      </w:r>
      <w:r w:rsidR="007603DB" w:rsidRPr="001005B7">
        <w:t xml:space="preserve">Perhaps Judahites would not have been sure whether to see </w:t>
      </w:r>
      <w:r w:rsidR="00DB0A70" w:rsidRPr="001005B7">
        <w:t xml:space="preserve">Yahweh as envisaging the torching of Jerusalem or its purifying. </w:t>
      </w:r>
      <w:r w:rsidR="00373553" w:rsidRPr="001005B7">
        <w:t>Both will happen, but not for some years</w:t>
      </w:r>
      <w:r w:rsidR="00346E4B" w:rsidRPr="001005B7">
        <w:t xml:space="preserve">. </w:t>
      </w:r>
      <w:r w:rsidR="00C86B38" w:rsidRPr="001005B7">
        <w:t>F</w:t>
      </w:r>
      <w:r w:rsidR="00346E4B" w:rsidRPr="001005B7">
        <w:t>reezing the story at this point encourages the</w:t>
      </w:r>
      <w:r w:rsidR="00720268" w:rsidRPr="001005B7">
        <w:t>m to think about the different possibilities, and to work on the assumption that nothin</w:t>
      </w:r>
      <w:r w:rsidR="00122F1B" w:rsidRPr="001005B7">
        <w:t>g</w:t>
      </w:r>
      <w:r w:rsidR="00346E4B" w:rsidRPr="001005B7">
        <w:t xml:space="preserve"> is yet fixed. Everything depends on their action.</w:t>
      </w:r>
    </w:p>
    <w:p w14:paraId="49ABEFAE" w14:textId="6B9F5A88" w:rsidR="007A0DDF" w:rsidRPr="001005B7" w:rsidRDefault="00BA0E5A" w:rsidP="001F0780">
      <w:r w:rsidRPr="001005B7">
        <w:rPr>
          <w:b/>
          <w:bCs/>
        </w:rPr>
        <w:t>10:</w:t>
      </w:r>
      <w:r w:rsidR="007B63CD" w:rsidRPr="001005B7">
        <w:rPr>
          <w:b/>
          <w:bCs/>
        </w:rPr>
        <w:t>9</w:t>
      </w:r>
      <w:r w:rsidR="00F46900" w:rsidRPr="001005B7">
        <w:rPr>
          <w:b/>
          <w:bCs/>
        </w:rPr>
        <w:t>–</w:t>
      </w:r>
      <w:r w:rsidR="007B63CD" w:rsidRPr="001005B7">
        <w:rPr>
          <w:b/>
          <w:bCs/>
        </w:rPr>
        <w:t xml:space="preserve">17 </w:t>
      </w:r>
      <w:r w:rsidR="007B63CD" w:rsidRPr="001005B7">
        <w:t>Instead</w:t>
      </w:r>
      <w:r w:rsidR="008B0F76" w:rsidRPr="001005B7">
        <w:t xml:space="preserve"> of giving an account of what happened next</w:t>
      </w:r>
      <w:r w:rsidR="007B63CD" w:rsidRPr="001005B7">
        <w:t xml:space="preserve">, Ezekiel gives people another detailed account </w:t>
      </w:r>
      <w:r w:rsidR="00C06683" w:rsidRPr="001005B7">
        <w:t xml:space="preserve">of the </w:t>
      </w:r>
      <w:r w:rsidR="003001D1" w:rsidRPr="001005B7">
        <w:t>griffin</w:t>
      </w:r>
      <w:r w:rsidR="00C06683" w:rsidRPr="001005B7">
        <w:t>s</w:t>
      </w:r>
      <w:r w:rsidR="00A978EC" w:rsidRPr="001005B7">
        <w:t xml:space="preserve">, </w:t>
      </w:r>
      <w:r w:rsidR="001B0307" w:rsidRPr="001005B7">
        <w:t xml:space="preserve">beginning the same way as he did in </w:t>
      </w:r>
      <w:r w:rsidR="003D021F" w:rsidRPr="001005B7">
        <w:t>10:</w:t>
      </w:r>
      <w:r w:rsidR="001B0307" w:rsidRPr="001005B7">
        <w:t>1</w:t>
      </w:r>
      <w:r w:rsidR="00EE17C5" w:rsidRPr="001005B7">
        <w:t xml:space="preserve">, </w:t>
      </w:r>
      <w:r w:rsidR="00A978EC" w:rsidRPr="001005B7">
        <w:t xml:space="preserve">with the confirmation that </w:t>
      </w:r>
      <w:r w:rsidR="000F2119" w:rsidRPr="001005B7">
        <w:t>this</w:t>
      </w:r>
      <w:r w:rsidR="00A978EC" w:rsidRPr="001005B7">
        <w:rPr>
          <w:i/>
          <w:iCs/>
        </w:rPr>
        <w:t xml:space="preserve"> </w:t>
      </w:r>
      <w:r w:rsidR="00A978EC" w:rsidRPr="001005B7">
        <w:t>was</w:t>
      </w:r>
      <w:r w:rsidR="00A978EC" w:rsidRPr="001005B7">
        <w:rPr>
          <w:i/>
          <w:iCs/>
        </w:rPr>
        <w:t xml:space="preserve"> </w:t>
      </w:r>
      <w:r w:rsidR="003001D1" w:rsidRPr="001005B7">
        <w:t>“</w:t>
      </w:r>
      <w:r w:rsidR="00A978EC" w:rsidRPr="001005B7">
        <w:t>the</w:t>
      </w:r>
      <w:r w:rsidR="00A978EC" w:rsidRPr="001005B7">
        <w:rPr>
          <w:i/>
          <w:iCs/>
        </w:rPr>
        <w:t xml:space="preserve"> </w:t>
      </w:r>
      <w:r w:rsidR="00A978EC" w:rsidRPr="001005B7">
        <w:t>living</w:t>
      </w:r>
      <w:r w:rsidR="00A978EC" w:rsidRPr="001005B7">
        <w:rPr>
          <w:i/>
          <w:iCs/>
        </w:rPr>
        <w:t xml:space="preserve"> </w:t>
      </w:r>
      <w:r w:rsidR="00A978EC" w:rsidRPr="001005B7">
        <w:t>being</w:t>
      </w:r>
      <w:r w:rsidR="00A978EC" w:rsidRPr="001005B7">
        <w:rPr>
          <w:i/>
          <w:iCs/>
        </w:rPr>
        <w:t xml:space="preserve"> </w:t>
      </w:r>
      <w:r w:rsidR="00A978EC" w:rsidRPr="001005B7">
        <w:t>that</w:t>
      </w:r>
      <w:r w:rsidR="00A978EC" w:rsidRPr="001005B7">
        <w:rPr>
          <w:i/>
          <w:iCs/>
        </w:rPr>
        <w:t xml:space="preserve"> </w:t>
      </w:r>
      <w:r w:rsidR="003001D1" w:rsidRPr="001005B7">
        <w:t>I</w:t>
      </w:r>
      <w:r w:rsidR="00A978EC" w:rsidRPr="001005B7">
        <w:rPr>
          <w:i/>
          <w:iCs/>
        </w:rPr>
        <w:t xml:space="preserve"> </w:t>
      </w:r>
      <w:r w:rsidR="00A978EC" w:rsidRPr="001005B7">
        <w:t>saw</w:t>
      </w:r>
      <w:r w:rsidR="00A978EC" w:rsidRPr="001005B7">
        <w:rPr>
          <w:i/>
          <w:iCs/>
        </w:rPr>
        <w:t xml:space="preserve"> </w:t>
      </w:r>
      <w:r w:rsidR="00A978EC" w:rsidRPr="001005B7">
        <w:t>by</w:t>
      </w:r>
      <w:r w:rsidR="00A978EC" w:rsidRPr="001005B7">
        <w:rPr>
          <w:i/>
          <w:iCs/>
        </w:rPr>
        <w:t xml:space="preserve"> </w:t>
      </w:r>
      <w:r w:rsidR="00A978EC" w:rsidRPr="001005B7">
        <w:t>the</w:t>
      </w:r>
      <w:r w:rsidR="00A978EC" w:rsidRPr="001005B7">
        <w:rPr>
          <w:i/>
          <w:iCs/>
        </w:rPr>
        <w:t xml:space="preserve"> </w:t>
      </w:r>
      <w:proofErr w:type="spellStart"/>
      <w:r w:rsidR="00A978EC" w:rsidRPr="001005B7">
        <w:t>Kebar</w:t>
      </w:r>
      <w:proofErr w:type="spellEnd"/>
      <w:r w:rsidR="00A978EC" w:rsidRPr="001005B7">
        <w:rPr>
          <w:i/>
          <w:iCs/>
        </w:rPr>
        <w:t xml:space="preserve"> </w:t>
      </w:r>
      <w:r w:rsidR="00A978EC" w:rsidRPr="001005B7">
        <w:t>Waterway</w:t>
      </w:r>
      <w:r w:rsidR="00483D17" w:rsidRPr="001005B7">
        <w:t>.</w:t>
      </w:r>
      <w:r w:rsidR="003001D1" w:rsidRPr="001005B7">
        <w:t>”</w:t>
      </w:r>
      <w:r w:rsidR="00C9044B" w:rsidRPr="001005B7">
        <w:t xml:space="preserve"> </w:t>
      </w:r>
      <w:r w:rsidR="009D32E5" w:rsidRPr="001005B7">
        <w:t>T</w:t>
      </w:r>
      <w:r w:rsidR="00C9044B" w:rsidRPr="001005B7">
        <w:t xml:space="preserve">he first </w:t>
      </w:r>
      <w:r w:rsidR="003001D1" w:rsidRPr="001005B7">
        <w:t>griffin</w:t>
      </w:r>
      <w:r w:rsidR="00F625A9" w:rsidRPr="001005B7">
        <w:t xml:space="preserve"> now has the actual face of a </w:t>
      </w:r>
      <w:r w:rsidR="003001D1" w:rsidRPr="001005B7">
        <w:t>griffin</w:t>
      </w:r>
      <w:r w:rsidR="00F625A9" w:rsidRPr="001005B7">
        <w:t xml:space="preserve"> rather than an ox </w:t>
      </w:r>
      <w:r w:rsidR="00C26E40" w:rsidRPr="001005B7">
        <w:t>(</w:t>
      </w:r>
      <w:r w:rsidR="009D32E5" w:rsidRPr="001005B7">
        <w:t xml:space="preserve">contrast </w:t>
      </w:r>
      <w:r w:rsidR="00C26E40" w:rsidRPr="001005B7">
        <w:t>1:10)</w:t>
      </w:r>
      <w:r w:rsidR="0093738F" w:rsidRPr="001005B7">
        <w:t xml:space="preserve">. </w:t>
      </w:r>
      <w:r w:rsidR="0093738F" w:rsidRPr="001005B7">
        <w:rPr>
          <w:i/>
          <w:iCs/>
        </w:rPr>
        <w:t>B. Hagigah 13b</w:t>
      </w:r>
      <w:r w:rsidR="0093738F" w:rsidRPr="001005B7">
        <w:t xml:space="preserve"> </w:t>
      </w:r>
      <w:r w:rsidR="00CE1434" w:rsidRPr="001005B7">
        <w:t>suggests it was appropriate</w:t>
      </w:r>
      <w:r w:rsidR="009D32E5" w:rsidRPr="001005B7">
        <w:t xml:space="preserve"> here</w:t>
      </w:r>
      <w:r w:rsidR="00CE1434" w:rsidRPr="001005B7">
        <w:t xml:space="preserve"> to avoid the animal that had been the means of </w:t>
      </w:r>
      <w:r w:rsidR="00DB4E40" w:rsidRPr="001005B7">
        <w:t>rebellion at Sinai (Exod 32:</w:t>
      </w:r>
      <w:r w:rsidR="00EE0B02" w:rsidRPr="001005B7">
        <w:t>4</w:t>
      </w:r>
      <w:r w:rsidRPr="001005B7">
        <w:t>, though</w:t>
      </w:r>
      <w:r w:rsidR="000E0CA9" w:rsidRPr="001005B7">
        <w:t xml:space="preserve"> strictly, that was a bullock</w:t>
      </w:r>
      <w:r w:rsidR="00EE0B02" w:rsidRPr="001005B7">
        <w:t>).</w:t>
      </w:r>
    </w:p>
    <w:p w14:paraId="2A881E8D" w14:textId="53E4F7AF" w:rsidR="00CA1F0F" w:rsidRPr="001005B7" w:rsidRDefault="00F51644" w:rsidP="00CA1F0F">
      <w:r w:rsidRPr="001005B7">
        <w:rPr>
          <w:b/>
          <w:bCs/>
        </w:rPr>
        <w:t>10:</w:t>
      </w:r>
      <w:r w:rsidR="00483D17" w:rsidRPr="001005B7">
        <w:rPr>
          <w:b/>
          <w:bCs/>
        </w:rPr>
        <w:t>18</w:t>
      </w:r>
      <w:r w:rsidR="00F46900" w:rsidRPr="001005B7">
        <w:rPr>
          <w:b/>
          <w:bCs/>
        </w:rPr>
        <w:t>–</w:t>
      </w:r>
      <w:r w:rsidR="00483D17" w:rsidRPr="001005B7">
        <w:rPr>
          <w:b/>
          <w:bCs/>
        </w:rPr>
        <w:t xml:space="preserve">22. </w:t>
      </w:r>
      <w:r w:rsidR="00981547" w:rsidRPr="001005B7">
        <w:t xml:space="preserve">Now there is some movement. </w:t>
      </w:r>
      <w:r w:rsidR="00966122" w:rsidRPr="001005B7">
        <w:t xml:space="preserve">Yahweh’s </w:t>
      </w:r>
      <w:r w:rsidR="00180CEB" w:rsidRPr="001005B7">
        <w:t>magnificence</w:t>
      </w:r>
      <w:r w:rsidR="00966122" w:rsidRPr="001005B7">
        <w:t xml:space="preserve"> had </w:t>
      </w:r>
      <w:r w:rsidR="00E67F95" w:rsidRPr="001005B7">
        <w:t xml:space="preserve">already </w:t>
      </w:r>
      <w:r w:rsidR="00966122" w:rsidRPr="001005B7">
        <w:t xml:space="preserve">moved from the </w:t>
      </w:r>
      <w:r w:rsidR="003001D1" w:rsidRPr="001005B7">
        <w:t>griffin</w:t>
      </w:r>
      <w:r w:rsidR="00966122" w:rsidRPr="001005B7">
        <w:t xml:space="preserve"> (that is, the </w:t>
      </w:r>
      <w:r w:rsidR="003001D1" w:rsidRPr="001005B7">
        <w:t>griffin</w:t>
      </w:r>
      <w:r w:rsidR="006964DF" w:rsidRPr="001005B7">
        <w:t xml:space="preserve"> above the covenant chest in the temple) to the </w:t>
      </w:r>
      <w:r w:rsidR="008B5270" w:rsidRPr="001005B7">
        <w:t xml:space="preserve">temple threshold, apparently in connection with commissioning the </w:t>
      </w:r>
      <w:r w:rsidR="00FD25F4" w:rsidRPr="001005B7">
        <w:t>seven aide</w:t>
      </w:r>
      <w:r w:rsidR="00991249" w:rsidRPr="001005B7">
        <w:t>s</w:t>
      </w:r>
      <w:r w:rsidR="00FD25F4" w:rsidRPr="001005B7">
        <w:t xml:space="preserve"> (9:</w:t>
      </w:r>
      <w:r w:rsidR="0064594E" w:rsidRPr="001005B7">
        <w:t>3</w:t>
      </w:r>
      <w:r w:rsidR="00F46900" w:rsidRPr="001005B7">
        <w:t>–</w:t>
      </w:r>
      <w:r w:rsidR="0064594E" w:rsidRPr="001005B7">
        <w:t xml:space="preserve">11). </w:t>
      </w:r>
      <w:r w:rsidR="00991249" w:rsidRPr="001005B7">
        <w:t>Now it moves further</w:t>
      </w:r>
      <w:r w:rsidR="00C1250C" w:rsidRPr="001005B7">
        <w:t>,</w:t>
      </w:r>
      <w:r w:rsidR="00991249" w:rsidRPr="001005B7">
        <w:t xml:space="preserve"> and stands still </w:t>
      </w:r>
      <w:r w:rsidR="00386D88" w:rsidRPr="001005B7">
        <w:t xml:space="preserve">over the </w:t>
      </w:r>
      <w:r w:rsidR="003001D1" w:rsidRPr="001005B7">
        <w:t>griffin</w:t>
      </w:r>
      <w:r w:rsidR="00386D88" w:rsidRPr="001005B7">
        <w:t>s</w:t>
      </w:r>
      <w:r w:rsidR="00BD0BBF" w:rsidRPr="001005B7">
        <w:t xml:space="preserve"> (that is, the </w:t>
      </w:r>
      <w:r w:rsidR="00187FAD" w:rsidRPr="001005B7">
        <w:t xml:space="preserve">supernatural </w:t>
      </w:r>
      <w:r w:rsidR="003001D1" w:rsidRPr="001005B7">
        <w:t>griffin</w:t>
      </w:r>
      <w:r w:rsidR="00654264" w:rsidRPr="001005B7">
        <w:t>s</w:t>
      </w:r>
      <w:r w:rsidR="00EC6131" w:rsidRPr="001005B7">
        <w:t>)</w:t>
      </w:r>
      <w:r w:rsidR="006445A2" w:rsidRPr="001005B7">
        <w:t xml:space="preserve"> at</w:t>
      </w:r>
      <w:r w:rsidR="006445A2" w:rsidRPr="001005B7">
        <w:rPr>
          <w:i/>
          <w:iCs/>
        </w:rPr>
        <w:t xml:space="preserve"> </w:t>
      </w:r>
      <w:r w:rsidR="006445A2" w:rsidRPr="001005B7">
        <w:t>the</w:t>
      </w:r>
      <w:r w:rsidR="006445A2" w:rsidRPr="001005B7">
        <w:rPr>
          <w:i/>
          <w:iCs/>
        </w:rPr>
        <w:t xml:space="preserve"> </w:t>
      </w:r>
      <w:r w:rsidR="006445A2" w:rsidRPr="001005B7">
        <w:t>entrance</w:t>
      </w:r>
      <w:r w:rsidR="006445A2" w:rsidRPr="001005B7">
        <w:rPr>
          <w:i/>
          <w:iCs/>
        </w:rPr>
        <w:t xml:space="preserve"> </w:t>
      </w:r>
      <w:r w:rsidR="00B573E8" w:rsidRPr="001005B7">
        <w:t>of</w:t>
      </w:r>
      <w:r w:rsidR="006445A2" w:rsidRPr="001005B7">
        <w:rPr>
          <w:i/>
          <w:iCs/>
        </w:rPr>
        <w:t xml:space="preserve"> </w:t>
      </w:r>
      <w:r w:rsidR="006445A2" w:rsidRPr="001005B7">
        <w:t>the</w:t>
      </w:r>
      <w:r w:rsidR="006445A2" w:rsidRPr="001005B7">
        <w:rPr>
          <w:i/>
          <w:iCs/>
        </w:rPr>
        <w:t xml:space="preserve"> </w:t>
      </w:r>
      <w:r w:rsidR="006445A2" w:rsidRPr="001005B7">
        <w:t>eastern</w:t>
      </w:r>
      <w:r w:rsidR="006445A2" w:rsidRPr="001005B7">
        <w:rPr>
          <w:i/>
          <w:iCs/>
        </w:rPr>
        <w:t xml:space="preserve"> </w:t>
      </w:r>
      <w:r w:rsidR="006445A2" w:rsidRPr="001005B7">
        <w:t>gate</w:t>
      </w:r>
      <w:r w:rsidR="00B573E8" w:rsidRPr="001005B7">
        <w:t>way</w:t>
      </w:r>
      <w:r w:rsidR="00B573E8" w:rsidRPr="001005B7">
        <w:rPr>
          <w:i/>
          <w:iCs/>
        </w:rPr>
        <w:t xml:space="preserve"> </w:t>
      </w:r>
      <w:r w:rsidR="00B573E8" w:rsidRPr="001005B7">
        <w:t>to the temple</w:t>
      </w:r>
      <w:r w:rsidR="00EC6131" w:rsidRPr="001005B7">
        <w:t>—apparently in the sky, though Ezekiel does not make this explicit.</w:t>
      </w:r>
      <w:r w:rsidR="00654264" w:rsidRPr="001005B7">
        <w:t xml:space="preserve"> </w:t>
      </w:r>
      <w:r w:rsidR="00636CD0" w:rsidRPr="001005B7">
        <w:t>W</w:t>
      </w:r>
      <w:r w:rsidR="001D4B9E" w:rsidRPr="001005B7">
        <w:t>hy does it make that move</w:t>
      </w:r>
      <w:r w:rsidR="002B7B68" w:rsidRPr="001005B7">
        <w:t>?</w:t>
      </w:r>
      <w:r w:rsidR="001D4B9E" w:rsidRPr="001005B7">
        <w:t xml:space="preserve"> </w:t>
      </w:r>
      <w:r w:rsidR="004D6AE5" w:rsidRPr="001005B7">
        <w:t>It is a worrying move in that i</w:t>
      </w:r>
      <w:r w:rsidR="007E65F9" w:rsidRPr="001005B7">
        <w:t>t implies something that has the opposite significance to the Day of Atonement observ</w:t>
      </w:r>
      <w:r w:rsidR="00C5186F" w:rsidRPr="001005B7">
        <w:t>a</w:t>
      </w:r>
      <w:r w:rsidR="007E65F9" w:rsidRPr="001005B7">
        <w:t>nces</w:t>
      </w:r>
      <w:r w:rsidR="007B143D" w:rsidRPr="001005B7">
        <w:t xml:space="preserve"> that</w:t>
      </w:r>
      <w:r w:rsidR="00C5186F" w:rsidRPr="001005B7">
        <w:t xml:space="preserve"> ensured that Yahweh stayed in the sanctuary after it had been cleansed</w:t>
      </w:r>
      <w:r w:rsidR="00B61314" w:rsidRPr="001005B7">
        <w:t xml:space="preserve"> (Sweeney,</w:t>
      </w:r>
      <w:r w:rsidR="00B61314" w:rsidRPr="001005B7">
        <w:rPr>
          <w:i/>
          <w:iCs/>
        </w:rPr>
        <w:t xml:space="preserve"> </w:t>
      </w:r>
      <w:r w:rsidR="00B61314" w:rsidRPr="001005B7">
        <w:t>63)</w:t>
      </w:r>
      <w:r w:rsidR="00C5186F" w:rsidRPr="001005B7">
        <w:t>.</w:t>
      </w:r>
      <w:r w:rsidR="0049571D" w:rsidRPr="001005B7">
        <w:rPr>
          <w:rStyle w:val="FootnoteReference"/>
        </w:rPr>
        <w:footnoteReference w:id="266"/>
      </w:r>
      <w:r w:rsidR="005B6540" w:rsidRPr="001005B7">
        <w:t xml:space="preserve"> </w:t>
      </w:r>
      <w:r w:rsidR="003B276A" w:rsidRPr="001005B7">
        <w:t>Is Yahweh on his</w:t>
      </w:r>
      <w:r w:rsidR="00066F31" w:rsidRPr="001005B7">
        <w:t xml:space="preserve"> </w:t>
      </w:r>
      <w:r w:rsidR="003B276A" w:rsidRPr="001005B7">
        <w:t xml:space="preserve">way to abandoning the temple and the city altogether? </w:t>
      </w:r>
      <w:r w:rsidR="00F8746F" w:rsidRPr="001005B7">
        <w:t>I</w:t>
      </w:r>
      <w:r w:rsidR="001D4B9E" w:rsidRPr="001005B7">
        <w:t xml:space="preserve">nstead of </w:t>
      </w:r>
      <w:r w:rsidR="007C447B" w:rsidRPr="001005B7">
        <w:t>resolving ou</w:t>
      </w:r>
      <w:r w:rsidR="002B7B68" w:rsidRPr="001005B7">
        <w:t>r</w:t>
      </w:r>
      <w:r w:rsidR="007C447B" w:rsidRPr="001005B7">
        <w:t xml:space="preserve"> suspense, </w:t>
      </w:r>
      <w:r w:rsidR="00246276" w:rsidRPr="001005B7">
        <w:t xml:space="preserve">Ezekiel </w:t>
      </w:r>
      <w:r w:rsidR="007C447B" w:rsidRPr="001005B7">
        <w:t xml:space="preserve">again </w:t>
      </w:r>
      <w:r w:rsidR="00246276" w:rsidRPr="001005B7">
        <w:t xml:space="preserve">makes explicit the identity of what he sees here with what he saw earlier. </w:t>
      </w:r>
      <w:r w:rsidR="00B90B9E" w:rsidRPr="001005B7">
        <w:t xml:space="preserve">Meanwhile, </w:t>
      </w:r>
      <w:r w:rsidR="007C447B" w:rsidRPr="001005B7">
        <w:t xml:space="preserve">he </w:t>
      </w:r>
      <w:r w:rsidR="00A203A2" w:rsidRPr="001005B7">
        <w:t xml:space="preserve">will </w:t>
      </w:r>
      <w:r w:rsidR="007C447B" w:rsidRPr="001005B7">
        <w:t xml:space="preserve">keep us </w:t>
      </w:r>
      <w:r w:rsidR="00B90B9E" w:rsidRPr="001005B7">
        <w:t xml:space="preserve">in suspense until </w:t>
      </w:r>
      <w:r w:rsidR="002B7B68" w:rsidRPr="001005B7">
        <w:t>Act 4</w:t>
      </w:r>
      <w:r w:rsidR="00B90B9E" w:rsidRPr="001005B7">
        <w:t>.</w:t>
      </w:r>
    </w:p>
    <w:p w14:paraId="01DF08F6" w14:textId="77777777" w:rsidR="00E60E6B" w:rsidRPr="001005B7" w:rsidRDefault="00E60E6B" w:rsidP="00493833">
      <w:pPr>
        <w:pStyle w:val="Heading3"/>
      </w:pPr>
      <w:r w:rsidRPr="001005B7">
        <w:t xml:space="preserve">Biblical Theology Comments </w:t>
      </w:r>
    </w:p>
    <w:p w14:paraId="646782F5" w14:textId="34562698" w:rsidR="00E60E6B" w:rsidRPr="001005B7" w:rsidRDefault="00E60E6B" w:rsidP="00E60E6B">
      <w:pPr>
        <w:rPr>
          <w:rFonts w:cstheme="minorHAnsi"/>
        </w:rPr>
      </w:pPr>
      <w:r w:rsidRPr="001005B7">
        <w:t xml:space="preserve">Ezek 10 uses the word </w:t>
      </w:r>
      <w:r w:rsidRPr="001005B7">
        <w:rPr>
          <w:rFonts w:cstheme="minorHAnsi"/>
          <w:rtl/>
          <w:lang w:bidi="he-IL"/>
        </w:rPr>
        <w:t>כְ</w:t>
      </w:r>
      <w:r w:rsidR="00AD7857" w:rsidRPr="001005B7">
        <w:rPr>
          <w:rFonts w:cstheme="minorHAnsi"/>
          <w:rtl/>
          <w:lang w:bidi="he-IL"/>
        </w:rPr>
        <w:t>ּ</w:t>
      </w:r>
      <w:r w:rsidRPr="001005B7">
        <w:rPr>
          <w:rFonts w:cstheme="minorHAnsi"/>
          <w:rtl/>
          <w:lang w:bidi="he-IL"/>
        </w:rPr>
        <w:t>רוּבׅים</w:t>
      </w:r>
      <w:r w:rsidRPr="001005B7">
        <w:t xml:space="preserve"> </w:t>
      </w:r>
      <w:r w:rsidRPr="001005B7">
        <w:rPr>
          <w:rFonts w:cstheme="minorHAnsi"/>
        </w:rPr>
        <w:t>more often than any other chapter, and does so in two of the word’s several significant connections in the First Testament.</w:t>
      </w:r>
      <w:r w:rsidRPr="001005B7">
        <w:t xml:space="preserve"> </w:t>
      </w:r>
      <w:r w:rsidRPr="001005B7">
        <w:rPr>
          <w:rFonts w:cstheme="minorHAnsi"/>
        </w:rPr>
        <w:t xml:space="preserve">Like </w:t>
      </w:r>
      <w:r w:rsidRPr="001005B7">
        <w:rPr>
          <w:rFonts w:cstheme="minorHAnsi"/>
          <w:rtl/>
          <w:lang w:bidi="he-IL"/>
        </w:rPr>
        <w:t>צְרָפׅים</w:t>
      </w:r>
      <w:r w:rsidRPr="001005B7">
        <w:rPr>
          <w:rFonts w:cstheme="minorHAnsi"/>
        </w:rPr>
        <w:t xml:space="preserve"> (Isa 6:2, 6),</w:t>
      </w:r>
      <w:r w:rsidRPr="001005B7">
        <w:rPr>
          <w:rFonts w:cstheme="minorHAnsi"/>
          <w:i/>
          <w:iCs/>
        </w:rPr>
        <w:t xml:space="preserve"> </w:t>
      </w:r>
      <w:r w:rsidRPr="001005B7">
        <w:rPr>
          <w:rFonts w:cstheme="minorHAnsi"/>
        </w:rPr>
        <w:t>the word is traditionally transliterated rather than being translated, but one disadvantage is that “cherub” in English is inclined to suggest a chubby baby angel, which thus gives a misleading impression</w:t>
      </w:r>
      <w:r w:rsidR="00121417" w:rsidRPr="001005B7">
        <w:rPr>
          <w:rFonts w:cstheme="minorHAnsi"/>
        </w:rPr>
        <w:t>. H</w:t>
      </w:r>
      <w:r w:rsidRPr="001005B7">
        <w:rPr>
          <w:rFonts w:cstheme="minorHAnsi"/>
        </w:rPr>
        <w:t xml:space="preserve">ence, in part, the translation </w:t>
      </w:r>
      <w:r w:rsidR="00D90266" w:rsidRPr="001005B7">
        <w:rPr>
          <w:rFonts w:cstheme="minorHAnsi"/>
        </w:rPr>
        <w:t>“</w:t>
      </w:r>
      <w:r w:rsidR="003001D1" w:rsidRPr="001005B7">
        <w:t>griffin</w:t>
      </w:r>
      <w:r w:rsidRPr="001005B7">
        <w:t>,</w:t>
      </w:r>
      <w:r w:rsidR="00D90266" w:rsidRPr="001005B7">
        <w:t>”</w:t>
      </w:r>
      <w:r w:rsidRPr="001005B7">
        <w:t xml:space="preserve"> which in turn transliterates a Greek word that may ultimately be Egyptian.</w:t>
      </w:r>
      <w:r w:rsidRPr="001005B7">
        <w:rPr>
          <w:rFonts w:cstheme="minorHAnsi"/>
        </w:rPr>
        <w:t xml:space="preserve"> </w:t>
      </w:r>
      <w:r w:rsidRPr="001005B7">
        <w:rPr>
          <w:rFonts w:cstheme="minorHAnsi"/>
          <w:rtl/>
          <w:lang w:bidi="he-IL"/>
        </w:rPr>
        <w:t>כ</w:t>
      </w:r>
      <w:r w:rsidR="00173556" w:rsidRPr="001005B7">
        <w:rPr>
          <w:rFonts w:cstheme="minorHAnsi"/>
          <w:rtl/>
          <w:lang w:bidi="he-IL"/>
        </w:rPr>
        <w:t>ּ</w:t>
      </w:r>
      <w:r w:rsidRPr="001005B7">
        <w:rPr>
          <w:rFonts w:cstheme="minorHAnsi"/>
          <w:rtl/>
          <w:lang w:bidi="he-IL"/>
        </w:rPr>
        <w:t>ְרוב</w:t>
      </w:r>
      <w:r w:rsidRPr="001005B7">
        <w:rPr>
          <w:rFonts w:cstheme="minorHAnsi"/>
        </w:rPr>
        <w:t xml:space="preserve"> has no related words in Hebrew or </w:t>
      </w:r>
      <w:r w:rsidR="00C45640">
        <w:rPr>
          <w:rFonts w:cstheme="minorHAnsi"/>
        </w:rPr>
        <w:t xml:space="preserve">in </w:t>
      </w:r>
      <w:r w:rsidRPr="001005B7">
        <w:rPr>
          <w:rFonts w:cstheme="minorHAnsi"/>
        </w:rPr>
        <w:t>other languages that might help an understanding of its meaning, so we are dependent on considering the way the word is used.</w:t>
      </w:r>
      <w:r w:rsidRPr="001005B7">
        <w:rPr>
          <w:rStyle w:val="FootnoteReference"/>
          <w:rFonts w:cstheme="minorHAnsi"/>
        </w:rPr>
        <w:footnoteReference w:id="267"/>
      </w:r>
      <w:r w:rsidRPr="001005B7">
        <w:rPr>
          <w:rFonts w:cstheme="minorHAnsi"/>
        </w:rPr>
        <w:t xml:space="preserve"> Most often it refers to carved figures or carvings or weavings on the curtains or walls in the wilderness dwelling</w:t>
      </w:r>
      <w:r w:rsidR="0071016E" w:rsidRPr="001005B7">
        <w:rPr>
          <w:rFonts w:cstheme="minorHAnsi"/>
        </w:rPr>
        <w:t xml:space="preserve"> and the temple,</w:t>
      </w:r>
      <w:r w:rsidRPr="001005B7">
        <w:rPr>
          <w:rFonts w:cstheme="minorHAnsi"/>
        </w:rPr>
        <w:t xml:space="preserve"> especially in Ezek 10 and 41:18</w:t>
      </w:r>
      <w:r w:rsidR="00F46900" w:rsidRPr="001005B7">
        <w:rPr>
          <w:rFonts w:cstheme="minorHAnsi"/>
        </w:rPr>
        <w:t>–</w:t>
      </w:r>
      <w:r w:rsidRPr="001005B7">
        <w:rPr>
          <w:rFonts w:cstheme="minorHAnsi"/>
        </w:rPr>
        <w:t>25, and in Exod 25</w:t>
      </w:r>
      <w:r w:rsidR="00F46900" w:rsidRPr="001005B7">
        <w:rPr>
          <w:rFonts w:cstheme="minorHAnsi"/>
        </w:rPr>
        <w:t>–</w:t>
      </w:r>
      <w:r w:rsidRPr="001005B7">
        <w:rPr>
          <w:rFonts w:cstheme="minorHAnsi"/>
        </w:rPr>
        <w:t xml:space="preserve">40; </w:t>
      </w:r>
      <w:r w:rsidR="00721338" w:rsidRPr="001005B7">
        <w:t>1 Kgs</w:t>
      </w:r>
      <w:r w:rsidRPr="001005B7">
        <w:rPr>
          <w:rFonts w:cstheme="minorHAnsi"/>
        </w:rPr>
        <w:t xml:space="preserve"> 6</w:t>
      </w:r>
      <w:r w:rsidR="00F46900" w:rsidRPr="001005B7">
        <w:rPr>
          <w:rFonts w:cstheme="minorHAnsi"/>
        </w:rPr>
        <w:t>–</w:t>
      </w:r>
      <w:r w:rsidRPr="001005B7">
        <w:rPr>
          <w:rFonts w:cstheme="minorHAnsi"/>
        </w:rPr>
        <w:t>8; and 2 Chr 3</w:t>
      </w:r>
      <w:r w:rsidR="00F46900" w:rsidRPr="001005B7">
        <w:rPr>
          <w:rFonts w:cstheme="minorHAnsi"/>
        </w:rPr>
        <w:t>–</w:t>
      </w:r>
      <w:r w:rsidRPr="001005B7">
        <w:rPr>
          <w:rFonts w:cstheme="minorHAnsi"/>
        </w:rPr>
        <w:t xml:space="preserve">5. Two gold or gold-plated </w:t>
      </w:r>
      <w:r w:rsidR="003001D1" w:rsidRPr="001005B7">
        <w:rPr>
          <w:rFonts w:cstheme="minorHAnsi"/>
        </w:rPr>
        <w:t>griffin</w:t>
      </w:r>
      <w:r w:rsidRPr="001005B7">
        <w:rPr>
          <w:rFonts w:cstheme="minorHAnsi"/>
        </w:rPr>
        <w:t xml:space="preserve">s faced one another at either end of the cover on the covenant chest, spreading their wings over it. Between and above them Yahweh commits himself to meeting with the Israelites and speaking to them. </w:t>
      </w:r>
    </w:p>
    <w:p w14:paraId="7217E22E" w14:textId="70F493C1" w:rsidR="00E60E6B" w:rsidRPr="001005B7" w:rsidRDefault="00E60E6B" w:rsidP="00E60E6B">
      <w:pPr>
        <w:rPr>
          <w:rFonts w:cstheme="minorHAnsi"/>
        </w:rPr>
      </w:pPr>
      <w:r w:rsidRPr="001005B7">
        <w:rPr>
          <w:rFonts w:cstheme="minorHAnsi"/>
        </w:rPr>
        <w:t>In Ezek 10 the word also occurs to refer to the living creatures that support and transport Yahweh’s throne, creatures that the chapter identified with the beings in Ezekiel’s vision in chapter 1. In both connections the word denotes beings that have some human features, some animal features, and have wings</w:t>
      </w:r>
      <w:r w:rsidR="00220897">
        <w:rPr>
          <w:rFonts w:cstheme="minorHAnsi"/>
        </w:rPr>
        <w:t xml:space="preserve">. The visionary beings thus have </w:t>
      </w:r>
      <w:r w:rsidRPr="001005B7">
        <w:rPr>
          <w:rFonts w:cstheme="minorHAnsi"/>
        </w:rPr>
        <w:t xml:space="preserve">features of more than one animal. </w:t>
      </w:r>
      <w:r w:rsidR="00833E25" w:rsidRPr="001005B7">
        <w:rPr>
          <w:rFonts w:cstheme="minorHAnsi"/>
        </w:rPr>
        <w:t>T</w:t>
      </w:r>
      <w:r w:rsidRPr="001005B7">
        <w:rPr>
          <w:rFonts w:cstheme="minorHAnsi"/>
        </w:rPr>
        <w:t xml:space="preserve">he word </w:t>
      </w:r>
      <w:r w:rsidR="0015007C" w:rsidRPr="001005B7">
        <w:rPr>
          <w:rFonts w:cstheme="minorHAnsi"/>
        </w:rPr>
        <w:t>“</w:t>
      </w:r>
      <w:r w:rsidRPr="001005B7">
        <w:rPr>
          <w:rFonts w:cstheme="minorHAnsi"/>
        </w:rPr>
        <w:t>griffin</w:t>
      </w:r>
      <w:r w:rsidR="0015007C" w:rsidRPr="001005B7">
        <w:rPr>
          <w:rFonts w:cstheme="minorHAnsi"/>
        </w:rPr>
        <w:t>”</w:t>
      </w:r>
      <w:r w:rsidRPr="001005B7">
        <w:rPr>
          <w:rFonts w:cstheme="minorHAnsi"/>
        </w:rPr>
        <w:t xml:space="preserve"> </w:t>
      </w:r>
      <w:r w:rsidR="00D82862">
        <w:rPr>
          <w:rFonts w:cstheme="minorHAnsi"/>
        </w:rPr>
        <w:t xml:space="preserve">strictly </w:t>
      </w:r>
      <w:r w:rsidRPr="001005B7">
        <w:rPr>
          <w:rFonts w:cstheme="minorHAnsi"/>
        </w:rPr>
        <w:t>refers to analogous beings that appear in Greek and Egyptian texts and as statues. Ancient Near Eastern texts also refer to creatures with some animal, some bird, and some human features.</w:t>
      </w:r>
      <w:r w:rsidRPr="001005B7">
        <w:rPr>
          <w:rStyle w:val="FootnoteReference"/>
          <w:rFonts w:cstheme="minorHAnsi"/>
        </w:rPr>
        <w:footnoteReference w:id="268"/>
      </w:r>
      <w:r w:rsidRPr="001005B7">
        <w:rPr>
          <w:rFonts w:cstheme="minorHAnsi"/>
        </w:rPr>
        <w:t xml:space="preserve"> Within the First Testament and between Ezek 1 and 10 they are variously described (not least in number, whether two or four) and between Israel and other peoples</w:t>
      </w:r>
      <w:r w:rsidR="0008228D" w:rsidRPr="001005B7">
        <w:rPr>
          <w:rFonts w:cstheme="minorHAnsi"/>
        </w:rPr>
        <w:t xml:space="preserve"> (</w:t>
      </w:r>
      <w:r w:rsidR="0008228D" w:rsidRPr="001005B7">
        <w:t>see Allen, 1:152</w:t>
      </w:r>
      <w:r w:rsidR="00F46900" w:rsidRPr="001005B7">
        <w:t>–</w:t>
      </w:r>
      <w:r w:rsidR="0008228D" w:rsidRPr="001005B7">
        <w:t>54).</w:t>
      </w:r>
      <w:r w:rsidRPr="001005B7">
        <w:rPr>
          <w:rFonts w:cstheme="minorHAnsi"/>
        </w:rPr>
        <w:t xml:space="preserve"> It seems, then, that such creatures are a standard aspect of the way peoples in Israel’s context pictured</w:t>
      </w:r>
      <w:r w:rsidR="00AF1A36">
        <w:rPr>
          <w:rFonts w:cstheme="minorHAnsi"/>
        </w:rPr>
        <w:t xml:space="preserve"> the gods’</w:t>
      </w:r>
      <w:r w:rsidRPr="001005B7">
        <w:rPr>
          <w:rFonts w:cstheme="minorHAnsi"/>
        </w:rPr>
        <w:t xml:space="preserve"> relationship with the world. They functioned to serve the gods and to keep guard over things. In the First Testament, their guardian role is the first role they receive (Gen 3:24). Perhaps an element in the background to this picture is the guards, attendants, and carriers who would serve a king</w:t>
      </w:r>
      <w:r w:rsidR="00121417" w:rsidRPr="001005B7">
        <w:rPr>
          <w:rFonts w:cstheme="minorHAnsi"/>
        </w:rPr>
        <w:t>. C</w:t>
      </w:r>
      <w:r w:rsidRPr="001005B7">
        <w:rPr>
          <w:rFonts w:cstheme="minorHAnsi"/>
        </w:rPr>
        <w:t xml:space="preserve">reatures such as </w:t>
      </w:r>
      <w:r w:rsidR="003001D1" w:rsidRPr="001005B7">
        <w:rPr>
          <w:rFonts w:cstheme="minorHAnsi"/>
        </w:rPr>
        <w:t>griffin</w:t>
      </w:r>
      <w:r w:rsidRPr="001005B7">
        <w:rPr>
          <w:rFonts w:cstheme="minorHAnsi"/>
        </w:rPr>
        <w:t xml:space="preserve">s represent an enhanced version of </w:t>
      </w:r>
      <w:r w:rsidR="00AF1A36">
        <w:rPr>
          <w:rFonts w:cstheme="minorHAnsi"/>
        </w:rPr>
        <w:t>a king’s</w:t>
      </w:r>
      <w:r w:rsidRPr="001005B7">
        <w:rPr>
          <w:rFonts w:cstheme="minorHAnsi"/>
        </w:rPr>
        <w:t xml:space="preserve"> servants (see further Ezek 28:14</w:t>
      </w:r>
      <w:r w:rsidR="00F46900" w:rsidRPr="001005B7">
        <w:rPr>
          <w:rFonts w:cstheme="minorHAnsi"/>
        </w:rPr>
        <w:t>–</w:t>
      </w:r>
      <w:r w:rsidRPr="001005B7">
        <w:rPr>
          <w:rFonts w:cstheme="minorHAnsi"/>
        </w:rPr>
        <w:t>16 and the</w:t>
      </w:r>
      <w:r w:rsidR="0016465E" w:rsidRPr="001005B7">
        <w:rPr>
          <w:rFonts w:cstheme="minorHAnsi"/>
        </w:rPr>
        <w:t xml:space="preserve"> verse-by-verse</w:t>
      </w:r>
      <w:r w:rsidRPr="001005B7">
        <w:rPr>
          <w:rFonts w:cstheme="minorHAnsi"/>
        </w:rPr>
        <w:t xml:space="preserve"> commentary).</w:t>
      </w:r>
    </w:p>
    <w:p w14:paraId="53AA5E8F" w14:textId="5DB44897" w:rsidR="006C7428" w:rsidRPr="001005B7" w:rsidRDefault="00E60E6B" w:rsidP="006C7428">
      <w:r w:rsidRPr="001005B7">
        <w:rPr>
          <w:rFonts w:cstheme="minorHAnsi"/>
        </w:rPr>
        <w:t xml:space="preserve">Metaphysically, then, Yahweh sits enthroned on the </w:t>
      </w:r>
      <w:r w:rsidR="003001D1" w:rsidRPr="001005B7">
        <w:rPr>
          <w:rFonts w:cstheme="minorHAnsi"/>
        </w:rPr>
        <w:t>griffin</w:t>
      </w:r>
      <w:r w:rsidRPr="001005B7">
        <w:rPr>
          <w:rFonts w:cstheme="minorHAnsi"/>
        </w:rPr>
        <w:t xml:space="preserve">s and rides on them through the heavens (2 Sam 22:11; </w:t>
      </w:r>
      <w:proofErr w:type="spellStart"/>
      <w:r w:rsidRPr="001005B7">
        <w:rPr>
          <w:rFonts w:cstheme="minorHAnsi"/>
        </w:rPr>
        <w:t>Ps</w:t>
      </w:r>
      <w:r w:rsidR="003C7039" w:rsidRPr="001005B7">
        <w:rPr>
          <w:rFonts w:cstheme="minorHAnsi"/>
        </w:rPr>
        <w:t>a</w:t>
      </w:r>
      <w:proofErr w:type="spellEnd"/>
      <w:r w:rsidR="007B0953" w:rsidRPr="001005B7">
        <w:rPr>
          <w:rFonts w:cstheme="minorHAnsi"/>
        </w:rPr>
        <w:t xml:space="preserve"> </w:t>
      </w:r>
      <w:r w:rsidRPr="001005B7">
        <w:rPr>
          <w:rFonts w:cstheme="minorHAnsi"/>
        </w:rPr>
        <w:t xml:space="preserve">18:10 [11]). They suggest his </w:t>
      </w:r>
      <w:r w:rsidR="00180CEB" w:rsidRPr="001005B7">
        <w:rPr>
          <w:rFonts w:cstheme="minorHAnsi"/>
        </w:rPr>
        <w:t>magnificence</w:t>
      </w:r>
      <w:r w:rsidRPr="001005B7">
        <w:rPr>
          <w:rFonts w:cstheme="minorHAnsi"/>
        </w:rPr>
        <w:t xml:space="preserve"> and his capacity to appear and act wherever he wishes. And spatially</w:t>
      </w:r>
      <w:r w:rsidR="00B27A88">
        <w:rPr>
          <w:rFonts w:cstheme="minorHAnsi"/>
        </w:rPr>
        <w:t>,</w:t>
      </w:r>
      <w:r w:rsidRPr="001005B7">
        <w:rPr>
          <w:rFonts w:cstheme="minorHAnsi"/>
        </w:rPr>
        <w:t xml:space="preserve"> though invisibly, he sits enthroned on them in the sanctuary or the temple (1 Sam 4:4; 2 Sam 6:2; 1 Chr 13:6). To describe him as seated on the </w:t>
      </w:r>
      <w:r w:rsidR="003001D1" w:rsidRPr="001005B7">
        <w:rPr>
          <w:rFonts w:cstheme="minorHAnsi"/>
        </w:rPr>
        <w:t>griffin</w:t>
      </w:r>
      <w:r w:rsidRPr="001005B7">
        <w:rPr>
          <w:rFonts w:cstheme="minorHAnsi"/>
        </w:rPr>
        <w:t>s and urged to act (</w:t>
      </w:r>
      <w:r w:rsidR="00A60B53" w:rsidRPr="001005B7">
        <w:t>2 Kgs</w:t>
      </w:r>
      <w:r w:rsidRPr="001005B7">
        <w:rPr>
          <w:rFonts w:cstheme="minorHAnsi"/>
        </w:rPr>
        <w:t xml:space="preserve"> 19:15; </w:t>
      </w:r>
      <w:proofErr w:type="spellStart"/>
      <w:r w:rsidRPr="001005B7">
        <w:rPr>
          <w:rFonts w:cstheme="minorHAnsi"/>
        </w:rPr>
        <w:t>Pss</w:t>
      </w:r>
      <w:proofErr w:type="spellEnd"/>
      <w:r w:rsidRPr="001005B7">
        <w:rPr>
          <w:rFonts w:cstheme="minorHAnsi"/>
        </w:rPr>
        <w:t xml:space="preserve"> 80:1 [2]; 99:1; Isa 37:16) could refer to both the metaphysical and the spatial, and one should hardly attempt to separate the two (in 1 Chr 28:18 the </w:t>
      </w:r>
      <w:r w:rsidR="003001D1" w:rsidRPr="001005B7">
        <w:rPr>
          <w:rFonts w:cstheme="minorHAnsi"/>
        </w:rPr>
        <w:t>griffin</w:t>
      </w:r>
      <w:r w:rsidRPr="001005B7">
        <w:rPr>
          <w:rFonts w:cstheme="minorHAnsi"/>
        </w:rPr>
        <w:t xml:space="preserve">s explicitly gain a chariot, which suggests the influence of Ezekiel even though Ezekiel does not use that word). Something parallel applies in Ezek 10. The pair of statue </w:t>
      </w:r>
      <w:r w:rsidR="003001D1" w:rsidRPr="001005B7">
        <w:rPr>
          <w:rFonts w:cstheme="minorHAnsi"/>
        </w:rPr>
        <w:t>griffin</w:t>
      </w:r>
      <w:r w:rsidRPr="001005B7">
        <w:rPr>
          <w:rFonts w:cstheme="minorHAnsi"/>
        </w:rPr>
        <w:t xml:space="preserve">s and the four visionary </w:t>
      </w:r>
      <w:r w:rsidR="003001D1" w:rsidRPr="001005B7">
        <w:rPr>
          <w:rFonts w:cstheme="minorHAnsi"/>
        </w:rPr>
        <w:t>griffin</w:t>
      </w:r>
      <w:r w:rsidRPr="001005B7">
        <w:rPr>
          <w:rFonts w:cstheme="minorHAnsi"/>
        </w:rPr>
        <w:t xml:space="preserve">s equally serve Yahweh and both draw attention to him as the one who is truly present but cannot be looked upon. The pair implicitly draw attention to the requirements of the covenant expressed on the tablets in the </w:t>
      </w:r>
      <w:r w:rsidR="001653A8">
        <w:rPr>
          <w:rFonts w:cstheme="minorHAnsi"/>
        </w:rPr>
        <w:t xml:space="preserve">covenant </w:t>
      </w:r>
      <w:r w:rsidRPr="001005B7">
        <w:rPr>
          <w:rFonts w:cstheme="minorHAnsi"/>
        </w:rPr>
        <w:t xml:space="preserve">chest and to requirements Yahweh might further issue from above </w:t>
      </w:r>
      <w:r w:rsidR="00247F0F">
        <w:rPr>
          <w:rFonts w:cstheme="minorHAnsi"/>
        </w:rPr>
        <w:t>it</w:t>
      </w:r>
      <w:r w:rsidRPr="001005B7">
        <w:rPr>
          <w:rFonts w:cstheme="minorHAnsi"/>
        </w:rPr>
        <w:t xml:space="preserve">. The four draw attention to Yahweh’s resolve to come to take action in his relationship with Israel, not to deliver but to take action against Israel in a context when it has flouted those requirements. </w:t>
      </w:r>
    </w:p>
    <w:p w14:paraId="69AE1554" w14:textId="3CC5CAE0" w:rsidR="0050299B" w:rsidRPr="001005B7" w:rsidRDefault="0050299B" w:rsidP="00493833">
      <w:pPr>
        <w:pStyle w:val="Heading3"/>
      </w:pPr>
      <w:r w:rsidRPr="001005B7">
        <w:t>Application and Devotional implications</w:t>
      </w:r>
    </w:p>
    <w:p w14:paraId="56753864" w14:textId="48D9B0C0" w:rsidR="0050299B" w:rsidRPr="001005B7" w:rsidRDefault="0050299B" w:rsidP="0050299B">
      <w:pPr>
        <w:rPr>
          <w:lang w:eastAsia="en-GB"/>
        </w:rPr>
      </w:pPr>
      <w:r w:rsidRPr="001005B7">
        <w:rPr>
          <w:lang w:eastAsia="en-GB"/>
        </w:rPr>
        <w:t xml:space="preserve">Greenhill </w:t>
      </w:r>
      <w:r w:rsidR="00412872" w:rsidRPr="001005B7">
        <w:rPr>
          <w:lang w:eastAsia="en-GB"/>
        </w:rPr>
        <w:t xml:space="preserve">(243) </w:t>
      </w:r>
      <w:r w:rsidRPr="001005B7">
        <w:rPr>
          <w:lang w:eastAsia="en-GB"/>
        </w:rPr>
        <w:t>comments:</w:t>
      </w:r>
    </w:p>
    <w:p w14:paraId="6A013E59" w14:textId="5EE3ABAB" w:rsidR="0050299B" w:rsidRPr="001005B7" w:rsidRDefault="0050299B" w:rsidP="0050299B">
      <w:pPr>
        <w:pStyle w:val="Quote"/>
        <w:rPr>
          <w:color w:val="auto"/>
        </w:rPr>
      </w:pPr>
      <w:r w:rsidRPr="001005B7">
        <w:rPr>
          <w:color w:val="auto"/>
          <w:lang w:eastAsia="en-GB"/>
        </w:rPr>
        <w:t xml:space="preserve">How unwilling the Lord is to depart, and leave that people he hath dwelt amongst, and been engaged unto; he had taken in this people to be his, and now though they had provoked him bitterly by their Idolatry in his worship, and by oppression in the state, and he had great cause to have left them utterly at once, yet see how he goes away in a gradual manner.… No visible Church but may fall, and cease to be; here was the only visible church in the world, and the glory departed from it, and quickly it became no church. The seven churches of Asia were famous visible churches, and is not their glory long since departed from them? No visible church but may cease its being.… </w:t>
      </w:r>
      <w:r w:rsidRPr="001005B7">
        <w:rPr>
          <w:rFonts w:asciiTheme="minorHAnsi" w:eastAsia="Times New Roman" w:hAnsiTheme="minorHAnsi" w:cstheme="minorHAnsi"/>
          <w:color w:val="auto"/>
          <w:szCs w:val="22"/>
          <w:lang w:eastAsia="en-GB"/>
        </w:rPr>
        <w:t xml:space="preserve">God is not tied to any place, to any people; but if they corrupt his worship, he may withdraw. </w:t>
      </w:r>
    </w:p>
    <w:p w14:paraId="4CC1DD5C" w14:textId="708A91C3" w:rsidR="0050299B" w:rsidRPr="001005B7" w:rsidRDefault="0050299B" w:rsidP="0050299B">
      <w:r w:rsidRPr="001005B7">
        <w:t>J</w:t>
      </w:r>
      <w:r w:rsidR="00412872" w:rsidRPr="001005B7">
        <w:t>e</w:t>
      </w:r>
      <w:r w:rsidRPr="001005B7">
        <w:t xml:space="preserve">nson </w:t>
      </w:r>
      <w:r w:rsidR="00412872" w:rsidRPr="001005B7">
        <w:t>(</w:t>
      </w:r>
      <w:r w:rsidR="00575A26" w:rsidRPr="001005B7">
        <w:t>89</w:t>
      </w:r>
      <w:r w:rsidR="00412872" w:rsidRPr="001005B7">
        <w:t xml:space="preserve">) </w:t>
      </w:r>
      <w:r w:rsidRPr="001005B7">
        <w:t>adds:</w:t>
      </w:r>
    </w:p>
    <w:p w14:paraId="7273BFEA" w14:textId="7B0FAF11" w:rsidR="00786968" w:rsidRPr="001005B7" w:rsidRDefault="0050299B" w:rsidP="00C14AA0">
      <w:pPr>
        <w:pStyle w:val="Quote"/>
      </w:pPr>
      <w:r w:rsidRPr="001005B7">
        <w:rPr>
          <w:color w:val="auto"/>
        </w:rPr>
        <w:t>The fire of the Lord’s glory certainly can destroy, as when it burst from the desert tabernacle to consume Korah and his followers (Num. 16:35). But there is another possibility: that the fire, while indeed it burns away old Jerusalem, is nevertheless cleansing, preparing for a new Jerusalem. This better fits the angel’s office in the previous scene and better carries through the conclusion of the apocalyptic scenario in which he functions.</w:t>
      </w:r>
    </w:p>
    <w:p w14:paraId="7A78B3E8" w14:textId="1F219673" w:rsidR="00CA1F0F" w:rsidRPr="001005B7" w:rsidRDefault="00CA1F0F" w:rsidP="00493833">
      <w:pPr>
        <w:pStyle w:val="Heading3"/>
      </w:pPr>
      <w:r w:rsidRPr="001005B7">
        <w:t>Selected Bibliography</w:t>
      </w:r>
    </w:p>
    <w:p w14:paraId="19E9B8DB" w14:textId="5B897173" w:rsidR="00E272A6" w:rsidRPr="001005B7" w:rsidRDefault="004567B5" w:rsidP="006F5BB0">
      <w:pPr>
        <w:pStyle w:val="ListParagraph"/>
        <w:rPr>
          <w:color w:val="auto"/>
          <w:lang w:val="en-US"/>
        </w:rPr>
      </w:pPr>
      <w:r w:rsidRPr="001005B7">
        <w:rPr>
          <w:rStyle w:val="medium-font"/>
          <w:color w:val="auto"/>
          <w:bdr w:val="none" w:sz="0" w:space="0" w:color="auto" w:frame="1"/>
          <w:lang w:val="en-US"/>
        </w:rPr>
        <w:t xml:space="preserve">Dijkstra, </w:t>
      </w:r>
      <w:proofErr w:type="spellStart"/>
      <w:r w:rsidRPr="001005B7">
        <w:rPr>
          <w:rStyle w:val="medium-font"/>
          <w:color w:val="auto"/>
          <w:bdr w:val="none" w:sz="0" w:space="0" w:color="auto" w:frame="1"/>
          <w:lang w:val="en-US"/>
        </w:rPr>
        <w:t>Meindert</w:t>
      </w:r>
      <w:proofErr w:type="spellEnd"/>
      <w:r w:rsidRPr="001005B7">
        <w:rPr>
          <w:color w:val="auto"/>
          <w:lang w:val="en-US"/>
        </w:rPr>
        <w:t>. “</w:t>
      </w:r>
      <w:r w:rsidR="00FA2CC5" w:rsidRPr="001005B7">
        <w:rPr>
          <w:color w:val="auto"/>
          <w:lang w:val="en-US"/>
        </w:rPr>
        <w:t>“The Glosses in Ezekiel Reconsidered: Aspects of Textual Transmission in Ezekiel 10.</w:t>
      </w:r>
      <w:r w:rsidRPr="001005B7">
        <w:rPr>
          <w:color w:val="auto"/>
          <w:lang w:val="en-US"/>
        </w:rPr>
        <w:t>” In </w:t>
      </w:r>
      <w:r w:rsidR="0001539D" w:rsidRPr="001005B7">
        <w:rPr>
          <w:color w:val="auto"/>
          <w:lang w:val="en-US"/>
        </w:rPr>
        <w:t>Johan Lust, ed., </w:t>
      </w:r>
      <w:r w:rsidR="0001539D" w:rsidRPr="001005B7">
        <w:rPr>
          <w:i/>
          <w:iCs/>
          <w:color w:val="auto"/>
          <w:lang w:val="en-US"/>
        </w:rPr>
        <w:t xml:space="preserve">Ezekiel and </w:t>
      </w:r>
      <w:r w:rsidR="00AA2197" w:rsidRPr="001005B7">
        <w:rPr>
          <w:i/>
          <w:iCs/>
          <w:color w:val="auto"/>
          <w:lang w:val="en-US"/>
        </w:rPr>
        <w:t>H</w:t>
      </w:r>
      <w:r w:rsidR="0001539D" w:rsidRPr="001005B7">
        <w:rPr>
          <w:i/>
          <w:iCs/>
          <w:color w:val="auto"/>
          <w:lang w:val="en-US"/>
        </w:rPr>
        <w:t xml:space="preserve">is Book: Textual and Literary Criticism and </w:t>
      </w:r>
      <w:r w:rsidR="00AA2197" w:rsidRPr="001005B7">
        <w:rPr>
          <w:i/>
          <w:iCs/>
          <w:color w:val="auto"/>
          <w:lang w:val="en-US"/>
        </w:rPr>
        <w:t>T</w:t>
      </w:r>
      <w:r w:rsidR="0001539D" w:rsidRPr="001005B7">
        <w:rPr>
          <w:i/>
          <w:iCs/>
          <w:color w:val="auto"/>
          <w:lang w:val="en-US"/>
        </w:rPr>
        <w:t xml:space="preserve">heir Interrelation, </w:t>
      </w:r>
      <w:r w:rsidR="0001539D" w:rsidRPr="001005B7">
        <w:rPr>
          <w:color w:val="auto"/>
          <w:lang w:val="en-US"/>
        </w:rPr>
        <w:t>55</w:t>
      </w:r>
      <w:r w:rsidR="00F46900" w:rsidRPr="001005B7">
        <w:rPr>
          <w:color w:val="auto"/>
          <w:lang w:val="en-US"/>
        </w:rPr>
        <w:t>–</w:t>
      </w:r>
      <w:r w:rsidR="0001539D" w:rsidRPr="001005B7">
        <w:rPr>
          <w:color w:val="auto"/>
          <w:lang w:val="en-US"/>
        </w:rPr>
        <w:t>77</w:t>
      </w:r>
      <w:r w:rsidR="0001539D" w:rsidRPr="001005B7">
        <w:rPr>
          <w:i/>
          <w:iCs/>
          <w:color w:val="auto"/>
          <w:lang w:val="en-US"/>
        </w:rPr>
        <w:t xml:space="preserve">. </w:t>
      </w:r>
      <w:r w:rsidR="0001539D" w:rsidRPr="001005B7">
        <w:rPr>
          <w:color w:val="auto"/>
          <w:lang w:val="en-US"/>
        </w:rPr>
        <w:t xml:space="preserve">BETL 74. Leuven: Leuven University Press, 1986. </w:t>
      </w:r>
    </w:p>
    <w:p w14:paraId="16CD3EF8" w14:textId="1397ECCA" w:rsidR="009E08B2" w:rsidRPr="001005B7" w:rsidRDefault="00147769" w:rsidP="006F5BB0">
      <w:pPr>
        <w:pStyle w:val="ListParagraph"/>
        <w:rPr>
          <w:color w:val="auto"/>
          <w:lang w:val="en-US"/>
        </w:rPr>
      </w:pPr>
      <w:r w:rsidRPr="001005B7">
        <w:rPr>
          <w:rStyle w:val="medium-font"/>
          <w:color w:val="auto"/>
          <w:bdr w:val="none" w:sz="0" w:space="0" w:color="auto" w:frame="1"/>
          <w:lang w:val="en-US"/>
        </w:rPr>
        <w:t>Evans, Annette</w:t>
      </w:r>
      <w:r w:rsidRPr="001005B7">
        <w:rPr>
          <w:color w:val="auto"/>
          <w:lang w:val="en-US"/>
        </w:rPr>
        <w:t xml:space="preserve">. </w:t>
      </w:r>
      <w:r w:rsidR="00DA2451" w:rsidRPr="001005B7">
        <w:rPr>
          <w:color w:val="auto"/>
          <w:lang w:val="en-US"/>
        </w:rPr>
        <w:t>“</w:t>
      </w:r>
      <w:r w:rsidR="009D5572" w:rsidRPr="001005B7">
        <w:rPr>
          <w:color w:val="auto"/>
          <w:lang w:val="en-US"/>
        </w:rPr>
        <w:t>‘</w:t>
      </w:r>
      <w:r w:rsidR="00E1379C" w:rsidRPr="001005B7">
        <w:rPr>
          <w:color w:val="auto"/>
          <w:lang w:val="en-US"/>
        </w:rPr>
        <w:t>A</w:t>
      </w:r>
      <w:r w:rsidR="00DA2451" w:rsidRPr="001005B7">
        <w:rPr>
          <w:color w:val="auto"/>
          <w:lang w:val="en-US"/>
        </w:rPr>
        <w:t xml:space="preserve">s </w:t>
      </w:r>
      <w:r w:rsidR="00E1379C" w:rsidRPr="001005B7">
        <w:rPr>
          <w:color w:val="auto"/>
          <w:lang w:val="en-US"/>
        </w:rPr>
        <w:t>f</w:t>
      </w:r>
      <w:r w:rsidR="00DA2451" w:rsidRPr="001005B7">
        <w:rPr>
          <w:color w:val="auto"/>
          <w:lang w:val="en-US"/>
        </w:rPr>
        <w:t>or the Wheels</w:t>
      </w:r>
      <w:r w:rsidR="00E1379C" w:rsidRPr="001005B7">
        <w:rPr>
          <w:color w:val="auto"/>
          <w:lang w:val="en-US"/>
        </w:rPr>
        <w:t>, It Was Cried unto Them in My Hearing, O Wheel</w:t>
      </w:r>
      <w:r w:rsidR="005C6EE4" w:rsidRPr="001005B7">
        <w:rPr>
          <w:color w:val="auto"/>
          <w:lang w:val="en-US"/>
        </w:rPr>
        <w:t xml:space="preserve">’: </w:t>
      </w:r>
      <w:proofErr w:type="spellStart"/>
      <w:r w:rsidR="005C6EE4" w:rsidRPr="001005B7">
        <w:rPr>
          <w:color w:val="auto"/>
          <w:lang w:val="en-US"/>
        </w:rPr>
        <w:t>Angelological</w:t>
      </w:r>
      <w:proofErr w:type="spellEnd"/>
      <w:r w:rsidR="005C6EE4" w:rsidRPr="001005B7">
        <w:rPr>
          <w:color w:val="auto"/>
          <w:lang w:val="en-US"/>
        </w:rPr>
        <w:t xml:space="preserve"> and </w:t>
      </w:r>
      <w:r w:rsidR="00B10506" w:rsidRPr="001005B7">
        <w:rPr>
          <w:color w:val="auto"/>
          <w:lang w:val="en-US"/>
        </w:rPr>
        <w:t>Divinatory</w:t>
      </w:r>
      <w:r w:rsidR="005C6EE4" w:rsidRPr="001005B7">
        <w:rPr>
          <w:color w:val="auto"/>
          <w:lang w:val="en-US"/>
        </w:rPr>
        <w:t xml:space="preserve"> Connections in Ezekiel 10:13.” </w:t>
      </w:r>
      <w:r w:rsidR="00583F1E" w:rsidRPr="001005B7">
        <w:rPr>
          <w:i/>
          <w:iCs/>
          <w:color w:val="auto"/>
          <w:lang w:val="en-US"/>
        </w:rPr>
        <w:t xml:space="preserve">Journal for Semitics </w:t>
      </w:r>
      <w:r w:rsidR="00583F1E" w:rsidRPr="001005B7">
        <w:rPr>
          <w:color w:val="auto"/>
          <w:lang w:val="en-US"/>
        </w:rPr>
        <w:t>21 (</w:t>
      </w:r>
      <w:r w:rsidR="00583F1E" w:rsidRPr="001005B7">
        <w:rPr>
          <w:i/>
          <w:iCs/>
          <w:color w:val="auto"/>
          <w:lang w:val="en-US"/>
        </w:rPr>
        <w:t xml:space="preserve"> </w:t>
      </w:r>
      <w:r w:rsidR="00B10506" w:rsidRPr="001005B7">
        <w:rPr>
          <w:color w:val="auto"/>
          <w:lang w:val="en-US"/>
        </w:rPr>
        <w:t>2012): 222</w:t>
      </w:r>
      <w:r w:rsidR="00F46900" w:rsidRPr="001005B7">
        <w:rPr>
          <w:color w:val="auto"/>
          <w:lang w:val="en-US"/>
        </w:rPr>
        <w:t>–</w:t>
      </w:r>
      <w:r w:rsidR="00B10506" w:rsidRPr="001005B7">
        <w:rPr>
          <w:color w:val="auto"/>
          <w:lang w:val="en-US"/>
        </w:rPr>
        <w:t xml:space="preserve">36. </w:t>
      </w:r>
    </w:p>
    <w:p w14:paraId="7399AB8C" w14:textId="78DF1BF2" w:rsidR="00665EE2" w:rsidRPr="001005B7" w:rsidRDefault="00504A02" w:rsidP="006F5BB0">
      <w:pPr>
        <w:pStyle w:val="ListParagraph"/>
        <w:rPr>
          <w:color w:val="auto"/>
          <w:lang w:val="en-US"/>
        </w:rPr>
      </w:pPr>
      <w:r w:rsidRPr="001005B7">
        <w:rPr>
          <w:i/>
          <w:iCs/>
          <w:color w:val="auto"/>
          <w:lang w:val="en-US"/>
        </w:rPr>
        <w:t xml:space="preserve">––– </w:t>
      </w:r>
      <w:r w:rsidR="00E37993" w:rsidRPr="001005B7">
        <w:rPr>
          <w:color w:val="auto"/>
          <w:lang w:val="en-US"/>
        </w:rPr>
        <w:t xml:space="preserve">“Ezekiel’s ‘Living Beings’ in </w:t>
      </w:r>
      <w:r w:rsidR="00E37993" w:rsidRPr="001005B7">
        <w:rPr>
          <w:i/>
          <w:iCs/>
          <w:color w:val="auto"/>
          <w:lang w:val="en-US"/>
        </w:rPr>
        <w:t xml:space="preserve">Pseudo-Ezekiel </w:t>
      </w:r>
      <w:r w:rsidR="00E37993" w:rsidRPr="001005B7">
        <w:rPr>
          <w:color w:val="auto"/>
          <w:lang w:val="en-US"/>
        </w:rPr>
        <w:t xml:space="preserve">4Q385, </w:t>
      </w:r>
      <w:proofErr w:type="spellStart"/>
      <w:r w:rsidR="00E37993" w:rsidRPr="001005B7">
        <w:rPr>
          <w:color w:val="auto"/>
          <w:lang w:val="en-US"/>
        </w:rPr>
        <w:t>Frg</w:t>
      </w:r>
      <w:proofErr w:type="spellEnd"/>
      <w:r w:rsidR="00E37993" w:rsidRPr="001005B7">
        <w:rPr>
          <w:color w:val="auto"/>
          <w:lang w:val="en-US"/>
        </w:rPr>
        <w:t xml:space="preserve">. 6: A Comparison with Key </w:t>
      </w:r>
      <w:proofErr w:type="spellStart"/>
      <w:r w:rsidR="00E37993" w:rsidRPr="001005B7">
        <w:rPr>
          <w:color w:val="auto"/>
          <w:lang w:val="en-US"/>
        </w:rPr>
        <w:t>Angelological</w:t>
      </w:r>
      <w:proofErr w:type="spellEnd"/>
      <w:r w:rsidR="00E37993" w:rsidRPr="001005B7">
        <w:rPr>
          <w:color w:val="auto"/>
          <w:lang w:val="en-US"/>
        </w:rPr>
        <w:t xml:space="preserve"> Verses in Ezekiel 1 and 10.” </w:t>
      </w:r>
      <w:r w:rsidR="00E37993" w:rsidRPr="001005B7">
        <w:rPr>
          <w:i/>
          <w:iCs/>
          <w:color w:val="auto"/>
          <w:lang w:val="en-US"/>
        </w:rPr>
        <w:t xml:space="preserve">OTE </w:t>
      </w:r>
      <w:r w:rsidR="00E37993" w:rsidRPr="001005B7">
        <w:rPr>
          <w:color w:val="auto"/>
          <w:lang w:val="en-US"/>
        </w:rPr>
        <w:t>30 (2017): 300</w:t>
      </w:r>
      <w:r w:rsidR="00F46900" w:rsidRPr="001005B7">
        <w:rPr>
          <w:color w:val="auto"/>
          <w:lang w:val="en-US"/>
        </w:rPr>
        <w:t>–</w:t>
      </w:r>
      <w:r w:rsidR="00E37993" w:rsidRPr="001005B7">
        <w:rPr>
          <w:color w:val="auto"/>
          <w:lang w:val="en-US"/>
        </w:rPr>
        <w:t>14.</w:t>
      </w:r>
    </w:p>
    <w:p w14:paraId="1A6A5367" w14:textId="0EA8DD8B" w:rsidR="00372DA1" w:rsidRPr="001005B7" w:rsidRDefault="00504A02" w:rsidP="006F5BB0">
      <w:pPr>
        <w:pStyle w:val="ListParagraph"/>
        <w:rPr>
          <w:color w:val="auto"/>
          <w:bdr w:val="none" w:sz="0" w:space="0" w:color="auto" w:frame="1"/>
          <w:lang w:val="en-US"/>
        </w:rPr>
      </w:pPr>
      <w:bookmarkStart w:id="1" w:name="citation"/>
      <w:r w:rsidRPr="001005B7">
        <w:rPr>
          <w:i/>
          <w:iCs/>
          <w:color w:val="auto"/>
          <w:lang w:val="en-US"/>
        </w:rPr>
        <w:t xml:space="preserve">––– </w:t>
      </w:r>
      <w:r w:rsidR="00665EE2" w:rsidRPr="001005B7">
        <w:rPr>
          <w:color w:val="auto"/>
          <w:lang w:val="en-US"/>
        </w:rPr>
        <w:t>“</w:t>
      </w:r>
      <w:r w:rsidR="0022272E" w:rsidRPr="001005B7">
        <w:rPr>
          <w:color w:val="auto"/>
          <w:bdr w:val="none" w:sz="0" w:space="0" w:color="auto" w:frame="1"/>
          <w:lang w:val="en-US"/>
        </w:rPr>
        <w:t>Jewish Angelology and the Absence of </w:t>
      </w:r>
      <w:r w:rsidR="0022272E" w:rsidRPr="001005B7">
        <w:rPr>
          <w:rStyle w:val="Strong"/>
          <w:b w:val="0"/>
          <w:bCs w:val="0"/>
          <w:color w:val="auto"/>
          <w:bdr w:val="none" w:sz="0" w:space="0" w:color="auto" w:frame="1"/>
          <w:lang w:val="en-US"/>
        </w:rPr>
        <w:t>Ezekiel</w:t>
      </w:r>
      <w:r w:rsidR="0022272E" w:rsidRPr="001005B7">
        <w:rPr>
          <w:color w:val="auto"/>
          <w:bdr w:val="none" w:sz="0" w:space="0" w:color="auto" w:frame="1"/>
          <w:lang w:val="en-US"/>
        </w:rPr>
        <w:t> 1:14 and </w:t>
      </w:r>
      <w:r w:rsidR="0022272E" w:rsidRPr="001005B7">
        <w:rPr>
          <w:rStyle w:val="Strong"/>
          <w:b w:val="0"/>
          <w:bCs w:val="0"/>
          <w:color w:val="auto"/>
          <w:bdr w:val="none" w:sz="0" w:space="0" w:color="auto" w:frame="1"/>
          <w:lang w:val="en-US"/>
        </w:rPr>
        <w:t>10</w:t>
      </w:r>
      <w:r w:rsidR="0022272E" w:rsidRPr="001005B7">
        <w:rPr>
          <w:color w:val="auto"/>
          <w:bdr w:val="none" w:sz="0" w:space="0" w:color="auto" w:frame="1"/>
          <w:lang w:val="en-US"/>
        </w:rPr>
        <w:t>:14 in the Old Greek Version of the Septuagint</w:t>
      </w:r>
      <w:r w:rsidR="00665EE2" w:rsidRPr="001005B7">
        <w:rPr>
          <w:color w:val="auto"/>
          <w:bdr w:val="none" w:sz="0" w:space="0" w:color="auto" w:frame="1"/>
          <w:lang w:val="en-US"/>
        </w:rPr>
        <w:t xml:space="preserve">.” </w:t>
      </w:r>
      <w:r w:rsidR="00A87290" w:rsidRPr="001005B7">
        <w:rPr>
          <w:i/>
          <w:iCs/>
          <w:color w:val="auto"/>
          <w:bdr w:val="none" w:sz="0" w:space="0" w:color="auto" w:frame="1"/>
          <w:lang w:val="en-US"/>
        </w:rPr>
        <w:t>OTE</w:t>
      </w:r>
      <w:r w:rsidR="00A87290" w:rsidRPr="001005B7">
        <w:rPr>
          <w:color w:val="auto"/>
          <w:bdr w:val="none" w:sz="0" w:space="0" w:color="auto" w:frame="1"/>
          <w:lang w:val="en-US"/>
        </w:rPr>
        <w:t xml:space="preserve"> 20 (2007): </w:t>
      </w:r>
      <w:r w:rsidR="00DC3F41" w:rsidRPr="001005B7">
        <w:rPr>
          <w:color w:val="auto"/>
          <w:bdr w:val="none" w:sz="0" w:space="0" w:color="auto" w:frame="1"/>
          <w:lang w:val="en-US"/>
        </w:rPr>
        <w:t>653</w:t>
      </w:r>
      <w:r w:rsidR="00F46900" w:rsidRPr="001005B7">
        <w:rPr>
          <w:color w:val="auto"/>
          <w:bdr w:val="none" w:sz="0" w:space="0" w:color="auto" w:frame="1"/>
          <w:lang w:val="en-US"/>
        </w:rPr>
        <w:t>–</w:t>
      </w:r>
      <w:r w:rsidR="00DC3F41" w:rsidRPr="001005B7">
        <w:rPr>
          <w:color w:val="auto"/>
          <w:bdr w:val="none" w:sz="0" w:space="0" w:color="auto" w:frame="1"/>
          <w:lang w:val="en-US"/>
        </w:rPr>
        <w:t>68.</w:t>
      </w:r>
      <w:bookmarkEnd w:id="1"/>
    </w:p>
    <w:p w14:paraId="3FFC9060" w14:textId="3B7D2EEB" w:rsidR="00093A5C" w:rsidRPr="001005B7" w:rsidRDefault="00093A5C" w:rsidP="006F5BB0">
      <w:pPr>
        <w:pStyle w:val="ListParagraph"/>
        <w:rPr>
          <w:color w:val="auto"/>
          <w:bdr w:val="none" w:sz="0" w:space="0" w:color="auto" w:frame="1"/>
          <w:lang w:val="en-US"/>
        </w:rPr>
      </w:pPr>
      <w:r w:rsidRPr="001005B7">
        <w:rPr>
          <w:color w:val="auto"/>
          <w:bdr w:val="none" w:sz="0" w:space="0" w:color="auto" w:frame="1"/>
          <w:lang w:val="en-US"/>
        </w:rPr>
        <w:t>Goldingay, John. “Ezekiel 10:2—Sprinkle not Sc</w:t>
      </w:r>
      <w:r w:rsidR="00684E1F" w:rsidRPr="001005B7">
        <w:rPr>
          <w:color w:val="auto"/>
          <w:bdr w:val="none" w:sz="0" w:space="0" w:color="auto" w:frame="1"/>
          <w:lang w:val="en-US"/>
        </w:rPr>
        <w:t>a</w:t>
      </w:r>
      <w:r w:rsidRPr="001005B7">
        <w:rPr>
          <w:color w:val="auto"/>
          <w:bdr w:val="none" w:sz="0" w:space="0" w:color="auto" w:frame="1"/>
          <w:lang w:val="en-US"/>
        </w:rPr>
        <w:t>tter</w:t>
      </w:r>
      <w:r w:rsidR="00684E1F" w:rsidRPr="001005B7">
        <w:rPr>
          <w:color w:val="auto"/>
          <w:bdr w:val="none" w:sz="0" w:space="0" w:color="auto" w:frame="1"/>
          <w:lang w:val="en-US"/>
        </w:rPr>
        <w:t xml:space="preserve">.” </w:t>
      </w:r>
      <w:r w:rsidR="00CB08B7" w:rsidRPr="001005B7">
        <w:rPr>
          <w:color w:val="auto"/>
          <w:bdr w:val="none" w:sz="0" w:space="0" w:color="auto" w:frame="1"/>
          <w:lang w:val="en-US"/>
        </w:rPr>
        <w:t xml:space="preserve">Forthcoming, </w:t>
      </w:r>
      <w:r w:rsidR="00684E1F" w:rsidRPr="001005B7">
        <w:rPr>
          <w:i/>
          <w:iCs/>
          <w:color w:val="auto"/>
          <w:bdr w:val="none" w:sz="0" w:space="0" w:color="auto" w:frame="1"/>
          <w:lang w:val="en-US"/>
        </w:rPr>
        <w:t>VT</w:t>
      </w:r>
      <w:r w:rsidR="00684E1F" w:rsidRPr="001005B7">
        <w:rPr>
          <w:color w:val="auto"/>
          <w:bdr w:val="none" w:sz="0" w:space="0" w:color="auto" w:frame="1"/>
          <w:lang w:val="en-US"/>
        </w:rPr>
        <w:t xml:space="preserve"> 74 (2024)</w:t>
      </w:r>
      <w:r w:rsidR="00CB08B7" w:rsidRPr="001005B7">
        <w:rPr>
          <w:color w:val="auto"/>
          <w:bdr w:val="none" w:sz="0" w:space="0" w:color="auto" w:frame="1"/>
          <w:lang w:val="en-US"/>
        </w:rPr>
        <w:t>.</w:t>
      </w:r>
      <w:r w:rsidR="00684E1F" w:rsidRPr="001005B7">
        <w:rPr>
          <w:color w:val="auto"/>
          <w:bdr w:val="none" w:sz="0" w:space="0" w:color="auto" w:frame="1"/>
          <w:lang w:val="en-US"/>
        </w:rPr>
        <w:t xml:space="preserve"> </w:t>
      </w:r>
    </w:p>
    <w:p w14:paraId="43FDE7F1" w14:textId="068AF956" w:rsidR="00372DA1" w:rsidRPr="001005B7" w:rsidRDefault="00140C36" w:rsidP="006F5BB0">
      <w:pPr>
        <w:pStyle w:val="ListParagraph"/>
        <w:rPr>
          <w:color w:val="auto"/>
          <w:lang w:val="en-US"/>
        </w:rPr>
      </w:pPr>
      <w:proofErr w:type="spellStart"/>
      <w:r w:rsidRPr="001005B7">
        <w:rPr>
          <w:color w:val="auto"/>
          <w:lang w:val="en-US"/>
        </w:rPr>
        <w:t>Houk</w:t>
      </w:r>
      <w:proofErr w:type="spellEnd"/>
      <w:r w:rsidRPr="001005B7">
        <w:rPr>
          <w:color w:val="auto"/>
          <w:lang w:val="en-US"/>
        </w:rPr>
        <w:t xml:space="preserve">, Cornelius B. </w:t>
      </w:r>
      <w:r w:rsidR="00FD6D21" w:rsidRPr="001005B7">
        <w:rPr>
          <w:color w:val="auto"/>
          <w:lang w:val="en-US"/>
        </w:rPr>
        <w:t xml:space="preserve">“The Final Redaction of Ezekiel 10.” </w:t>
      </w:r>
      <w:r w:rsidR="00FD6D21" w:rsidRPr="001005B7">
        <w:rPr>
          <w:i/>
          <w:iCs/>
          <w:color w:val="auto"/>
          <w:lang w:val="en-US"/>
        </w:rPr>
        <w:t>JBL</w:t>
      </w:r>
      <w:r w:rsidR="00FD6D21" w:rsidRPr="001005B7">
        <w:rPr>
          <w:color w:val="auto"/>
          <w:lang w:val="en-US"/>
        </w:rPr>
        <w:t xml:space="preserve"> 90 (1971): 42</w:t>
      </w:r>
      <w:r w:rsidR="00F46900" w:rsidRPr="001005B7">
        <w:rPr>
          <w:color w:val="auto"/>
          <w:lang w:val="en-US"/>
        </w:rPr>
        <w:t>–</w:t>
      </w:r>
      <w:r w:rsidR="00FD6D21" w:rsidRPr="001005B7">
        <w:rPr>
          <w:color w:val="auto"/>
          <w:lang w:val="en-US"/>
        </w:rPr>
        <w:t>54.</w:t>
      </w:r>
    </w:p>
    <w:p w14:paraId="260FA565" w14:textId="461A2774" w:rsidR="008653ED" w:rsidRPr="001005B7" w:rsidRDefault="009B1FDA" w:rsidP="006F5BB0">
      <w:pPr>
        <w:pStyle w:val="ListParagraph"/>
        <w:rPr>
          <w:color w:val="auto"/>
          <w:lang w:val="en-US"/>
        </w:rPr>
      </w:pPr>
      <w:r w:rsidRPr="001005B7">
        <w:rPr>
          <w:color w:val="auto"/>
          <w:lang w:val="en-US"/>
        </w:rPr>
        <w:t>Sherlock, Charles. “Ezekiel 10: A Prophet Surprised.</w:t>
      </w:r>
      <w:r w:rsidR="00C67213" w:rsidRPr="001005B7">
        <w:rPr>
          <w:color w:val="auto"/>
          <w:lang w:val="en-US"/>
        </w:rPr>
        <w:t>”</w:t>
      </w:r>
      <w:r w:rsidRPr="001005B7">
        <w:rPr>
          <w:color w:val="auto"/>
          <w:lang w:val="en-US"/>
        </w:rPr>
        <w:t xml:space="preserve"> </w:t>
      </w:r>
      <w:r w:rsidRPr="001005B7">
        <w:rPr>
          <w:i/>
          <w:iCs/>
          <w:color w:val="auto"/>
          <w:lang w:val="en-US"/>
        </w:rPr>
        <w:t>Reformed Theological Review</w:t>
      </w:r>
      <w:r w:rsidR="000069B8" w:rsidRPr="001005B7">
        <w:rPr>
          <w:color w:val="auto"/>
          <w:lang w:val="en-US"/>
        </w:rPr>
        <w:t xml:space="preserve"> 42/2 (1983): 42</w:t>
      </w:r>
      <w:r w:rsidR="00F46900" w:rsidRPr="001005B7">
        <w:rPr>
          <w:color w:val="auto"/>
          <w:lang w:val="en-US"/>
        </w:rPr>
        <w:t>–</w:t>
      </w:r>
      <w:r w:rsidR="00CA5962" w:rsidRPr="001005B7">
        <w:rPr>
          <w:color w:val="auto"/>
          <w:lang w:val="en-US"/>
        </w:rPr>
        <w:t>44.</w:t>
      </w:r>
    </w:p>
    <w:p w14:paraId="27CEFF15" w14:textId="315F84EB" w:rsidR="002D403B" w:rsidRPr="001005B7" w:rsidRDefault="002D403B" w:rsidP="006F5BB0">
      <w:pPr>
        <w:pStyle w:val="ListParagraph"/>
        <w:rPr>
          <w:color w:val="auto"/>
          <w:lang w:val="en-US"/>
        </w:rPr>
      </w:pPr>
      <w:r w:rsidRPr="001005B7">
        <w:rPr>
          <w:color w:val="auto"/>
          <w:lang w:val="en-US"/>
        </w:rPr>
        <w:t>Sweeney, M</w:t>
      </w:r>
      <w:r w:rsidR="00180CEB" w:rsidRPr="001005B7">
        <w:rPr>
          <w:color w:val="auto"/>
          <w:lang w:val="en-US"/>
        </w:rPr>
        <w:t>arvin</w:t>
      </w:r>
      <w:r w:rsidRPr="001005B7">
        <w:rPr>
          <w:color w:val="auto"/>
          <w:lang w:val="en-US"/>
        </w:rPr>
        <w:t xml:space="preserve"> A., "The Destruction of Jerusalem as Purification in Ezekiel 8</w:t>
      </w:r>
      <w:r w:rsidR="00F46900" w:rsidRPr="001005B7">
        <w:rPr>
          <w:color w:val="auto"/>
          <w:lang w:val="en-US"/>
        </w:rPr>
        <w:t>–</w:t>
      </w:r>
      <w:r w:rsidRPr="001005B7">
        <w:rPr>
          <w:color w:val="auto"/>
          <w:lang w:val="en-US"/>
        </w:rPr>
        <w:t>11</w:t>
      </w:r>
      <w:r w:rsidR="008653ED" w:rsidRPr="001005B7">
        <w:rPr>
          <w:color w:val="auto"/>
          <w:lang w:val="en-US"/>
        </w:rPr>
        <w:t>.”</w:t>
      </w:r>
      <w:r w:rsidRPr="001005B7">
        <w:rPr>
          <w:color w:val="auto"/>
          <w:lang w:val="en-US"/>
        </w:rPr>
        <w:t xml:space="preserve"> </w:t>
      </w:r>
      <w:r w:rsidR="008653ED" w:rsidRPr="001005B7">
        <w:rPr>
          <w:color w:val="auto"/>
          <w:lang w:val="en-US"/>
        </w:rPr>
        <w:t>I</w:t>
      </w:r>
      <w:r w:rsidRPr="001005B7">
        <w:rPr>
          <w:color w:val="auto"/>
          <w:lang w:val="en-US"/>
        </w:rPr>
        <w:t>n</w:t>
      </w:r>
      <w:r w:rsidR="00180CEB" w:rsidRPr="001005B7">
        <w:rPr>
          <w:color w:val="auto"/>
          <w:lang w:val="en-US"/>
        </w:rPr>
        <w:t xml:space="preserve"> Marvin A.</w:t>
      </w:r>
      <w:r w:rsidRPr="001005B7">
        <w:rPr>
          <w:color w:val="auto"/>
          <w:lang w:val="en-US"/>
        </w:rPr>
        <w:t xml:space="preserve"> Sweeney, </w:t>
      </w:r>
      <w:r w:rsidRPr="001005B7">
        <w:rPr>
          <w:i/>
          <w:iCs/>
          <w:color w:val="auto"/>
          <w:lang w:val="en-US"/>
        </w:rPr>
        <w:t>Form and Intertextuality in Prophetic and Apocalyptic Literature</w:t>
      </w:r>
      <w:r w:rsidR="00D0341A" w:rsidRPr="001005B7">
        <w:rPr>
          <w:color w:val="auto"/>
          <w:lang w:val="en-US"/>
        </w:rPr>
        <w:t>, 144</w:t>
      </w:r>
      <w:r w:rsidR="00F46900" w:rsidRPr="001005B7">
        <w:rPr>
          <w:color w:val="auto"/>
          <w:lang w:val="en-US"/>
        </w:rPr>
        <w:t>–</w:t>
      </w:r>
      <w:r w:rsidR="00D0341A" w:rsidRPr="001005B7">
        <w:rPr>
          <w:color w:val="auto"/>
          <w:lang w:val="en-US"/>
        </w:rPr>
        <w:t>55.</w:t>
      </w:r>
      <w:r w:rsidRPr="001005B7">
        <w:rPr>
          <w:color w:val="auto"/>
          <w:lang w:val="en-US"/>
        </w:rPr>
        <w:t> FAT 45</w:t>
      </w:r>
      <w:r w:rsidR="008653ED" w:rsidRPr="001005B7">
        <w:rPr>
          <w:color w:val="auto"/>
          <w:lang w:val="en-US"/>
        </w:rPr>
        <w:t>.</w:t>
      </w:r>
      <w:r w:rsidRPr="001005B7">
        <w:rPr>
          <w:color w:val="auto"/>
          <w:lang w:val="en-US"/>
        </w:rPr>
        <w:t xml:space="preserve"> Tübingen: Mohr</w:t>
      </w:r>
      <w:r w:rsidR="003B747F" w:rsidRPr="001005B7">
        <w:rPr>
          <w:color w:val="auto"/>
          <w:lang w:val="en-US"/>
        </w:rPr>
        <w:t xml:space="preserve"> </w:t>
      </w:r>
      <w:proofErr w:type="spellStart"/>
      <w:r w:rsidR="003B747F" w:rsidRPr="001005B7">
        <w:rPr>
          <w:color w:val="auto"/>
          <w:lang w:val="en-US"/>
        </w:rPr>
        <w:t>Siebeck</w:t>
      </w:r>
      <w:proofErr w:type="spellEnd"/>
      <w:r w:rsidR="003B747F" w:rsidRPr="001005B7">
        <w:rPr>
          <w:color w:val="auto"/>
          <w:lang w:val="en-US"/>
        </w:rPr>
        <w:t>,</w:t>
      </w:r>
      <w:r w:rsidRPr="001005B7">
        <w:rPr>
          <w:color w:val="auto"/>
          <w:lang w:val="en-US"/>
        </w:rPr>
        <w:t xml:space="preserve"> 2005</w:t>
      </w:r>
      <w:r w:rsidR="00D0341A" w:rsidRPr="001005B7">
        <w:rPr>
          <w:color w:val="auto"/>
          <w:lang w:val="en-US"/>
        </w:rPr>
        <w:t>.</w:t>
      </w:r>
    </w:p>
    <w:p w14:paraId="01855D43" w14:textId="41155072" w:rsidR="00CA1F0F" w:rsidRPr="001005B7" w:rsidRDefault="00CA1F0F" w:rsidP="006F5BB0">
      <w:pPr>
        <w:pStyle w:val="ListParagraph"/>
        <w:rPr>
          <w:color w:val="auto"/>
          <w:lang w:val="en-US"/>
        </w:rPr>
      </w:pPr>
      <w:r w:rsidRPr="001005B7">
        <w:rPr>
          <w:color w:val="auto"/>
          <w:lang w:val="en-US"/>
        </w:rPr>
        <w:t>Wood, Alice. </w:t>
      </w:r>
      <w:r w:rsidRPr="00494394">
        <w:rPr>
          <w:i/>
          <w:iCs/>
          <w:color w:val="auto"/>
          <w:lang w:val="en-US"/>
        </w:rPr>
        <w:t>Of Wings and Wheels: A Synthetic Study of the Biblical Cherubim.</w:t>
      </w:r>
      <w:r w:rsidRPr="001005B7">
        <w:rPr>
          <w:color w:val="auto"/>
          <w:lang w:val="en-US"/>
        </w:rPr>
        <w:t xml:space="preserve"> BZAW 385. Berlin: </w:t>
      </w:r>
      <w:r w:rsidR="001E4FAB">
        <w:rPr>
          <w:color w:val="auto"/>
          <w:lang w:val="en-US"/>
        </w:rPr>
        <w:t>d</w:t>
      </w:r>
      <w:r w:rsidRPr="001005B7">
        <w:rPr>
          <w:color w:val="auto"/>
          <w:lang w:val="en-US"/>
        </w:rPr>
        <w:t>e Gruyter, 2008.</w:t>
      </w:r>
    </w:p>
    <w:p w14:paraId="01A9C197" w14:textId="60A0D004" w:rsidR="00961B03" w:rsidRPr="001005B7" w:rsidRDefault="009120E3" w:rsidP="003062B5">
      <w:pPr>
        <w:pStyle w:val="Heading2"/>
        <w:rPr>
          <w:color w:val="auto"/>
          <w:lang w:eastAsia="en-GB"/>
        </w:rPr>
      </w:pPr>
      <w:r w:rsidRPr="001005B7">
        <w:rPr>
          <w:color w:val="auto"/>
          <w:lang w:eastAsia="en-GB"/>
        </w:rPr>
        <w:t>A</w:t>
      </w:r>
      <w:r w:rsidR="00BD6123" w:rsidRPr="001005B7">
        <w:rPr>
          <w:color w:val="auto"/>
          <w:lang w:eastAsia="en-GB"/>
        </w:rPr>
        <w:t xml:space="preserve"> </w:t>
      </w:r>
      <w:r w:rsidR="000D46DD" w:rsidRPr="001005B7">
        <w:rPr>
          <w:color w:val="auto"/>
          <w:lang w:eastAsia="en-GB"/>
        </w:rPr>
        <w:t xml:space="preserve">Threat and </w:t>
      </w:r>
      <w:r w:rsidRPr="001005B7">
        <w:rPr>
          <w:color w:val="auto"/>
          <w:lang w:eastAsia="en-GB"/>
        </w:rPr>
        <w:t>a</w:t>
      </w:r>
      <w:r w:rsidR="000D46DD" w:rsidRPr="001005B7">
        <w:rPr>
          <w:color w:val="auto"/>
          <w:lang w:eastAsia="en-GB"/>
        </w:rPr>
        <w:t xml:space="preserve"> Promise</w:t>
      </w:r>
      <w:r w:rsidR="00A02546" w:rsidRPr="001005B7">
        <w:rPr>
          <w:color w:val="auto"/>
          <w:lang w:eastAsia="en-GB"/>
        </w:rPr>
        <w:t xml:space="preserve"> (11:1</w:t>
      </w:r>
      <w:r w:rsidR="00F46900" w:rsidRPr="001005B7">
        <w:rPr>
          <w:color w:val="auto"/>
          <w:lang w:eastAsia="en-GB"/>
        </w:rPr>
        <w:t>–</w:t>
      </w:r>
      <w:r w:rsidR="00A02546" w:rsidRPr="001005B7">
        <w:rPr>
          <w:color w:val="auto"/>
          <w:lang w:eastAsia="en-GB"/>
        </w:rPr>
        <w:t>25)</w:t>
      </w:r>
    </w:p>
    <w:p w14:paraId="2276E972" w14:textId="767E64D9" w:rsidR="00A02546" w:rsidRPr="001005B7" w:rsidRDefault="00C11160" w:rsidP="00493833">
      <w:pPr>
        <w:pStyle w:val="Heading3"/>
      </w:pPr>
      <w:r w:rsidRPr="001005B7">
        <w:t>Outline</w:t>
      </w:r>
    </w:p>
    <w:p w14:paraId="08DA4F4F" w14:textId="7667D84E" w:rsidR="00D7534C" w:rsidRDefault="00315E3D" w:rsidP="00315E3D">
      <w:pPr>
        <w:rPr>
          <w:lang w:eastAsia="en-GB"/>
        </w:rPr>
      </w:pPr>
      <w:r w:rsidRPr="001005B7">
        <w:rPr>
          <w:lang w:eastAsia="en-GB"/>
        </w:rPr>
        <w:t xml:space="preserve">In due course, </w:t>
      </w:r>
      <w:r w:rsidR="0042084A" w:rsidRPr="001005B7">
        <w:rPr>
          <w:lang w:eastAsia="en-GB"/>
        </w:rPr>
        <w:t>11:</w:t>
      </w:r>
      <w:r w:rsidR="00D22D02" w:rsidRPr="001005B7">
        <w:rPr>
          <w:lang w:eastAsia="en-GB"/>
        </w:rPr>
        <w:t>22</w:t>
      </w:r>
      <w:r w:rsidR="00F46900" w:rsidRPr="001005B7">
        <w:rPr>
          <w:lang w:eastAsia="en-GB"/>
        </w:rPr>
        <w:t>–</w:t>
      </w:r>
      <w:r w:rsidR="00D22D02" w:rsidRPr="001005B7">
        <w:rPr>
          <w:lang w:eastAsia="en-GB"/>
        </w:rPr>
        <w:t>25 bring</w:t>
      </w:r>
      <w:r w:rsidR="007672B0">
        <w:rPr>
          <w:lang w:eastAsia="en-GB"/>
        </w:rPr>
        <w:t>s</w:t>
      </w:r>
      <w:r w:rsidR="00D22D02" w:rsidRPr="001005B7">
        <w:rPr>
          <w:lang w:eastAsia="en-GB"/>
        </w:rPr>
        <w:t xml:space="preserve"> </w:t>
      </w:r>
      <w:r w:rsidR="00B428D3" w:rsidRPr="001005B7">
        <w:rPr>
          <w:lang w:eastAsia="en-GB"/>
        </w:rPr>
        <w:t xml:space="preserve">Act 4 </w:t>
      </w:r>
      <w:r w:rsidR="00072791" w:rsidRPr="001005B7">
        <w:rPr>
          <w:lang w:eastAsia="en-GB"/>
        </w:rPr>
        <w:t xml:space="preserve">of the vision </w:t>
      </w:r>
      <w:r w:rsidR="00B428D3" w:rsidRPr="001005B7">
        <w:rPr>
          <w:lang w:eastAsia="en-GB"/>
        </w:rPr>
        <w:t>to a conclusion</w:t>
      </w:r>
      <w:r w:rsidR="007C0D12">
        <w:rPr>
          <w:lang w:eastAsia="en-GB"/>
        </w:rPr>
        <w:t>. B</w:t>
      </w:r>
      <w:r w:rsidR="00223EE2" w:rsidRPr="001005B7">
        <w:rPr>
          <w:lang w:eastAsia="en-GB"/>
        </w:rPr>
        <w:t xml:space="preserve">ut </w:t>
      </w:r>
      <w:r w:rsidR="00517D0A" w:rsidRPr="001005B7">
        <w:rPr>
          <w:lang w:eastAsia="en-GB"/>
        </w:rPr>
        <w:t>first</w:t>
      </w:r>
      <w:r w:rsidR="006C0ACC">
        <w:rPr>
          <w:lang w:eastAsia="en-GB"/>
        </w:rPr>
        <w:t>,</w:t>
      </w:r>
      <w:r w:rsidR="0086241C" w:rsidRPr="001005B7">
        <w:rPr>
          <w:lang w:eastAsia="en-GB"/>
        </w:rPr>
        <w:t xml:space="preserve"> </w:t>
      </w:r>
      <w:r w:rsidR="0042084A" w:rsidRPr="001005B7">
        <w:rPr>
          <w:lang w:eastAsia="en-GB"/>
        </w:rPr>
        <w:t>11:</w:t>
      </w:r>
      <w:r w:rsidR="00FE3A25" w:rsidRPr="001005B7">
        <w:rPr>
          <w:lang w:eastAsia="en-GB"/>
        </w:rPr>
        <w:t>1</w:t>
      </w:r>
      <w:r w:rsidR="00F46900" w:rsidRPr="001005B7">
        <w:rPr>
          <w:lang w:eastAsia="en-GB"/>
        </w:rPr>
        <w:t>–</w:t>
      </w:r>
      <w:r w:rsidR="006C0ACC">
        <w:rPr>
          <w:lang w:eastAsia="en-GB"/>
        </w:rPr>
        <w:t>12</w:t>
      </w:r>
      <w:r w:rsidR="00FE3A25" w:rsidRPr="001005B7">
        <w:rPr>
          <w:lang w:eastAsia="en-GB"/>
        </w:rPr>
        <w:t xml:space="preserve"> </w:t>
      </w:r>
      <w:r w:rsidR="00517D0A" w:rsidRPr="001005B7">
        <w:rPr>
          <w:lang w:eastAsia="en-GB"/>
        </w:rPr>
        <w:t>report</w:t>
      </w:r>
      <w:r w:rsidR="007672B0">
        <w:rPr>
          <w:lang w:eastAsia="en-GB"/>
        </w:rPr>
        <w:t>s</w:t>
      </w:r>
      <w:r w:rsidR="00517D0A" w:rsidRPr="001005B7">
        <w:rPr>
          <w:lang w:eastAsia="en-GB"/>
        </w:rPr>
        <w:t xml:space="preserve"> a further visionary experience by </w:t>
      </w:r>
      <w:r w:rsidR="0086241C" w:rsidRPr="001005B7">
        <w:rPr>
          <w:lang w:eastAsia="en-GB"/>
        </w:rPr>
        <w:t>Ezekiel</w:t>
      </w:r>
      <w:r w:rsidR="007F4C51" w:rsidRPr="001005B7">
        <w:rPr>
          <w:lang w:eastAsia="en-GB"/>
        </w:rPr>
        <w:t xml:space="preserve"> </w:t>
      </w:r>
      <w:r w:rsidR="00521484">
        <w:rPr>
          <w:lang w:eastAsia="en-GB"/>
        </w:rPr>
        <w:t xml:space="preserve">of worship in Jerusalem </w:t>
      </w:r>
      <w:r w:rsidR="00CF5598" w:rsidRPr="001005B7">
        <w:rPr>
          <w:lang w:eastAsia="en-GB"/>
        </w:rPr>
        <w:t>(</w:t>
      </w:r>
      <w:r w:rsidR="006267A1" w:rsidRPr="001005B7">
        <w:rPr>
          <w:lang w:eastAsia="en-GB"/>
        </w:rPr>
        <w:t>impl</w:t>
      </w:r>
      <w:r w:rsidR="00CE2AEB" w:rsidRPr="001005B7">
        <w:rPr>
          <w:lang w:eastAsia="en-GB"/>
        </w:rPr>
        <w:t xml:space="preserve">icitly continuing the </w:t>
      </w:r>
      <w:r w:rsidR="006A2E1C" w:rsidRPr="001005B7">
        <w:rPr>
          <w:lang w:eastAsia="en-GB"/>
        </w:rPr>
        <w:t>one in Acts 1</w:t>
      </w:r>
      <w:r w:rsidR="00F46900" w:rsidRPr="001005B7">
        <w:rPr>
          <w:lang w:eastAsia="en-GB"/>
        </w:rPr>
        <w:t>–</w:t>
      </w:r>
      <w:r w:rsidR="006A2E1C" w:rsidRPr="001005B7">
        <w:rPr>
          <w:lang w:eastAsia="en-GB"/>
        </w:rPr>
        <w:t>3)</w:t>
      </w:r>
      <w:r w:rsidR="00A56104">
        <w:rPr>
          <w:lang w:eastAsia="en-GB"/>
        </w:rPr>
        <w:t>. It follows that</w:t>
      </w:r>
      <w:r w:rsidR="00A531C6">
        <w:rPr>
          <w:lang w:eastAsia="en-GB"/>
        </w:rPr>
        <w:t xml:space="preserve"> </w:t>
      </w:r>
      <w:r w:rsidR="00A56104">
        <w:rPr>
          <w:lang w:eastAsia="en-GB"/>
        </w:rPr>
        <w:t>with</w:t>
      </w:r>
      <w:r w:rsidR="007F4C51" w:rsidRPr="001005B7">
        <w:rPr>
          <w:lang w:eastAsia="en-GB"/>
        </w:rPr>
        <w:t xml:space="preserve"> </w:t>
      </w:r>
      <w:r w:rsidR="00207E0F" w:rsidRPr="001005B7">
        <w:rPr>
          <w:lang w:eastAsia="en-GB"/>
        </w:rPr>
        <w:t xml:space="preserve">another message from Yahweh </w:t>
      </w:r>
      <w:r w:rsidR="0086241C" w:rsidRPr="001005B7">
        <w:rPr>
          <w:lang w:eastAsia="en-GB"/>
        </w:rPr>
        <w:t xml:space="preserve">that </w:t>
      </w:r>
      <w:r w:rsidR="00591E16" w:rsidRPr="001005B7">
        <w:rPr>
          <w:lang w:eastAsia="en-GB"/>
        </w:rPr>
        <w:t xml:space="preserve">takes </w:t>
      </w:r>
      <w:r w:rsidR="00041BFC" w:rsidRPr="001005B7">
        <w:rPr>
          <w:lang w:eastAsia="en-GB"/>
        </w:rPr>
        <w:t>things</w:t>
      </w:r>
      <w:r w:rsidR="00591E16" w:rsidRPr="001005B7">
        <w:rPr>
          <w:lang w:eastAsia="en-GB"/>
        </w:rPr>
        <w:t xml:space="preserve"> in </w:t>
      </w:r>
      <w:r w:rsidR="00207E0F" w:rsidRPr="001005B7">
        <w:rPr>
          <w:lang w:eastAsia="en-GB"/>
        </w:rPr>
        <w:t>another</w:t>
      </w:r>
      <w:r w:rsidR="00591E16" w:rsidRPr="001005B7">
        <w:rPr>
          <w:lang w:eastAsia="en-GB"/>
        </w:rPr>
        <w:t xml:space="preserve"> </w:t>
      </w:r>
      <w:r w:rsidR="00F671E9" w:rsidRPr="001005B7">
        <w:rPr>
          <w:lang w:eastAsia="en-GB"/>
        </w:rPr>
        <w:t xml:space="preserve">new </w:t>
      </w:r>
      <w:r w:rsidR="00591E16" w:rsidRPr="001005B7">
        <w:rPr>
          <w:lang w:eastAsia="en-GB"/>
        </w:rPr>
        <w:t>direction</w:t>
      </w:r>
      <w:r w:rsidR="00110C9F">
        <w:rPr>
          <w:lang w:eastAsia="en-GB"/>
        </w:rPr>
        <w:t xml:space="preserve"> in its critique of Jerusalem</w:t>
      </w:r>
      <w:r w:rsidR="00EC7DA2">
        <w:rPr>
          <w:lang w:eastAsia="en-GB"/>
        </w:rPr>
        <w:t xml:space="preserve"> for </w:t>
      </w:r>
      <w:r w:rsidR="009269E7">
        <w:rPr>
          <w:lang w:eastAsia="en-GB"/>
        </w:rPr>
        <w:t xml:space="preserve">the deaths </w:t>
      </w:r>
      <w:r w:rsidR="0041181F">
        <w:rPr>
          <w:lang w:eastAsia="en-GB"/>
        </w:rPr>
        <w:t xml:space="preserve">it is </w:t>
      </w:r>
      <w:r w:rsidR="00470795">
        <w:rPr>
          <w:lang w:eastAsia="en-GB"/>
        </w:rPr>
        <w:t xml:space="preserve">unwittingly </w:t>
      </w:r>
      <w:r w:rsidR="0041181F">
        <w:rPr>
          <w:lang w:eastAsia="en-GB"/>
        </w:rPr>
        <w:t xml:space="preserve">about to cause </w:t>
      </w:r>
      <w:r w:rsidR="00EC7DA2">
        <w:rPr>
          <w:lang w:eastAsia="en-GB"/>
        </w:rPr>
        <w:t>there</w:t>
      </w:r>
      <w:r w:rsidR="004657DD">
        <w:rPr>
          <w:lang w:eastAsia="en-GB"/>
        </w:rPr>
        <w:t xml:space="preserve"> when Yahweh takes action against it</w:t>
      </w:r>
      <w:r w:rsidR="001651C3">
        <w:rPr>
          <w:lang w:eastAsia="en-GB"/>
        </w:rPr>
        <w:t xml:space="preserve">. </w:t>
      </w:r>
      <w:r w:rsidR="002C1B8E">
        <w:rPr>
          <w:lang w:eastAsia="en-GB"/>
        </w:rPr>
        <w:t>T</w:t>
      </w:r>
      <w:r w:rsidR="001651C3">
        <w:rPr>
          <w:lang w:eastAsia="en-GB"/>
        </w:rPr>
        <w:t>hen 11:13–31 reports another</w:t>
      </w:r>
      <w:r w:rsidR="00DA2CBD">
        <w:rPr>
          <w:lang w:eastAsia="en-GB"/>
        </w:rPr>
        <w:t xml:space="preserve"> visionary experienc</w:t>
      </w:r>
      <w:r w:rsidR="00464D1B">
        <w:rPr>
          <w:lang w:eastAsia="en-GB"/>
        </w:rPr>
        <w:t>e</w:t>
      </w:r>
      <w:r w:rsidR="000B3A24">
        <w:rPr>
          <w:lang w:eastAsia="en-GB"/>
        </w:rPr>
        <w:t>,</w:t>
      </w:r>
      <w:r w:rsidR="00464D1B">
        <w:rPr>
          <w:lang w:eastAsia="en-GB"/>
        </w:rPr>
        <w:t xml:space="preserve"> of a death in Jerusalem </w:t>
      </w:r>
      <w:r w:rsidR="002E3FC5">
        <w:rPr>
          <w:lang w:eastAsia="en-GB"/>
        </w:rPr>
        <w:t xml:space="preserve">that Ezekiel </w:t>
      </w:r>
      <w:r w:rsidR="00BB08A8">
        <w:rPr>
          <w:lang w:eastAsia="en-GB"/>
        </w:rPr>
        <w:t xml:space="preserve">realizes might </w:t>
      </w:r>
      <w:r w:rsidR="00DB7DE7">
        <w:rPr>
          <w:lang w:eastAsia="en-GB"/>
        </w:rPr>
        <w:t>signal</w:t>
      </w:r>
      <w:r w:rsidR="00BB08A8">
        <w:rPr>
          <w:lang w:eastAsia="en-GB"/>
        </w:rPr>
        <w:t xml:space="preserve"> th</w:t>
      </w:r>
      <w:r w:rsidR="008063C2">
        <w:rPr>
          <w:lang w:eastAsia="en-GB"/>
        </w:rPr>
        <w:t xml:space="preserve">e implementing of that </w:t>
      </w:r>
      <w:r w:rsidR="004D339F">
        <w:rPr>
          <w:lang w:eastAsia="en-GB"/>
        </w:rPr>
        <w:t>(final</w:t>
      </w:r>
      <w:r w:rsidR="00DB7DE7">
        <w:rPr>
          <w:lang w:eastAsia="en-GB"/>
        </w:rPr>
        <w:t>)</w:t>
      </w:r>
      <w:r w:rsidR="004D339F">
        <w:rPr>
          <w:lang w:eastAsia="en-GB"/>
        </w:rPr>
        <w:t xml:space="preserve"> </w:t>
      </w:r>
      <w:r w:rsidR="008063C2">
        <w:rPr>
          <w:lang w:eastAsia="en-GB"/>
        </w:rPr>
        <w:t>justice</w:t>
      </w:r>
      <w:r w:rsidR="004D339F">
        <w:rPr>
          <w:lang w:eastAsia="en-GB"/>
        </w:rPr>
        <w:t>. But it follows that</w:t>
      </w:r>
      <w:r w:rsidR="00250938">
        <w:rPr>
          <w:lang w:eastAsia="en-GB"/>
        </w:rPr>
        <w:t xml:space="preserve"> with another message from Yahweh</w:t>
      </w:r>
      <w:r w:rsidR="00342A73">
        <w:rPr>
          <w:lang w:eastAsia="en-GB"/>
        </w:rPr>
        <w:t xml:space="preserve"> that</w:t>
      </w:r>
      <w:r w:rsidR="00250938">
        <w:rPr>
          <w:lang w:eastAsia="en-GB"/>
        </w:rPr>
        <w:t xml:space="preserve"> </w:t>
      </w:r>
      <w:r w:rsidR="00BF28B7">
        <w:rPr>
          <w:lang w:eastAsia="en-GB"/>
        </w:rPr>
        <w:t>declar</w:t>
      </w:r>
      <w:r w:rsidR="00342A73">
        <w:rPr>
          <w:lang w:eastAsia="en-GB"/>
        </w:rPr>
        <w:t>es</w:t>
      </w:r>
      <w:r w:rsidR="00BF28B7">
        <w:rPr>
          <w:lang w:eastAsia="en-GB"/>
        </w:rPr>
        <w:t xml:space="preserve"> his intention to </w:t>
      </w:r>
      <w:r w:rsidR="00AF083D">
        <w:rPr>
          <w:lang w:eastAsia="en-GB"/>
        </w:rPr>
        <w:t>take</w:t>
      </w:r>
      <w:r w:rsidR="00BF28B7">
        <w:rPr>
          <w:lang w:eastAsia="en-GB"/>
        </w:rPr>
        <w:t xml:space="preserve"> the </w:t>
      </w:r>
      <w:proofErr w:type="spellStart"/>
      <w:r w:rsidR="00BF28B7">
        <w:rPr>
          <w:lang w:eastAsia="en-GB"/>
        </w:rPr>
        <w:t>Kebarites</w:t>
      </w:r>
      <w:proofErr w:type="spellEnd"/>
      <w:r w:rsidR="00402DEC">
        <w:rPr>
          <w:lang w:eastAsia="en-GB"/>
        </w:rPr>
        <w:t xml:space="preserve"> back home </w:t>
      </w:r>
      <w:r w:rsidR="00BF28B7">
        <w:rPr>
          <w:lang w:eastAsia="en-GB"/>
        </w:rPr>
        <w:t>to clean things up in Jerusalem.</w:t>
      </w:r>
      <w:r w:rsidR="00941C2A">
        <w:rPr>
          <w:lang w:eastAsia="en-GB"/>
        </w:rPr>
        <w:t xml:space="preserve"> </w:t>
      </w:r>
    </w:p>
    <w:p w14:paraId="4CE3DBDF" w14:textId="426070F5" w:rsidR="004665E6" w:rsidRPr="001005B7" w:rsidRDefault="00AD49E7" w:rsidP="00315E3D">
      <w:pPr>
        <w:rPr>
          <w:lang w:eastAsia="en-GB"/>
        </w:rPr>
      </w:pPr>
      <w:r w:rsidRPr="001005B7">
        <w:rPr>
          <w:lang w:eastAsia="en-GB"/>
        </w:rPr>
        <w:t>T</w:t>
      </w:r>
      <w:r w:rsidR="00044E85" w:rsidRPr="001005B7">
        <w:rPr>
          <w:lang w:eastAsia="en-GB"/>
        </w:rPr>
        <w:t xml:space="preserve">hese </w:t>
      </w:r>
      <w:r w:rsidR="00D275D7" w:rsidRPr="001005B7">
        <w:rPr>
          <w:lang w:eastAsia="en-GB"/>
        </w:rPr>
        <w:t xml:space="preserve">two sets of </w:t>
      </w:r>
      <w:r w:rsidR="00044E85" w:rsidRPr="001005B7">
        <w:rPr>
          <w:lang w:eastAsia="en-GB"/>
        </w:rPr>
        <w:t>verses</w:t>
      </w:r>
      <w:r w:rsidR="009936E6" w:rsidRPr="001005B7">
        <w:rPr>
          <w:lang w:eastAsia="en-GB"/>
        </w:rPr>
        <w:t xml:space="preserve"> (</w:t>
      </w:r>
      <w:r w:rsidR="0042084A" w:rsidRPr="001005B7">
        <w:rPr>
          <w:lang w:eastAsia="en-GB"/>
        </w:rPr>
        <w:t>11:</w:t>
      </w:r>
      <w:r w:rsidR="009936E6" w:rsidRPr="001005B7">
        <w:rPr>
          <w:lang w:eastAsia="en-GB"/>
        </w:rPr>
        <w:t>1</w:t>
      </w:r>
      <w:r w:rsidR="00F46900" w:rsidRPr="001005B7">
        <w:rPr>
          <w:lang w:eastAsia="en-GB"/>
        </w:rPr>
        <w:t>–</w:t>
      </w:r>
      <w:r w:rsidR="009936E6" w:rsidRPr="001005B7">
        <w:rPr>
          <w:lang w:eastAsia="en-GB"/>
        </w:rPr>
        <w:t>12 and 13</w:t>
      </w:r>
      <w:r w:rsidR="00F46900" w:rsidRPr="001005B7">
        <w:rPr>
          <w:lang w:eastAsia="en-GB"/>
        </w:rPr>
        <w:t>–</w:t>
      </w:r>
      <w:r w:rsidR="009936E6" w:rsidRPr="001005B7">
        <w:rPr>
          <w:lang w:eastAsia="en-GB"/>
        </w:rPr>
        <w:t>21)</w:t>
      </w:r>
      <w:r w:rsidR="00CE6BF3" w:rsidRPr="001005B7">
        <w:rPr>
          <w:lang w:eastAsia="en-GB"/>
        </w:rPr>
        <w:t xml:space="preserve"> </w:t>
      </w:r>
      <w:r w:rsidR="00F671E9" w:rsidRPr="001005B7">
        <w:rPr>
          <w:lang w:eastAsia="en-GB"/>
        </w:rPr>
        <w:t xml:space="preserve">can be removed without leaving </w:t>
      </w:r>
      <w:r w:rsidR="006F0340" w:rsidRPr="001005B7">
        <w:rPr>
          <w:lang w:eastAsia="en-GB"/>
        </w:rPr>
        <w:t>a sense that there is something missing</w:t>
      </w:r>
      <w:r w:rsidR="00D33B3C" w:rsidRPr="001005B7">
        <w:rPr>
          <w:lang w:eastAsia="en-GB"/>
        </w:rPr>
        <w:t xml:space="preserve"> from Ezek </w:t>
      </w:r>
      <w:r w:rsidR="00262F08" w:rsidRPr="001005B7">
        <w:rPr>
          <w:lang w:eastAsia="en-GB"/>
        </w:rPr>
        <w:t>8</w:t>
      </w:r>
      <w:r w:rsidR="00F46900" w:rsidRPr="001005B7">
        <w:rPr>
          <w:lang w:eastAsia="en-GB"/>
        </w:rPr>
        <w:t>–</w:t>
      </w:r>
      <w:r w:rsidR="00262F08" w:rsidRPr="001005B7">
        <w:rPr>
          <w:lang w:eastAsia="en-GB"/>
        </w:rPr>
        <w:t>11</w:t>
      </w:r>
      <w:r w:rsidR="00F671E9" w:rsidRPr="001005B7">
        <w:rPr>
          <w:lang w:eastAsia="en-GB"/>
        </w:rPr>
        <w:t xml:space="preserve">. </w:t>
      </w:r>
      <w:r w:rsidR="0048027E" w:rsidRPr="001005B7">
        <w:rPr>
          <w:lang w:eastAsia="en-GB"/>
        </w:rPr>
        <w:t>So either</w:t>
      </w:r>
      <w:r w:rsidR="00461530" w:rsidRPr="001005B7">
        <w:rPr>
          <w:lang w:eastAsia="en-GB"/>
        </w:rPr>
        <w:t xml:space="preserve"> Yahweh made the </w:t>
      </w:r>
      <w:r w:rsidR="00D61BA6" w:rsidRPr="001005B7">
        <w:rPr>
          <w:lang w:eastAsia="en-GB"/>
        </w:rPr>
        <w:t xml:space="preserve">total </w:t>
      </w:r>
      <w:r w:rsidR="00461530" w:rsidRPr="001005B7">
        <w:rPr>
          <w:lang w:eastAsia="en-GB"/>
        </w:rPr>
        <w:t xml:space="preserve">vision </w:t>
      </w:r>
      <w:r w:rsidR="000C2815" w:rsidRPr="001005B7">
        <w:rPr>
          <w:lang w:eastAsia="en-GB"/>
        </w:rPr>
        <w:t xml:space="preserve">eventually </w:t>
      </w:r>
      <w:r w:rsidR="00461530" w:rsidRPr="001005B7">
        <w:rPr>
          <w:lang w:eastAsia="en-GB"/>
        </w:rPr>
        <w:t xml:space="preserve">unfold in </w:t>
      </w:r>
      <w:r w:rsidR="000C2815" w:rsidRPr="001005B7">
        <w:rPr>
          <w:lang w:eastAsia="en-GB"/>
        </w:rPr>
        <w:t>a</w:t>
      </w:r>
      <w:r w:rsidR="00461530" w:rsidRPr="001005B7">
        <w:rPr>
          <w:lang w:eastAsia="en-GB"/>
        </w:rPr>
        <w:t xml:space="preserve"> </w:t>
      </w:r>
      <w:r w:rsidR="009F0E9F" w:rsidRPr="001005B7">
        <w:rPr>
          <w:lang w:eastAsia="en-GB"/>
        </w:rPr>
        <w:t xml:space="preserve">novel </w:t>
      </w:r>
      <w:r w:rsidR="00F25A7B" w:rsidRPr="001005B7">
        <w:rPr>
          <w:lang w:eastAsia="en-GB"/>
        </w:rPr>
        <w:t>fashion</w:t>
      </w:r>
      <w:r w:rsidR="009F0E9F" w:rsidRPr="001005B7">
        <w:rPr>
          <w:lang w:eastAsia="en-GB"/>
        </w:rPr>
        <w:t xml:space="preserve">, or </w:t>
      </w:r>
      <w:r w:rsidR="00E55A70" w:rsidRPr="001005B7">
        <w:rPr>
          <w:lang w:eastAsia="en-GB"/>
        </w:rPr>
        <w:t xml:space="preserve">Ezekiel incorporated </w:t>
      </w:r>
      <w:r w:rsidR="0016791C" w:rsidRPr="001005B7">
        <w:rPr>
          <w:lang w:eastAsia="en-GB"/>
        </w:rPr>
        <w:t>some</w:t>
      </w:r>
      <w:r w:rsidR="00E55A70" w:rsidRPr="001005B7">
        <w:rPr>
          <w:lang w:eastAsia="en-GB"/>
        </w:rPr>
        <w:t xml:space="preserve"> </w:t>
      </w:r>
      <w:r w:rsidR="00B74407" w:rsidRPr="001005B7">
        <w:rPr>
          <w:lang w:eastAsia="en-GB"/>
        </w:rPr>
        <w:t xml:space="preserve">later </w:t>
      </w:r>
      <w:r w:rsidR="007371B0" w:rsidRPr="001005B7">
        <w:rPr>
          <w:lang w:eastAsia="en-GB"/>
        </w:rPr>
        <w:t xml:space="preserve">vision </w:t>
      </w:r>
      <w:r w:rsidR="00D275D7" w:rsidRPr="001005B7">
        <w:rPr>
          <w:lang w:eastAsia="en-GB"/>
        </w:rPr>
        <w:t xml:space="preserve">and message </w:t>
      </w:r>
      <w:r w:rsidR="00E55A70" w:rsidRPr="001005B7">
        <w:rPr>
          <w:lang w:eastAsia="en-GB"/>
        </w:rPr>
        <w:t xml:space="preserve">material into the </w:t>
      </w:r>
      <w:r w:rsidR="00297DEE" w:rsidRPr="001005B7">
        <w:rPr>
          <w:lang w:eastAsia="en-GB"/>
        </w:rPr>
        <w:t xml:space="preserve">broader </w:t>
      </w:r>
      <w:r w:rsidR="00E55A70" w:rsidRPr="001005B7">
        <w:rPr>
          <w:lang w:eastAsia="en-GB"/>
        </w:rPr>
        <w:t>vision</w:t>
      </w:r>
      <w:r w:rsidR="00760D49" w:rsidRPr="001005B7">
        <w:rPr>
          <w:lang w:eastAsia="en-GB"/>
        </w:rPr>
        <w:t xml:space="preserve"> framework</w:t>
      </w:r>
      <w:r w:rsidR="00FE0875" w:rsidRPr="001005B7">
        <w:rPr>
          <w:lang w:eastAsia="en-GB"/>
        </w:rPr>
        <w:t xml:space="preserve"> of chapters 8</w:t>
      </w:r>
      <w:r w:rsidR="00F46900" w:rsidRPr="001005B7">
        <w:rPr>
          <w:lang w:eastAsia="en-GB"/>
        </w:rPr>
        <w:t>–</w:t>
      </w:r>
      <w:r w:rsidR="00FE0875" w:rsidRPr="001005B7">
        <w:rPr>
          <w:lang w:eastAsia="en-GB"/>
        </w:rPr>
        <w:t>11</w:t>
      </w:r>
      <w:r w:rsidR="00760D49" w:rsidRPr="001005B7">
        <w:rPr>
          <w:lang w:eastAsia="en-GB"/>
        </w:rPr>
        <w:t>.</w:t>
      </w:r>
      <w:r w:rsidR="00297DEE" w:rsidRPr="001005B7">
        <w:rPr>
          <w:lang w:eastAsia="en-GB"/>
        </w:rPr>
        <w:t xml:space="preserve"> Either way, the result is </w:t>
      </w:r>
      <w:r w:rsidR="00015914" w:rsidRPr="001005B7">
        <w:rPr>
          <w:lang w:eastAsia="en-GB"/>
        </w:rPr>
        <w:t>to give concrete expression to the critique, threat, and promise</w:t>
      </w:r>
      <w:r w:rsidR="00D27435" w:rsidRPr="001005B7">
        <w:rPr>
          <w:lang w:eastAsia="en-GB"/>
        </w:rPr>
        <w:t xml:space="preserve"> in Acts 1</w:t>
      </w:r>
      <w:r w:rsidR="00F46900" w:rsidRPr="001005B7">
        <w:rPr>
          <w:lang w:eastAsia="en-GB"/>
        </w:rPr>
        <w:t>–</w:t>
      </w:r>
      <w:r w:rsidR="00D27435" w:rsidRPr="001005B7">
        <w:rPr>
          <w:lang w:eastAsia="en-GB"/>
        </w:rPr>
        <w:t xml:space="preserve">3. </w:t>
      </w:r>
    </w:p>
    <w:p w14:paraId="2061C546" w14:textId="4E8FD923" w:rsidR="00657C00" w:rsidRPr="001005B7" w:rsidRDefault="001563ED" w:rsidP="00A21987">
      <w:pPr>
        <w:rPr>
          <w:lang w:eastAsia="en-GB"/>
        </w:rPr>
      </w:pPr>
      <w:r w:rsidRPr="001005B7">
        <w:rPr>
          <w:lang w:eastAsia="en-GB"/>
        </w:rPr>
        <w:t xml:space="preserve">The </w:t>
      </w:r>
      <w:r w:rsidR="00860790" w:rsidRPr="001005B7">
        <w:rPr>
          <w:lang w:eastAsia="en-GB"/>
        </w:rPr>
        <w:t xml:space="preserve">offensive </w:t>
      </w:r>
      <w:r w:rsidRPr="001005B7">
        <w:rPr>
          <w:lang w:eastAsia="en-GB"/>
        </w:rPr>
        <w:t xml:space="preserve">in </w:t>
      </w:r>
      <w:r w:rsidR="0042084A" w:rsidRPr="001005B7">
        <w:rPr>
          <w:lang w:eastAsia="en-GB"/>
        </w:rPr>
        <w:t>11:</w:t>
      </w:r>
      <w:r w:rsidRPr="001005B7">
        <w:rPr>
          <w:lang w:eastAsia="en-GB"/>
        </w:rPr>
        <w:t>1</w:t>
      </w:r>
      <w:r w:rsidR="00F46900" w:rsidRPr="001005B7">
        <w:rPr>
          <w:lang w:eastAsia="en-GB"/>
        </w:rPr>
        <w:t>–</w:t>
      </w:r>
      <w:r w:rsidRPr="001005B7">
        <w:rPr>
          <w:lang w:eastAsia="en-GB"/>
        </w:rPr>
        <w:t>12</w:t>
      </w:r>
      <w:r w:rsidR="00A32357" w:rsidRPr="001005B7">
        <w:rPr>
          <w:lang w:eastAsia="en-GB"/>
        </w:rPr>
        <w:t xml:space="preserve"> </w:t>
      </w:r>
      <w:r w:rsidR="006301D2" w:rsidRPr="001005B7">
        <w:rPr>
          <w:lang w:eastAsia="en-GB"/>
        </w:rPr>
        <w:t xml:space="preserve">takes a different form from the </w:t>
      </w:r>
      <w:r w:rsidR="00DA7AC7" w:rsidRPr="001005B7">
        <w:rPr>
          <w:lang w:eastAsia="en-GB"/>
        </w:rPr>
        <w:t>ones in chapters 8</w:t>
      </w:r>
      <w:r w:rsidR="00F46900" w:rsidRPr="001005B7">
        <w:rPr>
          <w:lang w:eastAsia="en-GB"/>
        </w:rPr>
        <w:t>–</w:t>
      </w:r>
      <w:r w:rsidR="00DA7AC7" w:rsidRPr="001005B7">
        <w:rPr>
          <w:lang w:eastAsia="en-GB"/>
        </w:rPr>
        <w:t>10</w:t>
      </w:r>
      <w:r w:rsidR="00A00967" w:rsidRPr="001005B7">
        <w:rPr>
          <w:lang w:eastAsia="en-GB"/>
        </w:rPr>
        <w:t>,</w:t>
      </w:r>
      <w:r w:rsidR="00DA7AC7" w:rsidRPr="001005B7">
        <w:rPr>
          <w:lang w:eastAsia="en-GB"/>
        </w:rPr>
        <w:t xml:space="preserve"> and reads </w:t>
      </w:r>
      <w:r w:rsidR="00E76451" w:rsidRPr="001005B7">
        <w:rPr>
          <w:lang w:eastAsia="en-GB"/>
        </w:rPr>
        <w:t>more like a regular prophetic confrontation</w:t>
      </w:r>
      <w:r w:rsidR="00DA7AC7" w:rsidRPr="001005B7">
        <w:rPr>
          <w:lang w:eastAsia="en-GB"/>
        </w:rPr>
        <w:t>. It</w:t>
      </w:r>
      <w:r w:rsidR="00090A3C" w:rsidRPr="001005B7">
        <w:rPr>
          <w:lang w:eastAsia="en-GB"/>
        </w:rPr>
        <w:t xml:space="preserve"> pictures </w:t>
      </w:r>
      <w:r w:rsidR="003B2387" w:rsidRPr="001005B7">
        <w:rPr>
          <w:lang w:eastAsia="en-GB"/>
        </w:rPr>
        <w:t xml:space="preserve">things in a down-to-earth way rather </w:t>
      </w:r>
      <w:r w:rsidR="00952C97" w:rsidRPr="001005B7">
        <w:rPr>
          <w:lang w:eastAsia="en-GB"/>
        </w:rPr>
        <w:t>than portraying a scene involving supernatural aides</w:t>
      </w:r>
      <w:r w:rsidR="00235EBC" w:rsidRPr="001005B7">
        <w:rPr>
          <w:lang w:eastAsia="en-GB"/>
        </w:rPr>
        <w:t xml:space="preserve">, </w:t>
      </w:r>
      <w:r w:rsidR="00952C97" w:rsidRPr="001005B7">
        <w:rPr>
          <w:lang w:eastAsia="en-GB"/>
        </w:rPr>
        <w:t xml:space="preserve">and it does not presuppose that any of the </w:t>
      </w:r>
      <w:r w:rsidR="00F7728D" w:rsidRPr="001005B7">
        <w:rPr>
          <w:lang w:eastAsia="en-GB"/>
        </w:rPr>
        <w:t>events</w:t>
      </w:r>
      <w:r w:rsidR="00595637">
        <w:rPr>
          <w:lang w:eastAsia="en-GB"/>
        </w:rPr>
        <w:t xml:space="preserve"> that were</w:t>
      </w:r>
      <w:r w:rsidR="00F7728D" w:rsidRPr="001005B7">
        <w:rPr>
          <w:lang w:eastAsia="en-GB"/>
        </w:rPr>
        <w:t xml:space="preserve"> </w:t>
      </w:r>
      <w:r w:rsidR="00254DDF" w:rsidRPr="001005B7">
        <w:rPr>
          <w:lang w:eastAsia="en-GB"/>
        </w:rPr>
        <w:t>announced</w:t>
      </w:r>
      <w:r w:rsidR="00952C97" w:rsidRPr="001005B7">
        <w:rPr>
          <w:lang w:eastAsia="en-GB"/>
        </w:rPr>
        <w:t xml:space="preserve"> </w:t>
      </w:r>
      <w:r w:rsidR="00F7728D" w:rsidRPr="001005B7">
        <w:rPr>
          <w:lang w:eastAsia="en-GB"/>
        </w:rPr>
        <w:t>and apparently initiat</w:t>
      </w:r>
      <w:r w:rsidR="00D47B55" w:rsidRPr="001005B7">
        <w:rPr>
          <w:lang w:eastAsia="en-GB"/>
        </w:rPr>
        <w:t xml:space="preserve">ed </w:t>
      </w:r>
      <w:r w:rsidR="00C4312E" w:rsidRPr="001005B7">
        <w:rPr>
          <w:lang w:eastAsia="en-GB"/>
        </w:rPr>
        <w:t>in chapter 9</w:t>
      </w:r>
      <w:r w:rsidR="00F46900" w:rsidRPr="001005B7">
        <w:rPr>
          <w:lang w:eastAsia="en-GB"/>
        </w:rPr>
        <w:t>–</w:t>
      </w:r>
      <w:r w:rsidR="00254DDF" w:rsidRPr="001005B7">
        <w:rPr>
          <w:lang w:eastAsia="en-GB"/>
        </w:rPr>
        <w:t xml:space="preserve">10 </w:t>
      </w:r>
      <w:r w:rsidR="00952C97" w:rsidRPr="001005B7">
        <w:rPr>
          <w:lang w:eastAsia="en-GB"/>
        </w:rPr>
        <w:t>have happened. It</w:t>
      </w:r>
      <w:r w:rsidR="00595637">
        <w:rPr>
          <w:lang w:eastAsia="en-GB"/>
        </w:rPr>
        <w:t xml:space="preserve"> thus</w:t>
      </w:r>
      <w:r w:rsidR="00952C97" w:rsidRPr="001005B7">
        <w:rPr>
          <w:lang w:eastAsia="en-GB"/>
        </w:rPr>
        <w:t xml:space="preserve"> parallels </w:t>
      </w:r>
      <w:r w:rsidR="009C3AB4" w:rsidRPr="001005B7">
        <w:rPr>
          <w:lang w:eastAsia="en-GB"/>
        </w:rPr>
        <w:t>Ezekiel 8</w:t>
      </w:r>
      <w:r w:rsidR="00F46900" w:rsidRPr="001005B7">
        <w:rPr>
          <w:lang w:eastAsia="en-GB"/>
        </w:rPr>
        <w:t>–</w:t>
      </w:r>
      <w:r w:rsidR="009C3AB4" w:rsidRPr="001005B7">
        <w:rPr>
          <w:lang w:eastAsia="en-GB"/>
        </w:rPr>
        <w:t>10 rather than succeeding it</w:t>
      </w:r>
      <w:r w:rsidR="009B1FDC" w:rsidRPr="001005B7">
        <w:rPr>
          <w:lang w:eastAsia="en-GB"/>
        </w:rPr>
        <w:t xml:space="preserve">. </w:t>
      </w:r>
      <w:r w:rsidR="00CD63BB" w:rsidRPr="001005B7">
        <w:rPr>
          <w:lang w:eastAsia="en-GB"/>
        </w:rPr>
        <w:t>It has</w:t>
      </w:r>
      <w:r w:rsidR="009B1FDC" w:rsidRPr="001005B7">
        <w:rPr>
          <w:lang w:eastAsia="en-GB"/>
        </w:rPr>
        <w:t xml:space="preserve"> a proper beginning and a proper ending</w:t>
      </w:r>
      <w:r w:rsidR="00622DE9">
        <w:rPr>
          <w:lang w:eastAsia="en-GB"/>
        </w:rPr>
        <w:t xml:space="preserve"> and</w:t>
      </w:r>
      <w:r w:rsidR="00622DE9" w:rsidRPr="001005B7">
        <w:rPr>
          <w:lang w:eastAsia="en-GB"/>
        </w:rPr>
        <w:t xml:space="preserve"> </w:t>
      </w:r>
      <w:r w:rsidR="00622DE9">
        <w:rPr>
          <w:lang w:eastAsia="en-GB"/>
        </w:rPr>
        <w:t>it</w:t>
      </w:r>
      <w:r w:rsidR="00622DE9" w:rsidRPr="001005B7">
        <w:rPr>
          <w:lang w:eastAsia="en-GB"/>
        </w:rPr>
        <w:t xml:space="preserve"> could stand on its own</w:t>
      </w:r>
      <w:r w:rsidR="009B1FDC" w:rsidRPr="001005B7">
        <w:rPr>
          <w:lang w:eastAsia="en-GB"/>
        </w:rPr>
        <w:t xml:space="preserve">. </w:t>
      </w:r>
      <w:r w:rsidR="00006131">
        <w:rPr>
          <w:lang w:eastAsia="en-GB"/>
        </w:rPr>
        <w:t xml:space="preserve">Following it, </w:t>
      </w:r>
      <w:r w:rsidR="009B1FDC" w:rsidRPr="001005B7">
        <w:rPr>
          <w:lang w:eastAsia="en-GB"/>
        </w:rPr>
        <w:t xml:space="preserve">11:13 could </w:t>
      </w:r>
      <w:r w:rsidR="00EB3596" w:rsidRPr="001005B7">
        <w:rPr>
          <w:lang w:eastAsia="en-GB"/>
        </w:rPr>
        <w:t xml:space="preserve">likewise </w:t>
      </w:r>
      <w:r w:rsidR="009B1FDC" w:rsidRPr="001005B7">
        <w:rPr>
          <w:lang w:eastAsia="en-GB"/>
        </w:rPr>
        <w:t>stand on its own</w:t>
      </w:r>
      <w:r w:rsidR="00F25E21">
        <w:rPr>
          <w:lang w:eastAsia="en-GB"/>
        </w:rPr>
        <w:t>, in that</w:t>
      </w:r>
      <w:r w:rsidR="00C152B3">
        <w:rPr>
          <w:lang w:eastAsia="en-GB"/>
        </w:rPr>
        <w:t xml:space="preserve"> Ezekiel did receive a response o</w:t>
      </w:r>
      <w:r w:rsidR="009B1FDC" w:rsidRPr="001005B7">
        <w:rPr>
          <w:lang w:eastAsia="en-GB"/>
        </w:rPr>
        <w:t xml:space="preserve">n the previous two occasions when </w:t>
      </w:r>
      <w:r w:rsidR="00C152B3">
        <w:rPr>
          <w:lang w:eastAsia="en-GB"/>
        </w:rPr>
        <w:t>he</w:t>
      </w:r>
      <w:r w:rsidR="009B1FDC" w:rsidRPr="001005B7">
        <w:rPr>
          <w:lang w:eastAsia="en-GB"/>
        </w:rPr>
        <w:t xml:space="preserve"> protested as he does here, but Jeremiah did not always receive one to his</w:t>
      </w:r>
      <w:r w:rsidR="0051567B">
        <w:rPr>
          <w:lang w:eastAsia="en-GB"/>
        </w:rPr>
        <w:t xml:space="preserve"> protests, and</w:t>
      </w:r>
      <w:r w:rsidR="009B1FDC" w:rsidRPr="001005B7">
        <w:rPr>
          <w:lang w:eastAsia="en-GB"/>
        </w:rPr>
        <w:t xml:space="preserve"> </w:t>
      </w:r>
      <w:r w:rsidR="0051567B">
        <w:rPr>
          <w:lang w:eastAsia="en-GB"/>
        </w:rPr>
        <w:t>n</w:t>
      </w:r>
      <w:r w:rsidR="009B1FDC" w:rsidRPr="001005B7">
        <w:rPr>
          <w:lang w:eastAsia="en-GB"/>
        </w:rPr>
        <w:t xml:space="preserve">othing can be taken for granted. </w:t>
      </w:r>
      <w:r w:rsidR="0051567B">
        <w:rPr>
          <w:lang w:eastAsia="en-GB"/>
        </w:rPr>
        <w:t xml:space="preserve">Then </w:t>
      </w:r>
      <w:r w:rsidR="009B1FDC" w:rsidRPr="001005B7">
        <w:rPr>
          <w:lang w:eastAsia="en-GB"/>
        </w:rPr>
        <w:t>11:14</w:t>
      </w:r>
      <w:r w:rsidR="00F46900" w:rsidRPr="001005B7">
        <w:rPr>
          <w:lang w:eastAsia="en-GB"/>
        </w:rPr>
        <w:t>–</w:t>
      </w:r>
      <w:r w:rsidR="009B1FDC" w:rsidRPr="001005B7">
        <w:rPr>
          <w:lang w:eastAsia="en-GB"/>
        </w:rPr>
        <w:t xml:space="preserve">20 could also stand on </w:t>
      </w:r>
      <w:r w:rsidR="0051567B">
        <w:rPr>
          <w:lang w:eastAsia="en-GB"/>
        </w:rPr>
        <w:t>its</w:t>
      </w:r>
      <w:r w:rsidR="009B1FDC" w:rsidRPr="001005B7">
        <w:rPr>
          <w:lang w:eastAsia="en-GB"/>
        </w:rPr>
        <w:t xml:space="preserve"> own. But as the chapter is, 11:13 follows from 11:1</w:t>
      </w:r>
      <w:r w:rsidR="00F46900" w:rsidRPr="001005B7">
        <w:rPr>
          <w:lang w:eastAsia="en-GB"/>
        </w:rPr>
        <w:t>–</w:t>
      </w:r>
      <w:r w:rsidR="009B1FDC" w:rsidRPr="001005B7">
        <w:rPr>
          <w:lang w:eastAsia="en-GB"/>
        </w:rPr>
        <w:t>12, and 11:14</w:t>
      </w:r>
      <w:r w:rsidR="00F46900" w:rsidRPr="001005B7">
        <w:rPr>
          <w:lang w:eastAsia="en-GB"/>
        </w:rPr>
        <w:t>–</w:t>
      </w:r>
      <w:r w:rsidR="009B1FDC" w:rsidRPr="001005B7">
        <w:rPr>
          <w:lang w:eastAsia="en-GB"/>
        </w:rPr>
        <w:t>21 follows from 11:13.</w:t>
      </w:r>
      <w:r w:rsidR="009B1FDC" w:rsidRPr="001005B7">
        <w:rPr>
          <w:rStyle w:val="FootnoteReference"/>
          <w:lang w:eastAsia="en-GB"/>
        </w:rPr>
        <w:footnoteReference w:id="269"/>
      </w:r>
      <w:r w:rsidR="009B1FDC" w:rsidRPr="001005B7">
        <w:rPr>
          <w:lang w:eastAsia="en-GB"/>
        </w:rPr>
        <w:t xml:space="preserve"> </w:t>
      </w:r>
      <w:r w:rsidR="009F4B71" w:rsidRPr="001005B7">
        <w:rPr>
          <w:lang w:eastAsia="en-GB"/>
        </w:rPr>
        <w:t xml:space="preserve">The promise of </w:t>
      </w:r>
      <w:r w:rsidR="00C84DD6" w:rsidRPr="001005B7">
        <w:rPr>
          <w:lang w:eastAsia="en-GB"/>
        </w:rPr>
        <w:t xml:space="preserve">restoration </w:t>
      </w:r>
      <w:r w:rsidR="00DB4937" w:rsidRPr="001005B7">
        <w:rPr>
          <w:lang w:eastAsia="en-GB"/>
        </w:rPr>
        <w:t xml:space="preserve">in </w:t>
      </w:r>
      <w:r w:rsidR="0042084A" w:rsidRPr="001005B7">
        <w:rPr>
          <w:lang w:eastAsia="en-GB"/>
        </w:rPr>
        <w:t>11:</w:t>
      </w:r>
      <w:r w:rsidR="001B4E27" w:rsidRPr="001005B7">
        <w:rPr>
          <w:lang w:eastAsia="en-GB"/>
        </w:rPr>
        <w:t>16</w:t>
      </w:r>
      <w:r w:rsidR="00F46900" w:rsidRPr="001005B7">
        <w:rPr>
          <w:lang w:eastAsia="en-GB"/>
        </w:rPr>
        <w:t>–</w:t>
      </w:r>
      <w:r w:rsidR="001B4E27" w:rsidRPr="001005B7">
        <w:rPr>
          <w:lang w:eastAsia="en-GB"/>
        </w:rPr>
        <w:t xml:space="preserve">20 </w:t>
      </w:r>
      <w:r w:rsidR="00C84DD6" w:rsidRPr="001005B7">
        <w:rPr>
          <w:lang w:eastAsia="en-GB"/>
        </w:rPr>
        <w:t xml:space="preserve">goes way beyond anything hinted in </w:t>
      </w:r>
      <w:r w:rsidR="00C82477" w:rsidRPr="001005B7">
        <w:rPr>
          <w:lang w:eastAsia="en-GB"/>
        </w:rPr>
        <w:t>chapters 8</w:t>
      </w:r>
      <w:r w:rsidR="00F46900" w:rsidRPr="001005B7">
        <w:rPr>
          <w:lang w:eastAsia="en-GB"/>
        </w:rPr>
        <w:t>–</w:t>
      </w:r>
      <w:r w:rsidR="00C82477" w:rsidRPr="001005B7">
        <w:rPr>
          <w:lang w:eastAsia="en-GB"/>
        </w:rPr>
        <w:t>10, while also anticipating promises in chapters 36</w:t>
      </w:r>
      <w:r w:rsidR="00F46900" w:rsidRPr="001005B7">
        <w:rPr>
          <w:lang w:eastAsia="en-GB"/>
        </w:rPr>
        <w:t>–</w:t>
      </w:r>
      <w:r w:rsidR="00C82477" w:rsidRPr="001005B7">
        <w:rPr>
          <w:lang w:eastAsia="en-GB"/>
        </w:rPr>
        <w:t xml:space="preserve">37. </w:t>
      </w:r>
      <w:r w:rsidR="00082D10" w:rsidRPr="001005B7">
        <w:rPr>
          <w:lang w:eastAsia="en-GB"/>
        </w:rPr>
        <w:t>And o</w:t>
      </w:r>
      <w:r w:rsidR="00886FAD" w:rsidRPr="001005B7">
        <w:rPr>
          <w:lang w:eastAsia="en-GB"/>
        </w:rPr>
        <w:t xml:space="preserve">ne might wonder whether Yahweh would want to be so positive to the </w:t>
      </w:r>
      <w:proofErr w:type="spellStart"/>
      <w:r w:rsidR="00886FAD" w:rsidRPr="001005B7">
        <w:rPr>
          <w:lang w:eastAsia="en-GB"/>
        </w:rPr>
        <w:t>Kebar</w:t>
      </w:r>
      <w:proofErr w:type="spellEnd"/>
      <w:r w:rsidR="00886FAD" w:rsidRPr="001005B7">
        <w:rPr>
          <w:lang w:eastAsia="en-GB"/>
        </w:rPr>
        <w:t xml:space="preserve"> community </w:t>
      </w:r>
      <w:r w:rsidR="00F02777" w:rsidRPr="001005B7">
        <w:rPr>
          <w:lang w:eastAsia="en-GB"/>
        </w:rPr>
        <w:t>in a situation when he seems to think that it needs some more disillusioning</w:t>
      </w:r>
      <w:r w:rsidR="00A21987" w:rsidRPr="001005B7">
        <w:rPr>
          <w:lang w:eastAsia="en-GB"/>
        </w:rPr>
        <w:t>. T</w:t>
      </w:r>
      <w:r w:rsidR="00B760F4" w:rsidRPr="001005B7">
        <w:rPr>
          <w:lang w:eastAsia="en-GB"/>
        </w:rPr>
        <w:t>h</w:t>
      </w:r>
      <w:r w:rsidR="00F676F4" w:rsidRPr="001005B7">
        <w:rPr>
          <w:lang w:eastAsia="en-GB"/>
        </w:rPr>
        <w:t xml:space="preserve">is argument would </w:t>
      </w:r>
      <w:r w:rsidR="00B31443" w:rsidRPr="001005B7">
        <w:rPr>
          <w:lang w:eastAsia="en-GB"/>
        </w:rPr>
        <w:t>support the idea that</w:t>
      </w:r>
      <w:r w:rsidR="00B760F4" w:rsidRPr="001005B7">
        <w:rPr>
          <w:lang w:eastAsia="en-GB"/>
        </w:rPr>
        <w:t xml:space="preserve"> these promises belong after 587 and </w:t>
      </w:r>
      <w:r w:rsidR="00B31443" w:rsidRPr="001005B7">
        <w:rPr>
          <w:lang w:eastAsia="en-GB"/>
        </w:rPr>
        <w:t>that</w:t>
      </w:r>
      <w:r w:rsidR="00B760F4" w:rsidRPr="001005B7">
        <w:rPr>
          <w:lang w:eastAsia="en-GB"/>
        </w:rPr>
        <w:t xml:space="preserve"> Ezekiel has brought them back her</w:t>
      </w:r>
      <w:r w:rsidR="009048BA" w:rsidRPr="001005B7">
        <w:rPr>
          <w:lang w:eastAsia="en-GB"/>
        </w:rPr>
        <w:t>e to give the chapter more balance in a later reading context.</w:t>
      </w:r>
      <w:r w:rsidR="0084139F" w:rsidRPr="001005B7">
        <w:rPr>
          <w:lang w:eastAsia="en-GB"/>
        </w:rPr>
        <w:t xml:space="preserve"> </w:t>
      </w:r>
      <w:r w:rsidR="00DA2315" w:rsidRPr="001005B7">
        <w:rPr>
          <w:lang w:eastAsia="en-GB"/>
        </w:rPr>
        <w:t xml:space="preserve">In the whole of </w:t>
      </w:r>
      <w:r w:rsidR="0042084A" w:rsidRPr="001005B7">
        <w:rPr>
          <w:lang w:eastAsia="en-GB"/>
        </w:rPr>
        <w:t>11:</w:t>
      </w:r>
      <w:r w:rsidR="006833E6" w:rsidRPr="001005B7">
        <w:rPr>
          <w:lang w:eastAsia="en-GB"/>
        </w:rPr>
        <w:t>2</w:t>
      </w:r>
      <w:r w:rsidR="00F46900" w:rsidRPr="001005B7">
        <w:rPr>
          <w:lang w:eastAsia="en-GB"/>
        </w:rPr>
        <w:t>–</w:t>
      </w:r>
      <w:r w:rsidR="002114FC" w:rsidRPr="001005B7">
        <w:rPr>
          <w:lang w:eastAsia="en-GB"/>
        </w:rPr>
        <w:t>12</w:t>
      </w:r>
      <w:r w:rsidR="006833E6" w:rsidRPr="001005B7">
        <w:rPr>
          <w:lang w:eastAsia="en-GB"/>
        </w:rPr>
        <w:t xml:space="preserve"> and 14</w:t>
      </w:r>
      <w:r w:rsidR="00F46900" w:rsidRPr="001005B7">
        <w:rPr>
          <w:lang w:eastAsia="en-GB"/>
        </w:rPr>
        <w:t>–</w:t>
      </w:r>
      <w:r w:rsidR="006833E6" w:rsidRPr="001005B7">
        <w:rPr>
          <w:lang w:eastAsia="en-GB"/>
        </w:rPr>
        <w:t>21</w:t>
      </w:r>
      <w:r w:rsidR="00F40108" w:rsidRPr="001005B7">
        <w:rPr>
          <w:lang w:eastAsia="en-GB"/>
        </w:rPr>
        <w:t xml:space="preserve"> Yahweh speaks to Ezekiel, but</w:t>
      </w:r>
      <w:r w:rsidR="007B2043" w:rsidRPr="001005B7">
        <w:rPr>
          <w:lang w:eastAsia="en-GB"/>
        </w:rPr>
        <w:t xml:space="preserve"> via Ezekiel</w:t>
      </w:r>
      <w:r w:rsidR="00F40108" w:rsidRPr="001005B7">
        <w:rPr>
          <w:lang w:eastAsia="en-GB"/>
        </w:rPr>
        <w:t xml:space="preserve"> </w:t>
      </w:r>
      <w:r w:rsidR="007B2043" w:rsidRPr="001005B7">
        <w:rPr>
          <w:lang w:eastAsia="en-GB"/>
        </w:rPr>
        <w:t>he</w:t>
      </w:r>
      <w:r w:rsidR="00FE4B8D" w:rsidRPr="001005B7">
        <w:rPr>
          <w:lang w:eastAsia="en-GB"/>
        </w:rPr>
        <w:t xml:space="preserve"> </w:t>
      </w:r>
      <w:r w:rsidR="007B2043" w:rsidRPr="001005B7">
        <w:rPr>
          <w:lang w:eastAsia="en-GB"/>
        </w:rPr>
        <w:t xml:space="preserve">addresses his words to the Jerusalemites in </w:t>
      </w:r>
      <w:r w:rsidR="0042084A" w:rsidRPr="001005B7">
        <w:rPr>
          <w:lang w:eastAsia="en-GB"/>
        </w:rPr>
        <w:t>11:</w:t>
      </w:r>
      <w:r w:rsidR="003A1161" w:rsidRPr="001005B7">
        <w:rPr>
          <w:lang w:eastAsia="en-GB"/>
        </w:rPr>
        <w:t>5b</w:t>
      </w:r>
      <w:r w:rsidR="00F46900" w:rsidRPr="001005B7">
        <w:rPr>
          <w:lang w:eastAsia="en-GB"/>
        </w:rPr>
        <w:t>–</w:t>
      </w:r>
      <w:r w:rsidR="00D379EF" w:rsidRPr="001005B7">
        <w:rPr>
          <w:lang w:eastAsia="en-GB"/>
        </w:rPr>
        <w:t>9</w:t>
      </w:r>
      <w:r w:rsidR="00C74796" w:rsidRPr="001005B7">
        <w:rPr>
          <w:lang w:eastAsia="en-GB"/>
        </w:rPr>
        <w:t>, 16</w:t>
      </w:r>
      <w:r w:rsidR="00D379EF" w:rsidRPr="001005B7">
        <w:rPr>
          <w:lang w:eastAsia="en-GB"/>
        </w:rPr>
        <w:t xml:space="preserve"> </w:t>
      </w:r>
      <w:r w:rsidR="00630CE8" w:rsidRPr="001005B7">
        <w:rPr>
          <w:lang w:eastAsia="en-GB"/>
        </w:rPr>
        <w:t xml:space="preserve">and to the </w:t>
      </w:r>
      <w:proofErr w:type="spellStart"/>
      <w:r w:rsidR="00630CE8" w:rsidRPr="001005B7">
        <w:rPr>
          <w:lang w:eastAsia="en-GB"/>
        </w:rPr>
        <w:t>Kebar</w:t>
      </w:r>
      <w:r w:rsidR="00196DEB">
        <w:rPr>
          <w:lang w:eastAsia="en-GB"/>
        </w:rPr>
        <w:t>ites</w:t>
      </w:r>
      <w:proofErr w:type="spellEnd"/>
      <w:r w:rsidR="00630CE8" w:rsidRPr="001005B7">
        <w:rPr>
          <w:lang w:eastAsia="en-GB"/>
        </w:rPr>
        <w:t xml:space="preserve"> in </w:t>
      </w:r>
      <w:r w:rsidR="003D021F" w:rsidRPr="001005B7">
        <w:rPr>
          <w:lang w:eastAsia="en-GB"/>
        </w:rPr>
        <w:t>11:</w:t>
      </w:r>
      <w:r w:rsidR="00745CDF" w:rsidRPr="001005B7">
        <w:rPr>
          <w:lang w:eastAsia="en-GB"/>
        </w:rPr>
        <w:t>17</w:t>
      </w:r>
      <w:r w:rsidR="00C05399" w:rsidRPr="001005B7">
        <w:rPr>
          <w:lang w:eastAsia="en-GB"/>
        </w:rPr>
        <w:t>. H</w:t>
      </w:r>
      <w:r w:rsidR="00F37EA8" w:rsidRPr="001005B7">
        <w:rPr>
          <w:lang w:eastAsia="en-GB"/>
        </w:rPr>
        <w:t>e</w:t>
      </w:r>
      <w:r w:rsidR="0002002B" w:rsidRPr="001005B7">
        <w:rPr>
          <w:lang w:eastAsia="en-GB"/>
        </w:rPr>
        <w:t xml:space="preserve"> </w:t>
      </w:r>
      <w:r w:rsidR="00785A9A" w:rsidRPr="001005B7">
        <w:rPr>
          <w:lang w:eastAsia="en-GB"/>
        </w:rPr>
        <w:t xml:space="preserve">speaks </w:t>
      </w:r>
      <w:r w:rsidR="0002002B" w:rsidRPr="001005B7">
        <w:rPr>
          <w:lang w:eastAsia="en-GB"/>
        </w:rPr>
        <w:t>about the</w:t>
      </w:r>
      <w:r w:rsidR="00897588" w:rsidRPr="001005B7">
        <w:rPr>
          <w:lang w:eastAsia="en-GB"/>
        </w:rPr>
        <w:t xml:space="preserve"> </w:t>
      </w:r>
      <w:proofErr w:type="spellStart"/>
      <w:r w:rsidR="00897588" w:rsidRPr="001005B7">
        <w:rPr>
          <w:lang w:eastAsia="en-GB"/>
        </w:rPr>
        <w:t>Kebar</w:t>
      </w:r>
      <w:r w:rsidR="00C34A79">
        <w:rPr>
          <w:lang w:eastAsia="en-GB"/>
        </w:rPr>
        <w:t>ites</w:t>
      </w:r>
      <w:proofErr w:type="spellEnd"/>
      <w:r w:rsidR="0002002B" w:rsidRPr="001005B7">
        <w:rPr>
          <w:lang w:eastAsia="en-GB"/>
        </w:rPr>
        <w:t xml:space="preserve"> in </w:t>
      </w:r>
      <w:r w:rsidR="0042084A" w:rsidRPr="001005B7">
        <w:rPr>
          <w:lang w:eastAsia="en-GB"/>
        </w:rPr>
        <w:t>11:</w:t>
      </w:r>
      <w:r w:rsidR="0002002B" w:rsidRPr="001005B7">
        <w:rPr>
          <w:lang w:eastAsia="en-GB"/>
        </w:rPr>
        <w:t>18</w:t>
      </w:r>
      <w:r w:rsidR="00F46900" w:rsidRPr="001005B7">
        <w:rPr>
          <w:lang w:eastAsia="en-GB"/>
        </w:rPr>
        <w:t>–</w:t>
      </w:r>
      <w:r w:rsidR="00B306EA" w:rsidRPr="001005B7">
        <w:rPr>
          <w:lang w:eastAsia="en-GB"/>
        </w:rPr>
        <w:t>20</w:t>
      </w:r>
      <w:r w:rsidR="00785A9A" w:rsidRPr="001005B7">
        <w:rPr>
          <w:lang w:eastAsia="en-GB"/>
        </w:rPr>
        <w:t xml:space="preserve"> and about the Jerusalemites in </w:t>
      </w:r>
      <w:r w:rsidR="003D021F" w:rsidRPr="001005B7">
        <w:rPr>
          <w:lang w:eastAsia="en-GB"/>
        </w:rPr>
        <w:t>11:</w:t>
      </w:r>
      <w:r w:rsidR="00B306EA" w:rsidRPr="001005B7">
        <w:rPr>
          <w:lang w:eastAsia="en-GB"/>
        </w:rPr>
        <w:t xml:space="preserve">21. </w:t>
      </w:r>
      <w:r w:rsidR="00527907" w:rsidRPr="001005B7">
        <w:rPr>
          <w:lang w:eastAsia="en-GB"/>
        </w:rPr>
        <w:t>But t</w:t>
      </w:r>
      <w:r w:rsidR="00D50697" w:rsidRPr="001005B7">
        <w:rPr>
          <w:lang w:eastAsia="en-GB"/>
        </w:rPr>
        <w:t xml:space="preserve">he whole prophecy is meant for the </w:t>
      </w:r>
      <w:proofErr w:type="spellStart"/>
      <w:r w:rsidR="00D50697" w:rsidRPr="001005B7">
        <w:rPr>
          <w:lang w:eastAsia="en-GB"/>
        </w:rPr>
        <w:t>Kebar</w:t>
      </w:r>
      <w:proofErr w:type="spellEnd"/>
      <w:r w:rsidR="00D50697" w:rsidRPr="001005B7">
        <w:rPr>
          <w:lang w:eastAsia="en-GB"/>
        </w:rPr>
        <w:t xml:space="preserve"> community</w:t>
      </w:r>
      <w:r w:rsidR="00527907" w:rsidRPr="001005B7">
        <w:rPr>
          <w:lang w:eastAsia="en-GB"/>
        </w:rPr>
        <w:t xml:space="preserve"> to hear—at least, </w:t>
      </w:r>
      <w:r w:rsidR="003D021F" w:rsidRPr="001005B7">
        <w:rPr>
          <w:lang w:eastAsia="en-GB"/>
        </w:rPr>
        <w:t>11:</w:t>
      </w:r>
      <w:r w:rsidR="00E01CC9" w:rsidRPr="001005B7">
        <w:rPr>
          <w:lang w:eastAsia="en-GB"/>
        </w:rPr>
        <w:t xml:space="preserve">25 implies that </w:t>
      </w:r>
      <w:r w:rsidR="00704945" w:rsidRPr="001005B7">
        <w:rPr>
          <w:lang w:eastAsia="en-GB"/>
        </w:rPr>
        <w:t xml:space="preserve">all of </w:t>
      </w:r>
      <w:r w:rsidR="00E01CC9" w:rsidRPr="001005B7">
        <w:rPr>
          <w:lang w:eastAsia="en-GB"/>
        </w:rPr>
        <w:t>it reaches them.</w:t>
      </w:r>
      <w:r w:rsidR="00FC02DC" w:rsidRPr="001005B7">
        <w:rPr>
          <w:lang w:eastAsia="en-GB"/>
        </w:rPr>
        <w:t xml:space="preserve"> And maybe it would be less risky for Yahweh to make promises to them than to the Jerusalemites</w:t>
      </w:r>
      <w:r w:rsidR="000B775F">
        <w:rPr>
          <w:lang w:eastAsia="en-GB"/>
        </w:rPr>
        <w:t>, even before 587</w:t>
      </w:r>
      <w:r w:rsidR="00FC02DC" w:rsidRPr="001005B7">
        <w:rPr>
          <w:lang w:eastAsia="en-GB"/>
        </w:rPr>
        <w:t>.</w:t>
      </w:r>
    </w:p>
    <w:p w14:paraId="7C7B07AD" w14:textId="5F6D5811" w:rsidR="00612351" w:rsidRPr="001005B7" w:rsidRDefault="00F77816" w:rsidP="00315E3D">
      <w:pPr>
        <w:rPr>
          <w:lang w:eastAsia="en-GB"/>
        </w:rPr>
      </w:pPr>
      <w:r w:rsidRPr="001005B7">
        <w:rPr>
          <w:lang w:eastAsia="en-GB"/>
        </w:rPr>
        <w:t xml:space="preserve">The </w:t>
      </w:r>
      <w:r w:rsidR="00DA59BF" w:rsidRPr="001005B7">
        <w:rPr>
          <w:lang w:eastAsia="en-GB"/>
        </w:rPr>
        <w:t>syntax</w:t>
      </w:r>
      <w:r w:rsidRPr="001005B7">
        <w:rPr>
          <w:lang w:eastAsia="en-GB"/>
        </w:rPr>
        <w:t xml:space="preserve"> </w:t>
      </w:r>
      <w:r w:rsidR="00720E88" w:rsidRPr="001005B7">
        <w:rPr>
          <w:lang w:eastAsia="en-GB"/>
        </w:rPr>
        <w:t xml:space="preserve">and other aspects of the language </w:t>
      </w:r>
      <w:r w:rsidRPr="001005B7">
        <w:rPr>
          <w:lang w:eastAsia="en-GB"/>
        </w:rPr>
        <w:t xml:space="preserve">of </w:t>
      </w:r>
      <w:r w:rsidR="0042084A" w:rsidRPr="001005B7">
        <w:rPr>
          <w:lang w:eastAsia="en-GB"/>
        </w:rPr>
        <w:t>11:</w:t>
      </w:r>
      <w:r w:rsidRPr="001005B7">
        <w:rPr>
          <w:lang w:eastAsia="en-GB"/>
        </w:rPr>
        <w:t>16</w:t>
      </w:r>
      <w:r w:rsidR="00F46900" w:rsidRPr="001005B7">
        <w:rPr>
          <w:lang w:eastAsia="en-GB"/>
        </w:rPr>
        <w:t>–</w:t>
      </w:r>
      <w:r w:rsidRPr="001005B7">
        <w:rPr>
          <w:lang w:eastAsia="en-GB"/>
        </w:rPr>
        <w:t xml:space="preserve">21 is as prosaic </w:t>
      </w:r>
      <w:r w:rsidR="00DA59BF" w:rsidRPr="001005B7">
        <w:rPr>
          <w:lang w:eastAsia="en-GB"/>
        </w:rPr>
        <w:t>as that of the rest of the chapter</w:t>
      </w:r>
      <w:r w:rsidR="00102BEB" w:rsidRPr="001005B7">
        <w:rPr>
          <w:lang w:eastAsia="en-GB"/>
        </w:rPr>
        <w:t>. I</w:t>
      </w:r>
      <w:r w:rsidR="00DA59BF" w:rsidRPr="001005B7">
        <w:rPr>
          <w:lang w:eastAsia="en-GB"/>
        </w:rPr>
        <w:t>t uses</w:t>
      </w:r>
      <w:r w:rsidR="006F48AB" w:rsidRPr="001005B7">
        <w:rPr>
          <w:lang w:eastAsia="en-GB"/>
        </w:rPr>
        <w:t xml:space="preserve"> </w:t>
      </w:r>
      <w:r w:rsidR="005B79F9" w:rsidRPr="001005B7">
        <w:rPr>
          <w:lang w:eastAsia="en-GB"/>
        </w:rPr>
        <w:t>the relative particles and</w:t>
      </w:r>
      <w:r w:rsidR="006F48AB" w:rsidRPr="001005B7">
        <w:rPr>
          <w:lang w:eastAsia="en-GB"/>
        </w:rPr>
        <w:t xml:space="preserve"> </w:t>
      </w:r>
      <w:r w:rsidR="005B79F9" w:rsidRPr="001005B7">
        <w:rPr>
          <w:lang w:eastAsia="en-GB"/>
        </w:rPr>
        <w:t>the sign of the object (</w:t>
      </w:r>
      <w:proofErr w:type="spellStart"/>
      <w:r w:rsidR="005B79F9" w:rsidRPr="001005B7">
        <w:rPr>
          <w:rFonts w:cstheme="minorHAnsi"/>
          <w:i/>
          <w:iCs/>
          <w:lang w:eastAsia="en-GB"/>
        </w:rPr>
        <w:t>ʾ</w:t>
      </w:r>
      <w:r w:rsidR="00915646" w:rsidRPr="001005B7">
        <w:rPr>
          <w:rFonts w:cstheme="minorHAnsi"/>
          <w:i/>
          <w:iCs/>
          <w:lang w:eastAsia="en-GB"/>
        </w:rPr>
        <w:t>ăšer</w:t>
      </w:r>
      <w:proofErr w:type="spellEnd"/>
      <w:r w:rsidR="005B79F9" w:rsidRPr="001005B7">
        <w:rPr>
          <w:rFonts w:cstheme="minorHAnsi"/>
          <w:lang w:eastAsia="en-GB"/>
        </w:rPr>
        <w:t xml:space="preserve"> and </w:t>
      </w:r>
      <w:proofErr w:type="spellStart"/>
      <w:r w:rsidR="005B79F9" w:rsidRPr="001005B7">
        <w:rPr>
          <w:rFonts w:cstheme="minorHAnsi"/>
          <w:i/>
          <w:iCs/>
          <w:lang w:eastAsia="en-GB"/>
        </w:rPr>
        <w:t>ʾet</w:t>
      </w:r>
      <w:proofErr w:type="spellEnd"/>
      <w:r w:rsidR="005B79F9" w:rsidRPr="001005B7">
        <w:rPr>
          <w:rFonts w:cstheme="minorHAnsi"/>
          <w:lang w:eastAsia="en-GB"/>
        </w:rPr>
        <w:t xml:space="preserve">). </w:t>
      </w:r>
      <w:r w:rsidR="00954AB8" w:rsidRPr="001005B7">
        <w:rPr>
          <w:rFonts w:cstheme="minorHAnsi"/>
          <w:lang w:eastAsia="en-GB"/>
        </w:rPr>
        <w:t>But it</w:t>
      </w:r>
      <w:r w:rsidR="00C817F6" w:rsidRPr="001005B7">
        <w:rPr>
          <w:lang w:eastAsia="en-GB"/>
        </w:rPr>
        <w:t xml:space="preserve"> manifest</w:t>
      </w:r>
      <w:r w:rsidR="00954AB8" w:rsidRPr="001005B7">
        <w:rPr>
          <w:lang w:eastAsia="en-GB"/>
        </w:rPr>
        <w:t>s</w:t>
      </w:r>
      <w:r w:rsidR="00C817F6" w:rsidRPr="001005B7">
        <w:rPr>
          <w:lang w:eastAsia="en-GB"/>
        </w:rPr>
        <w:t xml:space="preserve"> </w:t>
      </w:r>
      <w:r w:rsidR="006E6F44" w:rsidRPr="001005B7">
        <w:rPr>
          <w:lang w:eastAsia="en-GB"/>
        </w:rPr>
        <w:t xml:space="preserve">the </w:t>
      </w:r>
      <w:r w:rsidR="00C817F6" w:rsidRPr="001005B7">
        <w:rPr>
          <w:lang w:eastAsia="en-GB"/>
        </w:rPr>
        <w:t>parallelism</w:t>
      </w:r>
      <w:r w:rsidR="002C5FE7">
        <w:rPr>
          <w:lang w:eastAsia="en-GB"/>
        </w:rPr>
        <w:t>*</w:t>
      </w:r>
      <w:r w:rsidR="006E6F44" w:rsidRPr="001005B7">
        <w:rPr>
          <w:lang w:eastAsia="en-GB"/>
        </w:rPr>
        <w:t xml:space="preserve"> and rhythm</w:t>
      </w:r>
      <w:r w:rsidR="00C817F6" w:rsidRPr="001005B7">
        <w:rPr>
          <w:lang w:eastAsia="en-GB"/>
        </w:rPr>
        <w:t xml:space="preserve"> </w:t>
      </w:r>
      <w:r w:rsidR="006E6F44" w:rsidRPr="001005B7">
        <w:rPr>
          <w:lang w:eastAsia="en-GB"/>
        </w:rPr>
        <w:t xml:space="preserve">of verse and </w:t>
      </w:r>
      <w:r w:rsidR="00F60B61" w:rsidRPr="001005B7">
        <w:rPr>
          <w:lang w:eastAsia="en-GB"/>
        </w:rPr>
        <w:t>it</w:t>
      </w:r>
      <w:r w:rsidR="006E6F44" w:rsidRPr="001005B7">
        <w:rPr>
          <w:lang w:eastAsia="en-GB"/>
        </w:rPr>
        <w:t xml:space="preserve"> can be </w:t>
      </w:r>
      <w:r w:rsidR="00C6788A" w:rsidRPr="001005B7">
        <w:rPr>
          <w:lang w:eastAsia="en-GB"/>
        </w:rPr>
        <w:t xml:space="preserve">seen as comprising a series of </w:t>
      </w:r>
      <w:proofErr w:type="spellStart"/>
      <w:r w:rsidR="00C6788A" w:rsidRPr="001005B7">
        <w:rPr>
          <w:lang w:eastAsia="en-GB"/>
        </w:rPr>
        <w:t>bicola</w:t>
      </w:r>
      <w:proofErr w:type="spellEnd"/>
      <w:r w:rsidR="00A439A8" w:rsidRPr="001005B7">
        <w:rPr>
          <w:lang w:eastAsia="en-GB"/>
        </w:rPr>
        <w:t>*</w:t>
      </w:r>
      <w:r w:rsidR="00C6788A" w:rsidRPr="001005B7">
        <w:rPr>
          <w:lang w:eastAsia="en-GB"/>
        </w:rPr>
        <w:t xml:space="preserve"> </w:t>
      </w:r>
      <w:r w:rsidR="000E21BD" w:rsidRPr="001005B7">
        <w:rPr>
          <w:lang w:eastAsia="en-GB"/>
        </w:rPr>
        <w:t>(</w:t>
      </w:r>
      <w:r w:rsidR="00744C75" w:rsidRPr="001005B7">
        <w:rPr>
          <w:lang w:eastAsia="en-GB"/>
        </w:rPr>
        <w:t xml:space="preserve">with the main </w:t>
      </w:r>
      <w:r w:rsidR="00705B78" w:rsidRPr="001005B7">
        <w:rPr>
          <w:lang w:eastAsia="en-GB"/>
        </w:rPr>
        <w:t xml:space="preserve">message </w:t>
      </w:r>
      <w:r w:rsidR="00C6788A" w:rsidRPr="001005B7">
        <w:rPr>
          <w:lang w:eastAsia="en-GB"/>
        </w:rPr>
        <w:t xml:space="preserve">framed by two </w:t>
      </w:r>
      <w:proofErr w:type="spellStart"/>
      <w:r w:rsidR="00C6788A" w:rsidRPr="001005B7">
        <w:rPr>
          <w:lang w:eastAsia="en-GB"/>
        </w:rPr>
        <w:t>tricola</w:t>
      </w:r>
      <w:proofErr w:type="spellEnd"/>
      <w:r w:rsidR="00874706" w:rsidRPr="001005B7">
        <w:rPr>
          <w:lang w:eastAsia="en-GB"/>
        </w:rPr>
        <w:t>*</w:t>
      </w:r>
      <w:r w:rsidR="000E21BD" w:rsidRPr="001005B7">
        <w:rPr>
          <w:lang w:eastAsia="en-GB"/>
        </w:rPr>
        <w:t xml:space="preserve"> in </w:t>
      </w:r>
      <w:r w:rsidR="0042084A" w:rsidRPr="001005B7">
        <w:rPr>
          <w:lang w:eastAsia="en-GB"/>
        </w:rPr>
        <w:t>11:</w:t>
      </w:r>
      <w:r w:rsidR="000E21BD" w:rsidRPr="001005B7">
        <w:rPr>
          <w:lang w:eastAsia="en-GB"/>
        </w:rPr>
        <w:t>17</w:t>
      </w:r>
      <w:r w:rsidR="00F46900" w:rsidRPr="001005B7">
        <w:rPr>
          <w:lang w:eastAsia="en-GB"/>
        </w:rPr>
        <w:t>–</w:t>
      </w:r>
      <w:r w:rsidR="000E21BD" w:rsidRPr="001005B7">
        <w:rPr>
          <w:lang w:eastAsia="en-GB"/>
        </w:rPr>
        <w:t>21)</w:t>
      </w:r>
      <w:r w:rsidR="00F60B61" w:rsidRPr="001005B7">
        <w:rPr>
          <w:lang w:eastAsia="en-GB"/>
        </w:rPr>
        <w:t>, which heightens the</w:t>
      </w:r>
      <w:r w:rsidR="00705B78" w:rsidRPr="001005B7">
        <w:rPr>
          <w:lang w:eastAsia="en-GB"/>
        </w:rPr>
        <w:t xml:space="preserve"> </w:t>
      </w:r>
      <w:r w:rsidR="00F60B61" w:rsidRPr="001005B7">
        <w:rPr>
          <w:lang w:eastAsia="en-GB"/>
        </w:rPr>
        <w:t>rhetorical force</w:t>
      </w:r>
      <w:r w:rsidR="005D3EFC" w:rsidRPr="001005B7">
        <w:rPr>
          <w:lang w:eastAsia="en-GB"/>
        </w:rPr>
        <w:t xml:space="preserve">. </w:t>
      </w:r>
      <w:r w:rsidR="00181A44">
        <w:rPr>
          <w:lang w:eastAsia="en-GB"/>
        </w:rPr>
        <w:t xml:space="preserve">Laying it out as verse makes it possible to </w:t>
      </w:r>
      <w:r w:rsidR="001A14F2" w:rsidRPr="001005B7">
        <w:rPr>
          <w:lang w:eastAsia="en-GB"/>
        </w:rPr>
        <w:t>appreciate more of its significance</w:t>
      </w:r>
      <w:r w:rsidR="00720E88" w:rsidRPr="001005B7">
        <w:rPr>
          <w:lang w:eastAsia="en-GB"/>
        </w:rPr>
        <w:t>.</w:t>
      </w:r>
    </w:p>
    <w:p w14:paraId="09DBD05C" w14:textId="1B2E9863" w:rsidR="001806F2" w:rsidRPr="001005B7" w:rsidRDefault="001806F2" w:rsidP="00315E3D">
      <w:pPr>
        <w:rPr>
          <w:i/>
          <w:iCs/>
          <w:lang w:eastAsia="en-GB"/>
        </w:rPr>
      </w:pPr>
      <w:r w:rsidRPr="001005B7">
        <w:rPr>
          <w:lang w:eastAsia="en-GB"/>
        </w:rPr>
        <w:t xml:space="preserve">The chapter </w:t>
      </w:r>
      <w:r w:rsidR="00CB2086" w:rsidRPr="001005B7">
        <w:rPr>
          <w:lang w:eastAsia="en-GB"/>
        </w:rPr>
        <w:t>unfolds</w:t>
      </w:r>
      <w:r w:rsidRPr="001005B7">
        <w:rPr>
          <w:lang w:eastAsia="en-GB"/>
        </w:rPr>
        <w:t>:</w:t>
      </w:r>
    </w:p>
    <w:p w14:paraId="259BC9A3" w14:textId="07A8CD3E" w:rsidR="00C11160" w:rsidRPr="001005B7" w:rsidRDefault="00C11160" w:rsidP="00C11160">
      <w:pPr>
        <w:rPr>
          <w:lang w:eastAsia="en-GB"/>
        </w:rPr>
      </w:pPr>
    </w:p>
    <w:p w14:paraId="71D66982" w14:textId="3E3C8FA2" w:rsidR="001806F2" w:rsidRPr="001005B7" w:rsidRDefault="001806F2" w:rsidP="00C11160">
      <w:pPr>
        <w:rPr>
          <w:lang w:eastAsia="en-GB"/>
        </w:rPr>
      </w:pPr>
      <w:r w:rsidRPr="001005B7">
        <w:rPr>
          <w:lang w:eastAsia="en-GB"/>
        </w:rPr>
        <w:t>A spirit takes Ezekiel to the eastern gateway</w:t>
      </w:r>
      <w:r w:rsidR="00E25454" w:rsidRPr="001005B7">
        <w:rPr>
          <w:lang w:eastAsia="en-GB"/>
        </w:rPr>
        <w:t xml:space="preserve"> where leaders gather</w:t>
      </w:r>
      <w:r w:rsidR="008D204B" w:rsidRPr="001005B7">
        <w:rPr>
          <w:lang w:eastAsia="en-GB"/>
        </w:rPr>
        <w:t xml:space="preserve"> (11:1</w:t>
      </w:r>
      <w:r w:rsidR="00F46900" w:rsidRPr="001005B7">
        <w:rPr>
          <w:lang w:eastAsia="en-GB"/>
        </w:rPr>
        <w:t>–</w:t>
      </w:r>
      <w:r w:rsidR="008D204B" w:rsidRPr="001005B7">
        <w:rPr>
          <w:lang w:eastAsia="en-GB"/>
        </w:rPr>
        <w:t>4)</w:t>
      </w:r>
    </w:p>
    <w:p w14:paraId="5DF2B586" w14:textId="3BF3DC76" w:rsidR="001806F2" w:rsidRPr="001005B7" w:rsidRDefault="001806F2" w:rsidP="00C11160">
      <w:pPr>
        <w:rPr>
          <w:lang w:eastAsia="en-GB"/>
        </w:rPr>
      </w:pPr>
      <w:r w:rsidRPr="001005B7">
        <w:rPr>
          <w:lang w:eastAsia="en-GB"/>
        </w:rPr>
        <w:t xml:space="preserve">A spirit falls on Ezekiel and Yahweh gives him a </w:t>
      </w:r>
      <w:r w:rsidR="00E25454" w:rsidRPr="001005B7">
        <w:rPr>
          <w:lang w:eastAsia="en-GB"/>
        </w:rPr>
        <w:t xml:space="preserve">threatening </w:t>
      </w:r>
      <w:r w:rsidRPr="001005B7">
        <w:rPr>
          <w:lang w:eastAsia="en-GB"/>
        </w:rPr>
        <w:t>message</w:t>
      </w:r>
      <w:r w:rsidR="008D204B" w:rsidRPr="001005B7">
        <w:rPr>
          <w:lang w:eastAsia="en-GB"/>
        </w:rPr>
        <w:t xml:space="preserve"> (11:5</w:t>
      </w:r>
      <w:r w:rsidR="00F46900" w:rsidRPr="001005B7">
        <w:rPr>
          <w:lang w:eastAsia="en-GB"/>
        </w:rPr>
        <w:t>–</w:t>
      </w:r>
      <w:r w:rsidR="008D204B" w:rsidRPr="001005B7">
        <w:rPr>
          <w:lang w:eastAsia="en-GB"/>
        </w:rPr>
        <w:t>12)</w:t>
      </w:r>
    </w:p>
    <w:p w14:paraId="3263741B" w14:textId="116EF3B0" w:rsidR="00E25454" w:rsidRPr="001005B7" w:rsidRDefault="00E25454" w:rsidP="00C11160">
      <w:pPr>
        <w:rPr>
          <w:lang w:eastAsia="en-GB"/>
        </w:rPr>
      </w:pPr>
      <w:r w:rsidRPr="001005B7">
        <w:rPr>
          <w:lang w:eastAsia="en-GB"/>
        </w:rPr>
        <w:t>One of the leaders drops dead</w:t>
      </w:r>
      <w:r w:rsidR="008D204B" w:rsidRPr="001005B7">
        <w:rPr>
          <w:lang w:eastAsia="en-GB"/>
        </w:rPr>
        <w:t xml:space="preserve"> (11:13)</w:t>
      </w:r>
    </w:p>
    <w:p w14:paraId="5CAC9DAF" w14:textId="3A5677D4" w:rsidR="00E25454" w:rsidRPr="001005B7" w:rsidRDefault="00E25454" w:rsidP="00C11160">
      <w:pPr>
        <w:rPr>
          <w:lang w:eastAsia="en-GB"/>
        </w:rPr>
      </w:pPr>
      <w:r w:rsidRPr="001005B7">
        <w:rPr>
          <w:lang w:eastAsia="en-GB"/>
        </w:rPr>
        <w:t>Yahweh gives Ezekiel a message of promise</w:t>
      </w:r>
      <w:r w:rsidR="008D204B" w:rsidRPr="001005B7">
        <w:rPr>
          <w:lang w:eastAsia="en-GB"/>
        </w:rPr>
        <w:t xml:space="preserve"> (11:14</w:t>
      </w:r>
      <w:r w:rsidR="00F46900" w:rsidRPr="001005B7">
        <w:rPr>
          <w:lang w:eastAsia="en-GB"/>
        </w:rPr>
        <w:t>–</w:t>
      </w:r>
      <w:r w:rsidR="008D204B" w:rsidRPr="001005B7">
        <w:rPr>
          <w:lang w:eastAsia="en-GB"/>
        </w:rPr>
        <w:t>21)</w:t>
      </w:r>
    </w:p>
    <w:p w14:paraId="694C7F8F" w14:textId="3C02D5E2" w:rsidR="00E25454" w:rsidRPr="001005B7" w:rsidRDefault="00E25454" w:rsidP="008B60BF">
      <w:pPr>
        <w:ind w:left="720" w:firstLine="0"/>
      </w:pPr>
      <w:r w:rsidRPr="001005B7">
        <w:t xml:space="preserve">Yahweh’s </w:t>
      </w:r>
      <w:r w:rsidR="00180CEB" w:rsidRPr="001005B7">
        <w:t>magnificence</w:t>
      </w:r>
      <w:r w:rsidRPr="001005B7">
        <w:t xml:space="preserve"> moves to a mountain to the east, a spirit takes Ezekiel back to </w:t>
      </w:r>
      <w:proofErr w:type="spellStart"/>
      <w:r w:rsidRPr="001005B7">
        <w:t>Kebar</w:t>
      </w:r>
      <w:proofErr w:type="spellEnd"/>
      <w:r w:rsidRPr="001005B7">
        <w:t xml:space="preserve">, and he tells the </w:t>
      </w:r>
      <w:proofErr w:type="spellStart"/>
      <w:r w:rsidRPr="001005B7">
        <w:t>Kebarites</w:t>
      </w:r>
      <w:proofErr w:type="spellEnd"/>
      <w:r w:rsidRPr="001005B7">
        <w:t xml:space="preserve"> everything he has seen</w:t>
      </w:r>
      <w:r w:rsidR="0079259D" w:rsidRPr="001005B7">
        <w:t xml:space="preserve"> (11:22</w:t>
      </w:r>
      <w:r w:rsidR="00F46900" w:rsidRPr="001005B7">
        <w:t>–</w:t>
      </w:r>
      <w:r w:rsidR="0079259D" w:rsidRPr="001005B7">
        <w:t>25)</w:t>
      </w:r>
    </w:p>
    <w:p w14:paraId="4CF66745" w14:textId="77777777" w:rsidR="008268DC" w:rsidRPr="001005B7" w:rsidRDefault="008268DC" w:rsidP="008268DC">
      <w:pPr>
        <w:ind w:firstLine="0"/>
      </w:pPr>
    </w:p>
    <w:p w14:paraId="692E5053" w14:textId="056D147C" w:rsidR="001806F2" w:rsidRPr="001005B7" w:rsidRDefault="008268DC" w:rsidP="00D4561D">
      <w:pPr>
        <w:ind w:firstLine="0"/>
        <w:rPr>
          <w:lang w:eastAsia="en-GB"/>
        </w:rPr>
      </w:pPr>
      <w:r w:rsidRPr="001005B7">
        <w:t xml:space="preserve">But </w:t>
      </w:r>
      <w:r w:rsidR="00A51245" w:rsidRPr="001005B7">
        <w:rPr>
          <w:sz w:val="18"/>
          <w:szCs w:val="18"/>
        </w:rPr>
        <w:t>MT</w:t>
      </w:r>
      <w:r w:rsidR="00090FAD" w:rsidRPr="001005B7">
        <w:t xml:space="preserve">’s </w:t>
      </w:r>
      <w:r w:rsidR="00D4561D" w:rsidRPr="001005B7">
        <w:t xml:space="preserve">large number of </w:t>
      </w:r>
      <w:r w:rsidR="00090FAD" w:rsidRPr="001005B7">
        <w:t>markers</w:t>
      </w:r>
      <w:r w:rsidR="00055156">
        <w:t>,</w:t>
      </w:r>
      <w:r w:rsidR="000339FF">
        <w:t>*</w:t>
      </w:r>
      <w:r w:rsidR="00D4561D" w:rsidRPr="001005B7">
        <w:t xml:space="preserve"> </w:t>
      </w:r>
      <w:r w:rsidR="00090FAD" w:rsidRPr="001005B7">
        <w:t>do not correspond at all to this outline.</w:t>
      </w:r>
    </w:p>
    <w:p w14:paraId="7C72E4F6" w14:textId="6AFF2A25" w:rsidR="00C11160" w:rsidRPr="001005B7" w:rsidRDefault="00C11160" w:rsidP="00493833">
      <w:pPr>
        <w:pStyle w:val="Heading3"/>
      </w:pPr>
      <w:r w:rsidRPr="001005B7">
        <w:t>Translation</w:t>
      </w:r>
    </w:p>
    <w:p w14:paraId="10C86101" w14:textId="05D4E22C" w:rsidR="00E10A88" w:rsidRPr="001005B7" w:rsidRDefault="00441BBD" w:rsidP="00E10A88">
      <w:pPr>
        <w:rPr>
          <w:lang w:eastAsia="en-GB"/>
        </w:rPr>
      </w:pPr>
      <w:r w:rsidRPr="001005B7">
        <w:rPr>
          <w:vertAlign w:val="superscript"/>
          <w:lang w:eastAsia="en-GB"/>
        </w:rPr>
        <w:t>1</w:t>
      </w:r>
      <w:r w:rsidR="00620B50" w:rsidRPr="001005B7">
        <w:rPr>
          <w:lang w:eastAsia="en-GB"/>
        </w:rPr>
        <w:t xml:space="preserve">A spirit lifted me and </w:t>
      </w:r>
      <w:r w:rsidR="00AB32EF" w:rsidRPr="001005B7">
        <w:rPr>
          <w:lang w:eastAsia="en-GB"/>
        </w:rPr>
        <w:t>got me to</w:t>
      </w:r>
      <w:r w:rsidR="00620B50" w:rsidRPr="001005B7">
        <w:rPr>
          <w:lang w:eastAsia="en-GB"/>
        </w:rPr>
        <w:t xml:space="preserve"> </w:t>
      </w:r>
      <w:r w:rsidR="00BB482E" w:rsidRPr="001005B7">
        <w:rPr>
          <w:lang w:eastAsia="en-GB"/>
        </w:rPr>
        <w:t>come</w:t>
      </w:r>
      <w:r w:rsidR="00620B50" w:rsidRPr="001005B7">
        <w:rPr>
          <w:lang w:eastAsia="en-GB"/>
        </w:rPr>
        <w:t xml:space="preserve"> </w:t>
      </w:r>
      <w:r w:rsidR="00E32A2F" w:rsidRPr="001005B7">
        <w:rPr>
          <w:lang w:eastAsia="en-GB"/>
        </w:rPr>
        <w:t xml:space="preserve">to the eastern gateway </w:t>
      </w:r>
      <w:r w:rsidR="00F23F48" w:rsidRPr="001005B7">
        <w:rPr>
          <w:lang w:eastAsia="en-GB"/>
        </w:rPr>
        <w:t xml:space="preserve">of Yahweh’s house, which faces </w:t>
      </w:r>
      <w:r w:rsidR="005D3378" w:rsidRPr="001005B7">
        <w:rPr>
          <w:lang w:eastAsia="en-GB"/>
        </w:rPr>
        <w:t>east. There, at the gateway entrance</w:t>
      </w:r>
      <w:r w:rsidR="005B5325" w:rsidRPr="001005B7">
        <w:rPr>
          <w:lang w:eastAsia="en-GB"/>
        </w:rPr>
        <w:t>:</w:t>
      </w:r>
      <w:r w:rsidR="0050625B" w:rsidRPr="001005B7">
        <w:rPr>
          <w:lang w:eastAsia="en-GB"/>
        </w:rPr>
        <w:t xml:space="preserve"> twenty-five </w:t>
      </w:r>
      <w:r w:rsidR="00214CC3" w:rsidRPr="001005B7">
        <w:rPr>
          <w:lang w:eastAsia="en-GB"/>
        </w:rPr>
        <w:t xml:space="preserve">individuals. </w:t>
      </w:r>
      <w:r w:rsidR="0006014E" w:rsidRPr="001005B7">
        <w:rPr>
          <w:lang w:eastAsia="en-GB"/>
        </w:rPr>
        <w:t xml:space="preserve">I saw among them </w:t>
      </w:r>
      <w:proofErr w:type="spellStart"/>
      <w:r w:rsidR="0006014E" w:rsidRPr="001005B7">
        <w:rPr>
          <w:lang w:eastAsia="en-GB"/>
        </w:rPr>
        <w:t>Ya</w:t>
      </w:r>
      <w:r w:rsidR="00384990" w:rsidRPr="001005B7">
        <w:rPr>
          <w:rFonts w:cstheme="minorHAnsi"/>
          <w:lang w:eastAsia="en-GB"/>
        </w:rPr>
        <w:t>ʾ</w:t>
      </w:r>
      <w:r w:rsidR="00384990" w:rsidRPr="001005B7">
        <w:rPr>
          <w:lang w:eastAsia="en-GB"/>
        </w:rPr>
        <w:t>azanyah</w:t>
      </w:r>
      <w:proofErr w:type="spellEnd"/>
      <w:r w:rsidR="00384990" w:rsidRPr="001005B7">
        <w:rPr>
          <w:lang w:eastAsia="en-GB"/>
        </w:rPr>
        <w:t xml:space="preserve"> </w:t>
      </w:r>
      <w:r w:rsidR="00550033" w:rsidRPr="001005B7">
        <w:rPr>
          <w:lang w:eastAsia="en-GB"/>
        </w:rPr>
        <w:t xml:space="preserve">ben </w:t>
      </w:r>
      <w:proofErr w:type="spellStart"/>
      <w:r w:rsidR="00550033" w:rsidRPr="001005B7">
        <w:rPr>
          <w:rFonts w:cstheme="minorHAnsi"/>
          <w:lang w:eastAsia="en-GB"/>
        </w:rPr>
        <w:t>ʿ</w:t>
      </w:r>
      <w:r w:rsidR="00550033" w:rsidRPr="001005B7">
        <w:rPr>
          <w:lang w:eastAsia="en-GB"/>
        </w:rPr>
        <w:t>Azzur</w:t>
      </w:r>
      <w:proofErr w:type="spellEnd"/>
      <w:r w:rsidR="00550033" w:rsidRPr="001005B7">
        <w:rPr>
          <w:lang w:eastAsia="en-GB"/>
        </w:rPr>
        <w:t xml:space="preserve"> and </w:t>
      </w:r>
      <w:proofErr w:type="spellStart"/>
      <w:r w:rsidR="0099097D" w:rsidRPr="001005B7">
        <w:rPr>
          <w:lang w:eastAsia="en-GB"/>
        </w:rPr>
        <w:t>Pelatyahu</w:t>
      </w:r>
      <w:proofErr w:type="spellEnd"/>
      <w:r w:rsidR="0099097D" w:rsidRPr="001005B7">
        <w:rPr>
          <w:lang w:eastAsia="en-GB"/>
        </w:rPr>
        <w:t xml:space="preserve"> ben </w:t>
      </w:r>
      <w:proofErr w:type="spellStart"/>
      <w:r w:rsidR="0099097D" w:rsidRPr="001005B7">
        <w:rPr>
          <w:lang w:eastAsia="en-GB"/>
        </w:rPr>
        <w:t>Benayah</w:t>
      </w:r>
      <w:r w:rsidR="00596491" w:rsidRPr="001005B7">
        <w:rPr>
          <w:lang w:eastAsia="en-GB"/>
        </w:rPr>
        <w:t>u</w:t>
      </w:r>
      <w:proofErr w:type="spellEnd"/>
      <w:r w:rsidR="00596491" w:rsidRPr="001005B7">
        <w:rPr>
          <w:lang w:eastAsia="en-GB"/>
        </w:rPr>
        <w:t xml:space="preserve">, officials </w:t>
      </w:r>
      <w:r w:rsidR="003F5EEF" w:rsidRPr="001005B7">
        <w:rPr>
          <w:lang w:eastAsia="en-GB"/>
        </w:rPr>
        <w:t>among</w:t>
      </w:r>
      <w:r w:rsidR="00596491" w:rsidRPr="001005B7">
        <w:rPr>
          <w:lang w:eastAsia="en-GB"/>
        </w:rPr>
        <w:t xml:space="preserve"> the people.</w:t>
      </w:r>
      <w:r w:rsidR="0099097D" w:rsidRPr="001005B7">
        <w:rPr>
          <w:lang w:eastAsia="en-GB"/>
        </w:rPr>
        <w:t xml:space="preserve"> </w:t>
      </w:r>
      <w:r w:rsidR="00F65F40" w:rsidRPr="001005B7">
        <w:rPr>
          <w:vertAlign w:val="superscript"/>
          <w:lang w:eastAsia="en-GB"/>
        </w:rPr>
        <w:t>2</w:t>
      </w:r>
      <w:r w:rsidR="00F65F40" w:rsidRPr="001005B7">
        <w:rPr>
          <w:lang w:eastAsia="en-GB"/>
        </w:rPr>
        <w:t>He said to me,</w:t>
      </w:r>
      <w:r w:rsidR="002E1A4D" w:rsidRPr="001005B7">
        <w:rPr>
          <w:lang w:eastAsia="en-GB"/>
        </w:rPr>
        <w:t xml:space="preserve"> </w:t>
      </w:r>
      <w:r w:rsidR="00D3329B" w:rsidRPr="001005B7">
        <w:rPr>
          <w:lang w:eastAsia="en-GB"/>
        </w:rPr>
        <w:t>My man</w:t>
      </w:r>
      <w:r w:rsidR="002E1A4D" w:rsidRPr="001005B7">
        <w:rPr>
          <w:lang w:eastAsia="en-GB"/>
        </w:rPr>
        <w:t xml:space="preserve">, these are the individuals who are planning </w:t>
      </w:r>
      <w:r w:rsidR="002501D2" w:rsidRPr="001005B7">
        <w:rPr>
          <w:lang w:eastAsia="en-GB"/>
        </w:rPr>
        <w:t>trouble</w:t>
      </w:r>
      <w:r w:rsidR="00BD127F" w:rsidRPr="001005B7">
        <w:rPr>
          <w:rStyle w:val="FootnoteReference"/>
          <w:lang w:eastAsia="en-GB"/>
        </w:rPr>
        <w:footnoteReference w:id="270"/>
      </w:r>
      <w:r w:rsidR="001563AC" w:rsidRPr="001005B7">
        <w:rPr>
          <w:lang w:eastAsia="en-GB"/>
        </w:rPr>
        <w:t xml:space="preserve"> and </w:t>
      </w:r>
      <w:r w:rsidR="00DF35EB" w:rsidRPr="001005B7">
        <w:rPr>
          <w:lang w:eastAsia="en-GB"/>
        </w:rPr>
        <w:t>formulat</w:t>
      </w:r>
      <w:r w:rsidR="001563AC" w:rsidRPr="001005B7">
        <w:rPr>
          <w:lang w:eastAsia="en-GB"/>
        </w:rPr>
        <w:t>ing dire counsel</w:t>
      </w:r>
      <w:r w:rsidR="00DF35EB" w:rsidRPr="001005B7">
        <w:rPr>
          <w:lang w:eastAsia="en-GB"/>
        </w:rPr>
        <w:t xml:space="preserve"> in th</w:t>
      </w:r>
      <w:r w:rsidR="00602C5D" w:rsidRPr="001005B7">
        <w:rPr>
          <w:lang w:eastAsia="en-GB"/>
        </w:rPr>
        <w:t>is</w:t>
      </w:r>
      <w:r w:rsidR="00DF35EB" w:rsidRPr="001005B7">
        <w:rPr>
          <w:lang w:eastAsia="en-GB"/>
        </w:rPr>
        <w:t xml:space="preserve"> city</w:t>
      </w:r>
      <w:r w:rsidR="00602C5D" w:rsidRPr="001005B7">
        <w:rPr>
          <w:lang w:eastAsia="en-GB"/>
        </w:rPr>
        <w:t xml:space="preserve">, </w:t>
      </w:r>
      <w:r w:rsidR="00602C5D" w:rsidRPr="001005B7">
        <w:rPr>
          <w:vertAlign w:val="superscript"/>
          <w:lang w:eastAsia="en-GB"/>
        </w:rPr>
        <w:t>3</w:t>
      </w:r>
      <w:r w:rsidR="00D919D0">
        <w:rPr>
          <w:lang w:eastAsia="en-GB"/>
        </w:rPr>
        <w:t>and s</w:t>
      </w:r>
      <w:r w:rsidR="00602C5D" w:rsidRPr="001005B7">
        <w:rPr>
          <w:lang w:eastAsia="en-GB"/>
        </w:rPr>
        <w:t>a</w:t>
      </w:r>
      <w:r w:rsidR="00F67DDA" w:rsidRPr="001005B7">
        <w:rPr>
          <w:lang w:eastAsia="en-GB"/>
        </w:rPr>
        <w:t>ying</w:t>
      </w:r>
      <w:r w:rsidR="007E1B36" w:rsidRPr="001005B7">
        <w:rPr>
          <w:lang w:eastAsia="en-GB"/>
        </w:rPr>
        <w:t xml:space="preserve">, </w:t>
      </w:r>
      <w:r w:rsidR="00D71D1F" w:rsidRPr="001005B7">
        <w:rPr>
          <w:lang w:eastAsia="en-GB"/>
        </w:rPr>
        <w:t>“</w:t>
      </w:r>
      <w:r w:rsidR="00775F2F" w:rsidRPr="001005B7">
        <w:rPr>
          <w:lang w:eastAsia="en-GB"/>
        </w:rPr>
        <w:t>B</w:t>
      </w:r>
      <w:r w:rsidR="007E1B36" w:rsidRPr="001005B7">
        <w:rPr>
          <w:lang w:eastAsia="en-GB"/>
        </w:rPr>
        <w:t>uilding houses</w:t>
      </w:r>
      <w:r w:rsidR="002032FC" w:rsidRPr="001005B7">
        <w:rPr>
          <w:lang w:eastAsia="en-GB"/>
        </w:rPr>
        <w:t>:</w:t>
      </w:r>
      <w:r w:rsidR="00E840BB" w:rsidRPr="001005B7">
        <w:rPr>
          <w:lang w:eastAsia="en-GB"/>
        </w:rPr>
        <w:t xml:space="preserve"> not nea</w:t>
      </w:r>
      <w:r w:rsidR="00591738" w:rsidRPr="001005B7">
        <w:rPr>
          <w:lang w:eastAsia="en-GB"/>
        </w:rPr>
        <w:t>r</w:t>
      </w:r>
      <w:r w:rsidR="002032FC" w:rsidRPr="001005B7">
        <w:rPr>
          <w:lang w:eastAsia="en-GB"/>
        </w:rPr>
        <w:t>.</w:t>
      </w:r>
      <w:r w:rsidR="009F29A5" w:rsidRPr="001005B7">
        <w:rPr>
          <w:rStyle w:val="FootnoteReference"/>
          <w:lang w:eastAsia="en-GB"/>
        </w:rPr>
        <w:footnoteReference w:id="271"/>
      </w:r>
      <w:r w:rsidR="00591738" w:rsidRPr="001005B7">
        <w:rPr>
          <w:lang w:eastAsia="en-GB"/>
        </w:rPr>
        <w:t xml:space="preserve"> </w:t>
      </w:r>
      <w:r w:rsidR="002032FC" w:rsidRPr="001005B7">
        <w:rPr>
          <w:lang w:eastAsia="en-GB"/>
        </w:rPr>
        <w:t>T</w:t>
      </w:r>
      <w:r w:rsidR="00591738" w:rsidRPr="001005B7">
        <w:rPr>
          <w:lang w:eastAsia="en-GB"/>
        </w:rPr>
        <w:t>hi</w:t>
      </w:r>
      <w:r w:rsidR="00A142A1" w:rsidRPr="001005B7">
        <w:rPr>
          <w:lang w:eastAsia="en-GB"/>
        </w:rPr>
        <w:t>s i</w:t>
      </w:r>
      <w:r w:rsidR="00D71D1F" w:rsidRPr="001005B7">
        <w:rPr>
          <w:lang w:eastAsia="en-GB"/>
        </w:rPr>
        <w:t>s</w:t>
      </w:r>
      <w:r w:rsidR="00A142A1" w:rsidRPr="001005B7">
        <w:rPr>
          <w:lang w:eastAsia="en-GB"/>
        </w:rPr>
        <w:t xml:space="preserve"> the pot and we are the meat.</w:t>
      </w:r>
      <w:r w:rsidR="00D71D1F" w:rsidRPr="001005B7">
        <w:rPr>
          <w:lang w:eastAsia="en-GB"/>
        </w:rPr>
        <w:t>”</w:t>
      </w:r>
      <w:r w:rsidR="00A142A1" w:rsidRPr="001005B7">
        <w:rPr>
          <w:lang w:eastAsia="en-GB"/>
        </w:rPr>
        <w:t xml:space="preserve"> </w:t>
      </w:r>
      <w:r w:rsidR="0047491D" w:rsidRPr="001005B7">
        <w:rPr>
          <w:vertAlign w:val="superscript"/>
          <w:lang w:eastAsia="en-GB"/>
        </w:rPr>
        <w:t>4</w:t>
      </w:r>
      <w:r w:rsidR="001C389F" w:rsidRPr="001005B7">
        <w:rPr>
          <w:lang w:eastAsia="en-GB"/>
        </w:rPr>
        <w:t>Therefore prophesy against them</w:t>
      </w:r>
      <w:r w:rsidR="0047491D" w:rsidRPr="001005B7">
        <w:rPr>
          <w:lang w:eastAsia="en-GB"/>
        </w:rPr>
        <w:t xml:space="preserve">. Prophesy, </w:t>
      </w:r>
      <w:r w:rsidR="00D3329B" w:rsidRPr="001005B7">
        <w:rPr>
          <w:lang w:eastAsia="en-GB"/>
        </w:rPr>
        <w:t>my man</w:t>
      </w:r>
      <w:r w:rsidR="0047491D" w:rsidRPr="001005B7">
        <w:rPr>
          <w:lang w:eastAsia="en-GB"/>
        </w:rPr>
        <w:t>.</w:t>
      </w:r>
      <w:r w:rsidR="00A142A1" w:rsidRPr="001005B7">
        <w:rPr>
          <w:vertAlign w:val="superscript"/>
          <w:lang w:eastAsia="en-GB"/>
        </w:rPr>
        <w:t xml:space="preserve"> </w:t>
      </w:r>
    </w:p>
    <w:p w14:paraId="2F0EDC05" w14:textId="43445786" w:rsidR="003C7D39" w:rsidRPr="001005B7" w:rsidRDefault="0047491D" w:rsidP="00E10A88">
      <w:pPr>
        <w:rPr>
          <w:lang w:eastAsia="en-GB"/>
        </w:rPr>
      </w:pPr>
      <w:r w:rsidRPr="001005B7">
        <w:rPr>
          <w:vertAlign w:val="superscript"/>
          <w:lang w:eastAsia="en-GB"/>
        </w:rPr>
        <w:t>5</w:t>
      </w:r>
      <w:r w:rsidR="009518B0" w:rsidRPr="001005B7">
        <w:rPr>
          <w:lang w:eastAsia="en-GB"/>
        </w:rPr>
        <w:t>And Y</w:t>
      </w:r>
      <w:r w:rsidR="00C7111B" w:rsidRPr="001005B7">
        <w:rPr>
          <w:lang w:eastAsia="en-GB"/>
        </w:rPr>
        <w:t>ahweh’s spirit fell on me</w:t>
      </w:r>
      <w:r w:rsidR="00B85E12" w:rsidRPr="001005B7">
        <w:rPr>
          <w:lang w:eastAsia="en-GB"/>
        </w:rPr>
        <w:t>. He said to me</w:t>
      </w:r>
      <w:r w:rsidR="00826B30" w:rsidRPr="001005B7">
        <w:rPr>
          <w:lang w:eastAsia="en-GB"/>
        </w:rPr>
        <w:t>: Say, Yahweh has said this</w:t>
      </w:r>
      <w:r w:rsidR="00E10A88" w:rsidRPr="001005B7">
        <w:rPr>
          <w:lang w:eastAsia="en-GB"/>
        </w:rPr>
        <w:t xml:space="preserve">: So you have said, </w:t>
      </w:r>
      <w:r w:rsidR="008115A5">
        <w:rPr>
          <w:lang w:eastAsia="en-GB"/>
        </w:rPr>
        <w:t xml:space="preserve">Israel’s </w:t>
      </w:r>
      <w:r w:rsidR="00E10A88" w:rsidRPr="001005B7">
        <w:rPr>
          <w:lang w:eastAsia="en-GB"/>
        </w:rPr>
        <w:t>househol</w:t>
      </w:r>
      <w:r w:rsidR="008115A5">
        <w:rPr>
          <w:lang w:eastAsia="en-GB"/>
        </w:rPr>
        <w:t>d</w:t>
      </w:r>
      <w:r w:rsidR="00134838" w:rsidRPr="001005B7">
        <w:rPr>
          <w:lang w:eastAsia="en-GB"/>
        </w:rPr>
        <w:t>. What goes up into your spirit</w:t>
      </w:r>
      <w:r w:rsidR="00A0038E" w:rsidRPr="001005B7">
        <w:rPr>
          <w:lang w:eastAsia="en-GB"/>
        </w:rPr>
        <w:t>:</w:t>
      </w:r>
      <w:r w:rsidR="00134838" w:rsidRPr="001005B7">
        <w:rPr>
          <w:lang w:eastAsia="en-GB"/>
        </w:rPr>
        <w:t xml:space="preserve"> I myself </w:t>
      </w:r>
      <w:r w:rsidR="00A0038E" w:rsidRPr="001005B7">
        <w:rPr>
          <w:lang w:eastAsia="en-GB"/>
        </w:rPr>
        <w:t>know it.</w:t>
      </w:r>
      <w:r w:rsidR="001163D9" w:rsidRPr="001005B7">
        <w:rPr>
          <w:lang w:eastAsia="en-GB"/>
        </w:rPr>
        <w:t xml:space="preserve"> </w:t>
      </w:r>
      <w:r w:rsidR="001163D9" w:rsidRPr="001005B7">
        <w:rPr>
          <w:vertAlign w:val="superscript"/>
          <w:lang w:eastAsia="en-GB"/>
        </w:rPr>
        <w:t>6</w:t>
      </w:r>
      <w:r w:rsidR="001163D9" w:rsidRPr="001005B7">
        <w:rPr>
          <w:lang w:eastAsia="en-GB"/>
        </w:rPr>
        <w:t xml:space="preserve">You </w:t>
      </w:r>
      <w:r w:rsidR="003A44D3">
        <w:rPr>
          <w:lang w:eastAsia="en-GB"/>
        </w:rPr>
        <w:t>are making</w:t>
      </w:r>
      <w:r w:rsidR="001163D9" w:rsidRPr="001005B7">
        <w:rPr>
          <w:lang w:eastAsia="en-GB"/>
        </w:rPr>
        <w:t xml:space="preserve"> many your slain in this city</w:t>
      </w:r>
      <w:r w:rsidR="009E2971">
        <w:rPr>
          <w:lang w:eastAsia="en-GB"/>
        </w:rPr>
        <w:t>,</w:t>
      </w:r>
      <w:r w:rsidR="008F3BDE" w:rsidRPr="001005B7">
        <w:rPr>
          <w:lang w:eastAsia="en-GB"/>
        </w:rPr>
        <w:t xml:space="preserve"> fill</w:t>
      </w:r>
      <w:r w:rsidR="008C43D9">
        <w:rPr>
          <w:lang w:eastAsia="en-GB"/>
        </w:rPr>
        <w:t>ing</w:t>
      </w:r>
      <w:r w:rsidR="008F3BDE" w:rsidRPr="001005B7">
        <w:rPr>
          <w:lang w:eastAsia="en-GB"/>
        </w:rPr>
        <w:t xml:space="preserve"> its st</w:t>
      </w:r>
      <w:r w:rsidR="00BD5B8D" w:rsidRPr="001005B7">
        <w:rPr>
          <w:lang w:eastAsia="en-GB"/>
        </w:rPr>
        <w:t>reets with slain.</w:t>
      </w:r>
      <w:r w:rsidR="005C4E63" w:rsidRPr="001005B7">
        <w:rPr>
          <w:lang w:eastAsia="en-GB"/>
        </w:rPr>
        <w:t xml:space="preserve"> </w:t>
      </w:r>
      <w:r w:rsidR="000C1680" w:rsidRPr="001005B7">
        <w:rPr>
          <w:vertAlign w:val="superscript"/>
          <w:lang w:eastAsia="en-GB"/>
        </w:rPr>
        <w:t>7</w:t>
      </w:r>
      <w:r w:rsidR="005C4E63" w:rsidRPr="001005B7">
        <w:rPr>
          <w:lang w:eastAsia="en-GB"/>
        </w:rPr>
        <w:t>Therefore</w:t>
      </w:r>
      <w:r w:rsidR="000C1680" w:rsidRPr="001005B7">
        <w:rPr>
          <w:lang w:eastAsia="en-GB"/>
        </w:rPr>
        <w:t xml:space="preserve"> the Lord Yahweh has said this. </w:t>
      </w:r>
      <w:r w:rsidR="00633401" w:rsidRPr="001005B7">
        <w:rPr>
          <w:lang w:eastAsia="en-GB"/>
        </w:rPr>
        <w:t xml:space="preserve">Your slain that you </w:t>
      </w:r>
      <w:r w:rsidR="008C43D9">
        <w:rPr>
          <w:lang w:eastAsia="en-GB"/>
        </w:rPr>
        <w:t>are</w:t>
      </w:r>
      <w:r w:rsidR="00633401" w:rsidRPr="001005B7">
        <w:rPr>
          <w:lang w:eastAsia="en-GB"/>
        </w:rPr>
        <w:t xml:space="preserve"> p</w:t>
      </w:r>
      <w:r w:rsidR="00345926" w:rsidRPr="001005B7">
        <w:rPr>
          <w:lang w:eastAsia="en-GB"/>
        </w:rPr>
        <w:t>lac</w:t>
      </w:r>
      <w:r w:rsidR="008C43D9">
        <w:rPr>
          <w:lang w:eastAsia="en-GB"/>
        </w:rPr>
        <w:t>ing</w:t>
      </w:r>
      <w:r w:rsidR="00633401" w:rsidRPr="001005B7">
        <w:rPr>
          <w:lang w:eastAsia="en-GB"/>
        </w:rPr>
        <w:t xml:space="preserve"> inside it</w:t>
      </w:r>
      <w:r w:rsidR="0097150E" w:rsidRPr="001005B7">
        <w:rPr>
          <w:lang w:eastAsia="en-GB"/>
        </w:rPr>
        <w:t>, they are the flesh</w:t>
      </w:r>
      <w:r w:rsidR="00560EF1" w:rsidRPr="001005B7">
        <w:rPr>
          <w:lang w:eastAsia="en-GB"/>
        </w:rPr>
        <w:t>, and it is the pot</w:t>
      </w:r>
      <w:r w:rsidR="001D015A">
        <w:rPr>
          <w:lang w:eastAsia="en-GB"/>
        </w:rPr>
        <w:t xml:space="preserve">, whereas </w:t>
      </w:r>
      <w:r w:rsidR="0010015E" w:rsidRPr="001005B7">
        <w:rPr>
          <w:lang w:eastAsia="en-GB"/>
        </w:rPr>
        <w:t xml:space="preserve">someone </w:t>
      </w:r>
      <w:r w:rsidR="00733FA1" w:rsidRPr="001005B7">
        <w:rPr>
          <w:lang w:eastAsia="en-GB"/>
        </w:rPr>
        <w:t xml:space="preserve">is </w:t>
      </w:r>
      <w:r w:rsidR="0078188E" w:rsidRPr="001005B7">
        <w:rPr>
          <w:lang w:eastAsia="en-GB"/>
        </w:rPr>
        <w:t>t</w:t>
      </w:r>
      <w:r w:rsidR="00733FA1" w:rsidRPr="001005B7">
        <w:rPr>
          <w:lang w:eastAsia="en-GB"/>
        </w:rPr>
        <w:t>aking</w:t>
      </w:r>
      <w:r w:rsidR="00B50F75" w:rsidRPr="001005B7">
        <w:rPr>
          <w:lang w:eastAsia="en-GB"/>
        </w:rPr>
        <w:t xml:space="preserve"> you</w:t>
      </w:r>
      <w:r w:rsidR="0078188E" w:rsidRPr="001005B7">
        <w:rPr>
          <w:lang w:eastAsia="en-GB"/>
        </w:rPr>
        <w:t xml:space="preserve"> out </w:t>
      </w:r>
      <w:r w:rsidR="00C8190B" w:rsidRPr="001005B7">
        <w:rPr>
          <w:lang w:eastAsia="en-GB"/>
        </w:rPr>
        <w:t>from inside</w:t>
      </w:r>
      <w:r w:rsidR="0078188E" w:rsidRPr="001005B7">
        <w:rPr>
          <w:lang w:eastAsia="en-GB"/>
        </w:rPr>
        <w:t xml:space="preserve"> it.</w:t>
      </w:r>
      <w:r w:rsidR="00C8190B" w:rsidRPr="001005B7">
        <w:rPr>
          <w:lang w:eastAsia="en-GB"/>
        </w:rPr>
        <w:t xml:space="preserve"> </w:t>
      </w:r>
      <w:r w:rsidR="00C8190B" w:rsidRPr="001005B7">
        <w:rPr>
          <w:vertAlign w:val="superscript"/>
          <w:lang w:eastAsia="en-GB"/>
        </w:rPr>
        <w:t>8</w:t>
      </w:r>
      <w:r w:rsidR="00CA7937">
        <w:rPr>
          <w:lang w:eastAsia="en-GB"/>
        </w:rPr>
        <w:t>In that</w:t>
      </w:r>
      <w:r w:rsidR="0072277E">
        <w:rPr>
          <w:lang w:eastAsia="en-GB"/>
        </w:rPr>
        <w:t xml:space="preserve"> you have been afraid of t</w:t>
      </w:r>
      <w:r w:rsidR="00CD02EF" w:rsidRPr="001005B7">
        <w:rPr>
          <w:lang w:eastAsia="en-GB"/>
        </w:rPr>
        <w:t xml:space="preserve">he </w:t>
      </w:r>
      <w:r w:rsidR="008D5ECB" w:rsidRPr="001005B7">
        <w:rPr>
          <w:lang w:eastAsia="en-GB"/>
        </w:rPr>
        <w:t>s</w:t>
      </w:r>
      <w:r w:rsidR="00CD02EF" w:rsidRPr="001005B7">
        <w:rPr>
          <w:lang w:eastAsia="en-GB"/>
        </w:rPr>
        <w:t xml:space="preserve">word, the sword I </w:t>
      </w:r>
      <w:r w:rsidR="006E15B7" w:rsidRPr="001005B7">
        <w:rPr>
          <w:lang w:eastAsia="en-GB"/>
        </w:rPr>
        <w:t>will make come against you (</w:t>
      </w:r>
      <w:r w:rsidR="001E464F" w:rsidRPr="001005B7">
        <w:rPr>
          <w:lang w:eastAsia="en-GB"/>
        </w:rPr>
        <w:t xml:space="preserve">an affirmation of </w:t>
      </w:r>
      <w:r w:rsidR="006E15B7" w:rsidRPr="001005B7">
        <w:rPr>
          <w:lang w:eastAsia="en-GB"/>
        </w:rPr>
        <w:t xml:space="preserve">the Lord Yahweh). </w:t>
      </w:r>
      <w:r w:rsidR="00202EB3" w:rsidRPr="001005B7">
        <w:rPr>
          <w:vertAlign w:val="superscript"/>
          <w:lang w:eastAsia="en-GB"/>
        </w:rPr>
        <w:t>9</w:t>
      </w:r>
      <w:r w:rsidR="00202EB3" w:rsidRPr="001005B7">
        <w:rPr>
          <w:lang w:eastAsia="en-GB"/>
        </w:rPr>
        <w:t xml:space="preserve">I will take you out </w:t>
      </w:r>
      <w:r w:rsidR="002D5422" w:rsidRPr="001005B7">
        <w:rPr>
          <w:lang w:eastAsia="en-GB"/>
        </w:rPr>
        <w:t xml:space="preserve">from inside it and put you into the hand of </w:t>
      </w:r>
      <w:r w:rsidR="00327CF9" w:rsidRPr="001005B7">
        <w:rPr>
          <w:lang w:eastAsia="en-GB"/>
        </w:rPr>
        <w:t>foreign</w:t>
      </w:r>
      <w:r w:rsidR="002D5422" w:rsidRPr="001005B7">
        <w:rPr>
          <w:lang w:eastAsia="en-GB"/>
        </w:rPr>
        <w:t>ers</w:t>
      </w:r>
      <w:r w:rsidR="004C3AB6" w:rsidRPr="001005B7">
        <w:rPr>
          <w:lang w:eastAsia="en-GB"/>
        </w:rPr>
        <w:t xml:space="preserve"> and</w:t>
      </w:r>
      <w:r w:rsidR="003F69E4" w:rsidRPr="001005B7">
        <w:rPr>
          <w:lang w:eastAsia="en-GB"/>
        </w:rPr>
        <w:t xml:space="preserve"> </w:t>
      </w:r>
      <w:r w:rsidR="008804F2" w:rsidRPr="001005B7">
        <w:rPr>
          <w:lang w:eastAsia="en-GB"/>
        </w:rPr>
        <w:t>act on</w:t>
      </w:r>
      <w:r w:rsidR="003F69E4" w:rsidRPr="001005B7">
        <w:rPr>
          <w:lang w:eastAsia="en-GB"/>
        </w:rPr>
        <w:t xml:space="preserve"> </w:t>
      </w:r>
      <w:r w:rsidR="00262284" w:rsidRPr="001005B7">
        <w:rPr>
          <w:lang w:eastAsia="en-GB"/>
        </w:rPr>
        <w:t>rulings</w:t>
      </w:r>
      <w:r w:rsidR="003F69E4" w:rsidRPr="001005B7">
        <w:rPr>
          <w:lang w:eastAsia="en-GB"/>
        </w:rPr>
        <w:t xml:space="preserve"> against you.</w:t>
      </w:r>
      <w:r w:rsidR="00621B9E" w:rsidRPr="001005B7">
        <w:rPr>
          <w:lang w:eastAsia="en-GB"/>
        </w:rPr>
        <w:t xml:space="preserve"> </w:t>
      </w:r>
      <w:r w:rsidR="00621B9E" w:rsidRPr="001005B7">
        <w:rPr>
          <w:vertAlign w:val="superscript"/>
          <w:lang w:eastAsia="en-GB"/>
        </w:rPr>
        <w:t>10</w:t>
      </w:r>
      <w:r w:rsidR="005B66D4">
        <w:rPr>
          <w:lang w:eastAsia="en-GB"/>
        </w:rPr>
        <w:t xml:space="preserve">As you fall by </w:t>
      </w:r>
      <w:r w:rsidR="00621B9E" w:rsidRPr="001005B7">
        <w:rPr>
          <w:lang w:eastAsia="en-GB"/>
        </w:rPr>
        <w:t xml:space="preserve">the sword </w:t>
      </w:r>
      <w:r w:rsidR="005364C0" w:rsidRPr="001005B7">
        <w:rPr>
          <w:lang w:eastAsia="en-GB"/>
        </w:rPr>
        <w:t>on</w:t>
      </w:r>
      <w:r w:rsidR="0078048E" w:rsidRPr="001005B7">
        <w:rPr>
          <w:lang w:eastAsia="en-GB"/>
        </w:rPr>
        <w:t xml:space="preserve"> Israel’s </w:t>
      </w:r>
      <w:r w:rsidR="005364C0" w:rsidRPr="001005B7">
        <w:rPr>
          <w:lang w:eastAsia="en-GB"/>
        </w:rPr>
        <w:t>territor</w:t>
      </w:r>
      <w:r w:rsidR="00EC6B44" w:rsidRPr="001005B7">
        <w:rPr>
          <w:lang w:eastAsia="en-GB"/>
        </w:rPr>
        <w:t>y</w:t>
      </w:r>
      <w:r w:rsidR="0064374D">
        <w:rPr>
          <w:lang w:eastAsia="en-GB"/>
        </w:rPr>
        <w:t>,</w:t>
      </w:r>
      <w:r w:rsidR="0031624B" w:rsidRPr="001005B7">
        <w:rPr>
          <w:rStyle w:val="FootnoteReference"/>
          <w:lang w:eastAsia="en-GB"/>
        </w:rPr>
        <w:footnoteReference w:id="272"/>
      </w:r>
      <w:r w:rsidR="0064374D">
        <w:rPr>
          <w:lang w:eastAsia="en-GB"/>
        </w:rPr>
        <w:t xml:space="preserve"> </w:t>
      </w:r>
      <w:r w:rsidR="0078048E" w:rsidRPr="001005B7">
        <w:rPr>
          <w:lang w:eastAsia="en-GB"/>
        </w:rPr>
        <w:t xml:space="preserve">I will </w:t>
      </w:r>
      <w:r w:rsidR="00262284" w:rsidRPr="001005B7">
        <w:rPr>
          <w:lang w:eastAsia="en-GB"/>
        </w:rPr>
        <w:t>rule</w:t>
      </w:r>
      <w:r w:rsidR="00160996" w:rsidRPr="001005B7">
        <w:rPr>
          <w:lang w:eastAsia="en-GB"/>
        </w:rPr>
        <w:t xml:space="preserve"> </w:t>
      </w:r>
      <w:r w:rsidR="00754BD8" w:rsidRPr="001005B7">
        <w:rPr>
          <w:lang w:eastAsia="en-GB"/>
        </w:rPr>
        <w:t xml:space="preserve">for </w:t>
      </w:r>
      <w:r w:rsidR="00160996" w:rsidRPr="001005B7">
        <w:rPr>
          <w:lang w:eastAsia="en-GB"/>
        </w:rPr>
        <w:t xml:space="preserve">you. </w:t>
      </w:r>
      <w:r w:rsidR="000F6D72" w:rsidRPr="001005B7">
        <w:rPr>
          <w:lang w:eastAsia="en-GB"/>
        </w:rPr>
        <w:t xml:space="preserve">And you will acknowledge that </w:t>
      </w:r>
      <w:r w:rsidR="00FB59EF" w:rsidRPr="001005B7">
        <w:rPr>
          <w:lang w:eastAsia="en-GB"/>
        </w:rPr>
        <w:t xml:space="preserve">I am Yahweh. </w:t>
      </w:r>
      <w:r w:rsidR="00160996" w:rsidRPr="001005B7">
        <w:rPr>
          <w:vertAlign w:val="superscript"/>
          <w:lang w:eastAsia="en-GB"/>
        </w:rPr>
        <w:t>11</w:t>
      </w:r>
      <w:r w:rsidR="000F6D72" w:rsidRPr="001005B7">
        <w:rPr>
          <w:lang w:eastAsia="en-GB"/>
        </w:rPr>
        <w:t>I</w:t>
      </w:r>
      <w:r w:rsidR="007E7AEC">
        <w:rPr>
          <w:lang w:eastAsia="en-GB"/>
        </w:rPr>
        <w:t>n that it</w:t>
      </w:r>
      <w:r w:rsidR="000F6D72" w:rsidRPr="001005B7">
        <w:rPr>
          <w:lang w:eastAsia="en-GB"/>
        </w:rPr>
        <w:t xml:space="preserve"> will not be</w:t>
      </w:r>
      <w:r w:rsidR="00FB59EF" w:rsidRPr="001005B7">
        <w:rPr>
          <w:lang w:eastAsia="en-GB"/>
        </w:rPr>
        <w:t xml:space="preserve"> a pot for you</w:t>
      </w:r>
      <w:r w:rsidR="00BB2A5E" w:rsidRPr="001005B7">
        <w:rPr>
          <w:lang w:eastAsia="en-GB"/>
        </w:rPr>
        <w:t xml:space="preserve"> or</w:t>
      </w:r>
      <w:r w:rsidR="00BD7825" w:rsidRPr="001005B7">
        <w:rPr>
          <w:lang w:eastAsia="en-GB"/>
        </w:rPr>
        <w:t xml:space="preserve"> </w:t>
      </w:r>
      <w:r w:rsidR="00BB2A5E" w:rsidRPr="001005B7">
        <w:rPr>
          <w:lang w:eastAsia="en-GB"/>
        </w:rPr>
        <w:t xml:space="preserve">you </w:t>
      </w:r>
      <w:r w:rsidR="00BD7825" w:rsidRPr="001005B7">
        <w:rPr>
          <w:lang w:eastAsia="en-GB"/>
        </w:rPr>
        <w:t xml:space="preserve">be </w:t>
      </w:r>
      <w:r w:rsidR="00BB2A5E" w:rsidRPr="001005B7">
        <w:rPr>
          <w:lang w:eastAsia="en-GB"/>
        </w:rPr>
        <w:t>the meat in it</w:t>
      </w:r>
      <w:r w:rsidR="00DB36B7">
        <w:rPr>
          <w:lang w:eastAsia="en-GB"/>
        </w:rPr>
        <w:t>, a</w:t>
      </w:r>
      <w:r w:rsidR="004C6A1B" w:rsidRPr="001005B7">
        <w:rPr>
          <w:lang w:eastAsia="en-GB"/>
        </w:rPr>
        <w:t>t</w:t>
      </w:r>
      <w:r w:rsidR="00627492" w:rsidRPr="001005B7">
        <w:rPr>
          <w:lang w:eastAsia="en-GB"/>
        </w:rPr>
        <w:t xml:space="preserve"> Israel’s </w:t>
      </w:r>
      <w:r w:rsidR="00BF4B39" w:rsidRPr="001005B7">
        <w:rPr>
          <w:lang w:eastAsia="en-GB"/>
        </w:rPr>
        <w:t>t</w:t>
      </w:r>
      <w:r w:rsidR="009C36CF" w:rsidRPr="001005B7">
        <w:rPr>
          <w:lang w:eastAsia="en-GB"/>
        </w:rPr>
        <w:t>e</w:t>
      </w:r>
      <w:r w:rsidR="00BF4B39" w:rsidRPr="001005B7">
        <w:rPr>
          <w:lang w:eastAsia="en-GB"/>
        </w:rPr>
        <w:t>rritory</w:t>
      </w:r>
      <w:r w:rsidR="00627492" w:rsidRPr="001005B7">
        <w:rPr>
          <w:lang w:eastAsia="en-GB"/>
        </w:rPr>
        <w:t xml:space="preserve"> I will</w:t>
      </w:r>
      <w:r w:rsidR="00262284" w:rsidRPr="001005B7">
        <w:rPr>
          <w:lang w:eastAsia="en-GB"/>
        </w:rPr>
        <w:t xml:space="preserve"> rule</w:t>
      </w:r>
      <w:r w:rsidR="008A50C4" w:rsidRPr="001005B7">
        <w:rPr>
          <w:lang w:eastAsia="en-GB"/>
        </w:rPr>
        <w:t xml:space="preserve"> for</w:t>
      </w:r>
      <w:r w:rsidR="00262284" w:rsidRPr="001005B7">
        <w:rPr>
          <w:lang w:eastAsia="en-GB"/>
        </w:rPr>
        <w:t xml:space="preserve"> </w:t>
      </w:r>
      <w:r w:rsidR="00627492" w:rsidRPr="001005B7">
        <w:rPr>
          <w:lang w:eastAsia="en-GB"/>
        </w:rPr>
        <w:t>you.</w:t>
      </w:r>
      <w:r w:rsidR="00F80DBA" w:rsidRPr="001005B7">
        <w:rPr>
          <w:lang w:eastAsia="en-GB"/>
        </w:rPr>
        <w:t xml:space="preserve"> </w:t>
      </w:r>
      <w:r w:rsidR="00F80DBA" w:rsidRPr="001005B7">
        <w:rPr>
          <w:vertAlign w:val="superscript"/>
          <w:lang w:eastAsia="en-GB"/>
        </w:rPr>
        <w:t>12</w:t>
      </w:r>
      <w:r w:rsidR="00F80DBA" w:rsidRPr="001005B7">
        <w:rPr>
          <w:lang w:eastAsia="en-GB"/>
        </w:rPr>
        <w:t xml:space="preserve">And you will </w:t>
      </w:r>
      <w:r w:rsidR="00715B23" w:rsidRPr="001005B7">
        <w:rPr>
          <w:lang w:eastAsia="en-GB"/>
        </w:rPr>
        <w:t>acknowledge that I am Yahweh</w:t>
      </w:r>
      <w:r w:rsidR="0038007C" w:rsidRPr="001005B7">
        <w:rPr>
          <w:lang w:eastAsia="en-GB"/>
        </w:rPr>
        <w:t xml:space="preserve">, by whose laws you have not walked </w:t>
      </w:r>
      <w:r w:rsidR="001D3BBB" w:rsidRPr="001005B7">
        <w:rPr>
          <w:lang w:eastAsia="en-GB"/>
        </w:rPr>
        <w:t>and on whose rulings you have not acted</w:t>
      </w:r>
      <w:r w:rsidR="00C82F12" w:rsidRPr="001005B7">
        <w:rPr>
          <w:lang w:eastAsia="en-GB"/>
        </w:rPr>
        <w:t>. I</w:t>
      </w:r>
      <w:r w:rsidR="00B83CBE" w:rsidRPr="001005B7">
        <w:rPr>
          <w:lang w:eastAsia="en-GB"/>
        </w:rPr>
        <w:t>n accordance with the rulings of the nations</w:t>
      </w:r>
      <w:r w:rsidR="00AD7621" w:rsidRPr="001005B7">
        <w:rPr>
          <w:lang w:eastAsia="en-GB"/>
        </w:rPr>
        <w:t>,</w:t>
      </w:r>
      <w:r w:rsidR="00AB648F" w:rsidRPr="001005B7">
        <w:rPr>
          <w:lang w:eastAsia="en-GB"/>
        </w:rPr>
        <w:t xml:space="preserve"> around you</w:t>
      </w:r>
      <w:r w:rsidR="00C66C12" w:rsidRPr="001005B7">
        <w:rPr>
          <w:lang w:eastAsia="en-GB"/>
        </w:rPr>
        <w:t>,</w:t>
      </w:r>
      <w:r w:rsidR="00AB648F" w:rsidRPr="001005B7">
        <w:rPr>
          <w:lang w:eastAsia="en-GB"/>
        </w:rPr>
        <w:t xml:space="preserve"> you have acted.</w:t>
      </w:r>
      <w:r w:rsidR="00994343" w:rsidRPr="001005B7">
        <w:rPr>
          <w:lang w:eastAsia="en-GB"/>
        </w:rPr>
        <w:t xml:space="preserve"> </w:t>
      </w:r>
    </w:p>
    <w:p w14:paraId="29CA64B2" w14:textId="4F1ED159" w:rsidR="00191435" w:rsidRPr="001005B7" w:rsidRDefault="00191435" w:rsidP="00264540">
      <w:pPr>
        <w:rPr>
          <w:lang w:eastAsia="en-GB"/>
        </w:rPr>
      </w:pPr>
      <w:r w:rsidRPr="001005B7">
        <w:rPr>
          <w:vertAlign w:val="superscript"/>
          <w:lang w:eastAsia="en-GB"/>
        </w:rPr>
        <w:t>13</w:t>
      </w:r>
      <w:r w:rsidR="00630918" w:rsidRPr="001005B7">
        <w:rPr>
          <w:lang w:eastAsia="en-GB"/>
        </w:rPr>
        <w:t>T</w:t>
      </w:r>
      <w:r w:rsidRPr="001005B7">
        <w:rPr>
          <w:lang w:eastAsia="en-GB"/>
        </w:rPr>
        <w:t xml:space="preserve">hen, </w:t>
      </w:r>
      <w:r w:rsidR="007D2520" w:rsidRPr="001005B7">
        <w:rPr>
          <w:lang w:eastAsia="en-GB"/>
        </w:rPr>
        <w:t>while</w:t>
      </w:r>
      <w:r w:rsidRPr="001005B7">
        <w:rPr>
          <w:lang w:eastAsia="en-GB"/>
        </w:rPr>
        <w:t xml:space="preserve"> I prophesied</w:t>
      </w:r>
      <w:r w:rsidR="00152D32" w:rsidRPr="001005B7">
        <w:rPr>
          <w:lang w:eastAsia="en-GB"/>
        </w:rPr>
        <w:t xml:space="preserve">, </w:t>
      </w:r>
      <w:proofErr w:type="spellStart"/>
      <w:r w:rsidR="00152D32" w:rsidRPr="001005B7">
        <w:rPr>
          <w:lang w:eastAsia="en-GB"/>
        </w:rPr>
        <w:t>Pelatyah</w:t>
      </w:r>
      <w:r w:rsidR="00B70A60" w:rsidRPr="001005B7">
        <w:rPr>
          <w:lang w:eastAsia="en-GB"/>
        </w:rPr>
        <w:t>u</w:t>
      </w:r>
      <w:proofErr w:type="spellEnd"/>
      <w:r w:rsidR="00B70A60" w:rsidRPr="001005B7">
        <w:rPr>
          <w:lang w:eastAsia="en-GB"/>
        </w:rPr>
        <w:t xml:space="preserve"> ben </w:t>
      </w:r>
      <w:proofErr w:type="spellStart"/>
      <w:r w:rsidR="00B70A60" w:rsidRPr="001005B7">
        <w:rPr>
          <w:lang w:eastAsia="en-GB"/>
        </w:rPr>
        <w:t>Ben</w:t>
      </w:r>
      <w:r w:rsidR="00523052" w:rsidRPr="001005B7">
        <w:rPr>
          <w:lang w:eastAsia="en-GB"/>
        </w:rPr>
        <w:t>a</w:t>
      </w:r>
      <w:r w:rsidR="00B70A60" w:rsidRPr="001005B7">
        <w:rPr>
          <w:lang w:eastAsia="en-GB"/>
        </w:rPr>
        <w:t>yah</w:t>
      </w:r>
      <w:r w:rsidR="008A7F7D">
        <w:rPr>
          <w:lang w:eastAsia="en-GB"/>
        </w:rPr>
        <w:t>u</w:t>
      </w:r>
      <w:proofErr w:type="spellEnd"/>
      <w:r w:rsidR="008A7F7D">
        <w:rPr>
          <w:lang w:eastAsia="en-GB"/>
        </w:rPr>
        <w:t xml:space="preserve">—he </w:t>
      </w:r>
      <w:r w:rsidR="00523052" w:rsidRPr="001005B7">
        <w:rPr>
          <w:lang w:eastAsia="en-GB"/>
        </w:rPr>
        <w:t>died. I fell on my face</w:t>
      </w:r>
      <w:r w:rsidR="004628BD" w:rsidRPr="001005B7">
        <w:rPr>
          <w:lang w:eastAsia="en-GB"/>
        </w:rPr>
        <w:t xml:space="preserve"> and</w:t>
      </w:r>
      <w:r w:rsidR="00DC770F" w:rsidRPr="001005B7">
        <w:rPr>
          <w:lang w:eastAsia="en-GB"/>
        </w:rPr>
        <w:t xml:space="preserve"> cried out in a loud voice</w:t>
      </w:r>
      <w:r w:rsidR="00264540" w:rsidRPr="001005B7">
        <w:rPr>
          <w:lang w:eastAsia="en-GB"/>
        </w:rPr>
        <w:t>:</w:t>
      </w:r>
      <w:r w:rsidR="00A72D8C" w:rsidRPr="001005B7">
        <w:rPr>
          <w:lang w:eastAsia="en-GB"/>
        </w:rPr>
        <w:t xml:space="preserve"> </w:t>
      </w:r>
      <w:proofErr w:type="spellStart"/>
      <w:r w:rsidR="00A72D8C" w:rsidRPr="001005B7">
        <w:rPr>
          <w:lang w:eastAsia="en-GB"/>
        </w:rPr>
        <w:t>A</w:t>
      </w:r>
      <w:r w:rsidR="00722EC8" w:rsidRPr="001005B7">
        <w:rPr>
          <w:lang w:eastAsia="en-GB"/>
        </w:rPr>
        <w:t>a</w:t>
      </w:r>
      <w:r w:rsidR="00A72D8C" w:rsidRPr="001005B7">
        <w:rPr>
          <w:lang w:eastAsia="en-GB"/>
        </w:rPr>
        <w:t>gh</w:t>
      </w:r>
      <w:proofErr w:type="spellEnd"/>
      <w:r w:rsidR="00A72D8C" w:rsidRPr="001005B7">
        <w:rPr>
          <w:lang w:eastAsia="en-GB"/>
        </w:rPr>
        <w:t>, Lord Yahweh</w:t>
      </w:r>
      <w:r w:rsidR="004F0324" w:rsidRPr="001005B7">
        <w:rPr>
          <w:lang w:eastAsia="en-GB"/>
        </w:rPr>
        <w:t xml:space="preserve">, </w:t>
      </w:r>
      <w:r w:rsidR="008E26FA">
        <w:rPr>
          <w:lang w:eastAsia="en-GB"/>
        </w:rPr>
        <w:t xml:space="preserve">[it’s] a complete end </w:t>
      </w:r>
      <w:r w:rsidR="004F0324" w:rsidRPr="001005B7">
        <w:rPr>
          <w:lang w:eastAsia="en-GB"/>
        </w:rPr>
        <w:t>you</w:t>
      </w:r>
      <w:r w:rsidR="00264540" w:rsidRPr="001005B7">
        <w:rPr>
          <w:lang w:eastAsia="en-GB"/>
        </w:rPr>
        <w:t>’</w:t>
      </w:r>
      <w:r w:rsidR="004F0324" w:rsidRPr="001005B7">
        <w:rPr>
          <w:lang w:eastAsia="en-GB"/>
        </w:rPr>
        <w:t>re making of</w:t>
      </w:r>
      <w:r w:rsidR="008A72E4" w:rsidRPr="001005B7">
        <w:rPr>
          <w:rStyle w:val="FootnoteReference"/>
          <w:lang w:eastAsia="en-GB"/>
        </w:rPr>
        <w:footnoteReference w:id="273"/>
      </w:r>
      <w:r w:rsidR="004F0324" w:rsidRPr="001005B7">
        <w:rPr>
          <w:lang w:eastAsia="en-GB"/>
        </w:rPr>
        <w:t xml:space="preserve"> </w:t>
      </w:r>
      <w:r w:rsidR="00994343" w:rsidRPr="001005B7">
        <w:rPr>
          <w:lang w:eastAsia="en-GB"/>
        </w:rPr>
        <w:t>what remains of Israel!</w:t>
      </w:r>
    </w:p>
    <w:p w14:paraId="5C57576C" w14:textId="684B2946" w:rsidR="00183E89" w:rsidRPr="001005B7" w:rsidRDefault="00CD6F95" w:rsidP="00E10A88">
      <w:pPr>
        <w:rPr>
          <w:lang w:eastAsia="en-GB"/>
        </w:rPr>
      </w:pPr>
      <w:r w:rsidRPr="001005B7">
        <w:rPr>
          <w:vertAlign w:val="superscript"/>
          <w:lang w:eastAsia="en-GB"/>
        </w:rPr>
        <w:t>14</w:t>
      </w:r>
      <w:r w:rsidRPr="001005B7">
        <w:rPr>
          <w:lang w:eastAsia="en-GB"/>
        </w:rPr>
        <w:t xml:space="preserve">But </w:t>
      </w:r>
      <w:r w:rsidR="00536112" w:rsidRPr="001005B7">
        <w:rPr>
          <w:lang w:eastAsia="en-GB"/>
        </w:rPr>
        <w:t>Yahweh’s message came to me:</w:t>
      </w:r>
      <w:r w:rsidR="00BF2858" w:rsidRPr="001005B7">
        <w:rPr>
          <w:lang w:eastAsia="en-GB"/>
        </w:rPr>
        <w:t xml:space="preserve"> </w:t>
      </w:r>
      <w:r w:rsidR="00BF2858" w:rsidRPr="001005B7">
        <w:rPr>
          <w:vertAlign w:val="superscript"/>
          <w:lang w:eastAsia="en-GB"/>
        </w:rPr>
        <w:t>15</w:t>
      </w:r>
      <w:r w:rsidR="00D3329B" w:rsidRPr="001005B7">
        <w:rPr>
          <w:lang w:eastAsia="en-GB"/>
        </w:rPr>
        <w:t>My man</w:t>
      </w:r>
      <w:r w:rsidR="00BF2858" w:rsidRPr="001005B7">
        <w:rPr>
          <w:lang w:eastAsia="en-GB"/>
        </w:rPr>
        <w:t xml:space="preserve">, </w:t>
      </w:r>
      <w:r w:rsidR="00626A89" w:rsidRPr="001005B7">
        <w:rPr>
          <w:lang w:eastAsia="en-GB"/>
        </w:rPr>
        <w:t xml:space="preserve">all </w:t>
      </w:r>
      <w:r w:rsidR="00796D32" w:rsidRPr="001005B7">
        <w:rPr>
          <w:lang w:eastAsia="en-GB"/>
        </w:rPr>
        <w:t>your</w:t>
      </w:r>
      <w:r w:rsidR="001200C0" w:rsidRPr="001005B7">
        <w:rPr>
          <w:lang w:eastAsia="en-GB"/>
        </w:rPr>
        <w:t xml:space="preserve"> relatives,</w:t>
      </w:r>
      <w:r w:rsidR="00786699" w:rsidRPr="001005B7">
        <w:rPr>
          <w:rStyle w:val="FootnoteReference"/>
          <w:lang w:eastAsia="en-GB"/>
        </w:rPr>
        <w:footnoteReference w:id="274"/>
      </w:r>
      <w:r w:rsidR="001200C0" w:rsidRPr="001005B7">
        <w:rPr>
          <w:lang w:eastAsia="en-GB"/>
        </w:rPr>
        <w:t xml:space="preserve"> </w:t>
      </w:r>
      <w:r w:rsidR="002E4505" w:rsidRPr="001005B7">
        <w:rPr>
          <w:lang w:eastAsia="en-GB"/>
        </w:rPr>
        <w:t>you</w:t>
      </w:r>
      <w:r w:rsidR="003445A6" w:rsidRPr="001005B7">
        <w:rPr>
          <w:lang w:eastAsia="en-GB"/>
        </w:rPr>
        <w:t>r</w:t>
      </w:r>
      <w:r w:rsidR="002E4505" w:rsidRPr="001005B7">
        <w:rPr>
          <w:lang w:eastAsia="en-GB"/>
        </w:rPr>
        <w:t xml:space="preserve"> restoration</w:t>
      </w:r>
      <w:r w:rsidR="004D7D52" w:rsidRPr="001005B7">
        <w:rPr>
          <w:lang w:eastAsia="en-GB"/>
        </w:rPr>
        <w:t xml:space="preserve"> people</w:t>
      </w:r>
      <w:r w:rsidR="00125F5C" w:rsidRPr="001005B7">
        <w:rPr>
          <w:lang w:eastAsia="en-GB"/>
        </w:rPr>
        <w:t>,</w:t>
      </w:r>
      <w:r w:rsidR="00FE1CEB" w:rsidRPr="001005B7">
        <w:rPr>
          <w:lang w:eastAsia="en-GB"/>
        </w:rPr>
        <w:t xml:space="preserve"> </w:t>
      </w:r>
      <w:r w:rsidR="00125F5C" w:rsidRPr="001005B7">
        <w:rPr>
          <w:lang w:eastAsia="en-GB"/>
        </w:rPr>
        <w:t xml:space="preserve">and </w:t>
      </w:r>
      <w:r w:rsidR="003B5574" w:rsidRPr="001005B7">
        <w:rPr>
          <w:lang w:eastAsia="en-GB"/>
        </w:rPr>
        <w:t>Israel’s</w:t>
      </w:r>
      <w:r w:rsidR="00FE1CEB" w:rsidRPr="001005B7">
        <w:rPr>
          <w:lang w:eastAsia="en-GB"/>
        </w:rPr>
        <w:t xml:space="preserve"> entire household</w:t>
      </w:r>
      <w:r w:rsidR="0058238F" w:rsidRPr="001005B7">
        <w:rPr>
          <w:lang w:eastAsia="en-GB"/>
        </w:rPr>
        <w:t xml:space="preserve"> </w:t>
      </w:r>
      <w:r w:rsidR="00546C61" w:rsidRPr="001005B7">
        <w:rPr>
          <w:lang w:eastAsia="en-GB"/>
        </w:rPr>
        <w:t>, all of it, about whom the people who live in Jerusalem</w:t>
      </w:r>
      <w:r w:rsidR="00E97DDF" w:rsidRPr="001005B7">
        <w:rPr>
          <w:lang w:eastAsia="en-GB"/>
        </w:rPr>
        <w:t xml:space="preserve"> have said, </w:t>
      </w:r>
      <w:r w:rsidR="006B68CD" w:rsidRPr="001005B7">
        <w:rPr>
          <w:lang w:eastAsia="en-GB"/>
        </w:rPr>
        <w:t>Keep far away from Yahweh</w:t>
      </w:r>
      <w:r w:rsidR="0090013D">
        <w:rPr>
          <w:lang w:eastAsia="en-GB"/>
        </w:rPr>
        <w:t xml:space="preserve">, </w:t>
      </w:r>
      <w:r w:rsidR="00EE4E9C">
        <w:rPr>
          <w:lang w:eastAsia="en-GB"/>
        </w:rPr>
        <w:t>in that</w:t>
      </w:r>
      <w:r w:rsidR="0090013D">
        <w:rPr>
          <w:lang w:eastAsia="en-GB"/>
        </w:rPr>
        <w:t xml:space="preserve"> it has been given </w:t>
      </w:r>
      <w:r w:rsidR="003F0CC3" w:rsidRPr="001005B7">
        <w:rPr>
          <w:lang w:eastAsia="en-GB"/>
        </w:rPr>
        <w:t>to us</w:t>
      </w:r>
      <w:r w:rsidR="00475690" w:rsidRPr="001005B7">
        <w:rPr>
          <w:lang w:eastAsia="en-GB"/>
        </w:rPr>
        <w:t>, the country, as a possession</w:t>
      </w:r>
      <w:r w:rsidR="00246166" w:rsidRPr="001005B7">
        <w:rPr>
          <w:lang w:eastAsia="en-GB"/>
        </w:rPr>
        <w:t>:</w:t>
      </w:r>
      <w:r w:rsidR="00E52FBA" w:rsidRPr="001005B7">
        <w:rPr>
          <w:rStyle w:val="FootnoteReference"/>
          <w:lang w:eastAsia="en-GB"/>
        </w:rPr>
        <w:footnoteReference w:id="275"/>
      </w:r>
      <w:r w:rsidR="00BA52B0" w:rsidRPr="001005B7">
        <w:rPr>
          <w:lang w:eastAsia="en-GB"/>
        </w:rPr>
        <w:t xml:space="preserve"> </w:t>
      </w:r>
      <w:r w:rsidR="00EB2B0A" w:rsidRPr="001005B7">
        <w:rPr>
          <w:vertAlign w:val="superscript"/>
          <w:lang w:eastAsia="en-GB"/>
        </w:rPr>
        <w:t>16</w:t>
      </w:r>
      <w:r w:rsidR="00582D7E" w:rsidRPr="001005B7">
        <w:rPr>
          <w:lang w:eastAsia="en-GB"/>
        </w:rPr>
        <w:t>Therefore say</w:t>
      </w:r>
      <w:r w:rsidR="00676C46" w:rsidRPr="001005B7">
        <w:rPr>
          <w:lang w:eastAsia="en-GB"/>
        </w:rPr>
        <w:t>,</w:t>
      </w:r>
      <w:r w:rsidR="00582D7E" w:rsidRPr="001005B7">
        <w:rPr>
          <w:lang w:eastAsia="en-GB"/>
        </w:rPr>
        <w:t xml:space="preserve"> The </w:t>
      </w:r>
      <w:r w:rsidR="00B14478" w:rsidRPr="001005B7">
        <w:rPr>
          <w:lang w:eastAsia="en-GB"/>
        </w:rPr>
        <w:t>L</w:t>
      </w:r>
      <w:r w:rsidR="00582D7E" w:rsidRPr="001005B7">
        <w:rPr>
          <w:lang w:eastAsia="en-GB"/>
        </w:rPr>
        <w:t xml:space="preserve">ord Yahweh has said this. </w:t>
      </w:r>
    </w:p>
    <w:p w14:paraId="2872A211" w14:textId="77777777" w:rsidR="00183E89" w:rsidRPr="001005B7" w:rsidRDefault="00183E89" w:rsidP="00E10A88">
      <w:pPr>
        <w:rPr>
          <w:lang w:eastAsia="en-GB"/>
        </w:rPr>
      </w:pPr>
    </w:p>
    <w:p w14:paraId="4EFF0EC4" w14:textId="21CA5E4A" w:rsidR="00714460" w:rsidRPr="001005B7" w:rsidRDefault="009E4C8A" w:rsidP="00E10A88">
      <w:pPr>
        <w:rPr>
          <w:lang w:eastAsia="en-GB"/>
        </w:rPr>
      </w:pPr>
      <w:r w:rsidRPr="001005B7">
        <w:rPr>
          <w:lang w:eastAsia="en-GB"/>
        </w:rPr>
        <w:t>Because</w:t>
      </w:r>
      <w:r w:rsidR="009D36EF" w:rsidRPr="001005B7">
        <w:rPr>
          <w:rStyle w:val="FootnoteReference"/>
          <w:lang w:eastAsia="en-GB"/>
        </w:rPr>
        <w:footnoteReference w:id="276"/>
      </w:r>
      <w:r w:rsidRPr="001005B7">
        <w:rPr>
          <w:lang w:eastAsia="en-GB"/>
        </w:rPr>
        <w:t xml:space="preserve"> </w:t>
      </w:r>
      <w:r w:rsidR="00B14478" w:rsidRPr="001005B7">
        <w:rPr>
          <w:lang w:eastAsia="en-GB"/>
        </w:rPr>
        <w:t>I h</w:t>
      </w:r>
      <w:r w:rsidR="00EF48BA" w:rsidRPr="001005B7">
        <w:rPr>
          <w:lang w:eastAsia="en-GB"/>
        </w:rPr>
        <w:t>a</w:t>
      </w:r>
      <w:r w:rsidR="00B14478" w:rsidRPr="001005B7">
        <w:rPr>
          <w:lang w:eastAsia="en-GB"/>
        </w:rPr>
        <w:t xml:space="preserve">ve </w:t>
      </w:r>
      <w:r w:rsidR="00EF48BA" w:rsidRPr="001005B7">
        <w:rPr>
          <w:lang w:eastAsia="en-GB"/>
        </w:rPr>
        <w:t>made them go far away</w:t>
      </w:r>
      <w:r w:rsidR="007A53E3" w:rsidRPr="001005B7">
        <w:rPr>
          <w:lang w:eastAsia="en-GB"/>
        </w:rPr>
        <w:t xml:space="preserve"> among the nations, </w:t>
      </w:r>
    </w:p>
    <w:p w14:paraId="076C0987" w14:textId="4246720D" w:rsidR="0008317B" w:rsidRPr="001005B7" w:rsidRDefault="007A53E3" w:rsidP="00714460">
      <w:pPr>
        <w:ind w:left="720"/>
        <w:rPr>
          <w:lang w:eastAsia="en-GB"/>
        </w:rPr>
      </w:pPr>
      <w:r w:rsidRPr="001005B7">
        <w:rPr>
          <w:lang w:eastAsia="en-GB"/>
        </w:rPr>
        <w:t xml:space="preserve">and </w:t>
      </w:r>
      <w:r w:rsidR="00851BA6" w:rsidRPr="001005B7">
        <w:rPr>
          <w:lang w:eastAsia="en-GB"/>
        </w:rPr>
        <w:t xml:space="preserve">because </w:t>
      </w:r>
      <w:r w:rsidRPr="001005B7">
        <w:rPr>
          <w:lang w:eastAsia="en-GB"/>
        </w:rPr>
        <w:t xml:space="preserve">I have scattered them </w:t>
      </w:r>
      <w:r w:rsidR="008920CB" w:rsidRPr="001005B7">
        <w:rPr>
          <w:lang w:eastAsia="en-GB"/>
        </w:rPr>
        <w:t xml:space="preserve">among the peoples, </w:t>
      </w:r>
    </w:p>
    <w:p w14:paraId="2470A32F" w14:textId="49FDA9EB" w:rsidR="0008317B" w:rsidRPr="001005B7" w:rsidRDefault="000169B4" w:rsidP="0008317B">
      <w:pPr>
        <w:ind w:left="720" w:firstLine="0"/>
        <w:rPr>
          <w:lang w:eastAsia="en-GB"/>
        </w:rPr>
      </w:pPr>
      <w:r w:rsidRPr="001005B7">
        <w:rPr>
          <w:lang w:eastAsia="en-GB"/>
        </w:rPr>
        <w:t>B</w:t>
      </w:r>
      <w:r w:rsidR="008920CB" w:rsidRPr="001005B7">
        <w:rPr>
          <w:lang w:eastAsia="en-GB"/>
        </w:rPr>
        <w:t xml:space="preserve">ut I have become for them </w:t>
      </w:r>
      <w:r w:rsidR="00E47100" w:rsidRPr="001005B7">
        <w:rPr>
          <w:lang w:eastAsia="en-GB"/>
        </w:rPr>
        <w:t>a sanctuary for a little while</w:t>
      </w:r>
    </w:p>
    <w:p w14:paraId="439ED8FF" w14:textId="65E59C30" w:rsidR="0008317B" w:rsidRPr="001005B7" w:rsidRDefault="00E47100" w:rsidP="0008317B">
      <w:pPr>
        <w:ind w:left="720"/>
        <w:rPr>
          <w:lang w:eastAsia="en-GB"/>
        </w:rPr>
      </w:pPr>
      <w:r w:rsidRPr="001005B7">
        <w:rPr>
          <w:lang w:eastAsia="en-GB"/>
        </w:rPr>
        <w:t xml:space="preserve">among the </w:t>
      </w:r>
      <w:r w:rsidR="00831077" w:rsidRPr="001005B7">
        <w:rPr>
          <w:lang w:eastAsia="en-GB"/>
        </w:rPr>
        <w:t>countries</w:t>
      </w:r>
      <w:r w:rsidRPr="001005B7">
        <w:rPr>
          <w:lang w:eastAsia="en-GB"/>
        </w:rPr>
        <w:t xml:space="preserve"> where I have made them come</w:t>
      </w:r>
      <w:r w:rsidR="00FB7040" w:rsidRPr="001005B7">
        <w:rPr>
          <w:lang w:eastAsia="en-GB"/>
        </w:rPr>
        <w:t>:</w:t>
      </w:r>
      <w:r w:rsidR="00B0036A" w:rsidRPr="001005B7">
        <w:rPr>
          <w:lang w:eastAsia="en-GB"/>
        </w:rPr>
        <w:t xml:space="preserve"> </w:t>
      </w:r>
    </w:p>
    <w:p w14:paraId="14305988" w14:textId="77777777" w:rsidR="0008317B" w:rsidRPr="001005B7" w:rsidRDefault="0008317B" w:rsidP="0008317B">
      <w:pPr>
        <w:ind w:firstLine="0"/>
        <w:rPr>
          <w:lang w:eastAsia="en-GB"/>
        </w:rPr>
      </w:pPr>
    </w:p>
    <w:p w14:paraId="4E4A6C61" w14:textId="1C52E6FD" w:rsidR="00F95312" w:rsidRPr="001005B7" w:rsidRDefault="00981246" w:rsidP="0008317B">
      <w:pPr>
        <w:ind w:firstLine="0"/>
        <w:rPr>
          <w:lang w:eastAsia="en-GB"/>
        </w:rPr>
      </w:pPr>
      <w:r w:rsidRPr="001005B7">
        <w:rPr>
          <w:vertAlign w:val="superscript"/>
          <w:lang w:eastAsia="en-GB"/>
        </w:rPr>
        <w:t>17</w:t>
      </w:r>
      <w:r w:rsidRPr="001005B7">
        <w:rPr>
          <w:lang w:eastAsia="en-GB"/>
        </w:rPr>
        <w:t>Therefore say</w:t>
      </w:r>
      <w:r w:rsidR="00F31A85" w:rsidRPr="001005B7">
        <w:rPr>
          <w:lang w:eastAsia="en-GB"/>
        </w:rPr>
        <w:t>,</w:t>
      </w:r>
      <w:r w:rsidRPr="001005B7">
        <w:rPr>
          <w:lang w:eastAsia="en-GB"/>
        </w:rPr>
        <w:t xml:space="preserve"> The Lord Yahweh has said this. </w:t>
      </w:r>
    </w:p>
    <w:p w14:paraId="04582300" w14:textId="77777777" w:rsidR="00F95312" w:rsidRPr="001005B7" w:rsidRDefault="00F95312" w:rsidP="00E10A88">
      <w:pPr>
        <w:rPr>
          <w:lang w:eastAsia="en-GB"/>
        </w:rPr>
      </w:pPr>
    </w:p>
    <w:p w14:paraId="4F8B703B" w14:textId="7E4D561F" w:rsidR="001335A9" w:rsidRPr="001005B7" w:rsidRDefault="00885B1D" w:rsidP="00E10A88">
      <w:pPr>
        <w:rPr>
          <w:lang w:eastAsia="en-GB"/>
        </w:rPr>
      </w:pPr>
      <w:r w:rsidRPr="001005B7">
        <w:rPr>
          <w:lang w:eastAsia="en-GB"/>
        </w:rPr>
        <w:t>But</w:t>
      </w:r>
      <w:r w:rsidR="00257CC4" w:rsidRPr="001005B7">
        <w:rPr>
          <w:lang w:eastAsia="en-GB"/>
        </w:rPr>
        <w:t xml:space="preserve"> </w:t>
      </w:r>
      <w:r w:rsidR="00836078" w:rsidRPr="001005B7">
        <w:rPr>
          <w:lang w:eastAsia="en-GB"/>
        </w:rPr>
        <w:t xml:space="preserve">I will gather you from the peoples </w:t>
      </w:r>
    </w:p>
    <w:p w14:paraId="054C5AD8" w14:textId="77777777" w:rsidR="00F66877" w:rsidRPr="001005B7" w:rsidRDefault="00836078" w:rsidP="001335A9">
      <w:pPr>
        <w:ind w:left="720"/>
        <w:rPr>
          <w:lang w:eastAsia="en-GB"/>
        </w:rPr>
      </w:pPr>
      <w:r w:rsidRPr="001005B7">
        <w:rPr>
          <w:lang w:eastAsia="en-GB"/>
        </w:rPr>
        <w:t>and collect you from the countries</w:t>
      </w:r>
      <w:r w:rsidR="008E5540" w:rsidRPr="001005B7">
        <w:rPr>
          <w:lang w:eastAsia="en-GB"/>
        </w:rPr>
        <w:t xml:space="preserve"> </w:t>
      </w:r>
    </w:p>
    <w:p w14:paraId="5A4C97A2" w14:textId="50CF6252" w:rsidR="00F66877" w:rsidRPr="001005B7" w:rsidRDefault="008E5540" w:rsidP="006700AE">
      <w:pPr>
        <w:ind w:left="720"/>
        <w:rPr>
          <w:lang w:eastAsia="en-GB"/>
        </w:rPr>
      </w:pPr>
      <w:r w:rsidRPr="001005B7">
        <w:rPr>
          <w:lang w:eastAsia="en-GB"/>
        </w:rPr>
        <w:t>in which you have been scattered</w:t>
      </w:r>
      <w:r w:rsidR="006700AE" w:rsidRPr="001005B7">
        <w:rPr>
          <w:lang w:eastAsia="en-GB"/>
        </w:rPr>
        <w:t>.</w:t>
      </w:r>
      <w:r w:rsidR="00026199" w:rsidRPr="001005B7">
        <w:rPr>
          <w:lang w:eastAsia="en-GB"/>
        </w:rPr>
        <w:t xml:space="preserve"> </w:t>
      </w:r>
    </w:p>
    <w:p w14:paraId="59DC7C4A" w14:textId="5B63E2FA" w:rsidR="00E85C33" w:rsidRPr="001005B7" w:rsidRDefault="00026199" w:rsidP="006700AE">
      <w:pPr>
        <w:ind w:left="720" w:firstLine="0"/>
        <w:rPr>
          <w:lang w:eastAsia="en-GB"/>
        </w:rPr>
      </w:pPr>
      <w:r w:rsidRPr="001005B7">
        <w:rPr>
          <w:lang w:eastAsia="en-GB"/>
        </w:rPr>
        <w:t>I will give you Israel</w:t>
      </w:r>
      <w:r w:rsidR="009078CC" w:rsidRPr="001005B7">
        <w:rPr>
          <w:lang w:eastAsia="en-GB"/>
        </w:rPr>
        <w:t>’</w:t>
      </w:r>
      <w:r w:rsidR="00AB40CB" w:rsidRPr="001005B7">
        <w:rPr>
          <w:lang w:eastAsia="en-GB"/>
        </w:rPr>
        <w:t>s land</w:t>
      </w:r>
      <w:r w:rsidR="00D170C6" w:rsidRPr="001005B7">
        <w:rPr>
          <w:lang w:eastAsia="en-GB"/>
        </w:rPr>
        <w:t>,</w:t>
      </w:r>
      <w:r w:rsidRPr="001005B7">
        <w:rPr>
          <w:lang w:eastAsia="en-GB"/>
        </w:rPr>
        <w:t xml:space="preserve"> </w:t>
      </w:r>
    </w:p>
    <w:p w14:paraId="2F1C55FE" w14:textId="0AAA031B" w:rsidR="00E85C33" w:rsidRPr="001005B7" w:rsidRDefault="00026199" w:rsidP="00E85C33">
      <w:pPr>
        <w:ind w:left="720"/>
        <w:rPr>
          <w:lang w:eastAsia="en-GB"/>
        </w:rPr>
      </w:pPr>
      <w:r w:rsidRPr="001005B7">
        <w:rPr>
          <w:vertAlign w:val="superscript"/>
          <w:lang w:eastAsia="en-GB"/>
        </w:rPr>
        <w:t>18</w:t>
      </w:r>
      <w:r w:rsidR="00E85C33" w:rsidRPr="001005B7">
        <w:rPr>
          <w:lang w:eastAsia="en-GB"/>
        </w:rPr>
        <w:t>and t</w:t>
      </w:r>
      <w:r w:rsidR="000C01AE" w:rsidRPr="001005B7">
        <w:rPr>
          <w:lang w:eastAsia="en-GB"/>
        </w:rPr>
        <w:t>hey will come there</w:t>
      </w:r>
      <w:r w:rsidR="00901962" w:rsidRPr="001005B7">
        <w:rPr>
          <w:lang w:eastAsia="en-GB"/>
        </w:rPr>
        <w:t>.</w:t>
      </w:r>
    </w:p>
    <w:p w14:paraId="3B7C2036" w14:textId="3057528A" w:rsidR="00645EFC" w:rsidRPr="001005B7" w:rsidRDefault="004A68D9" w:rsidP="006700AE">
      <w:pPr>
        <w:ind w:left="720" w:firstLine="0"/>
        <w:rPr>
          <w:lang w:eastAsia="en-GB"/>
        </w:rPr>
      </w:pPr>
      <w:r w:rsidRPr="001005B7">
        <w:rPr>
          <w:lang w:eastAsia="en-GB"/>
        </w:rPr>
        <w:t>T</w:t>
      </w:r>
      <w:r w:rsidR="00BA1B2B" w:rsidRPr="001005B7">
        <w:rPr>
          <w:lang w:eastAsia="en-GB"/>
        </w:rPr>
        <w:t>hey wil</w:t>
      </w:r>
      <w:r w:rsidR="00C93BE1" w:rsidRPr="001005B7">
        <w:rPr>
          <w:lang w:eastAsia="en-GB"/>
        </w:rPr>
        <w:t>l remove</w:t>
      </w:r>
      <w:r w:rsidR="00BA1B2B" w:rsidRPr="001005B7">
        <w:rPr>
          <w:lang w:eastAsia="en-GB"/>
        </w:rPr>
        <w:t xml:space="preserve"> all </w:t>
      </w:r>
      <w:r w:rsidR="00194BD8" w:rsidRPr="001005B7">
        <w:rPr>
          <w:lang w:eastAsia="en-GB"/>
        </w:rPr>
        <w:t>its</w:t>
      </w:r>
      <w:r w:rsidR="00BA1B2B" w:rsidRPr="001005B7">
        <w:rPr>
          <w:lang w:eastAsia="en-GB"/>
        </w:rPr>
        <w:t xml:space="preserve"> </w:t>
      </w:r>
      <w:r w:rsidR="00296E59" w:rsidRPr="001005B7">
        <w:rPr>
          <w:lang w:eastAsia="en-GB"/>
        </w:rPr>
        <w:t xml:space="preserve">detestable </w:t>
      </w:r>
      <w:r w:rsidR="00B2469B" w:rsidRPr="001005B7">
        <w:rPr>
          <w:lang w:eastAsia="en-GB"/>
        </w:rPr>
        <w:t>objects</w:t>
      </w:r>
      <w:r w:rsidR="00296E59" w:rsidRPr="001005B7">
        <w:rPr>
          <w:lang w:eastAsia="en-GB"/>
        </w:rPr>
        <w:t xml:space="preserve"> </w:t>
      </w:r>
    </w:p>
    <w:p w14:paraId="44057927" w14:textId="77777777" w:rsidR="00645EFC" w:rsidRPr="001005B7" w:rsidRDefault="00E369A3" w:rsidP="00645EFC">
      <w:pPr>
        <w:ind w:left="720"/>
        <w:rPr>
          <w:lang w:eastAsia="en-GB"/>
        </w:rPr>
      </w:pPr>
      <w:r w:rsidRPr="001005B7">
        <w:rPr>
          <w:lang w:eastAsia="en-GB"/>
        </w:rPr>
        <w:t xml:space="preserve">and </w:t>
      </w:r>
      <w:r w:rsidR="0056449E" w:rsidRPr="001005B7">
        <w:rPr>
          <w:lang w:eastAsia="en-GB"/>
        </w:rPr>
        <w:t xml:space="preserve">all </w:t>
      </w:r>
      <w:r w:rsidRPr="001005B7">
        <w:rPr>
          <w:lang w:eastAsia="en-GB"/>
        </w:rPr>
        <w:t xml:space="preserve">its outrages from it. </w:t>
      </w:r>
    </w:p>
    <w:p w14:paraId="706EEEB3" w14:textId="39A8EE5F" w:rsidR="00645EFC" w:rsidRPr="001005B7" w:rsidRDefault="006C0FD3" w:rsidP="00645EFC">
      <w:pPr>
        <w:ind w:left="720" w:firstLine="0"/>
        <w:rPr>
          <w:lang w:eastAsia="en-GB"/>
        </w:rPr>
      </w:pPr>
      <w:r w:rsidRPr="001005B7">
        <w:rPr>
          <w:vertAlign w:val="superscript"/>
          <w:lang w:eastAsia="en-GB"/>
        </w:rPr>
        <w:t>19</w:t>
      </w:r>
      <w:r w:rsidRPr="001005B7">
        <w:rPr>
          <w:lang w:eastAsia="en-GB"/>
        </w:rPr>
        <w:t xml:space="preserve">I will give them one </w:t>
      </w:r>
      <w:r w:rsidR="009E1D32" w:rsidRPr="001005B7">
        <w:rPr>
          <w:lang w:eastAsia="en-GB"/>
        </w:rPr>
        <w:t>mind</w:t>
      </w:r>
      <w:r w:rsidR="00D8673E" w:rsidRPr="001005B7">
        <w:rPr>
          <w:lang w:eastAsia="en-GB"/>
        </w:rPr>
        <w:t>,</w:t>
      </w:r>
      <w:r w:rsidRPr="001005B7">
        <w:rPr>
          <w:lang w:eastAsia="en-GB"/>
        </w:rPr>
        <w:t xml:space="preserve"> </w:t>
      </w:r>
    </w:p>
    <w:p w14:paraId="1D303654" w14:textId="277984A2" w:rsidR="00645EFC" w:rsidRPr="001005B7" w:rsidRDefault="006C0FD3" w:rsidP="00645EFC">
      <w:pPr>
        <w:ind w:left="720"/>
        <w:rPr>
          <w:lang w:eastAsia="en-GB"/>
        </w:rPr>
      </w:pPr>
      <w:r w:rsidRPr="001005B7">
        <w:rPr>
          <w:lang w:eastAsia="en-GB"/>
        </w:rPr>
        <w:t>and a new spirit</w:t>
      </w:r>
      <w:r w:rsidR="00D8673E" w:rsidRPr="001005B7">
        <w:rPr>
          <w:lang w:eastAsia="en-GB"/>
        </w:rPr>
        <w:t xml:space="preserve"> I will put </w:t>
      </w:r>
      <w:r w:rsidR="009953E6" w:rsidRPr="001005B7">
        <w:rPr>
          <w:lang w:eastAsia="en-GB"/>
        </w:rPr>
        <w:t xml:space="preserve">within </w:t>
      </w:r>
      <w:r w:rsidR="007738AA" w:rsidRPr="001005B7">
        <w:rPr>
          <w:lang w:eastAsia="en-GB"/>
        </w:rPr>
        <w:t>you</w:t>
      </w:r>
      <w:r w:rsidR="009953E6" w:rsidRPr="001005B7">
        <w:rPr>
          <w:lang w:eastAsia="en-GB"/>
        </w:rPr>
        <w:t xml:space="preserve">. </w:t>
      </w:r>
    </w:p>
    <w:p w14:paraId="592CAAB0" w14:textId="15613A1D" w:rsidR="00E803DD" w:rsidRPr="001005B7" w:rsidRDefault="009953E6" w:rsidP="00645EFC">
      <w:pPr>
        <w:ind w:left="720" w:firstLine="0"/>
        <w:rPr>
          <w:lang w:eastAsia="en-GB"/>
        </w:rPr>
      </w:pPr>
      <w:r w:rsidRPr="001005B7">
        <w:rPr>
          <w:lang w:eastAsia="en-GB"/>
        </w:rPr>
        <w:t>I will remove the rock mind</w:t>
      </w:r>
      <w:r w:rsidR="000555A7" w:rsidRPr="001005B7">
        <w:rPr>
          <w:lang w:eastAsia="en-GB"/>
        </w:rPr>
        <w:t xml:space="preserve"> from within them</w:t>
      </w:r>
      <w:r w:rsidR="00527E5D" w:rsidRPr="001005B7">
        <w:rPr>
          <w:lang w:eastAsia="en-GB"/>
        </w:rPr>
        <w:t>,</w:t>
      </w:r>
      <w:r w:rsidR="00C12BC1" w:rsidRPr="001005B7">
        <w:rPr>
          <w:lang w:eastAsia="en-GB"/>
        </w:rPr>
        <w:t xml:space="preserve"> </w:t>
      </w:r>
    </w:p>
    <w:p w14:paraId="208A7AEA" w14:textId="77777777" w:rsidR="00E803DD" w:rsidRPr="001005B7" w:rsidRDefault="00C12BC1" w:rsidP="00E803DD">
      <w:pPr>
        <w:ind w:left="720"/>
        <w:rPr>
          <w:lang w:eastAsia="en-GB"/>
        </w:rPr>
      </w:pPr>
      <w:r w:rsidRPr="001005B7">
        <w:rPr>
          <w:lang w:eastAsia="en-GB"/>
        </w:rPr>
        <w:t xml:space="preserve">and give them a flesh mind, </w:t>
      </w:r>
    </w:p>
    <w:p w14:paraId="6168E433" w14:textId="5A69C290" w:rsidR="00E803DD" w:rsidRPr="001005B7" w:rsidRDefault="00C12BC1" w:rsidP="00E803DD">
      <w:pPr>
        <w:ind w:left="720" w:firstLine="0"/>
        <w:rPr>
          <w:lang w:eastAsia="en-GB"/>
        </w:rPr>
      </w:pPr>
      <w:r w:rsidRPr="001005B7">
        <w:rPr>
          <w:vertAlign w:val="superscript"/>
          <w:lang w:eastAsia="en-GB"/>
        </w:rPr>
        <w:t>20</w:t>
      </w:r>
      <w:r w:rsidR="00F25EC6" w:rsidRPr="001005B7">
        <w:rPr>
          <w:lang w:eastAsia="en-GB"/>
        </w:rPr>
        <w:t>I</w:t>
      </w:r>
      <w:r w:rsidRPr="001005B7">
        <w:rPr>
          <w:lang w:eastAsia="en-GB"/>
        </w:rPr>
        <w:t>n ord</w:t>
      </w:r>
      <w:r w:rsidR="0022687B" w:rsidRPr="001005B7">
        <w:rPr>
          <w:lang w:eastAsia="en-GB"/>
        </w:rPr>
        <w:t>er</w:t>
      </w:r>
      <w:r w:rsidRPr="001005B7">
        <w:rPr>
          <w:lang w:eastAsia="en-GB"/>
        </w:rPr>
        <w:t xml:space="preserve"> that by my laws they </w:t>
      </w:r>
      <w:r w:rsidR="0022687B" w:rsidRPr="001005B7">
        <w:rPr>
          <w:lang w:eastAsia="en-GB"/>
        </w:rPr>
        <w:t>will walk</w:t>
      </w:r>
      <w:r w:rsidR="00527E5D" w:rsidRPr="001005B7">
        <w:rPr>
          <w:lang w:eastAsia="en-GB"/>
        </w:rPr>
        <w:t>,</w:t>
      </w:r>
      <w:r w:rsidR="0022687B" w:rsidRPr="001005B7">
        <w:rPr>
          <w:lang w:eastAsia="en-GB"/>
        </w:rPr>
        <w:t xml:space="preserve"> </w:t>
      </w:r>
    </w:p>
    <w:p w14:paraId="072B8C94" w14:textId="65EA49AC" w:rsidR="00E803DD" w:rsidRPr="001005B7" w:rsidRDefault="0022687B" w:rsidP="00E803DD">
      <w:pPr>
        <w:ind w:left="720"/>
        <w:rPr>
          <w:lang w:eastAsia="en-GB"/>
        </w:rPr>
      </w:pPr>
      <w:r w:rsidRPr="001005B7">
        <w:rPr>
          <w:lang w:eastAsia="en-GB"/>
        </w:rPr>
        <w:t>and my rulings they will keep</w:t>
      </w:r>
      <w:r w:rsidR="007F47A4" w:rsidRPr="001005B7">
        <w:rPr>
          <w:lang w:eastAsia="en-GB"/>
        </w:rPr>
        <w:t>, and act on</w:t>
      </w:r>
      <w:r w:rsidR="00683922" w:rsidRPr="001005B7">
        <w:rPr>
          <w:lang w:eastAsia="en-GB"/>
        </w:rPr>
        <w:t xml:space="preserve"> them</w:t>
      </w:r>
      <w:r w:rsidR="00527E5D" w:rsidRPr="001005B7">
        <w:rPr>
          <w:lang w:eastAsia="en-GB"/>
        </w:rPr>
        <w:t>.</w:t>
      </w:r>
    </w:p>
    <w:p w14:paraId="5FFF81D5" w14:textId="41D50D68" w:rsidR="00E803DD" w:rsidRPr="001005B7" w:rsidRDefault="00CC3C37" w:rsidP="00E803DD">
      <w:pPr>
        <w:rPr>
          <w:lang w:eastAsia="en-GB"/>
        </w:rPr>
      </w:pPr>
      <w:r>
        <w:rPr>
          <w:lang w:eastAsia="en-GB"/>
        </w:rPr>
        <w:t>And t</w:t>
      </w:r>
      <w:r w:rsidR="00683922" w:rsidRPr="001005B7">
        <w:rPr>
          <w:lang w:eastAsia="en-GB"/>
        </w:rPr>
        <w:t>hey will be a people for me</w:t>
      </w:r>
      <w:r w:rsidR="00527E5D" w:rsidRPr="001005B7">
        <w:rPr>
          <w:lang w:eastAsia="en-GB"/>
        </w:rPr>
        <w:t>,</w:t>
      </w:r>
    </w:p>
    <w:p w14:paraId="28203DA7" w14:textId="618F8315" w:rsidR="00CD6F95" w:rsidRPr="001005B7" w:rsidRDefault="00B734A6" w:rsidP="00E803DD">
      <w:pPr>
        <w:ind w:left="720"/>
        <w:rPr>
          <w:lang w:eastAsia="en-GB"/>
        </w:rPr>
      </w:pPr>
      <w:r w:rsidRPr="001005B7">
        <w:rPr>
          <w:lang w:eastAsia="en-GB"/>
        </w:rPr>
        <w:t>and I will be God for them.</w:t>
      </w:r>
    </w:p>
    <w:p w14:paraId="27C2526C" w14:textId="6B9BF0E3" w:rsidR="007C303F" w:rsidRPr="001005B7" w:rsidRDefault="005E42DA" w:rsidP="005E42DA">
      <w:pPr>
        <w:rPr>
          <w:lang w:eastAsia="en-GB"/>
        </w:rPr>
      </w:pPr>
      <w:r w:rsidRPr="001005B7">
        <w:rPr>
          <w:vertAlign w:val="superscript"/>
          <w:lang w:eastAsia="en-GB"/>
        </w:rPr>
        <w:t>21</w:t>
      </w:r>
      <w:r w:rsidRPr="001005B7">
        <w:rPr>
          <w:lang w:eastAsia="en-GB"/>
        </w:rPr>
        <w:t xml:space="preserve">But </w:t>
      </w:r>
      <w:r w:rsidR="00AA25A4" w:rsidRPr="001005B7">
        <w:rPr>
          <w:lang w:eastAsia="en-GB"/>
        </w:rPr>
        <w:t>as for</w:t>
      </w:r>
      <w:r w:rsidRPr="001005B7">
        <w:rPr>
          <w:lang w:eastAsia="en-GB"/>
        </w:rPr>
        <w:t xml:space="preserve"> </w:t>
      </w:r>
      <w:r w:rsidR="00FF7F75" w:rsidRPr="001005B7">
        <w:rPr>
          <w:lang w:eastAsia="en-GB"/>
        </w:rPr>
        <w:t>[people with]</w:t>
      </w:r>
      <w:r w:rsidRPr="001005B7">
        <w:rPr>
          <w:lang w:eastAsia="en-GB"/>
        </w:rPr>
        <w:t xml:space="preserve"> </w:t>
      </w:r>
      <w:r w:rsidR="000104A0" w:rsidRPr="001005B7">
        <w:rPr>
          <w:lang w:eastAsia="en-GB"/>
        </w:rPr>
        <w:t xml:space="preserve">a </w:t>
      </w:r>
      <w:r w:rsidR="005633DA" w:rsidRPr="001005B7">
        <w:rPr>
          <w:lang w:eastAsia="en-GB"/>
        </w:rPr>
        <w:t>mind o</w:t>
      </w:r>
      <w:r w:rsidR="005A169B" w:rsidRPr="001005B7">
        <w:rPr>
          <w:lang w:eastAsia="en-GB"/>
        </w:rPr>
        <w:t>n</w:t>
      </w:r>
      <w:r w:rsidR="005633DA" w:rsidRPr="001005B7">
        <w:rPr>
          <w:lang w:eastAsia="en-GB"/>
        </w:rPr>
        <w:t xml:space="preserve"> </w:t>
      </w:r>
      <w:r w:rsidR="005B2C37">
        <w:rPr>
          <w:lang w:eastAsia="en-GB"/>
        </w:rPr>
        <w:t xml:space="preserve">their </w:t>
      </w:r>
      <w:r w:rsidR="005633DA" w:rsidRPr="001005B7">
        <w:rPr>
          <w:lang w:eastAsia="en-GB"/>
        </w:rPr>
        <w:t>detestabl</w:t>
      </w:r>
      <w:r w:rsidR="00B2469B" w:rsidRPr="001005B7">
        <w:rPr>
          <w:lang w:eastAsia="en-GB"/>
        </w:rPr>
        <w:t>e objects</w:t>
      </w:r>
      <w:r w:rsidR="00C27945" w:rsidRPr="001005B7">
        <w:rPr>
          <w:lang w:eastAsia="en-GB"/>
        </w:rPr>
        <w:t>,</w:t>
      </w:r>
      <w:r w:rsidR="007857F9" w:rsidRPr="001005B7">
        <w:rPr>
          <w:rStyle w:val="FootnoteReference"/>
          <w:lang w:eastAsia="en-GB"/>
        </w:rPr>
        <w:footnoteReference w:id="277"/>
      </w:r>
      <w:r w:rsidR="005633DA" w:rsidRPr="001005B7">
        <w:rPr>
          <w:lang w:eastAsia="en-GB"/>
        </w:rPr>
        <w:t xml:space="preserve"> </w:t>
      </w:r>
    </w:p>
    <w:p w14:paraId="7F021287" w14:textId="64ED0D91" w:rsidR="005E42DA" w:rsidRPr="001005B7" w:rsidRDefault="005633DA" w:rsidP="007C303F">
      <w:pPr>
        <w:ind w:left="720"/>
        <w:rPr>
          <w:lang w:eastAsia="en-GB"/>
        </w:rPr>
      </w:pPr>
      <w:r w:rsidRPr="001005B7">
        <w:rPr>
          <w:lang w:eastAsia="en-GB"/>
        </w:rPr>
        <w:t xml:space="preserve">and </w:t>
      </w:r>
      <w:r w:rsidR="007076F2" w:rsidRPr="001005B7">
        <w:rPr>
          <w:lang w:eastAsia="en-GB"/>
        </w:rPr>
        <w:t>on</w:t>
      </w:r>
      <w:r w:rsidR="004E538F" w:rsidRPr="001005B7">
        <w:rPr>
          <w:lang w:eastAsia="en-GB"/>
        </w:rPr>
        <w:t xml:space="preserve"> </w:t>
      </w:r>
      <w:r w:rsidRPr="001005B7">
        <w:rPr>
          <w:lang w:eastAsia="en-GB"/>
        </w:rPr>
        <w:t>outrages</w:t>
      </w:r>
      <w:r w:rsidR="00411F5F" w:rsidRPr="001005B7">
        <w:rPr>
          <w:lang w:eastAsia="en-GB"/>
        </w:rPr>
        <w:t xml:space="preserve"> their mind</w:t>
      </w:r>
      <w:r w:rsidR="002023C1">
        <w:rPr>
          <w:lang w:eastAsia="en-GB"/>
        </w:rPr>
        <w:t xml:space="preserve"> </w:t>
      </w:r>
      <w:r w:rsidR="00411F5F" w:rsidRPr="001005B7">
        <w:rPr>
          <w:lang w:eastAsia="en-GB"/>
        </w:rPr>
        <w:t>go</w:t>
      </w:r>
      <w:r w:rsidR="00C91C50">
        <w:rPr>
          <w:lang w:eastAsia="en-GB"/>
        </w:rPr>
        <w:t>es</w:t>
      </w:r>
      <w:r w:rsidR="00D703B5" w:rsidRPr="001005B7">
        <w:rPr>
          <w:lang w:eastAsia="en-GB"/>
        </w:rPr>
        <w:t>,</w:t>
      </w:r>
    </w:p>
    <w:p w14:paraId="14723E42" w14:textId="7A262374" w:rsidR="00502FD2" w:rsidRPr="001005B7" w:rsidRDefault="006C4D46" w:rsidP="00502FD2">
      <w:pPr>
        <w:ind w:left="720"/>
        <w:rPr>
          <w:lang w:eastAsia="en-GB"/>
        </w:rPr>
      </w:pPr>
      <w:r w:rsidRPr="001005B7">
        <w:rPr>
          <w:lang w:eastAsia="en-GB"/>
        </w:rPr>
        <w:t>their</w:t>
      </w:r>
      <w:r w:rsidR="0046364C" w:rsidRPr="001005B7">
        <w:rPr>
          <w:lang w:eastAsia="en-GB"/>
        </w:rPr>
        <w:t xml:space="preserve"> path</w:t>
      </w:r>
      <w:r w:rsidRPr="001005B7">
        <w:rPr>
          <w:lang w:eastAsia="en-GB"/>
        </w:rPr>
        <w:t xml:space="preserve"> </w:t>
      </w:r>
      <w:r w:rsidR="00FC4E19" w:rsidRPr="001005B7">
        <w:rPr>
          <w:lang w:eastAsia="en-GB"/>
        </w:rPr>
        <w:t>against</w:t>
      </w:r>
      <w:r w:rsidRPr="001005B7">
        <w:rPr>
          <w:lang w:eastAsia="en-GB"/>
        </w:rPr>
        <w:t xml:space="preserve"> their head</w:t>
      </w:r>
      <w:r w:rsidR="00910373" w:rsidRPr="001005B7">
        <w:rPr>
          <w:rStyle w:val="FootnoteReference"/>
          <w:lang w:eastAsia="en-GB"/>
        </w:rPr>
        <w:footnoteReference w:id="278"/>
      </w:r>
      <w:r w:rsidRPr="001005B7">
        <w:rPr>
          <w:lang w:eastAsia="en-GB"/>
        </w:rPr>
        <w:t xml:space="preserve"> I </w:t>
      </w:r>
      <w:r w:rsidR="002F1C0B" w:rsidRPr="001005B7">
        <w:rPr>
          <w:lang w:eastAsia="en-GB"/>
        </w:rPr>
        <w:t xml:space="preserve">am </w:t>
      </w:r>
      <w:r w:rsidR="00AE75DF" w:rsidRPr="001005B7">
        <w:rPr>
          <w:lang w:eastAsia="en-GB"/>
        </w:rPr>
        <w:t>putt</w:t>
      </w:r>
      <w:r w:rsidR="002F1C0B" w:rsidRPr="001005B7">
        <w:rPr>
          <w:lang w:eastAsia="en-GB"/>
        </w:rPr>
        <w:t>ing (an affirmation of the Lord Yahweh).</w:t>
      </w:r>
    </w:p>
    <w:p w14:paraId="5B5B83B7" w14:textId="38955A65" w:rsidR="00502FD2" w:rsidRPr="001005B7" w:rsidRDefault="00502FD2" w:rsidP="003A6535">
      <w:pPr>
        <w:rPr>
          <w:lang w:eastAsia="en-GB"/>
        </w:rPr>
      </w:pPr>
    </w:p>
    <w:p w14:paraId="31C0A580" w14:textId="7FB364DF" w:rsidR="003A6535" w:rsidRPr="001005B7" w:rsidRDefault="003A6535" w:rsidP="003A6535">
      <w:pPr>
        <w:rPr>
          <w:lang w:eastAsia="en-GB"/>
        </w:rPr>
      </w:pPr>
      <w:r w:rsidRPr="001005B7">
        <w:rPr>
          <w:vertAlign w:val="superscript"/>
          <w:lang w:eastAsia="en-GB"/>
        </w:rPr>
        <w:t>22</w:t>
      </w:r>
      <w:r w:rsidR="00271196" w:rsidRPr="001005B7">
        <w:rPr>
          <w:lang w:eastAsia="en-GB"/>
        </w:rPr>
        <w:t>T</w:t>
      </w:r>
      <w:r w:rsidRPr="001005B7">
        <w:rPr>
          <w:lang w:eastAsia="en-GB"/>
        </w:rPr>
        <w:t xml:space="preserve">he </w:t>
      </w:r>
      <w:r w:rsidR="003001D1" w:rsidRPr="001005B7">
        <w:rPr>
          <w:lang w:eastAsia="en-GB"/>
        </w:rPr>
        <w:t>griffin</w:t>
      </w:r>
      <w:r w:rsidRPr="001005B7">
        <w:rPr>
          <w:lang w:eastAsia="en-GB"/>
        </w:rPr>
        <w:t>s lifted their wings</w:t>
      </w:r>
      <w:r w:rsidR="00E2758C" w:rsidRPr="001005B7">
        <w:rPr>
          <w:lang w:eastAsia="en-GB"/>
        </w:rPr>
        <w:t xml:space="preserve">, and the wheels beside them, </w:t>
      </w:r>
      <w:r w:rsidR="00472FD1" w:rsidRPr="001005B7">
        <w:rPr>
          <w:lang w:eastAsia="en-GB"/>
        </w:rPr>
        <w:t>with</w:t>
      </w:r>
      <w:r w:rsidR="00D5766E" w:rsidRPr="001005B7">
        <w:rPr>
          <w:lang w:eastAsia="en-GB"/>
        </w:rPr>
        <w:t xml:space="preserve"> the </w:t>
      </w:r>
      <w:r w:rsidR="00180CEB" w:rsidRPr="001005B7">
        <w:rPr>
          <w:lang w:eastAsia="en-GB"/>
        </w:rPr>
        <w:t>magnificence</w:t>
      </w:r>
      <w:r w:rsidR="00D5766E" w:rsidRPr="001005B7">
        <w:rPr>
          <w:lang w:eastAsia="en-GB"/>
        </w:rPr>
        <w:t xml:space="preserve"> of the God of Israel </w:t>
      </w:r>
      <w:r w:rsidR="00114261" w:rsidRPr="001005B7">
        <w:rPr>
          <w:lang w:eastAsia="en-GB"/>
        </w:rPr>
        <w:t xml:space="preserve">over them, above. </w:t>
      </w:r>
      <w:r w:rsidR="009773CD" w:rsidRPr="001005B7">
        <w:rPr>
          <w:vertAlign w:val="superscript"/>
          <w:lang w:eastAsia="en-GB"/>
        </w:rPr>
        <w:t>23</w:t>
      </w:r>
      <w:r w:rsidR="008E0096" w:rsidRPr="001005B7">
        <w:rPr>
          <w:lang w:eastAsia="en-GB"/>
        </w:rPr>
        <w:t>So</w:t>
      </w:r>
      <w:r w:rsidR="00BF52F3" w:rsidRPr="001005B7">
        <w:rPr>
          <w:lang w:eastAsia="en-GB"/>
        </w:rPr>
        <w:t xml:space="preserve"> </w:t>
      </w:r>
      <w:r w:rsidR="008E0096" w:rsidRPr="001005B7">
        <w:rPr>
          <w:lang w:eastAsia="en-GB"/>
        </w:rPr>
        <w:t>Y</w:t>
      </w:r>
      <w:r w:rsidR="00C0571B" w:rsidRPr="001005B7">
        <w:rPr>
          <w:lang w:eastAsia="en-GB"/>
        </w:rPr>
        <w:t xml:space="preserve">ahweh’s </w:t>
      </w:r>
      <w:r w:rsidR="00180CEB" w:rsidRPr="001005B7">
        <w:rPr>
          <w:lang w:eastAsia="en-GB"/>
        </w:rPr>
        <w:t>magnificence</w:t>
      </w:r>
      <w:r w:rsidR="00C0571B" w:rsidRPr="001005B7">
        <w:rPr>
          <w:lang w:eastAsia="en-GB"/>
        </w:rPr>
        <w:t xml:space="preserve"> </w:t>
      </w:r>
      <w:r w:rsidR="000C7F98" w:rsidRPr="001005B7">
        <w:rPr>
          <w:lang w:eastAsia="en-GB"/>
        </w:rPr>
        <w:t xml:space="preserve">went up from over the </w:t>
      </w:r>
      <w:r w:rsidR="005A47E8" w:rsidRPr="001005B7">
        <w:rPr>
          <w:lang w:eastAsia="en-GB"/>
        </w:rPr>
        <w:t>inside</w:t>
      </w:r>
      <w:r w:rsidR="000C7F98" w:rsidRPr="001005B7">
        <w:rPr>
          <w:lang w:eastAsia="en-GB"/>
        </w:rPr>
        <w:t xml:space="preserve"> of the city</w:t>
      </w:r>
      <w:r w:rsidR="001939D3" w:rsidRPr="001005B7">
        <w:rPr>
          <w:lang w:eastAsia="en-GB"/>
        </w:rPr>
        <w:t xml:space="preserve"> and stood on the mountain</w:t>
      </w:r>
      <w:r w:rsidR="00E05562" w:rsidRPr="001005B7">
        <w:rPr>
          <w:lang w:eastAsia="en-GB"/>
        </w:rPr>
        <w:t>,</w:t>
      </w:r>
      <w:r w:rsidR="00FC0612" w:rsidRPr="001005B7">
        <w:rPr>
          <w:lang w:eastAsia="en-GB"/>
        </w:rPr>
        <w:t xml:space="preserve"> east of the city</w:t>
      </w:r>
      <w:r w:rsidR="007039FB" w:rsidRPr="001005B7">
        <w:rPr>
          <w:lang w:eastAsia="en-GB"/>
        </w:rPr>
        <w:t>,</w:t>
      </w:r>
      <w:r w:rsidR="00FC0612" w:rsidRPr="001005B7">
        <w:rPr>
          <w:lang w:eastAsia="en-GB"/>
        </w:rPr>
        <w:t xml:space="preserve"> </w:t>
      </w:r>
      <w:r w:rsidR="00FC0612" w:rsidRPr="001005B7">
        <w:rPr>
          <w:vertAlign w:val="superscript"/>
          <w:lang w:eastAsia="en-GB"/>
        </w:rPr>
        <w:t>24</w:t>
      </w:r>
      <w:r w:rsidR="007039FB" w:rsidRPr="001005B7">
        <w:rPr>
          <w:lang w:eastAsia="en-GB"/>
        </w:rPr>
        <w:t>while a</w:t>
      </w:r>
      <w:r w:rsidR="00FC0612" w:rsidRPr="001005B7">
        <w:rPr>
          <w:lang w:eastAsia="en-GB"/>
        </w:rPr>
        <w:t xml:space="preserve"> spirit</w:t>
      </w:r>
      <w:r w:rsidR="007039FB" w:rsidRPr="001005B7">
        <w:rPr>
          <w:lang w:eastAsia="en-GB"/>
        </w:rPr>
        <w:t xml:space="preserve"> carried me</w:t>
      </w:r>
      <w:r w:rsidR="00884353" w:rsidRPr="001005B7">
        <w:rPr>
          <w:lang w:eastAsia="en-GB"/>
        </w:rPr>
        <w:t xml:space="preserve"> and enabled me to come to </w:t>
      </w:r>
      <w:r w:rsidR="005F0897" w:rsidRPr="001005B7">
        <w:rPr>
          <w:lang w:eastAsia="en-GB"/>
        </w:rPr>
        <w:t>Chaldea</w:t>
      </w:r>
      <w:r w:rsidR="00BA1EFC" w:rsidRPr="001005B7">
        <w:rPr>
          <w:lang w:eastAsia="en-GB"/>
        </w:rPr>
        <w:t xml:space="preserve"> to the exile community</w:t>
      </w:r>
      <w:r w:rsidR="00487C4A">
        <w:rPr>
          <w:lang w:eastAsia="en-GB"/>
        </w:rPr>
        <w:t>,</w:t>
      </w:r>
      <w:r w:rsidR="00BA1EFC" w:rsidRPr="001005B7">
        <w:rPr>
          <w:lang w:eastAsia="en-GB"/>
        </w:rPr>
        <w:t xml:space="preserve"> in the vision</w:t>
      </w:r>
      <w:r w:rsidR="004618AE" w:rsidRPr="001005B7">
        <w:rPr>
          <w:lang w:eastAsia="en-GB"/>
        </w:rPr>
        <w:t xml:space="preserve"> by God’s spirit</w:t>
      </w:r>
      <w:r w:rsidR="005C7A4D" w:rsidRPr="001005B7">
        <w:rPr>
          <w:lang w:eastAsia="en-GB"/>
        </w:rPr>
        <w:t>. T</w:t>
      </w:r>
      <w:r w:rsidR="004618AE" w:rsidRPr="001005B7">
        <w:rPr>
          <w:lang w:eastAsia="en-GB"/>
        </w:rPr>
        <w:t xml:space="preserve">he vision </w:t>
      </w:r>
      <w:r w:rsidR="008449F4" w:rsidRPr="001005B7">
        <w:rPr>
          <w:lang w:eastAsia="en-GB"/>
        </w:rPr>
        <w:t>that I saw went up from me</w:t>
      </w:r>
      <w:r w:rsidR="005C7A4D" w:rsidRPr="001005B7">
        <w:rPr>
          <w:lang w:eastAsia="en-GB"/>
        </w:rPr>
        <w:t>,</w:t>
      </w:r>
      <w:r w:rsidR="008449F4" w:rsidRPr="001005B7">
        <w:rPr>
          <w:lang w:eastAsia="en-GB"/>
        </w:rPr>
        <w:t xml:space="preserve"> </w:t>
      </w:r>
      <w:r w:rsidR="00A72139" w:rsidRPr="001005B7">
        <w:rPr>
          <w:vertAlign w:val="superscript"/>
          <w:lang w:eastAsia="en-GB"/>
        </w:rPr>
        <w:t>25</w:t>
      </w:r>
      <w:r w:rsidR="005C7A4D" w:rsidRPr="001005B7">
        <w:rPr>
          <w:lang w:eastAsia="en-GB"/>
        </w:rPr>
        <w:t>and</w:t>
      </w:r>
      <w:r w:rsidR="00A72139" w:rsidRPr="001005B7">
        <w:rPr>
          <w:lang w:eastAsia="en-GB"/>
        </w:rPr>
        <w:t xml:space="preserve"> I told the exile community </w:t>
      </w:r>
      <w:r w:rsidR="00EA5754" w:rsidRPr="001005B7">
        <w:rPr>
          <w:lang w:eastAsia="en-GB"/>
        </w:rPr>
        <w:t>all Yahweh’s things that he had shown me.</w:t>
      </w:r>
    </w:p>
    <w:p w14:paraId="6ADB5BDD" w14:textId="40FDC798" w:rsidR="00C11160" w:rsidRPr="001005B7" w:rsidRDefault="00F65F40" w:rsidP="00F65F40">
      <w:pPr>
        <w:rPr>
          <w:lang w:eastAsia="en-GB"/>
        </w:rPr>
      </w:pPr>
      <w:r w:rsidRPr="001005B7">
        <w:rPr>
          <w:lang w:eastAsia="en-GB"/>
        </w:rPr>
        <w:t xml:space="preserve"> </w:t>
      </w:r>
    </w:p>
    <w:p w14:paraId="6D2845BC" w14:textId="77777777" w:rsidR="00E66569" w:rsidRPr="001005B7" w:rsidRDefault="00C11160" w:rsidP="00493833">
      <w:pPr>
        <w:pStyle w:val="Heading3"/>
      </w:pPr>
      <w:r w:rsidRPr="001005B7">
        <w:t>Textual Notes</w:t>
      </w:r>
    </w:p>
    <w:p w14:paraId="6443B927" w14:textId="739FE5A0" w:rsidR="00E35761" w:rsidRPr="001005B7" w:rsidRDefault="00B13719" w:rsidP="00E35761">
      <w:pPr>
        <w:ind w:firstLine="0"/>
      </w:pPr>
      <w:r>
        <w:t xml:space="preserve">In </w:t>
      </w:r>
      <w:r w:rsidRPr="001005B7">
        <w:t xml:space="preserve">contrast </w:t>
      </w:r>
      <w:r>
        <w:t>to</w:t>
      </w:r>
      <w:r w:rsidRPr="001005B7">
        <w:t xml:space="preserve"> </w:t>
      </w:r>
      <w:r w:rsidR="006372F7">
        <w:t>its lack of</w:t>
      </w:r>
      <w:r w:rsidRPr="001005B7">
        <w:t xml:space="preserve"> markers</w:t>
      </w:r>
      <w:r w:rsidR="00143325">
        <w:t>*</w:t>
      </w:r>
      <w:r w:rsidRPr="001005B7">
        <w:t xml:space="preserve"> in </w:t>
      </w:r>
      <w:r>
        <w:t>Ezek 10,</w:t>
      </w:r>
      <w:r w:rsidR="006372F7">
        <w:t xml:space="preserve"> </w:t>
      </w:r>
      <w:r w:rsidR="00A51245" w:rsidRPr="001005B7">
        <w:rPr>
          <w:sz w:val="18"/>
          <w:szCs w:val="18"/>
        </w:rPr>
        <w:t>MT</w:t>
      </w:r>
      <w:r w:rsidR="008C00F3" w:rsidRPr="001005B7">
        <w:t xml:space="preserve"> has</w:t>
      </w:r>
      <w:r w:rsidR="00775B55" w:rsidRPr="001005B7">
        <w:t xml:space="preserve"> </w:t>
      </w:r>
      <w:r w:rsidR="0015651C" w:rsidRPr="001005B7">
        <w:t>marker</w:t>
      </w:r>
      <w:r w:rsidR="00720125" w:rsidRPr="001005B7">
        <w:t>s</w:t>
      </w:r>
      <w:r w:rsidR="00A04A8A" w:rsidRPr="001005B7">
        <w:t xml:space="preserve"> </w:t>
      </w:r>
      <w:r w:rsidR="00EE051A" w:rsidRPr="001005B7">
        <w:t>a</w:t>
      </w:r>
      <w:r w:rsidR="00E66569" w:rsidRPr="001005B7">
        <w:t>fter</w:t>
      </w:r>
      <w:r w:rsidR="00EE051A" w:rsidRPr="001005B7">
        <w:t xml:space="preserve"> </w:t>
      </w:r>
      <w:r w:rsidR="00007277" w:rsidRPr="001005B7">
        <w:t xml:space="preserve">11:1, </w:t>
      </w:r>
      <w:r w:rsidR="00207FA3" w:rsidRPr="001005B7">
        <w:t xml:space="preserve">3, </w:t>
      </w:r>
      <w:r w:rsidR="002235BB" w:rsidRPr="001005B7">
        <w:t xml:space="preserve">6, </w:t>
      </w:r>
      <w:r w:rsidR="00207FA3" w:rsidRPr="001005B7">
        <w:t xml:space="preserve">13, </w:t>
      </w:r>
      <w:r w:rsidR="00D93D86" w:rsidRPr="001005B7">
        <w:t xml:space="preserve">15, </w:t>
      </w:r>
      <w:r w:rsidR="002235BB" w:rsidRPr="001005B7">
        <w:t>16</w:t>
      </w:r>
      <w:r w:rsidR="00777FDB" w:rsidRPr="001005B7">
        <w:t>, 25</w:t>
      </w:r>
      <w:r w:rsidR="00EB45AF" w:rsidRPr="001005B7">
        <w:t>.</w:t>
      </w:r>
    </w:p>
    <w:p w14:paraId="7C34664A" w14:textId="77777777" w:rsidR="00720125" w:rsidRPr="001005B7" w:rsidRDefault="00720125" w:rsidP="00E35761">
      <w:pPr>
        <w:ind w:firstLine="0"/>
      </w:pPr>
    </w:p>
    <w:p w14:paraId="3C9A394B" w14:textId="2F477AEE" w:rsidR="00AF3BD5" w:rsidRPr="001005B7" w:rsidRDefault="00E5364F" w:rsidP="00E35761">
      <w:pPr>
        <w:ind w:firstLine="0"/>
      </w:pPr>
      <w:r w:rsidRPr="001005B7">
        <w:rPr>
          <w:b/>
          <w:bCs/>
          <w:lang w:eastAsia="en-GB"/>
        </w:rPr>
        <w:t>11:2</w:t>
      </w:r>
      <w:r w:rsidR="00DF3B3C" w:rsidRPr="001005B7">
        <w:rPr>
          <w:b/>
          <w:bCs/>
          <w:lang w:eastAsia="en-GB"/>
        </w:rPr>
        <w:t xml:space="preserve"> </w:t>
      </w:r>
      <w:r w:rsidR="00DF3B3C" w:rsidRPr="001005B7">
        <w:rPr>
          <w:sz w:val="18"/>
          <w:szCs w:val="18"/>
        </w:rPr>
        <w:t>LXX</w:t>
      </w:r>
      <w:r w:rsidR="000260BE" w:rsidRPr="001005B7">
        <w:rPr>
          <w:lang w:eastAsia="en-GB"/>
        </w:rPr>
        <w:t xml:space="preserve"> has “the Lord”</w:t>
      </w:r>
      <w:r w:rsidR="00332B38" w:rsidRPr="001005B7">
        <w:rPr>
          <w:lang w:eastAsia="en-GB"/>
        </w:rPr>
        <w:t xml:space="preserve"> at the beginning of the verse.</w:t>
      </w:r>
    </w:p>
    <w:p w14:paraId="3C7D8AD9" w14:textId="28DB2DAF" w:rsidR="00841828" w:rsidRPr="001005B7" w:rsidRDefault="00A166DB" w:rsidP="002235BB">
      <w:pPr>
        <w:tabs>
          <w:tab w:val="left" w:pos="3093"/>
        </w:tabs>
        <w:ind w:firstLine="0"/>
        <w:rPr>
          <w:lang w:eastAsia="en-GB"/>
        </w:rPr>
      </w:pPr>
      <w:r w:rsidRPr="001005B7">
        <w:rPr>
          <w:b/>
          <w:bCs/>
          <w:lang w:eastAsia="en-GB"/>
        </w:rPr>
        <w:t>11:5</w:t>
      </w:r>
      <w:r w:rsidR="00DF3B3C" w:rsidRPr="001005B7">
        <w:rPr>
          <w:b/>
          <w:bCs/>
          <w:lang w:eastAsia="en-GB"/>
        </w:rPr>
        <w:t xml:space="preserve"> </w:t>
      </w:r>
      <w:r w:rsidR="00DF3B3C" w:rsidRPr="001005B7">
        <w:rPr>
          <w:sz w:val="18"/>
          <w:szCs w:val="18"/>
        </w:rPr>
        <w:t>LXX</w:t>
      </w:r>
      <w:r w:rsidR="009064FC" w:rsidRPr="001005B7">
        <w:rPr>
          <w:lang w:eastAsia="en-GB"/>
        </w:rPr>
        <w:t xml:space="preserve"> has “a spirit”</w:t>
      </w:r>
      <w:r w:rsidR="00320EAA" w:rsidRPr="001005B7">
        <w:rPr>
          <w:lang w:eastAsia="en-GB"/>
        </w:rPr>
        <w:t xml:space="preserve"> for “Yahweh’s spirit.”</w:t>
      </w:r>
    </w:p>
    <w:p w14:paraId="028C87F2" w14:textId="7D000055" w:rsidR="002125C6" w:rsidRPr="001005B7" w:rsidRDefault="00A166DB" w:rsidP="00A166DB">
      <w:pPr>
        <w:ind w:firstLine="0"/>
        <w:rPr>
          <w:lang w:eastAsia="en-GB"/>
        </w:rPr>
      </w:pPr>
      <w:r w:rsidRPr="001005B7">
        <w:rPr>
          <w:b/>
          <w:bCs/>
          <w:lang w:eastAsia="en-GB"/>
        </w:rPr>
        <w:t>11:7</w:t>
      </w:r>
      <w:r w:rsidR="002125C6" w:rsidRPr="001005B7">
        <w:rPr>
          <w:lang w:eastAsia="en-GB"/>
        </w:rPr>
        <w:t xml:space="preserve"> </w:t>
      </w:r>
      <w:r w:rsidR="001D529E" w:rsidRPr="001005B7">
        <w:rPr>
          <w:lang w:eastAsia="en-GB"/>
        </w:rPr>
        <w:t>For</w:t>
      </w:r>
      <w:r w:rsidR="00341CBE" w:rsidRPr="001005B7">
        <w:rPr>
          <w:lang w:eastAsia="en-GB"/>
        </w:rPr>
        <w:t xml:space="preserve"> </w:t>
      </w:r>
      <w:r w:rsidR="00514E39" w:rsidRPr="001005B7">
        <w:rPr>
          <w:sz w:val="18"/>
          <w:szCs w:val="18"/>
        </w:rPr>
        <w:t>MT</w:t>
      </w:r>
      <w:r w:rsidR="005C6EA4" w:rsidRPr="001005B7">
        <w:rPr>
          <w:lang w:eastAsia="en-GB"/>
        </w:rPr>
        <w:t>’s</w:t>
      </w:r>
      <w:r w:rsidR="004D4F21" w:rsidRPr="001005B7">
        <w:rPr>
          <w:lang w:eastAsia="en-GB"/>
        </w:rPr>
        <w:t xml:space="preserve"> odd third person</w:t>
      </w:r>
      <w:r w:rsidR="00546E04" w:rsidRPr="001005B7">
        <w:rPr>
          <w:lang w:eastAsia="en-GB"/>
        </w:rPr>
        <w:t xml:space="preserve"> </w:t>
      </w:r>
      <w:r w:rsidR="006B1577" w:rsidRPr="001005B7">
        <w:rPr>
          <w:rFonts w:cstheme="minorHAnsi"/>
          <w:rtl/>
          <w:lang w:eastAsia="en-GB" w:bidi="he-IL"/>
        </w:rPr>
        <w:t>הוֹצׅיא</w:t>
      </w:r>
      <w:r w:rsidR="00AA29A3" w:rsidRPr="001005B7">
        <w:rPr>
          <w:lang w:eastAsia="en-GB"/>
        </w:rPr>
        <w:t xml:space="preserve"> (“</w:t>
      </w:r>
      <w:r w:rsidR="00DC774A" w:rsidRPr="001005B7">
        <w:rPr>
          <w:lang w:eastAsia="en-GB"/>
        </w:rPr>
        <w:t>someone is taking you out”),</w:t>
      </w:r>
      <w:r w:rsidR="00206885" w:rsidRPr="001005B7">
        <w:rPr>
          <w:lang w:eastAsia="en-GB"/>
        </w:rPr>
        <w:t xml:space="preserve"> </w:t>
      </w:r>
      <w:r w:rsidR="00206885" w:rsidRPr="001005B7">
        <w:rPr>
          <w:sz w:val="18"/>
          <w:szCs w:val="18"/>
        </w:rPr>
        <w:t>LXX</w:t>
      </w:r>
      <w:r w:rsidR="00EB2EED" w:rsidRPr="001005B7">
        <w:rPr>
          <w:lang w:eastAsia="en-GB"/>
        </w:rPr>
        <w:t>, Vg</w:t>
      </w:r>
      <w:r w:rsidR="00745281" w:rsidRPr="001005B7">
        <w:rPr>
          <w:lang w:eastAsia="en-GB"/>
        </w:rPr>
        <w:t>.</w:t>
      </w:r>
      <w:r w:rsidR="00F557E0" w:rsidRPr="001005B7">
        <w:rPr>
          <w:lang w:eastAsia="en-GB"/>
        </w:rPr>
        <w:t xml:space="preserve">, </w:t>
      </w:r>
      <w:r w:rsidR="00B9066D" w:rsidRPr="001005B7">
        <w:rPr>
          <w:lang w:eastAsia="en-GB"/>
        </w:rPr>
        <w:t>Tg</w:t>
      </w:r>
      <w:r w:rsidR="00745281" w:rsidRPr="001005B7">
        <w:rPr>
          <w:lang w:eastAsia="en-GB"/>
        </w:rPr>
        <w:t>.</w:t>
      </w:r>
      <w:r w:rsidR="00EB2EED" w:rsidRPr="001005B7">
        <w:rPr>
          <w:lang w:eastAsia="en-GB"/>
        </w:rPr>
        <w:t xml:space="preserve"> have fi</w:t>
      </w:r>
      <w:r w:rsidR="00245689" w:rsidRPr="001005B7">
        <w:rPr>
          <w:lang w:eastAsia="en-GB"/>
        </w:rPr>
        <w:t>rs</w:t>
      </w:r>
      <w:r w:rsidR="00EB2EED" w:rsidRPr="001005B7">
        <w:rPr>
          <w:lang w:eastAsia="en-GB"/>
        </w:rPr>
        <w:t>t-person fut</w:t>
      </w:r>
      <w:r w:rsidR="005C6EA4" w:rsidRPr="001005B7">
        <w:rPr>
          <w:lang w:eastAsia="en-GB"/>
        </w:rPr>
        <w:t>ure</w:t>
      </w:r>
      <w:r w:rsidR="00245689" w:rsidRPr="001005B7">
        <w:rPr>
          <w:lang w:eastAsia="en-GB"/>
        </w:rPr>
        <w:t>, implying</w:t>
      </w:r>
      <w:r w:rsidR="00E87AA3" w:rsidRPr="001005B7">
        <w:rPr>
          <w:lang w:eastAsia="en-GB"/>
        </w:rPr>
        <w:t xml:space="preserve"> </w:t>
      </w:r>
      <w:r w:rsidR="00E87AA3" w:rsidRPr="001005B7">
        <w:rPr>
          <w:rFonts w:cstheme="minorHAnsi"/>
          <w:rtl/>
          <w:lang w:eastAsia="en-GB" w:bidi="he-IL"/>
        </w:rPr>
        <w:t>אוֹצׅי</w:t>
      </w:r>
      <w:r w:rsidR="00423DC4" w:rsidRPr="001005B7">
        <w:rPr>
          <w:rFonts w:cstheme="minorHAnsi"/>
          <w:rtl/>
          <w:lang w:eastAsia="en-GB" w:bidi="he-IL"/>
        </w:rPr>
        <w:t>א</w:t>
      </w:r>
      <w:r w:rsidR="008937BE" w:rsidRPr="001005B7">
        <w:rPr>
          <w:lang w:eastAsia="en-GB"/>
        </w:rPr>
        <w:t>.</w:t>
      </w:r>
      <w:r w:rsidR="00341CBE" w:rsidRPr="001005B7">
        <w:rPr>
          <w:lang w:eastAsia="en-GB"/>
        </w:rPr>
        <w:t xml:space="preserve"> </w:t>
      </w:r>
    </w:p>
    <w:p w14:paraId="633401D4" w14:textId="3C303560" w:rsidR="00871DCF" w:rsidRPr="001005B7" w:rsidRDefault="00A166DB" w:rsidP="00A166DB">
      <w:pPr>
        <w:ind w:firstLine="0"/>
        <w:rPr>
          <w:lang w:eastAsia="en-GB"/>
        </w:rPr>
      </w:pPr>
      <w:r w:rsidRPr="001005B7">
        <w:rPr>
          <w:b/>
          <w:bCs/>
          <w:lang w:eastAsia="en-GB"/>
        </w:rPr>
        <w:t>11:12</w:t>
      </w:r>
      <w:r w:rsidR="00206885" w:rsidRPr="001005B7">
        <w:rPr>
          <w:b/>
          <w:bCs/>
          <w:lang w:eastAsia="en-GB"/>
        </w:rPr>
        <w:t xml:space="preserve"> </w:t>
      </w:r>
      <w:r w:rsidR="00206885" w:rsidRPr="001005B7">
        <w:rPr>
          <w:sz w:val="18"/>
          <w:szCs w:val="18"/>
        </w:rPr>
        <w:t>LXX</w:t>
      </w:r>
      <w:r w:rsidR="0023427C" w:rsidRPr="001005B7">
        <w:rPr>
          <w:lang w:eastAsia="en-GB"/>
        </w:rPr>
        <w:t xml:space="preserve"> lacks </w:t>
      </w:r>
      <w:r w:rsidR="00447D1C" w:rsidRPr="001005B7">
        <w:rPr>
          <w:lang w:eastAsia="en-GB"/>
        </w:rPr>
        <w:t>the verse apart from the opening “</w:t>
      </w:r>
      <w:r w:rsidR="00382AA1" w:rsidRPr="001005B7">
        <w:rPr>
          <w:lang w:eastAsia="en-GB"/>
        </w:rPr>
        <w:t>and you will acknowledge that I am Yahweh.”</w:t>
      </w:r>
    </w:p>
    <w:p w14:paraId="258E38BB" w14:textId="2DCD6FA4" w:rsidR="00DC6A7A" w:rsidRPr="001005B7" w:rsidRDefault="00A166DB" w:rsidP="00A166DB">
      <w:pPr>
        <w:ind w:firstLine="0"/>
        <w:rPr>
          <w:lang w:eastAsia="en-GB"/>
        </w:rPr>
      </w:pPr>
      <w:r w:rsidRPr="001005B7">
        <w:rPr>
          <w:b/>
          <w:bCs/>
          <w:lang w:eastAsia="en-GB"/>
        </w:rPr>
        <w:t>11:13</w:t>
      </w:r>
      <w:r w:rsidR="00B50C63" w:rsidRPr="001005B7">
        <w:rPr>
          <w:lang w:eastAsia="en-GB"/>
        </w:rPr>
        <w:t xml:space="preserve"> </w:t>
      </w:r>
      <w:r w:rsidR="00206885" w:rsidRPr="001005B7">
        <w:rPr>
          <w:sz w:val="18"/>
          <w:szCs w:val="18"/>
        </w:rPr>
        <w:t>LXX</w:t>
      </w:r>
      <w:r w:rsidR="00B74206" w:rsidRPr="001005B7">
        <w:rPr>
          <w:lang w:eastAsia="en-GB"/>
        </w:rPr>
        <w:t xml:space="preserve"> takes the exclamation as a question. </w:t>
      </w:r>
    </w:p>
    <w:p w14:paraId="1E68BB73" w14:textId="4B386BAA" w:rsidR="00C57AE9" w:rsidRPr="001005B7" w:rsidRDefault="00A166DB" w:rsidP="00666CB1">
      <w:pPr>
        <w:ind w:firstLine="0"/>
        <w:rPr>
          <w:rFonts w:cstheme="minorHAnsi"/>
          <w:lang w:eastAsia="en-GB"/>
        </w:rPr>
      </w:pPr>
      <w:r w:rsidRPr="001005B7">
        <w:rPr>
          <w:b/>
          <w:bCs/>
          <w:lang w:eastAsia="en-GB"/>
        </w:rPr>
        <w:t>11:15</w:t>
      </w:r>
      <w:r w:rsidR="00D80BA7" w:rsidRPr="001005B7">
        <w:rPr>
          <w:lang w:eastAsia="en-GB"/>
        </w:rPr>
        <w:t xml:space="preserve"> For </w:t>
      </w:r>
      <w:r w:rsidR="00663538" w:rsidRPr="001005B7">
        <w:rPr>
          <w:rFonts w:cstheme="minorHAnsi"/>
          <w:rtl/>
          <w:lang w:eastAsia="en-GB" w:bidi="he-IL"/>
        </w:rPr>
        <w:t>גְא</w:t>
      </w:r>
      <w:r w:rsidR="00072196" w:rsidRPr="001005B7">
        <w:rPr>
          <w:rFonts w:cstheme="minorHAnsi"/>
          <w:rtl/>
          <w:lang w:eastAsia="en-GB" w:bidi="he-IL"/>
        </w:rPr>
        <w:t>ֻ</w:t>
      </w:r>
      <w:r w:rsidR="00663538" w:rsidRPr="001005B7">
        <w:rPr>
          <w:rFonts w:cstheme="minorHAnsi"/>
          <w:rtl/>
          <w:lang w:eastAsia="en-GB" w:bidi="he-IL"/>
        </w:rPr>
        <w:t>לֶּתֶ</w:t>
      </w:r>
      <w:r w:rsidR="00C56C71" w:rsidRPr="001005B7">
        <w:rPr>
          <w:rFonts w:cstheme="minorHAnsi"/>
          <w:rtl/>
          <w:lang w:eastAsia="en-GB" w:bidi="he-IL"/>
        </w:rPr>
        <w:t>ךָ</w:t>
      </w:r>
      <w:r w:rsidR="002451FA" w:rsidRPr="001005B7">
        <w:rPr>
          <w:rFonts w:cstheme="minorHAnsi"/>
          <w:rtl/>
          <w:lang w:eastAsia="en-GB" w:bidi="he-IL"/>
        </w:rPr>
        <w:t>ָ</w:t>
      </w:r>
      <w:r w:rsidR="006330FE" w:rsidRPr="001005B7">
        <w:rPr>
          <w:rFonts w:cstheme="minorHAnsi"/>
          <w:lang w:eastAsia="en-GB"/>
        </w:rPr>
        <w:t>,</w:t>
      </w:r>
      <w:r w:rsidR="00EA7B4E" w:rsidRPr="001005B7">
        <w:rPr>
          <w:rFonts w:cstheme="minorHAnsi"/>
          <w:lang w:eastAsia="en-GB"/>
        </w:rPr>
        <w:t xml:space="preserve"> </w:t>
      </w:r>
      <w:r w:rsidR="00723B67" w:rsidRPr="001005B7">
        <w:rPr>
          <w:rFonts w:cstheme="minorHAnsi"/>
          <w:lang w:eastAsia="en-GB"/>
        </w:rPr>
        <w:t>“</w:t>
      </w:r>
      <w:r w:rsidR="00A35661" w:rsidRPr="001005B7">
        <w:rPr>
          <w:rFonts w:cstheme="minorHAnsi"/>
          <w:lang w:eastAsia="en-GB"/>
        </w:rPr>
        <w:t>your</w:t>
      </w:r>
      <w:r w:rsidR="00A35661" w:rsidRPr="001005B7">
        <w:rPr>
          <w:rFonts w:cstheme="minorHAnsi"/>
          <w:i/>
          <w:iCs/>
          <w:lang w:eastAsia="en-GB"/>
        </w:rPr>
        <w:t xml:space="preserve"> </w:t>
      </w:r>
      <w:r w:rsidR="00A35661" w:rsidRPr="001005B7">
        <w:rPr>
          <w:rFonts w:cstheme="minorHAnsi"/>
          <w:lang w:eastAsia="en-GB"/>
        </w:rPr>
        <w:t>restoration</w:t>
      </w:r>
      <w:r w:rsidR="00A35661" w:rsidRPr="001005B7">
        <w:rPr>
          <w:rFonts w:cstheme="minorHAnsi"/>
          <w:i/>
          <w:iCs/>
          <w:lang w:eastAsia="en-GB"/>
        </w:rPr>
        <w:t xml:space="preserve"> </w:t>
      </w:r>
      <w:r w:rsidR="00A35661" w:rsidRPr="001005B7">
        <w:rPr>
          <w:rFonts w:cstheme="minorHAnsi"/>
          <w:lang w:eastAsia="en-GB"/>
        </w:rPr>
        <w:t>people,</w:t>
      </w:r>
      <w:r w:rsidR="00723B67" w:rsidRPr="001005B7">
        <w:rPr>
          <w:rFonts w:cstheme="minorHAnsi"/>
          <w:lang w:eastAsia="en-GB"/>
        </w:rPr>
        <w:t>”</w:t>
      </w:r>
      <w:r w:rsidR="00206885" w:rsidRPr="001005B7">
        <w:rPr>
          <w:rFonts w:cstheme="minorHAnsi"/>
          <w:lang w:eastAsia="en-GB"/>
        </w:rPr>
        <w:t xml:space="preserve"> </w:t>
      </w:r>
      <w:r w:rsidR="00206885" w:rsidRPr="001005B7">
        <w:rPr>
          <w:sz w:val="18"/>
          <w:szCs w:val="18"/>
        </w:rPr>
        <w:t>LXX</w:t>
      </w:r>
      <w:r w:rsidR="00EA7B4E" w:rsidRPr="001005B7">
        <w:rPr>
          <w:rFonts w:cstheme="minorHAnsi"/>
          <w:lang w:eastAsia="en-GB"/>
        </w:rPr>
        <w:t xml:space="preserve"> </w:t>
      </w:r>
      <w:r w:rsidR="00B06597" w:rsidRPr="001005B7">
        <w:rPr>
          <w:rFonts w:cstheme="minorHAnsi"/>
          <w:lang w:eastAsia="en-GB"/>
        </w:rPr>
        <w:t xml:space="preserve">“your exile community” </w:t>
      </w:r>
      <w:r w:rsidR="00EA7B4E" w:rsidRPr="001005B7">
        <w:rPr>
          <w:rFonts w:cstheme="minorHAnsi"/>
          <w:lang w:eastAsia="en-GB"/>
        </w:rPr>
        <w:t>implies</w:t>
      </w:r>
      <w:r w:rsidR="00072196" w:rsidRPr="001005B7">
        <w:rPr>
          <w:rFonts w:cstheme="minorHAnsi"/>
          <w:lang w:eastAsia="en-GB"/>
        </w:rPr>
        <w:t xml:space="preserve"> </w:t>
      </w:r>
      <w:r w:rsidR="00072196" w:rsidRPr="001005B7">
        <w:rPr>
          <w:rFonts w:cstheme="minorHAnsi"/>
          <w:rtl/>
          <w:lang w:eastAsia="en-GB" w:bidi="he-IL"/>
        </w:rPr>
        <w:t>ג</w:t>
      </w:r>
      <w:r w:rsidR="00A065ED" w:rsidRPr="001005B7">
        <w:rPr>
          <w:rFonts w:cstheme="minorHAnsi"/>
          <w:rtl/>
          <w:lang w:eastAsia="en-GB" w:bidi="he-IL"/>
        </w:rPr>
        <w:t>ּ</w:t>
      </w:r>
      <w:r w:rsidR="003D0A59" w:rsidRPr="001005B7">
        <w:rPr>
          <w:rFonts w:cstheme="minorHAnsi"/>
          <w:rtl/>
          <w:lang w:eastAsia="en-GB" w:bidi="he-IL"/>
        </w:rPr>
        <w:t>ָלוּתֶ</w:t>
      </w:r>
      <w:r w:rsidR="0098337A" w:rsidRPr="001005B7">
        <w:rPr>
          <w:rFonts w:cstheme="minorHAnsi"/>
          <w:rtl/>
          <w:lang w:eastAsia="en-GB" w:bidi="he-IL"/>
        </w:rPr>
        <w:t>ךָ</w:t>
      </w:r>
      <w:r w:rsidR="00B06597" w:rsidRPr="001005B7">
        <w:rPr>
          <w:rFonts w:cstheme="minorHAnsi"/>
          <w:lang w:eastAsia="en-GB"/>
        </w:rPr>
        <w:t>.</w:t>
      </w:r>
      <w:r w:rsidR="00A35661" w:rsidRPr="001005B7">
        <w:rPr>
          <w:rFonts w:cstheme="minorHAnsi"/>
          <w:lang w:eastAsia="en-GB"/>
        </w:rPr>
        <w:t xml:space="preserve"> </w:t>
      </w:r>
    </w:p>
    <w:p w14:paraId="454D22EA" w14:textId="2760305D" w:rsidR="0022157E" w:rsidRPr="001005B7" w:rsidRDefault="00C57AE9" w:rsidP="00666CB1">
      <w:pPr>
        <w:ind w:firstLine="0"/>
        <w:rPr>
          <w:rFonts w:cstheme="minorHAnsi"/>
          <w:lang w:eastAsia="en-GB"/>
        </w:rPr>
      </w:pPr>
      <w:r w:rsidRPr="001005B7">
        <w:rPr>
          <w:rFonts w:cstheme="minorHAnsi"/>
          <w:lang w:eastAsia="en-GB"/>
        </w:rPr>
        <w:t>F</w:t>
      </w:r>
      <w:r w:rsidR="000A2764" w:rsidRPr="001005B7">
        <w:rPr>
          <w:rFonts w:cstheme="minorHAnsi"/>
          <w:lang w:eastAsia="en-GB"/>
        </w:rPr>
        <w:t>or</w:t>
      </w:r>
      <w:r w:rsidR="00F77108" w:rsidRPr="001005B7">
        <w:rPr>
          <w:rFonts w:cstheme="minorHAnsi"/>
          <w:lang w:eastAsia="en-GB"/>
        </w:rPr>
        <w:t xml:space="preserve"> </w:t>
      </w:r>
      <w:r w:rsidR="00F77108" w:rsidRPr="001005B7">
        <w:rPr>
          <w:rFonts w:cstheme="minorHAnsi"/>
          <w:rtl/>
          <w:lang w:eastAsia="en-GB" w:bidi="he-IL"/>
        </w:rPr>
        <w:t>רַחֲ</w:t>
      </w:r>
      <w:r w:rsidR="0051586B" w:rsidRPr="001005B7">
        <w:rPr>
          <w:rFonts w:cstheme="minorHAnsi"/>
          <w:rtl/>
          <w:lang w:eastAsia="en-GB" w:bidi="he-IL"/>
        </w:rPr>
        <w:t>קוּ</w:t>
      </w:r>
      <w:r w:rsidR="00A26E6B" w:rsidRPr="001005B7">
        <w:rPr>
          <w:rFonts w:cstheme="minorHAnsi"/>
          <w:lang w:eastAsia="en-GB"/>
        </w:rPr>
        <w:t>,</w:t>
      </w:r>
      <w:r w:rsidR="0051586B" w:rsidRPr="001005B7">
        <w:rPr>
          <w:rFonts w:cstheme="minorHAnsi"/>
          <w:lang w:eastAsia="en-GB"/>
        </w:rPr>
        <w:t xml:space="preserve"> </w:t>
      </w:r>
      <w:r w:rsidR="00723B67" w:rsidRPr="001005B7">
        <w:rPr>
          <w:rFonts w:cstheme="minorHAnsi"/>
          <w:lang w:eastAsia="en-GB"/>
        </w:rPr>
        <w:t>“</w:t>
      </w:r>
      <w:r w:rsidR="00CE1403" w:rsidRPr="001005B7">
        <w:rPr>
          <w:rFonts w:cstheme="minorHAnsi"/>
          <w:lang w:eastAsia="en-GB"/>
        </w:rPr>
        <w:t>keep</w:t>
      </w:r>
      <w:r w:rsidR="00CE1403" w:rsidRPr="001005B7">
        <w:rPr>
          <w:rFonts w:cstheme="minorHAnsi"/>
          <w:i/>
          <w:iCs/>
          <w:lang w:eastAsia="en-GB"/>
        </w:rPr>
        <w:t xml:space="preserve"> </w:t>
      </w:r>
      <w:r w:rsidR="00CE1403" w:rsidRPr="001005B7">
        <w:rPr>
          <w:rFonts w:cstheme="minorHAnsi"/>
          <w:lang w:eastAsia="en-GB"/>
        </w:rPr>
        <w:t>far</w:t>
      </w:r>
      <w:r w:rsidR="00CE1403" w:rsidRPr="001005B7">
        <w:rPr>
          <w:rFonts w:cstheme="minorHAnsi"/>
          <w:i/>
          <w:iCs/>
          <w:lang w:eastAsia="en-GB"/>
        </w:rPr>
        <w:t xml:space="preserve"> </w:t>
      </w:r>
      <w:r w:rsidR="00CE1403" w:rsidRPr="001005B7">
        <w:rPr>
          <w:rFonts w:cstheme="minorHAnsi"/>
          <w:lang w:eastAsia="en-GB"/>
        </w:rPr>
        <w:t>away,</w:t>
      </w:r>
      <w:r w:rsidR="00723B67" w:rsidRPr="001005B7">
        <w:rPr>
          <w:rFonts w:cstheme="minorHAnsi"/>
          <w:lang w:eastAsia="en-GB"/>
        </w:rPr>
        <w:t>”</w:t>
      </w:r>
      <w:r w:rsidR="00A26E6B" w:rsidRPr="001005B7">
        <w:rPr>
          <w:rFonts w:cstheme="minorHAnsi"/>
          <w:i/>
          <w:iCs/>
          <w:lang w:eastAsia="en-GB"/>
        </w:rPr>
        <w:t xml:space="preserve"> </w:t>
      </w:r>
      <w:r w:rsidR="00D27634" w:rsidRPr="001005B7">
        <w:rPr>
          <w:sz w:val="18"/>
          <w:szCs w:val="18"/>
        </w:rPr>
        <w:t>NRSV</w:t>
      </w:r>
      <w:r w:rsidR="000A2764" w:rsidRPr="001005B7">
        <w:rPr>
          <w:rFonts w:cstheme="minorHAnsi"/>
          <w:lang w:eastAsia="en-GB"/>
        </w:rPr>
        <w:t xml:space="preserve"> “they have gone far” implies</w:t>
      </w:r>
      <w:r w:rsidR="00CE1403" w:rsidRPr="001005B7">
        <w:rPr>
          <w:rFonts w:cstheme="minorHAnsi"/>
          <w:lang w:eastAsia="en-GB"/>
        </w:rPr>
        <w:t xml:space="preserve"> </w:t>
      </w:r>
      <w:r w:rsidR="00EF09BD" w:rsidRPr="001005B7">
        <w:rPr>
          <w:rFonts w:cstheme="minorHAnsi"/>
          <w:rtl/>
          <w:lang w:eastAsia="en-GB" w:bidi="he-IL"/>
        </w:rPr>
        <w:t>רָחֲקוּ</w:t>
      </w:r>
      <w:r w:rsidR="00A26E6B" w:rsidRPr="001005B7">
        <w:rPr>
          <w:rFonts w:cstheme="minorHAnsi"/>
          <w:lang w:eastAsia="en-GB"/>
        </w:rPr>
        <w:t xml:space="preserve"> </w:t>
      </w:r>
      <w:r w:rsidR="00EC67FC" w:rsidRPr="001005B7">
        <w:rPr>
          <w:rFonts w:cstheme="minorHAnsi"/>
          <w:lang w:eastAsia="en-GB"/>
        </w:rPr>
        <w:t>(cf. Rashi</w:t>
      </w:r>
      <w:r w:rsidR="007A17D1" w:rsidRPr="001005B7">
        <w:rPr>
          <w:rFonts w:cstheme="minorHAnsi"/>
          <w:lang w:eastAsia="en-GB"/>
        </w:rPr>
        <w:t>,</w:t>
      </w:r>
      <w:r w:rsidR="00EC67FC" w:rsidRPr="001005B7">
        <w:rPr>
          <w:rFonts w:cstheme="minorHAnsi"/>
          <w:lang w:eastAsia="en-GB"/>
        </w:rPr>
        <w:t xml:space="preserve"> in MG)</w:t>
      </w:r>
      <w:r w:rsidR="007160A9" w:rsidRPr="001005B7">
        <w:rPr>
          <w:rFonts w:cstheme="minorHAnsi"/>
          <w:lang w:eastAsia="en-GB"/>
        </w:rPr>
        <w:t>.</w:t>
      </w:r>
    </w:p>
    <w:p w14:paraId="616FF277" w14:textId="46D28CC5" w:rsidR="00080C60" w:rsidRPr="001005B7" w:rsidRDefault="00666CB1" w:rsidP="00666CB1">
      <w:pPr>
        <w:ind w:firstLine="0"/>
        <w:rPr>
          <w:rFonts w:cstheme="minorHAnsi"/>
          <w:lang w:eastAsia="en-GB"/>
        </w:rPr>
      </w:pPr>
      <w:r w:rsidRPr="001005B7">
        <w:rPr>
          <w:rFonts w:cstheme="minorHAnsi"/>
          <w:b/>
          <w:bCs/>
          <w:lang w:eastAsia="en-GB"/>
        </w:rPr>
        <w:t>11:16</w:t>
      </w:r>
      <w:r w:rsidR="00080C60" w:rsidRPr="001005B7">
        <w:rPr>
          <w:rFonts w:cstheme="minorHAnsi"/>
          <w:lang w:eastAsia="en-GB"/>
        </w:rPr>
        <w:t xml:space="preserve"> </w:t>
      </w:r>
      <w:r w:rsidR="00460B69" w:rsidRPr="001005B7">
        <w:rPr>
          <w:sz w:val="18"/>
          <w:szCs w:val="18"/>
        </w:rPr>
        <w:t>LXX</w:t>
      </w:r>
      <w:r w:rsidR="00460B69" w:rsidRPr="001005B7">
        <w:t xml:space="preserve"> </w:t>
      </w:r>
      <w:r w:rsidR="007672D9" w:rsidRPr="001005B7">
        <w:rPr>
          <w:rFonts w:cstheme="minorHAnsi"/>
          <w:lang w:eastAsia="en-GB"/>
        </w:rPr>
        <w:t>translate</w:t>
      </w:r>
      <w:r w:rsidR="00E61ECE" w:rsidRPr="001005B7">
        <w:rPr>
          <w:rFonts w:cstheme="minorHAnsi"/>
          <w:lang w:eastAsia="en-GB"/>
        </w:rPr>
        <w:t xml:space="preserve">s the </w:t>
      </w:r>
      <w:r w:rsidR="00E61ECE" w:rsidRPr="00230517">
        <w:rPr>
          <w:rFonts w:cstheme="minorHAnsi"/>
          <w:i/>
          <w:iCs/>
          <w:lang w:eastAsia="en-GB"/>
        </w:rPr>
        <w:t>qatal</w:t>
      </w:r>
      <w:r w:rsidR="00EB54FC">
        <w:rPr>
          <w:rFonts w:cstheme="minorHAnsi"/>
          <w:i/>
          <w:iCs/>
          <w:lang w:eastAsia="en-GB"/>
        </w:rPr>
        <w:t>*</w:t>
      </w:r>
      <w:r w:rsidR="00E61ECE" w:rsidRPr="001005B7">
        <w:rPr>
          <w:rFonts w:cstheme="minorHAnsi"/>
          <w:lang w:eastAsia="en-GB"/>
        </w:rPr>
        <w:t xml:space="preserve"> and </w:t>
      </w:r>
      <w:proofErr w:type="spellStart"/>
      <w:r w:rsidR="000762DA" w:rsidRPr="00230517">
        <w:rPr>
          <w:rFonts w:cstheme="minorHAnsi"/>
          <w:i/>
          <w:iCs/>
          <w:lang w:eastAsia="en-GB"/>
        </w:rPr>
        <w:t>way</w:t>
      </w:r>
      <w:r w:rsidR="00E61ECE" w:rsidRPr="00230517">
        <w:rPr>
          <w:rFonts w:cstheme="minorHAnsi"/>
          <w:i/>
          <w:iCs/>
          <w:lang w:eastAsia="en-GB"/>
        </w:rPr>
        <w:t>yiqtol</w:t>
      </w:r>
      <w:proofErr w:type="spellEnd"/>
      <w:r w:rsidR="00226865">
        <w:rPr>
          <w:rFonts w:cstheme="minorHAnsi"/>
          <w:lang w:eastAsia="en-GB"/>
        </w:rPr>
        <w:t>*</w:t>
      </w:r>
      <w:r w:rsidR="00E61ECE" w:rsidRPr="001005B7">
        <w:rPr>
          <w:rFonts w:cstheme="minorHAnsi"/>
          <w:lang w:eastAsia="en-GB"/>
        </w:rPr>
        <w:t xml:space="preserve"> v</w:t>
      </w:r>
      <w:r w:rsidR="007672D9" w:rsidRPr="001005B7">
        <w:rPr>
          <w:rFonts w:cstheme="minorHAnsi"/>
          <w:lang w:eastAsia="en-GB"/>
        </w:rPr>
        <w:t xml:space="preserve">erbs </w:t>
      </w:r>
      <w:r w:rsidR="00E61ECE" w:rsidRPr="001005B7">
        <w:rPr>
          <w:rFonts w:cstheme="minorHAnsi"/>
          <w:lang w:eastAsia="en-GB"/>
        </w:rPr>
        <w:t>a</w:t>
      </w:r>
      <w:r w:rsidR="007672D9" w:rsidRPr="001005B7">
        <w:rPr>
          <w:rFonts w:cstheme="minorHAnsi"/>
          <w:lang w:eastAsia="en-GB"/>
        </w:rPr>
        <w:t>s future.</w:t>
      </w:r>
      <w:r w:rsidR="002B6D25" w:rsidRPr="001005B7">
        <w:rPr>
          <w:rFonts w:cstheme="minorHAnsi"/>
          <w:lang w:eastAsia="en-GB"/>
        </w:rPr>
        <w:t xml:space="preserve"> </w:t>
      </w:r>
    </w:p>
    <w:p w14:paraId="39A36C10" w14:textId="545A6775" w:rsidR="006E7FD9" w:rsidRPr="001005B7" w:rsidRDefault="006E7FD9" w:rsidP="00666CB1">
      <w:pPr>
        <w:ind w:firstLine="0"/>
        <w:rPr>
          <w:rFonts w:cstheme="minorHAnsi"/>
          <w:lang w:eastAsia="en-GB"/>
        </w:rPr>
      </w:pPr>
      <w:r w:rsidRPr="001005B7">
        <w:rPr>
          <w:rFonts w:cstheme="minorHAnsi"/>
          <w:b/>
          <w:bCs/>
          <w:lang w:eastAsia="en-GB"/>
        </w:rPr>
        <w:t xml:space="preserve">11:17 </w:t>
      </w:r>
      <w:r w:rsidR="008B05BC" w:rsidRPr="001005B7">
        <w:rPr>
          <w:rFonts w:cstheme="minorHAnsi"/>
          <w:lang w:eastAsia="en-GB"/>
        </w:rPr>
        <w:t xml:space="preserve">For </w:t>
      </w:r>
      <w:r w:rsidR="004C0BAA" w:rsidRPr="001005B7">
        <w:rPr>
          <w:sz w:val="18"/>
          <w:szCs w:val="18"/>
        </w:rPr>
        <w:t>MT</w:t>
      </w:r>
      <w:r w:rsidR="008B05BC" w:rsidRPr="001005B7">
        <w:rPr>
          <w:rFonts w:cstheme="minorHAnsi"/>
          <w:lang w:eastAsia="en-GB"/>
        </w:rPr>
        <w:t>’s second-person</w:t>
      </w:r>
      <w:r w:rsidR="0058238F" w:rsidRPr="001005B7">
        <w:rPr>
          <w:rFonts w:cstheme="minorHAnsi"/>
          <w:lang w:eastAsia="en-GB"/>
        </w:rPr>
        <w:t xml:space="preserve"> forms, </w:t>
      </w:r>
      <w:r w:rsidR="003B765C" w:rsidRPr="001005B7">
        <w:rPr>
          <w:sz w:val="18"/>
          <w:szCs w:val="18"/>
        </w:rPr>
        <w:t>LXX</w:t>
      </w:r>
      <w:r w:rsidR="0058238F" w:rsidRPr="001005B7">
        <w:rPr>
          <w:rFonts w:cstheme="minorHAnsi"/>
          <w:lang w:eastAsia="en-GB"/>
        </w:rPr>
        <w:t xml:space="preserve"> has third person</w:t>
      </w:r>
      <w:r w:rsidR="00D3434E" w:rsidRPr="001005B7">
        <w:rPr>
          <w:rFonts w:cstheme="minorHAnsi"/>
          <w:lang w:eastAsia="en-GB"/>
        </w:rPr>
        <w:t xml:space="preserve"> as in 11:18</w:t>
      </w:r>
      <w:r w:rsidR="00F46900" w:rsidRPr="001005B7">
        <w:rPr>
          <w:rFonts w:cstheme="minorHAnsi"/>
          <w:lang w:eastAsia="en-GB"/>
        </w:rPr>
        <w:t>–</w:t>
      </w:r>
      <w:r w:rsidR="00D3434E" w:rsidRPr="001005B7">
        <w:rPr>
          <w:rFonts w:cstheme="minorHAnsi"/>
          <w:lang w:eastAsia="en-GB"/>
        </w:rPr>
        <w:t xml:space="preserve">21. </w:t>
      </w:r>
    </w:p>
    <w:p w14:paraId="21C79179" w14:textId="2D462194" w:rsidR="00DA4AC7" w:rsidRPr="001005B7" w:rsidRDefault="00B67C27" w:rsidP="00B67C27">
      <w:pPr>
        <w:ind w:firstLine="0"/>
        <w:rPr>
          <w:rFonts w:cstheme="minorHAnsi"/>
          <w:lang w:eastAsia="en-GB"/>
        </w:rPr>
      </w:pPr>
      <w:r w:rsidRPr="001005B7">
        <w:rPr>
          <w:rFonts w:cstheme="minorHAnsi"/>
          <w:b/>
          <w:bCs/>
          <w:lang w:eastAsia="en-GB"/>
        </w:rPr>
        <w:t xml:space="preserve">11:19 </w:t>
      </w:r>
      <w:r w:rsidR="00B43DD2" w:rsidRPr="001005B7">
        <w:rPr>
          <w:rFonts w:cstheme="minorHAnsi"/>
          <w:lang w:eastAsia="en-GB"/>
        </w:rPr>
        <w:t xml:space="preserve">For </w:t>
      </w:r>
      <w:r w:rsidR="00B654E2" w:rsidRPr="001005B7">
        <w:rPr>
          <w:rFonts w:cstheme="minorHAnsi"/>
          <w:rtl/>
          <w:lang w:eastAsia="en-GB" w:bidi="he-IL"/>
        </w:rPr>
        <w:t>א</w:t>
      </w:r>
      <w:r w:rsidR="00DA7463" w:rsidRPr="001005B7">
        <w:rPr>
          <w:rFonts w:cstheme="minorHAnsi"/>
          <w:rtl/>
          <w:lang w:eastAsia="en-GB" w:bidi="he-IL"/>
        </w:rPr>
        <w:t>ֶ</w:t>
      </w:r>
      <w:r w:rsidR="00B654E2" w:rsidRPr="001005B7">
        <w:rPr>
          <w:rFonts w:cstheme="minorHAnsi"/>
          <w:rtl/>
          <w:lang w:eastAsia="en-GB" w:bidi="he-IL"/>
        </w:rPr>
        <w:t>חָ</w:t>
      </w:r>
      <w:r w:rsidR="00DA7463" w:rsidRPr="001005B7">
        <w:rPr>
          <w:rFonts w:cstheme="minorHAnsi"/>
          <w:rtl/>
          <w:lang w:eastAsia="en-GB" w:bidi="he-IL"/>
        </w:rPr>
        <w:t>ד</w:t>
      </w:r>
      <w:r w:rsidR="00DA7463" w:rsidRPr="001005B7">
        <w:rPr>
          <w:rFonts w:cstheme="minorHAnsi"/>
          <w:lang w:eastAsia="en-GB"/>
        </w:rPr>
        <w:t xml:space="preserve">, </w:t>
      </w:r>
      <w:r w:rsidR="00154CE6" w:rsidRPr="001005B7">
        <w:rPr>
          <w:rFonts w:cstheme="minorHAnsi"/>
          <w:lang w:eastAsia="en-GB"/>
        </w:rPr>
        <w:t>“</w:t>
      </w:r>
      <w:r w:rsidR="00DA7463" w:rsidRPr="001005B7">
        <w:rPr>
          <w:rFonts w:cstheme="minorHAnsi"/>
          <w:lang w:eastAsia="en-GB"/>
        </w:rPr>
        <w:t>one,</w:t>
      </w:r>
      <w:r w:rsidR="00154CE6" w:rsidRPr="001005B7">
        <w:rPr>
          <w:rFonts w:cstheme="minorHAnsi"/>
          <w:lang w:eastAsia="en-GB"/>
        </w:rPr>
        <w:t>”</w:t>
      </w:r>
      <w:r w:rsidR="00DA7463" w:rsidRPr="001005B7">
        <w:rPr>
          <w:rFonts w:cstheme="minorHAnsi"/>
          <w:i/>
          <w:iCs/>
          <w:lang w:eastAsia="en-GB"/>
        </w:rPr>
        <w:t xml:space="preserve"> </w:t>
      </w:r>
      <w:r w:rsidR="00460B69" w:rsidRPr="001005B7">
        <w:rPr>
          <w:sz w:val="18"/>
          <w:szCs w:val="18"/>
        </w:rPr>
        <w:t>LXX</w:t>
      </w:r>
      <w:r w:rsidR="006B0E32" w:rsidRPr="001005B7">
        <w:rPr>
          <w:rFonts w:cstheme="minorHAnsi"/>
          <w:lang w:eastAsia="en-GB"/>
        </w:rPr>
        <w:t xml:space="preserve"> </w:t>
      </w:r>
      <w:r w:rsidR="008B461D" w:rsidRPr="001005B7">
        <w:rPr>
          <w:rFonts w:cstheme="minorHAnsi"/>
          <w:lang w:eastAsia="en-GB"/>
        </w:rPr>
        <w:t xml:space="preserve">“another” </w:t>
      </w:r>
      <w:r w:rsidR="006B0E32" w:rsidRPr="001005B7">
        <w:rPr>
          <w:rFonts w:cstheme="minorHAnsi"/>
          <w:lang w:eastAsia="en-GB"/>
        </w:rPr>
        <w:t xml:space="preserve">implies </w:t>
      </w:r>
      <w:r w:rsidR="00DA7463" w:rsidRPr="001005B7">
        <w:rPr>
          <w:rFonts w:cstheme="minorHAnsi"/>
          <w:rtl/>
          <w:lang w:eastAsia="en-GB" w:bidi="he-IL"/>
        </w:rPr>
        <w:t>א</w:t>
      </w:r>
      <w:r w:rsidR="001D3850" w:rsidRPr="001005B7">
        <w:rPr>
          <w:rFonts w:cstheme="minorHAnsi"/>
          <w:rtl/>
          <w:lang w:eastAsia="en-GB" w:bidi="he-IL"/>
        </w:rPr>
        <w:t>ַחֵר</w:t>
      </w:r>
      <w:r w:rsidR="00A07191" w:rsidRPr="001005B7">
        <w:rPr>
          <w:rFonts w:cstheme="minorHAnsi"/>
          <w:lang w:eastAsia="en-GB"/>
        </w:rPr>
        <w:t xml:space="preserve"> (</w:t>
      </w:r>
      <w:proofErr w:type="spellStart"/>
      <w:r w:rsidR="003513B6" w:rsidRPr="001005B7">
        <w:rPr>
          <w:rFonts w:cstheme="minorHAnsi"/>
          <w:lang w:eastAsia="en-GB"/>
        </w:rPr>
        <w:t>Th</w:t>
      </w:r>
      <w:r w:rsidR="007A2C18" w:rsidRPr="001005B7">
        <w:rPr>
          <w:rFonts w:cstheme="minorHAnsi"/>
          <w:lang w:eastAsia="en-GB"/>
        </w:rPr>
        <w:t>eod</w:t>
      </w:r>
      <w:proofErr w:type="spellEnd"/>
      <w:r w:rsidR="007A2C18" w:rsidRPr="001005B7">
        <w:rPr>
          <w:rFonts w:cstheme="minorHAnsi"/>
          <w:lang w:eastAsia="en-GB"/>
        </w:rPr>
        <w:t>.</w:t>
      </w:r>
      <w:r w:rsidR="003513B6" w:rsidRPr="001005B7">
        <w:rPr>
          <w:rFonts w:cstheme="minorHAnsi"/>
          <w:lang w:eastAsia="en-GB"/>
        </w:rPr>
        <w:t>, Aq</w:t>
      </w:r>
      <w:r w:rsidR="007A2C18" w:rsidRPr="001005B7">
        <w:rPr>
          <w:rFonts w:cstheme="minorHAnsi"/>
          <w:lang w:eastAsia="en-GB"/>
        </w:rPr>
        <w:t>.</w:t>
      </w:r>
      <w:r w:rsidR="003513B6" w:rsidRPr="001005B7">
        <w:rPr>
          <w:rFonts w:cstheme="minorHAnsi"/>
          <w:lang w:eastAsia="en-GB"/>
        </w:rPr>
        <w:t>, Sym</w:t>
      </w:r>
      <w:r w:rsidR="007A2C18" w:rsidRPr="001005B7">
        <w:rPr>
          <w:rFonts w:cstheme="minorHAnsi"/>
          <w:lang w:eastAsia="en-GB"/>
        </w:rPr>
        <w:t>.</w:t>
      </w:r>
      <w:r w:rsidR="003513B6" w:rsidRPr="001005B7">
        <w:rPr>
          <w:rFonts w:cstheme="minorHAnsi"/>
          <w:lang w:eastAsia="en-GB"/>
        </w:rPr>
        <w:t xml:space="preserve"> have “on</w:t>
      </w:r>
      <w:r w:rsidR="00BE6895" w:rsidRPr="001005B7">
        <w:rPr>
          <w:rFonts w:cstheme="minorHAnsi"/>
          <w:lang w:eastAsia="en-GB"/>
        </w:rPr>
        <w:t>e</w:t>
      </w:r>
      <w:r w:rsidR="003513B6" w:rsidRPr="001005B7">
        <w:rPr>
          <w:rFonts w:cstheme="minorHAnsi"/>
          <w:lang w:eastAsia="en-GB"/>
        </w:rPr>
        <w:t>”).</w:t>
      </w:r>
    </w:p>
    <w:p w14:paraId="7C454943" w14:textId="650209F6" w:rsidR="00015B10" w:rsidRPr="001005B7" w:rsidRDefault="00B67C27" w:rsidP="00B67C27">
      <w:pPr>
        <w:ind w:firstLine="0"/>
        <w:rPr>
          <w:rFonts w:cstheme="minorHAnsi"/>
          <w:lang w:eastAsia="en-GB"/>
        </w:rPr>
      </w:pPr>
      <w:r w:rsidRPr="001005B7">
        <w:rPr>
          <w:rFonts w:cstheme="minorHAnsi"/>
          <w:b/>
          <w:bCs/>
          <w:lang w:eastAsia="en-GB"/>
        </w:rPr>
        <w:t xml:space="preserve">11:21 </w:t>
      </w:r>
      <w:r w:rsidR="006D03F2" w:rsidRPr="001005B7">
        <w:rPr>
          <w:rFonts w:cstheme="minorHAnsi"/>
          <w:lang w:eastAsia="en-GB"/>
        </w:rPr>
        <w:t>For</w:t>
      </w:r>
      <w:r w:rsidR="001B0C39" w:rsidRPr="001005B7">
        <w:rPr>
          <w:rFonts w:cstheme="minorHAnsi"/>
          <w:lang w:eastAsia="en-GB"/>
        </w:rPr>
        <w:t xml:space="preserve"> </w:t>
      </w:r>
      <w:r w:rsidR="001B0C39" w:rsidRPr="001005B7">
        <w:rPr>
          <w:rFonts w:cstheme="minorHAnsi"/>
          <w:rtl/>
          <w:lang w:eastAsia="en-GB" w:bidi="he-IL"/>
        </w:rPr>
        <w:t>וְא</w:t>
      </w:r>
      <w:r w:rsidR="00741DA7" w:rsidRPr="001005B7">
        <w:rPr>
          <w:rFonts w:cstheme="minorHAnsi"/>
          <w:rtl/>
          <w:lang w:eastAsia="en-GB" w:bidi="he-IL"/>
        </w:rPr>
        <w:t>ֶל</w:t>
      </w:r>
      <w:r w:rsidR="005D7CC0" w:rsidRPr="001005B7">
        <w:rPr>
          <w:rFonts w:cstheme="minorHAnsi"/>
          <w:rtl/>
          <w:lang w:eastAsia="en-GB" w:bidi="he-IL"/>
        </w:rPr>
        <w:t xml:space="preserve"> ל</w:t>
      </w:r>
      <w:r w:rsidR="00741DA7" w:rsidRPr="001005B7">
        <w:rPr>
          <w:rFonts w:cstheme="minorHAnsi"/>
          <w:rtl/>
          <w:lang w:eastAsia="en-GB" w:bidi="he-IL"/>
        </w:rPr>
        <w:t>ֵ</w:t>
      </w:r>
      <w:r w:rsidR="00EF7B36" w:rsidRPr="001005B7">
        <w:rPr>
          <w:rFonts w:cstheme="minorHAnsi"/>
          <w:rtl/>
          <w:lang w:eastAsia="en-GB" w:bidi="he-IL"/>
        </w:rPr>
        <w:t>ב</w:t>
      </w:r>
      <w:r w:rsidR="001A55B4" w:rsidRPr="001005B7">
        <w:rPr>
          <w:rFonts w:cstheme="minorHAnsi"/>
          <w:lang w:eastAsia="en-GB"/>
        </w:rPr>
        <w:t>,</w:t>
      </w:r>
      <w:r w:rsidR="00B201E3" w:rsidRPr="001005B7">
        <w:rPr>
          <w:rFonts w:cstheme="minorHAnsi"/>
          <w:i/>
          <w:iCs/>
          <w:lang w:eastAsia="en-GB"/>
        </w:rPr>
        <w:t xml:space="preserve"> </w:t>
      </w:r>
      <w:r w:rsidR="00021DF8" w:rsidRPr="001005B7">
        <w:rPr>
          <w:rFonts w:cstheme="minorHAnsi"/>
          <w:lang w:eastAsia="en-GB"/>
        </w:rPr>
        <w:t xml:space="preserve">“but </w:t>
      </w:r>
      <w:r w:rsidR="00E40A0C">
        <w:rPr>
          <w:lang w:eastAsia="en-GB"/>
        </w:rPr>
        <w:t>as for</w:t>
      </w:r>
      <w:r w:rsidR="00021DF8" w:rsidRPr="001005B7">
        <w:rPr>
          <w:lang w:eastAsia="en-GB"/>
        </w:rPr>
        <w:t xml:space="preserve"> [people with] a mind,” </w:t>
      </w:r>
      <w:r w:rsidR="00D27634" w:rsidRPr="001005B7">
        <w:rPr>
          <w:sz w:val="18"/>
          <w:szCs w:val="18"/>
        </w:rPr>
        <w:t>NRSV</w:t>
      </w:r>
      <w:r w:rsidR="00490FC0" w:rsidRPr="001005B7">
        <w:rPr>
          <w:rFonts w:cstheme="minorHAnsi"/>
          <w:lang w:eastAsia="en-GB"/>
        </w:rPr>
        <w:t xml:space="preserve"> </w:t>
      </w:r>
      <w:r w:rsidR="00063F6C" w:rsidRPr="001005B7">
        <w:rPr>
          <w:rFonts w:cstheme="minorHAnsi"/>
          <w:lang w:eastAsia="en-GB"/>
        </w:rPr>
        <w:t>“</w:t>
      </w:r>
      <w:r w:rsidR="006F2F53" w:rsidRPr="001005B7">
        <w:rPr>
          <w:rFonts w:cstheme="minorHAnsi"/>
          <w:lang w:eastAsia="en-GB"/>
        </w:rPr>
        <w:t xml:space="preserve">but as for </w:t>
      </w:r>
      <w:r w:rsidR="009F427C" w:rsidRPr="001005B7">
        <w:rPr>
          <w:rFonts w:cstheme="minorHAnsi"/>
          <w:lang w:eastAsia="en-GB"/>
        </w:rPr>
        <w:t>those</w:t>
      </w:r>
      <w:r w:rsidR="00AD7947" w:rsidRPr="001005B7">
        <w:rPr>
          <w:rFonts w:cstheme="minorHAnsi"/>
          <w:lang w:eastAsia="en-GB"/>
        </w:rPr>
        <w:t>…</w:t>
      </w:r>
      <w:r w:rsidR="00055A7E" w:rsidRPr="001005B7">
        <w:rPr>
          <w:rFonts w:cstheme="minorHAnsi"/>
          <w:lang w:eastAsia="en-GB"/>
        </w:rPr>
        <w:t xml:space="preserve"> after” </w:t>
      </w:r>
      <w:r w:rsidR="00126A17" w:rsidRPr="001005B7">
        <w:rPr>
          <w:rFonts w:cstheme="minorHAnsi"/>
          <w:lang w:eastAsia="en-GB"/>
        </w:rPr>
        <w:t>implie</w:t>
      </w:r>
      <w:r w:rsidR="00490FC0" w:rsidRPr="001005B7">
        <w:rPr>
          <w:rFonts w:cstheme="minorHAnsi"/>
          <w:lang w:eastAsia="en-GB"/>
        </w:rPr>
        <w:t>s</w:t>
      </w:r>
      <w:r w:rsidR="005E7D6F" w:rsidRPr="001005B7">
        <w:rPr>
          <w:rFonts w:cstheme="minorHAnsi"/>
          <w:lang w:eastAsia="en-GB"/>
        </w:rPr>
        <w:t xml:space="preserve"> </w:t>
      </w:r>
      <w:r w:rsidR="005E7D6F" w:rsidRPr="001005B7">
        <w:rPr>
          <w:rFonts w:cstheme="minorHAnsi"/>
          <w:rtl/>
          <w:lang w:eastAsia="en-GB" w:bidi="he-IL"/>
        </w:rPr>
        <w:t>וְא</w:t>
      </w:r>
      <w:r w:rsidR="001063F3" w:rsidRPr="001005B7">
        <w:rPr>
          <w:rFonts w:cstheme="minorHAnsi"/>
          <w:rtl/>
          <w:lang w:eastAsia="en-GB" w:bidi="he-IL"/>
        </w:rPr>
        <w:t>ֵ</w:t>
      </w:r>
      <w:r w:rsidR="005E7D6F" w:rsidRPr="001005B7">
        <w:rPr>
          <w:rFonts w:cstheme="minorHAnsi"/>
          <w:rtl/>
          <w:lang w:eastAsia="en-GB" w:bidi="he-IL"/>
        </w:rPr>
        <w:t>לֶּה</w:t>
      </w:r>
      <w:r w:rsidR="00FB551D" w:rsidRPr="001005B7">
        <w:rPr>
          <w:rFonts w:cstheme="minorHAnsi"/>
          <w:rtl/>
          <w:lang w:eastAsia="en-GB" w:bidi="he-IL"/>
        </w:rPr>
        <w:t xml:space="preserve"> </w:t>
      </w:r>
      <w:r w:rsidR="00966DF8" w:rsidRPr="001005B7">
        <w:rPr>
          <w:rFonts w:cstheme="minorHAnsi"/>
          <w:rtl/>
          <w:lang w:eastAsia="en-GB" w:bidi="he-IL"/>
        </w:rPr>
        <w:t>אַחֲרֵי</w:t>
      </w:r>
      <w:r w:rsidR="00126A17" w:rsidRPr="001005B7">
        <w:rPr>
          <w:rFonts w:cstheme="minorHAnsi"/>
          <w:lang w:eastAsia="en-GB"/>
        </w:rPr>
        <w:t xml:space="preserve"> (</w:t>
      </w:r>
      <w:proofErr w:type="spellStart"/>
      <w:r w:rsidR="00490037" w:rsidRPr="001005B7">
        <w:rPr>
          <w:rFonts w:cstheme="minorHAnsi"/>
          <w:lang w:eastAsia="en-GB"/>
        </w:rPr>
        <w:t>Co</w:t>
      </w:r>
      <w:r w:rsidR="00063F6C" w:rsidRPr="001005B7">
        <w:rPr>
          <w:rFonts w:cstheme="minorHAnsi"/>
          <w:lang w:eastAsia="en-GB"/>
        </w:rPr>
        <w:t>r</w:t>
      </w:r>
      <w:r w:rsidR="00490037" w:rsidRPr="001005B7">
        <w:rPr>
          <w:rFonts w:cstheme="minorHAnsi"/>
          <w:lang w:eastAsia="en-GB"/>
        </w:rPr>
        <w:t>nill</w:t>
      </w:r>
      <w:proofErr w:type="spellEnd"/>
      <w:r w:rsidR="00490037" w:rsidRPr="001005B7">
        <w:rPr>
          <w:rFonts w:cstheme="minorHAnsi"/>
          <w:lang w:eastAsia="en-GB"/>
        </w:rPr>
        <w:t>, 239</w:t>
      </w:r>
      <w:r w:rsidR="00126A17" w:rsidRPr="001005B7">
        <w:rPr>
          <w:rFonts w:cstheme="minorHAnsi"/>
          <w:lang w:eastAsia="en-GB"/>
        </w:rPr>
        <w:t>).</w:t>
      </w:r>
      <w:r w:rsidR="00490FC0" w:rsidRPr="001005B7">
        <w:rPr>
          <w:rFonts w:cstheme="minorHAnsi"/>
          <w:lang w:eastAsia="en-GB"/>
        </w:rPr>
        <w:t xml:space="preserve"> </w:t>
      </w:r>
    </w:p>
    <w:p w14:paraId="27A247AF" w14:textId="38F2E8CE" w:rsidR="00237616" w:rsidRPr="001005B7" w:rsidRDefault="00785FC1" w:rsidP="00493833">
      <w:pPr>
        <w:pStyle w:val="Heading3"/>
      </w:pPr>
      <w:r w:rsidRPr="001005B7">
        <w:t>Verse-by-Verse Commentary</w:t>
      </w:r>
    </w:p>
    <w:p w14:paraId="5A2924E4" w14:textId="257A4666" w:rsidR="002847A2" w:rsidRPr="001005B7" w:rsidRDefault="00785FC1" w:rsidP="00F17797">
      <w:pPr>
        <w:rPr>
          <w:lang w:eastAsia="en-GB"/>
        </w:rPr>
      </w:pPr>
      <w:r w:rsidRPr="001005B7">
        <w:rPr>
          <w:b/>
          <w:bCs/>
          <w:lang w:eastAsia="en-GB"/>
        </w:rPr>
        <w:t>1</w:t>
      </w:r>
      <w:r w:rsidR="009E1FE3" w:rsidRPr="001005B7">
        <w:rPr>
          <w:b/>
          <w:bCs/>
          <w:lang w:eastAsia="en-GB"/>
        </w:rPr>
        <w:t>1</w:t>
      </w:r>
      <w:r w:rsidR="009D1AE5" w:rsidRPr="001005B7">
        <w:rPr>
          <w:b/>
          <w:bCs/>
          <w:lang w:eastAsia="en-GB"/>
        </w:rPr>
        <w:t>:1</w:t>
      </w:r>
      <w:r w:rsidRPr="001005B7">
        <w:rPr>
          <w:b/>
          <w:bCs/>
          <w:lang w:eastAsia="en-GB"/>
        </w:rPr>
        <w:t xml:space="preserve"> </w:t>
      </w:r>
      <w:r w:rsidR="002267A9" w:rsidRPr="001005B7">
        <w:rPr>
          <w:lang w:eastAsia="en-GB"/>
        </w:rPr>
        <w:t xml:space="preserve">Ezekiel’s opening words repeat </w:t>
      </w:r>
      <w:r w:rsidR="006976A3" w:rsidRPr="001005B7">
        <w:rPr>
          <w:lang w:eastAsia="en-GB"/>
        </w:rPr>
        <w:t xml:space="preserve">the ones </w:t>
      </w:r>
      <w:r w:rsidR="00D54BCB" w:rsidRPr="001005B7">
        <w:rPr>
          <w:lang w:eastAsia="en-GB"/>
        </w:rPr>
        <w:t>at</w:t>
      </w:r>
      <w:r w:rsidR="00E82F87" w:rsidRPr="001005B7">
        <w:rPr>
          <w:lang w:eastAsia="en-GB"/>
        </w:rPr>
        <w:t xml:space="preserve"> the beginning of this vision</w:t>
      </w:r>
      <w:r w:rsidR="002267A9" w:rsidRPr="001005B7">
        <w:rPr>
          <w:lang w:eastAsia="en-GB"/>
        </w:rPr>
        <w:t xml:space="preserve"> </w:t>
      </w:r>
      <w:r w:rsidR="00AF1050">
        <w:rPr>
          <w:lang w:eastAsia="en-GB"/>
        </w:rPr>
        <w:t>(</w:t>
      </w:r>
      <w:r w:rsidR="002267A9" w:rsidRPr="001005B7">
        <w:rPr>
          <w:lang w:eastAsia="en-GB"/>
        </w:rPr>
        <w:t>8:</w:t>
      </w:r>
      <w:r w:rsidR="00773077" w:rsidRPr="001005B7">
        <w:rPr>
          <w:lang w:eastAsia="en-GB"/>
        </w:rPr>
        <w:t>3</w:t>
      </w:r>
      <w:r w:rsidR="00AF1050">
        <w:rPr>
          <w:lang w:eastAsia="en-GB"/>
        </w:rPr>
        <w:t>)</w:t>
      </w:r>
      <w:r w:rsidR="00747BCB" w:rsidRPr="001005B7">
        <w:rPr>
          <w:lang w:eastAsia="en-GB"/>
        </w:rPr>
        <w:t>,</w:t>
      </w:r>
      <w:r w:rsidR="00773077" w:rsidRPr="001005B7">
        <w:rPr>
          <w:lang w:eastAsia="en-GB"/>
        </w:rPr>
        <w:t xml:space="preserve"> and</w:t>
      </w:r>
      <w:r w:rsidR="00E82F87" w:rsidRPr="001005B7">
        <w:rPr>
          <w:lang w:eastAsia="en-GB"/>
        </w:rPr>
        <w:t xml:space="preserve"> </w:t>
      </w:r>
      <w:r w:rsidR="001E74D5" w:rsidRPr="001005B7">
        <w:rPr>
          <w:lang w:eastAsia="en-GB"/>
        </w:rPr>
        <w:t xml:space="preserve">might </w:t>
      </w:r>
      <w:r w:rsidR="00E82F87" w:rsidRPr="001005B7">
        <w:rPr>
          <w:lang w:eastAsia="en-GB"/>
        </w:rPr>
        <w:t>thus</w:t>
      </w:r>
      <w:r w:rsidR="00773077" w:rsidRPr="001005B7">
        <w:rPr>
          <w:lang w:eastAsia="en-GB"/>
        </w:rPr>
        <w:t xml:space="preserve"> </w:t>
      </w:r>
      <w:r w:rsidR="002976BB" w:rsidRPr="001005B7">
        <w:rPr>
          <w:lang w:eastAsia="en-GB"/>
        </w:rPr>
        <w:t xml:space="preserve">have </w:t>
      </w:r>
      <w:r w:rsidR="00DA0AFD" w:rsidRPr="001005B7">
        <w:rPr>
          <w:lang w:eastAsia="en-GB"/>
        </w:rPr>
        <w:t>impl</w:t>
      </w:r>
      <w:r w:rsidR="002976BB" w:rsidRPr="001005B7">
        <w:rPr>
          <w:lang w:eastAsia="en-GB"/>
        </w:rPr>
        <w:t>ied</w:t>
      </w:r>
      <w:r w:rsidR="00DA0AFD" w:rsidRPr="001005B7">
        <w:rPr>
          <w:lang w:eastAsia="en-GB"/>
        </w:rPr>
        <w:t xml:space="preserve"> that this is </w:t>
      </w:r>
      <w:r w:rsidR="00773077" w:rsidRPr="001005B7">
        <w:rPr>
          <w:lang w:eastAsia="en-GB"/>
        </w:rPr>
        <w:t>a significant new mo</w:t>
      </w:r>
      <w:r w:rsidR="00835E23" w:rsidRPr="001005B7">
        <w:rPr>
          <w:lang w:eastAsia="en-GB"/>
        </w:rPr>
        <w:t>ment</w:t>
      </w:r>
      <w:r w:rsidR="00E82F87" w:rsidRPr="001005B7">
        <w:rPr>
          <w:lang w:eastAsia="en-GB"/>
        </w:rPr>
        <w:t xml:space="preserve"> </w:t>
      </w:r>
      <w:r w:rsidR="00835E23" w:rsidRPr="001005B7">
        <w:rPr>
          <w:lang w:eastAsia="en-GB"/>
        </w:rPr>
        <w:t>at the beginning of Act 4</w:t>
      </w:r>
      <w:r w:rsidR="00515CE5" w:rsidRPr="001005B7">
        <w:rPr>
          <w:lang w:eastAsia="en-GB"/>
        </w:rPr>
        <w:t xml:space="preserve">, but </w:t>
      </w:r>
      <w:r w:rsidR="00C15665" w:rsidRPr="001005B7">
        <w:rPr>
          <w:lang w:eastAsia="en-GB"/>
        </w:rPr>
        <w:t xml:space="preserve">actually </w:t>
      </w:r>
      <w:r w:rsidR="00BC7DCF" w:rsidRPr="001005B7">
        <w:rPr>
          <w:lang w:eastAsia="en-GB"/>
        </w:rPr>
        <w:t xml:space="preserve">the spirit is simply </w:t>
      </w:r>
      <w:r w:rsidR="00C15665" w:rsidRPr="001005B7">
        <w:rPr>
          <w:lang w:eastAsia="en-GB"/>
        </w:rPr>
        <w:t>making it possible for Ezekiel</w:t>
      </w:r>
      <w:r w:rsidR="00BC7DCF" w:rsidRPr="001005B7">
        <w:rPr>
          <w:lang w:eastAsia="en-GB"/>
        </w:rPr>
        <w:t xml:space="preserve"> to catch up with </w:t>
      </w:r>
      <w:r w:rsidR="00FB5CA5" w:rsidRPr="001005B7">
        <w:rPr>
          <w:lang w:eastAsia="en-GB"/>
        </w:rPr>
        <w:t xml:space="preserve">the </w:t>
      </w:r>
      <w:r w:rsidR="00E16487" w:rsidRPr="001005B7">
        <w:rPr>
          <w:lang w:eastAsia="en-GB"/>
        </w:rPr>
        <w:t xml:space="preserve">movement of the </w:t>
      </w:r>
      <w:r w:rsidR="003001D1" w:rsidRPr="001005B7">
        <w:rPr>
          <w:lang w:eastAsia="en-GB"/>
        </w:rPr>
        <w:t>griffin</w:t>
      </w:r>
      <w:r w:rsidR="00FB5CA5" w:rsidRPr="001005B7">
        <w:rPr>
          <w:lang w:eastAsia="en-GB"/>
        </w:rPr>
        <w:t>s and Yahweh (10:</w:t>
      </w:r>
      <w:r w:rsidR="00DC1853" w:rsidRPr="001005B7">
        <w:rPr>
          <w:lang w:eastAsia="en-GB"/>
        </w:rPr>
        <w:t>18</w:t>
      </w:r>
      <w:r w:rsidR="00F46900" w:rsidRPr="001005B7">
        <w:rPr>
          <w:lang w:eastAsia="en-GB"/>
        </w:rPr>
        <w:t>–</w:t>
      </w:r>
      <w:r w:rsidR="00DC1853" w:rsidRPr="001005B7">
        <w:rPr>
          <w:lang w:eastAsia="en-GB"/>
        </w:rPr>
        <w:t xml:space="preserve">21). </w:t>
      </w:r>
      <w:r w:rsidR="00CC4357" w:rsidRPr="001005B7">
        <w:rPr>
          <w:lang w:eastAsia="en-GB"/>
        </w:rPr>
        <w:t xml:space="preserve">The </w:t>
      </w:r>
      <w:r w:rsidR="0006706E" w:rsidRPr="001005B7">
        <w:rPr>
          <w:lang w:eastAsia="en-GB"/>
        </w:rPr>
        <w:t xml:space="preserve">entrance to the </w:t>
      </w:r>
      <w:r w:rsidR="00AA134A" w:rsidRPr="001005B7">
        <w:rPr>
          <w:lang w:eastAsia="en-GB"/>
        </w:rPr>
        <w:t xml:space="preserve">gateway implies a place </w:t>
      </w:r>
      <w:r w:rsidR="006E1E5C" w:rsidRPr="001005B7">
        <w:rPr>
          <w:lang w:eastAsia="en-GB"/>
        </w:rPr>
        <w:t>on the edge of</w:t>
      </w:r>
      <w:r w:rsidR="000B1F4D" w:rsidRPr="001005B7">
        <w:rPr>
          <w:lang w:eastAsia="en-GB"/>
        </w:rPr>
        <w:t xml:space="preserve"> the temple courtyards </w:t>
      </w:r>
      <w:r w:rsidR="00AA134A" w:rsidRPr="001005B7">
        <w:rPr>
          <w:lang w:eastAsia="en-GB"/>
        </w:rPr>
        <w:t>where a</w:t>
      </w:r>
      <w:r w:rsidR="006E1E5C" w:rsidRPr="001005B7">
        <w:rPr>
          <w:lang w:eastAsia="en-GB"/>
        </w:rPr>
        <w:t xml:space="preserve"> group of people could have an</w:t>
      </w:r>
      <w:r w:rsidR="00AA134A" w:rsidRPr="001005B7">
        <w:rPr>
          <w:lang w:eastAsia="en-GB"/>
        </w:rPr>
        <w:t xml:space="preserve"> informal meetin</w:t>
      </w:r>
      <w:r w:rsidR="000B1F4D" w:rsidRPr="001005B7">
        <w:rPr>
          <w:lang w:eastAsia="en-GB"/>
        </w:rPr>
        <w:t>g</w:t>
      </w:r>
      <w:r w:rsidR="00294B75" w:rsidRPr="001005B7">
        <w:rPr>
          <w:lang w:eastAsia="en-GB"/>
        </w:rPr>
        <w:t xml:space="preserve">. </w:t>
      </w:r>
      <w:r w:rsidR="00D85F01" w:rsidRPr="001005B7">
        <w:rPr>
          <w:lang w:eastAsia="en-GB"/>
        </w:rPr>
        <w:t xml:space="preserve">The group </w:t>
      </w:r>
      <w:r w:rsidR="00294B75" w:rsidRPr="001005B7">
        <w:rPr>
          <w:lang w:eastAsia="en-GB"/>
        </w:rPr>
        <w:t>seems to be</w:t>
      </w:r>
      <w:r w:rsidR="00403F86" w:rsidRPr="001005B7">
        <w:rPr>
          <w:lang w:eastAsia="en-GB"/>
        </w:rPr>
        <w:t xml:space="preserve"> </w:t>
      </w:r>
      <w:r w:rsidR="00C0159B" w:rsidRPr="001005B7">
        <w:rPr>
          <w:lang w:eastAsia="en-GB"/>
        </w:rPr>
        <w:t xml:space="preserve">different </w:t>
      </w:r>
      <w:r w:rsidR="00403F86" w:rsidRPr="001005B7">
        <w:rPr>
          <w:lang w:eastAsia="en-GB"/>
        </w:rPr>
        <w:t xml:space="preserve">from the </w:t>
      </w:r>
      <w:r w:rsidR="001A6A5B" w:rsidRPr="001005B7">
        <w:rPr>
          <w:lang w:eastAsia="en-GB"/>
        </w:rPr>
        <w:t>“</w:t>
      </w:r>
      <w:r w:rsidR="00403F86" w:rsidRPr="001005B7">
        <w:rPr>
          <w:lang w:eastAsia="en-GB"/>
        </w:rPr>
        <w:t>some</w:t>
      </w:r>
      <w:r w:rsidR="00403F86" w:rsidRPr="001005B7">
        <w:rPr>
          <w:i/>
          <w:iCs/>
          <w:lang w:eastAsia="en-GB"/>
        </w:rPr>
        <w:t xml:space="preserve"> </w:t>
      </w:r>
      <w:r w:rsidR="00403F86" w:rsidRPr="001005B7">
        <w:rPr>
          <w:lang w:eastAsia="en-GB"/>
        </w:rPr>
        <w:t>twenty</w:t>
      </w:r>
      <w:r w:rsidR="00403F86" w:rsidRPr="001005B7">
        <w:rPr>
          <w:i/>
          <w:iCs/>
          <w:lang w:eastAsia="en-GB"/>
        </w:rPr>
        <w:t>-</w:t>
      </w:r>
      <w:r w:rsidR="00403F86" w:rsidRPr="001005B7">
        <w:rPr>
          <w:lang w:eastAsia="en-GB"/>
        </w:rPr>
        <w:t>five</w:t>
      </w:r>
      <w:r w:rsidR="001A6A5B" w:rsidRPr="001005B7">
        <w:rPr>
          <w:lang w:eastAsia="en-GB"/>
        </w:rPr>
        <w:t>”</w:t>
      </w:r>
      <w:r w:rsidR="00403F86" w:rsidRPr="001005B7">
        <w:rPr>
          <w:lang w:eastAsia="en-GB"/>
        </w:rPr>
        <w:t xml:space="preserve"> wor</w:t>
      </w:r>
      <w:r w:rsidR="00D85E97" w:rsidRPr="001005B7">
        <w:rPr>
          <w:lang w:eastAsia="en-GB"/>
        </w:rPr>
        <w:t>s</w:t>
      </w:r>
      <w:r w:rsidR="00403F86" w:rsidRPr="001005B7">
        <w:rPr>
          <w:lang w:eastAsia="en-GB"/>
        </w:rPr>
        <w:t>h</w:t>
      </w:r>
      <w:r w:rsidR="00D85E97" w:rsidRPr="001005B7">
        <w:rPr>
          <w:lang w:eastAsia="en-GB"/>
        </w:rPr>
        <w:t>i</w:t>
      </w:r>
      <w:r w:rsidR="00403F86" w:rsidRPr="001005B7">
        <w:rPr>
          <w:lang w:eastAsia="en-GB"/>
        </w:rPr>
        <w:t xml:space="preserve">pers </w:t>
      </w:r>
      <w:r w:rsidR="00D85E97" w:rsidRPr="001005B7">
        <w:rPr>
          <w:lang w:eastAsia="en-GB"/>
        </w:rPr>
        <w:t>in the inner court in 8:16</w:t>
      </w:r>
      <w:r w:rsidR="0020364F" w:rsidRPr="001005B7">
        <w:rPr>
          <w:lang w:eastAsia="en-GB"/>
        </w:rPr>
        <w:t xml:space="preserve">. </w:t>
      </w:r>
      <w:r w:rsidR="00A265EC" w:rsidRPr="001005B7">
        <w:rPr>
          <w:lang w:eastAsia="en-GB"/>
        </w:rPr>
        <w:t>We don</w:t>
      </w:r>
      <w:r w:rsidR="00C0159B" w:rsidRPr="001005B7">
        <w:rPr>
          <w:lang w:eastAsia="en-GB"/>
        </w:rPr>
        <w:t>’</w:t>
      </w:r>
      <w:r w:rsidR="00A265EC" w:rsidRPr="001005B7">
        <w:rPr>
          <w:lang w:eastAsia="en-GB"/>
        </w:rPr>
        <w:t xml:space="preserve">t know anything else about </w:t>
      </w:r>
      <w:r w:rsidR="00C22428" w:rsidRPr="001005B7">
        <w:rPr>
          <w:lang w:eastAsia="en-GB"/>
        </w:rPr>
        <w:t xml:space="preserve">this </w:t>
      </w:r>
      <w:proofErr w:type="spellStart"/>
      <w:r w:rsidR="00A265EC" w:rsidRPr="001005B7">
        <w:rPr>
          <w:lang w:eastAsia="en-GB"/>
        </w:rPr>
        <w:t>Ya</w:t>
      </w:r>
      <w:r w:rsidR="00A265EC" w:rsidRPr="001005B7">
        <w:rPr>
          <w:rFonts w:cstheme="minorHAnsi"/>
          <w:lang w:eastAsia="en-GB"/>
        </w:rPr>
        <w:t>ʾ</w:t>
      </w:r>
      <w:r w:rsidR="00A265EC" w:rsidRPr="001005B7">
        <w:rPr>
          <w:lang w:eastAsia="en-GB"/>
        </w:rPr>
        <w:t>azanyah</w:t>
      </w:r>
      <w:proofErr w:type="spellEnd"/>
      <w:r w:rsidR="00A265EC" w:rsidRPr="001005B7">
        <w:rPr>
          <w:lang w:eastAsia="en-GB"/>
        </w:rPr>
        <w:t xml:space="preserve"> </w:t>
      </w:r>
      <w:r w:rsidR="002704AC" w:rsidRPr="001005B7">
        <w:rPr>
          <w:lang w:eastAsia="en-GB"/>
        </w:rPr>
        <w:t xml:space="preserve">(a different </w:t>
      </w:r>
      <w:proofErr w:type="spellStart"/>
      <w:r w:rsidR="002704AC" w:rsidRPr="001005B7">
        <w:rPr>
          <w:lang w:eastAsia="en-GB"/>
        </w:rPr>
        <w:t>Ya</w:t>
      </w:r>
      <w:r w:rsidR="002704AC" w:rsidRPr="001005B7">
        <w:rPr>
          <w:rFonts w:cstheme="minorHAnsi"/>
          <w:lang w:eastAsia="en-GB"/>
        </w:rPr>
        <w:t>ʾ</w:t>
      </w:r>
      <w:r w:rsidR="002704AC" w:rsidRPr="001005B7">
        <w:rPr>
          <w:lang w:eastAsia="en-GB"/>
        </w:rPr>
        <w:t>azanyah</w:t>
      </w:r>
      <w:proofErr w:type="spellEnd"/>
      <w:r w:rsidR="002704AC" w:rsidRPr="001005B7">
        <w:rPr>
          <w:lang w:eastAsia="en-GB"/>
        </w:rPr>
        <w:t xml:space="preserve"> </w:t>
      </w:r>
      <w:r w:rsidR="00C22428" w:rsidRPr="001005B7">
        <w:rPr>
          <w:lang w:eastAsia="en-GB"/>
        </w:rPr>
        <w:t>from the one in 8:11)</w:t>
      </w:r>
      <w:r w:rsidR="000E47B1" w:rsidRPr="001005B7">
        <w:rPr>
          <w:lang w:eastAsia="en-GB"/>
        </w:rPr>
        <w:t xml:space="preserve"> </w:t>
      </w:r>
      <w:r w:rsidR="00A265EC" w:rsidRPr="001005B7">
        <w:rPr>
          <w:lang w:eastAsia="en-GB"/>
        </w:rPr>
        <w:t xml:space="preserve">or </w:t>
      </w:r>
      <w:r w:rsidR="003C26A6" w:rsidRPr="001005B7">
        <w:rPr>
          <w:lang w:eastAsia="en-GB"/>
        </w:rPr>
        <w:t xml:space="preserve">about </w:t>
      </w:r>
      <w:proofErr w:type="spellStart"/>
      <w:r w:rsidR="00A265EC" w:rsidRPr="001005B7">
        <w:rPr>
          <w:lang w:eastAsia="en-GB"/>
        </w:rPr>
        <w:t>Pelatyahu</w:t>
      </w:r>
      <w:proofErr w:type="spellEnd"/>
      <w:r w:rsidR="006E1159" w:rsidRPr="001005B7">
        <w:rPr>
          <w:lang w:eastAsia="en-GB"/>
        </w:rPr>
        <w:t>, but</w:t>
      </w:r>
      <w:r w:rsidR="003C26A6" w:rsidRPr="001005B7">
        <w:rPr>
          <w:lang w:eastAsia="en-GB"/>
        </w:rPr>
        <w:t xml:space="preserve"> </w:t>
      </w:r>
      <w:r w:rsidR="0038544B" w:rsidRPr="001005B7">
        <w:rPr>
          <w:lang w:eastAsia="en-GB"/>
        </w:rPr>
        <w:t>we will discover</w:t>
      </w:r>
      <w:r w:rsidR="00364757" w:rsidRPr="001005B7">
        <w:rPr>
          <w:lang w:eastAsia="en-GB"/>
        </w:rPr>
        <w:t xml:space="preserve"> in </w:t>
      </w:r>
      <w:r w:rsidR="003D021F" w:rsidRPr="001005B7">
        <w:rPr>
          <w:lang w:eastAsia="en-GB"/>
        </w:rPr>
        <w:t>11:</w:t>
      </w:r>
      <w:r w:rsidR="00364757" w:rsidRPr="001005B7">
        <w:rPr>
          <w:lang w:eastAsia="en-GB"/>
        </w:rPr>
        <w:t>13</w:t>
      </w:r>
      <w:r w:rsidR="0038544B" w:rsidRPr="001005B7">
        <w:rPr>
          <w:lang w:eastAsia="en-GB"/>
        </w:rPr>
        <w:t xml:space="preserve"> why </w:t>
      </w:r>
      <w:r w:rsidR="00364757" w:rsidRPr="001005B7">
        <w:rPr>
          <w:lang w:eastAsia="en-GB"/>
        </w:rPr>
        <w:t>Ezekiel</w:t>
      </w:r>
      <w:r w:rsidR="0038544B" w:rsidRPr="001005B7">
        <w:rPr>
          <w:lang w:eastAsia="en-GB"/>
        </w:rPr>
        <w:t xml:space="preserve"> mentions </w:t>
      </w:r>
      <w:proofErr w:type="spellStart"/>
      <w:r w:rsidR="00B15578" w:rsidRPr="001005B7">
        <w:rPr>
          <w:lang w:eastAsia="en-GB"/>
        </w:rPr>
        <w:t>Pelatyahu</w:t>
      </w:r>
      <w:proofErr w:type="spellEnd"/>
      <w:r w:rsidR="007A2D95" w:rsidRPr="001005B7">
        <w:rPr>
          <w:lang w:eastAsia="en-GB"/>
        </w:rPr>
        <w:t xml:space="preserve">. </w:t>
      </w:r>
      <w:r w:rsidR="007A632F" w:rsidRPr="001005B7">
        <w:rPr>
          <w:lang w:eastAsia="en-GB"/>
        </w:rPr>
        <w:t xml:space="preserve">Both are common names. </w:t>
      </w:r>
      <w:r w:rsidR="00940718" w:rsidRPr="001005B7">
        <w:rPr>
          <w:lang w:eastAsia="en-GB"/>
        </w:rPr>
        <w:t>“</w:t>
      </w:r>
      <w:r w:rsidR="007A2D95" w:rsidRPr="001005B7">
        <w:rPr>
          <w:lang w:eastAsia="en-GB"/>
        </w:rPr>
        <w:t>Officials</w:t>
      </w:r>
      <w:r w:rsidR="00940718" w:rsidRPr="001005B7">
        <w:rPr>
          <w:lang w:eastAsia="en-GB"/>
        </w:rPr>
        <w:t>”</w:t>
      </w:r>
      <w:r w:rsidR="00F301C7" w:rsidRPr="001005B7">
        <w:rPr>
          <w:lang w:eastAsia="en-GB"/>
        </w:rPr>
        <w:t xml:space="preserve"> is a quite general term</w:t>
      </w:r>
      <w:r w:rsidR="00A47199" w:rsidRPr="001005B7">
        <w:rPr>
          <w:lang w:eastAsia="en-GB"/>
        </w:rPr>
        <w:t xml:space="preserve">, but </w:t>
      </w:r>
      <w:r w:rsidR="003D021F" w:rsidRPr="001005B7">
        <w:rPr>
          <w:lang w:eastAsia="en-GB"/>
        </w:rPr>
        <w:t>11:</w:t>
      </w:r>
      <w:r w:rsidR="00F9154C" w:rsidRPr="001005B7">
        <w:rPr>
          <w:lang w:eastAsia="en-GB"/>
        </w:rPr>
        <w:t xml:space="preserve">2 </w:t>
      </w:r>
      <w:r w:rsidR="00A335D5" w:rsidRPr="001005B7">
        <w:rPr>
          <w:lang w:eastAsia="en-GB"/>
        </w:rPr>
        <w:t xml:space="preserve">offers a pointer to </w:t>
      </w:r>
      <w:r w:rsidR="00F17797" w:rsidRPr="001005B7">
        <w:rPr>
          <w:lang w:eastAsia="en-GB"/>
        </w:rPr>
        <w:t>what sort of officials they are</w:t>
      </w:r>
      <w:r w:rsidR="00163611" w:rsidRPr="001005B7">
        <w:rPr>
          <w:lang w:eastAsia="en-GB"/>
        </w:rPr>
        <w:t xml:space="preserve">: they are </w:t>
      </w:r>
      <w:r w:rsidR="00F17797" w:rsidRPr="001005B7">
        <w:rPr>
          <w:lang w:eastAsia="en-GB"/>
        </w:rPr>
        <w:t xml:space="preserve">something like members of the </w:t>
      </w:r>
      <w:r w:rsidR="005423AC" w:rsidRPr="001005B7">
        <w:rPr>
          <w:lang w:eastAsia="en-GB"/>
        </w:rPr>
        <w:t xml:space="preserve">cabinet </w:t>
      </w:r>
      <w:r w:rsidR="00AE04CB" w:rsidRPr="001005B7">
        <w:rPr>
          <w:lang w:eastAsia="en-GB"/>
        </w:rPr>
        <w:t>in Jerusalem</w:t>
      </w:r>
      <w:r w:rsidR="005958B4" w:rsidRPr="001005B7">
        <w:rPr>
          <w:lang w:eastAsia="en-GB"/>
        </w:rPr>
        <w:t>,</w:t>
      </w:r>
      <w:r w:rsidR="00054A04" w:rsidRPr="001005B7">
        <w:rPr>
          <w:lang w:eastAsia="en-GB"/>
        </w:rPr>
        <w:t xml:space="preserve"> among</w:t>
      </w:r>
      <w:r w:rsidR="000E4D97" w:rsidRPr="001005B7">
        <w:rPr>
          <w:lang w:eastAsia="en-GB"/>
        </w:rPr>
        <w:t xml:space="preserve"> whom </w:t>
      </w:r>
      <w:proofErr w:type="spellStart"/>
      <w:r w:rsidR="003F218E" w:rsidRPr="001005B7">
        <w:rPr>
          <w:lang w:eastAsia="en-GB"/>
        </w:rPr>
        <w:t>Ya</w:t>
      </w:r>
      <w:r w:rsidR="003F218E" w:rsidRPr="001005B7">
        <w:rPr>
          <w:rFonts w:cstheme="minorHAnsi"/>
          <w:lang w:eastAsia="en-GB"/>
        </w:rPr>
        <w:t>ʾ</w:t>
      </w:r>
      <w:r w:rsidR="003F218E" w:rsidRPr="001005B7">
        <w:rPr>
          <w:lang w:eastAsia="en-GB"/>
        </w:rPr>
        <w:t>azanyah</w:t>
      </w:r>
      <w:proofErr w:type="spellEnd"/>
      <w:r w:rsidR="003F218E" w:rsidRPr="001005B7">
        <w:rPr>
          <w:lang w:eastAsia="en-GB"/>
        </w:rPr>
        <w:t xml:space="preserve"> and</w:t>
      </w:r>
      <w:r w:rsidR="000E4D97" w:rsidRPr="001005B7">
        <w:rPr>
          <w:lang w:eastAsia="en-GB"/>
        </w:rPr>
        <w:t xml:space="preserve"> </w:t>
      </w:r>
      <w:proofErr w:type="spellStart"/>
      <w:r w:rsidR="003F218E" w:rsidRPr="001005B7">
        <w:rPr>
          <w:lang w:eastAsia="en-GB"/>
        </w:rPr>
        <w:t>Pelatyahu</w:t>
      </w:r>
      <w:proofErr w:type="spellEnd"/>
      <w:r w:rsidR="003F218E" w:rsidRPr="001005B7">
        <w:rPr>
          <w:lang w:eastAsia="en-GB"/>
        </w:rPr>
        <w:t xml:space="preserve"> </w:t>
      </w:r>
      <w:r w:rsidR="000E4D97" w:rsidRPr="001005B7">
        <w:rPr>
          <w:lang w:eastAsia="en-GB"/>
        </w:rPr>
        <w:t>are</w:t>
      </w:r>
      <w:r w:rsidR="003F218E" w:rsidRPr="001005B7">
        <w:rPr>
          <w:lang w:eastAsia="en-GB"/>
        </w:rPr>
        <w:t xml:space="preserve"> presumably</w:t>
      </w:r>
      <w:r w:rsidR="000E4D97" w:rsidRPr="001005B7">
        <w:rPr>
          <w:lang w:eastAsia="en-GB"/>
        </w:rPr>
        <w:t xml:space="preserve"> leading figures </w:t>
      </w:r>
      <w:r w:rsidR="00054A04" w:rsidRPr="001005B7">
        <w:rPr>
          <w:lang w:eastAsia="en-GB"/>
        </w:rPr>
        <w:t>w</w:t>
      </w:r>
      <w:r w:rsidR="000E4D97" w:rsidRPr="001005B7">
        <w:rPr>
          <w:lang w:eastAsia="en-GB"/>
        </w:rPr>
        <w:t>hose names Ezekiel thus knows</w:t>
      </w:r>
      <w:r w:rsidR="001909E8" w:rsidRPr="001005B7">
        <w:rPr>
          <w:lang w:eastAsia="en-GB"/>
        </w:rPr>
        <w:t xml:space="preserve"> (</w:t>
      </w:r>
      <w:proofErr w:type="spellStart"/>
      <w:r w:rsidR="001909E8" w:rsidRPr="001005B7">
        <w:t>Eichrodt</w:t>
      </w:r>
      <w:proofErr w:type="spellEnd"/>
      <w:r w:rsidR="0018563B" w:rsidRPr="001005B7">
        <w:t>,</w:t>
      </w:r>
      <w:r w:rsidR="001909E8" w:rsidRPr="001005B7">
        <w:t xml:space="preserve"> 135</w:t>
      </w:r>
      <w:r w:rsidR="00A335D5" w:rsidRPr="001005B7">
        <w:t>)</w:t>
      </w:r>
      <w:r w:rsidR="00380461" w:rsidRPr="001005B7">
        <w:rPr>
          <w:lang w:eastAsia="en-GB"/>
        </w:rPr>
        <w:t>.</w:t>
      </w:r>
    </w:p>
    <w:p w14:paraId="64837A7D" w14:textId="3C27C1EE" w:rsidR="00E85551" w:rsidRPr="001005B7" w:rsidRDefault="009E1FE3" w:rsidP="00785FC1">
      <w:pPr>
        <w:rPr>
          <w:lang w:eastAsia="en-GB"/>
        </w:rPr>
      </w:pPr>
      <w:r w:rsidRPr="001005B7">
        <w:rPr>
          <w:b/>
          <w:bCs/>
          <w:lang w:eastAsia="en-GB"/>
        </w:rPr>
        <w:t>11:</w:t>
      </w:r>
      <w:r w:rsidR="007C5224">
        <w:rPr>
          <w:b/>
          <w:bCs/>
          <w:lang w:eastAsia="en-GB"/>
        </w:rPr>
        <w:t>2–</w:t>
      </w:r>
      <w:r w:rsidR="002B32A9" w:rsidRPr="001005B7">
        <w:rPr>
          <w:b/>
          <w:bCs/>
          <w:lang w:eastAsia="en-GB"/>
        </w:rPr>
        <w:t>3</w:t>
      </w:r>
      <w:r w:rsidR="00E613A1" w:rsidRPr="001005B7">
        <w:rPr>
          <w:b/>
          <w:bCs/>
          <w:lang w:eastAsia="en-GB"/>
        </w:rPr>
        <w:t xml:space="preserve"> </w:t>
      </w:r>
      <w:r w:rsidR="00DB116C" w:rsidRPr="001005B7">
        <w:rPr>
          <w:lang w:eastAsia="en-GB"/>
        </w:rPr>
        <w:t xml:space="preserve">Once more, Ezekiel </w:t>
      </w:r>
      <w:r w:rsidR="00C54EB8" w:rsidRPr="001005B7">
        <w:rPr>
          <w:lang w:eastAsia="en-GB"/>
        </w:rPr>
        <w:t>begins</w:t>
      </w:r>
      <w:r w:rsidR="00DB116C" w:rsidRPr="001005B7">
        <w:rPr>
          <w:lang w:eastAsia="en-GB"/>
        </w:rPr>
        <w:t xml:space="preserve"> </w:t>
      </w:r>
      <w:r w:rsidR="00940718" w:rsidRPr="001005B7">
        <w:rPr>
          <w:lang w:eastAsia="en-GB"/>
        </w:rPr>
        <w:t>“</w:t>
      </w:r>
      <w:r w:rsidR="00DB116C" w:rsidRPr="001005B7">
        <w:rPr>
          <w:lang w:eastAsia="en-GB"/>
        </w:rPr>
        <w:t>he</w:t>
      </w:r>
      <w:r w:rsidR="00940718" w:rsidRPr="001005B7">
        <w:rPr>
          <w:lang w:eastAsia="en-GB"/>
        </w:rPr>
        <w:t>”</w:t>
      </w:r>
      <w:r w:rsidR="00DB116C" w:rsidRPr="001005B7">
        <w:rPr>
          <w:i/>
          <w:iCs/>
          <w:lang w:eastAsia="en-GB"/>
        </w:rPr>
        <w:t xml:space="preserve"> </w:t>
      </w:r>
      <w:r w:rsidR="00E40AA0" w:rsidRPr="001005B7">
        <w:rPr>
          <w:lang w:eastAsia="en-GB"/>
        </w:rPr>
        <w:t xml:space="preserve">with the assumption that people can work out who </w:t>
      </w:r>
      <w:r w:rsidR="008C2118" w:rsidRPr="001005B7">
        <w:rPr>
          <w:lang w:eastAsia="en-GB"/>
        </w:rPr>
        <w:t>the pronoun</w:t>
      </w:r>
      <w:r w:rsidR="00E40AA0" w:rsidRPr="001005B7">
        <w:rPr>
          <w:lang w:eastAsia="en-GB"/>
        </w:rPr>
        <w:t xml:space="preserve"> refers to. </w:t>
      </w:r>
      <w:r w:rsidR="004B48DF" w:rsidRPr="001005B7">
        <w:rPr>
          <w:lang w:eastAsia="en-GB"/>
        </w:rPr>
        <w:t>A century previously</w:t>
      </w:r>
      <w:r w:rsidR="00303704" w:rsidRPr="001005B7">
        <w:rPr>
          <w:lang w:eastAsia="en-GB"/>
        </w:rPr>
        <w:t>, Yahweh</w:t>
      </w:r>
      <w:r w:rsidR="00621993" w:rsidRPr="001005B7">
        <w:rPr>
          <w:lang w:eastAsia="en-GB"/>
        </w:rPr>
        <w:t xml:space="preserve"> </w:t>
      </w:r>
      <w:r w:rsidR="002B32A9" w:rsidRPr="001005B7">
        <w:rPr>
          <w:lang w:eastAsia="en-GB"/>
        </w:rPr>
        <w:t xml:space="preserve">had </w:t>
      </w:r>
      <w:r w:rsidR="002B50C6" w:rsidRPr="001005B7">
        <w:rPr>
          <w:lang w:eastAsia="en-GB"/>
        </w:rPr>
        <w:t>proclaimed</w:t>
      </w:r>
      <w:r w:rsidR="007E2C36" w:rsidRPr="001005B7">
        <w:rPr>
          <w:lang w:eastAsia="en-GB"/>
        </w:rPr>
        <w:t xml:space="preserve"> through Micah</w:t>
      </w:r>
      <w:r w:rsidR="00303704" w:rsidRPr="001005B7">
        <w:rPr>
          <w:lang w:eastAsia="en-GB"/>
        </w:rPr>
        <w:t>:</w:t>
      </w:r>
    </w:p>
    <w:p w14:paraId="76BC0D81" w14:textId="77777777" w:rsidR="00621993" w:rsidRPr="001005B7" w:rsidRDefault="00621993" w:rsidP="00785FC1">
      <w:pPr>
        <w:rPr>
          <w:lang w:eastAsia="en-GB"/>
        </w:rPr>
      </w:pPr>
    </w:p>
    <w:p w14:paraId="00FC9E58" w14:textId="2D9A5239" w:rsidR="00621993" w:rsidRPr="001005B7" w:rsidRDefault="007E2F0D" w:rsidP="00785FC1">
      <w:pPr>
        <w:rPr>
          <w:lang w:eastAsia="en-GB"/>
        </w:rPr>
      </w:pPr>
      <w:r w:rsidRPr="001005B7">
        <w:rPr>
          <w:lang w:eastAsia="en-GB"/>
        </w:rPr>
        <w:t>Hey, p</w:t>
      </w:r>
      <w:r w:rsidR="00621993" w:rsidRPr="001005B7">
        <w:rPr>
          <w:lang w:eastAsia="en-GB"/>
        </w:rPr>
        <w:t xml:space="preserve">eople who </w:t>
      </w:r>
      <w:r w:rsidR="008E7D79" w:rsidRPr="001005B7">
        <w:rPr>
          <w:lang w:eastAsia="en-GB"/>
        </w:rPr>
        <w:t>are planning trouble</w:t>
      </w:r>
    </w:p>
    <w:p w14:paraId="07E48BD8" w14:textId="09EA9A9A" w:rsidR="001219B0" w:rsidRPr="001005B7" w:rsidRDefault="001219B0" w:rsidP="00785FC1">
      <w:pPr>
        <w:rPr>
          <w:lang w:eastAsia="en-GB"/>
        </w:rPr>
      </w:pPr>
      <w:r w:rsidRPr="001005B7">
        <w:rPr>
          <w:lang w:eastAsia="en-GB"/>
        </w:rPr>
        <w:tab/>
      </w:r>
      <w:r w:rsidR="0022271E" w:rsidRPr="001005B7">
        <w:rPr>
          <w:lang w:eastAsia="en-GB"/>
        </w:rPr>
        <w:t>a</w:t>
      </w:r>
      <w:r w:rsidR="00BD6455" w:rsidRPr="001005B7">
        <w:rPr>
          <w:lang w:eastAsia="en-GB"/>
        </w:rPr>
        <w:t xml:space="preserve">nd </w:t>
      </w:r>
      <w:r w:rsidR="0022271E" w:rsidRPr="001005B7">
        <w:rPr>
          <w:lang w:eastAsia="en-GB"/>
        </w:rPr>
        <w:t>working at something dire on their beds</w:t>
      </w:r>
      <w:r w:rsidR="00A23510" w:rsidRPr="001005B7">
        <w:rPr>
          <w:rFonts w:cstheme="minorHAnsi"/>
          <w:lang w:eastAsia="en-GB"/>
        </w:rPr>
        <w:t>…</w:t>
      </w:r>
      <w:r w:rsidR="007E2F0D" w:rsidRPr="001005B7">
        <w:rPr>
          <w:lang w:eastAsia="en-GB"/>
        </w:rPr>
        <w:t xml:space="preserve"> </w:t>
      </w:r>
    </w:p>
    <w:p w14:paraId="2690DEC6" w14:textId="0E1D4E96" w:rsidR="007E2F0D" w:rsidRPr="001005B7" w:rsidRDefault="008D6D80" w:rsidP="00785FC1">
      <w:pPr>
        <w:rPr>
          <w:lang w:eastAsia="en-GB"/>
        </w:rPr>
      </w:pPr>
      <w:r w:rsidRPr="001005B7">
        <w:rPr>
          <w:lang w:eastAsia="en-GB"/>
        </w:rPr>
        <w:t>C</w:t>
      </w:r>
      <w:r w:rsidR="008E5DAC" w:rsidRPr="001005B7">
        <w:rPr>
          <w:lang w:eastAsia="en-GB"/>
        </w:rPr>
        <w:t>oveting fields and seizing them</w:t>
      </w:r>
      <w:r w:rsidR="001F1BE5" w:rsidRPr="001005B7">
        <w:rPr>
          <w:lang w:eastAsia="en-GB"/>
        </w:rPr>
        <w:t>,</w:t>
      </w:r>
    </w:p>
    <w:p w14:paraId="666E06AE" w14:textId="73FBD21D" w:rsidR="001F1BE5" w:rsidRPr="001005B7" w:rsidRDefault="001F1BE5" w:rsidP="00785FC1">
      <w:pPr>
        <w:rPr>
          <w:lang w:eastAsia="en-GB"/>
        </w:rPr>
      </w:pPr>
      <w:r w:rsidRPr="001005B7">
        <w:rPr>
          <w:lang w:eastAsia="en-GB"/>
        </w:rPr>
        <w:tab/>
        <w:t xml:space="preserve">houses, and </w:t>
      </w:r>
      <w:r w:rsidR="00F93726" w:rsidRPr="001005B7">
        <w:rPr>
          <w:lang w:eastAsia="en-GB"/>
        </w:rPr>
        <w:t>tak</w:t>
      </w:r>
      <w:r w:rsidRPr="001005B7">
        <w:rPr>
          <w:lang w:eastAsia="en-GB"/>
        </w:rPr>
        <w:t>ing them</w:t>
      </w:r>
      <w:r w:rsidR="007B6869" w:rsidRPr="001005B7">
        <w:rPr>
          <w:lang w:eastAsia="en-GB"/>
        </w:rPr>
        <w:t>. (2:1</w:t>
      </w:r>
      <w:r w:rsidR="00F46900" w:rsidRPr="001005B7">
        <w:rPr>
          <w:lang w:eastAsia="en-GB"/>
        </w:rPr>
        <w:t>–</w:t>
      </w:r>
      <w:r w:rsidR="007B6869" w:rsidRPr="001005B7">
        <w:rPr>
          <w:lang w:eastAsia="en-GB"/>
        </w:rPr>
        <w:t>2)</w:t>
      </w:r>
    </w:p>
    <w:p w14:paraId="6673E3D4" w14:textId="77777777" w:rsidR="00890A67" w:rsidRPr="001005B7" w:rsidRDefault="00890A67" w:rsidP="00890A67">
      <w:pPr>
        <w:ind w:firstLine="0"/>
        <w:rPr>
          <w:lang w:eastAsia="en-GB"/>
        </w:rPr>
      </w:pPr>
    </w:p>
    <w:p w14:paraId="74F49D54" w14:textId="0B1C2214" w:rsidR="00806728" w:rsidRPr="001005B7" w:rsidRDefault="00010B04" w:rsidP="006E359B">
      <w:pPr>
        <w:rPr>
          <w:lang w:eastAsia="en-GB"/>
        </w:rPr>
      </w:pPr>
      <w:r w:rsidRPr="001005B7">
        <w:rPr>
          <w:lang w:eastAsia="en-GB"/>
        </w:rPr>
        <w:t>Now t</w:t>
      </w:r>
      <w:r w:rsidR="00303704" w:rsidRPr="001005B7">
        <w:rPr>
          <w:lang w:eastAsia="en-GB"/>
        </w:rPr>
        <w:t xml:space="preserve">hrough </w:t>
      </w:r>
      <w:r w:rsidR="00890A67" w:rsidRPr="001005B7">
        <w:rPr>
          <w:lang w:eastAsia="en-GB"/>
        </w:rPr>
        <w:t>Ezekiel</w:t>
      </w:r>
      <w:r w:rsidR="002B32A9" w:rsidRPr="001005B7">
        <w:rPr>
          <w:lang w:eastAsia="en-GB"/>
        </w:rPr>
        <w:t xml:space="preserve"> </w:t>
      </w:r>
      <w:r w:rsidR="00084F81" w:rsidRPr="001005B7">
        <w:rPr>
          <w:lang w:eastAsia="en-GB"/>
        </w:rPr>
        <w:t xml:space="preserve">Yahweh </w:t>
      </w:r>
      <w:r w:rsidRPr="001005B7">
        <w:rPr>
          <w:lang w:eastAsia="en-GB"/>
        </w:rPr>
        <w:t xml:space="preserve">formulates </w:t>
      </w:r>
      <w:r w:rsidR="00BA2FFF" w:rsidRPr="001005B7">
        <w:rPr>
          <w:lang w:eastAsia="en-GB"/>
        </w:rPr>
        <w:t>a similar</w:t>
      </w:r>
      <w:r w:rsidRPr="001005B7">
        <w:rPr>
          <w:lang w:eastAsia="en-GB"/>
        </w:rPr>
        <w:t xml:space="preserve"> </w:t>
      </w:r>
      <w:r w:rsidR="002D6DB1" w:rsidRPr="001005B7">
        <w:rPr>
          <w:lang w:eastAsia="en-GB"/>
        </w:rPr>
        <w:t>confrontation</w:t>
      </w:r>
      <w:r w:rsidR="00AA5946" w:rsidRPr="001005B7">
        <w:rPr>
          <w:lang w:eastAsia="en-GB"/>
        </w:rPr>
        <w:t>, p</w:t>
      </w:r>
      <w:r w:rsidR="00606BE3" w:rsidRPr="001005B7">
        <w:rPr>
          <w:lang w:eastAsia="en-GB"/>
        </w:rPr>
        <w:t xml:space="preserve">erhaps with </w:t>
      </w:r>
      <w:r w:rsidR="0089640E" w:rsidRPr="001005B7">
        <w:rPr>
          <w:lang w:eastAsia="en-GB"/>
        </w:rPr>
        <w:t>simi</w:t>
      </w:r>
      <w:r w:rsidR="002D1C4F" w:rsidRPr="001005B7">
        <w:rPr>
          <w:lang w:eastAsia="en-GB"/>
        </w:rPr>
        <w:t>lar</w:t>
      </w:r>
      <w:r w:rsidR="00606BE3" w:rsidRPr="001005B7">
        <w:rPr>
          <w:lang w:eastAsia="en-GB"/>
        </w:rPr>
        <w:t xml:space="preserve"> implications</w:t>
      </w:r>
      <w:r w:rsidR="00890A67" w:rsidRPr="001005B7">
        <w:rPr>
          <w:lang w:eastAsia="en-GB"/>
        </w:rPr>
        <w:t>.</w:t>
      </w:r>
      <w:r w:rsidR="00084F81" w:rsidRPr="001005B7">
        <w:rPr>
          <w:lang w:eastAsia="en-GB"/>
        </w:rPr>
        <w:t xml:space="preserve"> </w:t>
      </w:r>
      <w:r w:rsidR="00DF1963" w:rsidRPr="001005B7">
        <w:rPr>
          <w:lang w:eastAsia="en-GB"/>
        </w:rPr>
        <w:t>M</w:t>
      </w:r>
      <w:r w:rsidR="00585DA7" w:rsidRPr="001005B7">
        <w:rPr>
          <w:lang w:eastAsia="en-GB"/>
        </w:rPr>
        <w:t xml:space="preserve">embers of the </w:t>
      </w:r>
      <w:proofErr w:type="spellStart"/>
      <w:r w:rsidR="00585DA7" w:rsidRPr="001005B7">
        <w:rPr>
          <w:lang w:eastAsia="en-GB"/>
        </w:rPr>
        <w:t>Kebar</w:t>
      </w:r>
      <w:proofErr w:type="spellEnd"/>
      <w:r w:rsidR="00585DA7" w:rsidRPr="001005B7">
        <w:rPr>
          <w:lang w:eastAsia="en-GB"/>
        </w:rPr>
        <w:t xml:space="preserve"> community </w:t>
      </w:r>
      <w:r w:rsidR="00DD5478" w:rsidRPr="001005B7">
        <w:rPr>
          <w:lang w:eastAsia="en-GB"/>
        </w:rPr>
        <w:t>would have been dragged from their</w:t>
      </w:r>
      <w:r w:rsidR="009B032F" w:rsidRPr="001005B7">
        <w:rPr>
          <w:lang w:eastAsia="en-GB"/>
        </w:rPr>
        <w:t xml:space="preserve"> houses in Jerusalem</w:t>
      </w:r>
      <w:r w:rsidR="00F14DA8" w:rsidRPr="001005B7">
        <w:rPr>
          <w:lang w:eastAsia="en-GB"/>
        </w:rPr>
        <w:t xml:space="preserve"> </w:t>
      </w:r>
      <w:r w:rsidR="005C75D2" w:rsidRPr="001005B7">
        <w:rPr>
          <w:lang w:eastAsia="en-GB"/>
        </w:rPr>
        <w:t>when they were taken off as forced migrants</w:t>
      </w:r>
      <w:r w:rsidR="0065217B" w:rsidRPr="001005B7">
        <w:rPr>
          <w:lang w:eastAsia="en-GB"/>
        </w:rPr>
        <w:t xml:space="preserve">, and one might </w:t>
      </w:r>
      <w:r w:rsidR="00824934" w:rsidRPr="001005B7">
        <w:rPr>
          <w:lang w:eastAsia="en-GB"/>
        </w:rPr>
        <w:t>guess</w:t>
      </w:r>
      <w:r w:rsidR="00844099" w:rsidRPr="001005B7">
        <w:rPr>
          <w:lang w:eastAsia="en-GB"/>
        </w:rPr>
        <w:t xml:space="preserve"> that</w:t>
      </w:r>
      <w:r w:rsidR="0065217B" w:rsidRPr="001005B7">
        <w:rPr>
          <w:lang w:eastAsia="en-GB"/>
        </w:rPr>
        <w:t xml:space="preserve"> other </w:t>
      </w:r>
      <w:r w:rsidR="00E71861" w:rsidRPr="001005B7">
        <w:rPr>
          <w:lang w:eastAsia="en-GB"/>
        </w:rPr>
        <w:t>families</w:t>
      </w:r>
      <w:r w:rsidR="0065217B" w:rsidRPr="001005B7">
        <w:rPr>
          <w:lang w:eastAsia="en-GB"/>
        </w:rPr>
        <w:t xml:space="preserve"> are now squatting in th</w:t>
      </w:r>
      <w:r w:rsidR="00AE5E8F" w:rsidRPr="001005B7">
        <w:rPr>
          <w:lang w:eastAsia="en-GB"/>
        </w:rPr>
        <w:t>ose houses</w:t>
      </w:r>
      <w:r w:rsidR="0018637A" w:rsidRPr="001005B7">
        <w:rPr>
          <w:lang w:eastAsia="en-GB"/>
        </w:rPr>
        <w:t>. Thus</w:t>
      </w:r>
      <w:r w:rsidR="00693626" w:rsidRPr="001005B7">
        <w:rPr>
          <w:lang w:eastAsia="en-GB"/>
        </w:rPr>
        <w:t xml:space="preserve"> people like these twenty-five </w:t>
      </w:r>
      <w:r w:rsidR="00C67EEF" w:rsidRPr="001005B7">
        <w:rPr>
          <w:lang w:eastAsia="en-GB"/>
        </w:rPr>
        <w:t xml:space="preserve">might </w:t>
      </w:r>
      <w:r w:rsidR="00693626" w:rsidRPr="001005B7">
        <w:rPr>
          <w:lang w:eastAsia="en-GB"/>
        </w:rPr>
        <w:t>have not done badly out of</w:t>
      </w:r>
      <w:r w:rsidR="00C67EEF" w:rsidRPr="001005B7">
        <w:rPr>
          <w:lang w:eastAsia="en-GB"/>
        </w:rPr>
        <w:t xml:space="preserve"> the events of 597</w:t>
      </w:r>
      <w:r w:rsidR="00A47199" w:rsidRPr="001005B7">
        <w:rPr>
          <w:lang w:eastAsia="en-GB"/>
        </w:rPr>
        <w:t xml:space="preserve">. </w:t>
      </w:r>
      <w:r w:rsidR="00D049AA" w:rsidRPr="001005B7">
        <w:rPr>
          <w:lang w:eastAsia="en-GB"/>
        </w:rPr>
        <w:t xml:space="preserve">The housing situation in Jerusalem </w:t>
      </w:r>
      <w:r w:rsidR="00EE72C2" w:rsidRPr="001005B7">
        <w:rPr>
          <w:lang w:eastAsia="en-GB"/>
        </w:rPr>
        <w:t xml:space="preserve">had </w:t>
      </w:r>
      <w:r w:rsidR="00D05059" w:rsidRPr="001005B7">
        <w:rPr>
          <w:lang w:eastAsia="en-GB"/>
        </w:rPr>
        <w:t xml:space="preserve">likely </w:t>
      </w:r>
      <w:r w:rsidR="00EE72C2" w:rsidRPr="001005B7">
        <w:rPr>
          <w:lang w:eastAsia="en-GB"/>
        </w:rPr>
        <w:t xml:space="preserve">been difficult for a century, especially as a result of an increase in population </w:t>
      </w:r>
      <w:r w:rsidR="007C2965" w:rsidRPr="001005B7">
        <w:rPr>
          <w:lang w:eastAsia="en-GB"/>
        </w:rPr>
        <w:t>through</w:t>
      </w:r>
      <w:r w:rsidR="00EE72C2" w:rsidRPr="001005B7">
        <w:rPr>
          <w:lang w:eastAsia="en-GB"/>
        </w:rPr>
        <w:t xml:space="preserve"> the arrival of refugees </w:t>
      </w:r>
      <w:r w:rsidR="00A85923" w:rsidRPr="001005B7">
        <w:rPr>
          <w:lang w:eastAsia="en-GB"/>
        </w:rPr>
        <w:t>before and after</w:t>
      </w:r>
      <w:r w:rsidR="00EE72C2" w:rsidRPr="001005B7">
        <w:rPr>
          <w:lang w:eastAsia="en-GB"/>
        </w:rPr>
        <w:t xml:space="preserve"> </w:t>
      </w:r>
      <w:r w:rsidR="00950787" w:rsidRPr="001005B7">
        <w:rPr>
          <w:lang w:eastAsia="en-GB"/>
        </w:rPr>
        <w:t>the fall of Ephraim</w:t>
      </w:r>
      <w:r w:rsidR="0031649F" w:rsidRPr="001005B7">
        <w:rPr>
          <w:lang w:eastAsia="en-GB"/>
        </w:rPr>
        <w:t xml:space="preserve">. </w:t>
      </w:r>
      <w:r w:rsidR="00C27986" w:rsidRPr="001005B7">
        <w:rPr>
          <w:lang w:eastAsia="en-GB"/>
        </w:rPr>
        <w:t>T</w:t>
      </w:r>
      <w:r w:rsidR="0031649F" w:rsidRPr="001005B7">
        <w:rPr>
          <w:lang w:eastAsia="en-GB"/>
        </w:rPr>
        <w:t xml:space="preserve">he cynic might </w:t>
      </w:r>
      <w:r w:rsidR="00A85923" w:rsidRPr="001005B7">
        <w:rPr>
          <w:lang w:eastAsia="en-GB"/>
        </w:rPr>
        <w:t xml:space="preserve">therefore </w:t>
      </w:r>
      <w:r w:rsidR="0031649F" w:rsidRPr="001005B7">
        <w:rPr>
          <w:lang w:eastAsia="en-GB"/>
        </w:rPr>
        <w:t>see the departure of the</w:t>
      </w:r>
      <w:r w:rsidR="00C27986" w:rsidRPr="001005B7">
        <w:rPr>
          <w:lang w:eastAsia="en-GB"/>
        </w:rPr>
        <w:t xml:space="preserve"> </w:t>
      </w:r>
      <w:r w:rsidR="0031649F" w:rsidRPr="001005B7">
        <w:rPr>
          <w:lang w:eastAsia="en-GB"/>
        </w:rPr>
        <w:t xml:space="preserve">forced migrants </w:t>
      </w:r>
      <w:r w:rsidR="00A85923" w:rsidRPr="001005B7">
        <w:rPr>
          <w:lang w:eastAsia="en-GB"/>
        </w:rPr>
        <w:t xml:space="preserve">in 597 </w:t>
      </w:r>
      <w:r w:rsidR="0031649F" w:rsidRPr="001005B7">
        <w:rPr>
          <w:lang w:eastAsia="en-GB"/>
        </w:rPr>
        <w:t>as the solution to a problem</w:t>
      </w:r>
      <w:r w:rsidR="006C384C" w:rsidRPr="001005B7">
        <w:rPr>
          <w:lang w:eastAsia="en-GB"/>
        </w:rPr>
        <w:t>.</w:t>
      </w:r>
      <w:r w:rsidR="00950787" w:rsidRPr="001005B7">
        <w:rPr>
          <w:lang w:eastAsia="en-GB"/>
        </w:rPr>
        <w:t xml:space="preserve"> </w:t>
      </w:r>
      <w:r w:rsidR="006C384C" w:rsidRPr="001005B7">
        <w:rPr>
          <w:lang w:eastAsia="en-GB"/>
        </w:rPr>
        <w:t>It</w:t>
      </w:r>
      <w:r w:rsidR="00A47199" w:rsidRPr="001005B7">
        <w:rPr>
          <w:lang w:eastAsia="en-GB"/>
        </w:rPr>
        <w:t xml:space="preserve"> </w:t>
      </w:r>
      <w:r w:rsidR="006C384C" w:rsidRPr="001005B7">
        <w:rPr>
          <w:lang w:eastAsia="en-GB"/>
        </w:rPr>
        <w:t>could</w:t>
      </w:r>
      <w:r w:rsidR="00A47199" w:rsidRPr="001005B7">
        <w:rPr>
          <w:lang w:eastAsia="en-GB"/>
        </w:rPr>
        <w:t xml:space="preserve"> explain </w:t>
      </w:r>
      <w:r w:rsidR="005359A2" w:rsidRPr="001005B7">
        <w:rPr>
          <w:lang w:eastAsia="en-GB"/>
        </w:rPr>
        <w:t>a</w:t>
      </w:r>
      <w:r w:rsidR="00846DEC" w:rsidRPr="001005B7">
        <w:rPr>
          <w:lang w:eastAsia="en-GB"/>
        </w:rPr>
        <w:t xml:space="preserve"> conviction that there </w:t>
      </w:r>
      <w:r w:rsidR="00544501" w:rsidRPr="001005B7">
        <w:rPr>
          <w:lang w:eastAsia="en-GB"/>
        </w:rPr>
        <w:t>wa</w:t>
      </w:r>
      <w:r w:rsidR="00846DEC" w:rsidRPr="001005B7">
        <w:rPr>
          <w:lang w:eastAsia="en-GB"/>
        </w:rPr>
        <w:t>s no need to think about building houses</w:t>
      </w:r>
      <w:r w:rsidR="00C31041" w:rsidRPr="001005B7">
        <w:rPr>
          <w:lang w:eastAsia="en-GB"/>
        </w:rPr>
        <w:t>—</w:t>
      </w:r>
      <w:r w:rsidR="009F6246" w:rsidRPr="001005B7">
        <w:rPr>
          <w:lang w:eastAsia="en-GB"/>
        </w:rPr>
        <w:t xml:space="preserve">any </w:t>
      </w:r>
      <w:r w:rsidR="00BD247A" w:rsidRPr="001005B7">
        <w:rPr>
          <w:lang w:eastAsia="en-GB"/>
        </w:rPr>
        <w:t xml:space="preserve">comment on this would make for a nice contrast with </w:t>
      </w:r>
      <w:r w:rsidR="005053C9" w:rsidRPr="001005B7">
        <w:rPr>
          <w:lang w:eastAsia="en-GB"/>
        </w:rPr>
        <w:t>the</w:t>
      </w:r>
      <w:r w:rsidR="00BD247A" w:rsidRPr="001005B7">
        <w:rPr>
          <w:lang w:eastAsia="en-GB"/>
        </w:rPr>
        <w:t xml:space="preserve"> exhortation to the exiles in Jer 29:5</w:t>
      </w:r>
      <w:r w:rsidR="005053C9" w:rsidRPr="001005B7">
        <w:rPr>
          <w:lang w:eastAsia="en-GB"/>
        </w:rPr>
        <w:t xml:space="preserve"> (</w:t>
      </w:r>
      <w:r w:rsidR="005053C9" w:rsidRPr="001005B7">
        <w:t>Calvin</w:t>
      </w:r>
      <w:r w:rsidR="00A363B1" w:rsidRPr="001005B7">
        <w:t>,</w:t>
      </w:r>
      <w:r w:rsidR="005053C9" w:rsidRPr="001005B7">
        <w:rPr>
          <w:i/>
          <w:iCs/>
        </w:rPr>
        <w:t xml:space="preserve"> </w:t>
      </w:r>
      <w:r w:rsidR="005053C9" w:rsidRPr="001005B7">
        <w:t>1:376)</w:t>
      </w:r>
      <w:r w:rsidR="00BD247A" w:rsidRPr="001005B7">
        <w:rPr>
          <w:lang w:eastAsia="en-GB"/>
        </w:rPr>
        <w:t>.</w:t>
      </w:r>
      <w:r w:rsidR="006C384C" w:rsidRPr="001005B7">
        <w:rPr>
          <w:lang w:eastAsia="en-GB"/>
        </w:rPr>
        <w:t xml:space="preserve"> </w:t>
      </w:r>
      <w:r w:rsidR="00C762AA" w:rsidRPr="001005B7">
        <w:rPr>
          <w:lang w:eastAsia="en-GB"/>
        </w:rPr>
        <w:t>But another possib</w:t>
      </w:r>
      <w:r w:rsidR="0059063A" w:rsidRPr="001005B7">
        <w:rPr>
          <w:lang w:eastAsia="en-GB"/>
        </w:rPr>
        <w:t>ility is th</w:t>
      </w:r>
      <w:r w:rsidR="00D514C6" w:rsidRPr="001005B7">
        <w:rPr>
          <w:lang w:eastAsia="en-GB"/>
        </w:rPr>
        <w:t xml:space="preserve">at </w:t>
      </w:r>
      <w:r w:rsidR="00F51546" w:rsidRPr="001005B7">
        <w:rPr>
          <w:lang w:eastAsia="en-GB"/>
        </w:rPr>
        <w:t>“</w:t>
      </w:r>
      <w:r w:rsidR="00531CDA" w:rsidRPr="001005B7">
        <w:rPr>
          <w:lang w:eastAsia="en-GB"/>
        </w:rPr>
        <w:t>planning trouble and formulating dire counsel</w:t>
      </w:r>
      <w:r w:rsidR="00F51546" w:rsidRPr="001005B7">
        <w:rPr>
          <w:lang w:eastAsia="en-GB"/>
        </w:rPr>
        <w:t>”</w:t>
      </w:r>
      <w:r w:rsidR="006E6560" w:rsidRPr="001005B7">
        <w:rPr>
          <w:i/>
          <w:iCs/>
          <w:lang w:eastAsia="en-GB"/>
        </w:rPr>
        <w:t xml:space="preserve"> </w:t>
      </w:r>
      <w:r w:rsidR="006E6560" w:rsidRPr="001005B7">
        <w:rPr>
          <w:lang w:eastAsia="en-GB"/>
        </w:rPr>
        <w:t xml:space="preserve">refers to these leaders’ political </w:t>
      </w:r>
      <w:r w:rsidR="00DF7B5B" w:rsidRPr="001005B7">
        <w:rPr>
          <w:lang w:eastAsia="en-GB"/>
        </w:rPr>
        <w:t xml:space="preserve">policies. </w:t>
      </w:r>
      <w:r w:rsidR="00EA61B8" w:rsidRPr="001005B7">
        <w:rPr>
          <w:lang w:eastAsia="en-GB"/>
        </w:rPr>
        <w:t>In Micah’s day, the Judahites had been inclined to look to</w:t>
      </w:r>
      <w:r w:rsidR="00531CDA" w:rsidRPr="001005B7">
        <w:rPr>
          <w:lang w:eastAsia="en-GB"/>
        </w:rPr>
        <w:t xml:space="preserve"> Egypt</w:t>
      </w:r>
      <w:r w:rsidR="00EA61B8" w:rsidRPr="001005B7">
        <w:rPr>
          <w:lang w:eastAsia="en-GB"/>
        </w:rPr>
        <w:t xml:space="preserve"> for </w:t>
      </w:r>
      <w:r w:rsidR="00811437" w:rsidRPr="001005B7">
        <w:rPr>
          <w:lang w:eastAsia="en-GB"/>
        </w:rPr>
        <w:t xml:space="preserve">help against the Assyrians, and in Ezekiel’s day </w:t>
      </w:r>
      <w:r w:rsidR="00A66BCB" w:rsidRPr="001005B7">
        <w:rPr>
          <w:lang w:eastAsia="en-GB"/>
        </w:rPr>
        <w:t>they were</w:t>
      </w:r>
      <w:r w:rsidR="00811437" w:rsidRPr="001005B7">
        <w:rPr>
          <w:lang w:eastAsia="en-GB"/>
        </w:rPr>
        <w:t xml:space="preserve"> inclined to look </w:t>
      </w:r>
      <w:r w:rsidR="00D81B5D" w:rsidRPr="001005B7">
        <w:rPr>
          <w:lang w:eastAsia="en-GB"/>
        </w:rPr>
        <w:t xml:space="preserve">to Egypt </w:t>
      </w:r>
      <w:r w:rsidR="00811437" w:rsidRPr="001005B7">
        <w:rPr>
          <w:lang w:eastAsia="en-GB"/>
        </w:rPr>
        <w:t>fo</w:t>
      </w:r>
      <w:r w:rsidR="00D81B5D" w:rsidRPr="001005B7">
        <w:rPr>
          <w:lang w:eastAsia="en-GB"/>
        </w:rPr>
        <w:t>r</w:t>
      </w:r>
      <w:r w:rsidR="00811437" w:rsidRPr="001005B7">
        <w:rPr>
          <w:lang w:eastAsia="en-GB"/>
        </w:rPr>
        <w:t xml:space="preserve"> help against the </w:t>
      </w:r>
      <w:r w:rsidR="00C25BD2" w:rsidRPr="001005B7">
        <w:rPr>
          <w:lang w:eastAsia="en-GB"/>
        </w:rPr>
        <w:t>Babylonians</w:t>
      </w:r>
      <w:r w:rsidR="00531CDA" w:rsidRPr="001005B7">
        <w:rPr>
          <w:lang w:eastAsia="en-GB"/>
        </w:rPr>
        <w:t xml:space="preserve"> </w:t>
      </w:r>
      <w:r w:rsidR="00F14435" w:rsidRPr="001005B7">
        <w:rPr>
          <w:lang w:eastAsia="en-GB"/>
        </w:rPr>
        <w:t>(</w:t>
      </w:r>
      <w:r w:rsidR="00531CDA" w:rsidRPr="001005B7">
        <w:rPr>
          <w:lang w:eastAsia="en-GB"/>
        </w:rPr>
        <w:t>17:15</w:t>
      </w:r>
      <w:r w:rsidR="00F14435" w:rsidRPr="001005B7">
        <w:rPr>
          <w:lang w:eastAsia="en-GB"/>
        </w:rPr>
        <w:t>)</w:t>
      </w:r>
      <w:r w:rsidR="00102BEB" w:rsidRPr="001005B7">
        <w:rPr>
          <w:lang w:eastAsia="en-GB"/>
        </w:rPr>
        <w:t>. I</w:t>
      </w:r>
      <w:r w:rsidR="00F14435" w:rsidRPr="001005B7">
        <w:rPr>
          <w:lang w:eastAsia="en-GB"/>
        </w:rPr>
        <w:t xml:space="preserve">t would eventually contribute to the city’s downfall </w:t>
      </w:r>
      <w:r w:rsidR="009E1129" w:rsidRPr="001005B7">
        <w:rPr>
          <w:lang w:eastAsia="en-GB"/>
        </w:rPr>
        <w:t>(</w:t>
      </w:r>
      <w:r w:rsidR="00F14435" w:rsidRPr="001005B7">
        <w:t>Blenkinsopp, 61</w:t>
      </w:r>
      <w:r w:rsidR="009E1129" w:rsidRPr="001005B7">
        <w:t>)</w:t>
      </w:r>
      <w:r w:rsidR="00F14435" w:rsidRPr="001005B7">
        <w:t>.</w:t>
      </w:r>
      <w:r w:rsidR="006E359B" w:rsidRPr="001005B7">
        <w:rPr>
          <w:lang w:eastAsia="en-GB"/>
        </w:rPr>
        <w:t xml:space="preserve"> Anyway, t</w:t>
      </w:r>
      <w:r w:rsidR="0048718E" w:rsidRPr="001005B7">
        <w:rPr>
          <w:lang w:eastAsia="en-GB"/>
        </w:rPr>
        <w:t>he</w:t>
      </w:r>
      <w:r w:rsidR="00A264AF" w:rsidRPr="001005B7">
        <w:rPr>
          <w:lang w:eastAsia="en-GB"/>
        </w:rPr>
        <w:t xml:space="preserve"> Jerusalemite</w:t>
      </w:r>
      <w:r w:rsidR="002413C0" w:rsidRPr="001005B7">
        <w:rPr>
          <w:lang w:eastAsia="en-GB"/>
        </w:rPr>
        <w:t xml:space="preserve"> leaders</w:t>
      </w:r>
      <w:r w:rsidR="00B21B65" w:rsidRPr="001005B7">
        <w:rPr>
          <w:lang w:eastAsia="en-GB"/>
        </w:rPr>
        <w:t xml:space="preserve"> </w:t>
      </w:r>
      <w:r w:rsidR="0048718E" w:rsidRPr="001005B7">
        <w:rPr>
          <w:lang w:eastAsia="en-GB"/>
        </w:rPr>
        <w:t>see themselves as</w:t>
      </w:r>
      <w:r w:rsidR="006C384C" w:rsidRPr="001005B7">
        <w:rPr>
          <w:lang w:eastAsia="en-GB"/>
        </w:rPr>
        <w:t xml:space="preserve"> like the meat kept in a </w:t>
      </w:r>
      <w:r w:rsidR="00F76872" w:rsidRPr="001005B7">
        <w:rPr>
          <w:lang w:eastAsia="en-GB"/>
        </w:rPr>
        <w:t xml:space="preserve">storage </w:t>
      </w:r>
      <w:r w:rsidR="006C384C" w:rsidRPr="001005B7">
        <w:rPr>
          <w:lang w:eastAsia="en-GB"/>
        </w:rPr>
        <w:t xml:space="preserve">pot </w:t>
      </w:r>
      <w:r w:rsidR="00B21B65" w:rsidRPr="001005B7">
        <w:rPr>
          <w:lang w:eastAsia="en-GB"/>
        </w:rPr>
        <w:t xml:space="preserve">secure </w:t>
      </w:r>
      <w:r w:rsidR="006C384C" w:rsidRPr="001005B7">
        <w:rPr>
          <w:lang w:eastAsia="en-GB"/>
        </w:rPr>
        <w:t>from</w:t>
      </w:r>
      <w:r w:rsidR="00F76872" w:rsidRPr="001005B7">
        <w:rPr>
          <w:lang w:eastAsia="en-GB"/>
        </w:rPr>
        <w:t xml:space="preserve"> insects or animals</w:t>
      </w:r>
      <w:r w:rsidR="007A076D" w:rsidRPr="001005B7">
        <w:rPr>
          <w:lang w:eastAsia="en-GB"/>
        </w:rPr>
        <w:t xml:space="preserve">, or like the meat in the pot as opposed to the </w:t>
      </w:r>
      <w:r w:rsidR="000938C8" w:rsidRPr="001005B7">
        <w:rPr>
          <w:lang w:eastAsia="en-GB"/>
        </w:rPr>
        <w:t>scraps</w:t>
      </w:r>
      <w:r w:rsidR="006D7F7F" w:rsidRPr="001005B7">
        <w:rPr>
          <w:lang w:eastAsia="en-GB"/>
        </w:rPr>
        <w:t xml:space="preserve"> thrown to the animals</w:t>
      </w:r>
      <w:r w:rsidR="00137FFD" w:rsidRPr="001005B7">
        <w:rPr>
          <w:lang w:eastAsia="en-GB"/>
        </w:rPr>
        <w:t xml:space="preserve"> (maybe it’s a saying)</w:t>
      </w:r>
      <w:r w:rsidR="00115805" w:rsidRPr="001005B7">
        <w:rPr>
          <w:lang w:eastAsia="en-GB"/>
        </w:rPr>
        <w:t>. B</w:t>
      </w:r>
      <w:r w:rsidR="00C77ED4" w:rsidRPr="001005B7">
        <w:rPr>
          <w:lang w:eastAsia="en-GB"/>
        </w:rPr>
        <w:t>ut</w:t>
      </w:r>
      <w:r w:rsidR="003634CC" w:rsidRPr="001005B7">
        <w:rPr>
          <w:lang w:eastAsia="en-GB"/>
        </w:rPr>
        <w:t xml:space="preserve"> </w:t>
      </w:r>
      <w:r w:rsidR="00D62AF4" w:rsidRPr="001005B7">
        <w:rPr>
          <w:lang w:eastAsia="en-GB"/>
        </w:rPr>
        <w:t xml:space="preserve">they will find in </w:t>
      </w:r>
      <w:r w:rsidR="0042084A" w:rsidRPr="001005B7">
        <w:rPr>
          <w:lang w:eastAsia="en-GB"/>
        </w:rPr>
        <w:t>11:</w:t>
      </w:r>
      <w:r w:rsidR="00FF5E21" w:rsidRPr="001005B7">
        <w:rPr>
          <w:lang w:eastAsia="en-GB"/>
        </w:rPr>
        <w:t>6</w:t>
      </w:r>
      <w:r w:rsidR="00F46900" w:rsidRPr="001005B7">
        <w:rPr>
          <w:lang w:eastAsia="en-GB"/>
        </w:rPr>
        <w:t>–</w:t>
      </w:r>
      <w:r w:rsidR="00FF5E21" w:rsidRPr="001005B7">
        <w:rPr>
          <w:lang w:eastAsia="en-GB"/>
        </w:rPr>
        <w:t xml:space="preserve">9 </w:t>
      </w:r>
      <w:r w:rsidR="00D62AF4" w:rsidRPr="001005B7">
        <w:rPr>
          <w:lang w:eastAsia="en-GB"/>
        </w:rPr>
        <w:t xml:space="preserve">that the metaphor can be </w:t>
      </w:r>
      <w:r w:rsidR="00232C1B" w:rsidRPr="001005B7">
        <w:rPr>
          <w:lang w:eastAsia="en-GB"/>
        </w:rPr>
        <w:t>redirect</w:t>
      </w:r>
      <w:r w:rsidR="00D62AF4" w:rsidRPr="001005B7">
        <w:rPr>
          <w:lang w:eastAsia="en-GB"/>
        </w:rPr>
        <w:t>ed against them</w:t>
      </w:r>
      <w:r w:rsidR="00FF5E21" w:rsidRPr="001005B7">
        <w:rPr>
          <w:lang w:eastAsia="en-GB"/>
        </w:rPr>
        <w:t xml:space="preserve">, and </w:t>
      </w:r>
      <w:r w:rsidR="00A83C9B" w:rsidRPr="001005B7">
        <w:rPr>
          <w:lang w:eastAsia="en-GB"/>
        </w:rPr>
        <w:t>in 24:1</w:t>
      </w:r>
      <w:r w:rsidR="00F46900" w:rsidRPr="001005B7">
        <w:rPr>
          <w:lang w:eastAsia="en-GB"/>
        </w:rPr>
        <w:t>–</w:t>
      </w:r>
      <w:r w:rsidR="00A83C9B" w:rsidRPr="001005B7">
        <w:rPr>
          <w:lang w:eastAsia="en-GB"/>
        </w:rPr>
        <w:t xml:space="preserve">5 </w:t>
      </w:r>
      <w:r w:rsidR="00FF5E21" w:rsidRPr="001005B7">
        <w:rPr>
          <w:lang w:eastAsia="en-GB"/>
        </w:rPr>
        <w:t xml:space="preserve">it will turn out to be </w:t>
      </w:r>
      <w:r w:rsidR="003634CC" w:rsidRPr="001005B7">
        <w:rPr>
          <w:lang w:eastAsia="en-GB"/>
        </w:rPr>
        <w:t xml:space="preserve">a hazardous </w:t>
      </w:r>
      <w:r w:rsidR="0011388B" w:rsidRPr="001005B7">
        <w:rPr>
          <w:lang w:eastAsia="en-GB"/>
        </w:rPr>
        <w:t>metaphor</w:t>
      </w:r>
      <w:r w:rsidR="00FF5E21" w:rsidRPr="001005B7">
        <w:rPr>
          <w:lang w:eastAsia="en-GB"/>
        </w:rPr>
        <w:t xml:space="preserve"> in a</w:t>
      </w:r>
      <w:r w:rsidR="00A83C9B" w:rsidRPr="001005B7">
        <w:rPr>
          <w:lang w:eastAsia="en-GB"/>
        </w:rPr>
        <w:t>nother</w:t>
      </w:r>
      <w:r w:rsidR="00FF5E21" w:rsidRPr="001005B7">
        <w:rPr>
          <w:lang w:eastAsia="en-GB"/>
        </w:rPr>
        <w:t xml:space="preserve"> </w:t>
      </w:r>
      <w:r w:rsidR="00A83C9B" w:rsidRPr="001005B7">
        <w:rPr>
          <w:lang w:eastAsia="en-GB"/>
        </w:rPr>
        <w:t>way</w:t>
      </w:r>
      <w:r w:rsidR="00715925" w:rsidRPr="001005B7">
        <w:rPr>
          <w:lang w:eastAsia="en-GB"/>
        </w:rPr>
        <w:t>.</w:t>
      </w:r>
    </w:p>
    <w:p w14:paraId="0A90145C" w14:textId="5EDC88E7" w:rsidR="000E2A05" w:rsidRPr="001005B7" w:rsidRDefault="003610D5" w:rsidP="00806728">
      <w:pPr>
        <w:rPr>
          <w:lang w:eastAsia="en-GB"/>
        </w:rPr>
      </w:pPr>
      <w:r w:rsidRPr="001005B7">
        <w:rPr>
          <w:b/>
          <w:bCs/>
          <w:lang w:eastAsia="en-GB"/>
        </w:rPr>
        <w:t>11:</w:t>
      </w:r>
      <w:r w:rsidR="009335A5" w:rsidRPr="001005B7">
        <w:rPr>
          <w:b/>
          <w:bCs/>
          <w:lang w:eastAsia="en-GB"/>
        </w:rPr>
        <w:t>4</w:t>
      </w:r>
      <w:r w:rsidR="00F46900" w:rsidRPr="001005B7">
        <w:rPr>
          <w:b/>
          <w:bCs/>
          <w:lang w:eastAsia="en-GB"/>
        </w:rPr>
        <w:t>–</w:t>
      </w:r>
      <w:r w:rsidR="009335A5" w:rsidRPr="001005B7">
        <w:rPr>
          <w:b/>
          <w:bCs/>
          <w:lang w:eastAsia="en-GB"/>
        </w:rPr>
        <w:t xml:space="preserve">5 </w:t>
      </w:r>
      <w:r w:rsidR="000D55E6" w:rsidRPr="001005B7">
        <w:rPr>
          <w:lang w:eastAsia="en-GB"/>
        </w:rPr>
        <w:t>Prophesy</w:t>
      </w:r>
      <w:r w:rsidR="000D55E6" w:rsidRPr="001005B7">
        <w:rPr>
          <w:i/>
          <w:iCs/>
          <w:lang w:eastAsia="en-GB"/>
        </w:rPr>
        <w:t xml:space="preserve"> </w:t>
      </w:r>
      <w:r w:rsidR="005A7726" w:rsidRPr="001005B7">
        <w:rPr>
          <w:lang w:eastAsia="en-GB"/>
        </w:rPr>
        <w:t>against</w:t>
      </w:r>
      <w:r w:rsidR="005A7726" w:rsidRPr="001005B7">
        <w:rPr>
          <w:i/>
          <w:iCs/>
          <w:lang w:eastAsia="en-GB"/>
        </w:rPr>
        <w:t xml:space="preserve"> </w:t>
      </w:r>
      <w:r w:rsidR="00A237A1" w:rsidRPr="001005B7">
        <w:rPr>
          <w:lang w:eastAsia="en-GB"/>
        </w:rPr>
        <w:t>the city</w:t>
      </w:r>
      <w:r w:rsidR="005A7726" w:rsidRPr="001005B7">
        <w:rPr>
          <w:lang w:eastAsia="en-GB"/>
        </w:rPr>
        <w:t xml:space="preserve">, </w:t>
      </w:r>
      <w:r w:rsidR="00C50C09" w:rsidRPr="001005B7">
        <w:rPr>
          <w:lang w:eastAsia="en-GB"/>
        </w:rPr>
        <w:t>Yahweh had said before (4:7)</w:t>
      </w:r>
      <w:r w:rsidR="00A237A1" w:rsidRPr="001005B7">
        <w:rPr>
          <w:lang w:eastAsia="en-GB"/>
        </w:rPr>
        <w:t>, prophesy</w:t>
      </w:r>
      <w:r w:rsidR="00A237A1" w:rsidRPr="001005B7">
        <w:rPr>
          <w:i/>
          <w:iCs/>
          <w:lang w:eastAsia="en-GB"/>
        </w:rPr>
        <w:t xml:space="preserve"> </w:t>
      </w:r>
      <w:r w:rsidR="00A237A1" w:rsidRPr="001005B7">
        <w:rPr>
          <w:lang w:eastAsia="en-GB"/>
        </w:rPr>
        <w:t>against</w:t>
      </w:r>
      <w:r w:rsidR="00A237A1" w:rsidRPr="001005B7">
        <w:rPr>
          <w:i/>
          <w:iCs/>
          <w:lang w:eastAsia="en-GB"/>
        </w:rPr>
        <w:t xml:space="preserve"> </w:t>
      </w:r>
      <w:r w:rsidR="00A237A1" w:rsidRPr="001005B7">
        <w:rPr>
          <w:lang w:eastAsia="en-GB"/>
        </w:rPr>
        <w:t>the mountains</w:t>
      </w:r>
      <w:r w:rsidR="00A51823" w:rsidRPr="001005B7">
        <w:rPr>
          <w:lang w:eastAsia="en-GB"/>
        </w:rPr>
        <w:t xml:space="preserve"> of Israel (6:2)</w:t>
      </w:r>
      <w:r w:rsidR="005052FE" w:rsidRPr="001005B7">
        <w:rPr>
          <w:lang w:eastAsia="en-GB"/>
        </w:rPr>
        <w:t>. N</w:t>
      </w:r>
      <w:r w:rsidR="00A51823" w:rsidRPr="001005B7">
        <w:rPr>
          <w:lang w:eastAsia="en-GB"/>
        </w:rPr>
        <w:t>ow he says</w:t>
      </w:r>
      <w:r w:rsidR="005052FE" w:rsidRPr="001005B7">
        <w:rPr>
          <w:lang w:eastAsia="en-GB"/>
        </w:rPr>
        <w:t>,</w:t>
      </w:r>
      <w:r w:rsidR="00A51823" w:rsidRPr="001005B7">
        <w:rPr>
          <w:lang w:eastAsia="en-GB"/>
        </w:rPr>
        <w:t xml:space="preserve"> </w:t>
      </w:r>
      <w:r w:rsidR="00E127BA" w:rsidRPr="001005B7">
        <w:rPr>
          <w:lang w:eastAsia="en-GB"/>
        </w:rPr>
        <w:t>prophesy</w:t>
      </w:r>
      <w:r w:rsidR="00E127BA" w:rsidRPr="001005B7">
        <w:rPr>
          <w:i/>
          <w:iCs/>
          <w:lang w:eastAsia="en-GB"/>
        </w:rPr>
        <w:t xml:space="preserve"> </w:t>
      </w:r>
      <w:r w:rsidR="00E127BA" w:rsidRPr="001005B7">
        <w:rPr>
          <w:lang w:eastAsia="en-GB"/>
        </w:rPr>
        <w:t xml:space="preserve">against these </w:t>
      </w:r>
      <w:r w:rsidR="00F851F4" w:rsidRPr="001005B7">
        <w:rPr>
          <w:lang w:eastAsia="en-GB"/>
        </w:rPr>
        <w:t xml:space="preserve">misleading </w:t>
      </w:r>
      <w:r w:rsidR="00E127BA" w:rsidRPr="001005B7">
        <w:rPr>
          <w:lang w:eastAsia="en-GB"/>
        </w:rPr>
        <w:t>leaders</w:t>
      </w:r>
      <w:r w:rsidR="00E715AD" w:rsidRPr="001005B7">
        <w:rPr>
          <w:lang w:eastAsia="en-GB"/>
        </w:rPr>
        <w:t>.</w:t>
      </w:r>
      <w:r w:rsidR="006A69F4" w:rsidRPr="001005B7">
        <w:rPr>
          <w:lang w:eastAsia="en-GB"/>
        </w:rPr>
        <w:t xml:space="preserve"> </w:t>
      </w:r>
      <w:r w:rsidR="00E633ED" w:rsidRPr="001005B7">
        <w:rPr>
          <w:lang w:eastAsia="en-GB"/>
        </w:rPr>
        <w:t>“</w:t>
      </w:r>
      <w:r w:rsidR="005052FE" w:rsidRPr="001005B7">
        <w:rPr>
          <w:lang w:eastAsia="en-GB"/>
        </w:rPr>
        <w:t>P</w:t>
      </w:r>
      <w:r w:rsidR="006A69F4" w:rsidRPr="001005B7">
        <w:rPr>
          <w:lang w:eastAsia="en-GB"/>
        </w:rPr>
        <w:t>rophesy</w:t>
      </w:r>
      <w:r w:rsidR="00E633ED" w:rsidRPr="001005B7">
        <w:rPr>
          <w:lang w:eastAsia="en-GB"/>
        </w:rPr>
        <w:t>”</w:t>
      </w:r>
      <w:r w:rsidR="003956C6" w:rsidRPr="001005B7">
        <w:rPr>
          <w:lang w:eastAsia="en-GB"/>
        </w:rPr>
        <w:t xml:space="preserve"> again</w:t>
      </w:r>
      <w:r w:rsidR="00A90724" w:rsidRPr="001005B7">
        <w:rPr>
          <w:i/>
          <w:iCs/>
          <w:lang w:eastAsia="en-GB"/>
        </w:rPr>
        <w:t xml:space="preserve"> </w:t>
      </w:r>
      <w:r w:rsidR="00E145E0" w:rsidRPr="001005B7">
        <w:rPr>
          <w:lang w:eastAsia="en-GB"/>
        </w:rPr>
        <w:t>implies</w:t>
      </w:r>
      <w:r w:rsidR="00A90724" w:rsidRPr="001005B7">
        <w:rPr>
          <w:lang w:eastAsia="en-GB"/>
        </w:rPr>
        <w:t xml:space="preserve"> more than delivering a message</w:t>
      </w:r>
      <w:r w:rsidR="00102BEB" w:rsidRPr="001005B7">
        <w:rPr>
          <w:lang w:eastAsia="en-GB"/>
        </w:rPr>
        <w:t>. I</w:t>
      </w:r>
      <w:r w:rsidR="00F62A0A" w:rsidRPr="001005B7">
        <w:rPr>
          <w:lang w:eastAsia="en-GB"/>
        </w:rPr>
        <w:t>t</w:t>
      </w:r>
      <w:r w:rsidR="006A69F4" w:rsidRPr="001005B7">
        <w:rPr>
          <w:i/>
          <w:iCs/>
          <w:lang w:eastAsia="en-GB"/>
        </w:rPr>
        <w:t xml:space="preserve"> </w:t>
      </w:r>
      <w:r w:rsidR="00E145E0" w:rsidRPr="001005B7">
        <w:rPr>
          <w:lang w:eastAsia="en-GB"/>
        </w:rPr>
        <w:t>denotes</w:t>
      </w:r>
      <w:r w:rsidR="00874789" w:rsidRPr="001005B7">
        <w:rPr>
          <w:lang w:eastAsia="en-GB"/>
        </w:rPr>
        <w:t xml:space="preserve"> a powerful</w:t>
      </w:r>
      <w:r w:rsidR="0051136F" w:rsidRPr="001005B7">
        <w:rPr>
          <w:lang w:eastAsia="en-GB"/>
        </w:rPr>
        <w:t xml:space="preserve"> </w:t>
      </w:r>
      <w:r w:rsidR="00E145E0" w:rsidRPr="001005B7">
        <w:rPr>
          <w:lang w:eastAsia="en-GB"/>
        </w:rPr>
        <w:t>speaking</w:t>
      </w:r>
      <w:r w:rsidR="00874789" w:rsidRPr="001005B7">
        <w:rPr>
          <w:lang w:eastAsia="en-GB"/>
        </w:rPr>
        <w:t xml:space="preserve"> th</w:t>
      </w:r>
      <w:r w:rsidR="00496D82" w:rsidRPr="001005B7">
        <w:rPr>
          <w:lang w:eastAsia="en-GB"/>
        </w:rPr>
        <w:t>rough which God</w:t>
      </w:r>
      <w:r w:rsidR="00874789" w:rsidRPr="001005B7">
        <w:rPr>
          <w:lang w:eastAsia="en-GB"/>
        </w:rPr>
        <w:t xml:space="preserve"> </w:t>
      </w:r>
      <w:r w:rsidR="00784584" w:rsidRPr="001005B7">
        <w:rPr>
          <w:lang w:eastAsia="en-GB"/>
        </w:rPr>
        <w:t>takes action</w:t>
      </w:r>
      <w:r w:rsidR="006141D5" w:rsidRPr="001005B7">
        <w:rPr>
          <w:lang w:eastAsia="en-GB"/>
        </w:rPr>
        <w:t xml:space="preserve">. </w:t>
      </w:r>
      <w:r w:rsidR="00D83D7E" w:rsidRPr="001005B7">
        <w:rPr>
          <w:lang w:eastAsia="en-GB"/>
        </w:rPr>
        <w:t xml:space="preserve">Yahweh </w:t>
      </w:r>
      <w:r w:rsidR="00613559" w:rsidRPr="001005B7">
        <w:rPr>
          <w:lang w:eastAsia="en-GB"/>
        </w:rPr>
        <w:t xml:space="preserve">again </w:t>
      </w:r>
      <w:r w:rsidR="0012191E" w:rsidRPr="001005B7">
        <w:rPr>
          <w:lang w:eastAsia="en-GB"/>
        </w:rPr>
        <w:t>underline</w:t>
      </w:r>
      <w:r w:rsidR="00D83D7E" w:rsidRPr="001005B7">
        <w:rPr>
          <w:lang w:eastAsia="en-GB"/>
        </w:rPr>
        <w:t>s the point</w:t>
      </w:r>
      <w:r w:rsidR="0012191E" w:rsidRPr="001005B7">
        <w:rPr>
          <w:lang w:eastAsia="en-GB"/>
        </w:rPr>
        <w:t xml:space="preserve"> by </w:t>
      </w:r>
      <w:r w:rsidR="00D83D7E" w:rsidRPr="001005B7">
        <w:rPr>
          <w:lang w:eastAsia="en-GB"/>
        </w:rPr>
        <w:t>addi</w:t>
      </w:r>
      <w:r w:rsidR="00695E36" w:rsidRPr="001005B7">
        <w:rPr>
          <w:lang w:eastAsia="en-GB"/>
        </w:rPr>
        <w:t>ng</w:t>
      </w:r>
      <w:r w:rsidR="00D83D7E" w:rsidRPr="001005B7">
        <w:rPr>
          <w:lang w:eastAsia="en-GB"/>
        </w:rPr>
        <w:t xml:space="preserve"> the </w:t>
      </w:r>
      <w:r w:rsidR="00285476" w:rsidRPr="001005B7">
        <w:rPr>
          <w:lang w:eastAsia="en-GB"/>
        </w:rPr>
        <w:t>prepositional phrase</w:t>
      </w:r>
      <w:r w:rsidR="00B0757F" w:rsidRPr="001005B7">
        <w:rPr>
          <w:lang w:eastAsia="en-GB"/>
        </w:rPr>
        <w:t>,</w:t>
      </w:r>
      <w:r w:rsidR="0012191E" w:rsidRPr="001005B7">
        <w:rPr>
          <w:lang w:eastAsia="en-GB"/>
        </w:rPr>
        <w:t xml:space="preserve"> </w:t>
      </w:r>
      <w:r w:rsidR="00E40836" w:rsidRPr="001005B7">
        <w:rPr>
          <w:lang w:eastAsia="en-GB"/>
        </w:rPr>
        <w:t>“</w:t>
      </w:r>
      <w:r w:rsidR="0012191E" w:rsidRPr="001005B7">
        <w:rPr>
          <w:lang w:eastAsia="en-GB"/>
        </w:rPr>
        <w:t>prophesy</w:t>
      </w:r>
      <w:r w:rsidR="0012191E" w:rsidRPr="001005B7">
        <w:rPr>
          <w:i/>
          <w:iCs/>
          <w:lang w:eastAsia="en-GB"/>
        </w:rPr>
        <w:t xml:space="preserve"> </w:t>
      </w:r>
      <w:r w:rsidR="0012191E" w:rsidRPr="001005B7">
        <w:rPr>
          <w:lang w:eastAsia="en-GB"/>
        </w:rPr>
        <w:t>against</w:t>
      </w:r>
      <w:r w:rsidR="0012191E" w:rsidRPr="001005B7">
        <w:rPr>
          <w:i/>
          <w:iCs/>
          <w:lang w:eastAsia="en-GB"/>
        </w:rPr>
        <w:t xml:space="preserve"> </w:t>
      </w:r>
      <w:r w:rsidR="0012191E" w:rsidRPr="001005B7">
        <w:rPr>
          <w:lang w:eastAsia="en-GB"/>
        </w:rPr>
        <w:t>them.</w:t>
      </w:r>
      <w:r w:rsidR="00E40836" w:rsidRPr="001005B7">
        <w:rPr>
          <w:lang w:eastAsia="en-GB"/>
        </w:rPr>
        <w:t>”</w:t>
      </w:r>
      <w:r w:rsidR="0012191E" w:rsidRPr="001005B7">
        <w:rPr>
          <w:lang w:eastAsia="en-GB"/>
        </w:rPr>
        <w:t xml:space="preserve"> </w:t>
      </w:r>
      <w:r w:rsidR="00B0757F" w:rsidRPr="001005B7">
        <w:rPr>
          <w:lang w:eastAsia="en-GB"/>
        </w:rPr>
        <w:t>This</w:t>
      </w:r>
      <w:r w:rsidR="00D83D7E" w:rsidRPr="001005B7">
        <w:rPr>
          <w:lang w:eastAsia="en-GB"/>
        </w:rPr>
        <w:t xml:space="preserve"> is</w:t>
      </w:r>
      <w:r w:rsidR="0012191E" w:rsidRPr="001005B7">
        <w:rPr>
          <w:lang w:eastAsia="en-GB"/>
        </w:rPr>
        <w:t xml:space="preserve"> an attack that will hurt.</w:t>
      </w:r>
      <w:r w:rsidR="00D83D7E" w:rsidRPr="001005B7">
        <w:rPr>
          <w:lang w:eastAsia="en-GB"/>
        </w:rPr>
        <w:t xml:space="preserve"> </w:t>
      </w:r>
      <w:r w:rsidR="00992188" w:rsidRPr="001005B7">
        <w:rPr>
          <w:lang w:eastAsia="en-GB"/>
        </w:rPr>
        <w:t>And he</w:t>
      </w:r>
      <w:r w:rsidR="00D83D7E" w:rsidRPr="001005B7">
        <w:rPr>
          <w:lang w:eastAsia="en-GB"/>
        </w:rPr>
        <w:t xml:space="preserve"> repeats t</w:t>
      </w:r>
      <w:r w:rsidR="00E439B5" w:rsidRPr="001005B7">
        <w:rPr>
          <w:lang w:eastAsia="en-GB"/>
        </w:rPr>
        <w:t>he verb</w:t>
      </w:r>
      <w:r w:rsidR="00D83D7E" w:rsidRPr="001005B7">
        <w:rPr>
          <w:i/>
          <w:iCs/>
          <w:lang w:eastAsia="en-GB"/>
        </w:rPr>
        <w:t xml:space="preserve"> </w:t>
      </w:r>
      <w:r w:rsidR="00D83D7E" w:rsidRPr="001005B7">
        <w:rPr>
          <w:lang w:eastAsia="en-GB"/>
        </w:rPr>
        <w:t>to show that he really means it</w:t>
      </w:r>
      <w:r w:rsidR="00DA3F93" w:rsidRPr="001005B7">
        <w:rPr>
          <w:lang w:eastAsia="en-GB"/>
        </w:rPr>
        <w:t>. T</w:t>
      </w:r>
      <w:r w:rsidR="00D83D7E" w:rsidRPr="001005B7">
        <w:rPr>
          <w:lang w:eastAsia="en-GB"/>
        </w:rPr>
        <w:t>he Jerusalemites do need to take him seriously</w:t>
      </w:r>
      <w:r w:rsidR="00613559" w:rsidRPr="001005B7">
        <w:rPr>
          <w:lang w:eastAsia="en-GB"/>
        </w:rPr>
        <w:t xml:space="preserve">. </w:t>
      </w:r>
      <w:r w:rsidR="00BC4A21">
        <w:rPr>
          <w:lang w:eastAsia="en-GB"/>
        </w:rPr>
        <w:t>But s</w:t>
      </w:r>
      <w:r w:rsidR="00613559" w:rsidRPr="001005B7">
        <w:rPr>
          <w:lang w:eastAsia="en-GB"/>
        </w:rPr>
        <w:t>o</w:t>
      </w:r>
      <w:r w:rsidR="005C7DF2" w:rsidRPr="001005B7">
        <w:rPr>
          <w:lang w:eastAsia="en-GB"/>
        </w:rPr>
        <w:t xml:space="preserve"> do the </w:t>
      </w:r>
      <w:proofErr w:type="spellStart"/>
      <w:r w:rsidR="005C7DF2" w:rsidRPr="001005B7">
        <w:rPr>
          <w:lang w:eastAsia="en-GB"/>
        </w:rPr>
        <w:t>Kebar</w:t>
      </w:r>
      <w:r w:rsidR="00A72F25">
        <w:rPr>
          <w:lang w:eastAsia="en-GB"/>
        </w:rPr>
        <w:t>ites</w:t>
      </w:r>
      <w:proofErr w:type="spellEnd"/>
      <w:r w:rsidR="00613559" w:rsidRPr="001005B7">
        <w:rPr>
          <w:lang w:eastAsia="en-GB"/>
        </w:rPr>
        <w:t>, as h</w:t>
      </w:r>
      <w:r w:rsidR="00C56B95" w:rsidRPr="001005B7">
        <w:rPr>
          <w:lang w:eastAsia="en-GB"/>
        </w:rPr>
        <w:t>e speak</w:t>
      </w:r>
      <w:r w:rsidR="00613559" w:rsidRPr="001005B7">
        <w:rPr>
          <w:lang w:eastAsia="en-GB"/>
        </w:rPr>
        <w:t>s</w:t>
      </w:r>
      <w:r w:rsidR="00C56B95" w:rsidRPr="001005B7">
        <w:rPr>
          <w:lang w:eastAsia="en-GB"/>
        </w:rPr>
        <w:t xml:space="preserve"> so as to be overheard by the</w:t>
      </w:r>
      <w:r w:rsidR="007F2FA9" w:rsidRPr="001005B7">
        <w:rPr>
          <w:lang w:eastAsia="en-GB"/>
        </w:rPr>
        <w:t>m</w:t>
      </w:r>
      <w:r w:rsidR="00F9358C" w:rsidRPr="001005B7">
        <w:rPr>
          <w:lang w:eastAsia="en-GB"/>
        </w:rPr>
        <w:t xml:space="preserve"> when Ezekiel reports his words</w:t>
      </w:r>
      <w:r w:rsidR="007F2FA9" w:rsidRPr="001005B7">
        <w:rPr>
          <w:lang w:eastAsia="en-GB"/>
        </w:rPr>
        <w:t xml:space="preserve">. </w:t>
      </w:r>
      <w:r w:rsidR="00D45702" w:rsidRPr="001005B7">
        <w:rPr>
          <w:lang w:eastAsia="en-GB"/>
        </w:rPr>
        <w:t>Ezekiel underlines the</w:t>
      </w:r>
      <w:r w:rsidR="007F2FA9" w:rsidRPr="001005B7">
        <w:rPr>
          <w:lang w:eastAsia="en-GB"/>
        </w:rPr>
        <w:t xml:space="preserve"> point</w:t>
      </w:r>
      <w:r w:rsidR="0012191E" w:rsidRPr="001005B7">
        <w:rPr>
          <w:lang w:eastAsia="en-GB"/>
        </w:rPr>
        <w:t xml:space="preserve"> in a different way </w:t>
      </w:r>
      <w:r w:rsidR="004C20E8" w:rsidRPr="001005B7">
        <w:rPr>
          <w:lang w:eastAsia="en-GB"/>
        </w:rPr>
        <w:t xml:space="preserve">when </w:t>
      </w:r>
      <w:r w:rsidR="00D45702" w:rsidRPr="001005B7">
        <w:rPr>
          <w:lang w:eastAsia="en-GB"/>
        </w:rPr>
        <w:t>he</w:t>
      </w:r>
      <w:r w:rsidR="004C20E8" w:rsidRPr="001005B7">
        <w:rPr>
          <w:lang w:eastAsia="en-GB"/>
        </w:rPr>
        <w:t xml:space="preserve"> tells his readers that Yahweh’s spirit fell on him. </w:t>
      </w:r>
      <w:r w:rsidR="007501BB" w:rsidRPr="001005B7">
        <w:rPr>
          <w:lang w:eastAsia="en-GB"/>
        </w:rPr>
        <w:t xml:space="preserve">He uses the expression </w:t>
      </w:r>
      <w:r w:rsidR="00E40836" w:rsidRPr="001005B7">
        <w:rPr>
          <w:lang w:eastAsia="en-GB"/>
        </w:rPr>
        <w:t>“</w:t>
      </w:r>
      <w:r w:rsidR="007501BB" w:rsidRPr="001005B7">
        <w:rPr>
          <w:lang w:eastAsia="en-GB"/>
        </w:rPr>
        <w:t>Yahweh’s</w:t>
      </w:r>
      <w:r w:rsidR="007501BB" w:rsidRPr="001005B7">
        <w:rPr>
          <w:i/>
          <w:iCs/>
          <w:lang w:eastAsia="en-GB"/>
        </w:rPr>
        <w:t xml:space="preserve"> </w:t>
      </w:r>
      <w:r w:rsidR="007501BB" w:rsidRPr="001005B7">
        <w:rPr>
          <w:lang w:eastAsia="en-GB"/>
        </w:rPr>
        <w:t>spirit</w:t>
      </w:r>
      <w:r w:rsidR="00E40836" w:rsidRPr="001005B7">
        <w:rPr>
          <w:lang w:eastAsia="en-GB"/>
        </w:rPr>
        <w:t>”</w:t>
      </w:r>
      <w:r w:rsidR="007501BB" w:rsidRPr="001005B7">
        <w:rPr>
          <w:lang w:eastAsia="en-GB"/>
        </w:rPr>
        <w:t xml:space="preserve"> otherwise only in 37:</w:t>
      </w:r>
      <w:r w:rsidR="006A4F3B" w:rsidRPr="001005B7">
        <w:rPr>
          <w:lang w:eastAsia="en-GB"/>
        </w:rPr>
        <w:t>1</w:t>
      </w:r>
      <w:r w:rsidR="007501BB" w:rsidRPr="001005B7">
        <w:rPr>
          <w:lang w:eastAsia="en-GB"/>
        </w:rPr>
        <w:t>,</w:t>
      </w:r>
      <w:r w:rsidR="007D4ADA" w:rsidRPr="001005B7">
        <w:rPr>
          <w:lang w:eastAsia="en-GB"/>
        </w:rPr>
        <w:t xml:space="preserve"> in association with the phrase </w:t>
      </w:r>
      <w:r w:rsidR="00D81DAB" w:rsidRPr="001005B7">
        <w:rPr>
          <w:lang w:eastAsia="en-GB"/>
        </w:rPr>
        <w:t>“</w:t>
      </w:r>
      <w:r w:rsidR="007D4ADA" w:rsidRPr="001005B7">
        <w:rPr>
          <w:lang w:eastAsia="en-GB"/>
        </w:rPr>
        <w:t>Yahweh’s</w:t>
      </w:r>
      <w:r w:rsidR="007D4ADA" w:rsidRPr="001005B7">
        <w:rPr>
          <w:i/>
          <w:iCs/>
          <w:lang w:eastAsia="en-GB"/>
        </w:rPr>
        <w:t xml:space="preserve"> </w:t>
      </w:r>
      <w:r w:rsidR="007D4ADA" w:rsidRPr="001005B7">
        <w:rPr>
          <w:lang w:eastAsia="en-GB"/>
        </w:rPr>
        <w:t>hand</w:t>
      </w:r>
      <w:r w:rsidR="00D81DAB" w:rsidRPr="001005B7">
        <w:rPr>
          <w:lang w:eastAsia="en-GB"/>
        </w:rPr>
        <w:t>”</w:t>
      </w:r>
      <w:r w:rsidR="006A4F3B" w:rsidRPr="001005B7">
        <w:rPr>
          <w:lang w:eastAsia="en-GB"/>
        </w:rPr>
        <w:t xml:space="preserve"> and in connection with </w:t>
      </w:r>
      <w:r w:rsidR="00B949FF" w:rsidRPr="001005B7">
        <w:rPr>
          <w:lang w:eastAsia="en-GB"/>
        </w:rPr>
        <w:t xml:space="preserve">taking </w:t>
      </w:r>
      <w:r w:rsidR="006A4F3B" w:rsidRPr="001005B7">
        <w:rPr>
          <w:lang w:eastAsia="en-GB"/>
        </w:rPr>
        <w:t xml:space="preserve">Ezekiel </w:t>
      </w:r>
      <w:r w:rsidR="00B949FF" w:rsidRPr="001005B7">
        <w:rPr>
          <w:lang w:eastAsia="en-GB"/>
        </w:rPr>
        <w:t xml:space="preserve">on </w:t>
      </w:r>
      <w:r w:rsidR="006A4F3B" w:rsidRPr="001005B7">
        <w:rPr>
          <w:lang w:eastAsia="en-GB"/>
        </w:rPr>
        <w:t xml:space="preserve">another </w:t>
      </w:r>
      <w:r w:rsidR="00FD4D34" w:rsidRPr="001005B7">
        <w:rPr>
          <w:lang w:eastAsia="en-GB"/>
        </w:rPr>
        <w:t>journey in imagination. Elsewhere</w:t>
      </w:r>
      <w:r w:rsidR="00816E0E" w:rsidRPr="001005B7">
        <w:rPr>
          <w:lang w:eastAsia="en-GB"/>
        </w:rPr>
        <w:t xml:space="preserve"> in the First Testament</w:t>
      </w:r>
      <w:r w:rsidR="00FD4D34" w:rsidRPr="001005B7">
        <w:rPr>
          <w:lang w:eastAsia="en-GB"/>
        </w:rPr>
        <w:t xml:space="preserve">, </w:t>
      </w:r>
      <w:r w:rsidR="0098301F" w:rsidRPr="001005B7">
        <w:rPr>
          <w:lang w:eastAsia="en-GB"/>
        </w:rPr>
        <w:t xml:space="preserve">Yahweh’s spirit makes people </w:t>
      </w:r>
      <w:r w:rsidR="0098301F" w:rsidRPr="001005B7">
        <w:rPr>
          <w:i/>
          <w:iCs/>
          <w:lang w:eastAsia="en-GB"/>
        </w:rPr>
        <w:t>do</w:t>
      </w:r>
      <w:r w:rsidR="0098301F" w:rsidRPr="001005B7">
        <w:rPr>
          <w:lang w:eastAsia="en-GB"/>
        </w:rPr>
        <w:t xml:space="preserve"> extraordinary things (see especially Judges).</w:t>
      </w:r>
    </w:p>
    <w:p w14:paraId="479F1C5C" w14:textId="07301FA2" w:rsidR="0074209B" w:rsidRPr="001005B7" w:rsidRDefault="00FC302F" w:rsidP="00806728">
      <w:pPr>
        <w:rPr>
          <w:lang w:eastAsia="en-GB"/>
        </w:rPr>
      </w:pPr>
      <w:r w:rsidRPr="001005B7">
        <w:rPr>
          <w:lang w:eastAsia="en-GB"/>
        </w:rPr>
        <w:t xml:space="preserve">Apparently </w:t>
      </w:r>
      <w:r w:rsidR="007E11E3" w:rsidRPr="001005B7">
        <w:rPr>
          <w:lang w:eastAsia="en-GB"/>
        </w:rPr>
        <w:t xml:space="preserve">Yahweh treats </w:t>
      </w:r>
      <w:r w:rsidRPr="001005B7">
        <w:rPr>
          <w:lang w:eastAsia="en-GB"/>
        </w:rPr>
        <w:t xml:space="preserve">the </w:t>
      </w:r>
      <w:r w:rsidR="003C71CA" w:rsidRPr="001005B7">
        <w:rPr>
          <w:lang w:eastAsia="en-GB"/>
        </w:rPr>
        <w:t xml:space="preserve">two or the </w:t>
      </w:r>
      <w:r w:rsidR="007E11E3" w:rsidRPr="001005B7">
        <w:rPr>
          <w:lang w:eastAsia="en-GB"/>
        </w:rPr>
        <w:t xml:space="preserve">twenty-five as representing </w:t>
      </w:r>
      <w:r w:rsidR="008115A5">
        <w:rPr>
          <w:lang w:eastAsia="en-GB"/>
        </w:rPr>
        <w:t>Israel’s</w:t>
      </w:r>
      <w:r w:rsidR="007E11E3" w:rsidRPr="001005B7">
        <w:rPr>
          <w:i/>
          <w:iCs/>
          <w:lang w:eastAsia="en-GB"/>
        </w:rPr>
        <w:t xml:space="preserve"> </w:t>
      </w:r>
      <w:r w:rsidR="007E11E3" w:rsidRPr="001005B7">
        <w:rPr>
          <w:lang w:eastAsia="en-GB"/>
        </w:rPr>
        <w:t>household</w:t>
      </w:r>
      <w:r w:rsidR="001340A9" w:rsidRPr="001005B7">
        <w:rPr>
          <w:lang w:eastAsia="en-GB"/>
        </w:rPr>
        <w:t>.</w:t>
      </w:r>
      <w:r w:rsidR="0025484B" w:rsidRPr="001005B7">
        <w:rPr>
          <w:lang w:eastAsia="en-GB"/>
        </w:rPr>
        <w:t xml:space="preserve"> </w:t>
      </w:r>
      <w:r w:rsidR="00972328" w:rsidRPr="001005B7">
        <w:rPr>
          <w:lang w:eastAsia="en-GB"/>
        </w:rPr>
        <w:t>Once ag</w:t>
      </w:r>
      <w:r w:rsidR="00AC7CEE" w:rsidRPr="001005B7">
        <w:rPr>
          <w:lang w:eastAsia="en-GB"/>
        </w:rPr>
        <w:t>a</w:t>
      </w:r>
      <w:r w:rsidR="00972328" w:rsidRPr="001005B7">
        <w:rPr>
          <w:lang w:eastAsia="en-GB"/>
        </w:rPr>
        <w:t xml:space="preserve">in </w:t>
      </w:r>
      <w:r w:rsidR="00AC7CEE" w:rsidRPr="001005B7">
        <w:rPr>
          <w:lang w:eastAsia="en-GB"/>
        </w:rPr>
        <w:t>the presupposition is that</w:t>
      </w:r>
      <w:r w:rsidR="00972328" w:rsidRPr="001005B7">
        <w:rPr>
          <w:lang w:eastAsia="en-GB"/>
        </w:rPr>
        <w:t xml:space="preserve"> b</w:t>
      </w:r>
      <w:r w:rsidR="009739EB" w:rsidRPr="001005B7">
        <w:rPr>
          <w:lang w:eastAsia="en-GB"/>
        </w:rPr>
        <w:t>oth b</w:t>
      </w:r>
      <w:r w:rsidR="007824C7" w:rsidRPr="001005B7">
        <w:rPr>
          <w:lang w:eastAsia="en-GB"/>
        </w:rPr>
        <w:t xml:space="preserve">enefits </w:t>
      </w:r>
      <w:r w:rsidR="00C32982" w:rsidRPr="001005B7">
        <w:rPr>
          <w:lang w:eastAsia="en-GB"/>
        </w:rPr>
        <w:t xml:space="preserve">and troubles </w:t>
      </w:r>
      <w:r w:rsidR="007824C7" w:rsidRPr="001005B7">
        <w:rPr>
          <w:lang w:eastAsia="en-GB"/>
        </w:rPr>
        <w:t xml:space="preserve">come to </w:t>
      </w:r>
      <w:r w:rsidR="001340A9" w:rsidRPr="001005B7">
        <w:rPr>
          <w:lang w:eastAsia="en-GB"/>
        </w:rPr>
        <w:t>a</w:t>
      </w:r>
      <w:r w:rsidR="007824C7" w:rsidRPr="001005B7">
        <w:rPr>
          <w:lang w:eastAsia="en-GB"/>
        </w:rPr>
        <w:t xml:space="preserve"> people as a whole from </w:t>
      </w:r>
      <w:r w:rsidR="00ED7885">
        <w:rPr>
          <w:lang w:eastAsia="en-GB"/>
        </w:rPr>
        <w:t xml:space="preserve">the </w:t>
      </w:r>
      <w:r w:rsidR="007824C7" w:rsidRPr="001005B7">
        <w:rPr>
          <w:lang w:eastAsia="en-GB"/>
        </w:rPr>
        <w:t>policies of their leadership</w:t>
      </w:r>
      <w:r w:rsidR="00ED7885">
        <w:rPr>
          <w:lang w:eastAsia="en-GB"/>
        </w:rPr>
        <w:t xml:space="preserve">, </w:t>
      </w:r>
      <w:r w:rsidR="00ED7885" w:rsidRPr="001005B7">
        <w:rPr>
          <w:lang w:eastAsia="en-GB"/>
        </w:rPr>
        <w:t>wise or unwise, faithful or faithless</w:t>
      </w:r>
      <w:r w:rsidR="00C32982" w:rsidRPr="001005B7">
        <w:rPr>
          <w:lang w:eastAsia="en-GB"/>
        </w:rPr>
        <w:t>.</w:t>
      </w:r>
      <w:r w:rsidR="00970E69" w:rsidRPr="001005B7">
        <w:rPr>
          <w:lang w:eastAsia="en-GB"/>
        </w:rPr>
        <w:t xml:space="preserve"> </w:t>
      </w:r>
      <w:r w:rsidR="00485F79" w:rsidRPr="001005B7">
        <w:rPr>
          <w:lang w:eastAsia="en-GB"/>
        </w:rPr>
        <w:t>And e</w:t>
      </w:r>
      <w:r w:rsidR="00970E69" w:rsidRPr="001005B7">
        <w:rPr>
          <w:lang w:eastAsia="en-GB"/>
        </w:rPr>
        <w:t>ven if th</w:t>
      </w:r>
      <w:r w:rsidR="00BB482E" w:rsidRPr="001005B7">
        <w:rPr>
          <w:lang w:eastAsia="en-GB"/>
        </w:rPr>
        <w:t>is group is</w:t>
      </w:r>
      <w:r w:rsidR="00970E69" w:rsidRPr="001005B7">
        <w:rPr>
          <w:lang w:eastAsia="en-GB"/>
        </w:rPr>
        <w:t xml:space="preserve"> having a secret </w:t>
      </w:r>
      <w:r w:rsidR="00773A91" w:rsidRPr="001005B7">
        <w:rPr>
          <w:lang w:eastAsia="en-GB"/>
        </w:rPr>
        <w:t>meeting, he knows about it.</w:t>
      </w:r>
      <w:r w:rsidR="00C32982" w:rsidRPr="001005B7">
        <w:rPr>
          <w:lang w:eastAsia="en-GB"/>
        </w:rPr>
        <w:t xml:space="preserve"> </w:t>
      </w:r>
    </w:p>
    <w:p w14:paraId="6F10E4BB" w14:textId="678A94CC" w:rsidR="00A57923" w:rsidRPr="001005B7" w:rsidRDefault="00ED08C1" w:rsidP="00D10625">
      <w:pPr>
        <w:rPr>
          <w:lang w:eastAsia="en-GB"/>
        </w:rPr>
      </w:pPr>
      <w:r w:rsidRPr="001005B7">
        <w:rPr>
          <w:b/>
          <w:bCs/>
          <w:lang w:eastAsia="en-GB"/>
        </w:rPr>
        <w:t>11:6</w:t>
      </w:r>
      <w:r w:rsidR="00F46900" w:rsidRPr="001005B7">
        <w:rPr>
          <w:b/>
          <w:bCs/>
          <w:lang w:eastAsia="en-GB"/>
        </w:rPr>
        <w:t>–</w:t>
      </w:r>
      <w:r w:rsidR="004252C3" w:rsidRPr="001005B7">
        <w:rPr>
          <w:b/>
          <w:bCs/>
          <w:lang w:eastAsia="en-GB"/>
        </w:rPr>
        <w:t>8</w:t>
      </w:r>
      <w:r w:rsidRPr="001005B7">
        <w:rPr>
          <w:b/>
          <w:bCs/>
          <w:lang w:eastAsia="en-GB"/>
        </w:rPr>
        <w:t xml:space="preserve"> </w:t>
      </w:r>
      <w:r w:rsidR="009F6D32" w:rsidRPr="001005B7">
        <w:rPr>
          <w:lang w:eastAsia="en-GB"/>
        </w:rPr>
        <w:t xml:space="preserve">Prophets often </w:t>
      </w:r>
      <w:r w:rsidR="00247887" w:rsidRPr="001005B7">
        <w:rPr>
          <w:lang w:eastAsia="en-GB"/>
        </w:rPr>
        <w:t xml:space="preserve">follow </w:t>
      </w:r>
      <w:r w:rsidR="00454269" w:rsidRPr="001005B7">
        <w:rPr>
          <w:lang w:eastAsia="en-GB"/>
        </w:rPr>
        <w:t>a</w:t>
      </w:r>
      <w:r w:rsidR="008C0F77" w:rsidRPr="001005B7">
        <w:rPr>
          <w:lang w:eastAsia="en-GB"/>
        </w:rPr>
        <w:t xml:space="preserve"> sequence </w:t>
      </w:r>
      <w:r w:rsidR="00454269" w:rsidRPr="001005B7">
        <w:rPr>
          <w:lang w:eastAsia="en-GB"/>
        </w:rPr>
        <w:t>whereby</w:t>
      </w:r>
      <w:r w:rsidR="008C0F77" w:rsidRPr="001005B7">
        <w:rPr>
          <w:lang w:eastAsia="en-GB"/>
        </w:rPr>
        <w:t xml:space="preserve"> accusation</w:t>
      </w:r>
      <w:r w:rsidR="00B60C96" w:rsidRPr="001005B7">
        <w:rPr>
          <w:lang w:eastAsia="en-GB"/>
        </w:rPr>
        <w:t xml:space="preserve"> </w:t>
      </w:r>
      <w:r w:rsidR="008C0F77" w:rsidRPr="001005B7">
        <w:rPr>
          <w:lang w:eastAsia="en-GB"/>
        </w:rPr>
        <w:t>(</w:t>
      </w:r>
      <w:r w:rsidR="000766CA" w:rsidRPr="001005B7">
        <w:rPr>
          <w:lang w:eastAsia="en-GB"/>
        </w:rPr>
        <w:t>“</w:t>
      </w:r>
      <w:r w:rsidR="008C0F77" w:rsidRPr="001005B7">
        <w:rPr>
          <w:lang w:eastAsia="en-GB"/>
        </w:rPr>
        <w:t xml:space="preserve">you </w:t>
      </w:r>
      <w:r w:rsidR="00BB6829">
        <w:rPr>
          <w:lang w:eastAsia="en-GB"/>
        </w:rPr>
        <w:t>are making</w:t>
      </w:r>
      <w:r w:rsidR="008C0F77" w:rsidRPr="001005B7">
        <w:rPr>
          <w:lang w:eastAsia="en-GB"/>
        </w:rPr>
        <w:t xml:space="preserve"> many your slain</w:t>
      </w:r>
      <w:r w:rsidR="000766CA" w:rsidRPr="001005B7">
        <w:rPr>
          <w:lang w:eastAsia="en-GB"/>
        </w:rPr>
        <w:t>”</w:t>
      </w:r>
      <w:r w:rsidR="00B60C96" w:rsidRPr="001005B7">
        <w:rPr>
          <w:lang w:eastAsia="en-GB"/>
        </w:rPr>
        <w:t xml:space="preserve">) </w:t>
      </w:r>
      <w:r w:rsidR="00454269" w:rsidRPr="001005B7">
        <w:rPr>
          <w:lang w:eastAsia="en-GB"/>
        </w:rPr>
        <w:t xml:space="preserve">is </w:t>
      </w:r>
      <w:r w:rsidR="00B60C96" w:rsidRPr="001005B7">
        <w:rPr>
          <w:lang w:eastAsia="en-GB"/>
        </w:rPr>
        <w:t xml:space="preserve">followed by </w:t>
      </w:r>
      <w:r w:rsidR="00FD4F92" w:rsidRPr="001005B7">
        <w:rPr>
          <w:lang w:eastAsia="en-GB"/>
        </w:rPr>
        <w:t>sentence</w:t>
      </w:r>
      <w:r w:rsidR="00982342" w:rsidRPr="001005B7">
        <w:rPr>
          <w:lang w:eastAsia="en-GB"/>
        </w:rPr>
        <w:t xml:space="preserve"> </w:t>
      </w:r>
      <w:r w:rsidR="00FD4F92" w:rsidRPr="001005B7">
        <w:rPr>
          <w:lang w:eastAsia="en-GB"/>
        </w:rPr>
        <w:t>(</w:t>
      </w:r>
      <w:r w:rsidR="000766CA" w:rsidRPr="001005B7">
        <w:rPr>
          <w:lang w:eastAsia="en-GB"/>
        </w:rPr>
        <w:t>“</w:t>
      </w:r>
      <w:r w:rsidR="00B60C96" w:rsidRPr="001005B7">
        <w:rPr>
          <w:lang w:eastAsia="en-GB"/>
        </w:rPr>
        <w:t>therefore</w:t>
      </w:r>
      <w:r w:rsidR="000766CA" w:rsidRPr="001005B7">
        <w:rPr>
          <w:lang w:eastAsia="en-GB"/>
        </w:rPr>
        <w:t>”</w:t>
      </w:r>
      <w:r w:rsidR="00B60C96" w:rsidRPr="001005B7">
        <w:rPr>
          <w:lang w:eastAsia="en-GB"/>
        </w:rPr>
        <w:t>)</w:t>
      </w:r>
      <w:r w:rsidR="007400F4" w:rsidRPr="001005B7">
        <w:rPr>
          <w:lang w:eastAsia="en-GB"/>
        </w:rPr>
        <w:t>.</w:t>
      </w:r>
      <w:r w:rsidR="00BF6EB0" w:rsidRPr="001005B7">
        <w:rPr>
          <w:lang w:eastAsia="en-GB"/>
        </w:rPr>
        <w:t xml:space="preserve"> Ezekiel</w:t>
      </w:r>
      <w:r w:rsidR="00603240" w:rsidRPr="001005B7">
        <w:rPr>
          <w:lang w:eastAsia="en-GB"/>
        </w:rPr>
        <w:t xml:space="preserve"> </w:t>
      </w:r>
      <w:r w:rsidR="00085F55" w:rsidRPr="001005B7">
        <w:rPr>
          <w:lang w:eastAsia="en-GB"/>
        </w:rPr>
        <w:t xml:space="preserve">follows </w:t>
      </w:r>
      <w:r w:rsidR="00454269" w:rsidRPr="001005B7">
        <w:rPr>
          <w:lang w:eastAsia="en-GB"/>
        </w:rPr>
        <w:t>the sequence</w:t>
      </w:r>
      <w:r w:rsidR="00085F55" w:rsidRPr="001005B7">
        <w:rPr>
          <w:lang w:eastAsia="en-GB"/>
        </w:rPr>
        <w:t xml:space="preserve"> in a</w:t>
      </w:r>
      <w:r w:rsidR="00603240" w:rsidRPr="001005B7">
        <w:rPr>
          <w:lang w:eastAsia="en-GB"/>
        </w:rPr>
        <w:t xml:space="preserve"> typically</w:t>
      </w:r>
      <w:r w:rsidR="00085F55" w:rsidRPr="001005B7">
        <w:rPr>
          <w:lang w:eastAsia="en-GB"/>
        </w:rPr>
        <w:t xml:space="preserve"> idiosyncratic way, as he</w:t>
      </w:r>
      <w:r w:rsidR="00603240" w:rsidRPr="001005B7">
        <w:rPr>
          <w:i/>
          <w:iCs/>
          <w:lang w:eastAsia="en-GB"/>
        </w:rPr>
        <w:t xml:space="preserve"> </w:t>
      </w:r>
      <w:r w:rsidR="00603240" w:rsidRPr="001005B7">
        <w:rPr>
          <w:lang w:eastAsia="en-GB"/>
        </w:rPr>
        <w:t>did in 5:</w:t>
      </w:r>
      <w:r w:rsidR="00FC7A89" w:rsidRPr="001005B7">
        <w:rPr>
          <w:lang w:eastAsia="en-GB"/>
        </w:rPr>
        <w:t>5</w:t>
      </w:r>
      <w:r w:rsidR="00F46900" w:rsidRPr="001005B7">
        <w:rPr>
          <w:lang w:eastAsia="en-GB"/>
        </w:rPr>
        <w:t>–</w:t>
      </w:r>
      <w:r w:rsidR="00FC7A89" w:rsidRPr="001005B7">
        <w:rPr>
          <w:lang w:eastAsia="en-GB"/>
        </w:rPr>
        <w:t>11</w:t>
      </w:r>
      <w:r w:rsidR="007400F4" w:rsidRPr="001005B7">
        <w:rPr>
          <w:lang w:eastAsia="en-GB"/>
        </w:rPr>
        <w:t>, as</w:t>
      </w:r>
      <w:r w:rsidR="008840CA" w:rsidRPr="001005B7">
        <w:rPr>
          <w:lang w:eastAsia="en-GB"/>
        </w:rPr>
        <w:t xml:space="preserve"> the accusation relates to something the accused have not yet </w:t>
      </w:r>
      <w:r w:rsidR="000F18C6" w:rsidRPr="001005B7">
        <w:rPr>
          <w:lang w:eastAsia="en-GB"/>
        </w:rPr>
        <w:t xml:space="preserve">finished doing. </w:t>
      </w:r>
      <w:r w:rsidR="00DD1733">
        <w:rPr>
          <w:lang w:eastAsia="en-GB"/>
        </w:rPr>
        <w:t>Jerusalem’s</w:t>
      </w:r>
      <w:r w:rsidR="0036272E" w:rsidRPr="001005B7">
        <w:rPr>
          <w:lang w:eastAsia="en-GB"/>
        </w:rPr>
        <w:t xml:space="preserve"> streets are not currently filled with the</w:t>
      </w:r>
      <w:r w:rsidR="0036272E" w:rsidRPr="001005B7">
        <w:rPr>
          <w:i/>
          <w:iCs/>
          <w:lang w:eastAsia="en-GB"/>
        </w:rPr>
        <w:t xml:space="preserve"> </w:t>
      </w:r>
      <w:r w:rsidR="0036272E" w:rsidRPr="001005B7">
        <w:rPr>
          <w:lang w:eastAsia="en-GB"/>
        </w:rPr>
        <w:t>slain, but</w:t>
      </w:r>
      <w:r w:rsidR="00906A31" w:rsidRPr="001005B7">
        <w:rPr>
          <w:lang w:eastAsia="en-GB"/>
        </w:rPr>
        <w:t xml:space="preserve"> the trouble and the dire counsel </w:t>
      </w:r>
      <w:r w:rsidR="0039289C" w:rsidRPr="001005B7">
        <w:rPr>
          <w:lang w:eastAsia="en-GB"/>
        </w:rPr>
        <w:t>issuing from</w:t>
      </w:r>
      <w:r w:rsidR="00906A31" w:rsidRPr="001005B7">
        <w:rPr>
          <w:lang w:eastAsia="en-GB"/>
        </w:rPr>
        <w:t xml:space="preserve"> these leaders means</w:t>
      </w:r>
      <w:r w:rsidR="0036272E" w:rsidRPr="001005B7">
        <w:rPr>
          <w:lang w:eastAsia="en-GB"/>
        </w:rPr>
        <w:t xml:space="preserve"> they are going to be (</w:t>
      </w:r>
      <w:r w:rsidR="003A7534" w:rsidRPr="001005B7">
        <w:rPr>
          <w:lang w:eastAsia="en-GB"/>
        </w:rPr>
        <w:t xml:space="preserve">9:7; cf. also </w:t>
      </w:r>
      <w:r w:rsidR="00BF4464" w:rsidRPr="001005B7">
        <w:rPr>
          <w:lang w:eastAsia="en-GB"/>
        </w:rPr>
        <w:t>6:4, 7, 13</w:t>
      </w:r>
      <w:r w:rsidR="004B06C2" w:rsidRPr="001005B7">
        <w:rPr>
          <w:lang w:eastAsia="en-GB"/>
        </w:rPr>
        <w:t xml:space="preserve">; </w:t>
      </w:r>
      <w:r w:rsidR="00450AC5" w:rsidRPr="001005B7">
        <w:rPr>
          <w:lang w:eastAsia="en-GB"/>
        </w:rPr>
        <w:t>21:14, 29 [19, 34]</w:t>
      </w:r>
      <w:r w:rsidR="004B06C2" w:rsidRPr="001005B7">
        <w:rPr>
          <w:lang w:eastAsia="en-GB"/>
        </w:rPr>
        <w:t>).</w:t>
      </w:r>
      <w:r w:rsidR="00B74DBB" w:rsidRPr="001005B7">
        <w:rPr>
          <w:lang w:eastAsia="en-GB"/>
        </w:rPr>
        <w:t xml:space="preserve"> </w:t>
      </w:r>
      <w:r w:rsidR="004B50D5" w:rsidRPr="001005B7">
        <w:rPr>
          <w:lang w:eastAsia="en-GB"/>
        </w:rPr>
        <w:t xml:space="preserve">The leaders are responsible for </w:t>
      </w:r>
      <w:r w:rsidR="00C147F5" w:rsidRPr="001005B7">
        <w:rPr>
          <w:lang w:eastAsia="en-GB"/>
        </w:rPr>
        <w:t xml:space="preserve">what is going to happen, and </w:t>
      </w:r>
      <w:r w:rsidR="00B74DBB" w:rsidRPr="001005B7">
        <w:rPr>
          <w:lang w:eastAsia="en-GB"/>
        </w:rPr>
        <w:t>Yahweh pictures the si</w:t>
      </w:r>
      <w:r w:rsidR="00D04554" w:rsidRPr="001005B7">
        <w:rPr>
          <w:lang w:eastAsia="en-GB"/>
        </w:rPr>
        <w:t>t</w:t>
      </w:r>
      <w:r w:rsidR="00B74DBB" w:rsidRPr="001005B7">
        <w:rPr>
          <w:lang w:eastAsia="en-GB"/>
        </w:rPr>
        <w:t xml:space="preserve">uation as if it has already </w:t>
      </w:r>
      <w:r w:rsidR="00D04554" w:rsidRPr="001005B7">
        <w:rPr>
          <w:lang w:eastAsia="en-GB"/>
        </w:rPr>
        <w:t>come about</w:t>
      </w:r>
      <w:r w:rsidR="00B74DBB" w:rsidRPr="001005B7">
        <w:rPr>
          <w:lang w:eastAsia="en-GB"/>
        </w:rPr>
        <w:t xml:space="preserve">—as if </w:t>
      </w:r>
      <w:r w:rsidR="00A3449C" w:rsidRPr="001005B7">
        <w:rPr>
          <w:lang w:eastAsia="en-GB"/>
        </w:rPr>
        <w:t>his executioners have implemented their commission.</w:t>
      </w:r>
      <w:r w:rsidR="00E438CE">
        <w:rPr>
          <w:lang w:eastAsia="en-GB"/>
        </w:rPr>
        <w:t xml:space="preserve"> I</w:t>
      </w:r>
      <w:r w:rsidR="00DB4238">
        <w:rPr>
          <w:lang w:eastAsia="en-GB"/>
        </w:rPr>
        <w:t>n doing so</w:t>
      </w:r>
      <w:r w:rsidR="00E438CE">
        <w:rPr>
          <w:lang w:eastAsia="en-GB"/>
        </w:rPr>
        <w:t>, he</w:t>
      </w:r>
      <w:r w:rsidR="00A3449C" w:rsidRPr="001005B7">
        <w:rPr>
          <w:lang w:eastAsia="en-GB"/>
        </w:rPr>
        <w:t xml:space="preserve"> </w:t>
      </w:r>
      <w:r w:rsidR="007408D7" w:rsidRPr="001005B7">
        <w:rPr>
          <w:lang w:eastAsia="en-GB"/>
        </w:rPr>
        <w:t>ta</w:t>
      </w:r>
      <w:r w:rsidR="00D04554" w:rsidRPr="001005B7">
        <w:rPr>
          <w:lang w:eastAsia="en-GB"/>
        </w:rPr>
        <w:t>k</w:t>
      </w:r>
      <w:r w:rsidR="007408D7" w:rsidRPr="001005B7">
        <w:rPr>
          <w:lang w:eastAsia="en-GB"/>
        </w:rPr>
        <w:t>e</w:t>
      </w:r>
      <w:r w:rsidR="00C147F5" w:rsidRPr="001005B7">
        <w:rPr>
          <w:lang w:eastAsia="en-GB"/>
        </w:rPr>
        <w:t>s</w:t>
      </w:r>
      <w:r w:rsidR="007408D7" w:rsidRPr="001005B7">
        <w:rPr>
          <w:lang w:eastAsia="en-GB"/>
        </w:rPr>
        <w:t xml:space="preserve"> up </w:t>
      </w:r>
      <w:r w:rsidR="00C147F5" w:rsidRPr="001005B7">
        <w:rPr>
          <w:lang w:eastAsia="en-GB"/>
        </w:rPr>
        <w:t>thei</w:t>
      </w:r>
      <w:r w:rsidR="007408D7" w:rsidRPr="001005B7">
        <w:rPr>
          <w:lang w:eastAsia="en-GB"/>
        </w:rPr>
        <w:t xml:space="preserve">r </w:t>
      </w:r>
      <w:r w:rsidR="00CA42F1" w:rsidRPr="001005B7">
        <w:rPr>
          <w:lang w:eastAsia="en-GB"/>
        </w:rPr>
        <w:t xml:space="preserve">own </w:t>
      </w:r>
      <w:r w:rsidR="007408D7" w:rsidRPr="001005B7">
        <w:rPr>
          <w:lang w:eastAsia="en-GB"/>
        </w:rPr>
        <w:t xml:space="preserve">image of the kitchen pot. </w:t>
      </w:r>
      <w:r w:rsidR="001F5975" w:rsidRPr="001005B7">
        <w:rPr>
          <w:lang w:eastAsia="en-GB"/>
        </w:rPr>
        <w:t>Yes, the</w:t>
      </w:r>
      <w:r w:rsidR="003F0E34" w:rsidRPr="001005B7">
        <w:rPr>
          <w:lang w:eastAsia="en-GB"/>
        </w:rPr>
        <w:t>y</w:t>
      </w:r>
      <w:r w:rsidR="001F5975" w:rsidRPr="001005B7">
        <w:rPr>
          <w:lang w:eastAsia="en-GB"/>
        </w:rPr>
        <w:t xml:space="preserve"> have sentenced their people to life</w:t>
      </w:r>
      <w:r w:rsidR="003F0E34" w:rsidRPr="001005B7">
        <w:rPr>
          <w:lang w:eastAsia="en-GB"/>
        </w:rPr>
        <w:t xml:space="preserve"> in that pot</w:t>
      </w:r>
      <w:r w:rsidR="001F5975" w:rsidRPr="001005B7">
        <w:rPr>
          <w:lang w:eastAsia="en-GB"/>
        </w:rPr>
        <w:t xml:space="preserve">—or rather </w:t>
      </w:r>
      <w:r w:rsidR="00D20999">
        <w:rPr>
          <w:lang w:eastAsia="en-GB"/>
        </w:rPr>
        <w:t xml:space="preserve">to </w:t>
      </w:r>
      <w:r w:rsidR="001F5975" w:rsidRPr="001005B7">
        <w:rPr>
          <w:lang w:eastAsia="en-GB"/>
        </w:rPr>
        <w:t>death</w:t>
      </w:r>
      <w:r w:rsidR="003F0E34" w:rsidRPr="001005B7">
        <w:rPr>
          <w:lang w:eastAsia="en-GB"/>
        </w:rPr>
        <w:t xml:space="preserve"> there</w:t>
      </w:r>
      <w:r w:rsidR="001F5975" w:rsidRPr="001005B7">
        <w:rPr>
          <w:lang w:eastAsia="en-GB"/>
        </w:rPr>
        <w:t xml:space="preserve">. </w:t>
      </w:r>
      <w:r w:rsidR="00752367" w:rsidRPr="001005B7">
        <w:rPr>
          <w:lang w:eastAsia="en-GB"/>
        </w:rPr>
        <w:t xml:space="preserve">It’s as if they are </w:t>
      </w:r>
      <w:r w:rsidR="003F0E34" w:rsidRPr="001005B7">
        <w:rPr>
          <w:lang w:eastAsia="en-GB"/>
        </w:rPr>
        <w:t>cooking up</w:t>
      </w:r>
      <w:r w:rsidR="00752367" w:rsidRPr="001005B7">
        <w:rPr>
          <w:lang w:eastAsia="en-GB"/>
        </w:rPr>
        <w:t xml:space="preserve"> a cannibalistic version of a fellowship sacrifice.</w:t>
      </w:r>
      <w:r w:rsidR="00752367" w:rsidRPr="001005B7">
        <w:rPr>
          <w:rStyle w:val="FootnoteReference"/>
          <w:lang w:eastAsia="en-GB"/>
        </w:rPr>
        <w:footnoteReference w:id="279"/>
      </w:r>
      <w:r w:rsidR="00890AE2" w:rsidRPr="001005B7">
        <w:rPr>
          <w:lang w:eastAsia="en-GB"/>
        </w:rPr>
        <w:t xml:space="preserve"> </w:t>
      </w:r>
    </w:p>
    <w:p w14:paraId="73C68B4C" w14:textId="57E0A4A8" w:rsidR="00861A3F" w:rsidRPr="001005B7" w:rsidRDefault="00594716" w:rsidP="00031750">
      <w:r w:rsidRPr="001005B7">
        <w:rPr>
          <w:b/>
          <w:bCs/>
          <w:lang w:eastAsia="en-GB"/>
        </w:rPr>
        <w:t>11:9</w:t>
      </w:r>
      <w:r w:rsidR="00F46900" w:rsidRPr="001005B7">
        <w:rPr>
          <w:b/>
          <w:bCs/>
          <w:lang w:eastAsia="en-GB"/>
        </w:rPr>
        <w:t>–</w:t>
      </w:r>
      <w:r w:rsidRPr="001005B7">
        <w:rPr>
          <w:b/>
          <w:bCs/>
          <w:lang w:eastAsia="en-GB"/>
        </w:rPr>
        <w:t xml:space="preserve">12 </w:t>
      </w:r>
      <w:r w:rsidR="00AD61BC" w:rsidRPr="001005B7">
        <w:rPr>
          <w:lang w:eastAsia="en-GB"/>
        </w:rPr>
        <w:t xml:space="preserve">They thought </w:t>
      </w:r>
      <w:r w:rsidR="0039034A" w:rsidRPr="001005B7">
        <w:rPr>
          <w:lang w:eastAsia="en-GB"/>
        </w:rPr>
        <w:t xml:space="preserve">that </w:t>
      </w:r>
      <w:r w:rsidR="00AD61BC" w:rsidRPr="001005B7">
        <w:rPr>
          <w:lang w:eastAsia="en-GB"/>
        </w:rPr>
        <w:t xml:space="preserve">they </w:t>
      </w:r>
      <w:r w:rsidR="008F25F1" w:rsidRPr="001005B7">
        <w:rPr>
          <w:lang w:eastAsia="en-GB"/>
        </w:rPr>
        <w:t xml:space="preserve">themselves </w:t>
      </w:r>
      <w:r w:rsidR="00AD61BC" w:rsidRPr="001005B7">
        <w:rPr>
          <w:lang w:eastAsia="en-GB"/>
        </w:rPr>
        <w:t xml:space="preserve">would be safe in the pot, </w:t>
      </w:r>
      <w:r w:rsidR="00DE0CB0" w:rsidRPr="001005B7">
        <w:rPr>
          <w:lang w:eastAsia="en-GB"/>
        </w:rPr>
        <w:t xml:space="preserve">in the city, </w:t>
      </w:r>
      <w:r w:rsidR="00AD61BC" w:rsidRPr="001005B7">
        <w:rPr>
          <w:lang w:eastAsia="en-GB"/>
        </w:rPr>
        <w:t xml:space="preserve">but actually </w:t>
      </w:r>
      <w:r w:rsidR="00855820" w:rsidRPr="001005B7">
        <w:rPr>
          <w:lang w:eastAsia="en-GB"/>
        </w:rPr>
        <w:t xml:space="preserve">they are going to be pulled out of </w:t>
      </w:r>
      <w:r w:rsidR="008F25F1" w:rsidRPr="001005B7">
        <w:rPr>
          <w:lang w:eastAsia="en-GB"/>
        </w:rPr>
        <w:t>it</w:t>
      </w:r>
      <w:r w:rsidR="0024080E" w:rsidRPr="001005B7">
        <w:rPr>
          <w:lang w:eastAsia="en-GB"/>
        </w:rPr>
        <w:t xml:space="preserve"> by </w:t>
      </w:r>
      <w:r w:rsidR="00303A72" w:rsidRPr="001005B7">
        <w:rPr>
          <w:lang w:eastAsia="en-GB"/>
        </w:rPr>
        <w:t>foreign</w:t>
      </w:r>
      <w:r w:rsidR="0024080E" w:rsidRPr="001005B7">
        <w:rPr>
          <w:lang w:eastAsia="en-GB"/>
        </w:rPr>
        <w:t>ers</w:t>
      </w:r>
      <w:r w:rsidR="003B69CE" w:rsidRPr="001005B7">
        <w:rPr>
          <w:i/>
          <w:iCs/>
          <w:lang w:eastAsia="en-GB"/>
        </w:rPr>
        <w:t xml:space="preserve"> </w:t>
      </w:r>
      <w:r w:rsidR="003B69CE" w:rsidRPr="001005B7">
        <w:rPr>
          <w:lang w:eastAsia="en-GB"/>
        </w:rPr>
        <w:t>(cf. 7:21)</w:t>
      </w:r>
      <w:r w:rsidR="0025095C" w:rsidRPr="001005B7">
        <w:rPr>
          <w:lang w:eastAsia="en-GB"/>
        </w:rPr>
        <w:t xml:space="preserve">, </w:t>
      </w:r>
      <w:r w:rsidR="0024080E" w:rsidRPr="001005B7">
        <w:rPr>
          <w:lang w:eastAsia="en-GB"/>
        </w:rPr>
        <w:t>Babylonian invaders</w:t>
      </w:r>
      <w:r w:rsidR="003A02D6" w:rsidRPr="001005B7">
        <w:rPr>
          <w:lang w:eastAsia="en-GB"/>
        </w:rPr>
        <w:t xml:space="preserve">. </w:t>
      </w:r>
      <w:r w:rsidRPr="001005B7">
        <w:rPr>
          <w:lang w:eastAsia="en-GB"/>
        </w:rPr>
        <w:t>And t</w:t>
      </w:r>
      <w:r w:rsidR="00076734" w:rsidRPr="001005B7">
        <w:rPr>
          <w:lang w:eastAsia="en-GB"/>
        </w:rPr>
        <w:t xml:space="preserve">hey will </w:t>
      </w:r>
      <w:r w:rsidR="00DB26F7" w:rsidRPr="001005B7">
        <w:rPr>
          <w:lang w:eastAsia="en-GB"/>
        </w:rPr>
        <w:t>“</w:t>
      </w:r>
      <w:r w:rsidR="00076734" w:rsidRPr="001005B7">
        <w:rPr>
          <w:lang w:eastAsia="en-GB"/>
        </w:rPr>
        <w:t>fall on</w:t>
      </w:r>
      <w:r w:rsidR="00076734" w:rsidRPr="001005B7">
        <w:rPr>
          <w:i/>
          <w:iCs/>
          <w:lang w:eastAsia="en-GB"/>
        </w:rPr>
        <w:t xml:space="preserve"> </w:t>
      </w:r>
      <w:r w:rsidR="00076734" w:rsidRPr="001005B7">
        <w:rPr>
          <w:lang w:eastAsia="en-GB"/>
        </w:rPr>
        <w:t>Israel’s</w:t>
      </w:r>
      <w:r w:rsidR="00076734" w:rsidRPr="001005B7">
        <w:rPr>
          <w:i/>
          <w:iCs/>
          <w:lang w:eastAsia="en-GB"/>
        </w:rPr>
        <w:t xml:space="preserve"> </w:t>
      </w:r>
      <w:r w:rsidR="00076734" w:rsidRPr="001005B7">
        <w:rPr>
          <w:lang w:eastAsia="en-GB"/>
        </w:rPr>
        <w:t>territory</w:t>
      </w:r>
      <w:r w:rsidR="00DB26F7" w:rsidRPr="001005B7">
        <w:rPr>
          <w:lang w:eastAsia="en-GB"/>
        </w:rPr>
        <w:t>”</w:t>
      </w:r>
      <w:r w:rsidR="0085750C" w:rsidRPr="001005B7">
        <w:rPr>
          <w:lang w:eastAsia="en-GB"/>
        </w:rPr>
        <w:t>: t</w:t>
      </w:r>
      <w:r w:rsidR="009E3FF6" w:rsidRPr="001005B7">
        <w:rPr>
          <w:lang w:eastAsia="en-GB"/>
        </w:rPr>
        <w:t>hey</w:t>
      </w:r>
      <w:r w:rsidR="00286CFD" w:rsidRPr="001005B7">
        <w:rPr>
          <w:lang w:eastAsia="en-GB"/>
        </w:rPr>
        <w:t xml:space="preserve"> won’t even </w:t>
      </w:r>
      <w:r w:rsidR="00144397" w:rsidRPr="001005B7">
        <w:rPr>
          <w:lang w:eastAsia="en-GB"/>
        </w:rPr>
        <w:t>experience</w:t>
      </w:r>
      <w:r w:rsidR="00286CFD" w:rsidRPr="001005B7">
        <w:rPr>
          <w:lang w:eastAsia="en-GB"/>
        </w:rPr>
        <w:t xml:space="preserve"> the </w:t>
      </w:r>
      <w:r w:rsidR="00144397" w:rsidRPr="001005B7">
        <w:rPr>
          <w:lang w:eastAsia="en-GB"/>
        </w:rPr>
        <w:t xml:space="preserve">relative mercy </w:t>
      </w:r>
      <w:r w:rsidR="004307FD" w:rsidRPr="001005B7">
        <w:rPr>
          <w:lang w:eastAsia="en-GB"/>
        </w:rPr>
        <w:t>of being taken off as forced migrants to Assyria or Babylon</w:t>
      </w:r>
      <w:r w:rsidR="00EC3E91" w:rsidRPr="001005B7">
        <w:rPr>
          <w:lang w:eastAsia="en-GB"/>
        </w:rPr>
        <w:t>ia</w:t>
      </w:r>
      <w:r w:rsidR="004307FD" w:rsidRPr="001005B7">
        <w:rPr>
          <w:lang w:eastAsia="en-GB"/>
        </w:rPr>
        <w:t xml:space="preserve"> </w:t>
      </w:r>
      <w:r w:rsidR="00A11F83" w:rsidRPr="001005B7">
        <w:rPr>
          <w:lang w:eastAsia="en-GB"/>
        </w:rPr>
        <w:t xml:space="preserve">(the </w:t>
      </w:r>
      <w:proofErr w:type="spellStart"/>
      <w:r w:rsidR="00A11F83" w:rsidRPr="001005B7">
        <w:rPr>
          <w:lang w:eastAsia="en-GB"/>
        </w:rPr>
        <w:t>Kebar</w:t>
      </w:r>
      <w:r w:rsidR="000B3A73">
        <w:rPr>
          <w:lang w:eastAsia="en-GB"/>
        </w:rPr>
        <w:t>ites</w:t>
      </w:r>
      <w:proofErr w:type="spellEnd"/>
      <w:r w:rsidR="000B3A73">
        <w:rPr>
          <w:lang w:eastAsia="en-GB"/>
        </w:rPr>
        <w:t xml:space="preserve"> are</w:t>
      </w:r>
      <w:r w:rsidR="00A11F83" w:rsidRPr="001005B7">
        <w:rPr>
          <w:lang w:eastAsia="en-GB"/>
        </w:rPr>
        <w:t xml:space="preserve"> invited to a wry smile).</w:t>
      </w:r>
      <w:r w:rsidR="00286CFD" w:rsidRPr="001005B7">
        <w:rPr>
          <w:i/>
          <w:iCs/>
          <w:lang w:eastAsia="en-GB"/>
        </w:rPr>
        <w:t xml:space="preserve"> </w:t>
      </w:r>
      <w:r w:rsidR="00EC1B24" w:rsidRPr="001005B7">
        <w:rPr>
          <w:lang w:eastAsia="en-GB"/>
        </w:rPr>
        <w:t>If t</w:t>
      </w:r>
      <w:r w:rsidR="003A02D6" w:rsidRPr="001005B7">
        <w:rPr>
          <w:lang w:eastAsia="en-GB"/>
        </w:rPr>
        <w:t>hey are afraid of the</w:t>
      </w:r>
      <w:r w:rsidR="00061AF4" w:rsidRPr="001005B7">
        <w:rPr>
          <w:lang w:eastAsia="en-GB"/>
        </w:rPr>
        <w:t>se inv</w:t>
      </w:r>
      <w:r w:rsidR="00932B83" w:rsidRPr="001005B7">
        <w:rPr>
          <w:lang w:eastAsia="en-GB"/>
        </w:rPr>
        <w:t>a</w:t>
      </w:r>
      <w:r w:rsidR="00061AF4" w:rsidRPr="001005B7">
        <w:rPr>
          <w:lang w:eastAsia="en-GB"/>
        </w:rPr>
        <w:t>ders’</w:t>
      </w:r>
      <w:r w:rsidR="003A02D6" w:rsidRPr="001005B7">
        <w:rPr>
          <w:lang w:eastAsia="en-GB"/>
        </w:rPr>
        <w:t xml:space="preserve"> sword, they are not wrong</w:t>
      </w:r>
      <w:r w:rsidR="001C0A88" w:rsidRPr="001005B7">
        <w:rPr>
          <w:lang w:eastAsia="en-GB"/>
        </w:rPr>
        <w:t>. T</w:t>
      </w:r>
      <w:r w:rsidR="00FA35C0" w:rsidRPr="001005B7">
        <w:rPr>
          <w:lang w:eastAsia="en-GB"/>
        </w:rPr>
        <w:t>hey are just wrong in thinking that the</w:t>
      </w:r>
      <w:r w:rsidR="007D6DD5" w:rsidRPr="001005B7">
        <w:rPr>
          <w:lang w:eastAsia="en-GB"/>
        </w:rPr>
        <w:t>y can solve things</w:t>
      </w:r>
      <w:r w:rsidR="00FA35C0" w:rsidRPr="001005B7">
        <w:rPr>
          <w:lang w:eastAsia="en-GB"/>
        </w:rPr>
        <w:t xml:space="preserve"> </w:t>
      </w:r>
      <w:r w:rsidR="007D6DD5" w:rsidRPr="001005B7">
        <w:rPr>
          <w:lang w:eastAsia="en-GB"/>
        </w:rPr>
        <w:t>by</w:t>
      </w:r>
      <w:r w:rsidR="00FA35C0" w:rsidRPr="001005B7">
        <w:rPr>
          <w:lang w:eastAsia="en-GB"/>
        </w:rPr>
        <w:t xml:space="preserve"> put</w:t>
      </w:r>
      <w:r w:rsidR="007D6DD5" w:rsidRPr="001005B7">
        <w:rPr>
          <w:lang w:eastAsia="en-GB"/>
        </w:rPr>
        <w:t>ting</w:t>
      </w:r>
      <w:r w:rsidR="00FA35C0" w:rsidRPr="001005B7">
        <w:rPr>
          <w:lang w:eastAsia="en-GB"/>
        </w:rPr>
        <w:t xml:space="preserve"> all </w:t>
      </w:r>
      <w:r w:rsidR="00723973" w:rsidRPr="001005B7">
        <w:rPr>
          <w:lang w:eastAsia="en-GB"/>
        </w:rPr>
        <w:t xml:space="preserve">their </w:t>
      </w:r>
      <w:r w:rsidR="00D10625" w:rsidRPr="001005B7">
        <w:rPr>
          <w:lang w:eastAsia="en-GB"/>
        </w:rPr>
        <w:t xml:space="preserve">resources into </w:t>
      </w:r>
      <w:r w:rsidR="007C0A9F" w:rsidRPr="001005B7">
        <w:rPr>
          <w:lang w:eastAsia="en-GB"/>
        </w:rPr>
        <w:t xml:space="preserve">alliances and </w:t>
      </w:r>
      <w:r w:rsidR="00D10625" w:rsidRPr="001005B7">
        <w:rPr>
          <w:lang w:eastAsia="en-GB"/>
        </w:rPr>
        <w:t>defense</w:t>
      </w:r>
      <w:r w:rsidR="007C0A9F" w:rsidRPr="001005B7">
        <w:rPr>
          <w:lang w:eastAsia="en-GB"/>
        </w:rPr>
        <w:t>s</w:t>
      </w:r>
      <w:r w:rsidR="00BA0F0E" w:rsidRPr="001005B7">
        <w:rPr>
          <w:lang w:eastAsia="en-GB"/>
        </w:rPr>
        <w:t xml:space="preserve"> (</w:t>
      </w:r>
      <w:r w:rsidR="00BA0F0E" w:rsidRPr="001005B7">
        <w:t>Greenberg</w:t>
      </w:r>
      <w:r w:rsidR="00A363B1" w:rsidRPr="001005B7">
        <w:t>,</w:t>
      </w:r>
      <w:r w:rsidR="00BA0F0E" w:rsidRPr="001005B7">
        <w:t xml:space="preserve"> 1:187</w:t>
      </w:r>
      <w:r w:rsidR="00F46900" w:rsidRPr="001005B7">
        <w:t>–</w:t>
      </w:r>
      <w:r w:rsidR="00BA0F0E" w:rsidRPr="001005B7">
        <w:t>88).</w:t>
      </w:r>
      <w:r w:rsidR="000230C0" w:rsidRPr="001005B7">
        <w:t xml:space="preserve"> A</w:t>
      </w:r>
      <w:r w:rsidR="000A7468" w:rsidRPr="001005B7">
        <w:t>s</w:t>
      </w:r>
      <w:r w:rsidR="000230C0" w:rsidRPr="001005B7">
        <w:t xml:space="preserve"> a result </w:t>
      </w:r>
      <w:r w:rsidR="006E6EB9" w:rsidRPr="001005B7">
        <w:t>of their deciding on their own policies</w:t>
      </w:r>
      <w:r w:rsidR="00B84E6A" w:rsidRPr="001005B7">
        <w:t>,</w:t>
      </w:r>
      <w:r w:rsidR="006E6EB9" w:rsidRPr="001005B7">
        <w:t xml:space="preserve"> </w:t>
      </w:r>
      <w:r w:rsidR="000230C0" w:rsidRPr="001005B7">
        <w:t>the</w:t>
      </w:r>
      <w:r w:rsidR="000A7468" w:rsidRPr="001005B7">
        <w:t xml:space="preserve">y will indeed </w:t>
      </w:r>
      <w:r w:rsidR="00685C0E" w:rsidRPr="001005B7">
        <w:t xml:space="preserve">pay a penalty. Yahweh the king intends to </w:t>
      </w:r>
      <w:r w:rsidR="00487546" w:rsidRPr="001005B7">
        <w:t>“</w:t>
      </w:r>
      <w:r w:rsidR="00685C0E" w:rsidRPr="001005B7">
        <w:t>rule</w:t>
      </w:r>
      <w:r w:rsidR="00487546" w:rsidRPr="001005B7">
        <w:t>”</w:t>
      </w:r>
      <w:r w:rsidR="00685C0E" w:rsidRPr="001005B7">
        <w:rPr>
          <w:i/>
          <w:iCs/>
        </w:rPr>
        <w:t xml:space="preserve"> </w:t>
      </w:r>
      <w:r w:rsidR="00685C0E" w:rsidRPr="001005B7">
        <w:t>over them, to make authoritative decisions</w:t>
      </w:r>
      <w:r w:rsidR="000230C0" w:rsidRPr="001005B7">
        <w:t xml:space="preserve"> </w:t>
      </w:r>
      <w:r w:rsidR="00685C0E" w:rsidRPr="001005B7">
        <w:t>about their future</w:t>
      </w:r>
      <w:r w:rsidR="00135D87" w:rsidRPr="001005B7">
        <w:t xml:space="preserve"> (see 7:3)</w:t>
      </w:r>
      <w:r w:rsidR="00685C0E" w:rsidRPr="001005B7">
        <w:t xml:space="preserve">. He </w:t>
      </w:r>
      <w:r w:rsidR="00854FF6" w:rsidRPr="001005B7">
        <w:t xml:space="preserve">has formulated </w:t>
      </w:r>
      <w:r w:rsidR="00487546" w:rsidRPr="001005B7">
        <w:t>“</w:t>
      </w:r>
      <w:r w:rsidR="00135D87" w:rsidRPr="001005B7">
        <w:t>r</w:t>
      </w:r>
      <w:r w:rsidR="00854FF6" w:rsidRPr="001005B7">
        <w:t>ulings</w:t>
      </w:r>
      <w:r w:rsidR="00487546" w:rsidRPr="001005B7">
        <w:t>”</w:t>
      </w:r>
      <w:r w:rsidR="006F0072" w:rsidRPr="001005B7">
        <w:t xml:space="preserve"> and he will implement them</w:t>
      </w:r>
      <w:r w:rsidR="00DA04AB" w:rsidRPr="001005B7">
        <w:t>. Ezekiel further reformulates threats in these terms from</w:t>
      </w:r>
      <w:r w:rsidR="008A7E6F" w:rsidRPr="001005B7">
        <w:t xml:space="preserve"> 5:</w:t>
      </w:r>
      <w:r w:rsidR="005170A6" w:rsidRPr="001005B7">
        <w:t>5</w:t>
      </w:r>
      <w:r w:rsidR="00F46900" w:rsidRPr="001005B7">
        <w:t>–</w:t>
      </w:r>
      <w:r w:rsidR="005170A6" w:rsidRPr="001005B7">
        <w:t>1</w:t>
      </w:r>
      <w:r w:rsidR="00061BCF" w:rsidRPr="001005B7">
        <w:t>2</w:t>
      </w:r>
      <w:r w:rsidR="00DA04AB" w:rsidRPr="001005B7">
        <w:t>, and as there</w:t>
      </w:r>
      <w:r w:rsidR="00E64CAE" w:rsidRPr="001005B7">
        <w:t xml:space="preserve">, </w:t>
      </w:r>
      <w:r w:rsidR="00DA04AB" w:rsidRPr="001005B7">
        <w:t xml:space="preserve">adds </w:t>
      </w:r>
      <w:r w:rsidR="0044479C" w:rsidRPr="001005B7">
        <w:t xml:space="preserve">the reinforcing reminder </w:t>
      </w:r>
      <w:r w:rsidR="00154D96" w:rsidRPr="001005B7">
        <w:t xml:space="preserve">that this is </w:t>
      </w:r>
      <w:r w:rsidR="001E464F" w:rsidRPr="001005B7">
        <w:t xml:space="preserve">an affirmation of </w:t>
      </w:r>
      <w:r w:rsidR="006662B6" w:rsidRPr="001005B7">
        <w:t>“</w:t>
      </w:r>
      <w:r w:rsidR="00154D96" w:rsidRPr="001005B7">
        <w:rPr>
          <w:lang w:eastAsia="en-GB"/>
        </w:rPr>
        <w:t>the Lord Yahweh.</w:t>
      </w:r>
      <w:r w:rsidR="006662B6" w:rsidRPr="001005B7">
        <w:rPr>
          <w:lang w:eastAsia="en-GB"/>
        </w:rPr>
        <w:t>”</w:t>
      </w:r>
      <w:r w:rsidR="00303197" w:rsidRPr="001005B7">
        <w:rPr>
          <w:lang w:eastAsia="en-GB"/>
        </w:rPr>
        <w:t xml:space="preserve"> Jeremiah implies that the Jerusalemites</w:t>
      </w:r>
      <w:r w:rsidR="00543662" w:rsidRPr="001005B7">
        <w:rPr>
          <w:lang w:eastAsia="en-GB"/>
        </w:rPr>
        <w:t xml:space="preserve"> saw</w:t>
      </w:r>
      <w:r w:rsidR="00B24E51" w:rsidRPr="001005B7">
        <w:rPr>
          <w:lang w:eastAsia="en-GB"/>
        </w:rPr>
        <w:t xml:space="preserve"> </w:t>
      </w:r>
      <w:r w:rsidR="00965F8C" w:rsidRPr="001005B7">
        <w:rPr>
          <w:lang w:eastAsia="en-GB"/>
        </w:rPr>
        <w:t>t</w:t>
      </w:r>
      <w:r w:rsidR="00B24E51" w:rsidRPr="001005B7">
        <w:rPr>
          <w:lang w:eastAsia="en-GB"/>
        </w:rPr>
        <w:t xml:space="preserve">he Judahites who had been taken off </w:t>
      </w:r>
      <w:r w:rsidR="00543662" w:rsidRPr="001005B7">
        <w:rPr>
          <w:lang w:eastAsia="en-GB"/>
        </w:rPr>
        <w:t>to Babylon</w:t>
      </w:r>
      <w:r w:rsidR="0067367A" w:rsidRPr="001005B7">
        <w:rPr>
          <w:lang w:eastAsia="en-GB"/>
        </w:rPr>
        <w:t>ia</w:t>
      </w:r>
      <w:r w:rsidR="00B24E51" w:rsidRPr="001005B7">
        <w:rPr>
          <w:lang w:eastAsia="en-GB"/>
        </w:rPr>
        <w:t xml:space="preserve"> </w:t>
      </w:r>
      <w:r w:rsidR="00543662" w:rsidRPr="001005B7">
        <w:rPr>
          <w:lang w:eastAsia="en-GB"/>
        </w:rPr>
        <w:t>as</w:t>
      </w:r>
      <w:r w:rsidR="00B24E51" w:rsidRPr="001005B7">
        <w:rPr>
          <w:lang w:eastAsia="en-GB"/>
        </w:rPr>
        <w:t xml:space="preserve"> like </w:t>
      </w:r>
      <w:r w:rsidR="00F77D43" w:rsidRPr="001005B7">
        <w:rPr>
          <w:lang w:eastAsia="en-GB"/>
        </w:rPr>
        <w:t xml:space="preserve">figs that were only good for throwing away, whereas they themselves </w:t>
      </w:r>
      <w:r w:rsidR="00303197" w:rsidRPr="001005B7">
        <w:rPr>
          <w:lang w:eastAsia="en-GB"/>
        </w:rPr>
        <w:t>were fi</w:t>
      </w:r>
      <w:r w:rsidR="00B24E51" w:rsidRPr="001005B7">
        <w:rPr>
          <w:lang w:eastAsia="en-GB"/>
        </w:rPr>
        <w:t>g</w:t>
      </w:r>
      <w:r w:rsidR="00303197" w:rsidRPr="001005B7">
        <w:rPr>
          <w:lang w:eastAsia="en-GB"/>
        </w:rPr>
        <w:t xml:space="preserve">s with a future </w:t>
      </w:r>
      <w:r w:rsidR="007B4D0E" w:rsidRPr="001005B7">
        <w:rPr>
          <w:lang w:eastAsia="en-GB"/>
        </w:rPr>
        <w:t xml:space="preserve">(Jer 24). </w:t>
      </w:r>
      <w:r w:rsidR="00EE3454" w:rsidRPr="001005B7">
        <w:rPr>
          <w:lang w:eastAsia="en-GB"/>
        </w:rPr>
        <w:t xml:space="preserve">As Jeremiah turns that image upside down, Ezekiel turns </w:t>
      </w:r>
      <w:r w:rsidR="00345E66" w:rsidRPr="001005B7">
        <w:rPr>
          <w:lang w:eastAsia="en-GB"/>
        </w:rPr>
        <w:t xml:space="preserve">upside down </w:t>
      </w:r>
      <w:r w:rsidR="00EE3454" w:rsidRPr="001005B7">
        <w:rPr>
          <w:lang w:eastAsia="en-GB"/>
        </w:rPr>
        <w:t xml:space="preserve">the </w:t>
      </w:r>
      <w:r w:rsidR="0067367A" w:rsidRPr="001005B7">
        <w:rPr>
          <w:lang w:eastAsia="en-GB"/>
        </w:rPr>
        <w:t xml:space="preserve">image of </w:t>
      </w:r>
      <w:r w:rsidR="00EE3454" w:rsidRPr="001005B7">
        <w:rPr>
          <w:lang w:eastAsia="en-GB"/>
        </w:rPr>
        <w:t>pot and meat.</w:t>
      </w:r>
      <w:r w:rsidR="00D475B0" w:rsidRPr="001005B7">
        <w:rPr>
          <w:lang w:eastAsia="en-GB"/>
        </w:rPr>
        <w:t xml:space="preserve"> </w:t>
      </w:r>
      <w:r w:rsidR="00070BFB" w:rsidRPr="001005B7">
        <w:rPr>
          <w:lang w:eastAsia="en-GB"/>
        </w:rPr>
        <w:t>It is not his only</w:t>
      </w:r>
      <w:r w:rsidR="00BB1BF7" w:rsidRPr="001005B7">
        <w:rPr>
          <w:lang w:eastAsia="en-GB"/>
        </w:rPr>
        <w:t xml:space="preserve"> piece of grim inversion.</w:t>
      </w:r>
      <w:r w:rsidR="00F05928" w:rsidRPr="001005B7">
        <w:rPr>
          <w:lang w:eastAsia="en-GB"/>
        </w:rPr>
        <w:t xml:space="preserve"> </w:t>
      </w:r>
      <w:r w:rsidR="007D4328" w:rsidRPr="001005B7">
        <w:rPr>
          <w:lang w:eastAsia="en-GB"/>
        </w:rPr>
        <w:t>While t</w:t>
      </w:r>
      <w:r w:rsidR="002E5DE6" w:rsidRPr="001005B7">
        <w:rPr>
          <w:lang w:eastAsia="en-GB"/>
        </w:rPr>
        <w:t xml:space="preserve">en of the </w:t>
      </w:r>
      <w:r w:rsidR="000A677E" w:rsidRPr="001005B7">
        <w:rPr>
          <w:lang w:eastAsia="en-GB"/>
        </w:rPr>
        <w:t>sixteen</w:t>
      </w:r>
      <w:r w:rsidR="00933800" w:rsidRPr="001005B7">
        <w:rPr>
          <w:lang w:eastAsia="en-GB"/>
        </w:rPr>
        <w:t xml:space="preserve"> occurrences of t</w:t>
      </w:r>
      <w:r w:rsidR="00F05928" w:rsidRPr="001005B7">
        <w:rPr>
          <w:lang w:eastAsia="en-GB"/>
        </w:rPr>
        <w:t xml:space="preserve">he word for </w:t>
      </w:r>
      <w:r w:rsidR="00345E66" w:rsidRPr="001005B7">
        <w:rPr>
          <w:lang w:eastAsia="en-GB"/>
        </w:rPr>
        <w:t>“</w:t>
      </w:r>
      <w:r w:rsidR="00F05928" w:rsidRPr="001005B7">
        <w:rPr>
          <w:lang w:eastAsia="en-GB"/>
        </w:rPr>
        <w:t>rulings</w:t>
      </w:r>
      <w:r w:rsidR="00345E66" w:rsidRPr="001005B7">
        <w:rPr>
          <w:lang w:eastAsia="en-GB"/>
        </w:rPr>
        <w:t>”</w:t>
      </w:r>
      <w:r w:rsidR="00EE1613" w:rsidRPr="001005B7">
        <w:rPr>
          <w:lang w:eastAsia="en-GB"/>
        </w:rPr>
        <w:t xml:space="preserve"> or </w:t>
      </w:r>
      <w:r w:rsidR="00303A87" w:rsidRPr="001005B7">
        <w:rPr>
          <w:lang w:eastAsia="en-GB"/>
        </w:rPr>
        <w:t xml:space="preserve">authoritative </w:t>
      </w:r>
      <w:r w:rsidR="00EE1613" w:rsidRPr="001005B7">
        <w:rPr>
          <w:lang w:eastAsia="en-GB"/>
        </w:rPr>
        <w:t>de</w:t>
      </w:r>
      <w:r w:rsidR="0090396E" w:rsidRPr="001005B7">
        <w:rPr>
          <w:lang w:eastAsia="en-GB"/>
        </w:rPr>
        <w:t>cisions</w:t>
      </w:r>
      <w:r w:rsidR="00F05928" w:rsidRPr="001005B7">
        <w:rPr>
          <w:i/>
          <w:iCs/>
          <w:lang w:eastAsia="en-GB"/>
        </w:rPr>
        <w:t xml:space="preserve"> </w:t>
      </w:r>
      <w:r w:rsidR="00286B59" w:rsidRPr="001005B7">
        <w:rPr>
          <w:lang w:eastAsia="en-GB"/>
        </w:rPr>
        <w:t>(</w:t>
      </w:r>
      <w:r w:rsidR="00223706" w:rsidRPr="001005B7">
        <w:rPr>
          <w:rFonts w:cstheme="minorHAnsi"/>
          <w:rtl/>
          <w:lang w:eastAsia="en-GB" w:bidi="he-IL"/>
        </w:rPr>
        <w:t>שׁ</w:t>
      </w:r>
      <w:r w:rsidR="00985CFF" w:rsidRPr="001005B7">
        <w:rPr>
          <w:rFonts w:cstheme="minorHAnsi"/>
          <w:rtl/>
          <w:lang w:eastAsia="en-GB" w:bidi="he-IL"/>
        </w:rPr>
        <w:t>ְ</w:t>
      </w:r>
      <w:r w:rsidR="00CE22BA" w:rsidRPr="001005B7">
        <w:rPr>
          <w:rFonts w:cstheme="minorHAnsi"/>
          <w:rtl/>
          <w:lang w:eastAsia="en-GB" w:bidi="he-IL"/>
        </w:rPr>
        <w:t>פָט</w:t>
      </w:r>
      <w:r w:rsidR="001D2667" w:rsidRPr="001005B7">
        <w:rPr>
          <w:rFonts w:cstheme="minorHAnsi"/>
          <w:rtl/>
          <w:lang w:eastAsia="en-GB" w:bidi="he-IL"/>
        </w:rPr>
        <w:t>ִים</w:t>
      </w:r>
      <w:r w:rsidR="00286B59" w:rsidRPr="001005B7">
        <w:rPr>
          <w:lang w:eastAsia="en-GB"/>
        </w:rPr>
        <w:t>)</w:t>
      </w:r>
      <w:r w:rsidR="00F05928" w:rsidRPr="001005B7">
        <w:rPr>
          <w:lang w:eastAsia="en-GB"/>
        </w:rPr>
        <w:t xml:space="preserve"> </w:t>
      </w:r>
      <w:r w:rsidR="00933800" w:rsidRPr="001005B7">
        <w:rPr>
          <w:lang w:eastAsia="en-GB"/>
        </w:rPr>
        <w:t>come in Ezekiel</w:t>
      </w:r>
      <w:r w:rsidR="00D33A23" w:rsidRPr="001005B7">
        <w:rPr>
          <w:lang w:eastAsia="en-GB"/>
        </w:rPr>
        <w:t xml:space="preserve"> (e.g., 5:10, 15)</w:t>
      </w:r>
      <w:r w:rsidR="00933800" w:rsidRPr="001005B7">
        <w:rPr>
          <w:lang w:eastAsia="en-GB"/>
        </w:rPr>
        <w:t>,</w:t>
      </w:r>
      <w:r w:rsidR="000A677E" w:rsidRPr="001005B7">
        <w:rPr>
          <w:lang w:eastAsia="en-GB"/>
        </w:rPr>
        <w:t xml:space="preserve"> three come in Exodus (6:6; 7:4; </w:t>
      </w:r>
      <w:r w:rsidR="009F5907" w:rsidRPr="001005B7">
        <w:rPr>
          <w:lang w:eastAsia="en-GB"/>
        </w:rPr>
        <w:t>12:12</w:t>
      </w:r>
      <w:r w:rsidR="00EE1613" w:rsidRPr="001005B7">
        <w:rPr>
          <w:lang w:eastAsia="en-GB"/>
        </w:rPr>
        <w:t>)</w:t>
      </w:r>
      <w:r w:rsidR="002F5D09" w:rsidRPr="001005B7">
        <w:rPr>
          <w:lang w:eastAsia="en-GB"/>
        </w:rPr>
        <w:t>. All are</w:t>
      </w:r>
      <w:r w:rsidR="00EE1613" w:rsidRPr="001005B7">
        <w:rPr>
          <w:lang w:eastAsia="en-GB"/>
        </w:rPr>
        <w:t xml:space="preserve"> rulings or decisions</w:t>
      </w:r>
      <w:r w:rsidR="00933800" w:rsidRPr="001005B7">
        <w:rPr>
          <w:lang w:eastAsia="en-GB"/>
        </w:rPr>
        <w:t xml:space="preserve"> </w:t>
      </w:r>
      <w:r w:rsidR="0090396E" w:rsidRPr="001005B7">
        <w:rPr>
          <w:lang w:eastAsia="en-GB"/>
        </w:rPr>
        <w:t>for the Israelites</w:t>
      </w:r>
      <w:r w:rsidR="00F559A3" w:rsidRPr="001005B7">
        <w:rPr>
          <w:lang w:eastAsia="en-GB"/>
        </w:rPr>
        <w:t>,</w:t>
      </w:r>
      <w:r w:rsidR="0090396E" w:rsidRPr="001005B7">
        <w:rPr>
          <w:lang w:eastAsia="en-GB"/>
        </w:rPr>
        <w:t xml:space="preserve"> against their </w:t>
      </w:r>
      <w:r w:rsidR="007D4328" w:rsidRPr="001005B7">
        <w:rPr>
          <w:lang w:eastAsia="en-GB"/>
        </w:rPr>
        <w:t xml:space="preserve">oppressors. </w:t>
      </w:r>
      <w:r w:rsidR="002E3BAE" w:rsidRPr="001005B7">
        <w:rPr>
          <w:lang w:eastAsia="en-GB"/>
        </w:rPr>
        <w:t>In Ezekiel, things get turned around.</w:t>
      </w:r>
      <w:r w:rsidR="00155F02" w:rsidRPr="001005B7">
        <w:rPr>
          <w:lang w:eastAsia="en-GB"/>
        </w:rPr>
        <w:t xml:space="preserve"> Israel is now Yahweh’s victim.</w:t>
      </w:r>
    </w:p>
    <w:p w14:paraId="7C989B57" w14:textId="77641A77" w:rsidR="00552CDB" w:rsidRPr="001005B7" w:rsidRDefault="007508A5" w:rsidP="00861A3F">
      <w:pPr>
        <w:rPr>
          <w:lang w:eastAsia="en-GB"/>
        </w:rPr>
      </w:pPr>
      <w:r w:rsidRPr="001005B7">
        <w:rPr>
          <w:lang w:eastAsia="en-GB"/>
        </w:rPr>
        <w:t xml:space="preserve">Yahweh </w:t>
      </w:r>
      <w:r w:rsidR="006E51BF" w:rsidRPr="001005B7">
        <w:rPr>
          <w:lang w:eastAsia="en-GB"/>
        </w:rPr>
        <w:t>f</w:t>
      </w:r>
      <w:r w:rsidR="00EA5851" w:rsidRPr="001005B7">
        <w:rPr>
          <w:lang w:eastAsia="en-GB"/>
        </w:rPr>
        <w:t>urther</w:t>
      </w:r>
      <w:r w:rsidR="006E51BF" w:rsidRPr="001005B7">
        <w:rPr>
          <w:lang w:eastAsia="en-GB"/>
        </w:rPr>
        <w:t xml:space="preserve"> adds his characteristic</w:t>
      </w:r>
      <w:r w:rsidR="00362E00" w:rsidRPr="001005B7">
        <w:rPr>
          <w:lang w:eastAsia="en-GB"/>
        </w:rPr>
        <w:t xml:space="preserve"> </w:t>
      </w:r>
      <w:r w:rsidR="006662B6" w:rsidRPr="001005B7">
        <w:rPr>
          <w:lang w:eastAsia="en-GB"/>
        </w:rPr>
        <w:t>“</w:t>
      </w:r>
      <w:r w:rsidR="00362E00" w:rsidRPr="001005B7">
        <w:rPr>
          <w:lang w:eastAsia="en-GB"/>
        </w:rPr>
        <w:t>a</w:t>
      </w:r>
      <w:r w:rsidR="006E51BF" w:rsidRPr="001005B7">
        <w:rPr>
          <w:lang w:eastAsia="en-GB"/>
        </w:rPr>
        <w:t xml:space="preserve">nd you will acknowledge </w:t>
      </w:r>
      <w:r w:rsidR="00362E00" w:rsidRPr="001005B7">
        <w:rPr>
          <w:lang w:eastAsia="en-GB"/>
        </w:rPr>
        <w:t>that</w:t>
      </w:r>
      <w:r w:rsidR="006662B6" w:rsidRPr="001005B7">
        <w:rPr>
          <w:lang w:eastAsia="en-GB"/>
        </w:rPr>
        <w:t xml:space="preserve"> I</w:t>
      </w:r>
      <w:r w:rsidR="00362E00" w:rsidRPr="001005B7">
        <w:rPr>
          <w:lang w:eastAsia="en-GB"/>
        </w:rPr>
        <w:t xml:space="preserve"> am Yahweh</w:t>
      </w:r>
      <w:r w:rsidR="006662B6" w:rsidRPr="001005B7">
        <w:rPr>
          <w:lang w:eastAsia="en-GB"/>
        </w:rPr>
        <w:t>”</w:t>
      </w:r>
      <w:r w:rsidR="00362E00" w:rsidRPr="001005B7">
        <w:rPr>
          <w:lang w:eastAsia="en-GB"/>
        </w:rPr>
        <w:t xml:space="preserve"> </w:t>
      </w:r>
      <w:r w:rsidR="00A96E7B" w:rsidRPr="001005B7">
        <w:rPr>
          <w:lang w:eastAsia="en-GB"/>
        </w:rPr>
        <w:t>so that</w:t>
      </w:r>
      <w:r w:rsidR="00795D57" w:rsidRPr="001005B7">
        <w:rPr>
          <w:lang w:eastAsia="en-GB"/>
        </w:rPr>
        <w:t xml:space="preserve"> it </w:t>
      </w:r>
      <w:r w:rsidR="00A96E7B" w:rsidRPr="001005B7">
        <w:rPr>
          <w:lang w:eastAsia="en-GB"/>
        </w:rPr>
        <w:t>becomes</w:t>
      </w:r>
      <w:r w:rsidR="00861A3F" w:rsidRPr="001005B7">
        <w:rPr>
          <w:lang w:eastAsia="en-GB"/>
        </w:rPr>
        <w:t xml:space="preserve"> a</w:t>
      </w:r>
      <w:r w:rsidR="009F4DA6" w:rsidRPr="001005B7">
        <w:rPr>
          <w:lang w:eastAsia="en-GB"/>
        </w:rPr>
        <w:t>nother</w:t>
      </w:r>
      <w:r w:rsidRPr="001005B7">
        <w:rPr>
          <w:lang w:eastAsia="en-GB"/>
        </w:rPr>
        <w:t xml:space="preserve"> piece of underlining.</w:t>
      </w:r>
      <w:r w:rsidR="00861A3F" w:rsidRPr="001005B7">
        <w:rPr>
          <w:lang w:eastAsia="en-GB"/>
        </w:rPr>
        <w:t xml:space="preserve"> First, he repeats it, in </w:t>
      </w:r>
      <w:r w:rsidR="0042084A" w:rsidRPr="001005B7">
        <w:rPr>
          <w:lang w:eastAsia="en-GB"/>
        </w:rPr>
        <w:t>11:</w:t>
      </w:r>
      <w:r w:rsidR="003D6404" w:rsidRPr="001005B7">
        <w:rPr>
          <w:lang w:eastAsia="en-GB"/>
        </w:rPr>
        <w:t>1</w:t>
      </w:r>
      <w:r w:rsidR="00247DBB" w:rsidRPr="001005B7">
        <w:rPr>
          <w:lang w:eastAsia="en-GB"/>
        </w:rPr>
        <w:t>2</w:t>
      </w:r>
      <w:r w:rsidR="003D6404" w:rsidRPr="001005B7">
        <w:rPr>
          <w:lang w:eastAsia="en-GB"/>
        </w:rPr>
        <w:t xml:space="preserve"> a</w:t>
      </w:r>
      <w:r w:rsidR="00247DBB" w:rsidRPr="001005B7">
        <w:rPr>
          <w:lang w:eastAsia="en-GB"/>
        </w:rPr>
        <w:t>s well as</w:t>
      </w:r>
      <w:r w:rsidR="003D6404" w:rsidRPr="001005B7">
        <w:rPr>
          <w:lang w:eastAsia="en-GB"/>
        </w:rPr>
        <w:t xml:space="preserve"> </w:t>
      </w:r>
      <w:r w:rsidR="00247DBB" w:rsidRPr="001005B7">
        <w:rPr>
          <w:lang w:eastAsia="en-GB"/>
        </w:rPr>
        <w:t>11:</w:t>
      </w:r>
      <w:r w:rsidR="003D6404" w:rsidRPr="001005B7">
        <w:rPr>
          <w:lang w:eastAsia="en-GB"/>
        </w:rPr>
        <w:t>1</w:t>
      </w:r>
      <w:r w:rsidR="00AA1B79">
        <w:rPr>
          <w:lang w:eastAsia="en-GB"/>
        </w:rPr>
        <w:t>0</w:t>
      </w:r>
      <w:r w:rsidR="00247DBB" w:rsidRPr="001005B7">
        <w:rPr>
          <w:lang w:eastAsia="en-GB"/>
        </w:rPr>
        <w:t>.</w:t>
      </w:r>
      <w:r w:rsidR="00AD2440" w:rsidRPr="001005B7">
        <w:rPr>
          <w:lang w:eastAsia="en-GB"/>
        </w:rPr>
        <w:t xml:space="preserve"> </w:t>
      </w:r>
      <w:r w:rsidR="00247DBB" w:rsidRPr="001005B7">
        <w:rPr>
          <w:lang w:eastAsia="en-GB"/>
        </w:rPr>
        <w:t>T</w:t>
      </w:r>
      <w:r w:rsidR="00AD2440" w:rsidRPr="001005B7">
        <w:rPr>
          <w:lang w:eastAsia="en-GB"/>
        </w:rPr>
        <w:t>here is no comparable re</w:t>
      </w:r>
      <w:r w:rsidR="009A2D73" w:rsidRPr="001005B7">
        <w:rPr>
          <w:lang w:eastAsia="en-GB"/>
        </w:rPr>
        <w:t xml:space="preserve">petition in the entire first half of the Ezekiel scroll. </w:t>
      </w:r>
      <w:r w:rsidR="004F602C" w:rsidRPr="001005B7">
        <w:rPr>
          <w:lang w:eastAsia="en-GB"/>
        </w:rPr>
        <w:t>S</w:t>
      </w:r>
      <w:r w:rsidR="0019529D" w:rsidRPr="001005B7">
        <w:rPr>
          <w:lang w:eastAsia="en-GB"/>
        </w:rPr>
        <w:t>econd</w:t>
      </w:r>
      <w:r w:rsidR="00746C72" w:rsidRPr="001005B7">
        <w:rPr>
          <w:lang w:eastAsia="en-GB"/>
        </w:rPr>
        <w:t xml:space="preserve">, </w:t>
      </w:r>
      <w:r w:rsidR="00334B51">
        <w:rPr>
          <w:lang w:eastAsia="en-GB"/>
        </w:rPr>
        <w:t xml:space="preserve">when repeating it </w:t>
      </w:r>
      <w:r w:rsidR="0019529D" w:rsidRPr="001005B7">
        <w:rPr>
          <w:lang w:eastAsia="en-GB"/>
        </w:rPr>
        <w:t xml:space="preserve">he </w:t>
      </w:r>
      <w:r w:rsidR="00746C72" w:rsidRPr="001005B7">
        <w:rPr>
          <w:lang w:eastAsia="en-GB"/>
        </w:rPr>
        <w:t xml:space="preserve">develops the description </w:t>
      </w:r>
      <w:r w:rsidR="00F978BF">
        <w:rPr>
          <w:lang w:eastAsia="en-GB"/>
        </w:rPr>
        <w:t xml:space="preserve">of </w:t>
      </w:r>
      <w:r w:rsidR="00D12294">
        <w:rPr>
          <w:lang w:eastAsia="en-GB"/>
        </w:rPr>
        <w:t>who he is</w:t>
      </w:r>
      <w:r w:rsidR="00E047D3" w:rsidRPr="001005B7">
        <w:rPr>
          <w:lang w:eastAsia="en-GB"/>
        </w:rPr>
        <w:t xml:space="preserve">, in a </w:t>
      </w:r>
      <w:r w:rsidR="000C29F8" w:rsidRPr="001005B7">
        <w:rPr>
          <w:lang w:eastAsia="en-GB"/>
        </w:rPr>
        <w:t>distinctive</w:t>
      </w:r>
      <w:r w:rsidR="00E047D3" w:rsidRPr="001005B7">
        <w:rPr>
          <w:lang w:eastAsia="en-GB"/>
        </w:rPr>
        <w:t xml:space="preserve"> way</w:t>
      </w:r>
      <w:r w:rsidR="00D53A6F" w:rsidRPr="001005B7">
        <w:rPr>
          <w:lang w:eastAsia="en-GB"/>
        </w:rPr>
        <w:t>. Elsewhere he occasionally develops th</w:t>
      </w:r>
      <w:r w:rsidR="00E047D3" w:rsidRPr="001005B7">
        <w:rPr>
          <w:lang w:eastAsia="en-GB"/>
        </w:rPr>
        <w:t>e</w:t>
      </w:r>
      <w:r w:rsidR="00D53A6F" w:rsidRPr="001005B7">
        <w:rPr>
          <w:lang w:eastAsia="en-GB"/>
        </w:rPr>
        <w:t xml:space="preserve"> description </w:t>
      </w:r>
      <w:r w:rsidR="00D12294">
        <w:rPr>
          <w:lang w:eastAsia="en-GB"/>
        </w:rPr>
        <w:t>of himself</w:t>
      </w:r>
      <w:r w:rsidR="00B57065" w:rsidRPr="001005B7">
        <w:rPr>
          <w:lang w:eastAsia="en-GB"/>
        </w:rPr>
        <w:t xml:space="preserve"> (e.g., </w:t>
      </w:r>
      <w:r w:rsidR="00082356" w:rsidRPr="001005B7">
        <w:rPr>
          <w:lang w:eastAsia="en-GB"/>
        </w:rPr>
        <w:t>7:9),</w:t>
      </w:r>
      <w:r w:rsidR="00E047D3" w:rsidRPr="001005B7">
        <w:rPr>
          <w:lang w:eastAsia="en-GB"/>
        </w:rPr>
        <w:t xml:space="preserve"> but </w:t>
      </w:r>
      <w:r w:rsidR="00AB12AD" w:rsidRPr="001005B7">
        <w:rPr>
          <w:lang w:eastAsia="en-GB"/>
        </w:rPr>
        <w:t>a description in terms of their dis</w:t>
      </w:r>
      <w:r w:rsidR="00207C93" w:rsidRPr="001005B7">
        <w:rPr>
          <w:lang w:eastAsia="en-GB"/>
        </w:rPr>
        <w:t>ob</w:t>
      </w:r>
      <w:r w:rsidR="00AB12AD" w:rsidRPr="001005B7">
        <w:rPr>
          <w:lang w:eastAsia="en-GB"/>
        </w:rPr>
        <w:t>edience to him is unique (</w:t>
      </w:r>
      <w:r w:rsidR="00207C93" w:rsidRPr="001005B7">
        <w:rPr>
          <w:lang w:eastAsia="en-GB"/>
        </w:rPr>
        <w:t>Greenberg</w:t>
      </w:r>
      <w:r w:rsidR="00A363B1" w:rsidRPr="001005B7">
        <w:rPr>
          <w:lang w:eastAsia="en-GB"/>
        </w:rPr>
        <w:t>,</w:t>
      </w:r>
      <w:r w:rsidR="00207C93" w:rsidRPr="001005B7">
        <w:rPr>
          <w:lang w:eastAsia="en-GB"/>
        </w:rPr>
        <w:t xml:space="preserve"> 1:188).</w:t>
      </w:r>
      <w:r w:rsidR="00082356" w:rsidRPr="001005B7">
        <w:rPr>
          <w:lang w:eastAsia="en-GB"/>
        </w:rPr>
        <w:t xml:space="preserve"> </w:t>
      </w:r>
    </w:p>
    <w:p w14:paraId="0FAB4B70" w14:textId="02D9A286" w:rsidR="00475A31" w:rsidRPr="001005B7" w:rsidRDefault="007B1B5E" w:rsidP="00525BB1">
      <w:pPr>
        <w:rPr>
          <w:lang w:eastAsia="en-GB"/>
        </w:rPr>
      </w:pPr>
      <w:r w:rsidRPr="001005B7">
        <w:rPr>
          <w:b/>
          <w:bCs/>
          <w:lang w:eastAsia="en-GB"/>
        </w:rPr>
        <w:t>11</w:t>
      </w:r>
      <w:r w:rsidR="00FF0A39" w:rsidRPr="001005B7">
        <w:rPr>
          <w:b/>
          <w:bCs/>
          <w:lang w:eastAsia="en-GB"/>
        </w:rPr>
        <w:t xml:space="preserve">:13 </w:t>
      </w:r>
      <w:r w:rsidR="003C320B" w:rsidRPr="001005B7">
        <w:rPr>
          <w:lang w:eastAsia="en-GB"/>
        </w:rPr>
        <w:t xml:space="preserve">Again we have to recall that </w:t>
      </w:r>
      <w:r w:rsidR="00FF0A39" w:rsidRPr="001005B7">
        <w:rPr>
          <w:lang w:eastAsia="en-GB"/>
        </w:rPr>
        <w:t xml:space="preserve">if anyone hears this prophesying, </w:t>
      </w:r>
      <w:r w:rsidR="003C320B" w:rsidRPr="001005B7">
        <w:rPr>
          <w:lang w:eastAsia="en-GB"/>
        </w:rPr>
        <w:t xml:space="preserve">it is the </w:t>
      </w:r>
      <w:proofErr w:type="spellStart"/>
      <w:r w:rsidR="003C320B" w:rsidRPr="001005B7">
        <w:rPr>
          <w:lang w:eastAsia="en-GB"/>
        </w:rPr>
        <w:t>Kebarites</w:t>
      </w:r>
      <w:proofErr w:type="spellEnd"/>
      <w:r w:rsidR="00534DEE" w:rsidRPr="001005B7">
        <w:rPr>
          <w:lang w:eastAsia="en-GB"/>
        </w:rPr>
        <w:t>.</w:t>
      </w:r>
      <w:r w:rsidR="00B4349D" w:rsidRPr="001005B7">
        <w:rPr>
          <w:lang w:eastAsia="en-GB"/>
        </w:rPr>
        <w:t xml:space="preserve"> </w:t>
      </w:r>
      <w:r w:rsidR="00534DEE" w:rsidRPr="001005B7">
        <w:rPr>
          <w:lang w:eastAsia="en-GB"/>
        </w:rPr>
        <w:t>S</w:t>
      </w:r>
      <w:r w:rsidR="00B4349D" w:rsidRPr="001005B7">
        <w:rPr>
          <w:lang w:eastAsia="en-GB"/>
        </w:rPr>
        <w:t xml:space="preserve">pecifically, </w:t>
      </w:r>
      <w:proofErr w:type="spellStart"/>
      <w:r w:rsidR="00A1336D" w:rsidRPr="001005B7">
        <w:rPr>
          <w:lang w:eastAsia="en-GB"/>
        </w:rPr>
        <w:t>Pelat</w:t>
      </w:r>
      <w:r w:rsidR="00B4349D" w:rsidRPr="001005B7">
        <w:rPr>
          <w:lang w:eastAsia="en-GB"/>
        </w:rPr>
        <w:t>y</w:t>
      </w:r>
      <w:r w:rsidR="00A1336D" w:rsidRPr="001005B7">
        <w:rPr>
          <w:lang w:eastAsia="en-GB"/>
        </w:rPr>
        <w:t>ah</w:t>
      </w:r>
      <w:r w:rsidR="00B4349D" w:rsidRPr="001005B7">
        <w:rPr>
          <w:lang w:eastAsia="en-GB"/>
        </w:rPr>
        <w:t>u</w:t>
      </w:r>
      <w:proofErr w:type="spellEnd"/>
      <w:r w:rsidR="00A1336D" w:rsidRPr="001005B7">
        <w:rPr>
          <w:lang w:eastAsia="en-GB"/>
        </w:rPr>
        <w:t xml:space="preserve"> never gets to know about </w:t>
      </w:r>
      <w:r w:rsidR="00B4349D" w:rsidRPr="001005B7">
        <w:rPr>
          <w:lang w:eastAsia="en-GB"/>
        </w:rPr>
        <w:t xml:space="preserve">it. </w:t>
      </w:r>
      <w:r w:rsidR="00525BB1" w:rsidRPr="001005B7">
        <w:rPr>
          <w:lang w:eastAsia="en-GB"/>
        </w:rPr>
        <w:t>And his</w:t>
      </w:r>
      <w:r w:rsidR="00C240A6" w:rsidRPr="001005B7">
        <w:rPr>
          <w:lang w:eastAsia="en-GB"/>
        </w:rPr>
        <w:t xml:space="preserve"> </w:t>
      </w:r>
      <w:r w:rsidR="00612A65" w:rsidRPr="001005B7">
        <w:rPr>
          <w:lang w:eastAsia="en-GB"/>
        </w:rPr>
        <w:t xml:space="preserve">dying happens in </w:t>
      </w:r>
      <w:r w:rsidR="00525BB1" w:rsidRPr="001005B7">
        <w:rPr>
          <w:lang w:eastAsia="en-GB"/>
        </w:rPr>
        <w:t>Ezekiel’s</w:t>
      </w:r>
      <w:r w:rsidR="00612A65" w:rsidRPr="001005B7">
        <w:rPr>
          <w:lang w:eastAsia="en-GB"/>
        </w:rPr>
        <w:t xml:space="preserve"> vision, like the prophe</w:t>
      </w:r>
      <w:r w:rsidR="00525BB1" w:rsidRPr="001005B7">
        <w:rPr>
          <w:lang w:eastAsia="en-GB"/>
        </w:rPr>
        <w:t>sying</w:t>
      </w:r>
      <w:r w:rsidR="006B41DA" w:rsidRPr="001005B7">
        <w:rPr>
          <w:lang w:eastAsia="en-GB"/>
        </w:rPr>
        <w:t xml:space="preserve">. It thus both compares and contrasts with the death of Hananiah (Jer </w:t>
      </w:r>
      <w:r w:rsidR="009F1A63" w:rsidRPr="001005B7">
        <w:rPr>
          <w:lang w:eastAsia="en-GB"/>
        </w:rPr>
        <w:t xml:space="preserve">28:17). </w:t>
      </w:r>
      <w:r w:rsidR="00573051" w:rsidRPr="001005B7">
        <w:rPr>
          <w:lang w:eastAsia="en-GB"/>
        </w:rPr>
        <w:t>We don</w:t>
      </w:r>
      <w:r w:rsidR="000D0768" w:rsidRPr="001005B7">
        <w:rPr>
          <w:lang w:eastAsia="en-GB"/>
        </w:rPr>
        <w:t>’</w:t>
      </w:r>
      <w:r w:rsidR="00573051" w:rsidRPr="001005B7">
        <w:rPr>
          <w:lang w:eastAsia="en-GB"/>
        </w:rPr>
        <w:t xml:space="preserve">t know whether </w:t>
      </w:r>
      <w:proofErr w:type="spellStart"/>
      <w:r w:rsidR="00573051" w:rsidRPr="001005B7">
        <w:rPr>
          <w:lang w:eastAsia="en-GB"/>
        </w:rPr>
        <w:t>Pelatyahu</w:t>
      </w:r>
      <w:proofErr w:type="spellEnd"/>
      <w:r w:rsidR="00573051" w:rsidRPr="001005B7">
        <w:rPr>
          <w:lang w:eastAsia="en-GB"/>
        </w:rPr>
        <w:t xml:space="preserve"> actually died suddenly</w:t>
      </w:r>
      <w:r w:rsidR="009A3459">
        <w:rPr>
          <w:lang w:eastAsia="en-GB"/>
        </w:rPr>
        <w:t>, a</w:t>
      </w:r>
      <w:r w:rsidR="00FF6C9D" w:rsidRPr="001005B7">
        <w:rPr>
          <w:lang w:eastAsia="en-GB"/>
        </w:rPr>
        <w:t xml:space="preserve">nd neither Ezekiel nor Jeremiah </w:t>
      </w:r>
      <w:r w:rsidR="007F6F37" w:rsidRPr="001005B7">
        <w:rPr>
          <w:lang w:eastAsia="en-GB"/>
        </w:rPr>
        <w:t>indicate how they see the connection between their prophesying and the</w:t>
      </w:r>
      <w:r w:rsidR="00821E5F" w:rsidRPr="001005B7">
        <w:rPr>
          <w:lang w:eastAsia="en-GB"/>
        </w:rPr>
        <w:t xml:space="preserve"> visionary death of the one or the actual death of the other.</w:t>
      </w:r>
      <w:r w:rsidR="00814EAA" w:rsidRPr="001005B7">
        <w:rPr>
          <w:rStyle w:val="FootnoteReference"/>
          <w:lang w:eastAsia="en-GB"/>
        </w:rPr>
        <w:footnoteReference w:id="280"/>
      </w:r>
      <w:r w:rsidR="00821E5F" w:rsidRPr="001005B7">
        <w:rPr>
          <w:lang w:eastAsia="en-GB"/>
        </w:rPr>
        <w:t xml:space="preserve"> </w:t>
      </w:r>
      <w:r w:rsidR="00B911C4" w:rsidRPr="001005B7">
        <w:rPr>
          <w:lang w:eastAsia="en-GB"/>
        </w:rPr>
        <w:t>While biblical narrators often know more than</w:t>
      </w:r>
      <w:r w:rsidR="00F92836" w:rsidRPr="001005B7">
        <w:rPr>
          <w:lang w:eastAsia="en-GB"/>
        </w:rPr>
        <w:t xml:space="preserve"> they could empirically know, about Yahweh’s intentions or about people’s intentions, they do not give the impression of thinking that they are omnis</w:t>
      </w:r>
      <w:r w:rsidR="0016420C" w:rsidRPr="001005B7">
        <w:rPr>
          <w:lang w:eastAsia="en-GB"/>
        </w:rPr>
        <w:t>cient</w:t>
      </w:r>
      <w:r w:rsidR="00626D9B" w:rsidRPr="001005B7">
        <w:rPr>
          <w:lang w:eastAsia="en-GB"/>
        </w:rPr>
        <w:t xml:space="preserve">, as narrators </w:t>
      </w:r>
      <w:r w:rsidR="00C64061">
        <w:rPr>
          <w:lang w:eastAsia="en-GB"/>
        </w:rPr>
        <w:t>are said</w:t>
      </w:r>
      <w:r w:rsidR="00626D9B" w:rsidRPr="001005B7">
        <w:rPr>
          <w:lang w:eastAsia="en-GB"/>
        </w:rPr>
        <w:t xml:space="preserve"> to be</w:t>
      </w:r>
      <w:r w:rsidR="0016420C" w:rsidRPr="001005B7">
        <w:rPr>
          <w:lang w:eastAsia="en-GB"/>
        </w:rPr>
        <w:t xml:space="preserve">. </w:t>
      </w:r>
      <w:r w:rsidR="00626D9B" w:rsidRPr="001005B7">
        <w:rPr>
          <w:lang w:eastAsia="en-GB"/>
        </w:rPr>
        <w:t>Jeremiah and Ezekiel</w:t>
      </w:r>
      <w:r w:rsidR="0016420C" w:rsidRPr="001005B7">
        <w:rPr>
          <w:lang w:eastAsia="en-GB"/>
        </w:rPr>
        <w:t xml:space="preserve"> half-imply that it is surely no coincidence that these two deaths happen when they do, but they do not </w:t>
      </w:r>
      <w:r w:rsidR="003201C6" w:rsidRPr="001005B7">
        <w:rPr>
          <w:lang w:eastAsia="en-GB"/>
        </w:rPr>
        <w:t xml:space="preserve">indicate that their prophecies brought them about or </w:t>
      </w:r>
      <w:r w:rsidR="00EF7C6F" w:rsidRPr="001005B7">
        <w:rPr>
          <w:lang w:eastAsia="en-GB"/>
        </w:rPr>
        <w:t>that the</w:t>
      </w:r>
      <w:r w:rsidR="00FE0183">
        <w:rPr>
          <w:lang w:eastAsia="en-GB"/>
        </w:rPr>
        <w:t xml:space="preserve"> deaths</w:t>
      </w:r>
      <w:r w:rsidR="00EF7C6F" w:rsidRPr="001005B7">
        <w:rPr>
          <w:lang w:eastAsia="en-GB"/>
        </w:rPr>
        <w:t xml:space="preserve"> fulfilled </w:t>
      </w:r>
      <w:r w:rsidR="008800F8" w:rsidRPr="001005B7">
        <w:rPr>
          <w:lang w:eastAsia="en-GB"/>
        </w:rPr>
        <w:t>their prophecies</w:t>
      </w:r>
      <w:r w:rsidR="00A50945" w:rsidRPr="001005B7">
        <w:rPr>
          <w:rStyle w:val="FootnoteReference"/>
          <w:lang w:eastAsia="en-GB"/>
        </w:rPr>
        <w:footnoteReference w:id="281"/>
      </w:r>
      <w:r w:rsidR="008800F8" w:rsidRPr="001005B7">
        <w:rPr>
          <w:lang w:eastAsia="en-GB"/>
        </w:rPr>
        <w:t xml:space="preserve"> </w:t>
      </w:r>
      <w:r w:rsidR="00A50945" w:rsidRPr="001005B7">
        <w:rPr>
          <w:lang w:eastAsia="en-GB"/>
        </w:rPr>
        <w:t xml:space="preserve">or </w:t>
      </w:r>
      <w:r w:rsidR="00B17C40" w:rsidRPr="001005B7">
        <w:rPr>
          <w:lang w:eastAsia="en-GB"/>
        </w:rPr>
        <w:t xml:space="preserve">even </w:t>
      </w:r>
      <w:r w:rsidR="003201C6" w:rsidRPr="001005B7">
        <w:rPr>
          <w:lang w:eastAsia="en-GB"/>
        </w:rPr>
        <w:t xml:space="preserve">that Yahweh </w:t>
      </w:r>
      <w:r w:rsidR="00B17C40" w:rsidRPr="001005B7">
        <w:rPr>
          <w:lang w:eastAsia="en-GB"/>
        </w:rPr>
        <w:t xml:space="preserve">directly </w:t>
      </w:r>
      <w:r w:rsidR="003201C6" w:rsidRPr="001005B7">
        <w:rPr>
          <w:lang w:eastAsia="en-GB"/>
        </w:rPr>
        <w:t>brought th</w:t>
      </w:r>
      <w:r w:rsidR="00484B38" w:rsidRPr="001005B7">
        <w:rPr>
          <w:lang w:eastAsia="en-GB"/>
        </w:rPr>
        <w:t>e</w:t>
      </w:r>
      <w:r w:rsidR="003201C6" w:rsidRPr="001005B7">
        <w:rPr>
          <w:lang w:eastAsia="en-GB"/>
        </w:rPr>
        <w:t>m about.</w:t>
      </w:r>
      <w:r w:rsidR="00881A69" w:rsidRPr="001005B7">
        <w:rPr>
          <w:lang w:eastAsia="en-GB"/>
        </w:rPr>
        <w:t xml:space="preserve"> </w:t>
      </w:r>
      <w:r w:rsidR="00484B38" w:rsidRPr="001005B7">
        <w:rPr>
          <w:lang w:eastAsia="en-GB"/>
        </w:rPr>
        <w:t xml:space="preserve">The point lies somewhere else. </w:t>
      </w:r>
      <w:r w:rsidR="00D77EAD" w:rsidRPr="001005B7">
        <w:rPr>
          <w:lang w:eastAsia="en-GB"/>
        </w:rPr>
        <w:t xml:space="preserve">The death of </w:t>
      </w:r>
      <w:proofErr w:type="spellStart"/>
      <w:r w:rsidR="00D77EAD" w:rsidRPr="001005B7">
        <w:rPr>
          <w:lang w:eastAsia="en-GB"/>
        </w:rPr>
        <w:t>Pelatyahu</w:t>
      </w:r>
      <w:proofErr w:type="spellEnd"/>
      <w:r w:rsidR="00D77EAD" w:rsidRPr="001005B7">
        <w:rPr>
          <w:lang w:eastAsia="en-GB"/>
        </w:rPr>
        <w:t xml:space="preserve"> parallels and exemplifies the deaths brought about by the executioners in </w:t>
      </w:r>
      <w:r w:rsidR="00C53AE8" w:rsidRPr="001005B7">
        <w:rPr>
          <w:lang w:eastAsia="en-GB"/>
        </w:rPr>
        <w:t>9:1</w:t>
      </w:r>
      <w:r w:rsidR="00F46900" w:rsidRPr="001005B7">
        <w:rPr>
          <w:lang w:eastAsia="en-GB"/>
        </w:rPr>
        <w:t>–</w:t>
      </w:r>
      <w:r w:rsidR="00C53AE8" w:rsidRPr="001005B7">
        <w:rPr>
          <w:lang w:eastAsia="en-GB"/>
        </w:rPr>
        <w:t>10.</w:t>
      </w:r>
      <w:r w:rsidR="00516847" w:rsidRPr="001005B7">
        <w:rPr>
          <w:lang w:eastAsia="en-GB"/>
        </w:rPr>
        <w:t xml:space="preserve"> It constitutes an embodiment of the kind of calamity that Yahweh intends to brings about in Jerusalem</w:t>
      </w:r>
      <w:r w:rsidR="00AE4ABC" w:rsidRPr="001005B7">
        <w:rPr>
          <w:lang w:eastAsia="en-GB"/>
        </w:rPr>
        <w:t xml:space="preserve">—the kind of calamity that </w:t>
      </w:r>
      <w:r w:rsidR="00EA1FFB" w:rsidRPr="001005B7">
        <w:rPr>
          <w:lang w:eastAsia="en-GB"/>
        </w:rPr>
        <w:t>will actually</w:t>
      </w:r>
      <w:r w:rsidR="00AE4ABC" w:rsidRPr="001005B7">
        <w:rPr>
          <w:lang w:eastAsia="en-GB"/>
        </w:rPr>
        <w:t xml:space="preserve"> happen to Judahite leaders in 587.</w:t>
      </w:r>
      <w:r w:rsidR="002F6D4C" w:rsidRPr="001005B7">
        <w:rPr>
          <w:lang w:eastAsia="en-GB"/>
        </w:rPr>
        <w:t xml:space="preserve"> One appropriate response to the story is the one Jesus gives to people who </w:t>
      </w:r>
      <w:r w:rsidR="00AC5B8B" w:rsidRPr="001005B7">
        <w:rPr>
          <w:lang w:eastAsia="en-GB"/>
        </w:rPr>
        <w:t xml:space="preserve">might </w:t>
      </w:r>
      <w:r w:rsidR="002F6D4C" w:rsidRPr="001005B7">
        <w:rPr>
          <w:lang w:eastAsia="en-GB"/>
        </w:rPr>
        <w:t xml:space="preserve">want to know </w:t>
      </w:r>
      <w:r w:rsidR="00AC5B8B" w:rsidRPr="001005B7">
        <w:rPr>
          <w:lang w:eastAsia="en-GB"/>
        </w:rPr>
        <w:t>what</w:t>
      </w:r>
      <w:r w:rsidR="002F6D4C" w:rsidRPr="001005B7">
        <w:rPr>
          <w:lang w:eastAsia="en-GB"/>
        </w:rPr>
        <w:t xml:space="preserve"> cause</w:t>
      </w:r>
      <w:r w:rsidR="00AC5B8B" w:rsidRPr="001005B7">
        <w:rPr>
          <w:lang w:eastAsia="en-GB"/>
        </w:rPr>
        <w:t>d</w:t>
      </w:r>
      <w:r w:rsidR="002F6D4C" w:rsidRPr="001005B7">
        <w:rPr>
          <w:lang w:eastAsia="en-GB"/>
        </w:rPr>
        <w:t xml:space="preserve"> the collapse of a tower in Siloam </w:t>
      </w:r>
      <w:r w:rsidR="004F18F0" w:rsidRPr="001005B7">
        <w:rPr>
          <w:lang w:eastAsia="en-GB"/>
        </w:rPr>
        <w:t>(Luke 13:5)</w:t>
      </w:r>
      <w:r w:rsidR="00AC5B8B" w:rsidRPr="001005B7">
        <w:rPr>
          <w:lang w:eastAsia="en-GB"/>
        </w:rPr>
        <w:t xml:space="preserve">. </w:t>
      </w:r>
      <w:r w:rsidR="00835FC4" w:rsidRPr="001005B7">
        <w:rPr>
          <w:lang w:eastAsia="en-GB"/>
        </w:rPr>
        <w:t xml:space="preserve">Ezekiel would also be capable of making that response, but </w:t>
      </w:r>
      <w:r w:rsidR="00387E98" w:rsidRPr="001005B7">
        <w:rPr>
          <w:lang w:eastAsia="en-GB"/>
        </w:rPr>
        <w:t>here his response is the same as the one in 9:</w:t>
      </w:r>
      <w:r w:rsidR="002F13B8" w:rsidRPr="001005B7">
        <w:rPr>
          <w:lang w:eastAsia="en-GB"/>
        </w:rPr>
        <w:t xml:space="preserve">8. </w:t>
      </w:r>
      <w:r w:rsidR="00D44E56" w:rsidRPr="001005B7">
        <w:rPr>
          <w:lang w:eastAsia="en-GB"/>
        </w:rPr>
        <w:t xml:space="preserve">Maybe he implies </w:t>
      </w:r>
      <w:r w:rsidR="004B27DD" w:rsidRPr="001005B7">
        <w:rPr>
          <w:lang w:eastAsia="en-GB"/>
        </w:rPr>
        <w:t xml:space="preserve">that there was nothing distinctively wayward about </w:t>
      </w:r>
      <w:proofErr w:type="spellStart"/>
      <w:r w:rsidR="004B27DD" w:rsidRPr="001005B7">
        <w:rPr>
          <w:lang w:eastAsia="en-GB"/>
        </w:rPr>
        <w:t>Pelatyahu</w:t>
      </w:r>
      <w:proofErr w:type="spellEnd"/>
      <w:r w:rsidR="004B27DD" w:rsidRPr="001005B7">
        <w:rPr>
          <w:lang w:eastAsia="en-GB"/>
        </w:rPr>
        <w:t xml:space="preserve"> (why did he die and </w:t>
      </w:r>
      <w:proofErr w:type="spellStart"/>
      <w:r w:rsidR="00134C09" w:rsidRPr="001005B7">
        <w:rPr>
          <w:lang w:eastAsia="en-GB"/>
        </w:rPr>
        <w:t>Ya</w:t>
      </w:r>
      <w:r w:rsidR="00134C09" w:rsidRPr="001005B7">
        <w:rPr>
          <w:rFonts w:cstheme="minorHAnsi"/>
          <w:lang w:eastAsia="en-GB"/>
        </w:rPr>
        <w:t>ʾ</w:t>
      </w:r>
      <w:r w:rsidR="00134C09" w:rsidRPr="001005B7">
        <w:rPr>
          <w:lang w:eastAsia="en-GB"/>
        </w:rPr>
        <w:t>azanyah</w:t>
      </w:r>
      <w:proofErr w:type="spellEnd"/>
      <w:r w:rsidR="00134C09" w:rsidRPr="001005B7">
        <w:rPr>
          <w:lang w:eastAsia="en-GB"/>
        </w:rPr>
        <w:t xml:space="preserve"> apparently did not)? </w:t>
      </w:r>
      <w:r w:rsidR="004967FD" w:rsidRPr="001005B7">
        <w:rPr>
          <w:lang w:eastAsia="en-GB"/>
        </w:rPr>
        <w:t xml:space="preserve">There is no great significance about </w:t>
      </w:r>
      <w:proofErr w:type="spellStart"/>
      <w:r w:rsidR="004967FD" w:rsidRPr="001005B7">
        <w:rPr>
          <w:lang w:eastAsia="en-GB"/>
        </w:rPr>
        <w:t>Pelatyahu</w:t>
      </w:r>
      <w:proofErr w:type="spellEnd"/>
      <w:r w:rsidR="004967FD" w:rsidRPr="001005B7">
        <w:rPr>
          <w:lang w:eastAsia="en-GB"/>
        </w:rPr>
        <w:t>. He is a token.</w:t>
      </w:r>
      <w:r w:rsidR="00D31870" w:rsidRPr="001005B7">
        <w:rPr>
          <w:lang w:eastAsia="en-GB"/>
        </w:rPr>
        <w:t xml:space="preserve"> His</w:t>
      </w:r>
      <w:r w:rsidR="00FC0B63" w:rsidRPr="001005B7">
        <w:rPr>
          <w:lang w:eastAsia="en-GB"/>
        </w:rPr>
        <w:t xml:space="preserve"> apparently random death </w:t>
      </w:r>
      <w:r w:rsidR="006C7FA8" w:rsidRPr="001005B7">
        <w:rPr>
          <w:lang w:eastAsia="en-GB"/>
        </w:rPr>
        <w:t xml:space="preserve">makes Ezekiel fear </w:t>
      </w:r>
      <w:r w:rsidR="00EE2544" w:rsidRPr="001005B7">
        <w:rPr>
          <w:lang w:eastAsia="en-GB"/>
        </w:rPr>
        <w:t xml:space="preserve">that he is just a sample of what will happen to the entirety of </w:t>
      </w:r>
      <w:r w:rsidR="00B81842" w:rsidRPr="001005B7">
        <w:rPr>
          <w:lang w:eastAsia="en-GB"/>
        </w:rPr>
        <w:t>“</w:t>
      </w:r>
      <w:r w:rsidR="00EE2544" w:rsidRPr="001005B7">
        <w:rPr>
          <w:lang w:eastAsia="en-GB"/>
        </w:rPr>
        <w:t>what</w:t>
      </w:r>
      <w:r w:rsidR="00EE2544" w:rsidRPr="001005B7">
        <w:rPr>
          <w:i/>
          <w:iCs/>
          <w:lang w:eastAsia="en-GB"/>
        </w:rPr>
        <w:t xml:space="preserve"> </w:t>
      </w:r>
      <w:r w:rsidR="00EE2544" w:rsidRPr="001005B7">
        <w:rPr>
          <w:lang w:eastAsia="en-GB"/>
        </w:rPr>
        <w:t>remains</w:t>
      </w:r>
      <w:r w:rsidR="00EE2544" w:rsidRPr="001005B7">
        <w:rPr>
          <w:i/>
          <w:iCs/>
          <w:lang w:eastAsia="en-GB"/>
        </w:rPr>
        <w:t xml:space="preserve"> </w:t>
      </w:r>
      <w:r w:rsidR="00EE2544" w:rsidRPr="001005B7">
        <w:rPr>
          <w:lang w:eastAsia="en-GB"/>
        </w:rPr>
        <w:t>of</w:t>
      </w:r>
      <w:r w:rsidR="00EE2544" w:rsidRPr="001005B7">
        <w:rPr>
          <w:i/>
          <w:iCs/>
          <w:lang w:eastAsia="en-GB"/>
        </w:rPr>
        <w:t xml:space="preserve"> </w:t>
      </w:r>
      <w:r w:rsidR="00EE2544" w:rsidRPr="001005B7">
        <w:rPr>
          <w:lang w:eastAsia="en-GB"/>
        </w:rPr>
        <w:t>Israel.</w:t>
      </w:r>
      <w:r w:rsidR="00B81842" w:rsidRPr="001005B7">
        <w:rPr>
          <w:lang w:eastAsia="en-GB"/>
        </w:rPr>
        <w:t>”</w:t>
      </w:r>
      <w:r w:rsidR="00E91247" w:rsidRPr="001005B7">
        <w:rPr>
          <w:lang w:eastAsia="en-GB"/>
        </w:rPr>
        <w:t xml:space="preserve"> </w:t>
      </w:r>
      <w:r w:rsidR="00821BAC" w:rsidRPr="001005B7">
        <w:rPr>
          <w:lang w:eastAsia="en-GB"/>
        </w:rPr>
        <w:t>It</w:t>
      </w:r>
      <w:r w:rsidR="00987FFD" w:rsidRPr="001005B7">
        <w:rPr>
          <w:lang w:eastAsia="en-GB"/>
        </w:rPr>
        <w:t>’</w:t>
      </w:r>
      <w:r w:rsidR="00821BAC" w:rsidRPr="001005B7">
        <w:rPr>
          <w:lang w:eastAsia="en-GB"/>
        </w:rPr>
        <w:t>s an omen</w:t>
      </w:r>
      <w:r w:rsidR="000A23A6" w:rsidRPr="001005B7">
        <w:rPr>
          <w:lang w:eastAsia="en-GB"/>
        </w:rPr>
        <w:t xml:space="preserve"> (Allen</w:t>
      </w:r>
      <w:r w:rsidR="00ED6145" w:rsidRPr="001005B7">
        <w:rPr>
          <w:lang w:eastAsia="en-GB"/>
        </w:rPr>
        <w:t>,</w:t>
      </w:r>
      <w:r w:rsidR="000A23A6" w:rsidRPr="001005B7">
        <w:rPr>
          <w:lang w:eastAsia="en-GB"/>
        </w:rPr>
        <w:t xml:space="preserve"> </w:t>
      </w:r>
      <w:r w:rsidR="00745360" w:rsidRPr="001005B7">
        <w:rPr>
          <w:lang w:eastAsia="en-GB"/>
        </w:rPr>
        <w:t>1:</w:t>
      </w:r>
      <w:r w:rsidR="000A23A6" w:rsidRPr="001005B7">
        <w:rPr>
          <w:lang w:eastAsia="en-GB"/>
        </w:rPr>
        <w:t>163</w:t>
      </w:r>
      <w:r w:rsidR="00745360" w:rsidRPr="001005B7">
        <w:rPr>
          <w:lang w:eastAsia="en-GB"/>
        </w:rPr>
        <w:t>)</w:t>
      </w:r>
      <w:r w:rsidR="00821BAC" w:rsidRPr="001005B7">
        <w:rPr>
          <w:lang w:eastAsia="en-GB"/>
        </w:rPr>
        <w:t xml:space="preserve">. </w:t>
      </w:r>
      <w:r w:rsidR="000850AC" w:rsidRPr="001005B7">
        <w:rPr>
          <w:lang w:eastAsia="en-GB"/>
        </w:rPr>
        <w:t xml:space="preserve">As usual, reference to </w:t>
      </w:r>
      <w:r w:rsidR="00855D9C">
        <w:rPr>
          <w:lang w:eastAsia="en-GB"/>
        </w:rPr>
        <w:t>“what remains</w:t>
      </w:r>
      <w:r w:rsidR="005C30F8">
        <w:rPr>
          <w:lang w:eastAsia="en-GB"/>
        </w:rPr>
        <w:t xml:space="preserve">” of Israel, </w:t>
      </w:r>
      <w:r w:rsidR="000850AC" w:rsidRPr="001005B7">
        <w:rPr>
          <w:lang w:eastAsia="en-GB"/>
        </w:rPr>
        <w:t xml:space="preserve">the “remnant” </w:t>
      </w:r>
      <w:r w:rsidR="002C6468" w:rsidRPr="001005B7">
        <w:rPr>
          <w:lang w:eastAsia="en-GB"/>
        </w:rPr>
        <w:t>(</w:t>
      </w:r>
      <w:r w:rsidR="007E4A5D" w:rsidRPr="001005B7">
        <w:rPr>
          <w:rFonts w:cstheme="minorHAnsi"/>
          <w:rtl/>
          <w:lang w:eastAsia="en-GB" w:bidi="he-IL"/>
        </w:rPr>
        <w:t>שׁ</w:t>
      </w:r>
      <w:r w:rsidR="00B66AC2" w:rsidRPr="001005B7">
        <w:rPr>
          <w:rFonts w:cstheme="minorHAnsi"/>
          <w:rtl/>
          <w:lang w:eastAsia="en-GB" w:bidi="he-IL"/>
        </w:rPr>
        <w:t>ְאֵרית</w:t>
      </w:r>
      <w:r w:rsidR="00E27CE7" w:rsidRPr="001005B7">
        <w:rPr>
          <w:lang w:eastAsia="en-GB"/>
        </w:rPr>
        <w:t>) o</w:t>
      </w:r>
      <w:r w:rsidR="000850AC" w:rsidRPr="001005B7">
        <w:rPr>
          <w:lang w:eastAsia="en-GB"/>
        </w:rPr>
        <w:t>f Israel</w:t>
      </w:r>
      <w:r w:rsidR="005C30F8">
        <w:rPr>
          <w:lang w:eastAsia="en-GB"/>
        </w:rPr>
        <w:t>,</w:t>
      </w:r>
      <w:r w:rsidR="000850AC" w:rsidRPr="001005B7">
        <w:rPr>
          <w:lang w:eastAsia="en-GB"/>
        </w:rPr>
        <w:t xml:space="preserve"> does not imp</w:t>
      </w:r>
      <w:r w:rsidR="004B08F7" w:rsidRPr="001005B7">
        <w:rPr>
          <w:lang w:eastAsia="en-GB"/>
        </w:rPr>
        <w:t xml:space="preserve">ly that the remnant survives because it is faithful. </w:t>
      </w:r>
      <w:r w:rsidR="0094373D" w:rsidRPr="001005B7">
        <w:rPr>
          <w:lang w:eastAsia="en-GB"/>
        </w:rPr>
        <w:t>It is simply what is left after a catastrophe. And Ezekiel’s</w:t>
      </w:r>
      <w:r w:rsidR="00FD2205" w:rsidRPr="001005B7">
        <w:rPr>
          <w:lang w:eastAsia="en-GB"/>
        </w:rPr>
        <w:t xml:space="preserve"> reaction is surely</w:t>
      </w:r>
      <w:r w:rsidR="00E91247" w:rsidRPr="001005B7">
        <w:rPr>
          <w:lang w:eastAsia="en-GB"/>
        </w:rPr>
        <w:t xml:space="preserve"> appropriate.</w:t>
      </w:r>
      <w:r w:rsidR="00987FFD" w:rsidRPr="001005B7">
        <w:rPr>
          <w:lang w:eastAsia="en-GB"/>
        </w:rPr>
        <w:t xml:space="preserve"> </w:t>
      </w:r>
      <w:r w:rsidR="00A119CE" w:rsidRPr="001005B7">
        <w:rPr>
          <w:lang w:eastAsia="en-GB"/>
        </w:rPr>
        <w:t xml:space="preserve">It echoes his </w:t>
      </w:r>
      <w:r w:rsidR="00D26487" w:rsidRPr="001005B7">
        <w:rPr>
          <w:lang w:eastAsia="en-GB"/>
        </w:rPr>
        <w:t>“</w:t>
      </w:r>
      <w:proofErr w:type="spellStart"/>
      <w:r w:rsidR="00BA21F1" w:rsidRPr="001005B7">
        <w:rPr>
          <w:lang w:eastAsia="en-GB"/>
        </w:rPr>
        <w:t>A</w:t>
      </w:r>
      <w:r w:rsidR="00A119CE" w:rsidRPr="001005B7">
        <w:rPr>
          <w:lang w:eastAsia="en-GB"/>
        </w:rPr>
        <w:t>agh</w:t>
      </w:r>
      <w:proofErr w:type="spellEnd"/>
      <w:r w:rsidR="00A119CE" w:rsidRPr="001005B7">
        <w:rPr>
          <w:i/>
          <w:iCs/>
          <w:lang w:eastAsia="en-GB"/>
        </w:rPr>
        <w:t xml:space="preserve">, </w:t>
      </w:r>
      <w:r w:rsidR="00A119CE" w:rsidRPr="001005B7">
        <w:rPr>
          <w:lang w:eastAsia="en-GB"/>
        </w:rPr>
        <w:t>Lord</w:t>
      </w:r>
      <w:r w:rsidR="00A119CE" w:rsidRPr="001005B7">
        <w:rPr>
          <w:i/>
          <w:iCs/>
          <w:lang w:eastAsia="en-GB"/>
        </w:rPr>
        <w:t xml:space="preserve"> </w:t>
      </w:r>
      <w:r w:rsidR="00A119CE" w:rsidRPr="001005B7">
        <w:rPr>
          <w:lang w:eastAsia="en-GB"/>
        </w:rPr>
        <w:t>Yahweh</w:t>
      </w:r>
      <w:r w:rsidR="00D26487" w:rsidRPr="001005B7">
        <w:rPr>
          <w:lang w:eastAsia="en-GB"/>
        </w:rPr>
        <w:t>”</w:t>
      </w:r>
      <w:r w:rsidR="00A119CE" w:rsidRPr="001005B7">
        <w:rPr>
          <w:lang w:eastAsia="en-GB"/>
        </w:rPr>
        <w:t xml:space="preserve"> in 9:8 (and in 4:14, at the other end of Ezekiel 4</w:t>
      </w:r>
      <w:r w:rsidR="00F46900" w:rsidRPr="001005B7">
        <w:rPr>
          <w:lang w:eastAsia="en-GB"/>
        </w:rPr>
        <w:t>–</w:t>
      </w:r>
      <w:r w:rsidR="00A119CE" w:rsidRPr="001005B7">
        <w:rPr>
          <w:lang w:eastAsia="en-GB"/>
        </w:rPr>
        <w:t>11)</w:t>
      </w:r>
      <w:r w:rsidR="00467918" w:rsidRPr="001005B7">
        <w:rPr>
          <w:lang w:eastAsia="en-GB"/>
        </w:rPr>
        <w:t xml:space="preserve"> (</w:t>
      </w:r>
      <w:proofErr w:type="spellStart"/>
      <w:r w:rsidR="00467918" w:rsidRPr="001005B7">
        <w:t>H</w:t>
      </w:r>
      <w:r w:rsidR="00467918" w:rsidRPr="001005B7">
        <w:rPr>
          <w:rFonts w:cstheme="minorHAnsi"/>
        </w:rPr>
        <w:t>ä</w:t>
      </w:r>
      <w:r w:rsidR="00467918" w:rsidRPr="001005B7">
        <w:t>ner</w:t>
      </w:r>
      <w:proofErr w:type="spellEnd"/>
      <w:r w:rsidR="00467918" w:rsidRPr="001005B7">
        <w:t>, 189</w:t>
      </w:r>
      <w:r w:rsidR="00F46900" w:rsidRPr="001005B7">
        <w:t>–</w:t>
      </w:r>
      <w:r w:rsidR="00467918" w:rsidRPr="001005B7">
        <w:t>91)</w:t>
      </w:r>
      <w:r w:rsidR="00A85CCF" w:rsidRPr="001005B7">
        <w:rPr>
          <w:lang w:eastAsia="en-GB"/>
        </w:rPr>
        <w:t>.</w:t>
      </w:r>
      <w:r w:rsidR="007F7D4F" w:rsidRPr="001005B7">
        <w:rPr>
          <w:lang w:eastAsia="en-GB"/>
        </w:rPr>
        <w:t xml:space="preserve"> </w:t>
      </w:r>
      <w:r w:rsidR="00987FFD" w:rsidRPr="001005B7">
        <w:rPr>
          <w:lang w:eastAsia="en-GB"/>
        </w:rPr>
        <w:t>“The anguished prayer of v 13 echoes down the years”</w:t>
      </w:r>
      <w:r w:rsidR="00D109BA" w:rsidRPr="001005B7">
        <w:rPr>
          <w:lang w:eastAsia="en-GB"/>
        </w:rPr>
        <w:t xml:space="preserve"> (Allen</w:t>
      </w:r>
      <w:r w:rsidR="00ED6145" w:rsidRPr="001005B7">
        <w:rPr>
          <w:lang w:eastAsia="en-GB"/>
        </w:rPr>
        <w:t>,</w:t>
      </w:r>
      <w:r w:rsidR="00D109BA" w:rsidRPr="001005B7">
        <w:rPr>
          <w:lang w:eastAsia="en-GB"/>
        </w:rPr>
        <w:t xml:space="preserve"> 1:163).</w:t>
      </w:r>
    </w:p>
    <w:p w14:paraId="34B00370" w14:textId="704D3F82" w:rsidR="00D338B0" w:rsidRPr="001005B7" w:rsidRDefault="006670B5" w:rsidP="001E5EDC">
      <w:pPr>
        <w:rPr>
          <w:lang w:eastAsia="en-GB"/>
        </w:rPr>
      </w:pPr>
      <w:r w:rsidRPr="001005B7">
        <w:rPr>
          <w:b/>
          <w:bCs/>
          <w:lang w:eastAsia="en-GB"/>
        </w:rPr>
        <w:t>11:14</w:t>
      </w:r>
      <w:r w:rsidR="00F46900" w:rsidRPr="001005B7">
        <w:rPr>
          <w:b/>
          <w:bCs/>
          <w:lang w:eastAsia="en-GB"/>
        </w:rPr>
        <w:t>–</w:t>
      </w:r>
      <w:r w:rsidR="00CC33CE" w:rsidRPr="001005B7">
        <w:rPr>
          <w:b/>
          <w:bCs/>
          <w:lang w:eastAsia="en-GB"/>
        </w:rPr>
        <w:t>15</w:t>
      </w:r>
      <w:r w:rsidR="005943B7" w:rsidRPr="001005B7">
        <w:rPr>
          <w:lang w:eastAsia="en-GB"/>
        </w:rPr>
        <w:t xml:space="preserve"> </w:t>
      </w:r>
      <w:r w:rsidR="001E3509" w:rsidRPr="001005B7">
        <w:rPr>
          <w:lang w:eastAsia="en-GB"/>
        </w:rPr>
        <w:t>I</w:t>
      </w:r>
      <w:r w:rsidR="005B63A0" w:rsidRPr="001005B7">
        <w:rPr>
          <w:lang w:eastAsia="en-GB"/>
        </w:rPr>
        <w:t>t</w:t>
      </w:r>
      <w:r w:rsidR="00C65A01" w:rsidRPr="001005B7">
        <w:rPr>
          <w:lang w:eastAsia="en-GB"/>
        </w:rPr>
        <w:t>’</w:t>
      </w:r>
      <w:r w:rsidR="005B63A0" w:rsidRPr="001005B7">
        <w:rPr>
          <w:lang w:eastAsia="en-GB"/>
        </w:rPr>
        <w:t xml:space="preserve">s quite possible to imagine Ezekiel’s vision ending with </w:t>
      </w:r>
      <w:r w:rsidR="008565DB">
        <w:rPr>
          <w:lang w:eastAsia="en-GB"/>
        </w:rPr>
        <w:t>that</w:t>
      </w:r>
      <w:r w:rsidR="005B63A0" w:rsidRPr="001005B7">
        <w:rPr>
          <w:lang w:eastAsia="en-GB"/>
        </w:rPr>
        <w:t xml:space="preserve"> </w:t>
      </w:r>
      <w:r w:rsidR="00D63DDD" w:rsidRPr="001005B7">
        <w:rPr>
          <w:lang w:eastAsia="en-GB"/>
        </w:rPr>
        <w:t>anguished prayer</w:t>
      </w:r>
      <w:r w:rsidR="004C1914" w:rsidRPr="001005B7">
        <w:rPr>
          <w:lang w:eastAsia="en-GB"/>
        </w:rPr>
        <w:t>.</w:t>
      </w:r>
      <w:r w:rsidR="003E1F61" w:rsidRPr="001005B7">
        <w:rPr>
          <w:lang w:eastAsia="en-GB"/>
        </w:rPr>
        <w:t xml:space="preserve"> </w:t>
      </w:r>
      <w:r w:rsidR="00F500D0" w:rsidRPr="001005B7">
        <w:rPr>
          <w:lang w:eastAsia="en-GB"/>
        </w:rPr>
        <w:t xml:space="preserve">But </w:t>
      </w:r>
      <w:r w:rsidR="00C937E0" w:rsidRPr="001005B7">
        <w:rPr>
          <w:lang w:eastAsia="en-GB"/>
        </w:rPr>
        <w:t>Ezekiel got a response in 9:8</w:t>
      </w:r>
      <w:r w:rsidR="00F46900" w:rsidRPr="001005B7">
        <w:rPr>
          <w:lang w:eastAsia="en-GB"/>
        </w:rPr>
        <w:t>–</w:t>
      </w:r>
      <w:r w:rsidR="00C937E0" w:rsidRPr="001005B7">
        <w:rPr>
          <w:lang w:eastAsia="en-GB"/>
        </w:rPr>
        <w:t>10, and he gets one here</w:t>
      </w:r>
      <w:r w:rsidR="008E7793" w:rsidRPr="001005B7">
        <w:rPr>
          <w:lang w:eastAsia="en-GB"/>
        </w:rPr>
        <w:t>, though it differs from the earlier one</w:t>
      </w:r>
      <w:r w:rsidR="00390B24" w:rsidRPr="001005B7">
        <w:rPr>
          <w:lang w:eastAsia="en-GB"/>
        </w:rPr>
        <w:t>. There</w:t>
      </w:r>
      <w:r w:rsidR="008E7793" w:rsidRPr="001005B7">
        <w:rPr>
          <w:lang w:eastAsia="en-GB"/>
        </w:rPr>
        <w:t>, Yahweh</w:t>
      </w:r>
      <w:r w:rsidR="00390B24" w:rsidRPr="001005B7">
        <w:rPr>
          <w:lang w:eastAsia="en-GB"/>
        </w:rPr>
        <w:t xml:space="preserve"> </w:t>
      </w:r>
      <w:r w:rsidR="00FC4E23" w:rsidRPr="001005B7">
        <w:rPr>
          <w:lang w:eastAsia="en-GB"/>
        </w:rPr>
        <w:t>pointed out that he would be quite justified in finis</w:t>
      </w:r>
      <w:r w:rsidR="007A5AF9" w:rsidRPr="001005B7">
        <w:rPr>
          <w:lang w:eastAsia="en-GB"/>
        </w:rPr>
        <w:t xml:space="preserve">hing Israel off. </w:t>
      </w:r>
      <w:r w:rsidR="001E5296" w:rsidRPr="001005B7">
        <w:rPr>
          <w:lang w:eastAsia="en-GB"/>
        </w:rPr>
        <w:t xml:space="preserve">Here, </w:t>
      </w:r>
      <w:r w:rsidR="004D3CF8" w:rsidRPr="001005B7">
        <w:rPr>
          <w:lang w:eastAsia="en-GB"/>
        </w:rPr>
        <w:t>his response is to say that this is not what he intends</w:t>
      </w:r>
      <w:r w:rsidR="00203FBD" w:rsidRPr="001005B7">
        <w:rPr>
          <w:lang w:eastAsia="en-GB"/>
        </w:rPr>
        <w:t xml:space="preserve"> (even if it would be justified).</w:t>
      </w:r>
      <w:r w:rsidR="00481FFC" w:rsidRPr="001005B7">
        <w:rPr>
          <w:lang w:eastAsia="en-GB"/>
        </w:rPr>
        <w:t xml:space="preserve"> In 9:</w:t>
      </w:r>
      <w:r w:rsidR="00A227EB" w:rsidRPr="001005B7">
        <w:rPr>
          <w:lang w:eastAsia="en-GB"/>
        </w:rPr>
        <w:t>8</w:t>
      </w:r>
      <w:r w:rsidR="00F46900" w:rsidRPr="001005B7">
        <w:rPr>
          <w:lang w:eastAsia="en-GB"/>
        </w:rPr>
        <w:t>–</w:t>
      </w:r>
      <w:r w:rsidR="00A227EB" w:rsidRPr="001005B7">
        <w:rPr>
          <w:lang w:eastAsia="en-GB"/>
        </w:rPr>
        <w:t xml:space="preserve">10 there was some subtlety about the way </w:t>
      </w:r>
      <w:r w:rsidR="00DA15BD" w:rsidRPr="001005B7">
        <w:rPr>
          <w:lang w:eastAsia="en-GB"/>
        </w:rPr>
        <w:t xml:space="preserve">he spoke of Israel and Judah, and there is some similar subtlety here. </w:t>
      </w:r>
      <w:r w:rsidR="00F24C18" w:rsidRPr="001005B7">
        <w:rPr>
          <w:lang w:eastAsia="en-GB"/>
        </w:rPr>
        <w:t xml:space="preserve">In </w:t>
      </w:r>
      <w:r w:rsidR="00E70B09" w:rsidRPr="001005B7">
        <w:rPr>
          <w:lang w:eastAsia="en-GB"/>
        </w:rPr>
        <w:t>speaking of</w:t>
      </w:r>
      <w:r w:rsidR="00F24C18" w:rsidRPr="001005B7">
        <w:rPr>
          <w:lang w:eastAsia="en-GB"/>
        </w:rPr>
        <w:t xml:space="preserve"> </w:t>
      </w:r>
      <w:r w:rsidR="005B6458" w:rsidRPr="001005B7">
        <w:rPr>
          <w:lang w:eastAsia="en-GB"/>
        </w:rPr>
        <w:t>his</w:t>
      </w:r>
      <w:r w:rsidR="00F64B33" w:rsidRPr="001005B7">
        <w:rPr>
          <w:lang w:eastAsia="en-GB"/>
        </w:rPr>
        <w:t xml:space="preserve"> </w:t>
      </w:r>
      <w:r w:rsidR="00604323" w:rsidRPr="001005B7">
        <w:rPr>
          <w:lang w:eastAsia="en-GB"/>
        </w:rPr>
        <w:t>“</w:t>
      </w:r>
      <w:r w:rsidR="00DE05E6" w:rsidRPr="001005B7">
        <w:rPr>
          <w:lang w:eastAsia="en-GB"/>
        </w:rPr>
        <w:t>restoration</w:t>
      </w:r>
      <w:r w:rsidR="00DE05E6" w:rsidRPr="001005B7">
        <w:rPr>
          <w:i/>
          <w:iCs/>
          <w:lang w:eastAsia="en-GB"/>
        </w:rPr>
        <w:t xml:space="preserve"> </w:t>
      </w:r>
      <w:r w:rsidR="00DE05E6" w:rsidRPr="001005B7">
        <w:rPr>
          <w:lang w:eastAsia="en-GB"/>
        </w:rPr>
        <w:t>people</w:t>
      </w:r>
      <w:r w:rsidR="001F2D85" w:rsidRPr="001005B7">
        <w:rPr>
          <w:lang w:eastAsia="en-GB"/>
        </w:rPr>
        <w:t>,</w:t>
      </w:r>
      <w:r w:rsidR="00604323" w:rsidRPr="001005B7">
        <w:rPr>
          <w:lang w:eastAsia="en-GB"/>
        </w:rPr>
        <w:t>”</w:t>
      </w:r>
      <w:r w:rsidR="001F2D85" w:rsidRPr="001005B7">
        <w:rPr>
          <w:lang w:eastAsia="en-GB"/>
        </w:rPr>
        <w:t xml:space="preserve"> Ezekiel </w:t>
      </w:r>
      <w:r w:rsidR="008F7549" w:rsidRPr="001005B7">
        <w:rPr>
          <w:lang w:eastAsia="en-GB"/>
        </w:rPr>
        <w:t>takes up</w:t>
      </w:r>
      <w:r w:rsidR="001F2D85" w:rsidRPr="001005B7">
        <w:rPr>
          <w:lang w:eastAsia="en-GB"/>
        </w:rPr>
        <w:t xml:space="preserve"> a rare word</w:t>
      </w:r>
      <w:r w:rsidR="005B6458" w:rsidRPr="001005B7">
        <w:rPr>
          <w:lang w:eastAsia="en-GB"/>
        </w:rPr>
        <w:t>,</w:t>
      </w:r>
      <w:r w:rsidR="001F2D85" w:rsidRPr="001005B7">
        <w:rPr>
          <w:lang w:eastAsia="en-GB"/>
        </w:rPr>
        <w:t xml:space="preserve"> and uses it in a unique way.</w:t>
      </w:r>
      <w:r w:rsidR="00374D03" w:rsidRPr="001005B7">
        <w:rPr>
          <w:lang w:eastAsia="en-GB"/>
        </w:rPr>
        <w:t xml:space="preserve"> </w:t>
      </w:r>
      <w:r w:rsidR="00E24D1A" w:rsidRPr="001005B7">
        <w:rPr>
          <w:lang w:eastAsia="en-GB"/>
        </w:rPr>
        <w:t>“</w:t>
      </w:r>
      <w:r w:rsidR="005A28F9" w:rsidRPr="001005B7">
        <w:rPr>
          <w:lang w:eastAsia="en-GB"/>
        </w:rPr>
        <w:t>R</w:t>
      </w:r>
      <w:r w:rsidR="00374D03" w:rsidRPr="001005B7">
        <w:rPr>
          <w:lang w:eastAsia="en-GB"/>
        </w:rPr>
        <w:t>estoration</w:t>
      </w:r>
      <w:r w:rsidR="00E24D1A" w:rsidRPr="001005B7">
        <w:rPr>
          <w:lang w:eastAsia="en-GB"/>
        </w:rPr>
        <w:t>”</w:t>
      </w:r>
      <w:r w:rsidR="00892299" w:rsidRPr="001005B7">
        <w:rPr>
          <w:lang w:eastAsia="en-GB"/>
        </w:rPr>
        <w:t xml:space="preserve"> (</w:t>
      </w:r>
      <w:r w:rsidR="000A3AEE" w:rsidRPr="001005B7">
        <w:rPr>
          <w:rFonts w:cstheme="minorHAnsi"/>
          <w:rtl/>
          <w:lang w:eastAsia="en-GB" w:bidi="he-IL"/>
        </w:rPr>
        <w:t>ג</w:t>
      </w:r>
      <w:r w:rsidR="00D05C3F" w:rsidRPr="001005B7">
        <w:rPr>
          <w:rFonts w:cstheme="minorHAnsi"/>
          <w:rtl/>
          <w:lang w:eastAsia="en-GB" w:bidi="he-IL"/>
        </w:rPr>
        <w:t>ּ</w:t>
      </w:r>
      <w:r w:rsidR="000A3AEE" w:rsidRPr="001005B7">
        <w:rPr>
          <w:rFonts w:cstheme="minorHAnsi"/>
          <w:rtl/>
          <w:lang w:eastAsia="en-GB" w:bidi="he-IL"/>
        </w:rPr>
        <w:t>ְאֻ</w:t>
      </w:r>
      <w:r w:rsidR="00EC12C5" w:rsidRPr="001005B7">
        <w:rPr>
          <w:rFonts w:cstheme="minorHAnsi"/>
          <w:rtl/>
          <w:lang w:eastAsia="en-GB" w:bidi="he-IL"/>
        </w:rPr>
        <w:t>לָּה</w:t>
      </w:r>
      <w:r w:rsidR="00892299" w:rsidRPr="001005B7">
        <w:rPr>
          <w:lang w:eastAsia="en-GB"/>
        </w:rPr>
        <w:t>)</w:t>
      </w:r>
      <w:r w:rsidR="0027398A" w:rsidRPr="001005B7">
        <w:rPr>
          <w:lang w:eastAsia="en-GB"/>
        </w:rPr>
        <w:t xml:space="preserve"> </w:t>
      </w:r>
      <w:r w:rsidR="00AC2A7B" w:rsidRPr="001005B7">
        <w:rPr>
          <w:lang w:eastAsia="en-GB"/>
        </w:rPr>
        <w:t>deriv</w:t>
      </w:r>
      <w:r w:rsidR="0027398A" w:rsidRPr="001005B7">
        <w:rPr>
          <w:lang w:eastAsia="en-GB"/>
        </w:rPr>
        <w:t xml:space="preserve">es from </w:t>
      </w:r>
      <w:r w:rsidR="0006326F" w:rsidRPr="001005B7">
        <w:rPr>
          <w:lang w:eastAsia="en-GB"/>
        </w:rPr>
        <w:t>a</w:t>
      </w:r>
      <w:r w:rsidR="0027398A" w:rsidRPr="001005B7">
        <w:rPr>
          <w:lang w:eastAsia="en-GB"/>
        </w:rPr>
        <w:t xml:space="preserve"> ver</w:t>
      </w:r>
      <w:r w:rsidR="00CD4D45" w:rsidRPr="001005B7">
        <w:rPr>
          <w:lang w:eastAsia="en-GB"/>
        </w:rPr>
        <w:t>b</w:t>
      </w:r>
      <w:r w:rsidR="0027398A" w:rsidRPr="001005B7">
        <w:rPr>
          <w:lang w:eastAsia="en-GB"/>
        </w:rPr>
        <w:t xml:space="preserve"> traditionally translated </w:t>
      </w:r>
      <w:r w:rsidR="00E24D1A" w:rsidRPr="001005B7">
        <w:rPr>
          <w:lang w:eastAsia="en-GB"/>
        </w:rPr>
        <w:t>“</w:t>
      </w:r>
      <w:r w:rsidR="0027398A" w:rsidRPr="001005B7">
        <w:rPr>
          <w:lang w:eastAsia="en-GB"/>
        </w:rPr>
        <w:t>redeem</w:t>
      </w:r>
      <w:r w:rsidR="00F70138" w:rsidRPr="001005B7">
        <w:rPr>
          <w:lang w:eastAsia="en-GB"/>
        </w:rPr>
        <w:t>,</w:t>
      </w:r>
      <w:r w:rsidR="00E24D1A" w:rsidRPr="001005B7">
        <w:rPr>
          <w:lang w:eastAsia="en-GB"/>
        </w:rPr>
        <w:t>”</w:t>
      </w:r>
      <w:r w:rsidR="0027398A" w:rsidRPr="001005B7">
        <w:rPr>
          <w:lang w:eastAsia="en-GB"/>
        </w:rPr>
        <w:t xml:space="preserve"> </w:t>
      </w:r>
      <w:r w:rsidR="00F70138" w:rsidRPr="001005B7">
        <w:rPr>
          <w:lang w:eastAsia="en-GB"/>
        </w:rPr>
        <w:t>which</w:t>
      </w:r>
      <w:r w:rsidR="00924E40" w:rsidRPr="001005B7">
        <w:rPr>
          <w:lang w:eastAsia="en-GB"/>
        </w:rPr>
        <w:t xml:space="preserve"> refers to the obligation to restore</w:t>
      </w:r>
      <w:r w:rsidR="00CD4D45" w:rsidRPr="001005B7">
        <w:rPr>
          <w:lang w:eastAsia="en-GB"/>
        </w:rPr>
        <w:t xml:space="preserve"> the</w:t>
      </w:r>
      <w:r w:rsidR="00924E40" w:rsidRPr="001005B7">
        <w:rPr>
          <w:lang w:eastAsia="en-GB"/>
        </w:rPr>
        <w:t xml:space="preserve"> freedom or land</w:t>
      </w:r>
      <w:r w:rsidR="003316F3" w:rsidRPr="001005B7">
        <w:rPr>
          <w:lang w:eastAsia="en-GB"/>
        </w:rPr>
        <w:t xml:space="preserve"> </w:t>
      </w:r>
      <w:r w:rsidR="00CD4D45" w:rsidRPr="001005B7">
        <w:rPr>
          <w:lang w:eastAsia="en-GB"/>
        </w:rPr>
        <w:t xml:space="preserve">of someone in </w:t>
      </w:r>
      <w:r w:rsidR="00D478CF" w:rsidRPr="001005B7">
        <w:rPr>
          <w:lang w:eastAsia="en-GB"/>
        </w:rPr>
        <w:t>the</w:t>
      </w:r>
      <w:r w:rsidR="00CD4D45" w:rsidRPr="001005B7">
        <w:rPr>
          <w:lang w:eastAsia="en-GB"/>
        </w:rPr>
        <w:t xml:space="preserve"> extended family </w:t>
      </w:r>
      <w:r w:rsidR="003316F3" w:rsidRPr="001005B7">
        <w:rPr>
          <w:lang w:eastAsia="en-GB"/>
        </w:rPr>
        <w:t xml:space="preserve">when they have somehow lost them. </w:t>
      </w:r>
      <w:r w:rsidR="002969DC" w:rsidRPr="001005B7">
        <w:rPr>
          <w:lang w:eastAsia="en-GB"/>
        </w:rPr>
        <w:t>Jeremiah 32:7</w:t>
      </w:r>
      <w:r w:rsidR="00F46900" w:rsidRPr="001005B7">
        <w:rPr>
          <w:lang w:eastAsia="en-GB"/>
        </w:rPr>
        <w:t>–</w:t>
      </w:r>
      <w:r w:rsidR="002969DC" w:rsidRPr="001005B7">
        <w:rPr>
          <w:lang w:eastAsia="en-GB"/>
        </w:rPr>
        <w:t>8 has</w:t>
      </w:r>
      <w:r w:rsidR="00904376" w:rsidRPr="001005B7">
        <w:rPr>
          <w:lang w:eastAsia="en-GB"/>
        </w:rPr>
        <w:t xml:space="preserve"> two occurrences of the noun in </w:t>
      </w:r>
      <w:r w:rsidR="00D74A7E" w:rsidRPr="001005B7">
        <w:rPr>
          <w:lang w:eastAsia="en-GB"/>
        </w:rPr>
        <w:t>the same chronological context and with similar theological implications</w:t>
      </w:r>
      <w:r w:rsidR="00123AAB" w:rsidRPr="001005B7">
        <w:rPr>
          <w:lang w:eastAsia="en-GB"/>
        </w:rPr>
        <w:t>,</w:t>
      </w:r>
      <w:r w:rsidR="00D74A7E" w:rsidRPr="001005B7">
        <w:rPr>
          <w:lang w:eastAsia="en-GB"/>
        </w:rPr>
        <w:t xml:space="preserve"> in terms of </w:t>
      </w:r>
      <w:r w:rsidR="00C63FFF" w:rsidRPr="001005B7">
        <w:rPr>
          <w:lang w:eastAsia="en-GB"/>
        </w:rPr>
        <w:t xml:space="preserve">Yahweh’s faithfulness to his </w:t>
      </w:r>
      <w:r w:rsidR="00C06FD5" w:rsidRPr="001005B7">
        <w:rPr>
          <w:lang w:eastAsia="en-GB"/>
        </w:rPr>
        <w:t xml:space="preserve">people (the other occurrences are in Lev 25 and Ruth 4). </w:t>
      </w:r>
      <w:r w:rsidR="00201335" w:rsidRPr="001005B7">
        <w:rPr>
          <w:lang w:eastAsia="en-GB"/>
        </w:rPr>
        <w:t xml:space="preserve">At first, </w:t>
      </w:r>
      <w:r w:rsidR="00E24D1A" w:rsidRPr="001005B7">
        <w:rPr>
          <w:lang w:eastAsia="en-GB"/>
        </w:rPr>
        <w:t>“</w:t>
      </w:r>
      <w:r w:rsidR="00201335" w:rsidRPr="001005B7">
        <w:rPr>
          <w:lang w:eastAsia="en-GB"/>
        </w:rPr>
        <w:t>a</w:t>
      </w:r>
      <w:r w:rsidR="004F55A1" w:rsidRPr="001005B7">
        <w:rPr>
          <w:lang w:eastAsia="en-GB"/>
        </w:rPr>
        <w:t>ll</w:t>
      </w:r>
      <w:r w:rsidR="004F55A1" w:rsidRPr="001005B7">
        <w:rPr>
          <w:i/>
          <w:iCs/>
          <w:lang w:eastAsia="en-GB"/>
        </w:rPr>
        <w:t xml:space="preserve"> </w:t>
      </w:r>
      <w:r w:rsidR="004F55A1" w:rsidRPr="001005B7">
        <w:rPr>
          <w:lang w:eastAsia="en-GB"/>
        </w:rPr>
        <w:t>your</w:t>
      </w:r>
      <w:r w:rsidR="004F55A1" w:rsidRPr="001005B7">
        <w:rPr>
          <w:i/>
          <w:iCs/>
          <w:lang w:eastAsia="en-GB"/>
        </w:rPr>
        <w:t xml:space="preserve"> </w:t>
      </w:r>
      <w:r w:rsidR="004F55A1" w:rsidRPr="001005B7">
        <w:rPr>
          <w:lang w:eastAsia="en-GB"/>
        </w:rPr>
        <w:t>relatives</w:t>
      </w:r>
      <w:r w:rsidR="004F55A1" w:rsidRPr="001005B7">
        <w:rPr>
          <w:i/>
          <w:iCs/>
          <w:lang w:eastAsia="en-GB"/>
        </w:rPr>
        <w:t xml:space="preserve">, </w:t>
      </w:r>
      <w:r w:rsidR="004F55A1" w:rsidRPr="001005B7">
        <w:rPr>
          <w:lang w:eastAsia="en-GB"/>
        </w:rPr>
        <w:t>your</w:t>
      </w:r>
      <w:r w:rsidR="004F55A1" w:rsidRPr="001005B7">
        <w:rPr>
          <w:i/>
          <w:iCs/>
          <w:lang w:eastAsia="en-GB"/>
        </w:rPr>
        <w:t xml:space="preserve"> </w:t>
      </w:r>
      <w:r w:rsidR="004F55A1" w:rsidRPr="001005B7">
        <w:rPr>
          <w:lang w:eastAsia="en-GB"/>
        </w:rPr>
        <w:t>restoration</w:t>
      </w:r>
      <w:r w:rsidR="004F55A1" w:rsidRPr="001005B7">
        <w:rPr>
          <w:i/>
          <w:iCs/>
          <w:lang w:eastAsia="en-GB"/>
        </w:rPr>
        <w:t xml:space="preserve"> </w:t>
      </w:r>
      <w:r w:rsidR="004F55A1" w:rsidRPr="001005B7">
        <w:rPr>
          <w:lang w:eastAsia="en-GB"/>
        </w:rPr>
        <w:t>people</w:t>
      </w:r>
      <w:r w:rsidR="00E24D1A" w:rsidRPr="001005B7">
        <w:rPr>
          <w:lang w:eastAsia="en-GB"/>
        </w:rPr>
        <w:t>”</w:t>
      </w:r>
      <w:r w:rsidR="004F55A1" w:rsidRPr="001005B7">
        <w:rPr>
          <w:lang w:eastAsia="en-GB"/>
        </w:rPr>
        <w:t xml:space="preserve"> </w:t>
      </w:r>
      <w:r w:rsidR="00201335" w:rsidRPr="001005B7">
        <w:rPr>
          <w:lang w:eastAsia="en-GB"/>
        </w:rPr>
        <w:t xml:space="preserve">sounds like </w:t>
      </w:r>
      <w:r w:rsidR="004F55A1" w:rsidRPr="001005B7">
        <w:rPr>
          <w:lang w:eastAsia="en-GB"/>
        </w:rPr>
        <w:t xml:space="preserve">people in </w:t>
      </w:r>
      <w:proofErr w:type="spellStart"/>
      <w:r w:rsidR="004F55A1" w:rsidRPr="001005B7">
        <w:rPr>
          <w:lang w:eastAsia="en-GB"/>
        </w:rPr>
        <w:t>Kebar</w:t>
      </w:r>
      <w:proofErr w:type="spellEnd"/>
      <w:r w:rsidR="004F55A1" w:rsidRPr="001005B7">
        <w:rPr>
          <w:lang w:eastAsia="en-GB"/>
        </w:rPr>
        <w:t xml:space="preserve">, </w:t>
      </w:r>
      <w:r w:rsidR="00E05999" w:rsidRPr="001005B7">
        <w:rPr>
          <w:lang w:eastAsia="en-GB"/>
        </w:rPr>
        <w:t>Ezekiel’s</w:t>
      </w:r>
      <w:r w:rsidR="004F55A1" w:rsidRPr="001005B7">
        <w:rPr>
          <w:lang w:eastAsia="en-GB"/>
        </w:rPr>
        <w:t xml:space="preserve"> family that had been taken off as forced migrants in 597</w:t>
      </w:r>
      <w:r w:rsidR="004E762F">
        <w:rPr>
          <w:lang w:eastAsia="en-GB"/>
        </w:rPr>
        <w:t>,</w:t>
      </w:r>
      <w:r w:rsidR="004F55A1" w:rsidRPr="001005B7">
        <w:rPr>
          <w:lang w:eastAsia="en-GB"/>
        </w:rPr>
        <w:t xml:space="preserve"> </w:t>
      </w:r>
      <w:r w:rsidR="00F604F8" w:rsidRPr="001005B7">
        <w:rPr>
          <w:lang w:eastAsia="en-GB"/>
        </w:rPr>
        <w:t>and perhaps</w:t>
      </w:r>
      <w:r w:rsidR="004F55A1" w:rsidRPr="001005B7">
        <w:rPr>
          <w:lang w:eastAsia="en-GB"/>
        </w:rPr>
        <w:t xml:space="preserve"> the </w:t>
      </w:r>
      <w:r w:rsidR="00B46B1E" w:rsidRPr="001005B7">
        <w:rPr>
          <w:lang w:eastAsia="en-GB"/>
        </w:rPr>
        <w:t>wi</w:t>
      </w:r>
      <w:r w:rsidR="004F55A1" w:rsidRPr="001005B7">
        <w:rPr>
          <w:lang w:eastAsia="en-GB"/>
        </w:rPr>
        <w:t>der community there</w:t>
      </w:r>
      <w:r w:rsidR="00201335" w:rsidRPr="001005B7">
        <w:rPr>
          <w:lang w:eastAsia="en-GB"/>
        </w:rPr>
        <w:t xml:space="preserve">. </w:t>
      </w:r>
      <w:r w:rsidR="00A16AF8" w:rsidRPr="001005B7">
        <w:rPr>
          <w:lang w:eastAsia="en-GB"/>
        </w:rPr>
        <w:t xml:space="preserve">“Israel’s household” could </w:t>
      </w:r>
      <w:r w:rsidR="000335A7">
        <w:rPr>
          <w:lang w:eastAsia="en-GB"/>
        </w:rPr>
        <w:t xml:space="preserve">also </w:t>
      </w:r>
      <w:r w:rsidR="00A16AF8" w:rsidRPr="001005B7">
        <w:rPr>
          <w:lang w:eastAsia="en-GB"/>
        </w:rPr>
        <w:t>denote the community there, as it often does</w:t>
      </w:r>
      <w:r w:rsidR="008D2A86" w:rsidRPr="001005B7">
        <w:rPr>
          <w:lang w:eastAsia="en-GB"/>
        </w:rPr>
        <w:t>.</w:t>
      </w:r>
      <w:r w:rsidR="00A16AF8" w:rsidRPr="001005B7">
        <w:rPr>
          <w:lang w:eastAsia="en-GB"/>
        </w:rPr>
        <w:t xml:space="preserve"> </w:t>
      </w:r>
      <w:r w:rsidR="00AC46ED" w:rsidRPr="001005B7">
        <w:rPr>
          <w:lang w:eastAsia="en-GB"/>
        </w:rPr>
        <w:t>Yet</w:t>
      </w:r>
      <w:r w:rsidR="00660AEE" w:rsidRPr="001005B7">
        <w:rPr>
          <w:lang w:eastAsia="en-GB"/>
        </w:rPr>
        <w:t xml:space="preserve"> </w:t>
      </w:r>
      <w:r w:rsidR="008D2A86" w:rsidRPr="001005B7">
        <w:rPr>
          <w:lang w:eastAsia="en-GB"/>
        </w:rPr>
        <w:t xml:space="preserve">in 11:5 </w:t>
      </w:r>
      <w:r w:rsidR="00660AEE" w:rsidRPr="001005B7">
        <w:rPr>
          <w:lang w:eastAsia="en-GB"/>
        </w:rPr>
        <w:t xml:space="preserve">Ezekiel </w:t>
      </w:r>
      <w:r w:rsidR="008D2A86" w:rsidRPr="001005B7">
        <w:rPr>
          <w:lang w:eastAsia="en-GB"/>
        </w:rPr>
        <w:t xml:space="preserve">used the phrase of the </w:t>
      </w:r>
      <w:r w:rsidR="00060CA4" w:rsidRPr="001005B7">
        <w:rPr>
          <w:lang w:eastAsia="en-GB"/>
        </w:rPr>
        <w:t>Jerusalemites</w:t>
      </w:r>
      <w:r w:rsidR="00F44E26" w:rsidRPr="001005B7">
        <w:rPr>
          <w:lang w:eastAsia="en-GB"/>
        </w:rPr>
        <w:t xml:space="preserve">, and </w:t>
      </w:r>
      <w:r w:rsidR="00FB1DB5" w:rsidRPr="001005B7">
        <w:rPr>
          <w:lang w:eastAsia="en-GB"/>
        </w:rPr>
        <w:t>in general</w:t>
      </w:r>
      <w:r w:rsidR="008F76D4" w:rsidRPr="001005B7">
        <w:rPr>
          <w:lang w:eastAsia="en-GB"/>
        </w:rPr>
        <w:t xml:space="preserve"> “Israel’s</w:t>
      </w:r>
      <w:r w:rsidR="008F76D4" w:rsidRPr="001005B7">
        <w:rPr>
          <w:i/>
          <w:iCs/>
          <w:lang w:eastAsia="en-GB"/>
        </w:rPr>
        <w:t xml:space="preserve"> </w:t>
      </w:r>
      <w:r w:rsidR="008F76D4" w:rsidRPr="001005B7">
        <w:rPr>
          <w:lang w:eastAsia="en-GB"/>
        </w:rPr>
        <w:t>entire</w:t>
      </w:r>
      <w:r w:rsidR="008F76D4" w:rsidRPr="001005B7">
        <w:rPr>
          <w:i/>
          <w:iCs/>
          <w:lang w:eastAsia="en-GB"/>
        </w:rPr>
        <w:t xml:space="preserve"> </w:t>
      </w:r>
      <w:r w:rsidR="008F76D4" w:rsidRPr="001005B7">
        <w:rPr>
          <w:lang w:eastAsia="en-GB"/>
        </w:rPr>
        <w:t>household” must denote something broader</w:t>
      </w:r>
      <w:r w:rsidR="00DA3342" w:rsidRPr="001005B7">
        <w:rPr>
          <w:lang w:eastAsia="en-GB"/>
        </w:rPr>
        <w:t xml:space="preserve"> than the people in one location or the other</w:t>
      </w:r>
      <w:r w:rsidR="00660AEE" w:rsidRPr="001005B7">
        <w:rPr>
          <w:lang w:eastAsia="en-GB"/>
        </w:rPr>
        <w:t xml:space="preserve">. </w:t>
      </w:r>
    </w:p>
    <w:p w14:paraId="7B43201C" w14:textId="0D201F12" w:rsidR="00D338B0" w:rsidRPr="001005B7" w:rsidRDefault="00D338B0" w:rsidP="001E5EDC">
      <w:pPr>
        <w:rPr>
          <w:lang w:eastAsia="en-GB"/>
        </w:rPr>
      </w:pPr>
      <w:r w:rsidRPr="001005B7">
        <w:rPr>
          <w:lang w:eastAsia="en-GB"/>
        </w:rPr>
        <w:t>H</w:t>
      </w:r>
      <w:r w:rsidR="00FB1DB5" w:rsidRPr="001005B7">
        <w:rPr>
          <w:lang w:eastAsia="en-GB"/>
        </w:rPr>
        <w:t xml:space="preserve">ere, </w:t>
      </w:r>
      <w:r w:rsidR="00382EAC" w:rsidRPr="001005B7">
        <w:rPr>
          <w:lang w:eastAsia="en-GB"/>
        </w:rPr>
        <w:t xml:space="preserve">ironically, </w:t>
      </w:r>
      <w:r w:rsidR="00C46955" w:rsidRPr="001005B7">
        <w:rPr>
          <w:lang w:eastAsia="en-GB"/>
        </w:rPr>
        <w:t xml:space="preserve">Ezekiel uses the </w:t>
      </w:r>
      <w:r w:rsidR="00382EAC" w:rsidRPr="001005B7">
        <w:rPr>
          <w:lang w:eastAsia="en-GB"/>
        </w:rPr>
        <w:t xml:space="preserve">phrase </w:t>
      </w:r>
      <w:r w:rsidR="00064876" w:rsidRPr="001005B7">
        <w:rPr>
          <w:lang w:eastAsia="en-GB"/>
        </w:rPr>
        <w:t>in connection with the way</w:t>
      </w:r>
      <w:r w:rsidR="008023B8" w:rsidRPr="001005B7">
        <w:rPr>
          <w:lang w:eastAsia="en-GB"/>
        </w:rPr>
        <w:t xml:space="preserve"> </w:t>
      </w:r>
      <w:r w:rsidR="008E3E08" w:rsidRPr="001005B7">
        <w:rPr>
          <w:lang w:eastAsia="en-GB"/>
        </w:rPr>
        <w:t>the Jerusalemites discount</w:t>
      </w:r>
      <w:r w:rsidR="00064876" w:rsidRPr="001005B7">
        <w:rPr>
          <w:lang w:eastAsia="en-GB"/>
        </w:rPr>
        <w:t xml:space="preserve"> </w:t>
      </w:r>
      <w:r w:rsidR="00F05F70" w:rsidRPr="001005B7">
        <w:rPr>
          <w:lang w:eastAsia="en-GB"/>
        </w:rPr>
        <w:t>the exiles.</w:t>
      </w:r>
      <w:r w:rsidR="008201CD" w:rsidRPr="001005B7">
        <w:rPr>
          <w:lang w:eastAsia="en-GB"/>
        </w:rPr>
        <w:t xml:space="preserve"> The Jerusalemites indeed see themselves as the good figs, the figs with a future</w:t>
      </w:r>
      <w:r w:rsidR="00031ADD" w:rsidRPr="001005B7">
        <w:rPr>
          <w:lang w:eastAsia="en-GB"/>
        </w:rPr>
        <w:t xml:space="preserve">. The country </w:t>
      </w:r>
      <w:r w:rsidR="00CC61F4" w:rsidRPr="001005B7">
        <w:rPr>
          <w:lang w:eastAsia="en-GB"/>
        </w:rPr>
        <w:t xml:space="preserve">of Canaan has been given to them </w:t>
      </w:r>
      <w:r w:rsidR="005818B7" w:rsidRPr="001005B7">
        <w:rPr>
          <w:lang w:eastAsia="en-GB"/>
        </w:rPr>
        <w:t>“</w:t>
      </w:r>
      <w:r w:rsidR="00CC61F4" w:rsidRPr="001005B7">
        <w:rPr>
          <w:lang w:eastAsia="en-GB"/>
        </w:rPr>
        <w:t>as</w:t>
      </w:r>
      <w:r w:rsidR="005818B7" w:rsidRPr="001005B7">
        <w:rPr>
          <w:lang w:eastAsia="en-GB"/>
        </w:rPr>
        <w:t xml:space="preserve"> a</w:t>
      </w:r>
      <w:r w:rsidR="00CC61F4" w:rsidRPr="001005B7">
        <w:rPr>
          <w:i/>
          <w:iCs/>
          <w:lang w:eastAsia="en-GB"/>
        </w:rPr>
        <w:t xml:space="preserve"> </w:t>
      </w:r>
      <w:r w:rsidR="00CC61F4" w:rsidRPr="001005B7">
        <w:rPr>
          <w:lang w:eastAsia="en-GB"/>
        </w:rPr>
        <w:t>possession</w:t>
      </w:r>
      <w:r w:rsidR="004B6847">
        <w:rPr>
          <w:lang w:eastAsia="en-GB"/>
        </w:rPr>
        <w:t>.</w:t>
      </w:r>
      <w:r w:rsidR="000051C4" w:rsidRPr="001005B7">
        <w:rPr>
          <w:lang w:eastAsia="en-GB"/>
        </w:rPr>
        <w:t>”</w:t>
      </w:r>
      <w:r w:rsidR="00CC61F4" w:rsidRPr="001005B7">
        <w:rPr>
          <w:lang w:eastAsia="en-GB"/>
        </w:rPr>
        <w:t xml:space="preserve"> </w:t>
      </w:r>
      <w:r w:rsidR="00D81DEF" w:rsidRPr="001005B7">
        <w:rPr>
          <w:lang w:eastAsia="en-GB"/>
        </w:rPr>
        <w:t xml:space="preserve">Ezekiel </w:t>
      </w:r>
      <w:r w:rsidR="00500EF8" w:rsidRPr="001005B7">
        <w:rPr>
          <w:lang w:eastAsia="en-GB"/>
        </w:rPr>
        <w:t>uses another rare word from a familiar root (</w:t>
      </w:r>
      <w:r w:rsidR="00802234" w:rsidRPr="001005B7">
        <w:rPr>
          <w:rFonts w:cstheme="minorHAnsi"/>
          <w:rtl/>
          <w:lang w:eastAsia="en-GB" w:bidi="he-IL"/>
        </w:rPr>
        <w:t>מוֺרָשׁ</w:t>
      </w:r>
      <w:r w:rsidR="00076DFD" w:rsidRPr="001005B7">
        <w:rPr>
          <w:rFonts w:cstheme="minorHAnsi"/>
          <w:rtl/>
          <w:lang w:eastAsia="en-GB" w:bidi="he-IL"/>
        </w:rPr>
        <w:t>ָה</w:t>
      </w:r>
      <w:r w:rsidR="00076DFD" w:rsidRPr="001005B7">
        <w:rPr>
          <w:lang w:eastAsia="en-GB"/>
        </w:rPr>
        <w:t xml:space="preserve"> from </w:t>
      </w:r>
      <w:r w:rsidR="00625347" w:rsidRPr="001005B7">
        <w:rPr>
          <w:rFonts w:cstheme="minorHAnsi"/>
          <w:rtl/>
          <w:lang w:eastAsia="en-GB" w:bidi="he-IL"/>
        </w:rPr>
        <w:t>יָר</w:t>
      </w:r>
      <w:r w:rsidR="005E46FD" w:rsidRPr="001005B7">
        <w:rPr>
          <w:rFonts w:cstheme="minorHAnsi"/>
          <w:rtl/>
          <w:lang w:eastAsia="en-GB" w:bidi="he-IL"/>
        </w:rPr>
        <w:t>ַשׁ</w:t>
      </w:r>
      <w:r w:rsidR="005E46FD" w:rsidRPr="001005B7">
        <w:rPr>
          <w:lang w:eastAsia="en-GB"/>
        </w:rPr>
        <w:t>)</w:t>
      </w:r>
      <w:r w:rsidR="00DD6A90" w:rsidRPr="001005B7">
        <w:rPr>
          <w:lang w:eastAsia="en-GB"/>
        </w:rPr>
        <w:t xml:space="preserve">, one that he uses seven times, that appears once elsewhere in a different connection (Deut </w:t>
      </w:r>
      <w:r w:rsidR="00D5550D" w:rsidRPr="001005B7">
        <w:rPr>
          <w:lang w:eastAsia="en-GB"/>
        </w:rPr>
        <w:t>33:4), and once in Exod 6:8 to denote the promise of Canaan to the Israelites in Egypt</w:t>
      </w:r>
      <w:r w:rsidR="005C2153" w:rsidRPr="001005B7">
        <w:rPr>
          <w:lang w:eastAsia="en-GB"/>
        </w:rPr>
        <w:t xml:space="preserve"> (the </w:t>
      </w:r>
      <w:r w:rsidR="00FC37D3">
        <w:rPr>
          <w:lang w:eastAsia="en-GB"/>
        </w:rPr>
        <w:t xml:space="preserve">related </w:t>
      </w:r>
      <w:r w:rsidR="005C2153" w:rsidRPr="001005B7">
        <w:rPr>
          <w:lang w:eastAsia="en-GB"/>
        </w:rPr>
        <w:t xml:space="preserve">verb commonly refers to Israel </w:t>
      </w:r>
      <w:r w:rsidR="009D3D15" w:rsidRPr="001005B7">
        <w:rPr>
          <w:lang w:eastAsia="en-GB"/>
        </w:rPr>
        <w:t>possessing the land). So the</w:t>
      </w:r>
      <w:r w:rsidR="000051C4" w:rsidRPr="001005B7">
        <w:rPr>
          <w:lang w:eastAsia="en-GB"/>
        </w:rPr>
        <w:t xml:space="preserve"> Jerusalemites</w:t>
      </w:r>
      <w:r w:rsidR="009D3D15" w:rsidRPr="001005B7">
        <w:rPr>
          <w:lang w:eastAsia="en-GB"/>
        </w:rPr>
        <w:t xml:space="preserve"> are claiming exclusive possession of the land promised to the entire people. The </w:t>
      </w:r>
      <w:proofErr w:type="spellStart"/>
      <w:r w:rsidR="009D3D15" w:rsidRPr="001005B7">
        <w:rPr>
          <w:lang w:eastAsia="en-GB"/>
        </w:rPr>
        <w:t>Kebarites</w:t>
      </w:r>
      <w:proofErr w:type="spellEnd"/>
      <w:r w:rsidR="009D3D15" w:rsidRPr="001005B7">
        <w:rPr>
          <w:lang w:eastAsia="en-GB"/>
        </w:rPr>
        <w:t xml:space="preserve"> don’t count. Yahweh has </w:t>
      </w:r>
      <w:r w:rsidR="00952DE0" w:rsidRPr="001005B7">
        <w:rPr>
          <w:lang w:eastAsia="en-GB"/>
        </w:rPr>
        <w:t>sent them away from him and they should stay away.</w:t>
      </w:r>
      <w:r w:rsidR="00BE377A" w:rsidRPr="001005B7">
        <w:rPr>
          <w:lang w:eastAsia="en-GB"/>
        </w:rPr>
        <w:t xml:space="preserve"> </w:t>
      </w:r>
      <w:r w:rsidR="00B66006" w:rsidRPr="001005B7">
        <w:rPr>
          <w:lang w:eastAsia="en-GB"/>
        </w:rPr>
        <w:t xml:space="preserve">The Jerusalemites might have practical reasons for </w:t>
      </w:r>
      <w:r w:rsidR="00E4631A" w:rsidRPr="001005B7">
        <w:rPr>
          <w:lang w:eastAsia="en-GB"/>
        </w:rPr>
        <w:t>hoping that the people in Babylon</w:t>
      </w:r>
      <w:r w:rsidR="00F135B2" w:rsidRPr="001005B7">
        <w:rPr>
          <w:lang w:eastAsia="en-GB"/>
        </w:rPr>
        <w:t>ia</w:t>
      </w:r>
      <w:r w:rsidR="00E4631A" w:rsidRPr="001005B7">
        <w:rPr>
          <w:lang w:eastAsia="en-GB"/>
        </w:rPr>
        <w:t xml:space="preserve"> would never come back, if they are occupying their houses</w:t>
      </w:r>
      <w:r w:rsidR="00151272" w:rsidRPr="001005B7">
        <w:rPr>
          <w:lang w:eastAsia="en-GB"/>
        </w:rPr>
        <w:t xml:space="preserve"> (</w:t>
      </w:r>
      <w:r w:rsidR="003D021F" w:rsidRPr="001005B7">
        <w:rPr>
          <w:lang w:eastAsia="en-GB"/>
        </w:rPr>
        <w:t>11:</w:t>
      </w:r>
      <w:r w:rsidR="00151272" w:rsidRPr="001005B7">
        <w:rPr>
          <w:lang w:eastAsia="en-GB"/>
        </w:rPr>
        <w:t>3) and farming their land</w:t>
      </w:r>
      <w:r w:rsidR="00E4631A" w:rsidRPr="001005B7">
        <w:rPr>
          <w:lang w:eastAsia="en-GB"/>
        </w:rPr>
        <w:t xml:space="preserve"> </w:t>
      </w:r>
      <w:r w:rsidR="00151272" w:rsidRPr="001005B7">
        <w:rPr>
          <w:lang w:eastAsia="en-GB"/>
        </w:rPr>
        <w:t>(</w:t>
      </w:r>
      <w:proofErr w:type="spellStart"/>
      <w:r w:rsidR="00151272" w:rsidRPr="001005B7">
        <w:rPr>
          <w:lang w:eastAsia="en-GB"/>
        </w:rPr>
        <w:t>Zimmerli</w:t>
      </w:r>
      <w:proofErr w:type="spellEnd"/>
      <w:r w:rsidR="00ED6145" w:rsidRPr="001005B7">
        <w:rPr>
          <w:lang w:eastAsia="en-GB"/>
        </w:rPr>
        <w:t>,</w:t>
      </w:r>
      <w:r w:rsidR="00151272" w:rsidRPr="001005B7">
        <w:rPr>
          <w:lang w:eastAsia="en-GB"/>
        </w:rPr>
        <w:t xml:space="preserve"> 1:261)</w:t>
      </w:r>
      <w:r w:rsidR="0037408E" w:rsidRPr="001005B7">
        <w:rPr>
          <w:lang w:eastAsia="en-GB"/>
        </w:rPr>
        <w:t>.</w:t>
      </w:r>
    </w:p>
    <w:p w14:paraId="4081E48E" w14:textId="3329CD60" w:rsidR="006670B5" w:rsidRPr="001005B7" w:rsidRDefault="00A95D67" w:rsidP="001E5EDC">
      <w:pPr>
        <w:rPr>
          <w:lang w:eastAsia="en-GB"/>
        </w:rPr>
      </w:pPr>
      <w:r w:rsidRPr="001005B7">
        <w:rPr>
          <w:lang w:eastAsia="en-GB"/>
        </w:rPr>
        <w:t>While</w:t>
      </w:r>
      <w:r w:rsidR="00CD100E" w:rsidRPr="001005B7">
        <w:rPr>
          <w:lang w:eastAsia="en-GB"/>
        </w:rPr>
        <w:t xml:space="preserve"> </w:t>
      </w:r>
      <w:r w:rsidR="003D021F" w:rsidRPr="001005B7">
        <w:rPr>
          <w:lang w:eastAsia="en-GB"/>
        </w:rPr>
        <w:t>11:</w:t>
      </w:r>
      <w:r w:rsidR="00CD100E" w:rsidRPr="001005B7">
        <w:rPr>
          <w:lang w:eastAsia="en-GB"/>
        </w:rPr>
        <w:t xml:space="preserve">14 </w:t>
      </w:r>
      <w:r w:rsidR="00DC315F" w:rsidRPr="001005B7">
        <w:rPr>
          <w:lang w:eastAsia="en-GB"/>
        </w:rPr>
        <w:t>incorporat</w:t>
      </w:r>
      <w:r w:rsidR="00CD100E" w:rsidRPr="001005B7">
        <w:rPr>
          <w:lang w:eastAsia="en-GB"/>
        </w:rPr>
        <w:t xml:space="preserve">es a </w:t>
      </w:r>
      <w:r w:rsidR="00F83503" w:rsidRPr="001005B7">
        <w:rPr>
          <w:lang w:eastAsia="en-GB"/>
        </w:rPr>
        <w:t xml:space="preserve">puzzling </w:t>
      </w:r>
      <w:r w:rsidR="00CD100E" w:rsidRPr="001005B7">
        <w:rPr>
          <w:lang w:eastAsia="en-GB"/>
        </w:rPr>
        <w:t xml:space="preserve">sequence of noun </w:t>
      </w:r>
      <w:r w:rsidR="000B3AF9" w:rsidRPr="001005B7">
        <w:rPr>
          <w:lang w:eastAsia="en-GB"/>
        </w:rPr>
        <w:t>expressions</w:t>
      </w:r>
      <w:r w:rsidRPr="001005B7">
        <w:rPr>
          <w:lang w:eastAsia="en-GB"/>
        </w:rPr>
        <w:t>,</w:t>
      </w:r>
      <w:r w:rsidR="002E46B5" w:rsidRPr="001005B7">
        <w:rPr>
          <w:lang w:eastAsia="en-GB"/>
        </w:rPr>
        <w:t xml:space="preserve"> the puzzle is not merely a </w:t>
      </w:r>
      <w:r w:rsidR="00A91C0A" w:rsidRPr="001005B7">
        <w:rPr>
          <w:lang w:eastAsia="en-GB"/>
        </w:rPr>
        <w:t>syntactical one. The syntactical puzzle corresponds to a theological one</w:t>
      </w:r>
      <w:r w:rsidR="004D11F2" w:rsidRPr="001005B7">
        <w:rPr>
          <w:lang w:eastAsia="en-GB"/>
        </w:rPr>
        <w:t xml:space="preserve">, the </w:t>
      </w:r>
      <w:r w:rsidR="00B53D2D" w:rsidRPr="001005B7">
        <w:rPr>
          <w:lang w:eastAsia="en-GB"/>
        </w:rPr>
        <w:t>puzzle</w:t>
      </w:r>
      <w:r w:rsidR="004D11F2" w:rsidRPr="001005B7">
        <w:rPr>
          <w:lang w:eastAsia="en-GB"/>
        </w:rPr>
        <w:t xml:space="preserve"> also assumed in 9:8</w:t>
      </w:r>
      <w:r w:rsidR="00F46900" w:rsidRPr="001005B7">
        <w:rPr>
          <w:lang w:eastAsia="en-GB"/>
        </w:rPr>
        <w:t>–</w:t>
      </w:r>
      <w:r w:rsidR="004D11F2" w:rsidRPr="001005B7">
        <w:rPr>
          <w:lang w:eastAsia="en-GB"/>
        </w:rPr>
        <w:t>10.</w:t>
      </w:r>
      <w:r w:rsidR="00B53D2D" w:rsidRPr="001005B7">
        <w:rPr>
          <w:lang w:eastAsia="en-GB"/>
        </w:rPr>
        <w:t xml:space="preserve"> </w:t>
      </w:r>
      <w:r w:rsidR="003E1949" w:rsidRPr="001005B7">
        <w:rPr>
          <w:lang w:eastAsia="en-GB"/>
        </w:rPr>
        <w:t xml:space="preserve">There is such a thing as </w:t>
      </w:r>
      <w:r w:rsidR="00681296">
        <w:rPr>
          <w:lang w:eastAsia="en-GB"/>
        </w:rPr>
        <w:t>Israel’s</w:t>
      </w:r>
      <w:r w:rsidR="003E1949" w:rsidRPr="001005B7">
        <w:rPr>
          <w:lang w:eastAsia="en-GB"/>
        </w:rPr>
        <w:t xml:space="preserve"> entire household</w:t>
      </w:r>
      <w:r w:rsidR="00BF7934" w:rsidRPr="001005B7">
        <w:rPr>
          <w:lang w:eastAsia="en-GB"/>
        </w:rPr>
        <w:t xml:space="preserve">, which once embraced Ephraim and Judah and now embraces </w:t>
      </w:r>
      <w:r w:rsidR="00DE2C30" w:rsidRPr="001005B7">
        <w:rPr>
          <w:lang w:eastAsia="en-GB"/>
        </w:rPr>
        <w:t>people in Judah and people in Babylon</w:t>
      </w:r>
      <w:r w:rsidR="00844250" w:rsidRPr="001005B7">
        <w:rPr>
          <w:lang w:eastAsia="en-GB"/>
        </w:rPr>
        <w:t>ia</w:t>
      </w:r>
      <w:r w:rsidR="003325F3" w:rsidRPr="001005B7">
        <w:rPr>
          <w:lang w:eastAsia="en-GB"/>
        </w:rPr>
        <w:t xml:space="preserve"> (</w:t>
      </w:r>
      <w:proofErr w:type="spellStart"/>
      <w:r w:rsidR="009C7B06" w:rsidRPr="001005B7">
        <w:rPr>
          <w:lang w:eastAsia="en-GB"/>
        </w:rPr>
        <w:t>Qimhi</w:t>
      </w:r>
      <w:proofErr w:type="spellEnd"/>
      <w:r w:rsidR="0034722F" w:rsidRPr="001005B7">
        <w:rPr>
          <w:lang w:eastAsia="en-GB"/>
        </w:rPr>
        <w:t>,</w:t>
      </w:r>
      <w:r w:rsidR="009C7B06" w:rsidRPr="001005B7">
        <w:rPr>
          <w:lang w:eastAsia="en-GB"/>
        </w:rPr>
        <w:t xml:space="preserve"> </w:t>
      </w:r>
      <w:r w:rsidR="00F653AF" w:rsidRPr="001005B7">
        <w:rPr>
          <w:lang w:eastAsia="en-GB"/>
        </w:rPr>
        <w:t>in MG</w:t>
      </w:r>
      <w:r w:rsidR="0034722F" w:rsidRPr="001005B7">
        <w:rPr>
          <w:lang w:eastAsia="en-GB"/>
        </w:rPr>
        <w:t>,</w:t>
      </w:r>
      <w:r w:rsidR="00F653AF" w:rsidRPr="001005B7">
        <w:rPr>
          <w:lang w:eastAsia="en-GB"/>
        </w:rPr>
        <w:t xml:space="preserve"> </w:t>
      </w:r>
      <w:r w:rsidR="009C7B06" w:rsidRPr="001005B7">
        <w:rPr>
          <w:lang w:eastAsia="en-GB"/>
        </w:rPr>
        <w:t xml:space="preserve">thinks that </w:t>
      </w:r>
      <w:r w:rsidR="0042084A" w:rsidRPr="001005B7">
        <w:rPr>
          <w:lang w:eastAsia="en-GB"/>
        </w:rPr>
        <w:t>11:</w:t>
      </w:r>
      <w:r w:rsidR="00F653AF" w:rsidRPr="001005B7">
        <w:rPr>
          <w:lang w:eastAsia="en-GB"/>
        </w:rPr>
        <w:t>16 and 17 refer to Ephraim)</w:t>
      </w:r>
      <w:r w:rsidR="00DE2C30" w:rsidRPr="001005B7">
        <w:rPr>
          <w:lang w:eastAsia="en-GB"/>
        </w:rPr>
        <w:t xml:space="preserve">. The </w:t>
      </w:r>
      <w:r w:rsidR="000D1397" w:rsidRPr="001005B7">
        <w:rPr>
          <w:lang w:eastAsia="en-GB"/>
        </w:rPr>
        <w:t>people in Judah are inclined to discount the people in Babylon</w:t>
      </w:r>
      <w:r w:rsidR="00844250" w:rsidRPr="001005B7">
        <w:rPr>
          <w:lang w:eastAsia="en-GB"/>
        </w:rPr>
        <w:t>ia</w:t>
      </w:r>
      <w:r w:rsidR="000D1397" w:rsidRPr="001005B7">
        <w:rPr>
          <w:lang w:eastAsia="en-GB"/>
        </w:rPr>
        <w:t>.</w:t>
      </w:r>
      <w:r w:rsidR="00DE60BC" w:rsidRPr="001005B7">
        <w:rPr>
          <w:lang w:eastAsia="en-GB"/>
        </w:rPr>
        <w:t xml:space="preserve"> The people in Babylon</w:t>
      </w:r>
      <w:r w:rsidR="00844250" w:rsidRPr="001005B7">
        <w:rPr>
          <w:lang w:eastAsia="en-GB"/>
        </w:rPr>
        <w:t>ia</w:t>
      </w:r>
      <w:r w:rsidR="00DE60BC" w:rsidRPr="001005B7">
        <w:rPr>
          <w:lang w:eastAsia="en-GB"/>
        </w:rPr>
        <w:t xml:space="preserve"> might be inclined to return the compliment.</w:t>
      </w:r>
      <w:r w:rsidR="00BF7934" w:rsidRPr="001005B7">
        <w:rPr>
          <w:lang w:eastAsia="en-GB"/>
        </w:rPr>
        <w:t xml:space="preserve"> </w:t>
      </w:r>
      <w:r w:rsidR="00F5436C" w:rsidRPr="001005B7">
        <w:rPr>
          <w:lang w:eastAsia="en-GB"/>
        </w:rPr>
        <w:t xml:space="preserve">They have to remember that </w:t>
      </w:r>
      <w:r w:rsidR="00681296">
        <w:rPr>
          <w:lang w:eastAsia="en-GB"/>
        </w:rPr>
        <w:t>Israel’s</w:t>
      </w:r>
      <w:r w:rsidR="00F5436C" w:rsidRPr="001005B7">
        <w:rPr>
          <w:i/>
          <w:iCs/>
          <w:lang w:eastAsia="en-GB"/>
        </w:rPr>
        <w:t xml:space="preserve"> </w:t>
      </w:r>
      <w:r w:rsidR="00F5436C" w:rsidRPr="001005B7">
        <w:rPr>
          <w:lang w:eastAsia="en-GB"/>
        </w:rPr>
        <w:t>entire</w:t>
      </w:r>
      <w:r w:rsidR="00F5436C" w:rsidRPr="001005B7">
        <w:rPr>
          <w:i/>
          <w:iCs/>
          <w:lang w:eastAsia="en-GB"/>
        </w:rPr>
        <w:t xml:space="preserve"> </w:t>
      </w:r>
      <w:r w:rsidR="00F5436C" w:rsidRPr="001005B7">
        <w:rPr>
          <w:lang w:eastAsia="en-GB"/>
        </w:rPr>
        <w:t>household</w:t>
      </w:r>
      <w:r w:rsidR="00482269" w:rsidRPr="001005B7">
        <w:rPr>
          <w:lang w:eastAsia="en-GB"/>
        </w:rPr>
        <w:t>”</w:t>
      </w:r>
      <w:r w:rsidR="00F5436C" w:rsidRPr="001005B7">
        <w:rPr>
          <w:i/>
          <w:iCs/>
          <w:lang w:eastAsia="en-GB"/>
        </w:rPr>
        <w:t xml:space="preserve"> </w:t>
      </w:r>
      <w:r w:rsidR="00F5436C" w:rsidRPr="001005B7">
        <w:rPr>
          <w:lang w:eastAsia="en-GB"/>
        </w:rPr>
        <w:t>includes the Jerusalemites</w:t>
      </w:r>
      <w:r w:rsidR="006854C3" w:rsidRPr="001005B7">
        <w:rPr>
          <w:lang w:eastAsia="en-GB"/>
        </w:rPr>
        <w:t xml:space="preserve"> (cf. </w:t>
      </w:r>
      <w:r w:rsidR="003D021F" w:rsidRPr="001005B7">
        <w:rPr>
          <w:lang w:eastAsia="en-GB"/>
        </w:rPr>
        <w:t>11:</w:t>
      </w:r>
      <w:r w:rsidR="006854C3" w:rsidRPr="001005B7">
        <w:rPr>
          <w:lang w:eastAsia="en-GB"/>
        </w:rPr>
        <w:t>5)</w:t>
      </w:r>
      <w:r w:rsidR="00F5436C" w:rsidRPr="001005B7">
        <w:rPr>
          <w:lang w:eastAsia="en-GB"/>
        </w:rPr>
        <w:t xml:space="preserve">, as the Jerusalemites </w:t>
      </w:r>
      <w:r w:rsidR="00AB23B8" w:rsidRPr="001005B7">
        <w:rPr>
          <w:lang w:eastAsia="en-GB"/>
        </w:rPr>
        <w:t xml:space="preserve">have to remember that the </w:t>
      </w:r>
      <w:proofErr w:type="spellStart"/>
      <w:r w:rsidR="00AB23B8" w:rsidRPr="001005B7">
        <w:rPr>
          <w:lang w:eastAsia="en-GB"/>
        </w:rPr>
        <w:t>Kebarites</w:t>
      </w:r>
      <w:proofErr w:type="spellEnd"/>
      <w:r w:rsidR="00AB23B8" w:rsidRPr="001005B7">
        <w:rPr>
          <w:lang w:eastAsia="en-GB"/>
        </w:rPr>
        <w:t xml:space="preserve"> have a share in </w:t>
      </w:r>
      <w:r w:rsidR="0049196C" w:rsidRPr="001005B7">
        <w:rPr>
          <w:lang w:eastAsia="en-GB"/>
        </w:rPr>
        <w:t xml:space="preserve">Canaan as </w:t>
      </w:r>
      <w:r w:rsidR="00AB23B8" w:rsidRPr="001005B7">
        <w:rPr>
          <w:lang w:eastAsia="en-GB"/>
        </w:rPr>
        <w:t xml:space="preserve">the </w:t>
      </w:r>
      <w:r w:rsidR="0049196C" w:rsidRPr="001005B7">
        <w:rPr>
          <w:lang w:eastAsia="en-GB"/>
        </w:rPr>
        <w:t>entire people’s possession</w:t>
      </w:r>
      <w:r w:rsidR="0049196C" w:rsidRPr="001005B7">
        <w:rPr>
          <w:i/>
          <w:iCs/>
          <w:lang w:eastAsia="en-GB"/>
        </w:rPr>
        <w:t xml:space="preserve"> </w:t>
      </w:r>
      <w:r w:rsidR="0049196C" w:rsidRPr="001005B7">
        <w:rPr>
          <w:lang w:eastAsia="en-GB"/>
        </w:rPr>
        <w:t xml:space="preserve">and that they all belong together as </w:t>
      </w:r>
      <w:r w:rsidR="00423E99" w:rsidRPr="001005B7">
        <w:rPr>
          <w:lang w:eastAsia="en-GB"/>
        </w:rPr>
        <w:t xml:space="preserve">the </w:t>
      </w:r>
      <w:r w:rsidR="007C0659" w:rsidRPr="001005B7">
        <w:rPr>
          <w:lang w:eastAsia="en-GB"/>
        </w:rPr>
        <w:t>“</w:t>
      </w:r>
      <w:r w:rsidR="00423E99" w:rsidRPr="001005B7">
        <w:rPr>
          <w:lang w:eastAsia="en-GB"/>
        </w:rPr>
        <w:t>restoration</w:t>
      </w:r>
      <w:r w:rsidR="00423E99" w:rsidRPr="001005B7">
        <w:rPr>
          <w:i/>
          <w:iCs/>
          <w:lang w:eastAsia="en-GB"/>
        </w:rPr>
        <w:t xml:space="preserve"> </w:t>
      </w:r>
      <w:r w:rsidR="00423E99" w:rsidRPr="001005B7">
        <w:rPr>
          <w:lang w:eastAsia="en-GB"/>
        </w:rPr>
        <w:t>people.</w:t>
      </w:r>
      <w:r w:rsidR="007C0659" w:rsidRPr="001005B7">
        <w:rPr>
          <w:lang w:eastAsia="en-GB"/>
        </w:rPr>
        <w:t>”</w:t>
      </w:r>
    </w:p>
    <w:p w14:paraId="0F7415A6" w14:textId="1D8BCA15" w:rsidR="008849B7" w:rsidRPr="001005B7" w:rsidRDefault="008603DB" w:rsidP="009552A3">
      <w:r w:rsidRPr="001005B7">
        <w:rPr>
          <w:b/>
          <w:bCs/>
          <w:lang w:eastAsia="en-GB"/>
        </w:rPr>
        <w:t xml:space="preserve">11:16 </w:t>
      </w:r>
      <w:r w:rsidR="00652DB3" w:rsidRPr="001005B7">
        <w:rPr>
          <w:lang w:eastAsia="en-GB"/>
        </w:rPr>
        <w:t>T</w:t>
      </w:r>
      <w:r w:rsidR="005E1F18" w:rsidRPr="001005B7">
        <w:rPr>
          <w:lang w:eastAsia="en-GB"/>
        </w:rPr>
        <w:t xml:space="preserve">he Jerusalemites said, </w:t>
      </w:r>
      <w:r w:rsidR="00855A97" w:rsidRPr="001005B7">
        <w:rPr>
          <w:lang w:eastAsia="en-GB"/>
        </w:rPr>
        <w:t>“</w:t>
      </w:r>
      <w:r w:rsidR="005E1F18" w:rsidRPr="001005B7">
        <w:rPr>
          <w:lang w:eastAsia="en-GB"/>
        </w:rPr>
        <w:t>keep</w:t>
      </w:r>
      <w:r w:rsidR="005E1F18" w:rsidRPr="001005B7">
        <w:rPr>
          <w:i/>
          <w:iCs/>
          <w:lang w:eastAsia="en-GB"/>
        </w:rPr>
        <w:t xml:space="preserve"> </w:t>
      </w:r>
      <w:r w:rsidR="005E1F18" w:rsidRPr="001005B7">
        <w:rPr>
          <w:lang w:eastAsia="en-GB"/>
        </w:rPr>
        <w:t>far</w:t>
      </w:r>
      <w:r w:rsidR="005E1F18" w:rsidRPr="001005B7">
        <w:rPr>
          <w:i/>
          <w:iCs/>
          <w:lang w:eastAsia="en-GB"/>
        </w:rPr>
        <w:t xml:space="preserve"> </w:t>
      </w:r>
      <w:r w:rsidR="005E1F18" w:rsidRPr="001005B7">
        <w:rPr>
          <w:lang w:eastAsia="en-GB"/>
        </w:rPr>
        <w:t>away</w:t>
      </w:r>
      <w:r w:rsidR="00855A97" w:rsidRPr="001005B7">
        <w:rPr>
          <w:lang w:eastAsia="en-GB"/>
        </w:rPr>
        <w:t>”</w:t>
      </w:r>
      <w:r w:rsidR="00B1452B" w:rsidRPr="001005B7">
        <w:rPr>
          <w:lang w:eastAsia="en-GB"/>
        </w:rPr>
        <w:t xml:space="preserve"> (</w:t>
      </w:r>
      <w:r w:rsidR="002473A4" w:rsidRPr="001005B7">
        <w:rPr>
          <w:rFonts w:cstheme="minorHAnsi"/>
          <w:rtl/>
          <w:lang w:eastAsia="en-GB" w:bidi="he-IL"/>
        </w:rPr>
        <w:t>רׇ</w:t>
      </w:r>
      <w:r w:rsidR="00201808" w:rsidRPr="001005B7">
        <w:rPr>
          <w:rFonts w:cstheme="minorHAnsi"/>
          <w:rtl/>
          <w:lang w:eastAsia="en-GB" w:bidi="he-IL"/>
        </w:rPr>
        <w:t>חַק</w:t>
      </w:r>
      <w:r w:rsidR="00201808" w:rsidRPr="001005B7">
        <w:rPr>
          <w:lang w:eastAsia="en-GB"/>
        </w:rPr>
        <w:t xml:space="preserve">; </w:t>
      </w:r>
      <w:r w:rsidR="00B1452B" w:rsidRPr="001005B7">
        <w:rPr>
          <w:lang w:eastAsia="en-GB"/>
        </w:rPr>
        <w:t>11:15).</w:t>
      </w:r>
      <w:r w:rsidR="00652DB3" w:rsidRPr="001005B7">
        <w:rPr>
          <w:lang w:eastAsia="en-GB"/>
        </w:rPr>
        <w:t xml:space="preserve"> Yahweh </w:t>
      </w:r>
      <w:r w:rsidR="003F1664" w:rsidRPr="001005B7">
        <w:rPr>
          <w:lang w:eastAsia="en-GB"/>
        </w:rPr>
        <w:t xml:space="preserve">begins by </w:t>
      </w:r>
      <w:r w:rsidR="00652DB3" w:rsidRPr="001005B7">
        <w:rPr>
          <w:lang w:eastAsia="en-GB"/>
        </w:rPr>
        <w:t>pick</w:t>
      </w:r>
      <w:r w:rsidR="003F1664" w:rsidRPr="001005B7">
        <w:rPr>
          <w:lang w:eastAsia="en-GB"/>
        </w:rPr>
        <w:t>ing</w:t>
      </w:r>
      <w:r w:rsidR="00652DB3" w:rsidRPr="001005B7">
        <w:rPr>
          <w:lang w:eastAsia="en-GB"/>
        </w:rPr>
        <w:t xml:space="preserve"> up </w:t>
      </w:r>
      <w:r w:rsidR="005E1F18" w:rsidRPr="001005B7">
        <w:rPr>
          <w:lang w:eastAsia="en-GB"/>
        </w:rPr>
        <w:t>their verb</w:t>
      </w:r>
      <w:r w:rsidR="00DC6284" w:rsidRPr="001005B7">
        <w:rPr>
          <w:lang w:eastAsia="en-GB"/>
        </w:rPr>
        <w:t xml:space="preserve">. </w:t>
      </w:r>
      <w:r w:rsidR="008B5D60" w:rsidRPr="001005B7">
        <w:rPr>
          <w:lang w:eastAsia="en-GB"/>
        </w:rPr>
        <w:t xml:space="preserve">Yes, </w:t>
      </w:r>
      <w:r w:rsidR="00855A97" w:rsidRPr="001005B7">
        <w:rPr>
          <w:lang w:eastAsia="en-GB"/>
        </w:rPr>
        <w:t>“I</w:t>
      </w:r>
      <w:r w:rsidR="008B5D60" w:rsidRPr="001005B7">
        <w:rPr>
          <w:i/>
          <w:iCs/>
          <w:lang w:eastAsia="en-GB"/>
        </w:rPr>
        <w:t xml:space="preserve"> </w:t>
      </w:r>
      <w:r w:rsidR="008B5D60" w:rsidRPr="001005B7">
        <w:rPr>
          <w:lang w:eastAsia="en-GB"/>
        </w:rPr>
        <w:t>have</w:t>
      </w:r>
      <w:r w:rsidR="008B5D60" w:rsidRPr="001005B7">
        <w:rPr>
          <w:i/>
          <w:iCs/>
          <w:lang w:eastAsia="en-GB"/>
        </w:rPr>
        <w:t xml:space="preserve"> </w:t>
      </w:r>
      <w:r w:rsidR="008B5D60" w:rsidRPr="001005B7">
        <w:rPr>
          <w:lang w:eastAsia="en-GB"/>
        </w:rPr>
        <w:t>made</w:t>
      </w:r>
      <w:r w:rsidR="008B5D60" w:rsidRPr="001005B7">
        <w:rPr>
          <w:i/>
          <w:iCs/>
          <w:lang w:eastAsia="en-GB"/>
        </w:rPr>
        <w:t xml:space="preserve"> </w:t>
      </w:r>
      <w:r w:rsidR="008B5D60" w:rsidRPr="001005B7">
        <w:rPr>
          <w:lang w:eastAsia="en-GB"/>
        </w:rPr>
        <w:t>them</w:t>
      </w:r>
      <w:r w:rsidR="008B5D60" w:rsidRPr="001005B7">
        <w:rPr>
          <w:i/>
          <w:iCs/>
          <w:lang w:eastAsia="en-GB"/>
        </w:rPr>
        <w:t xml:space="preserve"> </w:t>
      </w:r>
      <w:r w:rsidR="008B5D60" w:rsidRPr="001005B7">
        <w:rPr>
          <w:lang w:eastAsia="en-GB"/>
        </w:rPr>
        <w:t>go</w:t>
      </w:r>
      <w:r w:rsidR="008B5D60" w:rsidRPr="001005B7">
        <w:rPr>
          <w:i/>
          <w:iCs/>
          <w:lang w:eastAsia="en-GB"/>
        </w:rPr>
        <w:t xml:space="preserve"> </w:t>
      </w:r>
      <w:r w:rsidR="0041205C" w:rsidRPr="001005B7">
        <w:rPr>
          <w:lang w:eastAsia="en-GB"/>
        </w:rPr>
        <w:t>far</w:t>
      </w:r>
      <w:r w:rsidR="0041205C" w:rsidRPr="001005B7">
        <w:rPr>
          <w:i/>
          <w:iCs/>
          <w:lang w:eastAsia="en-GB"/>
        </w:rPr>
        <w:t xml:space="preserve"> </w:t>
      </w:r>
      <w:r w:rsidR="0041205C" w:rsidRPr="001005B7">
        <w:rPr>
          <w:lang w:eastAsia="en-GB"/>
        </w:rPr>
        <w:t>away</w:t>
      </w:r>
      <w:r w:rsidR="00855A97" w:rsidRPr="001005B7">
        <w:rPr>
          <w:lang w:eastAsia="en-GB"/>
        </w:rPr>
        <w:t>”</w:t>
      </w:r>
      <w:r w:rsidR="00171DEA" w:rsidRPr="001005B7">
        <w:rPr>
          <w:lang w:eastAsia="en-GB"/>
        </w:rPr>
        <w:t xml:space="preserve"> and </w:t>
      </w:r>
      <w:r w:rsidR="00855A97" w:rsidRPr="001005B7">
        <w:rPr>
          <w:lang w:eastAsia="en-GB"/>
        </w:rPr>
        <w:t>“</w:t>
      </w:r>
      <w:r w:rsidR="00171DEA" w:rsidRPr="001005B7">
        <w:rPr>
          <w:lang w:eastAsia="en-GB"/>
        </w:rPr>
        <w:t>scattered</w:t>
      </w:r>
      <w:r w:rsidR="00171DEA" w:rsidRPr="001005B7">
        <w:rPr>
          <w:i/>
          <w:iCs/>
          <w:lang w:eastAsia="en-GB"/>
        </w:rPr>
        <w:t xml:space="preserve"> </w:t>
      </w:r>
      <w:r w:rsidR="00171DEA" w:rsidRPr="001005B7">
        <w:rPr>
          <w:lang w:eastAsia="en-GB"/>
        </w:rPr>
        <w:t>them.</w:t>
      </w:r>
      <w:r w:rsidR="00855A97" w:rsidRPr="001005B7">
        <w:rPr>
          <w:lang w:eastAsia="en-GB"/>
        </w:rPr>
        <w:t>”</w:t>
      </w:r>
      <w:r w:rsidR="00171DEA" w:rsidRPr="001005B7">
        <w:rPr>
          <w:lang w:eastAsia="en-GB"/>
        </w:rPr>
        <w:t xml:space="preserve"> But </w:t>
      </w:r>
      <w:r w:rsidR="000B40D4" w:rsidRPr="001005B7">
        <w:rPr>
          <w:lang w:eastAsia="en-GB"/>
        </w:rPr>
        <w:t>he doesn’t say “far away from me,” as the</w:t>
      </w:r>
      <w:r w:rsidR="00DE7488" w:rsidRPr="001005B7">
        <w:rPr>
          <w:lang w:eastAsia="en-GB"/>
        </w:rPr>
        <w:t xml:space="preserve"> Jerusalemites</w:t>
      </w:r>
      <w:r w:rsidR="000B40D4" w:rsidRPr="001005B7">
        <w:rPr>
          <w:lang w:eastAsia="en-GB"/>
        </w:rPr>
        <w:t xml:space="preserve"> did</w:t>
      </w:r>
      <w:r w:rsidR="00DE7488" w:rsidRPr="001005B7">
        <w:rPr>
          <w:lang w:eastAsia="en-GB"/>
        </w:rPr>
        <w:t xml:space="preserve">, only </w:t>
      </w:r>
      <w:r w:rsidR="00E147D5" w:rsidRPr="001005B7">
        <w:rPr>
          <w:lang w:eastAsia="en-GB"/>
        </w:rPr>
        <w:t>“</w:t>
      </w:r>
      <w:r w:rsidR="00DE7488" w:rsidRPr="001005B7">
        <w:rPr>
          <w:lang w:eastAsia="en-GB"/>
        </w:rPr>
        <w:t>far</w:t>
      </w:r>
      <w:r w:rsidR="00DE7488" w:rsidRPr="001005B7">
        <w:rPr>
          <w:i/>
          <w:iCs/>
          <w:lang w:eastAsia="en-GB"/>
        </w:rPr>
        <w:t xml:space="preserve"> </w:t>
      </w:r>
      <w:r w:rsidR="00DE7488" w:rsidRPr="001005B7">
        <w:rPr>
          <w:lang w:eastAsia="en-GB"/>
        </w:rPr>
        <w:t>away</w:t>
      </w:r>
      <w:r w:rsidR="00DE7488" w:rsidRPr="001005B7">
        <w:rPr>
          <w:i/>
          <w:iCs/>
          <w:lang w:eastAsia="en-GB"/>
        </w:rPr>
        <w:t xml:space="preserve"> </w:t>
      </w:r>
      <w:r w:rsidR="00DE7488" w:rsidRPr="001005B7">
        <w:rPr>
          <w:lang w:eastAsia="en-GB"/>
        </w:rPr>
        <w:t>among</w:t>
      </w:r>
      <w:r w:rsidR="00DE7488" w:rsidRPr="001005B7">
        <w:rPr>
          <w:i/>
          <w:iCs/>
          <w:lang w:eastAsia="en-GB"/>
        </w:rPr>
        <w:t xml:space="preserve"> </w:t>
      </w:r>
      <w:r w:rsidR="00DE7488" w:rsidRPr="001005B7">
        <w:rPr>
          <w:lang w:eastAsia="en-GB"/>
        </w:rPr>
        <w:t>the</w:t>
      </w:r>
      <w:r w:rsidR="00DE7488" w:rsidRPr="001005B7">
        <w:rPr>
          <w:i/>
          <w:iCs/>
          <w:lang w:eastAsia="en-GB"/>
        </w:rPr>
        <w:t xml:space="preserve"> </w:t>
      </w:r>
      <w:r w:rsidR="00DE7488" w:rsidRPr="001005B7">
        <w:rPr>
          <w:lang w:eastAsia="en-GB"/>
        </w:rPr>
        <w:t>nations</w:t>
      </w:r>
      <w:r w:rsidR="00DE7488" w:rsidRPr="001005B7">
        <w:rPr>
          <w:i/>
          <w:iCs/>
          <w:lang w:eastAsia="en-GB"/>
        </w:rPr>
        <w:t xml:space="preserve"> </w:t>
      </w:r>
      <w:r w:rsidR="00DE7488" w:rsidRPr="001005B7">
        <w:rPr>
          <w:lang w:eastAsia="en-GB"/>
        </w:rPr>
        <w:t>and</w:t>
      </w:r>
      <w:r w:rsidR="00C43EEF" w:rsidRPr="001005B7">
        <w:rPr>
          <w:lang w:eastAsia="en-GB"/>
        </w:rPr>
        <w:t xml:space="preserve">… </w:t>
      </w:r>
      <w:r w:rsidR="001578B6" w:rsidRPr="001005B7">
        <w:rPr>
          <w:lang w:eastAsia="en-GB"/>
        </w:rPr>
        <w:t xml:space="preserve">the </w:t>
      </w:r>
      <w:r w:rsidR="00DE7488" w:rsidRPr="001005B7">
        <w:rPr>
          <w:lang w:eastAsia="en-GB"/>
        </w:rPr>
        <w:t>peoples</w:t>
      </w:r>
      <w:r w:rsidR="00DE7488" w:rsidRPr="001005B7">
        <w:rPr>
          <w:i/>
          <w:iCs/>
          <w:lang w:eastAsia="en-GB"/>
        </w:rPr>
        <w:t>.</w:t>
      </w:r>
      <w:r w:rsidR="00E147D5" w:rsidRPr="001005B7">
        <w:rPr>
          <w:i/>
          <w:iCs/>
          <w:lang w:eastAsia="en-GB"/>
        </w:rPr>
        <w:t>”</w:t>
      </w:r>
      <w:r w:rsidR="00DE7488" w:rsidRPr="001005B7">
        <w:rPr>
          <w:i/>
          <w:iCs/>
          <w:lang w:eastAsia="en-GB"/>
        </w:rPr>
        <w:t xml:space="preserve"> </w:t>
      </w:r>
      <w:r w:rsidR="00EF64F1" w:rsidRPr="001005B7">
        <w:rPr>
          <w:lang w:eastAsia="en-GB"/>
        </w:rPr>
        <w:t xml:space="preserve">They are not far away from him: </w:t>
      </w:r>
      <w:r w:rsidR="005E77C6" w:rsidRPr="001005B7">
        <w:rPr>
          <w:lang w:eastAsia="en-GB"/>
        </w:rPr>
        <w:t>“I</w:t>
      </w:r>
      <w:r w:rsidR="00EF64F1" w:rsidRPr="001005B7">
        <w:rPr>
          <w:i/>
          <w:iCs/>
          <w:lang w:eastAsia="en-GB"/>
        </w:rPr>
        <w:t xml:space="preserve"> </w:t>
      </w:r>
      <w:r w:rsidR="00EF64F1" w:rsidRPr="001005B7">
        <w:rPr>
          <w:lang w:eastAsia="en-GB"/>
        </w:rPr>
        <w:t>have</w:t>
      </w:r>
      <w:r w:rsidR="00EF64F1" w:rsidRPr="001005B7">
        <w:rPr>
          <w:i/>
          <w:iCs/>
          <w:lang w:eastAsia="en-GB"/>
        </w:rPr>
        <w:t xml:space="preserve"> </w:t>
      </w:r>
      <w:r w:rsidR="00EF64F1" w:rsidRPr="001005B7">
        <w:rPr>
          <w:lang w:eastAsia="en-GB"/>
        </w:rPr>
        <w:t>become</w:t>
      </w:r>
      <w:r w:rsidR="00EF64F1" w:rsidRPr="001005B7">
        <w:rPr>
          <w:i/>
          <w:iCs/>
          <w:lang w:eastAsia="en-GB"/>
        </w:rPr>
        <w:t xml:space="preserve"> </w:t>
      </w:r>
      <w:r w:rsidR="00EF64F1" w:rsidRPr="001005B7">
        <w:rPr>
          <w:lang w:eastAsia="en-GB"/>
        </w:rPr>
        <w:t>for</w:t>
      </w:r>
      <w:r w:rsidR="00EF64F1" w:rsidRPr="001005B7">
        <w:rPr>
          <w:i/>
          <w:iCs/>
          <w:lang w:eastAsia="en-GB"/>
        </w:rPr>
        <w:t xml:space="preserve"> </w:t>
      </w:r>
      <w:r w:rsidR="00EF64F1" w:rsidRPr="001005B7">
        <w:rPr>
          <w:lang w:eastAsia="en-GB"/>
        </w:rPr>
        <w:t>them</w:t>
      </w:r>
      <w:r w:rsidR="005E77C6" w:rsidRPr="001005B7">
        <w:rPr>
          <w:lang w:eastAsia="en-GB"/>
        </w:rPr>
        <w:t xml:space="preserve"> a</w:t>
      </w:r>
      <w:r w:rsidR="00EF64F1" w:rsidRPr="001005B7">
        <w:rPr>
          <w:i/>
          <w:iCs/>
          <w:lang w:eastAsia="en-GB"/>
        </w:rPr>
        <w:t xml:space="preserve"> </w:t>
      </w:r>
      <w:r w:rsidR="00EF64F1" w:rsidRPr="001005B7">
        <w:rPr>
          <w:lang w:eastAsia="en-GB"/>
        </w:rPr>
        <w:t>sanctuary</w:t>
      </w:r>
      <w:r w:rsidR="00EF64F1" w:rsidRPr="001005B7">
        <w:rPr>
          <w:i/>
          <w:iCs/>
          <w:lang w:eastAsia="en-GB"/>
        </w:rPr>
        <w:t xml:space="preserve"> </w:t>
      </w:r>
      <w:r w:rsidR="00EF64F1" w:rsidRPr="001005B7">
        <w:rPr>
          <w:lang w:eastAsia="en-GB"/>
        </w:rPr>
        <w:t>for</w:t>
      </w:r>
      <w:r w:rsidR="00484350" w:rsidRPr="001005B7">
        <w:rPr>
          <w:lang w:eastAsia="en-GB"/>
        </w:rPr>
        <w:t xml:space="preserve"> a</w:t>
      </w:r>
      <w:r w:rsidR="00EF64F1" w:rsidRPr="001005B7">
        <w:rPr>
          <w:i/>
          <w:iCs/>
          <w:lang w:eastAsia="en-GB"/>
        </w:rPr>
        <w:t xml:space="preserve"> </w:t>
      </w:r>
      <w:r w:rsidR="00EF64F1" w:rsidRPr="001005B7">
        <w:rPr>
          <w:lang w:eastAsia="en-GB"/>
        </w:rPr>
        <w:t>little</w:t>
      </w:r>
      <w:r w:rsidR="00EF64F1" w:rsidRPr="001005B7">
        <w:rPr>
          <w:i/>
          <w:iCs/>
          <w:lang w:eastAsia="en-GB"/>
        </w:rPr>
        <w:t xml:space="preserve"> </w:t>
      </w:r>
      <w:r w:rsidR="00EF64F1" w:rsidRPr="001005B7">
        <w:rPr>
          <w:lang w:eastAsia="en-GB"/>
        </w:rPr>
        <w:t>while</w:t>
      </w:r>
      <w:r w:rsidR="00484350" w:rsidRPr="001005B7">
        <w:rPr>
          <w:lang w:eastAsia="en-GB"/>
        </w:rPr>
        <w:t>”</w:t>
      </w:r>
      <w:r w:rsidR="00C80F9A" w:rsidRPr="001005B7">
        <w:rPr>
          <w:lang w:eastAsia="en-GB"/>
        </w:rPr>
        <w:t xml:space="preserve"> (</w:t>
      </w:r>
      <w:r w:rsidR="00462BCF" w:rsidRPr="001005B7">
        <w:rPr>
          <w:rFonts w:cstheme="minorHAnsi"/>
          <w:rtl/>
          <w:lang w:eastAsia="en-GB" w:bidi="he-IL"/>
        </w:rPr>
        <w:t>מִקְד</w:t>
      </w:r>
      <w:r w:rsidR="00BB72EF" w:rsidRPr="001005B7">
        <w:rPr>
          <w:rFonts w:cstheme="minorHAnsi"/>
          <w:rtl/>
          <w:lang w:eastAsia="en-GB" w:bidi="he-IL"/>
        </w:rPr>
        <w:t>ׇּשׁ</w:t>
      </w:r>
      <w:r w:rsidR="000A00AA" w:rsidRPr="001005B7">
        <w:rPr>
          <w:rFonts w:cstheme="minorHAnsi"/>
          <w:rtl/>
          <w:lang w:eastAsia="en-GB" w:bidi="he-IL"/>
        </w:rPr>
        <w:t xml:space="preserve"> </w:t>
      </w:r>
      <w:r w:rsidR="00BB72EF" w:rsidRPr="001005B7">
        <w:rPr>
          <w:rFonts w:cstheme="minorHAnsi"/>
          <w:rtl/>
          <w:lang w:eastAsia="en-GB" w:bidi="he-IL"/>
        </w:rPr>
        <w:t>מְעַ</w:t>
      </w:r>
      <w:r w:rsidR="000A00AA" w:rsidRPr="001005B7">
        <w:rPr>
          <w:rFonts w:cstheme="minorHAnsi"/>
          <w:rtl/>
          <w:lang w:eastAsia="en-GB" w:bidi="he-IL"/>
        </w:rPr>
        <w:t>ט</w:t>
      </w:r>
      <w:r w:rsidR="000A00AA" w:rsidRPr="001005B7">
        <w:rPr>
          <w:lang w:eastAsia="en-GB"/>
        </w:rPr>
        <w:t>).</w:t>
      </w:r>
      <w:r w:rsidR="00904042" w:rsidRPr="001005B7">
        <w:rPr>
          <w:lang w:eastAsia="en-GB"/>
        </w:rPr>
        <w:t xml:space="preserve"> It’s yet another unique Ezekiel expression whose meaning cannot be tied down too precisely</w:t>
      </w:r>
      <w:r w:rsidR="000A00AA" w:rsidRPr="001005B7">
        <w:rPr>
          <w:lang w:eastAsia="en-GB"/>
        </w:rPr>
        <w:t>.</w:t>
      </w:r>
      <w:r w:rsidR="00904042" w:rsidRPr="001005B7">
        <w:rPr>
          <w:lang w:eastAsia="en-GB"/>
        </w:rPr>
        <w:t xml:space="preserve"> </w:t>
      </w:r>
      <w:r w:rsidR="000A00AA" w:rsidRPr="001005B7">
        <w:rPr>
          <w:lang w:eastAsia="en-GB"/>
        </w:rPr>
        <w:t>I</w:t>
      </w:r>
      <w:r w:rsidR="00C61A5C" w:rsidRPr="001005B7">
        <w:rPr>
          <w:lang w:eastAsia="en-GB"/>
        </w:rPr>
        <w:t xml:space="preserve">t </w:t>
      </w:r>
      <w:r w:rsidR="000A00AA" w:rsidRPr="001005B7">
        <w:rPr>
          <w:lang w:eastAsia="en-GB"/>
        </w:rPr>
        <w:t xml:space="preserve">does </w:t>
      </w:r>
      <w:r w:rsidR="00C61A5C" w:rsidRPr="001005B7">
        <w:rPr>
          <w:lang w:eastAsia="en-GB"/>
        </w:rPr>
        <w:t>impl</w:t>
      </w:r>
      <w:r w:rsidR="000A00AA" w:rsidRPr="001005B7">
        <w:rPr>
          <w:lang w:eastAsia="en-GB"/>
        </w:rPr>
        <w:t>y</w:t>
      </w:r>
      <w:r w:rsidR="00C61A5C" w:rsidRPr="001005B7">
        <w:rPr>
          <w:lang w:eastAsia="en-GB"/>
        </w:rPr>
        <w:t xml:space="preserve"> that </w:t>
      </w:r>
      <w:r w:rsidR="00B96EF4" w:rsidRPr="001005B7">
        <w:rPr>
          <w:lang w:eastAsia="en-GB"/>
        </w:rPr>
        <w:t xml:space="preserve">Yahweh really is with his people </w:t>
      </w:r>
      <w:r w:rsidR="006D466E" w:rsidRPr="001005B7">
        <w:rPr>
          <w:lang w:eastAsia="en-GB"/>
        </w:rPr>
        <w:t xml:space="preserve">in their worship by the </w:t>
      </w:r>
      <w:proofErr w:type="spellStart"/>
      <w:r w:rsidR="006D466E" w:rsidRPr="001005B7">
        <w:rPr>
          <w:lang w:eastAsia="en-GB"/>
        </w:rPr>
        <w:t>Kebar</w:t>
      </w:r>
      <w:proofErr w:type="spellEnd"/>
      <w:r w:rsidR="00987CA1" w:rsidRPr="001005B7">
        <w:rPr>
          <w:lang w:eastAsia="en-GB"/>
        </w:rPr>
        <w:t>. They can pray there with a confide</w:t>
      </w:r>
      <w:r w:rsidR="00CE1056" w:rsidRPr="001005B7">
        <w:rPr>
          <w:lang w:eastAsia="en-GB"/>
        </w:rPr>
        <w:t>n</w:t>
      </w:r>
      <w:r w:rsidR="00987CA1" w:rsidRPr="001005B7">
        <w:rPr>
          <w:lang w:eastAsia="en-GB"/>
        </w:rPr>
        <w:t>ce of being hear</w:t>
      </w:r>
      <w:r w:rsidR="00CE1056" w:rsidRPr="001005B7">
        <w:rPr>
          <w:lang w:eastAsia="en-GB"/>
        </w:rPr>
        <w:t>d (</w:t>
      </w:r>
      <w:proofErr w:type="spellStart"/>
      <w:r w:rsidR="00CE1056" w:rsidRPr="001005B7">
        <w:rPr>
          <w:lang w:eastAsia="en-GB"/>
        </w:rPr>
        <w:t>Ps</w:t>
      </w:r>
      <w:r w:rsidR="003C7039" w:rsidRPr="001005B7">
        <w:rPr>
          <w:lang w:eastAsia="en-GB"/>
        </w:rPr>
        <w:t>a</w:t>
      </w:r>
      <w:proofErr w:type="spellEnd"/>
      <w:r w:rsidR="00CE1056" w:rsidRPr="001005B7">
        <w:rPr>
          <w:lang w:eastAsia="en-GB"/>
        </w:rPr>
        <w:t xml:space="preserve"> 137:7). </w:t>
      </w:r>
      <w:r w:rsidR="00177D54">
        <w:rPr>
          <w:lang w:eastAsia="en-GB"/>
        </w:rPr>
        <w:t>This is</w:t>
      </w:r>
      <w:r w:rsidR="00407551" w:rsidRPr="001005B7">
        <w:rPr>
          <w:lang w:eastAsia="en-GB"/>
        </w:rPr>
        <w:t xml:space="preserve"> </w:t>
      </w:r>
      <w:r w:rsidR="00157962" w:rsidRPr="001005B7">
        <w:rPr>
          <w:lang w:eastAsia="en-GB"/>
        </w:rPr>
        <w:t xml:space="preserve">an </w:t>
      </w:r>
      <w:r w:rsidR="00407551" w:rsidRPr="001005B7">
        <w:rPr>
          <w:lang w:eastAsia="en-GB"/>
        </w:rPr>
        <w:t>in</w:t>
      </w:r>
      <w:r w:rsidR="00C61A5C" w:rsidRPr="001005B7">
        <w:rPr>
          <w:lang w:eastAsia="en-GB"/>
        </w:rPr>
        <w:t>valuable</w:t>
      </w:r>
      <w:r w:rsidR="00157962" w:rsidRPr="001005B7">
        <w:rPr>
          <w:lang w:eastAsia="en-GB"/>
        </w:rPr>
        <w:t xml:space="preserve"> gift</w:t>
      </w:r>
      <w:r w:rsidR="002F0530" w:rsidRPr="001005B7">
        <w:rPr>
          <w:lang w:eastAsia="en-GB"/>
        </w:rPr>
        <w:t>. But it’s</w:t>
      </w:r>
      <w:r w:rsidR="00C61A5C" w:rsidRPr="001005B7">
        <w:rPr>
          <w:lang w:eastAsia="en-GB"/>
        </w:rPr>
        <w:t xml:space="preserve"> limited both in its present reality and in its temporal duration.</w:t>
      </w:r>
      <w:r w:rsidR="00C61A5C" w:rsidRPr="001005B7">
        <w:rPr>
          <w:rStyle w:val="FootnoteReference"/>
          <w:lang w:eastAsia="en-GB"/>
        </w:rPr>
        <w:footnoteReference w:id="282"/>
      </w:r>
      <w:r w:rsidR="00C61A5C" w:rsidRPr="001005B7">
        <w:rPr>
          <w:lang w:eastAsia="en-GB"/>
        </w:rPr>
        <w:t xml:space="preserve"> </w:t>
      </w:r>
      <w:r w:rsidR="00E11582" w:rsidRPr="001005B7">
        <w:rPr>
          <w:lang w:eastAsia="en-GB"/>
        </w:rPr>
        <w:t>One could</w:t>
      </w:r>
      <w:r w:rsidR="00A84644" w:rsidRPr="001005B7">
        <w:rPr>
          <w:lang w:eastAsia="en-GB"/>
        </w:rPr>
        <w:t xml:space="preserve"> just as reasonabl</w:t>
      </w:r>
      <w:r w:rsidR="00E11582" w:rsidRPr="001005B7">
        <w:rPr>
          <w:lang w:eastAsia="en-GB"/>
        </w:rPr>
        <w:t>y</w:t>
      </w:r>
      <w:r w:rsidR="00A84644" w:rsidRPr="001005B7">
        <w:rPr>
          <w:lang w:eastAsia="en-GB"/>
        </w:rPr>
        <w:t xml:space="preserve"> </w:t>
      </w:r>
      <w:r w:rsidR="00271D8E" w:rsidRPr="001005B7">
        <w:rPr>
          <w:lang w:eastAsia="en-GB"/>
        </w:rPr>
        <w:t>render</w:t>
      </w:r>
      <w:r w:rsidR="00A84644" w:rsidRPr="001005B7">
        <w:rPr>
          <w:lang w:eastAsia="en-GB"/>
        </w:rPr>
        <w:t xml:space="preserve"> the expression “a sanctuary in a small way</w:t>
      </w:r>
      <w:r w:rsidR="00E21907" w:rsidRPr="001005B7">
        <w:rPr>
          <w:lang w:eastAsia="en-GB"/>
        </w:rPr>
        <w:t>”</w:t>
      </w:r>
      <w:r w:rsidR="001F0910" w:rsidRPr="001005B7">
        <w:rPr>
          <w:lang w:eastAsia="en-GB"/>
        </w:rPr>
        <w:t xml:space="preserve"> </w:t>
      </w:r>
      <w:r w:rsidR="00DE3D30" w:rsidRPr="001005B7">
        <w:rPr>
          <w:lang w:eastAsia="en-GB"/>
        </w:rPr>
        <w:t>(</w:t>
      </w:r>
      <w:r w:rsidR="00460B69" w:rsidRPr="001005B7">
        <w:rPr>
          <w:sz w:val="18"/>
          <w:szCs w:val="18"/>
        </w:rPr>
        <w:t>LXX</w:t>
      </w:r>
      <w:r w:rsidR="00DE3D30" w:rsidRPr="001005B7">
        <w:rPr>
          <w:rFonts w:cstheme="minorHAnsi"/>
          <w:lang w:eastAsia="en-GB"/>
        </w:rPr>
        <w:t xml:space="preserve"> translates “a little sanctuary”). </w:t>
      </w:r>
      <w:r w:rsidR="00A84644" w:rsidRPr="001005B7">
        <w:rPr>
          <w:lang w:eastAsia="en-GB"/>
        </w:rPr>
        <w:t>It</w:t>
      </w:r>
      <w:r w:rsidR="00CE1056" w:rsidRPr="001005B7">
        <w:rPr>
          <w:lang w:eastAsia="en-GB"/>
        </w:rPr>
        <w:t>’s not the same as the temple, where Yahweh had made a special commitment to</w:t>
      </w:r>
      <w:r w:rsidR="00F70243" w:rsidRPr="001005B7">
        <w:rPr>
          <w:lang w:eastAsia="en-GB"/>
        </w:rPr>
        <w:t xml:space="preserve"> </w:t>
      </w:r>
      <w:r w:rsidR="00CE1056" w:rsidRPr="001005B7">
        <w:rPr>
          <w:lang w:eastAsia="en-GB"/>
        </w:rPr>
        <w:t xml:space="preserve">be </w:t>
      </w:r>
      <w:r w:rsidR="00F70243" w:rsidRPr="001005B7">
        <w:rPr>
          <w:lang w:eastAsia="en-GB"/>
        </w:rPr>
        <w:t xml:space="preserve">present </w:t>
      </w:r>
      <w:r w:rsidR="00CE1056" w:rsidRPr="001005B7">
        <w:rPr>
          <w:lang w:eastAsia="en-GB"/>
        </w:rPr>
        <w:t>and where the</w:t>
      </w:r>
      <w:r w:rsidR="00F70243" w:rsidRPr="001005B7">
        <w:rPr>
          <w:lang w:eastAsia="en-GB"/>
        </w:rPr>
        <w:t xml:space="preserve"> people</w:t>
      </w:r>
      <w:r w:rsidR="00CE1056" w:rsidRPr="001005B7">
        <w:rPr>
          <w:lang w:eastAsia="en-GB"/>
        </w:rPr>
        <w:t xml:space="preserve"> could make offerings to him</w:t>
      </w:r>
      <w:r w:rsidR="00F70243" w:rsidRPr="001005B7">
        <w:rPr>
          <w:lang w:eastAsia="en-GB"/>
        </w:rPr>
        <w:t xml:space="preserve">, as they could not in </w:t>
      </w:r>
      <w:proofErr w:type="spellStart"/>
      <w:r w:rsidR="00F70243" w:rsidRPr="001005B7">
        <w:rPr>
          <w:lang w:eastAsia="en-GB"/>
        </w:rPr>
        <w:t>Kebar</w:t>
      </w:r>
      <w:proofErr w:type="spellEnd"/>
      <w:r w:rsidR="00CE1056" w:rsidRPr="001005B7">
        <w:rPr>
          <w:lang w:eastAsia="en-GB"/>
        </w:rPr>
        <w:t>.</w:t>
      </w:r>
      <w:r w:rsidR="002B106A" w:rsidRPr="001005B7">
        <w:rPr>
          <w:lang w:eastAsia="en-GB"/>
        </w:rPr>
        <w:t xml:space="preserve"> </w:t>
      </w:r>
      <w:r w:rsidR="009D23FF" w:rsidRPr="001005B7">
        <w:rPr>
          <w:lang w:eastAsia="en-GB"/>
        </w:rPr>
        <w:t>But it’s not to be despised</w:t>
      </w:r>
      <w:r w:rsidR="00287FD4" w:rsidRPr="001005B7">
        <w:rPr>
          <w:lang w:eastAsia="en-GB"/>
        </w:rPr>
        <w:t>, and it’s superior to Babylonian</w:t>
      </w:r>
      <w:r w:rsidR="00021323" w:rsidRPr="001005B7">
        <w:rPr>
          <w:lang w:eastAsia="en-GB"/>
        </w:rPr>
        <w:t xml:space="preserve"> claims about their gods’ prese</w:t>
      </w:r>
      <w:r w:rsidR="00360C16" w:rsidRPr="001005B7">
        <w:rPr>
          <w:lang w:eastAsia="en-GB"/>
        </w:rPr>
        <w:t>nc</w:t>
      </w:r>
      <w:r w:rsidR="00021323" w:rsidRPr="001005B7">
        <w:rPr>
          <w:lang w:eastAsia="en-GB"/>
        </w:rPr>
        <w:t>e</w:t>
      </w:r>
      <w:r w:rsidR="00360C16" w:rsidRPr="001005B7">
        <w:rPr>
          <w:lang w:eastAsia="en-GB"/>
        </w:rPr>
        <w:t xml:space="preserve"> or location</w:t>
      </w:r>
      <w:r w:rsidR="009D23FF" w:rsidRPr="001005B7">
        <w:rPr>
          <w:lang w:eastAsia="en-GB"/>
        </w:rPr>
        <w:t>.</w:t>
      </w:r>
      <w:r w:rsidR="00360C16" w:rsidRPr="001005B7">
        <w:rPr>
          <w:rStyle w:val="FootnoteReference"/>
          <w:lang w:eastAsia="en-GB"/>
        </w:rPr>
        <w:footnoteReference w:id="283"/>
      </w:r>
      <w:r w:rsidR="009D23FF" w:rsidRPr="001005B7">
        <w:rPr>
          <w:lang w:eastAsia="en-GB"/>
        </w:rPr>
        <w:t xml:space="preserve"> When </w:t>
      </w:r>
      <w:r w:rsidR="008E6887" w:rsidRPr="001005B7">
        <w:rPr>
          <w:lang w:eastAsia="en-GB"/>
        </w:rPr>
        <w:t>Tg</w:t>
      </w:r>
      <w:r w:rsidR="00745281" w:rsidRPr="001005B7">
        <w:rPr>
          <w:lang w:eastAsia="en-GB"/>
        </w:rPr>
        <w:t>.</w:t>
      </w:r>
      <w:r w:rsidR="009D23FF" w:rsidRPr="001005B7">
        <w:rPr>
          <w:lang w:eastAsia="en-GB"/>
        </w:rPr>
        <w:t xml:space="preserve"> sees Ezekiel as ref</w:t>
      </w:r>
      <w:r w:rsidR="009D5F66" w:rsidRPr="001005B7">
        <w:rPr>
          <w:lang w:eastAsia="en-GB"/>
        </w:rPr>
        <w:t>e</w:t>
      </w:r>
      <w:r w:rsidR="009D23FF" w:rsidRPr="001005B7">
        <w:rPr>
          <w:lang w:eastAsia="en-GB"/>
        </w:rPr>
        <w:t>rring to synagog</w:t>
      </w:r>
      <w:r w:rsidR="009D5F66" w:rsidRPr="001005B7">
        <w:rPr>
          <w:lang w:eastAsia="en-GB"/>
        </w:rPr>
        <w:t>ues, it’s not historically accurate, but in due course the syn</w:t>
      </w:r>
      <w:r w:rsidR="00612F99" w:rsidRPr="001005B7">
        <w:rPr>
          <w:lang w:eastAsia="en-GB"/>
        </w:rPr>
        <w:t>a</w:t>
      </w:r>
      <w:r w:rsidR="009D5F66" w:rsidRPr="001005B7">
        <w:rPr>
          <w:lang w:eastAsia="en-GB"/>
        </w:rPr>
        <w:t>gogue</w:t>
      </w:r>
      <w:r w:rsidR="00612F99" w:rsidRPr="001005B7">
        <w:rPr>
          <w:lang w:eastAsia="en-GB"/>
        </w:rPr>
        <w:t>s will provide the same blessing</w:t>
      </w:r>
      <w:r w:rsidR="00DF1A94" w:rsidRPr="001005B7">
        <w:rPr>
          <w:lang w:eastAsia="en-GB"/>
        </w:rPr>
        <w:t>,</w:t>
      </w:r>
      <w:r w:rsidR="00612F99" w:rsidRPr="001005B7">
        <w:rPr>
          <w:lang w:eastAsia="en-GB"/>
        </w:rPr>
        <w:t xml:space="preserve"> as places where people can pray and st</w:t>
      </w:r>
      <w:r w:rsidR="0028251C" w:rsidRPr="001005B7">
        <w:rPr>
          <w:lang w:eastAsia="en-GB"/>
        </w:rPr>
        <w:t>ud</w:t>
      </w:r>
      <w:r w:rsidR="00612F99" w:rsidRPr="001005B7">
        <w:rPr>
          <w:lang w:eastAsia="en-GB"/>
        </w:rPr>
        <w:t>y Torah</w:t>
      </w:r>
      <w:r w:rsidR="008F0D66">
        <w:rPr>
          <w:lang w:eastAsia="en-GB"/>
        </w:rPr>
        <w:t xml:space="preserve"> (cf. Ganzel</w:t>
      </w:r>
      <w:r w:rsidR="00FD6B89">
        <w:rPr>
          <w:lang w:eastAsia="en-GB"/>
        </w:rPr>
        <w:t xml:space="preserve"> 2020</w:t>
      </w:r>
      <w:r w:rsidR="008F0D66">
        <w:rPr>
          <w:lang w:eastAsia="en-GB"/>
        </w:rPr>
        <w:t>, xix)</w:t>
      </w:r>
      <w:r w:rsidR="00612F99" w:rsidRPr="001005B7">
        <w:rPr>
          <w:lang w:eastAsia="en-GB"/>
        </w:rPr>
        <w:t xml:space="preserve">. </w:t>
      </w:r>
      <w:r w:rsidR="002B106A" w:rsidRPr="001005B7">
        <w:rPr>
          <w:lang w:eastAsia="en-GB"/>
        </w:rPr>
        <w:t xml:space="preserve">And </w:t>
      </w:r>
      <w:r w:rsidR="00E21907" w:rsidRPr="001005B7">
        <w:rPr>
          <w:lang w:eastAsia="en-GB"/>
        </w:rPr>
        <w:t xml:space="preserve">it’s </w:t>
      </w:r>
      <w:r w:rsidR="00A2635E" w:rsidRPr="001005B7">
        <w:rPr>
          <w:lang w:eastAsia="en-GB"/>
        </w:rPr>
        <w:t>a</w:t>
      </w:r>
      <w:r w:rsidR="00E21907" w:rsidRPr="001005B7">
        <w:rPr>
          <w:lang w:eastAsia="en-GB"/>
        </w:rPr>
        <w:t xml:space="preserve"> sanctuary </w:t>
      </w:r>
      <w:r w:rsidR="00BB5623" w:rsidRPr="001005B7">
        <w:rPr>
          <w:lang w:eastAsia="en-GB"/>
        </w:rPr>
        <w:t>“</w:t>
      </w:r>
      <w:r w:rsidR="00E21907" w:rsidRPr="001005B7">
        <w:rPr>
          <w:lang w:eastAsia="en-GB"/>
        </w:rPr>
        <w:t>for</w:t>
      </w:r>
      <w:r w:rsidR="00BB5623" w:rsidRPr="001005B7">
        <w:rPr>
          <w:lang w:eastAsia="en-GB"/>
        </w:rPr>
        <w:t xml:space="preserve"> a</w:t>
      </w:r>
      <w:r w:rsidR="00E21907" w:rsidRPr="001005B7">
        <w:rPr>
          <w:i/>
          <w:iCs/>
          <w:lang w:eastAsia="en-GB"/>
        </w:rPr>
        <w:t xml:space="preserve"> </w:t>
      </w:r>
      <w:r w:rsidR="00E21907" w:rsidRPr="001005B7">
        <w:rPr>
          <w:lang w:eastAsia="en-GB"/>
        </w:rPr>
        <w:t>little</w:t>
      </w:r>
      <w:r w:rsidR="00E21907" w:rsidRPr="001005B7">
        <w:rPr>
          <w:i/>
          <w:iCs/>
          <w:lang w:eastAsia="en-GB"/>
        </w:rPr>
        <w:t xml:space="preserve"> </w:t>
      </w:r>
      <w:r w:rsidR="00E21907" w:rsidRPr="001005B7">
        <w:rPr>
          <w:lang w:eastAsia="en-GB"/>
        </w:rPr>
        <w:t>while</w:t>
      </w:r>
      <w:r w:rsidR="00BB5623" w:rsidRPr="001005B7">
        <w:rPr>
          <w:lang w:eastAsia="en-GB"/>
        </w:rPr>
        <w:t>”</w:t>
      </w:r>
      <w:r w:rsidR="00E21907" w:rsidRPr="001005B7">
        <w:rPr>
          <w:lang w:eastAsia="en-GB"/>
        </w:rPr>
        <w:t xml:space="preserve"> in that (Yahweh implies</w:t>
      </w:r>
      <w:r w:rsidR="00C16B2B" w:rsidRPr="001005B7">
        <w:rPr>
          <w:lang w:eastAsia="en-GB"/>
        </w:rPr>
        <w:t>)</w:t>
      </w:r>
      <w:r w:rsidR="00E21907" w:rsidRPr="001005B7">
        <w:rPr>
          <w:i/>
          <w:iCs/>
          <w:lang w:eastAsia="en-GB"/>
        </w:rPr>
        <w:t xml:space="preserve"> </w:t>
      </w:r>
      <w:r w:rsidR="002B106A" w:rsidRPr="001005B7">
        <w:rPr>
          <w:lang w:eastAsia="en-GB"/>
        </w:rPr>
        <w:t xml:space="preserve">eventually they are going to be able to </w:t>
      </w:r>
      <w:r w:rsidR="00996692" w:rsidRPr="001005B7">
        <w:rPr>
          <w:lang w:eastAsia="en-GB"/>
        </w:rPr>
        <w:t>make th</w:t>
      </w:r>
      <w:r w:rsidR="00DF1A94" w:rsidRPr="001005B7">
        <w:rPr>
          <w:lang w:eastAsia="en-GB"/>
        </w:rPr>
        <w:t>eir</w:t>
      </w:r>
      <w:r w:rsidR="00996692" w:rsidRPr="001005B7">
        <w:rPr>
          <w:lang w:eastAsia="en-GB"/>
        </w:rPr>
        <w:t xml:space="preserve"> offerings in that special presence</w:t>
      </w:r>
      <w:r w:rsidR="002B106A" w:rsidRPr="001005B7">
        <w:rPr>
          <w:lang w:eastAsia="en-GB"/>
        </w:rPr>
        <w:t xml:space="preserve"> again, as Ezekiel 40</w:t>
      </w:r>
      <w:r w:rsidR="00F46900" w:rsidRPr="001005B7">
        <w:rPr>
          <w:lang w:eastAsia="en-GB"/>
        </w:rPr>
        <w:t>–</w:t>
      </w:r>
      <w:r w:rsidR="002B106A" w:rsidRPr="001005B7">
        <w:rPr>
          <w:lang w:eastAsia="en-GB"/>
        </w:rPr>
        <w:t>48 will promise</w:t>
      </w:r>
      <w:r w:rsidR="00D8161E" w:rsidRPr="001005B7">
        <w:rPr>
          <w:lang w:eastAsia="en-GB"/>
        </w:rPr>
        <w:t xml:space="preserve"> and Ezra 1</w:t>
      </w:r>
      <w:r w:rsidR="00F46900" w:rsidRPr="001005B7">
        <w:rPr>
          <w:lang w:eastAsia="en-GB"/>
        </w:rPr>
        <w:t>–</w:t>
      </w:r>
      <w:r w:rsidR="00D8161E" w:rsidRPr="001005B7">
        <w:rPr>
          <w:lang w:eastAsia="en-GB"/>
        </w:rPr>
        <w:t>6 will record.</w:t>
      </w:r>
      <w:r w:rsidR="00CF5C96" w:rsidRPr="001005B7">
        <w:rPr>
          <w:lang w:eastAsia="en-GB"/>
        </w:rPr>
        <w:t xml:space="preserve"> Thus</w:t>
      </w:r>
      <w:r w:rsidR="00924333" w:rsidRPr="001005B7">
        <w:rPr>
          <w:lang w:eastAsia="en-GB"/>
        </w:rPr>
        <w:t xml:space="preserve">, given that </w:t>
      </w:r>
      <w:r w:rsidR="00CF5C96" w:rsidRPr="001005B7">
        <w:t xml:space="preserve">God was </w:t>
      </w:r>
      <w:r w:rsidR="00ED3B2E" w:rsidRPr="001005B7">
        <w:rPr>
          <w:lang w:eastAsia="en-GB"/>
        </w:rPr>
        <w:t>a sanctuary for a little while or in a small way in B</w:t>
      </w:r>
      <w:r w:rsidR="009552A3" w:rsidRPr="001005B7">
        <w:rPr>
          <w:lang w:eastAsia="en-GB"/>
        </w:rPr>
        <w:t>abylonia, “</w:t>
      </w:r>
      <w:r w:rsidR="009552A3" w:rsidRPr="001005B7">
        <w:t>t</w:t>
      </w:r>
      <w:r w:rsidR="00CF5C96" w:rsidRPr="001005B7">
        <w:t xml:space="preserve">he return of the </w:t>
      </w:r>
      <w:proofErr w:type="spellStart"/>
      <w:r w:rsidR="00CF5C96" w:rsidRPr="001005B7">
        <w:rPr>
          <w:i/>
          <w:iCs/>
        </w:rPr>
        <w:t>k</w:t>
      </w:r>
      <w:r w:rsidR="00D72C34" w:rsidRPr="001005B7">
        <w:rPr>
          <w:rFonts w:cstheme="minorHAnsi"/>
          <w:i/>
          <w:iCs/>
        </w:rPr>
        <w:t>ā</w:t>
      </w:r>
      <w:r w:rsidR="00CF5C96" w:rsidRPr="001005B7">
        <w:rPr>
          <w:i/>
          <w:iCs/>
        </w:rPr>
        <w:t>bôd</w:t>
      </w:r>
      <w:proofErr w:type="spellEnd"/>
      <w:r w:rsidR="00CF5C96" w:rsidRPr="001005B7">
        <w:t xml:space="preserve"> to the Temple was merely the finale of a long experience of God’s presence</w:t>
      </w:r>
      <w:r w:rsidR="00D72C34" w:rsidRPr="001005B7">
        <w:t>.”</w:t>
      </w:r>
      <w:r w:rsidR="00910B21" w:rsidRPr="001005B7">
        <w:rPr>
          <w:rStyle w:val="FootnoteReference"/>
        </w:rPr>
        <w:footnoteReference w:id="284"/>
      </w:r>
    </w:p>
    <w:p w14:paraId="280FD9D9" w14:textId="3A2DEA27" w:rsidR="00BE7D71" w:rsidRPr="001005B7" w:rsidRDefault="003C2A0C" w:rsidP="006572EE">
      <w:pPr>
        <w:rPr>
          <w:lang w:eastAsia="en-GB"/>
        </w:rPr>
      </w:pPr>
      <w:r w:rsidRPr="001005B7">
        <w:rPr>
          <w:b/>
          <w:bCs/>
          <w:lang w:eastAsia="en-GB"/>
        </w:rPr>
        <w:t>11:17</w:t>
      </w:r>
      <w:r w:rsidR="00F46900" w:rsidRPr="001005B7">
        <w:rPr>
          <w:b/>
          <w:bCs/>
          <w:lang w:eastAsia="en-GB"/>
        </w:rPr>
        <w:t>–</w:t>
      </w:r>
      <w:r w:rsidR="00D10711" w:rsidRPr="001005B7">
        <w:rPr>
          <w:b/>
          <w:bCs/>
          <w:lang w:eastAsia="en-GB"/>
        </w:rPr>
        <w:t>18</w:t>
      </w:r>
      <w:r w:rsidR="00971214" w:rsidRPr="001005B7">
        <w:rPr>
          <w:b/>
          <w:bCs/>
          <w:lang w:eastAsia="en-GB"/>
        </w:rPr>
        <w:t>a</w:t>
      </w:r>
      <w:r w:rsidRPr="001005B7">
        <w:rPr>
          <w:lang w:eastAsia="en-GB"/>
        </w:rPr>
        <w:t xml:space="preserve"> </w:t>
      </w:r>
      <w:r w:rsidR="008A558F" w:rsidRPr="001005B7">
        <w:rPr>
          <w:lang w:eastAsia="en-GB"/>
        </w:rPr>
        <w:t xml:space="preserve">Yahweh’s </w:t>
      </w:r>
      <w:r w:rsidR="00C273AA" w:rsidRPr="001005B7">
        <w:rPr>
          <w:lang w:eastAsia="en-GB"/>
        </w:rPr>
        <w:t xml:space="preserve">subsequent </w:t>
      </w:r>
      <w:r w:rsidR="008A558F" w:rsidRPr="001005B7">
        <w:rPr>
          <w:lang w:eastAsia="en-GB"/>
        </w:rPr>
        <w:t xml:space="preserve">promises support the idea that the qualification </w:t>
      </w:r>
      <w:r w:rsidR="00BC25B7" w:rsidRPr="001005B7">
        <w:rPr>
          <w:lang w:eastAsia="en-GB"/>
        </w:rPr>
        <w:t xml:space="preserve">primarily </w:t>
      </w:r>
      <w:r w:rsidR="00AE027A" w:rsidRPr="001005B7">
        <w:rPr>
          <w:lang w:eastAsia="en-GB"/>
        </w:rPr>
        <w:t xml:space="preserve">denotes </w:t>
      </w:r>
      <w:r w:rsidR="00BB5623" w:rsidRPr="001005B7">
        <w:rPr>
          <w:lang w:eastAsia="en-GB"/>
        </w:rPr>
        <w:t>“</w:t>
      </w:r>
      <w:r w:rsidR="00BC25B7" w:rsidRPr="001005B7">
        <w:rPr>
          <w:lang w:eastAsia="en-GB"/>
        </w:rPr>
        <w:t>for</w:t>
      </w:r>
      <w:r w:rsidR="00BB5623" w:rsidRPr="001005B7">
        <w:rPr>
          <w:lang w:eastAsia="en-GB"/>
        </w:rPr>
        <w:t xml:space="preserve"> a</w:t>
      </w:r>
      <w:r w:rsidR="00BC25B7" w:rsidRPr="001005B7">
        <w:rPr>
          <w:i/>
          <w:iCs/>
          <w:lang w:eastAsia="en-GB"/>
        </w:rPr>
        <w:t xml:space="preserve"> </w:t>
      </w:r>
      <w:r w:rsidR="00BC25B7" w:rsidRPr="001005B7">
        <w:rPr>
          <w:lang w:eastAsia="en-GB"/>
        </w:rPr>
        <w:t>little</w:t>
      </w:r>
      <w:r w:rsidR="00BC25B7" w:rsidRPr="001005B7">
        <w:rPr>
          <w:i/>
          <w:iCs/>
          <w:lang w:eastAsia="en-GB"/>
        </w:rPr>
        <w:t xml:space="preserve"> </w:t>
      </w:r>
      <w:r w:rsidR="00BC25B7" w:rsidRPr="001005B7">
        <w:rPr>
          <w:lang w:eastAsia="en-GB"/>
        </w:rPr>
        <w:t>while</w:t>
      </w:r>
      <w:r w:rsidR="00BB5623" w:rsidRPr="001005B7">
        <w:rPr>
          <w:lang w:eastAsia="en-GB"/>
        </w:rPr>
        <w:t>”</w:t>
      </w:r>
      <w:r w:rsidR="00BC25B7" w:rsidRPr="001005B7">
        <w:rPr>
          <w:lang w:eastAsia="en-GB"/>
        </w:rPr>
        <w:t xml:space="preserve"> rather than “in a small way</w:t>
      </w:r>
      <w:r w:rsidR="00AE027A" w:rsidRPr="001005B7">
        <w:rPr>
          <w:lang w:eastAsia="en-GB"/>
        </w:rPr>
        <w:t xml:space="preserve">,” because he goes on to </w:t>
      </w:r>
      <w:r w:rsidR="00E65212" w:rsidRPr="001005B7">
        <w:rPr>
          <w:lang w:eastAsia="en-GB"/>
        </w:rPr>
        <w:t>undertakings</w:t>
      </w:r>
      <w:r w:rsidR="00AE027A" w:rsidRPr="001005B7">
        <w:rPr>
          <w:lang w:eastAsia="en-GB"/>
        </w:rPr>
        <w:t xml:space="preserve"> </w:t>
      </w:r>
      <w:r w:rsidR="00E43454" w:rsidRPr="001005B7">
        <w:rPr>
          <w:lang w:eastAsia="en-GB"/>
        </w:rPr>
        <w:t>that relate to the other side of that little while.</w:t>
      </w:r>
      <w:r w:rsidR="00C117BD" w:rsidRPr="001005B7">
        <w:rPr>
          <w:lang w:eastAsia="en-GB"/>
        </w:rPr>
        <w:t xml:space="preserve"> First,</w:t>
      </w:r>
      <w:r w:rsidR="00B55629" w:rsidRPr="001005B7">
        <w:rPr>
          <w:lang w:eastAsia="en-GB"/>
        </w:rPr>
        <w:t xml:space="preserve"> “I</w:t>
      </w:r>
      <w:r w:rsidR="00C117BD" w:rsidRPr="001005B7">
        <w:rPr>
          <w:i/>
          <w:iCs/>
          <w:lang w:eastAsia="en-GB"/>
        </w:rPr>
        <w:t xml:space="preserve"> </w:t>
      </w:r>
      <w:r w:rsidR="00C117BD" w:rsidRPr="001005B7">
        <w:rPr>
          <w:lang w:eastAsia="en-GB"/>
        </w:rPr>
        <w:t>will</w:t>
      </w:r>
      <w:r w:rsidR="00C117BD" w:rsidRPr="001005B7">
        <w:rPr>
          <w:i/>
          <w:iCs/>
          <w:lang w:eastAsia="en-GB"/>
        </w:rPr>
        <w:t xml:space="preserve"> </w:t>
      </w:r>
      <w:r w:rsidR="00C117BD" w:rsidRPr="001005B7">
        <w:rPr>
          <w:lang w:eastAsia="en-GB"/>
        </w:rPr>
        <w:t>gather</w:t>
      </w:r>
      <w:r w:rsidR="007D0295" w:rsidRPr="001005B7">
        <w:rPr>
          <w:lang w:eastAsia="en-GB"/>
        </w:rPr>
        <w:t xml:space="preserve"> you</w:t>
      </w:r>
      <w:r w:rsidR="00B55629" w:rsidRPr="001005B7">
        <w:rPr>
          <w:lang w:eastAsia="en-GB"/>
        </w:rPr>
        <w:t>”</w:t>
      </w:r>
      <w:r w:rsidR="001E7D49" w:rsidRPr="001005B7">
        <w:rPr>
          <w:lang w:eastAsia="en-GB"/>
        </w:rPr>
        <w:t xml:space="preserve"> and </w:t>
      </w:r>
      <w:r w:rsidR="00B55629" w:rsidRPr="001005B7">
        <w:rPr>
          <w:lang w:eastAsia="en-GB"/>
        </w:rPr>
        <w:t>“</w:t>
      </w:r>
      <w:r w:rsidR="001E7D49" w:rsidRPr="001005B7">
        <w:rPr>
          <w:lang w:eastAsia="en-GB"/>
        </w:rPr>
        <w:t>collect</w:t>
      </w:r>
      <w:r w:rsidR="001E7D49" w:rsidRPr="001005B7">
        <w:rPr>
          <w:i/>
          <w:iCs/>
          <w:lang w:eastAsia="en-GB"/>
        </w:rPr>
        <w:t xml:space="preserve"> </w:t>
      </w:r>
      <w:r w:rsidR="001E7D49" w:rsidRPr="001005B7">
        <w:rPr>
          <w:lang w:eastAsia="en-GB"/>
        </w:rPr>
        <w:t>you</w:t>
      </w:r>
      <w:r w:rsidR="00B55629" w:rsidRPr="001005B7">
        <w:rPr>
          <w:lang w:eastAsia="en-GB"/>
        </w:rPr>
        <w:t>”</w:t>
      </w:r>
      <w:r w:rsidR="001E7D49" w:rsidRPr="001005B7">
        <w:rPr>
          <w:lang w:eastAsia="en-GB"/>
        </w:rPr>
        <w:t xml:space="preserve"> </w:t>
      </w:r>
      <w:r w:rsidR="000F1811" w:rsidRPr="001005B7">
        <w:rPr>
          <w:lang w:eastAsia="en-GB"/>
        </w:rPr>
        <w:t>(</w:t>
      </w:r>
      <w:r w:rsidR="00117DEF" w:rsidRPr="001005B7">
        <w:rPr>
          <w:rFonts w:cstheme="minorHAnsi"/>
          <w:rtl/>
          <w:lang w:eastAsia="en-GB" w:bidi="he-IL"/>
        </w:rPr>
        <w:t>קׇבַ</w:t>
      </w:r>
      <w:r w:rsidR="007D25CD" w:rsidRPr="001005B7">
        <w:rPr>
          <w:rFonts w:cstheme="minorHAnsi"/>
          <w:rtl/>
          <w:lang w:eastAsia="en-GB" w:bidi="he-IL"/>
        </w:rPr>
        <w:t>ץ</w:t>
      </w:r>
      <w:r w:rsidR="007D25CD" w:rsidRPr="001005B7">
        <w:rPr>
          <w:lang w:eastAsia="en-GB"/>
        </w:rPr>
        <w:t xml:space="preserve"> piel,</w:t>
      </w:r>
      <w:r w:rsidR="00B5282F" w:rsidRPr="001005B7">
        <w:rPr>
          <w:lang w:eastAsia="en-GB"/>
        </w:rPr>
        <w:t xml:space="preserve"> </w:t>
      </w:r>
      <w:r w:rsidR="007D25CD" w:rsidRPr="001005B7">
        <w:rPr>
          <w:rFonts w:cstheme="minorHAnsi"/>
          <w:rtl/>
          <w:lang w:eastAsia="en-GB" w:bidi="he-IL"/>
        </w:rPr>
        <w:t>אׇסַף</w:t>
      </w:r>
      <w:r w:rsidR="002161A1" w:rsidRPr="001005B7">
        <w:rPr>
          <w:lang w:eastAsia="en-GB"/>
        </w:rPr>
        <w:t>)</w:t>
      </w:r>
      <w:r w:rsidR="00B5282F" w:rsidRPr="001005B7">
        <w:rPr>
          <w:lang w:eastAsia="en-GB"/>
        </w:rPr>
        <w:t xml:space="preserve">, </w:t>
      </w:r>
      <w:r w:rsidR="001E7D49" w:rsidRPr="001005B7">
        <w:rPr>
          <w:lang w:eastAsia="en-GB"/>
        </w:rPr>
        <w:t xml:space="preserve">reversing the </w:t>
      </w:r>
      <w:r w:rsidR="00060084" w:rsidRPr="001005B7">
        <w:rPr>
          <w:lang w:eastAsia="en-GB"/>
        </w:rPr>
        <w:t>way I scattered</w:t>
      </w:r>
      <w:r w:rsidR="00060084" w:rsidRPr="001005B7">
        <w:rPr>
          <w:i/>
          <w:iCs/>
          <w:lang w:eastAsia="en-GB"/>
        </w:rPr>
        <w:t xml:space="preserve"> </w:t>
      </w:r>
      <w:r w:rsidR="00060084" w:rsidRPr="001005B7">
        <w:rPr>
          <w:lang w:eastAsia="en-GB"/>
        </w:rPr>
        <w:t xml:space="preserve">you. </w:t>
      </w:r>
      <w:r w:rsidR="00A418DF" w:rsidRPr="001005B7">
        <w:rPr>
          <w:lang w:eastAsia="en-GB"/>
        </w:rPr>
        <w:t xml:space="preserve">It’s possible to think of the </w:t>
      </w:r>
      <w:r w:rsidR="00B53C5A" w:rsidRPr="001005B7">
        <w:rPr>
          <w:lang w:eastAsia="en-GB"/>
        </w:rPr>
        <w:t>deliverance</w:t>
      </w:r>
      <w:r w:rsidR="00014C9C" w:rsidRPr="001005B7">
        <w:rPr>
          <w:lang w:eastAsia="en-GB"/>
        </w:rPr>
        <w:t xml:space="preserve"> of the forced migrants as a new exodus</w:t>
      </w:r>
      <w:r w:rsidR="006B08E2" w:rsidRPr="001005B7">
        <w:rPr>
          <w:lang w:eastAsia="en-GB"/>
        </w:rPr>
        <w:t xml:space="preserve"> whereby Yahweh again </w:t>
      </w:r>
      <w:r w:rsidR="00F43140" w:rsidRPr="001005B7">
        <w:rPr>
          <w:lang w:eastAsia="en-GB"/>
        </w:rPr>
        <w:t>brings the people out</w:t>
      </w:r>
      <w:r w:rsidR="00443C4E" w:rsidRPr="001005B7">
        <w:rPr>
          <w:lang w:eastAsia="en-GB"/>
        </w:rPr>
        <w:t xml:space="preserve"> from servitude </w:t>
      </w:r>
      <w:r w:rsidR="007315AC" w:rsidRPr="001005B7">
        <w:rPr>
          <w:lang w:eastAsia="en-GB"/>
        </w:rPr>
        <w:t>to a foreign people</w:t>
      </w:r>
      <w:r w:rsidR="00443C4E" w:rsidRPr="001005B7">
        <w:rPr>
          <w:lang w:eastAsia="en-GB"/>
        </w:rPr>
        <w:t xml:space="preserve">, </w:t>
      </w:r>
      <w:r w:rsidR="00014C9C" w:rsidRPr="001005B7">
        <w:rPr>
          <w:lang w:eastAsia="en-GB"/>
        </w:rPr>
        <w:t>but they are not really</w:t>
      </w:r>
      <w:r w:rsidR="00443C4E" w:rsidRPr="001005B7">
        <w:rPr>
          <w:lang w:eastAsia="en-GB"/>
        </w:rPr>
        <w:t xml:space="preserve"> in servitude,</w:t>
      </w:r>
      <w:r w:rsidR="007315AC" w:rsidRPr="001005B7">
        <w:rPr>
          <w:lang w:eastAsia="en-GB"/>
        </w:rPr>
        <w:t xml:space="preserve"> and </w:t>
      </w:r>
      <w:r w:rsidR="006E02E1" w:rsidRPr="001005B7">
        <w:rPr>
          <w:lang w:eastAsia="en-GB"/>
        </w:rPr>
        <w:t xml:space="preserve">the prophets do not usually speak in those terms </w:t>
      </w:r>
      <w:r w:rsidR="00B96A9A" w:rsidRPr="001005B7">
        <w:rPr>
          <w:lang w:eastAsia="en-GB"/>
        </w:rPr>
        <w:t>(20:34</w:t>
      </w:r>
      <w:r w:rsidR="00C94EE6" w:rsidRPr="001005B7">
        <w:rPr>
          <w:lang w:eastAsia="en-GB"/>
        </w:rPr>
        <w:t xml:space="preserve"> is a rare example). </w:t>
      </w:r>
      <w:r w:rsidR="00C214DB" w:rsidRPr="001005B7">
        <w:rPr>
          <w:lang w:eastAsia="en-GB"/>
        </w:rPr>
        <w:t>It’s more a gathering than a releasing</w:t>
      </w:r>
      <w:r w:rsidR="00DD5123" w:rsidRPr="001005B7">
        <w:rPr>
          <w:lang w:eastAsia="en-GB"/>
        </w:rPr>
        <w:t xml:space="preserve"> (</w:t>
      </w:r>
      <w:r w:rsidR="008D2A3D" w:rsidRPr="001005B7">
        <w:rPr>
          <w:lang w:eastAsia="en-GB"/>
        </w:rPr>
        <w:t xml:space="preserve">e.g., </w:t>
      </w:r>
      <w:r w:rsidR="00D1396D" w:rsidRPr="001005B7">
        <w:rPr>
          <w:lang w:eastAsia="en-GB"/>
        </w:rPr>
        <w:t>20:41</w:t>
      </w:r>
      <w:r w:rsidR="00E337DF" w:rsidRPr="001005B7">
        <w:rPr>
          <w:lang w:eastAsia="en-GB"/>
        </w:rPr>
        <w:t>; 34:13</w:t>
      </w:r>
      <w:r w:rsidR="0080347A" w:rsidRPr="001005B7">
        <w:rPr>
          <w:lang w:eastAsia="en-GB"/>
        </w:rPr>
        <w:t>; 36:24</w:t>
      </w:r>
      <w:r w:rsidR="00781993" w:rsidRPr="001005B7">
        <w:rPr>
          <w:lang w:eastAsia="en-GB"/>
        </w:rPr>
        <w:t xml:space="preserve">), like </w:t>
      </w:r>
      <w:r w:rsidR="00A56B66" w:rsidRPr="001005B7">
        <w:rPr>
          <w:lang w:eastAsia="en-GB"/>
        </w:rPr>
        <w:t>th</w:t>
      </w:r>
      <w:r w:rsidR="00C62C75" w:rsidRPr="001005B7">
        <w:rPr>
          <w:lang w:eastAsia="en-GB"/>
        </w:rPr>
        <w:t>e gathering</w:t>
      </w:r>
      <w:r w:rsidR="00A56B66" w:rsidRPr="001005B7">
        <w:rPr>
          <w:lang w:eastAsia="en-GB"/>
        </w:rPr>
        <w:t xml:space="preserve"> of </w:t>
      </w:r>
      <w:r w:rsidR="00781993" w:rsidRPr="001005B7">
        <w:rPr>
          <w:lang w:eastAsia="en-GB"/>
        </w:rPr>
        <w:t>a flock</w:t>
      </w:r>
      <w:r w:rsidR="00A56B66" w:rsidRPr="001005B7">
        <w:rPr>
          <w:lang w:eastAsia="en-GB"/>
        </w:rPr>
        <w:t>.</w:t>
      </w:r>
      <w:r w:rsidR="002F6597" w:rsidRPr="001005B7">
        <w:rPr>
          <w:sz w:val="18"/>
          <w:szCs w:val="18"/>
        </w:rPr>
        <w:t xml:space="preserve"> LXX</w:t>
      </w:r>
      <w:r w:rsidR="00D55691" w:rsidRPr="001005B7">
        <w:rPr>
          <w:lang w:eastAsia="en-GB"/>
        </w:rPr>
        <w:t xml:space="preserve"> nicely renders </w:t>
      </w:r>
      <w:r w:rsidR="00FD76BD" w:rsidRPr="001005B7">
        <w:rPr>
          <w:lang w:eastAsia="en-GB"/>
        </w:rPr>
        <w:t xml:space="preserve">the </w:t>
      </w:r>
      <w:r w:rsidR="00E6375C" w:rsidRPr="001005B7">
        <w:rPr>
          <w:lang w:eastAsia="en-GB"/>
        </w:rPr>
        <w:t xml:space="preserve">first </w:t>
      </w:r>
      <w:r w:rsidR="00FD76BD" w:rsidRPr="001005B7">
        <w:rPr>
          <w:lang w:eastAsia="en-GB"/>
        </w:rPr>
        <w:t>verb</w:t>
      </w:r>
      <w:r w:rsidR="00D55691" w:rsidRPr="001005B7">
        <w:rPr>
          <w:lang w:eastAsia="en-GB"/>
        </w:rPr>
        <w:t xml:space="preserve"> </w:t>
      </w:r>
      <w:r w:rsidR="00E6375C" w:rsidRPr="001005B7">
        <w:rPr>
          <w:lang w:eastAsia="en-GB"/>
        </w:rPr>
        <w:t>“</w:t>
      </w:r>
      <w:r w:rsidR="00D55691" w:rsidRPr="001005B7">
        <w:rPr>
          <w:lang w:eastAsia="en-GB"/>
        </w:rPr>
        <w:t>receive</w:t>
      </w:r>
      <w:r w:rsidR="00E6375C" w:rsidRPr="001005B7">
        <w:rPr>
          <w:lang w:eastAsia="en-GB"/>
        </w:rPr>
        <w:t>”</w:t>
      </w:r>
      <w:r w:rsidR="00D55691" w:rsidRPr="001005B7">
        <w:rPr>
          <w:lang w:eastAsia="en-GB"/>
        </w:rPr>
        <w:t xml:space="preserve"> or </w:t>
      </w:r>
      <w:r w:rsidR="00E6375C" w:rsidRPr="001005B7">
        <w:rPr>
          <w:lang w:eastAsia="en-GB"/>
        </w:rPr>
        <w:t>“</w:t>
      </w:r>
      <w:r w:rsidR="00D55691" w:rsidRPr="001005B7">
        <w:rPr>
          <w:lang w:eastAsia="en-GB"/>
        </w:rPr>
        <w:t>welcome</w:t>
      </w:r>
      <w:r w:rsidR="00E6375C" w:rsidRPr="001005B7">
        <w:rPr>
          <w:lang w:eastAsia="en-GB"/>
        </w:rPr>
        <w:t>” (</w:t>
      </w:r>
      <w:proofErr w:type="spellStart"/>
      <w:r w:rsidR="00110136" w:rsidRPr="001005B7">
        <w:rPr>
          <w:rFonts w:cstheme="minorHAnsi"/>
          <w:lang w:eastAsia="en-GB"/>
        </w:rPr>
        <w:t>ε</w:t>
      </w:r>
      <w:r w:rsidR="00321C8F" w:rsidRPr="001005B7">
        <w:rPr>
          <w:rFonts w:cstheme="minorHAnsi"/>
          <w:lang w:eastAsia="en-GB"/>
        </w:rPr>
        <w:t>ỉ</w:t>
      </w:r>
      <w:r w:rsidR="00777768" w:rsidRPr="001005B7">
        <w:rPr>
          <w:rFonts w:cstheme="minorHAnsi"/>
          <w:lang w:eastAsia="en-GB"/>
        </w:rPr>
        <w:t>σδέχομ</w:t>
      </w:r>
      <w:proofErr w:type="spellEnd"/>
      <w:r w:rsidR="00777768" w:rsidRPr="001005B7">
        <w:rPr>
          <w:rFonts w:cstheme="minorHAnsi"/>
          <w:lang w:eastAsia="en-GB"/>
        </w:rPr>
        <w:t>αι</w:t>
      </w:r>
      <w:r w:rsidR="00486B7A" w:rsidRPr="001005B7">
        <w:rPr>
          <w:rFonts w:cstheme="minorHAnsi"/>
          <w:lang w:eastAsia="en-GB"/>
        </w:rPr>
        <w:t>).</w:t>
      </w:r>
    </w:p>
    <w:p w14:paraId="283D8A2D" w14:textId="41E04053" w:rsidR="00ED401E" w:rsidRPr="001005B7" w:rsidRDefault="00ED401E" w:rsidP="006572EE">
      <w:pPr>
        <w:rPr>
          <w:i/>
          <w:iCs/>
          <w:lang w:eastAsia="en-GB"/>
        </w:rPr>
      </w:pPr>
      <w:r w:rsidRPr="001005B7">
        <w:rPr>
          <w:lang w:eastAsia="en-GB"/>
        </w:rPr>
        <w:t>Second,</w:t>
      </w:r>
      <w:r w:rsidR="00630C1E" w:rsidRPr="001005B7">
        <w:rPr>
          <w:lang w:eastAsia="en-GB"/>
        </w:rPr>
        <w:t xml:space="preserve"> “I</w:t>
      </w:r>
      <w:r w:rsidRPr="001005B7">
        <w:rPr>
          <w:i/>
          <w:iCs/>
          <w:lang w:eastAsia="en-GB"/>
        </w:rPr>
        <w:t xml:space="preserve"> </w:t>
      </w:r>
      <w:r w:rsidRPr="001005B7">
        <w:rPr>
          <w:lang w:eastAsia="en-GB"/>
        </w:rPr>
        <w:t>will</w:t>
      </w:r>
      <w:r w:rsidRPr="001005B7">
        <w:rPr>
          <w:i/>
          <w:iCs/>
          <w:lang w:eastAsia="en-GB"/>
        </w:rPr>
        <w:t xml:space="preserve"> </w:t>
      </w:r>
      <w:r w:rsidRPr="001005B7">
        <w:rPr>
          <w:lang w:eastAsia="en-GB"/>
        </w:rPr>
        <w:t>give</w:t>
      </w:r>
      <w:r w:rsidRPr="001005B7">
        <w:rPr>
          <w:i/>
          <w:iCs/>
          <w:lang w:eastAsia="en-GB"/>
        </w:rPr>
        <w:t xml:space="preserve"> </w:t>
      </w:r>
      <w:r w:rsidRPr="001005B7">
        <w:rPr>
          <w:lang w:eastAsia="en-GB"/>
        </w:rPr>
        <w:t>you</w:t>
      </w:r>
      <w:r w:rsidR="008906A4" w:rsidRPr="001005B7">
        <w:rPr>
          <w:lang w:eastAsia="en-GB"/>
        </w:rPr>
        <w:t xml:space="preserve"> </w:t>
      </w:r>
      <w:r w:rsidR="008C2AF0" w:rsidRPr="001005B7">
        <w:rPr>
          <w:lang w:eastAsia="en-GB"/>
        </w:rPr>
        <w:t>Israel’s</w:t>
      </w:r>
      <w:r w:rsidR="008C2AF0" w:rsidRPr="001005B7">
        <w:rPr>
          <w:i/>
          <w:iCs/>
          <w:lang w:eastAsia="en-GB"/>
        </w:rPr>
        <w:t xml:space="preserve"> </w:t>
      </w:r>
      <w:r w:rsidR="008906A4" w:rsidRPr="001005B7">
        <w:rPr>
          <w:lang w:eastAsia="en-GB"/>
        </w:rPr>
        <w:t>land</w:t>
      </w:r>
      <w:r w:rsidR="00630C1E" w:rsidRPr="001005B7">
        <w:rPr>
          <w:lang w:eastAsia="en-GB"/>
        </w:rPr>
        <w:t>”</w:t>
      </w:r>
      <w:r w:rsidR="008906A4" w:rsidRPr="001005B7">
        <w:rPr>
          <w:lang w:eastAsia="en-GB"/>
        </w:rPr>
        <w:t xml:space="preserve"> </w:t>
      </w:r>
      <w:r w:rsidR="000863F5" w:rsidRPr="001005B7">
        <w:rPr>
          <w:lang w:eastAsia="en-GB"/>
        </w:rPr>
        <w:t>(</w:t>
      </w:r>
      <w:r w:rsidR="000863F5" w:rsidRPr="001005B7">
        <w:rPr>
          <w:rFonts w:cstheme="minorHAnsi"/>
          <w:rtl/>
          <w:lang w:eastAsia="en-GB" w:bidi="he-IL"/>
        </w:rPr>
        <w:t>אֲדָמָה</w:t>
      </w:r>
      <w:r w:rsidR="0089083C" w:rsidRPr="001005B7">
        <w:rPr>
          <w:lang w:eastAsia="en-GB"/>
        </w:rPr>
        <w:t xml:space="preserve">) </w:t>
      </w:r>
      <w:r w:rsidR="008906A4" w:rsidRPr="001005B7">
        <w:rPr>
          <w:lang w:eastAsia="en-GB"/>
        </w:rPr>
        <w:t xml:space="preserve">and </w:t>
      </w:r>
      <w:r w:rsidR="00630C1E" w:rsidRPr="001005B7">
        <w:rPr>
          <w:lang w:eastAsia="en-GB"/>
        </w:rPr>
        <w:t>“</w:t>
      </w:r>
      <w:r w:rsidR="008906A4" w:rsidRPr="001005B7">
        <w:rPr>
          <w:lang w:eastAsia="en-GB"/>
        </w:rPr>
        <w:t>they</w:t>
      </w:r>
      <w:r w:rsidR="008906A4" w:rsidRPr="001005B7">
        <w:rPr>
          <w:i/>
          <w:iCs/>
          <w:lang w:eastAsia="en-GB"/>
        </w:rPr>
        <w:t xml:space="preserve"> </w:t>
      </w:r>
      <w:r w:rsidR="008906A4" w:rsidRPr="001005B7">
        <w:rPr>
          <w:lang w:eastAsia="en-GB"/>
        </w:rPr>
        <w:t>will</w:t>
      </w:r>
      <w:r w:rsidR="008906A4" w:rsidRPr="001005B7">
        <w:rPr>
          <w:i/>
          <w:iCs/>
          <w:lang w:eastAsia="en-GB"/>
        </w:rPr>
        <w:t xml:space="preserve"> </w:t>
      </w:r>
      <w:r w:rsidR="008906A4" w:rsidRPr="001005B7">
        <w:rPr>
          <w:lang w:eastAsia="en-GB"/>
        </w:rPr>
        <w:t>come</w:t>
      </w:r>
      <w:r w:rsidR="008906A4" w:rsidRPr="001005B7">
        <w:rPr>
          <w:i/>
          <w:iCs/>
          <w:lang w:eastAsia="en-GB"/>
        </w:rPr>
        <w:t xml:space="preserve"> </w:t>
      </w:r>
      <w:r w:rsidR="008906A4" w:rsidRPr="001005B7">
        <w:rPr>
          <w:lang w:eastAsia="en-GB"/>
        </w:rPr>
        <w:t>to</w:t>
      </w:r>
      <w:r w:rsidR="008906A4" w:rsidRPr="001005B7">
        <w:rPr>
          <w:i/>
          <w:iCs/>
          <w:lang w:eastAsia="en-GB"/>
        </w:rPr>
        <w:t xml:space="preserve"> </w:t>
      </w:r>
      <w:r w:rsidR="008906A4" w:rsidRPr="001005B7">
        <w:rPr>
          <w:lang w:eastAsia="en-GB"/>
        </w:rPr>
        <w:t>it.</w:t>
      </w:r>
      <w:r w:rsidR="00630C1E" w:rsidRPr="001005B7">
        <w:rPr>
          <w:lang w:eastAsia="en-GB"/>
        </w:rPr>
        <w:t>”</w:t>
      </w:r>
      <w:r w:rsidR="008906A4" w:rsidRPr="001005B7">
        <w:rPr>
          <w:lang w:eastAsia="en-GB"/>
        </w:rPr>
        <w:t xml:space="preserve"> Yahweh keeps moving between</w:t>
      </w:r>
      <w:r w:rsidR="00C679ED" w:rsidRPr="001005B7">
        <w:rPr>
          <w:lang w:eastAsia="en-GB"/>
        </w:rPr>
        <w:t xml:space="preserve"> </w:t>
      </w:r>
      <w:r w:rsidR="0041080E" w:rsidRPr="001005B7">
        <w:rPr>
          <w:lang w:eastAsia="en-GB"/>
        </w:rPr>
        <w:t>“</w:t>
      </w:r>
      <w:r w:rsidR="00C679ED" w:rsidRPr="001005B7">
        <w:rPr>
          <w:lang w:eastAsia="en-GB"/>
        </w:rPr>
        <w:t>you</w:t>
      </w:r>
      <w:r w:rsidR="0041080E" w:rsidRPr="001005B7">
        <w:rPr>
          <w:lang w:eastAsia="en-GB"/>
        </w:rPr>
        <w:t>”</w:t>
      </w:r>
      <w:r w:rsidR="00C679ED" w:rsidRPr="001005B7">
        <w:rPr>
          <w:lang w:eastAsia="en-GB"/>
        </w:rPr>
        <w:t xml:space="preserve"> and</w:t>
      </w:r>
      <w:r w:rsidR="008906A4" w:rsidRPr="001005B7">
        <w:rPr>
          <w:lang w:eastAsia="en-GB"/>
        </w:rPr>
        <w:t xml:space="preserve"> </w:t>
      </w:r>
      <w:r w:rsidR="0041080E" w:rsidRPr="001005B7">
        <w:rPr>
          <w:lang w:eastAsia="en-GB"/>
        </w:rPr>
        <w:t>“</w:t>
      </w:r>
      <w:r w:rsidR="008906A4" w:rsidRPr="001005B7">
        <w:rPr>
          <w:lang w:eastAsia="en-GB"/>
        </w:rPr>
        <w:t>the</w:t>
      </w:r>
      <w:r w:rsidR="00C679ED" w:rsidRPr="001005B7">
        <w:rPr>
          <w:lang w:eastAsia="en-GB"/>
        </w:rPr>
        <w:t>y</w:t>
      </w:r>
      <w:r w:rsidR="0041080E" w:rsidRPr="001005B7">
        <w:rPr>
          <w:lang w:eastAsia="en-GB"/>
        </w:rPr>
        <w:t>”</w:t>
      </w:r>
      <w:r w:rsidR="00C679ED" w:rsidRPr="001005B7">
        <w:rPr>
          <w:i/>
          <w:iCs/>
          <w:lang w:eastAsia="en-GB"/>
        </w:rPr>
        <w:t xml:space="preserve"> </w:t>
      </w:r>
      <w:r w:rsidR="008906A4" w:rsidRPr="001005B7">
        <w:rPr>
          <w:lang w:eastAsia="en-GB"/>
        </w:rPr>
        <w:t xml:space="preserve">in </w:t>
      </w:r>
      <w:r w:rsidR="0042084A" w:rsidRPr="001005B7">
        <w:rPr>
          <w:lang w:eastAsia="en-GB"/>
        </w:rPr>
        <w:t>11:</w:t>
      </w:r>
      <w:r w:rsidR="008906A4" w:rsidRPr="001005B7">
        <w:rPr>
          <w:lang w:eastAsia="en-GB"/>
        </w:rPr>
        <w:t>16</w:t>
      </w:r>
      <w:r w:rsidR="00F46900" w:rsidRPr="001005B7">
        <w:rPr>
          <w:lang w:eastAsia="en-GB"/>
        </w:rPr>
        <w:t>–</w:t>
      </w:r>
      <w:r w:rsidR="008906A4" w:rsidRPr="001005B7">
        <w:rPr>
          <w:lang w:eastAsia="en-GB"/>
        </w:rPr>
        <w:t>21</w:t>
      </w:r>
      <w:r w:rsidR="007A484A" w:rsidRPr="001005B7">
        <w:rPr>
          <w:lang w:eastAsia="en-GB"/>
        </w:rPr>
        <w:t>.</w:t>
      </w:r>
      <w:r w:rsidR="008906A4" w:rsidRPr="001005B7">
        <w:rPr>
          <w:lang w:eastAsia="en-GB"/>
        </w:rPr>
        <w:t xml:space="preserve"> </w:t>
      </w:r>
      <w:r w:rsidR="0041080E" w:rsidRPr="001005B7">
        <w:rPr>
          <w:lang w:eastAsia="en-GB"/>
        </w:rPr>
        <w:t>“</w:t>
      </w:r>
      <w:r w:rsidR="007A484A" w:rsidRPr="001005B7">
        <w:rPr>
          <w:lang w:eastAsia="en-GB"/>
        </w:rPr>
        <w:t>T</w:t>
      </w:r>
      <w:r w:rsidR="008906A4" w:rsidRPr="001005B7">
        <w:rPr>
          <w:lang w:eastAsia="en-GB"/>
        </w:rPr>
        <w:t>he</w:t>
      </w:r>
      <w:r w:rsidR="00C679ED" w:rsidRPr="001005B7">
        <w:rPr>
          <w:lang w:eastAsia="en-GB"/>
        </w:rPr>
        <w:t>y</w:t>
      </w:r>
      <w:r w:rsidR="0041080E" w:rsidRPr="001005B7">
        <w:rPr>
          <w:lang w:eastAsia="en-GB"/>
        </w:rPr>
        <w:t>”</w:t>
      </w:r>
      <w:r w:rsidR="008906A4" w:rsidRPr="001005B7">
        <w:rPr>
          <w:lang w:eastAsia="en-GB"/>
        </w:rPr>
        <w:t xml:space="preserve"> makes sense because he is responding to the </w:t>
      </w:r>
      <w:r w:rsidR="007D5DE6" w:rsidRPr="001005B7">
        <w:rPr>
          <w:lang w:eastAsia="en-GB"/>
        </w:rPr>
        <w:t xml:space="preserve">words of the </w:t>
      </w:r>
      <w:r w:rsidR="008906A4" w:rsidRPr="001005B7">
        <w:rPr>
          <w:lang w:eastAsia="en-GB"/>
        </w:rPr>
        <w:t xml:space="preserve">Jerusalemites in in </w:t>
      </w:r>
      <w:r w:rsidR="003D021F" w:rsidRPr="001005B7">
        <w:rPr>
          <w:lang w:eastAsia="en-GB"/>
        </w:rPr>
        <w:t>11:</w:t>
      </w:r>
      <w:r w:rsidR="008906A4" w:rsidRPr="001005B7">
        <w:rPr>
          <w:lang w:eastAsia="en-GB"/>
        </w:rPr>
        <w:t>15</w:t>
      </w:r>
      <w:r w:rsidR="0089083C" w:rsidRPr="001005B7">
        <w:rPr>
          <w:lang w:eastAsia="en-GB"/>
        </w:rPr>
        <w:t xml:space="preserve"> (though they </w:t>
      </w:r>
      <w:r w:rsidR="000B5E51" w:rsidRPr="001005B7">
        <w:rPr>
          <w:lang w:eastAsia="en-GB"/>
        </w:rPr>
        <w:t>s</w:t>
      </w:r>
      <w:r w:rsidR="0089083C" w:rsidRPr="001005B7">
        <w:rPr>
          <w:lang w:eastAsia="en-GB"/>
        </w:rPr>
        <w:t xml:space="preserve">poke of the </w:t>
      </w:r>
      <w:r w:rsidR="0089083C" w:rsidRPr="001005B7">
        <w:rPr>
          <w:rFonts w:cstheme="minorHAnsi"/>
          <w:rtl/>
          <w:lang w:eastAsia="en-GB" w:bidi="he-IL"/>
        </w:rPr>
        <w:t>א</w:t>
      </w:r>
      <w:r w:rsidR="000B5E51" w:rsidRPr="001005B7">
        <w:rPr>
          <w:rFonts w:cstheme="minorHAnsi"/>
          <w:rtl/>
          <w:lang w:eastAsia="en-GB" w:bidi="he-IL"/>
        </w:rPr>
        <w:t>ֶרֶץ</w:t>
      </w:r>
      <w:r w:rsidR="000B5E51" w:rsidRPr="001005B7">
        <w:rPr>
          <w:lang w:eastAsia="en-GB"/>
        </w:rPr>
        <w:t>)</w:t>
      </w:r>
      <w:r w:rsidR="00684FE5" w:rsidRPr="001005B7">
        <w:rPr>
          <w:lang w:eastAsia="en-GB"/>
        </w:rPr>
        <w:t>,</w:t>
      </w:r>
      <w:r w:rsidR="0029125D" w:rsidRPr="001005B7">
        <w:rPr>
          <w:lang w:eastAsia="en-GB"/>
        </w:rPr>
        <w:t xml:space="preserve"> </w:t>
      </w:r>
      <w:r w:rsidR="008906A4" w:rsidRPr="001005B7">
        <w:rPr>
          <w:lang w:eastAsia="en-GB"/>
        </w:rPr>
        <w:t xml:space="preserve">while </w:t>
      </w:r>
      <w:r w:rsidR="00684FE5" w:rsidRPr="001005B7">
        <w:rPr>
          <w:lang w:eastAsia="en-GB"/>
        </w:rPr>
        <w:t>“</w:t>
      </w:r>
      <w:r w:rsidR="008906A4" w:rsidRPr="001005B7">
        <w:rPr>
          <w:lang w:eastAsia="en-GB"/>
        </w:rPr>
        <w:t>you</w:t>
      </w:r>
      <w:r w:rsidR="00684FE5" w:rsidRPr="001005B7">
        <w:rPr>
          <w:lang w:eastAsia="en-GB"/>
        </w:rPr>
        <w:t>”</w:t>
      </w:r>
      <w:r w:rsidR="008906A4" w:rsidRPr="001005B7">
        <w:rPr>
          <w:i/>
          <w:iCs/>
          <w:lang w:eastAsia="en-GB"/>
        </w:rPr>
        <w:t xml:space="preserve"> </w:t>
      </w:r>
      <w:r w:rsidR="008906A4" w:rsidRPr="001005B7">
        <w:rPr>
          <w:lang w:eastAsia="en-GB"/>
        </w:rPr>
        <w:t xml:space="preserve">makes sense because the </w:t>
      </w:r>
      <w:proofErr w:type="spellStart"/>
      <w:r w:rsidR="008906A4" w:rsidRPr="001005B7">
        <w:rPr>
          <w:lang w:eastAsia="en-GB"/>
        </w:rPr>
        <w:t>Kebarites</w:t>
      </w:r>
      <w:proofErr w:type="spellEnd"/>
      <w:r w:rsidR="008906A4" w:rsidRPr="001005B7">
        <w:rPr>
          <w:lang w:eastAsia="en-GB"/>
        </w:rPr>
        <w:t xml:space="preserve"> are the people to whom Ezekiel will deliver the message.</w:t>
      </w:r>
      <w:r w:rsidR="00C305F3" w:rsidRPr="001005B7">
        <w:rPr>
          <w:lang w:eastAsia="en-GB"/>
        </w:rPr>
        <w:t xml:space="preserve"> </w:t>
      </w:r>
      <w:r w:rsidR="003A16C5" w:rsidRPr="001005B7">
        <w:rPr>
          <w:lang w:eastAsia="en-GB"/>
        </w:rPr>
        <w:t xml:space="preserve">Whereas </w:t>
      </w:r>
      <w:r w:rsidR="00684FE5" w:rsidRPr="001005B7">
        <w:rPr>
          <w:lang w:eastAsia="en-GB"/>
        </w:rPr>
        <w:t>“</w:t>
      </w:r>
      <w:r w:rsidR="003A16C5" w:rsidRPr="001005B7">
        <w:rPr>
          <w:lang w:eastAsia="en-GB"/>
        </w:rPr>
        <w:t>gather</w:t>
      </w:r>
      <w:r w:rsidR="00684FE5" w:rsidRPr="001005B7">
        <w:rPr>
          <w:lang w:eastAsia="en-GB"/>
        </w:rPr>
        <w:t>”</w:t>
      </w:r>
      <w:r w:rsidR="003A16C5" w:rsidRPr="001005B7">
        <w:rPr>
          <w:lang w:eastAsia="en-GB"/>
        </w:rPr>
        <w:t xml:space="preserve"> is not exodus language, </w:t>
      </w:r>
      <w:r w:rsidR="00684FE5" w:rsidRPr="001005B7">
        <w:rPr>
          <w:lang w:eastAsia="en-GB"/>
        </w:rPr>
        <w:t>“</w:t>
      </w:r>
      <w:r w:rsidR="003A16C5" w:rsidRPr="001005B7">
        <w:rPr>
          <w:lang w:eastAsia="en-GB"/>
        </w:rPr>
        <w:t>give</w:t>
      </w:r>
      <w:r w:rsidR="00684FE5" w:rsidRPr="001005B7">
        <w:rPr>
          <w:lang w:eastAsia="en-GB"/>
        </w:rPr>
        <w:t>”</w:t>
      </w:r>
      <w:r w:rsidR="003A16C5" w:rsidRPr="001005B7">
        <w:rPr>
          <w:i/>
          <w:iCs/>
          <w:lang w:eastAsia="en-GB"/>
        </w:rPr>
        <w:t xml:space="preserve"> </w:t>
      </w:r>
      <w:r w:rsidR="00E77316" w:rsidRPr="001005B7">
        <w:rPr>
          <w:lang w:eastAsia="en-GB"/>
        </w:rPr>
        <w:t>the</w:t>
      </w:r>
      <w:r w:rsidR="00E77316" w:rsidRPr="001005B7">
        <w:rPr>
          <w:i/>
          <w:iCs/>
          <w:lang w:eastAsia="en-GB"/>
        </w:rPr>
        <w:t xml:space="preserve"> </w:t>
      </w:r>
      <w:r w:rsidR="00E77316" w:rsidRPr="001005B7">
        <w:rPr>
          <w:lang w:eastAsia="en-GB"/>
        </w:rPr>
        <w:t>country</w:t>
      </w:r>
      <w:r w:rsidR="00E77316" w:rsidRPr="001005B7">
        <w:rPr>
          <w:i/>
          <w:iCs/>
          <w:lang w:eastAsia="en-GB"/>
        </w:rPr>
        <w:t xml:space="preserve"> </w:t>
      </w:r>
      <w:r w:rsidR="003C6F57" w:rsidRPr="001005B7">
        <w:rPr>
          <w:lang w:eastAsia="en-GB"/>
        </w:rPr>
        <w:t xml:space="preserve">and </w:t>
      </w:r>
      <w:r w:rsidR="00D14E98" w:rsidRPr="001005B7">
        <w:rPr>
          <w:lang w:eastAsia="en-GB"/>
        </w:rPr>
        <w:t>“</w:t>
      </w:r>
      <w:r w:rsidR="003C6F57" w:rsidRPr="001005B7">
        <w:rPr>
          <w:lang w:eastAsia="en-GB"/>
        </w:rPr>
        <w:t>come</w:t>
      </w:r>
      <w:r w:rsidR="00D14E98" w:rsidRPr="001005B7">
        <w:rPr>
          <w:lang w:eastAsia="en-GB"/>
        </w:rPr>
        <w:t>”</w:t>
      </w:r>
      <w:r w:rsidR="003C6F57" w:rsidRPr="001005B7">
        <w:rPr>
          <w:i/>
          <w:iCs/>
          <w:lang w:eastAsia="en-GB"/>
        </w:rPr>
        <w:t xml:space="preserve"> </w:t>
      </w:r>
      <w:r w:rsidR="003A16C5" w:rsidRPr="001005B7">
        <w:rPr>
          <w:lang w:eastAsia="en-GB"/>
        </w:rPr>
        <w:t xml:space="preserve">is </w:t>
      </w:r>
      <w:r w:rsidR="00B20695" w:rsidRPr="001005B7">
        <w:rPr>
          <w:lang w:eastAsia="en-GB"/>
        </w:rPr>
        <w:t>Deuteronomy and Joshua language</w:t>
      </w:r>
      <w:r w:rsidR="00693F1A">
        <w:rPr>
          <w:lang w:eastAsia="en-GB"/>
        </w:rPr>
        <w:t>.</w:t>
      </w:r>
      <w:r w:rsidR="00BD46BA" w:rsidRPr="001005B7">
        <w:rPr>
          <w:lang w:eastAsia="en-GB"/>
        </w:rPr>
        <w:t xml:space="preserve"> </w:t>
      </w:r>
      <w:r w:rsidR="00693F1A">
        <w:rPr>
          <w:lang w:eastAsia="en-GB"/>
        </w:rPr>
        <w:t>T</w:t>
      </w:r>
      <w:r w:rsidR="00BD46BA" w:rsidRPr="001005B7">
        <w:rPr>
          <w:lang w:eastAsia="en-GB"/>
        </w:rPr>
        <w:t xml:space="preserve">his will be </w:t>
      </w:r>
      <w:r w:rsidR="00B35C15" w:rsidRPr="001005B7">
        <w:rPr>
          <w:lang w:eastAsia="en-GB"/>
        </w:rPr>
        <w:t>a giving and a coming</w:t>
      </w:r>
      <w:r w:rsidR="00BF00C3" w:rsidRPr="001005B7">
        <w:rPr>
          <w:lang w:eastAsia="en-GB"/>
        </w:rPr>
        <w:t xml:space="preserve"> like the original one. </w:t>
      </w:r>
      <w:r w:rsidR="00C17C29" w:rsidRPr="001005B7">
        <w:rPr>
          <w:lang w:eastAsia="en-GB"/>
        </w:rPr>
        <w:t xml:space="preserve">The land will be taken </w:t>
      </w:r>
      <w:r w:rsidR="009705CF" w:rsidRPr="001005B7">
        <w:rPr>
          <w:lang w:eastAsia="en-GB"/>
        </w:rPr>
        <w:t xml:space="preserve">away </w:t>
      </w:r>
      <w:r w:rsidR="00C17C29" w:rsidRPr="001005B7">
        <w:rPr>
          <w:lang w:eastAsia="en-GB"/>
        </w:rPr>
        <w:t xml:space="preserve">from the Babylonians and other people such as the Edomites who have </w:t>
      </w:r>
      <w:r w:rsidR="009705CF" w:rsidRPr="001005B7">
        <w:rPr>
          <w:lang w:eastAsia="en-GB"/>
        </w:rPr>
        <w:t>taken it over</w:t>
      </w:r>
      <w:r w:rsidR="00132C36" w:rsidRPr="001005B7">
        <w:rPr>
          <w:lang w:eastAsia="en-GB"/>
        </w:rPr>
        <w:t>,</w:t>
      </w:r>
      <w:r w:rsidR="00DF0D21" w:rsidRPr="001005B7">
        <w:rPr>
          <w:lang w:eastAsia="en-GB"/>
        </w:rPr>
        <w:t xml:space="preserve"> and given </w:t>
      </w:r>
      <w:r w:rsidR="00966FAF">
        <w:rPr>
          <w:lang w:eastAsia="en-GB"/>
        </w:rPr>
        <w:t xml:space="preserve">back </w:t>
      </w:r>
      <w:r w:rsidR="00DF0D21" w:rsidRPr="001005B7">
        <w:rPr>
          <w:lang w:eastAsia="en-GB"/>
        </w:rPr>
        <w:t xml:space="preserve">to the Israelites, as happened </w:t>
      </w:r>
      <w:r w:rsidR="00966FAF">
        <w:rPr>
          <w:lang w:eastAsia="en-GB"/>
        </w:rPr>
        <w:t xml:space="preserve">long ago </w:t>
      </w:r>
      <w:r w:rsidR="00DF0D21" w:rsidRPr="001005B7">
        <w:rPr>
          <w:lang w:eastAsia="en-GB"/>
        </w:rPr>
        <w:t>at the beginning (though Ezekiel does not make that point).</w:t>
      </w:r>
      <w:r w:rsidR="003F0AE1" w:rsidRPr="001005B7">
        <w:rPr>
          <w:lang w:eastAsia="en-GB"/>
        </w:rPr>
        <w:t xml:space="preserve"> Yah</w:t>
      </w:r>
      <w:r w:rsidR="00ED6D7A" w:rsidRPr="001005B7">
        <w:rPr>
          <w:lang w:eastAsia="en-GB"/>
        </w:rPr>
        <w:t>w</w:t>
      </w:r>
      <w:r w:rsidR="003F0AE1" w:rsidRPr="001005B7">
        <w:rPr>
          <w:lang w:eastAsia="en-GB"/>
        </w:rPr>
        <w:t xml:space="preserve">eh’s words also </w:t>
      </w:r>
      <w:r w:rsidR="00132C36" w:rsidRPr="001005B7">
        <w:rPr>
          <w:lang w:eastAsia="en-GB"/>
        </w:rPr>
        <w:t>imply</w:t>
      </w:r>
      <w:r w:rsidR="003F0AE1" w:rsidRPr="001005B7">
        <w:rPr>
          <w:lang w:eastAsia="en-GB"/>
        </w:rPr>
        <w:t xml:space="preserve"> a contrast with </w:t>
      </w:r>
      <w:r w:rsidR="00ED6D7A" w:rsidRPr="001005B7">
        <w:rPr>
          <w:lang w:eastAsia="en-GB"/>
        </w:rPr>
        <w:t xml:space="preserve">those of the Jerusalemites in </w:t>
      </w:r>
      <w:r w:rsidR="003D021F" w:rsidRPr="001005B7">
        <w:rPr>
          <w:lang w:eastAsia="en-GB"/>
        </w:rPr>
        <w:t>11:</w:t>
      </w:r>
      <w:r w:rsidR="00ED6D7A" w:rsidRPr="001005B7">
        <w:rPr>
          <w:lang w:eastAsia="en-GB"/>
        </w:rPr>
        <w:t>15</w:t>
      </w:r>
      <w:r w:rsidR="000753C4" w:rsidRPr="001005B7">
        <w:rPr>
          <w:lang w:eastAsia="en-GB"/>
        </w:rPr>
        <w:t>. T</w:t>
      </w:r>
      <w:r w:rsidR="00ED6D7A" w:rsidRPr="001005B7">
        <w:rPr>
          <w:lang w:eastAsia="en-GB"/>
        </w:rPr>
        <w:t xml:space="preserve">hey claimed that the </w:t>
      </w:r>
      <w:r w:rsidR="00242E5E" w:rsidRPr="001005B7">
        <w:rPr>
          <w:lang w:eastAsia="en-GB"/>
        </w:rPr>
        <w:t>country</w:t>
      </w:r>
      <w:r w:rsidR="00ED6D7A" w:rsidRPr="001005B7">
        <w:rPr>
          <w:lang w:eastAsia="en-GB"/>
        </w:rPr>
        <w:t xml:space="preserve"> was given to them as opposed to the </w:t>
      </w:r>
      <w:proofErr w:type="spellStart"/>
      <w:r w:rsidR="00ED6D7A" w:rsidRPr="001005B7">
        <w:rPr>
          <w:lang w:eastAsia="en-GB"/>
        </w:rPr>
        <w:t>Kebarites</w:t>
      </w:r>
      <w:proofErr w:type="spellEnd"/>
      <w:r w:rsidR="00ED6D7A" w:rsidRPr="001005B7">
        <w:rPr>
          <w:lang w:eastAsia="en-GB"/>
        </w:rPr>
        <w:t>.</w:t>
      </w:r>
      <w:r w:rsidR="00535BFD" w:rsidRPr="001005B7">
        <w:rPr>
          <w:lang w:eastAsia="en-GB"/>
        </w:rPr>
        <w:t xml:space="preserve"> If anything, </w:t>
      </w:r>
      <w:r w:rsidR="00554D78" w:rsidRPr="001005B7">
        <w:rPr>
          <w:lang w:eastAsia="en-GB"/>
        </w:rPr>
        <w:t xml:space="preserve">Ezekiel is encouraging the </w:t>
      </w:r>
      <w:proofErr w:type="spellStart"/>
      <w:r w:rsidR="00554D78" w:rsidRPr="001005B7">
        <w:rPr>
          <w:lang w:eastAsia="en-GB"/>
        </w:rPr>
        <w:t>Kebarites</w:t>
      </w:r>
      <w:proofErr w:type="spellEnd"/>
      <w:r w:rsidR="00554D78" w:rsidRPr="001005B7">
        <w:rPr>
          <w:lang w:eastAsia="en-GB"/>
        </w:rPr>
        <w:t xml:space="preserve"> to </w:t>
      </w:r>
      <w:r w:rsidR="00810D32" w:rsidRPr="001005B7">
        <w:rPr>
          <w:lang w:eastAsia="en-GB"/>
        </w:rPr>
        <w:t>believe that the country is given to them rather than to the Jerusalemites. They are the good figs</w:t>
      </w:r>
      <w:r w:rsidR="009935FB" w:rsidRPr="001005B7">
        <w:rPr>
          <w:lang w:eastAsia="en-GB"/>
        </w:rPr>
        <w:t>, the figs with a future</w:t>
      </w:r>
      <w:r w:rsidR="00810D32" w:rsidRPr="001005B7">
        <w:rPr>
          <w:lang w:eastAsia="en-GB"/>
        </w:rPr>
        <w:t>.</w:t>
      </w:r>
      <w:r w:rsidR="009935FB" w:rsidRPr="001005B7">
        <w:rPr>
          <w:rStyle w:val="FootnoteReference"/>
          <w:lang w:eastAsia="en-GB"/>
        </w:rPr>
        <w:footnoteReference w:id="285"/>
      </w:r>
      <w:r w:rsidR="00FB54EB" w:rsidRPr="001005B7">
        <w:rPr>
          <w:lang w:eastAsia="en-GB"/>
        </w:rPr>
        <w:t xml:space="preserve"> But if so, they have a future because Yahweh </w:t>
      </w:r>
      <w:r w:rsidR="000F5E66" w:rsidRPr="001005B7">
        <w:rPr>
          <w:lang w:eastAsia="en-GB"/>
        </w:rPr>
        <w:t>wills it</w:t>
      </w:r>
      <w:r w:rsidR="00694F99" w:rsidRPr="001005B7">
        <w:rPr>
          <w:lang w:eastAsia="en-GB"/>
        </w:rPr>
        <w:t xml:space="preserve"> and for his name’s sake</w:t>
      </w:r>
      <w:r w:rsidR="000F5E66" w:rsidRPr="001005B7">
        <w:rPr>
          <w:lang w:eastAsia="en-GB"/>
        </w:rPr>
        <w:t>, not because they deserve it</w:t>
      </w:r>
      <w:r w:rsidR="00854FA3" w:rsidRPr="001005B7">
        <w:rPr>
          <w:lang w:eastAsia="en-GB"/>
        </w:rPr>
        <w:t xml:space="preserve"> and are better figs than the Jerusalemites</w:t>
      </w:r>
      <w:r w:rsidR="000F5E66" w:rsidRPr="001005B7">
        <w:rPr>
          <w:lang w:eastAsia="en-GB"/>
        </w:rPr>
        <w:t>.</w:t>
      </w:r>
      <w:r w:rsidR="000F5E66" w:rsidRPr="001005B7">
        <w:rPr>
          <w:rStyle w:val="FootnoteReference"/>
          <w:lang w:eastAsia="en-GB"/>
        </w:rPr>
        <w:footnoteReference w:id="286"/>
      </w:r>
    </w:p>
    <w:p w14:paraId="45D050CD" w14:textId="3053B6F1" w:rsidR="00090D82" w:rsidRPr="001005B7" w:rsidRDefault="008F292B" w:rsidP="006572EE">
      <w:pPr>
        <w:rPr>
          <w:lang w:eastAsia="en-GB"/>
        </w:rPr>
      </w:pPr>
      <w:r w:rsidRPr="001005B7">
        <w:rPr>
          <w:b/>
          <w:bCs/>
          <w:lang w:eastAsia="en-GB"/>
        </w:rPr>
        <w:t>11:18b</w:t>
      </w:r>
      <w:r w:rsidR="00F46900" w:rsidRPr="001005B7">
        <w:rPr>
          <w:b/>
          <w:bCs/>
          <w:lang w:eastAsia="en-GB"/>
        </w:rPr>
        <w:t>–</w:t>
      </w:r>
      <w:r w:rsidR="00821CBD" w:rsidRPr="001005B7">
        <w:rPr>
          <w:b/>
          <w:bCs/>
          <w:lang w:eastAsia="en-GB"/>
        </w:rPr>
        <w:t>19</w:t>
      </w:r>
      <w:r w:rsidRPr="001005B7">
        <w:rPr>
          <w:b/>
          <w:bCs/>
          <w:lang w:eastAsia="en-GB"/>
        </w:rPr>
        <w:t xml:space="preserve">a </w:t>
      </w:r>
      <w:r w:rsidR="00B671EF" w:rsidRPr="001005B7">
        <w:rPr>
          <w:lang w:eastAsia="en-GB"/>
        </w:rPr>
        <w:t>Third</w:t>
      </w:r>
      <w:r w:rsidR="0059617C" w:rsidRPr="001005B7">
        <w:rPr>
          <w:lang w:eastAsia="en-GB"/>
        </w:rPr>
        <w:t xml:space="preserve">, </w:t>
      </w:r>
      <w:r w:rsidR="00D14E98" w:rsidRPr="001005B7">
        <w:rPr>
          <w:lang w:eastAsia="en-GB"/>
        </w:rPr>
        <w:t>“</w:t>
      </w:r>
      <w:r w:rsidR="0059617C" w:rsidRPr="001005B7">
        <w:rPr>
          <w:lang w:eastAsia="en-GB"/>
        </w:rPr>
        <w:t>they</w:t>
      </w:r>
      <w:r w:rsidR="0059617C" w:rsidRPr="001005B7">
        <w:rPr>
          <w:i/>
          <w:iCs/>
          <w:lang w:eastAsia="en-GB"/>
        </w:rPr>
        <w:t xml:space="preserve"> </w:t>
      </w:r>
      <w:r w:rsidR="0059617C" w:rsidRPr="001005B7">
        <w:rPr>
          <w:lang w:eastAsia="en-GB"/>
        </w:rPr>
        <w:t>will</w:t>
      </w:r>
      <w:r w:rsidR="0059617C" w:rsidRPr="001005B7">
        <w:rPr>
          <w:i/>
          <w:iCs/>
          <w:lang w:eastAsia="en-GB"/>
        </w:rPr>
        <w:t xml:space="preserve"> </w:t>
      </w:r>
      <w:r w:rsidR="0059617C" w:rsidRPr="001005B7">
        <w:rPr>
          <w:lang w:eastAsia="en-GB"/>
        </w:rPr>
        <w:t>remove</w:t>
      </w:r>
      <w:r w:rsidR="0059617C" w:rsidRPr="001005B7">
        <w:rPr>
          <w:i/>
          <w:iCs/>
          <w:lang w:eastAsia="en-GB"/>
        </w:rPr>
        <w:t xml:space="preserve"> </w:t>
      </w:r>
      <w:r w:rsidR="0059617C" w:rsidRPr="001005B7">
        <w:rPr>
          <w:lang w:eastAsia="en-GB"/>
        </w:rPr>
        <w:t>its</w:t>
      </w:r>
      <w:r w:rsidR="0059617C" w:rsidRPr="001005B7">
        <w:rPr>
          <w:i/>
          <w:iCs/>
          <w:lang w:eastAsia="en-GB"/>
        </w:rPr>
        <w:t xml:space="preserve"> </w:t>
      </w:r>
      <w:r w:rsidR="0059617C" w:rsidRPr="001005B7">
        <w:rPr>
          <w:lang w:eastAsia="en-GB"/>
        </w:rPr>
        <w:t>detestabl</w:t>
      </w:r>
      <w:r w:rsidR="006768E7" w:rsidRPr="001005B7">
        <w:rPr>
          <w:lang w:eastAsia="en-GB"/>
        </w:rPr>
        <w:t>e</w:t>
      </w:r>
      <w:r w:rsidR="006768E7" w:rsidRPr="001005B7">
        <w:rPr>
          <w:i/>
          <w:iCs/>
          <w:lang w:eastAsia="en-GB"/>
        </w:rPr>
        <w:t xml:space="preserve"> </w:t>
      </w:r>
      <w:r w:rsidR="006768E7" w:rsidRPr="001005B7">
        <w:rPr>
          <w:lang w:eastAsia="en-GB"/>
        </w:rPr>
        <w:t>objects</w:t>
      </w:r>
      <w:r w:rsidR="00D14E98" w:rsidRPr="001005B7">
        <w:rPr>
          <w:lang w:eastAsia="en-GB"/>
        </w:rPr>
        <w:t>”</w:t>
      </w:r>
      <w:r w:rsidR="0059617C" w:rsidRPr="001005B7">
        <w:rPr>
          <w:i/>
          <w:iCs/>
          <w:lang w:eastAsia="en-GB"/>
        </w:rPr>
        <w:t xml:space="preserve"> </w:t>
      </w:r>
      <w:r w:rsidR="0059617C" w:rsidRPr="001005B7">
        <w:rPr>
          <w:lang w:eastAsia="en-GB"/>
        </w:rPr>
        <w:t xml:space="preserve">and </w:t>
      </w:r>
      <w:r w:rsidR="00D14E98" w:rsidRPr="001005B7">
        <w:rPr>
          <w:lang w:eastAsia="en-GB"/>
        </w:rPr>
        <w:t>“</w:t>
      </w:r>
      <w:r w:rsidR="0059617C" w:rsidRPr="001005B7">
        <w:rPr>
          <w:lang w:eastAsia="en-GB"/>
        </w:rPr>
        <w:t>its</w:t>
      </w:r>
      <w:r w:rsidR="0059617C" w:rsidRPr="001005B7">
        <w:rPr>
          <w:i/>
          <w:iCs/>
          <w:lang w:eastAsia="en-GB"/>
        </w:rPr>
        <w:t xml:space="preserve"> </w:t>
      </w:r>
      <w:r w:rsidR="0059617C" w:rsidRPr="001005B7">
        <w:rPr>
          <w:lang w:eastAsia="en-GB"/>
        </w:rPr>
        <w:t>outrages</w:t>
      </w:r>
      <w:r w:rsidR="00F9252B" w:rsidRPr="001005B7">
        <w:rPr>
          <w:lang w:eastAsia="en-GB"/>
        </w:rPr>
        <w:t>,</w:t>
      </w:r>
      <w:r w:rsidR="00D14E98" w:rsidRPr="001005B7">
        <w:rPr>
          <w:lang w:eastAsia="en-GB"/>
        </w:rPr>
        <w:t>”</w:t>
      </w:r>
      <w:r w:rsidR="00F9252B" w:rsidRPr="001005B7">
        <w:rPr>
          <w:lang w:eastAsia="en-GB"/>
        </w:rPr>
        <w:t xml:space="preserve"> not a surprising </w:t>
      </w:r>
      <w:r w:rsidR="00490358" w:rsidRPr="001005B7">
        <w:rPr>
          <w:lang w:eastAsia="en-GB"/>
        </w:rPr>
        <w:t xml:space="preserve">expectation in light of Ezekiel’s </w:t>
      </w:r>
      <w:r w:rsidR="00327E82" w:rsidRPr="001005B7">
        <w:rPr>
          <w:lang w:eastAsia="en-GB"/>
        </w:rPr>
        <w:t>concern</w:t>
      </w:r>
      <w:r w:rsidR="00490358" w:rsidRPr="001005B7">
        <w:rPr>
          <w:lang w:eastAsia="en-GB"/>
        </w:rPr>
        <w:t xml:space="preserve"> with these things</w:t>
      </w:r>
      <w:r w:rsidR="00A92FF2" w:rsidRPr="001005B7">
        <w:rPr>
          <w:lang w:eastAsia="en-GB"/>
        </w:rPr>
        <w:t xml:space="preserve">, which also </w:t>
      </w:r>
      <w:r w:rsidR="008B0D5A" w:rsidRPr="001005B7">
        <w:rPr>
          <w:lang w:eastAsia="en-GB"/>
        </w:rPr>
        <w:t>link</w:t>
      </w:r>
      <w:r w:rsidR="00C6141B" w:rsidRPr="001005B7">
        <w:rPr>
          <w:lang w:eastAsia="en-GB"/>
        </w:rPr>
        <w:t>s</w:t>
      </w:r>
      <w:r w:rsidR="008B0D5A" w:rsidRPr="001005B7">
        <w:rPr>
          <w:lang w:eastAsia="en-GB"/>
        </w:rPr>
        <w:t xml:space="preserve"> with</w:t>
      </w:r>
      <w:r w:rsidR="00A92FF2" w:rsidRPr="001005B7">
        <w:rPr>
          <w:lang w:eastAsia="en-GB"/>
        </w:rPr>
        <w:t xml:space="preserve"> the Israelites</w:t>
      </w:r>
      <w:r w:rsidR="00327E82" w:rsidRPr="001005B7">
        <w:rPr>
          <w:lang w:eastAsia="en-GB"/>
        </w:rPr>
        <w:t>’</w:t>
      </w:r>
      <w:r w:rsidR="00A92FF2" w:rsidRPr="001005B7">
        <w:rPr>
          <w:lang w:eastAsia="en-GB"/>
        </w:rPr>
        <w:t xml:space="preserve"> arrival in Canaan</w:t>
      </w:r>
      <w:r w:rsidR="00A83B82" w:rsidRPr="001005B7">
        <w:rPr>
          <w:lang w:eastAsia="en-GB"/>
        </w:rPr>
        <w:t xml:space="preserve"> and </w:t>
      </w:r>
      <w:r w:rsidR="008B0D5A" w:rsidRPr="001005B7">
        <w:rPr>
          <w:lang w:eastAsia="en-GB"/>
        </w:rPr>
        <w:t>with</w:t>
      </w:r>
      <w:r w:rsidR="00A83B82" w:rsidRPr="001005B7">
        <w:rPr>
          <w:lang w:eastAsia="en-GB"/>
        </w:rPr>
        <w:t xml:space="preserve"> Deuteronomy. </w:t>
      </w:r>
      <w:r w:rsidR="00E10CBF" w:rsidRPr="001005B7">
        <w:rPr>
          <w:lang w:eastAsia="en-GB"/>
        </w:rPr>
        <w:t>A</w:t>
      </w:r>
      <w:r w:rsidR="00A83B82" w:rsidRPr="001005B7">
        <w:rPr>
          <w:lang w:eastAsia="en-GB"/>
        </w:rPr>
        <w:t xml:space="preserve"> notable feature of </w:t>
      </w:r>
      <w:r w:rsidR="001675F5" w:rsidRPr="001005B7">
        <w:rPr>
          <w:lang w:eastAsia="en-GB"/>
        </w:rPr>
        <w:t xml:space="preserve">this third promise (if promise is the word) is that it </w:t>
      </w:r>
      <w:r w:rsidR="008B0D5A" w:rsidRPr="001005B7">
        <w:rPr>
          <w:lang w:eastAsia="en-GB"/>
        </w:rPr>
        <w:t>speaks of</w:t>
      </w:r>
      <w:r w:rsidR="001675F5" w:rsidRPr="001005B7">
        <w:rPr>
          <w:lang w:eastAsia="en-GB"/>
        </w:rPr>
        <w:t xml:space="preserve"> something </w:t>
      </w:r>
      <w:r w:rsidR="00E10CBF" w:rsidRPr="001005B7">
        <w:rPr>
          <w:lang w:eastAsia="en-GB"/>
        </w:rPr>
        <w:t xml:space="preserve">that </w:t>
      </w:r>
      <w:r w:rsidR="001675F5" w:rsidRPr="001005B7">
        <w:rPr>
          <w:lang w:eastAsia="en-GB"/>
        </w:rPr>
        <w:t>the Israelites will (at last</w:t>
      </w:r>
      <w:r w:rsidR="00E10CBF" w:rsidRPr="001005B7">
        <w:rPr>
          <w:lang w:eastAsia="en-GB"/>
        </w:rPr>
        <w:t>)</w:t>
      </w:r>
      <w:r w:rsidR="001675F5" w:rsidRPr="001005B7">
        <w:rPr>
          <w:lang w:eastAsia="en-GB"/>
        </w:rPr>
        <w:t xml:space="preserve"> do</w:t>
      </w:r>
      <w:r w:rsidR="002F1757" w:rsidRPr="001005B7">
        <w:rPr>
          <w:lang w:eastAsia="en-GB"/>
        </w:rPr>
        <w:t>.</w:t>
      </w:r>
      <w:r w:rsidR="00071581" w:rsidRPr="001005B7">
        <w:rPr>
          <w:lang w:eastAsia="en-GB"/>
        </w:rPr>
        <w:t xml:space="preserve"> </w:t>
      </w:r>
      <w:r w:rsidR="006F5066" w:rsidRPr="001005B7">
        <w:rPr>
          <w:lang w:eastAsia="en-GB"/>
        </w:rPr>
        <w:t xml:space="preserve">Perhaps </w:t>
      </w:r>
      <w:r w:rsidR="00AF67FF" w:rsidRPr="001005B7">
        <w:rPr>
          <w:lang w:eastAsia="en-GB"/>
        </w:rPr>
        <w:t>Yahweh</w:t>
      </w:r>
      <w:r w:rsidR="006F5066" w:rsidRPr="001005B7">
        <w:rPr>
          <w:lang w:eastAsia="en-GB"/>
        </w:rPr>
        <w:t xml:space="preserve"> implies that their removing </w:t>
      </w:r>
      <w:r w:rsidR="001937BD" w:rsidRPr="001005B7">
        <w:rPr>
          <w:lang w:eastAsia="en-GB"/>
        </w:rPr>
        <w:t>these things will naturally follow from their being gathered and given the country of Canaan</w:t>
      </w:r>
      <w:r w:rsidR="00AF67FF" w:rsidRPr="001005B7">
        <w:rPr>
          <w:lang w:eastAsia="en-GB"/>
        </w:rPr>
        <w:t xml:space="preserve">, but in any case his further promises make the </w:t>
      </w:r>
      <w:r w:rsidR="004676A7" w:rsidRPr="001005B7">
        <w:rPr>
          <w:lang w:eastAsia="en-GB"/>
        </w:rPr>
        <w:t>dynamics</w:t>
      </w:r>
      <w:r w:rsidR="00AF67FF" w:rsidRPr="001005B7">
        <w:rPr>
          <w:lang w:eastAsia="en-GB"/>
        </w:rPr>
        <w:t xml:space="preserve"> of this process</w:t>
      </w:r>
      <w:r w:rsidR="00DD150D" w:rsidRPr="001005B7">
        <w:rPr>
          <w:lang w:eastAsia="en-GB"/>
        </w:rPr>
        <w:t xml:space="preserve"> more concrete. </w:t>
      </w:r>
      <w:r w:rsidR="00E431B6" w:rsidRPr="001005B7">
        <w:rPr>
          <w:lang w:eastAsia="en-GB"/>
        </w:rPr>
        <w:t>“</w:t>
      </w:r>
      <w:r w:rsidR="00F90623" w:rsidRPr="001005B7">
        <w:rPr>
          <w:lang w:eastAsia="en-GB"/>
        </w:rPr>
        <w:t>One</w:t>
      </w:r>
      <w:r w:rsidR="00F90623" w:rsidRPr="001005B7">
        <w:rPr>
          <w:i/>
          <w:iCs/>
          <w:lang w:eastAsia="en-GB"/>
        </w:rPr>
        <w:t xml:space="preserve"> </w:t>
      </w:r>
      <w:r w:rsidR="00F90623" w:rsidRPr="001005B7">
        <w:rPr>
          <w:lang w:eastAsia="en-GB"/>
        </w:rPr>
        <w:t>mind</w:t>
      </w:r>
      <w:r w:rsidR="00E431B6" w:rsidRPr="001005B7">
        <w:rPr>
          <w:lang w:eastAsia="en-GB"/>
        </w:rPr>
        <w:t>”</w:t>
      </w:r>
      <w:r w:rsidR="00F90623" w:rsidRPr="001005B7">
        <w:rPr>
          <w:lang w:eastAsia="en-GB"/>
        </w:rPr>
        <w:t xml:space="preserve"> </w:t>
      </w:r>
      <w:r w:rsidR="00360871" w:rsidRPr="001005B7">
        <w:rPr>
          <w:lang w:eastAsia="en-GB"/>
        </w:rPr>
        <w:t xml:space="preserve">(see 6:9) </w:t>
      </w:r>
      <w:r w:rsidR="00F90623" w:rsidRPr="001005B7">
        <w:rPr>
          <w:lang w:eastAsia="en-GB"/>
        </w:rPr>
        <w:t xml:space="preserve">is </w:t>
      </w:r>
      <w:r w:rsidR="00336625" w:rsidRPr="001005B7">
        <w:rPr>
          <w:lang w:eastAsia="en-GB"/>
        </w:rPr>
        <w:t>an open-ended expression</w:t>
      </w:r>
      <w:r w:rsidR="00EF31C2" w:rsidRPr="001005B7">
        <w:rPr>
          <w:lang w:eastAsia="en-GB"/>
        </w:rPr>
        <w:t xml:space="preserve">. It could embrace a oneness of attitude and thinking between the Jerusalemites and the </w:t>
      </w:r>
      <w:proofErr w:type="spellStart"/>
      <w:r w:rsidR="00EF31C2" w:rsidRPr="001005B7">
        <w:rPr>
          <w:lang w:eastAsia="en-GB"/>
        </w:rPr>
        <w:t>Kebarites</w:t>
      </w:r>
      <w:proofErr w:type="spellEnd"/>
      <w:r w:rsidR="00EF31C2" w:rsidRPr="001005B7">
        <w:rPr>
          <w:lang w:eastAsia="en-GB"/>
        </w:rPr>
        <w:t xml:space="preserve"> </w:t>
      </w:r>
      <w:r w:rsidR="004A44A9" w:rsidRPr="001005B7">
        <w:rPr>
          <w:lang w:eastAsia="en-GB"/>
        </w:rPr>
        <w:t xml:space="preserve">or between Ephraim and Judah. </w:t>
      </w:r>
      <w:r w:rsidR="009C063A" w:rsidRPr="001005B7">
        <w:rPr>
          <w:lang w:eastAsia="en-GB"/>
        </w:rPr>
        <w:t xml:space="preserve">It </w:t>
      </w:r>
      <w:r w:rsidR="00A019CC">
        <w:rPr>
          <w:lang w:eastAsia="en-GB"/>
        </w:rPr>
        <w:t>could</w:t>
      </w:r>
      <w:r w:rsidR="009C063A" w:rsidRPr="001005B7">
        <w:rPr>
          <w:lang w:eastAsia="en-GB"/>
        </w:rPr>
        <w:t xml:space="preserve"> </w:t>
      </w:r>
      <w:proofErr w:type="spellStart"/>
      <w:r w:rsidR="009C063A" w:rsidRPr="001005B7">
        <w:rPr>
          <w:lang w:eastAsia="en-GB"/>
        </w:rPr>
        <w:t>imply</w:t>
      </w:r>
      <w:proofErr w:type="spellEnd"/>
      <w:r w:rsidR="009C063A" w:rsidRPr="001005B7">
        <w:rPr>
          <w:lang w:eastAsia="en-GB"/>
        </w:rPr>
        <w:t xml:space="preserve"> </w:t>
      </w:r>
      <w:r w:rsidR="00ED490A" w:rsidRPr="001005B7">
        <w:rPr>
          <w:lang w:eastAsia="en-GB"/>
        </w:rPr>
        <w:t xml:space="preserve">being of one mind rather than divided mind </w:t>
      </w:r>
      <w:r w:rsidR="00204901" w:rsidRPr="001005B7">
        <w:rPr>
          <w:lang w:eastAsia="en-GB"/>
        </w:rPr>
        <w:t xml:space="preserve">or </w:t>
      </w:r>
      <w:r w:rsidR="00316A0F" w:rsidRPr="001005B7">
        <w:rPr>
          <w:lang w:eastAsia="en-GB"/>
        </w:rPr>
        <w:t xml:space="preserve">being a people that </w:t>
      </w:r>
      <w:r w:rsidR="00E35462" w:rsidRPr="001005B7">
        <w:rPr>
          <w:lang w:eastAsia="en-GB"/>
        </w:rPr>
        <w:t>sometimes thought and decided one thing and sometimes thought and decided another.</w:t>
      </w:r>
      <w:r w:rsidR="00DC7DDD" w:rsidRPr="001005B7">
        <w:rPr>
          <w:lang w:eastAsia="en-GB"/>
        </w:rPr>
        <w:t xml:space="preserve"> Any of these would also be an expression </w:t>
      </w:r>
      <w:r w:rsidR="0068319A" w:rsidRPr="001005B7">
        <w:rPr>
          <w:lang w:eastAsia="en-GB"/>
        </w:rPr>
        <w:t xml:space="preserve">of the </w:t>
      </w:r>
      <w:r w:rsidR="00E431B6" w:rsidRPr="001005B7">
        <w:rPr>
          <w:lang w:eastAsia="en-GB"/>
        </w:rPr>
        <w:t>“</w:t>
      </w:r>
      <w:r w:rsidR="0068319A" w:rsidRPr="001005B7">
        <w:rPr>
          <w:lang w:eastAsia="en-GB"/>
        </w:rPr>
        <w:t>new</w:t>
      </w:r>
      <w:r w:rsidR="0068319A" w:rsidRPr="001005B7">
        <w:rPr>
          <w:i/>
          <w:iCs/>
          <w:lang w:eastAsia="en-GB"/>
        </w:rPr>
        <w:t xml:space="preserve"> </w:t>
      </w:r>
      <w:r w:rsidR="0068319A" w:rsidRPr="001005B7">
        <w:rPr>
          <w:lang w:eastAsia="en-GB"/>
        </w:rPr>
        <w:t>spirit</w:t>
      </w:r>
      <w:r w:rsidR="00E431B6" w:rsidRPr="001005B7">
        <w:rPr>
          <w:lang w:eastAsia="en-GB"/>
        </w:rPr>
        <w:t>”</w:t>
      </w:r>
      <w:r w:rsidR="0068319A" w:rsidRPr="001005B7">
        <w:rPr>
          <w:lang w:eastAsia="en-GB"/>
        </w:rPr>
        <w:t xml:space="preserve"> that Yahweh will give them. </w:t>
      </w:r>
      <w:r w:rsidR="00AC392F" w:rsidRPr="001005B7">
        <w:rPr>
          <w:lang w:eastAsia="en-GB"/>
        </w:rPr>
        <w:t>Either way, t</w:t>
      </w:r>
      <w:r w:rsidR="0068319A" w:rsidRPr="001005B7">
        <w:rPr>
          <w:lang w:eastAsia="en-GB"/>
        </w:rPr>
        <w:t xml:space="preserve">he </w:t>
      </w:r>
      <w:r w:rsidR="00E431B6" w:rsidRPr="001005B7">
        <w:rPr>
          <w:lang w:eastAsia="en-GB"/>
        </w:rPr>
        <w:t>“</w:t>
      </w:r>
      <w:r w:rsidR="0068319A" w:rsidRPr="001005B7">
        <w:rPr>
          <w:lang w:eastAsia="en-GB"/>
        </w:rPr>
        <w:t>mind</w:t>
      </w:r>
      <w:r w:rsidR="00E431B6" w:rsidRPr="001005B7">
        <w:rPr>
          <w:lang w:eastAsia="en-GB"/>
        </w:rPr>
        <w:t>”</w:t>
      </w:r>
      <w:r w:rsidR="0068319A" w:rsidRPr="001005B7">
        <w:rPr>
          <w:lang w:eastAsia="en-GB"/>
        </w:rPr>
        <w:t xml:space="preserve"> suggests thinking and attitude</w:t>
      </w:r>
      <w:r w:rsidR="000753C4" w:rsidRPr="001005B7">
        <w:rPr>
          <w:lang w:eastAsia="en-GB"/>
        </w:rPr>
        <w:t>. T</w:t>
      </w:r>
      <w:r w:rsidR="0068319A" w:rsidRPr="001005B7">
        <w:rPr>
          <w:lang w:eastAsia="en-GB"/>
        </w:rPr>
        <w:t xml:space="preserve">he </w:t>
      </w:r>
      <w:r w:rsidR="00E431B6" w:rsidRPr="001005B7">
        <w:rPr>
          <w:lang w:eastAsia="en-GB"/>
        </w:rPr>
        <w:t>“</w:t>
      </w:r>
      <w:r w:rsidR="0068319A" w:rsidRPr="001005B7">
        <w:rPr>
          <w:lang w:eastAsia="en-GB"/>
        </w:rPr>
        <w:t>spirit</w:t>
      </w:r>
      <w:r w:rsidR="00E431B6" w:rsidRPr="001005B7">
        <w:rPr>
          <w:lang w:eastAsia="en-GB"/>
        </w:rPr>
        <w:t>”</w:t>
      </w:r>
      <w:r w:rsidR="0068319A" w:rsidRPr="001005B7">
        <w:rPr>
          <w:lang w:eastAsia="en-GB"/>
        </w:rPr>
        <w:t xml:space="preserve"> suggests </w:t>
      </w:r>
      <w:r w:rsidR="007A6733" w:rsidRPr="001005B7">
        <w:rPr>
          <w:lang w:eastAsia="en-GB"/>
        </w:rPr>
        <w:t xml:space="preserve">drive and </w:t>
      </w:r>
      <w:r w:rsidR="0068319A" w:rsidRPr="001005B7">
        <w:rPr>
          <w:lang w:eastAsia="en-GB"/>
        </w:rPr>
        <w:t>energy</w:t>
      </w:r>
      <w:r w:rsidR="007A6733" w:rsidRPr="001005B7">
        <w:rPr>
          <w:lang w:eastAsia="en-GB"/>
        </w:rPr>
        <w:t xml:space="preserve">. </w:t>
      </w:r>
    </w:p>
    <w:p w14:paraId="4A67CC0F" w14:textId="4056486E" w:rsidR="00EE7B16" w:rsidRPr="001005B7" w:rsidRDefault="006C7FED" w:rsidP="00FA1919">
      <w:pPr>
        <w:rPr>
          <w:lang w:eastAsia="en-GB"/>
        </w:rPr>
      </w:pPr>
      <w:r w:rsidRPr="001005B7">
        <w:rPr>
          <w:b/>
          <w:bCs/>
          <w:lang w:eastAsia="en-GB"/>
        </w:rPr>
        <w:t>11:</w:t>
      </w:r>
      <w:r w:rsidR="00821CBD" w:rsidRPr="001005B7">
        <w:rPr>
          <w:b/>
          <w:bCs/>
          <w:lang w:eastAsia="en-GB"/>
        </w:rPr>
        <w:t>19b</w:t>
      </w:r>
      <w:r w:rsidR="00F46900" w:rsidRPr="001005B7">
        <w:rPr>
          <w:b/>
          <w:bCs/>
          <w:lang w:eastAsia="en-GB"/>
        </w:rPr>
        <w:t>–</w:t>
      </w:r>
      <w:r w:rsidR="00821CBD" w:rsidRPr="001005B7">
        <w:rPr>
          <w:b/>
          <w:bCs/>
          <w:lang w:eastAsia="en-GB"/>
        </w:rPr>
        <w:t xml:space="preserve">20a </w:t>
      </w:r>
      <w:r w:rsidR="0058068A" w:rsidRPr="001005B7">
        <w:rPr>
          <w:lang w:eastAsia="en-GB"/>
        </w:rPr>
        <w:t xml:space="preserve">Yahweh goes on to spell out further </w:t>
      </w:r>
      <w:r w:rsidR="00DD4E4E" w:rsidRPr="001005B7">
        <w:rPr>
          <w:lang w:eastAsia="en-GB"/>
        </w:rPr>
        <w:t xml:space="preserve">what the </w:t>
      </w:r>
      <w:r w:rsidR="00F30D0E" w:rsidRPr="001005B7">
        <w:rPr>
          <w:lang w:eastAsia="en-GB"/>
        </w:rPr>
        <w:t>“</w:t>
      </w:r>
      <w:r w:rsidR="00DD4E4E" w:rsidRPr="001005B7">
        <w:rPr>
          <w:lang w:eastAsia="en-GB"/>
        </w:rPr>
        <w:t>one mind</w:t>
      </w:r>
      <w:r w:rsidR="00F30D0E" w:rsidRPr="001005B7">
        <w:rPr>
          <w:lang w:eastAsia="en-GB"/>
        </w:rPr>
        <w:t>”</w:t>
      </w:r>
      <w:r w:rsidR="00DD4E4E" w:rsidRPr="001005B7">
        <w:rPr>
          <w:lang w:eastAsia="en-GB"/>
        </w:rPr>
        <w:t xml:space="preserve"> would </w:t>
      </w:r>
      <w:r w:rsidR="00F30D0E" w:rsidRPr="001005B7">
        <w:rPr>
          <w:lang w:eastAsia="en-GB"/>
        </w:rPr>
        <w:t>be</w:t>
      </w:r>
      <w:r w:rsidR="00DD4E4E" w:rsidRPr="001005B7">
        <w:rPr>
          <w:lang w:eastAsia="en-GB"/>
        </w:rPr>
        <w:t xml:space="preserve"> like</w:t>
      </w:r>
      <w:r w:rsidR="00542D65" w:rsidRPr="001005B7">
        <w:rPr>
          <w:lang w:eastAsia="en-GB"/>
        </w:rPr>
        <w:t>. The problem at present is that they have a mind made o</w:t>
      </w:r>
      <w:r w:rsidR="005A6825" w:rsidRPr="001005B7">
        <w:rPr>
          <w:lang w:eastAsia="en-GB"/>
        </w:rPr>
        <w:t>f rock. Rock is really good in its place</w:t>
      </w:r>
      <w:r w:rsidR="00233323" w:rsidRPr="001005B7">
        <w:rPr>
          <w:lang w:eastAsia="en-GB"/>
        </w:rPr>
        <w:t>. T</w:t>
      </w:r>
      <w:r w:rsidR="00B31353" w:rsidRPr="001005B7">
        <w:rPr>
          <w:lang w:eastAsia="en-GB"/>
        </w:rPr>
        <w:t xml:space="preserve">here is </w:t>
      </w:r>
      <w:r w:rsidR="00246201" w:rsidRPr="001005B7">
        <w:rPr>
          <w:lang w:eastAsia="en-GB"/>
        </w:rPr>
        <w:t>much</w:t>
      </w:r>
      <w:r w:rsidR="00B31353" w:rsidRPr="001005B7">
        <w:rPr>
          <w:lang w:eastAsia="en-GB"/>
        </w:rPr>
        <w:t xml:space="preserve"> to be said for being tough-minded</w:t>
      </w:r>
      <w:r w:rsidR="00B1405F" w:rsidRPr="001005B7">
        <w:rPr>
          <w:lang w:eastAsia="en-GB"/>
        </w:rPr>
        <w:t>, except when you are tough-minded and inflexible in the wrong direction</w:t>
      </w:r>
      <w:r w:rsidR="00165656" w:rsidRPr="001005B7">
        <w:rPr>
          <w:lang w:eastAsia="en-GB"/>
        </w:rPr>
        <w:t>,</w:t>
      </w:r>
      <w:r w:rsidR="006A07A3" w:rsidRPr="001005B7">
        <w:rPr>
          <w:lang w:eastAsia="en-GB"/>
        </w:rPr>
        <w:t xml:space="preserve"> and impervious to rebuke (</w:t>
      </w:r>
      <w:proofErr w:type="spellStart"/>
      <w:r w:rsidR="006A07A3" w:rsidRPr="001005B7">
        <w:rPr>
          <w:lang w:eastAsia="en-GB"/>
        </w:rPr>
        <w:t>Qimhi</w:t>
      </w:r>
      <w:proofErr w:type="spellEnd"/>
      <w:r w:rsidR="0034722F" w:rsidRPr="001005B7">
        <w:rPr>
          <w:lang w:eastAsia="en-GB"/>
        </w:rPr>
        <w:t>,</w:t>
      </w:r>
      <w:r w:rsidR="006A07A3" w:rsidRPr="001005B7">
        <w:rPr>
          <w:lang w:eastAsia="en-GB"/>
        </w:rPr>
        <w:t xml:space="preserve"> in MG)</w:t>
      </w:r>
      <w:r w:rsidR="00B1405F" w:rsidRPr="001005B7">
        <w:rPr>
          <w:lang w:eastAsia="en-GB"/>
        </w:rPr>
        <w:t xml:space="preserve">. </w:t>
      </w:r>
      <w:r w:rsidR="009A34D1" w:rsidRPr="001005B7">
        <w:rPr>
          <w:lang w:eastAsia="en-GB"/>
        </w:rPr>
        <w:t xml:space="preserve">Somewhat paradoxically, a people needs to be </w:t>
      </w:r>
      <w:r w:rsidR="00D9247C" w:rsidRPr="001005B7">
        <w:rPr>
          <w:lang w:eastAsia="en-GB"/>
        </w:rPr>
        <w:t xml:space="preserve">capable of both strength and </w:t>
      </w:r>
      <w:r w:rsidR="0044621B" w:rsidRPr="001005B7">
        <w:rPr>
          <w:lang w:eastAsia="en-GB"/>
        </w:rPr>
        <w:t>suppleness</w:t>
      </w:r>
      <w:r w:rsidR="00D9247C" w:rsidRPr="001005B7">
        <w:rPr>
          <w:lang w:eastAsia="en-GB"/>
        </w:rPr>
        <w:t xml:space="preserve">. It needs to be willing to be </w:t>
      </w:r>
      <w:r w:rsidR="0044621B" w:rsidRPr="001005B7">
        <w:rPr>
          <w:lang w:eastAsia="en-GB"/>
        </w:rPr>
        <w:t>malleable</w:t>
      </w:r>
      <w:r w:rsidR="00815E12" w:rsidRPr="001005B7">
        <w:rPr>
          <w:lang w:eastAsia="en-GB"/>
        </w:rPr>
        <w:t xml:space="preserve"> when there is need</w:t>
      </w:r>
      <w:r w:rsidR="00BB58A2" w:rsidRPr="001005B7">
        <w:rPr>
          <w:lang w:eastAsia="en-GB"/>
        </w:rPr>
        <w:t>. S</w:t>
      </w:r>
      <w:r w:rsidR="00AB0387" w:rsidRPr="001005B7">
        <w:rPr>
          <w:lang w:eastAsia="en-GB"/>
        </w:rPr>
        <w:t>uch pliability is what a people needs in relation</w:t>
      </w:r>
      <w:r w:rsidR="002460B5" w:rsidRPr="001005B7">
        <w:rPr>
          <w:lang w:eastAsia="en-GB"/>
        </w:rPr>
        <w:t xml:space="preserve"> to God. </w:t>
      </w:r>
      <w:r w:rsidR="00A81CBF" w:rsidRPr="001005B7">
        <w:rPr>
          <w:lang w:eastAsia="en-GB"/>
        </w:rPr>
        <w:t>When Yahweh lays down expectations about worship and life</w:t>
      </w:r>
      <w:r w:rsidR="00492C8B" w:rsidRPr="001005B7">
        <w:rPr>
          <w:lang w:eastAsia="en-GB"/>
        </w:rPr>
        <w:t xml:space="preserve">, a people needs to yield to them. In this connection </w:t>
      </w:r>
      <w:r w:rsidR="00A01DAC">
        <w:rPr>
          <w:lang w:eastAsia="en-GB"/>
        </w:rPr>
        <w:t xml:space="preserve">Yahweh </w:t>
      </w:r>
      <w:r w:rsidR="00542D65" w:rsidRPr="001005B7">
        <w:rPr>
          <w:lang w:eastAsia="en-GB"/>
        </w:rPr>
        <w:t xml:space="preserve">himself uses the verb </w:t>
      </w:r>
      <w:r w:rsidR="00542D65" w:rsidRPr="001005B7">
        <w:rPr>
          <w:i/>
          <w:iCs/>
          <w:lang w:eastAsia="en-GB"/>
        </w:rPr>
        <w:t>remove</w:t>
      </w:r>
      <w:r w:rsidR="00FD59CC" w:rsidRPr="001005B7">
        <w:rPr>
          <w:lang w:eastAsia="en-GB"/>
        </w:rPr>
        <w:t xml:space="preserve">, </w:t>
      </w:r>
      <w:r w:rsidR="003407A5">
        <w:rPr>
          <w:lang w:eastAsia="en-GB"/>
        </w:rPr>
        <w:t>a removing that will make possible</w:t>
      </w:r>
      <w:r w:rsidR="00FD59CC" w:rsidRPr="001005B7">
        <w:rPr>
          <w:lang w:eastAsia="en-GB"/>
        </w:rPr>
        <w:t xml:space="preserve"> </w:t>
      </w:r>
      <w:r w:rsidR="006657D7">
        <w:rPr>
          <w:lang w:eastAsia="en-GB"/>
        </w:rPr>
        <w:t>a</w:t>
      </w:r>
      <w:r w:rsidR="00FD59CC" w:rsidRPr="001005B7">
        <w:rPr>
          <w:lang w:eastAsia="en-GB"/>
        </w:rPr>
        <w:t xml:space="preserve"> malleabilit</w:t>
      </w:r>
      <w:r w:rsidR="007F6EF1" w:rsidRPr="001005B7">
        <w:rPr>
          <w:lang w:eastAsia="en-GB"/>
        </w:rPr>
        <w:t>y</w:t>
      </w:r>
      <w:r w:rsidR="006657D7">
        <w:rPr>
          <w:lang w:eastAsia="en-GB"/>
        </w:rPr>
        <w:t xml:space="preserve"> that</w:t>
      </w:r>
      <w:r w:rsidR="007F6EF1" w:rsidRPr="001005B7">
        <w:rPr>
          <w:lang w:eastAsia="en-GB"/>
        </w:rPr>
        <w:t xml:space="preserve"> will issue in their </w:t>
      </w:r>
      <w:r w:rsidR="0094197D" w:rsidRPr="001005B7">
        <w:rPr>
          <w:lang w:eastAsia="en-GB"/>
        </w:rPr>
        <w:t>living by his expectations.</w:t>
      </w:r>
      <w:r w:rsidR="00516B83" w:rsidRPr="001005B7">
        <w:rPr>
          <w:lang w:eastAsia="en-GB"/>
        </w:rPr>
        <w:t xml:space="preserve"> </w:t>
      </w:r>
      <w:r w:rsidR="00EE7B16" w:rsidRPr="001005B7">
        <w:rPr>
          <w:lang w:eastAsia="en-GB"/>
        </w:rPr>
        <w:t>Deuteronomy lays down at great length Yahweh’s expectations of Israel, then recognizes that Israel will not fulfill them</w:t>
      </w:r>
      <w:r w:rsidR="00666B00" w:rsidRPr="001005B7">
        <w:rPr>
          <w:lang w:eastAsia="en-GB"/>
        </w:rPr>
        <w:t xml:space="preserve"> and will experience curse rather than blessing</w:t>
      </w:r>
      <w:r w:rsidR="00D16CC4" w:rsidRPr="001005B7">
        <w:rPr>
          <w:lang w:eastAsia="en-GB"/>
        </w:rPr>
        <w:t xml:space="preserve">, and thus promises that Yahweh will </w:t>
      </w:r>
      <w:r w:rsidR="00491851" w:rsidRPr="001005B7">
        <w:rPr>
          <w:lang w:eastAsia="en-GB"/>
        </w:rPr>
        <w:t xml:space="preserve">circumcise </w:t>
      </w:r>
      <w:r w:rsidR="00E22420" w:rsidRPr="001005B7">
        <w:rPr>
          <w:lang w:eastAsia="en-GB"/>
        </w:rPr>
        <w:t>his people’s mind in order to turn them into people who do as he says</w:t>
      </w:r>
      <w:r w:rsidR="00083473" w:rsidRPr="001005B7">
        <w:rPr>
          <w:lang w:eastAsia="en-GB"/>
        </w:rPr>
        <w:t xml:space="preserve"> (Deut 30</w:t>
      </w:r>
      <w:r w:rsidR="00C244EC" w:rsidRPr="001005B7">
        <w:rPr>
          <w:lang w:eastAsia="en-GB"/>
        </w:rPr>
        <w:t>)</w:t>
      </w:r>
      <w:r w:rsidR="00E22420" w:rsidRPr="001005B7">
        <w:rPr>
          <w:lang w:eastAsia="en-GB"/>
        </w:rPr>
        <w:t>.</w:t>
      </w:r>
      <w:r w:rsidR="0095503B" w:rsidRPr="001005B7">
        <w:rPr>
          <w:lang w:eastAsia="en-GB"/>
        </w:rPr>
        <w:t xml:space="preserve"> </w:t>
      </w:r>
      <w:r w:rsidR="00765629">
        <w:rPr>
          <w:lang w:eastAsia="en-GB"/>
        </w:rPr>
        <w:t>Deuteronomy</w:t>
      </w:r>
      <w:r w:rsidR="0095503B" w:rsidRPr="001005B7">
        <w:rPr>
          <w:lang w:eastAsia="en-GB"/>
        </w:rPr>
        <w:t xml:space="preserve"> does not simply believe in a retribution theology</w:t>
      </w:r>
      <w:r w:rsidR="00765629">
        <w:rPr>
          <w:lang w:eastAsia="en-GB"/>
        </w:rPr>
        <w:t>.</w:t>
      </w:r>
      <w:r w:rsidR="00BB58A2" w:rsidRPr="001005B7">
        <w:rPr>
          <w:lang w:eastAsia="en-GB"/>
        </w:rPr>
        <w:t xml:space="preserve"> </w:t>
      </w:r>
      <w:r w:rsidR="0095503B" w:rsidRPr="001005B7">
        <w:rPr>
          <w:lang w:eastAsia="en-GB"/>
        </w:rPr>
        <w:t xml:space="preserve">Yahweh </w:t>
      </w:r>
      <w:r w:rsidR="00A964B4" w:rsidRPr="001005B7">
        <w:rPr>
          <w:lang w:eastAsia="en-GB"/>
        </w:rPr>
        <w:t xml:space="preserve">does </w:t>
      </w:r>
      <w:r w:rsidR="0095503B" w:rsidRPr="001005B7">
        <w:rPr>
          <w:lang w:eastAsia="en-GB"/>
        </w:rPr>
        <w:t>act in retribution, but also in grace.</w:t>
      </w:r>
      <w:r w:rsidR="00E22420" w:rsidRPr="001005B7">
        <w:rPr>
          <w:lang w:eastAsia="en-GB"/>
        </w:rPr>
        <w:t xml:space="preserve"> Ezekiel </w:t>
      </w:r>
      <w:r w:rsidR="00B9556D" w:rsidRPr="001005B7">
        <w:rPr>
          <w:lang w:eastAsia="en-GB"/>
        </w:rPr>
        <w:t>(and Jeremiah) work with the same assumptions. All</w:t>
      </w:r>
      <w:r w:rsidR="007941C0" w:rsidRPr="001005B7">
        <w:rPr>
          <w:lang w:eastAsia="en-GB"/>
        </w:rPr>
        <w:t xml:space="preserve"> of them</w:t>
      </w:r>
      <w:r w:rsidR="00B9556D" w:rsidRPr="001005B7">
        <w:rPr>
          <w:lang w:eastAsia="en-GB"/>
        </w:rPr>
        <w:t xml:space="preserve"> leave hazy the relationship between </w:t>
      </w:r>
      <w:r w:rsidR="00E67293" w:rsidRPr="001005B7">
        <w:rPr>
          <w:lang w:eastAsia="en-GB"/>
        </w:rPr>
        <w:t>Yahweh’s action and the people’s action</w:t>
      </w:r>
      <w:r w:rsidR="00765629">
        <w:rPr>
          <w:lang w:eastAsia="en-GB"/>
        </w:rPr>
        <w:t>, which</w:t>
      </w:r>
      <w:r w:rsidR="00E67293" w:rsidRPr="001005B7">
        <w:rPr>
          <w:lang w:eastAsia="en-GB"/>
        </w:rPr>
        <w:t xml:space="preserve"> cannot be unequivocally stated.</w:t>
      </w:r>
      <w:r w:rsidR="00F42134" w:rsidRPr="001005B7">
        <w:rPr>
          <w:rStyle w:val="FootnoteReference"/>
          <w:lang w:eastAsia="en-GB"/>
        </w:rPr>
        <w:footnoteReference w:id="287"/>
      </w:r>
      <w:r w:rsidR="00E67293" w:rsidRPr="001005B7">
        <w:rPr>
          <w:lang w:eastAsia="en-GB"/>
        </w:rPr>
        <w:t xml:space="preserve"> The people need to turn to Yahweh and Yahweh will t</w:t>
      </w:r>
      <w:r w:rsidR="008D3716" w:rsidRPr="001005B7">
        <w:rPr>
          <w:lang w:eastAsia="en-GB"/>
        </w:rPr>
        <w:t>ransform</w:t>
      </w:r>
      <w:r w:rsidR="00E67293" w:rsidRPr="001005B7">
        <w:rPr>
          <w:lang w:eastAsia="en-GB"/>
        </w:rPr>
        <w:t xml:space="preserve"> them into an obedient people</w:t>
      </w:r>
      <w:r w:rsidR="00BB58A2" w:rsidRPr="001005B7">
        <w:rPr>
          <w:lang w:eastAsia="en-GB"/>
        </w:rPr>
        <w:t>.</w:t>
      </w:r>
      <w:r w:rsidR="00E67293" w:rsidRPr="001005B7">
        <w:rPr>
          <w:lang w:eastAsia="en-GB"/>
        </w:rPr>
        <w:t xml:space="preserve"> </w:t>
      </w:r>
      <w:r w:rsidR="008D3716" w:rsidRPr="001005B7">
        <w:rPr>
          <w:lang w:eastAsia="en-GB"/>
        </w:rPr>
        <w:t>Yahweh needs to transform them and they will turn to him.</w:t>
      </w:r>
      <w:r w:rsidR="007157F7" w:rsidRPr="001005B7">
        <w:rPr>
          <w:lang w:eastAsia="en-GB"/>
        </w:rPr>
        <w:t xml:space="preserve"> </w:t>
      </w:r>
      <w:r w:rsidR="00C76FD1" w:rsidRPr="001005B7">
        <w:rPr>
          <w:lang w:eastAsia="en-GB"/>
        </w:rPr>
        <w:t>The Torah works more with the first logic; Ezekiel works more with the second.</w:t>
      </w:r>
      <w:r w:rsidR="00197E7A" w:rsidRPr="001005B7">
        <w:rPr>
          <w:rStyle w:val="FootnoteReference"/>
          <w:lang w:eastAsia="en-GB"/>
        </w:rPr>
        <w:footnoteReference w:id="288"/>
      </w:r>
    </w:p>
    <w:p w14:paraId="4E28DAAD" w14:textId="61D34E33" w:rsidR="000B029C" w:rsidRPr="001005B7" w:rsidRDefault="003F312A" w:rsidP="00AC2893">
      <w:pPr>
        <w:rPr>
          <w:lang w:eastAsia="en-GB"/>
        </w:rPr>
      </w:pPr>
      <w:r w:rsidRPr="001005B7">
        <w:rPr>
          <w:b/>
          <w:bCs/>
          <w:lang w:eastAsia="en-GB"/>
        </w:rPr>
        <w:t>11:</w:t>
      </w:r>
      <w:r w:rsidR="00552B25" w:rsidRPr="001005B7">
        <w:rPr>
          <w:b/>
          <w:bCs/>
          <w:lang w:eastAsia="en-GB"/>
        </w:rPr>
        <w:t>20</w:t>
      </w:r>
      <w:r w:rsidRPr="001005B7">
        <w:rPr>
          <w:b/>
          <w:bCs/>
          <w:lang w:eastAsia="en-GB"/>
        </w:rPr>
        <w:t>b</w:t>
      </w:r>
      <w:r w:rsidR="00552B25" w:rsidRPr="001005B7">
        <w:rPr>
          <w:b/>
          <w:bCs/>
          <w:lang w:eastAsia="en-GB"/>
        </w:rPr>
        <w:t xml:space="preserve"> </w:t>
      </w:r>
      <w:r w:rsidR="0095503B" w:rsidRPr="001005B7">
        <w:rPr>
          <w:lang w:eastAsia="en-GB"/>
        </w:rPr>
        <w:t>Th</w:t>
      </w:r>
      <w:r w:rsidR="0029008A" w:rsidRPr="001005B7">
        <w:rPr>
          <w:lang w:eastAsia="en-GB"/>
        </w:rPr>
        <w:t xml:space="preserve">e promises </w:t>
      </w:r>
      <w:r w:rsidR="00320AEC" w:rsidRPr="001005B7">
        <w:rPr>
          <w:lang w:eastAsia="en-GB"/>
        </w:rPr>
        <w:t xml:space="preserve">(if again “promises” is not too unequivocal a word) </w:t>
      </w:r>
      <w:r w:rsidR="0029008A" w:rsidRPr="001005B7">
        <w:rPr>
          <w:lang w:eastAsia="en-GB"/>
        </w:rPr>
        <w:t xml:space="preserve">come to a climax </w:t>
      </w:r>
      <w:r w:rsidR="00F27A69" w:rsidRPr="001005B7">
        <w:rPr>
          <w:lang w:eastAsia="en-GB"/>
        </w:rPr>
        <w:t xml:space="preserve">with Israel being a people for Yahweh and Yahweh being God for Israel. </w:t>
      </w:r>
      <w:r w:rsidR="006D440C" w:rsidRPr="001005B7">
        <w:rPr>
          <w:lang w:eastAsia="en-GB"/>
        </w:rPr>
        <w:t xml:space="preserve">The expression </w:t>
      </w:r>
      <w:r w:rsidR="0087664A" w:rsidRPr="001005B7">
        <w:rPr>
          <w:lang w:eastAsia="en-GB"/>
        </w:rPr>
        <w:t>“</w:t>
      </w:r>
      <w:r w:rsidR="00013443" w:rsidRPr="001005B7">
        <w:rPr>
          <w:lang w:eastAsia="en-GB"/>
        </w:rPr>
        <w:t>they</w:t>
      </w:r>
      <w:r w:rsidR="00A30895" w:rsidRPr="001005B7">
        <w:rPr>
          <w:i/>
          <w:iCs/>
          <w:lang w:eastAsia="en-GB"/>
        </w:rPr>
        <w:t>/</w:t>
      </w:r>
      <w:r w:rsidR="00A30895" w:rsidRPr="001005B7">
        <w:rPr>
          <w:lang w:eastAsia="en-GB"/>
        </w:rPr>
        <w:t>you</w:t>
      </w:r>
      <w:r w:rsidR="00013443" w:rsidRPr="001005B7">
        <w:rPr>
          <w:i/>
          <w:iCs/>
          <w:lang w:eastAsia="en-GB"/>
        </w:rPr>
        <w:t xml:space="preserve"> </w:t>
      </w:r>
      <w:r w:rsidR="00013443" w:rsidRPr="001005B7">
        <w:rPr>
          <w:lang w:eastAsia="en-GB"/>
        </w:rPr>
        <w:t>will</w:t>
      </w:r>
      <w:r w:rsidR="00013443" w:rsidRPr="001005B7">
        <w:rPr>
          <w:i/>
          <w:iCs/>
          <w:lang w:eastAsia="en-GB"/>
        </w:rPr>
        <w:t xml:space="preserve"> </w:t>
      </w:r>
      <w:r w:rsidR="00013443" w:rsidRPr="001005B7">
        <w:rPr>
          <w:lang w:eastAsia="en-GB"/>
        </w:rPr>
        <w:t>be</w:t>
      </w:r>
      <w:r w:rsidR="0087664A" w:rsidRPr="001005B7">
        <w:rPr>
          <w:lang w:eastAsia="en-GB"/>
        </w:rPr>
        <w:t xml:space="preserve"> a</w:t>
      </w:r>
      <w:r w:rsidR="00013443" w:rsidRPr="001005B7">
        <w:rPr>
          <w:i/>
          <w:iCs/>
          <w:lang w:eastAsia="en-GB"/>
        </w:rPr>
        <w:t xml:space="preserve"> </w:t>
      </w:r>
      <w:r w:rsidR="00013443" w:rsidRPr="001005B7">
        <w:rPr>
          <w:lang w:eastAsia="en-GB"/>
        </w:rPr>
        <w:t>people</w:t>
      </w:r>
      <w:r w:rsidR="00013443" w:rsidRPr="001005B7">
        <w:rPr>
          <w:i/>
          <w:iCs/>
          <w:lang w:eastAsia="en-GB"/>
        </w:rPr>
        <w:t xml:space="preserve"> </w:t>
      </w:r>
      <w:r w:rsidR="00013443" w:rsidRPr="001005B7">
        <w:rPr>
          <w:lang w:eastAsia="en-GB"/>
        </w:rPr>
        <w:t>for</w:t>
      </w:r>
      <w:r w:rsidR="00013443" w:rsidRPr="001005B7">
        <w:rPr>
          <w:i/>
          <w:iCs/>
          <w:lang w:eastAsia="en-GB"/>
        </w:rPr>
        <w:t xml:space="preserve"> </w:t>
      </w:r>
      <w:r w:rsidR="00013443" w:rsidRPr="001005B7">
        <w:rPr>
          <w:lang w:eastAsia="en-GB"/>
        </w:rPr>
        <w:t>me</w:t>
      </w:r>
      <w:r w:rsidR="00013443" w:rsidRPr="001005B7">
        <w:rPr>
          <w:i/>
          <w:iCs/>
          <w:lang w:eastAsia="en-GB"/>
        </w:rPr>
        <w:t xml:space="preserve">, </w:t>
      </w:r>
      <w:r w:rsidR="00013443" w:rsidRPr="001005B7">
        <w:rPr>
          <w:lang w:eastAsia="en-GB"/>
        </w:rPr>
        <w:t>and</w:t>
      </w:r>
      <w:r w:rsidR="0087664A" w:rsidRPr="001005B7">
        <w:rPr>
          <w:lang w:eastAsia="en-GB"/>
        </w:rPr>
        <w:t xml:space="preserve"> I</w:t>
      </w:r>
      <w:r w:rsidR="00013443" w:rsidRPr="001005B7">
        <w:rPr>
          <w:i/>
          <w:iCs/>
          <w:lang w:eastAsia="en-GB"/>
        </w:rPr>
        <w:t xml:space="preserve"> </w:t>
      </w:r>
      <w:r w:rsidR="00013443" w:rsidRPr="001005B7">
        <w:rPr>
          <w:lang w:eastAsia="en-GB"/>
        </w:rPr>
        <w:t>will</w:t>
      </w:r>
      <w:r w:rsidR="00013443" w:rsidRPr="001005B7">
        <w:rPr>
          <w:i/>
          <w:iCs/>
          <w:lang w:eastAsia="en-GB"/>
        </w:rPr>
        <w:t xml:space="preserve"> </w:t>
      </w:r>
      <w:r w:rsidR="00013443" w:rsidRPr="001005B7">
        <w:rPr>
          <w:lang w:eastAsia="en-GB"/>
        </w:rPr>
        <w:t>be</w:t>
      </w:r>
      <w:r w:rsidR="00013443" w:rsidRPr="001005B7">
        <w:rPr>
          <w:i/>
          <w:iCs/>
          <w:lang w:eastAsia="en-GB"/>
        </w:rPr>
        <w:t xml:space="preserve"> </w:t>
      </w:r>
      <w:r w:rsidR="00013443" w:rsidRPr="001005B7">
        <w:rPr>
          <w:lang w:eastAsia="en-GB"/>
        </w:rPr>
        <w:t>God</w:t>
      </w:r>
      <w:r w:rsidR="00013443" w:rsidRPr="001005B7">
        <w:rPr>
          <w:i/>
          <w:iCs/>
          <w:lang w:eastAsia="en-GB"/>
        </w:rPr>
        <w:t xml:space="preserve"> </w:t>
      </w:r>
      <w:r w:rsidR="00013443" w:rsidRPr="001005B7">
        <w:rPr>
          <w:lang w:eastAsia="en-GB"/>
        </w:rPr>
        <w:t>for</w:t>
      </w:r>
      <w:r w:rsidR="00013443" w:rsidRPr="001005B7">
        <w:rPr>
          <w:i/>
          <w:iCs/>
          <w:lang w:eastAsia="en-GB"/>
        </w:rPr>
        <w:t xml:space="preserve"> </w:t>
      </w:r>
      <w:r w:rsidR="00013443" w:rsidRPr="001005B7">
        <w:rPr>
          <w:lang w:eastAsia="en-GB"/>
        </w:rPr>
        <w:t>them</w:t>
      </w:r>
      <w:r w:rsidR="00A30895" w:rsidRPr="001005B7">
        <w:rPr>
          <w:i/>
          <w:iCs/>
          <w:lang w:eastAsia="en-GB"/>
        </w:rPr>
        <w:t>/</w:t>
      </w:r>
      <w:r w:rsidR="00A30895" w:rsidRPr="001005B7">
        <w:rPr>
          <w:lang w:eastAsia="en-GB"/>
        </w:rPr>
        <w:t>you</w:t>
      </w:r>
      <w:r w:rsidR="0087664A" w:rsidRPr="001005B7">
        <w:rPr>
          <w:lang w:eastAsia="en-GB"/>
        </w:rPr>
        <w:t>”</w:t>
      </w:r>
      <w:r w:rsidR="00A30895" w:rsidRPr="001005B7">
        <w:rPr>
          <w:lang w:eastAsia="en-GB"/>
        </w:rPr>
        <w:t xml:space="preserve"> occurs</w:t>
      </w:r>
      <w:r w:rsidR="00B24CD8" w:rsidRPr="001005B7">
        <w:rPr>
          <w:lang w:eastAsia="en-GB"/>
        </w:rPr>
        <w:t xml:space="preserve"> </w:t>
      </w:r>
      <w:r w:rsidR="00160C77" w:rsidRPr="001005B7">
        <w:rPr>
          <w:lang w:eastAsia="en-GB"/>
        </w:rPr>
        <w:t>four more times in Ezekiel (</w:t>
      </w:r>
      <w:r w:rsidR="001B30B9" w:rsidRPr="001005B7">
        <w:rPr>
          <w:lang w:eastAsia="en-GB"/>
        </w:rPr>
        <w:t xml:space="preserve">14:11; 36:28; 37:23, 27), </w:t>
      </w:r>
      <w:r w:rsidR="00094505" w:rsidRPr="001005B7">
        <w:rPr>
          <w:lang w:eastAsia="en-GB"/>
        </w:rPr>
        <w:t>six times in Jerem</w:t>
      </w:r>
      <w:r w:rsidR="00302D09" w:rsidRPr="001005B7">
        <w:rPr>
          <w:lang w:eastAsia="en-GB"/>
        </w:rPr>
        <w:t>iah (</w:t>
      </w:r>
      <w:r w:rsidR="00282709" w:rsidRPr="001005B7">
        <w:rPr>
          <w:lang w:eastAsia="en-GB"/>
        </w:rPr>
        <w:t>7:23; 11:4</w:t>
      </w:r>
      <w:r w:rsidR="00E60CE3" w:rsidRPr="001005B7">
        <w:rPr>
          <w:lang w:eastAsia="en-GB"/>
        </w:rPr>
        <w:t xml:space="preserve">; </w:t>
      </w:r>
      <w:r w:rsidR="0043723D" w:rsidRPr="001005B7">
        <w:rPr>
          <w:lang w:eastAsia="en-GB"/>
        </w:rPr>
        <w:t xml:space="preserve">24:7; </w:t>
      </w:r>
      <w:r w:rsidR="00E60CE3" w:rsidRPr="001005B7">
        <w:rPr>
          <w:lang w:eastAsia="en-GB"/>
        </w:rPr>
        <w:t xml:space="preserve">30:22; </w:t>
      </w:r>
      <w:r w:rsidR="0043723D" w:rsidRPr="001005B7">
        <w:rPr>
          <w:lang w:eastAsia="en-GB"/>
        </w:rPr>
        <w:t xml:space="preserve">31:33; </w:t>
      </w:r>
      <w:r w:rsidR="00B82A7D" w:rsidRPr="001005B7">
        <w:rPr>
          <w:lang w:eastAsia="en-GB"/>
        </w:rPr>
        <w:t>32</w:t>
      </w:r>
      <w:r w:rsidR="00FD52DE" w:rsidRPr="001005B7">
        <w:rPr>
          <w:lang w:eastAsia="en-GB"/>
        </w:rPr>
        <w:t>:</w:t>
      </w:r>
      <w:r w:rsidR="00B82A7D" w:rsidRPr="001005B7">
        <w:rPr>
          <w:lang w:eastAsia="en-GB"/>
        </w:rPr>
        <w:t>38</w:t>
      </w:r>
      <w:r w:rsidR="00FD52DE" w:rsidRPr="001005B7">
        <w:rPr>
          <w:lang w:eastAsia="en-GB"/>
        </w:rPr>
        <w:t>)</w:t>
      </w:r>
      <w:r w:rsidR="003B1393" w:rsidRPr="001005B7">
        <w:rPr>
          <w:lang w:eastAsia="en-GB"/>
        </w:rPr>
        <w:t xml:space="preserve">, and </w:t>
      </w:r>
      <w:r w:rsidR="00610E0F" w:rsidRPr="001005B7">
        <w:rPr>
          <w:lang w:eastAsia="en-GB"/>
        </w:rPr>
        <w:t>twice elsewhere</w:t>
      </w:r>
      <w:r w:rsidR="0034744A" w:rsidRPr="001005B7">
        <w:rPr>
          <w:lang w:eastAsia="en-GB"/>
        </w:rPr>
        <w:t xml:space="preserve"> </w:t>
      </w:r>
      <w:r w:rsidR="003B1393" w:rsidRPr="001005B7">
        <w:rPr>
          <w:lang w:eastAsia="en-GB"/>
        </w:rPr>
        <w:t>(Lev 26:12</w:t>
      </w:r>
      <w:r w:rsidR="00F978FD" w:rsidRPr="001005B7">
        <w:rPr>
          <w:lang w:eastAsia="en-GB"/>
        </w:rPr>
        <w:t>, in that favorite chapter of Ezekiel’s</w:t>
      </w:r>
      <w:r w:rsidR="00AC2893" w:rsidRPr="001005B7">
        <w:rPr>
          <w:lang w:eastAsia="en-GB"/>
        </w:rPr>
        <w:t xml:space="preserve">; </w:t>
      </w:r>
      <w:r w:rsidR="00990F29" w:rsidRPr="001005B7">
        <w:rPr>
          <w:lang w:eastAsia="en-GB"/>
        </w:rPr>
        <w:t>Zech 8:8</w:t>
      </w:r>
      <w:r w:rsidR="00AC2893" w:rsidRPr="001005B7">
        <w:rPr>
          <w:lang w:eastAsia="en-GB"/>
        </w:rPr>
        <w:t xml:space="preserve">; also </w:t>
      </w:r>
      <w:r w:rsidR="00990F29" w:rsidRPr="001005B7">
        <w:rPr>
          <w:lang w:eastAsia="en-GB"/>
        </w:rPr>
        <w:t>2</w:t>
      </w:r>
      <w:r w:rsidR="00BC088B" w:rsidRPr="001005B7">
        <w:rPr>
          <w:lang w:eastAsia="en-GB"/>
        </w:rPr>
        <w:t> Cor</w:t>
      </w:r>
      <w:r w:rsidR="00990F29" w:rsidRPr="001005B7">
        <w:rPr>
          <w:lang w:eastAsia="en-GB"/>
        </w:rPr>
        <w:t xml:space="preserve"> 6:16</w:t>
      </w:r>
      <w:r w:rsidR="00AC2893" w:rsidRPr="001005B7">
        <w:rPr>
          <w:lang w:eastAsia="en-GB"/>
        </w:rPr>
        <w:t xml:space="preserve">). </w:t>
      </w:r>
      <w:r w:rsidR="007815B5" w:rsidRPr="001005B7">
        <w:rPr>
          <w:lang w:eastAsia="en-GB"/>
        </w:rPr>
        <w:t>Of the m</w:t>
      </w:r>
      <w:r w:rsidR="0040670F" w:rsidRPr="001005B7">
        <w:rPr>
          <w:lang w:eastAsia="en-GB"/>
        </w:rPr>
        <w:t xml:space="preserve">any </w:t>
      </w:r>
      <w:r w:rsidR="00660820" w:rsidRPr="001005B7">
        <w:rPr>
          <w:lang w:eastAsia="en-GB"/>
        </w:rPr>
        <w:t xml:space="preserve">other </w:t>
      </w:r>
      <w:r w:rsidR="0040670F" w:rsidRPr="001005B7">
        <w:rPr>
          <w:lang w:eastAsia="en-GB"/>
        </w:rPr>
        <w:t>variants on the phrase</w:t>
      </w:r>
      <w:r w:rsidR="007815B5" w:rsidRPr="001005B7">
        <w:rPr>
          <w:lang w:eastAsia="en-GB"/>
        </w:rPr>
        <w:t>,</w:t>
      </w:r>
      <w:r w:rsidR="0040670F" w:rsidRPr="001005B7">
        <w:rPr>
          <w:lang w:eastAsia="en-GB"/>
        </w:rPr>
        <w:t xml:space="preserve"> </w:t>
      </w:r>
      <w:r w:rsidR="00992AD7" w:rsidRPr="001005B7">
        <w:rPr>
          <w:lang w:eastAsia="en-GB"/>
        </w:rPr>
        <w:t>an</w:t>
      </w:r>
      <w:r w:rsidR="0040670F" w:rsidRPr="001005B7">
        <w:rPr>
          <w:lang w:eastAsia="en-GB"/>
        </w:rPr>
        <w:t xml:space="preserve"> especially</w:t>
      </w:r>
      <w:r w:rsidR="00D4682C">
        <w:rPr>
          <w:lang w:eastAsia="en-GB"/>
        </w:rPr>
        <w:t xml:space="preserve"> close and</w:t>
      </w:r>
      <w:r w:rsidR="0040670F" w:rsidRPr="001005B7">
        <w:rPr>
          <w:lang w:eastAsia="en-GB"/>
        </w:rPr>
        <w:t xml:space="preserve"> important</w:t>
      </w:r>
      <w:r w:rsidR="00992AD7" w:rsidRPr="001005B7">
        <w:rPr>
          <w:lang w:eastAsia="en-GB"/>
        </w:rPr>
        <w:t xml:space="preserve"> one is </w:t>
      </w:r>
      <w:r w:rsidR="00A16F42" w:rsidRPr="001005B7">
        <w:rPr>
          <w:lang w:eastAsia="en-GB"/>
        </w:rPr>
        <w:t>Yahweh</w:t>
      </w:r>
      <w:r w:rsidR="00E5383B" w:rsidRPr="001005B7">
        <w:rPr>
          <w:lang w:eastAsia="en-GB"/>
        </w:rPr>
        <w:t>’s</w:t>
      </w:r>
      <w:r w:rsidR="00A16F42" w:rsidRPr="001005B7">
        <w:rPr>
          <w:lang w:eastAsia="en-GB"/>
        </w:rPr>
        <w:t xml:space="preserve"> promise to Moses in Exod 6:</w:t>
      </w:r>
      <w:r w:rsidR="00E5383B" w:rsidRPr="001005B7">
        <w:rPr>
          <w:lang w:eastAsia="en-GB"/>
        </w:rPr>
        <w:t xml:space="preserve">7, and another </w:t>
      </w:r>
      <w:r w:rsidR="00204C68" w:rsidRPr="001005B7">
        <w:rPr>
          <w:lang w:eastAsia="en-GB"/>
        </w:rPr>
        <w:t xml:space="preserve">not quite so close one </w:t>
      </w:r>
      <w:r w:rsidR="00E5383B" w:rsidRPr="001005B7">
        <w:rPr>
          <w:lang w:eastAsia="en-GB"/>
        </w:rPr>
        <w:t>is God’s promise to Abraham in Gen</w:t>
      </w:r>
      <w:r w:rsidR="009F6712" w:rsidRPr="001005B7">
        <w:rPr>
          <w:lang w:eastAsia="en-GB"/>
        </w:rPr>
        <w:t xml:space="preserve"> 17:7</w:t>
      </w:r>
      <w:r w:rsidR="00F46900" w:rsidRPr="001005B7">
        <w:rPr>
          <w:lang w:eastAsia="en-GB"/>
        </w:rPr>
        <w:t>–</w:t>
      </w:r>
      <w:r w:rsidR="009F6712" w:rsidRPr="001005B7">
        <w:rPr>
          <w:lang w:eastAsia="en-GB"/>
        </w:rPr>
        <w:t>8.</w:t>
      </w:r>
      <w:r w:rsidR="00854E42" w:rsidRPr="001005B7">
        <w:rPr>
          <w:lang w:eastAsia="en-GB"/>
        </w:rPr>
        <w:t xml:space="preserve"> In a loose sense one may describe this as </w:t>
      </w:r>
      <w:r w:rsidR="000B029C" w:rsidRPr="001005B7">
        <w:rPr>
          <w:lang w:eastAsia="en-GB"/>
        </w:rPr>
        <w:t>a “covenant formula” (</w:t>
      </w:r>
      <w:r w:rsidR="006D7486" w:rsidRPr="001005B7">
        <w:rPr>
          <w:lang w:eastAsia="en-GB"/>
        </w:rPr>
        <w:t xml:space="preserve">e.g., </w:t>
      </w:r>
      <w:r w:rsidR="002F2292" w:rsidRPr="001005B7">
        <w:rPr>
          <w:lang w:eastAsia="en-GB"/>
        </w:rPr>
        <w:t>Bowen</w:t>
      </w:r>
      <w:r w:rsidR="006E63B8" w:rsidRPr="001005B7">
        <w:rPr>
          <w:lang w:eastAsia="en-GB"/>
        </w:rPr>
        <w:t>,</w:t>
      </w:r>
      <w:r w:rsidR="00935033" w:rsidRPr="001005B7">
        <w:rPr>
          <w:lang w:eastAsia="en-GB"/>
        </w:rPr>
        <w:t xml:space="preserve"> 56)</w:t>
      </w:r>
      <w:r w:rsidR="002253EB" w:rsidRPr="001005B7">
        <w:rPr>
          <w:lang w:eastAsia="en-GB"/>
        </w:rPr>
        <w:t xml:space="preserve"> </w:t>
      </w:r>
      <w:r w:rsidR="00CA5980" w:rsidRPr="001005B7">
        <w:rPr>
          <w:lang w:eastAsia="en-GB"/>
        </w:rPr>
        <w:t xml:space="preserve">though </w:t>
      </w:r>
      <w:r w:rsidR="007A59EF" w:rsidRPr="001005B7">
        <w:rPr>
          <w:lang w:eastAsia="en-GB"/>
        </w:rPr>
        <w:t>most occurrences of th</w:t>
      </w:r>
      <w:r w:rsidR="00A143D2" w:rsidRPr="001005B7">
        <w:rPr>
          <w:lang w:eastAsia="en-GB"/>
        </w:rPr>
        <w:t>e</w:t>
      </w:r>
      <w:r w:rsidR="007A59EF" w:rsidRPr="001005B7">
        <w:rPr>
          <w:lang w:eastAsia="en-GB"/>
        </w:rPr>
        <w:t xml:space="preserve"> “formula” do not use the word </w:t>
      </w:r>
      <w:r w:rsidR="007A59EF" w:rsidRPr="001005B7">
        <w:rPr>
          <w:i/>
          <w:iCs/>
          <w:lang w:eastAsia="en-GB"/>
        </w:rPr>
        <w:t xml:space="preserve">covenant </w:t>
      </w:r>
      <w:r w:rsidR="007A59EF" w:rsidRPr="001005B7">
        <w:rPr>
          <w:lang w:eastAsia="en-GB"/>
        </w:rPr>
        <w:t xml:space="preserve">in the context (in Ezekiel, only </w:t>
      </w:r>
      <w:r w:rsidR="00604391" w:rsidRPr="001005B7">
        <w:rPr>
          <w:lang w:eastAsia="en-GB"/>
        </w:rPr>
        <w:t>37:27 does so). The more consistent emphasis in the use of the formula is that</w:t>
      </w:r>
      <w:r w:rsidR="00626A7A" w:rsidRPr="001005B7">
        <w:rPr>
          <w:lang w:eastAsia="en-GB"/>
        </w:rPr>
        <w:t xml:space="preserve"> it presupposes Israel’s heeding Yahweh’s </w:t>
      </w:r>
      <w:r w:rsidR="00E721CC" w:rsidRPr="001005B7">
        <w:rPr>
          <w:lang w:eastAsia="en-GB"/>
        </w:rPr>
        <w:t>rulings, as is the case here</w:t>
      </w:r>
      <w:r w:rsidR="00F7128B" w:rsidRPr="001005B7">
        <w:rPr>
          <w:lang w:eastAsia="en-GB"/>
        </w:rPr>
        <w:t xml:space="preserve"> (</w:t>
      </w:r>
      <w:r w:rsidR="00570422" w:rsidRPr="001005B7">
        <w:rPr>
          <w:lang w:eastAsia="en-GB"/>
        </w:rPr>
        <w:t>36:</w:t>
      </w:r>
      <w:r w:rsidR="000B4D77" w:rsidRPr="001005B7">
        <w:rPr>
          <w:lang w:eastAsia="en-GB"/>
        </w:rPr>
        <w:t>26</w:t>
      </w:r>
      <w:r w:rsidR="00F46900" w:rsidRPr="001005B7">
        <w:rPr>
          <w:lang w:eastAsia="en-GB"/>
        </w:rPr>
        <w:t>–</w:t>
      </w:r>
      <w:r w:rsidR="00570422" w:rsidRPr="001005B7">
        <w:rPr>
          <w:lang w:eastAsia="en-GB"/>
        </w:rPr>
        <w:t>28</w:t>
      </w:r>
      <w:r w:rsidR="000B4D77" w:rsidRPr="001005B7">
        <w:rPr>
          <w:lang w:eastAsia="en-GB"/>
        </w:rPr>
        <w:t xml:space="preserve"> and Jer 32:38</w:t>
      </w:r>
      <w:r w:rsidR="00F46900" w:rsidRPr="001005B7">
        <w:rPr>
          <w:lang w:eastAsia="en-GB"/>
        </w:rPr>
        <w:t>–</w:t>
      </w:r>
      <w:r w:rsidR="006F18C7" w:rsidRPr="001005B7">
        <w:rPr>
          <w:lang w:eastAsia="en-GB"/>
        </w:rPr>
        <w:t>40 also associate th</w:t>
      </w:r>
      <w:r w:rsidR="00AF2B45" w:rsidRPr="001005B7">
        <w:rPr>
          <w:lang w:eastAsia="en-GB"/>
        </w:rPr>
        <w:t>e</w:t>
      </w:r>
      <w:r w:rsidR="006F18C7" w:rsidRPr="001005B7">
        <w:rPr>
          <w:lang w:eastAsia="en-GB"/>
        </w:rPr>
        <w:t xml:space="preserve"> formula with the gift of a </w:t>
      </w:r>
      <w:r w:rsidR="00AF2B45" w:rsidRPr="001005B7">
        <w:rPr>
          <w:lang w:eastAsia="en-GB"/>
        </w:rPr>
        <w:t>new mind, as here).</w:t>
      </w:r>
      <w:r w:rsidR="00570422" w:rsidRPr="001005B7">
        <w:rPr>
          <w:lang w:eastAsia="en-GB"/>
        </w:rPr>
        <w:t xml:space="preserve"> </w:t>
      </w:r>
    </w:p>
    <w:p w14:paraId="51738C04" w14:textId="65653C2F" w:rsidR="00094505" w:rsidRPr="001005B7" w:rsidRDefault="00C244CB" w:rsidP="00D41922">
      <w:pPr>
        <w:rPr>
          <w:lang w:eastAsia="en-GB"/>
        </w:rPr>
      </w:pPr>
      <w:r w:rsidRPr="001005B7">
        <w:rPr>
          <w:lang w:eastAsia="en-GB"/>
        </w:rPr>
        <w:t xml:space="preserve"> </w:t>
      </w:r>
      <w:r w:rsidR="00A22485" w:rsidRPr="001005B7">
        <w:rPr>
          <w:b/>
          <w:bCs/>
          <w:lang w:eastAsia="en-GB"/>
        </w:rPr>
        <w:t>11</w:t>
      </w:r>
      <w:r w:rsidR="00504341" w:rsidRPr="001005B7">
        <w:rPr>
          <w:b/>
          <w:bCs/>
          <w:lang w:eastAsia="en-GB"/>
        </w:rPr>
        <w:t xml:space="preserve">:21 </w:t>
      </w:r>
      <w:r w:rsidR="007724F6" w:rsidRPr="001005B7">
        <w:rPr>
          <w:lang w:eastAsia="en-GB"/>
        </w:rPr>
        <w:t xml:space="preserve">Once again </w:t>
      </w:r>
      <w:r w:rsidR="00A23EE8" w:rsidRPr="001005B7">
        <w:rPr>
          <w:lang w:eastAsia="en-GB"/>
        </w:rPr>
        <w:t>Ezekiel works with the mysterious tension</w:t>
      </w:r>
      <w:r w:rsidR="004655E2" w:rsidRPr="001005B7">
        <w:rPr>
          <w:lang w:eastAsia="en-GB"/>
        </w:rPr>
        <w:t xml:space="preserve"> between Yahweh’s action as the one who will give them a new mind</w:t>
      </w:r>
      <w:r w:rsidR="00747FFA">
        <w:rPr>
          <w:lang w:eastAsia="en-GB"/>
        </w:rPr>
        <w:t>,</w:t>
      </w:r>
      <w:r w:rsidR="004655E2" w:rsidRPr="001005B7">
        <w:rPr>
          <w:lang w:eastAsia="en-GB"/>
        </w:rPr>
        <w:t xml:space="preserve"> and </w:t>
      </w:r>
      <w:r w:rsidR="00563F3E" w:rsidRPr="001005B7">
        <w:rPr>
          <w:lang w:eastAsia="en-GB"/>
        </w:rPr>
        <w:t>his people’s responsibility for what they do with their mind</w:t>
      </w:r>
      <w:r w:rsidR="009A0943" w:rsidRPr="001005B7">
        <w:rPr>
          <w:lang w:eastAsia="en-GB"/>
        </w:rPr>
        <w:t xml:space="preserve">. </w:t>
      </w:r>
      <w:r w:rsidR="001310AE">
        <w:rPr>
          <w:lang w:eastAsia="en-GB"/>
        </w:rPr>
        <w:t>W</w:t>
      </w:r>
      <w:r w:rsidR="00B52E65" w:rsidRPr="001005B7">
        <w:rPr>
          <w:lang w:eastAsia="en-GB"/>
        </w:rPr>
        <w:t>hile i</w:t>
      </w:r>
      <w:r w:rsidR="009A0943" w:rsidRPr="001005B7">
        <w:rPr>
          <w:lang w:eastAsia="en-GB"/>
        </w:rPr>
        <w:t xml:space="preserve">t’s possible to think of Yahweh as </w:t>
      </w:r>
      <w:r w:rsidR="00D27794" w:rsidRPr="001005B7">
        <w:rPr>
          <w:lang w:eastAsia="en-GB"/>
        </w:rPr>
        <w:t>promising a kind of “heart transplant” (Block</w:t>
      </w:r>
      <w:r w:rsidR="00BF1CCE" w:rsidRPr="001005B7">
        <w:rPr>
          <w:lang w:eastAsia="en-GB"/>
        </w:rPr>
        <w:t>,</w:t>
      </w:r>
      <w:r w:rsidR="00D27794" w:rsidRPr="001005B7">
        <w:rPr>
          <w:lang w:eastAsia="en-GB"/>
        </w:rPr>
        <w:t xml:space="preserve"> 1:353), that analogy </w:t>
      </w:r>
      <w:r w:rsidR="00D41922" w:rsidRPr="001005B7">
        <w:rPr>
          <w:lang w:eastAsia="en-GB"/>
        </w:rPr>
        <w:t>falls short</w:t>
      </w:r>
      <w:r w:rsidR="00D27794" w:rsidRPr="001005B7">
        <w:rPr>
          <w:lang w:eastAsia="en-GB"/>
        </w:rPr>
        <w:t>.</w:t>
      </w:r>
      <w:r w:rsidR="00817EF3" w:rsidRPr="001005B7">
        <w:rPr>
          <w:lang w:eastAsia="en-GB"/>
        </w:rPr>
        <w:t xml:space="preserve"> </w:t>
      </w:r>
      <w:r w:rsidR="00622561" w:rsidRPr="001005B7">
        <w:rPr>
          <w:lang w:eastAsia="en-GB"/>
        </w:rPr>
        <w:t>Yahweh</w:t>
      </w:r>
      <w:r w:rsidR="000D07D6" w:rsidRPr="001005B7">
        <w:rPr>
          <w:lang w:eastAsia="en-GB"/>
        </w:rPr>
        <w:t xml:space="preserve"> works</w:t>
      </w:r>
      <w:r w:rsidR="00D41922" w:rsidRPr="001005B7">
        <w:rPr>
          <w:lang w:eastAsia="en-GB"/>
        </w:rPr>
        <w:t xml:space="preserve"> with the mysterious tension between the</w:t>
      </w:r>
      <w:r w:rsidR="00953786" w:rsidRPr="001005B7">
        <w:rPr>
          <w:lang w:eastAsia="en-GB"/>
        </w:rPr>
        <w:t xml:space="preserve"> promise</w:t>
      </w:r>
      <w:r w:rsidR="00622561" w:rsidRPr="001005B7">
        <w:rPr>
          <w:lang w:eastAsia="en-GB"/>
        </w:rPr>
        <w:t xml:space="preserve">, </w:t>
      </w:r>
      <w:r w:rsidR="00953786" w:rsidRPr="001005B7">
        <w:rPr>
          <w:lang w:eastAsia="en-GB"/>
        </w:rPr>
        <w:t>prediction</w:t>
      </w:r>
      <w:r w:rsidR="00622561" w:rsidRPr="001005B7">
        <w:rPr>
          <w:lang w:eastAsia="en-GB"/>
        </w:rPr>
        <w:t>,</w:t>
      </w:r>
      <w:r w:rsidR="00953786" w:rsidRPr="001005B7">
        <w:rPr>
          <w:lang w:eastAsia="en-GB"/>
        </w:rPr>
        <w:t xml:space="preserve"> or expectation tha</w:t>
      </w:r>
      <w:r w:rsidR="00CB3BC3" w:rsidRPr="001005B7">
        <w:rPr>
          <w:lang w:eastAsia="en-GB"/>
        </w:rPr>
        <w:t xml:space="preserve">t </w:t>
      </w:r>
      <w:r w:rsidR="006A7C12" w:rsidRPr="001005B7">
        <w:rPr>
          <w:lang w:eastAsia="en-GB"/>
        </w:rPr>
        <w:t>people</w:t>
      </w:r>
      <w:r w:rsidR="00CB3BC3" w:rsidRPr="001005B7">
        <w:rPr>
          <w:lang w:eastAsia="en-GB"/>
        </w:rPr>
        <w:t xml:space="preserve"> will remove the </w:t>
      </w:r>
      <w:r w:rsidR="00EA35ED" w:rsidRPr="001005B7">
        <w:rPr>
          <w:lang w:eastAsia="en-GB"/>
        </w:rPr>
        <w:t>“</w:t>
      </w:r>
      <w:r w:rsidR="00CB3BC3" w:rsidRPr="001005B7">
        <w:rPr>
          <w:lang w:eastAsia="en-GB"/>
        </w:rPr>
        <w:t>detestable objects</w:t>
      </w:r>
      <w:r w:rsidR="00EA35ED" w:rsidRPr="001005B7">
        <w:rPr>
          <w:lang w:eastAsia="en-GB"/>
        </w:rPr>
        <w:t>”</w:t>
      </w:r>
      <w:r w:rsidR="00E8212A" w:rsidRPr="001005B7">
        <w:rPr>
          <w:i/>
          <w:iCs/>
          <w:lang w:eastAsia="en-GB"/>
        </w:rPr>
        <w:t xml:space="preserve"> </w:t>
      </w:r>
      <w:r w:rsidR="00560F8E" w:rsidRPr="001005B7">
        <w:rPr>
          <w:lang w:eastAsia="en-GB"/>
        </w:rPr>
        <w:t xml:space="preserve">and </w:t>
      </w:r>
      <w:r w:rsidR="00EA35ED" w:rsidRPr="001005B7">
        <w:rPr>
          <w:lang w:eastAsia="en-GB"/>
        </w:rPr>
        <w:t>“</w:t>
      </w:r>
      <w:r w:rsidR="00560F8E" w:rsidRPr="001005B7">
        <w:rPr>
          <w:lang w:eastAsia="en-GB"/>
        </w:rPr>
        <w:t>outrages</w:t>
      </w:r>
      <w:r w:rsidR="005260D5" w:rsidRPr="001005B7">
        <w:rPr>
          <w:lang w:eastAsia="en-GB"/>
        </w:rPr>
        <w:t>,</w:t>
      </w:r>
      <w:r w:rsidR="00EA35ED" w:rsidRPr="001005B7">
        <w:rPr>
          <w:lang w:eastAsia="en-GB"/>
        </w:rPr>
        <w:t>”</w:t>
      </w:r>
      <w:r w:rsidR="00560F8E" w:rsidRPr="001005B7">
        <w:rPr>
          <w:lang w:eastAsia="en-GB"/>
        </w:rPr>
        <w:t xml:space="preserve"> and the prospect of </w:t>
      </w:r>
      <w:r w:rsidR="006A7C12" w:rsidRPr="001005B7">
        <w:rPr>
          <w:lang w:eastAsia="en-GB"/>
        </w:rPr>
        <w:t>people</w:t>
      </w:r>
      <w:r w:rsidR="00560F8E" w:rsidRPr="001005B7">
        <w:rPr>
          <w:lang w:eastAsia="en-GB"/>
        </w:rPr>
        <w:t xml:space="preserve"> </w:t>
      </w:r>
      <w:r w:rsidR="001A239C" w:rsidRPr="001005B7">
        <w:rPr>
          <w:lang w:eastAsia="en-GB"/>
        </w:rPr>
        <w:t>continuing to have their mind on</w:t>
      </w:r>
      <w:r w:rsidR="00560F8E" w:rsidRPr="001005B7">
        <w:rPr>
          <w:lang w:eastAsia="en-GB"/>
        </w:rPr>
        <w:t xml:space="preserve"> the</w:t>
      </w:r>
      <w:r w:rsidR="00C51BB9" w:rsidRPr="001005B7">
        <w:rPr>
          <w:lang w:eastAsia="en-GB"/>
        </w:rPr>
        <w:t xml:space="preserve">se forms of worship. </w:t>
      </w:r>
      <w:r w:rsidR="00D93034" w:rsidRPr="001005B7">
        <w:rPr>
          <w:lang w:eastAsia="en-GB"/>
        </w:rPr>
        <w:t>H</w:t>
      </w:r>
      <w:r w:rsidR="00C51BB9" w:rsidRPr="001005B7">
        <w:rPr>
          <w:lang w:eastAsia="en-GB"/>
        </w:rPr>
        <w:t xml:space="preserve">e thus also works with the tension between </w:t>
      </w:r>
      <w:r w:rsidR="002B1F69" w:rsidRPr="001005B7">
        <w:rPr>
          <w:lang w:eastAsia="en-GB"/>
        </w:rPr>
        <w:t xml:space="preserve">working with his people in grace and </w:t>
      </w:r>
      <w:r w:rsidR="00D4708E" w:rsidRPr="001005B7">
        <w:rPr>
          <w:lang w:eastAsia="en-GB"/>
        </w:rPr>
        <w:t>“</w:t>
      </w:r>
      <w:r w:rsidR="002B1F69" w:rsidRPr="001005B7">
        <w:rPr>
          <w:lang w:eastAsia="en-GB"/>
        </w:rPr>
        <w:t>putting</w:t>
      </w:r>
      <w:r w:rsidR="002B1F69" w:rsidRPr="001005B7">
        <w:rPr>
          <w:i/>
          <w:iCs/>
          <w:lang w:eastAsia="en-GB"/>
        </w:rPr>
        <w:t xml:space="preserve"> </w:t>
      </w:r>
      <w:r w:rsidR="002B1F69" w:rsidRPr="001005B7">
        <w:rPr>
          <w:lang w:eastAsia="en-GB"/>
        </w:rPr>
        <w:t>their</w:t>
      </w:r>
      <w:r w:rsidR="0046364C" w:rsidRPr="001005B7">
        <w:rPr>
          <w:i/>
          <w:iCs/>
          <w:lang w:eastAsia="en-GB"/>
        </w:rPr>
        <w:t xml:space="preserve"> </w:t>
      </w:r>
      <w:r w:rsidR="0046364C" w:rsidRPr="001005B7">
        <w:rPr>
          <w:lang w:eastAsia="en-GB"/>
        </w:rPr>
        <w:t>path</w:t>
      </w:r>
      <w:r w:rsidR="002B1F69" w:rsidRPr="001005B7">
        <w:rPr>
          <w:i/>
          <w:iCs/>
          <w:lang w:eastAsia="en-GB"/>
        </w:rPr>
        <w:t xml:space="preserve"> </w:t>
      </w:r>
      <w:r w:rsidR="006E4388" w:rsidRPr="001005B7">
        <w:rPr>
          <w:lang w:eastAsia="en-GB"/>
        </w:rPr>
        <w:t>against</w:t>
      </w:r>
      <w:r w:rsidR="002B1F69" w:rsidRPr="001005B7">
        <w:rPr>
          <w:i/>
          <w:iCs/>
          <w:lang w:eastAsia="en-GB"/>
        </w:rPr>
        <w:t xml:space="preserve"> </w:t>
      </w:r>
      <w:r w:rsidR="002B1F69" w:rsidRPr="001005B7">
        <w:rPr>
          <w:lang w:eastAsia="en-GB"/>
        </w:rPr>
        <w:t>th</w:t>
      </w:r>
      <w:r w:rsidR="00142929" w:rsidRPr="001005B7">
        <w:rPr>
          <w:lang w:eastAsia="en-GB"/>
        </w:rPr>
        <w:t>eir</w:t>
      </w:r>
      <w:r w:rsidR="002B1F69" w:rsidRPr="001005B7">
        <w:rPr>
          <w:i/>
          <w:iCs/>
          <w:lang w:eastAsia="en-GB"/>
        </w:rPr>
        <w:t xml:space="preserve"> </w:t>
      </w:r>
      <w:r w:rsidR="002B1F69" w:rsidRPr="001005B7">
        <w:rPr>
          <w:lang w:eastAsia="en-GB"/>
        </w:rPr>
        <w:t>head</w:t>
      </w:r>
      <w:r w:rsidR="00142929" w:rsidRPr="001005B7">
        <w:rPr>
          <w:lang w:eastAsia="en-GB"/>
        </w:rPr>
        <w:t>,</w:t>
      </w:r>
      <w:r w:rsidR="00D4708E" w:rsidRPr="001005B7">
        <w:rPr>
          <w:lang w:eastAsia="en-GB"/>
        </w:rPr>
        <w:t>”</w:t>
      </w:r>
      <w:r w:rsidR="00142929" w:rsidRPr="001005B7">
        <w:rPr>
          <w:lang w:eastAsia="en-GB"/>
        </w:rPr>
        <w:t xml:space="preserve"> letting their way of life rebound on them</w:t>
      </w:r>
      <w:r w:rsidR="00591BA9" w:rsidRPr="001005B7">
        <w:rPr>
          <w:lang w:eastAsia="en-GB"/>
        </w:rPr>
        <w:t xml:space="preserve"> (again, cf. 9:10).</w:t>
      </w:r>
      <w:r w:rsidR="00CB3BC3" w:rsidRPr="001005B7">
        <w:rPr>
          <w:lang w:eastAsia="en-GB"/>
        </w:rPr>
        <w:t xml:space="preserve"> </w:t>
      </w:r>
      <w:r w:rsidR="00AC6F65" w:rsidRPr="001005B7">
        <w:rPr>
          <w:lang w:eastAsia="en-GB"/>
        </w:rPr>
        <w:t xml:space="preserve">And in case the </w:t>
      </w:r>
      <w:proofErr w:type="spellStart"/>
      <w:r w:rsidR="004110CC" w:rsidRPr="001005B7">
        <w:rPr>
          <w:lang w:eastAsia="en-GB"/>
        </w:rPr>
        <w:t>Kebarites</w:t>
      </w:r>
      <w:proofErr w:type="spellEnd"/>
      <w:r w:rsidR="004110CC" w:rsidRPr="001005B7">
        <w:rPr>
          <w:lang w:eastAsia="en-GB"/>
        </w:rPr>
        <w:t xml:space="preserve"> are tempted not to believe it </w:t>
      </w:r>
      <w:r w:rsidR="00672229" w:rsidRPr="001005B7">
        <w:rPr>
          <w:lang w:eastAsia="en-GB"/>
        </w:rPr>
        <w:t xml:space="preserve">also </w:t>
      </w:r>
      <w:r w:rsidR="00CE755C" w:rsidRPr="001005B7">
        <w:rPr>
          <w:lang w:eastAsia="en-GB"/>
        </w:rPr>
        <w:t>appl</w:t>
      </w:r>
      <w:r w:rsidR="006E4388" w:rsidRPr="001005B7">
        <w:rPr>
          <w:lang w:eastAsia="en-GB"/>
        </w:rPr>
        <w:t>ies</w:t>
      </w:r>
      <w:r w:rsidR="00CE755C" w:rsidRPr="001005B7">
        <w:rPr>
          <w:lang w:eastAsia="en-GB"/>
        </w:rPr>
        <w:t xml:space="preserve"> to them, </w:t>
      </w:r>
      <w:r w:rsidR="00126241" w:rsidRPr="001005B7">
        <w:rPr>
          <w:lang w:eastAsia="en-GB"/>
        </w:rPr>
        <w:t>Ezekiel</w:t>
      </w:r>
      <w:r w:rsidR="00CE755C" w:rsidRPr="001005B7">
        <w:rPr>
          <w:lang w:eastAsia="en-GB"/>
        </w:rPr>
        <w:t xml:space="preserve"> </w:t>
      </w:r>
      <w:r w:rsidR="00C12E69" w:rsidRPr="001005B7">
        <w:rPr>
          <w:lang w:eastAsia="en-GB"/>
        </w:rPr>
        <w:t>closes with</w:t>
      </w:r>
      <w:r w:rsidR="00CE755C" w:rsidRPr="001005B7">
        <w:rPr>
          <w:lang w:eastAsia="en-GB"/>
        </w:rPr>
        <w:t xml:space="preserve"> the reminder that this is </w:t>
      </w:r>
      <w:r w:rsidR="00D4708E" w:rsidRPr="001005B7">
        <w:rPr>
          <w:lang w:eastAsia="en-GB"/>
        </w:rPr>
        <w:t>“</w:t>
      </w:r>
      <w:r w:rsidR="00CE755C" w:rsidRPr="001005B7">
        <w:rPr>
          <w:lang w:eastAsia="en-GB"/>
        </w:rPr>
        <w:t>an</w:t>
      </w:r>
      <w:r w:rsidR="00CE755C" w:rsidRPr="001005B7">
        <w:rPr>
          <w:i/>
          <w:iCs/>
          <w:lang w:eastAsia="en-GB"/>
        </w:rPr>
        <w:t xml:space="preserve"> </w:t>
      </w:r>
      <w:r w:rsidR="00CE755C" w:rsidRPr="001005B7">
        <w:rPr>
          <w:lang w:eastAsia="en-GB"/>
        </w:rPr>
        <w:t>affi</w:t>
      </w:r>
      <w:r w:rsidR="00672229" w:rsidRPr="001005B7">
        <w:rPr>
          <w:lang w:eastAsia="en-GB"/>
        </w:rPr>
        <w:t>r</w:t>
      </w:r>
      <w:r w:rsidR="00CE755C" w:rsidRPr="001005B7">
        <w:rPr>
          <w:lang w:eastAsia="en-GB"/>
        </w:rPr>
        <w:t>mation</w:t>
      </w:r>
      <w:r w:rsidR="00CE755C" w:rsidRPr="001005B7">
        <w:rPr>
          <w:i/>
          <w:iCs/>
          <w:lang w:eastAsia="en-GB"/>
        </w:rPr>
        <w:t xml:space="preserve"> </w:t>
      </w:r>
      <w:r w:rsidR="00CE755C" w:rsidRPr="001005B7">
        <w:rPr>
          <w:lang w:eastAsia="en-GB"/>
        </w:rPr>
        <w:t>of</w:t>
      </w:r>
      <w:r w:rsidR="00CE755C" w:rsidRPr="001005B7">
        <w:rPr>
          <w:i/>
          <w:iCs/>
          <w:lang w:eastAsia="en-GB"/>
        </w:rPr>
        <w:t xml:space="preserve"> </w:t>
      </w:r>
      <w:r w:rsidR="00CE755C" w:rsidRPr="001005B7">
        <w:rPr>
          <w:lang w:eastAsia="en-GB"/>
        </w:rPr>
        <w:t>the</w:t>
      </w:r>
      <w:r w:rsidR="00CE755C" w:rsidRPr="001005B7">
        <w:rPr>
          <w:i/>
          <w:iCs/>
          <w:lang w:eastAsia="en-GB"/>
        </w:rPr>
        <w:t xml:space="preserve"> </w:t>
      </w:r>
      <w:r w:rsidR="00CE755C" w:rsidRPr="001005B7">
        <w:rPr>
          <w:lang w:eastAsia="en-GB"/>
        </w:rPr>
        <w:t>Lord</w:t>
      </w:r>
      <w:r w:rsidR="00CE755C" w:rsidRPr="001005B7">
        <w:rPr>
          <w:i/>
          <w:iCs/>
          <w:lang w:eastAsia="en-GB"/>
        </w:rPr>
        <w:t xml:space="preserve"> </w:t>
      </w:r>
      <w:r w:rsidR="00CE755C" w:rsidRPr="001005B7">
        <w:rPr>
          <w:lang w:eastAsia="en-GB"/>
        </w:rPr>
        <w:t>Yahweh,</w:t>
      </w:r>
      <w:r w:rsidR="00D4708E" w:rsidRPr="001005B7">
        <w:rPr>
          <w:lang w:eastAsia="en-GB"/>
        </w:rPr>
        <w:t>”</w:t>
      </w:r>
      <w:r w:rsidR="00CE755C" w:rsidRPr="001005B7">
        <w:rPr>
          <w:lang w:eastAsia="en-GB"/>
        </w:rPr>
        <w:t xml:space="preserve"> as he did in </w:t>
      </w:r>
      <w:r w:rsidR="003D021F" w:rsidRPr="001005B7">
        <w:rPr>
          <w:lang w:eastAsia="en-GB"/>
        </w:rPr>
        <w:t>11:</w:t>
      </w:r>
      <w:r w:rsidR="00CE755C" w:rsidRPr="001005B7">
        <w:rPr>
          <w:lang w:eastAsia="en-GB"/>
        </w:rPr>
        <w:t>8.</w:t>
      </w:r>
    </w:p>
    <w:p w14:paraId="6BB62F85" w14:textId="7007B9FA" w:rsidR="00FA0854" w:rsidRPr="001005B7" w:rsidRDefault="000A748E" w:rsidP="00170498">
      <w:pPr>
        <w:rPr>
          <w:rStyle w:val="en"/>
        </w:rPr>
      </w:pPr>
      <w:r w:rsidRPr="001005B7">
        <w:rPr>
          <w:b/>
          <w:bCs/>
          <w:lang w:eastAsia="en-GB"/>
        </w:rPr>
        <w:t>11:22</w:t>
      </w:r>
      <w:r w:rsidR="00F46900" w:rsidRPr="001005B7">
        <w:rPr>
          <w:b/>
          <w:bCs/>
          <w:lang w:eastAsia="en-GB"/>
        </w:rPr>
        <w:t>–</w:t>
      </w:r>
      <w:r w:rsidRPr="001005B7">
        <w:rPr>
          <w:b/>
          <w:bCs/>
          <w:lang w:eastAsia="en-GB"/>
        </w:rPr>
        <w:t>2</w:t>
      </w:r>
      <w:r w:rsidR="00672D91" w:rsidRPr="001005B7">
        <w:rPr>
          <w:b/>
          <w:bCs/>
          <w:lang w:eastAsia="en-GB"/>
        </w:rPr>
        <w:t>5</w:t>
      </w:r>
      <w:r w:rsidRPr="001005B7">
        <w:rPr>
          <w:b/>
          <w:bCs/>
          <w:lang w:eastAsia="en-GB"/>
        </w:rPr>
        <w:t xml:space="preserve"> </w:t>
      </w:r>
      <w:r w:rsidRPr="001005B7">
        <w:rPr>
          <w:lang w:eastAsia="en-GB"/>
        </w:rPr>
        <w:t>There are many an</w:t>
      </w:r>
      <w:r w:rsidR="00637B88" w:rsidRPr="001005B7">
        <w:rPr>
          <w:lang w:eastAsia="en-GB"/>
        </w:rPr>
        <w:t>cient Near Eastern accounts of gods leaving their cities</w:t>
      </w:r>
      <w:r w:rsidR="00126241" w:rsidRPr="001005B7">
        <w:rPr>
          <w:lang w:eastAsia="en-GB"/>
        </w:rPr>
        <w:t>,</w:t>
      </w:r>
      <w:r w:rsidR="00623630" w:rsidRPr="001005B7">
        <w:rPr>
          <w:lang w:eastAsia="en-GB"/>
        </w:rPr>
        <w:t xml:space="preserve"> and the notion appears in the First Testament</w:t>
      </w:r>
      <w:r w:rsidR="00126241" w:rsidRPr="001005B7">
        <w:rPr>
          <w:lang w:eastAsia="en-GB"/>
        </w:rPr>
        <w:t>.</w:t>
      </w:r>
      <w:r w:rsidR="00637B88" w:rsidRPr="001005B7">
        <w:rPr>
          <w:rStyle w:val="FootnoteReference"/>
          <w:lang w:eastAsia="en-GB"/>
        </w:rPr>
        <w:footnoteReference w:id="289"/>
      </w:r>
      <w:r w:rsidR="00E86B0D" w:rsidRPr="001005B7">
        <w:rPr>
          <w:lang w:eastAsia="en-GB"/>
        </w:rPr>
        <w:t xml:space="preserve"> </w:t>
      </w:r>
      <w:r w:rsidR="00126241" w:rsidRPr="001005B7">
        <w:rPr>
          <w:lang w:eastAsia="en-GB"/>
        </w:rPr>
        <w:t>B</w:t>
      </w:r>
      <w:r w:rsidR="00E213A2" w:rsidRPr="001005B7">
        <w:rPr>
          <w:lang w:eastAsia="en-GB"/>
        </w:rPr>
        <w:t>ut h</w:t>
      </w:r>
      <w:r w:rsidR="0087440E" w:rsidRPr="001005B7">
        <w:rPr>
          <w:lang w:eastAsia="en-GB"/>
        </w:rPr>
        <w:t xml:space="preserve">ere Yahweh </w:t>
      </w:r>
      <w:r w:rsidR="00623630" w:rsidRPr="001005B7">
        <w:rPr>
          <w:lang w:eastAsia="en-GB"/>
        </w:rPr>
        <w:t xml:space="preserve">is not </w:t>
      </w:r>
      <w:r w:rsidR="0087440E" w:rsidRPr="001005B7">
        <w:rPr>
          <w:lang w:eastAsia="en-GB"/>
        </w:rPr>
        <w:t>leav</w:t>
      </w:r>
      <w:r w:rsidR="00623630" w:rsidRPr="001005B7">
        <w:rPr>
          <w:lang w:eastAsia="en-GB"/>
        </w:rPr>
        <w:t>ing</w:t>
      </w:r>
      <w:r w:rsidR="00C33295" w:rsidRPr="001005B7">
        <w:rPr>
          <w:lang w:eastAsia="en-GB"/>
        </w:rPr>
        <w:t>. H</w:t>
      </w:r>
      <w:r w:rsidR="002D35BC" w:rsidRPr="001005B7">
        <w:rPr>
          <w:lang w:eastAsia="en-GB"/>
        </w:rPr>
        <w:t>e is</w:t>
      </w:r>
      <w:r w:rsidR="00623630" w:rsidRPr="001005B7">
        <w:rPr>
          <w:lang w:eastAsia="en-GB"/>
        </w:rPr>
        <w:t xml:space="preserve"> </w:t>
      </w:r>
      <w:r w:rsidR="00353525" w:rsidRPr="001005B7">
        <w:rPr>
          <w:lang w:eastAsia="en-GB"/>
        </w:rPr>
        <w:t>simply</w:t>
      </w:r>
      <w:r w:rsidR="005C1729" w:rsidRPr="001005B7">
        <w:rPr>
          <w:lang w:eastAsia="en-GB"/>
        </w:rPr>
        <w:t xml:space="preserve"> </w:t>
      </w:r>
      <w:r w:rsidR="001812DB" w:rsidRPr="001005B7">
        <w:rPr>
          <w:lang w:eastAsia="en-GB"/>
        </w:rPr>
        <w:t>undertak</w:t>
      </w:r>
      <w:r w:rsidR="00353525" w:rsidRPr="001005B7">
        <w:rPr>
          <w:lang w:eastAsia="en-GB"/>
        </w:rPr>
        <w:t>ing</w:t>
      </w:r>
      <w:r w:rsidR="001812DB" w:rsidRPr="001005B7">
        <w:rPr>
          <w:lang w:eastAsia="en-GB"/>
        </w:rPr>
        <w:t xml:space="preserve"> </w:t>
      </w:r>
      <w:r w:rsidR="005C1729" w:rsidRPr="001005B7">
        <w:rPr>
          <w:lang w:eastAsia="en-GB"/>
        </w:rPr>
        <w:t xml:space="preserve">the next stage </w:t>
      </w:r>
      <w:r w:rsidR="008160B2" w:rsidRPr="001005B7">
        <w:rPr>
          <w:lang w:eastAsia="en-GB"/>
        </w:rPr>
        <w:t>of the movement described in 10:18</w:t>
      </w:r>
      <w:r w:rsidR="00F46900" w:rsidRPr="001005B7">
        <w:rPr>
          <w:lang w:eastAsia="en-GB"/>
        </w:rPr>
        <w:t>–</w:t>
      </w:r>
      <w:r w:rsidR="008160B2" w:rsidRPr="001005B7">
        <w:rPr>
          <w:lang w:eastAsia="en-GB"/>
        </w:rPr>
        <w:t>19 that is related to watching what is going on in Jerusalem</w:t>
      </w:r>
      <w:r w:rsidR="00BC3AFF" w:rsidRPr="001005B7">
        <w:rPr>
          <w:lang w:eastAsia="en-GB"/>
        </w:rPr>
        <w:t xml:space="preserve"> in the context of this vision.</w:t>
      </w:r>
      <w:r w:rsidR="00326E57" w:rsidRPr="001005B7">
        <w:rPr>
          <w:lang w:eastAsia="en-GB"/>
        </w:rPr>
        <w:t xml:space="preserve"> </w:t>
      </w:r>
      <w:r w:rsidR="00143D1B" w:rsidRPr="001005B7">
        <w:rPr>
          <w:lang w:eastAsia="en-GB"/>
        </w:rPr>
        <w:t>And t</w:t>
      </w:r>
      <w:r w:rsidR="002B04C7" w:rsidRPr="001005B7">
        <w:rPr>
          <w:lang w:eastAsia="en-GB"/>
        </w:rPr>
        <w:t xml:space="preserve">he </w:t>
      </w:r>
      <w:r w:rsidR="00F97839" w:rsidRPr="001005B7">
        <w:rPr>
          <w:lang w:eastAsia="en-GB"/>
        </w:rPr>
        <w:t>narrative</w:t>
      </w:r>
      <w:r w:rsidR="002B04C7" w:rsidRPr="001005B7">
        <w:rPr>
          <w:lang w:eastAsia="en-GB"/>
        </w:rPr>
        <w:t xml:space="preserve"> comes to a close in the middle of things</w:t>
      </w:r>
      <w:r w:rsidR="00E213A2" w:rsidRPr="001005B7">
        <w:rPr>
          <w:lang w:eastAsia="en-GB"/>
        </w:rPr>
        <w:t xml:space="preserve"> when </w:t>
      </w:r>
      <w:r w:rsidR="00FE3EC3" w:rsidRPr="001005B7">
        <w:rPr>
          <w:lang w:eastAsia="en-GB"/>
        </w:rPr>
        <w:t>“</w:t>
      </w:r>
      <w:r w:rsidR="00672D91" w:rsidRPr="001005B7">
        <w:rPr>
          <w:lang w:eastAsia="en-GB"/>
        </w:rPr>
        <w:t>the</w:t>
      </w:r>
      <w:r w:rsidR="00672D91" w:rsidRPr="001005B7">
        <w:rPr>
          <w:i/>
          <w:iCs/>
          <w:lang w:eastAsia="en-GB"/>
        </w:rPr>
        <w:t xml:space="preserve"> </w:t>
      </w:r>
      <w:r w:rsidR="00672D91" w:rsidRPr="001005B7">
        <w:rPr>
          <w:lang w:eastAsia="en-GB"/>
        </w:rPr>
        <w:t>vision</w:t>
      </w:r>
      <w:r w:rsidR="00672D91" w:rsidRPr="001005B7">
        <w:rPr>
          <w:i/>
          <w:iCs/>
          <w:lang w:eastAsia="en-GB"/>
        </w:rPr>
        <w:t xml:space="preserve"> </w:t>
      </w:r>
      <w:r w:rsidR="00672D91" w:rsidRPr="001005B7">
        <w:rPr>
          <w:lang w:eastAsia="en-GB"/>
        </w:rPr>
        <w:t>that</w:t>
      </w:r>
      <w:r w:rsidR="00FE3EC3" w:rsidRPr="001005B7">
        <w:rPr>
          <w:lang w:eastAsia="en-GB"/>
        </w:rPr>
        <w:t xml:space="preserve"> I</w:t>
      </w:r>
      <w:r w:rsidR="00672D91" w:rsidRPr="001005B7">
        <w:rPr>
          <w:i/>
          <w:iCs/>
          <w:lang w:eastAsia="en-GB"/>
        </w:rPr>
        <w:t xml:space="preserve"> </w:t>
      </w:r>
      <w:r w:rsidR="00672D91" w:rsidRPr="001005B7">
        <w:rPr>
          <w:lang w:eastAsia="en-GB"/>
        </w:rPr>
        <w:t>saw</w:t>
      </w:r>
      <w:r w:rsidR="00672D91" w:rsidRPr="001005B7">
        <w:rPr>
          <w:i/>
          <w:iCs/>
          <w:lang w:eastAsia="en-GB"/>
        </w:rPr>
        <w:t xml:space="preserve"> </w:t>
      </w:r>
      <w:r w:rsidR="00672D91" w:rsidRPr="001005B7">
        <w:rPr>
          <w:lang w:eastAsia="en-GB"/>
        </w:rPr>
        <w:t>went</w:t>
      </w:r>
      <w:r w:rsidR="00672D91" w:rsidRPr="001005B7">
        <w:rPr>
          <w:i/>
          <w:iCs/>
          <w:lang w:eastAsia="en-GB"/>
        </w:rPr>
        <w:t xml:space="preserve"> </w:t>
      </w:r>
      <w:r w:rsidR="00672D91" w:rsidRPr="001005B7">
        <w:rPr>
          <w:lang w:eastAsia="en-GB"/>
        </w:rPr>
        <w:t>up</w:t>
      </w:r>
      <w:r w:rsidR="00672D91" w:rsidRPr="001005B7">
        <w:rPr>
          <w:i/>
          <w:iCs/>
          <w:lang w:eastAsia="en-GB"/>
        </w:rPr>
        <w:t xml:space="preserve"> </w:t>
      </w:r>
      <w:r w:rsidR="00672D91" w:rsidRPr="001005B7">
        <w:rPr>
          <w:lang w:eastAsia="en-GB"/>
        </w:rPr>
        <w:t>from</w:t>
      </w:r>
      <w:r w:rsidR="00672D91" w:rsidRPr="001005B7">
        <w:rPr>
          <w:i/>
          <w:iCs/>
          <w:lang w:eastAsia="en-GB"/>
        </w:rPr>
        <w:t xml:space="preserve"> </w:t>
      </w:r>
      <w:r w:rsidR="00672D91" w:rsidRPr="001005B7">
        <w:rPr>
          <w:lang w:eastAsia="en-GB"/>
        </w:rPr>
        <w:t>me</w:t>
      </w:r>
      <w:r w:rsidR="002B04C7" w:rsidRPr="001005B7">
        <w:rPr>
          <w:lang w:eastAsia="en-GB"/>
        </w:rPr>
        <w:t>.</w:t>
      </w:r>
      <w:r w:rsidR="00FE3EC3" w:rsidRPr="001005B7">
        <w:rPr>
          <w:lang w:eastAsia="en-GB"/>
        </w:rPr>
        <w:t>”</w:t>
      </w:r>
      <w:r w:rsidR="002B04C7" w:rsidRPr="001005B7">
        <w:rPr>
          <w:lang w:eastAsia="en-GB"/>
        </w:rPr>
        <w:t xml:space="preserve"> We do not know how the Jerusalemites will respond to what it has revealed</w:t>
      </w:r>
      <w:r w:rsidR="00A11EAF">
        <w:rPr>
          <w:lang w:eastAsia="en-GB"/>
        </w:rPr>
        <w:t>, and therefore</w:t>
      </w:r>
      <w:r w:rsidR="00CB7C6E">
        <w:rPr>
          <w:lang w:eastAsia="en-GB"/>
        </w:rPr>
        <w:t xml:space="preserve"> what Yahweh will do next</w:t>
      </w:r>
      <w:r w:rsidR="000F147B" w:rsidRPr="001005B7">
        <w:rPr>
          <w:lang w:eastAsia="en-GB"/>
        </w:rPr>
        <w:t xml:space="preserve">. </w:t>
      </w:r>
      <w:r w:rsidR="00CB7C6E">
        <w:rPr>
          <w:lang w:eastAsia="en-GB"/>
        </w:rPr>
        <w:t>T</w:t>
      </w:r>
      <w:r w:rsidR="00786A5A" w:rsidRPr="001005B7">
        <w:rPr>
          <w:lang w:eastAsia="en-GB"/>
        </w:rPr>
        <w:t xml:space="preserve">he fact that </w:t>
      </w:r>
      <w:r w:rsidR="001E1E0E" w:rsidRPr="001005B7">
        <w:rPr>
          <w:lang w:eastAsia="en-GB"/>
        </w:rPr>
        <w:t>Ezek 8</w:t>
      </w:r>
      <w:r w:rsidR="00F46900" w:rsidRPr="001005B7">
        <w:rPr>
          <w:lang w:eastAsia="en-GB"/>
        </w:rPr>
        <w:t>–</w:t>
      </w:r>
      <w:r w:rsidR="001E1E0E" w:rsidRPr="001005B7">
        <w:rPr>
          <w:lang w:eastAsia="en-GB"/>
        </w:rPr>
        <w:t xml:space="preserve">11 closes with the spirit </w:t>
      </w:r>
      <w:r w:rsidR="00584745" w:rsidRPr="001005B7">
        <w:rPr>
          <w:lang w:eastAsia="en-GB"/>
        </w:rPr>
        <w:t xml:space="preserve">conveying Ezekiel’s spirit back to join his body in </w:t>
      </w:r>
      <w:proofErr w:type="spellStart"/>
      <w:r w:rsidR="00584745" w:rsidRPr="001005B7">
        <w:rPr>
          <w:lang w:eastAsia="en-GB"/>
        </w:rPr>
        <w:t>Kebar</w:t>
      </w:r>
      <w:proofErr w:type="spellEnd"/>
      <w:r w:rsidR="00D4432A" w:rsidRPr="001005B7">
        <w:rPr>
          <w:lang w:eastAsia="en-GB"/>
        </w:rPr>
        <w:t>,</w:t>
      </w:r>
      <w:r w:rsidR="00F84D8D" w:rsidRPr="001005B7">
        <w:rPr>
          <w:lang w:eastAsia="en-GB"/>
        </w:rPr>
        <w:t xml:space="preserve"> and </w:t>
      </w:r>
      <w:r w:rsidR="006541B7" w:rsidRPr="001005B7">
        <w:rPr>
          <w:lang w:eastAsia="en-GB"/>
        </w:rPr>
        <w:t xml:space="preserve">with </w:t>
      </w:r>
      <w:r w:rsidR="00F84D8D" w:rsidRPr="001005B7">
        <w:rPr>
          <w:lang w:eastAsia="en-GB"/>
        </w:rPr>
        <w:t xml:space="preserve">his </w:t>
      </w:r>
      <w:r w:rsidR="006541B7" w:rsidRPr="001005B7">
        <w:rPr>
          <w:lang w:eastAsia="en-GB"/>
        </w:rPr>
        <w:t>g</w:t>
      </w:r>
      <w:r w:rsidR="00F84D8D" w:rsidRPr="001005B7">
        <w:rPr>
          <w:lang w:eastAsia="en-GB"/>
        </w:rPr>
        <w:t xml:space="preserve">iving </w:t>
      </w:r>
      <w:r w:rsidR="006541B7" w:rsidRPr="001005B7">
        <w:rPr>
          <w:lang w:eastAsia="en-GB"/>
        </w:rPr>
        <w:t>t</w:t>
      </w:r>
      <w:r w:rsidR="00F84D8D" w:rsidRPr="001005B7">
        <w:rPr>
          <w:lang w:eastAsia="en-GB"/>
        </w:rPr>
        <w:t xml:space="preserve">he </w:t>
      </w:r>
      <w:proofErr w:type="spellStart"/>
      <w:r w:rsidR="00F84D8D" w:rsidRPr="001005B7">
        <w:rPr>
          <w:lang w:eastAsia="en-GB"/>
        </w:rPr>
        <w:t>Kebarites</w:t>
      </w:r>
      <w:proofErr w:type="spellEnd"/>
      <w:r w:rsidR="00F84D8D" w:rsidRPr="001005B7">
        <w:rPr>
          <w:lang w:eastAsia="en-GB"/>
        </w:rPr>
        <w:t xml:space="preserve"> an account of the vision</w:t>
      </w:r>
      <w:r w:rsidR="00D4432A" w:rsidRPr="001005B7">
        <w:rPr>
          <w:lang w:eastAsia="en-GB"/>
        </w:rPr>
        <w:t>,</w:t>
      </w:r>
      <w:r w:rsidR="00FE3369" w:rsidRPr="001005B7">
        <w:rPr>
          <w:lang w:eastAsia="en-GB"/>
        </w:rPr>
        <w:t xml:space="preserve"> reminds us that the question is not</w:t>
      </w:r>
      <w:r w:rsidR="00385F59" w:rsidRPr="001005B7">
        <w:rPr>
          <w:lang w:eastAsia="en-GB"/>
        </w:rPr>
        <w:t xml:space="preserve"> so much</w:t>
      </w:r>
      <w:r w:rsidR="00FE3369" w:rsidRPr="001005B7">
        <w:rPr>
          <w:lang w:eastAsia="en-GB"/>
        </w:rPr>
        <w:t xml:space="preserve"> how the Jerusalemites will </w:t>
      </w:r>
      <w:r w:rsidR="00662E28" w:rsidRPr="001005B7">
        <w:rPr>
          <w:lang w:eastAsia="en-GB"/>
        </w:rPr>
        <w:t xml:space="preserve">respond but how the </w:t>
      </w:r>
      <w:proofErr w:type="spellStart"/>
      <w:r w:rsidR="00662E28" w:rsidRPr="001005B7">
        <w:rPr>
          <w:lang w:eastAsia="en-GB"/>
        </w:rPr>
        <w:t>Kebarites</w:t>
      </w:r>
      <w:proofErr w:type="spellEnd"/>
      <w:r w:rsidR="00662E28" w:rsidRPr="001005B7">
        <w:rPr>
          <w:lang w:eastAsia="en-GB"/>
        </w:rPr>
        <w:t xml:space="preserve"> will respond. The </w:t>
      </w:r>
      <w:r w:rsidR="00385F59" w:rsidRPr="001005B7">
        <w:rPr>
          <w:lang w:eastAsia="en-GB"/>
        </w:rPr>
        <w:t xml:space="preserve">actual </w:t>
      </w:r>
      <w:r w:rsidR="00662E28" w:rsidRPr="001005B7">
        <w:rPr>
          <w:lang w:eastAsia="en-GB"/>
        </w:rPr>
        <w:t>vision is for them.</w:t>
      </w:r>
      <w:r w:rsidR="007A5BB0" w:rsidRPr="001005B7">
        <w:rPr>
          <w:lang w:eastAsia="en-GB"/>
        </w:rPr>
        <w:t xml:space="preserve"> “</w:t>
      </w:r>
      <w:r w:rsidR="007A5BB0" w:rsidRPr="001005B7">
        <w:rPr>
          <w:rFonts w:ascii="MinionPro-Regular" w:hAnsi="MinionPro-Regular" w:cs="MinionPro-Regular"/>
        </w:rPr>
        <w:t>For God appeared to his Prophet</w:t>
      </w:r>
      <w:r w:rsidR="00DA330D" w:rsidRPr="001005B7">
        <w:rPr>
          <w:rFonts w:ascii="MinionPro-Regular" w:hAnsi="MinionPro-Regular" w:cs="MinionPro-Regular"/>
        </w:rPr>
        <w:t>…</w:t>
      </w:r>
      <w:r w:rsidR="007A5BB0" w:rsidRPr="001005B7">
        <w:rPr>
          <w:rFonts w:ascii="MinionPro-Regular" w:hAnsi="MinionPro-Regular" w:cs="MinionPro-Regular"/>
        </w:rPr>
        <w:t xml:space="preserve"> and showed</w:t>
      </w:r>
      <w:r w:rsidR="007A5BB0" w:rsidRPr="001005B7">
        <w:rPr>
          <w:lang w:eastAsia="en-GB"/>
        </w:rPr>
        <w:t xml:space="preserve"> </w:t>
      </w:r>
      <w:r w:rsidR="007A5BB0" w:rsidRPr="001005B7">
        <w:rPr>
          <w:rFonts w:ascii="MinionPro-Regular" w:hAnsi="MinionPro-Regular" w:cs="MinionPro-Regular"/>
        </w:rPr>
        <w:t>him the temple, and there erected a theater, as it were, in which he beheld the whole state</w:t>
      </w:r>
      <w:r w:rsidR="00C31102" w:rsidRPr="001005B7">
        <w:rPr>
          <w:lang w:eastAsia="en-GB"/>
        </w:rPr>
        <w:t xml:space="preserve"> </w:t>
      </w:r>
      <w:r w:rsidR="007A5BB0" w:rsidRPr="001005B7">
        <w:rPr>
          <w:rFonts w:ascii="MinionPro-Regular" w:hAnsi="MinionPro-Regular" w:cs="MinionPro-Regular"/>
        </w:rPr>
        <w:t>of the city Jerusalem</w:t>
      </w:r>
      <w:r w:rsidR="00A71CF1" w:rsidRPr="001005B7">
        <w:rPr>
          <w:rFonts w:ascii="MinionPro-Regular" w:hAnsi="MinionPro-Regular" w:cs="MinionPro-Regular"/>
        </w:rPr>
        <w:t>” (Calvin</w:t>
      </w:r>
      <w:r w:rsidR="00BF1CCE" w:rsidRPr="001005B7">
        <w:rPr>
          <w:rFonts w:ascii="MinionPro-Regular" w:hAnsi="MinionPro-Regular" w:cs="MinionPro-Regular"/>
        </w:rPr>
        <w:t>,</w:t>
      </w:r>
      <w:r w:rsidR="00A71CF1" w:rsidRPr="001005B7">
        <w:rPr>
          <w:rFonts w:ascii="MinionPro-Regular" w:hAnsi="MinionPro-Regular" w:cs="MinionPro-Regular"/>
        </w:rPr>
        <w:t xml:space="preserve"> 1:415).</w:t>
      </w:r>
      <w:r w:rsidR="00C31102" w:rsidRPr="001005B7">
        <w:rPr>
          <w:lang w:eastAsia="en-GB"/>
        </w:rPr>
        <w:t xml:space="preserve"> </w:t>
      </w:r>
      <w:r w:rsidR="00642069" w:rsidRPr="001005B7">
        <w:rPr>
          <w:lang w:eastAsia="en-GB"/>
        </w:rPr>
        <w:t>A</w:t>
      </w:r>
      <w:r w:rsidR="00DE0B3A" w:rsidRPr="001005B7">
        <w:rPr>
          <w:lang w:eastAsia="en-GB"/>
        </w:rPr>
        <w:t>nd within the framework of the vision</w:t>
      </w:r>
      <w:r w:rsidR="00642069" w:rsidRPr="001005B7">
        <w:rPr>
          <w:lang w:eastAsia="en-GB"/>
        </w:rPr>
        <w:t xml:space="preserve"> and of this narrative in E</w:t>
      </w:r>
      <w:r w:rsidR="004B4D09" w:rsidRPr="001005B7">
        <w:rPr>
          <w:lang w:eastAsia="en-GB"/>
        </w:rPr>
        <w:t>zek</w:t>
      </w:r>
      <w:r w:rsidR="00642069" w:rsidRPr="001005B7">
        <w:rPr>
          <w:lang w:eastAsia="en-GB"/>
        </w:rPr>
        <w:t xml:space="preserve"> 8</w:t>
      </w:r>
      <w:r w:rsidR="00F46900" w:rsidRPr="001005B7">
        <w:rPr>
          <w:lang w:eastAsia="en-GB"/>
        </w:rPr>
        <w:t>–</w:t>
      </w:r>
      <w:r w:rsidR="00642069" w:rsidRPr="001005B7">
        <w:rPr>
          <w:lang w:eastAsia="en-GB"/>
        </w:rPr>
        <w:t>11</w:t>
      </w:r>
      <w:r w:rsidR="00DE0B3A" w:rsidRPr="001005B7">
        <w:rPr>
          <w:lang w:eastAsia="en-GB"/>
        </w:rPr>
        <w:t>, Yahweh</w:t>
      </w:r>
      <w:r w:rsidR="00642069" w:rsidRPr="001005B7">
        <w:rPr>
          <w:lang w:eastAsia="en-GB"/>
        </w:rPr>
        <w:t xml:space="preserve"> </w:t>
      </w:r>
      <w:r w:rsidR="008B48ED">
        <w:rPr>
          <w:lang w:eastAsia="en-GB"/>
        </w:rPr>
        <w:t xml:space="preserve">does not </w:t>
      </w:r>
      <w:r w:rsidR="00642069" w:rsidRPr="001005B7">
        <w:rPr>
          <w:lang w:eastAsia="en-GB"/>
        </w:rPr>
        <w:t xml:space="preserve">know how </w:t>
      </w:r>
      <w:r w:rsidR="005C46E9" w:rsidRPr="001005B7">
        <w:rPr>
          <w:lang w:eastAsia="en-GB"/>
        </w:rPr>
        <w:t>the people</w:t>
      </w:r>
      <w:r w:rsidR="00642069" w:rsidRPr="001005B7">
        <w:rPr>
          <w:lang w:eastAsia="en-GB"/>
        </w:rPr>
        <w:t xml:space="preserve"> </w:t>
      </w:r>
      <w:r w:rsidR="00095775" w:rsidRPr="001005B7">
        <w:rPr>
          <w:lang w:eastAsia="en-GB"/>
        </w:rPr>
        <w:t xml:space="preserve">will </w:t>
      </w:r>
      <w:r w:rsidR="00642069" w:rsidRPr="001005B7">
        <w:rPr>
          <w:lang w:eastAsia="en-GB"/>
        </w:rPr>
        <w:t>respond</w:t>
      </w:r>
      <w:r w:rsidR="00C15A3F" w:rsidRPr="001005B7">
        <w:rPr>
          <w:lang w:eastAsia="en-GB"/>
        </w:rPr>
        <w:t>, and n</w:t>
      </w:r>
      <w:r w:rsidR="003F005E" w:rsidRPr="001005B7">
        <w:rPr>
          <w:lang w:eastAsia="en-GB"/>
        </w:rPr>
        <w:t>o</w:t>
      </w:r>
      <w:r w:rsidR="00C15A3F" w:rsidRPr="001005B7">
        <w:rPr>
          <w:lang w:eastAsia="en-GB"/>
        </w:rPr>
        <w:t>r does Ezekiel</w:t>
      </w:r>
      <w:r w:rsidR="00045DF1" w:rsidRPr="001005B7">
        <w:rPr>
          <w:lang w:eastAsia="en-GB"/>
        </w:rPr>
        <w:t xml:space="preserve">. </w:t>
      </w:r>
      <w:r w:rsidR="00C6223F" w:rsidRPr="001005B7">
        <w:rPr>
          <w:lang w:eastAsia="en-GB"/>
        </w:rPr>
        <w:t>W</w:t>
      </w:r>
      <w:r w:rsidR="0099656D" w:rsidRPr="001005B7">
        <w:rPr>
          <w:lang w:eastAsia="en-GB"/>
        </w:rPr>
        <w:t>ould</w:t>
      </w:r>
      <w:r w:rsidR="009C4253" w:rsidRPr="001005B7">
        <w:rPr>
          <w:lang w:eastAsia="en-GB"/>
        </w:rPr>
        <w:t xml:space="preserve"> </w:t>
      </w:r>
      <w:r w:rsidR="00C6223F" w:rsidRPr="001005B7">
        <w:rPr>
          <w:lang w:eastAsia="en-GB"/>
        </w:rPr>
        <w:t xml:space="preserve">it </w:t>
      </w:r>
      <w:r w:rsidR="009C4253" w:rsidRPr="001005B7">
        <w:rPr>
          <w:lang w:eastAsia="en-GB"/>
        </w:rPr>
        <w:t>be th</w:t>
      </w:r>
      <w:r w:rsidR="006310CD" w:rsidRPr="001005B7">
        <w:rPr>
          <w:lang w:eastAsia="en-GB"/>
        </w:rPr>
        <w:t>ose</w:t>
      </w:r>
      <w:r w:rsidR="009C4253" w:rsidRPr="001005B7">
        <w:rPr>
          <w:lang w:eastAsia="en-GB"/>
        </w:rPr>
        <w:t xml:space="preserve"> response</w:t>
      </w:r>
      <w:r w:rsidR="006310CD" w:rsidRPr="001005B7">
        <w:rPr>
          <w:lang w:eastAsia="en-GB"/>
        </w:rPr>
        <w:t>s</w:t>
      </w:r>
      <w:r w:rsidR="009C4253" w:rsidRPr="001005B7">
        <w:rPr>
          <w:lang w:eastAsia="en-GB"/>
        </w:rPr>
        <w:t xml:space="preserve"> </w:t>
      </w:r>
      <w:r w:rsidR="00095775" w:rsidRPr="001005B7">
        <w:rPr>
          <w:lang w:eastAsia="en-GB"/>
        </w:rPr>
        <w:t xml:space="preserve">in </w:t>
      </w:r>
      <w:proofErr w:type="spellStart"/>
      <w:r w:rsidR="00095775" w:rsidRPr="001005B7">
        <w:rPr>
          <w:lang w:eastAsia="en-GB"/>
        </w:rPr>
        <w:t>Kebar</w:t>
      </w:r>
      <w:proofErr w:type="spellEnd"/>
      <w:r w:rsidR="00095775" w:rsidRPr="001005B7">
        <w:rPr>
          <w:lang w:eastAsia="en-GB"/>
        </w:rPr>
        <w:t xml:space="preserve"> or in Jerusalem </w:t>
      </w:r>
      <w:r w:rsidR="009C4253" w:rsidRPr="001005B7">
        <w:rPr>
          <w:lang w:eastAsia="en-GB"/>
        </w:rPr>
        <w:t>that decide whether Yahweh actually leaves the city and the temple</w:t>
      </w:r>
      <w:r w:rsidR="00C6223F" w:rsidRPr="001005B7">
        <w:rPr>
          <w:lang w:eastAsia="en-GB"/>
        </w:rPr>
        <w:t>?</w:t>
      </w:r>
      <w:r w:rsidR="009C4253" w:rsidRPr="001005B7">
        <w:rPr>
          <w:lang w:eastAsia="en-GB"/>
        </w:rPr>
        <w:t xml:space="preserve"> But </w:t>
      </w:r>
      <w:r w:rsidR="00B21E3C" w:rsidRPr="001005B7">
        <w:rPr>
          <w:lang w:eastAsia="en-GB"/>
        </w:rPr>
        <w:t xml:space="preserve">Ezekiel has not portrayed Yahweh as living </w:t>
      </w:r>
      <w:r w:rsidR="005F70F0" w:rsidRPr="001005B7">
        <w:rPr>
          <w:lang w:eastAsia="en-GB"/>
        </w:rPr>
        <w:t>in the temple</w:t>
      </w:r>
      <w:r w:rsidR="00890B45" w:rsidRPr="001005B7">
        <w:rPr>
          <w:lang w:eastAsia="en-GB"/>
        </w:rPr>
        <w:t xml:space="preserve">. </w:t>
      </w:r>
      <w:r w:rsidR="00276BA1" w:rsidRPr="001005B7">
        <w:rPr>
          <w:lang w:eastAsia="en-GB"/>
        </w:rPr>
        <w:t>Yahweh’s holy palace and throne are in the heavens</w:t>
      </w:r>
      <w:r w:rsidR="004C6EE5" w:rsidRPr="001005B7">
        <w:rPr>
          <w:lang w:eastAsia="en-GB"/>
        </w:rPr>
        <w:t>.</w:t>
      </w:r>
      <w:r w:rsidR="00276BA1" w:rsidRPr="001005B7">
        <w:rPr>
          <w:lang w:eastAsia="en-GB"/>
        </w:rPr>
        <w:t xml:space="preserve"> </w:t>
      </w:r>
      <w:r w:rsidR="00FC4D51" w:rsidRPr="001005B7">
        <w:rPr>
          <w:lang w:eastAsia="en-GB"/>
        </w:rPr>
        <w:t>H</w:t>
      </w:r>
      <w:r w:rsidR="00276BA1" w:rsidRPr="001005B7">
        <w:rPr>
          <w:lang w:eastAsia="en-GB"/>
        </w:rPr>
        <w:t>e can quite adequately keep an eye on things from there (</w:t>
      </w:r>
      <w:proofErr w:type="spellStart"/>
      <w:r w:rsidR="00276BA1" w:rsidRPr="001005B7">
        <w:rPr>
          <w:lang w:eastAsia="en-GB"/>
        </w:rPr>
        <w:t>Ps</w:t>
      </w:r>
      <w:r w:rsidR="003C7039" w:rsidRPr="001005B7">
        <w:rPr>
          <w:lang w:eastAsia="en-GB"/>
        </w:rPr>
        <w:t>a</w:t>
      </w:r>
      <w:proofErr w:type="spellEnd"/>
      <w:r w:rsidR="00276BA1" w:rsidRPr="001005B7">
        <w:rPr>
          <w:lang w:eastAsia="en-GB"/>
        </w:rPr>
        <w:t xml:space="preserve"> 11:4)</w:t>
      </w:r>
      <w:r w:rsidR="004B4A1A" w:rsidRPr="001005B7">
        <w:rPr>
          <w:lang w:eastAsia="en-GB"/>
        </w:rPr>
        <w:t xml:space="preserve">, </w:t>
      </w:r>
      <w:r w:rsidR="00FC4D51" w:rsidRPr="001005B7">
        <w:rPr>
          <w:lang w:eastAsia="en-GB"/>
        </w:rPr>
        <w:t>though</w:t>
      </w:r>
      <w:r w:rsidR="004B4A1A" w:rsidRPr="001005B7">
        <w:rPr>
          <w:lang w:eastAsia="en-GB"/>
        </w:rPr>
        <w:t xml:space="preserve"> he sometimes </w:t>
      </w:r>
      <w:r w:rsidR="00C77409" w:rsidRPr="001005B7">
        <w:rPr>
          <w:lang w:eastAsia="en-GB"/>
        </w:rPr>
        <w:t>pay</w:t>
      </w:r>
      <w:r w:rsidR="00113F29" w:rsidRPr="001005B7">
        <w:rPr>
          <w:lang w:eastAsia="en-GB"/>
        </w:rPr>
        <w:t>s</w:t>
      </w:r>
      <w:r w:rsidR="00C77409" w:rsidRPr="001005B7">
        <w:rPr>
          <w:lang w:eastAsia="en-GB"/>
        </w:rPr>
        <w:t xml:space="preserve"> the world a visit to check on things in person (Gen 18:21)</w:t>
      </w:r>
      <w:r w:rsidR="009A6D33" w:rsidRPr="001005B7">
        <w:rPr>
          <w:lang w:eastAsia="en-GB"/>
        </w:rPr>
        <w:t>.</w:t>
      </w:r>
      <w:r w:rsidR="00276BA1" w:rsidRPr="001005B7">
        <w:rPr>
          <w:lang w:eastAsia="en-GB"/>
        </w:rPr>
        <w:t xml:space="preserve"> </w:t>
      </w:r>
      <w:r w:rsidR="00D72239" w:rsidRPr="001005B7">
        <w:rPr>
          <w:lang w:eastAsia="en-GB"/>
        </w:rPr>
        <w:t xml:space="preserve">Ezekiel has portrayed him </w:t>
      </w:r>
      <w:r w:rsidR="006D1780" w:rsidRPr="001005B7">
        <w:rPr>
          <w:lang w:eastAsia="en-GB"/>
        </w:rPr>
        <w:t>as paying</w:t>
      </w:r>
      <w:r w:rsidR="00890B45" w:rsidRPr="001005B7">
        <w:rPr>
          <w:lang w:eastAsia="en-GB"/>
        </w:rPr>
        <w:t xml:space="preserve"> </w:t>
      </w:r>
      <w:r w:rsidR="000C33C3" w:rsidRPr="001005B7">
        <w:rPr>
          <w:lang w:eastAsia="en-GB"/>
        </w:rPr>
        <w:t>city and temple</w:t>
      </w:r>
      <w:r w:rsidR="006D1780" w:rsidRPr="001005B7">
        <w:rPr>
          <w:lang w:eastAsia="en-GB"/>
        </w:rPr>
        <w:t xml:space="preserve"> a visit to </w:t>
      </w:r>
      <w:r w:rsidR="0070028B" w:rsidRPr="001005B7">
        <w:rPr>
          <w:lang w:eastAsia="en-GB"/>
        </w:rPr>
        <w:t>exercise authority and bring about a ca</w:t>
      </w:r>
      <w:r w:rsidR="005D425B" w:rsidRPr="001005B7">
        <w:rPr>
          <w:lang w:eastAsia="en-GB"/>
        </w:rPr>
        <w:t>tas</w:t>
      </w:r>
      <w:r w:rsidR="00FA4819" w:rsidRPr="001005B7">
        <w:rPr>
          <w:lang w:eastAsia="en-GB"/>
        </w:rPr>
        <w:t>trophe</w:t>
      </w:r>
      <w:r w:rsidR="0070028B" w:rsidRPr="001005B7">
        <w:rPr>
          <w:lang w:eastAsia="en-GB"/>
        </w:rPr>
        <w:t xml:space="preserve">. He does not exactly live there and </w:t>
      </w:r>
      <w:r w:rsidR="00FA4819" w:rsidRPr="001005B7">
        <w:rPr>
          <w:lang w:eastAsia="en-GB"/>
        </w:rPr>
        <w:t xml:space="preserve">if he is now leaving, </w:t>
      </w:r>
      <w:r w:rsidR="0070028B" w:rsidRPr="001005B7">
        <w:rPr>
          <w:lang w:eastAsia="en-GB"/>
        </w:rPr>
        <w:t xml:space="preserve">he is </w:t>
      </w:r>
      <w:r w:rsidR="007E5F0C" w:rsidRPr="001005B7">
        <w:rPr>
          <w:lang w:eastAsia="en-GB"/>
        </w:rPr>
        <w:t>not</w:t>
      </w:r>
      <w:r w:rsidR="0070028B" w:rsidRPr="001005B7">
        <w:rPr>
          <w:lang w:eastAsia="en-GB"/>
        </w:rPr>
        <w:t xml:space="preserve"> leaving</w:t>
      </w:r>
      <w:r w:rsidR="007E5F0C" w:rsidRPr="001005B7">
        <w:rPr>
          <w:lang w:eastAsia="en-GB"/>
        </w:rPr>
        <w:t xml:space="preserve"> as if he </w:t>
      </w:r>
      <w:r w:rsidR="00806768" w:rsidRPr="001005B7">
        <w:rPr>
          <w:lang w:eastAsia="en-GB"/>
        </w:rPr>
        <w:t xml:space="preserve">had been </w:t>
      </w:r>
      <w:r w:rsidR="007E5F0C" w:rsidRPr="001005B7">
        <w:rPr>
          <w:lang w:eastAsia="en-GB"/>
        </w:rPr>
        <w:t>living there</w:t>
      </w:r>
      <w:r w:rsidR="00865321" w:rsidRPr="001005B7">
        <w:rPr>
          <w:lang w:eastAsia="en-GB"/>
        </w:rPr>
        <w:t>, but only as b</w:t>
      </w:r>
      <w:r w:rsidR="000E7669" w:rsidRPr="001005B7">
        <w:rPr>
          <w:lang w:eastAsia="en-GB"/>
        </w:rPr>
        <w:t>r</w:t>
      </w:r>
      <w:r w:rsidR="00865321" w:rsidRPr="001005B7">
        <w:rPr>
          <w:lang w:eastAsia="en-GB"/>
        </w:rPr>
        <w:t>inging this visit to an end.</w:t>
      </w:r>
      <w:r w:rsidR="007E5F0C" w:rsidRPr="001005B7">
        <w:rPr>
          <w:rStyle w:val="FootnoteReference"/>
          <w:lang w:eastAsia="en-GB"/>
        </w:rPr>
        <w:footnoteReference w:id="290"/>
      </w:r>
      <w:r w:rsidR="00865321" w:rsidRPr="001005B7">
        <w:rPr>
          <w:lang w:eastAsia="en-GB"/>
        </w:rPr>
        <w:t xml:space="preserve"> </w:t>
      </w:r>
      <w:r w:rsidR="000E7669" w:rsidRPr="001005B7">
        <w:rPr>
          <w:rStyle w:val="en"/>
        </w:rPr>
        <w:t xml:space="preserve">If </w:t>
      </w:r>
      <w:r w:rsidR="008A460B" w:rsidRPr="001005B7">
        <w:rPr>
          <w:rStyle w:val="en"/>
        </w:rPr>
        <w:t>his entourage</w:t>
      </w:r>
      <w:r w:rsidR="000E7669" w:rsidRPr="001005B7">
        <w:rPr>
          <w:rStyle w:val="en"/>
        </w:rPr>
        <w:t xml:space="preserve"> did leave</w:t>
      </w:r>
      <w:r w:rsidR="00AA35F6" w:rsidRPr="001005B7">
        <w:rPr>
          <w:rStyle w:val="en"/>
        </w:rPr>
        <w:t xml:space="preserve">, </w:t>
      </w:r>
      <w:r w:rsidR="000E7669" w:rsidRPr="001005B7">
        <w:rPr>
          <w:rStyle w:val="en"/>
        </w:rPr>
        <w:t xml:space="preserve">it went back to </w:t>
      </w:r>
      <w:r w:rsidR="00AA35F6" w:rsidRPr="001005B7">
        <w:rPr>
          <w:rStyle w:val="en"/>
        </w:rPr>
        <w:t xml:space="preserve">the </w:t>
      </w:r>
      <w:r w:rsidR="000E7669" w:rsidRPr="001005B7">
        <w:rPr>
          <w:rStyle w:val="en"/>
        </w:rPr>
        <w:t>heaven</w:t>
      </w:r>
      <w:r w:rsidR="00AA35F6" w:rsidRPr="001005B7">
        <w:rPr>
          <w:rStyle w:val="en"/>
        </w:rPr>
        <w:t>s</w:t>
      </w:r>
      <w:r w:rsidR="000E7669" w:rsidRPr="001005B7">
        <w:rPr>
          <w:rStyle w:val="en"/>
        </w:rPr>
        <w:t xml:space="preserve">, where </w:t>
      </w:r>
      <w:r w:rsidR="00535C13" w:rsidRPr="001005B7">
        <w:rPr>
          <w:rStyle w:val="en"/>
        </w:rPr>
        <w:t xml:space="preserve">1:1 implied </w:t>
      </w:r>
      <w:r w:rsidR="000E7669" w:rsidRPr="001005B7">
        <w:rPr>
          <w:rStyle w:val="en"/>
        </w:rPr>
        <w:t>it was before</w:t>
      </w:r>
      <w:r w:rsidR="00AA35F6" w:rsidRPr="001005B7">
        <w:rPr>
          <w:rStyle w:val="en"/>
        </w:rPr>
        <w:t xml:space="preserve"> (</w:t>
      </w:r>
      <w:proofErr w:type="spellStart"/>
      <w:r w:rsidR="00AA35F6" w:rsidRPr="001005B7">
        <w:rPr>
          <w:rStyle w:val="en"/>
        </w:rPr>
        <w:t>Qimhi</w:t>
      </w:r>
      <w:proofErr w:type="spellEnd"/>
      <w:r w:rsidR="0034722F" w:rsidRPr="001005B7">
        <w:rPr>
          <w:rStyle w:val="en"/>
        </w:rPr>
        <w:t>,</w:t>
      </w:r>
      <w:r w:rsidR="00AA35F6" w:rsidRPr="001005B7">
        <w:rPr>
          <w:rStyle w:val="en"/>
        </w:rPr>
        <w:t xml:space="preserve"> in MG). </w:t>
      </w:r>
      <w:r w:rsidR="001F1506" w:rsidRPr="001005B7">
        <w:rPr>
          <w:rStyle w:val="en"/>
          <w:i/>
          <w:iCs/>
        </w:rPr>
        <w:t xml:space="preserve">B. Rosh Hashana 31a </w:t>
      </w:r>
      <w:r w:rsidR="001F1506" w:rsidRPr="001005B7">
        <w:rPr>
          <w:rStyle w:val="en"/>
        </w:rPr>
        <w:t>elaborates</w:t>
      </w:r>
      <w:r w:rsidR="00096410" w:rsidRPr="001005B7">
        <w:rPr>
          <w:rStyle w:val="en"/>
        </w:rPr>
        <w:t>:</w:t>
      </w:r>
    </w:p>
    <w:p w14:paraId="2995E1AC" w14:textId="410FD04E" w:rsidR="001F1506" w:rsidRPr="001005B7" w:rsidRDefault="00D9466C" w:rsidP="00381C27">
      <w:pPr>
        <w:pStyle w:val="Quote"/>
        <w:rPr>
          <w:rStyle w:val="en"/>
          <w:color w:val="auto"/>
        </w:rPr>
      </w:pPr>
      <w:r w:rsidRPr="001005B7">
        <w:rPr>
          <w:rStyle w:val="en"/>
          <w:color w:val="auto"/>
        </w:rPr>
        <w:t>T</w:t>
      </w:r>
      <w:r w:rsidR="001F1506" w:rsidRPr="001005B7">
        <w:rPr>
          <w:rStyle w:val="en"/>
          <w:color w:val="auto"/>
        </w:rPr>
        <w:t>en journeys</w:t>
      </w:r>
      <w:r w:rsidRPr="001005B7">
        <w:rPr>
          <w:rStyle w:val="en"/>
          <w:color w:val="auto"/>
        </w:rPr>
        <w:t xml:space="preserve"> the Presence traveled</w:t>
      </w:r>
      <w:r w:rsidR="003A2EEA" w:rsidRPr="001005B7">
        <w:rPr>
          <w:rStyle w:val="en"/>
          <w:color w:val="auto"/>
        </w:rPr>
        <w:t>:</w:t>
      </w:r>
      <w:r w:rsidR="001F1506" w:rsidRPr="001005B7">
        <w:rPr>
          <w:rStyle w:val="en"/>
          <w:color w:val="auto"/>
        </w:rPr>
        <w:t xml:space="preserve"> From cover </w:t>
      </w:r>
      <w:r w:rsidR="003A2EEA" w:rsidRPr="001005B7">
        <w:rPr>
          <w:rStyle w:val="en"/>
          <w:color w:val="auto"/>
        </w:rPr>
        <w:t>[of the c</w:t>
      </w:r>
      <w:r w:rsidR="00963D02" w:rsidRPr="001005B7">
        <w:rPr>
          <w:rStyle w:val="en"/>
          <w:color w:val="auto"/>
        </w:rPr>
        <w:t>h</w:t>
      </w:r>
      <w:r w:rsidR="003A2EEA" w:rsidRPr="001005B7">
        <w:rPr>
          <w:rStyle w:val="en"/>
          <w:color w:val="auto"/>
        </w:rPr>
        <w:t xml:space="preserve">est] </w:t>
      </w:r>
      <w:r w:rsidR="001F1506" w:rsidRPr="001005B7">
        <w:rPr>
          <w:rStyle w:val="en"/>
          <w:color w:val="auto"/>
        </w:rPr>
        <w:t xml:space="preserve">to </w:t>
      </w:r>
      <w:r w:rsidR="003001D1" w:rsidRPr="001005B7">
        <w:rPr>
          <w:rStyle w:val="en"/>
          <w:color w:val="auto"/>
        </w:rPr>
        <w:t>griffin</w:t>
      </w:r>
      <w:r w:rsidR="001F1506" w:rsidRPr="001005B7">
        <w:rPr>
          <w:rStyle w:val="en"/>
          <w:color w:val="auto"/>
        </w:rPr>
        <w:t xml:space="preserve"> </w:t>
      </w:r>
      <w:r w:rsidR="003A2EEA" w:rsidRPr="001005B7">
        <w:rPr>
          <w:rStyle w:val="en"/>
          <w:color w:val="auto"/>
        </w:rPr>
        <w:t>[</w:t>
      </w:r>
      <w:r w:rsidR="00A70390" w:rsidRPr="001005B7">
        <w:rPr>
          <w:rStyle w:val="en"/>
          <w:color w:val="auto"/>
        </w:rPr>
        <w:t xml:space="preserve">Ezek </w:t>
      </w:r>
      <w:r w:rsidR="001F1506" w:rsidRPr="001005B7">
        <w:rPr>
          <w:rStyle w:val="en"/>
          <w:color w:val="auto"/>
        </w:rPr>
        <w:t>9:3</w:t>
      </w:r>
      <w:r w:rsidR="003A2EEA" w:rsidRPr="001005B7">
        <w:rPr>
          <w:rStyle w:val="en"/>
          <w:color w:val="auto"/>
        </w:rPr>
        <w:t>]</w:t>
      </w:r>
      <w:r w:rsidR="001F1506" w:rsidRPr="001005B7">
        <w:rPr>
          <w:rStyle w:val="en"/>
          <w:color w:val="auto"/>
        </w:rPr>
        <w:t xml:space="preserve">; from </w:t>
      </w:r>
      <w:r w:rsidR="003001D1" w:rsidRPr="001005B7">
        <w:rPr>
          <w:rStyle w:val="en"/>
          <w:color w:val="auto"/>
        </w:rPr>
        <w:t>griffin</w:t>
      </w:r>
      <w:r w:rsidR="001F1506" w:rsidRPr="001005B7">
        <w:rPr>
          <w:rStyle w:val="en"/>
          <w:color w:val="auto"/>
        </w:rPr>
        <w:t xml:space="preserve"> to </w:t>
      </w:r>
      <w:r w:rsidR="003001D1" w:rsidRPr="001005B7">
        <w:rPr>
          <w:rStyle w:val="en"/>
          <w:color w:val="auto"/>
        </w:rPr>
        <w:t>griffin</w:t>
      </w:r>
      <w:r w:rsidR="001F1506" w:rsidRPr="001005B7">
        <w:rPr>
          <w:rStyle w:val="en"/>
          <w:color w:val="auto"/>
        </w:rPr>
        <w:t xml:space="preserve"> </w:t>
      </w:r>
      <w:r w:rsidR="00B138AD" w:rsidRPr="001005B7">
        <w:rPr>
          <w:rStyle w:val="en"/>
          <w:color w:val="auto"/>
        </w:rPr>
        <w:t>[</w:t>
      </w:r>
      <w:r w:rsidR="00BA579F" w:rsidRPr="001005B7">
        <w:rPr>
          <w:rStyle w:val="en"/>
          <w:color w:val="auto"/>
        </w:rPr>
        <w:t>2</w:t>
      </w:r>
      <w:r w:rsidR="00986B6E" w:rsidRPr="001005B7">
        <w:rPr>
          <w:rStyle w:val="en"/>
          <w:color w:val="auto"/>
        </w:rPr>
        <w:t> </w:t>
      </w:r>
      <w:r w:rsidR="001F1506" w:rsidRPr="001005B7">
        <w:rPr>
          <w:rStyle w:val="en"/>
          <w:color w:val="auto"/>
        </w:rPr>
        <w:t xml:space="preserve">Sam 22:11); from </w:t>
      </w:r>
      <w:r w:rsidR="003001D1" w:rsidRPr="001005B7">
        <w:rPr>
          <w:rStyle w:val="en"/>
          <w:color w:val="auto"/>
        </w:rPr>
        <w:t>griffin</w:t>
      </w:r>
      <w:r w:rsidR="001F1506" w:rsidRPr="001005B7">
        <w:rPr>
          <w:rStyle w:val="en"/>
          <w:color w:val="auto"/>
        </w:rPr>
        <w:t xml:space="preserve"> to threshold </w:t>
      </w:r>
      <w:r w:rsidR="001B5618" w:rsidRPr="001005B7">
        <w:rPr>
          <w:rStyle w:val="en"/>
          <w:color w:val="auto"/>
        </w:rPr>
        <w:t>[</w:t>
      </w:r>
      <w:r w:rsidR="001F1506" w:rsidRPr="001005B7">
        <w:rPr>
          <w:rStyle w:val="en"/>
          <w:color w:val="auto"/>
        </w:rPr>
        <w:t xml:space="preserve">Exod 25:22); from threshold to courtyard </w:t>
      </w:r>
      <w:r w:rsidR="00FB6E7B" w:rsidRPr="001005B7">
        <w:rPr>
          <w:rStyle w:val="en"/>
          <w:color w:val="auto"/>
        </w:rPr>
        <w:t>[</w:t>
      </w:r>
      <w:r w:rsidR="00A70390" w:rsidRPr="001005B7">
        <w:rPr>
          <w:rStyle w:val="en"/>
          <w:color w:val="auto"/>
        </w:rPr>
        <w:t xml:space="preserve">Ezek </w:t>
      </w:r>
      <w:r w:rsidR="001F1506" w:rsidRPr="001005B7">
        <w:rPr>
          <w:rStyle w:val="en"/>
          <w:color w:val="auto"/>
        </w:rPr>
        <w:t>10:4</w:t>
      </w:r>
      <w:r w:rsidR="00FB6E7B" w:rsidRPr="001005B7">
        <w:rPr>
          <w:rStyle w:val="en"/>
          <w:color w:val="auto"/>
        </w:rPr>
        <w:t>]</w:t>
      </w:r>
      <w:r w:rsidR="001F1506" w:rsidRPr="001005B7">
        <w:rPr>
          <w:rStyle w:val="en"/>
          <w:color w:val="auto"/>
        </w:rPr>
        <w:t xml:space="preserve">; from courtyard to altar </w:t>
      </w:r>
      <w:r w:rsidR="00FB6E7B" w:rsidRPr="001005B7">
        <w:rPr>
          <w:rStyle w:val="en"/>
          <w:color w:val="auto"/>
        </w:rPr>
        <w:t>[</w:t>
      </w:r>
      <w:r w:rsidR="001F1506" w:rsidRPr="001005B7">
        <w:rPr>
          <w:rStyle w:val="en"/>
          <w:color w:val="auto"/>
        </w:rPr>
        <w:t>Amos 9:1</w:t>
      </w:r>
      <w:r w:rsidR="00FB6E7B" w:rsidRPr="001005B7">
        <w:rPr>
          <w:rStyle w:val="en"/>
          <w:color w:val="auto"/>
        </w:rPr>
        <w:t>]</w:t>
      </w:r>
      <w:r w:rsidR="001F1506" w:rsidRPr="001005B7">
        <w:rPr>
          <w:rStyle w:val="en"/>
          <w:color w:val="auto"/>
        </w:rPr>
        <w:t xml:space="preserve">; from altar to roof </w:t>
      </w:r>
      <w:r w:rsidR="00FB6E7B" w:rsidRPr="001005B7">
        <w:rPr>
          <w:rStyle w:val="en"/>
          <w:color w:val="auto"/>
        </w:rPr>
        <w:t>[</w:t>
      </w:r>
      <w:r w:rsidR="001F1506" w:rsidRPr="001005B7">
        <w:rPr>
          <w:rStyle w:val="en"/>
          <w:color w:val="auto"/>
        </w:rPr>
        <w:t>Prov 21:9</w:t>
      </w:r>
      <w:r w:rsidR="00FB6E7B" w:rsidRPr="001005B7">
        <w:rPr>
          <w:rStyle w:val="en"/>
          <w:color w:val="auto"/>
        </w:rPr>
        <w:t>]</w:t>
      </w:r>
      <w:r w:rsidR="001F1506" w:rsidRPr="001005B7">
        <w:rPr>
          <w:rStyle w:val="en"/>
          <w:color w:val="auto"/>
        </w:rPr>
        <w:t xml:space="preserve">; from roof to wall </w:t>
      </w:r>
      <w:r w:rsidR="00FB6E7B" w:rsidRPr="001005B7">
        <w:rPr>
          <w:rStyle w:val="en"/>
          <w:color w:val="auto"/>
        </w:rPr>
        <w:t>[</w:t>
      </w:r>
      <w:r w:rsidR="001F1506" w:rsidRPr="001005B7">
        <w:rPr>
          <w:rStyle w:val="en"/>
          <w:color w:val="auto"/>
        </w:rPr>
        <w:t>Amos 7:7</w:t>
      </w:r>
      <w:r w:rsidR="00FB6E7B" w:rsidRPr="001005B7">
        <w:rPr>
          <w:rStyle w:val="en"/>
          <w:color w:val="auto"/>
        </w:rPr>
        <w:t>]</w:t>
      </w:r>
      <w:r w:rsidR="001F1506" w:rsidRPr="001005B7">
        <w:rPr>
          <w:rStyle w:val="en"/>
          <w:color w:val="auto"/>
        </w:rPr>
        <w:t xml:space="preserve">; from wall to </w:t>
      </w:r>
      <w:r w:rsidR="00444769" w:rsidRPr="001005B7">
        <w:rPr>
          <w:rStyle w:val="en"/>
          <w:color w:val="auto"/>
        </w:rPr>
        <w:t xml:space="preserve">the </w:t>
      </w:r>
      <w:r w:rsidR="001F1506" w:rsidRPr="001005B7">
        <w:rPr>
          <w:rStyle w:val="en"/>
          <w:color w:val="auto"/>
        </w:rPr>
        <w:t xml:space="preserve">city </w:t>
      </w:r>
      <w:r w:rsidR="00FB6E7B" w:rsidRPr="001005B7">
        <w:rPr>
          <w:rStyle w:val="en"/>
          <w:color w:val="auto"/>
        </w:rPr>
        <w:t>[</w:t>
      </w:r>
      <w:r w:rsidR="001F1506" w:rsidRPr="001005B7">
        <w:rPr>
          <w:rStyle w:val="en"/>
          <w:color w:val="auto"/>
        </w:rPr>
        <w:t>Micah 6:9</w:t>
      </w:r>
      <w:r w:rsidR="00FB6E7B" w:rsidRPr="001005B7">
        <w:rPr>
          <w:rStyle w:val="en"/>
          <w:color w:val="auto"/>
        </w:rPr>
        <w:t>]</w:t>
      </w:r>
      <w:r w:rsidR="001F1506" w:rsidRPr="001005B7">
        <w:rPr>
          <w:rStyle w:val="en"/>
          <w:color w:val="auto"/>
        </w:rPr>
        <w:t xml:space="preserve">; from city to mountain </w:t>
      </w:r>
      <w:r w:rsidR="00FB6E7B" w:rsidRPr="001005B7">
        <w:rPr>
          <w:rStyle w:val="en"/>
          <w:color w:val="auto"/>
        </w:rPr>
        <w:t>[</w:t>
      </w:r>
      <w:r w:rsidR="00130FA6" w:rsidRPr="001005B7">
        <w:rPr>
          <w:rStyle w:val="en"/>
          <w:color w:val="auto"/>
        </w:rPr>
        <w:t xml:space="preserve">Ezek </w:t>
      </w:r>
      <w:r w:rsidR="001F1506" w:rsidRPr="001005B7">
        <w:rPr>
          <w:rStyle w:val="en"/>
          <w:color w:val="auto"/>
        </w:rPr>
        <w:t>11:23</w:t>
      </w:r>
      <w:r w:rsidR="00FB6E7B" w:rsidRPr="001005B7">
        <w:rPr>
          <w:rStyle w:val="en"/>
          <w:color w:val="auto"/>
        </w:rPr>
        <w:t>]</w:t>
      </w:r>
      <w:r w:rsidR="001F1506" w:rsidRPr="001005B7">
        <w:rPr>
          <w:rStyle w:val="en"/>
          <w:color w:val="auto"/>
        </w:rPr>
        <w:t xml:space="preserve">; from mountain to wilderness </w:t>
      </w:r>
      <w:r w:rsidR="00FB6E7B" w:rsidRPr="001005B7">
        <w:rPr>
          <w:rStyle w:val="en"/>
          <w:color w:val="auto"/>
        </w:rPr>
        <w:t>[</w:t>
      </w:r>
      <w:r w:rsidR="001F1506" w:rsidRPr="001005B7">
        <w:rPr>
          <w:rStyle w:val="en"/>
          <w:color w:val="auto"/>
        </w:rPr>
        <w:t>Prov 21:19</w:t>
      </w:r>
      <w:r w:rsidR="00FB6E7B" w:rsidRPr="001005B7">
        <w:rPr>
          <w:rStyle w:val="en"/>
          <w:color w:val="auto"/>
        </w:rPr>
        <w:t>]</w:t>
      </w:r>
      <w:r w:rsidR="001F1506" w:rsidRPr="001005B7">
        <w:rPr>
          <w:rStyle w:val="en"/>
          <w:color w:val="auto"/>
        </w:rPr>
        <w:t xml:space="preserve">; and from wilderness it </w:t>
      </w:r>
      <w:r w:rsidR="00AF05DA" w:rsidRPr="001005B7">
        <w:rPr>
          <w:rStyle w:val="en"/>
          <w:color w:val="auto"/>
        </w:rPr>
        <w:t>w</w:t>
      </w:r>
      <w:r w:rsidR="00FA0854" w:rsidRPr="001005B7">
        <w:rPr>
          <w:rStyle w:val="en"/>
          <w:color w:val="auto"/>
        </w:rPr>
        <w:t>e</w:t>
      </w:r>
      <w:r w:rsidR="00AF05DA" w:rsidRPr="001005B7">
        <w:rPr>
          <w:rStyle w:val="en"/>
          <w:color w:val="auto"/>
        </w:rPr>
        <w:t>nt up</w:t>
      </w:r>
      <w:r w:rsidR="001F1506" w:rsidRPr="001005B7">
        <w:rPr>
          <w:rStyle w:val="en"/>
          <w:color w:val="auto"/>
        </w:rPr>
        <w:t xml:space="preserve"> and </w:t>
      </w:r>
      <w:r w:rsidR="00AF05DA" w:rsidRPr="001005B7">
        <w:rPr>
          <w:rStyle w:val="en"/>
          <w:color w:val="auto"/>
        </w:rPr>
        <w:t>stayed</w:t>
      </w:r>
      <w:r w:rsidR="001F1506" w:rsidRPr="001005B7">
        <w:rPr>
          <w:rStyle w:val="en"/>
          <w:color w:val="auto"/>
        </w:rPr>
        <w:t xml:space="preserve"> in its place</w:t>
      </w:r>
      <w:r w:rsidR="00496CBA" w:rsidRPr="001005B7">
        <w:rPr>
          <w:rStyle w:val="en"/>
          <w:color w:val="auto"/>
        </w:rPr>
        <w:t xml:space="preserve"> [in the heavens]</w:t>
      </w:r>
      <w:r w:rsidR="001F1506" w:rsidRPr="001005B7">
        <w:rPr>
          <w:rStyle w:val="en"/>
          <w:color w:val="auto"/>
        </w:rPr>
        <w:t xml:space="preserve">, as it </w:t>
      </w:r>
      <w:r w:rsidR="003B51D2" w:rsidRPr="001005B7">
        <w:rPr>
          <w:rStyle w:val="en"/>
          <w:color w:val="auto"/>
        </w:rPr>
        <w:t>says</w:t>
      </w:r>
      <w:r w:rsidR="001F1506" w:rsidRPr="001005B7">
        <w:rPr>
          <w:rStyle w:val="en"/>
          <w:color w:val="auto"/>
        </w:rPr>
        <w:t xml:space="preserve">: “I will go and return to My place” </w:t>
      </w:r>
      <w:r w:rsidR="00496CBA" w:rsidRPr="001005B7">
        <w:rPr>
          <w:rStyle w:val="en"/>
          <w:color w:val="auto"/>
        </w:rPr>
        <w:t>[</w:t>
      </w:r>
      <w:r w:rsidR="001F1506" w:rsidRPr="001005B7">
        <w:rPr>
          <w:rStyle w:val="en"/>
          <w:color w:val="auto"/>
        </w:rPr>
        <w:t>Hos 5:15</w:t>
      </w:r>
      <w:r w:rsidR="00496CBA" w:rsidRPr="001005B7">
        <w:rPr>
          <w:rStyle w:val="en"/>
          <w:color w:val="auto"/>
        </w:rPr>
        <w:t>]</w:t>
      </w:r>
      <w:r w:rsidR="00A56EB9" w:rsidRPr="001005B7">
        <w:rPr>
          <w:rStyle w:val="en"/>
          <w:color w:val="auto"/>
        </w:rPr>
        <w:t xml:space="preserve"> (</w:t>
      </w:r>
      <w:r w:rsidR="004C0ABF" w:rsidRPr="001005B7">
        <w:rPr>
          <w:rStyle w:val="en"/>
          <w:color w:val="auto"/>
        </w:rPr>
        <w:t xml:space="preserve">cf. </w:t>
      </w:r>
      <w:r w:rsidR="001F1506" w:rsidRPr="001005B7">
        <w:rPr>
          <w:rStyle w:val="en"/>
          <w:color w:val="auto"/>
        </w:rPr>
        <w:t>Greenberg</w:t>
      </w:r>
      <w:r w:rsidR="00BF1CCE" w:rsidRPr="001005B7">
        <w:rPr>
          <w:rStyle w:val="en"/>
          <w:color w:val="auto"/>
        </w:rPr>
        <w:t>,</w:t>
      </w:r>
      <w:r w:rsidR="001F1506" w:rsidRPr="001005B7">
        <w:rPr>
          <w:rStyle w:val="en"/>
          <w:color w:val="auto"/>
        </w:rPr>
        <w:t xml:space="preserve"> </w:t>
      </w:r>
      <w:r w:rsidR="00A56EB9" w:rsidRPr="001005B7">
        <w:rPr>
          <w:rStyle w:val="en"/>
          <w:color w:val="auto"/>
        </w:rPr>
        <w:t>1:</w:t>
      </w:r>
      <w:r w:rsidR="001F1506" w:rsidRPr="001005B7">
        <w:rPr>
          <w:rStyle w:val="en"/>
          <w:color w:val="auto"/>
        </w:rPr>
        <w:t>201</w:t>
      </w:r>
      <w:r w:rsidR="00A56EB9" w:rsidRPr="001005B7">
        <w:rPr>
          <w:rStyle w:val="en"/>
          <w:color w:val="auto"/>
        </w:rPr>
        <w:t>).</w:t>
      </w:r>
    </w:p>
    <w:p w14:paraId="1D010124" w14:textId="2A8548DB" w:rsidR="00F8746F" w:rsidRPr="001005B7" w:rsidRDefault="00D470DB" w:rsidP="00D470DB">
      <w:pPr>
        <w:ind w:firstLine="0"/>
        <w:rPr>
          <w:lang w:eastAsia="en-GB"/>
        </w:rPr>
      </w:pPr>
      <w:r w:rsidRPr="001005B7">
        <w:t>T</w:t>
      </w:r>
      <w:r w:rsidR="00414A3C" w:rsidRPr="001005B7">
        <w:t xml:space="preserve">he fact that Daniel still prayed in this direction (Dan 6:10) might imply the assumption that </w:t>
      </w:r>
      <w:r w:rsidR="0004693D">
        <w:t>Yahweh</w:t>
      </w:r>
      <w:r w:rsidR="00414A3C" w:rsidRPr="001005B7">
        <w:t xml:space="preserve"> did not leave</w:t>
      </w:r>
      <w:r w:rsidR="00C427E6" w:rsidRPr="001005B7">
        <w:t xml:space="preserve"> (Mayer, 399</w:t>
      </w:r>
      <w:r w:rsidR="004B39DB" w:rsidRPr="001005B7">
        <w:t>).</w:t>
      </w:r>
      <w:r w:rsidR="008D2262">
        <w:t xml:space="preserve"> But there is a string danger that</w:t>
      </w:r>
      <w:r w:rsidR="00BA572F">
        <w:t xml:space="preserve"> “although the Temple is still standing, it is effectively empty and </w:t>
      </w:r>
      <w:r w:rsidR="007A25F9">
        <w:t>insignificant” (Ganzel 20</w:t>
      </w:r>
      <w:r w:rsidR="00085744">
        <w:t>20</w:t>
      </w:r>
      <w:r w:rsidR="007A25F9">
        <w:t>, 63).</w:t>
      </w:r>
    </w:p>
    <w:p w14:paraId="57320F95" w14:textId="3EDD5307" w:rsidR="00077795" w:rsidRPr="001005B7" w:rsidRDefault="00375A44" w:rsidP="00493833">
      <w:pPr>
        <w:pStyle w:val="Heading3"/>
      </w:pPr>
      <w:r w:rsidRPr="001005B7">
        <w:t xml:space="preserve">Biblical Theology Comments </w:t>
      </w:r>
    </w:p>
    <w:p w14:paraId="368CBE91" w14:textId="428712BC" w:rsidR="00077795" w:rsidRPr="001005B7" w:rsidRDefault="00C10985" w:rsidP="00077795">
      <w:pPr>
        <w:rPr>
          <w:lang w:bidi="he-IL"/>
        </w:rPr>
      </w:pPr>
      <w:r w:rsidRPr="001005B7">
        <w:rPr>
          <w:lang w:bidi="he-IL"/>
        </w:rPr>
        <w:t xml:space="preserve">Yahweh’s </w:t>
      </w:r>
      <w:r w:rsidR="00AE31BB" w:rsidRPr="001005B7">
        <w:rPr>
          <w:lang w:bidi="he-IL"/>
        </w:rPr>
        <w:t>undertakings</w:t>
      </w:r>
      <w:r w:rsidRPr="001005B7">
        <w:rPr>
          <w:lang w:bidi="he-IL"/>
        </w:rPr>
        <w:t xml:space="preserve"> in 11</w:t>
      </w:r>
      <w:r w:rsidR="009A4DEE" w:rsidRPr="001005B7">
        <w:rPr>
          <w:lang w:bidi="he-IL"/>
        </w:rPr>
        <w:t>:</w:t>
      </w:r>
      <w:r w:rsidRPr="001005B7">
        <w:rPr>
          <w:lang w:bidi="he-IL"/>
        </w:rPr>
        <w:t>14</w:t>
      </w:r>
      <w:r w:rsidR="00F46900" w:rsidRPr="001005B7">
        <w:rPr>
          <w:lang w:bidi="he-IL"/>
        </w:rPr>
        <w:t>–</w:t>
      </w:r>
      <w:r w:rsidRPr="001005B7">
        <w:rPr>
          <w:lang w:bidi="he-IL"/>
        </w:rPr>
        <w:t xml:space="preserve">20 are the </w:t>
      </w:r>
      <w:r w:rsidR="00862612" w:rsidRPr="001005B7">
        <w:rPr>
          <w:lang w:bidi="he-IL"/>
        </w:rPr>
        <w:t>first</w:t>
      </w:r>
      <w:r w:rsidR="00642F76" w:rsidRPr="001005B7">
        <w:rPr>
          <w:lang w:bidi="he-IL"/>
        </w:rPr>
        <w:t xml:space="preserve"> </w:t>
      </w:r>
      <w:r w:rsidR="00E710CC" w:rsidRPr="001005B7">
        <w:rPr>
          <w:lang w:bidi="he-IL"/>
        </w:rPr>
        <w:t xml:space="preserve">unequivocal </w:t>
      </w:r>
      <w:r w:rsidR="00642F76" w:rsidRPr="001005B7">
        <w:rPr>
          <w:lang w:bidi="he-IL"/>
        </w:rPr>
        <w:t xml:space="preserve">promises of new life </w:t>
      </w:r>
      <w:r w:rsidR="003D21F2" w:rsidRPr="001005B7">
        <w:rPr>
          <w:lang w:bidi="he-IL"/>
        </w:rPr>
        <w:t>for</w:t>
      </w:r>
      <w:r w:rsidR="00F86A2C" w:rsidRPr="001005B7">
        <w:rPr>
          <w:lang w:bidi="he-IL"/>
        </w:rPr>
        <w:t xml:space="preserve"> Judah</w:t>
      </w:r>
      <w:r w:rsidR="007229C5" w:rsidRPr="001005B7">
        <w:rPr>
          <w:lang w:bidi="he-IL"/>
        </w:rPr>
        <w:t>,</w:t>
      </w:r>
      <w:r w:rsidR="00346906" w:rsidRPr="001005B7">
        <w:rPr>
          <w:lang w:bidi="he-IL"/>
        </w:rPr>
        <w:t xml:space="preserve"> </w:t>
      </w:r>
      <w:r w:rsidR="00CA237A" w:rsidRPr="001005B7">
        <w:rPr>
          <w:lang w:bidi="he-IL"/>
        </w:rPr>
        <w:t xml:space="preserve">articulated </w:t>
      </w:r>
      <w:r w:rsidR="00572523">
        <w:rPr>
          <w:lang w:bidi="he-IL"/>
        </w:rPr>
        <w:t xml:space="preserve">and </w:t>
      </w:r>
      <w:r w:rsidR="00346906" w:rsidRPr="001005B7">
        <w:rPr>
          <w:lang w:bidi="he-IL"/>
        </w:rPr>
        <w:t xml:space="preserve">given to the community that has already gone through its own calamity. </w:t>
      </w:r>
      <w:r w:rsidR="001C347E" w:rsidRPr="001005B7">
        <w:rPr>
          <w:lang w:bidi="he-IL"/>
        </w:rPr>
        <w:t xml:space="preserve">In Jerusalem in the years following 597, </w:t>
      </w:r>
      <w:r w:rsidR="00077795" w:rsidRPr="001005B7">
        <w:rPr>
          <w:lang w:bidi="he-IL"/>
        </w:rPr>
        <w:t xml:space="preserve">Yahweh’s aim </w:t>
      </w:r>
      <w:r w:rsidR="001C347E" w:rsidRPr="001005B7">
        <w:rPr>
          <w:lang w:bidi="he-IL"/>
        </w:rPr>
        <w:t>continues</w:t>
      </w:r>
      <w:r w:rsidR="00077795" w:rsidRPr="001005B7">
        <w:rPr>
          <w:lang w:bidi="he-IL"/>
        </w:rPr>
        <w:t xml:space="preserve"> to</w:t>
      </w:r>
      <w:r w:rsidR="001C347E" w:rsidRPr="001005B7">
        <w:rPr>
          <w:lang w:bidi="he-IL"/>
        </w:rPr>
        <w:t xml:space="preserve"> be to</w:t>
      </w:r>
      <w:r w:rsidR="00077795" w:rsidRPr="001005B7">
        <w:rPr>
          <w:lang w:bidi="he-IL"/>
        </w:rPr>
        <w:t xml:space="preserve"> get </w:t>
      </w:r>
      <w:r w:rsidR="00482E92" w:rsidRPr="001005B7">
        <w:rPr>
          <w:lang w:bidi="he-IL"/>
        </w:rPr>
        <w:t>the city</w:t>
      </w:r>
      <w:r w:rsidR="00077795" w:rsidRPr="001005B7">
        <w:rPr>
          <w:lang w:bidi="he-IL"/>
        </w:rPr>
        <w:t xml:space="preserve"> to turn back to him</w:t>
      </w:r>
      <w:r w:rsidR="0027551C" w:rsidRPr="001005B7">
        <w:rPr>
          <w:lang w:bidi="he-IL"/>
        </w:rPr>
        <w:t>, and he</w:t>
      </w:r>
      <w:r w:rsidR="00077795" w:rsidRPr="001005B7">
        <w:rPr>
          <w:lang w:bidi="he-IL"/>
        </w:rPr>
        <w:t xml:space="preserve"> w</w:t>
      </w:r>
      <w:r w:rsidR="00482E92" w:rsidRPr="001005B7">
        <w:rPr>
          <w:lang w:bidi="he-IL"/>
        </w:rPr>
        <w:t>ould</w:t>
      </w:r>
      <w:r w:rsidR="00077795" w:rsidRPr="001005B7">
        <w:rPr>
          <w:lang w:bidi="he-IL"/>
        </w:rPr>
        <w:t xml:space="preserve"> then be able to cancel his threat of catastrophe</w:t>
      </w:r>
      <w:r w:rsidR="00786478" w:rsidRPr="001005B7">
        <w:rPr>
          <w:lang w:bidi="he-IL"/>
        </w:rPr>
        <w:t>.</w:t>
      </w:r>
      <w:r w:rsidR="00841799" w:rsidRPr="001005B7">
        <w:rPr>
          <w:lang w:bidi="he-IL"/>
        </w:rPr>
        <w:t xml:space="preserve"> </w:t>
      </w:r>
      <w:r w:rsidR="005C7EB2" w:rsidRPr="001005B7">
        <w:t xml:space="preserve">Origen </w:t>
      </w:r>
      <w:r w:rsidR="008C1305" w:rsidRPr="001005B7">
        <w:t>(476</w:t>
      </w:r>
      <w:r w:rsidR="00F46900" w:rsidRPr="001005B7">
        <w:t>–</w:t>
      </w:r>
      <w:r w:rsidR="008C1305" w:rsidRPr="001005B7">
        <w:t xml:space="preserve">77) </w:t>
      </w:r>
      <w:r w:rsidR="005C7EB2" w:rsidRPr="001005B7">
        <w:t>comments: “</w:t>
      </w:r>
      <w:r w:rsidR="005C7EB2" w:rsidRPr="001005B7">
        <w:rPr>
          <w:rFonts w:ascii="MinionPro-Regular" w:hAnsi="MinionPro-Regular" w:cs="MinionPro-Regular"/>
        </w:rPr>
        <w:t>It is better to be corrected by hearing about the threatened affliction, and not to experience the fact of the correction itself. For some are corrected by the words threatening punishment, and others, by the punishment itself</w:t>
      </w:r>
      <w:r w:rsidR="008C1305" w:rsidRPr="001005B7">
        <w:rPr>
          <w:rFonts w:ascii="MinionPro-Regular" w:hAnsi="MinionPro-Regular" w:cs="MinionPro-Regular"/>
        </w:rPr>
        <w:t xml:space="preserve">.” </w:t>
      </w:r>
      <w:r w:rsidR="00841799" w:rsidRPr="001005B7">
        <w:rPr>
          <w:lang w:bidi="he-IL"/>
        </w:rPr>
        <w:t>But</w:t>
      </w:r>
      <w:r w:rsidR="00077795" w:rsidRPr="001005B7">
        <w:rPr>
          <w:lang w:bidi="he-IL"/>
        </w:rPr>
        <w:t xml:space="preserve"> </w:t>
      </w:r>
      <w:r w:rsidR="00050439" w:rsidRPr="001005B7">
        <w:rPr>
          <w:lang w:bidi="he-IL"/>
        </w:rPr>
        <w:t>Yahweh</w:t>
      </w:r>
      <w:r w:rsidR="00077795" w:rsidRPr="001005B7">
        <w:rPr>
          <w:lang w:bidi="he-IL"/>
        </w:rPr>
        <w:t xml:space="preserve"> professes little hope that this turning will happen</w:t>
      </w:r>
      <w:r w:rsidR="00786478" w:rsidRPr="001005B7">
        <w:rPr>
          <w:lang w:bidi="he-IL"/>
        </w:rPr>
        <w:t>, and i</w:t>
      </w:r>
      <w:r w:rsidR="00077795" w:rsidRPr="001005B7">
        <w:rPr>
          <w:lang w:bidi="he-IL"/>
        </w:rPr>
        <w:t xml:space="preserve">f </w:t>
      </w:r>
      <w:r w:rsidR="00786478" w:rsidRPr="001005B7">
        <w:rPr>
          <w:lang w:bidi="he-IL"/>
        </w:rPr>
        <w:t>it</w:t>
      </w:r>
      <w:r w:rsidR="00077795" w:rsidRPr="001005B7">
        <w:rPr>
          <w:lang w:bidi="he-IL"/>
        </w:rPr>
        <w:t xml:space="preserve"> happens, he offers </w:t>
      </w:r>
      <w:r w:rsidR="00786478" w:rsidRPr="001005B7">
        <w:rPr>
          <w:lang w:bidi="he-IL"/>
        </w:rPr>
        <w:t xml:space="preserve">the city </w:t>
      </w:r>
      <w:r w:rsidR="00077795" w:rsidRPr="001005B7">
        <w:rPr>
          <w:lang w:bidi="he-IL"/>
        </w:rPr>
        <w:t xml:space="preserve">no </w:t>
      </w:r>
      <w:r w:rsidR="00050439" w:rsidRPr="001005B7">
        <w:rPr>
          <w:lang w:bidi="he-IL"/>
        </w:rPr>
        <w:t>indication</w:t>
      </w:r>
      <w:r w:rsidR="00077795" w:rsidRPr="001005B7">
        <w:rPr>
          <w:lang w:bidi="he-IL"/>
        </w:rPr>
        <w:t xml:space="preserve"> that </w:t>
      </w:r>
      <w:r w:rsidR="0092516A">
        <w:rPr>
          <w:lang w:bidi="he-IL"/>
        </w:rPr>
        <w:t>the catastrophe</w:t>
      </w:r>
      <w:r w:rsidR="00077795" w:rsidRPr="001005B7">
        <w:rPr>
          <w:lang w:bidi="he-IL"/>
        </w:rPr>
        <w:t xml:space="preserve"> will be less than complete. A number of passages </w:t>
      </w:r>
      <w:r w:rsidR="00BB1CAD" w:rsidRPr="001005B7">
        <w:rPr>
          <w:lang w:bidi="he-IL"/>
        </w:rPr>
        <w:t xml:space="preserve">in </w:t>
      </w:r>
      <w:r w:rsidR="00666636" w:rsidRPr="001005B7">
        <w:rPr>
          <w:lang w:bidi="he-IL"/>
        </w:rPr>
        <w:t xml:space="preserve">Parts </w:t>
      </w:r>
      <w:r w:rsidR="00132E09">
        <w:rPr>
          <w:lang w:bidi="he-IL"/>
        </w:rPr>
        <w:t xml:space="preserve">One </w:t>
      </w:r>
      <w:r w:rsidR="003E3054">
        <w:rPr>
          <w:lang w:bidi="he-IL"/>
        </w:rPr>
        <w:t>and Two</w:t>
      </w:r>
      <w:r w:rsidR="00D863FC" w:rsidRPr="001005B7">
        <w:rPr>
          <w:lang w:bidi="he-IL"/>
        </w:rPr>
        <w:t xml:space="preserve"> </w:t>
      </w:r>
      <w:r w:rsidR="0062578D">
        <w:rPr>
          <w:lang w:bidi="he-IL"/>
        </w:rPr>
        <w:t xml:space="preserve">of the Ezekiel scroll </w:t>
      </w:r>
      <w:r w:rsidR="00077795" w:rsidRPr="001005B7">
        <w:rPr>
          <w:lang w:bidi="he-IL"/>
        </w:rPr>
        <w:t>may seem to hint at such a p</w:t>
      </w:r>
      <w:r w:rsidR="00577B7E" w:rsidRPr="001005B7">
        <w:rPr>
          <w:lang w:bidi="he-IL"/>
        </w:rPr>
        <w:t>ossibility</w:t>
      </w:r>
      <w:r w:rsidR="00077795" w:rsidRPr="001005B7">
        <w:rPr>
          <w:lang w:bidi="he-IL"/>
        </w:rPr>
        <w:t xml:space="preserve">, </w:t>
      </w:r>
      <w:r w:rsidR="00D863FC" w:rsidRPr="001005B7">
        <w:rPr>
          <w:lang w:bidi="he-IL"/>
        </w:rPr>
        <w:t>but</w:t>
      </w:r>
      <w:r w:rsidR="00077795" w:rsidRPr="001005B7">
        <w:rPr>
          <w:lang w:bidi="he-IL"/>
        </w:rPr>
        <w:t xml:space="preserve"> they </w:t>
      </w:r>
      <w:r w:rsidR="00A065A4" w:rsidRPr="001005B7">
        <w:rPr>
          <w:lang w:bidi="he-IL"/>
        </w:rPr>
        <w:t xml:space="preserve">generally </w:t>
      </w:r>
      <w:r w:rsidR="00077795" w:rsidRPr="001005B7">
        <w:rPr>
          <w:lang w:bidi="he-IL"/>
        </w:rPr>
        <w:t>do not do so</w:t>
      </w:r>
      <w:r w:rsidR="00BB1CAD" w:rsidRPr="001005B7">
        <w:rPr>
          <w:lang w:bidi="he-IL"/>
        </w:rPr>
        <w:t xml:space="preserve"> in any unalloyed sense</w:t>
      </w:r>
      <w:r w:rsidR="00077795" w:rsidRPr="001005B7">
        <w:rPr>
          <w:lang w:bidi="he-IL"/>
        </w:rPr>
        <w:t>.</w:t>
      </w:r>
    </w:p>
    <w:p w14:paraId="507788AE" w14:textId="77777777" w:rsidR="00077795" w:rsidRPr="001005B7" w:rsidRDefault="00077795" w:rsidP="00077795">
      <w:pPr>
        <w:rPr>
          <w:lang w:bidi="he-IL"/>
        </w:rPr>
      </w:pPr>
    </w:p>
    <w:p w14:paraId="14C36A68" w14:textId="2C81AEFF" w:rsidR="00077795" w:rsidRPr="001005B7" w:rsidRDefault="00077795" w:rsidP="00077795">
      <w:pPr>
        <w:pStyle w:val="Bullet"/>
        <w:numPr>
          <w:ilvl w:val="0"/>
          <w:numId w:val="31"/>
        </w:numPr>
        <w:ind w:left="924" w:right="-187" w:hanging="357"/>
        <w:contextualSpacing/>
      </w:pPr>
      <w:r w:rsidRPr="001005B7">
        <w:t>5:1</w:t>
      </w:r>
      <w:r w:rsidR="00F46900" w:rsidRPr="001005B7">
        <w:t>–</w:t>
      </w:r>
      <w:r w:rsidRPr="001005B7">
        <w:t xml:space="preserve">3 envisages Ezekiel preserving a small quantity of the hair that symbolizes Jerusalem’s population, but he does so only to </w:t>
      </w:r>
      <w:r w:rsidR="00236CD6" w:rsidRPr="001005B7">
        <w:t>b</w:t>
      </w:r>
      <w:r w:rsidRPr="001005B7">
        <w:t>urn it up.</w:t>
      </w:r>
    </w:p>
    <w:p w14:paraId="27D5E08A" w14:textId="129B64C3" w:rsidR="00077795" w:rsidRPr="001005B7" w:rsidRDefault="00077795" w:rsidP="00077795">
      <w:pPr>
        <w:pStyle w:val="Bullet"/>
        <w:numPr>
          <w:ilvl w:val="0"/>
          <w:numId w:val="31"/>
        </w:numPr>
        <w:ind w:left="924" w:right="-187" w:hanging="357"/>
        <w:contextualSpacing/>
      </w:pPr>
      <w:r w:rsidRPr="001005B7">
        <w:t>6:8</w:t>
      </w:r>
      <w:r w:rsidR="00F46900" w:rsidRPr="001005B7">
        <w:t>–</w:t>
      </w:r>
      <w:r w:rsidRPr="001005B7">
        <w:t>10 envisages Yahweh letting some people survive, but only to loathe themselves and admit that Yahweh was justified in his action.</w:t>
      </w:r>
    </w:p>
    <w:p w14:paraId="5313CFEB" w14:textId="24EEC10E" w:rsidR="00077795" w:rsidRPr="001005B7" w:rsidRDefault="00077795" w:rsidP="00077795">
      <w:pPr>
        <w:pStyle w:val="Bullet"/>
        <w:numPr>
          <w:ilvl w:val="0"/>
          <w:numId w:val="31"/>
        </w:numPr>
        <w:ind w:left="924" w:right="-187" w:hanging="357"/>
        <w:contextualSpacing/>
      </w:pPr>
      <w:r w:rsidRPr="001005B7">
        <w:t>10:6</w:t>
      </w:r>
      <w:r w:rsidR="00F46900" w:rsidRPr="001005B7">
        <w:t>–</w:t>
      </w:r>
      <w:r w:rsidRPr="001005B7">
        <w:t xml:space="preserve">7 pictures a person clothed in linen sprinkling fire over Jerusalem, which would purify it, but there is no </w:t>
      </w:r>
      <w:r w:rsidR="00287E2B" w:rsidRPr="001005B7">
        <w:t>declaration</w:t>
      </w:r>
      <w:r w:rsidRPr="001005B7">
        <w:t xml:space="preserve"> that this will benefit its people</w:t>
      </w:r>
      <w:r w:rsidR="0006531B" w:rsidRPr="001005B7">
        <w:t xml:space="preserve">. </w:t>
      </w:r>
    </w:p>
    <w:p w14:paraId="5DB9B600" w14:textId="75C4D888" w:rsidR="003B17C0" w:rsidRPr="001005B7" w:rsidRDefault="003B17C0" w:rsidP="00077795">
      <w:pPr>
        <w:pStyle w:val="Bullet"/>
        <w:numPr>
          <w:ilvl w:val="0"/>
          <w:numId w:val="31"/>
        </w:numPr>
        <w:ind w:left="924" w:right="-187" w:hanging="357"/>
        <w:contextualSpacing/>
      </w:pPr>
      <w:r w:rsidRPr="001005B7">
        <w:t>12:</w:t>
      </w:r>
      <w:r w:rsidR="004E37C0" w:rsidRPr="001005B7">
        <w:t>16 envisages a few people survivi</w:t>
      </w:r>
      <w:r w:rsidR="00E15190" w:rsidRPr="001005B7">
        <w:t xml:space="preserve">ng as forced migrants, </w:t>
      </w:r>
      <w:r w:rsidR="00B81A3E" w:rsidRPr="001005B7">
        <w:t xml:space="preserve">but they do </w:t>
      </w:r>
      <w:r w:rsidR="00E15190" w:rsidRPr="001005B7">
        <w:t xml:space="preserve">so </w:t>
      </w:r>
      <w:r w:rsidR="0057668E" w:rsidRPr="001005B7">
        <w:t xml:space="preserve">in order </w:t>
      </w:r>
      <w:r w:rsidR="00E15190" w:rsidRPr="001005B7">
        <w:t>that they may testify to their outrages.</w:t>
      </w:r>
    </w:p>
    <w:p w14:paraId="058AAF72" w14:textId="66B1347B" w:rsidR="009C7AAE" w:rsidRPr="001005B7" w:rsidRDefault="009C7AAE" w:rsidP="00077795">
      <w:pPr>
        <w:pStyle w:val="Bullet"/>
        <w:numPr>
          <w:ilvl w:val="0"/>
          <w:numId w:val="31"/>
        </w:numPr>
        <w:ind w:left="924" w:right="-187" w:hanging="357"/>
        <w:contextualSpacing/>
      </w:pPr>
      <w:r w:rsidRPr="001005B7">
        <w:t>14:</w:t>
      </w:r>
      <w:r w:rsidR="00805EBD" w:rsidRPr="001005B7">
        <w:t>22</w:t>
      </w:r>
      <w:r w:rsidR="00F46900" w:rsidRPr="001005B7">
        <w:t>–</w:t>
      </w:r>
      <w:r w:rsidR="00805EBD" w:rsidRPr="001005B7">
        <w:t xml:space="preserve">23 envisages </w:t>
      </w:r>
      <w:r w:rsidR="00885D74" w:rsidRPr="001005B7">
        <w:t xml:space="preserve">survivors of the catastrophe, but the point of the prospect </w:t>
      </w:r>
      <w:r w:rsidR="007C208B" w:rsidRPr="001005B7">
        <w:t>is their giving evidence that Yahweh’s action was warranted.</w:t>
      </w:r>
    </w:p>
    <w:p w14:paraId="198346F4" w14:textId="5C68CEB1" w:rsidR="00731428" w:rsidRPr="001005B7" w:rsidRDefault="00731428" w:rsidP="00077795">
      <w:pPr>
        <w:pStyle w:val="Bullet"/>
        <w:numPr>
          <w:ilvl w:val="0"/>
          <w:numId w:val="31"/>
        </w:numPr>
        <w:ind w:left="924" w:right="-187" w:hanging="357"/>
        <w:contextualSpacing/>
      </w:pPr>
      <w:r w:rsidRPr="001005B7">
        <w:t>16:</w:t>
      </w:r>
      <w:r w:rsidR="009865DC" w:rsidRPr="001005B7">
        <w:t>53</w:t>
      </w:r>
      <w:r w:rsidR="00F46900" w:rsidRPr="001005B7">
        <w:t>–</w:t>
      </w:r>
      <w:r w:rsidR="009865DC" w:rsidRPr="001005B7">
        <w:t xml:space="preserve">58 </w:t>
      </w:r>
      <w:r w:rsidR="009367E9" w:rsidRPr="001005B7">
        <w:t xml:space="preserve">envisages a restoration of Jerusalem along with Sodom and Samaria </w:t>
      </w:r>
      <w:r w:rsidR="005310E5" w:rsidRPr="001005B7">
        <w:t>so that Jerusalem may feel disgrace</w:t>
      </w:r>
      <w:r w:rsidR="004514C5" w:rsidRPr="001005B7">
        <w:t>.</w:t>
      </w:r>
    </w:p>
    <w:p w14:paraId="7EE689EA" w14:textId="1D1ACB68" w:rsidR="000B7644" w:rsidRPr="001005B7" w:rsidRDefault="000B7644" w:rsidP="00077795">
      <w:pPr>
        <w:pStyle w:val="Bullet"/>
        <w:numPr>
          <w:ilvl w:val="0"/>
          <w:numId w:val="31"/>
        </w:numPr>
        <w:ind w:left="924" w:right="-187" w:hanging="357"/>
        <w:contextualSpacing/>
      </w:pPr>
      <w:r w:rsidRPr="001005B7">
        <w:t>16:</w:t>
      </w:r>
      <w:r w:rsidR="003C6008" w:rsidRPr="001005B7">
        <w:t>54</w:t>
      </w:r>
      <w:r w:rsidR="00F46900" w:rsidRPr="001005B7">
        <w:t>–</w:t>
      </w:r>
      <w:r w:rsidR="003C6008" w:rsidRPr="001005B7">
        <w:t>58 promises a renewal of the covenant between Yahweh and Jerusalem</w:t>
      </w:r>
      <w:r w:rsidR="009B00F1" w:rsidRPr="001005B7">
        <w:t xml:space="preserve"> so that Jerusalem may feel shame over </w:t>
      </w:r>
      <w:r w:rsidR="003D2F1F" w:rsidRPr="001005B7">
        <w:t>violating the covenant.</w:t>
      </w:r>
    </w:p>
    <w:p w14:paraId="226AB4AA" w14:textId="77777777" w:rsidR="00077795" w:rsidRPr="001005B7" w:rsidRDefault="00077795" w:rsidP="00A47C2D">
      <w:pPr>
        <w:rPr>
          <w:lang w:eastAsia="en-GB"/>
        </w:rPr>
      </w:pPr>
    </w:p>
    <w:p w14:paraId="40610BE9" w14:textId="0DD17BBB" w:rsidR="009D4DA6" w:rsidRPr="001005B7" w:rsidRDefault="00C41F33" w:rsidP="00D679FE">
      <w:pPr>
        <w:rPr>
          <w:rStyle w:val="en"/>
        </w:rPr>
      </w:pPr>
      <w:r w:rsidRPr="001005B7">
        <w:rPr>
          <w:lang w:eastAsia="en-GB"/>
        </w:rPr>
        <w:t>Yahweh’s promise</w:t>
      </w:r>
      <w:r w:rsidR="001E0CE1" w:rsidRPr="001005B7">
        <w:rPr>
          <w:lang w:eastAsia="en-GB"/>
        </w:rPr>
        <w:t xml:space="preserve">s </w:t>
      </w:r>
      <w:r w:rsidR="00162DB0" w:rsidRPr="001005B7">
        <w:rPr>
          <w:lang w:eastAsia="en-GB"/>
        </w:rPr>
        <w:t>in 11:14</w:t>
      </w:r>
      <w:r w:rsidR="00F46900" w:rsidRPr="001005B7">
        <w:rPr>
          <w:lang w:eastAsia="en-GB"/>
        </w:rPr>
        <w:t>–</w:t>
      </w:r>
      <w:r w:rsidR="00162DB0" w:rsidRPr="001005B7">
        <w:rPr>
          <w:lang w:eastAsia="en-GB"/>
        </w:rPr>
        <w:t xml:space="preserve">20 </w:t>
      </w:r>
      <w:r w:rsidR="00D679FE" w:rsidRPr="001005B7">
        <w:rPr>
          <w:lang w:eastAsia="en-GB"/>
        </w:rPr>
        <w:t>are</w:t>
      </w:r>
      <w:r w:rsidR="00D863FC" w:rsidRPr="001005B7">
        <w:rPr>
          <w:lang w:eastAsia="en-GB"/>
        </w:rPr>
        <w:t xml:space="preserve"> thus</w:t>
      </w:r>
      <w:r w:rsidR="002C6A63" w:rsidRPr="001005B7">
        <w:rPr>
          <w:lang w:eastAsia="en-GB"/>
        </w:rPr>
        <w:t xml:space="preserve"> rare as </w:t>
      </w:r>
      <w:r w:rsidR="00D863FC" w:rsidRPr="001005B7">
        <w:rPr>
          <w:lang w:eastAsia="en-GB"/>
        </w:rPr>
        <w:t>unalloyed promise</w:t>
      </w:r>
      <w:r w:rsidR="00AB57A9" w:rsidRPr="001005B7">
        <w:rPr>
          <w:lang w:eastAsia="en-GB"/>
        </w:rPr>
        <w:t>s</w:t>
      </w:r>
      <w:r w:rsidR="002C6A63" w:rsidRPr="001005B7">
        <w:rPr>
          <w:lang w:eastAsia="en-GB"/>
        </w:rPr>
        <w:t xml:space="preserve"> (17:</w:t>
      </w:r>
      <w:r w:rsidR="004B31A2" w:rsidRPr="001005B7">
        <w:rPr>
          <w:lang w:eastAsia="en-GB"/>
        </w:rPr>
        <w:t>22</w:t>
      </w:r>
      <w:r w:rsidR="00F46900" w:rsidRPr="001005B7">
        <w:rPr>
          <w:lang w:eastAsia="en-GB"/>
        </w:rPr>
        <w:t>–</w:t>
      </w:r>
      <w:r w:rsidR="004B31A2" w:rsidRPr="001005B7">
        <w:rPr>
          <w:lang w:eastAsia="en-GB"/>
        </w:rPr>
        <w:t xml:space="preserve">23 </w:t>
      </w:r>
      <w:r w:rsidR="000B2494">
        <w:rPr>
          <w:lang w:eastAsia="en-GB"/>
        </w:rPr>
        <w:t>is</w:t>
      </w:r>
      <w:r w:rsidR="004B31A2" w:rsidRPr="001005B7">
        <w:rPr>
          <w:lang w:eastAsia="en-GB"/>
        </w:rPr>
        <w:t xml:space="preserve"> another)</w:t>
      </w:r>
      <w:r w:rsidR="00D863FC" w:rsidRPr="001005B7">
        <w:rPr>
          <w:lang w:eastAsia="en-GB"/>
        </w:rPr>
        <w:t xml:space="preserve">, and they </w:t>
      </w:r>
      <w:r w:rsidR="00162DB0" w:rsidRPr="001005B7">
        <w:rPr>
          <w:lang w:eastAsia="en-GB"/>
        </w:rPr>
        <w:t>relate to the victims of the 597 calamity</w:t>
      </w:r>
      <w:r w:rsidR="00887617" w:rsidRPr="001005B7">
        <w:rPr>
          <w:lang w:eastAsia="en-GB"/>
        </w:rPr>
        <w:t xml:space="preserve"> whom the </w:t>
      </w:r>
      <w:r w:rsidR="00233653" w:rsidRPr="001005B7">
        <w:rPr>
          <w:lang w:eastAsia="en-GB"/>
        </w:rPr>
        <w:t>purification in 10:6</w:t>
      </w:r>
      <w:r w:rsidR="00F46900" w:rsidRPr="001005B7">
        <w:rPr>
          <w:lang w:eastAsia="en-GB"/>
        </w:rPr>
        <w:t>–</w:t>
      </w:r>
      <w:r w:rsidR="00233653" w:rsidRPr="001005B7">
        <w:rPr>
          <w:lang w:eastAsia="en-GB"/>
        </w:rPr>
        <w:t>7 could then benefit.</w:t>
      </w:r>
      <w:r w:rsidR="00D679FE" w:rsidRPr="001005B7">
        <w:rPr>
          <w:lang w:eastAsia="en-GB"/>
        </w:rPr>
        <w:t xml:space="preserve"> </w:t>
      </w:r>
      <w:r w:rsidR="000517D3" w:rsidRPr="001005B7">
        <w:rPr>
          <w:lang w:eastAsia="en-GB"/>
        </w:rPr>
        <w:t xml:space="preserve">For the </w:t>
      </w:r>
      <w:proofErr w:type="spellStart"/>
      <w:r w:rsidR="000517D3" w:rsidRPr="001005B7">
        <w:rPr>
          <w:lang w:eastAsia="en-GB"/>
        </w:rPr>
        <w:t>Kebarites</w:t>
      </w:r>
      <w:proofErr w:type="spellEnd"/>
      <w:r w:rsidR="000517D3" w:rsidRPr="001005B7">
        <w:rPr>
          <w:lang w:eastAsia="en-GB"/>
        </w:rPr>
        <w:t>, t</w:t>
      </w:r>
      <w:r w:rsidR="00D679FE" w:rsidRPr="001005B7">
        <w:rPr>
          <w:lang w:eastAsia="en-GB"/>
        </w:rPr>
        <w:t>hey</w:t>
      </w:r>
      <w:r w:rsidR="00BB37C7" w:rsidRPr="001005B7">
        <w:rPr>
          <w:lang w:eastAsia="en-GB"/>
        </w:rPr>
        <w:t xml:space="preserve"> express </w:t>
      </w:r>
      <w:r w:rsidR="00BB37C7" w:rsidRPr="001005B7">
        <w:rPr>
          <w:rStyle w:val="en"/>
        </w:rPr>
        <w:t>“the gospel according to Ezekiel” (Block</w:t>
      </w:r>
      <w:r w:rsidR="00B057D1" w:rsidRPr="001005B7">
        <w:rPr>
          <w:rStyle w:val="en"/>
        </w:rPr>
        <w:t>,</w:t>
      </w:r>
      <w:r w:rsidR="00BB37C7" w:rsidRPr="001005B7">
        <w:rPr>
          <w:rStyle w:val="en"/>
        </w:rPr>
        <w:t xml:space="preserve"> 1:341).</w:t>
      </w:r>
      <w:r w:rsidR="00B14258" w:rsidRPr="001005B7">
        <w:rPr>
          <w:rStyle w:val="en"/>
        </w:rPr>
        <w:t xml:space="preserve"> </w:t>
      </w:r>
    </w:p>
    <w:p w14:paraId="0F3EE453" w14:textId="09F88FA2" w:rsidR="00A47C2D" w:rsidRPr="001005B7" w:rsidRDefault="000552B8" w:rsidP="00D679FE">
      <w:pPr>
        <w:rPr>
          <w:lang w:eastAsia="en-GB"/>
        </w:rPr>
      </w:pPr>
      <w:r w:rsidRPr="001005B7">
        <w:rPr>
          <w:rStyle w:val="en"/>
        </w:rPr>
        <w:t xml:space="preserve">Greenhill </w:t>
      </w:r>
      <w:r w:rsidR="008D6811">
        <w:rPr>
          <w:rStyle w:val="en"/>
        </w:rPr>
        <w:t xml:space="preserve">(274) </w:t>
      </w:r>
      <w:r w:rsidR="00A47C2D" w:rsidRPr="001005B7">
        <w:rPr>
          <w:rStyle w:val="en"/>
        </w:rPr>
        <w:t>asks</w:t>
      </w:r>
      <w:r w:rsidR="00E230B9" w:rsidRPr="001005B7">
        <w:rPr>
          <w:rStyle w:val="en"/>
        </w:rPr>
        <w:t>,</w:t>
      </w:r>
      <w:r w:rsidR="006C17C4" w:rsidRPr="001005B7">
        <w:rPr>
          <w:i/>
          <w:iCs/>
          <w:lang w:eastAsia="en-GB"/>
        </w:rPr>
        <w:t xml:space="preserve"> </w:t>
      </w:r>
      <w:r w:rsidR="00465F67" w:rsidRPr="001005B7">
        <w:rPr>
          <w:i/>
          <w:iCs/>
          <w:lang w:eastAsia="en-GB"/>
        </w:rPr>
        <w:t>“</w:t>
      </w:r>
      <w:r w:rsidR="006C17C4" w:rsidRPr="001005B7">
        <w:rPr>
          <w:lang w:eastAsia="en-GB"/>
        </w:rPr>
        <w:t>was</w:t>
      </w:r>
      <w:r w:rsidR="006C17C4" w:rsidRPr="001005B7">
        <w:rPr>
          <w:i/>
          <w:iCs/>
          <w:lang w:eastAsia="en-GB"/>
        </w:rPr>
        <w:t xml:space="preserve"> </w:t>
      </w:r>
      <w:r w:rsidR="006C17C4" w:rsidRPr="001005B7">
        <w:rPr>
          <w:lang w:eastAsia="en-GB"/>
        </w:rPr>
        <w:t>this</w:t>
      </w:r>
      <w:r w:rsidR="006C17C4" w:rsidRPr="001005B7">
        <w:rPr>
          <w:i/>
          <w:iCs/>
          <w:lang w:eastAsia="en-GB"/>
        </w:rPr>
        <w:t xml:space="preserve"> </w:t>
      </w:r>
      <w:r w:rsidR="006C17C4" w:rsidRPr="001005B7">
        <w:rPr>
          <w:lang w:eastAsia="en-GB"/>
        </w:rPr>
        <w:t>promise</w:t>
      </w:r>
      <w:r w:rsidR="006C17C4" w:rsidRPr="001005B7">
        <w:rPr>
          <w:i/>
          <w:iCs/>
          <w:lang w:eastAsia="en-GB"/>
        </w:rPr>
        <w:t xml:space="preserve"> </w:t>
      </w:r>
      <w:r w:rsidR="006C17C4" w:rsidRPr="001005B7">
        <w:rPr>
          <w:lang w:eastAsia="en-GB"/>
        </w:rPr>
        <w:t>fulfilled</w:t>
      </w:r>
      <w:r w:rsidR="006C17C4" w:rsidRPr="001005B7">
        <w:rPr>
          <w:i/>
          <w:iCs/>
          <w:lang w:eastAsia="en-GB"/>
        </w:rPr>
        <w:t xml:space="preserve"> </w:t>
      </w:r>
      <w:r w:rsidR="006C17C4" w:rsidRPr="001005B7">
        <w:rPr>
          <w:lang w:eastAsia="en-GB"/>
        </w:rPr>
        <w:t>among</w:t>
      </w:r>
      <w:r w:rsidR="006C17C4" w:rsidRPr="001005B7">
        <w:rPr>
          <w:i/>
          <w:iCs/>
          <w:lang w:eastAsia="en-GB"/>
        </w:rPr>
        <w:t xml:space="preserve"> </w:t>
      </w:r>
      <w:r w:rsidR="006C17C4" w:rsidRPr="001005B7">
        <w:rPr>
          <w:lang w:eastAsia="en-GB"/>
        </w:rPr>
        <w:t>the</w:t>
      </w:r>
      <w:r w:rsidR="006C17C4" w:rsidRPr="001005B7">
        <w:rPr>
          <w:i/>
          <w:iCs/>
          <w:lang w:eastAsia="en-GB"/>
        </w:rPr>
        <w:t xml:space="preserve"> </w:t>
      </w:r>
      <w:r w:rsidR="006C17C4" w:rsidRPr="001005B7">
        <w:rPr>
          <w:lang w:eastAsia="en-GB"/>
        </w:rPr>
        <w:t>Jews</w:t>
      </w:r>
      <w:r w:rsidR="006C17C4" w:rsidRPr="001005B7">
        <w:rPr>
          <w:i/>
          <w:iCs/>
          <w:lang w:eastAsia="en-GB"/>
        </w:rPr>
        <w:t xml:space="preserve">, </w:t>
      </w:r>
      <w:r w:rsidR="006C17C4" w:rsidRPr="001005B7">
        <w:rPr>
          <w:lang w:eastAsia="en-GB"/>
        </w:rPr>
        <w:t>or</w:t>
      </w:r>
      <w:r w:rsidR="006C17C4" w:rsidRPr="001005B7">
        <w:rPr>
          <w:i/>
          <w:iCs/>
          <w:lang w:eastAsia="en-GB"/>
        </w:rPr>
        <w:t xml:space="preserve"> </w:t>
      </w:r>
      <w:r w:rsidR="006C17C4" w:rsidRPr="001005B7">
        <w:rPr>
          <w:lang w:eastAsia="en-GB"/>
        </w:rPr>
        <w:t>in</w:t>
      </w:r>
      <w:r w:rsidR="006C17C4" w:rsidRPr="001005B7">
        <w:rPr>
          <w:i/>
          <w:iCs/>
          <w:lang w:eastAsia="en-GB"/>
        </w:rPr>
        <w:t xml:space="preserve"> </w:t>
      </w:r>
      <w:r w:rsidR="006C17C4" w:rsidRPr="001005B7">
        <w:rPr>
          <w:lang w:eastAsia="en-GB"/>
        </w:rPr>
        <w:t>times</w:t>
      </w:r>
      <w:r w:rsidR="006C17C4" w:rsidRPr="001005B7">
        <w:rPr>
          <w:i/>
          <w:iCs/>
          <w:lang w:eastAsia="en-GB"/>
        </w:rPr>
        <w:t xml:space="preserve"> </w:t>
      </w:r>
      <w:r w:rsidR="006C17C4" w:rsidRPr="001005B7">
        <w:rPr>
          <w:lang w:eastAsia="en-GB"/>
        </w:rPr>
        <w:t>of</w:t>
      </w:r>
      <w:r w:rsidR="006C17C4" w:rsidRPr="001005B7">
        <w:rPr>
          <w:i/>
          <w:iCs/>
          <w:lang w:eastAsia="en-GB"/>
        </w:rPr>
        <w:t xml:space="preserve"> </w:t>
      </w:r>
      <w:r w:rsidR="006C17C4" w:rsidRPr="001005B7">
        <w:rPr>
          <w:lang w:eastAsia="en-GB"/>
        </w:rPr>
        <w:t>the</w:t>
      </w:r>
      <w:r w:rsidR="006C17C4" w:rsidRPr="001005B7">
        <w:rPr>
          <w:i/>
          <w:iCs/>
          <w:lang w:eastAsia="en-GB"/>
        </w:rPr>
        <w:t xml:space="preserve"> </w:t>
      </w:r>
      <w:r w:rsidR="00391CE8" w:rsidRPr="001005B7">
        <w:rPr>
          <w:lang w:eastAsia="en-GB"/>
        </w:rPr>
        <w:t>g</w:t>
      </w:r>
      <w:r w:rsidR="006C17C4" w:rsidRPr="001005B7">
        <w:rPr>
          <w:lang w:eastAsia="en-GB"/>
        </w:rPr>
        <w:t>ospel</w:t>
      </w:r>
      <w:r w:rsidR="00391CE8" w:rsidRPr="001005B7">
        <w:rPr>
          <w:lang w:eastAsia="en-GB"/>
        </w:rPr>
        <w:t>?</w:t>
      </w:r>
      <w:r w:rsidR="00F44DEA" w:rsidRPr="001005B7">
        <w:rPr>
          <w:lang w:eastAsia="en-GB"/>
        </w:rPr>
        <w:t>”</w:t>
      </w:r>
    </w:p>
    <w:p w14:paraId="0A956DF5" w14:textId="032D5CA3" w:rsidR="00D70E2F" w:rsidRPr="001005B7" w:rsidRDefault="006C17C4" w:rsidP="00D70E2F">
      <w:pPr>
        <w:pStyle w:val="Quote"/>
        <w:rPr>
          <w:color w:val="auto"/>
        </w:rPr>
      </w:pPr>
      <w:r w:rsidRPr="001005B7">
        <w:rPr>
          <w:color w:val="auto"/>
          <w:lang w:eastAsia="en-GB"/>
        </w:rPr>
        <w:t xml:space="preserve">Many of the Fathers refer the fulfilling of it unto the times of the </w:t>
      </w:r>
      <w:r w:rsidR="00846AFC" w:rsidRPr="001005B7">
        <w:rPr>
          <w:color w:val="auto"/>
          <w:lang w:eastAsia="en-GB"/>
        </w:rPr>
        <w:t>g</w:t>
      </w:r>
      <w:r w:rsidRPr="001005B7">
        <w:rPr>
          <w:color w:val="auto"/>
          <w:lang w:eastAsia="en-GB"/>
        </w:rPr>
        <w:t>ospel; but it being primarily made unto the Jews, we have just cause to think that it was in part fulfilled amongst them, after their return from Babylon; so gracious a promise being given out by God, made known</w:t>
      </w:r>
      <w:r w:rsidR="001C6873">
        <w:rPr>
          <w:color w:val="auto"/>
          <w:lang w:eastAsia="en-GB"/>
        </w:rPr>
        <w:t xml:space="preserve"> by</w:t>
      </w:r>
      <w:r w:rsidR="008D6811">
        <w:rPr>
          <w:color w:val="auto"/>
          <w:lang w:eastAsia="en-GB"/>
        </w:rPr>
        <w:t xml:space="preserve"> </w:t>
      </w:r>
      <w:r w:rsidRPr="001005B7">
        <w:rPr>
          <w:i/>
          <w:iCs/>
          <w:color w:val="auto"/>
          <w:lang w:eastAsia="en-GB"/>
        </w:rPr>
        <w:t>Ezekiel,</w:t>
      </w:r>
      <w:r w:rsidRPr="001005B7">
        <w:rPr>
          <w:color w:val="auto"/>
          <w:lang w:eastAsia="en-GB"/>
        </w:rPr>
        <w:t> it</w:t>
      </w:r>
      <w:r w:rsidR="00846AFC" w:rsidRPr="001005B7">
        <w:rPr>
          <w:color w:val="auto"/>
          <w:lang w:eastAsia="en-GB"/>
        </w:rPr>
        <w:t xml:space="preserve"> i</w:t>
      </w:r>
      <w:r w:rsidRPr="001005B7">
        <w:rPr>
          <w:color w:val="auto"/>
          <w:lang w:eastAsia="en-GB"/>
        </w:rPr>
        <w:t>s not likely they would neglect, having b</w:t>
      </w:r>
      <w:r w:rsidR="00846AFC" w:rsidRPr="001005B7">
        <w:rPr>
          <w:color w:val="auto"/>
          <w:lang w:eastAsia="en-GB"/>
        </w:rPr>
        <w:t>ee</w:t>
      </w:r>
      <w:r w:rsidRPr="001005B7">
        <w:rPr>
          <w:color w:val="auto"/>
          <w:lang w:eastAsia="en-GB"/>
        </w:rPr>
        <w:t>n so sor</w:t>
      </w:r>
      <w:r w:rsidR="00846AFC" w:rsidRPr="001005B7">
        <w:rPr>
          <w:color w:val="auto"/>
          <w:lang w:eastAsia="en-GB"/>
        </w:rPr>
        <w:t>e</w:t>
      </w:r>
      <w:r w:rsidRPr="001005B7">
        <w:rPr>
          <w:color w:val="auto"/>
          <w:lang w:eastAsia="en-GB"/>
        </w:rPr>
        <w:t>ly afflicted in Babylon; but would improve, and press the Lord for the accompl</w:t>
      </w:r>
      <w:r w:rsidR="005125D5" w:rsidRPr="001005B7">
        <w:rPr>
          <w:color w:val="auto"/>
          <w:lang w:eastAsia="en-GB"/>
        </w:rPr>
        <w:t>i</w:t>
      </w:r>
      <w:r w:rsidRPr="001005B7">
        <w:rPr>
          <w:color w:val="auto"/>
          <w:lang w:eastAsia="en-GB"/>
        </w:rPr>
        <w:t xml:space="preserve">shment of it, and without dispute, many of them had this new spirit, for after they came again to Jerusalem, they had such a hatred of Idols, and love to truth, that they stood out to death for the law, and religion of their God, as </w:t>
      </w:r>
      <w:r w:rsidR="00846AFC" w:rsidRPr="001005B7">
        <w:rPr>
          <w:color w:val="auto"/>
          <w:lang w:eastAsia="en-GB"/>
        </w:rPr>
        <w:t xml:space="preserve">is </w:t>
      </w:r>
      <w:r w:rsidRPr="001005B7">
        <w:rPr>
          <w:color w:val="auto"/>
          <w:lang w:eastAsia="en-GB"/>
        </w:rPr>
        <w:t>recorded in the </w:t>
      </w:r>
      <w:r w:rsidRPr="001005B7">
        <w:rPr>
          <w:i/>
          <w:iCs/>
          <w:color w:val="auto"/>
          <w:lang w:eastAsia="en-GB"/>
        </w:rPr>
        <w:t>Maccabee</w:t>
      </w:r>
      <w:r w:rsidR="00846AFC" w:rsidRPr="001005B7">
        <w:rPr>
          <w:i/>
          <w:iCs/>
          <w:color w:val="auto"/>
          <w:lang w:eastAsia="en-GB"/>
        </w:rPr>
        <w:t>s</w:t>
      </w:r>
      <w:r w:rsidR="00E51E28" w:rsidRPr="001005B7">
        <w:rPr>
          <w:color w:val="auto"/>
        </w:rPr>
        <w:t>.</w:t>
      </w:r>
    </w:p>
    <w:p w14:paraId="03D78877" w14:textId="0174CEA6" w:rsidR="00D70E2F" w:rsidRPr="001005B7" w:rsidRDefault="00D70E2F" w:rsidP="00D70E2F">
      <w:pPr>
        <w:pStyle w:val="Quote"/>
        <w:rPr>
          <w:color w:val="auto"/>
        </w:rPr>
      </w:pPr>
      <w:r w:rsidRPr="001005B7">
        <w:rPr>
          <w:color w:val="auto"/>
        </w:rPr>
        <w:t>He adds</w:t>
      </w:r>
      <w:r w:rsidR="00486985">
        <w:rPr>
          <w:color w:val="auto"/>
        </w:rPr>
        <w:t xml:space="preserve"> (283)</w:t>
      </w:r>
      <w:r w:rsidRPr="001005B7">
        <w:rPr>
          <w:color w:val="auto"/>
        </w:rPr>
        <w:t>:</w:t>
      </w:r>
    </w:p>
    <w:p w14:paraId="44AE8CD3" w14:textId="79B884EB" w:rsidR="00CE0745" w:rsidRPr="001005B7" w:rsidRDefault="00A25CEB" w:rsidP="00846AFC">
      <w:pPr>
        <w:pStyle w:val="Quote"/>
        <w:rPr>
          <w:color w:val="auto"/>
          <w:lang w:eastAsia="en-GB"/>
        </w:rPr>
      </w:pPr>
      <w:r w:rsidRPr="001005B7">
        <w:rPr>
          <w:rStyle w:val="en"/>
          <w:color w:val="auto"/>
        </w:rPr>
        <w:t xml:space="preserve">That </w:t>
      </w:r>
      <w:r w:rsidRPr="001005B7">
        <w:rPr>
          <w:rStyle w:val="en"/>
          <w:i/>
          <w:iCs/>
          <w:color w:val="auto"/>
        </w:rPr>
        <w:t>they will be a people for me and I will be God for them</w:t>
      </w:r>
      <w:r w:rsidR="003E6027" w:rsidRPr="001005B7">
        <w:rPr>
          <w:rStyle w:val="en"/>
          <w:color w:val="auto"/>
        </w:rPr>
        <w:t xml:space="preserve"> is a key promise</w:t>
      </w:r>
      <w:r w:rsidR="009A632C" w:rsidRPr="001005B7">
        <w:rPr>
          <w:rStyle w:val="en"/>
          <w:color w:val="auto"/>
        </w:rPr>
        <w:t>. One might spell out its implications in the Scriptures as implying</w:t>
      </w:r>
      <w:r w:rsidR="00D04D39" w:rsidRPr="001005B7">
        <w:rPr>
          <w:rStyle w:val="en"/>
          <w:color w:val="auto"/>
        </w:rPr>
        <w:t xml:space="preserve"> that </w:t>
      </w:r>
      <w:r w:rsidR="00EE7B34" w:rsidRPr="001005B7">
        <w:rPr>
          <w:rStyle w:val="en"/>
          <w:color w:val="auto"/>
        </w:rPr>
        <w:t xml:space="preserve">as my people </w:t>
      </w:r>
      <w:r w:rsidR="00D04D39" w:rsidRPr="001005B7">
        <w:rPr>
          <w:rStyle w:val="en"/>
          <w:color w:val="auto"/>
        </w:rPr>
        <w:t>they will</w:t>
      </w:r>
      <w:r w:rsidR="00EE7B34" w:rsidRPr="001005B7">
        <w:rPr>
          <w:rStyle w:val="en"/>
          <w:color w:val="auto"/>
        </w:rPr>
        <w:t xml:space="preserve"> acknowledge me alone</w:t>
      </w:r>
      <w:r w:rsidR="00251E93" w:rsidRPr="001005B7">
        <w:rPr>
          <w:rStyle w:val="en"/>
          <w:color w:val="auto"/>
        </w:rPr>
        <w:t xml:space="preserve">; they will worship me alone; </w:t>
      </w:r>
      <w:r w:rsidR="00ED52D1" w:rsidRPr="001005B7">
        <w:rPr>
          <w:rStyle w:val="en"/>
          <w:color w:val="auto"/>
        </w:rPr>
        <w:t xml:space="preserve">they will trust and rely on me alone; </w:t>
      </w:r>
      <w:r w:rsidR="004A1C6D" w:rsidRPr="001005B7">
        <w:rPr>
          <w:rStyle w:val="en"/>
          <w:color w:val="auto"/>
        </w:rPr>
        <w:t xml:space="preserve">they will be sacred to me alone; </w:t>
      </w:r>
      <w:r w:rsidR="006577AC" w:rsidRPr="001005B7">
        <w:rPr>
          <w:rStyle w:val="en"/>
          <w:color w:val="auto"/>
        </w:rPr>
        <w:t>they will listen to me alone;</w:t>
      </w:r>
      <w:r w:rsidR="00CE0745" w:rsidRPr="001005B7">
        <w:rPr>
          <w:rStyle w:val="en"/>
          <w:color w:val="auto"/>
        </w:rPr>
        <w:t xml:space="preserve"> </w:t>
      </w:r>
      <w:r w:rsidR="00550B04" w:rsidRPr="001005B7">
        <w:rPr>
          <w:rStyle w:val="en"/>
          <w:color w:val="auto"/>
        </w:rPr>
        <w:t>they will love me alone</w:t>
      </w:r>
      <w:r w:rsidR="009E2D8B" w:rsidRPr="001005B7">
        <w:rPr>
          <w:rStyle w:val="en"/>
          <w:color w:val="auto"/>
        </w:rPr>
        <w:t xml:space="preserve">; and they will stand for me alone. As their God </w:t>
      </w:r>
      <w:r w:rsidR="0066255D" w:rsidRPr="001005B7">
        <w:rPr>
          <w:rStyle w:val="en"/>
          <w:color w:val="auto"/>
        </w:rPr>
        <w:t xml:space="preserve">he will </w:t>
      </w:r>
      <w:r w:rsidR="0023585F" w:rsidRPr="001005B7">
        <w:rPr>
          <w:rStyle w:val="en"/>
          <w:color w:val="auto"/>
        </w:rPr>
        <w:t xml:space="preserve">be one who </w:t>
      </w:r>
      <w:r w:rsidR="00A3089A" w:rsidRPr="001005B7">
        <w:rPr>
          <w:rStyle w:val="en"/>
          <w:color w:val="auto"/>
        </w:rPr>
        <w:t xml:space="preserve">pardons </w:t>
      </w:r>
      <w:r w:rsidR="0023585F" w:rsidRPr="001005B7">
        <w:rPr>
          <w:rStyle w:val="en"/>
          <w:color w:val="auto"/>
        </w:rPr>
        <w:t xml:space="preserve">them, who is </w:t>
      </w:r>
      <w:r w:rsidR="00A3089A" w:rsidRPr="001005B7">
        <w:rPr>
          <w:rStyle w:val="en"/>
          <w:color w:val="auto"/>
        </w:rPr>
        <w:t>p</w:t>
      </w:r>
      <w:r w:rsidR="0023585F" w:rsidRPr="001005B7">
        <w:rPr>
          <w:rStyle w:val="en"/>
          <w:color w:val="auto"/>
        </w:rPr>
        <w:t>resent with them</w:t>
      </w:r>
      <w:r w:rsidR="00A3089A" w:rsidRPr="001005B7">
        <w:rPr>
          <w:rStyle w:val="en"/>
          <w:color w:val="auto"/>
        </w:rPr>
        <w:t>, who cares for them</w:t>
      </w:r>
      <w:r w:rsidR="008F3B61" w:rsidRPr="001005B7">
        <w:rPr>
          <w:rStyle w:val="en"/>
          <w:color w:val="auto"/>
        </w:rPr>
        <w:t>, who delivers them, who comforts them</w:t>
      </w:r>
      <w:r w:rsidR="00564242" w:rsidRPr="001005B7">
        <w:rPr>
          <w:rStyle w:val="en"/>
          <w:color w:val="auto"/>
        </w:rPr>
        <w:t xml:space="preserve">, who pleads for them, who </w:t>
      </w:r>
      <w:r w:rsidR="00E42936" w:rsidRPr="001005B7">
        <w:rPr>
          <w:rStyle w:val="en"/>
          <w:color w:val="auto"/>
        </w:rPr>
        <w:t>exalt</w:t>
      </w:r>
      <w:r w:rsidR="00564242" w:rsidRPr="001005B7">
        <w:rPr>
          <w:rStyle w:val="en"/>
          <w:color w:val="auto"/>
        </w:rPr>
        <w:t>s them</w:t>
      </w:r>
      <w:r w:rsidR="00E42936" w:rsidRPr="001005B7">
        <w:rPr>
          <w:rStyle w:val="en"/>
          <w:color w:val="auto"/>
        </w:rPr>
        <w:t>, who teaches them</w:t>
      </w:r>
      <w:r w:rsidR="00783762" w:rsidRPr="001005B7">
        <w:rPr>
          <w:rStyle w:val="en"/>
          <w:color w:val="auto"/>
        </w:rPr>
        <w:t>, who delights in them</w:t>
      </w:r>
      <w:r w:rsidR="00D80A4D" w:rsidRPr="001005B7">
        <w:rPr>
          <w:rStyle w:val="en"/>
          <w:color w:val="auto"/>
        </w:rPr>
        <w:t>, and who blesses them</w:t>
      </w:r>
      <w:r w:rsidR="00530C76" w:rsidRPr="001005B7">
        <w:rPr>
          <w:color w:val="auto"/>
          <w:lang w:eastAsia="en-GB"/>
        </w:rPr>
        <w:t>.</w:t>
      </w:r>
    </w:p>
    <w:p w14:paraId="06916A0C" w14:textId="7933D363" w:rsidR="002B6E36" w:rsidRPr="001005B7" w:rsidRDefault="008B4063" w:rsidP="00493833">
      <w:pPr>
        <w:pStyle w:val="Heading3"/>
        <w:rPr>
          <w:rStyle w:val="en"/>
        </w:rPr>
      </w:pPr>
      <w:r w:rsidRPr="001005B7">
        <w:t xml:space="preserve">Application and Devotional Implications </w:t>
      </w:r>
    </w:p>
    <w:p w14:paraId="15AE3C81" w14:textId="3C24A058" w:rsidR="00381D5F" w:rsidRPr="001005B7" w:rsidRDefault="003B7B87" w:rsidP="002C5040">
      <w:r w:rsidRPr="001005B7">
        <w:t>It is quite likely that t</w:t>
      </w:r>
      <w:r w:rsidR="00F63A73" w:rsidRPr="001005B7">
        <w:t xml:space="preserve">he leaders </w:t>
      </w:r>
      <w:r w:rsidR="00BF7AC6" w:rsidRPr="001005B7">
        <w:t>gathered at the eastern</w:t>
      </w:r>
      <w:r w:rsidR="002C5040" w:rsidRPr="001005B7">
        <w:t xml:space="preserve"> </w:t>
      </w:r>
      <w:r w:rsidR="00BF7AC6" w:rsidRPr="001005B7">
        <w:t xml:space="preserve">gateway </w:t>
      </w:r>
      <w:r w:rsidR="001D4B7C" w:rsidRPr="001005B7">
        <w:t xml:space="preserve">were </w:t>
      </w:r>
      <w:r w:rsidR="004F1C50" w:rsidRPr="001005B7">
        <w:t>seeking to be responsible and honorable</w:t>
      </w:r>
      <w:r w:rsidRPr="001005B7">
        <w:t xml:space="preserve"> in their leadership</w:t>
      </w:r>
      <w:r w:rsidR="004F1C50" w:rsidRPr="001005B7">
        <w:t>, and</w:t>
      </w:r>
      <w:r w:rsidR="00EC7DAD" w:rsidRPr="001005B7">
        <w:t xml:space="preserve"> it would be dangerous to</w:t>
      </w:r>
      <w:r w:rsidR="004F1C50" w:rsidRPr="001005B7">
        <w:t xml:space="preserve"> infer that </w:t>
      </w:r>
      <w:r w:rsidR="003C542E" w:rsidRPr="001005B7">
        <w:t>they were self-important and smug</w:t>
      </w:r>
      <w:r w:rsidR="00DC4079" w:rsidRPr="001005B7">
        <w:t xml:space="preserve">. </w:t>
      </w:r>
      <w:r w:rsidR="002B56AD" w:rsidRPr="001005B7">
        <w:t>Perhaps these</w:t>
      </w:r>
      <w:r w:rsidR="00BC6A12" w:rsidRPr="001005B7">
        <w:t xml:space="preserve"> “great ones” </w:t>
      </w:r>
      <w:r w:rsidR="002C0ED6" w:rsidRPr="001005B7">
        <w:t xml:space="preserve">(Mark 10:42) </w:t>
      </w:r>
      <w:r w:rsidR="00BC6A12" w:rsidRPr="001005B7">
        <w:t xml:space="preserve">were </w:t>
      </w:r>
      <w:r w:rsidR="008C1120" w:rsidRPr="001005B7">
        <w:t xml:space="preserve">high-handed in relation to their people, </w:t>
      </w:r>
      <w:r w:rsidR="004805F1" w:rsidRPr="001005B7">
        <w:t xml:space="preserve">though </w:t>
      </w:r>
      <w:r w:rsidR="008C1120" w:rsidRPr="001005B7">
        <w:t xml:space="preserve">they likely did not see it that way. </w:t>
      </w:r>
      <w:r w:rsidR="00343727" w:rsidRPr="001005B7">
        <w:t xml:space="preserve">But </w:t>
      </w:r>
      <w:r w:rsidR="002C0ED6" w:rsidRPr="001005B7">
        <w:t>“</w:t>
      </w:r>
      <w:r w:rsidR="00343727" w:rsidRPr="001005B7">
        <w:rPr>
          <w:rFonts w:ascii="Calibri" w:eastAsia="AJensonPro-Lt" w:hAnsi="Calibri" w:cs="Calibri"/>
        </w:rPr>
        <w:t>a</w:t>
      </w:r>
      <w:r w:rsidR="002C0ED6" w:rsidRPr="001005B7">
        <w:rPr>
          <w:rFonts w:ascii="Calibri" w:eastAsia="AJensonPro-Lt" w:hAnsi="Calibri" w:cs="Calibri"/>
        </w:rPr>
        <w:t>re not too many of the great</w:t>
      </w:r>
      <w:r w:rsidR="002C0ED6" w:rsidRPr="001005B7">
        <w:t xml:space="preserve"> </w:t>
      </w:r>
      <w:r w:rsidR="002C0ED6" w:rsidRPr="001005B7">
        <w:rPr>
          <w:rFonts w:ascii="Calibri" w:eastAsia="AJensonPro-Lt" w:hAnsi="Calibri" w:cs="Calibri"/>
        </w:rPr>
        <w:t>ones among us corrupt, loose and enemies to</w:t>
      </w:r>
      <w:r w:rsidR="002C0ED6" w:rsidRPr="001005B7">
        <w:t xml:space="preserve"> </w:t>
      </w:r>
      <w:r w:rsidR="002C0ED6" w:rsidRPr="001005B7">
        <w:rPr>
          <w:rFonts w:ascii="Calibri" w:eastAsia="AJensonPro-Lt" w:hAnsi="Calibri" w:cs="Calibri"/>
        </w:rPr>
        <w:t>Christ and his kingdom?</w:t>
      </w:r>
      <w:r w:rsidR="00343727" w:rsidRPr="001005B7">
        <w:rPr>
          <w:rFonts w:ascii="Calibri" w:eastAsia="AJensonPro-Lt" w:hAnsi="Calibri" w:cs="Calibri"/>
        </w:rPr>
        <w:t>” (Greenhill</w:t>
      </w:r>
      <w:r w:rsidR="00A9750D" w:rsidRPr="001005B7">
        <w:rPr>
          <w:rFonts w:ascii="Calibri" w:eastAsia="AJensonPro-Lt" w:hAnsi="Calibri" w:cs="Calibri"/>
        </w:rPr>
        <w:t>, 247</w:t>
      </w:r>
      <w:r w:rsidR="00517723" w:rsidRPr="001005B7">
        <w:rPr>
          <w:rFonts w:ascii="Calibri" w:eastAsia="AJensonPro-Lt" w:hAnsi="Calibri" w:cs="Calibri"/>
        </w:rPr>
        <w:t xml:space="preserve">). </w:t>
      </w:r>
      <w:r w:rsidR="004805F1" w:rsidRPr="001005B7">
        <w:rPr>
          <w:rFonts w:ascii="Calibri" w:eastAsia="AJensonPro-Lt" w:hAnsi="Calibri" w:cs="Calibri"/>
        </w:rPr>
        <w:t>Alter</w:t>
      </w:r>
      <w:r w:rsidR="00517723" w:rsidRPr="001005B7">
        <w:rPr>
          <w:rFonts w:ascii="Calibri" w:eastAsia="AJensonPro-Lt" w:hAnsi="Calibri" w:cs="Calibri"/>
        </w:rPr>
        <w:t xml:space="preserve"> all, </w:t>
      </w:r>
      <w:r w:rsidR="004805F1" w:rsidRPr="001005B7">
        <w:t>leadership</w:t>
      </w:r>
      <w:r w:rsidR="00891D79" w:rsidRPr="001005B7">
        <w:t xml:space="preserve"> is a danger to leaders and to their people</w:t>
      </w:r>
      <w:r w:rsidR="006A2926" w:rsidRPr="001005B7">
        <w:t xml:space="preserve"> (</w:t>
      </w:r>
      <w:r w:rsidR="00466369" w:rsidRPr="001005B7">
        <w:t>Calvin</w:t>
      </w:r>
      <w:r w:rsidR="00B057D1" w:rsidRPr="001005B7">
        <w:t>,</w:t>
      </w:r>
      <w:r w:rsidR="00466369" w:rsidRPr="001005B7">
        <w:t xml:space="preserve"> 1:374</w:t>
      </w:r>
      <w:r w:rsidR="00F46900" w:rsidRPr="001005B7">
        <w:t>–</w:t>
      </w:r>
      <w:r w:rsidR="00466369" w:rsidRPr="001005B7">
        <w:t>75)</w:t>
      </w:r>
      <w:r w:rsidR="00712251">
        <w:t>. It is</w:t>
      </w:r>
      <w:r w:rsidR="0043058C" w:rsidRPr="001005B7">
        <w:t xml:space="preserve"> a danger to leaders because they come to trust in their position</w:t>
      </w:r>
      <w:r w:rsidR="000939DC" w:rsidRPr="001005B7">
        <w:t>, and</w:t>
      </w:r>
      <w:r w:rsidR="00563900" w:rsidRPr="001005B7">
        <w:t xml:space="preserve"> to people </w:t>
      </w:r>
      <w:r w:rsidR="004D1A2A" w:rsidRPr="001005B7">
        <w:t>if they</w:t>
      </w:r>
      <w:r w:rsidR="00563900" w:rsidRPr="001005B7">
        <w:t xml:space="preserve"> assume they may safely follow their leaders.</w:t>
      </w:r>
      <w:r w:rsidR="003357A1" w:rsidRPr="001005B7">
        <w:t xml:space="preserve"> </w:t>
      </w:r>
      <w:r w:rsidR="00B5646B" w:rsidRPr="001005B7">
        <w:t xml:space="preserve">Calvin </w:t>
      </w:r>
      <w:r w:rsidR="004C2E0A" w:rsidRPr="001005B7">
        <w:t xml:space="preserve">(1:378) </w:t>
      </w:r>
      <w:r w:rsidR="00B5646B" w:rsidRPr="001005B7">
        <w:t>suggests a prayer:</w:t>
      </w:r>
    </w:p>
    <w:p w14:paraId="4987EF01" w14:textId="5BCDA32E" w:rsidR="002207C4" w:rsidRPr="001005B7" w:rsidRDefault="006B4D0C" w:rsidP="004D1A2A">
      <w:pPr>
        <w:pStyle w:val="Quote"/>
        <w:rPr>
          <w:color w:val="auto"/>
        </w:rPr>
      </w:pPr>
      <w:r w:rsidRPr="001005B7">
        <w:rPr>
          <w:color w:val="auto"/>
        </w:rPr>
        <w:t>Grant, Almighty God, that as we know from thine ancient people how great our hardness</w:t>
      </w:r>
      <w:r w:rsidR="00995257" w:rsidRPr="001005B7">
        <w:rPr>
          <w:color w:val="auto"/>
        </w:rPr>
        <w:t xml:space="preserve"> </w:t>
      </w:r>
      <w:r w:rsidRPr="001005B7">
        <w:rPr>
          <w:color w:val="auto"/>
        </w:rPr>
        <w:t>is, unless we are inclined by thy Holy Spirit, nay, totally renewed into obedience to thy</w:t>
      </w:r>
      <w:r w:rsidR="00995257" w:rsidRPr="001005B7">
        <w:rPr>
          <w:color w:val="auto"/>
        </w:rPr>
        <w:t xml:space="preserve"> </w:t>
      </w:r>
      <w:r w:rsidRPr="001005B7">
        <w:rPr>
          <w:color w:val="auto"/>
        </w:rPr>
        <w:t>doctrine: that as often as we hear thy threatening, we may be seriously frightened, and that</w:t>
      </w:r>
      <w:r w:rsidR="00E36F90" w:rsidRPr="001005B7">
        <w:rPr>
          <w:color w:val="auto"/>
        </w:rPr>
        <w:t xml:space="preserve"> </w:t>
      </w:r>
      <w:r w:rsidRPr="001005B7">
        <w:rPr>
          <w:color w:val="auto"/>
        </w:rPr>
        <w:t>we may desire to return to true and perfect obedience, not by momentary but by permanent</w:t>
      </w:r>
      <w:r w:rsidR="00E36F90" w:rsidRPr="001005B7">
        <w:rPr>
          <w:color w:val="auto"/>
        </w:rPr>
        <w:t xml:space="preserve"> </w:t>
      </w:r>
      <w:r w:rsidRPr="001005B7">
        <w:rPr>
          <w:color w:val="auto"/>
        </w:rPr>
        <w:t>repentance, till at length we are gathered into that happy rest, which has been obtained for</w:t>
      </w:r>
      <w:r w:rsidR="00E36F90" w:rsidRPr="001005B7">
        <w:rPr>
          <w:color w:val="auto"/>
        </w:rPr>
        <w:t xml:space="preserve"> </w:t>
      </w:r>
      <w:r w:rsidRPr="001005B7">
        <w:rPr>
          <w:color w:val="auto"/>
        </w:rPr>
        <w:t xml:space="preserve">us through the blood of thine only-begotten Son. </w:t>
      </w:r>
    </w:p>
    <w:p w14:paraId="1AEEF04F" w14:textId="2B29F6FE" w:rsidR="0037649F" w:rsidRPr="001005B7" w:rsidRDefault="00FB1B41" w:rsidP="00493833">
      <w:pPr>
        <w:pStyle w:val="Heading3"/>
      </w:pPr>
      <w:r w:rsidRPr="001005B7">
        <w:t xml:space="preserve">Selected </w:t>
      </w:r>
      <w:r w:rsidR="00FD6814" w:rsidRPr="001005B7">
        <w:t>Bibliography</w:t>
      </w:r>
    </w:p>
    <w:p w14:paraId="2E87B91F" w14:textId="3301F4F9" w:rsidR="00634F42" w:rsidRPr="00CE50A2" w:rsidRDefault="001D14E9" w:rsidP="00CE50A2">
      <w:pPr>
        <w:spacing w:after="60" w:line="240" w:lineRule="auto"/>
        <w:ind w:left="567" w:hanging="567"/>
        <w:rPr>
          <w:rFonts w:ascii="Calibri" w:eastAsia="Times New Roman" w:hAnsi="Calibri" w:cs="Calibri"/>
          <w:color w:val="000000"/>
          <w:lang w:eastAsia="en-GB"/>
        </w:rPr>
      </w:pPr>
      <w:r w:rsidRPr="001005B7">
        <w:t>Block, Daniel I. “Divine Abandonment: Ezekiel's Adaptation of an Ancient Near Eastern Motif.” In</w:t>
      </w:r>
      <w:r w:rsidR="00CE50A2">
        <w:t xml:space="preserve"> Margaret S.</w:t>
      </w:r>
      <w:r w:rsidR="00CE50A2" w:rsidRPr="001005B7">
        <w:t xml:space="preserve"> </w:t>
      </w:r>
      <w:r w:rsidR="00CE50A2" w:rsidRPr="005469A6">
        <w:rPr>
          <w:rFonts w:ascii="Calibri" w:eastAsia="Times New Roman" w:hAnsi="Calibri" w:cs="Calibri"/>
          <w:color w:val="000000"/>
          <w:lang w:eastAsia="en-GB"/>
        </w:rPr>
        <w:t>Odell</w:t>
      </w:r>
      <w:r w:rsidR="00CE50A2">
        <w:rPr>
          <w:rFonts w:ascii="Calibri" w:eastAsia="Times New Roman" w:hAnsi="Calibri" w:cs="Calibri"/>
          <w:color w:val="000000"/>
          <w:lang w:eastAsia="en-GB"/>
        </w:rPr>
        <w:t xml:space="preserve"> and</w:t>
      </w:r>
      <w:r w:rsidR="00CE50A2" w:rsidRPr="005469A6">
        <w:rPr>
          <w:rFonts w:ascii="Calibri" w:eastAsia="Times New Roman" w:hAnsi="Calibri" w:cs="Calibri"/>
          <w:color w:val="000000"/>
          <w:lang w:eastAsia="en-GB"/>
        </w:rPr>
        <w:t xml:space="preserve"> J</w:t>
      </w:r>
      <w:r w:rsidR="00CE50A2">
        <w:rPr>
          <w:rFonts w:ascii="Calibri" w:eastAsia="Times New Roman" w:hAnsi="Calibri" w:cs="Calibri"/>
          <w:color w:val="000000"/>
          <w:lang w:eastAsia="en-GB"/>
        </w:rPr>
        <w:t>ohn</w:t>
      </w:r>
      <w:r w:rsidR="00CE50A2" w:rsidRPr="005469A6">
        <w:rPr>
          <w:rFonts w:ascii="Calibri" w:eastAsia="Times New Roman" w:hAnsi="Calibri" w:cs="Calibri"/>
          <w:color w:val="000000"/>
          <w:lang w:eastAsia="en-GB"/>
        </w:rPr>
        <w:t xml:space="preserve"> T. Strong</w:t>
      </w:r>
      <w:r w:rsidR="00CE50A2">
        <w:rPr>
          <w:rFonts w:ascii="Calibri" w:eastAsia="Times New Roman" w:hAnsi="Calibri" w:cs="Calibri"/>
          <w:color w:val="000000"/>
          <w:lang w:eastAsia="en-GB"/>
        </w:rPr>
        <w:t xml:space="preserve">, </w:t>
      </w:r>
      <w:r w:rsidR="00CE50A2" w:rsidRPr="005469A6">
        <w:rPr>
          <w:rFonts w:ascii="Calibri" w:eastAsia="Times New Roman" w:hAnsi="Calibri" w:cs="Calibri"/>
          <w:color w:val="000000"/>
          <w:lang w:eastAsia="en-GB"/>
        </w:rPr>
        <w:t>ed.</w:t>
      </w:r>
      <w:r w:rsidR="00CE50A2">
        <w:rPr>
          <w:rFonts w:ascii="Calibri" w:eastAsia="Times New Roman" w:hAnsi="Calibri" w:cs="Calibri"/>
          <w:color w:val="000000"/>
          <w:lang w:eastAsia="en-GB"/>
        </w:rPr>
        <w:t>,</w:t>
      </w:r>
      <w:r w:rsidR="00CE50A2" w:rsidRPr="005469A6">
        <w:rPr>
          <w:rFonts w:ascii="Calibri" w:eastAsia="Times New Roman" w:hAnsi="Calibri" w:cs="Calibri"/>
          <w:color w:val="000000"/>
          <w:lang w:eastAsia="en-GB"/>
        </w:rPr>
        <w:t> </w:t>
      </w:r>
      <w:r w:rsidR="00CE50A2" w:rsidRPr="00A85225">
        <w:rPr>
          <w:rFonts w:ascii="Calibri" w:eastAsia="Times New Roman" w:hAnsi="Calibri" w:cs="Calibri"/>
          <w:i/>
          <w:iCs/>
          <w:color w:val="000000"/>
          <w:lang w:eastAsia="en-GB"/>
        </w:rPr>
        <w:t>The Book of Ezekiel: Theological and Anthropological Perspectives</w:t>
      </w:r>
      <w:r w:rsidR="00CE50A2">
        <w:rPr>
          <w:rFonts w:ascii="Calibri" w:eastAsia="Times New Roman" w:hAnsi="Calibri" w:cs="Calibri"/>
          <w:color w:val="000000"/>
          <w:lang w:eastAsia="en-GB"/>
        </w:rPr>
        <w:t>, 15–42.</w:t>
      </w:r>
      <w:r w:rsidR="00CE50A2" w:rsidRPr="005469A6">
        <w:rPr>
          <w:rFonts w:ascii="Calibri" w:eastAsia="Times New Roman" w:hAnsi="Calibri" w:cs="Calibri"/>
          <w:color w:val="000000"/>
          <w:lang w:eastAsia="en-GB"/>
        </w:rPr>
        <w:t> </w:t>
      </w:r>
      <w:proofErr w:type="spellStart"/>
      <w:r w:rsidR="00CE50A2" w:rsidRPr="005469A6">
        <w:rPr>
          <w:rFonts w:ascii="Calibri" w:eastAsia="Times New Roman" w:hAnsi="Calibri" w:cs="Calibri"/>
          <w:color w:val="000000"/>
          <w:lang w:eastAsia="en-GB"/>
        </w:rPr>
        <w:t>SBLSymS</w:t>
      </w:r>
      <w:proofErr w:type="spellEnd"/>
      <w:r w:rsidR="00CE50A2" w:rsidRPr="005469A6">
        <w:rPr>
          <w:rFonts w:ascii="Calibri" w:eastAsia="Times New Roman" w:hAnsi="Calibri" w:cs="Calibri"/>
          <w:color w:val="000000"/>
          <w:lang w:eastAsia="en-GB"/>
        </w:rPr>
        <w:t xml:space="preserve"> 9</w:t>
      </w:r>
      <w:r w:rsidR="00CE50A2">
        <w:rPr>
          <w:rFonts w:ascii="Calibri" w:eastAsia="Times New Roman" w:hAnsi="Calibri" w:cs="Calibri"/>
          <w:color w:val="000000"/>
          <w:lang w:eastAsia="en-GB"/>
        </w:rPr>
        <w:t>.</w:t>
      </w:r>
      <w:r w:rsidR="00CE50A2" w:rsidRPr="005469A6">
        <w:rPr>
          <w:rFonts w:ascii="Calibri" w:eastAsia="Times New Roman" w:hAnsi="Calibri" w:cs="Calibri"/>
          <w:color w:val="000000"/>
          <w:lang w:eastAsia="en-GB"/>
        </w:rPr>
        <w:t xml:space="preserve"> Atlanta, GA: Society of Biblical Literature, 2000.</w:t>
      </w:r>
    </w:p>
    <w:p w14:paraId="6E998D73" w14:textId="77777777" w:rsidR="00E3462B" w:rsidRDefault="00FD6814" w:rsidP="00E3462B">
      <w:pPr>
        <w:pStyle w:val="Heading4"/>
      </w:pPr>
      <w:r w:rsidRPr="001005B7">
        <w:t xml:space="preserve">De Vries, Pieter. </w:t>
      </w:r>
      <w:r w:rsidR="00827EA0" w:rsidRPr="001005B7">
        <w:t>“</w:t>
      </w:r>
      <w:r w:rsidRPr="001005B7">
        <w:t xml:space="preserve">The </w:t>
      </w:r>
      <w:r w:rsidR="00A556D5" w:rsidRPr="001005B7">
        <w:t>P</w:t>
      </w:r>
      <w:r w:rsidRPr="001005B7">
        <w:t xml:space="preserve">resence of YHWH in </w:t>
      </w:r>
      <w:r w:rsidR="00A556D5" w:rsidRPr="001005B7">
        <w:t>E</w:t>
      </w:r>
      <w:r w:rsidRPr="001005B7">
        <w:t xml:space="preserve">xile according to the Book of Ezekiel, with </w:t>
      </w:r>
      <w:r w:rsidR="00A556D5" w:rsidRPr="001005B7">
        <w:t>S</w:t>
      </w:r>
      <w:r w:rsidRPr="001005B7">
        <w:t xml:space="preserve">pecial </w:t>
      </w:r>
      <w:r w:rsidR="00A556D5" w:rsidRPr="001005B7">
        <w:t>R</w:t>
      </w:r>
      <w:r w:rsidRPr="001005B7">
        <w:t xml:space="preserve">eference to the </w:t>
      </w:r>
      <w:r w:rsidR="00A556D5" w:rsidRPr="001005B7">
        <w:t>M</w:t>
      </w:r>
      <w:r w:rsidRPr="001005B7">
        <w:t xml:space="preserve">eaning of the </w:t>
      </w:r>
      <w:r w:rsidR="00A556D5" w:rsidRPr="001005B7">
        <w:t>E</w:t>
      </w:r>
      <w:r w:rsidRPr="001005B7">
        <w:t>xpression</w:t>
      </w:r>
      <w:r w:rsidR="00FE7779" w:rsidRPr="001005B7">
        <w:t xml:space="preserve"> </w:t>
      </w:r>
      <w:proofErr w:type="spellStart"/>
      <w:r w:rsidR="00FE7779" w:rsidRPr="001005B7">
        <w:rPr>
          <w:i/>
        </w:rPr>
        <w:t>miqd</w:t>
      </w:r>
      <w:r w:rsidR="001D4E0A" w:rsidRPr="001005B7">
        <w:rPr>
          <w:i/>
        </w:rPr>
        <w:t>āš</w:t>
      </w:r>
      <w:proofErr w:type="spellEnd"/>
      <w:r w:rsidR="00644B6A" w:rsidRPr="001005B7">
        <w:rPr>
          <w:i/>
        </w:rPr>
        <w:t xml:space="preserve"> </w:t>
      </w:r>
      <w:proofErr w:type="spellStart"/>
      <w:r w:rsidR="00644B6A" w:rsidRPr="001005B7">
        <w:rPr>
          <w:i/>
        </w:rPr>
        <w:t>məʿa</w:t>
      </w:r>
      <w:r w:rsidR="00827EA0" w:rsidRPr="001005B7">
        <w:rPr>
          <w:i/>
        </w:rPr>
        <w:t>ṭ</w:t>
      </w:r>
      <w:proofErr w:type="spellEnd"/>
      <w:r w:rsidRPr="001005B7">
        <w:t xml:space="preserve"> in Ezekiel 11:16</w:t>
      </w:r>
      <w:r w:rsidR="00827EA0" w:rsidRPr="001005B7">
        <w:t>.”</w:t>
      </w:r>
      <w:r w:rsidR="00A556D5" w:rsidRPr="001005B7">
        <w:t xml:space="preserve"> </w:t>
      </w:r>
      <w:r w:rsidR="00590E8C" w:rsidRPr="001005B7">
        <w:rPr>
          <w:i/>
        </w:rPr>
        <w:t>OTE</w:t>
      </w:r>
      <w:r w:rsidR="00590E8C" w:rsidRPr="001005B7">
        <w:t xml:space="preserve"> 31 (2018): 264</w:t>
      </w:r>
      <w:r w:rsidR="00F46900" w:rsidRPr="001005B7">
        <w:t>–</w:t>
      </w:r>
      <w:r w:rsidR="00590E8C" w:rsidRPr="001005B7">
        <w:t>79.</w:t>
      </w:r>
    </w:p>
    <w:p w14:paraId="1749FD00" w14:textId="48EE0744" w:rsidR="00C051EB" w:rsidRPr="006A6F40" w:rsidRDefault="006A6F40" w:rsidP="00E3462B">
      <w:pPr>
        <w:pStyle w:val="Heading4"/>
      </w:pPr>
      <w:r>
        <w:t>Lust, Johan. “Exile and Diaspora: Gathering from Dispersion in Ezekiel.” In</w:t>
      </w:r>
      <w:r w:rsidR="00C051EB" w:rsidRPr="005469A6">
        <w:rPr>
          <w:rFonts w:eastAsia="Times New Roman" w:cs="Calibri"/>
          <w:color w:val="000000"/>
          <w:lang w:eastAsia="en-GB"/>
        </w:rPr>
        <w:t xml:space="preserve"> J</w:t>
      </w:r>
      <w:r w:rsidR="00C051EB">
        <w:rPr>
          <w:rFonts w:eastAsia="Times New Roman" w:cs="Calibri"/>
          <w:color w:val="000000"/>
          <w:lang w:eastAsia="en-GB"/>
        </w:rPr>
        <w:t>ean</w:t>
      </w:r>
      <w:r w:rsidR="00C051EB" w:rsidRPr="005469A6">
        <w:rPr>
          <w:rFonts w:eastAsia="Times New Roman" w:cs="Calibri"/>
          <w:color w:val="000000"/>
          <w:lang w:eastAsia="en-GB"/>
        </w:rPr>
        <w:t>-M</w:t>
      </w:r>
      <w:r w:rsidR="00C051EB">
        <w:rPr>
          <w:rFonts w:eastAsia="Times New Roman" w:cs="Calibri"/>
          <w:color w:val="000000"/>
          <w:lang w:eastAsia="en-GB"/>
        </w:rPr>
        <w:t xml:space="preserve">arie Auwers and André </w:t>
      </w:r>
      <w:proofErr w:type="spellStart"/>
      <w:r w:rsidR="00C051EB">
        <w:rPr>
          <w:rFonts w:eastAsia="Times New Roman" w:cs="Calibri"/>
          <w:color w:val="000000"/>
          <w:lang w:eastAsia="en-GB"/>
        </w:rPr>
        <w:t>Wénin</w:t>
      </w:r>
      <w:proofErr w:type="spellEnd"/>
      <w:r w:rsidR="00C051EB">
        <w:rPr>
          <w:rFonts w:eastAsia="Times New Roman" w:cs="Calibri"/>
          <w:color w:val="000000"/>
          <w:lang w:eastAsia="en-GB"/>
        </w:rPr>
        <w:t xml:space="preserve">, ed., </w:t>
      </w:r>
      <w:r w:rsidR="00C051EB" w:rsidRPr="0072524C">
        <w:rPr>
          <w:rFonts w:ascii="Arial" w:hAnsi="Arial" w:cs="Arial"/>
          <w:i/>
          <w:color w:val="4D5156"/>
          <w:sz w:val="21"/>
          <w:szCs w:val="21"/>
          <w:shd w:val="clear" w:color="auto" w:fill="FFFFFF"/>
        </w:rPr>
        <w:t xml:space="preserve">Lectures et </w:t>
      </w:r>
      <w:proofErr w:type="spellStart"/>
      <w:r w:rsidR="00C051EB" w:rsidRPr="0072524C">
        <w:rPr>
          <w:rFonts w:ascii="Arial" w:hAnsi="Arial" w:cs="Arial"/>
          <w:i/>
          <w:color w:val="4D5156"/>
          <w:sz w:val="21"/>
          <w:szCs w:val="21"/>
          <w:shd w:val="clear" w:color="auto" w:fill="FFFFFF"/>
        </w:rPr>
        <w:t>relectures</w:t>
      </w:r>
      <w:proofErr w:type="spellEnd"/>
      <w:r w:rsidR="00C051EB" w:rsidRPr="0072524C">
        <w:rPr>
          <w:rFonts w:ascii="Arial" w:hAnsi="Arial" w:cs="Arial"/>
          <w:i/>
          <w:color w:val="4D5156"/>
          <w:sz w:val="21"/>
          <w:szCs w:val="21"/>
          <w:shd w:val="clear" w:color="auto" w:fill="FFFFFF"/>
        </w:rPr>
        <w:t xml:space="preserve"> de la Bible: Festschrift</w:t>
      </w:r>
      <w:r w:rsidR="00391440">
        <w:rPr>
          <w:rFonts w:eastAsia="Times New Roman" w:cs="Calibri"/>
          <w:i/>
          <w:color w:val="000000"/>
          <w:lang w:eastAsia="en-GB"/>
        </w:rPr>
        <w:t xml:space="preserve"> </w:t>
      </w:r>
      <w:r w:rsidR="00C051EB" w:rsidRPr="0072524C">
        <w:rPr>
          <w:rFonts w:eastAsia="Times New Roman" w:cs="Calibri"/>
          <w:i/>
          <w:color w:val="000000"/>
          <w:lang w:eastAsia="en-GB"/>
        </w:rPr>
        <w:t>P.-M. Bogaert</w:t>
      </w:r>
      <w:r w:rsidR="00C051EB">
        <w:rPr>
          <w:rFonts w:eastAsia="Times New Roman" w:cs="Calibri"/>
          <w:color w:val="000000"/>
          <w:lang w:eastAsia="en-GB"/>
        </w:rPr>
        <w:t>, 99–122.</w:t>
      </w:r>
      <w:r w:rsidR="00C051EB" w:rsidRPr="005469A6">
        <w:rPr>
          <w:rFonts w:eastAsia="Times New Roman" w:cs="Calibri"/>
          <w:color w:val="000000"/>
          <w:lang w:eastAsia="en-GB"/>
        </w:rPr>
        <w:t> BETL 144</w:t>
      </w:r>
      <w:r w:rsidR="00C051EB">
        <w:rPr>
          <w:rFonts w:eastAsia="Times New Roman" w:cs="Calibri"/>
          <w:color w:val="000000"/>
          <w:lang w:eastAsia="en-GB"/>
        </w:rPr>
        <w:t>.</w:t>
      </w:r>
      <w:r w:rsidR="00C051EB" w:rsidRPr="005469A6">
        <w:rPr>
          <w:rFonts w:eastAsia="Times New Roman" w:cs="Calibri"/>
          <w:color w:val="000000"/>
          <w:lang w:eastAsia="en-GB"/>
        </w:rPr>
        <w:t xml:space="preserve"> Leuven: </w:t>
      </w:r>
      <w:proofErr w:type="spellStart"/>
      <w:r w:rsidR="00C051EB" w:rsidRPr="005469A6">
        <w:rPr>
          <w:rFonts w:eastAsia="Times New Roman" w:cs="Calibri"/>
          <w:color w:val="000000"/>
          <w:lang w:eastAsia="en-GB"/>
        </w:rPr>
        <w:t>Peeters</w:t>
      </w:r>
      <w:proofErr w:type="spellEnd"/>
      <w:r w:rsidR="00C051EB" w:rsidRPr="005469A6">
        <w:rPr>
          <w:rFonts w:eastAsia="Times New Roman" w:cs="Calibri"/>
          <w:color w:val="000000"/>
          <w:lang w:eastAsia="en-GB"/>
        </w:rPr>
        <w:t>, 1999.</w:t>
      </w:r>
    </w:p>
    <w:p w14:paraId="4E9E0DE4" w14:textId="3B42BE01" w:rsidR="002C116A" w:rsidRPr="001005B7" w:rsidRDefault="002C116A" w:rsidP="005263CF">
      <w:pPr>
        <w:pStyle w:val="Heading4"/>
      </w:pPr>
      <w:r w:rsidRPr="001005B7">
        <w:t xml:space="preserve">Mitchell, David Forrest. </w:t>
      </w:r>
      <w:r w:rsidR="0056563A" w:rsidRPr="001005B7">
        <w:t>“E</w:t>
      </w:r>
      <w:r w:rsidR="005263CF" w:rsidRPr="001005B7">
        <w:t>zekiel’s Presentation of Divine Sovereignty and Human Responsibility</w:t>
      </w:r>
      <w:r w:rsidR="0056563A" w:rsidRPr="001005B7">
        <w:t xml:space="preserve">.” </w:t>
      </w:r>
      <w:r w:rsidR="0056563A" w:rsidRPr="001005B7">
        <w:rPr>
          <w:i/>
          <w:iCs w:val="0"/>
        </w:rPr>
        <w:t>The Reformed Theolo</w:t>
      </w:r>
      <w:r w:rsidR="00C036C5" w:rsidRPr="001005B7">
        <w:rPr>
          <w:i/>
          <w:iCs w:val="0"/>
        </w:rPr>
        <w:t>gical Review</w:t>
      </w:r>
      <w:r w:rsidR="00C036C5" w:rsidRPr="001005B7">
        <w:t xml:space="preserve"> 76 (2017): </w:t>
      </w:r>
      <w:r w:rsidR="000312DB" w:rsidRPr="001005B7">
        <w:t>73</w:t>
      </w:r>
      <w:r w:rsidR="00F46900" w:rsidRPr="001005B7">
        <w:t>–</w:t>
      </w:r>
      <w:r w:rsidR="000312DB" w:rsidRPr="001005B7">
        <w:t>100.</w:t>
      </w:r>
    </w:p>
    <w:p w14:paraId="4D6B36FD" w14:textId="6A3BEFE4" w:rsidR="007A7DBF" w:rsidRPr="001005B7" w:rsidRDefault="00CA2552" w:rsidP="007A7DBF">
      <w:pPr>
        <w:pStyle w:val="Heading4"/>
      </w:pPr>
      <w:proofErr w:type="spellStart"/>
      <w:r w:rsidRPr="001005B7">
        <w:t>Mushayabasa</w:t>
      </w:r>
      <w:proofErr w:type="spellEnd"/>
      <w:r w:rsidR="00E25DA5" w:rsidRPr="001005B7">
        <w:t>, Godwin. “</w:t>
      </w:r>
      <w:r w:rsidRPr="001005B7">
        <w:t xml:space="preserve">The Text-Critical Utility </w:t>
      </w:r>
      <w:r w:rsidR="00EA184F" w:rsidRPr="001005B7">
        <w:t>of the</w:t>
      </w:r>
      <w:r w:rsidRPr="001005B7">
        <w:t xml:space="preserve"> Peshitta to Ezekiel in View of Recent Research</w:t>
      </w:r>
      <w:r w:rsidR="00EA184F" w:rsidRPr="001005B7">
        <w:t xml:space="preserve">.” </w:t>
      </w:r>
      <w:r w:rsidR="00EA184F" w:rsidRPr="001005B7">
        <w:rPr>
          <w:i/>
          <w:iCs w:val="0"/>
        </w:rPr>
        <w:t>VT</w:t>
      </w:r>
      <w:r w:rsidR="00EA184F" w:rsidRPr="001005B7">
        <w:t xml:space="preserve"> 67 (2017): </w:t>
      </w:r>
      <w:r w:rsidR="00845603" w:rsidRPr="001005B7">
        <w:t>42</w:t>
      </w:r>
      <w:r w:rsidR="00F46900" w:rsidRPr="001005B7">
        <w:t>–</w:t>
      </w:r>
      <w:r w:rsidR="00845603" w:rsidRPr="001005B7">
        <w:t>58.</w:t>
      </w:r>
    </w:p>
    <w:p w14:paraId="4311D0C9" w14:textId="70D89B55" w:rsidR="00AF38F2" w:rsidRPr="001005B7" w:rsidRDefault="00937FF2" w:rsidP="00205034">
      <w:pPr>
        <w:pStyle w:val="Heading4"/>
      </w:pPr>
      <w:r w:rsidRPr="001005B7">
        <w:t>Rom-</w:t>
      </w:r>
      <w:proofErr w:type="spellStart"/>
      <w:r w:rsidRPr="001005B7">
        <w:t>Shiloni</w:t>
      </w:r>
      <w:proofErr w:type="spellEnd"/>
      <w:r w:rsidRPr="001005B7">
        <w:t xml:space="preserve">, Dalit. </w:t>
      </w:r>
      <w:r w:rsidR="007A7DBF" w:rsidRPr="001005B7">
        <w:t xml:space="preserve">“Ezekiel as the Voice of the Exiles and Constructor of Exilic Ideology.” </w:t>
      </w:r>
      <w:r w:rsidR="004A0CB1" w:rsidRPr="001005B7">
        <w:rPr>
          <w:i/>
          <w:iCs w:val="0"/>
        </w:rPr>
        <w:t xml:space="preserve">HUCA </w:t>
      </w:r>
      <w:r w:rsidR="004A0CB1" w:rsidRPr="001005B7">
        <w:t>76 (</w:t>
      </w:r>
      <w:r w:rsidR="00BD4BCD" w:rsidRPr="001005B7">
        <w:t>2005):</w:t>
      </w:r>
      <w:r w:rsidR="00454D3F" w:rsidRPr="001005B7">
        <w:t>1</w:t>
      </w:r>
      <w:r w:rsidR="00F46900" w:rsidRPr="001005B7">
        <w:t>–</w:t>
      </w:r>
      <w:r w:rsidR="00454D3F" w:rsidRPr="001005B7">
        <w:t>45.</w:t>
      </w:r>
    </w:p>
    <w:p w14:paraId="7E0C706C" w14:textId="187973A2" w:rsidR="00D27C47" w:rsidRPr="001005B7" w:rsidRDefault="005819B6" w:rsidP="006F5BB0">
      <w:pPr>
        <w:pStyle w:val="ListParagraph"/>
        <w:rPr>
          <w:rFonts w:asciiTheme="minorHAnsi" w:hAnsiTheme="minorHAnsi" w:cstheme="minorHAnsi"/>
          <w:color w:val="auto"/>
          <w:lang w:val="en-US"/>
        </w:rPr>
      </w:pPr>
      <w:r w:rsidRPr="001005B7">
        <w:rPr>
          <w:i/>
          <w:iCs/>
          <w:color w:val="auto"/>
          <w:lang w:val="en-US"/>
        </w:rPr>
        <w:t xml:space="preserve">––– </w:t>
      </w:r>
      <w:r w:rsidR="00D27C47" w:rsidRPr="001005B7">
        <w:rPr>
          <w:color w:val="auto"/>
          <w:lang w:val="en-US"/>
        </w:rPr>
        <w:t>"Jerusalem and Israel, Synonyms or Antonyms? Jewish Exegesis of Ezekiel's Prophecies Against Jerusalem</w:t>
      </w:r>
      <w:r w:rsidR="00914A4B" w:rsidRPr="001005B7">
        <w:rPr>
          <w:color w:val="auto"/>
          <w:lang w:val="en-US"/>
        </w:rPr>
        <w:t>.</w:t>
      </w:r>
      <w:r w:rsidR="00D27C47" w:rsidRPr="001005B7">
        <w:rPr>
          <w:color w:val="auto"/>
          <w:lang w:val="en-US"/>
        </w:rPr>
        <w:t xml:space="preserve">" </w:t>
      </w:r>
      <w:r w:rsidR="00914A4B" w:rsidRPr="001005B7">
        <w:rPr>
          <w:color w:val="auto"/>
          <w:lang w:val="en-US"/>
        </w:rPr>
        <w:t>I</w:t>
      </w:r>
      <w:r w:rsidR="00D27C47" w:rsidRPr="001005B7">
        <w:rPr>
          <w:color w:val="auto"/>
          <w:lang w:val="en-US"/>
        </w:rPr>
        <w:t xml:space="preserve">n </w:t>
      </w:r>
      <w:r w:rsidR="003970FB" w:rsidRPr="001005B7">
        <w:rPr>
          <w:color w:val="auto"/>
          <w:lang w:val="en-US"/>
        </w:rPr>
        <w:t>Andrew Mein</w:t>
      </w:r>
      <w:r w:rsidR="006733F4" w:rsidRPr="001005B7">
        <w:rPr>
          <w:color w:val="auto"/>
          <w:lang w:val="en-US"/>
        </w:rPr>
        <w:t xml:space="preserve"> and Paul M. Joyce</w:t>
      </w:r>
      <w:r w:rsidR="003970FB" w:rsidRPr="001005B7">
        <w:rPr>
          <w:color w:val="auto"/>
          <w:lang w:val="en-US"/>
        </w:rPr>
        <w:t>, ed.</w:t>
      </w:r>
      <w:r w:rsidR="006733F4" w:rsidRPr="001005B7">
        <w:rPr>
          <w:color w:val="auto"/>
          <w:lang w:val="en-US"/>
        </w:rPr>
        <w:t>,</w:t>
      </w:r>
      <w:r w:rsidR="003970FB" w:rsidRPr="001005B7">
        <w:rPr>
          <w:color w:val="auto"/>
          <w:lang w:val="en-US"/>
        </w:rPr>
        <w:t xml:space="preserve"> </w:t>
      </w:r>
      <w:r w:rsidR="003970FB" w:rsidRPr="001005B7">
        <w:rPr>
          <w:i/>
          <w:iCs/>
          <w:color w:val="auto"/>
          <w:lang w:val="en-US"/>
        </w:rPr>
        <w:t>After Ezekiel: Essays on the Reception of a Difficult Prophet</w:t>
      </w:r>
      <w:r w:rsidR="00C33A15" w:rsidRPr="001005B7">
        <w:rPr>
          <w:color w:val="auto"/>
          <w:lang w:val="en-US"/>
        </w:rPr>
        <w:t>, 89</w:t>
      </w:r>
      <w:r w:rsidR="00F46900" w:rsidRPr="001005B7">
        <w:rPr>
          <w:color w:val="auto"/>
          <w:lang w:val="en-US"/>
        </w:rPr>
        <w:t>–</w:t>
      </w:r>
      <w:r w:rsidR="00C33A15" w:rsidRPr="001005B7">
        <w:rPr>
          <w:color w:val="auto"/>
          <w:lang w:val="en-US"/>
        </w:rPr>
        <w:t>114.</w:t>
      </w:r>
      <w:r w:rsidR="003970FB" w:rsidRPr="001005B7">
        <w:rPr>
          <w:color w:val="auto"/>
          <w:lang w:val="en-US"/>
        </w:rPr>
        <w:t xml:space="preserve"> LHBOTS 535. London: T&amp;T Clark, 2014.</w:t>
      </w:r>
    </w:p>
    <w:p w14:paraId="3EE03D77" w14:textId="11827AD6" w:rsidR="007B580A" w:rsidRPr="001005B7" w:rsidRDefault="00205034" w:rsidP="007B580A">
      <w:pPr>
        <w:pStyle w:val="Heading4"/>
      </w:pPr>
      <w:proofErr w:type="spellStart"/>
      <w:r w:rsidRPr="001005B7">
        <w:t>Rothenbusch</w:t>
      </w:r>
      <w:proofErr w:type="spellEnd"/>
      <w:r w:rsidRPr="001005B7">
        <w:t xml:space="preserve">, </w:t>
      </w:r>
      <w:r w:rsidR="00AF38F2" w:rsidRPr="001005B7">
        <w:t>Ralf. “</w:t>
      </w:r>
      <w:r w:rsidRPr="001005B7">
        <w:t xml:space="preserve">Das Ezechiel-Buch </w:t>
      </w:r>
      <w:proofErr w:type="spellStart"/>
      <w:r w:rsidRPr="001005B7">
        <w:t>als</w:t>
      </w:r>
      <w:proofErr w:type="spellEnd"/>
      <w:r w:rsidRPr="001005B7">
        <w:t xml:space="preserve"> </w:t>
      </w:r>
      <w:proofErr w:type="spellStart"/>
      <w:r w:rsidRPr="001005B7">
        <w:t>Stimme</w:t>
      </w:r>
      <w:proofErr w:type="spellEnd"/>
      <w:r w:rsidRPr="001005B7">
        <w:t xml:space="preserve"> der </w:t>
      </w:r>
      <w:proofErr w:type="spellStart"/>
      <w:r w:rsidRPr="001005B7">
        <w:t>babyIonischen</w:t>
      </w:r>
      <w:proofErr w:type="spellEnd"/>
      <w:r w:rsidRPr="001005B7">
        <w:t xml:space="preserve"> Diaspora</w:t>
      </w:r>
      <w:r w:rsidR="00AF38F2" w:rsidRPr="001005B7">
        <w:t>.”</w:t>
      </w:r>
      <w:r w:rsidR="0088061F" w:rsidRPr="001005B7">
        <w:t xml:space="preserve"> </w:t>
      </w:r>
      <w:r w:rsidR="00B50A56" w:rsidRPr="001005B7">
        <w:t xml:space="preserve">In Carmen Diller, Martin </w:t>
      </w:r>
      <w:proofErr w:type="spellStart"/>
      <w:r w:rsidR="00B50A56" w:rsidRPr="001005B7">
        <w:t>Mulzer</w:t>
      </w:r>
      <w:proofErr w:type="spellEnd"/>
      <w:r w:rsidR="00B50A56" w:rsidRPr="001005B7">
        <w:t xml:space="preserve">, </w:t>
      </w:r>
      <w:proofErr w:type="spellStart"/>
      <w:r w:rsidR="00211F2C" w:rsidRPr="001005B7">
        <w:t>Kristinn</w:t>
      </w:r>
      <w:proofErr w:type="spellEnd"/>
      <w:r w:rsidR="00B50A56" w:rsidRPr="001005B7">
        <w:t xml:space="preserve"> </w:t>
      </w:r>
      <w:proofErr w:type="spellStart"/>
      <w:r w:rsidR="00B50A56" w:rsidRPr="001005B7">
        <w:t>Ólason</w:t>
      </w:r>
      <w:proofErr w:type="spellEnd"/>
      <w:r w:rsidR="00B50A56" w:rsidRPr="001005B7">
        <w:t xml:space="preserve">, </w:t>
      </w:r>
      <w:r w:rsidR="00211F2C" w:rsidRPr="001005B7">
        <w:t>and</w:t>
      </w:r>
      <w:r w:rsidR="00B50A56" w:rsidRPr="001005B7">
        <w:t xml:space="preserve"> </w:t>
      </w:r>
      <w:r w:rsidR="00211F2C" w:rsidRPr="001005B7">
        <w:t xml:space="preserve">Ralf </w:t>
      </w:r>
      <w:proofErr w:type="spellStart"/>
      <w:r w:rsidR="00B50A56" w:rsidRPr="001005B7">
        <w:t>Rothenbusch</w:t>
      </w:r>
      <w:proofErr w:type="spellEnd"/>
      <w:r w:rsidR="00B50A56" w:rsidRPr="001005B7">
        <w:t xml:space="preserve">, </w:t>
      </w:r>
      <w:r w:rsidR="00211F2C" w:rsidRPr="001005B7">
        <w:t>ed.</w:t>
      </w:r>
      <w:r w:rsidR="00B50A56" w:rsidRPr="001005B7">
        <w:t xml:space="preserve">, </w:t>
      </w:r>
      <w:proofErr w:type="spellStart"/>
      <w:r w:rsidR="00B50A56" w:rsidRPr="001005B7">
        <w:rPr>
          <w:i/>
          <w:iCs w:val="0"/>
        </w:rPr>
        <w:t>Studien</w:t>
      </w:r>
      <w:proofErr w:type="spellEnd"/>
      <w:r w:rsidR="00B50A56" w:rsidRPr="001005B7">
        <w:rPr>
          <w:i/>
          <w:iCs w:val="0"/>
        </w:rPr>
        <w:t xml:space="preserve"> </w:t>
      </w:r>
      <w:proofErr w:type="spellStart"/>
      <w:r w:rsidR="00B50A56" w:rsidRPr="001005B7">
        <w:rPr>
          <w:i/>
          <w:iCs w:val="0"/>
        </w:rPr>
        <w:t>zu</w:t>
      </w:r>
      <w:proofErr w:type="spellEnd"/>
      <w:r w:rsidR="00B50A56" w:rsidRPr="001005B7">
        <w:rPr>
          <w:i/>
          <w:iCs w:val="0"/>
        </w:rPr>
        <w:t xml:space="preserve"> den </w:t>
      </w:r>
      <w:proofErr w:type="spellStart"/>
      <w:r w:rsidR="00B50A56" w:rsidRPr="001005B7">
        <w:rPr>
          <w:i/>
          <w:iCs w:val="0"/>
        </w:rPr>
        <w:t>Psalmen</w:t>
      </w:r>
      <w:proofErr w:type="spellEnd"/>
      <w:r w:rsidR="00B50A56" w:rsidRPr="001005B7">
        <w:rPr>
          <w:i/>
          <w:iCs w:val="0"/>
        </w:rPr>
        <w:t xml:space="preserve"> und </w:t>
      </w:r>
      <w:proofErr w:type="spellStart"/>
      <w:r w:rsidR="00B50A56" w:rsidRPr="001005B7">
        <w:rPr>
          <w:i/>
          <w:iCs w:val="0"/>
        </w:rPr>
        <w:t>Propheten</w:t>
      </w:r>
      <w:proofErr w:type="spellEnd"/>
      <w:r w:rsidR="00B50A56" w:rsidRPr="001005B7">
        <w:rPr>
          <w:i/>
          <w:iCs w:val="0"/>
        </w:rPr>
        <w:t xml:space="preserve">. Festschrift für Hubert </w:t>
      </w:r>
      <w:proofErr w:type="spellStart"/>
      <w:r w:rsidR="00B50A56" w:rsidRPr="001005B7">
        <w:rPr>
          <w:i/>
          <w:iCs w:val="0"/>
        </w:rPr>
        <w:t>Irsigler</w:t>
      </w:r>
      <w:proofErr w:type="spellEnd"/>
      <w:r w:rsidR="0074498A" w:rsidRPr="001005B7">
        <w:t>, 251</w:t>
      </w:r>
      <w:r w:rsidR="00F46900" w:rsidRPr="001005B7">
        <w:t>–</w:t>
      </w:r>
      <w:r w:rsidR="0074498A" w:rsidRPr="001005B7">
        <w:t>78.</w:t>
      </w:r>
      <w:r w:rsidR="0074498A" w:rsidRPr="001005B7">
        <w:rPr>
          <w:i/>
          <w:iCs w:val="0"/>
        </w:rPr>
        <w:t xml:space="preserve"> </w:t>
      </w:r>
      <w:r w:rsidR="00B50A56" w:rsidRPr="001005B7">
        <w:t xml:space="preserve">Herders </w:t>
      </w:r>
      <w:proofErr w:type="spellStart"/>
      <w:r w:rsidR="00B50A56" w:rsidRPr="001005B7">
        <w:t>Biblische</w:t>
      </w:r>
      <w:proofErr w:type="spellEnd"/>
      <w:r w:rsidR="00B50A56" w:rsidRPr="001005B7">
        <w:t xml:space="preserve"> </w:t>
      </w:r>
      <w:proofErr w:type="spellStart"/>
      <w:r w:rsidR="00B50A56" w:rsidRPr="001005B7">
        <w:t>Studien</w:t>
      </w:r>
      <w:proofErr w:type="spellEnd"/>
      <w:r w:rsidR="00B50A56" w:rsidRPr="001005B7">
        <w:t xml:space="preserve"> 64</w:t>
      </w:r>
      <w:r w:rsidR="0074498A" w:rsidRPr="001005B7">
        <w:t>.</w:t>
      </w:r>
      <w:r w:rsidR="00B50A56" w:rsidRPr="001005B7">
        <w:t xml:space="preserve"> Freiburg</w:t>
      </w:r>
      <w:r w:rsidR="00F15AE7" w:rsidRPr="001005B7">
        <w:t>: Herder,</w:t>
      </w:r>
      <w:r w:rsidR="00B50A56" w:rsidRPr="001005B7">
        <w:t xml:space="preserve"> 2010.</w:t>
      </w:r>
    </w:p>
    <w:p w14:paraId="0EB57F7B" w14:textId="6F22EC1D" w:rsidR="00C81914" w:rsidRPr="00C81914" w:rsidRDefault="00085111" w:rsidP="00C81914">
      <w:pPr>
        <w:pStyle w:val="ListParagraph"/>
        <w:rPr>
          <w:color w:val="auto"/>
          <w:lang w:val="en-US"/>
        </w:rPr>
      </w:pPr>
      <w:r w:rsidRPr="001005B7">
        <w:rPr>
          <w:color w:val="auto"/>
          <w:lang w:val="en-US"/>
        </w:rPr>
        <w:t xml:space="preserve">Schwartz, </w:t>
      </w:r>
      <w:r w:rsidR="007B580A" w:rsidRPr="001005B7">
        <w:rPr>
          <w:color w:val="auto"/>
          <w:lang w:val="en-US"/>
        </w:rPr>
        <w:t xml:space="preserve">Baruch J. </w:t>
      </w:r>
      <w:r w:rsidR="004D1F8F" w:rsidRPr="001005B7">
        <w:rPr>
          <w:color w:val="auto"/>
          <w:lang w:val="en-US"/>
        </w:rPr>
        <w:t xml:space="preserve">“Ezekiel’s Dim View </w:t>
      </w:r>
      <w:r w:rsidR="0025148B" w:rsidRPr="001005B7">
        <w:rPr>
          <w:color w:val="auto"/>
          <w:lang w:val="en-US"/>
        </w:rPr>
        <w:t xml:space="preserve">of Israel’s Restoration.” </w:t>
      </w:r>
      <w:r w:rsidR="00C81914" w:rsidRPr="001005B7">
        <w:rPr>
          <w:color w:val="auto"/>
          <w:lang w:val="en-US"/>
        </w:rPr>
        <w:t>In</w:t>
      </w:r>
      <w:r w:rsidR="00C81914">
        <w:t xml:space="preserve"> Margaret S.</w:t>
      </w:r>
      <w:r w:rsidR="00C81914" w:rsidRPr="001005B7">
        <w:rPr>
          <w:color w:val="auto"/>
          <w:lang w:val="en-US"/>
        </w:rPr>
        <w:t xml:space="preserve"> </w:t>
      </w:r>
      <w:r w:rsidR="00C81914" w:rsidRPr="005469A6">
        <w:t>Odell</w:t>
      </w:r>
      <w:r w:rsidR="00C81914">
        <w:t xml:space="preserve"> and</w:t>
      </w:r>
      <w:r w:rsidR="00C81914" w:rsidRPr="005469A6">
        <w:t xml:space="preserve"> J</w:t>
      </w:r>
      <w:r w:rsidR="00C81914">
        <w:t>ohn</w:t>
      </w:r>
      <w:r w:rsidR="00C81914" w:rsidRPr="005469A6">
        <w:t xml:space="preserve"> T. Strong</w:t>
      </w:r>
      <w:r w:rsidR="00C81914">
        <w:t xml:space="preserve">, </w:t>
      </w:r>
      <w:proofErr w:type="spellStart"/>
      <w:r w:rsidR="00C81914" w:rsidRPr="005469A6">
        <w:t>ed</w:t>
      </w:r>
      <w:proofErr w:type="spellEnd"/>
      <w:r w:rsidR="00C81914" w:rsidRPr="005469A6">
        <w:t>.</w:t>
      </w:r>
      <w:r w:rsidR="00C81914">
        <w:t>,</w:t>
      </w:r>
      <w:r w:rsidR="00C81914" w:rsidRPr="005469A6">
        <w:t> </w:t>
      </w:r>
      <w:r w:rsidR="00C81914" w:rsidRPr="00A85225">
        <w:rPr>
          <w:i/>
          <w:iCs/>
        </w:rPr>
        <w:t xml:space="preserve">The Book </w:t>
      </w:r>
      <w:proofErr w:type="spellStart"/>
      <w:r w:rsidR="00C81914" w:rsidRPr="00A85225">
        <w:rPr>
          <w:i/>
          <w:iCs/>
        </w:rPr>
        <w:t>of</w:t>
      </w:r>
      <w:proofErr w:type="spellEnd"/>
      <w:r w:rsidR="00C81914" w:rsidRPr="00A85225">
        <w:rPr>
          <w:i/>
          <w:iCs/>
        </w:rPr>
        <w:t xml:space="preserve"> Ezekiel: </w:t>
      </w:r>
      <w:proofErr w:type="spellStart"/>
      <w:r w:rsidR="00C81914" w:rsidRPr="00A85225">
        <w:rPr>
          <w:i/>
          <w:iCs/>
        </w:rPr>
        <w:t>Theological</w:t>
      </w:r>
      <w:proofErr w:type="spellEnd"/>
      <w:r w:rsidR="00C81914" w:rsidRPr="00A85225">
        <w:rPr>
          <w:i/>
          <w:iCs/>
        </w:rPr>
        <w:t xml:space="preserve"> and Anthropological </w:t>
      </w:r>
      <w:proofErr w:type="spellStart"/>
      <w:r w:rsidR="00C81914" w:rsidRPr="00A85225">
        <w:rPr>
          <w:i/>
          <w:iCs/>
        </w:rPr>
        <w:t>Perspectives</w:t>
      </w:r>
      <w:proofErr w:type="spellEnd"/>
      <w:r w:rsidR="00C81914">
        <w:t xml:space="preserve">, </w:t>
      </w:r>
      <w:r w:rsidR="00693261">
        <w:t>43</w:t>
      </w:r>
      <w:r w:rsidR="00F440C0">
        <w:t>–</w:t>
      </w:r>
      <w:r w:rsidR="00693261">
        <w:t>67</w:t>
      </w:r>
      <w:r w:rsidR="00C81914">
        <w:t>.</w:t>
      </w:r>
      <w:r w:rsidR="00C81914" w:rsidRPr="005469A6">
        <w:t> </w:t>
      </w:r>
      <w:proofErr w:type="spellStart"/>
      <w:r w:rsidR="00C81914" w:rsidRPr="005469A6">
        <w:t>SBLSymS</w:t>
      </w:r>
      <w:proofErr w:type="spellEnd"/>
      <w:r w:rsidR="00C81914" w:rsidRPr="005469A6">
        <w:t xml:space="preserve"> 9</w:t>
      </w:r>
      <w:r w:rsidR="00C81914">
        <w:t>.</w:t>
      </w:r>
      <w:r w:rsidR="00C81914" w:rsidRPr="005469A6">
        <w:t xml:space="preserve"> Atlanta, GA: Society </w:t>
      </w:r>
      <w:proofErr w:type="spellStart"/>
      <w:r w:rsidR="00C81914" w:rsidRPr="005469A6">
        <w:t>of</w:t>
      </w:r>
      <w:proofErr w:type="spellEnd"/>
      <w:r w:rsidR="00C81914" w:rsidRPr="005469A6">
        <w:t xml:space="preserve"> </w:t>
      </w:r>
      <w:proofErr w:type="spellStart"/>
      <w:r w:rsidR="00C81914" w:rsidRPr="005469A6">
        <w:t>Biblical</w:t>
      </w:r>
      <w:proofErr w:type="spellEnd"/>
      <w:r w:rsidR="00C81914" w:rsidRPr="005469A6">
        <w:t xml:space="preserve"> </w:t>
      </w:r>
      <w:proofErr w:type="spellStart"/>
      <w:r w:rsidR="00C81914" w:rsidRPr="005469A6">
        <w:t>Literature</w:t>
      </w:r>
      <w:proofErr w:type="spellEnd"/>
      <w:r w:rsidR="00C81914" w:rsidRPr="005469A6">
        <w:t>, 2000.</w:t>
      </w:r>
    </w:p>
    <w:p w14:paraId="03FE0F52" w14:textId="729D52D5" w:rsidR="00F96E6E" w:rsidRPr="001005B7" w:rsidRDefault="005819B6" w:rsidP="006F5BB0">
      <w:pPr>
        <w:pStyle w:val="ListParagraph"/>
        <w:rPr>
          <w:color w:val="auto"/>
          <w:lang w:val="en-US"/>
        </w:rPr>
      </w:pPr>
      <w:r w:rsidRPr="001005B7">
        <w:rPr>
          <w:i/>
          <w:iCs/>
          <w:color w:val="auto"/>
          <w:lang w:val="en-US"/>
        </w:rPr>
        <w:t xml:space="preserve">––– </w:t>
      </w:r>
      <w:r w:rsidR="007B580A" w:rsidRPr="001005B7">
        <w:rPr>
          <w:color w:val="auto"/>
          <w:lang w:val="en-US"/>
        </w:rPr>
        <w:t>“The Ultimate Aim of Israel’s Restoration in Ezekiel</w:t>
      </w:r>
      <w:r w:rsidR="00980746" w:rsidRPr="001005B7">
        <w:rPr>
          <w:color w:val="auto"/>
          <w:lang w:val="en-US"/>
        </w:rPr>
        <w:t xml:space="preserve">.” </w:t>
      </w:r>
      <w:r w:rsidR="00F96E6E" w:rsidRPr="001005B7">
        <w:rPr>
          <w:color w:val="auto"/>
          <w:lang w:val="en-US"/>
        </w:rPr>
        <w:t xml:space="preserve">In Chaim Cohen, Victor Avigdor </w:t>
      </w:r>
      <w:proofErr w:type="spellStart"/>
      <w:r w:rsidR="00F96E6E" w:rsidRPr="001005B7">
        <w:rPr>
          <w:color w:val="auto"/>
          <w:lang w:val="en-US"/>
        </w:rPr>
        <w:t>Hurowitz</w:t>
      </w:r>
      <w:proofErr w:type="spellEnd"/>
      <w:r w:rsidR="00F96E6E" w:rsidRPr="001005B7">
        <w:rPr>
          <w:color w:val="auto"/>
          <w:lang w:val="en-US"/>
        </w:rPr>
        <w:t xml:space="preserve">, Avi M. </w:t>
      </w:r>
      <w:proofErr w:type="spellStart"/>
      <w:r w:rsidR="00F96E6E" w:rsidRPr="001005B7">
        <w:rPr>
          <w:color w:val="auto"/>
          <w:lang w:val="en-US"/>
        </w:rPr>
        <w:t>Hurvitz</w:t>
      </w:r>
      <w:proofErr w:type="spellEnd"/>
      <w:r w:rsidR="00F96E6E" w:rsidRPr="001005B7">
        <w:rPr>
          <w:color w:val="auto"/>
          <w:lang w:val="en-US"/>
        </w:rPr>
        <w:t xml:space="preserve">, </w:t>
      </w:r>
      <w:proofErr w:type="spellStart"/>
      <w:r w:rsidR="00F96E6E" w:rsidRPr="001005B7">
        <w:rPr>
          <w:color w:val="auto"/>
          <w:lang w:val="en-US"/>
        </w:rPr>
        <w:t>Yochanan</w:t>
      </w:r>
      <w:proofErr w:type="spellEnd"/>
      <w:r w:rsidR="00F96E6E" w:rsidRPr="001005B7">
        <w:rPr>
          <w:color w:val="auto"/>
          <w:lang w:val="en-US"/>
        </w:rPr>
        <w:t xml:space="preserve"> Muffs, Baruch J. Schwartz, and Jeffrey H. </w:t>
      </w:r>
      <w:proofErr w:type="spellStart"/>
      <w:r w:rsidR="00F96E6E" w:rsidRPr="001005B7">
        <w:rPr>
          <w:color w:val="auto"/>
          <w:lang w:val="en-US"/>
        </w:rPr>
        <w:t>Tigay</w:t>
      </w:r>
      <w:proofErr w:type="spellEnd"/>
      <w:r w:rsidR="00F96E6E" w:rsidRPr="001005B7">
        <w:rPr>
          <w:color w:val="auto"/>
          <w:lang w:val="en-US"/>
        </w:rPr>
        <w:t xml:space="preserve">, ed., </w:t>
      </w:r>
      <w:proofErr w:type="spellStart"/>
      <w:r w:rsidR="00F96E6E" w:rsidRPr="001005B7">
        <w:rPr>
          <w:i/>
          <w:iCs/>
          <w:color w:val="auto"/>
          <w:lang w:val="en-US"/>
        </w:rPr>
        <w:t>Birkat</w:t>
      </w:r>
      <w:proofErr w:type="spellEnd"/>
      <w:r w:rsidR="00F96E6E" w:rsidRPr="001005B7">
        <w:rPr>
          <w:i/>
          <w:iCs/>
          <w:color w:val="auto"/>
          <w:lang w:val="en-US"/>
        </w:rPr>
        <w:t xml:space="preserve"> Shalom: Studies in the Bible, Ancient Near Eastern Literature, and Postbiblical Judaism Presented to Shalom M. Paul on the Occasion of His Seventieth Birthday</w:t>
      </w:r>
      <w:r w:rsidR="00F96E6E" w:rsidRPr="001005B7">
        <w:rPr>
          <w:color w:val="auto"/>
          <w:lang w:val="en-US"/>
        </w:rPr>
        <w:t xml:space="preserve">, </w:t>
      </w:r>
      <w:r w:rsidR="008B56B8" w:rsidRPr="001005B7">
        <w:rPr>
          <w:color w:val="auto"/>
          <w:lang w:val="en-US"/>
        </w:rPr>
        <w:t>305</w:t>
      </w:r>
      <w:r w:rsidR="00F46900" w:rsidRPr="001005B7">
        <w:rPr>
          <w:color w:val="auto"/>
          <w:lang w:val="en-US"/>
        </w:rPr>
        <w:t>–</w:t>
      </w:r>
      <w:r w:rsidR="008B56B8" w:rsidRPr="001005B7">
        <w:rPr>
          <w:color w:val="auto"/>
          <w:lang w:val="en-US"/>
        </w:rPr>
        <w:t>19</w:t>
      </w:r>
      <w:r w:rsidR="00F96E6E" w:rsidRPr="001005B7">
        <w:rPr>
          <w:color w:val="auto"/>
          <w:lang w:val="en-US"/>
        </w:rPr>
        <w:t xml:space="preserve">. Winona Lake, IN: </w:t>
      </w:r>
      <w:proofErr w:type="spellStart"/>
      <w:r w:rsidR="00F96E6E" w:rsidRPr="001005B7">
        <w:rPr>
          <w:color w:val="auto"/>
          <w:lang w:val="en-US"/>
        </w:rPr>
        <w:t>Eisenbrauns</w:t>
      </w:r>
      <w:proofErr w:type="spellEnd"/>
      <w:r w:rsidR="00F96E6E" w:rsidRPr="001005B7">
        <w:rPr>
          <w:color w:val="auto"/>
          <w:lang w:val="en-US"/>
        </w:rPr>
        <w:t>, 2008.</w:t>
      </w:r>
    </w:p>
    <w:p w14:paraId="654F47E1" w14:textId="4DA68593" w:rsidR="00283691" w:rsidRPr="001005B7" w:rsidRDefault="005F32AC" w:rsidP="00283691">
      <w:pPr>
        <w:pStyle w:val="Heading4"/>
        <w:rPr>
          <w:rFonts w:eastAsia="Times New Roman" w:cs="Calibri"/>
          <w:lang w:eastAsia="en-GB"/>
        </w:rPr>
      </w:pPr>
      <w:proofErr w:type="spellStart"/>
      <w:r w:rsidRPr="001005B7">
        <w:rPr>
          <w:rFonts w:cs="Calibri"/>
        </w:rPr>
        <w:t>Sedlmeier</w:t>
      </w:r>
      <w:proofErr w:type="spellEnd"/>
      <w:r w:rsidRPr="001005B7">
        <w:rPr>
          <w:rFonts w:cs="Calibri"/>
        </w:rPr>
        <w:t>, Franz. “‘</w:t>
      </w:r>
      <w:proofErr w:type="spellStart"/>
      <w:r w:rsidRPr="001005B7">
        <w:rPr>
          <w:rFonts w:cs="Calibri"/>
        </w:rPr>
        <w:t>Deine</w:t>
      </w:r>
      <w:proofErr w:type="spellEnd"/>
      <w:r w:rsidRPr="001005B7">
        <w:rPr>
          <w:rFonts w:cs="Calibri"/>
        </w:rPr>
        <w:t xml:space="preserve"> </w:t>
      </w:r>
      <w:proofErr w:type="spellStart"/>
      <w:r w:rsidRPr="001005B7">
        <w:rPr>
          <w:rFonts w:cs="Calibri"/>
        </w:rPr>
        <w:t>Brü</w:t>
      </w:r>
      <w:r w:rsidR="00416EC3" w:rsidRPr="001005B7">
        <w:rPr>
          <w:rFonts w:cs="Calibri"/>
        </w:rPr>
        <w:t>der</w:t>
      </w:r>
      <w:proofErr w:type="spellEnd"/>
      <w:r w:rsidR="00416EC3" w:rsidRPr="001005B7">
        <w:rPr>
          <w:rFonts w:cs="Calibri"/>
        </w:rPr>
        <w:t xml:space="preserve">, </w:t>
      </w:r>
      <w:proofErr w:type="spellStart"/>
      <w:r w:rsidR="00416EC3" w:rsidRPr="001005B7">
        <w:rPr>
          <w:rFonts w:cs="Calibri"/>
        </w:rPr>
        <w:t>deine</w:t>
      </w:r>
      <w:proofErr w:type="spellEnd"/>
      <w:r w:rsidR="00416EC3" w:rsidRPr="001005B7">
        <w:rPr>
          <w:rFonts w:cs="Calibri"/>
        </w:rPr>
        <w:t xml:space="preserve"> </w:t>
      </w:r>
      <w:proofErr w:type="spellStart"/>
      <w:r w:rsidR="00416EC3" w:rsidRPr="001005B7">
        <w:rPr>
          <w:rFonts w:cs="Calibri"/>
        </w:rPr>
        <w:t>Brüder</w:t>
      </w:r>
      <w:proofErr w:type="spellEnd"/>
      <w:r w:rsidR="00416EC3" w:rsidRPr="001005B7">
        <w:rPr>
          <w:rFonts w:cs="Calibri"/>
        </w:rPr>
        <w:t>…</w:t>
      </w:r>
      <w:r w:rsidR="00CB26E7" w:rsidRPr="001005B7">
        <w:rPr>
          <w:rFonts w:cs="Calibri"/>
        </w:rPr>
        <w:t xml:space="preserve">’: Die </w:t>
      </w:r>
      <w:proofErr w:type="spellStart"/>
      <w:r w:rsidR="00CB26E7" w:rsidRPr="001005B7">
        <w:rPr>
          <w:rFonts w:cs="Calibri"/>
        </w:rPr>
        <w:t>Beziehung</w:t>
      </w:r>
      <w:proofErr w:type="spellEnd"/>
      <w:r w:rsidR="00CB26E7" w:rsidRPr="001005B7">
        <w:rPr>
          <w:rFonts w:cs="Calibri"/>
        </w:rPr>
        <w:t xml:space="preserve"> von </w:t>
      </w:r>
      <w:proofErr w:type="spellStart"/>
      <w:r w:rsidR="00CB26E7" w:rsidRPr="001005B7">
        <w:rPr>
          <w:rFonts w:cs="Calibri"/>
        </w:rPr>
        <w:t>Ez</w:t>
      </w:r>
      <w:proofErr w:type="spellEnd"/>
      <w:r w:rsidR="00CB26E7" w:rsidRPr="001005B7">
        <w:rPr>
          <w:rFonts w:cs="Calibri"/>
        </w:rPr>
        <w:t xml:space="preserve"> 11,14</w:t>
      </w:r>
      <w:r w:rsidR="00F46900" w:rsidRPr="001005B7">
        <w:rPr>
          <w:rFonts w:cs="Calibri"/>
        </w:rPr>
        <w:t>–</w:t>
      </w:r>
      <w:r w:rsidR="00CB26E7" w:rsidRPr="001005B7">
        <w:rPr>
          <w:rFonts w:cs="Calibri"/>
        </w:rPr>
        <w:t xml:space="preserve">21 </w:t>
      </w:r>
      <w:proofErr w:type="spellStart"/>
      <w:r w:rsidR="00CB26E7" w:rsidRPr="001005B7">
        <w:rPr>
          <w:rFonts w:cs="Calibri"/>
        </w:rPr>
        <w:t>zur</w:t>
      </w:r>
      <w:proofErr w:type="spellEnd"/>
      <w:r w:rsidR="00CB26E7" w:rsidRPr="001005B7">
        <w:rPr>
          <w:rFonts w:cs="Calibri"/>
        </w:rPr>
        <w:t xml:space="preserve"> </w:t>
      </w:r>
      <w:proofErr w:type="spellStart"/>
      <w:r w:rsidR="00CB26E7" w:rsidRPr="001005B7">
        <w:rPr>
          <w:rFonts w:cs="Calibri"/>
        </w:rPr>
        <w:t>dtn-dtr</w:t>
      </w:r>
      <w:proofErr w:type="spellEnd"/>
      <w:r w:rsidR="00CB26E7" w:rsidRPr="001005B7">
        <w:rPr>
          <w:rFonts w:cs="Calibri"/>
        </w:rPr>
        <w:t xml:space="preserve"> </w:t>
      </w:r>
      <w:proofErr w:type="spellStart"/>
      <w:r w:rsidR="00CB26E7" w:rsidRPr="001005B7">
        <w:rPr>
          <w:rFonts w:cs="Calibri"/>
        </w:rPr>
        <w:t>Theologie</w:t>
      </w:r>
      <w:proofErr w:type="spellEnd"/>
      <w:r w:rsidR="00CB26E7" w:rsidRPr="001005B7">
        <w:rPr>
          <w:rFonts w:cs="Calibri"/>
        </w:rPr>
        <w:t xml:space="preserve">.” </w:t>
      </w:r>
      <w:r w:rsidR="006B4468" w:rsidRPr="001005B7">
        <w:rPr>
          <w:rFonts w:cs="Calibri"/>
        </w:rPr>
        <w:t xml:space="preserve">In </w:t>
      </w:r>
      <w:r w:rsidR="00C04672" w:rsidRPr="001005B7">
        <w:rPr>
          <w:rFonts w:eastAsia="Times New Roman" w:cs="Calibri"/>
          <w:lang w:eastAsia="en-GB"/>
        </w:rPr>
        <w:t>Walter</w:t>
      </w:r>
      <w:r w:rsidR="006B4468" w:rsidRPr="001005B7">
        <w:rPr>
          <w:rFonts w:eastAsia="Times New Roman" w:cs="Calibri"/>
          <w:lang w:eastAsia="en-GB"/>
        </w:rPr>
        <w:t xml:space="preserve"> Gross, </w:t>
      </w:r>
      <w:r w:rsidR="003D4A3E" w:rsidRPr="001005B7">
        <w:rPr>
          <w:rFonts w:cs="Calibri"/>
        </w:rPr>
        <w:t>ed.,</w:t>
      </w:r>
      <w:r w:rsidR="00335A85" w:rsidRPr="001005B7">
        <w:rPr>
          <w:rFonts w:cs="Calibri"/>
        </w:rPr>
        <w:t xml:space="preserve"> </w:t>
      </w:r>
      <w:r w:rsidR="00335A85" w:rsidRPr="001005B7">
        <w:rPr>
          <w:rFonts w:cs="Calibri"/>
          <w:i/>
          <w:iCs w:val="0"/>
        </w:rPr>
        <w:t>Jeremia und die "</w:t>
      </w:r>
      <w:proofErr w:type="spellStart"/>
      <w:r w:rsidR="00335A85" w:rsidRPr="001005B7">
        <w:rPr>
          <w:rFonts w:cs="Calibri"/>
          <w:i/>
          <w:iCs w:val="0"/>
        </w:rPr>
        <w:t>deuteronomistische</w:t>
      </w:r>
      <w:proofErr w:type="spellEnd"/>
      <w:r w:rsidR="00335A85" w:rsidRPr="001005B7">
        <w:rPr>
          <w:rFonts w:cs="Calibri"/>
          <w:i/>
          <w:iCs w:val="0"/>
        </w:rPr>
        <w:t xml:space="preserve"> </w:t>
      </w:r>
      <w:proofErr w:type="spellStart"/>
      <w:r w:rsidR="00335A85" w:rsidRPr="001005B7">
        <w:rPr>
          <w:rFonts w:cs="Calibri"/>
          <w:i/>
          <w:iCs w:val="0"/>
        </w:rPr>
        <w:t>Bewegung</w:t>
      </w:r>
      <w:proofErr w:type="spellEnd"/>
      <w:r w:rsidR="00DC798E" w:rsidRPr="001005B7">
        <w:rPr>
          <w:rFonts w:cs="Calibri"/>
          <w:i/>
          <w:iCs w:val="0"/>
        </w:rPr>
        <w:t>,</w:t>
      </w:r>
      <w:r w:rsidR="00335A85" w:rsidRPr="001005B7">
        <w:rPr>
          <w:rFonts w:cs="Calibri"/>
          <w:i/>
          <w:iCs w:val="0"/>
        </w:rPr>
        <w:t>"</w:t>
      </w:r>
      <w:r w:rsidR="00335A85" w:rsidRPr="001005B7">
        <w:rPr>
          <w:rFonts w:cs="Calibri"/>
        </w:rPr>
        <w:t xml:space="preserve"> 297</w:t>
      </w:r>
      <w:r w:rsidR="00F46900" w:rsidRPr="001005B7">
        <w:rPr>
          <w:rFonts w:cs="Calibri"/>
        </w:rPr>
        <w:t>–</w:t>
      </w:r>
      <w:r w:rsidR="00335A85" w:rsidRPr="001005B7">
        <w:rPr>
          <w:rFonts w:cs="Calibri"/>
        </w:rPr>
        <w:t xml:space="preserve">312. </w:t>
      </w:r>
      <w:r w:rsidR="006B4468" w:rsidRPr="001005B7">
        <w:rPr>
          <w:rFonts w:eastAsia="Times New Roman" w:cs="Calibri"/>
          <w:lang w:eastAsia="en-GB"/>
        </w:rPr>
        <w:t xml:space="preserve">Weinheim: </w:t>
      </w:r>
      <w:proofErr w:type="spellStart"/>
      <w:r w:rsidR="006B4468" w:rsidRPr="001005B7">
        <w:rPr>
          <w:rFonts w:eastAsia="Times New Roman" w:cs="Calibri"/>
          <w:lang w:eastAsia="en-GB"/>
        </w:rPr>
        <w:t>Beltz</w:t>
      </w:r>
      <w:proofErr w:type="spellEnd"/>
      <w:r w:rsidR="00335A85" w:rsidRPr="001005B7">
        <w:rPr>
          <w:rFonts w:eastAsia="Times New Roman" w:cs="Calibri"/>
          <w:lang w:eastAsia="en-GB"/>
        </w:rPr>
        <w:t>, 1995.</w:t>
      </w:r>
    </w:p>
    <w:p w14:paraId="008F1DD9" w14:textId="4FA74FFF" w:rsidR="00E53A6F" w:rsidRPr="001005B7" w:rsidRDefault="00E53A6F" w:rsidP="00283691">
      <w:pPr>
        <w:pStyle w:val="Heading4"/>
        <w:rPr>
          <w:rFonts w:eastAsia="Times New Roman" w:cs="Calibri"/>
          <w:lang w:eastAsia="en-GB"/>
        </w:rPr>
      </w:pPr>
      <w:proofErr w:type="spellStart"/>
      <w:r w:rsidRPr="001005B7">
        <w:rPr>
          <w:lang w:eastAsia="en-GB"/>
        </w:rPr>
        <w:t>Strine</w:t>
      </w:r>
      <w:proofErr w:type="spellEnd"/>
      <w:r w:rsidRPr="001005B7">
        <w:rPr>
          <w:lang w:eastAsia="en-GB"/>
        </w:rPr>
        <w:t xml:space="preserve">, Casey A. </w:t>
      </w:r>
      <w:r w:rsidR="00283691" w:rsidRPr="001005B7">
        <w:rPr>
          <w:lang w:eastAsia="en-GB"/>
        </w:rPr>
        <w:t>“</w:t>
      </w:r>
      <w:r w:rsidR="00283691" w:rsidRPr="001005B7">
        <w:t xml:space="preserve">Imitation, Subversion, and Transformation of the Mesopotamian </w:t>
      </w:r>
      <w:proofErr w:type="spellStart"/>
      <w:r w:rsidR="00283691" w:rsidRPr="001005B7">
        <w:t>M</w:t>
      </w:r>
      <w:r w:rsidR="00F428EF" w:rsidRPr="001005B7">
        <w:rPr>
          <w:rFonts w:cs="Calibri"/>
        </w:rPr>
        <w:t>ī</w:t>
      </w:r>
      <w:r w:rsidR="00F453AD" w:rsidRPr="001005B7">
        <w:t>s</w:t>
      </w:r>
      <w:proofErr w:type="spellEnd"/>
      <w:r w:rsidR="00CF3E23" w:rsidRPr="001005B7">
        <w:t xml:space="preserve"> </w:t>
      </w:r>
      <w:proofErr w:type="spellStart"/>
      <w:r w:rsidR="00283691" w:rsidRPr="001005B7">
        <w:t>Pî</w:t>
      </w:r>
      <w:proofErr w:type="spellEnd"/>
      <w:r w:rsidR="00283691" w:rsidRPr="001005B7">
        <w:t xml:space="preserve"> Ritual in the Book of Ezekiel’s Depiction of Holy Space</w:t>
      </w:r>
      <w:r w:rsidR="00CF3E23" w:rsidRPr="001005B7">
        <w:t>.”</w:t>
      </w:r>
      <w:r w:rsidR="003D2A84" w:rsidRPr="001005B7">
        <w:t xml:space="preserve"> </w:t>
      </w:r>
      <w:r w:rsidR="00E63541" w:rsidRPr="001005B7">
        <w:t xml:space="preserve">In </w:t>
      </w:r>
      <w:r w:rsidR="00722646" w:rsidRPr="001005B7">
        <w:t xml:space="preserve">Jochen </w:t>
      </w:r>
      <w:proofErr w:type="spellStart"/>
      <w:r w:rsidR="00722646" w:rsidRPr="001005B7">
        <w:t>Flebbe</w:t>
      </w:r>
      <w:proofErr w:type="spellEnd"/>
      <w:r w:rsidR="00722646" w:rsidRPr="001005B7">
        <w:t xml:space="preserve">, ed., </w:t>
      </w:r>
      <w:r w:rsidR="003D2A84" w:rsidRPr="001005B7">
        <w:rPr>
          <w:i/>
          <w:iCs w:val="0"/>
        </w:rPr>
        <w:t>Holy Places in Biblical and Extrabiblical Traditions: Proceedings of the Bonn-Leiden-Oxford Colloquium on Biblical Studies</w:t>
      </w:r>
      <w:r w:rsidR="003D2A84" w:rsidRPr="001005B7">
        <w:t xml:space="preserve">, </w:t>
      </w:r>
      <w:r w:rsidR="000A18FD" w:rsidRPr="001005B7">
        <w:t>65</w:t>
      </w:r>
      <w:r w:rsidR="00F46900" w:rsidRPr="001005B7">
        <w:t>–</w:t>
      </w:r>
      <w:r w:rsidR="000A18FD" w:rsidRPr="001005B7">
        <w:t xml:space="preserve">78. </w:t>
      </w:r>
      <w:r w:rsidR="005C6C01" w:rsidRPr="001005B7">
        <w:t xml:space="preserve">Bonner </w:t>
      </w:r>
      <w:proofErr w:type="spellStart"/>
      <w:r w:rsidR="005C6C01" w:rsidRPr="001005B7">
        <w:t>Biblische</w:t>
      </w:r>
      <w:proofErr w:type="spellEnd"/>
      <w:r w:rsidR="005C6C01" w:rsidRPr="001005B7">
        <w:t xml:space="preserve"> </w:t>
      </w:r>
      <w:proofErr w:type="spellStart"/>
      <w:r w:rsidR="005C6C01" w:rsidRPr="001005B7">
        <w:t>Beitr</w:t>
      </w:r>
      <w:r w:rsidR="00950F08" w:rsidRPr="001005B7">
        <w:rPr>
          <w:rFonts w:cs="Calibri"/>
        </w:rPr>
        <w:t>ä</w:t>
      </w:r>
      <w:r w:rsidR="005C6C01" w:rsidRPr="001005B7">
        <w:t>ge</w:t>
      </w:r>
      <w:proofErr w:type="spellEnd"/>
      <w:r w:rsidR="005C6C01" w:rsidRPr="001005B7">
        <w:t xml:space="preserve"> 179. </w:t>
      </w:r>
      <w:r w:rsidR="00040492" w:rsidRPr="001005B7">
        <w:rPr>
          <w:rFonts w:eastAsia="Times New Roman"/>
          <w:lang w:eastAsia="en-GB"/>
        </w:rPr>
        <w:t>Göttingen:</w:t>
      </w:r>
      <w:r w:rsidR="002D78C0" w:rsidRPr="001005B7">
        <w:rPr>
          <w:rFonts w:eastAsia="Times New Roman"/>
          <w:lang w:eastAsia="en-GB"/>
        </w:rPr>
        <w:t xml:space="preserve"> </w:t>
      </w:r>
      <w:proofErr w:type="spellStart"/>
      <w:r w:rsidR="003D2A84" w:rsidRPr="001005B7">
        <w:t>Vandenhoeck</w:t>
      </w:r>
      <w:proofErr w:type="spellEnd"/>
      <w:r w:rsidR="00175A14">
        <w:t xml:space="preserve"> </w:t>
      </w:r>
      <w:r w:rsidR="00175A14">
        <w:rPr>
          <w:rFonts w:cs="Calibri"/>
        </w:rPr>
        <w:t>&amp; Ruprecht</w:t>
      </w:r>
      <w:r w:rsidR="003D2A84" w:rsidRPr="001005B7">
        <w:t>,</w:t>
      </w:r>
      <w:r w:rsidR="00E63541" w:rsidRPr="001005B7">
        <w:t xml:space="preserve"> 2016.</w:t>
      </w:r>
    </w:p>
    <w:p w14:paraId="52392B8D" w14:textId="7D647597" w:rsidR="00703E7A" w:rsidRPr="001005B7" w:rsidRDefault="00EC25D1" w:rsidP="00703E7A">
      <w:pPr>
        <w:pStyle w:val="Heading4"/>
      </w:pPr>
      <w:proofErr w:type="spellStart"/>
      <w:r w:rsidRPr="001005B7">
        <w:t>Toonan</w:t>
      </w:r>
      <w:proofErr w:type="spellEnd"/>
      <w:r w:rsidRPr="001005B7">
        <w:t xml:space="preserve">, </w:t>
      </w:r>
      <w:r w:rsidR="009C28E9" w:rsidRPr="001005B7">
        <w:t xml:space="preserve">William A. </w:t>
      </w:r>
      <w:r w:rsidR="00FB1C1F" w:rsidRPr="001005B7">
        <w:t>“</w:t>
      </w:r>
      <w:r w:rsidR="009C28E9" w:rsidRPr="001005B7">
        <w:t>Ezekiel’s Radical Challenge to Inviolability</w:t>
      </w:r>
      <w:r w:rsidR="00FB1C1F" w:rsidRPr="001005B7">
        <w:t xml:space="preserve">.” </w:t>
      </w:r>
      <w:r w:rsidR="0086300C" w:rsidRPr="001005B7">
        <w:rPr>
          <w:i/>
        </w:rPr>
        <w:t>ZAW</w:t>
      </w:r>
      <w:r w:rsidR="0086300C" w:rsidRPr="001005B7">
        <w:t xml:space="preserve"> 121 (2009): 498</w:t>
      </w:r>
      <w:r w:rsidR="00F46900" w:rsidRPr="001005B7">
        <w:t>–</w:t>
      </w:r>
      <w:r w:rsidR="0086300C" w:rsidRPr="001005B7">
        <w:t xml:space="preserve">514. </w:t>
      </w:r>
    </w:p>
    <w:p w14:paraId="2454D706" w14:textId="27AC27DB" w:rsidR="00703E7A" w:rsidRPr="001005B7" w:rsidRDefault="00514A48" w:rsidP="00703E7A">
      <w:pPr>
        <w:pStyle w:val="Heading4"/>
      </w:pPr>
      <w:r w:rsidRPr="001005B7">
        <w:t>Warren, Nathanael James. “</w:t>
      </w:r>
      <w:r w:rsidR="003E4155" w:rsidRPr="001005B7">
        <w:t xml:space="preserve">A Cannibal Feast in Ezekiel.” </w:t>
      </w:r>
      <w:r w:rsidR="003E4155" w:rsidRPr="001005B7">
        <w:rPr>
          <w:i/>
        </w:rPr>
        <w:t>JSOT</w:t>
      </w:r>
      <w:r w:rsidR="003E4155" w:rsidRPr="001005B7">
        <w:t xml:space="preserve"> </w:t>
      </w:r>
      <w:r w:rsidR="002C520A" w:rsidRPr="001005B7">
        <w:t>38 (2014): 501</w:t>
      </w:r>
      <w:r w:rsidR="00F46900" w:rsidRPr="001005B7">
        <w:t>–</w:t>
      </w:r>
      <w:r w:rsidR="002C520A" w:rsidRPr="001005B7">
        <w:t xml:space="preserve">12. </w:t>
      </w:r>
    </w:p>
    <w:sectPr w:rsidR="00703E7A" w:rsidRPr="001005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7BC5" w14:textId="77777777" w:rsidR="000B5EB5" w:rsidRDefault="000B5EB5" w:rsidP="00232F46">
      <w:pPr>
        <w:spacing w:line="240" w:lineRule="auto"/>
      </w:pPr>
      <w:r>
        <w:separator/>
      </w:r>
    </w:p>
  </w:endnote>
  <w:endnote w:type="continuationSeparator" w:id="0">
    <w:p w14:paraId="5CFEE735" w14:textId="77777777" w:rsidR="000B5EB5" w:rsidRDefault="000B5EB5" w:rsidP="00232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RDYV V+ Times">
    <w:altName w:val="Cambria"/>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MRoman12-Bold-Identity-H">
    <w:altName w:val="Calibri"/>
    <w:panose1 w:val="00000000000000000000"/>
    <w:charset w:val="00"/>
    <w:family w:val="auto"/>
    <w:notTrueType/>
    <w:pitch w:val="default"/>
    <w:sig w:usb0="00000003" w:usb1="00000000" w:usb2="00000000" w:usb3="00000000" w:csb0="00000001" w:csb1="00000000"/>
  </w:font>
  <w:font w:name="Hebraica">
    <w:altName w:val="Malgun Gothic Semilight"/>
    <w:panose1 w:val="00000000000000000000"/>
    <w:charset w:val="88"/>
    <w:family w:val="swiss"/>
    <w:notTrueType/>
    <w:pitch w:val="default"/>
    <w:sig w:usb0="00000000" w:usb1="08080000" w:usb2="00000010" w:usb3="00000000" w:csb0="00100000" w:csb1="00000000"/>
  </w:font>
  <w:font w:name="MinionPro-Regular">
    <w:altName w:val="Calibri"/>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JensonPro-Lt">
    <w:altName w:val="Yu Gothic"/>
    <w:panose1 w:val="00000000000000000000"/>
    <w:charset w:val="00"/>
    <w:family w:val="roman"/>
    <w:notTrueType/>
    <w:pitch w:val="default"/>
    <w:sig w:usb0="00000003" w:usb1="08070000" w:usb2="00000010" w:usb3="00000000" w:csb0="0002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MinionPro-It">
    <w:altName w:val="Calibri"/>
    <w:panose1 w:val="00000000000000000000"/>
    <w:charset w:val="4D"/>
    <w:family w:val="auto"/>
    <w:notTrueType/>
    <w:pitch w:val="default"/>
    <w:sig w:usb0="00000003" w:usb1="00000000" w:usb2="00000000" w:usb3="00000000" w:csb0="00000001" w:csb1="00000000"/>
  </w:font>
  <w:font w:name="GentiumAlt">
    <w:altName w:val="Calibri"/>
    <w:panose1 w:val="00000000000000000000"/>
    <w:charset w:val="00"/>
    <w:family w:val="swiss"/>
    <w:notTrueType/>
    <w:pitch w:val="default"/>
    <w:sig w:usb0="00000003" w:usb1="00000000" w:usb2="00000000" w:usb3="00000000" w:csb0="00000001" w:csb1="00000000"/>
  </w:font>
  <w:font w:name="GaramondMT">
    <w:altName w:val="Yu Gothic"/>
    <w:panose1 w:val="00000000000000000000"/>
    <w:charset w:val="80"/>
    <w:family w:val="auto"/>
    <w:notTrueType/>
    <w:pitch w:val="default"/>
    <w:sig w:usb0="00000001" w:usb1="08070000" w:usb2="00000010" w:usb3="00000000" w:csb0="00020000" w:csb1="00000000"/>
  </w:font>
  <w:font w:name="GaramondExpert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96E5" w14:textId="77777777" w:rsidR="000B5EB5" w:rsidRDefault="000B5EB5" w:rsidP="00232F46">
      <w:pPr>
        <w:spacing w:line="240" w:lineRule="auto"/>
      </w:pPr>
      <w:r>
        <w:separator/>
      </w:r>
    </w:p>
  </w:footnote>
  <w:footnote w:type="continuationSeparator" w:id="0">
    <w:p w14:paraId="56D0B844" w14:textId="77777777" w:rsidR="000B5EB5" w:rsidRDefault="000B5EB5" w:rsidP="00232F46">
      <w:pPr>
        <w:spacing w:line="240" w:lineRule="auto"/>
      </w:pPr>
      <w:r>
        <w:continuationSeparator/>
      </w:r>
    </w:p>
  </w:footnote>
  <w:footnote w:id="1">
    <w:p w14:paraId="4DE8C452" w14:textId="2F12B94E" w:rsidR="007A55C6" w:rsidRPr="007916D2" w:rsidRDefault="007A55C6">
      <w:pPr>
        <w:pStyle w:val="FootnoteText"/>
      </w:pPr>
      <w:r>
        <w:rPr>
          <w:rStyle w:val="FootnoteReference"/>
        </w:rPr>
        <w:footnoteRef/>
      </w:r>
      <w:r>
        <w:t xml:space="preserve"> Javier Mar</w:t>
      </w:r>
      <w:r w:rsidR="007916D2">
        <w:rPr>
          <w:rFonts w:cstheme="minorHAnsi"/>
        </w:rPr>
        <w:t>í</w:t>
      </w:r>
      <w:r w:rsidR="007916D2">
        <w:t xml:space="preserve">as, </w:t>
      </w:r>
      <w:r w:rsidR="007916D2">
        <w:rPr>
          <w:i/>
          <w:iCs/>
        </w:rPr>
        <w:t>Dark Back of Time</w:t>
      </w:r>
      <w:r w:rsidR="00DB4E8A">
        <w:t>, trans</w:t>
      </w:r>
      <w:r w:rsidR="00553DB1">
        <w:t>.</w:t>
      </w:r>
      <w:r w:rsidR="00DB4E8A">
        <w:t xml:space="preserve"> Esther Allen</w:t>
      </w:r>
      <w:r w:rsidR="007916D2">
        <w:t xml:space="preserve"> (rep</w:t>
      </w:r>
      <w:r w:rsidR="00DB4E8A">
        <w:t>r</w:t>
      </w:r>
      <w:r w:rsidR="007916D2">
        <w:t xml:space="preserve">inted </w:t>
      </w:r>
      <w:r w:rsidR="007A101B">
        <w:t>London: Penguin</w:t>
      </w:r>
      <w:r w:rsidR="00E91DA0">
        <w:t>, 2013), 47, 48.</w:t>
      </w:r>
    </w:p>
  </w:footnote>
  <w:footnote w:id="2">
    <w:p w14:paraId="0EC76C39" w14:textId="25A8B9E9" w:rsidR="005C4297" w:rsidRPr="005124D9" w:rsidRDefault="005C4297">
      <w:pPr>
        <w:pStyle w:val="FootnoteText"/>
      </w:pPr>
      <w:r>
        <w:rPr>
          <w:rStyle w:val="FootnoteReference"/>
        </w:rPr>
        <w:footnoteRef/>
      </w:r>
      <w:r>
        <w:t xml:space="preserve"> Cf. Betts, </w:t>
      </w:r>
      <w:r w:rsidR="005124D9">
        <w:rPr>
          <w:i/>
          <w:iCs/>
        </w:rPr>
        <w:t>Ezekiel</w:t>
      </w:r>
      <w:r w:rsidR="00A2147D">
        <w:t>; a</w:t>
      </w:r>
      <w:r w:rsidR="007D5B94">
        <w:t>lso</w:t>
      </w:r>
      <w:r w:rsidR="00A2147D">
        <w:t xml:space="preserve">, </w:t>
      </w:r>
      <w:r w:rsidR="00357D81">
        <w:t>Sweeney, “Zadokite”</w:t>
      </w:r>
      <w:r w:rsidR="00EA5D84">
        <w:t xml:space="preserve">; Mein, </w:t>
      </w:r>
      <w:r w:rsidR="00932B5F">
        <w:t>“Priest.”</w:t>
      </w:r>
    </w:p>
  </w:footnote>
  <w:footnote w:id="3">
    <w:p w14:paraId="718A7A1C" w14:textId="73EEBCF8" w:rsidR="00B95624" w:rsidRPr="001A7DD0" w:rsidRDefault="00B95624" w:rsidP="00B95624">
      <w:pPr>
        <w:pStyle w:val="FootnoteText"/>
      </w:pPr>
      <w:r>
        <w:rPr>
          <w:rStyle w:val="FootnoteReference"/>
        </w:rPr>
        <w:footnoteRef/>
      </w:r>
      <w:r>
        <w:t xml:space="preserve"> See Joyce, “Rebirth</w:t>
      </w:r>
      <w:r w:rsidR="0061273B">
        <w:t>”</w:t>
      </w:r>
      <w:r w:rsidR="001A7DD0">
        <w:t xml:space="preserve">; </w:t>
      </w:r>
      <w:r w:rsidR="001A7DD0">
        <w:t xml:space="preserve">Vieweger, </w:t>
      </w:r>
      <w:r w:rsidR="001A7DD0">
        <w:rPr>
          <w:i/>
          <w:iCs/>
        </w:rPr>
        <w:t>Beziehungen</w:t>
      </w:r>
      <w:r w:rsidR="001A7DD0">
        <w:t>.</w:t>
      </w:r>
    </w:p>
  </w:footnote>
  <w:footnote w:id="4">
    <w:p w14:paraId="5B359959" w14:textId="3A4F5D17" w:rsidR="003976A5" w:rsidRPr="00131560" w:rsidRDefault="00B95624" w:rsidP="0070250E">
      <w:pPr>
        <w:pStyle w:val="FootnoteText"/>
      </w:pPr>
      <w:r>
        <w:rPr>
          <w:rStyle w:val="FootnoteReference"/>
        </w:rPr>
        <w:footnoteRef/>
      </w:r>
      <w:r>
        <w:t xml:space="preserve"> For different views, see, e.g., Lyons, “Transformation”; Lyons, </w:t>
      </w:r>
      <w:r w:rsidRPr="002C51CE">
        <w:rPr>
          <w:i/>
          <w:iCs/>
        </w:rPr>
        <w:t>Law</w:t>
      </w:r>
      <w:r>
        <w:t xml:space="preserve"> </w:t>
      </w:r>
      <w:r w:rsidRPr="002C51CE">
        <w:rPr>
          <w:i/>
          <w:iCs/>
        </w:rPr>
        <w:t>to</w:t>
      </w:r>
      <w:r>
        <w:t xml:space="preserve"> </w:t>
      </w:r>
      <w:r w:rsidRPr="002C51CE">
        <w:rPr>
          <w:i/>
          <w:iCs/>
        </w:rPr>
        <w:t>Prophecy</w:t>
      </w:r>
      <w:r>
        <w:t xml:space="preserve">, 61–67, 76–145; Lyons, </w:t>
      </w:r>
      <w:r w:rsidR="000B09BC">
        <w:t>“</w:t>
      </w:r>
      <w:r>
        <w:t xml:space="preserve">Persuasion”; </w:t>
      </w:r>
      <w:r>
        <w:t xml:space="preserve">Gile, </w:t>
      </w:r>
      <w:r>
        <w:rPr>
          <w:i/>
          <w:iCs/>
        </w:rPr>
        <w:t>Deuteronomy</w:t>
      </w:r>
      <w:r>
        <w:t xml:space="preserve">; </w:t>
      </w:r>
      <w:r w:rsidR="00C82484" w:rsidRPr="00BE7BDE">
        <w:rPr>
          <w:rFonts w:ascii="Calibri" w:eastAsia="Times New Roman" w:hAnsi="Calibri" w:cs="Calibri"/>
          <w:color w:val="000000"/>
          <w:lang w:val="de-DE" w:eastAsia="en-GB"/>
        </w:rPr>
        <w:t>Hossfeld, "Bewegung</w:t>
      </w:r>
      <w:r w:rsidR="00C82484">
        <w:rPr>
          <w:rFonts w:ascii="Calibri" w:eastAsia="Times New Roman" w:hAnsi="Calibri" w:cs="Calibri"/>
          <w:color w:val="000000"/>
          <w:lang w:val="de-DE" w:eastAsia="en-GB"/>
        </w:rPr>
        <w:t>“</w:t>
      </w:r>
      <w:r w:rsidR="0060517C">
        <w:rPr>
          <w:rFonts w:ascii="Calibri" w:eastAsia="Times New Roman" w:hAnsi="Calibri" w:cs="Calibri"/>
          <w:color w:val="000000"/>
          <w:lang w:val="de-DE" w:eastAsia="en-GB"/>
        </w:rPr>
        <w:t>;</w:t>
      </w:r>
      <w:r w:rsidR="00C82484" w:rsidRPr="00BE7BDE">
        <w:rPr>
          <w:rFonts w:ascii="Calibri" w:eastAsia="Times New Roman" w:hAnsi="Calibri" w:cs="Calibri"/>
          <w:color w:val="000000"/>
          <w:lang w:val="de-DE" w:eastAsia="en-GB"/>
        </w:rPr>
        <w:t xml:space="preserve"> </w:t>
      </w:r>
      <w:r>
        <w:t xml:space="preserve">Nihan, </w:t>
      </w:r>
      <w:r w:rsidRPr="00E65C33">
        <w:rPr>
          <w:i/>
          <w:iCs/>
        </w:rPr>
        <w:t>Priestly</w:t>
      </w:r>
      <w:r>
        <w:t xml:space="preserve"> </w:t>
      </w:r>
      <w:r w:rsidRPr="00E65C33">
        <w:rPr>
          <w:i/>
          <w:iCs/>
        </w:rPr>
        <w:t>Torah</w:t>
      </w:r>
      <w:r>
        <w:t xml:space="preserve">, esp. 543–45; Nihan, “Holiness Code”; Grünwaldt, </w:t>
      </w:r>
      <w:r w:rsidRPr="000B09BC">
        <w:rPr>
          <w:i/>
          <w:iCs/>
        </w:rPr>
        <w:t>Heiligkeitsgesetz</w:t>
      </w:r>
      <w:r>
        <w:t>, 349–51, 365–66; Zimmerli</w:t>
      </w:r>
      <w:r w:rsidRPr="000B09BC">
        <w:rPr>
          <w:i/>
          <w:iCs/>
        </w:rPr>
        <w:t>, Ezekiel 1,</w:t>
      </w:r>
      <w:r>
        <w:t xml:space="preserve"> 46–52; Cook and Patton,</w:t>
      </w:r>
      <w:r>
        <w:rPr>
          <w:i/>
          <w:iCs/>
        </w:rPr>
        <w:t xml:space="preserve"> Hierarchical World</w:t>
      </w:r>
      <w:r>
        <w:t>, 73</w:t>
      </w:r>
      <w:r w:rsidR="001943CB">
        <w:t>–</w:t>
      </w:r>
      <w:r>
        <w:t>89.</w:t>
      </w:r>
    </w:p>
  </w:footnote>
  <w:footnote w:id="5">
    <w:p w14:paraId="3DE41BAA" w14:textId="77777777" w:rsidR="002746FA" w:rsidRDefault="002746FA" w:rsidP="002746FA">
      <w:pPr>
        <w:pStyle w:val="FootnoteText"/>
      </w:pPr>
      <w:r>
        <w:rPr>
          <w:rStyle w:val="FootnoteReference"/>
        </w:rPr>
        <w:footnoteRef/>
      </w:r>
      <w:r>
        <w:t xml:space="preserve"> See Strong, “Reading.”</w:t>
      </w:r>
    </w:p>
  </w:footnote>
  <w:footnote w:id="6">
    <w:p w14:paraId="382BA3C7" w14:textId="1AD5A9AE" w:rsidR="000F36F9" w:rsidRPr="00D63697" w:rsidRDefault="000F36F9" w:rsidP="00A201EA">
      <w:pPr>
        <w:pStyle w:val="FootnoteText"/>
      </w:pPr>
      <w:r>
        <w:rPr>
          <w:rStyle w:val="FootnoteReference"/>
        </w:rPr>
        <w:footnoteRef/>
      </w:r>
      <w:r>
        <w:t xml:space="preserve"> </w:t>
      </w:r>
      <w:r w:rsidR="00D63775">
        <w:t>Haran, “Observations.”</w:t>
      </w:r>
    </w:p>
  </w:footnote>
  <w:footnote w:id="7">
    <w:p w14:paraId="38AA96DE" w14:textId="4FC6D81A" w:rsidR="00BD4ED5" w:rsidRDefault="00BD4ED5" w:rsidP="00BD4ED5">
      <w:pPr>
        <w:pStyle w:val="FootnoteText"/>
      </w:pPr>
      <w:r>
        <w:rPr>
          <w:rStyle w:val="FootnoteReference"/>
        </w:rPr>
        <w:footnoteRef/>
      </w:r>
      <w:r>
        <w:t xml:space="preserve"> Cf. </w:t>
      </w:r>
      <w:r>
        <w:t>H</w:t>
      </w:r>
      <w:r>
        <w:rPr>
          <w:rFonts w:cstheme="minorHAnsi"/>
        </w:rPr>
        <w:t>ä</w:t>
      </w:r>
      <w:r>
        <w:t xml:space="preserve">ner, </w:t>
      </w:r>
      <w:r w:rsidR="00672003">
        <w:t>“</w:t>
      </w:r>
      <w:r>
        <w:t>Zeichen.</w:t>
      </w:r>
      <w:r w:rsidR="00672003">
        <w:t>”</w:t>
      </w:r>
    </w:p>
  </w:footnote>
  <w:footnote w:id="8">
    <w:p w14:paraId="6B3F6FAC" w14:textId="77777777" w:rsidR="00553842" w:rsidRPr="00463624" w:rsidRDefault="00553842" w:rsidP="00553842">
      <w:pPr>
        <w:pStyle w:val="FootnoteText"/>
      </w:pPr>
      <w:r>
        <w:rPr>
          <w:rStyle w:val="FootnoteReference"/>
        </w:rPr>
        <w:footnoteRef/>
      </w:r>
      <w:r>
        <w:t xml:space="preserve"> Cf. Renz, </w:t>
      </w:r>
      <w:r>
        <w:rPr>
          <w:i/>
          <w:iCs/>
        </w:rPr>
        <w:t>Rhetorical Function</w:t>
      </w:r>
      <w:r>
        <w:t>.</w:t>
      </w:r>
    </w:p>
  </w:footnote>
  <w:footnote w:id="9">
    <w:p w14:paraId="21D7BADC" w14:textId="4567CC0B" w:rsidR="00E779A4" w:rsidRPr="00152705" w:rsidRDefault="00E779A4" w:rsidP="00E779A4">
      <w:pPr>
        <w:pStyle w:val="FootnoteText"/>
      </w:pPr>
      <w:r>
        <w:rPr>
          <w:rStyle w:val="FootnoteReference"/>
        </w:rPr>
        <w:footnoteRef/>
      </w:r>
      <w:r>
        <w:t xml:space="preserve"> Renz, </w:t>
      </w:r>
      <w:r>
        <w:rPr>
          <w:i/>
          <w:iCs/>
        </w:rPr>
        <w:t>Rhetorical Function</w:t>
      </w:r>
      <w:r>
        <w:t>, 133</w:t>
      </w:r>
      <w:r w:rsidR="001943CB">
        <w:t>–</w:t>
      </w:r>
      <w:r>
        <w:t>35.</w:t>
      </w:r>
    </w:p>
  </w:footnote>
  <w:footnote w:id="10">
    <w:p w14:paraId="3C847AED" w14:textId="78F87DB2" w:rsidR="002C1919" w:rsidRPr="00CC2DAB" w:rsidRDefault="002C1919" w:rsidP="002C1919">
      <w:pPr>
        <w:pStyle w:val="FootnoteText"/>
      </w:pPr>
      <w:r>
        <w:rPr>
          <w:rStyle w:val="FootnoteReference"/>
        </w:rPr>
        <w:footnoteRef/>
      </w:r>
      <w:r>
        <w:t xml:space="preserve"> </w:t>
      </w:r>
      <w:r w:rsidR="00BE2D85">
        <w:t xml:space="preserve">Dale </w:t>
      </w:r>
      <w:r>
        <w:rPr>
          <w:rFonts w:ascii="Calibri" w:eastAsia="Times New Roman" w:hAnsi="Calibri" w:cs="Calibri"/>
          <w:color w:val="000000"/>
          <w:lang w:eastAsia="en-GB"/>
        </w:rPr>
        <w:t xml:space="preserve">Launderville, </w:t>
      </w:r>
      <w:r w:rsidRPr="00C90A5A">
        <w:rPr>
          <w:rFonts w:ascii="Calibri" w:eastAsia="Times New Roman" w:hAnsi="Calibri" w:cs="Calibri"/>
          <w:i/>
          <w:iCs/>
          <w:color w:val="000000"/>
          <w:lang w:eastAsia="en-GB"/>
        </w:rPr>
        <w:t>Spirit and Reason</w:t>
      </w:r>
      <w:r>
        <w:t>, 1.</w:t>
      </w:r>
      <w:r w:rsidR="00C078E1">
        <w:t xml:space="preserve"> </w:t>
      </w:r>
      <w:r w:rsidR="00BE2D85">
        <w:t>I</w:t>
      </w:r>
      <w:r w:rsidR="00C078E1">
        <w:t xml:space="preserve">n </w:t>
      </w:r>
      <w:r w:rsidR="00EC4D9D">
        <w:t xml:space="preserve">“Rhetorical </w:t>
      </w:r>
      <w:r w:rsidR="0084134A">
        <w:t>S</w:t>
      </w:r>
      <w:r w:rsidR="00EC4D9D">
        <w:t>trategies in the Book o Ezekiel</w:t>
      </w:r>
      <w:r w:rsidR="0084134A">
        <w:t xml:space="preserve">” in </w:t>
      </w:r>
      <w:r w:rsidR="00C078E1">
        <w:rPr>
          <w:i/>
          <w:iCs/>
        </w:rPr>
        <w:t>OHE</w:t>
      </w:r>
      <w:r w:rsidR="00C078E1">
        <w:t xml:space="preserve"> </w:t>
      </w:r>
      <w:r w:rsidR="00BE2D85">
        <w:t xml:space="preserve">he </w:t>
      </w:r>
      <w:r w:rsidR="00C078E1">
        <w:t>analysis Ezekiel in the terms of Aristotelian rhetoric</w:t>
      </w:r>
      <w:r w:rsidR="00A2307F">
        <w:t>.</w:t>
      </w:r>
    </w:p>
  </w:footnote>
  <w:footnote w:id="11">
    <w:p w14:paraId="29FE8357" w14:textId="3241A3B8" w:rsidR="006F7CB6" w:rsidRDefault="006F7CB6" w:rsidP="006F7CB6">
      <w:pPr>
        <w:pStyle w:val="FootnoteText"/>
      </w:pPr>
      <w:r>
        <w:rPr>
          <w:rStyle w:val="FootnoteReference"/>
        </w:rPr>
        <w:footnoteRef/>
      </w:r>
      <w:r>
        <w:t xml:space="preserve"> Ezekiel spells the name thus with </w:t>
      </w:r>
      <w:r>
        <w:rPr>
          <w:rFonts w:cstheme="minorHAnsi"/>
          <w:rtl/>
          <w:lang w:bidi="he-IL"/>
        </w:rPr>
        <w:t>ר</w:t>
      </w:r>
      <w:r>
        <w:t xml:space="preserve"> rather than </w:t>
      </w:r>
      <w:r>
        <w:rPr>
          <w:rFonts w:cstheme="minorHAnsi"/>
          <w:rtl/>
          <w:lang w:bidi="he-IL"/>
        </w:rPr>
        <w:t>נ</w:t>
      </w:r>
      <w:r>
        <w:t>, the usual First Testament convention.</w:t>
      </w:r>
    </w:p>
  </w:footnote>
  <w:footnote w:id="12">
    <w:p w14:paraId="0A96902D" w14:textId="1D3EE915" w:rsidR="00C462EC" w:rsidRPr="0084161F" w:rsidRDefault="00C462EC" w:rsidP="00C462EC">
      <w:pPr>
        <w:pStyle w:val="FootnoteText"/>
      </w:pPr>
      <w:r>
        <w:rPr>
          <w:rStyle w:val="FootnoteReference"/>
        </w:rPr>
        <w:footnoteRef/>
      </w:r>
      <w:r>
        <w:t xml:space="preserve"> I follow the dates in Allen’s commentary, which themselves follow the</w:t>
      </w:r>
      <w:r>
        <w:rPr>
          <w:i/>
          <w:iCs/>
        </w:rPr>
        <w:t xml:space="preserve"> </w:t>
      </w:r>
      <w:r>
        <w:t xml:space="preserve">standard system in Parker and </w:t>
      </w:r>
      <w:r>
        <w:t>Dubberstein,</w:t>
      </w:r>
      <w:r>
        <w:rPr>
          <w:i/>
          <w:iCs/>
        </w:rPr>
        <w:t xml:space="preserve"> Chronology</w:t>
      </w:r>
      <w:r w:rsidR="005D5AD8">
        <w:t>.</w:t>
      </w:r>
      <w:r w:rsidR="0084161F">
        <w:t xml:space="preserve"> </w:t>
      </w:r>
      <w:r w:rsidR="005D5AD8">
        <w:t>S</w:t>
      </w:r>
      <w:r w:rsidR="0084161F">
        <w:t xml:space="preserve">ee also Kutsch, </w:t>
      </w:r>
      <w:r w:rsidR="0084161F">
        <w:rPr>
          <w:i/>
          <w:iCs/>
        </w:rPr>
        <w:t>Daten</w:t>
      </w:r>
      <w:r w:rsidR="0084161F">
        <w:t>.</w:t>
      </w:r>
    </w:p>
  </w:footnote>
  <w:footnote w:id="13">
    <w:p w14:paraId="4D25BBFA" w14:textId="12D596DC" w:rsidR="00C462EC" w:rsidRDefault="00C462EC" w:rsidP="00C462EC">
      <w:pPr>
        <w:pStyle w:val="FootnoteText"/>
      </w:pPr>
      <w:r>
        <w:rPr>
          <w:rStyle w:val="FootnoteReference"/>
        </w:rPr>
        <w:footnoteRef/>
      </w:r>
      <w:r>
        <w:t xml:space="preserve"> </w:t>
      </w:r>
      <w:r w:rsidR="00440058">
        <w:t xml:space="preserve">While </w:t>
      </w:r>
      <w:r w:rsidRPr="00886E1A">
        <w:rPr>
          <w:rFonts w:cstheme="minorHAnsi"/>
          <w:color w:val="555555"/>
          <w:shd w:val="clear" w:color="auto" w:fill="FFFFFF"/>
        </w:rPr>
        <w:t>Mayfield (</w:t>
      </w:r>
      <w:r w:rsidRPr="00886E1A">
        <w:rPr>
          <w:rFonts w:cstheme="minorHAnsi"/>
          <w:i/>
          <w:iCs/>
          <w:color w:val="555555"/>
        </w:rPr>
        <w:t>Structure</w:t>
      </w:r>
      <w:r>
        <w:rPr>
          <w:rFonts w:cstheme="minorHAnsi"/>
          <w:color w:val="555555"/>
        </w:rPr>
        <w:t>)</w:t>
      </w:r>
      <w:r w:rsidRPr="00886E1A">
        <w:rPr>
          <w:rFonts w:cstheme="minorHAnsi"/>
          <w:i/>
          <w:iCs/>
          <w:color w:val="555555"/>
        </w:rPr>
        <w:t xml:space="preserve"> </w:t>
      </w:r>
      <w:r>
        <w:rPr>
          <w:rFonts w:cstheme="minorHAnsi"/>
          <w:color w:val="555555"/>
        </w:rPr>
        <w:t>takes the dates as key to the scroll’s structure</w:t>
      </w:r>
      <w:r w:rsidR="00440058">
        <w:rPr>
          <w:rFonts w:cstheme="minorHAnsi"/>
          <w:color w:val="555555"/>
        </w:rPr>
        <w:t>,</w:t>
      </w:r>
      <w:r>
        <w:rPr>
          <w:rFonts w:cstheme="minorHAnsi"/>
          <w:color w:val="555555"/>
        </w:rPr>
        <w:t xml:space="preserve"> he also surveys some of the many </w:t>
      </w:r>
      <w:r>
        <w:t xml:space="preserve">other views </w:t>
      </w:r>
      <w:r w:rsidR="00440058">
        <w:t>of it</w:t>
      </w:r>
      <w:r>
        <w:t>.</w:t>
      </w:r>
    </w:p>
  </w:footnote>
  <w:footnote w:id="14">
    <w:p w14:paraId="40E53C2A" w14:textId="77777777" w:rsidR="00EF13FD" w:rsidRPr="00E674ED" w:rsidRDefault="00EF13FD" w:rsidP="00EF13FD">
      <w:pPr>
        <w:pStyle w:val="FootnoteText"/>
      </w:pPr>
      <w:r>
        <w:rPr>
          <w:rStyle w:val="FootnoteReference"/>
        </w:rPr>
        <w:footnoteRef/>
      </w:r>
      <w:r>
        <w:t xml:space="preserve"> Davis, </w:t>
      </w:r>
      <w:r>
        <w:rPr>
          <w:i/>
          <w:iCs/>
        </w:rPr>
        <w:t>Swallowing</w:t>
      </w:r>
      <w:r>
        <w:t>, 133.</w:t>
      </w:r>
    </w:p>
  </w:footnote>
  <w:footnote w:id="15">
    <w:p w14:paraId="6C0FD41D" w14:textId="40292F39" w:rsidR="00071679" w:rsidRPr="00300531" w:rsidRDefault="00071679" w:rsidP="00071679">
      <w:pPr>
        <w:pStyle w:val="FootnoteText"/>
      </w:pPr>
      <w:r>
        <w:rPr>
          <w:rStyle w:val="FootnoteReference"/>
        </w:rPr>
        <w:footnoteRef/>
      </w:r>
      <w:r>
        <w:t xml:space="preserve"> See Timothy P. Mackie</w:t>
      </w:r>
      <w:r w:rsidR="00AC44BC">
        <w:t xml:space="preserve">, “Text-Critical Issues in Ezekiel,” </w:t>
      </w:r>
      <w:r>
        <w:t xml:space="preserve">in </w:t>
      </w:r>
      <w:r>
        <w:rPr>
          <w:i/>
          <w:iCs/>
        </w:rPr>
        <w:t>OHE</w:t>
      </w:r>
      <w:r w:rsidR="00AC44BC">
        <w:t>,</w:t>
      </w:r>
      <w:r>
        <w:t xml:space="preserve"> and</w:t>
      </w:r>
      <w:r w:rsidR="00AC44BC">
        <w:t xml:space="preserve"> </w:t>
      </w:r>
      <w:r w:rsidR="000B61C1">
        <w:t>Mackie,</w:t>
      </w:r>
      <w:r>
        <w:t xml:space="preserve"> </w:t>
      </w:r>
      <w:r>
        <w:rPr>
          <w:i/>
          <w:iCs/>
        </w:rPr>
        <w:t>Expanding Ezekiel</w:t>
      </w:r>
      <w:r>
        <w:t>.</w:t>
      </w:r>
    </w:p>
  </w:footnote>
  <w:footnote w:id="16">
    <w:p w14:paraId="36495CBD" w14:textId="77777777" w:rsidR="00071679" w:rsidRDefault="00071679" w:rsidP="00071679">
      <w:pPr>
        <w:pStyle w:val="FootnoteText"/>
      </w:pPr>
      <w:r>
        <w:rPr>
          <w:rStyle w:val="FootnoteReference"/>
        </w:rPr>
        <w:footnoteRef/>
      </w:r>
      <w:r>
        <w:t xml:space="preserve"> Turner, “Translator(s).”</w:t>
      </w:r>
    </w:p>
  </w:footnote>
  <w:footnote w:id="17">
    <w:p w14:paraId="6AE22C15" w14:textId="66487862" w:rsidR="00080F5B" w:rsidRPr="00DA2246" w:rsidRDefault="00080F5B" w:rsidP="00080F5B">
      <w:pPr>
        <w:pStyle w:val="FootnoteText"/>
      </w:pPr>
      <w:r>
        <w:rPr>
          <w:rStyle w:val="FootnoteReference"/>
        </w:rPr>
        <w:footnoteRef/>
      </w:r>
      <w:r>
        <w:t xml:space="preserve"> Cf. Levitt Kohn, </w:t>
      </w:r>
      <w:r>
        <w:rPr>
          <w:i/>
          <w:iCs/>
        </w:rPr>
        <w:t>New Heart</w:t>
      </w:r>
      <w:r>
        <w:t>:</w:t>
      </w:r>
      <w:r>
        <w:rPr>
          <w:i/>
          <w:iCs/>
        </w:rPr>
        <w:t xml:space="preserve"> </w:t>
      </w:r>
      <w:r w:rsidRPr="00991200">
        <w:t>Levitt</w:t>
      </w:r>
      <w:r>
        <w:rPr>
          <w:i/>
          <w:iCs/>
        </w:rPr>
        <w:t xml:space="preserve"> </w:t>
      </w:r>
      <w:r w:rsidRPr="00991200">
        <w:t>Kohn</w:t>
      </w:r>
      <w:r>
        <w:rPr>
          <w:i/>
          <w:iCs/>
        </w:rPr>
        <w:t xml:space="preserve">, </w:t>
      </w:r>
      <w:r>
        <w:t>“Prophet Like Moses”; Patton, “Pan-</w:t>
      </w:r>
      <w:r>
        <w:t>Deuteronomism.</w:t>
      </w:r>
      <w:r w:rsidR="0000549D">
        <w:t>”</w:t>
      </w:r>
    </w:p>
  </w:footnote>
  <w:footnote w:id="18">
    <w:p w14:paraId="3575A40F" w14:textId="77777777" w:rsidR="004F76C8" w:rsidRPr="0023395D" w:rsidRDefault="004F76C8" w:rsidP="004F76C8">
      <w:pPr>
        <w:pStyle w:val="FootnoteText"/>
        <w:rPr>
          <w:rFonts w:ascii="Calibri" w:eastAsia="Times New Roman" w:hAnsi="Calibri" w:cs="Calibri"/>
          <w:color w:val="000000"/>
          <w:lang w:eastAsia="en-GB"/>
        </w:rPr>
      </w:pPr>
      <w:r>
        <w:rPr>
          <w:rStyle w:val="FootnoteReference"/>
        </w:rPr>
        <w:footnoteRef/>
      </w:r>
      <w:r>
        <w:t xml:space="preserve"> </w:t>
      </w:r>
      <w:r w:rsidRPr="005469A6">
        <w:rPr>
          <w:rFonts w:ascii="Calibri" w:eastAsia="Times New Roman" w:hAnsi="Calibri" w:cs="Calibri"/>
          <w:color w:val="000000"/>
          <w:lang w:eastAsia="en-GB"/>
        </w:rPr>
        <w:t xml:space="preserve">Kutsko, </w:t>
      </w:r>
      <w:r w:rsidRPr="00171D54">
        <w:rPr>
          <w:rFonts w:ascii="Calibri" w:eastAsia="Times New Roman" w:hAnsi="Calibri" w:cs="Calibri"/>
          <w:i/>
          <w:iCs/>
          <w:color w:val="000000"/>
          <w:lang w:eastAsia="en-GB"/>
        </w:rPr>
        <w:t xml:space="preserve">Between </w:t>
      </w:r>
      <w:r w:rsidRPr="002C1A70">
        <w:rPr>
          <w:rFonts w:ascii="Calibri" w:eastAsia="Times New Roman" w:hAnsi="Calibri" w:cs="Calibri"/>
          <w:i/>
          <w:iCs/>
          <w:color w:val="000000"/>
          <w:lang w:eastAsia="en-GB"/>
        </w:rPr>
        <w:t>Heaven</w:t>
      </w:r>
      <w:r>
        <w:rPr>
          <w:rFonts w:ascii="Calibri" w:eastAsia="Times New Roman" w:hAnsi="Calibri" w:cs="Calibri"/>
          <w:color w:val="000000"/>
          <w:lang w:eastAsia="en-GB"/>
        </w:rPr>
        <w:t xml:space="preserve">, </w:t>
      </w:r>
      <w:r w:rsidRPr="00611968">
        <w:t>75</w:t>
      </w:r>
      <w:r>
        <w:t>.</w:t>
      </w:r>
    </w:p>
  </w:footnote>
  <w:footnote w:id="19">
    <w:p w14:paraId="0164F05B" w14:textId="5EF2708B" w:rsidR="00EB09E1" w:rsidRDefault="00EB09E1">
      <w:pPr>
        <w:pStyle w:val="FootnoteText"/>
      </w:pPr>
      <w:r>
        <w:rPr>
          <w:rStyle w:val="FootnoteReference"/>
        </w:rPr>
        <w:footnoteRef/>
      </w:r>
      <w:r>
        <w:t xml:space="preserve"> </w:t>
      </w:r>
      <w:r>
        <w:t xml:space="preserve">Middelmas, </w:t>
      </w:r>
      <w:r w:rsidR="00161299">
        <w:t xml:space="preserve">“Transformation,” </w:t>
      </w:r>
      <w:r>
        <w:t>136</w:t>
      </w:r>
      <w:r w:rsidR="00161299">
        <w:t>.</w:t>
      </w:r>
    </w:p>
  </w:footnote>
  <w:footnote w:id="20">
    <w:p w14:paraId="54702667" w14:textId="053F3A8C" w:rsidR="00A103B7" w:rsidRDefault="00A103B7">
      <w:pPr>
        <w:pStyle w:val="FootnoteText"/>
      </w:pPr>
      <w:r>
        <w:rPr>
          <w:rStyle w:val="FootnoteReference"/>
        </w:rPr>
        <w:footnoteRef/>
      </w:r>
      <w:r>
        <w:t xml:space="preserve"> See Newsom, </w:t>
      </w:r>
      <w:r w:rsidR="00337681">
        <w:t>“Moral ‘Recipes.</w:t>
      </w:r>
      <w:r w:rsidR="001663F0">
        <w:t>’”</w:t>
      </w:r>
    </w:p>
  </w:footnote>
  <w:footnote w:id="21">
    <w:p w14:paraId="0D3DB3A0" w14:textId="6C8579F8" w:rsidR="00273F7D" w:rsidRDefault="00273F7D" w:rsidP="00273F7D">
      <w:pPr>
        <w:pStyle w:val="FootnoteText"/>
      </w:pPr>
      <w:r>
        <w:rPr>
          <w:rStyle w:val="FootnoteReference"/>
        </w:rPr>
        <w:footnoteRef/>
      </w:r>
      <w:r>
        <w:t xml:space="preserve"> Diesel, </w:t>
      </w:r>
      <w:r>
        <w:rPr>
          <w:rFonts w:ascii="Calibri" w:eastAsia="Times New Roman" w:hAnsi="Calibri" w:cs="Calibri"/>
          <w:i/>
          <w:iCs/>
          <w:color w:val="000000"/>
          <w:lang w:eastAsia="en-GB"/>
        </w:rPr>
        <w:t xml:space="preserve">Ich bin </w:t>
      </w:r>
      <w:r>
        <w:rPr>
          <w:rFonts w:ascii="Calibri" w:eastAsia="Times New Roman" w:hAnsi="Calibri" w:cs="Calibri"/>
          <w:i/>
          <w:iCs/>
          <w:color w:val="000000"/>
          <w:lang w:eastAsia="en-GB"/>
        </w:rPr>
        <w:t>Jahwe</w:t>
      </w:r>
      <w:r>
        <w:rPr>
          <w:rFonts w:ascii="Calibri" w:eastAsia="Times New Roman" w:hAnsi="Calibri" w:cs="Calibri"/>
          <w:color w:val="000000"/>
          <w:lang w:eastAsia="en-GB"/>
        </w:rPr>
        <w:t>, 369</w:t>
      </w:r>
      <w:r w:rsidR="001943CB">
        <w:rPr>
          <w:rFonts w:ascii="Calibri" w:eastAsia="Times New Roman" w:hAnsi="Calibri" w:cs="Calibri"/>
          <w:color w:val="000000"/>
          <w:lang w:eastAsia="en-GB"/>
        </w:rPr>
        <w:t>–</w:t>
      </w:r>
      <w:r>
        <w:rPr>
          <w:rFonts w:ascii="Calibri" w:eastAsia="Times New Roman" w:hAnsi="Calibri" w:cs="Calibri"/>
          <w:color w:val="000000"/>
          <w:lang w:eastAsia="en-GB"/>
        </w:rPr>
        <w:t>89.</w:t>
      </w:r>
      <w:r>
        <w:t xml:space="preserve"> </w:t>
      </w:r>
    </w:p>
  </w:footnote>
  <w:footnote w:id="22">
    <w:p w14:paraId="116D07B3" w14:textId="77777777" w:rsidR="00795665" w:rsidRPr="00115765" w:rsidRDefault="00795665" w:rsidP="00795665">
      <w:pPr>
        <w:pStyle w:val="FootnoteText"/>
        <w:rPr>
          <w:i/>
          <w:iCs/>
        </w:rPr>
      </w:pPr>
      <w:r>
        <w:rPr>
          <w:rStyle w:val="FootnoteReference"/>
        </w:rPr>
        <w:footnoteRef/>
      </w:r>
      <w:r>
        <w:t xml:space="preserve"> See Evans, </w:t>
      </w:r>
      <w:r>
        <w:rPr>
          <w:i/>
          <w:iCs/>
        </w:rPr>
        <w:t>“You Shall Know.”</w:t>
      </w:r>
    </w:p>
  </w:footnote>
  <w:footnote w:id="23">
    <w:p w14:paraId="7F044B84" w14:textId="39DA4130" w:rsidR="0010264B" w:rsidRDefault="0010264B" w:rsidP="00BE1482">
      <w:pPr>
        <w:pStyle w:val="FootnoteText"/>
      </w:pPr>
      <w:r>
        <w:rPr>
          <w:rStyle w:val="FootnoteReference"/>
        </w:rPr>
        <w:footnoteRef/>
      </w:r>
      <w:r>
        <w:t xml:space="preserve"> Wiesel</w:t>
      </w:r>
      <w:r w:rsidR="00BE1482">
        <w:t>, “Ezekiel,”</w:t>
      </w:r>
      <w:r>
        <w:t xml:space="preserve"> 167.</w:t>
      </w:r>
    </w:p>
  </w:footnote>
  <w:footnote w:id="24">
    <w:p w14:paraId="45412F7C" w14:textId="3EF56C26" w:rsidR="000155BB" w:rsidRDefault="000155BB">
      <w:pPr>
        <w:pStyle w:val="FootnoteText"/>
      </w:pPr>
      <w:r>
        <w:rPr>
          <w:rStyle w:val="FootnoteReference"/>
        </w:rPr>
        <w:footnoteRef/>
      </w:r>
      <w:r>
        <w:t xml:space="preserve"> Martens, “Ezekiel’s Contribution.”</w:t>
      </w:r>
    </w:p>
  </w:footnote>
  <w:footnote w:id="25">
    <w:p w14:paraId="327F7AFB" w14:textId="72DFAD40" w:rsidR="009B287D" w:rsidRDefault="009B287D" w:rsidP="009B287D">
      <w:pPr>
        <w:pStyle w:val="FootnoteText"/>
      </w:pPr>
      <w:r>
        <w:rPr>
          <w:rStyle w:val="FootnoteReference"/>
        </w:rPr>
        <w:footnoteRef/>
      </w:r>
      <w:r>
        <w:t xml:space="preserve"> See further Joyce, </w:t>
      </w:r>
      <w:r w:rsidRPr="00C75EE7">
        <w:rPr>
          <w:i/>
          <w:iCs/>
        </w:rPr>
        <w:t>Divine</w:t>
      </w:r>
      <w:r>
        <w:t xml:space="preserve"> </w:t>
      </w:r>
      <w:r w:rsidRPr="00C75EE7">
        <w:rPr>
          <w:i/>
          <w:iCs/>
        </w:rPr>
        <w:t>Initiative</w:t>
      </w:r>
      <w:r>
        <w:t>, 89</w:t>
      </w:r>
      <w:r w:rsidR="001943CB">
        <w:t>–</w:t>
      </w:r>
      <w:r>
        <w:t>105.</w:t>
      </w:r>
    </w:p>
  </w:footnote>
  <w:footnote w:id="26">
    <w:p w14:paraId="40070DBA" w14:textId="77777777" w:rsidR="00D053AF" w:rsidRDefault="00D053AF" w:rsidP="00D053AF">
      <w:pPr>
        <w:pStyle w:val="FootnoteText"/>
      </w:pPr>
      <w:r>
        <w:rPr>
          <w:rStyle w:val="FootnoteReference"/>
        </w:rPr>
        <w:footnoteRef/>
      </w:r>
      <w:r>
        <w:t xml:space="preserve"> Joyce, “Moral Transformation.”</w:t>
      </w:r>
    </w:p>
  </w:footnote>
  <w:footnote w:id="27">
    <w:p w14:paraId="1911BCB0" w14:textId="77777777" w:rsidR="00B22F2C" w:rsidRPr="000A36FF" w:rsidRDefault="00B22F2C" w:rsidP="00B22F2C">
      <w:pPr>
        <w:pStyle w:val="FootnoteText"/>
      </w:pPr>
      <w:r>
        <w:rPr>
          <w:rStyle w:val="FootnoteReference"/>
        </w:rPr>
        <w:footnoteRef/>
      </w:r>
      <w:r>
        <w:t xml:space="preserve"> Wu, </w:t>
      </w:r>
      <w:r>
        <w:rPr>
          <w:i/>
          <w:iCs/>
        </w:rPr>
        <w:t>Honor</w:t>
      </w:r>
      <w:r>
        <w:t>, 166.</w:t>
      </w:r>
    </w:p>
  </w:footnote>
  <w:footnote w:id="28">
    <w:p w14:paraId="7757E285" w14:textId="23943767" w:rsidR="00763F7A" w:rsidRDefault="00763F7A" w:rsidP="00763F7A">
      <w:pPr>
        <w:pStyle w:val="FootnoteText"/>
      </w:pPr>
      <w:r>
        <w:rPr>
          <w:rStyle w:val="FootnoteReference"/>
        </w:rPr>
        <w:footnoteRef/>
      </w:r>
      <w:r>
        <w:t xml:space="preserve"> </w:t>
      </w:r>
      <w:r>
        <w:rPr>
          <w:rFonts w:ascii="Calibri" w:eastAsia="Times New Roman" w:hAnsi="Calibri" w:cs="Calibri"/>
          <w:color w:val="000000"/>
          <w:lang w:eastAsia="en-GB"/>
        </w:rPr>
        <w:t xml:space="preserve">Cf. </w:t>
      </w:r>
      <w:r w:rsidRPr="005469A6">
        <w:rPr>
          <w:rFonts w:ascii="Calibri" w:eastAsia="Times New Roman" w:hAnsi="Calibri" w:cs="Calibri"/>
          <w:color w:val="000000"/>
          <w:lang w:eastAsia="en-GB"/>
        </w:rPr>
        <w:t>Mein, </w:t>
      </w:r>
      <w:r w:rsidRPr="00A9255C">
        <w:rPr>
          <w:rFonts w:ascii="Calibri" w:eastAsia="Times New Roman" w:hAnsi="Calibri" w:cs="Calibri"/>
          <w:i/>
          <w:iCs/>
          <w:color w:val="000000"/>
          <w:lang w:eastAsia="en-GB"/>
        </w:rPr>
        <w:t>Ethics</w:t>
      </w:r>
      <w:r>
        <w:rPr>
          <w:rFonts w:ascii="Calibri" w:eastAsia="Times New Roman" w:hAnsi="Calibri" w:cs="Calibri"/>
          <w:color w:val="000000"/>
          <w:lang w:eastAsia="en-GB"/>
        </w:rPr>
        <w:t>.</w:t>
      </w:r>
    </w:p>
  </w:footnote>
  <w:footnote w:id="29">
    <w:p w14:paraId="4A5F9C58" w14:textId="42DC4DD7" w:rsidR="0013063A" w:rsidRDefault="0013063A" w:rsidP="0013063A">
      <w:pPr>
        <w:pStyle w:val="FootnoteText"/>
      </w:pPr>
      <w:r>
        <w:rPr>
          <w:rStyle w:val="FootnoteReference"/>
        </w:rPr>
        <w:footnoteRef/>
      </w:r>
      <w:r>
        <w:t xml:space="preserve"> Among the surveys</w:t>
      </w:r>
      <w:r w:rsidR="00950620">
        <w:t xml:space="preserve">, the </w:t>
      </w:r>
      <w:r w:rsidR="008C54D6">
        <w:t>typologies</w:t>
      </w:r>
      <w:r w:rsidR="00950620">
        <w:t xml:space="preserve">, and the critiques </w:t>
      </w:r>
      <w:r w:rsidR="008C54D6">
        <w:t>a</w:t>
      </w:r>
      <w:r w:rsidR="00950620">
        <w:t xml:space="preserve">re those of </w:t>
      </w:r>
      <w:r>
        <w:t xml:space="preserve">Pohlman (”Question”) </w:t>
      </w:r>
      <w:r w:rsidR="00950620">
        <w:t>and</w:t>
      </w:r>
      <w:r>
        <w:t xml:space="preserve"> Rom-</w:t>
      </w:r>
      <w:r>
        <w:t>Shiloni (“Prophetic Words”)</w:t>
      </w:r>
      <w:r w:rsidR="00BA25E9">
        <w:t>.</w:t>
      </w:r>
      <w:r>
        <w:t>.</w:t>
      </w:r>
    </w:p>
  </w:footnote>
  <w:footnote w:id="30">
    <w:p w14:paraId="17175C40" w14:textId="320C9B5F" w:rsidR="004F4E72" w:rsidRPr="008811DC" w:rsidRDefault="004F4E72" w:rsidP="004F4E72">
      <w:pPr>
        <w:pStyle w:val="FootnoteText"/>
      </w:pPr>
      <w:r w:rsidRPr="008811DC">
        <w:rPr>
          <w:rStyle w:val="FootnoteReference"/>
        </w:rPr>
        <w:footnoteRef/>
      </w:r>
      <w:r w:rsidRPr="008811DC">
        <w:t xml:space="preserve"> See </w:t>
      </w:r>
      <w:r w:rsidRPr="008811DC">
        <w:rPr>
          <w:rFonts w:ascii="Calibri" w:hAnsi="Calibri" w:cs="Calibri"/>
          <w:lang w:val="de-DE"/>
        </w:rPr>
        <w:t>Boyd,</w:t>
      </w:r>
      <w:r w:rsidRPr="008811DC">
        <w:rPr>
          <w:lang w:val="de-DE"/>
        </w:rPr>
        <w:t xml:space="preserve"> </w:t>
      </w:r>
      <w:r w:rsidRPr="008811DC">
        <w:rPr>
          <w:rFonts w:ascii="Calibri" w:hAnsi="Calibri" w:cs="Calibri"/>
          <w:i/>
          <w:iCs/>
        </w:rPr>
        <w:t>Language Contact</w:t>
      </w:r>
      <w:r w:rsidRPr="008811DC">
        <w:rPr>
          <w:rFonts w:ascii="Calibri" w:hAnsi="Calibri" w:cs="Calibri"/>
        </w:rPr>
        <w:t xml:space="preserve">, </w:t>
      </w:r>
      <w:r>
        <w:rPr>
          <w:rFonts w:ascii="Calibri" w:hAnsi="Calibri" w:cs="Calibri"/>
        </w:rPr>
        <w:t>229</w:t>
      </w:r>
      <w:r w:rsidR="001943CB">
        <w:rPr>
          <w:rFonts w:ascii="Calibri" w:hAnsi="Calibri" w:cs="Calibri"/>
        </w:rPr>
        <w:t>–</w:t>
      </w:r>
      <w:r>
        <w:rPr>
          <w:rFonts w:ascii="Calibri" w:hAnsi="Calibri" w:cs="Calibri"/>
        </w:rPr>
        <w:t xml:space="preserve">303. </w:t>
      </w:r>
    </w:p>
  </w:footnote>
  <w:footnote w:id="31">
    <w:p w14:paraId="763AC050" w14:textId="367296DF" w:rsidR="004F4E72" w:rsidRPr="000B462F" w:rsidRDefault="004F4E72" w:rsidP="004F4E72">
      <w:pPr>
        <w:pStyle w:val="FootnoteText"/>
      </w:pPr>
      <w:r>
        <w:rPr>
          <w:rStyle w:val="FootnoteReference"/>
        </w:rPr>
        <w:footnoteRef/>
      </w:r>
      <w:r>
        <w:t xml:space="preserve"> Rom-</w:t>
      </w:r>
      <w:r>
        <w:t xml:space="preserve">Shiloni, “Ezekiel among the Exiles”; cf. Pearce, “Continuity”; Peterson, </w:t>
      </w:r>
      <w:r>
        <w:rPr>
          <w:i/>
          <w:iCs/>
        </w:rPr>
        <w:t>Ezekiel in Context</w:t>
      </w:r>
      <w:r>
        <w:t xml:space="preserve">; Stökl, “ Youth”; Stökl, “Schoolboy”; Yang, “Presence”; Vanderhooft, “Ezekiel”; </w:t>
      </w:r>
      <w:r w:rsidRPr="005469A6">
        <w:rPr>
          <w:rFonts w:ascii="Calibri" w:eastAsia="Times New Roman" w:hAnsi="Calibri" w:cs="Calibri"/>
          <w:color w:val="000000"/>
          <w:lang w:eastAsia="en-GB"/>
        </w:rPr>
        <w:t>Winitzer,, "Assyriology</w:t>
      </w:r>
      <w:r>
        <w:rPr>
          <w:rFonts w:ascii="Calibri" w:eastAsia="Times New Roman" w:hAnsi="Calibri" w:cs="Calibri"/>
          <w:color w:val="000000"/>
          <w:lang w:eastAsia="en-GB"/>
        </w:rPr>
        <w:t xml:space="preserve">”; </w:t>
      </w:r>
      <w:r w:rsidR="006836A1">
        <w:rPr>
          <w:rFonts w:ascii="Calibri" w:eastAsia="Times New Roman" w:hAnsi="Calibri" w:cs="Calibri"/>
          <w:color w:val="000000"/>
          <w:lang w:eastAsia="en-GB"/>
        </w:rPr>
        <w:t xml:space="preserve">Daniel </w:t>
      </w:r>
      <w:r>
        <w:rPr>
          <w:rFonts w:ascii="Calibri" w:eastAsia="Times New Roman" w:hAnsi="Calibri" w:cs="Calibri"/>
          <w:color w:val="000000"/>
          <w:lang w:eastAsia="en-GB"/>
        </w:rPr>
        <w:t xml:space="preserve">Bodi, </w:t>
      </w:r>
      <w:r w:rsidR="00316663">
        <w:rPr>
          <w:rFonts w:ascii="Calibri" w:eastAsia="Times New Roman" w:hAnsi="Calibri" w:cs="Calibri"/>
          <w:color w:val="000000"/>
          <w:lang w:eastAsia="en-GB"/>
        </w:rPr>
        <w:t>“</w:t>
      </w:r>
      <w:r>
        <w:t xml:space="preserve">The Mesopotamian Context of Ezekiel,” in </w:t>
      </w:r>
      <w:r w:rsidRPr="00367933">
        <w:rPr>
          <w:i/>
          <w:iCs/>
        </w:rPr>
        <w:t>OHE</w:t>
      </w:r>
      <w:r>
        <w:t>.</w:t>
      </w:r>
      <w:r w:rsidR="00260C38">
        <w:t xml:space="preserve"> But see the questions rai</w:t>
      </w:r>
      <w:r w:rsidR="001571EF">
        <w:t>s</w:t>
      </w:r>
      <w:r w:rsidR="00260C38">
        <w:t>ed by Nissinen</w:t>
      </w:r>
      <w:r w:rsidR="001571EF">
        <w:t xml:space="preserve">, </w:t>
      </w:r>
      <w:r w:rsidR="00306B04">
        <w:t>“Context.”</w:t>
      </w:r>
    </w:p>
  </w:footnote>
  <w:footnote w:id="32">
    <w:p w14:paraId="7F6B4F15" w14:textId="46C04708" w:rsidR="00F51092" w:rsidRDefault="00F51092" w:rsidP="00F51092">
      <w:pPr>
        <w:pStyle w:val="FootnoteText"/>
      </w:pPr>
      <w:r>
        <w:rPr>
          <w:rStyle w:val="FootnoteReference"/>
        </w:rPr>
        <w:footnoteRef/>
      </w:r>
      <w:r>
        <w:t xml:space="preserve"> Lewis, “</w:t>
      </w:r>
      <w:r>
        <w:rPr>
          <w:rFonts w:ascii="Calibri" w:eastAsia="Times New Roman" w:hAnsi="Calibri" w:cs="Calibri"/>
          <w:color w:val="000000"/>
          <w:lang w:eastAsia="en-GB"/>
        </w:rPr>
        <w:t>Biblical Criticism.</w:t>
      </w:r>
      <w:r w:rsidR="00183C9C">
        <w:rPr>
          <w:rFonts w:ascii="Calibri" w:eastAsia="Times New Roman" w:hAnsi="Calibri" w:cs="Calibri"/>
          <w:color w:val="000000"/>
          <w:lang w:eastAsia="en-GB"/>
        </w:rPr>
        <w:t>”</w:t>
      </w:r>
    </w:p>
  </w:footnote>
  <w:footnote w:id="33">
    <w:p w14:paraId="18F4E4F5" w14:textId="77777777" w:rsidR="009A3257" w:rsidRDefault="009A3257" w:rsidP="009A3257">
      <w:pPr>
        <w:pStyle w:val="FootnoteText"/>
      </w:pPr>
      <w:r>
        <w:rPr>
          <w:rStyle w:val="FootnoteReference"/>
        </w:rPr>
        <w:footnoteRef/>
      </w:r>
      <w:r>
        <w:t xml:space="preserve"> </w:t>
      </w:r>
      <w:r>
        <w:t>Pohlmann, “Synchrone.”</w:t>
      </w:r>
    </w:p>
  </w:footnote>
  <w:footnote w:id="34">
    <w:p w14:paraId="66854C93" w14:textId="375C2CF2" w:rsidR="00153A2B" w:rsidRPr="008D6DE4" w:rsidRDefault="0075501A" w:rsidP="008D6DE4">
      <w:pPr>
        <w:pStyle w:val="FootnoteText"/>
      </w:pPr>
      <w:r>
        <w:rPr>
          <w:rStyle w:val="FootnoteReference"/>
        </w:rPr>
        <w:footnoteRef/>
      </w:r>
      <w:r>
        <w:t xml:space="preserve"> See, e.g., </w:t>
      </w:r>
      <w:r w:rsidR="00822B44">
        <w:rPr>
          <w:i/>
          <w:iCs/>
        </w:rPr>
        <w:t>HUB</w:t>
      </w:r>
      <w:r w:rsidR="00822B44">
        <w:t>, xi</w:t>
      </w:r>
      <w:r w:rsidR="001943CB">
        <w:t>–</w:t>
      </w:r>
      <w:r w:rsidR="00822B44">
        <w:t>xlviii; Lust “</w:t>
      </w:r>
      <w:r w:rsidR="00C4690C">
        <w:t xml:space="preserve">Ezekiel Text”; </w:t>
      </w:r>
      <w:r w:rsidR="00347AB1">
        <w:t xml:space="preserve">Timothy P. </w:t>
      </w:r>
      <w:r w:rsidR="008D6DE4">
        <w:t xml:space="preserve">Mackie, </w:t>
      </w:r>
      <w:r w:rsidR="00153A2B" w:rsidRPr="00BE12F1">
        <w:t>“Text-Critical Issues</w:t>
      </w:r>
      <w:r w:rsidR="000D1702">
        <w:t>,</w:t>
      </w:r>
      <w:r w:rsidR="00153A2B" w:rsidRPr="00BE12F1">
        <w:t>”</w:t>
      </w:r>
      <w:r w:rsidR="000D1702">
        <w:t xml:space="preserve"> in </w:t>
      </w:r>
      <w:r w:rsidR="000D1702" w:rsidRPr="00675D83">
        <w:rPr>
          <w:i/>
          <w:iCs/>
        </w:rPr>
        <w:t>O</w:t>
      </w:r>
      <w:r w:rsidR="00675D83" w:rsidRPr="00675D83">
        <w:rPr>
          <w:i/>
          <w:iCs/>
        </w:rPr>
        <w:t>HE</w:t>
      </w:r>
      <w:r w:rsidR="00675D83">
        <w:t>.</w:t>
      </w:r>
    </w:p>
  </w:footnote>
  <w:footnote w:id="35">
    <w:p w14:paraId="0C7AD71E" w14:textId="12CE9E98" w:rsidR="0073385E" w:rsidRDefault="0073385E">
      <w:pPr>
        <w:pStyle w:val="FootnoteText"/>
      </w:pPr>
      <w:r>
        <w:rPr>
          <w:rStyle w:val="FootnoteReference"/>
        </w:rPr>
        <w:footnoteRef/>
      </w:r>
      <w:r>
        <w:t xml:space="preserve"> </w:t>
      </w:r>
      <w:r w:rsidR="005F2AFC" w:rsidRPr="000153EF">
        <w:t>Hendel,</w:t>
      </w:r>
      <w:r w:rsidR="005F2AFC">
        <w:t xml:space="preserve"> “</w:t>
      </w:r>
      <w:r w:rsidR="005F2AFC" w:rsidRPr="00B34CC9">
        <w:t>Oxford Hebrew Bible</w:t>
      </w:r>
      <w:r w:rsidR="005F2AFC">
        <w:t>.”</w:t>
      </w:r>
    </w:p>
  </w:footnote>
  <w:footnote w:id="36">
    <w:p w14:paraId="374A0769" w14:textId="1FB3A112" w:rsidR="005F5549" w:rsidRDefault="005F5549" w:rsidP="005F5549">
      <w:pPr>
        <w:pStyle w:val="FootnoteText"/>
      </w:pPr>
      <w:r>
        <w:rPr>
          <w:rStyle w:val="FootnoteReference"/>
        </w:rPr>
        <w:footnoteRef/>
      </w:r>
      <w:r>
        <w:t xml:space="preserve"> Olley, 46</w:t>
      </w:r>
      <w:r w:rsidR="001943CB">
        <w:t>–</w:t>
      </w:r>
      <w:r>
        <w:t xml:space="preserve">60, lists the equivalent </w:t>
      </w:r>
      <w:r w:rsidR="004360D9" w:rsidRPr="000153EF">
        <w:rPr>
          <w:sz w:val="18"/>
          <w:szCs w:val="18"/>
        </w:rPr>
        <w:t>LXX</w:t>
      </w:r>
      <w:r>
        <w:t xml:space="preserve"> section breaks. </w:t>
      </w:r>
    </w:p>
  </w:footnote>
  <w:footnote w:id="37">
    <w:p w14:paraId="01B25164" w14:textId="0E23F767" w:rsidR="0060742F" w:rsidRPr="00F762E2" w:rsidRDefault="00282213" w:rsidP="00F762E2">
      <w:pPr>
        <w:pStyle w:val="FootnoteText"/>
        <w:rPr>
          <w:rFonts w:ascii="Calibri" w:hAnsi="Calibri" w:cs="Calibri"/>
        </w:rPr>
      </w:pPr>
      <w:r>
        <w:rPr>
          <w:rStyle w:val="FootnoteReference"/>
        </w:rPr>
        <w:footnoteRef/>
      </w:r>
      <w:r>
        <w:t xml:space="preserve"> </w:t>
      </w:r>
      <w:r w:rsidR="00204666">
        <w:t>The Qumran fragments are conveniently accessible in</w:t>
      </w:r>
      <w:r w:rsidR="00245A83">
        <w:t xml:space="preserve"> Ulrich, </w:t>
      </w:r>
      <w:r w:rsidR="00245A83">
        <w:rPr>
          <w:i/>
          <w:iCs/>
        </w:rPr>
        <w:t>Biblical Qumran Scrolls</w:t>
      </w:r>
      <w:r w:rsidR="009B181C">
        <w:t>.</w:t>
      </w:r>
    </w:p>
  </w:footnote>
  <w:footnote w:id="38">
    <w:p w14:paraId="4E0365C9" w14:textId="4D425DA5" w:rsidR="007B00FE" w:rsidRDefault="007B00FE">
      <w:pPr>
        <w:pStyle w:val="FootnoteText"/>
      </w:pPr>
      <w:r>
        <w:rPr>
          <w:rStyle w:val="FootnoteReference"/>
        </w:rPr>
        <w:footnoteRef/>
      </w:r>
      <w:r>
        <w:t xml:space="preserve"> See </w:t>
      </w:r>
      <w:r w:rsidR="00E05A7E">
        <w:t xml:space="preserve">Talmon, </w:t>
      </w:r>
      <w:r w:rsidR="000B2559">
        <w:t xml:space="preserve">“Fragments”; </w:t>
      </w:r>
      <w:r>
        <w:t>Tigchelaar, “Notes</w:t>
      </w:r>
      <w:r w:rsidR="00AE7294">
        <w:t>”; Patmore, “Shorter.”</w:t>
      </w:r>
    </w:p>
  </w:footnote>
  <w:footnote w:id="39">
    <w:p w14:paraId="78E8D8B6" w14:textId="5B3F7026" w:rsidR="00312390" w:rsidRPr="00A031BB" w:rsidRDefault="00312390">
      <w:pPr>
        <w:pStyle w:val="FootnoteText"/>
      </w:pPr>
      <w:r>
        <w:rPr>
          <w:rStyle w:val="FootnoteReference"/>
        </w:rPr>
        <w:footnoteRef/>
      </w:r>
      <w:r>
        <w:t xml:space="preserve"> See Lilly </w:t>
      </w:r>
      <w:r>
        <w:rPr>
          <w:i/>
          <w:iCs/>
        </w:rPr>
        <w:t>Two Books</w:t>
      </w:r>
      <w:r w:rsidR="00A03CD2">
        <w:t>;</w:t>
      </w:r>
      <w:r w:rsidR="00970067">
        <w:t xml:space="preserve"> briefly, </w:t>
      </w:r>
      <w:r w:rsidR="00A031BB">
        <w:t>W</w:t>
      </w:r>
      <w:r w:rsidR="00A031BB">
        <w:rPr>
          <w:rFonts w:cstheme="minorHAnsi"/>
        </w:rPr>
        <w:t>ü</w:t>
      </w:r>
      <w:r w:rsidR="00A031BB">
        <w:t xml:space="preserve">rthwein, </w:t>
      </w:r>
      <w:r w:rsidR="00A031BB">
        <w:rPr>
          <w:i/>
          <w:iCs/>
        </w:rPr>
        <w:t>Text</w:t>
      </w:r>
      <w:r w:rsidR="00A031BB">
        <w:t xml:space="preserve">, </w:t>
      </w:r>
      <w:r w:rsidR="00EF3274">
        <w:t>268</w:t>
      </w:r>
      <w:r w:rsidR="001943CB">
        <w:t>–</w:t>
      </w:r>
      <w:r w:rsidR="00EF3274">
        <w:t xml:space="preserve">69. </w:t>
      </w:r>
    </w:p>
  </w:footnote>
  <w:footnote w:id="40">
    <w:p w14:paraId="28F96E23" w14:textId="77777777" w:rsidR="001627DD" w:rsidRDefault="001627DD" w:rsidP="001627DD">
      <w:pPr>
        <w:pStyle w:val="FootnoteText"/>
      </w:pPr>
      <w:r>
        <w:rPr>
          <w:rStyle w:val="FootnoteReference"/>
        </w:rPr>
        <w:footnoteRef/>
      </w:r>
      <w:r>
        <w:t xml:space="preserve"> See </w:t>
      </w:r>
      <w:r>
        <w:t xml:space="preserve">Wevers and Fraenkel, </w:t>
      </w:r>
      <w:r w:rsidRPr="00203768">
        <w:rPr>
          <w:i/>
          <w:iCs/>
        </w:rPr>
        <w:t>Studies</w:t>
      </w:r>
      <w:r>
        <w:t>.</w:t>
      </w:r>
    </w:p>
  </w:footnote>
  <w:footnote w:id="41">
    <w:p w14:paraId="4E8FD5EC" w14:textId="0D5BC1E0" w:rsidR="00563B85" w:rsidRDefault="00451FC5" w:rsidP="002C61F6">
      <w:pPr>
        <w:pStyle w:val="FootnoteText"/>
      </w:pPr>
      <w:r>
        <w:rPr>
          <w:rStyle w:val="FootnoteReference"/>
        </w:rPr>
        <w:footnoteRef/>
      </w:r>
      <w:r>
        <w:t xml:space="preserve"> See, e.g., </w:t>
      </w:r>
      <w:r w:rsidR="00563B85">
        <w:t>Finsterbusch, “</w:t>
      </w:r>
      <w:r w:rsidR="00563B85" w:rsidRPr="00BE12F1">
        <w:rPr>
          <w:shd w:val="clear" w:color="auto" w:fill="FFFFFF"/>
        </w:rPr>
        <w:t>Vorlage</w:t>
      </w:r>
      <w:r w:rsidR="00A746BF">
        <w:rPr>
          <w:shd w:val="clear" w:color="auto" w:fill="FFFFFF"/>
        </w:rPr>
        <w:t>”;</w:t>
      </w:r>
      <w:r w:rsidR="00563B85" w:rsidRPr="00BE12F1">
        <w:rPr>
          <w:shd w:val="clear" w:color="auto" w:fill="FFFFFF"/>
        </w:rPr>
        <w:t xml:space="preserve"> Finsterbusch, </w:t>
      </w:r>
      <w:r w:rsidR="00563B85" w:rsidRPr="00BE12F1">
        <w:t>“Textual Criticism</w:t>
      </w:r>
      <w:r w:rsidR="0046167E">
        <w:t>”; Tov, “Nature</w:t>
      </w:r>
      <w:r w:rsidR="00C30ECF">
        <w:t>”; Lust, “Divergen</w:t>
      </w:r>
      <w:r w:rsidR="002177C7">
        <w:t>ces.”</w:t>
      </w:r>
    </w:p>
  </w:footnote>
  <w:footnote w:id="42">
    <w:p w14:paraId="637C78DB" w14:textId="77777777" w:rsidR="00F31A06" w:rsidRDefault="00F31A06" w:rsidP="00F31A06">
      <w:pPr>
        <w:pStyle w:val="FootnoteText"/>
      </w:pPr>
      <w:r>
        <w:rPr>
          <w:rStyle w:val="FootnoteReference"/>
        </w:rPr>
        <w:footnoteRef/>
      </w:r>
      <w:r>
        <w:t xml:space="preserve"> Fabry, “Ezechiel.”</w:t>
      </w:r>
    </w:p>
  </w:footnote>
  <w:footnote w:id="43">
    <w:p w14:paraId="0A13651E" w14:textId="21036677" w:rsidR="00256552" w:rsidRDefault="00DE6C72" w:rsidP="00CE786E">
      <w:pPr>
        <w:pStyle w:val="FootnoteText"/>
      </w:pPr>
      <w:r>
        <w:rPr>
          <w:rStyle w:val="FootnoteReference"/>
        </w:rPr>
        <w:footnoteRef/>
      </w:r>
      <w:r>
        <w:t xml:space="preserve"> </w:t>
      </w:r>
      <w:r w:rsidR="00256552">
        <w:t xml:space="preserve">See </w:t>
      </w:r>
      <w:r w:rsidR="00256552" w:rsidRPr="00BE12F1">
        <w:t>Mushayabasa, “Utility</w:t>
      </w:r>
      <w:r w:rsidR="005F5031">
        <w:t>”</w:t>
      </w:r>
      <w:r w:rsidR="00CE786E">
        <w:t xml:space="preserve">; </w:t>
      </w:r>
      <w:r w:rsidR="00256552" w:rsidRPr="00BE12F1">
        <w:t>van Rooy, “Agreement</w:t>
      </w:r>
      <w:r w:rsidR="00CE786E">
        <w:t>.”</w:t>
      </w:r>
    </w:p>
  </w:footnote>
  <w:footnote w:id="44">
    <w:p w14:paraId="02378BA7" w14:textId="31E399F6" w:rsidR="00E239B5" w:rsidRDefault="004C3409" w:rsidP="00083A67">
      <w:pPr>
        <w:pStyle w:val="FootnoteText"/>
      </w:pPr>
      <w:r>
        <w:rPr>
          <w:rStyle w:val="FootnoteReference"/>
        </w:rPr>
        <w:footnoteRef/>
      </w:r>
      <w:r>
        <w:t xml:space="preserve"> Eugene </w:t>
      </w:r>
      <w:r w:rsidR="00A9508E">
        <w:t>H. Peterson</w:t>
      </w:r>
      <w:r w:rsidR="00AF69A7">
        <w:t xml:space="preserve">, </w:t>
      </w:r>
      <w:r w:rsidR="00E239B5" w:rsidRPr="00083A67">
        <w:rPr>
          <w:i/>
          <w:iCs/>
        </w:rPr>
        <w:t>The Message: The Bible in Contemporary Language</w:t>
      </w:r>
      <w:r w:rsidR="00083A67">
        <w:t xml:space="preserve">. </w:t>
      </w:r>
      <w:r w:rsidR="00E239B5">
        <w:t>Colorado Springs: NavPress, 2003</w:t>
      </w:r>
      <w:r w:rsidR="00083A67">
        <w:t>.</w:t>
      </w:r>
    </w:p>
  </w:footnote>
  <w:footnote w:id="45">
    <w:p w14:paraId="332B11C9" w14:textId="77777777" w:rsidR="00E54A5A" w:rsidRPr="00347DA9" w:rsidRDefault="00E54A5A" w:rsidP="00E54A5A">
      <w:pPr>
        <w:pStyle w:val="FootnoteText"/>
      </w:pPr>
      <w:r>
        <w:rPr>
          <w:rStyle w:val="FootnoteReference"/>
        </w:rPr>
        <w:footnoteRef/>
      </w:r>
      <w:r>
        <w:t xml:space="preserve"> See the discussion in </w:t>
      </w:r>
      <w:r>
        <w:t>Maierhofer,</w:t>
      </w:r>
      <w:r w:rsidRPr="00F93CC4">
        <w:rPr>
          <w:rFonts w:ascii="Calibri" w:eastAsia="Times New Roman" w:hAnsi="Calibri" w:cs="Calibri"/>
          <w:color w:val="000000"/>
          <w:lang w:eastAsia="en-GB"/>
        </w:rPr>
        <w:t xml:space="preserve"> </w:t>
      </w:r>
      <w:r>
        <w:rPr>
          <w:rFonts w:ascii="Calibri" w:eastAsia="Times New Roman" w:hAnsi="Calibri" w:cs="Calibri"/>
          <w:color w:val="000000"/>
          <w:lang w:eastAsia="en-GB"/>
        </w:rPr>
        <w:t>“H</w:t>
      </w:r>
      <w:r w:rsidRPr="00F93CC4">
        <w:rPr>
          <w:rFonts w:ascii="Calibri" w:eastAsia="Times New Roman" w:hAnsi="Calibri" w:cs="Calibri"/>
          <w:color w:val="000000"/>
          <w:lang w:eastAsia="en-GB"/>
        </w:rPr>
        <w:t>olistic Interpretation</w:t>
      </w:r>
      <w:r>
        <w:rPr>
          <w:rFonts w:ascii="Calibri" w:eastAsia="Times New Roman" w:hAnsi="Calibri" w:cs="Calibri"/>
          <w:color w:val="000000"/>
          <w:lang w:eastAsia="en-GB"/>
        </w:rPr>
        <w:t>”</w:t>
      </w:r>
      <w:r>
        <w:t xml:space="preserve">; she refers to Greenberg’s commentary and to Greenberg, </w:t>
      </w:r>
      <w:r>
        <w:rPr>
          <w:i/>
          <w:iCs/>
        </w:rPr>
        <w:t>Studies</w:t>
      </w:r>
      <w:r>
        <w:t>.</w:t>
      </w:r>
    </w:p>
  </w:footnote>
  <w:footnote w:id="46">
    <w:p w14:paraId="7C3DE264" w14:textId="60000FF7" w:rsidR="00152AF4" w:rsidRPr="00105C24" w:rsidRDefault="00152AF4" w:rsidP="00152AF4">
      <w:pPr>
        <w:pStyle w:val="FootnoteText"/>
        <w:rPr>
          <w:lang w:val="en-GB"/>
        </w:rPr>
      </w:pPr>
      <w:r>
        <w:rPr>
          <w:rStyle w:val="FootnoteReference"/>
        </w:rPr>
        <w:footnoteRef/>
      </w:r>
      <w:r w:rsidRPr="00105C24">
        <w:rPr>
          <w:lang w:val="en-GB"/>
        </w:rPr>
        <w:t xml:space="preserve"> </w:t>
      </w:r>
      <w:r w:rsidRPr="00947CF4">
        <w:t>Uehlinger and Müller Trufaut, "Ezekiel 1</w:t>
      </w:r>
      <w:r w:rsidR="008807E4">
        <w:t xml:space="preserve">,” </w:t>
      </w:r>
      <w:r w:rsidRPr="00105C24">
        <w:rPr>
          <w:lang w:val="en-GB"/>
        </w:rPr>
        <w:t>142, 145.</w:t>
      </w:r>
    </w:p>
  </w:footnote>
  <w:footnote w:id="47">
    <w:p w14:paraId="1B8D8E31" w14:textId="1B420E38" w:rsidR="007B06E2" w:rsidRDefault="007B06E2">
      <w:pPr>
        <w:pStyle w:val="FootnoteText"/>
      </w:pPr>
      <w:r>
        <w:rPr>
          <w:rStyle w:val="FootnoteReference"/>
        </w:rPr>
        <w:footnoteRef/>
      </w:r>
      <w:r>
        <w:t xml:space="preserve"> Davis (</w:t>
      </w:r>
      <w:r>
        <w:rPr>
          <w:i/>
          <w:iCs/>
        </w:rPr>
        <w:t>Swallowing</w:t>
      </w:r>
      <w:r>
        <w:t xml:space="preserve">) infers from </w:t>
      </w:r>
      <w:r>
        <w:rPr>
          <w:lang w:eastAsia="en-GB"/>
        </w:rPr>
        <w:t>t</w:t>
      </w:r>
      <w:r w:rsidRPr="00BE12F1">
        <w:rPr>
          <w:lang w:eastAsia="en-GB"/>
        </w:rPr>
        <w:t>he prominence of prose that he formulated his messages in writing</w:t>
      </w:r>
    </w:p>
  </w:footnote>
  <w:footnote w:id="48">
    <w:p w14:paraId="0516C3C2" w14:textId="48510C37" w:rsidR="0035594D" w:rsidRDefault="0035594D">
      <w:pPr>
        <w:pStyle w:val="FootnoteText"/>
      </w:pPr>
      <w:r>
        <w:rPr>
          <w:rStyle w:val="FootnoteReference"/>
        </w:rPr>
        <w:footnoteRef/>
      </w:r>
      <w:r>
        <w:t xml:space="preserve"> Cf. </w:t>
      </w:r>
      <w:r>
        <w:t xml:space="preserve">Middlemas, </w:t>
      </w:r>
      <w:r w:rsidR="00AD7E02">
        <w:t>“Divine Presence.”</w:t>
      </w:r>
    </w:p>
  </w:footnote>
  <w:footnote w:id="49">
    <w:p w14:paraId="31351706" w14:textId="77777777" w:rsidR="00924EE1" w:rsidRPr="00A53B5C" w:rsidRDefault="00924EE1" w:rsidP="00924EE1">
      <w:pPr>
        <w:pStyle w:val="FootnoteText"/>
      </w:pPr>
      <w:r>
        <w:rPr>
          <w:rStyle w:val="FootnoteReference"/>
        </w:rPr>
        <w:footnoteRef/>
      </w:r>
      <w:r>
        <w:t xml:space="preserve"> See, e.g., Hendel and Joosten, </w:t>
      </w:r>
      <w:r>
        <w:rPr>
          <w:i/>
          <w:iCs/>
        </w:rPr>
        <w:t>How Old.</w:t>
      </w:r>
    </w:p>
  </w:footnote>
  <w:footnote w:id="50">
    <w:p w14:paraId="5CC11672" w14:textId="77777777" w:rsidR="00924EE1" w:rsidRPr="004D04F1" w:rsidRDefault="00924EE1" w:rsidP="00924EE1">
      <w:pPr>
        <w:pStyle w:val="FootnoteText"/>
      </w:pPr>
      <w:r>
        <w:rPr>
          <w:rStyle w:val="FootnoteReference"/>
        </w:rPr>
        <w:footnoteRef/>
      </w:r>
      <w:r>
        <w:t xml:space="preserve"> See </w:t>
      </w:r>
      <w:r>
        <w:t xml:space="preserve">Hurvitz, </w:t>
      </w:r>
      <w:r>
        <w:rPr>
          <w:i/>
          <w:iCs/>
        </w:rPr>
        <w:t>Linguistic Study</w:t>
      </w:r>
      <w:r>
        <w:t xml:space="preserve">; Rooker, </w:t>
      </w:r>
      <w:r>
        <w:rPr>
          <w:i/>
          <w:iCs/>
        </w:rPr>
        <w:t>Biblical Hebrew</w:t>
      </w:r>
      <w:r>
        <w:t xml:space="preserve">; </w:t>
      </w:r>
      <w:r w:rsidRPr="00EB3DF2">
        <w:rPr>
          <w:rFonts w:ascii="Calibri" w:hAnsi="Calibri" w:cs="Calibri"/>
        </w:rPr>
        <w:t>Kim</w:t>
      </w:r>
      <w:r>
        <w:rPr>
          <w:rFonts w:ascii="Calibri" w:hAnsi="Calibri" w:cs="Calibri"/>
        </w:rPr>
        <w:t xml:space="preserve">, </w:t>
      </w:r>
      <w:r w:rsidRPr="00EA7580">
        <w:rPr>
          <w:rFonts w:ascii="Calibri" w:hAnsi="Calibri" w:cs="Calibri"/>
          <w:i/>
          <w:iCs/>
        </w:rPr>
        <w:t>Early Biblical Hebrew</w:t>
      </w:r>
      <w:r>
        <w:rPr>
          <w:rFonts w:ascii="Calibri" w:hAnsi="Calibri" w:cs="Calibri"/>
        </w:rPr>
        <w:t>.</w:t>
      </w:r>
    </w:p>
  </w:footnote>
  <w:footnote w:id="51">
    <w:p w14:paraId="4CAAF9DF" w14:textId="74DF157F" w:rsidR="00417A4C" w:rsidRPr="0014024B" w:rsidRDefault="00417A4C">
      <w:pPr>
        <w:pStyle w:val="FootnoteText"/>
      </w:pPr>
      <w:r>
        <w:rPr>
          <w:rStyle w:val="FootnoteReference"/>
        </w:rPr>
        <w:footnoteRef/>
      </w:r>
      <w:r>
        <w:t xml:space="preserve"> </w:t>
      </w:r>
      <w:r w:rsidR="001E3750">
        <w:t>S</w:t>
      </w:r>
      <w:r>
        <w:t xml:space="preserve">ee </w:t>
      </w:r>
      <w:r w:rsidR="00963774">
        <w:t xml:space="preserve">Joyce, “Ezekiel”; </w:t>
      </w:r>
      <w:r>
        <w:t xml:space="preserve">Joyce and Mein, </w:t>
      </w:r>
      <w:r>
        <w:rPr>
          <w:i/>
          <w:iCs/>
        </w:rPr>
        <w:t>After Ez</w:t>
      </w:r>
      <w:r w:rsidR="0097735F">
        <w:rPr>
          <w:i/>
          <w:iCs/>
        </w:rPr>
        <w:t>e</w:t>
      </w:r>
      <w:r>
        <w:rPr>
          <w:i/>
          <w:iCs/>
        </w:rPr>
        <w:t>kiel</w:t>
      </w:r>
      <w:r>
        <w:t xml:space="preserve">; Joyce et al., </w:t>
      </w:r>
      <w:r>
        <w:rPr>
          <w:i/>
          <w:iCs/>
        </w:rPr>
        <w:t>Ezekiel</w:t>
      </w:r>
      <w:r w:rsidR="0097735F">
        <w:t xml:space="preserve">; Mein, </w:t>
      </w:r>
      <w:r w:rsidR="003E0845">
        <w:t>“Awkward God</w:t>
      </w:r>
      <w:r w:rsidR="0014024B">
        <w:t>”;</w:t>
      </w:r>
      <w:r w:rsidR="00074029">
        <w:t xml:space="preserve"> </w:t>
      </w:r>
      <w:r w:rsidR="00C3266B">
        <w:t xml:space="preserve">Darr, </w:t>
      </w:r>
      <w:r w:rsidR="006B278F">
        <w:t xml:space="preserve">“Critics”; </w:t>
      </w:r>
      <w:r w:rsidR="00B97B68">
        <w:t>Levitt Kohn</w:t>
      </w:r>
      <w:r w:rsidR="00192F8A">
        <w:t>, “Turn of the Century</w:t>
      </w:r>
      <w:r w:rsidR="00E16565">
        <w:t>”</w:t>
      </w:r>
      <w:r w:rsidR="005C0CE4">
        <w:t xml:space="preserve"> and</w:t>
      </w:r>
      <w:r w:rsidR="005C352D">
        <w:t xml:space="preserve"> “</w:t>
      </w:r>
      <w:r w:rsidR="005C0CE4">
        <w:t>Update."</w:t>
      </w:r>
    </w:p>
  </w:footnote>
  <w:footnote w:id="52">
    <w:p w14:paraId="212DE9B3" w14:textId="2A13CCEC" w:rsidR="00545176" w:rsidRPr="00545176" w:rsidRDefault="00A07D15" w:rsidP="00545176">
      <w:pPr>
        <w:pStyle w:val="FootnoteText"/>
      </w:pPr>
      <w:r>
        <w:rPr>
          <w:rStyle w:val="FootnoteReference"/>
        </w:rPr>
        <w:footnoteRef/>
      </w:r>
      <w:r>
        <w:t xml:space="preserve"> </w:t>
      </w:r>
      <w:r w:rsidR="00545176">
        <w:t xml:space="preserve">See, e.g., </w:t>
      </w:r>
      <w:r w:rsidR="00545176" w:rsidRPr="0013329B">
        <w:t>García Martínez,</w:t>
      </w:r>
      <w:r w:rsidR="00545176">
        <w:t xml:space="preserve"> </w:t>
      </w:r>
      <w:r w:rsidR="00545176" w:rsidRPr="00021900">
        <w:t>"</w:t>
      </w:r>
      <w:r w:rsidR="00545176">
        <w:t>A</w:t>
      </w:r>
      <w:r w:rsidR="00545176" w:rsidRPr="00021900">
        <w:t xml:space="preserve">pocalyptic </w:t>
      </w:r>
      <w:r w:rsidR="00545176">
        <w:t>I</w:t>
      </w:r>
      <w:r w:rsidR="00545176" w:rsidRPr="00021900">
        <w:t>nterpretation</w:t>
      </w:r>
      <w:r w:rsidR="00545176">
        <w:t>.”</w:t>
      </w:r>
    </w:p>
  </w:footnote>
  <w:footnote w:id="53">
    <w:p w14:paraId="6594FF62" w14:textId="6FD76F1B" w:rsidR="003A3AC0" w:rsidRPr="00906BD6" w:rsidRDefault="003A3AC0">
      <w:pPr>
        <w:pStyle w:val="FootnoteText"/>
      </w:pPr>
      <w:r>
        <w:rPr>
          <w:rStyle w:val="FootnoteReference"/>
        </w:rPr>
        <w:footnoteRef/>
      </w:r>
      <w:r>
        <w:t xml:space="preserve"> See </w:t>
      </w:r>
      <w:r w:rsidR="00906BD6">
        <w:t xml:space="preserve">Kaplan, </w:t>
      </w:r>
      <w:r w:rsidR="00906BD6">
        <w:rPr>
          <w:i/>
          <w:iCs/>
        </w:rPr>
        <w:t>Inner Space</w:t>
      </w:r>
      <w:r w:rsidR="00906BD6">
        <w:t>.</w:t>
      </w:r>
    </w:p>
  </w:footnote>
  <w:footnote w:id="54">
    <w:p w14:paraId="2C6F66E1" w14:textId="142163B5" w:rsidR="0036478B" w:rsidRPr="0036478B" w:rsidRDefault="002539D6" w:rsidP="0036478B">
      <w:pPr>
        <w:pStyle w:val="FootnoteText"/>
        <w:rPr>
          <w:rFonts w:ascii="Calibri" w:hAnsi="Calibri" w:cs="Calibri"/>
          <w:color w:val="000000" w:themeColor="text1"/>
          <w:sz w:val="22"/>
          <w:szCs w:val="22"/>
        </w:rPr>
      </w:pPr>
      <w:r>
        <w:rPr>
          <w:rStyle w:val="FootnoteReference"/>
        </w:rPr>
        <w:footnoteRef/>
      </w:r>
      <w:r>
        <w:t xml:space="preserve"> See </w:t>
      </w:r>
      <w:r w:rsidR="00160DAB">
        <w:t>f</w:t>
      </w:r>
      <w:r>
        <w:t>urther Joyce</w:t>
      </w:r>
      <w:r w:rsidRPr="00825FAC">
        <w:t xml:space="preserve">, </w:t>
      </w:r>
      <w:r w:rsidRPr="00825FAC">
        <w:rPr>
          <w:rFonts w:ascii="Calibri" w:hAnsi="Calibri" w:cs="Calibri"/>
          <w:i/>
          <w:iCs/>
          <w:color w:val="000000" w:themeColor="text1"/>
        </w:rPr>
        <w:t>Encyclopedia</w:t>
      </w:r>
      <w:r w:rsidR="00825FAC" w:rsidRPr="00825FAC">
        <w:rPr>
          <w:rFonts w:ascii="Calibri" w:hAnsi="Calibri" w:cs="Calibri"/>
          <w:color w:val="000000" w:themeColor="text1"/>
        </w:rPr>
        <w:t>.</w:t>
      </w:r>
      <w:r w:rsidRPr="00825FAC">
        <w:rPr>
          <w:rFonts w:ascii="Calibri" w:hAnsi="Calibri" w:cs="Calibri"/>
          <w:i/>
          <w:iCs/>
          <w:color w:val="000000" w:themeColor="text1"/>
        </w:rPr>
        <w:t xml:space="preserve"> </w:t>
      </w:r>
      <w:r w:rsidRPr="00825FAC">
        <w:rPr>
          <w:rFonts w:ascii="Calibri" w:hAnsi="Calibri" w:cs="Calibri"/>
          <w:color w:val="000000" w:themeColor="text1"/>
        </w:rPr>
        <w:t>8:583</w:t>
      </w:r>
      <w:r w:rsidR="001943CB">
        <w:rPr>
          <w:rFonts w:ascii="Calibri" w:hAnsi="Calibri" w:cs="Calibri"/>
          <w:color w:val="000000" w:themeColor="text1"/>
        </w:rPr>
        <w:t>–</w:t>
      </w:r>
      <w:r w:rsidRPr="00825FAC">
        <w:rPr>
          <w:rFonts w:ascii="Calibri" w:hAnsi="Calibri" w:cs="Calibri"/>
          <w:color w:val="000000" w:themeColor="text1"/>
        </w:rPr>
        <w:t>618</w:t>
      </w:r>
      <w:r w:rsidR="0036478B" w:rsidRPr="00825FAC">
        <w:rPr>
          <w:rFonts w:ascii="Calibri" w:hAnsi="Calibri" w:cs="Calibri"/>
          <w:color w:val="000000" w:themeColor="text1"/>
        </w:rPr>
        <w:t xml:space="preserve">; </w:t>
      </w:r>
      <w:r w:rsidR="0036478B" w:rsidRPr="00825FAC">
        <w:rPr>
          <w:lang w:val="en-GB"/>
        </w:rPr>
        <w:t>Olley, “Traj</w:t>
      </w:r>
      <w:r w:rsidR="00750827" w:rsidRPr="00825FAC">
        <w:rPr>
          <w:lang w:val="en-GB"/>
        </w:rPr>
        <w:t>e</w:t>
      </w:r>
      <w:r w:rsidR="0036478B" w:rsidRPr="00825FAC">
        <w:rPr>
          <w:lang w:val="en-GB"/>
        </w:rPr>
        <w:t>c</w:t>
      </w:r>
      <w:r w:rsidR="00750827" w:rsidRPr="00825FAC">
        <w:rPr>
          <w:lang w:val="en-GB"/>
        </w:rPr>
        <w:t>t</w:t>
      </w:r>
      <w:r w:rsidR="0036478B" w:rsidRPr="00825FAC">
        <w:rPr>
          <w:lang w:val="en-GB"/>
        </w:rPr>
        <w:t>o</w:t>
      </w:r>
      <w:r w:rsidR="00750827" w:rsidRPr="00825FAC">
        <w:rPr>
          <w:lang w:val="en-GB"/>
        </w:rPr>
        <w:t>r</w:t>
      </w:r>
      <w:r w:rsidR="0036478B" w:rsidRPr="00825FAC">
        <w:rPr>
          <w:lang w:val="en-GB"/>
        </w:rPr>
        <w:t>ies</w:t>
      </w:r>
      <w:r w:rsidR="00750827" w:rsidRPr="00825FAC">
        <w:rPr>
          <w:lang w:val="en-GB"/>
        </w:rPr>
        <w:t xml:space="preserve">,” </w:t>
      </w:r>
      <w:r w:rsidR="0036478B" w:rsidRPr="00825FAC">
        <w:rPr>
          <w:lang w:val="en-GB"/>
        </w:rPr>
        <w:t>53</w:t>
      </w:r>
      <w:r w:rsidR="001943CB">
        <w:rPr>
          <w:lang w:val="en-GB"/>
        </w:rPr>
        <w:t>–</w:t>
      </w:r>
      <w:r w:rsidR="0036478B">
        <w:rPr>
          <w:lang w:val="en-GB"/>
        </w:rPr>
        <w:t>80.</w:t>
      </w:r>
    </w:p>
  </w:footnote>
  <w:footnote w:id="55">
    <w:p w14:paraId="02717169" w14:textId="17D51AF6" w:rsidR="008441AA" w:rsidRDefault="008441AA">
      <w:pPr>
        <w:pStyle w:val="FootnoteText"/>
      </w:pPr>
      <w:r>
        <w:rPr>
          <w:rStyle w:val="FootnoteReference"/>
        </w:rPr>
        <w:footnoteRef/>
      </w:r>
      <w:r>
        <w:t xml:space="preserve"> </w:t>
      </w:r>
      <w:r w:rsidR="00921F44">
        <w:t>Guillaume, “Limits.”</w:t>
      </w:r>
      <w:r w:rsidR="00C13EA2">
        <w:t xml:space="preserve"> </w:t>
      </w:r>
      <w:r w:rsidR="001C7A35">
        <w:t>C</w:t>
      </w:r>
      <w:r w:rsidR="00487AE5">
        <w:t>f</w:t>
      </w:r>
      <w:r w:rsidR="001C7A35">
        <w:t xml:space="preserve">. </w:t>
      </w:r>
      <w:r w:rsidR="00C13EA2">
        <w:t>Signer, “Vision</w:t>
      </w:r>
      <w:r w:rsidR="00575B3D">
        <w:t xml:space="preserve">,” </w:t>
      </w:r>
      <w:r w:rsidR="001C7A35">
        <w:t xml:space="preserve">who </w:t>
      </w:r>
      <w:r w:rsidR="00575B3D">
        <w:t>survey</w:t>
      </w:r>
      <w:r w:rsidR="001C7A35">
        <w:t>s</w:t>
      </w:r>
      <w:r w:rsidR="00575B3D">
        <w:t xml:space="preserve"> of Christian interpretation </w:t>
      </w:r>
      <w:r w:rsidR="00487AE5">
        <w:t xml:space="preserve">over the millennium </w:t>
      </w:r>
      <w:r w:rsidR="00D82FB5">
        <w:t>leading up to Nicholas of Lyra</w:t>
      </w:r>
      <w:r w:rsidR="00C70C38">
        <w:t>, whom Luther (“New Preface,</w:t>
      </w:r>
      <w:r w:rsidR="00D95D02">
        <w:t>”</w:t>
      </w:r>
      <w:r w:rsidR="00C70C38">
        <w:t xml:space="preserve"> </w:t>
      </w:r>
      <w:r w:rsidR="00D95D02">
        <w:t xml:space="preserve">419) encourages </w:t>
      </w:r>
      <w:r w:rsidR="00046C9E">
        <w:t>people to read.</w:t>
      </w:r>
    </w:p>
  </w:footnote>
  <w:footnote w:id="56">
    <w:p w14:paraId="63991C67" w14:textId="3301ED0C" w:rsidR="00D54FC2" w:rsidRPr="006D4934" w:rsidRDefault="00D54FC2" w:rsidP="006D4934">
      <w:pPr>
        <w:pStyle w:val="FootnoteText"/>
        <w:rPr>
          <w:rFonts w:ascii="Calibri" w:eastAsia="Times New Roman" w:hAnsi="Calibri" w:cs="Calibri"/>
          <w:color w:val="000000"/>
          <w:lang w:eastAsia="en-GB"/>
        </w:rPr>
      </w:pPr>
      <w:r>
        <w:rPr>
          <w:rStyle w:val="FootnoteReference"/>
        </w:rPr>
        <w:footnoteRef/>
      </w:r>
      <w:r>
        <w:t xml:space="preserve"> </w:t>
      </w:r>
      <w:r w:rsidR="00242782">
        <w:t>Hieke, “Seher</w:t>
      </w:r>
      <w:r w:rsidR="00AB0467">
        <w:t xml:space="preserve">”; see further </w:t>
      </w:r>
      <w:r w:rsidR="000D588B">
        <w:t xml:space="preserve">Kowalski, </w:t>
      </w:r>
      <w:r w:rsidR="000D588B">
        <w:rPr>
          <w:i/>
          <w:iCs/>
        </w:rPr>
        <w:t>Rezeption</w:t>
      </w:r>
      <w:r w:rsidR="000D588B">
        <w:t xml:space="preserve">; </w:t>
      </w:r>
      <w:r w:rsidR="001E14E1">
        <w:t xml:space="preserve">Kowalski, </w:t>
      </w:r>
      <w:r w:rsidR="00C21FD0">
        <w:t>“Transformation”</w:t>
      </w:r>
      <w:r w:rsidR="00CB62F6">
        <w:t xml:space="preserve">; Moyise, </w:t>
      </w:r>
      <w:r w:rsidR="000C049A" w:rsidRPr="00354A09">
        <w:rPr>
          <w:i/>
          <w:iCs/>
        </w:rPr>
        <w:t>Old</w:t>
      </w:r>
      <w:r w:rsidR="000C049A">
        <w:t xml:space="preserve"> </w:t>
      </w:r>
      <w:r w:rsidR="000C049A" w:rsidRPr="00354A09">
        <w:rPr>
          <w:i/>
          <w:iCs/>
        </w:rPr>
        <w:t>Testament</w:t>
      </w:r>
      <w:r w:rsidR="000C049A">
        <w:t>, 64</w:t>
      </w:r>
      <w:r w:rsidR="001943CB">
        <w:t>–</w:t>
      </w:r>
      <w:r w:rsidR="00354A09">
        <w:t>84</w:t>
      </w:r>
      <w:r w:rsidR="00B043AE">
        <w:t xml:space="preserve">; </w:t>
      </w:r>
      <w:r w:rsidR="005616A4">
        <w:t>Presser, “Escatología</w:t>
      </w:r>
      <w:r w:rsidR="00224AB8">
        <w:t xml:space="preserve">”; </w:t>
      </w:r>
      <w:r w:rsidR="004E7566" w:rsidRPr="005469A6">
        <w:rPr>
          <w:rFonts w:ascii="Calibri" w:eastAsia="Times New Roman" w:hAnsi="Calibri" w:cs="Calibri"/>
          <w:color w:val="000000"/>
          <w:lang w:eastAsia="en-GB"/>
        </w:rPr>
        <w:t>Ruiz,</w:t>
      </w:r>
      <w:r w:rsidR="004E7566" w:rsidRPr="00470AB1">
        <w:rPr>
          <w:rFonts w:ascii="Calibri" w:eastAsia="Times New Roman" w:hAnsi="Calibri" w:cs="Calibri"/>
          <w:i/>
          <w:iCs/>
          <w:color w:val="000000"/>
          <w:lang w:eastAsia="en-GB"/>
        </w:rPr>
        <w:t xml:space="preserve"> Apocalypse</w:t>
      </w:r>
      <w:r w:rsidR="00F36D8F">
        <w:rPr>
          <w:rFonts w:ascii="Calibri" w:eastAsia="Times New Roman" w:hAnsi="Calibri" w:cs="Calibri"/>
          <w:color w:val="000000"/>
          <w:lang w:eastAsia="en-GB"/>
        </w:rPr>
        <w:t>.</w:t>
      </w:r>
    </w:p>
  </w:footnote>
  <w:footnote w:id="57">
    <w:p w14:paraId="574DE507" w14:textId="6DDD725B" w:rsidR="00C652D9" w:rsidRPr="00EE1AB4" w:rsidRDefault="00C652D9">
      <w:pPr>
        <w:pStyle w:val="FootnoteText"/>
      </w:pPr>
      <w:r>
        <w:rPr>
          <w:rStyle w:val="FootnoteReference"/>
        </w:rPr>
        <w:footnoteRef/>
      </w:r>
      <w:r>
        <w:t xml:space="preserve"> Manning, </w:t>
      </w:r>
      <w:r w:rsidRPr="006B663F">
        <w:rPr>
          <w:i/>
          <w:iCs/>
        </w:rPr>
        <w:t>Echoes</w:t>
      </w:r>
      <w:r w:rsidR="00EE1AB4">
        <w:t xml:space="preserve">; Peterson, </w:t>
      </w:r>
      <w:r w:rsidR="00EE1AB4">
        <w:rPr>
          <w:i/>
          <w:iCs/>
        </w:rPr>
        <w:t>John’s Use</w:t>
      </w:r>
      <w:r w:rsidR="0061517C">
        <w:t xml:space="preserve">; </w:t>
      </w:r>
      <w:r w:rsidR="00C479F7">
        <w:t xml:space="preserve">Deeley, “Ezekiel's Shepherd”; </w:t>
      </w:r>
      <w:r w:rsidR="00C479F7" w:rsidRPr="00AF4B5C">
        <w:rPr>
          <w:shd w:val="clear" w:color="auto" w:fill="FFFFFF"/>
        </w:rPr>
        <w:t>Fowler and Strickland</w:t>
      </w:r>
      <w:r w:rsidR="00C479F7">
        <w:rPr>
          <w:shd w:val="clear" w:color="auto" w:fill="FFFFFF"/>
        </w:rPr>
        <w:t>,</w:t>
      </w:r>
      <w:r w:rsidR="00C479F7" w:rsidRPr="00AF4B5C">
        <w:rPr>
          <w:i/>
          <w:iCs/>
          <w:shd w:val="clear" w:color="auto" w:fill="FFFFFF"/>
        </w:rPr>
        <w:t xml:space="preserve"> Influence</w:t>
      </w:r>
      <w:r w:rsidR="00C479F7">
        <w:rPr>
          <w:shd w:val="clear" w:color="auto" w:fill="FFFFFF"/>
        </w:rPr>
        <w:t>.</w:t>
      </w:r>
    </w:p>
  </w:footnote>
  <w:footnote w:id="58">
    <w:p w14:paraId="6242ABA3" w14:textId="77777777" w:rsidR="00110B2D" w:rsidRPr="007C5677" w:rsidRDefault="00110B2D" w:rsidP="00110B2D">
      <w:pPr>
        <w:pStyle w:val="FootnoteText"/>
      </w:pPr>
      <w:r>
        <w:rPr>
          <w:rStyle w:val="FootnoteReference"/>
        </w:rPr>
        <w:footnoteRef/>
      </w:r>
      <w:r>
        <w:t xml:space="preserve"> See </w:t>
      </w:r>
      <w:r>
        <w:t xml:space="preserve">Pikor, </w:t>
      </w:r>
      <w:r>
        <w:rPr>
          <w:i/>
          <w:iCs/>
        </w:rPr>
        <w:t>Land</w:t>
      </w:r>
      <w:r>
        <w:t>.</w:t>
      </w:r>
    </w:p>
  </w:footnote>
  <w:footnote w:id="59">
    <w:p w14:paraId="27AC3C5C" w14:textId="537EF2D7" w:rsidR="008B72D0" w:rsidRPr="008B72D0" w:rsidRDefault="008B72D0" w:rsidP="00A0764C">
      <w:pPr>
        <w:pStyle w:val="FootnoteText"/>
      </w:pPr>
      <w:r>
        <w:rPr>
          <w:rStyle w:val="FootnoteReference"/>
        </w:rPr>
        <w:footnoteRef/>
      </w:r>
      <w:r>
        <w:t xml:space="preserve"> E.g., </w:t>
      </w:r>
      <w:r w:rsidR="001D50FA">
        <w:t>Mur</w:t>
      </w:r>
      <w:r w:rsidR="001868D1">
        <w:t>ray</w:t>
      </w:r>
      <w:r w:rsidR="001D50FA">
        <w:t xml:space="preserve">, </w:t>
      </w:r>
      <w:r w:rsidR="001D50FA">
        <w:rPr>
          <w:i/>
          <w:iCs/>
        </w:rPr>
        <w:t>Puritan Hope</w:t>
      </w:r>
      <w:r w:rsidR="001868D1">
        <w:t>;</w:t>
      </w:r>
      <w:r w:rsidR="002E4318">
        <w:t xml:space="preserve"> </w:t>
      </w:r>
      <w:r w:rsidR="007E4B31">
        <w:t xml:space="preserve">Gros, </w:t>
      </w:r>
      <w:r w:rsidR="007E4B31">
        <w:rPr>
          <w:i/>
          <w:iCs/>
        </w:rPr>
        <w:t>Origins</w:t>
      </w:r>
      <w:r w:rsidR="007E4B31">
        <w:t xml:space="preserve">; </w:t>
      </w:r>
      <w:r w:rsidR="00F20BBD">
        <w:t xml:space="preserve">Church, </w:t>
      </w:r>
      <w:r w:rsidR="00F20BBD">
        <w:rPr>
          <w:i/>
          <w:iCs/>
        </w:rPr>
        <w:t>Gospel</w:t>
      </w:r>
      <w:r w:rsidR="00D7122C">
        <w:t>;</w:t>
      </w:r>
      <w:r w:rsidR="007E4B31">
        <w:rPr>
          <w:i/>
          <w:iCs/>
        </w:rPr>
        <w:t xml:space="preserve"> </w:t>
      </w:r>
      <w:r>
        <w:t xml:space="preserve">Chapman, </w:t>
      </w:r>
      <w:r w:rsidR="00352EC7">
        <w:rPr>
          <w:i/>
          <w:iCs/>
        </w:rPr>
        <w:t>Prophecy</w:t>
      </w:r>
      <w:r w:rsidR="00965C8D">
        <w:t>;</w:t>
      </w:r>
      <w:r w:rsidR="00A0764C">
        <w:t xml:space="preserve"> Lindsey, </w:t>
      </w:r>
      <w:r w:rsidR="00A0764C" w:rsidRPr="00A0764C">
        <w:rPr>
          <w:i/>
          <w:iCs/>
        </w:rPr>
        <w:t>Late Great Planet</w:t>
      </w:r>
      <w:r w:rsidR="00A0764C">
        <w:t>.</w:t>
      </w:r>
    </w:p>
  </w:footnote>
  <w:footnote w:id="60">
    <w:p w14:paraId="7FA50E33" w14:textId="1C9CA089" w:rsidR="00753F81" w:rsidRPr="00F67E13" w:rsidRDefault="00753F81">
      <w:pPr>
        <w:pStyle w:val="FootnoteText"/>
      </w:pPr>
      <w:r>
        <w:rPr>
          <w:rStyle w:val="FootnoteReference"/>
        </w:rPr>
        <w:footnoteRef/>
      </w:r>
      <w:r>
        <w:t xml:space="preserve"> See </w:t>
      </w:r>
      <w:r w:rsidR="00D77BD9">
        <w:t xml:space="preserve">von </w:t>
      </w:r>
      <w:r w:rsidR="00D77BD9">
        <w:t>D</w:t>
      </w:r>
      <w:r w:rsidR="00436744">
        <w:rPr>
          <w:rFonts w:cstheme="minorHAnsi"/>
        </w:rPr>
        <w:t>ä</w:t>
      </w:r>
      <w:r w:rsidR="00436744">
        <w:t xml:space="preserve">niken, </w:t>
      </w:r>
      <w:r w:rsidR="00436744">
        <w:rPr>
          <w:i/>
          <w:iCs/>
        </w:rPr>
        <w:t>Chariots</w:t>
      </w:r>
      <w:r w:rsidR="00436744">
        <w:t xml:space="preserve">; </w:t>
      </w:r>
      <w:r w:rsidR="002A59D7">
        <w:t xml:space="preserve">Blumrich, </w:t>
      </w:r>
      <w:r w:rsidR="002A59D7" w:rsidRPr="00AC332B">
        <w:rPr>
          <w:i/>
          <w:iCs/>
        </w:rPr>
        <w:t>Spaceships</w:t>
      </w:r>
      <w:r w:rsidR="00F67E13">
        <w:t xml:space="preserve">; Liebe, </w:t>
      </w:r>
      <w:r w:rsidR="00F67E13">
        <w:rPr>
          <w:i/>
          <w:iCs/>
        </w:rPr>
        <w:t>Children</w:t>
      </w:r>
      <w:r w:rsidR="00F67E13">
        <w:t>.</w:t>
      </w:r>
    </w:p>
  </w:footnote>
  <w:footnote w:id="61">
    <w:p w14:paraId="7FCBE66F" w14:textId="162B75E7" w:rsidR="004E3A0B" w:rsidRPr="00624138" w:rsidRDefault="004E3A0B" w:rsidP="004E3A0B">
      <w:pPr>
        <w:pStyle w:val="FootnoteText"/>
      </w:pPr>
      <w:r w:rsidRPr="00624138">
        <w:rPr>
          <w:rStyle w:val="FootnoteReference"/>
        </w:rPr>
        <w:footnoteRef/>
      </w:r>
      <w:r w:rsidRPr="00624138">
        <w:t xml:space="preserve"> J. </w:t>
      </w:r>
      <w:r w:rsidRPr="00624138">
        <w:t>Reumann, “</w:t>
      </w:r>
      <w:r w:rsidRPr="00624138">
        <w:rPr>
          <w:i/>
        </w:rPr>
        <w:t>Oikonomia</w:t>
      </w:r>
      <w:r w:rsidRPr="00624138">
        <w:t xml:space="preserve">-terms in Paul in </w:t>
      </w:r>
      <w:r>
        <w:t>C</w:t>
      </w:r>
      <w:r w:rsidRPr="00624138">
        <w:t xml:space="preserve">omparison with Lucan </w:t>
      </w:r>
      <w:r w:rsidRPr="00624138">
        <w:rPr>
          <w:i/>
        </w:rPr>
        <w:t>Heilsgeschichte</w:t>
      </w:r>
      <w:r w:rsidRPr="00624138">
        <w:t xml:space="preserve">,” </w:t>
      </w:r>
      <w:r w:rsidRPr="00624138">
        <w:rPr>
          <w:i/>
        </w:rPr>
        <w:t xml:space="preserve">New Testament Studies </w:t>
      </w:r>
      <w:r>
        <w:t>13 (1966</w:t>
      </w:r>
      <w:r w:rsidR="001943CB">
        <w:t>–</w:t>
      </w:r>
      <w:r>
        <w:t>67): 147</w:t>
      </w:r>
      <w:r w:rsidR="001943CB">
        <w:t>–</w:t>
      </w:r>
      <w:r>
        <w:t>67 (</w:t>
      </w:r>
      <w:r w:rsidRPr="00624138">
        <w:t>147).</w:t>
      </w:r>
    </w:p>
  </w:footnote>
  <w:footnote w:id="62">
    <w:p w14:paraId="7037F04F" w14:textId="672C2320" w:rsidR="00655E44" w:rsidRDefault="00655E44">
      <w:pPr>
        <w:pStyle w:val="FootnoteText"/>
      </w:pPr>
      <w:r>
        <w:rPr>
          <w:rStyle w:val="FootnoteReference"/>
        </w:rPr>
        <w:footnoteRef/>
      </w:r>
      <w:r>
        <w:t xml:space="preserve"> Cf. Joyce, “</w:t>
      </w:r>
      <w:r>
        <w:t>Synchonic and Diachronic.”</w:t>
      </w:r>
    </w:p>
  </w:footnote>
  <w:footnote w:id="63">
    <w:p w14:paraId="0A3D3EEC" w14:textId="77777777" w:rsidR="00CD3214" w:rsidRDefault="00CD3214" w:rsidP="00CD3214">
      <w:pPr>
        <w:pStyle w:val="FootnoteText"/>
      </w:pPr>
      <w:r>
        <w:rPr>
          <w:rStyle w:val="FootnoteReference"/>
        </w:rPr>
        <w:footnoteRef/>
      </w:r>
      <w:r>
        <w:t xml:space="preserve"> </w:t>
      </w:r>
      <w:r>
        <w:rPr>
          <w:lang w:val="en-GB"/>
        </w:rPr>
        <w:t>Konkel, “Biographie.”</w:t>
      </w:r>
    </w:p>
  </w:footnote>
  <w:footnote w:id="64">
    <w:p w14:paraId="75375F1C" w14:textId="54B03140" w:rsidR="00E12306" w:rsidRPr="00404791" w:rsidRDefault="00C510A4" w:rsidP="00404791">
      <w:pPr>
        <w:pStyle w:val="FootnoteText"/>
        <w:rPr>
          <w:lang w:val="en-GB"/>
        </w:rPr>
      </w:pPr>
      <w:r>
        <w:rPr>
          <w:rStyle w:val="FootnoteReference"/>
        </w:rPr>
        <w:footnoteRef/>
      </w:r>
      <w:r w:rsidR="00C726C3">
        <w:t xml:space="preserve"> </w:t>
      </w:r>
      <w:r w:rsidR="00950F76">
        <w:t>Halperin</w:t>
      </w:r>
      <w:r w:rsidR="00C726C3">
        <w:t>,</w:t>
      </w:r>
      <w:r>
        <w:t xml:space="preserve"> </w:t>
      </w:r>
      <w:r>
        <w:rPr>
          <w:i/>
          <w:iCs/>
        </w:rPr>
        <w:t xml:space="preserve">Seeking, </w:t>
      </w:r>
      <w:r>
        <w:t>217, 220.</w:t>
      </w:r>
      <w:r w:rsidR="00E12306">
        <w:t xml:space="preserve"> </w:t>
      </w:r>
    </w:p>
  </w:footnote>
  <w:footnote w:id="65">
    <w:p w14:paraId="3EF48AD6" w14:textId="04A1D04D" w:rsidR="001B688B" w:rsidRPr="00B20CC8" w:rsidRDefault="001B688B" w:rsidP="00B20CC8">
      <w:pPr>
        <w:pStyle w:val="FootnoteText"/>
        <w:rPr>
          <w:lang w:val="en-GB"/>
        </w:rPr>
      </w:pPr>
      <w:r>
        <w:rPr>
          <w:rStyle w:val="FootnoteReference"/>
        </w:rPr>
        <w:footnoteRef/>
      </w:r>
      <w:r>
        <w:t xml:space="preserve"> </w:t>
      </w:r>
      <w:r>
        <w:t xml:space="preserve">Ellens and Rollins, </w:t>
      </w:r>
      <w:r w:rsidRPr="007605E0">
        <w:rPr>
          <w:i/>
          <w:iCs/>
        </w:rPr>
        <w:t>Psychology and the Bible</w:t>
      </w:r>
      <w:r>
        <w:t>, 2:185</w:t>
      </w:r>
      <w:r w:rsidR="001943CB">
        <w:t>–</w:t>
      </w:r>
      <w:r w:rsidR="000677BE">
        <w:t>2</w:t>
      </w:r>
      <w:r>
        <w:t>35</w:t>
      </w:r>
      <w:r w:rsidR="00B20CC8">
        <w:t xml:space="preserve">; </w:t>
      </w:r>
      <w:r w:rsidR="00B20CC8">
        <w:rPr>
          <w:lang w:val="en-GB"/>
        </w:rPr>
        <w:t xml:space="preserve">Tuell, “Madness”; Smith-Christopher, </w:t>
      </w:r>
      <w:r w:rsidR="00B20CC8">
        <w:rPr>
          <w:i/>
          <w:iCs/>
          <w:lang w:val="en-GB"/>
        </w:rPr>
        <w:t>Biblical Theology</w:t>
      </w:r>
      <w:r w:rsidR="00B20CC8">
        <w:rPr>
          <w:lang w:val="en-GB"/>
        </w:rPr>
        <w:t>, 83</w:t>
      </w:r>
      <w:r w:rsidR="001943CB">
        <w:rPr>
          <w:lang w:val="en-GB"/>
        </w:rPr>
        <w:t>–</w:t>
      </w:r>
      <w:r w:rsidR="00B20CC8">
        <w:rPr>
          <w:lang w:val="en-GB"/>
        </w:rPr>
        <w:t>89</w:t>
      </w:r>
      <w:r w:rsidR="00995F1A">
        <w:rPr>
          <w:lang w:val="en-GB"/>
        </w:rPr>
        <w:t xml:space="preserve">; </w:t>
      </w:r>
      <w:r w:rsidR="00C624D9">
        <w:rPr>
          <w:rFonts w:ascii="Calibri" w:eastAsia="Times New Roman" w:hAnsi="Calibri" w:cs="Calibri"/>
          <w:color w:val="000000"/>
          <w:lang w:val="de-DE" w:eastAsia="en-GB"/>
        </w:rPr>
        <w:t xml:space="preserve">Stiebert, </w:t>
      </w:r>
      <w:r w:rsidR="00C624D9" w:rsidRPr="004F3194">
        <w:rPr>
          <w:rFonts w:ascii="Calibri" w:eastAsia="Times New Roman" w:hAnsi="Calibri" w:cs="Calibri"/>
          <w:i/>
          <w:iCs/>
          <w:color w:val="000000"/>
          <w:lang w:eastAsia="en-GB"/>
        </w:rPr>
        <w:t>Prophet’s Wife</w:t>
      </w:r>
      <w:r w:rsidR="00C624D9">
        <w:rPr>
          <w:rFonts w:ascii="Calibri" w:eastAsia="Times New Roman" w:hAnsi="Calibri" w:cs="Calibri"/>
          <w:color w:val="000000"/>
          <w:lang w:eastAsia="en-GB"/>
        </w:rPr>
        <w:t xml:space="preserve">, </w:t>
      </w:r>
      <w:r w:rsidR="00796984">
        <w:rPr>
          <w:rFonts w:ascii="Calibri" w:eastAsia="Times New Roman" w:hAnsi="Calibri" w:cs="Calibri"/>
          <w:color w:val="000000"/>
          <w:lang w:eastAsia="en-GB"/>
        </w:rPr>
        <w:t>84</w:t>
      </w:r>
      <w:r w:rsidR="001943CB">
        <w:rPr>
          <w:rFonts w:ascii="Calibri" w:eastAsia="Times New Roman" w:hAnsi="Calibri" w:cs="Calibri"/>
          <w:color w:val="000000"/>
          <w:lang w:eastAsia="en-GB"/>
        </w:rPr>
        <w:t>–</w:t>
      </w:r>
      <w:r w:rsidR="00796984">
        <w:rPr>
          <w:rFonts w:ascii="Calibri" w:eastAsia="Times New Roman" w:hAnsi="Calibri" w:cs="Calibri"/>
          <w:color w:val="000000"/>
          <w:lang w:eastAsia="en-GB"/>
        </w:rPr>
        <w:t>108</w:t>
      </w:r>
      <w:r w:rsidR="00A150A1">
        <w:rPr>
          <w:rFonts w:ascii="Calibri" w:eastAsia="Times New Roman" w:hAnsi="Calibri" w:cs="Calibri"/>
          <w:color w:val="000000"/>
          <w:lang w:eastAsia="en-GB"/>
        </w:rPr>
        <w:t>; Cook, “Psychiatry</w:t>
      </w:r>
      <w:r w:rsidR="00503031">
        <w:rPr>
          <w:rFonts w:ascii="Calibri" w:eastAsia="Times New Roman" w:hAnsi="Calibri" w:cs="Calibri"/>
          <w:color w:val="000000"/>
          <w:lang w:eastAsia="en-GB"/>
        </w:rPr>
        <w:t>”; Pilch, “Ezekiel.”</w:t>
      </w:r>
    </w:p>
  </w:footnote>
  <w:footnote w:id="66">
    <w:p w14:paraId="7CE75356" w14:textId="65C5308E" w:rsidR="00950F76" w:rsidRPr="00950F76" w:rsidRDefault="00100715" w:rsidP="00950F76">
      <w:pPr>
        <w:pStyle w:val="FootnoteText"/>
      </w:pPr>
      <w:r>
        <w:rPr>
          <w:rStyle w:val="FootnoteReference"/>
        </w:rPr>
        <w:footnoteRef/>
      </w:r>
      <w:r>
        <w:t xml:space="preserve"> Sweeney, “Eschatology,” 279.</w:t>
      </w:r>
      <w:r w:rsidR="00ED2871">
        <w:t xml:space="preserve"> Cf. Rom-</w:t>
      </w:r>
      <w:r w:rsidR="00ED2871">
        <w:t>Sholo</w:t>
      </w:r>
      <w:r w:rsidR="008468D6">
        <w:t>n</w:t>
      </w:r>
      <w:r w:rsidR="00ED2871">
        <w:t xml:space="preserve">i, </w:t>
      </w:r>
      <w:r w:rsidR="00ED2871">
        <w:rPr>
          <w:i/>
          <w:iCs/>
        </w:rPr>
        <w:t>Voices</w:t>
      </w:r>
      <w:r w:rsidR="00950F76">
        <w:rPr>
          <w:i/>
          <w:iCs/>
        </w:rPr>
        <w:t xml:space="preserve">; </w:t>
      </w:r>
      <w:r w:rsidR="00950F76">
        <w:t>Tiemeyer, “To Read</w:t>
      </w:r>
      <w:r w:rsidR="00116570">
        <w:t xml:space="preserve">”; </w:t>
      </w:r>
      <w:r w:rsidR="00116570" w:rsidRPr="001A4BC0">
        <w:rPr>
          <w:color w:val="000000"/>
        </w:rPr>
        <w:t>Waschke. "Theodizee-Problem</w:t>
      </w:r>
      <w:r w:rsidR="000D6136">
        <w:rPr>
          <w:color w:val="000000"/>
        </w:rPr>
        <w:t>.”</w:t>
      </w:r>
    </w:p>
  </w:footnote>
  <w:footnote w:id="67">
    <w:p w14:paraId="43F8E26F" w14:textId="72437D28" w:rsidR="00CB1F88" w:rsidRDefault="00CB1F88" w:rsidP="00CB1F88">
      <w:pPr>
        <w:pStyle w:val="FootnoteText"/>
      </w:pPr>
      <w:r>
        <w:rPr>
          <w:rStyle w:val="FootnoteReference"/>
        </w:rPr>
        <w:footnoteRef/>
      </w:r>
      <w:r>
        <w:t xml:space="preserve"> </w:t>
      </w:r>
      <w:r>
        <w:t>Fishbane, “Sin,” 147</w:t>
      </w:r>
      <w:r w:rsidR="001943CB">
        <w:t>–</w:t>
      </w:r>
      <w:r>
        <w:t>48.</w:t>
      </w:r>
    </w:p>
  </w:footnote>
  <w:footnote w:id="68">
    <w:p w14:paraId="044CB266" w14:textId="0C2019C8" w:rsidR="006218E1" w:rsidRPr="00996451" w:rsidRDefault="006218E1" w:rsidP="00996451">
      <w:pPr>
        <w:pStyle w:val="FootnoteText"/>
      </w:pPr>
      <w:r>
        <w:rPr>
          <w:rStyle w:val="FootnoteReference"/>
        </w:rPr>
        <w:footnoteRef/>
      </w:r>
      <w:r>
        <w:t xml:space="preserve"> See Poser, </w:t>
      </w:r>
      <w:r>
        <w:rPr>
          <w:i/>
          <w:iCs/>
        </w:rPr>
        <w:t>Ezechielbuch</w:t>
      </w:r>
      <w:r>
        <w:t xml:space="preserve">; Poser, “No Words”; Kelle, “Dealing”; </w:t>
      </w:r>
      <w:r>
        <w:rPr>
          <w:lang w:val="en-GB"/>
        </w:rPr>
        <w:t xml:space="preserve">Kelle,  “Creation and Trauma”; </w:t>
      </w:r>
      <w:r>
        <w:t xml:space="preserve">Garber, “Vocabulary”; Garber, “Bitterness”; Smith-Christopher, “Fanon’s Couch”; </w:t>
      </w:r>
      <w:r w:rsidRPr="00C07D3F">
        <w:rPr>
          <w:lang w:val="en-GB"/>
        </w:rPr>
        <w:t>Stulman, “Disaster.”</w:t>
      </w:r>
    </w:p>
  </w:footnote>
  <w:footnote w:id="69">
    <w:p w14:paraId="160C49FB" w14:textId="16E62E83" w:rsidR="00504353" w:rsidRDefault="00504353" w:rsidP="00504353">
      <w:pPr>
        <w:pStyle w:val="FootnoteText"/>
      </w:pPr>
      <w:r>
        <w:rPr>
          <w:rStyle w:val="FootnoteReference"/>
        </w:rPr>
        <w:footnoteRef/>
      </w:r>
      <w:r>
        <w:t xml:space="preserve"> Cf. </w:t>
      </w:r>
      <w:r>
        <w:t>Darr, “God Ezekiel Envisions.”</w:t>
      </w:r>
    </w:p>
  </w:footnote>
  <w:footnote w:id="70">
    <w:p w14:paraId="10420F0A" w14:textId="77777777" w:rsidR="0076324C" w:rsidRDefault="0076324C" w:rsidP="0076324C">
      <w:pPr>
        <w:pStyle w:val="FootnoteText"/>
      </w:pPr>
      <w:r>
        <w:rPr>
          <w:rStyle w:val="FootnoteReference"/>
        </w:rPr>
        <w:footnoteRef/>
      </w:r>
      <w:r>
        <w:t xml:space="preserve"> Poser, “No Words,” 236.</w:t>
      </w:r>
    </w:p>
  </w:footnote>
  <w:footnote w:id="71">
    <w:p w14:paraId="77BF1259" w14:textId="0BA29BBE" w:rsidR="00B33FE4" w:rsidRPr="00B15EB3" w:rsidRDefault="00B33FE4">
      <w:pPr>
        <w:pStyle w:val="FootnoteText"/>
      </w:pPr>
      <w:r>
        <w:rPr>
          <w:rStyle w:val="FootnoteReference"/>
        </w:rPr>
        <w:footnoteRef/>
      </w:r>
      <w:r>
        <w:t xml:space="preserve"> </w:t>
      </w:r>
      <w:r w:rsidR="000C1D6E">
        <w:t>Parul Se</w:t>
      </w:r>
      <w:r w:rsidR="0087112C">
        <w:t>h</w:t>
      </w:r>
      <w:r w:rsidR="000C1D6E">
        <w:t>gal</w:t>
      </w:r>
      <w:r w:rsidR="00B15EB3">
        <w:t xml:space="preserve">, “The Case against the Trauma Plot,” </w:t>
      </w:r>
      <w:r w:rsidR="00B15EB3">
        <w:rPr>
          <w:i/>
          <w:iCs/>
        </w:rPr>
        <w:t>The New Yorker</w:t>
      </w:r>
      <w:r w:rsidR="00B15EB3">
        <w:t xml:space="preserve"> </w:t>
      </w:r>
      <w:r w:rsidR="002C4C33">
        <w:t>January 3 and 10, 2022</w:t>
      </w:r>
      <w:r w:rsidR="003E1F02">
        <w:t>, 62</w:t>
      </w:r>
      <w:r w:rsidR="001943CB">
        <w:t>–</w:t>
      </w:r>
      <w:r w:rsidR="003E1F02">
        <w:t>67.</w:t>
      </w:r>
    </w:p>
  </w:footnote>
  <w:footnote w:id="72">
    <w:p w14:paraId="2B1DD2D9" w14:textId="0A5C6E78" w:rsidR="00743820" w:rsidRPr="00743820" w:rsidRDefault="00E77A07" w:rsidP="00743820">
      <w:pPr>
        <w:pStyle w:val="FootnoteText"/>
        <w:rPr>
          <w:rFonts w:ascii="Calibri" w:hAnsi="Calibri" w:cs="Calibri"/>
          <w:color w:val="000000" w:themeColor="text1"/>
        </w:rPr>
      </w:pPr>
      <w:r>
        <w:rPr>
          <w:rStyle w:val="FootnoteReference"/>
        </w:rPr>
        <w:footnoteRef/>
      </w:r>
      <w:r>
        <w:t xml:space="preserve"> </w:t>
      </w:r>
      <w:r w:rsidR="001508DC">
        <w:t>Carvalho, “Sex,”</w:t>
      </w:r>
      <w:r w:rsidR="00175E1D">
        <w:t xml:space="preserve"> </w:t>
      </w:r>
      <w:r w:rsidR="00175E1D" w:rsidRPr="00BE4A0E">
        <w:t>242.</w:t>
      </w:r>
      <w:r w:rsidR="00EC149B" w:rsidRPr="00BE4A0E">
        <w:t xml:space="preserve"> See also </w:t>
      </w:r>
      <w:r w:rsidR="00EC149B" w:rsidRPr="00BE4A0E">
        <w:rPr>
          <w:rFonts w:ascii="Calibri" w:hAnsi="Calibri" w:cs="Calibri"/>
          <w:color w:val="000000" w:themeColor="text1"/>
        </w:rPr>
        <w:t>Jost and Seifert. “Ezekiel</w:t>
      </w:r>
      <w:r w:rsidR="00743820">
        <w:rPr>
          <w:rFonts w:ascii="Calibri" w:hAnsi="Calibri" w:cs="Calibri"/>
          <w:color w:val="000000" w:themeColor="text1"/>
        </w:rPr>
        <w:t xml:space="preserve">”; </w:t>
      </w:r>
      <w:r w:rsidR="00743820">
        <w:rPr>
          <w:rFonts w:cstheme="minorHAnsi"/>
          <w:color w:val="555555"/>
          <w:shd w:val="clear" w:color="auto" w:fill="FFFFFF"/>
        </w:rPr>
        <w:t>Meyers, “</w:t>
      </w:r>
      <w:r w:rsidR="00743820">
        <w:t>Engendering” 287.</w:t>
      </w:r>
    </w:p>
  </w:footnote>
  <w:footnote w:id="73">
    <w:p w14:paraId="66949147" w14:textId="10C99B04" w:rsidR="00244D3A" w:rsidRDefault="00AA726F" w:rsidP="00244D3A">
      <w:pPr>
        <w:pStyle w:val="FootnoteText"/>
      </w:pPr>
      <w:r>
        <w:rPr>
          <w:rStyle w:val="FootnoteReference"/>
        </w:rPr>
        <w:footnoteRef/>
      </w:r>
      <w:r>
        <w:t xml:space="preserve"> </w:t>
      </w:r>
      <w:r w:rsidR="009F2F99">
        <w:t>E.g., Joo, “Off-centering</w:t>
      </w:r>
      <w:r w:rsidR="00244D3A">
        <w:t>”; Ruiz, “Exile’s Baggage:</w:t>
      </w:r>
    </w:p>
  </w:footnote>
  <w:footnote w:id="74">
    <w:p w14:paraId="5D29CF9D" w14:textId="55F27874" w:rsidR="00A90A4A" w:rsidRDefault="00A90A4A">
      <w:pPr>
        <w:pStyle w:val="FootnoteText"/>
      </w:pPr>
      <w:r>
        <w:rPr>
          <w:rStyle w:val="FootnoteReference"/>
        </w:rPr>
        <w:footnoteRef/>
      </w:r>
      <w:r>
        <w:t xml:space="preserve"> Davidson, </w:t>
      </w:r>
      <w:r w:rsidR="0016659D">
        <w:t>“Geographies.”</w:t>
      </w:r>
    </w:p>
  </w:footnote>
  <w:footnote w:id="75">
    <w:p w14:paraId="3B7A53B4" w14:textId="77777777" w:rsidR="005570AF" w:rsidRPr="009767DB" w:rsidRDefault="005570AF" w:rsidP="005570AF">
      <w:pPr>
        <w:pStyle w:val="FootnoteText"/>
      </w:pPr>
      <w:r>
        <w:rPr>
          <w:rStyle w:val="FootnoteReference"/>
        </w:rPr>
        <w:footnoteRef/>
      </w:r>
      <w:r>
        <w:t xml:space="preserve"> Crouch, </w:t>
      </w:r>
      <w:r>
        <w:rPr>
          <w:i/>
          <w:iCs/>
        </w:rPr>
        <w:t>Israel and Judah</w:t>
      </w:r>
      <w:r>
        <w:t>.</w:t>
      </w:r>
    </w:p>
  </w:footnote>
  <w:footnote w:id="76">
    <w:p w14:paraId="7A83000B" w14:textId="49BFAD41" w:rsidR="00AB4718" w:rsidRDefault="00AB4718">
      <w:pPr>
        <w:pStyle w:val="FootnoteText"/>
      </w:pPr>
      <w:r>
        <w:rPr>
          <w:rStyle w:val="FootnoteReference"/>
        </w:rPr>
        <w:footnoteRef/>
      </w:r>
      <w:r>
        <w:t xml:space="preserve"> </w:t>
      </w:r>
      <w:r w:rsidR="00F77E41">
        <w:t>E.g., Ahn</w:t>
      </w:r>
      <w:r w:rsidR="005B2859">
        <w:t xml:space="preserve"> and </w:t>
      </w:r>
      <w:r w:rsidR="00F77E41">
        <w:t xml:space="preserve">Middlemas, </w:t>
      </w:r>
      <w:r w:rsidR="00441C8C">
        <w:rPr>
          <w:i/>
          <w:iCs/>
        </w:rPr>
        <w:t>Irrigation Canals</w:t>
      </w:r>
      <w:r w:rsidR="00441C8C">
        <w:t>;</w:t>
      </w:r>
      <w:r w:rsidR="00441C8C">
        <w:rPr>
          <w:i/>
          <w:iCs/>
        </w:rPr>
        <w:t xml:space="preserve"> </w:t>
      </w:r>
      <w:r>
        <w:t>Rom-Shiloni</w:t>
      </w:r>
      <w:r w:rsidR="00094551">
        <w:t xml:space="preserve"> </w:t>
      </w:r>
      <w:r w:rsidR="005548FA">
        <w:t>(</w:t>
      </w:r>
      <w:r w:rsidR="00094551">
        <w:t>“Forced/Involuntary Migration”</w:t>
      </w:r>
      <w:r w:rsidR="005548FA">
        <w:t>)</w:t>
      </w:r>
      <w:r w:rsidR="00094551">
        <w:t xml:space="preserve"> </w:t>
      </w:r>
      <w:r w:rsidR="00177C83">
        <w:t>particularly presses</w:t>
      </w:r>
      <w:r w:rsidR="00094551">
        <w:t xml:space="preserve"> the issues of method</w:t>
      </w:r>
      <w:r w:rsidR="001F2424">
        <w:t xml:space="preserve"> in this study</w:t>
      </w:r>
      <w:r w:rsidR="00177C83">
        <w:t>.</w:t>
      </w:r>
    </w:p>
  </w:footnote>
  <w:footnote w:id="77">
    <w:p w14:paraId="19A33BB6" w14:textId="2212912D" w:rsidR="00370440" w:rsidRDefault="00370440" w:rsidP="00370440">
      <w:pPr>
        <w:pStyle w:val="FootnoteText"/>
      </w:pPr>
      <w:r>
        <w:rPr>
          <w:rStyle w:val="FootnoteReference"/>
        </w:rPr>
        <w:footnoteRef/>
      </w:r>
      <w:r>
        <w:t xml:space="preserve"> </w:t>
      </w:r>
      <w:r w:rsidR="00BA456E" w:rsidRPr="00CB320B">
        <w:rPr>
          <w:shd w:val="clear" w:color="auto" w:fill="FFFFFF"/>
        </w:rPr>
        <w:t xml:space="preserve">Furman, </w:t>
      </w:r>
      <w:r w:rsidR="001D2D33">
        <w:rPr>
          <w:shd w:val="clear" w:color="auto" w:fill="FFFFFF"/>
        </w:rPr>
        <w:t xml:space="preserve">“Trauma”; </w:t>
      </w:r>
      <w:r>
        <w:t>Strine, “Anthropology.”</w:t>
      </w:r>
    </w:p>
  </w:footnote>
  <w:footnote w:id="78">
    <w:p w14:paraId="62F45A0B" w14:textId="1F4CEBEE" w:rsidR="009E4C15" w:rsidRDefault="009E4C15" w:rsidP="009E4C15">
      <w:pPr>
        <w:pStyle w:val="FootnoteText"/>
      </w:pPr>
      <w:r>
        <w:rPr>
          <w:rStyle w:val="FootnoteReference"/>
        </w:rPr>
        <w:footnoteRef/>
      </w:r>
      <w:r>
        <w:t xml:space="preserve"> Smith-Christopher, “Abu Ghraib</w:t>
      </w:r>
      <w:r w:rsidR="00182266">
        <w:t xml:space="preserve">”; </w:t>
      </w:r>
      <w:r w:rsidR="00182266">
        <w:t>Strine, “Exile.”</w:t>
      </w:r>
    </w:p>
  </w:footnote>
  <w:footnote w:id="79">
    <w:p w14:paraId="0712B876" w14:textId="1FF5D92B" w:rsidR="00362CD0" w:rsidRDefault="00362CD0">
      <w:pPr>
        <w:pStyle w:val="FootnoteText"/>
      </w:pPr>
      <w:r>
        <w:rPr>
          <w:rStyle w:val="FootnoteReference"/>
        </w:rPr>
        <w:footnoteRef/>
      </w:r>
      <w:r>
        <w:t xml:space="preserve"> Crouch,  </w:t>
      </w:r>
      <w:r w:rsidR="000C31CA">
        <w:t xml:space="preserve">“Before and </w:t>
      </w:r>
      <w:r w:rsidR="009767DB">
        <w:t>A</w:t>
      </w:r>
      <w:r w:rsidR="000C31CA">
        <w:t xml:space="preserve">fter,” </w:t>
      </w:r>
      <w:r>
        <w:t>356.</w:t>
      </w:r>
    </w:p>
  </w:footnote>
  <w:footnote w:id="80">
    <w:p w14:paraId="11141374" w14:textId="5A00520A" w:rsidR="00F71503" w:rsidRPr="00CB2A93" w:rsidRDefault="00F71503">
      <w:pPr>
        <w:pStyle w:val="FootnoteText"/>
      </w:pPr>
      <w:r>
        <w:rPr>
          <w:rStyle w:val="FootnoteReference"/>
        </w:rPr>
        <w:footnoteRef/>
      </w:r>
      <w:r>
        <w:t xml:space="preserve"> Carley, </w:t>
      </w:r>
      <w:r w:rsidR="00513498">
        <w:t>“Ezekiel’s Formula</w:t>
      </w:r>
      <w:r w:rsidR="00350B72">
        <w:t>,</w:t>
      </w:r>
      <w:r w:rsidR="00513498">
        <w:t>”</w:t>
      </w:r>
      <w:r w:rsidR="00350B72">
        <w:t xml:space="preserve"> 43.</w:t>
      </w:r>
      <w:r w:rsidR="00F331B8">
        <w:t xml:space="preserve"> See further</w:t>
      </w:r>
      <w:r w:rsidR="00C840D0">
        <w:t xml:space="preserve"> </w:t>
      </w:r>
      <w:r w:rsidR="00BE7DCD">
        <w:t xml:space="preserve">Carley, “Harshness”; </w:t>
      </w:r>
      <w:r w:rsidR="00C840D0">
        <w:t xml:space="preserve">Cook and </w:t>
      </w:r>
      <w:r w:rsidR="00D61950">
        <w:t>Patton,</w:t>
      </w:r>
      <w:r w:rsidR="00D61950">
        <w:rPr>
          <w:i/>
          <w:iCs/>
        </w:rPr>
        <w:t xml:space="preserve"> Hierar</w:t>
      </w:r>
      <w:r w:rsidR="00CB2A93">
        <w:rPr>
          <w:i/>
          <w:iCs/>
        </w:rPr>
        <w:t>c</w:t>
      </w:r>
      <w:r w:rsidR="00D61950">
        <w:rPr>
          <w:i/>
          <w:iCs/>
        </w:rPr>
        <w:t>hical World</w:t>
      </w:r>
      <w:r w:rsidR="00CB2A93">
        <w:t xml:space="preserve">, </w:t>
      </w:r>
      <w:r w:rsidR="00C62A23">
        <w:t>19</w:t>
      </w:r>
      <w:r w:rsidR="001943CB">
        <w:t>–</w:t>
      </w:r>
      <w:r w:rsidR="00C62A23">
        <w:t xml:space="preserve">20, </w:t>
      </w:r>
      <w:r w:rsidR="003F1837">
        <w:t>91</w:t>
      </w:r>
      <w:r w:rsidR="001943CB">
        <w:t>–</w:t>
      </w:r>
      <w:r w:rsidR="003F1837">
        <w:t>140.</w:t>
      </w:r>
    </w:p>
  </w:footnote>
  <w:footnote w:id="81">
    <w:p w14:paraId="4D4E9940" w14:textId="2D48E6EF" w:rsidR="00633EED" w:rsidRDefault="00633EED">
      <w:pPr>
        <w:pStyle w:val="FootnoteText"/>
      </w:pPr>
      <w:r>
        <w:rPr>
          <w:rStyle w:val="FootnoteReference"/>
        </w:rPr>
        <w:footnoteRef/>
      </w:r>
      <w:r>
        <w:t xml:space="preserve"> E.g., </w:t>
      </w:r>
      <w:r>
        <w:t>Galambush, “Land.”</w:t>
      </w:r>
    </w:p>
  </w:footnote>
  <w:footnote w:id="82">
    <w:p w14:paraId="43323825" w14:textId="23F58728" w:rsidR="005B5F45" w:rsidRDefault="005B5F45">
      <w:pPr>
        <w:pStyle w:val="FootnoteText"/>
      </w:pPr>
      <w:r>
        <w:rPr>
          <w:rStyle w:val="FootnoteReference"/>
        </w:rPr>
        <w:footnoteRef/>
      </w:r>
      <w:r>
        <w:t xml:space="preserve"> E.g., </w:t>
      </w:r>
      <w:r>
        <w:t xml:space="preserve">Darr, </w:t>
      </w:r>
      <w:r w:rsidR="00653A86">
        <w:t>in her commentary</w:t>
      </w:r>
      <w:r>
        <w:t xml:space="preserve">; Dempsey, </w:t>
      </w:r>
      <w:r w:rsidR="000F6FE2">
        <w:t xml:space="preserve">“Hope Amid Crisis,” </w:t>
      </w:r>
      <w:r w:rsidR="002B0EC7">
        <w:t>2</w:t>
      </w:r>
      <w:r w:rsidR="005871EE">
        <w:t>74</w:t>
      </w:r>
      <w:r w:rsidR="007D3A23">
        <w:t>.</w:t>
      </w:r>
      <w:r w:rsidR="005871EE">
        <w:t xml:space="preserve"> </w:t>
      </w:r>
      <w:r w:rsidR="007D3A23">
        <w:t xml:space="preserve">See further </w:t>
      </w:r>
      <w:r w:rsidR="005871EE">
        <w:t>Lyons</w:t>
      </w:r>
      <w:r w:rsidR="007D3A23">
        <w:t>, “</w:t>
      </w:r>
      <w:r w:rsidR="00A76723">
        <w:t>Environmental Ethics.”</w:t>
      </w:r>
    </w:p>
  </w:footnote>
  <w:footnote w:id="83">
    <w:p w14:paraId="21599804" w14:textId="3EB5E5D8" w:rsidR="00535914" w:rsidRDefault="00535914">
      <w:pPr>
        <w:pStyle w:val="FootnoteText"/>
      </w:pPr>
      <w:r>
        <w:rPr>
          <w:rStyle w:val="FootnoteReference"/>
        </w:rPr>
        <w:footnoteRef/>
      </w:r>
      <w:r w:rsidRPr="00075671">
        <w:rPr>
          <w:vertAlign w:val="superscript"/>
        </w:rPr>
        <w:t xml:space="preserve"> </w:t>
      </w:r>
      <w:r w:rsidRPr="00075671">
        <w:rPr>
          <w:rFonts w:cstheme="minorHAnsi"/>
          <w:rtl/>
          <w:lang w:bidi="he-IL"/>
        </w:rPr>
        <w:t>כַשְׂדִּים</w:t>
      </w:r>
      <w:r>
        <w:t xml:space="preserve"> </w:t>
      </w:r>
      <w:r w:rsidR="00825F3C">
        <w:t>(</w:t>
      </w:r>
      <w:r w:rsidRPr="00075671">
        <w:t>the switch from</w:t>
      </w:r>
      <w:r w:rsidRPr="00075671">
        <w:rPr>
          <w:i/>
        </w:rPr>
        <w:t xml:space="preserve"> ś </w:t>
      </w:r>
      <w:r w:rsidRPr="00075671">
        <w:t>to</w:t>
      </w:r>
      <w:r w:rsidRPr="00075671">
        <w:rPr>
          <w:i/>
        </w:rPr>
        <w:t xml:space="preserve"> l </w:t>
      </w:r>
      <w:r w:rsidRPr="00075671">
        <w:t xml:space="preserve">sometimes happens in Akkadian) </w:t>
      </w:r>
      <w:r w:rsidR="00666CEC" w:rsidRPr="00075671">
        <w:t>is</w:t>
      </w:r>
      <w:r w:rsidR="008D586A">
        <w:t xml:space="preserve"> </w:t>
      </w:r>
      <w:r w:rsidR="00666CEC" w:rsidRPr="00075671">
        <w:t>anarthrous</w:t>
      </w:r>
      <w:r w:rsidR="007A1DB8">
        <w:t xml:space="preserve"> i</w:t>
      </w:r>
      <w:r w:rsidR="007A1DB8" w:rsidRPr="00075671">
        <w:t>n Ezekiel</w:t>
      </w:r>
      <w:r w:rsidR="007A1DB8">
        <w:t>. It is</w:t>
      </w:r>
      <w:r w:rsidR="00623CEE">
        <w:t xml:space="preserve"> </w:t>
      </w:r>
      <w:r w:rsidRPr="00075671">
        <w:t>the term both for the country and for the Chaldeans, the people</w:t>
      </w:r>
      <w:r>
        <w:t xml:space="preserve">. </w:t>
      </w:r>
    </w:p>
  </w:footnote>
  <w:footnote w:id="84">
    <w:p w14:paraId="1E9AF6EB" w14:textId="2B9B07EC" w:rsidR="00897EB7" w:rsidRDefault="00897EB7">
      <w:pPr>
        <w:pStyle w:val="FootnoteText"/>
      </w:pPr>
      <w:r>
        <w:rPr>
          <w:rStyle w:val="FootnoteReference"/>
        </w:rPr>
        <w:footnoteRef/>
      </w:r>
      <w:r>
        <w:t xml:space="preserve"> See Phinney, </w:t>
      </w:r>
      <w:r w:rsidR="00727999">
        <w:t>“Life Writing”; Ph</w:t>
      </w:r>
      <w:r w:rsidR="0082465D">
        <w:t>i</w:t>
      </w:r>
      <w:r w:rsidR="00727999">
        <w:t xml:space="preserve">nney, </w:t>
      </w:r>
      <w:r w:rsidR="002F2C29">
        <w:t>“</w:t>
      </w:r>
      <w:r w:rsidR="00727999">
        <w:t>Portraying.”</w:t>
      </w:r>
    </w:p>
  </w:footnote>
  <w:footnote w:id="85">
    <w:p w14:paraId="6E3BB7AA" w14:textId="43A59549" w:rsidR="00B00523" w:rsidRPr="00105C24" w:rsidRDefault="00B00523">
      <w:pPr>
        <w:pStyle w:val="FootnoteText"/>
        <w:rPr>
          <w:lang w:val="en-GB"/>
        </w:rPr>
      </w:pPr>
      <w:r>
        <w:rPr>
          <w:rStyle w:val="FootnoteReference"/>
        </w:rPr>
        <w:footnoteRef/>
      </w:r>
      <w:r w:rsidRPr="00105C24">
        <w:rPr>
          <w:lang w:val="en-GB"/>
        </w:rPr>
        <w:t xml:space="preserve"> York, “Ezekiel 1.”</w:t>
      </w:r>
    </w:p>
  </w:footnote>
  <w:footnote w:id="86">
    <w:p w14:paraId="39667541" w14:textId="1FC492C6" w:rsidR="008612DF" w:rsidRDefault="008612DF">
      <w:pPr>
        <w:pStyle w:val="FootnoteText"/>
      </w:pPr>
      <w:r>
        <w:rPr>
          <w:rStyle w:val="FootnoteReference"/>
        </w:rPr>
        <w:footnoteRef/>
      </w:r>
      <w:r>
        <w:t xml:space="preserve"> </w:t>
      </w:r>
      <w:r w:rsidR="005C1374">
        <w:t xml:space="preserve">Hilbrecht and </w:t>
      </w:r>
      <w:r w:rsidR="005645A9">
        <w:t>C</w:t>
      </w:r>
      <w:r w:rsidR="008A3DFB">
        <w:t>lay,</w:t>
      </w:r>
      <w:r w:rsidR="005C1374">
        <w:t xml:space="preserve"> “Murashu.”</w:t>
      </w:r>
      <w:r w:rsidR="008A3DFB">
        <w:t xml:space="preserve"> </w:t>
      </w:r>
    </w:p>
  </w:footnote>
  <w:footnote w:id="87">
    <w:p w14:paraId="0AFAD57F" w14:textId="093A8038" w:rsidR="00B95219" w:rsidRDefault="00B95219">
      <w:pPr>
        <w:pStyle w:val="FootnoteText"/>
      </w:pPr>
      <w:r>
        <w:rPr>
          <w:rStyle w:val="FootnoteReference"/>
        </w:rPr>
        <w:footnoteRef/>
      </w:r>
      <w:r>
        <w:t xml:space="preserve"> </w:t>
      </w:r>
      <w:r>
        <w:t>Strine, “Refugee Camp.”</w:t>
      </w:r>
    </w:p>
  </w:footnote>
  <w:footnote w:id="88">
    <w:p w14:paraId="649B5EE8" w14:textId="61D3D6D9" w:rsidR="00067BF5" w:rsidRDefault="00067BF5">
      <w:pPr>
        <w:pStyle w:val="FootnoteText"/>
      </w:pPr>
      <w:r>
        <w:rPr>
          <w:rStyle w:val="FootnoteReference"/>
        </w:rPr>
        <w:footnoteRef/>
      </w:r>
      <w:r>
        <w:t xml:space="preserve"> See further </w:t>
      </w:r>
      <w:r w:rsidR="0005626B">
        <w:t>Pearce, “Continuity.”</w:t>
      </w:r>
    </w:p>
  </w:footnote>
  <w:footnote w:id="89">
    <w:p w14:paraId="44808035" w14:textId="28AB6439" w:rsidR="00A14A79" w:rsidRPr="00355F25" w:rsidRDefault="00A14A79">
      <w:pPr>
        <w:pStyle w:val="FootnoteText"/>
      </w:pPr>
      <w:r>
        <w:rPr>
          <w:rStyle w:val="FootnoteReference"/>
        </w:rPr>
        <w:footnoteRef/>
      </w:r>
      <w:r>
        <w:t xml:space="preserve"> But Koch (</w:t>
      </w:r>
      <w:r w:rsidR="00355F25">
        <w:rPr>
          <w:i/>
          <w:iCs/>
        </w:rPr>
        <w:t>Wohnstatt</w:t>
      </w:r>
      <w:r w:rsidR="00355F25">
        <w:t xml:space="preserve">, </w:t>
      </w:r>
      <w:r w:rsidR="00BD33F2">
        <w:t>133</w:t>
      </w:r>
      <w:r w:rsidR="001943CB">
        <w:t>–</w:t>
      </w:r>
      <w:r w:rsidR="00BD33F2">
        <w:t xml:space="preserve">89) sees Ezekiel as </w:t>
      </w:r>
      <w:r w:rsidR="00833464">
        <w:t>a</w:t>
      </w:r>
      <w:r w:rsidR="00BD33F2">
        <w:t>n important stage in this awareness.</w:t>
      </w:r>
    </w:p>
  </w:footnote>
  <w:footnote w:id="90">
    <w:p w14:paraId="58605DE3" w14:textId="77777777" w:rsidR="00BF23ED" w:rsidRPr="002A390B" w:rsidRDefault="00BF23ED" w:rsidP="00BF23ED">
      <w:pPr>
        <w:pStyle w:val="FootnoteText"/>
      </w:pPr>
      <w:r>
        <w:rPr>
          <w:rStyle w:val="FootnoteReference"/>
        </w:rPr>
        <w:footnoteRef/>
      </w:r>
      <w:r>
        <w:t xml:space="preserve"> Barth, </w:t>
      </w:r>
      <w:r>
        <w:rPr>
          <w:i/>
          <w:iCs/>
        </w:rPr>
        <w:t>CD</w:t>
      </w:r>
      <w:r>
        <w:t xml:space="preserve"> 3,1: 141.</w:t>
      </w:r>
    </w:p>
  </w:footnote>
  <w:footnote w:id="91">
    <w:p w14:paraId="085129DC" w14:textId="31FFD751" w:rsidR="00A72D34" w:rsidRPr="00A72D34" w:rsidRDefault="00A72D34">
      <w:pPr>
        <w:pStyle w:val="FootnoteText"/>
        <w:rPr>
          <w:lang w:val="en-GB"/>
        </w:rPr>
      </w:pPr>
      <w:r>
        <w:rPr>
          <w:rStyle w:val="FootnoteReference"/>
        </w:rPr>
        <w:footnoteRef/>
      </w:r>
      <w:r w:rsidRPr="00A72D34">
        <w:rPr>
          <w:lang w:val="en-GB"/>
        </w:rPr>
        <w:t xml:space="preserve"> William S</w:t>
      </w:r>
      <w:r>
        <w:rPr>
          <w:lang w:val="en-GB"/>
        </w:rPr>
        <w:t xml:space="preserve">hakespeare, </w:t>
      </w:r>
      <w:r>
        <w:rPr>
          <w:i/>
          <w:iCs/>
          <w:lang w:val="en-GB"/>
        </w:rPr>
        <w:t>Romeo and Juliet</w:t>
      </w:r>
      <w:r>
        <w:rPr>
          <w:lang w:val="en-GB"/>
        </w:rPr>
        <w:t>,</w:t>
      </w:r>
      <w:r w:rsidR="00497A1A">
        <w:rPr>
          <w:lang w:val="en-GB"/>
        </w:rPr>
        <w:t xml:space="preserve"> Act III, Scene 1.</w:t>
      </w:r>
    </w:p>
  </w:footnote>
  <w:footnote w:id="92">
    <w:p w14:paraId="380B5F1A" w14:textId="2386CFDE" w:rsidR="008A51C5" w:rsidRPr="003B6759" w:rsidRDefault="008A51C5">
      <w:pPr>
        <w:pStyle w:val="FootnoteText"/>
      </w:pPr>
      <w:r>
        <w:rPr>
          <w:rStyle w:val="FootnoteReference"/>
        </w:rPr>
        <w:footnoteRef/>
      </w:r>
      <w:r>
        <w:t xml:space="preserve"> </w:t>
      </w:r>
      <w:r w:rsidR="009E65FA">
        <w:t>On</w:t>
      </w:r>
      <w:r w:rsidR="00557585">
        <w:t xml:space="preserve"> the motif of Ezekiel’</w:t>
      </w:r>
      <w:r w:rsidR="00EB7E35">
        <w:t>s</w:t>
      </w:r>
      <w:r w:rsidR="00557585">
        <w:t xml:space="preserve"> body</w:t>
      </w:r>
      <w:r w:rsidR="001677D8">
        <w:t>, see Graybill,</w:t>
      </w:r>
      <w:r w:rsidR="003709D1">
        <w:t xml:space="preserve"> </w:t>
      </w:r>
      <w:r w:rsidR="003709D1">
        <w:rPr>
          <w:i/>
          <w:iCs/>
        </w:rPr>
        <w:t>Are We Not Men?</w:t>
      </w:r>
      <w:r w:rsidR="003709D1">
        <w:t xml:space="preserve"> 97–120</w:t>
      </w:r>
      <w:r w:rsidR="0035061B">
        <w:t xml:space="preserve">; also </w:t>
      </w:r>
      <w:r w:rsidR="0058320E">
        <w:t xml:space="preserve">Mills, </w:t>
      </w:r>
      <w:r w:rsidR="003B6759">
        <w:rPr>
          <w:i/>
          <w:iCs/>
        </w:rPr>
        <w:t>Alterity</w:t>
      </w:r>
      <w:r w:rsidR="003B6759">
        <w:t>, 65–85.</w:t>
      </w:r>
    </w:p>
  </w:footnote>
  <w:footnote w:id="93">
    <w:p w14:paraId="74DAA459" w14:textId="5FFCEFB4" w:rsidR="00532B93" w:rsidRPr="00DB3318" w:rsidRDefault="00532B93" w:rsidP="00532B93">
      <w:pPr>
        <w:rPr>
          <w:sz w:val="20"/>
          <w:szCs w:val="20"/>
          <w:vertAlign w:val="superscript"/>
        </w:rPr>
      </w:pPr>
      <w:r w:rsidRPr="00DB3318">
        <w:rPr>
          <w:rStyle w:val="FootnoteReference"/>
          <w:sz w:val="20"/>
          <w:szCs w:val="20"/>
        </w:rPr>
        <w:footnoteRef/>
      </w:r>
      <w:r w:rsidRPr="00DB3318">
        <w:rPr>
          <w:sz w:val="20"/>
          <w:szCs w:val="20"/>
        </w:rPr>
        <w:t xml:space="preserve"> </w:t>
      </w:r>
      <w:r w:rsidR="000D1090" w:rsidRPr="00F97A59">
        <w:rPr>
          <w:sz w:val="18"/>
          <w:szCs w:val="18"/>
        </w:rPr>
        <w:t>MT</w:t>
      </w:r>
      <w:r w:rsidRPr="00DB3318">
        <w:rPr>
          <w:sz w:val="20"/>
          <w:szCs w:val="20"/>
        </w:rPr>
        <w:t xml:space="preserve"> accents </w:t>
      </w:r>
      <w:r w:rsidRPr="00DB3318">
        <w:rPr>
          <w:rFonts w:cstheme="minorHAnsi"/>
          <w:sz w:val="20"/>
          <w:szCs w:val="20"/>
          <w:rtl/>
          <w:lang w:bidi="he-IL"/>
        </w:rPr>
        <w:t>ב</w:t>
      </w:r>
      <w:r w:rsidR="00C80D35">
        <w:rPr>
          <w:rFonts w:cstheme="minorHAnsi"/>
          <w:sz w:val="20"/>
          <w:szCs w:val="20"/>
          <w:rtl/>
          <w:lang w:bidi="he-IL"/>
        </w:rPr>
        <w:t>ּ</w:t>
      </w:r>
      <w:r w:rsidRPr="00DB3318">
        <w:rPr>
          <w:rFonts w:cstheme="minorHAnsi"/>
          <w:sz w:val="20"/>
          <w:szCs w:val="20"/>
          <w:rtl/>
          <w:lang w:bidi="he-IL"/>
        </w:rPr>
        <w:t>ָאָה</w:t>
      </w:r>
      <w:r w:rsidRPr="00DB3318">
        <w:rPr>
          <w:sz w:val="20"/>
          <w:szCs w:val="20"/>
        </w:rPr>
        <w:t xml:space="preserve"> on the second syllable and thus as a </w:t>
      </w:r>
      <w:r w:rsidRPr="00DB3318">
        <w:rPr>
          <w:sz w:val="20"/>
          <w:szCs w:val="20"/>
        </w:rPr>
        <w:t>p</w:t>
      </w:r>
      <w:r w:rsidR="00441E8A">
        <w:rPr>
          <w:sz w:val="20"/>
          <w:szCs w:val="20"/>
        </w:rPr>
        <w:t>tc.</w:t>
      </w:r>
      <w:r w:rsidRPr="00DB3318">
        <w:rPr>
          <w:sz w:val="20"/>
          <w:szCs w:val="20"/>
        </w:rPr>
        <w:t xml:space="preserve"> rather than </w:t>
      </w:r>
      <w:r w:rsidRPr="00B77665">
        <w:rPr>
          <w:i/>
          <w:iCs/>
          <w:sz w:val="20"/>
          <w:szCs w:val="20"/>
        </w:rPr>
        <w:t>qatal</w:t>
      </w:r>
      <w:r w:rsidRPr="00DB3318">
        <w:rPr>
          <w:sz w:val="20"/>
          <w:szCs w:val="20"/>
        </w:rPr>
        <w:t xml:space="preserve">, in keeping with the subject’s preceding the verb (contrast </w:t>
      </w:r>
      <w:r w:rsidR="004360D9" w:rsidRPr="000153EF">
        <w:rPr>
          <w:sz w:val="18"/>
          <w:szCs w:val="18"/>
        </w:rPr>
        <w:t>LXX</w:t>
      </w:r>
      <w:r w:rsidRPr="00DB3318">
        <w:rPr>
          <w:sz w:val="20"/>
          <w:szCs w:val="20"/>
        </w:rPr>
        <w:t>, Vg</w:t>
      </w:r>
      <w:r w:rsidR="008A14C9">
        <w:rPr>
          <w:sz w:val="20"/>
          <w:szCs w:val="20"/>
        </w:rPr>
        <w:t>.</w:t>
      </w:r>
      <w:r w:rsidRPr="00DB3318">
        <w:rPr>
          <w:sz w:val="20"/>
          <w:szCs w:val="20"/>
        </w:rPr>
        <w:t xml:space="preserve">). </w:t>
      </w:r>
      <w:r w:rsidR="00743DA1">
        <w:rPr>
          <w:sz w:val="20"/>
          <w:szCs w:val="20"/>
        </w:rPr>
        <w:t>T</w:t>
      </w:r>
      <w:r w:rsidRPr="00DB3318">
        <w:rPr>
          <w:sz w:val="20"/>
          <w:szCs w:val="20"/>
        </w:rPr>
        <w:t xml:space="preserve">here are virtually no </w:t>
      </w:r>
      <w:r w:rsidRPr="00B77665">
        <w:rPr>
          <w:i/>
          <w:iCs/>
          <w:sz w:val="20"/>
          <w:szCs w:val="20"/>
        </w:rPr>
        <w:t>qatals</w:t>
      </w:r>
      <w:r w:rsidRPr="00DB3318">
        <w:rPr>
          <w:sz w:val="20"/>
          <w:szCs w:val="20"/>
        </w:rPr>
        <w:t xml:space="preserve"> in the passage.</w:t>
      </w:r>
      <w:r w:rsidR="0029125D">
        <w:rPr>
          <w:sz w:val="20"/>
          <w:szCs w:val="20"/>
        </w:rPr>
        <w:t xml:space="preserve"> </w:t>
      </w:r>
    </w:p>
  </w:footnote>
  <w:footnote w:id="94">
    <w:p w14:paraId="553DE733" w14:textId="58D0976C" w:rsidR="00E246FC" w:rsidRPr="00DB3318" w:rsidRDefault="00E246FC" w:rsidP="0049549D">
      <w:pPr>
        <w:rPr>
          <w:rFonts w:cstheme="minorHAnsi"/>
          <w:sz w:val="20"/>
          <w:szCs w:val="20"/>
        </w:rPr>
      </w:pPr>
      <w:r w:rsidRPr="00DB3318">
        <w:rPr>
          <w:rStyle w:val="FootnoteReference"/>
          <w:sz w:val="20"/>
          <w:szCs w:val="20"/>
        </w:rPr>
        <w:footnoteRef/>
      </w:r>
      <w:r w:rsidRPr="00DB3318">
        <w:rPr>
          <w:sz w:val="20"/>
          <w:szCs w:val="20"/>
        </w:rPr>
        <w:t xml:space="preserve"> </w:t>
      </w:r>
      <w:r w:rsidR="0049549D" w:rsidRPr="00DB3318">
        <w:rPr>
          <w:sz w:val="20"/>
          <w:szCs w:val="20"/>
        </w:rPr>
        <w:t xml:space="preserve">Hitpael of </w:t>
      </w:r>
      <w:r w:rsidR="0049549D" w:rsidRPr="00DB3318">
        <w:rPr>
          <w:rFonts w:cstheme="minorHAnsi"/>
          <w:sz w:val="20"/>
          <w:szCs w:val="20"/>
          <w:rtl/>
          <w:lang w:bidi="he-IL"/>
        </w:rPr>
        <w:t>לָקַח</w:t>
      </w:r>
      <w:r w:rsidR="0049549D" w:rsidRPr="00DB3318">
        <w:rPr>
          <w:rFonts w:cstheme="minorHAnsi"/>
          <w:sz w:val="20"/>
          <w:szCs w:val="20"/>
        </w:rPr>
        <w:t>, literally “taking itself.”</w:t>
      </w:r>
    </w:p>
  </w:footnote>
  <w:footnote w:id="95">
    <w:p w14:paraId="4FC7B5F0" w14:textId="71A97802" w:rsidR="008F6865" w:rsidRPr="00DB3318" w:rsidRDefault="008F6865" w:rsidP="008F6865">
      <w:pPr>
        <w:rPr>
          <w:rFonts w:cstheme="minorHAnsi"/>
          <w:sz w:val="20"/>
          <w:szCs w:val="20"/>
        </w:rPr>
      </w:pPr>
      <w:r w:rsidRPr="00DB3318">
        <w:rPr>
          <w:rStyle w:val="FootnoteReference"/>
          <w:sz w:val="20"/>
          <w:szCs w:val="20"/>
        </w:rPr>
        <w:footnoteRef/>
      </w:r>
      <w:r w:rsidRPr="00DB3318">
        <w:rPr>
          <w:sz w:val="20"/>
          <w:szCs w:val="20"/>
        </w:rPr>
        <w:t xml:space="preserve"> </w:t>
      </w:r>
      <w:r w:rsidRPr="00DB3318">
        <w:rPr>
          <w:rFonts w:cstheme="minorHAnsi"/>
          <w:sz w:val="20"/>
          <w:szCs w:val="20"/>
        </w:rPr>
        <w:t xml:space="preserve">Here and subsequently, </w:t>
      </w:r>
      <w:r w:rsidR="00F93973" w:rsidRPr="000E05BB">
        <w:rPr>
          <w:rFonts w:cstheme="minorHAnsi"/>
          <w:sz w:val="20"/>
          <w:szCs w:val="20"/>
        </w:rPr>
        <w:t>“</w:t>
      </w:r>
      <w:r w:rsidRPr="000E05BB">
        <w:rPr>
          <w:rFonts w:cstheme="minorHAnsi"/>
          <w:sz w:val="20"/>
          <w:szCs w:val="20"/>
        </w:rPr>
        <w:t>something like</w:t>
      </w:r>
      <w:r w:rsidR="00F93973" w:rsidRPr="000E05BB">
        <w:rPr>
          <w:rFonts w:cstheme="minorHAnsi"/>
          <w:sz w:val="20"/>
          <w:szCs w:val="20"/>
        </w:rPr>
        <w:t>”</w:t>
      </w:r>
      <w:r w:rsidRPr="00DB3318">
        <w:rPr>
          <w:rFonts w:cstheme="minorHAnsi"/>
          <w:sz w:val="20"/>
          <w:szCs w:val="20"/>
        </w:rPr>
        <w:t xml:space="preserve"> is simply the preposition </w:t>
      </w:r>
      <w:r w:rsidRPr="00DB3318">
        <w:rPr>
          <w:rFonts w:cstheme="minorHAnsi"/>
          <w:sz w:val="20"/>
          <w:szCs w:val="20"/>
          <w:rtl/>
          <w:lang w:bidi="he-IL"/>
        </w:rPr>
        <w:t>כ</w:t>
      </w:r>
      <w:r w:rsidR="009F2E7B">
        <w:rPr>
          <w:rFonts w:cstheme="minorHAnsi"/>
          <w:sz w:val="20"/>
          <w:szCs w:val="20"/>
          <w:rtl/>
          <w:lang w:bidi="he-IL"/>
        </w:rPr>
        <w:t>ּ</w:t>
      </w:r>
      <w:r w:rsidRPr="00DB3318">
        <w:rPr>
          <w:rFonts w:cstheme="minorHAnsi"/>
          <w:sz w:val="20"/>
          <w:szCs w:val="20"/>
          <w:rtl/>
          <w:lang w:bidi="he-IL"/>
        </w:rPr>
        <w:t>ְ</w:t>
      </w:r>
      <w:r w:rsidRPr="00DB3318">
        <w:rPr>
          <w:rFonts w:cstheme="minorHAnsi"/>
          <w:sz w:val="20"/>
          <w:szCs w:val="20"/>
        </w:rPr>
        <w:t>, which occurs sixteen times in the passage, attached to several words with overlapping meaning.</w:t>
      </w:r>
    </w:p>
  </w:footnote>
  <w:footnote w:id="96">
    <w:p w14:paraId="621AF1D6" w14:textId="7D619104" w:rsidR="00280E78" w:rsidRPr="00DB3318" w:rsidRDefault="00280E78" w:rsidP="00280E78">
      <w:pPr>
        <w:rPr>
          <w:sz w:val="20"/>
          <w:szCs w:val="20"/>
        </w:rPr>
      </w:pPr>
      <w:r w:rsidRPr="00DB3318">
        <w:rPr>
          <w:rStyle w:val="FootnoteReference"/>
          <w:sz w:val="20"/>
          <w:szCs w:val="20"/>
        </w:rPr>
        <w:footnoteRef/>
      </w:r>
      <w:r w:rsidRPr="00DB3318">
        <w:rPr>
          <w:sz w:val="20"/>
          <w:szCs w:val="20"/>
        </w:rPr>
        <w:t xml:space="preserve"> </w:t>
      </w:r>
      <w:r w:rsidR="00A022E6">
        <w:rPr>
          <w:rFonts w:cstheme="minorHAnsi"/>
          <w:sz w:val="20"/>
          <w:szCs w:val="20"/>
          <w:rtl/>
          <w:lang w:bidi="he-IL"/>
        </w:rPr>
        <w:t>עֵין</w:t>
      </w:r>
      <w:r w:rsidR="00A022E6">
        <w:rPr>
          <w:rFonts w:cstheme="minorHAnsi"/>
          <w:sz w:val="20"/>
          <w:szCs w:val="20"/>
        </w:rPr>
        <w:t>, l</w:t>
      </w:r>
      <w:r w:rsidRPr="00DB3318">
        <w:rPr>
          <w:rFonts w:cstheme="minorHAnsi"/>
          <w:sz w:val="20"/>
          <w:szCs w:val="20"/>
        </w:rPr>
        <w:t>iterally “eye</w:t>
      </w:r>
      <w:r w:rsidR="00A022E6">
        <w:rPr>
          <w:rFonts w:cstheme="minorHAnsi"/>
          <w:sz w:val="20"/>
          <w:szCs w:val="20"/>
        </w:rPr>
        <w:t xml:space="preserve"> of</w:t>
      </w:r>
      <w:r w:rsidRPr="00DB3318">
        <w:rPr>
          <w:rFonts w:cstheme="minorHAnsi"/>
          <w:sz w:val="20"/>
          <w:szCs w:val="20"/>
        </w:rPr>
        <w:t xml:space="preserve">” (cf. </w:t>
      </w:r>
      <w:r w:rsidR="0042084A">
        <w:rPr>
          <w:rFonts w:cstheme="minorHAnsi"/>
          <w:sz w:val="20"/>
          <w:szCs w:val="20"/>
        </w:rPr>
        <w:t>1:</w:t>
      </w:r>
      <w:r w:rsidRPr="00DB3318">
        <w:rPr>
          <w:rFonts w:cstheme="minorHAnsi"/>
          <w:sz w:val="20"/>
          <w:szCs w:val="20"/>
        </w:rPr>
        <w:t>7, 16, 22, 27).</w:t>
      </w:r>
    </w:p>
  </w:footnote>
  <w:footnote w:id="97">
    <w:p w14:paraId="53AF1037" w14:textId="283C7F45" w:rsidR="00D73960" w:rsidRDefault="00D73960">
      <w:pPr>
        <w:pStyle w:val="FootnoteText"/>
      </w:pPr>
      <w:r>
        <w:rPr>
          <w:rStyle w:val="FootnoteReference"/>
        </w:rPr>
        <w:footnoteRef/>
      </w:r>
      <w:r>
        <w:t xml:space="preserve"> </w:t>
      </w:r>
      <w:r>
        <w:rPr>
          <w:vertAlign w:val="superscript"/>
        </w:rPr>
        <w:t xml:space="preserve"> </w:t>
      </w:r>
      <w:r>
        <w:rPr>
          <w:rFonts w:cstheme="minorHAnsi"/>
          <w:rtl/>
          <w:lang w:bidi="he-IL"/>
        </w:rPr>
        <w:t>חַשְׁמַל</w:t>
      </w:r>
      <w:r>
        <w:rPr>
          <w:rFonts w:cstheme="minorHAnsi"/>
          <w:i/>
          <w:iCs/>
        </w:rPr>
        <w:t xml:space="preserve"> </w:t>
      </w:r>
      <w:r w:rsidRPr="00947CF4">
        <w:rPr>
          <w:rFonts w:cstheme="minorHAnsi"/>
        </w:rPr>
        <w:t>occurs only here and in 1:27; 8:2; we do not know its meaning</w:t>
      </w:r>
      <w:r w:rsidR="00450AE8">
        <w:rPr>
          <w:rFonts w:cstheme="minorHAnsi"/>
        </w:rPr>
        <w:t>. It is the Modern Hebrew word for electricity (</w:t>
      </w:r>
      <w:r w:rsidR="003A3A71">
        <w:rPr>
          <w:rFonts w:cstheme="minorHAnsi"/>
        </w:rPr>
        <w:t xml:space="preserve">Ganzel 2014, </w:t>
      </w:r>
      <w:r w:rsidR="00A02FA8">
        <w:rPr>
          <w:rFonts w:cstheme="minorHAnsi"/>
        </w:rPr>
        <w:t>1038)</w:t>
      </w:r>
      <w:r w:rsidRPr="00947CF4">
        <w:rPr>
          <w:rFonts w:cstheme="minorHAnsi"/>
        </w:rPr>
        <w:t xml:space="preserve">. </w:t>
      </w:r>
      <w:r w:rsidR="004360D9" w:rsidRPr="000153EF">
        <w:rPr>
          <w:sz w:val="18"/>
          <w:szCs w:val="18"/>
        </w:rPr>
        <w:t>LXX</w:t>
      </w:r>
      <w:r w:rsidR="00266F0C">
        <w:rPr>
          <w:sz w:val="18"/>
          <w:szCs w:val="18"/>
        </w:rPr>
        <w:t xml:space="preserve"> </w:t>
      </w:r>
      <w:r w:rsidRPr="00947CF4">
        <w:rPr>
          <w:rFonts w:cstheme="minorHAnsi"/>
        </w:rPr>
        <w:t>has</w:t>
      </w:r>
      <w:r w:rsidR="00172E29">
        <w:rPr>
          <w:rFonts w:cstheme="minorHAnsi"/>
        </w:rPr>
        <w:t xml:space="preserve"> </w:t>
      </w:r>
      <w:r w:rsidR="00730BEC">
        <w:rPr>
          <w:rFonts w:cstheme="minorHAnsi"/>
        </w:rPr>
        <w:t>ἤ</w:t>
      </w:r>
      <w:r w:rsidR="00C66799">
        <w:rPr>
          <w:rFonts w:cstheme="minorHAnsi"/>
        </w:rPr>
        <w:t>λεκ</w:t>
      </w:r>
      <w:r w:rsidR="009E4BE2">
        <w:rPr>
          <w:rFonts w:cstheme="minorHAnsi"/>
        </w:rPr>
        <w:t>τρον</w:t>
      </w:r>
      <w:r w:rsidRPr="00947CF4">
        <w:rPr>
          <w:rFonts w:cstheme="minorHAnsi"/>
        </w:rPr>
        <w:t xml:space="preserve">, </w:t>
      </w:r>
      <w:r w:rsidR="00573675">
        <w:rPr>
          <w:rFonts w:cstheme="minorHAnsi"/>
        </w:rPr>
        <w:t xml:space="preserve">Vg. </w:t>
      </w:r>
      <w:r w:rsidRPr="00947CF4">
        <w:rPr>
          <w:rFonts w:cstheme="minorHAnsi"/>
          <w:i/>
          <w:iCs/>
        </w:rPr>
        <w:t>electrum</w:t>
      </w:r>
      <w:r w:rsidRPr="00947CF4">
        <w:rPr>
          <w:rFonts w:cstheme="minorHAnsi"/>
        </w:rPr>
        <w:t>, an alloy of gold and silver known from Egypt and Turkey</w:t>
      </w:r>
      <w:r>
        <w:rPr>
          <w:rFonts w:cstheme="minorHAnsi"/>
        </w:rPr>
        <w:t>.</w:t>
      </w:r>
    </w:p>
  </w:footnote>
  <w:footnote w:id="98">
    <w:p w14:paraId="798E5CE6" w14:textId="7B3D9C3D" w:rsidR="00A81CC3" w:rsidRPr="00737210" w:rsidRDefault="00A81CC3" w:rsidP="00A81CC3">
      <w:pPr>
        <w:rPr>
          <w:sz w:val="20"/>
          <w:szCs w:val="20"/>
        </w:rPr>
      </w:pPr>
      <w:r w:rsidRPr="00737210">
        <w:rPr>
          <w:rStyle w:val="FootnoteReference"/>
          <w:sz w:val="20"/>
          <w:szCs w:val="20"/>
        </w:rPr>
        <w:footnoteRef/>
      </w:r>
      <w:r w:rsidRPr="00737210">
        <w:rPr>
          <w:rFonts w:cstheme="minorHAnsi"/>
          <w:sz w:val="20"/>
          <w:szCs w:val="20"/>
          <w:vertAlign w:val="superscript"/>
        </w:rPr>
        <w:t xml:space="preserve"> </w:t>
      </w:r>
      <w:r w:rsidRPr="00737210">
        <w:rPr>
          <w:rFonts w:cstheme="minorHAnsi"/>
          <w:sz w:val="20"/>
          <w:szCs w:val="20"/>
          <w:rtl/>
          <w:lang w:bidi="he-IL"/>
        </w:rPr>
        <w:t>לָהֶם</w:t>
      </w:r>
      <w:r w:rsidRPr="00737210">
        <w:rPr>
          <w:rFonts w:cstheme="minorHAnsi"/>
          <w:sz w:val="20"/>
          <w:szCs w:val="20"/>
        </w:rPr>
        <w:t xml:space="preserve"> (literally, “to them”) is m</w:t>
      </w:r>
      <w:r w:rsidR="00AC4565">
        <w:rPr>
          <w:rFonts w:cstheme="minorHAnsi"/>
          <w:sz w:val="20"/>
          <w:szCs w:val="20"/>
        </w:rPr>
        <w:t>.</w:t>
      </w:r>
      <w:r w:rsidRPr="00737210">
        <w:rPr>
          <w:rFonts w:cstheme="minorHAnsi"/>
          <w:sz w:val="20"/>
          <w:szCs w:val="20"/>
        </w:rPr>
        <w:t xml:space="preserve">, the default gender, whereas </w:t>
      </w:r>
      <w:r w:rsidRPr="00737210">
        <w:rPr>
          <w:rFonts w:cstheme="minorHAnsi"/>
          <w:sz w:val="20"/>
          <w:szCs w:val="20"/>
          <w:rtl/>
          <w:lang w:bidi="he-IL"/>
        </w:rPr>
        <w:t>חַיּוֺת</w:t>
      </w:r>
      <w:r w:rsidR="005A15A3">
        <w:rPr>
          <w:rFonts w:cstheme="minorHAnsi"/>
          <w:sz w:val="20"/>
          <w:szCs w:val="20"/>
        </w:rPr>
        <w:t>, “</w:t>
      </w:r>
      <w:r w:rsidRPr="002976BC">
        <w:rPr>
          <w:rFonts w:cstheme="minorHAnsi"/>
          <w:sz w:val="20"/>
          <w:szCs w:val="20"/>
        </w:rPr>
        <w:t>living beings</w:t>
      </w:r>
      <w:r w:rsidR="005A15A3">
        <w:rPr>
          <w:rFonts w:cstheme="minorHAnsi"/>
          <w:sz w:val="20"/>
          <w:szCs w:val="20"/>
        </w:rPr>
        <w:t>,”</w:t>
      </w:r>
      <w:r w:rsidRPr="00737210">
        <w:rPr>
          <w:rFonts w:cstheme="minorHAnsi"/>
          <w:sz w:val="20"/>
          <w:szCs w:val="20"/>
        </w:rPr>
        <w:t xml:space="preserve"> </w:t>
      </w:r>
      <w:r w:rsidR="00BC5038">
        <w:rPr>
          <w:rFonts w:cstheme="minorHAnsi"/>
          <w:sz w:val="20"/>
          <w:szCs w:val="20"/>
        </w:rPr>
        <w:t>wa</w:t>
      </w:r>
      <w:r w:rsidRPr="00737210">
        <w:rPr>
          <w:rFonts w:cstheme="minorHAnsi"/>
          <w:sz w:val="20"/>
          <w:szCs w:val="20"/>
        </w:rPr>
        <w:t>s f. The genders mix through the report.</w:t>
      </w:r>
    </w:p>
  </w:footnote>
  <w:footnote w:id="99">
    <w:p w14:paraId="581B1400" w14:textId="183DB09C" w:rsidR="00604823" w:rsidRPr="00737210" w:rsidRDefault="00604823" w:rsidP="00604823">
      <w:pPr>
        <w:rPr>
          <w:sz w:val="20"/>
          <w:szCs w:val="20"/>
        </w:rPr>
      </w:pPr>
      <w:r w:rsidRPr="00737210">
        <w:rPr>
          <w:rStyle w:val="FootnoteReference"/>
          <w:sz w:val="20"/>
          <w:szCs w:val="20"/>
        </w:rPr>
        <w:footnoteRef/>
      </w:r>
      <w:r w:rsidRPr="00737210">
        <w:rPr>
          <w:sz w:val="20"/>
          <w:szCs w:val="20"/>
        </w:rPr>
        <w:t xml:space="preserve"> </w:t>
      </w:r>
      <w:r w:rsidR="00B30F3C">
        <w:rPr>
          <w:rFonts w:cstheme="minorHAnsi"/>
          <w:sz w:val="20"/>
          <w:szCs w:val="20"/>
          <w:rtl/>
          <w:lang w:bidi="he-IL"/>
        </w:rPr>
        <w:t>אֶל</w:t>
      </w:r>
      <w:r w:rsidR="004C55D7">
        <w:rPr>
          <w:rFonts w:cstheme="minorHAnsi" w:hint="cs"/>
          <w:sz w:val="20"/>
          <w:szCs w:val="20"/>
          <w:rtl/>
          <w:lang w:bidi="he-IL"/>
        </w:rPr>
        <w:t xml:space="preserve"> </w:t>
      </w:r>
      <w:r w:rsidR="00B30F3C">
        <w:rPr>
          <w:rFonts w:cstheme="minorHAnsi"/>
          <w:sz w:val="20"/>
          <w:szCs w:val="20"/>
          <w:rtl/>
          <w:lang w:bidi="he-IL"/>
        </w:rPr>
        <w:t>עֵבֶר</w:t>
      </w:r>
      <w:r w:rsidR="004C55D7">
        <w:rPr>
          <w:rFonts w:cstheme="minorHAnsi" w:hint="cs"/>
          <w:sz w:val="20"/>
          <w:szCs w:val="20"/>
          <w:rtl/>
          <w:lang w:bidi="he-IL"/>
        </w:rPr>
        <w:t xml:space="preserve"> </w:t>
      </w:r>
      <w:r w:rsidR="0009701F">
        <w:rPr>
          <w:rFonts w:cstheme="minorHAnsi"/>
          <w:sz w:val="20"/>
          <w:szCs w:val="20"/>
          <w:rtl/>
          <w:lang w:bidi="he-IL"/>
        </w:rPr>
        <w:t>פָּניו</w:t>
      </w:r>
      <w:r w:rsidR="004C55D7">
        <w:rPr>
          <w:sz w:val="20"/>
          <w:szCs w:val="20"/>
        </w:rPr>
        <w:t>, l</w:t>
      </w:r>
      <w:r w:rsidRPr="00737210">
        <w:rPr>
          <w:sz w:val="20"/>
          <w:szCs w:val="20"/>
        </w:rPr>
        <w:t>iterally, “</w:t>
      </w:r>
      <w:r w:rsidR="00762735">
        <w:rPr>
          <w:sz w:val="20"/>
          <w:szCs w:val="20"/>
        </w:rPr>
        <w:t>to</w:t>
      </w:r>
      <w:r w:rsidRPr="00737210">
        <w:rPr>
          <w:sz w:val="20"/>
          <w:szCs w:val="20"/>
        </w:rPr>
        <w:t xml:space="preserve"> the direction of its face[s]”: see BDB</w:t>
      </w:r>
      <w:r w:rsidR="00347642">
        <w:rPr>
          <w:sz w:val="20"/>
          <w:szCs w:val="20"/>
        </w:rPr>
        <w:t>, 719.</w:t>
      </w:r>
      <w:r w:rsidRPr="00737210">
        <w:rPr>
          <w:sz w:val="20"/>
          <w:szCs w:val="20"/>
        </w:rPr>
        <w:t xml:space="preserve"> So also </w:t>
      </w:r>
      <w:r w:rsidR="003D021F">
        <w:rPr>
          <w:sz w:val="20"/>
          <w:szCs w:val="20"/>
        </w:rPr>
        <w:t>1:</w:t>
      </w:r>
      <w:r w:rsidRPr="00737210">
        <w:rPr>
          <w:sz w:val="20"/>
          <w:szCs w:val="20"/>
        </w:rPr>
        <w:t>12.</w:t>
      </w:r>
    </w:p>
  </w:footnote>
  <w:footnote w:id="100">
    <w:p w14:paraId="07AE504C" w14:textId="115B0E83" w:rsidR="00FC5E2E" w:rsidRPr="00737210" w:rsidRDefault="00FC5E2E" w:rsidP="003524CF">
      <w:pPr>
        <w:rPr>
          <w:sz w:val="20"/>
          <w:szCs w:val="20"/>
        </w:rPr>
      </w:pPr>
      <w:r w:rsidRPr="00737210">
        <w:rPr>
          <w:rStyle w:val="FootnoteReference"/>
          <w:sz w:val="20"/>
          <w:szCs w:val="20"/>
        </w:rPr>
        <w:footnoteRef/>
      </w:r>
      <w:r w:rsidRPr="00737210">
        <w:rPr>
          <w:sz w:val="20"/>
          <w:szCs w:val="20"/>
        </w:rPr>
        <w:t xml:space="preserve"> </w:t>
      </w:r>
      <w:r w:rsidRPr="00737210">
        <w:rPr>
          <w:rFonts w:cstheme="minorHAnsi"/>
          <w:sz w:val="20"/>
          <w:szCs w:val="20"/>
          <w:rtl/>
          <w:lang w:bidi="he-IL"/>
        </w:rPr>
        <w:t>אִישׁ</w:t>
      </w:r>
      <w:r w:rsidRPr="00737210">
        <w:rPr>
          <w:sz w:val="20"/>
          <w:szCs w:val="20"/>
        </w:rPr>
        <w:t xml:space="preserve">, literally </w:t>
      </w:r>
      <w:r w:rsidR="009C5DBC">
        <w:rPr>
          <w:sz w:val="20"/>
          <w:szCs w:val="20"/>
        </w:rPr>
        <w:t>“</w:t>
      </w:r>
      <w:r w:rsidRPr="00737210">
        <w:rPr>
          <w:sz w:val="20"/>
          <w:szCs w:val="20"/>
        </w:rPr>
        <w:t>[as an] individual</w:t>
      </w:r>
      <w:r w:rsidR="001A69AD">
        <w:rPr>
          <w:sz w:val="20"/>
          <w:szCs w:val="20"/>
        </w:rPr>
        <w:t>.</w:t>
      </w:r>
      <w:r w:rsidR="009C5DBC">
        <w:rPr>
          <w:sz w:val="20"/>
          <w:szCs w:val="20"/>
        </w:rPr>
        <w:t>”</w:t>
      </w:r>
      <w:r w:rsidR="001A69AD">
        <w:rPr>
          <w:sz w:val="20"/>
          <w:szCs w:val="20"/>
        </w:rPr>
        <w:t xml:space="preserve"> </w:t>
      </w:r>
      <w:r w:rsidR="006D16EB">
        <w:rPr>
          <w:sz w:val="20"/>
          <w:szCs w:val="20"/>
        </w:rPr>
        <w:t>T</w:t>
      </w:r>
      <w:r w:rsidR="001A69AD">
        <w:rPr>
          <w:sz w:val="20"/>
          <w:szCs w:val="20"/>
        </w:rPr>
        <w:t>he usage recurs</w:t>
      </w:r>
      <w:r w:rsidRPr="00737210">
        <w:rPr>
          <w:sz w:val="20"/>
          <w:szCs w:val="20"/>
        </w:rPr>
        <w:t xml:space="preserve"> through the chapter.</w:t>
      </w:r>
    </w:p>
  </w:footnote>
  <w:footnote w:id="101">
    <w:p w14:paraId="2DB8F334" w14:textId="23665850" w:rsidR="005567E7" w:rsidRPr="00737210" w:rsidRDefault="005567E7" w:rsidP="007B194A">
      <w:pPr>
        <w:rPr>
          <w:rFonts w:cstheme="minorHAnsi"/>
          <w:sz w:val="20"/>
          <w:szCs w:val="20"/>
        </w:rPr>
      </w:pPr>
      <w:r w:rsidRPr="00737210">
        <w:rPr>
          <w:rStyle w:val="FootnoteReference"/>
          <w:sz w:val="20"/>
          <w:szCs w:val="20"/>
        </w:rPr>
        <w:footnoteRef/>
      </w:r>
      <w:r w:rsidR="007B194A" w:rsidRPr="00737210">
        <w:rPr>
          <w:rFonts w:cstheme="minorHAnsi"/>
          <w:sz w:val="20"/>
          <w:szCs w:val="20"/>
        </w:rPr>
        <w:t xml:space="preserve"> </w:t>
      </w:r>
      <w:r w:rsidR="007B194A" w:rsidRPr="00737210">
        <w:rPr>
          <w:rFonts w:cstheme="minorHAnsi"/>
          <w:sz w:val="20"/>
          <w:szCs w:val="20"/>
          <w:rtl/>
          <w:lang w:bidi="he-IL"/>
        </w:rPr>
        <w:t>ב</w:t>
      </w:r>
      <w:r w:rsidR="00815206">
        <w:rPr>
          <w:rFonts w:cstheme="minorHAnsi"/>
          <w:sz w:val="20"/>
          <w:szCs w:val="20"/>
          <w:rtl/>
          <w:lang w:bidi="he-IL"/>
        </w:rPr>
        <w:t>ּ</w:t>
      </w:r>
      <w:r w:rsidR="007B194A" w:rsidRPr="00737210">
        <w:rPr>
          <w:rFonts w:cstheme="minorHAnsi"/>
          <w:sz w:val="20"/>
          <w:szCs w:val="20"/>
          <w:rtl/>
          <w:lang w:bidi="he-IL"/>
        </w:rPr>
        <w:t>ָזָק</w:t>
      </w:r>
      <w:r w:rsidR="00783D79">
        <w:rPr>
          <w:rFonts w:cstheme="minorHAnsi"/>
          <w:sz w:val="20"/>
          <w:szCs w:val="20"/>
        </w:rPr>
        <w:t xml:space="preserve">, </w:t>
      </w:r>
      <w:r w:rsidR="007B194A" w:rsidRPr="00737210">
        <w:rPr>
          <w:rFonts w:cstheme="minorHAnsi"/>
          <w:sz w:val="20"/>
          <w:szCs w:val="20"/>
        </w:rPr>
        <w:t xml:space="preserve"> a hapax</w:t>
      </w:r>
      <w:r w:rsidR="008D2925">
        <w:rPr>
          <w:rFonts w:cstheme="minorHAnsi"/>
          <w:sz w:val="20"/>
          <w:szCs w:val="20"/>
        </w:rPr>
        <w:t>*</w:t>
      </w:r>
      <w:r w:rsidR="007B194A" w:rsidRPr="00737210">
        <w:rPr>
          <w:rFonts w:cstheme="minorHAnsi"/>
          <w:sz w:val="20"/>
          <w:szCs w:val="20"/>
        </w:rPr>
        <w:t xml:space="preserve"> of uncertain meaning.</w:t>
      </w:r>
      <w:r w:rsidR="00D548D7">
        <w:rPr>
          <w:rFonts w:cstheme="minorHAnsi"/>
          <w:sz w:val="20"/>
          <w:szCs w:val="20"/>
        </w:rPr>
        <w:t xml:space="preserve"> </w:t>
      </w:r>
    </w:p>
  </w:footnote>
  <w:footnote w:id="102">
    <w:p w14:paraId="3D9132D2" w14:textId="30C2F29B" w:rsidR="0049149C" w:rsidRPr="00CF53E5" w:rsidRDefault="0049149C" w:rsidP="0049149C">
      <w:pPr>
        <w:pStyle w:val="FootnoteText"/>
      </w:pPr>
      <w:r>
        <w:rPr>
          <w:rStyle w:val="FootnoteReference"/>
        </w:rPr>
        <w:footnoteRef/>
      </w:r>
      <w:r>
        <w:t xml:space="preserve"> </w:t>
      </w:r>
      <w:r w:rsidRPr="00105C24">
        <w:rPr>
          <w:rFonts w:ascii="Calibri" w:eastAsia="Times New Roman" w:hAnsi="Calibri" w:cs="Calibri"/>
          <w:lang w:val="en-GB" w:eastAsia="en-GB"/>
        </w:rPr>
        <w:t xml:space="preserve">Wagner, </w:t>
      </w:r>
      <w:r w:rsidRPr="00CF53E5">
        <w:rPr>
          <w:rFonts w:ascii="Calibri" w:eastAsia="Times New Roman" w:hAnsi="Calibri" w:cs="Calibri"/>
          <w:lang w:eastAsia="en-GB"/>
        </w:rPr>
        <w:t xml:space="preserve">"Was </w:t>
      </w:r>
      <w:r w:rsidRPr="00CF53E5">
        <w:rPr>
          <w:rFonts w:ascii="Calibri" w:eastAsia="Times New Roman" w:hAnsi="Calibri" w:cs="Calibri"/>
          <w:lang w:eastAsia="en-GB"/>
        </w:rPr>
        <w:t xml:space="preserve">haben sie,“ sees </w:t>
      </w:r>
      <w:r w:rsidR="007D31DE" w:rsidRPr="000153EF">
        <w:rPr>
          <w:sz w:val="18"/>
          <w:szCs w:val="18"/>
        </w:rPr>
        <w:t>LXX</w:t>
      </w:r>
      <w:r w:rsidRPr="00CF53E5">
        <w:rPr>
          <w:rFonts w:ascii="Calibri" w:eastAsia="Times New Roman" w:hAnsi="Calibri" w:cs="Calibri"/>
          <w:lang w:eastAsia="en-GB"/>
        </w:rPr>
        <w:t xml:space="preserve"> as a reworking of an </w:t>
      </w:r>
      <w:r w:rsidR="004303C7" w:rsidRPr="00F97A59">
        <w:rPr>
          <w:sz w:val="18"/>
          <w:szCs w:val="18"/>
        </w:rPr>
        <w:t>MT</w:t>
      </w:r>
      <w:r w:rsidRPr="00CF53E5">
        <w:rPr>
          <w:rFonts w:ascii="Calibri" w:eastAsia="Times New Roman" w:hAnsi="Calibri" w:cs="Calibri"/>
          <w:lang w:eastAsia="en-GB"/>
        </w:rPr>
        <w:t>-type text</w:t>
      </w:r>
      <w:r>
        <w:rPr>
          <w:rFonts w:ascii="Calibri" w:eastAsia="Times New Roman" w:hAnsi="Calibri" w:cs="Calibri"/>
          <w:lang w:eastAsia="en-GB"/>
        </w:rPr>
        <w:t>.</w:t>
      </w:r>
      <w:r w:rsidRPr="00CF53E5">
        <w:rPr>
          <w:rFonts w:ascii="Calibri" w:eastAsia="Times New Roman" w:hAnsi="Calibri" w:cs="Calibri"/>
          <w:lang w:eastAsia="en-GB"/>
        </w:rPr>
        <w:t xml:space="preserve"> </w:t>
      </w:r>
      <w:r w:rsidRPr="00CF53E5">
        <w:t>Van De Water, “Early Rabbinic Judaism,</w:t>
      </w:r>
      <w:r>
        <w:t>”</w:t>
      </w:r>
      <w:r w:rsidRPr="00CF53E5">
        <w:t xml:space="preserve"> sees it as a reworking of a</w:t>
      </w:r>
      <w:r w:rsidR="000349A9">
        <w:t>n earlier</w:t>
      </w:r>
      <w:r w:rsidRPr="00CF53E5">
        <w:t xml:space="preserve"> Hebrew text that t</w:t>
      </w:r>
      <w:r w:rsidR="009E0FD2">
        <w:t>urned</w:t>
      </w:r>
      <w:r w:rsidRPr="00CF53E5">
        <w:t xml:space="preserve"> it </w:t>
      </w:r>
      <w:r w:rsidR="009E0FD2">
        <w:t>in</w:t>
      </w:r>
      <w:r w:rsidRPr="00CF53E5">
        <w:t xml:space="preserve">to something more like </w:t>
      </w:r>
      <w:r w:rsidR="004303C7" w:rsidRPr="00F97A59">
        <w:rPr>
          <w:sz w:val="18"/>
          <w:szCs w:val="18"/>
        </w:rPr>
        <w:t>MT</w:t>
      </w:r>
      <w:r w:rsidRPr="00CF53E5">
        <w:t>’s text.</w:t>
      </w:r>
    </w:p>
  </w:footnote>
  <w:footnote w:id="103">
    <w:p w14:paraId="18F1CEE1" w14:textId="686ECBB5" w:rsidR="00CC12A2" w:rsidRDefault="00CC12A2" w:rsidP="00CC12A2">
      <w:pPr>
        <w:pStyle w:val="FootnoteText"/>
      </w:pPr>
      <w:r>
        <w:rPr>
          <w:rStyle w:val="FootnoteReference"/>
        </w:rPr>
        <w:footnoteRef/>
      </w:r>
      <w:r>
        <w:t xml:space="preserve"> </w:t>
      </w:r>
      <w:r w:rsidR="00782E10">
        <w:t>See Block, “Text</w:t>
      </w:r>
      <w:r w:rsidR="00A94A85">
        <w:t xml:space="preserve">”; </w:t>
      </w:r>
      <w:r>
        <w:t>Fredericks, “Diglossia,” 194.</w:t>
      </w:r>
    </w:p>
  </w:footnote>
  <w:footnote w:id="104">
    <w:p w14:paraId="5A6007FA" w14:textId="15DB0F35" w:rsidR="002268EE" w:rsidRPr="00494C40" w:rsidRDefault="00227DCE" w:rsidP="00494C40">
      <w:pPr>
        <w:pStyle w:val="FootnoteText"/>
      </w:pPr>
      <w:r>
        <w:rPr>
          <w:rStyle w:val="FootnoteReference"/>
        </w:rPr>
        <w:footnoteRef/>
      </w:r>
      <w:r>
        <w:t xml:space="preserve"> </w:t>
      </w:r>
      <w:r w:rsidR="002268EE">
        <w:t>Emanu</w:t>
      </w:r>
      <w:r w:rsidR="007E54F8">
        <w:t>e</w:t>
      </w:r>
      <w:r w:rsidR="002268EE">
        <w:t xml:space="preserve">l </w:t>
      </w:r>
      <w:r>
        <w:t xml:space="preserve">Tov, </w:t>
      </w:r>
      <w:r w:rsidR="002268EE" w:rsidRPr="001005B7">
        <w:t>“</w:t>
      </w:r>
      <w:r w:rsidR="002268EE" w:rsidRPr="001005B7">
        <w:t>Recensional Differences between the Masoretic Text and the Septuagint of Ezekiel</w:t>
      </w:r>
      <w:r w:rsidR="00207404">
        <w:t>,</w:t>
      </w:r>
      <w:r w:rsidR="002268EE" w:rsidRPr="001005B7">
        <w:t xml:space="preserve">” </w:t>
      </w:r>
      <w:r w:rsidR="00207404">
        <w:t>r</w:t>
      </w:r>
      <w:r w:rsidR="002268EE" w:rsidRPr="001005B7">
        <w:t>eprinted in Tov,</w:t>
      </w:r>
      <w:r w:rsidR="002268EE" w:rsidRPr="001005B7">
        <w:rPr>
          <w:rFonts w:cstheme="minorHAnsi"/>
        </w:rPr>
        <w:t xml:space="preserve"> </w:t>
      </w:r>
      <w:r w:rsidR="002268EE" w:rsidRPr="001005B7">
        <w:rPr>
          <w:rStyle w:val="table-of-contentstitletextm3poj"/>
          <w:rFonts w:cstheme="minorHAnsi"/>
          <w:i/>
          <w:iCs/>
        </w:rPr>
        <w:t>The Greek and Hebrew Bible: Collected Essays on the Septuagint</w:t>
      </w:r>
      <w:r w:rsidR="002268EE" w:rsidRPr="001005B7">
        <w:rPr>
          <w:rStyle w:val="table-of-contentstitletextm3poj"/>
          <w:rFonts w:eastAsiaTheme="minorEastAsia"/>
        </w:rPr>
        <w:t>,</w:t>
      </w:r>
      <w:r w:rsidR="002268EE" w:rsidRPr="001005B7">
        <w:rPr>
          <w:rStyle w:val="table-of-contentstitletextm3poj"/>
          <w:rFonts w:cstheme="minorHAnsi"/>
        </w:rPr>
        <w:t xml:space="preserve"> VTSup 72 </w:t>
      </w:r>
      <w:r w:rsidR="005B7B9B">
        <w:rPr>
          <w:rStyle w:val="table-of-contentstitletextm3poj"/>
          <w:rFonts w:cstheme="minorHAnsi"/>
        </w:rPr>
        <w:t>(</w:t>
      </w:r>
      <w:r w:rsidR="002268EE" w:rsidRPr="001005B7">
        <w:rPr>
          <w:rStyle w:val="table-of-contentstitletextm3poj"/>
          <w:rFonts w:cstheme="minorHAnsi"/>
        </w:rPr>
        <w:t>Leiden: Brill, 1999</w:t>
      </w:r>
      <w:r w:rsidR="005B7B9B">
        <w:rPr>
          <w:rStyle w:val="table-of-contentstitletextm3poj"/>
          <w:rFonts w:cstheme="minorHAnsi"/>
        </w:rPr>
        <w:t>)</w:t>
      </w:r>
      <w:r w:rsidR="00A75FD8">
        <w:rPr>
          <w:rStyle w:val="table-of-contentstitletextm3poj"/>
          <w:rFonts w:cstheme="minorHAnsi"/>
        </w:rPr>
        <w:t>,</w:t>
      </w:r>
      <w:r w:rsidR="002268EE" w:rsidRPr="001005B7">
        <w:rPr>
          <w:rStyle w:val="table-of-contentstitletextm3poj"/>
          <w:rFonts w:cstheme="minorHAnsi"/>
        </w:rPr>
        <w:t xml:space="preserve"> </w:t>
      </w:r>
      <w:r w:rsidR="005B7B9B">
        <w:rPr>
          <w:rStyle w:val="table-of-contentstitletextm3poj"/>
          <w:rFonts w:cstheme="minorHAnsi"/>
        </w:rPr>
        <w:t>397</w:t>
      </w:r>
      <w:r w:rsidR="00A75FD8">
        <w:rPr>
          <w:rStyle w:val="table-of-contentstitletextm3poj"/>
          <w:rFonts w:cstheme="minorHAnsi"/>
        </w:rPr>
        <w:t>–</w:t>
      </w:r>
      <w:r w:rsidR="005B7B9B">
        <w:rPr>
          <w:rStyle w:val="table-of-contentstitletextm3poj"/>
          <w:rFonts w:cstheme="minorHAnsi"/>
        </w:rPr>
        <w:t>410</w:t>
      </w:r>
      <w:r w:rsidR="00A75FD8">
        <w:rPr>
          <w:rStyle w:val="table-of-contentstitletextm3poj"/>
          <w:rFonts w:cstheme="minorHAnsi"/>
        </w:rPr>
        <w:t xml:space="preserve"> (</w:t>
      </w:r>
      <w:r w:rsidR="002268EE">
        <w:rPr>
          <w:rStyle w:val="table-of-contentstitletextm3poj"/>
          <w:rFonts w:cstheme="minorHAnsi"/>
        </w:rPr>
        <w:t>407</w:t>
      </w:r>
      <w:r w:rsidR="00A75FD8">
        <w:rPr>
          <w:rStyle w:val="table-of-contentstitletextm3poj"/>
          <w:rFonts w:cstheme="minorHAnsi"/>
        </w:rPr>
        <w:t>).</w:t>
      </w:r>
    </w:p>
  </w:footnote>
  <w:footnote w:id="105">
    <w:p w14:paraId="5C513FED" w14:textId="35435324" w:rsidR="00E6070A" w:rsidRPr="00105C24" w:rsidRDefault="00E6070A" w:rsidP="00E6070A">
      <w:pPr>
        <w:pStyle w:val="FootnoteText"/>
        <w:rPr>
          <w:lang w:val="en-GB"/>
        </w:rPr>
      </w:pPr>
      <w:r>
        <w:rPr>
          <w:rStyle w:val="FootnoteReference"/>
        </w:rPr>
        <w:footnoteRef/>
      </w:r>
      <w:r w:rsidRPr="00105C24">
        <w:rPr>
          <w:lang w:val="en-GB"/>
        </w:rPr>
        <w:t xml:space="preserve"> Cf. Allen, “Structure.”</w:t>
      </w:r>
    </w:p>
  </w:footnote>
  <w:footnote w:id="106">
    <w:p w14:paraId="689C572A" w14:textId="6DF342E7" w:rsidR="003244D3" w:rsidRPr="003244D3" w:rsidRDefault="003244D3">
      <w:pPr>
        <w:pStyle w:val="FootnoteText"/>
      </w:pPr>
      <w:r>
        <w:rPr>
          <w:rStyle w:val="FootnoteReference"/>
        </w:rPr>
        <w:footnoteRef/>
      </w:r>
      <w:r>
        <w:t xml:space="preserve"> See</w:t>
      </w:r>
      <w:r w:rsidR="00CA5316">
        <w:t xml:space="preserve"> the text</w:t>
      </w:r>
      <w:r w:rsidR="00761C30">
        <w:t>u</w:t>
      </w:r>
      <w:r w:rsidR="00CA5316">
        <w:t>al note</w:t>
      </w:r>
      <w:r w:rsidR="00E66DC8">
        <w:t>,</w:t>
      </w:r>
      <w:r w:rsidR="00CA5316">
        <w:t xml:space="preserve"> and</w:t>
      </w:r>
      <w:r w:rsidR="00CD3517">
        <w:t>,</w:t>
      </w:r>
      <w:r>
        <w:t xml:space="preserve"> e.g., </w:t>
      </w:r>
      <w:r w:rsidR="000D4445">
        <w:t xml:space="preserve">Gruenwald, </w:t>
      </w:r>
      <w:r w:rsidR="000D4445">
        <w:rPr>
          <w:i/>
          <w:iCs/>
        </w:rPr>
        <w:t>Apocalyptic</w:t>
      </w:r>
      <w:r w:rsidR="000D4445">
        <w:t>;</w:t>
      </w:r>
      <w:r w:rsidR="000D4445">
        <w:rPr>
          <w:i/>
          <w:iCs/>
        </w:rPr>
        <w:t xml:space="preserve"> </w:t>
      </w:r>
      <w:r>
        <w:t xml:space="preserve">Scholem, </w:t>
      </w:r>
      <w:r>
        <w:rPr>
          <w:i/>
          <w:iCs/>
        </w:rPr>
        <w:t>Major Trends</w:t>
      </w:r>
      <w:r>
        <w:t>;</w:t>
      </w:r>
      <w:r w:rsidR="000D4445">
        <w:t xml:space="preserve"> </w:t>
      </w:r>
      <w:r w:rsidR="00423F7C">
        <w:t xml:space="preserve">Halperin, </w:t>
      </w:r>
      <w:r w:rsidR="00423F7C">
        <w:rPr>
          <w:i/>
          <w:iCs/>
        </w:rPr>
        <w:t>Faces</w:t>
      </w:r>
      <w:r w:rsidR="000B3CC5">
        <w:t xml:space="preserve">; </w:t>
      </w:r>
      <w:r w:rsidR="000B3CC5" w:rsidRPr="00947CF4">
        <w:t>Rowland,</w:t>
      </w:r>
      <w:r w:rsidR="00D27D74">
        <w:t xml:space="preserve"> “Influence”; Rowland,</w:t>
      </w:r>
      <w:r w:rsidR="000B3CC5" w:rsidRPr="00947CF4">
        <w:t xml:space="preserve"> </w:t>
      </w:r>
      <w:r w:rsidR="000B3CC5" w:rsidRPr="00947CF4">
        <w:rPr>
          <w:i/>
          <w:iCs/>
        </w:rPr>
        <w:t>“Wheels.”</w:t>
      </w:r>
    </w:p>
  </w:footnote>
  <w:footnote w:id="107">
    <w:p w14:paraId="2C9D2F09" w14:textId="77777777" w:rsidR="007163A6" w:rsidRPr="00105C24" w:rsidRDefault="007163A6" w:rsidP="007163A6">
      <w:pPr>
        <w:pStyle w:val="FootnoteText"/>
        <w:rPr>
          <w:lang w:val="en-GB"/>
        </w:rPr>
      </w:pPr>
      <w:r>
        <w:rPr>
          <w:rStyle w:val="FootnoteReference"/>
        </w:rPr>
        <w:footnoteRef/>
      </w:r>
      <w:r w:rsidRPr="00105C24">
        <w:rPr>
          <w:lang w:val="en-GB"/>
        </w:rPr>
        <w:t xml:space="preserve"> Odell, “Ezekiel Saw,” 163.</w:t>
      </w:r>
    </w:p>
  </w:footnote>
  <w:footnote w:id="108">
    <w:p w14:paraId="3B49666A" w14:textId="21E3473D" w:rsidR="00B56DB1" w:rsidRPr="002C5B54" w:rsidRDefault="00A919B0">
      <w:pPr>
        <w:pStyle w:val="FootnoteText"/>
      </w:pPr>
      <w:r>
        <w:rPr>
          <w:rStyle w:val="FootnoteReference"/>
        </w:rPr>
        <w:footnoteRef/>
      </w:r>
      <w:r>
        <w:t xml:space="preserve"> See Keel</w:t>
      </w:r>
      <w:r w:rsidR="00B56DB1">
        <w:t>,</w:t>
      </w:r>
      <w:r w:rsidR="002C5B54">
        <w:t xml:space="preserve"> </w:t>
      </w:r>
      <w:r w:rsidR="00B56DB1" w:rsidRPr="00947CF4">
        <w:rPr>
          <w:rFonts w:ascii="Calibri" w:eastAsia="Times New Roman" w:hAnsi="Calibri" w:cs="Calibri"/>
          <w:i/>
          <w:iCs/>
          <w:lang w:eastAsia="en-GB"/>
        </w:rPr>
        <w:t>Jahwe-Visionen</w:t>
      </w:r>
      <w:r w:rsidR="002C5B54">
        <w:rPr>
          <w:rFonts w:ascii="Calibri" w:eastAsia="Times New Roman" w:hAnsi="Calibri" w:cs="Calibri"/>
          <w:lang w:eastAsia="en-GB"/>
        </w:rPr>
        <w:t>,</w:t>
      </w:r>
      <w:r w:rsidR="00B56DB1" w:rsidRPr="00947CF4">
        <w:rPr>
          <w:rFonts w:ascii="Calibri" w:eastAsia="Times New Roman" w:hAnsi="Calibri" w:cs="Calibri"/>
          <w:lang w:eastAsia="en-GB"/>
        </w:rPr>
        <w:t xml:space="preserve"> 125</w:t>
      </w:r>
      <w:r w:rsidR="001943CB">
        <w:rPr>
          <w:rFonts w:ascii="Calibri" w:eastAsia="Times New Roman" w:hAnsi="Calibri" w:cs="Calibri"/>
          <w:lang w:eastAsia="en-GB"/>
        </w:rPr>
        <w:t>–</w:t>
      </w:r>
      <w:r w:rsidR="00B56DB1" w:rsidRPr="00947CF4">
        <w:rPr>
          <w:rFonts w:ascii="Calibri" w:eastAsia="Times New Roman" w:hAnsi="Calibri" w:cs="Calibri"/>
          <w:lang w:eastAsia="en-GB"/>
        </w:rPr>
        <w:t>273</w:t>
      </w:r>
      <w:r w:rsidR="002C5B54">
        <w:rPr>
          <w:rFonts w:ascii="Calibri" w:eastAsia="Times New Roman" w:hAnsi="Calibri" w:cs="Calibri"/>
          <w:lang w:eastAsia="en-GB"/>
        </w:rPr>
        <w:t>; Allen</w:t>
      </w:r>
      <w:r w:rsidR="00656A1E">
        <w:rPr>
          <w:rFonts w:ascii="Calibri" w:eastAsia="Times New Roman" w:hAnsi="Calibri" w:cs="Calibri"/>
          <w:lang w:eastAsia="en-GB"/>
        </w:rPr>
        <w:t>,</w:t>
      </w:r>
      <w:r w:rsidR="002C5B54">
        <w:rPr>
          <w:rFonts w:ascii="Calibri" w:eastAsia="Times New Roman" w:hAnsi="Calibri" w:cs="Calibri"/>
          <w:lang w:eastAsia="en-GB"/>
        </w:rPr>
        <w:t xml:space="preserve"> </w:t>
      </w:r>
      <w:r w:rsidR="004D0DCE">
        <w:rPr>
          <w:rFonts w:ascii="Calibri" w:eastAsia="Times New Roman" w:hAnsi="Calibri" w:cs="Calibri"/>
          <w:lang w:eastAsia="en-GB"/>
        </w:rPr>
        <w:t>1:27</w:t>
      </w:r>
      <w:r w:rsidR="001943CB">
        <w:rPr>
          <w:rFonts w:ascii="Calibri" w:eastAsia="Times New Roman" w:hAnsi="Calibri" w:cs="Calibri"/>
          <w:lang w:eastAsia="en-GB"/>
        </w:rPr>
        <w:t>–</w:t>
      </w:r>
      <w:r w:rsidR="004D0DCE">
        <w:rPr>
          <w:rFonts w:ascii="Calibri" w:eastAsia="Times New Roman" w:hAnsi="Calibri" w:cs="Calibri"/>
          <w:lang w:eastAsia="en-GB"/>
        </w:rPr>
        <w:t>37</w:t>
      </w:r>
      <w:r w:rsidR="00656A1E">
        <w:rPr>
          <w:rFonts w:ascii="Calibri" w:eastAsia="Times New Roman" w:hAnsi="Calibri" w:cs="Calibri"/>
          <w:lang w:eastAsia="en-GB"/>
        </w:rPr>
        <w:t>,</w:t>
      </w:r>
      <w:r w:rsidR="004D0DCE">
        <w:rPr>
          <w:rFonts w:ascii="Calibri" w:eastAsia="Times New Roman" w:hAnsi="Calibri" w:cs="Calibri"/>
          <w:lang w:eastAsia="en-GB"/>
        </w:rPr>
        <w:t xml:space="preserve"> </w:t>
      </w:r>
      <w:r w:rsidR="002C5B54">
        <w:rPr>
          <w:rFonts w:ascii="Calibri" w:eastAsia="Times New Roman" w:hAnsi="Calibri" w:cs="Calibri"/>
          <w:lang w:eastAsia="en-GB"/>
        </w:rPr>
        <w:t>has a summary and illustrations</w:t>
      </w:r>
      <w:r w:rsidR="00E81BB3">
        <w:rPr>
          <w:rFonts w:ascii="Calibri" w:eastAsia="Times New Roman" w:hAnsi="Calibri" w:cs="Calibri"/>
          <w:lang w:eastAsia="en-GB"/>
        </w:rPr>
        <w:t>.</w:t>
      </w:r>
    </w:p>
  </w:footnote>
  <w:footnote w:id="109">
    <w:p w14:paraId="74D9982F" w14:textId="77777777" w:rsidR="00B3274E" w:rsidRDefault="00B3274E" w:rsidP="00B3274E">
      <w:pPr>
        <w:pStyle w:val="FootnoteText"/>
      </w:pPr>
      <w:r>
        <w:rPr>
          <w:rStyle w:val="FootnoteReference"/>
        </w:rPr>
        <w:footnoteRef/>
      </w:r>
      <w:r>
        <w:t xml:space="preserve"> </w:t>
      </w:r>
      <w:r>
        <w:t>Grelot, “L’imagerie.”</w:t>
      </w:r>
    </w:p>
  </w:footnote>
  <w:footnote w:id="110">
    <w:p w14:paraId="26A3F252" w14:textId="1389F939" w:rsidR="00B877C7" w:rsidRDefault="00B877C7">
      <w:pPr>
        <w:pStyle w:val="FootnoteText"/>
      </w:pPr>
      <w:r>
        <w:rPr>
          <w:rStyle w:val="FootnoteReference"/>
        </w:rPr>
        <w:footnoteRef/>
      </w:r>
      <w:r>
        <w:t xml:space="preserve"> Rochester, </w:t>
      </w:r>
      <w:r w:rsidR="008F1198">
        <w:t>“Grief,” 355.</w:t>
      </w:r>
    </w:p>
  </w:footnote>
  <w:footnote w:id="111">
    <w:p w14:paraId="424F76ED" w14:textId="12DA4DC8" w:rsidR="00BA4845" w:rsidRDefault="00BA4845">
      <w:pPr>
        <w:pStyle w:val="FootnoteText"/>
      </w:pPr>
      <w:r>
        <w:rPr>
          <w:rStyle w:val="FootnoteReference"/>
        </w:rPr>
        <w:footnoteRef/>
      </w:r>
      <w:r>
        <w:t xml:space="preserve"> See, e.g., </w:t>
      </w:r>
      <w:r w:rsidR="00415BFB">
        <w:t>Sl</w:t>
      </w:r>
      <w:r w:rsidR="00B8210F">
        <w:t>o</w:t>
      </w:r>
      <w:r w:rsidR="00415BFB">
        <w:t xml:space="preserve">temaker, </w:t>
      </w:r>
      <w:r w:rsidR="00F54C88">
        <w:t>“Fuisse.”</w:t>
      </w:r>
    </w:p>
  </w:footnote>
  <w:footnote w:id="112">
    <w:p w14:paraId="1F6C663D" w14:textId="5AD36823" w:rsidR="00784843" w:rsidRDefault="00784843">
      <w:pPr>
        <w:pStyle w:val="FootnoteText"/>
      </w:pPr>
      <w:r>
        <w:rPr>
          <w:rStyle w:val="FootnoteReference"/>
        </w:rPr>
        <w:footnoteRef/>
      </w:r>
      <w:r>
        <w:t xml:space="preserve"> </w:t>
      </w:r>
      <w:r w:rsidR="0058581A">
        <w:t xml:space="preserve">See, e.g., </w:t>
      </w:r>
      <w:r>
        <w:t>Aster, “Ezekiel’s Adaptation.”</w:t>
      </w:r>
    </w:p>
  </w:footnote>
  <w:footnote w:id="113">
    <w:p w14:paraId="066E99B6" w14:textId="13CD0B7F" w:rsidR="0045413B" w:rsidRDefault="0045413B">
      <w:pPr>
        <w:pStyle w:val="FootnoteText"/>
      </w:pPr>
      <w:r>
        <w:rPr>
          <w:rStyle w:val="FootnoteReference"/>
        </w:rPr>
        <w:footnoteRef/>
      </w:r>
      <w:r>
        <w:t xml:space="preserve"> </w:t>
      </w:r>
      <w:r w:rsidRPr="00947CF4">
        <w:t xml:space="preserve">Van </w:t>
      </w:r>
      <w:r w:rsidRPr="00947CF4">
        <w:t>Wolde, “Ezekiel 1,” 99</w:t>
      </w:r>
      <w:r w:rsidR="001943CB">
        <w:t>–</w:t>
      </w:r>
      <w:r w:rsidRPr="00947CF4">
        <w:t>104</w:t>
      </w:r>
      <w:r w:rsidR="0029125D">
        <w:t xml:space="preserve">. </w:t>
      </w:r>
    </w:p>
  </w:footnote>
  <w:footnote w:id="114">
    <w:p w14:paraId="55CBA129" w14:textId="3E266ED7" w:rsidR="00D80E68" w:rsidRPr="00E75C4F" w:rsidRDefault="00D80E68">
      <w:pPr>
        <w:pStyle w:val="FootnoteText"/>
      </w:pPr>
      <w:r>
        <w:rPr>
          <w:rStyle w:val="FootnoteReference"/>
        </w:rPr>
        <w:footnoteRef/>
      </w:r>
      <w:r>
        <w:t xml:space="preserve"> </w:t>
      </w:r>
      <w:r w:rsidR="00745FAB">
        <w:t xml:space="preserve">See </w:t>
      </w:r>
      <w:r w:rsidR="00E75C4F">
        <w:t>d</w:t>
      </w:r>
      <w:r w:rsidR="00745FAB">
        <w:t>e</w:t>
      </w:r>
      <w:r w:rsidR="00E75C4F">
        <w:t xml:space="preserve"> </w:t>
      </w:r>
      <w:r w:rsidR="00745FAB">
        <w:t xml:space="preserve">Vries, </w:t>
      </w:r>
      <w:r w:rsidR="00E75C4F" w:rsidRPr="008C2B47">
        <w:rPr>
          <w:i/>
          <w:iCs/>
        </w:rPr>
        <w:t>Kābôd</w:t>
      </w:r>
      <w:r w:rsidR="00E75C4F">
        <w:t>.</w:t>
      </w:r>
    </w:p>
  </w:footnote>
  <w:footnote w:id="115">
    <w:p w14:paraId="4833A4F3" w14:textId="77777777" w:rsidR="008F76A1" w:rsidRDefault="008F76A1" w:rsidP="008F76A1">
      <w:pPr>
        <w:pStyle w:val="FootnoteText"/>
      </w:pPr>
      <w:r>
        <w:rPr>
          <w:rStyle w:val="FootnoteReference"/>
        </w:rPr>
        <w:footnoteRef/>
      </w:r>
      <w:r>
        <w:t xml:space="preserve"> See McCall, “Body.”</w:t>
      </w:r>
    </w:p>
  </w:footnote>
  <w:footnote w:id="116">
    <w:p w14:paraId="23833656" w14:textId="746226C5" w:rsidR="008B4860" w:rsidRDefault="008B4860" w:rsidP="008B4860">
      <w:pPr>
        <w:pStyle w:val="FootnoteText"/>
      </w:pPr>
      <w:r>
        <w:rPr>
          <w:rStyle w:val="FootnoteReference"/>
        </w:rPr>
        <w:footnoteRef/>
      </w:r>
      <w:r>
        <w:t xml:space="preserve"> </w:t>
      </w:r>
      <w:r w:rsidRPr="00947CF4">
        <w:t>Cyril</w:t>
      </w:r>
      <w:r>
        <w:t xml:space="preserve"> of Jerusalem,</w:t>
      </w:r>
      <w:r w:rsidR="0029125D">
        <w:t xml:space="preserve"> </w:t>
      </w:r>
      <w:r w:rsidRPr="00734B95">
        <w:rPr>
          <w:i/>
          <w:iCs/>
        </w:rPr>
        <w:t>Catechetical Lectures</w:t>
      </w:r>
      <w:r w:rsidRPr="00947CF4">
        <w:t xml:space="preserve"> 9</w:t>
      </w:r>
      <w:r>
        <w:t xml:space="preserve"> (cf.</w:t>
      </w:r>
      <w:r w:rsidR="0029125D">
        <w:t xml:space="preserve"> </w:t>
      </w:r>
      <w:r w:rsidRPr="00947CF4">
        <w:t>Stevenson</w:t>
      </w:r>
      <w:r>
        <w:t>,</w:t>
      </w:r>
      <w:r w:rsidRPr="00947CF4">
        <w:t xml:space="preserve"> 4</w:t>
      </w:r>
      <w:r>
        <w:t>).</w:t>
      </w:r>
    </w:p>
  </w:footnote>
  <w:footnote w:id="117">
    <w:p w14:paraId="7C72822F" w14:textId="3568BC29" w:rsidR="00F10570" w:rsidRDefault="00246ADD" w:rsidP="00D3584E">
      <w:pPr>
        <w:pStyle w:val="FootnoteText"/>
      </w:pPr>
      <w:r>
        <w:rPr>
          <w:rStyle w:val="FootnoteReference"/>
        </w:rPr>
        <w:footnoteRef/>
      </w:r>
      <w:r>
        <w:t xml:space="preserve"> On the possible redactional development of the passage, see </w:t>
      </w:r>
      <w:r w:rsidR="0002522F">
        <w:t xml:space="preserve">Janina M. </w:t>
      </w:r>
      <w:r>
        <w:t>Hiebel,</w:t>
      </w:r>
      <w:r w:rsidR="00F10570" w:rsidRPr="005469A6">
        <w:rPr>
          <w:rFonts w:ascii="Calibri" w:eastAsia="Times New Roman" w:hAnsi="Calibri" w:cs="Calibri"/>
          <w:color w:val="000000"/>
          <w:lang w:eastAsia="en-GB"/>
        </w:rPr>
        <w:t> </w:t>
      </w:r>
      <w:r w:rsidR="00F10570" w:rsidRPr="00456E7A">
        <w:rPr>
          <w:rFonts w:ascii="Calibri" w:eastAsia="Times New Roman" w:hAnsi="Calibri" w:cs="Calibri"/>
          <w:i/>
          <w:iCs/>
          <w:color w:val="000000"/>
          <w:lang w:eastAsia="en-GB"/>
        </w:rPr>
        <w:t>Ezekiel's Vision Accounts as Interrelated Narratives: A Redaction-Critical and Theological Study</w:t>
      </w:r>
      <w:r w:rsidR="00E07457">
        <w:rPr>
          <w:rFonts w:ascii="Calibri" w:eastAsia="Times New Roman" w:hAnsi="Calibri" w:cs="Calibri"/>
          <w:color w:val="000000"/>
          <w:lang w:eastAsia="en-GB"/>
        </w:rPr>
        <w:t>,</w:t>
      </w:r>
      <w:r w:rsidR="00F10570">
        <w:rPr>
          <w:rFonts w:ascii="Calibri" w:eastAsia="Times New Roman" w:hAnsi="Calibri" w:cs="Calibri"/>
          <w:color w:val="000000"/>
          <w:lang w:eastAsia="en-GB"/>
        </w:rPr>
        <w:t xml:space="preserve"> </w:t>
      </w:r>
      <w:r w:rsidR="00F10570" w:rsidRPr="005469A6">
        <w:rPr>
          <w:rFonts w:ascii="Calibri" w:eastAsia="Times New Roman" w:hAnsi="Calibri" w:cs="Calibri"/>
          <w:color w:val="000000"/>
          <w:lang w:eastAsia="en-GB"/>
        </w:rPr>
        <w:t xml:space="preserve">BZAW 475 </w:t>
      </w:r>
      <w:r w:rsidR="00D3584E">
        <w:rPr>
          <w:rFonts w:ascii="Calibri" w:eastAsia="Times New Roman" w:hAnsi="Calibri" w:cs="Calibri"/>
          <w:color w:val="000000"/>
          <w:lang w:eastAsia="en-GB"/>
        </w:rPr>
        <w:t>(</w:t>
      </w:r>
      <w:r w:rsidR="00F10570" w:rsidRPr="005469A6">
        <w:rPr>
          <w:rFonts w:ascii="Calibri" w:eastAsia="Times New Roman" w:hAnsi="Calibri" w:cs="Calibri"/>
          <w:color w:val="000000"/>
          <w:lang w:eastAsia="en-GB"/>
        </w:rPr>
        <w:t xml:space="preserve">Berlin: </w:t>
      </w:r>
      <w:r w:rsidR="00DB65E0">
        <w:rPr>
          <w:rFonts w:ascii="Calibri" w:eastAsia="Times New Roman" w:hAnsi="Calibri" w:cs="Calibri"/>
          <w:color w:val="000000"/>
          <w:lang w:eastAsia="en-GB"/>
        </w:rPr>
        <w:t>d</w:t>
      </w:r>
      <w:r w:rsidR="00F10570" w:rsidRPr="005469A6">
        <w:rPr>
          <w:rFonts w:ascii="Calibri" w:eastAsia="Times New Roman" w:hAnsi="Calibri" w:cs="Calibri"/>
          <w:color w:val="000000"/>
          <w:lang w:eastAsia="en-GB"/>
        </w:rPr>
        <w:t>e Gruyter, 2015</w:t>
      </w:r>
      <w:r w:rsidR="00D3584E">
        <w:rPr>
          <w:rFonts w:ascii="Calibri" w:eastAsia="Times New Roman" w:hAnsi="Calibri" w:cs="Calibri"/>
          <w:color w:val="000000"/>
          <w:lang w:eastAsia="en-GB"/>
        </w:rPr>
        <w:t>), 53</w:t>
      </w:r>
      <w:r w:rsidR="001943CB">
        <w:rPr>
          <w:rFonts w:ascii="Calibri" w:eastAsia="Times New Roman" w:hAnsi="Calibri" w:cs="Calibri"/>
          <w:color w:val="000000"/>
          <w:lang w:eastAsia="en-GB"/>
        </w:rPr>
        <w:t>–</w:t>
      </w:r>
      <w:r w:rsidR="00D3584E">
        <w:rPr>
          <w:rFonts w:ascii="Calibri" w:eastAsia="Times New Roman" w:hAnsi="Calibri" w:cs="Calibri"/>
          <w:color w:val="000000"/>
          <w:lang w:eastAsia="en-GB"/>
        </w:rPr>
        <w:t>93</w:t>
      </w:r>
      <w:r w:rsidR="0002522F">
        <w:rPr>
          <w:rFonts w:ascii="Calibri" w:eastAsia="Times New Roman" w:hAnsi="Calibri" w:cs="Calibri"/>
          <w:color w:val="000000"/>
          <w:lang w:eastAsia="en-GB"/>
        </w:rPr>
        <w:t>; Hiebel, “Redaction.</w:t>
      </w:r>
      <w:r w:rsidR="00ED2398">
        <w:rPr>
          <w:rFonts w:ascii="Calibri" w:eastAsia="Times New Roman" w:hAnsi="Calibri" w:cs="Calibri"/>
          <w:color w:val="000000"/>
          <w:lang w:eastAsia="en-GB"/>
        </w:rPr>
        <w:t>”</w:t>
      </w:r>
    </w:p>
  </w:footnote>
  <w:footnote w:id="118">
    <w:p w14:paraId="1502B4DE" w14:textId="15DD5526" w:rsidR="00CA30FC" w:rsidRPr="00B053D5" w:rsidRDefault="00CA30FC">
      <w:pPr>
        <w:pStyle w:val="FootnoteText"/>
      </w:pPr>
      <w:r>
        <w:rPr>
          <w:rStyle w:val="FootnoteReference"/>
        </w:rPr>
        <w:footnoteRef/>
      </w:r>
      <w:r>
        <w:t xml:space="preserve"> </w:t>
      </w:r>
      <w:r w:rsidR="005641CA">
        <w:t xml:space="preserve">Anarthrous </w:t>
      </w:r>
      <w:r w:rsidR="005641CA">
        <w:rPr>
          <w:rFonts w:cstheme="minorHAnsi"/>
          <w:rtl/>
          <w:lang w:bidi="he-IL"/>
        </w:rPr>
        <w:t>רוַּ</w:t>
      </w:r>
      <w:r w:rsidR="00B053D5">
        <w:rPr>
          <w:rFonts w:cstheme="minorHAnsi"/>
          <w:rtl/>
          <w:lang w:bidi="he-IL"/>
        </w:rPr>
        <w:t>ח</w:t>
      </w:r>
      <w:r w:rsidR="00B053D5" w:rsidRPr="00B053D5">
        <w:t xml:space="preserve"> </w:t>
      </w:r>
      <w:r w:rsidR="00B053D5">
        <w:t xml:space="preserve">rather than </w:t>
      </w:r>
      <w:r w:rsidR="00802FD0">
        <w:rPr>
          <w:rFonts w:cstheme="minorHAnsi"/>
          <w:rtl/>
          <w:lang w:bidi="he-IL"/>
        </w:rPr>
        <w:t>הׇרוַּח</w:t>
      </w:r>
      <w:r w:rsidR="00B053D5">
        <w:t xml:space="preserve"> </w:t>
      </w:r>
      <w:r w:rsidR="00187E4E">
        <w:t xml:space="preserve">is usual </w:t>
      </w:r>
      <w:r w:rsidR="00671AF9">
        <w:t>henceforth</w:t>
      </w:r>
      <w:r w:rsidR="00187E4E">
        <w:t xml:space="preserve"> in Ezekiel.</w:t>
      </w:r>
    </w:p>
  </w:footnote>
  <w:footnote w:id="119">
    <w:p w14:paraId="0E9D10CA" w14:textId="4A6E5BC8" w:rsidR="00993FB1" w:rsidRPr="008F51E5" w:rsidRDefault="00993FB1" w:rsidP="00993FB1">
      <w:pPr>
        <w:rPr>
          <w:sz w:val="20"/>
          <w:szCs w:val="20"/>
          <w:lang w:eastAsia="en-GB"/>
        </w:rPr>
      </w:pPr>
      <w:r w:rsidRPr="008F51E5">
        <w:rPr>
          <w:rStyle w:val="FootnoteReference"/>
          <w:sz w:val="20"/>
          <w:szCs w:val="20"/>
        </w:rPr>
        <w:footnoteRef/>
      </w:r>
      <w:r w:rsidRPr="008F51E5">
        <w:rPr>
          <w:sz w:val="20"/>
          <w:szCs w:val="20"/>
        </w:rPr>
        <w:t xml:space="preserve"> </w:t>
      </w:r>
      <w:r w:rsidRPr="008F51E5">
        <w:rPr>
          <w:sz w:val="20"/>
          <w:szCs w:val="20"/>
          <w:lang w:eastAsia="en-GB"/>
        </w:rPr>
        <w:t xml:space="preserve">Hitpael </w:t>
      </w:r>
      <w:r w:rsidRPr="008F51E5">
        <w:rPr>
          <w:rFonts w:cstheme="minorHAnsi"/>
          <w:sz w:val="20"/>
          <w:szCs w:val="20"/>
          <w:rtl/>
          <w:lang w:eastAsia="en-GB" w:bidi="he-IL"/>
        </w:rPr>
        <w:t>מִדַּבֵּר</w:t>
      </w:r>
      <w:r w:rsidRPr="008F51E5">
        <w:rPr>
          <w:sz w:val="20"/>
          <w:szCs w:val="20"/>
          <w:lang w:eastAsia="en-GB"/>
        </w:rPr>
        <w:t xml:space="preserve"> hints at “speaking to himself” (cf. Rashi</w:t>
      </w:r>
      <w:r w:rsidR="002E5690">
        <w:rPr>
          <w:sz w:val="20"/>
          <w:szCs w:val="20"/>
          <w:lang w:eastAsia="en-GB"/>
        </w:rPr>
        <w:t>,</w:t>
      </w:r>
      <w:r w:rsidRPr="008F51E5">
        <w:rPr>
          <w:sz w:val="20"/>
          <w:szCs w:val="20"/>
          <w:lang w:eastAsia="en-GB"/>
        </w:rPr>
        <w:t xml:space="preserve"> in MG),</w:t>
      </w:r>
      <w:r w:rsidRPr="008F51E5">
        <w:rPr>
          <w:i/>
          <w:iCs/>
          <w:sz w:val="20"/>
          <w:szCs w:val="20"/>
          <w:lang w:eastAsia="en-GB"/>
        </w:rPr>
        <w:t xml:space="preserve"> </w:t>
      </w:r>
      <w:r w:rsidRPr="008F51E5">
        <w:rPr>
          <w:sz w:val="20"/>
          <w:szCs w:val="20"/>
          <w:lang w:eastAsia="en-GB"/>
        </w:rPr>
        <w:t>a “reverential reservation respecting the directness of God’s speech” (Greenberg</w:t>
      </w:r>
      <w:r w:rsidR="009C2926">
        <w:rPr>
          <w:sz w:val="20"/>
          <w:szCs w:val="20"/>
          <w:lang w:eastAsia="en-GB"/>
        </w:rPr>
        <w:t>,</w:t>
      </w:r>
      <w:r w:rsidRPr="008F51E5">
        <w:rPr>
          <w:sz w:val="20"/>
          <w:szCs w:val="20"/>
          <w:lang w:eastAsia="en-GB"/>
        </w:rPr>
        <w:t xml:space="preserve"> 1:62).</w:t>
      </w:r>
    </w:p>
  </w:footnote>
  <w:footnote w:id="120">
    <w:p w14:paraId="6A1E2BFF" w14:textId="28E47212" w:rsidR="008C7AE9" w:rsidRPr="008F51E5" w:rsidRDefault="008C7AE9">
      <w:pPr>
        <w:pStyle w:val="FootnoteText"/>
      </w:pPr>
      <w:r w:rsidRPr="008F51E5">
        <w:rPr>
          <w:rStyle w:val="FootnoteReference"/>
        </w:rPr>
        <w:footnoteRef/>
      </w:r>
      <w:r w:rsidRPr="008F51E5">
        <w:t xml:space="preserve"> </w:t>
      </w:r>
      <w:r w:rsidRPr="008F51E5">
        <w:rPr>
          <w:lang w:eastAsia="en-GB"/>
        </w:rPr>
        <w:t xml:space="preserve">One would usually translate </w:t>
      </w:r>
      <w:r w:rsidRPr="008F51E5">
        <w:rPr>
          <w:rFonts w:cstheme="minorHAnsi"/>
          <w:rtl/>
          <w:lang w:eastAsia="en-GB" w:bidi="he-IL"/>
        </w:rPr>
        <w:t>בְ</w:t>
      </w:r>
      <w:r w:rsidR="0036199C">
        <w:rPr>
          <w:rFonts w:cstheme="minorHAnsi"/>
          <w:rtl/>
          <w:lang w:eastAsia="en-GB" w:bidi="he-IL"/>
        </w:rPr>
        <w:t>ּ</w:t>
      </w:r>
      <w:r w:rsidRPr="008F51E5">
        <w:rPr>
          <w:rFonts w:cstheme="minorHAnsi"/>
          <w:rtl/>
          <w:lang w:eastAsia="en-GB" w:bidi="he-IL"/>
        </w:rPr>
        <w:t>נֵי</w:t>
      </w:r>
      <w:r w:rsidRPr="008F51E5">
        <w:rPr>
          <w:rFonts w:cstheme="minorHAnsi" w:hint="cs"/>
          <w:rtl/>
          <w:lang w:eastAsia="en-GB" w:bidi="he-IL"/>
        </w:rPr>
        <w:t xml:space="preserve"> </w:t>
      </w:r>
      <w:r w:rsidRPr="008F51E5">
        <w:rPr>
          <w:rFonts w:cstheme="minorHAnsi"/>
          <w:rtl/>
          <w:lang w:eastAsia="en-GB" w:bidi="he-IL"/>
        </w:rPr>
        <w:t>יִשְׂרָאֵל</w:t>
      </w:r>
      <w:r w:rsidRPr="008F51E5">
        <w:rPr>
          <w:lang w:eastAsia="en-GB"/>
        </w:rPr>
        <w:t xml:space="preserve"> </w:t>
      </w:r>
      <w:r w:rsidRPr="008F51E5">
        <w:rPr>
          <w:rFonts w:cstheme="minorHAnsi"/>
          <w:lang w:eastAsia="en-GB"/>
        </w:rPr>
        <w:t xml:space="preserve">“Israelites,” but the expression is rare in Ezekiel and here leads into the reference to </w:t>
      </w:r>
      <w:r w:rsidRPr="008F51E5">
        <w:rPr>
          <w:rFonts w:cstheme="minorHAnsi"/>
          <w:i/>
          <w:iCs/>
          <w:lang w:eastAsia="en-GB"/>
        </w:rPr>
        <w:t>ancestors</w:t>
      </w:r>
      <w:r w:rsidRPr="008F51E5">
        <w:rPr>
          <w:rFonts w:cstheme="minorHAnsi"/>
          <w:lang w:eastAsia="en-GB"/>
        </w:rPr>
        <w:t xml:space="preserve"> and </w:t>
      </w:r>
      <w:r w:rsidRPr="008F51E5">
        <w:rPr>
          <w:rFonts w:cstheme="minorHAnsi"/>
          <w:i/>
          <w:iCs/>
          <w:lang w:eastAsia="en-GB"/>
        </w:rPr>
        <w:t>descendants</w:t>
      </w:r>
      <w:r w:rsidRPr="008F51E5">
        <w:rPr>
          <w:rFonts w:cstheme="minorHAnsi"/>
          <w:lang w:eastAsia="en-GB"/>
        </w:rPr>
        <w:t>.</w:t>
      </w:r>
    </w:p>
  </w:footnote>
  <w:footnote w:id="121">
    <w:p w14:paraId="712E5839" w14:textId="3C12C613" w:rsidR="00901528" w:rsidRPr="008F51E5" w:rsidRDefault="00901528" w:rsidP="00901528">
      <w:pPr>
        <w:rPr>
          <w:sz w:val="20"/>
          <w:szCs w:val="20"/>
          <w:lang w:eastAsia="en-GB"/>
        </w:rPr>
      </w:pPr>
      <w:r w:rsidRPr="008F51E5">
        <w:rPr>
          <w:rStyle w:val="FootnoteReference"/>
          <w:sz w:val="20"/>
          <w:szCs w:val="20"/>
        </w:rPr>
        <w:footnoteRef/>
      </w:r>
      <w:r w:rsidRPr="008F51E5">
        <w:rPr>
          <w:sz w:val="20"/>
          <w:szCs w:val="20"/>
        </w:rPr>
        <w:t xml:space="preserve"> </w:t>
      </w:r>
      <w:r w:rsidR="00541012">
        <w:rPr>
          <w:sz w:val="20"/>
          <w:szCs w:val="20"/>
        </w:rPr>
        <w:t>On t</w:t>
      </w:r>
      <w:r w:rsidRPr="008F51E5">
        <w:rPr>
          <w:sz w:val="20"/>
          <w:szCs w:val="20"/>
          <w:lang w:eastAsia="en-GB"/>
        </w:rPr>
        <w:t xml:space="preserve">he form </w:t>
      </w:r>
      <w:r w:rsidRPr="008F51E5">
        <w:rPr>
          <w:rFonts w:cstheme="minorHAnsi"/>
          <w:sz w:val="20"/>
          <w:szCs w:val="20"/>
          <w:rtl/>
          <w:lang w:eastAsia="en-GB" w:bidi="he-IL"/>
        </w:rPr>
        <w:t>אֲדׄנָי</w:t>
      </w:r>
      <w:r w:rsidRPr="008F51E5">
        <w:rPr>
          <w:rFonts w:cstheme="minorHAnsi"/>
          <w:sz w:val="20"/>
          <w:szCs w:val="20"/>
          <w:lang w:eastAsia="en-GB"/>
        </w:rPr>
        <w:t>, frequent in Ezekiel in this compound name for God,</w:t>
      </w:r>
      <w:r w:rsidR="00780AE8">
        <w:rPr>
          <w:sz w:val="20"/>
          <w:szCs w:val="20"/>
        </w:rPr>
        <w:t xml:space="preserve"> see the tra</w:t>
      </w:r>
      <w:r w:rsidR="001E6733">
        <w:rPr>
          <w:sz w:val="20"/>
          <w:szCs w:val="20"/>
        </w:rPr>
        <w:t>n</w:t>
      </w:r>
      <w:r w:rsidR="00780AE8">
        <w:rPr>
          <w:sz w:val="20"/>
          <w:szCs w:val="20"/>
        </w:rPr>
        <w:t>slati</w:t>
      </w:r>
      <w:r w:rsidR="001E6733">
        <w:rPr>
          <w:sz w:val="20"/>
          <w:szCs w:val="20"/>
        </w:rPr>
        <w:t>o</w:t>
      </w:r>
      <w:r w:rsidR="00780AE8">
        <w:rPr>
          <w:sz w:val="20"/>
          <w:szCs w:val="20"/>
        </w:rPr>
        <w:t xml:space="preserve">n </w:t>
      </w:r>
      <w:r w:rsidR="005E0ED8">
        <w:rPr>
          <w:sz w:val="20"/>
          <w:szCs w:val="20"/>
        </w:rPr>
        <w:t>foot</w:t>
      </w:r>
      <w:r w:rsidR="00780AE8">
        <w:rPr>
          <w:sz w:val="20"/>
          <w:szCs w:val="20"/>
        </w:rPr>
        <w:t>note on 29:16.</w:t>
      </w:r>
    </w:p>
  </w:footnote>
  <w:footnote w:id="122">
    <w:p w14:paraId="35AD94E6" w14:textId="1E0CE123" w:rsidR="00286F2A" w:rsidRDefault="00286F2A">
      <w:pPr>
        <w:pStyle w:val="FootnoteText"/>
      </w:pPr>
      <w:r>
        <w:rPr>
          <w:rStyle w:val="FootnoteReference"/>
        </w:rPr>
        <w:footnoteRef/>
      </w:r>
      <w:r>
        <w:t xml:space="preserve"> Here</w:t>
      </w:r>
      <w:r w:rsidR="00A83F0A">
        <w:t>,</w:t>
      </w:r>
      <w:r>
        <w:t xml:space="preserve"> later in the verse</w:t>
      </w:r>
      <w:r w:rsidR="00A83F0A">
        <w:t>, and in 3:9</w:t>
      </w:r>
      <w:r w:rsidR="004D5972">
        <w:t xml:space="preserve"> (</w:t>
      </w:r>
      <w:r w:rsidR="00ED5B38">
        <w:t xml:space="preserve">also </w:t>
      </w:r>
      <w:r w:rsidR="00B9221E">
        <w:t xml:space="preserve">11:16; </w:t>
      </w:r>
      <w:r w:rsidR="004D5972">
        <w:t>12:3</w:t>
      </w:r>
      <w:r w:rsidR="00740AA4">
        <w:t xml:space="preserve">; </w:t>
      </w:r>
      <w:r w:rsidR="002C32AE">
        <w:t>29:</w:t>
      </w:r>
      <w:r w:rsidR="00107B6D">
        <w:t xml:space="preserve">13; </w:t>
      </w:r>
      <w:r w:rsidR="00740AA4">
        <w:t>32:27</w:t>
      </w:r>
      <w:r>
        <w:t xml:space="preserve">, </w:t>
      </w:r>
      <w:r w:rsidR="00B531A5">
        <w:t xml:space="preserve">32) </w:t>
      </w:r>
      <w:r w:rsidR="002157F7" w:rsidRPr="00514B01">
        <w:rPr>
          <w:sz w:val="18"/>
          <w:szCs w:val="18"/>
        </w:rPr>
        <w:t>NIV</w:t>
      </w:r>
      <w:r>
        <w:t xml:space="preserve"> translates </w:t>
      </w:r>
      <w:r w:rsidR="00CA5124">
        <w:rPr>
          <w:rFonts w:cstheme="minorHAnsi"/>
          <w:rtl/>
          <w:lang w:bidi="he-IL"/>
        </w:rPr>
        <w:t>כִּי</w:t>
      </w:r>
      <w:r>
        <w:t xml:space="preserve"> </w:t>
      </w:r>
      <w:r w:rsidR="005C1E8A">
        <w:t>“</w:t>
      </w:r>
      <w:r w:rsidR="00760C2A">
        <w:t>[al]</w:t>
      </w:r>
      <w:r w:rsidR="005C1E8A">
        <w:t>though”</w:t>
      </w:r>
      <w:r w:rsidR="00107B6D">
        <w:t xml:space="preserve"> or “yet,”</w:t>
      </w:r>
      <w:r w:rsidR="005C1E8A">
        <w:t xml:space="preserve"> but </w:t>
      </w:r>
      <w:r w:rsidR="00F91DD1">
        <w:t>see BDB, 473</w:t>
      </w:r>
      <w:r w:rsidR="001943CB">
        <w:t>–</w:t>
      </w:r>
      <w:r w:rsidR="00F91DD1">
        <w:t>74</w:t>
      </w:r>
      <w:r w:rsidR="00BB6269">
        <w:t xml:space="preserve"> for the “subtle” sense in which</w:t>
      </w:r>
      <w:r w:rsidR="00E10603">
        <w:t xml:space="preserve"> </w:t>
      </w:r>
      <w:r w:rsidR="00E10603">
        <w:rPr>
          <w:rFonts w:cstheme="minorHAnsi"/>
          <w:rtl/>
          <w:lang w:bidi="he-IL"/>
        </w:rPr>
        <w:t>כִּי</w:t>
      </w:r>
      <w:r w:rsidR="00E10603">
        <w:t xml:space="preserve"> can mean “because.”</w:t>
      </w:r>
      <w:r>
        <w:t xml:space="preserve"> </w:t>
      </w:r>
    </w:p>
  </w:footnote>
  <w:footnote w:id="123">
    <w:p w14:paraId="4C045AC3" w14:textId="794929B1" w:rsidR="000C64BE" w:rsidRPr="008F51E5" w:rsidRDefault="000C64BE" w:rsidP="00435180">
      <w:pPr>
        <w:rPr>
          <w:sz w:val="20"/>
          <w:szCs w:val="20"/>
          <w:lang w:eastAsia="en-GB"/>
        </w:rPr>
      </w:pPr>
      <w:r w:rsidRPr="008F51E5">
        <w:rPr>
          <w:rStyle w:val="FootnoteReference"/>
          <w:sz w:val="20"/>
          <w:szCs w:val="20"/>
        </w:rPr>
        <w:footnoteRef/>
      </w:r>
      <w:r w:rsidRPr="008F51E5">
        <w:rPr>
          <w:sz w:val="20"/>
          <w:szCs w:val="20"/>
        </w:rPr>
        <w:t xml:space="preserve"> </w:t>
      </w:r>
      <w:r w:rsidR="00435180" w:rsidRPr="008F51E5">
        <w:rPr>
          <w:sz w:val="20"/>
          <w:szCs w:val="20"/>
          <w:lang w:eastAsia="en-GB"/>
        </w:rPr>
        <w:t xml:space="preserve">Given Ezekiel’s inclination to treat </w:t>
      </w:r>
      <w:r w:rsidR="00435180" w:rsidRPr="008F51E5">
        <w:rPr>
          <w:rFonts w:cstheme="minorHAnsi"/>
          <w:sz w:val="20"/>
          <w:szCs w:val="20"/>
          <w:rtl/>
          <w:lang w:eastAsia="en-GB" w:bidi="he-IL"/>
        </w:rPr>
        <w:t>אֶל</w:t>
      </w:r>
      <w:r w:rsidR="00435180" w:rsidRPr="008F51E5">
        <w:rPr>
          <w:sz w:val="20"/>
          <w:szCs w:val="20"/>
          <w:lang w:eastAsia="en-GB"/>
        </w:rPr>
        <w:t xml:space="preserve"> and </w:t>
      </w:r>
      <w:r w:rsidR="00435180" w:rsidRPr="008F51E5">
        <w:rPr>
          <w:rFonts w:cstheme="minorHAnsi"/>
          <w:sz w:val="20"/>
          <w:szCs w:val="20"/>
          <w:rtl/>
          <w:lang w:eastAsia="en-GB" w:bidi="he-IL"/>
        </w:rPr>
        <w:t>עַל</w:t>
      </w:r>
      <w:r w:rsidR="00435180" w:rsidRPr="008F51E5">
        <w:rPr>
          <w:sz w:val="20"/>
          <w:szCs w:val="20"/>
          <w:lang w:eastAsia="en-GB"/>
        </w:rPr>
        <w:t xml:space="preserve"> as synonyms, one might </w:t>
      </w:r>
      <w:r w:rsidR="006022FF">
        <w:rPr>
          <w:sz w:val="20"/>
          <w:szCs w:val="20"/>
          <w:lang w:eastAsia="en-GB"/>
        </w:rPr>
        <w:t xml:space="preserve">naturally </w:t>
      </w:r>
      <w:r w:rsidR="00435180" w:rsidRPr="008F51E5">
        <w:rPr>
          <w:sz w:val="20"/>
          <w:szCs w:val="20"/>
          <w:lang w:eastAsia="en-GB"/>
        </w:rPr>
        <w:t>translate</w:t>
      </w:r>
      <w:r w:rsidR="006C6418">
        <w:rPr>
          <w:sz w:val="20"/>
          <w:szCs w:val="20"/>
          <w:lang w:eastAsia="en-GB"/>
        </w:rPr>
        <w:t xml:space="preserve"> </w:t>
      </w:r>
      <w:r w:rsidR="006C6418">
        <w:rPr>
          <w:rFonts w:cstheme="minorHAnsi"/>
          <w:sz w:val="20"/>
          <w:szCs w:val="20"/>
          <w:rtl/>
          <w:lang w:eastAsia="en-GB" w:bidi="he-IL"/>
        </w:rPr>
        <w:t>אֶל</w:t>
      </w:r>
      <w:r w:rsidR="00435180" w:rsidRPr="008F51E5">
        <w:rPr>
          <w:sz w:val="20"/>
          <w:szCs w:val="20"/>
          <w:lang w:eastAsia="en-GB"/>
        </w:rPr>
        <w:t xml:space="preserve"> “on</w:t>
      </w:r>
      <w:r w:rsidR="00E66DC8">
        <w:rPr>
          <w:sz w:val="20"/>
          <w:szCs w:val="20"/>
          <w:lang w:eastAsia="en-GB"/>
        </w:rPr>
        <w:t>.</w:t>
      </w:r>
      <w:r w:rsidR="00435180" w:rsidRPr="008F51E5">
        <w:rPr>
          <w:sz w:val="20"/>
          <w:szCs w:val="20"/>
          <w:lang w:eastAsia="en-GB"/>
        </w:rPr>
        <w:t>”</w:t>
      </w:r>
    </w:p>
  </w:footnote>
  <w:footnote w:id="124">
    <w:p w14:paraId="5E24F5E3" w14:textId="2856AD1C" w:rsidR="00BC0301" w:rsidRPr="008F51E5" w:rsidRDefault="00BC0301" w:rsidP="00BC0301">
      <w:pPr>
        <w:rPr>
          <w:sz w:val="20"/>
          <w:szCs w:val="20"/>
          <w:lang w:eastAsia="en-GB"/>
        </w:rPr>
      </w:pPr>
      <w:r w:rsidRPr="008F51E5">
        <w:rPr>
          <w:rStyle w:val="FootnoteReference"/>
          <w:sz w:val="20"/>
          <w:szCs w:val="20"/>
        </w:rPr>
        <w:footnoteRef/>
      </w:r>
      <w:r w:rsidRPr="008F51E5">
        <w:rPr>
          <w:sz w:val="20"/>
          <w:szCs w:val="20"/>
        </w:rPr>
        <w:t xml:space="preserve"> </w:t>
      </w:r>
      <w:r w:rsidRPr="008F51E5">
        <w:rPr>
          <w:sz w:val="20"/>
          <w:szCs w:val="20"/>
          <w:lang w:eastAsia="en-GB"/>
        </w:rPr>
        <w:t xml:space="preserve">All three nouns </w:t>
      </w:r>
      <w:r w:rsidR="00ED2309">
        <w:rPr>
          <w:sz w:val="20"/>
          <w:szCs w:val="20"/>
          <w:lang w:eastAsia="en-GB"/>
        </w:rPr>
        <w:t>in this line</w:t>
      </w:r>
      <w:r w:rsidRPr="008F51E5">
        <w:rPr>
          <w:sz w:val="20"/>
          <w:szCs w:val="20"/>
          <w:lang w:eastAsia="en-GB"/>
        </w:rPr>
        <w:t xml:space="preserve"> are of unknown origin and uncertain meaning. </w:t>
      </w:r>
      <w:r w:rsidRPr="008F51E5">
        <w:rPr>
          <w:rFonts w:cstheme="minorHAnsi"/>
          <w:sz w:val="20"/>
          <w:szCs w:val="20"/>
          <w:rtl/>
          <w:lang w:eastAsia="en-GB" w:bidi="he-IL"/>
        </w:rPr>
        <w:t>סָרָב</w:t>
      </w:r>
      <w:r w:rsidR="00AD7244">
        <w:rPr>
          <w:sz w:val="20"/>
          <w:szCs w:val="20"/>
          <w:lang w:eastAsia="en-GB"/>
        </w:rPr>
        <w:t>, “</w:t>
      </w:r>
      <w:r w:rsidRPr="00AD7244">
        <w:rPr>
          <w:sz w:val="20"/>
          <w:szCs w:val="20"/>
          <w:lang w:eastAsia="en-GB"/>
        </w:rPr>
        <w:t>brier</w:t>
      </w:r>
      <w:r w:rsidR="00AD7244">
        <w:rPr>
          <w:sz w:val="20"/>
          <w:szCs w:val="20"/>
          <w:lang w:eastAsia="en-GB"/>
        </w:rPr>
        <w:t>,”</w:t>
      </w:r>
      <w:r w:rsidRPr="008F51E5">
        <w:rPr>
          <w:sz w:val="20"/>
          <w:szCs w:val="20"/>
          <w:lang w:eastAsia="en-GB"/>
        </w:rPr>
        <w:t xml:space="preserve"> is a hapax.</w:t>
      </w:r>
      <w:r w:rsidR="008D2925">
        <w:rPr>
          <w:sz w:val="20"/>
          <w:szCs w:val="20"/>
          <w:lang w:eastAsia="en-GB"/>
        </w:rPr>
        <w:t>*</w:t>
      </w:r>
      <w:r w:rsidRPr="008F51E5">
        <w:rPr>
          <w:sz w:val="20"/>
          <w:szCs w:val="20"/>
          <w:lang w:eastAsia="en-GB"/>
        </w:rPr>
        <w:t xml:space="preserve"> </w:t>
      </w:r>
      <w:r w:rsidRPr="008F51E5">
        <w:rPr>
          <w:rFonts w:cstheme="minorHAnsi"/>
          <w:sz w:val="20"/>
          <w:szCs w:val="20"/>
          <w:rtl/>
          <w:lang w:eastAsia="en-GB" w:bidi="he-IL"/>
        </w:rPr>
        <w:t>סַלּוׄן</w:t>
      </w:r>
      <w:r w:rsidR="0040602E">
        <w:rPr>
          <w:sz w:val="20"/>
          <w:szCs w:val="20"/>
          <w:lang w:eastAsia="en-GB"/>
        </w:rPr>
        <w:t>, “</w:t>
      </w:r>
      <w:r w:rsidRPr="0040602E">
        <w:rPr>
          <w:sz w:val="20"/>
          <w:szCs w:val="20"/>
          <w:lang w:eastAsia="en-GB"/>
        </w:rPr>
        <w:t>thorn</w:t>
      </w:r>
      <w:r w:rsidR="0040602E">
        <w:rPr>
          <w:sz w:val="20"/>
          <w:szCs w:val="20"/>
          <w:lang w:eastAsia="en-GB"/>
        </w:rPr>
        <w:t>,”</w:t>
      </w:r>
      <w:r w:rsidRPr="008F51E5">
        <w:rPr>
          <w:sz w:val="20"/>
          <w:szCs w:val="20"/>
          <w:lang w:eastAsia="en-GB"/>
        </w:rPr>
        <w:t xml:space="preserve"> occurs otherwise only at 28:24. </w:t>
      </w:r>
      <w:r w:rsidRPr="008F51E5">
        <w:rPr>
          <w:rFonts w:cstheme="minorHAnsi"/>
          <w:sz w:val="20"/>
          <w:szCs w:val="20"/>
          <w:rtl/>
          <w:lang w:eastAsia="en-GB" w:bidi="he-IL"/>
        </w:rPr>
        <w:t>עַקְרָב</w:t>
      </w:r>
      <w:r w:rsidR="00B523ED">
        <w:rPr>
          <w:sz w:val="20"/>
          <w:szCs w:val="20"/>
          <w:lang w:eastAsia="en-GB"/>
        </w:rPr>
        <w:t xml:space="preserve">, </w:t>
      </w:r>
      <w:r w:rsidR="0040602E">
        <w:rPr>
          <w:sz w:val="20"/>
          <w:szCs w:val="20"/>
          <w:lang w:eastAsia="en-GB"/>
        </w:rPr>
        <w:t>“</w:t>
      </w:r>
      <w:r w:rsidRPr="00B523ED">
        <w:rPr>
          <w:sz w:val="20"/>
          <w:szCs w:val="20"/>
          <w:lang w:eastAsia="en-GB"/>
        </w:rPr>
        <w:t>scorpion</w:t>
      </w:r>
      <w:r w:rsidR="00B523ED">
        <w:rPr>
          <w:sz w:val="20"/>
          <w:szCs w:val="20"/>
          <w:lang w:eastAsia="en-GB"/>
        </w:rPr>
        <w:t>,”</w:t>
      </w:r>
      <w:r w:rsidRPr="008F51E5">
        <w:rPr>
          <w:sz w:val="20"/>
          <w:szCs w:val="20"/>
          <w:lang w:eastAsia="en-GB"/>
        </w:rPr>
        <w:t xml:space="preserve"> occurs oth</w:t>
      </w:r>
      <w:r w:rsidR="00ED2D36">
        <w:rPr>
          <w:sz w:val="20"/>
          <w:szCs w:val="20"/>
          <w:lang w:eastAsia="en-GB"/>
        </w:rPr>
        <w:t>erwise</w:t>
      </w:r>
      <w:r w:rsidRPr="008F51E5">
        <w:rPr>
          <w:sz w:val="20"/>
          <w:szCs w:val="20"/>
          <w:lang w:eastAsia="en-GB"/>
        </w:rPr>
        <w:t xml:space="preserve"> at Deut 8:15; 1 Kgs 12:11, 14; 1 Chr 10:11, 14 and may denote a plant rather than a creature (</w:t>
      </w:r>
      <w:r w:rsidRPr="008F51E5">
        <w:rPr>
          <w:sz w:val="20"/>
          <w:szCs w:val="20"/>
        </w:rPr>
        <w:t>Greenhill</w:t>
      </w:r>
      <w:r w:rsidR="00A9750D">
        <w:rPr>
          <w:i/>
          <w:iCs/>
          <w:sz w:val="20"/>
          <w:szCs w:val="20"/>
        </w:rPr>
        <w:t xml:space="preserve">, </w:t>
      </w:r>
      <w:r w:rsidR="00A9750D">
        <w:rPr>
          <w:sz w:val="20"/>
          <w:szCs w:val="20"/>
        </w:rPr>
        <w:t>86</w:t>
      </w:r>
      <w:r w:rsidRPr="008F51E5">
        <w:rPr>
          <w:sz w:val="20"/>
          <w:szCs w:val="20"/>
        </w:rPr>
        <w:t>).</w:t>
      </w:r>
      <w:r w:rsidRPr="008F51E5">
        <w:rPr>
          <w:rFonts w:cstheme="minorHAnsi"/>
          <w:sz w:val="20"/>
          <w:szCs w:val="20"/>
          <w:lang w:eastAsia="en-GB"/>
        </w:rPr>
        <w:t xml:space="preserve"> </w:t>
      </w:r>
    </w:p>
  </w:footnote>
  <w:footnote w:id="125">
    <w:p w14:paraId="4BCEE769" w14:textId="49C657CD" w:rsidR="002530D7" w:rsidRPr="008F51E5" w:rsidRDefault="002530D7">
      <w:pPr>
        <w:pStyle w:val="FootnoteText"/>
      </w:pPr>
      <w:r w:rsidRPr="008F51E5">
        <w:rPr>
          <w:rStyle w:val="FootnoteReference"/>
        </w:rPr>
        <w:footnoteRef/>
      </w:r>
      <w:r w:rsidRPr="008F51E5">
        <w:t xml:space="preserve"> </w:t>
      </w:r>
      <w:r w:rsidR="00FB0668">
        <w:rPr>
          <w:rFonts w:cstheme="minorHAnsi"/>
          <w:rtl/>
          <w:lang w:bidi="he-IL"/>
        </w:rPr>
        <w:t>מְר</w:t>
      </w:r>
      <w:r w:rsidR="00BD1474">
        <w:rPr>
          <w:rFonts w:cstheme="minorHAnsi"/>
          <w:rtl/>
          <w:lang w:bidi="he-IL"/>
        </w:rPr>
        <w:t>ִי</w:t>
      </w:r>
      <w:r w:rsidR="00BD1474">
        <w:t xml:space="preserve">; </w:t>
      </w:r>
      <w:r w:rsidR="00BD1474">
        <w:rPr>
          <w:lang w:eastAsia="en-GB"/>
        </w:rPr>
        <w:t>l</w:t>
      </w:r>
      <w:r w:rsidRPr="008F51E5">
        <w:rPr>
          <w:lang w:eastAsia="en-GB"/>
        </w:rPr>
        <w:t>iterally, “they are rebellion”</w:t>
      </w:r>
      <w:r w:rsidR="004B515A">
        <w:rPr>
          <w:lang w:eastAsia="en-GB"/>
        </w:rPr>
        <w:t xml:space="preserve"> (and in the next line,</w:t>
      </w:r>
      <w:r w:rsidR="00B07CE1">
        <w:rPr>
          <w:lang w:eastAsia="en-GB"/>
        </w:rPr>
        <w:t xml:space="preserve"> “don’t be rebellion”).</w:t>
      </w:r>
      <w:r w:rsidR="004B515A">
        <w:rPr>
          <w:lang w:eastAsia="en-GB"/>
        </w:rPr>
        <w:t xml:space="preserve"> </w:t>
      </w:r>
    </w:p>
  </w:footnote>
  <w:footnote w:id="126">
    <w:p w14:paraId="4FB99C67" w14:textId="37D8609F" w:rsidR="008162F2" w:rsidRPr="008F51E5" w:rsidRDefault="008162F2" w:rsidP="008162F2">
      <w:pPr>
        <w:rPr>
          <w:sz w:val="20"/>
          <w:szCs w:val="20"/>
          <w:lang w:eastAsia="en-GB"/>
        </w:rPr>
      </w:pPr>
      <w:r w:rsidRPr="008F51E5">
        <w:rPr>
          <w:rStyle w:val="FootnoteReference"/>
          <w:sz w:val="20"/>
          <w:szCs w:val="20"/>
        </w:rPr>
        <w:footnoteRef/>
      </w:r>
      <w:r w:rsidRPr="008F51E5">
        <w:rPr>
          <w:sz w:val="20"/>
          <w:szCs w:val="20"/>
        </w:rPr>
        <w:t xml:space="preserve"> </w:t>
      </w:r>
      <w:r w:rsidR="001E1372" w:rsidRPr="00167C45">
        <w:rPr>
          <w:rFonts w:cstheme="minorHAnsi"/>
          <w:sz w:val="20"/>
          <w:szCs w:val="20"/>
          <w:rtl/>
          <w:lang w:eastAsia="en-GB" w:bidi="he-IL"/>
        </w:rPr>
        <w:t>ד</w:t>
      </w:r>
      <w:r w:rsidR="00687EEA">
        <w:rPr>
          <w:rFonts w:cstheme="minorHAnsi"/>
          <w:sz w:val="20"/>
          <w:szCs w:val="20"/>
          <w:rtl/>
          <w:lang w:eastAsia="en-GB" w:bidi="he-IL"/>
        </w:rPr>
        <w:t>ּ</w:t>
      </w:r>
      <w:r w:rsidR="001E1372" w:rsidRPr="00167C45">
        <w:rPr>
          <w:rFonts w:cstheme="minorHAnsi"/>
          <w:sz w:val="20"/>
          <w:szCs w:val="20"/>
          <w:rtl/>
          <w:lang w:eastAsia="en-GB" w:bidi="he-IL"/>
        </w:rPr>
        <w:t>ֶבַשׁ</w:t>
      </w:r>
      <w:r w:rsidRPr="008F51E5">
        <w:rPr>
          <w:rFonts w:cstheme="minorHAnsi"/>
          <w:i/>
          <w:iCs/>
          <w:sz w:val="20"/>
          <w:szCs w:val="20"/>
          <w:lang w:eastAsia="en-GB"/>
        </w:rPr>
        <w:t xml:space="preserve"> </w:t>
      </w:r>
      <w:r w:rsidRPr="008F51E5">
        <w:rPr>
          <w:rFonts w:cstheme="minorHAnsi"/>
          <w:sz w:val="20"/>
          <w:szCs w:val="20"/>
          <w:lang w:eastAsia="en-GB"/>
        </w:rPr>
        <w:t>also covers honey, but syrup made from fruit such as figs and dates is Israel’s more common source of sweetness.</w:t>
      </w:r>
      <w:r w:rsidR="0029125D">
        <w:rPr>
          <w:rFonts w:cstheme="minorHAnsi"/>
          <w:sz w:val="20"/>
          <w:szCs w:val="20"/>
          <w:lang w:eastAsia="en-GB"/>
        </w:rPr>
        <w:t xml:space="preserve"> </w:t>
      </w:r>
    </w:p>
  </w:footnote>
  <w:footnote w:id="127">
    <w:p w14:paraId="16BC9966" w14:textId="0EB72F32" w:rsidR="00537B94" w:rsidRPr="008F51E5" w:rsidRDefault="00537B94" w:rsidP="00537B94">
      <w:pPr>
        <w:rPr>
          <w:sz w:val="20"/>
          <w:szCs w:val="20"/>
          <w:lang w:eastAsia="en-GB"/>
        </w:rPr>
      </w:pPr>
      <w:r w:rsidRPr="008F51E5">
        <w:rPr>
          <w:rStyle w:val="FootnoteReference"/>
          <w:sz w:val="20"/>
          <w:szCs w:val="20"/>
        </w:rPr>
        <w:footnoteRef/>
      </w:r>
      <w:r w:rsidRPr="008F51E5">
        <w:rPr>
          <w:sz w:val="20"/>
          <w:szCs w:val="20"/>
          <w:lang w:eastAsia="en-GB"/>
        </w:rPr>
        <w:t xml:space="preserve"> </w:t>
      </w:r>
      <w:r w:rsidRPr="008F51E5">
        <w:rPr>
          <w:rFonts w:cstheme="minorHAnsi"/>
          <w:sz w:val="20"/>
          <w:szCs w:val="20"/>
          <w:rtl/>
          <w:lang w:eastAsia="en-GB" w:bidi="he-IL"/>
        </w:rPr>
        <w:t>עָמֵק</w:t>
      </w:r>
      <w:r w:rsidRPr="008F51E5">
        <w:rPr>
          <w:sz w:val="20"/>
          <w:szCs w:val="20"/>
          <w:lang w:eastAsia="en-GB"/>
        </w:rPr>
        <w:t>, literally, “deep,” unfathomable.</w:t>
      </w:r>
    </w:p>
  </w:footnote>
  <w:footnote w:id="128">
    <w:p w14:paraId="4BE35F60" w14:textId="6760060C" w:rsidR="00C71CC5" w:rsidRPr="008D4746" w:rsidRDefault="00C71CC5" w:rsidP="00C71CC5">
      <w:pPr>
        <w:rPr>
          <w:sz w:val="20"/>
          <w:szCs w:val="20"/>
          <w:lang w:eastAsia="en-GB"/>
        </w:rPr>
      </w:pPr>
      <w:r w:rsidRPr="008D4746">
        <w:rPr>
          <w:rStyle w:val="FootnoteReference"/>
          <w:sz w:val="20"/>
          <w:szCs w:val="20"/>
        </w:rPr>
        <w:footnoteRef/>
      </w:r>
      <w:r w:rsidRPr="008D4746">
        <w:rPr>
          <w:sz w:val="20"/>
          <w:szCs w:val="20"/>
        </w:rPr>
        <w:t xml:space="preserve"> </w:t>
      </w:r>
      <w:r w:rsidRPr="008D4746">
        <w:rPr>
          <w:sz w:val="20"/>
          <w:szCs w:val="20"/>
          <w:lang w:eastAsia="en-GB"/>
        </w:rPr>
        <w:t xml:space="preserve">Literally, “if it was not,” an idiomatic emphatic expression with a background in oaths (e.g., 17:16; 34:8); cf. GK 149ab. </w:t>
      </w:r>
    </w:p>
  </w:footnote>
  <w:footnote w:id="129">
    <w:p w14:paraId="7F547035" w14:textId="0FC0C578" w:rsidR="000544B9" w:rsidRDefault="007F5F5B" w:rsidP="000544B9">
      <w:pPr>
        <w:pStyle w:val="FootnoteText"/>
      </w:pPr>
      <w:r>
        <w:rPr>
          <w:rStyle w:val="FootnoteReference"/>
        </w:rPr>
        <w:footnoteRef/>
      </w:r>
      <w:r>
        <w:t xml:space="preserve"> </w:t>
      </w:r>
      <w:r w:rsidR="002236C5">
        <w:t>Literally, “the sons of your people” (</w:t>
      </w:r>
      <w:r w:rsidR="00DF0646">
        <w:rPr>
          <w:rFonts w:cstheme="minorHAnsi"/>
          <w:rtl/>
          <w:lang w:bidi="he-IL"/>
        </w:rPr>
        <w:t>בּ</w:t>
      </w:r>
      <w:r w:rsidR="0021413C">
        <w:rPr>
          <w:rFonts w:cstheme="minorHAnsi"/>
          <w:rtl/>
          <w:lang w:bidi="he-IL"/>
        </w:rPr>
        <w:t>ְ</w:t>
      </w:r>
      <w:r w:rsidR="00DF0646">
        <w:rPr>
          <w:rFonts w:cstheme="minorHAnsi"/>
          <w:rtl/>
          <w:lang w:bidi="he-IL"/>
        </w:rPr>
        <w:t>נֵי</w:t>
      </w:r>
      <w:r w:rsidR="00E45CE5">
        <w:rPr>
          <w:rFonts w:cstheme="minorHAnsi" w:hint="cs"/>
          <w:rtl/>
          <w:lang w:bidi="he-IL"/>
        </w:rPr>
        <w:t xml:space="preserve"> </w:t>
      </w:r>
      <w:r w:rsidR="00070173">
        <w:rPr>
          <w:rFonts w:cstheme="minorHAnsi"/>
          <w:rtl/>
          <w:lang w:bidi="he-IL"/>
        </w:rPr>
        <w:t>עַמ</w:t>
      </w:r>
      <w:r w:rsidR="00E45CE5">
        <w:rPr>
          <w:rFonts w:cstheme="minorHAnsi"/>
          <w:rtl/>
          <w:lang w:bidi="he-IL"/>
        </w:rPr>
        <w:t>ּ</w:t>
      </w:r>
      <w:r w:rsidR="009651E2">
        <w:rPr>
          <w:rFonts w:cstheme="minorHAnsi"/>
          <w:rtl/>
          <w:lang w:bidi="he-IL"/>
        </w:rPr>
        <w:t>ֶךָ</w:t>
      </w:r>
      <w:r w:rsidR="009651E2">
        <w:t>)</w:t>
      </w:r>
      <w:r w:rsidR="00E12EFB">
        <w:t xml:space="preserve">, a rare expression </w:t>
      </w:r>
      <w:r w:rsidR="000544B9">
        <w:t>(cf</w:t>
      </w:r>
      <w:r w:rsidR="00FD2699">
        <w:t>.</w:t>
      </w:r>
      <w:r w:rsidR="000544B9">
        <w:rPr>
          <w:lang w:eastAsia="en-GB"/>
        </w:rPr>
        <w:t xml:space="preserve"> 33:</w:t>
      </w:r>
      <w:r w:rsidR="00B95D5F">
        <w:rPr>
          <w:lang w:eastAsia="en-GB"/>
        </w:rPr>
        <w:t xml:space="preserve">2, 12, </w:t>
      </w:r>
      <w:r w:rsidR="00CF7055">
        <w:rPr>
          <w:lang w:eastAsia="en-GB"/>
        </w:rPr>
        <w:t xml:space="preserve">17, </w:t>
      </w:r>
      <w:r w:rsidR="000544B9">
        <w:rPr>
          <w:lang w:eastAsia="en-GB"/>
        </w:rPr>
        <w:t>30;  37:18;  Lev 19:18; Dan 12:1)</w:t>
      </w:r>
      <w:r w:rsidR="00FD2699">
        <w:rPr>
          <w:lang w:eastAsia="en-GB"/>
        </w:rPr>
        <w:t xml:space="preserve">, though </w:t>
      </w:r>
      <w:r w:rsidR="001A11F3">
        <w:rPr>
          <w:lang w:eastAsia="en-GB"/>
        </w:rPr>
        <w:t>apparently</w:t>
      </w:r>
      <w:r w:rsidR="00FD2699">
        <w:rPr>
          <w:lang w:eastAsia="en-GB"/>
        </w:rPr>
        <w:t xml:space="preserve"> not </w:t>
      </w:r>
      <w:r w:rsidR="001A11F3">
        <w:rPr>
          <w:lang w:eastAsia="en-GB"/>
        </w:rPr>
        <w:t>one with</w:t>
      </w:r>
      <w:r w:rsidR="00FD2699">
        <w:rPr>
          <w:lang w:eastAsia="en-GB"/>
        </w:rPr>
        <w:t xml:space="preserve"> special significance.</w:t>
      </w:r>
    </w:p>
  </w:footnote>
  <w:footnote w:id="130">
    <w:p w14:paraId="3CF515F1" w14:textId="753D0271" w:rsidR="003735E7" w:rsidRDefault="003735E7">
      <w:pPr>
        <w:pStyle w:val="FootnoteText"/>
      </w:pPr>
      <w:r>
        <w:rPr>
          <w:rStyle w:val="FootnoteReference"/>
        </w:rPr>
        <w:footnoteRef/>
      </w:r>
      <w:r>
        <w:t xml:space="preserve"> </w:t>
      </w:r>
      <w:r w:rsidR="00846E90">
        <w:t xml:space="preserve">The </w:t>
      </w:r>
      <w:r w:rsidR="00846E90">
        <w:rPr>
          <w:rFonts w:cstheme="minorHAnsi"/>
          <w:rtl/>
          <w:lang w:bidi="he-IL"/>
        </w:rPr>
        <w:t>ו</w:t>
      </w:r>
      <w:r w:rsidR="00846E90">
        <w:t xml:space="preserve"> on </w:t>
      </w:r>
      <w:r w:rsidR="0079558B">
        <w:rPr>
          <w:rFonts w:cstheme="minorHAnsi"/>
          <w:rtl/>
          <w:lang w:bidi="he-IL"/>
        </w:rPr>
        <w:t>וְקוֺל</w:t>
      </w:r>
      <w:r w:rsidR="00846E90">
        <w:t xml:space="preserve"> </w:t>
      </w:r>
      <w:r w:rsidR="002331D3">
        <w:t>is explicative (Greenberg</w:t>
      </w:r>
      <w:r w:rsidR="00E31221">
        <w:t>,</w:t>
      </w:r>
      <w:r w:rsidR="002331D3">
        <w:t xml:space="preserve"> 1:</w:t>
      </w:r>
      <w:r w:rsidR="007C585D">
        <w:t>71).</w:t>
      </w:r>
    </w:p>
  </w:footnote>
  <w:footnote w:id="131">
    <w:p w14:paraId="7695767A" w14:textId="168A7C46" w:rsidR="00A5186E" w:rsidRPr="008D4746" w:rsidRDefault="00A5186E" w:rsidP="00A5186E">
      <w:pPr>
        <w:rPr>
          <w:rFonts w:cstheme="minorHAnsi"/>
          <w:sz w:val="20"/>
          <w:szCs w:val="20"/>
          <w:lang w:eastAsia="en-GB"/>
        </w:rPr>
      </w:pPr>
      <w:r w:rsidRPr="008D4746">
        <w:rPr>
          <w:rStyle w:val="FootnoteReference"/>
          <w:sz w:val="20"/>
          <w:szCs w:val="20"/>
        </w:rPr>
        <w:footnoteRef/>
      </w:r>
      <w:r w:rsidRPr="008D4746">
        <w:rPr>
          <w:rFonts w:cstheme="minorHAnsi"/>
          <w:sz w:val="20"/>
          <w:szCs w:val="20"/>
          <w:lang w:eastAsia="en-GB"/>
        </w:rPr>
        <w:t xml:space="preserve"> </w:t>
      </w:r>
      <w:r w:rsidRPr="008D4746">
        <w:rPr>
          <w:rFonts w:cstheme="minorHAnsi"/>
          <w:sz w:val="20"/>
          <w:szCs w:val="20"/>
          <w:rtl/>
          <w:lang w:eastAsia="en-GB" w:bidi="he-IL"/>
        </w:rPr>
        <w:t>מַשִּׁיקוׄת</w:t>
      </w:r>
      <w:r w:rsidRPr="008D4746">
        <w:rPr>
          <w:rFonts w:cstheme="minorHAnsi"/>
          <w:i/>
          <w:iCs/>
          <w:sz w:val="20"/>
          <w:szCs w:val="20"/>
          <w:lang w:eastAsia="en-GB"/>
        </w:rPr>
        <w:t xml:space="preserve"> </w:t>
      </w:r>
      <w:r w:rsidRPr="008D4746">
        <w:rPr>
          <w:rFonts w:cstheme="minorHAnsi"/>
          <w:sz w:val="20"/>
          <w:szCs w:val="20"/>
          <w:lang w:eastAsia="en-GB"/>
        </w:rPr>
        <w:t>from</w:t>
      </w:r>
      <w:r w:rsidRPr="008D4746">
        <w:rPr>
          <w:rFonts w:cstheme="minorHAnsi"/>
          <w:i/>
          <w:iCs/>
          <w:sz w:val="20"/>
          <w:szCs w:val="20"/>
          <w:lang w:eastAsia="en-GB"/>
        </w:rPr>
        <w:t xml:space="preserve"> </w:t>
      </w:r>
      <w:r w:rsidRPr="008D4746">
        <w:rPr>
          <w:rFonts w:cstheme="minorHAnsi"/>
          <w:sz w:val="20"/>
          <w:szCs w:val="20"/>
          <w:rtl/>
          <w:lang w:eastAsia="en-GB" w:bidi="he-IL"/>
        </w:rPr>
        <w:t>נָשַׁק</w:t>
      </w:r>
      <w:r w:rsidRPr="008D4746">
        <w:rPr>
          <w:rFonts w:cstheme="minorHAnsi"/>
          <w:sz w:val="20"/>
          <w:szCs w:val="20"/>
          <w:lang w:eastAsia="en-GB"/>
        </w:rPr>
        <w:t xml:space="preserve"> II (</w:t>
      </w:r>
      <w:r w:rsidRPr="008D4746">
        <w:rPr>
          <w:rFonts w:cstheme="minorHAnsi"/>
          <w:i/>
          <w:iCs/>
          <w:sz w:val="20"/>
          <w:szCs w:val="20"/>
          <w:lang w:eastAsia="en-GB"/>
        </w:rPr>
        <w:t>HALOT</w:t>
      </w:r>
      <w:r w:rsidRPr="008D4746">
        <w:rPr>
          <w:rFonts w:cstheme="minorHAnsi"/>
          <w:sz w:val="20"/>
          <w:szCs w:val="20"/>
          <w:lang w:eastAsia="en-GB"/>
        </w:rPr>
        <w:t>, 731</w:t>
      </w:r>
      <w:r w:rsidR="00016BBC">
        <w:rPr>
          <w:rFonts w:cstheme="minorHAnsi"/>
          <w:sz w:val="20"/>
          <w:szCs w:val="20"/>
          <w:lang w:eastAsia="en-GB"/>
        </w:rPr>
        <w:t>; s</w:t>
      </w:r>
      <w:r w:rsidRPr="008D4746">
        <w:rPr>
          <w:rFonts w:cstheme="minorHAnsi"/>
          <w:sz w:val="20"/>
          <w:szCs w:val="20"/>
          <w:lang w:eastAsia="en-GB"/>
        </w:rPr>
        <w:t xml:space="preserve">ee further </w:t>
      </w:r>
      <w:r w:rsidRPr="008D4746">
        <w:rPr>
          <w:rFonts w:cstheme="minorHAnsi"/>
          <w:i/>
          <w:iCs/>
          <w:sz w:val="20"/>
          <w:szCs w:val="20"/>
          <w:lang w:eastAsia="en-GB"/>
        </w:rPr>
        <w:t xml:space="preserve">DCH </w:t>
      </w:r>
      <w:r w:rsidRPr="008D4746">
        <w:rPr>
          <w:rFonts w:cstheme="minorHAnsi"/>
          <w:sz w:val="20"/>
          <w:szCs w:val="20"/>
          <w:lang w:eastAsia="en-GB"/>
        </w:rPr>
        <w:t>5: 780</w:t>
      </w:r>
      <w:r w:rsidR="001943CB">
        <w:rPr>
          <w:rFonts w:cstheme="minorHAnsi"/>
          <w:sz w:val="20"/>
          <w:szCs w:val="20"/>
          <w:lang w:eastAsia="en-GB"/>
        </w:rPr>
        <w:t>–</w:t>
      </w:r>
      <w:r w:rsidRPr="008D4746">
        <w:rPr>
          <w:rFonts w:cstheme="minorHAnsi"/>
          <w:sz w:val="20"/>
          <w:szCs w:val="20"/>
          <w:lang w:eastAsia="en-GB"/>
        </w:rPr>
        <w:t>81).</w:t>
      </w:r>
    </w:p>
  </w:footnote>
  <w:footnote w:id="132">
    <w:p w14:paraId="05424D69" w14:textId="50CD6F0E" w:rsidR="00776FF1" w:rsidRPr="008D4746" w:rsidRDefault="00776FF1" w:rsidP="009E30FE">
      <w:pPr>
        <w:rPr>
          <w:sz w:val="20"/>
          <w:szCs w:val="20"/>
          <w:lang w:eastAsia="en-GB"/>
        </w:rPr>
      </w:pPr>
      <w:r w:rsidRPr="008D4746">
        <w:rPr>
          <w:rStyle w:val="FootnoteReference"/>
          <w:sz w:val="20"/>
          <w:szCs w:val="20"/>
        </w:rPr>
        <w:footnoteRef/>
      </w:r>
      <w:r w:rsidRPr="008D4746">
        <w:rPr>
          <w:sz w:val="20"/>
          <w:szCs w:val="20"/>
        </w:rPr>
        <w:t xml:space="preserve"> </w:t>
      </w:r>
      <w:r w:rsidR="009E30FE" w:rsidRPr="008D4746">
        <w:rPr>
          <w:sz w:val="20"/>
          <w:szCs w:val="20"/>
          <w:lang w:eastAsia="en-GB"/>
        </w:rPr>
        <w:t xml:space="preserve">An “inwardly transitive” </w:t>
      </w:r>
      <w:r w:rsidR="009E30FE" w:rsidRPr="008D4746">
        <w:rPr>
          <w:sz w:val="20"/>
          <w:szCs w:val="20"/>
          <w:lang w:eastAsia="en-GB"/>
        </w:rPr>
        <w:t>hiphil p</w:t>
      </w:r>
      <w:r w:rsidR="00441E8A">
        <w:rPr>
          <w:sz w:val="20"/>
          <w:szCs w:val="20"/>
          <w:lang w:eastAsia="en-GB"/>
        </w:rPr>
        <w:t>tc.</w:t>
      </w:r>
      <w:r w:rsidR="009E30FE" w:rsidRPr="008D4746">
        <w:rPr>
          <w:sz w:val="20"/>
          <w:szCs w:val="20"/>
          <w:lang w:eastAsia="en-GB"/>
        </w:rPr>
        <w:t xml:space="preserve"> from </w:t>
      </w:r>
      <w:r w:rsidR="009E30FE" w:rsidRPr="008D4746">
        <w:rPr>
          <w:rFonts w:cstheme="minorHAnsi"/>
          <w:sz w:val="20"/>
          <w:szCs w:val="20"/>
          <w:rtl/>
          <w:lang w:eastAsia="en-GB" w:bidi="he-IL"/>
        </w:rPr>
        <w:t>שָָׁמַם</w:t>
      </w:r>
      <w:r w:rsidR="009E30FE" w:rsidRPr="008D4746">
        <w:rPr>
          <w:sz w:val="20"/>
          <w:szCs w:val="20"/>
          <w:lang w:eastAsia="en-GB"/>
        </w:rPr>
        <w:t xml:space="preserve"> “make desolate” (GK 53e).</w:t>
      </w:r>
    </w:p>
  </w:footnote>
  <w:footnote w:id="133">
    <w:p w14:paraId="25CA08AC" w14:textId="77777777" w:rsidR="00133F68" w:rsidRPr="00FD1D6D" w:rsidRDefault="00133F68" w:rsidP="00133F68">
      <w:pPr>
        <w:pStyle w:val="FootnoteText"/>
        <w:rPr>
          <w:i/>
          <w:iCs/>
        </w:rPr>
      </w:pPr>
      <w:r>
        <w:rPr>
          <w:rStyle w:val="FootnoteReference"/>
        </w:rPr>
        <w:footnoteRef/>
      </w:r>
      <w:r>
        <w:t xml:space="preserve"> See </w:t>
      </w:r>
      <w:r>
        <w:t xml:space="preserve">Christman, </w:t>
      </w:r>
      <w:r>
        <w:rPr>
          <w:i/>
          <w:iCs/>
        </w:rPr>
        <w:t>“What Did Ezekiel See?”</w:t>
      </w:r>
    </w:p>
  </w:footnote>
  <w:footnote w:id="134">
    <w:p w14:paraId="52BB70DF" w14:textId="77777777" w:rsidR="00133F68" w:rsidRDefault="00133F68" w:rsidP="00133F68">
      <w:pPr>
        <w:pStyle w:val="FootnoteText"/>
      </w:pPr>
      <w:r>
        <w:rPr>
          <w:rStyle w:val="FootnoteReference"/>
        </w:rPr>
        <w:footnoteRef/>
      </w:r>
      <w:r>
        <w:t xml:space="preserve"> E.g., </w:t>
      </w:r>
      <w:r w:rsidRPr="00947CF4">
        <w:t>Irenaeus</w:t>
      </w:r>
      <w:r>
        <w:t xml:space="preserve">, </w:t>
      </w:r>
      <w:r>
        <w:rPr>
          <w:i/>
          <w:iCs/>
        </w:rPr>
        <w:t>Against Heresies</w:t>
      </w:r>
      <w:r w:rsidRPr="00947CF4">
        <w:t xml:space="preserve"> </w:t>
      </w:r>
      <w:r>
        <w:t>3.</w:t>
      </w:r>
      <w:r w:rsidRPr="00947CF4">
        <w:t>11</w:t>
      </w:r>
      <w:r>
        <w:t>.</w:t>
      </w:r>
      <w:r w:rsidRPr="00947CF4">
        <w:t>7-8</w:t>
      </w:r>
      <w:r>
        <w:t xml:space="preserve"> (cf. Stevenson, 4–5)</w:t>
      </w:r>
      <w:r>
        <w:rPr>
          <w:i/>
          <w:iCs/>
        </w:rPr>
        <w:t>.</w:t>
      </w:r>
    </w:p>
  </w:footnote>
  <w:footnote w:id="135">
    <w:p w14:paraId="7BE5F24D" w14:textId="77777777" w:rsidR="00133F68" w:rsidRPr="009553E0" w:rsidRDefault="00133F68" w:rsidP="00133F68">
      <w:pPr>
        <w:pStyle w:val="FootnoteText"/>
      </w:pPr>
      <w:r>
        <w:rPr>
          <w:rStyle w:val="FootnoteReference"/>
        </w:rPr>
        <w:footnoteRef/>
      </w:r>
      <w:r>
        <w:t xml:space="preserve"> </w:t>
      </w:r>
      <w:r>
        <w:rPr>
          <w:i/>
          <w:iCs/>
        </w:rPr>
        <w:t>The Homilies of Saint Jerome Volume 1</w:t>
      </w:r>
      <w:r>
        <w:t xml:space="preserve"> on the Psalms (Washington: Catholic University of America, 1964), 75 (cf. Stevenson,</w:t>
      </w:r>
      <w:r>
        <w:rPr>
          <w:i/>
          <w:iCs/>
        </w:rPr>
        <w:t xml:space="preserve"> </w:t>
      </w:r>
      <w:r>
        <w:t>11).</w:t>
      </w:r>
    </w:p>
  </w:footnote>
  <w:footnote w:id="136">
    <w:p w14:paraId="3F8D6544" w14:textId="77777777" w:rsidR="00133F68" w:rsidRDefault="00133F68" w:rsidP="00133F68">
      <w:pPr>
        <w:pStyle w:val="FootnoteText"/>
      </w:pPr>
      <w:r>
        <w:rPr>
          <w:rStyle w:val="FootnoteReference"/>
        </w:rPr>
        <w:footnoteRef/>
      </w:r>
      <w:r>
        <w:t xml:space="preserve"> A comment on Exod 20:19–20 in his </w:t>
      </w:r>
      <w:r w:rsidRPr="00E36937">
        <w:rPr>
          <w:rFonts w:ascii="Calibri" w:hAnsi="Calibri" w:cs="Calibri"/>
          <w:i/>
          <w:iCs/>
        </w:rPr>
        <w:t>Question</w:t>
      </w:r>
      <w:r>
        <w:rPr>
          <w:rFonts w:ascii="Calibri" w:hAnsi="Calibri" w:cs="Calibri"/>
          <w:i/>
          <w:iCs/>
        </w:rPr>
        <w:t>um</w:t>
      </w:r>
      <w:r w:rsidRPr="00E36937">
        <w:rPr>
          <w:rFonts w:ascii="Calibri" w:hAnsi="Calibri" w:cs="Calibri"/>
          <w:i/>
          <w:iCs/>
        </w:rPr>
        <w:t xml:space="preserve"> </w:t>
      </w:r>
      <w:r>
        <w:rPr>
          <w:rFonts w:ascii="Calibri" w:hAnsi="Calibri" w:cs="Calibri"/>
          <w:i/>
          <w:iCs/>
        </w:rPr>
        <w:t>i</w:t>
      </w:r>
      <w:r w:rsidRPr="00E36937">
        <w:rPr>
          <w:rFonts w:ascii="Calibri" w:hAnsi="Calibri" w:cs="Calibri"/>
          <w:i/>
          <w:iCs/>
        </w:rPr>
        <w:t>n Heptateuch</w:t>
      </w:r>
      <w:r>
        <w:rPr>
          <w:rFonts w:ascii="Calibri" w:hAnsi="Calibri" w:cs="Calibri"/>
          <w:i/>
          <w:iCs/>
        </w:rPr>
        <w:t>um Libri VII</w:t>
      </w:r>
      <w:r>
        <w:rPr>
          <w:rFonts w:ascii="Calibri" w:hAnsi="Calibri" w:cs="Calibri"/>
        </w:rPr>
        <w:t>,</w:t>
      </w:r>
      <w:r w:rsidRPr="00E36937">
        <w:rPr>
          <w:rFonts w:ascii="Calibri" w:hAnsi="Calibri" w:cs="Calibri"/>
        </w:rPr>
        <w:t xml:space="preserve"> 2:73</w:t>
      </w:r>
      <w:r>
        <w:rPr>
          <w:rFonts w:ascii="Calibri" w:hAnsi="Calibri" w:cs="Calibri"/>
        </w:rPr>
        <w:t>.</w:t>
      </w:r>
    </w:p>
  </w:footnote>
  <w:footnote w:id="137">
    <w:p w14:paraId="6F6A0FE2" w14:textId="74EF7AE1" w:rsidR="00052F85" w:rsidRPr="00953E85" w:rsidRDefault="00953E85" w:rsidP="00646926">
      <w:pPr>
        <w:pStyle w:val="FootnoteText"/>
      </w:pPr>
      <w:r>
        <w:rPr>
          <w:rStyle w:val="FootnoteReference"/>
        </w:rPr>
        <w:footnoteRef/>
      </w:r>
      <w:r>
        <w:t xml:space="preserve"> E.g., </w:t>
      </w:r>
      <w:r w:rsidR="00052F85">
        <w:t xml:space="preserve">Martin Luther </w:t>
      </w:r>
      <w:r w:rsidR="00C62FC1">
        <w:t>King</w:t>
      </w:r>
      <w:r w:rsidR="00052F85" w:rsidRPr="001005B7">
        <w:t>, Jr.</w:t>
      </w:r>
      <w:r w:rsidR="00533DCB">
        <w:t>,</w:t>
      </w:r>
      <w:r w:rsidR="00052F85" w:rsidRPr="001005B7">
        <w:t xml:space="preserve"> “‘I Sat Where They Sat</w:t>
      </w:r>
      <w:r w:rsidR="00533DCB">
        <w:t>,</w:t>
      </w:r>
      <w:r w:rsidR="00052F85" w:rsidRPr="001005B7">
        <w:t xml:space="preserve">’” </w:t>
      </w:r>
      <w:r w:rsidR="00533DCB">
        <w:t xml:space="preserve">in </w:t>
      </w:r>
      <w:r w:rsidR="00052F85" w:rsidRPr="001005B7">
        <w:rPr>
          <w:i/>
          <w:iCs/>
        </w:rPr>
        <w:t>The Papers of Martin Luther King Jr.</w:t>
      </w:r>
      <w:r w:rsidR="00052F85" w:rsidRPr="001005B7">
        <w:t xml:space="preserve"> </w:t>
      </w:r>
      <w:r w:rsidR="00646926">
        <w:t>(</w:t>
      </w:r>
      <w:r w:rsidR="00052F85" w:rsidRPr="001005B7">
        <w:t>Berkeley: University of California, 2007</w:t>
      </w:r>
      <w:r w:rsidR="00646926">
        <w:t>), 6:581.</w:t>
      </w:r>
    </w:p>
  </w:footnote>
  <w:footnote w:id="138">
    <w:p w14:paraId="18027CAF" w14:textId="77777777" w:rsidR="00972596" w:rsidRPr="00912150" w:rsidRDefault="00972596" w:rsidP="00972596">
      <w:pPr>
        <w:pStyle w:val="FootnoteText"/>
      </w:pPr>
      <w:r>
        <w:rPr>
          <w:rStyle w:val="FootnoteReference"/>
        </w:rPr>
        <w:footnoteRef/>
      </w:r>
      <w:r>
        <w:t xml:space="preserve"> </w:t>
      </w:r>
      <w:r>
        <w:t>Heckl, “Anrede.”</w:t>
      </w:r>
    </w:p>
  </w:footnote>
  <w:footnote w:id="139">
    <w:p w14:paraId="03E276A7" w14:textId="724B7AFF" w:rsidR="0059154E" w:rsidRDefault="00842B05" w:rsidP="0059154E">
      <w:pPr>
        <w:pStyle w:val="FootnoteText"/>
      </w:pPr>
      <w:r>
        <w:rPr>
          <w:rStyle w:val="FootnoteReference"/>
        </w:rPr>
        <w:footnoteRef/>
      </w:r>
      <w:r>
        <w:t xml:space="preserve"> </w:t>
      </w:r>
      <w:r w:rsidR="0059154E">
        <w:t>Delorme, “</w:t>
      </w:r>
      <w:r w:rsidR="0059154E">
        <w:t>בית ישראל.”</w:t>
      </w:r>
    </w:p>
  </w:footnote>
  <w:footnote w:id="140">
    <w:p w14:paraId="59B22F8E" w14:textId="556488FD" w:rsidR="000111D6" w:rsidRDefault="000111D6" w:rsidP="000111D6">
      <w:pPr>
        <w:pStyle w:val="FootnoteText"/>
      </w:pPr>
      <w:r>
        <w:rPr>
          <w:rStyle w:val="FootnoteReference"/>
        </w:rPr>
        <w:footnoteRef/>
      </w:r>
      <w:r>
        <w:t xml:space="preserve"> </w:t>
      </w:r>
      <w:r w:rsidR="005D6D3D">
        <w:t xml:space="preserve">See </w:t>
      </w:r>
      <w:r>
        <w:t>Garfinkel, “Thistles”; Odell, “Particle.”</w:t>
      </w:r>
    </w:p>
  </w:footnote>
  <w:footnote w:id="141">
    <w:p w14:paraId="25E122E5" w14:textId="2C6EB33A" w:rsidR="002B4B4F" w:rsidRPr="004D6919" w:rsidRDefault="002B4B4F" w:rsidP="004D6919">
      <w:pPr>
        <w:pStyle w:val="FootnoteText"/>
        <w:rPr>
          <w:i/>
          <w:iCs/>
        </w:rPr>
      </w:pPr>
      <w:r>
        <w:rPr>
          <w:rStyle w:val="FootnoteReference"/>
        </w:rPr>
        <w:footnoteRef/>
      </w:r>
      <w:r>
        <w:t xml:space="preserve"> See, e.g., </w:t>
      </w:r>
      <w:r w:rsidR="00E34DFF">
        <w:t xml:space="preserve">Clyde E. </w:t>
      </w:r>
      <w:r>
        <w:t xml:space="preserve">Fant and </w:t>
      </w:r>
      <w:r w:rsidR="00E34DFF" w:rsidRPr="00E34DFF">
        <w:t>Mitchell G. Reddish</w:t>
      </w:r>
      <w:r w:rsidR="00E34DFF">
        <w:t>,</w:t>
      </w:r>
      <w:r w:rsidR="00E34DFF" w:rsidRPr="00E34DFF">
        <w:t xml:space="preserve"> </w:t>
      </w:r>
      <w:r w:rsidR="00E34DFF" w:rsidRPr="00E34DFF">
        <w:rPr>
          <w:i/>
          <w:iCs/>
        </w:rPr>
        <w:t>Lost Treasures of the Bible</w:t>
      </w:r>
      <w:r w:rsidR="00E34DFF" w:rsidRPr="00E34DFF">
        <w:t xml:space="preserve"> </w:t>
      </w:r>
      <w:r w:rsidR="00E34DFF">
        <w:t>(</w:t>
      </w:r>
      <w:r w:rsidR="00E34DFF" w:rsidRPr="00E34DFF">
        <w:t>Grand Rapids: Eerdmans, 2008</w:t>
      </w:r>
      <w:r w:rsidR="004D6919">
        <w:t>)</w:t>
      </w:r>
      <w:r w:rsidR="001D4D1A">
        <w:t>, 217</w:t>
      </w:r>
      <w:r w:rsidR="001943CB">
        <w:t>–</w:t>
      </w:r>
      <w:r w:rsidR="00960513">
        <w:t>20</w:t>
      </w:r>
      <w:r w:rsidR="001D4D1A">
        <w:t>.</w:t>
      </w:r>
      <w:r w:rsidR="0019681C">
        <w:t xml:space="preserve"> The tablets </w:t>
      </w:r>
      <w:r w:rsidR="000175A2">
        <w:t>are commonly referred to as the Weidner tablets, after E. F. Weidner who deciphered them.</w:t>
      </w:r>
    </w:p>
  </w:footnote>
  <w:footnote w:id="142">
    <w:p w14:paraId="2AB04162" w14:textId="39E9C96D" w:rsidR="00346D2B" w:rsidRDefault="00346D2B" w:rsidP="00346D2B">
      <w:pPr>
        <w:pStyle w:val="FootnoteText"/>
      </w:pPr>
      <w:r>
        <w:rPr>
          <w:rStyle w:val="FootnoteReference"/>
        </w:rPr>
        <w:footnoteRef/>
      </w:r>
      <w:r>
        <w:t xml:space="preserve"> Allison, “Acts”</w:t>
      </w:r>
      <w:r w:rsidR="00421CC9">
        <w:t>.</w:t>
      </w:r>
      <w:r>
        <w:t xml:space="preserve"> Allison notes many other possible allusions to Ezekiel in Paul’s three accounts of the Lord’s appearing to him.</w:t>
      </w:r>
    </w:p>
  </w:footnote>
  <w:footnote w:id="143">
    <w:p w14:paraId="3751B14F" w14:textId="77777777" w:rsidR="00044471" w:rsidRDefault="00044471" w:rsidP="00044471">
      <w:pPr>
        <w:pStyle w:val="FootnoteText"/>
      </w:pPr>
      <w:r>
        <w:rPr>
          <w:rStyle w:val="FootnoteReference"/>
        </w:rPr>
        <w:footnoteRef/>
      </w:r>
      <w:r>
        <w:t xml:space="preserve"> </w:t>
      </w:r>
      <w:r>
        <w:t>Willimon, “Ezekiel 3,” 326.</w:t>
      </w:r>
    </w:p>
  </w:footnote>
  <w:footnote w:id="144">
    <w:p w14:paraId="1E74490D" w14:textId="1F26D69B" w:rsidR="00BE49B4" w:rsidRDefault="00BE49B4">
      <w:pPr>
        <w:pStyle w:val="FootnoteText"/>
      </w:pPr>
      <w:r>
        <w:rPr>
          <w:rStyle w:val="FootnoteReference"/>
        </w:rPr>
        <w:footnoteRef/>
      </w:r>
      <w:r>
        <w:t xml:space="preserve"> </w:t>
      </w:r>
      <w:r w:rsidR="00763266">
        <w:t>Tiemeyer, “</w:t>
      </w:r>
      <w:r w:rsidR="009A013D">
        <w:t>Compromised Prophet</w:t>
      </w:r>
      <w:r w:rsidR="00763266">
        <w:t>,” 177.</w:t>
      </w:r>
    </w:p>
  </w:footnote>
  <w:footnote w:id="145">
    <w:p w14:paraId="6DF2DED3" w14:textId="30CB2E89" w:rsidR="00036061" w:rsidRDefault="00036061">
      <w:pPr>
        <w:pStyle w:val="FootnoteText"/>
      </w:pPr>
      <w:r>
        <w:rPr>
          <w:rStyle w:val="FootnoteReference"/>
        </w:rPr>
        <w:footnoteRef/>
      </w:r>
      <w:r>
        <w:t xml:space="preserve"> Cf. Myers, </w:t>
      </w:r>
      <w:r w:rsidR="00787935">
        <w:t>Obscure</w:t>
      </w:r>
      <w:r>
        <w:t xml:space="preserve"> Preaching.”</w:t>
      </w:r>
    </w:p>
  </w:footnote>
  <w:footnote w:id="146">
    <w:p w14:paraId="0AFA472E" w14:textId="0B8A271A" w:rsidR="00746C03" w:rsidRPr="00746C03" w:rsidRDefault="00746C03">
      <w:pPr>
        <w:pStyle w:val="FootnoteText"/>
      </w:pPr>
      <w:r>
        <w:rPr>
          <w:rStyle w:val="FootnoteReference"/>
        </w:rPr>
        <w:footnoteRef/>
      </w:r>
      <w:r>
        <w:t xml:space="preserve"> </w:t>
      </w:r>
      <w:r>
        <w:rPr>
          <w:i/>
          <w:iCs/>
        </w:rPr>
        <w:t>Ezekiel</w:t>
      </w:r>
      <w:r>
        <w:t>, 7–8.</w:t>
      </w:r>
    </w:p>
  </w:footnote>
  <w:footnote w:id="147">
    <w:p w14:paraId="57D5C860" w14:textId="3266468F" w:rsidR="00DE3420" w:rsidRPr="009502E8" w:rsidRDefault="00DE3420" w:rsidP="00BC09D2">
      <w:pPr>
        <w:rPr>
          <w:sz w:val="20"/>
          <w:szCs w:val="20"/>
        </w:rPr>
      </w:pPr>
      <w:r w:rsidRPr="009502E8">
        <w:rPr>
          <w:rStyle w:val="FootnoteReference"/>
          <w:sz w:val="20"/>
          <w:szCs w:val="20"/>
        </w:rPr>
        <w:footnoteRef/>
      </w:r>
      <w:r w:rsidRPr="009502E8">
        <w:rPr>
          <w:sz w:val="20"/>
          <w:szCs w:val="20"/>
        </w:rPr>
        <w:t xml:space="preserve"> </w:t>
      </w:r>
      <w:r w:rsidR="004303C7" w:rsidRPr="00F97A59">
        <w:rPr>
          <w:sz w:val="18"/>
          <w:szCs w:val="18"/>
        </w:rPr>
        <w:t>MT</w:t>
      </w:r>
      <w:r w:rsidR="00BC09D2" w:rsidRPr="009502E8">
        <w:rPr>
          <w:sz w:val="20"/>
          <w:szCs w:val="20"/>
        </w:rPr>
        <w:t>’s setumah</w:t>
      </w:r>
      <w:r w:rsidR="00FD35DA">
        <w:rPr>
          <w:sz w:val="20"/>
          <w:szCs w:val="20"/>
        </w:rPr>
        <w:t>*</w:t>
      </w:r>
      <w:r w:rsidR="00BC09D2" w:rsidRPr="009502E8">
        <w:rPr>
          <w:sz w:val="20"/>
          <w:szCs w:val="20"/>
        </w:rPr>
        <w:t xml:space="preserve"> here uncouples clauses that follow each other oddl</w:t>
      </w:r>
      <w:r w:rsidR="006D0FCD">
        <w:rPr>
          <w:sz w:val="20"/>
          <w:szCs w:val="20"/>
        </w:rPr>
        <w:t>y. I</w:t>
      </w:r>
      <w:r w:rsidR="00BC09D2" w:rsidRPr="009502E8">
        <w:rPr>
          <w:sz w:val="20"/>
          <w:szCs w:val="20"/>
        </w:rPr>
        <w:t>t may also draw attention to the link of substance with 33:1</w:t>
      </w:r>
      <w:r w:rsidR="001943CB">
        <w:rPr>
          <w:sz w:val="20"/>
          <w:szCs w:val="20"/>
        </w:rPr>
        <w:t>–</w:t>
      </w:r>
      <w:r w:rsidR="00BC09D2" w:rsidRPr="009502E8">
        <w:rPr>
          <w:sz w:val="20"/>
          <w:szCs w:val="20"/>
        </w:rPr>
        <w:t>9 and to the availability there of further information on the matter dealt with here (Greenberg, 1:83)</w:t>
      </w:r>
      <w:r w:rsidR="00D66507">
        <w:rPr>
          <w:sz w:val="20"/>
          <w:szCs w:val="20"/>
        </w:rPr>
        <w:t>.</w:t>
      </w:r>
    </w:p>
  </w:footnote>
  <w:footnote w:id="148">
    <w:p w14:paraId="5B79227C" w14:textId="0B61A220" w:rsidR="00792B9B" w:rsidRDefault="00792B9B">
      <w:pPr>
        <w:pStyle w:val="FootnoteText"/>
      </w:pPr>
      <w:r>
        <w:rPr>
          <w:rStyle w:val="FootnoteReference"/>
        </w:rPr>
        <w:footnoteRef/>
      </w:r>
      <w:r>
        <w:t xml:space="preserve"> </w:t>
      </w:r>
      <w:r w:rsidR="00CE5E29" w:rsidRPr="004A5BE6">
        <w:rPr>
          <w:rStyle w:val="Strong"/>
          <w:rFonts w:ascii="Calibri" w:hAnsi="Calibri" w:cs="Calibri"/>
          <w:b w:val="0"/>
          <w:bCs w:val="0"/>
          <w:color w:val="535353"/>
          <w:bdr w:val="none" w:sz="0" w:space="0" w:color="auto" w:frame="1"/>
        </w:rPr>
        <w:t>Deselaers</w:t>
      </w:r>
      <w:r w:rsidR="00CE5E29" w:rsidRPr="004A5BE6">
        <w:rPr>
          <w:rStyle w:val="medium-font"/>
          <w:rFonts w:ascii="Calibri" w:hAnsi="Calibri" w:cs="Calibri"/>
          <w:i/>
          <w:iCs/>
          <w:color w:val="535353"/>
          <w:bdr w:val="none" w:sz="0" w:space="0" w:color="auto" w:frame="1"/>
        </w:rPr>
        <w:t>, “</w:t>
      </w:r>
      <w:r w:rsidR="00CE5E29" w:rsidRPr="004A5BE6">
        <w:rPr>
          <w:rFonts w:ascii="Calibri" w:hAnsi="Calibri" w:cs="Calibri"/>
          <w:bdr w:val="none" w:sz="0" w:space="0" w:color="auto" w:frame="1"/>
        </w:rPr>
        <w:t>Wächteramt</w:t>
      </w:r>
      <w:r w:rsidR="00F55A23" w:rsidRPr="004A5BE6">
        <w:t xml:space="preserve">,” </w:t>
      </w:r>
      <w:r w:rsidRPr="004A5BE6">
        <w:t>37</w:t>
      </w:r>
      <w:r w:rsidR="00F55A23" w:rsidRPr="004A5BE6">
        <w:t>.</w:t>
      </w:r>
    </w:p>
  </w:footnote>
  <w:footnote w:id="149">
    <w:p w14:paraId="59D8273F" w14:textId="2C68FFB7" w:rsidR="00976A61" w:rsidRPr="00D6536C" w:rsidRDefault="00976A61">
      <w:pPr>
        <w:pStyle w:val="FootnoteText"/>
      </w:pPr>
      <w:r>
        <w:rPr>
          <w:rStyle w:val="FootnoteReference"/>
        </w:rPr>
        <w:footnoteRef/>
      </w:r>
      <w:r>
        <w:t xml:space="preserve"> BDB and </w:t>
      </w:r>
      <w:r>
        <w:rPr>
          <w:i/>
          <w:iCs/>
        </w:rPr>
        <w:t>DCH</w:t>
      </w:r>
      <w:r>
        <w:t xml:space="preserve"> think there are two verbs</w:t>
      </w:r>
      <w:r w:rsidR="006A0773">
        <w:t xml:space="preserve"> </w:t>
      </w:r>
      <w:r w:rsidR="008D452C">
        <w:rPr>
          <w:rFonts w:cstheme="minorHAnsi"/>
          <w:rtl/>
          <w:lang w:bidi="he-IL"/>
        </w:rPr>
        <w:t>עָוָה</w:t>
      </w:r>
      <w:r w:rsidR="00631173">
        <w:rPr>
          <w:rFonts w:cstheme="minorHAnsi"/>
        </w:rPr>
        <w:t>.</w:t>
      </w:r>
      <w:r w:rsidR="00D6536C">
        <w:rPr>
          <w:rFonts w:cstheme="minorHAnsi"/>
        </w:rPr>
        <w:t xml:space="preserve"> </w:t>
      </w:r>
      <w:r w:rsidR="00D6536C">
        <w:rPr>
          <w:rFonts w:cstheme="minorHAnsi"/>
          <w:i/>
          <w:iCs/>
        </w:rPr>
        <w:t xml:space="preserve">HALOT </w:t>
      </w:r>
      <w:r w:rsidR="00D6536C">
        <w:rPr>
          <w:rFonts w:cstheme="minorHAnsi"/>
        </w:rPr>
        <w:t>recognizes only one, which is less complicated.</w:t>
      </w:r>
    </w:p>
  </w:footnote>
  <w:footnote w:id="150">
    <w:p w14:paraId="438D4D40" w14:textId="1504071F" w:rsidR="007D3FB1" w:rsidRPr="00DD4159" w:rsidRDefault="007D3FB1">
      <w:pPr>
        <w:pStyle w:val="FootnoteText"/>
      </w:pPr>
      <w:r>
        <w:rPr>
          <w:rStyle w:val="FootnoteReference"/>
        </w:rPr>
        <w:footnoteRef/>
      </w:r>
      <w:r>
        <w:t xml:space="preserve"> Gehrig </w:t>
      </w:r>
      <w:r w:rsidR="00AC494D">
        <w:t xml:space="preserve">studies approaches to the puzzles in </w:t>
      </w:r>
      <w:r w:rsidR="00DD4159">
        <w:t>3:22</w:t>
      </w:r>
      <w:r w:rsidR="000B2D58">
        <w:t>–</w:t>
      </w:r>
      <w:r w:rsidR="00DD4159">
        <w:t>27 (and 4:1</w:t>
      </w:r>
      <w:r w:rsidR="000B2D58">
        <w:t>–</w:t>
      </w:r>
      <w:r w:rsidR="00DD4159">
        <w:t xml:space="preserve">5:17) in </w:t>
      </w:r>
      <w:r w:rsidR="00DD4159">
        <w:rPr>
          <w:i/>
          <w:iCs/>
        </w:rPr>
        <w:t>Lese</w:t>
      </w:r>
      <w:r w:rsidR="00067695">
        <w:rPr>
          <w:i/>
          <w:iCs/>
        </w:rPr>
        <w:t>r</w:t>
      </w:r>
      <w:r w:rsidR="00DD4159">
        <w:rPr>
          <w:i/>
          <w:iCs/>
        </w:rPr>
        <w:t>lenkung</w:t>
      </w:r>
      <w:r w:rsidR="00360B96">
        <w:t>, 179</w:t>
      </w:r>
      <w:r w:rsidR="00FE4D1C">
        <w:t>–</w:t>
      </w:r>
      <w:r w:rsidR="00360B96">
        <w:t>303</w:t>
      </w:r>
      <w:r w:rsidR="00DD4159">
        <w:t>.</w:t>
      </w:r>
    </w:p>
  </w:footnote>
  <w:footnote w:id="151">
    <w:p w14:paraId="587909E7" w14:textId="77777777" w:rsidR="00932502" w:rsidRDefault="00932502" w:rsidP="00932502">
      <w:pPr>
        <w:pStyle w:val="FootnoteText"/>
      </w:pPr>
      <w:r>
        <w:rPr>
          <w:rStyle w:val="FootnoteReference"/>
        </w:rPr>
        <w:footnoteRef/>
      </w:r>
      <w:r>
        <w:t xml:space="preserve"> Odell, “You Are What You Eat,” 245.</w:t>
      </w:r>
    </w:p>
  </w:footnote>
  <w:footnote w:id="152">
    <w:p w14:paraId="62F1AEBB" w14:textId="553D202F" w:rsidR="0057309B" w:rsidRPr="00BF1BF7" w:rsidRDefault="0057309B">
      <w:pPr>
        <w:pStyle w:val="FootnoteText"/>
      </w:pPr>
      <w:r>
        <w:rPr>
          <w:rStyle w:val="FootnoteReference"/>
        </w:rPr>
        <w:footnoteRef/>
      </w:r>
      <w:r>
        <w:t xml:space="preserve"> See </w:t>
      </w:r>
      <w:r w:rsidR="002A6446">
        <w:t xml:space="preserve">the discussion in </w:t>
      </w:r>
      <w:r w:rsidR="00BF1BF7">
        <w:t xml:space="preserve">Glazov, </w:t>
      </w:r>
      <w:r w:rsidR="00BF1BF7">
        <w:rPr>
          <w:i/>
          <w:iCs/>
        </w:rPr>
        <w:t>Bridling</w:t>
      </w:r>
      <w:r w:rsidR="00BF1BF7">
        <w:t xml:space="preserve">, </w:t>
      </w:r>
      <w:r w:rsidR="003A58AF">
        <w:t>220</w:t>
      </w:r>
      <w:r w:rsidR="001943CB">
        <w:t>–</w:t>
      </w:r>
      <w:r w:rsidR="002A6446">
        <w:t>74.</w:t>
      </w:r>
    </w:p>
  </w:footnote>
  <w:footnote w:id="153">
    <w:p w14:paraId="359C514B" w14:textId="77777777" w:rsidR="00DA1FD8" w:rsidRDefault="00DA1FD8" w:rsidP="00DA1FD8">
      <w:pPr>
        <w:pStyle w:val="FootnoteText"/>
      </w:pPr>
      <w:r>
        <w:rPr>
          <w:rStyle w:val="FootnoteReference"/>
        </w:rPr>
        <w:footnoteRef/>
      </w:r>
      <w:r>
        <w:t xml:space="preserve"> Garfinkel, “</w:t>
      </w:r>
      <w:r w:rsidRPr="00141FE8">
        <w:t>Another Model</w:t>
      </w:r>
      <w:r>
        <w:t>.”</w:t>
      </w:r>
    </w:p>
  </w:footnote>
  <w:footnote w:id="154">
    <w:p w14:paraId="36ADB5D3" w14:textId="2A60DB3F" w:rsidR="00144D92" w:rsidRDefault="00144D92">
      <w:pPr>
        <w:pStyle w:val="FootnoteText"/>
      </w:pPr>
      <w:r>
        <w:rPr>
          <w:rStyle w:val="FootnoteReference"/>
        </w:rPr>
        <w:footnoteRef/>
      </w:r>
      <w:r>
        <w:t xml:space="preserve"> Cf. Wilson, </w:t>
      </w:r>
      <w:r w:rsidR="00C17D24">
        <w:t>“Interpretation.”</w:t>
      </w:r>
    </w:p>
  </w:footnote>
  <w:footnote w:id="155">
    <w:p w14:paraId="62C907F7" w14:textId="42FFBBB0" w:rsidR="005010F1" w:rsidRDefault="005010F1" w:rsidP="009D5590">
      <w:pPr>
        <w:pStyle w:val="FootnoteText"/>
      </w:pPr>
      <w:r>
        <w:rPr>
          <w:rStyle w:val="FootnoteReference"/>
        </w:rPr>
        <w:footnoteRef/>
      </w:r>
      <w:r>
        <w:t xml:space="preserve"> Tromp</w:t>
      </w:r>
      <w:r w:rsidR="009D5590">
        <w:t xml:space="preserve">, </w:t>
      </w:r>
      <w:r w:rsidR="00111782">
        <w:t>“</w:t>
      </w:r>
      <w:r w:rsidR="009D5590">
        <w:t>Paradox,”</w:t>
      </w:r>
      <w:r>
        <w:t xml:space="preserve"> 213.</w:t>
      </w:r>
    </w:p>
  </w:footnote>
  <w:footnote w:id="156">
    <w:p w14:paraId="11B3E44A" w14:textId="33285525" w:rsidR="0005575B" w:rsidRPr="007F0240" w:rsidRDefault="0005575B">
      <w:pPr>
        <w:pStyle w:val="FootnoteText"/>
      </w:pPr>
      <w:r>
        <w:rPr>
          <w:rStyle w:val="FootnoteReference"/>
        </w:rPr>
        <w:footnoteRef/>
      </w:r>
      <w:r>
        <w:t xml:space="preserve"> See </w:t>
      </w:r>
      <w:r>
        <w:t>Strine,</w:t>
      </w:r>
      <w:r w:rsidR="0083569A">
        <w:t xml:space="preserve">”Image Problem”; </w:t>
      </w:r>
      <w:r w:rsidR="00CE7620">
        <w:t>Kutsko, “</w:t>
      </w:r>
      <w:r w:rsidR="00F376A7">
        <w:rPr>
          <w:rFonts w:cstheme="minorHAnsi"/>
          <w:i/>
          <w:iCs/>
        </w:rPr>
        <w:t>Ṣ</w:t>
      </w:r>
      <w:r w:rsidR="007F0240">
        <w:rPr>
          <w:i/>
          <w:iCs/>
        </w:rPr>
        <w:t xml:space="preserve">elem </w:t>
      </w:r>
      <w:r w:rsidR="007F0240">
        <w:rPr>
          <w:rFonts w:cstheme="minorHAnsi"/>
          <w:i/>
          <w:iCs/>
        </w:rPr>
        <w:t>′ě</w:t>
      </w:r>
      <w:r w:rsidR="007F0240" w:rsidRPr="00673FAC">
        <w:rPr>
          <w:i/>
          <w:iCs/>
        </w:rPr>
        <w:t>l</w:t>
      </w:r>
      <w:r w:rsidR="007F0240">
        <w:rPr>
          <w:rFonts w:cstheme="minorHAnsi"/>
          <w:i/>
          <w:iCs/>
        </w:rPr>
        <w:t>ō</w:t>
      </w:r>
      <w:r w:rsidR="007F0240" w:rsidRPr="00673FAC">
        <w:rPr>
          <w:i/>
          <w:iCs/>
        </w:rPr>
        <w:t>h</w:t>
      </w:r>
      <w:r w:rsidR="007F0240">
        <w:rPr>
          <w:rFonts w:cstheme="minorHAnsi"/>
          <w:i/>
          <w:iCs/>
        </w:rPr>
        <w:t>î</w:t>
      </w:r>
      <w:r w:rsidR="007F0240" w:rsidRPr="00673FAC">
        <w:rPr>
          <w:i/>
          <w:iCs/>
        </w:rPr>
        <w:t>m</w:t>
      </w:r>
      <w:r w:rsidR="007F0240">
        <w:t>.”</w:t>
      </w:r>
    </w:p>
  </w:footnote>
  <w:footnote w:id="157">
    <w:p w14:paraId="257B4CD3" w14:textId="77777777" w:rsidR="00E8309C" w:rsidRPr="00021511" w:rsidRDefault="00E8309C" w:rsidP="00E8309C">
      <w:pPr>
        <w:pStyle w:val="FootnoteText"/>
      </w:pPr>
      <w:r>
        <w:rPr>
          <w:rStyle w:val="FootnoteReference"/>
        </w:rPr>
        <w:footnoteRef/>
      </w:r>
      <w:r>
        <w:t xml:space="preserve"> See </w:t>
      </w:r>
      <w:r>
        <w:t xml:space="preserve">Friebel, </w:t>
      </w:r>
      <w:r>
        <w:rPr>
          <w:i/>
          <w:iCs/>
        </w:rPr>
        <w:t>Sign-Acts</w:t>
      </w:r>
      <w:r>
        <w:t>.</w:t>
      </w:r>
    </w:p>
  </w:footnote>
  <w:footnote w:id="158">
    <w:p w14:paraId="728FC852" w14:textId="77777777" w:rsidR="003C2CCB" w:rsidRDefault="003C2CCB" w:rsidP="003C2CCB">
      <w:pPr>
        <w:pStyle w:val="FootnoteText"/>
      </w:pPr>
      <w:r>
        <w:rPr>
          <w:rStyle w:val="FootnoteReference"/>
        </w:rPr>
        <w:footnoteRef/>
      </w:r>
      <w:r>
        <w:t xml:space="preserve"> </w:t>
      </w:r>
      <w:r w:rsidRPr="00AE6696">
        <w:t xml:space="preserve">Voltaire, “Sermon of the Fifty,” in </w:t>
      </w:r>
      <w:r w:rsidRPr="00AE6696">
        <w:rPr>
          <w:i/>
          <w:iCs/>
        </w:rPr>
        <w:t xml:space="preserve">Deism: An Anthology </w:t>
      </w:r>
      <w:r w:rsidRPr="00AE6696">
        <w:t>(ed. Peter Gay; Princeton</w:t>
      </w:r>
      <w:r>
        <w:t>:</w:t>
      </w:r>
      <w:r w:rsidRPr="00AE6696">
        <w:t xml:space="preserve"> Van Nostrand, 1968), 152–53</w:t>
      </w:r>
      <w:r>
        <w:t xml:space="preserve"> (cf. Odell, 73).</w:t>
      </w:r>
    </w:p>
  </w:footnote>
  <w:footnote w:id="159">
    <w:p w14:paraId="4C910D83" w14:textId="2A46B761" w:rsidR="00107F92" w:rsidRDefault="00107F92" w:rsidP="00107F92">
      <w:pPr>
        <w:pStyle w:val="FootnoteText"/>
      </w:pPr>
      <w:r>
        <w:rPr>
          <w:rStyle w:val="FootnoteReference"/>
        </w:rPr>
        <w:footnoteRef/>
      </w:r>
      <w:r>
        <w:t xml:space="preserve"> </w:t>
      </w:r>
      <w:r w:rsidR="001204D9">
        <w:rPr>
          <w:rFonts w:cstheme="minorHAnsi"/>
          <w:rtl/>
          <w:lang w:bidi="he-IL"/>
        </w:rPr>
        <w:t>מֵ</w:t>
      </w:r>
      <w:r w:rsidR="001C2008">
        <w:rPr>
          <w:rFonts w:cstheme="minorHAnsi"/>
          <w:rtl/>
          <w:lang w:bidi="he-IL"/>
        </w:rPr>
        <w:t>עֵת</w:t>
      </w:r>
      <w:r w:rsidR="002F37CE">
        <w:rPr>
          <w:rFonts w:cstheme="minorHAnsi" w:hint="cs"/>
          <w:rtl/>
          <w:lang w:bidi="he-IL"/>
        </w:rPr>
        <w:t xml:space="preserve"> </w:t>
      </w:r>
      <w:r w:rsidR="00EA582D">
        <w:rPr>
          <w:rFonts w:cstheme="minorHAnsi"/>
          <w:rtl/>
          <w:lang w:bidi="he-IL"/>
        </w:rPr>
        <w:t>עַ</w:t>
      </w:r>
      <w:r w:rsidR="00A82C11">
        <w:rPr>
          <w:rFonts w:cstheme="minorHAnsi"/>
          <w:rtl/>
          <w:lang w:bidi="he-IL"/>
        </w:rPr>
        <w:t>ד־עֵת</w:t>
      </w:r>
      <w:r w:rsidR="002F37CE">
        <w:t xml:space="preserve">, </w:t>
      </w:r>
      <w:r w:rsidR="002F37CE">
        <w:rPr>
          <w:rFonts w:cstheme="minorHAnsi"/>
        </w:rPr>
        <w:t>l</w:t>
      </w:r>
      <w:r>
        <w:rPr>
          <w:rFonts w:cstheme="minorHAnsi"/>
        </w:rPr>
        <w:t>iterally, “from a time to a time</w:t>
      </w:r>
      <w:r w:rsidR="00025982">
        <w:rPr>
          <w:rFonts w:cstheme="minorHAnsi"/>
        </w:rPr>
        <w:t>.</w:t>
      </w:r>
      <w:r>
        <w:rPr>
          <w:rFonts w:cstheme="minorHAnsi"/>
        </w:rPr>
        <w:t>”</w:t>
      </w:r>
      <w:r w:rsidR="00025982">
        <w:rPr>
          <w:rFonts w:cstheme="minorHAnsi"/>
        </w:rPr>
        <w:t xml:space="preserve"> S</w:t>
      </w:r>
      <w:r>
        <w:rPr>
          <w:rFonts w:cstheme="minorHAnsi"/>
        </w:rPr>
        <w:t xml:space="preserve">o also in </w:t>
      </w:r>
      <w:r w:rsidR="008D3B01">
        <w:rPr>
          <w:rFonts w:cstheme="minorHAnsi"/>
        </w:rPr>
        <w:t>4:</w:t>
      </w:r>
      <w:r>
        <w:rPr>
          <w:rFonts w:cstheme="minorHAnsi"/>
        </w:rPr>
        <w:t>11.</w:t>
      </w:r>
    </w:p>
  </w:footnote>
  <w:footnote w:id="160">
    <w:p w14:paraId="429E27ED" w14:textId="77777777" w:rsidR="00553D8B" w:rsidRDefault="00553D8B" w:rsidP="00553D8B">
      <w:pPr>
        <w:pStyle w:val="FootnoteText"/>
      </w:pPr>
      <w:r>
        <w:rPr>
          <w:rStyle w:val="FootnoteReference"/>
        </w:rPr>
        <w:footnoteRef/>
      </w:r>
      <w:r>
        <w:t xml:space="preserve"> On the construction in this sentence, see Lyons, “Barley Cake.”</w:t>
      </w:r>
    </w:p>
  </w:footnote>
  <w:footnote w:id="161">
    <w:p w14:paraId="4070505C" w14:textId="28F2C728" w:rsidR="0022605C" w:rsidRPr="0022605C" w:rsidRDefault="0022605C" w:rsidP="0022605C">
      <w:pPr>
        <w:pStyle w:val="FootnoteText"/>
      </w:pPr>
      <w:r>
        <w:rPr>
          <w:rStyle w:val="FootnoteReference"/>
        </w:rPr>
        <w:footnoteRef/>
      </w:r>
      <w:r>
        <w:t xml:space="preserve"> </w:t>
      </w:r>
      <w:r>
        <w:rPr>
          <w:rFonts w:cstheme="minorHAnsi"/>
        </w:rPr>
        <w:t xml:space="preserve">DG 42, remark 2, sees </w:t>
      </w:r>
      <w:r w:rsidR="001F22CA">
        <w:rPr>
          <w:rFonts w:cstheme="minorHAnsi"/>
          <w:rtl/>
          <w:lang w:bidi="he-IL"/>
        </w:rPr>
        <w:t>טָמֵא</w:t>
      </w:r>
      <w:r w:rsidR="001F22CA">
        <w:rPr>
          <w:rFonts w:cstheme="minorHAnsi"/>
        </w:rPr>
        <w:t xml:space="preserve"> </w:t>
      </w:r>
      <w:r w:rsidR="00DA5C5C">
        <w:rPr>
          <w:rFonts w:cstheme="minorHAnsi"/>
        </w:rPr>
        <w:t>(</w:t>
      </w:r>
      <w:r w:rsidR="001F22CA">
        <w:rPr>
          <w:rFonts w:cstheme="minorHAnsi"/>
        </w:rPr>
        <w:t>lack</w:t>
      </w:r>
      <w:r w:rsidR="00DA5C5C">
        <w:rPr>
          <w:rFonts w:cstheme="minorHAnsi"/>
        </w:rPr>
        <w:t>ing</w:t>
      </w:r>
      <w:r w:rsidR="001F22CA">
        <w:rPr>
          <w:rFonts w:cstheme="minorHAnsi"/>
        </w:rPr>
        <w:t xml:space="preserve"> the article)</w:t>
      </w:r>
      <w:r>
        <w:rPr>
          <w:rFonts w:cstheme="minorHAnsi"/>
        </w:rPr>
        <w:t xml:space="preserve"> as quasi-adverbial, </w:t>
      </w:r>
      <w:r>
        <w:rPr>
          <w:rFonts w:cstheme="minorHAnsi"/>
          <w:i/>
          <w:iCs/>
        </w:rPr>
        <w:t>IBHS</w:t>
      </w:r>
      <w:r>
        <w:rPr>
          <w:rFonts w:cstheme="minorHAnsi"/>
        </w:rPr>
        <w:t xml:space="preserve"> 14.3.3c </w:t>
      </w:r>
      <w:r w:rsidR="001C3BFA">
        <w:rPr>
          <w:rFonts w:cstheme="minorHAnsi"/>
        </w:rPr>
        <w:t xml:space="preserve">as </w:t>
      </w:r>
      <w:r>
        <w:rPr>
          <w:rFonts w:cstheme="minorHAnsi"/>
        </w:rPr>
        <w:t>“accusative of specification.”</w:t>
      </w:r>
    </w:p>
  </w:footnote>
  <w:footnote w:id="162">
    <w:p w14:paraId="62E5BC6A" w14:textId="7829A1F1" w:rsidR="00544E81" w:rsidRPr="00544E81" w:rsidRDefault="00544E81" w:rsidP="00544E81">
      <w:pPr>
        <w:pStyle w:val="FootnoteText"/>
      </w:pPr>
      <w:r>
        <w:rPr>
          <w:rStyle w:val="FootnoteReference"/>
        </w:rPr>
        <w:footnoteRef/>
      </w:r>
      <w:r>
        <w:t xml:space="preserve"> My </w:t>
      </w:r>
      <w:r>
        <w:rPr>
          <w:rFonts w:cstheme="minorHAnsi"/>
          <w:rtl/>
          <w:lang w:bidi="he-IL"/>
        </w:rPr>
        <w:t>נ</w:t>
      </w:r>
      <w:r w:rsidR="00231A3F">
        <w:rPr>
          <w:rFonts w:cstheme="minorHAnsi"/>
          <w:rtl/>
          <w:lang w:bidi="he-IL"/>
        </w:rPr>
        <w:t>ֶפֶשׁ</w:t>
      </w:r>
      <w:r>
        <w:rPr>
          <w:rFonts w:cstheme="minorHAnsi"/>
        </w:rPr>
        <w:t>, which more broadly means “person,” can denote the throat or physical desire</w:t>
      </w:r>
      <w:r w:rsidR="00F80DA0">
        <w:rPr>
          <w:rFonts w:cstheme="minorHAnsi"/>
        </w:rPr>
        <w:t>. R</w:t>
      </w:r>
      <w:r>
        <w:rPr>
          <w:rFonts w:cstheme="minorHAnsi"/>
        </w:rPr>
        <w:t>eaders might think of both connotations.</w:t>
      </w:r>
    </w:p>
  </w:footnote>
  <w:footnote w:id="163">
    <w:p w14:paraId="653657AA" w14:textId="33269992" w:rsidR="00B73E65" w:rsidRPr="00E817F9" w:rsidRDefault="00B73E65" w:rsidP="00B73E65">
      <w:pPr>
        <w:rPr>
          <w:rFonts w:cstheme="minorHAnsi"/>
          <w:sz w:val="20"/>
          <w:szCs w:val="20"/>
        </w:rPr>
      </w:pPr>
      <w:r w:rsidRPr="00E817F9">
        <w:rPr>
          <w:rStyle w:val="FootnoteReference"/>
          <w:sz w:val="20"/>
          <w:szCs w:val="20"/>
        </w:rPr>
        <w:footnoteRef/>
      </w:r>
      <w:r w:rsidRPr="00E817F9">
        <w:rPr>
          <w:sz w:val="20"/>
          <w:szCs w:val="20"/>
        </w:rPr>
        <w:t xml:space="preserve"> </w:t>
      </w:r>
      <w:r w:rsidRPr="00E817F9">
        <w:rPr>
          <w:rFonts w:cstheme="minorHAnsi"/>
          <w:sz w:val="20"/>
          <w:szCs w:val="20"/>
        </w:rPr>
        <w:t>That is, the head hair and beard hair.</w:t>
      </w:r>
    </w:p>
  </w:footnote>
  <w:footnote w:id="164">
    <w:p w14:paraId="61B9E8F4" w14:textId="544446A4" w:rsidR="008D63A2" w:rsidRPr="00FE30CF" w:rsidRDefault="008D63A2" w:rsidP="008D63A2">
      <w:pPr>
        <w:pStyle w:val="FootnoteText"/>
      </w:pPr>
      <w:r>
        <w:rPr>
          <w:rStyle w:val="FootnoteReference"/>
        </w:rPr>
        <w:footnoteRef/>
      </w:r>
      <w:r>
        <w:t xml:space="preserve"> See the discussion in </w:t>
      </w:r>
      <w:r>
        <w:rPr>
          <w:rFonts w:cstheme="minorHAnsi"/>
        </w:rPr>
        <w:t xml:space="preserve">Lust, </w:t>
      </w:r>
      <w:r>
        <w:rPr>
          <w:rFonts w:ascii="Calibri" w:eastAsia="Times New Roman" w:hAnsi="Calibri" w:cs="Calibri"/>
          <w:color w:val="000000"/>
          <w:lang w:eastAsia="en-GB"/>
        </w:rPr>
        <w:t xml:space="preserve">Hauspie, and </w:t>
      </w:r>
      <w:r>
        <w:rPr>
          <w:rFonts w:ascii="Calibri" w:eastAsia="Times New Roman" w:hAnsi="Calibri" w:cs="Calibri"/>
          <w:color w:val="000000"/>
          <w:lang w:eastAsia="en-GB"/>
        </w:rPr>
        <w:t>Ternier, “</w:t>
      </w:r>
      <w:r w:rsidRPr="006A7612">
        <w:rPr>
          <w:rFonts w:cstheme="minorHAnsi"/>
          <w:lang w:val="en-GB"/>
        </w:rPr>
        <w:t xml:space="preserve">Ezekiel 4 </w:t>
      </w:r>
      <w:r>
        <w:rPr>
          <w:rFonts w:cstheme="minorHAnsi"/>
          <w:lang w:val="en-GB"/>
        </w:rPr>
        <w:t>a</w:t>
      </w:r>
      <w:r w:rsidRPr="006A7612">
        <w:rPr>
          <w:rFonts w:cstheme="minorHAnsi"/>
          <w:lang w:val="en-GB"/>
        </w:rPr>
        <w:t>nd</w:t>
      </w:r>
      <w:r>
        <w:rPr>
          <w:rFonts w:cstheme="minorHAnsi"/>
          <w:lang w:val="en-GB"/>
        </w:rPr>
        <w:t xml:space="preserve"> 5,”</w:t>
      </w:r>
      <w:r>
        <w:rPr>
          <w:rFonts w:cstheme="minorHAnsi"/>
        </w:rPr>
        <w:t xml:space="preserve"> 132</w:t>
      </w:r>
      <w:r w:rsidR="001943CB">
        <w:rPr>
          <w:rFonts w:cstheme="minorHAnsi"/>
        </w:rPr>
        <w:t>–</w:t>
      </w:r>
      <w:r>
        <w:rPr>
          <w:rFonts w:cstheme="minorHAnsi"/>
        </w:rPr>
        <w:t>35.</w:t>
      </w:r>
    </w:p>
  </w:footnote>
  <w:footnote w:id="165">
    <w:p w14:paraId="3A6CD4F3" w14:textId="16963914" w:rsidR="003F0CBC" w:rsidRPr="00105C24" w:rsidRDefault="003F0CBC" w:rsidP="003F0CBC">
      <w:pPr>
        <w:pStyle w:val="FootnoteText"/>
        <w:rPr>
          <w:lang w:val="de-DE"/>
        </w:rPr>
      </w:pPr>
      <w:r>
        <w:rPr>
          <w:rStyle w:val="FootnoteReference"/>
        </w:rPr>
        <w:footnoteRef/>
      </w:r>
      <w:r w:rsidRPr="00105C24">
        <w:rPr>
          <w:lang w:val="de-DE"/>
        </w:rPr>
        <w:t xml:space="preserve"> See Uehlinger, “Zeichne”; </w:t>
      </w:r>
      <w:r w:rsidR="00D246B7" w:rsidRPr="00105C24">
        <w:rPr>
          <w:lang w:val="de-DE"/>
        </w:rPr>
        <w:t>Uehlinger,</w:t>
      </w:r>
      <w:r w:rsidR="00674AAD">
        <w:rPr>
          <w:lang w:val="de-DE"/>
        </w:rPr>
        <w:t xml:space="preserve"> </w:t>
      </w:r>
      <w:r w:rsidRPr="00105C24">
        <w:rPr>
          <w:lang w:val="de-DE"/>
        </w:rPr>
        <w:t>“Vision.”</w:t>
      </w:r>
    </w:p>
  </w:footnote>
  <w:footnote w:id="166">
    <w:p w14:paraId="18B67AD0" w14:textId="55037D50" w:rsidR="00D43566" w:rsidRPr="00105C24" w:rsidRDefault="00D43566" w:rsidP="00D43566">
      <w:pPr>
        <w:pStyle w:val="FootnoteText"/>
        <w:rPr>
          <w:lang w:val="de-DE"/>
        </w:rPr>
      </w:pPr>
      <w:r>
        <w:rPr>
          <w:rStyle w:val="FootnoteReference"/>
        </w:rPr>
        <w:footnoteRef/>
      </w:r>
      <w:r w:rsidRPr="00105C24">
        <w:rPr>
          <w:lang w:val="de-DE"/>
        </w:rPr>
        <w:t xml:space="preserve"> Uehlinger, “Zeichne,” 188</w:t>
      </w:r>
      <w:r w:rsidR="001943CB">
        <w:rPr>
          <w:lang w:val="de-DE"/>
        </w:rPr>
        <w:t>–</w:t>
      </w:r>
      <w:r w:rsidRPr="00105C24">
        <w:rPr>
          <w:lang w:val="de-DE"/>
        </w:rPr>
        <w:t>90.</w:t>
      </w:r>
    </w:p>
  </w:footnote>
  <w:footnote w:id="167">
    <w:p w14:paraId="055A8978" w14:textId="0F200983" w:rsidR="00A27836" w:rsidRPr="00A27836" w:rsidRDefault="00A27836">
      <w:pPr>
        <w:pStyle w:val="FootnoteText"/>
      </w:pPr>
      <w:r>
        <w:rPr>
          <w:rStyle w:val="FootnoteReference"/>
        </w:rPr>
        <w:footnoteRef/>
      </w:r>
      <w:r>
        <w:t xml:space="preserve"> See </w:t>
      </w:r>
      <w:r>
        <w:rPr>
          <w:i/>
          <w:iCs/>
        </w:rPr>
        <w:t>ANEP</w:t>
      </w:r>
      <w:r>
        <w:t>, 373.</w:t>
      </w:r>
    </w:p>
  </w:footnote>
  <w:footnote w:id="168">
    <w:p w14:paraId="2FCDFF3D" w14:textId="62CE0232" w:rsidR="005F13DB" w:rsidRDefault="005F13DB">
      <w:pPr>
        <w:pStyle w:val="FootnoteText"/>
      </w:pPr>
      <w:r>
        <w:rPr>
          <w:rStyle w:val="FootnoteReference"/>
        </w:rPr>
        <w:footnoteRef/>
      </w:r>
      <w:r>
        <w:t xml:space="preserve"> See the </w:t>
      </w:r>
      <w:r w:rsidR="00FC2893">
        <w:t xml:space="preserve">verse-by-verse </w:t>
      </w:r>
      <w:r>
        <w:t>commentary on 3:18</w:t>
      </w:r>
      <w:r w:rsidR="001943CB">
        <w:t>–</w:t>
      </w:r>
      <w:r>
        <w:t>19.</w:t>
      </w:r>
    </w:p>
  </w:footnote>
  <w:footnote w:id="169">
    <w:p w14:paraId="043C98C3" w14:textId="31CDFD90" w:rsidR="00D174E8" w:rsidRPr="000C5448" w:rsidRDefault="00D174E8">
      <w:pPr>
        <w:pStyle w:val="FootnoteText"/>
      </w:pPr>
      <w:r>
        <w:rPr>
          <w:rStyle w:val="FootnoteReference"/>
        </w:rPr>
        <w:footnoteRef/>
      </w:r>
      <w:r>
        <w:t xml:space="preserve"> </w:t>
      </w:r>
      <w:r w:rsidR="000C5448">
        <w:t xml:space="preserve">Wu, </w:t>
      </w:r>
      <w:r w:rsidR="000C5448">
        <w:rPr>
          <w:i/>
          <w:iCs/>
        </w:rPr>
        <w:t>Honor</w:t>
      </w:r>
      <w:r w:rsidR="000C5448">
        <w:t>, 166</w:t>
      </w:r>
      <w:r w:rsidR="0036093E">
        <w:t>.</w:t>
      </w:r>
    </w:p>
  </w:footnote>
  <w:footnote w:id="170">
    <w:p w14:paraId="29F1675E" w14:textId="4F3F2411" w:rsidR="00DD3F3D" w:rsidRDefault="00DD3F3D">
      <w:pPr>
        <w:pStyle w:val="FootnoteText"/>
      </w:pPr>
      <w:r>
        <w:rPr>
          <w:rStyle w:val="FootnoteReference"/>
        </w:rPr>
        <w:footnoteRef/>
      </w:r>
      <w:r>
        <w:t xml:space="preserve"> </w:t>
      </w:r>
      <w:r w:rsidR="00DD2A31">
        <w:t>See</w:t>
      </w:r>
      <w:r w:rsidR="00FE273C">
        <w:t xml:space="preserve"> Compton, “Sign-Acts,”</w:t>
      </w:r>
      <w:r w:rsidR="00FE273C" w:rsidRPr="009625F5">
        <w:rPr>
          <w:rFonts w:cstheme="minorHAnsi"/>
          <w:sz w:val="22"/>
          <w:szCs w:val="22"/>
          <w:lang w:val="en-GB"/>
        </w:rPr>
        <w:t xml:space="preserve"> </w:t>
      </w:r>
      <w:r w:rsidR="00C732FE">
        <w:t>67</w:t>
      </w:r>
      <w:r w:rsidR="001943CB">
        <w:t>–</w:t>
      </w:r>
      <w:r w:rsidR="00C732FE">
        <w:t>70.</w:t>
      </w:r>
    </w:p>
  </w:footnote>
  <w:footnote w:id="171">
    <w:p w14:paraId="40064D5E" w14:textId="25AF7064" w:rsidR="00D86A43" w:rsidRDefault="00D86A43">
      <w:pPr>
        <w:pStyle w:val="FootnoteText"/>
      </w:pPr>
      <w:r>
        <w:rPr>
          <w:rStyle w:val="FootnoteReference"/>
        </w:rPr>
        <w:footnoteRef/>
      </w:r>
      <w:r>
        <w:t xml:space="preserve"> So Crouch, </w:t>
      </w:r>
      <w:r w:rsidR="001363AE">
        <w:t>“</w:t>
      </w:r>
      <w:r w:rsidR="00DA1A87">
        <w:t>Immobility.”</w:t>
      </w:r>
    </w:p>
  </w:footnote>
  <w:footnote w:id="172">
    <w:p w14:paraId="6BE85D28" w14:textId="6EA83251" w:rsidR="00F33667" w:rsidRPr="00F33667" w:rsidRDefault="00F33667">
      <w:pPr>
        <w:pStyle w:val="FootnoteText"/>
      </w:pPr>
      <w:r>
        <w:rPr>
          <w:rStyle w:val="FootnoteReference"/>
        </w:rPr>
        <w:footnoteRef/>
      </w:r>
      <w:r>
        <w:t xml:space="preserve"> See, e.g., </w:t>
      </w:r>
      <w:r>
        <w:rPr>
          <w:i/>
          <w:iCs/>
        </w:rPr>
        <w:t xml:space="preserve">DSS </w:t>
      </w:r>
      <w:r>
        <w:t>1:</w:t>
      </w:r>
      <w:r w:rsidR="000C64EE">
        <w:t>550</w:t>
      </w:r>
      <w:r w:rsidR="001943CB">
        <w:t>–</w:t>
      </w:r>
      <w:r w:rsidR="000C64EE">
        <w:t>51.</w:t>
      </w:r>
      <w:r w:rsidR="00AD663B">
        <w:t xml:space="preserve"> “Damascus” </w:t>
      </w:r>
      <w:r w:rsidR="00DB70C8">
        <w:t>may</w:t>
      </w:r>
      <w:r w:rsidR="00DC3B0B">
        <w:t xml:space="preserve"> </w:t>
      </w:r>
      <w:r w:rsidR="00AD663B">
        <w:t xml:space="preserve">stand for </w:t>
      </w:r>
      <w:r w:rsidR="00DC3B0B">
        <w:t xml:space="preserve">Babylon </w:t>
      </w:r>
      <w:r w:rsidR="00E23053">
        <w:t>(</w:t>
      </w:r>
      <w:r w:rsidR="00304290">
        <w:t xml:space="preserve">see </w:t>
      </w:r>
      <w:r w:rsidR="00E23053">
        <w:t xml:space="preserve">Amos 5:27) </w:t>
      </w:r>
      <w:r w:rsidR="00DC3B0B">
        <w:t xml:space="preserve">or </w:t>
      </w:r>
      <w:r w:rsidR="00304290">
        <w:t xml:space="preserve">for </w:t>
      </w:r>
      <w:r w:rsidR="00DC3B0B">
        <w:t>Qumran.</w:t>
      </w:r>
    </w:p>
  </w:footnote>
  <w:footnote w:id="173">
    <w:p w14:paraId="39FA4278" w14:textId="406C1594" w:rsidR="00790EAA" w:rsidRDefault="00790EAA">
      <w:pPr>
        <w:pStyle w:val="FootnoteText"/>
      </w:pPr>
      <w:r>
        <w:rPr>
          <w:rStyle w:val="FootnoteReference"/>
        </w:rPr>
        <w:footnoteRef/>
      </w:r>
      <w:r>
        <w:t xml:space="preserve"> See </w:t>
      </w:r>
      <w:r w:rsidR="00E479AC">
        <w:t>the “Application and Devotional Implications” below.</w:t>
      </w:r>
    </w:p>
  </w:footnote>
  <w:footnote w:id="174">
    <w:p w14:paraId="64B55BA7" w14:textId="37157DED" w:rsidR="00AC442C" w:rsidRPr="005A4D76" w:rsidRDefault="00AC442C">
      <w:pPr>
        <w:pStyle w:val="FootnoteText"/>
      </w:pPr>
      <w:r>
        <w:rPr>
          <w:rStyle w:val="FootnoteReference"/>
        </w:rPr>
        <w:footnoteRef/>
      </w:r>
      <w:r>
        <w:t xml:space="preserve"> Cf.</w:t>
      </w:r>
      <w:r w:rsidR="00D12984">
        <w:t xml:space="preserve"> </w:t>
      </w:r>
      <w:r w:rsidR="00D12984">
        <w:rPr>
          <w:rFonts w:cstheme="minorHAnsi"/>
          <w:rtl/>
          <w:lang w:bidi="he-IL"/>
        </w:rPr>
        <w:t>א</w:t>
      </w:r>
      <w:r w:rsidR="00507FF3">
        <w:rPr>
          <w:rFonts w:cstheme="minorHAnsi"/>
          <w:rtl/>
          <w:lang w:bidi="he-IL"/>
        </w:rPr>
        <w:t>ֶחָד</w:t>
      </w:r>
      <w:r>
        <w:t xml:space="preserve"> </w:t>
      </w:r>
      <w:r w:rsidR="005A4D76">
        <w:rPr>
          <w:rFonts w:cstheme="minorHAnsi"/>
        </w:rPr>
        <w:t xml:space="preserve">in (e.g.) </w:t>
      </w:r>
      <w:r w:rsidR="002557F9">
        <w:rPr>
          <w:rFonts w:cstheme="minorHAnsi"/>
        </w:rPr>
        <w:t>8:7, 8.</w:t>
      </w:r>
    </w:p>
  </w:footnote>
  <w:footnote w:id="175">
    <w:p w14:paraId="4F3F053B" w14:textId="4254AFDE" w:rsidR="00386F57" w:rsidRDefault="00386F57">
      <w:pPr>
        <w:pStyle w:val="FootnoteText"/>
      </w:pPr>
      <w:r>
        <w:rPr>
          <w:rStyle w:val="FootnoteReference"/>
        </w:rPr>
        <w:footnoteRef/>
      </w:r>
      <w:r>
        <w:t xml:space="preserve"> See Phinney, “</w:t>
      </w:r>
      <w:r w:rsidRPr="002F7537">
        <w:rPr>
          <w:rFonts w:ascii="Calibri" w:hAnsi="Calibri" w:cs="Calibri"/>
          <w:color w:val="000000" w:themeColor="text1"/>
          <w:lang w:val="en-GB"/>
        </w:rPr>
        <w:t>Prophetic Objection</w:t>
      </w:r>
      <w:r>
        <w:rPr>
          <w:rFonts w:ascii="Calibri" w:hAnsi="Calibri" w:cs="Calibri"/>
          <w:color w:val="000000" w:themeColor="text1"/>
          <w:lang w:val="en-GB"/>
        </w:rPr>
        <w:t>.”</w:t>
      </w:r>
    </w:p>
  </w:footnote>
  <w:footnote w:id="176">
    <w:p w14:paraId="777EAB9C" w14:textId="2D387285" w:rsidR="001E0AAC" w:rsidRDefault="001E0AAC">
      <w:pPr>
        <w:pStyle w:val="FootnoteText"/>
      </w:pPr>
      <w:r>
        <w:rPr>
          <w:rStyle w:val="FootnoteReference"/>
        </w:rPr>
        <w:footnoteRef/>
      </w:r>
      <w:r>
        <w:t xml:space="preserve"> </w:t>
      </w:r>
      <w:r w:rsidR="00C30B97">
        <w:t xml:space="preserve">Ludwig </w:t>
      </w:r>
      <w:r>
        <w:t>Feuerbach</w:t>
      </w:r>
      <w:r w:rsidR="00C30B97">
        <w:t>: see, e.g.,</w:t>
      </w:r>
      <w:r w:rsidR="0029125D">
        <w:t xml:space="preserve"> </w:t>
      </w:r>
      <w:r w:rsidR="00C30B97">
        <w:t xml:space="preserve">Cherno, </w:t>
      </w:r>
      <w:r w:rsidR="00360C87">
        <w:t>“Man Is What He Eats.”</w:t>
      </w:r>
    </w:p>
  </w:footnote>
  <w:footnote w:id="177">
    <w:p w14:paraId="075F8273" w14:textId="04C8A8DB" w:rsidR="009D5063" w:rsidRDefault="0063441A" w:rsidP="00A45F0F">
      <w:pPr>
        <w:pStyle w:val="FootnoteText"/>
      </w:pPr>
      <w:r>
        <w:rPr>
          <w:rStyle w:val="FootnoteReference"/>
        </w:rPr>
        <w:footnoteRef/>
      </w:r>
      <w:r>
        <w:t xml:space="preserve"> See, e.g., </w:t>
      </w:r>
      <w:r w:rsidR="00776B2D">
        <w:t xml:space="preserve">Marta </w:t>
      </w:r>
      <w:r>
        <w:t>Portillo</w:t>
      </w:r>
      <w:r w:rsidR="009D5063" w:rsidRPr="001005B7">
        <w:t xml:space="preserve"> et al.</w:t>
      </w:r>
      <w:r w:rsidR="00776B2D">
        <w:t>,</w:t>
      </w:r>
      <w:r w:rsidR="009D5063" w:rsidRPr="001005B7">
        <w:t xml:space="preserve"> “Early Neolithic Household Behavior at Tell </w:t>
      </w:r>
      <w:r w:rsidR="009D5063" w:rsidRPr="001005B7">
        <w:t>Seker al-Aheimar (Upper Khabur, Syria)</w:t>
      </w:r>
      <w:r w:rsidR="00776B2D">
        <w:t>,</w:t>
      </w:r>
      <w:r w:rsidR="009D5063" w:rsidRPr="001005B7">
        <w:t xml:space="preserve">” </w:t>
      </w:r>
      <w:r w:rsidR="009D5063" w:rsidRPr="001005B7">
        <w:rPr>
          <w:i/>
        </w:rPr>
        <w:t>Journal of Archaeological Science</w:t>
      </w:r>
      <w:r w:rsidR="009D5063" w:rsidRPr="001005B7">
        <w:t xml:space="preserve"> 42 (2014): 107–18</w:t>
      </w:r>
      <w:r w:rsidR="00776B2D">
        <w:t xml:space="preserve">; Wendy </w:t>
      </w:r>
      <w:r w:rsidR="009D5063" w:rsidRPr="001005B7">
        <w:t>Smith, “Fuel for Thought: Archaeobotanical Evidence for the Use of Alternatives to Wood Fuel in Late Antique North Africa</w:t>
      </w:r>
      <w:r w:rsidR="00A45F0F">
        <w:t>,</w:t>
      </w:r>
      <w:r w:rsidR="009D5063" w:rsidRPr="001005B7">
        <w:t xml:space="preserve">” </w:t>
      </w:r>
      <w:r w:rsidR="009D5063" w:rsidRPr="001005B7">
        <w:rPr>
          <w:i/>
        </w:rPr>
        <w:t>Journal of Mediterranean Archaeology</w:t>
      </w:r>
      <w:r w:rsidR="009D5063" w:rsidRPr="001005B7">
        <w:t xml:space="preserve"> 11 (1998): 191–205.</w:t>
      </w:r>
    </w:p>
  </w:footnote>
  <w:footnote w:id="178">
    <w:p w14:paraId="0C781340" w14:textId="4F8572EF" w:rsidR="00633A2E" w:rsidRDefault="00633A2E">
      <w:pPr>
        <w:pStyle w:val="FootnoteText"/>
      </w:pPr>
      <w:r>
        <w:rPr>
          <w:rStyle w:val="FootnoteReference"/>
        </w:rPr>
        <w:footnoteRef/>
      </w:r>
      <w:r>
        <w:t xml:space="preserve"> </w:t>
      </w:r>
      <w:r w:rsidR="00FB4F5B">
        <w:t xml:space="preserve">Lyons, </w:t>
      </w:r>
      <w:r w:rsidR="00827B2F">
        <w:t>“</w:t>
      </w:r>
      <w:r w:rsidR="00827B2F" w:rsidRPr="00F113C0">
        <w:rPr>
          <w:rFonts w:cstheme="minorHAnsi"/>
          <w:lang w:val="en-GB"/>
        </w:rPr>
        <w:t>(Model) City</w:t>
      </w:r>
      <w:r w:rsidR="00827B2F">
        <w:rPr>
          <w:rFonts w:cstheme="minorHAnsi"/>
          <w:lang w:val="en-GB"/>
        </w:rPr>
        <w:t>,”</w:t>
      </w:r>
      <w:r w:rsidR="00E61CA1">
        <w:rPr>
          <w:rFonts w:cstheme="minorHAnsi"/>
          <w:lang w:val="en-GB"/>
        </w:rPr>
        <w:t xml:space="preserve"> 619</w:t>
      </w:r>
      <w:r w:rsidR="001943CB">
        <w:rPr>
          <w:rFonts w:cstheme="minorHAnsi"/>
          <w:lang w:val="en-GB"/>
        </w:rPr>
        <w:t>–</w:t>
      </w:r>
      <w:r w:rsidR="00E61CA1">
        <w:rPr>
          <w:rFonts w:cstheme="minorHAnsi"/>
          <w:lang w:val="en-GB"/>
        </w:rPr>
        <w:t xml:space="preserve">22. </w:t>
      </w:r>
    </w:p>
  </w:footnote>
  <w:footnote w:id="179">
    <w:p w14:paraId="6B9388B9" w14:textId="77777777" w:rsidR="00E24E55" w:rsidRDefault="00E24E55" w:rsidP="00E24E55">
      <w:pPr>
        <w:pStyle w:val="FootnoteText"/>
      </w:pPr>
      <w:r>
        <w:rPr>
          <w:rStyle w:val="FootnoteReference"/>
        </w:rPr>
        <w:footnoteRef/>
      </w:r>
      <w:r>
        <w:t xml:space="preserve"> Beach, “Actions.” 210.</w:t>
      </w:r>
    </w:p>
  </w:footnote>
  <w:footnote w:id="180">
    <w:p w14:paraId="2C0B3A61" w14:textId="77777777" w:rsidR="00D6240C" w:rsidRPr="000C0395" w:rsidRDefault="00D6240C" w:rsidP="00D6240C">
      <w:pPr>
        <w:pStyle w:val="FootnoteText"/>
      </w:pPr>
      <w:r>
        <w:rPr>
          <w:rStyle w:val="FootnoteReference"/>
        </w:rPr>
        <w:footnoteRef/>
      </w:r>
      <w:r>
        <w:t xml:space="preserve"> On the interpretation of </w:t>
      </w:r>
      <w:r>
        <w:rPr>
          <w:i/>
          <w:iCs/>
        </w:rPr>
        <w:t xml:space="preserve">b. </w:t>
      </w:r>
      <w:r>
        <w:rPr>
          <w:i/>
          <w:iCs/>
        </w:rPr>
        <w:t>Berakot</w:t>
      </w:r>
      <w:r>
        <w:t xml:space="preserve"> 32b, see Bokser, “Wall.”</w:t>
      </w:r>
    </w:p>
  </w:footnote>
  <w:footnote w:id="181">
    <w:p w14:paraId="4A491DC0" w14:textId="6A1FF283" w:rsidR="00C30578" w:rsidRPr="00C30578" w:rsidRDefault="007D2ECC" w:rsidP="00C30578">
      <w:pPr>
        <w:pStyle w:val="FootnoteText"/>
      </w:pPr>
      <w:r>
        <w:rPr>
          <w:rStyle w:val="FootnoteReference"/>
        </w:rPr>
        <w:footnoteRef/>
      </w:r>
      <w:r>
        <w:t xml:space="preserve"> </w:t>
      </w:r>
      <w:r w:rsidR="003808D1">
        <w:rPr>
          <w:rFonts w:cstheme="minorHAnsi"/>
          <w:rtl/>
          <w:lang w:bidi="he-IL"/>
        </w:rPr>
        <w:t>הֲ</w:t>
      </w:r>
      <w:r w:rsidR="00284941">
        <w:rPr>
          <w:rFonts w:cstheme="minorHAnsi"/>
          <w:rtl/>
          <w:lang w:bidi="he-IL"/>
        </w:rPr>
        <w:t>מָנְכֶ</w:t>
      </w:r>
      <w:r w:rsidR="00D341E8">
        <w:rPr>
          <w:rFonts w:cstheme="minorHAnsi"/>
          <w:rtl/>
          <w:lang w:bidi="he-IL"/>
        </w:rPr>
        <w:t>ם</w:t>
      </w:r>
      <w:r w:rsidR="00C30578">
        <w:rPr>
          <w:rFonts w:cstheme="minorHAnsi"/>
        </w:rPr>
        <w:t xml:space="preserve"> might be a form of the noun</w:t>
      </w:r>
      <w:r w:rsidR="00D341E8">
        <w:rPr>
          <w:rFonts w:cstheme="minorHAnsi"/>
        </w:rPr>
        <w:t xml:space="preserve"> </w:t>
      </w:r>
      <w:r w:rsidR="00DB5061">
        <w:rPr>
          <w:rFonts w:cstheme="minorHAnsi"/>
          <w:rtl/>
          <w:lang w:bidi="he-IL"/>
        </w:rPr>
        <w:t>הָמוׄן</w:t>
      </w:r>
      <w:r w:rsidR="00C30578">
        <w:rPr>
          <w:rFonts w:cstheme="minorHAnsi"/>
        </w:rPr>
        <w:t xml:space="preserve"> or might be inf</w:t>
      </w:r>
      <w:r w:rsidR="00936A02">
        <w:rPr>
          <w:rFonts w:cstheme="minorHAnsi"/>
        </w:rPr>
        <w:t>.</w:t>
      </w:r>
      <w:r w:rsidR="00C30578">
        <w:rPr>
          <w:rFonts w:cstheme="minorHAnsi"/>
        </w:rPr>
        <w:t xml:space="preserve"> from a verb</w:t>
      </w:r>
      <w:r w:rsidR="00DB5061">
        <w:rPr>
          <w:rFonts w:cstheme="minorHAnsi"/>
        </w:rPr>
        <w:t xml:space="preserve"> </w:t>
      </w:r>
      <w:r w:rsidR="00DB5061">
        <w:rPr>
          <w:rFonts w:cstheme="minorHAnsi"/>
          <w:rtl/>
          <w:lang w:bidi="he-IL"/>
        </w:rPr>
        <w:t>הָמ</w:t>
      </w:r>
      <w:r w:rsidR="00747F63">
        <w:rPr>
          <w:rFonts w:cstheme="minorHAnsi"/>
          <w:rtl/>
          <w:lang w:bidi="he-IL"/>
        </w:rPr>
        <w:t>ַן</w:t>
      </w:r>
      <w:r w:rsidR="00C30578">
        <w:rPr>
          <w:rFonts w:cstheme="minorHAnsi"/>
        </w:rPr>
        <w:t>, a</w:t>
      </w:r>
      <w:r w:rsidR="00C30578">
        <w:rPr>
          <w:rFonts w:cstheme="minorHAnsi"/>
          <w:i/>
          <w:iCs/>
        </w:rPr>
        <w:t xml:space="preserve"> </w:t>
      </w:r>
      <w:r w:rsidR="00C30578">
        <w:rPr>
          <w:rFonts w:cstheme="minorHAnsi"/>
        </w:rPr>
        <w:t>byform</w:t>
      </w:r>
      <w:r w:rsidR="00B76FA6">
        <w:rPr>
          <w:rFonts w:cstheme="minorHAnsi"/>
        </w:rPr>
        <w:t>*</w:t>
      </w:r>
      <w:r w:rsidR="00C30578">
        <w:rPr>
          <w:rFonts w:cstheme="minorHAnsi"/>
        </w:rPr>
        <w:t xml:space="preserve"> of</w:t>
      </w:r>
      <w:r w:rsidR="00747F63">
        <w:rPr>
          <w:rFonts w:cstheme="minorHAnsi"/>
        </w:rPr>
        <w:t xml:space="preserve"> </w:t>
      </w:r>
      <w:r w:rsidR="00747F63">
        <w:rPr>
          <w:rFonts w:cstheme="minorHAnsi"/>
          <w:rtl/>
          <w:lang w:bidi="he-IL"/>
        </w:rPr>
        <w:t>הָמָה</w:t>
      </w:r>
      <w:r w:rsidR="002D4225">
        <w:rPr>
          <w:rFonts w:cstheme="minorHAnsi"/>
        </w:rPr>
        <w:t xml:space="preserve">, </w:t>
      </w:r>
      <w:r w:rsidR="00FB7B7F">
        <w:rPr>
          <w:rFonts w:cstheme="minorHAnsi"/>
        </w:rPr>
        <w:t>suggesting</w:t>
      </w:r>
      <w:r w:rsidR="002D4225">
        <w:rPr>
          <w:rFonts w:cstheme="minorHAnsi"/>
        </w:rPr>
        <w:t xml:space="preserve"> “be boisterous.”</w:t>
      </w:r>
      <w:r w:rsidR="00C30578">
        <w:rPr>
          <w:rFonts w:cstheme="minorHAnsi"/>
        </w:rPr>
        <w:t xml:space="preserve"> The noun is a favorite in Ezekiel, usually denoting “horde” (e.g., 7:11</w:t>
      </w:r>
      <w:r w:rsidR="001943CB">
        <w:rPr>
          <w:rFonts w:cstheme="minorHAnsi"/>
        </w:rPr>
        <w:t>–</w:t>
      </w:r>
      <w:r w:rsidR="00C30578">
        <w:rPr>
          <w:rFonts w:cstheme="minorHAnsi"/>
        </w:rPr>
        <w:t xml:space="preserve">14). </w:t>
      </w:r>
      <w:r w:rsidR="00266F0C">
        <w:rPr>
          <w:sz w:val="18"/>
          <w:szCs w:val="18"/>
        </w:rPr>
        <w:t>LXX</w:t>
      </w:r>
      <w:r w:rsidR="00C30578">
        <w:rPr>
          <w:rFonts w:cstheme="minorHAnsi"/>
        </w:rPr>
        <w:t xml:space="preserve"> “starting point” paraphrases in light of the context, with the implication that Jerusalem followed the nations rather than Yahweh’s laws and rulings.</w:t>
      </w:r>
      <w:r w:rsidR="002B16BB">
        <w:rPr>
          <w:rFonts w:cstheme="minorHAnsi"/>
        </w:rPr>
        <w:t xml:space="preserve"> </w:t>
      </w:r>
      <w:r w:rsidR="00FA048D">
        <w:rPr>
          <w:rFonts w:cstheme="minorHAnsi"/>
        </w:rPr>
        <w:t>“Your” is plural, here and</w:t>
      </w:r>
      <w:r w:rsidR="00E64C41">
        <w:rPr>
          <w:rFonts w:cstheme="minorHAnsi"/>
        </w:rPr>
        <w:t xml:space="preserve"> in </w:t>
      </w:r>
      <w:r w:rsidR="009926DC">
        <w:rPr>
          <w:rFonts w:cstheme="minorHAnsi"/>
        </w:rPr>
        <w:t>5:7</w:t>
      </w:r>
      <w:r w:rsidR="00FA048D">
        <w:rPr>
          <w:rFonts w:cstheme="minorHAnsi"/>
        </w:rPr>
        <w:t>.</w:t>
      </w:r>
    </w:p>
  </w:footnote>
  <w:footnote w:id="182">
    <w:p w14:paraId="526091BB" w14:textId="3FB4BDCA" w:rsidR="00DD2490" w:rsidRPr="00651F4A" w:rsidRDefault="00DD2490" w:rsidP="00651F4A">
      <w:pPr>
        <w:pStyle w:val="FootnoteText"/>
      </w:pPr>
      <w:r>
        <w:rPr>
          <w:rStyle w:val="FootnoteReference"/>
        </w:rPr>
        <w:footnoteRef/>
      </w:r>
      <w:r>
        <w:t xml:space="preserve"> </w:t>
      </w:r>
      <w:r>
        <w:rPr>
          <w:rFonts w:cstheme="minorHAnsi"/>
        </w:rPr>
        <w:t xml:space="preserve">In </w:t>
      </w:r>
      <w:r w:rsidR="008D3B01">
        <w:rPr>
          <w:rFonts w:cstheme="minorHAnsi"/>
        </w:rPr>
        <w:t>5:</w:t>
      </w:r>
      <w:r>
        <w:rPr>
          <w:rFonts w:cstheme="minorHAnsi"/>
        </w:rPr>
        <w:t xml:space="preserve">2 the verb was </w:t>
      </w:r>
      <w:r>
        <w:rPr>
          <w:rFonts w:cstheme="minorHAnsi"/>
        </w:rPr>
        <w:t>qal, here it is piel, which perhaps suggests a</w:t>
      </w:r>
      <w:r w:rsidR="00651F4A">
        <w:rPr>
          <w:rFonts w:cstheme="minorHAnsi"/>
        </w:rPr>
        <w:t>n</w:t>
      </w:r>
      <w:r>
        <w:rPr>
          <w:rFonts w:cstheme="minorHAnsi"/>
        </w:rPr>
        <w:t xml:space="preserve"> emphasis on the end result or reflects the more metaphorical sense of the verb (see </w:t>
      </w:r>
      <w:r>
        <w:rPr>
          <w:rFonts w:cstheme="minorHAnsi"/>
          <w:i/>
          <w:iCs/>
        </w:rPr>
        <w:t xml:space="preserve">IBHS </w:t>
      </w:r>
      <w:r>
        <w:rPr>
          <w:rFonts w:cstheme="minorHAnsi"/>
        </w:rPr>
        <w:t>24.3.2b).</w:t>
      </w:r>
    </w:p>
  </w:footnote>
  <w:footnote w:id="183">
    <w:p w14:paraId="6F6BD6BE" w14:textId="4BA89A90" w:rsidR="000E63B2" w:rsidRDefault="000E63B2">
      <w:pPr>
        <w:pStyle w:val="FootnoteText"/>
      </w:pPr>
      <w:r>
        <w:rPr>
          <w:rStyle w:val="FootnoteReference"/>
        </w:rPr>
        <w:footnoteRef/>
      </w:r>
      <w:r>
        <w:t xml:space="preserve"> </w:t>
      </w:r>
      <w:r w:rsidR="004237D9">
        <w:t>Rom-</w:t>
      </w:r>
      <w:r w:rsidR="004237D9">
        <w:t xml:space="preserve">Shiloni </w:t>
      </w:r>
      <w:r w:rsidR="003B428D">
        <w:t>(e.g., “</w:t>
      </w:r>
      <w:r w:rsidR="00074C22">
        <w:t>Sh</w:t>
      </w:r>
      <w:r w:rsidR="003B428D">
        <w:t xml:space="preserve">ifts,” 139) </w:t>
      </w:r>
      <w:r w:rsidR="004237D9">
        <w:t xml:space="preserve">argues that Ezekiel </w:t>
      </w:r>
      <w:r w:rsidR="00E2568E">
        <w:t xml:space="preserve">is more negative about the rebellious Jerusalem community than about the </w:t>
      </w:r>
      <w:r w:rsidR="00E96407">
        <w:t xml:space="preserve">rebellious Kebarite community </w:t>
      </w:r>
    </w:p>
  </w:footnote>
  <w:footnote w:id="184">
    <w:p w14:paraId="723167F9" w14:textId="3C0E7994" w:rsidR="001746E8" w:rsidRDefault="001746E8" w:rsidP="00080BE5">
      <w:pPr>
        <w:pStyle w:val="FootnoteText"/>
      </w:pPr>
      <w:r>
        <w:rPr>
          <w:rStyle w:val="FootnoteReference"/>
        </w:rPr>
        <w:footnoteRef/>
      </w:r>
      <w:r>
        <w:t xml:space="preserve"> </w:t>
      </w:r>
      <w:r w:rsidR="00827B9C">
        <w:t xml:space="preserve">Cf. </w:t>
      </w:r>
      <w:r w:rsidRPr="001005B7">
        <w:t>W. Eugene</w:t>
      </w:r>
      <w:r w:rsidR="00827B9C">
        <w:t xml:space="preserve"> March,</w:t>
      </w:r>
      <w:r w:rsidRPr="001005B7">
        <w:t xml:space="preserve"> “</w:t>
      </w:r>
      <w:r w:rsidRPr="001005B7">
        <w:t>Lākēn: Its Functions and Meanings</w:t>
      </w:r>
      <w:r w:rsidR="00080BE5">
        <w:t>,</w:t>
      </w:r>
      <w:r w:rsidRPr="001005B7">
        <w:t xml:space="preserve">” </w:t>
      </w:r>
      <w:r w:rsidR="00080BE5">
        <w:t>i</w:t>
      </w:r>
      <w:r w:rsidRPr="001005B7">
        <w:t>n J. Jared Jackson and Martin Kessler, ed.,</w:t>
      </w:r>
      <w:r w:rsidRPr="001005B7">
        <w:rPr>
          <w:i/>
        </w:rPr>
        <w:t xml:space="preserve"> Rhetorical Criticism: Essays in Honor of James Muilenburg</w:t>
      </w:r>
      <w:r w:rsidRPr="001005B7">
        <w:t>, 256–84. Pittsburgh: Pickwick, 1974</w:t>
      </w:r>
      <w:r w:rsidR="00080BE5">
        <w:t xml:space="preserve">), </w:t>
      </w:r>
      <w:r w:rsidR="00DF1C48">
        <w:t>256–84 (274).</w:t>
      </w:r>
    </w:p>
  </w:footnote>
  <w:footnote w:id="185">
    <w:p w14:paraId="74B71B90" w14:textId="3E43E2B8" w:rsidR="006E13C6" w:rsidRPr="004724AF" w:rsidRDefault="006E13C6" w:rsidP="001D4AFD">
      <w:pPr>
        <w:pStyle w:val="FootnoteText"/>
      </w:pPr>
      <w:r>
        <w:rPr>
          <w:rStyle w:val="FootnoteReference"/>
        </w:rPr>
        <w:footnoteRef/>
      </w:r>
      <w:r w:rsidR="0029125D">
        <w:t xml:space="preserve"> </w:t>
      </w:r>
      <w:r w:rsidR="00131649">
        <w:t>Lines 448</w:t>
      </w:r>
      <w:r w:rsidR="001943CB">
        <w:t>–</w:t>
      </w:r>
      <w:r w:rsidR="00131649">
        <w:t xml:space="preserve">49; </w:t>
      </w:r>
      <w:r w:rsidR="001D4AFD">
        <w:t xml:space="preserve">Donald J. </w:t>
      </w:r>
      <w:r>
        <w:t xml:space="preserve">Wiseman, </w:t>
      </w:r>
      <w:r w:rsidR="00C412F0" w:rsidRPr="001D4AFD">
        <w:t>“The Vassal Treaties of Esarhaddon</w:t>
      </w:r>
      <w:r w:rsidR="001D4AFD">
        <w:t>,</w:t>
      </w:r>
      <w:r w:rsidR="00C412F0" w:rsidRPr="001D4AFD">
        <w:t xml:space="preserve">” </w:t>
      </w:r>
      <w:r w:rsidR="00C412F0" w:rsidRPr="001D4AFD">
        <w:rPr>
          <w:i/>
        </w:rPr>
        <w:t>Iraq</w:t>
      </w:r>
      <w:r w:rsidR="00C412F0" w:rsidRPr="001D4AFD">
        <w:t xml:space="preserve"> 20 (1958): 1–99</w:t>
      </w:r>
      <w:r w:rsidR="001D4AFD">
        <w:t xml:space="preserve"> (</w:t>
      </w:r>
      <w:r>
        <w:t xml:space="preserve">62; </w:t>
      </w:r>
      <w:r>
        <w:rPr>
          <w:i/>
          <w:iCs/>
        </w:rPr>
        <w:t>ANET</w:t>
      </w:r>
      <w:r>
        <w:t>, 538</w:t>
      </w:r>
      <w:r w:rsidR="00792A2C">
        <w:t>, has another translation</w:t>
      </w:r>
      <w:r>
        <w:t>.</w:t>
      </w:r>
    </w:p>
  </w:footnote>
  <w:footnote w:id="186">
    <w:p w14:paraId="7B97C149" w14:textId="6FD034FD" w:rsidR="001D6A2F" w:rsidRPr="00152BC7" w:rsidRDefault="001D6A2F">
      <w:pPr>
        <w:pStyle w:val="FootnoteText"/>
      </w:pPr>
      <w:r>
        <w:rPr>
          <w:rStyle w:val="FootnoteReference"/>
        </w:rPr>
        <w:footnoteRef/>
      </w:r>
      <w:r>
        <w:t xml:space="preserve"> And see </w:t>
      </w:r>
      <w:r>
        <w:t xml:space="preserve">Strine, </w:t>
      </w:r>
      <w:r w:rsidR="00152BC7">
        <w:rPr>
          <w:i/>
          <w:iCs/>
        </w:rPr>
        <w:t>Sworn Enemies.</w:t>
      </w:r>
    </w:p>
  </w:footnote>
  <w:footnote w:id="187">
    <w:p w14:paraId="03BFFE95" w14:textId="12C67714" w:rsidR="00DB1A50" w:rsidRPr="00A146B0" w:rsidRDefault="00DB1A50" w:rsidP="00A146B0">
      <w:pPr>
        <w:pStyle w:val="FootnoteText"/>
        <w:rPr>
          <w:rFonts w:cstheme="minorHAnsi"/>
        </w:rPr>
      </w:pPr>
      <w:r>
        <w:rPr>
          <w:rStyle w:val="FootnoteReference"/>
        </w:rPr>
        <w:footnoteRef/>
      </w:r>
      <w:r>
        <w:t xml:space="preserve"> </w:t>
      </w:r>
      <w:r w:rsidR="00B859D6">
        <w:t xml:space="preserve">Cf. </w:t>
      </w:r>
      <w:r>
        <w:rPr>
          <w:rFonts w:cstheme="minorHAnsi"/>
        </w:rPr>
        <w:t>Renz</w:t>
      </w:r>
      <w:r w:rsidR="001D69F2">
        <w:rPr>
          <w:rFonts w:cstheme="minorHAnsi"/>
        </w:rPr>
        <w:t>,</w:t>
      </w:r>
      <w:r>
        <w:rPr>
          <w:rFonts w:cstheme="minorHAnsi"/>
        </w:rPr>
        <w:t xml:space="preserve"> </w:t>
      </w:r>
      <w:r w:rsidR="00E7241F">
        <w:rPr>
          <w:rFonts w:cstheme="minorHAnsi"/>
        </w:rPr>
        <w:t>“Zion Tradition</w:t>
      </w:r>
      <w:r w:rsidR="00A146B0">
        <w:rPr>
          <w:rFonts w:cstheme="minorHAnsi"/>
        </w:rPr>
        <w:t>,</w:t>
      </w:r>
      <w:r w:rsidR="00E7241F">
        <w:rPr>
          <w:rFonts w:cstheme="minorHAnsi"/>
        </w:rPr>
        <w:t xml:space="preserve">” </w:t>
      </w:r>
      <w:r w:rsidR="00A146B0">
        <w:rPr>
          <w:rFonts w:cstheme="minorHAnsi"/>
        </w:rPr>
        <w:t>86.</w:t>
      </w:r>
    </w:p>
  </w:footnote>
  <w:footnote w:id="188">
    <w:p w14:paraId="2AE2609E" w14:textId="5EC3EB8C" w:rsidR="00914669" w:rsidRDefault="00914669">
      <w:pPr>
        <w:pStyle w:val="FootnoteText"/>
      </w:pPr>
      <w:r>
        <w:rPr>
          <w:rStyle w:val="FootnoteReference"/>
        </w:rPr>
        <w:footnoteRef/>
      </w:r>
      <w:r>
        <w:t xml:space="preserve"> See further </w:t>
      </w:r>
      <w:r w:rsidR="00403DFD">
        <w:t>Sweeney, “Ezekiel’s Debate.”</w:t>
      </w:r>
    </w:p>
  </w:footnote>
  <w:footnote w:id="189">
    <w:p w14:paraId="66D42E97" w14:textId="77777777" w:rsidR="002802D7" w:rsidRDefault="002802D7" w:rsidP="002802D7">
      <w:pPr>
        <w:pStyle w:val="FootnoteText"/>
      </w:pPr>
      <w:r>
        <w:rPr>
          <w:rStyle w:val="FootnoteReference"/>
        </w:rPr>
        <w:footnoteRef/>
      </w:r>
      <w:r>
        <w:t xml:space="preserve"> Cf. Fischer, “Pro and Contra.”</w:t>
      </w:r>
    </w:p>
  </w:footnote>
  <w:footnote w:id="190">
    <w:p w14:paraId="27A5AD7E" w14:textId="7F964A1C" w:rsidR="0031018A" w:rsidRPr="00732862" w:rsidRDefault="0031018A">
      <w:pPr>
        <w:pStyle w:val="FootnoteText"/>
      </w:pPr>
      <w:r>
        <w:rPr>
          <w:rStyle w:val="FootnoteReference"/>
        </w:rPr>
        <w:footnoteRef/>
      </w:r>
      <w:r>
        <w:t xml:space="preserve"> See Wong</w:t>
      </w:r>
      <w:r w:rsidR="00732862">
        <w:t xml:space="preserve">, </w:t>
      </w:r>
      <w:r w:rsidR="00732862">
        <w:rPr>
          <w:i/>
          <w:iCs/>
        </w:rPr>
        <w:t>Retribution</w:t>
      </w:r>
      <w:r w:rsidR="00732862">
        <w:t>.</w:t>
      </w:r>
    </w:p>
  </w:footnote>
  <w:footnote w:id="191">
    <w:p w14:paraId="4BFDF04E" w14:textId="7FA4A9FC" w:rsidR="007708BF" w:rsidRDefault="007708BF" w:rsidP="00B4647D">
      <w:pPr>
        <w:pStyle w:val="FootnoteText"/>
      </w:pPr>
      <w:r>
        <w:rPr>
          <w:rStyle w:val="FootnoteReference"/>
        </w:rPr>
        <w:footnoteRef/>
      </w:r>
      <w:r w:rsidRPr="00075671">
        <w:rPr>
          <w:vertAlign w:val="superscript"/>
        </w:rPr>
        <w:t xml:space="preserve"> </w:t>
      </w:r>
      <w:r w:rsidRPr="00075671">
        <w:rPr>
          <w:rFonts w:cstheme="minorHAnsi"/>
          <w:rtl/>
          <w:lang w:bidi="he-IL"/>
        </w:rPr>
        <w:t>יֶאְשְׁמוּ</w:t>
      </w:r>
      <w:r w:rsidRPr="00075671">
        <w:rPr>
          <w:rFonts w:cstheme="minorHAnsi"/>
        </w:rPr>
        <w:t xml:space="preserve"> combines forms from or allusions to </w:t>
      </w:r>
      <w:r w:rsidRPr="00075671">
        <w:rPr>
          <w:rFonts w:cstheme="minorHAnsi"/>
          <w:rtl/>
          <w:lang w:bidi="he-IL"/>
        </w:rPr>
        <w:t>שָׁמַם</w:t>
      </w:r>
      <w:r w:rsidRPr="00075671">
        <w:rPr>
          <w:rFonts w:cstheme="minorHAnsi"/>
          <w:i/>
          <w:iCs/>
        </w:rPr>
        <w:t xml:space="preserve"> </w:t>
      </w:r>
      <w:r w:rsidRPr="00075671">
        <w:rPr>
          <w:rFonts w:cstheme="minorHAnsi"/>
        </w:rPr>
        <w:t xml:space="preserve">and </w:t>
      </w:r>
      <w:r w:rsidRPr="00075671">
        <w:rPr>
          <w:rFonts w:cstheme="minorHAnsi"/>
          <w:rtl/>
          <w:lang w:bidi="he-IL"/>
        </w:rPr>
        <w:t>אָשַׁם</w:t>
      </w:r>
      <w:r w:rsidRPr="00075671">
        <w:rPr>
          <w:rFonts w:cstheme="minorHAnsi"/>
        </w:rPr>
        <w:t xml:space="preserve"> (</w:t>
      </w:r>
      <w:r w:rsidRPr="00075671">
        <w:rPr>
          <w:i/>
          <w:iCs/>
        </w:rPr>
        <w:t>CTAT</w:t>
      </w:r>
      <w:r w:rsidRPr="00075671">
        <w:t>, 28</w:t>
      </w:r>
      <w:r w:rsidR="001943CB">
        <w:t>–</w:t>
      </w:r>
      <w:r w:rsidRPr="00075671">
        <w:t>30).</w:t>
      </w:r>
    </w:p>
  </w:footnote>
  <w:footnote w:id="192">
    <w:p w14:paraId="1794EF02" w14:textId="27717F5F" w:rsidR="00BB7775" w:rsidRPr="000330EF" w:rsidRDefault="00BB7775" w:rsidP="00BB7775">
      <w:pPr>
        <w:rPr>
          <w:sz w:val="20"/>
          <w:szCs w:val="20"/>
        </w:rPr>
      </w:pPr>
      <w:r w:rsidRPr="000330EF">
        <w:rPr>
          <w:rStyle w:val="FootnoteReference"/>
          <w:sz w:val="20"/>
          <w:szCs w:val="20"/>
        </w:rPr>
        <w:footnoteRef/>
      </w:r>
      <w:r w:rsidRPr="000330EF">
        <w:rPr>
          <w:sz w:val="20"/>
          <w:szCs w:val="20"/>
        </w:rPr>
        <w:t xml:space="preserve"> </w:t>
      </w:r>
      <w:r w:rsidR="00166CAE">
        <w:rPr>
          <w:rFonts w:cstheme="minorHAnsi"/>
          <w:sz w:val="20"/>
          <w:szCs w:val="20"/>
          <w:rtl/>
          <w:lang w:bidi="he-IL"/>
        </w:rPr>
        <w:t>בִּפְנֵ</w:t>
      </w:r>
      <w:r w:rsidR="00500C7C">
        <w:rPr>
          <w:rFonts w:cstheme="minorHAnsi"/>
          <w:sz w:val="20"/>
          <w:szCs w:val="20"/>
          <w:rtl/>
          <w:lang w:bidi="he-IL"/>
        </w:rPr>
        <w:t>יהֶם</w:t>
      </w:r>
      <w:r w:rsidR="00500C7C">
        <w:rPr>
          <w:sz w:val="20"/>
          <w:szCs w:val="20"/>
        </w:rPr>
        <w:t>, l</w:t>
      </w:r>
      <w:r w:rsidRPr="000330EF">
        <w:rPr>
          <w:sz w:val="20"/>
          <w:szCs w:val="20"/>
        </w:rPr>
        <w:t>iterally, “at their faces.”</w:t>
      </w:r>
    </w:p>
  </w:footnote>
  <w:footnote w:id="193">
    <w:p w14:paraId="1BB10B8C" w14:textId="71C7F3BF" w:rsidR="001F15BC" w:rsidRPr="00B93FC3" w:rsidRDefault="001F15BC" w:rsidP="007D23F0">
      <w:pPr>
        <w:tabs>
          <w:tab w:val="left" w:pos="1985"/>
        </w:tabs>
        <w:rPr>
          <w:sz w:val="20"/>
          <w:szCs w:val="20"/>
        </w:rPr>
      </w:pPr>
      <w:r w:rsidRPr="00B93FC3">
        <w:rPr>
          <w:rStyle w:val="FootnoteReference"/>
          <w:sz w:val="20"/>
          <w:szCs w:val="20"/>
        </w:rPr>
        <w:footnoteRef/>
      </w:r>
      <w:r w:rsidRPr="00B93FC3">
        <w:rPr>
          <w:sz w:val="20"/>
          <w:szCs w:val="20"/>
        </w:rPr>
        <w:t xml:space="preserve"> Like English “Ah,” </w:t>
      </w:r>
      <w:r w:rsidR="008929EF" w:rsidRPr="00B93FC3">
        <w:rPr>
          <w:sz w:val="20"/>
          <w:szCs w:val="20"/>
        </w:rPr>
        <w:t xml:space="preserve">an exclamation such as </w:t>
      </w:r>
      <w:r w:rsidR="008929EF" w:rsidRPr="00B93FC3">
        <w:rPr>
          <w:rFonts w:cstheme="minorHAnsi"/>
          <w:sz w:val="20"/>
          <w:szCs w:val="20"/>
          <w:rtl/>
          <w:lang w:bidi="he-IL"/>
        </w:rPr>
        <w:t>אָח</w:t>
      </w:r>
      <w:r w:rsidRPr="00B93FC3">
        <w:rPr>
          <w:sz w:val="20"/>
          <w:szCs w:val="20"/>
        </w:rPr>
        <w:t xml:space="preserve"> has to </w:t>
      </w:r>
      <w:r w:rsidR="003F3000" w:rsidRPr="00B93FC3">
        <w:rPr>
          <w:sz w:val="20"/>
          <w:szCs w:val="20"/>
        </w:rPr>
        <w:t xml:space="preserve">be </w:t>
      </w:r>
      <w:r w:rsidRPr="00B93FC3">
        <w:rPr>
          <w:sz w:val="20"/>
          <w:szCs w:val="20"/>
        </w:rPr>
        <w:t>interpret</w:t>
      </w:r>
      <w:r w:rsidR="003F3000" w:rsidRPr="00B93FC3">
        <w:rPr>
          <w:sz w:val="20"/>
          <w:szCs w:val="20"/>
        </w:rPr>
        <w:t>ed</w:t>
      </w:r>
      <w:r w:rsidR="00CD4AD4">
        <w:rPr>
          <w:sz w:val="20"/>
          <w:szCs w:val="20"/>
        </w:rPr>
        <w:t xml:space="preserve"> </w:t>
      </w:r>
      <w:r w:rsidRPr="00B93FC3">
        <w:rPr>
          <w:sz w:val="20"/>
          <w:szCs w:val="20"/>
        </w:rPr>
        <w:t xml:space="preserve">from the context, which here suggests appalment </w:t>
      </w:r>
      <w:r w:rsidR="00DF7A68" w:rsidRPr="00B93FC3">
        <w:rPr>
          <w:sz w:val="20"/>
          <w:szCs w:val="20"/>
        </w:rPr>
        <w:t>at</w:t>
      </w:r>
      <w:r w:rsidRPr="00B93FC3">
        <w:rPr>
          <w:sz w:val="20"/>
          <w:szCs w:val="20"/>
        </w:rPr>
        <w:t xml:space="preserve"> something and/or determination to take action against it.</w:t>
      </w:r>
      <w:r w:rsidR="0029125D">
        <w:rPr>
          <w:sz w:val="20"/>
          <w:szCs w:val="20"/>
        </w:rPr>
        <w:t xml:space="preserve"> </w:t>
      </w:r>
    </w:p>
  </w:footnote>
  <w:footnote w:id="194">
    <w:p w14:paraId="3A66AEEC" w14:textId="0F0F9A86" w:rsidR="00932ED7" w:rsidRPr="00B93FC3" w:rsidRDefault="00932ED7" w:rsidP="00932ED7">
      <w:pPr>
        <w:rPr>
          <w:sz w:val="20"/>
          <w:szCs w:val="20"/>
        </w:rPr>
      </w:pPr>
      <w:r w:rsidRPr="00B93FC3">
        <w:rPr>
          <w:rStyle w:val="FootnoteReference"/>
          <w:sz w:val="20"/>
          <w:szCs w:val="20"/>
        </w:rPr>
        <w:footnoteRef/>
      </w:r>
      <w:r w:rsidRPr="00B93FC3">
        <w:rPr>
          <w:sz w:val="20"/>
          <w:szCs w:val="20"/>
        </w:rPr>
        <w:t xml:space="preserve"> Between the construct noun and the noun on which it depends, </w:t>
      </w:r>
      <w:r w:rsidRPr="00B93FC3">
        <w:rPr>
          <w:rFonts w:cstheme="minorHAnsi"/>
          <w:sz w:val="20"/>
          <w:szCs w:val="20"/>
          <w:rtl/>
          <w:lang w:bidi="he-IL"/>
        </w:rPr>
        <w:t>רָא</w:t>
      </w:r>
      <w:r w:rsidR="00EB44E3" w:rsidRPr="00B93FC3">
        <w:rPr>
          <w:rFonts w:cstheme="minorHAnsi"/>
          <w:sz w:val="20"/>
          <w:szCs w:val="20"/>
          <w:rtl/>
          <w:lang w:bidi="he-IL"/>
        </w:rPr>
        <w:t>וׄת</w:t>
      </w:r>
      <w:r w:rsidRPr="00B93FC3">
        <w:rPr>
          <w:sz w:val="20"/>
          <w:szCs w:val="20"/>
        </w:rPr>
        <w:t xml:space="preserve"> is ungrammatical</w:t>
      </w:r>
      <w:r w:rsidR="00100344">
        <w:rPr>
          <w:sz w:val="20"/>
          <w:szCs w:val="20"/>
        </w:rPr>
        <w:t>. I</w:t>
      </w:r>
      <w:r w:rsidRPr="00B93FC3">
        <w:rPr>
          <w:sz w:val="20"/>
          <w:szCs w:val="20"/>
        </w:rPr>
        <w:t xml:space="preserve">t functions to complete the link between outrages/dire things here and in </w:t>
      </w:r>
      <w:r w:rsidR="008D3B01">
        <w:rPr>
          <w:sz w:val="20"/>
          <w:szCs w:val="20"/>
        </w:rPr>
        <w:t>6:</w:t>
      </w:r>
      <w:r w:rsidRPr="00B93FC3">
        <w:rPr>
          <w:sz w:val="20"/>
          <w:szCs w:val="20"/>
        </w:rPr>
        <w:t>9.</w:t>
      </w:r>
    </w:p>
  </w:footnote>
  <w:footnote w:id="195">
    <w:p w14:paraId="2E084768" w14:textId="140365B3" w:rsidR="002E5A15" w:rsidRDefault="002E5A15" w:rsidP="006460E5">
      <w:pPr>
        <w:pStyle w:val="FootnoteText"/>
      </w:pPr>
      <w:r>
        <w:rPr>
          <w:rStyle w:val="FootnoteReference"/>
        </w:rPr>
        <w:footnoteRef/>
      </w:r>
      <w:r>
        <w:t xml:space="preserve"> </w:t>
      </w:r>
      <w:r w:rsidR="001C2EBD">
        <w:rPr>
          <w:rFonts w:cstheme="minorHAnsi"/>
          <w:rtl/>
          <w:lang w:bidi="he-IL"/>
        </w:rPr>
        <w:t>נָצוּר</w:t>
      </w:r>
      <w:r>
        <w:t xml:space="preserve"> is a </w:t>
      </w:r>
      <w:r>
        <w:t>p</w:t>
      </w:r>
      <w:r w:rsidR="00DA2843">
        <w:t>tc.</w:t>
      </w:r>
      <w:r>
        <w:t xml:space="preserve"> from</w:t>
      </w:r>
      <w:r w:rsidR="005752ED">
        <w:t xml:space="preserve"> </w:t>
      </w:r>
      <w:r w:rsidR="005752ED">
        <w:rPr>
          <w:rFonts w:cstheme="minorHAnsi"/>
          <w:rtl/>
          <w:lang w:bidi="he-IL"/>
        </w:rPr>
        <w:t>נָצַר</w:t>
      </w:r>
      <w:r>
        <w:rPr>
          <w:i/>
          <w:iCs/>
        </w:rPr>
        <w:t xml:space="preserve"> </w:t>
      </w:r>
      <w:r>
        <w:t xml:space="preserve">“watch, keep,” but it is close to the form </w:t>
      </w:r>
      <w:r w:rsidR="00D938DF">
        <w:rPr>
          <w:rFonts w:cstheme="minorHAnsi"/>
          <w:rtl/>
          <w:lang w:bidi="he-IL"/>
        </w:rPr>
        <w:t>נָצוׄר</w:t>
      </w:r>
      <w:r>
        <w:t xml:space="preserve"> which would be the p</w:t>
      </w:r>
      <w:r w:rsidR="00DA2843">
        <w:t>tc.</w:t>
      </w:r>
      <w:r>
        <w:t xml:space="preserve"> from</w:t>
      </w:r>
      <w:r w:rsidR="00D938DF">
        <w:t xml:space="preserve"> </w:t>
      </w:r>
      <w:r w:rsidR="00045DE1">
        <w:rPr>
          <w:rFonts w:cstheme="minorHAnsi"/>
          <w:rtl/>
          <w:lang w:bidi="he-IL"/>
        </w:rPr>
        <w:t>צוּר</w:t>
      </w:r>
      <w:r>
        <w:rPr>
          <w:i/>
          <w:iCs/>
        </w:rPr>
        <w:t xml:space="preserve"> </w:t>
      </w:r>
      <w:r>
        <w:t xml:space="preserve">(confine, besiege): cf. </w:t>
      </w:r>
      <w:r w:rsidR="00045DE1">
        <w:rPr>
          <w:rFonts w:cstheme="minorHAnsi"/>
          <w:rtl/>
          <w:lang w:bidi="he-IL"/>
        </w:rPr>
        <w:t>מָצוׄר</w:t>
      </w:r>
      <w:r>
        <w:rPr>
          <w:i/>
          <w:iCs/>
        </w:rPr>
        <w:t xml:space="preserve"> </w:t>
      </w:r>
      <w:r>
        <w:t xml:space="preserve">in 4:2, 3, 7, 8; 5:2. </w:t>
      </w:r>
    </w:p>
  </w:footnote>
  <w:footnote w:id="196">
    <w:p w14:paraId="16F1D88C" w14:textId="6F04461E" w:rsidR="00CE7A4D" w:rsidRDefault="00CE7A4D" w:rsidP="00CE7A4D">
      <w:pPr>
        <w:pStyle w:val="FootnoteText"/>
      </w:pPr>
      <w:r>
        <w:rPr>
          <w:rStyle w:val="FootnoteReference"/>
        </w:rPr>
        <w:footnoteRef/>
      </w:r>
      <w:r>
        <w:t xml:space="preserve"> </w:t>
      </w:r>
      <w:r w:rsidR="00AB6209">
        <w:rPr>
          <w:rFonts w:cstheme="minorHAnsi"/>
          <w:rtl/>
          <w:lang w:bidi="he-IL"/>
        </w:rPr>
        <w:t>אֵלׇה</w:t>
      </w:r>
      <w:r w:rsidR="00AB6209">
        <w:t>, t</w:t>
      </w:r>
      <w:r>
        <w:t>raditionally “oak,” but it is hard to correlate Israelite tree names with species in other parts of the world</w:t>
      </w:r>
      <w:r w:rsidR="004B0DF9">
        <w:t xml:space="preserve">. </w:t>
      </w:r>
      <w:r w:rsidR="0032263D">
        <w:t>T</w:t>
      </w:r>
      <w:r>
        <w:t>he qualifier</w:t>
      </w:r>
      <w:r w:rsidR="000170EC">
        <w:t xml:space="preserve"> </w:t>
      </w:r>
      <w:r w:rsidR="00BA467F">
        <w:rPr>
          <w:rFonts w:cstheme="minorHAnsi"/>
          <w:rtl/>
          <w:lang w:bidi="he-IL"/>
        </w:rPr>
        <w:t>עֲבֻ</w:t>
      </w:r>
      <w:r w:rsidR="00AB6BE3">
        <w:rPr>
          <w:rFonts w:cstheme="minorHAnsi"/>
          <w:rtl/>
          <w:lang w:bidi="he-IL"/>
        </w:rPr>
        <w:t>תׇּה</w:t>
      </w:r>
      <w:r w:rsidR="00AB6BE3">
        <w:t xml:space="preserve">, </w:t>
      </w:r>
      <w:r w:rsidR="000170EC">
        <w:t>“</w:t>
      </w:r>
      <w:r w:rsidRPr="000170EC">
        <w:t>leafy</w:t>
      </w:r>
      <w:r w:rsidR="00AB6BE3">
        <w:t>,</w:t>
      </w:r>
      <w:r w:rsidR="000170EC">
        <w:t>”</w:t>
      </w:r>
      <w:r>
        <w:t xml:space="preserve"> suggests that “oak” will not give a misleading impression.</w:t>
      </w:r>
    </w:p>
  </w:footnote>
  <w:footnote w:id="197">
    <w:p w14:paraId="7B713826" w14:textId="5575F453" w:rsidR="00117954" w:rsidRPr="00EA6DCD" w:rsidRDefault="00117954">
      <w:pPr>
        <w:pStyle w:val="FootnoteText"/>
      </w:pPr>
      <w:r>
        <w:rPr>
          <w:rStyle w:val="FootnoteReference"/>
        </w:rPr>
        <w:footnoteRef/>
      </w:r>
      <w:r>
        <w:t xml:space="preserve"> See </w:t>
      </w:r>
      <w:r w:rsidR="002F23D3" w:rsidRPr="005115C8">
        <w:t>Lust</w:t>
      </w:r>
      <w:r w:rsidR="002F23D3">
        <w:t xml:space="preserve">, </w:t>
      </w:r>
      <w:r w:rsidR="002F23D3" w:rsidRPr="005115C8">
        <w:t>Hauspie</w:t>
      </w:r>
      <w:r w:rsidR="002F23D3">
        <w:t>, and</w:t>
      </w:r>
      <w:r w:rsidR="002F23D3" w:rsidRPr="005115C8">
        <w:t xml:space="preserve"> </w:t>
      </w:r>
      <w:r w:rsidR="002F23D3" w:rsidRPr="005115C8">
        <w:t>Ternier</w:t>
      </w:r>
      <w:r w:rsidR="002C2BC0">
        <w:t>, “</w:t>
      </w:r>
      <w:r w:rsidR="00E7712B">
        <w:t>Ezekiel 6</w:t>
      </w:r>
      <w:r w:rsidR="002C2BC0">
        <w:t>”;</w:t>
      </w:r>
      <w:r w:rsidR="002F23D3" w:rsidRPr="00A54C2D">
        <w:rPr>
          <w:rFonts w:ascii="Calibri" w:hAnsi="Calibri" w:cs="Calibri"/>
          <w:lang w:val="en-GB"/>
        </w:rPr>
        <w:t xml:space="preserve"> </w:t>
      </w:r>
      <w:r w:rsidRPr="00A54C2D">
        <w:rPr>
          <w:rFonts w:ascii="Calibri" w:hAnsi="Calibri" w:cs="Calibri"/>
          <w:lang w:val="en-GB"/>
        </w:rPr>
        <w:t>Mushayabasa</w:t>
      </w:r>
      <w:r w:rsidR="00A54C2D" w:rsidRPr="00A54C2D">
        <w:rPr>
          <w:rFonts w:ascii="Calibri" w:hAnsi="Calibri" w:cs="Calibri"/>
          <w:lang w:val="en-GB"/>
        </w:rPr>
        <w:t>, “Shorter or Longer Text</w:t>
      </w:r>
      <w:r w:rsidR="00EA6DCD">
        <w:rPr>
          <w:rFonts w:ascii="Calibri" w:hAnsi="Calibri" w:cs="Calibri"/>
          <w:lang w:val="en-GB"/>
        </w:rPr>
        <w:t>”;</w:t>
      </w:r>
      <w:r w:rsidR="00A536EC" w:rsidRPr="00A54C2D">
        <w:rPr>
          <w:rFonts w:ascii="Calibri" w:hAnsi="Calibri" w:cs="Calibri"/>
          <w:lang w:val="en-GB"/>
        </w:rPr>
        <w:t xml:space="preserve"> Mushayabasa</w:t>
      </w:r>
      <w:r w:rsidR="00B51181">
        <w:rPr>
          <w:rFonts w:ascii="Calibri" w:hAnsi="Calibri" w:cs="Calibri"/>
          <w:lang w:val="en-GB"/>
        </w:rPr>
        <w:t>,</w:t>
      </w:r>
      <w:r w:rsidR="00A536EC">
        <w:rPr>
          <w:rFonts w:ascii="Calibri" w:hAnsi="Calibri" w:cs="Calibri"/>
          <w:lang w:val="en-GB"/>
        </w:rPr>
        <w:t xml:space="preserve"> </w:t>
      </w:r>
      <w:r w:rsidR="00EA6DCD">
        <w:rPr>
          <w:rFonts w:ascii="Calibri" w:hAnsi="Calibri" w:cs="Calibri"/>
          <w:lang w:val="en-GB"/>
        </w:rPr>
        <w:t>“</w:t>
      </w:r>
      <w:r w:rsidR="00A536EC">
        <w:rPr>
          <w:rFonts w:ascii="Calibri" w:hAnsi="Calibri" w:cs="Calibri"/>
          <w:rtl/>
          <w:lang w:val="en-GB" w:bidi="he-IL"/>
        </w:rPr>
        <w:t>שׁמם</w:t>
      </w:r>
      <w:r w:rsidR="00EA6DCD">
        <w:rPr>
          <w:rFonts w:ascii="Calibri" w:hAnsi="Calibri" w:cs="Calibri"/>
          <w:lang w:val="en-GB"/>
        </w:rPr>
        <w:t>.”</w:t>
      </w:r>
    </w:p>
  </w:footnote>
  <w:footnote w:id="198">
    <w:p w14:paraId="0B1D3F2D" w14:textId="71FDFC41" w:rsidR="003D7E3E" w:rsidRPr="003D7E3E" w:rsidRDefault="003D7E3E" w:rsidP="001B4FA0">
      <w:pPr>
        <w:pStyle w:val="FootnoteText"/>
      </w:pPr>
      <w:r>
        <w:rPr>
          <w:rStyle w:val="FootnoteReference"/>
        </w:rPr>
        <w:footnoteRef/>
      </w:r>
      <w:r>
        <w:t xml:space="preserve"> </w:t>
      </w:r>
      <w:r w:rsidR="001B4FA0">
        <w:t xml:space="preserve">Wojciech </w:t>
      </w:r>
      <w:r w:rsidR="001B4FA0">
        <w:t>Pikor</w:t>
      </w:r>
      <w:r w:rsidR="00325D36">
        <w:t>,</w:t>
      </w:r>
      <w:r w:rsidR="001B4FA0">
        <w:t xml:space="preserve"> </w:t>
      </w:r>
      <w:r w:rsidR="001B4FA0">
        <w:rPr>
          <w:i/>
          <w:iCs/>
        </w:rPr>
        <w:t>The Land of Israel in the Book of Ezekiel,</w:t>
      </w:r>
      <w:r w:rsidR="001B4FA0">
        <w:t xml:space="preserve"> LHBOTS 667 (London: T&amp;T Clark, 2018)</w:t>
      </w:r>
      <w:r>
        <w:t xml:space="preserve">, </w:t>
      </w:r>
      <w:r w:rsidR="00F35F66">
        <w:t>10.</w:t>
      </w:r>
    </w:p>
  </w:footnote>
  <w:footnote w:id="199">
    <w:p w14:paraId="08FEC527" w14:textId="34CE29AB" w:rsidR="00596805" w:rsidRPr="00E75791" w:rsidRDefault="00596805" w:rsidP="00035F66">
      <w:pPr>
        <w:pStyle w:val="FootnoteText"/>
      </w:pPr>
      <w:r>
        <w:rPr>
          <w:rStyle w:val="FootnoteReference"/>
        </w:rPr>
        <w:footnoteRef/>
      </w:r>
      <w:r>
        <w:t xml:space="preserve"> </w:t>
      </w:r>
      <w:r w:rsidR="00D20615">
        <w:t xml:space="preserve">See the translation </w:t>
      </w:r>
      <w:r w:rsidR="004829B5">
        <w:t>foot</w:t>
      </w:r>
      <w:r w:rsidR="00D20615">
        <w:t>note</w:t>
      </w:r>
      <w:r w:rsidR="008478D9">
        <w:t>.</w:t>
      </w:r>
    </w:p>
  </w:footnote>
  <w:footnote w:id="200">
    <w:p w14:paraId="3934A4E6" w14:textId="7D829F2A" w:rsidR="00A3677E" w:rsidRPr="00E75791" w:rsidRDefault="00A3677E" w:rsidP="00A3677E">
      <w:pPr>
        <w:pStyle w:val="FootnoteText"/>
      </w:pPr>
      <w:r>
        <w:rPr>
          <w:rStyle w:val="FootnoteReference"/>
        </w:rPr>
        <w:footnoteRef/>
      </w:r>
      <w:r>
        <w:t xml:space="preserve"> </w:t>
      </w:r>
      <w:r w:rsidR="00BE4822">
        <w:t>O</w:t>
      </w:r>
      <w:r>
        <w:t xml:space="preserve">n the involved questions raised by </w:t>
      </w:r>
      <w:r>
        <w:rPr>
          <w:rFonts w:cstheme="minorHAnsi"/>
          <w:rtl/>
          <w:lang w:bidi="he-IL"/>
        </w:rPr>
        <w:t>אָשַׁם</w:t>
      </w:r>
      <w:r>
        <w:rPr>
          <w:rFonts w:cstheme="minorHAnsi"/>
        </w:rPr>
        <w:t>/</w:t>
      </w:r>
      <w:r>
        <w:rPr>
          <w:rFonts w:cstheme="minorHAnsi"/>
          <w:rtl/>
          <w:lang w:bidi="he-IL"/>
        </w:rPr>
        <w:t>אׇשׇׁם</w:t>
      </w:r>
      <w:r>
        <w:rPr>
          <w:rFonts w:cstheme="minorHAnsi"/>
        </w:rPr>
        <w:t xml:space="preserve">, </w:t>
      </w:r>
      <w:r>
        <w:t xml:space="preserve">see D. </w:t>
      </w:r>
      <w:r>
        <w:t xml:space="preserve">Kellermann, </w:t>
      </w:r>
      <w:r>
        <w:rPr>
          <w:i/>
          <w:iCs/>
        </w:rPr>
        <w:t xml:space="preserve">TDOT </w:t>
      </w:r>
      <w:r>
        <w:t>1:429</w:t>
      </w:r>
      <w:r w:rsidR="001943CB">
        <w:t>–</w:t>
      </w:r>
      <w:r>
        <w:t xml:space="preserve">37; R. Knierim, </w:t>
      </w:r>
      <w:r>
        <w:rPr>
          <w:i/>
          <w:iCs/>
        </w:rPr>
        <w:t>TLOT</w:t>
      </w:r>
      <w:r>
        <w:t xml:space="preserve"> 1:191</w:t>
      </w:r>
      <w:r w:rsidR="001943CB">
        <w:t>–</w:t>
      </w:r>
      <w:r>
        <w:t>95.</w:t>
      </w:r>
    </w:p>
  </w:footnote>
  <w:footnote w:id="201">
    <w:p w14:paraId="6D353F74" w14:textId="77777777" w:rsidR="00966D5A" w:rsidRPr="00295BEC" w:rsidRDefault="00966D5A" w:rsidP="00966D5A">
      <w:pPr>
        <w:pStyle w:val="FootnoteText"/>
      </w:pPr>
      <w:r>
        <w:rPr>
          <w:rStyle w:val="FootnoteReference"/>
        </w:rPr>
        <w:footnoteRef/>
      </w:r>
      <w:r>
        <w:t xml:space="preserve"> See Lyons, </w:t>
      </w:r>
      <w:r>
        <w:rPr>
          <w:i/>
          <w:iCs/>
        </w:rPr>
        <w:t>From Law to Prophecy</w:t>
      </w:r>
      <w:r>
        <w:t xml:space="preserve">. </w:t>
      </w:r>
    </w:p>
  </w:footnote>
  <w:footnote w:id="202">
    <w:p w14:paraId="39EC13D7" w14:textId="0A598E6D" w:rsidR="001D001C" w:rsidRDefault="00751884" w:rsidP="001D001C">
      <w:pPr>
        <w:pStyle w:val="FootnoteText"/>
      </w:pPr>
      <w:r>
        <w:rPr>
          <w:rStyle w:val="FootnoteReference"/>
        </w:rPr>
        <w:footnoteRef/>
      </w:r>
      <w:r>
        <w:t xml:space="preserve"> </w:t>
      </w:r>
      <w:r w:rsidR="001D001C">
        <w:t xml:space="preserve">On the heart in Ezekiel, see </w:t>
      </w:r>
      <w:r w:rsidR="001D001C" w:rsidRPr="00BE7BDE">
        <w:rPr>
          <w:rFonts w:ascii="Calibri" w:eastAsia="Times New Roman" w:hAnsi="Calibri" w:cs="Calibri"/>
          <w:color w:val="000000"/>
          <w:lang w:val="de-DE" w:eastAsia="en-GB"/>
        </w:rPr>
        <w:t>Markter,</w:t>
      </w:r>
      <w:r w:rsidR="001D001C">
        <w:rPr>
          <w:rFonts w:ascii="Calibri" w:eastAsia="Times New Roman" w:hAnsi="Calibri" w:cs="Calibri"/>
          <w:color w:val="000000"/>
          <w:lang w:val="de-DE" w:eastAsia="en-GB"/>
        </w:rPr>
        <w:t xml:space="preserve"> </w:t>
      </w:r>
      <w:r w:rsidR="001D001C" w:rsidRPr="005778DA">
        <w:rPr>
          <w:rFonts w:ascii="Calibri" w:eastAsia="Times New Roman" w:hAnsi="Calibri" w:cs="Calibri"/>
          <w:i/>
          <w:iCs/>
          <w:color w:val="000000"/>
          <w:lang w:val="de-DE" w:eastAsia="en-GB"/>
        </w:rPr>
        <w:t>Transformationen</w:t>
      </w:r>
      <w:r w:rsidR="005778DA">
        <w:rPr>
          <w:rFonts w:ascii="Calibri" w:eastAsia="Times New Roman" w:hAnsi="Calibri" w:cs="Calibri"/>
          <w:color w:val="000000"/>
          <w:lang w:val="de-DE" w:eastAsia="en-GB"/>
        </w:rPr>
        <w:t>.</w:t>
      </w:r>
    </w:p>
  </w:footnote>
  <w:footnote w:id="203">
    <w:p w14:paraId="2A3D875A" w14:textId="2E211640" w:rsidR="00E53B77" w:rsidRDefault="00E53B77">
      <w:pPr>
        <w:pStyle w:val="FootnoteText"/>
      </w:pPr>
      <w:r>
        <w:rPr>
          <w:rStyle w:val="FootnoteReference"/>
        </w:rPr>
        <w:footnoteRef/>
      </w:r>
      <w:r>
        <w:t xml:space="preserve"> See Compton, </w:t>
      </w:r>
      <w:r w:rsidR="001F3AF0">
        <w:t>“Deixis</w:t>
      </w:r>
      <w:r w:rsidR="00524832">
        <w:t>.</w:t>
      </w:r>
      <w:r w:rsidR="001F3AF0">
        <w:t>”</w:t>
      </w:r>
      <w:r w:rsidR="00524832">
        <w:t xml:space="preserve"> H</w:t>
      </w:r>
      <w:r w:rsidR="001F3AF0">
        <w:t>e also studies Ezek 13; 20; 23</w:t>
      </w:r>
      <w:r w:rsidR="00282FC0">
        <w:t>.</w:t>
      </w:r>
    </w:p>
  </w:footnote>
  <w:footnote w:id="204">
    <w:p w14:paraId="067814BB" w14:textId="06D69282" w:rsidR="007922BC" w:rsidRDefault="007922BC">
      <w:pPr>
        <w:pStyle w:val="FootnoteText"/>
      </w:pPr>
      <w:r>
        <w:rPr>
          <w:rStyle w:val="FootnoteReference"/>
        </w:rPr>
        <w:footnoteRef/>
      </w:r>
      <w:r>
        <w:t xml:space="preserve"> </w:t>
      </w:r>
      <w:r w:rsidR="009444B3">
        <w:t>See further Ganzel, “Transformation.”</w:t>
      </w:r>
    </w:p>
  </w:footnote>
  <w:footnote w:id="205">
    <w:p w14:paraId="480BD9CF" w14:textId="061D4310" w:rsidR="00AB7F2A" w:rsidRDefault="00AB7F2A">
      <w:pPr>
        <w:pStyle w:val="FootnoteText"/>
      </w:pPr>
      <w:r>
        <w:rPr>
          <w:rStyle w:val="FootnoteReference"/>
        </w:rPr>
        <w:footnoteRef/>
      </w:r>
      <w:r>
        <w:t xml:space="preserve"> See further the comments on “The Prose and the Poetry” in the Introduction to this commentary.</w:t>
      </w:r>
    </w:p>
  </w:footnote>
  <w:footnote w:id="206">
    <w:p w14:paraId="1231B6BC" w14:textId="4C2E525D" w:rsidR="008A39F5" w:rsidRPr="00105C24" w:rsidRDefault="008A39F5">
      <w:pPr>
        <w:pStyle w:val="FootnoteText"/>
        <w:rPr>
          <w:lang w:val="de-DE"/>
        </w:rPr>
      </w:pPr>
      <w:r>
        <w:rPr>
          <w:rStyle w:val="FootnoteReference"/>
        </w:rPr>
        <w:footnoteRef/>
      </w:r>
      <w:r w:rsidRPr="00105C24">
        <w:rPr>
          <w:lang w:val="de-DE"/>
        </w:rPr>
        <w:t xml:space="preserve"> Lust</w:t>
      </w:r>
      <w:r w:rsidR="003D4B1F" w:rsidRPr="00105C24">
        <w:rPr>
          <w:lang w:val="de-DE"/>
        </w:rPr>
        <w:t>,</w:t>
      </w:r>
      <w:r w:rsidR="003D4B1F" w:rsidRPr="00105C24">
        <w:rPr>
          <w:rFonts w:ascii="Calibri" w:eastAsia="Times New Roman" w:hAnsi="Calibri" w:cs="Calibri"/>
          <w:color w:val="000000"/>
          <w:lang w:val="de-DE" w:eastAsia="en-GB"/>
        </w:rPr>
        <w:t xml:space="preserve"> </w:t>
      </w:r>
      <w:r w:rsidR="003D4B1F" w:rsidRPr="00105C24">
        <w:rPr>
          <w:rFonts w:ascii="Calibri" w:eastAsia="Times New Roman" w:hAnsi="Calibri" w:cs="Calibri"/>
          <w:color w:val="000000"/>
          <w:lang w:val="de-DE" w:eastAsia="en-GB"/>
        </w:rPr>
        <w:t>Hauspie, and Ternier</w:t>
      </w:r>
      <w:r w:rsidRPr="00105C24">
        <w:rPr>
          <w:lang w:val="de-DE"/>
        </w:rPr>
        <w:t xml:space="preserve">, </w:t>
      </w:r>
      <w:r w:rsidR="009B3C2E" w:rsidRPr="00105C24">
        <w:rPr>
          <w:lang w:val="de-DE"/>
        </w:rPr>
        <w:t>“</w:t>
      </w:r>
      <w:r w:rsidR="003D4B1F" w:rsidRPr="00105C24">
        <w:rPr>
          <w:lang w:val="de-DE"/>
        </w:rPr>
        <w:t>Ezekiel 7</w:t>
      </w:r>
      <w:r w:rsidR="009B3C2E" w:rsidRPr="00105C24">
        <w:rPr>
          <w:lang w:val="de-DE"/>
        </w:rPr>
        <w:t>,” 384.</w:t>
      </w:r>
    </w:p>
  </w:footnote>
  <w:footnote w:id="207">
    <w:p w14:paraId="47D71D4E" w14:textId="76420755" w:rsidR="001303F3" w:rsidRDefault="001303F3" w:rsidP="001303F3">
      <w:pPr>
        <w:pStyle w:val="FootnoteText"/>
      </w:pPr>
      <w:r>
        <w:rPr>
          <w:rStyle w:val="FootnoteReference"/>
        </w:rPr>
        <w:footnoteRef/>
      </w:r>
      <w:r>
        <w:t xml:space="preserve"> F</w:t>
      </w:r>
      <w:r w:rsidR="00771F06">
        <w:t>.</w:t>
      </w:r>
      <w:r>
        <w:t xml:space="preserve"> </w:t>
      </w:r>
      <w:r>
        <w:rPr>
          <w:rFonts w:cstheme="minorHAnsi"/>
          <w:rtl/>
          <w:lang w:bidi="he-IL"/>
        </w:rPr>
        <w:t>בָּאָה</w:t>
      </w:r>
      <w:r>
        <w:rPr>
          <w:rFonts w:cstheme="minorHAnsi"/>
        </w:rPr>
        <w:t xml:space="preserve"> corresponds to the gender of </w:t>
      </w:r>
      <w:r w:rsidR="00771F06">
        <w:rPr>
          <w:rFonts w:cstheme="minorHAnsi"/>
        </w:rPr>
        <w:t>“</w:t>
      </w:r>
      <w:r w:rsidRPr="00771F06">
        <w:rPr>
          <w:rFonts w:cstheme="minorHAnsi"/>
        </w:rPr>
        <w:t>doom</w:t>
      </w:r>
      <w:r w:rsidR="00771F06">
        <w:rPr>
          <w:rFonts w:cstheme="minorHAnsi"/>
        </w:rPr>
        <w:t>”</w:t>
      </w:r>
      <w:r>
        <w:rPr>
          <w:rFonts w:cstheme="minorHAnsi"/>
        </w:rPr>
        <w:t xml:space="preserve"> at the beginning of the next colon</w:t>
      </w:r>
      <w:r w:rsidR="00447E36">
        <w:rPr>
          <w:rFonts w:cstheme="minorHAnsi"/>
        </w:rPr>
        <w:t xml:space="preserve"> (cf.</w:t>
      </w:r>
      <w:r>
        <w:rPr>
          <w:rFonts w:cstheme="minorHAnsi"/>
        </w:rPr>
        <w:t xml:space="preserve"> </w:t>
      </w:r>
      <w:r w:rsidR="008D3B01">
        <w:rPr>
          <w:rFonts w:cstheme="minorHAnsi"/>
        </w:rPr>
        <w:t>7:</w:t>
      </w:r>
      <w:r>
        <w:rPr>
          <w:rFonts w:cstheme="minorHAnsi"/>
        </w:rPr>
        <w:t>10</w:t>
      </w:r>
      <w:r w:rsidR="00447E36">
        <w:rPr>
          <w:rFonts w:cstheme="minorHAnsi"/>
        </w:rPr>
        <w:t>)</w:t>
      </w:r>
      <w:r>
        <w:rPr>
          <w:rFonts w:cstheme="minorHAnsi"/>
        </w:rPr>
        <w:t>.</w:t>
      </w:r>
    </w:p>
  </w:footnote>
  <w:footnote w:id="208">
    <w:p w14:paraId="228C24DC" w14:textId="4F6583CE" w:rsidR="001303F3" w:rsidRDefault="001303F3" w:rsidP="001303F3">
      <w:pPr>
        <w:pStyle w:val="FootnoteText"/>
      </w:pPr>
      <w:r>
        <w:rPr>
          <w:rStyle w:val="FootnoteReference"/>
        </w:rPr>
        <w:footnoteRef/>
      </w:r>
      <w:r>
        <w:t xml:space="preserve"> Whereas </w:t>
      </w:r>
      <w:r w:rsidR="00082FBC">
        <w:t>“</w:t>
      </w:r>
      <w:r w:rsidRPr="00082FBC">
        <w:t>you</w:t>
      </w:r>
      <w:r w:rsidR="00082FBC">
        <w:t>”</w:t>
      </w:r>
      <w:r>
        <w:t xml:space="preserve"> in </w:t>
      </w:r>
      <w:r w:rsidR="008D3B01">
        <w:t>7:</w:t>
      </w:r>
      <w:r>
        <w:t>6 was f</w:t>
      </w:r>
      <w:r w:rsidR="00082FBC">
        <w:t>.</w:t>
      </w:r>
      <w:r>
        <w:t xml:space="preserve"> s</w:t>
      </w:r>
      <w:r w:rsidR="00FA0E69">
        <w:t>g.</w:t>
      </w:r>
      <w:r>
        <w:t xml:space="preserve"> and referred to the city, as in </w:t>
      </w:r>
      <w:r w:rsidR="0042084A">
        <w:t>7:</w:t>
      </w:r>
      <w:r>
        <w:t>3</w:t>
      </w:r>
      <w:r w:rsidR="001943CB">
        <w:t>–</w:t>
      </w:r>
      <w:r>
        <w:t>4ab</w:t>
      </w:r>
      <w:r>
        <w:rPr>
          <w:rFonts w:cstheme="minorHAnsi"/>
        </w:rPr>
        <w:t>α</w:t>
      </w:r>
      <w:r>
        <w:t xml:space="preserve"> and 8</w:t>
      </w:r>
      <w:r w:rsidR="001943CB">
        <w:t>–</w:t>
      </w:r>
      <w:r>
        <w:t>9ab</w:t>
      </w:r>
      <w:r>
        <w:rPr>
          <w:rFonts w:cstheme="minorHAnsi"/>
        </w:rPr>
        <w:t>α</w:t>
      </w:r>
      <w:r>
        <w:t xml:space="preserve">, in </w:t>
      </w:r>
      <w:r w:rsidR="008D3B01">
        <w:t>7:</w:t>
      </w:r>
      <w:r>
        <w:t>7 it is m</w:t>
      </w:r>
      <w:r w:rsidR="00082FBC">
        <w:t>.</w:t>
      </w:r>
      <w:r>
        <w:t xml:space="preserve"> s</w:t>
      </w:r>
      <w:r w:rsidR="00C64277">
        <w:t>g.</w:t>
      </w:r>
      <w:r>
        <w:t xml:space="preserve"> and refers to the individual(s) living in Judah.</w:t>
      </w:r>
    </w:p>
  </w:footnote>
  <w:footnote w:id="209">
    <w:p w14:paraId="756ED87F" w14:textId="3AF1F612" w:rsidR="001303F3" w:rsidRDefault="001303F3" w:rsidP="001303F3">
      <w:pPr>
        <w:pStyle w:val="FootnoteText"/>
      </w:pPr>
      <w:r>
        <w:rPr>
          <w:rStyle w:val="FootnoteReference"/>
        </w:rPr>
        <w:footnoteRef/>
      </w:r>
      <w:r>
        <w:t xml:space="preserve"> </w:t>
      </w:r>
      <w:r w:rsidR="00D56C63">
        <w:rPr>
          <w:rFonts w:cstheme="minorHAnsi"/>
          <w:rtl/>
          <w:lang w:bidi="he-IL"/>
        </w:rPr>
        <w:t>וְעוֹד</w:t>
      </w:r>
      <w:r w:rsidR="003C36C1">
        <w:rPr>
          <w:rFonts w:cstheme="minorHAnsi" w:hint="cs"/>
          <w:rtl/>
          <w:lang w:bidi="he-IL"/>
        </w:rPr>
        <w:t xml:space="preserve"> </w:t>
      </w:r>
      <w:r w:rsidR="00B0760E">
        <w:rPr>
          <w:rFonts w:cstheme="minorHAnsi"/>
          <w:rtl/>
          <w:lang w:bidi="he-IL"/>
        </w:rPr>
        <w:t>בְּחַיּ</w:t>
      </w:r>
      <w:r w:rsidR="00D46502">
        <w:rPr>
          <w:rFonts w:cstheme="minorHAnsi"/>
          <w:rtl/>
          <w:lang w:bidi="he-IL"/>
        </w:rPr>
        <w:t>ִים</w:t>
      </w:r>
      <w:r w:rsidR="003C36C1">
        <w:rPr>
          <w:rFonts w:cstheme="minorHAnsi" w:hint="cs"/>
          <w:rtl/>
          <w:lang w:bidi="he-IL"/>
        </w:rPr>
        <w:t xml:space="preserve"> </w:t>
      </w:r>
      <w:r w:rsidR="00D46502">
        <w:rPr>
          <w:rFonts w:cstheme="minorHAnsi"/>
          <w:rtl/>
          <w:lang w:bidi="he-IL"/>
        </w:rPr>
        <w:t>חַיׇּתׇם</w:t>
      </w:r>
      <w:r w:rsidR="003C36C1">
        <w:t>, l</w:t>
      </w:r>
      <w:r>
        <w:t xml:space="preserve">iterally, “even yet their life </w:t>
      </w:r>
      <w:r w:rsidR="00476F22">
        <w:t>[</w:t>
      </w:r>
      <w:r>
        <w:t>is</w:t>
      </w:r>
      <w:r w:rsidR="00476F22">
        <w:t>]</w:t>
      </w:r>
      <w:r>
        <w:t xml:space="preserve"> in life</w:t>
      </w:r>
      <w:r w:rsidR="007E4AEE">
        <w:t>,</w:t>
      </w:r>
      <w:r>
        <w:t>”</w:t>
      </w:r>
      <w:r w:rsidR="007C0C86">
        <w:t xml:space="preserve"> </w:t>
      </w:r>
      <w:r w:rsidR="007E4AEE">
        <w:t>which</w:t>
      </w:r>
      <w:r>
        <w:t xml:space="preserve"> “sounds as strange in Hebrew as in English” (Greenberg</w:t>
      </w:r>
      <w:r w:rsidR="00122998">
        <w:t>,</w:t>
      </w:r>
      <w:r>
        <w:t xml:space="preserve"> 1:150).</w:t>
      </w:r>
    </w:p>
  </w:footnote>
  <w:footnote w:id="210">
    <w:p w14:paraId="38747267" w14:textId="31741389" w:rsidR="001303F3" w:rsidRDefault="001303F3" w:rsidP="001303F3">
      <w:pPr>
        <w:pStyle w:val="FootnoteText"/>
      </w:pPr>
      <w:r>
        <w:rPr>
          <w:rStyle w:val="FootnoteReference"/>
        </w:rPr>
        <w:footnoteRef/>
      </w:r>
      <w:r>
        <w:t xml:space="preserve"> In th</w:t>
      </w:r>
      <w:r w:rsidR="000F0994">
        <w:t xml:space="preserve">is </w:t>
      </w:r>
      <w:r>
        <w:t xml:space="preserve">neat example of parallelism, the second colon reworks and heightens the point in the first. </w:t>
      </w:r>
      <w:r w:rsidR="007E4AEE">
        <w:t>“</w:t>
      </w:r>
      <w:r w:rsidRPr="007E4AEE">
        <w:t>Gold</w:t>
      </w:r>
      <w:r w:rsidR="007E4AEE">
        <w:t>”</w:t>
      </w:r>
      <w:r>
        <w:rPr>
          <w:i/>
          <w:iCs/>
        </w:rPr>
        <w:t xml:space="preserve"> </w:t>
      </w:r>
      <w:r>
        <w:t xml:space="preserve">enhances and complements </w:t>
      </w:r>
      <w:r w:rsidR="007E4AEE">
        <w:t>“</w:t>
      </w:r>
      <w:r w:rsidRPr="007E4AEE">
        <w:t>silver</w:t>
      </w:r>
      <w:r w:rsidR="00701CC8">
        <w:t>.”</w:t>
      </w:r>
      <w:r>
        <w:rPr>
          <w:i/>
          <w:iCs/>
        </w:rPr>
        <w:t xml:space="preserve"> </w:t>
      </w:r>
      <w:r>
        <w:t>A s</w:t>
      </w:r>
      <w:r w:rsidR="00C64277">
        <w:t>g.</w:t>
      </w:r>
      <w:r>
        <w:t xml:space="preserve"> intransitive verb complements a pl</w:t>
      </w:r>
      <w:r w:rsidR="00C64277">
        <w:t>.</w:t>
      </w:r>
      <w:r>
        <w:t xml:space="preserve"> transitive verb. And </w:t>
      </w:r>
      <w:r w:rsidR="006B176E">
        <w:t>“</w:t>
      </w:r>
      <w:r w:rsidRPr="006B176E">
        <w:t>something</w:t>
      </w:r>
      <w:r>
        <w:rPr>
          <w:i/>
          <w:iCs/>
        </w:rPr>
        <w:t xml:space="preserve"> </w:t>
      </w:r>
      <w:r w:rsidRPr="006B176E">
        <w:t>to</w:t>
      </w:r>
      <w:r>
        <w:rPr>
          <w:i/>
          <w:iCs/>
        </w:rPr>
        <w:t xml:space="preserve"> </w:t>
      </w:r>
      <w:r w:rsidRPr="006B176E">
        <w:t>be</w:t>
      </w:r>
      <w:r>
        <w:rPr>
          <w:i/>
          <w:iCs/>
        </w:rPr>
        <w:t xml:space="preserve"> </w:t>
      </w:r>
      <w:r w:rsidRPr="006B176E">
        <w:t>shunned</w:t>
      </w:r>
      <w:r w:rsidR="006B176E">
        <w:t>”</w:t>
      </w:r>
      <w:r>
        <w:t xml:space="preserve"> explains and heightens </w:t>
      </w:r>
      <w:r w:rsidR="006B176E">
        <w:t>“</w:t>
      </w:r>
      <w:r w:rsidRPr="006B176E">
        <w:t>into</w:t>
      </w:r>
      <w:r>
        <w:rPr>
          <w:i/>
          <w:iCs/>
        </w:rPr>
        <w:t xml:space="preserve"> </w:t>
      </w:r>
      <w:r w:rsidRPr="006B176E">
        <w:t>the</w:t>
      </w:r>
      <w:r>
        <w:rPr>
          <w:i/>
          <w:iCs/>
        </w:rPr>
        <w:t xml:space="preserve"> </w:t>
      </w:r>
      <w:r w:rsidRPr="006B176E">
        <w:t>streets</w:t>
      </w:r>
      <w:r>
        <w:t>.</w:t>
      </w:r>
      <w:r w:rsidR="006B176E">
        <w:t>”</w:t>
      </w:r>
      <w:r>
        <w:t xml:space="preserve"> </w:t>
      </w:r>
    </w:p>
  </w:footnote>
  <w:footnote w:id="211">
    <w:p w14:paraId="2FDDE4A3" w14:textId="07FA7F3C" w:rsidR="00355166" w:rsidRDefault="00355166">
      <w:pPr>
        <w:pStyle w:val="FootnoteText"/>
      </w:pPr>
      <w:r>
        <w:rPr>
          <w:rStyle w:val="FootnoteReference"/>
        </w:rPr>
        <w:footnoteRef/>
      </w:r>
      <w:r>
        <w:t xml:space="preserve"> </w:t>
      </w:r>
      <w:r w:rsidR="006268A1">
        <w:t>Sym</w:t>
      </w:r>
      <w:r w:rsidR="00A65A22">
        <w:t>.</w:t>
      </w:r>
      <w:r w:rsidR="006268A1">
        <w:t xml:space="preserve"> nicely translates </w:t>
      </w:r>
      <w:r w:rsidR="00E468BE">
        <w:rPr>
          <w:rFonts w:cstheme="minorHAnsi"/>
          <w:rtl/>
          <w:lang w:bidi="he-IL"/>
        </w:rPr>
        <w:t>שִׁקּוּ</w:t>
      </w:r>
      <w:r w:rsidR="00F31143">
        <w:rPr>
          <w:rFonts w:cstheme="minorHAnsi"/>
          <w:rtl/>
          <w:lang w:bidi="he-IL"/>
        </w:rPr>
        <w:t>צ</w:t>
      </w:r>
      <w:r w:rsidR="007F16EC">
        <w:rPr>
          <w:rFonts w:cstheme="minorHAnsi"/>
          <w:rtl/>
          <w:lang w:bidi="he-IL"/>
        </w:rPr>
        <w:t>ֵ</w:t>
      </w:r>
      <w:r w:rsidR="00F31143">
        <w:rPr>
          <w:rFonts w:cstheme="minorHAnsi"/>
          <w:rtl/>
          <w:lang w:bidi="he-IL"/>
        </w:rPr>
        <w:t>י</w:t>
      </w:r>
      <w:r w:rsidR="00AF6609">
        <w:rPr>
          <w:rFonts w:cstheme="minorHAnsi"/>
          <w:rtl/>
          <w:lang w:bidi="he-IL"/>
        </w:rPr>
        <w:t>הֶם</w:t>
      </w:r>
      <w:r w:rsidR="00F11C88">
        <w:t xml:space="preserve"> </w:t>
      </w:r>
      <w:r w:rsidR="00AF6609">
        <w:t xml:space="preserve">“things that </w:t>
      </w:r>
      <w:r w:rsidR="00C84E87">
        <w:t xml:space="preserve">are sickening, that </w:t>
      </w:r>
      <w:r w:rsidR="00AF6609">
        <w:t>make them throw up (</w:t>
      </w:r>
      <w:r w:rsidR="00691936">
        <w:rPr>
          <w:rFonts w:cstheme="minorHAnsi"/>
        </w:rPr>
        <w:t>σ</w:t>
      </w:r>
      <w:r w:rsidR="00176A10">
        <w:rPr>
          <w:rFonts w:cstheme="minorHAnsi"/>
        </w:rPr>
        <w:t>ί</w:t>
      </w:r>
      <w:r w:rsidR="00691936">
        <w:rPr>
          <w:rFonts w:cstheme="minorHAnsi"/>
        </w:rPr>
        <w:t>κχος).</w:t>
      </w:r>
      <w:r w:rsidR="0032070B">
        <w:rPr>
          <w:rFonts w:cstheme="minorHAnsi"/>
        </w:rPr>
        <w:t>”</w:t>
      </w:r>
      <w:r w:rsidR="006268A1">
        <w:t xml:space="preserve"> </w:t>
      </w:r>
    </w:p>
  </w:footnote>
  <w:footnote w:id="212">
    <w:p w14:paraId="6655B368" w14:textId="385427AE" w:rsidR="001303F3" w:rsidRDefault="001303F3" w:rsidP="001303F3">
      <w:pPr>
        <w:pStyle w:val="FootnoteText"/>
      </w:pPr>
      <w:r>
        <w:rPr>
          <w:rStyle w:val="FootnoteReference"/>
        </w:rPr>
        <w:footnoteRef/>
      </w:r>
      <w:r>
        <w:t xml:space="preserve"> </w:t>
      </w:r>
      <w:r w:rsidR="007D1765">
        <w:rPr>
          <w:rFonts w:cstheme="minorHAnsi"/>
          <w:rtl/>
          <w:lang w:bidi="he-IL"/>
        </w:rPr>
        <w:t>רִשְׁעֵי</w:t>
      </w:r>
      <w:r w:rsidR="00B90D54">
        <w:rPr>
          <w:rFonts w:cstheme="minorHAnsi" w:hint="cs"/>
          <w:rtl/>
          <w:lang w:bidi="he-IL"/>
        </w:rPr>
        <w:t xml:space="preserve"> </w:t>
      </w:r>
      <w:r w:rsidR="00BC6715">
        <w:rPr>
          <w:rFonts w:cstheme="minorHAnsi"/>
          <w:rtl/>
          <w:lang w:bidi="he-IL"/>
        </w:rPr>
        <w:t>הׇאׇרֶץ</w:t>
      </w:r>
      <w:r w:rsidR="00B90D54">
        <w:t>, l</w:t>
      </w:r>
      <w:r>
        <w:t>iterally, “the faithless ones of the earth</w:t>
      </w:r>
      <w:r w:rsidR="00593188">
        <w:t>.</w:t>
      </w:r>
      <w:r>
        <w:t>”</w:t>
      </w:r>
      <w:r w:rsidR="00593188">
        <w:t xml:space="preserve"> A</w:t>
      </w:r>
      <w:r>
        <w:t xml:space="preserve">n adjective in the construct can signify a superlative (GK 133g)—cf. “the dire ones of the nations” in </w:t>
      </w:r>
      <w:r w:rsidR="008D3B01">
        <w:t>7:</w:t>
      </w:r>
      <w:r>
        <w:t xml:space="preserve">24. </w:t>
      </w:r>
    </w:p>
  </w:footnote>
  <w:footnote w:id="213">
    <w:p w14:paraId="00D07C65" w14:textId="51548A20" w:rsidR="001303F3" w:rsidRDefault="001303F3" w:rsidP="001303F3">
      <w:pPr>
        <w:pStyle w:val="FootnoteText"/>
      </w:pPr>
      <w:r>
        <w:rPr>
          <w:rStyle w:val="FootnoteReference"/>
        </w:rPr>
        <w:footnoteRef/>
      </w:r>
      <w:r>
        <w:t xml:space="preserve"> After two cola that form another neatly parallel pair comprising </w:t>
      </w:r>
      <w:r w:rsidR="008D3B01">
        <w:t>7:</w:t>
      </w:r>
      <w:r>
        <w:t xml:space="preserve">21a, </w:t>
      </w:r>
      <w:r w:rsidR="00483FB4">
        <w:rPr>
          <w:rFonts w:cstheme="minorHAnsi"/>
          <w:rtl/>
          <w:lang w:bidi="he-IL"/>
        </w:rPr>
        <w:t>וְחִלְּ</w:t>
      </w:r>
      <w:r w:rsidR="00015544">
        <w:rPr>
          <w:rFonts w:cstheme="minorHAnsi"/>
          <w:rtl/>
          <w:lang w:bidi="he-IL"/>
        </w:rPr>
        <w:t>לוּהוּ</w:t>
      </w:r>
      <w:r w:rsidR="00015544">
        <w:t xml:space="preserve">, </w:t>
      </w:r>
      <w:r w:rsidR="00410257">
        <w:t>“</w:t>
      </w:r>
      <w:r w:rsidRPr="00410257">
        <w:t>they</w:t>
      </w:r>
      <w:r>
        <w:rPr>
          <w:i/>
          <w:iCs/>
        </w:rPr>
        <w:t xml:space="preserve"> </w:t>
      </w:r>
      <w:r w:rsidRPr="00410257">
        <w:t>will</w:t>
      </w:r>
      <w:r>
        <w:rPr>
          <w:i/>
          <w:iCs/>
        </w:rPr>
        <w:t xml:space="preserve"> </w:t>
      </w:r>
      <w:r w:rsidR="00E4629D">
        <w:t>treat</w:t>
      </w:r>
      <w:r>
        <w:rPr>
          <w:i/>
          <w:iCs/>
        </w:rPr>
        <w:t xml:space="preserve"> </w:t>
      </w:r>
      <w:r w:rsidRPr="00410257">
        <w:t>it</w:t>
      </w:r>
      <w:r w:rsidR="00E4629D">
        <w:t xml:space="preserve"> as something ordinary</w:t>
      </w:r>
      <w:r w:rsidR="00015544">
        <w:t>,</w:t>
      </w:r>
      <w:r w:rsidR="00410257">
        <w:t>”</w:t>
      </w:r>
      <w:r>
        <w:t xml:space="preserve"> looks like the beginning of the next line </w:t>
      </w:r>
      <w:r w:rsidR="00FD7254">
        <w:t xml:space="preserve">rather </w:t>
      </w:r>
      <w:r>
        <w:t xml:space="preserve">than an appendage to </w:t>
      </w:r>
      <w:r w:rsidR="008D3B01">
        <w:t>7:</w:t>
      </w:r>
      <w:r>
        <w:t xml:space="preserve">21. Although </w:t>
      </w:r>
      <w:r w:rsidR="00B86D27" w:rsidRPr="00F97A59">
        <w:rPr>
          <w:sz w:val="18"/>
          <w:szCs w:val="18"/>
        </w:rPr>
        <w:t>MT</w:t>
      </w:r>
      <w:r>
        <w:t xml:space="preserve"> treats this word as belonging to </w:t>
      </w:r>
      <w:r w:rsidR="008D3B01">
        <w:t>7:</w:t>
      </w:r>
      <w:r>
        <w:t xml:space="preserve">20, it distances it from it by the accentuation that makes it the sole word in </w:t>
      </w:r>
      <w:r w:rsidR="008D3B01">
        <w:t>7:</w:t>
      </w:r>
      <w:r>
        <w:t>21b. K has a f</w:t>
      </w:r>
      <w:r w:rsidR="007A33E0">
        <w:t>.</w:t>
      </w:r>
      <w:r>
        <w:t xml:space="preserve"> suffix, which anticipatorily fits with </w:t>
      </w:r>
      <w:r w:rsidR="008D3B01">
        <w:t>7:</w:t>
      </w:r>
      <w:r>
        <w:t>22.</w:t>
      </w:r>
    </w:p>
  </w:footnote>
  <w:footnote w:id="214">
    <w:p w14:paraId="5940D979" w14:textId="092E8DF2" w:rsidR="001303F3" w:rsidRDefault="001303F3" w:rsidP="001303F3">
      <w:pPr>
        <w:pStyle w:val="FootnoteText"/>
      </w:pPr>
      <w:r>
        <w:rPr>
          <w:rStyle w:val="FootnoteReference"/>
        </w:rPr>
        <w:footnoteRef/>
      </w:r>
      <w:r>
        <w:t xml:space="preserve"> </w:t>
      </w:r>
      <w:r w:rsidR="00073F78">
        <w:rPr>
          <w:rFonts w:cstheme="minorHAnsi"/>
          <w:rtl/>
          <w:lang w:bidi="he-IL"/>
        </w:rPr>
        <w:t>מִשְׁפַּט</w:t>
      </w:r>
      <w:r w:rsidR="009D7BFF">
        <w:rPr>
          <w:rFonts w:cstheme="minorHAnsi" w:hint="cs"/>
          <w:rtl/>
          <w:lang w:bidi="he-IL"/>
        </w:rPr>
        <w:t xml:space="preserve"> </w:t>
      </w:r>
      <w:r w:rsidR="00073F78">
        <w:rPr>
          <w:rFonts w:cstheme="minorHAnsi"/>
          <w:rtl/>
          <w:lang w:bidi="he-IL"/>
        </w:rPr>
        <w:t>דׇּמִים</w:t>
      </w:r>
      <w:r w:rsidR="009D7BFF">
        <w:t>, l</w:t>
      </w:r>
      <w:r>
        <w:t>iterally, “ruling of bloods</w:t>
      </w:r>
      <w:r w:rsidR="00593188">
        <w:t>.</w:t>
      </w:r>
      <w:r>
        <w:t xml:space="preserve">” </w:t>
      </w:r>
      <w:r w:rsidR="00593188">
        <w:t>P</w:t>
      </w:r>
      <w:r>
        <w:t>l</w:t>
      </w:r>
      <w:r w:rsidR="00E50B79">
        <w:t>.</w:t>
      </w:r>
      <w:r>
        <w:t xml:space="preserve"> </w:t>
      </w:r>
      <w:r>
        <w:rPr>
          <w:rFonts w:cstheme="minorHAnsi"/>
          <w:rtl/>
          <w:lang w:bidi="he-IL"/>
        </w:rPr>
        <w:t>דָמִים</w:t>
      </w:r>
      <w:r>
        <w:rPr>
          <w:rFonts w:cstheme="minorHAnsi"/>
          <w:i/>
          <w:iCs/>
        </w:rPr>
        <w:t xml:space="preserve"> </w:t>
      </w:r>
      <w:r>
        <w:rPr>
          <w:rFonts w:cstheme="minorHAnsi"/>
        </w:rPr>
        <w:t>regularly denotes bloodshed</w:t>
      </w:r>
      <w:r w:rsidR="009D7BFF">
        <w:rPr>
          <w:rFonts w:cstheme="minorHAnsi"/>
        </w:rPr>
        <w:t>.</w:t>
      </w:r>
    </w:p>
  </w:footnote>
  <w:footnote w:id="215">
    <w:p w14:paraId="27E3EC4C" w14:textId="6DD33C38" w:rsidR="001303F3" w:rsidRDefault="001303F3" w:rsidP="001303F3">
      <w:pPr>
        <w:pStyle w:val="FootnoteText"/>
      </w:pPr>
      <w:r>
        <w:rPr>
          <w:rStyle w:val="FootnoteReference"/>
        </w:rPr>
        <w:footnoteRef/>
      </w:r>
      <w:r>
        <w:t xml:space="preserve"> </w:t>
      </w:r>
      <w:r>
        <w:rPr>
          <w:rFonts w:cstheme="minorHAnsi"/>
          <w:rtl/>
          <w:lang w:bidi="he-IL"/>
        </w:rPr>
        <w:t>קְפָדָה</w:t>
      </w:r>
      <w:r>
        <w:rPr>
          <w:i/>
          <w:iCs/>
        </w:rPr>
        <w:t xml:space="preserve"> </w:t>
      </w:r>
      <w:r>
        <w:t xml:space="preserve">is another hapax, but the verb </w:t>
      </w:r>
      <w:r>
        <w:rPr>
          <w:rFonts w:cstheme="minorHAnsi"/>
          <w:rtl/>
          <w:lang w:bidi="he-IL"/>
        </w:rPr>
        <w:t>קָפַד</w:t>
      </w:r>
      <w:r>
        <w:t xml:space="preserve"> (Isa 38:11) uses rolling up as an image for death (cf. </w:t>
      </w:r>
      <w:r>
        <w:rPr>
          <w:i/>
          <w:iCs/>
        </w:rPr>
        <w:t>HUB</w:t>
      </w:r>
      <w:r>
        <w:t xml:space="preserve">). </w:t>
      </w:r>
      <w:r w:rsidR="00511ACD">
        <w:rPr>
          <w:sz w:val="18"/>
          <w:szCs w:val="18"/>
        </w:rPr>
        <w:t>LX</w:t>
      </w:r>
      <w:r w:rsidR="00121FEE">
        <w:rPr>
          <w:sz w:val="18"/>
          <w:szCs w:val="18"/>
        </w:rPr>
        <w:t xml:space="preserve">X </w:t>
      </w:r>
      <w:r>
        <w:t xml:space="preserve">“atonement” might imply that it links the word with </w:t>
      </w:r>
      <w:r>
        <w:rPr>
          <w:rFonts w:cstheme="minorHAnsi"/>
          <w:rtl/>
          <w:lang w:bidi="he-IL"/>
        </w:rPr>
        <w:t>כפר</w:t>
      </w:r>
      <w:r>
        <w:t xml:space="preserve"> (</w:t>
      </w:r>
      <w:r>
        <w:rPr>
          <w:i/>
          <w:iCs/>
        </w:rPr>
        <w:t>HUB</w:t>
      </w:r>
      <w:r>
        <w:t>).</w:t>
      </w:r>
    </w:p>
  </w:footnote>
  <w:footnote w:id="216">
    <w:p w14:paraId="37383CDE" w14:textId="62CBBF3D" w:rsidR="006F166E" w:rsidRDefault="006F166E">
      <w:pPr>
        <w:pStyle w:val="FootnoteText"/>
      </w:pPr>
      <w:r>
        <w:rPr>
          <w:rStyle w:val="FootnoteReference"/>
        </w:rPr>
        <w:footnoteRef/>
      </w:r>
      <w:r>
        <w:t xml:space="preserve"> See Klein</w:t>
      </w:r>
      <w:r w:rsidR="00F257A1">
        <w:t>,</w:t>
      </w:r>
      <w:r>
        <w:t xml:space="preserve"> “Das Ende</w:t>
      </w:r>
      <w:r w:rsidR="00F257A1">
        <w:t>”</w:t>
      </w:r>
    </w:p>
  </w:footnote>
  <w:footnote w:id="217">
    <w:p w14:paraId="2BA40686" w14:textId="7C2B185F" w:rsidR="003F7D04" w:rsidRPr="00105C24" w:rsidRDefault="003F7D04" w:rsidP="003F7D04">
      <w:pPr>
        <w:pStyle w:val="FootnoteText"/>
        <w:rPr>
          <w:lang w:val="de-DE"/>
        </w:rPr>
      </w:pPr>
      <w:r>
        <w:rPr>
          <w:rStyle w:val="FootnoteReference"/>
        </w:rPr>
        <w:footnoteRef/>
      </w:r>
      <w:r w:rsidRPr="00105C24">
        <w:rPr>
          <w:lang w:val="de-DE"/>
        </w:rPr>
        <w:t xml:space="preserve"> Lust, </w:t>
      </w:r>
      <w:r w:rsidRPr="00105C24">
        <w:rPr>
          <w:rFonts w:ascii="Calibri" w:eastAsia="Times New Roman" w:hAnsi="Calibri" w:cs="Calibri"/>
          <w:color w:val="000000"/>
          <w:lang w:val="de-DE" w:eastAsia="en-GB"/>
        </w:rPr>
        <w:t>Hauspie, and Ternier</w:t>
      </w:r>
      <w:r w:rsidRPr="00105C24">
        <w:rPr>
          <w:lang w:val="de-DE"/>
        </w:rPr>
        <w:t>, “Ezekiel 7,” 393</w:t>
      </w:r>
      <w:r w:rsidR="001943CB">
        <w:rPr>
          <w:lang w:val="de-DE"/>
        </w:rPr>
        <w:t>–</w:t>
      </w:r>
      <w:r w:rsidRPr="00105C24">
        <w:rPr>
          <w:lang w:val="de-DE"/>
        </w:rPr>
        <w:t>94.</w:t>
      </w:r>
    </w:p>
  </w:footnote>
  <w:footnote w:id="218">
    <w:p w14:paraId="7CDC237E" w14:textId="3CCB7317" w:rsidR="004D3556" w:rsidRPr="00105C24" w:rsidRDefault="00B4745F" w:rsidP="004D3556">
      <w:pPr>
        <w:pStyle w:val="FootnoteText"/>
        <w:rPr>
          <w:lang w:val="de-DE"/>
        </w:rPr>
      </w:pPr>
      <w:r>
        <w:rPr>
          <w:rStyle w:val="FootnoteReference"/>
        </w:rPr>
        <w:footnoteRef/>
      </w:r>
      <w:r w:rsidRPr="00105C24">
        <w:rPr>
          <w:lang w:val="de-DE"/>
        </w:rPr>
        <w:t xml:space="preserve"> </w:t>
      </w:r>
      <w:r w:rsidR="004D3556" w:rsidRPr="00105C24">
        <w:rPr>
          <w:lang w:val="de-DE"/>
        </w:rPr>
        <w:t>Cf. Joyce, 94</w:t>
      </w:r>
      <w:r w:rsidR="00807F8C" w:rsidRPr="00105C24">
        <w:rPr>
          <w:lang w:val="de-DE"/>
        </w:rPr>
        <w:t xml:space="preserve">; </w:t>
      </w:r>
      <w:r w:rsidR="00FF635A" w:rsidRPr="00105C24">
        <w:rPr>
          <w:lang w:val="de-DE"/>
        </w:rPr>
        <w:t>Lust</w:t>
      </w:r>
      <w:r w:rsidR="0099075D" w:rsidRPr="00105C24">
        <w:rPr>
          <w:lang w:val="de-DE"/>
        </w:rPr>
        <w:t xml:space="preserve">, </w:t>
      </w:r>
      <w:r w:rsidR="0099075D" w:rsidRPr="00105C24">
        <w:rPr>
          <w:rFonts w:ascii="Calibri" w:eastAsia="Times New Roman" w:hAnsi="Calibri" w:cs="Calibri"/>
          <w:color w:val="000000"/>
          <w:lang w:val="de-DE" w:eastAsia="en-GB"/>
        </w:rPr>
        <w:t>Hauspie, and Ternier</w:t>
      </w:r>
      <w:r w:rsidR="009B1A2D" w:rsidRPr="00105C24">
        <w:rPr>
          <w:lang w:val="de-DE"/>
        </w:rPr>
        <w:t>, “</w:t>
      </w:r>
      <w:r w:rsidR="0099075D" w:rsidRPr="00105C24">
        <w:rPr>
          <w:lang w:val="de-DE"/>
        </w:rPr>
        <w:t>Ezekiel 7</w:t>
      </w:r>
      <w:r w:rsidR="009B1A2D" w:rsidRPr="00105C24">
        <w:rPr>
          <w:lang w:val="de-DE"/>
        </w:rPr>
        <w:t xml:space="preserve">”; </w:t>
      </w:r>
      <w:r w:rsidR="00FF635A" w:rsidRPr="00105C24">
        <w:rPr>
          <w:lang w:val="de-DE"/>
        </w:rPr>
        <w:t>Mackie, “Transformation.”</w:t>
      </w:r>
    </w:p>
  </w:footnote>
  <w:footnote w:id="219">
    <w:p w14:paraId="49933C4A" w14:textId="7DEFA822" w:rsidR="0050010C" w:rsidRDefault="00F27CF1" w:rsidP="00C1585C">
      <w:pPr>
        <w:pStyle w:val="FootnoteText"/>
      </w:pPr>
      <w:r>
        <w:rPr>
          <w:rStyle w:val="FootnoteReference"/>
        </w:rPr>
        <w:footnoteRef/>
      </w:r>
      <w:r>
        <w:t xml:space="preserve"> </w:t>
      </w:r>
      <w:r w:rsidR="0050010C">
        <w:t xml:space="preserve">Cf. </w:t>
      </w:r>
      <w:r w:rsidR="002C2ADF">
        <w:t>Stiebert, “Riches,” 38.</w:t>
      </w:r>
    </w:p>
  </w:footnote>
  <w:footnote w:id="220">
    <w:p w14:paraId="5874B4B1" w14:textId="33AE573C" w:rsidR="00CF1198" w:rsidRDefault="00CF1198">
      <w:pPr>
        <w:pStyle w:val="FootnoteText"/>
      </w:pPr>
      <w:r>
        <w:rPr>
          <w:rStyle w:val="FootnoteReference"/>
        </w:rPr>
        <w:footnoteRef/>
      </w:r>
      <w:r>
        <w:t xml:space="preserve"> See the </w:t>
      </w:r>
      <w:r w:rsidR="009D5E13">
        <w:t>biblical theology comments</w:t>
      </w:r>
      <w:r>
        <w:t xml:space="preserve"> on 6:1</w:t>
      </w:r>
      <w:r w:rsidR="001943CB">
        <w:t>–</w:t>
      </w:r>
      <w:r w:rsidR="004C774B">
        <w:t>14</w:t>
      </w:r>
      <w:r w:rsidR="00994C2B">
        <w:t>, on idols</w:t>
      </w:r>
      <w:r w:rsidR="004C774B">
        <w:t>.</w:t>
      </w:r>
    </w:p>
  </w:footnote>
  <w:footnote w:id="221">
    <w:p w14:paraId="51749AED" w14:textId="5899535E" w:rsidR="00F73F04" w:rsidRPr="00F73F04" w:rsidRDefault="00BD41E3" w:rsidP="00F73F04">
      <w:pPr>
        <w:pStyle w:val="FootnoteText"/>
      </w:pPr>
      <w:r>
        <w:rPr>
          <w:rStyle w:val="FootnoteReference"/>
        </w:rPr>
        <w:footnoteRef/>
      </w:r>
      <w:r>
        <w:t xml:space="preserve"> See furt</w:t>
      </w:r>
      <w:r w:rsidR="00E4528C">
        <w:t xml:space="preserve">her </w:t>
      </w:r>
      <w:r w:rsidR="00F73F04" w:rsidRPr="00F73F04">
        <w:rPr>
          <w:rFonts w:eastAsia="Times New Roman"/>
          <w:color w:val="000000"/>
          <w:lang w:eastAsia="en-GB"/>
        </w:rPr>
        <w:t>Ganzel</w:t>
      </w:r>
      <w:r w:rsidR="00E4528C">
        <w:rPr>
          <w:rFonts w:eastAsia="Times New Roman"/>
          <w:color w:val="000000"/>
          <w:lang w:eastAsia="en-GB"/>
        </w:rPr>
        <w:t xml:space="preserve">, </w:t>
      </w:r>
      <w:r w:rsidR="00F73F04">
        <w:t>“Defilement</w:t>
      </w:r>
      <w:r w:rsidR="004E68FF">
        <w:t>.</w:t>
      </w:r>
      <w:r w:rsidR="00F73F04">
        <w:t>”</w:t>
      </w:r>
    </w:p>
  </w:footnote>
  <w:footnote w:id="222">
    <w:p w14:paraId="5CD10393" w14:textId="4CA959E2" w:rsidR="00AE39AD" w:rsidRDefault="00AE39AD">
      <w:pPr>
        <w:pStyle w:val="FootnoteText"/>
      </w:pPr>
      <w:r>
        <w:rPr>
          <w:rStyle w:val="FootnoteReference"/>
        </w:rPr>
        <w:footnoteRef/>
      </w:r>
      <w:r>
        <w:t xml:space="preserve"> </w:t>
      </w:r>
      <w:r w:rsidR="00E02E11">
        <w:t>Wong, “Profanation,” 232.</w:t>
      </w:r>
    </w:p>
  </w:footnote>
  <w:footnote w:id="223">
    <w:p w14:paraId="3C92CB9C" w14:textId="49FFA589" w:rsidR="00FA5D6F" w:rsidRPr="002F6BD9" w:rsidRDefault="00D6156A" w:rsidP="00FA5D6F">
      <w:pPr>
        <w:pStyle w:val="FootnoteText"/>
        <w:rPr>
          <w:rFonts w:ascii="Calibri" w:hAnsi="Calibri" w:cs="Calibri"/>
          <w:lang w:val="nl-NL"/>
        </w:rPr>
      </w:pPr>
      <w:r>
        <w:rPr>
          <w:rStyle w:val="FootnoteReference"/>
        </w:rPr>
        <w:footnoteRef/>
      </w:r>
      <w:r w:rsidRPr="002F6BD9">
        <w:rPr>
          <w:lang w:val="nl-NL"/>
        </w:rPr>
        <w:t xml:space="preserve"> Van Rooy, “Vrede</w:t>
      </w:r>
      <w:r w:rsidR="00895D30" w:rsidRPr="002F6BD9">
        <w:rPr>
          <w:rFonts w:ascii="Calibri" w:hAnsi="Calibri" w:cs="Calibri"/>
          <w:lang w:val="nl-NL"/>
        </w:rPr>
        <w:t>.”</w:t>
      </w:r>
    </w:p>
  </w:footnote>
  <w:footnote w:id="224">
    <w:p w14:paraId="52C3DCB6" w14:textId="6038EA1F" w:rsidR="00C822F0" w:rsidRPr="002F6BD9" w:rsidRDefault="00C822F0">
      <w:pPr>
        <w:pStyle w:val="FootnoteText"/>
        <w:rPr>
          <w:lang w:val="nl-NL"/>
        </w:rPr>
      </w:pPr>
      <w:r>
        <w:rPr>
          <w:rStyle w:val="FootnoteReference"/>
        </w:rPr>
        <w:footnoteRef/>
      </w:r>
      <w:r w:rsidRPr="002F6BD9">
        <w:rPr>
          <w:lang w:val="nl-NL"/>
        </w:rPr>
        <w:t xml:space="preserve"> See </w:t>
      </w:r>
      <w:r w:rsidR="008021CB" w:rsidRPr="002F6BD9">
        <w:rPr>
          <w:lang w:val="nl-NL"/>
        </w:rPr>
        <w:t xml:space="preserve">E. </w:t>
      </w:r>
      <w:r w:rsidRPr="002F6BD9">
        <w:rPr>
          <w:lang w:val="nl-NL"/>
        </w:rPr>
        <w:t>Lipi</w:t>
      </w:r>
      <w:r w:rsidR="003D5315" w:rsidRPr="002F6BD9">
        <w:rPr>
          <w:rFonts w:cstheme="minorHAnsi"/>
          <w:lang w:val="nl-NL"/>
        </w:rPr>
        <w:t>ń</w:t>
      </w:r>
      <w:r w:rsidR="00821B1E" w:rsidRPr="002F6BD9">
        <w:rPr>
          <w:rFonts w:cstheme="minorHAnsi"/>
          <w:lang w:val="nl-NL"/>
        </w:rPr>
        <w:t xml:space="preserve">ski, </w:t>
      </w:r>
      <w:r w:rsidR="00821B1E" w:rsidRPr="002F6BD9">
        <w:rPr>
          <w:rFonts w:cstheme="minorHAnsi"/>
          <w:i/>
          <w:iCs/>
          <w:lang w:val="nl-NL"/>
        </w:rPr>
        <w:t>TDOT</w:t>
      </w:r>
      <w:r w:rsidR="00821B1E" w:rsidRPr="002F6BD9">
        <w:rPr>
          <w:rFonts w:cstheme="minorHAnsi"/>
          <w:lang w:val="nl-NL"/>
        </w:rPr>
        <w:t xml:space="preserve"> </w:t>
      </w:r>
      <w:r w:rsidR="008021CB" w:rsidRPr="002F6BD9">
        <w:rPr>
          <w:rFonts w:cstheme="minorHAnsi"/>
          <w:lang w:val="nl-NL"/>
        </w:rPr>
        <w:t>11:1174</w:t>
      </w:r>
      <w:r w:rsidR="001943CB">
        <w:rPr>
          <w:rFonts w:cstheme="minorHAnsi"/>
          <w:lang w:val="nl-NL"/>
        </w:rPr>
        <w:t>–</w:t>
      </w:r>
      <w:r w:rsidR="008021CB" w:rsidRPr="002F6BD9">
        <w:rPr>
          <w:rFonts w:cstheme="minorHAnsi"/>
          <w:lang w:val="nl-NL"/>
        </w:rPr>
        <w:t>75.</w:t>
      </w:r>
    </w:p>
  </w:footnote>
  <w:footnote w:id="225">
    <w:p w14:paraId="5A85292A" w14:textId="61F4B9CD" w:rsidR="00CC083A" w:rsidRDefault="00CC083A">
      <w:pPr>
        <w:pStyle w:val="FootnoteText"/>
      </w:pPr>
      <w:r>
        <w:rPr>
          <w:rStyle w:val="FootnoteReference"/>
        </w:rPr>
        <w:footnoteRef/>
      </w:r>
      <w:r>
        <w:t xml:space="preserve"> </w:t>
      </w:r>
      <w:r w:rsidR="00EC5EC1" w:rsidRPr="0035618B">
        <w:rPr>
          <w:rFonts w:ascii="Calibri" w:eastAsia="Times New Roman" w:hAnsi="Calibri" w:cs="Calibri"/>
          <w:color w:val="000000"/>
          <w:lang w:eastAsia="en-GB"/>
        </w:rPr>
        <w:t xml:space="preserve">Deselaers, </w:t>
      </w:r>
      <w:r w:rsidR="00294C5D">
        <w:rPr>
          <w:rFonts w:ascii="Calibri" w:eastAsia="Times New Roman" w:hAnsi="Calibri" w:cs="Calibri"/>
          <w:color w:val="000000"/>
          <w:lang w:eastAsia="en-GB"/>
        </w:rPr>
        <w:t>”</w:t>
      </w:r>
      <w:r w:rsidR="00EC5EC1" w:rsidRPr="0035618B">
        <w:rPr>
          <w:rFonts w:ascii="Calibri" w:eastAsia="Times New Roman" w:hAnsi="Calibri" w:cs="Calibri"/>
          <w:color w:val="000000"/>
          <w:lang w:eastAsia="en-GB"/>
        </w:rPr>
        <w:t>Wächteramt.“</w:t>
      </w:r>
    </w:p>
  </w:footnote>
  <w:footnote w:id="226">
    <w:p w14:paraId="1B1F9066" w14:textId="6902E044" w:rsidR="00A822B5" w:rsidRPr="00A762FF" w:rsidRDefault="00A822B5" w:rsidP="00A822B5">
      <w:pPr>
        <w:pStyle w:val="FootnoteText"/>
        <w:rPr>
          <w:lang w:val="nl-NL"/>
        </w:rPr>
      </w:pPr>
      <w:r>
        <w:rPr>
          <w:rStyle w:val="FootnoteReference"/>
        </w:rPr>
        <w:footnoteRef/>
      </w:r>
      <w:r w:rsidRPr="002F6BD9">
        <w:rPr>
          <w:lang w:val="nl-NL"/>
        </w:rPr>
        <w:t xml:space="preserve"> Cf. </w:t>
      </w:r>
      <w:r w:rsidRPr="002F6BD9">
        <w:rPr>
          <w:lang w:val="nl-NL"/>
        </w:rPr>
        <w:t>Eichrodt, 120; Joyce, 93;</w:t>
      </w:r>
      <w:r w:rsidRPr="002F6BD9">
        <w:rPr>
          <w:i/>
          <w:iCs/>
          <w:lang w:val="nl-NL"/>
        </w:rPr>
        <w:t xml:space="preserve"> </w:t>
      </w:r>
      <w:r w:rsidRPr="002F6BD9">
        <w:rPr>
          <w:lang w:val="nl-NL"/>
        </w:rPr>
        <w:t>and</w:t>
      </w:r>
      <w:r w:rsidRPr="002F6BD9">
        <w:rPr>
          <w:i/>
          <w:iCs/>
          <w:lang w:val="nl-NL"/>
        </w:rPr>
        <w:t xml:space="preserve"> </w:t>
      </w:r>
      <w:r w:rsidRPr="002F6BD9">
        <w:rPr>
          <w:lang w:val="nl-NL"/>
        </w:rPr>
        <w:t>see, e.g</w:t>
      </w:r>
      <w:r w:rsidR="00A762FF">
        <w:rPr>
          <w:lang w:val="nl-NL"/>
        </w:rPr>
        <w:t xml:space="preserve">., </w:t>
      </w:r>
      <w:r w:rsidR="00A762FF">
        <w:rPr>
          <w:i/>
          <w:iCs/>
          <w:lang w:val="nl-NL"/>
        </w:rPr>
        <w:t>OTP</w:t>
      </w:r>
      <w:r w:rsidR="00A762FF">
        <w:rPr>
          <w:lang w:val="nl-NL"/>
        </w:rPr>
        <w:t xml:space="preserve"> Vol. 1.</w:t>
      </w:r>
    </w:p>
  </w:footnote>
  <w:footnote w:id="227">
    <w:p w14:paraId="24F36795" w14:textId="44FF4BAE" w:rsidR="00A822B5" w:rsidRPr="00105C24" w:rsidRDefault="00A822B5" w:rsidP="00A822B5">
      <w:pPr>
        <w:pStyle w:val="FootnoteText"/>
        <w:rPr>
          <w:lang w:val="de-DE"/>
        </w:rPr>
      </w:pPr>
      <w:r>
        <w:rPr>
          <w:rStyle w:val="FootnoteReference"/>
        </w:rPr>
        <w:footnoteRef/>
      </w:r>
      <w:r w:rsidRPr="00105C24">
        <w:rPr>
          <w:lang w:val="de-DE"/>
        </w:rPr>
        <w:t xml:space="preserve"> See, e.g., Zimmerli</w:t>
      </w:r>
      <w:r>
        <w:rPr>
          <w:lang w:val="de-DE"/>
        </w:rPr>
        <w:t>,</w:t>
      </w:r>
      <w:r w:rsidRPr="00105C24">
        <w:rPr>
          <w:lang w:val="de-DE"/>
        </w:rPr>
        <w:t xml:space="preserve"> 1:230</w:t>
      </w:r>
      <w:r w:rsidR="001943CB">
        <w:rPr>
          <w:lang w:val="de-DE"/>
        </w:rPr>
        <w:t>–</w:t>
      </w:r>
      <w:r w:rsidRPr="00105C24">
        <w:rPr>
          <w:lang w:val="de-DE"/>
        </w:rPr>
        <w:t>34; Allen</w:t>
      </w:r>
      <w:r>
        <w:rPr>
          <w:lang w:val="de-DE"/>
        </w:rPr>
        <w:t>,</w:t>
      </w:r>
      <w:r w:rsidRPr="00105C24">
        <w:rPr>
          <w:lang w:val="de-DE"/>
        </w:rPr>
        <w:t xml:space="preserve"> 1:129</w:t>
      </w:r>
      <w:r w:rsidR="001943CB">
        <w:rPr>
          <w:lang w:val="de-DE"/>
        </w:rPr>
        <w:t>–</w:t>
      </w:r>
      <w:r w:rsidRPr="00105C24">
        <w:rPr>
          <w:lang w:val="de-DE"/>
        </w:rPr>
        <w:t>36; Pohlmann</w:t>
      </w:r>
      <w:r>
        <w:rPr>
          <w:lang w:val="de-DE"/>
        </w:rPr>
        <w:t>,</w:t>
      </w:r>
      <w:r w:rsidRPr="00105C24">
        <w:rPr>
          <w:lang w:val="de-DE"/>
        </w:rPr>
        <w:t xml:space="preserve"> 1:123</w:t>
      </w:r>
      <w:r w:rsidR="001943CB">
        <w:rPr>
          <w:lang w:val="de-DE"/>
        </w:rPr>
        <w:t>–</w:t>
      </w:r>
      <w:r w:rsidRPr="00105C24">
        <w:rPr>
          <w:lang w:val="de-DE"/>
        </w:rPr>
        <w:t>34</w:t>
      </w:r>
      <w:r>
        <w:rPr>
          <w:lang w:val="de-DE"/>
        </w:rPr>
        <w:t xml:space="preserve">; </w:t>
      </w:r>
      <w:r w:rsidRPr="005469A6">
        <w:rPr>
          <w:rFonts w:ascii="Calibri" w:eastAsia="Times New Roman" w:hAnsi="Calibri" w:cs="Calibri"/>
          <w:color w:val="000000"/>
          <w:lang w:eastAsia="en-GB"/>
        </w:rPr>
        <w:t>J</w:t>
      </w:r>
      <w:r>
        <w:rPr>
          <w:rFonts w:ascii="Calibri" w:eastAsia="Times New Roman" w:hAnsi="Calibri" w:cs="Calibri"/>
          <w:color w:val="000000"/>
          <w:lang w:eastAsia="en-GB"/>
        </w:rPr>
        <w:t>anina</w:t>
      </w:r>
      <w:r w:rsidRPr="005469A6">
        <w:rPr>
          <w:rFonts w:ascii="Calibri" w:eastAsia="Times New Roman" w:hAnsi="Calibri" w:cs="Calibri"/>
          <w:color w:val="000000"/>
          <w:lang w:eastAsia="en-GB"/>
        </w:rPr>
        <w:t xml:space="preserve"> M. </w:t>
      </w:r>
      <w:r>
        <w:rPr>
          <w:rFonts w:ascii="Calibri" w:eastAsia="Times New Roman" w:hAnsi="Calibri" w:cs="Calibri"/>
          <w:color w:val="000000"/>
          <w:lang w:eastAsia="en-GB"/>
        </w:rPr>
        <w:t xml:space="preserve">Hiebel, </w:t>
      </w:r>
      <w:r w:rsidRPr="00456E7A">
        <w:rPr>
          <w:rFonts w:ascii="Calibri" w:eastAsia="Times New Roman" w:hAnsi="Calibri" w:cs="Calibri"/>
          <w:i/>
          <w:iCs/>
          <w:color w:val="000000"/>
          <w:lang w:eastAsia="en-GB"/>
        </w:rPr>
        <w:t>Ezekiel's Vision Accounts as Interrelated Narratives: A Redaction-Critical and Theological Study</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 xml:space="preserve">BZAW 475 </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Berlin: </w:t>
      </w:r>
      <w:r w:rsidR="00DB65E0">
        <w:rPr>
          <w:rFonts w:ascii="Calibri" w:eastAsia="Times New Roman" w:hAnsi="Calibri" w:cs="Calibri"/>
          <w:color w:val="000000"/>
          <w:lang w:eastAsia="en-GB"/>
        </w:rPr>
        <w:t>d</w:t>
      </w:r>
      <w:r w:rsidRPr="005469A6">
        <w:rPr>
          <w:rFonts w:ascii="Calibri" w:eastAsia="Times New Roman" w:hAnsi="Calibri" w:cs="Calibri"/>
          <w:color w:val="000000"/>
          <w:lang w:eastAsia="en-GB"/>
        </w:rPr>
        <w:t>e Gruyter, 2015</w:t>
      </w:r>
      <w:r>
        <w:rPr>
          <w:rFonts w:ascii="Calibri" w:eastAsia="Times New Roman" w:hAnsi="Calibri" w:cs="Calibri"/>
          <w:color w:val="000000"/>
          <w:lang w:eastAsia="en-GB"/>
        </w:rPr>
        <w:t>), 94</w:t>
      </w:r>
      <w:r w:rsidR="001943CB">
        <w:rPr>
          <w:rFonts w:ascii="Calibri" w:eastAsia="Times New Roman" w:hAnsi="Calibri" w:cs="Calibri"/>
          <w:color w:val="000000"/>
          <w:lang w:eastAsia="en-GB"/>
        </w:rPr>
        <w:t>–</w:t>
      </w:r>
      <w:r>
        <w:rPr>
          <w:rFonts w:ascii="Calibri" w:eastAsia="Times New Roman" w:hAnsi="Calibri" w:cs="Calibri"/>
          <w:color w:val="000000"/>
          <w:lang w:eastAsia="en-GB"/>
        </w:rPr>
        <w:t>138.</w:t>
      </w:r>
    </w:p>
  </w:footnote>
  <w:footnote w:id="228">
    <w:p w14:paraId="3F80ADF0" w14:textId="11D4E53D" w:rsidR="00542F92" w:rsidRDefault="00542F92">
      <w:pPr>
        <w:pStyle w:val="FootnoteText"/>
      </w:pPr>
      <w:r>
        <w:rPr>
          <w:rStyle w:val="FootnoteReference"/>
        </w:rPr>
        <w:footnoteRef/>
      </w:r>
      <w:r>
        <w:t xml:space="preserve"> Cf. </w:t>
      </w:r>
      <w:r>
        <w:t xml:space="preserve">Nihan, </w:t>
      </w:r>
      <w:r w:rsidR="00AD6900">
        <w:t xml:space="preserve">“Ezechiel 8,” </w:t>
      </w:r>
      <w:r w:rsidR="00EB2E48">
        <w:t>107</w:t>
      </w:r>
      <w:r w:rsidR="001943CB">
        <w:t>–</w:t>
      </w:r>
      <w:r w:rsidR="00623EF0">
        <w:t>18.</w:t>
      </w:r>
    </w:p>
  </w:footnote>
  <w:footnote w:id="229">
    <w:p w14:paraId="08ADE5F5" w14:textId="7773E89E" w:rsidR="00D864BC" w:rsidRDefault="00D864BC" w:rsidP="00D864BC">
      <w:pPr>
        <w:pStyle w:val="FootnoteText"/>
      </w:pPr>
      <w:r>
        <w:rPr>
          <w:rStyle w:val="FootnoteReference"/>
        </w:rPr>
        <w:footnoteRef/>
      </w:r>
      <w:r>
        <w:t xml:space="preserve"> Here and elsewhere, translations vary over translating</w:t>
      </w:r>
      <w:r w:rsidR="0055304A">
        <w:t xml:space="preserve"> </w:t>
      </w:r>
      <w:r w:rsidR="001D4FC4">
        <w:rPr>
          <w:rFonts w:cstheme="minorHAnsi"/>
          <w:rtl/>
          <w:lang w:bidi="he-IL"/>
        </w:rPr>
        <w:t>רָאָה</w:t>
      </w:r>
      <w:r>
        <w:rPr>
          <w:rFonts w:cstheme="minorHAnsi"/>
          <w:bCs/>
        </w:rPr>
        <w:t xml:space="preserve"> “see” (which draws more attention to the object of the seeing) or “look” (which draws more attention to the looker’s activity). </w:t>
      </w:r>
      <w:r w:rsidR="00014256">
        <w:rPr>
          <w:rFonts w:cstheme="minorHAnsi"/>
          <w:bCs/>
        </w:rPr>
        <w:t>“</w:t>
      </w:r>
      <w:r w:rsidRPr="00014256">
        <w:rPr>
          <w:rFonts w:cstheme="minorHAnsi"/>
          <w:bCs/>
        </w:rPr>
        <w:t>Lift</w:t>
      </w:r>
      <w:r>
        <w:rPr>
          <w:rFonts w:cstheme="minorHAnsi"/>
          <w:bCs/>
          <w:i/>
          <w:iCs/>
        </w:rPr>
        <w:t xml:space="preserve"> </w:t>
      </w:r>
      <w:r w:rsidRPr="00014256">
        <w:rPr>
          <w:rFonts w:cstheme="minorHAnsi"/>
          <w:bCs/>
        </w:rPr>
        <w:t>your</w:t>
      </w:r>
      <w:r>
        <w:rPr>
          <w:rFonts w:cstheme="minorHAnsi"/>
          <w:bCs/>
          <w:i/>
          <w:iCs/>
        </w:rPr>
        <w:t xml:space="preserve"> </w:t>
      </w:r>
      <w:r w:rsidRPr="00014256">
        <w:rPr>
          <w:rFonts w:cstheme="minorHAnsi"/>
          <w:bCs/>
        </w:rPr>
        <w:t>eyes</w:t>
      </w:r>
      <w:r w:rsidR="00014256">
        <w:rPr>
          <w:rFonts w:cstheme="minorHAnsi"/>
          <w:bCs/>
        </w:rPr>
        <w:t>”</w:t>
      </w:r>
      <w:r>
        <w:rPr>
          <w:rFonts w:cstheme="minorHAnsi"/>
          <w:bCs/>
          <w:i/>
          <w:iCs/>
        </w:rPr>
        <w:t xml:space="preserve"> </w:t>
      </w:r>
      <w:r>
        <w:rPr>
          <w:rFonts w:cstheme="minorHAnsi"/>
          <w:bCs/>
        </w:rPr>
        <w:t>(</w:t>
      </w:r>
      <w:r w:rsidR="008D3B01">
        <w:rPr>
          <w:rFonts w:cstheme="minorHAnsi"/>
          <w:bCs/>
        </w:rPr>
        <w:t>8:</w:t>
      </w:r>
      <w:r>
        <w:rPr>
          <w:rFonts w:cstheme="minorHAnsi"/>
          <w:bCs/>
        </w:rPr>
        <w:t>5) puts the emphasis on the latter. Seeing is a great theme in this chapter (</w:t>
      </w:r>
      <w:r>
        <w:t>H</w:t>
      </w:r>
      <w:r>
        <w:rPr>
          <w:rFonts w:cstheme="minorHAnsi"/>
        </w:rPr>
        <w:t>ä</w:t>
      </w:r>
      <w:r>
        <w:t>ner, 169).</w:t>
      </w:r>
    </w:p>
  </w:footnote>
  <w:footnote w:id="230">
    <w:p w14:paraId="75EEFAD3" w14:textId="6D0F767A" w:rsidR="00964CCD" w:rsidRDefault="00964CCD">
      <w:pPr>
        <w:pStyle w:val="FootnoteText"/>
      </w:pPr>
      <w:r>
        <w:rPr>
          <w:rStyle w:val="FootnoteReference"/>
        </w:rPr>
        <w:footnoteRef/>
      </w:r>
      <w:r>
        <w:t xml:space="preserve"> See the translation footnote on 2:2.</w:t>
      </w:r>
    </w:p>
  </w:footnote>
  <w:footnote w:id="231">
    <w:p w14:paraId="1719655A" w14:textId="3F2074F0" w:rsidR="004D2205" w:rsidRDefault="004D2205">
      <w:pPr>
        <w:pStyle w:val="FootnoteText"/>
      </w:pPr>
      <w:r>
        <w:rPr>
          <w:rStyle w:val="FootnoteReference"/>
        </w:rPr>
        <w:footnoteRef/>
      </w:r>
      <w:r>
        <w:t xml:space="preserve"> See the</w:t>
      </w:r>
      <w:r w:rsidR="00AA584F">
        <w:t xml:space="preserve"> </w:t>
      </w:r>
      <w:r w:rsidR="00CB0B66">
        <w:t xml:space="preserve">verse-by-verse </w:t>
      </w:r>
      <w:r w:rsidR="00AA584F">
        <w:t>commentary on 1:1.</w:t>
      </w:r>
    </w:p>
  </w:footnote>
  <w:footnote w:id="232">
    <w:p w14:paraId="7FBBCD8F" w14:textId="4F6F8188" w:rsidR="00CA4178" w:rsidRDefault="00CA4178" w:rsidP="00CA4178">
      <w:pPr>
        <w:pStyle w:val="FootnoteText"/>
      </w:pPr>
      <w:r>
        <w:rPr>
          <w:rStyle w:val="FootnoteReference"/>
        </w:rPr>
        <w:footnoteRef/>
      </w:r>
      <w:r>
        <w:t xml:space="preserve"> I</w:t>
      </w:r>
      <w:r>
        <w:rPr>
          <w:rFonts w:cstheme="minorHAnsi"/>
        </w:rPr>
        <w:t xml:space="preserve">n the phrase </w:t>
      </w:r>
      <w:r>
        <w:rPr>
          <w:rFonts w:cstheme="minorHAnsi"/>
          <w:rtl/>
          <w:lang w:bidi="he-IL"/>
        </w:rPr>
        <w:t>סֵמֶל</w:t>
      </w:r>
      <w:r>
        <w:rPr>
          <w:rFonts w:cstheme="minorHAnsi" w:hint="cs"/>
          <w:rtl/>
          <w:lang w:bidi="he-IL"/>
        </w:rPr>
        <w:t xml:space="preserve"> </w:t>
      </w:r>
      <w:r>
        <w:rPr>
          <w:rFonts w:cstheme="minorHAnsi"/>
          <w:rtl/>
          <w:lang w:bidi="he-IL"/>
        </w:rPr>
        <w:t>הַקִּנְאָה</w:t>
      </w:r>
      <w:r>
        <w:rPr>
          <w:rFonts w:cstheme="minorHAnsi" w:hint="cs"/>
          <w:rtl/>
          <w:lang w:bidi="he-IL"/>
        </w:rPr>
        <w:t xml:space="preserve"> </w:t>
      </w:r>
      <w:r>
        <w:rPr>
          <w:rFonts w:cstheme="minorHAnsi"/>
          <w:rtl/>
          <w:lang w:bidi="he-IL"/>
        </w:rPr>
        <w:t>הַמַּקְנֶה</w:t>
      </w:r>
      <w:r>
        <w:rPr>
          <w:rFonts w:cstheme="minorHAnsi"/>
        </w:rPr>
        <w:t xml:space="preserve">, </w:t>
      </w:r>
      <w:r w:rsidR="00573675">
        <w:rPr>
          <w:rFonts w:cstheme="minorHAnsi"/>
        </w:rPr>
        <w:t xml:space="preserve">Vg. </w:t>
      </w:r>
      <w:r>
        <w:rPr>
          <w:rFonts w:cstheme="minorHAnsi"/>
        </w:rPr>
        <w:t xml:space="preserve">sees two forms from </w:t>
      </w:r>
      <w:r>
        <w:rPr>
          <w:rFonts w:cstheme="minorHAnsi"/>
          <w:rtl/>
          <w:lang w:bidi="he-IL"/>
        </w:rPr>
        <w:t>קָנָא</w:t>
      </w:r>
      <w:r>
        <w:rPr>
          <w:rFonts w:cstheme="minorHAnsi"/>
        </w:rPr>
        <w:t xml:space="preserve"> meaning passion or jealousy (cf. EVV), </w:t>
      </w:r>
      <w:r w:rsidR="004F1666">
        <w:rPr>
          <w:rFonts w:cstheme="minorHAnsi"/>
        </w:rPr>
        <w:t xml:space="preserve">while </w:t>
      </w:r>
      <w:r w:rsidR="00511ACD">
        <w:rPr>
          <w:sz w:val="18"/>
          <w:szCs w:val="18"/>
        </w:rPr>
        <w:t>LXX</w:t>
      </w:r>
      <w:r w:rsidR="00511ACD" w:rsidRPr="00550961">
        <w:t xml:space="preserve"> </w:t>
      </w:r>
      <w:r>
        <w:rPr>
          <w:rFonts w:cstheme="minorHAnsi"/>
        </w:rPr>
        <w:t xml:space="preserve">simply has “the pillar of the buyer,” seeing a form from </w:t>
      </w:r>
      <w:r>
        <w:rPr>
          <w:rFonts w:cstheme="minorHAnsi"/>
          <w:rtl/>
          <w:lang w:bidi="he-IL"/>
        </w:rPr>
        <w:t>קָנָה</w:t>
      </w:r>
      <w:r w:rsidR="001D04E2">
        <w:rPr>
          <w:rFonts w:cstheme="minorHAnsi"/>
        </w:rPr>
        <w:t>. That verb</w:t>
      </w:r>
      <w:r>
        <w:rPr>
          <w:rFonts w:cstheme="minorHAnsi"/>
        </w:rPr>
        <w:t xml:space="preserve"> can also mean “(pro)create</w:t>
      </w:r>
      <w:r w:rsidR="00BB0C56">
        <w:rPr>
          <w:rFonts w:cstheme="minorHAnsi"/>
        </w:rPr>
        <w:t>,” which</w:t>
      </w:r>
      <w:r w:rsidR="003813AD">
        <w:rPr>
          <w:rFonts w:cstheme="minorHAnsi"/>
        </w:rPr>
        <w:t xml:space="preserve"> makes sense here</w:t>
      </w:r>
      <w:r w:rsidR="005935A2">
        <w:rPr>
          <w:rFonts w:cstheme="minorHAnsi"/>
        </w:rPr>
        <w:t>, the phrase as a whole</w:t>
      </w:r>
      <w:r>
        <w:rPr>
          <w:rFonts w:cstheme="minorHAnsi"/>
        </w:rPr>
        <w:t xml:space="preserve"> </w:t>
      </w:r>
      <w:r w:rsidR="006C2F3B">
        <w:rPr>
          <w:rFonts w:cstheme="minorHAnsi"/>
        </w:rPr>
        <w:t>involving paronomasia*</w:t>
      </w:r>
      <w:r>
        <w:rPr>
          <w:rFonts w:cstheme="minorHAnsi"/>
        </w:rPr>
        <w:t xml:space="preserve"> (</w:t>
      </w:r>
      <w:r>
        <w:t xml:space="preserve">see </w:t>
      </w:r>
      <w:r>
        <w:t>Lutzky, “Image”; Middlemas, “Transformation,” 117</w:t>
      </w:r>
      <w:r w:rsidR="005E76F3">
        <w:t>).</w:t>
      </w:r>
      <w:r w:rsidR="0031056C">
        <w:t xml:space="preserve"> </w:t>
      </w:r>
      <w:r w:rsidR="00795A19">
        <w:t>A</w:t>
      </w:r>
      <w:r w:rsidR="009F6125">
        <w:t>mz</w:t>
      </w:r>
      <w:r w:rsidR="00795A19">
        <w:t>allag</w:t>
      </w:r>
      <w:r w:rsidR="006E50E3">
        <w:t xml:space="preserve">, </w:t>
      </w:r>
      <w:r w:rsidR="009F6125">
        <w:t>“Revisiting</w:t>
      </w:r>
      <w:r w:rsidR="006E50E3">
        <w:t>,</w:t>
      </w:r>
      <w:r w:rsidR="009F6125">
        <w:t>” suggests a reference to the bronze altar of</w:t>
      </w:r>
      <w:r w:rsidR="002A2235">
        <w:t xml:space="preserve"> </w:t>
      </w:r>
      <w:r w:rsidR="00853FEA" w:rsidRPr="000153EF">
        <w:t>2 Kgs</w:t>
      </w:r>
      <w:r w:rsidR="003B62A0">
        <w:t xml:space="preserve"> 16</w:t>
      </w:r>
      <w:r w:rsidR="009F6125">
        <w:t>:</w:t>
      </w:r>
      <w:r w:rsidR="003B62A0">
        <w:t>14</w:t>
      </w:r>
      <w:r w:rsidR="009F6125">
        <w:t>.</w:t>
      </w:r>
    </w:p>
  </w:footnote>
  <w:footnote w:id="233">
    <w:p w14:paraId="3380CEF5" w14:textId="2ADC41C1" w:rsidR="00215052" w:rsidRDefault="00215052" w:rsidP="00F15AE5">
      <w:pPr>
        <w:pStyle w:val="FootnoteText"/>
      </w:pPr>
      <w:r>
        <w:rPr>
          <w:rStyle w:val="FootnoteReference"/>
        </w:rPr>
        <w:footnoteRef/>
      </w:r>
      <w:r>
        <w:t xml:space="preserve"> </w:t>
      </w:r>
      <w:r w:rsidR="00573675">
        <w:rPr>
          <w:rFonts w:cstheme="minorHAnsi"/>
        </w:rPr>
        <w:t xml:space="preserve">Vg. </w:t>
      </w:r>
      <w:r w:rsidR="00520695">
        <w:rPr>
          <w:rFonts w:cstheme="minorHAnsi"/>
        </w:rPr>
        <w:t xml:space="preserve">translates “so that I might be distant,” which </w:t>
      </w:r>
      <w:r w:rsidR="00A23C58">
        <w:rPr>
          <w:rFonts w:cstheme="minorHAnsi"/>
        </w:rPr>
        <w:t>suggest</w:t>
      </w:r>
      <w:r w:rsidR="00520695">
        <w:rPr>
          <w:rFonts w:cstheme="minorHAnsi"/>
        </w:rPr>
        <w:t>s the theme of Yahweh leaving, but there is no indication that Yahweh is the verb’s subject here (</w:t>
      </w:r>
      <w:r w:rsidR="00127097">
        <w:t>s</w:t>
      </w:r>
      <w:r w:rsidR="00520695">
        <w:t>ee Wong, “Note”).</w:t>
      </w:r>
    </w:p>
  </w:footnote>
  <w:footnote w:id="234">
    <w:p w14:paraId="3880EB41" w14:textId="058BEFF4" w:rsidR="004E1AB0" w:rsidRPr="004E1AB0" w:rsidRDefault="004E1AB0" w:rsidP="004E1AB0">
      <w:pPr>
        <w:pStyle w:val="FootnoteText"/>
      </w:pPr>
      <w:r>
        <w:rPr>
          <w:rStyle w:val="FootnoteReference"/>
        </w:rPr>
        <w:footnoteRef/>
      </w:r>
      <w:r>
        <w:t xml:space="preserve"> </w:t>
      </w:r>
      <w:r w:rsidR="007D31DE" w:rsidRPr="000153EF">
        <w:rPr>
          <w:sz w:val="18"/>
          <w:szCs w:val="18"/>
        </w:rPr>
        <w:t>LXX</w:t>
      </w:r>
      <w:r w:rsidR="00121FEE" w:rsidRPr="00550961">
        <w:t xml:space="preserve"> </w:t>
      </w:r>
      <w:r>
        <w:rPr>
          <w:rFonts w:cstheme="minorHAnsi"/>
        </w:rPr>
        <w:t xml:space="preserve">translates “one entrance,” but </w:t>
      </w:r>
      <w:r>
        <w:rPr>
          <w:rFonts w:cstheme="minorHAnsi"/>
          <w:rtl/>
          <w:lang w:bidi="he-IL"/>
        </w:rPr>
        <w:t>אֶ</w:t>
      </w:r>
      <w:r w:rsidR="00195E15">
        <w:rPr>
          <w:rFonts w:cstheme="minorHAnsi"/>
          <w:rtl/>
          <w:lang w:bidi="he-IL"/>
        </w:rPr>
        <w:t>חָד</w:t>
      </w:r>
      <w:r>
        <w:rPr>
          <w:rFonts w:cstheme="minorHAnsi"/>
        </w:rPr>
        <w:t xml:space="preserve"> </w:t>
      </w:r>
      <w:r w:rsidR="00FB168B">
        <w:rPr>
          <w:rFonts w:cstheme="minorHAnsi"/>
        </w:rPr>
        <w:t xml:space="preserve">can </w:t>
      </w:r>
      <w:r>
        <w:rPr>
          <w:rFonts w:cstheme="minorHAnsi"/>
        </w:rPr>
        <w:t>simply mean “a</w:t>
      </w:r>
      <w:r w:rsidR="00FB168B">
        <w:rPr>
          <w:rFonts w:cstheme="minorHAnsi"/>
        </w:rPr>
        <w:t>,</w:t>
      </w:r>
      <w:r>
        <w:rPr>
          <w:rFonts w:cstheme="minorHAnsi"/>
        </w:rPr>
        <w:t xml:space="preserve">” </w:t>
      </w:r>
      <w:r w:rsidR="00FB168B">
        <w:rPr>
          <w:rFonts w:cstheme="minorHAnsi"/>
        </w:rPr>
        <w:t xml:space="preserve">as in 8:7 </w:t>
      </w:r>
      <w:r>
        <w:rPr>
          <w:rFonts w:cstheme="minorHAnsi"/>
        </w:rPr>
        <w:t>(</w:t>
      </w:r>
      <w:r w:rsidR="00B55923">
        <w:rPr>
          <w:rFonts w:cstheme="minorHAnsi"/>
        </w:rPr>
        <w:t xml:space="preserve">see </w:t>
      </w:r>
      <w:r w:rsidR="009D2461">
        <w:rPr>
          <w:rFonts w:cstheme="minorHAnsi"/>
        </w:rPr>
        <w:t xml:space="preserve">4:9; </w:t>
      </w:r>
      <w:r>
        <w:rPr>
          <w:rFonts w:cstheme="minorHAnsi"/>
        </w:rPr>
        <w:t>37:16).</w:t>
      </w:r>
    </w:p>
  </w:footnote>
  <w:footnote w:id="235">
    <w:p w14:paraId="4F76E99C" w14:textId="54ED0FFD" w:rsidR="00746F9F" w:rsidRDefault="002A2D01" w:rsidP="00FB7BE2">
      <w:pPr>
        <w:pStyle w:val="FootnoteText"/>
      </w:pPr>
      <w:r>
        <w:rPr>
          <w:rStyle w:val="FootnoteReference"/>
        </w:rPr>
        <w:footnoteRef/>
      </w:r>
      <w:r>
        <w:t xml:space="preserve"> </w:t>
      </w:r>
      <w:r w:rsidR="00711BA2" w:rsidRPr="000153EF">
        <w:rPr>
          <w:sz w:val="18"/>
          <w:szCs w:val="18"/>
        </w:rPr>
        <w:t>LXX</w:t>
      </w:r>
      <w:r w:rsidR="00746F9F">
        <w:t xml:space="preserve">, </w:t>
      </w:r>
      <w:r w:rsidR="00573675">
        <w:t xml:space="preserve">Vg. </w:t>
      </w:r>
      <w:r w:rsidR="00746F9F">
        <w:t>have “vapor”</w:t>
      </w:r>
      <w:r>
        <w:t xml:space="preserve"> for the hapax</w:t>
      </w:r>
      <w:r w:rsidR="001D571A">
        <w:t>*</w:t>
      </w:r>
      <w:r>
        <w:t xml:space="preserve"> </w:t>
      </w:r>
      <w:r>
        <w:rPr>
          <w:rFonts w:cstheme="minorHAnsi"/>
          <w:rtl/>
          <w:lang w:bidi="he-IL"/>
        </w:rPr>
        <w:t>עָָתָר</w:t>
      </w:r>
      <w:r>
        <w:t xml:space="preserve">, </w:t>
      </w:r>
      <w:r w:rsidR="00746F9F">
        <w:t>but</w:t>
      </w:r>
      <w:r w:rsidR="00BD3DA5">
        <w:t xml:space="preserve"> Aramaic </w:t>
      </w:r>
      <w:r w:rsidR="00677381">
        <w:rPr>
          <w:rFonts w:cstheme="minorHAnsi"/>
          <w:rtl/>
          <w:lang w:bidi="he-IL"/>
        </w:rPr>
        <w:t>עׇתַר</w:t>
      </w:r>
      <w:r w:rsidR="00746F9F">
        <w:t xml:space="preserve"> </w:t>
      </w:r>
      <w:r w:rsidR="007F08B3">
        <w:t xml:space="preserve">is a </w:t>
      </w:r>
      <w:r w:rsidR="007F08B3">
        <w:t>byform</w:t>
      </w:r>
      <w:r w:rsidR="00337F82">
        <w:t>*</w:t>
      </w:r>
      <w:r w:rsidR="007F08B3">
        <w:t xml:space="preserve"> of </w:t>
      </w:r>
      <w:r w:rsidR="007F08B3">
        <w:rPr>
          <w:rFonts w:cstheme="minorHAnsi"/>
          <w:rtl/>
          <w:lang w:bidi="he-IL"/>
        </w:rPr>
        <w:t>עׇשַׁר</w:t>
      </w:r>
      <w:r w:rsidR="00C41942">
        <w:t>,</w:t>
      </w:r>
      <w:r w:rsidR="00677381">
        <w:t xml:space="preserve"> “</w:t>
      </w:r>
      <w:r w:rsidR="00D22F60">
        <w:t>be rich</w:t>
      </w:r>
      <w:r w:rsidR="007F08B3">
        <w:t>.”</w:t>
      </w:r>
    </w:p>
  </w:footnote>
  <w:footnote w:id="236">
    <w:p w14:paraId="2CBDDA2F" w14:textId="482022FC" w:rsidR="002D59E5" w:rsidRPr="002D59E5" w:rsidRDefault="002D59E5" w:rsidP="002D59E5">
      <w:pPr>
        <w:pStyle w:val="FootnoteText"/>
      </w:pPr>
      <w:r>
        <w:rPr>
          <w:rStyle w:val="FootnoteReference"/>
        </w:rPr>
        <w:footnoteRef/>
      </w:r>
      <w:r w:rsidR="00234284">
        <w:t xml:space="preserve"> </w:t>
      </w:r>
      <w:r w:rsidR="00711BA2" w:rsidRPr="000153EF">
        <w:rPr>
          <w:sz w:val="18"/>
          <w:szCs w:val="18"/>
        </w:rPr>
        <w:t>LXX</w:t>
      </w:r>
      <w:r w:rsidR="00234284">
        <w:t xml:space="preserve">, </w:t>
      </w:r>
      <w:r w:rsidR="00573675">
        <w:t xml:space="preserve">Vg. </w:t>
      </w:r>
      <w:r w:rsidR="00DE3C28">
        <w:t>have</w:t>
      </w:r>
      <w:r w:rsidR="00234284">
        <w:t xml:space="preserve"> “about,”</w:t>
      </w:r>
      <w:r w:rsidR="00DE3C28">
        <w:t xml:space="preserve"> but</w:t>
      </w:r>
      <w:r>
        <w:t xml:space="preserve"> </w:t>
      </w:r>
      <w:r w:rsidR="00F058BB">
        <w:rPr>
          <w:rFonts w:cstheme="minorHAnsi"/>
          <w:rtl/>
          <w:lang w:bidi="he-IL"/>
        </w:rPr>
        <w:t>כ</w:t>
      </w:r>
      <w:r w:rsidR="00221846">
        <w:rPr>
          <w:rFonts w:cstheme="minorHAnsi"/>
          <w:rtl/>
          <w:lang w:bidi="he-IL"/>
        </w:rPr>
        <w:t>ּ</w:t>
      </w:r>
      <w:r w:rsidR="00F058BB">
        <w:rPr>
          <w:rFonts w:cstheme="minorHAnsi"/>
          <w:rtl/>
          <w:lang w:bidi="he-IL"/>
        </w:rPr>
        <w:t>ְ</w:t>
      </w:r>
      <w:r>
        <w:t xml:space="preserve"> </w:t>
      </w:r>
      <w:r>
        <w:rPr>
          <w:rFonts w:cstheme="minorHAnsi"/>
        </w:rPr>
        <w:t>can mean something more like “actual</w:t>
      </w:r>
      <w:r w:rsidR="00DE3C28">
        <w:rPr>
          <w:rFonts w:cstheme="minorHAnsi"/>
        </w:rPr>
        <w:t>.</w:t>
      </w:r>
      <w:r>
        <w:rPr>
          <w:rFonts w:cstheme="minorHAnsi"/>
        </w:rPr>
        <w:t xml:space="preserve">” </w:t>
      </w:r>
    </w:p>
  </w:footnote>
  <w:footnote w:id="237">
    <w:p w14:paraId="1C581A65" w14:textId="7ECE660D" w:rsidR="00663EDE" w:rsidRPr="00F53103" w:rsidRDefault="00663EDE" w:rsidP="00464873">
      <w:pPr>
        <w:rPr>
          <w:sz w:val="20"/>
          <w:szCs w:val="20"/>
        </w:rPr>
      </w:pPr>
      <w:r w:rsidRPr="00F53103">
        <w:rPr>
          <w:rStyle w:val="FootnoteReference"/>
          <w:sz w:val="20"/>
          <w:szCs w:val="20"/>
        </w:rPr>
        <w:footnoteRef/>
      </w:r>
      <w:r w:rsidR="00954D90">
        <w:rPr>
          <w:sz w:val="20"/>
          <w:szCs w:val="20"/>
        </w:rPr>
        <w:t xml:space="preserve"> The odd form</w:t>
      </w:r>
      <w:r w:rsidRPr="00F53103">
        <w:rPr>
          <w:sz w:val="20"/>
          <w:szCs w:val="20"/>
        </w:rPr>
        <w:t xml:space="preserve"> </w:t>
      </w:r>
      <w:r w:rsidRPr="00F53103">
        <w:rPr>
          <w:rFonts w:cstheme="minorHAnsi"/>
          <w:sz w:val="20"/>
          <w:szCs w:val="20"/>
          <w:rtl/>
          <w:lang w:bidi="he-IL"/>
        </w:rPr>
        <w:t>מִשְׁתַּחֲוׅיתֶם</w:t>
      </w:r>
      <w:r w:rsidRPr="00F53103">
        <w:rPr>
          <w:rFonts w:cstheme="minorHAnsi"/>
          <w:sz w:val="20"/>
          <w:szCs w:val="20"/>
        </w:rPr>
        <w:t xml:space="preserve"> </w:t>
      </w:r>
      <w:r w:rsidR="008B1F12" w:rsidRPr="00F53103">
        <w:rPr>
          <w:rFonts w:cstheme="minorHAnsi"/>
          <w:sz w:val="20"/>
          <w:szCs w:val="20"/>
        </w:rPr>
        <w:t>looks like</w:t>
      </w:r>
      <w:r w:rsidRPr="00F53103">
        <w:rPr>
          <w:rFonts w:cstheme="minorHAnsi"/>
          <w:sz w:val="20"/>
          <w:szCs w:val="20"/>
        </w:rPr>
        <w:t xml:space="preserve"> a composite from </w:t>
      </w:r>
      <w:r w:rsidRPr="00F53103">
        <w:rPr>
          <w:rFonts w:cstheme="minorHAnsi"/>
          <w:sz w:val="20"/>
          <w:szCs w:val="20"/>
          <w:rtl/>
          <w:lang w:bidi="he-IL"/>
        </w:rPr>
        <w:t>הׅשְׁתַּחֲוָה</w:t>
      </w:r>
      <w:r w:rsidRPr="00F53103">
        <w:rPr>
          <w:rFonts w:cstheme="minorHAnsi"/>
          <w:sz w:val="20"/>
          <w:szCs w:val="20"/>
        </w:rPr>
        <w:t xml:space="preserve"> </w:t>
      </w:r>
      <w:r w:rsidR="00A72DAD">
        <w:rPr>
          <w:rFonts w:cstheme="minorHAnsi"/>
          <w:sz w:val="20"/>
          <w:szCs w:val="20"/>
        </w:rPr>
        <w:t xml:space="preserve">(on which see the translation comment on 46:2) </w:t>
      </w:r>
      <w:r w:rsidRPr="00F53103">
        <w:rPr>
          <w:rFonts w:cstheme="minorHAnsi"/>
          <w:sz w:val="20"/>
          <w:szCs w:val="20"/>
        </w:rPr>
        <w:t xml:space="preserve">and </w:t>
      </w:r>
      <w:r w:rsidRPr="00F53103">
        <w:rPr>
          <w:rFonts w:cstheme="minorHAnsi"/>
          <w:sz w:val="20"/>
          <w:szCs w:val="20"/>
          <w:rtl/>
          <w:lang w:bidi="he-IL"/>
        </w:rPr>
        <w:t>שָׁחַת</w:t>
      </w:r>
      <w:r w:rsidR="00996D61" w:rsidRPr="00F53103">
        <w:rPr>
          <w:rFonts w:cstheme="minorHAnsi"/>
          <w:sz w:val="20"/>
          <w:szCs w:val="20"/>
        </w:rPr>
        <w:t xml:space="preserve">: they were bowing to the sun and </w:t>
      </w:r>
      <w:r w:rsidR="006845B6">
        <w:rPr>
          <w:rFonts w:cstheme="minorHAnsi"/>
          <w:sz w:val="20"/>
          <w:szCs w:val="20"/>
        </w:rPr>
        <w:t xml:space="preserve">thereby </w:t>
      </w:r>
      <w:r w:rsidR="00996D61" w:rsidRPr="00F53103">
        <w:rPr>
          <w:rFonts w:cstheme="minorHAnsi"/>
          <w:sz w:val="20"/>
          <w:szCs w:val="20"/>
        </w:rPr>
        <w:t xml:space="preserve">bringing destruction on the temple (Rashi and </w:t>
      </w:r>
      <w:r w:rsidR="00996D61" w:rsidRPr="00F53103">
        <w:rPr>
          <w:rFonts w:cstheme="minorHAnsi"/>
          <w:sz w:val="20"/>
          <w:szCs w:val="20"/>
        </w:rPr>
        <w:t>Qimchi</w:t>
      </w:r>
      <w:r w:rsidR="003E553A" w:rsidRPr="00F53103">
        <w:rPr>
          <w:rFonts w:cstheme="minorHAnsi"/>
          <w:sz w:val="20"/>
          <w:szCs w:val="20"/>
        </w:rPr>
        <w:t>,</w:t>
      </w:r>
      <w:r w:rsidR="00996D61" w:rsidRPr="00F53103">
        <w:rPr>
          <w:rFonts w:cstheme="minorHAnsi"/>
          <w:sz w:val="20"/>
          <w:szCs w:val="20"/>
        </w:rPr>
        <w:t xml:space="preserve"> in M</w:t>
      </w:r>
      <w:r w:rsidR="00B73474" w:rsidRPr="00F53103">
        <w:rPr>
          <w:rFonts w:cstheme="minorHAnsi"/>
          <w:sz w:val="20"/>
          <w:szCs w:val="20"/>
        </w:rPr>
        <w:t>G).</w:t>
      </w:r>
      <w:r w:rsidR="00053DE7">
        <w:rPr>
          <w:rFonts w:cstheme="minorHAnsi"/>
          <w:sz w:val="20"/>
          <w:szCs w:val="20"/>
        </w:rPr>
        <w:t xml:space="preserve"> </w:t>
      </w:r>
    </w:p>
  </w:footnote>
  <w:footnote w:id="238">
    <w:p w14:paraId="705FD4C6" w14:textId="1505B264" w:rsidR="00D66D5A" w:rsidRPr="00D66D5A" w:rsidRDefault="00D66D5A">
      <w:pPr>
        <w:pStyle w:val="FootnoteText"/>
      </w:pPr>
      <w:r>
        <w:rPr>
          <w:rStyle w:val="FootnoteReference"/>
        </w:rPr>
        <w:footnoteRef/>
      </w:r>
      <w:r w:rsidR="00EF753A">
        <w:t xml:space="preserve"> </w:t>
      </w:r>
      <w:r w:rsidR="00144BFD">
        <w:t xml:space="preserve">The phrase </w:t>
      </w:r>
      <w:r w:rsidR="009369B1">
        <w:t>is</w:t>
      </w:r>
      <w:r w:rsidR="00B624F8">
        <w:t xml:space="preserve"> </w:t>
      </w:r>
      <w:r w:rsidR="00B624F8">
        <w:t>is the title of a book about South Africa by Trevor Huddleston (</w:t>
      </w:r>
      <w:r w:rsidR="00EF4D70">
        <w:t>Garden Cit</w:t>
      </w:r>
      <w:r w:rsidR="00361011">
        <w:t>y</w:t>
      </w:r>
      <w:r w:rsidR="00EF4D70">
        <w:t>, NY: Doubleday, 1956)</w:t>
      </w:r>
      <w:r w:rsidR="00361011">
        <w:t>,</w:t>
      </w:r>
      <w:r w:rsidR="009369B1">
        <w:t xml:space="preserve"> adapted</w:t>
      </w:r>
      <w:r w:rsidR="00144BFD">
        <w:t xml:space="preserve"> from G. </w:t>
      </w:r>
      <w:r w:rsidR="002F61B1">
        <w:t>K. Chesterton</w:t>
      </w:r>
      <w:r w:rsidR="009369B1">
        <w:t>,</w:t>
      </w:r>
      <w:r w:rsidR="002F61B1">
        <w:t xml:space="preserve"> </w:t>
      </w:r>
      <w:r w:rsidR="003234F5">
        <w:rPr>
          <w:i/>
          <w:iCs/>
        </w:rPr>
        <w:t xml:space="preserve">The </w:t>
      </w:r>
      <w:r w:rsidR="002F61B1">
        <w:rPr>
          <w:i/>
          <w:iCs/>
        </w:rPr>
        <w:t>Ballad of the White Horse</w:t>
      </w:r>
      <w:r w:rsidR="003234F5">
        <w:rPr>
          <w:i/>
          <w:iCs/>
        </w:rPr>
        <w:t xml:space="preserve"> </w:t>
      </w:r>
      <w:r w:rsidR="003234F5">
        <w:t>(London: Methuen, 1911</w:t>
      </w:r>
      <w:r w:rsidR="00444447">
        <w:t>).</w:t>
      </w:r>
      <w:r w:rsidR="0029125D">
        <w:rPr>
          <w:i/>
          <w:iCs/>
        </w:rPr>
        <w:t xml:space="preserve"> </w:t>
      </w:r>
    </w:p>
  </w:footnote>
  <w:footnote w:id="239">
    <w:p w14:paraId="4DA9681C" w14:textId="07743E31" w:rsidR="00606A78" w:rsidRDefault="00606A78">
      <w:pPr>
        <w:pStyle w:val="FootnoteText"/>
      </w:pPr>
      <w:r>
        <w:rPr>
          <w:rStyle w:val="FootnoteReference"/>
        </w:rPr>
        <w:footnoteRef/>
      </w:r>
      <w:r>
        <w:t xml:space="preserve"> See further </w:t>
      </w:r>
      <w:r w:rsidR="001C71F1">
        <w:t>Odell, “Image.”</w:t>
      </w:r>
    </w:p>
  </w:footnote>
  <w:footnote w:id="240">
    <w:p w14:paraId="5DF30041" w14:textId="1FBB378F" w:rsidR="00982055" w:rsidRDefault="00982055">
      <w:pPr>
        <w:pStyle w:val="FootnoteText"/>
      </w:pPr>
      <w:r>
        <w:rPr>
          <w:rStyle w:val="FootnoteReference"/>
        </w:rPr>
        <w:footnoteRef/>
      </w:r>
      <w:r>
        <w:t xml:space="preserve"> </w:t>
      </w:r>
      <w:r w:rsidRPr="00075671">
        <w:t>Jerome adds that he writes this part of his commentary after delaying in the aftermath of the fall of Rome in 410</w:t>
      </w:r>
      <w:r>
        <w:t>.</w:t>
      </w:r>
    </w:p>
  </w:footnote>
  <w:footnote w:id="241">
    <w:p w14:paraId="24513B07" w14:textId="2457ADDF" w:rsidR="006555A1" w:rsidRDefault="006555A1">
      <w:pPr>
        <w:pStyle w:val="FootnoteText"/>
      </w:pPr>
      <w:r>
        <w:rPr>
          <w:rStyle w:val="FootnoteReference"/>
        </w:rPr>
        <w:footnoteRef/>
      </w:r>
      <w:r>
        <w:t xml:space="preserve"> </w:t>
      </w:r>
      <w:r>
        <w:t xml:space="preserve">Tooman, “Inviolability,” </w:t>
      </w:r>
      <w:r w:rsidR="00DA270D">
        <w:t>510.</w:t>
      </w:r>
    </w:p>
  </w:footnote>
  <w:footnote w:id="242">
    <w:p w14:paraId="7DBF5F13" w14:textId="1541FA18" w:rsidR="007401E7" w:rsidRDefault="007401E7" w:rsidP="007401E7">
      <w:pPr>
        <w:pStyle w:val="FootnoteText"/>
      </w:pPr>
      <w:r>
        <w:rPr>
          <w:rStyle w:val="FootnoteReference"/>
        </w:rPr>
        <w:footnoteRef/>
      </w:r>
      <w:r>
        <w:t xml:space="preserve"> </w:t>
      </w:r>
      <w:r w:rsidR="00272F64">
        <w:t>Cf.</w:t>
      </w:r>
      <w:r>
        <w:t xml:space="preserve"> Kemp, “</w:t>
      </w:r>
      <w:r w:rsidR="004F3D2B">
        <w:t>Renounced</w:t>
      </w:r>
      <w:r>
        <w:t>.”</w:t>
      </w:r>
    </w:p>
  </w:footnote>
  <w:footnote w:id="243">
    <w:p w14:paraId="4BFDF4CB" w14:textId="7C8EA9A0" w:rsidR="00644A18" w:rsidRPr="00644A18" w:rsidRDefault="00644A18">
      <w:pPr>
        <w:pStyle w:val="FootnoteText"/>
      </w:pPr>
      <w:r>
        <w:rPr>
          <w:rStyle w:val="FootnoteReference"/>
        </w:rPr>
        <w:footnoteRef/>
      </w:r>
      <w:r>
        <w:t xml:space="preserve"> Block,</w:t>
      </w:r>
      <w:r w:rsidR="00265282">
        <w:t xml:space="preserve"> “</w:t>
      </w:r>
      <w:r w:rsidR="00267B42">
        <w:t>Abandonment</w:t>
      </w:r>
      <w:r w:rsidR="00E01D58">
        <w:t xml:space="preserve">,” </w:t>
      </w:r>
      <w:r w:rsidR="00267B42">
        <w:t>36.</w:t>
      </w:r>
    </w:p>
  </w:footnote>
  <w:footnote w:id="244">
    <w:p w14:paraId="7EE90EA0" w14:textId="0857C9BA" w:rsidR="00766B4C" w:rsidRPr="00766B4C" w:rsidRDefault="00403604" w:rsidP="00B46224">
      <w:pPr>
        <w:pStyle w:val="FootnoteText"/>
      </w:pPr>
      <w:r>
        <w:rPr>
          <w:rStyle w:val="FootnoteReference"/>
        </w:rPr>
        <w:footnoteRef/>
      </w:r>
      <w:r>
        <w:t xml:space="preserve"> See, e.g., “The Descent of Ishtar to the Underworld,”</w:t>
      </w:r>
      <w:r w:rsidR="00766B4C">
        <w:t xml:space="preserve"> </w:t>
      </w:r>
      <w:r w:rsidR="00B46224">
        <w:t xml:space="preserve">in </w:t>
      </w:r>
      <w:r w:rsidR="007871F3">
        <w:t xml:space="preserve">Stephanie </w:t>
      </w:r>
      <w:r w:rsidR="00766B4C">
        <w:t xml:space="preserve">Dalley, </w:t>
      </w:r>
      <w:r w:rsidR="007871F3" w:rsidRPr="001005B7">
        <w:rPr>
          <w:i/>
          <w:iCs/>
        </w:rPr>
        <w:t>Myths from Mesopotamia: Creation, the Flood, Gilgamesh, and Others</w:t>
      </w:r>
      <w:r w:rsidR="007871F3" w:rsidRPr="001005B7">
        <w:t xml:space="preserve"> </w:t>
      </w:r>
      <w:r w:rsidR="00B46224">
        <w:t>(r</w:t>
      </w:r>
      <w:r w:rsidR="007871F3" w:rsidRPr="001005B7">
        <w:t>evised ed. Oxford: Oxford University Press, 2000</w:t>
      </w:r>
      <w:r w:rsidR="00B46224">
        <w:t xml:space="preserve">), </w:t>
      </w:r>
      <w:r w:rsidR="00103A73">
        <w:t>154</w:t>
      </w:r>
      <w:r w:rsidR="001943CB">
        <w:t>–</w:t>
      </w:r>
      <w:r w:rsidR="00103A73">
        <w:t>64</w:t>
      </w:r>
      <w:r w:rsidR="00B35005">
        <w:t xml:space="preserve">; </w:t>
      </w:r>
      <w:r w:rsidR="0000082E">
        <w:t xml:space="preserve">“The Epic of Gilgamesh” and “Adapa” in </w:t>
      </w:r>
      <w:r w:rsidR="0000082E">
        <w:rPr>
          <w:i/>
          <w:iCs/>
        </w:rPr>
        <w:t>ANET</w:t>
      </w:r>
      <w:r w:rsidR="0000082E">
        <w:t>, 84, 101</w:t>
      </w:r>
      <w:r w:rsidR="001943CB">
        <w:t>–</w:t>
      </w:r>
      <w:r w:rsidR="0000082E">
        <w:t>2.</w:t>
      </w:r>
    </w:p>
  </w:footnote>
  <w:footnote w:id="245">
    <w:p w14:paraId="2DA3518E" w14:textId="6B991363" w:rsidR="00CE48AF" w:rsidRPr="00535FFE" w:rsidRDefault="00CE48AF" w:rsidP="00535FFE">
      <w:pPr>
        <w:pStyle w:val="FootnoteText"/>
      </w:pPr>
      <w:r>
        <w:rPr>
          <w:rStyle w:val="FootnoteReference"/>
        </w:rPr>
        <w:footnoteRef/>
      </w:r>
      <w:r>
        <w:t xml:space="preserve"> </w:t>
      </w:r>
      <w:r w:rsidR="00535FFE">
        <w:t xml:space="preserve">J. Glen </w:t>
      </w:r>
      <w:r>
        <w:t xml:space="preserve">Taylor, </w:t>
      </w:r>
      <w:r w:rsidR="00535FFE" w:rsidRPr="0038079F">
        <w:rPr>
          <w:i/>
          <w:iCs/>
        </w:rPr>
        <w:t>Yahweh and the Sun: Biblical and Archaeological Evidence for Sun Worship in Ancient Israel</w:t>
      </w:r>
      <w:r w:rsidR="0053639D">
        <w:t xml:space="preserve">, </w:t>
      </w:r>
      <w:r w:rsidR="0053639D">
        <w:t>JSOTSup 111</w:t>
      </w:r>
      <w:r w:rsidR="00535FFE" w:rsidRPr="001005B7">
        <w:t xml:space="preserve"> </w:t>
      </w:r>
      <w:r w:rsidR="00535FFE">
        <w:t>(</w:t>
      </w:r>
      <w:r w:rsidR="00535FFE" w:rsidRPr="001005B7">
        <w:t>Sheffield: JSOT, 1993</w:t>
      </w:r>
      <w:r w:rsidR="00535FFE">
        <w:t>),</w:t>
      </w:r>
      <w:r w:rsidR="000D05EA">
        <w:t xml:space="preserve"> </w:t>
      </w:r>
      <w:r>
        <w:t>150.</w:t>
      </w:r>
    </w:p>
  </w:footnote>
  <w:footnote w:id="246">
    <w:p w14:paraId="217BB5B4" w14:textId="041728CD" w:rsidR="00AB5F57" w:rsidRPr="00174329" w:rsidRDefault="00AB5F57" w:rsidP="00973EA7">
      <w:pPr>
        <w:pStyle w:val="FootnoteText"/>
      </w:pPr>
      <w:r>
        <w:rPr>
          <w:rStyle w:val="FootnoteReference"/>
        </w:rPr>
        <w:footnoteRef/>
      </w:r>
      <w:r>
        <w:t xml:space="preserve"> </w:t>
      </w:r>
      <w:r w:rsidR="0025408A">
        <w:t xml:space="preserve">See </w:t>
      </w:r>
      <w:r w:rsidR="00030D72">
        <w:t xml:space="preserve">Carmel </w:t>
      </w:r>
      <w:r w:rsidR="00FB589C">
        <w:t>McCarthy</w:t>
      </w:r>
      <w:r w:rsidR="00E472EC" w:rsidRPr="00030D72">
        <w:rPr>
          <w:i/>
          <w:iCs/>
        </w:rPr>
        <w:t>,</w:t>
      </w:r>
      <w:r w:rsidR="00030D72" w:rsidRPr="00030D72">
        <w:rPr>
          <w:i/>
          <w:iCs/>
        </w:rPr>
        <w:t xml:space="preserve"> The </w:t>
      </w:r>
      <w:r w:rsidR="00030D72" w:rsidRPr="00030D72">
        <w:rPr>
          <w:i/>
          <w:iCs/>
        </w:rPr>
        <w:t>Tiqqune Sopherim and Other Theological Corrections in the Masoretic Text of the Old Testamen</w:t>
      </w:r>
      <w:r w:rsidR="00030D72" w:rsidRPr="001005B7">
        <w:t>t</w:t>
      </w:r>
      <w:r w:rsidR="00030D72">
        <w:t>,</w:t>
      </w:r>
      <w:r w:rsidR="00030D72" w:rsidRPr="001005B7">
        <w:t xml:space="preserve"> OBO 36 </w:t>
      </w:r>
      <w:r w:rsidR="00973EA7">
        <w:t>(</w:t>
      </w:r>
      <w:r w:rsidR="00030D72" w:rsidRPr="001005B7">
        <w:t>Göttingen: Vandenhoeck, 1981</w:t>
      </w:r>
      <w:r w:rsidR="00973EA7">
        <w:t>)</w:t>
      </w:r>
      <w:r w:rsidR="004B72EB">
        <w:rPr>
          <w:rFonts w:cstheme="minorHAnsi"/>
          <w:lang w:val="en-GB"/>
        </w:rPr>
        <w:t>, 91</w:t>
      </w:r>
      <w:r w:rsidR="001943CB">
        <w:rPr>
          <w:rFonts w:cstheme="minorHAnsi"/>
        </w:rPr>
        <w:t>–</w:t>
      </w:r>
      <w:r w:rsidR="004B72EB">
        <w:rPr>
          <w:rFonts w:cstheme="minorHAnsi"/>
        </w:rPr>
        <w:t>97.</w:t>
      </w:r>
    </w:p>
  </w:footnote>
  <w:footnote w:id="247">
    <w:p w14:paraId="75C80966" w14:textId="00B8A0FB" w:rsidR="0037113F" w:rsidRPr="0037113F" w:rsidRDefault="0037113F" w:rsidP="0037113F">
      <w:pPr>
        <w:pStyle w:val="FootnoteText"/>
      </w:pPr>
      <w:r>
        <w:rPr>
          <w:rStyle w:val="FootnoteReference"/>
        </w:rPr>
        <w:footnoteRef/>
      </w:r>
      <w:r>
        <w:t xml:space="preserve"> </w:t>
      </w:r>
      <w:r>
        <w:rPr>
          <w:lang w:val="en-GB"/>
        </w:rPr>
        <w:t xml:space="preserve">The sentence puts the subject before the verb, suggesting </w:t>
      </w:r>
      <w:r w:rsidR="0054306D">
        <w:rPr>
          <w:lang w:val="en-GB"/>
        </w:rPr>
        <w:t xml:space="preserve">here </w:t>
      </w:r>
      <w:r>
        <w:rPr>
          <w:lang w:val="en-GB"/>
        </w:rPr>
        <w:t xml:space="preserve">that the cause is circumstantial. In turn, this </w:t>
      </w:r>
      <w:r w:rsidR="00B26DD1">
        <w:rPr>
          <w:lang w:val="en-GB"/>
        </w:rPr>
        <w:t>implie</w:t>
      </w:r>
      <w:r>
        <w:rPr>
          <w:lang w:val="en-GB"/>
        </w:rPr>
        <w:t>s that the circumstantial clause describes an event that has already happened and forms background to what follows.</w:t>
      </w:r>
    </w:p>
  </w:footnote>
  <w:footnote w:id="248">
    <w:p w14:paraId="33D03FC6" w14:textId="11A40DE8" w:rsidR="009A23E6" w:rsidRPr="009A23E6" w:rsidRDefault="009A23E6" w:rsidP="009A23E6">
      <w:pPr>
        <w:pStyle w:val="FootnoteText"/>
      </w:pPr>
      <w:r>
        <w:rPr>
          <w:rStyle w:val="FootnoteReference"/>
        </w:rPr>
        <w:footnoteRef/>
      </w:r>
      <w:r>
        <w:t xml:space="preserve"> </w:t>
      </w:r>
      <w:r>
        <w:rPr>
          <w:lang w:val="en-GB"/>
        </w:rPr>
        <w:t>The assonance</w:t>
      </w:r>
      <w:r w:rsidR="00E02970">
        <w:rPr>
          <w:lang w:val="en-GB"/>
        </w:rPr>
        <w:t>*</w:t>
      </w:r>
      <w:r>
        <w:rPr>
          <w:lang w:val="en-GB"/>
        </w:rPr>
        <w:t xml:space="preserve"> and rhyme in the translation correspond to the Heb</w:t>
      </w:r>
      <w:r w:rsidR="00E02970">
        <w:rPr>
          <w:lang w:val="en-GB"/>
        </w:rPr>
        <w:t>.</w:t>
      </w:r>
      <w:r>
        <w:rPr>
          <w:lang w:val="en-GB"/>
        </w:rPr>
        <w:t>,</w:t>
      </w:r>
      <w:r w:rsidR="008069D4">
        <w:rPr>
          <w:lang w:val="en-GB"/>
        </w:rPr>
        <w:t xml:space="preserve"> </w:t>
      </w:r>
      <w:r w:rsidR="008069D4">
        <w:rPr>
          <w:rFonts w:cstheme="minorHAnsi"/>
          <w:rtl/>
          <w:lang w:val="en-GB" w:bidi="he-IL"/>
        </w:rPr>
        <w:t>הָאֲנָשׁ</w:t>
      </w:r>
      <w:r w:rsidR="00B509C5">
        <w:rPr>
          <w:rFonts w:cstheme="minorHAnsi"/>
          <w:rtl/>
          <w:lang w:val="en-GB" w:bidi="he-IL"/>
        </w:rPr>
        <w:t>ׅים</w:t>
      </w:r>
      <w:r>
        <w:rPr>
          <w:rFonts w:cstheme="minorHAnsi"/>
          <w:i/>
          <w:iCs/>
          <w:lang w:val="en-GB"/>
        </w:rPr>
        <w:t xml:space="preserve"> </w:t>
      </w:r>
      <w:r>
        <w:rPr>
          <w:rFonts w:cstheme="minorHAnsi"/>
          <w:lang w:val="en-GB"/>
        </w:rPr>
        <w:t>and</w:t>
      </w:r>
      <w:r w:rsidR="008B533B">
        <w:rPr>
          <w:rFonts w:cstheme="minorHAnsi"/>
          <w:lang w:val="en-GB"/>
        </w:rPr>
        <w:t xml:space="preserve"> </w:t>
      </w:r>
      <w:r w:rsidR="008B533B">
        <w:rPr>
          <w:rFonts w:cstheme="minorHAnsi"/>
          <w:rtl/>
          <w:lang w:val="en-GB" w:bidi="he-IL"/>
        </w:rPr>
        <w:t>הַ</w:t>
      </w:r>
      <w:r w:rsidR="00C359C4">
        <w:rPr>
          <w:rFonts w:cstheme="minorHAnsi"/>
          <w:rtl/>
          <w:lang w:val="en-GB" w:bidi="he-IL"/>
        </w:rPr>
        <w:t>נֶּ</w:t>
      </w:r>
      <w:r w:rsidR="00EA5609">
        <w:rPr>
          <w:rFonts w:cstheme="minorHAnsi"/>
          <w:rtl/>
          <w:lang w:val="en-GB" w:bidi="he-IL"/>
        </w:rPr>
        <w:t>אֱנָקׅים</w:t>
      </w:r>
      <w:r>
        <w:rPr>
          <w:rFonts w:cstheme="minorHAnsi"/>
          <w:lang w:val="en-GB"/>
        </w:rPr>
        <w:t>.</w:t>
      </w:r>
      <w:r w:rsidR="0029125D">
        <w:rPr>
          <w:lang w:val="en-GB"/>
        </w:rPr>
        <w:t xml:space="preserve"> </w:t>
      </w:r>
    </w:p>
  </w:footnote>
  <w:footnote w:id="249">
    <w:p w14:paraId="3DEA5771" w14:textId="7F5F97E4" w:rsidR="0029424C" w:rsidRDefault="0029424C" w:rsidP="007678B6">
      <w:pPr>
        <w:pStyle w:val="FootnoteText"/>
      </w:pPr>
      <w:r>
        <w:rPr>
          <w:rStyle w:val="FootnoteReference"/>
        </w:rPr>
        <w:footnoteRef/>
      </w:r>
      <w:r w:rsidR="00455D1A">
        <w:t xml:space="preserve"> </w:t>
      </w:r>
      <w:r w:rsidR="00573675">
        <w:t xml:space="preserve">Vg. </w:t>
      </w:r>
      <w:r w:rsidR="00455D1A">
        <w:t>translates</w:t>
      </w:r>
      <w:r>
        <w:t xml:space="preserve"> </w:t>
      </w:r>
      <w:r>
        <w:rPr>
          <w:rFonts w:cstheme="minorHAnsi"/>
          <w:rtl/>
          <w:lang w:bidi="he-IL"/>
        </w:rPr>
        <w:t>בְּרֹאשָׁם</w:t>
      </w:r>
      <w:r w:rsidR="00455D1A">
        <w:t xml:space="preserve"> “onto their head</w:t>
      </w:r>
      <w:r w:rsidR="002B6B01">
        <w:t xml:space="preserve">,” but “onto” is hard to justify as a translation of </w:t>
      </w:r>
      <w:r w:rsidR="0016160C">
        <w:rPr>
          <w:rFonts w:cstheme="minorHAnsi"/>
          <w:rtl/>
          <w:lang w:bidi="he-IL"/>
        </w:rPr>
        <w:t>בְּ</w:t>
      </w:r>
      <w:r w:rsidR="00F86ED1">
        <w:t xml:space="preserve">. </w:t>
      </w:r>
      <w:r w:rsidR="00F31FF7" w:rsidRPr="000153EF">
        <w:rPr>
          <w:sz w:val="18"/>
          <w:szCs w:val="18"/>
        </w:rPr>
        <w:t>LXX</w:t>
      </w:r>
      <w:r w:rsidR="00F86ED1">
        <w:t xml:space="preserve"> has </w:t>
      </w:r>
      <w:r w:rsidR="00D72422">
        <w:rPr>
          <w:rFonts w:cstheme="minorHAnsi"/>
        </w:rPr>
        <w:t>ε</w:t>
      </w:r>
      <w:r w:rsidR="00753AEC">
        <w:rPr>
          <w:rFonts w:cstheme="minorHAnsi"/>
          <w:lang w:bidi="he-IL"/>
        </w:rPr>
        <w:t>ỉ</w:t>
      </w:r>
      <w:r w:rsidR="00F22968">
        <w:rPr>
          <w:rFonts w:cstheme="minorHAnsi"/>
        </w:rPr>
        <w:t>ς</w:t>
      </w:r>
      <w:r w:rsidR="00E95795">
        <w:rPr>
          <w:rFonts w:cstheme="minorHAnsi"/>
        </w:rPr>
        <w:t xml:space="preserve">. </w:t>
      </w:r>
      <w:r w:rsidR="00637F79">
        <w:rPr>
          <w:rFonts w:cstheme="minorHAnsi"/>
        </w:rPr>
        <w:t xml:space="preserve">In Acts 18:6 </w:t>
      </w:r>
      <w:r w:rsidR="0011378A">
        <w:rPr>
          <w:rFonts w:cstheme="minorHAnsi"/>
        </w:rPr>
        <w:t>Paul</w:t>
      </w:r>
      <w:r w:rsidR="0084028F">
        <w:rPr>
          <w:rFonts w:cstheme="minorHAnsi"/>
        </w:rPr>
        <w:t xml:space="preserve"> has</w:t>
      </w:r>
      <w:r w:rsidR="0011378A">
        <w:rPr>
          <w:rFonts w:cstheme="minorHAnsi"/>
        </w:rPr>
        <w:t xml:space="preserve"> </w:t>
      </w:r>
      <w:r w:rsidR="00833EDC">
        <w:rPr>
          <w:rFonts w:cstheme="minorHAnsi"/>
        </w:rPr>
        <w:t>ẻ</w:t>
      </w:r>
      <w:r w:rsidR="0011378A">
        <w:rPr>
          <w:rFonts w:cstheme="minorHAnsi"/>
        </w:rPr>
        <w:t>π</w:t>
      </w:r>
      <w:r w:rsidR="00564733">
        <w:rPr>
          <w:rFonts w:cstheme="minorHAnsi"/>
        </w:rPr>
        <w:t xml:space="preserve">ὶ </w:t>
      </w:r>
      <w:r w:rsidR="007C3378">
        <w:rPr>
          <w:rFonts w:cstheme="minorHAnsi"/>
        </w:rPr>
        <w:t>τ</w:t>
      </w:r>
      <w:r w:rsidR="00564733">
        <w:rPr>
          <w:rFonts w:cstheme="minorHAnsi"/>
        </w:rPr>
        <w:t>ὴ</w:t>
      </w:r>
      <w:r w:rsidR="007C3378">
        <w:rPr>
          <w:rFonts w:cstheme="minorHAnsi"/>
        </w:rPr>
        <w:t>ν κεφ</w:t>
      </w:r>
      <w:r w:rsidR="002079E9">
        <w:rPr>
          <w:rFonts w:cstheme="minorHAnsi"/>
        </w:rPr>
        <w:t>αλ</w:t>
      </w:r>
      <w:r w:rsidR="00564733">
        <w:rPr>
          <w:rFonts w:cstheme="minorHAnsi"/>
        </w:rPr>
        <w:t>ὴ</w:t>
      </w:r>
      <w:r w:rsidR="002079E9">
        <w:rPr>
          <w:rFonts w:cstheme="minorHAnsi"/>
        </w:rPr>
        <w:t>ν</w:t>
      </w:r>
      <w:r w:rsidR="0035528A">
        <w:rPr>
          <w:rFonts w:cstheme="minorHAnsi"/>
        </w:rPr>
        <w:t xml:space="preserve"> </w:t>
      </w:r>
      <w:r w:rsidR="003F5E53">
        <w:rPr>
          <w:rFonts w:cstheme="minorHAnsi"/>
        </w:rPr>
        <w:t>when h</w:t>
      </w:r>
      <w:r w:rsidR="007678B6">
        <w:rPr>
          <w:rFonts w:cstheme="minorHAnsi"/>
        </w:rPr>
        <w:t>e</w:t>
      </w:r>
      <w:r w:rsidR="003F5E53">
        <w:rPr>
          <w:rFonts w:cstheme="minorHAnsi"/>
        </w:rPr>
        <w:t xml:space="preserve"> wishes for </w:t>
      </w:r>
      <w:r w:rsidR="007678B6">
        <w:rPr>
          <w:rFonts w:cstheme="minorHAnsi"/>
        </w:rPr>
        <w:t xml:space="preserve">someone’s </w:t>
      </w:r>
      <w:r w:rsidR="003F5E53">
        <w:rPr>
          <w:rFonts w:cstheme="minorHAnsi"/>
        </w:rPr>
        <w:t>blood to</w:t>
      </w:r>
      <w:r w:rsidR="007678B6">
        <w:rPr>
          <w:rFonts w:cstheme="minorHAnsi"/>
        </w:rPr>
        <w:t xml:space="preserve"> be on their head.</w:t>
      </w:r>
      <w:r w:rsidR="00F8339C">
        <w:rPr>
          <w:rFonts w:cstheme="minorHAnsi"/>
        </w:rPr>
        <w:t xml:space="preserve"> Other passages do have </w:t>
      </w:r>
      <w:r w:rsidR="00695ACB">
        <w:rPr>
          <w:rFonts w:cstheme="minorHAnsi"/>
        </w:rPr>
        <w:t>“on” the head (</w:t>
      </w:r>
      <w:r w:rsidR="004F1344">
        <w:rPr>
          <w:rFonts w:cstheme="minorHAnsi"/>
          <w:rtl/>
          <w:lang w:bidi="he-IL"/>
        </w:rPr>
        <w:t>עַל</w:t>
      </w:r>
      <w:r w:rsidR="002D02CA">
        <w:rPr>
          <w:rFonts w:cstheme="minorHAnsi"/>
        </w:rPr>
        <w:t xml:space="preserve">; </w:t>
      </w:r>
      <w:r w:rsidR="00BE26E4">
        <w:rPr>
          <w:rFonts w:cstheme="minorHAnsi"/>
        </w:rPr>
        <w:t>2 Sam 1:16).</w:t>
      </w:r>
    </w:p>
  </w:footnote>
  <w:footnote w:id="250">
    <w:p w14:paraId="22B6668D" w14:textId="2DFB3054" w:rsidR="00596ABF" w:rsidRDefault="00596ABF">
      <w:pPr>
        <w:pStyle w:val="FootnoteText"/>
      </w:pPr>
      <w:r>
        <w:rPr>
          <w:rStyle w:val="FootnoteReference"/>
        </w:rPr>
        <w:footnoteRef/>
      </w:r>
      <w:r>
        <w:t xml:space="preserve"> Olley, </w:t>
      </w:r>
      <w:r w:rsidR="00D91C41">
        <w:t>“Ezekiel LXX.”</w:t>
      </w:r>
    </w:p>
  </w:footnote>
  <w:footnote w:id="251">
    <w:p w14:paraId="08CB7665" w14:textId="0149E1CF" w:rsidR="0052057A" w:rsidRDefault="0052057A">
      <w:pPr>
        <w:pStyle w:val="FootnoteText"/>
      </w:pPr>
      <w:r>
        <w:rPr>
          <w:rStyle w:val="FootnoteReference"/>
        </w:rPr>
        <w:footnoteRef/>
      </w:r>
      <w:r>
        <w:t xml:space="preserve"> </w:t>
      </w:r>
      <w:r>
        <w:t>Schöpflin, “YHWH’s Agents.”</w:t>
      </w:r>
    </w:p>
  </w:footnote>
  <w:footnote w:id="252">
    <w:p w14:paraId="542B431B" w14:textId="555AC8B4" w:rsidR="00077D05" w:rsidRPr="00F77537" w:rsidRDefault="00077D05" w:rsidP="00060170">
      <w:pPr>
        <w:pStyle w:val="FootnoteText"/>
      </w:pPr>
      <w:r>
        <w:rPr>
          <w:rStyle w:val="FootnoteReference"/>
        </w:rPr>
        <w:footnoteRef/>
      </w:r>
      <w:r>
        <w:t xml:space="preserve"> </w:t>
      </w:r>
      <w:r w:rsidR="00F96209">
        <w:t xml:space="preserve">Daniel </w:t>
      </w:r>
      <w:r w:rsidR="00AA720F" w:rsidRPr="005469A6">
        <w:rPr>
          <w:rFonts w:eastAsia="Times New Roman"/>
          <w:lang w:eastAsia="en-GB"/>
        </w:rPr>
        <w:t>Bodi, </w:t>
      </w:r>
      <w:r w:rsidR="00AA720F" w:rsidRPr="002D2317">
        <w:rPr>
          <w:rFonts w:eastAsia="Times New Roman"/>
          <w:i/>
          <w:lang w:eastAsia="en-GB"/>
        </w:rPr>
        <w:t>The Book of Ezekiel and the Poem of Erra</w:t>
      </w:r>
      <w:r w:rsidR="00FC76D5">
        <w:rPr>
          <w:rFonts w:eastAsia="Times New Roman"/>
          <w:lang w:eastAsia="en-GB"/>
        </w:rPr>
        <w:t xml:space="preserve">, </w:t>
      </w:r>
      <w:r w:rsidR="00AA720F" w:rsidRPr="005469A6">
        <w:rPr>
          <w:rFonts w:eastAsia="Times New Roman"/>
          <w:lang w:eastAsia="en-GB"/>
        </w:rPr>
        <w:t xml:space="preserve">OBO 104 </w:t>
      </w:r>
      <w:r w:rsidR="00FC76D5">
        <w:rPr>
          <w:rFonts w:eastAsia="Times New Roman"/>
          <w:lang w:eastAsia="en-GB"/>
        </w:rPr>
        <w:t>(</w:t>
      </w:r>
      <w:r w:rsidR="00AA720F" w:rsidRPr="005469A6">
        <w:rPr>
          <w:rFonts w:eastAsia="Times New Roman"/>
          <w:lang w:eastAsia="en-GB"/>
        </w:rPr>
        <w:t>Göttingen: Vandenhoeck, 1991</w:t>
      </w:r>
      <w:r w:rsidR="00060170">
        <w:rPr>
          <w:rFonts w:eastAsia="Times New Roman"/>
          <w:lang w:eastAsia="en-GB"/>
        </w:rPr>
        <w:t>),</w:t>
      </w:r>
      <w:r w:rsidR="00060170">
        <w:t xml:space="preserve"> </w:t>
      </w:r>
      <w:r>
        <w:t>95</w:t>
      </w:r>
      <w:r w:rsidR="001943CB">
        <w:t>–</w:t>
      </w:r>
      <w:r>
        <w:t>110.</w:t>
      </w:r>
    </w:p>
  </w:footnote>
  <w:footnote w:id="253">
    <w:p w14:paraId="477A0A8F" w14:textId="5CE43DDE" w:rsidR="00C37011" w:rsidRPr="00105C24" w:rsidRDefault="00C37011">
      <w:pPr>
        <w:pStyle w:val="FootnoteText"/>
        <w:rPr>
          <w:lang w:val="de-DE"/>
        </w:rPr>
      </w:pPr>
      <w:r>
        <w:rPr>
          <w:rStyle w:val="FootnoteReference"/>
        </w:rPr>
        <w:footnoteRef/>
      </w:r>
      <w:r w:rsidRPr="00105C24">
        <w:rPr>
          <w:lang w:val="de-DE"/>
        </w:rPr>
        <w:t xml:space="preserve"> </w:t>
      </w:r>
      <w:r w:rsidRPr="00105C24">
        <w:rPr>
          <w:lang w:val="de-DE"/>
        </w:rPr>
        <w:t>Keister</w:t>
      </w:r>
      <w:r w:rsidR="002F2553" w:rsidRPr="00105C24">
        <w:rPr>
          <w:lang w:val="de-DE"/>
        </w:rPr>
        <w:t xml:space="preserve">, </w:t>
      </w:r>
      <w:r w:rsidR="008D098C">
        <w:rPr>
          <w:lang w:val="de-DE"/>
        </w:rPr>
        <w:t>for instance (</w:t>
      </w:r>
      <w:r w:rsidR="002F2553" w:rsidRPr="00105C24">
        <w:rPr>
          <w:lang w:val="de-DE"/>
        </w:rPr>
        <w:t>“Man in Linen</w:t>
      </w:r>
      <w:r w:rsidR="00A731E4">
        <w:rPr>
          <w:lang w:val="de-DE"/>
        </w:rPr>
        <w:t>“),</w:t>
      </w:r>
      <w:r w:rsidR="00A731E4" w:rsidRPr="001005B7">
        <w:t xml:space="preserve"> identifie</w:t>
      </w:r>
      <w:r w:rsidR="00A731E4">
        <w:t>s him</w:t>
      </w:r>
      <w:r w:rsidR="00A731E4" w:rsidRPr="001005B7">
        <w:t xml:space="preserve"> as Christ</w:t>
      </w:r>
      <w:r w:rsidR="00A731E4">
        <w:t>.</w:t>
      </w:r>
    </w:p>
  </w:footnote>
  <w:footnote w:id="254">
    <w:p w14:paraId="3A80D819" w14:textId="5C1266B7" w:rsidR="0058509F" w:rsidRPr="0058509F" w:rsidRDefault="0058509F">
      <w:pPr>
        <w:pStyle w:val="FootnoteText"/>
      </w:pPr>
      <w:r>
        <w:rPr>
          <w:rStyle w:val="FootnoteReference"/>
        </w:rPr>
        <w:footnoteRef/>
      </w:r>
      <w:r>
        <w:t xml:space="preserve"> See W. </w:t>
      </w:r>
      <w:r>
        <w:t xml:space="preserve">Beuken, </w:t>
      </w:r>
      <w:r>
        <w:rPr>
          <w:i/>
          <w:iCs/>
        </w:rPr>
        <w:t>TDOT</w:t>
      </w:r>
      <w:r>
        <w:t xml:space="preserve"> </w:t>
      </w:r>
      <w:r w:rsidR="00537E3C">
        <w:t>13:258.</w:t>
      </w:r>
    </w:p>
  </w:footnote>
  <w:footnote w:id="255">
    <w:p w14:paraId="463215BF" w14:textId="4D0B045D" w:rsidR="0005127A" w:rsidRPr="00DC1A64" w:rsidRDefault="0005127A" w:rsidP="00D42662">
      <w:pPr>
        <w:pStyle w:val="FootnoteText"/>
      </w:pPr>
      <w:r>
        <w:rPr>
          <w:rStyle w:val="FootnoteReference"/>
        </w:rPr>
        <w:footnoteRef/>
      </w:r>
      <w:r>
        <w:t xml:space="preserve"> Tertullian, </w:t>
      </w:r>
      <w:r>
        <w:rPr>
          <w:i/>
          <w:iCs/>
        </w:rPr>
        <w:t xml:space="preserve">Against </w:t>
      </w:r>
      <w:r>
        <w:rPr>
          <w:i/>
          <w:iCs/>
        </w:rPr>
        <w:t>Marcion</w:t>
      </w:r>
      <w:r>
        <w:t xml:space="preserve"> III, 22. On the “afterlife” of </w:t>
      </w:r>
      <w:r w:rsidR="00C66E1F">
        <w:t>Ezekiel’s</w:t>
      </w:r>
      <w:r>
        <w:t xml:space="preserve"> reference to a sign, see Block</w:t>
      </w:r>
      <w:r w:rsidR="00682115">
        <w:t>,</w:t>
      </w:r>
      <w:r>
        <w:t xml:space="preserve"> </w:t>
      </w:r>
      <w:r w:rsidR="00F44698">
        <w:t>1:</w:t>
      </w:r>
      <w:r>
        <w:t>310</w:t>
      </w:r>
      <w:r w:rsidR="001943CB">
        <w:t>–</w:t>
      </w:r>
      <w:r>
        <w:t xml:space="preserve">14; further </w:t>
      </w:r>
      <w:r w:rsidR="00A14247">
        <w:t xml:space="preserve">Jack </w:t>
      </w:r>
      <w:r>
        <w:t>Finegan,</w:t>
      </w:r>
      <w:r w:rsidR="00A14247">
        <w:t xml:space="preserve"> </w:t>
      </w:r>
      <w:r w:rsidR="00A14247" w:rsidRPr="001005B7">
        <w:t>“Crosses in the Dead Sea Scrolls: A Waystation on the Road to the Christian Cross</w:t>
      </w:r>
      <w:r w:rsidR="00D42662">
        <w:t>,</w:t>
      </w:r>
      <w:r w:rsidR="00A14247" w:rsidRPr="001005B7">
        <w:t xml:space="preserve">” </w:t>
      </w:r>
      <w:r w:rsidR="00A14247" w:rsidRPr="001005B7">
        <w:rPr>
          <w:i/>
        </w:rPr>
        <w:t xml:space="preserve">Biblical Archaeological Review </w:t>
      </w:r>
      <w:r w:rsidR="00A14247" w:rsidRPr="001005B7">
        <w:t>5/6 (1979): 41–48.</w:t>
      </w:r>
    </w:p>
  </w:footnote>
  <w:footnote w:id="256">
    <w:p w14:paraId="63A10ABF" w14:textId="69A129E5" w:rsidR="004C2C3F" w:rsidRDefault="004C2C3F">
      <w:pPr>
        <w:pStyle w:val="FootnoteText"/>
      </w:pPr>
      <w:r>
        <w:rPr>
          <w:rStyle w:val="FootnoteReference"/>
        </w:rPr>
        <w:footnoteRef/>
      </w:r>
      <w:r>
        <w:t xml:space="preserve"> </w:t>
      </w:r>
      <w:r w:rsidR="00127BD9">
        <w:t xml:space="preserve">See Rueda, </w:t>
      </w:r>
      <w:r w:rsidR="00423BF2">
        <w:t>“</w:t>
      </w:r>
      <w:r w:rsidR="00BB3971">
        <w:t xml:space="preserve">Breve </w:t>
      </w:r>
      <w:r w:rsidR="00BB3971">
        <w:t>a</w:t>
      </w:r>
      <w:r w:rsidR="00824843">
        <w:t>n</w:t>
      </w:r>
      <w:r w:rsidR="007064E5">
        <w:rPr>
          <w:rFonts w:cstheme="minorHAnsi"/>
        </w:rPr>
        <w:t>áli</w:t>
      </w:r>
      <w:r w:rsidR="007064E5">
        <w:t>se.”</w:t>
      </w:r>
    </w:p>
  </w:footnote>
  <w:footnote w:id="257">
    <w:p w14:paraId="454266F9" w14:textId="0EBFF461" w:rsidR="00534B75" w:rsidRDefault="00534B75">
      <w:pPr>
        <w:pStyle w:val="FootnoteText"/>
      </w:pPr>
      <w:r>
        <w:rPr>
          <w:rStyle w:val="FootnoteReference"/>
        </w:rPr>
        <w:footnoteRef/>
      </w:r>
      <w:r>
        <w:t xml:space="preserve"> </w:t>
      </w:r>
      <w:r w:rsidR="007205E4">
        <w:t xml:space="preserve">So </w:t>
      </w:r>
      <w:r w:rsidR="005C7E41">
        <w:t>Sherlock, “Ezekiel 10.”</w:t>
      </w:r>
    </w:p>
  </w:footnote>
  <w:footnote w:id="258">
    <w:p w14:paraId="7B7A8E03" w14:textId="3391DE73" w:rsidR="009C6474" w:rsidRDefault="009C6474">
      <w:pPr>
        <w:pStyle w:val="FootnoteText"/>
      </w:pPr>
      <w:r>
        <w:rPr>
          <w:rStyle w:val="FootnoteReference"/>
        </w:rPr>
        <w:footnoteRef/>
      </w:r>
      <w:r>
        <w:t xml:space="preserve"> Evans, </w:t>
      </w:r>
      <w:r w:rsidR="00B4585F">
        <w:t>“Whee</w:t>
      </w:r>
      <w:r w:rsidR="003F0ED3">
        <w:t>ls,” sees a divinatory significance in t</w:t>
      </w:r>
      <w:r w:rsidR="002163F1">
        <w:t>h</w:t>
      </w:r>
      <w:r w:rsidR="003F0ED3">
        <w:t>is word.</w:t>
      </w:r>
    </w:p>
  </w:footnote>
  <w:footnote w:id="259">
    <w:p w14:paraId="53050249" w14:textId="4CB0E658" w:rsidR="00B91B80" w:rsidRDefault="00B91B80" w:rsidP="00B91B80">
      <w:pPr>
        <w:pStyle w:val="FootnoteText"/>
      </w:pPr>
      <w:r>
        <w:rPr>
          <w:rStyle w:val="FootnoteReference"/>
        </w:rPr>
        <w:footnoteRef/>
      </w:r>
      <w:r>
        <w:t xml:space="preserve"> </w:t>
      </w:r>
      <w:r>
        <w:rPr>
          <w:lang w:val="en-GB"/>
        </w:rPr>
        <w:t xml:space="preserve">At 1:26 </w:t>
      </w:r>
      <w:r>
        <w:rPr>
          <w:lang w:eastAsia="en-GB"/>
        </w:rPr>
        <w:t>Ezekiel had</w:t>
      </w:r>
      <w:r w:rsidR="005064E4">
        <w:rPr>
          <w:lang w:eastAsia="en-GB"/>
        </w:rPr>
        <w:t xml:space="preserve"> </w:t>
      </w:r>
      <w:r w:rsidR="005064E4">
        <w:rPr>
          <w:rFonts w:cstheme="minorHAnsi"/>
          <w:rtl/>
          <w:lang w:eastAsia="en-GB" w:bidi="he-IL"/>
        </w:rPr>
        <w:t>מ</w:t>
      </w:r>
      <w:r w:rsidR="00270CA7">
        <w:rPr>
          <w:rFonts w:cstheme="minorHAnsi"/>
          <w:rtl/>
          <w:lang w:eastAsia="en-GB" w:bidi="he-IL"/>
        </w:rPr>
        <w:t>ִמַּעַל</w:t>
      </w:r>
      <w:r w:rsidR="004C64E7">
        <w:rPr>
          <w:lang w:eastAsia="en-GB"/>
        </w:rPr>
        <w:t>, whereas</w:t>
      </w:r>
      <w:r>
        <w:rPr>
          <w:lang w:eastAsia="en-GB"/>
        </w:rPr>
        <w:t xml:space="preserve"> here he </w:t>
      </w:r>
      <w:r w:rsidR="00904EBC">
        <w:rPr>
          <w:lang w:eastAsia="en-GB"/>
        </w:rPr>
        <w:t>has</w:t>
      </w:r>
      <w:r w:rsidR="00DF29DC">
        <w:rPr>
          <w:lang w:eastAsia="en-GB"/>
        </w:rPr>
        <w:t xml:space="preserve"> </w:t>
      </w:r>
      <w:r w:rsidR="00BB1222">
        <w:rPr>
          <w:rFonts w:cstheme="minorHAnsi"/>
          <w:rtl/>
          <w:lang w:eastAsia="en-GB" w:bidi="he-IL"/>
        </w:rPr>
        <w:t>אֶל</w:t>
      </w:r>
      <w:r w:rsidR="00904EBC">
        <w:rPr>
          <w:lang w:eastAsia="en-GB"/>
        </w:rPr>
        <w:t>,</w:t>
      </w:r>
      <w:r>
        <w:rPr>
          <w:lang w:eastAsia="en-GB"/>
        </w:rPr>
        <w:t xml:space="preserve"> </w:t>
      </w:r>
      <w:r w:rsidR="00904EBC">
        <w:rPr>
          <w:lang w:eastAsia="en-GB"/>
        </w:rPr>
        <w:t xml:space="preserve">which </w:t>
      </w:r>
      <w:r w:rsidR="002D7775">
        <w:rPr>
          <w:lang w:eastAsia="en-GB"/>
        </w:rPr>
        <w:t>he</w:t>
      </w:r>
      <w:r w:rsidR="00904EBC">
        <w:rPr>
          <w:lang w:eastAsia="en-GB"/>
        </w:rPr>
        <w:t xml:space="preserve"> often uses </w:t>
      </w:r>
      <w:r>
        <w:rPr>
          <w:lang w:eastAsia="en-GB"/>
        </w:rPr>
        <w:t>as effectively a synonym of</w:t>
      </w:r>
      <w:r w:rsidR="00904EBC">
        <w:rPr>
          <w:lang w:eastAsia="en-GB"/>
        </w:rPr>
        <w:t xml:space="preserve"> </w:t>
      </w:r>
      <w:r w:rsidR="002D7775">
        <w:rPr>
          <w:rFonts w:cstheme="minorHAnsi"/>
          <w:rtl/>
          <w:lang w:eastAsia="en-GB" w:bidi="he-IL"/>
        </w:rPr>
        <w:t>עַל</w:t>
      </w:r>
      <w:r>
        <w:rPr>
          <w:lang w:eastAsia="en-GB"/>
        </w:rPr>
        <w:t>.</w:t>
      </w:r>
    </w:p>
  </w:footnote>
  <w:footnote w:id="260">
    <w:p w14:paraId="6C412518" w14:textId="32A5FE4A" w:rsidR="006323FC" w:rsidRPr="006323FC" w:rsidRDefault="006323FC" w:rsidP="006323FC">
      <w:pPr>
        <w:pStyle w:val="FootnoteText"/>
      </w:pPr>
      <w:r>
        <w:rPr>
          <w:rStyle w:val="FootnoteReference"/>
        </w:rPr>
        <w:footnoteRef/>
      </w:r>
      <w:r>
        <w:t xml:space="preserve"> </w:t>
      </w:r>
      <w:r>
        <w:rPr>
          <w:lang w:val="en-GB"/>
        </w:rPr>
        <w:t xml:space="preserve">The repetition of </w:t>
      </w:r>
      <w:r w:rsidR="003001D1">
        <w:rPr>
          <w:lang w:val="en-GB"/>
        </w:rPr>
        <w:t>“</w:t>
      </w:r>
      <w:r w:rsidRPr="003001D1">
        <w:rPr>
          <w:lang w:val="en-GB"/>
        </w:rPr>
        <w:t>he</w:t>
      </w:r>
      <w:r>
        <w:rPr>
          <w:i/>
          <w:iCs/>
          <w:lang w:val="en-GB"/>
        </w:rPr>
        <w:t xml:space="preserve"> </w:t>
      </w:r>
      <w:r w:rsidRPr="003001D1">
        <w:rPr>
          <w:lang w:val="en-GB"/>
        </w:rPr>
        <w:t>said</w:t>
      </w:r>
      <w:r w:rsidR="003001D1">
        <w:rPr>
          <w:lang w:val="en-GB"/>
        </w:rPr>
        <w:t>”</w:t>
      </w:r>
      <w:r>
        <w:rPr>
          <w:lang w:val="en-GB"/>
        </w:rPr>
        <w:t xml:space="preserve"> emphasizes what follows and/or slows the narrative down (</w:t>
      </w:r>
      <w:r>
        <w:t>Greenberg</w:t>
      </w:r>
      <w:r w:rsidR="00E551EA">
        <w:t>,</w:t>
      </w:r>
      <w:r>
        <w:t xml:space="preserve"> 1:180)</w:t>
      </w:r>
      <w:r w:rsidR="00FA4E33">
        <w:t xml:space="preserve">, though it might issue from glossing (Dijkstra, </w:t>
      </w:r>
      <w:r w:rsidR="00D4069F">
        <w:t>“Glosses,” 66)</w:t>
      </w:r>
      <w:r>
        <w:rPr>
          <w:lang w:val="en-GB"/>
        </w:rPr>
        <w:t xml:space="preserve">. </w:t>
      </w:r>
    </w:p>
  </w:footnote>
  <w:footnote w:id="261">
    <w:p w14:paraId="7EAAE4D6" w14:textId="108945C0" w:rsidR="00B75A68" w:rsidRDefault="00B75A68" w:rsidP="00850BAE">
      <w:pPr>
        <w:pStyle w:val="FootnoteText"/>
      </w:pPr>
      <w:r>
        <w:rPr>
          <w:rStyle w:val="FootnoteReference"/>
        </w:rPr>
        <w:footnoteRef/>
      </w:r>
      <w:r>
        <w:t xml:space="preserve"> </w:t>
      </w:r>
      <w:r>
        <w:rPr>
          <w:lang w:val="en-GB"/>
        </w:rPr>
        <w:t xml:space="preserve">Through this chapter and almost confined to it, </w:t>
      </w:r>
      <w:r w:rsidR="0032152D">
        <w:rPr>
          <w:lang w:val="en-GB"/>
        </w:rPr>
        <w:t>“inside”</w:t>
      </w:r>
      <w:r>
        <w:rPr>
          <w:lang w:val="en-GB"/>
        </w:rPr>
        <w:t xml:space="preserve"> is what looks like a f</w:t>
      </w:r>
      <w:r w:rsidR="007A33E0">
        <w:rPr>
          <w:lang w:val="en-GB"/>
        </w:rPr>
        <w:t>.</w:t>
      </w:r>
      <w:r>
        <w:rPr>
          <w:lang w:val="en-GB"/>
        </w:rPr>
        <w:t xml:space="preserve"> pl</w:t>
      </w:r>
      <w:r w:rsidR="00E50B79">
        <w:rPr>
          <w:lang w:val="en-GB"/>
        </w:rPr>
        <w:t>.</w:t>
      </w:r>
      <w:r w:rsidR="00850BAE">
        <w:rPr>
          <w:lang w:val="en-GB"/>
        </w:rPr>
        <w:t xml:space="preserve"> </w:t>
      </w:r>
      <w:r w:rsidR="00850BAE">
        <w:rPr>
          <w:rFonts w:cstheme="minorHAnsi"/>
          <w:rtl/>
          <w:lang w:val="en-GB" w:bidi="he-IL"/>
        </w:rPr>
        <w:t>בֵ</w:t>
      </w:r>
      <w:r w:rsidR="00632BE1">
        <w:rPr>
          <w:rFonts w:cstheme="minorHAnsi"/>
          <w:rtl/>
          <w:lang w:val="en-GB" w:bidi="he-IL"/>
        </w:rPr>
        <w:t>ּ</w:t>
      </w:r>
      <w:r w:rsidR="00370CEC">
        <w:rPr>
          <w:rFonts w:cstheme="minorHAnsi"/>
          <w:rtl/>
          <w:lang w:val="en-GB" w:bidi="he-IL"/>
        </w:rPr>
        <w:t>י</w:t>
      </w:r>
      <w:r w:rsidR="00E802E0">
        <w:rPr>
          <w:rFonts w:cstheme="minorHAnsi"/>
          <w:rtl/>
          <w:lang w:val="en-GB" w:bidi="he-IL"/>
        </w:rPr>
        <w:t>נוֹ</w:t>
      </w:r>
      <w:r w:rsidR="00041CE0">
        <w:rPr>
          <w:rFonts w:cstheme="minorHAnsi"/>
          <w:rtl/>
          <w:lang w:val="en-GB" w:bidi="he-IL"/>
        </w:rPr>
        <w:t>ת</w:t>
      </w:r>
      <w:r>
        <w:rPr>
          <w:rFonts w:cstheme="minorHAnsi"/>
          <w:lang w:val="en-GB"/>
        </w:rPr>
        <w:t>,</w:t>
      </w:r>
      <w:r>
        <w:rPr>
          <w:rFonts w:cstheme="minorHAnsi"/>
          <w:i/>
          <w:iCs/>
          <w:lang w:val="en-GB"/>
        </w:rPr>
        <w:t xml:space="preserve"> </w:t>
      </w:r>
      <w:r>
        <w:rPr>
          <w:rFonts w:cstheme="minorHAnsi"/>
          <w:lang w:val="en-GB"/>
        </w:rPr>
        <w:t xml:space="preserve">rather than the regular </w:t>
      </w:r>
      <w:r w:rsidR="00041CE0" w:rsidRPr="000524AD">
        <w:rPr>
          <w:rFonts w:cstheme="minorHAnsi"/>
          <w:rtl/>
          <w:lang w:val="en-GB" w:bidi="he-IL"/>
        </w:rPr>
        <w:t>בֵ</w:t>
      </w:r>
      <w:r w:rsidR="00015554">
        <w:rPr>
          <w:rFonts w:cstheme="minorHAnsi"/>
          <w:rtl/>
          <w:lang w:val="en-GB" w:bidi="he-IL"/>
        </w:rPr>
        <w:t>ּ</w:t>
      </w:r>
      <w:r w:rsidR="000524AD" w:rsidRPr="000524AD">
        <w:rPr>
          <w:rFonts w:cstheme="minorHAnsi"/>
          <w:rtl/>
          <w:lang w:val="en-GB" w:bidi="he-IL"/>
        </w:rPr>
        <w:t>ן</w:t>
      </w:r>
      <w:r>
        <w:rPr>
          <w:rFonts w:cstheme="minorHAnsi"/>
          <w:lang w:val="en-GB"/>
        </w:rPr>
        <w:t>, which was used in 1:13.</w:t>
      </w:r>
    </w:p>
  </w:footnote>
  <w:footnote w:id="262">
    <w:p w14:paraId="0328670A" w14:textId="71CFBDC4" w:rsidR="00D37C3F" w:rsidRDefault="00D37C3F">
      <w:pPr>
        <w:pStyle w:val="FootnoteText"/>
      </w:pPr>
      <w:r>
        <w:rPr>
          <w:rStyle w:val="FootnoteReference"/>
        </w:rPr>
        <w:footnoteRef/>
      </w:r>
      <w:r>
        <w:t xml:space="preserve"> </w:t>
      </w:r>
      <w:r w:rsidR="0012740F">
        <w:t>See Evans, “Angelology</w:t>
      </w:r>
      <w:r w:rsidR="0093616F">
        <w:t xml:space="preserve">”; </w:t>
      </w:r>
      <w:r w:rsidR="00AF1036">
        <w:t>Ev</w:t>
      </w:r>
      <w:r w:rsidR="00D516FF">
        <w:t>a</w:t>
      </w:r>
      <w:r w:rsidR="00AF1036">
        <w:t xml:space="preserve">ns, </w:t>
      </w:r>
      <w:r w:rsidR="0093616F">
        <w:t>“Living Beings.”</w:t>
      </w:r>
    </w:p>
  </w:footnote>
  <w:footnote w:id="263">
    <w:p w14:paraId="340032B6" w14:textId="03CBA9BA" w:rsidR="00C44A93" w:rsidRDefault="00C44A93" w:rsidP="00C44A93">
      <w:pPr>
        <w:pStyle w:val="FootnoteText"/>
      </w:pPr>
      <w:r>
        <w:rPr>
          <w:rStyle w:val="FootnoteReference"/>
        </w:rPr>
        <w:footnoteRef/>
      </w:r>
      <w:r>
        <w:t xml:space="preserve"> See further </w:t>
      </w:r>
      <w:r w:rsidRPr="00375EF3">
        <w:rPr>
          <w:rFonts w:ascii="Calibri" w:eastAsia="Times New Roman" w:hAnsi="Calibri" w:cs="Calibri"/>
          <w:lang w:val="en-GB" w:eastAsia="en-GB"/>
        </w:rPr>
        <w:t>Wood, </w:t>
      </w:r>
      <w:r w:rsidRPr="00375EF3">
        <w:rPr>
          <w:rFonts w:ascii="Calibri" w:eastAsia="Times New Roman" w:hAnsi="Calibri" w:cs="Calibri"/>
          <w:i/>
          <w:iCs/>
          <w:lang w:val="en-GB" w:eastAsia="en-GB"/>
        </w:rPr>
        <w:t>Wings</w:t>
      </w:r>
      <w:r>
        <w:rPr>
          <w:rFonts w:ascii="Calibri" w:eastAsia="Times New Roman" w:hAnsi="Calibri" w:cs="Calibri"/>
          <w:lang w:val="en-GB" w:eastAsia="en-GB"/>
        </w:rPr>
        <w:t xml:space="preserve">, </w:t>
      </w:r>
      <w:r w:rsidR="009111B4">
        <w:rPr>
          <w:rFonts w:ascii="Calibri" w:eastAsia="Times New Roman" w:hAnsi="Calibri" w:cs="Calibri"/>
          <w:lang w:val="en-GB" w:eastAsia="en-GB"/>
        </w:rPr>
        <w:t>95</w:t>
      </w:r>
      <w:r w:rsidR="001943CB">
        <w:rPr>
          <w:rFonts w:ascii="Calibri" w:eastAsia="Times New Roman" w:hAnsi="Calibri" w:cs="Calibri"/>
          <w:lang w:val="en-GB" w:eastAsia="en-GB"/>
        </w:rPr>
        <w:t>–</w:t>
      </w:r>
      <w:r w:rsidR="008328AA">
        <w:rPr>
          <w:rFonts w:ascii="Calibri" w:eastAsia="Times New Roman" w:hAnsi="Calibri" w:cs="Calibri"/>
          <w:lang w:val="en-GB" w:eastAsia="en-GB"/>
        </w:rPr>
        <w:t xml:space="preserve">140. </w:t>
      </w:r>
    </w:p>
  </w:footnote>
  <w:footnote w:id="264">
    <w:p w14:paraId="17D7184E" w14:textId="2E9AD409" w:rsidR="009215CD" w:rsidRDefault="009215CD">
      <w:pPr>
        <w:pStyle w:val="FootnoteText"/>
      </w:pPr>
      <w:r>
        <w:rPr>
          <w:rStyle w:val="FootnoteReference"/>
        </w:rPr>
        <w:footnoteRef/>
      </w:r>
      <w:r>
        <w:t xml:space="preserve"> See further Goldingay, </w:t>
      </w:r>
      <w:r w:rsidR="00DC0FFA">
        <w:t>“Ezekiel 10:2.”</w:t>
      </w:r>
    </w:p>
  </w:footnote>
  <w:footnote w:id="265">
    <w:p w14:paraId="285D91E3" w14:textId="1C93E029" w:rsidR="00A30112" w:rsidRDefault="00A30112">
      <w:pPr>
        <w:pStyle w:val="FootnoteText"/>
      </w:pPr>
      <w:r>
        <w:rPr>
          <w:rStyle w:val="FootnoteReference"/>
        </w:rPr>
        <w:footnoteRef/>
      </w:r>
      <w:r>
        <w:t xml:space="preserve"> </w:t>
      </w:r>
      <w:r w:rsidR="004F07FA">
        <w:t xml:space="preserve">So </w:t>
      </w:r>
      <w:r w:rsidR="00F420C4">
        <w:t>Houk</w:t>
      </w:r>
      <w:r w:rsidR="0093151F">
        <w:t xml:space="preserve"> (“Redaction,” 53)</w:t>
      </w:r>
      <w:r w:rsidR="004F07FA">
        <w:t>, in association with a distinctive suggestion about these chapters’ redaction</w:t>
      </w:r>
      <w:r w:rsidR="0093151F">
        <w:t>.</w:t>
      </w:r>
    </w:p>
  </w:footnote>
  <w:footnote w:id="266">
    <w:p w14:paraId="0DD43E58" w14:textId="1CD251C8" w:rsidR="00DB3834" w:rsidRPr="00DB3834" w:rsidRDefault="0049571D" w:rsidP="00DB3834">
      <w:pPr>
        <w:pStyle w:val="FootnoteText"/>
      </w:pPr>
      <w:r>
        <w:rPr>
          <w:rStyle w:val="FootnoteReference"/>
        </w:rPr>
        <w:footnoteRef/>
      </w:r>
      <w:r>
        <w:t xml:space="preserve"> </w:t>
      </w:r>
      <w:r w:rsidR="00E64133">
        <w:t xml:space="preserve">See further Sweeney, </w:t>
      </w:r>
      <w:r w:rsidR="00DB3834">
        <w:t>“Destruction.</w:t>
      </w:r>
      <w:r w:rsidR="002D403B">
        <w:t>”</w:t>
      </w:r>
    </w:p>
  </w:footnote>
  <w:footnote w:id="267">
    <w:p w14:paraId="3335A15D" w14:textId="77777777" w:rsidR="00E60E6B" w:rsidRPr="00212515" w:rsidRDefault="00E60E6B" w:rsidP="00E60E6B">
      <w:pPr>
        <w:pStyle w:val="FootnoteText"/>
      </w:pPr>
      <w:r>
        <w:rPr>
          <w:rStyle w:val="FootnoteReference"/>
        </w:rPr>
        <w:footnoteRef/>
      </w:r>
      <w:r>
        <w:t xml:space="preserve"> See Wood, </w:t>
      </w:r>
      <w:r>
        <w:rPr>
          <w:i/>
          <w:iCs/>
        </w:rPr>
        <w:t>Wings</w:t>
      </w:r>
      <w:r>
        <w:t>.</w:t>
      </w:r>
    </w:p>
  </w:footnote>
  <w:footnote w:id="268">
    <w:p w14:paraId="2B7C443A" w14:textId="420CA687" w:rsidR="00E60E6B" w:rsidRPr="00A515CF" w:rsidRDefault="00E60E6B" w:rsidP="00E60E6B">
      <w:pPr>
        <w:pStyle w:val="FootnoteText"/>
      </w:pPr>
      <w:r>
        <w:rPr>
          <w:rStyle w:val="FootnoteReference"/>
        </w:rPr>
        <w:footnoteRef/>
      </w:r>
      <w:r>
        <w:t xml:space="preserve"> See, e.g., </w:t>
      </w:r>
      <w:r w:rsidR="0087451D">
        <w:t xml:space="preserve">D. N. Freeman and </w:t>
      </w:r>
      <w:r w:rsidR="00BA432E">
        <w:t xml:space="preserve">M. </w:t>
      </w:r>
      <w:r w:rsidR="00331859">
        <w:t xml:space="preserve">P. </w:t>
      </w:r>
      <w:r w:rsidR="00BA432E">
        <w:t xml:space="preserve">O’Connor, </w:t>
      </w:r>
      <w:r>
        <w:rPr>
          <w:i/>
          <w:iCs/>
        </w:rPr>
        <w:t xml:space="preserve">TDOT </w:t>
      </w:r>
      <w:r>
        <w:t>7:314</w:t>
      </w:r>
      <w:r w:rsidR="001943CB">
        <w:t>–</w:t>
      </w:r>
      <w:r>
        <w:t>19.</w:t>
      </w:r>
    </w:p>
  </w:footnote>
  <w:footnote w:id="269">
    <w:p w14:paraId="62C0CF4B" w14:textId="16EBD106" w:rsidR="009B1FDC" w:rsidRDefault="009B1FDC" w:rsidP="00F74F7B">
      <w:pPr>
        <w:pStyle w:val="FootnoteText"/>
        <w:tabs>
          <w:tab w:val="left" w:pos="4962"/>
        </w:tabs>
      </w:pPr>
      <w:r>
        <w:rPr>
          <w:rStyle w:val="FootnoteReference"/>
        </w:rPr>
        <w:footnoteRef/>
      </w:r>
      <w:r>
        <w:t xml:space="preserve"> See </w:t>
      </w:r>
      <w:r>
        <w:t>Sedlmeier, “Br</w:t>
      </w:r>
      <w:r>
        <w:rPr>
          <w:rFonts w:cstheme="minorHAnsi"/>
        </w:rPr>
        <w:t>ü</w:t>
      </w:r>
      <w:r>
        <w:t>der.”</w:t>
      </w:r>
      <w:r w:rsidR="00541E7C">
        <w:t xml:space="preserve"> Lust (“</w:t>
      </w:r>
      <w:r w:rsidR="00B16E14">
        <w:t xml:space="preserve">Exile and Diaspora”) sees such a passage as a </w:t>
      </w:r>
      <w:r w:rsidR="008E28F4">
        <w:t>later promise of return</w:t>
      </w:r>
      <w:r w:rsidR="00B16E14">
        <w:t xml:space="preserve"> </w:t>
      </w:r>
      <w:r w:rsidR="008E28F4">
        <w:t>from a wider dispersion than the sixth century exile.</w:t>
      </w:r>
    </w:p>
  </w:footnote>
  <w:footnote w:id="270">
    <w:p w14:paraId="5C21EF06" w14:textId="6EC5C73B" w:rsidR="00BD127F" w:rsidRDefault="00BD127F" w:rsidP="00BD127F">
      <w:pPr>
        <w:pStyle w:val="FootnoteText"/>
      </w:pPr>
      <w:r>
        <w:rPr>
          <w:rStyle w:val="FootnoteReference"/>
        </w:rPr>
        <w:footnoteRef/>
      </w:r>
      <w:r>
        <w:t xml:space="preserve"> </w:t>
      </w:r>
      <w:r>
        <w:rPr>
          <w:lang w:eastAsia="en-GB"/>
        </w:rPr>
        <w:t>Trouble (</w:t>
      </w:r>
      <w:r>
        <w:rPr>
          <w:rFonts w:cstheme="minorHAnsi"/>
          <w:rtl/>
          <w:lang w:eastAsia="en-GB" w:bidi="he-IL"/>
        </w:rPr>
        <w:t>אָוֶן</w:t>
      </w:r>
      <w:r>
        <w:rPr>
          <w:lang w:eastAsia="en-GB"/>
        </w:rPr>
        <w:t>) can denote troublesome deeds</w:t>
      </w:r>
      <w:r w:rsidR="00AD3937">
        <w:rPr>
          <w:lang w:eastAsia="en-GB"/>
        </w:rPr>
        <w:t xml:space="preserve"> </w:t>
      </w:r>
      <w:r w:rsidR="00C34A2F">
        <w:rPr>
          <w:lang w:eastAsia="en-GB"/>
        </w:rPr>
        <w:t>(</w:t>
      </w:r>
      <w:r>
        <w:rPr>
          <w:lang w:eastAsia="en-GB"/>
        </w:rPr>
        <w:t>wrongful ones</w:t>
      </w:r>
      <w:r w:rsidR="00C34A2F">
        <w:rPr>
          <w:lang w:eastAsia="en-GB"/>
        </w:rPr>
        <w:t>)</w:t>
      </w:r>
      <w:r>
        <w:rPr>
          <w:lang w:eastAsia="en-GB"/>
        </w:rPr>
        <w:t xml:space="preserve"> or troublesome experiences that may issue from troublesome deeds.</w:t>
      </w:r>
    </w:p>
  </w:footnote>
  <w:footnote w:id="271">
    <w:p w14:paraId="569A285A" w14:textId="6AC062A7" w:rsidR="009F29A5" w:rsidRDefault="009F29A5" w:rsidP="0046738D">
      <w:pPr>
        <w:pStyle w:val="FootnoteText"/>
      </w:pPr>
      <w:r>
        <w:rPr>
          <w:rStyle w:val="FootnoteReference"/>
        </w:rPr>
        <w:footnoteRef/>
      </w:r>
      <w:r>
        <w:t xml:space="preserve"> </w:t>
      </w:r>
      <w:r>
        <w:rPr>
          <w:lang w:eastAsia="en-GB"/>
        </w:rPr>
        <w:t>This elliptical</w:t>
      </w:r>
      <w:r w:rsidR="00066CAD">
        <w:rPr>
          <w:lang w:eastAsia="en-GB"/>
        </w:rPr>
        <w:t>*</w:t>
      </w:r>
      <w:r>
        <w:rPr>
          <w:lang w:eastAsia="en-GB"/>
        </w:rPr>
        <w:t xml:space="preserve"> verbless sentence can be read in a number of ways: “</w:t>
      </w:r>
      <w:r w:rsidR="0046738D">
        <w:rPr>
          <w:lang w:eastAsia="en-GB"/>
        </w:rPr>
        <w:t>W</w:t>
      </w:r>
      <w:r>
        <w:rPr>
          <w:lang w:eastAsia="en-GB"/>
        </w:rPr>
        <w:t xml:space="preserve">e have just been building houses” (so </w:t>
      </w:r>
      <w:r w:rsidR="00CB7E29">
        <w:rPr>
          <w:sz w:val="18"/>
          <w:szCs w:val="18"/>
        </w:rPr>
        <w:t>LXX</w:t>
      </w:r>
      <w:r w:rsidR="00CB7E29" w:rsidRPr="00550961">
        <w:t xml:space="preserve"> </w:t>
      </w:r>
      <w:r>
        <w:rPr>
          <w:lang w:eastAsia="en-GB"/>
        </w:rPr>
        <w:t>and Vg</w:t>
      </w:r>
      <w:r w:rsidR="00C77350">
        <w:rPr>
          <w:lang w:eastAsia="en-GB"/>
        </w:rPr>
        <w:t>.</w:t>
      </w:r>
      <w:r>
        <w:rPr>
          <w:lang w:eastAsia="en-GB"/>
        </w:rPr>
        <w:t xml:space="preserve">, who also take it as an unmarked rhetorical question), or </w:t>
      </w:r>
      <w:r w:rsidR="00C82B98">
        <w:rPr>
          <w:lang w:eastAsia="en-GB"/>
        </w:rPr>
        <w:t>“</w:t>
      </w:r>
      <w:r w:rsidR="006240B1">
        <w:rPr>
          <w:lang w:eastAsia="en-GB"/>
        </w:rPr>
        <w:t>We have been building houses in it</w:t>
      </w:r>
      <w:r>
        <w:rPr>
          <w:lang w:eastAsia="en-GB"/>
        </w:rPr>
        <w:t>“</w:t>
      </w:r>
      <w:r w:rsidR="00E4567B">
        <w:rPr>
          <w:lang w:eastAsia="en-GB"/>
        </w:rPr>
        <w:t xml:space="preserve"> (</w:t>
      </w:r>
      <w:r w:rsidR="00E4567B">
        <w:rPr>
          <w:lang w:eastAsia="en-GB"/>
        </w:rPr>
        <w:t xml:space="preserve">Syr: </w:t>
      </w:r>
      <w:r w:rsidR="001573F8">
        <w:rPr>
          <w:lang w:eastAsia="en-GB"/>
        </w:rPr>
        <w:t xml:space="preserve">see </w:t>
      </w:r>
      <w:r w:rsidR="001573F8">
        <w:t xml:space="preserve">Mushayabasa, “Utility,” </w:t>
      </w:r>
      <w:r w:rsidR="006F1930">
        <w:t>46</w:t>
      </w:r>
      <w:r w:rsidR="001943CB">
        <w:t>–</w:t>
      </w:r>
      <w:r w:rsidR="00EF0961">
        <w:t>52), or “</w:t>
      </w:r>
      <w:r w:rsidR="0046738D">
        <w:rPr>
          <w:lang w:eastAsia="en-GB"/>
        </w:rPr>
        <w:t>T</w:t>
      </w:r>
      <w:r>
        <w:rPr>
          <w:lang w:eastAsia="en-GB"/>
        </w:rPr>
        <w:t>his is no time to build houses,” or “</w:t>
      </w:r>
      <w:r w:rsidR="0046738D">
        <w:rPr>
          <w:lang w:eastAsia="en-GB"/>
        </w:rPr>
        <w:t>I</w:t>
      </w:r>
      <w:r>
        <w:rPr>
          <w:lang w:eastAsia="en-GB"/>
        </w:rPr>
        <w:t xml:space="preserve">t’s not near </w:t>
      </w:r>
      <w:r w:rsidR="00995494">
        <w:rPr>
          <w:lang w:eastAsia="en-GB"/>
        </w:rPr>
        <w:t>[</w:t>
      </w:r>
      <w:r>
        <w:rPr>
          <w:lang w:eastAsia="en-GB"/>
        </w:rPr>
        <w:t>the trouble that Ezekiel threatens</w:t>
      </w:r>
      <w:r w:rsidR="00995494">
        <w:rPr>
          <w:lang w:eastAsia="en-GB"/>
        </w:rPr>
        <w:t>],</w:t>
      </w:r>
      <w:r w:rsidR="005C6652">
        <w:rPr>
          <w:lang w:eastAsia="en-GB"/>
        </w:rPr>
        <w:t xml:space="preserve"> </w:t>
      </w:r>
      <w:r w:rsidR="006B04C7">
        <w:rPr>
          <w:lang w:eastAsia="en-GB"/>
        </w:rPr>
        <w:t>b</w:t>
      </w:r>
      <w:r>
        <w:rPr>
          <w:lang w:eastAsia="en-GB"/>
        </w:rPr>
        <w:t>uild houses” (taking the inf</w:t>
      </w:r>
      <w:r w:rsidR="007348F4">
        <w:rPr>
          <w:lang w:eastAsia="en-GB"/>
        </w:rPr>
        <w:t>.</w:t>
      </w:r>
      <w:r>
        <w:rPr>
          <w:lang w:eastAsia="en-GB"/>
        </w:rPr>
        <w:t xml:space="preserve"> in an imperatival sense</w:t>
      </w:r>
      <w:r w:rsidR="00004E9A">
        <w:rPr>
          <w:lang w:eastAsia="en-GB"/>
        </w:rPr>
        <w:t>; Rashi in MG</w:t>
      </w:r>
      <w:r>
        <w:rPr>
          <w:lang w:eastAsia="en-GB"/>
        </w:rPr>
        <w:t xml:space="preserve">). It would also be possible to take houses to denote households. </w:t>
      </w:r>
    </w:p>
  </w:footnote>
  <w:footnote w:id="272">
    <w:p w14:paraId="6C301E93" w14:textId="57A2C635" w:rsidR="0031624B" w:rsidRDefault="0031624B" w:rsidP="00D478AF">
      <w:pPr>
        <w:pStyle w:val="FootnoteText"/>
      </w:pPr>
      <w:r>
        <w:rPr>
          <w:rStyle w:val="FootnoteReference"/>
        </w:rPr>
        <w:footnoteRef/>
      </w:r>
      <w:r>
        <w:t xml:space="preserve"> </w:t>
      </w:r>
      <w:r w:rsidR="00D478AF">
        <w:rPr>
          <w:rFonts w:cstheme="minorHAnsi"/>
          <w:rtl/>
          <w:lang w:bidi="he-IL"/>
        </w:rPr>
        <w:t>ג</w:t>
      </w:r>
      <w:r w:rsidR="005D7118">
        <w:rPr>
          <w:rFonts w:cstheme="minorHAnsi"/>
          <w:rtl/>
          <w:lang w:bidi="he-IL"/>
        </w:rPr>
        <w:t>ּ</w:t>
      </w:r>
      <w:r w:rsidR="00BF2B30">
        <w:rPr>
          <w:rFonts w:cstheme="minorHAnsi"/>
          <w:rtl/>
          <w:lang w:bidi="he-IL"/>
        </w:rPr>
        <w:t>ְבוּ</w:t>
      </w:r>
      <w:r w:rsidR="003D104B">
        <w:rPr>
          <w:rFonts w:cstheme="minorHAnsi"/>
          <w:rtl/>
          <w:lang w:bidi="he-IL"/>
        </w:rPr>
        <w:t>ל</w:t>
      </w:r>
      <w:r>
        <w:rPr>
          <w:rFonts w:cstheme="minorHAnsi"/>
          <w:i/>
          <w:iCs/>
          <w:lang w:eastAsia="en-GB"/>
        </w:rPr>
        <w:t xml:space="preserve"> </w:t>
      </w:r>
      <w:r>
        <w:rPr>
          <w:rFonts w:cstheme="minorHAnsi"/>
          <w:lang w:eastAsia="en-GB"/>
        </w:rPr>
        <w:t xml:space="preserve">literally means “border,” but often denotes the land enclosed by the border (see </w:t>
      </w:r>
      <w:r>
        <w:rPr>
          <w:lang w:eastAsia="en-GB"/>
        </w:rPr>
        <w:t xml:space="preserve">BDB). </w:t>
      </w:r>
    </w:p>
  </w:footnote>
  <w:footnote w:id="273">
    <w:p w14:paraId="760DE520" w14:textId="66DB7351" w:rsidR="008A72E4" w:rsidRDefault="008A72E4" w:rsidP="007A5D05">
      <w:pPr>
        <w:pStyle w:val="FootnoteText"/>
      </w:pPr>
      <w:r>
        <w:rPr>
          <w:rStyle w:val="FootnoteReference"/>
        </w:rPr>
        <w:footnoteRef/>
      </w:r>
      <w:r>
        <w:t xml:space="preserve"> </w:t>
      </w:r>
      <w:r w:rsidR="00B75F28">
        <w:rPr>
          <w:rFonts w:cstheme="minorHAnsi"/>
          <w:rtl/>
          <w:lang w:bidi="he-IL"/>
        </w:rPr>
        <w:t>א</w:t>
      </w:r>
      <w:r w:rsidR="00540133">
        <w:rPr>
          <w:rFonts w:cstheme="minorHAnsi"/>
          <w:rtl/>
          <w:lang w:bidi="he-IL"/>
        </w:rPr>
        <w:t>ֵת</w:t>
      </w:r>
      <w:r w:rsidR="00540133">
        <w:t>, l</w:t>
      </w:r>
      <w:r>
        <w:rPr>
          <w:lang w:eastAsia="en-GB"/>
        </w:rPr>
        <w:t xml:space="preserve">iterally “with” (BDB, 478; cf. </w:t>
      </w:r>
      <w:r>
        <w:t>Allen</w:t>
      </w:r>
      <w:r w:rsidR="00102D97">
        <w:t>,</w:t>
      </w:r>
      <w:r>
        <w:t xml:space="preserve"> 1:128</w:t>
      </w:r>
      <w:r>
        <w:rPr>
          <w:lang w:eastAsia="en-GB"/>
        </w:rPr>
        <w:t xml:space="preserve">). </w:t>
      </w:r>
    </w:p>
  </w:footnote>
  <w:footnote w:id="274">
    <w:p w14:paraId="5C36C5F1" w14:textId="0FF20BDE" w:rsidR="00786699" w:rsidRPr="00786699" w:rsidRDefault="00786699" w:rsidP="00786699">
      <w:pPr>
        <w:pStyle w:val="FootnoteText"/>
      </w:pPr>
      <w:r>
        <w:rPr>
          <w:rStyle w:val="FootnoteReference"/>
        </w:rPr>
        <w:footnoteRef/>
      </w:r>
      <w:r>
        <w:t xml:space="preserve"> </w:t>
      </w:r>
      <w:r>
        <w:rPr>
          <w:lang w:eastAsia="en-GB"/>
        </w:rPr>
        <w:t xml:space="preserve">Literally, “your relatives, your relatives” (cf. </w:t>
      </w:r>
      <w:r>
        <w:rPr>
          <w:lang w:eastAsia="en-GB"/>
        </w:rPr>
        <w:t>Zimmerli</w:t>
      </w:r>
      <w:r w:rsidR="00102D97">
        <w:rPr>
          <w:lang w:eastAsia="en-GB"/>
        </w:rPr>
        <w:t>,</w:t>
      </w:r>
      <w:r>
        <w:rPr>
          <w:lang w:eastAsia="en-GB"/>
        </w:rPr>
        <w:t xml:space="preserve"> 1:229; also GK 123c).</w:t>
      </w:r>
      <w:r w:rsidR="0029125D">
        <w:rPr>
          <w:lang w:eastAsia="en-GB"/>
        </w:rPr>
        <w:t xml:space="preserve"> </w:t>
      </w:r>
    </w:p>
  </w:footnote>
  <w:footnote w:id="275">
    <w:p w14:paraId="731A302F" w14:textId="653418EF" w:rsidR="006016C2" w:rsidRDefault="00E52FBA" w:rsidP="006016C2">
      <w:pPr>
        <w:pStyle w:val="FootnoteText"/>
      </w:pPr>
      <w:r>
        <w:rPr>
          <w:rStyle w:val="FootnoteReference"/>
        </w:rPr>
        <w:footnoteRef/>
      </w:r>
      <w:r>
        <w:t xml:space="preserve"> </w:t>
      </w:r>
      <w:r w:rsidR="00CB7E29">
        <w:rPr>
          <w:sz w:val="18"/>
          <w:szCs w:val="18"/>
        </w:rPr>
        <w:t>LXX</w:t>
      </w:r>
      <w:r w:rsidR="00CB7E29" w:rsidRPr="00550961">
        <w:t xml:space="preserve"> </w:t>
      </w:r>
      <w:r w:rsidR="00CB7E29">
        <w:t>m</w:t>
      </w:r>
      <w:r w:rsidR="006016C2">
        <w:rPr>
          <w:rFonts w:cstheme="minorHAnsi"/>
          <w:lang w:eastAsia="en-GB"/>
        </w:rPr>
        <w:t xml:space="preserve">akes a sentence out of </w:t>
      </w:r>
      <w:r w:rsidR="008D3B01">
        <w:rPr>
          <w:rFonts w:cstheme="minorHAnsi"/>
          <w:lang w:eastAsia="en-GB"/>
        </w:rPr>
        <w:t>11:</w:t>
      </w:r>
      <w:r w:rsidR="006016C2">
        <w:rPr>
          <w:rFonts w:cstheme="minorHAnsi"/>
          <w:lang w:eastAsia="en-GB"/>
        </w:rPr>
        <w:t>15</w:t>
      </w:r>
      <w:r w:rsidR="00851BEE">
        <w:rPr>
          <w:rFonts w:cstheme="minorHAnsi"/>
          <w:lang w:eastAsia="en-GB"/>
        </w:rPr>
        <w:t xml:space="preserve"> and </w:t>
      </w:r>
      <w:r w:rsidR="009455CE" w:rsidRPr="00F97A59">
        <w:rPr>
          <w:sz w:val="18"/>
          <w:szCs w:val="18"/>
        </w:rPr>
        <w:t>MT</w:t>
      </w:r>
      <w:r w:rsidR="00851BEE">
        <w:rPr>
          <w:rFonts w:cstheme="minorHAnsi"/>
          <w:lang w:eastAsia="en-GB"/>
        </w:rPr>
        <w:t xml:space="preserve"> has a setumah at the end of the verse,</w:t>
      </w:r>
      <w:r w:rsidR="006016C2">
        <w:rPr>
          <w:rFonts w:cstheme="minorHAnsi"/>
          <w:lang w:eastAsia="en-GB"/>
        </w:rPr>
        <w:t xml:space="preserve"> but </w:t>
      </w:r>
      <w:r w:rsidR="008D3B01">
        <w:rPr>
          <w:rFonts w:cstheme="minorHAnsi"/>
          <w:lang w:eastAsia="en-GB"/>
        </w:rPr>
        <w:t>11:</w:t>
      </w:r>
      <w:r w:rsidR="006016C2">
        <w:rPr>
          <w:rFonts w:cstheme="minorHAnsi"/>
          <w:lang w:eastAsia="en-GB"/>
        </w:rPr>
        <w:t>15 is extraposed</w:t>
      </w:r>
      <w:r w:rsidR="007D64B6">
        <w:rPr>
          <w:rFonts w:cstheme="minorHAnsi"/>
          <w:lang w:eastAsia="en-GB"/>
        </w:rPr>
        <w:t>*</w:t>
      </w:r>
      <w:r w:rsidR="006016C2">
        <w:rPr>
          <w:rFonts w:cstheme="minorHAnsi"/>
          <w:lang w:eastAsia="en-GB"/>
        </w:rPr>
        <w:t xml:space="preserve"> and the suffixes in </w:t>
      </w:r>
      <w:r w:rsidR="008D3B01">
        <w:rPr>
          <w:rFonts w:cstheme="minorHAnsi"/>
          <w:lang w:eastAsia="en-GB"/>
        </w:rPr>
        <w:t>11:</w:t>
      </w:r>
      <w:r w:rsidR="006016C2">
        <w:rPr>
          <w:rFonts w:cstheme="minorHAnsi"/>
          <w:lang w:eastAsia="en-GB"/>
        </w:rPr>
        <w:t>16 pick it up</w:t>
      </w:r>
      <w:r w:rsidR="009811DA">
        <w:rPr>
          <w:rFonts w:cstheme="minorHAnsi"/>
          <w:lang w:eastAsia="en-GB"/>
        </w:rPr>
        <w:t>.</w:t>
      </w:r>
    </w:p>
  </w:footnote>
  <w:footnote w:id="276">
    <w:p w14:paraId="6B900F14" w14:textId="559D0259" w:rsidR="009D36EF" w:rsidRDefault="009D36EF">
      <w:pPr>
        <w:pStyle w:val="FootnoteText"/>
      </w:pPr>
      <w:r>
        <w:rPr>
          <w:rStyle w:val="FootnoteReference"/>
        </w:rPr>
        <w:footnoteRef/>
      </w:r>
      <w:r>
        <w:t xml:space="preserve"> </w:t>
      </w:r>
      <w:r w:rsidR="006C5B82">
        <w:t xml:space="preserve">See the translation </w:t>
      </w:r>
      <w:r w:rsidR="004829B5">
        <w:t>foot</w:t>
      </w:r>
      <w:r w:rsidR="006C5B82">
        <w:t>note on</w:t>
      </w:r>
      <w:r w:rsidR="00BE66B2">
        <w:t xml:space="preserve"> 2:6.</w:t>
      </w:r>
      <w:r w:rsidR="006C5B82">
        <w:t xml:space="preserve"> </w:t>
      </w:r>
    </w:p>
  </w:footnote>
  <w:footnote w:id="277">
    <w:p w14:paraId="1F01888A" w14:textId="5161E6ED" w:rsidR="007857F9" w:rsidRDefault="007857F9">
      <w:pPr>
        <w:pStyle w:val="FootnoteText"/>
      </w:pPr>
      <w:r>
        <w:rPr>
          <w:rStyle w:val="FootnoteReference"/>
        </w:rPr>
        <w:footnoteRef/>
      </w:r>
      <w:r>
        <w:t xml:space="preserve"> </w:t>
      </w:r>
      <w:r>
        <w:rPr>
          <w:rFonts w:cstheme="minorHAnsi"/>
          <w:lang w:eastAsia="en-GB"/>
        </w:rPr>
        <w:t>The colon</w:t>
      </w:r>
      <w:r w:rsidR="00B126F9">
        <w:rPr>
          <w:rFonts w:cstheme="minorHAnsi"/>
          <w:lang w:eastAsia="en-GB"/>
        </w:rPr>
        <w:t>*</w:t>
      </w:r>
      <w:r>
        <w:rPr>
          <w:rFonts w:cstheme="minorHAnsi"/>
          <w:lang w:eastAsia="en-GB"/>
        </w:rPr>
        <w:t xml:space="preserve"> is elliptical</w:t>
      </w:r>
      <w:r w:rsidR="008F75A9">
        <w:rPr>
          <w:rFonts w:cstheme="minorHAnsi"/>
          <w:lang w:eastAsia="en-GB"/>
        </w:rPr>
        <w:t>.</w:t>
      </w:r>
      <w:r>
        <w:rPr>
          <w:rFonts w:cstheme="minorHAnsi"/>
          <w:lang w:eastAsia="en-GB"/>
        </w:rPr>
        <w:t xml:space="preserve"> </w:t>
      </w:r>
      <w:r w:rsidR="00417F43">
        <w:rPr>
          <w:rFonts w:cstheme="minorHAnsi"/>
          <w:lang w:eastAsia="en-GB"/>
        </w:rPr>
        <w:t xml:space="preserve">Cf. </w:t>
      </w:r>
      <w:r>
        <w:rPr>
          <w:rFonts w:cstheme="minorHAnsi"/>
          <w:lang w:eastAsia="en-GB"/>
        </w:rPr>
        <w:t>Jer 51:3</w:t>
      </w:r>
      <w:r w:rsidR="00417F43">
        <w:rPr>
          <w:rFonts w:cstheme="minorHAnsi"/>
          <w:lang w:eastAsia="en-GB"/>
        </w:rPr>
        <w:t>,</w:t>
      </w:r>
      <w:r>
        <w:rPr>
          <w:rFonts w:cstheme="minorHAnsi"/>
          <w:lang w:eastAsia="en-GB"/>
        </w:rPr>
        <w:t xml:space="preserve"> another line with a (double) ellipsis after</w:t>
      </w:r>
      <w:r w:rsidR="0051053D">
        <w:rPr>
          <w:rFonts w:cstheme="minorHAnsi"/>
          <w:lang w:eastAsia="en-GB"/>
        </w:rPr>
        <w:t xml:space="preserve"> </w:t>
      </w:r>
      <w:r w:rsidR="00077A2B">
        <w:rPr>
          <w:rFonts w:cstheme="minorHAnsi"/>
          <w:rtl/>
          <w:lang w:eastAsia="en-GB" w:bidi="he-IL"/>
        </w:rPr>
        <w:t>אֶל</w:t>
      </w:r>
      <w:r>
        <w:rPr>
          <w:rFonts w:cstheme="minorHAnsi"/>
          <w:lang w:eastAsia="en-GB"/>
        </w:rPr>
        <w:t>.</w:t>
      </w:r>
    </w:p>
  </w:footnote>
  <w:footnote w:id="278">
    <w:p w14:paraId="242B15AC" w14:textId="1FA06D5C" w:rsidR="00910373" w:rsidRDefault="00910373">
      <w:pPr>
        <w:pStyle w:val="FootnoteText"/>
      </w:pPr>
      <w:r>
        <w:rPr>
          <w:rStyle w:val="FootnoteReference"/>
        </w:rPr>
        <w:footnoteRef/>
      </w:r>
      <w:r>
        <w:t xml:space="preserve"> See the translation </w:t>
      </w:r>
      <w:r w:rsidR="001B4CAB">
        <w:t>foot</w:t>
      </w:r>
      <w:r>
        <w:t>note on 9:10.</w:t>
      </w:r>
    </w:p>
  </w:footnote>
  <w:footnote w:id="279">
    <w:p w14:paraId="33644747" w14:textId="77777777" w:rsidR="00752367" w:rsidRDefault="00752367" w:rsidP="00752367">
      <w:pPr>
        <w:pStyle w:val="FootnoteText"/>
      </w:pPr>
      <w:r>
        <w:rPr>
          <w:rStyle w:val="FootnoteReference"/>
        </w:rPr>
        <w:footnoteRef/>
      </w:r>
      <w:r>
        <w:t xml:space="preserve"> Warren, “Cannibal Feast.”</w:t>
      </w:r>
    </w:p>
  </w:footnote>
  <w:footnote w:id="280">
    <w:p w14:paraId="5BC5E622" w14:textId="36E0D049" w:rsidR="00814EAA" w:rsidRDefault="00814EAA" w:rsidP="00814EAA">
      <w:pPr>
        <w:pStyle w:val="FootnoteText"/>
      </w:pPr>
      <w:r>
        <w:rPr>
          <w:rStyle w:val="FootnoteReference"/>
        </w:rPr>
        <w:footnoteRef/>
      </w:r>
      <w:r>
        <w:t xml:space="preserve"> Brownlee, 159</w:t>
      </w:r>
      <w:r w:rsidR="001943CB">
        <w:t>–</w:t>
      </w:r>
      <w:r>
        <w:t>61</w:t>
      </w:r>
      <w:r w:rsidR="00C96727">
        <w:t>,</w:t>
      </w:r>
      <w:r>
        <w:t xml:space="preserve"> notes eight “attempts at comprehension” of the verse. </w:t>
      </w:r>
    </w:p>
  </w:footnote>
  <w:footnote w:id="281">
    <w:p w14:paraId="75226793" w14:textId="371F7783" w:rsidR="00A50945" w:rsidRDefault="00A50945" w:rsidP="007F1DBE">
      <w:pPr>
        <w:pStyle w:val="FootnoteText"/>
      </w:pPr>
      <w:r>
        <w:rPr>
          <w:rStyle w:val="FootnoteReference"/>
        </w:rPr>
        <w:footnoteRef/>
      </w:r>
      <w:r>
        <w:t xml:space="preserve"> See </w:t>
      </w:r>
      <w:r>
        <w:t>Sedlmeier, “Br</w:t>
      </w:r>
      <w:r>
        <w:rPr>
          <w:rFonts w:cstheme="minorHAnsi"/>
        </w:rPr>
        <w:t>ü</w:t>
      </w:r>
      <w:r>
        <w:t>der</w:t>
      </w:r>
      <w:r w:rsidR="007F1DBE">
        <w:t>,</w:t>
      </w:r>
      <w:r>
        <w:t>” 307</w:t>
      </w:r>
      <w:r w:rsidR="001943CB">
        <w:t>–</w:t>
      </w:r>
      <w:r>
        <w:t>11</w:t>
      </w:r>
      <w:r w:rsidR="007F1DBE">
        <w:t>.</w:t>
      </w:r>
    </w:p>
  </w:footnote>
  <w:footnote w:id="282">
    <w:p w14:paraId="37625DAA" w14:textId="77777777" w:rsidR="00C61A5C" w:rsidRDefault="00C61A5C" w:rsidP="00C61A5C">
      <w:pPr>
        <w:pStyle w:val="FootnoteText"/>
      </w:pPr>
      <w:r>
        <w:rPr>
          <w:rStyle w:val="FootnoteReference"/>
        </w:rPr>
        <w:footnoteRef/>
      </w:r>
      <w:r>
        <w:t xml:space="preserve"> De Vries, “Presence.”</w:t>
      </w:r>
    </w:p>
  </w:footnote>
  <w:footnote w:id="283">
    <w:p w14:paraId="1150CF8F" w14:textId="6D91841F" w:rsidR="00360C16" w:rsidRDefault="00360C16">
      <w:pPr>
        <w:pStyle w:val="FootnoteText"/>
      </w:pPr>
      <w:r>
        <w:rPr>
          <w:rStyle w:val="FootnoteReference"/>
        </w:rPr>
        <w:footnoteRef/>
      </w:r>
      <w:r>
        <w:t xml:space="preserve"> See </w:t>
      </w:r>
      <w:r>
        <w:t xml:space="preserve">Strine, </w:t>
      </w:r>
      <w:r w:rsidR="00E53A6F">
        <w:t>“Imitation.”</w:t>
      </w:r>
    </w:p>
  </w:footnote>
  <w:footnote w:id="284">
    <w:p w14:paraId="1A94A9B7" w14:textId="629ABB5B" w:rsidR="00910B21" w:rsidRDefault="00910B21" w:rsidP="00121913">
      <w:pPr>
        <w:pStyle w:val="FootnoteText"/>
      </w:pPr>
      <w:r>
        <w:rPr>
          <w:rStyle w:val="FootnoteReference"/>
        </w:rPr>
        <w:footnoteRef/>
      </w:r>
      <w:r>
        <w:t xml:space="preserve"> </w:t>
      </w:r>
      <w:r w:rsidR="008D04AD">
        <w:t xml:space="preserve">John </w:t>
      </w:r>
      <w:r w:rsidR="006F62EC">
        <w:t xml:space="preserve">F. </w:t>
      </w:r>
      <w:r w:rsidR="008D04AD" w:rsidRPr="005469A6">
        <w:rPr>
          <w:rFonts w:ascii="Calibri" w:eastAsia="Times New Roman" w:hAnsi="Calibri" w:cs="Calibri"/>
          <w:color w:val="000000"/>
          <w:lang w:eastAsia="en-GB"/>
        </w:rPr>
        <w:t xml:space="preserve">Kutsko, </w:t>
      </w:r>
      <w:r w:rsidR="008D04AD" w:rsidRPr="00171D54">
        <w:rPr>
          <w:rFonts w:ascii="Calibri" w:eastAsia="Times New Roman" w:hAnsi="Calibri" w:cs="Calibri"/>
          <w:i/>
          <w:iCs/>
          <w:color w:val="000000"/>
          <w:lang w:eastAsia="en-GB"/>
        </w:rPr>
        <w:t>Between Heaven and Earth: Divine Presence and Absence in the Book of Ezekiel</w:t>
      </w:r>
      <w:r w:rsidR="008D04AD">
        <w:rPr>
          <w:rFonts w:ascii="Calibri" w:eastAsia="Times New Roman" w:hAnsi="Calibri" w:cs="Calibri"/>
          <w:color w:val="000000"/>
          <w:lang w:eastAsia="en-GB"/>
        </w:rPr>
        <w:t xml:space="preserve"> </w:t>
      </w:r>
      <w:r w:rsidR="00121913">
        <w:rPr>
          <w:rFonts w:ascii="Calibri" w:eastAsia="Times New Roman" w:hAnsi="Calibri" w:cs="Calibri"/>
          <w:color w:val="000000"/>
          <w:lang w:eastAsia="en-GB"/>
        </w:rPr>
        <w:t>(</w:t>
      </w:r>
      <w:r w:rsidR="008D04AD" w:rsidRPr="005469A6">
        <w:rPr>
          <w:rFonts w:ascii="Calibri" w:eastAsia="Times New Roman" w:hAnsi="Calibri" w:cs="Calibri"/>
          <w:color w:val="000000"/>
          <w:lang w:eastAsia="en-GB"/>
        </w:rPr>
        <w:t>Winona Lake, IN: Eisenbrauns, 2000</w:t>
      </w:r>
      <w:r w:rsidR="00121913">
        <w:rPr>
          <w:rFonts w:ascii="Calibri" w:eastAsia="Times New Roman" w:hAnsi="Calibri" w:cs="Calibri"/>
          <w:color w:val="000000"/>
          <w:lang w:eastAsia="en-GB"/>
        </w:rPr>
        <w:t>)</w:t>
      </w:r>
      <w:r>
        <w:t>, 100.</w:t>
      </w:r>
    </w:p>
  </w:footnote>
  <w:footnote w:id="285">
    <w:p w14:paraId="05B6B4DF" w14:textId="0B2BE7FF" w:rsidR="009935FB" w:rsidRDefault="009935FB">
      <w:pPr>
        <w:pStyle w:val="FootnoteText"/>
      </w:pPr>
      <w:r>
        <w:rPr>
          <w:rStyle w:val="FootnoteReference"/>
        </w:rPr>
        <w:footnoteRef/>
      </w:r>
      <w:r>
        <w:t xml:space="preserve"> Cf. Rom-</w:t>
      </w:r>
      <w:r w:rsidR="009A188E">
        <w:t>Shiloni, “Voice</w:t>
      </w:r>
      <w:r w:rsidR="00B11E4A">
        <w:t xml:space="preserve">”;  </w:t>
      </w:r>
      <w:r w:rsidR="00D15EEF">
        <w:t xml:space="preserve">Rom-Shiloni, </w:t>
      </w:r>
      <w:r w:rsidR="00BB5B10">
        <w:t xml:space="preserve">“Jerusalem”; </w:t>
      </w:r>
      <w:r w:rsidR="00B11E4A">
        <w:t>Rothenbusch,</w:t>
      </w:r>
      <w:r w:rsidR="00B11E4A" w:rsidRPr="00B11E4A">
        <w:t xml:space="preserve"> </w:t>
      </w:r>
      <w:r w:rsidR="001911C2">
        <w:t>“</w:t>
      </w:r>
      <w:r w:rsidR="00B11E4A">
        <w:t>Stimme</w:t>
      </w:r>
      <w:r w:rsidR="001911C2">
        <w:t>.”</w:t>
      </w:r>
    </w:p>
  </w:footnote>
  <w:footnote w:id="286">
    <w:p w14:paraId="37E9EE23" w14:textId="57B8E924" w:rsidR="000F5E66" w:rsidRDefault="000F5E66">
      <w:pPr>
        <w:pStyle w:val="FootnoteText"/>
      </w:pPr>
      <w:r>
        <w:rPr>
          <w:rStyle w:val="FootnoteReference"/>
        </w:rPr>
        <w:footnoteRef/>
      </w:r>
      <w:r>
        <w:t xml:space="preserve"> Cf Schwartz, </w:t>
      </w:r>
      <w:r w:rsidR="00085111">
        <w:t xml:space="preserve">“Ultimate Aim,” </w:t>
      </w:r>
      <w:r w:rsidR="00DD0740">
        <w:t>309.</w:t>
      </w:r>
    </w:p>
  </w:footnote>
  <w:footnote w:id="287">
    <w:p w14:paraId="13B9C477" w14:textId="7DAA85E6" w:rsidR="00F42134" w:rsidRDefault="00F42134">
      <w:pPr>
        <w:pStyle w:val="FootnoteText"/>
      </w:pPr>
      <w:r>
        <w:rPr>
          <w:rStyle w:val="FootnoteReference"/>
        </w:rPr>
        <w:footnoteRef/>
      </w:r>
      <w:r>
        <w:t xml:space="preserve"> </w:t>
      </w:r>
      <w:r w:rsidR="002E27D6">
        <w:t>Cf. Mitchell, “Ezekiel’s Presentation.”</w:t>
      </w:r>
    </w:p>
  </w:footnote>
  <w:footnote w:id="288">
    <w:p w14:paraId="31284764" w14:textId="0AF1CF8A" w:rsidR="00197E7A" w:rsidRDefault="00197E7A">
      <w:pPr>
        <w:pStyle w:val="FootnoteText"/>
      </w:pPr>
      <w:r>
        <w:rPr>
          <w:rStyle w:val="FootnoteReference"/>
        </w:rPr>
        <w:footnoteRef/>
      </w:r>
      <w:r>
        <w:t xml:space="preserve"> </w:t>
      </w:r>
      <w:r w:rsidR="00CF126A">
        <w:t>Cf. Schwartz, “Dim View,” 47.</w:t>
      </w:r>
    </w:p>
  </w:footnote>
  <w:footnote w:id="289">
    <w:p w14:paraId="246EE16D" w14:textId="15031CE4" w:rsidR="00637B88" w:rsidRPr="007B250F" w:rsidRDefault="00637B88" w:rsidP="00611A67">
      <w:pPr>
        <w:pStyle w:val="FootnoteText"/>
      </w:pPr>
      <w:r>
        <w:rPr>
          <w:rStyle w:val="FootnoteReference"/>
        </w:rPr>
        <w:footnoteRef/>
      </w:r>
      <w:r>
        <w:t xml:space="preserve"> See, e.g., Block, </w:t>
      </w:r>
      <w:r w:rsidR="00FE1DAB">
        <w:t>“Divine Abando</w:t>
      </w:r>
      <w:r w:rsidR="001C144A">
        <w:t>nment”</w:t>
      </w:r>
      <w:r w:rsidR="007B250F">
        <w:t xml:space="preserve">; </w:t>
      </w:r>
      <w:r w:rsidR="00060170">
        <w:t xml:space="preserve">Daniel </w:t>
      </w:r>
      <w:r w:rsidR="00060170" w:rsidRPr="005469A6">
        <w:rPr>
          <w:rFonts w:eastAsia="Times New Roman"/>
          <w:lang w:eastAsia="en-GB"/>
        </w:rPr>
        <w:t>Bodi, </w:t>
      </w:r>
      <w:r w:rsidR="00060170" w:rsidRPr="002D2317">
        <w:rPr>
          <w:rFonts w:eastAsia="Times New Roman"/>
          <w:i/>
          <w:lang w:eastAsia="en-GB"/>
        </w:rPr>
        <w:t>The Book of Ezekiel and the Poem of Erra</w:t>
      </w:r>
      <w:r w:rsidR="00C63B85">
        <w:rPr>
          <w:rFonts w:eastAsia="Times New Roman"/>
          <w:iCs/>
          <w:lang w:eastAsia="en-GB"/>
        </w:rPr>
        <w:t>,</w:t>
      </w:r>
      <w:r w:rsidR="00060170">
        <w:rPr>
          <w:rFonts w:eastAsia="Times New Roman"/>
          <w:lang w:eastAsia="en-GB"/>
        </w:rPr>
        <w:t xml:space="preserve"> </w:t>
      </w:r>
      <w:r w:rsidR="00060170" w:rsidRPr="005469A6">
        <w:rPr>
          <w:rFonts w:eastAsia="Times New Roman"/>
          <w:lang w:eastAsia="en-GB"/>
        </w:rPr>
        <w:t xml:space="preserve">OBO 104 </w:t>
      </w:r>
      <w:r w:rsidR="00C63B85">
        <w:rPr>
          <w:rFonts w:eastAsia="Times New Roman"/>
          <w:lang w:eastAsia="en-GB"/>
        </w:rPr>
        <w:t>(</w:t>
      </w:r>
      <w:r w:rsidR="00060170" w:rsidRPr="005469A6">
        <w:rPr>
          <w:rFonts w:eastAsia="Times New Roman"/>
          <w:lang w:eastAsia="en-GB"/>
        </w:rPr>
        <w:t>Göttingen: Vandenhoeck, 1991</w:t>
      </w:r>
      <w:r w:rsidR="00B3517B">
        <w:rPr>
          <w:rFonts w:eastAsia="Times New Roman"/>
          <w:lang w:eastAsia="en-GB"/>
        </w:rPr>
        <w:t>)</w:t>
      </w:r>
      <w:r w:rsidR="007B250F">
        <w:t>, 183</w:t>
      </w:r>
      <w:r w:rsidR="001943CB">
        <w:t>–</w:t>
      </w:r>
      <w:r w:rsidR="007B250F">
        <w:t>218</w:t>
      </w:r>
      <w:r w:rsidR="009748F0">
        <w:t>.</w:t>
      </w:r>
    </w:p>
  </w:footnote>
  <w:footnote w:id="290">
    <w:p w14:paraId="03E5D963" w14:textId="579427FA" w:rsidR="007E5F0C" w:rsidRDefault="007E5F0C">
      <w:pPr>
        <w:pStyle w:val="FootnoteText"/>
      </w:pPr>
      <w:r>
        <w:rPr>
          <w:rStyle w:val="FootnoteReference"/>
        </w:rPr>
        <w:footnoteRef/>
      </w:r>
      <w:r>
        <w:t xml:space="preserve"> </w:t>
      </w:r>
      <w:r>
        <w:t>Toonan, “Inviolability.”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24E"/>
    <w:multiLevelType w:val="hybridMultilevel"/>
    <w:tmpl w:val="73EA4666"/>
    <w:lvl w:ilvl="0" w:tplc="359AB6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111971"/>
    <w:multiLevelType w:val="hybridMultilevel"/>
    <w:tmpl w:val="15F82D34"/>
    <w:lvl w:ilvl="0" w:tplc="8CF05108">
      <w:start w:val="1"/>
      <w:numFmt w:val="bullet"/>
      <w:lvlText w:val=""/>
      <w:lvlJc w:val="left"/>
      <w:pPr>
        <w:ind w:left="9651" w:hanging="360"/>
      </w:pPr>
      <w:rPr>
        <w:rFonts w:ascii="Symbol" w:hAnsi="Symbol" w:hint="default"/>
      </w:rPr>
    </w:lvl>
    <w:lvl w:ilvl="1" w:tplc="08090003" w:tentative="1">
      <w:start w:val="1"/>
      <w:numFmt w:val="bullet"/>
      <w:lvlText w:val="o"/>
      <w:lvlJc w:val="left"/>
      <w:pPr>
        <w:ind w:left="10371" w:hanging="360"/>
      </w:pPr>
      <w:rPr>
        <w:rFonts w:ascii="Courier New" w:hAnsi="Courier New" w:cs="Courier New" w:hint="default"/>
      </w:rPr>
    </w:lvl>
    <w:lvl w:ilvl="2" w:tplc="08090005" w:tentative="1">
      <w:start w:val="1"/>
      <w:numFmt w:val="bullet"/>
      <w:lvlText w:val=""/>
      <w:lvlJc w:val="left"/>
      <w:pPr>
        <w:ind w:left="11091" w:hanging="360"/>
      </w:pPr>
      <w:rPr>
        <w:rFonts w:ascii="Wingdings" w:hAnsi="Wingdings" w:hint="default"/>
      </w:rPr>
    </w:lvl>
    <w:lvl w:ilvl="3" w:tplc="08090001" w:tentative="1">
      <w:start w:val="1"/>
      <w:numFmt w:val="bullet"/>
      <w:lvlText w:val=""/>
      <w:lvlJc w:val="left"/>
      <w:pPr>
        <w:ind w:left="11811" w:hanging="360"/>
      </w:pPr>
      <w:rPr>
        <w:rFonts w:ascii="Symbol" w:hAnsi="Symbol" w:hint="default"/>
      </w:rPr>
    </w:lvl>
    <w:lvl w:ilvl="4" w:tplc="08090003" w:tentative="1">
      <w:start w:val="1"/>
      <w:numFmt w:val="bullet"/>
      <w:lvlText w:val="o"/>
      <w:lvlJc w:val="left"/>
      <w:pPr>
        <w:ind w:left="12531" w:hanging="360"/>
      </w:pPr>
      <w:rPr>
        <w:rFonts w:ascii="Courier New" w:hAnsi="Courier New" w:cs="Courier New" w:hint="default"/>
      </w:rPr>
    </w:lvl>
    <w:lvl w:ilvl="5" w:tplc="08090005" w:tentative="1">
      <w:start w:val="1"/>
      <w:numFmt w:val="bullet"/>
      <w:lvlText w:val=""/>
      <w:lvlJc w:val="left"/>
      <w:pPr>
        <w:ind w:left="13251" w:hanging="360"/>
      </w:pPr>
      <w:rPr>
        <w:rFonts w:ascii="Wingdings" w:hAnsi="Wingdings" w:hint="default"/>
      </w:rPr>
    </w:lvl>
    <w:lvl w:ilvl="6" w:tplc="08090001" w:tentative="1">
      <w:start w:val="1"/>
      <w:numFmt w:val="bullet"/>
      <w:lvlText w:val=""/>
      <w:lvlJc w:val="left"/>
      <w:pPr>
        <w:ind w:left="13971" w:hanging="360"/>
      </w:pPr>
      <w:rPr>
        <w:rFonts w:ascii="Symbol" w:hAnsi="Symbol" w:hint="default"/>
      </w:rPr>
    </w:lvl>
    <w:lvl w:ilvl="7" w:tplc="08090003" w:tentative="1">
      <w:start w:val="1"/>
      <w:numFmt w:val="bullet"/>
      <w:lvlText w:val="o"/>
      <w:lvlJc w:val="left"/>
      <w:pPr>
        <w:ind w:left="14691" w:hanging="360"/>
      </w:pPr>
      <w:rPr>
        <w:rFonts w:ascii="Courier New" w:hAnsi="Courier New" w:cs="Courier New" w:hint="default"/>
      </w:rPr>
    </w:lvl>
    <w:lvl w:ilvl="8" w:tplc="08090005" w:tentative="1">
      <w:start w:val="1"/>
      <w:numFmt w:val="bullet"/>
      <w:lvlText w:val=""/>
      <w:lvlJc w:val="left"/>
      <w:pPr>
        <w:ind w:left="15411" w:hanging="360"/>
      </w:pPr>
      <w:rPr>
        <w:rFonts w:ascii="Wingdings" w:hAnsi="Wingdings" w:hint="default"/>
      </w:rPr>
    </w:lvl>
  </w:abstractNum>
  <w:abstractNum w:abstractNumId="2" w15:restartNumberingAfterBreak="0">
    <w:nsid w:val="0EF75F5E"/>
    <w:multiLevelType w:val="hybridMultilevel"/>
    <w:tmpl w:val="9342D4C6"/>
    <w:lvl w:ilvl="0" w:tplc="25AA3F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027791"/>
    <w:multiLevelType w:val="hybridMultilevel"/>
    <w:tmpl w:val="B558A922"/>
    <w:lvl w:ilvl="0" w:tplc="170C8D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2B23FF"/>
    <w:multiLevelType w:val="hybridMultilevel"/>
    <w:tmpl w:val="EA3CBC80"/>
    <w:lvl w:ilvl="0" w:tplc="1FFEA10E">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B41344"/>
    <w:multiLevelType w:val="hybridMultilevel"/>
    <w:tmpl w:val="4EF8F606"/>
    <w:lvl w:ilvl="0" w:tplc="E0C22924">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604029"/>
    <w:multiLevelType w:val="hybridMultilevel"/>
    <w:tmpl w:val="3844157E"/>
    <w:lvl w:ilvl="0" w:tplc="E3109A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DA7D01"/>
    <w:multiLevelType w:val="hybridMultilevel"/>
    <w:tmpl w:val="5D4804A4"/>
    <w:lvl w:ilvl="0" w:tplc="371A39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C675F8"/>
    <w:multiLevelType w:val="hybridMultilevel"/>
    <w:tmpl w:val="BB7E532A"/>
    <w:lvl w:ilvl="0" w:tplc="F11E98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174893"/>
    <w:multiLevelType w:val="hybridMultilevel"/>
    <w:tmpl w:val="D804A11E"/>
    <w:lvl w:ilvl="0" w:tplc="078E1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BC4C80"/>
    <w:multiLevelType w:val="hybridMultilevel"/>
    <w:tmpl w:val="821E4C86"/>
    <w:lvl w:ilvl="0" w:tplc="4892973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1516D2"/>
    <w:multiLevelType w:val="hybridMultilevel"/>
    <w:tmpl w:val="BB44AE60"/>
    <w:lvl w:ilvl="0" w:tplc="8CF05108">
      <w:start w:val="1"/>
      <w:numFmt w:val="bullet"/>
      <w:lvlText w:val=""/>
      <w:lvlJc w:val="left"/>
      <w:pPr>
        <w:ind w:left="2160" w:hanging="360"/>
      </w:pPr>
      <w:rPr>
        <w:rFonts w:ascii="Symbol" w:hAnsi="Symbol" w:hint="default"/>
      </w:rPr>
    </w:lvl>
    <w:lvl w:ilvl="1" w:tplc="1F623E92">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C22B9A"/>
    <w:multiLevelType w:val="hybridMultilevel"/>
    <w:tmpl w:val="CEC61AD4"/>
    <w:lvl w:ilvl="0" w:tplc="8CF05108">
      <w:start w:val="1"/>
      <w:numFmt w:val="bullet"/>
      <w:lvlText w:val=""/>
      <w:lvlJc w:val="left"/>
      <w:pPr>
        <w:ind w:left="2160" w:hanging="360"/>
      </w:pPr>
      <w:rPr>
        <w:rFonts w:ascii="Symbol" w:hAnsi="Symbol" w:hint="default"/>
      </w:rPr>
    </w:lvl>
    <w:lvl w:ilvl="1" w:tplc="9C4EF186">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A6625A"/>
    <w:multiLevelType w:val="hybridMultilevel"/>
    <w:tmpl w:val="7C8A4370"/>
    <w:lvl w:ilvl="0" w:tplc="941EEA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50F12"/>
    <w:multiLevelType w:val="hybridMultilevel"/>
    <w:tmpl w:val="A1583ADA"/>
    <w:lvl w:ilvl="0" w:tplc="965CF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9E1964"/>
    <w:multiLevelType w:val="hybridMultilevel"/>
    <w:tmpl w:val="C3D2000C"/>
    <w:lvl w:ilvl="0" w:tplc="865035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FB588B"/>
    <w:multiLevelType w:val="hybridMultilevel"/>
    <w:tmpl w:val="20942D08"/>
    <w:lvl w:ilvl="0" w:tplc="4970E6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2D37E2"/>
    <w:multiLevelType w:val="hybridMultilevel"/>
    <w:tmpl w:val="375ADCCE"/>
    <w:lvl w:ilvl="0" w:tplc="B068F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DC3B3B"/>
    <w:multiLevelType w:val="hybridMultilevel"/>
    <w:tmpl w:val="784C61DE"/>
    <w:lvl w:ilvl="0" w:tplc="C204C4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C0282C"/>
    <w:multiLevelType w:val="hybridMultilevel"/>
    <w:tmpl w:val="39828698"/>
    <w:lvl w:ilvl="0" w:tplc="034A65C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8C4CE7"/>
    <w:multiLevelType w:val="hybridMultilevel"/>
    <w:tmpl w:val="FFBA3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16249D"/>
    <w:multiLevelType w:val="hybridMultilevel"/>
    <w:tmpl w:val="4DD8E862"/>
    <w:lvl w:ilvl="0" w:tplc="C7FCCAFA">
      <w:start w:val="1"/>
      <w:numFmt w:val="decimal"/>
      <w:lvlText w:val="%1."/>
      <w:lvlJc w:val="left"/>
      <w:pPr>
        <w:ind w:left="1080" w:hanging="360"/>
      </w:pPr>
      <w:rPr>
        <w:rFonts w:cstheme="minorBid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914D5F"/>
    <w:multiLevelType w:val="hybridMultilevel"/>
    <w:tmpl w:val="6A0A9D28"/>
    <w:lvl w:ilvl="0" w:tplc="A782B1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10E36"/>
    <w:multiLevelType w:val="hybridMultilevel"/>
    <w:tmpl w:val="C87A7608"/>
    <w:lvl w:ilvl="0" w:tplc="DBAAB37A">
      <w:start w:val="1"/>
      <w:numFmt w:val="bullet"/>
      <w:pStyle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C1214D"/>
    <w:multiLevelType w:val="hybridMultilevel"/>
    <w:tmpl w:val="CE08B6D6"/>
    <w:lvl w:ilvl="0" w:tplc="CAC46C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70B3A"/>
    <w:multiLevelType w:val="hybridMultilevel"/>
    <w:tmpl w:val="5E461BC4"/>
    <w:lvl w:ilvl="0" w:tplc="4F4EFC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FA276A"/>
    <w:multiLevelType w:val="hybridMultilevel"/>
    <w:tmpl w:val="700CD456"/>
    <w:lvl w:ilvl="0" w:tplc="8CF05108">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582A56"/>
    <w:multiLevelType w:val="hybridMultilevel"/>
    <w:tmpl w:val="2026A492"/>
    <w:lvl w:ilvl="0" w:tplc="E2881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45CCB"/>
    <w:multiLevelType w:val="hybridMultilevel"/>
    <w:tmpl w:val="0CBA84C0"/>
    <w:lvl w:ilvl="0" w:tplc="FF40D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B43770"/>
    <w:multiLevelType w:val="hybridMultilevel"/>
    <w:tmpl w:val="41EA4114"/>
    <w:lvl w:ilvl="0" w:tplc="EFCAA362">
      <w:start w:val="1"/>
      <w:numFmt w:val="bullet"/>
      <w:lvlText w:val=""/>
      <w:lvlJc w:val="left"/>
      <w:pPr>
        <w:ind w:left="1492" w:hanging="360"/>
      </w:pPr>
      <w:rPr>
        <w:rFonts w:ascii="Symbol" w:hAnsi="Symbol" w:hint="default"/>
      </w:rPr>
    </w:lvl>
    <w:lvl w:ilvl="1" w:tplc="08090003">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0" w15:restartNumberingAfterBreak="0">
    <w:nsid w:val="73C64FDC"/>
    <w:multiLevelType w:val="hybridMultilevel"/>
    <w:tmpl w:val="B3D216A2"/>
    <w:lvl w:ilvl="0" w:tplc="B6986C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4F0EBF"/>
    <w:multiLevelType w:val="hybridMultilevel"/>
    <w:tmpl w:val="3F74C734"/>
    <w:lvl w:ilvl="0" w:tplc="5CB4D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BA0BA8"/>
    <w:multiLevelType w:val="hybridMultilevel"/>
    <w:tmpl w:val="BD28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439392">
    <w:abstractNumId w:val="28"/>
  </w:num>
  <w:num w:numId="2" w16cid:durableId="1959410125">
    <w:abstractNumId w:val="7"/>
  </w:num>
  <w:num w:numId="3" w16cid:durableId="99030077">
    <w:abstractNumId w:val="2"/>
  </w:num>
  <w:num w:numId="4" w16cid:durableId="955406329">
    <w:abstractNumId w:val="31"/>
  </w:num>
  <w:num w:numId="5" w16cid:durableId="1567570508">
    <w:abstractNumId w:val="16"/>
  </w:num>
  <w:num w:numId="6" w16cid:durableId="145173082">
    <w:abstractNumId w:val="9"/>
  </w:num>
  <w:num w:numId="7" w16cid:durableId="945381027">
    <w:abstractNumId w:val="17"/>
  </w:num>
  <w:num w:numId="8" w16cid:durableId="1483348600">
    <w:abstractNumId w:val="25"/>
  </w:num>
  <w:num w:numId="9" w16cid:durableId="1739594317">
    <w:abstractNumId w:val="15"/>
  </w:num>
  <w:num w:numId="10" w16cid:durableId="1699575735">
    <w:abstractNumId w:val="29"/>
  </w:num>
  <w:num w:numId="11" w16cid:durableId="1581056592">
    <w:abstractNumId w:val="27"/>
  </w:num>
  <w:num w:numId="12" w16cid:durableId="251553376">
    <w:abstractNumId w:val="10"/>
  </w:num>
  <w:num w:numId="13" w16cid:durableId="549655459">
    <w:abstractNumId w:val="6"/>
  </w:num>
  <w:num w:numId="14" w16cid:durableId="776605422">
    <w:abstractNumId w:val="24"/>
  </w:num>
  <w:num w:numId="15" w16cid:durableId="2045323865">
    <w:abstractNumId w:val="20"/>
  </w:num>
  <w:num w:numId="16" w16cid:durableId="1158227215">
    <w:abstractNumId w:val="5"/>
  </w:num>
  <w:num w:numId="17" w16cid:durableId="864443850">
    <w:abstractNumId w:val="21"/>
  </w:num>
  <w:num w:numId="18" w16cid:durableId="1478188349">
    <w:abstractNumId w:val="5"/>
    <w:lvlOverride w:ilvl="0">
      <w:startOverride w:val="1"/>
    </w:lvlOverride>
  </w:num>
  <w:num w:numId="19" w16cid:durableId="1673527864">
    <w:abstractNumId w:val="19"/>
  </w:num>
  <w:num w:numId="20" w16cid:durableId="1063602481">
    <w:abstractNumId w:val="14"/>
  </w:num>
  <w:num w:numId="21" w16cid:durableId="331762907">
    <w:abstractNumId w:val="8"/>
  </w:num>
  <w:num w:numId="22" w16cid:durableId="1313362693">
    <w:abstractNumId w:val="13"/>
  </w:num>
  <w:num w:numId="23" w16cid:durableId="1252815531">
    <w:abstractNumId w:val="22"/>
  </w:num>
  <w:num w:numId="24" w16cid:durableId="467207981">
    <w:abstractNumId w:val="32"/>
  </w:num>
  <w:num w:numId="25" w16cid:durableId="1310015205">
    <w:abstractNumId w:val="1"/>
  </w:num>
  <w:num w:numId="26" w16cid:durableId="1202205454">
    <w:abstractNumId w:val="26"/>
  </w:num>
  <w:num w:numId="27" w16cid:durableId="2033221514">
    <w:abstractNumId w:val="11"/>
  </w:num>
  <w:num w:numId="28" w16cid:durableId="1713995291">
    <w:abstractNumId w:val="12"/>
  </w:num>
  <w:num w:numId="29" w16cid:durableId="361128095">
    <w:abstractNumId w:val="3"/>
  </w:num>
  <w:num w:numId="30" w16cid:durableId="1640649585">
    <w:abstractNumId w:val="23"/>
  </w:num>
  <w:num w:numId="31" w16cid:durableId="734473885">
    <w:abstractNumId w:val="4"/>
  </w:num>
  <w:num w:numId="32" w16cid:durableId="918363207">
    <w:abstractNumId w:val="0"/>
  </w:num>
  <w:num w:numId="33" w16cid:durableId="1972402002">
    <w:abstractNumId w:val="18"/>
  </w:num>
  <w:num w:numId="34" w16cid:durableId="1438642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AA"/>
    <w:rsid w:val="00000041"/>
    <w:rsid w:val="00000088"/>
    <w:rsid w:val="00000346"/>
    <w:rsid w:val="000004E6"/>
    <w:rsid w:val="00000545"/>
    <w:rsid w:val="000006C1"/>
    <w:rsid w:val="00000733"/>
    <w:rsid w:val="0000082E"/>
    <w:rsid w:val="00000903"/>
    <w:rsid w:val="00000B2F"/>
    <w:rsid w:val="00000D40"/>
    <w:rsid w:val="00000E57"/>
    <w:rsid w:val="00001019"/>
    <w:rsid w:val="000012BD"/>
    <w:rsid w:val="000012C8"/>
    <w:rsid w:val="0000140D"/>
    <w:rsid w:val="00001436"/>
    <w:rsid w:val="000014D8"/>
    <w:rsid w:val="000016E1"/>
    <w:rsid w:val="000018DE"/>
    <w:rsid w:val="0000191E"/>
    <w:rsid w:val="000019ED"/>
    <w:rsid w:val="00001A18"/>
    <w:rsid w:val="00001B96"/>
    <w:rsid w:val="00001D00"/>
    <w:rsid w:val="00001D32"/>
    <w:rsid w:val="00001D7A"/>
    <w:rsid w:val="00001DAA"/>
    <w:rsid w:val="00001EEB"/>
    <w:rsid w:val="00001F0F"/>
    <w:rsid w:val="00001F11"/>
    <w:rsid w:val="0000202B"/>
    <w:rsid w:val="0000218F"/>
    <w:rsid w:val="00002200"/>
    <w:rsid w:val="00002210"/>
    <w:rsid w:val="000022B9"/>
    <w:rsid w:val="000023AA"/>
    <w:rsid w:val="000023E6"/>
    <w:rsid w:val="000023FD"/>
    <w:rsid w:val="00002583"/>
    <w:rsid w:val="00002794"/>
    <w:rsid w:val="000027D2"/>
    <w:rsid w:val="00002848"/>
    <w:rsid w:val="0000293F"/>
    <w:rsid w:val="00002963"/>
    <w:rsid w:val="00002A7B"/>
    <w:rsid w:val="00002B8E"/>
    <w:rsid w:val="00002BB5"/>
    <w:rsid w:val="00002CAC"/>
    <w:rsid w:val="00002CC7"/>
    <w:rsid w:val="00002E98"/>
    <w:rsid w:val="00002F2B"/>
    <w:rsid w:val="0000329D"/>
    <w:rsid w:val="000032A0"/>
    <w:rsid w:val="000034B6"/>
    <w:rsid w:val="000035B9"/>
    <w:rsid w:val="000036D7"/>
    <w:rsid w:val="000038AB"/>
    <w:rsid w:val="000039EB"/>
    <w:rsid w:val="00003A86"/>
    <w:rsid w:val="00003BDC"/>
    <w:rsid w:val="00003C22"/>
    <w:rsid w:val="00003C59"/>
    <w:rsid w:val="00003CED"/>
    <w:rsid w:val="00003D4E"/>
    <w:rsid w:val="00003F47"/>
    <w:rsid w:val="00003F91"/>
    <w:rsid w:val="00004002"/>
    <w:rsid w:val="00004040"/>
    <w:rsid w:val="00004099"/>
    <w:rsid w:val="00004154"/>
    <w:rsid w:val="00004198"/>
    <w:rsid w:val="0000420F"/>
    <w:rsid w:val="000045A4"/>
    <w:rsid w:val="00004602"/>
    <w:rsid w:val="00004704"/>
    <w:rsid w:val="00004736"/>
    <w:rsid w:val="000047BC"/>
    <w:rsid w:val="000047F2"/>
    <w:rsid w:val="0000489D"/>
    <w:rsid w:val="000049AF"/>
    <w:rsid w:val="000049E6"/>
    <w:rsid w:val="00004AF9"/>
    <w:rsid w:val="00004C56"/>
    <w:rsid w:val="00004E9A"/>
    <w:rsid w:val="00004F4F"/>
    <w:rsid w:val="00005068"/>
    <w:rsid w:val="000050E4"/>
    <w:rsid w:val="000050EF"/>
    <w:rsid w:val="000050F4"/>
    <w:rsid w:val="000051C4"/>
    <w:rsid w:val="000051E0"/>
    <w:rsid w:val="00005289"/>
    <w:rsid w:val="000053E9"/>
    <w:rsid w:val="0000549D"/>
    <w:rsid w:val="000054C9"/>
    <w:rsid w:val="000055A6"/>
    <w:rsid w:val="00005736"/>
    <w:rsid w:val="000057DC"/>
    <w:rsid w:val="000057E7"/>
    <w:rsid w:val="0000592F"/>
    <w:rsid w:val="000059B9"/>
    <w:rsid w:val="000059F1"/>
    <w:rsid w:val="00005A76"/>
    <w:rsid w:val="00005C01"/>
    <w:rsid w:val="00005F0B"/>
    <w:rsid w:val="00006080"/>
    <w:rsid w:val="00006131"/>
    <w:rsid w:val="00006208"/>
    <w:rsid w:val="00006230"/>
    <w:rsid w:val="000062FC"/>
    <w:rsid w:val="000069B8"/>
    <w:rsid w:val="00006ADF"/>
    <w:rsid w:val="00006B1C"/>
    <w:rsid w:val="00006B3A"/>
    <w:rsid w:val="00006BA1"/>
    <w:rsid w:val="00006BB5"/>
    <w:rsid w:val="00006BB8"/>
    <w:rsid w:val="00006BBD"/>
    <w:rsid w:val="00006BFC"/>
    <w:rsid w:val="00006CD7"/>
    <w:rsid w:val="00006E3A"/>
    <w:rsid w:val="00007148"/>
    <w:rsid w:val="000071AE"/>
    <w:rsid w:val="00007210"/>
    <w:rsid w:val="00007248"/>
    <w:rsid w:val="0000726F"/>
    <w:rsid w:val="00007277"/>
    <w:rsid w:val="0000729C"/>
    <w:rsid w:val="0000733A"/>
    <w:rsid w:val="0000747E"/>
    <w:rsid w:val="000074B9"/>
    <w:rsid w:val="00007652"/>
    <w:rsid w:val="000077EA"/>
    <w:rsid w:val="00007818"/>
    <w:rsid w:val="00007939"/>
    <w:rsid w:val="00007A0B"/>
    <w:rsid w:val="00007A37"/>
    <w:rsid w:val="00007AC5"/>
    <w:rsid w:val="00007AE7"/>
    <w:rsid w:val="00007B08"/>
    <w:rsid w:val="00007B90"/>
    <w:rsid w:val="00007F02"/>
    <w:rsid w:val="00007F95"/>
    <w:rsid w:val="00007FA3"/>
    <w:rsid w:val="00007FBF"/>
    <w:rsid w:val="0001004C"/>
    <w:rsid w:val="0001004F"/>
    <w:rsid w:val="000100D5"/>
    <w:rsid w:val="0001012D"/>
    <w:rsid w:val="00010375"/>
    <w:rsid w:val="00010404"/>
    <w:rsid w:val="000104A0"/>
    <w:rsid w:val="000104F7"/>
    <w:rsid w:val="00010532"/>
    <w:rsid w:val="00010539"/>
    <w:rsid w:val="00010699"/>
    <w:rsid w:val="000106BA"/>
    <w:rsid w:val="00010874"/>
    <w:rsid w:val="000109B8"/>
    <w:rsid w:val="00010B04"/>
    <w:rsid w:val="00010B14"/>
    <w:rsid w:val="00010C69"/>
    <w:rsid w:val="00010CD4"/>
    <w:rsid w:val="00010D6E"/>
    <w:rsid w:val="00010FC3"/>
    <w:rsid w:val="00010FCA"/>
    <w:rsid w:val="0001114A"/>
    <w:rsid w:val="000111D6"/>
    <w:rsid w:val="000113AC"/>
    <w:rsid w:val="000113CF"/>
    <w:rsid w:val="000113F3"/>
    <w:rsid w:val="000114C8"/>
    <w:rsid w:val="00011504"/>
    <w:rsid w:val="000115BF"/>
    <w:rsid w:val="000116D9"/>
    <w:rsid w:val="00011734"/>
    <w:rsid w:val="00011741"/>
    <w:rsid w:val="0001198E"/>
    <w:rsid w:val="00011ABD"/>
    <w:rsid w:val="00011C65"/>
    <w:rsid w:val="00011C97"/>
    <w:rsid w:val="00011EC5"/>
    <w:rsid w:val="00011F59"/>
    <w:rsid w:val="000120DB"/>
    <w:rsid w:val="0001221A"/>
    <w:rsid w:val="000122BC"/>
    <w:rsid w:val="00012321"/>
    <w:rsid w:val="0001233A"/>
    <w:rsid w:val="00012393"/>
    <w:rsid w:val="0001240A"/>
    <w:rsid w:val="0001285C"/>
    <w:rsid w:val="000129F8"/>
    <w:rsid w:val="00012A14"/>
    <w:rsid w:val="00012A72"/>
    <w:rsid w:val="00012B34"/>
    <w:rsid w:val="00012B93"/>
    <w:rsid w:val="00012DAA"/>
    <w:rsid w:val="00012E58"/>
    <w:rsid w:val="00012E7D"/>
    <w:rsid w:val="00012FEC"/>
    <w:rsid w:val="000130C7"/>
    <w:rsid w:val="00013170"/>
    <w:rsid w:val="00013402"/>
    <w:rsid w:val="00013443"/>
    <w:rsid w:val="000134EA"/>
    <w:rsid w:val="00013688"/>
    <w:rsid w:val="00013845"/>
    <w:rsid w:val="000138BD"/>
    <w:rsid w:val="00013BC9"/>
    <w:rsid w:val="00013BFC"/>
    <w:rsid w:val="00013C62"/>
    <w:rsid w:val="00013C85"/>
    <w:rsid w:val="00013C87"/>
    <w:rsid w:val="00013F07"/>
    <w:rsid w:val="000140A4"/>
    <w:rsid w:val="0001419F"/>
    <w:rsid w:val="0001422E"/>
    <w:rsid w:val="00014256"/>
    <w:rsid w:val="00014279"/>
    <w:rsid w:val="000142C9"/>
    <w:rsid w:val="0001435F"/>
    <w:rsid w:val="00014380"/>
    <w:rsid w:val="00014561"/>
    <w:rsid w:val="000145C5"/>
    <w:rsid w:val="000145D3"/>
    <w:rsid w:val="00014722"/>
    <w:rsid w:val="00014794"/>
    <w:rsid w:val="0001483F"/>
    <w:rsid w:val="00014862"/>
    <w:rsid w:val="000148AD"/>
    <w:rsid w:val="000148CA"/>
    <w:rsid w:val="00014B0E"/>
    <w:rsid w:val="00014C80"/>
    <w:rsid w:val="00014C9C"/>
    <w:rsid w:val="00014DCC"/>
    <w:rsid w:val="00014E28"/>
    <w:rsid w:val="00014E69"/>
    <w:rsid w:val="00014F71"/>
    <w:rsid w:val="00015170"/>
    <w:rsid w:val="0001520C"/>
    <w:rsid w:val="0001530A"/>
    <w:rsid w:val="0001539D"/>
    <w:rsid w:val="000153EF"/>
    <w:rsid w:val="0001540C"/>
    <w:rsid w:val="00015450"/>
    <w:rsid w:val="00015509"/>
    <w:rsid w:val="0001552C"/>
    <w:rsid w:val="00015544"/>
    <w:rsid w:val="00015554"/>
    <w:rsid w:val="000155BB"/>
    <w:rsid w:val="00015914"/>
    <w:rsid w:val="00015B10"/>
    <w:rsid w:val="00015B9B"/>
    <w:rsid w:val="00015D6F"/>
    <w:rsid w:val="00015F8A"/>
    <w:rsid w:val="0001611D"/>
    <w:rsid w:val="0001615B"/>
    <w:rsid w:val="000161A1"/>
    <w:rsid w:val="000162B0"/>
    <w:rsid w:val="00016369"/>
    <w:rsid w:val="0001653F"/>
    <w:rsid w:val="000166B6"/>
    <w:rsid w:val="000167AB"/>
    <w:rsid w:val="00016968"/>
    <w:rsid w:val="000169B4"/>
    <w:rsid w:val="00016ABC"/>
    <w:rsid w:val="00016B75"/>
    <w:rsid w:val="00016BBC"/>
    <w:rsid w:val="0001702F"/>
    <w:rsid w:val="0001704D"/>
    <w:rsid w:val="000170EC"/>
    <w:rsid w:val="00017235"/>
    <w:rsid w:val="000173DB"/>
    <w:rsid w:val="000174D8"/>
    <w:rsid w:val="00017551"/>
    <w:rsid w:val="000175A2"/>
    <w:rsid w:val="000175C0"/>
    <w:rsid w:val="000179E7"/>
    <w:rsid w:val="00017A3D"/>
    <w:rsid w:val="00017CFF"/>
    <w:rsid w:val="00017E45"/>
    <w:rsid w:val="00017E61"/>
    <w:rsid w:val="00017ED0"/>
    <w:rsid w:val="0002002B"/>
    <w:rsid w:val="000201A0"/>
    <w:rsid w:val="000201A1"/>
    <w:rsid w:val="000201B4"/>
    <w:rsid w:val="000201EA"/>
    <w:rsid w:val="0002023F"/>
    <w:rsid w:val="0002031A"/>
    <w:rsid w:val="00020422"/>
    <w:rsid w:val="00020463"/>
    <w:rsid w:val="000207AD"/>
    <w:rsid w:val="0002081E"/>
    <w:rsid w:val="00020864"/>
    <w:rsid w:val="00020960"/>
    <w:rsid w:val="000209F0"/>
    <w:rsid w:val="00020BD3"/>
    <w:rsid w:val="00020D34"/>
    <w:rsid w:val="00020D40"/>
    <w:rsid w:val="000210C0"/>
    <w:rsid w:val="0002121E"/>
    <w:rsid w:val="00021323"/>
    <w:rsid w:val="00021368"/>
    <w:rsid w:val="00021511"/>
    <w:rsid w:val="00021794"/>
    <w:rsid w:val="00021876"/>
    <w:rsid w:val="00021908"/>
    <w:rsid w:val="00021973"/>
    <w:rsid w:val="000219EC"/>
    <w:rsid w:val="00021A2C"/>
    <w:rsid w:val="00021ACF"/>
    <w:rsid w:val="00021B95"/>
    <w:rsid w:val="00021BEA"/>
    <w:rsid w:val="00021C56"/>
    <w:rsid w:val="00021C9F"/>
    <w:rsid w:val="00021CE4"/>
    <w:rsid w:val="00021DF8"/>
    <w:rsid w:val="00021ECC"/>
    <w:rsid w:val="000220CB"/>
    <w:rsid w:val="000220F6"/>
    <w:rsid w:val="0002221C"/>
    <w:rsid w:val="00022255"/>
    <w:rsid w:val="000222FB"/>
    <w:rsid w:val="000223C8"/>
    <w:rsid w:val="000223FD"/>
    <w:rsid w:val="000225F2"/>
    <w:rsid w:val="00022618"/>
    <w:rsid w:val="00022686"/>
    <w:rsid w:val="00022693"/>
    <w:rsid w:val="000227E6"/>
    <w:rsid w:val="0002281F"/>
    <w:rsid w:val="000228A5"/>
    <w:rsid w:val="00022A21"/>
    <w:rsid w:val="00022A37"/>
    <w:rsid w:val="00022BF3"/>
    <w:rsid w:val="00022C67"/>
    <w:rsid w:val="00022C8E"/>
    <w:rsid w:val="00022D82"/>
    <w:rsid w:val="00022DB6"/>
    <w:rsid w:val="00022E9E"/>
    <w:rsid w:val="00022F0D"/>
    <w:rsid w:val="000230C0"/>
    <w:rsid w:val="000233F1"/>
    <w:rsid w:val="00023413"/>
    <w:rsid w:val="000235B7"/>
    <w:rsid w:val="00023A7C"/>
    <w:rsid w:val="00023AB7"/>
    <w:rsid w:val="00023BBB"/>
    <w:rsid w:val="00023BD4"/>
    <w:rsid w:val="00023BE5"/>
    <w:rsid w:val="00023C01"/>
    <w:rsid w:val="00023CAB"/>
    <w:rsid w:val="00023E15"/>
    <w:rsid w:val="00023E55"/>
    <w:rsid w:val="00023E71"/>
    <w:rsid w:val="00023EAD"/>
    <w:rsid w:val="00023FBC"/>
    <w:rsid w:val="00023FD1"/>
    <w:rsid w:val="00024000"/>
    <w:rsid w:val="00024096"/>
    <w:rsid w:val="00024131"/>
    <w:rsid w:val="000244DA"/>
    <w:rsid w:val="0002455F"/>
    <w:rsid w:val="000246D3"/>
    <w:rsid w:val="00024804"/>
    <w:rsid w:val="000248E2"/>
    <w:rsid w:val="0002493E"/>
    <w:rsid w:val="000249CC"/>
    <w:rsid w:val="00024AEF"/>
    <w:rsid w:val="00025083"/>
    <w:rsid w:val="000250D9"/>
    <w:rsid w:val="000251A3"/>
    <w:rsid w:val="0002522F"/>
    <w:rsid w:val="000252AF"/>
    <w:rsid w:val="000252C7"/>
    <w:rsid w:val="000254B7"/>
    <w:rsid w:val="00025589"/>
    <w:rsid w:val="000255EF"/>
    <w:rsid w:val="00025632"/>
    <w:rsid w:val="0002565D"/>
    <w:rsid w:val="00025695"/>
    <w:rsid w:val="000256D4"/>
    <w:rsid w:val="00025891"/>
    <w:rsid w:val="000258A0"/>
    <w:rsid w:val="00025908"/>
    <w:rsid w:val="00025982"/>
    <w:rsid w:val="00025A6B"/>
    <w:rsid w:val="00025AB1"/>
    <w:rsid w:val="00025B17"/>
    <w:rsid w:val="00025DCE"/>
    <w:rsid w:val="0002601D"/>
    <w:rsid w:val="0002603E"/>
    <w:rsid w:val="000260BE"/>
    <w:rsid w:val="0002618F"/>
    <w:rsid w:val="00026199"/>
    <w:rsid w:val="000261EF"/>
    <w:rsid w:val="000263B6"/>
    <w:rsid w:val="0002658C"/>
    <w:rsid w:val="000266F6"/>
    <w:rsid w:val="0002688B"/>
    <w:rsid w:val="0002696E"/>
    <w:rsid w:val="000269F0"/>
    <w:rsid w:val="00026B09"/>
    <w:rsid w:val="00026CE1"/>
    <w:rsid w:val="00026D1F"/>
    <w:rsid w:val="00026D24"/>
    <w:rsid w:val="00026D2B"/>
    <w:rsid w:val="00026D68"/>
    <w:rsid w:val="00026E32"/>
    <w:rsid w:val="00027091"/>
    <w:rsid w:val="00027219"/>
    <w:rsid w:val="00027275"/>
    <w:rsid w:val="00027297"/>
    <w:rsid w:val="00027331"/>
    <w:rsid w:val="00027335"/>
    <w:rsid w:val="000273AA"/>
    <w:rsid w:val="000273BA"/>
    <w:rsid w:val="000274C7"/>
    <w:rsid w:val="00027B20"/>
    <w:rsid w:val="00027D0A"/>
    <w:rsid w:val="00027E2F"/>
    <w:rsid w:val="00027F91"/>
    <w:rsid w:val="00030092"/>
    <w:rsid w:val="000301F6"/>
    <w:rsid w:val="000304BC"/>
    <w:rsid w:val="00030617"/>
    <w:rsid w:val="00030745"/>
    <w:rsid w:val="00030748"/>
    <w:rsid w:val="00030772"/>
    <w:rsid w:val="00030858"/>
    <w:rsid w:val="00030986"/>
    <w:rsid w:val="000309EC"/>
    <w:rsid w:val="00030A8A"/>
    <w:rsid w:val="00030BC0"/>
    <w:rsid w:val="00030D72"/>
    <w:rsid w:val="00031101"/>
    <w:rsid w:val="00031115"/>
    <w:rsid w:val="00031281"/>
    <w:rsid w:val="000312CB"/>
    <w:rsid w:val="000312DB"/>
    <w:rsid w:val="000312E0"/>
    <w:rsid w:val="0003131F"/>
    <w:rsid w:val="000313CF"/>
    <w:rsid w:val="000314CB"/>
    <w:rsid w:val="00031552"/>
    <w:rsid w:val="000315D0"/>
    <w:rsid w:val="00031750"/>
    <w:rsid w:val="00031ADD"/>
    <w:rsid w:val="00031BFC"/>
    <w:rsid w:val="00031C03"/>
    <w:rsid w:val="00031C1A"/>
    <w:rsid w:val="00031C55"/>
    <w:rsid w:val="00031C61"/>
    <w:rsid w:val="00031D16"/>
    <w:rsid w:val="00031D7A"/>
    <w:rsid w:val="00031D8F"/>
    <w:rsid w:val="00031DD1"/>
    <w:rsid w:val="00031ECB"/>
    <w:rsid w:val="00031FB9"/>
    <w:rsid w:val="00031FF7"/>
    <w:rsid w:val="00031FFB"/>
    <w:rsid w:val="0003206E"/>
    <w:rsid w:val="000321B7"/>
    <w:rsid w:val="000321F0"/>
    <w:rsid w:val="0003241D"/>
    <w:rsid w:val="0003251C"/>
    <w:rsid w:val="000325E2"/>
    <w:rsid w:val="00032635"/>
    <w:rsid w:val="00032647"/>
    <w:rsid w:val="000326C2"/>
    <w:rsid w:val="00032824"/>
    <w:rsid w:val="00032947"/>
    <w:rsid w:val="00032968"/>
    <w:rsid w:val="00032A77"/>
    <w:rsid w:val="00032B34"/>
    <w:rsid w:val="00032BC8"/>
    <w:rsid w:val="00032BF8"/>
    <w:rsid w:val="00032E89"/>
    <w:rsid w:val="00032FF6"/>
    <w:rsid w:val="0003308C"/>
    <w:rsid w:val="000330EF"/>
    <w:rsid w:val="000331D5"/>
    <w:rsid w:val="00033281"/>
    <w:rsid w:val="00033324"/>
    <w:rsid w:val="000335A7"/>
    <w:rsid w:val="000335E7"/>
    <w:rsid w:val="000336E6"/>
    <w:rsid w:val="000337F8"/>
    <w:rsid w:val="000339FF"/>
    <w:rsid w:val="00033B69"/>
    <w:rsid w:val="00033C05"/>
    <w:rsid w:val="00033CF3"/>
    <w:rsid w:val="00033DFC"/>
    <w:rsid w:val="0003400F"/>
    <w:rsid w:val="0003406C"/>
    <w:rsid w:val="000340B0"/>
    <w:rsid w:val="0003421C"/>
    <w:rsid w:val="0003432F"/>
    <w:rsid w:val="000343E3"/>
    <w:rsid w:val="00034433"/>
    <w:rsid w:val="00034451"/>
    <w:rsid w:val="00034576"/>
    <w:rsid w:val="0003489A"/>
    <w:rsid w:val="000348EC"/>
    <w:rsid w:val="00034931"/>
    <w:rsid w:val="0003494C"/>
    <w:rsid w:val="0003495C"/>
    <w:rsid w:val="000349A9"/>
    <w:rsid w:val="000349C9"/>
    <w:rsid w:val="00034B89"/>
    <w:rsid w:val="00034C9E"/>
    <w:rsid w:val="00034ED3"/>
    <w:rsid w:val="00034F41"/>
    <w:rsid w:val="00034F4C"/>
    <w:rsid w:val="00034FDC"/>
    <w:rsid w:val="00035086"/>
    <w:rsid w:val="00035100"/>
    <w:rsid w:val="00035171"/>
    <w:rsid w:val="00035182"/>
    <w:rsid w:val="000351A3"/>
    <w:rsid w:val="000351BD"/>
    <w:rsid w:val="000353A6"/>
    <w:rsid w:val="000353A9"/>
    <w:rsid w:val="0003549E"/>
    <w:rsid w:val="000354A6"/>
    <w:rsid w:val="00035524"/>
    <w:rsid w:val="000355D5"/>
    <w:rsid w:val="00035673"/>
    <w:rsid w:val="0003568C"/>
    <w:rsid w:val="00035690"/>
    <w:rsid w:val="000356E6"/>
    <w:rsid w:val="000358C1"/>
    <w:rsid w:val="000358D5"/>
    <w:rsid w:val="00035921"/>
    <w:rsid w:val="00035AA8"/>
    <w:rsid w:val="00035B07"/>
    <w:rsid w:val="00035BFA"/>
    <w:rsid w:val="00035EFD"/>
    <w:rsid w:val="00035F1E"/>
    <w:rsid w:val="00035F66"/>
    <w:rsid w:val="00036061"/>
    <w:rsid w:val="000361BE"/>
    <w:rsid w:val="000363CC"/>
    <w:rsid w:val="0003647C"/>
    <w:rsid w:val="00036517"/>
    <w:rsid w:val="0003658B"/>
    <w:rsid w:val="00036702"/>
    <w:rsid w:val="000367D5"/>
    <w:rsid w:val="00036AD9"/>
    <w:rsid w:val="00036BD1"/>
    <w:rsid w:val="00036C23"/>
    <w:rsid w:val="00036C61"/>
    <w:rsid w:val="00036C69"/>
    <w:rsid w:val="00036C7B"/>
    <w:rsid w:val="00036C8D"/>
    <w:rsid w:val="00036C93"/>
    <w:rsid w:val="00036CFF"/>
    <w:rsid w:val="00036DD1"/>
    <w:rsid w:val="00036FB6"/>
    <w:rsid w:val="00037038"/>
    <w:rsid w:val="00037069"/>
    <w:rsid w:val="00037162"/>
    <w:rsid w:val="0003716F"/>
    <w:rsid w:val="00037259"/>
    <w:rsid w:val="000372EE"/>
    <w:rsid w:val="00037326"/>
    <w:rsid w:val="0003740D"/>
    <w:rsid w:val="00037731"/>
    <w:rsid w:val="000377D9"/>
    <w:rsid w:val="00037915"/>
    <w:rsid w:val="00037B57"/>
    <w:rsid w:val="00037BB7"/>
    <w:rsid w:val="00037CF0"/>
    <w:rsid w:val="00037D38"/>
    <w:rsid w:val="00037DAB"/>
    <w:rsid w:val="00037DBA"/>
    <w:rsid w:val="00037F85"/>
    <w:rsid w:val="00040087"/>
    <w:rsid w:val="0004020B"/>
    <w:rsid w:val="000402E0"/>
    <w:rsid w:val="000403F8"/>
    <w:rsid w:val="00040492"/>
    <w:rsid w:val="000404AE"/>
    <w:rsid w:val="000404AF"/>
    <w:rsid w:val="0004057F"/>
    <w:rsid w:val="000405F7"/>
    <w:rsid w:val="00040953"/>
    <w:rsid w:val="000409E2"/>
    <w:rsid w:val="000409ED"/>
    <w:rsid w:val="00040B19"/>
    <w:rsid w:val="00040C7F"/>
    <w:rsid w:val="00040CE3"/>
    <w:rsid w:val="00040D72"/>
    <w:rsid w:val="00040E25"/>
    <w:rsid w:val="00040F0F"/>
    <w:rsid w:val="0004103F"/>
    <w:rsid w:val="0004105F"/>
    <w:rsid w:val="0004113A"/>
    <w:rsid w:val="000411B2"/>
    <w:rsid w:val="00041294"/>
    <w:rsid w:val="000412C1"/>
    <w:rsid w:val="00041314"/>
    <w:rsid w:val="000415E7"/>
    <w:rsid w:val="00041B0E"/>
    <w:rsid w:val="00041B16"/>
    <w:rsid w:val="00041B82"/>
    <w:rsid w:val="00041B86"/>
    <w:rsid w:val="00041BB7"/>
    <w:rsid w:val="00041BDA"/>
    <w:rsid w:val="00041BF2"/>
    <w:rsid w:val="00041BFC"/>
    <w:rsid w:val="00041C94"/>
    <w:rsid w:val="00041CE0"/>
    <w:rsid w:val="00041E12"/>
    <w:rsid w:val="00041E95"/>
    <w:rsid w:val="00041F50"/>
    <w:rsid w:val="00041F63"/>
    <w:rsid w:val="00041FD8"/>
    <w:rsid w:val="000420FD"/>
    <w:rsid w:val="000423A0"/>
    <w:rsid w:val="000423E9"/>
    <w:rsid w:val="000424C1"/>
    <w:rsid w:val="000425CE"/>
    <w:rsid w:val="000426BC"/>
    <w:rsid w:val="00042739"/>
    <w:rsid w:val="0004275E"/>
    <w:rsid w:val="0004292C"/>
    <w:rsid w:val="00042971"/>
    <w:rsid w:val="00042972"/>
    <w:rsid w:val="00042B0C"/>
    <w:rsid w:val="00042B60"/>
    <w:rsid w:val="00042CF7"/>
    <w:rsid w:val="00042DC5"/>
    <w:rsid w:val="00042FDB"/>
    <w:rsid w:val="00042FE4"/>
    <w:rsid w:val="0004337F"/>
    <w:rsid w:val="000435B3"/>
    <w:rsid w:val="00043604"/>
    <w:rsid w:val="00043814"/>
    <w:rsid w:val="00043847"/>
    <w:rsid w:val="00043856"/>
    <w:rsid w:val="00043998"/>
    <w:rsid w:val="00043B06"/>
    <w:rsid w:val="00043D41"/>
    <w:rsid w:val="00043E19"/>
    <w:rsid w:val="00043F88"/>
    <w:rsid w:val="00044012"/>
    <w:rsid w:val="0004405D"/>
    <w:rsid w:val="00044366"/>
    <w:rsid w:val="00044379"/>
    <w:rsid w:val="00044398"/>
    <w:rsid w:val="00044471"/>
    <w:rsid w:val="0004454E"/>
    <w:rsid w:val="00044555"/>
    <w:rsid w:val="00044566"/>
    <w:rsid w:val="00044700"/>
    <w:rsid w:val="00044742"/>
    <w:rsid w:val="00044749"/>
    <w:rsid w:val="00044810"/>
    <w:rsid w:val="00044A80"/>
    <w:rsid w:val="00044B40"/>
    <w:rsid w:val="00044B5B"/>
    <w:rsid w:val="00044BE0"/>
    <w:rsid w:val="00044C4D"/>
    <w:rsid w:val="00044E85"/>
    <w:rsid w:val="00044F36"/>
    <w:rsid w:val="00044F7B"/>
    <w:rsid w:val="000451A6"/>
    <w:rsid w:val="000451FB"/>
    <w:rsid w:val="0004574F"/>
    <w:rsid w:val="00045890"/>
    <w:rsid w:val="000459CD"/>
    <w:rsid w:val="000459EE"/>
    <w:rsid w:val="00045AAC"/>
    <w:rsid w:val="00045AC0"/>
    <w:rsid w:val="00045AE2"/>
    <w:rsid w:val="00045B0D"/>
    <w:rsid w:val="00045B86"/>
    <w:rsid w:val="00045C43"/>
    <w:rsid w:val="00045C96"/>
    <w:rsid w:val="00045C9C"/>
    <w:rsid w:val="00045DE1"/>
    <w:rsid w:val="00045DF1"/>
    <w:rsid w:val="00045DF7"/>
    <w:rsid w:val="00045EE7"/>
    <w:rsid w:val="00045F0A"/>
    <w:rsid w:val="00046043"/>
    <w:rsid w:val="000460F0"/>
    <w:rsid w:val="00046359"/>
    <w:rsid w:val="00046431"/>
    <w:rsid w:val="00046542"/>
    <w:rsid w:val="0004686F"/>
    <w:rsid w:val="000468FF"/>
    <w:rsid w:val="0004693D"/>
    <w:rsid w:val="00046948"/>
    <w:rsid w:val="0004695B"/>
    <w:rsid w:val="00046995"/>
    <w:rsid w:val="00046ABC"/>
    <w:rsid w:val="00046B23"/>
    <w:rsid w:val="00046B47"/>
    <w:rsid w:val="00046B7F"/>
    <w:rsid w:val="00046C33"/>
    <w:rsid w:val="00046C63"/>
    <w:rsid w:val="00046C9E"/>
    <w:rsid w:val="00046D5D"/>
    <w:rsid w:val="00046DC7"/>
    <w:rsid w:val="00046EB6"/>
    <w:rsid w:val="00046F9E"/>
    <w:rsid w:val="00047068"/>
    <w:rsid w:val="000470B3"/>
    <w:rsid w:val="0004715F"/>
    <w:rsid w:val="0004726C"/>
    <w:rsid w:val="000474E5"/>
    <w:rsid w:val="00047524"/>
    <w:rsid w:val="00047537"/>
    <w:rsid w:val="00047690"/>
    <w:rsid w:val="00047800"/>
    <w:rsid w:val="0004788A"/>
    <w:rsid w:val="00047958"/>
    <w:rsid w:val="000479DC"/>
    <w:rsid w:val="00047A20"/>
    <w:rsid w:val="00047BC7"/>
    <w:rsid w:val="00047D4C"/>
    <w:rsid w:val="00047D71"/>
    <w:rsid w:val="00047DD8"/>
    <w:rsid w:val="00047FA1"/>
    <w:rsid w:val="00050107"/>
    <w:rsid w:val="00050143"/>
    <w:rsid w:val="00050204"/>
    <w:rsid w:val="0005021E"/>
    <w:rsid w:val="00050282"/>
    <w:rsid w:val="0005030F"/>
    <w:rsid w:val="00050439"/>
    <w:rsid w:val="0005053E"/>
    <w:rsid w:val="00050552"/>
    <w:rsid w:val="00050566"/>
    <w:rsid w:val="0005089B"/>
    <w:rsid w:val="000508F2"/>
    <w:rsid w:val="00050A2C"/>
    <w:rsid w:val="00050A50"/>
    <w:rsid w:val="00050A59"/>
    <w:rsid w:val="00050B46"/>
    <w:rsid w:val="00050BDA"/>
    <w:rsid w:val="00050CCC"/>
    <w:rsid w:val="00050DBF"/>
    <w:rsid w:val="00050DF8"/>
    <w:rsid w:val="00050FD8"/>
    <w:rsid w:val="000510E2"/>
    <w:rsid w:val="00051202"/>
    <w:rsid w:val="00051244"/>
    <w:rsid w:val="0005127A"/>
    <w:rsid w:val="0005131E"/>
    <w:rsid w:val="000514E8"/>
    <w:rsid w:val="000514F5"/>
    <w:rsid w:val="00051503"/>
    <w:rsid w:val="0005157D"/>
    <w:rsid w:val="00051749"/>
    <w:rsid w:val="000517D3"/>
    <w:rsid w:val="00051816"/>
    <w:rsid w:val="00051890"/>
    <w:rsid w:val="0005189E"/>
    <w:rsid w:val="0005190C"/>
    <w:rsid w:val="00051979"/>
    <w:rsid w:val="00051A6D"/>
    <w:rsid w:val="00051A82"/>
    <w:rsid w:val="00051B55"/>
    <w:rsid w:val="00051CAD"/>
    <w:rsid w:val="00051EC9"/>
    <w:rsid w:val="00051F95"/>
    <w:rsid w:val="00052118"/>
    <w:rsid w:val="00052145"/>
    <w:rsid w:val="00052172"/>
    <w:rsid w:val="00052208"/>
    <w:rsid w:val="00052246"/>
    <w:rsid w:val="000522B8"/>
    <w:rsid w:val="00052373"/>
    <w:rsid w:val="000524AD"/>
    <w:rsid w:val="0005250C"/>
    <w:rsid w:val="000525EE"/>
    <w:rsid w:val="00052634"/>
    <w:rsid w:val="00052662"/>
    <w:rsid w:val="00052912"/>
    <w:rsid w:val="000529E4"/>
    <w:rsid w:val="00052A9D"/>
    <w:rsid w:val="00052B04"/>
    <w:rsid w:val="00052B9B"/>
    <w:rsid w:val="00052CC2"/>
    <w:rsid w:val="00052D56"/>
    <w:rsid w:val="00052E18"/>
    <w:rsid w:val="00052E82"/>
    <w:rsid w:val="00052E95"/>
    <w:rsid w:val="00052EAB"/>
    <w:rsid w:val="00052F85"/>
    <w:rsid w:val="00053020"/>
    <w:rsid w:val="00053113"/>
    <w:rsid w:val="0005311D"/>
    <w:rsid w:val="0005316B"/>
    <w:rsid w:val="00053231"/>
    <w:rsid w:val="00053336"/>
    <w:rsid w:val="00053456"/>
    <w:rsid w:val="000534B5"/>
    <w:rsid w:val="000535EE"/>
    <w:rsid w:val="000538B0"/>
    <w:rsid w:val="0005397A"/>
    <w:rsid w:val="00053B0A"/>
    <w:rsid w:val="00053B2C"/>
    <w:rsid w:val="00053B47"/>
    <w:rsid w:val="00053D47"/>
    <w:rsid w:val="00053DE7"/>
    <w:rsid w:val="00053E41"/>
    <w:rsid w:val="00053FC3"/>
    <w:rsid w:val="000540EF"/>
    <w:rsid w:val="000541A3"/>
    <w:rsid w:val="000541E2"/>
    <w:rsid w:val="00054215"/>
    <w:rsid w:val="0005430A"/>
    <w:rsid w:val="0005431C"/>
    <w:rsid w:val="000543A9"/>
    <w:rsid w:val="000543AE"/>
    <w:rsid w:val="000543B1"/>
    <w:rsid w:val="000544B9"/>
    <w:rsid w:val="000544EA"/>
    <w:rsid w:val="000546C3"/>
    <w:rsid w:val="000546E4"/>
    <w:rsid w:val="0005476C"/>
    <w:rsid w:val="000547A4"/>
    <w:rsid w:val="00054825"/>
    <w:rsid w:val="00054A04"/>
    <w:rsid w:val="00054A7F"/>
    <w:rsid w:val="00054C11"/>
    <w:rsid w:val="00054C6E"/>
    <w:rsid w:val="00054CB3"/>
    <w:rsid w:val="00054CEB"/>
    <w:rsid w:val="00054D7C"/>
    <w:rsid w:val="00054DC4"/>
    <w:rsid w:val="00054E45"/>
    <w:rsid w:val="00054E92"/>
    <w:rsid w:val="00054E98"/>
    <w:rsid w:val="00054EEB"/>
    <w:rsid w:val="00054FE4"/>
    <w:rsid w:val="00055156"/>
    <w:rsid w:val="000551C6"/>
    <w:rsid w:val="000552B8"/>
    <w:rsid w:val="0005534F"/>
    <w:rsid w:val="000555A7"/>
    <w:rsid w:val="00055630"/>
    <w:rsid w:val="00055684"/>
    <w:rsid w:val="000556F7"/>
    <w:rsid w:val="00055751"/>
    <w:rsid w:val="0005575B"/>
    <w:rsid w:val="000557C2"/>
    <w:rsid w:val="0005585F"/>
    <w:rsid w:val="000558B0"/>
    <w:rsid w:val="00055A7E"/>
    <w:rsid w:val="00055B82"/>
    <w:rsid w:val="00055CB3"/>
    <w:rsid w:val="00055DC9"/>
    <w:rsid w:val="000560CC"/>
    <w:rsid w:val="00056107"/>
    <w:rsid w:val="000561AB"/>
    <w:rsid w:val="0005626B"/>
    <w:rsid w:val="000564A2"/>
    <w:rsid w:val="00056626"/>
    <w:rsid w:val="000566E6"/>
    <w:rsid w:val="00056748"/>
    <w:rsid w:val="000568DF"/>
    <w:rsid w:val="00056ACA"/>
    <w:rsid w:val="00056C88"/>
    <w:rsid w:val="00056D3C"/>
    <w:rsid w:val="00056F44"/>
    <w:rsid w:val="00056FEB"/>
    <w:rsid w:val="000570EE"/>
    <w:rsid w:val="00057152"/>
    <w:rsid w:val="00057167"/>
    <w:rsid w:val="00057281"/>
    <w:rsid w:val="00057454"/>
    <w:rsid w:val="0005746A"/>
    <w:rsid w:val="00057679"/>
    <w:rsid w:val="00057686"/>
    <w:rsid w:val="00057768"/>
    <w:rsid w:val="00057770"/>
    <w:rsid w:val="00057776"/>
    <w:rsid w:val="000577EC"/>
    <w:rsid w:val="000578AC"/>
    <w:rsid w:val="000578B2"/>
    <w:rsid w:val="000578EC"/>
    <w:rsid w:val="000579A0"/>
    <w:rsid w:val="00057D33"/>
    <w:rsid w:val="00057D5F"/>
    <w:rsid w:val="00057DD7"/>
    <w:rsid w:val="0006003A"/>
    <w:rsid w:val="00060084"/>
    <w:rsid w:val="0006014E"/>
    <w:rsid w:val="00060170"/>
    <w:rsid w:val="000602C7"/>
    <w:rsid w:val="000602DA"/>
    <w:rsid w:val="0006041B"/>
    <w:rsid w:val="0006069E"/>
    <w:rsid w:val="000606D8"/>
    <w:rsid w:val="00060728"/>
    <w:rsid w:val="00060A1A"/>
    <w:rsid w:val="00060B0D"/>
    <w:rsid w:val="00060B8B"/>
    <w:rsid w:val="00060BB3"/>
    <w:rsid w:val="00060C01"/>
    <w:rsid w:val="00060C40"/>
    <w:rsid w:val="00060CA4"/>
    <w:rsid w:val="00060CD7"/>
    <w:rsid w:val="00060D2F"/>
    <w:rsid w:val="00060D8C"/>
    <w:rsid w:val="00060E39"/>
    <w:rsid w:val="00060F24"/>
    <w:rsid w:val="00060F4B"/>
    <w:rsid w:val="00060FB3"/>
    <w:rsid w:val="00061123"/>
    <w:rsid w:val="000613CD"/>
    <w:rsid w:val="0006143C"/>
    <w:rsid w:val="00061493"/>
    <w:rsid w:val="00061519"/>
    <w:rsid w:val="00061624"/>
    <w:rsid w:val="00061758"/>
    <w:rsid w:val="00061870"/>
    <w:rsid w:val="0006191F"/>
    <w:rsid w:val="00061AF4"/>
    <w:rsid w:val="00061BCF"/>
    <w:rsid w:val="00061CB2"/>
    <w:rsid w:val="00061D99"/>
    <w:rsid w:val="00061E94"/>
    <w:rsid w:val="00061F73"/>
    <w:rsid w:val="00061F81"/>
    <w:rsid w:val="000621AA"/>
    <w:rsid w:val="000621B9"/>
    <w:rsid w:val="000621D2"/>
    <w:rsid w:val="000622A6"/>
    <w:rsid w:val="0006235B"/>
    <w:rsid w:val="00062473"/>
    <w:rsid w:val="00062479"/>
    <w:rsid w:val="000624EB"/>
    <w:rsid w:val="000625B1"/>
    <w:rsid w:val="0006285E"/>
    <w:rsid w:val="000628BF"/>
    <w:rsid w:val="000628CC"/>
    <w:rsid w:val="000628E1"/>
    <w:rsid w:val="0006299B"/>
    <w:rsid w:val="00062AD5"/>
    <w:rsid w:val="00062AFB"/>
    <w:rsid w:val="00062C33"/>
    <w:rsid w:val="00062C75"/>
    <w:rsid w:val="00062CA2"/>
    <w:rsid w:val="00062D29"/>
    <w:rsid w:val="00062D7A"/>
    <w:rsid w:val="00062E9D"/>
    <w:rsid w:val="00062FCF"/>
    <w:rsid w:val="00063016"/>
    <w:rsid w:val="000630C0"/>
    <w:rsid w:val="000630F8"/>
    <w:rsid w:val="0006310C"/>
    <w:rsid w:val="00063126"/>
    <w:rsid w:val="0006326F"/>
    <w:rsid w:val="0006336D"/>
    <w:rsid w:val="000633A8"/>
    <w:rsid w:val="00063581"/>
    <w:rsid w:val="000635FD"/>
    <w:rsid w:val="000636CB"/>
    <w:rsid w:val="0006393B"/>
    <w:rsid w:val="00063AC0"/>
    <w:rsid w:val="00063BC8"/>
    <w:rsid w:val="00063DAE"/>
    <w:rsid w:val="00063E4E"/>
    <w:rsid w:val="00063F23"/>
    <w:rsid w:val="00063F6C"/>
    <w:rsid w:val="0006401B"/>
    <w:rsid w:val="0006413E"/>
    <w:rsid w:val="000641B9"/>
    <w:rsid w:val="00064206"/>
    <w:rsid w:val="00064377"/>
    <w:rsid w:val="00064420"/>
    <w:rsid w:val="00064453"/>
    <w:rsid w:val="0006460D"/>
    <w:rsid w:val="00064715"/>
    <w:rsid w:val="00064746"/>
    <w:rsid w:val="0006478B"/>
    <w:rsid w:val="000647D0"/>
    <w:rsid w:val="00064876"/>
    <w:rsid w:val="00064AAB"/>
    <w:rsid w:val="00064B38"/>
    <w:rsid w:val="00064C34"/>
    <w:rsid w:val="00064DC2"/>
    <w:rsid w:val="00064FA2"/>
    <w:rsid w:val="0006502D"/>
    <w:rsid w:val="0006531B"/>
    <w:rsid w:val="00065388"/>
    <w:rsid w:val="00065396"/>
    <w:rsid w:val="00065582"/>
    <w:rsid w:val="00065710"/>
    <w:rsid w:val="000659C6"/>
    <w:rsid w:val="00065A2F"/>
    <w:rsid w:val="00065A72"/>
    <w:rsid w:val="00065A9B"/>
    <w:rsid w:val="00065B0C"/>
    <w:rsid w:val="00065D68"/>
    <w:rsid w:val="00065E95"/>
    <w:rsid w:val="00065EF1"/>
    <w:rsid w:val="00065F7E"/>
    <w:rsid w:val="0006600B"/>
    <w:rsid w:val="0006604E"/>
    <w:rsid w:val="00066059"/>
    <w:rsid w:val="00066095"/>
    <w:rsid w:val="0006613A"/>
    <w:rsid w:val="00066143"/>
    <w:rsid w:val="0006628A"/>
    <w:rsid w:val="000663EE"/>
    <w:rsid w:val="0006644B"/>
    <w:rsid w:val="0006651B"/>
    <w:rsid w:val="0006656F"/>
    <w:rsid w:val="00066600"/>
    <w:rsid w:val="000666F2"/>
    <w:rsid w:val="0006681E"/>
    <w:rsid w:val="0006686E"/>
    <w:rsid w:val="000668D5"/>
    <w:rsid w:val="00066AE4"/>
    <w:rsid w:val="00066B58"/>
    <w:rsid w:val="00066BF8"/>
    <w:rsid w:val="00066CAD"/>
    <w:rsid w:val="00066CDB"/>
    <w:rsid w:val="00066DDC"/>
    <w:rsid w:val="00066F31"/>
    <w:rsid w:val="0006706E"/>
    <w:rsid w:val="00067081"/>
    <w:rsid w:val="000670CF"/>
    <w:rsid w:val="00067143"/>
    <w:rsid w:val="000671D5"/>
    <w:rsid w:val="00067213"/>
    <w:rsid w:val="00067262"/>
    <w:rsid w:val="00067324"/>
    <w:rsid w:val="00067479"/>
    <w:rsid w:val="00067495"/>
    <w:rsid w:val="0006752F"/>
    <w:rsid w:val="0006753D"/>
    <w:rsid w:val="000675BA"/>
    <w:rsid w:val="00067695"/>
    <w:rsid w:val="000677BE"/>
    <w:rsid w:val="0006783B"/>
    <w:rsid w:val="000679B7"/>
    <w:rsid w:val="000679CA"/>
    <w:rsid w:val="00067BEB"/>
    <w:rsid w:val="00067BF5"/>
    <w:rsid w:val="00067C54"/>
    <w:rsid w:val="00067DAC"/>
    <w:rsid w:val="00067E0D"/>
    <w:rsid w:val="00067F1F"/>
    <w:rsid w:val="00070105"/>
    <w:rsid w:val="00070131"/>
    <w:rsid w:val="00070173"/>
    <w:rsid w:val="00070454"/>
    <w:rsid w:val="000704FC"/>
    <w:rsid w:val="0007053B"/>
    <w:rsid w:val="000707D4"/>
    <w:rsid w:val="0007084E"/>
    <w:rsid w:val="000708E4"/>
    <w:rsid w:val="0007094D"/>
    <w:rsid w:val="0007098A"/>
    <w:rsid w:val="000709EA"/>
    <w:rsid w:val="00070A33"/>
    <w:rsid w:val="00070AA7"/>
    <w:rsid w:val="00070ABF"/>
    <w:rsid w:val="00070B31"/>
    <w:rsid w:val="00070BC1"/>
    <w:rsid w:val="00070BF9"/>
    <w:rsid w:val="00070BFB"/>
    <w:rsid w:val="00070C7E"/>
    <w:rsid w:val="00070D20"/>
    <w:rsid w:val="00070F48"/>
    <w:rsid w:val="00071080"/>
    <w:rsid w:val="000710A4"/>
    <w:rsid w:val="000711DB"/>
    <w:rsid w:val="0007122B"/>
    <w:rsid w:val="000712AA"/>
    <w:rsid w:val="000713B6"/>
    <w:rsid w:val="000713DA"/>
    <w:rsid w:val="000713F2"/>
    <w:rsid w:val="000713FC"/>
    <w:rsid w:val="00071405"/>
    <w:rsid w:val="00071476"/>
    <w:rsid w:val="00071483"/>
    <w:rsid w:val="000714AB"/>
    <w:rsid w:val="000714AE"/>
    <w:rsid w:val="00071529"/>
    <w:rsid w:val="00071581"/>
    <w:rsid w:val="00071679"/>
    <w:rsid w:val="00071828"/>
    <w:rsid w:val="000718A4"/>
    <w:rsid w:val="0007198A"/>
    <w:rsid w:val="00071998"/>
    <w:rsid w:val="000719FB"/>
    <w:rsid w:val="00071AB8"/>
    <w:rsid w:val="00071AD6"/>
    <w:rsid w:val="00071D3C"/>
    <w:rsid w:val="00071DC3"/>
    <w:rsid w:val="00071DD3"/>
    <w:rsid w:val="00071F83"/>
    <w:rsid w:val="00072121"/>
    <w:rsid w:val="00072196"/>
    <w:rsid w:val="000722DE"/>
    <w:rsid w:val="00072518"/>
    <w:rsid w:val="000725F4"/>
    <w:rsid w:val="000725F9"/>
    <w:rsid w:val="0007263A"/>
    <w:rsid w:val="0007266D"/>
    <w:rsid w:val="000726E8"/>
    <w:rsid w:val="00072791"/>
    <w:rsid w:val="00072852"/>
    <w:rsid w:val="00072858"/>
    <w:rsid w:val="000728CB"/>
    <w:rsid w:val="00072987"/>
    <w:rsid w:val="000729C4"/>
    <w:rsid w:val="00072A2A"/>
    <w:rsid w:val="00072BAF"/>
    <w:rsid w:val="00072BFF"/>
    <w:rsid w:val="00072C90"/>
    <w:rsid w:val="00072DAE"/>
    <w:rsid w:val="00072E0A"/>
    <w:rsid w:val="00072F1B"/>
    <w:rsid w:val="00073019"/>
    <w:rsid w:val="000731E0"/>
    <w:rsid w:val="0007320E"/>
    <w:rsid w:val="0007338F"/>
    <w:rsid w:val="000734EF"/>
    <w:rsid w:val="0007353A"/>
    <w:rsid w:val="00073590"/>
    <w:rsid w:val="000735B0"/>
    <w:rsid w:val="00073623"/>
    <w:rsid w:val="0007375B"/>
    <w:rsid w:val="0007382D"/>
    <w:rsid w:val="000738B5"/>
    <w:rsid w:val="00073909"/>
    <w:rsid w:val="00073A37"/>
    <w:rsid w:val="00073B38"/>
    <w:rsid w:val="00073CC3"/>
    <w:rsid w:val="00073CD8"/>
    <w:rsid w:val="00073D8A"/>
    <w:rsid w:val="00073DFF"/>
    <w:rsid w:val="00073E10"/>
    <w:rsid w:val="00073E66"/>
    <w:rsid w:val="00073F78"/>
    <w:rsid w:val="00073FE7"/>
    <w:rsid w:val="00074029"/>
    <w:rsid w:val="000741F1"/>
    <w:rsid w:val="0007428B"/>
    <w:rsid w:val="0007442B"/>
    <w:rsid w:val="000744E9"/>
    <w:rsid w:val="00074592"/>
    <w:rsid w:val="000745F0"/>
    <w:rsid w:val="00074601"/>
    <w:rsid w:val="00074619"/>
    <w:rsid w:val="0007462A"/>
    <w:rsid w:val="00074870"/>
    <w:rsid w:val="0007491E"/>
    <w:rsid w:val="0007497A"/>
    <w:rsid w:val="0007497C"/>
    <w:rsid w:val="00074AC8"/>
    <w:rsid w:val="00074BC0"/>
    <w:rsid w:val="00074BCD"/>
    <w:rsid w:val="00074C17"/>
    <w:rsid w:val="00074C22"/>
    <w:rsid w:val="00074C3A"/>
    <w:rsid w:val="00074E20"/>
    <w:rsid w:val="00075143"/>
    <w:rsid w:val="000751DC"/>
    <w:rsid w:val="00075316"/>
    <w:rsid w:val="000753C4"/>
    <w:rsid w:val="000754D8"/>
    <w:rsid w:val="00075609"/>
    <w:rsid w:val="00075671"/>
    <w:rsid w:val="000757E5"/>
    <w:rsid w:val="00075805"/>
    <w:rsid w:val="000758F0"/>
    <w:rsid w:val="00075A98"/>
    <w:rsid w:val="00075B1E"/>
    <w:rsid w:val="00075BAE"/>
    <w:rsid w:val="00075CC2"/>
    <w:rsid w:val="00075D2B"/>
    <w:rsid w:val="00075E3B"/>
    <w:rsid w:val="00075F46"/>
    <w:rsid w:val="00076029"/>
    <w:rsid w:val="0007610C"/>
    <w:rsid w:val="0007613F"/>
    <w:rsid w:val="00076290"/>
    <w:rsid w:val="000762DA"/>
    <w:rsid w:val="000762DD"/>
    <w:rsid w:val="000763FA"/>
    <w:rsid w:val="00076410"/>
    <w:rsid w:val="0007668C"/>
    <w:rsid w:val="000766CA"/>
    <w:rsid w:val="00076734"/>
    <w:rsid w:val="000767B9"/>
    <w:rsid w:val="0007685E"/>
    <w:rsid w:val="000769EE"/>
    <w:rsid w:val="000769FD"/>
    <w:rsid w:val="00076C48"/>
    <w:rsid w:val="00076C6E"/>
    <w:rsid w:val="00076C91"/>
    <w:rsid w:val="00076CDE"/>
    <w:rsid w:val="00076D1A"/>
    <w:rsid w:val="00076DFD"/>
    <w:rsid w:val="00077030"/>
    <w:rsid w:val="00077054"/>
    <w:rsid w:val="000770A9"/>
    <w:rsid w:val="00077108"/>
    <w:rsid w:val="00077141"/>
    <w:rsid w:val="000771D6"/>
    <w:rsid w:val="0007728D"/>
    <w:rsid w:val="0007732D"/>
    <w:rsid w:val="00077343"/>
    <w:rsid w:val="00077399"/>
    <w:rsid w:val="0007739B"/>
    <w:rsid w:val="0007753A"/>
    <w:rsid w:val="0007757E"/>
    <w:rsid w:val="0007758F"/>
    <w:rsid w:val="000775BB"/>
    <w:rsid w:val="0007765D"/>
    <w:rsid w:val="000776E2"/>
    <w:rsid w:val="0007771A"/>
    <w:rsid w:val="00077795"/>
    <w:rsid w:val="0007790E"/>
    <w:rsid w:val="0007791F"/>
    <w:rsid w:val="00077936"/>
    <w:rsid w:val="00077A2B"/>
    <w:rsid w:val="00077A50"/>
    <w:rsid w:val="00077B17"/>
    <w:rsid w:val="00077B36"/>
    <w:rsid w:val="00077C37"/>
    <w:rsid w:val="00077C49"/>
    <w:rsid w:val="00077D05"/>
    <w:rsid w:val="00077E16"/>
    <w:rsid w:val="00077E34"/>
    <w:rsid w:val="00077FB6"/>
    <w:rsid w:val="00077FE3"/>
    <w:rsid w:val="000800AA"/>
    <w:rsid w:val="00080168"/>
    <w:rsid w:val="000801B1"/>
    <w:rsid w:val="00080325"/>
    <w:rsid w:val="0008038B"/>
    <w:rsid w:val="00080561"/>
    <w:rsid w:val="00080679"/>
    <w:rsid w:val="000807CA"/>
    <w:rsid w:val="000808B6"/>
    <w:rsid w:val="00080A08"/>
    <w:rsid w:val="00080A10"/>
    <w:rsid w:val="00080AD4"/>
    <w:rsid w:val="00080BA1"/>
    <w:rsid w:val="00080BA5"/>
    <w:rsid w:val="00080BAB"/>
    <w:rsid w:val="00080BD5"/>
    <w:rsid w:val="00080BE5"/>
    <w:rsid w:val="00080C55"/>
    <w:rsid w:val="00080C60"/>
    <w:rsid w:val="00080CF2"/>
    <w:rsid w:val="00080D8C"/>
    <w:rsid w:val="00080E1E"/>
    <w:rsid w:val="00080E23"/>
    <w:rsid w:val="00080E93"/>
    <w:rsid w:val="00080F01"/>
    <w:rsid w:val="00080F5B"/>
    <w:rsid w:val="0008102F"/>
    <w:rsid w:val="00081058"/>
    <w:rsid w:val="000810BD"/>
    <w:rsid w:val="00081133"/>
    <w:rsid w:val="0008118A"/>
    <w:rsid w:val="00081245"/>
    <w:rsid w:val="00081374"/>
    <w:rsid w:val="00081447"/>
    <w:rsid w:val="000814EA"/>
    <w:rsid w:val="00081559"/>
    <w:rsid w:val="0008161E"/>
    <w:rsid w:val="0008164A"/>
    <w:rsid w:val="00081839"/>
    <w:rsid w:val="000818E5"/>
    <w:rsid w:val="00081C11"/>
    <w:rsid w:val="00081C2D"/>
    <w:rsid w:val="00081D1A"/>
    <w:rsid w:val="00081D5F"/>
    <w:rsid w:val="00081DC2"/>
    <w:rsid w:val="00081E40"/>
    <w:rsid w:val="00081E8E"/>
    <w:rsid w:val="00081EE1"/>
    <w:rsid w:val="00081F15"/>
    <w:rsid w:val="0008210F"/>
    <w:rsid w:val="00082168"/>
    <w:rsid w:val="00082217"/>
    <w:rsid w:val="0008228D"/>
    <w:rsid w:val="00082341"/>
    <w:rsid w:val="00082343"/>
    <w:rsid w:val="00082356"/>
    <w:rsid w:val="000823FE"/>
    <w:rsid w:val="00082514"/>
    <w:rsid w:val="000827C4"/>
    <w:rsid w:val="00082938"/>
    <w:rsid w:val="000829C3"/>
    <w:rsid w:val="00082A0F"/>
    <w:rsid w:val="00082B53"/>
    <w:rsid w:val="00082CE7"/>
    <w:rsid w:val="00082D10"/>
    <w:rsid w:val="00082D3C"/>
    <w:rsid w:val="00082D4D"/>
    <w:rsid w:val="00082D71"/>
    <w:rsid w:val="00082D87"/>
    <w:rsid w:val="00082ED5"/>
    <w:rsid w:val="00082F97"/>
    <w:rsid w:val="00082FB9"/>
    <w:rsid w:val="00082FBC"/>
    <w:rsid w:val="00083095"/>
    <w:rsid w:val="000830CF"/>
    <w:rsid w:val="0008317B"/>
    <w:rsid w:val="0008319E"/>
    <w:rsid w:val="00083242"/>
    <w:rsid w:val="000832B6"/>
    <w:rsid w:val="00083473"/>
    <w:rsid w:val="000835F6"/>
    <w:rsid w:val="0008368C"/>
    <w:rsid w:val="00083797"/>
    <w:rsid w:val="000838A4"/>
    <w:rsid w:val="000838F1"/>
    <w:rsid w:val="00083956"/>
    <w:rsid w:val="00083982"/>
    <w:rsid w:val="000839AE"/>
    <w:rsid w:val="00083A67"/>
    <w:rsid w:val="00083CD3"/>
    <w:rsid w:val="00083D3F"/>
    <w:rsid w:val="00083D7A"/>
    <w:rsid w:val="00083E77"/>
    <w:rsid w:val="00083F81"/>
    <w:rsid w:val="00083FEB"/>
    <w:rsid w:val="00084037"/>
    <w:rsid w:val="0008408E"/>
    <w:rsid w:val="000840B6"/>
    <w:rsid w:val="000841D9"/>
    <w:rsid w:val="000842A4"/>
    <w:rsid w:val="000845CE"/>
    <w:rsid w:val="000846C3"/>
    <w:rsid w:val="000847BE"/>
    <w:rsid w:val="000847F7"/>
    <w:rsid w:val="00084866"/>
    <w:rsid w:val="00084AF3"/>
    <w:rsid w:val="00084B42"/>
    <w:rsid w:val="00084B7A"/>
    <w:rsid w:val="00084B90"/>
    <w:rsid w:val="00084E6E"/>
    <w:rsid w:val="00084ECE"/>
    <w:rsid w:val="00084F81"/>
    <w:rsid w:val="00085063"/>
    <w:rsid w:val="000850AC"/>
    <w:rsid w:val="00085111"/>
    <w:rsid w:val="00085427"/>
    <w:rsid w:val="00085504"/>
    <w:rsid w:val="00085508"/>
    <w:rsid w:val="000856FA"/>
    <w:rsid w:val="00085744"/>
    <w:rsid w:val="00085871"/>
    <w:rsid w:val="000858E3"/>
    <w:rsid w:val="000858F9"/>
    <w:rsid w:val="00085930"/>
    <w:rsid w:val="00085AE8"/>
    <w:rsid w:val="00085F39"/>
    <w:rsid w:val="00085F4E"/>
    <w:rsid w:val="00085F55"/>
    <w:rsid w:val="000862E6"/>
    <w:rsid w:val="000862F4"/>
    <w:rsid w:val="000863F5"/>
    <w:rsid w:val="00086404"/>
    <w:rsid w:val="00086438"/>
    <w:rsid w:val="00086467"/>
    <w:rsid w:val="0008660B"/>
    <w:rsid w:val="00086714"/>
    <w:rsid w:val="0008674F"/>
    <w:rsid w:val="000867A8"/>
    <w:rsid w:val="000867AF"/>
    <w:rsid w:val="00086AD1"/>
    <w:rsid w:val="00086B7D"/>
    <w:rsid w:val="00086C50"/>
    <w:rsid w:val="00086C6A"/>
    <w:rsid w:val="00086CAF"/>
    <w:rsid w:val="00086E94"/>
    <w:rsid w:val="00086F10"/>
    <w:rsid w:val="00086F38"/>
    <w:rsid w:val="00086F8D"/>
    <w:rsid w:val="00087274"/>
    <w:rsid w:val="00087490"/>
    <w:rsid w:val="00087619"/>
    <w:rsid w:val="0008784C"/>
    <w:rsid w:val="00087925"/>
    <w:rsid w:val="0008793B"/>
    <w:rsid w:val="00087944"/>
    <w:rsid w:val="00087980"/>
    <w:rsid w:val="00087ADE"/>
    <w:rsid w:val="00087C40"/>
    <w:rsid w:val="00087D0D"/>
    <w:rsid w:val="00087D47"/>
    <w:rsid w:val="00087DC3"/>
    <w:rsid w:val="00087E68"/>
    <w:rsid w:val="00087EAB"/>
    <w:rsid w:val="00087FBA"/>
    <w:rsid w:val="000901A5"/>
    <w:rsid w:val="000901E0"/>
    <w:rsid w:val="0009024C"/>
    <w:rsid w:val="000902AB"/>
    <w:rsid w:val="00090385"/>
    <w:rsid w:val="0009038C"/>
    <w:rsid w:val="0009054B"/>
    <w:rsid w:val="000906F3"/>
    <w:rsid w:val="0009074D"/>
    <w:rsid w:val="00090859"/>
    <w:rsid w:val="000908A7"/>
    <w:rsid w:val="000909F3"/>
    <w:rsid w:val="00090A3C"/>
    <w:rsid w:val="00090B4B"/>
    <w:rsid w:val="00090B9D"/>
    <w:rsid w:val="00090C07"/>
    <w:rsid w:val="00090D0F"/>
    <w:rsid w:val="00090D19"/>
    <w:rsid w:val="00090D82"/>
    <w:rsid w:val="00090EB1"/>
    <w:rsid w:val="00090EBF"/>
    <w:rsid w:val="00090FAD"/>
    <w:rsid w:val="00091045"/>
    <w:rsid w:val="00091179"/>
    <w:rsid w:val="0009138D"/>
    <w:rsid w:val="000914B8"/>
    <w:rsid w:val="0009159E"/>
    <w:rsid w:val="000916E2"/>
    <w:rsid w:val="000917F9"/>
    <w:rsid w:val="0009188A"/>
    <w:rsid w:val="000919DD"/>
    <w:rsid w:val="00091A21"/>
    <w:rsid w:val="00091BF7"/>
    <w:rsid w:val="00091D9E"/>
    <w:rsid w:val="00091E09"/>
    <w:rsid w:val="00091E60"/>
    <w:rsid w:val="0009215A"/>
    <w:rsid w:val="0009235B"/>
    <w:rsid w:val="0009238E"/>
    <w:rsid w:val="000923B1"/>
    <w:rsid w:val="0009241F"/>
    <w:rsid w:val="00092475"/>
    <w:rsid w:val="00092533"/>
    <w:rsid w:val="00092592"/>
    <w:rsid w:val="000925AA"/>
    <w:rsid w:val="000925FE"/>
    <w:rsid w:val="000927F0"/>
    <w:rsid w:val="000928D4"/>
    <w:rsid w:val="00092903"/>
    <w:rsid w:val="00092AD5"/>
    <w:rsid w:val="00092B87"/>
    <w:rsid w:val="00092BF7"/>
    <w:rsid w:val="00092E6E"/>
    <w:rsid w:val="00092EA8"/>
    <w:rsid w:val="00092ED4"/>
    <w:rsid w:val="00092EDB"/>
    <w:rsid w:val="00092F22"/>
    <w:rsid w:val="0009307D"/>
    <w:rsid w:val="00093100"/>
    <w:rsid w:val="0009310B"/>
    <w:rsid w:val="0009328A"/>
    <w:rsid w:val="0009331B"/>
    <w:rsid w:val="00093434"/>
    <w:rsid w:val="0009355F"/>
    <w:rsid w:val="00093592"/>
    <w:rsid w:val="000935B7"/>
    <w:rsid w:val="000935D4"/>
    <w:rsid w:val="000938C8"/>
    <w:rsid w:val="0009390A"/>
    <w:rsid w:val="00093912"/>
    <w:rsid w:val="000939B5"/>
    <w:rsid w:val="000939DC"/>
    <w:rsid w:val="000939EA"/>
    <w:rsid w:val="00093A18"/>
    <w:rsid w:val="00093A5C"/>
    <w:rsid w:val="00093A84"/>
    <w:rsid w:val="00093AFF"/>
    <w:rsid w:val="00093B36"/>
    <w:rsid w:val="00093C4F"/>
    <w:rsid w:val="00093D1A"/>
    <w:rsid w:val="00093D45"/>
    <w:rsid w:val="00093D9F"/>
    <w:rsid w:val="00093DE1"/>
    <w:rsid w:val="00093E01"/>
    <w:rsid w:val="00093E43"/>
    <w:rsid w:val="00093ED3"/>
    <w:rsid w:val="0009400D"/>
    <w:rsid w:val="000940B6"/>
    <w:rsid w:val="0009412E"/>
    <w:rsid w:val="000941A0"/>
    <w:rsid w:val="00094373"/>
    <w:rsid w:val="00094480"/>
    <w:rsid w:val="0009449A"/>
    <w:rsid w:val="00094505"/>
    <w:rsid w:val="00094551"/>
    <w:rsid w:val="00094566"/>
    <w:rsid w:val="000945F2"/>
    <w:rsid w:val="000949CF"/>
    <w:rsid w:val="000949DA"/>
    <w:rsid w:val="00094B48"/>
    <w:rsid w:val="00094B50"/>
    <w:rsid w:val="00094C17"/>
    <w:rsid w:val="00094DA0"/>
    <w:rsid w:val="00094E59"/>
    <w:rsid w:val="00095058"/>
    <w:rsid w:val="000950C1"/>
    <w:rsid w:val="0009515F"/>
    <w:rsid w:val="000951ED"/>
    <w:rsid w:val="0009522D"/>
    <w:rsid w:val="00095259"/>
    <w:rsid w:val="0009529B"/>
    <w:rsid w:val="0009538A"/>
    <w:rsid w:val="00095426"/>
    <w:rsid w:val="00095775"/>
    <w:rsid w:val="000957B4"/>
    <w:rsid w:val="000958B1"/>
    <w:rsid w:val="00095A36"/>
    <w:rsid w:val="00095A4D"/>
    <w:rsid w:val="00095A8A"/>
    <w:rsid w:val="00095B3A"/>
    <w:rsid w:val="00095B57"/>
    <w:rsid w:val="00095B5F"/>
    <w:rsid w:val="00095C00"/>
    <w:rsid w:val="00095C6C"/>
    <w:rsid w:val="00095EBF"/>
    <w:rsid w:val="00095FC4"/>
    <w:rsid w:val="00095FF0"/>
    <w:rsid w:val="00096046"/>
    <w:rsid w:val="00096068"/>
    <w:rsid w:val="000960B0"/>
    <w:rsid w:val="00096189"/>
    <w:rsid w:val="000961ED"/>
    <w:rsid w:val="0009627C"/>
    <w:rsid w:val="00096410"/>
    <w:rsid w:val="00096458"/>
    <w:rsid w:val="0009675C"/>
    <w:rsid w:val="000969FB"/>
    <w:rsid w:val="00096A2E"/>
    <w:rsid w:val="00096AA4"/>
    <w:rsid w:val="00096B25"/>
    <w:rsid w:val="00096ED4"/>
    <w:rsid w:val="00096F1A"/>
    <w:rsid w:val="00096F95"/>
    <w:rsid w:val="0009701F"/>
    <w:rsid w:val="000971BC"/>
    <w:rsid w:val="00097678"/>
    <w:rsid w:val="0009772E"/>
    <w:rsid w:val="00097891"/>
    <w:rsid w:val="000979A9"/>
    <w:rsid w:val="00097BF3"/>
    <w:rsid w:val="00097CB3"/>
    <w:rsid w:val="00097D62"/>
    <w:rsid w:val="00097F34"/>
    <w:rsid w:val="000A0048"/>
    <w:rsid w:val="000A00AA"/>
    <w:rsid w:val="000A0218"/>
    <w:rsid w:val="000A03D0"/>
    <w:rsid w:val="000A0469"/>
    <w:rsid w:val="000A04D3"/>
    <w:rsid w:val="000A06A4"/>
    <w:rsid w:val="000A06F5"/>
    <w:rsid w:val="000A0756"/>
    <w:rsid w:val="000A07B8"/>
    <w:rsid w:val="000A091D"/>
    <w:rsid w:val="000A0B29"/>
    <w:rsid w:val="000A0B8C"/>
    <w:rsid w:val="000A0BD6"/>
    <w:rsid w:val="000A0C09"/>
    <w:rsid w:val="000A0C0B"/>
    <w:rsid w:val="000A0C5F"/>
    <w:rsid w:val="000A0D76"/>
    <w:rsid w:val="000A0EFF"/>
    <w:rsid w:val="000A10F4"/>
    <w:rsid w:val="000A117E"/>
    <w:rsid w:val="000A11F2"/>
    <w:rsid w:val="000A158F"/>
    <w:rsid w:val="000A1632"/>
    <w:rsid w:val="000A18FD"/>
    <w:rsid w:val="000A19CE"/>
    <w:rsid w:val="000A19F6"/>
    <w:rsid w:val="000A1AFB"/>
    <w:rsid w:val="000A1C90"/>
    <w:rsid w:val="000A1CE5"/>
    <w:rsid w:val="000A1ED2"/>
    <w:rsid w:val="000A1F92"/>
    <w:rsid w:val="000A209E"/>
    <w:rsid w:val="000A20FB"/>
    <w:rsid w:val="000A2125"/>
    <w:rsid w:val="000A2128"/>
    <w:rsid w:val="000A2140"/>
    <w:rsid w:val="000A21C3"/>
    <w:rsid w:val="000A23A6"/>
    <w:rsid w:val="000A24A7"/>
    <w:rsid w:val="000A24DC"/>
    <w:rsid w:val="000A24ED"/>
    <w:rsid w:val="000A2513"/>
    <w:rsid w:val="000A2764"/>
    <w:rsid w:val="000A27F8"/>
    <w:rsid w:val="000A2C41"/>
    <w:rsid w:val="000A2D7F"/>
    <w:rsid w:val="000A2F02"/>
    <w:rsid w:val="000A2F5E"/>
    <w:rsid w:val="000A32B8"/>
    <w:rsid w:val="000A3362"/>
    <w:rsid w:val="000A33E7"/>
    <w:rsid w:val="000A33EA"/>
    <w:rsid w:val="000A352D"/>
    <w:rsid w:val="000A357C"/>
    <w:rsid w:val="000A35D1"/>
    <w:rsid w:val="000A36FF"/>
    <w:rsid w:val="000A3838"/>
    <w:rsid w:val="000A3A6E"/>
    <w:rsid w:val="000A3AEE"/>
    <w:rsid w:val="000A3AF7"/>
    <w:rsid w:val="000A3B75"/>
    <w:rsid w:val="000A3CA4"/>
    <w:rsid w:val="000A3CDE"/>
    <w:rsid w:val="000A3D22"/>
    <w:rsid w:val="000A3DAA"/>
    <w:rsid w:val="000A3E8A"/>
    <w:rsid w:val="000A3F42"/>
    <w:rsid w:val="000A3F7D"/>
    <w:rsid w:val="000A402D"/>
    <w:rsid w:val="000A42AE"/>
    <w:rsid w:val="000A42F4"/>
    <w:rsid w:val="000A436F"/>
    <w:rsid w:val="000A453A"/>
    <w:rsid w:val="000A453D"/>
    <w:rsid w:val="000A47CF"/>
    <w:rsid w:val="000A47F7"/>
    <w:rsid w:val="000A4900"/>
    <w:rsid w:val="000A4925"/>
    <w:rsid w:val="000A49F8"/>
    <w:rsid w:val="000A4CF5"/>
    <w:rsid w:val="000A4D53"/>
    <w:rsid w:val="000A4EBC"/>
    <w:rsid w:val="000A4ED3"/>
    <w:rsid w:val="000A5148"/>
    <w:rsid w:val="000A518B"/>
    <w:rsid w:val="000A5199"/>
    <w:rsid w:val="000A519D"/>
    <w:rsid w:val="000A5308"/>
    <w:rsid w:val="000A54D1"/>
    <w:rsid w:val="000A56B0"/>
    <w:rsid w:val="000A5782"/>
    <w:rsid w:val="000A57B4"/>
    <w:rsid w:val="000A5819"/>
    <w:rsid w:val="000A5911"/>
    <w:rsid w:val="000A5B01"/>
    <w:rsid w:val="000A5B1F"/>
    <w:rsid w:val="000A5BAD"/>
    <w:rsid w:val="000A5CF3"/>
    <w:rsid w:val="000A5EDD"/>
    <w:rsid w:val="000A5EE7"/>
    <w:rsid w:val="000A5F12"/>
    <w:rsid w:val="000A5F6A"/>
    <w:rsid w:val="000A5F8F"/>
    <w:rsid w:val="000A605A"/>
    <w:rsid w:val="000A6062"/>
    <w:rsid w:val="000A60DA"/>
    <w:rsid w:val="000A60E5"/>
    <w:rsid w:val="000A60F7"/>
    <w:rsid w:val="000A6279"/>
    <w:rsid w:val="000A62AA"/>
    <w:rsid w:val="000A62E3"/>
    <w:rsid w:val="000A63B9"/>
    <w:rsid w:val="000A64FF"/>
    <w:rsid w:val="000A6774"/>
    <w:rsid w:val="000A677E"/>
    <w:rsid w:val="000A67B6"/>
    <w:rsid w:val="000A6A87"/>
    <w:rsid w:val="000A6B8D"/>
    <w:rsid w:val="000A6D36"/>
    <w:rsid w:val="000A6D7F"/>
    <w:rsid w:val="000A6DF4"/>
    <w:rsid w:val="000A6E3D"/>
    <w:rsid w:val="000A6E62"/>
    <w:rsid w:val="000A70FF"/>
    <w:rsid w:val="000A72A7"/>
    <w:rsid w:val="000A72AB"/>
    <w:rsid w:val="000A72D1"/>
    <w:rsid w:val="000A735F"/>
    <w:rsid w:val="000A7468"/>
    <w:rsid w:val="000A748E"/>
    <w:rsid w:val="000A74F6"/>
    <w:rsid w:val="000A75EE"/>
    <w:rsid w:val="000A77D2"/>
    <w:rsid w:val="000A786B"/>
    <w:rsid w:val="000A78E8"/>
    <w:rsid w:val="000A799E"/>
    <w:rsid w:val="000A79EB"/>
    <w:rsid w:val="000A7A06"/>
    <w:rsid w:val="000A7CC3"/>
    <w:rsid w:val="000A7CC9"/>
    <w:rsid w:val="000A7ED9"/>
    <w:rsid w:val="000A7F78"/>
    <w:rsid w:val="000A7FE5"/>
    <w:rsid w:val="000A7FF5"/>
    <w:rsid w:val="000B0079"/>
    <w:rsid w:val="000B00BC"/>
    <w:rsid w:val="000B022B"/>
    <w:rsid w:val="000B029C"/>
    <w:rsid w:val="000B02AF"/>
    <w:rsid w:val="000B0424"/>
    <w:rsid w:val="000B04B9"/>
    <w:rsid w:val="000B0547"/>
    <w:rsid w:val="000B05DB"/>
    <w:rsid w:val="000B0669"/>
    <w:rsid w:val="000B08EA"/>
    <w:rsid w:val="000B093A"/>
    <w:rsid w:val="000B0992"/>
    <w:rsid w:val="000B09BC"/>
    <w:rsid w:val="000B0BA4"/>
    <w:rsid w:val="000B0D4F"/>
    <w:rsid w:val="000B0D86"/>
    <w:rsid w:val="000B0E2F"/>
    <w:rsid w:val="000B0E6A"/>
    <w:rsid w:val="000B0E76"/>
    <w:rsid w:val="000B0E7F"/>
    <w:rsid w:val="000B0E95"/>
    <w:rsid w:val="000B0EB4"/>
    <w:rsid w:val="000B0EB7"/>
    <w:rsid w:val="000B0EF6"/>
    <w:rsid w:val="000B0EFA"/>
    <w:rsid w:val="000B0EFF"/>
    <w:rsid w:val="000B0F44"/>
    <w:rsid w:val="000B0F7C"/>
    <w:rsid w:val="000B0F9C"/>
    <w:rsid w:val="000B10AD"/>
    <w:rsid w:val="000B10AF"/>
    <w:rsid w:val="000B10B9"/>
    <w:rsid w:val="000B1180"/>
    <w:rsid w:val="000B129F"/>
    <w:rsid w:val="000B12C1"/>
    <w:rsid w:val="000B13D6"/>
    <w:rsid w:val="000B14E2"/>
    <w:rsid w:val="000B193A"/>
    <w:rsid w:val="000B19EB"/>
    <w:rsid w:val="000B1AA9"/>
    <w:rsid w:val="000B1C64"/>
    <w:rsid w:val="000B1CAE"/>
    <w:rsid w:val="000B1CFF"/>
    <w:rsid w:val="000B1DBC"/>
    <w:rsid w:val="000B1ECB"/>
    <w:rsid w:val="000B1F4D"/>
    <w:rsid w:val="000B202E"/>
    <w:rsid w:val="000B2098"/>
    <w:rsid w:val="000B20AE"/>
    <w:rsid w:val="000B2164"/>
    <w:rsid w:val="000B223D"/>
    <w:rsid w:val="000B23CB"/>
    <w:rsid w:val="000B2494"/>
    <w:rsid w:val="000B2559"/>
    <w:rsid w:val="000B2577"/>
    <w:rsid w:val="000B26F2"/>
    <w:rsid w:val="000B2780"/>
    <w:rsid w:val="000B2796"/>
    <w:rsid w:val="000B27B0"/>
    <w:rsid w:val="000B28B5"/>
    <w:rsid w:val="000B28BF"/>
    <w:rsid w:val="000B29DD"/>
    <w:rsid w:val="000B2A04"/>
    <w:rsid w:val="000B2B9E"/>
    <w:rsid w:val="000B2BB4"/>
    <w:rsid w:val="000B2CC8"/>
    <w:rsid w:val="000B2D02"/>
    <w:rsid w:val="000B2D58"/>
    <w:rsid w:val="000B2DB3"/>
    <w:rsid w:val="000B2DFB"/>
    <w:rsid w:val="000B2F6D"/>
    <w:rsid w:val="000B2FDA"/>
    <w:rsid w:val="000B306A"/>
    <w:rsid w:val="000B30E7"/>
    <w:rsid w:val="000B31E4"/>
    <w:rsid w:val="000B3300"/>
    <w:rsid w:val="000B3319"/>
    <w:rsid w:val="000B338D"/>
    <w:rsid w:val="000B33CC"/>
    <w:rsid w:val="000B348C"/>
    <w:rsid w:val="000B362E"/>
    <w:rsid w:val="000B36A0"/>
    <w:rsid w:val="000B38DA"/>
    <w:rsid w:val="000B39FC"/>
    <w:rsid w:val="000B3A24"/>
    <w:rsid w:val="000B3A73"/>
    <w:rsid w:val="000B3AF9"/>
    <w:rsid w:val="000B3B1C"/>
    <w:rsid w:val="000B3B1F"/>
    <w:rsid w:val="000B3CC5"/>
    <w:rsid w:val="000B3CF9"/>
    <w:rsid w:val="000B3D3D"/>
    <w:rsid w:val="000B3E0E"/>
    <w:rsid w:val="000B3F37"/>
    <w:rsid w:val="000B40D4"/>
    <w:rsid w:val="000B421B"/>
    <w:rsid w:val="000B422F"/>
    <w:rsid w:val="000B4271"/>
    <w:rsid w:val="000B42C3"/>
    <w:rsid w:val="000B42DA"/>
    <w:rsid w:val="000B42F9"/>
    <w:rsid w:val="000B4435"/>
    <w:rsid w:val="000B44AA"/>
    <w:rsid w:val="000B44D8"/>
    <w:rsid w:val="000B461A"/>
    <w:rsid w:val="000B462F"/>
    <w:rsid w:val="000B463E"/>
    <w:rsid w:val="000B46CC"/>
    <w:rsid w:val="000B47C5"/>
    <w:rsid w:val="000B4882"/>
    <w:rsid w:val="000B4897"/>
    <w:rsid w:val="000B48AB"/>
    <w:rsid w:val="000B492F"/>
    <w:rsid w:val="000B49AD"/>
    <w:rsid w:val="000B4AC7"/>
    <w:rsid w:val="000B4AE9"/>
    <w:rsid w:val="000B4AF6"/>
    <w:rsid w:val="000B4B55"/>
    <w:rsid w:val="000B4C5C"/>
    <w:rsid w:val="000B4CB3"/>
    <w:rsid w:val="000B4CC4"/>
    <w:rsid w:val="000B4D77"/>
    <w:rsid w:val="000B4DC3"/>
    <w:rsid w:val="000B4F74"/>
    <w:rsid w:val="000B4F85"/>
    <w:rsid w:val="000B500D"/>
    <w:rsid w:val="000B5016"/>
    <w:rsid w:val="000B533E"/>
    <w:rsid w:val="000B5367"/>
    <w:rsid w:val="000B5377"/>
    <w:rsid w:val="000B542F"/>
    <w:rsid w:val="000B54B6"/>
    <w:rsid w:val="000B54B9"/>
    <w:rsid w:val="000B55C9"/>
    <w:rsid w:val="000B55FD"/>
    <w:rsid w:val="000B5790"/>
    <w:rsid w:val="000B5AFF"/>
    <w:rsid w:val="000B5C08"/>
    <w:rsid w:val="000B5CA4"/>
    <w:rsid w:val="000B5CA8"/>
    <w:rsid w:val="000B5E51"/>
    <w:rsid w:val="000B5EB1"/>
    <w:rsid w:val="000B5EB5"/>
    <w:rsid w:val="000B61C1"/>
    <w:rsid w:val="000B62E3"/>
    <w:rsid w:val="000B64DD"/>
    <w:rsid w:val="000B6658"/>
    <w:rsid w:val="000B6674"/>
    <w:rsid w:val="000B66F9"/>
    <w:rsid w:val="000B6746"/>
    <w:rsid w:val="000B6752"/>
    <w:rsid w:val="000B67FD"/>
    <w:rsid w:val="000B685C"/>
    <w:rsid w:val="000B68D6"/>
    <w:rsid w:val="000B6B5F"/>
    <w:rsid w:val="000B6C06"/>
    <w:rsid w:val="000B6E26"/>
    <w:rsid w:val="000B6E32"/>
    <w:rsid w:val="000B6F90"/>
    <w:rsid w:val="000B707C"/>
    <w:rsid w:val="000B70AC"/>
    <w:rsid w:val="000B70D4"/>
    <w:rsid w:val="000B713F"/>
    <w:rsid w:val="000B72CD"/>
    <w:rsid w:val="000B736D"/>
    <w:rsid w:val="000B741D"/>
    <w:rsid w:val="000B7457"/>
    <w:rsid w:val="000B7468"/>
    <w:rsid w:val="000B7600"/>
    <w:rsid w:val="000B7644"/>
    <w:rsid w:val="000B7656"/>
    <w:rsid w:val="000B775F"/>
    <w:rsid w:val="000B7853"/>
    <w:rsid w:val="000B78B4"/>
    <w:rsid w:val="000B78D6"/>
    <w:rsid w:val="000B797B"/>
    <w:rsid w:val="000B7AE5"/>
    <w:rsid w:val="000B7C19"/>
    <w:rsid w:val="000B7C7C"/>
    <w:rsid w:val="000B7C8E"/>
    <w:rsid w:val="000B7DD0"/>
    <w:rsid w:val="000B7E95"/>
    <w:rsid w:val="000B7F16"/>
    <w:rsid w:val="000B7F31"/>
    <w:rsid w:val="000B7FB8"/>
    <w:rsid w:val="000C01AE"/>
    <w:rsid w:val="000C01DB"/>
    <w:rsid w:val="000C026D"/>
    <w:rsid w:val="000C0308"/>
    <w:rsid w:val="000C0395"/>
    <w:rsid w:val="000C049A"/>
    <w:rsid w:val="000C05AB"/>
    <w:rsid w:val="000C05BD"/>
    <w:rsid w:val="000C07E7"/>
    <w:rsid w:val="000C07E8"/>
    <w:rsid w:val="000C0865"/>
    <w:rsid w:val="000C09C3"/>
    <w:rsid w:val="000C09C4"/>
    <w:rsid w:val="000C0C14"/>
    <w:rsid w:val="000C0C28"/>
    <w:rsid w:val="000C0C52"/>
    <w:rsid w:val="000C0D59"/>
    <w:rsid w:val="000C0E4C"/>
    <w:rsid w:val="000C0E6D"/>
    <w:rsid w:val="000C0EF0"/>
    <w:rsid w:val="000C0FBF"/>
    <w:rsid w:val="000C10EC"/>
    <w:rsid w:val="000C119B"/>
    <w:rsid w:val="000C12ED"/>
    <w:rsid w:val="000C131E"/>
    <w:rsid w:val="000C1428"/>
    <w:rsid w:val="000C1584"/>
    <w:rsid w:val="000C15A6"/>
    <w:rsid w:val="000C1624"/>
    <w:rsid w:val="000C1680"/>
    <w:rsid w:val="000C16A4"/>
    <w:rsid w:val="000C1866"/>
    <w:rsid w:val="000C1867"/>
    <w:rsid w:val="000C18EE"/>
    <w:rsid w:val="000C197A"/>
    <w:rsid w:val="000C19F3"/>
    <w:rsid w:val="000C1AC4"/>
    <w:rsid w:val="000C1B3E"/>
    <w:rsid w:val="000C1B5E"/>
    <w:rsid w:val="000C1B75"/>
    <w:rsid w:val="000C1D6E"/>
    <w:rsid w:val="000C1D83"/>
    <w:rsid w:val="000C1F1D"/>
    <w:rsid w:val="000C1F59"/>
    <w:rsid w:val="000C1FA2"/>
    <w:rsid w:val="000C1FBE"/>
    <w:rsid w:val="000C2004"/>
    <w:rsid w:val="000C2196"/>
    <w:rsid w:val="000C229B"/>
    <w:rsid w:val="000C2340"/>
    <w:rsid w:val="000C24E6"/>
    <w:rsid w:val="000C26D9"/>
    <w:rsid w:val="000C2803"/>
    <w:rsid w:val="000C2815"/>
    <w:rsid w:val="000C28A1"/>
    <w:rsid w:val="000C29AB"/>
    <w:rsid w:val="000C29F4"/>
    <w:rsid w:val="000C29F8"/>
    <w:rsid w:val="000C2A31"/>
    <w:rsid w:val="000C2B42"/>
    <w:rsid w:val="000C2C96"/>
    <w:rsid w:val="000C2D0C"/>
    <w:rsid w:val="000C2D16"/>
    <w:rsid w:val="000C2E4F"/>
    <w:rsid w:val="000C2F2F"/>
    <w:rsid w:val="000C2F4A"/>
    <w:rsid w:val="000C2F7B"/>
    <w:rsid w:val="000C3042"/>
    <w:rsid w:val="000C3084"/>
    <w:rsid w:val="000C31C7"/>
    <w:rsid w:val="000C31CA"/>
    <w:rsid w:val="000C31DF"/>
    <w:rsid w:val="000C31EF"/>
    <w:rsid w:val="000C32F0"/>
    <w:rsid w:val="000C330F"/>
    <w:rsid w:val="000C33C3"/>
    <w:rsid w:val="000C3430"/>
    <w:rsid w:val="000C345E"/>
    <w:rsid w:val="000C3468"/>
    <w:rsid w:val="000C3471"/>
    <w:rsid w:val="000C36FF"/>
    <w:rsid w:val="000C375B"/>
    <w:rsid w:val="000C37D3"/>
    <w:rsid w:val="000C37E4"/>
    <w:rsid w:val="000C38E1"/>
    <w:rsid w:val="000C398D"/>
    <w:rsid w:val="000C3BAA"/>
    <w:rsid w:val="000C3BD9"/>
    <w:rsid w:val="000C3BF2"/>
    <w:rsid w:val="000C3C3D"/>
    <w:rsid w:val="000C3CAB"/>
    <w:rsid w:val="000C3D48"/>
    <w:rsid w:val="000C3D50"/>
    <w:rsid w:val="000C3D62"/>
    <w:rsid w:val="000C3DF4"/>
    <w:rsid w:val="000C3DFD"/>
    <w:rsid w:val="000C4009"/>
    <w:rsid w:val="000C4203"/>
    <w:rsid w:val="000C428B"/>
    <w:rsid w:val="000C4393"/>
    <w:rsid w:val="000C451F"/>
    <w:rsid w:val="000C4520"/>
    <w:rsid w:val="000C4566"/>
    <w:rsid w:val="000C47FE"/>
    <w:rsid w:val="000C48E5"/>
    <w:rsid w:val="000C4931"/>
    <w:rsid w:val="000C49C5"/>
    <w:rsid w:val="000C4A52"/>
    <w:rsid w:val="000C4DD7"/>
    <w:rsid w:val="000C50A8"/>
    <w:rsid w:val="000C5146"/>
    <w:rsid w:val="000C5448"/>
    <w:rsid w:val="000C54A7"/>
    <w:rsid w:val="000C54C9"/>
    <w:rsid w:val="000C54CE"/>
    <w:rsid w:val="000C558E"/>
    <w:rsid w:val="000C55AE"/>
    <w:rsid w:val="000C5628"/>
    <w:rsid w:val="000C56F7"/>
    <w:rsid w:val="000C5868"/>
    <w:rsid w:val="000C59CF"/>
    <w:rsid w:val="000C5A39"/>
    <w:rsid w:val="000C5C27"/>
    <w:rsid w:val="000C5CD2"/>
    <w:rsid w:val="000C5D98"/>
    <w:rsid w:val="000C6072"/>
    <w:rsid w:val="000C60CD"/>
    <w:rsid w:val="000C6192"/>
    <w:rsid w:val="000C6264"/>
    <w:rsid w:val="000C62D9"/>
    <w:rsid w:val="000C63AA"/>
    <w:rsid w:val="000C63CF"/>
    <w:rsid w:val="000C64BE"/>
    <w:rsid w:val="000C64EE"/>
    <w:rsid w:val="000C65CA"/>
    <w:rsid w:val="000C67C5"/>
    <w:rsid w:val="000C692A"/>
    <w:rsid w:val="000C6931"/>
    <w:rsid w:val="000C69FD"/>
    <w:rsid w:val="000C6B29"/>
    <w:rsid w:val="000C6BA6"/>
    <w:rsid w:val="000C6C3F"/>
    <w:rsid w:val="000C6DBA"/>
    <w:rsid w:val="000C6DD6"/>
    <w:rsid w:val="000C6DF0"/>
    <w:rsid w:val="000C6E84"/>
    <w:rsid w:val="000C6EA7"/>
    <w:rsid w:val="000C6F5C"/>
    <w:rsid w:val="000C704E"/>
    <w:rsid w:val="000C709F"/>
    <w:rsid w:val="000C7675"/>
    <w:rsid w:val="000C777C"/>
    <w:rsid w:val="000C77BF"/>
    <w:rsid w:val="000C78D8"/>
    <w:rsid w:val="000C793B"/>
    <w:rsid w:val="000C79ED"/>
    <w:rsid w:val="000C7B2F"/>
    <w:rsid w:val="000C7B7B"/>
    <w:rsid w:val="000C7BDE"/>
    <w:rsid w:val="000C7C03"/>
    <w:rsid w:val="000C7D39"/>
    <w:rsid w:val="000C7DDE"/>
    <w:rsid w:val="000C7EA1"/>
    <w:rsid w:val="000C7EC0"/>
    <w:rsid w:val="000C7F98"/>
    <w:rsid w:val="000D001F"/>
    <w:rsid w:val="000D006E"/>
    <w:rsid w:val="000D0129"/>
    <w:rsid w:val="000D016E"/>
    <w:rsid w:val="000D05EA"/>
    <w:rsid w:val="000D0661"/>
    <w:rsid w:val="000D0690"/>
    <w:rsid w:val="000D0768"/>
    <w:rsid w:val="000D07D6"/>
    <w:rsid w:val="000D0898"/>
    <w:rsid w:val="000D0A16"/>
    <w:rsid w:val="000D0AE6"/>
    <w:rsid w:val="000D0BCF"/>
    <w:rsid w:val="000D0C34"/>
    <w:rsid w:val="000D0DC0"/>
    <w:rsid w:val="000D0EAE"/>
    <w:rsid w:val="000D0F01"/>
    <w:rsid w:val="000D1090"/>
    <w:rsid w:val="000D10E5"/>
    <w:rsid w:val="000D125E"/>
    <w:rsid w:val="000D12B2"/>
    <w:rsid w:val="000D1397"/>
    <w:rsid w:val="000D1581"/>
    <w:rsid w:val="000D1657"/>
    <w:rsid w:val="000D1702"/>
    <w:rsid w:val="000D171C"/>
    <w:rsid w:val="000D1813"/>
    <w:rsid w:val="000D1899"/>
    <w:rsid w:val="000D192B"/>
    <w:rsid w:val="000D19B2"/>
    <w:rsid w:val="000D1A5E"/>
    <w:rsid w:val="000D1AF8"/>
    <w:rsid w:val="000D1CC1"/>
    <w:rsid w:val="000D1CFE"/>
    <w:rsid w:val="000D1D9B"/>
    <w:rsid w:val="000D1EE3"/>
    <w:rsid w:val="000D1F79"/>
    <w:rsid w:val="000D1FD1"/>
    <w:rsid w:val="000D1FE9"/>
    <w:rsid w:val="000D20DB"/>
    <w:rsid w:val="000D2101"/>
    <w:rsid w:val="000D2147"/>
    <w:rsid w:val="000D23D4"/>
    <w:rsid w:val="000D24E0"/>
    <w:rsid w:val="000D2545"/>
    <w:rsid w:val="000D2666"/>
    <w:rsid w:val="000D26DF"/>
    <w:rsid w:val="000D2834"/>
    <w:rsid w:val="000D2B4E"/>
    <w:rsid w:val="000D2BEE"/>
    <w:rsid w:val="000D2C08"/>
    <w:rsid w:val="000D2C2D"/>
    <w:rsid w:val="000D2C6D"/>
    <w:rsid w:val="000D2D7E"/>
    <w:rsid w:val="000D2E24"/>
    <w:rsid w:val="000D2E39"/>
    <w:rsid w:val="000D2E61"/>
    <w:rsid w:val="000D2FCD"/>
    <w:rsid w:val="000D30EC"/>
    <w:rsid w:val="000D316F"/>
    <w:rsid w:val="000D337B"/>
    <w:rsid w:val="000D3388"/>
    <w:rsid w:val="000D33C8"/>
    <w:rsid w:val="000D354B"/>
    <w:rsid w:val="000D35A6"/>
    <w:rsid w:val="000D3737"/>
    <w:rsid w:val="000D3886"/>
    <w:rsid w:val="000D3ACA"/>
    <w:rsid w:val="000D3C94"/>
    <w:rsid w:val="000D3D2A"/>
    <w:rsid w:val="000D3DC9"/>
    <w:rsid w:val="000D3E56"/>
    <w:rsid w:val="000D3E66"/>
    <w:rsid w:val="000D3F1E"/>
    <w:rsid w:val="000D3FB4"/>
    <w:rsid w:val="000D3FD8"/>
    <w:rsid w:val="000D404F"/>
    <w:rsid w:val="000D40DD"/>
    <w:rsid w:val="000D4119"/>
    <w:rsid w:val="000D434C"/>
    <w:rsid w:val="000D4445"/>
    <w:rsid w:val="000D44F9"/>
    <w:rsid w:val="000D46DD"/>
    <w:rsid w:val="000D4831"/>
    <w:rsid w:val="000D4A5F"/>
    <w:rsid w:val="000D4BF3"/>
    <w:rsid w:val="000D4D37"/>
    <w:rsid w:val="000D4D3B"/>
    <w:rsid w:val="000D4DF1"/>
    <w:rsid w:val="000D4ED4"/>
    <w:rsid w:val="000D4F18"/>
    <w:rsid w:val="000D5058"/>
    <w:rsid w:val="000D50FD"/>
    <w:rsid w:val="000D5133"/>
    <w:rsid w:val="000D5198"/>
    <w:rsid w:val="000D51AE"/>
    <w:rsid w:val="000D5311"/>
    <w:rsid w:val="000D53DC"/>
    <w:rsid w:val="000D5447"/>
    <w:rsid w:val="000D5495"/>
    <w:rsid w:val="000D55E6"/>
    <w:rsid w:val="000D5604"/>
    <w:rsid w:val="000D568A"/>
    <w:rsid w:val="000D5789"/>
    <w:rsid w:val="000D57A4"/>
    <w:rsid w:val="000D5802"/>
    <w:rsid w:val="000D5857"/>
    <w:rsid w:val="000D588B"/>
    <w:rsid w:val="000D5895"/>
    <w:rsid w:val="000D59B4"/>
    <w:rsid w:val="000D5A4A"/>
    <w:rsid w:val="000D5BB9"/>
    <w:rsid w:val="000D5CF6"/>
    <w:rsid w:val="000D5F1B"/>
    <w:rsid w:val="000D602C"/>
    <w:rsid w:val="000D6066"/>
    <w:rsid w:val="000D6136"/>
    <w:rsid w:val="000D61CC"/>
    <w:rsid w:val="000D667B"/>
    <w:rsid w:val="000D673D"/>
    <w:rsid w:val="000D67DB"/>
    <w:rsid w:val="000D6800"/>
    <w:rsid w:val="000D685C"/>
    <w:rsid w:val="000D6993"/>
    <w:rsid w:val="000D6A02"/>
    <w:rsid w:val="000D6A50"/>
    <w:rsid w:val="000D6A7C"/>
    <w:rsid w:val="000D6C11"/>
    <w:rsid w:val="000D6CC3"/>
    <w:rsid w:val="000D6D4F"/>
    <w:rsid w:val="000D6F5D"/>
    <w:rsid w:val="000D6FC7"/>
    <w:rsid w:val="000D6FF0"/>
    <w:rsid w:val="000D7001"/>
    <w:rsid w:val="000D712D"/>
    <w:rsid w:val="000D7387"/>
    <w:rsid w:val="000D756C"/>
    <w:rsid w:val="000D758E"/>
    <w:rsid w:val="000D7890"/>
    <w:rsid w:val="000D7945"/>
    <w:rsid w:val="000D7A38"/>
    <w:rsid w:val="000D7B38"/>
    <w:rsid w:val="000D7BC2"/>
    <w:rsid w:val="000D7D12"/>
    <w:rsid w:val="000D7D15"/>
    <w:rsid w:val="000D7D6B"/>
    <w:rsid w:val="000D7E8F"/>
    <w:rsid w:val="000D7FD0"/>
    <w:rsid w:val="000E0088"/>
    <w:rsid w:val="000E00E5"/>
    <w:rsid w:val="000E019A"/>
    <w:rsid w:val="000E03B3"/>
    <w:rsid w:val="000E0463"/>
    <w:rsid w:val="000E04B0"/>
    <w:rsid w:val="000E0504"/>
    <w:rsid w:val="000E0583"/>
    <w:rsid w:val="000E05BB"/>
    <w:rsid w:val="000E065F"/>
    <w:rsid w:val="000E0679"/>
    <w:rsid w:val="000E091E"/>
    <w:rsid w:val="000E09FD"/>
    <w:rsid w:val="000E0C1D"/>
    <w:rsid w:val="000E0C5A"/>
    <w:rsid w:val="000E0CA9"/>
    <w:rsid w:val="000E0D07"/>
    <w:rsid w:val="000E0D0E"/>
    <w:rsid w:val="000E0E28"/>
    <w:rsid w:val="000E106D"/>
    <w:rsid w:val="000E1103"/>
    <w:rsid w:val="000E1221"/>
    <w:rsid w:val="000E1275"/>
    <w:rsid w:val="000E129B"/>
    <w:rsid w:val="000E135D"/>
    <w:rsid w:val="000E13B1"/>
    <w:rsid w:val="000E1474"/>
    <w:rsid w:val="000E14BB"/>
    <w:rsid w:val="000E15F6"/>
    <w:rsid w:val="000E1717"/>
    <w:rsid w:val="000E17C1"/>
    <w:rsid w:val="000E186B"/>
    <w:rsid w:val="000E187A"/>
    <w:rsid w:val="000E18C5"/>
    <w:rsid w:val="000E19DF"/>
    <w:rsid w:val="000E19F4"/>
    <w:rsid w:val="000E1BEE"/>
    <w:rsid w:val="000E1C8F"/>
    <w:rsid w:val="000E1CF0"/>
    <w:rsid w:val="000E1D66"/>
    <w:rsid w:val="000E1D82"/>
    <w:rsid w:val="000E1D89"/>
    <w:rsid w:val="000E1DE7"/>
    <w:rsid w:val="000E1F6F"/>
    <w:rsid w:val="000E1FC0"/>
    <w:rsid w:val="000E1FE8"/>
    <w:rsid w:val="000E2023"/>
    <w:rsid w:val="000E211E"/>
    <w:rsid w:val="000E21BD"/>
    <w:rsid w:val="000E2226"/>
    <w:rsid w:val="000E247F"/>
    <w:rsid w:val="000E24EA"/>
    <w:rsid w:val="000E2619"/>
    <w:rsid w:val="000E27C1"/>
    <w:rsid w:val="000E2976"/>
    <w:rsid w:val="000E29B7"/>
    <w:rsid w:val="000E2A05"/>
    <w:rsid w:val="000E2A3E"/>
    <w:rsid w:val="000E2A9C"/>
    <w:rsid w:val="000E2BD1"/>
    <w:rsid w:val="000E2C31"/>
    <w:rsid w:val="000E2CA0"/>
    <w:rsid w:val="000E3052"/>
    <w:rsid w:val="000E3317"/>
    <w:rsid w:val="000E340D"/>
    <w:rsid w:val="000E3417"/>
    <w:rsid w:val="000E34AF"/>
    <w:rsid w:val="000E34F7"/>
    <w:rsid w:val="000E3763"/>
    <w:rsid w:val="000E385F"/>
    <w:rsid w:val="000E3BD1"/>
    <w:rsid w:val="000E3C89"/>
    <w:rsid w:val="000E3D48"/>
    <w:rsid w:val="000E3EB8"/>
    <w:rsid w:val="000E3F17"/>
    <w:rsid w:val="000E3FC0"/>
    <w:rsid w:val="000E3FC5"/>
    <w:rsid w:val="000E3FCE"/>
    <w:rsid w:val="000E400C"/>
    <w:rsid w:val="000E420D"/>
    <w:rsid w:val="000E4260"/>
    <w:rsid w:val="000E43C8"/>
    <w:rsid w:val="000E43F9"/>
    <w:rsid w:val="000E441A"/>
    <w:rsid w:val="000E447F"/>
    <w:rsid w:val="000E44AA"/>
    <w:rsid w:val="000E4580"/>
    <w:rsid w:val="000E45C2"/>
    <w:rsid w:val="000E4685"/>
    <w:rsid w:val="000E46B1"/>
    <w:rsid w:val="000E46D6"/>
    <w:rsid w:val="000E47B1"/>
    <w:rsid w:val="000E47DC"/>
    <w:rsid w:val="000E4931"/>
    <w:rsid w:val="000E4A02"/>
    <w:rsid w:val="000E4B2D"/>
    <w:rsid w:val="000E4B71"/>
    <w:rsid w:val="000E4D31"/>
    <w:rsid w:val="000E4D97"/>
    <w:rsid w:val="000E4EF2"/>
    <w:rsid w:val="000E50B6"/>
    <w:rsid w:val="000E5179"/>
    <w:rsid w:val="000E5232"/>
    <w:rsid w:val="000E52AE"/>
    <w:rsid w:val="000E52B0"/>
    <w:rsid w:val="000E53C3"/>
    <w:rsid w:val="000E540A"/>
    <w:rsid w:val="000E54F5"/>
    <w:rsid w:val="000E5591"/>
    <w:rsid w:val="000E5792"/>
    <w:rsid w:val="000E58E5"/>
    <w:rsid w:val="000E58F6"/>
    <w:rsid w:val="000E5C42"/>
    <w:rsid w:val="000E5CAD"/>
    <w:rsid w:val="000E5DC5"/>
    <w:rsid w:val="000E5E3D"/>
    <w:rsid w:val="000E5EC9"/>
    <w:rsid w:val="000E5FB3"/>
    <w:rsid w:val="000E6030"/>
    <w:rsid w:val="000E6193"/>
    <w:rsid w:val="000E6226"/>
    <w:rsid w:val="000E625E"/>
    <w:rsid w:val="000E6265"/>
    <w:rsid w:val="000E62DF"/>
    <w:rsid w:val="000E63B1"/>
    <w:rsid w:val="000E63B2"/>
    <w:rsid w:val="000E63B4"/>
    <w:rsid w:val="000E6608"/>
    <w:rsid w:val="000E67F4"/>
    <w:rsid w:val="000E691A"/>
    <w:rsid w:val="000E6A6A"/>
    <w:rsid w:val="000E6A8B"/>
    <w:rsid w:val="000E6AC8"/>
    <w:rsid w:val="000E6C16"/>
    <w:rsid w:val="000E6C91"/>
    <w:rsid w:val="000E6D56"/>
    <w:rsid w:val="000E6DD8"/>
    <w:rsid w:val="000E6F69"/>
    <w:rsid w:val="000E6F84"/>
    <w:rsid w:val="000E700B"/>
    <w:rsid w:val="000E71C6"/>
    <w:rsid w:val="000E7226"/>
    <w:rsid w:val="000E74BF"/>
    <w:rsid w:val="000E74DF"/>
    <w:rsid w:val="000E7505"/>
    <w:rsid w:val="000E763C"/>
    <w:rsid w:val="000E7644"/>
    <w:rsid w:val="000E7658"/>
    <w:rsid w:val="000E7669"/>
    <w:rsid w:val="000E768D"/>
    <w:rsid w:val="000E78A8"/>
    <w:rsid w:val="000E78BD"/>
    <w:rsid w:val="000E7A53"/>
    <w:rsid w:val="000E7A89"/>
    <w:rsid w:val="000E7AC2"/>
    <w:rsid w:val="000E7B26"/>
    <w:rsid w:val="000E7C50"/>
    <w:rsid w:val="000E7CC6"/>
    <w:rsid w:val="000E7E40"/>
    <w:rsid w:val="000E7FBD"/>
    <w:rsid w:val="000E7FE8"/>
    <w:rsid w:val="000F0066"/>
    <w:rsid w:val="000F0162"/>
    <w:rsid w:val="000F017C"/>
    <w:rsid w:val="000F0462"/>
    <w:rsid w:val="000F06EC"/>
    <w:rsid w:val="000F0711"/>
    <w:rsid w:val="000F074F"/>
    <w:rsid w:val="000F0763"/>
    <w:rsid w:val="000F07D4"/>
    <w:rsid w:val="000F0888"/>
    <w:rsid w:val="000F08D9"/>
    <w:rsid w:val="000F094A"/>
    <w:rsid w:val="000F0979"/>
    <w:rsid w:val="000F0994"/>
    <w:rsid w:val="000F0B93"/>
    <w:rsid w:val="000F0BFB"/>
    <w:rsid w:val="000F0C79"/>
    <w:rsid w:val="000F0D07"/>
    <w:rsid w:val="000F0D24"/>
    <w:rsid w:val="000F0D31"/>
    <w:rsid w:val="000F0F7F"/>
    <w:rsid w:val="000F1132"/>
    <w:rsid w:val="000F11EB"/>
    <w:rsid w:val="000F147B"/>
    <w:rsid w:val="000F1484"/>
    <w:rsid w:val="000F14B8"/>
    <w:rsid w:val="000F156D"/>
    <w:rsid w:val="000F15AF"/>
    <w:rsid w:val="000F1760"/>
    <w:rsid w:val="000F1765"/>
    <w:rsid w:val="000F179F"/>
    <w:rsid w:val="000F1811"/>
    <w:rsid w:val="000F18C6"/>
    <w:rsid w:val="000F1932"/>
    <w:rsid w:val="000F1942"/>
    <w:rsid w:val="000F1A37"/>
    <w:rsid w:val="000F1B4B"/>
    <w:rsid w:val="000F1B52"/>
    <w:rsid w:val="000F1D4C"/>
    <w:rsid w:val="000F1D8C"/>
    <w:rsid w:val="000F1E40"/>
    <w:rsid w:val="000F2004"/>
    <w:rsid w:val="000F2119"/>
    <w:rsid w:val="000F21DA"/>
    <w:rsid w:val="000F21EA"/>
    <w:rsid w:val="000F22B7"/>
    <w:rsid w:val="000F2392"/>
    <w:rsid w:val="000F23A5"/>
    <w:rsid w:val="000F242F"/>
    <w:rsid w:val="000F25C9"/>
    <w:rsid w:val="000F25F0"/>
    <w:rsid w:val="000F2613"/>
    <w:rsid w:val="000F2874"/>
    <w:rsid w:val="000F29D9"/>
    <w:rsid w:val="000F2A1E"/>
    <w:rsid w:val="000F2A33"/>
    <w:rsid w:val="000F2B54"/>
    <w:rsid w:val="000F2BEE"/>
    <w:rsid w:val="000F2E1C"/>
    <w:rsid w:val="000F2F09"/>
    <w:rsid w:val="000F3078"/>
    <w:rsid w:val="000F3089"/>
    <w:rsid w:val="000F3270"/>
    <w:rsid w:val="000F3304"/>
    <w:rsid w:val="000F3558"/>
    <w:rsid w:val="000F3565"/>
    <w:rsid w:val="000F36F9"/>
    <w:rsid w:val="000F3828"/>
    <w:rsid w:val="000F38AB"/>
    <w:rsid w:val="000F3B51"/>
    <w:rsid w:val="000F3C67"/>
    <w:rsid w:val="000F3DC2"/>
    <w:rsid w:val="000F3E80"/>
    <w:rsid w:val="000F3ECD"/>
    <w:rsid w:val="000F3EF2"/>
    <w:rsid w:val="000F3F36"/>
    <w:rsid w:val="000F3FD4"/>
    <w:rsid w:val="000F40FE"/>
    <w:rsid w:val="000F41E8"/>
    <w:rsid w:val="000F4213"/>
    <w:rsid w:val="000F43C0"/>
    <w:rsid w:val="000F49A2"/>
    <w:rsid w:val="000F4C52"/>
    <w:rsid w:val="000F4C89"/>
    <w:rsid w:val="000F4D26"/>
    <w:rsid w:val="000F501B"/>
    <w:rsid w:val="000F502E"/>
    <w:rsid w:val="000F5106"/>
    <w:rsid w:val="000F51A6"/>
    <w:rsid w:val="000F51B9"/>
    <w:rsid w:val="000F51ED"/>
    <w:rsid w:val="000F5287"/>
    <w:rsid w:val="000F5499"/>
    <w:rsid w:val="000F5511"/>
    <w:rsid w:val="000F557B"/>
    <w:rsid w:val="000F557D"/>
    <w:rsid w:val="000F57E2"/>
    <w:rsid w:val="000F5A39"/>
    <w:rsid w:val="000F5AB3"/>
    <w:rsid w:val="000F5B01"/>
    <w:rsid w:val="000F5B80"/>
    <w:rsid w:val="000F5C18"/>
    <w:rsid w:val="000F5D2D"/>
    <w:rsid w:val="000F5DDB"/>
    <w:rsid w:val="000F5E66"/>
    <w:rsid w:val="000F60DF"/>
    <w:rsid w:val="000F61E3"/>
    <w:rsid w:val="000F61F1"/>
    <w:rsid w:val="000F624E"/>
    <w:rsid w:val="000F6279"/>
    <w:rsid w:val="000F6312"/>
    <w:rsid w:val="000F63EF"/>
    <w:rsid w:val="000F64E3"/>
    <w:rsid w:val="000F64F3"/>
    <w:rsid w:val="000F6503"/>
    <w:rsid w:val="000F6594"/>
    <w:rsid w:val="000F65F6"/>
    <w:rsid w:val="000F6791"/>
    <w:rsid w:val="000F67E3"/>
    <w:rsid w:val="000F6813"/>
    <w:rsid w:val="000F6910"/>
    <w:rsid w:val="000F6B23"/>
    <w:rsid w:val="000F6B4A"/>
    <w:rsid w:val="000F6C1D"/>
    <w:rsid w:val="000F6C74"/>
    <w:rsid w:val="000F6CBD"/>
    <w:rsid w:val="000F6D72"/>
    <w:rsid w:val="000F6E81"/>
    <w:rsid w:val="000F6FE2"/>
    <w:rsid w:val="000F7281"/>
    <w:rsid w:val="000F734A"/>
    <w:rsid w:val="000F73B6"/>
    <w:rsid w:val="000F7403"/>
    <w:rsid w:val="000F742F"/>
    <w:rsid w:val="000F7445"/>
    <w:rsid w:val="000F777F"/>
    <w:rsid w:val="000F7886"/>
    <w:rsid w:val="000F794E"/>
    <w:rsid w:val="000F79D4"/>
    <w:rsid w:val="000F7B19"/>
    <w:rsid w:val="000F7C01"/>
    <w:rsid w:val="000F7CF3"/>
    <w:rsid w:val="000F7E5F"/>
    <w:rsid w:val="000F7EEC"/>
    <w:rsid w:val="0010000C"/>
    <w:rsid w:val="0010001B"/>
    <w:rsid w:val="00100135"/>
    <w:rsid w:val="0010015E"/>
    <w:rsid w:val="001001B0"/>
    <w:rsid w:val="00100269"/>
    <w:rsid w:val="00100344"/>
    <w:rsid w:val="001003AE"/>
    <w:rsid w:val="0010042B"/>
    <w:rsid w:val="001005B7"/>
    <w:rsid w:val="0010062C"/>
    <w:rsid w:val="001006AF"/>
    <w:rsid w:val="00100715"/>
    <w:rsid w:val="00100747"/>
    <w:rsid w:val="0010076C"/>
    <w:rsid w:val="001009A0"/>
    <w:rsid w:val="00100A85"/>
    <w:rsid w:val="00100A97"/>
    <w:rsid w:val="00100AAA"/>
    <w:rsid w:val="00100C22"/>
    <w:rsid w:val="00100C50"/>
    <w:rsid w:val="00100C9C"/>
    <w:rsid w:val="00100CCF"/>
    <w:rsid w:val="00100CE0"/>
    <w:rsid w:val="00100DD7"/>
    <w:rsid w:val="00100E31"/>
    <w:rsid w:val="00100EBF"/>
    <w:rsid w:val="00100EEC"/>
    <w:rsid w:val="00101007"/>
    <w:rsid w:val="0010116F"/>
    <w:rsid w:val="00101276"/>
    <w:rsid w:val="00101381"/>
    <w:rsid w:val="001014FE"/>
    <w:rsid w:val="0010167D"/>
    <w:rsid w:val="001018F3"/>
    <w:rsid w:val="00101994"/>
    <w:rsid w:val="001019AF"/>
    <w:rsid w:val="00101A88"/>
    <w:rsid w:val="00101CB7"/>
    <w:rsid w:val="00101DA4"/>
    <w:rsid w:val="00101E11"/>
    <w:rsid w:val="00101FFB"/>
    <w:rsid w:val="00102088"/>
    <w:rsid w:val="00102145"/>
    <w:rsid w:val="001021E7"/>
    <w:rsid w:val="0010225A"/>
    <w:rsid w:val="0010238C"/>
    <w:rsid w:val="00102434"/>
    <w:rsid w:val="00102618"/>
    <w:rsid w:val="0010264B"/>
    <w:rsid w:val="00102668"/>
    <w:rsid w:val="00102710"/>
    <w:rsid w:val="001027AC"/>
    <w:rsid w:val="001027DC"/>
    <w:rsid w:val="001027E4"/>
    <w:rsid w:val="0010298C"/>
    <w:rsid w:val="00102A7F"/>
    <w:rsid w:val="00102A94"/>
    <w:rsid w:val="00102AAE"/>
    <w:rsid w:val="00102BEB"/>
    <w:rsid w:val="00102CD2"/>
    <w:rsid w:val="00102D97"/>
    <w:rsid w:val="00102E14"/>
    <w:rsid w:val="00102E49"/>
    <w:rsid w:val="00102F67"/>
    <w:rsid w:val="00102F84"/>
    <w:rsid w:val="001030B8"/>
    <w:rsid w:val="00103143"/>
    <w:rsid w:val="00103162"/>
    <w:rsid w:val="001032DC"/>
    <w:rsid w:val="00103340"/>
    <w:rsid w:val="001034E7"/>
    <w:rsid w:val="00103507"/>
    <w:rsid w:val="00103564"/>
    <w:rsid w:val="001035A5"/>
    <w:rsid w:val="00103603"/>
    <w:rsid w:val="00103630"/>
    <w:rsid w:val="0010367D"/>
    <w:rsid w:val="0010370C"/>
    <w:rsid w:val="0010374F"/>
    <w:rsid w:val="0010386A"/>
    <w:rsid w:val="0010389F"/>
    <w:rsid w:val="00103943"/>
    <w:rsid w:val="00103A73"/>
    <w:rsid w:val="00103B2D"/>
    <w:rsid w:val="00103BE4"/>
    <w:rsid w:val="00103CCA"/>
    <w:rsid w:val="00103DBB"/>
    <w:rsid w:val="00103DC3"/>
    <w:rsid w:val="00103E35"/>
    <w:rsid w:val="00103F13"/>
    <w:rsid w:val="00103FBB"/>
    <w:rsid w:val="0010411E"/>
    <w:rsid w:val="00104121"/>
    <w:rsid w:val="00104159"/>
    <w:rsid w:val="00104242"/>
    <w:rsid w:val="00104256"/>
    <w:rsid w:val="001043BF"/>
    <w:rsid w:val="0010446C"/>
    <w:rsid w:val="00104493"/>
    <w:rsid w:val="00104544"/>
    <w:rsid w:val="001046AD"/>
    <w:rsid w:val="001047BC"/>
    <w:rsid w:val="001047CC"/>
    <w:rsid w:val="001047E0"/>
    <w:rsid w:val="00104824"/>
    <w:rsid w:val="0010493E"/>
    <w:rsid w:val="00104ABB"/>
    <w:rsid w:val="00104B06"/>
    <w:rsid w:val="00104BBD"/>
    <w:rsid w:val="00104CE8"/>
    <w:rsid w:val="00104DF8"/>
    <w:rsid w:val="00105077"/>
    <w:rsid w:val="00105082"/>
    <w:rsid w:val="001050D3"/>
    <w:rsid w:val="00105265"/>
    <w:rsid w:val="0010526F"/>
    <w:rsid w:val="001052E2"/>
    <w:rsid w:val="00105317"/>
    <w:rsid w:val="0010544A"/>
    <w:rsid w:val="00105505"/>
    <w:rsid w:val="00105547"/>
    <w:rsid w:val="001055A6"/>
    <w:rsid w:val="0010563C"/>
    <w:rsid w:val="001056D1"/>
    <w:rsid w:val="00105826"/>
    <w:rsid w:val="0010589A"/>
    <w:rsid w:val="00105936"/>
    <w:rsid w:val="00105A8B"/>
    <w:rsid w:val="00105C24"/>
    <w:rsid w:val="00105C58"/>
    <w:rsid w:val="00105E1B"/>
    <w:rsid w:val="00105EA7"/>
    <w:rsid w:val="00105EF2"/>
    <w:rsid w:val="00105F20"/>
    <w:rsid w:val="001061B7"/>
    <w:rsid w:val="001062BA"/>
    <w:rsid w:val="00106355"/>
    <w:rsid w:val="001063F3"/>
    <w:rsid w:val="0010646C"/>
    <w:rsid w:val="00106793"/>
    <w:rsid w:val="001067D6"/>
    <w:rsid w:val="00106948"/>
    <w:rsid w:val="00106A7A"/>
    <w:rsid w:val="00106AB9"/>
    <w:rsid w:val="00106B95"/>
    <w:rsid w:val="00106CCA"/>
    <w:rsid w:val="00106D10"/>
    <w:rsid w:val="00106D99"/>
    <w:rsid w:val="00106F35"/>
    <w:rsid w:val="00106F84"/>
    <w:rsid w:val="00107016"/>
    <w:rsid w:val="00107137"/>
    <w:rsid w:val="001071E1"/>
    <w:rsid w:val="0010726E"/>
    <w:rsid w:val="00107384"/>
    <w:rsid w:val="00107409"/>
    <w:rsid w:val="00107626"/>
    <w:rsid w:val="00107668"/>
    <w:rsid w:val="001076FB"/>
    <w:rsid w:val="001077E8"/>
    <w:rsid w:val="001078A5"/>
    <w:rsid w:val="001078D6"/>
    <w:rsid w:val="0010791C"/>
    <w:rsid w:val="00107A71"/>
    <w:rsid w:val="00107A98"/>
    <w:rsid w:val="00107ACC"/>
    <w:rsid w:val="00107B6D"/>
    <w:rsid w:val="00107C07"/>
    <w:rsid w:val="00107D7E"/>
    <w:rsid w:val="00107DD4"/>
    <w:rsid w:val="00107DF7"/>
    <w:rsid w:val="00107E47"/>
    <w:rsid w:val="00107EC6"/>
    <w:rsid w:val="00107ED8"/>
    <w:rsid w:val="00107EE4"/>
    <w:rsid w:val="00107F86"/>
    <w:rsid w:val="00107F92"/>
    <w:rsid w:val="00110136"/>
    <w:rsid w:val="00110141"/>
    <w:rsid w:val="0011017B"/>
    <w:rsid w:val="001101CA"/>
    <w:rsid w:val="001102CC"/>
    <w:rsid w:val="001102CE"/>
    <w:rsid w:val="00110434"/>
    <w:rsid w:val="00110721"/>
    <w:rsid w:val="001107AD"/>
    <w:rsid w:val="00110849"/>
    <w:rsid w:val="001108C8"/>
    <w:rsid w:val="001108E2"/>
    <w:rsid w:val="0011092A"/>
    <w:rsid w:val="00110ACC"/>
    <w:rsid w:val="00110B2D"/>
    <w:rsid w:val="00110B4A"/>
    <w:rsid w:val="00110C3D"/>
    <w:rsid w:val="00110C40"/>
    <w:rsid w:val="00110C9F"/>
    <w:rsid w:val="00110D18"/>
    <w:rsid w:val="00110D42"/>
    <w:rsid w:val="00110D8E"/>
    <w:rsid w:val="00110E55"/>
    <w:rsid w:val="00110E75"/>
    <w:rsid w:val="00110FC5"/>
    <w:rsid w:val="001110DA"/>
    <w:rsid w:val="001110F7"/>
    <w:rsid w:val="0011120E"/>
    <w:rsid w:val="00111224"/>
    <w:rsid w:val="0011129F"/>
    <w:rsid w:val="001112A6"/>
    <w:rsid w:val="00111361"/>
    <w:rsid w:val="001113F9"/>
    <w:rsid w:val="001115C4"/>
    <w:rsid w:val="0011169F"/>
    <w:rsid w:val="00111709"/>
    <w:rsid w:val="00111732"/>
    <w:rsid w:val="00111754"/>
    <w:rsid w:val="00111782"/>
    <w:rsid w:val="00111789"/>
    <w:rsid w:val="00111832"/>
    <w:rsid w:val="00111D47"/>
    <w:rsid w:val="00111E00"/>
    <w:rsid w:val="00111E74"/>
    <w:rsid w:val="00111EBA"/>
    <w:rsid w:val="00111ED1"/>
    <w:rsid w:val="001122BE"/>
    <w:rsid w:val="00112537"/>
    <w:rsid w:val="00112564"/>
    <w:rsid w:val="001125AC"/>
    <w:rsid w:val="0011269B"/>
    <w:rsid w:val="00112739"/>
    <w:rsid w:val="0011277A"/>
    <w:rsid w:val="0011287E"/>
    <w:rsid w:val="00112CDA"/>
    <w:rsid w:val="00112DCF"/>
    <w:rsid w:val="00112F80"/>
    <w:rsid w:val="00113086"/>
    <w:rsid w:val="001130DE"/>
    <w:rsid w:val="001131BA"/>
    <w:rsid w:val="001134AD"/>
    <w:rsid w:val="001135DD"/>
    <w:rsid w:val="00113646"/>
    <w:rsid w:val="0011378A"/>
    <w:rsid w:val="0011388B"/>
    <w:rsid w:val="001138CA"/>
    <w:rsid w:val="001138DE"/>
    <w:rsid w:val="0011390F"/>
    <w:rsid w:val="00113973"/>
    <w:rsid w:val="00113BD5"/>
    <w:rsid w:val="00113DD9"/>
    <w:rsid w:val="00113E6D"/>
    <w:rsid w:val="00113F29"/>
    <w:rsid w:val="00113F72"/>
    <w:rsid w:val="00113F88"/>
    <w:rsid w:val="001140F2"/>
    <w:rsid w:val="0011411C"/>
    <w:rsid w:val="00114145"/>
    <w:rsid w:val="0011419C"/>
    <w:rsid w:val="00114261"/>
    <w:rsid w:val="001143F4"/>
    <w:rsid w:val="0011441C"/>
    <w:rsid w:val="00114628"/>
    <w:rsid w:val="00114748"/>
    <w:rsid w:val="00114838"/>
    <w:rsid w:val="00114879"/>
    <w:rsid w:val="00114887"/>
    <w:rsid w:val="001148A6"/>
    <w:rsid w:val="001149BA"/>
    <w:rsid w:val="001149C4"/>
    <w:rsid w:val="001149CC"/>
    <w:rsid w:val="00114BE4"/>
    <w:rsid w:val="00114C28"/>
    <w:rsid w:val="00114D1F"/>
    <w:rsid w:val="00114F44"/>
    <w:rsid w:val="00114F73"/>
    <w:rsid w:val="00114FC0"/>
    <w:rsid w:val="00115201"/>
    <w:rsid w:val="0011520D"/>
    <w:rsid w:val="0011524E"/>
    <w:rsid w:val="001152E7"/>
    <w:rsid w:val="0011534C"/>
    <w:rsid w:val="00115353"/>
    <w:rsid w:val="001153B6"/>
    <w:rsid w:val="00115513"/>
    <w:rsid w:val="0011552E"/>
    <w:rsid w:val="001156CF"/>
    <w:rsid w:val="00115765"/>
    <w:rsid w:val="001157A5"/>
    <w:rsid w:val="00115805"/>
    <w:rsid w:val="0011580A"/>
    <w:rsid w:val="00115947"/>
    <w:rsid w:val="00115BA1"/>
    <w:rsid w:val="00115C61"/>
    <w:rsid w:val="00115FBE"/>
    <w:rsid w:val="00115FCB"/>
    <w:rsid w:val="00115FF8"/>
    <w:rsid w:val="0011625F"/>
    <w:rsid w:val="001163D9"/>
    <w:rsid w:val="00116494"/>
    <w:rsid w:val="00116570"/>
    <w:rsid w:val="001166DA"/>
    <w:rsid w:val="0011678B"/>
    <w:rsid w:val="001167CF"/>
    <w:rsid w:val="0011686E"/>
    <w:rsid w:val="0011692C"/>
    <w:rsid w:val="001169C5"/>
    <w:rsid w:val="00116B79"/>
    <w:rsid w:val="00116B90"/>
    <w:rsid w:val="00116D78"/>
    <w:rsid w:val="00116DEF"/>
    <w:rsid w:val="00116E8D"/>
    <w:rsid w:val="00116EC7"/>
    <w:rsid w:val="00117016"/>
    <w:rsid w:val="00117071"/>
    <w:rsid w:val="001170B9"/>
    <w:rsid w:val="001170FC"/>
    <w:rsid w:val="0011730F"/>
    <w:rsid w:val="0011739B"/>
    <w:rsid w:val="001173B3"/>
    <w:rsid w:val="001174C7"/>
    <w:rsid w:val="00117564"/>
    <w:rsid w:val="00117636"/>
    <w:rsid w:val="001176C5"/>
    <w:rsid w:val="00117711"/>
    <w:rsid w:val="00117725"/>
    <w:rsid w:val="0011774A"/>
    <w:rsid w:val="001177C2"/>
    <w:rsid w:val="00117914"/>
    <w:rsid w:val="00117954"/>
    <w:rsid w:val="0011797A"/>
    <w:rsid w:val="001179F2"/>
    <w:rsid w:val="00117A9A"/>
    <w:rsid w:val="00117B31"/>
    <w:rsid w:val="00117B9D"/>
    <w:rsid w:val="00117C7A"/>
    <w:rsid w:val="00117C9A"/>
    <w:rsid w:val="00117CB1"/>
    <w:rsid w:val="00117DEF"/>
    <w:rsid w:val="00117EE2"/>
    <w:rsid w:val="0012004D"/>
    <w:rsid w:val="00120090"/>
    <w:rsid w:val="001200C0"/>
    <w:rsid w:val="001202B3"/>
    <w:rsid w:val="001203C5"/>
    <w:rsid w:val="001204D9"/>
    <w:rsid w:val="00120548"/>
    <w:rsid w:val="001205A1"/>
    <w:rsid w:val="001205B9"/>
    <w:rsid w:val="0012060F"/>
    <w:rsid w:val="0012063E"/>
    <w:rsid w:val="0012071E"/>
    <w:rsid w:val="00120A13"/>
    <w:rsid w:val="00120BB3"/>
    <w:rsid w:val="00120BBA"/>
    <w:rsid w:val="00120C39"/>
    <w:rsid w:val="00120E6A"/>
    <w:rsid w:val="00120F8E"/>
    <w:rsid w:val="00120FD0"/>
    <w:rsid w:val="001210EA"/>
    <w:rsid w:val="001211C1"/>
    <w:rsid w:val="0012121B"/>
    <w:rsid w:val="00121245"/>
    <w:rsid w:val="001213F9"/>
    <w:rsid w:val="00121417"/>
    <w:rsid w:val="0012151B"/>
    <w:rsid w:val="0012179B"/>
    <w:rsid w:val="001217E2"/>
    <w:rsid w:val="001218AC"/>
    <w:rsid w:val="00121913"/>
    <w:rsid w:val="0012191E"/>
    <w:rsid w:val="001219B0"/>
    <w:rsid w:val="001219B1"/>
    <w:rsid w:val="00121A09"/>
    <w:rsid w:val="00121A38"/>
    <w:rsid w:val="00121A43"/>
    <w:rsid w:val="00121A50"/>
    <w:rsid w:val="00121BBC"/>
    <w:rsid w:val="00121E18"/>
    <w:rsid w:val="00121E64"/>
    <w:rsid w:val="00121F4A"/>
    <w:rsid w:val="00121F59"/>
    <w:rsid w:val="00121FE9"/>
    <w:rsid w:val="00121FEE"/>
    <w:rsid w:val="00122005"/>
    <w:rsid w:val="001221B2"/>
    <w:rsid w:val="001222B2"/>
    <w:rsid w:val="00122354"/>
    <w:rsid w:val="0012237D"/>
    <w:rsid w:val="00122553"/>
    <w:rsid w:val="001225F9"/>
    <w:rsid w:val="001226D4"/>
    <w:rsid w:val="00122851"/>
    <w:rsid w:val="00122933"/>
    <w:rsid w:val="00122998"/>
    <w:rsid w:val="001229A7"/>
    <w:rsid w:val="001229F9"/>
    <w:rsid w:val="00122A1A"/>
    <w:rsid w:val="00122A2A"/>
    <w:rsid w:val="00122A72"/>
    <w:rsid w:val="00122CE5"/>
    <w:rsid w:val="00122D99"/>
    <w:rsid w:val="00122E4B"/>
    <w:rsid w:val="00122E57"/>
    <w:rsid w:val="00122F0E"/>
    <w:rsid w:val="00122F1B"/>
    <w:rsid w:val="001230F2"/>
    <w:rsid w:val="00123144"/>
    <w:rsid w:val="0012324F"/>
    <w:rsid w:val="00123370"/>
    <w:rsid w:val="00123412"/>
    <w:rsid w:val="00123459"/>
    <w:rsid w:val="00123523"/>
    <w:rsid w:val="0012359E"/>
    <w:rsid w:val="00123602"/>
    <w:rsid w:val="00123621"/>
    <w:rsid w:val="001237E2"/>
    <w:rsid w:val="00123870"/>
    <w:rsid w:val="001239A9"/>
    <w:rsid w:val="001239E7"/>
    <w:rsid w:val="00123A07"/>
    <w:rsid w:val="00123AAB"/>
    <w:rsid w:val="00123B45"/>
    <w:rsid w:val="00123E3E"/>
    <w:rsid w:val="00123E88"/>
    <w:rsid w:val="00123EB9"/>
    <w:rsid w:val="00123EDA"/>
    <w:rsid w:val="00123F5E"/>
    <w:rsid w:val="0012400C"/>
    <w:rsid w:val="00124089"/>
    <w:rsid w:val="001242A4"/>
    <w:rsid w:val="001242F6"/>
    <w:rsid w:val="00124356"/>
    <w:rsid w:val="0012441E"/>
    <w:rsid w:val="001244F0"/>
    <w:rsid w:val="00124555"/>
    <w:rsid w:val="00124583"/>
    <w:rsid w:val="001245DA"/>
    <w:rsid w:val="0012460B"/>
    <w:rsid w:val="0012468B"/>
    <w:rsid w:val="00124698"/>
    <w:rsid w:val="001246A4"/>
    <w:rsid w:val="001249A1"/>
    <w:rsid w:val="00124AF4"/>
    <w:rsid w:val="00124BA3"/>
    <w:rsid w:val="00124CC4"/>
    <w:rsid w:val="00124D50"/>
    <w:rsid w:val="00124D76"/>
    <w:rsid w:val="00124E6B"/>
    <w:rsid w:val="00124EB2"/>
    <w:rsid w:val="00124EB3"/>
    <w:rsid w:val="00124EEC"/>
    <w:rsid w:val="00124F6F"/>
    <w:rsid w:val="00124FB9"/>
    <w:rsid w:val="00125080"/>
    <w:rsid w:val="00125129"/>
    <w:rsid w:val="001251F3"/>
    <w:rsid w:val="0012524C"/>
    <w:rsid w:val="0012556A"/>
    <w:rsid w:val="001256F3"/>
    <w:rsid w:val="001257C9"/>
    <w:rsid w:val="0012594B"/>
    <w:rsid w:val="00125A41"/>
    <w:rsid w:val="00125A5E"/>
    <w:rsid w:val="00125C6A"/>
    <w:rsid w:val="00125E47"/>
    <w:rsid w:val="00125E76"/>
    <w:rsid w:val="00125EDB"/>
    <w:rsid w:val="00125F59"/>
    <w:rsid w:val="00125F5C"/>
    <w:rsid w:val="0012605A"/>
    <w:rsid w:val="00126060"/>
    <w:rsid w:val="0012608F"/>
    <w:rsid w:val="00126212"/>
    <w:rsid w:val="00126241"/>
    <w:rsid w:val="00126318"/>
    <w:rsid w:val="001264EE"/>
    <w:rsid w:val="00126503"/>
    <w:rsid w:val="00126529"/>
    <w:rsid w:val="00126566"/>
    <w:rsid w:val="001265F6"/>
    <w:rsid w:val="0012665A"/>
    <w:rsid w:val="00126682"/>
    <w:rsid w:val="0012668D"/>
    <w:rsid w:val="0012676F"/>
    <w:rsid w:val="001267BD"/>
    <w:rsid w:val="001269EE"/>
    <w:rsid w:val="00126A17"/>
    <w:rsid w:val="00126B27"/>
    <w:rsid w:val="00126D3C"/>
    <w:rsid w:val="00127018"/>
    <w:rsid w:val="00127097"/>
    <w:rsid w:val="0012710E"/>
    <w:rsid w:val="001272D7"/>
    <w:rsid w:val="001272D8"/>
    <w:rsid w:val="0012732B"/>
    <w:rsid w:val="0012740F"/>
    <w:rsid w:val="0012745D"/>
    <w:rsid w:val="001275E7"/>
    <w:rsid w:val="0012763A"/>
    <w:rsid w:val="001276E4"/>
    <w:rsid w:val="0012771A"/>
    <w:rsid w:val="0012777F"/>
    <w:rsid w:val="001277DD"/>
    <w:rsid w:val="001277FF"/>
    <w:rsid w:val="00127986"/>
    <w:rsid w:val="00127A3C"/>
    <w:rsid w:val="00127B20"/>
    <w:rsid w:val="00127BD9"/>
    <w:rsid w:val="00127C68"/>
    <w:rsid w:val="00127E51"/>
    <w:rsid w:val="00127E99"/>
    <w:rsid w:val="00130099"/>
    <w:rsid w:val="001300C5"/>
    <w:rsid w:val="00130102"/>
    <w:rsid w:val="00130160"/>
    <w:rsid w:val="0013019C"/>
    <w:rsid w:val="001301E4"/>
    <w:rsid w:val="0013023A"/>
    <w:rsid w:val="001303F3"/>
    <w:rsid w:val="0013063A"/>
    <w:rsid w:val="0013067E"/>
    <w:rsid w:val="001306CB"/>
    <w:rsid w:val="001306D4"/>
    <w:rsid w:val="001306F3"/>
    <w:rsid w:val="0013086F"/>
    <w:rsid w:val="00130873"/>
    <w:rsid w:val="00130930"/>
    <w:rsid w:val="00130954"/>
    <w:rsid w:val="00130967"/>
    <w:rsid w:val="0013098A"/>
    <w:rsid w:val="001309F7"/>
    <w:rsid w:val="00130A44"/>
    <w:rsid w:val="00130A6C"/>
    <w:rsid w:val="00130A7E"/>
    <w:rsid w:val="00130A91"/>
    <w:rsid w:val="00130AEE"/>
    <w:rsid w:val="00130B4C"/>
    <w:rsid w:val="00130E19"/>
    <w:rsid w:val="00130E51"/>
    <w:rsid w:val="00130E99"/>
    <w:rsid w:val="00130F35"/>
    <w:rsid w:val="00130FA6"/>
    <w:rsid w:val="00130FE3"/>
    <w:rsid w:val="00130FFC"/>
    <w:rsid w:val="00131090"/>
    <w:rsid w:val="001310AE"/>
    <w:rsid w:val="0013110C"/>
    <w:rsid w:val="0013111B"/>
    <w:rsid w:val="0013122C"/>
    <w:rsid w:val="001312C5"/>
    <w:rsid w:val="001314C2"/>
    <w:rsid w:val="00131519"/>
    <w:rsid w:val="00131560"/>
    <w:rsid w:val="00131575"/>
    <w:rsid w:val="00131649"/>
    <w:rsid w:val="001316FF"/>
    <w:rsid w:val="0013171A"/>
    <w:rsid w:val="0013171D"/>
    <w:rsid w:val="001317CD"/>
    <w:rsid w:val="001317EC"/>
    <w:rsid w:val="0013189C"/>
    <w:rsid w:val="001318CD"/>
    <w:rsid w:val="0013190B"/>
    <w:rsid w:val="00131934"/>
    <w:rsid w:val="001319A9"/>
    <w:rsid w:val="001319C0"/>
    <w:rsid w:val="00131AE8"/>
    <w:rsid w:val="00131BA6"/>
    <w:rsid w:val="00131BC5"/>
    <w:rsid w:val="00131C4C"/>
    <w:rsid w:val="00131C68"/>
    <w:rsid w:val="00131C8A"/>
    <w:rsid w:val="00131F8D"/>
    <w:rsid w:val="00132051"/>
    <w:rsid w:val="0013208E"/>
    <w:rsid w:val="001320ED"/>
    <w:rsid w:val="00132396"/>
    <w:rsid w:val="001323A0"/>
    <w:rsid w:val="001323FC"/>
    <w:rsid w:val="0013244B"/>
    <w:rsid w:val="0013249F"/>
    <w:rsid w:val="0013276B"/>
    <w:rsid w:val="0013278E"/>
    <w:rsid w:val="00132B97"/>
    <w:rsid w:val="00132C36"/>
    <w:rsid w:val="00132E09"/>
    <w:rsid w:val="00132E77"/>
    <w:rsid w:val="00132E8F"/>
    <w:rsid w:val="00133143"/>
    <w:rsid w:val="00133274"/>
    <w:rsid w:val="001332E0"/>
    <w:rsid w:val="00133344"/>
    <w:rsid w:val="00133394"/>
    <w:rsid w:val="001333EA"/>
    <w:rsid w:val="0013353B"/>
    <w:rsid w:val="001335A9"/>
    <w:rsid w:val="001336D4"/>
    <w:rsid w:val="001336E4"/>
    <w:rsid w:val="00133835"/>
    <w:rsid w:val="00133880"/>
    <w:rsid w:val="001338F2"/>
    <w:rsid w:val="001339E8"/>
    <w:rsid w:val="00133A2A"/>
    <w:rsid w:val="00133C43"/>
    <w:rsid w:val="00133D13"/>
    <w:rsid w:val="00133D5F"/>
    <w:rsid w:val="00133F68"/>
    <w:rsid w:val="00134001"/>
    <w:rsid w:val="00134098"/>
    <w:rsid w:val="001340A9"/>
    <w:rsid w:val="00134185"/>
    <w:rsid w:val="001343C7"/>
    <w:rsid w:val="00134422"/>
    <w:rsid w:val="0013450F"/>
    <w:rsid w:val="0013465F"/>
    <w:rsid w:val="001346A6"/>
    <w:rsid w:val="00134708"/>
    <w:rsid w:val="00134824"/>
    <w:rsid w:val="00134838"/>
    <w:rsid w:val="00134B0C"/>
    <w:rsid w:val="00134B97"/>
    <w:rsid w:val="00134B99"/>
    <w:rsid w:val="00134C09"/>
    <w:rsid w:val="00134C4A"/>
    <w:rsid w:val="00134CAA"/>
    <w:rsid w:val="00134CB1"/>
    <w:rsid w:val="00134D83"/>
    <w:rsid w:val="00134DC0"/>
    <w:rsid w:val="00134E1D"/>
    <w:rsid w:val="00134F19"/>
    <w:rsid w:val="00134F2A"/>
    <w:rsid w:val="00134F81"/>
    <w:rsid w:val="00135102"/>
    <w:rsid w:val="001351D8"/>
    <w:rsid w:val="00135268"/>
    <w:rsid w:val="00135371"/>
    <w:rsid w:val="0013549A"/>
    <w:rsid w:val="0013549D"/>
    <w:rsid w:val="00135707"/>
    <w:rsid w:val="0013573E"/>
    <w:rsid w:val="00135B92"/>
    <w:rsid w:val="00135C74"/>
    <w:rsid w:val="00135D39"/>
    <w:rsid w:val="00135D87"/>
    <w:rsid w:val="00135ECB"/>
    <w:rsid w:val="00135F32"/>
    <w:rsid w:val="00135FC6"/>
    <w:rsid w:val="00136246"/>
    <w:rsid w:val="001362D1"/>
    <w:rsid w:val="001363AE"/>
    <w:rsid w:val="001363FB"/>
    <w:rsid w:val="00136416"/>
    <w:rsid w:val="0013645F"/>
    <w:rsid w:val="001364DD"/>
    <w:rsid w:val="00136670"/>
    <w:rsid w:val="00136785"/>
    <w:rsid w:val="00136907"/>
    <w:rsid w:val="0013690B"/>
    <w:rsid w:val="001369C7"/>
    <w:rsid w:val="00136A6B"/>
    <w:rsid w:val="00136CE3"/>
    <w:rsid w:val="00136D00"/>
    <w:rsid w:val="00136D37"/>
    <w:rsid w:val="00136D62"/>
    <w:rsid w:val="00136DD3"/>
    <w:rsid w:val="00136DDB"/>
    <w:rsid w:val="00136F9F"/>
    <w:rsid w:val="00137028"/>
    <w:rsid w:val="00137154"/>
    <w:rsid w:val="00137220"/>
    <w:rsid w:val="0013737E"/>
    <w:rsid w:val="00137506"/>
    <w:rsid w:val="00137593"/>
    <w:rsid w:val="001376F3"/>
    <w:rsid w:val="00137714"/>
    <w:rsid w:val="00137777"/>
    <w:rsid w:val="00137813"/>
    <w:rsid w:val="0013790D"/>
    <w:rsid w:val="001379C7"/>
    <w:rsid w:val="00137B67"/>
    <w:rsid w:val="00137BCA"/>
    <w:rsid w:val="00137DF8"/>
    <w:rsid w:val="00137E2E"/>
    <w:rsid w:val="00137EF9"/>
    <w:rsid w:val="00137FFD"/>
    <w:rsid w:val="0014024B"/>
    <w:rsid w:val="00140287"/>
    <w:rsid w:val="001402CF"/>
    <w:rsid w:val="00140329"/>
    <w:rsid w:val="001403B3"/>
    <w:rsid w:val="001403D0"/>
    <w:rsid w:val="001403D7"/>
    <w:rsid w:val="001403FB"/>
    <w:rsid w:val="00140560"/>
    <w:rsid w:val="0014067A"/>
    <w:rsid w:val="0014070D"/>
    <w:rsid w:val="00140747"/>
    <w:rsid w:val="00140762"/>
    <w:rsid w:val="001408FB"/>
    <w:rsid w:val="0014097F"/>
    <w:rsid w:val="00140A3E"/>
    <w:rsid w:val="00140B4D"/>
    <w:rsid w:val="00140C36"/>
    <w:rsid w:val="00140D77"/>
    <w:rsid w:val="00140E48"/>
    <w:rsid w:val="00140FE8"/>
    <w:rsid w:val="00141019"/>
    <w:rsid w:val="00141092"/>
    <w:rsid w:val="001411D2"/>
    <w:rsid w:val="0014131F"/>
    <w:rsid w:val="0014138A"/>
    <w:rsid w:val="00141502"/>
    <w:rsid w:val="00141571"/>
    <w:rsid w:val="00141699"/>
    <w:rsid w:val="001418EF"/>
    <w:rsid w:val="00141B05"/>
    <w:rsid w:val="00141B35"/>
    <w:rsid w:val="00141BBC"/>
    <w:rsid w:val="00141EA8"/>
    <w:rsid w:val="00141EC6"/>
    <w:rsid w:val="00141EF6"/>
    <w:rsid w:val="00141F74"/>
    <w:rsid w:val="00141FE8"/>
    <w:rsid w:val="00141FF0"/>
    <w:rsid w:val="001421A6"/>
    <w:rsid w:val="0014238C"/>
    <w:rsid w:val="001423C1"/>
    <w:rsid w:val="00142525"/>
    <w:rsid w:val="001425BA"/>
    <w:rsid w:val="001425D5"/>
    <w:rsid w:val="0014262C"/>
    <w:rsid w:val="0014266D"/>
    <w:rsid w:val="001427CE"/>
    <w:rsid w:val="0014284A"/>
    <w:rsid w:val="00142896"/>
    <w:rsid w:val="001428CA"/>
    <w:rsid w:val="00142929"/>
    <w:rsid w:val="00142D91"/>
    <w:rsid w:val="00142F60"/>
    <w:rsid w:val="0014311C"/>
    <w:rsid w:val="00143325"/>
    <w:rsid w:val="00143494"/>
    <w:rsid w:val="00143648"/>
    <w:rsid w:val="001436E3"/>
    <w:rsid w:val="00143738"/>
    <w:rsid w:val="0014375A"/>
    <w:rsid w:val="001439C0"/>
    <w:rsid w:val="001439F2"/>
    <w:rsid w:val="001439F4"/>
    <w:rsid w:val="00143A9E"/>
    <w:rsid w:val="00143ADC"/>
    <w:rsid w:val="00143C4B"/>
    <w:rsid w:val="00143C96"/>
    <w:rsid w:val="00143CEC"/>
    <w:rsid w:val="00143D1B"/>
    <w:rsid w:val="00143EA3"/>
    <w:rsid w:val="00143F04"/>
    <w:rsid w:val="00143F45"/>
    <w:rsid w:val="00143F61"/>
    <w:rsid w:val="00143F89"/>
    <w:rsid w:val="00143F91"/>
    <w:rsid w:val="00144130"/>
    <w:rsid w:val="00144193"/>
    <w:rsid w:val="00144397"/>
    <w:rsid w:val="0014452D"/>
    <w:rsid w:val="0014456E"/>
    <w:rsid w:val="001445D9"/>
    <w:rsid w:val="00144797"/>
    <w:rsid w:val="001447C4"/>
    <w:rsid w:val="00144816"/>
    <w:rsid w:val="0014490A"/>
    <w:rsid w:val="00144930"/>
    <w:rsid w:val="00144A85"/>
    <w:rsid w:val="00144BBD"/>
    <w:rsid w:val="00144BFD"/>
    <w:rsid w:val="00144BFF"/>
    <w:rsid w:val="00144C5C"/>
    <w:rsid w:val="00144D32"/>
    <w:rsid w:val="00144D58"/>
    <w:rsid w:val="00144D92"/>
    <w:rsid w:val="00144DD0"/>
    <w:rsid w:val="00144EDB"/>
    <w:rsid w:val="0014509B"/>
    <w:rsid w:val="001450D6"/>
    <w:rsid w:val="0014510D"/>
    <w:rsid w:val="0014524D"/>
    <w:rsid w:val="00145350"/>
    <w:rsid w:val="00145386"/>
    <w:rsid w:val="00145415"/>
    <w:rsid w:val="0014543C"/>
    <w:rsid w:val="00145495"/>
    <w:rsid w:val="00145510"/>
    <w:rsid w:val="00145514"/>
    <w:rsid w:val="00145529"/>
    <w:rsid w:val="00145594"/>
    <w:rsid w:val="001455B9"/>
    <w:rsid w:val="001456D4"/>
    <w:rsid w:val="001456E3"/>
    <w:rsid w:val="00145712"/>
    <w:rsid w:val="001457BC"/>
    <w:rsid w:val="0014597C"/>
    <w:rsid w:val="00145984"/>
    <w:rsid w:val="00145A63"/>
    <w:rsid w:val="00145B63"/>
    <w:rsid w:val="00145BD8"/>
    <w:rsid w:val="00145D93"/>
    <w:rsid w:val="00145DA4"/>
    <w:rsid w:val="00145DE1"/>
    <w:rsid w:val="00145E81"/>
    <w:rsid w:val="001460A8"/>
    <w:rsid w:val="0014611B"/>
    <w:rsid w:val="0014616B"/>
    <w:rsid w:val="00146315"/>
    <w:rsid w:val="00146339"/>
    <w:rsid w:val="00146373"/>
    <w:rsid w:val="001464D4"/>
    <w:rsid w:val="00146512"/>
    <w:rsid w:val="0014652D"/>
    <w:rsid w:val="001465BF"/>
    <w:rsid w:val="001465ED"/>
    <w:rsid w:val="001469F0"/>
    <w:rsid w:val="00146DE7"/>
    <w:rsid w:val="00146E0B"/>
    <w:rsid w:val="00146E77"/>
    <w:rsid w:val="00146F8F"/>
    <w:rsid w:val="0014702E"/>
    <w:rsid w:val="001470F5"/>
    <w:rsid w:val="0014711F"/>
    <w:rsid w:val="001471A7"/>
    <w:rsid w:val="00147264"/>
    <w:rsid w:val="00147270"/>
    <w:rsid w:val="001472B9"/>
    <w:rsid w:val="00147311"/>
    <w:rsid w:val="00147389"/>
    <w:rsid w:val="0014741B"/>
    <w:rsid w:val="00147464"/>
    <w:rsid w:val="00147557"/>
    <w:rsid w:val="00147760"/>
    <w:rsid w:val="00147769"/>
    <w:rsid w:val="0014787E"/>
    <w:rsid w:val="001478A7"/>
    <w:rsid w:val="00147A26"/>
    <w:rsid w:val="00147BA2"/>
    <w:rsid w:val="00147BED"/>
    <w:rsid w:val="00147BF2"/>
    <w:rsid w:val="00147C00"/>
    <w:rsid w:val="00147CD3"/>
    <w:rsid w:val="00147CFF"/>
    <w:rsid w:val="00150022"/>
    <w:rsid w:val="0015007C"/>
    <w:rsid w:val="0015014B"/>
    <w:rsid w:val="0015026C"/>
    <w:rsid w:val="0015027F"/>
    <w:rsid w:val="00150288"/>
    <w:rsid w:val="0015029B"/>
    <w:rsid w:val="0015038F"/>
    <w:rsid w:val="001503D5"/>
    <w:rsid w:val="00150456"/>
    <w:rsid w:val="001507D2"/>
    <w:rsid w:val="001508DC"/>
    <w:rsid w:val="001508E7"/>
    <w:rsid w:val="00150985"/>
    <w:rsid w:val="00150B5C"/>
    <w:rsid w:val="00150C14"/>
    <w:rsid w:val="00150EB5"/>
    <w:rsid w:val="00150EC3"/>
    <w:rsid w:val="00150F84"/>
    <w:rsid w:val="00151061"/>
    <w:rsid w:val="00151272"/>
    <w:rsid w:val="001515DA"/>
    <w:rsid w:val="00151679"/>
    <w:rsid w:val="00151AF0"/>
    <w:rsid w:val="00151AF9"/>
    <w:rsid w:val="00151B29"/>
    <w:rsid w:val="00151BC9"/>
    <w:rsid w:val="00151C0A"/>
    <w:rsid w:val="00151C89"/>
    <w:rsid w:val="00151DFA"/>
    <w:rsid w:val="00151F47"/>
    <w:rsid w:val="00151FCB"/>
    <w:rsid w:val="00151FD9"/>
    <w:rsid w:val="0015216E"/>
    <w:rsid w:val="00152279"/>
    <w:rsid w:val="0015228D"/>
    <w:rsid w:val="00152340"/>
    <w:rsid w:val="0015234C"/>
    <w:rsid w:val="00152378"/>
    <w:rsid w:val="001523D9"/>
    <w:rsid w:val="001525AC"/>
    <w:rsid w:val="00152705"/>
    <w:rsid w:val="00152755"/>
    <w:rsid w:val="001527E2"/>
    <w:rsid w:val="001527FC"/>
    <w:rsid w:val="00152824"/>
    <w:rsid w:val="00152AEE"/>
    <w:rsid w:val="00152AF3"/>
    <w:rsid w:val="00152AF4"/>
    <w:rsid w:val="00152AFE"/>
    <w:rsid w:val="00152B22"/>
    <w:rsid w:val="00152BC7"/>
    <w:rsid w:val="00152C65"/>
    <w:rsid w:val="00152D32"/>
    <w:rsid w:val="00152E16"/>
    <w:rsid w:val="00152E1A"/>
    <w:rsid w:val="00152F19"/>
    <w:rsid w:val="00152FA8"/>
    <w:rsid w:val="001530D1"/>
    <w:rsid w:val="001530DE"/>
    <w:rsid w:val="0015320A"/>
    <w:rsid w:val="001532E1"/>
    <w:rsid w:val="001533AB"/>
    <w:rsid w:val="001534B8"/>
    <w:rsid w:val="001535B5"/>
    <w:rsid w:val="00153706"/>
    <w:rsid w:val="00153769"/>
    <w:rsid w:val="00153793"/>
    <w:rsid w:val="00153801"/>
    <w:rsid w:val="001538FF"/>
    <w:rsid w:val="001539B1"/>
    <w:rsid w:val="00153A2B"/>
    <w:rsid w:val="00153A74"/>
    <w:rsid w:val="00153BAC"/>
    <w:rsid w:val="00153C3A"/>
    <w:rsid w:val="00153C6A"/>
    <w:rsid w:val="00153CB1"/>
    <w:rsid w:val="00153CC0"/>
    <w:rsid w:val="00153D17"/>
    <w:rsid w:val="00153D2C"/>
    <w:rsid w:val="00153ED5"/>
    <w:rsid w:val="0015403A"/>
    <w:rsid w:val="001540C1"/>
    <w:rsid w:val="001540FA"/>
    <w:rsid w:val="00154177"/>
    <w:rsid w:val="00154192"/>
    <w:rsid w:val="00154272"/>
    <w:rsid w:val="00154462"/>
    <w:rsid w:val="001545EF"/>
    <w:rsid w:val="00154623"/>
    <w:rsid w:val="00154867"/>
    <w:rsid w:val="0015486E"/>
    <w:rsid w:val="001549BD"/>
    <w:rsid w:val="00154B0E"/>
    <w:rsid w:val="00154BEA"/>
    <w:rsid w:val="00154C52"/>
    <w:rsid w:val="00154CE6"/>
    <w:rsid w:val="00154D57"/>
    <w:rsid w:val="00154D96"/>
    <w:rsid w:val="00154FC3"/>
    <w:rsid w:val="00155121"/>
    <w:rsid w:val="001551D1"/>
    <w:rsid w:val="00155230"/>
    <w:rsid w:val="00155384"/>
    <w:rsid w:val="001553BE"/>
    <w:rsid w:val="001553F1"/>
    <w:rsid w:val="00155533"/>
    <w:rsid w:val="00155549"/>
    <w:rsid w:val="001555CF"/>
    <w:rsid w:val="001558EB"/>
    <w:rsid w:val="0015595E"/>
    <w:rsid w:val="00155C0A"/>
    <w:rsid w:val="00155D17"/>
    <w:rsid w:val="00155E64"/>
    <w:rsid w:val="00155F02"/>
    <w:rsid w:val="00155FA6"/>
    <w:rsid w:val="001560EF"/>
    <w:rsid w:val="001561E0"/>
    <w:rsid w:val="001563AC"/>
    <w:rsid w:val="001563ED"/>
    <w:rsid w:val="0015651C"/>
    <w:rsid w:val="0015658D"/>
    <w:rsid w:val="001565EF"/>
    <w:rsid w:val="0015666F"/>
    <w:rsid w:val="0015668D"/>
    <w:rsid w:val="0015669A"/>
    <w:rsid w:val="00156890"/>
    <w:rsid w:val="00156AC2"/>
    <w:rsid w:val="00156BB3"/>
    <w:rsid w:val="00156C82"/>
    <w:rsid w:val="00156C90"/>
    <w:rsid w:val="00156D1A"/>
    <w:rsid w:val="00156D84"/>
    <w:rsid w:val="00156E9A"/>
    <w:rsid w:val="00156EEC"/>
    <w:rsid w:val="00156F38"/>
    <w:rsid w:val="00156FAB"/>
    <w:rsid w:val="00157027"/>
    <w:rsid w:val="00157031"/>
    <w:rsid w:val="00157137"/>
    <w:rsid w:val="001571D2"/>
    <w:rsid w:val="001571EF"/>
    <w:rsid w:val="00157352"/>
    <w:rsid w:val="001573F8"/>
    <w:rsid w:val="0015753B"/>
    <w:rsid w:val="001577F6"/>
    <w:rsid w:val="00157823"/>
    <w:rsid w:val="001578B6"/>
    <w:rsid w:val="00157962"/>
    <w:rsid w:val="00157B56"/>
    <w:rsid w:val="00157BFE"/>
    <w:rsid w:val="00157E8A"/>
    <w:rsid w:val="00157F66"/>
    <w:rsid w:val="001600DB"/>
    <w:rsid w:val="0016011F"/>
    <w:rsid w:val="001601DB"/>
    <w:rsid w:val="00160252"/>
    <w:rsid w:val="00160384"/>
    <w:rsid w:val="001603F8"/>
    <w:rsid w:val="00160412"/>
    <w:rsid w:val="00160415"/>
    <w:rsid w:val="0016070C"/>
    <w:rsid w:val="0016075B"/>
    <w:rsid w:val="0016081F"/>
    <w:rsid w:val="001608C7"/>
    <w:rsid w:val="00160996"/>
    <w:rsid w:val="001609CE"/>
    <w:rsid w:val="00160A2C"/>
    <w:rsid w:val="00160C77"/>
    <w:rsid w:val="00160D3F"/>
    <w:rsid w:val="00160D71"/>
    <w:rsid w:val="00160DAB"/>
    <w:rsid w:val="00160E6F"/>
    <w:rsid w:val="00160F7E"/>
    <w:rsid w:val="001610A7"/>
    <w:rsid w:val="00161107"/>
    <w:rsid w:val="00161299"/>
    <w:rsid w:val="001612B6"/>
    <w:rsid w:val="00161394"/>
    <w:rsid w:val="00161404"/>
    <w:rsid w:val="00161457"/>
    <w:rsid w:val="001614BC"/>
    <w:rsid w:val="00161505"/>
    <w:rsid w:val="0016160C"/>
    <w:rsid w:val="0016168B"/>
    <w:rsid w:val="00161780"/>
    <w:rsid w:val="001617A8"/>
    <w:rsid w:val="001617D1"/>
    <w:rsid w:val="001617E4"/>
    <w:rsid w:val="001618B8"/>
    <w:rsid w:val="0016198F"/>
    <w:rsid w:val="001619AF"/>
    <w:rsid w:val="00161A09"/>
    <w:rsid w:val="00161DD0"/>
    <w:rsid w:val="00161E49"/>
    <w:rsid w:val="00161E4A"/>
    <w:rsid w:val="00161EC6"/>
    <w:rsid w:val="00162026"/>
    <w:rsid w:val="0016208C"/>
    <w:rsid w:val="001622D3"/>
    <w:rsid w:val="001624B8"/>
    <w:rsid w:val="001624B9"/>
    <w:rsid w:val="00162561"/>
    <w:rsid w:val="00162567"/>
    <w:rsid w:val="00162621"/>
    <w:rsid w:val="001627DD"/>
    <w:rsid w:val="001627F1"/>
    <w:rsid w:val="00162850"/>
    <w:rsid w:val="00162B79"/>
    <w:rsid w:val="00162C47"/>
    <w:rsid w:val="00162C55"/>
    <w:rsid w:val="00162DB0"/>
    <w:rsid w:val="00162FAD"/>
    <w:rsid w:val="00163006"/>
    <w:rsid w:val="00163062"/>
    <w:rsid w:val="00163143"/>
    <w:rsid w:val="0016322A"/>
    <w:rsid w:val="00163510"/>
    <w:rsid w:val="00163611"/>
    <w:rsid w:val="00163622"/>
    <w:rsid w:val="00163632"/>
    <w:rsid w:val="001638BF"/>
    <w:rsid w:val="0016396D"/>
    <w:rsid w:val="001639A9"/>
    <w:rsid w:val="00163BC0"/>
    <w:rsid w:val="00163BE0"/>
    <w:rsid w:val="00163C93"/>
    <w:rsid w:val="00163CA1"/>
    <w:rsid w:val="00163D02"/>
    <w:rsid w:val="00163D53"/>
    <w:rsid w:val="00163E0B"/>
    <w:rsid w:val="00163E50"/>
    <w:rsid w:val="00163F03"/>
    <w:rsid w:val="001640FD"/>
    <w:rsid w:val="001641D9"/>
    <w:rsid w:val="0016420C"/>
    <w:rsid w:val="0016421B"/>
    <w:rsid w:val="00164264"/>
    <w:rsid w:val="001642E9"/>
    <w:rsid w:val="00164476"/>
    <w:rsid w:val="0016447F"/>
    <w:rsid w:val="0016458F"/>
    <w:rsid w:val="001645E8"/>
    <w:rsid w:val="0016465E"/>
    <w:rsid w:val="00164761"/>
    <w:rsid w:val="0016484B"/>
    <w:rsid w:val="001648D7"/>
    <w:rsid w:val="001648E3"/>
    <w:rsid w:val="0016496A"/>
    <w:rsid w:val="0016499F"/>
    <w:rsid w:val="00164B31"/>
    <w:rsid w:val="00164C7E"/>
    <w:rsid w:val="00164D30"/>
    <w:rsid w:val="00164F7B"/>
    <w:rsid w:val="00164F98"/>
    <w:rsid w:val="0016503D"/>
    <w:rsid w:val="00165099"/>
    <w:rsid w:val="0016509C"/>
    <w:rsid w:val="0016518D"/>
    <w:rsid w:val="001651C3"/>
    <w:rsid w:val="0016524E"/>
    <w:rsid w:val="001653A8"/>
    <w:rsid w:val="001653DB"/>
    <w:rsid w:val="001653FD"/>
    <w:rsid w:val="00165527"/>
    <w:rsid w:val="0016554C"/>
    <w:rsid w:val="001655BC"/>
    <w:rsid w:val="00165650"/>
    <w:rsid w:val="00165656"/>
    <w:rsid w:val="001658AB"/>
    <w:rsid w:val="001658BC"/>
    <w:rsid w:val="00165914"/>
    <w:rsid w:val="001659D4"/>
    <w:rsid w:val="00165A85"/>
    <w:rsid w:val="00165ACE"/>
    <w:rsid w:val="00165B05"/>
    <w:rsid w:val="00165B2E"/>
    <w:rsid w:val="00165C26"/>
    <w:rsid w:val="00165C36"/>
    <w:rsid w:val="00165CB9"/>
    <w:rsid w:val="00165CE2"/>
    <w:rsid w:val="00165F1C"/>
    <w:rsid w:val="00165F31"/>
    <w:rsid w:val="00166102"/>
    <w:rsid w:val="001661F5"/>
    <w:rsid w:val="00166343"/>
    <w:rsid w:val="001663F0"/>
    <w:rsid w:val="001664B3"/>
    <w:rsid w:val="001664C0"/>
    <w:rsid w:val="001664D8"/>
    <w:rsid w:val="0016659D"/>
    <w:rsid w:val="001665A4"/>
    <w:rsid w:val="001666AC"/>
    <w:rsid w:val="00166B2D"/>
    <w:rsid w:val="00166B9C"/>
    <w:rsid w:val="00166C3B"/>
    <w:rsid w:val="00166C9A"/>
    <w:rsid w:val="00166CA1"/>
    <w:rsid w:val="00166CAE"/>
    <w:rsid w:val="00166E29"/>
    <w:rsid w:val="00166ECF"/>
    <w:rsid w:val="00166ED6"/>
    <w:rsid w:val="00166FF8"/>
    <w:rsid w:val="00167087"/>
    <w:rsid w:val="00167240"/>
    <w:rsid w:val="001672CF"/>
    <w:rsid w:val="001673AC"/>
    <w:rsid w:val="001675B1"/>
    <w:rsid w:val="001675F5"/>
    <w:rsid w:val="0016767B"/>
    <w:rsid w:val="001676E2"/>
    <w:rsid w:val="001677D8"/>
    <w:rsid w:val="0016791C"/>
    <w:rsid w:val="00167A34"/>
    <w:rsid w:val="00167C45"/>
    <w:rsid w:val="00167F6E"/>
    <w:rsid w:val="00167FBB"/>
    <w:rsid w:val="00170099"/>
    <w:rsid w:val="001702CD"/>
    <w:rsid w:val="00170492"/>
    <w:rsid w:val="00170498"/>
    <w:rsid w:val="00170527"/>
    <w:rsid w:val="00170595"/>
    <w:rsid w:val="001705C5"/>
    <w:rsid w:val="001705E7"/>
    <w:rsid w:val="00170673"/>
    <w:rsid w:val="001706E1"/>
    <w:rsid w:val="00170767"/>
    <w:rsid w:val="0017076A"/>
    <w:rsid w:val="001707AD"/>
    <w:rsid w:val="00170819"/>
    <w:rsid w:val="00170978"/>
    <w:rsid w:val="001709FB"/>
    <w:rsid w:val="00170A78"/>
    <w:rsid w:val="00170A87"/>
    <w:rsid w:val="00170B33"/>
    <w:rsid w:val="00170BD0"/>
    <w:rsid w:val="00170DBA"/>
    <w:rsid w:val="00170DDE"/>
    <w:rsid w:val="00170F1A"/>
    <w:rsid w:val="00171251"/>
    <w:rsid w:val="0017130F"/>
    <w:rsid w:val="001713C5"/>
    <w:rsid w:val="001713F6"/>
    <w:rsid w:val="001714B5"/>
    <w:rsid w:val="00171687"/>
    <w:rsid w:val="001716C7"/>
    <w:rsid w:val="00171880"/>
    <w:rsid w:val="0017188D"/>
    <w:rsid w:val="001719C2"/>
    <w:rsid w:val="00171A01"/>
    <w:rsid w:val="00171A0C"/>
    <w:rsid w:val="00171AA4"/>
    <w:rsid w:val="00171AAD"/>
    <w:rsid w:val="00171ACC"/>
    <w:rsid w:val="00171CD7"/>
    <w:rsid w:val="00171DEA"/>
    <w:rsid w:val="00171E12"/>
    <w:rsid w:val="00171E6E"/>
    <w:rsid w:val="00171E85"/>
    <w:rsid w:val="00171EBE"/>
    <w:rsid w:val="00171FA0"/>
    <w:rsid w:val="00172040"/>
    <w:rsid w:val="0017204E"/>
    <w:rsid w:val="001720C3"/>
    <w:rsid w:val="001721BF"/>
    <w:rsid w:val="00172282"/>
    <w:rsid w:val="001722A5"/>
    <w:rsid w:val="001726D1"/>
    <w:rsid w:val="00172734"/>
    <w:rsid w:val="001727CE"/>
    <w:rsid w:val="00172906"/>
    <w:rsid w:val="001729D2"/>
    <w:rsid w:val="00172A33"/>
    <w:rsid w:val="00172AC2"/>
    <w:rsid w:val="00172B36"/>
    <w:rsid w:val="00172C57"/>
    <w:rsid w:val="00172CBF"/>
    <w:rsid w:val="00172CFA"/>
    <w:rsid w:val="00172D78"/>
    <w:rsid w:val="00172E29"/>
    <w:rsid w:val="00172F3C"/>
    <w:rsid w:val="0017302F"/>
    <w:rsid w:val="001730D8"/>
    <w:rsid w:val="001731FF"/>
    <w:rsid w:val="00173297"/>
    <w:rsid w:val="0017329E"/>
    <w:rsid w:val="00173351"/>
    <w:rsid w:val="001733CC"/>
    <w:rsid w:val="0017341D"/>
    <w:rsid w:val="0017346D"/>
    <w:rsid w:val="00173493"/>
    <w:rsid w:val="001734A4"/>
    <w:rsid w:val="00173556"/>
    <w:rsid w:val="001735A6"/>
    <w:rsid w:val="00173873"/>
    <w:rsid w:val="00173916"/>
    <w:rsid w:val="00173926"/>
    <w:rsid w:val="0017395C"/>
    <w:rsid w:val="00173BD6"/>
    <w:rsid w:val="00173C6E"/>
    <w:rsid w:val="00173D63"/>
    <w:rsid w:val="00173DFF"/>
    <w:rsid w:val="00174031"/>
    <w:rsid w:val="001740DD"/>
    <w:rsid w:val="00174132"/>
    <w:rsid w:val="00174141"/>
    <w:rsid w:val="00174167"/>
    <w:rsid w:val="001741D4"/>
    <w:rsid w:val="00174329"/>
    <w:rsid w:val="00174334"/>
    <w:rsid w:val="0017447E"/>
    <w:rsid w:val="001744D1"/>
    <w:rsid w:val="001746E8"/>
    <w:rsid w:val="001746FF"/>
    <w:rsid w:val="001747C2"/>
    <w:rsid w:val="001747CE"/>
    <w:rsid w:val="00174A11"/>
    <w:rsid w:val="00174B5A"/>
    <w:rsid w:val="00174B9F"/>
    <w:rsid w:val="00174C0F"/>
    <w:rsid w:val="00174C75"/>
    <w:rsid w:val="00174D03"/>
    <w:rsid w:val="00174D83"/>
    <w:rsid w:val="00174E32"/>
    <w:rsid w:val="00174F85"/>
    <w:rsid w:val="00174FB3"/>
    <w:rsid w:val="00174FE9"/>
    <w:rsid w:val="001750BE"/>
    <w:rsid w:val="00175177"/>
    <w:rsid w:val="001751DE"/>
    <w:rsid w:val="001752A3"/>
    <w:rsid w:val="00175398"/>
    <w:rsid w:val="0017544A"/>
    <w:rsid w:val="0017544E"/>
    <w:rsid w:val="0017554E"/>
    <w:rsid w:val="00175598"/>
    <w:rsid w:val="00175708"/>
    <w:rsid w:val="00175778"/>
    <w:rsid w:val="00175835"/>
    <w:rsid w:val="00175A14"/>
    <w:rsid w:val="00175D47"/>
    <w:rsid w:val="00175D4B"/>
    <w:rsid w:val="00175E0B"/>
    <w:rsid w:val="00175E1D"/>
    <w:rsid w:val="00175EC0"/>
    <w:rsid w:val="00175ED5"/>
    <w:rsid w:val="00175F0B"/>
    <w:rsid w:val="00176151"/>
    <w:rsid w:val="001761B3"/>
    <w:rsid w:val="0017628A"/>
    <w:rsid w:val="00176323"/>
    <w:rsid w:val="0017638B"/>
    <w:rsid w:val="001763E1"/>
    <w:rsid w:val="001763E5"/>
    <w:rsid w:val="001764C1"/>
    <w:rsid w:val="001765DE"/>
    <w:rsid w:val="00176673"/>
    <w:rsid w:val="001767DB"/>
    <w:rsid w:val="0017688B"/>
    <w:rsid w:val="001768A2"/>
    <w:rsid w:val="001769C4"/>
    <w:rsid w:val="00176A0A"/>
    <w:rsid w:val="00176A10"/>
    <w:rsid w:val="00176B15"/>
    <w:rsid w:val="00176DC0"/>
    <w:rsid w:val="00176DF3"/>
    <w:rsid w:val="00176E4C"/>
    <w:rsid w:val="00176E6E"/>
    <w:rsid w:val="00176F39"/>
    <w:rsid w:val="001770A5"/>
    <w:rsid w:val="00177238"/>
    <w:rsid w:val="0017726A"/>
    <w:rsid w:val="001772B9"/>
    <w:rsid w:val="00177341"/>
    <w:rsid w:val="001773B3"/>
    <w:rsid w:val="001773BE"/>
    <w:rsid w:val="001773EC"/>
    <w:rsid w:val="00177628"/>
    <w:rsid w:val="001776C7"/>
    <w:rsid w:val="0017777C"/>
    <w:rsid w:val="00177837"/>
    <w:rsid w:val="0017791D"/>
    <w:rsid w:val="00177AF7"/>
    <w:rsid w:val="00177BD3"/>
    <w:rsid w:val="00177C83"/>
    <w:rsid w:val="00177D54"/>
    <w:rsid w:val="00177DB8"/>
    <w:rsid w:val="00177EA7"/>
    <w:rsid w:val="00177EF3"/>
    <w:rsid w:val="00177F8F"/>
    <w:rsid w:val="00177FB2"/>
    <w:rsid w:val="0018007A"/>
    <w:rsid w:val="0018012C"/>
    <w:rsid w:val="00180295"/>
    <w:rsid w:val="00180298"/>
    <w:rsid w:val="0018029C"/>
    <w:rsid w:val="001802A9"/>
    <w:rsid w:val="00180449"/>
    <w:rsid w:val="00180451"/>
    <w:rsid w:val="0018050F"/>
    <w:rsid w:val="001805B5"/>
    <w:rsid w:val="0018062F"/>
    <w:rsid w:val="00180637"/>
    <w:rsid w:val="001806F2"/>
    <w:rsid w:val="00180758"/>
    <w:rsid w:val="001808F0"/>
    <w:rsid w:val="00180A90"/>
    <w:rsid w:val="00180BAF"/>
    <w:rsid w:val="00180CEB"/>
    <w:rsid w:val="00180DBB"/>
    <w:rsid w:val="00180E13"/>
    <w:rsid w:val="00180E3F"/>
    <w:rsid w:val="00180EC9"/>
    <w:rsid w:val="00180F62"/>
    <w:rsid w:val="00180F87"/>
    <w:rsid w:val="00180F97"/>
    <w:rsid w:val="0018101C"/>
    <w:rsid w:val="001810E0"/>
    <w:rsid w:val="001812DB"/>
    <w:rsid w:val="0018136E"/>
    <w:rsid w:val="00181407"/>
    <w:rsid w:val="0018143F"/>
    <w:rsid w:val="00181847"/>
    <w:rsid w:val="001818DC"/>
    <w:rsid w:val="00181A44"/>
    <w:rsid w:val="00181A54"/>
    <w:rsid w:val="00181A61"/>
    <w:rsid w:val="00181AA4"/>
    <w:rsid w:val="00181B57"/>
    <w:rsid w:val="00181BED"/>
    <w:rsid w:val="00181CE0"/>
    <w:rsid w:val="00181D40"/>
    <w:rsid w:val="00181E8C"/>
    <w:rsid w:val="00181ECB"/>
    <w:rsid w:val="00181ED1"/>
    <w:rsid w:val="00181F3E"/>
    <w:rsid w:val="00181FCC"/>
    <w:rsid w:val="00182043"/>
    <w:rsid w:val="00182044"/>
    <w:rsid w:val="0018213F"/>
    <w:rsid w:val="00182204"/>
    <w:rsid w:val="0018225F"/>
    <w:rsid w:val="00182266"/>
    <w:rsid w:val="001822BD"/>
    <w:rsid w:val="0018240D"/>
    <w:rsid w:val="001824B1"/>
    <w:rsid w:val="001824F8"/>
    <w:rsid w:val="0018257A"/>
    <w:rsid w:val="001826A9"/>
    <w:rsid w:val="001827E3"/>
    <w:rsid w:val="00182888"/>
    <w:rsid w:val="00182961"/>
    <w:rsid w:val="001829FE"/>
    <w:rsid w:val="00182B5A"/>
    <w:rsid w:val="00182C3B"/>
    <w:rsid w:val="00182CC5"/>
    <w:rsid w:val="0018327A"/>
    <w:rsid w:val="00183280"/>
    <w:rsid w:val="0018329B"/>
    <w:rsid w:val="001832E0"/>
    <w:rsid w:val="001832EE"/>
    <w:rsid w:val="001832F7"/>
    <w:rsid w:val="0018333C"/>
    <w:rsid w:val="00183711"/>
    <w:rsid w:val="0018371E"/>
    <w:rsid w:val="00183739"/>
    <w:rsid w:val="00183869"/>
    <w:rsid w:val="001838C2"/>
    <w:rsid w:val="00183912"/>
    <w:rsid w:val="00183ACC"/>
    <w:rsid w:val="00183BF8"/>
    <w:rsid w:val="00183C35"/>
    <w:rsid w:val="00183C9C"/>
    <w:rsid w:val="00183CF9"/>
    <w:rsid w:val="00183D4D"/>
    <w:rsid w:val="00183E43"/>
    <w:rsid w:val="00183E89"/>
    <w:rsid w:val="00184094"/>
    <w:rsid w:val="001840B4"/>
    <w:rsid w:val="00184187"/>
    <w:rsid w:val="001841A0"/>
    <w:rsid w:val="0018420F"/>
    <w:rsid w:val="001842BC"/>
    <w:rsid w:val="00184396"/>
    <w:rsid w:val="00184415"/>
    <w:rsid w:val="0018445B"/>
    <w:rsid w:val="00184520"/>
    <w:rsid w:val="00184658"/>
    <w:rsid w:val="001846E9"/>
    <w:rsid w:val="00184878"/>
    <w:rsid w:val="00184A3F"/>
    <w:rsid w:val="00184AEA"/>
    <w:rsid w:val="00184C28"/>
    <w:rsid w:val="00184C61"/>
    <w:rsid w:val="00184CAE"/>
    <w:rsid w:val="00184D19"/>
    <w:rsid w:val="00184E4C"/>
    <w:rsid w:val="00184F4E"/>
    <w:rsid w:val="001850BD"/>
    <w:rsid w:val="0018510F"/>
    <w:rsid w:val="0018529C"/>
    <w:rsid w:val="001852AD"/>
    <w:rsid w:val="00185373"/>
    <w:rsid w:val="001854C8"/>
    <w:rsid w:val="00185532"/>
    <w:rsid w:val="0018563B"/>
    <w:rsid w:val="0018582C"/>
    <w:rsid w:val="001858A0"/>
    <w:rsid w:val="001858F2"/>
    <w:rsid w:val="00185950"/>
    <w:rsid w:val="00185A9E"/>
    <w:rsid w:val="00185AE2"/>
    <w:rsid w:val="00185CD1"/>
    <w:rsid w:val="00185D05"/>
    <w:rsid w:val="00185D9A"/>
    <w:rsid w:val="0018606B"/>
    <w:rsid w:val="00186148"/>
    <w:rsid w:val="00186291"/>
    <w:rsid w:val="001862E7"/>
    <w:rsid w:val="001862EA"/>
    <w:rsid w:val="0018637A"/>
    <w:rsid w:val="001863A2"/>
    <w:rsid w:val="00186506"/>
    <w:rsid w:val="0018656C"/>
    <w:rsid w:val="001865A6"/>
    <w:rsid w:val="001865B9"/>
    <w:rsid w:val="0018663F"/>
    <w:rsid w:val="001868B8"/>
    <w:rsid w:val="001868D1"/>
    <w:rsid w:val="00186A08"/>
    <w:rsid w:val="00186A84"/>
    <w:rsid w:val="00186AA5"/>
    <w:rsid w:val="00186C10"/>
    <w:rsid w:val="00186E80"/>
    <w:rsid w:val="00186F31"/>
    <w:rsid w:val="00186FEE"/>
    <w:rsid w:val="00187244"/>
    <w:rsid w:val="00187339"/>
    <w:rsid w:val="001873B8"/>
    <w:rsid w:val="001874BC"/>
    <w:rsid w:val="001875B7"/>
    <w:rsid w:val="001875DE"/>
    <w:rsid w:val="00187636"/>
    <w:rsid w:val="0018774A"/>
    <w:rsid w:val="0018794C"/>
    <w:rsid w:val="00187997"/>
    <w:rsid w:val="00187A6C"/>
    <w:rsid w:val="00187AA3"/>
    <w:rsid w:val="00187B21"/>
    <w:rsid w:val="00187BE1"/>
    <w:rsid w:val="00187C57"/>
    <w:rsid w:val="00187E4E"/>
    <w:rsid w:val="00187FAD"/>
    <w:rsid w:val="00187FDC"/>
    <w:rsid w:val="0019003E"/>
    <w:rsid w:val="0019023C"/>
    <w:rsid w:val="001904E7"/>
    <w:rsid w:val="001905E0"/>
    <w:rsid w:val="001905E3"/>
    <w:rsid w:val="001906D7"/>
    <w:rsid w:val="0019072A"/>
    <w:rsid w:val="00190736"/>
    <w:rsid w:val="00190741"/>
    <w:rsid w:val="001909E8"/>
    <w:rsid w:val="001909FA"/>
    <w:rsid w:val="00190A2E"/>
    <w:rsid w:val="00190BA5"/>
    <w:rsid w:val="00190BD8"/>
    <w:rsid w:val="00190CA3"/>
    <w:rsid w:val="00190F13"/>
    <w:rsid w:val="00190FBA"/>
    <w:rsid w:val="00191164"/>
    <w:rsid w:val="001911C2"/>
    <w:rsid w:val="0019120D"/>
    <w:rsid w:val="00191381"/>
    <w:rsid w:val="00191435"/>
    <w:rsid w:val="0019149B"/>
    <w:rsid w:val="00191558"/>
    <w:rsid w:val="0019157E"/>
    <w:rsid w:val="0019159A"/>
    <w:rsid w:val="001917B4"/>
    <w:rsid w:val="0019185C"/>
    <w:rsid w:val="00191977"/>
    <w:rsid w:val="00191A92"/>
    <w:rsid w:val="00191AAF"/>
    <w:rsid w:val="00191AB1"/>
    <w:rsid w:val="00191AC0"/>
    <w:rsid w:val="00191C33"/>
    <w:rsid w:val="00191C53"/>
    <w:rsid w:val="00191CA5"/>
    <w:rsid w:val="00191DAF"/>
    <w:rsid w:val="00191F8D"/>
    <w:rsid w:val="00191FBB"/>
    <w:rsid w:val="00191FBC"/>
    <w:rsid w:val="00192027"/>
    <w:rsid w:val="001920C9"/>
    <w:rsid w:val="001922EE"/>
    <w:rsid w:val="00192302"/>
    <w:rsid w:val="0019231F"/>
    <w:rsid w:val="001923D3"/>
    <w:rsid w:val="00192457"/>
    <w:rsid w:val="00192485"/>
    <w:rsid w:val="001924FA"/>
    <w:rsid w:val="0019251F"/>
    <w:rsid w:val="001925DC"/>
    <w:rsid w:val="00192635"/>
    <w:rsid w:val="00192749"/>
    <w:rsid w:val="00192779"/>
    <w:rsid w:val="00192835"/>
    <w:rsid w:val="001929A6"/>
    <w:rsid w:val="001929AE"/>
    <w:rsid w:val="001929B6"/>
    <w:rsid w:val="00192A8E"/>
    <w:rsid w:val="00192B22"/>
    <w:rsid w:val="00192B54"/>
    <w:rsid w:val="00192B6E"/>
    <w:rsid w:val="00192C25"/>
    <w:rsid w:val="00192C53"/>
    <w:rsid w:val="00192CD6"/>
    <w:rsid w:val="00192D57"/>
    <w:rsid w:val="00192F12"/>
    <w:rsid w:val="00192F8A"/>
    <w:rsid w:val="00193235"/>
    <w:rsid w:val="0019323E"/>
    <w:rsid w:val="0019345B"/>
    <w:rsid w:val="00193466"/>
    <w:rsid w:val="001934B2"/>
    <w:rsid w:val="0019360E"/>
    <w:rsid w:val="0019363A"/>
    <w:rsid w:val="001936C1"/>
    <w:rsid w:val="00193726"/>
    <w:rsid w:val="00193787"/>
    <w:rsid w:val="001937BD"/>
    <w:rsid w:val="00193828"/>
    <w:rsid w:val="001938FC"/>
    <w:rsid w:val="001939D3"/>
    <w:rsid w:val="00193ABD"/>
    <w:rsid w:val="00193D67"/>
    <w:rsid w:val="00193D69"/>
    <w:rsid w:val="00193DA9"/>
    <w:rsid w:val="00193DBD"/>
    <w:rsid w:val="00193F34"/>
    <w:rsid w:val="00193F76"/>
    <w:rsid w:val="00193FBF"/>
    <w:rsid w:val="00193FCC"/>
    <w:rsid w:val="00194026"/>
    <w:rsid w:val="00194136"/>
    <w:rsid w:val="001941D8"/>
    <w:rsid w:val="00194243"/>
    <w:rsid w:val="0019426E"/>
    <w:rsid w:val="0019434A"/>
    <w:rsid w:val="001943CB"/>
    <w:rsid w:val="001943DC"/>
    <w:rsid w:val="001944F8"/>
    <w:rsid w:val="0019457F"/>
    <w:rsid w:val="001948B4"/>
    <w:rsid w:val="00194A7F"/>
    <w:rsid w:val="00194A97"/>
    <w:rsid w:val="00194B82"/>
    <w:rsid w:val="00194BD8"/>
    <w:rsid w:val="00194EC3"/>
    <w:rsid w:val="00195012"/>
    <w:rsid w:val="00195089"/>
    <w:rsid w:val="0019511D"/>
    <w:rsid w:val="001951C1"/>
    <w:rsid w:val="0019529D"/>
    <w:rsid w:val="0019531B"/>
    <w:rsid w:val="00195353"/>
    <w:rsid w:val="001953B2"/>
    <w:rsid w:val="001955C5"/>
    <w:rsid w:val="00195653"/>
    <w:rsid w:val="001957EB"/>
    <w:rsid w:val="00195888"/>
    <w:rsid w:val="0019589D"/>
    <w:rsid w:val="00195A37"/>
    <w:rsid w:val="00195B78"/>
    <w:rsid w:val="00195D9E"/>
    <w:rsid w:val="00195DA4"/>
    <w:rsid w:val="00195E15"/>
    <w:rsid w:val="00195E23"/>
    <w:rsid w:val="00195EE3"/>
    <w:rsid w:val="00195F1B"/>
    <w:rsid w:val="001960C1"/>
    <w:rsid w:val="00196592"/>
    <w:rsid w:val="0019662E"/>
    <w:rsid w:val="00196662"/>
    <w:rsid w:val="001966D7"/>
    <w:rsid w:val="0019675B"/>
    <w:rsid w:val="0019681C"/>
    <w:rsid w:val="00196842"/>
    <w:rsid w:val="00196877"/>
    <w:rsid w:val="001968F4"/>
    <w:rsid w:val="00196955"/>
    <w:rsid w:val="00196C35"/>
    <w:rsid w:val="00196CFD"/>
    <w:rsid w:val="00196D33"/>
    <w:rsid w:val="00196DEB"/>
    <w:rsid w:val="00196F22"/>
    <w:rsid w:val="00197007"/>
    <w:rsid w:val="00197046"/>
    <w:rsid w:val="00197176"/>
    <w:rsid w:val="0019733C"/>
    <w:rsid w:val="0019742F"/>
    <w:rsid w:val="00197436"/>
    <w:rsid w:val="0019748D"/>
    <w:rsid w:val="001974EE"/>
    <w:rsid w:val="00197546"/>
    <w:rsid w:val="00197658"/>
    <w:rsid w:val="0019769A"/>
    <w:rsid w:val="001977CB"/>
    <w:rsid w:val="001977DF"/>
    <w:rsid w:val="001979EF"/>
    <w:rsid w:val="00197A09"/>
    <w:rsid w:val="00197AE7"/>
    <w:rsid w:val="00197B2A"/>
    <w:rsid w:val="00197B75"/>
    <w:rsid w:val="00197BCD"/>
    <w:rsid w:val="00197CBA"/>
    <w:rsid w:val="00197E7A"/>
    <w:rsid w:val="001A0085"/>
    <w:rsid w:val="001A00B3"/>
    <w:rsid w:val="001A051B"/>
    <w:rsid w:val="001A0581"/>
    <w:rsid w:val="001A0633"/>
    <w:rsid w:val="001A0716"/>
    <w:rsid w:val="001A07EA"/>
    <w:rsid w:val="001A0AC9"/>
    <w:rsid w:val="001A0BE1"/>
    <w:rsid w:val="001A0EA1"/>
    <w:rsid w:val="001A0FAC"/>
    <w:rsid w:val="001A0FCA"/>
    <w:rsid w:val="001A0FF5"/>
    <w:rsid w:val="001A102C"/>
    <w:rsid w:val="001A103E"/>
    <w:rsid w:val="001A11F3"/>
    <w:rsid w:val="001A125B"/>
    <w:rsid w:val="001A12BC"/>
    <w:rsid w:val="001A12FE"/>
    <w:rsid w:val="001A13D2"/>
    <w:rsid w:val="001A14F2"/>
    <w:rsid w:val="001A1653"/>
    <w:rsid w:val="001A1707"/>
    <w:rsid w:val="001A1B1F"/>
    <w:rsid w:val="001A1CC3"/>
    <w:rsid w:val="001A1D43"/>
    <w:rsid w:val="001A1D61"/>
    <w:rsid w:val="001A1DBB"/>
    <w:rsid w:val="001A1E8B"/>
    <w:rsid w:val="001A1EA7"/>
    <w:rsid w:val="001A1EF0"/>
    <w:rsid w:val="001A217C"/>
    <w:rsid w:val="001A228C"/>
    <w:rsid w:val="001A22CC"/>
    <w:rsid w:val="001A239C"/>
    <w:rsid w:val="001A23DA"/>
    <w:rsid w:val="001A23E7"/>
    <w:rsid w:val="001A253C"/>
    <w:rsid w:val="001A267D"/>
    <w:rsid w:val="001A26B7"/>
    <w:rsid w:val="001A274F"/>
    <w:rsid w:val="001A2975"/>
    <w:rsid w:val="001A2AD8"/>
    <w:rsid w:val="001A2B78"/>
    <w:rsid w:val="001A2CCD"/>
    <w:rsid w:val="001A2DD2"/>
    <w:rsid w:val="001A2E3D"/>
    <w:rsid w:val="001A2ECE"/>
    <w:rsid w:val="001A3036"/>
    <w:rsid w:val="001A303C"/>
    <w:rsid w:val="001A313F"/>
    <w:rsid w:val="001A31E1"/>
    <w:rsid w:val="001A32A5"/>
    <w:rsid w:val="001A33AB"/>
    <w:rsid w:val="001A33DE"/>
    <w:rsid w:val="001A344D"/>
    <w:rsid w:val="001A34A3"/>
    <w:rsid w:val="001A35C7"/>
    <w:rsid w:val="001A365A"/>
    <w:rsid w:val="001A37A3"/>
    <w:rsid w:val="001A3926"/>
    <w:rsid w:val="001A3A03"/>
    <w:rsid w:val="001A3B29"/>
    <w:rsid w:val="001A3C7C"/>
    <w:rsid w:val="001A3D4E"/>
    <w:rsid w:val="001A3F1B"/>
    <w:rsid w:val="001A4051"/>
    <w:rsid w:val="001A408D"/>
    <w:rsid w:val="001A4189"/>
    <w:rsid w:val="001A41B1"/>
    <w:rsid w:val="001A41D9"/>
    <w:rsid w:val="001A4438"/>
    <w:rsid w:val="001A44BB"/>
    <w:rsid w:val="001A4580"/>
    <w:rsid w:val="001A4641"/>
    <w:rsid w:val="001A46CA"/>
    <w:rsid w:val="001A47EA"/>
    <w:rsid w:val="001A4817"/>
    <w:rsid w:val="001A4860"/>
    <w:rsid w:val="001A4931"/>
    <w:rsid w:val="001A4B64"/>
    <w:rsid w:val="001A4BC0"/>
    <w:rsid w:val="001A4E84"/>
    <w:rsid w:val="001A4F5D"/>
    <w:rsid w:val="001A4FB6"/>
    <w:rsid w:val="001A500A"/>
    <w:rsid w:val="001A511B"/>
    <w:rsid w:val="001A517A"/>
    <w:rsid w:val="001A52CD"/>
    <w:rsid w:val="001A5356"/>
    <w:rsid w:val="001A54BA"/>
    <w:rsid w:val="001A5585"/>
    <w:rsid w:val="001A55B4"/>
    <w:rsid w:val="001A560E"/>
    <w:rsid w:val="001A5623"/>
    <w:rsid w:val="001A56D7"/>
    <w:rsid w:val="001A57BF"/>
    <w:rsid w:val="001A57D8"/>
    <w:rsid w:val="001A5809"/>
    <w:rsid w:val="001A5881"/>
    <w:rsid w:val="001A5921"/>
    <w:rsid w:val="001A5931"/>
    <w:rsid w:val="001A59E5"/>
    <w:rsid w:val="001A5BFE"/>
    <w:rsid w:val="001A5C02"/>
    <w:rsid w:val="001A5CCC"/>
    <w:rsid w:val="001A5CDE"/>
    <w:rsid w:val="001A5D91"/>
    <w:rsid w:val="001A5E0A"/>
    <w:rsid w:val="001A5EF9"/>
    <w:rsid w:val="001A5F88"/>
    <w:rsid w:val="001A60D4"/>
    <w:rsid w:val="001A668F"/>
    <w:rsid w:val="001A676E"/>
    <w:rsid w:val="001A67AA"/>
    <w:rsid w:val="001A6845"/>
    <w:rsid w:val="001A690E"/>
    <w:rsid w:val="001A69AD"/>
    <w:rsid w:val="001A69DC"/>
    <w:rsid w:val="001A6A5B"/>
    <w:rsid w:val="001A6B26"/>
    <w:rsid w:val="001A6BFE"/>
    <w:rsid w:val="001A6C15"/>
    <w:rsid w:val="001A6C8C"/>
    <w:rsid w:val="001A7017"/>
    <w:rsid w:val="001A70A5"/>
    <w:rsid w:val="001A71F2"/>
    <w:rsid w:val="001A723A"/>
    <w:rsid w:val="001A7317"/>
    <w:rsid w:val="001A7360"/>
    <w:rsid w:val="001A7565"/>
    <w:rsid w:val="001A7762"/>
    <w:rsid w:val="001A7AD1"/>
    <w:rsid w:val="001A7D99"/>
    <w:rsid w:val="001A7DD0"/>
    <w:rsid w:val="001A7F0E"/>
    <w:rsid w:val="001A7F78"/>
    <w:rsid w:val="001B0045"/>
    <w:rsid w:val="001B014C"/>
    <w:rsid w:val="001B0212"/>
    <w:rsid w:val="001B0307"/>
    <w:rsid w:val="001B0343"/>
    <w:rsid w:val="001B0351"/>
    <w:rsid w:val="001B038A"/>
    <w:rsid w:val="001B03A5"/>
    <w:rsid w:val="001B043B"/>
    <w:rsid w:val="001B05E6"/>
    <w:rsid w:val="001B0972"/>
    <w:rsid w:val="001B0A40"/>
    <w:rsid w:val="001B0A88"/>
    <w:rsid w:val="001B0BEC"/>
    <w:rsid w:val="001B0C39"/>
    <w:rsid w:val="001B0ED2"/>
    <w:rsid w:val="001B0EDB"/>
    <w:rsid w:val="001B0F4A"/>
    <w:rsid w:val="001B0FD9"/>
    <w:rsid w:val="001B1041"/>
    <w:rsid w:val="001B1374"/>
    <w:rsid w:val="001B1435"/>
    <w:rsid w:val="001B1490"/>
    <w:rsid w:val="001B1498"/>
    <w:rsid w:val="001B152A"/>
    <w:rsid w:val="001B158D"/>
    <w:rsid w:val="001B15DD"/>
    <w:rsid w:val="001B16D6"/>
    <w:rsid w:val="001B1961"/>
    <w:rsid w:val="001B1B04"/>
    <w:rsid w:val="001B1BD0"/>
    <w:rsid w:val="001B1CAD"/>
    <w:rsid w:val="001B1CBA"/>
    <w:rsid w:val="001B1D3E"/>
    <w:rsid w:val="001B1D9F"/>
    <w:rsid w:val="001B1E6C"/>
    <w:rsid w:val="001B204B"/>
    <w:rsid w:val="001B21D6"/>
    <w:rsid w:val="001B22E9"/>
    <w:rsid w:val="001B2496"/>
    <w:rsid w:val="001B2527"/>
    <w:rsid w:val="001B25F1"/>
    <w:rsid w:val="001B2694"/>
    <w:rsid w:val="001B2A3D"/>
    <w:rsid w:val="001B2AB0"/>
    <w:rsid w:val="001B2AC1"/>
    <w:rsid w:val="001B2B62"/>
    <w:rsid w:val="001B2C14"/>
    <w:rsid w:val="001B2C24"/>
    <w:rsid w:val="001B2C96"/>
    <w:rsid w:val="001B2CB9"/>
    <w:rsid w:val="001B2EC2"/>
    <w:rsid w:val="001B300B"/>
    <w:rsid w:val="001B309C"/>
    <w:rsid w:val="001B30B9"/>
    <w:rsid w:val="001B31AE"/>
    <w:rsid w:val="001B32E0"/>
    <w:rsid w:val="001B3554"/>
    <w:rsid w:val="001B373B"/>
    <w:rsid w:val="001B3858"/>
    <w:rsid w:val="001B38A5"/>
    <w:rsid w:val="001B3978"/>
    <w:rsid w:val="001B3AF7"/>
    <w:rsid w:val="001B3B65"/>
    <w:rsid w:val="001B3E08"/>
    <w:rsid w:val="001B3F16"/>
    <w:rsid w:val="001B4066"/>
    <w:rsid w:val="001B4263"/>
    <w:rsid w:val="001B426B"/>
    <w:rsid w:val="001B4314"/>
    <w:rsid w:val="001B4433"/>
    <w:rsid w:val="001B455B"/>
    <w:rsid w:val="001B4637"/>
    <w:rsid w:val="001B46ED"/>
    <w:rsid w:val="001B4727"/>
    <w:rsid w:val="001B489F"/>
    <w:rsid w:val="001B48CD"/>
    <w:rsid w:val="001B49B7"/>
    <w:rsid w:val="001B4CA9"/>
    <w:rsid w:val="001B4CAB"/>
    <w:rsid w:val="001B4CF8"/>
    <w:rsid w:val="001B4E27"/>
    <w:rsid w:val="001B4FA0"/>
    <w:rsid w:val="001B5056"/>
    <w:rsid w:val="001B5072"/>
    <w:rsid w:val="001B50CE"/>
    <w:rsid w:val="001B51B0"/>
    <w:rsid w:val="001B52D5"/>
    <w:rsid w:val="001B537F"/>
    <w:rsid w:val="001B541F"/>
    <w:rsid w:val="001B5427"/>
    <w:rsid w:val="001B5618"/>
    <w:rsid w:val="001B5636"/>
    <w:rsid w:val="001B5645"/>
    <w:rsid w:val="001B5655"/>
    <w:rsid w:val="001B5685"/>
    <w:rsid w:val="001B570B"/>
    <w:rsid w:val="001B5710"/>
    <w:rsid w:val="001B589C"/>
    <w:rsid w:val="001B592E"/>
    <w:rsid w:val="001B59F7"/>
    <w:rsid w:val="001B5D3A"/>
    <w:rsid w:val="001B5D63"/>
    <w:rsid w:val="001B5E26"/>
    <w:rsid w:val="001B5EDF"/>
    <w:rsid w:val="001B5F04"/>
    <w:rsid w:val="001B5F66"/>
    <w:rsid w:val="001B6152"/>
    <w:rsid w:val="001B61D9"/>
    <w:rsid w:val="001B6270"/>
    <w:rsid w:val="001B62B2"/>
    <w:rsid w:val="001B6350"/>
    <w:rsid w:val="001B6464"/>
    <w:rsid w:val="001B648F"/>
    <w:rsid w:val="001B6556"/>
    <w:rsid w:val="001B65C1"/>
    <w:rsid w:val="001B688B"/>
    <w:rsid w:val="001B6A22"/>
    <w:rsid w:val="001B6A3E"/>
    <w:rsid w:val="001B6BF9"/>
    <w:rsid w:val="001B6C8E"/>
    <w:rsid w:val="001B6DAA"/>
    <w:rsid w:val="001B6E87"/>
    <w:rsid w:val="001B6F69"/>
    <w:rsid w:val="001B6FD5"/>
    <w:rsid w:val="001B7015"/>
    <w:rsid w:val="001B701A"/>
    <w:rsid w:val="001B723C"/>
    <w:rsid w:val="001B72C4"/>
    <w:rsid w:val="001B7383"/>
    <w:rsid w:val="001B7498"/>
    <w:rsid w:val="001B75A5"/>
    <w:rsid w:val="001B75AF"/>
    <w:rsid w:val="001B776E"/>
    <w:rsid w:val="001B77D1"/>
    <w:rsid w:val="001B7817"/>
    <w:rsid w:val="001B78D6"/>
    <w:rsid w:val="001B78F1"/>
    <w:rsid w:val="001B79D3"/>
    <w:rsid w:val="001B7A58"/>
    <w:rsid w:val="001B7A63"/>
    <w:rsid w:val="001B7B81"/>
    <w:rsid w:val="001B7B92"/>
    <w:rsid w:val="001B7BE7"/>
    <w:rsid w:val="001B7C59"/>
    <w:rsid w:val="001B7C92"/>
    <w:rsid w:val="001B7D7A"/>
    <w:rsid w:val="001B7DFC"/>
    <w:rsid w:val="001B7F65"/>
    <w:rsid w:val="001C0045"/>
    <w:rsid w:val="001C0119"/>
    <w:rsid w:val="001C02D9"/>
    <w:rsid w:val="001C0526"/>
    <w:rsid w:val="001C079D"/>
    <w:rsid w:val="001C0902"/>
    <w:rsid w:val="001C0A88"/>
    <w:rsid w:val="001C0A89"/>
    <w:rsid w:val="001C0AED"/>
    <w:rsid w:val="001C0B68"/>
    <w:rsid w:val="001C0B95"/>
    <w:rsid w:val="001C0C32"/>
    <w:rsid w:val="001C0CB2"/>
    <w:rsid w:val="001C0ECE"/>
    <w:rsid w:val="001C0FEE"/>
    <w:rsid w:val="001C1070"/>
    <w:rsid w:val="001C1133"/>
    <w:rsid w:val="001C1192"/>
    <w:rsid w:val="001C11D3"/>
    <w:rsid w:val="001C12F1"/>
    <w:rsid w:val="001C12F9"/>
    <w:rsid w:val="001C13BA"/>
    <w:rsid w:val="001C13D0"/>
    <w:rsid w:val="001C144A"/>
    <w:rsid w:val="001C1557"/>
    <w:rsid w:val="001C156C"/>
    <w:rsid w:val="001C15C8"/>
    <w:rsid w:val="001C1714"/>
    <w:rsid w:val="001C1760"/>
    <w:rsid w:val="001C1992"/>
    <w:rsid w:val="001C19DB"/>
    <w:rsid w:val="001C1A0A"/>
    <w:rsid w:val="001C1A76"/>
    <w:rsid w:val="001C1BE7"/>
    <w:rsid w:val="001C1D0F"/>
    <w:rsid w:val="001C1D23"/>
    <w:rsid w:val="001C1E26"/>
    <w:rsid w:val="001C1E40"/>
    <w:rsid w:val="001C1EFA"/>
    <w:rsid w:val="001C1EFB"/>
    <w:rsid w:val="001C2008"/>
    <w:rsid w:val="001C2064"/>
    <w:rsid w:val="001C20B0"/>
    <w:rsid w:val="001C2133"/>
    <w:rsid w:val="001C2170"/>
    <w:rsid w:val="001C22E1"/>
    <w:rsid w:val="001C236A"/>
    <w:rsid w:val="001C2402"/>
    <w:rsid w:val="001C240B"/>
    <w:rsid w:val="001C241B"/>
    <w:rsid w:val="001C25DB"/>
    <w:rsid w:val="001C264D"/>
    <w:rsid w:val="001C289C"/>
    <w:rsid w:val="001C297B"/>
    <w:rsid w:val="001C29A4"/>
    <w:rsid w:val="001C2B75"/>
    <w:rsid w:val="001C2BFB"/>
    <w:rsid w:val="001C2CBA"/>
    <w:rsid w:val="001C2E7E"/>
    <w:rsid w:val="001C2EBD"/>
    <w:rsid w:val="001C308E"/>
    <w:rsid w:val="001C339A"/>
    <w:rsid w:val="001C340E"/>
    <w:rsid w:val="001C347E"/>
    <w:rsid w:val="001C3564"/>
    <w:rsid w:val="001C3745"/>
    <w:rsid w:val="001C377A"/>
    <w:rsid w:val="001C389F"/>
    <w:rsid w:val="001C38A9"/>
    <w:rsid w:val="001C38D5"/>
    <w:rsid w:val="001C3954"/>
    <w:rsid w:val="001C396A"/>
    <w:rsid w:val="001C3A27"/>
    <w:rsid w:val="001C3BD6"/>
    <w:rsid w:val="001C3BFA"/>
    <w:rsid w:val="001C3C6C"/>
    <w:rsid w:val="001C3CC0"/>
    <w:rsid w:val="001C3DDD"/>
    <w:rsid w:val="001C3E68"/>
    <w:rsid w:val="001C3ECF"/>
    <w:rsid w:val="001C4001"/>
    <w:rsid w:val="001C41A8"/>
    <w:rsid w:val="001C4206"/>
    <w:rsid w:val="001C42F4"/>
    <w:rsid w:val="001C43F2"/>
    <w:rsid w:val="001C44C1"/>
    <w:rsid w:val="001C4539"/>
    <w:rsid w:val="001C4590"/>
    <w:rsid w:val="001C4636"/>
    <w:rsid w:val="001C4748"/>
    <w:rsid w:val="001C477C"/>
    <w:rsid w:val="001C47CB"/>
    <w:rsid w:val="001C4807"/>
    <w:rsid w:val="001C488F"/>
    <w:rsid w:val="001C48A1"/>
    <w:rsid w:val="001C4BD7"/>
    <w:rsid w:val="001C4BE4"/>
    <w:rsid w:val="001C4C85"/>
    <w:rsid w:val="001C4CD2"/>
    <w:rsid w:val="001C4EA4"/>
    <w:rsid w:val="001C539C"/>
    <w:rsid w:val="001C5475"/>
    <w:rsid w:val="001C54AC"/>
    <w:rsid w:val="001C551F"/>
    <w:rsid w:val="001C567A"/>
    <w:rsid w:val="001C56B0"/>
    <w:rsid w:val="001C56F2"/>
    <w:rsid w:val="001C5A1D"/>
    <w:rsid w:val="001C5A6C"/>
    <w:rsid w:val="001C5C56"/>
    <w:rsid w:val="001C5D75"/>
    <w:rsid w:val="001C5E2E"/>
    <w:rsid w:val="001C5E8B"/>
    <w:rsid w:val="001C5ED7"/>
    <w:rsid w:val="001C5FFE"/>
    <w:rsid w:val="001C6001"/>
    <w:rsid w:val="001C604D"/>
    <w:rsid w:val="001C60E4"/>
    <w:rsid w:val="001C61E9"/>
    <w:rsid w:val="001C62A8"/>
    <w:rsid w:val="001C62F1"/>
    <w:rsid w:val="001C63DB"/>
    <w:rsid w:val="001C642A"/>
    <w:rsid w:val="001C6473"/>
    <w:rsid w:val="001C6733"/>
    <w:rsid w:val="001C6873"/>
    <w:rsid w:val="001C68D3"/>
    <w:rsid w:val="001C69C5"/>
    <w:rsid w:val="001C6CE3"/>
    <w:rsid w:val="001C6D1E"/>
    <w:rsid w:val="001C6F7F"/>
    <w:rsid w:val="001C6FAF"/>
    <w:rsid w:val="001C71F1"/>
    <w:rsid w:val="001C7295"/>
    <w:rsid w:val="001C72D0"/>
    <w:rsid w:val="001C7346"/>
    <w:rsid w:val="001C73BF"/>
    <w:rsid w:val="001C74F3"/>
    <w:rsid w:val="001C7568"/>
    <w:rsid w:val="001C7704"/>
    <w:rsid w:val="001C7712"/>
    <w:rsid w:val="001C77EC"/>
    <w:rsid w:val="001C790D"/>
    <w:rsid w:val="001C79C1"/>
    <w:rsid w:val="001C7A35"/>
    <w:rsid w:val="001C7BC0"/>
    <w:rsid w:val="001C7D67"/>
    <w:rsid w:val="001C7DA5"/>
    <w:rsid w:val="001C7F6E"/>
    <w:rsid w:val="001D001C"/>
    <w:rsid w:val="001D015A"/>
    <w:rsid w:val="001D026C"/>
    <w:rsid w:val="001D0343"/>
    <w:rsid w:val="001D0365"/>
    <w:rsid w:val="001D03CC"/>
    <w:rsid w:val="001D0401"/>
    <w:rsid w:val="001D0465"/>
    <w:rsid w:val="001D04E2"/>
    <w:rsid w:val="001D0577"/>
    <w:rsid w:val="001D058E"/>
    <w:rsid w:val="001D05EF"/>
    <w:rsid w:val="001D066E"/>
    <w:rsid w:val="001D06FF"/>
    <w:rsid w:val="001D07AC"/>
    <w:rsid w:val="001D08C4"/>
    <w:rsid w:val="001D0A5D"/>
    <w:rsid w:val="001D0ADC"/>
    <w:rsid w:val="001D0B70"/>
    <w:rsid w:val="001D0C31"/>
    <w:rsid w:val="001D0C37"/>
    <w:rsid w:val="001D0C73"/>
    <w:rsid w:val="001D0C92"/>
    <w:rsid w:val="001D10E8"/>
    <w:rsid w:val="001D115F"/>
    <w:rsid w:val="001D119A"/>
    <w:rsid w:val="001D13E0"/>
    <w:rsid w:val="001D13F4"/>
    <w:rsid w:val="001D14E9"/>
    <w:rsid w:val="001D159B"/>
    <w:rsid w:val="001D15A4"/>
    <w:rsid w:val="001D1606"/>
    <w:rsid w:val="001D17E3"/>
    <w:rsid w:val="001D18AC"/>
    <w:rsid w:val="001D196C"/>
    <w:rsid w:val="001D1AE0"/>
    <w:rsid w:val="001D1B93"/>
    <w:rsid w:val="001D1C67"/>
    <w:rsid w:val="001D1D8E"/>
    <w:rsid w:val="001D1E8B"/>
    <w:rsid w:val="001D2012"/>
    <w:rsid w:val="001D22FD"/>
    <w:rsid w:val="001D2525"/>
    <w:rsid w:val="001D2667"/>
    <w:rsid w:val="001D26E9"/>
    <w:rsid w:val="001D2727"/>
    <w:rsid w:val="001D2878"/>
    <w:rsid w:val="001D2926"/>
    <w:rsid w:val="001D298D"/>
    <w:rsid w:val="001D2AB3"/>
    <w:rsid w:val="001D2C2B"/>
    <w:rsid w:val="001D2D33"/>
    <w:rsid w:val="001D2D63"/>
    <w:rsid w:val="001D2E45"/>
    <w:rsid w:val="001D2F56"/>
    <w:rsid w:val="001D3114"/>
    <w:rsid w:val="001D3199"/>
    <w:rsid w:val="001D32B6"/>
    <w:rsid w:val="001D3502"/>
    <w:rsid w:val="001D3582"/>
    <w:rsid w:val="001D358D"/>
    <w:rsid w:val="001D37A1"/>
    <w:rsid w:val="001D37EC"/>
    <w:rsid w:val="001D3850"/>
    <w:rsid w:val="001D38DB"/>
    <w:rsid w:val="001D396D"/>
    <w:rsid w:val="001D399D"/>
    <w:rsid w:val="001D3B32"/>
    <w:rsid w:val="001D3BBB"/>
    <w:rsid w:val="001D3D4E"/>
    <w:rsid w:val="001D3D77"/>
    <w:rsid w:val="001D3DBA"/>
    <w:rsid w:val="001D3E41"/>
    <w:rsid w:val="001D3ED9"/>
    <w:rsid w:val="001D3FD4"/>
    <w:rsid w:val="001D4110"/>
    <w:rsid w:val="001D4135"/>
    <w:rsid w:val="001D4234"/>
    <w:rsid w:val="001D426A"/>
    <w:rsid w:val="001D4378"/>
    <w:rsid w:val="001D44E9"/>
    <w:rsid w:val="001D45AC"/>
    <w:rsid w:val="001D463D"/>
    <w:rsid w:val="001D46ED"/>
    <w:rsid w:val="001D4779"/>
    <w:rsid w:val="001D477A"/>
    <w:rsid w:val="001D4850"/>
    <w:rsid w:val="001D48AB"/>
    <w:rsid w:val="001D490B"/>
    <w:rsid w:val="001D4A0C"/>
    <w:rsid w:val="001D4A7D"/>
    <w:rsid w:val="001D4AD6"/>
    <w:rsid w:val="001D4AFD"/>
    <w:rsid w:val="001D4B49"/>
    <w:rsid w:val="001D4B6A"/>
    <w:rsid w:val="001D4B7C"/>
    <w:rsid w:val="001D4B9E"/>
    <w:rsid w:val="001D4BD8"/>
    <w:rsid w:val="001D4D1A"/>
    <w:rsid w:val="001D4E0A"/>
    <w:rsid w:val="001D4EAE"/>
    <w:rsid w:val="001D4FC4"/>
    <w:rsid w:val="001D501A"/>
    <w:rsid w:val="001D50FA"/>
    <w:rsid w:val="001D5179"/>
    <w:rsid w:val="001D519D"/>
    <w:rsid w:val="001D529E"/>
    <w:rsid w:val="001D52C1"/>
    <w:rsid w:val="001D52C9"/>
    <w:rsid w:val="001D5331"/>
    <w:rsid w:val="001D540F"/>
    <w:rsid w:val="001D5524"/>
    <w:rsid w:val="001D5596"/>
    <w:rsid w:val="001D571A"/>
    <w:rsid w:val="001D5737"/>
    <w:rsid w:val="001D573E"/>
    <w:rsid w:val="001D5792"/>
    <w:rsid w:val="001D5966"/>
    <w:rsid w:val="001D59AC"/>
    <w:rsid w:val="001D5B03"/>
    <w:rsid w:val="001D5B7D"/>
    <w:rsid w:val="001D5B9B"/>
    <w:rsid w:val="001D5C7F"/>
    <w:rsid w:val="001D5D0D"/>
    <w:rsid w:val="001D5E27"/>
    <w:rsid w:val="001D5E4B"/>
    <w:rsid w:val="001D5EB5"/>
    <w:rsid w:val="001D605B"/>
    <w:rsid w:val="001D60A4"/>
    <w:rsid w:val="001D60DF"/>
    <w:rsid w:val="001D61F8"/>
    <w:rsid w:val="001D620A"/>
    <w:rsid w:val="001D6256"/>
    <w:rsid w:val="001D62EB"/>
    <w:rsid w:val="001D63CB"/>
    <w:rsid w:val="001D6417"/>
    <w:rsid w:val="001D6442"/>
    <w:rsid w:val="001D657F"/>
    <w:rsid w:val="001D673A"/>
    <w:rsid w:val="001D6758"/>
    <w:rsid w:val="001D67C2"/>
    <w:rsid w:val="001D6888"/>
    <w:rsid w:val="001D68C7"/>
    <w:rsid w:val="001D69F2"/>
    <w:rsid w:val="001D6A2F"/>
    <w:rsid w:val="001D6B09"/>
    <w:rsid w:val="001D6B27"/>
    <w:rsid w:val="001D7070"/>
    <w:rsid w:val="001D72AE"/>
    <w:rsid w:val="001D731D"/>
    <w:rsid w:val="001D74BA"/>
    <w:rsid w:val="001D7536"/>
    <w:rsid w:val="001D75A5"/>
    <w:rsid w:val="001D761D"/>
    <w:rsid w:val="001D7742"/>
    <w:rsid w:val="001D782A"/>
    <w:rsid w:val="001D78A1"/>
    <w:rsid w:val="001D79C0"/>
    <w:rsid w:val="001D7A20"/>
    <w:rsid w:val="001D7A2E"/>
    <w:rsid w:val="001D7ACB"/>
    <w:rsid w:val="001D7C93"/>
    <w:rsid w:val="001D7D80"/>
    <w:rsid w:val="001D7FD9"/>
    <w:rsid w:val="001E0011"/>
    <w:rsid w:val="001E0053"/>
    <w:rsid w:val="001E00E5"/>
    <w:rsid w:val="001E019F"/>
    <w:rsid w:val="001E01CC"/>
    <w:rsid w:val="001E02FA"/>
    <w:rsid w:val="001E0417"/>
    <w:rsid w:val="001E0670"/>
    <w:rsid w:val="001E06AA"/>
    <w:rsid w:val="001E079A"/>
    <w:rsid w:val="001E0805"/>
    <w:rsid w:val="001E0813"/>
    <w:rsid w:val="001E0866"/>
    <w:rsid w:val="001E08F5"/>
    <w:rsid w:val="001E0947"/>
    <w:rsid w:val="001E0A14"/>
    <w:rsid w:val="001E0AAC"/>
    <w:rsid w:val="001E0B59"/>
    <w:rsid w:val="001E0BA1"/>
    <w:rsid w:val="001E0BDF"/>
    <w:rsid w:val="001E0C9A"/>
    <w:rsid w:val="001E0CA5"/>
    <w:rsid w:val="001E0CE1"/>
    <w:rsid w:val="001E0D0D"/>
    <w:rsid w:val="001E0DA3"/>
    <w:rsid w:val="001E0E04"/>
    <w:rsid w:val="001E0E8A"/>
    <w:rsid w:val="001E0FB5"/>
    <w:rsid w:val="001E0FE5"/>
    <w:rsid w:val="001E10CD"/>
    <w:rsid w:val="001E11D4"/>
    <w:rsid w:val="001E1372"/>
    <w:rsid w:val="001E13CC"/>
    <w:rsid w:val="001E1464"/>
    <w:rsid w:val="001E14E1"/>
    <w:rsid w:val="001E14F6"/>
    <w:rsid w:val="001E173F"/>
    <w:rsid w:val="001E17BA"/>
    <w:rsid w:val="001E19A9"/>
    <w:rsid w:val="001E1A25"/>
    <w:rsid w:val="001E1AC3"/>
    <w:rsid w:val="001E1C52"/>
    <w:rsid w:val="001E1E0E"/>
    <w:rsid w:val="001E1EC0"/>
    <w:rsid w:val="001E1EF9"/>
    <w:rsid w:val="001E1F53"/>
    <w:rsid w:val="001E1F8A"/>
    <w:rsid w:val="001E200D"/>
    <w:rsid w:val="001E2093"/>
    <w:rsid w:val="001E2241"/>
    <w:rsid w:val="001E22D3"/>
    <w:rsid w:val="001E22E9"/>
    <w:rsid w:val="001E22FA"/>
    <w:rsid w:val="001E24A3"/>
    <w:rsid w:val="001E24DE"/>
    <w:rsid w:val="001E24F4"/>
    <w:rsid w:val="001E265E"/>
    <w:rsid w:val="001E2667"/>
    <w:rsid w:val="001E2792"/>
    <w:rsid w:val="001E27D0"/>
    <w:rsid w:val="001E2926"/>
    <w:rsid w:val="001E293D"/>
    <w:rsid w:val="001E2CF1"/>
    <w:rsid w:val="001E2D98"/>
    <w:rsid w:val="001E2EA0"/>
    <w:rsid w:val="001E2F67"/>
    <w:rsid w:val="001E30E3"/>
    <w:rsid w:val="001E311B"/>
    <w:rsid w:val="001E31FB"/>
    <w:rsid w:val="001E3348"/>
    <w:rsid w:val="001E3388"/>
    <w:rsid w:val="001E3397"/>
    <w:rsid w:val="001E3509"/>
    <w:rsid w:val="001E3620"/>
    <w:rsid w:val="001E36DE"/>
    <w:rsid w:val="001E3750"/>
    <w:rsid w:val="001E37C7"/>
    <w:rsid w:val="001E3823"/>
    <w:rsid w:val="001E38CF"/>
    <w:rsid w:val="001E39A6"/>
    <w:rsid w:val="001E3A54"/>
    <w:rsid w:val="001E3AC0"/>
    <w:rsid w:val="001E3AE3"/>
    <w:rsid w:val="001E3BC7"/>
    <w:rsid w:val="001E3C7E"/>
    <w:rsid w:val="001E3CF9"/>
    <w:rsid w:val="001E3DAB"/>
    <w:rsid w:val="001E3EDF"/>
    <w:rsid w:val="001E3EF0"/>
    <w:rsid w:val="001E4099"/>
    <w:rsid w:val="001E4100"/>
    <w:rsid w:val="001E4209"/>
    <w:rsid w:val="001E420C"/>
    <w:rsid w:val="001E427C"/>
    <w:rsid w:val="001E4284"/>
    <w:rsid w:val="001E4285"/>
    <w:rsid w:val="001E4405"/>
    <w:rsid w:val="001E456D"/>
    <w:rsid w:val="001E461F"/>
    <w:rsid w:val="001E464F"/>
    <w:rsid w:val="001E466A"/>
    <w:rsid w:val="001E46BD"/>
    <w:rsid w:val="001E4728"/>
    <w:rsid w:val="001E472E"/>
    <w:rsid w:val="001E48E8"/>
    <w:rsid w:val="001E496D"/>
    <w:rsid w:val="001E4AC5"/>
    <w:rsid w:val="001E4BA7"/>
    <w:rsid w:val="001E4C10"/>
    <w:rsid w:val="001E4CEB"/>
    <w:rsid w:val="001E4FAB"/>
    <w:rsid w:val="001E50F9"/>
    <w:rsid w:val="001E512A"/>
    <w:rsid w:val="001E5296"/>
    <w:rsid w:val="001E5548"/>
    <w:rsid w:val="001E58B2"/>
    <w:rsid w:val="001E59AD"/>
    <w:rsid w:val="001E5AAA"/>
    <w:rsid w:val="001E5AE1"/>
    <w:rsid w:val="001E5EDC"/>
    <w:rsid w:val="001E5F01"/>
    <w:rsid w:val="001E5F24"/>
    <w:rsid w:val="001E60BA"/>
    <w:rsid w:val="001E61DC"/>
    <w:rsid w:val="001E6261"/>
    <w:rsid w:val="001E649D"/>
    <w:rsid w:val="001E64CB"/>
    <w:rsid w:val="001E65E6"/>
    <w:rsid w:val="001E65F1"/>
    <w:rsid w:val="001E6733"/>
    <w:rsid w:val="001E675B"/>
    <w:rsid w:val="001E6889"/>
    <w:rsid w:val="001E68D0"/>
    <w:rsid w:val="001E694C"/>
    <w:rsid w:val="001E6A69"/>
    <w:rsid w:val="001E6CB9"/>
    <w:rsid w:val="001E6ECB"/>
    <w:rsid w:val="001E6FE6"/>
    <w:rsid w:val="001E701B"/>
    <w:rsid w:val="001E70A3"/>
    <w:rsid w:val="001E7156"/>
    <w:rsid w:val="001E717C"/>
    <w:rsid w:val="001E720D"/>
    <w:rsid w:val="001E7280"/>
    <w:rsid w:val="001E72C9"/>
    <w:rsid w:val="001E73C1"/>
    <w:rsid w:val="001E74D5"/>
    <w:rsid w:val="001E763C"/>
    <w:rsid w:val="001E76A2"/>
    <w:rsid w:val="001E76D7"/>
    <w:rsid w:val="001E7741"/>
    <w:rsid w:val="001E7763"/>
    <w:rsid w:val="001E77BB"/>
    <w:rsid w:val="001E781C"/>
    <w:rsid w:val="001E7A14"/>
    <w:rsid w:val="001E7A6C"/>
    <w:rsid w:val="001E7AA0"/>
    <w:rsid w:val="001E7BB8"/>
    <w:rsid w:val="001E7C04"/>
    <w:rsid w:val="001E7D49"/>
    <w:rsid w:val="001E7E08"/>
    <w:rsid w:val="001E7F19"/>
    <w:rsid w:val="001F004C"/>
    <w:rsid w:val="001F01F6"/>
    <w:rsid w:val="001F0240"/>
    <w:rsid w:val="001F026F"/>
    <w:rsid w:val="001F02E1"/>
    <w:rsid w:val="001F039E"/>
    <w:rsid w:val="001F03C0"/>
    <w:rsid w:val="001F04CC"/>
    <w:rsid w:val="001F0591"/>
    <w:rsid w:val="001F06D9"/>
    <w:rsid w:val="001F0705"/>
    <w:rsid w:val="001F0717"/>
    <w:rsid w:val="001F0737"/>
    <w:rsid w:val="001F0757"/>
    <w:rsid w:val="001F0780"/>
    <w:rsid w:val="001F07BC"/>
    <w:rsid w:val="001F0802"/>
    <w:rsid w:val="001F0827"/>
    <w:rsid w:val="001F083D"/>
    <w:rsid w:val="001F08E1"/>
    <w:rsid w:val="001F0910"/>
    <w:rsid w:val="001F092A"/>
    <w:rsid w:val="001F095C"/>
    <w:rsid w:val="001F09B7"/>
    <w:rsid w:val="001F09F1"/>
    <w:rsid w:val="001F0AE6"/>
    <w:rsid w:val="001F0DCD"/>
    <w:rsid w:val="001F0DF4"/>
    <w:rsid w:val="001F0EC9"/>
    <w:rsid w:val="001F0EFE"/>
    <w:rsid w:val="001F0F73"/>
    <w:rsid w:val="001F101C"/>
    <w:rsid w:val="001F107B"/>
    <w:rsid w:val="001F1121"/>
    <w:rsid w:val="001F12D4"/>
    <w:rsid w:val="001F1362"/>
    <w:rsid w:val="001F1364"/>
    <w:rsid w:val="001F14F2"/>
    <w:rsid w:val="001F1506"/>
    <w:rsid w:val="001F15B8"/>
    <w:rsid w:val="001F15BC"/>
    <w:rsid w:val="001F15BE"/>
    <w:rsid w:val="001F160E"/>
    <w:rsid w:val="001F177D"/>
    <w:rsid w:val="001F17BF"/>
    <w:rsid w:val="001F1926"/>
    <w:rsid w:val="001F1B4D"/>
    <w:rsid w:val="001F1BE5"/>
    <w:rsid w:val="001F1EE0"/>
    <w:rsid w:val="001F21ED"/>
    <w:rsid w:val="001F22CA"/>
    <w:rsid w:val="001F22E4"/>
    <w:rsid w:val="001F2332"/>
    <w:rsid w:val="001F2365"/>
    <w:rsid w:val="001F237D"/>
    <w:rsid w:val="001F2424"/>
    <w:rsid w:val="001F24F8"/>
    <w:rsid w:val="001F2549"/>
    <w:rsid w:val="001F2568"/>
    <w:rsid w:val="001F2592"/>
    <w:rsid w:val="001F267B"/>
    <w:rsid w:val="001F26D5"/>
    <w:rsid w:val="001F26DB"/>
    <w:rsid w:val="001F26FB"/>
    <w:rsid w:val="001F270E"/>
    <w:rsid w:val="001F271E"/>
    <w:rsid w:val="001F2778"/>
    <w:rsid w:val="001F28EB"/>
    <w:rsid w:val="001F2904"/>
    <w:rsid w:val="001F2993"/>
    <w:rsid w:val="001F2CBC"/>
    <w:rsid w:val="001F2D84"/>
    <w:rsid w:val="001F2D85"/>
    <w:rsid w:val="001F2E6C"/>
    <w:rsid w:val="001F2FC7"/>
    <w:rsid w:val="001F3012"/>
    <w:rsid w:val="001F3013"/>
    <w:rsid w:val="001F3297"/>
    <w:rsid w:val="001F32CF"/>
    <w:rsid w:val="001F3380"/>
    <w:rsid w:val="001F338F"/>
    <w:rsid w:val="001F3415"/>
    <w:rsid w:val="001F3419"/>
    <w:rsid w:val="001F35D8"/>
    <w:rsid w:val="001F362E"/>
    <w:rsid w:val="001F3786"/>
    <w:rsid w:val="001F38C9"/>
    <w:rsid w:val="001F3976"/>
    <w:rsid w:val="001F39F4"/>
    <w:rsid w:val="001F3AF0"/>
    <w:rsid w:val="001F3AF1"/>
    <w:rsid w:val="001F3B7B"/>
    <w:rsid w:val="001F3C99"/>
    <w:rsid w:val="001F3CF0"/>
    <w:rsid w:val="001F40C2"/>
    <w:rsid w:val="001F4159"/>
    <w:rsid w:val="001F4173"/>
    <w:rsid w:val="001F439A"/>
    <w:rsid w:val="001F43D2"/>
    <w:rsid w:val="001F4470"/>
    <w:rsid w:val="001F44EA"/>
    <w:rsid w:val="001F4548"/>
    <w:rsid w:val="001F45A4"/>
    <w:rsid w:val="001F45EE"/>
    <w:rsid w:val="001F4739"/>
    <w:rsid w:val="001F477C"/>
    <w:rsid w:val="001F47B3"/>
    <w:rsid w:val="001F4934"/>
    <w:rsid w:val="001F4990"/>
    <w:rsid w:val="001F4992"/>
    <w:rsid w:val="001F4BB9"/>
    <w:rsid w:val="001F4BDA"/>
    <w:rsid w:val="001F4C55"/>
    <w:rsid w:val="001F4EF7"/>
    <w:rsid w:val="001F50AA"/>
    <w:rsid w:val="001F5123"/>
    <w:rsid w:val="001F513E"/>
    <w:rsid w:val="001F52FB"/>
    <w:rsid w:val="001F5444"/>
    <w:rsid w:val="001F5463"/>
    <w:rsid w:val="001F5492"/>
    <w:rsid w:val="001F54E0"/>
    <w:rsid w:val="001F54EF"/>
    <w:rsid w:val="001F56CD"/>
    <w:rsid w:val="001F56E6"/>
    <w:rsid w:val="001F5762"/>
    <w:rsid w:val="001F58E0"/>
    <w:rsid w:val="001F5975"/>
    <w:rsid w:val="001F5AD9"/>
    <w:rsid w:val="001F5B0C"/>
    <w:rsid w:val="001F5BA7"/>
    <w:rsid w:val="001F5BE2"/>
    <w:rsid w:val="001F5CEC"/>
    <w:rsid w:val="001F5D94"/>
    <w:rsid w:val="001F5DFD"/>
    <w:rsid w:val="001F5E70"/>
    <w:rsid w:val="001F5F72"/>
    <w:rsid w:val="001F601F"/>
    <w:rsid w:val="001F6091"/>
    <w:rsid w:val="001F60C1"/>
    <w:rsid w:val="001F618D"/>
    <w:rsid w:val="001F61B6"/>
    <w:rsid w:val="001F623F"/>
    <w:rsid w:val="001F6381"/>
    <w:rsid w:val="001F6411"/>
    <w:rsid w:val="001F6440"/>
    <w:rsid w:val="001F64E4"/>
    <w:rsid w:val="001F668B"/>
    <w:rsid w:val="001F672D"/>
    <w:rsid w:val="001F6951"/>
    <w:rsid w:val="001F69BC"/>
    <w:rsid w:val="001F69CA"/>
    <w:rsid w:val="001F6C5B"/>
    <w:rsid w:val="001F6C9F"/>
    <w:rsid w:val="001F6CAA"/>
    <w:rsid w:val="001F6CBF"/>
    <w:rsid w:val="001F6D14"/>
    <w:rsid w:val="001F7058"/>
    <w:rsid w:val="001F70ED"/>
    <w:rsid w:val="001F70FE"/>
    <w:rsid w:val="001F74D1"/>
    <w:rsid w:val="001F766E"/>
    <w:rsid w:val="001F77BE"/>
    <w:rsid w:val="001F78C3"/>
    <w:rsid w:val="001F793D"/>
    <w:rsid w:val="001F7981"/>
    <w:rsid w:val="001F7982"/>
    <w:rsid w:val="001F7A0B"/>
    <w:rsid w:val="001F7E0E"/>
    <w:rsid w:val="001F7E21"/>
    <w:rsid w:val="001F7EDC"/>
    <w:rsid w:val="00200161"/>
    <w:rsid w:val="00200379"/>
    <w:rsid w:val="00200384"/>
    <w:rsid w:val="002003AC"/>
    <w:rsid w:val="002003CC"/>
    <w:rsid w:val="002004DB"/>
    <w:rsid w:val="00200720"/>
    <w:rsid w:val="00200723"/>
    <w:rsid w:val="00200786"/>
    <w:rsid w:val="002007B6"/>
    <w:rsid w:val="00200878"/>
    <w:rsid w:val="00200880"/>
    <w:rsid w:val="00200AB9"/>
    <w:rsid w:val="00200C1F"/>
    <w:rsid w:val="00200CAC"/>
    <w:rsid w:val="00200D4E"/>
    <w:rsid w:val="00200D61"/>
    <w:rsid w:val="00200DD5"/>
    <w:rsid w:val="00200F88"/>
    <w:rsid w:val="00200FF3"/>
    <w:rsid w:val="00201142"/>
    <w:rsid w:val="002011EC"/>
    <w:rsid w:val="00201335"/>
    <w:rsid w:val="00201366"/>
    <w:rsid w:val="00201471"/>
    <w:rsid w:val="002015D8"/>
    <w:rsid w:val="002015F9"/>
    <w:rsid w:val="002016D5"/>
    <w:rsid w:val="00201808"/>
    <w:rsid w:val="00201953"/>
    <w:rsid w:val="002019B9"/>
    <w:rsid w:val="00201A74"/>
    <w:rsid w:val="00201D1C"/>
    <w:rsid w:val="00201D74"/>
    <w:rsid w:val="00201EF1"/>
    <w:rsid w:val="00201F0E"/>
    <w:rsid w:val="00201F85"/>
    <w:rsid w:val="0020207D"/>
    <w:rsid w:val="002021DA"/>
    <w:rsid w:val="0020227C"/>
    <w:rsid w:val="00202338"/>
    <w:rsid w:val="002023C1"/>
    <w:rsid w:val="002023C3"/>
    <w:rsid w:val="00202447"/>
    <w:rsid w:val="0020248A"/>
    <w:rsid w:val="00202601"/>
    <w:rsid w:val="0020273C"/>
    <w:rsid w:val="002027AD"/>
    <w:rsid w:val="0020281F"/>
    <w:rsid w:val="00202838"/>
    <w:rsid w:val="0020286F"/>
    <w:rsid w:val="00202957"/>
    <w:rsid w:val="002029A3"/>
    <w:rsid w:val="002029D0"/>
    <w:rsid w:val="00202C95"/>
    <w:rsid w:val="00202EB3"/>
    <w:rsid w:val="00202ED6"/>
    <w:rsid w:val="00202EEE"/>
    <w:rsid w:val="00202FD1"/>
    <w:rsid w:val="00203007"/>
    <w:rsid w:val="00203172"/>
    <w:rsid w:val="002031BD"/>
    <w:rsid w:val="002031DB"/>
    <w:rsid w:val="00203235"/>
    <w:rsid w:val="0020329C"/>
    <w:rsid w:val="002032FC"/>
    <w:rsid w:val="00203440"/>
    <w:rsid w:val="0020347B"/>
    <w:rsid w:val="002034F9"/>
    <w:rsid w:val="002035EA"/>
    <w:rsid w:val="0020364F"/>
    <w:rsid w:val="002036BA"/>
    <w:rsid w:val="00203749"/>
    <w:rsid w:val="00203768"/>
    <w:rsid w:val="00203864"/>
    <w:rsid w:val="00203870"/>
    <w:rsid w:val="0020388A"/>
    <w:rsid w:val="00203B3B"/>
    <w:rsid w:val="00203E61"/>
    <w:rsid w:val="00203F39"/>
    <w:rsid w:val="00203FBD"/>
    <w:rsid w:val="002040B9"/>
    <w:rsid w:val="002040D6"/>
    <w:rsid w:val="0020421F"/>
    <w:rsid w:val="002042A0"/>
    <w:rsid w:val="002042B1"/>
    <w:rsid w:val="0020434A"/>
    <w:rsid w:val="00204517"/>
    <w:rsid w:val="0020465A"/>
    <w:rsid w:val="00204666"/>
    <w:rsid w:val="002046D9"/>
    <w:rsid w:val="00204851"/>
    <w:rsid w:val="00204901"/>
    <w:rsid w:val="00204979"/>
    <w:rsid w:val="00204B93"/>
    <w:rsid w:val="00204C68"/>
    <w:rsid w:val="00204D73"/>
    <w:rsid w:val="00204D84"/>
    <w:rsid w:val="00204E79"/>
    <w:rsid w:val="00204EBD"/>
    <w:rsid w:val="00204F8E"/>
    <w:rsid w:val="00205027"/>
    <w:rsid w:val="00205034"/>
    <w:rsid w:val="002051A6"/>
    <w:rsid w:val="00205356"/>
    <w:rsid w:val="002053CE"/>
    <w:rsid w:val="002055A6"/>
    <w:rsid w:val="0020577C"/>
    <w:rsid w:val="002057A8"/>
    <w:rsid w:val="0020587D"/>
    <w:rsid w:val="002058A0"/>
    <w:rsid w:val="002058AD"/>
    <w:rsid w:val="00205A43"/>
    <w:rsid w:val="00205AD8"/>
    <w:rsid w:val="00205AFB"/>
    <w:rsid w:val="00205B0D"/>
    <w:rsid w:val="00205B23"/>
    <w:rsid w:val="00205B28"/>
    <w:rsid w:val="00205C04"/>
    <w:rsid w:val="00205DE3"/>
    <w:rsid w:val="00205F7F"/>
    <w:rsid w:val="0020605E"/>
    <w:rsid w:val="0020612B"/>
    <w:rsid w:val="0020612D"/>
    <w:rsid w:val="002061A5"/>
    <w:rsid w:val="002061C1"/>
    <w:rsid w:val="002061D3"/>
    <w:rsid w:val="00206358"/>
    <w:rsid w:val="00206394"/>
    <w:rsid w:val="002063A3"/>
    <w:rsid w:val="0020647E"/>
    <w:rsid w:val="00206514"/>
    <w:rsid w:val="00206561"/>
    <w:rsid w:val="002065B7"/>
    <w:rsid w:val="00206694"/>
    <w:rsid w:val="002067AD"/>
    <w:rsid w:val="00206827"/>
    <w:rsid w:val="0020683F"/>
    <w:rsid w:val="00206885"/>
    <w:rsid w:val="0020694F"/>
    <w:rsid w:val="00206A25"/>
    <w:rsid w:val="00206B32"/>
    <w:rsid w:val="00206C2E"/>
    <w:rsid w:val="00206E4C"/>
    <w:rsid w:val="00206E68"/>
    <w:rsid w:val="00206EF4"/>
    <w:rsid w:val="00206F98"/>
    <w:rsid w:val="00206FD4"/>
    <w:rsid w:val="00207179"/>
    <w:rsid w:val="00207255"/>
    <w:rsid w:val="002072E7"/>
    <w:rsid w:val="00207397"/>
    <w:rsid w:val="00207404"/>
    <w:rsid w:val="002074B9"/>
    <w:rsid w:val="002075C4"/>
    <w:rsid w:val="002078B2"/>
    <w:rsid w:val="002079E9"/>
    <w:rsid w:val="00207A05"/>
    <w:rsid w:val="00207B1C"/>
    <w:rsid w:val="00207C55"/>
    <w:rsid w:val="00207C93"/>
    <w:rsid w:val="00207CA4"/>
    <w:rsid w:val="00207CF6"/>
    <w:rsid w:val="00207E0F"/>
    <w:rsid w:val="00207FA3"/>
    <w:rsid w:val="00207FF5"/>
    <w:rsid w:val="00210054"/>
    <w:rsid w:val="00210076"/>
    <w:rsid w:val="002100B2"/>
    <w:rsid w:val="002100D3"/>
    <w:rsid w:val="00210146"/>
    <w:rsid w:val="00210154"/>
    <w:rsid w:val="002102F8"/>
    <w:rsid w:val="002102FD"/>
    <w:rsid w:val="00210316"/>
    <w:rsid w:val="00210583"/>
    <w:rsid w:val="002105DC"/>
    <w:rsid w:val="00210602"/>
    <w:rsid w:val="002106CB"/>
    <w:rsid w:val="00210710"/>
    <w:rsid w:val="00210994"/>
    <w:rsid w:val="00210A6F"/>
    <w:rsid w:val="00210A87"/>
    <w:rsid w:val="00210B44"/>
    <w:rsid w:val="00210B4F"/>
    <w:rsid w:val="00210BC4"/>
    <w:rsid w:val="00210C48"/>
    <w:rsid w:val="00210D07"/>
    <w:rsid w:val="00210D09"/>
    <w:rsid w:val="00210D37"/>
    <w:rsid w:val="00210D57"/>
    <w:rsid w:val="00210D8D"/>
    <w:rsid w:val="00210DB8"/>
    <w:rsid w:val="00210E4E"/>
    <w:rsid w:val="00210E70"/>
    <w:rsid w:val="0021123D"/>
    <w:rsid w:val="00211252"/>
    <w:rsid w:val="002113A0"/>
    <w:rsid w:val="002114FC"/>
    <w:rsid w:val="00211576"/>
    <w:rsid w:val="00211678"/>
    <w:rsid w:val="00211786"/>
    <w:rsid w:val="00211A9B"/>
    <w:rsid w:val="00211ADB"/>
    <w:rsid w:val="00211B1C"/>
    <w:rsid w:val="00211B3D"/>
    <w:rsid w:val="00211BC9"/>
    <w:rsid w:val="00211C02"/>
    <w:rsid w:val="00211CB2"/>
    <w:rsid w:val="00211E88"/>
    <w:rsid w:val="00211F2C"/>
    <w:rsid w:val="00211F7D"/>
    <w:rsid w:val="002120B0"/>
    <w:rsid w:val="002120E0"/>
    <w:rsid w:val="0021221A"/>
    <w:rsid w:val="002122D7"/>
    <w:rsid w:val="002122EC"/>
    <w:rsid w:val="00212515"/>
    <w:rsid w:val="00212521"/>
    <w:rsid w:val="0021255E"/>
    <w:rsid w:val="00212579"/>
    <w:rsid w:val="002125C6"/>
    <w:rsid w:val="0021279B"/>
    <w:rsid w:val="002127F4"/>
    <w:rsid w:val="00212853"/>
    <w:rsid w:val="002128D7"/>
    <w:rsid w:val="00212986"/>
    <w:rsid w:val="00212A19"/>
    <w:rsid w:val="00212A8B"/>
    <w:rsid w:val="00212AB9"/>
    <w:rsid w:val="00212B59"/>
    <w:rsid w:val="00212C45"/>
    <w:rsid w:val="00212CD3"/>
    <w:rsid w:val="00213010"/>
    <w:rsid w:val="00213017"/>
    <w:rsid w:val="00213021"/>
    <w:rsid w:val="00213162"/>
    <w:rsid w:val="00213179"/>
    <w:rsid w:val="0021317D"/>
    <w:rsid w:val="00213305"/>
    <w:rsid w:val="0021331C"/>
    <w:rsid w:val="002133F6"/>
    <w:rsid w:val="00213437"/>
    <w:rsid w:val="00213448"/>
    <w:rsid w:val="0021363D"/>
    <w:rsid w:val="0021373F"/>
    <w:rsid w:val="002137B7"/>
    <w:rsid w:val="00213922"/>
    <w:rsid w:val="0021394E"/>
    <w:rsid w:val="00213963"/>
    <w:rsid w:val="002139A1"/>
    <w:rsid w:val="002139EF"/>
    <w:rsid w:val="00213B90"/>
    <w:rsid w:val="00213CCC"/>
    <w:rsid w:val="00213D7D"/>
    <w:rsid w:val="00213E3F"/>
    <w:rsid w:val="00213EAC"/>
    <w:rsid w:val="00214053"/>
    <w:rsid w:val="0021413C"/>
    <w:rsid w:val="002141CE"/>
    <w:rsid w:val="00214295"/>
    <w:rsid w:val="002142C3"/>
    <w:rsid w:val="002143CA"/>
    <w:rsid w:val="0021459D"/>
    <w:rsid w:val="002147D4"/>
    <w:rsid w:val="002149BA"/>
    <w:rsid w:val="00214A88"/>
    <w:rsid w:val="00214B9F"/>
    <w:rsid w:val="00214C19"/>
    <w:rsid w:val="00214CC3"/>
    <w:rsid w:val="00214D4D"/>
    <w:rsid w:val="00214E62"/>
    <w:rsid w:val="00215052"/>
    <w:rsid w:val="00215467"/>
    <w:rsid w:val="002155A7"/>
    <w:rsid w:val="002156AD"/>
    <w:rsid w:val="002157D7"/>
    <w:rsid w:val="002157F7"/>
    <w:rsid w:val="00215865"/>
    <w:rsid w:val="00215A1B"/>
    <w:rsid w:val="00215AA4"/>
    <w:rsid w:val="00215B23"/>
    <w:rsid w:val="00215B32"/>
    <w:rsid w:val="00215C00"/>
    <w:rsid w:val="00215C0C"/>
    <w:rsid w:val="00215CCA"/>
    <w:rsid w:val="00215D2D"/>
    <w:rsid w:val="00216009"/>
    <w:rsid w:val="00216196"/>
    <w:rsid w:val="002161A1"/>
    <w:rsid w:val="0021638E"/>
    <w:rsid w:val="002163F1"/>
    <w:rsid w:val="00216491"/>
    <w:rsid w:val="002164CC"/>
    <w:rsid w:val="00216691"/>
    <w:rsid w:val="002167DE"/>
    <w:rsid w:val="00216829"/>
    <w:rsid w:val="00216849"/>
    <w:rsid w:val="002169E8"/>
    <w:rsid w:val="00216A05"/>
    <w:rsid w:val="00216A2A"/>
    <w:rsid w:val="00216D32"/>
    <w:rsid w:val="00216E1A"/>
    <w:rsid w:val="00216F1D"/>
    <w:rsid w:val="00216F8C"/>
    <w:rsid w:val="0021717C"/>
    <w:rsid w:val="002173F2"/>
    <w:rsid w:val="002175AD"/>
    <w:rsid w:val="0021767C"/>
    <w:rsid w:val="002176BC"/>
    <w:rsid w:val="002177C7"/>
    <w:rsid w:val="00217863"/>
    <w:rsid w:val="002178BD"/>
    <w:rsid w:val="00217B38"/>
    <w:rsid w:val="00217E5E"/>
    <w:rsid w:val="00220199"/>
    <w:rsid w:val="002201B1"/>
    <w:rsid w:val="002204A7"/>
    <w:rsid w:val="0022055E"/>
    <w:rsid w:val="002205EC"/>
    <w:rsid w:val="0022062C"/>
    <w:rsid w:val="00220639"/>
    <w:rsid w:val="00220764"/>
    <w:rsid w:val="002207C4"/>
    <w:rsid w:val="00220831"/>
    <w:rsid w:val="00220838"/>
    <w:rsid w:val="00220861"/>
    <w:rsid w:val="00220883"/>
    <w:rsid w:val="00220897"/>
    <w:rsid w:val="00220956"/>
    <w:rsid w:val="002209FE"/>
    <w:rsid w:val="00220A93"/>
    <w:rsid w:val="00220AEE"/>
    <w:rsid w:val="00220BC5"/>
    <w:rsid w:val="00220C10"/>
    <w:rsid w:val="00220CA4"/>
    <w:rsid w:val="00220D77"/>
    <w:rsid w:val="00220D81"/>
    <w:rsid w:val="00220EAD"/>
    <w:rsid w:val="00220FED"/>
    <w:rsid w:val="00221014"/>
    <w:rsid w:val="00221034"/>
    <w:rsid w:val="00221125"/>
    <w:rsid w:val="0022125F"/>
    <w:rsid w:val="0022134B"/>
    <w:rsid w:val="002214AB"/>
    <w:rsid w:val="002214F2"/>
    <w:rsid w:val="0022157E"/>
    <w:rsid w:val="00221651"/>
    <w:rsid w:val="00221670"/>
    <w:rsid w:val="002216DE"/>
    <w:rsid w:val="002216E9"/>
    <w:rsid w:val="0022181F"/>
    <w:rsid w:val="00221846"/>
    <w:rsid w:val="00221951"/>
    <w:rsid w:val="00221A58"/>
    <w:rsid w:val="00221A9A"/>
    <w:rsid w:val="00221AF2"/>
    <w:rsid w:val="00221B16"/>
    <w:rsid w:val="00221B80"/>
    <w:rsid w:val="00221BC2"/>
    <w:rsid w:val="00221BE5"/>
    <w:rsid w:val="00221CBA"/>
    <w:rsid w:val="00221D1D"/>
    <w:rsid w:val="00221E7D"/>
    <w:rsid w:val="00222009"/>
    <w:rsid w:val="0022208E"/>
    <w:rsid w:val="002220DA"/>
    <w:rsid w:val="00222102"/>
    <w:rsid w:val="00222122"/>
    <w:rsid w:val="00222195"/>
    <w:rsid w:val="002221C5"/>
    <w:rsid w:val="002221D0"/>
    <w:rsid w:val="00222259"/>
    <w:rsid w:val="00222278"/>
    <w:rsid w:val="002222D6"/>
    <w:rsid w:val="00222315"/>
    <w:rsid w:val="002223D8"/>
    <w:rsid w:val="002223E6"/>
    <w:rsid w:val="0022242F"/>
    <w:rsid w:val="002224A7"/>
    <w:rsid w:val="0022259E"/>
    <w:rsid w:val="002226B0"/>
    <w:rsid w:val="0022271E"/>
    <w:rsid w:val="0022272E"/>
    <w:rsid w:val="002227D3"/>
    <w:rsid w:val="00222872"/>
    <w:rsid w:val="00222880"/>
    <w:rsid w:val="002228EB"/>
    <w:rsid w:val="002229F2"/>
    <w:rsid w:val="00222A68"/>
    <w:rsid w:val="00222D0D"/>
    <w:rsid w:val="00222EBD"/>
    <w:rsid w:val="00223130"/>
    <w:rsid w:val="0022313D"/>
    <w:rsid w:val="00223186"/>
    <w:rsid w:val="002231D6"/>
    <w:rsid w:val="002231E5"/>
    <w:rsid w:val="0022323F"/>
    <w:rsid w:val="002232B6"/>
    <w:rsid w:val="002235BB"/>
    <w:rsid w:val="0022364A"/>
    <w:rsid w:val="002236B1"/>
    <w:rsid w:val="002236C5"/>
    <w:rsid w:val="00223706"/>
    <w:rsid w:val="00223789"/>
    <w:rsid w:val="00223879"/>
    <w:rsid w:val="00223965"/>
    <w:rsid w:val="0022398C"/>
    <w:rsid w:val="002239C7"/>
    <w:rsid w:val="00223AFA"/>
    <w:rsid w:val="00223BA0"/>
    <w:rsid w:val="00223CF4"/>
    <w:rsid w:val="00223EE2"/>
    <w:rsid w:val="00223F7E"/>
    <w:rsid w:val="0022425B"/>
    <w:rsid w:val="00224296"/>
    <w:rsid w:val="002243DE"/>
    <w:rsid w:val="00224498"/>
    <w:rsid w:val="002244D3"/>
    <w:rsid w:val="00224573"/>
    <w:rsid w:val="00224648"/>
    <w:rsid w:val="00224655"/>
    <w:rsid w:val="002246F4"/>
    <w:rsid w:val="00224809"/>
    <w:rsid w:val="002248B7"/>
    <w:rsid w:val="002248E0"/>
    <w:rsid w:val="0022497A"/>
    <w:rsid w:val="002249D3"/>
    <w:rsid w:val="00224AB8"/>
    <w:rsid w:val="00224ABC"/>
    <w:rsid w:val="00224CE7"/>
    <w:rsid w:val="00224D22"/>
    <w:rsid w:val="00224E1A"/>
    <w:rsid w:val="00224E5A"/>
    <w:rsid w:val="00224E96"/>
    <w:rsid w:val="00224E9C"/>
    <w:rsid w:val="00224ED7"/>
    <w:rsid w:val="00224EF9"/>
    <w:rsid w:val="00224F00"/>
    <w:rsid w:val="00224FDE"/>
    <w:rsid w:val="0022500B"/>
    <w:rsid w:val="00225089"/>
    <w:rsid w:val="00225216"/>
    <w:rsid w:val="00225295"/>
    <w:rsid w:val="002253EB"/>
    <w:rsid w:val="00225470"/>
    <w:rsid w:val="00225625"/>
    <w:rsid w:val="00225685"/>
    <w:rsid w:val="0022574C"/>
    <w:rsid w:val="00225765"/>
    <w:rsid w:val="002257B1"/>
    <w:rsid w:val="00225827"/>
    <w:rsid w:val="00225880"/>
    <w:rsid w:val="00225B95"/>
    <w:rsid w:val="00225CC8"/>
    <w:rsid w:val="00225CD3"/>
    <w:rsid w:val="00225D0F"/>
    <w:rsid w:val="0022605C"/>
    <w:rsid w:val="00226083"/>
    <w:rsid w:val="002260FA"/>
    <w:rsid w:val="0022612D"/>
    <w:rsid w:val="00226193"/>
    <w:rsid w:val="00226289"/>
    <w:rsid w:val="002262B5"/>
    <w:rsid w:val="002263B0"/>
    <w:rsid w:val="002263EE"/>
    <w:rsid w:val="002264AE"/>
    <w:rsid w:val="0022653F"/>
    <w:rsid w:val="0022664B"/>
    <w:rsid w:val="0022677D"/>
    <w:rsid w:val="002267A9"/>
    <w:rsid w:val="00226820"/>
    <w:rsid w:val="0022684E"/>
    <w:rsid w:val="00226852"/>
    <w:rsid w:val="00226865"/>
    <w:rsid w:val="0022687B"/>
    <w:rsid w:val="00226892"/>
    <w:rsid w:val="002268EE"/>
    <w:rsid w:val="00226A1A"/>
    <w:rsid w:val="00226A24"/>
    <w:rsid w:val="00226C46"/>
    <w:rsid w:val="00226C5C"/>
    <w:rsid w:val="00226E61"/>
    <w:rsid w:val="00226F27"/>
    <w:rsid w:val="002270C1"/>
    <w:rsid w:val="002272EB"/>
    <w:rsid w:val="00227429"/>
    <w:rsid w:val="002274C0"/>
    <w:rsid w:val="0022765C"/>
    <w:rsid w:val="00227765"/>
    <w:rsid w:val="00227847"/>
    <w:rsid w:val="00227916"/>
    <w:rsid w:val="00227927"/>
    <w:rsid w:val="00227DCE"/>
    <w:rsid w:val="00227DD3"/>
    <w:rsid w:val="00227E71"/>
    <w:rsid w:val="00227ED8"/>
    <w:rsid w:val="00227F05"/>
    <w:rsid w:val="00227F2A"/>
    <w:rsid w:val="0023005B"/>
    <w:rsid w:val="0023022C"/>
    <w:rsid w:val="0023024C"/>
    <w:rsid w:val="00230329"/>
    <w:rsid w:val="0023041A"/>
    <w:rsid w:val="00230448"/>
    <w:rsid w:val="00230517"/>
    <w:rsid w:val="0023052F"/>
    <w:rsid w:val="00230647"/>
    <w:rsid w:val="0023076E"/>
    <w:rsid w:val="00230897"/>
    <w:rsid w:val="00230969"/>
    <w:rsid w:val="00230B08"/>
    <w:rsid w:val="00230B55"/>
    <w:rsid w:val="00230C2C"/>
    <w:rsid w:val="00230DCB"/>
    <w:rsid w:val="00230E5E"/>
    <w:rsid w:val="00230F0A"/>
    <w:rsid w:val="00230F78"/>
    <w:rsid w:val="00230FEA"/>
    <w:rsid w:val="0023103A"/>
    <w:rsid w:val="00231040"/>
    <w:rsid w:val="002310F6"/>
    <w:rsid w:val="002311C5"/>
    <w:rsid w:val="00231374"/>
    <w:rsid w:val="00231532"/>
    <w:rsid w:val="0023170A"/>
    <w:rsid w:val="0023177E"/>
    <w:rsid w:val="00231A3F"/>
    <w:rsid w:val="00231DD9"/>
    <w:rsid w:val="00231DF0"/>
    <w:rsid w:val="00232008"/>
    <w:rsid w:val="00232028"/>
    <w:rsid w:val="002320A2"/>
    <w:rsid w:val="00232234"/>
    <w:rsid w:val="002322A2"/>
    <w:rsid w:val="00232335"/>
    <w:rsid w:val="002323C3"/>
    <w:rsid w:val="0023243D"/>
    <w:rsid w:val="00232560"/>
    <w:rsid w:val="002325F7"/>
    <w:rsid w:val="00232601"/>
    <w:rsid w:val="00232649"/>
    <w:rsid w:val="0023275A"/>
    <w:rsid w:val="00232C1B"/>
    <w:rsid w:val="00232C80"/>
    <w:rsid w:val="00232DAE"/>
    <w:rsid w:val="00232F46"/>
    <w:rsid w:val="002330D1"/>
    <w:rsid w:val="002330E8"/>
    <w:rsid w:val="0023311B"/>
    <w:rsid w:val="0023316D"/>
    <w:rsid w:val="002331D3"/>
    <w:rsid w:val="00233323"/>
    <w:rsid w:val="00233389"/>
    <w:rsid w:val="002333AF"/>
    <w:rsid w:val="0023342B"/>
    <w:rsid w:val="002334E6"/>
    <w:rsid w:val="00233653"/>
    <w:rsid w:val="0023367D"/>
    <w:rsid w:val="00233735"/>
    <w:rsid w:val="00233869"/>
    <w:rsid w:val="0023395D"/>
    <w:rsid w:val="00233972"/>
    <w:rsid w:val="00233A73"/>
    <w:rsid w:val="00233AB4"/>
    <w:rsid w:val="00233BF2"/>
    <w:rsid w:val="00233C29"/>
    <w:rsid w:val="00233C69"/>
    <w:rsid w:val="00233C9A"/>
    <w:rsid w:val="00233D33"/>
    <w:rsid w:val="00233D6C"/>
    <w:rsid w:val="00233D76"/>
    <w:rsid w:val="00233E8D"/>
    <w:rsid w:val="00234095"/>
    <w:rsid w:val="00234107"/>
    <w:rsid w:val="0023427C"/>
    <w:rsid w:val="00234284"/>
    <w:rsid w:val="00234302"/>
    <w:rsid w:val="00234330"/>
    <w:rsid w:val="0023441C"/>
    <w:rsid w:val="0023465B"/>
    <w:rsid w:val="0023466F"/>
    <w:rsid w:val="0023477D"/>
    <w:rsid w:val="002348D5"/>
    <w:rsid w:val="0023496E"/>
    <w:rsid w:val="00234BED"/>
    <w:rsid w:val="00234D14"/>
    <w:rsid w:val="00234D67"/>
    <w:rsid w:val="00234E1D"/>
    <w:rsid w:val="00234E62"/>
    <w:rsid w:val="00234E8C"/>
    <w:rsid w:val="0023511C"/>
    <w:rsid w:val="0023515F"/>
    <w:rsid w:val="002354A8"/>
    <w:rsid w:val="00235507"/>
    <w:rsid w:val="002355D0"/>
    <w:rsid w:val="002355E2"/>
    <w:rsid w:val="00235660"/>
    <w:rsid w:val="0023579C"/>
    <w:rsid w:val="00235830"/>
    <w:rsid w:val="0023585F"/>
    <w:rsid w:val="002358A9"/>
    <w:rsid w:val="00235984"/>
    <w:rsid w:val="00235A55"/>
    <w:rsid w:val="00235B0F"/>
    <w:rsid w:val="00235D7B"/>
    <w:rsid w:val="00235E68"/>
    <w:rsid w:val="00235EBC"/>
    <w:rsid w:val="00235F6E"/>
    <w:rsid w:val="002360A9"/>
    <w:rsid w:val="0023613D"/>
    <w:rsid w:val="0023646B"/>
    <w:rsid w:val="0023646C"/>
    <w:rsid w:val="00236500"/>
    <w:rsid w:val="00236662"/>
    <w:rsid w:val="0023666A"/>
    <w:rsid w:val="00236820"/>
    <w:rsid w:val="00236835"/>
    <w:rsid w:val="00236842"/>
    <w:rsid w:val="0023686C"/>
    <w:rsid w:val="002368ED"/>
    <w:rsid w:val="002369FF"/>
    <w:rsid w:val="00236AA9"/>
    <w:rsid w:val="00236C5E"/>
    <w:rsid w:val="00236CD6"/>
    <w:rsid w:val="00236D70"/>
    <w:rsid w:val="00236E4F"/>
    <w:rsid w:val="00236F54"/>
    <w:rsid w:val="00236F84"/>
    <w:rsid w:val="00237181"/>
    <w:rsid w:val="0023718F"/>
    <w:rsid w:val="00237305"/>
    <w:rsid w:val="00237435"/>
    <w:rsid w:val="00237576"/>
    <w:rsid w:val="00237616"/>
    <w:rsid w:val="002377A9"/>
    <w:rsid w:val="002378AD"/>
    <w:rsid w:val="002379F6"/>
    <w:rsid w:val="00237AAF"/>
    <w:rsid w:val="00237AD3"/>
    <w:rsid w:val="00237BAA"/>
    <w:rsid w:val="00237D0C"/>
    <w:rsid w:val="00237D4B"/>
    <w:rsid w:val="00237D99"/>
    <w:rsid w:val="00237F1B"/>
    <w:rsid w:val="00237FD2"/>
    <w:rsid w:val="00240150"/>
    <w:rsid w:val="002401D6"/>
    <w:rsid w:val="0024024B"/>
    <w:rsid w:val="0024025D"/>
    <w:rsid w:val="00240296"/>
    <w:rsid w:val="002402FC"/>
    <w:rsid w:val="00240410"/>
    <w:rsid w:val="002404AA"/>
    <w:rsid w:val="002404DB"/>
    <w:rsid w:val="002405C9"/>
    <w:rsid w:val="002405D4"/>
    <w:rsid w:val="0024070A"/>
    <w:rsid w:val="0024080E"/>
    <w:rsid w:val="00240AD3"/>
    <w:rsid w:val="00240B59"/>
    <w:rsid w:val="00240C70"/>
    <w:rsid w:val="00240D8B"/>
    <w:rsid w:val="00240DC3"/>
    <w:rsid w:val="00240E16"/>
    <w:rsid w:val="00240EC5"/>
    <w:rsid w:val="00240FDB"/>
    <w:rsid w:val="00241024"/>
    <w:rsid w:val="00241187"/>
    <w:rsid w:val="002411CB"/>
    <w:rsid w:val="002413C0"/>
    <w:rsid w:val="00241660"/>
    <w:rsid w:val="0024174B"/>
    <w:rsid w:val="00241853"/>
    <w:rsid w:val="002418B8"/>
    <w:rsid w:val="00241946"/>
    <w:rsid w:val="0024197F"/>
    <w:rsid w:val="002419C1"/>
    <w:rsid w:val="002419FF"/>
    <w:rsid w:val="00241A1A"/>
    <w:rsid w:val="00241A2D"/>
    <w:rsid w:val="00241B61"/>
    <w:rsid w:val="00241BD3"/>
    <w:rsid w:val="00241C55"/>
    <w:rsid w:val="00241E26"/>
    <w:rsid w:val="00241EB3"/>
    <w:rsid w:val="00241EC5"/>
    <w:rsid w:val="00241FC6"/>
    <w:rsid w:val="00241FCD"/>
    <w:rsid w:val="00242006"/>
    <w:rsid w:val="00242283"/>
    <w:rsid w:val="0024229A"/>
    <w:rsid w:val="002422C8"/>
    <w:rsid w:val="002422FD"/>
    <w:rsid w:val="0024239A"/>
    <w:rsid w:val="002423E4"/>
    <w:rsid w:val="00242448"/>
    <w:rsid w:val="00242572"/>
    <w:rsid w:val="0024261B"/>
    <w:rsid w:val="002426D2"/>
    <w:rsid w:val="002426EC"/>
    <w:rsid w:val="00242782"/>
    <w:rsid w:val="002428FC"/>
    <w:rsid w:val="002429AC"/>
    <w:rsid w:val="002429AD"/>
    <w:rsid w:val="002429DA"/>
    <w:rsid w:val="00242A9B"/>
    <w:rsid w:val="00242B06"/>
    <w:rsid w:val="00242CD8"/>
    <w:rsid w:val="00242D89"/>
    <w:rsid w:val="00242E5E"/>
    <w:rsid w:val="00242EC6"/>
    <w:rsid w:val="00242F01"/>
    <w:rsid w:val="00242FF7"/>
    <w:rsid w:val="002433CC"/>
    <w:rsid w:val="0024351F"/>
    <w:rsid w:val="0024352D"/>
    <w:rsid w:val="00243584"/>
    <w:rsid w:val="00243674"/>
    <w:rsid w:val="0024374F"/>
    <w:rsid w:val="002437E6"/>
    <w:rsid w:val="00243A12"/>
    <w:rsid w:val="00243A20"/>
    <w:rsid w:val="00243B78"/>
    <w:rsid w:val="00243BDE"/>
    <w:rsid w:val="00243C20"/>
    <w:rsid w:val="00243CEE"/>
    <w:rsid w:val="00243DC1"/>
    <w:rsid w:val="00243F07"/>
    <w:rsid w:val="0024409F"/>
    <w:rsid w:val="002442FB"/>
    <w:rsid w:val="00244307"/>
    <w:rsid w:val="0024430E"/>
    <w:rsid w:val="002443B2"/>
    <w:rsid w:val="0024446F"/>
    <w:rsid w:val="00244470"/>
    <w:rsid w:val="0024447C"/>
    <w:rsid w:val="00244591"/>
    <w:rsid w:val="0024466A"/>
    <w:rsid w:val="0024481E"/>
    <w:rsid w:val="0024486A"/>
    <w:rsid w:val="002448B6"/>
    <w:rsid w:val="0024490C"/>
    <w:rsid w:val="00244B50"/>
    <w:rsid w:val="00244B7E"/>
    <w:rsid w:val="00244D3A"/>
    <w:rsid w:val="00244E1E"/>
    <w:rsid w:val="00244E96"/>
    <w:rsid w:val="00245125"/>
    <w:rsid w:val="00245150"/>
    <w:rsid w:val="002451C3"/>
    <w:rsid w:val="002451FA"/>
    <w:rsid w:val="002451FE"/>
    <w:rsid w:val="0024526C"/>
    <w:rsid w:val="002452ED"/>
    <w:rsid w:val="0024534C"/>
    <w:rsid w:val="0024536A"/>
    <w:rsid w:val="00245457"/>
    <w:rsid w:val="00245461"/>
    <w:rsid w:val="00245689"/>
    <w:rsid w:val="00245799"/>
    <w:rsid w:val="00245844"/>
    <w:rsid w:val="0024590D"/>
    <w:rsid w:val="0024593F"/>
    <w:rsid w:val="00245974"/>
    <w:rsid w:val="00245A33"/>
    <w:rsid w:val="00245A5A"/>
    <w:rsid w:val="00245A83"/>
    <w:rsid w:val="00245AF7"/>
    <w:rsid w:val="00245BDE"/>
    <w:rsid w:val="00245CCB"/>
    <w:rsid w:val="00245CE7"/>
    <w:rsid w:val="00245CEA"/>
    <w:rsid w:val="00245D95"/>
    <w:rsid w:val="00245DA8"/>
    <w:rsid w:val="00245E45"/>
    <w:rsid w:val="00245F22"/>
    <w:rsid w:val="00246020"/>
    <w:rsid w:val="00246074"/>
    <w:rsid w:val="00246086"/>
    <w:rsid w:val="002460B5"/>
    <w:rsid w:val="0024615B"/>
    <w:rsid w:val="00246166"/>
    <w:rsid w:val="00246201"/>
    <w:rsid w:val="0024623F"/>
    <w:rsid w:val="00246268"/>
    <w:rsid w:val="00246276"/>
    <w:rsid w:val="00246333"/>
    <w:rsid w:val="00246793"/>
    <w:rsid w:val="002468A9"/>
    <w:rsid w:val="00246910"/>
    <w:rsid w:val="0024691B"/>
    <w:rsid w:val="0024695E"/>
    <w:rsid w:val="002469C7"/>
    <w:rsid w:val="00246ADD"/>
    <w:rsid w:val="00246C29"/>
    <w:rsid w:val="00246CC8"/>
    <w:rsid w:val="00246DB0"/>
    <w:rsid w:val="00246DB2"/>
    <w:rsid w:val="00246F60"/>
    <w:rsid w:val="002470A4"/>
    <w:rsid w:val="00247203"/>
    <w:rsid w:val="0024731E"/>
    <w:rsid w:val="002473A4"/>
    <w:rsid w:val="0024741A"/>
    <w:rsid w:val="002474BD"/>
    <w:rsid w:val="0024757C"/>
    <w:rsid w:val="00247756"/>
    <w:rsid w:val="00247802"/>
    <w:rsid w:val="00247887"/>
    <w:rsid w:val="0024793D"/>
    <w:rsid w:val="0024797F"/>
    <w:rsid w:val="00247A84"/>
    <w:rsid w:val="00247A9E"/>
    <w:rsid w:val="00247B78"/>
    <w:rsid w:val="00247B8C"/>
    <w:rsid w:val="00247C8F"/>
    <w:rsid w:val="00247DBB"/>
    <w:rsid w:val="00247E82"/>
    <w:rsid w:val="00247F0F"/>
    <w:rsid w:val="00247F77"/>
    <w:rsid w:val="00250130"/>
    <w:rsid w:val="0025013A"/>
    <w:rsid w:val="002501D2"/>
    <w:rsid w:val="0025024F"/>
    <w:rsid w:val="00250451"/>
    <w:rsid w:val="0025047A"/>
    <w:rsid w:val="00250544"/>
    <w:rsid w:val="0025056A"/>
    <w:rsid w:val="002506F0"/>
    <w:rsid w:val="002507FA"/>
    <w:rsid w:val="0025088D"/>
    <w:rsid w:val="0025092C"/>
    <w:rsid w:val="00250938"/>
    <w:rsid w:val="0025095C"/>
    <w:rsid w:val="002509C8"/>
    <w:rsid w:val="00250A03"/>
    <w:rsid w:val="00250B15"/>
    <w:rsid w:val="00250BAA"/>
    <w:rsid w:val="00250C8D"/>
    <w:rsid w:val="00250D15"/>
    <w:rsid w:val="00250D51"/>
    <w:rsid w:val="00250FA9"/>
    <w:rsid w:val="00251100"/>
    <w:rsid w:val="00251156"/>
    <w:rsid w:val="002511E7"/>
    <w:rsid w:val="00251211"/>
    <w:rsid w:val="002512A7"/>
    <w:rsid w:val="002512C3"/>
    <w:rsid w:val="00251319"/>
    <w:rsid w:val="0025148B"/>
    <w:rsid w:val="00251575"/>
    <w:rsid w:val="00251606"/>
    <w:rsid w:val="00251633"/>
    <w:rsid w:val="0025184C"/>
    <w:rsid w:val="00251853"/>
    <w:rsid w:val="00251882"/>
    <w:rsid w:val="00251A47"/>
    <w:rsid w:val="00251AAF"/>
    <w:rsid w:val="00251BC9"/>
    <w:rsid w:val="00251D50"/>
    <w:rsid w:val="00251E0C"/>
    <w:rsid w:val="00251E93"/>
    <w:rsid w:val="00251F81"/>
    <w:rsid w:val="002520C3"/>
    <w:rsid w:val="0025222F"/>
    <w:rsid w:val="002522A8"/>
    <w:rsid w:val="002522CF"/>
    <w:rsid w:val="0025267C"/>
    <w:rsid w:val="0025268D"/>
    <w:rsid w:val="002526AF"/>
    <w:rsid w:val="002527CE"/>
    <w:rsid w:val="002527DD"/>
    <w:rsid w:val="00252909"/>
    <w:rsid w:val="002529D4"/>
    <w:rsid w:val="00252A3B"/>
    <w:rsid w:val="00252BD3"/>
    <w:rsid w:val="00252C9E"/>
    <w:rsid w:val="00252DED"/>
    <w:rsid w:val="00252E4B"/>
    <w:rsid w:val="00252EC4"/>
    <w:rsid w:val="00253087"/>
    <w:rsid w:val="002530D7"/>
    <w:rsid w:val="00253172"/>
    <w:rsid w:val="002531CA"/>
    <w:rsid w:val="0025325D"/>
    <w:rsid w:val="002533DC"/>
    <w:rsid w:val="002533E1"/>
    <w:rsid w:val="002534D0"/>
    <w:rsid w:val="00253602"/>
    <w:rsid w:val="00253612"/>
    <w:rsid w:val="002536E3"/>
    <w:rsid w:val="00253706"/>
    <w:rsid w:val="002538A7"/>
    <w:rsid w:val="002538FE"/>
    <w:rsid w:val="002539D6"/>
    <w:rsid w:val="00253A33"/>
    <w:rsid w:val="00253A5B"/>
    <w:rsid w:val="00253BD9"/>
    <w:rsid w:val="00253C3C"/>
    <w:rsid w:val="00253D08"/>
    <w:rsid w:val="00253D0D"/>
    <w:rsid w:val="00253D18"/>
    <w:rsid w:val="00253DB0"/>
    <w:rsid w:val="00253EC3"/>
    <w:rsid w:val="00253EDF"/>
    <w:rsid w:val="00253FAF"/>
    <w:rsid w:val="0025408A"/>
    <w:rsid w:val="002540B2"/>
    <w:rsid w:val="002540F5"/>
    <w:rsid w:val="0025430A"/>
    <w:rsid w:val="0025435E"/>
    <w:rsid w:val="00254539"/>
    <w:rsid w:val="0025453E"/>
    <w:rsid w:val="00254541"/>
    <w:rsid w:val="002545B3"/>
    <w:rsid w:val="002545E3"/>
    <w:rsid w:val="002546FA"/>
    <w:rsid w:val="0025473B"/>
    <w:rsid w:val="00254786"/>
    <w:rsid w:val="0025484B"/>
    <w:rsid w:val="00254854"/>
    <w:rsid w:val="00254857"/>
    <w:rsid w:val="00254861"/>
    <w:rsid w:val="00254A79"/>
    <w:rsid w:val="00254A94"/>
    <w:rsid w:val="00254AD0"/>
    <w:rsid w:val="00254CB1"/>
    <w:rsid w:val="00254CDC"/>
    <w:rsid w:val="00254DCB"/>
    <w:rsid w:val="00254DDF"/>
    <w:rsid w:val="00254E18"/>
    <w:rsid w:val="00254E5D"/>
    <w:rsid w:val="00254EE7"/>
    <w:rsid w:val="00254F64"/>
    <w:rsid w:val="0025505E"/>
    <w:rsid w:val="002550C6"/>
    <w:rsid w:val="00255153"/>
    <w:rsid w:val="002551FD"/>
    <w:rsid w:val="0025523B"/>
    <w:rsid w:val="0025524E"/>
    <w:rsid w:val="00255415"/>
    <w:rsid w:val="00255478"/>
    <w:rsid w:val="0025553F"/>
    <w:rsid w:val="002557F9"/>
    <w:rsid w:val="00255841"/>
    <w:rsid w:val="0025594A"/>
    <w:rsid w:val="0025594B"/>
    <w:rsid w:val="00255958"/>
    <w:rsid w:val="002559EC"/>
    <w:rsid w:val="00255A70"/>
    <w:rsid w:val="00255AFD"/>
    <w:rsid w:val="00255BAA"/>
    <w:rsid w:val="00255BF7"/>
    <w:rsid w:val="00255C4D"/>
    <w:rsid w:val="00255CFA"/>
    <w:rsid w:val="00255D89"/>
    <w:rsid w:val="00255E3C"/>
    <w:rsid w:val="00255EC4"/>
    <w:rsid w:val="00255FC0"/>
    <w:rsid w:val="00256082"/>
    <w:rsid w:val="002560EA"/>
    <w:rsid w:val="00256165"/>
    <w:rsid w:val="002562E7"/>
    <w:rsid w:val="002562EC"/>
    <w:rsid w:val="00256346"/>
    <w:rsid w:val="00256436"/>
    <w:rsid w:val="002564FA"/>
    <w:rsid w:val="002564FE"/>
    <w:rsid w:val="00256536"/>
    <w:rsid w:val="00256552"/>
    <w:rsid w:val="00256674"/>
    <w:rsid w:val="00256989"/>
    <w:rsid w:val="002569B7"/>
    <w:rsid w:val="00256D0F"/>
    <w:rsid w:val="00256DB5"/>
    <w:rsid w:val="00256E7A"/>
    <w:rsid w:val="00256F02"/>
    <w:rsid w:val="0025700B"/>
    <w:rsid w:val="00257080"/>
    <w:rsid w:val="002573CF"/>
    <w:rsid w:val="002574C1"/>
    <w:rsid w:val="00257589"/>
    <w:rsid w:val="00257652"/>
    <w:rsid w:val="002576CA"/>
    <w:rsid w:val="00257726"/>
    <w:rsid w:val="00257803"/>
    <w:rsid w:val="0025784F"/>
    <w:rsid w:val="002578E8"/>
    <w:rsid w:val="00257A02"/>
    <w:rsid w:val="00257A27"/>
    <w:rsid w:val="00257A5F"/>
    <w:rsid w:val="00257B95"/>
    <w:rsid w:val="00257C8C"/>
    <w:rsid w:val="00257CC4"/>
    <w:rsid w:val="00257E43"/>
    <w:rsid w:val="00257EE7"/>
    <w:rsid w:val="00257F54"/>
    <w:rsid w:val="00260191"/>
    <w:rsid w:val="0026028B"/>
    <w:rsid w:val="00260570"/>
    <w:rsid w:val="002605E7"/>
    <w:rsid w:val="002605E9"/>
    <w:rsid w:val="00260786"/>
    <w:rsid w:val="002607D3"/>
    <w:rsid w:val="002608EA"/>
    <w:rsid w:val="00260912"/>
    <w:rsid w:val="00260AA0"/>
    <w:rsid w:val="00260C38"/>
    <w:rsid w:val="00260C91"/>
    <w:rsid w:val="00260CAE"/>
    <w:rsid w:val="00260ED1"/>
    <w:rsid w:val="00260F50"/>
    <w:rsid w:val="00261002"/>
    <w:rsid w:val="00261082"/>
    <w:rsid w:val="00261217"/>
    <w:rsid w:val="002617E2"/>
    <w:rsid w:val="00261830"/>
    <w:rsid w:val="00261933"/>
    <w:rsid w:val="00261A29"/>
    <w:rsid w:val="00261B89"/>
    <w:rsid w:val="00261B9A"/>
    <w:rsid w:val="00261C0B"/>
    <w:rsid w:val="00261CB2"/>
    <w:rsid w:val="00261D17"/>
    <w:rsid w:val="00261D2F"/>
    <w:rsid w:val="00261D8B"/>
    <w:rsid w:val="00261E25"/>
    <w:rsid w:val="00261E9B"/>
    <w:rsid w:val="00262130"/>
    <w:rsid w:val="00262153"/>
    <w:rsid w:val="00262155"/>
    <w:rsid w:val="002621DF"/>
    <w:rsid w:val="0026223D"/>
    <w:rsid w:val="00262284"/>
    <w:rsid w:val="00262291"/>
    <w:rsid w:val="0026256D"/>
    <w:rsid w:val="002626CE"/>
    <w:rsid w:val="0026281A"/>
    <w:rsid w:val="00262927"/>
    <w:rsid w:val="00262A44"/>
    <w:rsid w:val="00262B0C"/>
    <w:rsid w:val="00262B2A"/>
    <w:rsid w:val="00262C0D"/>
    <w:rsid w:val="00262E05"/>
    <w:rsid w:val="00262E84"/>
    <w:rsid w:val="00262F08"/>
    <w:rsid w:val="00262FF3"/>
    <w:rsid w:val="00263311"/>
    <w:rsid w:val="0026340A"/>
    <w:rsid w:val="002634E6"/>
    <w:rsid w:val="002634E9"/>
    <w:rsid w:val="00263538"/>
    <w:rsid w:val="00263543"/>
    <w:rsid w:val="002635A1"/>
    <w:rsid w:val="0026368D"/>
    <w:rsid w:val="0026378C"/>
    <w:rsid w:val="002637A9"/>
    <w:rsid w:val="002637DC"/>
    <w:rsid w:val="002637EB"/>
    <w:rsid w:val="002639BD"/>
    <w:rsid w:val="00263BA6"/>
    <w:rsid w:val="00263C71"/>
    <w:rsid w:val="00263F49"/>
    <w:rsid w:val="00264035"/>
    <w:rsid w:val="002640B9"/>
    <w:rsid w:val="002640F6"/>
    <w:rsid w:val="00264176"/>
    <w:rsid w:val="002641DA"/>
    <w:rsid w:val="00264282"/>
    <w:rsid w:val="0026437D"/>
    <w:rsid w:val="002643A4"/>
    <w:rsid w:val="002643A9"/>
    <w:rsid w:val="0026444B"/>
    <w:rsid w:val="002644BA"/>
    <w:rsid w:val="002644EC"/>
    <w:rsid w:val="00264540"/>
    <w:rsid w:val="0026494F"/>
    <w:rsid w:val="00264A02"/>
    <w:rsid w:val="00264A87"/>
    <w:rsid w:val="00264CAA"/>
    <w:rsid w:val="00264DC4"/>
    <w:rsid w:val="00264E53"/>
    <w:rsid w:val="00264E96"/>
    <w:rsid w:val="00264F50"/>
    <w:rsid w:val="00264F69"/>
    <w:rsid w:val="00265078"/>
    <w:rsid w:val="002651DB"/>
    <w:rsid w:val="00265273"/>
    <w:rsid w:val="00265282"/>
    <w:rsid w:val="00265294"/>
    <w:rsid w:val="00265376"/>
    <w:rsid w:val="00265471"/>
    <w:rsid w:val="00265546"/>
    <w:rsid w:val="002655C3"/>
    <w:rsid w:val="00265602"/>
    <w:rsid w:val="0026567C"/>
    <w:rsid w:val="0026573E"/>
    <w:rsid w:val="0026579E"/>
    <w:rsid w:val="002657F4"/>
    <w:rsid w:val="002657F7"/>
    <w:rsid w:val="00265826"/>
    <w:rsid w:val="0026582B"/>
    <w:rsid w:val="00265936"/>
    <w:rsid w:val="00265983"/>
    <w:rsid w:val="00265A24"/>
    <w:rsid w:val="00265AE7"/>
    <w:rsid w:val="00265BF6"/>
    <w:rsid w:val="00265C9E"/>
    <w:rsid w:val="00265D16"/>
    <w:rsid w:val="00265D2B"/>
    <w:rsid w:val="00265D46"/>
    <w:rsid w:val="00265D78"/>
    <w:rsid w:val="00265EC8"/>
    <w:rsid w:val="002661ED"/>
    <w:rsid w:val="00266265"/>
    <w:rsid w:val="00266316"/>
    <w:rsid w:val="0026632A"/>
    <w:rsid w:val="00266367"/>
    <w:rsid w:val="002663C2"/>
    <w:rsid w:val="0026646E"/>
    <w:rsid w:val="002664A9"/>
    <w:rsid w:val="002664E7"/>
    <w:rsid w:val="002665A5"/>
    <w:rsid w:val="002665FD"/>
    <w:rsid w:val="0026684D"/>
    <w:rsid w:val="002668D0"/>
    <w:rsid w:val="00266A18"/>
    <w:rsid w:val="00266AF1"/>
    <w:rsid w:val="00266C11"/>
    <w:rsid w:val="00266D25"/>
    <w:rsid w:val="00266E5E"/>
    <w:rsid w:val="00266E60"/>
    <w:rsid w:val="00266EF3"/>
    <w:rsid w:val="00266F0C"/>
    <w:rsid w:val="00267408"/>
    <w:rsid w:val="002674ED"/>
    <w:rsid w:val="002676C0"/>
    <w:rsid w:val="00267745"/>
    <w:rsid w:val="00267799"/>
    <w:rsid w:val="002677A6"/>
    <w:rsid w:val="00267932"/>
    <w:rsid w:val="00267B42"/>
    <w:rsid w:val="00267B52"/>
    <w:rsid w:val="00267CA0"/>
    <w:rsid w:val="00267CEA"/>
    <w:rsid w:val="00267CEE"/>
    <w:rsid w:val="00267D6B"/>
    <w:rsid w:val="00270039"/>
    <w:rsid w:val="002700F5"/>
    <w:rsid w:val="00270105"/>
    <w:rsid w:val="002702B0"/>
    <w:rsid w:val="00270369"/>
    <w:rsid w:val="002703BC"/>
    <w:rsid w:val="002704AC"/>
    <w:rsid w:val="002706E0"/>
    <w:rsid w:val="0027085A"/>
    <w:rsid w:val="002709D8"/>
    <w:rsid w:val="002709F4"/>
    <w:rsid w:val="00270B01"/>
    <w:rsid w:val="00270B2F"/>
    <w:rsid w:val="00270B7D"/>
    <w:rsid w:val="00270BB8"/>
    <w:rsid w:val="00270C71"/>
    <w:rsid w:val="00270CA7"/>
    <w:rsid w:val="00270D53"/>
    <w:rsid w:val="00270D55"/>
    <w:rsid w:val="00270D78"/>
    <w:rsid w:val="00270E06"/>
    <w:rsid w:val="00270EB0"/>
    <w:rsid w:val="00270FF3"/>
    <w:rsid w:val="0027110B"/>
    <w:rsid w:val="00271196"/>
    <w:rsid w:val="002711D9"/>
    <w:rsid w:val="002711ED"/>
    <w:rsid w:val="002711FA"/>
    <w:rsid w:val="0027144D"/>
    <w:rsid w:val="0027147A"/>
    <w:rsid w:val="0027155B"/>
    <w:rsid w:val="002715C0"/>
    <w:rsid w:val="00271662"/>
    <w:rsid w:val="002716EB"/>
    <w:rsid w:val="002717C8"/>
    <w:rsid w:val="00271802"/>
    <w:rsid w:val="00271900"/>
    <w:rsid w:val="00271B69"/>
    <w:rsid w:val="00271D8E"/>
    <w:rsid w:val="00271FCC"/>
    <w:rsid w:val="00272165"/>
    <w:rsid w:val="002722CF"/>
    <w:rsid w:val="0027239A"/>
    <w:rsid w:val="00272516"/>
    <w:rsid w:val="002726B7"/>
    <w:rsid w:val="00272A9A"/>
    <w:rsid w:val="00272AE1"/>
    <w:rsid w:val="00272B88"/>
    <w:rsid w:val="00272C4F"/>
    <w:rsid w:val="00272C70"/>
    <w:rsid w:val="00272CCE"/>
    <w:rsid w:val="00272D00"/>
    <w:rsid w:val="00272D0B"/>
    <w:rsid w:val="00272D46"/>
    <w:rsid w:val="00272E8A"/>
    <w:rsid w:val="00272F64"/>
    <w:rsid w:val="00272F68"/>
    <w:rsid w:val="00272FED"/>
    <w:rsid w:val="00273122"/>
    <w:rsid w:val="002731D1"/>
    <w:rsid w:val="002732B0"/>
    <w:rsid w:val="00273318"/>
    <w:rsid w:val="00273431"/>
    <w:rsid w:val="00273493"/>
    <w:rsid w:val="00273517"/>
    <w:rsid w:val="00273601"/>
    <w:rsid w:val="0027367F"/>
    <w:rsid w:val="002736F5"/>
    <w:rsid w:val="002737D4"/>
    <w:rsid w:val="002737E0"/>
    <w:rsid w:val="00273876"/>
    <w:rsid w:val="00273910"/>
    <w:rsid w:val="0027398A"/>
    <w:rsid w:val="00273A75"/>
    <w:rsid w:val="00273ADD"/>
    <w:rsid w:val="00273C17"/>
    <w:rsid w:val="00273CCC"/>
    <w:rsid w:val="00273F7D"/>
    <w:rsid w:val="00273F7F"/>
    <w:rsid w:val="00273FD9"/>
    <w:rsid w:val="00274006"/>
    <w:rsid w:val="002740BC"/>
    <w:rsid w:val="00274149"/>
    <w:rsid w:val="002742CF"/>
    <w:rsid w:val="00274388"/>
    <w:rsid w:val="0027454E"/>
    <w:rsid w:val="0027465E"/>
    <w:rsid w:val="002746D5"/>
    <w:rsid w:val="002746FA"/>
    <w:rsid w:val="00274707"/>
    <w:rsid w:val="0027475E"/>
    <w:rsid w:val="0027479A"/>
    <w:rsid w:val="002747C0"/>
    <w:rsid w:val="002747C8"/>
    <w:rsid w:val="0027497D"/>
    <w:rsid w:val="00274A1A"/>
    <w:rsid w:val="00274A59"/>
    <w:rsid w:val="00274A83"/>
    <w:rsid w:val="00274AC7"/>
    <w:rsid w:val="00274ACB"/>
    <w:rsid w:val="00274DAF"/>
    <w:rsid w:val="00274DBA"/>
    <w:rsid w:val="00274DFB"/>
    <w:rsid w:val="00274EF9"/>
    <w:rsid w:val="00274F55"/>
    <w:rsid w:val="00275172"/>
    <w:rsid w:val="002751C6"/>
    <w:rsid w:val="0027526E"/>
    <w:rsid w:val="00275277"/>
    <w:rsid w:val="002752B7"/>
    <w:rsid w:val="0027538A"/>
    <w:rsid w:val="002754C8"/>
    <w:rsid w:val="002754DA"/>
    <w:rsid w:val="002754FB"/>
    <w:rsid w:val="0027551C"/>
    <w:rsid w:val="00275636"/>
    <w:rsid w:val="0027578B"/>
    <w:rsid w:val="00275861"/>
    <w:rsid w:val="00275ACF"/>
    <w:rsid w:val="00275AE6"/>
    <w:rsid w:val="00275B81"/>
    <w:rsid w:val="00275C1F"/>
    <w:rsid w:val="00275E88"/>
    <w:rsid w:val="00275E9D"/>
    <w:rsid w:val="00275F76"/>
    <w:rsid w:val="00276157"/>
    <w:rsid w:val="002762F1"/>
    <w:rsid w:val="002763A3"/>
    <w:rsid w:val="00276657"/>
    <w:rsid w:val="0027667D"/>
    <w:rsid w:val="002766C5"/>
    <w:rsid w:val="00276751"/>
    <w:rsid w:val="002769E7"/>
    <w:rsid w:val="00276ADE"/>
    <w:rsid w:val="00276AFD"/>
    <w:rsid w:val="00276BA1"/>
    <w:rsid w:val="00276D85"/>
    <w:rsid w:val="00276DBF"/>
    <w:rsid w:val="00276F44"/>
    <w:rsid w:val="00276F7A"/>
    <w:rsid w:val="00276FE4"/>
    <w:rsid w:val="00277040"/>
    <w:rsid w:val="00277163"/>
    <w:rsid w:val="002771C6"/>
    <w:rsid w:val="0027727E"/>
    <w:rsid w:val="002773F0"/>
    <w:rsid w:val="002775D2"/>
    <w:rsid w:val="00277822"/>
    <w:rsid w:val="00277854"/>
    <w:rsid w:val="00277A23"/>
    <w:rsid w:val="00277A4E"/>
    <w:rsid w:val="00277E21"/>
    <w:rsid w:val="0028002C"/>
    <w:rsid w:val="00280076"/>
    <w:rsid w:val="002802D7"/>
    <w:rsid w:val="00280343"/>
    <w:rsid w:val="002804A9"/>
    <w:rsid w:val="002804CF"/>
    <w:rsid w:val="00280B8E"/>
    <w:rsid w:val="00280CF6"/>
    <w:rsid w:val="00280DA5"/>
    <w:rsid w:val="00280DC5"/>
    <w:rsid w:val="00280E27"/>
    <w:rsid w:val="00280E78"/>
    <w:rsid w:val="00280E8F"/>
    <w:rsid w:val="00280ECE"/>
    <w:rsid w:val="00281313"/>
    <w:rsid w:val="002813E6"/>
    <w:rsid w:val="00281589"/>
    <w:rsid w:val="00281849"/>
    <w:rsid w:val="00281886"/>
    <w:rsid w:val="00281B3A"/>
    <w:rsid w:val="00281B5C"/>
    <w:rsid w:val="00281CA9"/>
    <w:rsid w:val="00281DA8"/>
    <w:rsid w:val="00281E55"/>
    <w:rsid w:val="00281E91"/>
    <w:rsid w:val="00281F72"/>
    <w:rsid w:val="00282047"/>
    <w:rsid w:val="0028206E"/>
    <w:rsid w:val="00282213"/>
    <w:rsid w:val="00282231"/>
    <w:rsid w:val="002822EA"/>
    <w:rsid w:val="002823B2"/>
    <w:rsid w:val="00282414"/>
    <w:rsid w:val="00282456"/>
    <w:rsid w:val="00282475"/>
    <w:rsid w:val="002824D1"/>
    <w:rsid w:val="0028251C"/>
    <w:rsid w:val="002825BB"/>
    <w:rsid w:val="00282614"/>
    <w:rsid w:val="00282709"/>
    <w:rsid w:val="0028284D"/>
    <w:rsid w:val="00282B04"/>
    <w:rsid w:val="00282B55"/>
    <w:rsid w:val="00282CE3"/>
    <w:rsid w:val="00282D6C"/>
    <w:rsid w:val="00282D96"/>
    <w:rsid w:val="00282DAB"/>
    <w:rsid w:val="00282DC4"/>
    <w:rsid w:val="00282FB5"/>
    <w:rsid w:val="00282FBF"/>
    <w:rsid w:val="00282FC0"/>
    <w:rsid w:val="002832FE"/>
    <w:rsid w:val="00283357"/>
    <w:rsid w:val="00283436"/>
    <w:rsid w:val="002835BE"/>
    <w:rsid w:val="00283628"/>
    <w:rsid w:val="00283686"/>
    <w:rsid w:val="00283691"/>
    <w:rsid w:val="0028387C"/>
    <w:rsid w:val="00283897"/>
    <w:rsid w:val="002838DD"/>
    <w:rsid w:val="0028393A"/>
    <w:rsid w:val="0028398C"/>
    <w:rsid w:val="00283B71"/>
    <w:rsid w:val="00283CE2"/>
    <w:rsid w:val="00283D33"/>
    <w:rsid w:val="00283D3F"/>
    <w:rsid w:val="00283D70"/>
    <w:rsid w:val="00283F81"/>
    <w:rsid w:val="002841C1"/>
    <w:rsid w:val="002842DF"/>
    <w:rsid w:val="0028435C"/>
    <w:rsid w:val="0028437E"/>
    <w:rsid w:val="002844BD"/>
    <w:rsid w:val="0028455A"/>
    <w:rsid w:val="00284642"/>
    <w:rsid w:val="0028475B"/>
    <w:rsid w:val="002847A2"/>
    <w:rsid w:val="002848C0"/>
    <w:rsid w:val="002848E9"/>
    <w:rsid w:val="00284941"/>
    <w:rsid w:val="002849B1"/>
    <w:rsid w:val="002849F5"/>
    <w:rsid w:val="00284A26"/>
    <w:rsid w:val="00284AD5"/>
    <w:rsid w:val="00284BD1"/>
    <w:rsid w:val="00284C9C"/>
    <w:rsid w:val="00284CDA"/>
    <w:rsid w:val="00284D1A"/>
    <w:rsid w:val="00284E0A"/>
    <w:rsid w:val="00284E83"/>
    <w:rsid w:val="00284ED3"/>
    <w:rsid w:val="00284F63"/>
    <w:rsid w:val="00284F7C"/>
    <w:rsid w:val="0028510A"/>
    <w:rsid w:val="00285134"/>
    <w:rsid w:val="00285178"/>
    <w:rsid w:val="0028525F"/>
    <w:rsid w:val="002852AF"/>
    <w:rsid w:val="0028544F"/>
    <w:rsid w:val="00285476"/>
    <w:rsid w:val="00285571"/>
    <w:rsid w:val="00285658"/>
    <w:rsid w:val="002857AE"/>
    <w:rsid w:val="00285886"/>
    <w:rsid w:val="00285967"/>
    <w:rsid w:val="002859D7"/>
    <w:rsid w:val="002859DB"/>
    <w:rsid w:val="00285B33"/>
    <w:rsid w:val="00285CF2"/>
    <w:rsid w:val="00285D09"/>
    <w:rsid w:val="00285E9C"/>
    <w:rsid w:val="00285FC0"/>
    <w:rsid w:val="002860E2"/>
    <w:rsid w:val="0028618F"/>
    <w:rsid w:val="0028634D"/>
    <w:rsid w:val="002863B0"/>
    <w:rsid w:val="0028640D"/>
    <w:rsid w:val="002864C2"/>
    <w:rsid w:val="002865C1"/>
    <w:rsid w:val="002866B8"/>
    <w:rsid w:val="002866DC"/>
    <w:rsid w:val="002867C4"/>
    <w:rsid w:val="002867DB"/>
    <w:rsid w:val="00286868"/>
    <w:rsid w:val="00286A7B"/>
    <w:rsid w:val="00286AF4"/>
    <w:rsid w:val="00286B59"/>
    <w:rsid w:val="00286C48"/>
    <w:rsid w:val="00286C58"/>
    <w:rsid w:val="00286CFD"/>
    <w:rsid w:val="00286DD0"/>
    <w:rsid w:val="00286E4C"/>
    <w:rsid w:val="00286E96"/>
    <w:rsid w:val="00286F2A"/>
    <w:rsid w:val="00286F2F"/>
    <w:rsid w:val="00286F5C"/>
    <w:rsid w:val="0028705B"/>
    <w:rsid w:val="002870D6"/>
    <w:rsid w:val="002871C9"/>
    <w:rsid w:val="00287208"/>
    <w:rsid w:val="0028728E"/>
    <w:rsid w:val="002874D8"/>
    <w:rsid w:val="00287506"/>
    <w:rsid w:val="00287728"/>
    <w:rsid w:val="00287833"/>
    <w:rsid w:val="0028786C"/>
    <w:rsid w:val="00287898"/>
    <w:rsid w:val="002878DC"/>
    <w:rsid w:val="002878F6"/>
    <w:rsid w:val="00287BA8"/>
    <w:rsid w:val="00287CA7"/>
    <w:rsid w:val="00287D15"/>
    <w:rsid w:val="00287D4A"/>
    <w:rsid w:val="00287E2B"/>
    <w:rsid w:val="00287F3E"/>
    <w:rsid w:val="00287F5A"/>
    <w:rsid w:val="00287FD4"/>
    <w:rsid w:val="0029008A"/>
    <w:rsid w:val="002900AF"/>
    <w:rsid w:val="002901AD"/>
    <w:rsid w:val="002901FD"/>
    <w:rsid w:val="00290204"/>
    <w:rsid w:val="00290395"/>
    <w:rsid w:val="002905A1"/>
    <w:rsid w:val="002905D7"/>
    <w:rsid w:val="002908F8"/>
    <w:rsid w:val="0029092B"/>
    <w:rsid w:val="00290A24"/>
    <w:rsid w:val="00290A37"/>
    <w:rsid w:val="00290A74"/>
    <w:rsid w:val="00290AC3"/>
    <w:rsid w:val="00290AC6"/>
    <w:rsid w:val="00290BD2"/>
    <w:rsid w:val="00290BFB"/>
    <w:rsid w:val="00290E59"/>
    <w:rsid w:val="00290F11"/>
    <w:rsid w:val="00290F62"/>
    <w:rsid w:val="0029108A"/>
    <w:rsid w:val="002910E3"/>
    <w:rsid w:val="0029123E"/>
    <w:rsid w:val="0029125D"/>
    <w:rsid w:val="002912F1"/>
    <w:rsid w:val="002915A6"/>
    <w:rsid w:val="00291600"/>
    <w:rsid w:val="00291688"/>
    <w:rsid w:val="002916C8"/>
    <w:rsid w:val="0029175B"/>
    <w:rsid w:val="00291A3E"/>
    <w:rsid w:val="00291A42"/>
    <w:rsid w:val="00291B34"/>
    <w:rsid w:val="00291BA6"/>
    <w:rsid w:val="00291BDF"/>
    <w:rsid w:val="00291DCA"/>
    <w:rsid w:val="00291E7F"/>
    <w:rsid w:val="00292030"/>
    <w:rsid w:val="0029206C"/>
    <w:rsid w:val="00292239"/>
    <w:rsid w:val="00292461"/>
    <w:rsid w:val="00292477"/>
    <w:rsid w:val="002925B0"/>
    <w:rsid w:val="00292602"/>
    <w:rsid w:val="0029268A"/>
    <w:rsid w:val="0029270B"/>
    <w:rsid w:val="0029278E"/>
    <w:rsid w:val="00292CFF"/>
    <w:rsid w:val="00292EFC"/>
    <w:rsid w:val="00292FB4"/>
    <w:rsid w:val="00293006"/>
    <w:rsid w:val="0029313E"/>
    <w:rsid w:val="00293176"/>
    <w:rsid w:val="00293246"/>
    <w:rsid w:val="002932C1"/>
    <w:rsid w:val="0029335C"/>
    <w:rsid w:val="00293391"/>
    <w:rsid w:val="002933E1"/>
    <w:rsid w:val="002934BD"/>
    <w:rsid w:val="00293592"/>
    <w:rsid w:val="002935C2"/>
    <w:rsid w:val="002935D1"/>
    <w:rsid w:val="0029361C"/>
    <w:rsid w:val="00293834"/>
    <w:rsid w:val="00293958"/>
    <w:rsid w:val="00293960"/>
    <w:rsid w:val="00293969"/>
    <w:rsid w:val="00293BF7"/>
    <w:rsid w:val="00293C50"/>
    <w:rsid w:val="00293CF0"/>
    <w:rsid w:val="00293D12"/>
    <w:rsid w:val="00293DF0"/>
    <w:rsid w:val="00293E21"/>
    <w:rsid w:val="00293EDB"/>
    <w:rsid w:val="00294176"/>
    <w:rsid w:val="0029417A"/>
    <w:rsid w:val="0029424C"/>
    <w:rsid w:val="002942F1"/>
    <w:rsid w:val="00294367"/>
    <w:rsid w:val="0029476B"/>
    <w:rsid w:val="00294B75"/>
    <w:rsid w:val="00294C3F"/>
    <w:rsid w:val="00294C5D"/>
    <w:rsid w:val="00294C91"/>
    <w:rsid w:val="00294EB6"/>
    <w:rsid w:val="00294EC4"/>
    <w:rsid w:val="00295025"/>
    <w:rsid w:val="00295059"/>
    <w:rsid w:val="00295066"/>
    <w:rsid w:val="002950C1"/>
    <w:rsid w:val="00295186"/>
    <w:rsid w:val="002951D4"/>
    <w:rsid w:val="002952E2"/>
    <w:rsid w:val="0029532E"/>
    <w:rsid w:val="00295344"/>
    <w:rsid w:val="0029538F"/>
    <w:rsid w:val="00295422"/>
    <w:rsid w:val="0029545D"/>
    <w:rsid w:val="00295468"/>
    <w:rsid w:val="00295469"/>
    <w:rsid w:val="00295497"/>
    <w:rsid w:val="00295535"/>
    <w:rsid w:val="002955C0"/>
    <w:rsid w:val="00295792"/>
    <w:rsid w:val="002957AA"/>
    <w:rsid w:val="002957CE"/>
    <w:rsid w:val="002958EC"/>
    <w:rsid w:val="00295AA8"/>
    <w:rsid w:val="00295B74"/>
    <w:rsid w:val="00295BAC"/>
    <w:rsid w:val="00295BD0"/>
    <w:rsid w:val="00295BEC"/>
    <w:rsid w:val="00295C4F"/>
    <w:rsid w:val="00295D22"/>
    <w:rsid w:val="00295E31"/>
    <w:rsid w:val="00295E72"/>
    <w:rsid w:val="00296085"/>
    <w:rsid w:val="00296195"/>
    <w:rsid w:val="002961C1"/>
    <w:rsid w:val="00296205"/>
    <w:rsid w:val="00296227"/>
    <w:rsid w:val="002962EF"/>
    <w:rsid w:val="002963A0"/>
    <w:rsid w:val="0029647E"/>
    <w:rsid w:val="002964B2"/>
    <w:rsid w:val="002964F8"/>
    <w:rsid w:val="002969DC"/>
    <w:rsid w:val="00296A0B"/>
    <w:rsid w:val="00296A8D"/>
    <w:rsid w:val="00296B83"/>
    <w:rsid w:val="00296C0C"/>
    <w:rsid w:val="00296CCA"/>
    <w:rsid w:val="00296CD3"/>
    <w:rsid w:val="00296D79"/>
    <w:rsid w:val="00296E3C"/>
    <w:rsid w:val="00296E4B"/>
    <w:rsid w:val="00296E59"/>
    <w:rsid w:val="00296EB6"/>
    <w:rsid w:val="00296EE5"/>
    <w:rsid w:val="00296F5D"/>
    <w:rsid w:val="002970D7"/>
    <w:rsid w:val="00297205"/>
    <w:rsid w:val="00297210"/>
    <w:rsid w:val="00297266"/>
    <w:rsid w:val="002972F1"/>
    <w:rsid w:val="0029756B"/>
    <w:rsid w:val="002975EA"/>
    <w:rsid w:val="002976BB"/>
    <w:rsid w:val="002976BC"/>
    <w:rsid w:val="0029778B"/>
    <w:rsid w:val="0029786B"/>
    <w:rsid w:val="00297910"/>
    <w:rsid w:val="00297A0A"/>
    <w:rsid w:val="00297A4B"/>
    <w:rsid w:val="00297B05"/>
    <w:rsid w:val="00297CC9"/>
    <w:rsid w:val="00297D4E"/>
    <w:rsid w:val="00297DEE"/>
    <w:rsid w:val="002A01CC"/>
    <w:rsid w:val="002A03B7"/>
    <w:rsid w:val="002A0527"/>
    <w:rsid w:val="002A05CE"/>
    <w:rsid w:val="002A077C"/>
    <w:rsid w:val="002A07D7"/>
    <w:rsid w:val="002A093D"/>
    <w:rsid w:val="002A09D1"/>
    <w:rsid w:val="002A0C8F"/>
    <w:rsid w:val="002A0C9B"/>
    <w:rsid w:val="002A0DDF"/>
    <w:rsid w:val="002A0ECA"/>
    <w:rsid w:val="002A0F0E"/>
    <w:rsid w:val="002A11B7"/>
    <w:rsid w:val="002A12FE"/>
    <w:rsid w:val="002A1309"/>
    <w:rsid w:val="002A13D1"/>
    <w:rsid w:val="002A15EF"/>
    <w:rsid w:val="002A1610"/>
    <w:rsid w:val="002A1692"/>
    <w:rsid w:val="002A17CD"/>
    <w:rsid w:val="002A1846"/>
    <w:rsid w:val="002A190A"/>
    <w:rsid w:val="002A1944"/>
    <w:rsid w:val="002A1A63"/>
    <w:rsid w:val="002A1BE2"/>
    <w:rsid w:val="002A1BE6"/>
    <w:rsid w:val="002A1BF9"/>
    <w:rsid w:val="002A1CB5"/>
    <w:rsid w:val="002A1E16"/>
    <w:rsid w:val="002A1FA5"/>
    <w:rsid w:val="002A2161"/>
    <w:rsid w:val="002A2235"/>
    <w:rsid w:val="002A2265"/>
    <w:rsid w:val="002A22C0"/>
    <w:rsid w:val="002A2322"/>
    <w:rsid w:val="002A239E"/>
    <w:rsid w:val="002A23E6"/>
    <w:rsid w:val="002A2456"/>
    <w:rsid w:val="002A24DA"/>
    <w:rsid w:val="002A26F0"/>
    <w:rsid w:val="002A2856"/>
    <w:rsid w:val="002A28AA"/>
    <w:rsid w:val="002A2A72"/>
    <w:rsid w:val="002A2A7F"/>
    <w:rsid w:val="002A2B23"/>
    <w:rsid w:val="002A2CA1"/>
    <w:rsid w:val="002A2D01"/>
    <w:rsid w:val="002A2D24"/>
    <w:rsid w:val="002A2E9E"/>
    <w:rsid w:val="002A2EBA"/>
    <w:rsid w:val="002A2ED3"/>
    <w:rsid w:val="002A2F4E"/>
    <w:rsid w:val="002A309B"/>
    <w:rsid w:val="002A32FF"/>
    <w:rsid w:val="002A346D"/>
    <w:rsid w:val="002A35F9"/>
    <w:rsid w:val="002A366F"/>
    <w:rsid w:val="002A3681"/>
    <w:rsid w:val="002A3873"/>
    <w:rsid w:val="002A390B"/>
    <w:rsid w:val="002A39E0"/>
    <w:rsid w:val="002A3A86"/>
    <w:rsid w:val="002A3CD9"/>
    <w:rsid w:val="002A3D9D"/>
    <w:rsid w:val="002A3E51"/>
    <w:rsid w:val="002A3F84"/>
    <w:rsid w:val="002A3FB4"/>
    <w:rsid w:val="002A4007"/>
    <w:rsid w:val="002A41B9"/>
    <w:rsid w:val="002A4261"/>
    <w:rsid w:val="002A42C5"/>
    <w:rsid w:val="002A451A"/>
    <w:rsid w:val="002A463B"/>
    <w:rsid w:val="002A4998"/>
    <w:rsid w:val="002A4A2A"/>
    <w:rsid w:val="002A4A9B"/>
    <w:rsid w:val="002A4AF8"/>
    <w:rsid w:val="002A4B8A"/>
    <w:rsid w:val="002A4E46"/>
    <w:rsid w:val="002A4E78"/>
    <w:rsid w:val="002A512B"/>
    <w:rsid w:val="002A517D"/>
    <w:rsid w:val="002A51A4"/>
    <w:rsid w:val="002A527A"/>
    <w:rsid w:val="002A5328"/>
    <w:rsid w:val="002A5397"/>
    <w:rsid w:val="002A543C"/>
    <w:rsid w:val="002A55D9"/>
    <w:rsid w:val="002A57BB"/>
    <w:rsid w:val="002A57D3"/>
    <w:rsid w:val="002A5877"/>
    <w:rsid w:val="002A58CA"/>
    <w:rsid w:val="002A59D7"/>
    <w:rsid w:val="002A5C0A"/>
    <w:rsid w:val="002A5C2A"/>
    <w:rsid w:val="002A5C79"/>
    <w:rsid w:val="002A5DFA"/>
    <w:rsid w:val="002A6020"/>
    <w:rsid w:val="002A60C1"/>
    <w:rsid w:val="002A61C7"/>
    <w:rsid w:val="002A622A"/>
    <w:rsid w:val="002A6289"/>
    <w:rsid w:val="002A6446"/>
    <w:rsid w:val="002A648D"/>
    <w:rsid w:val="002A656D"/>
    <w:rsid w:val="002A6576"/>
    <w:rsid w:val="002A6601"/>
    <w:rsid w:val="002A6612"/>
    <w:rsid w:val="002A666E"/>
    <w:rsid w:val="002A6685"/>
    <w:rsid w:val="002A669A"/>
    <w:rsid w:val="002A6816"/>
    <w:rsid w:val="002A6826"/>
    <w:rsid w:val="002A6942"/>
    <w:rsid w:val="002A6A4F"/>
    <w:rsid w:val="002A6A5C"/>
    <w:rsid w:val="002A6C9A"/>
    <w:rsid w:val="002A6CA1"/>
    <w:rsid w:val="002A6CCE"/>
    <w:rsid w:val="002A6CEF"/>
    <w:rsid w:val="002A6E8A"/>
    <w:rsid w:val="002A6EB2"/>
    <w:rsid w:val="002A70F0"/>
    <w:rsid w:val="002A71E5"/>
    <w:rsid w:val="002A72A9"/>
    <w:rsid w:val="002A73B6"/>
    <w:rsid w:val="002A7479"/>
    <w:rsid w:val="002A75B1"/>
    <w:rsid w:val="002A762E"/>
    <w:rsid w:val="002A76AC"/>
    <w:rsid w:val="002A77C0"/>
    <w:rsid w:val="002A78E4"/>
    <w:rsid w:val="002A78F8"/>
    <w:rsid w:val="002A7913"/>
    <w:rsid w:val="002A79C9"/>
    <w:rsid w:val="002A7A4E"/>
    <w:rsid w:val="002A7AA9"/>
    <w:rsid w:val="002A7B20"/>
    <w:rsid w:val="002A7B37"/>
    <w:rsid w:val="002A7BE8"/>
    <w:rsid w:val="002A7C16"/>
    <w:rsid w:val="002A7D7E"/>
    <w:rsid w:val="002A7EBA"/>
    <w:rsid w:val="002A7F11"/>
    <w:rsid w:val="002B001E"/>
    <w:rsid w:val="002B00B0"/>
    <w:rsid w:val="002B01B5"/>
    <w:rsid w:val="002B02F9"/>
    <w:rsid w:val="002B0392"/>
    <w:rsid w:val="002B04C7"/>
    <w:rsid w:val="002B0504"/>
    <w:rsid w:val="002B05EA"/>
    <w:rsid w:val="002B05FB"/>
    <w:rsid w:val="002B075C"/>
    <w:rsid w:val="002B0882"/>
    <w:rsid w:val="002B08FD"/>
    <w:rsid w:val="002B0950"/>
    <w:rsid w:val="002B0955"/>
    <w:rsid w:val="002B0A14"/>
    <w:rsid w:val="002B0A9A"/>
    <w:rsid w:val="002B0C52"/>
    <w:rsid w:val="002B0C55"/>
    <w:rsid w:val="002B0CB2"/>
    <w:rsid w:val="002B0CF8"/>
    <w:rsid w:val="002B0EC7"/>
    <w:rsid w:val="002B0F46"/>
    <w:rsid w:val="002B0F9F"/>
    <w:rsid w:val="002B1031"/>
    <w:rsid w:val="002B106A"/>
    <w:rsid w:val="002B1151"/>
    <w:rsid w:val="002B1229"/>
    <w:rsid w:val="002B12F2"/>
    <w:rsid w:val="002B12F8"/>
    <w:rsid w:val="002B1315"/>
    <w:rsid w:val="002B1374"/>
    <w:rsid w:val="002B149F"/>
    <w:rsid w:val="002B16BB"/>
    <w:rsid w:val="002B1CE5"/>
    <w:rsid w:val="002B1D0D"/>
    <w:rsid w:val="002B1EDA"/>
    <w:rsid w:val="002B1F10"/>
    <w:rsid w:val="002B1F69"/>
    <w:rsid w:val="002B2041"/>
    <w:rsid w:val="002B2068"/>
    <w:rsid w:val="002B20A9"/>
    <w:rsid w:val="002B23AE"/>
    <w:rsid w:val="002B2664"/>
    <w:rsid w:val="002B281C"/>
    <w:rsid w:val="002B282F"/>
    <w:rsid w:val="002B2848"/>
    <w:rsid w:val="002B28AC"/>
    <w:rsid w:val="002B28D6"/>
    <w:rsid w:val="002B2A74"/>
    <w:rsid w:val="002B2AFA"/>
    <w:rsid w:val="002B2AFE"/>
    <w:rsid w:val="002B2B43"/>
    <w:rsid w:val="002B2C1E"/>
    <w:rsid w:val="002B2EBF"/>
    <w:rsid w:val="002B2F94"/>
    <w:rsid w:val="002B3076"/>
    <w:rsid w:val="002B32A9"/>
    <w:rsid w:val="002B32E2"/>
    <w:rsid w:val="002B34F2"/>
    <w:rsid w:val="002B34FD"/>
    <w:rsid w:val="002B35CC"/>
    <w:rsid w:val="002B3858"/>
    <w:rsid w:val="002B38AB"/>
    <w:rsid w:val="002B38B4"/>
    <w:rsid w:val="002B38D5"/>
    <w:rsid w:val="002B397A"/>
    <w:rsid w:val="002B3982"/>
    <w:rsid w:val="002B3A59"/>
    <w:rsid w:val="002B3B2C"/>
    <w:rsid w:val="002B3BF2"/>
    <w:rsid w:val="002B3C27"/>
    <w:rsid w:val="002B3C79"/>
    <w:rsid w:val="002B403A"/>
    <w:rsid w:val="002B4040"/>
    <w:rsid w:val="002B40AE"/>
    <w:rsid w:val="002B4120"/>
    <w:rsid w:val="002B42F6"/>
    <w:rsid w:val="002B44AF"/>
    <w:rsid w:val="002B44D6"/>
    <w:rsid w:val="002B4560"/>
    <w:rsid w:val="002B4632"/>
    <w:rsid w:val="002B4753"/>
    <w:rsid w:val="002B478E"/>
    <w:rsid w:val="002B47A4"/>
    <w:rsid w:val="002B48B4"/>
    <w:rsid w:val="002B498B"/>
    <w:rsid w:val="002B4A40"/>
    <w:rsid w:val="002B4B4F"/>
    <w:rsid w:val="002B4B5C"/>
    <w:rsid w:val="002B4BB5"/>
    <w:rsid w:val="002B4D96"/>
    <w:rsid w:val="002B4E91"/>
    <w:rsid w:val="002B4FC0"/>
    <w:rsid w:val="002B5001"/>
    <w:rsid w:val="002B5031"/>
    <w:rsid w:val="002B50C6"/>
    <w:rsid w:val="002B50E3"/>
    <w:rsid w:val="002B51D0"/>
    <w:rsid w:val="002B52A9"/>
    <w:rsid w:val="002B53AC"/>
    <w:rsid w:val="002B5425"/>
    <w:rsid w:val="002B5486"/>
    <w:rsid w:val="002B54CA"/>
    <w:rsid w:val="002B54EE"/>
    <w:rsid w:val="002B56AD"/>
    <w:rsid w:val="002B5756"/>
    <w:rsid w:val="002B5778"/>
    <w:rsid w:val="002B5878"/>
    <w:rsid w:val="002B58F5"/>
    <w:rsid w:val="002B5A3B"/>
    <w:rsid w:val="002B5A6D"/>
    <w:rsid w:val="002B5BC9"/>
    <w:rsid w:val="002B5EE7"/>
    <w:rsid w:val="002B5F60"/>
    <w:rsid w:val="002B60CD"/>
    <w:rsid w:val="002B60DC"/>
    <w:rsid w:val="002B6143"/>
    <w:rsid w:val="002B61F4"/>
    <w:rsid w:val="002B6443"/>
    <w:rsid w:val="002B6533"/>
    <w:rsid w:val="002B6543"/>
    <w:rsid w:val="002B660D"/>
    <w:rsid w:val="002B661D"/>
    <w:rsid w:val="002B6AEC"/>
    <w:rsid w:val="002B6B01"/>
    <w:rsid w:val="002B6B81"/>
    <w:rsid w:val="002B6B8D"/>
    <w:rsid w:val="002B6B92"/>
    <w:rsid w:val="002B6C69"/>
    <w:rsid w:val="002B6C79"/>
    <w:rsid w:val="002B6CF5"/>
    <w:rsid w:val="002B6D25"/>
    <w:rsid w:val="002B6D92"/>
    <w:rsid w:val="002B6E36"/>
    <w:rsid w:val="002B6E83"/>
    <w:rsid w:val="002B6FDE"/>
    <w:rsid w:val="002B70EB"/>
    <w:rsid w:val="002B7170"/>
    <w:rsid w:val="002B71D7"/>
    <w:rsid w:val="002B71DA"/>
    <w:rsid w:val="002B7221"/>
    <w:rsid w:val="002B7307"/>
    <w:rsid w:val="002B732A"/>
    <w:rsid w:val="002B73A3"/>
    <w:rsid w:val="002B74F8"/>
    <w:rsid w:val="002B7540"/>
    <w:rsid w:val="002B757E"/>
    <w:rsid w:val="002B75DD"/>
    <w:rsid w:val="002B75E8"/>
    <w:rsid w:val="002B78FE"/>
    <w:rsid w:val="002B796F"/>
    <w:rsid w:val="002B79E1"/>
    <w:rsid w:val="002B7AB3"/>
    <w:rsid w:val="002B7B0D"/>
    <w:rsid w:val="002B7B68"/>
    <w:rsid w:val="002B7BF8"/>
    <w:rsid w:val="002B7C70"/>
    <w:rsid w:val="002C00B8"/>
    <w:rsid w:val="002C0213"/>
    <w:rsid w:val="002C0324"/>
    <w:rsid w:val="002C06B0"/>
    <w:rsid w:val="002C0785"/>
    <w:rsid w:val="002C090F"/>
    <w:rsid w:val="002C0A06"/>
    <w:rsid w:val="002C0B82"/>
    <w:rsid w:val="002C0BBB"/>
    <w:rsid w:val="002C0BED"/>
    <w:rsid w:val="002C0C15"/>
    <w:rsid w:val="002C0D45"/>
    <w:rsid w:val="002C0E9B"/>
    <w:rsid w:val="002C0ED6"/>
    <w:rsid w:val="002C0EFF"/>
    <w:rsid w:val="002C0F1F"/>
    <w:rsid w:val="002C0FE0"/>
    <w:rsid w:val="002C103B"/>
    <w:rsid w:val="002C116A"/>
    <w:rsid w:val="002C16EB"/>
    <w:rsid w:val="002C16F8"/>
    <w:rsid w:val="002C1716"/>
    <w:rsid w:val="002C1726"/>
    <w:rsid w:val="002C1750"/>
    <w:rsid w:val="002C17A4"/>
    <w:rsid w:val="002C17AE"/>
    <w:rsid w:val="002C1919"/>
    <w:rsid w:val="002C1941"/>
    <w:rsid w:val="002C1966"/>
    <w:rsid w:val="002C19C0"/>
    <w:rsid w:val="002C1A64"/>
    <w:rsid w:val="002C1A70"/>
    <w:rsid w:val="002C1B7A"/>
    <w:rsid w:val="002C1B8E"/>
    <w:rsid w:val="002C1B9C"/>
    <w:rsid w:val="002C1C52"/>
    <w:rsid w:val="002C1C97"/>
    <w:rsid w:val="002C1D82"/>
    <w:rsid w:val="002C1D84"/>
    <w:rsid w:val="002C1DD4"/>
    <w:rsid w:val="002C200F"/>
    <w:rsid w:val="002C2274"/>
    <w:rsid w:val="002C2277"/>
    <w:rsid w:val="002C230E"/>
    <w:rsid w:val="002C2375"/>
    <w:rsid w:val="002C241D"/>
    <w:rsid w:val="002C2554"/>
    <w:rsid w:val="002C2819"/>
    <w:rsid w:val="002C2913"/>
    <w:rsid w:val="002C29BB"/>
    <w:rsid w:val="002C29C8"/>
    <w:rsid w:val="002C2ADF"/>
    <w:rsid w:val="002C2BC0"/>
    <w:rsid w:val="002C2D95"/>
    <w:rsid w:val="002C2D9D"/>
    <w:rsid w:val="002C2DEE"/>
    <w:rsid w:val="002C2FD5"/>
    <w:rsid w:val="002C30D3"/>
    <w:rsid w:val="002C3197"/>
    <w:rsid w:val="002C32AE"/>
    <w:rsid w:val="002C348E"/>
    <w:rsid w:val="002C3598"/>
    <w:rsid w:val="002C3662"/>
    <w:rsid w:val="002C36AB"/>
    <w:rsid w:val="002C379D"/>
    <w:rsid w:val="002C3811"/>
    <w:rsid w:val="002C3D19"/>
    <w:rsid w:val="002C3E64"/>
    <w:rsid w:val="002C3EE7"/>
    <w:rsid w:val="002C4210"/>
    <w:rsid w:val="002C449C"/>
    <w:rsid w:val="002C46E3"/>
    <w:rsid w:val="002C473E"/>
    <w:rsid w:val="002C477E"/>
    <w:rsid w:val="002C4790"/>
    <w:rsid w:val="002C48DA"/>
    <w:rsid w:val="002C48E3"/>
    <w:rsid w:val="002C4A0B"/>
    <w:rsid w:val="002C4BE3"/>
    <w:rsid w:val="002C4C33"/>
    <w:rsid w:val="002C4D92"/>
    <w:rsid w:val="002C4DAA"/>
    <w:rsid w:val="002C5040"/>
    <w:rsid w:val="002C5044"/>
    <w:rsid w:val="002C50AA"/>
    <w:rsid w:val="002C512C"/>
    <w:rsid w:val="002C51CE"/>
    <w:rsid w:val="002C5205"/>
    <w:rsid w:val="002C520A"/>
    <w:rsid w:val="002C522A"/>
    <w:rsid w:val="002C54CB"/>
    <w:rsid w:val="002C5A09"/>
    <w:rsid w:val="002C5ACD"/>
    <w:rsid w:val="002C5B54"/>
    <w:rsid w:val="002C5BA2"/>
    <w:rsid w:val="002C5BA6"/>
    <w:rsid w:val="002C5BE2"/>
    <w:rsid w:val="002C5C76"/>
    <w:rsid w:val="002C5DE9"/>
    <w:rsid w:val="002C5FE5"/>
    <w:rsid w:val="002C5FE7"/>
    <w:rsid w:val="002C6078"/>
    <w:rsid w:val="002C609F"/>
    <w:rsid w:val="002C6173"/>
    <w:rsid w:val="002C61F6"/>
    <w:rsid w:val="002C621E"/>
    <w:rsid w:val="002C626E"/>
    <w:rsid w:val="002C63D4"/>
    <w:rsid w:val="002C642B"/>
    <w:rsid w:val="002C6436"/>
    <w:rsid w:val="002C6468"/>
    <w:rsid w:val="002C659A"/>
    <w:rsid w:val="002C660E"/>
    <w:rsid w:val="002C68FC"/>
    <w:rsid w:val="002C6905"/>
    <w:rsid w:val="002C6A12"/>
    <w:rsid w:val="002C6A63"/>
    <w:rsid w:val="002C6A8E"/>
    <w:rsid w:val="002C6B04"/>
    <w:rsid w:val="002C6B6B"/>
    <w:rsid w:val="002C6D11"/>
    <w:rsid w:val="002C6E9A"/>
    <w:rsid w:val="002C6EA8"/>
    <w:rsid w:val="002C6F23"/>
    <w:rsid w:val="002C719E"/>
    <w:rsid w:val="002C737F"/>
    <w:rsid w:val="002C73BF"/>
    <w:rsid w:val="002C7515"/>
    <w:rsid w:val="002C76A0"/>
    <w:rsid w:val="002C77EC"/>
    <w:rsid w:val="002C77FE"/>
    <w:rsid w:val="002C7AC9"/>
    <w:rsid w:val="002C7B70"/>
    <w:rsid w:val="002C7BCC"/>
    <w:rsid w:val="002C7C20"/>
    <w:rsid w:val="002C7C35"/>
    <w:rsid w:val="002C7D7F"/>
    <w:rsid w:val="002C7DC5"/>
    <w:rsid w:val="002C7E76"/>
    <w:rsid w:val="002C7E78"/>
    <w:rsid w:val="002D0118"/>
    <w:rsid w:val="002D013C"/>
    <w:rsid w:val="002D014A"/>
    <w:rsid w:val="002D01A1"/>
    <w:rsid w:val="002D02CA"/>
    <w:rsid w:val="002D0391"/>
    <w:rsid w:val="002D0593"/>
    <w:rsid w:val="002D076C"/>
    <w:rsid w:val="002D0854"/>
    <w:rsid w:val="002D093F"/>
    <w:rsid w:val="002D098C"/>
    <w:rsid w:val="002D09B5"/>
    <w:rsid w:val="002D0A2C"/>
    <w:rsid w:val="002D0AB9"/>
    <w:rsid w:val="002D0B23"/>
    <w:rsid w:val="002D0B34"/>
    <w:rsid w:val="002D0B5A"/>
    <w:rsid w:val="002D0B8B"/>
    <w:rsid w:val="002D0D0E"/>
    <w:rsid w:val="002D0D6F"/>
    <w:rsid w:val="002D0F02"/>
    <w:rsid w:val="002D10B3"/>
    <w:rsid w:val="002D10F2"/>
    <w:rsid w:val="002D11B1"/>
    <w:rsid w:val="002D1202"/>
    <w:rsid w:val="002D1288"/>
    <w:rsid w:val="002D161D"/>
    <w:rsid w:val="002D1695"/>
    <w:rsid w:val="002D1745"/>
    <w:rsid w:val="002D17AE"/>
    <w:rsid w:val="002D180F"/>
    <w:rsid w:val="002D1890"/>
    <w:rsid w:val="002D1A52"/>
    <w:rsid w:val="002D1B95"/>
    <w:rsid w:val="002D1BC1"/>
    <w:rsid w:val="002D1BDB"/>
    <w:rsid w:val="002D1BFB"/>
    <w:rsid w:val="002D1C4F"/>
    <w:rsid w:val="002D1D40"/>
    <w:rsid w:val="002D1D8E"/>
    <w:rsid w:val="002D1E8A"/>
    <w:rsid w:val="002D1F00"/>
    <w:rsid w:val="002D1F71"/>
    <w:rsid w:val="002D1FCB"/>
    <w:rsid w:val="002D22FA"/>
    <w:rsid w:val="002D2501"/>
    <w:rsid w:val="002D26FA"/>
    <w:rsid w:val="002D275D"/>
    <w:rsid w:val="002D28CB"/>
    <w:rsid w:val="002D2980"/>
    <w:rsid w:val="002D2A1E"/>
    <w:rsid w:val="002D2B4E"/>
    <w:rsid w:val="002D2B79"/>
    <w:rsid w:val="002D2CF9"/>
    <w:rsid w:val="002D2EBE"/>
    <w:rsid w:val="002D31A2"/>
    <w:rsid w:val="002D3289"/>
    <w:rsid w:val="002D34D0"/>
    <w:rsid w:val="002D353D"/>
    <w:rsid w:val="002D354C"/>
    <w:rsid w:val="002D35BC"/>
    <w:rsid w:val="002D36DF"/>
    <w:rsid w:val="002D3731"/>
    <w:rsid w:val="002D3783"/>
    <w:rsid w:val="002D378D"/>
    <w:rsid w:val="002D3830"/>
    <w:rsid w:val="002D3952"/>
    <w:rsid w:val="002D3A6E"/>
    <w:rsid w:val="002D3AFD"/>
    <w:rsid w:val="002D3C4C"/>
    <w:rsid w:val="002D3DBC"/>
    <w:rsid w:val="002D3E39"/>
    <w:rsid w:val="002D3E42"/>
    <w:rsid w:val="002D3E84"/>
    <w:rsid w:val="002D3FBA"/>
    <w:rsid w:val="002D403B"/>
    <w:rsid w:val="002D4080"/>
    <w:rsid w:val="002D418A"/>
    <w:rsid w:val="002D41CE"/>
    <w:rsid w:val="002D4225"/>
    <w:rsid w:val="002D43F6"/>
    <w:rsid w:val="002D443D"/>
    <w:rsid w:val="002D44BA"/>
    <w:rsid w:val="002D44BC"/>
    <w:rsid w:val="002D44D0"/>
    <w:rsid w:val="002D4516"/>
    <w:rsid w:val="002D4521"/>
    <w:rsid w:val="002D471D"/>
    <w:rsid w:val="002D4871"/>
    <w:rsid w:val="002D49E9"/>
    <w:rsid w:val="002D4AA2"/>
    <w:rsid w:val="002D4AEA"/>
    <w:rsid w:val="002D4C06"/>
    <w:rsid w:val="002D4D2F"/>
    <w:rsid w:val="002D4D85"/>
    <w:rsid w:val="002D4E37"/>
    <w:rsid w:val="002D4F83"/>
    <w:rsid w:val="002D5087"/>
    <w:rsid w:val="002D5272"/>
    <w:rsid w:val="002D52C5"/>
    <w:rsid w:val="002D5378"/>
    <w:rsid w:val="002D5421"/>
    <w:rsid w:val="002D5422"/>
    <w:rsid w:val="002D5520"/>
    <w:rsid w:val="002D5570"/>
    <w:rsid w:val="002D55AC"/>
    <w:rsid w:val="002D55CD"/>
    <w:rsid w:val="002D569C"/>
    <w:rsid w:val="002D571C"/>
    <w:rsid w:val="002D59E5"/>
    <w:rsid w:val="002D5A66"/>
    <w:rsid w:val="002D5AA1"/>
    <w:rsid w:val="002D5B5F"/>
    <w:rsid w:val="002D5B8E"/>
    <w:rsid w:val="002D5CFC"/>
    <w:rsid w:val="002D5D03"/>
    <w:rsid w:val="002D5D35"/>
    <w:rsid w:val="002D5DBE"/>
    <w:rsid w:val="002D5E35"/>
    <w:rsid w:val="002D5EED"/>
    <w:rsid w:val="002D6014"/>
    <w:rsid w:val="002D617A"/>
    <w:rsid w:val="002D62EA"/>
    <w:rsid w:val="002D644D"/>
    <w:rsid w:val="002D6520"/>
    <w:rsid w:val="002D66F3"/>
    <w:rsid w:val="002D69F2"/>
    <w:rsid w:val="002D6A24"/>
    <w:rsid w:val="002D6B5B"/>
    <w:rsid w:val="002D6B98"/>
    <w:rsid w:val="002D6D9D"/>
    <w:rsid w:val="002D6DB1"/>
    <w:rsid w:val="002D70A8"/>
    <w:rsid w:val="002D7178"/>
    <w:rsid w:val="002D72AF"/>
    <w:rsid w:val="002D7305"/>
    <w:rsid w:val="002D759E"/>
    <w:rsid w:val="002D76CD"/>
    <w:rsid w:val="002D76E3"/>
    <w:rsid w:val="002D7775"/>
    <w:rsid w:val="002D77BE"/>
    <w:rsid w:val="002D78A4"/>
    <w:rsid w:val="002D78C0"/>
    <w:rsid w:val="002D78E5"/>
    <w:rsid w:val="002D78EB"/>
    <w:rsid w:val="002D7BBC"/>
    <w:rsid w:val="002D7C29"/>
    <w:rsid w:val="002D7D7F"/>
    <w:rsid w:val="002D7E70"/>
    <w:rsid w:val="002D7E78"/>
    <w:rsid w:val="002D7F46"/>
    <w:rsid w:val="002D7FA4"/>
    <w:rsid w:val="002E0078"/>
    <w:rsid w:val="002E0189"/>
    <w:rsid w:val="002E030D"/>
    <w:rsid w:val="002E0376"/>
    <w:rsid w:val="002E050C"/>
    <w:rsid w:val="002E0532"/>
    <w:rsid w:val="002E05E8"/>
    <w:rsid w:val="002E0641"/>
    <w:rsid w:val="002E0688"/>
    <w:rsid w:val="002E07BA"/>
    <w:rsid w:val="002E0860"/>
    <w:rsid w:val="002E0888"/>
    <w:rsid w:val="002E08BF"/>
    <w:rsid w:val="002E0A16"/>
    <w:rsid w:val="002E0B10"/>
    <w:rsid w:val="002E0C3E"/>
    <w:rsid w:val="002E0C9A"/>
    <w:rsid w:val="002E0D53"/>
    <w:rsid w:val="002E0DF4"/>
    <w:rsid w:val="002E0DF5"/>
    <w:rsid w:val="002E0F43"/>
    <w:rsid w:val="002E0FE1"/>
    <w:rsid w:val="002E1109"/>
    <w:rsid w:val="002E1188"/>
    <w:rsid w:val="002E1229"/>
    <w:rsid w:val="002E1248"/>
    <w:rsid w:val="002E12B4"/>
    <w:rsid w:val="002E139F"/>
    <w:rsid w:val="002E1529"/>
    <w:rsid w:val="002E153B"/>
    <w:rsid w:val="002E15AE"/>
    <w:rsid w:val="002E1621"/>
    <w:rsid w:val="002E17BD"/>
    <w:rsid w:val="002E1981"/>
    <w:rsid w:val="002E19E0"/>
    <w:rsid w:val="002E1A06"/>
    <w:rsid w:val="002E1A17"/>
    <w:rsid w:val="002E1A4D"/>
    <w:rsid w:val="002E1C14"/>
    <w:rsid w:val="002E1E8A"/>
    <w:rsid w:val="002E1FE9"/>
    <w:rsid w:val="002E1FFA"/>
    <w:rsid w:val="002E204E"/>
    <w:rsid w:val="002E225A"/>
    <w:rsid w:val="002E246F"/>
    <w:rsid w:val="002E24E2"/>
    <w:rsid w:val="002E2665"/>
    <w:rsid w:val="002E26A8"/>
    <w:rsid w:val="002E277B"/>
    <w:rsid w:val="002E27D6"/>
    <w:rsid w:val="002E2A96"/>
    <w:rsid w:val="002E2B38"/>
    <w:rsid w:val="002E2B9E"/>
    <w:rsid w:val="002E2BC0"/>
    <w:rsid w:val="002E2D37"/>
    <w:rsid w:val="002E2D62"/>
    <w:rsid w:val="002E2E64"/>
    <w:rsid w:val="002E30A5"/>
    <w:rsid w:val="002E3153"/>
    <w:rsid w:val="002E31B3"/>
    <w:rsid w:val="002E31DC"/>
    <w:rsid w:val="002E3291"/>
    <w:rsid w:val="002E365D"/>
    <w:rsid w:val="002E3743"/>
    <w:rsid w:val="002E3824"/>
    <w:rsid w:val="002E3856"/>
    <w:rsid w:val="002E38CF"/>
    <w:rsid w:val="002E3903"/>
    <w:rsid w:val="002E3982"/>
    <w:rsid w:val="002E3B0D"/>
    <w:rsid w:val="002E3B8C"/>
    <w:rsid w:val="002E3BAE"/>
    <w:rsid w:val="002E3BEE"/>
    <w:rsid w:val="002E3C11"/>
    <w:rsid w:val="002E3D96"/>
    <w:rsid w:val="002E3E57"/>
    <w:rsid w:val="002E3E65"/>
    <w:rsid w:val="002E3F04"/>
    <w:rsid w:val="002E3FA5"/>
    <w:rsid w:val="002E3FC5"/>
    <w:rsid w:val="002E40BB"/>
    <w:rsid w:val="002E418B"/>
    <w:rsid w:val="002E4232"/>
    <w:rsid w:val="002E42BA"/>
    <w:rsid w:val="002E42C9"/>
    <w:rsid w:val="002E4318"/>
    <w:rsid w:val="002E4327"/>
    <w:rsid w:val="002E4374"/>
    <w:rsid w:val="002E437F"/>
    <w:rsid w:val="002E441F"/>
    <w:rsid w:val="002E4480"/>
    <w:rsid w:val="002E44F7"/>
    <w:rsid w:val="002E4505"/>
    <w:rsid w:val="002E46B5"/>
    <w:rsid w:val="002E4811"/>
    <w:rsid w:val="002E4838"/>
    <w:rsid w:val="002E48BD"/>
    <w:rsid w:val="002E4AAB"/>
    <w:rsid w:val="002E4AFF"/>
    <w:rsid w:val="002E4B48"/>
    <w:rsid w:val="002E4B74"/>
    <w:rsid w:val="002E4B9F"/>
    <w:rsid w:val="002E4DC5"/>
    <w:rsid w:val="002E4F65"/>
    <w:rsid w:val="002E51BA"/>
    <w:rsid w:val="002E5247"/>
    <w:rsid w:val="002E5264"/>
    <w:rsid w:val="002E538D"/>
    <w:rsid w:val="002E53A3"/>
    <w:rsid w:val="002E54E1"/>
    <w:rsid w:val="002E5513"/>
    <w:rsid w:val="002E55A7"/>
    <w:rsid w:val="002E566C"/>
    <w:rsid w:val="002E568A"/>
    <w:rsid w:val="002E5690"/>
    <w:rsid w:val="002E57DF"/>
    <w:rsid w:val="002E580E"/>
    <w:rsid w:val="002E58B0"/>
    <w:rsid w:val="002E5923"/>
    <w:rsid w:val="002E5934"/>
    <w:rsid w:val="002E5937"/>
    <w:rsid w:val="002E59EC"/>
    <w:rsid w:val="002E5A15"/>
    <w:rsid w:val="002E5A4E"/>
    <w:rsid w:val="002E5BA0"/>
    <w:rsid w:val="002E5BA3"/>
    <w:rsid w:val="002E5BF3"/>
    <w:rsid w:val="002E5BF4"/>
    <w:rsid w:val="002E5C15"/>
    <w:rsid w:val="002E5DE6"/>
    <w:rsid w:val="002E5F30"/>
    <w:rsid w:val="002E5FDC"/>
    <w:rsid w:val="002E6017"/>
    <w:rsid w:val="002E62FE"/>
    <w:rsid w:val="002E6312"/>
    <w:rsid w:val="002E680A"/>
    <w:rsid w:val="002E686B"/>
    <w:rsid w:val="002E6957"/>
    <w:rsid w:val="002E696C"/>
    <w:rsid w:val="002E6A1B"/>
    <w:rsid w:val="002E6AE1"/>
    <w:rsid w:val="002E6C2F"/>
    <w:rsid w:val="002E6D31"/>
    <w:rsid w:val="002E6E5B"/>
    <w:rsid w:val="002E6E8F"/>
    <w:rsid w:val="002E7010"/>
    <w:rsid w:val="002E7095"/>
    <w:rsid w:val="002E724A"/>
    <w:rsid w:val="002E729D"/>
    <w:rsid w:val="002E7314"/>
    <w:rsid w:val="002E73E2"/>
    <w:rsid w:val="002E74B6"/>
    <w:rsid w:val="002E74F6"/>
    <w:rsid w:val="002E7538"/>
    <w:rsid w:val="002E7595"/>
    <w:rsid w:val="002E75F5"/>
    <w:rsid w:val="002E7603"/>
    <w:rsid w:val="002E76A6"/>
    <w:rsid w:val="002E7856"/>
    <w:rsid w:val="002E7874"/>
    <w:rsid w:val="002E791B"/>
    <w:rsid w:val="002E7A12"/>
    <w:rsid w:val="002E7B27"/>
    <w:rsid w:val="002E7F2D"/>
    <w:rsid w:val="002E7F3D"/>
    <w:rsid w:val="002E7F3F"/>
    <w:rsid w:val="002E7FA1"/>
    <w:rsid w:val="002F0004"/>
    <w:rsid w:val="002F0176"/>
    <w:rsid w:val="002F025C"/>
    <w:rsid w:val="002F02C4"/>
    <w:rsid w:val="002F03E7"/>
    <w:rsid w:val="002F04CC"/>
    <w:rsid w:val="002F04FD"/>
    <w:rsid w:val="002F0530"/>
    <w:rsid w:val="002F0564"/>
    <w:rsid w:val="002F0683"/>
    <w:rsid w:val="002F06C4"/>
    <w:rsid w:val="002F06CD"/>
    <w:rsid w:val="002F06F0"/>
    <w:rsid w:val="002F0762"/>
    <w:rsid w:val="002F0767"/>
    <w:rsid w:val="002F078D"/>
    <w:rsid w:val="002F0840"/>
    <w:rsid w:val="002F0A75"/>
    <w:rsid w:val="002F0D3F"/>
    <w:rsid w:val="002F0D4A"/>
    <w:rsid w:val="002F0D93"/>
    <w:rsid w:val="002F105A"/>
    <w:rsid w:val="002F1084"/>
    <w:rsid w:val="002F13B8"/>
    <w:rsid w:val="002F1549"/>
    <w:rsid w:val="002F15BD"/>
    <w:rsid w:val="002F15F8"/>
    <w:rsid w:val="002F16F2"/>
    <w:rsid w:val="002F1757"/>
    <w:rsid w:val="002F175A"/>
    <w:rsid w:val="002F1991"/>
    <w:rsid w:val="002F1996"/>
    <w:rsid w:val="002F19F6"/>
    <w:rsid w:val="002F1A5C"/>
    <w:rsid w:val="002F1A77"/>
    <w:rsid w:val="002F1C0B"/>
    <w:rsid w:val="002F1C63"/>
    <w:rsid w:val="002F1C80"/>
    <w:rsid w:val="002F1CAC"/>
    <w:rsid w:val="002F1D32"/>
    <w:rsid w:val="002F1D63"/>
    <w:rsid w:val="002F1DB9"/>
    <w:rsid w:val="002F1DF8"/>
    <w:rsid w:val="002F1E14"/>
    <w:rsid w:val="002F1EFA"/>
    <w:rsid w:val="002F2036"/>
    <w:rsid w:val="002F212B"/>
    <w:rsid w:val="002F2203"/>
    <w:rsid w:val="002F220F"/>
    <w:rsid w:val="002F2276"/>
    <w:rsid w:val="002F2292"/>
    <w:rsid w:val="002F2346"/>
    <w:rsid w:val="002F23D3"/>
    <w:rsid w:val="002F24B6"/>
    <w:rsid w:val="002F2549"/>
    <w:rsid w:val="002F2553"/>
    <w:rsid w:val="002F26C0"/>
    <w:rsid w:val="002F275A"/>
    <w:rsid w:val="002F2780"/>
    <w:rsid w:val="002F282B"/>
    <w:rsid w:val="002F2949"/>
    <w:rsid w:val="002F2A01"/>
    <w:rsid w:val="002F2A96"/>
    <w:rsid w:val="002F2BBB"/>
    <w:rsid w:val="002F2C29"/>
    <w:rsid w:val="002F2C70"/>
    <w:rsid w:val="002F2C7E"/>
    <w:rsid w:val="002F2CD8"/>
    <w:rsid w:val="002F2D47"/>
    <w:rsid w:val="002F2F10"/>
    <w:rsid w:val="002F3069"/>
    <w:rsid w:val="002F3204"/>
    <w:rsid w:val="002F3472"/>
    <w:rsid w:val="002F3522"/>
    <w:rsid w:val="002F352F"/>
    <w:rsid w:val="002F35A7"/>
    <w:rsid w:val="002F35C0"/>
    <w:rsid w:val="002F37CE"/>
    <w:rsid w:val="002F3913"/>
    <w:rsid w:val="002F39A9"/>
    <w:rsid w:val="002F3A76"/>
    <w:rsid w:val="002F3A95"/>
    <w:rsid w:val="002F3B0B"/>
    <w:rsid w:val="002F3BDE"/>
    <w:rsid w:val="002F3C0F"/>
    <w:rsid w:val="002F3C67"/>
    <w:rsid w:val="002F3D1E"/>
    <w:rsid w:val="002F3FF6"/>
    <w:rsid w:val="002F4057"/>
    <w:rsid w:val="002F4099"/>
    <w:rsid w:val="002F43B9"/>
    <w:rsid w:val="002F4482"/>
    <w:rsid w:val="002F4486"/>
    <w:rsid w:val="002F45B6"/>
    <w:rsid w:val="002F45CE"/>
    <w:rsid w:val="002F4750"/>
    <w:rsid w:val="002F4836"/>
    <w:rsid w:val="002F48C6"/>
    <w:rsid w:val="002F48D4"/>
    <w:rsid w:val="002F48FA"/>
    <w:rsid w:val="002F4999"/>
    <w:rsid w:val="002F4B9C"/>
    <w:rsid w:val="002F4C28"/>
    <w:rsid w:val="002F4F68"/>
    <w:rsid w:val="002F4F95"/>
    <w:rsid w:val="002F4FD1"/>
    <w:rsid w:val="002F5014"/>
    <w:rsid w:val="002F5055"/>
    <w:rsid w:val="002F50E1"/>
    <w:rsid w:val="002F527C"/>
    <w:rsid w:val="002F52B6"/>
    <w:rsid w:val="002F5381"/>
    <w:rsid w:val="002F53A3"/>
    <w:rsid w:val="002F5427"/>
    <w:rsid w:val="002F543C"/>
    <w:rsid w:val="002F54E8"/>
    <w:rsid w:val="002F54F9"/>
    <w:rsid w:val="002F55D0"/>
    <w:rsid w:val="002F5675"/>
    <w:rsid w:val="002F57E3"/>
    <w:rsid w:val="002F57FB"/>
    <w:rsid w:val="002F584D"/>
    <w:rsid w:val="002F590D"/>
    <w:rsid w:val="002F593A"/>
    <w:rsid w:val="002F598A"/>
    <w:rsid w:val="002F5A31"/>
    <w:rsid w:val="002F5A51"/>
    <w:rsid w:val="002F5C34"/>
    <w:rsid w:val="002F5D09"/>
    <w:rsid w:val="002F5D4A"/>
    <w:rsid w:val="002F5DDE"/>
    <w:rsid w:val="002F6087"/>
    <w:rsid w:val="002F60E3"/>
    <w:rsid w:val="002F617F"/>
    <w:rsid w:val="002F61B1"/>
    <w:rsid w:val="002F61D1"/>
    <w:rsid w:val="002F6315"/>
    <w:rsid w:val="002F6329"/>
    <w:rsid w:val="002F63A3"/>
    <w:rsid w:val="002F6597"/>
    <w:rsid w:val="002F6705"/>
    <w:rsid w:val="002F689E"/>
    <w:rsid w:val="002F69A1"/>
    <w:rsid w:val="002F6A4D"/>
    <w:rsid w:val="002F6A50"/>
    <w:rsid w:val="002F6B11"/>
    <w:rsid w:val="002F6BBC"/>
    <w:rsid w:val="002F6BD9"/>
    <w:rsid w:val="002F6C11"/>
    <w:rsid w:val="002F6C58"/>
    <w:rsid w:val="002F6CC5"/>
    <w:rsid w:val="002F6CD0"/>
    <w:rsid w:val="002F6CDB"/>
    <w:rsid w:val="002F6D4C"/>
    <w:rsid w:val="002F6E23"/>
    <w:rsid w:val="002F6F87"/>
    <w:rsid w:val="002F6FF9"/>
    <w:rsid w:val="002F7261"/>
    <w:rsid w:val="002F7322"/>
    <w:rsid w:val="002F73C2"/>
    <w:rsid w:val="002F74CA"/>
    <w:rsid w:val="002F7575"/>
    <w:rsid w:val="002F7646"/>
    <w:rsid w:val="002F76AE"/>
    <w:rsid w:val="002F77AE"/>
    <w:rsid w:val="002F7803"/>
    <w:rsid w:val="002F785D"/>
    <w:rsid w:val="002F7948"/>
    <w:rsid w:val="002F7AFD"/>
    <w:rsid w:val="002F7B40"/>
    <w:rsid w:val="002F7DE5"/>
    <w:rsid w:val="002F7E19"/>
    <w:rsid w:val="002F7F15"/>
    <w:rsid w:val="002F7FC8"/>
    <w:rsid w:val="002F7FE0"/>
    <w:rsid w:val="00300040"/>
    <w:rsid w:val="003001D1"/>
    <w:rsid w:val="003001E2"/>
    <w:rsid w:val="00300244"/>
    <w:rsid w:val="003002A7"/>
    <w:rsid w:val="003003BA"/>
    <w:rsid w:val="00300531"/>
    <w:rsid w:val="003005E0"/>
    <w:rsid w:val="0030079C"/>
    <w:rsid w:val="00300896"/>
    <w:rsid w:val="003008F6"/>
    <w:rsid w:val="00300AAD"/>
    <w:rsid w:val="00300AFD"/>
    <w:rsid w:val="00300C61"/>
    <w:rsid w:val="00300E32"/>
    <w:rsid w:val="00300EB1"/>
    <w:rsid w:val="00300ECE"/>
    <w:rsid w:val="00301002"/>
    <w:rsid w:val="00301034"/>
    <w:rsid w:val="0030118C"/>
    <w:rsid w:val="00301270"/>
    <w:rsid w:val="003012E4"/>
    <w:rsid w:val="0030139B"/>
    <w:rsid w:val="003013C9"/>
    <w:rsid w:val="003015C6"/>
    <w:rsid w:val="003018B9"/>
    <w:rsid w:val="0030194F"/>
    <w:rsid w:val="00301AEF"/>
    <w:rsid w:val="00301C31"/>
    <w:rsid w:val="00301CE8"/>
    <w:rsid w:val="00301E43"/>
    <w:rsid w:val="00301EB5"/>
    <w:rsid w:val="00301EF0"/>
    <w:rsid w:val="003020C5"/>
    <w:rsid w:val="00302107"/>
    <w:rsid w:val="0030219E"/>
    <w:rsid w:val="003022A0"/>
    <w:rsid w:val="00302342"/>
    <w:rsid w:val="00302504"/>
    <w:rsid w:val="00302568"/>
    <w:rsid w:val="003025BD"/>
    <w:rsid w:val="003025BF"/>
    <w:rsid w:val="0030280C"/>
    <w:rsid w:val="0030283F"/>
    <w:rsid w:val="0030293B"/>
    <w:rsid w:val="00302A75"/>
    <w:rsid w:val="00302A77"/>
    <w:rsid w:val="00302BD3"/>
    <w:rsid w:val="00302C77"/>
    <w:rsid w:val="00302D09"/>
    <w:rsid w:val="00302DAA"/>
    <w:rsid w:val="00302E68"/>
    <w:rsid w:val="00302E76"/>
    <w:rsid w:val="00303007"/>
    <w:rsid w:val="003030AC"/>
    <w:rsid w:val="00303131"/>
    <w:rsid w:val="00303197"/>
    <w:rsid w:val="0030322D"/>
    <w:rsid w:val="00303326"/>
    <w:rsid w:val="00303424"/>
    <w:rsid w:val="0030347D"/>
    <w:rsid w:val="00303597"/>
    <w:rsid w:val="003036AE"/>
    <w:rsid w:val="003036C5"/>
    <w:rsid w:val="00303704"/>
    <w:rsid w:val="0030397B"/>
    <w:rsid w:val="00303A72"/>
    <w:rsid w:val="00303A87"/>
    <w:rsid w:val="00303AFA"/>
    <w:rsid w:val="00303B10"/>
    <w:rsid w:val="00303C72"/>
    <w:rsid w:val="00303CAD"/>
    <w:rsid w:val="00303DD8"/>
    <w:rsid w:val="00303DDE"/>
    <w:rsid w:val="00303E7B"/>
    <w:rsid w:val="00303F7A"/>
    <w:rsid w:val="003040A6"/>
    <w:rsid w:val="00304151"/>
    <w:rsid w:val="00304247"/>
    <w:rsid w:val="00304269"/>
    <w:rsid w:val="00304290"/>
    <w:rsid w:val="003043CE"/>
    <w:rsid w:val="00304598"/>
    <w:rsid w:val="00304B96"/>
    <w:rsid w:val="00304C4D"/>
    <w:rsid w:val="00304C60"/>
    <w:rsid w:val="00304CF6"/>
    <w:rsid w:val="00304D26"/>
    <w:rsid w:val="00304E21"/>
    <w:rsid w:val="0030531A"/>
    <w:rsid w:val="00305411"/>
    <w:rsid w:val="00305492"/>
    <w:rsid w:val="003054D5"/>
    <w:rsid w:val="003054EF"/>
    <w:rsid w:val="00305510"/>
    <w:rsid w:val="0030560C"/>
    <w:rsid w:val="003057F1"/>
    <w:rsid w:val="00305A2D"/>
    <w:rsid w:val="00305A6E"/>
    <w:rsid w:val="00305B5E"/>
    <w:rsid w:val="00305B78"/>
    <w:rsid w:val="00305B7C"/>
    <w:rsid w:val="00305B95"/>
    <w:rsid w:val="00305BFB"/>
    <w:rsid w:val="00305C07"/>
    <w:rsid w:val="00305C25"/>
    <w:rsid w:val="00305E97"/>
    <w:rsid w:val="00305F42"/>
    <w:rsid w:val="0030604C"/>
    <w:rsid w:val="0030616B"/>
    <w:rsid w:val="0030622D"/>
    <w:rsid w:val="003062AC"/>
    <w:rsid w:val="003062B5"/>
    <w:rsid w:val="00306392"/>
    <w:rsid w:val="00306456"/>
    <w:rsid w:val="00306478"/>
    <w:rsid w:val="003064CB"/>
    <w:rsid w:val="00306523"/>
    <w:rsid w:val="00306625"/>
    <w:rsid w:val="0030668C"/>
    <w:rsid w:val="00306723"/>
    <w:rsid w:val="0030675C"/>
    <w:rsid w:val="003068C2"/>
    <w:rsid w:val="003068C7"/>
    <w:rsid w:val="00306B04"/>
    <w:rsid w:val="00306C4B"/>
    <w:rsid w:val="00306CF3"/>
    <w:rsid w:val="00306CF6"/>
    <w:rsid w:val="00306D13"/>
    <w:rsid w:val="00306D68"/>
    <w:rsid w:val="00306E39"/>
    <w:rsid w:val="00306F4C"/>
    <w:rsid w:val="003070C8"/>
    <w:rsid w:val="00307236"/>
    <w:rsid w:val="00307245"/>
    <w:rsid w:val="00307286"/>
    <w:rsid w:val="003072F3"/>
    <w:rsid w:val="0030730C"/>
    <w:rsid w:val="0030738B"/>
    <w:rsid w:val="003073A2"/>
    <w:rsid w:val="003077BA"/>
    <w:rsid w:val="00307894"/>
    <w:rsid w:val="00307895"/>
    <w:rsid w:val="003079F6"/>
    <w:rsid w:val="00307B6C"/>
    <w:rsid w:val="00307C00"/>
    <w:rsid w:val="00307C73"/>
    <w:rsid w:val="00307D17"/>
    <w:rsid w:val="00307E40"/>
    <w:rsid w:val="00307F79"/>
    <w:rsid w:val="00307F9C"/>
    <w:rsid w:val="00310096"/>
    <w:rsid w:val="0031018A"/>
    <w:rsid w:val="00310383"/>
    <w:rsid w:val="00310386"/>
    <w:rsid w:val="0031042E"/>
    <w:rsid w:val="00310488"/>
    <w:rsid w:val="0031056C"/>
    <w:rsid w:val="00310584"/>
    <w:rsid w:val="003105FB"/>
    <w:rsid w:val="0031072B"/>
    <w:rsid w:val="003107D0"/>
    <w:rsid w:val="003107FE"/>
    <w:rsid w:val="00310ACF"/>
    <w:rsid w:val="00310B75"/>
    <w:rsid w:val="00310BC9"/>
    <w:rsid w:val="00310C26"/>
    <w:rsid w:val="00310F92"/>
    <w:rsid w:val="00310F9B"/>
    <w:rsid w:val="00310FF7"/>
    <w:rsid w:val="00311055"/>
    <w:rsid w:val="0031115E"/>
    <w:rsid w:val="003112CB"/>
    <w:rsid w:val="003113DC"/>
    <w:rsid w:val="00311419"/>
    <w:rsid w:val="0031142C"/>
    <w:rsid w:val="00311444"/>
    <w:rsid w:val="00311539"/>
    <w:rsid w:val="003115A9"/>
    <w:rsid w:val="0031161A"/>
    <w:rsid w:val="003116CE"/>
    <w:rsid w:val="0031170D"/>
    <w:rsid w:val="0031178C"/>
    <w:rsid w:val="00311803"/>
    <w:rsid w:val="00311944"/>
    <w:rsid w:val="00311A12"/>
    <w:rsid w:val="00311A5E"/>
    <w:rsid w:val="00311C03"/>
    <w:rsid w:val="00311C86"/>
    <w:rsid w:val="00311DE0"/>
    <w:rsid w:val="00311E8A"/>
    <w:rsid w:val="00311FDE"/>
    <w:rsid w:val="00312004"/>
    <w:rsid w:val="00312108"/>
    <w:rsid w:val="0031224E"/>
    <w:rsid w:val="00312276"/>
    <w:rsid w:val="00312286"/>
    <w:rsid w:val="003122A3"/>
    <w:rsid w:val="00312390"/>
    <w:rsid w:val="0031239D"/>
    <w:rsid w:val="003123B0"/>
    <w:rsid w:val="00312449"/>
    <w:rsid w:val="00312464"/>
    <w:rsid w:val="003124AC"/>
    <w:rsid w:val="003124B6"/>
    <w:rsid w:val="00312571"/>
    <w:rsid w:val="003125EB"/>
    <w:rsid w:val="003125F4"/>
    <w:rsid w:val="003127C6"/>
    <w:rsid w:val="00312893"/>
    <w:rsid w:val="00312C8E"/>
    <w:rsid w:val="00312EBC"/>
    <w:rsid w:val="0031306D"/>
    <w:rsid w:val="003130FB"/>
    <w:rsid w:val="003131FA"/>
    <w:rsid w:val="003131FB"/>
    <w:rsid w:val="003132ED"/>
    <w:rsid w:val="0031343F"/>
    <w:rsid w:val="00313486"/>
    <w:rsid w:val="003134DD"/>
    <w:rsid w:val="00313570"/>
    <w:rsid w:val="00313574"/>
    <w:rsid w:val="003135B5"/>
    <w:rsid w:val="00313665"/>
    <w:rsid w:val="0031366A"/>
    <w:rsid w:val="003136A2"/>
    <w:rsid w:val="003136AE"/>
    <w:rsid w:val="0031382A"/>
    <w:rsid w:val="00313894"/>
    <w:rsid w:val="00313A95"/>
    <w:rsid w:val="00313B57"/>
    <w:rsid w:val="00313CA9"/>
    <w:rsid w:val="00313D71"/>
    <w:rsid w:val="00313DB3"/>
    <w:rsid w:val="00313E5B"/>
    <w:rsid w:val="0031415E"/>
    <w:rsid w:val="003141BE"/>
    <w:rsid w:val="003142B2"/>
    <w:rsid w:val="0031430D"/>
    <w:rsid w:val="0031440D"/>
    <w:rsid w:val="003144DB"/>
    <w:rsid w:val="0031453D"/>
    <w:rsid w:val="0031473F"/>
    <w:rsid w:val="003147D5"/>
    <w:rsid w:val="003148D9"/>
    <w:rsid w:val="0031493C"/>
    <w:rsid w:val="0031497D"/>
    <w:rsid w:val="00314BB3"/>
    <w:rsid w:val="00314C3B"/>
    <w:rsid w:val="00314FE3"/>
    <w:rsid w:val="00314FFE"/>
    <w:rsid w:val="0031525B"/>
    <w:rsid w:val="00315326"/>
    <w:rsid w:val="0031537D"/>
    <w:rsid w:val="00315976"/>
    <w:rsid w:val="00315B2F"/>
    <w:rsid w:val="00315D3C"/>
    <w:rsid w:val="00315E3D"/>
    <w:rsid w:val="00315EDF"/>
    <w:rsid w:val="00315F5E"/>
    <w:rsid w:val="00315FF5"/>
    <w:rsid w:val="00316157"/>
    <w:rsid w:val="0031624B"/>
    <w:rsid w:val="003162A1"/>
    <w:rsid w:val="00316308"/>
    <w:rsid w:val="0031645A"/>
    <w:rsid w:val="0031649F"/>
    <w:rsid w:val="003164EA"/>
    <w:rsid w:val="0031651C"/>
    <w:rsid w:val="0031652D"/>
    <w:rsid w:val="00316563"/>
    <w:rsid w:val="00316633"/>
    <w:rsid w:val="00316663"/>
    <w:rsid w:val="00316710"/>
    <w:rsid w:val="0031675A"/>
    <w:rsid w:val="0031675E"/>
    <w:rsid w:val="0031676F"/>
    <w:rsid w:val="003167FC"/>
    <w:rsid w:val="00316A0F"/>
    <w:rsid w:val="00316AD7"/>
    <w:rsid w:val="00316D78"/>
    <w:rsid w:val="00316E14"/>
    <w:rsid w:val="00316ECE"/>
    <w:rsid w:val="00316EDD"/>
    <w:rsid w:val="00316F72"/>
    <w:rsid w:val="00317041"/>
    <w:rsid w:val="003171A0"/>
    <w:rsid w:val="0031733B"/>
    <w:rsid w:val="00317366"/>
    <w:rsid w:val="0031748E"/>
    <w:rsid w:val="0031749B"/>
    <w:rsid w:val="003174FA"/>
    <w:rsid w:val="00317595"/>
    <w:rsid w:val="0031783D"/>
    <w:rsid w:val="0031787F"/>
    <w:rsid w:val="00317884"/>
    <w:rsid w:val="00317BA4"/>
    <w:rsid w:val="00317C04"/>
    <w:rsid w:val="00317C1B"/>
    <w:rsid w:val="00317C47"/>
    <w:rsid w:val="00317DB6"/>
    <w:rsid w:val="00317E72"/>
    <w:rsid w:val="003200DC"/>
    <w:rsid w:val="003201C6"/>
    <w:rsid w:val="003202CE"/>
    <w:rsid w:val="003202F0"/>
    <w:rsid w:val="00320390"/>
    <w:rsid w:val="00320429"/>
    <w:rsid w:val="00320430"/>
    <w:rsid w:val="00320493"/>
    <w:rsid w:val="00320580"/>
    <w:rsid w:val="003205B0"/>
    <w:rsid w:val="003205B2"/>
    <w:rsid w:val="0032063D"/>
    <w:rsid w:val="00320665"/>
    <w:rsid w:val="003206AE"/>
    <w:rsid w:val="0032070B"/>
    <w:rsid w:val="0032078B"/>
    <w:rsid w:val="00320797"/>
    <w:rsid w:val="003208EC"/>
    <w:rsid w:val="0032096B"/>
    <w:rsid w:val="00320A2A"/>
    <w:rsid w:val="00320AEC"/>
    <w:rsid w:val="00320D96"/>
    <w:rsid w:val="00320DF1"/>
    <w:rsid w:val="00320DFB"/>
    <w:rsid w:val="00320E1F"/>
    <w:rsid w:val="00320E21"/>
    <w:rsid w:val="00320E2B"/>
    <w:rsid w:val="00320EAA"/>
    <w:rsid w:val="00320EE8"/>
    <w:rsid w:val="00320FD3"/>
    <w:rsid w:val="0032106C"/>
    <w:rsid w:val="00321094"/>
    <w:rsid w:val="003210C3"/>
    <w:rsid w:val="003210EE"/>
    <w:rsid w:val="003212F6"/>
    <w:rsid w:val="003212F7"/>
    <w:rsid w:val="00321402"/>
    <w:rsid w:val="00321465"/>
    <w:rsid w:val="0032148E"/>
    <w:rsid w:val="0032152D"/>
    <w:rsid w:val="003215E2"/>
    <w:rsid w:val="003215F2"/>
    <w:rsid w:val="00321627"/>
    <w:rsid w:val="003218A9"/>
    <w:rsid w:val="00321A0B"/>
    <w:rsid w:val="00321A6D"/>
    <w:rsid w:val="00321B7C"/>
    <w:rsid w:val="00321BAF"/>
    <w:rsid w:val="00321C48"/>
    <w:rsid w:val="00321C8F"/>
    <w:rsid w:val="00321DA6"/>
    <w:rsid w:val="00321DAC"/>
    <w:rsid w:val="00321DFC"/>
    <w:rsid w:val="00321E2A"/>
    <w:rsid w:val="00321E85"/>
    <w:rsid w:val="00321ECD"/>
    <w:rsid w:val="00321EE5"/>
    <w:rsid w:val="0032218B"/>
    <w:rsid w:val="003221BA"/>
    <w:rsid w:val="003225D6"/>
    <w:rsid w:val="0032263D"/>
    <w:rsid w:val="0032264A"/>
    <w:rsid w:val="0032265A"/>
    <w:rsid w:val="0032265D"/>
    <w:rsid w:val="0032274E"/>
    <w:rsid w:val="00322921"/>
    <w:rsid w:val="00322ABE"/>
    <w:rsid w:val="00322D4E"/>
    <w:rsid w:val="00322FC6"/>
    <w:rsid w:val="00322FF1"/>
    <w:rsid w:val="0032301C"/>
    <w:rsid w:val="00323055"/>
    <w:rsid w:val="003230B2"/>
    <w:rsid w:val="00323192"/>
    <w:rsid w:val="003231C7"/>
    <w:rsid w:val="0032320C"/>
    <w:rsid w:val="00323211"/>
    <w:rsid w:val="0032331A"/>
    <w:rsid w:val="0032332A"/>
    <w:rsid w:val="003234D7"/>
    <w:rsid w:val="003234F5"/>
    <w:rsid w:val="00323614"/>
    <w:rsid w:val="0032362C"/>
    <w:rsid w:val="003236E8"/>
    <w:rsid w:val="0032370A"/>
    <w:rsid w:val="003237C5"/>
    <w:rsid w:val="0032380F"/>
    <w:rsid w:val="003238A9"/>
    <w:rsid w:val="0032398B"/>
    <w:rsid w:val="003239EB"/>
    <w:rsid w:val="00323AAB"/>
    <w:rsid w:val="00323B1B"/>
    <w:rsid w:val="00323BEC"/>
    <w:rsid w:val="00323C62"/>
    <w:rsid w:val="00323D19"/>
    <w:rsid w:val="00323D33"/>
    <w:rsid w:val="00323DD8"/>
    <w:rsid w:val="00323E80"/>
    <w:rsid w:val="00323F04"/>
    <w:rsid w:val="0032401F"/>
    <w:rsid w:val="00324053"/>
    <w:rsid w:val="00324197"/>
    <w:rsid w:val="003241AF"/>
    <w:rsid w:val="003241BB"/>
    <w:rsid w:val="0032426F"/>
    <w:rsid w:val="00324323"/>
    <w:rsid w:val="00324379"/>
    <w:rsid w:val="00324389"/>
    <w:rsid w:val="003244D3"/>
    <w:rsid w:val="00324503"/>
    <w:rsid w:val="0032456B"/>
    <w:rsid w:val="003245E4"/>
    <w:rsid w:val="003245F9"/>
    <w:rsid w:val="00324822"/>
    <w:rsid w:val="003249D3"/>
    <w:rsid w:val="00324A79"/>
    <w:rsid w:val="00324C12"/>
    <w:rsid w:val="00324C74"/>
    <w:rsid w:val="00324D56"/>
    <w:rsid w:val="00324E13"/>
    <w:rsid w:val="00324F3D"/>
    <w:rsid w:val="00324FE7"/>
    <w:rsid w:val="00325043"/>
    <w:rsid w:val="00325153"/>
    <w:rsid w:val="003251BF"/>
    <w:rsid w:val="003251E0"/>
    <w:rsid w:val="003252A0"/>
    <w:rsid w:val="003252D5"/>
    <w:rsid w:val="00325349"/>
    <w:rsid w:val="0032542F"/>
    <w:rsid w:val="00325758"/>
    <w:rsid w:val="003258A0"/>
    <w:rsid w:val="0032595C"/>
    <w:rsid w:val="00325AD6"/>
    <w:rsid w:val="00325BCE"/>
    <w:rsid w:val="00325BDB"/>
    <w:rsid w:val="00325D36"/>
    <w:rsid w:val="00325E1D"/>
    <w:rsid w:val="00325EB3"/>
    <w:rsid w:val="00325F58"/>
    <w:rsid w:val="0032619A"/>
    <w:rsid w:val="003262B4"/>
    <w:rsid w:val="00326397"/>
    <w:rsid w:val="003266BC"/>
    <w:rsid w:val="00326771"/>
    <w:rsid w:val="0032680E"/>
    <w:rsid w:val="00326830"/>
    <w:rsid w:val="003268FC"/>
    <w:rsid w:val="00326946"/>
    <w:rsid w:val="00326C52"/>
    <w:rsid w:val="00326E0F"/>
    <w:rsid w:val="00326E22"/>
    <w:rsid w:val="00326E57"/>
    <w:rsid w:val="00326F4F"/>
    <w:rsid w:val="00327021"/>
    <w:rsid w:val="00327137"/>
    <w:rsid w:val="0032714B"/>
    <w:rsid w:val="00327338"/>
    <w:rsid w:val="00327379"/>
    <w:rsid w:val="003273F7"/>
    <w:rsid w:val="003275BA"/>
    <w:rsid w:val="00327638"/>
    <w:rsid w:val="0032767E"/>
    <w:rsid w:val="00327729"/>
    <w:rsid w:val="003278A4"/>
    <w:rsid w:val="003278AA"/>
    <w:rsid w:val="003278E3"/>
    <w:rsid w:val="00327910"/>
    <w:rsid w:val="00327935"/>
    <w:rsid w:val="00327AB3"/>
    <w:rsid w:val="00327B3B"/>
    <w:rsid w:val="00327B6F"/>
    <w:rsid w:val="00327CCD"/>
    <w:rsid w:val="00327CF9"/>
    <w:rsid w:val="00327D2B"/>
    <w:rsid w:val="00327E82"/>
    <w:rsid w:val="00327F69"/>
    <w:rsid w:val="00327FEB"/>
    <w:rsid w:val="00330028"/>
    <w:rsid w:val="003300D8"/>
    <w:rsid w:val="00330130"/>
    <w:rsid w:val="003301D9"/>
    <w:rsid w:val="0033022E"/>
    <w:rsid w:val="00330262"/>
    <w:rsid w:val="0033032D"/>
    <w:rsid w:val="00330376"/>
    <w:rsid w:val="0033055E"/>
    <w:rsid w:val="00330585"/>
    <w:rsid w:val="0033064E"/>
    <w:rsid w:val="00330663"/>
    <w:rsid w:val="003309C9"/>
    <w:rsid w:val="00330B24"/>
    <w:rsid w:val="00330C57"/>
    <w:rsid w:val="00330CBB"/>
    <w:rsid w:val="00330D66"/>
    <w:rsid w:val="00330EAA"/>
    <w:rsid w:val="00330EB0"/>
    <w:rsid w:val="00330F38"/>
    <w:rsid w:val="003310BB"/>
    <w:rsid w:val="003310DA"/>
    <w:rsid w:val="003312EF"/>
    <w:rsid w:val="003313B2"/>
    <w:rsid w:val="003314C2"/>
    <w:rsid w:val="003315D6"/>
    <w:rsid w:val="003316F3"/>
    <w:rsid w:val="003317F1"/>
    <w:rsid w:val="00331859"/>
    <w:rsid w:val="00331971"/>
    <w:rsid w:val="00331A36"/>
    <w:rsid w:val="00331B7A"/>
    <w:rsid w:val="00331BED"/>
    <w:rsid w:val="00331CA3"/>
    <w:rsid w:val="00331CB1"/>
    <w:rsid w:val="00331DBD"/>
    <w:rsid w:val="00331EED"/>
    <w:rsid w:val="00332070"/>
    <w:rsid w:val="003320F7"/>
    <w:rsid w:val="003321B4"/>
    <w:rsid w:val="003321B6"/>
    <w:rsid w:val="00332314"/>
    <w:rsid w:val="003323B2"/>
    <w:rsid w:val="003323BC"/>
    <w:rsid w:val="003323E9"/>
    <w:rsid w:val="003325F3"/>
    <w:rsid w:val="003326A4"/>
    <w:rsid w:val="00332957"/>
    <w:rsid w:val="00332991"/>
    <w:rsid w:val="003329FD"/>
    <w:rsid w:val="00332A0D"/>
    <w:rsid w:val="00332A14"/>
    <w:rsid w:val="00332B38"/>
    <w:rsid w:val="00332B81"/>
    <w:rsid w:val="00332CB4"/>
    <w:rsid w:val="00332CB8"/>
    <w:rsid w:val="00332FC1"/>
    <w:rsid w:val="00332FC5"/>
    <w:rsid w:val="00332FFB"/>
    <w:rsid w:val="0033321B"/>
    <w:rsid w:val="0033334D"/>
    <w:rsid w:val="0033348A"/>
    <w:rsid w:val="003334F5"/>
    <w:rsid w:val="0033352F"/>
    <w:rsid w:val="003335D6"/>
    <w:rsid w:val="0033379B"/>
    <w:rsid w:val="00333820"/>
    <w:rsid w:val="00333AAC"/>
    <w:rsid w:val="00333B67"/>
    <w:rsid w:val="00333BD3"/>
    <w:rsid w:val="00333BFB"/>
    <w:rsid w:val="00333C2B"/>
    <w:rsid w:val="00333CC4"/>
    <w:rsid w:val="00333EB2"/>
    <w:rsid w:val="00333F22"/>
    <w:rsid w:val="003341AD"/>
    <w:rsid w:val="003343C1"/>
    <w:rsid w:val="003346B6"/>
    <w:rsid w:val="003346B7"/>
    <w:rsid w:val="00334767"/>
    <w:rsid w:val="00334896"/>
    <w:rsid w:val="0033489F"/>
    <w:rsid w:val="00334A06"/>
    <w:rsid w:val="00334B3A"/>
    <w:rsid w:val="00334B51"/>
    <w:rsid w:val="00334DD0"/>
    <w:rsid w:val="00334E29"/>
    <w:rsid w:val="00334E2C"/>
    <w:rsid w:val="00334E7A"/>
    <w:rsid w:val="00335152"/>
    <w:rsid w:val="0033529D"/>
    <w:rsid w:val="00335341"/>
    <w:rsid w:val="003354DF"/>
    <w:rsid w:val="003355BF"/>
    <w:rsid w:val="00335635"/>
    <w:rsid w:val="003357A1"/>
    <w:rsid w:val="003357CB"/>
    <w:rsid w:val="00335964"/>
    <w:rsid w:val="00335966"/>
    <w:rsid w:val="003359F4"/>
    <w:rsid w:val="00335A4B"/>
    <w:rsid w:val="00335A85"/>
    <w:rsid w:val="00335B35"/>
    <w:rsid w:val="00335C39"/>
    <w:rsid w:val="00335C6D"/>
    <w:rsid w:val="00335DCD"/>
    <w:rsid w:val="00335DF6"/>
    <w:rsid w:val="00335F9D"/>
    <w:rsid w:val="00336009"/>
    <w:rsid w:val="0033607D"/>
    <w:rsid w:val="003362FC"/>
    <w:rsid w:val="0033630E"/>
    <w:rsid w:val="0033638A"/>
    <w:rsid w:val="00336625"/>
    <w:rsid w:val="00336715"/>
    <w:rsid w:val="00336731"/>
    <w:rsid w:val="00336870"/>
    <w:rsid w:val="003368C5"/>
    <w:rsid w:val="00336996"/>
    <w:rsid w:val="00336A13"/>
    <w:rsid w:val="00336AB7"/>
    <w:rsid w:val="00336B68"/>
    <w:rsid w:val="00336CC3"/>
    <w:rsid w:val="00336FBD"/>
    <w:rsid w:val="003370A2"/>
    <w:rsid w:val="00337137"/>
    <w:rsid w:val="00337202"/>
    <w:rsid w:val="00337278"/>
    <w:rsid w:val="0033731E"/>
    <w:rsid w:val="00337395"/>
    <w:rsid w:val="00337413"/>
    <w:rsid w:val="00337475"/>
    <w:rsid w:val="00337570"/>
    <w:rsid w:val="00337581"/>
    <w:rsid w:val="00337681"/>
    <w:rsid w:val="003376B6"/>
    <w:rsid w:val="00337772"/>
    <w:rsid w:val="0033783C"/>
    <w:rsid w:val="0033786F"/>
    <w:rsid w:val="003378A2"/>
    <w:rsid w:val="0033791C"/>
    <w:rsid w:val="0033795B"/>
    <w:rsid w:val="00337C08"/>
    <w:rsid w:val="00337C1B"/>
    <w:rsid w:val="00337ED7"/>
    <w:rsid w:val="00337F82"/>
    <w:rsid w:val="00340064"/>
    <w:rsid w:val="00340079"/>
    <w:rsid w:val="003401B1"/>
    <w:rsid w:val="003401E5"/>
    <w:rsid w:val="003401EC"/>
    <w:rsid w:val="003401F9"/>
    <w:rsid w:val="00340211"/>
    <w:rsid w:val="0034036C"/>
    <w:rsid w:val="00340376"/>
    <w:rsid w:val="003403EB"/>
    <w:rsid w:val="00340453"/>
    <w:rsid w:val="00340625"/>
    <w:rsid w:val="0034070C"/>
    <w:rsid w:val="003407A1"/>
    <w:rsid w:val="003407A5"/>
    <w:rsid w:val="0034089B"/>
    <w:rsid w:val="0034093E"/>
    <w:rsid w:val="00340967"/>
    <w:rsid w:val="00340B47"/>
    <w:rsid w:val="00340BE4"/>
    <w:rsid w:val="00340D21"/>
    <w:rsid w:val="00340DFA"/>
    <w:rsid w:val="00340FCA"/>
    <w:rsid w:val="003410FD"/>
    <w:rsid w:val="003411DA"/>
    <w:rsid w:val="00341230"/>
    <w:rsid w:val="0034126D"/>
    <w:rsid w:val="00341712"/>
    <w:rsid w:val="003417A3"/>
    <w:rsid w:val="003418D2"/>
    <w:rsid w:val="0034194D"/>
    <w:rsid w:val="00341A34"/>
    <w:rsid w:val="00341A36"/>
    <w:rsid w:val="00341C07"/>
    <w:rsid w:val="00341CA7"/>
    <w:rsid w:val="00341CBE"/>
    <w:rsid w:val="00341E34"/>
    <w:rsid w:val="003420E0"/>
    <w:rsid w:val="003420E7"/>
    <w:rsid w:val="003422E4"/>
    <w:rsid w:val="00342324"/>
    <w:rsid w:val="003423C6"/>
    <w:rsid w:val="003424D9"/>
    <w:rsid w:val="003425FB"/>
    <w:rsid w:val="0034271E"/>
    <w:rsid w:val="0034277F"/>
    <w:rsid w:val="003427CE"/>
    <w:rsid w:val="00342A73"/>
    <w:rsid w:val="00342B3A"/>
    <w:rsid w:val="00342C1B"/>
    <w:rsid w:val="00342D34"/>
    <w:rsid w:val="00342D7C"/>
    <w:rsid w:val="00342DDA"/>
    <w:rsid w:val="00342EAB"/>
    <w:rsid w:val="00343070"/>
    <w:rsid w:val="003430E4"/>
    <w:rsid w:val="003430F9"/>
    <w:rsid w:val="00343497"/>
    <w:rsid w:val="0034354C"/>
    <w:rsid w:val="003435FB"/>
    <w:rsid w:val="003436E5"/>
    <w:rsid w:val="00343727"/>
    <w:rsid w:val="003438BF"/>
    <w:rsid w:val="00343A2E"/>
    <w:rsid w:val="00343A86"/>
    <w:rsid w:val="00343AA8"/>
    <w:rsid w:val="00343BAE"/>
    <w:rsid w:val="00343CD0"/>
    <w:rsid w:val="00343D76"/>
    <w:rsid w:val="00343FD2"/>
    <w:rsid w:val="00344017"/>
    <w:rsid w:val="00344092"/>
    <w:rsid w:val="0034418E"/>
    <w:rsid w:val="00344318"/>
    <w:rsid w:val="0034434F"/>
    <w:rsid w:val="00344382"/>
    <w:rsid w:val="003443A1"/>
    <w:rsid w:val="00344407"/>
    <w:rsid w:val="00344417"/>
    <w:rsid w:val="00344496"/>
    <w:rsid w:val="003445A6"/>
    <w:rsid w:val="00344879"/>
    <w:rsid w:val="00344954"/>
    <w:rsid w:val="003449F9"/>
    <w:rsid w:val="00344BB8"/>
    <w:rsid w:val="00344C31"/>
    <w:rsid w:val="00344C4E"/>
    <w:rsid w:val="00344C9B"/>
    <w:rsid w:val="00344E0C"/>
    <w:rsid w:val="00344F24"/>
    <w:rsid w:val="00344F9F"/>
    <w:rsid w:val="00344FDC"/>
    <w:rsid w:val="003450BD"/>
    <w:rsid w:val="003450D2"/>
    <w:rsid w:val="003450DA"/>
    <w:rsid w:val="00345127"/>
    <w:rsid w:val="003451DD"/>
    <w:rsid w:val="00345377"/>
    <w:rsid w:val="0034538F"/>
    <w:rsid w:val="0034543B"/>
    <w:rsid w:val="00345467"/>
    <w:rsid w:val="00345489"/>
    <w:rsid w:val="00345538"/>
    <w:rsid w:val="00345656"/>
    <w:rsid w:val="0034567B"/>
    <w:rsid w:val="003456A9"/>
    <w:rsid w:val="00345767"/>
    <w:rsid w:val="00345812"/>
    <w:rsid w:val="003458D7"/>
    <w:rsid w:val="00345926"/>
    <w:rsid w:val="00345A3D"/>
    <w:rsid w:val="00345B50"/>
    <w:rsid w:val="00345BF9"/>
    <w:rsid w:val="00345CE0"/>
    <w:rsid w:val="00345D38"/>
    <w:rsid w:val="00345E66"/>
    <w:rsid w:val="00345F74"/>
    <w:rsid w:val="0034604D"/>
    <w:rsid w:val="003461BB"/>
    <w:rsid w:val="0034623C"/>
    <w:rsid w:val="003462D1"/>
    <w:rsid w:val="003462D2"/>
    <w:rsid w:val="00346311"/>
    <w:rsid w:val="00346453"/>
    <w:rsid w:val="003466F6"/>
    <w:rsid w:val="00346906"/>
    <w:rsid w:val="0034690C"/>
    <w:rsid w:val="00346974"/>
    <w:rsid w:val="00346999"/>
    <w:rsid w:val="00346A2F"/>
    <w:rsid w:val="00346AA7"/>
    <w:rsid w:val="00346B15"/>
    <w:rsid w:val="00346B88"/>
    <w:rsid w:val="00346D2B"/>
    <w:rsid w:val="00346D87"/>
    <w:rsid w:val="00346E11"/>
    <w:rsid w:val="00346E3B"/>
    <w:rsid w:val="00346E4B"/>
    <w:rsid w:val="00346E65"/>
    <w:rsid w:val="00347014"/>
    <w:rsid w:val="00347160"/>
    <w:rsid w:val="0034722F"/>
    <w:rsid w:val="0034735A"/>
    <w:rsid w:val="00347393"/>
    <w:rsid w:val="0034744A"/>
    <w:rsid w:val="0034749F"/>
    <w:rsid w:val="003474B4"/>
    <w:rsid w:val="0034751B"/>
    <w:rsid w:val="0034756E"/>
    <w:rsid w:val="00347642"/>
    <w:rsid w:val="0034775F"/>
    <w:rsid w:val="003478CB"/>
    <w:rsid w:val="003478CE"/>
    <w:rsid w:val="003478DC"/>
    <w:rsid w:val="00347A48"/>
    <w:rsid w:val="00347AB1"/>
    <w:rsid w:val="00347AC3"/>
    <w:rsid w:val="00347B9F"/>
    <w:rsid w:val="00347BFF"/>
    <w:rsid w:val="00347E58"/>
    <w:rsid w:val="00347EF2"/>
    <w:rsid w:val="00350033"/>
    <w:rsid w:val="00350079"/>
    <w:rsid w:val="00350214"/>
    <w:rsid w:val="0035039D"/>
    <w:rsid w:val="00350421"/>
    <w:rsid w:val="003504BB"/>
    <w:rsid w:val="003505ED"/>
    <w:rsid w:val="0035061B"/>
    <w:rsid w:val="0035066E"/>
    <w:rsid w:val="003506FB"/>
    <w:rsid w:val="003507D2"/>
    <w:rsid w:val="0035087C"/>
    <w:rsid w:val="003508F0"/>
    <w:rsid w:val="00350976"/>
    <w:rsid w:val="00350B72"/>
    <w:rsid w:val="00350D68"/>
    <w:rsid w:val="00350DE1"/>
    <w:rsid w:val="00350E4A"/>
    <w:rsid w:val="00350E51"/>
    <w:rsid w:val="00350E9D"/>
    <w:rsid w:val="00350F15"/>
    <w:rsid w:val="00350F1D"/>
    <w:rsid w:val="00350F33"/>
    <w:rsid w:val="00350FCE"/>
    <w:rsid w:val="003510E1"/>
    <w:rsid w:val="003512A4"/>
    <w:rsid w:val="003513B6"/>
    <w:rsid w:val="00351444"/>
    <w:rsid w:val="00351531"/>
    <w:rsid w:val="00351581"/>
    <w:rsid w:val="003515D1"/>
    <w:rsid w:val="00351687"/>
    <w:rsid w:val="003516D2"/>
    <w:rsid w:val="00351846"/>
    <w:rsid w:val="00351925"/>
    <w:rsid w:val="00351A0C"/>
    <w:rsid w:val="00351B10"/>
    <w:rsid w:val="00351BA5"/>
    <w:rsid w:val="00351BD3"/>
    <w:rsid w:val="00351CC9"/>
    <w:rsid w:val="00351D74"/>
    <w:rsid w:val="00351E29"/>
    <w:rsid w:val="00351E67"/>
    <w:rsid w:val="00351E82"/>
    <w:rsid w:val="00351EBC"/>
    <w:rsid w:val="00351ECE"/>
    <w:rsid w:val="003520DC"/>
    <w:rsid w:val="00352275"/>
    <w:rsid w:val="00352339"/>
    <w:rsid w:val="00352364"/>
    <w:rsid w:val="003524BF"/>
    <w:rsid w:val="003524CF"/>
    <w:rsid w:val="00352513"/>
    <w:rsid w:val="00352523"/>
    <w:rsid w:val="0035256E"/>
    <w:rsid w:val="003526CE"/>
    <w:rsid w:val="00352A9A"/>
    <w:rsid w:val="00352B52"/>
    <w:rsid w:val="00352BBB"/>
    <w:rsid w:val="00352C7E"/>
    <w:rsid w:val="00352E1A"/>
    <w:rsid w:val="00352E9E"/>
    <w:rsid w:val="00352EC7"/>
    <w:rsid w:val="003530EB"/>
    <w:rsid w:val="0035318C"/>
    <w:rsid w:val="003531A2"/>
    <w:rsid w:val="0035323B"/>
    <w:rsid w:val="00353241"/>
    <w:rsid w:val="003532BD"/>
    <w:rsid w:val="0035348A"/>
    <w:rsid w:val="003534C0"/>
    <w:rsid w:val="003534D7"/>
    <w:rsid w:val="00353525"/>
    <w:rsid w:val="003535A3"/>
    <w:rsid w:val="00353634"/>
    <w:rsid w:val="0035379A"/>
    <w:rsid w:val="0035383D"/>
    <w:rsid w:val="00353896"/>
    <w:rsid w:val="003538C4"/>
    <w:rsid w:val="0035394B"/>
    <w:rsid w:val="003539DC"/>
    <w:rsid w:val="00353A12"/>
    <w:rsid w:val="00353A69"/>
    <w:rsid w:val="00353AF4"/>
    <w:rsid w:val="00353BD1"/>
    <w:rsid w:val="00353BE5"/>
    <w:rsid w:val="00353D27"/>
    <w:rsid w:val="00353E34"/>
    <w:rsid w:val="00353FD8"/>
    <w:rsid w:val="00354101"/>
    <w:rsid w:val="00354170"/>
    <w:rsid w:val="00354298"/>
    <w:rsid w:val="00354464"/>
    <w:rsid w:val="00354481"/>
    <w:rsid w:val="00354498"/>
    <w:rsid w:val="0035453C"/>
    <w:rsid w:val="00354666"/>
    <w:rsid w:val="003548E0"/>
    <w:rsid w:val="00354992"/>
    <w:rsid w:val="00354A09"/>
    <w:rsid w:val="00354A85"/>
    <w:rsid w:val="00354B54"/>
    <w:rsid w:val="00354B7B"/>
    <w:rsid w:val="00354BFF"/>
    <w:rsid w:val="00354D75"/>
    <w:rsid w:val="00354DF9"/>
    <w:rsid w:val="00354E5A"/>
    <w:rsid w:val="0035502A"/>
    <w:rsid w:val="0035510F"/>
    <w:rsid w:val="00355166"/>
    <w:rsid w:val="00355192"/>
    <w:rsid w:val="003551AC"/>
    <w:rsid w:val="003551ED"/>
    <w:rsid w:val="003551EF"/>
    <w:rsid w:val="003551FC"/>
    <w:rsid w:val="00355209"/>
    <w:rsid w:val="0035528A"/>
    <w:rsid w:val="003553D5"/>
    <w:rsid w:val="003554D8"/>
    <w:rsid w:val="003555D0"/>
    <w:rsid w:val="003557E1"/>
    <w:rsid w:val="0035590C"/>
    <w:rsid w:val="0035594D"/>
    <w:rsid w:val="00355BEC"/>
    <w:rsid w:val="00355E9A"/>
    <w:rsid w:val="00355F22"/>
    <w:rsid w:val="00355F25"/>
    <w:rsid w:val="003560CD"/>
    <w:rsid w:val="003560F7"/>
    <w:rsid w:val="00356100"/>
    <w:rsid w:val="0035618B"/>
    <w:rsid w:val="003561BE"/>
    <w:rsid w:val="003562F0"/>
    <w:rsid w:val="0035649C"/>
    <w:rsid w:val="0035657E"/>
    <w:rsid w:val="003565DA"/>
    <w:rsid w:val="003566E0"/>
    <w:rsid w:val="003568B8"/>
    <w:rsid w:val="00356A77"/>
    <w:rsid w:val="00356AB6"/>
    <w:rsid w:val="00356ADF"/>
    <w:rsid w:val="00356B43"/>
    <w:rsid w:val="00356B98"/>
    <w:rsid w:val="00356CD9"/>
    <w:rsid w:val="00356CEA"/>
    <w:rsid w:val="00356D29"/>
    <w:rsid w:val="00356EE1"/>
    <w:rsid w:val="00356F09"/>
    <w:rsid w:val="00356F50"/>
    <w:rsid w:val="00357043"/>
    <w:rsid w:val="00357132"/>
    <w:rsid w:val="0035713E"/>
    <w:rsid w:val="003571D2"/>
    <w:rsid w:val="0035738B"/>
    <w:rsid w:val="003574DD"/>
    <w:rsid w:val="003577A7"/>
    <w:rsid w:val="003578F9"/>
    <w:rsid w:val="003579F7"/>
    <w:rsid w:val="00357AA5"/>
    <w:rsid w:val="00357AAC"/>
    <w:rsid w:val="00357B15"/>
    <w:rsid w:val="00357D81"/>
    <w:rsid w:val="00357D86"/>
    <w:rsid w:val="00357E94"/>
    <w:rsid w:val="003600AB"/>
    <w:rsid w:val="003601DF"/>
    <w:rsid w:val="00360330"/>
    <w:rsid w:val="00360425"/>
    <w:rsid w:val="0036045C"/>
    <w:rsid w:val="00360516"/>
    <w:rsid w:val="00360871"/>
    <w:rsid w:val="0036093E"/>
    <w:rsid w:val="0036097D"/>
    <w:rsid w:val="00360A08"/>
    <w:rsid w:val="00360AAF"/>
    <w:rsid w:val="00360AD1"/>
    <w:rsid w:val="00360B96"/>
    <w:rsid w:val="00360C16"/>
    <w:rsid w:val="00360C87"/>
    <w:rsid w:val="00360F7E"/>
    <w:rsid w:val="00360F89"/>
    <w:rsid w:val="00361011"/>
    <w:rsid w:val="003610D5"/>
    <w:rsid w:val="00361194"/>
    <w:rsid w:val="0036128C"/>
    <w:rsid w:val="00361382"/>
    <w:rsid w:val="0036157C"/>
    <w:rsid w:val="0036170D"/>
    <w:rsid w:val="0036180C"/>
    <w:rsid w:val="003618E5"/>
    <w:rsid w:val="00361917"/>
    <w:rsid w:val="00361979"/>
    <w:rsid w:val="0036199C"/>
    <w:rsid w:val="003619B9"/>
    <w:rsid w:val="003619DC"/>
    <w:rsid w:val="00361A87"/>
    <w:rsid w:val="00361ACD"/>
    <w:rsid w:val="00361AD0"/>
    <w:rsid w:val="00361B14"/>
    <w:rsid w:val="00361B2D"/>
    <w:rsid w:val="00361CA7"/>
    <w:rsid w:val="00361CCF"/>
    <w:rsid w:val="00361D02"/>
    <w:rsid w:val="00361D27"/>
    <w:rsid w:val="00361D42"/>
    <w:rsid w:val="00361EAD"/>
    <w:rsid w:val="00361F3D"/>
    <w:rsid w:val="00361F7E"/>
    <w:rsid w:val="00362163"/>
    <w:rsid w:val="0036228A"/>
    <w:rsid w:val="0036239C"/>
    <w:rsid w:val="0036239F"/>
    <w:rsid w:val="0036266F"/>
    <w:rsid w:val="003626C5"/>
    <w:rsid w:val="0036272E"/>
    <w:rsid w:val="00362833"/>
    <w:rsid w:val="003629A0"/>
    <w:rsid w:val="00362A3C"/>
    <w:rsid w:val="00362BA5"/>
    <w:rsid w:val="00362BDD"/>
    <w:rsid w:val="00362C1F"/>
    <w:rsid w:val="00362C55"/>
    <w:rsid w:val="00362C7A"/>
    <w:rsid w:val="00362C8D"/>
    <w:rsid w:val="00362CD0"/>
    <w:rsid w:val="00362D49"/>
    <w:rsid w:val="00362DE6"/>
    <w:rsid w:val="00362E00"/>
    <w:rsid w:val="00362E7A"/>
    <w:rsid w:val="00362EBF"/>
    <w:rsid w:val="00362F5D"/>
    <w:rsid w:val="00363022"/>
    <w:rsid w:val="00363092"/>
    <w:rsid w:val="00363159"/>
    <w:rsid w:val="00363171"/>
    <w:rsid w:val="003631BF"/>
    <w:rsid w:val="00363317"/>
    <w:rsid w:val="003633D7"/>
    <w:rsid w:val="0036343A"/>
    <w:rsid w:val="00363466"/>
    <w:rsid w:val="003634AB"/>
    <w:rsid w:val="003634CC"/>
    <w:rsid w:val="00363538"/>
    <w:rsid w:val="00363598"/>
    <w:rsid w:val="003635EF"/>
    <w:rsid w:val="0036377D"/>
    <w:rsid w:val="00363A02"/>
    <w:rsid w:val="00363A12"/>
    <w:rsid w:val="00363B31"/>
    <w:rsid w:val="00363B53"/>
    <w:rsid w:val="00363DC8"/>
    <w:rsid w:val="00364060"/>
    <w:rsid w:val="00364118"/>
    <w:rsid w:val="00364196"/>
    <w:rsid w:val="003641D0"/>
    <w:rsid w:val="00364419"/>
    <w:rsid w:val="0036441F"/>
    <w:rsid w:val="0036460D"/>
    <w:rsid w:val="0036462F"/>
    <w:rsid w:val="00364757"/>
    <w:rsid w:val="0036478B"/>
    <w:rsid w:val="003647D3"/>
    <w:rsid w:val="00364A27"/>
    <w:rsid w:val="00364C1D"/>
    <w:rsid w:val="00364CE4"/>
    <w:rsid w:val="00364D19"/>
    <w:rsid w:val="00364E37"/>
    <w:rsid w:val="00364ED0"/>
    <w:rsid w:val="00364F99"/>
    <w:rsid w:val="00365035"/>
    <w:rsid w:val="003651B6"/>
    <w:rsid w:val="003653BE"/>
    <w:rsid w:val="003653FB"/>
    <w:rsid w:val="003654C9"/>
    <w:rsid w:val="00365589"/>
    <w:rsid w:val="00365669"/>
    <w:rsid w:val="00365783"/>
    <w:rsid w:val="003657AD"/>
    <w:rsid w:val="003658F5"/>
    <w:rsid w:val="00365A5D"/>
    <w:rsid w:val="00365B98"/>
    <w:rsid w:val="00365C86"/>
    <w:rsid w:val="00365D5B"/>
    <w:rsid w:val="00365F41"/>
    <w:rsid w:val="00366055"/>
    <w:rsid w:val="00366087"/>
    <w:rsid w:val="00366131"/>
    <w:rsid w:val="00366248"/>
    <w:rsid w:val="00366267"/>
    <w:rsid w:val="003662B1"/>
    <w:rsid w:val="003662C6"/>
    <w:rsid w:val="003664B5"/>
    <w:rsid w:val="003665FD"/>
    <w:rsid w:val="00366686"/>
    <w:rsid w:val="0036668B"/>
    <w:rsid w:val="00366695"/>
    <w:rsid w:val="003666DA"/>
    <w:rsid w:val="00366779"/>
    <w:rsid w:val="003668D8"/>
    <w:rsid w:val="00366912"/>
    <w:rsid w:val="003669BC"/>
    <w:rsid w:val="00366C06"/>
    <w:rsid w:val="00366C0C"/>
    <w:rsid w:val="00366C44"/>
    <w:rsid w:val="00366D64"/>
    <w:rsid w:val="00367268"/>
    <w:rsid w:val="003673B7"/>
    <w:rsid w:val="0036744F"/>
    <w:rsid w:val="003674E1"/>
    <w:rsid w:val="003674F7"/>
    <w:rsid w:val="003676BD"/>
    <w:rsid w:val="003676EA"/>
    <w:rsid w:val="00367898"/>
    <w:rsid w:val="00367933"/>
    <w:rsid w:val="00367AD8"/>
    <w:rsid w:val="00367C69"/>
    <w:rsid w:val="00367D0C"/>
    <w:rsid w:val="00367D3D"/>
    <w:rsid w:val="00367DBB"/>
    <w:rsid w:val="00367DD1"/>
    <w:rsid w:val="00367EB6"/>
    <w:rsid w:val="00367FD5"/>
    <w:rsid w:val="0037021E"/>
    <w:rsid w:val="00370317"/>
    <w:rsid w:val="00370440"/>
    <w:rsid w:val="003708C1"/>
    <w:rsid w:val="003709D1"/>
    <w:rsid w:val="00370ACE"/>
    <w:rsid w:val="00370AD3"/>
    <w:rsid w:val="00370AE4"/>
    <w:rsid w:val="00370BFE"/>
    <w:rsid w:val="00370CEC"/>
    <w:rsid w:val="00370D41"/>
    <w:rsid w:val="00370DD5"/>
    <w:rsid w:val="00370E77"/>
    <w:rsid w:val="00370EA2"/>
    <w:rsid w:val="00370F34"/>
    <w:rsid w:val="00370F86"/>
    <w:rsid w:val="00370F92"/>
    <w:rsid w:val="0037113F"/>
    <w:rsid w:val="00371151"/>
    <w:rsid w:val="00371167"/>
    <w:rsid w:val="00371379"/>
    <w:rsid w:val="003713DE"/>
    <w:rsid w:val="00371490"/>
    <w:rsid w:val="003714E1"/>
    <w:rsid w:val="00371590"/>
    <w:rsid w:val="00371628"/>
    <w:rsid w:val="0037166A"/>
    <w:rsid w:val="00371754"/>
    <w:rsid w:val="003717F1"/>
    <w:rsid w:val="00371967"/>
    <w:rsid w:val="003719CE"/>
    <w:rsid w:val="00371A1E"/>
    <w:rsid w:val="00371C7B"/>
    <w:rsid w:val="00371DEC"/>
    <w:rsid w:val="00371EC2"/>
    <w:rsid w:val="00371F25"/>
    <w:rsid w:val="00371F51"/>
    <w:rsid w:val="00372016"/>
    <w:rsid w:val="0037207F"/>
    <w:rsid w:val="00372099"/>
    <w:rsid w:val="00372129"/>
    <w:rsid w:val="00372159"/>
    <w:rsid w:val="003721DA"/>
    <w:rsid w:val="00372259"/>
    <w:rsid w:val="00372260"/>
    <w:rsid w:val="00372474"/>
    <w:rsid w:val="00372568"/>
    <w:rsid w:val="0037262E"/>
    <w:rsid w:val="00372886"/>
    <w:rsid w:val="003728ED"/>
    <w:rsid w:val="003729B9"/>
    <w:rsid w:val="00372C38"/>
    <w:rsid w:val="00372C43"/>
    <w:rsid w:val="00372D65"/>
    <w:rsid w:val="00372DA1"/>
    <w:rsid w:val="00372E1B"/>
    <w:rsid w:val="00372EA6"/>
    <w:rsid w:val="00372F50"/>
    <w:rsid w:val="00373015"/>
    <w:rsid w:val="00373065"/>
    <w:rsid w:val="00373075"/>
    <w:rsid w:val="003730B6"/>
    <w:rsid w:val="00373171"/>
    <w:rsid w:val="0037317F"/>
    <w:rsid w:val="00373553"/>
    <w:rsid w:val="00373586"/>
    <w:rsid w:val="003735CF"/>
    <w:rsid w:val="003735E7"/>
    <w:rsid w:val="00373641"/>
    <w:rsid w:val="0037382F"/>
    <w:rsid w:val="00373860"/>
    <w:rsid w:val="003738D1"/>
    <w:rsid w:val="00373933"/>
    <w:rsid w:val="0037393E"/>
    <w:rsid w:val="00373ACB"/>
    <w:rsid w:val="00373B36"/>
    <w:rsid w:val="00373BFA"/>
    <w:rsid w:val="00373C3F"/>
    <w:rsid w:val="00373C59"/>
    <w:rsid w:val="00373CAF"/>
    <w:rsid w:val="00373DB4"/>
    <w:rsid w:val="00373EFC"/>
    <w:rsid w:val="0037408E"/>
    <w:rsid w:val="003740A7"/>
    <w:rsid w:val="00374135"/>
    <w:rsid w:val="00374252"/>
    <w:rsid w:val="003742C3"/>
    <w:rsid w:val="003743D8"/>
    <w:rsid w:val="003743EC"/>
    <w:rsid w:val="0037440C"/>
    <w:rsid w:val="0037442D"/>
    <w:rsid w:val="00374439"/>
    <w:rsid w:val="00374575"/>
    <w:rsid w:val="0037457B"/>
    <w:rsid w:val="00374587"/>
    <w:rsid w:val="00374611"/>
    <w:rsid w:val="003746AA"/>
    <w:rsid w:val="003747BA"/>
    <w:rsid w:val="003747F7"/>
    <w:rsid w:val="003748E7"/>
    <w:rsid w:val="003749B0"/>
    <w:rsid w:val="00374B45"/>
    <w:rsid w:val="00374B46"/>
    <w:rsid w:val="00374C5D"/>
    <w:rsid w:val="00374D03"/>
    <w:rsid w:val="00374D4D"/>
    <w:rsid w:val="00374D76"/>
    <w:rsid w:val="00374D95"/>
    <w:rsid w:val="00374DAB"/>
    <w:rsid w:val="0037506A"/>
    <w:rsid w:val="003752AE"/>
    <w:rsid w:val="0037530D"/>
    <w:rsid w:val="0037536A"/>
    <w:rsid w:val="0037550A"/>
    <w:rsid w:val="003755F9"/>
    <w:rsid w:val="0037578A"/>
    <w:rsid w:val="00375843"/>
    <w:rsid w:val="00375A38"/>
    <w:rsid w:val="00375A44"/>
    <w:rsid w:val="00375AF7"/>
    <w:rsid w:val="00375BEA"/>
    <w:rsid w:val="00375C88"/>
    <w:rsid w:val="00375DC7"/>
    <w:rsid w:val="00375E12"/>
    <w:rsid w:val="00375E88"/>
    <w:rsid w:val="00376007"/>
    <w:rsid w:val="0037624E"/>
    <w:rsid w:val="003762F4"/>
    <w:rsid w:val="00376359"/>
    <w:rsid w:val="00376364"/>
    <w:rsid w:val="0037649F"/>
    <w:rsid w:val="00376557"/>
    <w:rsid w:val="003765D4"/>
    <w:rsid w:val="00376756"/>
    <w:rsid w:val="00376932"/>
    <w:rsid w:val="0037696F"/>
    <w:rsid w:val="00376A5F"/>
    <w:rsid w:val="00376B03"/>
    <w:rsid w:val="00376BF8"/>
    <w:rsid w:val="00376D39"/>
    <w:rsid w:val="00376DC6"/>
    <w:rsid w:val="00376F72"/>
    <w:rsid w:val="0037706B"/>
    <w:rsid w:val="0037784B"/>
    <w:rsid w:val="00377859"/>
    <w:rsid w:val="00377D95"/>
    <w:rsid w:val="00377DB7"/>
    <w:rsid w:val="00377DC1"/>
    <w:rsid w:val="00377E0B"/>
    <w:rsid w:val="00377E75"/>
    <w:rsid w:val="00377F5C"/>
    <w:rsid w:val="00377FEA"/>
    <w:rsid w:val="0038007C"/>
    <w:rsid w:val="003801B8"/>
    <w:rsid w:val="0038041A"/>
    <w:rsid w:val="00380461"/>
    <w:rsid w:val="003804AC"/>
    <w:rsid w:val="003804E0"/>
    <w:rsid w:val="003804E1"/>
    <w:rsid w:val="0038064C"/>
    <w:rsid w:val="00380664"/>
    <w:rsid w:val="00380668"/>
    <w:rsid w:val="0038067D"/>
    <w:rsid w:val="003806D0"/>
    <w:rsid w:val="0038079F"/>
    <w:rsid w:val="003807A8"/>
    <w:rsid w:val="003808B4"/>
    <w:rsid w:val="003808D1"/>
    <w:rsid w:val="003808E4"/>
    <w:rsid w:val="00380A11"/>
    <w:rsid w:val="00380A6D"/>
    <w:rsid w:val="00380A91"/>
    <w:rsid w:val="00380B54"/>
    <w:rsid w:val="00380B6F"/>
    <w:rsid w:val="00380D74"/>
    <w:rsid w:val="00380DD6"/>
    <w:rsid w:val="00380E37"/>
    <w:rsid w:val="003810B7"/>
    <w:rsid w:val="003810F6"/>
    <w:rsid w:val="0038114C"/>
    <w:rsid w:val="0038118C"/>
    <w:rsid w:val="00381339"/>
    <w:rsid w:val="003813AD"/>
    <w:rsid w:val="00381507"/>
    <w:rsid w:val="00381558"/>
    <w:rsid w:val="003815B1"/>
    <w:rsid w:val="003815DE"/>
    <w:rsid w:val="0038171A"/>
    <w:rsid w:val="003817BD"/>
    <w:rsid w:val="003817ED"/>
    <w:rsid w:val="003818B5"/>
    <w:rsid w:val="00381AA5"/>
    <w:rsid w:val="00381B31"/>
    <w:rsid w:val="00381C15"/>
    <w:rsid w:val="00381C27"/>
    <w:rsid w:val="00381C8F"/>
    <w:rsid w:val="00381D55"/>
    <w:rsid w:val="00381D5F"/>
    <w:rsid w:val="00381DA7"/>
    <w:rsid w:val="00381DE0"/>
    <w:rsid w:val="00381F6E"/>
    <w:rsid w:val="00382075"/>
    <w:rsid w:val="003821D5"/>
    <w:rsid w:val="00382411"/>
    <w:rsid w:val="00382515"/>
    <w:rsid w:val="0038257A"/>
    <w:rsid w:val="0038264C"/>
    <w:rsid w:val="00382685"/>
    <w:rsid w:val="003827C0"/>
    <w:rsid w:val="003827D1"/>
    <w:rsid w:val="00382850"/>
    <w:rsid w:val="0038286C"/>
    <w:rsid w:val="003829BB"/>
    <w:rsid w:val="00382AA1"/>
    <w:rsid w:val="00382B23"/>
    <w:rsid w:val="00382D7B"/>
    <w:rsid w:val="00382EAC"/>
    <w:rsid w:val="0038309D"/>
    <w:rsid w:val="003830E9"/>
    <w:rsid w:val="003830FB"/>
    <w:rsid w:val="0038333B"/>
    <w:rsid w:val="0038338D"/>
    <w:rsid w:val="003834E2"/>
    <w:rsid w:val="00383555"/>
    <w:rsid w:val="00383685"/>
    <w:rsid w:val="0038389A"/>
    <w:rsid w:val="00383901"/>
    <w:rsid w:val="003839F9"/>
    <w:rsid w:val="00383AAA"/>
    <w:rsid w:val="00383F3C"/>
    <w:rsid w:val="00383F6B"/>
    <w:rsid w:val="00383F80"/>
    <w:rsid w:val="0038403D"/>
    <w:rsid w:val="003840E9"/>
    <w:rsid w:val="0038411B"/>
    <w:rsid w:val="00384220"/>
    <w:rsid w:val="00384260"/>
    <w:rsid w:val="00384316"/>
    <w:rsid w:val="003845E2"/>
    <w:rsid w:val="003847F6"/>
    <w:rsid w:val="00384969"/>
    <w:rsid w:val="00384990"/>
    <w:rsid w:val="00384A10"/>
    <w:rsid w:val="00384C6E"/>
    <w:rsid w:val="00384C80"/>
    <w:rsid w:val="00384DD8"/>
    <w:rsid w:val="0038500E"/>
    <w:rsid w:val="003850BC"/>
    <w:rsid w:val="00385444"/>
    <w:rsid w:val="0038544B"/>
    <w:rsid w:val="003856B5"/>
    <w:rsid w:val="0038570C"/>
    <w:rsid w:val="00385799"/>
    <w:rsid w:val="003857AD"/>
    <w:rsid w:val="003857DA"/>
    <w:rsid w:val="0038586D"/>
    <w:rsid w:val="00385884"/>
    <w:rsid w:val="003858CE"/>
    <w:rsid w:val="00385926"/>
    <w:rsid w:val="00385988"/>
    <w:rsid w:val="00385A20"/>
    <w:rsid w:val="00385B14"/>
    <w:rsid w:val="00385C0C"/>
    <w:rsid w:val="00385C1F"/>
    <w:rsid w:val="00385D39"/>
    <w:rsid w:val="00385DD1"/>
    <w:rsid w:val="00385F2A"/>
    <w:rsid w:val="00385F59"/>
    <w:rsid w:val="00385F9F"/>
    <w:rsid w:val="00386050"/>
    <w:rsid w:val="003860D0"/>
    <w:rsid w:val="003861F8"/>
    <w:rsid w:val="003862F9"/>
    <w:rsid w:val="00386340"/>
    <w:rsid w:val="00386422"/>
    <w:rsid w:val="0038646E"/>
    <w:rsid w:val="003864A0"/>
    <w:rsid w:val="0038660F"/>
    <w:rsid w:val="0038662E"/>
    <w:rsid w:val="00386640"/>
    <w:rsid w:val="0038668D"/>
    <w:rsid w:val="003866B6"/>
    <w:rsid w:val="00386714"/>
    <w:rsid w:val="003867FC"/>
    <w:rsid w:val="0038681E"/>
    <w:rsid w:val="003868D7"/>
    <w:rsid w:val="003868D8"/>
    <w:rsid w:val="003868F9"/>
    <w:rsid w:val="003868FC"/>
    <w:rsid w:val="0038693A"/>
    <w:rsid w:val="00386A24"/>
    <w:rsid w:val="00386AAC"/>
    <w:rsid w:val="00386C3B"/>
    <w:rsid w:val="00386CCB"/>
    <w:rsid w:val="00386D5B"/>
    <w:rsid w:val="00386D88"/>
    <w:rsid w:val="00386F57"/>
    <w:rsid w:val="00387500"/>
    <w:rsid w:val="0038752B"/>
    <w:rsid w:val="003875AE"/>
    <w:rsid w:val="00387601"/>
    <w:rsid w:val="003876D5"/>
    <w:rsid w:val="00387AA0"/>
    <w:rsid w:val="00387B06"/>
    <w:rsid w:val="00387B42"/>
    <w:rsid w:val="00387BD8"/>
    <w:rsid w:val="00387C8D"/>
    <w:rsid w:val="00387D1C"/>
    <w:rsid w:val="00387D87"/>
    <w:rsid w:val="00387DB5"/>
    <w:rsid w:val="00387E8C"/>
    <w:rsid w:val="00387E98"/>
    <w:rsid w:val="00387EB3"/>
    <w:rsid w:val="00387EF9"/>
    <w:rsid w:val="00390037"/>
    <w:rsid w:val="00390084"/>
    <w:rsid w:val="00390169"/>
    <w:rsid w:val="0039028B"/>
    <w:rsid w:val="003902ED"/>
    <w:rsid w:val="0039034A"/>
    <w:rsid w:val="003903F9"/>
    <w:rsid w:val="0039046B"/>
    <w:rsid w:val="00390656"/>
    <w:rsid w:val="003907EE"/>
    <w:rsid w:val="0039085E"/>
    <w:rsid w:val="003908D0"/>
    <w:rsid w:val="003908E2"/>
    <w:rsid w:val="00390AB0"/>
    <w:rsid w:val="00390B24"/>
    <w:rsid w:val="00390CE3"/>
    <w:rsid w:val="00390F55"/>
    <w:rsid w:val="00391088"/>
    <w:rsid w:val="003913A7"/>
    <w:rsid w:val="003913B7"/>
    <w:rsid w:val="00391440"/>
    <w:rsid w:val="0039147A"/>
    <w:rsid w:val="003914FE"/>
    <w:rsid w:val="00391595"/>
    <w:rsid w:val="003916D0"/>
    <w:rsid w:val="00391765"/>
    <w:rsid w:val="0039182F"/>
    <w:rsid w:val="003918C9"/>
    <w:rsid w:val="00391967"/>
    <w:rsid w:val="00391BAD"/>
    <w:rsid w:val="00391C17"/>
    <w:rsid w:val="00391CE8"/>
    <w:rsid w:val="00391D85"/>
    <w:rsid w:val="00391FAE"/>
    <w:rsid w:val="00391FB2"/>
    <w:rsid w:val="00392029"/>
    <w:rsid w:val="003920E4"/>
    <w:rsid w:val="00392141"/>
    <w:rsid w:val="003921E7"/>
    <w:rsid w:val="003922A9"/>
    <w:rsid w:val="003922B1"/>
    <w:rsid w:val="00392320"/>
    <w:rsid w:val="0039241D"/>
    <w:rsid w:val="003924FC"/>
    <w:rsid w:val="003926AF"/>
    <w:rsid w:val="003926EF"/>
    <w:rsid w:val="00392790"/>
    <w:rsid w:val="003927A4"/>
    <w:rsid w:val="00392874"/>
    <w:rsid w:val="0039289C"/>
    <w:rsid w:val="00392951"/>
    <w:rsid w:val="003929B1"/>
    <w:rsid w:val="00392A90"/>
    <w:rsid w:val="00392B87"/>
    <w:rsid w:val="00392D54"/>
    <w:rsid w:val="00392D71"/>
    <w:rsid w:val="00392EB8"/>
    <w:rsid w:val="00392EF3"/>
    <w:rsid w:val="00393003"/>
    <w:rsid w:val="003931ED"/>
    <w:rsid w:val="00393302"/>
    <w:rsid w:val="0039338D"/>
    <w:rsid w:val="00393648"/>
    <w:rsid w:val="00393655"/>
    <w:rsid w:val="0039376B"/>
    <w:rsid w:val="00393C2E"/>
    <w:rsid w:val="00393D90"/>
    <w:rsid w:val="00393DDA"/>
    <w:rsid w:val="00393DF5"/>
    <w:rsid w:val="00393E21"/>
    <w:rsid w:val="00394065"/>
    <w:rsid w:val="00394127"/>
    <w:rsid w:val="0039424A"/>
    <w:rsid w:val="00394297"/>
    <w:rsid w:val="003942E9"/>
    <w:rsid w:val="003943BE"/>
    <w:rsid w:val="00394406"/>
    <w:rsid w:val="003944B6"/>
    <w:rsid w:val="00394575"/>
    <w:rsid w:val="003946A1"/>
    <w:rsid w:val="003947E0"/>
    <w:rsid w:val="00394863"/>
    <w:rsid w:val="00394907"/>
    <w:rsid w:val="00394B5F"/>
    <w:rsid w:val="00394C44"/>
    <w:rsid w:val="00394CFE"/>
    <w:rsid w:val="00394D0B"/>
    <w:rsid w:val="00394E66"/>
    <w:rsid w:val="00394E90"/>
    <w:rsid w:val="00394F31"/>
    <w:rsid w:val="00394F47"/>
    <w:rsid w:val="00394F52"/>
    <w:rsid w:val="00395063"/>
    <w:rsid w:val="00395143"/>
    <w:rsid w:val="0039517A"/>
    <w:rsid w:val="0039529E"/>
    <w:rsid w:val="00395390"/>
    <w:rsid w:val="003953B8"/>
    <w:rsid w:val="00395406"/>
    <w:rsid w:val="003954AE"/>
    <w:rsid w:val="003954DC"/>
    <w:rsid w:val="00395517"/>
    <w:rsid w:val="003955B7"/>
    <w:rsid w:val="003956C6"/>
    <w:rsid w:val="00395751"/>
    <w:rsid w:val="0039586E"/>
    <w:rsid w:val="00395A32"/>
    <w:rsid w:val="00395DB5"/>
    <w:rsid w:val="00395E32"/>
    <w:rsid w:val="00395FDC"/>
    <w:rsid w:val="00395FE5"/>
    <w:rsid w:val="0039606F"/>
    <w:rsid w:val="003960C7"/>
    <w:rsid w:val="00396191"/>
    <w:rsid w:val="00396247"/>
    <w:rsid w:val="003963CC"/>
    <w:rsid w:val="00396416"/>
    <w:rsid w:val="00396438"/>
    <w:rsid w:val="003966BA"/>
    <w:rsid w:val="003966EA"/>
    <w:rsid w:val="003966F4"/>
    <w:rsid w:val="003967A4"/>
    <w:rsid w:val="00396838"/>
    <w:rsid w:val="00396913"/>
    <w:rsid w:val="00396931"/>
    <w:rsid w:val="003969DC"/>
    <w:rsid w:val="00396B51"/>
    <w:rsid w:val="00396C83"/>
    <w:rsid w:val="00396D1B"/>
    <w:rsid w:val="00396F35"/>
    <w:rsid w:val="00397099"/>
    <w:rsid w:val="003970FB"/>
    <w:rsid w:val="00397401"/>
    <w:rsid w:val="00397403"/>
    <w:rsid w:val="003974C0"/>
    <w:rsid w:val="00397518"/>
    <w:rsid w:val="003975E1"/>
    <w:rsid w:val="003976A5"/>
    <w:rsid w:val="003978D6"/>
    <w:rsid w:val="0039796A"/>
    <w:rsid w:val="003979F3"/>
    <w:rsid w:val="00397A6A"/>
    <w:rsid w:val="00397A88"/>
    <w:rsid w:val="00397AFE"/>
    <w:rsid w:val="00397BD0"/>
    <w:rsid w:val="00397BDF"/>
    <w:rsid w:val="00397CE6"/>
    <w:rsid w:val="00397D18"/>
    <w:rsid w:val="00397D37"/>
    <w:rsid w:val="00397E89"/>
    <w:rsid w:val="00397F1E"/>
    <w:rsid w:val="00397F7A"/>
    <w:rsid w:val="003A01CE"/>
    <w:rsid w:val="003A01F5"/>
    <w:rsid w:val="003A02D6"/>
    <w:rsid w:val="003A031E"/>
    <w:rsid w:val="003A0369"/>
    <w:rsid w:val="003A0467"/>
    <w:rsid w:val="003A0730"/>
    <w:rsid w:val="003A088B"/>
    <w:rsid w:val="003A0928"/>
    <w:rsid w:val="003A09BD"/>
    <w:rsid w:val="003A0A4F"/>
    <w:rsid w:val="003A0A93"/>
    <w:rsid w:val="003A0D35"/>
    <w:rsid w:val="003A0E04"/>
    <w:rsid w:val="003A0E9F"/>
    <w:rsid w:val="003A0F54"/>
    <w:rsid w:val="003A0FB2"/>
    <w:rsid w:val="003A1009"/>
    <w:rsid w:val="003A102A"/>
    <w:rsid w:val="003A10A7"/>
    <w:rsid w:val="003A1161"/>
    <w:rsid w:val="003A12C7"/>
    <w:rsid w:val="003A14C8"/>
    <w:rsid w:val="003A1577"/>
    <w:rsid w:val="003A15C5"/>
    <w:rsid w:val="003A15CC"/>
    <w:rsid w:val="003A1603"/>
    <w:rsid w:val="003A1662"/>
    <w:rsid w:val="003A16C3"/>
    <w:rsid w:val="003A16C5"/>
    <w:rsid w:val="003A1837"/>
    <w:rsid w:val="003A1853"/>
    <w:rsid w:val="003A18B2"/>
    <w:rsid w:val="003A18C1"/>
    <w:rsid w:val="003A18E7"/>
    <w:rsid w:val="003A19FA"/>
    <w:rsid w:val="003A1D42"/>
    <w:rsid w:val="003A1E4D"/>
    <w:rsid w:val="003A2050"/>
    <w:rsid w:val="003A2147"/>
    <w:rsid w:val="003A2268"/>
    <w:rsid w:val="003A2293"/>
    <w:rsid w:val="003A22D5"/>
    <w:rsid w:val="003A23ED"/>
    <w:rsid w:val="003A242D"/>
    <w:rsid w:val="003A257C"/>
    <w:rsid w:val="003A25B5"/>
    <w:rsid w:val="003A2669"/>
    <w:rsid w:val="003A26A5"/>
    <w:rsid w:val="003A270F"/>
    <w:rsid w:val="003A2755"/>
    <w:rsid w:val="003A2779"/>
    <w:rsid w:val="003A2836"/>
    <w:rsid w:val="003A28DE"/>
    <w:rsid w:val="003A293C"/>
    <w:rsid w:val="003A2956"/>
    <w:rsid w:val="003A2988"/>
    <w:rsid w:val="003A29DC"/>
    <w:rsid w:val="003A2A26"/>
    <w:rsid w:val="003A2AAB"/>
    <w:rsid w:val="003A2B62"/>
    <w:rsid w:val="003A2BC3"/>
    <w:rsid w:val="003A2EEA"/>
    <w:rsid w:val="003A32BC"/>
    <w:rsid w:val="003A3419"/>
    <w:rsid w:val="003A35CB"/>
    <w:rsid w:val="003A381C"/>
    <w:rsid w:val="003A38D8"/>
    <w:rsid w:val="003A3A71"/>
    <w:rsid w:val="003A3AC0"/>
    <w:rsid w:val="003A3C4E"/>
    <w:rsid w:val="003A3C84"/>
    <w:rsid w:val="003A3C8D"/>
    <w:rsid w:val="003A3CC9"/>
    <w:rsid w:val="003A3D6E"/>
    <w:rsid w:val="003A3DBF"/>
    <w:rsid w:val="003A3FCE"/>
    <w:rsid w:val="003A4073"/>
    <w:rsid w:val="003A40F0"/>
    <w:rsid w:val="003A4211"/>
    <w:rsid w:val="003A4249"/>
    <w:rsid w:val="003A42AB"/>
    <w:rsid w:val="003A4317"/>
    <w:rsid w:val="003A446A"/>
    <w:rsid w:val="003A44D3"/>
    <w:rsid w:val="003A451E"/>
    <w:rsid w:val="003A4574"/>
    <w:rsid w:val="003A469B"/>
    <w:rsid w:val="003A48EA"/>
    <w:rsid w:val="003A4A5D"/>
    <w:rsid w:val="003A4AF7"/>
    <w:rsid w:val="003A4DC6"/>
    <w:rsid w:val="003A4E25"/>
    <w:rsid w:val="003A4EDF"/>
    <w:rsid w:val="003A4EF8"/>
    <w:rsid w:val="003A5081"/>
    <w:rsid w:val="003A5266"/>
    <w:rsid w:val="003A52B3"/>
    <w:rsid w:val="003A52CB"/>
    <w:rsid w:val="003A530A"/>
    <w:rsid w:val="003A545F"/>
    <w:rsid w:val="003A5568"/>
    <w:rsid w:val="003A56C5"/>
    <w:rsid w:val="003A5786"/>
    <w:rsid w:val="003A5837"/>
    <w:rsid w:val="003A58AF"/>
    <w:rsid w:val="003A5A36"/>
    <w:rsid w:val="003A5C6D"/>
    <w:rsid w:val="003A5CE7"/>
    <w:rsid w:val="003A5D31"/>
    <w:rsid w:val="003A5DA9"/>
    <w:rsid w:val="003A5DE5"/>
    <w:rsid w:val="003A600D"/>
    <w:rsid w:val="003A6036"/>
    <w:rsid w:val="003A6342"/>
    <w:rsid w:val="003A6368"/>
    <w:rsid w:val="003A63B0"/>
    <w:rsid w:val="003A63C0"/>
    <w:rsid w:val="003A63C8"/>
    <w:rsid w:val="003A6535"/>
    <w:rsid w:val="003A6825"/>
    <w:rsid w:val="003A6A38"/>
    <w:rsid w:val="003A6A91"/>
    <w:rsid w:val="003A6B45"/>
    <w:rsid w:val="003A6B7A"/>
    <w:rsid w:val="003A6BFE"/>
    <w:rsid w:val="003A6C95"/>
    <w:rsid w:val="003A6CB7"/>
    <w:rsid w:val="003A6D13"/>
    <w:rsid w:val="003A6E3D"/>
    <w:rsid w:val="003A6E44"/>
    <w:rsid w:val="003A6E46"/>
    <w:rsid w:val="003A6E60"/>
    <w:rsid w:val="003A6EFB"/>
    <w:rsid w:val="003A6F4B"/>
    <w:rsid w:val="003A71DF"/>
    <w:rsid w:val="003A72B1"/>
    <w:rsid w:val="003A7324"/>
    <w:rsid w:val="003A7359"/>
    <w:rsid w:val="003A7524"/>
    <w:rsid w:val="003A7534"/>
    <w:rsid w:val="003A76E5"/>
    <w:rsid w:val="003A7702"/>
    <w:rsid w:val="003A776E"/>
    <w:rsid w:val="003A7B94"/>
    <w:rsid w:val="003A7EFB"/>
    <w:rsid w:val="003A7F15"/>
    <w:rsid w:val="003A7FB3"/>
    <w:rsid w:val="003A7FD0"/>
    <w:rsid w:val="003B018A"/>
    <w:rsid w:val="003B01C2"/>
    <w:rsid w:val="003B0221"/>
    <w:rsid w:val="003B038A"/>
    <w:rsid w:val="003B05E1"/>
    <w:rsid w:val="003B07A8"/>
    <w:rsid w:val="003B0852"/>
    <w:rsid w:val="003B0938"/>
    <w:rsid w:val="003B0950"/>
    <w:rsid w:val="003B0A49"/>
    <w:rsid w:val="003B0A95"/>
    <w:rsid w:val="003B0AD7"/>
    <w:rsid w:val="003B0B74"/>
    <w:rsid w:val="003B0D25"/>
    <w:rsid w:val="003B0DE8"/>
    <w:rsid w:val="003B0E3D"/>
    <w:rsid w:val="003B0E5E"/>
    <w:rsid w:val="003B0E91"/>
    <w:rsid w:val="003B0F25"/>
    <w:rsid w:val="003B0F28"/>
    <w:rsid w:val="003B0F43"/>
    <w:rsid w:val="003B0F77"/>
    <w:rsid w:val="003B0FF6"/>
    <w:rsid w:val="003B1013"/>
    <w:rsid w:val="003B118E"/>
    <w:rsid w:val="003B12EC"/>
    <w:rsid w:val="003B1393"/>
    <w:rsid w:val="003B13AC"/>
    <w:rsid w:val="003B164F"/>
    <w:rsid w:val="003B175E"/>
    <w:rsid w:val="003B17C0"/>
    <w:rsid w:val="003B1843"/>
    <w:rsid w:val="003B1886"/>
    <w:rsid w:val="003B1A02"/>
    <w:rsid w:val="003B1C60"/>
    <w:rsid w:val="003B1CA3"/>
    <w:rsid w:val="003B21ED"/>
    <w:rsid w:val="003B235E"/>
    <w:rsid w:val="003B2387"/>
    <w:rsid w:val="003B276A"/>
    <w:rsid w:val="003B282B"/>
    <w:rsid w:val="003B287E"/>
    <w:rsid w:val="003B2910"/>
    <w:rsid w:val="003B2A4D"/>
    <w:rsid w:val="003B2ADE"/>
    <w:rsid w:val="003B2C3C"/>
    <w:rsid w:val="003B2D26"/>
    <w:rsid w:val="003B2DF3"/>
    <w:rsid w:val="003B3472"/>
    <w:rsid w:val="003B34CB"/>
    <w:rsid w:val="003B3530"/>
    <w:rsid w:val="003B3731"/>
    <w:rsid w:val="003B38EB"/>
    <w:rsid w:val="003B38F2"/>
    <w:rsid w:val="003B3920"/>
    <w:rsid w:val="003B39BC"/>
    <w:rsid w:val="003B3A06"/>
    <w:rsid w:val="003B3AB1"/>
    <w:rsid w:val="003B3B21"/>
    <w:rsid w:val="003B3B8F"/>
    <w:rsid w:val="003B3B92"/>
    <w:rsid w:val="003B3C49"/>
    <w:rsid w:val="003B3D26"/>
    <w:rsid w:val="003B3D54"/>
    <w:rsid w:val="003B3F59"/>
    <w:rsid w:val="003B3F72"/>
    <w:rsid w:val="003B3F9E"/>
    <w:rsid w:val="003B3F9F"/>
    <w:rsid w:val="003B3FD4"/>
    <w:rsid w:val="003B3FFB"/>
    <w:rsid w:val="003B4166"/>
    <w:rsid w:val="003B41E9"/>
    <w:rsid w:val="003B4278"/>
    <w:rsid w:val="003B428D"/>
    <w:rsid w:val="003B4319"/>
    <w:rsid w:val="003B4368"/>
    <w:rsid w:val="003B43E0"/>
    <w:rsid w:val="003B445E"/>
    <w:rsid w:val="003B459E"/>
    <w:rsid w:val="003B45A2"/>
    <w:rsid w:val="003B4639"/>
    <w:rsid w:val="003B465A"/>
    <w:rsid w:val="003B48F7"/>
    <w:rsid w:val="003B4913"/>
    <w:rsid w:val="003B4923"/>
    <w:rsid w:val="003B492A"/>
    <w:rsid w:val="003B4942"/>
    <w:rsid w:val="003B4A3E"/>
    <w:rsid w:val="003B4B01"/>
    <w:rsid w:val="003B4C82"/>
    <w:rsid w:val="003B4E99"/>
    <w:rsid w:val="003B4EEB"/>
    <w:rsid w:val="003B4EF1"/>
    <w:rsid w:val="003B4F19"/>
    <w:rsid w:val="003B5084"/>
    <w:rsid w:val="003B50EC"/>
    <w:rsid w:val="003B5150"/>
    <w:rsid w:val="003B51B5"/>
    <w:rsid w:val="003B51D2"/>
    <w:rsid w:val="003B51D8"/>
    <w:rsid w:val="003B520C"/>
    <w:rsid w:val="003B5250"/>
    <w:rsid w:val="003B525F"/>
    <w:rsid w:val="003B53F6"/>
    <w:rsid w:val="003B545F"/>
    <w:rsid w:val="003B5561"/>
    <w:rsid w:val="003B5574"/>
    <w:rsid w:val="003B57B7"/>
    <w:rsid w:val="003B593A"/>
    <w:rsid w:val="003B597F"/>
    <w:rsid w:val="003B5A15"/>
    <w:rsid w:val="003B5A4A"/>
    <w:rsid w:val="003B5AF1"/>
    <w:rsid w:val="003B5B60"/>
    <w:rsid w:val="003B5CA4"/>
    <w:rsid w:val="003B5CDE"/>
    <w:rsid w:val="003B5D0F"/>
    <w:rsid w:val="003B5D5A"/>
    <w:rsid w:val="003B5D68"/>
    <w:rsid w:val="003B5D6B"/>
    <w:rsid w:val="003B5F86"/>
    <w:rsid w:val="003B5FA6"/>
    <w:rsid w:val="003B60AD"/>
    <w:rsid w:val="003B60B8"/>
    <w:rsid w:val="003B60DD"/>
    <w:rsid w:val="003B614F"/>
    <w:rsid w:val="003B6192"/>
    <w:rsid w:val="003B6197"/>
    <w:rsid w:val="003B623C"/>
    <w:rsid w:val="003B6243"/>
    <w:rsid w:val="003B62A0"/>
    <w:rsid w:val="003B6355"/>
    <w:rsid w:val="003B639E"/>
    <w:rsid w:val="003B63D0"/>
    <w:rsid w:val="003B6515"/>
    <w:rsid w:val="003B6759"/>
    <w:rsid w:val="003B675D"/>
    <w:rsid w:val="003B684D"/>
    <w:rsid w:val="003B68BD"/>
    <w:rsid w:val="003B68C1"/>
    <w:rsid w:val="003B69A4"/>
    <w:rsid w:val="003B69CE"/>
    <w:rsid w:val="003B6A0E"/>
    <w:rsid w:val="003B6A40"/>
    <w:rsid w:val="003B6A8C"/>
    <w:rsid w:val="003B6CB4"/>
    <w:rsid w:val="003B6CEA"/>
    <w:rsid w:val="003B6D58"/>
    <w:rsid w:val="003B6F63"/>
    <w:rsid w:val="003B6F86"/>
    <w:rsid w:val="003B70D9"/>
    <w:rsid w:val="003B7302"/>
    <w:rsid w:val="003B7330"/>
    <w:rsid w:val="003B73A8"/>
    <w:rsid w:val="003B7431"/>
    <w:rsid w:val="003B747F"/>
    <w:rsid w:val="003B75BD"/>
    <w:rsid w:val="003B765C"/>
    <w:rsid w:val="003B76C2"/>
    <w:rsid w:val="003B778D"/>
    <w:rsid w:val="003B7880"/>
    <w:rsid w:val="003B790E"/>
    <w:rsid w:val="003B7B87"/>
    <w:rsid w:val="003B7C0E"/>
    <w:rsid w:val="003B7EA0"/>
    <w:rsid w:val="003B7F72"/>
    <w:rsid w:val="003C003F"/>
    <w:rsid w:val="003C0053"/>
    <w:rsid w:val="003C00A8"/>
    <w:rsid w:val="003C00B6"/>
    <w:rsid w:val="003C0248"/>
    <w:rsid w:val="003C02FA"/>
    <w:rsid w:val="003C0384"/>
    <w:rsid w:val="003C04DD"/>
    <w:rsid w:val="003C05C9"/>
    <w:rsid w:val="003C06A2"/>
    <w:rsid w:val="003C070B"/>
    <w:rsid w:val="003C0787"/>
    <w:rsid w:val="003C0788"/>
    <w:rsid w:val="003C07B8"/>
    <w:rsid w:val="003C07F0"/>
    <w:rsid w:val="003C0860"/>
    <w:rsid w:val="003C088C"/>
    <w:rsid w:val="003C0A4D"/>
    <w:rsid w:val="003C0AA8"/>
    <w:rsid w:val="003C0B25"/>
    <w:rsid w:val="003C0BF9"/>
    <w:rsid w:val="003C0C85"/>
    <w:rsid w:val="003C0CF4"/>
    <w:rsid w:val="003C0D7B"/>
    <w:rsid w:val="003C0E12"/>
    <w:rsid w:val="003C0ED1"/>
    <w:rsid w:val="003C0EF3"/>
    <w:rsid w:val="003C0EFC"/>
    <w:rsid w:val="003C0F57"/>
    <w:rsid w:val="003C0F60"/>
    <w:rsid w:val="003C1042"/>
    <w:rsid w:val="003C112D"/>
    <w:rsid w:val="003C1177"/>
    <w:rsid w:val="003C136A"/>
    <w:rsid w:val="003C138F"/>
    <w:rsid w:val="003C1468"/>
    <w:rsid w:val="003C14A8"/>
    <w:rsid w:val="003C154E"/>
    <w:rsid w:val="003C16CB"/>
    <w:rsid w:val="003C1795"/>
    <w:rsid w:val="003C1946"/>
    <w:rsid w:val="003C19C2"/>
    <w:rsid w:val="003C1D88"/>
    <w:rsid w:val="003C1E38"/>
    <w:rsid w:val="003C2105"/>
    <w:rsid w:val="003C223B"/>
    <w:rsid w:val="003C23B1"/>
    <w:rsid w:val="003C2511"/>
    <w:rsid w:val="003C2564"/>
    <w:rsid w:val="003C26A6"/>
    <w:rsid w:val="003C27D3"/>
    <w:rsid w:val="003C28C9"/>
    <w:rsid w:val="003C2A0C"/>
    <w:rsid w:val="003C2A70"/>
    <w:rsid w:val="003C2C08"/>
    <w:rsid w:val="003C2CCB"/>
    <w:rsid w:val="003C2DBC"/>
    <w:rsid w:val="003C2DC2"/>
    <w:rsid w:val="003C2DD0"/>
    <w:rsid w:val="003C2E1F"/>
    <w:rsid w:val="003C2E2F"/>
    <w:rsid w:val="003C31C6"/>
    <w:rsid w:val="003C31DA"/>
    <w:rsid w:val="003C320B"/>
    <w:rsid w:val="003C32E1"/>
    <w:rsid w:val="003C3452"/>
    <w:rsid w:val="003C35E7"/>
    <w:rsid w:val="003C3604"/>
    <w:rsid w:val="003C3644"/>
    <w:rsid w:val="003C36C1"/>
    <w:rsid w:val="003C36E8"/>
    <w:rsid w:val="003C374A"/>
    <w:rsid w:val="003C37C5"/>
    <w:rsid w:val="003C38A4"/>
    <w:rsid w:val="003C3911"/>
    <w:rsid w:val="003C3A62"/>
    <w:rsid w:val="003C3AA9"/>
    <w:rsid w:val="003C3B94"/>
    <w:rsid w:val="003C3C8A"/>
    <w:rsid w:val="003C3D3B"/>
    <w:rsid w:val="003C3D81"/>
    <w:rsid w:val="003C4051"/>
    <w:rsid w:val="003C40C9"/>
    <w:rsid w:val="003C42B8"/>
    <w:rsid w:val="003C433D"/>
    <w:rsid w:val="003C44C4"/>
    <w:rsid w:val="003C457D"/>
    <w:rsid w:val="003C45D0"/>
    <w:rsid w:val="003C46EF"/>
    <w:rsid w:val="003C48DC"/>
    <w:rsid w:val="003C4983"/>
    <w:rsid w:val="003C49AD"/>
    <w:rsid w:val="003C4AED"/>
    <w:rsid w:val="003C4C8B"/>
    <w:rsid w:val="003C4DB7"/>
    <w:rsid w:val="003C4DE4"/>
    <w:rsid w:val="003C4E62"/>
    <w:rsid w:val="003C4EF3"/>
    <w:rsid w:val="003C4F63"/>
    <w:rsid w:val="003C5010"/>
    <w:rsid w:val="003C51A9"/>
    <w:rsid w:val="003C5393"/>
    <w:rsid w:val="003C542E"/>
    <w:rsid w:val="003C54A1"/>
    <w:rsid w:val="003C5599"/>
    <w:rsid w:val="003C55F6"/>
    <w:rsid w:val="003C5882"/>
    <w:rsid w:val="003C5895"/>
    <w:rsid w:val="003C5A4B"/>
    <w:rsid w:val="003C5BE4"/>
    <w:rsid w:val="003C5CCC"/>
    <w:rsid w:val="003C5CDB"/>
    <w:rsid w:val="003C5D36"/>
    <w:rsid w:val="003C5FFF"/>
    <w:rsid w:val="003C6008"/>
    <w:rsid w:val="003C6058"/>
    <w:rsid w:val="003C6097"/>
    <w:rsid w:val="003C642D"/>
    <w:rsid w:val="003C6470"/>
    <w:rsid w:val="003C65BB"/>
    <w:rsid w:val="003C6619"/>
    <w:rsid w:val="003C6758"/>
    <w:rsid w:val="003C6797"/>
    <w:rsid w:val="003C67AE"/>
    <w:rsid w:val="003C68BA"/>
    <w:rsid w:val="003C6A70"/>
    <w:rsid w:val="003C6B15"/>
    <w:rsid w:val="003C6B2F"/>
    <w:rsid w:val="003C6D38"/>
    <w:rsid w:val="003C6EAB"/>
    <w:rsid w:val="003C6F57"/>
    <w:rsid w:val="003C7010"/>
    <w:rsid w:val="003C7039"/>
    <w:rsid w:val="003C7087"/>
    <w:rsid w:val="003C70E1"/>
    <w:rsid w:val="003C7107"/>
    <w:rsid w:val="003C7151"/>
    <w:rsid w:val="003C71C0"/>
    <w:rsid w:val="003C71CA"/>
    <w:rsid w:val="003C728E"/>
    <w:rsid w:val="003C738B"/>
    <w:rsid w:val="003C73A0"/>
    <w:rsid w:val="003C7481"/>
    <w:rsid w:val="003C74A5"/>
    <w:rsid w:val="003C74D5"/>
    <w:rsid w:val="003C758D"/>
    <w:rsid w:val="003C75D7"/>
    <w:rsid w:val="003C75FF"/>
    <w:rsid w:val="003C78DC"/>
    <w:rsid w:val="003C7934"/>
    <w:rsid w:val="003C7943"/>
    <w:rsid w:val="003C79AD"/>
    <w:rsid w:val="003C7A80"/>
    <w:rsid w:val="003C7AB2"/>
    <w:rsid w:val="003C7B01"/>
    <w:rsid w:val="003C7C95"/>
    <w:rsid w:val="003C7D27"/>
    <w:rsid w:val="003C7D39"/>
    <w:rsid w:val="003C7E91"/>
    <w:rsid w:val="003D01EC"/>
    <w:rsid w:val="003D0200"/>
    <w:rsid w:val="003D021F"/>
    <w:rsid w:val="003D0373"/>
    <w:rsid w:val="003D042A"/>
    <w:rsid w:val="003D0577"/>
    <w:rsid w:val="003D0730"/>
    <w:rsid w:val="003D073A"/>
    <w:rsid w:val="003D07E0"/>
    <w:rsid w:val="003D0851"/>
    <w:rsid w:val="003D0871"/>
    <w:rsid w:val="003D08E2"/>
    <w:rsid w:val="003D0A48"/>
    <w:rsid w:val="003D0A59"/>
    <w:rsid w:val="003D0B77"/>
    <w:rsid w:val="003D0BA5"/>
    <w:rsid w:val="003D0E41"/>
    <w:rsid w:val="003D0F18"/>
    <w:rsid w:val="003D104B"/>
    <w:rsid w:val="003D10F3"/>
    <w:rsid w:val="003D1132"/>
    <w:rsid w:val="003D11BE"/>
    <w:rsid w:val="003D12C6"/>
    <w:rsid w:val="003D1421"/>
    <w:rsid w:val="003D15B4"/>
    <w:rsid w:val="003D15C8"/>
    <w:rsid w:val="003D1669"/>
    <w:rsid w:val="003D17C0"/>
    <w:rsid w:val="003D18EE"/>
    <w:rsid w:val="003D1949"/>
    <w:rsid w:val="003D194A"/>
    <w:rsid w:val="003D1968"/>
    <w:rsid w:val="003D196A"/>
    <w:rsid w:val="003D19C5"/>
    <w:rsid w:val="003D1A22"/>
    <w:rsid w:val="003D1AD0"/>
    <w:rsid w:val="003D1AD6"/>
    <w:rsid w:val="003D1C4D"/>
    <w:rsid w:val="003D1D63"/>
    <w:rsid w:val="003D1DFD"/>
    <w:rsid w:val="003D1F49"/>
    <w:rsid w:val="003D1FE2"/>
    <w:rsid w:val="003D2007"/>
    <w:rsid w:val="003D2110"/>
    <w:rsid w:val="003D21A5"/>
    <w:rsid w:val="003D21F2"/>
    <w:rsid w:val="003D2228"/>
    <w:rsid w:val="003D226B"/>
    <w:rsid w:val="003D23E7"/>
    <w:rsid w:val="003D2597"/>
    <w:rsid w:val="003D291C"/>
    <w:rsid w:val="003D295D"/>
    <w:rsid w:val="003D296D"/>
    <w:rsid w:val="003D297B"/>
    <w:rsid w:val="003D299B"/>
    <w:rsid w:val="003D2A84"/>
    <w:rsid w:val="003D2B1E"/>
    <w:rsid w:val="003D2B67"/>
    <w:rsid w:val="003D2B78"/>
    <w:rsid w:val="003D2EF9"/>
    <w:rsid w:val="003D2F1F"/>
    <w:rsid w:val="003D2FE2"/>
    <w:rsid w:val="003D3040"/>
    <w:rsid w:val="003D3081"/>
    <w:rsid w:val="003D30CB"/>
    <w:rsid w:val="003D3170"/>
    <w:rsid w:val="003D328C"/>
    <w:rsid w:val="003D329F"/>
    <w:rsid w:val="003D3498"/>
    <w:rsid w:val="003D3662"/>
    <w:rsid w:val="003D36B9"/>
    <w:rsid w:val="003D38A1"/>
    <w:rsid w:val="003D393A"/>
    <w:rsid w:val="003D3A55"/>
    <w:rsid w:val="003D3B02"/>
    <w:rsid w:val="003D3B7A"/>
    <w:rsid w:val="003D3CFB"/>
    <w:rsid w:val="003D3D2B"/>
    <w:rsid w:val="003D3DF8"/>
    <w:rsid w:val="003D3EEF"/>
    <w:rsid w:val="003D4116"/>
    <w:rsid w:val="003D45C1"/>
    <w:rsid w:val="003D46A6"/>
    <w:rsid w:val="003D4750"/>
    <w:rsid w:val="003D476C"/>
    <w:rsid w:val="003D479B"/>
    <w:rsid w:val="003D4818"/>
    <w:rsid w:val="003D4917"/>
    <w:rsid w:val="003D4A3E"/>
    <w:rsid w:val="003D4AED"/>
    <w:rsid w:val="003D4B1F"/>
    <w:rsid w:val="003D4C75"/>
    <w:rsid w:val="003D4C96"/>
    <w:rsid w:val="003D4CB6"/>
    <w:rsid w:val="003D4D6C"/>
    <w:rsid w:val="003D4F3B"/>
    <w:rsid w:val="003D4F89"/>
    <w:rsid w:val="003D50D6"/>
    <w:rsid w:val="003D52BE"/>
    <w:rsid w:val="003D52E6"/>
    <w:rsid w:val="003D52F6"/>
    <w:rsid w:val="003D5315"/>
    <w:rsid w:val="003D53F3"/>
    <w:rsid w:val="003D5590"/>
    <w:rsid w:val="003D5780"/>
    <w:rsid w:val="003D57E9"/>
    <w:rsid w:val="003D5B32"/>
    <w:rsid w:val="003D5DF3"/>
    <w:rsid w:val="003D5FB5"/>
    <w:rsid w:val="003D60D4"/>
    <w:rsid w:val="003D62FA"/>
    <w:rsid w:val="003D6375"/>
    <w:rsid w:val="003D63AF"/>
    <w:rsid w:val="003D63B3"/>
    <w:rsid w:val="003D6404"/>
    <w:rsid w:val="003D6632"/>
    <w:rsid w:val="003D6692"/>
    <w:rsid w:val="003D6840"/>
    <w:rsid w:val="003D69C4"/>
    <w:rsid w:val="003D6AAC"/>
    <w:rsid w:val="003D6B3A"/>
    <w:rsid w:val="003D6D64"/>
    <w:rsid w:val="003D6D84"/>
    <w:rsid w:val="003D6D86"/>
    <w:rsid w:val="003D6DE1"/>
    <w:rsid w:val="003D6E11"/>
    <w:rsid w:val="003D6F19"/>
    <w:rsid w:val="003D708E"/>
    <w:rsid w:val="003D7096"/>
    <w:rsid w:val="003D723F"/>
    <w:rsid w:val="003D7256"/>
    <w:rsid w:val="003D7297"/>
    <w:rsid w:val="003D72C2"/>
    <w:rsid w:val="003D72EC"/>
    <w:rsid w:val="003D73FC"/>
    <w:rsid w:val="003D765F"/>
    <w:rsid w:val="003D767C"/>
    <w:rsid w:val="003D76CA"/>
    <w:rsid w:val="003D792E"/>
    <w:rsid w:val="003D7A47"/>
    <w:rsid w:val="003D7AAB"/>
    <w:rsid w:val="003D7BB4"/>
    <w:rsid w:val="003D7D2D"/>
    <w:rsid w:val="003D7D72"/>
    <w:rsid w:val="003D7E2D"/>
    <w:rsid w:val="003D7E3E"/>
    <w:rsid w:val="003D7E64"/>
    <w:rsid w:val="003D7FDA"/>
    <w:rsid w:val="003E002E"/>
    <w:rsid w:val="003E00D2"/>
    <w:rsid w:val="003E00DA"/>
    <w:rsid w:val="003E01ED"/>
    <w:rsid w:val="003E0231"/>
    <w:rsid w:val="003E041D"/>
    <w:rsid w:val="003E053E"/>
    <w:rsid w:val="003E05FC"/>
    <w:rsid w:val="003E064F"/>
    <w:rsid w:val="003E0698"/>
    <w:rsid w:val="003E06A6"/>
    <w:rsid w:val="003E0792"/>
    <w:rsid w:val="003E0845"/>
    <w:rsid w:val="003E089B"/>
    <w:rsid w:val="003E091E"/>
    <w:rsid w:val="003E0AB0"/>
    <w:rsid w:val="003E0B81"/>
    <w:rsid w:val="003E0D7F"/>
    <w:rsid w:val="003E0DE0"/>
    <w:rsid w:val="003E0F10"/>
    <w:rsid w:val="003E0FC1"/>
    <w:rsid w:val="003E0FF3"/>
    <w:rsid w:val="003E109E"/>
    <w:rsid w:val="003E10DC"/>
    <w:rsid w:val="003E1138"/>
    <w:rsid w:val="003E1189"/>
    <w:rsid w:val="003E1201"/>
    <w:rsid w:val="003E12B8"/>
    <w:rsid w:val="003E12E5"/>
    <w:rsid w:val="003E12FE"/>
    <w:rsid w:val="003E145A"/>
    <w:rsid w:val="003E1562"/>
    <w:rsid w:val="003E169C"/>
    <w:rsid w:val="003E1949"/>
    <w:rsid w:val="003E1A0A"/>
    <w:rsid w:val="003E1A98"/>
    <w:rsid w:val="003E1AEB"/>
    <w:rsid w:val="003E1B3E"/>
    <w:rsid w:val="003E1B63"/>
    <w:rsid w:val="003E1BD9"/>
    <w:rsid w:val="003E1DA7"/>
    <w:rsid w:val="003E1F02"/>
    <w:rsid w:val="003E1F61"/>
    <w:rsid w:val="003E1F64"/>
    <w:rsid w:val="003E20D9"/>
    <w:rsid w:val="003E212E"/>
    <w:rsid w:val="003E2164"/>
    <w:rsid w:val="003E21CF"/>
    <w:rsid w:val="003E2390"/>
    <w:rsid w:val="003E240A"/>
    <w:rsid w:val="003E2427"/>
    <w:rsid w:val="003E2571"/>
    <w:rsid w:val="003E2668"/>
    <w:rsid w:val="003E2828"/>
    <w:rsid w:val="003E2A1C"/>
    <w:rsid w:val="003E2AAE"/>
    <w:rsid w:val="003E2D0B"/>
    <w:rsid w:val="003E2F86"/>
    <w:rsid w:val="003E3023"/>
    <w:rsid w:val="003E303C"/>
    <w:rsid w:val="003E3054"/>
    <w:rsid w:val="003E30BD"/>
    <w:rsid w:val="003E3180"/>
    <w:rsid w:val="003E3207"/>
    <w:rsid w:val="003E33DD"/>
    <w:rsid w:val="003E34BA"/>
    <w:rsid w:val="003E3557"/>
    <w:rsid w:val="003E35CC"/>
    <w:rsid w:val="003E3603"/>
    <w:rsid w:val="003E3688"/>
    <w:rsid w:val="003E36EE"/>
    <w:rsid w:val="003E3727"/>
    <w:rsid w:val="003E3787"/>
    <w:rsid w:val="003E379E"/>
    <w:rsid w:val="003E3835"/>
    <w:rsid w:val="003E38D3"/>
    <w:rsid w:val="003E39AC"/>
    <w:rsid w:val="003E3CC2"/>
    <w:rsid w:val="003E3D10"/>
    <w:rsid w:val="003E3D8B"/>
    <w:rsid w:val="003E3E67"/>
    <w:rsid w:val="003E3F40"/>
    <w:rsid w:val="003E40B2"/>
    <w:rsid w:val="003E4149"/>
    <w:rsid w:val="003E4155"/>
    <w:rsid w:val="003E4197"/>
    <w:rsid w:val="003E41BD"/>
    <w:rsid w:val="003E41E0"/>
    <w:rsid w:val="003E4233"/>
    <w:rsid w:val="003E4253"/>
    <w:rsid w:val="003E4284"/>
    <w:rsid w:val="003E440B"/>
    <w:rsid w:val="003E4470"/>
    <w:rsid w:val="003E4642"/>
    <w:rsid w:val="003E465B"/>
    <w:rsid w:val="003E486E"/>
    <w:rsid w:val="003E4922"/>
    <w:rsid w:val="003E49B5"/>
    <w:rsid w:val="003E4A49"/>
    <w:rsid w:val="003E4AAF"/>
    <w:rsid w:val="003E4AC1"/>
    <w:rsid w:val="003E4ADF"/>
    <w:rsid w:val="003E4C31"/>
    <w:rsid w:val="003E4F3B"/>
    <w:rsid w:val="003E4FE4"/>
    <w:rsid w:val="003E50A6"/>
    <w:rsid w:val="003E50F0"/>
    <w:rsid w:val="003E5146"/>
    <w:rsid w:val="003E5147"/>
    <w:rsid w:val="003E5321"/>
    <w:rsid w:val="003E53EE"/>
    <w:rsid w:val="003E553A"/>
    <w:rsid w:val="003E55D7"/>
    <w:rsid w:val="003E55E3"/>
    <w:rsid w:val="003E5608"/>
    <w:rsid w:val="003E561D"/>
    <w:rsid w:val="003E561F"/>
    <w:rsid w:val="003E5717"/>
    <w:rsid w:val="003E581B"/>
    <w:rsid w:val="003E5865"/>
    <w:rsid w:val="003E5938"/>
    <w:rsid w:val="003E5A6D"/>
    <w:rsid w:val="003E5B38"/>
    <w:rsid w:val="003E5CF3"/>
    <w:rsid w:val="003E5DFE"/>
    <w:rsid w:val="003E5E97"/>
    <w:rsid w:val="003E5F3D"/>
    <w:rsid w:val="003E5F83"/>
    <w:rsid w:val="003E5FC0"/>
    <w:rsid w:val="003E6027"/>
    <w:rsid w:val="003E607A"/>
    <w:rsid w:val="003E60FD"/>
    <w:rsid w:val="003E6126"/>
    <w:rsid w:val="003E623B"/>
    <w:rsid w:val="003E626F"/>
    <w:rsid w:val="003E62F8"/>
    <w:rsid w:val="003E63FC"/>
    <w:rsid w:val="003E6407"/>
    <w:rsid w:val="003E643C"/>
    <w:rsid w:val="003E6552"/>
    <w:rsid w:val="003E6578"/>
    <w:rsid w:val="003E67C6"/>
    <w:rsid w:val="003E67F9"/>
    <w:rsid w:val="003E696B"/>
    <w:rsid w:val="003E6A0C"/>
    <w:rsid w:val="003E6B34"/>
    <w:rsid w:val="003E6B61"/>
    <w:rsid w:val="003E6C31"/>
    <w:rsid w:val="003E6DC9"/>
    <w:rsid w:val="003E6DDC"/>
    <w:rsid w:val="003E6F03"/>
    <w:rsid w:val="003E6F73"/>
    <w:rsid w:val="003E70DB"/>
    <w:rsid w:val="003E7214"/>
    <w:rsid w:val="003E7293"/>
    <w:rsid w:val="003E732B"/>
    <w:rsid w:val="003E7366"/>
    <w:rsid w:val="003E7551"/>
    <w:rsid w:val="003E766D"/>
    <w:rsid w:val="003E77CA"/>
    <w:rsid w:val="003E7825"/>
    <w:rsid w:val="003E7923"/>
    <w:rsid w:val="003E796C"/>
    <w:rsid w:val="003E7A0B"/>
    <w:rsid w:val="003E7BD5"/>
    <w:rsid w:val="003E7D5F"/>
    <w:rsid w:val="003E7F31"/>
    <w:rsid w:val="003F0050"/>
    <w:rsid w:val="003F005E"/>
    <w:rsid w:val="003F0211"/>
    <w:rsid w:val="003F02FF"/>
    <w:rsid w:val="003F03D9"/>
    <w:rsid w:val="003F0505"/>
    <w:rsid w:val="003F0525"/>
    <w:rsid w:val="003F0549"/>
    <w:rsid w:val="003F05E4"/>
    <w:rsid w:val="003F0658"/>
    <w:rsid w:val="003F0682"/>
    <w:rsid w:val="003F0988"/>
    <w:rsid w:val="003F0AE1"/>
    <w:rsid w:val="003F0AFC"/>
    <w:rsid w:val="003F0B4F"/>
    <w:rsid w:val="003F0B7F"/>
    <w:rsid w:val="003F0CBC"/>
    <w:rsid w:val="003F0CC3"/>
    <w:rsid w:val="003F0E2C"/>
    <w:rsid w:val="003F0E34"/>
    <w:rsid w:val="003F0E5B"/>
    <w:rsid w:val="003F0ED3"/>
    <w:rsid w:val="003F0EED"/>
    <w:rsid w:val="003F12E3"/>
    <w:rsid w:val="003F13EF"/>
    <w:rsid w:val="003F1437"/>
    <w:rsid w:val="003F1455"/>
    <w:rsid w:val="003F152F"/>
    <w:rsid w:val="003F1586"/>
    <w:rsid w:val="003F1664"/>
    <w:rsid w:val="003F16F4"/>
    <w:rsid w:val="003F170D"/>
    <w:rsid w:val="003F1834"/>
    <w:rsid w:val="003F1837"/>
    <w:rsid w:val="003F192A"/>
    <w:rsid w:val="003F1A5F"/>
    <w:rsid w:val="003F1AB7"/>
    <w:rsid w:val="003F1C08"/>
    <w:rsid w:val="003F1C13"/>
    <w:rsid w:val="003F1C49"/>
    <w:rsid w:val="003F1D0C"/>
    <w:rsid w:val="003F1D53"/>
    <w:rsid w:val="003F1E0A"/>
    <w:rsid w:val="003F1E59"/>
    <w:rsid w:val="003F1EFA"/>
    <w:rsid w:val="003F1FBE"/>
    <w:rsid w:val="003F1FEB"/>
    <w:rsid w:val="003F2022"/>
    <w:rsid w:val="003F210B"/>
    <w:rsid w:val="003F218E"/>
    <w:rsid w:val="003F23B7"/>
    <w:rsid w:val="003F24BC"/>
    <w:rsid w:val="003F24F5"/>
    <w:rsid w:val="003F25C9"/>
    <w:rsid w:val="003F25CF"/>
    <w:rsid w:val="003F2646"/>
    <w:rsid w:val="003F2688"/>
    <w:rsid w:val="003F26B2"/>
    <w:rsid w:val="003F27D2"/>
    <w:rsid w:val="003F289E"/>
    <w:rsid w:val="003F2966"/>
    <w:rsid w:val="003F2A23"/>
    <w:rsid w:val="003F2AE9"/>
    <w:rsid w:val="003F2AFF"/>
    <w:rsid w:val="003F2B0D"/>
    <w:rsid w:val="003F2C37"/>
    <w:rsid w:val="003F2C90"/>
    <w:rsid w:val="003F2CF0"/>
    <w:rsid w:val="003F2D64"/>
    <w:rsid w:val="003F2EBB"/>
    <w:rsid w:val="003F2F0D"/>
    <w:rsid w:val="003F3000"/>
    <w:rsid w:val="003F3063"/>
    <w:rsid w:val="003F30A4"/>
    <w:rsid w:val="003F312A"/>
    <w:rsid w:val="003F3135"/>
    <w:rsid w:val="003F3183"/>
    <w:rsid w:val="003F3415"/>
    <w:rsid w:val="003F343D"/>
    <w:rsid w:val="003F35E8"/>
    <w:rsid w:val="003F37C0"/>
    <w:rsid w:val="003F3A71"/>
    <w:rsid w:val="003F3A83"/>
    <w:rsid w:val="003F3A87"/>
    <w:rsid w:val="003F3AE2"/>
    <w:rsid w:val="003F3B2A"/>
    <w:rsid w:val="003F3B90"/>
    <w:rsid w:val="003F3C30"/>
    <w:rsid w:val="003F3CD3"/>
    <w:rsid w:val="003F3DBD"/>
    <w:rsid w:val="003F3FE5"/>
    <w:rsid w:val="003F3FFE"/>
    <w:rsid w:val="003F41F3"/>
    <w:rsid w:val="003F426A"/>
    <w:rsid w:val="003F42FC"/>
    <w:rsid w:val="003F433F"/>
    <w:rsid w:val="003F436C"/>
    <w:rsid w:val="003F4371"/>
    <w:rsid w:val="003F437C"/>
    <w:rsid w:val="003F43C2"/>
    <w:rsid w:val="003F4410"/>
    <w:rsid w:val="003F4461"/>
    <w:rsid w:val="003F451F"/>
    <w:rsid w:val="003F45D8"/>
    <w:rsid w:val="003F45FF"/>
    <w:rsid w:val="003F4615"/>
    <w:rsid w:val="003F46D6"/>
    <w:rsid w:val="003F46E0"/>
    <w:rsid w:val="003F4753"/>
    <w:rsid w:val="003F4964"/>
    <w:rsid w:val="003F4A08"/>
    <w:rsid w:val="003F4A31"/>
    <w:rsid w:val="003F4B1D"/>
    <w:rsid w:val="003F4D1C"/>
    <w:rsid w:val="003F4EC6"/>
    <w:rsid w:val="003F4F5C"/>
    <w:rsid w:val="003F5013"/>
    <w:rsid w:val="003F505B"/>
    <w:rsid w:val="003F510C"/>
    <w:rsid w:val="003F511C"/>
    <w:rsid w:val="003F54BB"/>
    <w:rsid w:val="003F559E"/>
    <w:rsid w:val="003F56B4"/>
    <w:rsid w:val="003F57BA"/>
    <w:rsid w:val="003F57FF"/>
    <w:rsid w:val="003F58D3"/>
    <w:rsid w:val="003F5985"/>
    <w:rsid w:val="003F5BBC"/>
    <w:rsid w:val="003F5C60"/>
    <w:rsid w:val="003F5E0A"/>
    <w:rsid w:val="003F5E53"/>
    <w:rsid w:val="003F5E7F"/>
    <w:rsid w:val="003F5ECF"/>
    <w:rsid w:val="003F5EEF"/>
    <w:rsid w:val="003F5F7F"/>
    <w:rsid w:val="003F5FB1"/>
    <w:rsid w:val="003F6002"/>
    <w:rsid w:val="003F60B6"/>
    <w:rsid w:val="003F6146"/>
    <w:rsid w:val="003F6225"/>
    <w:rsid w:val="003F6338"/>
    <w:rsid w:val="003F6366"/>
    <w:rsid w:val="003F6540"/>
    <w:rsid w:val="003F6552"/>
    <w:rsid w:val="003F6692"/>
    <w:rsid w:val="003F66E8"/>
    <w:rsid w:val="003F6794"/>
    <w:rsid w:val="003F679B"/>
    <w:rsid w:val="003F686E"/>
    <w:rsid w:val="003F68D6"/>
    <w:rsid w:val="003F69E4"/>
    <w:rsid w:val="003F6BB7"/>
    <w:rsid w:val="003F6C53"/>
    <w:rsid w:val="003F6F91"/>
    <w:rsid w:val="003F7077"/>
    <w:rsid w:val="003F7150"/>
    <w:rsid w:val="003F7209"/>
    <w:rsid w:val="003F74CF"/>
    <w:rsid w:val="003F762E"/>
    <w:rsid w:val="003F7722"/>
    <w:rsid w:val="003F77C1"/>
    <w:rsid w:val="003F7948"/>
    <w:rsid w:val="003F79A8"/>
    <w:rsid w:val="003F7A0D"/>
    <w:rsid w:val="003F7A11"/>
    <w:rsid w:val="003F7AD7"/>
    <w:rsid w:val="003F7B79"/>
    <w:rsid w:val="003F7CB8"/>
    <w:rsid w:val="003F7D04"/>
    <w:rsid w:val="003F7E82"/>
    <w:rsid w:val="003F7F36"/>
    <w:rsid w:val="003F7F85"/>
    <w:rsid w:val="003F7FBF"/>
    <w:rsid w:val="00400143"/>
    <w:rsid w:val="00400202"/>
    <w:rsid w:val="0040036D"/>
    <w:rsid w:val="004003C5"/>
    <w:rsid w:val="004003E3"/>
    <w:rsid w:val="00400468"/>
    <w:rsid w:val="0040053A"/>
    <w:rsid w:val="0040067C"/>
    <w:rsid w:val="0040074A"/>
    <w:rsid w:val="004008B7"/>
    <w:rsid w:val="004008D3"/>
    <w:rsid w:val="00400959"/>
    <w:rsid w:val="004009E9"/>
    <w:rsid w:val="004009EB"/>
    <w:rsid w:val="00400BB1"/>
    <w:rsid w:val="00400C2D"/>
    <w:rsid w:val="00400C37"/>
    <w:rsid w:val="00400C5A"/>
    <w:rsid w:val="00400D0C"/>
    <w:rsid w:val="00400D43"/>
    <w:rsid w:val="00400FA5"/>
    <w:rsid w:val="00401121"/>
    <w:rsid w:val="004011D2"/>
    <w:rsid w:val="004011E0"/>
    <w:rsid w:val="00401234"/>
    <w:rsid w:val="004014F0"/>
    <w:rsid w:val="0040154D"/>
    <w:rsid w:val="004016F6"/>
    <w:rsid w:val="00401795"/>
    <w:rsid w:val="00401997"/>
    <w:rsid w:val="00401B27"/>
    <w:rsid w:val="00401BBA"/>
    <w:rsid w:val="00401BF0"/>
    <w:rsid w:val="00401CD4"/>
    <w:rsid w:val="00401CEF"/>
    <w:rsid w:val="00401D82"/>
    <w:rsid w:val="00401EE5"/>
    <w:rsid w:val="00401F84"/>
    <w:rsid w:val="0040205F"/>
    <w:rsid w:val="004020B2"/>
    <w:rsid w:val="004020CD"/>
    <w:rsid w:val="00402120"/>
    <w:rsid w:val="00402193"/>
    <w:rsid w:val="0040220F"/>
    <w:rsid w:val="004022C5"/>
    <w:rsid w:val="004024AE"/>
    <w:rsid w:val="0040256D"/>
    <w:rsid w:val="0040267C"/>
    <w:rsid w:val="00402796"/>
    <w:rsid w:val="00402812"/>
    <w:rsid w:val="004028A3"/>
    <w:rsid w:val="00402917"/>
    <w:rsid w:val="00402944"/>
    <w:rsid w:val="00402971"/>
    <w:rsid w:val="00402A8F"/>
    <w:rsid w:val="00402B13"/>
    <w:rsid w:val="00402B8F"/>
    <w:rsid w:val="00402BCC"/>
    <w:rsid w:val="00402BDC"/>
    <w:rsid w:val="00402DEC"/>
    <w:rsid w:val="00402E6E"/>
    <w:rsid w:val="00402F40"/>
    <w:rsid w:val="00402FFC"/>
    <w:rsid w:val="004030DC"/>
    <w:rsid w:val="00403163"/>
    <w:rsid w:val="004031A0"/>
    <w:rsid w:val="00403242"/>
    <w:rsid w:val="00403301"/>
    <w:rsid w:val="00403351"/>
    <w:rsid w:val="00403604"/>
    <w:rsid w:val="0040367C"/>
    <w:rsid w:val="0040370F"/>
    <w:rsid w:val="00403B05"/>
    <w:rsid w:val="00403B7E"/>
    <w:rsid w:val="00403D20"/>
    <w:rsid w:val="00403D28"/>
    <w:rsid w:val="00403D4A"/>
    <w:rsid w:val="00403DFC"/>
    <w:rsid w:val="00403DFD"/>
    <w:rsid w:val="00403E51"/>
    <w:rsid w:val="00403EBF"/>
    <w:rsid w:val="00403F86"/>
    <w:rsid w:val="00403FAE"/>
    <w:rsid w:val="00404087"/>
    <w:rsid w:val="004041A7"/>
    <w:rsid w:val="004041FE"/>
    <w:rsid w:val="0040429F"/>
    <w:rsid w:val="00404302"/>
    <w:rsid w:val="0040434A"/>
    <w:rsid w:val="00404401"/>
    <w:rsid w:val="0040440A"/>
    <w:rsid w:val="00404548"/>
    <w:rsid w:val="00404750"/>
    <w:rsid w:val="00404791"/>
    <w:rsid w:val="004047B3"/>
    <w:rsid w:val="004047FC"/>
    <w:rsid w:val="0040486C"/>
    <w:rsid w:val="004049F4"/>
    <w:rsid w:val="00404BC1"/>
    <w:rsid w:val="00404C47"/>
    <w:rsid w:val="00404D21"/>
    <w:rsid w:val="00405060"/>
    <w:rsid w:val="0040506C"/>
    <w:rsid w:val="0040526B"/>
    <w:rsid w:val="00405297"/>
    <w:rsid w:val="00405382"/>
    <w:rsid w:val="004054D3"/>
    <w:rsid w:val="004054E1"/>
    <w:rsid w:val="004054F9"/>
    <w:rsid w:val="00405767"/>
    <w:rsid w:val="00405917"/>
    <w:rsid w:val="00405ADF"/>
    <w:rsid w:val="00405BB7"/>
    <w:rsid w:val="00405BEA"/>
    <w:rsid w:val="00405D39"/>
    <w:rsid w:val="00405D7F"/>
    <w:rsid w:val="00405DAE"/>
    <w:rsid w:val="00405DFC"/>
    <w:rsid w:val="00405E27"/>
    <w:rsid w:val="00405E6A"/>
    <w:rsid w:val="00405FD7"/>
    <w:rsid w:val="0040602E"/>
    <w:rsid w:val="00406053"/>
    <w:rsid w:val="004060D1"/>
    <w:rsid w:val="00406394"/>
    <w:rsid w:val="004063C2"/>
    <w:rsid w:val="00406486"/>
    <w:rsid w:val="00406555"/>
    <w:rsid w:val="0040659F"/>
    <w:rsid w:val="004065B2"/>
    <w:rsid w:val="00406707"/>
    <w:rsid w:val="0040670E"/>
    <w:rsid w:val="0040670F"/>
    <w:rsid w:val="00406824"/>
    <w:rsid w:val="0040688F"/>
    <w:rsid w:val="00406A80"/>
    <w:rsid w:val="00406A85"/>
    <w:rsid w:val="00406AC2"/>
    <w:rsid w:val="00406CF6"/>
    <w:rsid w:val="00406F79"/>
    <w:rsid w:val="00406FC8"/>
    <w:rsid w:val="0040728C"/>
    <w:rsid w:val="004072C6"/>
    <w:rsid w:val="004072DE"/>
    <w:rsid w:val="0040734E"/>
    <w:rsid w:val="00407373"/>
    <w:rsid w:val="00407390"/>
    <w:rsid w:val="004073A9"/>
    <w:rsid w:val="00407551"/>
    <w:rsid w:val="0040756A"/>
    <w:rsid w:val="004075D5"/>
    <w:rsid w:val="004075ED"/>
    <w:rsid w:val="004076E5"/>
    <w:rsid w:val="0040779E"/>
    <w:rsid w:val="004078AA"/>
    <w:rsid w:val="0040796F"/>
    <w:rsid w:val="00407A76"/>
    <w:rsid w:val="00407BE5"/>
    <w:rsid w:val="00407C1E"/>
    <w:rsid w:val="00407C65"/>
    <w:rsid w:val="00407C7B"/>
    <w:rsid w:val="00407CE2"/>
    <w:rsid w:val="00407DFB"/>
    <w:rsid w:val="00407E00"/>
    <w:rsid w:val="00407F6D"/>
    <w:rsid w:val="00407F8A"/>
    <w:rsid w:val="00407FE8"/>
    <w:rsid w:val="0041014E"/>
    <w:rsid w:val="00410174"/>
    <w:rsid w:val="0041022C"/>
    <w:rsid w:val="00410257"/>
    <w:rsid w:val="004102C0"/>
    <w:rsid w:val="00410448"/>
    <w:rsid w:val="004105B8"/>
    <w:rsid w:val="0041068D"/>
    <w:rsid w:val="0041080E"/>
    <w:rsid w:val="004108C2"/>
    <w:rsid w:val="00410D04"/>
    <w:rsid w:val="00410D5F"/>
    <w:rsid w:val="00410FD8"/>
    <w:rsid w:val="004110CC"/>
    <w:rsid w:val="00411246"/>
    <w:rsid w:val="0041128C"/>
    <w:rsid w:val="004112E6"/>
    <w:rsid w:val="00411304"/>
    <w:rsid w:val="0041132A"/>
    <w:rsid w:val="0041134D"/>
    <w:rsid w:val="0041137B"/>
    <w:rsid w:val="004114AA"/>
    <w:rsid w:val="004114C8"/>
    <w:rsid w:val="004114D1"/>
    <w:rsid w:val="004115A8"/>
    <w:rsid w:val="0041174D"/>
    <w:rsid w:val="0041181F"/>
    <w:rsid w:val="004118B9"/>
    <w:rsid w:val="00411B70"/>
    <w:rsid w:val="00411C57"/>
    <w:rsid w:val="00411E36"/>
    <w:rsid w:val="00411E76"/>
    <w:rsid w:val="00411F38"/>
    <w:rsid w:val="00411F5F"/>
    <w:rsid w:val="00411FC0"/>
    <w:rsid w:val="00412022"/>
    <w:rsid w:val="0041202B"/>
    <w:rsid w:val="0041205C"/>
    <w:rsid w:val="00412128"/>
    <w:rsid w:val="0041228E"/>
    <w:rsid w:val="004122A5"/>
    <w:rsid w:val="004122CC"/>
    <w:rsid w:val="0041250F"/>
    <w:rsid w:val="00412520"/>
    <w:rsid w:val="00412542"/>
    <w:rsid w:val="00412724"/>
    <w:rsid w:val="00412872"/>
    <w:rsid w:val="0041288A"/>
    <w:rsid w:val="004128F8"/>
    <w:rsid w:val="00412B6C"/>
    <w:rsid w:val="00412BCA"/>
    <w:rsid w:val="00412C07"/>
    <w:rsid w:val="00412CB4"/>
    <w:rsid w:val="00412D26"/>
    <w:rsid w:val="00412D67"/>
    <w:rsid w:val="00412D6E"/>
    <w:rsid w:val="00412D90"/>
    <w:rsid w:val="00412E5B"/>
    <w:rsid w:val="00412F45"/>
    <w:rsid w:val="00412F6A"/>
    <w:rsid w:val="0041307B"/>
    <w:rsid w:val="0041311F"/>
    <w:rsid w:val="004131EC"/>
    <w:rsid w:val="0041322D"/>
    <w:rsid w:val="004132BE"/>
    <w:rsid w:val="00413553"/>
    <w:rsid w:val="00413560"/>
    <w:rsid w:val="004135AA"/>
    <w:rsid w:val="00413778"/>
    <w:rsid w:val="004137B2"/>
    <w:rsid w:val="00413853"/>
    <w:rsid w:val="00413976"/>
    <w:rsid w:val="004139CA"/>
    <w:rsid w:val="00413A8D"/>
    <w:rsid w:val="00413ACA"/>
    <w:rsid w:val="00413ADD"/>
    <w:rsid w:val="00413CA9"/>
    <w:rsid w:val="00413E61"/>
    <w:rsid w:val="00413EE3"/>
    <w:rsid w:val="00413F54"/>
    <w:rsid w:val="00413F9B"/>
    <w:rsid w:val="00413FAF"/>
    <w:rsid w:val="00414021"/>
    <w:rsid w:val="00414330"/>
    <w:rsid w:val="0041441A"/>
    <w:rsid w:val="0041459F"/>
    <w:rsid w:val="004145F1"/>
    <w:rsid w:val="00414609"/>
    <w:rsid w:val="00414716"/>
    <w:rsid w:val="0041485F"/>
    <w:rsid w:val="004148D8"/>
    <w:rsid w:val="00414950"/>
    <w:rsid w:val="00414A3C"/>
    <w:rsid w:val="00414A41"/>
    <w:rsid w:val="00414AA1"/>
    <w:rsid w:val="00414C81"/>
    <w:rsid w:val="00414E03"/>
    <w:rsid w:val="00414EA3"/>
    <w:rsid w:val="00414F1D"/>
    <w:rsid w:val="00414F3D"/>
    <w:rsid w:val="0041517A"/>
    <w:rsid w:val="004151BB"/>
    <w:rsid w:val="00415519"/>
    <w:rsid w:val="00415533"/>
    <w:rsid w:val="0041560B"/>
    <w:rsid w:val="00415991"/>
    <w:rsid w:val="00415A46"/>
    <w:rsid w:val="00415AD8"/>
    <w:rsid w:val="00415B8E"/>
    <w:rsid w:val="00415BAD"/>
    <w:rsid w:val="00415BBA"/>
    <w:rsid w:val="00415BDA"/>
    <w:rsid w:val="00415BFB"/>
    <w:rsid w:val="00415C8E"/>
    <w:rsid w:val="00415F3E"/>
    <w:rsid w:val="00415F87"/>
    <w:rsid w:val="004160CA"/>
    <w:rsid w:val="00416146"/>
    <w:rsid w:val="004161D4"/>
    <w:rsid w:val="00416229"/>
    <w:rsid w:val="00416339"/>
    <w:rsid w:val="0041642A"/>
    <w:rsid w:val="00416487"/>
    <w:rsid w:val="0041650D"/>
    <w:rsid w:val="00416577"/>
    <w:rsid w:val="00416693"/>
    <w:rsid w:val="004166BC"/>
    <w:rsid w:val="004166FA"/>
    <w:rsid w:val="004167B4"/>
    <w:rsid w:val="00416946"/>
    <w:rsid w:val="00416952"/>
    <w:rsid w:val="004169EE"/>
    <w:rsid w:val="00416AA1"/>
    <w:rsid w:val="00416C21"/>
    <w:rsid w:val="00416CC9"/>
    <w:rsid w:val="00416CE8"/>
    <w:rsid w:val="00416DFD"/>
    <w:rsid w:val="00416E2F"/>
    <w:rsid w:val="00416E57"/>
    <w:rsid w:val="00416E6F"/>
    <w:rsid w:val="00416EB2"/>
    <w:rsid w:val="00416EB7"/>
    <w:rsid w:val="00416EC2"/>
    <w:rsid w:val="00416EC3"/>
    <w:rsid w:val="00416F3B"/>
    <w:rsid w:val="00416FA9"/>
    <w:rsid w:val="00417019"/>
    <w:rsid w:val="00417041"/>
    <w:rsid w:val="004170C3"/>
    <w:rsid w:val="004170FE"/>
    <w:rsid w:val="00417120"/>
    <w:rsid w:val="00417141"/>
    <w:rsid w:val="004171E1"/>
    <w:rsid w:val="004173BD"/>
    <w:rsid w:val="00417403"/>
    <w:rsid w:val="0041759F"/>
    <w:rsid w:val="00417717"/>
    <w:rsid w:val="00417834"/>
    <w:rsid w:val="0041787E"/>
    <w:rsid w:val="00417892"/>
    <w:rsid w:val="00417A4C"/>
    <w:rsid w:val="00417ACE"/>
    <w:rsid w:val="00417BE8"/>
    <w:rsid w:val="00417C3B"/>
    <w:rsid w:val="00417D1B"/>
    <w:rsid w:val="00417E7C"/>
    <w:rsid w:val="00417F2D"/>
    <w:rsid w:val="00417F43"/>
    <w:rsid w:val="00417FE5"/>
    <w:rsid w:val="00420065"/>
    <w:rsid w:val="0042022C"/>
    <w:rsid w:val="004203AE"/>
    <w:rsid w:val="004203DB"/>
    <w:rsid w:val="004205DC"/>
    <w:rsid w:val="00420788"/>
    <w:rsid w:val="00420815"/>
    <w:rsid w:val="00420834"/>
    <w:rsid w:val="0042084A"/>
    <w:rsid w:val="00420858"/>
    <w:rsid w:val="00420989"/>
    <w:rsid w:val="00420A3F"/>
    <w:rsid w:val="00420A6A"/>
    <w:rsid w:val="00420ADA"/>
    <w:rsid w:val="00420AEF"/>
    <w:rsid w:val="00420B59"/>
    <w:rsid w:val="00420B77"/>
    <w:rsid w:val="00420BEB"/>
    <w:rsid w:val="00420C1E"/>
    <w:rsid w:val="00420C8D"/>
    <w:rsid w:val="00420CDC"/>
    <w:rsid w:val="00420EFD"/>
    <w:rsid w:val="00420F03"/>
    <w:rsid w:val="00420F38"/>
    <w:rsid w:val="00420F70"/>
    <w:rsid w:val="00420FDF"/>
    <w:rsid w:val="00421020"/>
    <w:rsid w:val="00421117"/>
    <w:rsid w:val="0042119A"/>
    <w:rsid w:val="004211F1"/>
    <w:rsid w:val="00421316"/>
    <w:rsid w:val="0042171A"/>
    <w:rsid w:val="0042180A"/>
    <w:rsid w:val="004218A0"/>
    <w:rsid w:val="00421CC9"/>
    <w:rsid w:val="00421CD2"/>
    <w:rsid w:val="00421E5F"/>
    <w:rsid w:val="00422022"/>
    <w:rsid w:val="00422100"/>
    <w:rsid w:val="004222B0"/>
    <w:rsid w:val="0042236E"/>
    <w:rsid w:val="004224C4"/>
    <w:rsid w:val="004224D7"/>
    <w:rsid w:val="00422535"/>
    <w:rsid w:val="004225A8"/>
    <w:rsid w:val="00422698"/>
    <w:rsid w:val="00422A89"/>
    <w:rsid w:val="00422D58"/>
    <w:rsid w:val="00423037"/>
    <w:rsid w:val="0042314D"/>
    <w:rsid w:val="0042329F"/>
    <w:rsid w:val="00423463"/>
    <w:rsid w:val="004234A6"/>
    <w:rsid w:val="00423567"/>
    <w:rsid w:val="00423573"/>
    <w:rsid w:val="00423625"/>
    <w:rsid w:val="00423757"/>
    <w:rsid w:val="0042377D"/>
    <w:rsid w:val="004237D9"/>
    <w:rsid w:val="00423882"/>
    <w:rsid w:val="004238C3"/>
    <w:rsid w:val="0042398D"/>
    <w:rsid w:val="00423B16"/>
    <w:rsid w:val="00423BB6"/>
    <w:rsid w:val="00423BF2"/>
    <w:rsid w:val="00423C37"/>
    <w:rsid w:val="00423DC4"/>
    <w:rsid w:val="00423DD6"/>
    <w:rsid w:val="00423E99"/>
    <w:rsid w:val="00423F7C"/>
    <w:rsid w:val="00424036"/>
    <w:rsid w:val="0042413A"/>
    <w:rsid w:val="004242D0"/>
    <w:rsid w:val="004242E6"/>
    <w:rsid w:val="00424359"/>
    <w:rsid w:val="004243A8"/>
    <w:rsid w:val="004243CB"/>
    <w:rsid w:val="004244B8"/>
    <w:rsid w:val="00424591"/>
    <w:rsid w:val="004245E2"/>
    <w:rsid w:val="00424662"/>
    <w:rsid w:val="004246E4"/>
    <w:rsid w:val="00424767"/>
    <w:rsid w:val="0042486A"/>
    <w:rsid w:val="00424881"/>
    <w:rsid w:val="00424885"/>
    <w:rsid w:val="0042488F"/>
    <w:rsid w:val="004248E1"/>
    <w:rsid w:val="00424905"/>
    <w:rsid w:val="00424B40"/>
    <w:rsid w:val="00424B49"/>
    <w:rsid w:val="0042505C"/>
    <w:rsid w:val="004250FF"/>
    <w:rsid w:val="0042515A"/>
    <w:rsid w:val="00425255"/>
    <w:rsid w:val="004252C3"/>
    <w:rsid w:val="00425368"/>
    <w:rsid w:val="00425369"/>
    <w:rsid w:val="00425500"/>
    <w:rsid w:val="0042582D"/>
    <w:rsid w:val="00425AA1"/>
    <w:rsid w:val="00425B0F"/>
    <w:rsid w:val="00425C02"/>
    <w:rsid w:val="00425C1A"/>
    <w:rsid w:val="00425C9A"/>
    <w:rsid w:val="00425D6F"/>
    <w:rsid w:val="00426134"/>
    <w:rsid w:val="0042631E"/>
    <w:rsid w:val="00426427"/>
    <w:rsid w:val="00426464"/>
    <w:rsid w:val="004264C6"/>
    <w:rsid w:val="004265D2"/>
    <w:rsid w:val="00426972"/>
    <w:rsid w:val="0042699D"/>
    <w:rsid w:val="00426A0B"/>
    <w:rsid w:val="00426A37"/>
    <w:rsid w:val="00426A76"/>
    <w:rsid w:val="00426B38"/>
    <w:rsid w:val="00426B5C"/>
    <w:rsid w:val="00426B9D"/>
    <w:rsid w:val="00426D86"/>
    <w:rsid w:val="00426DDA"/>
    <w:rsid w:val="00426DF0"/>
    <w:rsid w:val="00426F96"/>
    <w:rsid w:val="00426FAB"/>
    <w:rsid w:val="004270F7"/>
    <w:rsid w:val="00427296"/>
    <w:rsid w:val="004273B3"/>
    <w:rsid w:val="004274BD"/>
    <w:rsid w:val="00427566"/>
    <w:rsid w:val="004277A7"/>
    <w:rsid w:val="0042799F"/>
    <w:rsid w:val="004279AC"/>
    <w:rsid w:val="00427A90"/>
    <w:rsid w:val="00427C4F"/>
    <w:rsid w:val="00427C85"/>
    <w:rsid w:val="00427D43"/>
    <w:rsid w:val="00427DFB"/>
    <w:rsid w:val="00427E18"/>
    <w:rsid w:val="00427E32"/>
    <w:rsid w:val="00427F00"/>
    <w:rsid w:val="0043009E"/>
    <w:rsid w:val="00430122"/>
    <w:rsid w:val="00430174"/>
    <w:rsid w:val="004301A2"/>
    <w:rsid w:val="004301C6"/>
    <w:rsid w:val="004301DC"/>
    <w:rsid w:val="0043023C"/>
    <w:rsid w:val="00430260"/>
    <w:rsid w:val="00430280"/>
    <w:rsid w:val="004302CA"/>
    <w:rsid w:val="004303C7"/>
    <w:rsid w:val="00430431"/>
    <w:rsid w:val="0043058C"/>
    <w:rsid w:val="00430663"/>
    <w:rsid w:val="00430703"/>
    <w:rsid w:val="004307BE"/>
    <w:rsid w:val="004307F9"/>
    <w:rsid w:val="004307FD"/>
    <w:rsid w:val="00430864"/>
    <w:rsid w:val="00430899"/>
    <w:rsid w:val="004308B0"/>
    <w:rsid w:val="004309A4"/>
    <w:rsid w:val="004309EA"/>
    <w:rsid w:val="00430ABB"/>
    <w:rsid w:val="00430C41"/>
    <w:rsid w:val="00430DAC"/>
    <w:rsid w:val="00430DFD"/>
    <w:rsid w:val="00430EDF"/>
    <w:rsid w:val="0043107D"/>
    <w:rsid w:val="00431082"/>
    <w:rsid w:val="00431310"/>
    <w:rsid w:val="00431428"/>
    <w:rsid w:val="004314DC"/>
    <w:rsid w:val="00431538"/>
    <w:rsid w:val="0043165A"/>
    <w:rsid w:val="00431682"/>
    <w:rsid w:val="00431717"/>
    <w:rsid w:val="004317E7"/>
    <w:rsid w:val="00431919"/>
    <w:rsid w:val="004319AD"/>
    <w:rsid w:val="00431A0D"/>
    <w:rsid w:val="00431A6F"/>
    <w:rsid w:val="00431DCF"/>
    <w:rsid w:val="00432016"/>
    <w:rsid w:val="00432066"/>
    <w:rsid w:val="004320E7"/>
    <w:rsid w:val="00432155"/>
    <w:rsid w:val="00432259"/>
    <w:rsid w:val="00432392"/>
    <w:rsid w:val="004323DF"/>
    <w:rsid w:val="0043248A"/>
    <w:rsid w:val="00432568"/>
    <w:rsid w:val="004325BE"/>
    <w:rsid w:val="0043260C"/>
    <w:rsid w:val="00432696"/>
    <w:rsid w:val="00432901"/>
    <w:rsid w:val="00432983"/>
    <w:rsid w:val="004329AE"/>
    <w:rsid w:val="004329F4"/>
    <w:rsid w:val="00432E6A"/>
    <w:rsid w:val="00432F2B"/>
    <w:rsid w:val="00433025"/>
    <w:rsid w:val="004330EC"/>
    <w:rsid w:val="00433143"/>
    <w:rsid w:val="00433156"/>
    <w:rsid w:val="00433183"/>
    <w:rsid w:val="004331BE"/>
    <w:rsid w:val="00433201"/>
    <w:rsid w:val="0043321D"/>
    <w:rsid w:val="0043324D"/>
    <w:rsid w:val="0043324F"/>
    <w:rsid w:val="00433293"/>
    <w:rsid w:val="004332DA"/>
    <w:rsid w:val="0043348F"/>
    <w:rsid w:val="004334A8"/>
    <w:rsid w:val="00433598"/>
    <w:rsid w:val="00433613"/>
    <w:rsid w:val="00433645"/>
    <w:rsid w:val="004337D6"/>
    <w:rsid w:val="0043384E"/>
    <w:rsid w:val="00433904"/>
    <w:rsid w:val="00433916"/>
    <w:rsid w:val="00433C70"/>
    <w:rsid w:val="00433CB9"/>
    <w:rsid w:val="00433CE4"/>
    <w:rsid w:val="00433E48"/>
    <w:rsid w:val="0043403D"/>
    <w:rsid w:val="00434140"/>
    <w:rsid w:val="0043427C"/>
    <w:rsid w:val="00434380"/>
    <w:rsid w:val="004343CF"/>
    <w:rsid w:val="00434442"/>
    <w:rsid w:val="00434635"/>
    <w:rsid w:val="00434682"/>
    <w:rsid w:val="0043470D"/>
    <w:rsid w:val="0043475B"/>
    <w:rsid w:val="0043487D"/>
    <w:rsid w:val="00434882"/>
    <w:rsid w:val="004348AF"/>
    <w:rsid w:val="00434968"/>
    <w:rsid w:val="00434A29"/>
    <w:rsid w:val="00434A8A"/>
    <w:rsid w:val="00434BAA"/>
    <w:rsid w:val="00434C7D"/>
    <w:rsid w:val="00434D05"/>
    <w:rsid w:val="00434E2B"/>
    <w:rsid w:val="00434E32"/>
    <w:rsid w:val="00434EBE"/>
    <w:rsid w:val="00434F24"/>
    <w:rsid w:val="00434F3B"/>
    <w:rsid w:val="00434FC6"/>
    <w:rsid w:val="004350C1"/>
    <w:rsid w:val="00435180"/>
    <w:rsid w:val="00435272"/>
    <w:rsid w:val="0043534E"/>
    <w:rsid w:val="00435360"/>
    <w:rsid w:val="004353AF"/>
    <w:rsid w:val="00435483"/>
    <w:rsid w:val="004354F0"/>
    <w:rsid w:val="004354FF"/>
    <w:rsid w:val="00435512"/>
    <w:rsid w:val="0043552A"/>
    <w:rsid w:val="00435563"/>
    <w:rsid w:val="004355B8"/>
    <w:rsid w:val="00435A1D"/>
    <w:rsid w:val="00435AE6"/>
    <w:rsid w:val="00435B7C"/>
    <w:rsid w:val="00435BB8"/>
    <w:rsid w:val="00435CEA"/>
    <w:rsid w:val="00435DFE"/>
    <w:rsid w:val="00435F59"/>
    <w:rsid w:val="00436052"/>
    <w:rsid w:val="004360D9"/>
    <w:rsid w:val="00436218"/>
    <w:rsid w:val="00436225"/>
    <w:rsid w:val="00436243"/>
    <w:rsid w:val="00436254"/>
    <w:rsid w:val="004362AC"/>
    <w:rsid w:val="004362FC"/>
    <w:rsid w:val="0043631F"/>
    <w:rsid w:val="00436327"/>
    <w:rsid w:val="0043661E"/>
    <w:rsid w:val="00436648"/>
    <w:rsid w:val="00436662"/>
    <w:rsid w:val="0043666D"/>
    <w:rsid w:val="00436729"/>
    <w:rsid w:val="00436744"/>
    <w:rsid w:val="0043679A"/>
    <w:rsid w:val="00436945"/>
    <w:rsid w:val="004369DF"/>
    <w:rsid w:val="00436B46"/>
    <w:rsid w:val="00436BCD"/>
    <w:rsid w:val="00436C1F"/>
    <w:rsid w:val="00436C8F"/>
    <w:rsid w:val="00436D31"/>
    <w:rsid w:val="00436DFD"/>
    <w:rsid w:val="00436E3C"/>
    <w:rsid w:val="00436E9C"/>
    <w:rsid w:val="00436EC1"/>
    <w:rsid w:val="00436F30"/>
    <w:rsid w:val="00436F45"/>
    <w:rsid w:val="00436FEF"/>
    <w:rsid w:val="0043711D"/>
    <w:rsid w:val="0043714A"/>
    <w:rsid w:val="004371D2"/>
    <w:rsid w:val="00437209"/>
    <w:rsid w:val="0043723D"/>
    <w:rsid w:val="0043742F"/>
    <w:rsid w:val="00437442"/>
    <w:rsid w:val="0043748B"/>
    <w:rsid w:val="00437531"/>
    <w:rsid w:val="0043761F"/>
    <w:rsid w:val="00437631"/>
    <w:rsid w:val="00437682"/>
    <w:rsid w:val="0043775E"/>
    <w:rsid w:val="004379FF"/>
    <w:rsid w:val="00437A20"/>
    <w:rsid w:val="00437CBA"/>
    <w:rsid w:val="00437D78"/>
    <w:rsid w:val="00437DE6"/>
    <w:rsid w:val="0044000E"/>
    <w:rsid w:val="00440058"/>
    <w:rsid w:val="00440150"/>
    <w:rsid w:val="0044018A"/>
    <w:rsid w:val="00440392"/>
    <w:rsid w:val="004403D5"/>
    <w:rsid w:val="00440484"/>
    <w:rsid w:val="004404FC"/>
    <w:rsid w:val="00440574"/>
    <w:rsid w:val="00440636"/>
    <w:rsid w:val="00440758"/>
    <w:rsid w:val="0044096F"/>
    <w:rsid w:val="00440972"/>
    <w:rsid w:val="00440A42"/>
    <w:rsid w:val="00440B31"/>
    <w:rsid w:val="00440B61"/>
    <w:rsid w:val="00440BC1"/>
    <w:rsid w:val="00440CBD"/>
    <w:rsid w:val="00440E53"/>
    <w:rsid w:val="00440ECF"/>
    <w:rsid w:val="00440FD4"/>
    <w:rsid w:val="004410C3"/>
    <w:rsid w:val="0044131E"/>
    <w:rsid w:val="00441591"/>
    <w:rsid w:val="00441599"/>
    <w:rsid w:val="0044159C"/>
    <w:rsid w:val="004416BB"/>
    <w:rsid w:val="00441918"/>
    <w:rsid w:val="004419D7"/>
    <w:rsid w:val="00441A22"/>
    <w:rsid w:val="00441ACC"/>
    <w:rsid w:val="00441BBD"/>
    <w:rsid w:val="00441BCE"/>
    <w:rsid w:val="00441C8C"/>
    <w:rsid w:val="00441D5F"/>
    <w:rsid w:val="00441E8A"/>
    <w:rsid w:val="00441F2C"/>
    <w:rsid w:val="00441F5B"/>
    <w:rsid w:val="00441F81"/>
    <w:rsid w:val="00441FC9"/>
    <w:rsid w:val="004420A5"/>
    <w:rsid w:val="0044214F"/>
    <w:rsid w:val="00442161"/>
    <w:rsid w:val="0044223A"/>
    <w:rsid w:val="004422FF"/>
    <w:rsid w:val="00442316"/>
    <w:rsid w:val="0044247D"/>
    <w:rsid w:val="004424CA"/>
    <w:rsid w:val="00442504"/>
    <w:rsid w:val="004425D3"/>
    <w:rsid w:val="0044265F"/>
    <w:rsid w:val="004426F1"/>
    <w:rsid w:val="004428BD"/>
    <w:rsid w:val="004428FE"/>
    <w:rsid w:val="00442ACD"/>
    <w:rsid w:val="00442BB6"/>
    <w:rsid w:val="00442C81"/>
    <w:rsid w:val="00442CF2"/>
    <w:rsid w:val="00442D17"/>
    <w:rsid w:val="00442D2F"/>
    <w:rsid w:val="00442D38"/>
    <w:rsid w:val="00442E38"/>
    <w:rsid w:val="00442F26"/>
    <w:rsid w:val="00442F91"/>
    <w:rsid w:val="0044307B"/>
    <w:rsid w:val="004430AA"/>
    <w:rsid w:val="00443205"/>
    <w:rsid w:val="004433D6"/>
    <w:rsid w:val="00443428"/>
    <w:rsid w:val="004434DA"/>
    <w:rsid w:val="00443584"/>
    <w:rsid w:val="0044366C"/>
    <w:rsid w:val="0044377A"/>
    <w:rsid w:val="004437C3"/>
    <w:rsid w:val="004437C7"/>
    <w:rsid w:val="0044380A"/>
    <w:rsid w:val="0044387D"/>
    <w:rsid w:val="0044388E"/>
    <w:rsid w:val="0044394C"/>
    <w:rsid w:val="004439D0"/>
    <w:rsid w:val="00443A3F"/>
    <w:rsid w:val="00443A53"/>
    <w:rsid w:val="00443AAE"/>
    <w:rsid w:val="00443C02"/>
    <w:rsid w:val="00443C4E"/>
    <w:rsid w:val="00443D0D"/>
    <w:rsid w:val="00443DC7"/>
    <w:rsid w:val="00443DFE"/>
    <w:rsid w:val="0044400E"/>
    <w:rsid w:val="00444039"/>
    <w:rsid w:val="0044406D"/>
    <w:rsid w:val="004440D7"/>
    <w:rsid w:val="00444143"/>
    <w:rsid w:val="0044430E"/>
    <w:rsid w:val="00444447"/>
    <w:rsid w:val="00444500"/>
    <w:rsid w:val="00444509"/>
    <w:rsid w:val="0044470E"/>
    <w:rsid w:val="00444721"/>
    <w:rsid w:val="00444769"/>
    <w:rsid w:val="0044479C"/>
    <w:rsid w:val="0044495D"/>
    <w:rsid w:val="00444981"/>
    <w:rsid w:val="004449E8"/>
    <w:rsid w:val="00444AC1"/>
    <w:rsid w:val="00444B1B"/>
    <w:rsid w:val="00444BB6"/>
    <w:rsid w:val="00444BFB"/>
    <w:rsid w:val="00444E0E"/>
    <w:rsid w:val="00444E5E"/>
    <w:rsid w:val="00444F53"/>
    <w:rsid w:val="00444F5E"/>
    <w:rsid w:val="00444F9F"/>
    <w:rsid w:val="00445009"/>
    <w:rsid w:val="0044500D"/>
    <w:rsid w:val="00445050"/>
    <w:rsid w:val="004450CA"/>
    <w:rsid w:val="004450EB"/>
    <w:rsid w:val="00445118"/>
    <w:rsid w:val="00445167"/>
    <w:rsid w:val="00445239"/>
    <w:rsid w:val="0044526F"/>
    <w:rsid w:val="0044529E"/>
    <w:rsid w:val="0044533A"/>
    <w:rsid w:val="004454E8"/>
    <w:rsid w:val="00445631"/>
    <w:rsid w:val="004456AF"/>
    <w:rsid w:val="004456DD"/>
    <w:rsid w:val="00445747"/>
    <w:rsid w:val="00445748"/>
    <w:rsid w:val="00445764"/>
    <w:rsid w:val="00445792"/>
    <w:rsid w:val="0044580C"/>
    <w:rsid w:val="00445813"/>
    <w:rsid w:val="004458DB"/>
    <w:rsid w:val="00445939"/>
    <w:rsid w:val="00445B08"/>
    <w:rsid w:val="00445BC7"/>
    <w:rsid w:val="00445CCC"/>
    <w:rsid w:val="00445F46"/>
    <w:rsid w:val="00445FE2"/>
    <w:rsid w:val="00446132"/>
    <w:rsid w:val="0044621B"/>
    <w:rsid w:val="00446399"/>
    <w:rsid w:val="004465BE"/>
    <w:rsid w:val="004465DF"/>
    <w:rsid w:val="004465F8"/>
    <w:rsid w:val="00446809"/>
    <w:rsid w:val="00446977"/>
    <w:rsid w:val="00446B7D"/>
    <w:rsid w:val="00446BB1"/>
    <w:rsid w:val="00446CAD"/>
    <w:rsid w:val="00446DA3"/>
    <w:rsid w:val="00446E83"/>
    <w:rsid w:val="00447243"/>
    <w:rsid w:val="00447250"/>
    <w:rsid w:val="00447252"/>
    <w:rsid w:val="004472B4"/>
    <w:rsid w:val="0044738B"/>
    <w:rsid w:val="004473A9"/>
    <w:rsid w:val="00447567"/>
    <w:rsid w:val="004475FF"/>
    <w:rsid w:val="00447673"/>
    <w:rsid w:val="0044777E"/>
    <w:rsid w:val="0044779D"/>
    <w:rsid w:val="0044788D"/>
    <w:rsid w:val="004478DC"/>
    <w:rsid w:val="00447A82"/>
    <w:rsid w:val="00447B16"/>
    <w:rsid w:val="00447C67"/>
    <w:rsid w:val="00447D1C"/>
    <w:rsid w:val="00447E1C"/>
    <w:rsid w:val="00447E36"/>
    <w:rsid w:val="00447F60"/>
    <w:rsid w:val="00447FFC"/>
    <w:rsid w:val="0045056B"/>
    <w:rsid w:val="00450724"/>
    <w:rsid w:val="00450732"/>
    <w:rsid w:val="0045075F"/>
    <w:rsid w:val="004507B5"/>
    <w:rsid w:val="004507E4"/>
    <w:rsid w:val="00450853"/>
    <w:rsid w:val="004508FA"/>
    <w:rsid w:val="00450932"/>
    <w:rsid w:val="00450939"/>
    <w:rsid w:val="004509D5"/>
    <w:rsid w:val="00450A6D"/>
    <w:rsid w:val="00450AC5"/>
    <w:rsid w:val="00450AE8"/>
    <w:rsid w:val="00450AEF"/>
    <w:rsid w:val="00450B27"/>
    <w:rsid w:val="00450BFF"/>
    <w:rsid w:val="00450C30"/>
    <w:rsid w:val="00450D74"/>
    <w:rsid w:val="00450D78"/>
    <w:rsid w:val="00450DEB"/>
    <w:rsid w:val="00451014"/>
    <w:rsid w:val="004510B6"/>
    <w:rsid w:val="00451170"/>
    <w:rsid w:val="00451492"/>
    <w:rsid w:val="004514C5"/>
    <w:rsid w:val="00451569"/>
    <w:rsid w:val="004516EB"/>
    <w:rsid w:val="004517E7"/>
    <w:rsid w:val="00451839"/>
    <w:rsid w:val="004519AC"/>
    <w:rsid w:val="00451AAC"/>
    <w:rsid w:val="00451AD3"/>
    <w:rsid w:val="00451CBE"/>
    <w:rsid w:val="00451CEC"/>
    <w:rsid w:val="00451D7A"/>
    <w:rsid w:val="00451EC5"/>
    <w:rsid w:val="00451FC5"/>
    <w:rsid w:val="004522F9"/>
    <w:rsid w:val="004522FE"/>
    <w:rsid w:val="00452466"/>
    <w:rsid w:val="00452572"/>
    <w:rsid w:val="00452597"/>
    <w:rsid w:val="0045263C"/>
    <w:rsid w:val="00452653"/>
    <w:rsid w:val="00452776"/>
    <w:rsid w:val="004528F8"/>
    <w:rsid w:val="004529FF"/>
    <w:rsid w:val="00452BD9"/>
    <w:rsid w:val="00452C46"/>
    <w:rsid w:val="00452DF9"/>
    <w:rsid w:val="00452DFD"/>
    <w:rsid w:val="00452E14"/>
    <w:rsid w:val="004530AA"/>
    <w:rsid w:val="004531C4"/>
    <w:rsid w:val="0045323E"/>
    <w:rsid w:val="00453297"/>
    <w:rsid w:val="004532DF"/>
    <w:rsid w:val="004532E8"/>
    <w:rsid w:val="00453320"/>
    <w:rsid w:val="0045336C"/>
    <w:rsid w:val="004534D7"/>
    <w:rsid w:val="00453647"/>
    <w:rsid w:val="004536DF"/>
    <w:rsid w:val="00453754"/>
    <w:rsid w:val="00453768"/>
    <w:rsid w:val="00453992"/>
    <w:rsid w:val="004539D0"/>
    <w:rsid w:val="00453A27"/>
    <w:rsid w:val="00453B58"/>
    <w:rsid w:val="00453BE1"/>
    <w:rsid w:val="00453D16"/>
    <w:rsid w:val="00453D70"/>
    <w:rsid w:val="0045408B"/>
    <w:rsid w:val="0045413B"/>
    <w:rsid w:val="00454161"/>
    <w:rsid w:val="0045419E"/>
    <w:rsid w:val="00454269"/>
    <w:rsid w:val="004543D0"/>
    <w:rsid w:val="00454404"/>
    <w:rsid w:val="0045452E"/>
    <w:rsid w:val="004545AD"/>
    <w:rsid w:val="004545B0"/>
    <w:rsid w:val="004545EA"/>
    <w:rsid w:val="00454661"/>
    <w:rsid w:val="004546A1"/>
    <w:rsid w:val="0045470F"/>
    <w:rsid w:val="0045474D"/>
    <w:rsid w:val="00454814"/>
    <w:rsid w:val="00454840"/>
    <w:rsid w:val="0045495F"/>
    <w:rsid w:val="00454ABB"/>
    <w:rsid w:val="00454B13"/>
    <w:rsid w:val="00454B1B"/>
    <w:rsid w:val="00454BFD"/>
    <w:rsid w:val="00454D3F"/>
    <w:rsid w:val="00454D79"/>
    <w:rsid w:val="00454D82"/>
    <w:rsid w:val="00454E26"/>
    <w:rsid w:val="00454FD7"/>
    <w:rsid w:val="00454FF0"/>
    <w:rsid w:val="0045504F"/>
    <w:rsid w:val="0045513C"/>
    <w:rsid w:val="00455160"/>
    <w:rsid w:val="004554B2"/>
    <w:rsid w:val="00455596"/>
    <w:rsid w:val="0045564F"/>
    <w:rsid w:val="004556A7"/>
    <w:rsid w:val="004556B4"/>
    <w:rsid w:val="004557A6"/>
    <w:rsid w:val="00455A0F"/>
    <w:rsid w:val="00455A45"/>
    <w:rsid w:val="00455A7D"/>
    <w:rsid w:val="00455B18"/>
    <w:rsid w:val="00455CEC"/>
    <w:rsid w:val="00455D1A"/>
    <w:rsid w:val="00455D5A"/>
    <w:rsid w:val="00455E2B"/>
    <w:rsid w:val="00455F4A"/>
    <w:rsid w:val="0045611F"/>
    <w:rsid w:val="004561EC"/>
    <w:rsid w:val="00456210"/>
    <w:rsid w:val="00456219"/>
    <w:rsid w:val="00456259"/>
    <w:rsid w:val="00456311"/>
    <w:rsid w:val="004563B6"/>
    <w:rsid w:val="00456406"/>
    <w:rsid w:val="00456419"/>
    <w:rsid w:val="004564E1"/>
    <w:rsid w:val="004565E5"/>
    <w:rsid w:val="004567B5"/>
    <w:rsid w:val="00456877"/>
    <w:rsid w:val="004568DF"/>
    <w:rsid w:val="00456908"/>
    <w:rsid w:val="00456918"/>
    <w:rsid w:val="00456C22"/>
    <w:rsid w:val="00456CB2"/>
    <w:rsid w:val="00456FC6"/>
    <w:rsid w:val="00457091"/>
    <w:rsid w:val="00457097"/>
    <w:rsid w:val="00457255"/>
    <w:rsid w:val="00457427"/>
    <w:rsid w:val="00457451"/>
    <w:rsid w:val="004575C1"/>
    <w:rsid w:val="004575D0"/>
    <w:rsid w:val="004576B5"/>
    <w:rsid w:val="0045785E"/>
    <w:rsid w:val="004579CE"/>
    <w:rsid w:val="00457C10"/>
    <w:rsid w:val="00457D70"/>
    <w:rsid w:val="00457E19"/>
    <w:rsid w:val="00457E4C"/>
    <w:rsid w:val="00457F0C"/>
    <w:rsid w:val="00457FB7"/>
    <w:rsid w:val="00457FCE"/>
    <w:rsid w:val="00460060"/>
    <w:rsid w:val="00460157"/>
    <w:rsid w:val="004602A7"/>
    <w:rsid w:val="004602D0"/>
    <w:rsid w:val="0046056F"/>
    <w:rsid w:val="004606CF"/>
    <w:rsid w:val="0046085B"/>
    <w:rsid w:val="00460A23"/>
    <w:rsid w:val="00460A57"/>
    <w:rsid w:val="00460AB9"/>
    <w:rsid w:val="00460B2E"/>
    <w:rsid w:val="00460B69"/>
    <w:rsid w:val="00460BE3"/>
    <w:rsid w:val="00460C02"/>
    <w:rsid w:val="00460E5A"/>
    <w:rsid w:val="00460E7D"/>
    <w:rsid w:val="00460EB9"/>
    <w:rsid w:val="00460F3A"/>
    <w:rsid w:val="004611BB"/>
    <w:rsid w:val="00461293"/>
    <w:rsid w:val="004612D8"/>
    <w:rsid w:val="004613D1"/>
    <w:rsid w:val="00461511"/>
    <w:rsid w:val="00461530"/>
    <w:rsid w:val="0046167E"/>
    <w:rsid w:val="00461680"/>
    <w:rsid w:val="004616BD"/>
    <w:rsid w:val="004617D7"/>
    <w:rsid w:val="00461842"/>
    <w:rsid w:val="004618AE"/>
    <w:rsid w:val="00461909"/>
    <w:rsid w:val="00461A22"/>
    <w:rsid w:val="00461AC9"/>
    <w:rsid w:val="00461B42"/>
    <w:rsid w:val="00461B8E"/>
    <w:rsid w:val="00461BFE"/>
    <w:rsid w:val="00461C1B"/>
    <w:rsid w:val="00461D56"/>
    <w:rsid w:val="00461D5A"/>
    <w:rsid w:val="00461D75"/>
    <w:rsid w:val="00461DBE"/>
    <w:rsid w:val="00462090"/>
    <w:rsid w:val="004620F4"/>
    <w:rsid w:val="0046219F"/>
    <w:rsid w:val="00462731"/>
    <w:rsid w:val="00462770"/>
    <w:rsid w:val="00462889"/>
    <w:rsid w:val="004628BD"/>
    <w:rsid w:val="00462B4F"/>
    <w:rsid w:val="00462B8C"/>
    <w:rsid w:val="00462BCF"/>
    <w:rsid w:val="00462CDE"/>
    <w:rsid w:val="00462E71"/>
    <w:rsid w:val="004630C9"/>
    <w:rsid w:val="004630FA"/>
    <w:rsid w:val="00463169"/>
    <w:rsid w:val="00463203"/>
    <w:rsid w:val="0046326C"/>
    <w:rsid w:val="004632BE"/>
    <w:rsid w:val="00463624"/>
    <w:rsid w:val="00463645"/>
    <w:rsid w:val="0046364C"/>
    <w:rsid w:val="004637B0"/>
    <w:rsid w:val="004637BD"/>
    <w:rsid w:val="00463847"/>
    <w:rsid w:val="00463A46"/>
    <w:rsid w:val="00463D21"/>
    <w:rsid w:val="00463D3D"/>
    <w:rsid w:val="00463D49"/>
    <w:rsid w:val="00463DF1"/>
    <w:rsid w:val="00463EA3"/>
    <w:rsid w:val="00463FE8"/>
    <w:rsid w:val="00464043"/>
    <w:rsid w:val="00464054"/>
    <w:rsid w:val="0046410F"/>
    <w:rsid w:val="0046417B"/>
    <w:rsid w:val="004642CE"/>
    <w:rsid w:val="004642E6"/>
    <w:rsid w:val="00464401"/>
    <w:rsid w:val="0046445C"/>
    <w:rsid w:val="00464581"/>
    <w:rsid w:val="00464673"/>
    <w:rsid w:val="0046482A"/>
    <w:rsid w:val="00464873"/>
    <w:rsid w:val="00464A52"/>
    <w:rsid w:val="00464ABA"/>
    <w:rsid w:val="00464BC5"/>
    <w:rsid w:val="00464CE6"/>
    <w:rsid w:val="00464D1B"/>
    <w:rsid w:val="00464E62"/>
    <w:rsid w:val="004654BC"/>
    <w:rsid w:val="004655AC"/>
    <w:rsid w:val="004655E2"/>
    <w:rsid w:val="0046566D"/>
    <w:rsid w:val="0046568D"/>
    <w:rsid w:val="004656B1"/>
    <w:rsid w:val="004657DD"/>
    <w:rsid w:val="0046581D"/>
    <w:rsid w:val="00465900"/>
    <w:rsid w:val="00465D79"/>
    <w:rsid w:val="00465DAE"/>
    <w:rsid w:val="00465DCF"/>
    <w:rsid w:val="00465E2B"/>
    <w:rsid w:val="00465F67"/>
    <w:rsid w:val="00465F7B"/>
    <w:rsid w:val="00465F7E"/>
    <w:rsid w:val="00465FC7"/>
    <w:rsid w:val="004660A1"/>
    <w:rsid w:val="004660E3"/>
    <w:rsid w:val="0046610F"/>
    <w:rsid w:val="00466275"/>
    <w:rsid w:val="00466285"/>
    <w:rsid w:val="0046632B"/>
    <w:rsid w:val="00466352"/>
    <w:rsid w:val="00466369"/>
    <w:rsid w:val="004663B6"/>
    <w:rsid w:val="004665E6"/>
    <w:rsid w:val="0046670D"/>
    <w:rsid w:val="0046674C"/>
    <w:rsid w:val="004667C7"/>
    <w:rsid w:val="004669DE"/>
    <w:rsid w:val="00466A08"/>
    <w:rsid w:val="00466B44"/>
    <w:rsid w:val="00466B4A"/>
    <w:rsid w:val="00466CA8"/>
    <w:rsid w:val="00466CD1"/>
    <w:rsid w:val="00466E09"/>
    <w:rsid w:val="00466FCF"/>
    <w:rsid w:val="00467006"/>
    <w:rsid w:val="00467029"/>
    <w:rsid w:val="00467078"/>
    <w:rsid w:val="004670C9"/>
    <w:rsid w:val="0046738D"/>
    <w:rsid w:val="00467461"/>
    <w:rsid w:val="00467478"/>
    <w:rsid w:val="0046748A"/>
    <w:rsid w:val="0046748C"/>
    <w:rsid w:val="00467583"/>
    <w:rsid w:val="004676A7"/>
    <w:rsid w:val="0046777B"/>
    <w:rsid w:val="00467797"/>
    <w:rsid w:val="004677CE"/>
    <w:rsid w:val="00467837"/>
    <w:rsid w:val="00467894"/>
    <w:rsid w:val="004678D0"/>
    <w:rsid w:val="00467918"/>
    <w:rsid w:val="00467C6B"/>
    <w:rsid w:val="00467C7D"/>
    <w:rsid w:val="00467D00"/>
    <w:rsid w:val="00467E03"/>
    <w:rsid w:val="00467E10"/>
    <w:rsid w:val="00467E48"/>
    <w:rsid w:val="00467EC2"/>
    <w:rsid w:val="00470385"/>
    <w:rsid w:val="00470437"/>
    <w:rsid w:val="0047046B"/>
    <w:rsid w:val="00470503"/>
    <w:rsid w:val="0047055C"/>
    <w:rsid w:val="00470600"/>
    <w:rsid w:val="00470607"/>
    <w:rsid w:val="00470795"/>
    <w:rsid w:val="00470976"/>
    <w:rsid w:val="004709DB"/>
    <w:rsid w:val="004709DD"/>
    <w:rsid w:val="00470AF8"/>
    <w:rsid w:val="00470B04"/>
    <w:rsid w:val="00470B77"/>
    <w:rsid w:val="00470C8A"/>
    <w:rsid w:val="00470EC6"/>
    <w:rsid w:val="00470F2C"/>
    <w:rsid w:val="004710BD"/>
    <w:rsid w:val="00471112"/>
    <w:rsid w:val="00471266"/>
    <w:rsid w:val="004712E2"/>
    <w:rsid w:val="0047130C"/>
    <w:rsid w:val="00471512"/>
    <w:rsid w:val="004715FA"/>
    <w:rsid w:val="00471622"/>
    <w:rsid w:val="00471754"/>
    <w:rsid w:val="0047178D"/>
    <w:rsid w:val="00471896"/>
    <w:rsid w:val="004718D1"/>
    <w:rsid w:val="004719C4"/>
    <w:rsid w:val="00471B3F"/>
    <w:rsid w:val="00471B4A"/>
    <w:rsid w:val="00471D5E"/>
    <w:rsid w:val="00471E22"/>
    <w:rsid w:val="00471E35"/>
    <w:rsid w:val="00471FC0"/>
    <w:rsid w:val="004720C7"/>
    <w:rsid w:val="00472102"/>
    <w:rsid w:val="00472138"/>
    <w:rsid w:val="00472446"/>
    <w:rsid w:val="004724AF"/>
    <w:rsid w:val="00472571"/>
    <w:rsid w:val="00472608"/>
    <w:rsid w:val="00472621"/>
    <w:rsid w:val="00472644"/>
    <w:rsid w:val="00472667"/>
    <w:rsid w:val="004727B1"/>
    <w:rsid w:val="0047288F"/>
    <w:rsid w:val="0047299E"/>
    <w:rsid w:val="00472A4E"/>
    <w:rsid w:val="00472A50"/>
    <w:rsid w:val="00472B1A"/>
    <w:rsid w:val="00472CC2"/>
    <w:rsid w:val="00472E46"/>
    <w:rsid w:val="00472FD1"/>
    <w:rsid w:val="0047310B"/>
    <w:rsid w:val="00473288"/>
    <w:rsid w:val="0047330C"/>
    <w:rsid w:val="00473406"/>
    <w:rsid w:val="004734AB"/>
    <w:rsid w:val="00473770"/>
    <w:rsid w:val="004737AC"/>
    <w:rsid w:val="00473A36"/>
    <w:rsid w:val="00473C2F"/>
    <w:rsid w:val="00473C56"/>
    <w:rsid w:val="00473EA7"/>
    <w:rsid w:val="00473F7E"/>
    <w:rsid w:val="00474122"/>
    <w:rsid w:val="004742E5"/>
    <w:rsid w:val="004742E9"/>
    <w:rsid w:val="004743E6"/>
    <w:rsid w:val="004745A3"/>
    <w:rsid w:val="00474643"/>
    <w:rsid w:val="004746D1"/>
    <w:rsid w:val="00474735"/>
    <w:rsid w:val="004747E7"/>
    <w:rsid w:val="00474841"/>
    <w:rsid w:val="0047491D"/>
    <w:rsid w:val="00474AF0"/>
    <w:rsid w:val="00474D19"/>
    <w:rsid w:val="00474E99"/>
    <w:rsid w:val="00474ED5"/>
    <w:rsid w:val="0047502F"/>
    <w:rsid w:val="00475056"/>
    <w:rsid w:val="00475175"/>
    <w:rsid w:val="004751D1"/>
    <w:rsid w:val="004752AD"/>
    <w:rsid w:val="00475440"/>
    <w:rsid w:val="004754D9"/>
    <w:rsid w:val="00475627"/>
    <w:rsid w:val="00475690"/>
    <w:rsid w:val="0047587B"/>
    <w:rsid w:val="00475941"/>
    <w:rsid w:val="00475A31"/>
    <w:rsid w:val="00475B80"/>
    <w:rsid w:val="00475BC1"/>
    <w:rsid w:val="00475C79"/>
    <w:rsid w:val="00475C7B"/>
    <w:rsid w:val="00475C8F"/>
    <w:rsid w:val="00475CBE"/>
    <w:rsid w:val="00475CE3"/>
    <w:rsid w:val="00476275"/>
    <w:rsid w:val="0047627A"/>
    <w:rsid w:val="0047633E"/>
    <w:rsid w:val="004764F3"/>
    <w:rsid w:val="0047650E"/>
    <w:rsid w:val="00476590"/>
    <w:rsid w:val="004765A3"/>
    <w:rsid w:val="004765C2"/>
    <w:rsid w:val="00476762"/>
    <w:rsid w:val="00476764"/>
    <w:rsid w:val="00476A98"/>
    <w:rsid w:val="00476BBA"/>
    <w:rsid w:val="00476C6F"/>
    <w:rsid w:val="00476CDC"/>
    <w:rsid w:val="00476CE7"/>
    <w:rsid w:val="00476D6E"/>
    <w:rsid w:val="00476ED0"/>
    <w:rsid w:val="00476F08"/>
    <w:rsid w:val="00476F22"/>
    <w:rsid w:val="004770A6"/>
    <w:rsid w:val="004770DD"/>
    <w:rsid w:val="0047721F"/>
    <w:rsid w:val="00477599"/>
    <w:rsid w:val="004775D1"/>
    <w:rsid w:val="0047762B"/>
    <w:rsid w:val="0047763D"/>
    <w:rsid w:val="00477714"/>
    <w:rsid w:val="004777DC"/>
    <w:rsid w:val="00477AAB"/>
    <w:rsid w:val="00477ACC"/>
    <w:rsid w:val="00477AD6"/>
    <w:rsid w:val="00477BE0"/>
    <w:rsid w:val="00477C19"/>
    <w:rsid w:val="00477C9F"/>
    <w:rsid w:val="00477CD9"/>
    <w:rsid w:val="00477D7E"/>
    <w:rsid w:val="00477E19"/>
    <w:rsid w:val="004800DB"/>
    <w:rsid w:val="00480110"/>
    <w:rsid w:val="0048017F"/>
    <w:rsid w:val="004801B9"/>
    <w:rsid w:val="00480249"/>
    <w:rsid w:val="0048027E"/>
    <w:rsid w:val="00480348"/>
    <w:rsid w:val="004804C9"/>
    <w:rsid w:val="004805F1"/>
    <w:rsid w:val="004805F6"/>
    <w:rsid w:val="0048067E"/>
    <w:rsid w:val="0048098C"/>
    <w:rsid w:val="00480A48"/>
    <w:rsid w:val="00480A8F"/>
    <w:rsid w:val="00480C3C"/>
    <w:rsid w:val="00480D99"/>
    <w:rsid w:val="00480DA4"/>
    <w:rsid w:val="00480EFF"/>
    <w:rsid w:val="0048119B"/>
    <w:rsid w:val="00481201"/>
    <w:rsid w:val="0048121E"/>
    <w:rsid w:val="0048122C"/>
    <w:rsid w:val="0048129B"/>
    <w:rsid w:val="00481363"/>
    <w:rsid w:val="00481433"/>
    <w:rsid w:val="004814FC"/>
    <w:rsid w:val="004815E5"/>
    <w:rsid w:val="0048170E"/>
    <w:rsid w:val="0048196C"/>
    <w:rsid w:val="00481AF5"/>
    <w:rsid w:val="00481BD4"/>
    <w:rsid w:val="00481D8A"/>
    <w:rsid w:val="00481E55"/>
    <w:rsid w:val="00481E7B"/>
    <w:rsid w:val="00481EA6"/>
    <w:rsid w:val="00481F1F"/>
    <w:rsid w:val="00481FB6"/>
    <w:rsid w:val="00481FFC"/>
    <w:rsid w:val="00482269"/>
    <w:rsid w:val="004822C3"/>
    <w:rsid w:val="004823F8"/>
    <w:rsid w:val="00482532"/>
    <w:rsid w:val="00482618"/>
    <w:rsid w:val="00482644"/>
    <w:rsid w:val="0048273A"/>
    <w:rsid w:val="004827E4"/>
    <w:rsid w:val="00482857"/>
    <w:rsid w:val="004829B5"/>
    <w:rsid w:val="004829C3"/>
    <w:rsid w:val="00482A22"/>
    <w:rsid w:val="00482AF4"/>
    <w:rsid w:val="00482B25"/>
    <w:rsid w:val="00482B37"/>
    <w:rsid w:val="00482C4C"/>
    <w:rsid w:val="00482D5D"/>
    <w:rsid w:val="00482E92"/>
    <w:rsid w:val="00482EC5"/>
    <w:rsid w:val="00482FD6"/>
    <w:rsid w:val="00483218"/>
    <w:rsid w:val="004833DF"/>
    <w:rsid w:val="00483575"/>
    <w:rsid w:val="004835F2"/>
    <w:rsid w:val="00483657"/>
    <w:rsid w:val="004838CE"/>
    <w:rsid w:val="00483915"/>
    <w:rsid w:val="00483B01"/>
    <w:rsid w:val="00483B6F"/>
    <w:rsid w:val="00483C65"/>
    <w:rsid w:val="00483C71"/>
    <w:rsid w:val="00483CAC"/>
    <w:rsid w:val="00483D17"/>
    <w:rsid w:val="00483D8F"/>
    <w:rsid w:val="00483DDE"/>
    <w:rsid w:val="00483FB4"/>
    <w:rsid w:val="00484123"/>
    <w:rsid w:val="0048415A"/>
    <w:rsid w:val="004841C6"/>
    <w:rsid w:val="00484350"/>
    <w:rsid w:val="0048459D"/>
    <w:rsid w:val="00484604"/>
    <w:rsid w:val="004847A1"/>
    <w:rsid w:val="004848BD"/>
    <w:rsid w:val="00484AF1"/>
    <w:rsid w:val="00484B38"/>
    <w:rsid w:val="00484CC9"/>
    <w:rsid w:val="00484D46"/>
    <w:rsid w:val="00484E2A"/>
    <w:rsid w:val="00484EC8"/>
    <w:rsid w:val="00484F29"/>
    <w:rsid w:val="0048501B"/>
    <w:rsid w:val="004850FB"/>
    <w:rsid w:val="004852B1"/>
    <w:rsid w:val="00485363"/>
    <w:rsid w:val="0048558F"/>
    <w:rsid w:val="0048570E"/>
    <w:rsid w:val="00485796"/>
    <w:rsid w:val="0048581E"/>
    <w:rsid w:val="00485978"/>
    <w:rsid w:val="00485B75"/>
    <w:rsid w:val="00485C08"/>
    <w:rsid w:val="00485C5C"/>
    <w:rsid w:val="00485C7D"/>
    <w:rsid w:val="00485CCA"/>
    <w:rsid w:val="00485CF5"/>
    <w:rsid w:val="00485E4A"/>
    <w:rsid w:val="00485F79"/>
    <w:rsid w:val="00485FDB"/>
    <w:rsid w:val="004860A0"/>
    <w:rsid w:val="004860EE"/>
    <w:rsid w:val="00486135"/>
    <w:rsid w:val="00486180"/>
    <w:rsid w:val="004861EA"/>
    <w:rsid w:val="004863DC"/>
    <w:rsid w:val="004866BD"/>
    <w:rsid w:val="00486700"/>
    <w:rsid w:val="0048688A"/>
    <w:rsid w:val="00486982"/>
    <w:rsid w:val="00486985"/>
    <w:rsid w:val="004869DA"/>
    <w:rsid w:val="00486A65"/>
    <w:rsid w:val="00486B7A"/>
    <w:rsid w:val="00486B81"/>
    <w:rsid w:val="00486B8A"/>
    <w:rsid w:val="00486EDE"/>
    <w:rsid w:val="00486F22"/>
    <w:rsid w:val="00486FC5"/>
    <w:rsid w:val="004870D5"/>
    <w:rsid w:val="0048718E"/>
    <w:rsid w:val="00487201"/>
    <w:rsid w:val="00487295"/>
    <w:rsid w:val="00487355"/>
    <w:rsid w:val="00487377"/>
    <w:rsid w:val="0048739C"/>
    <w:rsid w:val="004873EE"/>
    <w:rsid w:val="00487404"/>
    <w:rsid w:val="00487546"/>
    <w:rsid w:val="00487550"/>
    <w:rsid w:val="004877A3"/>
    <w:rsid w:val="00487848"/>
    <w:rsid w:val="004878AB"/>
    <w:rsid w:val="004878E1"/>
    <w:rsid w:val="00487A34"/>
    <w:rsid w:val="00487AE5"/>
    <w:rsid w:val="00487C1A"/>
    <w:rsid w:val="00487C4A"/>
    <w:rsid w:val="00487C57"/>
    <w:rsid w:val="00487D21"/>
    <w:rsid w:val="00487D22"/>
    <w:rsid w:val="00487D73"/>
    <w:rsid w:val="00487EA2"/>
    <w:rsid w:val="00487FDF"/>
    <w:rsid w:val="00487FEA"/>
    <w:rsid w:val="00490037"/>
    <w:rsid w:val="0049010C"/>
    <w:rsid w:val="0049018B"/>
    <w:rsid w:val="004902EB"/>
    <w:rsid w:val="00490355"/>
    <w:rsid w:val="00490358"/>
    <w:rsid w:val="00490384"/>
    <w:rsid w:val="0049040F"/>
    <w:rsid w:val="00490468"/>
    <w:rsid w:val="00490473"/>
    <w:rsid w:val="004905E2"/>
    <w:rsid w:val="004906E1"/>
    <w:rsid w:val="00490719"/>
    <w:rsid w:val="004907DC"/>
    <w:rsid w:val="00490869"/>
    <w:rsid w:val="004908C7"/>
    <w:rsid w:val="004908D3"/>
    <w:rsid w:val="00490958"/>
    <w:rsid w:val="00490966"/>
    <w:rsid w:val="004909C1"/>
    <w:rsid w:val="00490AD0"/>
    <w:rsid w:val="00490B04"/>
    <w:rsid w:val="00490C60"/>
    <w:rsid w:val="00490FC0"/>
    <w:rsid w:val="00491049"/>
    <w:rsid w:val="0049115E"/>
    <w:rsid w:val="004911DC"/>
    <w:rsid w:val="0049121E"/>
    <w:rsid w:val="0049132E"/>
    <w:rsid w:val="0049149C"/>
    <w:rsid w:val="004914B9"/>
    <w:rsid w:val="00491509"/>
    <w:rsid w:val="004915C1"/>
    <w:rsid w:val="00491711"/>
    <w:rsid w:val="0049182E"/>
    <w:rsid w:val="00491851"/>
    <w:rsid w:val="0049196C"/>
    <w:rsid w:val="004919B1"/>
    <w:rsid w:val="00491AB6"/>
    <w:rsid w:val="00491B02"/>
    <w:rsid w:val="00491B06"/>
    <w:rsid w:val="00491B08"/>
    <w:rsid w:val="00491C9F"/>
    <w:rsid w:val="00491D34"/>
    <w:rsid w:val="00491D83"/>
    <w:rsid w:val="00491DF4"/>
    <w:rsid w:val="00491E20"/>
    <w:rsid w:val="00491ED3"/>
    <w:rsid w:val="00491EE2"/>
    <w:rsid w:val="00491FF6"/>
    <w:rsid w:val="00492061"/>
    <w:rsid w:val="0049221A"/>
    <w:rsid w:val="0049227E"/>
    <w:rsid w:val="004922F7"/>
    <w:rsid w:val="0049231D"/>
    <w:rsid w:val="00492354"/>
    <w:rsid w:val="0049237A"/>
    <w:rsid w:val="004923A8"/>
    <w:rsid w:val="00492566"/>
    <w:rsid w:val="004925A4"/>
    <w:rsid w:val="00492612"/>
    <w:rsid w:val="0049261A"/>
    <w:rsid w:val="004926E0"/>
    <w:rsid w:val="00492A14"/>
    <w:rsid w:val="00492A84"/>
    <w:rsid w:val="00492A94"/>
    <w:rsid w:val="00492AE1"/>
    <w:rsid w:val="00492B03"/>
    <w:rsid w:val="00492C8B"/>
    <w:rsid w:val="00492D7D"/>
    <w:rsid w:val="00492DE3"/>
    <w:rsid w:val="00492F54"/>
    <w:rsid w:val="00493041"/>
    <w:rsid w:val="00493167"/>
    <w:rsid w:val="004931F2"/>
    <w:rsid w:val="00493228"/>
    <w:rsid w:val="00493422"/>
    <w:rsid w:val="004934C1"/>
    <w:rsid w:val="004934C8"/>
    <w:rsid w:val="00493833"/>
    <w:rsid w:val="00493970"/>
    <w:rsid w:val="00493C3A"/>
    <w:rsid w:val="00493D92"/>
    <w:rsid w:val="00493E3A"/>
    <w:rsid w:val="004942AE"/>
    <w:rsid w:val="00494305"/>
    <w:rsid w:val="00494394"/>
    <w:rsid w:val="004945A1"/>
    <w:rsid w:val="004945C7"/>
    <w:rsid w:val="004945EC"/>
    <w:rsid w:val="00494660"/>
    <w:rsid w:val="0049471C"/>
    <w:rsid w:val="0049480B"/>
    <w:rsid w:val="0049486C"/>
    <w:rsid w:val="0049493E"/>
    <w:rsid w:val="00494969"/>
    <w:rsid w:val="00494BC2"/>
    <w:rsid w:val="00494BE5"/>
    <w:rsid w:val="00494C3E"/>
    <w:rsid w:val="00494C40"/>
    <w:rsid w:val="00494CA3"/>
    <w:rsid w:val="00494CD4"/>
    <w:rsid w:val="00494DA7"/>
    <w:rsid w:val="00494DF3"/>
    <w:rsid w:val="00494E48"/>
    <w:rsid w:val="00494F0D"/>
    <w:rsid w:val="00494FA3"/>
    <w:rsid w:val="00494FF1"/>
    <w:rsid w:val="004952B4"/>
    <w:rsid w:val="0049549D"/>
    <w:rsid w:val="004954B2"/>
    <w:rsid w:val="00495520"/>
    <w:rsid w:val="00495575"/>
    <w:rsid w:val="004955DF"/>
    <w:rsid w:val="0049561A"/>
    <w:rsid w:val="00495630"/>
    <w:rsid w:val="0049571D"/>
    <w:rsid w:val="004957C9"/>
    <w:rsid w:val="00495883"/>
    <w:rsid w:val="0049598C"/>
    <w:rsid w:val="00495A51"/>
    <w:rsid w:val="00495BC0"/>
    <w:rsid w:val="00495BC8"/>
    <w:rsid w:val="00495C9D"/>
    <w:rsid w:val="00495D00"/>
    <w:rsid w:val="00495D5A"/>
    <w:rsid w:val="00495D5E"/>
    <w:rsid w:val="00495DC6"/>
    <w:rsid w:val="00495DE7"/>
    <w:rsid w:val="00496149"/>
    <w:rsid w:val="0049620C"/>
    <w:rsid w:val="00496218"/>
    <w:rsid w:val="00496365"/>
    <w:rsid w:val="0049636C"/>
    <w:rsid w:val="004963B0"/>
    <w:rsid w:val="004963D0"/>
    <w:rsid w:val="00496455"/>
    <w:rsid w:val="00496456"/>
    <w:rsid w:val="0049646C"/>
    <w:rsid w:val="004964A1"/>
    <w:rsid w:val="0049652C"/>
    <w:rsid w:val="00496554"/>
    <w:rsid w:val="004965AA"/>
    <w:rsid w:val="004966B4"/>
    <w:rsid w:val="004967F7"/>
    <w:rsid w:val="004967FD"/>
    <w:rsid w:val="00496804"/>
    <w:rsid w:val="004968D7"/>
    <w:rsid w:val="00496AAC"/>
    <w:rsid w:val="00496ABD"/>
    <w:rsid w:val="00496CBA"/>
    <w:rsid w:val="00496D3C"/>
    <w:rsid w:val="00496D82"/>
    <w:rsid w:val="00496E77"/>
    <w:rsid w:val="00496F3D"/>
    <w:rsid w:val="0049702A"/>
    <w:rsid w:val="004970DE"/>
    <w:rsid w:val="00497190"/>
    <w:rsid w:val="004971D0"/>
    <w:rsid w:val="0049721C"/>
    <w:rsid w:val="004972DD"/>
    <w:rsid w:val="00497442"/>
    <w:rsid w:val="00497551"/>
    <w:rsid w:val="00497596"/>
    <w:rsid w:val="004975EA"/>
    <w:rsid w:val="0049779B"/>
    <w:rsid w:val="004977B2"/>
    <w:rsid w:val="0049780F"/>
    <w:rsid w:val="0049781D"/>
    <w:rsid w:val="00497A1A"/>
    <w:rsid w:val="00497B6D"/>
    <w:rsid w:val="00497B80"/>
    <w:rsid w:val="00497E85"/>
    <w:rsid w:val="00497F6A"/>
    <w:rsid w:val="004A0018"/>
    <w:rsid w:val="004A00F3"/>
    <w:rsid w:val="004A0233"/>
    <w:rsid w:val="004A0381"/>
    <w:rsid w:val="004A038E"/>
    <w:rsid w:val="004A0439"/>
    <w:rsid w:val="004A04F4"/>
    <w:rsid w:val="004A0661"/>
    <w:rsid w:val="004A0751"/>
    <w:rsid w:val="004A082F"/>
    <w:rsid w:val="004A0867"/>
    <w:rsid w:val="004A0884"/>
    <w:rsid w:val="004A094C"/>
    <w:rsid w:val="004A0CB1"/>
    <w:rsid w:val="004A0D8A"/>
    <w:rsid w:val="004A0E42"/>
    <w:rsid w:val="004A0E9A"/>
    <w:rsid w:val="004A10AE"/>
    <w:rsid w:val="004A1166"/>
    <w:rsid w:val="004A11B0"/>
    <w:rsid w:val="004A12C5"/>
    <w:rsid w:val="004A14C7"/>
    <w:rsid w:val="004A14FE"/>
    <w:rsid w:val="004A1518"/>
    <w:rsid w:val="004A1533"/>
    <w:rsid w:val="004A15A2"/>
    <w:rsid w:val="004A16DD"/>
    <w:rsid w:val="004A1A9C"/>
    <w:rsid w:val="004A1AF0"/>
    <w:rsid w:val="004A1BB8"/>
    <w:rsid w:val="004A1BDD"/>
    <w:rsid w:val="004A1C6D"/>
    <w:rsid w:val="004A1CDE"/>
    <w:rsid w:val="004A1D19"/>
    <w:rsid w:val="004A1DA8"/>
    <w:rsid w:val="004A1E42"/>
    <w:rsid w:val="004A1EFA"/>
    <w:rsid w:val="004A1F72"/>
    <w:rsid w:val="004A1F87"/>
    <w:rsid w:val="004A2037"/>
    <w:rsid w:val="004A22A3"/>
    <w:rsid w:val="004A22DA"/>
    <w:rsid w:val="004A23F9"/>
    <w:rsid w:val="004A264F"/>
    <w:rsid w:val="004A2650"/>
    <w:rsid w:val="004A2673"/>
    <w:rsid w:val="004A2A90"/>
    <w:rsid w:val="004A2A9C"/>
    <w:rsid w:val="004A2BC6"/>
    <w:rsid w:val="004A2C72"/>
    <w:rsid w:val="004A2DE0"/>
    <w:rsid w:val="004A2EDF"/>
    <w:rsid w:val="004A30C3"/>
    <w:rsid w:val="004A32AB"/>
    <w:rsid w:val="004A3319"/>
    <w:rsid w:val="004A331C"/>
    <w:rsid w:val="004A339A"/>
    <w:rsid w:val="004A3570"/>
    <w:rsid w:val="004A358D"/>
    <w:rsid w:val="004A35EA"/>
    <w:rsid w:val="004A3632"/>
    <w:rsid w:val="004A397B"/>
    <w:rsid w:val="004A3A54"/>
    <w:rsid w:val="004A3AFC"/>
    <w:rsid w:val="004A3B7A"/>
    <w:rsid w:val="004A3B96"/>
    <w:rsid w:val="004A3C84"/>
    <w:rsid w:val="004A3CEA"/>
    <w:rsid w:val="004A3D69"/>
    <w:rsid w:val="004A3F53"/>
    <w:rsid w:val="004A4433"/>
    <w:rsid w:val="004A44A6"/>
    <w:rsid w:val="004A44A9"/>
    <w:rsid w:val="004A470E"/>
    <w:rsid w:val="004A4781"/>
    <w:rsid w:val="004A4852"/>
    <w:rsid w:val="004A4889"/>
    <w:rsid w:val="004A4925"/>
    <w:rsid w:val="004A4949"/>
    <w:rsid w:val="004A4A11"/>
    <w:rsid w:val="004A4ABD"/>
    <w:rsid w:val="004A4C66"/>
    <w:rsid w:val="004A4D4C"/>
    <w:rsid w:val="004A4D84"/>
    <w:rsid w:val="004A4E9E"/>
    <w:rsid w:val="004A4EAA"/>
    <w:rsid w:val="004A4FD7"/>
    <w:rsid w:val="004A4FE3"/>
    <w:rsid w:val="004A5004"/>
    <w:rsid w:val="004A515B"/>
    <w:rsid w:val="004A51BD"/>
    <w:rsid w:val="004A51F8"/>
    <w:rsid w:val="004A5202"/>
    <w:rsid w:val="004A53C3"/>
    <w:rsid w:val="004A5457"/>
    <w:rsid w:val="004A5659"/>
    <w:rsid w:val="004A56C1"/>
    <w:rsid w:val="004A56E1"/>
    <w:rsid w:val="004A5838"/>
    <w:rsid w:val="004A58C2"/>
    <w:rsid w:val="004A598F"/>
    <w:rsid w:val="004A5A0B"/>
    <w:rsid w:val="004A5B52"/>
    <w:rsid w:val="004A5BE6"/>
    <w:rsid w:val="004A5C53"/>
    <w:rsid w:val="004A5CC2"/>
    <w:rsid w:val="004A5D02"/>
    <w:rsid w:val="004A5D06"/>
    <w:rsid w:val="004A5D94"/>
    <w:rsid w:val="004A5E3A"/>
    <w:rsid w:val="004A5ED3"/>
    <w:rsid w:val="004A6087"/>
    <w:rsid w:val="004A60AD"/>
    <w:rsid w:val="004A622B"/>
    <w:rsid w:val="004A64A8"/>
    <w:rsid w:val="004A6625"/>
    <w:rsid w:val="004A673D"/>
    <w:rsid w:val="004A6862"/>
    <w:rsid w:val="004A68BE"/>
    <w:rsid w:val="004A68D9"/>
    <w:rsid w:val="004A6938"/>
    <w:rsid w:val="004A69C2"/>
    <w:rsid w:val="004A69EE"/>
    <w:rsid w:val="004A6A11"/>
    <w:rsid w:val="004A6AD4"/>
    <w:rsid w:val="004A6F2A"/>
    <w:rsid w:val="004A6FF6"/>
    <w:rsid w:val="004A71E3"/>
    <w:rsid w:val="004A725B"/>
    <w:rsid w:val="004A7394"/>
    <w:rsid w:val="004A73A6"/>
    <w:rsid w:val="004A73D3"/>
    <w:rsid w:val="004A74A6"/>
    <w:rsid w:val="004A7511"/>
    <w:rsid w:val="004A7594"/>
    <w:rsid w:val="004A7667"/>
    <w:rsid w:val="004A7683"/>
    <w:rsid w:val="004A76FF"/>
    <w:rsid w:val="004A77D5"/>
    <w:rsid w:val="004A77E9"/>
    <w:rsid w:val="004A783E"/>
    <w:rsid w:val="004A78ED"/>
    <w:rsid w:val="004A79DE"/>
    <w:rsid w:val="004A7AF2"/>
    <w:rsid w:val="004A7AF9"/>
    <w:rsid w:val="004A7DB3"/>
    <w:rsid w:val="004A7DDF"/>
    <w:rsid w:val="004B0005"/>
    <w:rsid w:val="004B0141"/>
    <w:rsid w:val="004B017E"/>
    <w:rsid w:val="004B030E"/>
    <w:rsid w:val="004B04FB"/>
    <w:rsid w:val="004B0635"/>
    <w:rsid w:val="004B064E"/>
    <w:rsid w:val="004B0656"/>
    <w:rsid w:val="004B06C0"/>
    <w:rsid w:val="004B06C2"/>
    <w:rsid w:val="004B0746"/>
    <w:rsid w:val="004B08F7"/>
    <w:rsid w:val="004B09B0"/>
    <w:rsid w:val="004B0A4F"/>
    <w:rsid w:val="004B0A5E"/>
    <w:rsid w:val="004B0AB1"/>
    <w:rsid w:val="004B0B51"/>
    <w:rsid w:val="004B0C6C"/>
    <w:rsid w:val="004B0C83"/>
    <w:rsid w:val="004B0C8E"/>
    <w:rsid w:val="004B0D15"/>
    <w:rsid w:val="004B0D44"/>
    <w:rsid w:val="004B0D58"/>
    <w:rsid w:val="004B0D97"/>
    <w:rsid w:val="004B0DD4"/>
    <w:rsid w:val="004B0DF9"/>
    <w:rsid w:val="004B0E2C"/>
    <w:rsid w:val="004B10BE"/>
    <w:rsid w:val="004B117B"/>
    <w:rsid w:val="004B1272"/>
    <w:rsid w:val="004B1322"/>
    <w:rsid w:val="004B13A6"/>
    <w:rsid w:val="004B140D"/>
    <w:rsid w:val="004B1529"/>
    <w:rsid w:val="004B15A8"/>
    <w:rsid w:val="004B15BE"/>
    <w:rsid w:val="004B17D5"/>
    <w:rsid w:val="004B1953"/>
    <w:rsid w:val="004B19DA"/>
    <w:rsid w:val="004B1BB2"/>
    <w:rsid w:val="004B1D25"/>
    <w:rsid w:val="004B1D7E"/>
    <w:rsid w:val="004B1E27"/>
    <w:rsid w:val="004B2154"/>
    <w:rsid w:val="004B2220"/>
    <w:rsid w:val="004B2309"/>
    <w:rsid w:val="004B254E"/>
    <w:rsid w:val="004B2693"/>
    <w:rsid w:val="004B27DD"/>
    <w:rsid w:val="004B27DE"/>
    <w:rsid w:val="004B29C7"/>
    <w:rsid w:val="004B2A9F"/>
    <w:rsid w:val="004B2CA3"/>
    <w:rsid w:val="004B2D2E"/>
    <w:rsid w:val="004B2DCA"/>
    <w:rsid w:val="004B31A2"/>
    <w:rsid w:val="004B3229"/>
    <w:rsid w:val="004B32EA"/>
    <w:rsid w:val="004B3302"/>
    <w:rsid w:val="004B3470"/>
    <w:rsid w:val="004B356D"/>
    <w:rsid w:val="004B3665"/>
    <w:rsid w:val="004B36C0"/>
    <w:rsid w:val="004B3780"/>
    <w:rsid w:val="004B397F"/>
    <w:rsid w:val="004B39DB"/>
    <w:rsid w:val="004B3A2C"/>
    <w:rsid w:val="004B3A40"/>
    <w:rsid w:val="004B3B64"/>
    <w:rsid w:val="004B3B97"/>
    <w:rsid w:val="004B3CD4"/>
    <w:rsid w:val="004B3D20"/>
    <w:rsid w:val="004B3DCF"/>
    <w:rsid w:val="004B3F53"/>
    <w:rsid w:val="004B407B"/>
    <w:rsid w:val="004B414A"/>
    <w:rsid w:val="004B417A"/>
    <w:rsid w:val="004B42D6"/>
    <w:rsid w:val="004B4532"/>
    <w:rsid w:val="004B453A"/>
    <w:rsid w:val="004B45A8"/>
    <w:rsid w:val="004B4693"/>
    <w:rsid w:val="004B4695"/>
    <w:rsid w:val="004B4708"/>
    <w:rsid w:val="004B4762"/>
    <w:rsid w:val="004B47BE"/>
    <w:rsid w:val="004B48C1"/>
    <w:rsid w:val="004B48DF"/>
    <w:rsid w:val="004B4A1A"/>
    <w:rsid w:val="004B4A54"/>
    <w:rsid w:val="004B4A65"/>
    <w:rsid w:val="004B4BD8"/>
    <w:rsid w:val="004B4C88"/>
    <w:rsid w:val="004B4CE0"/>
    <w:rsid w:val="004B4D09"/>
    <w:rsid w:val="004B4E08"/>
    <w:rsid w:val="004B4E86"/>
    <w:rsid w:val="004B4F48"/>
    <w:rsid w:val="004B5026"/>
    <w:rsid w:val="004B50D5"/>
    <w:rsid w:val="004B50EB"/>
    <w:rsid w:val="004B513E"/>
    <w:rsid w:val="004B515A"/>
    <w:rsid w:val="004B532E"/>
    <w:rsid w:val="004B53FB"/>
    <w:rsid w:val="004B542B"/>
    <w:rsid w:val="004B54A2"/>
    <w:rsid w:val="004B5849"/>
    <w:rsid w:val="004B59C3"/>
    <w:rsid w:val="004B5BB4"/>
    <w:rsid w:val="004B5D18"/>
    <w:rsid w:val="004B5D19"/>
    <w:rsid w:val="004B5EB1"/>
    <w:rsid w:val="004B5FF1"/>
    <w:rsid w:val="004B5FFC"/>
    <w:rsid w:val="004B60FB"/>
    <w:rsid w:val="004B6167"/>
    <w:rsid w:val="004B61C8"/>
    <w:rsid w:val="004B61CD"/>
    <w:rsid w:val="004B625C"/>
    <w:rsid w:val="004B62B1"/>
    <w:rsid w:val="004B6397"/>
    <w:rsid w:val="004B63B5"/>
    <w:rsid w:val="004B6847"/>
    <w:rsid w:val="004B690F"/>
    <w:rsid w:val="004B6924"/>
    <w:rsid w:val="004B69C1"/>
    <w:rsid w:val="004B6A8A"/>
    <w:rsid w:val="004B6A94"/>
    <w:rsid w:val="004B6AF0"/>
    <w:rsid w:val="004B6B09"/>
    <w:rsid w:val="004B6B86"/>
    <w:rsid w:val="004B6BE0"/>
    <w:rsid w:val="004B6C3F"/>
    <w:rsid w:val="004B6C4D"/>
    <w:rsid w:val="004B6CC4"/>
    <w:rsid w:val="004B6D96"/>
    <w:rsid w:val="004B6DA3"/>
    <w:rsid w:val="004B6DBE"/>
    <w:rsid w:val="004B6E7C"/>
    <w:rsid w:val="004B6FDC"/>
    <w:rsid w:val="004B72EB"/>
    <w:rsid w:val="004B73B7"/>
    <w:rsid w:val="004B740B"/>
    <w:rsid w:val="004B74D2"/>
    <w:rsid w:val="004B78E1"/>
    <w:rsid w:val="004B78EE"/>
    <w:rsid w:val="004B7A4D"/>
    <w:rsid w:val="004B7D12"/>
    <w:rsid w:val="004B7D2E"/>
    <w:rsid w:val="004B7D46"/>
    <w:rsid w:val="004B7DB7"/>
    <w:rsid w:val="004B7DF2"/>
    <w:rsid w:val="004B7E0E"/>
    <w:rsid w:val="004B7F13"/>
    <w:rsid w:val="004B7F29"/>
    <w:rsid w:val="004C0125"/>
    <w:rsid w:val="004C01AC"/>
    <w:rsid w:val="004C02E0"/>
    <w:rsid w:val="004C02FF"/>
    <w:rsid w:val="004C039F"/>
    <w:rsid w:val="004C0481"/>
    <w:rsid w:val="004C04E4"/>
    <w:rsid w:val="004C04E6"/>
    <w:rsid w:val="004C0539"/>
    <w:rsid w:val="004C05FF"/>
    <w:rsid w:val="004C06CE"/>
    <w:rsid w:val="004C07D1"/>
    <w:rsid w:val="004C07E0"/>
    <w:rsid w:val="004C09E2"/>
    <w:rsid w:val="004C0ABF"/>
    <w:rsid w:val="004C0BAA"/>
    <w:rsid w:val="004C0BAD"/>
    <w:rsid w:val="004C0C37"/>
    <w:rsid w:val="004C0C5B"/>
    <w:rsid w:val="004C0D10"/>
    <w:rsid w:val="004C0D16"/>
    <w:rsid w:val="004C0D31"/>
    <w:rsid w:val="004C0EE6"/>
    <w:rsid w:val="004C100E"/>
    <w:rsid w:val="004C10F1"/>
    <w:rsid w:val="004C10F4"/>
    <w:rsid w:val="004C111F"/>
    <w:rsid w:val="004C1193"/>
    <w:rsid w:val="004C1209"/>
    <w:rsid w:val="004C1227"/>
    <w:rsid w:val="004C1273"/>
    <w:rsid w:val="004C155B"/>
    <w:rsid w:val="004C16B2"/>
    <w:rsid w:val="004C16DA"/>
    <w:rsid w:val="004C1705"/>
    <w:rsid w:val="004C174A"/>
    <w:rsid w:val="004C17BA"/>
    <w:rsid w:val="004C18E7"/>
    <w:rsid w:val="004C1914"/>
    <w:rsid w:val="004C19AE"/>
    <w:rsid w:val="004C1A06"/>
    <w:rsid w:val="004C1AFD"/>
    <w:rsid w:val="004C1B1E"/>
    <w:rsid w:val="004C1CB0"/>
    <w:rsid w:val="004C1D27"/>
    <w:rsid w:val="004C1D4F"/>
    <w:rsid w:val="004C1EE1"/>
    <w:rsid w:val="004C1EE6"/>
    <w:rsid w:val="004C1F6B"/>
    <w:rsid w:val="004C20A5"/>
    <w:rsid w:val="004C20E8"/>
    <w:rsid w:val="004C2172"/>
    <w:rsid w:val="004C21D2"/>
    <w:rsid w:val="004C2218"/>
    <w:rsid w:val="004C2304"/>
    <w:rsid w:val="004C2319"/>
    <w:rsid w:val="004C2574"/>
    <w:rsid w:val="004C25B2"/>
    <w:rsid w:val="004C2848"/>
    <w:rsid w:val="004C2906"/>
    <w:rsid w:val="004C294B"/>
    <w:rsid w:val="004C2ADB"/>
    <w:rsid w:val="004C2C08"/>
    <w:rsid w:val="004C2C3F"/>
    <w:rsid w:val="004C2DE1"/>
    <w:rsid w:val="004C2E03"/>
    <w:rsid w:val="004C2E0A"/>
    <w:rsid w:val="004C2E55"/>
    <w:rsid w:val="004C2E96"/>
    <w:rsid w:val="004C2F66"/>
    <w:rsid w:val="004C3382"/>
    <w:rsid w:val="004C3409"/>
    <w:rsid w:val="004C35AF"/>
    <w:rsid w:val="004C3732"/>
    <w:rsid w:val="004C37BC"/>
    <w:rsid w:val="004C3814"/>
    <w:rsid w:val="004C389A"/>
    <w:rsid w:val="004C397A"/>
    <w:rsid w:val="004C3A3E"/>
    <w:rsid w:val="004C3AA5"/>
    <w:rsid w:val="004C3AB6"/>
    <w:rsid w:val="004C3AE3"/>
    <w:rsid w:val="004C3AEE"/>
    <w:rsid w:val="004C3B51"/>
    <w:rsid w:val="004C3BB3"/>
    <w:rsid w:val="004C3D2B"/>
    <w:rsid w:val="004C3D91"/>
    <w:rsid w:val="004C3EE7"/>
    <w:rsid w:val="004C40CF"/>
    <w:rsid w:val="004C433C"/>
    <w:rsid w:val="004C4434"/>
    <w:rsid w:val="004C4676"/>
    <w:rsid w:val="004C4859"/>
    <w:rsid w:val="004C49BF"/>
    <w:rsid w:val="004C49EC"/>
    <w:rsid w:val="004C4B8A"/>
    <w:rsid w:val="004C4B9E"/>
    <w:rsid w:val="004C4C2D"/>
    <w:rsid w:val="004C4F1B"/>
    <w:rsid w:val="004C4FA7"/>
    <w:rsid w:val="004C5056"/>
    <w:rsid w:val="004C51F6"/>
    <w:rsid w:val="004C5306"/>
    <w:rsid w:val="004C5351"/>
    <w:rsid w:val="004C5395"/>
    <w:rsid w:val="004C53F3"/>
    <w:rsid w:val="004C55D7"/>
    <w:rsid w:val="004C5657"/>
    <w:rsid w:val="004C5798"/>
    <w:rsid w:val="004C57FA"/>
    <w:rsid w:val="004C5800"/>
    <w:rsid w:val="004C5867"/>
    <w:rsid w:val="004C587E"/>
    <w:rsid w:val="004C5A2F"/>
    <w:rsid w:val="004C5A68"/>
    <w:rsid w:val="004C5A96"/>
    <w:rsid w:val="004C5AF6"/>
    <w:rsid w:val="004C5C1F"/>
    <w:rsid w:val="004C5C7C"/>
    <w:rsid w:val="004C5D6B"/>
    <w:rsid w:val="004C5E05"/>
    <w:rsid w:val="004C5E3A"/>
    <w:rsid w:val="004C601D"/>
    <w:rsid w:val="004C6047"/>
    <w:rsid w:val="004C62AE"/>
    <w:rsid w:val="004C6454"/>
    <w:rsid w:val="004C64E7"/>
    <w:rsid w:val="004C655F"/>
    <w:rsid w:val="004C660E"/>
    <w:rsid w:val="004C66F0"/>
    <w:rsid w:val="004C66F4"/>
    <w:rsid w:val="004C67FF"/>
    <w:rsid w:val="004C68B7"/>
    <w:rsid w:val="004C68C9"/>
    <w:rsid w:val="004C6963"/>
    <w:rsid w:val="004C6A1B"/>
    <w:rsid w:val="004C6B64"/>
    <w:rsid w:val="004C6B65"/>
    <w:rsid w:val="004C6BB7"/>
    <w:rsid w:val="004C6EE5"/>
    <w:rsid w:val="004C7158"/>
    <w:rsid w:val="004C717B"/>
    <w:rsid w:val="004C72F5"/>
    <w:rsid w:val="004C7662"/>
    <w:rsid w:val="004C76C5"/>
    <w:rsid w:val="004C774B"/>
    <w:rsid w:val="004C781E"/>
    <w:rsid w:val="004C79C7"/>
    <w:rsid w:val="004C79C9"/>
    <w:rsid w:val="004C79E8"/>
    <w:rsid w:val="004C79F9"/>
    <w:rsid w:val="004C7A83"/>
    <w:rsid w:val="004C7BD5"/>
    <w:rsid w:val="004C7C3B"/>
    <w:rsid w:val="004C7C78"/>
    <w:rsid w:val="004C7D2B"/>
    <w:rsid w:val="004C7E78"/>
    <w:rsid w:val="004C7E89"/>
    <w:rsid w:val="004C7F1B"/>
    <w:rsid w:val="004D007B"/>
    <w:rsid w:val="004D0256"/>
    <w:rsid w:val="004D03C2"/>
    <w:rsid w:val="004D04F1"/>
    <w:rsid w:val="004D0517"/>
    <w:rsid w:val="004D065B"/>
    <w:rsid w:val="004D0691"/>
    <w:rsid w:val="004D0740"/>
    <w:rsid w:val="004D0757"/>
    <w:rsid w:val="004D09E4"/>
    <w:rsid w:val="004D0AA1"/>
    <w:rsid w:val="004D0DCE"/>
    <w:rsid w:val="004D0E81"/>
    <w:rsid w:val="004D0F39"/>
    <w:rsid w:val="004D1045"/>
    <w:rsid w:val="004D11F2"/>
    <w:rsid w:val="004D1432"/>
    <w:rsid w:val="004D143F"/>
    <w:rsid w:val="004D147C"/>
    <w:rsid w:val="004D1490"/>
    <w:rsid w:val="004D14DA"/>
    <w:rsid w:val="004D14E4"/>
    <w:rsid w:val="004D1743"/>
    <w:rsid w:val="004D1A2A"/>
    <w:rsid w:val="004D1B78"/>
    <w:rsid w:val="004D1BC1"/>
    <w:rsid w:val="004D1C47"/>
    <w:rsid w:val="004D1DEF"/>
    <w:rsid w:val="004D1E4B"/>
    <w:rsid w:val="004D1F8F"/>
    <w:rsid w:val="004D200E"/>
    <w:rsid w:val="004D2205"/>
    <w:rsid w:val="004D227B"/>
    <w:rsid w:val="004D22B1"/>
    <w:rsid w:val="004D24F2"/>
    <w:rsid w:val="004D24F9"/>
    <w:rsid w:val="004D2634"/>
    <w:rsid w:val="004D2759"/>
    <w:rsid w:val="004D2787"/>
    <w:rsid w:val="004D2825"/>
    <w:rsid w:val="004D28D1"/>
    <w:rsid w:val="004D28E8"/>
    <w:rsid w:val="004D29BE"/>
    <w:rsid w:val="004D2A7E"/>
    <w:rsid w:val="004D2BEA"/>
    <w:rsid w:val="004D2D28"/>
    <w:rsid w:val="004D2DEA"/>
    <w:rsid w:val="004D2E47"/>
    <w:rsid w:val="004D2F59"/>
    <w:rsid w:val="004D302C"/>
    <w:rsid w:val="004D3171"/>
    <w:rsid w:val="004D3366"/>
    <w:rsid w:val="004D339F"/>
    <w:rsid w:val="004D33BC"/>
    <w:rsid w:val="004D340F"/>
    <w:rsid w:val="004D345C"/>
    <w:rsid w:val="004D34B2"/>
    <w:rsid w:val="004D3516"/>
    <w:rsid w:val="004D3556"/>
    <w:rsid w:val="004D3568"/>
    <w:rsid w:val="004D35C9"/>
    <w:rsid w:val="004D37D9"/>
    <w:rsid w:val="004D3991"/>
    <w:rsid w:val="004D3BA4"/>
    <w:rsid w:val="004D3BEE"/>
    <w:rsid w:val="004D3C0F"/>
    <w:rsid w:val="004D3C63"/>
    <w:rsid w:val="004D3CF8"/>
    <w:rsid w:val="004D3D2D"/>
    <w:rsid w:val="004D3E1F"/>
    <w:rsid w:val="004D3F57"/>
    <w:rsid w:val="004D4006"/>
    <w:rsid w:val="004D40B7"/>
    <w:rsid w:val="004D4538"/>
    <w:rsid w:val="004D4540"/>
    <w:rsid w:val="004D46AB"/>
    <w:rsid w:val="004D4966"/>
    <w:rsid w:val="004D497F"/>
    <w:rsid w:val="004D4992"/>
    <w:rsid w:val="004D49B5"/>
    <w:rsid w:val="004D4A6C"/>
    <w:rsid w:val="004D4AA7"/>
    <w:rsid w:val="004D4B1E"/>
    <w:rsid w:val="004D4C6E"/>
    <w:rsid w:val="004D4CE4"/>
    <w:rsid w:val="004D4DBC"/>
    <w:rsid w:val="004D4DBF"/>
    <w:rsid w:val="004D4E27"/>
    <w:rsid w:val="004D4F21"/>
    <w:rsid w:val="004D4F81"/>
    <w:rsid w:val="004D51B1"/>
    <w:rsid w:val="004D51DD"/>
    <w:rsid w:val="004D51E7"/>
    <w:rsid w:val="004D525A"/>
    <w:rsid w:val="004D531D"/>
    <w:rsid w:val="004D53E1"/>
    <w:rsid w:val="004D5415"/>
    <w:rsid w:val="004D546C"/>
    <w:rsid w:val="004D54C2"/>
    <w:rsid w:val="004D5516"/>
    <w:rsid w:val="004D5580"/>
    <w:rsid w:val="004D56EE"/>
    <w:rsid w:val="004D575D"/>
    <w:rsid w:val="004D57C3"/>
    <w:rsid w:val="004D5910"/>
    <w:rsid w:val="004D5932"/>
    <w:rsid w:val="004D5963"/>
    <w:rsid w:val="004D5972"/>
    <w:rsid w:val="004D59CC"/>
    <w:rsid w:val="004D5A39"/>
    <w:rsid w:val="004D5A78"/>
    <w:rsid w:val="004D5BD6"/>
    <w:rsid w:val="004D5C49"/>
    <w:rsid w:val="004D5FCA"/>
    <w:rsid w:val="004D60F4"/>
    <w:rsid w:val="004D6167"/>
    <w:rsid w:val="004D617D"/>
    <w:rsid w:val="004D623E"/>
    <w:rsid w:val="004D62B5"/>
    <w:rsid w:val="004D6317"/>
    <w:rsid w:val="004D6351"/>
    <w:rsid w:val="004D63A3"/>
    <w:rsid w:val="004D64C9"/>
    <w:rsid w:val="004D6539"/>
    <w:rsid w:val="004D679D"/>
    <w:rsid w:val="004D67D5"/>
    <w:rsid w:val="004D6875"/>
    <w:rsid w:val="004D68C7"/>
    <w:rsid w:val="004D68FE"/>
    <w:rsid w:val="004D6919"/>
    <w:rsid w:val="004D69C8"/>
    <w:rsid w:val="004D6A53"/>
    <w:rsid w:val="004D6AC7"/>
    <w:rsid w:val="004D6AE5"/>
    <w:rsid w:val="004D6B09"/>
    <w:rsid w:val="004D6B0C"/>
    <w:rsid w:val="004D6BE7"/>
    <w:rsid w:val="004D6C8B"/>
    <w:rsid w:val="004D6D33"/>
    <w:rsid w:val="004D6D61"/>
    <w:rsid w:val="004D6DA7"/>
    <w:rsid w:val="004D6DCD"/>
    <w:rsid w:val="004D6FA4"/>
    <w:rsid w:val="004D70EA"/>
    <w:rsid w:val="004D7180"/>
    <w:rsid w:val="004D7354"/>
    <w:rsid w:val="004D73DA"/>
    <w:rsid w:val="004D7484"/>
    <w:rsid w:val="004D75D7"/>
    <w:rsid w:val="004D774A"/>
    <w:rsid w:val="004D7837"/>
    <w:rsid w:val="004D786A"/>
    <w:rsid w:val="004D7883"/>
    <w:rsid w:val="004D791B"/>
    <w:rsid w:val="004D793A"/>
    <w:rsid w:val="004D793E"/>
    <w:rsid w:val="004D7CE0"/>
    <w:rsid w:val="004D7D52"/>
    <w:rsid w:val="004D7E07"/>
    <w:rsid w:val="004E017A"/>
    <w:rsid w:val="004E0183"/>
    <w:rsid w:val="004E023F"/>
    <w:rsid w:val="004E045A"/>
    <w:rsid w:val="004E061D"/>
    <w:rsid w:val="004E06D6"/>
    <w:rsid w:val="004E0759"/>
    <w:rsid w:val="004E0812"/>
    <w:rsid w:val="004E0959"/>
    <w:rsid w:val="004E09FF"/>
    <w:rsid w:val="004E0B0D"/>
    <w:rsid w:val="004E0C46"/>
    <w:rsid w:val="004E0C56"/>
    <w:rsid w:val="004E0CF3"/>
    <w:rsid w:val="004E0DBF"/>
    <w:rsid w:val="004E1011"/>
    <w:rsid w:val="004E10BB"/>
    <w:rsid w:val="004E11C8"/>
    <w:rsid w:val="004E1369"/>
    <w:rsid w:val="004E1540"/>
    <w:rsid w:val="004E1617"/>
    <w:rsid w:val="004E162B"/>
    <w:rsid w:val="004E1630"/>
    <w:rsid w:val="004E17E9"/>
    <w:rsid w:val="004E1802"/>
    <w:rsid w:val="004E1A4B"/>
    <w:rsid w:val="004E1AB0"/>
    <w:rsid w:val="004E1B7E"/>
    <w:rsid w:val="004E1BE2"/>
    <w:rsid w:val="004E1C6B"/>
    <w:rsid w:val="004E1D87"/>
    <w:rsid w:val="004E1D93"/>
    <w:rsid w:val="004E1DE7"/>
    <w:rsid w:val="004E1EDB"/>
    <w:rsid w:val="004E1EFB"/>
    <w:rsid w:val="004E1F14"/>
    <w:rsid w:val="004E1F1D"/>
    <w:rsid w:val="004E1F31"/>
    <w:rsid w:val="004E1F6D"/>
    <w:rsid w:val="004E1F79"/>
    <w:rsid w:val="004E1FB9"/>
    <w:rsid w:val="004E21F3"/>
    <w:rsid w:val="004E220C"/>
    <w:rsid w:val="004E22D3"/>
    <w:rsid w:val="004E232A"/>
    <w:rsid w:val="004E2361"/>
    <w:rsid w:val="004E23F1"/>
    <w:rsid w:val="004E244A"/>
    <w:rsid w:val="004E2662"/>
    <w:rsid w:val="004E2783"/>
    <w:rsid w:val="004E27A4"/>
    <w:rsid w:val="004E28F7"/>
    <w:rsid w:val="004E2914"/>
    <w:rsid w:val="004E2965"/>
    <w:rsid w:val="004E29BA"/>
    <w:rsid w:val="004E2A3C"/>
    <w:rsid w:val="004E2A7C"/>
    <w:rsid w:val="004E2CDD"/>
    <w:rsid w:val="004E2E19"/>
    <w:rsid w:val="004E2FC6"/>
    <w:rsid w:val="004E2FE2"/>
    <w:rsid w:val="004E31E5"/>
    <w:rsid w:val="004E3282"/>
    <w:rsid w:val="004E32FE"/>
    <w:rsid w:val="004E3356"/>
    <w:rsid w:val="004E34DE"/>
    <w:rsid w:val="004E3720"/>
    <w:rsid w:val="004E37C0"/>
    <w:rsid w:val="004E37F0"/>
    <w:rsid w:val="004E3840"/>
    <w:rsid w:val="004E391A"/>
    <w:rsid w:val="004E39A1"/>
    <w:rsid w:val="004E3A0B"/>
    <w:rsid w:val="004E3ADC"/>
    <w:rsid w:val="004E3C19"/>
    <w:rsid w:val="004E3C8A"/>
    <w:rsid w:val="004E3CD9"/>
    <w:rsid w:val="004E3DE2"/>
    <w:rsid w:val="004E3E4E"/>
    <w:rsid w:val="004E4317"/>
    <w:rsid w:val="004E460B"/>
    <w:rsid w:val="004E46FE"/>
    <w:rsid w:val="004E474C"/>
    <w:rsid w:val="004E4752"/>
    <w:rsid w:val="004E4771"/>
    <w:rsid w:val="004E47C7"/>
    <w:rsid w:val="004E4808"/>
    <w:rsid w:val="004E4966"/>
    <w:rsid w:val="004E4A37"/>
    <w:rsid w:val="004E4AD7"/>
    <w:rsid w:val="004E4ADB"/>
    <w:rsid w:val="004E4CC2"/>
    <w:rsid w:val="004E4D0E"/>
    <w:rsid w:val="004E4D10"/>
    <w:rsid w:val="004E4DDD"/>
    <w:rsid w:val="004E4EA9"/>
    <w:rsid w:val="004E4ED8"/>
    <w:rsid w:val="004E4F19"/>
    <w:rsid w:val="004E4F65"/>
    <w:rsid w:val="004E4FA3"/>
    <w:rsid w:val="004E50FC"/>
    <w:rsid w:val="004E5244"/>
    <w:rsid w:val="004E538F"/>
    <w:rsid w:val="004E5620"/>
    <w:rsid w:val="004E5A53"/>
    <w:rsid w:val="004E5A7E"/>
    <w:rsid w:val="004E5A87"/>
    <w:rsid w:val="004E5AD1"/>
    <w:rsid w:val="004E5BA9"/>
    <w:rsid w:val="004E5D04"/>
    <w:rsid w:val="004E5D52"/>
    <w:rsid w:val="004E5D92"/>
    <w:rsid w:val="004E5DB5"/>
    <w:rsid w:val="004E5EB3"/>
    <w:rsid w:val="004E5EE1"/>
    <w:rsid w:val="004E6161"/>
    <w:rsid w:val="004E6233"/>
    <w:rsid w:val="004E62BD"/>
    <w:rsid w:val="004E63DB"/>
    <w:rsid w:val="004E640E"/>
    <w:rsid w:val="004E656F"/>
    <w:rsid w:val="004E6603"/>
    <w:rsid w:val="004E6658"/>
    <w:rsid w:val="004E67DD"/>
    <w:rsid w:val="004E682A"/>
    <w:rsid w:val="004E68D2"/>
    <w:rsid w:val="004E68FF"/>
    <w:rsid w:val="004E6F08"/>
    <w:rsid w:val="004E6F9F"/>
    <w:rsid w:val="004E70AC"/>
    <w:rsid w:val="004E7196"/>
    <w:rsid w:val="004E738C"/>
    <w:rsid w:val="004E7540"/>
    <w:rsid w:val="004E7566"/>
    <w:rsid w:val="004E761F"/>
    <w:rsid w:val="004E762F"/>
    <w:rsid w:val="004E763D"/>
    <w:rsid w:val="004E77EF"/>
    <w:rsid w:val="004E7C4C"/>
    <w:rsid w:val="004E7C7C"/>
    <w:rsid w:val="004E7CBD"/>
    <w:rsid w:val="004E7F3D"/>
    <w:rsid w:val="004E7F94"/>
    <w:rsid w:val="004E7F96"/>
    <w:rsid w:val="004E7FE1"/>
    <w:rsid w:val="004F031C"/>
    <w:rsid w:val="004F0324"/>
    <w:rsid w:val="004F0643"/>
    <w:rsid w:val="004F075A"/>
    <w:rsid w:val="004F077B"/>
    <w:rsid w:val="004F07A5"/>
    <w:rsid w:val="004F07C9"/>
    <w:rsid w:val="004F07FA"/>
    <w:rsid w:val="004F08EC"/>
    <w:rsid w:val="004F0900"/>
    <w:rsid w:val="004F0A2A"/>
    <w:rsid w:val="004F0AE6"/>
    <w:rsid w:val="004F0CA4"/>
    <w:rsid w:val="004F0F94"/>
    <w:rsid w:val="004F0FD0"/>
    <w:rsid w:val="004F107E"/>
    <w:rsid w:val="004F119B"/>
    <w:rsid w:val="004F12A4"/>
    <w:rsid w:val="004F1344"/>
    <w:rsid w:val="004F142E"/>
    <w:rsid w:val="004F1436"/>
    <w:rsid w:val="004F143A"/>
    <w:rsid w:val="004F1446"/>
    <w:rsid w:val="004F14D2"/>
    <w:rsid w:val="004F1540"/>
    <w:rsid w:val="004F1666"/>
    <w:rsid w:val="004F16C8"/>
    <w:rsid w:val="004F18B5"/>
    <w:rsid w:val="004F18CD"/>
    <w:rsid w:val="004F18F0"/>
    <w:rsid w:val="004F1A87"/>
    <w:rsid w:val="004F1B6E"/>
    <w:rsid w:val="004F1B89"/>
    <w:rsid w:val="004F1C50"/>
    <w:rsid w:val="004F1D72"/>
    <w:rsid w:val="004F1D76"/>
    <w:rsid w:val="004F1E83"/>
    <w:rsid w:val="004F1EB8"/>
    <w:rsid w:val="004F202F"/>
    <w:rsid w:val="004F2089"/>
    <w:rsid w:val="004F208D"/>
    <w:rsid w:val="004F2184"/>
    <w:rsid w:val="004F222F"/>
    <w:rsid w:val="004F2242"/>
    <w:rsid w:val="004F23FD"/>
    <w:rsid w:val="004F271F"/>
    <w:rsid w:val="004F28CD"/>
    <w:rsid w:val="004F2985"/>
    <w:rsid w:val="004F29DB"/>
    <w:rsid w:val="004F2A04"/>
    <w:rsid w:val="004F2AA1"/>
    <w:rsid w:val="004F2ADF"/>
    <w:rsid w:val="004F2AE5"/>
    <w:rsid w:val="004F2CD1"/>
    <w:rsid w:val="004F2D3F"/>
    <w:rsid w:val="004F2D4D"/>
    <w:rsid w:val="004F2D5F"/>
    <w:rsid w:val="004F2E2C"/>
    <w:rsid w:val="004F2F55"/>
    <w:rsid w:val="004F321B"/>
    <w:rsid w:val="004F3427"/>
    <w:rsid w:val="004F3440"/>
    <w:rsid w:val="004F346F"/>
    <w:rsid w:val="004F3554"/>
    <w:rsid w:val="004F3556"/>
    <w:rsid w:val="004F36A0"/>
    <w:rsid w:val="004F3850"/>
    <w:rsid w:val="004F38FD"/>
    <w:rsid w:val="004F3933"/>
    <w:rsid w:val="004F3A09"/>
    <w:rsid w:val="004F3AAC"/>
    <w:rsid w:val="004F3C78"/>
    <w:rsid w:val="004F3CFA"/>
    <w:rsid w:val="004F3D2B"/>
    <w:rsid w:val="004F3EB0"/>
    <w:rsid w:val="004F3EF7"/>
    <w:rsid w:val="004F3F59"/>
    <w:rsid w:val="004F4087"/>
    <w:rsid w:val="004F41AF"/>
    <w:rsid w:val="004F4447"/>
    <w:rsid w:val="004F45B5"/>
    <w:rsid w:val="004F46BD"/>
    <w:rsid w:val="004F4754"/>
    <w:rsid w:val="004F478A"/>
    <w:rsid w:val="004F4803"/>
    <w:rsid w:val="004F4814"/>
    <w:rsid w:val="004F4857"/>
    <w:rsid w:val="004F4867"/>
    <w:rsid w:val="004F48B3"/>
    <w:rsid w:val="004F48E4"/>
    <w:rsid w:val="004F48E5"/>
    <w:rsid w:val="004F49EA"/>
    <w:rsid w:val="004F4A05"/>
    <w:rsid w:val="004F4A0F"/>
    <w:rsid w:val="004F4A6A"/>
    <w:rsid w:val="004F4B0B"/>
    <w:rsid w:val="004F4C57"/>
    <w:rsid w:val="004F4CCD"/>
    <w:rsid w:val="004F4D14"/>
    <w:rsid w:val="004F4D69"/>
    <w:rsid w:val="004F4E08"/>
    <w:rsid w:val="004F4E43"/>
    <w:rsid w:val="004F4E72"/>
    <w:rsid w:val="004F5117"/>
    <w:rsid w:val="004F520C"/>
    <w:rsid w:val="004F5519"/>
    <w:rsid w:val="004F558F"/>
    <w:rsid w:val="004F55A1"/>
    <w:rsid w:val="004F55F7"/>
    <w:rsid w:val="004F5690"/>
    <w:rsid w:val="004F56A1"/>
    <w:rsid w:val="004F56BD"/>
    <w:rsid w:val="004F572F"/>
    <w:rsid w:val="004F57A3"/>
    <w:rsid w:val="004F57DB"/>
    <w:rsid w:val="004F581A"/>
    <w:rsid w:val="004F5A1C"/>
    <w:rsid w:val="004F5A20"/>
    <w:rsid w:val="004F5C6A"/>
    <w:rsid w:val="004F5CAE"/>
    <w:rsid w:val="004F6015"/>
    <w:rsid w:val="004F602C"/>
    <w:rsid w:val="004F602F"/>
    <w:rsid w:val="004F616E"/>
    <w:rsid w:val="004F6295"/>
    <w:rsid w:val="004F6489"/>
    <w:rsid w:val="004F6618"/>
    <w:rsid w:val="004F6683"/>
    <w:rsid w:val="004F6780"/>
    <w:rsid w:val="004F6815"/>
    <w:rsid w:val="004F6846"/>
    <w:rsid w:val="004F6905"/>
    <w:rsid w:val="004F6BA6"/>
    <w:rsid w:val="004F6CF5"/>
    <w:rsid w:val="004F6CF9"/>
    <w:rsid w:val="004F7140"/>
    <w:rsid w:val="004F7347"/>
    <w:rsid w:val="004F7383"/>
    <w:rsid w:val="004F73AC"/>
    <w:rsid w:val="004F73E3"/>
    <w:rsid w:val="004F7539"/>
    <w:rsid w:val="004F75AA"/>
    <w:rsid w:val="004F762C"/>
    <w:rsid w:val="004F7635"/>
    <w:rsid w:val="004F76C8"/>
    <w:rsid w:val="004F797C"/>
    <w:rsid w:val="004F7A24"/>
    <w:rsid w:val="004F7A94"/>
    <w:rsid w:val="004F7AA1"/>
    <w:rsid w:val="004F7B0A"/>
    <w:rsid w:val="004F7B95"/>
    <w:rsid w:val="004F7C4C"/>
    <w:rsid w:val="004F7C91"/>
    <w:rsid w:val="004F7E72"/>
    <w:rsid w:val="004F7EE1"/>
    <w:rsid w:val="004F7EE9"/>
    <w:rsid w:val="004F7F3D"/>
    <w:rsid w:val="0050004F"/>
    <w:rsid w:val="0050010C"/>
    <w:rsid w:val="005001DA"/>
    <w:rsid w:val="00500258"/>
    <w:rsid w:val="00500324"/>
    <w:rsid w:val="005003F3"/>
    <w:rsid w:val="005003FF"/>
    <w:rsid w:val="00500484"/>
    <w:rsid w:val="0050056A"/>
    <w:rsid w:val="00500864"/>
    <w:rsid w:val="005008E2"/>
    <w:rsid w:val="0050090F"/>
    <w:rsid w:val="005009AA"/>
    <w:rsid w:val="00500AB7"/>
    <w:rsid w:val="00500C7C"/>
    <w:rsid w:val="00500D39"/>
    <w:rsid w:val="00500D96"/>
    <w:rsid w:val="00500EA5"/>
    <w:rsid w:val="00500EF8"/>
    <w:rsid w:val="00500F2E"/>
    <w:rsid w:val="005010F1"/>
    <w:rsid w:val="005011EC"/>
    <w:rsid w:val="0050124C"/>
    <w:rsid w:val="00501299"/>
    <w:rsid w:val="005013ED"/>
    <w:rsid w:val="005013EF"/>
    <w:rsid w:val="00501464"/>
    <w:rsid w:val="00501471"/>
    <w:rsid w:val="0050149E"/>
    <w:rsid w:val="00501578"/>
    <w:rsid w:val="00501592"/>
    <w:rsid w:val="005016E4"/>
    <w:rsid w:val="005017EE"/>
    <w:rsid w:val="00501962"/>
    <w:rsid w:val="00501979"/>
    <w:rsid w:val="00501A48"/>
    <w:rsid w:val="00501A6C"/>
    <w:rsid w:val="00501AF8"/>
    <w:rsid w:val="00501B8D"/>
    <w:rsid w:val="00501BF9"/>
    <w:rsid w:val="00501D02"/>
    <w:rsid w:val="00501D4A"/>
    <w:rsid w:val="00501DCD"/>
    <w:rsid w:val="00501F7A"/>
    <w:rsid w:val="00501FF4"/>
    <w:rsid w:val="00501FF5"/>
    <w:rsid w:val="00502054"/>
    <w:rsid w:val="0050211E"/>
    <w:rsid w:val="00502158"/>
    <w:rsid w:val="005021D2"/>
    <w:rsid w:val="0050260A"/>
    <w:rsid w:val="005027BF"/>
    <w:rsid w:val="005027E3"/>
    <w:rsid w:val="00502871"/>
    <w:rsid w:val="0050299B"/>
    <w:rsid w:val="005029BF"/>
    <w:rsid w:val="00502A83"/>
    <w:rsid w:val="00502AA7"/>
    <w:rsid w:val="00502ABB"/>
    <w:rsid w:val="00502C71"/>
    <w:rsid w:val="00502D82"/>
    <w:rsid w:val="00502D8F"/>
    <w:rsid w:val="00502DD3"/>
    <w:rsid w:val="00502E55"/>
    <w:rsid w:val="00502E9B"/>
    <w:rsid w:val="00502F4F"/>
    <w:rsid w:val="00502F65"/>
    <w:rsid w:val="00502FD2"/>
    <w:rsid w:val="00503031"/>
    <w:rsid w:val="005030B8"/>
    <w:rsid w:val="00503270"/>
    <w:rsid w:val="005032A8"/>
    <w:rsid w:val="005033C6"/>
    <w:rsid w:val="005036A0"/>
    <w:rsid w:val="00503726"/>
    <w:rsid w:val="00503733"/>
    <w:rsid w:val="00503824"/>
    <w:rsid w:val="005038B8"/>
    <w:rsid w:val="00503A17"/>
    <w:rsid w:val="00503B51"/>
    <w:rsid w:val="00503C00"/>
    <w:rsid w:val="00503CE5"/>
    <w:rsid w:val="00503D55"/>
    <w:rsid w:val="00503DB6"/>
    <w:rsid w:val="00503F12"/>
    <w:rsid w:val="005040BB"/>
    <w:rsid w:val="0050413A"/>
    <w:rsid w:val="0050416F"/>
    <w:rsid w:val="00504329"/>
    <w:rsid w:val="00504341"/>
    <w:rsid w:val="00504353"/>
    <w:rsid w:val="00504383"/>
    <w:rsid w:val="00504730"/>
    <w:rsid w:val="005048BB"/>
    <w:rsid w:val="00504900"/>
    <w:rsid w:val="005049C2"/>
    <w:rsid w:val="00504A02"/>
    <w:rsid w:val="00504A92"/>
    <w:rsid w:val="00504B3E"/>
    <w:rsid w:val="00504B4F"/>
    <w:rsid w:val="00504B8E"/>
    <w:rsid w:val="00504BE9"/>
    <w:rsid w:val="00504CA8"/>
    <w:rsid w:val="00504CC2"/>
    <w:rsid w:val="00504DDB"/>
    <w:rsid w:val="005052FE"/>
    <w:rsid w:val="0050538F"/>
    <w:rsid w:val="005053C9"/>
    <w:rsid w:val="005053D5"/>
    <w:rsid w:val="005053ED"/>
    <w:rsid w:val="005054E0"/>
    <w:rsid w:val="005055F3"/>
    <w:rsid w:val="00505623"/>
    <w:rsid w:val="00505697"/>
    <w:rsid w:val="005056A5"/>
    <w:rsid w:val="005056CC"/>
    <w:rsid w:val="00505758"/>
    <w:rsid w:val="0050589B"/>
    <w:rsid w:val="005058E9"/>
    <w:rsid w:val="0050592D"/>
    <w:rsid w:val="00505B72"/>
    <w:rsid w:val="00505BDD"/>
    <w:rsid w:val="00505D09"/>
    <w:rsid w:val="00505DFA"/>
    <w:rsid w:val="00505FA9"/>
    <w:rsid w:val="00506169"/>
    <w:rsid w:val="0050618B"/>
    <w:rsid w:val="005061E4"/>
    <w:rsid w:val="0050625B"/>
    <w:rsid w:val="005062C9"/>
    <w:rsid w:val="0050630F"/>
    <w:rsid w:val="00506364"/>
    <w:rsid w:val="00506460"/>
    <w:rsid w:val="005064B0"/>
    <w:rsid w:val="005064E4"/>
    <w:rsid w:val="005067D5"/>
    <w:rsid w:val="005068BA"/>
    <w:rsid w:val="00506921"/>
    <w:rsid w:val="005069C1"/>
    <w:rsid w:val="00506A83"/>
    <w:rsid w:val="00506AD2"/>
    <w:rsid w:val="00506D44"/>
    <w:rsid w:val="00506DF5"/>
    <w:rsid w:val="00506F74"/>
    <w:rsid w:val="00506FCB"/>
    <w:rsid w:val="00507134"/>
    <w:rsid w:val="005073F3"/>
    <w:rsid w:val="005074BD"/>
    <w:rsid w:val="00507517"/>
    <w:rsid w:val="005075CC"/>
    <w:rsid w:val="0050760A"/>
    <w:rsid w:val="005076AC"/>
    <w:rsid w:val="005076C1"/>
    <w:rsid w:val="0050771C"/>
    <w:rsid w:val="0050782B"/>
    <w:rsid w:val="00507902"/>
    <w:rsid w:val="0050792B"/>
    <w:rsid w:val="0050797B"/>
    <w:rsid w:val="005079F0"/>
    <w:rsid w:val="00507A84"/>
    <w:rsid w:val="00507B1F"/>
    <w:rsid w:val="00507B51"/>
    <w:rsid w:val="00507BB8"/>
    <w:rsid w:val="00507C0F"/>
    <w:rsid w:val="00507CC3"/>
    <w:rsid w:val="00507CFB"/>
    <w:rsid w:val="00507D4F"/>
    <w:rsid w:val="00507DA6"/>
    <w:rsid w:val="00507F5F"/>
    <w:rsid w:val="00507F96"/>
    <w:rsid w:val="00507FF3"/>
    <w:rsid w:val="005100F4"/>
    <w:rsid w:val="00510130"/>
    <w:rsid w:val="00510340"/>
    <w:rsid w:val="00510488"/>
    <w:rsid w:val="005104D4"/>
    <w:rsid w:val="0051053D"/>
    <w:rsid w:val="00510607"/>
    <w:rsid w:val="005106F2"/>
    <w:rsid w:val="0051072C"/>
    <w:rsid w:val="005108CD"/>
    <w:rsid w:val="005108FD"/>
    <w:rsid w:val="00510972"/>
    <w:rsid w:val="005109A7"/>
    <w:rsid w:val="00510B9D"/>
    <w:rsid w:val="00510C9B"/>
    <w:rsid w:val="00510CE0"/>
    <w:rsid w:val="00511082"/>
    <w:rsid w:val="005110F5"/>
    <w:rsid w:val="0051125B"/>
    <w:rsid w:val="0051136F"/>
    <w:rsid w:val="00511489"/>
    <w:rsid w:val="00511519"/>
    <w:rsid w:val="005115B6"/>
    <w:rsid w:val="005115C8"/>
    <w:rsid w:val="0051160E"/>
    <w:rsid w:val="00511634"/>
    <w:rsid w:val="0051170F"/>
    <w:rsid w:val="005117F3"/>
    <w:rsid w:val="00511813"/>
    <w:rsid w:val="005118EA"/>
    <w:rsid w:val="0051195D"/>
    <w:rsid w:val="00511986"/>
    <w:rsid w:val="005119A3"/>
    <w:rsid w:val="00511A3F"/>
    <w:rsid w:val="00511ACD"/>
    <w:rsid w:val="00511B36"/>
    <w:rsid w:val="00511CED"/>
    <w:rsid w:val="00511D56"/>
    <w:rsid w:val="00511E09"/>
    <w:rsid w:val="00511E26"/>
    <w:rsid w:val="00511E7B"/>
    <w:rsid w:val="005121DD"/>
    <w:rsid w:val="0051225A"/>
    <w:rsid w:val="0051228B"/>
    <w:rsid w:val="00512346"/>
    <w:rsid w:val="0051238B"/>
    <w:rsid w:val="005124D9"/>
    <w:rsid w:val="005124F8"/>
    <w:rsid w:val="00512557"/>
    <w:rsid w:val="005125D5"/>
    <w:rsid w:val="00512680"/>
    <w:rsid w:val="0051279B"/>
    <w:rsid w:val="00512802"/>
    <w:rsid w:val="00512827"/>
    <w:rsid w:val="00512829"/>
    <w:rsid w:val="00512881"/>
    <w:rsid w:val="00512A24"/>
    <w:rsid w:val="00512B4E"/>
    <w:rsid w:val="00512BD2"/>
    <w:rsid w:val="00512FC1"/>
    <w:rsid w:val="00513121"/>
    <w:rsid w:val="0051326A"/>
    <w:rsid w:val="005133A7"/>
    <w:rsid w:val="00513462"/>
    <w:rsid w:val="00513482"/>
    <w:rsid w:val="00513498"/>
    <w:rsid w:val="00513522"/>
    <w:rsid w:val="00513553"/>
    <w:rsid w:val="00513594"/>
    <w:rsid w:val="005136BF"/>
    <w:rsid w:val="00513797"/>
    <w:rsid w:val="005137C8"/>
    <w:rsid w:val="005137D5"/>
    <w:rsid w:val="0051384E"/>
    <w:rsid w:val="005139F5"/>
    <w:rsid w:val="00513A78"/>
    <w:rsid w:val="00513B15"/>
    <w:rsid w:val="00513BA6"/>
    <w:rsid w:val="00513BB1"/>
    <w:rsid w:val="00513C43"/>
    <w:rsid w:val="00513D20"/>
    <w:rsid w:val="00513DFC"/>
    <w:rsid w:val="00513EBB"/>
    <w:rsid w:val="00513FD1"/>
    <w:rsid w:val="00514185"/>
    <w:rsid w:val="005143D2"/>
    <w:rsid w:val="0051443C"/>
    <w:rsid w:val="00514457"/>
    <w:rsid w:val="00514485"/>
    <w:rsid w:val="0051448B"/>
    <w:rsid w:val="00514542"/>
    <w:rsid w:val="00514564"/>
    <w:rsid w:val="0051456A"/>
    <w:rsid w:val="00514572"/>
    <w:rsid w:val="00514884"/>
    <w:rsid w:val="00514890"/>
    <w:rsid w:val="00514921"/>
    <w:rsid w:val="0051492B"/>
    <w:rsid w:val="00514931"/>
    <w:rsid w:val="00514976"/>
    <w:rsid w:val="0051499D"/>
    <w:rsid w:val="005149F3"/>
    <w:rsid w:val="00514A48"/>
    <w:rsid w:val="00514B01"/>
    <w:rsid w:val="00514C19"/>
    <w:rsid w:val="00514CB4"/>
    <w:rsid w:val="00514CD7"/>
    <w:rsid w:val="00514D33"/>
    <w:rsid w:val="00514DB1"/>
    <w:rsid w:val="00514E39"/>
    <w:rsid w:val="00514EBB"/>
    <w:rsid w:val="00514EDF"/>
    <w:rsid w:val="00514F06"/>
    <w:rsid w:val="00514F56"/>
    <w:rsid w:val="00515083"/>
    <w:rsid w:val="00515350"/>
    <w:rsid w:val="005153A0"/>
    <w:rsid w:val="0051567B"/>
    <w:rsid w:val="0051567E"/>
    <w:rsid w:val="005156ED"/>
    <w:rsid w:val="00515788"/>
    <w:rsid w:val="0051586B"/>
    <w:rsid w:val="005158A3"/>
    <w:rsid w:val="005158AC"/>
    <w:rsid w:val="00515A93"/>
    <w:rsid w:val="00515CE5"/>
    <w:rsid w:val="00515CEA"/>
    <w:rsid w:val="00515DD0"/>
    <w:rsid w:val="00515FEE"/>
    <w:rsid w:val="00516070"/>
    <w:rsid w:val="005161CA"/>
    <w:rsid w:val="005161F8"/>
    <w:rsid w:val="00516207"/>
    <w:rsid w:val="00516218"/>
    <w:rsid w:val="00516250"/>
    <w:rsid w:val="00516360"/>
    <w:rsid w:val="005164DD"/>
    <w:rsid w:val="0051653B"/>
    <w:rsid w:val="0051657C"/>
    <w:rsid w:val="005165FE"/>
    <w:rsid w:val="0051677D"/>
    <w:rsid w:val="00516832"/>
    <w:rsid w:val="00516847"/>
    <w:rsid w:val="00516910"/>
    <w:rsid w:val="005169D1"/>
    <w:rsid w:val="00516A15"/>
    <w:rsid w:val="00516AD7"/>
    <w:rsid w:val="00516B49"/>
    <w:rsid w:val="00516B83"/>
    <w:rsid w:val="00516D5A"/>
    <w:rsid w:val="00516D76"/>
    <w:rsid w:val="00516DDF"/>
    <w:rsid w:val="00516E38"/>
    <w:rsid w:val="00516EE8"/>
    <w:rsid w:val="0051701E"/>
    <w:rsid w:val="005170A6"/>
    <w:rsid w:val="00517182"/>
    <w:rsid w:val="00517233"/>
    <w:rsid w:val="0051735B"/>
    <w:rsid w:val="0051737A"/>
    <w:rsid w:val="005174B5"/>
    <w:rsid w:val="00517516"/>
    <w:rsid w:val="005176A0"/>
    <w:rsid w:val="005176F2"/>
    <w:rsid w:val="00517723"/>
    <w:rsid w:val="00517A05"/>
    <w:rsid w:val="00517A08"/>
    <w:rsid w:val="00517A40"/>
    <w:rsid w:val="00517C55"/>
    <w:rsid w:val="00517D0A"/>
    <w:rsid w:val="00517E4E"/>
    <w:rsid w:val="00517F00"/>
    <w:rsid w:val="00517F44"/>
    <w:rsid w:val="0052010B"/>
    <w:rsid w:val="00520120"/>
    <w:rsid w:val="00520131"/>
    <w:rsid w:val="0052016A"/>
    <w:rsid w:val="0052021B"/>
    <w:rsid w:val="005202C1"/>
    <w:rsid w:val="00520353"/>
    <w:rsid w:val="005203F3"/>
    <w:rsid w:val="00520415"/>
    <w:rsid w:val="0052050C"/>
    <w:rsid w:val="00520566"/>
    <w:rsid w:val="00520579"/>
    <w:rsid w:val="0052057A"/>
    <w:rsid w:val="00520695"/>
    <w:rsid w:val="005206FA"/>
    <w:rsid w:val="00520836"/>
    <w:rsid w:val="005208A3"/>
    <w:rsid w:val="005208BC"/>
    <w:rsid w:val="00520994"/>
    <w:rsid w:val="00520B68"/>
    <w:rsid w:val="00520BE7"/>
    <w:rsid w:val="00520C83"/>
    <w:rsid w:val="00520C9F"/>
    <w:rsid w:val="00520D38"/>
    <w:rsid w:val="00520D7E"/>
    <w:rsid w:val="00520DA3"/>
    <w:rsid w:val="00520E08"/>
    <w:rsid w:val="00520EBD"/>
    <w:rsid w:val="00520ECE"/>
    <w:rsid w:val="00520F6B"/>
    <w:rsid w:val="0052108C"/>
    <w:rsid w:val="005210BE"/>
    <w:rsid w:val="005210D1"/>
    <w:rsid w:val="005210EB"/>
    <w:rsid w:val="00521112"/>
    <w:rsid w:val="00521484"/>
    <w:rsid w:val="005214BB"/>
    <w:rsid w:val="005215C2"/>
    <w:rsid w:val="00521680"/>
    <w:rsid w:val="005216AF"/>
    <w:rsid w:val="00521AED"/>
    <w:rsid w:val="00521C26"/>
    <w:rsid w:val="00521CA6"/>
    <w:rsid w:val="00521D65"/>
    <w:rsid w:val="00521DC7"/>
    <w:rsid w:val="00521DD0"/>
    <w:rsid w:val="00521E0B"/>
    <w:rsid w:val="00521F35"/>
    <w:rsid w:val="00521F94"/>
    <w:rsid w:val="0052223A"/>
    <w:rsid w:val="00522411"/>
    <w:rsid w:val="00522500"/>
    <w:rsid w:val="00522529"/>
    <w:rsid w:val="00522576"/>
    <w:rsid w:val="00522744"/>
    <w:rsid w:val="005227A2"/>
    <w:rsid w:val="00522B04"/>
    <w:rsid w:val="00522D85"/>
    <w:rsid w:val="00522DFC"/>
    <w:rsid w:val="00522E59"/>
    <w:rsid w:val="00522ED0"/>
    <w:rsid w:val="00522F59"/>
    <w:rsid w:val="0052303E"/>
    <w:rsid w:val="00523052"/>
    <w:rsid w:val="005230D0"/>
    <w:rsid w:val="005232DE"/>
    <w:rsid w:val="00523444"/>
    <w:rsid w:val="00523472"/>
    <w:rsid w:val="005234DC"/>
    <w:rsid w:val="00523695"/>
    <w:rsid w:val="00523739"/>
    <w:rsid w:val="005239F9"/>
    <w:rsid w:val="00523BEB"/>
    <w:rsid w:val="00523C70"/>
    <w:rsid w:val="00523D1C"/>
    <w:rsid w:val="00523D30"/>
    <w:rsid w:val="00523E1C"/>
    <w:rsid w:val="00523FC4"/>
    <w:rsid w:val="00523FF8"/>
    <w:rsid w:val="0052403B"/>
    <w:rsid w:val="0052414B"/>
    <w:rsid w:val="005241E2"/>
    <w:rsid w:val="00524209"/>
    <w:rsid w:val="0052421E"/>
    <w:rsid w:val="00524227"/>
    <w:rsid w:val="00524265"/>
    <w:rsid w:val="0052429D"/>
    <w:rsid w:val="00524312"/>
    <w:rsid w:val="00524488"/>
    <w:rsid w:val="0052448E"/>
    <w:rsid w:val="005244B6"/>
    <w:rsid w:val="005246D8"/>
    <w:rsid w:val="00524832"/>
    <w:rsid w:val="00524921"/>
    <w:rsid w:val="00524A66"/>
    <w:rsid w:val="00524B9A"/>
    <w:rsid w:val="00524BD5"/>
    <w:rsid w:val="00524E89"/>
    <w:rsid w:val="00524F13"/>
    <w:rsid w:val="00524FE9"/>
    <w:rsid w:val="0052511A"/>
    <w:rsid w:val="00525131"/>
    <w:rsid w:val="0052523D"/>
    <w:rsid w:val="0052543B"/>
    <w:rsid w:val="005254E4"/>
    <w:rsid w:val="00525572"/>
    <w:rsid w:val="005256EA"/>
    <w:rsid w:val="0052573B"/>
    <w:rsid w:val="00525741"/>
    <w:rsid w:val="005257D9"/>
    <w:rsid w:val="005258BC"/>
    <w:rsid w:val="005258F9"/>
    <w:rsid w:val="00525951"/>
    <w:rsid w:val="00525962"/>
    <w:rsid w:val="00525966"/>
    <w:rsid w:val="00525A6F"/>
    <w:rsid w:val="00525B27"/>
    <w:rsid w:val="00525B58"/>
    <w:rsid w:val="00525BB1"/>
    <w:rsid w:val="00525D29"/>
    <w:rsid w:val="00525DC0"/>
    <w:rsid w:val="00525E48"/>
    <w:rsid w:val="00525F7D"/>
    <w:rsid w:val="005260D5"/>
    <w:rsid w:val="005260E9"/>
    <w:rsid w:val="00526146"/>
    <w:rsid w:val="00526160"/>
    <w:rsid w:val="0052628D"/>
    <w:rsid w:val="005263CF"/>
    <w:rsid w:val="00526496"/>
    <w:rsid w:val="00526683"/>
    <w:rsid w:val="0052669A"/>
    <w:rsid w:val="00526712"/>
    <w:rsid w:val="0052691C"/>
    <w:rsid w:val="0052692A"/>
    <w:rsid w:val="005269C7"/>
    <w:rsid w:val="00526A3E"/>
    <w:rsid w:val="00526A94"/>
    <w:rsid w:val="00526B74"/>
    <w:rsid w:val="00526C83"/>
    <w:rsid w:val="00526C9E"/>
    <w:rsid w:val="00526CC5"/>
    <w:rsid w:val="00526E25"/>
    <w:rsid w:val="00526EB0"/>
    <w:rsid w:val="00526F92"/>
    <w:rsid w:val="00526FEC"/>
    <w:rsid w:val="00527023"/>
    <w:rsid w:val="00527243"/>
    <w:rsid w:val="0052740A"/>
    <w:rsid w:val="00527489"/>
    <w:rsid w:val="00527576"/>
    <w:rsid w:val="005276D5"/>
    <w:rsid w:val="005276DF"/>
    <w:rsid w:val="0052772E"/>
    <w:rsid w:val="0052778E"/>
    <w:rsid w:val="0052782B"/>
    <w:rsid w:val="005278A2"/>
    <w:rsid w:val="005278AA"/>
    <w:rsid w:val="00527907"/>
    <w:rsid w:val="0052797A"/>
    <w:rsid w:val="005279B8"/>
    <w:rsid w:val="00527A08"/>
    <w:rsid w:val="00527A1C"/>
    <w:rsid w:val="00527A1F"/>
    <w:rsid w:val="00527B7E"/>
    <w:rsid w:val="00527BC7"/>
    <w:rsid w:val="00527C76"/>
    <w:rsid w:val="00527CEE"/>
    <w:rsid w:val="00527D5E"/>
    <w:rsid w:val="00527E5D"/>
    <w:rsid w:val="00527EA4"/>
    <w:rsid w:val="00527F7E"/>
    <w:rsid w:val="00527F95"/>
    <w:rsid w:val="0053007E"/>
    <w:rsid w:val="00530089"/>
    <w:rsid w:val="005300D7"/>
    <w:rsid w:val="00530323"/>
    <w:rsid w:val="005304CD"/>
    <w:rsid w:val="0053062F"/>
    <w:rsid w:val="005307DA"/>
    <w:rsid w:val="0053081D"/>
    <w:rsid w:val="005308B4"/>
    <w:rsid w:val="005309D7"/>
    <w:rsid w:val="00530C76"/>
    <w:rsid w:val="00530D3D"/>
    <w:rsid w:val="00530DBC"/>
    <w:rsid w:val="00530EA7"/>
    <w:rsid w:val="00530EB4"/>
    <w:rsid w:val="00530FC4"/>
    <w:rsid w:val="0053104F"/>
    <w:rsid w:val="005310E5"/>
    <w:rsid w:val="00531152"/>
    <w:rsid w:val="0053118C"/>
    <w:rsid w:val="00531264"/>
    <w:rsid w:val="005313BE"/>
    <w:rsid w:val="0053161F"/>
    <w:rsid w:val="00531725"/>
    <w:rsid w:val="00531728"/>
    <w:rsid w:val="005317EE"/>
    <w:rsid w:val="005318FA"/>
    <w:rsid w:val="00531977"/>
    <w:rsid w:val="005319C4"/>
    <w:rsid w:val="005319E6"/>
    <w:rsid w:val="00531A5C"/>
    <w:rsid w:val="00531AFF"/>
    <w:rsid w:val="00531C23"/>
    <w:rsid w:val="00531CDA"/>
    <w:rsid w:val="00531E2B"/>
    <w:rsid w:val="00532058"/>
    <w:rsid w:val="00532216"/>
    <w:rsid w:val="00532308"/>
    <w:rsid w:val="00532385"/>
    <w:rsid w:val="0053247B"/>
    <w:rsid w:val="005326BD"/>
    <w:rsid w:val="005326FB"/>
    <w:rsid w:val="00532A3D"/>
    <w:rsid w:val="00532A7E"/>
    <w:rsid w:val="00532B93"/>
    <w:rsid w:val="00532C43"/>
    <w:rsid w:val="00532CE5"/>
    <w:rsid w:val="00532D20"/>
    <w:rsid w:val="00532D4E"/>
    <w:rsid w:val="00532E82"/>
    <w:rsid w:val="00532EF0"/>
    <w:rsid w:val="00532F06"/>
    <w:rsid w:val="00532F1F"/>
    <w:rsid w:val="00532F48"/>
    <w:rsid w:val="00532FA8"/>
    <w:rsid w:val="00532FAE"/>
    <w:rsid w:val="00533033"/>
    <w:rsid w:val="005331EA"/>
    <w:rsid w:val="00533238"/>
    <w:rsid w:val="0053324C"/>
    <w:rsid w:val="00533385"/>
    <w:rsid w:val="005333F0"/>
    <w:rsid w:val="00533411"/>
    <w:rsid w:val="00533471"/>
    <w:rsid w:val="0053371C"/>
    <w:rsid w:val="0053373E"/>
    <w:rsid w:val="005337E0"/>
    <w:rsid w:val="005337E7"/>
    <w:rsid w:val="00533819"/>
    <w:rsid w:val="00533875"/>
    <w:rsid w:val="00533936"/>
    <w:rsid w:val="005339C0"/>
    <w:rsid w:val="00533A0A"/>
    <w:rsid w:val="00533A56"/>
    <w:rsid w:val="00533A88"/>
    <w:rsid w:val="00533AD6"/>
    <w:rsid w:val="00533B84"/>
    <w:rsid w:val="00533C43"/>
    <w:rsid w:val="00533D81"/>
    <w:rsid w:val="00533DCB"/>
    <w:rsid w:val="00533F22"/>
    <w:rsid w:val="00533FAE"/>
    <w:rsid w:val="005340D4"/>
    <w:rsid w:val="0053416A"/>
    <w:rsid w:val="0053430E"/>
    <w:rsid w:val="005343E6"/>
    <w:rsid w:val="00534432"/>
    <w:rsid w:val="0053448F"/>
    <w:rsid w:val="005345EE"/>
    <w:rsid w:val="00534616"/>
    <w:rsid w:val="005346DE"/>
    <w:rsid w:val="00534701"/>
    <w:rsid w:val="00534766"/>
    <w:rsid w:val="00534A90"/>
    <w:rsid w:val="00534B75"/>
    <w:rsid w:val="00534B7E"/>
    <w:rsid w:val="00534D2F"/>
    <w:rsid w:val="00534D6C"/>
    <w:rsid w:val="00534DEE"/>
    <w:rsid w:val="00534E04"/>
    <w:rsid w:val="00534EE2"/>
    <w:rsid w:val="00534F19"/>
    <w:rsid w:val="00534F56"/>
    <w:rsid w:val="00534F6E"/>
    <w:rsid w:val="00534FFB"/>
    <w:rsid w:val="00535015"/>
    <w:rsid w:val="00535062"/>
    <w:rsid w:val="0053513A"/>
    <w:rsid w:val="00535273"/>
    <w:rsid w:val="00535368"/>
    <w:rsid w:val="0053540B"/>
    <w:rsid w:val="00535504"/>
    <w:rsid w:val="0053554C"/>
    <w:rsid w:val="0053557C"/>
    <w:rsid w:val="00535590"/>
    <w:rsid w:val="00535782"/>
    <w:rsid w:val="00535914"/>
    <w:rsid w:val="005359A2"/>
    <w:rsid w:val="00535ACA"/>
    <w:rsid w:val="00535AD4"/>
    <w:rsid w:val="00535BFD"/>
    <w:rsid w:val="00535C13"/>
    <w:rsid w:val="00535CB2"/>
    <w:rsid w:val="00535FBD"/>
    <w:rsid w:val="00535FCC"/>
    <w:rsid w:val="00535FD7"/>
    <w:rsid w:val="00535FFE"/>
    <w:rsid w:val="00536112"/>
    <w:rsid w:val="0053639D"/>
    <w:rsid w:val="0053648C"/>
    <w:rsid w:val="005364C0"/>
    <w:rsid w:val="005364F2"/>
    <w:rsid w:val="0053654A"/>
    <w:rsid w:val="00536783"/>
    <w:rsid w:val="005367D8"/>
    <w:rsid w:val="005367E2"/>
    <w:rsid w:val="0053681C"/>
    <w:rsid w:val="00536A27"/>
    <w:rsid w:val="00536B59"/>
    <w:rsid w:val="00536B93"/>
    <w:rsid w:val="00536BA8"/>
    <w:rsid w:val="00536BEB"/>
    <w:rsid w:val="00536CEF"/>
    <w:rsid w:val="00536D88"/>
    <w:rsid w:val="00536E3D"/>
    <w:rsid w:val="00536F77"/>
    <w:rsid w:val="00537227"/>
    <w:rsid w:val="00537264"/>
    <w:rsid w:val="005373D1"/>
    <w:rsid w:val="005373E6"/>
    <w:rsid w:val="0053740A"/>
    <w:rsid w:val="0053746C"/>
    <w:rsid w:val="005377F3"/>
    <w:rsid w:val="005377FE"/>
    <w:rsid w:val="00537B18"/>
    <w:rsid w:val="00537B6F"/>
    <w:rsid w:val="00537B94"/>
    <w:rsid w:val="00537BB0"/>
    <w:rsid w:val="00537BD8"/>
    <w:rsid w:val="00537BFF"/>
    <w:rsid w:val="00537C16"/>
    <w:rsid w:val="00537C3C"/>
    <w:rsid w:val="00537E3C"/>
    <w:rsid w:val="00537E47"/>
    <w:rsid w:val="00537F2F"/>
    <w:rsid w:val="00540133"/>
    <w:rsid w:val="00540342"/>
    <w:rsid w:val="00540358"/>
    <w:rsid w:val="00540742"/>
    <w:rsid w:val="00540771"/>
    <w:rsid w:val="0054086B"/>
    <w:rsid w:val="0054093A"/>
    <w:rsid w:val="0054094B"/>
    <w:rsid w:val="00540B03"/>
    <w:rsid w:val="00540B3C"/>
    <w:rsid w:val="00540C02"/>
    <w:rsid w:val="00540C4C"/>
    <w:rsid w:val="00540D57"/>
    <w:rsid w:val="00540E3D"/>
    <w:rsid w:val="00540E93"/>
    <w:rsid w:val="00540F3F"/>
    <w:rsid w:val="00541012"/>
    <w:rsid w:val="00541205"/>
    <w:rsid w:val="00541345"/>
    <w:rsid w:val="005413BA"/>
    <w:rsid w:val="005413EB"/>
    <w:rsid w:val="00541447"/>
    <w:rsid w:val="005416D1"/>
    <w:rsid w:val="0054194C"/>
    <w:rsid w:val="00541C96"/>
    <w:rsid w:val="00541C9B"/>
    <w:rsid w:val="00541CCA"/>
    <w:rsid w:val="00541CF9"/>
    <w:rsid w:val="00541E7C"/>
    <w:rsid w:val="00541FA5"/>
    <w:rsid w:val="005420D6"/>
    <w:rsid w:val="0054213C"/>
    <w:rsid w:val="005421D4"/>
    <w:rsid w:val="005421DE"/>
    <w:rsid w:val="005421EA"/>
    <w:rsid w:val="005421F3"/>
    <w:rsid w:val="00542205"/>
    <w:rsid w:val="00542253"/>
    <w:rsid w:val="005422A9"/>
    <w:rsid w:val="005422E8"/>
    <w:rsid w:val="00542313"/>
    <w:rsid w:val="005423AC"/>
    <w:rsid w:val="00542464"/>
    <w:rsid w:val="005424CA"/>
    <w:rsid w:val="00542692"/>
    <w:rsid w:val="005426EA"/>
    <w:rsid w:val="0054279C"/>
    <w:rsid w:val="005427A6"/>
    <w:rsid w:val="005427DB"/>
    <w:rsid w:val="0054287C"/>
    <w:rsid w:val="00542B40"/>
    <w:rsid w:val="00542C65"/>
    <w:rsid w:val="00542D1C"/>
    <w:rsid w:val="00542D65"/>
    <w:rsid w:val="00542D70"/>
    <w:rsid w:val="00542F92"/>
    <w:rsid w:val="0054306D"/>
    <w:rsid w:val="005432C7"/>
    <w:rsid w:val="005433A6"/>
    <w:rsid w:val="005433D3"/>
    <w:rsid w:val="00543533"/>
    <w:rsid w:val="00543620"/>
    <w:rsid w:val="00543623"/>
    <w:rsid w:val="00543662"/>
    <w:rsid w:val="00543774"/>
    <w:rsid w:val="00543812"/>
    <w:rsid w:val="00543A77"/>
    <w:rsid w:val="00543C41"/>
    <w:rsid w:val="00543C58"/>
    <w:rsid w:val="00543D8A"/>
    <w:rsid w:val="00543E39"/>
    <w:rsid w:val="00543E76"/>
    <w:rsid w:val="00543EF7"/>
    <w:rsid w:val="00544059"/>
    <w:rsid w:val="0054411E"/>
    <w:rsid w:val="0054433F"/>
    <w:rsid w:val="005443CE"/>
    <w:rsid w:val="00544501"/>
    <w:rsid w:val="005446DD"/>
    <w:rsid w:val="0054471F"/>
    <w:rsid w:val="005447E1"/>
    <w:rsid w:val="005449FA"/>
    <w:rsid w:val="00544B1B"/>
    <w:rsid w:val="00544C11"/>
    <w:rsid w:val="00544CC8"/>
    <w:rsid w:val="00544D1E"/>
    <w:rsid w:val="00544E81"/>
    <w:rsid w:val="0054512A"/>
    <w:rsid w:val="00545176"/>
    <w:rsid w:val="005452C0"/>
    <w:rsid w:val="0054539F"/>
    <w:rsid w:val="00545416"/>
    <w:rsid w:val="005454C2"/>
    <w:rsid w:val="00545529"/>
    <w:rsid w:val="00545642"/>
    <w:rsid w:val="005456E9"/>
    <w:rsid w:val="005457CA"/>
    <w:rsid w:val="00545A26"/>
    <w:rsid w:val="00545B13"/>
    <w:rsid w:val="00545B3C"/>
    <w:rsid w:val="00545B79"/>
    <w:rsid w:val="00545C3A"/>
    <w:rsid w:val="00545D1D"/>
    <w:rsid w:val="00545D8E"/>
    <w:rsid w:val="00545F6F"/>
    <w:rsid w:val="0054617A"/>
    <w:rsid w:val="0054619F"/>
    <w:rsid w:val="005462D8"/>
    <w:rsid w:val="005462F4"/>
    <w:rsid w:val="00546323"/>
    <w:rsid w:val="005465A0"/>
    <w:rsid w:val="00546716"/>
    <w:rsid w:val="005467F9"/>
    <w:rsid w:val="005468EA"/>
    <w:rsid w:val="00546923"/>
    <w:rsid w:val="00546AF6"/>
    <w:rsid w:val="00546C61"/>
    <w:rsid w:val="00546DB3"/>
    <w:rsid w:val="00546E04"/>
    <w:rsid w:val="00546EF4"/>
    <w:rsid w:val="00546F3D"/>
    <w:rsid w:val="00546F61"/>
    <w:rsid w:val="00546FBC"/>
    <w:rsid w:val="0054701F"/>
    <w:rsid w:val="00547147"/>
    <w:rsid w:val="005471BF"/>
    <w:rsid w:val="005471EF"/>
    <w:rsid w:val="00547212"/>
    <w:rsid w:val="005472AD"/>
    <w:rsid w:val="005472C5"/>
    <w:rsid w:val="005472E4"/>
    <w:rsid w:val="0054748D"/>
    <w:rsid w:val="005474C1"/>
    <w:rsid w:val="005474F4"/>
    <w:rsid w:val="0054758E"/>
    <w:rsid w:val="0054762D"/>
    <w:rsid w:val="005476AB"/>
    <w:rsid w:val="005476B6"/>
    <w:rsid w:val="0054780B"/>
    <w:rsid w:val="0054791A"/>
    <w:rsid w:val="00547B19"/>
    <w:rsid w:val="00547BB9"/>
    <w:rsid w:val="00547C4C"/>
    <w:rsid w:val="00547CF2"/>
    <w:rsid w:val="00547DCB"/>
    <w:rsid w:val="00547DE9"/>
    <w:rsid w:val="00547E97"/>
    <w:rsid w:val="00547E99"/>
    <w:rsid w:val="00547F32"/>
    <w:rsid w:val="00547F75"/>
    <w:rsid w:val="00550033"/>
    <w:rsid w:val="00550083"/>
    <w:rsid w:val="005500BE"/>
    <w:rsid w:val="00550101"/>
    <w:rsid w:val="00550196"/>
    <w:rsid w:val="005502C3"/>
    <w:rsid w:val="005502DB"/>
    <w:rsid w:val="005503CC"/>
    <w:rsid w:val="005503F3"/>
    <w:rsid w:val="0055041A"/>
    <w:rsid w:val="005504FB"/>
    <w:rsid w:val="0055051C"/>
    <w:rsid w:val="0055055B"/>
    <w:rsid w:val="00550588"/>
    <w:rsid w:val="00550829"/>
    <w:rsid w:val="0055095E"/>
    <w:rsid w:val="00550A02"/>
    <w:rsid w:val="00550ACA"/>
    <w:rsid w:val="00550AF8"/>
    <w:rsid w:val="00550B04"/>
    <w:rsid w:val="00550C77"/>
    <w:rsid w:val="00550E33"/>
    <w:rsid w:val="00550E7B"/>
    <w:rsid w:val="00551066"/>
    <w:rsid w:val="005510A2"/>
    <w:rsid w:val="00551238"/>
    <w:rsid w:val="00551260"/>
    <w:rsid w:val="00551328"/>
    <w:rsid w:val="00551424"/>
    <w:rsid w:val="00551475"/>
    <w:rsid w:val="00551508"/>
    <w:rsid w:val="0055165D"/>
    <w:rsid w:val="0055181D"/>
    <w:rsid w:val="00551826"/>
    <w:rsid w:val="00551866"/>
    <w:rsid w:val="005518FC"/>
    <w:rsid w:val="00551BDD"/>
    <w:rsid w:val="00551C5D"/>
    <w:rsid w:val="00551CEA"/>
    <w:rsid w:val="00551D3E"/>
    <w:rsid w:val="00551E1A"/>
    <w:rsid w:val="00551F08"/>
    <w:rsid w:val="00551F56"/>
    <w:rsid w:val="00551FC5"/>
    <w:rsid w:val="00552039"/>
    <w:rsid w:val="005520B0"/>
    <w:rsid w:val="00552140"/>
    <w:rsid w:val="00552185"/>
    <w:rsid w:val="005521CD"/>
    <w:rsid w:val="0055238B"/>
    <w:rsid w:val="005523DD"/>
    <w:rsid w:val="005524FB"/>
    <w:rsid w:val="0055258B"/>
    <w:rsid w:val="005525E0"/>
    <w:rsid w:val="00552640"/>
    <w:rsid w:val="00552763"/>
    <w:rsid w:val="00552834"/>
    <w:rsid w:val="0055290F"/>
    <w:rsid w:val="005529EE"/>
    <w:rsid w:val="00552A10"/>
    <w:rsid w:val="00552A81"/>
    <w:rsid w:val="00552ABE"/>
    <w:rsid w:val="00552B25"/>
    <w:rsid w:val="00552B9D"/>
    <w:rsid w:val="00552BF0"/>
    <w:rsid w:val="00552CDB"/>
    <w:rsid w:val="00552DB4"/>
    <w:rsid w:val="00552E1B"/>
    <w:rsid w:val="00552F94"/>
    <w:rsid w:val="0055304A"/>
    <w:rsid w:val="0055308D"/>
    <w:rsid w:val="00553097"/>
    <w:rsid w:val="005530F5"/>
    <w:rsid w:val="0055313C"/>
    <w:rsid w:val="00553447"/>
    <w:rsid w:val="0055352E"/>
    <w:rsid w:val="00553567"/>
    <w:rsid w:val="00553591"/>
    <w:rsid w:val="00553678"/>
    <w:rsid w:val="0055368B"/>
    <w:rsid w:val="00553810"/>
    <w:rsid w:val="00553842"/>
    <w:rsid w:val="00553866"/>
    <w:rsid w:val="005539AC"/>
    <w:rsid w:val="005539AF"/>
    <w:rsid w:val="00553A0C"/>
    <w:rsid w:val="00553A39"/>
    <w:rsid w:val="00553A99"/>
    <w:rsid w:val="00553B74"/>
    <w:rsid w:val="00553C38"/>
    <w:rsid w:val="00553C82"/>
    <w:rsid w:val="00553C84"/>
    <w:rsid w:val="00553D8B"/>
    <w:rsid w:val="00553D8E"/>
    <w:rsid w:val="00553DB1"/>
    <w:rsid w:val="00553E3D"/>
    <w:rsid w:val="005540EF"/>
    <w:rsid w:val="005540FD"/>
    <w:rsid w:val="0055410E"/>
    <w:rsid w:val="00554357"/>
    <w:rsid w:val="00554417"/>
    <w:rsid w:val="005544B7"/>
    <w:rsid w:val="0055458F"/>
    <w:rsid w:val="005545D1"/>
    <w:rsid w:val="0055464C"/>
    <w:rsid w:val="005546AF"/>
    <w:rsid w:val="005547CD"/>
    <w:rsid w:val="005548FA"/>
    <w:rsid w:val="00554907"/>
    <w:rsid w:val="00554B76"/>
    <w:rsid w:val="00554C3E"/>
    <w:rsid w:val="00554C81"/>
    <w:rsid w:val="00554D78"/>
    <w:rsid w:val="00554EBE"/>
    <w:rsid w:val="00555097"/>
    <w:rsid w:val="00555111"/>
    <w:rsid w:val="00555194"/>
    <w:rsid w:val="005551CA"/>
    <w:rsid w:val="005551CD"/>
    <w:rsid w:val="005551F2"/>
    <w:rsid w:val="00555383"/>
    <w:rsid w:val="005553E8"/>
    <w:rsid w:val="00555488"/>
    <w:rsid w:val="005554B2"/>
    <w:rsid w:val="005554FE"/>
    <w:rsid w:val="0055553F"/>
    <w:rsid w:val="005555A0"/>
    <w:rsid w:val="005556A6"/>
    <w:rsid w:val="00555779"/>
    <w:rsid w:val="00555970"/>
    <w:rsid w:val="005559D9"/>
    <w:rsid w:val="00555B82"/>
    <w:rsid w:val="00555BA9"/>
    <w:rsid w:val="00555BED"/>
    <w:rsid w:val="00555BF0"/>
    <w:rsid w:val="00555C49"/>
    <w:rsid w:val="00555C87"/>
    <w:rsid w:val="00555D09"/>
    <w:rsid w:val="00555E32"/>
    <w:rsid w:val="00555F22"/>
    <w:rsid w:val="00555F49"/>
    <w:rsid w:val="00555FD1"/>
    <w:rsid w:val="00556012"/>
    <w:rsid w:val="00556061"/>
    <w:rsid w:val="005560AB"/>
    <w:rsid w:val="005560D3"/>
    <w:rsid w:val="00556107"/>
    <w:rsid w:val="00556111"/>
    <w:rsid w:val="005561E9"/>
    <w:rsid w:val="0055629E"/>
    <w:rsid w:val="0055639B"/>
    <w:rsid w:val="00556403"/>
    <w:rsid w:val="00556406"/>
    <w:rsid w:val="00556425"/>
    <w:rsid w:val="00556497"/>
    <w:rsid w:val="00556590"/>
    <w:rsid w:val="00556715"/>
    <w:rsid w:val="0055672B"/>
    <w:rsid w:val="00556735"/>
    <w:rsid w:val="00556764"/>
    <w:rsid w:val="005567E4"/>
    <w:rsid w:val="005567E7"/>
    <w:rsid w:val="00556809"/>
    <w:rsid w:val="00556842"/>
    <w:rsid w:val="00556949"/>
    <w:rsid w:val="00556987"/>
    <w:rsid w:val="00556B1A"/>
    <w:rsid w:val="00556C7C"/>
    <w:rsid w:val="00556C9E"/>
    <w:rsid w:val="00556E61"/>
    <w:rsid w:val="00556E8E"/>
    <w:rsid w:val="00556F28"/>
    <w:rsid w:val="00556FB0"/>
    <w:rsid w:val="00556FF9"/>
    <w:rsid w:val="0055700F"/>
    <w:rsid w:val="00557029"/>
    <w:rsid w:val="0055702F"/>
    <w:rsid w:val="005570AF"/>
    <w:rsid w:val="005570F6"/>
    <w:rsid w:val="00557101"/>
    <w:rsid w:val="00557376"/>
    <w:rsid w:val="00557406"/>
    <w:rsid w:val="0055749B"/>
    <w:rsid w:val="005574DB"/>
    <w:rsid w:val="00557513"/>
    <w:rsid w:val="00557585"/>
    <w:rsid w:val="005575D2"/>
    <w:rsid w:val="00557634"/>
    <w:rsid w:val="0055764F"/>
    <w:rsid w:val="00557818"/>
    <w:rsid w:val="00557987"/>
    <w:rsid w:val="00557A3D"/>
    <w:rsid w:val="00557A5B"/>
    <w:rsid w:val="00557ACF"/>
    <w:rsid w:val="00557B1B"/>
    <w:rsid w:val="00557BF5"/>
    <w:rsid w:val="00557E79"/>
    <w:rsid w:val="00557F5A"/>
    <w:rsid w:val="00557FD7"/>
    <w:rsid w:val="00557FFD"/>
    <w:rsid w:val="00560007"/>
    <w:rsid w:val="00560199"/>
    <w:rsid w:val="005601E9"/>
    <w:rsid w:val="005601F8"/>
    <w:rsid w:val="0056020A"/>
    <w:rsid w:val="00560267"/>
    <w:rsid w:val="00560355"/>
    <w:rsid w:val="00560363"/>
    <w:rsid w:val="00560547"/>
    <w:rsid w:val="005605A1"/>
    <w:rsid w:val="00560731"/>
    <w:rsid w:val="005607E0"/>
    <w:rsid w:val="005608D1"/>
    <w:rsid w:val="00560928"/>
    <w:rsid w:val="0056092A"/>
    <w:rsid w:val="0056092E"/>
    <w:rsid w:val="0056093C"/>
    <w:rsid w:val="00560978"/>
    <w:rsid w:val="005609AF"/>
    <w:rsid w:val="00560A32"/>
    <w:rsid w:val="00560BAB"/>
    <w:rsid w:val="00560DDD"/>
    <w:rsid w:val="00560EF1"/>
    <w:rsid w:val="00560EF5"/>
    <w:rsid w:val="00560F47"/>
    <w:rsid w:val="00560F8E"/>
    <w:rsid w:val="00560FE9"/>
    <w:rsid w:val="0056103F"/>
    <w:rsid w:val="0056105C"/>
    <w:rsid w:val="00561095"/>
    <w:rsid w:val="005610C1"/>
    <w:rsid w:val="005610D8"/>
    <w:rsid w:val="00561144"/>
    <w:rsid w:val="0056124C"/>
    <w:rsid w:val="00561338"/>
    <w:rsid w:val="005613F0"/>
    <w:rsid w:val="0056142A"/>
    <w:rsid w:val="00561606"/>
    <w:rsid w:val="0056164E"/>
    <w:rsid w:val="00561688"/>
    <w:rsid w:val="005616A4"/>
    <w:rsid w:val="005617C3"/>
    <w:rsid w:val="00561870"/>
    <w:rsid w:val="00561AD5"/>
    <w:rsid w:val="00561C6E"/>
    <w:rsid w:val="00561E41"/>
    <w:rsid w:val="00561FDD"/>
    <w:rsid w:val="00562023"/>
    <w:rsid w:val="0056225B"/>
    <w:rsid w:val="005623A1"/>
    <w:rsid w:val="005623C0"/>
    <w:rsid w:val="005624BE"/>
    <w:rsid w:val="005625B8"/>
    <w:rsid w:val="005625D9"/>
    <w:rsid w:val="005627CA"/>
    <w:rsid w:val="00562835"/>
    <w:rsid w:val="0056285A"/>
    <w:rsid w:val="00562922"/>
    <w:rsid w:val="00562942"/>
    <w:rsid w:val="0056299E"/>
    <w:rsid w:val="00562BC1"/>
    <w:rsid w:val="00562D3B"/>
    <w:rsid w:val="00562ED1"/>
    <w:rsid w:val="00562FBA"/>
    <w:rsid w:val="00562FDC"/>
    <w:rsid w:val="0056300D"/>
    <w:rsid w:val="00563027"/>
    <w:rsid w:val="00563221"/>
    <w:rsid w:val="005632D3"/>
    <w:rsid w:val="00563355"/>
    <w:rsid w:val="00563359"/>
    <w:rsid w:val="005633DA"/>
    <w:rsid w:val="005634D3"/>
    <w:rsid w:val="005636EB"/>
    <w:rsid w:val="00563726"/>
    <w:rsid w:val="00563761"/>
    <w:rsid w:val="00563794"/>
    <w:rsid w:val="005637CD"/>
    <w:rsid w:val="005637DB"/>
    <w:rsid w:val="00563814"/>
    <w:rsid w:val="00563900"/>
    <w:rsid w:val="00563A23"/>
    <w:rsid w:val="00563A6B"/>
    <w:rsid w:val="00563B09"/>
    <w:rsid w:val="00563B85"/>
    <w:rsid w:val="00563F3E"/>
    <w:rsid w:val="00563FBF"/>
    <w:rsid w:val="00563FD1"/>
    <w:rsid w:val="0056400A"/>
    <w:rsid w:val="005640EE"/>
    <w:rsid w:val="005641CA"/>
    <w:rsid w:val="005641E1"/>
    <w:rsid w:val="00564242"/>
    <w:rsid w:val="00564243"/>
    <w:rsid w:val="005643DF"/>
    <w:rsid w:val="0056443F"/>
    <w:rsid w:val="0056449E"/>
    <w:rsid w:val="005645A9"/>
    <w:rsid w:val="00564693"/>
    <w:rsid w:val="005646D7"/>
    <w:rsid w:val="00564733"/>
    <w:rsid w:val="00564781"/>
    <w:rsid w:val="005647DC"/>
    <w:rsid w:val="00564963"/>
    <w:rsid w:val="0056497B"/>
    <w:rsid w:val="00564AF9"/>
    <w:rsid w:val="00564AFA"/>
    <w:rsid w:val="00564C8E"/>
    <w:rsid w:val="00565032"/>
    <w:rsid w:val="0056503C"/>
    <w:rsid w:val="00565131"/>
    <w:rsid w:val="00565168"/>
    <w:rsid w:val="00565184"/>
    <w:rsid w:val="005651E9"/>
    <w:rsid w:val="0056563A"/>
    <w:rsid w:val="005656B7"/>
    <w:rsid w:val="005656ED"/>
    <w:rsid w:val="005657B3"/>
    <w:rsid w:val="00565908"/>
    <w:rsid w:val="00565AAE"/>
    <w:rsid w:val="00565AB7"/>
    <w:rsid w:val="00565B0E"/>
    <w:rsid w:val="00565B23"/>
    <w:rsid w:val="00565C09"/>
    <w:rsid w:val="00565CDB"/>
    <w:rsid w:val="00565D4E"/>
    <w:rsid w:val="00565EC4"/>
    <w:rsid w:val="00566015"/>
    <w:rsid w:val="005661F5"/>
    <w:rsid w:val="0056626A"/>
    <w:rsid w:val="005662C9"/>
    <w:rsid w:val="005665F6"/>
    <w:rsid w:val="005666A0"/>
    <w:rsid w:val="00566770"/>
    <w:rsid w:val="00566981"/>
    <w:rsid w:val="00566A3B"/>
    <w:rsid w:val="00566A72"/>
    <w:rsid w:val="00566A7C"/>
    <w:rsid w:val="00566AC0"/>
    <w:rsid w:val="00566B35"/>
    <w:rsid w:val="00566B94"/>
    <w:rsid w:val="00566D13"/>
    <w:rsid w:val="00566D33"/>
    <w:rsid w:val="00566DA0"/>
    <w:rsid w:val="00567073"/>
    <w:rsid w:val="00567076"/>
    <w:rsid w:val="005671C9"/>
    <w:rsid w:val="00567204"/>
    <w:rsid w:val="00567259"/>
    <w:rsid w:val="005673A1"/>
    <w:rsid w:val="0056744F"/>
    <w:rsid w:val="00567451"/>
    <w:rsid w:val="0056748D"/>
    <w:rsid w:val="005674D2"/>
    <w:rsid w:val="0056774E"/>
    <w:rsid w:val="0056796A"/>
    <w:rsid w:val="00567C9B"/>
    <w:rsid w:val="00567DE5"/>
    <w:rsid w:val="00567E54"/>
    <w:rsid w:val="00567E9F"/>
    <w:rsid w:val="00567F3E"/>
    <w:rsid w:val="00567F4A"/>
    <w:rsid w:val="00567F5C"/>
    <w:rsid w:val="00567F73"/>
    <w:rsid w:val="00570012"/>
    <w:rsid w:val="005701A7"/>
    <w:rsid w:val="005701EC"/>
    <w:rsid w:val="005701FD"/>
    <w:rsid w:val="0057027E"/>
    <w:rsid w:val="0057029F"/>
    <w:rsid w:val="00570422"/>
    <w:rsid w:val="0057046F"/>
    <w:rsid w:val="00570521"/>
    <w:rsid w:val="00570698"/>
    <w:rsid w:val="005707E8"/>
    <w:rsid w:val="00570892"/>
    <w:rsid w:val="005709F3"/>
    <w:rsid w:val="00570A1F"/>
    <w:rsid w:val="00570A80"/>
    <w:rsid w:val="00570D9B"/>
    <w:rsid w:val="00570DCF"/>
    <w:rsid w:val="00570E1A"/>
    <w:rsid w:val="00570F16"/>
    <w:rsid w:val="00570FAD"/>
    <w:rsid w:val="0057128C"/>
    <w:rsid w:val="005712C3"/>
    <w:rsid w:val="005712D6"/>
    <w:rsid w:val="00571321"/>
    <w:rsid w:val="005714BC"/>
    <w:rsid w:val="0057157C"/>
    <w:rsid w:val="0057157D"/>
    <w:rsid w:val="005715B2"/>
    <w:rsid w:val="005716BE"/>
    <w:rsid w:val="00571BDD"/>
    <w:rsid w:val="00571D31"/>
    <w:rsid w:val="00571EAD"/>
    <w:rsid w:val="0057200F"/>
    <w:rsid w:val="0057218A"/>
    <w:rsid w:val="005722F0"/>
    <w:rsid w:val="005722F8"/>
    <w:rsid w:val="00572396"/>
    <w:rsid w:val="005723BB"/>
    <w:rsid w:val="00572523"/>
    <w:rsid w:val="00572582"/>
    <w:rsid w:val="005726D7"/>
    <w:rsid w:val="00572773"/>
    <w:rsid w:val="00572814"/>
    <w:rsid w:val="00572859"/>
    <w:rsid w:val="00572883"/>
    <w:rsid w:val="0057288E"/>
    <w:rsid w:val="0057294C"/>
    <w:rsid w:val="00572A0B"/>
    <w:rsid w:val="00572AD6"/>
    <w:rsid w:val="00572C5E"/>
    <w:rsid w:val="00572F03"/>
    <w:rsid w:val="00572FA2"/>
    <w:rsid w:val="0057303D"/>
    <w:rsid w:val="00573051"/>
    <w:rsid w:val="00573089"/>
    <w:rsid w:val="0057309B"/>
    <w:rsid w:val="0057309E"/>
    <w:rsid w:val="00573117"/>
    <w:rsid w:val="005731FA"/>
    <w:rsid w:val="0057329D"/>
    <w:rsid w:val="005734A4"/>
    <w:rsid w:val="005734E9"/>
    <w:rsid w:val="0057353D"/>
    <w:rsid w:val="00573675"/>
    <w:rsid w:val="0057373E"/>
    <w:rsid w:val="0057377E"/>
    <w:rsid w:val="005737C7"/>
    <w:rsid w:val="00573926"/>
    <w:rsid w:val="00573B96"/>
    <w:rsid w:val="00573C08"/>
    <w:rsid w:val="00573D95"/>
    <w:rsid w:val="00573D9A"/>
    <w:rsid w:val="00573E3C"/>
    <w:rsid w:val="00574004"/>
    <w:rsid w:val="00574034"/>
    <w:rsid w:val="00574160"/>
    <w:rsid w:val="00574204"/>
    <w:rsid w:val="005743BE"/>
    <w:rsid w:val="005744F3"/>
    <w:rsid w:val="00574597"/>
    <w:rsid w:val="00574640"/>
    <w:rsid w:val="005746E8"/>
    <w:rsid w:val="005746FE"/>
    <w:rsid w:val="0057497E"/>
    <w:rsid w:val="00574B4F"/>
    <w:rsid w:val="00574B7D"/>
    <w:rsid w:val="00574DC2"/>
    <w:rsid w:val="00574F08"/>
    <w:rsid w:val="00574F19"/>
    <w:rsid w:val="00574FD6"/>
    <w:rsid w:val="0057520C"/>
    <w:rsid w:val="005752ED"/>
    <w:rsid w:val="00575310"/>
    <w:rsid w:val="0057544A"/>
    <w:rsid w:val="0057554F"/>
    <w:rsid w:val="005755DA"/>
    <w:rsid w:val="0057560F"/>
    <w:rsid w:val="00575706"/>
    <w:rsid w:val="00575768"/>
    <w:rsid w:val="00575997"/>
    <w:rsid w:val="005759C3"/>
    <w:rsid w:val="00575A26"/>
    <w:rsid w:val="00575A51"/>
    <w:rsid w:val="00575B3D"/>
    <w:rsid w:val="00575E24"/>
    <w:rsid w:val="00575F4C"/>
    <w:rsid w:val="00575F61"/>
    <w:rsid w:val="00575FDD"/>
    <w:rsid w:val="00576230"/>
    <w:rsid w:val="005763D1"/>
    <w:rsid w:val="005763DB"/>
    <w:rsid w:val="0057641D"/>
    <w:rsid w:val="00576449"/>
    <w:rsid w:val="0057649E"/>
    <w:rsid w:val="0057654F"/>
    <w:rsid w:val="0057668E"/>
    <w:rsid w:val="005766F1"/>
    <w:rsid w:val="00576724"/>
    <w:rsid w:val="00576793"/>
    <w:rsid w:val="00576870"/>
    <w:rsid w:val="005769B3"/>
    <w:rsid w:val="00576A79"/>
    <w:rsid w:val="00576A92"/>
    <w:rsid w:val="00576BB3"/>
    <w:rsid w:val="00576C25"/>
    <w:rsid w:val="00576CBA"/>
    <w:rsid w:val="00576D09"/>
    <w:rsid w:val="00576DA2"/>
    <w:rsid w:val="00576F15"/>
    <w:rsid w:val="00576F1C"/>
    <w:rsid w:val="005770F5"/>
    <w:rsid w:val="005772AF"/>
    <w:rsid w:val="005772CF"/>
    <w:rsid w:val="0057730A"/>
    <w:rsid w:val="00577394"/>
    <w:rsid w:val="005773A4"/>
    <w:rsid w:val="005773BD"/>
    <w:rsid w:val="005773FC"/>
    <w:rsid w:val="0057761A"/>
    <w:rsid w:val="0057772E"/>
    <w:rsid w:val="0057783F"/>
    <w:rsid w:val="005778DA"/>
    <w:rsid w:val="005779C6"/>
    <w:rsid w:val="00577A17"/>
    <w:rsid w:val="00577AAE"/>
    <w:rsid w:val="00577B05"/>
    <w:rsid w:val="00577B13"/>
    <w:rsid w:val="00577B7E"/>
    <w:rsid w:val="00577C4A"/>
    <w:rsid w:val="00577CBD"/>
    <w:rsid w:val="00577CE8"/>
    <w:rsid w:val="00577D3D"/>
    <w:rsid w:val="00577D93"/>
    <w:rsid w:val="00577EDE"/>
    <w:rsid w:val="00577F53"/>
    <w:rsid w:val="00577F5E"/>
    <w:rsid w:val="00577F9C"/>
    <w:rsid w:val="005800C8"/>
    <w:rsid w:val="005800DA"/>
    <w:rsid w:val="00580140"/>
    <w:rsid w:val="005801EB"/>
    <w:rsid w:val="005802E8"/>
    <w:rsid w:val="005803AA"/>
    <w:rsid w:val="005803BB"/>
    <w:rsid w:val="0058045F"/>
    <w:rsid w:val="0058051E"/>
    <w:rsid w:val="0058057C"/>
    <w:rsid w:val="005805E4"/>
    <w:rsid w:val="0058064E"/>
    <w:rsid w:val="00580687"/>
    <w:rsid w:val="0058068A"/>
    <w:rsid w:val="005806E9"/>
    <w:rsid w:val="005808A8"/>
    <w:rsid w:val="005808CE"/>
    <w:rsid w:val="00580952"/>
    <w:rsid w:val="00580A49"/>
    <w:rsid w:val="00580AE6"/>
    <w:rsid w:val="00580B71"/>
    <w:rsid w:val="00580C33"/>
    <w:rsid w:val="00580E5D"/>
    <w:rsid w:val="00580EFC"/>
    <w:rsid w:val="00580FAD"/>
    <w:rsid w:val="00580FE3"/>
    <w:rsid w:val="0058102B"/>
    <w:rsid w:val="005811A6"/>
    <w:rsid w:val="005811F0"/>
    <w:rsid w:val="00581203"/>
    <w:rsid w:val="005813FF"/>
    <w:rsid w:val="00581559"/>
    <w:rsid w:val="005815DD"/>
    <w:rsid w:val="005817FC"/>
    <w:rsid w:val="005818B7"/>
    <w:rsid w:val="0058195C"/>
    <w:rsid w:val="005819A2"/>
    <w:rsid w:val="005819B6"/>
    <w:rsid w:val="00581A20"/>
    <w:rsid w:val="00581A32"/>
    <w:rsid w:val="00581AA8"/>
    <w:rsid w:val="00581AF4"/>
    <w:rsid w:val="00581CD0"/>
    <w:rsid w:val="00581D4C"/>
    <w:rsid w:val="00582219"/>
    <w:rsid w:val="00582220"/>
    <w:rsid w:val="00582280"/>
    <w:rsid w:val="0058238F"/>
    <w:rsid w:val="00582463"/>
    <w:rsid w:val="005824AC"/>
    <w:rsid w:val="005824C8"/>
    <w:rsid w:val="005825A9"/>
    <w:rsid w:val="0058270E"/>
    <w:rsid w:val="005828C5"/>
    <w:rsid w:val="005828D0"/>
    <w:rsid w:val="00582A0F"/>
    <w:rsid w:val="00582A33"/>
    <w:rsid w:val="00582AB3"/>
    <w:rsid w:val="00582ABE"/>
    <w:rsid w:val="00582B58"/>
    <w:rsid w:val="00582C09"/>
    <w:rsid w:val="00582D7E"/>
    <w:rsid w:val="00582DBC"/>
    <w:rsid w:val="00582E4A"/>
    <w:rsid w:val="00582E6E"/>
    <w:rsid w:val="00582E73"/>
    <w:rsid w:val="00582F23"/>
    <w:rsid w:val="00582F5C"/>
    <w:rsid w:val="0058306F"/>
    <w:rsid w:val="0058317F"/>
    <w:rsid w:val="0058320E"/>
    <w:rsid w:val="005832C0"/>
    <w:rsid w:val="005832D5"/>
    <w:rsid w:val="005832DF"/>
    <w:rsid w:val="005833D0"/>
    <w:rsid w:val="00583415"/>
    <w:rsid w:val="0058342A"/>
    <w:rsid w:val="0058354D"/>
    <w:rsid w:val="005835AF"/>
    <w:rsid w:val="005836DD"/>
    <w:rsid w:val="00583714"/>
    <w:rsid w:val="00583756"/>
    <w:rsid w:val="005837D7"/>
    <w:rsid w:val="00583922"/>
    <w:rsid w:val="0058398C"/>
    <w:rsid w:val="005839CE"/>
    <w:rsid w:val="00583A4A"/>
    <w:rsid w:val="00583E10"/>
    <w:rsid w:val="00583E7B"/>
    <w:rsid w:val="00583EDD"/>
    <w:rsid w:val="00583F1E"/>
    <w:rsid w:val="00583F69"/>
    <w:rsid w:val="00583FE2"/>
    <w:rsid w:val="00583FF5"/>
    <w:rsid w:val="005840D2"/>
    <w:rsid w:val="0058418A"/>
    <w:rsid w:val="0058419B"/>
    <w:rsid w:val="00584227"/>
    <w:rsid w:val="00584248"/>
    <w:rsid w:val="005842A5"/>
    <w:rsid w:val="005842B7"/>
    <w:rsid w:val="00584306"/>
    <w:rsid w:val="0058436D"/>
    <w:rsid w:val="0058441B"/>
    <w:rsid w:val="00584436"/>
    <w:rsid w:val="005844B6"/>
    <w:rsid w:val="005845B8"/>
    <w:rsid w:val="005845BE"/>
    <w:rsid w:val="00584630"/>
    <w:rsid w:val="005846AC"/>
    <w:rsid w:val="00584745"/>
    <w:rsid w:val="00584818"/>
    <w:rsid w:val="0058489A"/>
    <w:rsid w:val="00584A1C"/>
    <w:rsid w:val="00584A53"/>
    <w:rsid w:val="00584A9F"/>
    <w:rsid w:val="00584CC5"/>
    <w:rsid w:val="00584F24"/>
    <w:rsid w:val="0058509F"/>
    <w:rsid w:val="00585125"/>
    <w:rsid w:val="00585162"/>
    <w:rsid w:val="00585199"/>
    <w:rsid w:val="0058523B"/>
    <w:rsid w:val="00585336"/>
    <w:rsid w:val="005856DE"/>
    <w:rsid w:val="005857EB"/>
    <w:rsid w:val="0058581A"/>
    <w:rsid w:val="00585A9C"/>
    <w:rsid w:val="00585AE7"/>
    <w:rsid w:val="00585B00"/>
    <w:rsid w:val="00585B33"/>
    <w:rsid w:val="00585B59"/>
    <w:rsid w:val="00585BCA"/>
    <w:rsid w:val="00585DA7"/>
    <w:rsid w:val="00585E5F"/>
    <w:rsid w:val="00585EBC"/>
    <w:rsid w:val="00585F64"/>
    <w:rsid w:val="0058608B"/>
    <w:rsid w:val="00586134"/>
    <w:rsid w:val="005862AF"/>
    <w:rsid w:val="0058637F"/>
    <w:rsid w:val="005863FE"/>
    <w:rsid w:val="00586460"/>
    <w:rsid w:val="0058668C"/>
    <w:rsid w:val="005867E7"/>
    <w:rsid w:val="0058689F"/>
    <w:rsid w:val="005869CF"/>
    <w:rsid w:val="00586B35"/>
    <w:rsid w:val="00586BC4"/>
    <w:rsid w:val="00586E01"/>
    <w:rsid w:val="00586EA9"/>
    <w:rsid w:val="00586F75"/>
    <w:rsid w:val="00586F79"/>
    <w:rsid w:val="005871EE"/>
    <w:rsid w:val="005871FF"/>
    <w:rsid w:val="00587276"/>
    <w:rsid w:val="005872B3"/>
    <w:rsid w:val="005873CC"/>
    <w:rsid w:val="005874A9"/>
    <w:rsid w:val="005874BE"/>
    <w:rsid w:val="005875DB"/>
    <w:rsid w:val="00587677"/>
    <w:rsid w:val="00587728"/>
    <w:rsid w:val="00587746"/>
    <w:rsid w:val="005878AA"/>
    <w:rsid w:val="00587A15"/>
    <w:rsid w:val="00587BA3"/>
    <w:rsid w:val="00587C3C"/>
    <w:rsid w:val="00587D8D"/>
    <w:rsid w:val="00587EC1"/>
    <w:rsid w:val="00587F0E"/>
    <w:rsid w:val="00587F58"/>
    <w:rsid w:val="00587F6B"/>
    <w:rsid w:val="00587FB4"/>
    <w:rsid w:val="00587FE3"/>
    <w:rsid w:val="005900A5"/>
    <w:rsid w:val="00590129"/>
    <w:rsid w:val="00590136"/>
    <w:rsid w:val="00590156"/>
    <w:rsid w:val="00590374"/>
    <w:rsid w:val="00590511"/>
    <w:rsid w:val="0059063A"/>
    <w:rsid w:val="005906A3"/>
    <w:rsid w:val="00590727"/>
    <w:rsid w:val="0059073F"/>
    <w:rsid w:val="0059088E"/>
    <w:rsid w:val="005909AC"/>
    <w:rsid w:val="00590A3F"/>
    <w:rsid w:val="00590B82"/>
    <w:rsid w:val="00590D96"/>
    <w:rsid w:val="00590E8C"/>
    <w:rsid w:val="00590EFF"/>
    <w:rsid w:val="00590FC6"/>
    <w:rsid w:val="00591026"/>
    <w:rsid w:val="00591035"/>
    <w:rsid w:val="0059114C"/>
    <w:rsid w:val="005911CF"/>
    <w:rsid w:val="00591278"/>
    <w:rsid w:val="0059129F"/>
    <w:rsid w:val="00591463"/>
    <w:rsid w:val="005914F3"/>
    <w:rsid w:val="0059154E"/>
    <w:rsid w:val="00591626"/>
    <w:rsid w:val="00591738"/>
    <w:rsid w:val="00591835"/>
    <w:rsid w:val="005918D2"/>
    <w:rsid w:val="00591A04"/>
    <w:rsid w:val="00591AB9"/>
    <w:rsid w:val="00591AE1"/>
    <w:rsid w:val="00591AF7"/>
    <w:rsid w:val="00591BA9"/>
    <w:rsid w:val="00591C2E"/>
    <w:rsid w:val="00591DD4"/>
    <w:rsid w:val="00591DE2"/>
    <w:rsid w:val="00591E00"/>
    <w:rsid w:val="00591E16"/>
    <w:rsid w:val="00591E24"/>
    <w:rsid w:val="005920A1"/>
    <w:rsid w:val="005921C6"/>
    <w:rsid w:val="00592246"/>
    <w:rsid w:val="005923B0"/>
    <w:rsid w:val="0059242B"/>
    <w:rsid w:val="005924B6"/>
    <w:rsid w:val="005925AB"/>
    <w:rsid w:val="005926A8"/>
    <w:rsid w:val="005928A8"/>
    <w:rsid w:val="005928F2"/>
    <w:rsid w:val="005928F9"/>
    <w:rsid w:val="0059292E"/>
    <w:rsid w:val="0059294B"/>
    <w:rsid w:val="00592A06"/>
    <w:rsid w:val="00592A35"/>
    <w:rsid w:val="00592A6B"/>
    <w:rsid w:val="00592B0E"/>
    <w:rsid w:val="00592B27"/>
    <w:rsid w:val="00592B2D"/>
    <w:rsid w:val="00592BDC"/>
    <w:rsid w:val="00592D01"/>
    <w:rsid w:val="00592DFE"/>
    <w:rsid w:val="00592F37"/>
    <w:rsid w:val="00592F93"/>
    <w:rsid w:val="00593076"/>
    <w:rsid w:val="00593188"/>
    <w:rsid w:val="0059320E"/>
    <w:rsid w:val="0059336F"/>
    <w:rsid w:val="00593445"/>
    <w:rsid w:val="00593479"/>
    <w:rsid w:val="005934B1"/>
    <w:rsid w:val="0059355D"/>
    <w:rsid w:val="005935A2"/>
    <w:rsid w:val="00593607"/>
    <w:rsid w:val="005936AA"/>
    <w:rsid w:val="005936FA"/>
    <w:rsid w:val="0059378B"/>
    <w:rsid w:val="005937A0"/>
    <w:rsid w:val="00593A7F"/>
    <w:rsid w:val="00593BD8"/>
    <w:rsid w:val="00593C2B"/>
    <w:rsid w:val="00593C4A"/>
    <w:rsid w:val="00593DDB"/>
    <w:rsid w:val="00593EFE"/>
    <w:rsid w:val="00593F54"/>
    <w:rsid w:val="00594029"/>
    <w:rsid w:val="0059410F"/>
    <w:rsid w:val="00594310"/>
    <w:rsid w:val="005943B7"/>
    <w:rsid w:val="005944EE"/>
    <w:rsid w:val="0059455C"/>
    <w:rsid w:val="005945C3"/>
    <w:rsid w:val="00594716"/>
    <w:rsid w:val="00594726"/>
    <w:rsid w:val="0059486C"/>
    <w:rsid w:val="005949E8"/>
    <w:rsid w:val="00594B2A"/>
    <w:rsid w:val="00594B8D"/>
    <w:rsid w:val="00594BEF"/>
    <w:rsid w:val="00594BF0"/>
    <w:rsid w:val="00594C2C"/>
    <w:rsid w:val="00594C3C"/>
    <w:rsid w:val="00594CDA"/>
    <w:rsid w:val="00594E7F"/>
    <w:rsid w:val="00594ECD"/>
    <w:rsid w:val="0059512C"/>
    <w:rsid w:val="0059516B"/>
    <w:rsid w:val="00595222"/>
    <w:rsid w:val="005952B1"/>
    <w:rsid w:val="005954A3"/>
    <w:rsid w:val="00595637"/>
    <w:rsid w:val="00595704"/>
    <w:rsid w:val="00595887"/>
    <w:rsid w:val="005958B4"/>
    <w:rsid w:val="00595929"/>
    <w:rsid w:val="00595969"/>
    <w:rsid w:val="00595AD1"/>
    <w:rsid w:val="00595B2A"/>
    <w:rsid w:val="00595C2A"/>
    <w:rsid w:val="00595CA7"/>
    <w:rsid w:val="00595D07"/>
    <w:rsid w:val="00595EE4"/>
    <w:rsid w:val="00595EF0"/>
    <w:rsid w:val="00595F31"/>
    <w:rsid w:val="00595F68"/>
    <w:rsid w:val="0059617C"/>
    <w:rsid w:val="005961DE"/>
    <w:rsid w:val="005963DC"/>
    <w:rsid w:val="00596491"/>
    <w:rsid w:val="005965C8"/>
    <w:rsid w:val="0059663D"/>
    <w:rsid w:val="005966C6"/>
    <w:rsid w:val="005966FE"/>
    <w:rsid w:val="00596805"/>
    <w:rsid w:val="00596821"/>
    <w:rsid w:val="005969E0"/>
    <w:rsid w:val="00596ABF"/>
    <w:rsid w:val="00596BFF"/>
    <w:rsid w:val="00596D4D"/>
    <w:rsid w:val="00596EA3"/>
    <w:rsid w:val="0059722A"/>
    <w:rsid w:val="0059722E"/>
    <w:rsid w:val="005973CA"/>
    <w:rsid w:val="0059748A"/>
    <w:rsid w:val="005975B9"/>
    <w:rsid w:val="005975D4"/>
    <w:rsid w:val="00597695"/>
    <w:rsid w:val="005976ED"/>
    <w:rsid w:val="0059774E"/>
    <w:rsid w:val="005977A5"/>
    <w:rsid w:val="005977C3"/>
    <w:rsid w:val="005977E8"/>
    <w:rsid w:val="005979CF"/>
    <w:rsid w:val="005979F6"/>
    <w:rsid w:val="00597A36"/>
    <w:rsid w:val="00597BB5"/>
    <w:rsid w:val="005A0068"/>
    <w:rsid w:val="005A0131"/>
    <w:rsid w:val="005A0378"/>
    <w:rsid w:val="005A03FB"/>
    <w:rsid w:val="005A049D"/>
    <w:rsid w:val="005A07EA"/>
    <w:rsid w:val="005A0842"/>
    <w:rsid w:val="005A091A"/>
    <w:rsid w:val="005A0962"/>
    <w:rsid w:val="005A09A5"/>
    <w:rsid w:val="005A0B2D"/>
    <w:rsid w:val="005A0B88"/>
    <w:rsid w:val="005A0B9C"/>
    <w:rsid w:val="005A0D72"/>
    <w:rsid w:val="005A0DBE"/>
    <w:rsid w:val="005A0E97"/>
    <w:rsid w:val="005A0FA2"/>
    <w:rsid w:val="005A1081"/>
    <w:rsid w:val="005A1137"/>
    <w:rsid w:val="005A11B1"/>
    <w:rsid w:val="005A1280"/>
    <w:rsid w:val="005A1358"/>
    <w:rsid w:val="005A13BA"/>
    <w:rsid w:val="005A1414"/>
    <w:rsid w:val="005A15A3"/>
    <w:rsid w:val="005A169B"/>
    <w:rsid w:val="005A17B0"/>
    <w:rsid w:val="005A1A25"/>
    <w:rsid w:val="005A1B08"/>
    <w:rsid w:val="005A1B82"/>
    <w:rsid w:val="005A1F57"/>
    <w:rsid w:val="005A20EC"/>
    <w:rsid w:val="005A21DF"/>
    <w:rsid w:val="005A222C"/>
    <w:rsid w:val="005A2236"/>
    <w:rsid w:val="005A229F"/>
    <w:rsid w:val="005A231F"/>
    <w:rsid w:val="005A2461"/>
    <w:rsid w:val="005A24E9"/>
    <w:rsid w:val="005A266C"/>
    <w:rsid w:val="005A283B"/>
    <w:rsid w:val="005A28A9"/>
    <w:rsid w:val="005A28F9"/>
    <w:rsid w:val="005A29DB"/>
    <w:rsid w:val="005A2A59"/>
    <w:rsid w:val="005A2AED"/>
    <w:rsid w:val="005A2B6D"/>
    <w:rsid w:val="005A2CA8"/>
    <w:rsid w:val="005A2F0A"/>
    <w:rsid w:val="005A2F3E"/>
    <w:rsid w:val="005A2F50"/>
    <w:rsid w:val="005A2FB0"/>
    <w:rsid w:val="005A2FC1"/>
    <w:rsid w:val="005A3119"/>
    <w:rsid w:val="005A329A"/>
    <w:rsid w:val="005A32E9"/>
    <w:rsid w:val="005A33FF"/>
    <w:rsid w:val="005A346C"/>
    <w:rsid w:val="005A34E2"/>
    <w:rsid w:val="005A357C"/>
    <w:rsid w:val="005A3630"/>
    <w:rsid w:val="005A363B"/>
    <w:rsid w:val="005A3650"/>
    <w:rsid w:val="005A365B"/>
    <w:rsid w:val="005A3782"/>
    <w:rsid w:val="005A3855"/>
    <w:rsid w:val="005A3939"/>
    <w:rsid w:val="005A3969"/>
    <w:rsid w:val="005A39F6"/>
    <w:rsid w:val="005A3A41"/>
    <w:rsid w:val="005A3ADB"/>
    <w:rsid w:val="005A3C88"/>
    <w:rsid w:val="005A3CF4"/>
    <w:rsid w:val="005A3D5E"/>
    <w:rsid w:val="005A3F70"/>
    <w:rsid w:val="005A3FBF"/>
    <w:rsid w:val="005A407C"/>
    <w:rsid w:val="005A4085"/>
    <w:rsid w:val="005A425F"/>
    <w:rsid w:val="005A441F"/>
    <w:rsid w:val="005A44C5"/>
    <w:rsid w:val="005A46A6"/>
    <w:rsid w:val="005A47E8"/>
    <w:rsid w:val="005A4A9A"/>
    <w:rsid w:val="005A4AB2"/>
    <w:rsid w:val="005A4C34"/>
    <w:rsid w:val="005A4C96"/>
    <w:rsid w:val="005A4D76"/>
    <w:rsid w:val="005A4E80"/>
    <w:rsid w:val="005A4EDC"/>
    <w:rsid w:val="005A4F12"/>
    <w:rsid w:val="005A50FE"/>
    <w:rsid w:val="005A51B0"/>
    <w:rsid w:val="005A533A"/>
    <w:rsid w:val="005A53DE"/>
    <w:rsid w:val="005A5423"/>
    <w:rsid w:val="005A5661"/>
    <w:rsid w:val="005A58C2"/>
    <w:rsid w:val="005A5948"/>
    <w:rsid w:val="005A5988"/>
    <w:rsid w:val="005A5AC4"/>
    <w:rsid w:val="005A5BCD"/>
    <w:rsid w:val="005A5BF7"/>
    <w:rsid w:val="005A5C46"/>
    <w:rsid w:val="005A5C4C"/>
    <w:rsid w:val="005A5D07"/>
    <w:rsid w:val="005A5D19"/>
    <w:rsid w:val="005A5E05"/>
    <w:rsid w:val="005A5E0D"/>
    <w:rsid w:val="005A5E36"/>
    <w:rsid w:val="005A5ECA"/>
    <w:rsid w:val="005A5F69"/>
    <w:rsid w:val="005A5FA3"/>
    <w:rsid w:val="005A600D"/>
    <w:rsid w:val="005A608C"/>
    <w:rsid w:val="005A6095"/>
    <w:rsid w:val="005A6130"/>
    <w:rsid w:val="005A61EF"/>
    <w:rsid w:val="005A6202"/>
    <w:rsid w:val="005A623C"/>
    <w:rsid w:val="005A631A"/>
    <w:rsid w:val="005A636F"/>
    <w:rsid w:val="005A63CF"/>
    <w:rsid w:val="005A6505"/>
    <w:rsid w:val="005A6605"/>
    <w:rsid w:val="005A6607"/>
    <w:rsid w:val="005A66A8"/>
    <w:rsid w:val="005A66DB"/>
    <w:rsid w:val="005A66F6"/>
    <w:rsid w:val="005A677E"/>
    <w:rsid w:val="005A6825"/>
    <w:rsid w:val="005A68D7"/>
    <w:rsid w:val="005A68F7"/>
    <w:rsid w:val="005A691B"/>
    <w:rsid w:val="005A6989"/>
    <w:rsid w:val="005A6A83"/>
    <w:rsid w:val="005A6B52"/>
    <w:rsid w:val="005A6B63"/>
    <w:rsid w:val="005A6B7B"/>
    <w:rsid w:val="005A6BD9"/>
    <w:rsid w:val="005A6C61"/>
    <w:rsid w:val="005A6D09"/>
    <w:rsid w:val="005A6D6D"/>
    <w:rsid w:val="005A6D8B"/>
    <w:rsid w:val="005A6E70"/>
    <w:rsid w:val="005A6FB9"/>
    <w:rsid w:val="005A6FCF"/>
    <w:rsid w:val="005A70A2"/>
    <w:rsid w:val="005A7168"/>
    <w:rsid w:val="005A7308"/>
    <w:rsid w:val="005A740F"/>
    <w:rsid w:val="005A746C"/>
    <w:rsid w:val="005A749D"/>
    <w:rsid w:val="005A7533"/>
    <w:rsid w:val="005A7577"/>
    <w:rsid w:val="005A7646"/>
    <w:rsid w:val="005A7672"/>
    <w:rsid w:val="005A7726"/>
    <w:rsid w:val="005A7734"/>
    <w:rsid w:val="005A7740"/>
    <w:rsid w:val="005A7780"/>
    <w:rsid w:val="005A7884"/>
    <w:rsid w:val="005A7929"/>
    <w:rsid w:val="005A7961"/>
    <w:rsid w:val="005A7979"/>
    <w:rsid w:val="005A7B05"/>
    <w:rsid w:val="005A7B82"/>
    <w:rsid w:val="005A7C7B"/>
    <w:rsid w:val="005A7C9D"/>
    <w:rsid w:val="005A7DAE"/>
    <w:rsid w:val="005A7FEF"/>
    <w:rsid w:val="005B0113"/>
    <w:rsid w:val="005B03A7"/>
    <w:rsid w:val="005B03CA"/>
    <w:rsid w:val="005B04F4"/>
    <w:rsid w:val="005B0516"/>
    <w:rsid w:val="005B076D"/>
    <w:rsid w:val="005B0781"/>
    <w:rsid w:val="005B0861"/>
    <w:rsid w:val="005B0871"/>
    <w:rsid w:val="005B08AE"/>
    <w:rsid w:val="005B0ACC"/>
    <w:rsid w:val="005B0AD2"/>
    <w:rsid w:val="005B0BF8"/>
    <w:rsid w:val="005B0E20"/>
    <w:rsid w:val="005B0E36"/>
    <w:rsid w:val="005B0E6E"/>
    <w:rsid w:val="005B0F2C"/>
    <w:rsid w:val="005B0F56"/>
    <w:rsid w:val="005B1066"/>
    <w:rsid w:val="005B1178"/>
    <w:rsid w:val="005B12C1"/>
    <w:rsid w:val="005B1398"/>
    <w:rsid w:val="005B142B"/>
    <w:rsid w:val="005B14BB"/>
    <w:rsid w:val="005B1548"/>
    <w:rsid w:val="005B16DB"/>
    <w:rsid w:val="005B1796"/>
    <w:rsid w:val="005B1818"/>
    <w:rsid w:val="005B1993"/>
    <w:rsid w:val="005B1A54"/>
    <w:rsid w:val="005B1C2A"/>
    <w:rsid w:val="005B1C67"/>
    <w:rsid w:val="005B1CE5"/>
    <w:rsid w:val="005B1D7B"/>
    <w:rsid w:val="005B1FC7"/>
    <w:rsid w:val="005B2193"/>
    <w:rsid w:val="005B2217"/>
    <w:rsid w:val="005B22C2"/>
    <w:rsid w:val="005B2383"/>
    <w:rsid w:val="005B238F"/>
    <w:rsid w:val="005B23A0"/>
    <w:rsid w:val="005B23E0"/>
    <w:rsid w:val="005B2465"/>
    <w:rsid w:val="005B248F"/>
    <w:rsid w:val="005B24BC"/>
    <w:rsid w:val="005B24F2"/>
    <w:rsid w:val="005B2559"/>
    <w:rsid w:val="005B2576"/>
    <w:rsid w:val="005B25AC"/>
    <w:rsid w:val="005B25BA"/>
    <w:rsid w:val="005B26D2"/>
    <w:rsid w:val="005B2732"/>
    <w:rsid w:val="005B2859"/>
    <w:rsid w:val="005B2879"/>
    <w:rsid w:val="005B2992"/>
    <w:rsid w:val="005B2A19"/>
    <w:rsid w:val="005B2A9A"/>
    <w:rsid w:val="005B2AAF"/>
    <w:rsid w:val="005B2C37"/>
    <w:rsid w:val="005B2C5A"/>
    <w:rsid w:val="005B2CE9"/>
    <w:rsid w:val="005B2D00"/>
    <w:rsid w:val="005B2EF3"/>
    <w:rsid w:val="005B2FE7"/>
    <w:rsid w:val="005B307B"/>
    <w:rsid w:val="005B320E"/>
    <w:rsid w:val="005B3291"/>
    <w:rsid w:val="005B340C"/>
    <w:rsid w:val="005B3492"/>
    <w:rsid w:val="005B36CA"/>
    <w:rsid w:val="005B36E3"/>
    <w:rsid w:val="005B3729"/>
    <w:rsid w:val="005B38A6"/>
    <w:rsid w:val="005B38A8"/>
    <w:rsid w:val="005B39F3"/>
    <w:rsid w:val="005B3AB9"/>
    <w:rsid w:val="005B3CAE"/>
    <w:rsid w:val="005B3D2D"/>
    <w:rsid w:val="005B3D68"/>
    <w:rsid w:val="005B3DC9"/>
    <w:rsid w:val="005B3F35"/>
    <w:rsid w:val="005B414C"/>
    <w:rsid w:val="005B4165"/>
    <w:rsid w:val="005B41EB"/>
    <w:rsid w:val="005B4233"/>
    <w:rsid w:val="005B42F2"/>
    <w:rsid w:val="005B4355"/>
    <w:rsid w:val="005B43B1"/>
    <w:rsid w:val="005B43FE"/>
    <w:rsid w:val="005B4537"/>
    <w:rsid w:val="005B46BF"/>
    <w:rsid w:val="005B47D6"/>
    <w:rsid w:val="005B4807"/>
    <w:rsid w:val="005B48A0"/>
    <w:rsid w:val="005B4A65"/>
    <w:rsid w:val="005B4AFD"/>
    <w:rsid w:val="005B4B70"/>
    <w:rsid w:val="005B4CE9"/>
    <w:rsid w:val="005B4D54"/>
    <w:rsid w:val="005B4E70"/>
    <w:rsid w:val="005B4F0A"/>
    <w:rsid w:val="005B4FB2"/>
    <w:rsid w:val="005B5012"/>
    <w:rsid w:val="005B5266"/>
    <w:rsid w:val="005B5325"/>
    <w:rsid w:val="005B5422"/>
    <w:rsid w:val="005B54EC"/>
    <w:rsid w:val="005B54F3"/>
    <w:rsid w:val="005B556B"/>
    <w:rsid w:val="005B574B"/>
    <w:rsid w:val="005B578C"/>
    <w:rsid w:val="005B5800"/>
    <w:rsid w:val="005B59E0"/>
    <w:rsid w:val="005B5AA7"/>
    <w:rsid w:val="005B5BCE"/>
    <w:rsid w:val="005B5D57"/>
    <w:rsid w:val="005B5DB0"/>
    <w:rsid w:val="005B5ECF"/>
    <w:rsid w:val="005B5F0B"/>
    <w:rsid w:val="005B5F45"/>
    <w:rsid w:val="005B604A"/>
    <w:rsid w:val="005B61F9"/>
    <w:rsid w:val="005B62C5"/>
    <w:rsid w:val="005B6337"/>
    <w:rsid w:val="005B63A0"/>
    <w:rsid w:val="005B63E6"/>
    <w:rsid w:val="005B6458"/>
    <w:rsid w:val="005B6540"/>
    <w:rsid w:val="005B66D4"/>
    <w:rsid w:val="005B673D"/>
    <w:rsid w:val="005B673E"/>
    <w:rsid w:val="005B698A"/>
    <w:rsid w:val="005B6AB2"/>
    <w:rsid w:val="005B6AB6"/>
    <w:rsid w:val="005B6B50"/>
    <w:rsid w:val="005B6BB0"/>
    <w:rsid w:val="005B6D0D"/>
    <w:rsid w:val="005B6E42"/>
    <w:rsid w:val="005B6F0F"/>
    <w:rsid w:val="005B6F26"/>
    <w:rsid w:val="005B6F42"/>
    <w:rsid w:val="005B7034"/>
    <w:rsid w:val="005B7054"/>
    <w:rsid w:val="005B71EA"/>
    <w:rsid w:val="005B722B"/>
    <w:rsid w:val="005B727E"/>
    <w:rsid w:val="005B72F1"/>
    <w:rsid w:val="005B73A3"/>
    <w:rsid w:val="005B75C5"/>
    <w:rsid w:val="005B7635"/>
    <w:rsid w:val="005B766D"/>
    <w:rsid w:val="005B7762"/>
    <w:rsid w:val="005B779B"/>
    <w:rsid w:val="005B786B"/>
    <w:rsid w:val="005B7900"/>
    <w:rsid w:val="005B796F"/>
    <w:rsid w:val="005B79F9"/>
    <w:rsid w:val="005B7A88"/>
    <w:rsid w:val="005B7AC0"/>
    <w:rsid w:val="005B7B1C"/>
    <w:rsid w:val="005B7B8A"/>
    <w:rsid w:val="005B7B9B"/>
    <w:rsid w:val="005B7CEA"/>
    <w:rsid w:val="005B7DF2"/>
    <w:rsid w:val="005B7E49"/>
    <w:rsid w:val="005B7FD6"/>
    <w:rsid w:val="005C0068"/>
    <w:rsid w:val="005C015A"/>
    <w:rsid w:val="005C0170"/>
    <w:rsid w:val="005C02AD"/>
    <w:rsid w:val="005C03A3"/>
    <w:rsid w:val="005C03B3"/>
    <w:rsid w:val="005C0686"/>
    <w:rsid w:val="005C06CB"/>
    <w:rsid w:val="005C0773"/>
    <w:rsid w:val="005C077F"/>
    <w:rsid w:val="005C0787"/>
    <w:rsid w:val="005C0968"/>
    <w:rsid w:val="005C09C8"/>
    <w:rsid w:val="005C09EF"/>
    <w:rsid w:val="005C0B4B"/>
    <w:rsid w:val="005C0CE4"/>
    <w:rsid w:val="005C0D43"/>
    <w:rsid w:val="005C0EE7"/>
    <w:rsid w:val="005C0F5E"/>
    <w:rsid w:val="005C0FDD"/>
    <w:rsid w:val="005C1031"/>
    <w:rsid w:val="005C110F"/>
    <w:rsid w:val="005C112A"/>
    <w:rsid w:val="005C136E"/>
    <w:rsid w:val="005C1374"/>
    <w:rsid w:val="005C15CA"/>
    <w:rsid w:val="005C1602"/>
    <w:rsid w:val="005C170E"/>
    <w:rsid w:val="005C1729"/>
    <w:rsid w:val="005C193F"/>
    <w:rsid w:val="005C19F0"/>
    <w:rsid w:val="005C1ACD"/>
    <w:rsid w:val="005C1B05"/>
    <w:rsid w:val="005C1B31"/>
    <w:rsid w:val="005C1D9F"/>
    <w:rsid w:val="005C1E61"/>
    <w:rsid w:val="005C1E8A"/>
    <w:rsid w:val="005C1E9B"/>
    <w:rsid w:val="005C1F4F"/>
    <w:rsid w:val="005C2153"/>
    <w:rsid w:val="005C22F4"/>
    <w:rsid w:val="005C2565"/>
    <w:rsid w:val="005C26BE"/>
    <w:rsid w:val="005C272E"/>
    <w:rsid w:val="005C2A90"/>
    <w:rsid w:val="005C2DA9"/>
    <w:rsid w:val="005C308C"/>
    <w:rsid w:val="005C30F8"/>
    <w:rsid w:val="005C317D"/>
    <w:rsid w:val="005C321D"/>
    <w:rsid w:val="005C3236"/>
    <w:rsid w:val="005C3238"/>
    <w:rsid w:val="005C323A"/>
    <w:rsid w:val="005C3251"/>
    <w:rsid w:val="005C3288"/>
    <w:rsid w:val="005C3302"/>
    <w:rsid w:val="005C337F"/>
    <w:rsid w:val="005C348A"/>
    <w:rsid w:val="005C348E"/>
    <w:rsid w:val="005C352D"/>
    <w:rsid w:val="005C3586"/>
    <w:rsid w:val="005C366F"/>
    <w:rsid w:val="005C37C2"/>
    <w:rsid w:val="005C37C5"/>
    <w:rsid w:val="005C3872"/>
    <w:rsid w:val="005C39B0"/>
    <w:rsid w:val="005C39B2"/>
    <w:rsid w:val="005C3A13"/>
    <w:rsid w:val="005C3B02"/>
    <w:rsid w:val="005C3BE2"/>
    <w:rsid w:val="005C3C25"/>
    <w:rsid w:val="005C3CBD"/>
    <w:rsid w:val="005C3DDD"/>
    <w:rsid w:val="005C3F7D"/>
    <w:rsid w:val="005C3F89"/>
    <w:rsid w:val="005C4098"/>
    <w:rsid w:val="005C41AE"/>
    <w:rsid w:val="005C41E3"/>
    <w:rsid w:val="005C41E6"/>
    <w:rsid w:val="005C4297"/>
    <w:rsid w:val="005C42B1"/>
    <w:rsid w:val="005C4346"/>
    <w:rsid w:val="005C44F8"/>
    <w:rsid w:val="005C4533"/>
    <w:rsid w:val="005C4620"/>
    <w:rsid w:val="005C46E9"/>
    <w:rsid w:val="005C4715"/>
    <w:rsid w:val="005C4A4B"/>
    <w:rsid w:val="005C4BBD"/>
    <w:rsid w:val="005C4DA1"/>
    <w:rsid w:val="005C4DAB"/>
    <w:rsid w:val="005C4E63"/>
    <w:rsid w:val="005C4E73"/>
    <w:rsid w:val="005C4F8A"/>
    <w:rsid w:val="005C4FE4"/>
    <w:rsid w:val="005C518B"/>
    <w:rsid w:val="005C5374"/>
    <w:rsid w:val="005C5406"/>
    <w:rsid w:val="005C540F"/>
    <w:rsid w:val="005C54D4"/>
    <w:rsid w:val="005C55FB"/>
    <w:rsid w:val="005C561A"/>
    <w:rsid w:val="005C57DA"/>
    <w:rsid w:val="005C5824"/>
    <w:rsid w:val="005C587E"/>
    <w:rsid w:val="005C58AC"/>
    <w:rsid w:val="005C5AAC"/>
    <w:rsid w:val="005C5CBD"/>
    <w:rsid w:val="005C5CCB"/>
    <w:rsid w:val="005C5CFF"/>
    <w:rsid w:val="005C5D05"/>
    <w:rsid w:val="005C5D61"/>
    <w:rsid w:val="005C5FF9"/>
    <w:rsid w:val="005C6010"/>
    <w:rsid w:val="005C612C"/>
    <w:rsid w:val="005C6230"/>
    <w:rsid w:val="005C6269"/>
    <w:rsid w:val="005C6316"/>
    <w:rsid w:val="005C63FB"/>
    <w:rsid w:val="005C6469"/>
    <w:rsid w:val="005C6652"/>
    <w:rsid w:val="005C6788"/>
    <w:rsid w:val="005C6990"/>
    <w:rsid w:val="005C69A7"/>
    <w:rsid w:val="005C6A85"/>
    <w:rsid w:val="005C6AD6"/>
    <w:rsid w:val="005C6C01"/>
    <w:rsid w:val="005C6D6A"/>
    <w:rsid w:val="005C6D97"/>
    <w:rsid w:val="005C6DD3"/>
    <w:rsid w:val="005C6E97"/>
    <w:rsid w:val="005C6EA4"/>
    <w:rsid w:val="005C6EE4"/>
    <w:rsid w:val="005C6F8D"/>
    <w:rsid w:val="005C7137"/>
    <w:rsid w:val="005C71B1"/>
    <w:rsid w:val="005C733D"/>
    <w:rsid w:val="005C73E1"/>
    <w:rsid w:val="005C741D"/>
    <w:rsid w:val="005C74AC"/>
    <w:rsid w:val="005C74CA"/>
    <w:rsid w:val="005C75B2"/>
    <w:rsid w:val="005C75B5"/>
    <w:rsid w:val="005C75D2"/>
    <w:rsid w:val="005C760B"/>
    <w:rsid w:val="005C773B"/>
    <w:rsid w:val="005C7857"/>
    <w:rsid w:val="005C7905"/>
    <w:rsid w:val="005C7A4D"/>
    <w:rsid w:val="005C7B4B"/>
    <w:rsid w:val="005C7D04"/>
    <w:rsid w:val="005C7D35"/>
    <w:rsid w:val="005C7DEA"/>
    <w:rsid w:val="005C7DF2"/>
    <w:rsid w:val="005C7E41"/>
    <w:rsid w:val="005C7E60"/>
    <w:rsid w:val="005C7E6F"/>
    <w:rsid w:val="005C7EB2"/>
    <w:rsid w:val="005C7EFD"/>
    <w:rsid w:val="005C7F25"/>
    <w:rsid w:val="005C7FFD"/>
    <w:rsid w:val="005D007D"/>
    <w:rsid w:val="005D00AD"/>
    <w:rsid w:val="005D019A"/>
    <w:rsid w:val="005D0394"/>
    <w:rsid w:val="005D043D"/>
    <w:rsid w:val="005D0749"/>
    <w:rsid w:val="005D076A"/>
    <w:rsid w:val="005D076E"/>
    <w:rsid w:val="005D08E1"/>
    <w:rsid w:val="005D0925"/>
    <w:rsid w:val="005D0B29"/>
    <w:rsid w:val="005D0CB7"/>
    <w:rsid w:val="005D1012"/>
    <w:rsid w:val="005D116A"/>
    <w:rsid w:val="005D11AC"/>
    <w:rsid w:val="005D11F2"/>
    <w:rsid w:val="005D1278"/>
    <w:rsid w:val="005D12F0"/>
    <w:rsid w:val="005D13F4"/>
    <w:rsid w:val="005D13FF"/>
    <w:rsid w:val="005D144D"/>
    <w:rsid w:val="005D150D"/>
    <w:rsid w:val="005D15EE"/>
    <w:rsid w:val="005D1674"/>
    <w:rsid w:val="005D1792"/>
    <w:rsid w:val="005D1925"/>
    <w:rsid w:val="005D1A8A"/>
    <w:rsid w:val="005D1AC1"/>
    <w:rsid w:val="005D1C31"/>
    <w:rsid w:val="005D1E2A"/>
    <w:rsid w:val="005D1EA8"/>
    <w:rsid w:val="005D1F32"/>
    <w:rsid w:val="005D1F57"/>
    <w:rsid w:val="005D2029"/>
    <w:rsid w:val="005D209B"/>
    <w:rsid w:val="005D20CD"/>
    <w:rsid w:val="005D20F6"/>
    <w:rsid w:val="005D2168"/>
    <w:rsid w:val="005D253A"/>
    <w:rsid w:val="005D2602"/>
    <w:rsid w:val="005D26A1"/>
    <w:rsid w:val="005D273F"/>
    <w:rsid w:val="005D2782"/>
    <w:rsid w:val="005D2982"/>
    <w:rsid w:val="005D2B92"/>
    <w:rsid w:val="005D2D42"/>
    <w:rsid w:val="005D2D9D"/>
    <w:rsid w:val="005D2FA0"/>
    <w:rsid w:val="005D304A"/>
    <w:rsid w:val="005D3087"/>
    <w:rsid w:val="005D3246"/>
    <w:rsid w:val="005D328A"/>
    <w:rsid w:val="005D3347"/>
    <w:rsid w:val="005D3378"/>
    <w:rsid w:val="005D3473"/>
    <w:rsid w:val="005D3546"/>
    <w:rsid w:val="005D3619"/>
    <w:rsid w:val="005D3664"/>
    <w:rsid w:val="005D3707"/>
    <w:rsid w:val="005D37E3"/>
    <w:rsid w:val="005D3ADF"/>
    <w:rsid w:val="005D3AEE"/>
    <w:rsid w:val="005D3B9C"/>
    <w:rsid w:val="005D3C07"/>
    <w:rsid w:val="005D3CC3"/>
    <w:rsid w:val="005D3CFC"/>
    <w:rsid w:val="005D3D79"/>
    <w:rsid w:val="005D3EFC"/>
    <w:rsid w:val="005D3F58"/>
    <w:rsid w:val="005D41E4"/>
    <w:rsid w:val="005D41E8"/>
    <w:rsid w:val="005D425B"/>
    <w:rsid w:val="005D426F"/>
    <w:rsid w:val="005D438F"/>
    <w:rsid w:val="005D43A5"/>
    <w:rsid w:val="005D4462"/>
    <w:rsid w:val="005D452A"/>
    <w:rsid w:val="005D4724"/>
    <w:rsid w:val="005D47EF"/>
    <w:rsid w:val="005D4891"/>
    <w:rsid w:val="005D48E1"/>
    <w:rsid w:val="005D48EF"/>
    <w:rsid w:val="005D49E3"/>
    <w:rsid w:val="005D4A14"/>
    <w:rsid w:val="005D4A28"/>
    <w:rsid w:val="005D4A29"/>
    <w:rsid w:val="005D4AD6"/>
    <w:rsid w:val="005D4AE5"/>
    <w:rsid w:val="005D4B14"/>
    <w:rsid w:val="005D50A5"/>
    <w:rsid w:val="005D5213"/>
    <w:rsid w:val="005D529E"/>
    <w:rsid w:val="005D52CF"/>
    <w:rsid w:val="005D533B"/>
    <w:rsid w:val="005D53B6"/>
    <w:rsid w:val="005D53BE"/>
    <w:rsid w:val="005D53E0"/>
    <w:rsid w:val="005D5585"/>
    <w:rsid w:val="005D55D0"/>
    <w:rsid w:val="005D56C9"/>
    <w:rsid w:val="005D5779"/>
    <w:rsid w:val="005D5817"/>
    <w:rsid w:val="005D5A13"/>
    <w:rsid w:val="005D5AC2"/>
    <w:rsid w:val="005D5ACD"/>
    <w:rsid w:val="005D5AD8"/>
    <w:rsid w:val="005D5BC5"/>
    <w:rsid w:val="005D5C24"/>
    <w:rsid w:val="005D5DB1"/>
    <w:rsid w:val="005D5E04"/>
    <w:rsid w:val="005D5E6C"/>
    <w:rsid w:val="005D6034"/>
    <w:rsid w:val="005D60D0"/>
    <w:rsid w:val="005D632C"/>
    <w:rsid w:val="005D6378"/>
    <w:rsid w:val="005D6738"/>
    <w:rsid w:val="005D6972"/>
    <w:rsid w:val="005D6973"/>
    <w:rsid w:val="005D69BD"/>
    <w:rsid w:val="005D6A55"/>
    <w:rsid w:val="005D6B6D"/>
    <w:rsid w:val="005D6B9A"/>
    <w:rsid w:val="005D6C90"/>
    <w:rsid w:val="005D6CB8"/>
    <w:rsid w:val="005D6D08"/>
    <w:rsid w:val="005D6D12"/>
    <w:rsid w:val="005D6D3D"/>
    <w:rsid w:val="005D70E6"/>
    <w:rsid w:val="005D7118"/>
    <w:rsid w:val="005D7187"/>
    <w:rsid w:val="005D71B0"/>
    <w:rsid w:val="005D71D2"/>
    <w:rsid w:val="005D7616"/>
    <w:rsid w:val="005D769C"/>
    <w:rsid w:val="005D7743"/>
    <w:rsid w:val="005D78F5"/>
    <w:rsid w:val="005D7A9B"/>
    <w:rsid w:val="005D7AAE"/>
    <w:rsid w:val="005D7C51"/>
    <w:rsid w:val="005D7CC0"/>
    <w:rsid w:val="005D7D3C"/>
    <w:rsid w:val="005D7D81"/>
    <w:rsid w:val="005D7F25"/>
    <w:rsid w:val="005D7F55"/>
    <w:rsid w:val="005E0078"/>
    <w:rsid w:val="005E00C3"/>
    <w:rsid w:val="005E00FE"/>
    <w:rsid w:val="005E026A"/>
    <w:rsid w:val="005E02B5"/>
    <w:rsid w:val="005E0348"/>
    <w:rsid w:val="005E039D"/>
    <w:rsid w:val="005E03B2"/>
    <w:rsid w:val="005E0698"/>
    <w:rsid w:val="005E0885"/>
    <w:rsid w:val="005E0889"/>
    <w:rsid w:val="005E08B7"/>
    <w:rsid w:val="005E0945"/>
    <w:rsid w:val="005E09EF"/>
    <w:rsid w:val="005E0B8D"/>
    <w:rsid w:val="005E0BC5"/>
    <w:rsid w:val="005E0BFF"/>
    <w:rsid w:val="005E0C1A"/>
    <w:rsid w:val="005E0C6C"/>
    <w:rsid w:val="005E0E2C"/>
    <w:rsid w:val="005E0E64"/>
    <w:rsid w:val="005E0EAD"/>
    <w:rsid w:val="005E0EBD"/>
    <w:rsid w:val="005E0ED8"/>
    <w:rsid w:val="005E0EE8"/>
    <w:rsid w:val="005E0F26"/>
    <w:rsid w:val="005E0F96"/>
    <w:rsid w:val="005E11A7"/>
    <w:rsid w:val="005E1257"/>
    <w:rsid w:val="005E1279"/>
    <w:rsid w:val="005E12A1"/>
    <w:rsid w:val="005E12B9"/>
    <w:rsid w:val="005E134A"/>
    <w:rsid w:val="005E143D"/>
    <w:rsid w:val="005E1444"/>
    <w:rsid w:val="005E16CD"/>
    <w:rsid w:val="005E1783"/>
    <w:rsid w:val="005E181C"/>
    <w:rsid w:val="005E185C"/>
    <w:rsid w:val="005E195D"/>
    <w:rsid w:val="005E1A21"/>
    <w:rsid w:val="005E1ABF"/>
    <w:rsid w:val="005E1AFF"/>
    <w:rsid w:val="005E1CEA"/>
    <w:rsid w:val="005E1E45"/>
    <w:rsid w:val="005E1EEC"/>
    <w:rsid w:val="005E1F18"/>
    <w:rsid w:val="005E21D8"/>
    <w:rsid w:val="005E2350"/>
    <w:rsid w:val="005E23E4"/>
    <w:rsid w:val="005E23F1"/>
    <w:rsid w:val="005E24BA"/>
    <w:rsid w:val="005E2502"/>
    <w:rsid w:val="005E25B7"/>
    <w:rsid w:val="005E26D4"/>
    <w:rsid w:val="005E26F3"/>
    <w:rsid w:val="005E2709"/>
    <w:rsid w:val="005E28A2"/>
    <w:rsid w:val="005E28CB"/>
    <w:rsid w:val="005E29FD"/>
    <w:rsid w:val="005E2A7A"/>
    <w:rsid w:val="005E2ADC"/>
    <w:rsid w:val="005E2B17"/>
    <w:rsid w:val="005E2B5E"/>
    <w:rsid w:val="005E2B7D"/>
    <w:rsid w:val="005E2C33"/>
    <w:rsid w:val="005E2C49"/>
    <w:rsid w:val="005E2CA9"/>
    <w:rsid w:val="005E2CB4"/>
    <w:rsid w:val="005E2CE5"/>
    <w:rsid w:val="005E2D83"/>
    <w:rsid w:val="005E31B8"/>
    <w:rsid w:val="005E31D7"/>
    <w:rsid w:val="005E3323"/>
    <w:rsid w:val="005E3398"/>
    <w:rsid w:val="005E341A"/>
    <w:rsid w:val="005E34B8"/>
    <w:rsid w:val="005E3624"/>
    <w:rsid w:val="005E3725"/>
    <w:rsid w:val="005E385E"/>
    <w:rsid w:val="005E39F8"/>
    <w:rsid w:val="005E3ACA"/>
    <w:rsid w:val="005E3BB5"/>
    <w:rsid w:val="005E3C5F"/>
    <w:rsid w:val="005E3CAC"/>
    <w:rsid w:val="005E3D04"/>
    <w:rsid w:val="005E3D56"/>
    <w:rsid w:val="005E3DFF"/>
    <w:rsid w:val="005E3E2E"/>
    <w:rsid w:val="005E3E59"/>
    <w:rsid w:val="005E3FF6"/>
    <w:rsid w:val="005E40D0"/>
    <w:rsid w:val="005E41C9"/>
    <w:rsid w:val="005E4201"/>
    <w:rsid w:val="005E4208"/>
    <w:rsid w:val="005E420B"/>
    <w:rsid w:val="005E42DA"/>
    <w:rsid w:val="005E4475"/>
    <w:rsid w:val="005E4617"/>
    <w:rsid w:val="005E46FD"/>
    <w:rsid w:val="005E4796"/>
    <w:rsid w:val="005E4804"/>
    <w:rsid w:val="005E49B3"/>
    <w:rsid w:val="005E4B49"/>
    <w:rsid w:val="005E4BF6"/>
    <w:rsid w:val="005E4CBE"/>
    <w:rsid w:val="005E4D5E"/>
    <w:rsid w:val="005E51CC"/>
    <w:rsid w:val="005E520C"/>
    <w:rsid w:val="005E534F"/>
    <w:rsid w:val="005E5352"/>
    <w:rsid w:val="005E5367"/>
    <w:rsid w:val="005E53DF"/>
    <w:rsid w:val="005E5642"/>
    <w:rsid w:val="005E56D4"/>
    <w:rsid w:val="005E579E"/>
    <w:rsid w:val="005E57AF"/>
    <w:rsid w:val="005E57B0"/>
    <w:rsid w:val="005E581D"/>
    <w:rsid w:val="005E598B"/>
    <w:rsid w:val="005E5A27"/>
    <w:rsid w:val="005E5A88"/>
    <w:rsid w:val="005E5B27"/>
    <w:rsid w:val="005E5D63"/>
    <w:rsid w:val="005E5E76"/>
    <w:rsid w:val="005E5F0B"/>
    <w:rsid w:val="005E5F93"/>
    <w:rsid w:val="005E6122"/>
    <w:rsid w:val="005E6179"/>
    <w:rsid w:val="005E6249"/>
    <w:rsid w:val="005E6307"/>
    <w:rsid w:val="005E65AB"/>
    <w:rsid w:val="005E65B9"/>
    <w:rsid w:val="005E65C4"/>
    <w:rsid w:val="005E667C"/>
    <w:rsid w:val="005E6760"/>
    <w:rsid w:val="005E67DE"/>
    <w:rsid w:val="005E6818"/>
    <w:rsid w:val="005E6970"/>
    <w:rsid w:val="005E698E"/>
    <w:rsid w:val="005E6AF4"/>
    <w:rsid w:val="005E6AFA"/>
    <w:rsid w:val="005E6B0B"/>
    <w:rsid w:val="005E6BA6"/>
    <w:rsid w:val="005E6D25"/>
    <w:rsid w:val="005E6DD4"/>
    <w:rsid w:val="005E6E38"/>
    <w:rsid w:val="005E6FAC"/>
    <w:rsid w:val="005E71AC"/>
    <w:rsid w:val="005E71BB"/>
    <w:rsid w:val="005E722D"/>
    <w:rsid w:val="005E7303"/>
    <w:rsid w:val="005E7390"/>
    <w:rsid w:val="005E73E4"/>
    <w:rsid w:val="005E7659"/>
    <w:rsid w:val="005E76F3"/>
    <w:rsid w:val="005E7750"/>
    <w:rsid w:val="005E77C6"/>
    <w:rsid w:val="005E783F"/>
    <w:rsid w:val="005E788D"/>
    <w:rsid w:val="005E7AF0"/>
    <w:rsid w:val="005E7B5B"/>
    <w:rsid w:val="005E7BED"/>
    <w:rsid w:val="005E7C0D"/>
    <w:rsid w:val="005E7C32"/>
    <w:rsid w:val="005E7C51"/>
    <w:rsid w:val="005E7CF7"/>
    <w:rsid w:val="005E7D39"/>
    <w:rsid w:val="005E7D51"/>
    <w:rsid w:val="005E7D61"/>
    <w:rsid w:val="005E7D6F"/>
    <w:rsid w:val="005E7DDF"/>
    <w:rsid w:val="005E7F96"/>
    <w:rsid w:val="005F0064"/>
    <w:rsid w:val="005F008F"/>
    <w:rsid w:val="005F01A8"/>
    <w:rsid w:val="005F0248"/>
    <w:rsid w:val="005F0256"/>
    <w:rsid w:val="005F03A2"/>
    <w:rsid w:val="005F0566"/>
    <w:rsid w:val="005F0573"/>
    <w:rsid w:val="005F061D"/>
    <w:rsid w:val="005F0640"/>
    <w:rsid w:val="005F0710"/>
    <w:rsid w:val="005F0897"/>
    <w:rsid w:val="005F099F"/>
    <w:rsid w:val="005F0A20"/>
    <w:rsid w:val="005F0AD2"/>
    <w:rsid w:val="005F0BD7"/>
    <w:rsid w:val="005F0D90"/>
    <w:rsid w:val="005F0E1B"/>
    <w:rsid w:val="005F0F4E"/>
    <w:rsid w:val="005F0FCE"/>
    <w:rsid w:val="005F10A3"/>
    <w:rsid w:val="005F10DD"/>
    <w:rsid w:val="005F10FC"/>
    <w:rsid w:val="005F1351"/>
    <w:rsid w:val="005F13DB"/>
    <w:rsid w:val="005F1696"/>
    <w:rsid w:val="005F16E0"/>
    <w:rsid w:val="005F16FD"/>
    <w:rsid w:val="005F1855"/>
    <w:rsid w:val="005F1886"/>
    <w:rsid w:val="005F1971"/>
    <w:rsid w:val="005F1B5C"/>
    <w:rsid w:val="005F1B8C"/>
    <w:rsid w:val="005F1B9E"/>
    <w:rsid w:val="005F1C66"/>
    <w:rsid w:val="005F1D83"/>
    <w:rsid w:val="005F1DA3"/>
    <w:rsid w:val="005F1DC7"/>
    <w:rsid w:val="005F1E3A"/>
    <w:rsid w:val="005F1E54"/>
    <w:rsid w:val="005F1F57"/>
    <w:rsid w:val="005F1FEA"/>
    <w:rsid w:val="005F2164"/>
    <w:rsid w:val="005F2188"/>
    <w:rsid w:val="005F21D2"/>
    <w:rsid w:val="005F222D"/>
    <w:rsid w:val="005F2487"/>
    <w:rsid w:val="005F2521"/>
    <w:rsid w:val="005F2545"/>
    <w:rsid w:val="005F25B1"/>
    <w:rsid w:val="005F25BC"/>
    <w:rsid w:val="005F2621"/>
    <w:rsid w:val="005F26DB"/>
    <w:rsid w:val="005F27C8"/>
    <w:rsid w:val="005F2AC1"/>
    <w:rsid w:val="005F2AFC"/>
    <w:rsid w:val="005F2D98"/>
    <w:rsid w:val="005F2E08"/>
    <w:rsid w:val="005F2FE2"/>
    <w:rsid w:val="005F2FFF"/>
    <w:rsid w:val="005F3091"/>
    <w:rsid w:val="005F30C8"/>
    <w:rsid w:val="005F32AC"/>
    <w:rsid w:val="005F3383"/>
    <w:rsid w:val="005F3401"/>
    <w:rsid w:val="005F348B"/>
    <w:rsid w:val="005F34CE"/>
    <w:rsid w:val="005F3695"/>
    <w:rsid w:val="005F3857"/>
    <w:rsid w:val="005F387E"/>
    <w:rsid w:val="005F3999"/>
    <w:rsid w:val="005F3AFB"/>
    <w:rsid w:val="005F3B79"/>
    <w:rsid w:val="005F3C33"/>
    <w:rsid w:val="005F3E1C"/>
    <w:rsid w:val="005F4030"/>
    <w:rsid w:val="005F4064"/>
    <w:rsid w:val="005F408B"/>
    <w:rsid w:val="005F40A4"/>
    <w:rsid w:val="005F40B3"/>
    <w:rsid w:val="005F4115"/>
    <w:rsid w:val="005F441A"/>
    <w:rsid w:val="005F454A"/>
    <w:rsid w:val="005F455A"/>
    <w:rsid w:val="005F465C"/>
    <w:rsid w:val="005F4690"/>
    <w:rsid w:val="005F469B"/>
    <w:rsid w:val="005F4725"/>
    <w:rsid w:val="005F482C"/>
    <w:rsid w:val="005F4855"/>
    <w:rsid w:val="005F48B4"/>
    <w:rsid w:val="005F49BE"/>
    <w:rsid w:val="005F4A0B"/>
    <w:rsid w:val="005F4BC8"/>
    <w:rsid w:val="005F4C24"/>
    <w:rsid w:val="005F4D8D"/>
    <w:rsid w:val="005F4DC2"/>
    <w:rsid w:val="005F4F96"/>
    <w:rsid w:val="005F5031"/>
    <w:rsid w:val="005F5042"/>
    <w:rsid w:val="005F50F8"/>
    <w:rsid w:val="005F529A"/>
    <w:rsid w:val="005F5335"/>
    <w:rsid w:val="005F53F2"/>
    <w:rsid w:val="005F5458"/>
    <w:rsid w:val="005F54A7"/>
    <w:rsid w:val="005F54BE"/>
    <w:rsid w:val="005F5514"/>
    <w:rsid w:val="005F5549"/>
    <w:rsid w:val="005F554E"/>
    <w:rsid w:val="005F5589"/>
    <w:rsid w:val="005F559F"/>
    <w:rsid w:val="005F564F"/>
    <w:rsid w:val="005F5663"/>
    <w:rsid w:val="005F57C4"/>
    <w:rsid w:val="005F58FE"/>
    <w:rsid w:val="005F5933"/>
    <w:rsid w:val="005F593A"/>
    <w:rsid w:val="005F5A4E"/>
    <w:rsid w:val="005F5BD5"/>
    <w:rsid w:val="005F5C97"/>
    <w:rsid w:val="005F5E52"/>
    <w:rsid w:val="005F5E55"/>
    <w:rsid w:val="005F5ED6"/>
    <w:rsid w:val="005F60FA"/>
    <w:rsid w:val="005F6161"/>
    <w:rsid w:val="005F62B6"/>
    <w:rsid w:val="005F6368"/>
    <w:rsid w:val="005F64F7"/>
    <w:rsid w:val="005F65A8"/>
    <w:rsid w:val="005F65B6"/>
    <w:rsid w:val="005F663C"/>
    <w:rsid w:val="005F6672"/>
    <w:rsid w:val="005F6674"/>
    <w:rsid w:val="005F66FD"/>
    <w:rsid w:val="005F6776"/>
    <w:rsid w:val="005F6796"/>
    <w:rsid w:val="005F6907"/>
    <w:rsid w:val="005F6974"/>
    <w:rsid w:val="005F6A1E"/>
    <w:rsid w:val="005F6A61"/>
    <w:rsid w:val="005F6AE6"/>
    <w:rsid w:val="005F6AF3"/>
    <w:rsid w:val="005F6B07"/>
    <w:rsid w:val="005F6DBF"/>
    <w:rsid w:val="005F6E83"/>
    <w:rsid w:val="005F6E9F"/>
    <w:rsid w:val="005F6EC2"/>
    <w:rsid w:val="005F707C"/>
    <w:rsid w:val="005F7093"/>
    <w:rsid w:val="005F70F0"/>
    <w:rsid w:val="005F71A2"/>
    <w:rsid w:val="005F7214"/>
    <w:rsid w:val="005F730F"/>
    <w:rsid w:val="005F743C"/>
    <w:rsid w:val="005F74F0"/>
    <w:rsid w:val="005F752E"/>
    <w:rsid w:val="005F7537"/>
    <w:rsid w:val="005F7573"/>
    <w:rsid w:val="005F75E1"/>
    <w:rsid w:val="005F761C"/>
    <w:rsid w:val="005F7676"/>
    <w:rsid w:val="005F7685"/>
    <w:rsid w:val="005F76F4"/>
    <w:rsid w:val="005F7778"/>
    <w:rsid w:val="005F778C"/>
    <w:rsid w:val="005F7A06"/>
    <w:rsid w:val="005F7A47"/>
    <w:rsid w:val="005F7A83"/>
    <w:rsid w:val="005F7B8D"/>
    <w:rsid w:val="005F7BC2"/>
    <w:rsid w:val="005F7BD2"/>
    <w:rsid w:val="005F7C34"/>
    <w:rsid w:val="005F7EA1"/>
    <w:rsid w:val="00600028"/>
    <w:rsid w:val="006001A3"/>
    <w:rsid w:val="006001F1"/>
    <w:rsid w:val="006002B9"/>
    <w:rsid w:val="00600328"/>
    <w:rsid w:val="00600434"/>
    <w:rsid w:val="006005F3"/>
    <w:rsid w:val="00600628"/>
    <w:rsid w:val="0060068D"/>
    <w:rsid w:val="0060095E"/>
    <w:rsid w:val="00600B6D"/>
    <w:rsid w:val="00600BCF"/>
    <w:rsid w:val="00600C97"/>
    <w:rsid w:val="00600D53"/>
    <w:rsid w:val="00600E36"/>
    <w:rsid w:val="00600FBE"/>
    <w:rsid w:val="006011BC"/>
    <w:rsid w:val="0060123E"/>
    <w:rsid w:val="00601280"/>
    <w:rsid w:val="0060143A"/>
    <w:rsid w:val="00601479"/>
    <w:rsid w:val="00601569"/>
    <w:rsid w:val="006015E6"/>
    <w:rsid w:val="006016B6"/>
    <w:rsid w:val="006016C2"/>
    <w:rsid w:val="00601774"/>
    <w:rsid w:val="0060184B"/>
    <w:rsid w:val="00601962"/>
    <w:rsid w:val="006019A4"/>
    <w:rsid w:val="006019AF"/>
    <w:rsid w:val="00601AC9"/>
    <w:rsid w:val="00601D31"/>
    <w:rsid w:val="00601DAD"/>
    <w:rsid w:val="00601DBC"/>
    <w:rsid w:val="00601E02"/>
    <w:rsid w:val="00601E69"/>
    <w:rsid w:val="00601EB2"/>
    <w:rsid w:val="00601FD4"/>
    <w:rsid w:val="006020F6"/>
    <w:rsid w:val="006020FA"/>
    <w:rsid w:val="006021DC"/>
    <w:rsid w:val="0060220A"/>
    <w:rsid w:val="006022FF"/>
    <w:rsid w:val="006023F6"/>
    <w:rsid w:val="006024A8"/>
    <w:rsid w:val="006025D9"/>
    <w:rsid w:val="00602634"/>
    <w:rsid w:val="0060265B"/>
    <w:rsid w:val="006026D2"/>
    <w:rsid w:val="0060274F"/>
    <w:rsid w:val="0060297F"/>
    <w:rsid w:val="00602A1B"/>
    <w:rsid w:val="00602BD0"/>
    <w:rsid w:val="00602C5D"/>
    <w:rsid w:val="00602F73"/>
    <w:rsid w:val="00602F74"/>
    <w:rsid w:val="0060308E"/>
    <w:rsid w:val="006030B5"/>
    <w:rsid w:val="006030CD"/>
    <w:rsid w:val="0060311D"/>
    <w:rsid w:val="00603125"/>
    <w:rsid w:val="0060314D"/>
    <w:rsid w:val="00603221"/>
    <w:rsid w:val="00603240"/>
    <w:rsid w:val="0060327A"/>
    <w:rsid w:val="0060328F"/>
    <w:rsid w:val="006032BA"/>
    <w:rsid w:val="006032F9"/>
    <w:rsid w:val="0060343A"/>
    <w:rsid w:val="0060349A"/>
    <w:rsid w:val="0060349B"/>
    <w:rsid w:val="0060362D"/>
    <w:rsid w:val="0060363A"/>
    <w:rsid w:val="00603731"/>
    <w:rsid w:val="006038FD"/>
    <w:rsid w:val="00603919"/>
    <w:rsid w:val="006039F2"/>
    <w:rsid w:val="00603DF4"/>
    <w:rsid w:val="00603E27"/>
    <w:rsid w:val="00603E78"/>
    <w:rsid w:val="00603EF2"/>
    <w:rsid w:val="00603F6D"/>
    <w:rsid w:val="00604030"/>
    <w:rsid w:val="00604031"/>
    <w:rsid w:val="00604247"/>
    <w:rsid w:val="00604323"/>
    <w:rsid w:val="00604391"/>
    <w:rsid w:val="0060442D"/>
    <w:rsid w:val="006044C7"/>
    <w:rsid w:val="006044E1"/>
    <w:rsid w:val="0060457E"/>
    <w:rsid w:val="00604622"/>
    <w:rsid w:val="00604640"/>
    <w:rsid w:val="00604670"/>
    <w:rsid w:val="006046DB"/>
    <w:rsid w:val="00604823"/>
    <w:rsid w:val="006049AF"/>
    <w:rsid w:val="006049C0"/>
    <w:rsid w:val="006049DA"/>
    <w:rsid w:val="00604A02"/>
    <w:rsid w:val="00604AF1"/>
    <w:rsid w:val="00604B7B"/>
    <w:rsid w:val="00604B8C"/>
    <w:rsid w:val="00604BE0"/>
    <w:rsid w:val="00604C83"/>
    <w:rsid w:val="00604CBB"/>
    <w:rsid w:val="00604CDC"/>
    <w:rsid w:val="00604D65"/>
    <w:rsid w:val="00604EC1"/>
    <w:rsid w:val="00604EFF"/>
    <w:rsid w:val="0060501C"/>
    <w:rsid w:val="0060517C"/>
    <w:rsid w:val="006051BA"/>
    <w:rsid w:val="006051EB"/>
    <w:rsid w:val="006052CB"/>
    <w:rsid w:val="006053E4"/>
    <w:rsid w:val="0060542C"/>
    <w:rsid w:val="00605431"/>
    <w:rsid w:val="006054FA"/>
    <w:rsid w:val="00605568"/>
    <w:rsid w:val="006055B6"/>
    <w:rsid w:val="00605669"/>
    <w:rsid w:val="0060576D"/>
    <w:rsid w:val="00605A35"/>
    <w:rsid w:val="00605ADE"/>
    <w:rsid w:val="00605B33"/>
    <w:rsid w:val="00605B9A"/>
    <w:rsid w:val="00605C9F"/>
    <w:rsid w:val="00605D68"/>
    <w:rsid w:val="00605DC3"/>
    <w:rsid w:val="00605F32"/>
    <w:rsid w:val="00605FF8"/>
    <w:rsid w:val="006060D2"/>
    <w:rsid w:val="0060627A"/>
    <w:rsid w:val="006062F1"/>
    <w:rsid w:val="0060644D"/>
    <w:rsid w:val="006064CD"/>
    <w:rsid w:val="006065ED"/>
    <w:rsid w:val="006065FF"/>
    <w:rsid w:val="00606608"/>
    <w:rsid w:val="006066B5"/>
    <w:rsid w:val="00606A09"/>
    <w:rsid w:val="00606A4E"/>
    <w:rsid w:val="00606A58"/>
    <w:rsid w:val="00606A78"/>
    <w:rsid w:val="00606B4A"/>
    <w:rsid w:val="00606BE3"/>
    <w:rsid w:val="00606C7A"/>
    <w:rsid w:val="00606C9B"/>
    <w:rsid w:val="00606CD2"/>
    <w:rsid w:val="00606CDD"/>
    <w:rsid w:val="00606D4D"/>
    <w:rsid w:val="00606EC5"/>
    <w:rsid w:val="00607287"/>
    <w:rsid w:val="00607304"/>
    <w:rsid w:val="0060736D"/>
    <w:rsid w:val="006073C4"/>
    <w:rsid w:val="0060742F"/>
    <w:rsid w:val="00607447"/>
    <w:rsid w:val="006075F4"/>
    <w:rsid w:val="00607677"/>
    <w:rsid w:val="006077B6"/>
    <w:rsid w:val="006078CF"/>
    <w:rsid w:val="00607979"/>
    <w:rsid w:val="006079BF"/>
    <w:rsid w:val="00607A9B"/>
    <w:rsid w:val="00607B65"/>
    <w:rsid w:val="00607C5E"/>
    <w:rsid w:val="00607C6E"/>
    <w:rsid w:val="00607CF5"/>
    <w:rsid w:val="00607D0E"/>
    <w:rsid w:val="00607D6D"/>
    <w:rsid w:val="00607F9A"/>
    <w:rsid w:val="00607FF6"/>
    <w:rsid w:val="0061019E"/>
    <w:rsid w:val="0061034D"/>
    <w:rsid w:val="006105C4"/>
    <w:rsid w:val="006106A2"/>
    <w:rsid w:val="0061090D"/>
    <w:rsid w:val="00610AD4"/>
    <w:rsid w:val="00610B7D"/>
    <w:rsid w:val="00610C13"/>
    <w:rsid w:val="00610C74"/>
    <w:rsid w:val="00610C96"/>
    <w:rsid w:val="00610CF3"/>
    <w:rsid w:val="00610D03"/>
    <w:rsid w:val="00610DE8"/>
    <w:rsid w:val="00610E0F"/>
    <w:rsid w:val="00610E45"/>
    <w:rsid w:val="00611035"/>
    <w:rsid w:val="00611051"/>
    <w:rsid w:val="00611072"/>
    <w:rsid w:val="006110D8"/>
    <w:rsid w:val="00611139"/>
    <w:rsid w:val="00611173"/>
    <w:rsid w:val="00611239"/>
    <w:rsid w:val="00611320"/>
    <w:rsid w:val="006113B5"/>
    <w:rsid w:val="006113D3"/>
    <w:rsid w:val="006115D4"/>
    <w:rsid w:val="00611968"/>
    <w:rsid w:val="00611969"/>
    <w:rsid w:val="00611A67"/>
    <w:rsid w:val="00611AC7"/>
    <w:rsid w:val="00611C17"/>
    <w:rsid w:val="00611C6D"/>
    <w:rsid w:val="00611DA1"/>
    <w:rsid w:val="00611ECC"/>
    <w:rsid w:val="006121BD"/>
    <w:rsid w:val="006122F3"/>
    <w:rsid w:val="00612351"/>
    <w:rsid w:val="0061256B"/>
    <w:rsid w:val="0061259C"/>
    <w:rsid w:val="0061262C"/>
    <w:rsid w:val="006126ED"/>
    <w:rsid w:val="0061273B"/>
    <w:rsid w:val="00612757"/>
    <w:rsid w:val="00612793"/>
    <w:rsid w:val="00612798"/>
    <w:rsid w:val="006129AD"/>
    <w:rsid w:val="00612A65"/>
    <w:rsid w:val="00612AF0"/>
    <w:rsid w:val="00612CBD"/>
    <w:rsid w:val="00612DD4"/>
    <w:rsid w:val="00612DFE"/>
    <w:rsid w:val="00612F99"/>
    <w:rsid w:val="00613001"/>
    <w:rsid w:val="00613143"/>
    <w:rsid w:val="0061316F"/>
    <w:rsid w:val="006131B5"/>
    <w:rsid w:val="006131C6"/>
    <w:rsid w:val="00613247"/>
    <w:rsid w:val="00613415"/>
    <w:rsid w:val="00613472"/>
    <w:rsid w:val="006134C3"/>
    <w:rsid w:val="00613559"/>
    <w:rsid w:val="00613679"/>
    <w:rsid w:val="006136A2"/>
    <w:rsid w:val="006137D7"/>
    <w:rsid w:val="006137E4"/>
    <w:rsid w:val="00613862"/>
    <w:rsid w:val="0061398E"/>
    <w:rsid w:val="006139CE"/>
    <w:rsid w:val="006139FA"/>
    <w:rsid w:val="00613A5F"/>
    <w:rsid w:val="00613C0E"/>
    <w:rsid w:val="00613CE8"/>
    <w:rsid w:val="00613DC9"/>
    <w:rsid w:val="00613E6F"/>
    <w:rsid w:val="00613F38"/>
    <w:rsid w:val="00613F5E"/>
    <w:rsid w:val="00613F9A"/>
    <w:rsid w:val="006141D5"/>
    <w:rsid w:val="0061426E"/>
    <w:rsid w:val="006142FE"/>
    <w:rsid w:val="00614304"/>
    <w:rsid w:val="006143E7"/>
    <w:rsid w:val="00614680"/>
    <w:rsid w:val="00614838"/>
    <w:rsid w:val="00614984"/>
    <w:rsid w:val="00614B2F"/>
    <w:rsid w:val="00614BFA"/>
    <w:rsid w:val="00614C8D"/>
    <w:rsid w:val="00614D3A"/>
    <w:rsid w:val="00614D53"/>
    <w:rsid w:val="00614D76"/>
    <w:rsid w:val="00614E15"/>
    <w:rsid w:val="00614E7F"/>
    <w:rsid w:val="00615106"/>
    <w:rsid w:val="0061513F"/>
    <w:rsid w:val="0061517C"/>
    <w:rsid w:val="00615377"/>
    <w:rsid w:val="00615385"/>
    <w:rsid w:val="006153D0"/>
    <w:rsid w:val="00615479"/>
    <w:rsid w:val="00615487"/>
    <w:rsid w:val="006155E3"/>
    <w:rsid w:val="00615834"/>
    <w:rsid w:val="00615AAA"/>
    <w:rsid w:val="00615AFD"/>
    <w:rsid w:val="00615C23"/>
    <w:rsid w:val="00615D02"/>
    <w:rsid w:val="00615D78"/>
    <w:rsid w:val="00615D90"/>
    <w:rsid w:val="00615F2F"/>
    <w:rsid w:val="00615F3E"/>
    <w:rsid w:val="0061603F"/>
    <w:rsid w:val="0061608F"/>
    <w:rsid w:val="006160F7"/>
    <w:rsid w:val="006162EE"/>
    <w:rsid w:val="0061637A"/>
    <w:rsid w:val="00616390"/>
    <w:rsid w:val="0061644E"/>
    <w:rsid w:val="006165B2"/>
    <w:rsid w:val="006167E8"/>
    <w:rsid w:val="00616855"/>
    <w:rsid w:val="006168B2"/>
    <w:rsid w:val="00616929"/>
    <w:rsid w:val="00616ACB"/>
    <w:rsid w:val="00616B4E"/>
    <w:rsid w:val="00616C74"/>
    <w:rsid w:val="00616C81"/>
    <w:rsid w:val="00616D2F"/>
    <w:rsid w:val="00616E99"/>
    <w:rsid w:val="00616F77"/>
    <w:rsid w:val="00616F9B"/>
    <w:rsid w:val="0061703D"/>
    <w:rsid w:val="00617044"/>
    <w:rsid w:val="006171AE"/>
    <w:rsid w:val="006172AC"/>
    <w:rsid w:val="00617314"/>
    <w:rsid w:val="006173F2"/>
    <w:rsid w:val="00617411"/>
    <w:rsid w:val="0061741A"/>
    <w:rsid w:val="00617476"/>
    <w:rsid w:val="006175AE"/>
    <w:rsid w:val="006177FA"/>
    <w:rsid w:val="0061790C"/>
    <w:rsid w:val="00617945"/>
    <w:rsid w:val="006179D3"/>
    <w:rsid w:val="00617B48"/>
    <w:rsid w:val="00617BE1"/>
    <w:rsid w:val="00617C18"/>
    <w:rsid w:val="00617C82"/>
    <w:rsid w:val="00617C8D"/>
    <w:rsid w:val="00617C9C"/>
    <w:rsid w:val="00617CC3"/>
    <w:rsid w:val="00617D0C"/>
    <w:rsid w:val="00617EC4"/>
    <w:rsid w:val="00617F4C"/>
    <w:rsid w:val="00620024"/>
    <w:rsid w:val="006200A2"/>
    <w:rsid w:val="006200E3"/>
    <w:rsid w:val="00620170"/>
    <w:rsid w:val="00620173"/>
    <w:rsid w:val="00620176"/>
    <w:rsid w:val="006201EA"/>
    <w:rsid w:val="0062024F"/>
    <w:rsid w:val="006202D5"/>
    <w:rsid w:val="00620396"/>
    <w:rsid w:val="006206DA"/>
    <w:rsid w:val="006206DE"/>
    <w:rsid w:val="0062075A"/>
    <w:rsid w:val="0062076E"/>
    <w:rsid w:val="0062084E"/>
    <w:rsid w:val="0062090D"/>
    <w:rsid w:val="00620983"/>
    <w:rsid w:val="0062098F"/>
    <w:rsid w:val="006209DB"/>
    <w:rsid w:val="00620A92"/>
    <w:rsid w:val="00620B50"/>
    <w:rsid w:val="00620BE3"/>
    <w:rsid w:val="00620D39"/>
    <w:rsid w:val="00620D63"/>
    <w:rsid w:val="00620DEB"/>
    <w:rsid w:val="00620E50"/>
    <w:rsid w:val="0062103D"/>
    <w:rsid w:val="00621046"/>
    <w:rsid w:val="006210BE"/>
    <w:rsid w:val="00621193"/>
    <w:rsid w:val="0062148D"/>
    <w:rsid w:val="006214BE"/>
    <w:rsid w:val="00621563"/>
    <w:rsid w:val="006218E1"/>
    <w:rsid w:val="00621993"/>
    <w:rsid w:val="00621A6F"/>
    <w:rsid w:val="00621AF5"/>
    <w:rsid w:val="00621B9E"/>
    <w:rsid w:val="00621BE5"/>
    <w:rsid w:val="00621C5E"/>
    <w:rsid w:val="00621D5D"/>
    <w:rsid w:val="00621D9B"/>
    <w:rsid w:val="00621E38"/>
    <w:rsid w:val="00621E39"/>
    <w:rsid w:val="00621E47"/>
    <w:rsid w:val="00621E89"/>
    <w:rsid w:val="00621EA5"/>
    <w:rsid w:val="00621EED"/>
    <w:rsid w:val="00621FE6"/>
    <w:rsid w:val="00622050"/>
    <w:rsid w:val="00622076"/>
    <w:rsid w:val="006220D2"/>
    <w:rsid w:val="00622133"/>
    <w:rsid w:val="0062230E"/>
    <w:rsid w:val="00622352"/>
    <w:rsid w:val="0062240F"/>
    <w:rsid w:val="00622434"/>
    <w:rsid w:val="00622554"/>
    <w:rsid w:val="00622561"/>
    <w:rsid w:val="00622593"/>
    <w:rsid w:val="006226E8"/>
    <w:rsid w:val="006227B4"/>
    <w:rsid w:val="006227C1"/>
    <w:rsid w:val="00622A0B"/>
    <w:rsid w:val="00622A8E"/>
    <w:rsid w:val="00622BEF"/>
    <w:rsid w:val="00622C1F"/>
    <w:rsid w:val="00622C4C"/>
    <w:rsid w:val="00622DA9"/>
    <w:rsid w:val="00622DE9"/>
    <w:rsid w:val="00622DFD"/>
    <w:rsid w:val="00622EC4"/>
    <w:rsid w:val="00622F3B"/>
    <w:rsid w:val="00622F4A"/>
    <w:rsid w:val="00622F5A"/>
    <w:rsid w:val="00622F9A"/>
    <w:rsid w:val="0062301B"/>
    <w:rsid w:val="006230FC"/>
    <w:rsid w:val="00623172"/>
    <w:rsid w:val="006232DB"/>
    <w:rsid w:val="006234BD"/>
    <w:rsid w:val="00623630"/>
    <w:rsid w:val="006236AA"/>
    <w:rsid w:val="0062381E"/>
    <w:rsid w:val="00623920"/>
    <w:rsid w:val="00623ADE"/>
    <w:rsid w:val="00623CE3"/>
    <w:rsid w:val="00623CEE"/>
    <w:rsid w:val="00623DB5"/>
    <w:rsid w:val="00623DD2"/>
    <w:rsid w:val="00623DF9"/>
    <w:rsid w:val="00623EF0"/>
    <w:rsid w:val="006240B1"/>
    <w:rsid w:val="00624175"/>
    <w:rsid w:val="006241D0"/>
    <w:rsid w:val="00624203"/>
    <w:rsid w:val="006242EC"/>
    <w:rsid w:val="0062443A"/>
    <w:rsid w:val="006244AB"/>
    <w:rsid w:val="00624517"/>
    <w:rsid w:val="00624576"/>
    <w:rsid w:val="006246C4"/>
    <w:rsid w:val="00624733"/>
    <w:rsid w:val="00624849"/>
    <w:rsid w:val="00624921"/>
    <w:rsid w:val="0062492C"/>
    <w:rsid w:val="00624A3C"/>
    <w:rsid w:val="00624A66"/>
    <w:rsid w:val="00624B26"/>
    <w:rsid w:val="00624CE3"/>
    <w:rsid w:val="00624D21"/>
    <w:rsid w:val="00624D51"/>
    <w:rsid w:val="00624E6C"/>
    <w:rsid w:val="00624FFE"/>
    <w:rsid w:val="006250BB"/>
    <w:rsid w:val="0062527B"/>
    <w:rsid w:val="006252C7"/>
    <w:rsid w:val="00625347"/>
    <w:rsid w:val="00625444"/>
    <w:rsid w:val="006254BF"/>
    <w:rsid w:val="0062572A"/>
    <w:rsid w:val="00625762"/>
    <w:rsid w:val="0062576D"/>
    <w:rsid w:val="0062578D"/>
    <w:rsid w:val="006257FF"/>
    <w:rsid w:val="0062583D"/>
    <w:rsid w:val="00625876"/>
    <w:rsid w:val="00625AC2"/>
    <w:rsid w:val="00625B4F"/>
    <w:rsid w:val="00625C00"/>
    <w:rsid w:val="00625C44"/>
    <w:rsid w:val="006260E7"/>
    <w:rsid w:val="0062611B"/>
    <w:rsid w:val="006261D3"/>
    <w:rsid w:val="0062624D"/>
    <w:rsid w:val="006262B0"/>
    <w:rsid w:val="00626310"/>
    <w:rsid w:val="00626339"/>
    <w:rsid w:val="00626396"/>
    <w:rsid w:val="006265B1"/>
    <w:rsid w:val="0062660D"/>
    <w:rsid w:val="0062660E"/>
    <w:rsid w:val="00626721"/>
    <w:rsid w:val="0062674E"/>
    <w:rsid w:val="006267A1"/>
    <w:rsid w:val="006268A1"/>
    <w:rsid w:val="00626A7A"/>
    <w:rsid w:val="00626A89"/>
    <w:rsid w:val="00626AB5"/>
    <w:rsid w:val="00626B65"/>
    <w:rsid w:val="00626D06"/>
    <w:rsid w:val="00626D7A"/>
    <w:rsid w:val="00626D9B"/>
    <w:rsid w:val="00626DA0"/>
    <w:rsid w:val="00626DAD"/>
    <w:rsid w:val="00626EFA"/>
    <w:rsid w:val="00626F49"/>
    <w:rsid w:val="00626FEA"/>
    <w:rsid w:val="0062700F"/>
    <w:rsid w:val="006270F9"/>
    <w:rsid w:val="0062712A"/>
    <w:rsid w:val="006271D7"/>
    <w:rsid w:val="00627225"/>
    <w:rsid w:val="006273A4"/>
    <w:rsid w:val="006273A9"/>
    <w:rsid w:val="0062748B"/>
    <w:rsid w:val="00627492"/>
    <w:rsid w:val="006274E5"/>
    <w:rsid w:val="006275AF"/>
    <w:rsid w:val="006275C8"/>
    <w:rsid w:val="00627604"/>
    <w:rsid w:val="00627662"/>
    <w:rsid w:val="006277A5"/>
    <w:rsid w:val="006277C9"/>
    <w:rsid w:val="00627983"/>
    <w:rsid w:val="0062799F"/>
    <w:rsid w:val="00627AB8"/>
    <w:rsid w:val="00627AC6"/>
    <w:rsid w:val="00627AFF"/>
    <w:rsid w:val="00627B4C"/>
    <w:rsid w:val="00627BF6"/>
    <w:rsid w:val="00627CE4"/>
    <w:rsid w:val="00627D79"/>
    <w:rsid w:val="00627DA6"/>
    <w:rsid w:val="00627F25"/>
    <w:rsid w:val="00627FB9"/>
    <w:rsid w:val="006300EC"/>
    <w:rsid w:val="0063010B"/>
    <w:rsid w:val="00630180"/>
    <w:rsid w:val="006301B8"/>
    <w:rsid w:val="006301D2"/>
    <w:rsid w:val="0063028A"/>
    <w:rsid w:val="006302DC"/>
    <w:rsid w:val="006302E8"/>
    <w:rsid w:val="00630385"/>
    <w:rsid w:val="006304B2"/>
    <w:rsid w:val="00630725"/>
    <w:rsid w:val="0063072B"/>
    <w:rsid w:val="00630918"/>
    <w:rsid w:val="0063093F"/>
    <w:rsid w:val="00630A7E"/>
    <w:rsid w:val="00630ADC"/>
    <w:rsid w:val="00630BEF"/>
    <w:rsid w:val="00630C1E"/>
    <w:rsid w:val="00630C31"/>
    <w:rsid w:val="00630CE8"/>
    <w:rsid w:val="00630D91"/>
    <w:rsid w:val="00630E00"/>
    <w:rsid w:val="00630E9B"/>
    <w:rsid w:val="00630EE8"/>
    <w:rsid w:val="00630F76"/>
    <w:rsid w:val="0063101D"/>
    <w:rsid w:val="006310CD"/>
    <w:rsid w:val="006310FE"/>
    <w:rsid w:val="0063112F"/>
    <w:rsid w:val="00631173"/>
    <w:rsid w:val="00631337"/>
    <w:rsid w:val="0063142E"/>
    <w:rsid w:val="006315B5"/>
    <w:rsid w:val="006315C6"/>
    <w:rsid w:val="006315F7"/>
    <w:rsid w:val="006316C7"/>
    <w:rsid w:val="00631737"/>
    <w:rsid w:val="00631742"/>
    <w:rsid w:val="00631831"/>
    <w:rsid w:val="00631A87"/>
    <w:rsid w:val="00631B45"/>
    <w:rsid w:val="00631C81"/>
    <w:rsid w:val="00631C84"/>
    <w:rsid w:val="00631DEE"/>
    <w:rsid w:val="00631E7F"/>
    <w:rsid w:val="00631EFD"/>
    <w:rsid w:val="00631F04"/>
    <w:rsid w:val="00631FEA"/>
    <w:rsid w:val="006320F8"/>
    <w:rsid w:val="00632244"/>
    <w:rsid w:val="0063233B"/>
    <w:rsid w:val="006323A0"/>
    <w:rsid w:val="006323FC"/>
    <w:rsid w:val="00632463"/>
    <w:rsid w:val="00632487"/>
    <w:rsid w:val="006324D7"/>
    <w:rsid w:val="0063281D"/>
    <w:rsid w:val="00632910"/>
    <w:rsid w:val="00632988"/>
    <w:rsid w:val="006329AF"/>
    <w:rsid w:val="00632AEB"/>
    <w:rsid w:val="00632BE1"/>
    <w:rsid w:val="00632D62"/>
    <w:rsid w:val="00632D82"/>
    <w:rsid w:val="00632DD2"/>
    <w:rsid w:val="00632DD8"/>
    <w:rsid w:val="00633001"/>
    <w:rsid w:val="006330FE"/>
    <w:rsid w:val="00633106"/>
    <w:rsid w:val="0063310D"/>
    <w:rsid w:val="0063315B"/>
    <w:rsid w:val="00633264"/>
    <w:rsid w:val="006332A5"/>
    <w:rsid w:val="006333C6"/>
    <w:rsid w:val="00633401"/>
    <w:rsid w:val="0063357D"/>
    <w:rsid w:val="0063360B"/>
    <w:rsid w:val="0063365D"/>
    <w:rsid w:val="0063371F"/>
    <w:rsid w:val="006337BB"/>
    <w:rsid w:val="006337DF"/>
    <w:rsid w:val="00633906"/>
    <w:rsid w:val="00633A2E"/>
    <w:rsid w:val="00633BB2"/>
    <w:rsid w:val="00633C1F"/>
    <w:rsid w:val="00633D1F"/>
    <w:rsid w:val="00633D75"/>
    <w:rsid w:val="00633DB1"/>
    <w:rsid w:val="00633DBA"/>
    <w:rsid w:val="00633DD4"/>
    <w:rsid w:val="00633EE1"/>
    <w:rsid w:val="00633EED"/>
    <w:rsid w:val="00633EF4"/>
    <w:rsid w:val="00634045"/>
    <w:rsid w:val="006341A8"/>
    <w:rsid w:val="006341EA"/>
    <w:rsid w:val="00634238"/>
    <w:rsid w:val="00634340"/>
    <w:rsid w:val="0063441A"/>
    <w:rsid w:val="0063446C"/>
    <w:rsid w:val="006346AA"/>
    <w:rsid w:val="0063475F"/>
    <w:rsid w:val="00634779"/>
    <w:rsid w:val="006347EC"/>
    <w:rsid w:val="0063484C"/>
    <w:rsid w:val="00634922"/>
    <w:rsid w:val="006349D1"/>
    <w:rsid w:val="00634A84"/>
    <w:rsid w:val="00634AD8"/>
    <w:rsid w:val="00634AE6"/>
    <w:rsid w:val="00634D8E"/>
    <w:rsid w:val="00634E14"/>
    <w:rsid w:val="00634E90"/>
    <w:rsid w:val="00634F38"/>
    <w:rsid w:val="00634F42"/>
    <w:rsid w:val="00635042"/>
    <w:rsid w:val="006350EC"/>
    <w:rsid w:val="006352ED"/>
    <w:rsid w:val="00635306"/>
    <w:rsid w:val="00635366"/>
    <w:rsid w:val="0063538D"/>
    <w:rsid w:val="006353F5"/>
    <w:rsid w:val="00635471"/>
    <w:rsid w:val="0063548B"/>
    <w:rsid w:val="0063561D"/>
    <w:rsid w:val="0063578F"/>
    <w:rsid w:val="006357C2"/>
    <w:rsid w:val="00635914"/>
    <w:rsid w:val="0063596F"/>
    <w:rsid w:val="00635A3D"/>
    <w:rsid w:val="00635A97"/>
    <w:rsid w:val="00635AA4"/>
    <w:rsid w:val="00635ABA"/>
    <w:rsid w:val="00635C3F"/>
    <w:rsid w:val="00635C48"/>
    <w:rsid w:val="00635DCB"/>
    <w:rsid w:val="00635DFA"/>
    <w:rsid w:val="00635F7F"/>
    <w:rsid w:val="00635F81"/>
    <w:rsid w:val="00636054"/>
    <w:rsid w:val="006360A0"/>
    <w:rsid w:val="006360EE"/>
    <w:rsid w:val="0063623D"/>
    <w:rsid w:val="00636241"/>
    <w:rsid w:val="006363F7"/>
    <w:rsid w:val="0063653B"/>
    <w:rsid w:val="006365B6"/>
    <w:rsid w:val="0063671C"/>
    <w:rsid w:val="00636747"/>
    <w:rsid w:val="00636780"/>
    <w:rsid w:val="0063679B"/>
    <w:rsid w:val="006367BF"/>
    <w:rsid w:val="006367D6"/>
    <w:rsid w:val="0063683C"/>
    <w:rsid w:val="00636932"/>
    <w:rsid w:val="00636CC4"/>
    <w:rsid w:val="00636CD0"/>
    <w:rsid w:val="00636CFC"/>
    <w:rsid w:val="00636F2E"/>
    <w:rsid w:val="00637064"/>
    <w:rsid w:val="0063709F"/>
    <w:rsid w:val="006372F7"/>
    <w:rsid w:val="006373C2"/>
    <w:rsid w:val="00637584"/>
    <w:rsid w:val="006376A1"/>
    <w:rsid w:val="006377A4"/>
    <w:rsid w:val="00637845"/>
    <w:rsid w:val="0063787E"/>
    <w:rsid w:val="00637953"/>
    <w:rsid w:val="006379F6"/>
    <w:rsid w:val="006379F9"/>
    <w:rsid w:val="00637A16"/>
    <w:rsid w:val="00637A8D"/>
    <w:rsid w:val="00637B78"/>
    <w:rsid w:val="00637B88"/>
    <w:rsid w:val="00637F79"/>
    <w:rsid w:val="0064007F"/>
    <w:rsid w:val="006400D1"/>
    <w:rsid w:val="00640174"/>
    <w:rsid w:val="006401FA"/>
    <w:rsid w:val="0064025C"/>
    <w:rsid w:val="006402F7"/>
    <w:rsid w:val="00640320"/>
    <w:rsid w:val="0064055D"/>
    <w:rsid w:val="0064058A"/>
    <w:rsid w:val="0064058D"/>
    <w:rsid w:val="006405EF"/>
    <w:rsid w:val="00640847"/>
    <w:rsid w:val="00640870"/>
    <w:rsid w:val="0064093A"/>
    <w:rsid w:val="00640968"/>
    <w:rsid w:val="006409A0"/>
    <w:rsid w:val="00640A6B"/>
    <w:rsid w:val="00640ADE"/>
    <w:rsid w:val="00640BE3"/>
    <w:rsid w:val="00640C92"/>
    <w:rsid w:val="00640CA7"/>
    <w:rsid w:val="00640E31"/>
    <w:rsid w:val="00640E57"/>
    <w:rsid w:val="00640E5C"/>
    <w:rsid w:val="00640F61"/>
    <w:rsid w:val="00641038"/>
    <w:rsid w:val="0064117B"/>
    <w:rsid w:val="006411AF"/>
    <w:rsid w:val="00641245"/>
    <w:rsid w:val="006412D1"/>
    <w:rsid w:val="0064137C"/>
    <w:rsid w:val="00641395"/>
    <w:rsid w:val="0064144D"/>
    <w:rsid w:val="006415F9"/>
    <w:rsid w:val="0064161A"/>
    <w:rsid w:val="006416A5"/>
    <w:rsid w:val="006417E5"/>
    <w:rsid w:val="0064181A"/>
    <w:rsid w:val="0064181B"/>
    <w:rsid w:val="006418DF"/>
    <w:rsid w:val="006419A2"/>
    <w:rsid w:val="006419B0"/>
    <w:rsid w:val="00641A60"/>
    <w:rsid w:val="00641AE7"/>
    <w:rsid w:val="00641B83"/>
    <w:rsid w:val="00641BD9"/>
    <w:rsid w:val="00641C22"/>
    <w:rsid w:val="00641DC0"/>
    <w:rsid w:val="00641EC7"/>
    <w:rsid w:val="00641ED8"/>
    <w:rsid w:val="00641FEB"/>
    <w:rsid w:val="00642069"/>
    <w:rsid w:val="00642081"/>
    <w:rsid w:val="006420AA"/>
    <w:rsid w:val="006421BC"/>
    <w:rsid w:val="0064220F"/>
    <w:rsid w:val="0064221D"/>
    <w:rsid w:val="00642237"/>
    <w:rsid w:val="0064228D"/>
    <w:rsid w:val="006423EC"/>
    <w:rsid w:val="00642481"/>
    <w:rsid w:val="006426C1"/>
    <w:rsid w:val="00642751"/>
    <w:rsid w:val="0064277A"/>
    <w:rsid w:val="006427D7"/>
    <w:rsid w:val="006427FE"/>
    <w:rsid w:val="00642964"/>
    <w:rsid w:val="00642A89"/>
    <w:rsid w:val="00642ADA"/>
    <w:rsid w:val="00642B1B"/>
    <w:rsid w:val="00642BA0"/>
    <w:rsid w:val="00642C51"/>
    <w:rsid w:val="00642D3F"/>
    <w:rsid w:val="00642EF9"/>
    <w:rsid w:val="00642F76"/>
    <w:rsid w:val="00643008"/>
    <w:rsid w:val="006430D1"/>
    <w:rsid w:val="006430DC"/>
    <w:rsid w:val="006432DE"/>
    <w:rsid w:val="006433A8"/>
    <w:rsid w:val="006434AB"/>
    <w:rsid w:val="006435D2"/>
    <w:rsid w:val="00643678"/>
    <w:rsid w:val="0064374D"/>
    <w:rsid w:val="0064390F"/>
    <w:rsid w:val="006439BC"/>
    <w:rsid w:val="00643A98"/>
    <w:rsid w:val="00643ADD"/>
    <w:rsid w:val="00643B01"/>
    <w:rsid w:val="00643CC7"/>
    <w:rsid w:val="00643DB0"/>
    <w:rsid w:val="00643F32"/>
    <w:rsid w:val="00643FC3"/>
    <w:rsid w:val="00643FC7"/>
    <w:rsid w:val="0064401F"/>
    <w:rsid w:val="00644130"/>
    <w:rsid w:val="00644152"/>
    <w:rsid w:val="00644199"/>
    <w:rsid w:val="006441C1"/>
    <w:rsid w:val="00644394"/>
    <w:rsid w:val="006444EF"/>
    <w:rsid w:val="006445A2"/>
    <w:rsid w:val="0064471C"/>
    <w:rsid w:val="0064491F"/>
    <w:rsid w:val="006449A4"/>
    <w:rsid w:val="006449E8"/>
    <w:rsid w:val="00644A18"/>
    <w:rsid w:val="00644A8F"/>
    <w:rsid w:val="00644B6A"/>
    <w:rsid w:val="00644B74"/>
    <w:rsid w:val="00644BAA"/>
    <w:rsid w:val="00644C8F"/>
    <w:rsid w:val="00644CF8"/>
    <w:rsid w:val="00644EE3"/>
    <w:rsid w:val="00644F54"/>
    <w:rsid w:val="00645372"/>
    <w:rsid w:val="006453F4"/>
    <w:rsid w:val="00645428"/>
    <w:rsid w:val="006454B3"/>
    <w:rsid w:val="00645554"/>
    <w:rsid w:val="00645634"/>
    <w:rsid w:val="00645828"/>
    <w:rsid w:val="00645841"/>
    <w:rsid w:val="00645867"/>
    <w:rsid w:val="0064594E"/>
    <w:rsid w:val="006459D9"/>
    <w:rsid w:val="00645A3C"/>
    <w:rsid w:val="00645D47"/>
    <w:rsid w:val="00645E76"/>
    <w:rsid w:val="00645EED"/>
    <w:rsid w:val="00645EFC"/>
    <w:rsid w:val="006460E5"/>
    <w:rsid w:val="006460F0"/>
    <w:rsid w:val="00646112"/>
    <w:rsid w:val="006461E5"/>
    <w:rsid w:val="0064631B"/>
    <w:rsid w:val="0064634C"/>
    <w:rsid w:val="006466A3"/>
    <w:rsid w:val="006466E7"/>
    <w:rsid w:val="00646725"/>
    <w:rsid w:val="006467EB"/>
    <w:rsid w:val="0064682D"/>
    <w:rsid w:val="00646926"/>
    <w:rsid w:val="0064695D"/>
    <w:rsid w:val="006469C0"/>
    <w:rsid w:val="006469D5"/>
    <w:rsid w:val="006469E4"/>
    <w:rsid w:val="00646A82"/>
    <w:rsid w:val="00646B42"/>
    <w:rsid w:val="00646CAB"/>
    <w:rsid w:val="00646E5A"/>
    <w:rsid w:val="00646E6B"/>
    <w:rsid w:val="00646E8A"/>
    <w:rsid w:val="00646EFE"/>
    <w:rsid w:val="00646FEA"/>
    <w:rsid w:val="006471F2"/>
    <w:rsid w:val="00647409"/>
    <w:rsid w:val="0064743F"/>
    <w:rsid w:val="00647496"/>
    <w:rsid w:val="006474DA"/>
    <w:rsid w:val="006474F5"/>
    <w:rsid w:val="0064762E"/>
    <w:rsid w:val="0064785E"/>
    <w:rsid w:val="00647889"/>
    <w:rsid w:val="00647893"/>
    <w:rsid w:val="0064789B"/>
    <w:rsid w:val="006478C8"/>
    <w:rsid w:val="006478EE"/>
    <w:rsid w:val="006479FB"/>
    <w:rsid w:val="00647CC9"/>
    <w:rsid w:val="00647D10"/>
    <w:rsid w:val="00647D71"/>
    <w:rsid w:val="00647EE2"/>
    <w:rsid w:val="00647F8A"/>
    <w:rsid w:val="00650104"/>
    <w:rsid w:val="00650122"/>
    <w:rsid w:val="006501CB"/>
    <w:rsid w:val="00650579"/>
    <w:rsid w:val="0065068E"/>
    <w:rsid w:val="00650697"/>
    <w:rsid w:val="006506E0"/>
    <w:rsid w:val="00650813"/>
    <w:rsid w:val="00650823"/>
    <w:rsid w:val="006508A5"/>
    <w:rsid w:val="006508CD"/>
    <w:rsid w:val="00650A40"/>
    <w:rsid w:val="00650C8B"/>
    <w:rsid w:val="00650D08"/>
    <w:rsid w:val="00650F21"/>
    <w:rsid w:val="00650F78"/>
    <w:rsid w:val="00650F87"/>
    <w:rsid w:val="00650FAF"/>
    <w:rsid w:val="00651133"/>
    <w:rsid w:val="0065116C"/>
    <w:rsid w:val="0065118B"/>
    <w:rsid w:val="00651218"/>
    <w:rsid w:val="006512C2"/>
    <w:rsid w:val="0065135D"/>
    <w:rsid w:val="006513E4"/>
    <w:rsid w:val="006513EC"/>
    <w:rsid w:val="006513FA"/>
    <w:rsid w:val="006514DF"/>
    <w:rsid w:val="0065175E"/>
    <w:rsid w:val="00651871"/>
    <w:rsid w:val="006519CB"/>
    <w:rsid w:val="00651A73"/>
    <w:rsid w:val="00651AC2"/>
    <w:rsid w:val="00651B04"/>
    <w:rsid w:val="00651B09"/>
    <w:rsid w:val="00651B1B"/>
    <w:rsid w:val="00651B32"/>
    <w:rsid w:val="00651E04"/>
    <w:rsid w:val="00651E15"/>
    <w:rsid w:val="00651F4A"/>
    <w:rsid w:val="00651F82"/>
    <w:rsid w:val="00651FA8"/>
    <w:rsid w:val="00651FD5"/>
    <w:rsid w:val="0065217B"/>
    <w:rsid w:val="00652200"/>
    <w:rsid w:val="00652261"/>
    <w:rsid w:val="006523E7"/>
    <w:rsid w:val="0065252E"/>
    <w:rsid w:val="006526F1"/>
    <w:rsid w:val="006526FA"/>
    <w:rsid w:val="00652794"/>
    <w:rsid w:val="006527FD"/>
    <w:rsid w:val="006529D8"/>
    <w:rsid w:val="006529F0"/>
    <w:rsid w:val="00652C40"/>
    <w:rsid w:val="00652CAA"/>
    <w:rsid w:val="00652CD0"/>
    <w:rsid w:val="00652DB3"/>
    <w:rsid w:val="00652E17"/>
    <w:rsid w:val="00652F62"/>
    <w:rsid w:val="0065308B"/>
    <w:rsid w:val="006530C0"/>
    <w:rsid w:val="00653155"/>
    <w:rsid w:val="00653250"/>
    <w:rsid w:val="006532E1"/>
    <w:rsid w:val="0065336A"/>
    <w:rsid w:val="00653385"/>
    <w:rsid w:val="006533D8"/>
    <w:rsid w:val="00653468"/>
    <w:rsid w:val="0065352E"/>
    <w:rsid w:val="006536D5"/>
    <w:rsid w:val="00653A3A"/>
    <w:rsid w:val="00653A86"/>
    <w:rsid w:val="00653B24"/>
    <w:rsid w:val="00653B33"/>
    <w:rsid w:val="00653BB0"/>
    <w:rsid w:val="00653BCC"/>
    <w:rsid w:val="00653C52"/>
    <w:rsid w:val="00653D79"/>
    <w:rsid w:val="00653DA5"/>
    <w:rsid w:val="00653EEF"/>
    <w:rsid w:val="00653EF2"/>
    <w:rsid w:val="00653EFD"/>
    <w:rsid w:val="00654017"/>
    <w:rsid w:val="006541B7"/>
    <w:rsid w:val="006541BC"/>
    <w:rsid w:val="006541C0"/>
    <w:rsid w:val="006541F9"/>
    <w:rsid w:val="00654264"/>
    <w:rsid w:val="006542E2"/>
    <w:rsid w:val="0065444E"/>
    <w:rsid w:val="0065445A"/>
    <w:rsid w:val="006544E1"/>
    <w:rsid w:val="0065458E"/>
    <w:rsid w:val="0065459B"/>
    <w:rsid w:val="0065466C"/>
    <w:rsid w:val="00654702"/>
    <w:rsid w:val="00654758"/>
    <w:rsid w:val="006548A8"/>
    <w:rsid w:val="0065491B"/>
    <w:rsid w:val="00654A98"/>
    <w:rsid w:val="00654B36"/>
    <w:rsid w:val="00654C48"/>
    <w:rsid w:val="00654DE8"/>
    <w:rsid w:val="00654F2D"/>
    <w:rsid w:val="00654F8F"/>
    <w:rsid w:val="006550A0"/>
    <w:rsid w:val="006550AB"/>
    <w:rsid w:val="006551DB"/>
    <w:rsid w:val="006551F9"/>
    <w:rsid w:val="0065523A"/>
    <w:rsid w:val="0065533D"/>
    <w:rsid w:val="0065542F"/>
    <w:rsid w:val="006555A1"/>
    <w:rsid w:val="0065574B"/>
    <w:rsid w:val="00655787"/>
    <w:rsid w:val="006558CA"/>
    <w:rsid w:val="006559C6"/>
    <w:rsid w:val="00655A6F"/>
    <w:rsid w:val="00655BB6"/>
    <w:rsid w:val="00655C15"/>
    <w:rsid w:val="00655C63"/>
    <w:rsid w:val="00655CDF"/>
    <w:rsid w:val="00655E1B"/>
    <w:rsid w:val="00655E22"/>
    <w:rsid w:val="00655E44"/>
    <w:rsid w:val="00655F4C"/>
    <w:rsid w:val="00656182"/>
    <w:rsid w:val="0065624F"/>
    <w:rsid w:val="00656351"/>
    <w:rsid w:val="00656594"/>
    <w:rsid w:val="00656651"/>
    <w:rsid w:val="006566F0"/>
    <w:rsid w:val="00656931"/>
    <w:rsid w:val="006569A2"/>
    <w:rsid w:val="00656A1E"/>
    <w:rsid w:val="00656C8A"/>
    <w:rsid w:val="00656CC9"/>
    <w:rsid w:val="00656F98"/>
    <w:rsid w:val="006570E5"/>
    <w:rsid w:val="00657189"/>
    <w:rsid w:val="0065724A"/>
    <w:rsid w:val="006572EE"/>
    <w:rsid w:val="00657461"/>
    <w:rsid w:val="006575E7"/>
    <w:rsid w:val="00657624"/>
    <w:rsid w:val="00657644"/>
    <w:rsid w:val="006577AC"/>
    <w:rsid w:val="00657800"/>
    <w:rsid w:val="0065794D"/>
    <w:rsid w:val="0065799F"/>
    <w:rsid w:val="00657A07"/>
    <w:rsid w:val="00657B1B"/>
    <w:rsid w:val="00657C00"/>
    <w:rsid w:val="00657C11"/>
    <w:rsid w:val="00657E46"/>
    <w:rsid w:val="00657E8D"/>
    <w:rsid w:val="006600EC"/>
    <w:rsid w:val="006601C7"/>
    <w:rsid w:val="00660642"/>
    <w:rsid w:val="006606E0"/>
    <w:rsid w:val="00660740"/>
    <w:rsid w:val="00660820"/>
    <w:rsid w:val="00660846"/>
    <w:rsid w:val="00660A02"/>
    <w:rsid w:val="00660A1A"/>
    <w:rsid w:val="00660A46"/>
    <w:rsid w:val="00660A60"/>
    <w:rsid w:val="00660A67"/>
    <w:rsid w:val="00660AB9"/>
    <w:rsid w:val="00660AEE"/>
    <w:rsid w:val="00660B08"/>
    <w:rsid w:val="00660BB6"/>
    <w:rsid w:val="00660BC3"/>
    <w:rsid w:val="00660C30"/>
    <w:rsid w:val="00660C40"/>
    <w:rsid w:val="00660D61"/>
    <w:rsid w:val="0066102A"/>
    <w:rsid w:val="0066128C"/>
    <w:rsid w:val="006612F5"/>
    <w:rsid w:val="0066143A"/>
    <w:rsid w:val="0066146B"/>
    <w:rsid w:val="006615C7"/>
    <w:rsid w:val="0066168E"/>
    <w:rsid w:val="006616A6"/>
    <w:rsid w:val="00661779"/>
    <w:rsid w:val="00661949"/>
    <w:rsid w:val="00661953"/>
    <w:rsid w:val="00661B75"/>
    <w:rsid w:val="00661BCB"/>
    <w:rsid w:val="00661CF8"/>
    <w:rsid w:val="00661F2D"/>
    <w:rsid w:val="0066201A"/>
    <w:rsid w:val="0066228A"/>
    <w:rsid w:val="0066233A"/>
    <w:rsid w:val="006624DA"/>
    <w:rsid w:val="00662519"/>
    <w:rsid w:val="0066255D"/>
    <w:rsid w:val="006626DE"/>
    <w:rsid w:val="006629B7"/>
    <w:rsid w:val="006629F8"/>
    <w:rsid w:val="00662A21"/>
    <w:rsid w:val="00662AEA"/>
    <w:rsid w:val="00662B15"/>
    <w:rsid w:val="00662B1C"/>
    <w:rsid w:val="00662BA4"/>
    <w:rsid w:val="00662C5A"/>
    <w:rsid w:val="00662CD5"/>
    <w:rsid w:val="00662CD9"/>
    <w:rsid w:val="00662E28"/>
    <w:rsid w:val="0066313B"/>
    <w:rsid w:val="00663175"/>
    <w:rsid w:val="0066326F"/>
    <w:rsid w:val="00663293"/>
    <w:rsid w:val="0066338E"/>
    <w:rsid w:val="0066343A"/>
    <w:rsid w:val="00663538"/>
    <w:rsid w:val="00663690"/>
    <w:rsid w:val="00663765"/>
    <w:rsid w:val="0066379B"/>
    <w:rsid w:val="006637CB"/>
    <w:rsid w:val="0066385F"/>
    <w:rsid w:val="00663B33"/>
    <w:rsid w:val="00663D8C"/>
    <w:rsid w:val="00663E3A"/>
    <w:rsid w:val="00663EB9"/>
    <w:rsid w:val="00663EDE"/>
    <w:rsid w:val="00663F79"/>
    <w:rsid w:val="00663F90"/>
    <w:rsid w:val="0066438B"/>
    <w:rsid w:val="0066443B"/>
    <w:rsid w:val="00664630"/>
    <w:rsid w:val="00664690"/>
    <w:rsid w:val="00664789"/>
    <w:rsid w:val="006647CD"/>
    <w:rsid w:val="006647DE"/>
    <w:rsid w:val="00664896"/>
    <w:rsid w:val="00664990"/>
    <w:rsid w:val="00664B01"/>
    <w:rsid w:val="00664C8E"/>
    <w:rsid w:val="00664D6B"/>
    <w:rsid w:val="00664D91"/>
    <w:rsid w:val="00664DB6"/>
    <w:rsid w:val="00664E5F"/>
    <w:rsid w:val="00664EAF"/>
    <w:rsid w:val="00664EDC"/>
    <w:rsid w:val="00664EDF"/>
    <w:rsid w:val="00664FA6"/>
    <w:rsid w:val="00665061"/>
    <w:rsid w:val="006650CD"/>
    <w:rsid w:val="00665134"/>
    <w:rsid w:val="0066539B"/>
    <w:rsid w:val="006653C3"/>
    <w:rsid w:val="0066545A"/>
    <w:rsid w:val="00665483"/>
    <w:rsid w:val="006655E7"/>
    <w:rsid w:val="00665604"/>
    <w:rsid w:val="00665779"/>
    <w:rsid w:val="006657D7"/>
    <w:rsid w:val="00665848"/>
    <w:rsid w:val="006658A1"/>
    <w:rsid w:val="00665966"/>
    <w:rsid w:val="00665A2F"/>
    <w:rsid w:val="00665A4B"/>
    <w:rsid w:val="00665A92"/>
    <w:rsid w:val="00665C90"/>
    <w:rsid w:val="00665D9F"/>
    <w:rsid w:val="00665E36"/>
    <w:rsid w:val="00665EE2"/>
    <w:rsid w:val="00665F50"/>
    <w:rsid w:val="00665F90"/>
    <w:rsid w:val="00665FB5"/>
    <w:rsid w:val="006661CE"/>
    <w:rsid w:val="006662B6"/>
    <w:rsid w:val="0066633D"/>
    <w:rsid w:val="00666379"/>
    <w:rsid w:val="006663B2"/>
    <w:rsid w:val="00666477"/>
    <w:rsid w:val="006664A2"/>
    <w:rsid w:val="006665F6"/>
    <w:rsid w:val="00666603"/>
    <w:rsid w:val="00666636"/>
    <w:rsid w:val="0066674B"/>
    <w:rsid w:val="0066676E"/>
    <w:rsid w:val="00666851"/>
    <w:rsid w:val="00666B00"/>
    <w:rsid w:val="00666C08"/>
    <w:rsid w:val="00666CB1"/>
    <w:rsid w:val="00666CEC"/>
    <w:rsid w:val="00666E08"/>
    <w:rsid w:val="00666E0B"/>
    <w:rsid w:val="00666E47"/>
    <w:rsid w:val="006670B5"/>
    <w:rsid w:val="00667386"/>
    <w:rsid w:val="0066746A"/>
    <w:rsid w:val="00667471"/>
    <w:rsid w:val="006674CE"/>
    <w:rsid w:val="00667527"/>
    <w:rsid w:val="006676BB"/>
    <w:rsid w:val="006677AC"/>
    <w:rsid w:val="006679F7"/>
    <w:rsid w:val="00667A64"/>
    <w:rsid w:val="00667AAB"/>
    <w:rsid w:val="00667B3A"/>
    <w:rsid w:val="00667C26"/>
    <w:rsid w:val="00667E17"/>
    <w:rsid w:val="00667ECC"/>
    <w:rsid w:val="00667F9E"/>
    <w:rsid w:val="0067003A"/>
    <w:rsid w:val="00670074"/>
    <w:rsid w:val="0067008A"/>
    <w:rsid w:val="006700AE"/>
    <w:rsid w:val="006700B1"/>
    <w:rsid w:val="00670222"/>
    <w:rsid w:val="0067026B"/>
    <w:rsid w:val="006702A1"/>
    <w:rsid w:val="00670373"/>
    <w:rsid w:val="006705A0"/>
    <w:rsid w:val="006706C4"/>
    <w:rsid w:val="006706E2"/>
    <w:rsid w:val="006706FD"/>
    <w:rsid w:val="0067074F"/>
    <w:rsid w:val="006707E5"/>
    <w:rsid w:val="00670A6A"/>
    <w:rsid w:val="00670B96"/>
    <w:rsid w:val="00670C87"/>
    <w:rsid w:val="00670D46"/>
    <w:rsid w:val="00670DE4"/>
    <w:rsid w:val="00670E32"/>
    <w:rsid w:val="00670FBE"/>
    <w:rsid w:val="0067102A"/>
    <w:rsid w:val="0067119F"/>
    <w:rsid w:val="00671232"/>
    <w:rsid w:val="0067142A"/>
    <w:rsid w:val="006714FD"/>
    <w:rsid w:val="00671507"/>
    <w:rsid w:val="006715BB"/>
    <w:rsid w:val="0067168F"/>
    <w:rsid w:val="0067170D"/>
    <w:rsid w:val="0067174F"/>
    <w:rsid w:val="0067194D"/>
    <w:rsid w:val="006719B2"/>
    <w:rsid w:val="006719B7"/>
    <w:rsid w:val="00671AF9"/>
    <w:rsid w:val="00671E92"/>
    <w:rsid w:val="00671F56"/>
    <w:rsid w:val="00671F68"/>
    <w:rsid w:val="00671FE1"/>
    <w:rsid w:val="00672003"/>
    <w:rsid w:val="00672040"/>
    <w:rsid w:val="0067205C"/>
    <w:rsid w:val="006720E0"/>
    <w:rsid w:val="00672189"/>
    <w:rsid w:val="00672229"/>
    <w:rsid w:val="006723AB"/>
    <w:rsid w:val="006723F2"/>
    <w:rsid w:val="0067244F"/>
    <w:rsid w:val="006724C5"/>
    <w:rsid w:val="006724D3"/>
    <w:rsid w:val="0067267E"/>
    <w:rsid w:val="006726A1"/>
    <w:rsid w:val="006727C2"/>
    <w:rsid w:val="006729FB"/>
    <w:rsid w:val="00672A01"/>
    <w:rsid w:val="00672A44"/>
    <w:rsid w:val="00672AE5"/>
    <w:rsid w:val="00672BA2"/>
    <w:rsid w:val="00672C26"/>
    <w:rsid w:val="00672CB2"/>
    <w:rsid w:val="00672D91"/>
    <w:rsid w:val="00672E6F"/>
    <w:rsid w:val="00672EDF"/>
    <w:rsid w:val="00672F2D"/>
    <w:rsid w:val="0067309A"/>
    <w:rsid w:val="00673127"/>
    <w:rsid w:val="0067320B"/>
    <w:rsid w:val="006733F4"/>
    <w:rsid w:val="0067355E"/>
    <w:rsid w:val="006735AE"/>
    <w:rsid w:val="0067361E"/>
    <w:rsid w:val="0067367A"/>
    <w:rsid w:val="0067372D"/>
    <w:rsid w:val="0067372F"/>
    <w:rsid w:val="006737AB"/>
    <w:rsid w:val="00673800"/>
    <w:rsid w:val="0067382E"/>
    <w:rsid w:val="00673B23"/>
    <w:rsid w:val="00673B66"/>
    <w:rsid w:val="00673BC7"/>
    <w:rsid w:val="00673C92"/>
    <w:rsid w:val="00673DC8"/>
    <w:rsid w:val="00673E7F"/>
    <w:rsid w:val="00673F9C"/>
    <w:rsid w:val="00673FA8"/>
    <w:rsid w:val="00673FAC"/>
    <w:rsid w:val="00673FF1"/>
    <w:rsid w:val="0067401B"/>
    <w:rsid w:val="00674032"/>
    <w:rsid w:val="006740E0"/>
    <w:rsid w:val="0067429E"/>
    <w:rsid w:val="006742AE"/>
    <w:rsid w:val="00674399"/>
    <w:rsid w:val="0067459C"/>
    <w:rsid w:val="00674657"/>
    <w:rsid w:val="006747E3"/>
    <w:rsid w:val="0067483E"/>
    <w:rsid w:val="006748F1"/>
    <w:rsid w:val="00674AAD"/>
    <w:rsid w:val="00674D93"/>
    <w:rsid w:val="00674DE7"/>
    <w:rsid w:val="00674E23"/>
    <w:rsid w:val="00674E7F"/>
    <w:rsid w:val="00674EFA"/>
    <w:rsid w:val="00674FB2"/>
    <w:rsid w:val="00675218"/>
    <w:rsid w:val="0067536F"/>
    <w:rsid w:val="006756A2"/>
    <w:rsid w:val="006756CE"/>
    <w:rsid w:val="006758BB"/>
    <w:rsid w:val="0067596C"/>
    <w:rsid w:val="00675A5E"/>
    <w:rsid w:val="00675B62"/>
    <w:rsid w:val="00675BD7"/>
    <w:rsid w:val="00675C2A"/>
    <w:rsid w:val="00675C6F"/>
    <w:rsid w:val="00675CBD"/>
    <w:rsid w:val="00675D3D"/>
    <w:rsid w:val="00675D83"/>
    <w:rsid w:val="00675D8F"/>
    <w:rsid w:val="00675E76"/>
    <w:rsid w:val="0067624D"/>
    <w:rsid w:val="0067625D"/>
    <w:rsid w:val="006762B6"/>
    <w:rsid w:val="00676447"/>
    <w:rsid w:val="006765BC"/>
    <w:rsid w:val="00676633"/>
    <w:rsid w:val="00676726"/>
    <w:rsid w:val="00676878"/>
    <w:rsid w:val="006768E7"/>
    <w:rsid w:val="00676923"/>
    <w:rsid w:val="00676AB9"/>
    <w:rsid w:val="00676BBF"/>
    <w:rsid w:val="00676C04"/>
    <w:rsid w:val="00676C46"/>
    <w:rsid w:val="00676EB2"/>
    <w:rsid w:val="00676FD6"/>
    <w:rsid w:val="0067715B"/>
    <w:rsid w:val="006771A8"/>
    <w:rsid w:val="00677374"/>
    <w:rsid w:val="00677381"/>
    <w:rsid w:val="00677428"/>
    <w:rsid w:val="00677615"/>
    <w:rsid w:val="00677654"/>
    <w:rsid w:val="00677797"/>
    <w:rsid w:val="0067786C"/>
    <w:rsid w:val="00677881"/>
    <w:rsid w:val="00677B2B"/>
    <w:rsid w:val="00677C57"/>
    <w:rsid w:val="00677C60"/>
    <w:rsid w:val="00677D0D"/>
    <w:rsid w:val="00677D9F"/>
    <w:rsid w:val="00677DB3"/>
    <w:rsid w:val="00677DC5"/>
    <w:rsid w:val="00677DFD"/>
    <w:rsid w:val="00677F5F"/>
    <w:rsid w:val="00677F6E"/>
    <w:rsid w:val="006800E5"/>
    <w:rsid w:val="00680120"/>
    <w:rsid w:val="006802F2"/>
    <w:rsid w:val="0068038A"/>
    <w:rsid w:val="00680456"/>
    <w:rsid w:val="006804EF"/>
    <w:rsid w:val="006805A3"/>
    <w:rsid w:val="00680655"/>
    <w:rsid w:val="006806FB"/>
    <w:rsid w:val="00680810"/>
    <w:rsid w:val="006809FE"/>
    <w:rsid w:val="00680A5D"/>
    <w:rsid w:val="00680A87"/>
    <w:rsid w:val="00680AD0"/>
    <w:rsid w:val="00680C3C"/>
    <w:rsid w:val="00680DC8"/>
    <w:rsid w:val="00680F35"/>
    <w:rsid w:val="00680FE8"/>
    <w:rsid w:val="0068118D"/>
    <w:rsid w:val="0068119C"/>
    <w:rsid w:val="00681296"/>
    <w:rsid w:val="006813B6"/>
    <w:rsid w:val="006813E2"/>
    <w:rsid w:val="00681406"/>
    <w:rsid w:val="00681496"/>
    <w:rsid w:val="006814E3"/>
    <w:rsid w:val="00681612"/>
    <w:rsid w:val="006816E0"/>
    <w:rsid w:val="00681760"/>
    <w:rsid w:val="006818FA"/>
    <w:rsid w:val="006818FD"/>
    <w:rsid w:val="00681903"/>
    <w:rsid w:val="00681962"/>
    <w:rsid w:val="00681B63"/>
    <w:rsid w:val="00681BA5"/>
    <w:rsid w:val="00681CB9"/>
    <w:rsid w:val="00681DB9"/>
    <w:rsid w:val="00681DD9"/>
    <w:rsid w:val="00681DFD"/>
    <w:rsid w:val="00681F74"/>
    <w:rsid w:val="00681F8F"/>
    <w:rsid w:val="00681FBA"/>
    <w:rsid w:val="00682001"/>
    <w:rsid w:val="006820CC"/>
    <w:rsid w:val="006820EF"/>
    <w:rsid w:val="00682115"/>
    <w:rsid w:val="00682206"/>
    <w:rsid w:val="00682220"/>
    <w:rsid w:val="0068222C"/>
    <w:rsid w:val="006822F8"/>
    <w:rsid w:val="006823C5"/>
    <w:rsid w:val="0068255C"/>
    <w:rsid w:val="006826A0"/>
    <w:rsid w:val="006827C2"/>
    <w:rsid w:val="00682847"/>
    <w:rsid w:val="00682877"/>
    <w:rsid w:val="00682A94"/>
    <w:rsid w:val="00682B52"/>
    <w:rsid w:val="00682BB8"/>
    <w:rsid w:val="00682BE8"/>
    <w:rsid w:val="00682D36"/>
    <w:rsid w:val="00682ED8"/>
    <w:rsid w:val="00682F62"/>
    <w:rsid w:val="00682FAF"/>
    <w:rsid w:val="00683034"/>
    <w:rsid w:val="0068319A"/>
    <w:rsid w:val="006831EE"/>
    <w:rsid w:val="00683262"/>
    <w:rsid w:val="006832E2"/>
    <w:rsid w:val="0068339F"/>
    <w:rsid w:val="006833E6"/>
    <w:rsid w:val="00683422"/>
    <w:rsid w:val="00683453"/>
    <w:rsid w:val="0068364C"/>
    <w:rsid w:val="00683687"/>
    <w:rsid w:val="006836A1"/>
    <w:rsid w:val="006836D4"/>
    <w:rsid w:val="00683733"/>
    <w:rsid w:val="006838A0"/>
    <w:rsid w:val="006838FA"/>
    <w:rsid w:val="00683922"/>
    <w:rsid w:val="00683961"/>
    <w:rsid w:val="00683A64"/>
    <w:rsid w:val="00683AAC"/>
    <w:rsid w:val="00683B2C"/>
    <w:rsid w:val="00683C16"/>
    <w:rsid w:val="00683D0F"/>
    <w:rsid w:val="00683D59"/>
    <w:rsid w:val="00683E01"/>
    <w:rsid w:val="00683E69"/>
    <w:rsid w:val="0068403E"/>
    <w:rsid w:val="0068416D"/>
    <w:rsid w:val="006842A7"/>
    <w:rsid w:val="006842B6"/>
    <w:rsid w:val="00684319"/>
    <w:rsid w:val="00684468"/>
    <w:rsid w:val="00684482"/>
    <w:rsid w:val="006844DE"/>
    <w:rsid w:val="00684521"/>
    <w:rsid w:val="006845B6"/>
    <w:rsid w:val="006846A3"/>
    <w:rsid w:val="006846D5"/>
    <w:rsid w:val="00684730"/>
    <w:rsid w:val="0068473D"/>
    <w:rsid w:val="0068491D"/>
    <w:rsid w:val="00684A4A"/>
    <w:rsid w:val="00684AB3"/>
    <w:rsid w:val="00684AED"/>
    <w:rsid w:val="00684AFD"/>
    <w:rsid w:val="00684BEF"/>
    <w:rsid w:val="00684CE3"/>
    <w:rsid w:val="00684D6D"/>
    <w:rsid w:val="00684D94"/>
    <w:rsid w:val="00684E1F"/>
    <w:rsid w:val="00684E67"/>
    <w:rsid w:val="00684EA0"/>
    <w:rsid w:val="00684EE4"/>
    <w:rsid w:val="00684FE5"/>
    <w:rsid w:val="00684FF9"/>
    <w:rsid w:val="00685012"/>
    <w:rsid w:val="0068503D"/>
    <w:rsid w:val="006854C3"/>
    <w:rsid w:val="006856E5"/>
    <w:rsid w:val="00685975"/>
    <w:rsid w:val="006859C5"/>
    <w:rsid w:val="006859ED"/>
    <w:rsid w:val="00685C0E"/>
    <w:rsid w:val="00685C9F"/>
    <w:rsid w:val="00685E4B"/>
    <w:rsid w:val="00685F0C"/>
    <w:rsid w:val="006860B1"/>
    <w:rsid w:val="0068652C"/>
    <w:rsid w:val="006867BF"/>
    <w:rsid w:val="0068698F"/>
    <w:rsid w:val="00686A8F"/>
    <w:rsid w:val="00686CAE"/>
    <w:rsid w:val="00686D17"/>
    <w:rsid w:val="00686D2B"/>
    <w:rsid w:val="00686D86"/>
    <w:rsid w:val="00686DAC"/>
    <w:rsid w:val="00686DBF"/>
    <w:rsid w:val="00686EEA"/>
    <w:rsid w:val="00686FA0"/>
    <w:rsid w:val="0068702F"/>
    <w:rsid w:val="0068708A"/>
    <w:rsid w:val="006870C2"/>
    <w:rsid w:val="00687106"/>
    <w:rsid w:val="006873F2"/>
    <w:rsid w:val="0068775C"/>
    <w:rsid w:val="0068781C"/>
    <w:rsid w:val="006878D8"/>
    <w:rsid w:val="00687930"/>
    <w:rsid w:val="00687962"/>
    <w:rsid w:val="00687A7B"/>
    <w:rsid w:val="00687A93"/>
    <w:rsid w:val="00687AB7"/>
    <w:rsid w:val="00687AFF"/>
    <w:rsid w:val="00687B65"/>
    <w:rsid w:val="00687BEA"/>
    <w:rsid w:val="00687C28"/>
    <w:rsid w:val="00687CFD"/>
    <w:rsid w:val="00687D71"/>
    <w:rsid w:val="00687EEA"/>
    <w:rsid w:val="00687FF3"/>
    <w:rsid w:val="00690250"/>
    <w:rsid w:val="00690294"/>
    <w:rsid w:val="0069042C"/>
    <w:rsid w:val="006907ED"/>
    <w:rsid w:val="00690805"/>
    <w:rsid w:val="00690A31"/>
    <w:rsid w:val="00690AE2"/>
    <w:rsid w:val="00690B2A"/>
    <w:rsid w:val="00690B91"/>
    <w:rsid w:val="00690BA5"/>
    <w:rsid w:val="00690C12"/>
    <w:rsid w:val="00690C6C"/>
    <w:rsid w:val="00690CE3"/>
    <w:rsid w:val="00690F39"/>
    <w:rsid w:val="0069122D"/>
    <w:rsid w:val="00691259"/>
    <w:rsid w:val="00691504"/>
    <w:rsid w:val="0069153D"/>
    <w:rsid w:val="0069155B"/>
    <w:rsid w:val="00691744"/>
    <w:rsid w:val="0069180A"/>
    <w:rsid w:val="00691858"/>
    <w:rsid w:val="006918FB"/>
    <w:rsid w:val="00691936"/>
    <w:rsid w:val="00691A6F"/>
    <w:rsid w:val="00691BA0"/>
    <w:rsid w:val="00691C53"/>
    <w:rsid w:val="00691CD7"/>
    <w:rsid w:val="00691D3B"/>
    <w:rsid w:val="00691E01"/>
    <w:rsid w:val="00691E1D"/>
    <w:rsid w:val="00691F37"/>
    <w:rsid w:val="00691F49"/>
    <w:rsid w:val="00691F87"/>
    <w:rsid w:val="0069216B"/>
    <w:rsid w:val="006924CB"/>
    <w:rsid w:val="00692504"/>
    <w:rsid w:val="0069251F"/>
    <w:rsid w:val="006926CA"/>
    <w:rsid w:val="006927C8"/>
    <w:rsid w:val="0069285B"/>
    <w:rsid w:val="006928CB"/>
    <w:rsid w:val="00692955"/>
    <w:rsid w:val="00692AB4"/>
    <w:rsid w:val="00692AD3"/>
    <w:rsid w:val="00692B49"/>
    <w:rsid w:val="00692CC6"/>
    <w:rsid w:val="00692DDF"/>
    <w:rsid w:val="00692E8F"/>
    <w:rsid w:val="00693147"/>
    <w:rsid w:val="00693171"/>
    <w:rsid w:val="006931EB"/>
    <w:rsid w:val="00693261"/>
    <w:rsid w:val="00693401"/>
    <w:rsid w:val="00693626"/>
    <w:rsid w:val="006936F4"/>
    <w:rsid w:val="00693812"/>
    <w:rsid w:val="006938A8"/>
    <w:rsid w:val="0069393B"/>
    <w:rsid w:val="00693A57"/>
    <w:rsid w:val="00693A73"/>
    <w:rsid w:val="00693A81"/>
    <w:rsid w:val="00693B70"/>
    <w:rsid w:val="00693C82"/>
    <w:rsid w:val="00693DAE"/>
    <w:rsid w:val="00693E1A"/>
    <w:rsid w:val="00693E38"/>
    <w:rsid w:val="00693F1A"/>
    <w:rsid w:val="00693FA6"/>
    <w:rsid w:val="0069409C"/>
    <w:rsid w:val="0069422E"/>
    <w:rsid w:val="0069426F"/>
    <w:rsid w:val="006942F8"/>
    <w:rsid w:val="00694367"/>
    <w:rsid w:val="006943B0"/>
    <w:rsid w:val="006943E2"/>
    <w:rsid w:val="0069441B"/>
    <w:rsid w:val="00694453"/>
    <w:rsid w:val="006946EA"/>
    <w:rsid w:val="00694766"/>
    <w:rsid w:val="006947F6"/>
    <w:rsid w:val="006948C9"/>
    <w:rsid w:val="0069490E"/>
    <w:rsid w:val="00694999"/>
    <w:rsid w:val="00694A6D"/>
    <w:rsid w:val="00694A6F"/>
    <w:rsid w:val="00694A81"/>
    <w:rsid w:val="00694AF3"/>
    <w:rsid w:val="00694C02"/>
    <w:rsid w:val="00694C2F"/>
    <w:rsid w:val="00694C5B"/>
    <w:rsid w:val="00694CB8"/>
    <w:rsid w:val="00694D43"/>
    <w:rsid w:val="00694E93"/>
    <w:rsid w:val="00694EBB"/>
    <w:rsid w:val="00694EDF"/>
    <w:rsid w:val="00694F99"/>
    <w:rsid w:val="0069504B"/>
    <w:rsid w:val="006950A4"/>
    <w:rsid w:val="006953D5"/>
    <w:rsid w:val="006955BD"/>
    <w:rsid w:val="006955F3"/>
    <w:rsid w:val="0069567D"/>
    <w:rsid w:val="0069569F"/>
    <w:rsid w:val="00695788"/>
    <w:rsid w:val="006959CA"/>
    <w:rsid w:val="00695AC9"/>
    <w:rsid w:val="00695ACB"/>
    <w:rsid w:val="00695ACF"/>
    <w:rsid w:val="00695BD5"/>
    <w:rsid w:val="00695C33"/>
    <w:rsid w:val="00695C66"/>
    <w:rsid w:val="00695D64"/>
    <w:rsid w:val="00695E36"/>
    <w:rsid w:val="00695F27"/>
    <w:rsid w:val="00695F80"/>
    <w:rsid w:val="00695F88"/>
    <w:rsid w:val="0069611F"/>
    <w:rsid w:val="006963AC"/>
    <w:rsid w:val="00696483"/>
    <w:rsid w:val="006964DF"/>
    <w:rsid w:val="00696515"/>
    <w:rsid w:val="006966DB"/>
    <w:rsid w:val="0069676D"/>
    <w:rsid w:val="006968AD"/>
    <w:rsid w:val="006968E0"/>
    <w:rsid w:val="00696937"/>
    <w:rsid w:val="0069694E"/>
    <w:rsid w:val="00696953"/>
    <w:rsid w:val="0069697E"/>
    <w:rsid w:val="006969DE"/>
    <w:rsid w:val="00696B0D"/>
    <w:rsid w:val="00696B7C"/>
    <w:rsid w:val="00696D4F"/>
    <w:rsid w:val="00696FBC"/>
    <w:rsid w:val="00696FC4"/>
    <w:rsid w:val="006973BD"/>
    <w:rsid w:val="00697539"/>
    <w:rsid w:val="00697553"/>
    <w:rsid w:val="00697687"/>
    <w:rsid w:val="006976A3"/>
    <w:rsid w:val="00697759"/>
    <w:rsid w:val="0069778E"/>
    <w:rsid w:val="006978C9"/>
    <w:rsid w:val="006979B8"/>
    <w:rsid w:val="006979C3"/>
    <w:rsid w:val="00697C8E"/>
    <w:rsid w:val="00697CE2"/>
    <w:rsid w:val="00697CFD"/>
    <w:rsid w:val="006A0118"/>
    <w:rsid w:val="006A015E"/>
    <w:rsid w:val="006A01C7"/>
    <w:rsid w:val="006A035A"/>
    <w:rsid w:val="006A0366"/>
    <w:rsid w:val="006A0408"/>
    <w:rsid w:val="006A0409"/>
    <w:rsid w:val="006A056D"/>
    <w:rsid w:val="006A05AB"/>
    <w:rsid w:val="006A05EB"/>
    <w:rsid w:val="006A0773"/>
    <w:rsid w:val="006A07A3"/>
    <w:rsid w:val="006A088B"/>
    <w:rsid w:val="006A0894"/>
    <w:rsid w:val="006A08D3"/>
    <w:rsid w:val="006A08D9"/>
    <w:rsid w:val="006A094F"/>
    <w:rsid w:val="006A09B4"/>
    <w:rsid w:val="006A0A10"/>
    <w:rsid w:val="006A0C54"/>
    <w:rsid w:val="006A0D36"/>
    <w:rsid w:val="006A0E53"/>
    <w:rsid w:val="006A0ED3"/>
    <w:rsid w:val="006A0EF9"/>
    <w:rsid w:val="006A0F03"/>
    <w:rsid w:val="006A0FB4"/>
    <w:rsid w:val="006A1006"/>
    <w:rsid w:val="006A1037"/>
    <w:rsid w:val="006A10A3"/>
    <w:rsid w:val="006A1156"/>
    <w:rsid w:val="006A1316"/>
    <w:rsid w:val="006A137A"/>
    <w:rsid w:val="006A143C"/>
    <w:rsid w:val="006A15D4"/>
    <w:rsid w:val="006A165A"/>
    <w:rsid w:val="006A167E"/>
    <w:rsid w:val="006A1ABD"/>
    <w:rsid w:val="006A1E82"/>
    <w:rsid w:val="006A1EAC"/>
    <w:rsid w:val="006A1F6A"/>
    <w:rsid w:val="006A1F7A"/>
    <w:rsid w:val="006A20A3"/>
    <w:rsid w:val="006A21B4"/>
    <w:rsid w:val="006A2263"/>
    <w:rsid w:val="006A229B"/>
    <w:rsid w:val="006A232F"/>
    <w:rsid w:val="006A2349"/>
    <w:rsid w:val="006A23F1"/>
    <w:rsid w:val="006A2454"/>
    <w:rsid w:val="006A2461"/>
    <w:rsid w:val="006A24F2"/>
    <w:rsid w:val="006A256C"/>
    <w:rsid w:val="006A264F"/>
    <w:rsid w:val="006A26CA"/>
    <w:rsid w:val="006A27B0"/>
    <w:rsid w:val="006A280A"/>
    <w:rsid w:val="006A2847"/>
    <w:rsid w:val="006A2926"/>
    <w:rsid w:val="006A2AC5"/>
    <w:rsid w:val="006A2CC4"/>
    <w:rsid w:val="006A2D86"/>
    <w:rsid w:val="006A2E1C"/>
    <w:rsid w:val="006A2F1D"/>
    <w:rsid w:val="006A2F74"/>
    <w:rsid w:val="006A2F90"/>
    <w:rsid w:val="006A2FDF"/>
    <w:rsid w:val="006A3017"/>
    <w:rsid w:val="006A308F"/>
    <w:rsid w:val="006A3131"/>
    <w:rsid w:val="006A31A0"/>
    <w:rsid w:val="006A339C"/>
    <w:rsid w:val="006A34EE"/>
    <w:rsid w:val="006A3561"/>
    <w:rsid w:val="006A35CF"/>
    <w:rsid w:val="006A39D2"/>
    <w:rsid w:val="006A3A1F"/>
    <w:rsid w:val="006A3B1C"/>
    <w:rsid w:val="006A3BA7"/>
    <w:rsid w:val="006A3C32"/>
    <w:rsid w:val="006A3D2F"/>
    <w:rsid w:val="006A3DD2"/>
    <w:rsid w:val="006A3E06"/>
    <w:rsid w:val="006A3F6C"/>
    <w:rsid w:val="006A3F94"/>
    <w:rsid w:val="006A4002"/>
    <w:rsid w:val="006A4038"/>
    <w:rsid w:val="006A415E"/>
    <w:rsid w:val="006A41A8"/>
    <w:rsid w:val="006A4253"/>
    <w:rsid w:val="006A4303"/>
    <w:rsid w:val="006A459F"/>
    <w:rsid w:val="006A479D"/>
    <w:rsid w:val="006A47AC"/>
    <w:rsid w:val="006A487A"/>
    <w:rsid w:val="006A497D"/>
    <w:rsid w:val="006A4A77"/>
    <w:rsid w:val="006A4A84"/>
    <w:rsid w:val="006A4BA3"/>
    <w:rsid w:val="006A4E2C"/>
    <w:rsid w:val="006A4EA6"/>
    <w:rsid w:val="006A4F3B"/>
    <w:rsid w:val="006A4F72"/>
    <w:rsid w:val="006A5070"/>
    <w:rsid w:val="006A5100"/>
    <w:rsid w:val="006A513F"/>
    <w:rsid w:val="006A5238"/>
    <w:rsid w:val="006A52A8"/>
    <w:rsid w:val="006A5413"/>
    <w:rsid w:val="006A541F"/>
    <w:rsid w:val="006A54FA"/>
    <w:rsid w:val="006A574A"/>
    <w:rsid w:val="006A58A2"/>
    <w:rsid w:val="006A58CD"/>
    <w:rsid w:val="006A5956"/>
    <w:rsid w:val="006A59B3"/>
    <w:rsid w:val="006A5B8A"/>
    <w:rsid w:val="006A5BFD"/>
    <w:rsid w:val="006A5C11"/>
    <w:rsid w:val="006A5D37"/>
    <w:rsid w:val="006A5E15"/>
    <w:rsid w:val="006A5E64"/>
    <w:rsid w:val="006A5EB7"/>
    <w:rsid w:val="006A5EED"/>
    <w:rsid w:val="006A6104"/>
    <w:rsid w:val="006A61D1"/>
    <w:rsid w:val="006A61DC"/>
    <w:rsid w:val="006A6945"/>
    <w:rsid w:val="006A6972"/>
    <w:rsid w:val="006A69D6"/>
    <w:rsid w:val="006A69F4"/>
    <w:rsid w:val="006A6AC4"/>
    <w:rsid w:val="006A6BCE"/>
    <w:rsid w:val="006A6E0B"/>
    <w:rsid w:val="006A6E32"/>
    <w:rsid w:val="006A6F38"/>
    <w:rsid w:val="006A6F40"/>
    <w:rsid w:val="006A704E"/>
    <w:rsid w:val="006A711C"/>
    <w:rsid w:val="006A7248"/>
    <w:rsid w:val="006A7394"/>
    <w:rsid w:val="006A76D1"/>
    <w:rsid w:val="006A77AA"/>
    <w:rsid w:val="006A7869"/>
    <w:rsid w:val="006A7BC5"/>
    <w:rsid w:val="006A7C12"/>
    <w:rsid w:val="006A7D4D"/>
    <w:rsid w:val="006A7D94"/>
    <w:rsid w:val="006A7EA8"/>
    <w:rsid w:val="006A7F1F"/>
    <w:rsid w:val="006A7F31"/>
    <w:rsid w:val="006B006F"/>
    <w:rsid w:val="006B0075"/>
    <w:rsid w:val="006B028F"/>
    <w:rsid w:val="006B02E2"/>
    <w:rsid w:val="006B0423"/>
    <w:rsid w:val="006B04C7"/>
    <w:rsid w:val="006B0584"/>
    <w:rsid w:val="006B06ED"/>
    <w:rsid w:val="006B0798"/>
    <w:rsid w:val="006B07F2"/>
    <w:rsid w:val="006B08E2"/>
    <w:rsid w:val="006B095A"/>
    <w:rsid w:val="006B0A1E"/>
    <w:rsid w:val="006B0BCD"/>
    <w:rsid w:val="006B0C08"/>
    <w:rsid w:val="006B0DDA"/>
    <w:rsid w:val="006B0E25"/>
    <w:rsid w:val="006B0E32"/>
    <w:rsid w:val="006B0F5E"/>
    <w:rsid w:val="006B0FA6"/>
    <w:rsid w:val="006B104E"/>
    <w:rsid w:val="006B1288"/>
    <w:rsid w:val="006B1296"/>
    <w:rsid w:val="006B1346"/>
    <w:rsid w:val="006B1366"/>
    <w:rsid w:val="006B148D"/>
    <w:rsid w:val="006B154E"/>
    <w:rsid w:val="006B1577"/>
    <w:rsid w:val="006B1595"/>
    <w:rsid w:val="006B15E8"/>
    <w:rsid w:val="006B1608"/>
    <w:rsid w:val="006B1660"/>
    <w:rsid w:val="006B176E"/>
    <w:rsid w:val="006B177B"/>
    <w:rsid w:val="006B184D"/>
    <w:rsid w:val="006B188E"/>
    <w:rsid w:val="006B189E"/>
    <w:rsid w:val="006B18DD"/>
    <w:rsid w:val="006B1B55"/>
    <w:rsid w:val="006B1D2C"/>
    <w:rsid w:val="006B1ED8"/>
    <w:rsid w:val="006B2281"/>
    <w:rsid w:val="006B230C"/>
    <w:rsid w:val="006B2362"/>
    <w:rsid w:val="006B2381"/>
    <w:rsid w:val="006B23C4"/>
    <w:rsid w:val="006B23D0"/>
    <w:rsid w:val="006B24A0"/>
    <w:rsid w:val="006B2576"/>
    <w:rsid w:val="006B26D8"/>
    <w:rsid w:val="006B278F"/>
    <w:rsid w:val="006B27CC"/>
    <w:rsid w:val="006B2854"/>
    <w:rsid w:val="006B28EC"/>
    <w:rsid w:val="006B294A"/>
    <w:rsid w:val="006B2A65"/>
    <w:rsid w:val="006B2ADA"/>
    <w:rsid w:val="006B2BAA"/>
    <w:rsid w:val="006B2F98"/>
    <w:rsid w:val="006B2FAA"/>
    <w:rsid w:val="006B3013"/>
    <w:rsid w:val="006B316D"/>
    <w:rsid w:val="006B3204"/>
    <w:rsid w:val="006B3286"/>
    <w:rsid w:val="006B3558"/>
    <w:rsid w:val="006B3586"/>
    <w:rsid w:val="006B36C5"/>
    <w:rsid w:val="006B3738"/>
    <w:rsid w:val="006B37C6"/>
    <w:rsid w:val="006B3815"/>
    <w:rsid w:val="006B397D"/>
    <w:rsid w:val="006B39B8"/>
    <w:rsid w:val="006B3A16"/>
    <w:rsid w:val="006B3ACE"/>
    <w:rsid w:val="006B3CAF"/>
    <w:rsid w:val="006B3D85"/>
    <w:rsid w:val="006B3ED2"/>
    <w:rsid w:val="006B3EDC"/>
    <w:rsid w:val="006B3FD8"/>
    <w:rsid w:val="006B4022"/>
    <w:rsid w:val="006B4121"/>
    <w:rsid w:val="006B41DA"/>
    <w:rsid w:val="006B4256"/>
    <w:rsid w:val="006B4428"/>
    <w:rsid w:val="006B4468"/>
    <w:rsid w:val="006B44DB"/>
    <w:rsid w:val="006B4631"/>
    <w:rsid w:val="006B4712"/>
    <w:rsid w:val="006B473B"/>
    <w:rsid w:val="006B482E"/>
    <w:rsid w:val="006B4852"/>
    <w:rsid w:val="006B48C4"/>
    <w:rsid w:val="006B48EC"/>
    <w:rsid w:val="006B499D"/>
    <w:rsid w:val="006B4AD3"/>
    <w:rsid w:val="006B4AEF"/>
    <w:rsid w:val="006B4B9F"/>
    <w:rsid w:val="006B4C7A"/>
    <w:rsid w:val="006B4D0C"/>
    <w:rsid w:val="006B4D4A"/>
    <w:rsid w:val="006B4DAD"/>
    <w:rsid w:val="006B4DCF"/>
    <w:rsid w:val="006B4FE1"/>
    <w:rsid w:val="006B500D"/>
    <w:rsid w:val="006B582E"/>
    <w:rsid w:val="006B59A2"/>
    <w:rsid w:val="006B5B66"/>
    <w:rsid w:val="006B5BC0"/>
    <w:rsid w:val="006B5DAC"/>
    <w:rsid w:val="006B5DDD"/>
    <w:rsid w:val="006B5E24"/>
    <w:rsid w:val="006B5E41"/>
    <w:rsid w:val="006B5E72"/>
    <w:rsid w:val="006B5EC4"/>
    <w:rsid w:val="006B5EDD"/>
    <w:rsid w:val="006B5F3C"/>
    <w:rsid w:val="006B6058"/>
    <w:rsid w:val="006B6169"/>
    <w:rsid w:val="006B6259"/>
    <w:rsid w:val="006B6277"/>
    <w:rsid w:val="006B64AC"/>
    <w:rsid w:val="006B64B7"/>
    <w:rsid w:val="006B658E"/>
    <w:rsid w:val="006B663F"/>
    <w:rsid w:val="006B666D"/>
    <w:rsid w:val="006B66A5"/>
    <w:rsid w:val="006B67FC"/>
    <w:rsid w:val="006B68CD"/>
    <w:rsid w:val="006B6918"/>
    <w:rsid w:val="006B6A08"/>
    <w:rsid w:val="006B6A5C"/>
    <w:rsid w:val="006B6B60"/>
    <w:rsid w:val="006B6B6F"/>
    <w:rsid w:val="006B6C1D"/>
    <w:rsid w:val="006B6F21"/>
    <w:rsid w:val="006B7050"/>
    <w:rsid w:val="006B71D9"/>
    <w:rsid w:val="006B7343"/>
    <w:rsid w:val="006B746F"/>
    <w:rsid w:val="006B74D7"/>
    <w:rsid w:val="006B7A11"/>
    <w:rsid w:val="006B7BEB"/>
    <w:rsid w:val="006B7C0E"/>
    <w:rsid w:val="006B7CF9"/>
    <w:rsid w:val="006B7E28"/>
    <w:rsid w:val="006B7E83"/>
    <w:rsid w:val="006B7EED"/>
    <w:rsid w:val="006C0227"/>
    <w:rsid w:val="006C02AB"/>
    <w:rsid w:val="006C05A5"/>
    <w:rsid w:val="006C07BB"/>
    <w:rsid w:val="006C0825"/>
    <w:rsid w:val="006C0A11"/>
    <w:rsid w:val="006C0ACC"/>
    <w:rsid w:val="006C0B04"/>
    <w:rsid w:val="006C0E53"/>
    <w:rsid w:val="006C0E69"/>
    <w:rsid w:val="006C0FD3"/>
    <w:rsid w:val="006C116A"/>
    <w:rsid w:val="006C1170"/>
    <w:rsid w:val="006C12D5"/>
    <w:rsid w:val="006C12DE"/>
    <w:rsid w:val="006C1460"/>
    <w:rsid w:val="006C149F"/>
    <w:rsid w:val="006C14F0"/>
    <w:rsid w:val="006C150E"/>
    <w:rsid w:val="006C1584"/>
    <w:rsid w:val="006C16A2"/>
    <w:rsid w:val="006C178C"/>
    <w:rsid w:val="006C17C4"/>
    <w:rsid w:val="006C17DC"/>
    <w:rsid w:val="006C1924"/>
    <w:rsid w:val="006C198C"/>
    <w:rsid w:val="006C19CB"/>
    <w:rsid w:val="006C1B8F"/>
    <w:rsid w:val="006C1C4E"/>
    <w:rsid w:val="006C1C54"/>
    <w:rsid w:val="006C1D26"/>
    <w:rsid w:val="006C1E1E"/>
    <w:rsid w:val="006C1E37"/>
    <w:rsid w:val="006C1E69"/>
    <w:rsid w:val="006C1E73"/>
    <w:rsid w:val="006C1EA6"/>
    <w:rsid w:val="006C1F92"/>
    <w:rsid w:val="006C1FE8"/>
    <w:rsid w:val="006C2002"/>
    <w:rsid w:val="006C209D"/>
    <w:rsid w:val="006C212E"/>
    <w:rsid w:val="006C213E"/>
    <w:rsid w:val="006C228E"/>
    <w:rsid w:val="006C247E"/>
    <w:rsid w:val="006C24EB"/>
    <w:rsid w:val="006C25DC"/>
    <w:rsid w:val="006C2681"/>
    <w:rsid w:val="006C272D"/>
    <w:rsid w:val="006C27F2"/>
    <w:rsid w:val="006C281A"/>
    <w:rsid w:val="006C283E"/>
    <w:rsid w:val="006C2889"/>
    <w:rsid w:val="006C2996"/>
    <w:rsid w:val="006C2A6D"/>
    <w:rsid w:val="006C2AB3"/>
    <w:rsid w:val="006C2C2A"/>
    <w:rsid w:val="006C2D21"/>
    <w:rsid w:val="006C2D27"/>
    <w:rsid w:val="006C2D4D"/>
    <w:rsid w:val="006C2E19"/>
    <w:rsid w:val="006C2E77"/>
    <w:rsid w:val="006C2E9E"/>
    <w:rsid w:val="006C2EBB"/>
    <w:rsid w:val="006C2F3B"/>
    <w:rsid w:val="006C3256"/>
    <w:rsid w:val="006C32F0"/>
    <w:rsid w:val="006C3351"/>
    <w:rsid w:val="006C33CE"/>
    <w:rsid w:val="006C3527"/>
    <w:rsid w:val="006C3569"/>
    <w:rsid w:val="006C3594"/>
    <w:rsid w:val="006C3623"/>
    <w:rsid w:val="006C363E"/>
    <w:rsid w:val="006C369A"/>
    <w:rsid w:val="006C36AC"/>
    <w:rsid w:val="006C372E"/>
    <w:rsid w:val="006C384C"/>
    <w:rsid w:val="006C39F2"/>
    <w:rsid w:val="006C3A0A"/>
    <w:rsid w:val="006C3B73"/>
    <w:rsid w:val="006C3CE7"/>
    <w:rsid w:val="006C3D0F"/>
    <w:rsid w:val="006C3F92"/>
    <w:rsid w:val="006C3F9C"/>
    <w:rsid w:val="006C4092"/>
    <w:rsid w:val="006C40FC"/>
    <w:rsid w:val="006C421F"/>
    <w:rsid w:val="006C4619"/>
    <w:rsid w:val="006C461A"/>
    <w:rsid w:val="006C461C"/>
    <w:rsid w:val="006C467C"/>
    <w:rsid w:val="006C4772"/>
    <w:rsid w:val="006C47DA"/>
    <w:rsid w:val="006C4831"/>
    <w:rsid w:val="006C4845"/>
    <w:rsid w:val="006C4A50"/>
    <w:rsid w:val="006C4B58"/>
    <w:rsid w:val="006C4D24"/>
    <w:rsid w:val="006C4D2B"/>
    <w:rsid w:val="006C4D46"/>
    <w:rsid w:val="006C51D8"/>
    <w:rsid w:val="006C51E7"/>
    <w:rsid w:val="006C5216"/>
    <w:rsid w:val="006C5222"/>
    <w:rsid w:val="006C52BB"/>
    <w:rsid w:val="006C5362"/>
    <w:rsid w:val="006C53AD"/>
    <w:rsid w:val="006C54A1"/>
    <w:rsid w:val="006C560F"/>
    <w:rsid w:val="006C5661"/>
    <w:rsid w:val="006C56F4"/>
    <w:rsid w:val="006C5804"/>
    <w:rsid w:val="006C5848"/>
    <w:rsid w:val="006C588D"/>
    <w:rsid w:val="006C5B3E"/>
    <w:rsid w:val="006C5B82"/>
    <w:rsid w:val="006C5B98"/>
    <w:rsid w:val="006C5C04"/>
    <w:rsid w:val="006C5C15"/>
    <w:rsid w:val="006C60EC"/>
    <w:rsid w:val="006C61C3"/>
    <w:rsid w:val="006C636E"/>
    <w:rsid w:val="006C6418"/>
    <w:rsid w:val="006C645B"/>
    <w:rsid w:val="006C646F"/>
    <w:rsid w:val="006C650A"/>
    <w:rsid w:val="006C65A4"/>
    <w:rsid w:val="006C65EE"/>
    <w:rsid w:val="006C66EE"/>
    <w:rsid w:val="006C678C"/>
    <w:rsid w:val="006C6877"/>
    <w:rsid w:val="006C68D9"/>
    <w:rsid w:val="006C6999"/>
    <w:rsid w:val="006C6A6F"/>
    <w:rsid w:val="006C6AA2"/>
    <w:rsid w:val="006C6AA8"/>
    <w:rsid w:val="006C6BBC"/>
    <w:rsid w:val="006C6C1D"/>
    <w:rsid w:val="006C6CC8"/>
    <w:rsid w:val="006C6E46"/>
    <w:rsid w:val="006C71C1"/>
    <w:rsid w:val="006C71C7"/>
    <w:rsid w:val="006C7278"/>
    <w:rsid w:val="006C73D8"/>
    <w:rsid w:val="006C7428"/>
    <w:rsid w:val="006C74AA"/>
    <w:rsid w:val="006C76E1"/>
    <w:rsid w:val="006C76F5"/>
    <w:rsid w:val="006C775D"/>
    <w:rsid w:val="006C77CA"/>
    <w:rsid w:val="006C785C"/>
    <w:rsid w:val="006C7934"/>
    <w:rsid w:val="006C7976"/>
    <w:rsid w:val="006C7A86"/>
    <w:rsid w:val="006C7A9A"/>
    <w:rsid w:val="006C7ACE"/>
    <w:rsid w:val="006C7B4A"/>
    <w:rsid w:val="006C7C87"/>
    <w:rsid w:val="006C7CCA"/>
    <w:rsid w:val="006C7D80"/>
    <w:rsid w:val="006C7D81"/>
    <w:rsid w:val="006C7E0D"/>
    <w:rsid w:val="006C7EA1"/>
    <w:rsid w:val="006C7F47"/>
    <w:rsid w:val="006C7FA8"/>
    <w:rsid w:val="006C7FE1"/>
    <w:rsid w:val="006C7FED"/>
    <w:rsid w:val="006D0012"/>
    <w:rsid w:val="006D0021"/>
    <w:rsid w:val="006D01C5"/>
    <w:rsid w:val="006D0223"/>
    <w:rsid w:val="006D0248"/>
    <w:rsid w:val="006D0269"/>
    <w:rsid w:val="006D02E0"/>
    <w:rsid w:val="006D03F2"/>
    <w:rsid w:val="006D04FD"/>
    <w:rsid w:val="006D091F"/>
    <w:rsid w:val="006D0A5D"/>
    <w:rsid w:val="006D0C28"/>
    <w:rsid w:val="006D0D34"/>
    <w:rsid w:val="006D0D39"/>
    <w:rsid w:val="006D0D62"/>
    <w:rsid w:val="006D0F52"/>
    <w:rsid w:val="006D0FCD"/>
    <w:rsid w:val="006D1018"/>
    <w:rsid w:val="006D1045"/>
    <w:rsid w:val="006D1073"/>
    <w:rsid w:val="006D118E"/>
    <w:rsid w:val="006D127F"/>
    <w:rsid w:val="006D12B6"/>
    <w:rsid w:val="006D1449"/>
    <w:rsid w:val="006D1470"/>
    <w:rsid w:val="006D16EB"/>
    <w:rsid w:val="006D1766"/>
    <w:rsid w:val="006D1780"/>
    <w:rsid w:val="006D17C6"/>
    <w:rsid w:val="006D1928"/>
    <w:rsid w:val="006D1A55"/>
    <w:rsid w:val="006D1B98"/>
    <w:rsid w:val="006D1C18"/>
    <w:rsid w:val="006D1E4D"/>
    <w:rsid w:val="006D1F0F"/>
    <w:rsid w:val="006D1F25"/>
    <w:rsid w:val="006D2156"/>
    <w:rsid w:val="006D220A"/>
    <w:rsid w:val="006D2267"/>
    <w:rsid w:val="006D22E0"/>
    <w:rsid w:val="006D22F5"/>
    <w:rsid w:val="006D2324"/>
    <w:rsid w:val="006D24B2"/>
    <w:rsid w:val="006D24DA"/>
    <w:rsid w:val="006D256B"/>
    <w:rsid w:val="006D28EB"/>
    <w:rsid w:val="006D2977"/>
    <w:rsid w:val="006D2A42"/>
    <w:rsid w:val="006D2B65"/>
    <w:rsid w:val="006D2B8F"/>
    <w:rsid w:val="006D2DE6"/>
    <w:rsid w:val="006D2E3E"/>
    <w:rsid w:val="006D2E9C"/>
    <w:rsid w:val="006D2EC5"/>
    <w:rsid w:val="006D3196"/>
    <w:rsid w:val="006D32B7"/>
    <w:rsid w:val="006D32BE"/>
    <w:rsid w:val="006D338A"/>
    <w:rsid w:val="006D34C6"/>
    <w:rsid w:val="006D3692"/>
    <w:rsid w:val="006D3853"/>
    <w:rsid w:val="006D385F"/>
    <w:rsid w:val="006D39AC"/>
    <w:rsid w:val="006D3A3A"/>
    <w:rsid w:val="006D3A8A"/>
    <w:rsid w:val="006D3BDC"/>
    <w:rsid w:val="006D3C64"/>
    <w:rsid w:val="006D3C73"/>
    <w:rsid w:val="006D3E37"/>
    <w:rsid w:val="006D3EAB"/>
    <w:rsid w:val="006D3F32"/>
    <w:rsid w:val="006D3FC1"/>
    <w:rsid w:val="006D405D"/>
    <w:rsid w:val="006D42B0"/>
    <w:rsid w:val="006D4342"/>
    <w:rsid w:val="006D437D"/>
    <w:rsid w:val="006D43FC"/>
    <w:rsid w:val="006D440C"/>
    <w:rsid w:val="006D4439"/>
    <w:rsid w:val="006D466E"/>
    <w:rsid w:val="006D47F5"/>
    <w:rsid w:val="006D4865"/>
    <w:rsid w:val="006D4934"/>
    <w:rsid w:val="006D4AF4"/>
    <w:rsid w:val="006D4AFB"/>
    <w:rsid w:val="006D4B2B"/>
    <w:rsid w:val="006D4C33"/>
    <w:rsid w:val="006D4C80"/>
    <w:rsid w:val="006D4C9E"/>
    <w:rsid w:val="006D4CC8"/>
    <w:rsid w:val="006D4CDB"/>
    <w:rsid w:val="006D4DFD"/>
    <w:rsid w:val="006D4E01"/>
    <w:rsid w:val="006D4EC9"/>
    <w:rsid w:val="006D4FF6"/>
    <w:rsid w:val="006D537F"/>
    <w:rsid w:val="006D5422"/>
    <w:rsid w:val="006D5479"/>
    <w:rsid w:val="006D5489"/>
    <w:rsid w:val="006D5603"/>
    <w:rsid w:val="006D567A"/>
    <w:rsid w:val="006D56B6"/>
    <w:rsid w:val="006D5713"/>
    <w:rsid w:val="006D5725"/>
    <w:rsid w:val="006D574F"/>
    <w:rsid w:val="006D57D5"/>
    <w:rsid w:val="006D5959"/>
    <w:rsid w:val="006D59B7"/>
    <w:rsid w:val="006D59BE"/>
    <w:rsid w:val="006D5C5B"/>
    <w:rsid w:val="006D5CD1"/>
    <w:rsid w:val="006D5D1F"/>
    <w:rsid w:val="006D5FFD"/>
    <w:rsid w:val="006D6093"/>
    <w:rsid w:val="006D60B4"/>
    <w:rsid w:val="006D618D"/>
    <w:rsid w:val="006D6337"/>
    <w:rsid w:val="006D640D"/>
    <w:rsid w:val="006D646C"/>
    <w:rsid w:val="006D650C"/>
    <w:rsid w:val="006D66F8"/>
    <w:rsid w:val="006D6830"/>
    <w:rsid w:val="006D684C"/>
    <w:rsid w:val="006D6A50"/>
    <w:rsid w:val="006D6B1F"/>
    <w:rsid w:val="006D6BD2"/>
    <w:rsid w:val="006D6BDC"/>
    <w:rsid w:val="006D6C38"/>
    <w:rsid w:val="006D6C6B"/>
    <w:rsid w:val="006D6D45"/>
    <w:rsid w:val="006D7033"/>
    <w:rsid w:val="006D709A"/>
    <w:rsid w:val="006D729C"/>
    <w:rsid w:val="006D7311"/>
    <w:rsid w:val="006D7486"/>
    <w:rsid w:val="006D7508"/>
    <w:rsid w:val="006D7604"/>
    <w:rsid w:val="006D7793"/>
    <w:rsid w:val="006D793D"/>
    <w:rsid w:val="006D7A21"/>
    <w:rsid w:val="006D7A5C"/>
    <w:rsid w:val="006D7A6C"/>
    <w:rsid w:val="006D7A7A"/>
    <w:rsid w:val="006D7B43"/>
    <w:rsid w:val="006D7BDA"/>
    <w:rsid w:val="006D7D2C"/>
    <w:rsid w:val="006D7DDA"/>
    <w:rsid w:val="006D7E07"/>
    <w:rsid w:val="006D7E65"/>
    <w:rsid w:val="006D7F7F"/>
    <w:rsid w:val="006E0189"/>
    <w:rsid w:val="006E01AA"/>
    <w:rsid w:val="006E0204"/>
    <w:rsid w:val="006E0290"/>
    <w:rsid w:val="006E02E1"/>
    <w:rsid w:val="006E058E"/>
    <w:rsid w:val="006E0710"/>
    <w:rsid w:val="006E0939"/>
    <w:rsid w:val="006E09D2"/>
    <w:rsid w:val="006E0A54"/>
    <w:rsid w:val="006E0A9A"/>
    <w:rsid w:val="006E0D50"/>
    <w:rsid w:val="006E0D95"/>
    <w:rsid w:val="006E0E12"/>
    <w:rsid w:val="006E0EC8"/>
    <w:rsid w:val="006E0F0E"/>
    <w:rsid w:val="006E0F7A"/>
    <w:rsid w:val="006E0FE1"/>
    <w:rsid w:val="006E0FEF"/>
    <w:rsid w:val="006E10EF"/>
    <w:rsid w:val="006E1159"/>
    <w:rsid w:val="006E1186"/>
    <w:rsid w:val="006E134D"/>
    <w:rsid w:val="006E13C6"/>
    <w:rsid w:val="006E13FD"/>
    <w:rsid w:val="006E142C"/>
    <w:rsid w:val="006E1443"/>
    <w:rsid w:val="006E1533"/>
    <w:rsid w:val="006E158C"/>
    <w:rsid w:val="006E15B7"/>
    <w:rsid w:val="006E19A7"/>
    <w:rsid w:val="006E19D0"/>
    <w:rsid w:val="006E1AE4"/>
    <w:rsid w:val="006E1B26"/>
    <w:rsid w:val="006E1C5D"/>
    <w:rsid w:val="006E1D89"/>
    <w:rsid w:val="006E1D9E"/>
    <w:rsid w:val="006E1DE1"/>
    <w:rsid w:val="006E1E1E"/>
    <w:rsid w:val="006E1E5C"/>
    <w:rsid w:val="006E1E98"/>
    <w:rsid w:val="006E1EC9"/>
    <w:rsid w:val="006E1EFF"/>
    <w:rsid w:val="006E2085"/>
    <w:rsid w:val="006E20D4"/>
    <w:rsid w:val="006E2180"/>
    <w:rsid w:val="006E21D1"/>
    <w:rsid w:val="006E226D"/>
    <w:rsid w:val="006E233D"/>
    <w:rsid w:val="006E23C9"/>
    <w:rsid w:val="006E23D5"/>
    <w:rsid w:val="006E23E5"/>
    <w:rsid w:val="006E25D5"/>
    <w:rsid w:val="006E26F9"/>
    <w:rsid w:val="006E27AD"/>
    <w:rsid w:val="006E29D4"/>
    <w:rsid w:val="006E2A71"/>
    <w:rsid w:val="006E2BF5"/>
    <w:rsid w:val="006E2C68"/>
    <w:rsid w:val="006E2CBA"/>
    <w:rsid w:val="006E2D6E"/>
    <w:rsid w:val="006E2E16"/>
    <w:rsid w:val="006E2FAB"/>
    <w:rsid w:val="006E2FDC"/>
    <w:rsid w:val="006E2FF9"/>
    <w:rsid w:val="006E3095"/>
    <w:rsid w:val="006E30CC"/>
    <w:rsid w:val="006E30FE"/>
    <w:rsid w:val="006E31CA"/>
    <w:rsid w:val="006E328D"/>
    <w:rsid w:val="006E3338"/>
    <w:rsid w:val="006E341C"/>
    <w:rsid w:val="006E359B"/>
    <w:rsid w:val="006E35D9"/>
    <w:rsid w:val="006E3639"/>
    <w:rsid w:val="006E36A1"/>
    <w:rsid w:val="006E3728"/>
    <w:rsid w:val="006E387F"/>
    <w:rsid w:val="006E39F8"/>
    <w:rsid w:val="006E3ACD"/>
    <w:rsid w:val="006E3AD0"/>
    <w:rsid w:val="006E3AD2"/>
    <w:rsid w:val="006E3BDB"/>
    <w:rsid w:val="006E3C0B"/>
    <w:rsid w:val="006E3D5B"/>
    <w:rsid w:val="006E3E0D"/>
    <w:rsid w:val="006E3E63"/>
    <w:rsid w:val="006E3FA5"/>
    <w:rsid w:val="006E4027"/>
    <w:rsid w:val="006E4152"/>
    <w:rsid w:val="006E41C6"/>
    <w:rsid w:val="006E4388"/>
    <w:rsid w:val="006E448A"/>
    <w:rsid w:val="006E4538"/>
    <w:rsid w:val="006E46EF"/>
    <w:rsid w:val="006E474F"/>
    <w:rsid w:val="006E479C"/>
    <w:rsid w:val="006E4897"/>
    <w:rsid w:val="006E4C58"/>
    <w:rsid w:val="006E4DC2"/>
    <w:rsid w:val="006E4F33"/>
    <w:rsid w:val="006E4FF8"/>
    <w:rsid w:val="006E50E3"/>
    <w:rsid w:val="006E50F4"/>
    <w:rsid w:val="006E50F9"/>
    <w:rsid w:val="006E51BF"/>
    <w:rsid w:val="006E5334"/>
    <w:rsid w:val="006E537E"/>
    <w:rsid w:val="006E5392"/>
    <w:rsid w:val="006E53FC"/>
    <w:rsid w:val="006E5474"/>
    <w:rsid w:val="006E54A1"/>
    <w:rsid w:val="006E55AD"/>
    <w:rsid w:val="006E5611"/>
    <w:rsid w:val="006E5623"/>
    <w:rsid w:val="006E5651"/>
    <w:rsid w:val="006E5737"/>
    <w:rsid w:val="006E5951"/>
    <w:rsid w:val="006E59EA"/>
    <w:rsid w:val="006E5B58"/>
    <w:rsid w:val="006E5BAF"/>
    <w:rsid w:val="006E5EB1"/>
    <w:rsid w:val="006E5F33"/>
    <w:rsid w:val="006E6036"/>
    <w:rsid w:val="006E603F"/>
    <w:rsid w:val="006E636E"/>
    <w:rsid w:val="006E63B8"/>
    <w:rsid w:val="006E644F"/>
    <w:rsid w:val="006E645B"/>
    <w:rsid w:val="006E648F"/>
    <w:rsid w:val="006E6560"/>
    <w:rsid w:val="006E662E"/>
    <w:rsid w:val="006E683F"/>
    <w:rsid w:val="006E687C"/>
    <w:rsid w:val="006E68F4"/>
    <w:rsid w:val="006E6942"/>
    <w:rsid w:val="006E6967"/>
    <w:rsid w:val="006E6B17"/>
    <w:rsid w:val="006E6B2D"/>
    <w:rsid w:val="006E6BD2"/>
    <w:rsid w:val="006E6C23"/>
    <w:rsid w:val="006E6C54"/>
    <w:rsid w:val="006E6EB9"/>
    <w:rsid w:val="006E6EF7"/>
    <w:rsid w:val="006E6F44"/>
    <w:rsid w:val="006E6FE4"/>
    <w:rsid w:val="006E70C6"/>
    <w:rsid w:val="006E7187"/>
    <w:rsid w:val="006E728E"/>
    <w:rsid w:val="006E7376"/>
    <w:rsid w:val="006E7403"/>
    <w:rsid w:val="006E751A"/>
    <w:rsid w:val="006E7642"/>
    <w:rsid w:val="006E76DF"/>
    <w:rsid w:val="006E7711"/>
    <w:rsid w:val="006E7758"/>
    <w:rsid w:val="006E7830"/>
    <w:rsid w:val="006E7865"/>
    <w:rsid w:val="006E78A7"/>
    <w:rsid w:val="006E7BAC"/>
    <w:rsid w:val="006E7BB0"/>
    <w:rsid w:val="006E7C62"/>
    <w:rsid w:val="006E7E1C"/>
    <w:rsid w:val="006E7E3F"/>
    <w:rsid w:val="006E7E5A"/>
    <w:rsid w:val="006E7EE5"/>
    <w:rsid w:val="006E7F08"/>
    <w:rsid w:val="006E7F36"/>
    <w:rsid w:val="006E7F75"/>
    <w:rsid w:val="006E7F99"/>
    <w:rsid w:val="006E7FD9"/>
    <w:rsid w:val="006F0072"/>
    <w:rsid w:val="006F00CD"/>
    <w:rsid w:val="006F0207"/>
    <w:rsid w:val="006F02BC"/>
    <w:rsid w:val="006F0340"/>
    <w:rsid w:val="006F0403"/>
    <w:rsid w:val="006F0437"/>
    <w:rsid w:val="006F0438"/>
    <w:rsid w:val="006F053C"/>
    <w:rsid w:val="006F062D"/>
    <w:rsid w:val="006F0797"/>
    <w:rsid w:val="006F07C8"/>
    <w:rsid w:val="006F07FB"/>
    <w:rsid w:val="006F088C"/>
    <w:rsid w:val="006F0B05"/>
    <w:rsid w:val="006F0B84"/>
    <w:rsid w:val="006F0B9A"/>
    <w:rsid w:val="006F0BB4"/>
    <w:rsid w:val="006F0C35"/>
    <w:rsid w:val="006F0C63"/>
    <w:rsid w:val="006F0D5B"/>
    <w:rsid w:val="006F0D9C"/>
    <w:rsid w:val="006F0FBB"/>
    <w:rsid w:val="006F0FD2"/>
    <w:rsid w:val="006F0FD4"/>
    <w:rsid w:val="006F1146"/>
    <w:rsid w:val="006F1198"/>
    <w:rsid w:val="006F1349"/>
    <w:rsid w:val="006F13D4"/>
    <w:rsid w:val="006F1413"/>
    <w:rsid w:val="006F1566"/>
    <w:rsid w:val="006F15B4"/>
    <w:rsid w:val="006F1626"/>
    <w:rsid w:val="006F166E"/>
    <w:rsid w:val="006F1746"/>
    <w:rsid w:val="006F1850"/>
    <w:rsid w:val="006F188E"/>
    <w:rsid w:val="006F18C7"/>
    <w:rsid w:val="006F1930"/>
    <w:rsid w:val="006F195A"/>
    <w:rsid w:val="006F19F2"/>
    <w:rsid w:val="006F1A0E"/>
    <w:rsid w:val="006F1A6C"/>
    <w:rsid w:val="006F1C32"/>
    <w:rsid w:val="006F1C5A"/>
    <w:rsid w:val="006F1C86"/>
    <w:rsid w:val="006F1CE7"/>
    <w:rsid w:val="006F1DB6"/>
    <w:rsid w:val="006F1DFF"/>
    <w:rsid w:val="006F1E21"/>
    <w:rsid w:val="006F1F55"/>
    <w:rsid w:val="006F20BC"/>
    <w:rsid w:val="006F222A"/>
    <w:rsid w:val="006F225A"/>
    <w:rsid w:val="006F22F2"/>
    <w:rsid w:val="006F23A7"/>
    <w:rsid w:val="006F247A"/>
    <w:rsid w:val="006F265C"/>
    <w:rsid w:val="006F29B3"/>
    <w:rsid w:val="006F2B08"/>
    <w:rsid w:val="006F2B11"/>
    <w:rsid w:val="006F2C1F"/>
    <w:rsid w:val="006F2D01"/>
    <w:rsid w:val="006F2D81"/>
    <w:rsid w:val="006F2DD6"/>
    <w:rsid w:val="006F2E02"/>
    <w:rsid w:val="006F2E97"/>
    <w:rsid w:val="006F2F12"/>
    <w:rsid w:val="006F2F53"/>
    <w:rsid w:val="006F3013"/>
    <w:rsid w:val="006F3042"/>
    <w:rsid w:val="006F3062"/>
    <w:rsid w:val="006F307F"/>
    <w:rsid w:val="006F315A"/>
    <w:rsid w:val="006F3180"/>
    <w:rsid w:val="006F324E"/>
    <w:rsid w:val="006F3284"/>
    <w:rsid w:val="006F32ED"/>
    <w:rsid w:val="006F3308"/>
    <w:rsid w:val="006F338A"/>
    <w:rsid w:val="006F3407"/>
    <w:rsid w:val="006F34A2"/>
    <w:rsid w:val="006F350E"/>
    <w:rsid w:val="006F3621"/>
    <w:rsid w:val="006F3767"/>
    <w:rsid w:val="006F37B5"/>
    <w:rsid w:val="006F3810"/>
    <w:rsid w:val="006F382E"/>
    <w:rsid w:val="006F385D"/>
    <w:rsid w:val="006F391A"/>
    <w:rsid w:val="006F3B1D"/>
    <w:rsid w:val="006F3CEA"/>
    <w:rsid w:val="006F3D47"/>
    <w:rsid w:val="006F3E9E"/>
    <w:rsid w:val="006F4135"/>
    <w:rsid w:val="006F4186"/>
    <w:rsid w:val="006F41A5"/>
    <w:rsid w:val="006F423C"/>
    <w:rsid w:val="006F4253"/>
    <w:rsid w:val="006F426A"/>
    <w:rsid w:val="006F42F3"/>
    <w:rsid w:val="006F434D"/>
    <w:rsid w:val="006F4361"/>
    <w:rsid w:val="006F4362"/>
    <w:rsid w:val="006F44ED"/>
    <w:rsid w:val="006F4543"/>
    <w:rsid w:val="006F4631"/>
    <w:rsid w:val="006F463B"/>
    <w:rsid w:val="006F46B9"/>
    <w:rsid w:val="006F4770"/>
    <w:rsid w:val="006F47F4"/>
    <w:rsid w:val="006F48AB"/>
    <w:rsid w:val="006F49EB"/>
    <w:rsid w:val="006F4A2D"/>
    <w:rsid w:val="006F4A46"/>
    <w:rsid w:val="006F4AAB"/>
    <w:rsid w:val="006F4AC2"/>
    <w:rsid w:val="006F4D3D"/>
    <w:rsid w:val="006F4D66"/>
    <w:rsid w:val="006F4DC8"/>
    <w:rsid w:val="006F4EEA"/>
    <w:rsid w:val="006F4FD9"/>
    <w:rsid w:val="006F5066"/>
    <w:rsid w:val="006F507D"/>
    <w:rsid w:val="006F5258"/>
    <w:rsid w:val="006F53AB"/>
    <w:rsid w:val="006F5400"/>
    <w:rsid w:val="006F5408"/>
    <w:rsid w:val="006F5432"/>
    <w:rsid w:val="006F5499"/>
    <w:rsid w:val="006F5556"/>
    <w:rsid w:val="006F556A"/>
    <w:rsid w:val="006F56EB"/>
    <w:rsid w:val="006F56FE"/>
    <w:rsid w:val="006F5751"/>
    <w:rsid w:val="006F5775"/>
    <w:rsid w:val="006F5801"/>
    <w:rsid w:val="006F580A"/>
    <w:rsid w:val="006F5814"/>
    <w:rsid w:val="006F584B"/>
    <w:rsid w:val="006F584C"/>
    <w:rsid w:val="006F5986"/>
    <w:rsid w:val="006F59E4"/>
    <w:rsid w:val="006F5BB0"/>
    <w:rsid w:val="006F5D38"/>
    <w:rsid w:val="006F5E42"/>
    <w:rsid w:val="006F5F8A"/>
    <w:rsid w:val="006F5F8C"/>
    <w:rsid w:val="006F603C"/>
    <w:rsid w:val="006F6084"/>
    <w:rsid w:val="006F61DD"/>
    <w:rsid w:val="006F620D"/>
    <w:rsid w:val="006F621A"/>
    <w:rsid w:val="006F62EC"/>
    <w:rsid w:val="006F644C"/>
    <w:rsid w:val="006F646B"/>
    <w:rsid w:val="006F6490"/>
    <w:rsid w:val="006F6642"/>
    <w:rsid w:val="006F6724"/>
    <w:rsid w:val="006F6745"/>
    <w:rsid w:val="006F69C6"/>
    <w:rsid w:val="006F6A0C"/>
    <w:rsid w:val="006F6A47"/>
    <w:rsid w:val="006F6B32"/>
    <w:rsid w:val="006F6B62"/>
    <w:rsid w:val="006F6BEF"/>
    <w:rsid w:val="006F6C34"/>
    <w:rsid w:val="006F6CB9"/>
    <w:rsid w:val="006F6D1D"/>
    <w:rsid w:val="006F6EDE"/>
    <w:rsid w:val="006F6F39"/>
    <w:rsid w:val="006F6FAC"/>
    <w:rsid w:val="006F6FE2"/>
    <w:rsid w:val="006F70D0"/>
    <w:rsid w:val="006F70D1"/>
    <w:rsid w:val="006F7108"/>
    <w:rsid w:val="006F713E"/>
    <w:rsid w:val="006F71CD"/>
    <w:rsid w:val="006F721C"/>
    <w:rsid w:val="006F7231"/>
    <w:rsid w:val="006F7298"/>
    <w:rsid w:val="006F7326"/>
    <w:rsid w:val="006F7344"/>
    <w:rsid w:val="006F7610"/>
    <w:rsid w:val="006F7625"/>
    <w:rsid w:val="006F764C"/>
    <w:rsid w:val="006F765D"/>
    <w:rsid w:val="006F76EE"/>
    <w:rsid w:val="006F7826"/>
    <w:rsid w:val="006F78AC"/>
    <w:rsid w:val="006F7934"/>
    <w:rsid w:val="006F794A"/>
    <w:rsid w:val="006F7CB6"/>
    <w:rsid w:val="006F7CD1"/>
    <w:rsid w:val="006F7CDD"/>
    <w:rsid w:val="006F7D83"/>
    <w:rsid w:val="006F7DB1"/>
    <w:rsid w:val="006F7E0D"/>
    <w:rsid w:val="006F7F41"/>
    <w:rsid w:val="006F7FD6"/>
    <w:rsid w:val="0070011A"/>
    <w:rsid w:val="00700274"/>
    <w:rsid w:val="0070028B"/>
    <w:rsid w:val="007002D3"/>
    <w:rsid w:val="00700392"/>
    <w:rsid w:val="0070057E"/>
    <w:rsid w:val="00700589"/>
    <w:rsid w:val="0070061E"/>
    <w:rsid w:val="00700623"/>
    <w:rsid w:val="0070074B"/>
    <w:rsid w:val="00700A29"/>
    <w:rsid w:val="00700A94"/>
    <w:rsid w:val="00700B9A"/>
    <w:rsid w:val="00700C78"/>
    <w:rsid w:val="00700CBB"/>
    <w:rsid w:val="00700EA0"/>
    <w:rsid w:val="00700EF5"/>
    <w:rsid w:val="00700F96"/>
    <w:rsid w:val="0070100E"/>
    <w:rsid w:val="007010C3"/>
    <w:rsid w:val="007010F2"/>
    <w:rsid w:val="007010FD"/>
    <w:rsid w:val="00701133"/>
    <w:rsid w:val="00701174"/>
    <w:rsid w:val="00701204"/>
    <w:rsid w:val="00701552"/>
    <w:rsid w:val="00701553"/>
    <w:rsid w:val="0070163D"/>
    <w:rsid w:val="007016B2"/>
    <w:rsid w:val="00701745"/>
    <w:rsid w:val="00701774"/>
    <w:rsid w:val="0070179C"/>
    <w:rsid w:val="00701856"/>
    <w:rsid w:val="007018C2"/>
    <w:rsid w:val="007018D6"/>
    <w:rsid w:val="00701C38"/>
    <w:rsid w:val="00701CC8"/>
    <w:rsid w:val="00701E67"/>
    <w:rsid w:val="007020BE"/>
    <w:rsid w:val="00702288"/>
    <w:rsid w:val="007022F1"/>
    <w:rsid w:val="007023C8"/>
    <w:rsid w:val="0070246E"/>
    <w:rsid w:val="007024A5"/>
    <w:rsid w:val="007024D9"/>
    <w:rsid w:val="0070250E"/>
    <w:rsid w:val="007026AA"/>
    <w:rsid w:val="007026D8"/>
    <w:rsid w:val="00702724"/>
    <w:rsid w:val="00702867"/>
    <w:rsid w:val="007028AB"/>
    <w:rsid w:val="007028FA"/>
    <w:rsid w:val="0070299E"/>
    <w:rsid w:val="00702A84"/>
    <w:rsid w:val="00702AED"/>
    <w:rsid w:val="00702AF4"/>
    <w:rsid w:val="00702B1F"/>
    <w:rsid w:val="00702BAD"/>
    <w:rsid w:val="00702BE5"/>
    <w:rsid w:val="00702BEF"/>
    <w:rsid w:val="00702C72"/>
    <w:rsid w:val="00702CCF"/>
    <w:rsid w:val="00702CF2"/>
    <w:rsid w:val="00702E83"/>
    <w:rsid w:val="00702F11"/>
    <w:rsid w:val="00702F59"/>
    <w:rsid w:val="00702FE0"/>
    <w:rsid w:val="00703087"/>
    <w:rsid w:val="00703098"/>
    <w:rsid w:val="00703408"/>
    <w:rsid w:val="00703508"/>
    <w:rsid w:val="007035BD"/>
    <w:rsid w:val="007035E2"/>
    <w:rsid w:val="007038E4"/>
    <w:rsid w:val="007039FB"/>
    <w:rsid w:val="00703A86"/>
    <w:rsid w:val="00703CD1"/>
    <w:rsid w:val="00703DAF"/>
    <w:rsid w:val="00703E7A"/>
    <w:rsid w:val="00703E80"/>
    <w:rsid w:val="00703EB0"/>
    <w:rsid w:val="00703F96"/>
    <w:rsid w:val="007040FB"/>
    <w:rsid w:val="0070417E"/>
    <w:rsid w:val="0070419D"/>
    <w:rsid w:val="007043A2"/>
    <w:rsid w:val="007043C1"/>
    <w:rsid w:val="00704481"/>
    <w:rsid w:val="0070452C"/>
    <w:rsid w:val="007046C2"/>
    <w:rsid w:val="00704753"/>
    <w:rsid w:val="007047BD"/>
    <w:rsid w:val="007047CC"/>
    <w:rsid w:val="007047E2"/>
    <w:rsid w:val="007047F4"/>
    <w:rsid w:val="00704945"/>
    <w:rsid w:val="007049EA"/>
    <w:rsid w:val="00704A2E"/>
    <w:rsid w:val="00704A5B"/>
    <w:rsid w:val="00704A6D"/>
    <w:rsid w:val="00704B3B"/>
    <w:rsid w:val="00704BEF"/>
    <w:rsid w:val="00704C1A"/>
    <w:rsid w:val="00704DC7"/>
    <w:rsid w:val="00704E53"/>
    <w:rsid w:val="00704F6A"/>
    <w:rsid w:val="0070502C"/>
    <w:rsid w:val="0070506F"/>
    <w:rsid w:val="007050C1"/>
    <w:rsid w:val="0070534C"/>
    <w:rsid w:val="00705408"/>
    <w:rsid w:val="0070550D"/>
    <w:rsid w:val="0070551D"/>
    <w:rsid w:val="0070554E"/>
    <w:rsid w:val="007055EC"/>
    <w:rsid w:val="00705702"/>
    <w:rsid w:val="00705745"/>
    <w:rsid w:val="0070574A"/>
    <w:rsid w:val="00705887"/>
    <w:rsid w:val="00705908"/>
    <w:rsid w:val="00705A93"/>
    <w:rsid w:val="00705B78"/>
    <w:rsid w:val="00705C93"/>
    <w:rsid w:val="00705CB4"/>
    <w:rsid w:val="00705CE4"/>
    <w:rsid w:val="00705D09"/>
    <w:rsid w:val="00705E02"/>
    <w:rsid w:val="00705E4D"/>
    <w:rsid w:val="00705E90"/>
    <w:rsid w:val="00705EF2"/>
    <w:rsid w:val="00705FE0"/>
    <w:rsid w:val="007060FC"/>
    <w:rsid w:val="007061A5"/>
    <w:rsid w:val="007062FC"/>
    <w:rsid w:val="00706369"/>
    <w:rsid w:val="007063CB"/>
    <w:rsid w:val="007064E5"/>
    <w:rsid w:val="00706556"/>
    <w:rsid w:val="0070675F"/>
    <w:rsid w:val="0070681E"/>
    <w:rsid w:val="00706820"/>
    <w:rsid w:val="00706AD6"/>
    <w:rsid w:val="00706AFD"/>
    <w:rsid w:val="00706BCC"/>
    <w:rsid w:val="00706CAB"/>
    <w:rsid w:val="00706CCB"/>
    <w:rsid w:val="00706E18"/>
    <w:rsid w:val="00706F56"/>
    <w:rsid w:val="00706F78"/>
    <w:rsid w:val="007070B3"/>
    <w:rsid w:val="0070710F"/>
    <w:rsid w:val="0070712C"/>
    <w:rsid w:val="007071DC"/>
    <w:rsid w:val="00707242"/>
    <w:rsid w:val="0070731E"/>
    <w:rsid w:val="007074F0"/>
    <w:rsid w:val="007075BE"/>
    <w:rsid w:val="007075EB"/>
    <w:rsid w:val="00707674"/>
    <w:rsid w:val="00707682"/>
    <w:rsid w:val="007076F2"/>
    <w:rsid w:val="00707774"/>
    <w:rsid w:val="007077B3"/>
    <w:rsid w:val="0070782C"/>
    <w:rsid w:val="007078E4"/>
    <w:rsid w:val="007078EB"/>
    <w:rsid w:val="0070792E"/>
    <w:rsid w:val="007079C8"/>
    <w:rsid w:val="00707A1F"/>
    <w:rsid w:val="00707B60"/>
    <w:rsid w:val="00707D34"/>
    <w:rsid w:val="00707DE2"/>
    <w:rsid w:val="00707E6F"/>
    <w:rsid w:val="00707F7F"/>
    <w:rsid w:val="0071009F"/>
    <w:rsid w:val="007100D6"/>
    <w:rsid w:val="00710148"/>
    <w:rsid w:val="0071015A"/>
    <w:rsid w:val="0071016E"/>
    <w:rsid w:val="00710215"/>
    <w:rsid w:val="007103A4"/>
    <w:rsid w:val="00710478"/>
    <w:rsid w:val="007104C1"/>
    <w:rsid w:val="007104D5"/>
    <w:rsid w:val="00710762"/>
    <w:rsid w:val="00710877"/>
    <w:rsid w:val="007108F5"/>
    <w:rsid w:val="00710974"/>
    <w:rsid w:val="007109E7"/>
    <w:rsid w:val="00710D4E"/>
    <w:rsid w:val="00710DC8"/>
    <w:rsid w:val="00710E10"/>
    <w:rsid w:val="00710EA6"/>
    <w:rsid w:val="00710F5A"/>
    <w:rsid w:val="00710FFB"/>
    <w:rsid w:val="0071102C"/>
    <w:rsid w:val="0071124D"/>
    <w:rsid w:val="00711353"/>
    <w:rsid w:val="0071138B"/>
    <w:rsid w:val="0071139C"/>
    <w:rsid w:val="007113C3"/>
    <w:rsid w:val="0071142A"/>
    <w:rsid w:val="00711455"/>
    <w:rsid w:val="007114E3"/>
    <w:rsid w:val="007115D1"/>
    <w:rsid w:val="007116B7"/>
    <w:rsid w:val="0071180C"/>
    <w:rsid w:val="0071181C"/>
    <w:rsid w:val="007119E5"/>
    <w:rsid w:val="00711AA2"/>
    <w:rsid w:val="00711B95"/>
    <w:rsid w:val="00711B9D"/>
    <w:rsid w:val="00711BA2"/>
    <w:rsid w:val="00711C7F"/>
    <w:rsid w:val="00711CBD"/>
    <w:rsid w:val="00711DE3"/>
    <w:rsid w:val="00711E33"/>
    <w:rsid w:val="00711EBD"/>
    <w:rsid w:val="00711EFA"/>
    <w:rsid w:val="00712098"/>
    <w:rsid w:val="007121FE"/>
    <w:rsid w:val="00712251"/>
    <w:rsid w:val="00712328"/>
    <w:rsid w:val="007124FA"/>
    <w:rsid w:val="00712565"/>
    <w:rsid w:val="00712648"/>
    <w:rsid w:val="0071292F"/>
    <w:rsid w:val="0071295E"/>
    <w:rsid w:val="0071298F"/>
    <w:rsid w:val="007129D6"/>
    <w:rsid w:val="00712B52"/>
    <w:rsid w:val="00712CDB"/>
    <w:rsid w:val="00712DEF"/>
    <w:rsid w:val="00712E78"/>
    <w:rsid w:val="00712EE2"/>
    <w:rsid w:val="00712EE4"/>
    <w:rsid w:val="00712F19"/>
    <w:rsid w:val="00713064"/>
    <w:rsid w:val="00713278"/>
    <w:rsid w:val="00713302"/>
    <w:rsid w:val="007135EA"/>
    <w:rsid w:val="00713670"/>
    <w:rsid w:val="0071372C"/>
    <w:rsid w:val="00713760"/>
    <w:rsid w:val="00713796"/>
    <w:rsid w:val="00713804"/>
    <w:rsid w:val="007138EB"/>
    <w:rsid w:val="00713982"/>
    <w:rsid w:val="00713AAE"/>
    <w:rsid w:val="00713BDD"/>
    <w:rsid w:val="00713C87"/>
    <w:rsid w:val="00713CE1"/>
    <w:rsid w:val="00713D23"/>
    <w:rsid w:val="00713E77"/>
    <w:rsid w:val="00713FA6"/>
    <w:rsid w:val="007140A2"/>
    <w:rsid w:val="00714170"/>
    <w:rsid w:val="00714209"/>
    <w:rsid w:val="0071434D"/>
    <w:rsid w:val="00714460"/>
    <w:rsid w:val="00714486"/>
    <w:rsid w:val="0071450C"/>
    <w:rsid w:val="0071463B"/>
    <w:rsid w:val="0071471E"/>
    <w:rsid w:val="007149E7"/>
    <w:rsid w:val="00714A91"/>
    <w:rsid w:val="00714BDC"/>
    <w:rsid w:val="00714C03"/>
    <w:rsid w:val="00714CB4"/>
    <w:rsid w:val="00714D9B"/>
    <w:rsid w:val="00714E38"/>
    <w:rsid w:val="00714EBB"/>
    <w:rsid w:val="007150A9"/>
    <w:rsid w:val="00715166"/>
    <w:rsid w:val="007152EB"/>
    <w:rsid w:val="00715361"/>
    <w:rsid w:val="00715370"/>
    <w:rsid w:val="00715443"/>
    <w:rsid w:val="007154A6"/>
    <w:rsid w:val="00715614"/>
    <w:rsid w:val="0071569C"/>
    <w:rsid w:val="0071571C"/>
    <w:rsid w:val="007157D8"/>
    <w:rsid w:val="007157F7"/>
    <w:rsid w:val="007158B1"/>
    <w:rsid w:val="00715925"/>
    <w:rsid w:val="0071598B"/>
    <w:rsid w:val="00715B23"/>
    <w:rsid w:val="00715D43"/>
    <w:rsid w:val="00715F43"/>
    <w:rsid w:val="00715F72"/>
    <w:rsid w:val="00715FBD"/>
    <w:rsid w:val="00715FDC"/>
    <w:rsid w:val="007160A9"/>
    <w:rsid w:val="007160BA"/>
    <w:rsid w:val="00716126"/>
    <w:rsid w:val="00716248"/>
    <w:rsid w:val="00716335"/>
    <w:rsid w:val="00716396"/>
    <w:rsid w:val="007163A6"/>
    <w:rsid w:val="007163F2"/>
    <w:rsid w:val="007164D2"/>
    <w:rsid w:val="00716528"/>
    <w:rsid w:val="007166A2"/>
    <w:rsid w:val="007166D6"/>
    <w:rsid w:val="00716806"/>
    <w:rsid w:val="00716859"/>
    <w:rsid w:val="00716A75"/>
    <w:rsid w:val="00716AEB"/>
    <w:rsid w:val="00716CAC"/>
    <w:rsid w:val="00716D02"/>
    <w:rsid w:val="00716E14"/>
    <w:rsid w:val="00716F81"/>
    <w:rsid w:val="007170DC"/>
    <w:rsid w:val="0071719B"/>
    <w:rsid w:val="0071720C"/>
    <w:rsid w:val="00717241"/>
    <w:rsid w:val="00717282"/>
    <w:rsid w:val="007172E9"/>
    <w:rsid w:val="00717353"/>
    <w:rsid w:val="007174B4"/>
    <w:rsid w:val="0071770B"/>
    <w:rsid w:val="00717716"/>
    <w:rsid w:val="00717723"/>
    <w:rsid w:val="0071782A"/>
    <w:rsid w:val="00717855"/>
    <w:rsid w:val="00717A79"/>
    <w:rsid w:val="00717AFB"/>
    <w:rsid w:val="00717BB6"/>
    <w:rsid w:val="00717BEC"/>
    <w:rsid w:val="00717C07"/>
    <w:rsid w:val="00717D3A"/>
    <w:rsid w:val="00717D9B"/>
    <w:rsid w:val="00717DA6"/>
    <w:rsid w:val="00720006"/>
    <w:rsid w:val="007200B1"/>
    <w:rsid w:val="00720125"/>
    <w:rsid w:val="007201E2"/>
    <w:rsid w:val="00720268"/>
    <w:rsid w:val="007202A3"/>
    <w:rsid w:val="007205D0"/>
    <w:rsid w:val="007205DE"/>
    <w:rsid w:val="007205E4"/>
    <w:rsid w:val="007206B7"/>
    <w:rsid w:val="007206BA"/>
    <w:rsid w:val="00720720"/>
    <w:rsid w:val="00720731"/>
    <w:rsid w:val="00720751"/>
    <w:rsid w:val="007207BB"/>
    <w:rsid w:val="00720912"/>
    <w:rsid w:val="0072096A"/>
    <w:rsid w:val="00720AE9"/>
    <w:rsid w:val="00720B94"/>
    <w:rsid w:val="00720C17"/>
    <w:rsid w:val="00720CF3"/>
    <w:rsid w:val="00720D10"/>
    <w:rsid w:val="00720D18"/>
    <w:rsid w:val="00720D37"/>
    <w:rsid w:val="00720E04"/>
    <w:rsid w:val="00720E77"/>
    <w:rsid w:val="00720E88"/>
    <w:rsid w:val="007210E3"/>
    <w:rsid w:val="00721243"/>
    <w:rsid w:val="007212C0"/>
    <w:rsid w:val="007212ED"/>
    <w:rsid w:val="00721317"/>
    <w:rsid w:val="00721338"/>
    <w:rsid w:val="00721455"/>
    <w:rsid w:val="00721464"/>
    <w:rsid w:val="00721510"/>
    <w:rsid w:val="007215B0"/>
    <w:rsid w:val="00721655"/>
    <w:rsid w:val="007216F4"/>
    <w:rsid w:val="007218DB"/>
    <w:rsid w:val="00721904"/>
    <w:rsid w:val="007219F8"/>
    <w:rsid w:val="00721AD2"/>
    <w:rsid w:val="00721B30"/>
    <w:rsid w:val="00721B59"/>
    <w:rsid w:val="00721E2A"/>
    <w:rsid w:val="00721E5F"/>
    <w:rsid w:val="00721F60"/>
    <w:rsid w:val="00721FD5"/>
    <w:rsid w:val="00721FD7"/>
    <w:rsid w:val="007220F0"/>
    <w:rsid w:val="00722289"/>
    <w:rsid w:val="00722574"/>
    <w:rsid w:val="007225A8"/>
    <w:rsid w:val="007225C7"/>
    <w:rsid w:val="00722646"/>
    <w:rsid w:val="007226C8"/>
    <w:rsid w:val="0072277E"/>
    <w:rsid w:val="007227E2"/>
    <w:rsid w:val="00722827"/>
    <w:rsid w:val="007229C5"/>
    <w:rsid w:val="00722A9B"/>
    <w:rsid w:val="00722AAD"/>
    <w:rsid w:val="00722B05"/>
    <w:rsid w:val="00722BB3"/>
    <w:rsid w:val="00722EC8"/>
    <w:rsid w:val="00722ED8"/>
    <w:rsid w:val="00722EFE"/>
    <w:rsid w:val="00723087"/>
    <w:rsid w:val="007230AB"/>
    <w:rsid w:val="0072318B"/>
    <w:rsid w:val="007231BE"/>
    <w:rsid w:val="0072332B"/>
    <w:rsid w:val="0072334F"/>
    <w:rsid w:val="00723553"/>
    <w:rsid w:val="0072357F"/>
    <w:rsid w:val="007235A3"/>
    <w:rsid w:val="00723631"/>
    <w:rsid w:val="00723973"/>
    <w:rsid w:val="00723999"/>
    <w:rsid w:val="00723A41"/>
    <w:rsid w:val="00723ACD"/>
    <w:rsid w:val="00723B67"/>
    <w:rsid w:val="00723B8C"/>
    <w:rsid w:val="00723E4E"/>
    <w:rsid w:val="00723EBC"/>
    <w:rsid w:val="00723F0D"/>
    <w:rsid w:val="0072409B"/>
    <w:rsid w:val="007240AD"/>
    <w:rsid w:val="0072413A"/>
    <w:rsid w:val="0072421C"/>
    <w:rsid w:val="00724273"/>
    <w:rsid w:val="007242FA"/>
    <w:rsid w:val="0072430E"/>
    <w:rsid w:val="0072434E"/>
    <w:rsid w:val="007245A1"/>
    <w:rsid w:val="00724678"/>
    <w:rsid w:val="00724755"/>
    <w:rsid w:val="00724868"/>
    <w:rsid w:val="0072493F"/>
    <w:rsid w:val="00724A3E"/>
    <w:rsid w:val="00724B8F"/>
    <w:rsid w:val="00724BB3"/>
    <w:rsid w:val="00724D68"/>
    <w:rsid w:val="00724E70"/>
    <w:rsid w:val="00724F82"/>
    <w:rsid w:val="00724FC5"/>
    <w:rsid w:val="00724FD1"/>
    <w:rsid w:val="007250E5"/>
    <w:rsid w:val="0072533F"/>
    <w:rsid w:val="00725448"/>
    <w:rsid w:val="00725533"/>
    <w:rsid w:val="007256D3"/>
    <w:rsid w:val="007257CD"/>
    <w:rsid w:val="007258F4"/>
    <w:rsid w:val="00725904"/>
    <w:rsid w:val="007259C6"/>
    <w:rsid w:val="00725C24"/>
    <w:rsid w:val="00725DC2"/>
    <w:rsid w:val="007260FC"/>
    <w:rsid w:val="007262CA"/>
    <w:rsid w:val="007263BB"/>
    <w:rsid w:val="00726467"/>
    <w:rsid w:val="007265A6"/>
    <w:rsid w:val="0072676B"/>
    <w:rsid w:val="007267FC"/>
    <w:rsid w:val="007268B6"/>
    <w:rsid w:val="00726972"/>
    <w:rsid w:val="007269DA"/>
    <w:rsid w:val="00726A14"/>
    <w:rsid w:val="00726B25"/>
    <w:rsid w:val="00726B53"/>
    <w:rsid w:val="00726D32"/>
    <w:rsid w:val="00726D87"/>
    <w:rsid w:val="00726E1E"/>
    <w:rsid w:val="00727017"/>
    <w:rsid w:val="007271A7"/>
    <w:rsid w:val="0072734B"/>
    <w:rsid w:val="00727454"/>
    <w:rsid w:val="007275AD"/>
    <w:rsid w:val="007275CC"/>
    <w:rsid w:val="0072766C"/>
    <w:rsid w:val="00727718"/>
    <w:rsid w:val="00727999"/>
    <w:rsid w:val="00727B18"/>
    <w:rsid w:val="00727B88"/>
    <w:rsid w:val="00727CC7"/>
    <w:rsid w:val="00727D74"/>
    <w:rsid w:val="00727DD4"/>
    <w:rsid w:val="00727DFB"/>
    <w:rsid w:val="00727FD3"/>
    <w:rsid w:val="007300BA"/>
    <w:rsid w:val="00730197"/>
    <w:rsid w:val="007304C4"/>
    <w:rsid w:val="00730561"/>
    <w:rsid w:val="007305A0"/>
    <w:rsid w:val="00730699"/>
    <w:rsid w:val="0073076B"/>
    <w:rsid w:val="00730814"/>
    <w:rsid w:val="007308AE"/>
    <w:rsid w:val="007308EF"/>
    <w:rsid w:val="007309B6"/>
    <w:rsid w:val="00730A43"/>
    <w:rsid w:val="00730AFD"/>
    <w:rsid w:val="00730B93"/>
    <w:rsid w:val="00730BEC"/>
    <w:rsid w:val="00730D84"/>
    <w:rsid w:val="00730D9D"/>
    <w:rsid w:val="00730DBD"/>
    <w:rsid w:val="00730E19"/>
    <w:rsid w:val="007313F6"/>
    <w:rsid w:val="00731425"/>
    <w:rsid w:val="00731428"/>
    <w:rsid w:val="0073156E"/>
    <w:rsid w:val="007315AB"/>
    <w:rsid w:val="007315AC"/>
    <w:rsid w:val="0073168B"/>
    <w:rsid w:val="007316D6"/>
    <w:rsid w:val="00731791"/>
    <w:rsid w:val="00731866"/>
    <w:rsid w:val="00731A46"/>
    <w:rsid w:val="00731A4C"/>
    <w:rsid w:val="00731A66"/>
    <w:rsid w:val="00731B81"/>
    <w:rsid w:val="00731BB1"/>
    <w:rsid w:val="00731BF8"/>
    <w:rsid w:val="00731C14"/>
    <w:rsid w:val="00731C71"/>
    <w:rsid w:val="00731CBF"/>
    <w:rsid w:val="00731EC8"/>
    <w:rsid w:val="00731FC2"/>
    <w:rsid w:val="007320B9"/>
    <w:rsid w:val="00732198"/>
    <w:rsid w:val="0073241B"/>
    <w:rsid w:val="0073249D"/>
    <w:rsid w:val="0073255F"/>
    <w:rsid w:val="0073276C"/>
    <w:rsid w:val="0073276D"/>
    <w:rsid w:val="00732862"/>
    <w:rsid w:val="007329DB"/>
    <w:rsid w:val="007329EA"/>
    <w:rsid w:val="00732A01"/>
    <w:rsid w:val="00732CA6"/>
    <w:rsid w:val="00732D69"/>
    <w:rsid w:val="00732E28"/>
    <w:rsid w:val="00732F05"/>
    <w:rsid w:val="00732F14"/>
    <w:rsid w:val="00732FBB"/>
    <w:rsid w:val="007330BC"/>
    <w:rsid w:val="00733118"/>
    <w:rsid w:val="00733137"/>
    <w:rsid w:val="007332B3"/>
    <w:rsid w:val="00733384"/>
    <w:rsid w:val="007334C2"/>
    <w:rsid w:val="007334DD"/>
    <w:rsid w:val="007334E5"/>
    <w:rsid w:val="007334F0"/>
    <w:rsid w:val="0073350E"/>
    <w:rsid w:val="00733821"/>
    <w:rsid w:val="0073385E"/>
    <w:rsid w:val="00733900"/>
    <w:rsid w:val="00733A0B"/>
    <w:rsid w:val="00733A21"/>
    <w:rsid w:val="00733A35"/>
    <w:rsid w:val="00733D39"/>
    <w:rsid w:val="00733D58"/>
    <w:rsid w:val="00733DBF"/>
    <w:rsid w:val="00733DC0"/>
    <w:rsid w:val="00733F25"/>
    <w:rsid w:val="00733F7B"/>
    <w:rsid w:val="00733FA1"/>
    <w:rsid w:val="00734017"/>
    <w:rsid w:val="00734233"/>
    <w:rsid w:val="007343D9"/>
    <w:rsid w:val="007344A9"/>
    <w:rsid w:val="00734616"/>
    <w:rsid w:val="00734786"/>
    <w:rsid w:val="007347FC"/>
    <w:rsid w:val="00734853"/>
    <w:rsid w:val="007348F4"/>
    <w:rsid w:val="007348FC"/>
    <w:rsid w:val="00734B95"/>
    <w:rsid w:val="00734BFF"/>
    <w:rsid w:val="00734D1F"/>
    <w:rsid w:val="00734EE1"/>
    <w:rsid w:val="00734EEB"/>
    <w:rsid w:val="00734EF0"/>
    <w:rsid w:val="00734F3A"/>
    <w:rsid w:val="0073504A"/>
    <w:rsid w:val="00735066"/>
    <w:rsid w:val="007350E6"/>
    <w:rsid w:val="007352EE"/>
    <w:rsid w:val="0073532F"/>
    <w:rsid w:val="00735361"/>
    <w:rsid w:val="0073551A"/>
    <w:rsid w:val="0073564E"/>
    <w:rsid w:val="0073585D"/>
    <w:rsid w:val="00735983"/>
    <w:rsid w:val="00735998"/>
    <w:rsid w:val="00735AAA"/>
    <w:rsid w:val="00735C44"/>
    <w:rsid w:val="00735CB9"/>
    <w:rsid w:val="00735D14"/>
    <w:rsid w:val="00735D28"/>
    <w:rsid w:val="00735D34"/>
    <w:rsid w:val="00735E2D"/>
    <w:rsid w:val="00735E44"/>
    <w:rsid w:val="00735EE7"/>
    <w:rsid w:val="007360ED"/>
    <w:rsid w:val="0073613B"/>
    <w:rsid w:val="00736219"/>
    <w:rsid w:val="00736267"/>
    <w:rsid w:val="00736293"/>
    <w:rsid w:val="00736450"/>
    <w:rsid w:val="00736481"/>
    <w:rsid w:val="00736498"/>
    <w:rsid w:val="0073663A"/>
    <w:rsid w:val="00736773"/>
    <w:rsid w:val="00736987"/>
    <w:rsid w:val="00736AEA"/>
    <w:rsid w:val="00736C35"/>
    <w:rsid w:val="00736CC5"/>
    <w:rsid w:val="0073702C"/>
    <w:rsid w:val="00737068"/>
    <w:rsid w:val="00737075"/>
    <w:rsid w:val="007370F2"/>
    <w:rsid w:val="007371AD"/>
    <w:rsid w:val="007371B0"/>
    <w:rsid w:val="00737210"/>
    <w:rsid w:val="007372A1"/>
    <w:rsid w:val="00737513"/>
    <w:rsid w:val="00737679"/>
    <w:rsid w:val="00737780"/>
    <w:rsid w:val="00737932"/>
    <w:rsid w:val="0073793D"/>
    <w:rsid w:val="00737B55"/>
    <w:rsid w:val="00737C80"/>
    <w:rsid w:val="00740001"/>
    <w:rsid w:val="00740046"/>
    <w:rsid w:val="007400F4"/>
    <w:rsid w:val="00740162"/>
    <w:rsid w:val="007401E7"/>
    <w:rsid w:val="0074036A"/>
    <w:rsid w:val="007403A4"/>
    <w:rsid w:val="007403B0"/>
    <w:rsid w:val="00740472"/>
    <w:rsid w:val="007404B3"/>
    <w:rsid w:val="007404D5"/>
    <w:rsid w:val="007406B2"/>
    <w:rsid w:val="007406C9"/>
    <w:rsid w:val="007406E5"/>
    <w:rsid w:val="0074071E"/>
    <w:rsid w:val="007408D7"/>
    <w:rsid w:val="00740A12"/>
    <w:rsid w:val="00740AA4"/>
    <w:rsid w:val="00740ABF"/>
    <w:rsid w:val="00740ACE"/>
    <w:rsid w:val="00740F04"/>
    <w:rsid w:val="00740F9E"/>
    <w:rsid w:val="007410BB"/>
    <w:rsid w:val="00741113"/>
    <w:rsid w:val="0074121D"/>
    <w:rsid w:val="00741238"/>
    <w:rsid w:val="00741252"/>
    <w:rsid w:val="0074130C"/>
    <w:rsid w:val="007413B3"/>
    <w:rsid w:val="007415D9"/>
    <w:rsid w:val="007415E4"/>
    <w:rsid w:val="007415FB"/>
    <w:rsid w:val="0074168D"/>
    <w:rsid w:val="00741723"/>
    <w:rsid w:val="00741758"/>
    <w:rsid w:val="00741835"/>
    <w:rsid w:val="0074191B"/>
    <w:rsid w:val="00741922"/>
    <w:rsid w:val="00741998"/>
    <w:rsid w:val="00741A58"/>
    <w:rsid w:val="00741BA4"/>
    <w:rsid w:val="00741BD6"/>
    <w:rsid w:val="00741C28"/>
    <w:rsid w:val="00741C31"/>
    <w:rsid w:val="00741C81"/>
    <w:rsid w:val="00741DA7"/>
    <w:rsid w:val="00741E9D"/>
    <w:rsid w:val="00741F8B"/>
    <w:rsid w:val="0074209B"/>
    <w:rsid w:val="00742322"/>
    <w:rsid w:val="007423FE"/>
    <w:rsid w:val="007424DA"/>
    <w:rsid w:val="007425BB"/>
    <w:rsid w:val="007425C2"/>
    <w:rsid w:val="007425D6"/>
    <w:rsid w:val="007426C4"/>
    <w:rsid w:val="007426C7"/>
    <w:rsid w:val="0074292C"/>
    <w:rsid w:val="00742A20"/>
    <w:rsid w:val="00742B08"/>
    <w:rsid w:val="00742C1E"/>
    <w:rsid w:val="00742CDC"/>
    <w:rsid w:val="00742E95"/>
    <w:rsid w:val="00742ED6"/>
    <w:rsid w:val="00742EE5"/>
    <w:rsid w:val="00742F6F"/>
    <w:rsid w:val="00742FAA"/>
    <w:rsid w:val="0074306F"/>
    <w:rsid w:val="007430BF"/>
    <w:rsid w:val="0074317D"/>
    <w:rsid w:val="007431DE"/>
    <w:rsid w:val="007432DB"/>
    <w:rsid w:val="00743348"/>
    <w:rsid w:val="0074358F"/>
    <w:rsid w:val="00743726"/>
    <w:rsid w:val="00743805"/>
    <w:rsid w:val="00743820"/>
    <w:rsid w:val="007438A8"/>
    <w:rsid w:val="0074390F"/>
    <w:rsid w:val="007439D5"/>
    <w:rsid w:val="00743A24"/>
    <w:rsid w:val="00743A4E"/>
    <w:rsid w:val="00743A5F"/>
    <w:rsid w:val="00743A7E"/>
    <w:rsid w:val="00743B51"/>
    <w:rsid w:val="00743DA1"/>
    <w:rsid w:val="00743F72"/>
    <w:rsid w:val="0074421B"/>
    <w:rsid w:val="0074427F"/>
    <w:rsid w:val="007442E6"/>
    <w:rsid w:val="00744499"/>
    <w:rsid w:val="007445A3"/>
    <w:rsid w:val="007445B4"/>
    <w:rsid w:val="007445ED"/>
    <w:rsid w:val="007447CE"/>
    <w:rsid w:val="0074481E"/>
    <w:rsid w:val="0074488C"/>
    <w:rsid w:val="0074498A"/>
    <w:rsid w:val="00744996"/>
    <w:rsid w:val="00744A38"/>
    <w:rsid w:val="00744AE5"/>
    <w:rsid w:val="00744BA9"/>
    <w:rsid w:val="00744C2B"/>
    <w:rsid w:val="00744C3D"/>
    <w:rsid w:val="00744C75"/>
    <w:rsid w:val="00744D4A"/>
    <w:rsid w:val="00744E81"/>
    <w:rsid w:val="00745281"/>
    <w:rsid w:val="007452D1"/>
    <w:rsid w:val="00745360"/>
    <w:rsid w:val="00745962"/>
    <w:rsid w:val="00745A4E"/>
    <w:rsid w:val="00745A6C"/>
    <w:rsid w:val="00745A7E"/>
    <w:rsid w:val="00745ADF"/>
    <w:rsid w:val="00745B5C"/>
    <w:rsid w:val="00745CDF"/>
    <w:rsid w:val="00745D26"/>
    <w:rsid w:val="00745DFB"/>
    <w:rsid w:val="00745E19"/>
    <w:rsid w:val="00745E47"/>
    <w:rsid w:val="00745FAB"/>
    <w:rsid w:val="00745FBE"/>
    <w:rsid w:val="00746001"/>
    <w:rsid w:val="0074609D"/>
    <w:rsid w:val="00746339"/>
    <w:rsid w:val="0074633F"/>
    <w:rsid w:val="00746516"/>
    <w:rsid w:val="007465D0"/>
    <w:rsid w:val="00746848"/>
    <w:rsid w:val="0074685F"/>
    <w:rsid w:val="0074699A"/>
    <w:rsid w:val="007469B3"/>
    <w:rsid w:val="00746B74"/>
    <w:rsid w:val="00746C03"/>
    <w:rsid w:val="00746C31"/>
    <w:rsid w:val="00746C72"/>
    <w:rsid w:val="00746C7C"/>
    <w:rsid w:val="00746D0E"/>
    <w:rsid w:val="00746E30"/>
    <w:rsid w:val="00746EE1"/>
    <w:rsid w:val="00746F9F"/>
    <w:rsid w:val="00747057"/>
    <w:rsid w:val="0074707A"/>
    <w:rsid w:val="00747153"/>
    <w:rsid w:val="007472F4"/>
    <w:rsid w:val="007473AE"/>
    <w:rsid w:val="007473B3"/>
    <w:rsid w:val="0074750E"/>
    <w:rsid w:val="0074759C"/>
    <w:rsid w:val="007475F4"/>
    <w:rsid w:val="0074761D"/>
    <w:rsid w:val="00747773"/>
    <w:rsid w:val="007477C6"/>
    <w:rsid w:val="00747901"/>
    <w:rsid w:val="007479BA"/>
    <w:rsid w:val="00747AFF"/>
    <w:rsid w:val="00747B26"/>
    <w:rsid w:val="00747BCB"/>
    <w:rsid w:val="00747BDF"/>
    <w:rsid w:val="00747DCD"/>
    <w:rsid w:val="00747F1B"/>
    <w:rsid w:val="00747F34"/>
    <w:rsid w:val="00747F63"/>
    <w:rsid w:val="00747FAE"/>
    <w:rsid w:val="00747FFA"/>
    <w:rsid w:val="00750068"/>
    <w:rsid w:val="007501BB"/>
    <w:rsid w:val="00750305"/>
    <w:rsid w:val="00750334"/>
    <w:rsid w:val="007503D2"/>
    <w:rsid w:val="007504EA"/>
    <w:rsid w:val="007505BC"/>
    <w:rsid w:val="007506E0"/>
    <w:rsid w:val="00750827"/>
    <w:rsid w:val="007508A5"/>
    <w:rsid w:val="007508B0"/>
    <w:rsid w:val="007508C7"/>
    <w:rsid w:val="00750917"/>
    <w:rsid w:val="007509CE"/>
    <w:rsid w:val="00750AED"/>
    <w:rsid w:val="00750BCD"/>
    <w:rsid w:val="00750CF8"/>
    <w:rsid w:val="00750DE7"/>
    <w:rsid w:val="00750F99"/>
    <w:rsid w:val="00751082"/>
    <w:rsid w:val="007510DF"/>
    <w:rsid w:val="007511DD"/>
    <w:rsid w:val="007511FA"/>
    <w:rsid w:val="0075122F"/>
    <w:rsid w:val="007512AC"/>
    <w:rsid w:val="00751376"/>
    <w:rsid w:val="007513D6"/>
    <w:rsid w:val="007514E4"/>
    <w:rsid w:val="00751500"/>
    <w:rsid w:val="0075158D"/>
    <w:rsid w:val="0075162F"/>
    <w:rsid w:val="0075167D"/>
    <w:rsid w:val="00751884"/>
    <w:rsid w:val="007518B0"/>
    <w:rsid w:val="007518E3"/>
    <w:rsid w:val="00751C78"/>
    <w:rsid w:val="00751D5F"/>
    <w:rsid w:val="00751E50"/>
    <w:rsid w:val="00752068"/>
    <w:rsid w:val="007520EF"/>
    <w:rsid w:val="00752110"/>
    <w:rsid w:val="00752118"/>
    <w:rsid w:val="00752197"/>
    <w:rsid w:val="007522BF"/>
    <w:rsid w:val="00752359"/>
    <w:rsid w:val="00752367"/>
    <w:rsid w:val="007526B7"/>
    <w:rsid w:val="007526EA"/>
    <w:rsid w:val="00752709"/>
    <w:rsid w:val="007527F5"/>
    <w:rsid w:val="00752815"/>
    <w:rsid w:val="0075287A"/>
    <w:rsid w:val="0075293B"/>
    <w:rsid w:val="00752979"/>
    <w:rsid w:val="00752992"/>
    <w:rsid w:val="00752A07"/>
    <w:rsid w:val="00752A73"/>
    <w:rsid w:val="00752B10"/>
    <w:rsid w:val="00752B6C"/>
    <w:rsid w:val="00752BA2"/>
    <w:rsid w:val="00752C7A"/>
    <w:rsid w:val="00752C8D"/>
    <w:rsid w:val="00752D4A"/>
    <w:rsid w:val="00752DA0"/>
    <w:rsid w:val="00753148"/>
    <w:rsid w:val="007531CB"/>
    <w:rsid w:val="00753217"/>
    <w:rsid w:val="0075329C"/>
    <w:rsid w:val="007532DD"/>
    <w:rsid w:val="007534D0"/>
    <w:rsid w:val="007534D7"/>
    <w:rsid w:val="00753556"/>
    <w:rsid w:val="007535E5"/>
    <w:rsid w:val="00753620"/>
    <w:rsid w:val="00753687"/>
    <w:rsid w:val="0075375C"/>
    <w:rsid w:val="007539CB"/>
    <w:rsid w:val="00753A6F"/>
    <w:rsid w:val="00753AE2"/>
    <w:rsid w:val="00753AEC"/>
    <w:rsid w:val="00753B53"/>
    <w:rsid w:val="00753B9E"/>
    <w:rsid w:val="00753BB6"/>
    <w:rsid w:val="00753BBF"/>
    <w:rsid w:val="00753CCA"/>
    <w:rsid w:val="00753CF6"/>
    <w:rsid w:val="00753EF1"/>
    <w:rsid w:val="00753F81"/>
    <w:rsid w:val="00754039"/>
    <w:rsid w:val="007540C2"/>
    <w:rsid w:val="007541C8"/>
    <w:rsid w:val="0075422F"/>
    <w:rsid w:val="007543B2"/>
    <w:rsid w:val="007543C8"/>
    <w:rsid w:val="00754535"/>
    <w:rsid w:val="00754540"/>
    <w:rsid w:val="007545F4"/>
    <w:rsid w:val="00754817"/>
    <w:rsid w:val="007548AD"/>
    <w:rsid w:val="007548B5"/>
    <w:rsid w:val="00754961"/>
    <w:rsid w:val="00754A51"/>
    <w:rsid w:val="00754B19"/>
    <w:rsid w:val="00754B6D"/>
    <w:rsid w:val="00754BA7"/>
    <w:rsid w:val="00754BD8"/>
    <w:rsid w:val="00754CC8"/>
    <w:rsid w:val="00754D7A"/>
    <w:rsid w:val="00754E10"/>
    <w:rsid w:val="00754EFA"/>
    <w:rsid w:val="00754F65"/>
    <w:rsid w:val="00754FB2"/>
    <w:rsid w:val="00755017"/>
    <w:rsid w:val="0075501A"/>
    <w:rsid w:val="007550F9"/>
    <w:rsid w:val="007552F4"/>
    <w:rsid w:val="00755491"/>
    <w:rsid w:val="007554E9"/>
    <w:rsid w:val="00755501"/>
    <w:rsid w:val="0075567F"/>
    <w:rsid w:val="007556D4"/>
    <w:rsid w:val="007558AE"/>
    <w:rsid w:val="00755AD0"/>
    <w:rsid w:val="00755B54"/>
    <w:rsid w:val="00755C1E"/>
    <w:rsid w:val="00755CB3"/>
    <w:rsid w:val="00755EAB"/>
    <w:rsid w:val="00755F09"/>
    <w:rsid w:val="00755F51"/>
    <w:rsid w:val="0075602D"/>
    <w:rsid w:val="00756073"/>
    <w:rsid w:val="007562E4"/>
    <w:rsid w:val="0075634F"/>
    <w:rsid w:val="007563C2"/>
    <w:rsid w:val="007563CC"/>
    <w:rsid w:val="00756402"/>
    <w:rsid w:val="00756409"/>
    <w:rsid w:val="00756545"/>
    <w:rsid w:val="007565DB"/>
    <w:rsid w:val="00756634"/>
    <w:rsid w:val="00756653"/>
    <w:rsid w:val="0075667C"/>
    <w:rsid w:val="0075678C"/>
    <w:rsid w:val="0075692A"/>
    <w:rsid w:val="00756A2E"/>
    <w:rsid w:val="00756A60"/>
    <w:rsid w:val="00756A86"/>
    <w:rsid w:val="00756A99"/>
    <w:rsid w:val="00756D0F"/>
    <w:rsid w:val="00756E7A"/>
    <w:rsid w:val="00756EFE"/>
    <w:rsid w:val="00757071"/>
    <w:rsid w:val="00757102"/>
    <w:rsid w:val="007571CB"/>
    <w:rsid w:val="0075751C"/>
    <w:rsid w:val="007576E3"/>
    <w:rsid w:val="00757711"/>
    <w:rsid w:val="007577B4"/>
    <w:rsid w:val="007577D3"/>
    <w:rsid w:val="00757883"/>
    <w:rsid w:val="00757A39"/>
    <w:rsid w:val="00757AE1"/>
    <w:rsid w:val="00757B62"/>
    <w:rsid w:val="00757BDA"/>
    <w:rsid w:val="00757DDE"/>
    <w:rsid w:val="00757EF3"/>
    <w:rsid w:val="00760005"/>
    <w:rsid w:val="00760074"/>
    <w:rsid w:val="00760093"/>
    <w:rsid w:val="00760100"/>
    <w:rsid w:val="007603DB"/>
    <w:rsid w:val="00760499"/>
    <w:rsid w:val="007604BA"/>
    <w:rsid w:val="007605E0"/>
    <w:rsid w:val="007608B3"/>
    <w:rsid w:val="00760907"/>
    <w:rsid w:val="00760941"/>
    <w:rsid w:val="00760C2A"/>
    <w:rsid w:val="00760C58"/>
    <w:rsid w:val="00760D49"/>
    <w:rsid w:val="00760F98"/>
    <w:rsid w:val="00761153"/>
    <w:rsid w:val="00761295"/>
    <w:rsid w:val="00761382"/>
    <w:rsid w:val="0076138F"/>
    <w:rsid w:val="007613A5"/>
    <w:rsid w:val="007614D4"/>
    <w:rsid w:val="00761749"/>
    <w:rsid w:val="0076176D"/>
    <w:rsid w:val="0076177F"/>
    <w:rsid w:val="007617F3"/>
    <w:rsid w:val="0076183C"/>
    <w:rsid w:val="0076189B"/>
    <w:rsid w:val="00761998"/>
    <w:rsid w:val="00761A4C"/>
    <w:rsid w:val="00761C30"/>
    <w:rsid w:val="00761CEB"/>
    <w:rsid w:val="00761EED"/>
    <w:rsid w:val="00761FE6"/>
    <w:rsid w:val="00762033"/>
    <w:rsid w:val="007620C9"/>
    <w:rsid w:val="00762137"/>
    <w:rsid w:val="007623A5"/>
    <w:rsid w:val="00762563"/>
    <w:rsid w:val="007625F9"/>
    <w:rsid w:val="00762685"/>
    <w:rsid w:val="00762735"/>
    <w:rsid w:val="00762737"/>
    <w:rsid w:val="007627D0"/>
    <w:rsid w:val="007628A1"/>
    <w:rsid w:val="00762BA7"/>
    <w:rsid w:val="00762D85"/>
    <w:rsid w:val="00762DBE"/>
    <w:rsid w:val="00762E35"/>
    <w:rsid w:val="00762F27"/>
    <w:rsid w:val="00762F4A"/>
    <w:rsid w:val="00762F64"/>
    <w:rsid w:val="0076304B"/>
    <w:rsid w:val="00763094"/>
    <w:rsid w:val="0076309B"/>
    <w:rsid w:val="00763143"/>
    <w:rsid w:val="0076324C"/>
    <w:rsid w:val="00763266"/>
    <w:rsid w:val="00763535"/>
    <w:rsid w:val="007636A3"/>
    <w:rsid w:val="007636F6"/>
    <w:rsid w:val="0076371E"/>
    <w:rsid w:val="00763857"/>
    <w:rsid w:val="0076390C"/>
    <w:rsid w:val="00763A3E"/>
    <w:rsid w:val="00763B5E"/>
    <w:rsid w:val="00763B94"/>
    <w:rsid w:val="00763BFF"/>
    <w:rsid w:val="00763D44"/>
    <w:rsid w:val="00763D81"/>
    <w:rsid w:val="00763E1F"/>
    <w:rsid w:val="00763F11"/>
    <w:rsid w:val="00763F23"/>
    <w:rsid w:val="00763F7A"/>
    <w:rsid w:val="0076407F"/>
    <w:rsid w:val="007641DC"/>
    <w:rsid w:val="007641EF"/>
    <w:rsid w:val="007642B2"/>
    <w:rsid w:val="0076433E"/>
    <w:rsid w:val="00764586"/>
    <w:rsid w:val="007645F6"/>
    <w:rsid w:val="0076464E"/>
    <w:rsid w:val="0076465C"/>
    <w:rsid w:val="0076482D"/>
    <w:rsid w:val="007648D9"/>
    <w:rsid w:val="007649D4"/>
    <w:rsid w:val="00764A68"/>
    <w:rsid w:val="00764B05"/>
    <w:rsid w:val="00764B25"/>
    <w:rsid w:val="00764B60"/>
    <w:rsid w:val="00764BBD"/>
    <w:rsid w:val="00764BCF"/>
    <w:rsid w:val="00764BF7"/>
    <w:rsid w:val="00764C93"/>
    <w:rsid w:val="00764CDF"/>
    <w:rsid w:val="00764E3D"/>
    <w:rsid w:val="00764E8B"/>
    <w:rsid w:val="00764F5A"/>
    <w:rsid w:val="00764FA8"/>
    <w:rsid w:val="00764FCA"/>
    <w:rsid w:val="00765179"/>
    <w:rsid w:val="00765277"/>
    <w:rsid w:val="007652A0"/>
    <w:rsid w:val="007652E1"/>
    <w:rsid w:val="0076532E"/>
    <w:rsid w:val="0076534D"/>
    <w:rsid w:val="00765366"/>
    <w:rsid w:val="00765491"/>
    <w:rsid w:val="0076549C"/>
    <w:rsid w:val="007654A5"/>
    <w:rsid w:val="00765629"/>
    <w:rsid w:val="00765758"/>
    <w:rsid w:val="0076588F"/>
    <w:rsid w:val="007658B1"/>
    <w:rsid w:val="0076592A"/>
    <w:rsid w:val="00765947"/>
    <w:rsid w:val="00765986"/>
    <w:rsid w:val="007659DE"/>
    <w:rsid w:val="00765A8A"/>
    <w:rsid w:val="00765ABC"/>
    <w:rsid w:val="00765B97"/>
    <w:rsid w:val="00765CF2"/>
    <w:rsid w:val="00765DA9"/>
    <w:rsid w:val="00765E87"/>
    <w:rsid w:val="00765E92"/>
    <w:rsid w:val="00765EED"/>
    <w:rsid w:val="00765F89"/>
    <w:rsid w:val="00766025"/>
    <w:rsid w:val="007661D6"/>
    <w:rsid w:val="00766205"/>
    <w:rsid w:val="007663C6"/>
    <w:rsid w:val="00766524"/>
    <w:rsid w:val="00766596"/>
    <w:rsid w:val="007665E8"/>
    <w:rsid w:val="00766763"/>
    <w:rsid w:val="00766820"/>
    <w:rsid w:val="007668B8"/>
    <w:rsid w:val="007668E9"/>
    <w:rsid w:val="007668EF"/>
    <w:rsid w:val="007669D0"/>
    <w:rsid w:val="007669EB"/>
    <w:rsid w:val="00766A90"/>
    <w:rsid w:val="00766AB1"/>
    <w:rsid w:val="00766B4C"/>
    <w:rsid w:val="00766B54"/>
    <w:rsid w:val="00766C70"/>
    <w:rsid w:val="00766D84"/>
    <w:rsid w:val="00766F32"/>
    <w:rsid w:val="00766FC6"/>
    <w:rsid w:val="007672B0"/>
    <w:rsid w:val="007672D9"/>
    <w:rsid w:val="007672DB"/>
    <w:rsid w:val="0076742D"/>
    <w:rsid w:val="0076743C"/>
    <w:rsid w:val="00767462"/>
    <w:rsid w:val="0076752E"/>
    <w:rsid w:val="00767595"/>
    <w:rsid w:val="007677F9"/>
    <w:rsid w:val="00767875"/>
    <w:rsid w:val="007678B6"/>
    <w:rsid w:val="007678C2"/>
    <w:rsid w:val="007678EB"/>
    <w:rsid w:val="00767901"/>
    <w:rsid w:val="00767938"/>
    <w:rsid w:val="0076793D"/>
    <w:rsid w:val="0076799E"/>
    <w:rsid w:val="007679A5"/>
    <w:rsid w:val="007679CD"/>
    <w:rsid w:val="00767B02"/>
    <w:rsid w:val="00767B68"/>
    <w:rsid w:val="00767BD8"/>
    <w:rsid w:val="00767C20"/>
    <w:rsid w:val="00767D03"/>
    <w:rsid w:val="00767D42"/>
    <w:rsid w:val="00767DE0"/>
    <w:rsid w:val="00767F24"/>
    <w:rsid w:val="0077027B"/>
    <w:rsid w:val="0077043D"/>
    <w:rsid w:val="0077051D"/>
    <w:rsid w:val="00770655"/>
    <w:rsid w:val="0077072E"/>
    <w:rsid w:val="007707A0"/>
    <w:rsid w:val="007707BE"/>
    <w:rsid w:val="007708BF"/>
    <w:rsid w:val="007708F2"/>
    <w:rsid w:val="0077096D"/>
    <w:rsid w:val="007709ED"/>
    <w:rsid w:val="00770B3D"/>
    <w:rsid w:val="00770CA2"/>
    <w:rsid w:val="00770E0B"/>
    <w:rsid w:val="0077101C"/>
    <w:rsid w:val="00771104"/>
    <w:rsid w:val="00771143"/>
    <w:rsid w:val="0077129D"/>
    <w:rsid w:val="0077138D"/>
    <w:rsid w:val="00771532"/>
    <w:rsid w:val="00771541"/>
    <w:rsid w:val="00771587"/>
    <w:rsid w:val="007716C4"/>
    <w:rsid w:val="0077172A"/>
    <w:rsid w:val="0077173B"/>
    <w:rsid w:val="00771778"/>
    <w:rsid w:val="007717A3"/>
    <w:rsid w:val="007718A1"/>
    <w:rsid w:val="0077193C"/>
    <w:rsid w:val="007719AC"/>
    <w:rsid w:val="00771B82"/>
    <w:rsid w:val="00771D73"/>
    <w:rsid w:val="00771F06"/>
    <w:rsid w:val="00771F68"/>
    <w:rsid w:val="007721A0"/>
    <w:rsid w:val="00772206"/>
    <w:rsid w:val="00772209"/>
    <w:rsid w:val="007723D5"/>
    <w:rsid w:val="007724F6"/>
    <w:rsid w:val="007724FC"/>
    <w:rsid w:val="0077259C"/>
    <w:rsid w:val="007725B6"/>
    <w:rsid w:val="007725E8"/>
    <w:rsid w:val="00772615"/>
    <w:rsid w:val="00772782"/>
    <w:rsid w:val="00772964"/>
    <w:rsid w:val="00772B3A"/>
    <w:rsid w:val="00772BE0"/>
    <w:rsid w:val="00772D3F"/>
    <w:rsid w:val="00772D62"/>
    <w:rsid w:val="00772E71"/>
    <w:rsid w:val="00772E74"/>
    <w:rsid w:val="00772EA6"/>
    <w:rsid w:val="00772EB0"/>
    <w:rsid w:val="00772EBF"/>
    <w:rsid w:val="00772EFD"/>
    <w:rsid w:val="00772F14"/>
    <w:rsid w:val="00772F5C"/>
    <w:rsid w:val="0077303D"/>
    <w:rsid w:val="00773059"/>
    <w:rsid w:val="00773077"/>
    <w:rsid w:val="0077335D"/>
    <w:rsid w:val="00773401"/>
    <w:rsid w:val="0077345B"/>
    <w:rsid w:val="00773666"/>
    <w:rsid w:val="007737F0"/>
    <w:rsid w:val="007738AA"/>
    <w:rsid w:val="00773A91"/>
    <w:rsid w:val="00773B1B"/>
    <w:rsid w:val="00773BF9"/>
    <w:rsid w:val="00773D2F"/>
    <w:rsid w:val="00773D84"/>
    <w:rsid w:val="00774007"/>
    <w:rsid w:val="0077428E"/>
    <w:rsid w:val="007742BF"/>
    <w:rsid w:val="007742E2"/>
    <w:rsid w:val="00774329"/>
    <w:rsid w:val="0077444C"/>
    <w:rsid w:val="0077444F"/>
    <w:rsid w:val="0077458E"/>
    <w:rsid w:val="0077468F"/>
    <w:rsid w:val="0077469D"/>
    <w:rsid w:val="00774709"/>
    <w:rsid w:val="007748D7"/>
    <w:rsid w:val="007748E4"/>
    <w:rsid w:val="007748FB"/>
    <w:rsid w:val="00774AB1"/>
    <w:rsid w:val="00774B7C"/>
    <w:rsid w:val="00774C1E"/>
    <w:rsid w:val="00774C3B"/>
    <w:rsid w:val="00774D4A"/>
    <w:rsid w:val="00774D86"/>
    <w:rsid w:val="00774EDE"/>
    <w:rsid w:val="00774FB3"/>
    <w:rsid w:val="00775009"/>
    <w:rsid w:val="0077507E"/>
    <w:rsid w:val="0077511C"/>
    <w:rsid w:val="007751A3"/>
    <w:rsid w:val="0077528C"/>
    <w:rsid w:val="0077544B"/>
    <w:rsid w:val="0077556F"/>
    <w:rsid w:val="00775783"/>
    <w:rsid w:val="007758E4"/>
    <w:rsid w:val="00775936"/>
    <w:rsid w:val="0077594B"/>
    <w:rsid w:val="00775A8A"/>
    <w:rsid w:val="00775A8B"/>
    <w:rsid w:val="00775AF9"/>
    <w:rsid w:val="00775B3D"/>
    <w:rsid w:val="00775B55"/>
    <w:rsid w:val="00775BA2"/>
    <w:rsid w:val="00775C87"/>
    <w:rsid w:val="00775CC4"/>
    <w:rsid w:val="00775CF0"/>
    <w:rsid w:val="00775D03"/>
    <w:rsid w:val="00775F2F"/>
    <w:rsid w:val="0077603C"/>
    <w:rsid w:val="007760E8"/>
    <w:rsid w:val="0077618A"/>
    <w:rsid w:val="00776309"/>
    <w:rsid w:val="00776398"/>
    <w:rsid w:val="007763E2"/>
    <w:rsid w:val="0077659D"/>
    <w:rsid w:val="007765A1"/>
    <w:rsid w:val="00776678"/>
    <w:rsid w:val="00776990"/>
    <w:rsid w:val="007769E6"/>
    <w:rsid w:val="00776A0C"/>
    <w:rsid w:val="00776A7E"/>
    <w:rsid w:val="00776A9E"/>
    <w:rsid w:val="00776B2D"/>
    <w:rsid w:val="00776B42"/>
    <w:rsid w:val="00776C4E"/>
    <w:rsid w:val="00776C72"/>
    <w:rsid w:val="00776D51"/>
    <w:rsid w:val="00776DA9"/>
    <w:rsid w:val="00776F7D"/>
    <w:rsid w:val="00776F91"/>
    <w:rsid w:val="00776FF1"/>
    <w:rsid w:val="0077701F"/>
    <w:rsid w:val="0077713A"/>
    <w:rsid w:val="0077716F"/>
    <w:rsid w:val="007771E9"/>
    <w:rsid w:val="007772FE"/>
    <w:rsid w:val="00777358"/>
    <w:rsid w:val="0077743D"/>
    <w:rsid w:val="00777516"/>
    <w:rsid w:val="00777669"/>
    <w:rsid w:val="00777768"/>
    <w:rsid w:val="00777871"/>
    <w:rsid w:val="007778CA"/>
    <w:rsid w:val="00777973"/>
    <w:rsid w:val="007779F8"/>
    <w:rsid w:val="00777AC1"/>
    <w:rsid w:val="00777C67"/>
    <w:rsid w:val="00777CBD"/>
    <w:rsid w:val="00777D09"/>
    <w:rsid w:val="00777E18"/>
    <w:rsid w:val="00777FDB"/>
    <w:rsid w:val="007800BA"/>
    <w:rsid w:val="007800F1"/>
    <w:rsid w:val="00780114"/>
    <w:rsid w:val="00780240"/>
    <w:rsid w:val="007802B5"/>
    <w:rsid w:val="00780335"/>
    <w:rsid w:val="007803C3"/>
    <w:rsid w:val="0078048E"/>
    <w:rsid w:val="00780557"/>
    <w:rsid w:val="0078056B"/>
    <w:rsid w:val="007805E6"/>
    <w:rsid w:val="00780635"/>
    <w:rsid w:val="00780646"/>
    <w:rsid w:val="00780731"/>
    <w:rsid w:val="0078074D"/>
    <w:rsid w:val="007807F6"/>
    <w:rsid w:val="00780841"/>
    <w:rsid w:val="007808CD"/>
    <w:rsid w:val="007808D5"/>
    <w:rsid w:val="007809DC"/>
    <w:rsid w:val="00780A80"/>
    <w:rsid w:val="00780AE8"/>
    <w:rsid w:val="00780BB0"/>
    <w:rsid w:val="00780C11"/>
    <w:rsid w:val="00780C2C"/>
    <w:rsid w:val="00780D33"/>
    <w:rsid w:val="00780D84"/>
    <w:rsid w:val="00780E3B"/>
    <w:rsid w:val="00780E8F"/>
    <w:rsid w:val="00780F43"/>
    <w:rsid w:val="007810CD"/>
    <w:rsid w:val="0078125F"/>
    <w:rsid w:val="007815B5"/>
    <w:rsid w:val="007816FE"/>
    <w:rsid w:val="0078180B"/>
    <w:rsid w:val="0078188E"/>
    <w:rsid w:val="00781993"/>
    <w:rsid w:val="007819C7"/>
    <w:rsid w:val="007819D3"/>
    <w:rsid w:val="00781ACD"/>
    <w:rsid w:val="00781C66"/>
    <w:rsid w:val="00781D9A"/>
    <w:rsid w:val="00781DE9"/>
    <w:rsid w:val="00781DFA"/>
    <w:rsid w:val="00781E29"/>
    <w:rsid w:val="00781E37"/>
    <w:rsid w:val="00781E3B"/>
    <w:rsid w:val="00781EF8"/>
    <w:rsid w:val="00782014"/>
    <w:rsid w:val="007820B5"/>
    <w:rsid w:val="007822D5"/>
    <w:rsid w:val="007824C7"/>
    <w:rsid w:val="007824CA"/>
    <w:rsid w:val="007825C2"/>
    <w:rsid w:val="00782659"/>
    <w:rsid w:val="007826AE"/>
    <w:rsid w:val="007827A6"/>
    <w:rsid w:val="00782835"/>
    <w:rsid w:val="00782849"/>
    <w:rsid w:val="0078286A"/>
    <w:rsid w:val="00782897"/>
    <w:rsid w:val="00782A77"/>
    <w:rsid w:val="00782E10"/>
    <w:rsid w:val="00782E8E"/>
    <w:rsid w:val="00782EFE"/>
    <w:rsid w:val="007830F3"/>
    <w:rsid w:val="0078313A"/>
    <w:rsid w:val="0078317F"/>
    <w:rsid w:val="007831C5"/>
    <w:rsid w:val="007831D4"/>
    <w:rsid w:val="00783268"/>
    <w:rsid w:val="00783432"/>
    <w:rsid w:val="007834EF"/>
    <w:rsid w:val="00783503"/>
    <w:rsid w:val="00783610"/>
    <w:rsid w:val="00783762"/>
    <w:rsid w:val="0078391B"/>
    <w:rsid w:val="007839DF"/>
    <w:rsid w:val="00783BCB"/>
    <w:rsid w:val="00783C99"/>
    <w:rsid w:val="00783D4F"/>
    <w:rsid w:val="00783D79"/>
    <w:rsid w:val="00783DCC"/>
    <w:rsid w:val="00783E68"/>
    <w:rsid w:val="00783EC3"/>
    <w:rsid w:val="00783F35"/>
    <w:rsid w:val="00783F56"/>
    <w:rsid w:val="0078419A"/>
    <w:rsid w:val="007843CB"/>
    <w:rsid w:val="00784480"/>
    <w:rsid w:val="00784549"/>
    <w:rsid w:val="00784556"/>
    <w:rsid w:val="00784560"/>
    <w:rsid w:val="00784584"/>
    <w:rsid w:val="007845E3"/>
    <w:rsid w:val="0078476E"/>
    <w:rsid w:val="00784843"/>
    <w:rsid w:val="00784946"/>
    <w:rsid w:val="00784984"/>
    <w:rsid w:val="007849DD"/>
    <w:rsid w:val="00784A4F"/>
    <w:rsid w:val="00784C36"/>
    <w:rsid w:val="00784D36"/>
    <w:rsid w:val="00784E29"/>
    <w:rsid w:val="00784EBC"/>
    <w:rsid w:val="00784F3D"/>
    <w:rsid w:val="00784F8E"/>
    <w:rsid w:val="0078500B"/>
    <w:rsid w:val="007850DD"/>
    <w:rsid w:val="0078516A"/>
    <w:rsid w:val="00785358"/>
    <w:rsid w:val="00785418"/>
    <w:rsid w:val="007855FB"/>
    <w:rsid w:val="00785666"/>
    <w:rsid w:val="00785692"/>
    <w:rsid w:val="00785710"/>
    <w:rsid w:val="0078571A"/>
    <w:rsid w:val="007857F9"/>
    <w:rsid w:val="007858F8"/>
    <w:rsid w:val="00785995"/>
    <w:rsid w:val="007859B1"/>
    <w:rsid w:val="00785A98"/>
    <w:rsid w:val="00785A9A"/>
    <w:rsid w:val="00785AC2"/>
    <w:rsid w:val="00785AF0"/>
    <w:rsid w:val="00785DA2"/>
    <w:rsid w:val="00785DAB"/>
    <w:rsid w:val="00785E76"/>
    <w:rsid w:val="00785E9F"/>
    <w:rsid w:val="00785FB6"/>
    <w:rsid w:val="00785FC1"/>
    <w:rsid w:val="0078612E"/>
    <w:rsid w:val="00786212"/>
    <w:rsid w:val="007862A9"/>
    <w:rsid w:val="00786302"/>
    <w:rsid w:val="007863BA"/>
    <w:rsid w:val="007863D9"/>
    <w:rsid w:val="00786469"/>
    <w:rsid w:val="00786478"/>
    <w:rsid w:val="00786594"/>
    <w:rsid w:val="0078667D"/>
    <w:rsid w:val="00786699"/>
    <w:rsid w:val="007867C7"/>
    <w:rsid w:val="007867D4"/>
    <w:rsid w:val="0078691F"/>
    <w:rsid w:val="00786968"/>
    <w:rsid w:val="00786A5A"/>
    <w:rsid w:val="00786AAB"/>
    <w:rsid w:val="00786ADF"/>
    <w:rsid w:val="00786DBF"/>
    <w:rsid w:val="00786DE9"/>
    <w:rsid w:val="00787033"/>
    <w:rsid w:val="00787070"/>
    <w:rsid w:val="007871E4"/>
    <w:rsid w:val="007871F3"/>
    <w:rsid w:val="00787249"/>
    <w:rsid w:val="0078724C"/>
    <w:rsid w:val="007872A3"/>
    <w:rsid w:val="0078734A"/>
    <w:rsid w:val="00787364"/>
    <w:rsid w:val="007873DC"/>
    <w:rsid w:val="00787486"/>
    <w:rsid w:val="0078759F"/>
    <w:rsid w:val="007875A3"/>
    <w:rsid w:val="007875F1"/>
    <w:rsid w:val="00787648"/>
    <w:rsid w:val="007877B7"/>
    <w:rsid w:val="007878D1"/>
    <w:rsid w:val="00787935"/>
    <w:rsid w:val="00787948"/>
    <w:rsid w:val="007879C6"/>
    <w:rsid w:val="00787EDC"/>
    <w:rsid w:val="00790282"/>
    <w:rsid w:val="007902E7"/>
    <w:rsid w:val="0079046F"/>
    <w:rsid w:val="007904F4"/>
    <w:rsid w:val="00790560"/>
    <w:rsid w:val="0079066D"/>
    <w:rsid w:val="00790676"/>
    <w:rsid w:val="00790700"/>
    <w:rsid w:val="00790790"/>
    <w:rsid w:val="00790828"/>
    <w:rsid w:val="0079083E"/>
    <w:rsid w:val="007908AE"/>
    <w:rsid w:val="007908DD"/>
    <w:rsid w:val="00790A37"/>
    <w:rsid w:val="00790A65"/>
    <w:rsid w:val="00790B2B"/>
    <w:rsid w:val="00790BF3"/>
    <w:rsid w:val="00790BFB"/>
    <w:rsid w:val="00790C64"/>
    <w:rsid w:val="00790CC8"/>
    <w:rsid w:val="00790D60"/>
    <w:rsid w:val="00790E61"/>
    <w:rsid w:val="00790EAA"/>
    <w:rsid w:val="00790FD5"/>
    <w:rsid w:val="00791142"/>
    <w:rsid w:val="00791199"/>
    <w:rsid w:val="007912C7"/>
    <w:rsid w:val="00791407"/>
    <w:rsid w:val="0079159B"/>
    <w:rsid w:val="007916D2"/>
    <w:rsid w:val="007916E8"/>
    <w:rsid w:val="007919C0"/>
    <w:rsid w:val="00791B48"/>
    <w:rsid w:val="00791B4D"/>
    <w:rsid w:val="00791BCB"/>
    <w:rsid w:val="00791DDE"/>
    <w:rsid w:val="00791DF7"/>
    <w:rsid w:val="00791E9A"/>
    <w:rsid w:val="00791EAD"/>
    <w:rsid w:val="00791EFE"/>
    <w:rsid w:val="00791F5C"/>
    <w:rsid w:val="0079223A"/>
    <w:rsid w:val="0079229A"/>
    <w:rsid w:val="007922BC"/>
    <w:rsid w:val="007923B8"/>
    <w:rsid w:val="0079240E"/>
    <w:rsid w:val="00792448"/>
    <w:rsid w:val="00792539"/>
    <w:rsid w:val="0079259D"/>
    <w:rsid w:val="007925A9"/>
    <w:rsid w:val="007926FE"/>
    <w:rsid w:val="00792767"/>
    <w:rsid w:val="00792869"/>
    <w:rsid w:val="00792A2C"/>
    <w:rsid w:val="00792B9B"/>
    <w:rsid w:val="00792B9D"/>
    <w:rsid w:val="00792C9A"/>
    <w:rsid w:val="00792CF9"/>
    <w:rsid w:val="00792CFE"/>
    <w:rsid w:val="00792D33"/>
    <w:rsid w:val="00792DAB"/>
    <w:rsid w:val="00792DDA"/>
    <w:rsid w:val="00792DF6"/>
    <w:rsid w:val="00792E08"/>
    <w:rsid w:val="00792E45"/>
    <w:rsid w:val="00792EEF"/>
    <w:rsid w:val="00792F6E"/>
    <w:rsid w:val="00792F81"/>
    <w:rsid w:val="0079316E"/>
    <w:rsid w:val="007931A1"/>
    <w:rsid w:val="00793201"/>
    <w:rsid w:val="0079325D"/>
    <w:rsid w:val="00793313"/>
    <w:rsid w:val="007933D9"/>
    <w:rsid w:val="00793441"/>
    <w:rsid w:val="0079345A"/>
    <w:rsid w:val="007934E5"/>
    <w:rsid w:val="00793538"/>
    <w:rsid w:val="00793546"/>
    <w:rsid w:val="007936A1"/>
    <w:rsid w:val="0079378C"/>
    <w:rsid w:val="00793819"/>
    <w:rsid w:val="0079382A"/>
    <w:rsid w:val="00793851"/>
    <w:rsid w:val="007938E4"/>
    <w:rsid w:val="0079393D"/>
    <w:rsid w:val="00793978"/>
    <w:rsid w:val="00793A90"/>
    <w:rsid w:val="00793AE0"/>
    <w:rsid w:val="00793C62"/>
    <w:rsid w:val="00793CA5"/>
    <w:rsid w:val="00793D0B"/>
    <w:rsid w:val="00793D24"/>
    <w:rsid w:val="00793E76"/>
    <w:rsid w:val="00793F27"/>
    <w:rsid w:val="00793F90"/>
    <w:rsid w:val="00794021"/>
    <w:rsid w:val="00794058"/>
    <w:rsid w:val="007940D2"/>
    <w:rsid w:val="0079417E"/>
    <w:rsid w:val="007941C0"/>
    <w:rsid w:val="007941C8"/>
    <w:rsid w:val="00794274"/>
    <w:rsid w:val="00794500"/>
    <w:rsid w:val="00794582"/>
    <w:rsid w:val="00794593"/>
    <w:rsid w:val="007945CC"/>
    <w:rsid w:val="007946B0"/>
    <w:rsid w:val="007947F4"/>
    <w:rsid w:val="0079480F"/>
    <w:rsid w:val="0079497E"/>
    <w:rsid w:val="00794C17"/>
    <w:rsid w:val="00794E06"/>
    <w:rsid w:val="00794E24"/>
    <w:rsid w:val="00794E54"/>
    <w:rsid w:val="00794EDC"/>
    <w:rsid w:val="00794FA4"/>
    <w:rsid w:val="00795080"/>
    <w:rsid w:val="0079538C"/>
    <w:rsid w:val="0079539D"/>
    <w:rsid w:val="0079542E"/>
    <w:rsid w:val="00795501"/>
    <w:rsid w:val="0079558B"/>
    <w:rsid w:val="00795665"/>
    <w:rsid w:val="007957F6"/>
    <w:rsid w:val="007958D6"/>
    <w:rsid w:val="00795987"/>
    <w:rsid w:val="007959C1"/>
    <w:rsid w:val="007959C9"/>
    <w:rsid w:val="00795A19"/>
    <w:rsid w:val="00795C98"/>
    <w:rsid w:val="00795D06"/>
    <w:rsid w:val="00795D57"/>
    <w:rsid w:val="00795EA1"/>
    <w:rsid w:val="00796004"/>
    <w:rsid w:val="00796019"/>
    <w:rsid w:val="00796096"/>
    <w:rsid w:val="007960AD"/>
    <w:rsid w:val="0079614A"/>
    <w:rsid w:val="0079633D"/>
    <w:rsid w:val="00796349"/>
    <w:rsid w:val="0079652D"/>
    <w:rsid w:val="007965AF"/>
    <w:rsid w:val="00796768"/>
    <w:rsid w:val="00796813"/>
    <w:rsid w:val="00796984"/>
    <w:rsid w:val="00796B24"/>
    <w:rsid w:val="00796D32"/>
    <w:rsid w:val="00796D50"/>
    <w:rsid w:val="00796D5C"/>
    <w:rsid w:val="00796D5E"/>
    <w:rsid w:val="00796D9C"/>
    <w:rsid w:val="00796DB4"/>
    <w:rsid w:val="00796F1C"/>
    <w:rsid w:val="0079700D"/>
    <w:rsid w:val="00797025"/>
    <w:rsid w:val="007974DD"/>
    <w:rsid w:val="0079753C"/>
    <w:rsid w:val="007975C5"/>
    <w:rsid w:val="007975CD"/>
    <w:rsid w:val="007975FF"/>
    <w:rsid w:val="00797652"/>
    <w:rsid w:val="00797690"/>
    <w:rsid w:val="007976A4"/>
    <w:rsid w:val="007979AA"/>
    <w:rsid w:val="007979B4"/>
    <w:rsid w:val="00797DBE"/>
    <w:rsid w:val="00797ED9"/>
    <w:rsid w:val="00797FAB"/>
    <w:rsid w:val="007A01B7"/>
    <w:rsid w:val="007A05B9"/>
    <w:rsid w:val="007A05CE"/>
    <w:rsid w:val="007A05E5"/>
    <w:rsid w:val="007A06A6"/>
    <w:rsid w:val="007A076D"/>
    <w:rsid w:val="007A0956"/>
    <w:rsid w:val="007A09A8"/>
    <w:rsid w:val="007A0A54"/>
    <w:rsid w:val="007A0AA5"/>
    <w:rsid w:val="007A0D21"/>
    <w:rsid w:val="007A0DDF"/>
    <w:rsid w:val="007A0E88"/>
    <w:rsid w:val="007A0E89"/>
    <w:rsid w:val="007A0F15"/>
    <w:rsid w:val="007A0F61"/>
    <w:rsid w:val="007A0FB2"/>
    <w:rsid w:val="007A0FF2"/>
    <w:rsid w:val="007A101B"/>
    <w:rsid w:val="007A1067"/>
    <w:rsid w:val="007A13B0"/>
    <w:rsid w:val="007A142D"/>
    <w:rsid w:val="007A1439"/>
    <w:rsid w:val="007A1557"/>
    <w:rsid w:val="007A15B4"/>
    <w:rsid w:val="007A1613"/>
    <w:rsid w:val="007A1692"/>
    <w:rsid w:val="007A1760"/>
    <w:rsid w:val="007A17B2"/>
    <w:rsid w:val="007A17D1"/>
    <w:rsid w:val="007A1970"/>
    <w:rsid w:val="007A1A54"/>
    <w:rsid w:val="007A1BBD"/>
    <w:rsid w:val="007A1BF6"/>
    <w:rsid w:val="007A1BF9"/>
    <w:rsid w:val="007A1CE8"/>
    <w:rsid w:val="007A1D85"/>
    <w:rsid w:val="007A1DB8"/>
    <w:rsid w:val="007A1E5D"/>
    <w:rsid w:val="007A1EBD"/>
    <w:rsid w:val="007A20CB"/>
    <w:rsid w:val="007A223C"/>
    <w:rsid w:val="007A22BD"/>
    <w:rsid w:val="007A2416"/>
    <w:rsid w:val="007A2487"/>
    <w:rsid w:val="007A2574"/>
    <w:rsid w:val="007A25F9"/>
    <w:rsid w:val="007A267F"/>
    <w:rsid w:val="007A2773"/>
    <w:rsid w:val="007A2783"/>
    <w:rsid w:val="007A2938"/>
    <w:rsid w:val="007A295C"/>
    <w:rsid w:val="007A2968"/>
    <w:rsid w:val="007A29D8"/>
    <w:rsid w:val="007A2A27"/>
    <w:rsid w:val="007A2A40"/>
    <w:rsid w:val="007A2A45"/>
    <w:rsid w:val="007A2A5A"/>
    <w:rsid w:val="007A2C18"/>
    <w:rsid w:val="007A2D73"/>
    <w:rsid w:val="007A2D95"/>
    <w:rsid w:val="007A2DF0"/>
    <w:rsid w:val="007A2E48"/>
    <w:rsid w:val="007A303C"/>
    <w:rsid w:val="007A31EE"/>
    <w:rsid w:val="007A321A"/>
    <w:rsid w:val="007A32CD"/>
    <w:rsid w:val="007A33E0"/>
    <w:rsid w:val="007A3417"/>
    <w:rsid w:val="007A34C0"/>
    <w:rsid w:val="007A369E"/>
    <w:rsid w:val="007A3827"/>
    <w:rsid w:val="007A396E"/>
    <w:rsid w:val="007A3989"/>
    <w:rsid w:val="007A39B4"/>
    <w:rsid w:val="007A3A80"/>
    <w:rsid w:val="007A3AC9"/>
    <w:rsid w:val="007A3B6E"/>
    <w:rsid w:val="007A3BDF"/>
    <w:rsid w:val="007A3DFB"/>
    <w:rsid w:val="007A3E52"/>
    <w:rsid w:val="007A3F10"/>
    <w:rsid w:val="007A3F37"/>
    <w:rsid w:val="007A3F7A"/>
    <w:rsid w:val="007A40DF"/>
    <w:rsid w:val="007A4153"/>
    <w:rsid w:val="007A4173"/>
    <w:rsid w:val="007A433F"/>
    <w:rsid w:val="007A479D"/>
    <w:rsid w:val="007A484A"/>
    <w:rsid w:val="007A489D"/>
    <w:rsid w:val="007A48FF"/>
    <w:rsid w:val="007A49B4"/>
    <w:rsid w:val="007A49F2"/>
    <w:rsid w:val="007A4A66"/>
    <w:rsid w:val="007A4AA7"/>
    <w:rsid w:val="007A4B9B"/>
    <w:rsid w:val="007A4CDA"/>
    <w:rsid w:val="007A4EA7"/>
    <w:rsid w:val="007A504F"/>
    <w:rsid w:val="007A510F"/>
    <w:rsid w:val="007A5135"/>
    <w:rsid w:val="007A5138"/>
    <w:rsid w:val="007A51AD"/>
    <w:rsid w:val="007A51BE"/>
    <w:rsid w:val="007A51EA"/>
    <w:rsid w:val="007A526C"/>
    <w:rsid w:val="007A53E3"/>
    <w:rsid w:val="007A54CE"/>
    <w:rsid w:val="007A55A2"/>
    <w:rsid w:val="007A55C6"/>
    <w:rsid w:val="007A57B9"/>
    <w:rsid w:val="007A5822"/>
    <w:rsid w:val="007A58E9"/>
    <w:rsid w:val="007A592D"/>
    <w:rsid w:val="007A594E"/>
    <w:rsid w:val="007A59B0"/>
    <w:rsid w:val="007A59EF"/>
    <w:rsid w:val="007A5AF9"/>
    <w:rsid w:val="007A5BB0"/>
    <w:rsid w:val="007A5BEF"/>
    <w:rsid w:val="007A5D05"/>
    <w:rsid w:val="007A5E9A"/>
    <w:rsid w:val="007A6050"/>
    <w:rsid w:val="007A60B0"/>
    <w:rsid w:val="007A6147"/>
    <w:rsid w:val="007A6203"/>
    <w:rsid w:val="007A6271"/>
    <w:rsid w:val="007A62E6"/>
    <w:rsid w:val="007A632F"/>
    <w:rsid w:val="007A633D"/>
    <w:rsid w:val="007A6362"/>
    <w:rsid w:val="007A63A4"/>
    <w:rsid w:val="007A6480"/>
    <w:rsid w:val="007A6493"/>
    <w:rsid w:val="007A6563"/>
    <w:rsid w:val="007A65BB"/>
    <w:rsid w:val="007A6645"/>
    <w:rsid w:val="007A6733"/>
    <w:rsid w:val="007A676C"/>
    <w:rsid w:val="007A67AB"/>
    <w:rsid w:val="007A6852"/>
    <w:rsid w:val="007A68A0"/>
    <w:rsid w:val="007A6B28"/>
    <w:rsid w:val="007A6B8F"/>
    <w:rsid w:val="007A6BD7"/>
    <w:rsid w:val="007A6C77"/>
    <w:rsid w:val="007A6D45"/>
    <w:rsid w:val="007A6E39"/>
    <w:rsid w:val="007A6F51"/>
    <w:rsid w:val="007A6FC4"/>
    <w:rsid w:val="007A7013"/>
    <w:rsid w:val="007A7049"/>
    <w:rsid w:val="007A7110"/>
    <w:rsid w:val="007A7143"/>
    <w:rsid w:val="007A7169"/>
    <w:rsid w:val="007A721D"/>
    <w:rsid w:val="007A7341"/>
    <w:rsid w:val="007A74EC"/>
    <w:rsid w:val="007A752C"/>
    <w:rsid w:val="007A754F"/>
    <w:rsid w:val="007A763B"/>
    <w:rsid w:val="007A7862"/>
    <w:rsid w:val="007A79B6"/>
    <w:rsid w:val="007A7A14"/>
    <w:rsid w:val="007A7AD9"/>
    <w:rsid w:val="007A7D04"/>
    <w:rsid w:val="007A7D85"/>
    <w:rsid w:val="007A7DBF"/>
    <w:rsid w:val="007A7DF0"/>
    <w:rsid w:val="007B0072"/>
    <w:rsid w:val="007B00FE"/>
    <w:rsid w:val="007B0276"/>
    <w:rsid w:val="007B039E"/>
    <w:rsid w:val="007B0427"/>
    <w:rsid w:val="007B05AA"/>
    <w:rsid w:val="007B05F0"/>
    <w:rsid w:val="007B0648"/>
    <w:rsid w:val="007B06E2"/>
    <w:rsid w:val="007B0953"/>
    <w:rsid w:val="007B0A4B"/>
    <w:rsid w:val="007B0AD2"/>
    <w:rsid w:val="007B0C32"/>
    <w:rsid w:val="007B0CE0"/>
    <w:rsid w:val="007B0D4E"/>
    <w:rsid w:val="007B0D84"/>
    <w:rsid w:val="007B0DDD"/>
    <w:rsid w:val="007B0EB2"/>
    <w:rsid w:val="007B0EB4"/>
    <w:rsid w:val="007B0F10"/>
    <w:rsid w:val="007B0FDB"/>
    <w:rsid w:val="007B10C2"/>
    <w:rsid w:val="007B119C"/>
    <w:rsid w:val="007B11B2"/>
    <w:rsid w:val="007B1201"/>
    <w:rsid w:val="007B122B"/>
    <w:rsid w:val="007B13C8"/>
    <w:rsid w:val="007B1438"/>
    <w:rsid w:val="007B143D"/>
    <w:rsid w:val="007B15BF"/>
    <w:rsid w:val="007B16CA"/>
    <w:rsid w:val="007B16DC"/>
    <w:rsid w:val="007B1754"/>
    <w:rsid w:val="007B1861"/>
    <w:rsid w:val="007B194A"/>
    <w:rsid w:val="007B1B5E"/>
    <w:rsid w:val="007B1D15"/>
    <w:rsid w:val="007B1D63"/>
    <w:rsid w:val="007B2043"/>
    <w:rsid w:val="007B2094"/>
    <w:rsid w:val="007B22BB"/>
    <w:rsid w:val="007B24CA"/>
    <w:rsid w:val="007B250F"/>
    <w:rsid w:val="007B2645"/>
    <w:rsid w:val="007B2692"/>
    <w:rsid w:val="007B2737"/>
    <w:rsid w:val="007B27AF"/>
    <w:rsid w:val="007B2874"/>
    <w:rsid w:val="007B28B7"/>
    <w:rsid w:val="007B28BA"/>
    <w:rsid w:val="007B29CA"/>
    <w:rsid w:val="007B2A4F"/>
    <w:rsid w:val="007B2AC2"/>
    <w:rsid w:val="007B2BA1"/>
    <w:rsid w:val="007B2C04"/>
    <w:rsid w:val="007B2CE6"/>
    <w:rsid w:val="007B2D62"/>
    <w:rsid w:val="007B2DC3"/>
    <w:rsid w:val="007B2E31"/>
    <w:rsid w:val="007B2E5B"/>
    <w:rsid w:val="007B305A"/>
    <w:rsid w:val="007B3172"/>
    <w:rsid w:val="007B31A7"/>
    <w:rsid w:val="007B3466"/>
    <w:rsid w:val="007B3486"/>
    <w:rsid w:val="007B3539"/>
    <w:rsid w:val="007B3643"/>
    <w:rsid w:val="007B364E"/>
    <w:rsid w:val="007B368E"/>
    <w:rsid w:val="007B36DD"/>
    <w:rsid w:val="007B3B08"/>
    <w:rsid w:val="007B3B92"/>
    <w:rsid w:val="007B3E7B"/>
    <w:rsid w:val="007B3F28"/>
    <w:rsid w:val="007B4357"/>
    <w:rsid w:val="007B447D"/>
    <w:rsid w:val="007B462A"/>
    <w:rsid w:val="007B46FD"/>
    <w:rsid w:val="007B4783"/>
    <w:rsid w:val="007B47FF"/>
    <w:rsid w:val="007B4832"/>
    <w:rsid w:val="007B492A"/>
    <w:rsid w:val="007B4A40"/>
    <w:rsid w:val="007B4A57"/>
    <w:rsid w:val="007B4B0B"/>
    <w:rsid w:val="007B4D0E"/>
    <w:rsid w:val="007B4E00"/>
    <w:rsid w:val="007B4EB7"/>
    <w:rsid w:val="007B4EC6"/>
    <w:rsid w:val="007B4F1F"/>
    <w:rsid w:val="007B4F2E"/>
    <w:rsid w:val="007B5470"/>
    <w:rsid w:val="007B54A4"/>
    <w:rsid w:val="007B5676"/>
    <w:rsid w:val="007B56C3"/>
    <w:rsid w:val="007B5758"/>
    <w:rsid w:val="007B57B5"/>
    <w:rsid w:val="007B580A"/>
    <w:rsid w:val="007B58AA"/>
    <w:rsid w:val="007B5A9D"/>
    <w:rsid w:val="007B5AA0"/>
    <w:rsid w:val="007B5ABE"/>
    <w:rsid w:val="007B5DC9"/>
    <w:rsid w:val="007B5E50"/>
    <w:rsid w:val="007B5E94"/>
    <w:rsid w:val="007B5EB2"/>
    <w:rsid w:val="007B5FD4"/>
    <w:rsid w:val="007B601C"/>
    <w:rsid w:val="007B60E3"/>
    <w:rsid w:val="007B612D"/>
    <w:rsid w:val="007B627C"/>
    <w:rsid w:val="007B6325"/>
    <w:rsid w:val="007B63CD"/>
    <w:rsid w:val="007B63EF"/>
    <w:rsid w:val="007B642A"/>
    <w:rsid w:val="007B64EE"/>
    <w:rsid w:val="007B653B"/>
    <w:rsid w:val="007B65CE"/>
    <w:rsid w:val="007B6620"/>
    <w:rsid w:val="007B6671"/>
    <w:rsid w:val="007B66A3"/>
    <w:rsid w:val="007B6778"/>
    <w:rsid w:val="007B67F8"/>
    <w:rsid w:val="007B6869"/>
    <w:rsid w:val="007B68F8"/>
    <w:rsid w:val="007B6A09"/>
    <w:rsid w:val="007B6A15"/>
    <w:rsid w:val="007B6A9E"/>
    <w:rsid w:val="007B6AB7"/>
    <w:rsid w:val="007B6BB6"/>
    <w:rsid w:val="007B6C9B"/>
    <w:rsid w:val="007B6D1F"/>
    <w:rsid w:val="007B6D7C"/>
    <w:rsid w:val="007B6E5D"/>
    <w:rsid w:val="007B6FA1"/>
    <w:rsid w:val="007B7250"/>
    <w:rsid w:val="007B73FD"/>
    <w:rsid w:val="007B74F4"/>
    <w:rsid w:val="007B7719"/>
    <w:rsid w:val="007B776F"/>
    <w:rsid w:val="007B7780"/>
    <w:rsid w:val="007B7883"/>
    <w:rsid w:val="007B7951"/>
    <w:rsid w:val="007B79DC"/>
    <w:rsid w:val="007B7AB1"/>
    <w:rsid w:val="007B7BA0"/>
    <w:rsid w:val="007B7CD9"/>
    <w:rsid w:val="007B7DA4"/>
    <w:rsid w:val="007B7FD1"/>
    <w:rsid w:val="007B7FD4"/>
    <w:rsid w:val="007C0075"/>
    <w:rsid w:val="007C0134"/>
    <w:rsid w:val="007C0214"/>
    <w:rsid w:val="007C0258"/>
    <w:rsid w:val="007C027C"/>
    <w:rsid w:val="007C0452"/>
    <w:rsid w:val="007C0510"/>
    <w:rsid w:val="007C0513"/>
    <w:rsid w:val="007C0659"/>
    <w:rsid w:val="007C0675"/>
    <w:rsid w:val="007C0823"/>
    <w:rsid w:val="007C096C"/>
    <w:rsid w:val="007C0A8F"/>
    <w:rsid w:val="007C0A9F"/>
    <w:rsid w:val="007C0AFC"/>
    <w:rsid w:val="007C0B0C"/>
    <w:rsid w:val="007C0BBF"/>
    <w:rsid w:val="007C0BEE"/>
    <w:rsid w:val="007C0C86"/>
    <w:rsid w:val="007C0D12"/>
    <w:rsid w:val="007C0E00"/>
    <w:rsid w:val="007C0EA4"/>
    <w:rsid w:val="007C10E9"/>
    <w:rsid w:val="007C116C"/>
    <w:rsid w:val="007C1291"/>
    <w:rsid w:val="007C129A"/>
    <w:rsid w:val="007C1462"/>
    <w:rsid w:val="007C149C"/>
    <w:rsid w:val="007C1510"/>
    <w:rsid w:val="007C158F"/>
    <w:rsid w:val="007C160F"/>
    <w:rsid w:val="007C1611"/>
    <w:rsid w:val="007C1718"/>
    <w:rsid w:val="007C17B0"/>
    <w:rsid w:val="007C1869"/>
    <w:rsid w:val="007C1A98"/>
    <w:rsid w:val="007C1C27"/>
    <w:rsid w:val="007C1E65"/>
    <w:rsid w:val="007C1F49"/>
    <w:rsid w:val="007C208B"/>
    <w:rsid w:val="007C2091"/>
    <w:rsid w:val="007C2148"/>
    <w:rsid w:val="007C238E"/>
    <w:rsid w:val="007C2642"/>
    <w:rsid w:val="007C26DD"/>
    <w:rsid w:val="007C280C"/>
    <w:rsid w:val="007C2965"/>
    <w:rsid w:val="007C2A03"/>
    <w:rsid w:val="007C2A85"/>
    <w:rsid w:val="007C2AC6"/>
    <w:rsid w:val="007C2C03"/>
    <w:rsid w:val="007C2D03"/>
    <w:rsid w:val="007C303E"/>
    <w:rsid w:val="007C303F"/>
    <w:rsid w:val="007C325D"/>
    <w:rsid w:val="007C330E"/>
    <w:rsid w:val="007C3378"/>
    <w:rsid w:val="007C3609"/>
    <w:rsid w:val="007C377C"/>
    <w:rsid w:val="007C3808"/>
    <w:rsid w:val="007C3872"/>
    <w:rsid w:val="007C38CA"/>
    <w:rsid w:val="007C39A0"/>
    <w:rsid w:val="007C3B70"/>
    <w:rsid w:val="007C3DF4"/>
    <w:rsid w:val="007C3E59"/>
    <w:rsid w:val="007C3E61"/>
    <w:rsid w:val="007C3EA0"/>
    <w:rsid w:val="007C3F1D"/>
    <w:rsid w:val="007C3FAB"/>
    <w:rsid w:val="007C409E"/>
    <w:rsid w:val="007C4106"/>
    <w:rsid w:val="007C4244"/>
    <w:rsid w:val="007C4330"/>
    <w:rsid w:val="007C4428"/>
    <w:rsid w:val="007C447B"/>
    <w:rsid w:val="007C44EA"/>
    <w:rsid w:val="007C44ED"/>
    <w:rsid w:val="007C451E"/>
    <w:rsid w:val="007C4596"/>
    <w:rsid w:val="007C4614"/>
    <w:rsid w:val="007C463E"/>
    <w:rsid w:val="007C4641"/>
    <w:rsid w:val="007C46BF"/>
    <w:rsid w:val="007C4725"/>
    <w:rsid w:val="007C4756"/>
    <w:rsid w:val="007C47FD"/>
    <w:rsid w:val="007C4870"/>
    <w:rsid w:val="007C48B9"/>
    <w:rsid w:val="007C490C"/>
    <w:rsid w:val="007C4B1D"/>
    <w:rsid w:val="007C4C5F"/>
    <w:rsid w:val="007C5224"/>
    <w:rsid w:val="007C5338"/>
    <w:rsid w:val="007C5513"/>
    <w:rsid w:val="007C555E"/>
    <w:rsid w:val="007C5677"/>
    <w:rsid w:val="007C569E"/>
    <w:rsid w:val="007C56A6"/>
    <w:rsid w:val="007C5784"/>
    <w:rsid w:val="007C578B"/>
    <w:rsid w:val="007C578F"/>
    <w:rsid w:val="007C57AF"/>
    <w:rsid w:val="007C582E"/>
    <w:rsid w:val="007C585D"/>
    <w:rsid w:val="007C5914"/>
    <w:rsid w:val="007C5B9D"/>
    <w:rsid w:val="007C5CFF"/>
    <w:rsid w:val="007C5D4B"/>
    <w:rsid w:val="007C5DE6"/>
    <w:rsid w:val="007C5ECB"/>
    <w:rsid w:val="007C5EF8"/>
    <w:rsid w:val="007C6005"/>
    <w:rsid w:val="007C60E6"/>
    <w:rsid w:val="007C610F"/>
    <w:rsid w:val="007C61D3"/>
    <w:rsid w:val="007C62C9"/>
    <w:rsid w:val="007C63DE"/>
    <w:rsid w:val="007C6556"/>
    <w:rsid w:val="007C6744"/>
    <w:rsid w:val="007C6766"/>
    <w:rsid w:val="007C67CF"/>
    <w:rsid w:val="007C685B"/>
    <w:rsid w:val="007C68B5"/>
    <w:rsid w:val="007C6B44"/>
    <w:rsid w:val="007C6BD5"/>
    <w:rsid w:val="007C6C07"/>
    <w:rsid w:val="007C6C19"/>
    <w:rsid w:val="007C6F45"/>
    <w:rsid w:val="007C706C"/>
    <w:rsid w:val="007C7073"/>
    <w:rsid w:val="007C70B8"/>
    <w:rsid w:val="007C7110"/>
    <w:rsid w:val="007C71A1"/>
    <w:rsid w:val="007C72E2"/>
    <w:rsid w:val="007C72F6"/>
    <w:rsid w:val="007C72FE"/>
    <w:rsid w:val="007C7329"/>
    <w:rsid w:val="007C7729"/>
    <w:rsid w:val="007C7748"/>
    <w:rsid w:val="007C786F"/>
    <w:rsid w:val="007C78B1"/>
    <w:rsid w:val="007C7A2C"/>
    <w:rsid w:val="007C7AE7"/>
    <w:rsid w:val="007C7D34"/>
    <w:rsid w:val="007C7E51"/>
    <w:rsid w:val="007C7E75"/>
    <w:rsid w:val="007C7E7E"/>
    <w:rsid w:val="007D0008"/>
    <w:rsid w:val="007D0092"/>
    <w:rsid w:val="007D00FA"/>
    <w:rsid w:val="007D014C"/>
    <w:rsid w:val="007D01B5"/>
    <w:rsid w:val="007D0295"/>
    <w:rsid w:val="007D0329"/>
    <w:rsid w:val="007D0361"/>
    <w:rsid w:val="007D036E"/>
    <w:rsid w:val="007D03A0"/>
    <w:rsid w:val="007D0414"/>
    <w:rsid w:val="007D051C"/>
    <w:rsid w:val="007D0AEB"/>
    <w:rsid w:val="007D0B4D"/>
    <w:rsid w:val="007D0B63"/>
    <w:rsid w:val="007D0E33"/>
    <w:rsid w:val="007D0EEF"/>
    <w:rsid w:val="007D10A9"/>
    <w:rsid w:val="007D10AC"/>
    <w:rsid w:val="007D113D"/>
    <w:rsid w:val="007D11C3"/>
    <w:rsid w:val="007D13A5"/>
    <w:rsid w:val="007D145A"/>
    <w:rsid w:val="007D14D3"/>
    <w:rsid w:val="007D159F"/>
    <w:rsid w:val="007D1765"/>
    <w:rsid w:val="007D182F"/>
    <w:rsid w:val="007D18C7"/>
    <w:rsid w:val="007D1923"/>
    <w:rsid w:val="007D1958"/>
    <w:rsid w:val="007D1B98"/>
    <w:rsid w:val="007D1E2F"/>
    <w:rsid w:val="007D1EF0"/>
    <w:rsid w:val="007D202C"/>
    <w:rsid w:val="007D21FD"/>
    <w:rsid w:val="007D22A3"/>
    <w:rsid w:val="007D23F0"/>
    <w:rsid w:val="007D2520"/>
    <w:rsid w:val="007D25CD"/>
    <w:rsid w:val="007D2642"/>
    <w:rsid w:val="007D2661"/>
    <w:rsid w:val="007D28E9"/>
    <w:rsid w:val="007D2A44"/>
    <w:rsid w:val="007D2ABA"/>
    <w:rsid w:val="007D2AF2"/>
    <w:rsid w:val="007D2B3C"/>
    <w:rsid w:val="007D2BB1"/>
    <w:rsid w:val="007D2D44"/>
    <w:rsid w:val="007D2D77"/>
    <w:rsid w:val="007D2ECC"/>
    <w:rsid w:val="007D2F5E"/>
    <w:rsid w:val="007D2F94"/>
    <w:rsid w:val="007D30AA"/>
    <w:rsid w:val="007D31DE"/>
    <w:rsid w:val="007D33A1"/>
    <w:rsid w:val="007D3569"/>
    <w:rsid w:val="007D356F"/>
    <w:rsid w:val="007D3728"/>
    <w:rsid w:val="007D381A"/>
    <w:rsid w:val="007D38C7"/>
    <w:rsid w:val="007D3959"/>
    <w:rsid w:val="007D397C"/>
    <w:rsid w:val="007D39F3"/>
    <w:rsid w:val="007D3A23"/>
    <w:rsid w:val="007D3ACB"/>
    <w:rsid w:val="007D3B17"/>
    <w:rsid w:val="007D3B4C"/>
    <w:rsid w:val="007D3BD1"/>
    <w:rsid w:val="007D3DE9"/>
    <w:rsid w:val="007D3FB1"/>
    <w:rsid w:val="007D3FEF"/>
    <w:rsid w:val="007D4083"/>
    <w:rsid w:val="007D412A"/>
    <w:rsid w:val="007D4182"/>
    <w:rsid w:val="007D41D7"/>
    <w:rsid w:val="007D4238"/>
    <w:rsid w:val="007D423B"/>
    <w:rsid w:val="007D4328"/>
    <w:rsid w:val="007D440A"/>
    <w:rsid w:val="007D4556"/>
    <w:rsid w:val="007D45E5"/>
    <w:rsid w:val="007D4704"/>
    <w:rsid w:val="007D474E"/>
    <w:rsid w:val="007D4926"/>
    <w:rsid w:val="007D49CD"/>
    <w:rsid w:val="007D4A18"/>
    <w:rsid w:val="007D4ADA"/>
    <w:rsid w:val="007D4B28"/>
    <w:rsid w:val="007D4B3C"/>
    <w:rsid w:val="007D4B8C"/>
    <w:rsid w:val="007D4CF9"/>
    <w:rsid w:val="007D4DA0"/>
    <w:rsid w:val="007D4E86"/>
    <w:rsid w:val="007D4EE9"/>
    <w:rsid w:val="007D4F02"/>
    <w:rsid w:val="007D4F47"/>
    <w:rsid w:val="007D4F6B"/>
    <w:rsid w:val="007D5027"/>
    <w:rsid w:val="007D506C"/>
    <w:rsid w:val="007D50A7"/>
    <w:rsid w:val="007D50EB"/>
    <w:rsid w:val="007D516E"/>
    <w:rsid w:val="007D517F"/>
    <w:rsid w:val="007D53DC"/>
    <w:rsid w:val="007D5569"/>
    <w:rsid w:val="007D57C5"/>
    <w:rsid w:val="007D5961"/>
    <w:rsid w:val="007D5B27"/>
    <w:rsid w:val="007D5B94"/>
    <w:rsid w:val="007D5C14"/>
    <w:rsid w:val="007D5CA5"/>
    <w:rsid w:val="007D5DE6"/>
    <w:rsid w:val="007D5E80"/>
    <w:rsid w:val="007D5FA0"/>
    <w:rsid w:val="007D5FB2"/>
    <w:rsid w:val="007D6085"/>
    <w:rsid w:val="007D6194"/>
    <w:rsid w:val="007D627B"/>
    <w:rsid w:val="007D6298"/>
    <w:rsid w:val="007D63EC"/>
    <w:rsid w:val="007D64B6"/>
    <w:rsid w:val="007D64BF"/>
    <w:rsid w:val="007D6523"/>
    <w:rsid w:val="007D65AC"/>
    <w:rsid w:val="007D65EB"/>
    <w:rsid w:val="007D667C"/>
    <w:rsid w:val="007D66B2"/>
    <w:rsid w:val="007D683B"/>
    <w:rsid w:val="007D68B3"/>
    <w:rsid w:val="007D691E"/>
    <w:rsid w:val="007D695D"/>
    <w:rsid w:val="007D6A1F"/>
    <w:rsid w:val="007D6A38"/>
    <w:rsid w:val="007D6A9C"/>
    <w:rsid w:val="007D6B8B"/>
    <w:rsid w:val="007D6CAF"/>
    <w:rsid w:val="007D6DD5"/>
    <w:rsid w:val="007D6E2E"/>
    <w:rsid w:val="007D6E64"/>
    <w:rsid w:val="007D6F46"/>
    <w:rsid w:val="007D7162"/>
    <w:rsid w:val="007D728A"/>
    <w:rsid w:val="007D7435"/>
    <w:rsid w:val="007D75BE"/>
    <w:rsid w:val="007D767E"/>
    <w:rsid w:val="007D77C9"/>
    <w:rsid w:val="007D77F7"/>
    <w:rsid w:val="007D7A6B"/>
    <w:rsid w:val="007D7AD6"/>
    <w:rsid w:val="007D7B96"/>
    <w:rsid w:val="007D7C33"/>
    <w:rsid w:val="007D7CD4"/>
    <w:rsid w:val="007D7DEC"/>
    <w:rsid w:val="007D7E83"/>
    <w:rsid w:val="007D7EF7"/>
    <w:rsid w:val="007D7F07"/>
    <w:rsid w:val="007E0042"/>
    <w:rsid w:val="007E0126"/>
    <w:rsid w:val="007E01F2"/>
    <w:rsid w:val="007E01FB"/>
    <w:rsid w:val="007E0280"/>
    <w:rsid w:val="007E0294"/>
    <w:rsid w:val="007E0375"/>
    <w:rsid w:val="007E04FD"/>
    <w:rsid w:val="007E06AC"/>
    <w:rsid w:val="007E07AF"/>
    <w:rsid w:val="007E0976"/>
    <w:rsid w:val="007E09F8"/>
    <w:rsid w:val="007E0A5C"/>
    <w:rsid w:val="007E0B24"/>
    <w:rsid w:val="007E0EE0"/>
    <w:rsid w:val="007E0FA2"/>
    <w:rsid w:val="007E0FD9"/>
    <w:rsid w:val="007E11E3"/>
    <w:rsid w:val="007E1542"/>
    <w:rsid w:val="007E1567"/>
    <w:rsid w:val="007E1576"/>
    <w:rsid w:val="007E1605"/>
    <w:rsid w:val="007E16D0"/>
    <w:rsid w:val="007E1746"/>
    <w:rsid w:val="007E1771"/>
    <w:rsid w:val="007E17A8"/>
    <w:rsid w:val="007E1873"/>
    <w:rsid w:val="007E18A2"/>
    <w:rsid w:val="007E1A2C"/>
    <w:rsid w:val="007E1A43"/>
    <w:rsid w:val="007E1AE7"/>
    <w:rsid w:val="007E1B36"/>
    <w:rsid w:val="007E1B57"/>
    <w:rsid w:val="007E1C10"/>
    <w:rsid w:val="007E1CC4"/>
    <w:rsid w:val="007E1E03"/>
    <w:rsid w:val="007E2018"/>
    <w:rsid w:val="007E20B8"/>
    <w:rsid w:val="007E20FE"/>
    <w:rsid w:val="007E2223"/>
    <w:rsid w:val="007E2240"/>
    <w:rsid w:val="007E232A"/>
    <w:rsid w:val="007E23B7"/>
    <w:rsid w:val="007E25F5"/>
    <w:rsid w:val="007E2638"/>
    <w:rsid w:val="007E265D"/>
    <w:rsid w:val="007E2660"/>
    <w:rsid w:val="007E2739"/>
    <w:rsid w:val="007E28BD"/>
    <w:rsid w:val="007E29CB"/>
    <w:rsid w:val="007E29EE"/>
    <w:rsid w:val="007E2AD9"/>
    <w:rsid w:val="007E2B2D"/>
    <w:rsid w:val="007E2BDE"/>
    <w:rsid w:val="007E2BEB"/>
    <w:rsid w:val="007E2C36"/>
    <w:rsid w:val="007E2C4E"/>
    <w:rsid w:val="007E2CC0"/>
    <w:rsid w:val="007E2E01"/>
    <w:rsid w:val="007E2E0F"/>
    <w:rsid w:val="007E2F0D"/>
    <w:rsid w:val="007E2FE9"/>
    <w:rsid w:val="007E302A"/>
    <w:rsid w:val="007E318B"/>
    <w:rsid w:val="007E31FD"/>
    <w:rsid w:val="007E3229"/>
    <w:rsid w:val="007E3241"/>
    <w:rsid w:val="007E3301"/>
    <w:rsid w:val="007E3329"/>
    <w:rsid w:val="007E345C"/>
    <w:rsid w:val="007E3475"/>
    <w:rsid w:val="007E34CE"/>
    <w:rsid w:val="007E34D7"/>
    <w:rsid w:val="007E362D"/>
    <w:rsid w:val="007E367A"/>
    <w:rsid w:val="007E3777"/>
    <w:rsid w:val="007E37D9"/>
    <w:rsid w:val="007E3801"/>
    <w:rsid w:val="007E382A"/>
    <w:rsid w:val="007E385D"/>
    <w:rsid w:val="007E39EC"/>
    <w:rsid w:val="007E3AA8"/>
    <w:rsid w:val="007E3B4C"/>
    <w:rsid w:val="007E3CEC"/>
    <w:rsid w:val="007E3DB3"/>
    <w:rsid w:val="007E3E1B"/>
    <w:rsid w:val="007E3E3E"/>
    <w:rsid w:val="007E3E59"/>
    <w:rsid w:val="007E3E8D"/>
    <w:rsid w:val="007E3E9F"/>
    <w:rsid w:val="007E3F01"/>
    <w:rsid w:val="007E3FA4"/>
    <w:rsid w:val="007E3FE4"/>
    <w:rsid w:val="007E421A"/>
    <w:rsid w:val="007E423D"/>
    <w:rsid w:val="007E42AB"/>
    <w:rsid w:val="007E4394"/>
    <w:rsid w:val="007E458D"/>
    <w:rsid w:val="007E4593"/>
    <w:rsid w:val="007E4600"/>
    <w:rsid w:val="007E460B"/>
    <w:rsid w:val="007E4708"/>
    <w:rsid w:val="007E471E"/>
    <w:rsid w:val="007E4779"/>
    <w:rsid w:val="007E4780"/>
    <w:rsid w:val="007E4988"/>
    <w:rsid w:val="007E4A5D"/>
    <w:rsid w:val="007E4AEE"/>
    <w:rsid w:val="007E4B31"/>
    <w:rsid w:val="007E4B87"/>
    <w:rsid w:val="007E4C15"/>
    <w:rsid w:val="007E4DBD"/>
    <w:rsid w:val="007E514A"/>
    <w:rsid w:val="007E5219"/>
    <w:rsid w:val="007E5237"/>
    <w:rsid w:val="007E529A"/>
    <w:rsid w:val="007E5383"/>
    <w:rsid w:val="007E53D0"/>
    <w:rsid w:val="007E5400"/>
    <w:rsid w:val="007E54F8"/>
    <w:rsid w:val="007E55AD"/>
    <w:rsid w:val="007E569B"/>
    <w:rsid w:val="007E5805"/>
    <w:rsid w:val="007E58D6"/>
    <w:rsid w:val="007E5928"/>
    <w:rsid w:val="007E5A41"/>
    <w:rsid w:val="007E5A54"/>
    <w:rsid w:val="007E5B14"/>
    <w:rsid w:val="007E5B18"/>
    <w:rsid w:val="007E5B5F"/>
    <w:rsid w:val="007E5D1D"/>
    <w:rsid w:val="007E5DD9"/>
    <w:rsid w:val="007E5E27"/>
    <w:rsid w:val="007E5F0C"/>
    <w:rsid w:val="007E5F3E"/>
    <w:rsid w:val="007E5F3F"/>
    <w:rsid w:val="007E5FF2"/>
    <w:rsid w:val="007E600E"/>
    <w:rsid w:val="007E6067"/>
    <w:rsid w:val="007E60ED"/>
    <w:rsid w:val="007E61C1"/>
    <w:rsid w:val="007E62C9"/>
    <w:rsid w:val="007E631D"/>
    <w:rsid w:val="007E6337"/>
    <w:rsid w:val="007E6496"/>
    <w:rsid w:val="007E64B4"/>
    <w:rsid w:val="007E65D2"/>
    <w:rsid w:val="007E65F9"/>
    <w:rsid w:val="007E66CA"/>
    <w:rsid w:val="007E6766"/>
    <w:rsid w:val="007E6878"/>
    <w:rsid w:val="007E6931"/>
    <w:rsid w:val="007E698A"/>
    <w:rsid w:val="007E69CF"/>
    <w:rsid w:val="007E6A79"/>
    <w:rsid w:val="007E6AEA"/>
    <w:rsid w:val="007E6FE4"/>
    <w:rsid w:val="007E6FE8"/>
    <w:rsid w:val="007E709E"/>
    <w:rsid w:val="007E70E3"/>
    <w:rsid w:val="007E717B"/>
    <w:rsid w:val="007E71E7"/>
    <w:rsid w:val="007E7406"/>
    <w:rsid w:val="007E744A"/>
    <w:rsid w:val="007E76F2"/>
    <w:rsid w:val="007E770E"/>
    <w:rsid w:val="007E792E"/>
    <w:rsid w:val="007E7A21"/>
    <w:rsid w:val="007E7AEC"/>
    <w:rsid w:val="007E7B21"/>
    <w:rsid w:val="007E7B9B"/>
    <w:rsid w:val="007E7CB0"/>
    <w:rsid w:val="007E7D71"/>
    <w:rsid w:val="007E7FF3"/>
    <w:rsid w:val="007F00AB"/>
    <w:rsid w:val="007F00E1"/>
    <w:rsid w:val="007F021F"/>
    <w:rsid w:val="007F0240"/>
    <w:rsid w:val="007F03A8"/>
    <w:rsid w:val="007F0444"/>
    <w:rsid w:val="007F0554"/>
    <w:rsid w:val="007F055C"/>
    <w:rsid w:val="007F0570"/>
    <w:rsid w:val="007F0583"/>
    <w:rsid w:val="007F0640"/>
    <w:rsid w:val="007F0644"/>
    <w:rsid w:val="007F06B7"/>
    <w:rsid w:val="007F08B3"/>
    <w:rsid w:val="007F09C5"/>
    <w:rsid w:val="007F09E3"/>
    <w:rsid w:val="007F09F8"/>
    <w:rsid w:val="007F0B9B"/>
    <w:rsid w:val="007F0BAB"/>
    <w:rsid w:val="007F0D29"/>
    <w:rsid w:val="007F0DD4"/>
    <w:rsid w:val="007F0FA6"/>
    <w:rsid w:val="007F1077"/>
    <w:rsid w:val="007F11FC"/>
    <w:rsid w:val="007F124B"/>
    <w:rsid w:val="007F132E"/>
    <w:rsid w:val="007F146D"/>
    <w:rsid w:val="007F14B6"/>
    <w:rsid w:val="007F14C5"/>
    <w:rsid w:val="007F14F5"/>
    <w:rsid w:val="007F15B9"/>
    <w:rsid w:val="007F15CA"/>
    <w:rsid w:val="007F16EC"/>
    <w:rsid w:val="007F16FA"/>
    <w:rsid w:val="007F199A"/>
    <w:rsid w:val="007F1A11"/>
    <w:rsid w:val="007F1A2E"/>
    <w:rsid w:val="007F1ADB"/>
    <w:rsid w:val="007F1AE2"/>
    <w:rsid w:val="007F1B36"/>
    <w:rsid w:val="007F1B42"/>
    <w:rsid w:val="007F1BF0"/>
    <w:rsid w:val="007F1C97"/>
    <w:rsid w:val="007F1CE7"/>
    <w:rsid w:val="007F1DBE"/>
    <w:rsid w:val="007F1E6B"/>
    <w:rsid w:val="007F1F88"/>
    <w:rsid w:val="007F2061"/>
    <w:rsid w:val="007F2102"/>
    <w:rsid w:val="007F21F1"/>
    <w:rsid w:val="007F2203"/>
    <w:rsid w:val="007F226C"/>
    <w:rsid w:val="007F23F9"/>
    <w:rsid w:val="007F247E"/>
    <w:rsid w:val="007F27F6"/>
    <w:rsid w:val="007F283F"/>
    <w:rsid w:val="007F2983"/>
    <w:rsid w:val="007F2A83"/>
    <w:rsid w:val="007F2B9A"/>
    <w:rsid w:val="007F2BD6"/>
    <w:rsid w:val="007F2D14"/>
    <w:rsid w:val="007F2E47"/>
    <w:rsid w:val="007F2EFF"/>
    <w:rsid w:val="007F2F2C"/>
    <w:rsid w:val="007F2FA9"/>
    <w:rsid w:val="007F305F"/>
    <w:rsid w:val="007F31B9"/>
    <w:rsid w:val="007F3231"/>
    <w:rsid w:val="007F33C5"/>
    <w:rsid w:val="007F35E8"/>
    <w:rsid w:val="007F376B"/>
    <w:rsid w:val="007F380A"/>
    <w:rsid w:val="007F389B"/>
    <w:rsid w:val="007F397A"/>
    <w:rsid w:val="007F3BD0"/>
    <w:rsid w:val="007F3E4A"/>
    <w:rsid w:val="007F3E55"/>
    <w:rsid w:val="007F41AF"/>
    <w:rsid w:val="007F4225"/>
    <w:rsid w:val="007F4452"/>
    <w:rsid w:val="007F457C"/>
    <w:rsid w:val="007F4703"/>
    <w:rsid w:val="007F4731"/>
    <w:rsid w:val="007F4793"/>
    <w:rsid w:val="007F47A4"/>
    <w:rsid w:val="007F47BE"/>
    <w:rsid w:val="007F47ED"/>
    <w:rsid w:val="007F49B6"/>
    <w:rsid w:val="007F4A5C"/>
    <w:rsid w:val="007F4BAD"/>
    <w:rsid w:val="007F4C2F"/>
    <w:rsid w:val="007F4C4B"/>
    <w:rsid w:val="007F4C51"/>
    <w:rsid w:val="007F4C7D"/>
    <w:rsid w:val="007F4D01"/>
    <w:rsid w:val="007F4E46"/>
    <w:rsid w:val="007F4F97"/>
    <w:rsid w:val="007F527E"/>
    <w:rsid w:val="007F52A3"/>
    <w:rsid w:val="007F53DD"/>
    <w:rsid w:val="007F547F"/>
    <w:rsid w:val="007F55D9"/>
    <w:rsid w:val="007F5816"/>
    <w:rsid w:val="007F58C3"/>
    <w:rsid w:val="007F5940"/>
    <w:rsid w:val="007F595E"/>
    <w:rsid w:val="007F5980"/>
    <w:rsid w:val="007F59FB"/>
    <w:rsid w:val="007F5AA3"/>
    <w:rsid w:val="007F5BB4"/>
    <w:rsid w:val="007F5CD6"/>
    <w:rsid w:val="007F5DBE"/>
    <w:rsid w:val="007F5DDA"/>
    <w:rsid w:val="007F5E49"/>
    <w:rsid w:val="007F5E6A"/>
    <w:rsid w:val="007F5F5B"/>
    <w:rsid w:val="007F5F69"/>
    <w:rsid w:val="007F6057"/>
    <w:rsid w:val="007F60DC"/>
    <w:rsid w:val="007F6103"/>
    <w:rsid w:val="007F613A"/>
    <w:rsid w:val="007F6201"/>
    <w:rsid w:val="007F6565"/>
    <w:rsid w:val="007F6823"/>
    <w:rsid w:val="007F6873"/>
    <w:rsid w:val="007F6910"/>
    <w:rsid w:val="007F6B0C"/>
    <w:rsid w:val="007F6CA8"/>
    <w:rsid w:val="007F6DF7"/>
    <w:rsid w:val="007F6EF1"/>
    <w:rsid w:val="007F6F37"/>
    <w:rsid w:val="007F71FC"/>
    <w:rsid w:val="007F734E"/>
    <w:rsid w:val="007F753B"/>
    <w:rsid w:val="007F767D"/>
    <w:rsid w:val="007F7969"/>
    <w:rsid w:val="007F7B3C"/>
    <w:rsid w:val="007F7B45"/>
    <w:rsid w:val="007F7B66"/>
    <w:rsid w:val="007F7BA0"/>
    <w:rsid w:val="007F7D4F"/>
    <w:rsid w:val="007F7D65"/>
    <w:rsid w:val="007F7E7A"/>
    <w:rsid w:val="007F7ED5"/>
    <w:rsid w:val="007F7F9E"/>
    <w:rsid w:val="008003F5"/>
    <w:rsid w:val="00800441"/>
    <w:rsid w:val="0080049D"/>
    <w:rsid w:val="008004F8"/>
    <w:rsid w:val="008004F9"/>
    <w:rsid w:val="008005A9"/>
    <w:rsid w:val="00800628"/>
    <w:rsid w:val="00800653"/>
    <w:rsid w:val="00800733"/>
    <w:rsid w:val="0080073D"/>
    <w:rsid w:val="008007B3"/>
    <w:rsid w:val="0080091C"/>
    <w:rsid w:val="0080099A"/>
    <w:rsid w:val="008009B9"/>
    <w:rsid w:val="008009C3"/>
    <w:rsid w:val="00800A8C"/>
    <w:rsid w:val="00800BA1"/>
    <w:rsid w:val="00800BBC"/>
    <w:rsid w:val="00800C8A"/>
    <w:rsid w:val="00800CAC"/>
    <w:rsid w:val="00800DEA"/>
    <w:rsid w:val="00800EBC"/>
    <w:rsid w:val="00800EC0"/>
    <w:rsid w:val="0080105A"/>
    <w:rsid w:val="00801203"/>
    <w:rsid w:val="008012D9"/>
    <w:rsid w:val="0080134B"/>
    <w:rsid w:val="0080140F"/>
    <w:rsid w:val="0080145D"/>
    <w:rsid w:val="008014EB"/>
    <w:rsid w:val="008015E9"/>
    <w:rsid w:val="0080160C"/>
    <w:rsid w:val="008017F2"/>
    <w:rsid w:val="008018E7"/>
    <w:rsid w:val="008018ED"/>
    <w:rsid w:val="00801A55"/>
    <w:rsid w:val="00801AF0"/>
    <w:rsid w:val="00801BDF"/>
    <w:rsid w:val="00801C36"/>
    <w:rsid w:val="00801D37"/>
    <w:rsid w:val="00801DFA"/>
    <w:rsid w:val="00801E68"/>
    <w:rsid w:val="0080202E"/>
    <w:rsid w:val="008021CB"/>
    <w:rsid w:val="008021DC"/>
    <w:rsid w:val="00802234"/>
    <w:rsid w:val="008023B8"/>
    <w:rsid w:val="008023EC"/>
    <w:rsid w:val="008025E3"/>
    <w:rsid w:val="0080261E"/>
    <w:rsid w:val="008027EB"/>
    <w:rsid w:val="0080292F"/>
    <w:rsid w:val="008029D7"/>
    <w:rsid w:val="008029E4"/>
    <w:rsid w:val="00802BB9"/>
    <w:rsid w:val="00802BBA"/>
    <w:rsid w:val="00802D26"/>
    <w:rsid w:val="00802DF3"/>
    <w:rsid w:val="00802E6E"/>
    <w:rsid w:val="00802F27"/>
    <w:rsid w:val="00802F2A"/>
    <w:rsid w:val="00802FD0"/>
    <w:rsid w:val="008030B2"/>
    <w:rsid w:val="008030C1"/>
    <w:rsid w:val="00803241"/>
    <w:rsid w:val="00803341"/>
    <w:rsid w:val="0080347A"/>
    <w:rsid w:val="00803618"/>
    <w:rsid w:val="00803696"/>
    <w:rsid w:val="008036AF"/>
    <w:rsid w:val="008036C0"/>
    <w:rsid w:val="008037C7"/>
    <w:rsid w:val="008038A4"/>
    <w:rsid w:val="008038EC"/>
    <w:rsid w:val="00803A1E"/>
    <w:rsid w:val="00803A75"/>
    <w:rsid w:val="00803A76"/>
    <w:rsid w:val="00803AE6"/>
    <w:rsid w:val="00803BBF"/>
    <w:rsid w:val="00803FF3"/>
    <w:rsid w:val="00804005"/>
    <w:rsid w:val="00804236"/>
    <w:rsid w:val="008042BB"/>
    <w:rsid w:val="0080432F"/>
    <w:rsid w:val="00804601"/>
    <w:rsid w:val="008047E3"/>
    <w:rsid w:val="00804876"/>
    <w:rsid w:val="00804885"/>
    <w:rsid w:val="00804890"/>
    <w:rsid w:val="008048B6"/>
    <w:rsid w:val="008048E7"/>
    <w:rsid w:val="008048FA"/>
    <w:rsid w:val="00804B16"/>
    <w:rsid w:val="00804BA6"/>
    <w:rsid w:val="00804C98"/>
    <w:rsid w:val="00804F05"/>
    <w:rsid w:val="008051EF"/>
    <w:rsid w:val="008052B9"/>
    <w:rsid w:val="008052F1"/>
    <w:rsid w:val="008052FA"/>
    <w:rsid w:val="0080535C"/>
    <w:rsid w:val="0080537E"/>
    <w:rsid w:val="00805547"/>
    <w:rsid w:val="0080557B"/>
    <w:rsid w:val="00805594"/>
    <w:rsid w:val="008055BC"/>
    <w:rsid w:val="0080563F"/>
    <w:rsid w:val="00805891"/>
    <w:rsid w:val="0080591D"/>
    <w:rsid w:val="0080594B"/>
    <w:rsid w:val="008059DB"/>
    <w:rsid w:val="00805A0D"/>
    <w:rsid w:val="00805A88"/>
    <w:rsid w:val="00805C3F"/>
    <w:rsid w:val="00805E0B"/>
    <w:rsid w:val="00805E31"/>
    <w:rsid w:val="00805EB4"/>
    <w:rsid w:val="00805EBD"/>
    <w:rsid w:val="00805F22"/>
    <w:rsid w:val="00805F84"/>
    <w:rsid w:val="008061EB"/>
    <w:rsid w:val="00806293"/>
    <w:rsid w:val="008062A3"/>
    <w:rsid w:val="0080638F"/>
    <w:rsid w:val="008063C2"/>
    <w:rsid w:val="00806431"/>
    <w:rsid w:val="0080647E"/>
    <w:rsid w:val="0080649A"/>
    <w:rsid w:val="008064FC"/>
    <w:rsid w:val="00806540"/>
    <w:rsid w:val="008065EA"/>
    <w:rsid w:val="00806728"/>
    <w:rsid w:val="00806768"/>
    <w:rsid w:val="00806918"/>
    <w:rsid w:val="0080694C"/>
    <w:rsid w:val="00806954"/>
    <w:rsid w:val="008069CE"/>
    <w:rsid w:val="008069D4"/>
    <w:rsid w:val="008069DD"/>
    <w:rsid w:val="00806AB5"/>
    <w:rsid w:val="00806B82"/>
    <w:rsid w:val="00806BDF"/>
    <w:rsid w:val="00806D07"/>
    <w:rsid w:val="00806F24"/>
    <w:rsid w:val="0080715C"/>
    <w:rsid w:val="0080739D"/>
    <w:rsid w:val="00807669"/>
    <w:rsid w:val="008078DF"/>
    <w:rsid w:val="0080796B"/>
    <w:rsid w:val="0080797B"/>
    <w:rsid w:val="00807A09"/>
    <w:rsid w:val="00807A46"/>
    <w:rsid w:val="00807CB7"/>
    <w:rsid w:val="00807D93"/>
    <w:rsid w:val="00807E25"/>
    <w:rsid w:val="00807F8C"/>
    <w:rsid w:val="00810161"/>
    <w:rsid w:val="008101A1"/>
    <w:rsid w:val="00810236"/>
    <w:rsid w:val="0081028F"/>
    <w:rsid w:val="008104D2"/>
    <w:rsid w:val="008104D6"/>
    <w:rsid w:val="0081057A"/>
    <w:rsid w:val="00810677"/>
    <w:rsid w:val="0081075C"/>
    <w:rsid w:val="00810795"/>
    <w:rsid w:val="008107BB"/>
    <w:rsid w:val="0081091D"/>
    <w:rsid w:val="0081092C"/>
    <w:rsid w:val="008109D7"/>
    <w:rsid w:val="00810AB4"/>
    <w:rsid w:val="00810C77"/>
    <w:rsid w:val="00810D32"/>
    <w:rsid w:val="00810D58"/>
    <w:rsid w:val="00810DCC"/>
    <w:rsid w:val="00810F11"/>
    <w:rsid w:val="00810F1A"/>
    <w:rsid w:val="00810FB3"/>
    <w:rsid w:val="008110BF"/>
    <w:rsid w:val="008110DF"/>
    <w:rsid w:val="008112A8"/>
    <w:rsid w:val="00811327"/>
    <w:rsid w:val="00811340"/>
    <w:rsid w:val="008113AB"/>
    <w:rsid w:val="008113F6"/>
    <w:rsid w:val="00811437"/>
    <w:rsid w:val="008114A8"/>
    <w:rsid w:val="008115A5"/>
    <w:rsid w:val="008115E4"/>
    <w:rsid w:val="00811675"/>
    <w:rsid w:val="00811676"/>
    <w:rsid w:val="00811706"/>
    <w:rsid w:val="0081186A"/>
    <w:rsid w:val="008118F1"/>
    <w:rsid w:val="008119A6"/>
    <w:rsid w:val="00811A9C"/>
    <w:rsid w:val="00811AAB"/>
    <w:rsid w:val="00811AEC"/>
    <w:rsid w:val="00811B06"/>
    <w:rsid w:val="00811D6E"/>
    <w:rsid w:val="00811D8F"/>
    <w:rsid w:val="008120A0"/>
    <w:rsid w:val="0081226C"/>
    <w:rsid w:val="008122ED"/>
    <w:rsid w:val="00812329"/>
    <w:rsid w:val="00812835"/>
    <w:rsid w:val="00812AA1"/>
    <w:rsid w:val="00812AED"/>
    <w:rsid w:val="00812C7D"/>
    <w:rsid w:val="00812CA7"/>
    <w:rsid w:val="00812E1C"/>
    <w:rsid w:val="00812ED0"/>
    <w:rsid w:val="0081312D"/>
    <w:rsid w:val="00813182"/>
    <w:rsid w:val="00813297"/>
    <w:rsid w:val="00813382"/>
    <w:rsid w:val="0081357B"/>
    <w:rsid w:val="00813712"/>
    <w:rsid w:val="00813774"/>
    <w:rsid w:val="0081385A"/>
    <w:rsid w:val="00813880"/>
    <w:rsid w:val="008139A7"/>
    <w:rsid w:val="00813AE8"/>
    <w:rsid w:val="00813C47"/>
    <w:rsid w:val="00813D04"/>
    <w:rsid w:val="00813D0B"/>
    <w:rsid w:val="00813D1A"/>
    <w:rsid w:val="00813D57"/>
    <w:rsid w:val="00813DDD"/>
    <w:rsid w:val="00813F0C"/>
    <w:rsid w:val="00813F1A"/>
    <w:rsid w:val="008140F4"/>
    <w:rsid w:val="0081412A"/>
    <w:rsid w:val="0081424A"/>
    <w:rsid w:val="0081424C"/>
    <w:rsid w:val="00814307"/>
    <w:rsid w:val="008143DE"/>
    <w:rsid w:val="00814419"/>
    <w:rsid w:val="00814462"/>
    <w:rsid w:val="008147A3"/>
    <w:rsid w:val="00814887"/>
    <w:rsid w:val="008148A3"/>
    <w:rsid w:val="0081492D"/>
    <w:rsid w:val="00814979"/>
    <w:rsid w:val="00814A03"/>
    <w:rsid w:val="00814A83"/>
    <w:rsid w:val="00814D65"/>
    <w:rsid w:val="00814DAE"/>
    <w:rsid w:val="00814E21"/>
    <w:rsid w:val="00814E2A"/>
    <w:rsid w:val="00814EAA"/>
    <w:rsid w:val="00814ED4"/>
    <w:rsid w:val="00814F0B"/>
    <w:rsid w:val="00814FDF"/>
    <w:rsid w:val="00814FF4"/>
    <w:rsid w:val="00815004"/>
    <w:rsid w:val="0081518C"/>
    <w:rsid w:val="00815206"/>
    <w:rsid w:val="00815329"/>
    <w:rsid w:val="00815334"/>
    <w:rsid w:val="0081536F"/>
    <w:rsid w:val="0081550E"/>
    <w:rsid w:val="008155BF"/>
    <w:rsid w:val="008155E9"/>
    <w:rsid w:val="0081575E"/>
    <w:rsid w:val="008157FB"/>
    <w:rsid w:val="00815847"/>
    <w:rsid w:val="00815849"/>
    <w:rsid w:val="008158A5"/>
    <w:rsid w:val="0081595D"/>
    <w:rsid w:val="00815AEE"/>
    <w:rsid w:val="00815C13"/>
    <w:rsid w:val="00815C45"/>
    <w:rsid w:val="00815CA4"/>
    <w:rsid w:val="00815DA2"/>
    <w:rsid w:val="00815E12"/>
    <w:rsid w:val="00815E20"/>
    <w:rsid w:val="00815FC8"/>
    <w:rsid w:val="008160B2"/>
    <w:rsid w:val="008160DA"/>
    <w:rsid w:val="00816154"/>
    <w:rsid w:val="008162F2"/>
    <w:rsid w:val="0081658D"/>
    <w:rsid w:val="0081669A"/>
    <w:rsid w:val="008167C8"/>
    <w:rsid w:val="00816925"/>
    <w:rsid w:val="00816A80"/>
    <w:rsid w:val="00816E0E"/>
    <w:rsid w:val="00816EDB"/>
    <w:rsid w:val="00816F67"/>
    <w:rsid w:val="00816FC1"/>
    <w:rsid w:val="0081701F"/>
    <w:rsid w:val="00817131"/>
    <w:rsid w:val="00817132"/>
    <w:rsid w:val="00817158"/>
    <w:rsid w:val="0081749A"/>
    <w:rsid w:val="008174BA"/>
    <w:rsid w:val="00817502"/>
    <w:rsid w:val="0081750C"/>
    <w:rsid w:val="00817530"/>
    <w:rsid w:val="0081763E"/>
    <w:rsid w:val="0081765F"/>
    <w:rsid w:val="0081771B"/>
    <w:rsid w:val="00817851"/>
    <w:rsid w:val="00817C4D"/>
    <w:rsid w:val="00817C62"/>
    <w:rsid w:val="00817DE4"/>
    <w:rsid w:val="00817EF3"/>
    <w:rsid w:val="00817FD5"/>
    <w:rsid w:val="00820084"/>
    <w:rsid w:val="00820135"/>
    <w:rsid w:val="00820189"/>
    <w:rsid w:val="008201CD"/>
    <w:rsid w:val="008201E6"/>
    <w:rsid w:val="00820201"/>
    <w:rsid w:val="008203AB"/>
    <w:rsid w:val="00820411"/>
    <w:rsid w:val="008206A3"/>
    <w:rsid w:val="0082082E"/>
    <w:rsid w:val="00820A6F"/>
    <w:rsid w:val="00820ABD"/>
    <w:rsid w:val="00820B96"/>
    <w:rsid w:val="00820DEB"/>
    <w:rsid w:val="00820E21"/>
    <w:rsid w:val="00820E48"/>
    <w:rsid w:val="00820E9A"/>
    <w:rsid w:val="00820EC8"/>
    <w:rsid w:val="00821019"/>
    <w:rsid w:val="0082125F"/>
    <w:rsid w:val="0082143A"/>
    <w:rsid w:val="008216A5"/>
    <w:rsid w:val="0082177D"/>
    <w:rsid w:val="0082190F"/>
    <w:rsid w:val="00821987"/>
    <w:rsid w:val="00821AC3"/>
    <w:rsid w:val="00821B1E"/>
    <w:rsid w:val="00821BAC"/>
    <w:rsid w:val="00821C0F"/>
    <w:rsid w:val="00821CBD"/>
    <w:rsid w:val="00821D4D"/>
    <w:rsid w:val="00821DD1"/>
    <w:rsid w:val="00821E39"/>
    <w:rsid w:val="00821E48"/>
    <w:rsid w:val="00821E5A"/>
    <w:rsid w:val="00821E5D"/>
    <w:rsid w:val="00821E5F"/>
    <w:rsid w:val="00821ED3"/>
    <w:rsid w:val="00822037"/>
    <w:rsid w:val="00822599"/>
    <w:rsid w:val="008225BD"/>
    <w:rsid w:val="00822703"/>
    <w:rsid w:val="008227CD"/>
    <w:rsid w:val="00822964"/>
    <w:rsid w:val="008229CB"/>
    <w:rsid w:val="008229D6"/>
    <w:rsid w:val="00822A26"/>
    <w:rsid w:val="00822A7C"/>
    <w:rsid w:val="00822B33"/>
    <w:rsid w:val="00822B44"/>
    <w:rsid w:val="00822C4A"/>
    <w:rsid w:val="00822C50"/>
    <w:rsid w:val="00822CCA"/>
    <w:rsid w:val="00822D0B"/>
    <w:rsid w:val="00822E64"/>
    <w:rsid w:val="00822E6D"/>
    <w:rsid w:val="00822E90"/>
    <w:rsid w:val="00822ECD"/>
    <w:rsid w:val="00822EEE"/>
    <w:rsid w:val="008230B6"/>
    <w:rsid w:val="008231B3"/>
    <w:rsid w:val="008231E4"/>
    <w:rsid w:val="008232A9"/>
    <w:rsid w:val="00823429"/>
    <w:rsid w:val="0082351D"/>
    <w:rsid w:val="008237CA"/>
    <w:rsid w:val="0082384F"/>
    <w:rsid w:val="00823885"/>
    <w:rsid w:val="008239F8"/>
    <w:rsid w:val="00823A68"/>
    <w:rsid w:val="00823A86"/>
    <w:rsid w:val="00823B4E"/>
    <w:rsid w:val="00823E39"/>
    <w:rsid w:val="00823FE1"/>
    <w:rsid w:val="00824063"/>
    <w:rsid w:val="008240BF"/>
    <w:rsid w:val="008240C8"/>
    <w:rsid w:val="008241B5"/>
    <w:rsid w:val="008243D4"/>
    <w:rsid w:val="0082465D"/>
    <w:rsid w:val="008247EC"/>
    <w:rsid w:val="00824808"/>
    <w:rsid w:val="00824843"/>
    <w:rsid w:val="00824860"/>
    <w:rsid w:val="0082488C"/>
    <w:rsid w:val="00824929"/>
    <w:rsid w:val="00824934"/>
    <w:rsid w:val="00824ADD"/>
    <w:rsid w:val="00824B40"/>
    <w:rsid w:val="00824C31"/>
    <w:rsid w:val="00824D61"/>
    <w:rsid w:val="00824F37"/>
    <w:rsid w:val="00824FE2"/>
    <w:rsid w:val="00825086"/>
    <w:rsid w:val="00825178"/>
    <w:rsid w:val="0082528E"/>
    <w:rsid w:val="008253B8"/>
    <w:rsid w:val="00825502"/>
    <w:rsid w:val="0082557E"/>
    <w:rsid w:val="008255D4"/>
    <w:rsid w:val="008256A0"/>
    <w:rsid w:val="008256EA"/>
    <w:rsid w:val="008256FF"/>
    <w:rsid w:val="008257C1"/>
    <w:rsid w:val="008257EE"/>
    <w:rsid w:val="0082588B"/>
    <w:rsid w:val="008258D4"/>
    <w:rsid w:val="00825A9C"/>
    <w:rsid w:val="00825AB0"/>
    <w:rsid w:val="00825BD4"/>
    <w:rsid w:val="00825CE2"/>
    <w:rsid w:val="00825CEA"/>
    <w:rsid w:val="00825E44"/>
    <w:rsid w:val="00825EFD"/>
    <w:rsid w:val="00825F3C"/>
    <w:rsid w:val="00825FAC"/>
    <w:rsid w:val="00826029"/>
    <w:rsid w:val="0082604F"/>
    <w:rsid w:val="00826115"/>
    <w:rsid w:val="00826164"/>
    <w:rsid w:val="008261AA"/>
    <w:rsid w:val="0082627C"/>
    <w:rsid w:val="00826477"/>
    <w:rsid w:val="008264A8"/>
    <w:rsid w:val="0082668C"/>
    <w:rsid w:val="008266B7"/>
    <w:rsid w:val="0082673A"/>
    <w:rsid w:val="008267DC"/>
    <w:rsid w:val="0082688B"/>
    <w:rsid w:val="008268DC"/>
    <w:rsid w:val="008269B4"/>
    <w:rsid w:val="00826A14"/>
    <w:rsid w:val="00826A75"/>
    <w:rsid w:val="00826B30"/>
    <w:rsid w:val="00826B7E"/>
    <w:rsid w:val="00826BC6"/>
    <w:rsid w:val="00826D75"/>
    <w:rsid w:val="00826DCB"/>
    <w:rsid w:val="008270D0"/>
    <w:rsid w:val="0082717A"/>
    <w:rsid w:val="008271A6"/>
    <w:rsid w:val="008271E2"/>
    <w:rsid w:val="008272A0"/>
    <w:rsid w:val="008272EB"/>
    <w:rsid w:val="00827306"/>
    <w:rsid w:val="008273F4"/>
    <w:rsid w:val="008273F8"/>
    <w:rsid w:val="0082755D"/>
    <w:rsid w:val="008276D6"/>
    <w:rsid w:val="0082771D"/>
    <w:rsid w:val="00827762"/>
    <w:rsid w:val="0082782A"/>
    <w:rsid w:val="0082784C"/>
    <w:rsid w:val="00827AF9"/>
    <w:rsid w:val="00827B2F"/>
    <w:rsid w:val="00827B9C"/>
    <w:rsid w:val="00827D6D"/>
    <w:rsid w:val="00827EA0"/>
    <w:rsid w:val="00827F9B"/>
    <w:rsid w:val="00830010"/>
    <w:rsid w:val="00830311"/>
    <w:rsid w:val="00830643"/>
    <w:rsid w:val="0083071F"/>
    <w:rsid w:val="00830772"/>
    <w:rsid w:val="00830814"/>
    <w:rsid w:val="00830A16"/>
    <w:rsid w:val="00830A47"/>
    <w:rsid w:val="00830AA8"/>
    <w:rsid w:val="00830ACD"/>
    <w:rsid w:val="00830B8B"/>
    <w:rsid w:val="00830C78"/>
    <w:rsid w:val="00830CA9"/>
    <w:rsid w:val="00830D62"/>
    <w:rsid w:val="00830DAF"/>
    <w:rsid w:val="00830DBD"/>
    <w:rsid w:val="00830F1B"/>
    <w:rsid w:val="00830FEE"/>
    <w:rsid w:val="00831077"/>
    <w:rsid w:val="00831127"/>
    <w:rsid w:val="00831155"/>
    <w:rsid w:val="0083115A"/>
    <w:rsid w:val="00831250"/>
    <w:rsid w:val="00831315"/>
    <w:rsid w:val="0083146F"/>
    <w:rsid w:val="008314C1"/>
    <w:rsid w:val="00831535"/>
    <w:rsid w:val="00831542"/>
    <w:rsid w:val="008315D9"/>
    <w:rsid w:val="0083161E"/>
    <w:rsid w:val="0083172E"/>
    <w:rsid w:val="008318BE"/>
    <w:rsid w:val="00831988"/>
    <w:rsid w:val="00831A7C"/>
    <w:rsid w:val="00831C23"/>
    <w:rsid w:val="00831C6C"/>
    <w:rsid w:val="00831CD7"/>
    <w:rsid w:val="00831CFD"/>
    <w:rsid w:val="00831DAA"/>
    <w:rsid w:val="00831E18"/>
    <w:rsid w:val="00831F2D"/>
    <w:rsid w:val="00831F2F"/>
    <w:rsid w:val="00831F6C"/>
    <w:rsid w:val="00831F93"/>
    <w:rsid w:val="00832062"/>
    <w:rsid w:val="0083206F"/>
    <w:rsid w:val="00832076"/>
    <w:rsid w:val="00832182"/>
    <w:rsid w:val="00832246"/>
    <w:rsid w:val="00832268"/>
    <w:rsid w:val="00832377"/>
    <w:rsid w:val="008324B4"/>
    <w:rsid w:val="00832586"/>
    <w:rsid w:val="008325A6"/>
    <w:rsid w:val="00832682"/>
    <w:rsid w:val="0083276E"/>
    <w:rsid w:val="00832830"/>
    <w:rsid w:val="0083284A"/>
    <w:rsid w:val="008328AA"/>
    <w:rsid w:val="00832B3C"/>
    <w:rsid w:val="00832F5C"/>
    <w:rsid w:val="00832F6A"/>
    <w:rsid w:val="00832FA2"/>
    <w:rsid w:val="00832FA6"/>
    <w:rsid w:val="00832FA7"/>
    <w:rsid w:val="00833069"/>
    <w:rsid w:val="008330BE"/>
    <w:rsid w:val="00833114"/>
    <w:rsid w:val="008332DD"/>
    <w:rsid w:val="00833464"/>
    <w:rsid w:val="008335EC"/>
    <w:rsid w:val="00833613"/>
    <w:rsid w:val="00833718"/>
    <w:rsid w:val="008337A7"/>
    <w:rsid w:val="008338E9"/>
    <w:rsid w:val="00833C12"/>
    <w:rsid w:val="00833D68"/>
    <w:rsid w:val="00833E00"/>
    <w:rsid w:val="00833E25"/>
    <w:rsid w:val="00833EDC"/>
    <w:rsid w:val="00833F2D"/>
    <w:rsid w:val="00833F7C"/>
    <w:rsid w:val="00834006"/>
    <w:rsid w:val="0083401E"/>
    <w:rsid w:val="00834141"/>
    <w:rsid w:val="008342B9"/>
    <w:rsid w:val="008342E6"/>
    <w:rsid w:val="0083442A"/>
    <w:rsid w:val="00834446"/>
    <w:rsid w:val="00834557"/>
    <w:rsid w:val="00834619"/>
    <w:rsid w:val="00834645"/>
    <w:rsid w:val="0083465C"/>
    <w:rsid w:val="0083479B"/>
    <w:rsid w:val="00834812"/>
    <w:rsid w:val="00834864"/>
    <w:rsid w:val="008348BE"/>
    <w:rsid w:val="008348C8"/>
    <w:rsid w:val="0083490C"/>
    <w:rsid w:val="00834983"/>
    <w:rsid w:val="008349A6"/>
    <w:rsid w:val="008349E9"/>
    <w:rsid w:val="00834A7E"/>
    <w:rsid w:val="00834A9B"/>
    <w:rsid w:val="00834AFD"/>
    <w:rsid w:val="00834B49"/>
    <w:rsid w:val="00834B4C"/>
    <w:rsid w:val="00834C71"/>
    <w:rsid w:val="00834D7C"/>
    <w:rsid w:val="00834D85"/>
    <w:rsid w:val="00834DA5"/>
    <w:rsid w:val="00834E3A"/>
    <w:rsid w:val="00834F74"/>
    <w:rsid w:val="00834FB5"/>
    <w:rsid w:val="00834FCF"/>
    <w:rsid w:val="00834FD3"/>
    <w:rsid w:val="008351A7"/>
    <w:rsid w:val="00835348"/>
    <w:rsid w:val="00835458"/>
    <w:rsid w:val="0083545B"/>
    <w:rsid w:val="00835462"/>
    <w:rsid w:val="0083569A"/>
    <w:rsid w:val="0083574E"/>
    <w:rsid w:val="00835792"/>
    <w:rsid w:val="008357DF"/>
    <w:rsid w:val="0083592B"/>
    <w:rsid w:val="00835961"/>
    <w:rsid w:val="008359CE"/>
    <w:rsid w:val="008359EF"/>
    <w:rsid w:val="00835A61"/>
    <w:rsid w:val="00835A72"/>
    <w:rsid w:val="00835ABC"/>
    <w:rsid w:val="00835B25"/>
    <w:rsid w:val="00835D21"/>
    <w:rsid w:val="00835DC5"/>
    <w:rsid w:val="00835E06"/>
    <w:rsid w:val="00835E23"/>
    <w:rsid w:val="00835FC4"/>
    <w:rsid w:val="0083606A"/>
    <w:rsid w:val="00836078"/>
    <w:rsid w:val="008360C1"/>
    <w:rsid w:val="008361ED"/>
    <w:rsid w:val="00836269"/>
    <w:rsid w:val="00836294"/>
    <w:rsid w:val="00836315"/>
    <w:rsid w:val="00836513"/>
    <w:rsid w:val="0083686C"/>
    <w:rsid w:val="00836877"/>
    <w:rsid w:val="008368F1"/>
    <w:rsid w:val="00836939"/>
    <w:rsid w:val="00836969"/>
    <w:rsid w:val="00836987"/>
    <w:rsid w:val="008369A5"/>
    <w:rsid w:val="008369AF"/>
    <w:rsid w:val="00836A6F"/>
    <w:rsid w:val="00836D1B"/>
    <w:rsid w:val="00836DD4"/>
    <w:rsid w:val="00836FAC"/>
    <w:rsid w:val="00836FF5"/>
    <w:rsid w:val="00837014"/>
    <w:rsid w:val="00837081"/>
    <w:rsid w:val="00837201"/>
    <w:rsid w:val="008372BF"/>
    <w:rsid w:val="00837395"/>
    <w:rsid w:val="008373B8"/>
    <w:rsid w:val="00837553"/>
    <w:rsid w:val="0083772F"/>
    <w:rsid w:val="00837787"/>
    <w:rsid w:val="00837850"/>
    <w:rsid w:val="0083789B"/>
    <w:rsid w:val="008378C0"/>
    <w:rsid w:val="00837ABF"/>
    <w:rsid w:val="00837C16"/>
    <w:rsid w:val="00837C3D"/>
    <w:rsid w:val="00837CA3"/>
    <w:rsid w:val="00837CF2"/>
    <w:rsid w:val="00837D0C"/>
    <w:rsid w:val="00837D81"/>
    <w:rsid w:val="00837E83"/>
    <w:rsid w:val="00837F98"/>
    <w:rsid w:val="0084001D"/>
    <w:rsid w:val="00840240"/>
    <w:rsid w:val="00840267"/>
    <w:rsid w:val="0084028F"/>
    <w:rsid w:val="00840364"/>
    <w:rsid w:val="0084040E"/>
    <w:rsid w:val="008404F8"/>
    <w:rsid w:val="008405AE"/>
    <w:rsid w:val="008406E0"/>
    <w:rsid w:val="0084074B"/>
    <w:rsid w:val="00840765"/>
    <w:rsid w:val="00840848"/>
    <w:rsid w:val="008408BC"/>
    <w:rsid w:val="008408F6"/>
    <w:rsid w:val="00840A9D"/>
    <w:rsid w:val="00840AF7"/>
    <w:rsid w:val="00840E31"/>
    <w:rsid w:val="00840E9E"/>
    <w:rsid w:val="00840FE2"/>
    <w:rsid w:val="00841155"/>
    <w:rsid w:val="0084131B"/>
    <w:rsid w:val="0084134A"/>
    <w:rsid w:val="0084139F"/>
    <w:rsid w:val="008414E9"/>
    <w:rsid w:val="008415CC"/>
    <w:rsid w:val="0084161F"/>
    <w:rsid w:val="0084166D"/>
    <w:rsid w:val="00841692"/>
    <w:rsid w:val="00841799"/>
    <w:rsid w:val="00841828"/>
    <w:rsid w:val="00841907"/>
    <w:rsid w:val="00841A3F"/>
    <w:rsid w:val="00841A7F"/>
    <w:rsid w:val="00841AF0"/>
    <w:rsid w:val="00841B40"/>
    <w:rsid w:val="00841B6F"/>
    <w:rsid w:val="00841BBA"/>
    <w:rsid w:val="00841BC0"/>
    <w:rsid w:val="00841C95"/>
    <w:rsid w:val="00841E1D"/>
    <w:rsid w:val="00841E71"/>
    <w:rsid w:val="00842067"/>
    <w:rsid w:val="00842109"/>
    <w:rsid w:val="008421BA"/>
    <w:rsid w:val="0084221A"/>
    <w:rsid w:val="00842269"/>
    <w:rsid w:val="0084230D"/>
    <w:rsid w:val="00842508"/>
    <w:rsid w:val="00842699"/>
    <w:rsid w:val="008427F8"/>
    <w:rsid w:val="008428E7"/>
    <w:rsid w:val="00842B05"/>
    <w:rsid w:val="00842B59"/>
    <w:rsid w:val="00842B7D"/>
    <w:rsid w:val="00842F06"/>
    <w:rsid w:val="00843234"/>
    <w:rsid w:val="0084326E"/>
    <w:rsid w:val="00843347"/>
    <w:rsid w:val="0084334B"/>
    <w:rsid w:val="008434B0"/>
    <w:rsid w:val="0084355F"/>
    <w:rsid w:val="00843597"/>
    <w:rsid w:val="008435E4"/>
    <w:rsid w:val="00843637"/>
    <w:rsid w:val="008436E2"/>
    <w:rsid w:val="008437EA"/>
    <w:rsid w:val="00843948"/>
    <w:rsid w:val="0084396C"/>
    <w:rsid w:val="008439EE"/>
    <w:rsid w:val="008439F1"/>
    <w:rsid w:val="00843E6A"/>
    <w:rsid w:val="00843F08"/>
    <w:rsid w:val="00844051"/>
    <w:rsid w:val="00844099"/>
    <w:rsid w:val="00844142"/>
    <w:rsid w:val="008441AA"/>
    <w:rsid w:val="008441E9"/>
    <w:rsid w:val="0084423C"/>
    <w:rsid w:val="00844250"/>
    <w:rsid w:val="008442A0"/>
    <w:rsid w:val="008442DF"/>
    <w:rsid w:val="0084435B"/>
    <w:rsid w:val="00844649"/>
    <w:rsid w:val="0084468A"/>
    <w:rsid w:val="0084473A"/>
    <w:rsid w:val="00844873"/>
    <w:rsid w:val="0084499E"/>
    <w:rsid w:val="008449A4"/>
    <w:rsid w:val="008449F4"/>
    <w:rsid w:val="008449FE"/>
    <w:rsid w:val="00844A8C"/>
    <w:rsid w:val="00844C14"/>
    <w:rsid w:val="00844D6C"/>
    <w:rsid w:val="00844E30"/>
    <w:rsid w:val="00844EBB"/>
    <w:rsid w:val="00844F19"/>
    <w:rsid w:val="00844F46"/>
    <w:rsid w:val="00844F47"/>
    <w:rsid w:val="00844F61"/>
    <w:rsid w:val="00845051"/>
    <w:rsid w:val="00845124"/>
    <w:rsid w:val="00845161"/>
    <w:rsid w:val="0084517C"/>
    <w:rsid w:val="0084524C"/>
    <w:rsid w:val="008452D4"/>
    <w:rsid w:val="0084543B"/>
    <w:rsid w:val="00845603"/>
    <w:rsid w:val="00845854"/>
    <w:rsid w:val="00845A29"/>
    <w:rsid w:val="00845A7E"/>
    <w:rsid w:val="00845B24"/>
    <w:rsid w:val="00845D7B"/>
    <w:rsid w:val="00845E82"/>
    <w:rsid w:val="00845ED2"/>
    <w:rsid w:val="00845FBA"/>
    <w:rsid w:val="00846169"/>
    <w:rsid w:val="008463F1"/>
    <w:rsid w:val="008465C6"/>
    <w:rsid w:val="00846711"/>
    <w:rsid w:val="00846770"/>
    <w:rsid w:val="008467A0"/>
    <w:rsid w:val="00846865"/>
    <w:rsid w:val="008468D6"/>
    <w:rsid w:val="00846922"/>
    <w:rsid w:val="00846961"/>
    <w:rsid w:val="00846995"/>
    <w:rsid w:val="008469BE"/>
    <w:rsid w:val="008469EE"/>
    <w:rsid w:val="00846A4C"/>
    <w:rsid w:val="00846AFC"/>
    <w:rsid w:val="00846D93"/>
    <w:rsid w:val="00846DC2"/>
    <w:rsid w:val="00846DDD"/>
    <w:rsid w:val="00846DEC"/>
    <w:rsid w:val="00846E90"/>
    <w:rsid w:val="00846F34"/>
    <w:rsid w:val="00846FAF"/>
    <w:rsid w:val="008470A2"/>
    <w:rsid w:val="008470C2"/>
    <w:rsid w:val="008470C4"/>
    <w:rsid w:val="008470EC"/>
    <w:rsid w:val="008472C1"/>
    <w:rsid w:val="0084744B"/>
    <w:rsid w:val="00847465"/>
    <w:rsid w:val="0084751F"/>
    <w:rsid w:val="00847688"/>
    <w:rsid w:val="00847689"/>
    <w:rsid w:val="0084774D"/>
    <w:rsid w:val="00847810"/>
    <w:rsid w:val="0084787F"/>
    <w:rsid w:val="0084789D"/>
    <w:rsid w:val="008478D9"/>
    <w:rsid w:val="0084790C"/>
    <w:rsid w:val="008479FF"/>
    <w:rsid w:val="00847A3F"/>
    <w:rsid w:val="00847B39"/>
    <w:rsid w:val="00847BC2"/>
    <w:rsid w:val="00847BEB"/>
    <w:rsid w:val="00847CB2"/>
    <w:rsid w:val="00847CCA"/>
    <w:rsid w:val="00847D7E"/>
    <w:rsid w:val="00847DB0"/>
    <w:rsid w:val="00847DCE"/>
    <w:rsid w:val="00847DF5"/>
    <w:rsid w:val="00847F03"/>
    <w:rsid w:val="00847F8A"/>
    <w:rsid w:val="00847FE0"/>
    <w:rsid w:val="00850199"/>
    <w:rsid w:val="008501C3"/>
    <w:rsid w:val="00850342"/>
    <w:rsid w:val="0085041B"/>
    <w:rsid w:val="0085046A"/>
    <w:rsid w:val="00850572"/>
    <w:rsid w:val="00850875"/>
    <w:rsid w:val="008508D6"/>
    <w:rsid w:val="0085097D"/>
    <w:rsid w:val="008509EE"/>
    <w:rsid w:val="00850AF4"/>
    <w:rsid w:val="00850B23"/>
    <w:rsid w:val="00850BAE"/>
    <w:rsid w:val="00850F06"/>
    <w:rsid w:val="00850F3E"/>
    <w:rsid w:val="00850FA1"/>
    <w:rsid w:val="008510BB"/>
    <w:rsid w:val="00851497"/>
    <w:rsid w:val="008516EC"/>
    <w:rsid w:val="008516ED"/>
    <w:rsid w:val="0085175F"/>
    <w:rsid w:val="0085179F"/>
    <w:rsid w:val="008518C5"/>
    <w:rsid w:val="0085191C"/>
    <w:rsid w:val="008519AD"/>
    <w:rsid w:val="00851A1C"/>
    <w:rsid w:val="00851BA6"/>
    <w:rsid w:val="00851BC9"/>
    <w:rsid w:val="00851BEE"/>
    <w:rsid w:val="00851C0E"/>
    <w:rsid w:val="00851C13"/>
    <w:rsid w:val="00851D39"/>
    <w:rsid w:val="00851D7C"/>
    <w:rsid w:val="00851DAA"/>
    <w:rsid w:val="00851E00"/>
    <w:rsid w:val="00851E0C"/>
    <w:rsid w:val="00851EAB"/>
    <w:rsid w:val="00851FA7"/>
    <w:rsid w:val="00851FBB"/>
    <w:rsid w:val="00852309"/>
    <w:rsid w:val="00852460"/>
    <w:rsid w:val="00852472"/>
    <w:rsid w:val="00852518"/>
    <w:rsid w:val="008526C6"/>
    <w:rsid w:val="008529F7"/>
    <w:rsid w:val="00852A54"/>
    <w:rsid w:val="00852CF8"/>
    <w:rsid w:val="008530F6"/>
    <w:rsid w:val="00853188"/>
    <w:rsid w:val="00853389"/>
    <w:rsid w:val="00853435"/>
    <w:rsid w:val="0085355A"/>
    <w:rsid w:val="008535E6"/>
    <w:rsid w:val="00853747"/>
    <w:rsid w:val="008537B4"/>
    <w:rsid w:val="00853852"/>
    <w:rsid w:val="00853A0B"/>
    <w:rsid w:val="00853AFD"/>
    <w:rsid w:val="00853B44"/>
    <w:rsid w:val="00853C3D"/>
    <w:rsid w:val="00853C52"/>
    <w:rsid w:val="00853DE8"/>
    <w:rsid w:val="00853DFC"/>
    <w:rsid w:val="00853FC7"/>
    <w:rsid w:val="00853FE0"/>
    <w:rsid w:val="00853FEA"/>
    <w:rsid w:val="00854060"/>
    <w:rsid w:val="0085412A"/>
    <w:rsid w:val="00854165"/>
    <w:rsid w:val="00854362"/>
    <w:rsid w:val="0085437E"/>
    <w:rsid w:val="008543D5"/>
    <w:rsid w:val="00854410"/>
    <w:rsid w:val="00854650"/>
    <w:rsid w:val="008547A0"/>
    <w:rsid w:val="00854830"/>
    <w:rsid w:val="008549A7"/>
    <w:rsid w:val="00854A39"/>
    <w:rsid w:val="00854A40"/>
    <w:rsid w:val="00854B1D"/>
    <w:rsid w:val="00854C18"/>
    <w:rsid w:val="00854C9F"/>
    <w:rsid w:val="00854D23"/>
    <w:rsid w:val="00854E42"/>
    <w:rsid w:val="00854F42"/>
    <w:rsid w:val="00854FA3"/>
    <w:rsid w:val="00854FF6"/>
    <w:rsid w:val="008550BA"/>
    <w:rsid w:val="008551A9"/>
    <w:rsid w:val="008551CF"/>
    <w:rsid w:val="00855378"/>
    <w:rsid w:val="00855426"/>
    <w:rsid w:val="00855437"/>
    <w:rsid w:val="008554CC"/>
    <w:rsid w:val="00855537"/>
    <w:rsid w:val="008555A5"/>
    <w:rsid w:val="008555B6"/>
    <w:rsid w:val="0085562E"/>
    <w:rsid w:val="008557FF"/>
    <w:rsid w:val="00855820"/>
    <w:rsid w:val="008558AB"/>
    <w:rsid w:val="00855A97"/>
    <w:rsid w:val="00855AAF"/>
    <w:rsid w:val="00855BBD"/>
    <w:rsid w:val="00855BE5"/>
    <w:rsid w:val="00855D9C"/>
    <w:rsid w:val="00855DDE"/>
    <w:rsid w:val="00856095"/>
    <w:rsid w:val="008560DF"/>
    <w:rsid w:val="00856272"/>
    <w:rsid w:val="008563A6"/>
    <w:rsid w:val="00856590"/>
    <w:rsid w:val="008565C8"/>
    <w:rsid w:val="008565DB"/>
    <w:rsid w:val="008567F4"/>
    <w:rsid w:val="00856848"/>
    <w:rsid w:val="00856955"/>
    <w:rsid w:val="00856970"/>
    <w:rsid w:val="00856A00"/>
    <w:rsid w:val="00856A1D"/>
    <w:rsid w:val="00856A2D"/>
    <w:rsid w:val="00856A87"/>
    <w:rsid w:val="00856B21"/>
    <w:rsid w:val="00856B60"/>
    <w:rsid w:val="00856B63"/>
    <w:rsid w:val="00856BA5"/>
    <w:rsid w:val="00856C34"/>
    <w:rsid w:val="00856C8A"/>
    <w:rsid w:val="00856C97"/>
    <w:rsid w:val="00856CCE"/>
    <w:rsid w:val="00856CF3"/>
    <w:rsid w:val="00856DB8"/>
    <w:rsid w:val="00856EE0"/>
    <w:rsid w:val="0085708E"/>
    <w:rsid w:val="00857136"/>
    <w:rsid w:val="00857236"/>
    <w:rsid w:val="008574C6"/>
    <w:rsid w:val="0085750C"/>
    <w:rsid w:val="0085769D"/>
    <w:rsid w:val="00857810"/>
    <w:rsid w:val="00857851"/>
    <w:rsid w:val="008578D2"/>
    <w:rsid w:val="008578EF"/>
    <w:rsid w:val="008579A8"/>
    <w:rsid w:val="008579DB"/>
    <w:rsid w:val="00857A0F"/>
    <w:rsid w:val="00857AA0"/>
    <w:rsid w:val="00857AF2"/>
    <w:rsid w:val="00857B11"/>
    <w:rsid w:val="00857B33"/>
    <w:rsid w:val="00857B7A"/>
    <w:rsid w:val="00857BD1"/>
    <w:rsid w:val="00857C97"/>
    <w:rsid w:val="00857CBF"/>
    <w:rsid w:val="00857D43"/>
    <w:rsid w:val="00857EF4"/>
    <w:rsid w:val="00857FCB"/>
    <w:rsid w:val="00860017"/>
    <w:rsid w:val="0086001B"/>
    <w:rsid w:val="0086014E"/>
    <w:rsid w:val="00860172"/>
    <w:rsid w:val="0086018F"/>
    <w:rsid w:val="00860209"/>
    <w:rsid w:val="00860211"/>
    <w:rsid w:val="00860232"/>
    <w:rsid w:val="00860354"/>
    <w:rsid w:val="008603DB"/>
    <w:rsid w:val="00860589"/>
    <w:rsid w:val="00860620"/>
    <w:rsid w:val="00860634"/>
    <w:rsid w:val="00860641"/>
    <w:rsid w:val="00860703"/>
    <w:rsid w:val="0086073C"/>
    <w:rsid w:val="00860790"/>
    <w:rsid w:val="0086079B"/>
    <w:rsid w:val="00860805"/>
    <w:rsid w:val="008608CE"/>
    <w:rsid w:val="00860977"/>
    <w:rsid w:val="008609E7"/>
    <w:rsid w:val="00860D93"/>
    <w:rsid w:val="00860E68"/>
    <w:rsid w:val="00860F65"/>
    <w:rsid w:val="00860FA9"/>
    <w:rsid w:val="00860FEF"/>
    <w:rsid w:val="008610E6"/>
    <w:rsid w:val="008611ED"/>
    <w:rsid w:val="0086123B"/>
    <w:rsid w:val="0086128E"/>
    <w:rsid w:val="008612DF"/>
    <w:rsid w:val="00861451"/>
    <w:rsid w:val="008614DE"/>
    <w:rsid w:val="008614FB"/>
    <w:rsid w:val="00861550"/>
    <w:rsid w:val="0086156F"/>
    <w:rsid w:val="0086158A"/>
    <w:rsid w:val="00861603"/>
    <w:rsid w:val="0086197F"/>
    <w:rsid w:val="00861A3F"/>
    <w:rsid w:val="00861A58"/>
    <w:rsid w:val="00861C1F"/>
    <w:rsid w:val="00861C48"/>
    <w:rsid w:val="00861C5D"/>
    <w:rsid w:val="00861C7B"/>
    <w:rsid w:val="00861E07"/>
    <w:rsid w:val="00861E9B"/>
    <w:rsid w:val="00861EAD"/>
    <w:rsid w:val="00861F15"/>
    <w:rsid w:val="008620C9"/>
    <w:rsid w:val="0086213A"/>
    <w:rsid w:val="0086224D"/>
    <w:rsid w:val="00862400"/>
    <w:rsid w:val="0086240C"/>
    <w:rsid w:val="0086241C"/>
    <w:rsid w:val="008624D2"/>
    <w:rsid w:val="008625AD"/>
    <w:rsid w:val="00862612"/>
    <w:rsid w:val="008626B8"/>
    <w:rsid w:val="008627FB"/>
    <w:rsid w:val="00862A58"/>
    <w:rsid w:val="00862A68"/>
    <w:rsid w:val="00862B7E"/>
    <w:rsid w:val="00862CCF"/>
    <w:rsid w:val="00862E2F"/>
    <w:rsid w:val="00862E4E"/>
    <w:rsid w:val="00862EFD"/>
    <w:rsid w:val="0086300C"/>
    <w:rsid w:val="0086302F"/>
    <w:rsid w:val="008630A0"/>
    <w:rsid w:val="00863189"/>
    <w:rsid w:val="008631FD"/>
    <w:rsid w:val="00863233"/>
    <w:rsid w:val="008632C8"/>
    <w:rsid w:val="008633AA"/>
    <w:rsid w:val="008635D0"/>
    <w:rsid w:val="008636AD"/>
    <w:rsid w:val="008636DC"/>
    <w:rsid w:val="0086382B"/>
    <w:rsid w:val="008639E1"/>
    <w:rsid w:val="00863AF7"/>
    <w:rsid w:val="00863AFB"/>
    <w:rsid w:val="00863AFC"/>
    <w:rsid w:val="00863C80"/>
    <w:rsid w:val="00863C83"/>
    <w:rsid w:val="00863F2A"/>
    <w:rsid w:val="00863F89"/>
    <w:rsid w:val="00863F9A"/>
    <w:rsid w:val="00864000"/>
    <w:rsid w:val="00864005"/>
    <w:rsid w:val="00864082"/>
    <w:rsid w:val="00864109"/>
    <w:rsid w:val="00864115"/>
    <w:rsid w:val="00864162"/>
    <w:rsid w:val="0086418A"/>
    <w:rsid w:val="008643C1"/>
    <w:rsid w:val="008646A5"/>
    <w:rsid w:val="0086482F"/>
    <w:rsid w:val="00864941"/>
    <w:rsid w:val="008649D3"/>
    <w:rsid w:val="008649D9"/>
    <w:rsid w:val="00864A0D"/>
    <w:rsid w:val="00864A70"/>
    <w:rsid w:val="00864BAD"/>
    <w:rsid w:val="00864BB2"/>
    <w:rsid w:val="00864BCA"/>
    <w:rsid w:val="00864BF8"/>
    <w:rsid w:val="00864CB7"/>
    <w:rsid w:val="00864D36"/>
    <w:rsid w:val="008650CC"/>
    <w:rsid w:val="008650E4"/>
    <w:rsid w:val="00865312"/>
    <w:rsid w:val="00865321"/>
    <w:rsid w:val="00865329"/>
    <w:rsid w:val="00865375"/>
    <w:rsid w:val="008653ED"/>
    <w:rsid w:val="00865490"/>
    <w:rsid w:val="008654C5"/>
    <w:rsid w:val="0086576F"/>
    <w:rsid w:val="008657D0"/>
    <w:rsid w:val="0086591E"/>
    <w:rsid w:val="008659D2"/>
    <w:rsid w:val="00865ADF"/>
    <w:rsid w:val="00865B8F"/>
    <w:rsid w:val="00865CB4"/>
    <w:rsid w:val="00865CEB"/>
    <w:rsid w:val="00865D9D"/>
    <w:rsid w:val="00865E14"/>
    <w:rsid w:val="0086615F"/>
    <w:rsid w:val="008661C9"/>
    <w:rsid w:val="008661F0"/>
    <w:rsid w:val="008663AC"/>
    <w:rsid w:val="008664B2"/>
    <w:rsid w:val="00866641"/>
    <w:rsid w:val="0086669B"/>
    <w:rsid w:val="008667B1"/>
    <w:rsid w:val="008669A5"/>
    <w:rsid w:val="00866B0D"/>
    <w:rsid w:val="00866B7F"/>
    <w:rsid w:val="00866B8C"/>
    <w:rsid w:val="00866BFE"/>
    <w:rsid w:val="00866D26"/>
    <w:rsid w:val="00866DF4"/>
    <w:rsid w:val="0086729D"/>
    <w:rsid w:val="008672C0"/>
    <w:rsid w:val="00867348"/>
    <w:rsid w:val="008673C5"/>
    <w:rsid w:val="0086746B"/>
    <w:rsid w:val="0086752B"/>
    <w:rsid w:val="00867555"/>
    <w:rsid w:val="0086757F"/>
    <w:rsid w:val="0086764F"/>
    <w:rsid w:val="008678D4"/>
    <w:rsid w:val="00867AB0"/>
    <w:rsid w:val="00867C2B"/>
    <w:rsid w:val="00867C4B"/>
    <w:rsid w:val="00867C80"/>
    <w:rsid w:val="00867CFE"/>
    <w:rsid w:val="00867D18"/>
    <w:rsid w:val="00867DA5"/>
    <w:rsid w:val="00867DB4"/>
    <w:rsid w:val="00867DB8"/>
    <w:rsid w:val="00867E20"/>
    <w:rsid w:val="0087004F"/>
    <w:rsid w:val="008700D6"/>
    <w:rsid w:val="008700F7"/>
    <w:rsid w:val="008701E6"/>
    <w:rsid w:val="00870240"/>
    <w:rsid w:val="008702EF"/>
    <w:rsid w:val="00870462"/>
    <w:rsid w:val="0087046D"/>
    <w:rsid w:val="00870482"/>
    <w:rsid w:val="00870556"/>
    <w:rsid w:val="0087059F"/>
    <w:rsid w:val="008705F2"/>
    <w:rsid w:val="00870670"/>
    <w:rsid w:val="008706E0"/>
    <w:rsid w:val="0087070E"/>
    <w:rsid w:val="0087073E"/>
    <w:rsid w:val="0087081D"/>
    <w:rsid w:val="00870891"/>
    <w:rsid w:val="00870A78"/>
    <w:rsid w:val="00870C55"/>
    <w:rsid w:val="00870C84"/>
    <w:rsid w:val="00870D4A"/>
    <w:rsid w:val="00870DBA"/>
    <w:rsid w:val="0087101B"/>
    <w:rsid w:val="0087107C"/>
    <w:rsid w:val="0087112C"/>
    <w:rsid w:val="008712CF"/>
    <w:rsid w:val="008712FD"/>
    <w:rsid w:val="008715CD"/>
    <w:rsid w:val="008716AE"/>
    <w:rsid w:val="00871953"/>
    <w:rsid w:val="008719EC"/>
    <w:rsid w:val="00871B18"/>
    <w:rsid w:val="00871C2A"/>
    <w:rsid w:val="00871C7B"/>
    <w:rsid w:val="00871CA9"/>
    <w:rsid w:val="00871D5D"/>
    <w:rsid w:val="00871D7A"/>
    <w:rsid w:val="00871DCF"/>
    <w:rsid w:val="00871E39"/>
    <w:rsid w:val="00871E51"/>
    <w:rsid w:val="00871E98"/>
    <w:rsid w:val="00871ED9"/>
    <w:rsid w:val="00871F2D"/>
    <w:rsid w:val="00871F8F"/>
    <w:rsid w:val="0087204A"/>
    <w:rsid w:val="00872083"/>
    <w:rsid w:val="0087208A"/>
    <w:rsid w:val="008720AB"/>
    <w:rsid w:val="008720C4"/>
    <w:rsid w:val="008720EE"/>
    <w:rsid w:val="00872316"/>
    <w:rsid w:val="0087232E"/>
    <w:rsid w:val="0087248A"/>
    <w:rsid w:val="008725A9"/>
    <w:rsid w:val="00872718"/>
    <w:rsid w:val="00872757"/>
    <w:rsid w:val="00872766"/>
    <w:rsid w:val="00872A4F"/>
    <w:rsid w:val="00872A54"/>
    <w:rsid w:val="00872B21"/>
    <w:rsid w:val="00872CD3"/>
    <w:rsid w:val="00872CE2"/>
    <w:rsid w:val="00872DC6"/>
    <w:rsid w:val="00872E5D"/>
    <w:rsid w:val="00872E98"/>
    <w:rsid w:val="00872ED9"/>
    <w:rsid w:val="00872F1B"/>
    <w:rsid w:val="00872FDB"/>
    <w:rsid w:val="008730F8"/>
    <w:rsid w:val="00873295"/>
    <w:rsid w:val="0087334C"/>
    <w:rsid w:val="008733A5"/>
    <w:rsid w:val="008733B1"/>
    <w:rsid w:val="00873494"/>
    <w:rsid w:val="00873757"/>
    <w:rsid w:val="00873C5F"/>
    <w:rsid w:val="00873D54"/>
    <w:rsid w:val="00873E74"/>
    <w:rsid w:val="00873F41"/>
    <w:rsid w:val="0087422B"/>
    <w:rsid w:val="0087430F"/>
    <w:rsid w:val="0087440E"/>
    <w:rsid w:val="008744A3"/>
    <w:rsid w:val="00874506"/>
    <w:rsid w:val="0087451D"/>
    <w:rsid w:val="0087459F"/>
    <w:rsid w:val="00874706"/>
    <w:rsid w:val="00874713"/>
    <w:rsid w:val="0087474A"/>
    <w:rsid w:val="00874789"/>
    <w:rsid w:val="008747A9"/>
    <w:rsid w:val="008747DB"/>
    <w:rsid w:val="00874A2F"/>
    <w:rsid w:val="00874AC7"/>
    <w:rsid w:val="00874B4D"/>
    <w:rsid w:val="00874C9D"/>
    <w:rsid w:val="00874CDC"/>
    <w:rsid w:val="00874D71"/>
    <w:rsid w:val="00874DF5"/>
    <w:rsid w:val="00874F6D"/>
    <w:rsid w:val="00874FEA"/>
    <w:rsid w:val="00875003"/>
    <w:rsid w:val="008750C4"/>
    <w:rsid w:val="00875193"/>
    <w:rsid w:val="00875445"/>
    <w:rsid w:val="00875496"/>
    <w:rsid w:val="008755F8"/>
    <w:rsid w:val="00875692"/>
    <w:rsid w:val="008756A1"/>
    <w:rsid w:val="008756FC"/>
    <w:rsid w:val="008757C2"/>
    <w:rsid w:val="0087587E"/>
    <w:rsid w:val="008759AF"/>
    <w:rsid w:val="008759BD"/>
    <w:rsid w:val="00875A3F"/>
    <w:rsid w:val="00875AC2"/>
    <w:rsid w:val="00875B0C"/>
    <w:rsid w:val="00875B1D"/>
    <w:rsid w:val="00875BAE"/>
    <w:rsid w:val="00875E7B"/>
    <w:rsid w:val="00875EEC"/>
    <w:rsid w:val="00875F75"/>
    <w:rsid w:val="0087627C"/>
    <w:rsid w:val="008762AE"/>
    <w:rsid w:val="00876346"/>
    <w:rsid w:val="008763A5"/>
    <w:rsid w:val="008763D2"/>
    <w:rsid w:val="0087651B"/>
    <w:rsid w:val="0087664A"/>
    <w:rsid w:val="00876690"/>
    <w:rsid w:val="00876754"/>
    <w:rsid w:val="008767BF"/>
    <w:rsid w:val="008767FD"/>
    <w:rsid w:val="008768E9"/>
    <w:rsid w:val="00876A1C"/>
    <w:rsid w:val="00876B16"/>
    <w:rsid w:val="00876BB6"/>
    <w:rsid w:val="00876FB1"/>
    <w:rsid w:val="00876FBB"/>
    <w:rsid w:val="00876FFB"/>
    <w:rsid w:val="0087704B"/>
    <w:rsid w:val="0087719F"/>
    <w:rsid w:val="00877260"/>
    <w:rsid w:val="008772AE"/>
    <w:rsid w:val="008773FB"/>
    <w:rsid w:val="00877495"/>
    <w:rsid w:val="00877516"/>
    <w:rsid w:val="00877574"/>
    <w:rsid w:val="008775E2"/>
    <w:rsid w:val="00877739"/>
    <w:rsid w:val="008778E0"/>
    <w:rsid w:val="0087791E"/>
    <w:rsid w:val="0087797E"/>
    <w:rsid w:val="00877A32"/>
    <w:rsid w:val="00877AED"/>
    <w:rsid w:val="00877C6A"/>
    <w:rsid w:val="00877CF2"/>
    <w:rsid w:val="00877E54"/>
    <w:rsid w:val="00877FB2"/>
    <w:rsid w:val="008800D9"/>
    <w:rsid w:val="008800F8"/>
    <w:rsid w:val="008801EF"/>
    <w:rsid w:val="008802F0"/>
    <w:rsid w:val="008802FF"/>
    <w:rsid w:val="0088036F"/>
    <w:rsid w:val="008803B3"/>
    <w:rsid w:val="008804CA"/>
    <w:rsid w:val="008804F2"/>
    <w:rsid w:val="0088061F"/>
    <w:rsid w:val="008807E4"/>
    <w:rsid w:val="00880928"/>
    <w:rsid w:val="008809D1"/>
    <w:rsid w:val="00880A85"/>
    <w:rsid w:val="00880B54"/>
    <w:rsid w:val="00880D27"/>
    <w:rsid w:val="00880D6A"/>
    <w:rsid w:val="00880D9A"/>
    <w:rsid w:val="00880E16"/>
    <w:rsid w:val="00880E33"/>
    <w:rsid w:val="00880E95"/>
    <w:rsid w:val="00880EB5"/>
    <w:rsid w:val="00880EBB"/>
    <w:rsid w:val="00880F0F"/>
    <w:rsid w:val="00881105"/>
    <w:rsid w:val="008811DC"/>
    <w:rsid w:val="008811E0"/>
    <w:rsid w:val="00881275"/>
    <w:rsid w:val="008812C5"/>
    <w:rsid w:val="00881339"/>
    <w:rsid w:val="008813B8"/>
    <w:rsid w:val="008814EE"/>
    <w:rsid w:val="0088152E"/>
    <w:rsid w:val="00881555"/>
    <w:rsid w:val="008815A8"/>
    <w:rsid w:val="008815C8"/>
    <w:rsid w:val="00881673"/>
    <w:rsid w:val="0088174A"/>
    <w:rsid w:val="00881804"/>
    <w:rsid w:val="008818D6"/>
    <w:rsid w:val="008819C4"/>
    <w:rsid w:val="00881A1A"/>
    <w:rsid w:val="00881A69"/>
    <w:rsid w:val="00881B6B"/>
    <w:rsid w:val="00881BF8"/>
    <w:rsid w:val="00881C5A"/>
    <w:rsid w:val="00881DB5"/>
    <w:rsid w:val="00881EE7"/>
    <w:rsid w:val="00881EEE"/>
    <w:rsid w:val="00881F54"/>
    <w:rsid w:val="00881F90"/>
    <w:rsid w:val="00881FC3"/>
    <w:rsid w:val="00882059"/>
    <w:rsid w:val="008820C1"/>
    <w:rsid w:val="0088214B"/>
    <w:rsid w:val="008823D2"/>
    <w:rsid w:val="008824D8"/>
    <w:rsid w:val="008825EF"/>
    <w:rsid w:val="00882920"/>
    <w:rsid w:val="0088293F"/>
    <w:rsid w:val="00882A69"/>
    <w:rsid w:val="00882A84"/>
    <w:rsid w:val="00882A8B"/>
    <w:rsid w:val="00882B53"/>
    <w:rsid w:val="00882B5C"/>
    <w:rsid w:val="00882B9F"/>
    <w:rsid w:val="00882D4B"/>
    <w:rsid w:val="00882E29"/>
    <w:rsid w:val="00882E6F"/>
    <w:rsid w:val="00882F97"/>
    <w:rsid w:val="0088306D"/>
    <w:rsid w:val="00883206"/>
    <w:rsid w:val="008833E4"/>
    <w:rsid w:val="008836BF"/>
    <w:rsid w:val="008837A7"/>
    <w:rsid w:val="008837B6"/>
    <w:rsid w:val="0088387D"/>
    <w:rsid w:val="008838E6"/>
    <w:rsid w:val="008839E4"/>
    <w:rsid w:val="00883AB7"/>
    <w:rsid w:val="00883BE1"/>
    <w:rsid w:val="00883E8F"/>
    <w:rsid w:val="00883EB5"/>
    <w:rsid w:val="008840CA"/>
    <w:rsid w:val="00884216"/>
    <w:rsid w:val="00884353"/>
    <w:rsid w:val="0088446D"/>
    <w:rsid w:val="00884513"/>
    <w:rsid w:val="00884514"/>
    <w:rsid w:val="0088474D"/>
    <w:rsid w:val="008849B7"/>
    <w:rsid w:val="00884CC4"/>
    <w:rsid w:val="00884FDC"/>
    <w:rsid w:val="00885054"/>
    <w:rsid w:val="00885059"/>
    <w:rsid w:val="008850C6"/>
    <w:rsid w:val="00885151"/>
    <w:rsid w:val="008851E9"/>
    <w:rsid w:val="00885215"/>
    <w:rsid w:val="00885247"/>
    <w:rsid w:val="0088527F"/>
    <w:rsid w:val="008853A6"/>
    <w:rsid w:val="008853BC"/>
    <w:rsid w:val="008853C4"/>
    <w:rsid w:val="00885434"/>
    <w:rsid w:val="0088548D"/>
    <w:rsid w:val="008854CC"/>
    <w:rsid w:val="008859F9"/>
    <w:rsid w:val="00885A28"/>
    <w:rsid w:val="00885AEE"/>
    <w:rsid w:val="00885B1D"/>
    <w:rsid w:val="00885C49"/>
    <w:rsid w:val="00885C97"/>
    <w:rsid w:val="00885D74"/>
    <w:rsid w:val="00885EDA"/>
    <w:rsid w:val="008860B0"/>
    <w:rsid w:val="00886106"/>
    <w:rsid w:val="00886118"/>
    <w:rsid w:val="00886169"/>
    <w:rsid w:val="0088616C"/>
    <w:rsid w:val="0088628B"/>
    <w:rsid w:val="008862B7"/>
    <w:rsid w:val="008862FD"/>
    <w:rsid w:val="008863F6"/>
    <w:rsid w:val="00886596"/>
    <w:rsid w:val="008865A1"/>
    <w:rsid w:val="008865E9"/>
    <w:rsid w:val="0088660E"/>
    <w:rsid w:val="008866A6"/>
    <w:rsid w:val="00886772"/>
    <w:rsid w:val="008867B3"/>
    <w:rsid w:val="008867F1"/>
    <w:rsid w:val="00886A39"/>
    <w:rsid w:val="00886A8E"/>
    <w:rsid w:val="00886AD2"/>
    <w:rsid w:val="00886B64"/>
    <w:rsid w:val="00886CE3"/>
    <w:rsid w:val="00886D44"/>
    <w:rsid w:val="00886DA4"/>
    <w:rsid w:val="00886E1A"/>
    <w:rsid w:val="00886E42"/>
    <w:rsid w:val="00886EB4"/>
    <w:rsid w:val="00886EBB"/>
    <w:rsid w:val="00886FAD"/>
    <w:rsid w:val="00887050"/>
    <w:rsid w:val="00887081"/>
    <w:rsid w:val="008870AA"/>
    <w:rsid w:val="008872AD"/>
    <w:rsid w:val="008872B9"/>
    <w:rsid w:val="00887476"/>
    <w:rsid w:val="008874CC"/>
    <w:rsid w:val="008875E0"/>
    <w:rsid w:val="00887617"/>
    <w:rsid w:val="0088769C"/>
    <w:rsid w:val="00887767"/>
    <w:rsid w:val="008878AD"/>
    <w:rsid w:val="008878CF"/>
    <w:rsid w:val="00887A1C"/>
    <w:rsid w:val="00887AF2"/>
    <w:rsid w:val="00887B07"/>
    <w:rsid w:val="00887C89"/>
    <w:rsid w:val="00887D36"/>
    <w:rsid w:val="00887DA5"/>
    <w:rsid w:val="00887DB9"/>
    <w:rsid w:val="00887EC8"/>
    <w:rsid w:val="00887F00"/>
    <w:rsid w:val="00887F24"/>
    <w:rsid w:val="00887F6E"/>
    <w:rsid w:val="00887FCA"/>
    <w:rsid w:val="00890164"/>
    <w:rsid w:val="00890222"/>
    <w:rsid w:val="0089023E"/>
    <w:rsid w:val="00890273"/>
    <w:rsid w:val="008902A4"/>
    <w:rsid w:val="00890371"/>
    <w:rsid w:val="00890376"/>
    <w:rsid w:val="00890423"/>
    <w:rsid w:val="0089061A"/>
    <w:rsid w:val="008906A4"/>
    <w:rsid w:val="00890782"/>
    <w:rsid w:val="008907D1"/>
    <w:rsid w:val="0089083C"/>
    <w:rsid w:val="00890A05"/>
    <w:rsid w:val="00890A24"/>
    <w:rsid w:val="00890A67"/>
    <w:rsid w:val="00890ABB"/>
    <w:rsid w:val="00890AE2"/>
    <w:rsid w:val="00890B40"/>
    <w:rsid w:val="00890B45"/>
    <w:rsid w:val="00890F4A"/>
    <w:rsid w:val="00890F7B"/>
    <w:rsid w:val="008910A0"/>
    <w:rsid w:val="008910C7"/>
    <w:rsid w:val="008916AE"/>
    <w:rsid w:val="00891746"/>
    <w:rsid w:val="0089175C"/>
    <w:rsid w:val="00891818"/>
    <w:rsid w:val="008918BB"/>
    <w:rsid w:val="00891A26"/>
    <w:rsid w:val="00891AA3"/>
    <w:rsid w:val="00891B20"/>
    <w:rsid w:val="00891B4A"/>
    <w:rsid w:val="00891C20"/>
    <w:rsid w:val="00891CCE"/>
    <w:rsid w:val="00891CD1"/>
    <w:rsid w:val="00891CE2"/>
    <w:rsid w:val="00891D62"/>
    <w:rsid w:val="00891D78"/>
    <w:rsid w:val="00891D79"/>
    <w:rsid w:val="00891EF7"/>
    <w:rsid w:val="00891FD6"/>
    <w:rsid w:val="00891FD7"/>
    <w:rsid w:val="00892096"/>
    <w:rsid w:val="008920CB"/>
    <w:rsid w:val="00892112"/>
    <w:rsid w:val="00892299"/>
    <w:rsid w:val="008923C8"/>
    <w:rsid w:val="008923CF"/>
    <w:rsid w:val="00892556"/>
    <w:rsid w:val="00892576"/>
    <w:rsid w:val="00892703"/>
    <w:rsid w:val="008928C0"/>
    <w:rsid w:val="00892921"/>
    <w:rsid w:val="008929EF"/>
    <w:rsid w:val="00892A10"/>
    <w:rsid w:val="00892A92"/>
    <w:rsid w:val="00892ACC"/>
    <w:rsid w:val="00892D42"/>
    <w:rsid w:val="00892E8C"/>
    <w:rsid w:val="00892EB7"/>
    <w:rsid w:val="00892EF8"/>
    <w:rsid w:val="0089306C"/>
    <w:rsid w:val="00893164"/>
    <w:rsid w:val="008931F0"/>
    <w:rsid w:val="008932D3"/>
    <w:rsid w:val="008936B9"/>
    <w:rsid w:val="008936E0"/>
    <w:rsid w:val="008937BE"/>
    <w:rsid w:val="008937D6"/>
    <w:rsid w:val="00893838"/>
    <w:rsid w:val="0089388A"/>
    <w:rsid w:val="0089396F"/>
    <w:rsid w:val="00893B8A"/>
    <w:rsid w:val="00893BB4"/>
    <w:rsid w:val="00893C5F"/>
    <w:rsid w:val="00893CEA"/>
    <w:rsid w:val="00894012"/>
    <w:rsid w:val="00894202"/>
    <w:rsid w:val="0089423D"/>
    <w:rsid w:val="0089424A"/>
    <w:rsid w:val="0089436A"/>
    <w:rsid w:val="008943B3"/>
    <w:rsid w:val="00894541"/>
    <w:rsid w:val="0089468C"/>
    <w:rsid w:val="00894776"/>
    <w:rsid w:val="008947BD"/>
    <w:rsid w:val="00894822"/>
    <w:rsid w:val="0089493B"/>
    <w:rsid w:val="00894A7F"/>
    <w:rsid w:val="00894AD2"/>
    <w:rsid w:val="00894B3E"/>
    <w:rsid w:val="00894BA5"/>
    <w:rsid w:val="00894C9E"/>
    <w:rsid w:val="00895045"/>
    <w:rsid w:val="00895075"/>
    <w:rsid w:val="00895436"/>
    <w:rsid w:val="00895482"/>
    <w:rsid w:val="0089563C"/>
    <w:rsid w:val="008959B8"/>
    <w:rsid w:val="008959E1"/>
    <w:rsid w:val="00895A3D"/>
    <w:rsid w:val="00895B86"/>
    <w:rsid w:val="00895C74"/>
    <w:rsid w:val="00895CA9"/>
    <w:rsid w:val="00895D30"/>
    <w:rsid w:val="00896095"/>
    <w:rsid w:val="00896174"/>
    <w:rsid w:val="0089625F"/>
    <w:rsid w:val="008963BA"/>
    <w:rsid w:val="0089640E"/>
    <w:rsid w:val="0089662A"/>
    <w:rsid w:val="00896785"/>
    <w:rsid w:val="008967A8"/>
    <w:rsid w:val="00896898"/>
    <w:rsid w:val="0089690F"/>
    <w:rsid w:val="00896965"/>
    <w:rsid w:val="00896AC2"/>
    <w:rsid w:val="00896AD7"/>
    <w:rsid w:val="00896B26"/>
    <w:rsid w:val="00896BBE"/>
    <w:rsid w:val="00896D28"/>
    <w:rsid w:val="00896D3A"/>
    <w:rsid w:val="00896F69"/>
    <w:rsid w:val="0089703B"/>
    <w:rsid w:val="0089709F"/>
    <w:rsid w:val="00897172"/>
    <w:rsid w:val="008971A0"/>
    <w:rsid w:val="008973F1"/>
    <w:rsid w:val="00897588"/>
    <w:rsid w:val="0089766B"/>
    <w:rsid w:val="008976D9"/>
    <w:rsid w:val="008977BA"/>
    <w:rsid w:val="008978D4"/>
    <w:rsid w:val="0089791D"/>
    <w:rsid w:val="00897A33"/>
    <w:rsid w:val="00897A84"/>
    <w:rsid w:val="00897A95"/>
    <w:rsid w:val="00897B5F"/>
    <w:rsid w:val="00897DB0"/>
    <w:rsid w:val="00897EB7"/>
    <w:rsid w:val="00897FCD"/>
    <w:rsid w:val="008A0023"/>
    <w:rsid w:val="008A00BF"/>
    <w:rsid w:val="008A00F2"/>
    <w:rsid w:val="008A0155"/>
    <w:rsid w:val="008A016F"/>
    <w:rsid w:val="008A0193"/>
    <w:rsid w:val="008A0346"/>
    <w:rsid w:val="008A0476"/>
    <w:rsid w:val="008A0531"/>
    <w:rsid w:val="008A0781"/>
    <w:rsid w:val="008A0A0A"/>
    <w:rsid w:val="008A0A9D"/>
    <w:rsid w:val="008A0ABB"/>
    <w:rsid w:val="008A0AD3"/>
    <w:rsid w:val="008A0B09"/>
    <w:rsid w:val="008A0B6C"/>
    <w:rsid w:val="008A0BE3"/>
    <w:rsid w:val="008A0C46"/>
    <w:rsid w:val="008A0C82"/>
    <w:rsid w:val="008A0D7D"/>
    <w:rsid w:val="008A0EDF"/>
    <w:rsid w:val="008A112C"/>
    <w:rsid w:val="008A1294"/>
    <w:rsid w:val="008A12E7"/>
    <w:rsid w:val="008A1365"/>
    <w:rsid w:val="008A13F4"/>
    <w:rsid w:val="008A149F"/>
    <w:rsid w:val="008A14C9"/>
    <w:rsid w:val="008A1664"/>
    <w:rsid w:val="008A17BD"/>
    <w:rsid w:val="008A1865"/>
    <w:rsid w:val="008A18BB"/>
    <w:rsid w:val="008A18DD"/>
    <w:rsid w:val="008A1924"/>
    <w:rsid w:val="008A1984"/>
    <w:rsid w:val="008A19E6"/>
    <w:rsid w:val="008A1A6E"/>
    <w:rsid w:val="008A1A9C"/>
    <w:rsid w:val="008A1AAE"/>
    <w:rsid w:val="008A1B97"/>
    <w:rsid w:val="008A1D63"/>
    <w:rsid w:val="008A1D83"/>
    <w:rsid w:val="008A1D8D"/>
    <w:rsid w:val="008A1D93"/>
    <w:rsid w:val="008A1EA2"/>
    <w:rsid w:val="008A1F18"/>
    <w:rsid w:val="008A201E"/>
    <w:rsid w:val="008A2137"/>
    <w:rsid w:val="008A21A6"/>
    <w:rsid w:val="008A21CD"/>
    <w:rsid w:val="008A22F4"/>
    <w:rsid w:val="008A23DE"/>
    <w:rsid w:val="008A23F7"/>
    <w:rsid w:val="008A242A"/>
    <w:rsid w:val="008A261D"/>
    <w:rsid w:val="008A2624"/>
    <w:rsid w:val="008A2738"/>
    <w:rsid w:val="008A2866"/>
    <w:rsid w:val="008A28EC"/>
    <w:rsid w:val="008A2AE3"/>
    <w:rsid w:val="008A2BC5"/>
    <w:rsid w:val="008A2C13"/>
    <w:rsid w:val="008A2D28"/>
    <w:rsid w:val="008A2DA0"/>
    <w:rsid w:val="008A2E0A"/>
    <w:rsid w:val="008A2F2B"/>
    <w:rsid w:val="008A3018"/>
    <w:rsid w:val="008A320E"/>
    <w:rsid w:val="008A3362"/>
    <w:rsid w:val="008A347C"/>
    <w:rsid w:val="008A364E"/>
    <w:rsid w:val="008A3736"/>
    <w:rsid w:val="008A375F"/>
    <w:rsid w:val="008A37D4"/>
    <w:rsid w:val="008A380B"/>
    <w:rsid w:val="008A3888"/>
    <w:rsid w:val="008A38E2"/>
    <w:rsid w:val="008A39F5"/>
    <w:rsid w:val="008A3A27"/>
    <w:rsid w:val="008A3A40"/>
    <w:rsid w:val="008A3AD1"/>
    <w:rsid w:val="008A3BEA"/>
    <w:rsid w:val="008A3C05"/>
    <w:rsid w:val="008A3CBE"/>
    <w:rsid w:val="008A3DFB"/>
    <w:rsid w:val="008A3F2F"/>
    <w:rsid w:val="008A3FCC"/>
    <w:rsid w:val="008A3FF1"/>
    <w:rsid w:val="008A431F"/>
    <w:rsid w:val="008A4418"/>
    <w:rsid w:val="008A444E"/>
    <w:rsid w:val="008A460B"/>
    <w:rsid w:val="008A48D8"/>
    <w:rsid w:val="008A4A51"/>
    <w:rsid w:val="008A4C87"/>
    <w:rsid w:val="008A4D9B"/>
    <w:rsid w:val="008A4E90"/>
    <w:rsid w:val="008A4FD2"/>
    <w:rsid w:val="008A5011"/>
    <w:rsid w:val="008A5088"/>
    <w:rsid w:val="008A50C4"/>
    <w:rsid w:val="008A5120"/>
    <w:rsid w:val="008A514A"/>
    <w:rsid w:val="008A51C5"/>
    <w:rsid w:val="008A51F2"/>
    <w:rsid w:val="008A527C"/>
    <w:rsid w:val="008A539C"/>
    <w:rsid w:val="008A548A"/>
    <w:rsid w:val="008A558F"/>
    <w:rsid w:val="008A55E8"/>
    <w:rsid w:val="008A576A"/>
    <w:rsid w:val="008A57B3"/>
    <w:rsid w:val="008A5A3A"/>
    <w:rsid w:val="008A5AB4"/>
    <w:rsid w:val="008A5B53"/>
    <w:rsid w:val="008A5BE9"/>
    <w:rsid w:val="008A5DA7"/>
    <w:rsid w:val="008A5F44"/>
    <w:rsid w:val="008A6081"/>
    <w:rsid w:val="008A6269"/>
    <w:rsid w:val="008A6391"/>
    <w:rsid w:val="008A656A"/>
    <w:rsid w:val="008A6609"/>
    <w:rsid w:val="008A6774"/>
    <w:rsid w:val="008A688C"/>
    <w:rsid w:val="008A689A"/>
    <w:rsid w:val="008A68B8"/>
    <w:rsid w:val="008A6A04"/>
    <w:rsid w:val="008A6A83"/>
    <w:rsid w:val="008A6A96"/>
    <w:rsid w:val="008A6B10"/>
    <w:rsid w:val="008A6B54"/>
    <w:rsid w:val="008A6BA4"/>
    <w:rsid w:val="008A6C87"/>
    <w:rsid w:val="008A6D0C"/>
    <w:rsid w:val="008A6E73"/>
    <w:rsid w:val="008A6E8C"/>
    <w:rsid w:val="008A6F98"/>
    <w:rsid w:val="008A6FF8"/>
    <w:rsid w:val="008A707E"/>
    <w:rsid w:val="008A71FB"/>
    <w:rsid w:val="008A7203"/>
    <w:rsid w:val="008A7207"/>
    <w:rsid w:val="008A7294"/>
    <w:rsid w:val="008A72A3"/>
    <w:rsid w:val="008A72E4"/>
    <w:rsid w:val="008A746E"/>
    <w:rsid w:val="008A74AB"/>
    <w:rsid w:val="008A763A"/>
    <w:rsid w:val="008A765D"/>
    <w:rsid w:val="008A77D7"/>
    <w:rsid w:val="008A780A"/>
    <w:rsid w:val="008A781B"/>
    <w:rsid w:val="008A788B"/>
    <w:rsid w:val="008A789B"/>
    <w:rsid w:val="008A7904"/>
    <w:rsid w:val="008A7907"/>
    <w:rsid w:val="008A7924"/>
    <w:rsid w:val="008A7A9B"/>
    <w:rsid w:val="008A7AC7"/>
    <w:rsid w:val="008A7ACE"/>
    <w:rsid w:val="008A7B4F"/>
    <w:rsid w:val="008A7E6F"/>
    <w:rsid w:val="008A7E8F"/>
    <w:rsid w:val="008A7EA9"/>
    <w:rsid w:val="008A7ED5"/>
    <w:rsid w:val="008A7F46"/>
    <w:rsid w:val="008A7F4E"/>
    <w:rsid w:val="008A7F73"/>
    <w:rsid w:val="008A7F7D"/>
    <w:rsid w:val="008A7FEC"/>
    <w:rsid w:val="008B015C"/>
    <w:rsid w:val="008B02A6"/>
    <w:rsid w:val="008B0377"/>
    <w:rsid w:val="008B0387"/>
    <w:rsid w:val="008B0494"/>
    <w:rsid w:val="008B04BD"/>
    <w:rsid w:val="008B05BC"/>
    <w:rsid w:val="008B0659"/>
    <w:rsid w:val="008B08F2"/>
    <w:rsid w:val="008B090E"/>
    <w:rsid w:val="008B0A6B"/>
    <w:rsid w:val="008B0A81"/>
    <w:rsid w:val="008B0B9E"/>
    <w:rsid w:val="008B0D4D"/>
    <w:rsid w:val="008B0D5A"/>
    <w:rsid w:val="008B0F45"/>
    <w:rsid w:val="008B0F73"/>
    <w:rsid w:val="008B0F76"/>
    <w:rsid w:val="008B0FA3"/>
    <w:rsid w:val="008B114F"/>
    <w:rsid w:val="008B1160"/>
    <w:rsid w:val="008B1163"/>
    <w:rsid w:val="008B1190"/>
    <w:rsid w:val="008B1195"/>
    <w:rsid w:val="008B1339"/>
    <w:rsid w:val="008B15A5"/>
    <w:rsid w:val="008B164D"/>
    <w:rsid w:val="008B182C"/>
    <w:rsid w:val="008B19CC"/>
    <w:rsid w:val="008B1A9A"/>
    <w:rsid w:val="008B1C67"/>
    <w:rsid w:val="008B1D47"/>
    <w:rsid w:val="008B1D96"/>
    <w:rsid w:val="008B1DCC"/>
    <w:rsid w:val="008B1E29"/>
    <w:rsid w:val="008B1E97"/>
    <w:rsid w:val="008B1F12"/>
    <w:rsid w:val="008B2002"/>
    <w:rsid w:val="008B2036"/>
    <w:rsid w:val="008B2038"/>
    <w:rsid w:val="008B20D9"/>
    <w:rsid w:val="008B21EF"/>
    <w:rsid w:val="008B22ED"/>
    <w:rsid w:val="008B23C2"/>
    <w:rsid w:val="008B2400"/>
    <w:rsid w:val="008B28CE"/>
    <w:rsid w:val="008B2B56"/>
    <w:rsid w:val="008B2DEA"/>
    <w:rsid w:val="008B2F1A"/>
    <w:rsid w:val="008B2FCB"/>
    <w:rsid w:val="008B3041"/>
    <w:rsid w:val="008B311B"/>
    <w:rsid w:val="008B315A"/>
    <w:rsid w:val="008B3285"/>
    <w:rsid w:val="008B33D2"/>
    <w:rsid w:val="008B34C1"/>
    <w:rsid w:val="008B3831"/>
    <w:rsid w:val="008B390B"/>
    <w:rsid w:val="008B394B"/>
    <w:rsid w:val="008B3990"/>
    <w:rsid w:val="008B39CB"/>
    <w:rsid w:val="008B3AC2"/>
    <w:rsid w:val="008B3B29"/>
    <w:rsid w:val="008B3BDB"/>
    <w:rsid w:val="008B3D77"/>
    <w:rsid w:val="008B3F42"/>
    <w:rsid w:val="008B3F9E"/>
    <w:rsid w:val="008B3FB0"/>
    <w:rsid w:val="008B4028"/>
    <w:rsid w:val="008B4063"/>
    <w:rsid w:val="008B4135"/>
    <w:rsid w:val="008B4149"/>
    <w:rsid w:val="008B423B"/>
    <w:rsid w:val="008B4254"/>
    <w:rsid w:val="008B42E7"/>
    <w:rsid w:val="008B43E2"/>
    <w:rsid w:val="008B461D"/>
    <w:rsid w:val="008B46C0"/>
    <w:rsid w:val="008B4703"/>
    <w:rsid w:val="008B4732"/>
    <w:rsid w:val="008B4860"/>
    <w:rsid w:val="008B4866"/>
    <w:rsid w:val="008B4882"/>
    <w:rsid w:val="008B48ED"/>
    <w:rsid w:val="008B49B4"/>
    <w:rsid w:val="008B4CDA"/>
    <w:rsid w:val="008B4D4E"/>
    <w:rsid w:val="008B4E9D"/>
    <w:rsid w:val="008B4F2E"/>
    <w:rsid w:val="008B4F6D"/>
    <w:rsid w:val="008B4FCD"/>
    <w:rsid w:val="008B5023"/>
    <w:rsid w:val="008B5106"/>
    <w:rsid w:val="008B51D9"/>
    <w:rsid w:val="008B5270"/>
    <w:rsid w:val="008B533B"/>
    <w:rsid w:val="008B54B0"/>
    <w:rsid w:val="008B5517"/>
    <w:rsid w:val="008B553F"/>
    <w:rsid w:val="008B55E8"/>
    <w:rsid w:val="008B56B8"/>
    <w:rsid w:val="008B576A"/>
    <w:rsid w:val="008B57F7"/>
    <w:rsid w:val="008B5818"/>
    <w:rsid w:val="008B58BB"/>
    <w:rsid w:val="008B5917"/>
    <w:rsid w:val="008B594E"/>
    <w:rsid w:val="008B599A"/>
    <w:rsid w:val="008B5A9F"/>
    <w:rsid w:val="008B5B44"/>
    <w:rsid w:val="008B5B64"/>
    <w:rsid w:val="008B5C91"/>
    <w:rsid w:val="008B5C94"/>
    <w:rsid w:val="008B5C96"/>
    <w:rsid w:val="008B5D60"/>
    <w:rsid w:val="008B5E96"/>
    <w:rsid w:val="008B5F0E"/>
    <w:rsid w:val="008B5FA1"/>
    <w:rsid w:val="008B606F"/>
    <w:rsid w:val="008B60BF"/>
    <w:rsid w:val="008B6160"/>
    <w:rsid w:val="008B61E3"/>
    <w:rsid w:val="008B61E5"/>
    <w:rsid w:val="008B6274"/>
    <w:rsid w:val="008B62DC"/>
    <w:rsid w:val="008B6362"/>
    <w:rsid w:val="008B641A"/>
    <w:rsid w:val="008B669C"/>
    <w:rsid w:val="008B67D7"/>
    <w:rsid w:val="008B67EF"/>
    <w:rsid w:val="008B686C"/>
    <w:rsid w:val="008B68D5"/>
    <w:rsid w:val="008B6919"/>
    <w:rsid w:val="008B6931"/>
    <w:rsid w:val="008B6A7E"/>
    <w:rsid w:val="008B6AA4"/>
    <w:rsid w:val="008B6AB0"/>
    <w:rsid w:val="008B6AC0"/>
    <w:rsid w:val="008B6E4C"/>
    <w:rsid w:val="008B6F43"/>
    <w:rsid w:val="008B6F51"/>
    <w:rsid w:val="008B6FA3"/>
    <w:rsid w:val="008B6FBC"/>
    <w:rsid w:val="008B6FEA"/>
    <w:rsid w:val="008B71CB"/>
    <w:rsid w:val="008B71D8"/>
    <w:rsid w:val="008B71F9"/>
    <w:rsid w:val="008B71FD"/>
    <w:rsid w:val="008B7234"/>
    <w:rsid w:val="008B72D0"/>
    <w:rsid w:val="008B72E4"/>
    <w:rsid w:val="008B7368"/>
    <w:rsid w:val="008B73A2"/>
    <w:rsid w:val="008B7517"/>
    <w:rsid w:val="008B7864"/>
    <w:rsid w:val="008B79CD"/>
    <w:rsid w:val="008B7BB1"/>
    <w:rsid w:val="008B7C1F"/>
    <w:rsid w:val="008B7C8E"/>
    <w:rsid w:val="008B7CB8"/>
    <w:rsid w:val="008B7FAF"/>
    <w:rsid w:val="008C007F"/>
    <w:rsid w:val="008C00F3"/>
    <w:rsid w:val="008C011F"/>
    <w:rsid w:val="008C01B9"/>
    <w:rsid w:val="008C02DB"/>
    <w:rsid w:val="008C02F7"/>
    <w:rsid w:val="008C0358"/>
    <w:rsid w:val="008C044F"/>
    <w:rsid w:val="008C0613"/>
    <w:rsid w:val="008C06BF"/>
    <w:rsid w:val="008C06DC"/>
    <w:rsid w:val="008C077B"/>
    <w:rsid w:val="008C0896"/>
    <w:rsid w:val="008C0903"/>
    <w:rsid w:val="008C09DA"/>
    <w:rsid w:val="008C0A66"/>
    <w:rsid w:val="008C0A87"/>
    <w:rsid w:val="008C0BAC"/>
    <w:rsid w:val="008C0C50"/>
    <w:rsid w:val="008C0C6F"/>
    <w:rsid w:val="008C0C8D"/>
    <w:rsid w:val="008C0CE1"/>
    <w:rsid w:val="008C0D9C"/>
    <w:rsid w:val="008C0E29"/>
    <w:rsid w:val="008C0E2F"/>
    <w:rsid w:val="008C0E6B"/>
    <w:rsid w:val="008C0E81"/>
    <w:rsid w:val="008C0F77"/>
    <w:rsid w:val="008C0F7F"/>
    <w:rsid w:val="008C0FA6"/>
    <w:rsid w:val="008C1120"/>
    <w:rsid w:val="008C1235"/>
    <w:rsid w:val="008C12F4"/>
    <w:rsid w:val="008C1305"/>
    <w:rsid w:val="008C169F"/>
    <w:rsid w:val="008C16EE"/>
    <w:rsid w:val="008C19CA"/>
    <w:rsid w:val="008C1A4E"/>
    <w:rsid w:val="008C1B44"/>
    <w:rsid w:val="008C1CCF"/>
    <w:rsid w:val="008C2015"/>
    <w:rsid w:val="008C201A"/>
    <w:rsid w:val="008C20C7"/>
    <w:rsid w:val="008C2118"/>
    <w:rsid w:val="008C21D3"/>
    <w:rsid w:val="008C229D"/>
    <w:rsid w:val="008C22D5"/>
    <w:rsid w:val="008C2324"/>
    <w:rsid w:val="008C23C7"/>
    <w:rsid w:val="008C24D2"/>
    <w:rsid w:val="008C251B"/>
    <w:rsid w:val="008C2524"/>
    <w:rsid w:val="008C26E4"/>
    <w:rsid w:val="008C26E8"/>
    <w:rsid w:val="008C2712"/>
    <w:rsid w:val="008C2782"/>
    <w:rsid w:val="008C299F"/>
    <w:rsid w:val="008C2AF0"/>
    <w:rsid w:val="008C2B16"/>
    <w:rsid w:val="008C2B47"/>
    <w:rsid w:val="008C2B94"/>
    <w:rsid w:val="008C2C88"/>
    <w:rsid w:val="008C2CBE"/>
    <w:rsid w:val="008C2CF0"/>
    <w:rsid w:val="008C2DFF"/>
    <w:rsid w:val="008C2E46"/>
    <w:rsid w:val="008C3048"/>
    <w:rsid w:val="008C3210"/>
    <w:rsid w:val="008C3254"/>
    <w:rsid w:val="008C33AF"/>
    <w:rsid w:val="008C383D"/>
    <w:rsid w:val="008C385A"/>
    <w:rsid w:val="008C38CB"/>
    <w:rsid w:val="008C3A7F"/>
    <w:rsid w:val="008C3ABA"/>
    <w:rsid w:val="008C3BAF"/>
    <w:rsid w:val="008C3BBB"/>
    <w:rsid w:val="008C3C7E"/>
    <w:rsid w:val="008C3D04"/>
    <w:rsid w:val="008C3D8C"/>
    <w:rsid w:val="008C3F87"/>
    <w:rsid w:val="008C407E"/>
    <w:rsid w:val="008C40F1"/>
    <w:rsid w:val="008C4146"/>
    <w:rsid w:val="008C418C"/>
    <w:rsid w:val="008C4212"/>
    <w:rsid w:val="008C4218"/>
    <w:rsid w:val="008C426B"/>
    <w:rsid w:val="008C4370"/>
    <w:rsid w:val="008C43D9"/>
    <w:rsid w:val="008C46FF"/>
    <w:rsid w:val="008C47C4"/>
    <w:rsid w:val="008C47DB"/>
    <w:rsid w:val="008C48B2"/>
    <w:rsid w:val="008C4A4F"/>
    <w:rsid w:val="008C4B35"/>
    <w:rsid w:val="008C4B52"/>
    <w:rsid w:val="008C4BF8"/>
    <w:rsid w:val="008C4F86"/>
    <w:rsid w:val="008C5482"/>
    <w:rsid w:val="008C5487"/>
    <w:rsid w:val="008C54A4"/>
    <w:rsid w:val="008C54D6"/>
    <w:rsid w:val="008C558B"/>
    <w:rsid w:val="008C575B"/>
    <w:rsid w:val="008C5940"/>
    <w:rsid w:val="008C5A6B"/>
    <w:rsid w:val="008C5CD8"/>
    <w:rsid w:val="008C5CE6"/>
    <w:rsid w:val="008C5D48"/>
    <w:rsid w:val="008C5E1C"/>
    <w:rsid w:val="008C5E81"/>
    <w:rsid w:val="008C5EB3"/>
    <w:rsid w:val="008C5EF2"/>
    <w:rsid w:val="008C5F92"/>
    <w:rsid w:val="008C60A8"/>
    <w:rsid w:val="008C6212"/>
    <w:rsid w:val="008C621C"/>
    <w:rsid w:val="008C628A"/>
    <w:rsid w:val="008C64F5"/>
    <w:rsid w:val="008C66F3"/>
    <w:rsid w:val="008C67A1"/>
    <w:rsid w:val="008C68EE"/>
    <w:rsid w:val="008C69C2"/>
    <w:rsid w:val="008C6A64"/>
    <w:rsid w:val="008C6D40"/>
    <w:rsid w:val="008C6DE3"/>
    <w:rsid w:val="008C6E7B"/>
    <w:rsid w:val="008C6F3E"/>
    <w:rsid w:val="008C6F4E"/>
    <w:rsid w:val="008C6FF9"/>
    <w:rsid w:val="008C728C"/>
    <w:rsid w:val="008C740A"/>
    <w:rsid w:val="008C7480"/>
    <w:rsid w:val="008C7499"/>
    <w:rsid w:val="008C76A0"/>
    <w:rsid w:val="008C77AD"/>
    <w:rsid w:val="008C787E"/>
    <w:rsid w:val="008C7A20"/>
    <w:rsid w:val="008C7AE9"/>
    <w:rsid w:val="008C7BBE"/>
    <w:rsid w:val="008C7C2C"/>
    <w:rsid w:val="008C7CDA"/>
    <w:rsid w:val="008C7D05"/>
    <w:rsid w:val="008C7D17"/>
    <w:rsid w:val="008C7E69"/>
    <w:rsid w:val="008C7E87"/>
    <w:rsid w:val="008C7ECF"/>
    <w:rsid w:val="008C7F4A"/>
    <w:rsid w:val="008D01EC"/>
    <w:rsid w:val="008D0321"/>
    <w:rsid w:val="008D0338"/>
    <w:rsid w:val="008D045E"/>
    <w:rsid w:val="008D04AD"/>
    <w:rsid w:val="008D04C5"/>
    <w:rsid w:val="008D05D9"/>
    <w:rsid w:val="008D067B"/>
    <w:rsid w:val="008D07A0"/>
    <w:rsid w:val="008D0844"/>
    <w:rsid w:val="008D08D9"/>
    <w:rsid w:val="008D0943"/>
    <w:rsid w:val="008D098C"/>
    <w:rsid w:val="008D09D9"/>
    <w:rsid w:val="008D0AE6"/>
    <w:rsid w:val="008D0B4D"/>
    <w:rsid w:val="008D0C1D"/>
    <w:rsid w:val="008D0D32"/>
    <w:rsid w:val="008D0D42"/>
    <w:rsid w:val="008D0E15"/>
    <w:rsid w:val="008D0E8B"/>
    <w:rsid w:val="008D11FC"/>
    <w:rsid w:val="008D1416"/>
    <w:rsid w:val="008D1523"/>
    <w:rsid w:val="008D15F9"/>
    <w:rsid w:val="008D166C"/>
    <w:rsid w:val="008D16BB"/>
    <w:rsid w:val="008D1719"/>
    <w:rsid w:val="008D1742"/>
    <w:rsid w:val="008D1797"/>
    <w:rsid w:val="008D17CD"/>
    <w:rsid w:val="008D17F9"/>
    <w:rsid w:val="008D17FB"/>
    <w:rsid w:val="008D1847"/>
    <w:rsid w:val="008D1A6F"/>
    <w:rsid w:val="008D1B19"/>
    <w:rsid w:val="008D1B36"/>
    <w:rsid w:val="008D1BDD"/>
    <w:rsid w:val="008D1CC1"/>
    <w:rsid w:val="008D1D09"/>
    <w:rsid w:val="008D1DBC"/>
    <w:rsid w:val="008D1F85"/>
    <w:rsid w:val="008D201E"/>
    <w:rsid w:val="008D2022"/>
    <w:rsid w:val="008D204B"/>
    <w:rsid w:val="008D209A"/>
    <w:rsid w:val="008D21E9"/>
    <w:rsid w:val="008D2262"/>
    <w:rsid w:val="008D239C"/>
    <w:rsid w:val="008D2558"/>
    <w:rsid w:val="008D2563"/>
    <w:rsid w:val="008D25FE"/>
    <w:rsid w:val="008D260E"/>
    <w:rsid w:val="008D2741"/>
    <w:rsid w:val="008D27F4"/>
    <w:rsid w:val="008D2903"/>
    <w:rsid w:val="008D2925"/>
    <w:rsid w:val="008D296B"/>
    <w:rsid w:val="008D2A2B"/>
    <w:rsid w:val="008D2A3D"/>
    <w:rsid w:val="008D2A86"/>
    <w:rsid w:val="008D2B29"/>
    <w:rsid w:val="008D2B5F"/>
    <w:rsid w:val="008D2BC7"/>
    <w:rsid w:val="008D2C2B"/>
    <w:rsid w:val="008D2CE2"/>
    <w:rsid w:val="008D2F25"/>
    <w:rsid w:val="008D30F0"/>
    <w:rsid w:val="008D312D"/>
    <w:rsid w:val="008D31DE"/>
    <w:rsid w:val="008D3202"/>
    <w:rsid w:val="008D32B5"/>
    <w:rsid w:val="008D337C"/>
    <w:rsid w:val="008D3402"/>
    <w:rsid w:val="008D3561"/>
    <w:rsid w:val="008D35FE"/>
    <w:rsid w:val="008D36AE"/>
    <w:rsid w:val="008D3716"/>
    <w:rsid w:val="008D375A"/>
    <w:rsid w:val="008D38A3"/>
    <w:rsid w:val="008D3940"/>
    <w:rsid w:val="008D398D"/>
    <w:rsid w:val="008D39BA"/>
    <w:rsid w:val="008D3A44"/>
    <w:rsid w:val="008D3B01"/>
    <w:rsid w:val="008D3B16"/>
    <w:rsid w:val="008D3B43"/>
    <w:rsid w:val="008D3B60"/>
    <w:rsid w:val="008D3CD8"/>
    <w:rsid w:val="008D3D17"/>
    <w:rsid w:val="008D3D2C"/>
    <w:rsid w:val="008D3E97"/>
    <w:rsid w:val="008D3F41"/>
    <w:rsid w:val="008D40F9"/>
    <w:rsid w:val="008D4144"/>
    <w:rsid w:val="008D43B1"/>
    <w:rsid w:val="008D452C"/>
    <w:rsid w:val="008D45E2"/>
    <w:rsid w:val="008D4619"/>
    <w:rsid w:val="008D4639"/>
    <w:rsid w:val="008D468F"/>
    <w:rsid w:val="008D4746"/>
    <w:rsid w:val="008D4815"/>
    <w:rsid w:val="008D492C"/>
    <w:rsid w:val="008D496F"/>
    <w:rsid w:val="008D49B8"/>
    <w:rsid w:val="008D4A1A"/>
    <w:rsid w:val="008D4B14"/>
    <w:rsid w:val="008D4B6A"/>
    <w:rsid w:val="008D4C63"/>
    <w:rsid w:val="008D4CA7"/>
    <w:rsid w:val="008D4D2F"/>
    <w:rsid w:val="008D4DB0"/>
    <w:rsid w:val="008D4E1A"/>
    <w:rsid w:val="008D4E5C"/>
    <w:rsid w:val="008D4F2F"/>
    <w:rsid w:val="008D4F91"/>
    <w:rsid w:val="008D4FD2"/>
    <w:rsid w:val="008D50DF"/>
    <w:rsid w:val="008D5120"/>
    <w:rsid w:val="008D5176"/>
    <w:rsid w:val="008D518F"/>
    <w:rsid w:val="008D5211"/>
    <w:rsid w:val="008D56A8"/>
    <w:rsid w:val="008D56E2"/>
    <w:rsid w:val="008D5724"/>
    <w:rsid w:val="008D57D8"/>
    <w:rsid w:val="008D586A"/>
    <w:rsid w:val="008D591B"/>
    <w:rsid w:val="008D59B0"/>
    <w:rsid w:val="008D5AAF"/>
    <w:rsid w:val="008D5B4B"/>
    <w:rsid w:val="008D5B55"/>
    <w:rsid w:val="008D5D2C"/>
    <w:rsid w:val="008D5E01"/>
    <w:rsid w:val="008D5ECB"/>
    <w:rsid w:val="008D5F74"/>
    <w:rsid w:val="008D6032"/>
    <w:rsid w:val="008D62C6"/>
    <w:rsid w:val="008D63A2"/>
    <w:rsid w:val="008D640C"/>
    <w:rsid w:val="008D6500"/>
    <w:rsid w:val="008D654A"/>
    <w:rsid w:val="008D6632"/>
    <w:rsid w:val="008D66D3"/>
    <w:rsid w:val="008D672C"/>
    <w:rsid w:val="008D6811"/>
    <w:rsid w:val="008D6819"/>
    <w:rsid w:val="008D6B83"/>
    <w:rsid w:val="008D6D80"/>
    <w:rsid w:val="008D6DE4"/>
    <w:rsid w:val="008D6E2F"/>
    <w:rsid w:val="008D6E70"/>
    <w:rsid w:val="008D6EDD"/>
    <w:rsid w:val="008D6EE2"/>
    <w:rsid w:val="008D6F31"/>
    <w:rsid w:val="008D703B"/>
    <w:rsid w:val="008D709C"/>
    <w:rsid w:val="008D73DF"/>
    <w:rsid w:val="008D7677"/>
    <w:rsid w:val="008D7700"/>
    <w:rsid w:val="008D7732"/>
    <w:rsid w:val="008D776C"/>
    <w:rsid w:val="008D7793"/>
    <w:rsid w:val="008D7817"/>
    <w:rsid w:val="008D78B4"/>
    <w:rsid w:val="008D7906"/>
    <w:rsid w:val="008D79EC"/>
    <w:rsid w:val="008D7C90"/>
    <w:rsid w:val="008D7CB6"/>
    <w:rsid w:val="008D7CF5"/>
    <w:rsid w:val="008D7D55"/>
    <w:rsid w:val="008D7E3D"/>
    <w:rsid w:val="008D7EBF"/>
    <w:rsid w:val="008D7F6C"/>
    <w:rsid w:val="008E0075"/>
    <w:rsid w:val="008E0096"/>
    <w:rsid w:val="008E0213"/>
    <w:rsid w:val="008E055A"/>
    <w:rsid w:val="008E055E"/>
    <w:rsid w:val="008E05B0"/>
    <w:rsid w:val="008E0755"/>
    <w:rsid w:val="008E07B1"/>
    <w:rsid w:val="008E0890"/>
    <w:rsid w:val="008E08D4"/>
    <w:rsid w:val="008E0904"/>
    <w:rsid w:val="008E094B"/>
    <w:rsid w:val="008E0A83"/>
    <w:rsid w:val="008E0B13"/>
    <w:rsid w:val="008E0B58"/>
    <w:rsid w:val="008E0C33"/>
    <w:rsid w:val="008E0D84"/>
    <w:rsid w:val="008E0DAA"/>
    <w:rsid w:val="008E0DBE"/>
    <w:rsid w:val="008E0E27"/>
    <w:rsid w:val="008E0EA0"/>
    <w:rsid w:val="008E1241"/>
    <w:rsid w:val="008E1289"/>
    <w:rsid w:val="008E12B4"/>
    <w:rsid w:val="008E12B7"/>
    <w:rsid w:val="008E1454"/>
    <w:rsid w:val="008E1515"/>
    <w:rsid w:val="008E15DB"/>
    <w:rsid w:val="008E1622"/>
    <w:rsid w:val="008E162E"/>
    <w:rsid w:val="008E1667"/>
    <w:rsid w:val="008E16F7"/>
    <w:rsid w:val="008E1770"/>
    <w:rsid w:val="008E1914"/>
    <w:rsid w:val="008E1994"/>
    <w:rsid w:val="008E19AC"/>
    <w:rsid w:val="008E1B1C"/>
    <w:rsid w:val="008E1C35"/>
    <w:rsid w:val="008E1C6C"/>
    <w:rsid w:val="008E1CA4"/>
    <w:rsid w:val="008E1D28"/>
    <w:rsid w:val="008E1D58"/>
    <w:rsid w:val="008E1F40"/>
    <w:rsid w:val="008E2050"/>
    <w:rsid w:val="008E22DB"/>
    <w:rsid w:val="008E2331"/>
    <w:rsid w:val="008E2533"/>
    <w:rsid w:val="008E25F7"/>
    <w:rsid w:val="008E26FA"/>
    <w:rsid w:val="008E270B"/>
    <w:rsid w:val="008E282D"/>
    <w:rsid w:val="008E28D8"/>
    <w:rsid w:val="008E28F4"/>
    <w:rsid w:val="008E2966"/>
    <w:rsid w:val="008E2B42"/>
    <w:rsid w:val="008E2B85"/>
    <w:rsid w:val="008E2BFB"/>
    <w:rsid w:val="008E2C7D"/>
    <w:rsid w:val="008E2CD6"/>
    <w:rsid w:val="008E2D47"/>
    <w:rsid w:val="008E2FC4"/>
    <w:rsid w:val="008E3146"/>
    <w:rsid w:val="008E320D"/>
    <w:rsid w:val="008E3382"/>
    <w:rsid w:val="008E3387"/>
    <w:rsid w:val="008E3569"/>
    <w:rsid w:val="008E3775"/>
    <w:rsid w:val="008E37F4"/>
    <w:rsid w:val="008E3828"/>
    <w:rsid w:val="008E3843"/>
    <w:rsid w:val="008E38AC"/>
    <w:rsid w:val="008E3945"/>
    <w:rsid w:val="008E3A28"/>
    <w:rsid w:val="008E3C70"/>
    <w:rsid w:val="008E3E08"/>
    <w:rsid w:val="008E3E6C"/>
    <w:rsid w:val="008E3F26"/>
    <w:rsid w:val="008E3F82"/>
    <w:rsid w:val="008E3FC0"/>
    <w:rsid w:val="008E3FE1"/>
    <w:rsid w:val="008E4112"/>
    <w:rsid w:val="008E4323"/>
    <w:rsid w:val="008E4340"/>
    <w:rsid w:val="008E43E1"/>
    <w:rsid w:val="008E4489"/>
    <w:rsid w:val="008E44EC"/>
    <w:rsid w:val="008E47A5"/>
    <w:rsid w:val="008E47BF"/>
    <w:rsid w:val="008E48B3"/>
    <w:rsid w:val="008E4B66"/>
    <w:rsid w:val="008E4C77"/>
    <w:rsid w:val="008E4C78"/>
    <w:rsid w:val="008E4D35"/>
    <w:rsid w:val="008E4D48"/>
    <w:rsid w:val="008E4D92"/>
    <w:rsid w:val="008E4F0A"/>
    <w:rsid w:val="008E4FE2"/>
    <w:rsid w:val="008E5063"/>
    <w:rsid w:val="008E5064"/>
    <w:rsid w:val="008E5179"/>
    <w:rsid w:val="008E51D1"/>
    <w:rsid w:val="008E5441"/>
    <w:rsid w:val="008E548A"/>
    <w:rsid w:val="008E549C"/>
    <w:rsid w:val="008E5531"/>
    <w:rsid w:val="008E5540"/>
    <w:rsid w:val="008E5568"/>
    <w:rsid w:val="008E56A7"/>
    <w:rsid w:val="008E57A1"/>
    <w:rsid w:val="008E591E"/>
    <w:rsid w:val="008E594E"/>
    <w:rsid w:val="008E5BCD"/>
    <w:rsid w:val="008E5C01"/>
    <w:rsid w:val="008E5C6D"/>
    <w:rsid w:val="008E5D60"/>
    <w:rsid w:val="008E5DAC"/>
    <w:rsid w:val="008E5EDF"/>
    <w:rsid w:val="008E64F5"/>
    <w:rsid w:val="008E656E"/>
    <w:rsid w:val="008E65F1"/>
    <w:rsid w:val="008E66CD"/>
    <w:rsid w:val="008E6714"/>
    <w:rsid w:val="008E6750"/>
    <w:rsid w:val="008E6824"/>
    <w:rsid w:val="008E6887"/>
    <w:rsid w:val="008E6899"/>
    <w:rsid w:val="008E68C1"/>
    <w:rsid w:val="008E68E8"/>
    <w:rsid w:val="008E69F8"/>
    <w:rsid w:val="008E6ABF"/>
    <w:rsid w:val="008E6C2E"/>
    <w:rsid w:val="008E6DC1"/>
    <w:rsid w:val="008E6E24"/>
    <w:rsid w:val="008E6F7B"/>
    <w:rsid w:val="008E6FBE"/>
    <w:rsid w:val="008E7241"/>
    <w:rsid w:val="008E72D1"/>
    <w:rsid w:val="008E7414"/>
    <w:rsid w:val="008E74D6"/>
    <w:rsid w:val="008E75FE"/>
    <w:rsid w:val="008E7793"/>
    <w:rsid w:val="008E784E"/>
    <w:rsid w:val="008E793F"/>
    <w:rsid w:val="008E7960"/>
    <w:rsid w:val="008E799B"/>
    <w:rsid w:val="008E79D5"/>
    <w:rsid w:val="008E7A64"/>
    <w:rsid w:val="008E7B38"/>
    <w:rsid w:val="008E7BA3"/>
    <w:rsid w:val="008E7BCF"/>
    <w:rsid w:val="008E7C03"/>
    <w:rsid w:val="008E7CD1"/>
    <w:rsid w:val="008E7D60"/>
    <w:rsid w:val="008E7D79"/>
    <w:rsid w:val="008E7F83"/>
    <w:rsid w:val="008F0347"/>
    <w:rsid w:val="008F0397"/>
    <w:rsid w:val="008F0494"/>
    <w:rsid w:val="008F057B"/>
    <w:rsid w:val="008F061E"/>
    <w:rsid w:val="008F0758"/>
    <w:rsid w:val="008F0A04"/>
    <w:rsid w:val="008F0A1C"/>
    <w:rsid w:val="008F0A38"/>
    <w:rsid w:val="008F0B10"/>
    <w:rsid w:val="008F0CD2"/>
    <w:rsid w:val="008F0D0E"/>
    <w:rsid w:val="008F0D66"/>
    <w:rsid w:val="008F0D9A"/>
    <w:rsid w:val="008F0DE7"/>
    <w:rsid w:val="008F0E09"/>
    <w:rsid w:val="008F0EA8"/>
    <w:rsid w:val="008F0F1E"/>
    <w:rsid w:val="008F0F76"/>
    <w:rsid w:val="008F1198"/>
    <w:rsid w:val="008F11F9"/>
    <w:rsid w:val="008F13B5"/>
    <w:rsid w:val="008F13E5"/>
    <w:rsid w:val="008F1437"/>
    <w:rsid w:val="008F143B"/>
    <w:rsid w:val="008F1451"/>
    <w:rsid w:val="008F1543"/>
    <w:rsid w:val="008F158E"/>
    <w:rsid w:val="008F158F"/>
    <w:rsid w:val="008F16CE"/>
    <w:rsid w:val="008F173A"/>
    <w:rsid w:val="008F17AC"/>
    <w:rsid w:val="008F17DB"/>
    <w:rsid w:val="008F1925"/>
    <w:rsid w:val="008F1B12"/>
    <w:rsid w:val="008F1B42"/>
    <w:rsid w:val="008F1B4B"/>
    <w:rsid w:val="008F1BA7"/>
    <w:rsid w:val="008F1C0C"/>
    <w:rsid w:val="008F1C8E"/>
    <w:rsid w:val="008F1CD9"/>
    <w:rsid w:val="008F1E68"/>
    <w:rsid w:val="008F1EB3"/>
    <w:rsid w:val="008F1EE0"/>
    <w:rsid w:val="008F1FB9"/>
    <w:rsid w:val="008F2020"/>
    <w:rsid w:val="008F213F"/>
    <w:rsid w:val="008F2358"/>
    <w:rsid w:val="008F2394"/>
    <w:rsid w:val="008F2488"/>
    <w:rsid w:val="008F253C"/>
    <w:rsid w:val="008F25E7"/>
    <w:rsid w:val="008F25F1"/>
    <w:rsid w:val="008F2622"/>
    <w:rsid w:val="008F28C3"/>
    <w:rsid w:val="008F292B"/>
    <w:rsid w:val="008F2A70"/>
    <w:rsid w:val="008F2B54"/>
    <w:rsid w:val="008F2C37"/>
    <w:rsid w:val="008F2F8F"/>
    <w:rsid w:val="008F30CF"/>
    <w:rsid w:val="008F323F"/>
    <w:rsid w:val="008F3323"/>
    <w:rsid w:val="008F334F"/>
    <w:rsid w:val="008F34F8"/>
    <w:rsid w:val="008F3600"/>
    <w:rsid w:val="008F3647"/>
    <w:rsid w:val="008F3688"/>
    <w:rsid w:val="008F3739"/>
    <w:rsid w:val="008F37F1"/>
    <w:rsid w:val="008F3823"/>
    <w:rsid w:val="008F38FA"/>
    <w:rsid w:val="008F3A8C"/>
    <w:rsid w:val="008F3B49"/>
    <w:rsid w:val="008F3B61"/>
    <w:rsid w:val="008F3BDE"/>
    <w:rsid w:val="008F3CA9"/>
    <w:rsid w:val="008F3CD2"/>
    <w:rsid w:val="008F3DA3"/>
    <w:rsid w:val="008F3F52"/>
    <w:rsid w:val="008F3FA4"/>
    <w:rsid w:val="008F4159"/>
    <w:rsid w:val="008F4238"/>
    <w:rsid w:val="008F4247"/>
    <w:rsid w:val="008F42E1"/>
    <w:rsid w:val="008F4464"/>
    <w:rsid w:val="008F44AC"/>
    <w:rsid w:val="008F457E"/>
    <w:rsid w:val="008F46D2"/>
    <w:rsid w:val="008F4797"/>
    <w:rsid w:val="008F4977"/>
    <w:rsid w:val="008F4B55"/>
    <w:rsid w:val="008F4DDA"/>
    <w:rsid w:val="008F503A"/>
    <w:rsid w:val="008F504B"/>
    <w:rsid w:val="008F51E5"/>
    <w:rsid w:val="008F5287"/>
    <w:rsid w:val="008F52A1"/>
    <w:rsid w:val="008F53AE"/>
    <w:rsid w:val="008F53C9"/>
    <w:rsid w:val="008F548A"/>
    <w:rsid w:val="008F5533"/>
    <w:rsid w:val="008F556C"/>
    <w:rsid w:val="008F56BC"/>
    <w:rsid w:val="008F57D9"/>
    <w:rsid w:val="008F57DE"/>
    <w:rsid w:val="008F5817"/>
    <w:rsid w:val="008F5844"/>
    <w:rsid w:val="008F58C2"/>
    <w:rsid w:val="008F58D9"/>
    <w:rsid w:val="008F59A8"/>
    <w:rsid w:val="008F5AD8"/>
    <w:rsid w:val="008F5BA9"/>
    <w:rsid w:val="008F5BDE"/>
    <w:rsid w:val="008F5C9D"/>
    <w:rsid w:val="008F6261"/>
    <w:rsid w:val="008F63B2"/>
    <w:rsid w:val="008F63F0"/>
    <w:rsid w:val="008F64C1"/>
    <w:rsid w:val="008F6728"/>
    <w:rsid w:val="008F67AF"/>
    <w:rsid w:val="008F6865"/>
    <w:rsid w:val="008F686B"/>
    <w:rsid w:val="008F6978"/>
    <w:rsid w:val="008F6A12"/>
    <w:rsid w:val="008F6ABD"/>
    <w:rsid w:val="008F6BE0"/>
    <w:rsid w:val="008F6D25"/>
    <w:rsid w:val="008F6E11"/>
    <w:rsid w:val="008F6F54"/>
    <w:rsid w:val="008F7173"/>
    <w:rsid w:val="008F721C"/>
    <w:rsid w:val="008F72EB"/>
    <w:rsid w:val="008F738E"/>
    <w:rsid w:val="008F7533"/>
    <w:rsid w:val="008F7549"/>
    <w:rsid w:val="008F7578"/>
    <w:rsid w:val="008F75A9"/>
    <w:rsid w:val="008F76A1"/>
    <w:rsid w:val="008F76D4"/>
    <w:rsid w:val="008F778F"/>
    <w:rsid w:val="008F79B4"/>
    <w:rsid w:val="008F79ED"/>
    <w:rsid w:val="008F7ACD"/>
    <w:rsid w:val="008F7B2C"/>
    <w:rsid w:val="008F7B84"/>
    <w:rsid w:val="008F7C1A"/>
    <w:rsid w:val="008F7C31"/>
    <w:rsid w:val="008F7C49"/>
    <w:rsid w:val="008F7C57"/>
    <w:rsid w:val="008F7D2E"/>
    <w:rsid w:val="008F7D47"/>
    <w:rsid w:val="008F7D6B"/>
    <w:rsid w:val="008F7EB5"/>
    <w:rsid w:val="008F7FF7"/>
    <w:rsid w:val="00900085"/>
    <w:rsid w:val="009000CE"/>
    <w:rsid w:val="0090013D"/>
    <w:rsid w:val="009001E8"/>
    <w:rsid w:val="009003D6"/>
    <w:rsid w:val="00900574"/>
    <w:rsid w:val="00900643"/>
    <w:rsid w:val="0090079C"/>
    <w:rsid w:val="009009F0"/>
    <w:rsid w:val="00900A03"/>
    <w:rsid w:val="00900BB1"/>
    <w:rsid w:val="00900D63"/>
    <w:rsid w:val="00900E1F"/>
    <w:rsid w:val="00900F97"/>
    <w:rsid w:val="0090106D"/>
    <w:rsid w:val="00901147"/>
    <w:rsid w:val="00901293"/>
    <w:rsid w:val="009013AE"/>
    <w:rsid w:val="0090144D"/>
    <w:rsid w:val="00901528"/>
    <w:rsid w:val="0090153F"/>
    <w:rsid w:val="0090169C"/>
    <w:rsid w:val="009018FC"/>
    <w:rsid w:val="00901962"/>
    <w:rsid w:val="00901B07"/>
    <w:rsid w:val="00901B3F"/>
    <w:rsid w:val="00901B4F"/>
    <w:rsid w:val="00901C49"/>
    <w:rsid w:val="00901CE6"/>
    <w:rsid w:val="00901CFF"/>
    <w:rsid w:val="00901DFD"/>
    <w:rsid w:val="0090221B"/>
    <w:rsid w:val="00902284"/>
    <w:rsid w:val="00902358"/>
    <w:rsid w:val="009023AF"/>
    <w:rsid w:val="009023B4"/>
    <w:rsid w:val="009023BD"/>
    <w:rsid w:val="009024D4"/>
    <w:rsid w:val="00902533"/>
    <w:rsid w:val="0090263F"/>
    <w:rsid w:val="00902644"/>
    <w:rsid w:val="0090264F"/>
    <w:rsid w:val="0090274C"/>
    <w:rsid w:val="009029BF"/>
    <w:rsid w:val="00902A59"/>
    <w:rsid w:val="00902A86"/>
    <w:rsid w:val="00902BAA"/>
    <w:rsid w:val="00902BFF"/>
    <w:rsid w:val="00902CCF"/>
    <w:rsid w:val="00902EAB"/>
    <w:rsid w:val="00902FD0"/>
    <w:rsid w:val="00903007"/>
    <w:rsid w:val="0090307E"/>
    <w:rsid w:val="0090318B"/>
    <w:rsid w:val="00903235"/>
    <w:rsid w:val="0090333F"/>
    <w:rsid w:val="00903437"/>
    <w:rsid w:val="009034CF"/>
    <w:rsid w:val="00903557"/>
    <w:rsid w:val="00903602"/>
    <w:rsid w:val="00903627"/>
    <w:rsid w:val="0090363D"/>
    <w:rsid w:val="0090383A"/>
    <w:rsid w:val="00903873"/>
    <w:rsid w:val="00903881"/>
    <w:rsid w:val="0090392A"/>
    <w:rsid w:val="0090396E"/>
    <w:rsid w:val="00903A87"/>
    <w:rsid w:val="00903AE9"/>
    <w:rsid w:val="00903B0F"/>
    <w:rsid w:val="00903B28"/>
    <w:rsid w:val="00903C44"/>
    <w:rsid w:val="00903D85"/>
    <w:rsid w:val="00903FE2"/>
    <w:rsid w:val="00904042"/>
    <w:rsid w:val="00904170"/>
    <w:rsid w:val="00904182"/>
    <w:rsid w:val="0090435D"/>
    <w:rsid w:val="00904376"/>
    <w:rsid w:val="0090461C"/>
    <w:rsid w:val="00904682"/>
    <w:rsid w:val="00904690"/>
    <w:rsid w:val="00904724"/>
    <w:rsid w:val="00904833"/>
    <w:rsid w:val="009048BA"/>
    <w:rsid w:val="0090495C"/>
    <w:rsid w:val="00904982"/>
    <w:rsid w:val="00904C56"/>
    <w:rsid w:val="00904CEB"/>
    <w:rsid w:val="00904D0A"/>
    <w:rsid w:val="00904D11"/>
    <w:rsid w:val="00904E2A"/>
    <w:rsid w:val="00904EBC"/>
    <w:rsid w:val="00904FE8"/>
    <w:rsid w:val="0090517A"/>
    <w:rsid w:val="009051EC"/>
    <w:rsid w:val="0090526E"/>
    <w:rsid w:val="009054DB"/>
    <w:rsid w:val="009055D6"/>
    <w:rsid w:val="00905641"/>
    <w:rsid w:val="00905679"/>
    <w:rsid w:val="009056BB"/>
    <w:rsid w:val="0090571D"/>
    <w:rsid w:val="00905785"/>
    <w:rsid w:val="009057E8"/>
    <w:rsid w:val="009057FD"/>
    <w:rsid w:val="00905942"/>
    <w:rsid w:val="00905954"/>
    <w:rsid w:val="009059B1"/>
    <w:rsid w:val="009059E2"/>
    <w:rsid w:val="00905AA1"/>
    <w:rsid w:val="00905AC6"/>
    <w:rsid w:val="00905ACC"/>
    <w:rsid w:val="00905B19"/>
    <w:rsid w:val="00905BE8"/>
    <w:rsid w:val="00905C19"/>
    <w:rsid w:val="00905F3D"/>
    <w:rsid w:val="0090612D"/>
    <w:rsid w:val="0090627F"/>
    <w:rsid w:val="009062C1"/>
    <w:rsid w:val="00906391"/>
    <w:rsid w:val="009064FC"/>
    <w:rsid w:val="00906600"/>
    <w:rsid w:val="00906633"/>
    <w:rsid w:val="009066C1"/>
    <w:rsid w:val="009067D8"/>
    <w:rsid w:val="0090680B"/>
    <w:rsid w:val="0090683B"/>
    <w:rsid w:val="00906A29"/>
    <w:rsid w:val="00906A31"/>
    <w:rsid w:val="00906AF0"/>
    <w:rsid w:val="00906B68"/>
    <w:rsid w:val="00906B88"/>
    <w:rsid w:val="00906BD6"/>
    <w:rsid w:val="00906D22"/>
    <w:rsid w:val="00906D2C"/>
    <w:rsid w:val="00906D40"/>
    <w:rsid w:val="00906D50"/>
    <w:rsid w:val="00906D6E"/>
    <w:rsid w:val="00906DEF"/>
    <w:rsid w:val="00906F42"/>
    <w:rsid w:val="00906F4D"/>
    <w:rsid w:val="00906F87"/>
    <w:rsid w:val="00907115"/>
    <w:rsid w:val="009071CE"/>
    <w:rsid w:val="0090721B"/>
    <w:rsid w:val="00907485"/>
    <w:rsid w:val="00907594"/>
    <w:rsid w:val="0090786C"/>
    <w:rsid w:val="009078BE"/>
    <w:rsid w:val="009078CC"/>
    <w:rsid w:val="00907A85"/>
    <w:rsid w:val="00907AA4"/>
    <w:rsid w:val="00907B40"/>
    <w:rsid w:val="00907C84"/>
    <w:rsid w:val="00907D24"/>
    <w:rsid w:val="00907D9C"/>
    <w:rsid w:val="00907DB1"/>
    <w:rsid w:val="00910188"/>
    <w:rsid w:val="00910373"/>
    <w:rsid w:val="00910566"/>
    <w:rsid w:val="00910627"/>
    <w:rsid w:val="009106A8"/>
    <w:rsid w:val="00910911"/>
    <w:rsid w:val="00910983"/>
    <w:rsid w:val="00910ACE"/>
    <w:rsid w:val="00910B21"/>
    <w:rsid w:val="00910C41"/>
    <w:rsid w:val="00910C87"/>
    <w:rsid w:val="00910DF4"/>
    <w:rsid w:val="00910EB1"/>
    <w:rsid w:val="00910ECF"/>
    <w:rsid w:val="00911037"/>
    <w:rsid w:val="0091109D"/>
    <w:rsid w:val="00911184"/>
    <w:rsid w:val="009111B4"/>
    <w:rsid w:val="00911237"/>
    <w:rsid w:val="00911281"/>
    <w:rsid w:val="0091130C"/>
    <w:rsid w:val="00911314"/>
    <w:rsid w:val="00911399"/>
    <w:rsid w:val="00911403"/>
    <w:rsid w:val="0091148A"/>
    <w:rsid w:val="00911596"/>
    <w:rsid w:val="0091163C"/>
    <w:rsid w:val="0091188C"/>
    <w:rsid w:val="00911914"/>
    <w:rsid w:val="00911947"/>
    <w:rsid w:val="009119A3"/>
    <w:rsid w:val="00911B6F"/>
    <w:rsid w:val="00911B95"/>
    <w:rsid w:val="00911BC5"/>
    <w:rsid w:val="00911C6F"/>
    <w:rsid w:val="00911DB1"/>
    <w:rsid w:val="00911DDD"/>
    <w:rsid w:val="009120E3"/>
    <w:rsid w:val="00912150"/>
    <w:rsid w:val="00912213"/>
    <w:rsid w:val="00912252"/>
    <w:rsid w:val="00912290"/>
    <w:rsid w:val="009123D6"/>
    <w:rsid w:val="0091241D"/>
    <w:rsid w:val="009124EB"/>
    <w:rsid w:val="00912553"/>
    <w:rsid w:val="009125CA"/>
    <w:rsid w:val="009125D8"/>
    <w:rsid w:val="009125EB"/>
    <w:rsid w:val="009125FA"/>
    <w:rsid w:val="00912734"/>
    <w:rsid w:val="009127BE"/>
    <w:rsid w:val="009127C7"/>
    <w:rsid w:val="00912837"/>
    <w:rsid w:val="00912892"/>
    <w:rsid w:val="009129CD"/>
    <w:rsid w:val="009129FC"/>
    <w:rsid w:val="009129FD"/>
    <w:rsid w:val="00912A23"/>
    <w:rsid w:val="00912AA4"/>
    <w:rsid w:val="00912B3F"/>
    <w:rsid w:val="00912BDD"/>
    <w:rsid w:val="00912CD8"/>
    <w:rsid w:val="00912DAA"/>
    <w:rsid w:val="00912ECD"/>
    <w:rsid w:val="00912ED9"/>
    <w:rsid w:val="00913073"/>
    <w:rsid w:val="00913122"/>
    <w:rsid w:val="00913188"/>
    <w:rsid w:val="009131B1"/>
    <w:rsid w:val="009132FD"/>
    <w:rsid w:val="0091331E"/>
    <w:rsid w:val="0091333E"/>
    <w:rsid w:val="0091335F"/>
    <w:rsid w:val="009133DB"/>
    <w:rsid w:val="009133F4"/>
    <w:rsid w:val="00913463"/>
    <w:rsid w:val="00913501"/>
    <w:rsid w:val="0091356B"/>
    <w:rsid w:val="00913727"/>
    <w:rsid w:val="009137B2"/>
    <w:rsid w:val="009138C4"/>
    <w:rsid w:val="00913A59"/>
    <w:rsid w:val="00913C56"/>
    <w:rsid w:val="00913C88"/>
    <w:rsid w:val="00913CEB"/>
    <w:rsid w:val="00913D24"/>
    <w:rsid w:val="00913D98"/>
    <w:rsid w:val="00913F1D"/>
    <w:rsid w:val="00913F57"/>
    <w:rsid w:val="0091405E"/>
    <w:rsid w:val="0091416F"/>
    <w:rsid w:val="009142C3"/>
    <w:rsid w:val="00914394"/>
    <w:rsid w:val="00914479"/>
    <w:rsid w:val="00914518"/>
    <w:rsid w:val="00914574"/>
    <w:rsid w:val="00914616"/>
    <w:rsid w:val="00914669"/>
    <w:rsid w:val="0091466F"/>
    <w:rsid w:val="0091469D"/>
    <w:rsid w:val="00914740"/>
    <w:rsid w:val="009149B0"/>
    <w:rsid w:val="00914A4B"/>
    <w:rsid w:val="00914ACD"/>
    <w:rsid w:val="00914B9B"/>
    <w:rsid w:val="00914BD6"/>
    <w:rsid w:val="00914E00"/>
    <w:rsid w:val="00915053"/>
    <w:rsid w:val="009150A6"/>
    <w:rsid w:val="0091512C"/>
    <w:rsid w:val="00915218"/>
    <w:rsid w:val="0091523A"/>
    <w:rsid w:val="0091546E"/>
    <w:rsid w:val="0091557C"/>
    <w:rsid w:val="0091558F"/>
    <w:rsid w:val="0091563D"/>
    <w:rsid w:val="00915643"/>
    <w:rsid w:val="00915646"/>
    <w:rsid w:val="0091564B"/>
    <w:rsid w:val="0091567C"/>
    <w:rsid w:val="009156B6"/>
    <w:rsid w:val="00915706"/>
    <w:rsid w:val="009157C2"/>
    <w:rsid w:val="009157D0"/>
    <w:rsid w:val="009157D7"/>
    <w:rsid w:val="009159A9"/>
    <w:rsid w:val="00915A46"/>
    <w:rsid w:val="00915B11"/>
    <w:rsid w:val="00915B68"/>
    <w:rsid w:val="00915C71"/>
    <w:rsid w:val="00915D5A"/>
    <w:rsid w:val="00915DB1"/>
    <w:rsid w:val="00915DDF"/>
    <w:rsid w:val="00915E36"/>
    <w:rsid w:val="009161EC"/>
    <w:rsid w:val="009162C1"/>
    <w:rsid w:val="0091646E"/>
    <w:rsid w:val="009167BA"/>
    <w:rsid w:val="009167BF"/>
    <w:rsid w:val="009167F0"/>
    <w:rsid w:val="00916813"/>
    <w:rsid w:val="0091683B"/>
    <w:rsid w:val="00916BA0"/>
    <w:rsid w:val="00916CCE"/>
    <w:rsid w:val="00916D46"/>
    <w:rsid w:val="00916DA6"/>
    <w:rsid w:val="00916EB0"/>
    <w:rsid w:val="00916FDF"/>
    <w:rsid w:val="009170CE"/>
    <w:rsid w:val="009171AD"/>
    <w:rsid w:val="009171C3"/>
    <w:rsid w:val="009171CD"/>
    <w:rsid w:val="009171EA"/>
    <w:rsid w:val="009171F2"/>
    <w:rsid w:val="009172B8"/>
    <w:rsid w:val="00917379"/>
    <w:rsid w:val="009173F6"/>
    <w:rsid w:val="0091741A"/>
    <w:rsid w:val="009176D3"/>
    <w:rsid w:val="009177C4"/>
    <w:rsid w:val="00917809"/>
    <w:rsid w:val="00917875"/>
    <w:rsid w:val="009178BC"/>
    <w:rsid w:val="0091794A"/>
    <w:rsid w:val="00917AD2"/>
    <w:rsid w:val="00917AEA"/>
    <w:rsid w:val="00917D1D"/>
    <w:rsid w:val="00917DBC"/>
    <w:rsid w:val="00917FFC"/>
    <w:rsid w:val="00920033"/>
    <w:rsid w:val="0092004A"/>
    <w:rsid w:val="00920292"/>
    <w:rsid w:val="00920320"/>
    <w:rsid w:val="009203D1"/>
    <w:rsid w:val="009203D6"/>
    <w:rsid w:val="0092040B"/>
    <w:rsid w:val="00920601"/>
    <w:rsid w:val="00920656"/>
    <w:rsid w:val="00920692"/>
    <w:rsid w:val="009206FE"/>
    <w:rsid w:val="00920805"/>
    <w:rsid w:val="0092082C"/>
    <w:rsid w:val="0092086E"/>
    <w:rsid w:val="00920951"/>
    <w:rsid w:val="009209C1"/>
    <w:rsid w:val="00920A1E"/>
    <w:rsid w:val="00920A71"/>
    <w:rsid w:val="00920A75"/>
    <w:rsid w:val="00920AC3"/>
    <w:rsid w:val="00920B6C"/>
    <w:rsid w:val="00920C13"/>
    <w:rsid w:val="00920E48"/>
    <w:rsid w:val="00920E54"/>
    <w:rsid w:val="00920FA0"/>
    <w:rsid w:val="00920FA3"/>
    <w:rsid w:val="0092123D"/>
    <w:rsid w:val="009212F1"/>
    <w:rsid w:val="009213CD"/>
    <w:rsid w:val="0092145D"/>
    <w:rsid w:val="009214A4"/>
    <w:rsid w:val="009215CD"/>
    <w:rsid w:val="00921615"/>
    <w:rsid w:val="009216F0"/>
    <w:rsid w:val="00921847"/>
    <w:rsid w:val="009218E3"/>
    <w:rsid w:val="009219D3"/>
    <w:rsid w:val="00921B2E"/>
    <w:rsid w:val="00921B85"/>
    <w:rsid w:val="00921C59"/>
    <w:rsid w:val="00921DD3"/>
    <w:rsid w:val="00921E3B"/>
    <w:rsid w:val="00921E42"/>
    <w:rsid w:val="00921EA7"/>
    <w:rsid w:val="00921F44"/>
    <w:rsid w:val="0092203D"/>
    <w:rsid w:val="009221B9"/>
    <w:rsid w:val="009223E3"/>
    <w:rsid w:val="009223F2"/>
    <w:rsid w:val="00922400"/>
    <w:rsid w:val="0092257C"/>
    <w:rsid w:val="00922687"/>
    <w:rsid w:val="00922853"/>
    <w:rsid w:val="009228DF"/>
    <w:rsid w:val="00922910"/>
    <w:rsid w:val="00922A31"/>
    <w:rsid w:val="00922CD0"/>
    <w:rsid w:val="00922D75"/>
    <w:rsid w:val="00922D9A"/>
    <w:rsid w:val="00922E04"/>
    <w:rsid w:val="00922E66"/>
    <w:rsid w:val="00922E7F"/>
    <w:rsid w:val="00922E8F"/>
    <w:rsid w:val="00922FC9"/>
    <w:rsid w:val="009230C3"/>
    <w:rsid w:val="00923121"/>
    <w:rsid w:val="009231D7"/>
    <w:rsid w:val="0092334E"/>
    <w:rsid w:val="00923425"/>
    <w:rsid w:val="0092343E"/>
    <w:rsid w:val="009236EB"/>
    <w:rsid w:val="0092376E"/>
    <w:rsid w:val="0092398D"/>
    <w:rsid w:val="00923C64"/>
    <w:rsid w:val="00923C86"/>
    <w:rsid w:val="00923C99"/>
    <w:rsid w:val="00923DBA"/>
    <w:rsid w:val="00923DCA"/>
    <w:rsid w:val="00923E23"/>
    <w:rsid w:val="009241DE"/>
    <w:rsid w:val="00924207"/>
    <w:rsid w:val="0092430E"/>
    <w:rsid w:val="00924333"/>
    <w:rsid w:val="009244A0"/>
    <w:rsid w:val="009244C5"/>
    <w:rsid w:val="0092453C"/>
    <w:rsid w:val="00924627"/>
    <w:rsid w:val="009248B5"/>
    <w:rsid w:val="00924904"/>
    <w:rsid w:val="0092498D"/>
    <w:rsid w:val="00924DA8"/>
    <w:rsid w:val="00924DF4"/>
    <w:rsid w:val="00924E40"/>
    <w:rsid w:val="00924E9F"/>
    <w:rsid w:val="00924EE1"/>
    <w:rsid w:val="00924F92"/>
    <w:rsid w:val="00924FEE"/>
    <w:rsid w:val="0092516A"/>
    <w:rsid w:val="009251E0"/>
    <w:rsid w:val="009254B5"/>
    <w:rsid w:val="00925540"/>
    <w:rsid w:val="009255DE"/>
    <w:rsid w:val="0092560A"/>
    <w:rsid w:val="00925799"/>
    <w:rsid w:val="009257E4"/>
    <w:rsid w:val="0092595E"/>
    <w:rsid w:val="009259AC"/>
    <w:rsid w:val="00925B8E"/>
    <w:rsid w:val="00925C12"/>
    <w:rsid w:val="00925C65"/>
    <w:rsid w:val="00925EC5"/>
    <w:rsid w:val="00926126"/>
    <w:rsid w:val="009261D3"/>
    <w:rsid w:val="0092632D"/>
    <w:rsid w:val="009263C4"/>
    <w:rsid w:val="009264AA"/>
    <w:rsid w:val="009264B8"/>
    <w:rsid w:val="0092652E"/>
    <w:rsid w:val="00926763"/>
    <w:rsid w:val="00926826"/>
    <w:rsid w:val="00926909"/>
    <w:rsid w:val="0092691E"/>
    <w:rsid w:val="0092699B"/>
    <w:rsid w:val="009269E7"/>
    <w:rsid w:val="00926A21"/>
    <w:rsid w:val="00926A67"/>
    <w:rsid w:val="00926AC3"/>
    <w:rsid w:val="00926BD2"/>
    <w:rsid w:val="00926D59"/>
    <w:rsid w:val="00926DAC"/>
    <w:rsid w:val="00926EA7"/>
    <w:rsid w:val="00926FFE"/>
    <w:rsid w:val="0092701C"/>
    <w:rsid w:val="0092705F"/>
    <w:rsid w:val="0092716D"/>
    <w:rsid w:val="0092717F"/>
    <w:rsid w:val="009271D0"/>
    <w:rsid w:val="00927225"/>
    <w:rsid w:val="0092729B"/>
    <w:rsid w:val="00927301"/>
    <w:rsid w:val="009273BE"/>
    <w:rsid w:val="00927401"/>
    <w:rsid w:val="00927459"/>
    <w:rsid w:val="009274C6"/>
    <w:rsid w:val="0092754B"/>
    <w:rsid w:val="009275C5"/>
    <w:rsid w:val="0092766F"/>
    <w:rsid w:val="009276B9"/>
    <w:rsid w:val="00927752"/>
    <w:rsid w:val="00927848"/>
    <w:rsid w:val="009278D3"/>
    <w:rsid w:val="00927AA0"/>
    <w:rsid w:val="00927AB0"/>
    <w:rsid w:val="00927B90"/>
    <w:rsid w:val="00927B9A"/>
    <w:rsid w:val="00927DF6"/>
    <w:rsid w:val="00927EC2"/>
    <w:rsid w:val="00927EE4"/>
    <w:rsid w:val="00927FD5"/>
    <w:rsid w:val="009300F5"/>
    <w:rsid w:val="009301B1"/>
    <w:rsid w:val="0093030D"/>
    <w:rsid w:val="0093038F"/>
    <w:rsid w:val="0093041E"/>
    <w:rsid w:val="0093047B"/>
    <w:rsid w:val="0093048A"/>
    <w:rsid w:val="0093051B"/>
    <w:rsid w:val="0093059A"/>
    <w:rsid w:val="00930A05"/>
    <w:rsid w:val="00930A2F"/>
    <w:rsid w:val="00930A38"/>
    <w:rsid w:val="00930B64"/>
    <w:rsid w:val="00930BE1"/>
    <w:rsid w:val="00930C36"/>
    <w:rsid w:val="00930C63"/>
    <w:rsid w:val="00930D02"/>
    <w:rsid w:val="00930E8A"/>
    <w:rsid w:val="0093108C"/>
    <w:rsid w:val="009310F6"/>
    <w:rsid w:val="0093124B"/>
    <w:rsid w:val="00931333"/>
    <w:rsid w:val="00931457"/>
    <w:rsid w:val="009314FE"/>
    <w:rsid w:val="0093151F"/>
    <w:rsid w:val="009315ED"/>
    <w:rsid w:val="00931691"/>
    <w:rsid w:val="00931849"/>
    <w:rsid w:val="00931891"/>
    <w:rsid w:val="00931AA6"/>
    <w:rsid w:val="00931B78"/>
    <w:rsid w:val="00931BA4"/>
    <w:rsid w:val="00931CFC"/>
    <w:rsid w:val="00931D81"/>
    <w:rsid w:val="00931DBE"/>
    <w:rsid w:val="00931E03"/>
    <w:rsid w:val="00931EB2"/>
    <w:rsid w:val="00931ECA"/>
    <w:rsid w:val="009320EA"/>
    <w:rsid w:val="0093236A"/>
    <w:rsid w:val="00932502"/>
    <w:rsid w:val="0093252C"/>
    <w:rsid w:val="00932589"/>
    <w:rsid w:val="009325E7"/>
    <w:rsid w:val="009325E9"/>
    <w:rsid w:val="009326D0"/>
    <w:rsid w:val="00932990"/>
    <w:rsid w:val="009329F7"/>
    <w:rsid w:val="00932A77"/>
    <w:rsid w:val="00932AA9"/>
    <w:rsid w:val="00932B5F"/>
    <w:rsid w:val="00932B83"/>
    <w:rsid w:val="00932BAD"/>
    <w:rsid w:val="00932BB4"/>
    <w:rsid w:val="00932BD9"/>
    <w:rsid w:val="00932C28"/>
    <w:rsid w:val="00932CCD"/>
    <w:rsid w:val="00932EA6"/>
    <w:rsid w:val="00932ED7"/>
    <w:rsid w:val="00932FD2"/>
    <w:rsid w:val="0093310F"/>
    <w:rsid w:val="00933267"/>
    <w:rsid w:val="00933449"/>
    <w:rsid w:val="009335A5"/>
    <w:rsid w:val="009337EE"/>
    <w:rsid w:val="00933800"/>
    <w:rsid w:val="0093385D"/>
    <w:rsid w:val="00933926"/>
    <w:rsid w:val="00933990"/>
    <w:rsid w:val="0093399E"/>
    <w:rsid w:val="00933A63"/>
    <w:rsid w:val="00933AC8"/>
    <w:rsid w:val="00933B35"/>
    <w:rsid w:val="00933C07"/>
    <w:rsid w:val="00933DC8"/>
    <w:rsid w:val="00933E5C"/>
    <w:rsid w:val="00933FE7"/>
    <w:rsid w:val="00934028"/>
    <w:rsid w:val="00934197"/>
    <w:rsid w:val="009341C0"/>
    <w:rsid w:val="009341C5"/>
    <w:rsid w:val="00934273"/>
    <w:rsid w:val="00934297"/>
    <w:rsid w:val="009342D0"/>
    <w:rsid w:val="00934311"/>
    <w:rsid w:val="00934459"/>
    <w:rsid w:val="00934493"/>
    <w:rsid w:val="009344AC"/>
    <w:rsid w:val="00934526"/>
    <w:rsid w:val="00934786"/>
    <w:rsid w:val="00934BBF"/>
    <w:rsid w:val="00934D05"/>
    <w:rsid w:val="00934D7E"/>
    <w:rsid w:val="00934DCD"/>
    <w:rsid w:val="00934ECD"/>
    <w:rsid w:val="00934F7E"/>
    <w:rsid w:val="00935033"/>
    <w:rsid w:val="00935046"/>
    <w:rsid w:val="009352E9"/>
    <w:rsid w:val="0093543C"/>
    <w:rsid w:val="00935526"/>
    <w:rsid w:val="009356BF"/>
    <w:rsid w:val="0093574F"/>
    <w:rsid w:val="009357A5"/>
    <w:rsid w:val="009357EE"/>
    <w:rsid w:val="00935861"/>
    <w:rsid w:val="009358B0"/>
    <w:rsid w:val="009358FE"/>
    <w:rsid w:val="009359A7"/>
    <w:rsid w:val="009359A9"/>
    <w:rsid w:val="00935A49"/>
    <w:rsid w:val="00935B44"/>
    <w:rsid w:val="00935B6E"/>
    <w:rsid w:val="00935BF2"/>
    <w:rsid w:val="00935C3A"/>
    <w:rsid w:val="00935D84"/>
    <w:rsid w:val="00935E70"/>
    <w:rsid w:val="00935EB8"/>
    <w:rsid w:val="00935EFA"/>
    <w:rsid w:val="009360CD"/>
    <w:rsid w:val="0093616F"/>
    <w:rsid w:val="009361DE"/>
    <w:rsid w:val="0093628A"/>
    <w:rsid w:val="0093637B"/>
    <w:rsid w:val="00936387"/>
    <w:rsid w:val="0093649F"/>
    <w:rsid w:val="009365BE"/>
    <w:rsid w:val="00936688"/>
    <w:rsid w:val="009366E4"/>
    <w:rsid w:val="009367BD"/>
    <w:rsid w:val="009367E9"/>
    <w:rsid w:val="009368B8"/>
    <w:rsid w:val="009368C3"/>
    <w:rsid w:val="00936965"/>
    <w:rsid w:val="00936994"/>
    <w:rsid w:val="009369B1"/>
    <w:rsid w:val="009369D9"/>
    <w:rsid w:val="00936A02"/>
    <w:rsid w:val="00936A3A"/>
    <w:rsid w:val="00936A71"/>
    <w:rsid w:val="00936E8A"/>
    <w:rsid w:val="00936FF2"/>
    <w:rsid w:val="009370DD"/>
    <w:rsid w:val="009371CF"/>
    <w:rsid w:val="00937236"/>
    <w:rsid w:val="0093738F"/>
    <w:rsid w:val="00937441"/>
    <w:rsid w:val="0093746A"/>
    <w:rsid w:val="0093752F"/>
    <w:rsid w:val="00937654"/>
    <w:rsid w:val="00937660"/>
    <w:rsid w:val="0093783D"/>
    <w:rsid w:val="009378D1"/>
    <w:rsid w:val="00937938"/>
    <w:rsid w:val="00937A14"/>
    <w:rsid w:val="00937A94"/>
    <w:rsid w:val="00937B13"/>
    <w:rsid w:val="00937B8C"/>
    <w:rsid w:val="00937E2A"/>
    <w:rsid w:val="00937F3A"/>
    <w:rsid w:val="00937FF2"/>
    <w:rsid w:val="0094025F"/>
    <w:rsid w:val="00940306"/>
    <w:rsid w:val="00940423"/>
    <w:rsid w:val="00940438"/>
    <w:rsid w:val="009404FE"/>
    <w:rsid w:val="00940560"/>
    <w:rsid w:val="009405C5"/>
    <w:rsid w:val="009406AF"/>
    <w:rsid w:val="009406CB"/>
    <w:rsid w:val="00940718"/>
    <w:rsid w:val="00940772"/>
    <w:rsid w:val="009407EE"/>
    <w:rsid w:val="0094090F"/>
    <w:rsid w:val="009409F0"/>
    <w:rsid w:val="00940A5A"/>
    <w:rsid w:val="00940B87"/>
    <w:rsid w:val="00940C30"/>
    <w:rsid w:val="00940C4A"/>
    <w:rsid w:val="00940DE6"/>
    <w:rsid w:val="00940E40"/>
    <w:rsid w:val="00940E41"/>
    <w:rsid w:val="00940E9C"/>
    <w:rsid w:val="00941261"/>
    <w:rsid w:val="00941281"/>
    <w:rsid w:val="009412EE"/>
    <w:rsid w:val="009415DF"/>
    <w:rsid w:val="0094165F"/>
    <w:rsid w:val="00941710"/>
    <w:rsid w:val="009417F9"/>
    <w:rsid w:val="00941825"/>
    <w:rsid w:val="0094192D"/>
    <w:rsid w:val="00941968"/>
    <w:rsid w:val="0094197D"/>
    <w:rsid w:val="00941AE6"/>
    <w:rsid w:val="00941C2A"/>
    <w:rsid w:val="00941C87"/>
    <w:rsid w:val="00941D52"/>
    <w:rsid w:val="00941E0E"/>
    <w:rsid w:val="00941F15"/>
    <w:rsid w:val="00942000"/>
    <w:rsid w:val="00942066"/>
    <w:rsid w:val="009420B7"/>
    <w:rsid w:val="009420C1"/>
    <w:rsid w:val="00942334"/>
    <w:rsid w:val="00942495"/>
    <w:rsid w:val="009426B9"/>
    <w:rsid w:val="00942763"/>
    <w:rsid w:val="0094287A"/>
    <w:rsid w:val="0094289E"/>
    <w:rsid w:val="00942908"/>
    <w:rsid w:val="009429BB"/>
    <w:rsid w:val="00942A2B"/>
    <w:rsid w:val="00942B19"/>
    <w:rsid w:val="00942B58"/>
    <w:rsid w:val="00942BE9"/>
    <w:rsid w:val="00942D6E"/>
    <w:rsid w:val="00942E33"/>
    <w:rsid w:val="009430B4"/>
    <w:rsid w:val="00943177"/>
    <w:rsid w:val="0094328E"/>
    <w:rsid w:val="009433C0"/>
    <w:rsid w:val="009433DD"/>
    <w:rsid w:val="00943435"/>
    <w:rsid w:val="00943479"/>
    <w:rsid w:val="00943583"/>
    <w:rsid w:val="009436F8"/>
    <w:rsid w:val="009436FC"/>
    <w:rsid w:val="0094373D"/>
    <w:rsid w:val="009438C8"/>
    <w:rsid w:val="009439CF"/>
    <w:rsid w:val="00943A3E"/>
    <w:rsid w:val="00943A92"/>
    <w:rsid w:val="00943B0E"/>
    <w:rsid w:val="00943B14"/>
    <w:rsid w:val="00943B6F"/>
    <w:rsid w:val="00943BFA"/>
    <w:rsid w:val="00943C9E"/>
    <w:rsid w:val="00943D40"/>
    <w:rsid w:val="00943F1E"/>
    <w:rsid w:val="00943FE6"/>
    <w:rsid w:val="00943FFB"/>
    <w:rsid w:val="009440C9"/>
    <w:rsid w:val="00944143"/>
    <w:rsid w:val="00944152"/>
    <w:rsid w:val="0094434E"/>
    <w:rsid w:val="009443EA"/>
    <w:rsid w:val="009444B3"/>
    <w:rsid w:val="009444D9"/>
    <w:rsid w:val="00944632"/>
    <w:rsid w:val="009446A5"/>
    <w:rsid w:val="0094470D"/>
    <w:rsid w:val="009447CE"/>
    <w:rsid w:val="0094498F"/>
    <w:rsid w:val="00944C64"/>
    <w:rsid w:val="00944C79"/>
    <w:rsid w:val="00944D71"/>
    <w:rsid w:val="00944E56"/>
    <w:rsid w:val="00944EBD"/>
    <w:rsid w:val="00945248"/>
    <w:rsid w:val="0094528C"/>
    <w:rsid w:val="009452D1"/>
    <w:rsid w:val="009452F1"/>
    <w:rsid w:val="00945470"/>
    <w:rsid w:val="009455CE"/>
    <w:rsid w:val="009455EF"/>
    <w:rsid w:val="00945674"/>
    <w:rsid w:val="0094572E"/>
    <w:rsid w:val="00945740"/>
    <w:rsid w:val="0094575A"/>
    <w:rsid w:val="009457A1"/>
    <w:rsid w:val="00945916"/>
    <w:rsid w:val="009459EA"/>
    <w:rsid w:val="00945A3B"/>
    <w:rsid w:val="00945A82"/>
    <w:rsid w:val="00945BBB"/>
    <w:rsid w:val="00945BBE"/>
    <w:rsid w:val="00945BF1"/>
    <w:rsid w:val="00945C7A"/>
    <w:rsid w:val="00945D63"/>
    <w:rsid w:val="00945DCC"/>
    <w:rsid w:val="00945E2B"/>
    <w:rsid w:val="00945E44"/>
    <w:rsid w:val="00946048"/>
    <w:rsid w:val="009460DF"/>
    <w:rsid w:val="009461E3"/>
    <w:rsid w:val="00946246"/>
    <w:rsid w:val="00946428"/>
    <w:rsid w:val="00946466"/>
    <w:rsid w:val="00946867"/>
    <w:rsid w:val="00946945"/>
    <w:rsid w:val="0094697F"/>
    <w:rsid w:val="009469D2"/>
    <w:rsid w:val="00946C22"/>
    <w:rsid w:val="00946EA6"/>
    <w:rsid w:val="00946F86"/>
    <w:rsid w:val="00946FC6"/>
    <w:rsid w:val="0094707D"/>
    <w:rsid w:val="00947132"/>
    <w:rsid w:val="009472CC"/>
    <w:rsid w:val="0094736F"/>
    <w:rsid w:val="009474AB"/>
    <w:rsid w:val="009474B8"/>
    <w:rsid w:val="00947614"/>
    <w:rsid w:val="0094769A"/>
    <w:rsid w:val="00947726"/>
    <w:rsid w:val="009477DC"/>
    <w:rsid w:val="009478B9"/>
    <w:rsid w:val="009479B4"/>
    <w:rsid w:val="00947A6A"/>
    <w:rsid w:val="00947A8C"/>
    <w:rsid w:val="00947CD3"/>
    <w:rsid w:val="00947CF4"/>
    <w:rsid w:val="00947DED"/>
    <w:rsid w:val="00947E21"/>
    <w:rsid w:val="00950011"/>
    <w:rsid w:val="0095002C"/>
    <w:rsid w:val="00950082"/>
    <w:rsid w:val="00950209"/>
    <w:rsid w:val="009502E8"/>
    <w:rsid w:val="009503E0"/>
    <w:rsid w:val="009505C1"/>
    <w:rsid w:val="00950620"/>
    <w:rsid w:val="0095066E"/>
    <w:rsid w:val="009506CE"/>
    <w:rsid w:val="00950787"/>
    <w:rsid w:val="00950806"/>
    <w:rsid w:val="009508BD"/>
    <w:rsid w:val="0095092F"/>
    <w:rsid w:val="00950B72"/>
    <w:rsid w:val="00950B78"/>
    <w:rsid w:val="00950C0F"/>
    <w:rsid w:val="00950C98"/>
    <w:rsid w:val="00950CE1"/>
    <w:rsid w:val="00950D37"/>
    <w:rsid w:val="00950DB9"/>
    <w:rsid w:val="00950F08"/>
    <w:rsid w:val="00950F76"/>
    <w:rsid w:val="00950FD8"/>
    <w:rsid w:val="00951018"/>
    <w:rsid w:val="00951078"/>
    <w:rsid w:val="00951104"/>
    <w:rsid w:val="0095124B"/>
    <w:rsid w:val="009512E8"/>
    <w:rsid w:val="00951334"/>
    <w:rsid w:val="00951448"/>
    <w:rsid w:val="00951771"/>
    <w:rsid w:val="0095179C"/>
    <w:rsid w:val="009517D5"/>
    <w:rsid w:val="00951876"/>
    <w:rsid w:val="00951882"/>
    <w:rsid w:val="009518B0"/>
    <w:rsid w:val="009518C8"/>
    <w:rsid w:val="00951B14"/>
    <w:rsid w:val="00951B2F"/>
    <w:rsid w:val="00951B52"/>
    <w:rsid w:val="00951C6E"/>
    <w:rsid w:val="00951DE3"/>
    <w:rsid w:val="00951DEB"/>
    <w:rsid w:val="00951EE8"/>
    <w:rsid w:val="00951F27"/>
    <w:rsid w:val="00951F8E"/>
    <w:rsid w:val="0095201E"/>
    <w:rsid w:val="00952047"/>
    <w:rsid w:val="0095204B"/>
    <w:rsid w:val="00952102"/>
    <w:rsid w:val="00952109"/>
    <w:rsid w:val="0095251A"/>
    <w:rsid w:val="00952521"/>
    <w:rsid w:val="009525A0"/>
    <w:rsid w:val="009525DD"/>
    <w:rsid w:val="00952732"/>
    <w:rsid w:val="009527A8"/>
    <w:rsid w:val="00952A1C"/>
    <w:rsid w:val="00952B40"/>
    <w:rsid w:val="00952C44"/>
    <w:rsid w:val="00952C97"/>
    <w:rsid w:val="00952D06"/>
    <w:rsid w:val="00952D15"/>
    <w:rsid w:val="00952DE0"/>
    <w:rsid w:val="00952DF0"/>
    <w:rsid w:val="00952E3A"/>
    <w:rsid w:val="00952E78"/>
    <w:rsid w:val="00952F1E"/>
    <w:rsid w:val="0095303E"/>
    <w:rsid w:val="009530DD"/>
    <w:rsid w:val="00953133"/>
    <w:rsid w:val="009531F7"/>
    <w:rsid w:val="0095326B"/>
    <w:rsid w:val="0095332A"/>
    <w:rsid w:val="009536FA"/>
    <w:rsid w:val="00953786"/>
    <w:rsid w:val="009537B4"/>
    <w:rsid w:val="009537C9"/>
    <w:rsid w:val="009537D2"/>
    <w:rsid w:val="009538FF"/>
    <w:rsid w:val="009539B6"/>
    <w:rsid w:val="00953A9A"/>
    <w:rsid w:val="00953C11"/>
    <w:rsid w:val="00953C4E"/>
    <w:rsid w:val="00953D74"/>
    <w:rsid w:val="00953E09"/>
    <w:rsid w:val="00953E85"/>
    <w:rsid w:val="00953EA3"/>
    <w:rsid w:val="00953FA0"/>
    <w:rsid w:val="009540CE"/>
    <w:rsid w:val="0095412C"/>
    <w:rsid w:val="0095418F"/>
    <w:rsid w:val="009541B0"/>
    <w:rsid w:val="009541DB"/>
    <w:rsid w:val="0095425D"/>
    <w:rsid w:val="009543E8"/>
    <w:rsid w:val="00954464"/>
    <w:rsid w:val="0095459E"/>
    <w:rsid w:val="00954995"/>
    <w:rsid w:val="00954AB8"/>
    <w:rsid w:val="00954BA4"/>
    <w:rsid w:val="00954BF3"/>
    <w:rsid w:val="00954C02"/>
    <w:rsid w:val="00954C0A"/>
    <w:rsid w:val="00954CC4"/>
    <w:rsid w:val="00954D1D"/>
    <w:rsid w:val="00954D6A"/>
    <w:rsid w:val="00954D90"/>
    <w:rsid w:val="00954E83"/>
    <w:rsid w:val="00955001"/>
    <w:rsid w:val="00955009"/>
    <w:rsid w:val="0095503B"/>
    <w:rsid w:val="00955067"/>
    <w:rsid w:val="0095506F"/>
    <w:rsid w:val="0095517B"/>
    <w:rsid w:val="0095524F"/>
    <w:rsid w:val="009552A3"/>
    <w:rsid w:val="009552C6"/>
    <w:rsid w:val="009553E0"/>
    <w:rsid w:val="0095549E"/>
    <w:rsid w:val="009554F0"/>
    <w:rsid w:val="00955500"/>
    <w:rsid w:val="0095554F"/>
    <w:rsid w:val="0095568C"/>
    <w:rsid w:val="00955B9A"/>
    <w:rsid w:val="00955CEC"/>
    <w:rsid w:val="00955DC3"/>
    <w:rsid w:val="00955DF3"/>
    <w:rsid w:val="00955E60"/>
    <w:rsid w:val="00955E99"/>
    <w:rsid w:val="00955ED7"/>
    <w:rsid w:val="00956081"/>
    <w:rsid w:val="009560A8"/>
    <w:rsid w:val="0095612D"/>
    <w:rsid w:val="00956158"/>
    <w:rsid w:val="009561E3"/>
    <w:rsid w:val="00956267"/>
    <w:rsid w:val="009562B1"/>
    <w:rsid w:val="00956330"/>
    <w:rsid w:val="0095634D"/>
    <w:rsid w:val="00956846"/>
    <w:rsid w:val="009568E5"/>
    <w:rsid w:val="00956904"/>
    <w:rsid w:val="00956A22"/>
    <w:rsid w:val="00956AD1"/>
    <w:rsid w:val="00956B6E"/>
    <w:rsid w:val="00956BFE"/>
    <w:rsid w:val="00956E30"/>
    <w:rsid w:val="00956E7D"/>
    <w:rsid w:val="00956F13"/>
    <w:rsid w:val="00956F18"/>
    <w:rsid w:val="00956F80"/>
    <w:rsid w:val="0095724F"/>
    <w:rsid w:val="009572A1"/>
    <w:rsid w:val="009572D0"/>
    <w:rsid w:val="0095733D"/>
    <w:rsid w:val="00957419"/>
    <w:rsid w:val="009576D4"/>
    <w:rsid w:val="00957748"/>
    <w:rsid w:val="0095779D"/>
    <w:rsid w:val="009577F9"/>
    <w:rsid w:val="00957892"/>
    <w:rsid w:val="00957A07"/>
    <w:rsid w:val="00957A36"/>
    <w:rsid w:val="00957BFB"/>
    <w:rsid w:val="00957C02"/>
    <w:rsid w:val="00957C03"/>
    <w:rsid w:val="00957C8B"/>
    <w:rsid w:val="00957DC4"/>
    <w:rsid w:val="00957E36"/>
    <w:rsid w:val="00957F79"/>
    <w:rsid w:val="00960075"/>
    <w:rsid w:val="0096022C"/>
    <w:rsid w:val="0096036D"/>
    <w:rsid w:val="00960378"/>
    <w:rsid w:val="00960513"/>
    <w:rsid w:val="009605BD"/>
    <w:rsid w:val="00960944"/>
    <w:rsid w:val="00960978"/>
    <w:rsid w:val="00960B0C"/>
    <w:rsid w:val="00960B2E"/>
    <w:rsid w:val="00960BBA"/>
    <w:rsid w:val="00960C1F"/>
    <w:rsid w:val="00960CA9"/>
    <w:rsid w:val="00960CDD"/>
    <w:rsid w:val="00960CF1"/>
    <w:rsid w:val="00960EB0"/>
    <w:rsid w:val="0096103C"/>
    <w:rsid w:val="009610B4"/>
    <w:rsid w:val="0096117E"/>
    <w:rsid w:val="00961188"/>
    <w:rsid w:val="00961262"/>
    <w:rsid w:val="00961282"/>
    <w:rsid w:val="009614B7"/>
    <w:rsid w:val="009615D4"/>
    <w:rsid w:val="0096178F"/>
    <w:rsid w:val="009617C4"/>
    <w:rsid w:val="00961A45"/>
    <w:rsid w:val="00961B03"/>
    <w:rsid w:val="00961B1B"/>
    <w:rsid w:val="00961B49"/>
    <w:rsid w:val="00961D48"/>
    <w:rsid w:val="00961EB6"/>
    <w:rsid w:val="00961EC0"/>
    <w:rsid w:val="00961FEE"/>
    <w:rsid w:val="00961FFE"/>
    <w:rsid w:val="009621F5"/>
    <w:rsid w:val="00962312"/>
    <w:rsid w:val="0096237E"/>
    <w:rsid w:val="00962408"/>
    <w:rsid w:val="00962431"/>
    <w:rsid w:val="009624B1"/>
    <w:rsid w:val="009625F9"/>
    <w:rsid w:val="00962658"/>
    <w:rsid w:val="0096265E"/>
    <w:rsid w:val="00962706"/>
    <w:rsid w:val="00962707"/>
    <w:rsid w:val="00962734"/>
    <w:rsid w:val="0096275F"/>
    <w:rsid w:val="009628B5"/>
    <w:rsid w:val="009628F1"/>
    <w:rsid w:val="0096299A"/>
    <w:rsid w:val="00962A70"/>
    <w:rsid w:val="00962AAA"/>
    <w:rsid w:val="00962AAE"/>
    <w:rsid w:val="00962B8A"/>
    <w:rsid w:val="00962C3C"/>
    <w:rsid w:val="00962D2C"/>
    <w:rsid w:val="00962D5D"/>
    <w:rsid w:val="00962E27"/>
    <w:rsid w:val="00962E2B"/>
    <w:rsid w:val="00962EC1"/>
    <w:rsid w:val="00962F83"/>
    <w:rsid w:val="00962FF9"/>
    <w:rsid w:val="00962FFE"/>
    <w:rsid w:val="00963246"/>
    <w:rsid w:val="00963267"/>
    <w:rsid w:val="009632AA"/>
    <w:rsid w:val="00963327"/>
    <w:rsid w:val="0096339D"/>
    <w:rsid w:val="009634C7"/>
    <w:rsid w:val="00963502"/>
    <w:rsid w:val="00963517"/>
    <w:rsid w:val="00963774"/>
    <w:rsid w:val="0096387C"/>
    <w:rsid w:val="009638EE"/>
    <w:rsid w:val="00963A1B"/>
    <w:rsid w:val="00963A9A"/>
    <w:rsid w:val="00963AA2"/>
    <w:rsid w:val="00963AF3"/>
    <w:rsid w:val="00963B52"/>
    <w:rsid w:val="00963B59"/>
    <w:rsid w:val="00963D02"/>
    <w:rsid w:val="00963DAD"/>
    <w:rsid w:val="00963DBF"/>
    <w:rsid w:val="00963F0E"/>
    <w:rsid w:val="00963F18"/>
    <w:rsid w:val="00964182"/>
    <w:rsid w:val="00964188"/>
    <w:rsid w:val="009641A4"/>
    <w:rsid w:val="009641BF"/>
    <w:rsid w:val="00964540"/>
    <w:rsid w:val="009645C2"/>
    <w:rsid w:val="00964678"/>
    <w:rsid w:val="00964748"/>
    <w:rsid w:val="0096478D"/>
    <w:rsid w:val="00964809"/>
    <w:rsid w:val="0096489A"/>
    <w:rsid w:val="009648CE"/>
    <w:rsid w:val="00964A63"/>
    <w:rsid w:val="00964AAF"/>
    <w:rsid w:val="00964AB7"/>
    <w:rsid w:val="00964CCD"/>
    <w:rsid w:val="00964EBD"/>
    <w:rsid w:val="00965164"/>
    <w:rsid w:val="009651E2"/>
    <w:rsid w:val="009654B1"/>
    <w:rsid w:val="00965652"/>
    <w:rsid w:val="00965719"/>
    <w:rsid w:val="0096579C"/>
    <w:rsid w:val="0096584E"/>
    <w:rsid w:val="00965972"/>
    <w:rsid w:val="00965A25"/>
    <w:rsid w:val="00965A77"/>
    <w:rsid w:val="00965C8D"/>
    <w:rsid w:val="00965DCA"/>
    <w:rsid w:val="00965DFD"/>
    <w:rsid w:val="00965E8B"/>
    <w:rsid w:val="00965EBA"/>
    <w:rsid w:val="00965F59"/>
    <w:rsid w:val="00965F5E"/>
    <w:rsid w:val="00965F8C"/>
    <w:rsid w:val="0096606D"/>
    <w:rsid w:val="00966122"/>
    <w:rsid w:val="0096617D"/>
    <w:rsid w:val="00966201"/>
    <w:rsid w:val="009663AC"/>
    <w:rsid w:val="009663B5"/>
    <w:rsid w:val="00966497"/>
    <w:rsid w:val="00966592"/>
    <w:rsid w:val="00966629"/>
    <w:rsid w:val="00966651"/>
    <w:rsid w:val="00966663"/>
    <w:rsid w:val="009666E6"/>
    <w:rsid w:val="0096671B"/>
    <w:rsid w:val="0096689D"/>
    <w:rsid w:val="009668C7"/>
    <w:rsid w:val="00966A50"/>
    <w:rsid w:val="00966A62"/>
    <w:rsid w:val="00966B23"/>
    <w:rsid w:val="00966CBA"/>
    <w:rsid w:val="00966D32"/>
    <w:rsid w:val="00966D5A"/>
    <w:rsid w:val="00966DF8"/>
    <w:rsid w:val="00966EC1"/>
    <w:rsid w:val="00966EFC"/>
    <w:rsid w:val="00966FAF"/>
    <w:rsid w:val="00966FDC"/>
    <w:rsid w:val="00966FE5"/>
    <w:rsid w:val="009670C1"/>
    <w:rsid w:val="00967102"/>
    <w:rsid w:val="0096714E"/>
    <w:rsid w:val="009672E6"/>
    <w:rsid w:val="00967486"/>
    <w:rsid w:val="009674B5"/>
    <w:rsid w:val="00967696"/>
    <w:rsid w:val="009676CD"/>
    <w:rsid w:val="00967835"/>
    <w:rsid w:val="00967848"/>
    <w:rsid w:val="009678C5"/>
    <w:rsid w:val="009678D1"/>
    <w:rsid w:val="009678F7"/>
    <w:rsid w:val="00967A59"/>
    <w:rsid w:val="00967AD6"/>
    <w:rsid w:val="00967B0D"/>
    <w:rsid w:val="00967C3A"/>
    <w:rsid w:val="00967DEF"/>
    <w:rsid w:val="00970067"/>
    <w:rsid w:val="009700A8"/>
    <w:rsid w:val="00970135"/>
    <w:rsid w:val="00970192"/>
    <w:rsid w:val="009701FC"/>
    <w:rsid w:val="009703B0"/>
    <w:rsid w:val="009703C2"/>
    <w:rsid w:val="009704CB"/>
    <w:rsid w:val="009705CF"/>
    <w:rsid w:val="0097066D"/>
    <w:rsid w:val="0097071B"/>
    <w:rsid w:val="00970730"/>
    <w:rsid w:val="009707BD"/>
    <w:rsid w:val="0097093D"/>
    <w:rsid w:val="009709DB"/>
    <w:rsid w:val="00970AB7"/>
    <w:rsid w:val="00970B5C"/>
    <w:rsid w:val="00970C78"/>
    <w:rsid w:val="00970CD6"/>
    <w:rsid w:val="00970DC9"/>
    <w:rsid w:val="00970E53"/>
    <w:rsid w:val="00970E69"/>
    <w:rsid w:val="00970FD0"/>
    <w:rsid w:val="00971000"/>
    <w:rsid w:val="0097105D"/>
    <w:rsid w:val="009710C6"/>
    <w:rsid w:val="009710F6"/>
    <w:rsid w:val="00971214"/>
    <w:rsid w:val="00971220"/>
    <w:rsid w:val="00971254"/>
    <w:rsid w:val="009712DD"/>
    <w:rsid w:val="0097132D"/>
    <w:rsid w:val="009714E6"/>
    <w:rsid w:val="0097150E"/>
    <w:rsid w:val="00971519"/>
    <w:rsid w:val="0097158F"/>
    <w:rsid w:val="009717AB"/>
    <w:rsid w:val="00971887"/>
    <w:rsid w:val="00971926"/>
    <w:rsid w:val="00971970"/>
    <w:rsid w:val="00971974"/>
    <w:rsid w:val="009719A8"/>
    <w:rsid w:val="00971A78"/>
    <w:rsid w:val="00971B2B"/>
    <w:rsid w:val="00971C34"/>
    <w:rsid w:val="00971E41"/>
    <w:rsid w:val="00971F91"/>
    <w:rsid w:val="00972086"/>
    <w:rsid w:val="00972328"/>
    <w:rsid w:val="009724EE"/>
    <w:rsid w:val="00972574"/>
    <w:rsid w:val="00972596"/>
    <w:rsid w:val="009725CC"/>
    <w:rsid w:val="009726B7"/>
    <w:rsid w:val="009726E8"/>
    <w:rsid w:val="00972B5A"/>
    <w:rsid w:val="00972BA6"/>
    <w:rsid w:val="00972D30"/>
    <w:rsid w:val="00972E1A"/>
    <w:rsid w:val="00972E68"/>
    <w:rsid w:val="00972F73"/>
    <w:rsid w:val="009731E4"/>
    <w:rsid w:val="00973212"/>
    <w:rsid w:val="00973227"/>
    <w:rsid w:val="0097332B"/>
    <w:rsid w:val="0097336D"/>
    <w:rsid w:val="0097339B"/>
    <w:rsid w:val="0097351C"/>
    <w:rsid w:val="009735CC"/>
    <w:rsid w:val="0097360A"/>
    <w:rsid w:val="00973756"/>
    <w:rsid w:val="00973764"/>
    <w:rsid w:val="0097376D"/>
    <w:rsid w:val="00973879"/>
    <w:rsid w:val="009738D0"/>
    <w:rsid w:val="00973970"/>
    <w:rsid w:val="009739EB"/>
    <w:rsid w:val="00973A51"/>
    <w:rsid w:val="00973BBC"/>
    <w:rsid w:val="00973CF1"/>
    <w:rsid w:val="00973CFB"/>
    <w:rsid w:val="00973D89"/>
    <w:rsid w:val="00973E3A"/>
    <w:rsid w:val="00973E45"/>
    <w:rsid w:val="00973EA7"/>
    <w:rsid w:val="00973F29"/>
    <w:rsid w:val="009740A3"/>
    <w:rsid w:val="009740AB"/>
    <w:rsid w:val="009741DF"/>
    <w:rsid w:val="009741EE"/>
    <w:rsid w:val="009742A7"/>
    <w:rsid w:val="0097432C"/>
    <w:rsid w:val="00974675"/>
    <w:rsid w:val="009746CA"/>
    <w:rsid w:val="0097482E"/>
    <w:rsid w:val="009748C8"/>
    <w:rsid w:val="009748F0"/>
    <w:rsid w:val="009749DF"/>
    <w:rsid w:val="00974A4D"/>
    <w:rsid w:val="00974A71"/>
    <w:rsid w:val="00974A9B"/>
    <w:rsid w:val="00974CFB"/>
    <w:rsid w:val="00974D71"/>
    <w:rsid w:val="00974E04"/>
    <w:rsid w:val="00974E40"/>
    <w:rsid w:val="009750F3"/>
    <w:rsid w:val="00975105"/>
    <w:rsid w:val="00975304"/>
    <w:rsid w:val="00975315"/>
    <w:rsid w:val="00975366"/>
    <w:rsid w:val="009753BA"/>
    <w:rsid w:val="009754B6"/>
    <w:rsid w:val="009754EA"/>
    <w:rsid w:val="0097550D"/>
    <w:rsid w:val="009755B4"/>
    <w:rsid w:val="00975751"/>
    <w:rsid w:val="009757E3"/>
    <w:rsid w:val="00975BC0"/>
    <w:rsid w:val="00975D0F"/>
    <w:rsid w:val="00975DF7"/>
    <w:rsid w:val="00975E3B"/>
    <w:rsid w:val="00975ED6"/>
    <w:rsid w:val="00975F16"/>
    <w:rsid w:val="00975F30"/>
    <w:rsid w:val="00975F5A"/>
    <w:rsid w:val="00975FB2"/>
    <w:rsid w:val="00976080"/>
    <w:rsid w:val="009761BA"/>
    <w:rsid w:val="00976224"/>
    <w:rsid w:val="00976252"/>
    <w:rsid w:val="0097627D"/>
    <w:rsid w:val="009763C7"/>
    <w:rsid w:val="0097640F"/>
    <w:rsid w:val="0097653A"/>
    <w:rsid w:val="0097658A"/>
    <w:rsid w:val="0097661D"/>
    <w:rsid w:val="00976723"/>
    <w:rsid w:val="00976729"/>
    <w:rsid w:val="009767DB"/>
    <w:rsid w:val="00976867"/>
    <w:rsid w:val="00976906"/>
    <w:rsid w:val="00976A32"/>
    <w:rsid w:val="00976A61"/>
    <w:rsid w:val="00976AFC"/>
    <w:rsid w:val="00976DEC"/>
    <w:rsid w:val="00976EDA"/>
    <w:rsid w:val="00976F86"/>
    <w:rsid w:val="00976FE9"/>
    <w:rsid w:val="0097702B"/>
    <w:rsid w:val="009772C1"/>
    <w:rsid w:val="0097735F"/>
    <w:rsid w:val="009773CD"/>
    <w:rsid w:val="009773D6"/>
    <w:rsid w:val="009773E2"/>
    <w:rsid w:val="00977478"/>
    <w:rsid w:val="00977562"/>
    <w:rsid w:val="00977590"/>
    <w:rsid w:val="009776E7"/>
    <w:rsid w:val="00977736"/>
    <w:rsid w:val="00977945"/>
    <w:rsid w:val="009779A5"/>
    <w:rsid w:val="00977C47"/>
    <w:rsid w:val="00977D6E"/>
    <w:rsid w:val="00977D8D"/>
    <w:rsid w:val="00977DE5"/>
    <w:rsid w:val="00977E66"/>
    <w:rsid w:val="00977E9E"/>
    <w:rsid w:val="00977EEE"/>
    <w:rsid w:val="00977FC9"/>
    <w:rsid w:val="00980036"/>
    <w:rsid w:val="00980077"/>
    <w:rsid w:val="009800D7"/>
    <w:rsid w:val="009803C2"/>
    <w:rsid w:val="009803DE"/>
    <w:rsid w:val="0098057F"/>
    <w:rsid w:val="0098058E"/>
    <w:rsid w:val="00980746"/>
    <w:rsid w:val="0098078E"/>
    <w:rsid w:val="0098085A"/>
    <w:rsid w:val="0098096F"/>
    <w:rsid w:val="00980973"/>
    <w:rsid w:val="00980984"/>
    <w:rsid w:val="00980A67"/>
    <w:rsid w:val="00980B26"/>
    <w:rsid w:val="00980D6A"/>
    <w:rsid w:val="00980D6E"/>
    <w:rsid w:val="00980F70"/>
    <w:rsid w:val="0098106D"/>
    <w:rsid w:val="00981100"/>
    <w:rsid w:val="00981139"/>
    <w:rsid w:val="009811DA"/>
    <w:rsid w:val="00981246"/>
    <w:rsid w:val="0098139D"/>
    <w:rsid w:val="009813A1"/>
    <w:rsid w:val="009814E9"/>
    <w:rsid w:val="00981512"/>
    <w:rsid w:val="00981547"/>
    <w:rsid w:val="009815EF"/>
    <w:rsid w:val="00981798"/>
    <w:rsid w:val="009817FA"/>
    <w:rsid w:val="00981BC3"/>
    <w:rsid w:val="00981D26"/>
    <w:rsid w:val="00981EE9"/>
    <w:rsid w:val="00982055"/>
    <w:rsid w:val="0098210E"/>
    <w:rsid w:val="009821C5"/>
    <w:rsid w:val="009821D6"/>
    <w:rsid w:val="00982267"/>
    <w:rsid w:val="00982299"/>
    <w:rsid w:val="00982342"/>
    <w:rsid w:val="00982373"/>
    <w:rsid w:val="00982391"/>
    <w:rsid w:val="0098245A"/>
    <w:rsid w:val="00982470"/>
    <w:rsid w:val="009824C5"/>
    <w:rsid w:val="00982829"/>
    <w:rsid w:val="00982880"/>
    <w:rsid w:val="00982B73"/>
    <w:rsid w:val="00982C69"/>
    <w:rsid w:val="00982CAE"/>
    <w:rsid w:val="00982E4F"/>
    <w:rsid w:val="00982EB4"/>
    <w:rsid w:val="00982FE1"/>
    <w:rsid w:val="0098301F"/>
    <w:rsid w:val="00983072"/>
    <w:rsid w:val="009832D9"/>
    <w:rsid w:val="009832E2"/>
    <w:rsid w:val="0098337A"/>
    <w:rsid w:val="009834EF"/>
    <w:rsid w:val="00983544"/>
    <w:rsid w:val="00983701"/>
    <w:rsid w:val="009837D3"/>
    <w:rsid w:val="00983847"/>
    <w:rsid w:val="00983BA2"/>
    <w:rsid w:val="00983BD8"/>
    <w:rsid w:val="00983C10"/>
    <w:rsid w:val="00983C97"/>
    <w:rsid w:val="00983F04"/>
    <w:rsid w:val="00983F9C"/>
    <w:rsid w:val="00983FCA"/>
    <w:rsid w:val="00984428"/>
    <w:rsid w:val="00984457"/>
    <w:rsid w:val="009844A4"/>
    <w:rsid w:val="009844DD"/>
    <w:rsid w:val="00984550"/>
    <w:rsid w:val="00984611"/>
    <w:rsid w:val="009846F8"/>
    <w:rsid w:val="00984721"/>
    <w:rsid w:val="0098478A"/>
    <w:rsid w:val="00984794"/>
    <w:rsid w:val="00984825"/>
    <w:rsid w:val="00984869"/>
    <w:rsid w:val="009848D7"/>
    <w:rsid w:val="00984A21"/>
    <w:rsid w:val="00984A95"/>
    <w:rsid w:val="00984AA9"/>
    <w:rsid w:val="00984B87"/>
    <w:rsid w:val="00984C0E"/>
    <w:rsid w:val="00984C1B"/>
    <w:rsid w:val="00984C22"/>
    <w:rsid w:val="00984D0D"/>
    <w:rsid w:val="00984D11"/>
    <w:rsid w:val="00984D33"/>
    <w:rsid w:val="00984D38"/>
    <w:rsid w:val="00984E9F"/>
    <w:rsid w:val="00984FAD"/>
    <w:rsid w:val="0098509E"/>
    <w:rsid w:val="009850FF"/>
    <w:rsid w:val="0098515D"/>
    <w:rsid w:val="0098515F"/>
    <w:rsid w:val="0098517C"/>
    <w:rsid w:val="0098521D"/>
    <w:rsid w:val="00985236"/>
    <w:rsid w:val="009852A2"/>
    <w:rsid w:val="00985342"/>
    <w:rsid w:val="0098538C"/>
    <w:rsid w:val="009853A2"/>
    <w:rsid w:val="00985495"/>
    <w:rsid w:val="00985541"/>
    <w:rsid w:val="00985674"/>
    <w:rsid w:val="0098574B"/>
    <w:rsid w:val="009857B6"/>
    <w:rsid w:val="009857EB"/>
    <w:rsid w:val="0098582C"/>
    <w:rsid w:val="0098589C"/>
    <w:rsid w:val="0098590B"/>
    <w:rsid w:val="009859B4"/>
    <w:rsid w:val="00985A6E"/>
    <w:rsid w:val="00985B77"/>
    <w:rsid w:val="00985BC8"/>
    <w:rsid w:val="00985CFF"/>
    <w:rsid w:val="00985DE1"/>
    <w:rsid w:val="00985E15"/>
    <w:rsid w:val="00985E39"/>
    <w:rsid w:val="00985ED3"/>
    <w:rsid w:val="00985EF6"/>
    <w:rsid w:val="00985F4A"/>
    <w:rsid w:val="00986097"/>
    <w:rsid w:val="00986100"/>
    <w:rsid w:val="00986379"/>
    <w:rsid w:val="0098644B"/>
    <w:rsid w:val="0098647F"/>
    <w:rsid w:val="00986518"/>
    <w:rsid w:val="0098655F"/>
    <w:rsid w:val="009865DC"/>
    <w:rsid w:val="0098662F"/>
    <w:rsid w:val="0098667C"/>
    <w:rsid w:val="009866AA"/>
    <w:rsid w:val="009866DB"/>
    <w:rsid w:val="0098678A"/>
    <w:rsid w:val="009867F3"/>
    <w:rsid w:val="0098684F"/>
    <w:rsid w:val="00986899"/>
    <w:rsid w:val="00986952"/>
    <w:rsid w:val="009869C0"/>
    <w:rsid w:val="00986B6E"/>
    <w:rsid w:val="00986BC8"/>
    <w:rsid w:val="00986E21"/>
    <w:rsid w:val="00986E30"/>
    <w:rsid w:val="00986F5B"/>
    <w:rsid w:val="0098700E"/>
    <w:rsid w:val="00987180"/>
    <w:rsid w:val="0098724B"/>
    <w:rsid w:val="009872C0"/>
    <w:rsid w:val="0098732C"/>
    <w:rsid w:val="00987601"/>
    <w:rsid w:val="0098760B"/>
    <w:rsid w:val="00987667"/>
    <w:rsid w:val="009876CD"/>
    <w:rsid w:val="00987833"/>
    <w:rsid w:val="00987891"/>
    <w:rsid w:val="00987A80"/>
    <w:rsid w:val="00987A86"/>
    <w:rsid w:val="00987CA1"/>
    <w:rsid w:val="00987CF0"/>
    <w:rsid w:val="00987D80"/>
    <w:rsid w:val="00987F45"/>
    <w:rsid w:val="00987F95"/>
    <w:rsid w:val="00987FE1"/>
    <w:rsid w:val="00987FFD"/>
    <w:rsid w:val="00990080"/>
    <w:rsid w:val="00990152"/>
    <w:rsid w:val="00990161"/>
    <w:rsid w:val="00990399"/>
    <w:rsid w:val="009903A9"/>
    <w:rsid w:val="009905CE"/>
    <w:rsid w:val="009905FB"/>
    <w:rsid w:val="00990679"/>
    <w:rsid w:val="00990745"/>
    <w:rsid w:val="0099075D"/>
    <w:rsid w:val="0099085C"/>
    <w:rsid w:val="0099097D"/>
    <w:rsid w:val="009909BD"/>
    <w:rsid w:val="00990A1C"/>
    <w:rsid w:val="00990CA6"/>
    <w:rsid w:val="00990CFC"/>
    <w:rsid w:val="00990EFC"/>
    <w:rsid w:val="00990F29"/>
    <w:rsid w:val="00990F83"/>
    <w:rsid w:val="0099105A"/>
    <w:rsid w:val="00991200"/>
    <w:rsid w:val="00991222"/>
    <w:rsid w:val="00991249"/>
    <w:rsid w:val="00991327"/>
    <w:rsid w:val="00991388"/>
    <w:rsid w:val="009913A6"/>
    <w:rsid w:val="00991482"/>
    <w:rsid w:val="009916CF"/>
    <w:rsid w:val="009917F6"/>
    <w:rsid w:val="00991811"/>
    <w:rsid w:val="00991848"/>
    <w:rsid w:val="00991861"/>
    <w:rsid w:val="00991B52"/>
    <w:rsid w:val="00991B9C"/>
    <w:rsid w:val="00991C2D"/>
    <w:rsid w:val="00991CCE"/>
    <w:rsid w:val="00991D08"/>
    <w:rsid w:val="00991D33"/>
    <w:rsid w:val="00991FFA"/>
    <w:rsid w:val="00992046"/>
    <w:rsid w:val="00992188"/>
    <w:rsid w:val="009921DB"/>
    <w:rsid w:val="00992276"/>
    <w:rsid w:val="00992288"/>
    <w:rsid w:val="00992384"/>
    <w:rsid w:val="00992403"/>
    <w:rsid w:val="00992557"/>
    <w:rsid w:val="00992599"/>
    <w:rsid w:val="00992612"/>
    <w:rsid w:val="009926DC"/>
    <w:rsid w:val="009927DB"/>
    <w:rsid w:val="00992839"/>
    <w:rsid w:val="00992AA8"/>
    <w:rsid w:val="00992AD7"/>
    <w:rsid w:val="00992B46"/>
    <w:rsid w:val="00992C0B"/>
    <w:rsid w:val="00992CAE"/>
    <w:rsid w:val="00992CEF"/>
    <w:rsid w:val="00992D21"/>
    <w:rsid w:val="00992DBF"/>
    <w:rsid w:val="00992EBD"/>
    <w:rsid w:val="00992FE3"/>
    <w:rsid w:val="0099307E"/>
    <w:rsid w:val="00993291"/>
    <w:rsid w:val="009932BC"/>
    <w:rsid w:val="00993487"/>
    <w:rsid w:val="009934C8"/>
    <w:rsid w:val="009935FB"/>
    <w:rsid w:val="009936B5"/>
    <w:rsid w:val="009936E6"/>
    <w:rsid w:val="00993765"/>
    <w:rsid w:val="009938B5"/>
    <w:rsid w:val="009938F3"/>
    <w:rsid w:val="00993968"/>
    <w:rsid w:val="009939E8"/>
    <w:rsid w:val="00993A3F"/>
    <w:rsid w:val="00993ABC"/>
    <w:rsid w:val="00993B40"/>
    <w:rsid w:val="00993B60"/>
    <w:rsid w:val="00993C14"/>
    <w:rsid w:val="00993C49"/>
    <w:rsid w:val="00993D2B"/>
    <w:rsid w:val="00993E14"/>
    <w:rsid w:val="00993E66"/>
    <w:rsid w:val="00993E87"/>
    <w:rsid w:val="00993E92"/>
    <w:rsid w:val="00993FB1"/>
    <w:rsid w:val="00994343"/>
    <w:rsid w:val="00994436"/>
    <w:rsid w:val="009944CC"/>
    <w:rsid w:val="0099451A"/>
    <w:rsid w:val="0099459B"/>
    <w:rsid w:val="00994629"/>
    <w:rsid w:val="00994735"/>
    <w:rsid w:val="00994755"/>
    <w:rsid w:val="00994781"/>
    <w:rsid w:val="0099478A"/>
    <w:rsid w:val="009947B9"/>
    <w:rsid w:val="00994A59"/>
    <w:rsid w:val="00994BD6"/>
    <w:rsid w:val="00994C2B"/>
    <w:rsid w:val="00994C6F"/>
    <w:rsid w:val="00994D47"/>
    <w:rsid w:val="00994E29"/>
    <w:rsid w:val="00994E88"/>
    <w:rsid w:val="00994EAA"/>
    <w:rsid w:val="00994F1C"/>
    <w:rsid w:val="00994F57"/>
    <w:rsid w:val="0099502B"/>
    <w:rsid w:val="009951EF"/>
    <w:rsid w:val="00995257"/>
    <w:rsid w:val="0099529C"/>
    <w:rsid w:val="009953E6"/>
    <w:rsid w:val="00995494"/>
    <w:rsid w:val="0099555B"/>
    <w:rsid w:val="009955B5"/>
    <w:rsid w:val="009956B1"/>
    <w:rsid w:val="0099594B"/>
    <w:rsid w:val="00995B18"/>
    <w:rsid w:val="00995B68"/>
    <w:rsid w:val="00995B69"/>
    <w:rsid w:val="00995B6C"/>
    <w:rsid w:val="00995C48"/>
    <w:rsid w:val="00995CD8"/>
    <w:rsid w:val="00995CEB"/>
    <w:rsid w:val="00995DF5"/>
    <w:rsid w:val="00995E03"/>
    <w:rsid w:val="00995F1A"/>
    <w:rsid w:val="00995F47"/>
    <w:rsid w:val="00995F72"/>
    <w:rsid w:val="00995F95"/>
    <w:rsid w:val="00996093"/>
    <w:rsid w:val="009961E1"/>
    <w:rsid w:val="0099620E"/>
    <w:rsid w:val="00996290"/>
    <w:rsid w:val="0099639D"/>
    <w:rsid w:val="009963AA"/>
    <w:rsid w:val="00996451"/>
    <w:rsid w:val="0099651B"/>
    <w:rsid w:val="0099656D"/>
    <w:rsid w:val="00996601"/>
    <w:rsid w:val="00996692"/>
    <w:rsid w:val="00996708"/>
    <w:rsid w:val="0099671A"/>
    <w:rsid w:val="009967A1"/>
    <w:rsid w:val="00996994"/>
    <w:rsid w:val="00996A2A"/>
    <w:rsid w:val="00996A45"/>
    <w:rsid w:val="00996AA7"/>
    <w:rsid w:val="00996C65"/>
    <w:rsid w:val="00996D61"/>
    <w:rsid w:val="00996DFB"/>
    <w:rsid w:val="00996E0C"/>
    <w:rsid w:val="00996E90"/>
    <w:rsid w:val="00996F22"/>
    <w:rsid w:val="00997514"/>
    <w:rsid w:val="0099755D"/>
    <w:rsid w:val="0099762C"/>
    <w:rsid w:val="009976AE"/>
    <w:rsid w:val="00997794"/>
    <w:rsid w:val="009977BA"/>
    <w:rsid w:val="009977E6"/>
    <w:rsid w:val="00997813"/>
    <w:rsid w:val="00997842"/>
    <w:rsid w:val="00997855"/>
    <w:rsid w:val="009979A2"/>
    <w:rsid w:val="009979D0"/>
    <w:rsid w:val="00997B55"/>
    <w:rsid w:val="009A010E"/>
    <w:rsid w:val="009A013D"/>
    <w:rsid w:val="009A015D"/>
    <w:rsid w:val="009A0194"/>
    <w:rsid w:val="009A01EB"/>
    <w:rsid w:val="009A0675"/>
    <w:rsid w:val="009A074D"/>
    <w:rsid w:val="009A0943"/>
    <w:rsid w:val="009A096F"/>
    <w:rsid w:val="009A0994"/>
    <w:rsid w:val="009A09DE"/>
    <w:rsid w:val="009A0A8A"/>
    <w:rsid w:val="009A0AA7"/>
    <w:rsid w:val="009A0ADA"/>
    <w:rsid w:val="009A0C4F"/>
    <w:rsid w:val="009A0D1C"/>
    <w:rsid w:val="009A0E77"/>
    <w:rsid w:val="009A0ED0"/>
    <w:rsid w:val="009A0EEC"/>
    <w:rsid w:val="009A0F91"/>
    <w:rsid w:val="009A0FAB"/>
    <w:rsid w:val="009A107F"/>
    <w:rsid w:val="009A111D"/>
    <w:rsid w:val="009A131B"/>
    <w:rsid w:val="009A141C"/>
    <w:rsid w:val="009A1424"/>
    <w:rsid w:val="009A154A"/>
    <w:rsid w:val="009A1554"/>
    <w:rsid w:val="009A17CD"/>
    <w:rsid w:val="009A1887"/>
    <w:rsid w:val="009A188E"/>
    <w:rsid w:val="009A18FC"/>
    <w:rsid w:val="009A1938"/>
    <w:rsid w:val="009A194D"/>
    <w:rsid w:val="009A1A78"/>
    <w:rsid w:val="009A1A92"/>
    <w:rsid w:val="009A1AF9"/>
    <w:rsid w:val="009A1B47"/>
    <w:rsid w:val="009A1B51"/>
    <w:rsid w:val="009A1BB9"/>
    <w:rsid w:val="009A1BBC"/>
    <w:rsid w:val="009A1C45"/>
    <w:rsid w:val="009A1D87"/>
    <w:rsid w:val="009A1DF1"/>
    <w:rsid w:val="009A1F60"/>
    <w:rsid w:val="009A2047"/>
    <w:rsid w:val="009A20E6"/>
    <w:rsid w:val="009A22E8"/>
    <w:rsid w:val="009A2327"/>
    <w:rsid w:val="009A23E6"/>
    <w:rsid w:val="009A2457"/>
    <w:rsid w:val="009A2491"/>
    <w:rsid w:val="009A25DF"/>
    <w:rsid w:val="009A2667"/>
    <w:rsid w:val="009A26B0"/>
    <w:rsid w:val="009A29B7"/>
    <w:rsid w:val="009A2B8B"/>
    <w:rsid w:val="009A2C27"/>
    <w:rsid w:val="009A2C69"/>
    <w:rsid w:val="009A2CB8"/>
    <w:rsid w:val="009A2CFF"/>
    <w:rsid w:val="009A2D3E"/>
    <w:rsid w:val="009A2D73"/>
    <w:rsid w:val="009A2D8C"/>
    <w:rsid w:val="009A2DA1"/>
    <w:rsid w:val="009A2F28"/>
    <w:rsid w:val="009A2F48"/>
    <w:rsid w:val="009A3133"/>
    <w:rsid w:val="009A317E"/>
    <w:rsid w:val="009A324C"/>
    <w:rsid w:val="009A3257"/>
    <w:rsid w:val="009A32B9"/>
    <w:rsid w:val="009A336B"/>
    <w:rsid w:val="009A3459"/>
    <w:rsid w:val="009A34D1"/>
    <w:rsid w:val="009A3512"/>
    <w:rsid w:val="009A3585"/>
    <w:rsid w:val="009A3605"/>
    <w:rsid w:val="009A3611"/>
    <w:rsid w:val="009A36AC"/>
    <w:rsid w:val="009A374B"/>
    <w:rsid w:val="009A388B"/>
    <w:rsid w:val="009A3948"/>
    <w:rsid w:val="009A39E1"/>
    <w:rsid w:val="009A39EB"/>
    <w:rsid w:val="009A39FB"/>
    <w:rsid w:val="009A3B40"/>
    <w:rsid w:val="009A3B8A"/>
    <w:rsid w:val="009A3CB8"/>
    <w:rsid w:val="009A3F4C"/>
    <w:rsid w:val="009A3FC5"/>
    <w:rsid w:val="009A4126"/>
    <w:rsid w:val="009A4181"/>
    <w:rsid w:val="009A41A9"/>
    <w:rsid w:val="009A423B"/>
    <w:rsid w:val="009A43BD"/>
    <w:rsid w:val="009A4788"/>
    <w:rsid w:val="009A4989"/>
    <w:rsid w:val="009A499D"/>
    <w:rsid w:val="009A49BB"/>
    <w:rsid w:val="009A4B15"/>
    <w:rsid w:val="009A4B3B"/>
    <w:rsid w:val="009A4BA4"/>
    <w:rsid w:val="009A4C53"/>
    <w:rsid w:val="009A4D6B"/>
    <w:rsid w:val="009A4DEE"/>
    <w:rsid w:val="009A4E4F"/>
    <w:rsid w:val="009A4F6A"/>
    <w:rsid w:val="009A4FAA"/>
    <w:rsid w:val="009A4FF7"/>
    <w:rsid w:val="009A50EB"/>
    <w:rsid w:val="009A5199"/>
    <w:rsid w:val="009A5384"/>
    <w:rsid w:val="009A53D6"/>
    <w:rsid w:val="009A541B"/>
    <w:rsid w:val="009A542B"/>
    <w:rsid w:val="009A5449"/>
    <w:rsid w:val="009A5541"/>
    <w:rsid w:val="009A5551"/>
    <w:rsid w:val="009A560E"/>
    <w:rsid w:val="009A5767"/>
    <w:rsid w:val="009A5843"/>
    <w:rsid w:val="009A5967"/>
    <w:rsid w:val="009A59A6"/>
    <w:rsid w:val="009A59DC"/>
    <w:rsid w:val="009A5A22"/>
    <w:rsid w:val="009A5B2B"/>
    <w:rsid w:val="009A5B9B"/>
    <w:rsid w:val="009A5DC0"/>
    <w:rsid w:val="009A6309"/>
    <w:rsid w:val="009A632C"/>
    <w:rsid w:val="009A63DD"/>
    <w:rsid w:val="009A647F"/>
    <w:rsid w:val="009A64C0"/>
    <w:rsid w:val="009A64EB"/>
    <w:rsid w:val="009A662D"/>
    <w:rsid w:val="009A6772"/>
    <w:rsid w:val="009A68C2"/>
    <w:rsid w:val="009A6A69"/>
    <w:rsid w:val="009A6B2C"/>
    <w:rsid w:val="009A6C8B"/>
    <w:rsid w:val="009A6D1E"/>
    <w:rsid w:val="009A6D33"/>
    <w:rsid w:val="009A6DB3"/>
    <w:rsid w:val="009A6E55"/>
    <w:rsid w:val="009A6E65"/>
    <w:rsid w:val="009A6F39"/>
    <w:rsid w:val="009A7023"/>
    <w:rsid w:val="009A70DB"/>
    <w:rsid w:val="009A71CD"/>
    <w:rsid w:val="009A720D"/>
    <w:rsid w:val="009A728A"/>
    <w:rsid w:val="009A7442"/>
    <w:rsid w:val="009A7480"/>
    <w:rsid w:val="009A75D4"/>
    <w:rsid w:val="009A7609"/>
    <w:rsid w:val="009A76D4"/>
    <w:rsid w:val="009A7752"/>
    <w:rsid w:val="009A7866"/>
    <w:rsid w:val="009A7A83"/>
    <w:rsid w:val="009A7B0C"/>
    <w:rsid w:val="009A7C12"/>
    <w:rsid w:val="009A7C5E"/>
    <w:rsid w:val="009A7CB2"/>
    <w:rsid w:val="009A7E33"/>
    <w:rsid w:val="009A7FA9"/>
    <w:rsid w:val="009B007D"/>
    <w:rsid w:val="009B00F1"/>
    <w:rsid w:val="009B02A8"/>
    <w:rsid w:val="009B032F"/>
    <w:rsid w:val="009B034A"/>
    <w:rsid w:val="009B0517"/>
    <w:rsid w:val="009B05A4"/>
    <w:rsid w:val="009B05D2"/>
    <w:rsid w:val="009B05EB"/>
    <w:rsid w:val="009B060F"/>
    <w:rsid w:val="009B06CD"/>
    <w:rsid w:val="009B0777"/>
    <w:rsid w:val="009B0965"/>
    <w:rsid w:val="009B09F2"/>
    <w:rsid w:val="009B0AB3"/>
    <w:rsid w:val="009B0B11"/>
    <w:rsid w:val="009B0BEF"/>
    <w:rsid w:val="009B0C2A"/>
    <w:rsid w:val="009B0C44"/>
    <w:rsid w:val="009B0CF5"/>
    <w:rsid w:val="009B0E68"/>
    <w:rsid w:val="009B0F3E"/>
    <w:rsid w:val="009B10DD"/>
    <w:rsid w:val="009B11D3"/>
    <w:rsid w:val="009B11E0"/>
    <w:rsid w:val="009B147B"/>
    <w:rsid w:val="009B14C2"/>
    <w:rsid w:val="009B14FE"/>
    <w:rsid w:val="009B1594"/>
    <w:rsid w:val="009B16DC"/>
    <w:rsid w:val="009B16E7"/>
    <w:rsid w:val="009B181C"/>
    <w:rsid w:val="009B1A15"/>
    <w:rsid w:val="009B1A2D"/>
    <w:rsid w:val="009B1A5F"/>
    <w:rsid w:val="009B1A8D"/>
    <w:rsid w:val="009B1AAB"/>
    <w:rsid w:val="009B1AFD"/>
    <w:rsid w:val="009B1C25"/>
    <w:rsid w:val="009B1C63"/>
    <w:rsid w:val="009B1E4D"/>
    <w:rsid w:val="009B1E69"/>
    <w:rsid w:val="009B1ED0"/>
    <w:rsid w:val="009B1F1D"/>
    <w:rsid w:val="009B1F5D"/>
    <w:rsid w:val="009B1FDA"/>
    <w:rsid w:val="009B1FDC"/>
    <w:rsid w:val="009B1FF0"/>
    <w:rsid w:val="009B20C3"/>
    <w:rsid w:val="009B22C2"/>
    <w:rsid w:val="009B235C"/>
    <w:rsid w:val="009B2413"/>
    <w:rsid w:val="009B2424"/>
    <w:rsid w:val="009B2464"/>
    <w:rsid w:val="009B287D"/>
    <w:rsid w:val="009B2995"/>
    <w:rsid w:val="009B2AB3"/>
    <w:rsid w:val="009B2E7A"/>
    <w:rsid w:val="009B2E8C"/>
    <w:rsid w:val="009B2F2B"/>
    <w:rsid w:val="009B3109"/>
    <w:rsid w:val="009B3325"/>
    <w:rsid w:val="009B344F"/>
    <w:rsid w:val="009B347A"/>
    <w:rsid w:val="009B3500"/>
    <w:rsid w:val="009B3534"/>
    <w:rsid w:val="009B35D4"/>
    <w:rsid w:val="009B35E0"/>
    <w:rsid w:val="009B36CD"/>
    <w:rsid w:val="009B3753"/>
    <w:rsid w:val="009B3780"/>
    <w:rsid w:val="009B3867"/>
    <w:rsid w:val="009B394C"/>
    <w:rsid w:val="009B39F1"/>
    <w:rsid w:val="009B3BA5"/>
    <w:rsid w:val="009B3BCC"/>
    <w:rsid w:val="009B3C2E"/>
    <w:rsid w:val="009B3C3B"/>
    <w:rsid w:val="009B3CD4"/>
    <w:rsid w:val="009B3EBB"/>
    <w:rsid w:val="009B3EF5"/>
    <w:rsid w:val="009B3F08"/>
    <w:rsid w:val="009B4031"/>
    <w:rsid w:val="009B42BD"/>
    <w:rsid w:val="009B4482"/>
    <w:rsid w:val="009B460A"/>
    <w:rsid w:val="009B46BF"/>
    <w:rsid w:val="009B4A3B"/>
    <w:rsid w:val="009B4AD5"/>
    <w:rsid w:val="009B4C4A"/>
    <w:rsid w:val="009B4C8C"/>
    <w:rsid w:val="009B4D68"/>
    <w:rsid w:val="009B4ED8"/>
    <w:rsid w:val="009B4FD7"/>
    <w:rsid w:val="009B4FF5"/>
    <w:rsid w:val="009B5063"/>
    <w:rsid w:val="009B5357"/>
    <w:rsid w:val="009B5426"/>
    <w:rsid w:val="009B5496"/>
    <w:rsid w:val="009B565F"/>
    <w:rsid w:val="009B568A"/>
    <w:rsid w:val="009B575D"/>
    <w:rsid w:val="009B5A02"/>
    <w:rsid w:val="009B5A12"/>
    <w:rsid w:val="009B5ADD"/>
    <w:rsid w:val="009B5C27"/>
    <w:rsid w:val="009B5C49"/>
    <w:rsid w:val="009B5C66"/>
    <w:rsid w:val="009B5E21"/>
    <w:rsid w:val="009B5EAC"/>
    <w:rsid w:val="009B5F22"/>
    <w:rsid w:val="009B6176"/>
    <w:rsid w:val="009B6247"/>
    <w:rsid w:val="009B6463"/>
    <w:rsid w:val="009B65A8"/>
    <w:rsid w:val="009B686B"/>
    <w:rsid w:val="009B688F"/>
    <w:rsid w:val="009B6898"/>
    <w:rsid w:val="009B69BB"/>
    <w:rsid w:val="009B6B14"/>
    <w:rsid w:val="009B6CF6"/>
    <w:rsid w:val="009B6D9C"/>
    <w:rsid w:val="009B6EA3"/>
    <w:rsid w:val="009B6EF3"/>
    <w:rsid w:val="009B6F94"/>
    <w:rsid w:val="009B7197"/>
    <w:rsid w:val="009B71A2"/>
    <w:rsid w:val="009B7275"/>
    <w:rsid w:val="009B74D4"/>
    <w:rsid w:val="009B75D4"/>
    <w:rsid w:val="009B75EC"/>
    <w:rsid w:val="009B76B4"/>
    <w:rsid w:val="009B788E"/>
    <w:rsid w:val="009B791F"/>
    <w:rsid w:val="009B79CA"/>
    <w:rsid w:val="009B7AED"/>
    <w:rsid w:val="009B7B14"/>
    <w:rsid w:val="009B7B45"/>
    <w:rsid w:val="009B7B5D"/>
    <w:rsid w:val="009B7C07"/>
    <w:rsid w:val="009B7E90"/>
    <w:rsid w:val="009B7F6E"/>
    <w:rsid w:val="009C000F"/>
    <w:rsid w:val="009C0066"/>
    <w:rsid w:val="009C02CC"/>
    <w:rsid w:val="009C0304"/>
    <w:rsid w:val="009C0340"/>
    <w:rsid w:val="009C0428"/>
    <w:rsid w:val="009C052D"/>
    <w:rsid w:val="009C063A"/>
    <w:rsid w:val="009C06AE"/>
    <w:rsid w:val="009C090A"/>
    <w:rsid w:val="009C0946"/>
    <w:rsid w:val="009C0AE2"/>
    <w:rsid w:val="009C0B31"/>
    <w:rsid w:val="009C0B69"/>
    <w:rsid w:val="009C0BEC"/>
    <w:rsid w:val="009C0D38"/>
    <w:rsid w:val="009C0D6A"/>
    <w:rsid w:val="009C0F21"/>
    <w:rsid w:val="009C0FEB"/>
    <w:rsid w:val="009C0FF5"/>
    <w:rsid w:val="009C108D"/>
    <w:rsid w:val="009C1099"/>
    <w:rsid w:val="009C10CB"/>
    <w:rsid w:val="009C10D5"/>
    <w:rsid w:val="009C1152"/>
    <w:rsid w:val="009C1170"/>
    <w:rsid w:val="009C1272"/>
    <w:rsid w:val="009C135E"/>
    <w:rsid w:val="009C13FE"/>
    <w:rsid w:val="009C143F"/>
    <w:rsid w:val="009C1474"/>
    <w:rsid w:val="009C1522"/>
    <w:rsid w:val="009C1576"/>
    <w:rsid w:val="009C1611"/>
    <w:rsid w:val="009C16D6"/>
    <w:rsid w:val="009C16D9"/>
    <w:rsid w:val="009C176D"/>
    <w:rsid w:val="009C1772"/>
    <w:rsid w:val="009C18A7"/>
    <w:rsid w:val="009C1969"/>
    <w:rsid w:val="009C1D34"/>
    <w:rsid w:val="009C1DDC"/>
    <w:rsid w:val="009C1EB9"/>
    <w:rsid w:val="009C1F37"/>
    <w:rsid w:val="009C1F3D"/>
    <w:rsid w:val="009C1F5A"/>
    <w:rsid w:val="009C1F90"/>
    <w:rsid w:val="009C202F"/>
    <w:rsid w:val="009C2051"/>
    <w:rsid w:val="009C20D5"/>
    <w:rsid w:val="009C214C"/>
    <w:rsid w:val="009C214D"/>
    <w:rsid w:val="009C21B0"/>
    <w:rsid w:val="009C222D"/>
    <w:rsid w:val="009C229F"/>
    <w:rsid w:val="009C231B"/>
    <w:rsid w:val="009C2369"/>
    <w:rsid w:val="009C23FE"/>
    <w:rsid w:val="009C240A"/>
    <w:rsid w:val="009C24FE"/>
    <w:rsid w:val="009C26B9"/>
    <w:rsid w:val="009C26C4"/>
    <w:rsid w:val="009C2804"/>
    <w:rsid w:val="009C2880"/>
    <w:rsid w:val="009C28E9"/>
    <w:rsid w:val="009C2926"/>
    <w:rsid w:val="009C2986"/>
    <w:rsid w:val="009C2AD9"/>
    <w:rsid w:val="009C2BA4"/>
    <w:rsid w:val="009C2BDF"/>
    <w:rsid w:val="009C2BEA"/>
    <w:rsid w:val="009C2C29"/>
    <w:rsid w:val="009C2D55"/>
    <w:rsid w:val="009C2E0C"/>
    <w:rsid w:val="009C2E7F"/>
    <w:rsid w:val="009C2F25"/>
    <w:rsid w:val="009C2F4D"/>
    <w:rsid w:val="009C2F50"/>
    <w:rsid w:val="009C2FEA"/>
    <w:rsid w:val="009C3176"/>
    <w:rsid w:val="009C31FF"/>
    <w:rsid w:val="009C3387"/>
    <w:rsid w:val="009C3451"/>
    <w:rsid w:val="009C35D6"/>
    <w:rsid w:val="009C3602"/>
    <w:rsid w:val="009C3695"/>
    <w:rsid w:val="009C36CF"/>
    <w:rsid w:val="009C3789"/>
    <w:rsid w:val="009C379D"/>
    <w:rsid w:val="009C388F"/>
    <w:rsid w:val="009C38E5"/>
    <w:rsid w:val="009C3982"/>
    <w:rsid w:val="009C39C8"/>
    <w:rsid w:val="009C3AB4"/>
    <w:rsid w:val="009C3B57"/>
    <w:rsid w:val="009C3B98"/>
    <w:rsid w:val="009C3BD2"/>
    <w:rsid w:val="009C3C2A"/>
    <w:rsid w:val="009C3E0A"/>
    <w:rsid w:val="009C3E15"/>
    <w:rsid w:val="009C3F71"/>
    <w:rsid w:val="009C41C8"/>
    <w:rsid w:val="009C422B"/>
    <w:rsid w:val="009C4253"/>
    <w:rsid w:val="009C4295"/>
    <w:rsid w:val="009C42D6"/>
    <w:rsid w:val="009C4363"/>
    <w:rsid w:val="009C4454"/>
    <w:rsid w:val="009C456A"/>
    <w:rsid w:val="009C4659"/>
    <w:rsid w:val="009C46D3"/>
    <w:rsid w:val="009C47B1"/>
    <w:rsid w:val="009C492A"/>
    <w:rsid w:val="009C4A78"/>
    <w:rsid w:val="009C4AFD"/>
    <w:rsid w:val="009C4B31"/>
    <w:rsid w:val="009C4CC4"/>
    <w:rsid w:val="009C4DDE"/>
    <w:rsid w:val="009C4E2E"/>
    <w:rsid w:val="009C4F96"/>
    <w:rsid w:val="009C5046"/>
    <w:rsid w:val="009C510D"/>
    <w:rsid w:val="009C5283"/>
    <w:rsid w:val="009C529B"/>
    <w:rsid w:val="009C539D"/>
    <w:rsid w:val="009C5491"/>
    <w:rsid w:val="009C566A"/>
    <w:rsid w:val="009C572B"/>
    <w:rsid w:val="009C5742"/>
    <w:rsid w:val="009C575B"/>
    <w:rsid w:val="009C581E"/>
    <w:rsid w:val="009C59CB"/>
    <w:rsid w:val="009C5A46"/>
    <w:rsid w:val="009C5CB2"/>
    <w:rsid w:val="009C5CD7"/>
    <w:rsid w:val="009C5D5F"/>
    <w:rsid w:val="009C5DBC"/>
    <w:rsid w:val="009C5DCD"/>
    <w:rsid w:val="009C5E3F"/>
    <w:rsid w:val="009C5E76"/>
    <w:rsid w:val="009C5EC9"/>
    <w:rsid w:val="009C5EE1"/>
    <w:rsid w:val="009C5F2F"/>
    <w:rsid w:val="009C5F99"/>
    <w:rsid w:val="009C623E"/>
    <w:rsid w:val="009C6343"/>
    <w:rsid w:val="009C6354"/>
    <w:rsid w:val="009C643E"/>
    <w:rsid w:val="009C6474"/>
    <w:rsid w:val="009C648A"/>
    <w:rsid w:val="009C649D"/>
    <w:rsid w:val="009C64F0"/>
    <w:rsid w:val="009C64FF"/>
    <w:rsid w:val="009C656D"/>
    <w:rsid w:val="009C658D"/>
    <w:rsid w:val="009C65C9"/>
    <w:rsid w:val="009C6666"/>
    <w:rsid w:val="009C66A3"/>
    <w:rsid w:val="009C66BB"/>
    <w:rsid w:val="009C679D"/>
    <w:rsid w:val="009C6992"/>
    <w:rsid w:val="009C69C6"/>
    <w:rsid w:val="009C6B54"/>
    <w:rsid w:val="009C6B75"/>
    <w:rsid w:val="009C6B97"/>
    <w:rsid w:val="009C6CDD"/>
    <w:rsid w:val="009C6DF4"/>
    <w:rsid w:val="009C6E30"/>
    <w:rsid w:val="009C6E31"/>
    <w:rsid w:val="009C6E64"/>
    <w:rsid w:val="009C6F7F"/>
    <w:rsid w:val="009C7033"/>
    <w:rsid w:val="009C709B"/>
    <w:rsid w:val="009C71A2"/>
    <w:rsid w:val="009C73A8"/>
    <w:rsid w:val="009C7447"/>
    <w:rsid w:val="009C74E7"/>
    <w:rsid w:val="009C7512"/>
    <w:rsid w:val="009C75C8"/>
    <w:rsid w:val="009C7738"/>
    <w:rsid w:val="009C78F9"/>
    <w:rsid w:val="009C7A04"/>
    <w:rsid w:val="009C7AAE"/>
    <w:rsid w:val="009C7B06"/>
    <w:rsid w:val="009C7B3F"/>
    <w:rsid w:val="009C7C42"/>
    <w:rsid w:val="009C7C58"/>
    <w:rsid w:val="009C7CD6"/>
    <w:rsid w:val="009C7D35"/>
    <w:rsid w:val="009C7E58"/>
    <w:rsid w:val="009C7EBA"/>
    <w:rsid w:val="009C7F08"/>
    <w:rsid w:val="009D023A"/>
    <w:rsid w:val="009D035B"/>
    <w:rsid w:val="009D03D5"/>
    <w:rsid w:val="009D0404"/>
    <w:rsid w:val="009D066D"/>
    <w:rsid w:val="009D06BB"/>
    <w:rsid w:val="009D0751"/>
    <w:rsid w:val="009D0973"/>
    <w:rsid w:val="009D097C"/>
    <w:rsid w:val="009D0B17"/>
    <w:rsid w:val="009D0B26"/>
    <w:rsid w:val="009D0BF3"/>
    <w:rsid w:val="009D0D95"/>
    <w:rsid w:val="009D0E5E"/>
    <w:rsid w:val="009D0F28"/>
    <w:rsid w:val="009D1208"/>
    <w:rsid w:val="009D14A9"/>
    <w:rsid w:val="009D159D"/>
    <w:rsid w:val="009D165E"/>
    <w:rsid w:val="009D186F"/>
    <w:rsid w:val="009D1924"/>
    <w:rsid w:val="009D1AE5"/>
    <w:rsid w:val="009D1BC3"/>
    <w:rsid w:val="009D1BCA"/>
    <w:rsid w:val="009D1BE9"/>
    <w:rsid w:val="009D1CD0"/>
    <w:rsid w:val="009D1DD2"/>
    <w:rsid w:val="009D1E23"/>
    <w:rsid w:val="009D1EE7"/>
    <w:rsid w:val="009D1F57"/>
    <w:rsid w:val="009D1F61"/>
    <w:rsid w:val="009D1F95"/>
    <w:rsid w:val="009D200F"/>
    <w:rsid w:val="009D20D5"/>
    <w:rsid w:val="009D215B"/>
    <w:rsid w:val="009D21AF"/>
    <w:rsid w:val="009D2230"/>
    <w:rsid w:val="009D22BC"/>
    <w:rsid w:val="009D2303"/>
    <w:rsid w:val="009D2347"/>
    <w:rsid w:val="009D23D1"/>
    <w:rsid w:val="009D23FF"/>
    <w:rsid w:val="009D241C"/>
    <w:rsid w:val="009D2461"/>
    <w:rsid w:val="009D2495"/>
    <w:rsid w:val="009D24A1"/>
    <w:rsid w:val="009D27C4"/>
    <w:rsid w:val="009D2826"/>
    <w:rsid w:val="009D2868"/>
    <w:rsid w:val="009D28DF"/>
    <w:rsid w:val="009D2982"/>
    <w:rsid w:val="009D299B"/>
    <w:rsid w:val="009D29E4"/>
    <w:rsid w:val="009D2A42"/>
    <w:rsid w:val="009D2BA7"/>
    <w:rsid w:val="009D2CDD"/>
    <w:rsid w:val="009D2E0C"/>
    <w:rsid w:val="009D3077"/>
    <w:rsid w:val="009D3126"/>
    <w:rsid w:val="009D32DB"/>
    <w:rsid w:val="009D32E5"/>
    <w:rsid w:val="009D3343"/>
    <w:rsid w:val="009D34BB"/>
    <w:rsid w:val="009D3562"/>
    <w:rsid w:val="009D363B"/>
    <w:rsid w:val="009D3695"/>
    <w:rsid w:val="009D36AD"/>
    <w:rsid w:val="009D36EF"/>
    <w:rsid w:val="009D3704"/>
    <w:rsid w:val="009D37A0"/>
    <w:rsid w:val="009D3897"/>
    <w:rsid w:val="009D395A"/>
    <w:rsid w:val="009D3B58"/>
    <w:rsid w:val="009D3BED"/>
    <w:rsid w:val="009D3CA3"/>
    <w:rsid w:val="009D3CCD"/>
    <w:rsid w:val="009D3D01"/>
    <w:rsid w:val="009D3D15"/>
    <w:rsid w:val="009D3D81"/>
    <w:rsid w:val="009D3E4F"/>
    <w:rsid w:val="009D404B"/>
    <w:rsid w:val="009D40C6"/>
    <w:rsid w:val="009D414A"/>
    <w:rsid w:val="009D417B"/>
    <w:rsid w:val="009D418D"/>
    <w:rsid w:val="009D447E"/>
    <w:rsid w:val="009D4659"/>
    <w:rsid w:val="009D481E"/>
    <w:rsid w:val="009D48E7"/>
    <w:rsid w:val="009D4967"/>
    <w:rsid w:val="009D49B3"/>
    <w:rsid w:val="009D4A72"/>
    <w:rsid w:val="009D4B7C"/>
    <w:rsid w:val="009D4C6B"/>
    <w:rsid w:val="009D4CA1"/>
    <w:rsid w:val="009D4DA6"/>
    <w:rsid w:val="009D4E88"/>
    <w:rsid w:val="009D4E9E"/>
    <w:rsid w:val="009D4F36"/>
    <w:rsid w:val="009D5042"/>
    <w:rsid w:val="009D5063"/>
    <w:rsid w:val="009D5069"/>
    <w:rsid w:val="009D50F7"/>
    <w:rsid w:val="009D510E"/>
    <w:rsid w:val="009D5254"/>
    <w:rsid w:val="009D52A1"/>
    <w:rsid w:val="009D53B2"/>
    <w:rsid w:val="009D5478"/>
    <w:rsid w:val="009D54C9"/>
    <w:rsid w:val="009D5504"/>
    <w:rsid w:val="009D5572"/>
    <w:rsid w:val="009D5590"/>
    <w:rsid w:val="009D5598"/>
    <w:rsid w:val="009D56DD"/>
    <w:rsid w:val="009D57A3"/>
    <w:rsid w:val="009D5842"/>
    <w:rsid w:val="009D589F"/>
    <w:rsid w:val="009D59F8"/>
    <w:rsid w:val="009D5C9A"/>
    <w:rsid w:val="009D5D69"/>
    <w:rsid w:val="009D5E13"/>
    <w:rsid w:val="009D5EC3"/>
    <w:rsid w:val="009D5F66"/>
    <w:rsid w:val="009D5FA9"/>
    <w:rsid w:val="009D6035"/>
    <w:rsid w:val="009D637A"/>
    <w:rsid w:val="009D64EF"/>
    <w:rsid w:val="009D6647"/>
    <w:rsid w:val="009D66A9"/>
    <w:rsid w:val="009D6830"/>
    <w:rsid w:val="009D6A2B"/>
    <w:rsid w:val="009D6A56"/>
    <w:rsid w:val="009D6AA3"/>
    <w:rsid w:val="009D6B98"/>
    <w:rsid w:val="009D6BAF"/>
    <w:rsid w:val="009D6EC3"/>
    <w:rsid w:val="009D6EFA"/>
    <w:rsid w:val="009D6F00"/>
    <w:rsid w:val="009D6F0F"/>
    <w:rsid w:val="009D6FB5"/>
    <w:rsid w:val="009D70CF"/>
    <w:rsid w:val="009D718B"/>
    <w:rsid w:val="009D718C"/>
    <w:rsid w:val="009D7250"/>
    <w:rsid w:val="009D72DC"/>
    <w:rsid w:val="009D73D3"/>
    <w:rsid w:val="009D7484"/>
    <w:rsid w:val="009D7560"/>
    <w:rsid w:val="009D77FA"/>
    <w:rsid w:val="009D781B"/>
    <w:rsid w:val="009D786B"/>
    <w:rsid w:val="009D7BFF"/>
    <w:rsid w:val="009D7E19"/>
    <w:rsid w:val="009D7FDB"/>
    <w:rsid w:val="009E0046"/>
    <w:rsid w:val="009E0047"/>
    <w:rsid w:val="009E024A"/>
    <w:rsid w:val="009E02BC"/>
    <w:rsid w:val="009E02FA"/>
    <w:rsid w:val="009E034C"/>
    <w:rsid w:val="009E05A1"/>
    <w:rsid w:val="009E05D4"/>
    <w:rsid w:val="009E060E"/>
    <w:rsid w:val="009E0648"/>
    <w:rsid w:val="009E07D8"/>
    <w:rsid w:val="009E07DF"/>
    <w:rsid w:val="009E08B2"/>
    <w:rsid w:val="009E08D2"/>
    <w:rsid w:val="009E093C"/>
    <w:rsid w:val="009E096A"/>
    <w:rsid w:val="009E0AF7"/>
    <w:rsid w:val="009E0B6A"/>
    <w:rsid w:val="009E0B80"/>
    <w:rsid w:val="009E0C48"/>
    <w:rsid w:val="009E0C5A"/>
    <w:rsid w:val="009E0EF6"/>
    <w:rsid w:val="009E0F30"/>
    <w:rsid w:val="009E0FC5"/>
    <w:rsid w:val="009E0FC7"/>
    <w:rsid w:val="009E0FD2"/>
    <w:rsid w:val="009E0FD3"/>
    <w:rsid w:val="009E10EE"/>
    <w:rsid w:val="009E1129"/>
    <w:rsid w:val="009E114F"/>
    <w:rsid w:val="009E1168"/>
    <w:rsid w:val="009E119C"/>
    <w:rsid w:val="009E11B6"/>
    <w:rsid w:val="009E13AB"/>
    <w:rsid w:val="009E148D"/>
    <w:rsid w:val="009E14BD"/>
    <w:rsid w:val="009E153F"/>
    <w:rsid w:val="009E1612"/>
    <w:rsid w:val="009E1790"/>
    <w:rsid w:val="009E188F"/>
    <w:rsid w:val="009E18AD"/>
    <w:rsid w:val="009E18C6"/>
    <w:rsid w:val="009E1913"/>
    <w:rsid w:val="009E195B"/>
    <w:rsid w:val="009E1B7B"/>
    <w:rsid w:val="009E1BBA"/>
    <w:rsid w:val="009E1C8E"/>
    <w:rsid w:val="009E1D32"/>
    <w:rsid w:val="009E1D75"/>
    <w:rsid w:val="009E1E71"/>
    <w:rsid w:val="009E1F9D"/>
    <w:rsid w:val="009E1FE3"/>
    <w:rsid w:val="009E207D"/>
    <w:rsid w:val="009E2086"/>
    <w:rsid w:val="009E2149"/>
    <w:rsid w:val="009E214D"/>
    <w:rsid w:val="009E21CF"/>
    <w:rsid w:val="009E2222"/>
    <w:rsid w:val="009E2246"/>
    <w:rsid w:val="009E23BF"/>
    <w:rsid w:val="009E245E"/>
    <w:rsid w:val="009E24BE"/>
    <w:rsid w:val="009E24D3"/>
    <w:rsid w:val="009E24F1"/>
    <w:rsid w:val="009E2665"/>
    <w:rsid w:val="009E266F"/>
    <w:rsid w:val="009E273B"/>
    <w:rsid w:val="009E274E"/>
    <w:rsid w:val="009E2780"/>
    <w:rsid w:val="009E27A1"/>
    <w:rsid w:val="009E2971"/>
    <w:rsid w:val="009E2A6D"/>
    <w:rsid w:val="009E2A84"/>
    <w:rsid w:val="009E2BF2"/>
    <w:rsid w:val="009E2D4E"/>
    <w:rsid w:val="009E2D8B"/>
    <w:rsid w:val="009E2DB4"/>
    <w:rsid w:val="009E2DC6"/>
    <w:rsid w:val="009E2F80"/>
    <w:rsid w:val="009E2FA2"/>
    <w:rsid w:val="009E2FF0"/>
    <w:rsid w:val="009E300B"/>
    <w:rsid w:val="009E300F"/>
    <w:rsid w:val="009E3016"/>
    <w:rsid w:val="009E3067"/>
    <w:rsid w:val="009E30FE"/>
    <w:rsid w:val="009E3140"/>
    <w:rsid w:val="009E32AB"/>
    <w:rsid w:val="009E333E"/>
    <w:rsid w:val="009E345E"/>
    <w:rsid w:val="009E34BE"/>
    <w:rsid w:val="009E3542"/>
    <w:rsid w:val="009E36E7"/>
    <w:rsid w:val="009E3702"/>
    <w:rsid w:val="009E375F"/>
    <w:rsid w:val="009E3761"/>
    <w:rsid w:val="009E3872"/>
    <w:rsid w:val="009E387A"/>
    <w:rsid w:val="009E388F"/>
    <w:rsid w:val="009E38FA"/>
    <w:rsid w:val="009E392E"/>
    <w:rsid w:val="009E3986"/>
    <w:rsid w:val="009E3CB3"/>
    <w:rsid w:val="009E3E97"/>
    <w:rsid w:val="009E3EBF"/>
    <w:rsid w:val="009E3EE9"/>
    <w:rsid w:val="009E3F03"/>
    <w:rsid w:val="009E3F67"/>
    <w:rsid w:val="009E3FD0"/>
    <w:rsid w:val="009E3FF6"/>
    <w:rsid w:val="009E4085"/>
    <w:rsid w:val="009E4255"/>
    <w:rsid w:val="009E4411"/>
    <w:rsid w:val="009E4497"/>
    <w:rsid w:val="009E449D"/>
    <w:rsid w:val="009E44B4"/>
    <w:rsid w:val="009E44DC"/>
    <w:rsid w:val="009E45F7"/>
    <w:rsid w:val="009E4758"/>
    <w:rsid w:val="009E4885"/>
    <w:rsid w:val="009E496C"/>
    <w:rsid w:val="009E499F"/>
    <w:rsid w:val="009E4BE2"/>
    <w:rsid w:val="009E4BED"/>
    <w:rsid w:val="009E4C15"/>
    <w:rsid w:val="009E4C3B"/>
    <w:rsid w:val="009E4C8A"/>
    <w:rsid w:val="009E4DD3"/>
    <w:rsid w:val="009E4DFE"/>
    <w:rsid w:val="009E4E52"/>
    <w:rsid w:val="009E5089"/>
    <w:rsid w:val="009E50B8"/>
    <w:rsid w:val="009E50D3"/>
    <w:rsid w:val="009E513C"/>
    <w:rsid w:val="009E513E"/>
    <w:rsid w:val="009E5263"/>
    <w:rsid w:val="009E556E"/>
    <w:rsid w:val="009E5648"/>
    <w:rsid w:val="009E59D8"/>
    <w:rsid w:val="009E5CC8"/>
    <w:rsid w:val="009E5D26"/>
    <w:rsid w:val="009E5D54"/>
    <w:rsid w:val="009E5D62"/>
    <w:rsid w:val="009E5F27"/>
    <w:rsid w:val="009E60A3"/>
    <w:rsid w:val="009E615D"/>
    <w:rsid w:val="009E627C"/>
    <w:rsid w:val="009E62B2"/>
    <w:rsid w:val="009E6334"/>
    <w:rsid w:val="009E65AC"/>
    <w:rsid w:val="009E65FA"/>
    <w:rsid w:val="009E667C"/>
    <w:rsid w:val="009E668F"/>
    <w:rsid w:val="009E6712"/>
    <w:rsid w:val="009E6849"/>
    <w:rsid w:val="009E69DA"/>
    <w:rsid w:val="009E6ABC"/>
    <w:rsid w:val="009E6D03"/>
    <w:rsid w:val="009E6FCE"/>
    <w:rsid w:val="009E7063"/>
    <w:rsid w:val="009E70C9"/>
    <w:rsid w:val="009E728F"/>
    <w:rsid w:val="009E731B"/>
    <w:rsid w:val="009E7459"/>
    <w:rsid w:val="009E754C"/>
    <w:rsid w:val="009E7681"/>
    <w:rsid w:val="009E7836"/>
    <w:rsid w:val="009E78A0"/>
    <w:rsid w:val="009E78CE"/>
    <w:rsid w:val="009E78FB"/>
    <w:rsid w:val="009E7904"/>
    <w:rsid w:val="009E7997"/>
    <w:rsid w:val="009E7A83"/>
    <w:rsid w:val="009E7B00"/>
    <w:rsid w:val="009E7B31"/>
    <w:rsid w:val="009E7B5B"/>
    <w:rsid w:val="009E7B7B"/>
    <w:rsid w:val="009E7C0D"/>
    <w:rsid w:val="009E7D39"/>
    <w:rsid w:val="009E7DF4"/>
    <w:rsid w:val="009E7EA4"/>
    <w:rsid w:val="009E7F7D"/>
    <w:rsid w:val="009E7F7F"/>
    <w:rsid w:val="009E7FEB"/>
    <w:rsid w:val="009F0029"/>
    <w:rsid w:val="009F02A1"/>
    <w:rsid w:val="009F02E2"/>
    <w:rsid w:val="009F03A3"/>
    <w:rsid w:val="009F03DE"/>
    <w:rsid w:val="009F043C"/>
    <w:rsid w:val="009F0465"/>
    <w:rsid w:val="009F0645"/>
    <w:rsid w:val="009F0668"/>
    <w:rsid w:val="009F0672"/>
    <w:rsid w:val="009F068F"/>
    <w:rsid w:val="009F09DD"/>
    <w:rsid w:val="009F0A1D"/>
    <w:rsid w:val="009F0AEC"/>
    <w:rsid w:val="009F0BCD"/>
    <w:rsid w:val="009F0C0D"/>
    <w:rsid w:val="009F0C78"/>
    <w:rsid w:val="009F0C94"/>
    <w:rsid w:val="009F0D24"/>
    <w:rsid w:val="009F0DEF"/>
    <w:rsid w:val="009F0E9F"/>
    <w:rsid w:val="009F0FB5"/>
    <w:rsid w:val="009F100D"/>
    <w:rsid w:val="009F1039"/>
    <w:rsid w:val="009F11CE"/>
    <w:rsid w:val="009F11E0"/>
    <w:rsid w:val="009F13D6"/>
    <w:rsid w:val="009F1597"/>
    <w:rsid w:val="009F15F0"/>
    <w:rsid w:val="009F1707"/>
    <w:rsid w:val="009F186D"/>
    <w:rsid w:val="009F1A63"/>
    <w:rsid w:val="009F1A7D"/>
    <w:rsid w:val="009F1A91"/>
    <w:rsid w:val="009F1BD6"/>
    <w:rsid w:val="009F1C86"/>
    <w:rsid w:val="009F1F05"/>
    <w:rsid w:val="009F20D0"/>
    <w:rsid w:val="009F2151"/>
    <w:rsid w:val="009F22EA"/>
    <w:rsid w:val="009F23AA"/>
    <w:rsid w:val="009F25E5"/>
    <w:rsid w:val="009F26A6"/>
    <w:rsid w:val="009F26BA"/>
    <w:rsid w:val="009F284D"/>
    <w:rsid w:val="009F2854"/>
    <w:rsid w:val="009F28A7"/>
    <w:rsid w:val="009F28D6"/>
    <w:rsid w:val="009F2970"/>
    <w:rsid w:val="009F29A5"/>
    <w:rsid w:val="009F2A0B"/>
    <w:rsid w:val="009F2AD1"/>
    <w:rsid w:val="009F2BD6"/>
    <w:rsid w:val="009F2D06"/>
    <w:rsid w:val="009F2D25"/>
    <w:rsid w:val="009F2D96"/>
    <w:rsid w:val="009F2E39"/>
    <w:rsid w:val="009F2E7B"/>
    <w:rsid w:val="009F2EC8"/>
    <w:rsid w:val="009F2F99"/>
    <w:rsid w:val="009F322E"/>
    <w:rsid w:val="009F3293"/>
    <w:rsid w:val="009F330D"/>
    <w:rsid w:val="009F3518"/>
    <w:rsid w:val="009F3644"/>
    <w:rsid w:val="009F36AA"/>
    <w:rsid w:val="009F36EA"/>
    <w:rsid w:val="009F377B"/>
    <w:rsid w:val="009F37E0"/>
    <w:rsid w:val="009F3973"/>
    <w:rsid w:val="009F39F8"/>
    <w:rsid w:val="009F3E9B"/>
    <w:rsid w:val="009F3EDC"/>
    <w:rsid w:val="009F4006"/>
    <w:rsid w:val="009F4060"/>
    <w:rsid w:val="009F427C"/>
    <w:rsid w:val="009F43A4"/>
    <w:rsid w:val="009F44D9"/>
    <w:rsid w:val="009F4569"/>
    <w:rsid w:val="009F4589"/>
    <w:rsid w:val="009F4682"/>
    <w:rsid w:val="009F47DC"/>
    <w:rsid w:val="009F48F1"/>
    <w:rsid w:val="009F49C8"/>
    <w:rsid w:val="009F49F5"/>
    <w:rsid w:val="009F4B4D"/>
    <w:rsid w:val="009F4B5D"/>
    <w:rsid w:val="009F4B71"/>
    <w:rsid w:val="009F4C37"/>
    <w:rsid w:val="009F4CCD"/>
    <w:rsid w:val="009F4D11"/>
    <w:rsid w:val="009F4D5C"/>
    <w:rsid w:val="009F4DA6"/>
    <w:rsid w:val="009F4E42"/>
    <w:rsid w:val="009F4EDC"/>
    <w:rsid w:val="009F4F18"/>
    <w:rsid w:val="009F511A"/>
    <w:rsid w:val="009F5142"/>
    <w:rsid w:val="009F518B"/>
    <w:rsid w:val="009F5260"/>
    <w:rsid w:val="009F5276"/>
    <w:rsid w:val="009F52B4"/>
    <w:rsid w:val="009F5300"/>
    <w:rsid w:val="009F5493"/>
    <w:rsid w:val="009F5561"/>
    <w:rsid w:val="009F55C3"/>
    <w:rsid w:val="009F56CB"/>
    <w:rsid w:val="009F575D"/>
    <w:rsid w:val="009F5781"/>
    <w:rsid w:val="009F5907"/>
    <w:rsid w:val="009F594B"/>
    <w:rsid w:val="009F5959"/>
    <w:rsid w:val="009F5A5E"/>
    <w:rsid w:val="009F5AA1"/>
    <w:rsid w:val="009F5BEB"/>
    <w:rsid w:val="009F5CBB"/>
    <w:rsid w:val="009F5E27"/>
    <w:rsid w:val="009F5E48"/>
    <w:rsid w:val="009F5FDA"/>
    <w:rsid w:val="009F609B"/>
    <w:rsid w:val="009F6112"/>
    <w:rsid w:val="009F6125"/>
    <w:rsid w:val="009F616E"/>
    <w:rsid w:val="009F6180"/>
    <w:rsid w:val="009F6246"/>
    <w:rsid w:val="009F64AD"/>
    <w:rsid w:val="009F64D5"/>
    <w:rsid w:val="009F64EA"/>
    <w:rsid w:val="009F6712"/>
    <w:rsid w:val="009F6782"/>
    <w:rsid w:val="009F6A56"/>
    <w:rsid w:val="009F6B1A"/>
    <w:rsid w:val="009F6B41"/>
    <w:rsid w:val="009F6C54"/>
    <w:rsid w:val="009F6D32"/>
    <w:rsid w:val="009F6F8A"/>
    <w:rsid w:val="009F72CB"/>
    <w:rsid w:val="009F741E"/>
    <w:rsid w:val="009F74C0"/>
    <w:rsid w:val="009F7612"/>
    <w:rsid w:val="009F7643"/>
    <w:rsid w:val="009F76CD"/>
    <w:rsid w:val="009F783C"/>
    <w:rsid w:val="009F78C0"/>
    <w:rsid w:val="009F78EA"/>
    <w:rsid w:val="009F795E"/>
    <w:rsid w:val="009F79A0"/>
    <w:rsid w:val="009F79A4"/>
    <w:rsid w:val="009F79EF"/>
    <w:rsid w:val="009F7A23"/>
    <w:rsid w:val="009F7A6D"/>
    <w:rsid w:val="009F7AD0"/>
    <w:rsid w:val="009F7B5A"/>
    <w:rsid w:val="009F7BD6"/>
    <w:rsid w:val="009F7C49"/>
    <w:rsid w:val="009F7D0F"/>
    <w:rsid w:val="009F7D1F"/>
    <w:rsid w:val="009F7DA8"/>
    <w:rsid w:val="009F7DDF"/>
    <w:rsid w:val="009F7DEE"/>
    <w:rsid w:val="00A000E5"/>
    <w:rsid w:val="00A00159"/>
    <w:rsid w:val="00A00243"/>
    <w:rsid w:val="00A00269"/>
    <w:rsid w:val="00A002B1"/>
    <w:rsid w:val="00A0038E"/>
    <w:rsid w:val="00A004B7"/>
    <w:rsid w:val="00A004BD"/>
    <w:rsid w:val="00A0052D"/>
    <w:rsid w:val="00A00596"/>
    <w:rsid w:val="00A005B6"/>
    <w:rsid w:val="00A0065A"/>
    <w:rsid w:val="00A006EA"/>
    <w:rsid w:val="00A00967"/>
    <w:rsid w:val="00A00A32"/>
    <w:rsid w:val="00A00AE2"/>
    <w:rsid w:val="00A00DB3"/>
    <w:rsid w:val="00A00EA2"/>
    <w:rsid w:val="00A01070"/>
    <w:rsid w:val="00A010D6"/>
    <w:rsid w:val="00A011A9"/>
    <w:rsid w:val="00A012A0"/>
    <w:rsid w:val="00A01376"/>
    <w:rsid w:val="00A0139F"/>
    <w:rsid w:val="00A01490"/>
    <w:rsid w:val="00A01638"/>
    <w:rsid w:val="00A01649"/>
    <w:rsid w:val="00A01686"/>
    <w:rsid w:val="00A01872"/>
    <w:rsid w:val="00A0189B"/>
    <w:rsid w:val="00A018D2"/>
    <w:rsid w:val="00A019CC"/>
    <w:rsid w:val="00A01B20"/>
    <w:rsid w:val="00A01CC7"/>
    <w:rsid w:val="00A01D70"/>
    <w:rsid w:val="00A01D8A"/>
    <w:rsid w:val="00A01DAC"/>
    <w:rsid w:val="00A01E33"/>
    <w:rsid w:val="00A01F46"/>
    <w:rsid w:val="00A01FA5"/>
    <w:rsid w:val="00A0200C"/>
    <w:rsid w:val="00A020E9"/>
    <w:rsid w:val="00A0214B"/>
    <w:rsid w:val="00A021B3"/>
    <w:rsid w:val="00A021B5"/>
    <w:rsid w:val="00A022E6"/>
    <w:rsid w:val="00A02546"/>
    <w:rsid w:val="00A027CE"/>
    <w:rsid w:val="00A02E96"/>
    <w:rsid w:val="00A02F98"/>
    <w:rsid w:val="00A02FA8"/>
    <w:rsid w:val="00A0304E"/>
    <w:rsid w:val="00A030E8"/>
    <w:rsid w:val="00A03126"/>
    <w:rsid w:val="00A031BB"/>
    <w:rsid w:val="00A031FA"/>
    <w:rsid w:val="00A032FD"/>
    <w:rsid w:val="00A03579"/>
    <w:rsid w:val="00A036CB"/>
    <w:rsid w:val="00A03A4D"/>
    <w:rsid w:val="00A03A72"/>
    <w:rsid w:val="00A03A8C"/>
    <w:rsid w:val="00A03B3A"/>
    <w:rsid w:val="00A03B82"/>
    <w:rsid w:val="00A03C5F"/>
    <w:rsid w:val="00A03C6E"/>
    <w:rsid w:val="00A03CD2"/>
    <w:rsid w:val="00A03D52"/>
    <w:rsid w:val="00A03E6D"/>
    <w:rsid w:val="00A03F46"/>
    <w:rsid w:val="00A03F64"/>
    <w:rsid w:val="00A04154"/>
    <w:rsid w:val="00A041FA"/>
    <w:rsid w:val="00A04327"/>
    <w:rsid w:val="00A043C3"/>
    <w:rsid w:val="00A044FF"/>
    <w:rsid w:val="00A045B5"/>
    <w:rsid w:val="00A04644"/>
    <w:rsid w:val="00A04693"/>
    <w:rsid w:val="00A04773"/>
    <w:rsid w:val="00A049AF"/>
    <w:rsid w:val="00A04A81"/>
    <w:rsid w:val="00A04A8A"/>
    <w:rsid w:val="00A04B7C"/>
    <w:rsid w:val="00A04D04"/>
    <w:rsid w:val="00A04DA0"/>
    <w:rsid w:val="00A04E6A"/>
    <w:rsid w:val="00A04F23"/>
    <w:rsid w:val="00A04FED"/>
    <w:rsid w:val="00A0510A"/>
    <w:rsid w:val="00A05110"/>
    <w:rsid w:val="00A05112"/>
    <w:rsid w:val="00A0529E"/>
    <w:rsid w:val="00A0534B"/>
    <w:rsid w:val="00A053FD"/>
    <w:rsid w:val="00A05465"/>
    <w:rsid w:val="00A054A0"/>
    <w:rsid w:val="00A054D0"/>
    <w:rsid w:val="00A05625"/>
    <w:rsid w:val="00A0573E"/>
    <w:rsid w:val="00A0576A"/>
    <w:rsid w:val="00A05808"/>
    <w:rsid w:val="00A058AC"/>
    <w:rsid w:val="00A05951"/>
    <w:rsid w:val="00A05A36"/>
    <w:rsid w:val="00A05A88"/>
    <w:rsid w:val="00A05ACB"/>
    <w:rsid w:val="00A05AD9"/>
    <w:rsid w:val="00A05C1C"/>
    <w:rsid w:val="00A05C3C"/>
    <w:rsid w:val="00A05D1F"/>
    <w:rsid w:val="00A05DF4"/>
    <w:rsid w:val="00A061D9"/>
    <w:rsid w:val="00A063A8"/>
    <w:rsid w:val="00A06455"/>
    <w:rsid w:val="00A064D0"/>
    <w:rsid w:val="00A0650C"/>
    <w:rsid w:val="00A06572"/>
    <w:rsid w:val="00A065A4"/>
    <w:rsid w:val="00A065ED"/>
    <w:rsid w:val="00A06669"/>
    <w:rsid w:val="00A066B0"/>
    <w:rsid w:val="00A0685E"/>
    <w:rsid w:val="00A068DD"/>
    <w:rsid w:val="00A0690F"/>
    <w:rsid w:val="00A06A05"/>
    <w:rsid w:val="00A06B83"/>
    <w:rsid w:val="00A06B8B"/>
    <w:rsid w:val="00A06D0D"/>
    <w:rsid w:val="00A06EB8"/>
    <w:rsid w:val="00A06F31"/>
    <w:rsid w:val="00A06FB5"/>
    <w:rsid w:val="00A07168"/>
    <w:rsid w:val="00A07191"/>
    <w:rsid w:val="00A0722C"/>
    <w:rsid w:val="00A0722D"/>
    <w:rsid w:val="00A072BF"/>
    <w:rsid w:val="00A072E2"/>
    <w:rsid w:val="00A07352"/>
    <w:rsid w:val="00A07412"/>
    <w:rsid w:val="00A0760E"/>
    <w:rsid w:val="00A07613"/>
    <w:rsid w:val="00A0764C"/>
    <w:rsid w:val="00A0769D"/>
    <w:rsid w:val="00A077AF"/>
    <w:rsid w:val="00A078D9"/>
    <w:rsid w:val="00A079C0"/>
    <w:rsid w:val="00A07A1C"/>
    <w:rsid w:val="00A07C56"/>
    <w:rsid w:val="00A07D15"/>
    <w:rsid w:val="00A07D6B"/>
    <w:rsid w:val="00A100A2"/>
    <w:rsid w:val="00A10149"/>
    <w:rsid w:val="00A10181"/>
    <w:rsid w:val="00A1019C"/>
    <w:rsid w:val="00A101E5"/>
    <w:rsid w:val="00A102B4"/>
    <w:rsid w:val="00A103A3"/>
    <w:rsid w:val="00A103B7"/>
    <w:rsid w:val="00A1043D"/>
    <w:rsid w:val="00A10446"/>
    <w:rsid w:val="00A1047F"/>
    <w:rsid w:val="00A1052A"/>
    <w:rsid w:val="00A1052C"/>
    <w:rsid w:val="00A1055C"/>
    <w:rsid w:val="00A106C3"/>
    <w:rsid w:val="00A10777"/>
    <w:rsid w:val="00A1079E"/>
    <w:rsid w:val="00A10897"/>
    <w:rsid w:val="00A10A58"/>
    <w:rsid w:val="00A10ACD"/>
    <w:rsid w:val="00A10B2E"/>
    <w:rsid w:val="00A10D7D"/>
    <w:rsid w:val="00A10D91"/>
    <w:rsid w:val="00A10ED9"/>
    <w:rsid w:val="00A10FE0"/>
    <w:rsid w:val="00A11054"/>
    <w:rsid w:val="00A110F6"/>
    <w:rsid w:val="00A1124F"/>
    <w:rsid w:val="00A112F9"/>
    <w:rsid w:val="00A114D0"/>
    <w:rsid w:val="00A1167B"/>
    <w:rsid w:val="00A117CD"/>
    <w:rsid w:val="00A117F3"/>
    <w:rsid w:val="00A119CE"/>
    <w:rsid w:val="00A119D2"/>
    <w:rsid w:val="00A11C36"/>
    <w:rsid w:val="00A11D4A"/>
    <w:rsid w:val="00A11EAF"/>
    <w:rsid w:val="00A11F83"/>
    <w:rsid w:val="00A12108"/>
    <w:rsid w:val="00A1218F"/>
    <w:rsid w:val="00A12192"/>
    <w:rsid w:val="00A122B1"/>
    <w:rsid w:val="00A1230F"/>
    <w:rsid w:val="00A123A9"/>
    <w:rsid w:val="00A12412"/>
    <w:rsid w:val="00A124F3"/>
    <w:rsid w:val="00A1258B"/>
    <w:rsid w:val="00A12602"/>
    <w:rsid w:val="00A128BF"/>
    <w:rsid w:val="00A12AA4"/>
    <w:rsid w:val="00A12B5D"/>
    <w:rsid w:val="00A12C55"/>
    <w:rsid w:val="00A12CCF"/>
    <w:rsid w:val="00A12EDA"/>
    <w:rsid w:val="00A12FE9"/>
    <w:rsid w:val="00A130DF"/>
    <w:rsid w:val="00A1336D"/>
    <w:rsid w:val="00A133BC"/>
    <w:rsid w:val="00A13477"/>
    <w:rsid w:val="00A136B2"/>
    <w:rsid w:val="00A13766"/>
    <w:rsid w:val="00A13A10"/>
    <w:rsid w:val="00A13A1C"/>
    <w:rsid w:val="00A13B07"/>
    <w:rsid w:val="00A13B2A"/>
    <w:rsid w:val="00A13BAB"/>
    <w:rsid w:val="00A13D68"/>
    <w:rsid w:val="00A13D6E"/>
    <w:rsid w:val="00A13DF9"/>
    <w:rsid w:val="00A13F43"/>
    <w:rsid w:val="00A1405C"/>
    <w:rsid w:val="00A14098"/>
    <w:rsid w:val="00A1411B"/>
    <w:rsid w:val="00A14170"/>
    <w:rsid w:val="00A141F1"/>
    <w:rsid w:val="00A141FF"/>
    <w:rsid w:val="00A14247"/>
    <w:rsid w:val="00A142A1"/>
    <w:rsid w:val="00A1439A"/>
    <w:rsid w:val="00A143D2"/>
    <w:rsid w:val="00A14662"/>
    <w:rsid w:val="00A146B0"/>
    <w:rsid w:val="00A147E6"/>
    <w:rsid w:val="00A14837"/>
    <w:rsid w:val="00A14993"/>
    <w:rsid w:val="00A14A35"/>
    <w:rsid w:val="00A14A79"/>
    <w:rsid w:val="00A14A8D"/>
    <w:rsid w:val="00A14AA7"/>
    <w:rsid w:val="00A14B90"/>
    <w:rsid w:val="00A14D8B"/>
    <w:rsid w:val="00A14DBB"/>
    <w:rsid w:val="00A14DFB"/>
    <w:rsid w:val="00A14EA2"/>
    <w:rsid w:val="00A150A1"/>
    <w:rsid w:val="00A15105"/>
    <w:rsid w:val="00A1528B"/>
    <w:rsid w:val="00A15339"/>
    <w:rsid w:val="00A1575F"/>
    <w:rsid w:val="00A15782"/>
    <w:rsid w:val="00A157A6"/>
    <w:rsid w:val="00A157C0"/>
    <w:rsid w:val="00A157FE"/>
    <w:rsid w:val="00A1587D"/>
    <w:rsid w:val="00A15889"/>
    <w:rsid w:val="00A15AF2"/>
    <w:rsid w:val="00A15AFE"/>
    <w:rsid w:val="00A15B1B"/>
    <w:rsid w:val="00A15B94"/>
    <w:rsid w:val="00A15BBE"/>
    <w:rsid w:val="00A15BD6"/>
    <w:rsid w:val="00A15C19"/>
    <w:rsid w:val="00A15E52"/>
    <w:rsid w:val="00A15E70"/>
    <w:rsid w:val="00A15EAF"/>
    <w:rsid w:val="00A15F09"/>
    <w:rsid w:val="00A15F94"/>
    <w:rsid w:val="00A15FAC"/>
    <w:rsid w:val="00A160AF"/>
    <w:rsid w:val="00A160C1"/>
    <w:rsid w:val="00A160DA"/>
    <w:rsid w:val="00A16163"/>
    <w:rsid w:val="00A16238"/>
    <w:rsid w:val="00A16305"/>
    <w:rsid w:val="00A1630F"/>
    <w:rsid w:val="00A163A9"/>
    <w:rsid w:val="00A163D6"/>
    <w:rsid w:val="00A16618"/>
    <w:rsid w:val="00A166DB"/>
    <w:rsid w:val="00A16846"/>
    <w:rsid w:val="00A168CE"/>
    <w:rsid w:val="00A1694B"/>
    <w:rsid w:val="00A169B6"/>
    <w:rsid w:val="00A16AD7"/>
    <w:rsid w:val="00A16AE4"/>
    <w:rsid w:val="00A16AF8"/>
    <w:rsid w:val="00A16B2B"/>
    <w:rsid w:val="00A16B5B"/>
    <w:rsid w:val="00A16BC3"/>
    <w:rsid w:val="00A16C9D"/>
    <w:rsid w:val="00A16E32"/>
    <w:rsid w:val="00A16E92"/>
    <w:rsid w:val="00A16F25"/>
    <w:rsid w:val="00A16F42"/>
    <w:rsid w:val="00A16FEE"/>
    <w:rsid w:val="00A16FFD"/>
    <w:rsid w:val="00A1705A"/>
    <w:rsid w:val="00A1707E"/>
    <w:rsid w:val="00A1717F"/>
    <w:rsid w:val="00A17182"/>
    <w:rsid w:val="00A171D8"/>
    <w:rsid w:val="00A17245"/>
    <w:rsid w:val="00A17306"/>
    <w:rsid w:val="00A17411"/>
    <w:rsid w:val="00A17447"/>
    <w:rsid w:val="00A1751B"/>
    <w:rsid w:val="00A17545"/>
    <w:rsid w:val="00A1796C"/>
    <w:rsid w:val="00A179C1"/>
    <w:rsid w:val="00A179F1"/>
    <w:rsid w:val="00A17CD3"/>
    <w:rsid w:val="00A17DF3"/>
    <w:rsid w:val="00A17E23"/>
    <w:rsid w:val="00A200AE"/>
    <w:rsid w:val="00A201EA"/>
    <w:rsid w:val="00A203A2"/>
    <w:rsid w:val="00A203FD"/>
    <w:rsid w:val="00A204A0"/>
    <w:rsid w:val="00A204C6"/>
    <w:rsid w:val="00A20828"/>
    <w:rsid w:val="00A20855"/>
    <w:rsid w:val="00A2086F"/>
    <w:rsid w:val="00A208D3"/>
    <w:rsid w:val="00A20A72"/>
    <w:rsid w:val="00A20AE1"/>
    <w:rsid w:val="00A20BAA"/>
    <w:rsid w:val="00A20FA6"/>
    <w:rsid w:val="00A210B4"/>
    <w:rsid w:val="00A21101"/>
    <w:rsid w:val="00A212BB"/>
    <w:rsid w:val="00A2139A"/>
    <w:rsid w:val="00A213E7"/>
    <w:rsid w:val="00A2147D"/>
    <w:rsid w:val="00A21779"/>
    <w:rsid w:val="00A21987"/>
    <w:rsid w:val="00A21A18"/>
    <w:rsid w:val="00A21A98"/>
    <w:rsid w:val="00A21BAE"/>
    <w:rsid w:val="00A21E06"/>
    <w:rsid w:val="00A21E89"/>
    <w:rsid w:val="00A21E9A"/>
    <w:rsid w:val="00A21F3C"/>
    <w:rsid w:val="00A21F43"/>
    <w:rsid w:val="00A221C0"/>
    <w:rsid w:val="00A222B9"/>
    <w:rsid w:val="00A2234A"/>
    <w:rsid w:val="00A223B5"/>
    <w:rsid w:val="00A22485"/>
    <w:rsid w:val="00A2261A"/>
    <w:rsid w:val="00A22693"/>
    <w:rsid w:val="00A227EB"/>
    <w:rsid w:val="00A229B3"/>
    <w:rsid w:val="00A22A09"/>
    <w:rsid w:val="00A22A1D"/>
    <w:rsid w:val="00A22AA1"/>
    <w:rsid w:val="00A22C34"/>
    <w:rsid w:val="00A22C42"/>
    <w:rsid w:val="00A22CBF"/>
    <w:rsid w:val="00A22CE5"/>
    <w:rsid w:val="00A22D4F"/>
    <w:rsid w:val="00A22D59"/>
    <w:rsid w:val="00A22D66"/>
    <w:rsid w:val="00A22D7C"/>
    <w:rsid w:val="00A22D84"/>
    <w:rsid w:val="00A22EEE"/>
    <w:rsid w:val="00A22F11"/>
    <w:rsid w:val="00A22F42"/>
    <w:rsid w:val="00A2307F"/>
    <w:rsid w:val="00A2317F"/>
    <w:rsid w:val="00A232EA"/>
    <w:rsid w:val="00A23354"/>
    <w:rsid w:val="00A234CA"/>
    <w:rsid w:val="00A234E0"/>
    <w:rsid w:val="00A23510"/>
    <w:rsid w:val="00A235E4"/>
    <w:rsid w:val="00A23634"/>
    <w:rsid w:val="00A23738"/>
    <w:rsid w:val="00A237A1"/>
    <w:rsid w:val="00A2389C"/>
    <w:rsid w:val="00A23A95"/>
    <w:rsid w:val="00A23AAA"/>
    <w:rsid w:val="00A23BE6"/>
    <w:rsid w:val="00A23C58"/>
    <w:rsid w:val="00A23D3D"/>
    <w:rsid w:val="00A23DCA"/>
    <w:rsid w:val="00A23DD3"/>
    <w:rsid w:val="00A23E48"/>
    <w:rsid w:val="00A23E53"/>
    <w:rsid w:val="00A23EE8"/>
    <w:rsid w:val="00A23F59"/>
    <w:rsid w:val="00A23F9B"/>
    <w:rsid w:val="00A24031"/>
    <w:rsid w:val="00A2407A"/>
    <w:rsid w:val="00A24131"/>
    <w:rsid w:val="00A242BA"/>
    <w:rsid w:val="00A2431C"/>
    <w:rsid w:val="00A24325"/>
    <w:rsid w:val="00A2474A"/>
    <w:rsid w:val="00A2474B"/>
    <w:rsid w:val="00A24772"/>
    <w:rsid w:val="00A2480F"/>
    <w:rsid w:val="00A24810"/>
    <w:rsid w:val="00A2488B"/>
    <w:rsid w:val="00A248FE"/>
    <w:rsid w:val="00A24A95"/>
    <w:rsid w:val="00A24B67"/>
    <w:rsid w:val="00A24BB5"/>
    <w:rsid w:val="00A24BEA"/>
    <w:rsid w:val="00A24C85"/>
    <w:rsid w:val="00A24CAB"/>
    <w:rsid w:val="00A24CFF"/>
    <w:rsid w:val="00A24D11"/>
    <w:rsid w:val="00A24DA8"/>
    <w:rsid w:val="00A24E21"/>
    <w:rsid w:val="00A2523B"/>
    <w:rsid w:val="00A25251"/>
    <w:rsid w:val="00A2528B"/>
    <w:rsid w:val="00A2530D"/>
    <w:rsid w:val="00A25440"/>
    <w:rsid w:val="00A2566B"/>
    <w:rsid w:val="00A256E3"/>
    <w:rsid w:val="00A2574C"/>
    <w:rsid w:val="00A2575C"/>
    <w:rsid w:val="00A257B1"/>
    <w:rsid w:val="00A259F4"/>
    <w:rsid w:val="00A25A66"/>
    <w:rsid w:val="00A25BE4"/>
    <w:rsid w:val="00A25C29"/>
    <w:rsid w:val="00A25C57"/>
    <w:rsid w:val="00A25C5D"/>
    <w:rsid w:val="00A25CEB"/>
    <w:rsid w:val="00A25D00"/>
    <w:rsid w:val="00A25D1F"/>
    <w:rsid w:val="00A25D2D"/>
    <w:rsid w:val="00A25D46"/>
    <w:rsid w:val="00A25F4B"/>
    <w:rsid w:val="00A25F62"/>
    <w:rsid w:val="00A25FF0"/>
    <w:rsid w:val="00A2619C"/>
    <w:rsid w:val="00A261EC"/>
    <w:rsid w:val="00A26206"/>
    <w:rsid w:val="00A262BE"/>
    <w:rsid w:val="00A2635E"/>
    <w:rsid w:val="00A263B6"/>
    <w:rsid w:val="00A26431"/>
    <w:rsid w:val="00A264AF"/>
    <w:rsid w:val="00A26544"/>
    <w:rsid w:val="00A26555"/>
    <w:rsid w:val="00A265EC"/>
    <w:rsid w:val="00A26644"/>
    <w:rsid w:val="00A26681"/>
    <w:rsid w:val="00A267AF"/>
    <w:rsid w:val="00A267FA"/>
    <w:rsid w:val="00A26904"/>
    <w:rsid w:val="00A2699D"/>
    <w:rsid w:val="00A26A8B"/>
    <w:rsid w:val="00A26DB2"/>
    <w:rsid w:val="00A26E45"/>
    <w:rsid w:val="00A26E6B"/>
    <w:rsid w:val="00A26F9F"/>
    <w:rsid w:val="00A272BC"/>
    <w:rsid w:val="00A2730D"/>
    <w:rsid w:val="00A2749D"/>
    <w:rsid w:val="00A274C5"/>
    <w:rsid w:val="00A27535"/>
    <w:rsid w:val="00A27706"/>
    <w:rsid w:val="00A277AD"/>
    <w:rsid w:val="00A277BB"/>
    <w:rsid w:val="00A27836"/>
    <w:rsid w:val="00A279B0"/>
    <w:rsid w:val="00A27B8E"/>
    <w:rsid w:val="00A27BA0"/>
    <w:rsid w:val="00A27BFC"/>
    <w:rsid w:val="00A27DFE"/>
    <w:rsid w:val="00A27F7E"/>
    <w:rsid w:val="00A30112"/>
    <w:rsid w:val="00A3023C"/>
    <w:rsid w:val="00A302A4"/>
    <w:rsid w:val="00A302FF"/>
    <w:rsid w:val="00A30466"/>
    <w:rsid w:val="00A304EA"/>
    <w:rsid w:val="00A30661"/>
    <w:rsid w:val="00A306BF"/>
    <w:rsid w:val="00A30895"/>
    <w:rsid w:val="00A3089A"/>
    <w:rsid w:val="00A30A70"/>
    <w:rsid w:val="00A30B89"/>
    <w:rsid w:val="00A30C27"/>
    <w:rsid w:val="00A30CF0"/>
    <w:rsid w:val="00A30CF8"/>
    <w:rsid w:val="00A30DCB"/>
    <w:rsid w:val="00A30E6C"/>
    <w:rsid w:val="00A30ED4"/>
    <w:rsid w:val="00A30F5C"/>
    <w:rsid w:val="00A3104C"/>
    <w:rsid w:val="00A310CF"/>
    <w:rsid w:val="00A3113C"/>
    <w:rsid w:val="00A3126D"/>
    <w:rsid w:val="00A3145C"/>
    <w:rsid w:val="00A31471"/>
    <w:rsid w:val="00A31580"/>
    <w:rsid w:val="00A31731"/>
    <w:rsid w:val="00A31732"/>
    <w:rsid w:val="00A318A5"/>
    <w:rsid w:val="00A319B4"/>
    <w:rsid w:val="00A31AEA"/>
    <w:rsid w:val="00A31C51"/>
    <w:rsid w:val="00A31CC1"/>
    <w:rsid w:val="00A31E76"/>
    <w:rsid w:val="00A31F53"/>
    <w:rsid w:val="00A32044"/>
    <w:rsid w:val="00A32131"/>
    <w:rsid w:val="00A3219C"/>
    <w:rsid w:val="00A3221E"/>
    <w:rsid w:val="00A32357"/>
    <w:rsid w:val="00A3244A"/>
    <w:rsid w:val="00A3247E"/>
    <w:rsid w:val="00A3258D"/>
    <w:rsid w:val="00A32684"/>
    <w:rsid w:val="00A32754"/>
    <w:rsid w:val="00A3284C"/>
    <w:rsid w:val="00A3286B"/>
    <w:rsid w:val="00A3289E"/>
    <w:rsid w:val="00A328D1"/>
    <w:rsid w:val="00A32AC4"/>
    <w:rsid w:val="00A32C97"/>
    <w:rsid w:val="00A32CAD"/>
    <w:rsid w:val="00A32D0E"/>
    <w:rsid w:val="00A32D67"/>
    <w:rsid w:val="00A32DF3"/>
    <w:rsid w:val="00A32E85"/>
    <w:rsid w:val="00A32FA2"/>
    <w:rsid w:val="00A33076"/>
    <w:rsid w:val="00A3307F"/>
    <w:rsid w:val="00A330CE"/>
    <w:rsid w:val="00A33128"/>
    <w:rsid w:val="00A3317A"/>
    <w:rsid w:val="00A33202"/>
    <w:rsid w:val="00A3340E"/>
    <w:rsid w:val="00A334BB"/>
    <w:rsid w:val="00A33544"/>
    <w:rsid w:val="00A335D5"/>
    <w:rsid w:val="00A336AE"/>
    <w:rsid w:val="00A336ED"/>
    <w:rsid w:val="00A33942"/>
    <w:rsid w:val="00A339DA"/>
    <w:rsid w:val="00A33A5E"/>
    <w:rsid w:val="00A33AC2"/>
    <w:rsid w:val="00A33C0F"/>
    <w:rsid w:val="00A33D51"/>
    <w:rsid w:val="00A33EE5"/>
    <w:rsid w:val="00A33FFC"/>
    <w:rsid w:val="00A3403B"/>
    <w:rsid w:val="00A3405B"/>
    <w:rsid w:val="00A340B8"/>
    <w:rsid w:val="00A341ED"/>
    <w:rsid w:val="00A34204"/>
    <w:rsid w:val="00A3449C"/>
    <w:rsid w:val="00A34738"/>
    <w:rsid w:val="00A347F6"/>
    <w:rsid w:val="00A34AE6"/>
    <w:rsid w:val="00A34B63"/>
    <w:rsid w:val="00A34C8A"/>
    <w:rsid w:val="00A34E12"/>
    <w:rsid w:val="00A34EC4"/>
    <w:rsid w:val="00A34EE5"/>
    <w:rsid w:val="00A352B5"/>
    <w:rsid w:val="00A35560"/>
    <w:rsid w:val="00A355A1"/>
    <w:rsid w:val="00A355BF"/>
    <w:rsid w:val="00A355FB"/>
    <w:rsid w:val="00A35661"/>
    <w:rsid w:val="00A356CC"/>
    <w:rsid w:val="00A35733"/>
    <w:rsid w:val="00A359BA"/>
    <w:rsid w:val="00A35B2A"/>
    <w:rsid w:val="00A35BE1"/>
    <w:rsid w:val="00A35DE6"/>
    <w:rsid w:val="00A35E1E"/>
    <w:rsid w:val="00A35E24"/>
    <w:rsid w:val="00A35E3B"/>
    <w:rsid w:val="00A35F0E"/>
    <w:rsid w:val="00A35F8E"/>
    <w:rsid w:val="00A3609F"/>
    <w:rsid w:val="00A363B1"/>
    <w:rsid w:val="00A363D2"/>
    <w:rsid w:val="00A3640D"/>
    <w:rsid w:val="00A36449"/>
    <w:rsid w:val="00A366FB"/>
    <w:rsid w:val="00A36714"/>
    <w:rsid w:val="00A3677E"/>
    <w:rsid w:val="00A369BC"/>
    <w:rsid w:val="00A36A06"/>
    <w:rsid w:val="00A36B16"/>
    <w:rsid w:val="00A36B51"/>
    <w:rsid w:val="00A36C1F"/>
    <w:rsid w:val="00A36C5B"/>
    <w:rsid w:val="00A36D6A"/>
    <w:rsid w:val="00A36E3A"/>
    <w:rsid w:val="00A36F46"/>
    <w:rsid w:val="00A37061"/>
    <w:rsid w:val="00A37135"/>
    <w:rsid w:val="00A3738D"/>
    <w:rsid w:val="00A37425"/>
    <w:rsid w:val="00A37454"/>
    <w:rsid w:val="00A374B1"/>
    <w:rsid w:val="00A3758C"/>
    <w:rsid w:val="00A37692"/>
    <w:rsid w:val="00A376B6"/>
    <w:rsid w:val="00A3776F"/>
    <w:rsid w:val="00A377E3"/>
    <w:rsid w:val="00A37817"/>
    <w:rsid w:val="00A3792D"/>
    <w:rsid w:val="00A37A02"/>
    <w:rsid w:val="00A37C07"/>
    <w:rsid w:val="00A37D29"/>
    <w:rsid w:val="00A37DB8"/>
    <w:rsid w:val="00A37F95"/>
    <w:rsid w:val="00A37FF5"/>
    <w:rsid w:val="00A40227"/>
    <w:rsid w:val="00A402AC"/>
    <w:rsid w:val="00A40472"/>
    <w:rsid w:val="00A404A6"/>
    <w:rsid w:val="00A40500"/>
    <w:rsid w:val="00A4055C"/>
    <w:rsid w:val="00A4059A"/>
    <w:rsid w:val="00A405FA"/>
    <w:rsid w:val="00A40634"/>
    <w:rsid w:val="00A4068F"/>
    <w:rsid w:val="00A4072A"/>
    <w:rsid w:val="00A40741"/>
    <w:rsid w:val="00A407CB"/>
    <w:rsid w:val="00A408A3"/>
    <w:rsid w:val="00A408C5"/>
    <w:rsid w:val="00A408D2"/>
    <w:rsid w:val="00A4097B"/>
    <w:rsid w:val="00A409F4"/>
    <w:rsid w:val="00A40C2D"/>
    <w:rsid w:val="00A40D55"/>
    <w:rsid w:val="00A40E5D"/>
    <w:rsid w:val="00A41088"/>
    <w:rsid w:val="00A410B2"/>
    <w:rsid w:val="00A41217"/>
    <w:rsid w:val="00A4133C"/>
    <w:rsid w:val="00A413E2"/>
    <w:rsid w:val="00A41494"/>
    <w:rsid w:val="00A414AE"/>
    <w:rsid w:val="00A415A3"/>
    <w:rsid w:val="00A418DF"/>
    <w:rsid w:val="00A41B02"/>
    <w:rsid w:val="00A41B59"/>
    <w:rsid w:val="00A41CAA"/>
    <w:rsid w:val="00A41E84"/>
    <w:rsid w:val="00A42021"/>
    <w:rsid w:val="00A42150"/>
    <w:rsid w:val="00A424BF"/>
    <w:rsid w:val="00A4254A"/>
    <w:rsid w:val="00A42573"/>
    <w:rsid w:val="00A4259D"/>
    <w:rsid w:val="00A4268A"/>
    <w:rsid w:val="00A426AF"/>
    <w:rsid w:val="00A42726"/>
    <w:rsid w:val="00A427C9"/>
    <w:rsid w:val="00A427DF"/>
    <w:rsid w:val="00A42B04"/>
    <w:rsid w:val="00A42BBF"/>
    <w:rsid w:val="00A42D0F"/>
    <w:rsid w:val="00A42E32"/>
    <w:rsid w:val="00A42E55"/>
    <w:rsid w:val="00A42E70"/>
    <w:rsid w:val="00A42E7C"/>
    <w:rsid w:val="00A42F73"/>
    <w:rsid w:val="00A42FD6"/>
    <w:rsid w:val="00A43476"/>
    <w:rsid w:val="00A43583"/>
    <w:rsid w:val="00A43658"/>
    <w:rsid w:val="00A43668"/>
    <w:rsid w:val="00A4373A"/>
    <w:rsid w:val="00A439A8"/>
    <w:rsid w:val="00A43C42"/>
    <w:rsid w:val="00A43C75"/>
    <w:rsid w:val="00A43D21"/>
    <w:rsid w:val="00A43FA0"/>
    <w:rsid w:val="00A441DB"/>
    <w:rsid w:val="00A44223"/>
    <w:rsid w:val="00A44298"/>
    <w:rsid w:val="00A44324"/>
    <w:rsid w:val="00A443C0"/>
    <w:rsid w:val="00A443EB"/>
    <w:rsid w:val="00A4446A"/>
    <w:rsid w:val="00A44518"/>
    <w:rsid w:val="00A44588"/>
    <w:rsid w:val="00A4459A"/>
    <w:rsid w:val="00A44660"/>
    <w:rsid w:val="00A449EB"/>
    <w:rsid w:val="00A44B9D"/>
    <w:rsid w:val="00A44C0A"/>
    <w:rsid w:val="00A44C3D"/>
    <w:rsid w:val="00A44ED7"/>
    <w:rsid w:val="00A44F83"/>
    <w:rsid w:val="00A45035"/>
    <w:rsid w:val="00A45105"/>
    <w:rsid w:val="00A4513F"/>
    <w:rsid w:val="00A451C1"/>
    <w:rsid w:val="00A452E7"/>
    <w:rsid w:val="00A45354"/>
    <w:rsid w:val="00A453C1"/>
    <w:rsid w:val="00A45644"/>
    <w:rsid w:val="00A45803"/>
    <w:rsid w:val="00A45D0D"/>
    <w:rsid w:val="00A45E39"/>
    <w:rsid w:val="00A45F0F"/>
    <w:rsid w:val="00A45F23"/>
    <w:rsid w:val="00A45F86"/>
    <w:rsid w:val="00A45FB4"/>
    <w:rsid w:val="00A461AA"/>
    <w:rsid w:val="00A4625D"/>
    <w:rsid w:val="00A462CE"/>
    <w:rsid w:val="00A46301"/>
    <w:rsid w:val="00A463B6"/>
    <w:rsid w:val="00A4647B"/>
    <w:rsid w:val="00A464A5"/>
    <w:rsid w:val="00A464C8"/>
    <w:rsid w:val="00A46634"/>
    <w:rsid w:val="00A46693"/>
    <w:rsid w:val="00A46746"/>
    <w:rsid w:val="00A4689E"/>
    <w:rsid w:val="00A468EE"/>
    <w:rsid w:val="00A4699D"/>
    <w:rsid w:val="00A469F3"/>
    <w:rsid w:val="00A469FE"/>
    <w:rsid w:val="00A46A4F"/>
    <w:rsid w:val="00A46A80"/>
    <w:rsid w:val="00A46C47"/>
    <w:rsid w:val="00A46C7C"/>
    <w:rsid w:val="00A46CB4"/>
    <w:rsid w:val="00A46D81"/>
    <w:rsid w:val="00A46DF9"/>
    <w:rsid w:val="00A470E2"/>
    <w:rsid w:val="00A47199"/>
    <w:rsid w:val="00A471B7"/>
    <w:rsid w:val="00A471DF"/>
    <w:rsid w:val="00A47350"/>
    <w:rsid w:val="00A47382"/>
    <w:rsid w:val="00A474B2"/>
    <w:rsid w:val="00A47583"/>
    <w:rsid w:val="00A4762C"/>
    <w:rsid w:val="00A477D1"/>
    <w:rsid w:val="00A478C7"/>
    <w:rsid w:val="00A47993"/>
    <w:rsid w:val="00A47A10"/>
    <w:rsid w:val="00A47B42"/>
    <w:rsid w:val="00A47C2D"/>
    <w:rsid w:val="00A47E6D"/>
    <w:rsid w:val="00A47E9F"/>
    <w:rsid w:val="00A47F3D"/>
    <w:rsid w:val="00A47F58"/>
    <w:rsid w:val="00A47F76"/>
    <w:rsid w:val="00A5007C"/>
    <w:rsid w:val="00A501D4"/>
    <w:rsid w:val="00A50273"/>
    <w:rsid w:val="00A5030C"/>
    <w:rsid w:val="00A503A7"/>
    <w:rsid w:val="00A5041B"/>
    <w:rsid w:val="00A50716"/>
    <w:rsid w:val="00A50736"/>
    <w:rsid w:val="00A50871"/>
    <w:rsid w:val="00A50872"/>
    <w:rsid w:val="00A50903"/>
    <w:rsid w:val="00A50945"/>
    <w:rsid w:val="00A50952"/>
    <w:rsid w:val="00A50960"/>
    <w:rsid w:val="00A50A00"/>
    <w:rsid w:val="00A50A48"/>
    <w:rsid w:val="00A50B3C"/>
    <w:rsid w:val="00A50BFF"/>
    <w:rsid w:val="00A50C12"/>
    <w:rsid w:val="00A50CBD"/>
    <w:rsid w:val="00A50F37"/>
    <w:rsid w:val="00A51125"/>
    <w:rsid w:val="00A511B2"/>
    <w:rsid w:val="00A51245"/>
    <w:rsid w:val="00A5141A"/>
    <w:rsid w:val="00A514A5"/>
    <w:rsid w:val="00A515CF"/>
    <w:rsid w:val="00A51823"/>
    <w:rsid w:val="00A5186E"/>
    <w:rsid w:val="00A51925"/>
    <w:rsid w:val="00A51943"/>
    <w:rsid w:val="00A5194D"/>
    <w:rsid w:val="00A51A07"/>
    <w:rsid w:val="00A51AA5"/>
    <w:rsid w:val="00A51B9F"/>
    <w:rsid w:val="00A51BD5"/>
    <w:rsid w:val="00A51C26"/>
    <w:rsid w:val="00A51CB5"/>
    <w:rsid w:val="00A51E63"/>
    <w:rsid w:val="00A51F3C"/>
    <w:rsid w:val="00A51FAE"/>
    <w:rsid w:val="00A52098"/>
    <w:rsid w:val="00A52348"/>
    <w:rsid w:val="00A524AE"/>
    <w:rsid w:val="00A524FC"/>
    <w:rsid w:val="00A5251B"/>
    <w:rsid w:val="00A52528"/>
    <w:rsid w:val="00A525CB"/>
    <w:rsid w:val="00A525EC"/>
    <w:rsid w:val="00A527EC"/>
    <w:rsid w:val="00A529C3"/>
    <w:rsid w:val="00A52A29"/>
    <w:rsid w:val="00A52A5C"/>
    <w:rsid w:val="00A52B09"/>
    <w:rsid w:val="00A52CAA"/>
    <w:rsid w:val="00A52D55"/>
    <w:rsid w:val="00A52D98"/>
    <w:rsid w:val="00A52E3A"/>
    <w:rsid w:val="00A53022"/>
    <w:rsid w:val="00A5316F"/>
    <w:rsid w:val="00A531C6"/>
    <w:rsid w:val="00A5337B"/>
    <w:rsid w:val="00A5338B"/>
    <w:rsid w:val="00A5338E"/>
    <w:rsid w:val="00A53637"/>
    <w:rsid w:val="00A536EC"/>
    <w:rsid w:val="00A537BB"/>
    <w:rsid w:val="00A538AF"/>
    <w:rsid w:val="00A538EE"/>
    <w:rsid w:val="00A53C62"/>
    <w:rsid w:val="00A53CDB"/>
    <w:rsid w:val="00A53E41"/>
    <w:rsid w:val="00A53F7A"/>
    <w:rsid w:val="00A5405B"/>
    <w:rsid w:val="00A5407A"/>
    <w:rsid w:val="00A54083"/>
    <w:rsid w:val="00A54164"/>
    <w:rsid w:val="00A54326"/>
    <w:rsid w:val="00A544B6"/>
    <w:rsid w:val="00A545B9"/>
    <w:rsid w:val="00A54605"/>
    <w:rsid w:val="00A5472D"/>
    <w:rsid w:val="00A547C2"/>
    <w:rsid w:val="00A54858"/>
    <w:rsid w:val="00A54918"/>
    <w:rsid w:val="00A54981"/>
    <w:rsid w:val="00A549FA"/>
    <w:rsid w:val="00A54A6B"/>
    <w:rsid w:val="00A54B61"/>
    <w:rsid w:val="00A54C02"/>
    <w:rsid w:val="00A54C2D"/>
    <w:rsid w:val="00A54E14"/>
    <w:rsid w:val="00A54EE5"/>
    <w:rsid w:val="00A54FFD"/>
    <w:rsid w:val="00A5510D"/>
    <w:rsid w:val="00A551CE"/>
    <w:rsid w:val="00A55251"/>
    <w:rsid w:val="00A55321"/>
    <w:rsid w:val="00A5564E"/>
    <w:rsid w:val="00A55651"/>
    <w:rsid w:val="00A556D5"/>
    <w:rsid w:val="00A55766"/>
    <w:rsid w:val="00A5577E"/>
    <w:rsid w:val="00A55888"/>
    <w:rsid w:val="00A558C5"/>
    <w:rsid w:val="00A558F1"/>
    <w:rsid w:val="00A5592F"/>
    <w:rsid w:val="00A559A3"/>
    <w:rsid w:val="00A55B60"/>
    <w:rsid w:val="00A55CF4"/>
    <w:rsid w:val="00A55E52"/>
    <w:rsid w:val="00A55E6C"/>
    <w:rsid w:val="00A55E9A"/>
    <w:rsid w:val="00A55EB9"/>
    <w:rsid w:val="00A55ECE"/>
    <w:rsid w:val="00A55F07"/>
    <w:rsid w:val="00A55F3C"/>
    <w:rsid w:val="00A55FDA"/>
    <w:rsid w:val="00A56104"/>
    <w:rsid w:val="00A56588"/>
    <w:rsid w:val="00A5659C"/>
    <w:rsid w:val="00A5692A"/>
    <w:rsid w:val="00A5696E"/>
    <w:rsid w:val="00A56A19"/>
    <w:rsid w:val="00A56A71"/>
    <w:rsid w:val="00A56A7B"/>
    <w:rsid w:val="00A56B66"/>
    <w:rsid w:val="00A56D3A"/>
    <w:rsid w:val="00A56DAA"/>
    <w:rsid w:val="00A56DF1"/>
    <w:rsid w:val="00A56E9F"/>
    <w:rsid w:val="00A56EB9"/>
    <w:rsid w:val="00A56F31"/>
    <w:rsid w:val="00A570C9"/>
    <w:rsid w:val="00A57218"/>
    <w:rsid w:val="00A57326"/>
    <w:rsid w:val="00A573ED"/>
    <w:rsid w:val="00A57402"/>
    <w:rsid w:val="00A57411"/>
    <w:rsid w:val="00A574E6"/>
    <w:rsid w:val="00A5788A"/>
    <w:rsid w:val="00A57898"/>
    <w:rsid w:val="00A57914"/>
    <w:rsid w:val="00A57923"/>
    <w:rsid w:val="00A579A2"/>
    <w:rsid w:val="00A57AAF"/>
    <w:rsid w:val="00A57B05"/>
    <w:rsid w:val="00A57B3F"/>
    <w:rsid w:val="00A57B4C"/>
    <w:rsid w:val="00A57CD4"/>
    <w:rsid w:val="00A57D35"/>
    <w:rsid w:val="00A57DCD"/>
    <w:rsid w:val="00A57E01"/>
    <w:rsid w:val="00A57E8B"/>
    <w:rsid w:val="00A57F8A"/>
    <w:rsid w:val="00A57FDD"/>
    <w:rsid w:val="00A57FE1"/>
    <w:rsid w:val="00A6005D"/>
    <w:rsid w:val="00A6005E"/>
    <w:rsid w:val="00A60124"/>
    <w:rsid w:val="00A60176"/>
    <w:rsid w:val="00A60220"/>
    <w:rsid w:val="00A60470"/>
    <w:rsid w:val="00A604FF"/>
    <w:rsid w:val="00A605C6"/>
    <w:rsid w:val="00A60669"/>
    <w:rsid w:val="00A606CC"/>
    <w:rsid w:val="00A6075B"/>
    <w:rsid w:val="00A60833"/>
    <w:rsid w:val="00A608C7"/>
    <w:rsid w:val="00A60962"/>
    <w:rsid w:val="00A60974"/>
    <w:rsid w:val="00A60AC5"/>
    <w:rsid w:val="00A60B53"/>
    <w:rsid w:val="00A60DAE"/>
    <w:rsid w:val="00A60DC4"/>
    <w:rsid w:val="00A60DF9"/>
    <w:rsid w:val="00A60E09"/>
    <w:rsid w:val="00A60E9F"/>
    <w:rsid w:val="00A60FA2"/>
    <w:rsid w:val="00A61045"/>
    <w:rsid w:val="00A6108F"/>
    <w:rsid w:val="00A61332"/>
    <w:rsid w:val="00A6157C"/>
    <w:rsid w:val="00A61624"/>
    <w:rsid w:val="00A6166E"/>
    <w:rsid w:val="00A6172C"/>
    <w:rsid w:val="00A61762"/>
    <w:rsid w:val="00A617E6"/>
    <w:rsid w:val="00A617FF"/>
    <w:rsid w:val="00A6192B"/>
    <w:rsid w:val="00A61944"/>
    <w:rsid w:val="00A61A4F"/>
    <w:rsid w:val="00A61BC5"/>
    <w:rsid w:val="00A61D5E"/>
    <w:rsid w:val="00A61EB0"/>
    <w:rsid w:val="00A6224B"/>
    <w:rsid w:val="00A6235A"/>
    <w:rsid w:val="00A62399"/>
    <w:rsid w:val="00A626EB"/>
    <w:rsid w:val="00A6278C"/>
    <w:rsid w:val="00A627A0"/>
    <w:rsid w:val="00A627C3"/>
    <w:rsid w:val="00A62848"/>
    <w:rsid w:val="00A62AFB"/>
    <w:rsid w:val="00A62BA7"/>
    <w:rsid w:val="00A62BF1"/>
    <w:rsid w:val="00A62E6B"/>
    <w:rsid w:val="00A62EAB"/>
    <w:rsid w:val="00A63069"/>
    <w:rsid w:val="00A63179"/>
    <w:rsid w:val="00A632D1"/>
    <w:rsid w:val="00A63310"/>
    <w:rsid w:val="00A6386B"/>
    <w:rsid w:val="00A63881"/>
    <w:rsid w:val="00A6388C"/>
    <w:rsid w:val="00A6392E"/>
    <w:rsid w:val="00A63D0E"/>
    <w:rsid w:val="00A64307"/>
    <w:rsid w:val="00A64316"/>
    <w:rsid w:val="00A643BC"/>
    <w:rsid w:val="00A644EF"/>
    <w:rsid w:val="00A6459D"/>
    <w:rsid w:val="00A645FC"/>
    <w:rsid w:val="00A646B0"/>
    <w:rsid w:val="00A646F4"/>
    <w:rsid w:val="00A64742"/>
    <w:rsid w:val="00A647D9"/>
    <w:rsid w:val="00A64868"/>
    <w:rsid w:val="00A649EC"/>
    <w:rsid w:val="00A64B4C"/>
    <w:rsid w:val="00A64C59"/>
    <w:rsid w:val="00A64DF5"/>
    <w:rsid w:val="00A64E2A"/>
    <w:rsid w:val="00A65094"/>
    <w:rsid w:val="00A65137"/>
    <w:rsid w:val="00A651A8"/>
    <w:rsid w:val="00A65285"/>
    <w:rsid w:val="00A65360"/>
    <w:rsid w:val="00A65417"/>
    <w:rsid w:val="00A65481"/>
    <w:rsid w:val="00A6558F"/>
    <w:rsid w:val="00A6574A"/>
    <w:rsid w:val="00A657A6"/>
    <w:rsid w:val="00A658DA"/>
    <w:rsid w:val="00A65938"/>
    <w:rsid w:val="00A65A22"/>
    <w:rsid w:val="00A65A53"/>
    <w:rsid w:val="00A65B82"/>
    <w:rsid w:val="00A65DA5"/>
    <w:rsid w:val="00A65EC4"/>
    <w:rsid w:val="00A65F0F"/>
    <w:rsid w:val="00A65F95"/>
    <w:rsid w:val="00A65FC2"/>
    <w:rsid w:val="00A660D3"/>
    <w:rsid w:val="00A66151"/>
    <w:rsid w:val="00A661A0"/>
    <w:rsid w:val="00A661E5"/>
    <w:rsid w:val="00A66345"/>
    <w:rsid w:val="00A66822"/>
    <w:rsid w:val="00A66BCB"/>
    <w:rsid w:val="00A66C62"/>
    <w:rsid w:val="00A66F01"/>
    <w:rsid w:val="00A66FFC"/>
    <w:rsid w:val="00A67233"/>
    <w:rsid w:val="00A67251"/>
    <w:rsid w:val="00A672CD"/>
    <w:rsid w:val="00A6736B"/>
    <w:rsid w:val="00A673CD"/>
    <w:rsid w:val="00A67541"/>
    <w:rsid w:val="00A67573"/>
    <w:rsid w:val="00A67749"/>
    <w:rsid w:val="00A67964"/>
    <w:rsid w:val="00A6799D"/>
    <w:rsid w:val="00A679CE"/>
    <w:rsid w:val="00A679D5"/>
    <w:rsid w:val="00A67A8E"/>
    <w:rsid w:val="00A67BA8"/>
    <w:rsid w:val="00A67C77"/>
    <w:rsid w:val="00A67D17"/>
    <w:rsid w:val="00A67EF7"/>
    <w:rsid w:val="00A67F89"/>
    <w:rsid w:val="00A70045"/>
    <w:rsid w:val="00A70390"/>
    <w:rsid w:val="00A70443"/>
    <w:rsid w:val="00A707CE"/>
    <w:rsid w:val="00A707F9"/>
    <w:rsid w:val="00A708CD"/>
    <w:rsid w:val="00A708F3"/>
    <w:rsid w:val="00A709DE"/>
    <w:rsid w:val="00A70A35"/>
    <w:rsid w:val="00A70B3C"/>
    <w:rsid w:val="00A70C25"/>
    <w:rsid w:val="00A70C66"/>
    <w:rsid w:val="00A70CDD"/>
    <w:rsid w:val="00A70D50"/>
    <w:rsid w:val="00A70DCA"/>
    <w:rsid w:val="00A70E2A"/>
    <w:rsid w:val="00A70F32"/>
    <w:rsid w:val="00A70F8A"/>
    <w:rsid w:val="00A70F94"/>
    <w:rsid w:val="00A71031"/>
    <w:rsid w:val="00A710B5"/>
    <w:rsid w:val="00A7113F"/>
    <w:rsid w:val="00A712D5"/>
    <w:rsid w:val="00A71406"/>
    <w:rsid w:val="00A71583"/>
    <w:rsid w:val="00A715CE"/>
    <w:rsid w:val="00A715EE"/>
    <w:rsid w:val="00A71621"/>
    <w:rsid w:val="00A71734"/>
    <w:rsid w:val="00A7183F"/>
    <w:rsid w:val="00A71A5D"/>
    <w:rsid w:val="00A71B52"/>
    <w:rsid w:val="00A71C14"/>
    <w:rsid w:val="00A71C26"/>
    <w:rsid w:val="00A71C7F"/>
    <w:rsid w:val="00A71CF1"/>
    <w:rsid w:val="00A71E74"/>
    <w:rsid w:val="00A71E9D"/>
    <w:rsid w:val="00A71EA7"/>
    <w:rsid w:val="00A71F54"/>
    <w:rsid w:val="00A71FA3"/>
    <w:rsid w:val="00A71FC6"/>
    <w:rsid w:val="00A72139"/>
    <w:rsid w:val="00A7224D"/>
    <w:rsid w:val="00A72290"/>
    <w:rsid w:val="00A7241B"/>
    <w:rsid w:val="00A724D6"/>
    <w:rsid w:val="00A7276A"/>
    <w:rsid w:val="00A72971"/>
    <w:rsid w:val="00A729B7"/>
    <w:rsid w:val="00A72A28"/>
    <w:rsid w:val="00A72A46"/>
    <w:rsid w:val="00A72C4F"/>
    <w:rsid w:val="00A72C7B"/>
    <w:rsid w:val="00A72CD3"/>
    <w:rsid w:val="00A72D34"/>
    <w:rsid w:val="00A72D8C"/>
    <w:rsid w:val="00A72DAD"/>
    <w:rsid w:val="00A72F25"/>
    <w:rsid w:val="00A72F4B"/>
    <w:rsid w:val="00A72FC7"/>
    <w:rsid w:val="00A72FE5"/>
    <w:rsid w:val="00A730FE"/>
    <w:rsid w:val="00A7311D"/>
    <w:rsid w:val="00A73189"/>
    <w:rsid w:val="00A731E4"/>
    <w:rsid w:val="00A732BD"/>
    <w:rsid w:val="00A732DB"/>
    <w:rsid w:val="00A73356"/>
    <w:rsid w:val="00A733A4"/>
    <w:rsid w:val="00A7358B"/>
    <w:rsid w:val="00A7359B"/>
    <w:rsid w:val="00A736D5"/>
    <w:rsid w:val="00A73827"/>
    <w:rsid w:val="00A73830"/>
    <w:rsid w:val="00A738E1"/>
    <w:rsid w:val="00A73AB2"/>
    <w:rsid w:val="00A73AD9"/>
    <w:rsid w:val="00A73B89"/>
    <w:rsid w:val="00A73CEB"/>
    <w:rsid w:val="00A73DA7"/>
    <w:rsid w:val="00A73E56"/>
    <w:rsid w:val="00A73EF4"/>
    <w:rsid w:val="00A73F77"/>
    <w:rsid w:val="00A73FAB"/>
    <w:rsid w:val="00A73FAF"/>
    <w:rsid w:val="00A73FB5"/>
    <w:rsid w:val="00A740BA"/>
    <w:rsid w:val="00A740CD"/>
    <w:rsid w:val="00A74136"/>
    <w:rsid w:val="00A7421F"/>
    <w:rsid w:val="00A742DC"/>
    <w:rsid w:val="00A74347"/>
    <w:rsid w:val="00A743C7"/>
    <w:rsid w:val="00A7445F"/>
    <w:rsid w:val="00A744AA"/>
    <w:rsid w:val="00A74587"/>
    <w:rsid w:val="00A74642"/>
    <w:rsid w:val="00A74643"/>
    <w:rsid w:val="00A7466A"/>
    <w:rsid w:val="00A746BF"/>
    <w:rsid w:val="00A7480B"/>
    <w:rsid w:val="00A74876"/>
    <w:rsid w:val="00A74900"/>
    <w:rsid w:val="00A74912"/>
    <w:rsid w:val="00A7496F"/>
    <w:rsid w:val="00A749C3"/>
    <w:rsid w:val="00A74A4A"/>
    <w:rsid w:val="00A74B19"/>
    <w:rsid w:val="00A74B7C"/>
    <w:rsid w:val="00A74BAA"/>
    <w:rsid w:val="00A74D19"/>
    <w:rsid w:val="00A74DD5"/>
    <w:rsid w:val="00A75199"/>
    <w:rsid w:val="00A752D8"/>
    <w:rsid w:val="00A75315"/>
    <w:rsid w:val="00A75431"/>
    <w:rsid w:val="00A75449"/>
    <w:rsid w:val="00A75579"/>
    <w:rsid w:val="00A7559C"/>
    <w:rsid w:val="00A75623"/>
    <w:rsid w:val="00A756E4"/>
    <w:rsid w:val="00A75810"/>
    <w:rsid w:val="00A759AC"/>
    <w:rsid w:val="00A759E6"/>
    <w:rsid w:val="00A75A6E"/>
    <w:rsid w:val="00A75A8E"/>
    <w:rsid w:val="00A75AC6"/>
    <w:rsid w:val="00A75B67"/>
    <w:rsid w:val="00A75B84"/>
    <w:rsid w:val="00A75BD4"/>
    <w:rsid w:val="00A75D52"/>
    <w:rsid w:val="00A75D78"/>
    <w:rsid w:val="00A75E9D"/>
    <w:rsid w:val="00A75F64"/>
    <w:rsid w:val="00A75FB4"/>
    <w:rsid w:val="00A75FD8"/>
    <w:rsid w:val="00A7615D"/>
    <w:rsid w:val="00A762A9"/>
    <w:rsid w:val="00A762FF"/>
    <w:rsid w:val="00A76330"/>
    <w:rsid w:val="00A7640C"/>
    <w:rsid w:val="00A76595"/>
    <w:rsid w:val="00A76723"/>
    <w:rsid w:val="00A76810"/>
    <w:rsid w:val="00A76825"/>
    <w:rsid w:val="00A768BE"/>
    <w:rsid w:val="00A7699A"/>
    <w:rsid w:val="00A76B17"/>
    <w:rsid w:val="00A76BF0"/>
    <w:rsid w:val="00A76C0D"/>
    <w:rsid w:val="00A76C1B"/>
    <w:rsid w:val="00A76C4B"/>
    <w:rsid w:val="00A76D97"/>
    <w:rsid w:val="00A76E10"/>
    <w:rsid w:val="00A76ED7"/>
    <w:rsid w:val="00A7718F"/>
    <w:rsid w:val="00A771DA"/>
    <w:rsid w:val="00A771FE"/>
    <w:rsid w:val="00A7728A"/>
    <w:rsid w:val="00A772A4"/>
    <w:rsid w:val="00A77369"/>
    <w:rsid w:val="00A77504"/>
    <w:rsid w:val="00A77542"/>
    <w:rsid w:val="00A77653"/>
    <w:rsid w:val="00A7775F"/>
    <w:rsid w:val="00A777D8"/>
    <w:rsid w:val="00A77837"/>
    <w:rsid w:val="00A77910"/>
    <w:rsid w:val="00A77973"/>
    <w:rsid w:val="00A77A53"/>
    <w:rsid w:val="00A77A6B"/>
    <w:rsid w:val="00A77B3C"/>
    <w:rsid w:val="00A77C0B"/>
    <w:rsid w:val="00A77C62"/>
    <w:rsid w:val="00A77DA8"/>
    <w:rsid w:val="00A77F39"/>
    <w:rsid w:val="00A77F66"/>
    <w:rsid w:val="00A77F96"/>
    <w:rsid w:val="00A80208"/>
    <w:rsid w:val="00A80265"/>
    <w:rsid w:val="00A802A5"/>
    <w:rsid w:val="00A802A6"/>
    <w:rsid w:val="00A803CE"/>
    <w:rsid w:val="00A80499"/>
    <w:rsid w:val="00A804AC"/>
    <w:rsid w:val="00A804C4"/>
    <w:rsid w:val="00A804FD"/>
    <w:rsid w:val="00A80891"/>
    <w:rsid w:val="00A80A49"/>
    <w:rsid w:val="00A80AF0"/>
    <w:rsid w:val="00A80B89"/>
    <w:rsid w:val="00A80D41"/>
    <w:rsid w:val="00A80E08"/>
    <w:rsid w:val="00A80E1C"/>
    <w:rsid w:val="00A80E80"/>
    <w:rsid w:val="00A812B6"/>
    <w:rsid w:val="00A81509"/>
    <w:rsid w:val="00A81635"/>
    <w:rsid w:val="00A81802"/>
    <w:rsid w:val="00A8182D"/>
    <w:rsid w:val="00A8194C"/>
    <w:rsid w:val="00A81A2E"/>
    <w:rsid w:val="00A81AA0"/>
    <w:rsid w:val="00A81B37"/>
    <w:rsid w:val="00A81C50"/>
    <w:rsid w:val="00A81C5C"/>
    <w:rsid w:val="00A81CBF"/>
    <w:rsid w:val="00A81CC3"/>
    <w:rsid w:val="00A81D55"/>
    <w:rsid w:val="00A82041"/>
    <w:rsid w:val="00A8206D"/>
    <w:rsid w:val="00A822B5"/>
    <w:rsid w:val="00A822E5"/>
    <w:rsid w:val="00A82320"/>
    <w:rsid w:val="00A8234A"/>
    <w:rsid w:val="00A824FC"/>
    <w:rsid w:val="00A8251A"/>
    <w:rsid w:val="00A82742"/>
    <w:rsid w:val="00A827E6"/>
    <w:rsid w:val="00A827FB"/>
    <w:rsid w:val="00A829DB"/>
    <w:rsid w:val="00A82C11"/>
    <w:rsid w:val="00A82D63"/>
    <w:rsid w:val="00A83025"/>
    <w:rsid w:val="00A83092"/>
    <w:rsid w:val="00A83157"/>
    <w:rsid w:val="00A831B3"/>
    <w:rsid w:val="00A831F3"/>
    <w:rsid w:val="00A83227"/>
    <w:rsid w:val="00A8322D"/>
    <w:rsid w:val="00A8327E"/>
    <w:rsid w:val="00A832AF"/>
    <w:rsid w:val="00A8348F"/>
    <w:rsid w:val="00A834DE"/>
    <w:rsid w:val="00A8355A"/>
    <w:rsid w:val="00A83577"/>
    <w:rsid w:val="00A835C1"/>
    <w:rsid w:val="00A83658"/>
    <w:rsid w:val="00A83693"/>
    <w:rsid w:val="00A8382A"/>
    <w:rsid w:val="00A83885"/>
    <w:rsid w:val="00A838CD"/>
    <w:rsid w:val="00A83A44"/>
    <w:rsid w:val="00A83AB1"/>
    <w:rsid w:val="00A83B82"/>
    <w:rsid w:val="00A83BEE"/>
    <w:rsid w:val="00A83C20"/>
    <w:rsid w:val="00A83C9B"/>
    <w:rsid w:val="00A83CE0"/>
    <w:rsid w:val="00A83D6F"/>
    <w:rsid w:val="00A83D70"/>
    <w:rsid w:val="00A83DDB"/>
    <w:rsid w:val="00A83E54"/>
    <w:rsid w:val="00A83E56"/>
    <w:rsid w:val="00A83F0A"/>
    <w:rsid w:val="00A84097"/>
    <w:rsid w:val="00A84177"/>
    <w:rsid w:val="00A84516"/>
    <w:rsid w:val="00A84552"/>
    <w:rsid w:val="00A845C4"/>
    <w:rsid w:val="00A845E9"/>
    <w:rsid w:val="00A84644"/>
    <w:rsid w:val="00A846BD"/>
    <w:rsid w:val="00A849BB"/>
    <w:rsid w:val="00A849BD"/>
    <w:rsid w:val="00A84AC8"/>
    <w:rsid w:val="00A84B2A"/>
    <w:rsid w:val="00A84C0C"/>
    <w:rsid w:val="00A84C96"/>
    <w:rsid w:val="00A84E7B"/>
    <w:rsid w:val="00A84EBC"/>
    <w:rsid w:val="00A84F0A"/>
    <w:rsid w:val="00A84F1B"/>
    <w:rsid w:val="00A8507B"/>
    <w:rsid w:val="00A85247"/>
    <w:rsid w:val="00A854F9"/>
    <w:rsid w:val="00A85544"/>
    <w:rsid w:val="00A855B6"/>
    <w:rsid w:val="00A8562F"/>
    <w:rsid w:val="00A856E9"/>
    <w:rsid w:val="00A85840"/>
    <w:rsid w:val="00A85863"/>
    <w:rsid w:val="00A858DE"/>
    <w:rsid w:val="00A85923"/>
    <w:rsid w:val="00A85AA2"/>
    <w:rsid w:val="00A85B06"/>
    <w:rsid w:val="00A85BCF"/>
    <w:rsid w:val="00A85CCF"/>
    <w:rsid w:val="00A85F53"/>
    <w:rsid w:val="00A860DD"/>
    <w:rsid w:val="00A862A4"/>
    <w:rsid w:val="00A862B3"/>
    <w:rsid w:val="00A86571"/>
    <w:rsid w:val="00A865F7"/>
    <w:rsid w:val="00A8660F"/>
    <w:rsid w:val="00A866FE"/>
    <w:rsid w:val="00A86757"/>
    <w:rsid w:val="00A8678D"/>
    <w:rsid w:val="00A8695C"/>
    <w:rsid w:val="00A86AA4"/>
    <w:rsid w:val="00A86C59"/>
    <w:rsid w:val="00A86CDA"/>
    <w:rsid w:val="00A86D0F"/>
    <w:rsid w:val="00A87040"/>
    <w:rsid w:val="00A87042"/>
    <w:rsid w:val="00A87101"/>
    <w:rsid w:val="00A87106"/>
    <w:rsid w:val="00A87134"/>
    <w:rsid w:val="00A87147"/>
    <w:rsid w:val="00A87290"/>
    <w:rsid w:val="00A872F3"/>
    <w:rsid w:val="00A87365"/>
    <w:rsid w:val="00A8746A"/>
    <w:rsid w:val="00A87705"/>
    <w:rsid w:val="00A87748"/>
    <w:rsid w:val="00A877AC"/>
    <w:rsid w:val="00A8790E"/>
    <w:rsid w:val="00A87915"/>
    <w:rsid w:val="00A87AEB"/>
    <w:rsid w:val="00A87B20"/>
    <w:rsid w:val="00A87B6F"/>
    <w:rsid w:val="00A87B89"/>
    <w:rsid w:val="00A87D0F"/>
    <w:rsid w:val="00A87D7F"/>
    <w:rsid w:val="00A87E7E"/>
    <w:rsid w:val="00A87EE2"/>
    <w:rsid w:val="00A90092"/>
    <w:rsid w:val="00A90248"/>
    <w:rsid w:val="00A9029A"/>
    <w:rsid w:val="00A902BD"/>
    <w:rsid w:val="00A90309"/>
    <w:rsid w:val="00A9034C"/>
    <w:rsid w:val="00A9040D"/>
    <w:rsid w:val="00A9062A"/>
    <w:rsid w:val="00A90642"/>
    <w:rsid w:val="00A90724"/>
    <w:rsid w:val="00A90807"/>
    <w:rsid w:val="00A908E0"/>
    <w:rsid w:val="00A909D6"/>
    <w:rsid w:val="00A90A31"/>
    <w:rsid w:val="00A90A4A"/>
    <w:rsid w:val="00A90B7F"/>
    <w:rsid w:val="00A90C8F"/>
    <w:rsid w:val="00A90CDB"/>
    <w:rsid w:val="00A90DEB"/>
    <w:rsid w:val="00A90E79"/>
    <w:rsid w:val="00A90E95"/>
    <w:rsid w:val="00A90EEB"/>
    <w:rsid w:val="00A91061"/>
    <w:rsid w:val="00A91071"/>
    <w:rsid w:val="00A910E7"/>
    <w:rsid w:val="00A91149"/>
    <w:rsid w:val="00A911A4"/>
    <w:rsid w:val="00A9131D"/>
    <w:rsid w:val="00A9149C"/>
    <w:rsid w:val="00A9157A"/>
    <w:rsid w:val="00A916B6"/>
    <w:rsid w:val="00A916FC"/>
    <w:rsid w:val="00A9178D"/>
    <w:rsid w:val="00A917A7"/>
    <w:rsid w:val="00A917DA"/>
    <w:rsid w:val="00A91915"/>
    <w:rsid w:val="00A919B0"/>
    <w:rsid w:val="00A91A6A"/>
    <w:rsid w:val="00A91AC9"/>
    <w:rsid w:val="00A91B9E"/>
    <w:rsid w:val="00A91BCB"/>
    <w:rsid w:val="00A91C0A"/>
    <w:rsid w:val="00A91C40"/>
    <w:rsid w:val="00A91C93"/>
    <w:rsid w:val="00A91CA7"/>
    <w:rsid w:val="00A91E7E"/>
    <w:rsid w:val="00A91F5B"/>
    <w:rsid w:val="00A91FFF"/>
    <w:rsid w:val="00A92030"/>
    <w:rsid w:val="00A92450"/>
    <w:rsid w:val="00A924AB"/>
    <w:rsid w:val="00A9256F"/>
    <w:rsid w:val="00A9258B"/>
    <w:rsid w:val="00A9268F"/>
    <w:rsid w:val="00A9278A"/>
    <w:rsid w:val="00A928DF"/>
    <w:rsid w:val="00A92915"/>
    <w:rsid w:val="00A9296B"/>
    <w:rsid w:val="00A92BA1"/>
    <w:rsid w:val="00A92C9D"/>
    <w:rsid w:val="00A92D17"/>
    <w:rsid w:val="00A92DC4"/>
    <w:rsid w:val="00A92E95"/>
    <w:rsid w:val="00A92F9B"/>
    <w:rsid w:val="00A92FDC"/>
    <w:rsid w:val="00A92FF2"/>
    <w:rsid w:val="00A93003"/>
    <w:rsid w:val="00A9305D"/>
    <w:rsid w:val="00A93248"/>
    <w:rsid w:val="00A932F5"/>
    <w:rsid w:val="00A934CE"/>
    <w:rsid w:val="00A93756"/>
    <w:rsid w:val="00A938BF"/>
    <w:rsid w:val="00A93B9F"/>
    <w:rsid w:val="00A93C23"/>
    <w:rsid w:val="00A93E1D"/>
    <w:rsid w:val="00A93E3F"/>
    <w:rsid w:val="00A93EA2"/>
    <w:rsid w:val="00A93F58"/>
    <w:rsid w:val="00A94026"/>
    <w:rsid w:val="00A9407F"/>
    <w:rsid w:val="00A94093"/>
    <w:rsid w:val="00A940C9"/>
    <w:rsid w:val="00A94168"/>
    <w:rsid w:val="00A941A4"/>
    <w:rsid w:val="00A941A8"/>
    <w:rsid w:val="00A9422F"/>
    <w:rsid w:val="00A94356"/>
    <w:rsid w:val="00A94420"/>
    <w:rsid w:val="00A9448D"/>
    <w:rsid w:val="00A94494"/>
    <w:rsid w:val="00A945B7"/>
    <w:rsid w:val="00A947D6"/>
    <w:rsid w:val="00A9481E"/>
    <w:rsid w:val="00A94886"/>
    <w:rsid w:val="00A948A8"/>
    <w:rsid w:val="00A949C2"/>
    <w:rsid w:val="00A94A85"/>
    <w:rsid w:val="00A94DA2"/>
    <w:rsid w:val="00A94DD2"/>
    <w:rsid w:val="00A94E80"/>
    <w:rsid w:val="00A94ECB"/>
    <w:rsid w:val="00A9508E"/>
    <w:rsid w:val="00A950D6"/>
    <w:rsid w:val="00A95221"/>
    <w:rsid w:val="00A9532F"/>
    <w:rsid w:val="00A953D9"/>
    <w:rsid w:val="00A954E3"/>
    <w:rsid w:val="00A95558"/>
    <w:rsid w:val="00A95776"/>
    <w:rsid w:val="00A957E3"/>
    <w:rsid w:val="00A95A2A"/>
    <w:rsid w:val="00A95AA3"/>
    <w:rsid w:val="00A95B87"/>
    <w:rsid w:val="00A95BBF"/>
    <w:rsid w:val="00A95D67"/>
    <w:rsid w:val="00A95D89"/>
    <w:rsid w:val="00A95DB8"/>
    <w:rsid w:val="00A95FE5"/>
    <w:rsid w:val="00A9606F"/>
    <w:rsid w:val="00A961FF"/>
    <w:rsid w:val="00A96220"/>
    <w:rsid w:val="00A9645C"/>
    <w:rsid w:val="00A964B4"/>
    <w:rsid w:val="00A9677A"/>
    <w:rsid w:val="00A96806"/>
    <w:rsid w:val="00A9685B"/>
    <w:rsid w:val="00A96862"/>
    <w:rsid w:val="00A968C2"/>
    <w:rsid w:val="00A968C8"/>
    <w:rsid w:val="00A96AA8"/>
    <w:rsid w:val="00A96B45"/>
    <w:rsid w:val="00A96C56"/>
    <w:rsid w:val="00A96CDE"/>
    <w:rsid w:val="00A96E1F"/>
    <w:rsid w:val="00A96E70"/>
    <w:rsid w:val="00A96E7B"/>
    <w:rsid w:val="00A96EC8"/>
    <w:rsid w:val="00A96EFA"/>
    <w:rsid w:val="00A96F1D"/>
    <w:rsid w:val="00A97120"/>
    <w:rsid w:val="00A971B6"/>
    <w:rsid w:val="00A97213"/>
    <w:rsid w:val="00A972C3"/>
    <w:rsid w:val="00A972F2"/>
    <w:rsid w:val="00A97494"/>
    <w:rsid w:val="00A9750D"/>
    <w:rsid w:val="00A97889"/>
    <w:rsid w:val="00A978A5"/>
    <w:rsid w:val="00A978EC"/>
    <w:rsid w:val="00A97A6B"/>
    <w:rsid w:val="00A97AA4"/>
    <w:rsid w:val="00A97AAA"/>
    <w:rsid w:val="00A97AAE"/>
    <w:rsid w:val="00A97C66"/>
    <w:rsid w:val="00A97C6C"/>
    <w:rsid w:val="00A97C97"/>
    <w:rsid w:val="00A97D57"/>
    <w:rsid w:val="00A97E40"/>
    <w:rsid w:val="00A97EF5"/>
    <w:rsid w:val="00A97F70"/>
    <w:rsid w:val="00AA0017"/>
    <w:rsid w:val="00AA00AA"/>
    <w:rsid w:val="00AA00BD"/>
    <w:rsid w:val="00AA01C3"/>
    <w:rsid w:val="00AA02DF"/>
    <w:rsid w:val="00AA035E"/>
    <w:rsid w:val="00AA03C6"/>
    <w:rsid w:val="00AA0431"/>
    <w:rsid w:val="00AA048D"/>
    <w:rsid w:val="00AA0506"/>
    <w:rsid w:val="00AA051B"/>
    <w:rsid w:val="00AA0537"/>
    <w:rsid w:val="00AA0548"/>
    <w:rsid w:val="00AA05F8"/>
    <w:rsid w:val="00AA0669"/>
    <w:rsid w:val="00AA0792"/>
    <w:rsid w:val="00AA091F"/>
    <w:rsid w:val="00AA0949"/>
    <w:rsid w:val="00AA09B4"/>
    <w:rsid w:val="00AA0AEB"/>
    <w:rsid w:val="00AA0C9E"/>
    <w:rsid w:val="00AA0E17"/>
    <w:rsid w:val="00AA0E9D"/>
    <w:rsid w:val="00AA0F71"/>
    <w:rsid w:val="00AA0FC6"/>
    <w:rsid w:val="00AA10B3"/>
    <w:rsid w:val="00AA114E"/>
    <w:rsid w:val="00AA12B8"/>
    <w:rsid w:val="00AA12BB"/>
    <w:rsid w:val="00AA134A"/>
    <w:rsid w:val="00AA14CE"/>
    <w:rsid w:val="00AA1837"/>
    <w:rsid w:val="00AA18E3"/>
    <w:rsid w:val="00AA190A"/>
    <w:rsid w:val="00AA19BE"/>
    <w:rsid w:val="00AA19C4"/>
    <w:rsid w:val="00AA1A5D"/>
    <w:rsid w:val="00AA1AC1"/>
    <w:rsid w:val="00AA1B0F"/>
    <w:rsid w:val="00AA1B79"/>
    <w:rsid w:val="00AA1C14"/>
    <w:rsid w:val="00AA1E43"/>
    <w:rsid w:val="00AA1EB4"/>
    <w:rsid w:val="00AA1EE9"/>
    <w:rsid w:val="00AA1EFA"/>
    <w:rsid w:val="00AA1F9B"/>
    <w:rsid w:val="00AA2040"/>
    <w:rsid w:val="00AA2197"/>
    <w:rsid w:val="00AA232B"/>
    <w:rsid w:val="00AA241E"/>
    <w:rsid w:val="00AA24D7"/>
    <w:rsid w:val="00AA2556"/>
    <w:rsid w:val="00AA25A4"/>
    <w:rsid w:val="00AA2657"/>
    <w:rsid w:val="00AA26A4"/>
    <w:rsid w:val="00AA26FF"/>
    <w:rsid w:val="00AA2714"/>
    <w:rsid w:val="00AA2727"/>
    <w:rsid w:val="00AA2896"/>
    <w:rsid w:val="00AA298C"/>
    <w:rsid w:val="00AA29A3"/>
    <w:rsid w:val="00AA2BC0"/>
    <w:rsid w:val="00AA2DD6"/>
    <w:rsid w:val="00AA2DE2"/>
    <w:rsid w:val="00AA2E64"/>
    <w:rsid w:val="00AA2FCC"/>
    <w:rsid w:val="00AA30E4"/>
    <w:rsid w:val="00AA329A"/>
    <w:rsid w:val="00AA33F7"/>
    <w:rsid w:val="00AA34E0"/>
    <w:rsid w:val="00AA34E6"/>
    <w:rsid w:val="00AA35F6"/>
    <w:rsid w:val="00AA368A"/>
    <w:rsid w:val="00AA37BB"/>
    <w:rsid w:val="00AA3804"/>
    <w:rsid w:val="00AA380F"/>
    <w:rsid w:val="00AA39BF"/>
    <w:rsid w:val="00AA39D9"/>
    <w:rsid w:val="00AA3A8B"/>
    <w:rsid w:val="00AA3AA0"/>
    <w:rsid w:val="00AA3AEA"/>
    <w:rsid w:val="00AA3B7A"/>
    <w:rsid w:val="00AA3BA4"/>
    <w:rsid w:val="00AA3D13"/>
    <w:rsid w:val="00AA3D29"/>
    <w:rsid w:val="00AA3DBC"/>
    <w:rsid w:val="00AA3FB1"/>
    <w:rsid w:val="00AA4096"/>
    <w:rsid w:val="00AA4168"/>
    <w:rsid w:val="00AA4390"/>
    <w:rsid w:val="00AA47A2"/>
    <w:rsid w:val="00AA4804"/>
    <w:rsid w:val="00AA4916"/>
    <w:rsid w:val="00AA49BA"/>
    <w:rsid w:val="00AA49C8"/>
    <w:rsid w:val="00AA4B85"/>
    <w:rsid w:val="00AA4C07"/>
    <w:rsid w:val="00AA4E52"/>
    <w:rsid w:val="00AA4EDA"/>
    <w:rsid w:val="00AA4F0A"/>
    <w:rsid w:val="00AA4F19"/>
    <w:rsid w:val="00AA5093"/>
    <w:rsid w:val="00AA50B6"/>
    <w:rsid w:val="00AA5253"/>
    <w:rsid w:val="00AA534E"/>
    <w:rsid w:val="00AA53BA"/>
    <w:rsid w:val="00AA5471"/>
    <w:rsid w:val="00AA554C"/>
    <w:rsid w:val="00AA5585"/>
    <w:rsid w:val="00AA5661"/>
    <w:rsid w:val="00AA56C3"/>
    <w:rsid w:val="00AA56E5"/>
    <w:rsid w:val="00AA57DF"/>
    <w:rsid w:val="00AA584F"/>
    <w:rsid w:val="00AA5888"/>
    <w:rsid w:val="00AA5946"/>
    <w:rsid w:val="00AA5A47"/>
    <w:rsid w:val="00AA5C48"/>
    <w:rsid w:val="00AA5D92"/>
    <w:rsid w:val="00AA5DF4"/>
    <w:rsid w:val="00AA5F6E"/>
    <w:rsid w:val="00AA5F81"/>
    <w:rsid w:val="00AA6060"/>
    <w:rsid w:val="00AA6519"/>
    <w:rsid w:val="00AA66D6"/>
    <w:rsid w:val="00AA67B2"/>
    <w:rsid w:val="00AA67CC"/>
    <w:rsid w:val="00AA68A6"/>
    <w:rsid w:val="00AA68DF"/>
    <w:rsid w:val="00AA68FB"/>
    <w:rsid w:val="00AA695F"/>
    <w:rsid w:val="00AA69DE"/>
    <w:rsid w:val="00AA6B0D"/>
    <w:rsid w:val="00AA6C75"/>
    <w:rsid w:val="00AA6ED8"/>
    <w:rsid w:val="00AA6F53"/>
    <w:rsid w:val="00AA6F88"/>
    <w:rsid w:val="00AA6F93"/>
    <w:rsid w:val="00AA718D"/>
    <w:rsid w:val="00AA71E5"/>
    <w:rsid w:val="00AA720F"/>
    <w:rsid w:val="00AA723A"/>
    <w:rsid w:val="00AA726F"/>
    <w:rsid w:val="00AA732B"/>
    <w:rsid w:val="00AA7455"/>
    <w:rsid w:val="00AA7542"/>
    <w:rsid w:val="00AA75CC"/>
    <w:rsid w:val="00AA768D"/>
    <w:rsid w:val="00AA76FE"/>
    <w:rsid w:val="00AA78D1"/>
    <w:rsid w:val="00AA791C"/>
    <w:rsid w:val="00AA7A22"/>
    <w:rsid w:val="00AA7A55"/>
    <w:rsid w:val="00AA7B45"/>
    <w:rsid w:val="00AA7D11"/>
    <w:rsid w:val="00AA7E4C"/>
    <w:rsid w:val="00AA7EDD"/>
    <w:rsid w:val="00AA7F13"/>
    <w:rsid w:val="00AB009E"/>
    <w:rsid w:val="00AB00C3"/>
    <w:rsid w:val="00AB0351"/>
    <w:rsid w:val="00AB0371"/>
    <w:rsid w:val="00AB0387"/>
    <w:rsid w:val="00AB03E0"/>
    <w:rsid w:val="00AB0467"/>
    <w:rsid w:val="00AB04A3"/>
    <w:rsid w:val="00AB04A9"/>
    <w:rsid w:val="00AB0666"/>
    <w:rsid w:val="00AB0668"/>
    <w:rsid w:val="00AB0684"/>
    <w:rsid w:val="00AB0948"/>
    <w:rsid w:val="00AB0985"/>
    <w:rsid w:val="00AB09D9"/>
    <w:rsid w:val="00AB0A0C"/>
    <w:rsid w:val="00AB0B77"/>
    <w:rsid w:val="00AB0DC7"/>
    <w:rsid w:val="00AB0FDB"/>
    <w:rsid w:val="00AB104A"/>
    <w:rsid w:val="00AB1077"/>
    <w:rsid w:val="00AB1081"/>
    <w:rsid w:val="00AB10CC"/>
    <w:rsid w:val="00AB10D2"/>
    <w:rsid w:val="00AB128C"/>
    <w:rsid w:val="00AB12AD"/>
    <w:rsid w:val="00AB1374"/>
    <w:rsid w:val="00AB13BE"/>
    <w:rsid w:val="00AB1447"/>
    <w:rsid w:val="00AB15A1"/>
    <w:rsid w:val="00AB160E"/>
    <w:rsid w:val="00AB177B"/>
    <w:rsid w:val="00AB1D3E"/>
    <w:rsid w:val="00AB2030"/>
    <w:rsid w:val="00AB2121"/>
    <w:rsid w:val="00AB21C1"/>
    <w:rsid w:val="00AB23A8"/>
    <w:rsid w:val="00AB23B8"/>
    <w:rsid w:val="00AB24D5"/>
    <w:rsid w:val="00AB2834"/>
    <w:rsid w:val="00AB2887"/>
    <w:rsid w:val="00AB28A1"/>
    <w:rsid w:val="00AB2913"/>
    <w:rsid w:val="00AB2AFE"/>
    <w:rsid w:val="00AB2C3A"/>
    <w:rsid w:val="00AB2F9E"/>
    <w:rsid w:val="00AB2FAC"/>
    <w:rsid w:val="00AB3000"/>
    <w:rsid w:val="00AB3056"/>
    <w:rsid w:val="00AB3261"/>
    <w:rsid w:val="00AB3276"/>
    <w:rsid w:val="00AB32EF"/>
    <w:rsid w:val="00AB335A"/>
    <w:rsid w:val="00AB33CC"/>
    <w:rsid w:val="00AB341C"/>
    <w:rsid w:val="00AB348E"/>
    <w:rsid w:val="00AB357D"/>
    <w:rsid w:val="00AB3604"/>
    <w:rsid w:val="00AB3717"/>
    <w:rsid w:val="00AB375E"/>
    <w:rsid w:val="00AB387D"/>
    <w:rsid w:val="00AB396A"/>
    <w:rsid w:val="00AB396E"/>
    <w:rsid w:val="00AB3A93"/>
    <w:rsid w:val="00AB3A9D"/>
    <w:rsid w:val="00AB3C18"/>
    <w:rsid w:val="00AB3C9D"/>
    <w:rsid w:val="00AB3DC6"/>
    <w:rsid w:val="00AB3E4F"/>
    <w:rsid w:val="00AB3EC2"/>
    <w:rsid w:val="00AB3EFD"/>
    <w:rsid w:val="00AB3F16"/>
    <w:rsid w:val="00AB3F25"/>
    <w:rsid w:val="00AB3F6C"/>
    <w:rsid w:val="00AB3FAC"/>
    <w:rsid w:val="00AB4097"/>
    <w:rsid w:val="00AB40CB"/>
    <w:rsid w:val="00AB41C4"/>
    <w:rsid w:val="00AB4363"/>
    <w:rsid w:val="00AB4448"/>
    <w:rsid w:val="00AB447B"/>
    <w:rsid w:val="00AB4684"/>
    <w:rsid w:val="00AB46A0"/>
    <w:rsid w:val="00AB46D2"/>
    <w:rsid w:val="00AB4718"/>
    <w:rsid w:val="00AB479B"/>
    <w:rsid w:val="00AB47E8"/>
    <w:rsid w:val="00AB490A"/>
    <w:rsid w:val="00AB490D"/>
    <w:rsid w:val="00AB4A05"/>
    <w:rsid w:val="00AB4B30"/>
    <w:rsid w:val="00AB4DBB"/>
    <w:rsid w:val="00AB4E24"/>
    <w:rsid w:val="00AB4E4C"/>
    <w:rsid w:val="00AB50BA"/>
    <w:rsid w:val="00AB50BB"/>
    <w:rsid w:val="00AB50E9"/>
    <w:rsid w:val="00AB52DF"/>
    <w:rsid w:val="00AB53CA"/>
    <w:rsid w:val="00AB53E6"/>
    <w:rsid w:val="00AB579B"/>
    <w:rsid w:val="00AB57A0"/>
    <w:rsid w:val="00AB57A9"/>
    <w:rsid w:val="00AB58DA"/>
    <w:rsid w:val="00AB59AA"/>
    <w:rsid w:val="00AB59ED"/>
    <w:rsid w:val="00AB5A3C"/>
    <w:rsid w:val="00AB5DEF"/>
    <w:rsid w:val="00AB5E48"/>
    <w:rsid w:val="00AB5F57"/>
    <w:rsid w:val="00AB61B6"/>
    <w:rsid w:val="00AB6209"/>
    <w:rsid w:val="00AB62E2"/>
    <w:rsid w:val="00AB6386"/>
    <w:rsid w:val="00AB63E6"/>
    <w:rsid w:val="00AB63FC"/>
    <w:rsid w:val="00AB648F"/>
    <w:rsid w:val="00AB64E4"/>
    <w:rsid w:val="00AB6671"/>
    <w:rsid w:val="00AB6788"/>
    <w:rsid w:val="00AB67E7"/>
    <w:rsid w:val="00AB68CE"/>
    <w:rsid w:val="00AB68FE"/>
    <w:rsid w:val="00AB6917"/>
    <w:rsid w:val="00AB69A2"/>
    <w:rsid w:val="00AB6BB3"/>
    <w:rsid w:val="00AB6BE3"/>
    <w:rsid w:val="00AB6C4D"/>
    <w:rsid w:val="00AB6E09"/>
    <w:rsid w:val="00AB6E3D"/>
    <w:rsid w:val="00AB717A"/>
    <w:rsid w:val="00AB71BD"/>
    <w:rsid w:val="00AB72B1"/>
    <w:rsid w:val="00AB75B7"/>
    <w:rsid w:val="00AB7636"/>
    <w:rsid w:val="00AB771E"/>
    <w:rsid w:val="00AB77F4"/>
    <w:rsid w:val="00AB7992"/>
    <w:rsid w:val="00AB799A"/>
    <w:rsid w:val="00AB7ADC"/>
    <w:rsid w:val="00AB7C35"/>
    <w:rsid w:val="00AB7CA6"/>
    <w:rsid w:val="00AB7CD3"/>
    <w:rsid w:val="00AB7EEC"/>
    <w:rsid w:val="00AB7F2A"/>
    <w:rsid w:val="00AB7FD1"/>
    <w:rsid w:val="00AC0035"/>
    <w:rsid w:val="00AC005E"/>
    <w:rsid w:val="00AC01CB"/>
    <w:rsid w:val="00AC027B"/>
    <w:rsid w:val="00AC0287"/>
    <w:rsid w:val="00AC0479"/>
    <w:rsid w:val="00AC062C"/>
    <w:rsid w:val="00AC09D4"/>
    <w:rsid w:val="00AC09E2"/>
    <w:rsid w:val="00AC0A9D"/>
    <w:rsid w:val="00AC0AED"/>
    <w:rsid w:val="00AC0C15"/>
    <w:rsid w:val="00AC0D51"/>
    <w:rsid w:val="00AC0D9A"/>
    <w:rsid w:val="00AC0DC2"/>
    <w:rsid w:val="00AC0FE9"/>
    <w:rsid w:val="00AC11A4"/>
    <w:rsid w:val="00AC1201"/>
    <w:rsid w:val="00AC1296"/>
    <w:rsid w:val="00AC12CF"/>
    <w:rsid w:val="00AC13C4"/>
    <w:rsid w:val="00AC165A"/>
    <w:rsid w:val="00AC17CB"/>
    <w:rsid w:val="00AC1B91"/>
    <w:rsid w:val="00AC1BED"/>
    <w:rsid w:val="00AC1C9F"/>
    <w:rsid w:val="00AC1CD3"/>
    <w:rsid w:val="00AC1D55"/>
    <w:rsid w:val="00AC1DEE"/>
    <w:rsid w:val="00AC1DF6"/>
    <w:rsid w:val="00AC1DF8"/>
    <w:rsid w:val="00AC1E11"/>
    <w:rsid w:val="00AC1E77"/>
    <w:rsid w:val="00AC1EE2"/>
    <w:rsid w:val="00AC1F71"/>
    <w:rsid w:val="00AC2132"/>
    <w:rsid w:val="00AC2164"/>
    <w:rsid w:val="00AC21C2"/>
    <w:rsid w:val="00AC22ED"/>
    <w:rsid w:val="00AC24AE"/>
    <w:rsid w:val="00AC2595"/>
    <w:rsid w:val="00AC264B"/>
    <w:rsid w:val="00AC2705"/>
    <w:rsid w:val="00AC2893"/>
    <w:rsid w:val="00AC28D1"/>
    <w:rsid w:val="00AC29D3"/>
    <w:rsid w:val="00AC29D4"/>
    <w:rsid w:val="00AC2A7B"/>
    <w:rsid w:val="00AC2B60"/>
    <w:rsid w:val="00AC2C94"/>
    <w:rsid w:val="00AC2EF0"/>
    <w:rsid w:val="00AC2F13"/>
    <w:rsid w:val="00AC312F"/>
    <w:rsid w:val="00AC31A9"/>
    <w:rsid w:val="00AC3250"/>
    <w:rsid w:val="00AC3294"/>
    <w:rsid w:val="00AC332B"/>
    <w:rsid w:val="00AC3379"/>
    <w:rsid w:val="00AC3620"/>
    <w:rsid w:val="00AC36E0"/>
    <w:rsid w:val="00AC373E"/>
    <w:rsid w:val="00AC37CB"/>
    <w:rsid w:val="00AC392F"/>
    <w:rsid w:val="00AC3AD1"/>
    <w:rsid w:val="00AC3D2A"/>
    <w:rsid w:val="00AC3D64"/>
    <w:rsid w:val="00AC3F2A"/>
    <w:rsid w:val="00AC3FB2"/>
    <w:rsid w:val="00AC3FBA"/>
    <w:rsid w:val="00AC3FCA"/>
    <w:rsid w:val="00AC3FF6"/>
    <w:rsid w:val="00AC410F"/>
    <w:rsid w:val="00AC4141"/>
    <w:rsid w:val="00AC416C"/>
    <w:rsid w:val="00AC41FD"/>
    <w:rsid w:val="00AC4215"/>
    <w:rsid w:val="00AC442C"/>
    <w:rsid w:val="00AC443D"/>
    <w:rsid w:val="00AC44BC"/>
    <w:rsid w:val="00AC455E"/>
    <w:rsid w:val="00AC4565"/>
    <w:rsid w:val="00AC45E3"/>
    <w:rsid w:val="00AC461C"/>
    <w:rsid w:val="00AC46ED"/>
    <w:rsid w:val="00AC4820"/>
    <w:rsid w:val="00AC48CB"/>
    <w:rsid w:val="00AC4940"/>
    <w:rsid w:val="00AC494D"/>
    <w:rsid w:val="00AC4A1C"/>
    <w:rsid w:val="00AC4A50"/>
    <w:rsid w:val="00AC4AB2"/>
    <w:rsid w:val="00AC4D08"/>
    <w:rsid w:val="00AC4DFE"/>
    <w:rsid w:val="00AC4F06"/>
    <w:rsid w:val="00AC4F15"/>
    <w:rsid w:val="00AC4F35"/>
    <w:rsid w:val="00AC4FC4"/>
    <w:rsid w:val="00AC4FD3"/>
    <w:rsid w:val="00AC511E"/>
    <w:rsid w:val="00AC5331"/>
    <w:rsid w:val="00AC5529"/>
    <w:rsid w:val="00AC55C3"/>
    <w:rsid w:val="00AC5796"/>
    <w:rsid w:val="00AC57A7"/>
    <w:rsid w:val="00AC591D"/>
    <w:rsid w:val="00AC5947"/>
    <w:rsid w:val="00AC5B8B"/>
    <w:rsid w:val="00AC5BDB"/>
    <w:rsid w:val="00AC5C1F"/>
    <w:rsid w:val="00AC5D7C"/>
    <w:rsid w:val="00AC5E5D"/>
    <w:rsid w:val="00AC5EA1"/>
    <w:rsid w:val="00AC6062"/>
    <w:rsid w:val="00AC6154"/>
    <w:rsid w:val="00AC620B"/>
    <w:rsid w:val="00AC63B2"/>
    <w:rsid w:val="00AC63D2"/>
    <w:rsid w:val="00AC6418"/>
    <w:rsid w:val="00AC6485"/>
    <w:rsid w:val="00AC64CD"/>
    <w:rsid w:val="00AC659F"/>
    <w:rsid w:val="00AC662C"/>
    <w:rsid w:val="00AC6710"/>
    <w:rsid w:val="00AC674D"/>
    <w:rsid w:val="00AC67CF"/>
    <w:rsid w:val="00AC6807"/>
    <w:rsid w:val="00AC6943"/>
    <w:rsid w:val="00AC6A17"/>
    <w:rsid w:val="00AC6A6E"/>
    <w:rsid w:val="00AC6BCF"/>
    <w:rsid w:val="00AC6CE7"/>
    <w:rsid w:val="00AC6E85"/>
    <w:rsid w:val="00AC6F03"/>
    <w:rsid w:val="00AC6F65"/>
    <w:rsid w:val="00AC6F9C"/>
    <w:rsid w:val="00AC6FA7"/>
    <w:rsid w:val="00AC70A4"/>
    <w:rsid w:val="00AC70DD"/>
    <w:rsid w:val="00AC71AA"/>
    <w:rsid w:val="00AC71BF"/>
    <w:rsid w:val="00AC7282"/>
    <w:rsid w:val="00AC7337"/>
    <w:rsid w:val="00AC7461"/>
    <w:rsid w:val="00AC74E2"/>
    <w:rsid w:val="00AC758A"/>
    <w:rsid w:val="00AC7609"/>
    <w:rsid w:val="00AC767A"/>
    <w:rsid w:val="00AC7781"/>
    <w:rsid w:val="00AC781A"/>
    <w:rsid w:val="00AC7A9A"/>
    <w:rsid w:val="00AC7AA3"/>
    <w:rsid w:val="00AC7AF9"/>
    <w:rsid w:val="00AC7B21"/>
    <w:rsid w:val="00AC7B89"/>
    <w:rsid w:val="00AC7BE8"/>
    <w:rsid w:val="00AC7C56"/>
    <w:rsid w:val="00AC7CA2"/>
    <w:rsid w:val="00AC7CEE"/>
    <w:rsid w:val="00AC7DFB"/>
    <w:rsid w:val="00AC7F43"/>
    <w:rsid w:val="00AC7FE0"/>
    <w:rsid w:val="00AD0046"/>
    <w:rsid w:val="00AD004A"/>
    <w:rsid w:val="00AD031F"/>
    <w:rsid w:val="00AD03B9"/>
    <w:rsid w:val="00AD0430"/>
    <w:rsid w:val="00AD0490"/>
    <w:rsid w:val="00AD04C4"/>
    <w:rsid w:val="00AD0562"/>
    <w:rsid w:val="00AD0593"/>
    <w:rsid w:val="00AD0651"/>
    <w:rsid w:val="00AD0737"/>
    <w:rsid w:val="00AD07FD"/>
    <w:rsid w:val="00AD093E"/>
    <w:rsid w:val="00AD09DC"/>
    <w:rsid w:val="00AD0ABD"/>
    <w:rsid w:val="00AD0B1D"/>
    <w:rsid w:val="00AD0BC4"/>
    <w:rsid w:val="00AD0C55"/>
    <w:rsid w:val="00AD0CEC"/>
    <w:rsid w:val="00AD0E09"/>
    <w:rsid w:val="00AD0E4D"/>
    <w:rsid w:val="00AD0EA1"/>
    <w:rsid w:val="00AD0FE0"/>
    <w:rsid w:val="00AD1021"/>
    <w:rsid w:val="00AD10A4"/>
    <w:rsid w:val="00AD10EB"/>
    <w:rsid w:val="00AD110A"/>
    <w:rsid w:val="00AD1172"/>
    <w:rsid w:val="00AD11A0"/>
    <w:rsid w:val="00AD1314"/>
    <w:rsid w:val="00AD1393"/>
    <w:rsid w:val="00AD141A"/>
    <w:rsid w:val="00AD14AF"/>
    <w:rsid w:val="00AD15E8"/>
    <w:rsid w:val="00AD1641"/>
    <w:rsid w:val="00AD168D"/>
    <w:rsid w:val="00AD1731"/>
    <w:rsid w:val="00AD17F9"/>
    <w:rsid w:val="00AD183A"/>
    <w:rsid w:val="00AD19D4"/>
    <w:rsid w:val="00AD1ADA"/>
    <w:rsid w:val="00AD1B40"/>
    <w:rsid w:val="00AD1B75"/>
    <w:rsid w:val="00AD1BAE"/>
    <w:rsid w:val="00AD1C0B"/>
    <w:rsid w:val="00AD1C8C"/>
    <w:rsid w:val="00AD1D5F"/>
    <w:rsid w:val="00AD1F53"/>
    <w:rsid w:val="00AD20F2"/>
    <w:rsid w:val="00AD23FF"/>
    <w:rsid w:val="00AD242B"/>
    <w:rsid w:val="00AD2440"/>
    <w:rsid w:val="00AD2519"/>
    <w:rsid w:val="00AD2583"/>
    <w:rsid w:val="00AD25EE"/>
    <w:rsid w:val="00AD2746"/>
    <w:rsid w:val="00AD278D"/>
    <w:rsid w:val="00AD2872"/>
    <w:rsid w:val="00AD28BD"/>
    <w:rsid w:val="00AD2984"/>
    <w:rsid w:val="00AD29E1"/>
    <w:rsid w:val="00AD2B06"/>
    <w:rsid w:val="00AD2B87"/>
    <w:rsid w:val="00AD2CED"/>
    <w:rsid w:val="00AD2D32"/>
    <w:rsid w:val="00AD2E6B"/>
    <w:rsid w:val="00AD2EB9"/>
    <w:rsid w:val="00AD3052"/>
    <w:rsid w:val="00AD30AF"/>
    <w:rsid w:val="00AD31FF"/>
    <w:rsid w:val="00AD3251"/>
    <w:rsid w:val="00AD3270"/>
    <w:rsid w:val="00AD3304"/>
    <w:rsid w:val="00AD3559"/>
    <w:rsid w:val="00AD3937"/>
    <w:rsid w:val="00AD3984"/>
    <w:rsid w:val="00AD3AA0"/>
    <w:rsid w:val="00AD3AF2"/>
    <w:rsid w:val="00AD3BCE"/>
    <w:rsid w:val="00AD3C8F"/>
    <w:rsid w:val="00AD3CB3"/>
    <w:rsid w:val="00AD3CDC"/>
    <w:rsid w:val="00AD3D84"/>
    <w:rsid w:val="00AD3F94"/>
    <w:rsid w:val="00AD3F96"/>
    <w:rsid w:val="00AD4042"/>
    <w:rsid w:val="00AD4079"/>
    <w:rsid w:val="00AD410D"/>
    <w:rsid w:val="00AD4144"/>
    <w:rsid w:val="00AD41B4"/>
    <w:rsid w:val="00AD42FE"/>
    <w:rsid w:val="00AD43AB"/>
    <w:rsid w:val="00AD44DC"/>
    <w:rsid w:val="00AD45D7"/>
    <w:rsid w:val="00AD4613"/>
    <w:rsid w:val="00AD49E7"/>
    <w:rsid w:val="00AD4A6A"/>
    <w:rsid w:val="00AD4AE1"/>
    <w:rsid w:val="00AD4B49"/>
    <w:rsid w:val="00AD4B5B"/>
    <w:rsid w:val="00AD4C58"/>
    <w:rsid w:val="00AD4DF3"/>
    <w:rsid w:val="00AD4E5B"/>
    <w:rsid w:val="00AD51E9"/>
    <w:rsid w:val="00AD543D"/>
    <w:rsid w:val="00AD5466"/>
    <w:rsid w:val="00AD54D1"/>
    <w:rsid w:val="00AD5611"/>
    <w:rsid w:val="00AD567B"/>
    <w:rsid w:val="00AD5723"/>
    <w:rsid w:val="00AD57B5"/>
    <w:rsid w:val="00AD5A69"/>
    <w:rsid w:val="00AD5A7C"/>
    <w:rsid w:val="00AD5B48"/>
    <w:rsid w:val="00AD5BDB"/>
    <w:rsid w:val="00AD5D2E"/>
    <w:rsid w:val="00AD5E03"/>
    <w:rsid w:val="00AD5ED0"/>
    <w:rsid w:val="00AD5F10"/>
    <w:rsid w:val="00AD603F"/>
    <w:rsid w:val="00AD611B"/>
    <w:rsid w:val="00AD61BC"/>
    <w:rsid w:val="00AD651F"/>
    <w:rsid w:val="00AD663B"/>
    <w:rsid w:val="00AD6650"/>
    <w:rsid w:val="00AD673B"/>
    <w:rsid w:val="00AD6743"/>
    <w:rsid w:val="00AD6760"/>
    <w:rsid w:val="00AD6817"/>
    <w:rsid w:val="00AD6837"/>
    <w:rsid w:val="00AD6885"/>
    <w:rsid w:val="00AD6889"/>
    <w:rsid w:val="00AD68DD"/>
    <w:rsid w:val="00AD6900"/>
    <w:rsid w:val="00AD6922"/>
    <w:rsid w:val="00AD6986"/>
    <w:rsid w:val="00AD6998"/>
    <w:rsid w:val="00AD69F3"/>
    <w:rsid w:val="00AD6BCA"/>
    <w:rsid w:val="00AD6FF1"/>
    <w:rsid w:val="00AD70B4"/>
    <w:rsid w:val="00AD7142"/>
    <w:rsid w:val="00AD7206"/>
    <w:rsid w:val="00AD722E"/>
    <w:rsid w:val="00AD7244"/>
    <w:rsid w:val="00AD728F"/>
    <w:rsid w:val="00AD742D"/>
    <w:rsid w:val="00AD746F"/>
    <w:rsid w:val="00AD75AF"/>
    <w:rsid w:val="00AD7621"/>
    <w:rsid w:val="00AD762E"/>
    <w:rsid w:val="00AD7687"/>
    <w:rsid w:val="00AD779E"/>
    <w:rsid w:val="00AD7857"/>
    <w:rsid w:val="00AD7890"/>
    <w:rsid w:val="00AD7947"/>
    <w:rsid w:val="00AD7969"/>
    <w:rsid w:val="00AD7A9F"/>
    <w:rsid w:val="00AD7B3C"/>
    <w:rsid w:val="00AD7C6B"/>
    <w:rsid w:val="00AD7E02"/>
    <w:rsid w:val="00AD7E56"/>
    <w:rsid w:val="00AD7F15"/>
    <w:rsid w:val="00AD7F5B"/>
    <w:rsid w:val="00AE0011"/>
    <w:rsid w:val="00AE0012"/>
    <w:rsid w:val="00AE001D"/>
    <w:rsid w:val="00AE0083"/>
    <w:rsid w:val="00AE01AA"/>
    <w:rsid w:val="00AE0217"/>
    <w:rsid w:val="00AE027A"/>
    <w:rsid w:val="00AE03DC"/>
    <w:rsid w:val="00AE041B"/>
    <w:rsid w:val="00AE04CB"/>
    <w:rsid w:val="00AE05A6"/>
    <w:rsid w:val="00AE070B"/>
    <w:rsid w:val="00AE0817"/>
    <w:rsid w:val="00AE08C2"/>
    <w:rsid w:val="00AE09FA"/>
    <w:rsid w:val="00AE0A94"/>
    <w:rsid w:val="00AE0CCD"/>
    <w:rsid w:val="00AE0CDA"/>
    <w:rsid w:val="00AE0E6C"/>
    <w:rsid w:val="00AE1044"/>
    <w:rsid w:val="00AE1068"/>
    <w:rsid w:val="00AE111D"/>
    <w:rsid w:val="00AE1153"/>
    <w:rsid w:val="00AE11CC"/>
    <w:rsid w:val="00AE133B"/>
    <w:rsid w:val="00AE145A"/>
    <w:rsid w:val="00AE1606"/>
    <w:rsid w:val="00AE1667"/>
    <w:rsid w:val="00AE1749"/>
    <w:rsid w:val="00AE18C1"/>
    <w:rsid w:val="00AE1918"/>
    <w:rsid w:val="00AE1C22"/>
    <w:rsid w:val="00AE1D24"/>
    <w:rsid w:val="00AE1DEE"/>
    <w:rsid w:val="00AE1E68"/>
    <w:rsid w:val="00AE2158"/>
    <w:rsid w:val="00AE2258"/>
    <w:rsid w:val="00AE2350"/>
    <w:rsid w:val="00AE23F7"/>
    <w:rsid w:val="00AE246A"/>
    <w:rsid w:val="00AE2489"/>
    <w:rsid w:val="00AE24A7"/>
    <w:rsid w:val="00AE24EE"/>
    <w:rsid w:val="00AE2635"/>
    <w:rsid w:val="00AE266B"/>
    <w:rsid w:val="00AE27AE"/>
    <w:rsid w:val="00AE27DA"/>
    <w:rsid w:val="00AE28CE"/>
    <w:rsid w:val="00AE2926"/>
    <w:rsid w:val="00AE29E8"/>
    <w:rsid w:val="00AE2A2F"/>
    <w:rsid w:val="00AE2A49"/>
    <w:rsid w:val="00AE2A9C"/>
    <w:rsid w:val="00AE2B85"/>
    <w:rsid w:val="00AE2C93"/>
    <w:rsid w:val="00AE2D85"/>
    <w:rsid w:val="00AE2DF4"/>
    <w:rsid w:val="00AE2E93"/>
    <w:rsid w:val="00AE2F2C"/>
    <w:rsid w:val="00AE3015"/>
    <w:rsid w:val="00AE31A6"/>
    <w:rsid w:val="00AE31BB"/>
    <w:rsid w:val="00AE330A"/>
    <w:rsid w:val="00AE3358"/>
    <w:rsid w:val="00AE3431"/>
    <w:rsid w:val="00AE3650"/>
    <w:rsid w:val="00AE3748"/>
    <w:rsid w:val="00AE3759"/>
    <w:rsid w:val="00AE389D"/>
    <w:rsid w:val="00AE38B1"/>
    <w:rsid w:val="00AE394B"/>
    <w:rsid w:val="00AE39AD"/>
    <w:rsid w:val="00AE39D5"/>
    <w:rsid w:val="00AE3AF4"/>
    <w:rsid w:val="00AE3BB0"/>
    <w:rsid w:val="00AE3D50"/>
    <w:rsid w:val="00AE3E24"/>
    <w:rsid w:val="00AE3E76"/>
    <w:rsid w:val="00AE3EF6"/>
    <w:rsid w:val="00AE4011"/>
    <w:rsid w:val="00AE423E"/>
    <w:rsid w:val="00AE424C"/>
    <w:rsid w:val="00AE4258"/>
    <w:rsid w:val="00AE451D"/>
    <w:rsid w:val="00AE4567"/>
    <w:rsid w:val="00AE45A3"/>
    <w:rsid w:val="00AE4694"/>
    <w:rsid w:val="00AE4701"/>
    <w:rsid w:val="00AE47B4"/>
    <w:rsid w:val="00AE4970"/>
    <w:rsid w:val="00AE4AA9"/>
    <w:rsid w:val="00AE4ABC"/>
    <w:rsid w:val="00AE4BEF"/>
    <w:rsid w:val="00AE51B1"/>
    <w:rsid w:val="00AE520C"/>
    <w:rsid w:val="00AE52EB"/>
    <w:rsid w:val="00AE5371"/>
    <w:rsid w:val="00AE541C"/>
    <w:rsid w:val="00AE5533"/>
    <w:rsid w:val="00AE55CD"/>
    <w:rsid w:val="00AE5679"/>
    <w:rsid w:val="00AE56EE"/>
    <w:rsid w:val="00AE56FC"/>
    <w:rsid w:val="00AE576E"/>
    <w:rsid w:val="00AE582B"/>
    <w:rsid w:val="00AE5957"/>
    <w:rsid w:val="00AE598E"/>
    <w:rsid w:val="00AE5997"/>
    <w:rsid w:val="00AE5A61"/>
    <w:rsid w:val="00AE5A6E"/>
    <w:rsid w:val="00AE5C64"/>
    <w:rsid w:val="00AE5D96"/>
    <w:rsid w:val="00AE5DA5"/>
    <w:rsid w:val="00AE5E21"/>
    <w:rsid w:val="00AE5E8F"/>
    <w:rsid w:val="00AE5EF1"/>
    <w:rsid w:val="00AE5FA6"/>
    <w:rsid w:val="00AE5FE7"/>
    <w:rsid w:val="00AE600C"/>
    <w:rsid w:val="00AE6025"/>
    <w:rsid w:val="00AE6117"/>
    <w:rsid w:val="00AE612E"/>
    <w:rsid w:val="00AE6172"/>
    <w:rsid w:val="00AE6186"/>
    <w:rsid w:val="00AE63D2"/>
    <w:rsid w:val="00AE63FA"/>
    <w:rsid w:val="00AE64A1"/>
    <w:rsid w:val="00AE64A7"/>
    <w:rsid w:val="00AE65E2"/>
    <w:rsid w:val="00AE667E"/>
    <w:rsid w:val="00AE6696"/>
    <w:rsid w:val="00AE66BF"/>
    <w:rsid w:val="00AE6793"/>
    <w:rsid w:val="00AE68F3"/>
    <w:rsid w:val="00AE6983"/>
    <w:rsid w:val="00AE6A4A"/>
    <w:rsid w:val="00AE6C2E"/>
    <w:rsid w:val="00AE6D7F"/>
    <w:rsid w:val="00AE6F6B"/>
    <w:rsid w:val="00AE702A"/>
    <w:rsid w:val="00AE7034"/>
    <w:rsid w:val="00AE7046"/>
    <w:rsid w:val="00AE70D0"/>
    <w:rsid w:val="00AE70DB"/>
    <w:rsid w:val="00AE714A"/>
    <w:rsid w:val="00AE714B"/>
    <w:rsid w:val="00AE71C7"/>
    <w:rsid w:val="00AE7292"/>
    <w:rsid w:val="00AE7294"/>
    <w:rsid w:val="00AE732E"/>
    <w:rsid w:val="00AE73A2"/>
    <w:rsid w:val="00AE74C2"/>
    <w:rsid w:val="00AE75DF"/>
    <w:rsid w:val="00AE7630"/>
    <w:rsid w:val="00AE764E"/>
    <w:rsid w:val="00AE7747"/>
    <w:rsid w:val="00AE77C8"/>
    <w:rsid w:val="00AE77D1"/>
    <w:rsid w:val="00AE7893"/>
    <w:rsid w:val="00AE7918"/>
    <w:rsid w:val="00AE7964"/>
    <w:rsid w:val="00AE79A7"/>
    <w:rsid w:val="00AE79AC"/>
    <w:rsid w:val="00AE7C44"/>
    <w:rsid w:val="00AE7CEE"/>
    <w:rsid w:val="00AE7D72"/>
    <w:rsid w:val="00AE7DE2"/>
    <w:rsid w:val="00AE7F33"/>
    <w:rsid w:val="00AE7F54"/>
    <w:rsid w:val="00AE7FDF"/>
    <w:rsid w:val="00AF009F"/>
    <w:rsid w:val="00AF00E4"/>
    <w:rsid w:val="00AF01A9"/>
    <w:rsid w:val="00AF02E8"/>
    <w:rsid w:val="00AF05DA"/>
    <w:rsid w:val="00AF0642"/>
    <w:rsid w:val="00AF0697"/>
    <w:rsid w:val="00AF0708"/>
    <w:rsid w:val="00AF077A"/>
    <w:rsid w:val="00AF083D"/>
    <w:rsid w:val="00AF08E6"/>
    <w:rsid w:val="00AF0AF6"/>
    <w:rsid w:val="00AF0B20"/>
    <w:rsid w:val="00AF0BA6"/>
    <w:rsid w:val="00AF0CD0"/>
    <w:rsid w:val="00AF0E5F"/>
    <w:rsid w:val="00AF0F18"/>
    <w:rsid w:val="00AF0F4E"/>
    <w:rsid w:val="00AF1036"/>
    <w:rsid w:val="00AF1050"/>
    <w:rsid w:val="00AF1101"/>
    <w:rsid w:val="00AF1223"/>
    <w:rsid w:val="00AF1224"/>
    <w:rsid w:val="00AF1250"/>
    <w:rsid w:val="00AF12D6"/>
    <w:rsid w:val="00AF1350"/>
    <w:rsid w:val="00AF142B"/>
    <w:rsid w:val="00AF144F"/>
    <w:rsid w:val="00AF14AF"/>
    <w:rsid w:val="00AF155D"/>
    <w:rsid w:val="00AF1835"/>
    <w:rsid w:val="00AF1862"/>
    <w:rsid w:val="00AF195A"/>
    <w:rsid w:val="00AF1A36"/>
    <w:rsid w:val="00AF1A3B"/>
    <w:rsid w:val="00AF1A47"/>
    <w:rsid w:val="00AF1C0E"/>
    <w:rsid w:val="00AF1CAB"/>
    <w:rsid w:val="00AF1D1F"/>
    <w:rsid w:val="00AF1E06"/>
    <w:rsid w:val="00AF1EBA"/>
    <w:rsid w:val="00AF209A"/>
    <w:rsid w:val="00AF2182"/>
    <w:rsid w:val="00AF220F"/>
    <w:rsid w:val="00AF22ED"/>
    <w:rsid w:val="00AF2352"/>
    <w:rsid w:val="00AF241A"/>
    <w:rsid w:val="00AF2466"/>
    <w:rsid w:val="00AF24F8"/>
    <w:rsid w:val="00AF253D"/>
    <w:rsid w:val="00AF2553"/>
    <w:rsid w:val="00AF272D"/>
    <w:rsid w:val="00AF2824"/>
    <w:rsid w:val="00AF282C"/>
    <w:rsid w:val="00AF2873"/>
    <w:rsid w:val="00AF28D4"/>
    <w:rsid w:val="00AF291D"/>
    <w:rsid w:val="00AF2AC6"/>
    <w:rsid w:val="00AF2B30"/>
    <w:rsid w:val="00AF2B45"/>
    <w:rsid w:val="00AF2BE0"/>
    <w:rsid w:val="00AF2C49"/>
    <w:rsid w:val="00AF2D1B"/>
    <w:rsid w:val="00AF2F70"/>
    <w:rsid w:val="00AF2F97"/>
    <w:rsid w:val="00AF301B"/>
    <w:rsid w:val="00AF31FD"/>
    <w:rsid w:val="00AF3450"/>
    <w:rsid w:val="00AF358B"/>
    <w:rsid w:val="00AF35AB"/>
    <w:rsid w:val="00AF3636"/>
    <w:rsid w:val="00AF3770"/>
    <w:rsid w:val="00AF38F2"/>
    <w:rsid w:val="00AF391C"/>
    <w:rsid w:val="00AF39BB"/>
    <w:rsid w:val="00AF3B19"/>
    <w:rsid w:val="00AF3B51"/>
    <w:rsid w:val="00AF3BD5"/>
    <w:rsid w:val="00AF3BF9"/>
    <w:rsid w:val="00AF3D8D"/>
    <w:rsid w:val="00AF3E0F"/>
    <w:rsid w:val="00AF3F8F"/>
    <w:rsid w:val="00AF41F1"/>
    <w:rsid w:val="00AF42E1"/>
    <w:rsid w:val="00AF4353"/>
    <w:rsid w:val="00AF438F"/>
    <w:rsid w:val="00AF4452"/>
    <w:rsid w:val="00AF44B5"/>
    <w:rsid w:val="00AF466D"/>
    <w:rsid w:val="00AF4830"/>
    <w:rsid w:val="00AF48FA"/>
    <w:rsid w:val="00AF4B5C"/>
    <w:rsid w:val="00AF4E4A"/>
    <w:rsid w:val="00AF511C"/>
    <w:rsid w:val="00AF51B9"/>
    <w:rsid w:val="00AF5200"/>
    <w:rsid w:val="00AF5336"/>
    <w:rsid w:val="00AF53D3"/>
    <w:rsid w:val="00AF53E1"/>
    <w:rsid w:val="00AF5406"/>
    <w:rsid w:val="00AF5844"/>
    <w:rsid w:val="00AF5861"/>
    <w:rsid w:val="00AF5898"/>
    <w:rsid w:val="00AF5925"/>
    <w:rsid w:val="00AF59A0"/>
    <w:rsid w:val="00AF5A74"/>
    <w:rsid w:val="00AF5B62"/>
    <w:rsid w:val="00AF5C35"/>
    <w:rsid w:val="00AF5D71"/>
    <w:rsid w:val="00AF5E27"/>
    <w:rsid w:val="00AF5E8B"/>
    <w:rsid w:val="00AF602C"/>
    <w:rsid w:val="00AF637E"/>
    <w:rsid w:val="00AF6448"/>
    <w:rsid w:val="00AF6472"/>
    <w:rsid w:val="00AF6492"/>
    <w:rsid w:val="00AF64FB"/>
    <w:rsid w:val="00AF657F"/>
    <w:rsid w:val="00AF65B0"/>
    <w:rsid w:val="00AF65FF"/>
    <w:rsid w:val="00AF6609"/>
    <w:rsid w:val="00AF665E"/>
    <w:rsid w:val="00AF6675"/>
    <w:rsid w:val="00AF67FF"/>
    <w:rsid w:val="00AF697E"/>
    <w:rsid w:val="00AF69A7"/>
    <w:rsid w:val="00AF6B4B"/>
    <w:rsid w:val="00AF6C17"/>
    <w:rsid w:val="00AF6DBB"/>
    <w:rsid w:val="00AF6E70"/>
    <w:rsid w:val="00AF6EE6"/>
    <w:rsid w:val="00AF6F33"/>
    <w:rsid w:val="00AF6F7B"/>
    <w:rsid w:val="00AF6F9B"/>
    <w:rsid w:val="00AF6FB5"/>
    <w:rsid w:val="00AF71EF"/>
    <w:rsid w:val="00AF74B4"/>
    <w:rsid w:val="00AF74EC"/>
    <w:rsid w:val="00AF7519"/>
    <w:rsid w:val="00AF752A"/>
    <w:rsid w:val="00AF7571"/>
    <w:rsid w:val="00AF7604"/>
    <w:rsid w:val="00AF767C"/>
    <w:rsid w:val="00AF7699"/>
    <w:rsid w:val="00AF76A2"/>
    <w:rsid w:val="00AF77D8"/>
    <w:rsid w:val="00AF7862"/>
    <w:rsid w:val="00AF7889"/>
    <w:rsid w:val="00AF7900"/>
    <w:rsid w:val="00AF79E4"/>
    <w:rsid w:val="00AF79FD"/>
    <w:rsid w:val="00AF7C1A"/>
    <w:rsid w:val="00AF7C98"/>
    <w:rsid w:val="00AF7E8D"/>
    <w:rsid w:val="00AF7FD6"/>
    <w:rsid w:val="00B00001"/>
    <w:rsid w:val="00B0012B"/>
    <w:rsid w:val="00B0016A"/>
    <w:rsid w:val="00B0018D"/>
    <w:rsid w:val="00B0022F"/>
    <w:rsid w:val="00B0036A"/>
    <w:rsid w:val="00B00413"/>
    <w:rsid w:val="00B00521"/>
    <w:rsid w:val="00B00523"/>
    <w:rsid w:val="00B00673"/>
    <w:rsid w:val="00B00715"/>
    <w:rsid w:val="00B0076C"/>
    <w:rsid w:val="00B0083B"/>
    <w:rsid w:val="00B008A1"/>
    <w:rsid w:val="00B008B9"/>
    <w:rsid w:val="00B00949"/>
    <w:rsid w:val="00B009C3"/>
    <w:rsid w:val="00B00A31"/>
    <w:rsid w:val="00B00A5B"/>
    <w:rsid w:val="00B00BD9"/>
    <w:rsid w:val="00B00C06"/>
    <w:rsid w:val="00B00C8E"/>
    <w:rsid w:val="00B00CBF"/>
    <w:rsid w:val="00B00CFD"/>
    <w:rsid w:val="00B00DEC"/>
    <w:rsid w:val="00B01017"/>
    <w:rsid w:val="00B0119A"/>
    <w:rsid w:val="00B0125C"/>
    <w:rsid w:val="00B01265"/>
    <w:rsid w:val="00B0134C"/>
    <w:rsid w:val="00B013A7"/>
    <w:rsid w:val="00B01669"/>
    <w:rsid w:val="00B016C1"/>
    <w:rsid w:val="00B01713"/>
    <w:rsid w:val="00B01732"/>
    <w:rsid w:val="00B01836"/>
    <w:rsid w:val="00B01854"/>
    <w:rsid w:val="00B018DB"/>
    <w:rsid w:val="00B01910"/>
    <w:rsid w:val="00B01A7C"/>
    <w:rsid w:val="00B01C0D"/>
    <w:rsid w:val="00B01C36"/>
    <w:rsid w:val="00B01CD9"/>
    <w:rsid w:val="00B01D8D"/>
    <w:rsid w:val="00B01D91"/>
    <w:rsid w:val="00B01F5C"/>
    <w:rsid w:val="00B020E5"/>
    <w:rsid w:val="00B02183"/>
    <w:rsid w:val="00B0224F"/>
    <w:rsid w:val="00B0229D"/>
    <w:rsid w:val="00B02419"/>
    <w:rsid w:val="00B0254E"/>
    <w:rsid w:val="00B025E8"/>
    <w:rsid w:val="00B025FC"/>
    <w:rsid w:val="00B0264E"/>
    <w:rsid w:val="00B02871"/>
    <w:rsid w:val="00B02AAB"/>
    <w:rsid w:val="00B02D1E"/>
    <w:rsid w:val="00B02D6E"/>
    <w:rsid w:val="00B02E2E"/>
    <w:rsid w:val="00B02F50"/>
    <w:rsid w:val="00B02FF3"/>
    <w:rsid w:val="00B0336B"/>
    <w:rsid w:val="00B033B9"/>
    <w:rsid w:val="00B0343A"/>
    <w:rsid w:val="00B034F0"/>
    <w:rsid w:val="00B034F2"/>
    <w:rsid w:val="00B03560"/>
    <w:rsid w:val="00B0365B"/>
    <w:rsid w:val="00B036FC"/>
    <w:rsid w:val="00B0373A"/>
    <w:rsid w:val="00B037F3"/>
    <w:rsid w:val="00B0399A"/>
    <w:rsid w:val="00B03B1A"/>
    <w:rsid w:val="00B03D9A"/>
    <w:rsid w:val="00B03E4C"/>
    <w:rsid w:val="00B03E91"/>
    <w:rsid w:val="00B04182"/>
    <w:rsid w:val="00B041F6"/>
    <w:rsid w:val="00B0426E"/>
    <w:rsid w:val="00B0428A"/>
    <w:rsid w:val="00B04298"/>
    <w:rsid w:val="00B04306"/>
    <w:rsid w:val="00B043AE"/>
    <w:rsid w:val="00B04431"/>
    <w:rsid w:val="00B04588"/>
    <w:rsid w:val="00B04774"/>
    <w:rsid w:val="00B0498B"/>
    <w:rsid w:val="00B049BA"/>
    <w:rsid w:val="00B049D1"/>
    <w:rsid w:val="00B049D2"/>
    <w:rsid w:val="00B04ADC"/>
    <w:rsid w:val="00B04B89"/>
    <w:rsid w:val="00B04BD2"/>
    <w:rsid w:val="00B04C0C"/>
    <w:rsid w:val="00B04C9D"/>
    <w:rsid w:val="00B04CE9"/>
    <w:rsid w:val="00B04E8B"/>
    <w:rsid w:val="00B04ED0"/>
    <w:rsid w:val="00B04FE0"/>
    <w:rsid w:val="00B050B9"/>
    <w:rsid w:val="00B050FB"/>
    <w:rsid w:val="00B05110"/>
    <w:rsid w:val="00B053D5"/>
    <w:rsid w:val="00B055B2"/>
    <w:rsid w:val="00B056EC"/>
    <w:rsid w:val="00B05750"/>
    <w:rsid w:val="00B0576E"/>
    <w:rsid w:val="00B057D1"/>
    <w:rsid w:val="00B05951"/>
    <w:rsid w:val="00B05A3E"/>
    <w:rsid w:val="00B05A68"/>
    <w:rsid w:val="00B05BC6"/>
    <w:rsid w:val="00B05BD2"/>
    <w:rsid w:val="00B05BF1"/>
    <w:rsid w:val="00B05CD9"/>
    <w:rsid w:val="00B05F11"/>
    <w:rsid w:val="00B05F20"/>
    <w:rsid w:val="00B05F46"/>
    <w:rsid w:val="00B06099"/>
    <w:rsid w:val="00B060CA"/>
    <w:rsid w:val="00B062A4"/>
    <w:rsid w:val="00B0631E"/>
    <w:rsid w:val="00B06373"/>
    <w:rsid w:val="00B06405"/>
    <w:rsid w:val="00B06468"/>
    <w:rsid w:val="00B064C7"/>
    <w:rsid w:val="00B06597"/>
    <w:rsid w:val="00B06744"/>
    <w:rsid w:val="00B0683A"/>
    <w:rsid w:val="00B06864"/>
    <w:rsid w:val="00B068FD"/>
    <w:rsid w:val="00B06910"/>
    <w:rsid w:val="00B06945"/>
    <w:rsid w:val="00B069B3"/>
    <w:rsid w:val="00B06A3A"/>
    <w:rsid w:val="00B06A72"/>
    <w:rsid w:val="00B06C56"/>
    <w:rsid w:val="00B06CA6"/>
    <w:rsid w:val="00B06CF7"/>
    <w:rsid w:val="00B06D89"/>
    <w:rsid w:val="00B070FC"/>
    <w:rsid w:val="00B0716C"/>
    <w:rsid w:val="00B0724E"/>
    <w:rsid w:val="00B0737E"/>
    <w:rsid w:val="00B073B3"/>
    <w:rsid w:val="00B07415"/>
    <w:rsid w:val="00B0742C"/>
    <w:rsid w:val="00B074E6"/>
    <w:rsid w:val="00B07562"/>
    <w:rsid w:val="00B0757F"/>
    <w:rsid w:val="00B0760B"/>
    <w:rsid w:val="00B0760E"/>
    <w:rsid w:val="00B076B2"/>
    <w:rsid w:val="00B076DA"/>
    <w:rsid w:val="00B0788C"/>
    <w:rsid w:val="00B07986"/>
    <w:rsid w:val="00B07C4C"/>
    <w:rsid w:val="00B07CE1"/>
    <w:rsid w:val="00B07CF2"/>
    <w:rsid w:val="00B07DC4"/>
    <w:rsid w:val="00B07DCA"/>
    <w:rsid w:val="00B07E42"/>
    <w:rsid w:val="00B07E71"/>
    <w:rsid w:val="00B07EC1"/>
    <w:rsid w:val="00B07F56"/>
    <w:rsid w:val="00B07F93"/>
    <w:rsid w:val="00B07F94"/>
    <w:rsid w:val="00B1004A"/>
    <w:rsid w:val="00B10098"/>
    <w:rsid w:val="00B1011E"/>
    <w:rsid w:val="00B10325"/>
    <w:rsid w:val="00B1041A"/>
    <w:rsid w:val="00B1048D"/>
    <w:rsid w:val="00B10506"/>
    <w:rsid w:val="00B105C4"/>
    <w:rsid w:val="00B106C6"/>
    <w:rsid w:val="00B10700"/>
    <w:rsid w:val="00B10A16"/>
    <w:rsid w:val="00B10A36"/>
    <w:rsid w:val="00B10C63"/>
    <w:rsid w:val="00B10CA7"/>
    <w:rsid w:val="00B10D8D"/>
    <w:rsid w:val="00B10E1E"/>
    <w:rsid w:val="00B10EBD"/>
    <w:rsid w:val="00B10ED1"/>
    <w:rsid w:val="00B10EF2"/>
    <w:rsid w:val="00B111B0"/>
    <w:rsid w:val="00B11266"/>
    <w:rsid w:val="00B11288"/>
    <w:rsid w:val="00B11487"/>
    <w:rsid w:val="00B115C6"/>
    <w:rsid w:val="00B115C7"/>
    <w:rsid w:val="00B11756"/>
    <w:rsid w:val="00B11776"/>
    <w:rsid w:val="00B11835"/>
    <w:rsid w:val="00B11853"/>
    <w:rsid w:val="00B11886"/>
    <w:rsid w:val="00B1195B"/>
    <w:rsid w:val="00B11A14"/>
    <w:rsid w:val="00B11A60"/>
    <w:rsid w:val="00B11A9C"/>
    <w:rsid w:val="00B11B86"/>
    <w:rsid w:val="00B11D49"/>
    <w:rsid w:val="00B11E4A"/>
    <w:rsid w:val="00B11E5D"/>
    <w:rsid w:val="00B11F8B"/>
    <w:rsid w:val="00B11FAC"/>
    <w:rsid w:val="00B1219C"/>
    <w:rsid w:val="00B1223E"/>
    <w:rsid w:val="00B12271"/>
    <w:rsid w:val="00B123B8"/>
    <w:rsid w:val="00B123D3"/>
    <w:rsid w:val="00B12409"/>
    <w:rsid w:val="00B125D3"/>
    <w:rsid w:val="00B126B1"/>
    <w:rsid w:val="00B126C4"/>
    <w:rsid w:val="00B126F9"/>
    <w:rsid w:val="00B1270D"/>
    <w:rsid w:val="00B127AE"/>
    <w:rsid w:val="00B1286A"/>
    <w:rsid w:val="00B12AE9"/>
    <w:rsid w:val="00B12BDA"/>
    <w:rsid w:val="00B12BF2"/>
    <w:rsid w:val="00B12C2C"/>
    <w:rsid w:val="00B12C79"/>
    <w:rsid w:val="00B12D1C"/>
    <w:rsid w:val="00B12D43"/>
    <w:rsid w:val="00B12D73"/>
    <w:rsid w:val="00B12DBE"/>
    <w:rsid w:val="00B12DF1"/>
    <w:rsid w:val="00B12EB7"/>
    <w:rsid w:val="00B12FDA"/>
    <w:rsid w:val="00B13188"/>
    <w:rsid w:val="00B131E7"/>
    <w:rsid w:val="00B131EB"/>
    <w:rsid w:val="00B13276"/>
    <w:rsid w:val="00B13353"/>
    <w:rsid w:val="00B134CF"/>
    <w:rsid w:val="00B136D0"/>
    <w:rsid w:val="00B13719"/>
    <w:rsid w:val="00B138AD"/>
    <w:rsid w:val="00B138E7"/>
    <w:rsid w:val="00B138F5"/>
    <w:rsid w:val="00B13BAC"/>
    <w:rsid w:val="00B13CE0"/>
    <w:rsid w:val="00B13D4F"/>
    <w:rsid w:val="00B13DEA"/>
    <w:rsid w:val="00B13E84"/>
    <w:rsid w:val="00B13EBE"/>
    <w:rsid w:val="00B1401E"/>
    <w:rsid w:val="00B1402F"/>
    <w:rsid w:val="00B1405F"/>
    <w:rsid w:val="00B14060"/>
    <w:rsid w:val="00B140B0"/>
    <w:rsid w:val="00B14131"/>
    <w:rsid w:val="00B14258"/>
    <w:rsid w:val="00B14370"/>
    <w:rsid w:val="00B14478"/>
    <w:rsid w:val="00B1452B"/>
    <w:rsid w:val="00B14646"/>
    <w:rsid w:val="00B146D4"/>
    <w:rsid w:val="00B14925"/>
    <w:rsid w:val="00B14959"/>
    <w:rsid w:val="00B14CF2"/>
    <w:rsid w:val="00B14D35"/>
    <w:rsid w:val="00B14D58"/>
    <w:rsid w:val="00B14E40"/>
    <w:rsid w:val="00B14F0B"/>
    <w:rsid w:val="00B14F98"/>
    <w:rsid w:val="00B14FA5"/>
    <w:rsid w:val="00B1510F"/>
    <w:rsid w:val="00B15472"/>
    <w:rsid w:val="00B154CD"/>
    <w:rsid w:val="00B15578"/>
    <w:rsid w:val="00B15970"/>
    <w:rsid w:val="00B159FA"/>
    <w:rsid w:val="00B15B15"/>
    <w:rsid w:val="00B15EB3"/>
    <w:rsid w:val="00B15EEB"/>
    <w:rsid w:val="00B15F0A"/>
    <w:rsid w:val="00B15FF8"/>
    <w:rsid w:val="00B160AD"/>
    <w:rsid w:val="00B163F0"/>
    <w:rsid w:val="00B1648D"/>
    <w:rsid w:val="00B16560"/>
    <w:rsid w:val="00B16681"/>
    <w:rsid w:val="00B16720"/>
    <w:rsid w:val="00B1678A"/>
    <w:rsid w:val="00B167E6"/>
    <w:rsid w:val="00B16801"/>
    <w:rsid w:val="00B1685B"/>
    <w:rsid w:val="00B16880"/>
    <w:rsid w:val="00B169B5"/>
    <w:rsid w:val="00B16D57"/>
    <w:rsid w:val="00B16D72"/>
    <w:rsid w:val="00B16DA5"/>
    <w:rsid w:val="00B16E14"/>
    <w:rsid w:val="00B1712B"/>
    <w:rsid w:val="00B1717B"/>
    <w:rsid w:val="00B171F6"/>
    <w:rsid w:val="00B17377"/>
    <w:rsid w:val="00B17423"/>
    <w:rsid w:val="00B1750C"/>
    <w:rsid w:val="00B17516"/>
    <w:rsid w:val="00B17641"/>
    <w:rsid w:val="00B176CB"/>
    <w:rsid w:val="00B1783E"/>
    <w:rsid w:val="00B17C21"/>
    <w:rsid w:val="00B17C40"/>
    <w:rsid w:val="00B17DB7"/>
    <w:rsid w:val="00B17E26"/>
    <w:rsid w:val="00B20116"/>
    <w:rsid w:val="00B201D1"/>
    <w:rsid w:val="00B201E3"/>
    <w:rsid w:val="00B20200"/>
    <w:rsid w:val="00B20245"/>
    <w:rsid w:val="00B2038C"/>
    <w:rsid w:val="00B20456"/>
    <w:rsid w:val="00B204B8"/>
    <w:rsid w:val="00B20624"/>
    <w:rsid w:val="00B20695"/>
    <w:rsid w:val="00B208D6"/>
    <w:rsid w:val="00B20A45"/>
    <w:rsid w:val="00B20A58"/>
    <w:rsid w:val="00B20B58"/>
    <w:rsid w:val="00B20CC8"/>
    <w:rsid w:val="00B20D7B"/>
    <w:rsid w:val="00B20E31"/>
    <w:rsid w:val="00B20ED8"/>
    <w:rsid w:val="00B20F90"/>
    <w:rsid w:val="00B20FCF"/>
    <w:rsid w:val="00B210A6"/>
    <w:rsid w:val="00B2114F"/>
    <w:rsid w:val="00B211B2"/>
    <w:rsid w:val="00B211F7"/>
    <w:rsid w:val="00B212F6"/>
    <w:rsid w:val="00B21369"/>
    <w:rsid w:val="00B2139C"/>
    <w:rsid w:val="00B2148F"/>
    <w:rsid w:val="00B21500"/>
    <w:rsid w:val="00B216D6"/>
    <w:rsid w:val="00B2191C"/>
    <w:rsid w:val="00B219B2"/>
    <w:rsid w:val="00B21AD8"/>
    <w:rsid w:val="00B21B65"/>
    <w:rsid w:val="00B21E3C"/>
    <w:rsid w:val="00B2202E"/>
    <w:rsid w:val="00B220DD"/>
    <w:rsid w:val="00B22107"/>
    <w:rsid w:val="00B22179"/>
    <w:rsid w:val="00B2221E"/>
    <w:rsid w:val="00B22265"/>
    <w:rsid w:val="00B22326"/>
    <w:rsid w:val="00B2233C"/>
    <w:rsid w:val="00B223AD"/>
    <w:rsid w:val="00B223DF"/>
    <w:rsid w:val="00B2243F"/>
    <w:rsid w:val="00B227E8"/>
    <w:rsid w:val="00B2286A"/>
    <w:rsid w:val="00B2294B"/>
    <w:rsid w:val="00B22B38"/>
    <w:rsid w:val="00B22BB6"/>
    <w:rsid w:val="00B22BBD"/>
    <w:rsid w:val="00B22C5F"/>
    <w:rsid w:val="00B22F2C"/>
    <w:rsid w:val="00B230BE"/>
    <w:rsid w:val="00B230EA"/>
    <w:rsid w:val="00B232E7"/>
    <w:rsid w:val="00B23369"/>
    <w:rsid w:val="00B234A4"/>
    <w:rsid w:val="00B23517"/>
    <w:rsid w:val="00B23608"/>
    <w:rsid w:val="00B236E1"/>
    <w:rsid w:val="00B2370E"/>
    <w:rsid w:val="00B237B9"/>
    <w:rsid w:val="00B23929"/>
    <w:rsid w:val="00B23942"/>
    <w:rsid w:val="00B23968"/>
    <w:rsid w:val="00B239DD"/>
    <w:rsid w:val="00B239DF"/>
    <w:rsid w:val="00B23C93"/>
    <w:rsid w:val="00B23D12"/>
    <w:rsid w:val="00B23E6C"/>
    <w:rsid w:val="00B240D6"/>
    <w:rsid w:val="00B2419E"/>
    <w:rsid w:val="00B2421D"/>
    <w:rsid w:val="00B2456B"/>
    <w:rsid w:val="00B245BB"/>
    <w:rsid w:val="00B24631"/>
    <w:rsid w:val="00B2466A"/>
    <w:rsid w:val="00B2469B"/>
    <w:rsid w:val="00B24799"/>
    <w:rsid w:val="00B24A96"/>
    <w:rsid w:val="00B24AC7"/>
    <w:rsid w:val="00B24B38"/>
    <w:rsid w:val="00B24C34"/>
    <w:rsid w:val="00B24CD8"/>
    <w:rsid w:val="00B24DE9"/>
    <w:rsid w:val="00B24E26"/>
    <w:rsid w:val="00B24E51"/>
    <w:rsid w:val="00B24ECA"/>
    <w:rsid w:val="00B24EFE"/>
    <w:rsid w:val="00B24F93"/>
    <w:rsid w:val="00B24FA2"/>
    <w:rsid w:val="00B2507B"/>
    <w:rsid w:val="00B2521C"/>
    <w:rsid w:val="00B25289"/>
    <w:rsid w:val="00B2537B"/>
    <w:rsid w:val="00B254F8"/>
    <w:rsid w:val="00B25598"/>
    <w:rsid w:val="00B25670"/>
    <w:rsid w:val="00B256C5"/>
    <w:rsid w:val="00B256D0"/>
    <w:rsid w:val="00B25715"/>
    <w:rsid w:val="00B2575E"/>
    <w:rsid w:val="00B258E6"/>
    <w:rsid w:val="00B25A53"/>
    <w:rsid w:val="00B25A9C"/>
    <w:rsid w:val="00B25CCA"/>
    <w:rsid w:val="00B25E1D"/>
    <w:rsid w:val="00B25E24"/>
    <w:rsid w:val="00B25E35"/>
    <w:rsid w:val="00B25E72"/>
    <w:rsid w:val="00B25EF7"/>
    <w:rsid w:val="00B2627E"/>
    <w:rsid w:val="00B2628E"/>
    <w:rsid w:val="00B262B6"/>
    <w:rsid w:val="00B26368"/>
    <w:rsid w:val="00B2643A"/>
    <w:rsid w:val="00B2646D"/>
    <w:rsid w:val="00B26651"/>
    <w:rsid w:val="00B26684"/>
    <w:rsid w:val="00B26754"/>
    <w:rsid w:val="00B267DC"/>
    <w:rsid w:val="00B267FD"/>
    <w:rsid w:val="00B26924"/>
    <w:rsid w:val="00B26A1E"/>
    <w:rsid w:val="00B26A85"/>
    <w:rsid w:val="00B26AC5"/>
    <w:rsid w:val="00B26ACC"/>
    <w:rsid w:val="00B26B60"/>
    <w:rsid w:val="00B26BE5"/>
    <w:rsid w:val="00B26CE2"/>
    <w:rsid w:val="00B26CFD"/>
    <w:rsid w:val="00B26DD1"/>
    <w:rsid w:val="00B26EE7"/>
    <w:rsid w:val="00B2701D"/>
    <w:rsid w:val="00B270C6"/>
    <w:rsid w:val="00B2723D"/>
    <w:rsid w:val="00B27365"/>
    <w:rsid w:val="00B27386"/>
    <w:rsid w:val="00B274C1"/>
    <w:rsid w:val="00B27507"/>
    <w:rsid w:val="00B2754E"/>
    <w:rsid w:val="00B276D7"/>
    <w:rsid w:val="00B278D9"/>
    <w:rsid w:val="00B27A88"/>
    <w:rsid w:val="00B27D9D"/>
    <w:rsid w:val="00B27DC8"/>
    <w:rsid w:val="00B27F2D"/>
    <w:rsid w:val="00B27FB8"/>
    <w:rsid w:val="00B30117"/>
    <w:rsid w:val="00B30200"/>
    <w:rsid w:val="00B3020C"/>
    <w:rsid w:val="00B3030E"/>
    <w:rsid w:val="00B3032A"/>
    <w:rsid w:val="00B30440"/>
    <w:rsid w:val="00B3055A"/>
    <w:rsid w:val="00B306EA"/>
    <w:rsid w:val="00B30773"/>
    <w:rsid w:val="00B307BE"/>
    <w:rsid w:val="00B3084B"/>
    <w:rsid w:val="00B30873"/>
    <w:rsid w:val="00B308EE"/>
    <w:rsid w:val="00B3098F"/>
    <w:rsid w:val="00B309C0"/>
    <w:rsid w:val="00B309F6"/>
    <w:rsid w:val="00B30B1D"/>
    <w:rsid w:val="00B30B9D"/>
    <w:rsid w:val="00B30D42"/>
    <w:rsid w:val="00B30E59"/>
    <w:rsid w:val="00B30E71"/>
    <w:rsid w:val="00B30ECB"/>
    <w:rsid w:val="00B30EE9"/>
    <w:rsid w:val="00B30F3C"/>
    <w:rsid w:val="00B30F4F"/>
    <w:rsid w:val="00B31144"/>
    <w:rsid w:val="00B31221"/>
    <w:rsid w:val="00B31353"/>
    <w:rsid w:val="00B313BB"/>
    <w:rsid w:val="00B313C2"/>
    <w:rsid w:val="00B313EB"/>
    <w:rsid w:val="00B31443"/>
    <w:rsid w:val="00B31475"/>
    <w:rsid w:val="00B315DF"/>
    <w:rsid w:val="00B31729"/>
    <w:rsid w:val="00B31757"/>
    <w:rsid w:val="00B317CE"/>
    <w:rsid w:val="00B3180D"/>
    <w:rsid w:val="00B31830"/>
    <w:rsid w:val="00B31938"/>
    <w:rsid w:val="00B31A8B"/>
    <w:rsid w:val="00B31AE4"/>
    <w:rsid w:val="00B31B68"/>
    <w:rsid w:val="00B31D06"/>
    <w:rsid w:val="00B31D5B"/>
    <w:rsid w:val="00B31EC9"/>
    <w:rsid w:val="00B31FAB"/>
    <w:rsid w:val="00B320D9"/>
    <w:rsid w:val="00B32393"/>
    <w:rsid w:val="00B323F2"/>
    <w:rsid w:val="00B325C6"/>
    <w:rsid w:val="00B3274E"/>
    <w:rsid w:val="00B32762"/>
    <w:rsid w:val="00B327E7"/>
    <w:rsid w:val="00B327F7"/>
    <w:rsid w:val="00B327FE"/>
    <w:rsid w:val="00B32884"/>
    <w:rsid w:val="00B328F7"/>
    <w:rsid w:val="00B32A7B"/>
    <w:rsid w:val="00B32BB9"/>
    <w:rsid w:val="00B32C29"/>
    <w:rsid w:val="00B32EA7"/>
    <w:rsid w:val="00B32F57"/>
    <w:rsid w:val="00B3302C"/>
    <w:rsid w:val="00B33056"/>
    <w:rsid w:val="00B3326C"/>
    <w:rsid w:val="00B33374"/>
    <w:rsid w:val="00B334E0"/>
    <w:rsid w:val="00B33599"/>
    <w:rsid w:val="00B3379F"/>
    <w:rsid w:val="00B33A8A"/>
    <w:rsid w:val="00B33B21"/>
    <w:rsid w:val="00B33B26"/>
    <w:rsid w:val="00B33BF2"/>
    <w:rsid w:val="00B33C86"/>
    <w:rsid w:val="00B33D12"/>
    <w:rsid w:val="00B33D39"/>
    <w:rsid w:val="00B33DEC"/>
    <w:rsid w:val="00B33FC2"/>
    <w:rsid w:val="00B33FD2"/>
    <w:rsid w:val="00B33FE4"/>
    <w:rsid w:val="00B34007"/>
    <w:rsid w:val="00B340DD"/>
    <w:rsid w:val="00B34566"/>
    <w:rsid w:val="00B345A8"/>
    <w:rsid w:val="00B34629"/>
    <w:rsid w:val="00B346E4"/>
    <w:rsid w:val="00B34700"/>
    <w:rsid w:val="00B3472D"/>
    <w:rsid w:val="00B34A5C"/>
    <w:rsid w:val="00B34B08"/>
    <w:rsid w:val="00B34B33"/>
    <w:rsid w:val="00B34C07"/>
    <w:rsid w:val="00B34C4E"/>
    <w:rsid w:val="00B34CC6"/>
    <w:rsid w:val="00B34CC9"/>
    <w:rsid w:val="00B34D81"/>
    <w:rsid w:val="00B34DC9"/>
    <w:rsid w:val="00B34DFC"/>
    <w:rsid w:val="00B34F91"/>
    <w:rsid w:val="00B34F93"/>
    <w:rsid w:val="00B34FD8"/>
    <w:rsid w:val="00B35005"/>
    <w:rsid w:val="00B3506A"/>
    <w:rsid w:val="00B35079"/>
    <w:rsid w:val="00B3517B"/>
    <w:rsid w:val="00B35523"/>
    <w:rsid w:val="00B3552F"/>
    <w:rsid w:val="00B3553E"/>
    <w:rsid w:val="00B355CC"/>
    <w:rsid w:val="00B3581D"/>
    <w:rsid w:val="00B359D6"/>
    <w:rsid w:val="00B359F1"/>
    <w:rsid w:val="00B35A08"/>
    <w:rsid w:val="00B35A1A"/>
    <w:rsid w:val="00B35AD1"/>
    <w:rsid w:val="00B35C15"/>
    <w:rsid w:val="00B35DA2"/>
    <w:rsid w:val="00B35EF3"/>
    <w:rsid w:val="00B35F3D"/>
    <w:rsid w:val="00B36090"/>
    <w:rsid w:val="00B36225"/>
    <w:rsid w:val="00B36263"/>
    <w:rsid w:val="00B36268"/>
    <w:rsid w:val="00B363F0"/>
    <w:rsid w:val="00B365D6"/>
    <w:rsid w:val="00B36752"/>
    <w:rsid w:val="00B367C0"/>
    <w:rsid w:val="00B367C3"/>
    <w:rsid w:val="00B3687C"/>
    <w:rsid w:val="00B36905"/>
    <w:rsid w:val="00B36A87"/>
    <w:rsid w:val="00B36B50"/>
    <w:rsid w:val="00B36BF7"/>
    <w:rsid w:val="00B36D0E"/>
    <w:rsid w:val="00B36D3D"/>
    <w:rsid w:val="00B36D50"/>
    <w:rsid w:val="00B36DD7"/>
    <w:rsid w:val="00B36EEB"/>
    <w:rsid w:val="00B36FBE"/>
    <w:rsid w:val="00B36FF5"/>
    <w:rsid w:val="00B37019"/>
    <w:rsid w:val="00B371FD"/>
    <w:rsid w:val="00B37276"/>
    <w:rsid w:val="00B372D2"/>
    <w:rsid w:val="00B372ED"/>
    <w:rsid w:val="00B37646"/>
    <w:rsid w:val="00B3769C"/>
    <w:rsid w:val="00B37876"/>
    <w:rsid w:val="00B37939"/>
    <w:rsid w:val="00B37A02"/>
    <w:rsid w:val="00B37A36"/>
    <w:rsid w:val="00B37A7F"/>
    <w:rsid w:val="00B37D4C"/>
    <w:rsid w:val="00B37F12"/>
    <w:rsid w:val="00B37F28"/>
    <w:rsid w:val="00B37F8F"/>
    <w:rsid w:val="00B37F98"/>
    <w:rsid w:val="00B400ED"/>
    <w:rsid w:val="00B40296"/>
    <w:rsid w:val="00B40322"/>
    <w:rsid w:val="00B403EB"/>
    <w:rsid w:val="00B405C9"/>
    <w:rsid w:val="00B405F9"/>
    <w:rsid w:val="00B406C8"/>
    <w:rsid w:val="00B4072A"/>
    <w:rsid w:val="00B4083B"/>
    <w:rsid w:val="00B408EB"/>
    <w:rsid w:val="00B4097D"/>
    <w:rsid w:val="00B40996"/>
    <w:rsid w:val="00B40C4D"/>
    <w:rsid w:val="00B40D2B"/>
    <w:rsid w:val="00B40D3F"/>
    <w:rsid w:val="00B40E13"/>
    <w:rsid w:val="00B40F2D"/>
    <w:rsid w:val="00B40F4D"/>
    <w:rsid w:val="00B40F6D"/>
    <w:rsid w:val="00B4110D"/>
    <w:rsid w:val="00B41165"/>
    <w:rsid w:val="00B411DB"/>
    <w:rsid w:val="00B4121B"/>
    <w:rsid w:val="00B41245"/>
    <w:rsid w:val="00B41312"/>
    <w:rsid w:val="00B41499"/>
    <w:rsid w:val="00B414DD"/>
    <w:rsid w:val="00B41540"/>
    <w:rsid w:val="00B416D9"/>
    <w:rsid w:val="00B41973"/>
    <w:rsid w:val="00B419FD"/>
    <w:rsid w:val="00B41AB0"/>
    <w:rsid w:val="00B41AFB"/>
    <w:rsid w:val="00B41B4C"/>
    <w:rsid w:val="00B41C2A"/>
    <w:rsid w:val="00B41CBE"/>
    <w:rsid w:val="00B41FB1"/>
    <w:rsid w:val="00B41FC8"/>
    <w:rsid w:val="00B4201C"/>
    <w:rsid w:val="00B420A2"/>
    <w:rsid w:val="00B420CE"/>
    <w:rsid w:val="00B42110"/>
    <w:rsid w:val="00B421F6"/>
    <w:rsid w:val="00B42218"/>
    <w:rsid w:val="00B4226F"/>
    <w:rsid w:val="00B422D8"/>
    <w:rsid w:val="00B42381"/>
    <w:rsid w:val="00B42416"/>
    <w:rsid w:val="00B42433"/>
    <w:rsid w:val="00B42517"/>
    <w:rsid w:val="00B42756"/>
    <w:rsid w:val="00B42766"/>
    <w:rsid w:val="00B428D3"/>
    <w:rsid w:val="00B428D7"/>
    <w:rsid w:val="00B429A7"/>
    <w:rsid w:val="00B42B28"/>
    <w:rsid w:val="00B42B67"/>
    <w:rsid w:val="00B42BF3"/>
    <w:rsid w:val="00B42D65"/>
    <w:rsid w:val="00B430BB"/>
    <w:rsid w:val="00B430EA"/>
    <w:rsid w:val="00B4310D"/>
    <w:rsid w:val="00B43119"/>
    <w:rsid w:val="00B431E3"/>
    <w:rsid w:val="00B43336"/>
    <w:rsid w:val="00B4349D"/>
    <w:rsid w:val="00B434A0"/>
    <w:rsid w:val="00B43527"/>
    <w:rsid w:val="00B4381D"/>
    <w:rsid w:val="00B43990"/>
    <w:rsid w:val="00B439A3"/>
    <w:rsid w:val="00B43A90"/>
    <w:rsid w:val="00B43DD2"/>
    <w:rsid w:val="00B43F64"/>
    <w:rsid w:val="00B43FC8"/>
    <w:rsid w:val="00B44000"/>
    <w:rsid w:val="00B4402D"/>
    <w:rsid w:val="00B4428A"/>
    <w:rsid w:val="00B4471A"/>
    <w:rsid w:val="00B447E5"/>
    <w:rsid w:val="00B449EC"/>
    <w:rsid w:val="00B44A90"/>
    <w:rsid w:val="00B44B89"/>
    <w:rsid w:val="00B44C15"/>
    <w:rsid w:val="00B44D2C"/>
    <w:rsid w:val="00B44D63"/>
    <w:rsid w:val="00B44DC5"/>
    <w:rsid w:val="00B44EE7"/>
    <w:rsid w:val="00B44F43"/>
    <w:rsid w:val="00B45026"/>
    <w:rsid w:val="00B4504E"/>
    <w:rsid w:val="00B4505C"/>
    <w:rsid w:val="00B45065"/>
    <w:rsid w:val="00B45080"/>
    <w:rsid w:val="00B4528E"/>
    <w:rsid w:val="00B45332"/>
    <w:rsid w:val="00B45423"/>
    <w:rsid w:val="00B454ED"/>
    <w:rsid w:val="00B4551F"/>
    <w:rsid w:val="00B4585F"/>
    <w:rsid w:val="00B45913"/>
    <w:rsid w:val="00B4592F"/>
    <w:rsid w:val="00B4597D"/>
    <w:rsid w:val="00B45A18"/>
    <w:rsid w:val="00B45A3F"/>
    <w:rsid w:val="00B45E79"/>
    <w:rsid w:val="00B45F84"/>
    <w:rsid w:val="00B4609F"/>
    <w:rsid w:val="00B46111"/>
    <w:rsid w:val="00B46224"/>
    <w:rsid w:val="00B462BD"/>
    <w:rsid w:val="00B46379"/>
    <w:rsid w:val="00B4647D"/>
    <w:rsid w:val="00B46515"/>
    <w:rsid w:val="00B4656E"/>
    <w:rsid w:val="00B46771"/>
    <w:rsid w:val="00B467EE"/>
    <w:rsid w:val="00B4686B"/>
    <w:rsid w:val="00B4694E"/>
    <w:rsid w:val="00B46956"/>
    <w:rsid w:val="00B469EB"/>
    <w:rsid w:val="00B46A74"/>
    <w:rsid w:val="00B46B1E"/>
    <w:rsid w:val="00B46C32"/>
    <w:rsid w:val="00B46C7A"/>
    <w:rsid w:val="00B46CCF"/>
    <w:rsid w:val="00B46D28"/>
    <w:rsid w:val="00B46D57"/>
    <w:rsid w:val="00B46DA0"/>
    <w:rsid w:val="00B46DA2"/>
    <w:rsid w:val="00B46F40"/>
    <w:rsid w:val="00B46F6B"/>
    <w:rsid w:val="00B47116"/>
    <w:rsid w:val="00B47222"/>
    <w:rsid w:val="00B47259"/>
    <w:rsid w:val="00B472FA"/>
    <w:rsid w:val="00B4732A"/>
    <w:rsid w:val="00B473D8"/>
    <w:rsid w:val="00B4745F"/>
    <w:rsid w:val="00B475BA"/>
    <w:rsid w:val="00B4766F"/>
    <w:rsid w:val="00B476F8"/>
    <w:rsid w:val="00B477A0"/>
    <w:rsid w:val="00B47A2A"/>
    <w:rsid w:val="00B47A33"/>
    <w:rsid w:val="00B47B85"/>
    <w:rsid w:val="00B47B93"/>
    <w:rsid w:val="00B47C75"/>
    <w:rsid w:val="00B47CB9"/>
    <w:rsid w:val="00B47DE0"/>
    <w:rsid w:val="00B47E98"/>
    <w:rsid w:val="00B50016"/>
    <w:rsid w:val="00B50136"/>
    <w:rsid w:val="00B50155"/>
    <w:rsid w:val="00B5029E"/>
    <w:rsid w:val="00B502B8"/>
    <w:rsid w:val="00B503B7"/>
    <w:rsid w:val="00B503D7"/>
    <w:rsid w:val="00B5076B"/>
    <w:rsid w:val="00B50924"/>
    <w:rsid w:val="00B50927"/>
    <w:rsid w:val="00B509A0"/>
    <w:rsid w:val="00B509C5"/>
    <w:rsid w:val="00B50A56"/>
    <w:rsid w:val="00B50B9C"/>
    <w:rsid w:val="00B50C63"/>
    <w:rsid w:val="00B50D80"/>
    <w:rsid w:val="00B50F0E"/>
    <w:rsid w:val="00B50F33"/>
    <w:rsid w:val="00B50F75"/>
    <w:rsid w:val="00B51181"/>
    <w:rsid w:val="00B51295"/>
    <w:rsid w:val="00B512CF"/>
    <w:rsid w:val="00B5133A"/>
    <w:rsid w:val="00B513D8"/>
    <w:rsid w:val="00B51431"/>
    <w:rsid w:val="00B515E4"/>
    <w:rsid w:val="00B51605"/>
    <w:rsid w:val="00B5164F"/>
    <w:rsid w:val="00B51683"/>
    <w:rsid w:val="00B516A5"/>
    <w:rsid w:val="00B51978"/>
    <w:rsid w:val="00B51A64"/>
    <w:rsid w:val="00B51BD5"/>
    <w:rsid w:val="00B51C1A"/>
    <w:rsid w:val="00B51CA2"/>
    <w:rsid w:val="00B51DC5"/>
    <w:rsid w:val="00B51E79"/>
    <w:rsid w:val="00B51E95"/>
    <w:rsid w:val="00B51ECC"/>
    <w:rsid w:val="00B51ED7"/>
    <w:rsid w:val="00B51F8A"/>
    <w:rsid w:val="00B52082"/>
    <w:rsid w:val="00B5211C"/>
    <w:rsid w:val="00B522EB"/>
    <w:rsid w:val="00B523ED"/>
    <w:rsid w:val="00B52446"/>
    <w:rsid w:val="00B5245E"/>
    <w:rsid w:val="00B5256B"/>
    <w:rsid w:val="00B52574"/>
    <w:rsid w:val="00B52577"/>
    <w:rsid w:val="00B52763"/>
    <w:rsid w:val="00B5282F"/>
    <w:rsid w:val="00B5286C"/>
    <w:rsid w:val="00B528CA"/>
    <w:rsid w:val="00B52A7F"/>
    <w:rsid w:val="00B52AC1"/>
    <w:rsid w:val="00B52C2F"/>
    <w:rsid w:val="00B52CD1"/>
    <w:rsid w:val="00B52DC9"/>
    <w:rsid w:val="00B52E05"/>
    <w:rsid w:val="00B52E65"/>
    <w:rsid w:val="00B52EA5"/>
    <w:rsid w:val="00B52EEC"/>
    <w:rsid w:val="00B52FF9"/>
    <w:rsid w:val="00B5312B"/>
    <w:rsid w:val="00B531A5"/>
    <w:rsid w:val="00B531FD"/>
    <w:rsid w:val="00B532A7"/>
    <w:rsid w:val="00B532F1"/>
    <w:rsid w:val="00B533B8"/>
    <w:rsid w:val="00B535D1"/>
    <w:rsid w:val="00B5364A"/>
    <w:rsid w:val="00B53659"/>
    <w:rsid w:val="00B537FF"/>
    <w:rsid w:val="00B53806"/>
    <w:rsid w:val="00B53956"/>
    <w:rsid w:val="00B539A9"/>
    <w:rsid w:val="00B53A50"/>
    <w:rsid w:val="00B53C5A"/>
    <w:rsid w:val="00B53CAF"/>
    <w:rsid w:val="00B53D0B"/>
    <w:rsid w:val="00B53D27"/>
    <w:rsid w:val="00B53D2D"/>
    <w:rsid w:val="00B53DDE"/>
    <w:rsid w:val="00B53E61"/>
    <w:rsid w:val="00B5403F"/>
    <w:rsid w:val="00B54041"/>
    <w:rsid w:val="00B540A5"/>
    <w:rsid w:val="00B54113"/>
    <w:rsid w:val="00B54123"/>
    <w:rsid w:val="00B541D3"/>
    <w:rsid w:val="00B541D8"/>
    <w:rsid w:val="00B54221"/>
    <w:rsid w:val="00B54227"/>
    <w:rsid w:val="00B54235"/>
    <w:rsid w:val="00B54373"/>
    <w:rsid w:val="00B54401"/>
    <w:rsid w:val="00B544CA"/>
    <w:rsid w:val="00B547C2"/>
    <w:rsid w:val="00B547F2"/>
    <w:rsid w:val="00B54A0A"/>
    <w:rsid w:val="00B54A3E"/>
    <w:rsid w:val="00B54A73"/>
    <w:rsid w:val="00B54BA6"/>
    <w:rsid w:val="00B54BF7"/>
    <w:rsid w:val="00B54C66"/>
    <w:rsid w:val="00B54D85"/>
    <w:rsid w:val="00B54DB4"/>
    <w:rsid w:val="00B54DCF"/>
    <w:rsid w:val="00B54EEA"/>
    <w:rsid w:val="00B54FBC"/>
    <w:rsid w:val="00B55027"/>
    <w:rsid w:val="00B55220"/>
    <w:rsid w:val="00B553AB"/>
    <w:rsid w:val="00B55412"/>
    <w:rsid w:val="00B5543A"/>
    <w:rsid w:val="00B55477"/>
    <w:rsid w:val="00B55478"/>
    <w:rsid w:val="00B55529"/>
    <w:rsid w:val="00B55577"/>
    <w:rsid w:val="00B555CC"/>
    <w:rsid w:val="00B55629"/>
    <w:rsid w:val="00B5571D"/>
    <w:rsid w:val="00B55836"/>
    <w:rsid w:val="00B55923"/>
    <w:rsid w:val="00B5592D"/>
    <w:rsid w:val="00B5593F"/>
    <w:rsid w:val="00B55A79"/>
    <w:rsid w:val="00B55BDE"/>
    <w:rsid w:val="00B55C8A"/>
    <w:rsid w:val="00B55F3E"/>
    <w:rsid w:val="00B561D5"/>
    <w:rsid w:val="00B5625C"/>
    <w:rsid w:val="00B5627F"/>
    <w:rsid w:val="00B56290"/>
    <w:rsid w:val="00B562C0"/>
    <w:rsid w:val="00B562E9"/>
    <w:rsid w:val="00B5646B"/>
    <w:rsid w:val="00B56487"/>
    <w:rsid w:val="00B564F8"/>
    <w:rsid w:val="00B56589"/>
    <w:rsid w:val="00B567A2"/>
    <w:rsid w:val="00B56A40"/>
    <w:rsid w:val="00B56C74"/>
    <w:rsid w:val="00B56D68"/>
    <w:rsid w:val="00B56DB1"/>
    <w:rsid w:val="00B56DFC"/>
    <w:rsid w:val="00B56E99"/>
    <w:rsid w:val="00B56EB9"/>
    <w:rsid w:val="00B56F93"/>
    <w:rsid w:val="00B56FAD"/>
    <w:rsid w:val="00B56FEF"/>
    <w:rsid w:val="00B57065"/>
    <w:rsid w:val="00B5726D"/>
    <w:rsid w:val="00B573E8"/>
    <w:rsid w:val="00B575E4"/>
    <w:rsid w:val="00B575F0"/>
    <w:rsid w:val="00B57684"/>
    <w:rsid w:val="00B576BA"/>
    <w:rsid w:val="00B576BD"/>
    <w:rsid w:val="00B578A4"/>
    <w:rsid w:val="00B578AB"/>
    <w:rsid w:val="00B578EF"/>
    <w:rsid w:val="00B5794A"/>
    <w:rsid w:val="00B5798D"/>
    <w:rsid w:val="00B57B0C"/>
    <w:rsid w:val="00B57B76"/>
    <w:rsid w:val="00B57CA4"/>
    <w:rsid w:val="00B57F14"/>
    <w:rsid w:val="00B57F45"/>
    <w:rsid w:val="00B57FAE"/>
    <w:rsid w:val="00B57FE4"/>
    <w:rsid w:val="00B6000F"/>
    <w:rsid w:val="00B60017"/>
    <w:rsid w:val="00B601FA"/>
    <w:rsid w:val="00B60436"/>
    <w:rsid w:val="00B60441"/>
    <w:rsid w:val="00B604C1"/>
    <w:rsid w:val="00B60588"/>
    <w:rsid w:val="00B606EC"/>
    <w:rsid w:val="00B609BF"/>
    <w:rsid w:val="00B60B92"/>
    <w:rsid w:val="00B60C96"/>
    <w:rsid w:val="00B60C9F"/>
    <w:rsid w:val="00B60CE8"/>
    <w:rsid w:val="00B60D51"/>
    <w:rsid w:val="00B60D61"/>
    <w:rsid w:val="00B60F70"/>
    <w:rsid w:val="00B61017"/>
    <w:rsid w:val="00B6101C"/>
    <w:rsid w:val="00B610D8"/>
    <w:rsid w:val="00B6122E"/>
    <w:rsid w:val="00B61254"/>
    <w:rsid w:val="00B61285"/>
    <w:rsid w:val="00B61314"/>
    <w:rsid w:val="00B61350"/>
    <w:rsid w:val="00B61384"/>
    <w:rsid w:val="00B613C6"/>
    <w:rsid w:val="00B6147F"/>
    <w:rsid w:val="00B61587"/>
    <w:rsid w:val="00B61601"/>
    <w:rsid w:val="00B61628"/>
    <w:rsid w:val="00B616F9"/>
    <w:rsid w:val="00B617D9"/>
    <w:rsid w:val="00B6183E"/>
    <w:rsid w:val="00B619A2"/>
    <w:rsid w:val="00B619C7"/>
    <w:rsid w:val="00B61AB9"/>
    <w:rsid w:val="00B61B3E"/>
    <w:rsid w:val="00B61D70"/>
    <w:rsid w:val="00B61E10"/>
    <w:rsid w:val="00B61E4A"/>
    <w:rsid w:val="00B61EBD"/>
    <w:rsid w:val="00B61F63"/>
    <w:rsid w:val="00B61F80"/>
    <w:rsid w:val="00B620DF"/>
    <w:rsid w:val="00B6211D"/>
    <w:rsid w:val="00B6225D"/>
    <w:rsid w:val="00B6228C"/>
    <w:rsid w:val="00B62295"/>
    <w:rsid w:val="00B62358"/>
    <w:rsid w:val="00B624F8"/>
    <w:rsid w:val="00B62693"/>
    <w:rsid w:val="00B626B2"/>
    <w:rsid w:val="00B62734"/>
    <w:rsid w:val="00B62908"/>
    <w:rsid w:val="00B6290A"/>
    <w:rsid w:val="00B6297A"/>
    <w:rsid w:val="00B6299B"/>
    <w:rsid w:val="00B62A56"/>
    <w:rsid w:val="00B62A58"/>
    <w:rsid w:val="00B62C53"/>
    <w:rsid w:val="00B62C5E"/>
    <w:rsid w:val="00B62CC6"/>
    <w:rsid w:val="00B62CE8"/>
    <w:rsid w:val="00B62D6E"/>
    <w:rsid w:val="00B62FE4"/>
    <w:rsid w:val="00B6300F"/>
    <w:rsid w:val="00B6302F"/>
    <w:rsid w:val="00B6307A"/>
    <w:rsid w:val="00B630A6"/>
    <w:rsid w:val="00B63122"/>
    <w:rsid w:val="00B631C0"/>
    <w:rsid w:val="00B63205"/>
    <w:rsid w:val="00B63206"/>
    <w:rsid w:val="00B632BA"/>
    <w:rsid w:val="00B6339E"/>
    <w:rsid w:val="00B6340D"/>
    <w:rsid w:val="00B63627"/>
    <w:rsid w:val="00B6363E"/>
    <w:rsid w:val="00B6366C"/>
    <w:rsid w:val="00B636D7"/>
    <w:rsid w:val="00B6385E"/>
    <w:rsid w:val="00B638A6"/>
    <w:rsid w:val="00B6390C"/>
    <w:rsid w:val="00B63999"/>
    <w:rsid w:val="00B63A4E"/>
    <w:rsid w:val="00B63B5D"/>
    <w:rsid w:val="00B63BB9"/>
    <w:rsid w:val="00B63D36"/>
    <w:rsid w:val="00B63DE0"/>
    <w:rsid w:val="00B63E44"/>
    <w:rsid w:val="00B63E99"/>
    <w:rsid w:val="00B63EA3"/>
    <w:rsid w:val="00B63F48"/>
    <w:rsid w:val="00B63FD8"/>
    <w:rsid w:val="00B641C2"/>
    <w:rsid w:val="00B641DA"/>
    <w:rsid w:val="00B64285"/>
    <w:rsid w:val="00B642AC"/>
    <w:rsid w:val="00B6440A"/>
    <w:rsid w:val="00B64471"/>
    <w:rsid w:val="00B644CF"/>
    <w:rsid w:val="00B64ABC"/>
    <w:rsid w:val="00B64B5F"/>
    <w:rsid w:val="00B64D56"/>
    <w:rsid w:val="00B64DDB"/>
    <w:rsid w:val="00B64EA2"/>
    <w:rsid w:val="00B652C6"/>
    <w:rsid w:val="00B652D0"/>
    <w:rsid w:val="00B652D7"/>
    <w:rsid w:val="00B653DB"/>
    <w:rsid w:val="00B65466"/>
    <w:rsid w:val="00B654E2"/>
    <w:rsid w:val="00B6558F"/>
    <w:rsid w:val="00B65619"/>
    <w:rsid w:val="00B65791"/>
    <w:rsid w:val="00B65A34"/>
    <w:rsid w:val="00B65B44"/>
    <w:rsid w:val="00B65B45"/>
    <w:rsid w:val="00B65C9B"/>
    <w:rsid w:val="00B65CB9"/>
    <w:rsid w:val="00B65D0E"/>
    <w:rsid w:val="00B65FDC"/>
    <w:rsid w:val="00B66006"/>
    <w:rsid w:val="00B6603E"/>
    <w:rsid w:val="00B660D1"/>
    <w:rsid w:val="00B6624D"/>
    <w:rsid w:val="00B66352"/>
    <w:rsid w:val="00B663BA"/>
    <w:rsid w:val="00B66481"/>
    <w:rsid w:val="00B664FF"/>
    <w:rsid w:val="00B6656C"/>
    <w:rsid w:val="00B66575"/>
    <w:rsid w:val="00B665A1"/>
    <w:rsid w:val="00B665BC"/>
    <w:rsid w:val="00B665C6"/>
    <w:rsid w:val="00B665F9"/>
    <w:rsid w:val="00B66608"/>
    <w:rsid w:val="00B66615"/>
    <w:rsid w:val="00B66629"/>
    <w:rsid w:val="00B66679"/>
    <w:rsid w:val="00B66827"/>
    <w:rsid w:val="00B6688D"/>
    <w:rsid w:val="00B668E4"/>
    <w:rsid w:val="00B6693E"/>
    <w:rsid w:val="00B669AA"/>
    <w:rsid w:val="00B66A79"/>
    <w:rsid w:val="00B66AA3"/>
    <w:rsid w:val="00B66AC2"/>
    <w:rsid w:val="00B66B14"/>
    <w:rsid w:val="00B66B6A"/>
    <w:rsid w:val="00B66BB5"/>
    <w:rsid w:val="00B66C0F"/>
    <w:rsid w:val="00B66C74"/>
    <w:rsid w:val="00B66D50"/>
    <w:rsid w:val="00B66DBB"/>
    <w:rsid w:val="00B66E48"/>
    <w:rsid w:val="00B66E4D"/>
    <w:rsid w:val="00B66E99"/>
    <w:rsid w:val="00B66FED"/>
    <w:rsid w:val="00B6707B"/>
    <w:rsid w:val="00B6711A"/>
    <w:rsid w:val="00B671B3"/>
    <w:rsid w:val="00B671D9"/>
    <w:rsid w:val="00B671EF"/>
    <w:rsid w:val="00B67262"/>
    <w:rsid w:val="00B6730F"/>
    <w:rsid w:val="00B673FF"/>
    <w:rsid w:val="00B6749A"/>
    <w:rsid w:val="00B67557"/>
    <w:rsid w:val="00B675F5"/>
    <w:rsid w:val="00B6768E"/>
    <w:rsid w:val="00B676C7"/>
    <w:rsid w:val="00B67711"/>
    <w:rsid w:val="00B67754"/>
    <w:rsid w:val="00B677EC"/>
    <w:rsid w:val="00B67826"/>
    <w:rsid w:val="00B67841"/>
    <w:rsid w:val="00B67AB1"/>
    <w:rsid w:val="00B67B9A"/>
    <w:rsid w:val="00B67C27"/>
    <w:rsid w:val="00B67C3C"/>
    <w:rsid w:val="00B67C48"/>
    <w:rsid w:val="00B67D0A"/>
    <w:rsid w:val="00B70019"/>
    <w:rsid w:val="00B70079"/>
    <w:rsid w:val="00B70129"/>
    <w:rsid w:val="00B7022A"/>
    <w:rsid w:val="00B703AC"/>
    <w:rsid w:val="00B70480"/>
    <w:rsid w:val="00B707FA"/>
    <w:rsid w:val="00B70823"/>
    <w:rsid w:val="00B708BE"/>
    <w:rsid w:val="00B709DC"/>
    <w:rsid w:val="00B70A3F"/>
    <w:rsid w:val="00B70A60"/>
    <w:rsid w:val="00B70A85"/>
    <w:rsid w:val="00B70DAB"/>
    <w:rsid w:val="00B70E67"/>
    <w:rsid w:val="00B70EFE"/>
    <w:rsid w:val="00B70F66"/>
    <w:rsid w:val="00B7100E"/>
    <w:rsid w:val="00B7103B"/>
    <w:rsid w:val="00B7109E"/>
    <w:rsid w:val="00B7117D"/>
    <w:rsid w:val="00B71269"/>
    <w:rsid w:val="00B712B4"/>
    <w:rsid w:val="00B712C4"/>
    <w:rsid w:val="00B715C4"/>
    <w:rsid w:val="00B71644"/>
    <w:rsid w:val="00B716A4"/>
    <w:rsid w:val="00B716A9"/>
    <w:rsid w:val="00B71716"/>
    <w:rsid w:val="00B7172B"/>
    <w:rsid w:val="00B71A09"/>
    <w:rsid w:val="00B71A92"/>
    <w:rsid w:val="00B71B0C"/>
    <w:rsid w:val="00B71BC2"/>
    <w:rsid w:val="00B72145"/>
    <w:rsid w:val="00B721D2"/>
    <w:rsid w:val="00B72283"/>
    <w:rsid w:val="00B72618"/>
    <w:rsid w:val="00B72697"/>
    <w:rsid w:val="00B726E7"/>
    <w:rsid w:val="00B72977"/>
    <w:rsid w:val="00B72A5F"/>
    <w:rsid w:val="00B72AA9"/>
    <w:rsid w:val="00B72B1E"/>
    <w:rsid w:val="00B72B5F"/>
    <w:rsid w:val="00B72C87"/>
    <w:rsid w:val="00B73393"/>
    <w:rsid w:val="00B73474"/>
    <w:rsid w:val="00B734A6"/>
    <w:rsid w:val="00B734C5"/>
    <w:rsid w:val="00B7354F"/>
    <w:rsid w:val="00B736C0"/>
    <w:rsid w:val="00B738A3"/>
    <w:rsid w:val="00B738CF"/>
    <w:rsid w:val="00B73A6C"/>
    <w:rsid w:val="00B73AEA"/>
    <w:rsid w:val="00B73C49"/>
    <w:rsid w:val="00B73DB1"/>
    <w:rsid w:val="00B73E65"/>
    <w:rsid w:val="00B73F31"/>
    <w:rsid w:val="00B73F3E"/>
    <w:rsid w:val="00B740B4"/>
    <w:rsid w:val="00B7412A"/>
    <w:rsid w:val="00B74206"/>
    <w:rsid w:val="00B74211"/>
    <w:rsid w:val="00B74276"/>
    <w:rsid w:val="00B74289"/>
    <w:rsid w:val="00B74407"/>
    <w:rsid w:val="00B745F1"/>
    <w:rsid w:val="00B74608"/>
    <w:rsid w:val="00B746D3"/>
    <w:rsid w:val="00B7472C"/>
    <w:rsid w:val="00B747A1"/>
    <w:rsid w:val="00B747DE"/>
    <w:rsid w:val="00B74843"/>
    <w:rsid w:val="00B74CB4"/>
    <w:rsid w:val="00B74CC2"/>
    <w:rsid w:val="00B74D2E"/>
    <w:rsid w:val="00B74D90"/>
    <w:rsid w:val="00B74DBB"/>
    <w:rsid w:val="00B75125"/>
    <w:rsid w:val="00B75282"/>
    <w:rsid w:val="00B752C8"/>
    <w:rsid w:val="00B75391"/>
    <w:rsid w:val="00B75480"/>
    <w:rsid w:val="00B754AC"/>
    <w:rsid w:val="00B755EC"/>
    <w:rsid w:val="00B7574D"/>
    <w:rsid w:val="00B75766"/>
    <w:rsid w:val="00B757D1"/>
    <w:rsid w:val="00B75912"/>
    <w:rsid w:val="00B7593C"/>
    <w:rsid w:val="00B75A68"/>
    <w:rsid w:val="00B75A6B"/>
    <w:rsid w:val="00B75B69"/>
    <w:rsid w:val="00B75BFC"/>
    <w:rsid w:val="00B75C40"/>
    <w:rsid w:val="00B75D3E"/>
    <w:rsid w:val="00B75D89"/>
    <w:rsid w:val="00B75F28"/>
    <w:rsid w:val="00B75F3E"/>
    <w:rsid w:val="00B75F6C"/>
    <w:rsid w:val="00B75F8C"/>
    <w:rsid w:val="00B75FFD"/>
    <w:rsid w:val="00B760F4"/>
    <w:rsid w:val="00B761A9"/>
    <w:rsid w:val="00B763BF"/>
    <w:rsid w:val="00B76611"/>
    <w:rsid w:val="00B766D2"/>
    <w:rsid w:val="00B76841"/>
    <w:rsid w:val="00B76886"/>
    <w:rsid w:val="00B76892"/>
    <w:rsid w:val="00B76A2E"/>
    <w:rsid w:val="00B76CA8"/>
    <w:rsid w:val="00B76D1C"/>
    <w:rsid w:val="00B76D7D"/>
    <w:rsid w:val="00B76E31"/>
    <w:rsid w:val="00B76FA6"/>
    <w:rsid w:val="00B77104"/>
    <w:rsid w:val="00B7724A"/>
    <w:rsid w:val="00B77261"/>
    <w:rsid w:val="00B7759C"/>
    <w:rsid w:val="00B775D5"/>
    <w:rsid w:val="00B77665"/>
    <w:rsid w:val="00B77668"/>
    <w:rsid w:val="00B776D6"/>
    <w:rsid w:val="00B7770A"/>
    <w:rsid w:val="00B77791"/>
    <w:rsid w:val="00B777E4"/>
    <w:rsid w:val="00B77ACF"/>
    <w:rsid w:val="00B77B0B"/>
    <w:rsid w:val="00B77B7B"/>
    <w:rsid w:val="00B77C08"/>
    <w:rsid w:val="00B77C43"/>
    <w:rsid w:val="00B77DFB"/>
    <w:rsid w:val="00B80189"/>
    <w:rsid w:val="00B802E2"/>
    <w:rsid w:val="00B802FC"/>
    <w:rsid w:val="00B80338"/>
    <w:rsid w:val="00B803AE"/>
    <w:rsid w:val="00B8043A"/>
    <w:rsid w:val="00B805F0"/>
    <w:rsid w:val="00B8067A"/>
    <w:rsid w:val="00B806AA"/>
    <w:rsid w:val="00B80733"/>
    <w:rsid w:val="00B808D1"/>
    <w:rsid w:val="00B808E6"/>
    <w:rsid w:val="00B808F3"/>
    <w:rsid w:val="00B80A98"/>
    <w:rsid w:val="00B80C0A"/>
    <w:rsid w:val="00B80C85"/>
    <w:rsid w:val="00B80CDF"/>
    <w:rsid w:val="00B80CF3"/>
    <w:rsid w:val="00B80D8F"/>
    <w:rsid w:val="00B80DFE"/>
    <w:rsid w:val="00B80E0B"/>
    <w:rsid w:val="00B8114F"/>
    <w:rsid w:val="00B81174"/>
    <w:rsid w:val="00B81375"/>
    <w:rsid w:val="00B813C9"/>
    <w:rsid w:val="00B8161D"/>
    <w:rsid w:val="00B81666"/>
    <w:rsid w:val="00B816C0"/>
    <w:rsid w:val="00B81842"/>
    <w:rsid w:val="00B8189C"/>
    <w:rsid w:val="00B81A3E"/>
    <w:rsid w:val="00B81AAE"/>
    <w:rsid w:val="00B81B0F"/>
    <w:rsid w:val="00B81BCA"/>
    <w:rsid w:val="00B81D2B"/>
    <w:rsid w:val="00B81D6D"/>
    <w:rsid w:val="00B81DA5"/>
    <w:rsid w:val="00B81E0F"/>
    <w:rsid w:val="00B81E21"/>
    <w:rsid w:val="00B81FB9"/>
    <w:rsid w:val="00B820A6"/>
    <w:rsid w:val="00B820B1"/>
    <w:rsid w:val="00B820C3"/>
    <w:rsid w:val="00B8210F"/>
    <w:rsid w:val="00B8225D"/>
    <w:rsid w:val="00B82278"/>
    <w:rsid w:val="00B82289"/>
    <w:rsid w:val="00B8244D"/>
    <w:rsid w:val="00B82464"/>
    <w:rsid w:val="00B824DB"/>
    <w:rsid w:val="00B82522"/>
    <w:rsid w:val="00B82541"/>
    <w:rsid w:val="00B826A2"/>
    <w:rsid w:val="00B827AC"/>
    <w:rsid w:val="00B828C9"/>
    <w:rsid w:val="00B8299B"/>
    <w:rsid w:val="00B82A10"/>
    <w:rsid w:val="00B82A52"/>
    <w:rsid w:val="00B82A53"/>
    <w:rsid w:val="00B82A7D"/>
    <w:rsid w:val="00B82B6C"/>
    <w:rsid w:val="00B82CDB"/>
    <w:rsid w:val="00B82D69"/>
    <w:rsid w:val="00B82E3D"/>
    <w:rsid w:val="00B82ED6"/>
    <w:rsid w:val="00B82F16"/>
    <w:rsid w:val="00B83019"/>
    <w:rsid w:val="00B8303B"/>
    <w:rsid w:val="00B830AD"/>
    <w:rsid w:val="00B8315C"/>
    <w:rsid w:val="00B83180"/>
    <w:rsid w:val="00B8321F"/>
    <w:rsid w:val="00B83281"/>
    <w:rsid w:val="00B832B1"/>
    <w:rsid w:val="00B834C0"/>
    <w:rsid w:val="00B834C2"/>
    <w:rsid w:val="00B8352C"/>
    <w:rsid w:val="00B8357E"/>
    <w:rsid w:val="00B836CA"/>
    <w:rsid w:val="00B836DF"/>
    <w:rsid w:val="00B83700"/>
    <w:rsid w:val="00B83750"/>
    <w:rsid w:val="00B837C7"/>
    <w:rsid w:val="00B837D9"/>
    <w:rsid w:val="00B83843"/>
    <w:rsid w:val="00B838F4"/>
    <w:rsid w:val="00B839D2"/>
    <w:rsid w:val="00B83BB0"/>
    <w:rsid w:val="00B83C59"/>
    <w:rsid w:val="00B83CB9"/>
    <w:rsid w:val="00B83CBE"/>
    <w:rsid w:val="00B83D6F"/>
    <w:rsid w:val="00B83DCD"/>
    <w:rsid w:val="00B83E03"/>
    <w:rsid w:val="00B83E0C"/>
    <w:rsid w:val="00B83EF5"/>
    <w:rsid w:val="00B83FF3"/>
    <w:rsid w:val="00B84048"/>
    <w:rsid w:val="00B840A8"/>
    <w:rsid w:val="00B84363"/>
    <w:rsid w:val="00B8437E"/>
    <w:rsid w:val="00B84399"/>
    <w:rsid w:val="00B84419"/>
    <w:rsid w:val="00B84432"/>
    <w:rsid w:val="00B844E1"/>
    <w:rsid w:val="00B84566"/>
    <w:rsid w:val="00B846D7"/>
    <w:rsid w:val="00B8470B"/>
    <w:rsid w:val="00B849D4"/>
    <w:rsid w:val="00B84B1B"/>
    <w:rsid w:val="00B84B42"/>
    <w:rsid w:val="00B84BE8"/>
    <w:rsid w:val="00B84C62"/>
    <w:rsid w:val="00B84D57"/>
    <w:rsid w:val="00B84E6A"/>
    <w:rsid w:val="00B84F31"/>
    <w:rsid w:val="00B84FB9"/>
    <w:rsid w:val="00B85021"/>
    <w:rsid w:val="00B85275"/>
    <w:rsid w:val="00B853BF"/>
    <w:rsid w:val="00B853E0"/>
    <w:rsid w:val="00B85510"/>
    <w:rsid w:val="00B85727"/>
    <w:rsid w:val="00B858B3"/>
    <w:rsid w:val="00B85911"/>
    <w:rsid w:val="00B8591E"/>
    <w:rsid w:val="00B859D6"/>
    <w:rsid w:val="00B85B8C"/>
    <w:rsid w:val="00B85E12"/>
    <w:rsid w:val="00B85E56"/>
    <w:rsid w:val="00B85EF1"/>
    <w:rsid w:val="00B85F2E"/>
    <w:rsid w:val="00B8600C"/>
    <w:rsid w:val="00B86034"/>
    <w:rsid w:val="00B8608D"/>
    <w:rsid w:val="00B860D8"/>
    <w:rsid w:val="00B86282"/>
    <w:rsid w:val="00B86484"/>
    <w:rsid w:val="00B86490"/>
    <w:rsid w:val="00B864B4"/>
    <w:rsid w:val="00B86698"/>
    <w:rsid w:val="00B8685F"/>
    <w:rsid w:val="00B86908"/>
    <w:rsid w:val="00B869EA"/>
    <w:rsid w:val="00B869F3"/>
    <w:rsid w:val="00B86A07"/>
    <w:rsid w:val="00B86A30"/>
    <w:rsid w:val="00B86B5D"/>
    <w:rsid w:val="00B86BBD"/>
    <w:rsid w:val="00B86D27"/>
    <w:rsid w:val="00B86EFC"/>
    <w:rsid w:val="00B86F6A"/>
    <w:rsid w:val="00B86FEE"/>
    <w:rsid w:val="00B87142"/>
    <w:rsid w:val="00B8718C"/>
    <w:rsid w:val="00B8727D"/>
    <w:rsid w:val="00B87374"/>
    <w:rsid w:val="00B87401"/>
    <w:rsid w:val="00B87446"/>
    <w:rsid w:val="00B87488"/>
    <w:rsid w:val="00B87506"/>
    <w:rsid w:val="00B876CC"/>
    <w:rsid w:val="00B877C7"/>
    <w:rsid w:val="00B87884"/>
    <w:rsid w:val="00B87A09"/>
    <w:rsid w:val="00B87A0D"/>
    <w:rsid w:val="00B87A11"/>
    <w:rsid w:val="00B87A20"/>
    <w:rsid w:val="00B87B40"/>
    <w:rsid w:val="00B87B89"/>
    <w:rsid w:val="00B87E30"/>
    <w:rsid w:val="00B87E90"/>
    <w:rsid w:val="00B87EB5"/>
    <w:rsid w:val="00B87F6E"/>
    <w:rsid w:val="00B87FED"/>
    <w:rsid w:val="00B90052"/>
    <w:rsid w:val="00B900C8"/>
    <w:rsid w:val="00B9019F"/>
    <w:rsid w:val="00B90245"/>
    <w:rsid w:val="00B90279"/>
    <w:rsid w:val="00B90285"/>
    <w:rsid w:val="00B90374"/>
    <w:rsid w:val="00B9039C"/>
    <w:rsid w:val="00B905B3"/>
    <w:rsid w:val="00B90619"/>
    <w:rsid w:val="00B90667"/>
    <w:rsid w:val="00B9066D"/>
    <w:rsid w:val="00B90713"/>
    <w:rsid w:val="00B907C3"/>
    <w:rsid w:val="00B907D5"/>
    <w:rsid w:val="00B90859"/>
    <w:rsid w:val="00B90B9E"/>
    <w:rsid w:val="00B90C77"/>
    <w:rsid w:val="00B90CD5"/>
    <w:rsid w:val="00B90D54"/>
    <w:rsid w:val="00B90D8A"/>
    <w:rsid w:val="00B90E41"/>
    <w:rsid w:val="00B90E77"/>
    <w:rsid w:val="00B90EE1"/>
    <w:rsid w:val="00B90EFA"/>
    <w:rsid w:val="00B9100E"/>
    <w:rsid w:val="00B91031"/>
    <w:rsid w:val="00B911C4"/>
    <w:rsid w:val="00B91316"/>
    <w:rsid w:val="00B913BA"/>
    <w:rsid w:val="00B91409"/>
    <w:rsid w:val="00B91479"/>
    <w:rsid w:val="00B9153A"/>
    <w:rsid w:val="00B916C0"/>
    <w:rsid w:val="00B9180D"/>
    <w:rsid w:val="00B91B80"/>
    <w:rsid w:val="00B91BA5"/>
    <w:rsid w:val="00B91CFD"/>
    <w:rsid w:val="00B91D15"/>
    <w:rsid w:val="00B91D69"/>
    <w:rsid w:val="00B91EB6"/>
    <w:rsid w:val="00B91F20"/>
    <w:rsid w:val="00B920C3"/>
    <w:rsid w:val="00B92144"/>
    <w:rsid w:val="00B92191"/>
    <w:rsid w:val="00B9221E"/>
    <w:rsid w:val="00B92266"/>
    <w:rsid w:val="00B9228A"/>
    <w:rsid w:val="00B92496"/>
    <w:rsid w:val="00B926A1"/>
    <w:rsid w:val="00B92751"/>
    <w:rsid w:val="00B92841"/>
    <w:rsid w:val="00B9298C"/>
    <w:rsid w:val="00B929A6"/>
    <w:rsid w:val="00B92C35"/>
    <w:rsid w:val="00B92CF1"/>
    <w:rsid w:val="00B92D9C"/>
    <w:rsid w:val="00B92EAF"/>
    <w:rsid w:val="00B92EDA"/>
    <w:rsid w:val="00B92EE2"/>
    <w:rsid w:val="00B92FA8"/>
    <w:rsid w:val="00B92FAE"/>
    <w:rsid w:val="00B931D8"/>
    <w:rsid w:val="00B93273"/>
    <w:rsid w:val="00B9352D"/>
    <w:rsid w:val="00B93563"/>
    <w:rsid w:val="00B9381E"/>
    <w:rsid w:val="00B93893"/>
    <w:rsid w:val="00B9394A"/>
    <w:rsid w:val="00B93A3B"/>
    <w:rsid w:val="00B93ABB"/>
    <w:rsid w:val="00B93C0F"/>
    <w:rsid w:val="00B93D7E"/>
    <w:rsid w:val="00B93EF1"/>
    <w:rsid w:val="00B93F1B"/>
    <w:rsid w:val="00B93FC3"/>
    <w:rsid w:val="00B9409C"/>
    <w:rsid w:val="00B940F2"/>
    <w:rsid w:val="00B940F8"/>
    <w:rsid w:val="00B940FC"/>
    <w:rsid w:val="00B94145"/>
    <w:rsid w:val="00B942C5"/>
    <w:rsid w:val="00B94359"/>
    <w:rsid w:val="00B94441"/>
    <w:rsid w:val="00B94525"/>
    <w:rsid w:val="00B94563"/>
    <w:rsid w:val="00B94599"/>
    <w:rsid w:val="00B9461F"/>
    <w:rsid w:val="00B9468E"/>
    <w:rsid w:val="00B946B3"/>
    <w:rsid w:val="00B946E9"/>
    <w:rsid w:val="00B946F0"/>
    <w:rsid w:val="00B9470D"/>
    <w:rsid w:val="00B9475A"/>
    <w:rsid w:val="00B9482D"/>
    <w:rsid w:val="00B94847"/>
    <w:rsid w:val="00B948BD"/>
    <w:rsid w:val="00B948C7"/>
    <w:rsid w:val="00B9490D"/>
    <w:rsid w:val="00B94963"/>
    <w:rsid w:val="00B949FF"/>
    <w:rsid w:val="00B94A90"/>
    <w:rsid w:val="00B94C5D"/>
    <w:rsid w:val="00B94CAA"/>
    <w:rsid w:val="00B94CEC"/>
    <w:rsid w:val="00B94D41"/>
    <w:rsid w:val="00B94DE3"/>
    <w:rsid w:val="00B94E24"/>
    <w:rsid w:val="00B94EA5"/>
    <w:rsid w:val="00B94EDD"/>
    <w:rsid w:val="00B95106"/>
    <w:rsid w:val="00B95154"/>
    <w:rsid w:val="00B95219"/>
    <w:rsid w:val="00B952AB"/>
    <w:rsid w:val="00B952FD"/>
    <w:rsid w:val="00B953B7"/>
    <w:rsid w:val="00B9556D"/>
    <w:rsid w:val="00B955A8"/>
    <w:rsid w:val="00B95624"/>
    <w:rsid w:val="00B95628"/>
    <w:rsid w:val="00B95659"/>
    <w:rsid w:val="00B957DB"/>
    <w:rsid w:val="00B959AD"/>
    <w:rsid w:val="00B95D5F"/>
    <w:rsid w:val="00B95E69"/>
    <w:rsid w:val="00B95E98"/>
    <w:rsid w:val="00B95F05"/>
    <w:rsid w:val="00B95F3C"/>
    <w:rsid w:val="00B960A3"/>
    <w:rsid w:val="00B962D7"/>
    <w:rsid w:val="00B96438"/>
    <w:rsid w:val="00B9643E"/>
    <w:rsid w:val="00B9657B"/>
    <w:rsid w:val="00B965D6"/>
    <w:rsid w:val="00B96609"/>
    <w:rsid w:val="00B96675"/>
    <w:rsid w:val="00B966B7"/>
    <w:rsid w:val="00B9674D"/>
    <w:rsid w:val="00B96750"/>
    <w:rsid w:val="00B968D0"/>
    <w:rsid w:val="00B9696A"/>
    <w:rsid w:val="00B96A9A"/>
    <w:rsid w:val="00B96AFB"/>
    <w:rsid w:val="00B96BC9"/>
    <w:rsid w:val="00B96C0C"/>
    <w:rsid w:val="00B96DAB"/>
    <w:rsid w:val="00B96E55"/>
    <w:rsid w:val="00B96EF4"/>
    <w:rsid w:val="00B96F2B"/>
    <w:rsid w:val="00B96F5C"/>
    <w:rsid w:val="00B97412"/>
    <w:rsid w:val="00B97449"/>
    <w:rsid w:val="00B97452"/>
    <w:rsid w:val="00B975F1"/>
    <w:rsid w:val="00B97620"/>
    <w:rsid w:val="00B97725"/>
    <w:rsid w:val="00B9789E"/>
    <w:rsid w:val="00B978AD"/>
    <w:rsid w:val="00B97AC8"/>
    <w:rsid w:val="00B97B68"/>
    <w:rsid w:val="00B97BA2"/>
    <w:rsid w:val="00B97BAC"/>
    <w:rsid w:val="00B97D4C"/>
    <w:rsid w:val="00B97DC9"/>
    <w:rsid w:val="00B97DCA"/>
    <w:rsid w:val="00B97EEA"/>
    <w:rsid w:val="00BA00DD"/>
    <w:rsid w:val="00BA011F"/>
    <w:rsid w:val="00BA0157"/>
    <w:rsid w:val="00BA0228"/>
    <w:rsid w:val="00BA023B"/>
    <w:rsid w:val="00BA0303"/>
    <w:rsid w:val="00BA034D"/>
    <w:rsid w:val="00BA064A"/>
    <w:rsid w:val="00BA0A24"/>
    <w:rsid w:val="00BA0ABE"/>
    <w:rsid w:val="00BA0B85"/>
    <w:rsid w:val="00BA0BD0"/>
    <w:rsid w:val="00BA0CFC"/>
    <w:rsid w:val="00BA0D59"/>
    <w:rsid w:val="00BA0DA8"/>
    <w:rsid w:val="00BA0DB3"/>
    <w:rsid w:val="00BA0E5A"/>
    <w:rsid w:val="00BA0EED"/>
    <w:rsid w:val="00BA0F0E"/>
    <w:rsid w:val="00BA0F84"/>
    <w:rsid w:val="00BA1005"/>
    <w:rsid w:val="00BA1175"/>
    <w:rsid w:val="00BA1181"/>
    <w:rsid w:val="00BA137F"/>
    <w:rsid w:val="00BA13CF"/>
    <w:rsid w:val="00BA1495"/>
    <w:rsid w:val="00BA154D"/>
    <w:rsid w:val="00BA1592"/>
    <w:rsid w:val="00BA1612"/>
    <w:rsid w:val="00BA17CB"/>
    <w:rsid w:val="00BA18BC"/>
    <w:rsid w:val="00BA1A18"/>
    <w:rsid w:val="00BA1B2B"/>
    <w:rsid w:val="00BA1D76"/>
    <w:rsid w:val="00BA1EFC"/>
    <w:rsid w:val="00BA1FF5"/>
    <w:rsid w:val="00BA2080"/>
    <w:rsid w:val="00BA213D"/>
    <w:rsid w:val="00BA21F1"/>
    <w:rsid w:val="00BA2229"/>
    <w:rsid w:val="00BA228C"/>
    <w:rsid w:val="00BA2582"/>
    <w:rsid w:val="00BA25E5"/>
    <w:rsid w:val="00BA25E9"/>
    <w:rsid w:val="00BA26F9"/>
    <w:rsid w:val="00BA2709"/>
    <w:rsid w:val="00BA27A7"/>
    <w:rsid w:val="00BA2877"/>
    <w:rsid w:val="00BA2ADD"/>
    <w:rsid w:val="00BA2B73"/>
    <w:rsid w:val="00BA2C5A"/>
    <w:rsid w:val="00BA2CCF"/>
    <w:rsid w:val="00BA2E88"/>
    <w:rsid w:val="00BA2F94"/>
    <w:rsid w:val="00BA2FE8"/>
    <w:rsid w:val="00BA2FFF"/>
    <w:rsid w:val="00BA3175"/>
    <w:rsid w:val="00BA3199"/>
    <w:rsid w:val="00BA319F"/>
    <w:rsid w:val="00BA3294"/>
    <w:rsid w:val="00BA3372"/>
    <w:rsid w:val="00BA35E8"/>
    <w:rsid w:val="00BA369C"/>
    <w:rsid w:val="00BA3915"/>
    <w:rsid w:val="00BA3A3A"/>
    <w:rsid w:val="00BA3BA5"/>
    <w:rsid w:val="00BA3C33"/>
    <w:rsid w:val="00BA3CD7"/>
    <w:rsid w:val="00BA400C"/>
    <w:rsid w:val="00BA4011"/>
    <w:rsid w:val="00BA401E"/>
    <w:rsid w:val="00BA40E4"/>
    <w:rsid w:val="00BA4103"/>
    <w:rsid w:val="00BA4158"/>
    <w:rsid w:val="00BA42E9"/>
    <w:rsid w:val="00BA432E"/>
    <w:rsid w:val="00BA43DA"/>
    <w:rsid w:val="00BA456E"/>
    <w:rsid w:val="00BA457D"/>
    <w:rsid w:val="00BA45F5"/>
    <w:rsid w:val="00BA467F"/>
    <w:rsid w:val="00BA46AC"/>
    <w:rsid w:val="00BA4845"/>
    <w:rsid w:val="00BA4857"/>
    <w:rsid w:val="00BA4869"/>
    <w:rsid w:val="00BA48D7"/>
    <w:rsid w:val="00BA4934"/>
    <w:rsid w:val="00BA4936"/>
    <w:rsid w:val="00BA4961"/>
    <w:rsid w:val="00BA498D"/>
    <w:rsid w:val="00BA4A6E"/>
    <w:rsid w:val="00BA4AF8"/>
    <w:rsid w:val="00BA4B0B"/>
    <w:rsid w:val="00BA4F41"/>
    <w:rsid w:val="00BA4FC1"/>
    <w:rsid w:val="00BA50DA"/>
    <w:rsid w:val="00BA52B0"/>
    <w:rsid w:val="00BA539C"/>
    <w:rsid w:val="00BA5518"/>
    <w:rsid w:val="00BA55AA"/>
    <w:rsid w:val="00BA566B"/>
    <w:rsid w:val="00BA5693"/>
    <w:rsid w:val="00BA572F"/>
    <w:rsid w:val="00BA579F"/>
    <w:rsid w:val="00BA5806"/>
    <w:rsid w:val="00BA583B"/>
    <w:rsid w:val="00BA583E"/>
    <w:rsid w:val="00BA58F3"/>
    <w:rsid w:val="00BA5A46"/>
    <w:rsid w:val="00BA5B38"/>
    <w:rsid w:val="00BA5C0B"/>
    <w:rsid w:val="00BA5C54"/>
    <w:rsid w:val="00BA5D81"/>
    <w:rsid w:val="00BA5D9F"/>
    <w:rsid w:val="00BA5DF4"/>
    <w:rsid w:val="00BA5E8F"/>
    <w:rsid w:val="00BA5EF4"/>
    <w:rsid w:val="00BA5F13"/>
    <w:rsid w:val="00BA5F27"/>
    <w:rsid w:val="00BA5FC9"/>
    <w:rsid w:val="00BA5FCC"/>
    <w:rsid w:val="00BA6059"/>
    <w:rsid w:val="00BA6100"/>
    <w:rsid w:val="00BA6111"/>
    <w:rsid w:val="00BA6285"/>
    <w:rsid w:val="00BA63A6"/>
    <w:rsid w:val="00BA6401"/>
    <w:rsid w:val="00BA6409"/>
    <w:rsid w:val="00BA6566"/>
    <w:rsid w:val="00BA6584"/>
    <w:rsid w:val="00BA659E"/>
    <w:rsid w:val="00BA6753"/>
    <w:rsid w:val="00BA691D"/>
    <w:rsid w:val="00BA6A33"/>
    <w:rsid w:val="00BA6AD1"/>
    <w:rsid w:val="00BA6AFB"/>
    <w:rsid w:val="00BA6BCB"/>
    <w:rsid w:val="00BA6C19"/>
    <w:rsid w:val="00BA6DC5"/>
    <w:rsid w:val="00BA70D4"/>
    <w:rsid w:val="00BA7284"/>
    <w:rsid w:val="00BA73DF"/>
    <w:rsid w:val="00BA747E"/>
    <w:rsid w:val="00BA7504"/>
    <w:rsid w:val="00BA753D"/>
    <w:rsid w:val="00BA7569"/>
    <w:rsid w:val="00BA75D4"/>
    <w:rsid w:val="00BA76B7"/>
    <w:rsid w:val="00BA76BD"/>
    <w:rsid w:val="00BA7714"/>
    <w:rsid w:val="00BA77C6"/>
    <w:rsid w:val="00BA78CE"/>
    <w:rsid w:val="00BA78F1"/>
    <w:rsid w:val="00BA797E"/>
    <w:rsid w:val="00BA7AED"/>
    <w:rsid w:val="00BA7B58"/>
    <w:rsid w:val="00BA7BAE"/>
    <w:rsid w:val="00BA7C4E"/>
    <w:rsid w:val="00BA7C93"/>
    <w:rsid w:val="00BA7CE4"/>
    <w:rsid w:val="00BA7D63"/>
    <w:rsid w:val="00BA7D8B"/>
    <w:rsid w:val="00BA7E28"/>
    <w:rsid w:val="00BA7F15"/>
    <w:rsid w:val="00BA7F24"/>
    <w:rsid w:val="00BA7FBD"/>
    <w:rsid w:val="00BB0027"/>
    <w:rsid w:val="00BB013C"/>
    <w:rsid w:val="00BB0231"/>
    <w:rsid w:val="00BB033D"/>
    <w:rsid w:val="00BB03A5"/>
    <w:rsid w:val="00BB0577"/>
    <w:rsid w:val="00BB065C"/>
    <w:rsid w:val="00BB0762"/>
    <w:rsid w:val="00BB0850"/>
    <w:rsid w:val="00BB08A8"/>
    <w:rsid w:val="00BB08B6"/>
    <w:rsid w:val="00BB08E7"/>
    <w:rsid w:val="00BB0AD2"/>
    <w:rsid w:val="00BB0BF5"/>
    <w:rsid w:val="00BB0C43"/>
    <w:rsid w:val="00BB0C51"/>
    <w:rsid w:val="00BB0C56"/>
    <w:rsid w:val="00BB0C9F"/>
    <w:rsid w:val="00BB0DCE"/>
    <w:rsid w:val="00BB0EEA"/>
    <w:rsid w:val="00BB0F0D"/>
    <w:rsid w:val="00BB0FAC"/>
    <w:rsid w:val="00BB102F"/>
    <w:rsid w:val="00BB112C"/>
    <w:rsid w:val="00BB1222"/>
    <w:rsid w:val="00BB1286"/>
    <w:rsid w:val="00BB12EC"/>
    <w:rsid w:val="00BB13D6"/>
    <w:rsid w:val="00BB14AE"/>
    <w:rsid w:val="00BB1578"/>
    <w:rsid w:val="00BB15EA"/>
    <w:rsid w:val="00BB1972"/>
    <w:rsid w:val="00BB1A48"/>
    <w:rsid w:val="00BB1A83"/>
    <w:rsid w:val="00BB1A8A"/>
    <w:rsid w:val="00BB1BF7"/>
    <w:rsid w:val="00BB1C0A"/>
    <w:rsid w:val="00BB1CAD"/>
    <w:rsid w:val="00BB1CF3"/>
    <w:rsid w:val="00BB2091"/>
    <w:rsid w:val="00BB2358"/>
    <w:rsid w:val="00BB244C"/>
    <w:rsid w:val="00BB2461"/>
    <w:rsid w:val="00BB24D6"/>
    <w:rsid w:val="00BB2560"/>
    <w:rsid w:val="00BB25F0"/>
    <w:rsid w:val="00BB2643"/>
    <w:rsid w:val="00BB2666"/>
    <w:rsid w:val="00BB26EC"/>
    <w:rsid w:val="00BB2726"/>
    <w:rsid w:val="00BB2815"/>
    <w:rsid w:val="00BB2870"/>
    <w:rsid w:val="00BB2924"/>
    <w:rsid w:val="00BB2979"/>
    <w:rsid w:val="00BB29B5"/>
    <w:rsid w:val="00BB2A5E"/>
    <w:rsid w:val="00BB2B7E"/>
    <w:rsid w:val="00BB2C23"/>
    <w:rsid w:val="00BB2C8B"/>
    <w:rsid w:val="00BB2CC3"/>
    <w:rsid w:val="00BB2D67"/>
    <w:rsid w:val="00BB2DAA"/>
    <w:rsid w:val="00BB2DC7"/>
    <w:rsid w:val="00BB2E4A"/>
    <w:rsid w:val="00BB302D"/>
    <w:rsid w:val="00BB305E"/>
    <w:rsid w:val="00BB30A3"/>
    <w:rsid w:val="00BB3326"/>
    <w:rsid w:val="00BB34E9"/>
    <w:rsid w:val="00BB35EC"/>
    <w:rsid w:val="00BB3684"/>
    <w:rsid w:val="00BB36E3"/>
    <w:rsid w:val="00BB3706"/>
    <w:rsid w:val="00BB37C7"/>
    <w:rsid w:val="00BB3877"/>
    <w:rsid w:val="00BB3952"/>
    <w:rsid w:val="00BB3957"/>
    <w:rsid w:val="00BB396B"/>
    <w:rsid w:val="00BB3971"/>
    <w:rsid w:val="00BB3AD7"/>
    <w:rsid w:val="00BB3B7B"/>
    <w:rsid w:val="00BB3BB8"/>
    <w:rsid w:val="00BB3D88"/>
    <w:rsid w:val="00BB3DC9"/>
    <w:rsid w:val="00BB3E98"/>
    <w:rsid w:val="00BB4032"/>
    <w:rsid w:val="00BB4083"/>
    <w:rsid w:val="00BB43DC"/>
    <w:rsid w:val="00BB4417"/>
    <w:rsid w:val="00BB443F"/>
    <w:rsid w:val="00BB4480"/>
    <w:rsid w:val="00BB452D"/>
    <w:rsid w:val="00BB4689"/>
    <w:rsid w:val="00BB46A4"/>
    <w:rsid w:val="00BB4768"/>
    <w:rsid w:val="00BB482E"/>
    <w:rsid w:val="00BB4967"/>
    <w:rsid w:val="00BB4CD8"/>
    <w:rsid w:val="00BB4D6C"/>
    <w:rsid w:val="00BB4DD5"/>
    <w:rsid w:val="00BB4EA5"/>
    <w:rsid w:val="00BB4F1A"/>
    <w:rsid w:val="00BB5063"/>
    <w:rsid w:val="00BB50DF"/>
    <w:rsid w:val="00BB52E9"/>
    <w:rsid w:val="00BB538D"/>
    <w:rsid w:val="00BB544E"/>
    <w:rsid w:val="00BB547C"/>
    <w:rsid w:val="00BB54A5"/>
    <w:rsid w:val="00BB54CE"/>
    <w:rsid w:val="00BB5543"/>
    <w:rsid w:val="00BB55A5"/>
    <w:rsid w:val="00BB55B0"/>
    <w:rsid w:val="00BB5623"/>
    <w:rsid w:val="00BB58A2"/>
    <w:rsid w:val="00BB592B"/>
    <w:rsid w:val="00BB5AB9"/>
    <w:rsid w:val="00BB5AE2"/>
    <w:rsid w:val="00BB5B10"/>
    <w:rsid w:val="00BB5B52"/>
    <w:rsid w:val="00BB5BDF"/>
    <w:rsid w:val="00BB5C31"/>
    <w:rsid w:val="00BB5D5F"/>
    <w:rsid w:val="00BB5FC6"/>
    <w:rsid w:val="00BB6012"/>
    <w:rsid w:val="00BB6081"/>
    <w:rsid w:val="00BB618A"/>
    <w:rsid w:val="00BB61CA"/>
    <w:rsid w:val="00BB6269"/>
    <w:rsid w:val="00BB62E7"/>
    <w:rsid w:val="00BB62FD"/>
    <w:rsid w:val="00BB6302"/>
    <w:rsid w:val="00BB6520"/>
    <w:rsid w:val="00BB65B7"/>
    <w:rsid w:val="00BB65D3"/>
    <w:rsid w:val="00BB6649"/>
    <w:rsid w:val="00BB6666"/>
    <w:rsid w:val="00BB67EA"/>
    <w:rsid w:val="00BB6829"/>
    <w:rsid w:val="00BB691B"/>
    <w:rsid w:val="00BB6984"/>
    <w:rsid w:val="00BB6A08"/>
    <w:rsid w:val="00BB6BE5"/>
    <w:rsid w:val="00BB6C16"/>
    <w:rsid w:val="00BB6DE7"/>
    <w:rsid w:val="00BB6E35"/>
    <w:rsid w:val="00BB6E83"/>
    <w:rsid w:val="00BB7019"/>
    <w:rsid w:val="00BB7082"/>
    <w:rsid w:val="00BB72EF"/>
    <w:rsid w:val="00BB7352"/>
    <w:rsid w:val="00BB73FB"/>
    <w:rsid w:val="00BB74C4"/>
    <w:rsid w:val="00BB7688"/>
    <w:rsid w:val="00BB769F"/>
    <w:rsid w:val="00BB772F"/>
    <w:rsid w:val="00BB7775"/>
    <w:rsid w:val="00BB78F1"/>
    <w:rsid w:val="00BB78FF"/>
    <w:rsid w:val="00BB7911"/>
    <w:rsid w:val="00BB79D2"/>
    <w:rsid w:val="00BB79DF"/>
    <w:rsid w:val="00BB79EA"/>
    <w:rsid w:val="00BB7A37"/>
    <w:rsid w:val="00BB7ABB"/>
    <w:rsid w:val="00BB7D3F"/>
    <w:rsid w:val="00BB7DDF"/>
    <w:rsid w:val="00BB7DE4"/>
    <w:rsid w:val="00BB7E38"/>
    <w:rsid w:val="00BB7EF7"/>
    <w:rsid w:val="00BB7F9C"/>
    <w:rsid w:val="00BC00A7"/>
    <w:rsid w:val="00BC0301"/>
    <w:rsid w:val="00BC0356"/>
    <w:rsid w:val="00BC03F5"/>
    <w:rsid w:val="00BC066F"/>
    <w:rsid w:val="00BC06B8"/>
    <w:rsid w:val="00BC07DC"/>
    <w:rsid w:val="00BC088B"/>
    <w:rsid w:val="00BC08DC"/>
    <w:rsid w:val="00BC0992"/>
    <w:rsid w:val="00BC0997"/>
    <w:rsid w:val="00BC09AC"/>
    <w:rsid w:val="00BC09D2"/>
    <w:rsid w:val="00BC09EF"/>
    <w:rsid w:val="00BC0B32"/>
    <w:rsid w:val="00BC0B7E"/>
    <w:rsid w:val="00BC0B80"/>
    <w:rsid w:val="00BC0D83"/>
    <w:rsid w:val="00BC0DAC"/>
    <w:rsid w:val="00BC0ED6"/>
    <w:rsid w:val="00BC1003"/>
    <w:rsid w:val="00BC1091"/>
    <w:rsid w:val="00BC1185"/>
    <w:rsid w:val="00BC11C2"/>
    <w:rsid w:val="00BC133F"/>
    <w:rsid w:val="00BC13C0"/>
    <w:rsid w:val="00BC18CD"/>
    <w:rsid w:val="00BC18E0"/>
    <w:rsid w:val="00BC1917"/>
    <w:rsid w:val="00BC1952"/>
    <w:rsid w:val="00BC1A00"/>
    <w:rsid w:val="00BC1A3B"/>
    <w:rsid w:val="00BC1A43"/>
    <w:rsid w:val="00BC1A69"/>
    <w:rsid w:val="00BC1AAE"/>
    <w:rsid w:val="00BC1B4B"/>
    <w:rsid w:val="00BC1B8C"/>
    <w:rsid w:val="00BC1C0A"/>
    <w:rsid w:val="00BC1C11"/>
    <w:rsid w:val="00BC1C2E"/>
    <w:rsid w:val="00BC1C57"/>
    <w:rsid w:val="00BC1CB2"/>
    <w:rsid w:val="00BC1E1B"/>
    <w:rsid w:val="00BC1FAB"/>
    <w:rsid w:val="00BC1FF9"/>
    <w:rsid w:val="00BC2088"/>
    <w:rsid w:val="00BC2316"/>
    <w:rsid w:val="00BC2506"/>
    <w:rsid w:val="00BC25B7"/>
    <w:rsid w:val="00BC2685"/>
    <w:rsid w:val="00BC26FF"/>
    <w:rsid w:val="00BC2717"/>
    <w:rsid w:val="00BC276A"/>
    <w:rsid w:val="00BC27EF"/>
    <w:rsid w:val="00BC27FE"/>
    <w:rsid w:val="00BC2A83"/>
    <w:rsid w:val="00BC2ACF"/>
    <w:rsid w:val="00BC2B35"/>
    <w:rsid w:val="00BC2BE5"/>
    <w:rsid w:val="00BC2CA2"/>
    <w:rsid w:val="00BC2DB2"/>
    <w:rsid w:val="00BC2ED8"/>
    <w:rsid w:val="00BC2F05"/>
    <w:rsid w:val="00BC3002"/>
    <w:rsid w:val="00BC3018"/>
    <w:rsid w:val="00BC308E"/>
    <w:rsid w:val="00BC30FF"/>
    <w:rsid w:val="00BC3109"/>
    <w:rsid w:val="00BC316A"/>
    <w:rsid w:val="00BC3319"/>
    <w:rsid w:val="00BC3332"/>
    <w:rsid w:val="00BC33DC"/>
    <w:rsid w:val="00BC343E"/>
    <w:rsid w:val="00BC34CA"/>
    <w:rsid w:val="00BC38A2"/>
    <w:rsid w:val="00BC3A50"/>
    <w:rsid w:val="00BC3A89"/>
    <w:rsid w:val="00BC3AA6"/>
    <w:rsid w:val="00BC3AAC"/>
    <w:rsid w:val="00BC3AFF"/>
    <w:rsid w:val="00BC3B05"/>
    <w:rsid w:val="00BC3BDA"/>
    <w:rsid w:val="00BC3C83"/>
    <w:rsid w:val="00BC3CB0"/>
    <w:rsid w:val="00BC3D13"/>
    <w:rsid w:val="00BC3E4C"/>
    <w:rsid w:val="00BC3EBF"/>
    <w:rsid w:val="00BC3F05"/>
    <w:rsid w:val="00BC3F2A"/>
    <w:rsid w:val="00BC3F69"/>
    <w:rsid w:val="00BC4078"/>
    <w:rsid w:val="00BC4189"/>
    <w:rsid w:val="00BC42CD"/>
    <w:rsid w:val="00BC440D"/>
    <w:rsid w:val="00BC4447"/>
    <w:rsid w:val="00BC4448"/>
    <w:rsid w:val="00BC4576"/>
    <w:rsid w:val="00BC45CC"/>
    <w:rsid w:val="00BC46C1"/>
    <w:rsid w:val="00BC46D7"/>
    <w:rsid w:val="00BC4819"/>
    <w:rsid w:val="00BC4847"/>
    <w:rsid w:val="00BC4A21"/>
    <w:rsid w:val="00BC4A83"/>
    <w:rsid w:val="00BC4A9F"/>
    <w:rsid w:val="00BC4B5C"/>
    <w:rsid w:val="00BC4BD6"/>
    <w:rsid w:val="00BC4BEE"/>
    <w:rsid w:val="00BC4CA0"/>
    <w:rsid w:val="00BC4CA2"/>
    <w:rsid w:val="00BC4D9F"/>
    <w:rsid w:val="00BC4E85"/>
    <w:rsid w:val="00BC4E96"/>
    <w:rsid w:val="00BC4EDF"/>
    <w:rsid w:val="00BC4FBD"/>
    <w:rsid w:val="00BC5038"/>
    <w:rsid w:val="00BC504D"/>
    <w:rsid w:val="00BC51CD"/>
    <w:rsid w:val="00BC5296"/>
    <w:rsid w:val="00BC52AA"/>
    <w:rsid w:val="00BC54DD"/>
    <w:rsid w:val="00BC5543"/>
    <w:rsid w:val="00BC566C"/>
    <w:rsid w:val="00BC56A6"/>
    <w:rsid w:val="00BC589C"/>
    <w:rsid w:val="00BC599B"/>
    <w:rsid w:val="00BC5B7E"/>
    <w:rsid w:val="00BC5B88"/>
    <w:rsid w:val="00BC5BDD"/>
    <w:rsid w:val="00BC5C91"/>
    <w:rsid w:val="00BC5D14"/>
    <w:rsid w:val="00BC5DBA"/>
    <w:rsid w:val="00BC5DC8"/>
    <w:rsid w:val="00BC5FEA"/>
    <w:rsid w:val="00BC6054"/>
    <w:rsid w:val="00BC61E5"/>
    <w:rsid w:val="00BC6383"/>
    <w:rsid w:val="00BC6491"/>
    <w:rsid w:val="00BC6500"/>
    <w:rsid w:val="00BC66B3"/>
    <w:rsid w:val="00BC6709"/>
    <w:rsid w:val="00BC6715"/>
    <w:rsid w:val="00BC67E2"/>
    <w:rsid w:val="00BC6899"/>
    <w:rsid w:val="00BC689B"/>
    <w:rsid w:val="00BC68BC"/>
    <w:rsid w:val="00BC698C"/>
    <w:rsid w:val="00BC6A12"/>
    <w:rsid w:val="00BC6A87"/>
    <w:rsid w:val="00BC6ACC"/>
    <w:rsid w:val="00BC6C13"/>
    <w:rsid w:val="00BC6D0E"/>
    <w:rsid w:val="00BC6DBA"/>
    <w:rsid w:val="00BC6FF4"/>
    <w:rsid w:val="00BC705F"/>
    <w:rsid w:val="00BC71D9"/>
    <w:rsid w:val="00BC7296"/>
    <w:rsid w:val="00BC72ED"/>
    <w:rsid w:val="00BC73EA"/>
    <w:rsid w:val="00BC750A"/>
    <w:rsid w:val="00BC7529"/>
    <w:rsid w:val="00BC766F"/>
    <w:rsid w:val="00BC76B5"/>
    <w:rsid w:val="00BC7714"/>
    <w:rsid w:val="00BC77F5"/>
    <w:rsid w:val="00BC7840"/>
    <w:rsid w:val="00BC789C"/>
    <w:rsid w:val="00BC7AC2"/>
    <w:rsid w:val="00BC7AFD"/>
    <w:rsid w:val="00BC7BF9"/>
    <w:rsid w:val="00BC7C6A"/>
    <w:rsid w:val="00BC7DCF"/>
    <w:rsid w:val="00BC7DFE"/>
    <w:rsid w:val="00BC7E8D"/>
    <w:rsid w:val="00BC7F89"/>
    <w:rsid w:val="00BC7FE0"/>
    <w:rsid w:val="00BD011A"/>
    <w:rsid w:val="00BD0357"/>
    <w:rsid w:val="00BD062A"/>
    <w:rsid w:val="00BD06F6"/>
    <w:rsid w:val="00BD07E0"/>
    <w:rsid w:val="00BD081C"/>
    <w:rsid w:val="00BD0886"/>
    <w:rsid w:val="00BD08A5"/>
    <w:rsid w:val="00BD09B2"/>
    <w:rsid w:val="00BD0BBF"/>
    <w:rsid w:val="00BD0BDC"/>
    <w:rsid w:val="00BD0BEE"/>
    <w:rsid w:val="00BD0C2A"/>
    <w:rsid w:val="00BD0D51"/>
    <w:rsid w:val="00BD0F12"/>
    <w:rsid w:val="00BD0FF8"/>
    <w:rsid w:val="00BD1008"/>
    <w:rsid w:val="00BD127F"/>
    <w:rsid w:val="00BD141E"/>
    <w:rsid w:val="00BD1428"/>
    <w:rsid w:val="00BD1474"/>
    <w:rsid w:val="00BD1532"/>
    <w:rsid w:val="00BD1581"/>
    <w:rsid w:val="00BD15C8"/>
    <w:rsid w:val="00BD16F9"/>
    <w:rsid w:val="00BD1709"/>
    <w:rsid w:val="00BD1736"/>
    <w:rsid w:val="00BD17D2"/>
    <w:rsid w:val="00BD17F4"/>
    <w:rsid w:val="00BD17F6"/>
    <w:rsid w:val="00BD1862"/>
    <w:rsid w:val="00BD1A56"/>
    <w:rsid w:val="00BD1A5F"/>
    <w:rsid w:val="00BD1B0A"/>
    <w:rsid w:val="00BD1B6C"/>
    <w:rsid w:val="00BD1B96"/>
    <w:rsid w:val="00BD1D65"/>
    <w:rsid w:val="00BD1DA9"/>
    <w:rsid w:val="00BD201A"/>
    <w:rsid w:val="00BD2030"/>
    <w:rsid w:val="00BD20A8"/>
    <w:rsid w:val="00BD22B2"/>
    <w:rsid w:val="00BD2336"/>
    <w:rsid w:val="00BD2382"/>
    <w:rsid w:val="00BD247A"/>
    <w:rsid w:val="00BD25F2"/>
    <w:rsid w:val="00BD26D4"/>
    <w:rsid w:val="00BD26DA"/>
    <w:rsid w:val="00BD27C0"/>
    <w:rsid w:val="00BD288E"/>
    <w:rsid w:val="00BD28D2"/>
    <w:rsid w:val="00BD294F"/>
    <w:rsid w:val="00BD296E"/>
    <w:rsid w:val="00BD2ACA"/>
    <w:rsid w:val="00BD2B26"/>
    <w:rsid w:val="00BD2C24"/>
    <w:rsid w:val="00BD2E68"/>
    <w:rsid w:val="00BD2FF9"/>
    <w:rsid w:val="00BD301B"/>
    <w:rsid w:val="00BD313B"/>
    <w:rsid w:val="00BD317C"/>
    <w:rsid w:val="00BD33C1"/>
    <w:rsid w:val="00BD33F2"/>
    <w:rsid w:val="00BD34AC"/>
    <w:rsid w:val="00BD3803"/>
    <w:rsid w:val="00BD388A"/>
    <w:rsid w:val="00BD3BC3"/>
    <w:rsid w:val="00BD3BF8"/>
    <w:rsid w:val="00BD3CC1"/>
    <w:rsid w:val="00BD3D72"/>
    <w:rsid w:val="00BD3DA5"/>
    <w:rsid w:val="00BD3E40"/>
    <w:rsid w:val="00BD3E67"/>
    <w:rsid w:val="00BD3EEE"/>
    <w:rsid w:val="00BD3F44"/>
    <w:rsid w:val="00BD3F78"/>
    <w:rsid w:val="00BD3FB3"/>
    <w:rsid w:val="00BD3FEE"/>
    <w:rsid w:val="00BD4010"/>
    <w:rsid w:val="00BD4049"/>
    <w:rsid w:val="00BD40AB"/>
    <w:rsid w:val="00BD40BC"/>
    <w:rsid w:val="00BD41E3"/>
    <w:rsid w:val="00BD420C"/>
    <w:rsid w:val="00BD422F"/>
    <w:rsid w:val="00BD4315"/>
    <w:rsid w:val="00BD435C"/>
    <w:rsid w:val="00BD435E"/>
    <w:rsid w:val="00BD445E"/>
    <w:rsid w:val="00BD4469"/>
    <w:rsid w:val="00BD4524"/>
    <w:rsid w:val="00BD4534"/>
    <w:rsid w:val="00BD455B"/>
    <w:rsid w:val="00BD45BB"/>
    <w:rsid w:val="00BD463A"/>
    <w:rsid w:val="00BD464C"/>
    <w:rsid w:val="00BD46A3"/>
    <w:rsid w:val="00BD46A8"/>
    <w:rsid w:val="00BD46AA"/>
    <w:rsid w:val="00BD46BA"/>
    <w:rsid w:val="00BD4758"/>
    <w:rsid w:val="00BD4B78"/>
    <w:rsid w:val="00BD4BCD"/>
    <w:rsid w:val="00BD4D63"/>
    <w:rsid w:val="00BD4D7C"/>
    <w:rsid w:val="00BD4ED5"/>
    <w:rsid w:val="00BD5160"/>
    <w:rsid w:val="00BD525C"/>
    <w:rsid w:val="00BD52A7"/>
    <w:rsid w:val="00BD5387"/>
    <w:rsid w:val="00BD5432"/>
    <w:rsid w:val="00BD55C3"/>
    <w:rsid w:val="00BD56E2"/>
    <w:rsid w:val="00BD5755"/>
    <w:rsid w:val="00BD589D"/>
    <w:rsid w:val="00BD599F"/>
    <w:rsid w:val="00BD5A5F"/>
    <w:rsid w:val="00BD5B68"/>
    <w:rsid w:val="00BD5B8D"/>
    <w:rsid w:val="00BD5C4B"/>
    <w:rsid w:val="00BD5DC9"/>
    <w:rsid w:val="00BD5E35"/>
    <w:rsid w:val="00BD5F21"/>
    <w:rsid w:val="00BD5FA8"/>
    <w:rsid w:val="00BD5FDB"/>
    <w:rsid w:val="00BD6042"/>
    <w:rsid w:val="00BD60A8"/>
    <w:rsid w:val="00BD60BB"/>
    <w:rsid w:val="00BD611A"/>
    <w:rsid w:val="00BD6123"/>
    <w:rsid w:val="00BD63D1"/>
    <w:rsid w:val="00BD6455"/>
    <w:rsid w:val="00BD65A8"/>
    <w:rsid w:val="00BD66D5"/>
    <w:rsid w:val="00BD66DA"/>
    <w:rsid w:val="00BD672B"/>
    <w:rsid w:val="00BD688D"/>
    <w:rsid w:val="00BD6A2C"/>
    <w:rsid w:val="00BD6A32"/>
    <w:rsid w:val="00BD6ADA"/>
    <w:rsid w:val="00BD6B60"/>
    <w:rsid w:val="00BD6BBE"/>
    <w:rsid w:val="00BD6C7C"/>
    <w:rsid w:val="00BD6D74"/>
    <w:rsid w:val="00BD6F4B"/>
    <w:rsid w:val="00BD6F8B"/>
    <w:rsid w:val="00BD703A"/>
    <w:rsid w:val="00BD70DF"/>
    <w:rsid w:val="00BD7102"/>
    <w:rsid w:val="00BD71BE"/>
    <w:rsid w:val="00BD71D4"/>
    <w:rsid w:val="00BD722D"/>
    <w:rsid w:val="00BD7298"/>
    <w:rsid w:val="00BD7302"/>
    <w:rsid w:val="00BD740A"/>
    <w:rsid w:val="00BD74D2"/>
    <w:rsid w:val="00BD754B"/>
    <w:rsid w:val="00BD75ED"/>
    <w:rsid w:val="00BD7605"/>
    <w:rsid w:val="00BD760E"/>
    <w:rsid w:val="00BD7805"/>
    <w:rsid w:val="00BD7825"/>
    <w:rsid w:val="00BD784D"/>
    <w:rsid w:val="00BD799D"/>
    <w:rsid w:val="00BD7AEC"/>
    <w:rsid w:val="00BD7B78"/>
    <w:rsid w:val="00BD7B7E"/>
    <w:rsid w:val="00BD7C3E"/>
    <w:rsid w:val="00BD7CDC"/>
    <w:rsid w:val="00BD7D04"/>
    <w:rsid w:val="00BD7D51"/>
    <w:rsid w:val="00BD7DEA"/>
    <w:rsid w:val="00BD7E14"/>
    <w:rsid w:val="00BE008C"/>
    <w:rsid w:val="00BE0186"/>
    <w:rsid w:val="00BE022F"/>
    <w:rsid w:val="00BE0280"/>
    <w:rsid w:val="00BE02F7"/>
    <w:rsid w:val="00BE042F"/>
    <w:rsid w:val="00BE04F3"/>
    <w:rsid w:val="00BE05A7"/>
    <w:rsid w:val="00BE089F"/>
    <w:rsid w:val="00BE0924"/>
    <w:rsid w:val="00BE0969"/>
    <w:rsid w:val="00BE0AF6"/>
    <w:rsid w:val="00BE0B3A"/>
    <w:rsid w:val="00BE0B76"/>
    <w:rsid w:val="00BE0C3C"/>
    <w:rsid w:val="00BE0DA0"/>
    <w:rsid w:val="00BE0DCB"/>
    <w:rsid w:val="00BE0EBF"/>
    <w:rsid w:val="00BE0EC4"/>
    <w:rsid w:val="00BE0EC5"/>
    <w:rsid w:val="00BE0FCD"/>
    <w:rsid w:val="00BE12F1"/>
    <w:rsid w:val="00BE1482"/>
    <w:rsid w:val="00BE14B9"/>
    <w:rsid w:val="00BE15B2"/>
    <w:rsid w:val="00BE17BB"/>
    <w:rsid w:val="00BE17F4"/>
    <w:rsid w:val="00BE17FE"/>
    <w:rsid w:val="00BE1891"/>
    <w:rsid w:val="00BE19A3"/>
    <w:rsid w:val="00BE1A7E"/>
    <w:rsid w:val="00BE1AE9"/>
    <w:rsid w:val="00BE1B46"/>
    <w:rsid w:val="00BE1BE8"/>
    <w:rsid w:val="00BE1CF6"/>
    <w:rsid w:val="00BE1D30"/>
    <w:rsid w:val="00BE1D4E"/>
    <w:rsid w:val="00BE1D9E"/>
    <w:rsid w:val="00BE1DA8"/>
    <w:rsid w:val="00BE1E74"/>
    <w:rsid w:val="00BE1FBE"/>
    <w:rsid w:val="00BE20C7"/>
    <w:rsid w:val="00BE20CE"/>
    <w:rsid w:val="00BE20F4"/>
    <w:rsid w:val="00BE21A2"/>
    <w:rsid w:val="00BE22D2"/>
    <w:rsid w:val="00BE2333"/>
    <w:rsid w:val="00BE2395"/>
    <w:rsid w:val="00BE25CE"/>
    <w:rsid w:val="00BE2636"/>
    <w:rsid w:val="00BE26E4"/>
    <w:rsid w:val="00BE2707"/>
    <w:rsid w:val="00BE2B06"/>
    <w:rsid w:val="00BE2B94"/>
    <w:rsid w:val="00BE2CF4"/>
    <w:rsid w:val="00BE2D85"/>
    <w:rsid w:val="00BE2DCD"/>
    <w:rsid w:val="00BE2DD6"/>
    <w:rsid w:val="00BE2FF3"/>
    <w:rsid w:val="00BE3057"/>
    <w:rsid w:val="00BE30A0"/>
    <w:rsid w:val="00BE319A"/>
    <w:rsid w:val="00BE320F"/>
    <w:rsid w:val="00BE32BA"/>
    <w:rsid w:val="00BE34A9"/>
    <w:rsid w:val="00BE350C"/>
    <w:rsid w:val="00BE3609"/>
    <w:rsid w:val="00BE377A"/>
    <w:rsid w:val="00BE37DC"/>
    <w:rsid w:val="00BE38F8"/>
    <w:rsid w:val="00BE3926"/>
    <w:rsid w:val="00BE3D59"/>
    <w:rsid w:val="00BE3F64"/>
    <w:rsid w:val="00BE4197"/>
    <w:rsid w:val="00BE4327"/>
    <w:rsid w:val="00BE436E"/>
    <w:rsid w:val="00BE4497"/>
    <w:rsid w:val="00BE456C"/>
    <w:rsid w:val="00BE4695"/>
    <w:rsid w:val="00BE4700"/>
    <w:rsid w:val="00BE4822"/>
    <w:rsid w:val="00BE49B4"/>
    <w:rsid w:val="00BE4A0E"/>
    <w:rsid w:val="00BE4A3B"/>
    <w:rsid w:val="00BE4A81"/>
    <w:rsid w:val="00BE4C29"/>
    <w:rsid w:val="00BE4EC6"/>
    <w:rsid w:val="00BE4F90"/>
    <w:rsid w:val="00BE5085"/>
    <w:rsid w:val="00BE50D7"/>
    <w:rsid w:val="00BE51D2"/>
    <w:rsid w:val="00BE52ED"/>
    <w:rsid w:val="00BE5332"/>
    <w:rsid w:val="00BE542F"/>
    <w:rsid w:val="00BE5669"/>
    <w:rsid w:val="00BE5785"/>
    <w:rsid w:val="00BE5996"/>
    <w:rsid w:val="00BE59E2"/>
    <w:rsid w:val="00BE5A58"/>
    <w:rsid w:val="00BE5B7E"/>
    <w:rsid w:val="00BE5B90"/>
    <w:rsid w:val="00BE5BF3"/>
    <w:rsid w:val="00BE5D32"/>
    <w:rsid w:val="00BE5DCE"/>
    <w:rsid w:val="00BE5E1D"/>
    <w:rsid w:val="00BE5E33"/>
    <w:rsid w:val="00BE5EDE"/>
    <w:rsid w:val="00BE5EEC"/>
    <w:rsid w:val="00BE5F01"/>
    <w:rsid w:val="00BE5F12"/>
    <w:rsid w:val="00BE6414"/>
    <w:rsid w:val="00BE6595"/>
    <w:rsid w:val="00BE65BD"/>
    <w:rsid w:val="00BE6627"/>
    <w:rsid w:val="00BE6678"/>
    <w:rsid w:val="00BE66B2"/>
    <w:rsid w:val="00BE67D6"/>
    <w:rsid w:val="00BE6895"/>
    <w:rsid w:val="00BE68A9"/>
    <w:rsid w:val="00BE697B"/>
    <w:rsid w:val="00BE6A38"/>
    <w:rsid w:val="00BE6A74"/>
    <w:rsid w:val="00BE6AC8"/>
    <w:rsid w:val="00BE6B7B"/>
    <w:rsid w:val="00BE6BD1"/>
    <w:rsid w:val="00BE6CAE"/>
    <w:rsid w:val="00BE6D39"/>
    <w:rsid w:val="00BE6F7C"/>
    <w:rsid w:val="00BE6FB5"/>
    <w:rsid w:val="00BE7359"/>
    <w:rsid w:val="00BE73E8"/>
    <w:rsid w:val="00BE754D"/>
    <w:rsid w:val="00BE757C"/>
    <w:rsid w:val="00BE7595"/>
    <w:rsid w:val="00BE75C8"/>
    <w:rsid w:val="00BE777B"/>
    <w:rsid w:val="00BE7865"/>
    <w:rsid w:val="00BE78B0"/>
    <w:rsid w:val="00BE78FB"/>
    <w:rsid w:val="00BE79B5"/>
    <w:rsid w:val="00BE7A50"/>
    <w:rsid w:val="00BE7A87"/>
    <w:rsid w:val="00BE7B1B"/>
    <w:rsid w:val="00BE7B7B"/>
    <w:rsid w:val="00BE7C04"/>
    <w:rsid w:val="00BE7C11"/>
    <w:rsid w:val="00BE7C4B"/>
    <w:rsid w:val="00BE7CCC"/>
    <w:rsid w:val="00BE7D71"/>
    <w:rsid w:val="00BE7DCD"/>
    <w:rsid w:val="00BE7F3A"/>
    <w:rsid w:val="00BE7F57"/>
    <w:rsid w:val="00BF0005"/>
    <w:rsid w:val="00BF00C3"/>
    <w:rsid w:val="00BF018D"/>
    <w:rsid w:val="00BF0330"/>
    <w:rsid w:val="00BF03B0"/>
    <w:rsid w:val="00BF0552"/>
    <w:rsid w:val="00BF05EB"/>
    <w:rsid w:val="00BF0659"/>
    <w:rsid w:val="00BF066D"/>
    <w:rsid w:val="00BF07D6"/>
    <w:rsid w:val="00BF0868"/>
    <w:rsid w:val="00BF087F"/>
    <w:rsid w:val="00BF08CA"/>
    <w:rsid w:val="00BF0A26"/>
    <w:rsid w:val="00BF0A59"/>
    <w:rsid w:val="00BF0AC1"/>
    <w:rsid w:val="00BF0B73"/>
    <w:rsid w:val="00BF0C60"/>
    <w:rsid w:val="00BF0CE6"/>
    <w:rsid w:val="00BF0CF3"/>
    <w:rsid w:val="00BF0EBC"/>
    <w:rsid w:val="00BF1050"/>
    <w:rsid w:val="00BF11BA"/>
    <w:rsid w:val="00BF11EB"/>
    <w:rsid w:val="00BF1223"/>
    <w:rsid w:val="00BF12A2"/>
    <w:rsid w:val="00BF13F4"/>
    <w:rsid w:val="00BF15AB"/>
    <w:rsid w:val="00BF1631"/>
    <w:rsid w:val="00BF164B"/>
    <w:rsid w:val="00BF168C"/>
    <w:rsid w:val="00BF16D3"/>
    <w:rsid w:val="00BF17E3"/>
    <w:rsid w:val="00BF1902"/>
    <w:rsid w:val="00BF1A57"/>
    <w:rsid w:val="00BF1A69"/>
    <w:rsid w:val="00BF1BF7"/>
    <w:rsid w:val="00BF1CCE"/>
    <w:rsid w:val="00BF1D88"/>
    <w:rsid w:val="00BF1E6E"/>
    <w:rsid w:val="00BF1E90"/>
    <w:rsid w:val="00BF1E95"/>
    <w:rsid w:val="00BF2048"/>
    <w:rsid w:val="00BF2215"/>
    <w:rsid w:val="00BF2246"/>
    <w:rsid w:val="00BF232F"/>
    <w:rsid w:val="00BF23C3"/>
    <w:rsid w:val="00BF23ED"/>
    <w:rsid w:val="00BF2443"/>
    <w:rsid w:val="00BF25C9"/>
    <w:rsid w:val="00BF2635"/>
    <w:rsid w:val="00BF2683"/>
    <w:rsid w:val="00BF273F"/>
    <w:rsid w:val="00BF2748"/>
    <w:rsid w:val="00BF27AC"/>
    <w:rsid w:val="00BF27B8"/>
    <w:rsid w:val="00BF2858"/>
    <w:rsid w:val="00BF28B7"/>
    <w:rsid w:val="00BF2919"/>
    <w:rsid w:val="00BF29D9"/>
    <w:rsid w:val="00BF2AB3"/>
    <w:rsid w:val="00BF2B30"/>
    <w:rsid w:val="00BF2BBD"/>
    <w:rsid w:val="00BF2C1B"/>
    <w:rsid w:val="00BF2C79"/>
    <w:rsid w:val="00BF2CC1"/>
    <w:rsid w:val="00BF2D3C"/>
    <w:rsid w:val="00BF2D7A"/>
    <w:rsid w:val="00BF2EAB"/>
    <w:rsid w:val="00BF2EAD"/>
    <w:rsid w:val="00BF2F5A"/>
    <w:rsid w:val="00BF31FF"/>
    <w:rsid w:val="00BF3272"/>
    <w:rsid w:val="00BF32AF"/>
    <w:rsid w:val="00BF3343"/>
    <w:rsid w:val="00BF3445"/>
    <w:rsid w:val="00BF34A1"/>
    <w:rsid w:val="00BF34DF"/>
    <w:rsid w:val="00BF3551"/>
    <w:rsid w:val="00BF3562"/>
    <w:rsid w:val="00BF3601"/>
    <w:rsid w:val="00BF361C"/>
    <w:rsid w:val="00BF36C5"/>
    <w:rsid w:val="00BF3966"/>
    <w:rsid w:val="00BF3967"/>
    <w:rsid w:val="00BF39BA"/>
    <w:rsid w:val="00BF3CC2"/>
    <w:rsid w:val="00BF3CF1"/>
    <w:rsid w:val="00BF3DD9"/>
    <w:rsid w:val="00BF3F8C"/>
    <w:rsid w:val="00BF3FA2"/>
    <w:rsid w:val="00BF3FF6"/>
    <w:rsid w:val="00BF42AF"/>
    <w:rsid w:val="00BF4324"/>
    <w:rsid w:val="00BF43AD"/>
    <w:rsid w:val="00BF4464"/>
    <w:rsid w:val="00BF44D3"/>
    <w:rsid w:val="00BF4521"/>
    <w:rsid w:val="00BF463F"/>
    <w:rsid w:val="00BF4870"/>
    <w:rsid w:val="00BF48FD"/>
    <w:rsid w:val="00BF4900"/>
    <w:rsid w:val="00BF49AC"/>
    <w:rsid w:val="00BF49BC"/>
    <w:rsid w:val="00BF4B39"/>
    <w:rsid w:val="00BF4DBC"/>
    <w:rsid w:val="00BF4E43"/>
    <w:rsid w:val="00BF4E80"/>
    <w:rsid w:val="00BF4F8E"/>
    <w:rsid w:val="00BF4FEE"/>
    <w:rsid w:val="00BF515F"/>
    <w:rsid w:val="00BF51BF"/>
    <w:rsid w:val="00BF520F"/>
    <w:rsid w:val="00BF5216"/>
    <w:rsid w:val="00BF52CA"/>
    <w:rsid w:val="00BF52F3"/>
    <w:rsid w:val="00BF5556"/>
    <w:rsid w:val="00BF5643"/>
    <w:rsid w:val="00BF575A"/>
    <w:rsid w:val="00BF57EF"/>
    <w:rsid w:val="00BF582E"/>
    <w:rsid w:val="00BF5839"/>
    <w:rsid w:val="00BF5A1F"/>
    <w:rsid w:val="00BF5A42"/>
    <w:rsid w:val="00BF5A6D"/>
    <w:rsid w:val="00BF5C18"/>
    <w:rsid w:val="00BF5CAF"/>
    <w:rsid w:val="00BF5E09"/>
    <w:rsid w:val="00BF5E60"/>
    <w:rsid w:val="00BF5EB9"/>
    <w:rsid w:val="00BF5F2D"/>
    <w:rsid w:val="00BF5F59"/>
    <w:rsid w:val="00BF5FEC"/>
    <w:rsid w:val="00BF60A6"/>
    <w:rsid w:val="00BF60AB"/>
    <w:rsid w:val="00BF61B9"/>
    <w:rsid w:val="00BF61CB"/>
    <w:rsid w:val="00BF62D5"/>
    <w:rsid w:val="00BF6350"/>
    <w:rsid w:val="00BF638F"/>
    <w:rsid w:val="00BF6396"/>
    <w:rsid w:val="00BF6439"/>
    <w:rsid w:val="00BF64F6"/>
    <w:rsid w:val="00BF650E"/>
    <w:rsid w:val="00BF660B"/>
    <w:rsid w:val="00BF6636"/>
    <w:rsid w:val="00BF697F"/>
    <w:rsid w:val="00BF69BE"/>
    <w:rsid w:val="00BF6A5A"/>
    <w:rsid w:val="00BF6C32"/>
    <w:rsid w:val="00BF6D97"/>
    <w:rsid w:val="00BF6DC7"/>
    <w:rsid w:val="00BF6EB0"/>
    <w:rsid w:val="00BF6EBA"/>
    <w:rsid w:val="00BF6FEA"/>
    <w:rsid w:val="00BF7110"/>
    <w:rsid w:val="00BF71B3"/>
    <w:rsid w:val="00BF7205"/>
    <w:rsid w:val="00BF7288"/>
    <w:rsid w:val="00BF72AC"/>
    <w:rsid w:val="00BF7327"/>
    <w:rsid w:val="00BF736B"/>
    <w:rsid w:val="00BF73F4"/>
    <w:rsid w:val="00BF7417"/>
    <w:rsid w:val="00BF7437"/>
    <w:rsid w:val="00BF7472"/>
    <w:rsid w:val="00BF7498"/>
    <w:rsid w:val="00BF769F"/>
    <w:rsid w:val="00BF785E"/>
    <w:rsid w:val="00BF7878"/>
    <w:rsid w:val="00BF788E"/>
    <w:rsid w:val="00BF790A"/>
    <w:rsid w:val="00BF7923"/>
    <w:rsid w:val="00BF7934"/>
    <w:rsid w:val="00BF7AC6"/>
    <w:rsid w:val="00BF7D8B"/>
    <w:rsid w:val="00BF7DD4"/>
    <w:rsid w:val="00BF7E06"/>
    <w:rsid w:val="00BF7EC7"/>
    <w:rsid w:val="00BF7FE1"/>
    <w:rsid w:val="00C00151"/>
    <w:rsid w:val="00C00174"/>
    <w:rsid w:val="00C0019E"/>
    <w:rsid w:val="00C001DB"/>
    <w:rsid w:val="00C0027D"/>
    <w:rsid w:val="00C002B5"/>
    <w:rsid w:val="00C002FC"/>
    <w:rsid w:val="00C00319"/>
    <w:rsid w:val="00C004FD"/>
    <w:rsid w:val="00C00527"/>
    <w:rsid w:val="00C00583"/>
    <w:rsid w:val="00C005EB"/>
    <w:rsid w:val="00C00621"/>
    <w:rsid w:val="00C00838"/>
    <w:rsid w:val="00C00A54"/>
    <w:rsid w:val="00C00A68"/>
    <w:rsid w:val="00C00DA1"/>
    <w:rsid w:val="00C00E2B"/>
    <w:rsid w:val="00C00F55"/>
    <w:rsid w:val="00C01038"/>
    <w:rsid w:val="00C010EB"/>
    <w:rsid w:val="00C0115F"/>
    <w:rsid w:val="00C0121B"/>
    <w:rsid w:val="00C0142E"/>
    <w:rsid w:val="00C01437"/>
    <w:rsid w:val="00C01528"/>
    <w:rsid w:val="00C0159B"/>
    <w:rsid w:val="00C015FB"/>
    <w:rsid w:val="00C01604"/>
    <w:rsid w:val="00C017A9"/>
    <w:rsid w:val="00C017F0"/>
    <w:rsid w:val="00C01A64"/>
    <w:rsid w:val="00C01CDC"/>
    <w:rsid w:val="00C01E9D"/>
    <w:rsid w:val="00C021DA"/>
    <w:rsid w:val="00C02248"/>
    <w:rsid w:val="00C0228A"/>
    <w:rsid w:val="00C022F0"/>
    <w:rsid w:val="00C02389"/>
    <w:rsid w:val="00C023A5"/>
    <w:rsid w:val="00C024BF"/>
    <w:rsid w:val="00C024D3"/>
    <w:rsid w:val="00C025F0"/>
    <w:rsid w:val="00C0270E"/>
    <w:rsid w:val="00C0270F"/>
    <w:rsid w:val="00C02767"/>
    <w:rsid w:val="00C02792"/>
    <w:rsid w:val="00C02846"/>
    <w:rsid w:val="00C02910"/>
    <w:rsid w:val="00C029B6"/>
    <w:rsid w:val="00C02A9A"/>
    <w:rsid w:val="00C02B2E"/>
    <w:rsid w:val="00C02B50"/>
    <w:rsid w:val="00C02B9F"/>
    <w:rsid w:val="00C02BC5"/>
    <w:rsid w:val="00C02BFE"/>
    <w:rsid w:val="00C02C25"/>
    <w:rsid w:val="00C02C5E"/>
    <w:rsid w:val="00C02C94"/>
    <w:rsid w:val="00C02DBB"/>
    <w:rsid w:val="00C02E18"/>
    <w:rsid w:val="00C02E25"/>
    <w:rsid w:val="00C030BE"/>
    <w:rsid w:val="00C030D8"/>
    <w:rsid w:val="00C03286"/>
    <w:rsid w:val="00C033BE"/>
    <w:rsid w:val="00C035A3"/>
    <w:rsid w:val="00C03606"/>
    <w:rsid w:val="00C03629"/>
    <w:rsid w:val="00C03699"/>
    <w:rsid w:val="00C036C5"/>
    <w:rsid w:val="00C036D8"/>
    <w:rsid w:val="00C037BB"/>
    <w:rsid w:val="00C0381F"/>
    <w:rsid w:val="00C03A52"/>
    <w:rsid w:val="00C03B2B"/>
    <w:rsid w:val="00C03EFF"/>
    <w:rsid w:val="00C03F83"/>
    <w:rsid w:val="00C040C9"/>
    <w:rsid w:val="00C04367"/>
    <w:rsid w:val="00C043FE"/>
    <w:rsid w:val="00C045EE"/>
    <w:rsid w:val="00C04672"/>
    <w:rsid w:val="00C04749"/>
    <w:rsid w:val="00C0491C"/>
    <w:rsid w:val="00C04960"/>
    <w:rsid w:val="00C049AE"/>
    <w:rsid w:val="00C04A75"/>
    <w:rsid w:val="00C04AD8"/>
    <w:rsid w:val="00C04B29"/>
    <w:rsid w:val="00C04B64"/>
    <w:rsid w:val="00C05091"/>
    <w:rsid w:val="00C050A3"/>
    <w:rsid w:val="00C050DB"/>
    <w:rsid w:val="00C050E5"/>
    <w:rsid w:val="00C0516D"/>
    <w:rsid w:val="00C051EB"/>
    <w:rsid w:val="00C05297"/>
    <w:rsid w:val="00C05399"/>
    <w:rsid w:val="00C054BF"/>
    <w:rsid w:val="00C05510"/>
    <w:rsid w:val="00C055CE"/>
    <w:rsid w:val="00C0571B"/>
    <w:rsid w:val="00C05804"/>
    <w:rsid w:val="00C0580C"/>
    <w:rsid w:val="00C05855"/>
    <w:rsid w:val="00C058DD"/>
    <w:rsid w:val="00C05A19"/>
    <w:rsid w:val="00C05A66"/>
    <w:rsid w:val="00C05C1D"/>
    <w:rsid w:val="00C05C3C"/>
    <w:rsid w:val="00C05CD7"/>
    <w:rsid w:val="00C05CDA"/>
    <w:rsid w:val="00C05D90"/>
    <w:rsid w:val="00C05EB4"/>
    <w:rsid w:val="00C05EE7"/>
    <w:rsid w:val="00C05F3B"/>
    <w:rsid w:val="00C05F45"/>
    <w:rsid w:val="00C0600A"/>
    <w:rsid w:val="00C06015"/>
    <w:rsid w:val="00C061A1"/>
    <w:rsid w:val="00C06425"/>
    <w:rsid w:val="00C064A1"/>
    <w:rsid w:val="00C06628"/>
    <w:rsid w:val="00C06637"/>
    <w:rsid w:val="00C06683"/>
    <w:rsid w:val="00C066D4"/>
    <w:rsid w:val="00C0677C"/>
    <w:rsid w:val="00C067D2"/>
    <w:rsid w:val="00C068E7"/>
    <w:rsid w:val="00C068FA"/>
    <w:rsid w:val="00C06A91"/>
    <w:rsid w:val="00C06BAC"/>
    <w:rsid w:val="00C06BC9"/>
    <w:rsid w:val="00C06CE1"/>
    <w:rsid w:val="00C06E05"/>
    <w:rsid w:val="00C06F4F"/>
    <w:rsid w:val="00C06FD5"/>
    <w:rsid w:val="00C07073"/>
    <w:rsid w:val="00C07131"/>
    <w:rsid w:val="00C073F3"/>
    <w:rsid w:val="00C074D9"/>
    <w:rsid w:val="00C0768E"/>
    <w:rsid w:val="00C076D3"/>
    <w:rsid w:val="00C078A8"/>
    <w:rsid w:val="00C078C8"/>
    <w:rsid w:val="00C078E1"/>
    <w:rsid w:val="00C07AF8"/>
    <w:rsid w:val="00C07C27"/>
    <w:rsid w:val="00C07CAC"/>
    <w:rsid w:val="00C07CBC"/>
    <w:rsid w:val="00C07D3F"/>
    <w:rsid w:val="00C07ECB"/>
    <w:rsid w:val="00C07F0F"/>
    <w:rsid w:val="00C10193"/>
    <w:rsid w:val="00C10272"/>
    <w:rsid w:val="00C10301"/>
    <w:rsid w:val="00C10422"/>
    <w:rsid w:val="00C104B1"/>
    <w:rsid w:val="00C10628"/>
    <w:rsid w:val="00C10678"/>
    <w:rsid w:val="00C106C1"/>
    <w:rsid w:val="00C10701"/>
    <w:rsid w:val="00C1080C"/>
    <w:rsid w:val="00C108DF"/>
    <w:rsid w:val="00C10985"/>
    <w:rsid w:val="00C109BD"/>
    <w:rsid w:val="00C10B46"/>
    <w:rsid w:val="00C10C2A"/>
    <w:rsid w:val="00C110BE"/>
    <w:rsid w:val="00C11160"/>
    <w:rsid w:val="00C11201"/>
    <w:rsid w:val="00C11299"/>
    <w:rsid w:val="00C113A6"/>
    <w:rsid w:val="00C11449"/>
    <w:rsid w:val="00C1160C"/>
    <w:rsid w:val="00C11677"/>
    <w:rsid w:val="00C116F2"/>
    <w:rsid w:val="00C117BD"/>
    <w:rsid w:val="00C117FC"/>
    <w:rsid w:val="00C1194E"/>
    <w:rsid w:val="00C11B26"/>
    <w:rsid w:val="00C11D31"/>
    <w:rsid w:val="00C11EC1"/>
    <w:rsid w:val="00C12026"/>
    <w:rsid w:val="00C12036"/>
    <w:rsid w:val="00C12191"/>
    <w:rsid w:val="00C1228C"/>
    <w:rsid w:val="00C12374"/>
    <w:rsid w:val="00C123A1"/>
    <w:rsid w:val="00C1250C"/>
    <w:rsid w:val="00C125BC"/>
    <w:rsid w:val="00C1268B"/>
    <w:rsid w:val="00C1268F"/>
    <w:rsid w:val="00C12809"/>
    <w:rsid w:val="00C1284B"/>
    <w:rsid w:val="00C128D7"/>
    <w:rsid w:val="00C1294A"/>
    <w:rsid w:val="00C12986"/>
    <w:rsid w:val="00C12A8C"/>
    <w:rsid w:val="00C12AB6"/>
    <w:rsid w:val="00C12AE6"/>
    <w:rsid w:val="00C12AFE"/>
    <w:rsid w:val="00C12BC1"/>
    <w:rsid w:val="00C12C1C"/>
    <w:rsid w:val="00C12C2B"/>
    <w:rsid w:val="00C12C37"/>
    <w:rsid w:val="00C12C42"/>
    <w:rsid w:val="00C12C51"/>
    <w:rsid w:val="00C12D69"/>
    <w:rsid w:val="00C12E69"/>
    <w:rsid w:val="00C12F37"/>
    <w:rsid w:val="00C13029"/>
    <w:rsid w:val="00C131FE"/>
    <w:rsid w:val="00C13256"/>
    <w:rsid w:val="00C13282"/>
    <w:rsid w:val="00C1331D"/>
    <w:rsid w:val="00C134B7"/>
    <w:rsid w:val="00C13555"/>
    <w:rsid w:val="00C13560"/>
    <w:rsid w:val="00C135E5"/>
    <w:rsid w:val="00C13860"/>
    <w:rsid w:val="00C13958"/>
    <w:rsid w:val="00C139F7"/>
    <w:rsid w:val="00C13A5E"/>
    <w:rsid w:val="00C13A62"/>
    <w:rsid w:val="00C13AA6"/>
    <w:rsid w:val="00C13B66"/>
    <w:rsid w:val="00C13BCD"/>
    <w:rsid w:val="00C13E11"/>
    <w:rsid w:val="00C13E54"/>
    <w:rsid w:val="00C13EA2"/>
    <w:rsid w:val="00C13FB6"/>
    <w:rsid w:val="00C141F0"/>
    <w:rsid w:val="00C14278"/>
    <w:rsid w:val="00C1430F"/>
    <w:rsid w:val="00C145E9"/>
    <w:rsid w:val="00C14634"/>
    <w:rsid w:val="00C146C0"/>
    <w:rsid w:val="00C147F5"/>
    <w:rsid w:val="00C1483D"/>
    <w:rsid w:val="00C1486D"/>
    <w:rsid w:val="00C149FC"/>
    <w:rsid w:val="00C14AA0"/>
    <w:rsid w:val="00C14B8E"/>
    <w:rsid w:val="00C14C9B"/>
    <w:rsid w:val="00C14CC8"/>
    <w:rsid w:val="00C14DA6"/>
    <w:rsid w:val="00C14E35"/>
    <w:rsid w:val="00C14F32"/>
    <w:rsid w:val="00C14F38"/>
    <w:rsid w:val="00C14F4A"/>
    <w:rsid w:val="00C15164"/>
    <w:rsid w:val="00C1518C"/>
    <w:rsid w:val="00C15213"/>
    <w:rsid w:val="00C152B3"/>
    <w:rsid w:val="00C153B4"/>
    <w:rsid w:val="00C1542A"/>
    <w:rsid w:val="00C15665"/>
    <w:rsid w:val="00C156A0"/>
    <w:rsid w:val="00C1570F"/>
    <w:rsid w:val="00C15755"/>
    <w:rsid w:val="00C15793"/>
    <w:rsid w:val="00C1585C"/>
    <w:rsid w:val="00C15A3F"/>
    <w:rsid w:val="00C15B40"/>
    <w:rsid w:val="00C15B41"/>
    <w:rsid w:val="00C15B97"/>
    <w:rsid w:val="00C15BA9"/>
    <w:rsid w:val="00C15BC1"/>
    <w:rsid w:val="00C15C07"/>
    <w:rsid w:val="00C15FD0"/>
    <w:rsid w:val="00C16024"/>
    <w:rsid w:val="00C1626F"/>
    <w:rsid w:val="00C162A9"/>
    <w:rsid w:val="00C16321"/>
    <w:rsid w:val="00C16471"/>
    <w:rsid w:val="00C16484"/>
    <w:rsid w:val="00C16496"/>
    <w:rsid w:val="00C1650F"/>
    <w:rsid w:val="00C1652C"/>
    <w:rsid w:val="00C16549"/>
    <w:rsid w:val="00C165D7"/>
    <w:rsid w:val="00C165E9"/>
    <w:rsid w:val="00C16653"/>
    <w:rsid w:val="00C16749"/>
    <w:rsid w:val="00C16882"/>
    <w:rsid w:val="00C16925"/>
    <w:rsid w:val="00C16952"/>
    <w:rsid w:val="00C1698F"/>
    <w:rsid w:val="00C16A37"/>
    <w:rsid w:val="00C16B2B"/>
    <w:rsid w:val="00C16BD7"/>
    <w:rsid w:val="00C16BEA"/>
    <w:rsid w:val="00C16CC0"/>
    <w:rsid w:val="00C16E17"/>
    <w:rsid w:val="00C16E73"/>
    <w:rsid w:val="00C16EE6"/>
    <w:rsid w:val="00C16FFC"/>
    <w:rsid w:val="00C17087"/>
    <w:rsid w:val="00C17137"/>
    <w:rsid w:val="00C173E8"/>
    <w:rsid w:val="00C17488"/>
    <w:rsid w:val="00C174A6"/>
    <w:rsid w:val="00C1753A"/>
    <w:rsid w:val="00C17697"/>
    <w:rsid w:val="00C17721"/>
    <w:rsid w:val="00C178DA"/>
    <w:rsid w:val="00C1791F"/>
    <w:rsid w:val="00C17A10"/>
    <w:rsid w:val="00C17AAE"/>
    <w:rsid w:val="00C17BFB"/>
    <w:rsid w:val="00C17C29"/>
    <w:rsid w:val="00C17D20"/>
    <w:rsid w:val="00C17D24"/>
    <w:rsid w:val="00C17E05"/>
    <w:rsid w:val="00C17E90"/>
    <w:rsid w:val="00C20002"/>
    <w:rsid w:val="00C20003"/>
    <w:rsid w:val="00C20140"/>
    <w:rsid w:val="00C201A0"/>
    <w:rsid w:val="00C201BF"/>
    <w:rsid w:val="00C20249"/>
    <w:rsid w:val="00C2027B"/>
    <w:rsid w:val="00C20282"/>
    <w:rsid w:val="00C204C9"/>
    <w:rsid w:val="00C20584"/>
    <w:rsid w:val="00C20729"/>
    <w:rsid w:val="00C207EA"/>
    <w:rsid w:val="00C20985"/>
    <w:rsid w:val="00C20A89"/>
    <w:rsid w:val="00C20C30"/>
    <w:rsid w:val="00C20D3E"/>
    <w:rsid w:val="00C20D70"/>
    <w:rsid w:val="00C20F6B"/>
    <w:rsid w:val="00C21035"/>
    <w:rsid w:val="00C2115C"/>
    <w:rsid w:val="00C2115D"/>
    <w:rsid w:val="00C212B2"/>
    <w:rsid w:val="00C214DB"/>
    <w:rsid w:val="00C21767"/>
    <w:rsid w:val="00C21779"/>
    <w:rsid w:val="00C217C3"/>
    <w:rsid w:val="00C21B12"/>
    <w:rsid w:val="00C21BD5"/>
    <w:rsid w:val="00C21C00"/>
    <w:rsid w:val="00C21D24"/>
    <w:rsid w:val="00C21DBC"/>
    <w:rsid w:val="00C21EBA"/>
    <w:rsid w:val="00C21FBD"/>
    <w:rsid w:val="00C21FD0"/>
    <w:rsid w:val="00C21FE0"/>
    <w:rsid w:val="00C21FEE"/>
    <w:rsid w:val="00C22113"/>
    <w:rsid w:val="00C222A6"/>
    <w:rsid w:val="00C2240C"/>
    <w:rsid w:val="00C22425"/>
    <w:rsid w:val="00C22428"/>
    <w:rsid w:val="00C2251E"/>
    <w:rsid w:val="00C22630"/>
    <w:rsid w:val="00C22672"/>
    <w:rsid w:val="00C227FE"/>
    <w:rsid w:val="00C2282F"/>
    <w:rsid w:val="00C2294B"/>
    <w:rsid w:val="00C22A6C"/>
    <w:rsid w:val="00C22B58"/>
    <w:rsid w:val="00C22BA0"/>
    <w:rsid w:val="00C22BC1"/>
    <w:rsid w:val="00C22BFC"/>
    <w:rsid w:val="00C22CCA"/>
    <w:rsid w:val="00C22CF7"/>
    <w:rsid w:val="00C22D7C"/>
    <w:rsid w:val="00C22E91"/>
    <w:rsid w:val="00C23002"/>
    <w:rsid w:val="00C2309F"/>
    <w:rsid w:val="00C23100"/>
    <w:rsid w:val="00C23144"/>
    <w:rsid w:val="00C23409"/>
    <w:rsid w:val="00C23426"/>
    <w:rsid w:val="00C23619"/>
    <w:rsid w:val="00C236CF"/>
    <w:rsid w:val="00C236F6"/>
    <w:rsid w:val="00C23738"/>
    <w:rsid w:val="00C23938"/>
    <w:rsid w:val="00C23ABB"/>
    <w:rsid w:val="00C23B45"/>
    <w:rsid w:val="00C23C62"/>
    <w:rsid w:val="00C23EFC"/>
    <w:rsid w:val="00C23F22"/>
    <w:rsid w:val="00C23FFC"/>
    <w:rsid w:val="00C2400F"/>
    <w:rsid w:val="00C240A6"/>
    <w:rsid w:val="00C241B8"/>
    <w:rsid w:val="00C24257"/>
    <w:rsid w:val="00C2427D"/>
    <w:rsid w:val="00C2440E"/>
    <w:rsid w:val="00C244CB"/>
    <w:rsid w:val="00C244EC"/>
    <w:rsid w:val="00C24567"/>
    <w:rsid w:val="00C24574"/>
    <w:rsid w:val="00C2458B"/>
    <w:rsid w:val="00C245D5"/>
    <w:rsid w:val="00C2470D"/>
    <w:rsid w:val="00C24902"/>
    <w:rsid w:val="00C24928"/>
    <w:rsid w:val="00C2493F"/>
    <w:rsid w:val="00C249C5"/>
    <w:rsid w:val="00C24AD6"/>
    <w:rsid w:val="00C24C00"/>
    <w:rsid w:val="00C24DF6"/>
    <w:rsid w:val="00C24E9D"/>
    <w:rsid w:val="00C2510E"/>
    <w:rsid w:val="00C2517B"/>
    <w:rsid w:val="00C251EF"/>
    <w:rsid w:val="00C25311"/>
    <w:rsid w:val="00C257C7"/>
    <w:rsid w:val="00C25824"/>
    <w:rsid w:val="00C258C1"/>
    <w:rsid w:val="00C258DC"/>
    <w:rsid w:val="00C25967"/>
    <w:rsid w:val="00C25A3B"/>
    <w:rsid w:val="00C25A95"/>
    <w:rsid w:val="00C25AC5"/>
    <w:rsid w:val="00C25BD2"/>
    <w:rsid w:val="00C25BF1"/>
    <w:rsid w:val="00C25C24"/>
    <w:rsid w:val="00C25CA2"/>
    <w:rsid w:val="00C25D34"/>
    <w:rsid w:val="00C25ED2"/>
    <w:rsid w:val="00C25EEA"/>
    <w:rsid w:val="00C25F17"/>
    <w:rsid w:val="00C2600F"/>
    <w:rsid w:val="00C2603F"/>
    <w:rsid w:val="00C26093"/>
    <w:rsid w:val="00C2623F"/>
    <w:rsid w:val="00C26296"/>
    <w:rsid w:val="00C26351"/>
    <w:rsid w:val="00C26589"/>
    <w:rsid w:val="00C26714"/>
    <w:rsid w:val="00C2678E"/>
    <w:rsid w:val="00C26850"/>
    <w:rsid w:val="00C2689F"/>
    <w:rsid w:val="00C2699E"/>
    <w:rsid w:val="00C26A4D"/>
    <w:rsid w:val="00C26A6A"/>
    <w:rsid w:val="00C26C17"/>
    <w:rsid w:val="00C26CC2"/>
    <w:rsid w:val="00C26D61"/>
    <w:rsid w:val="00C26E40"/>
    <w:rsid w:val="00C26ED5"/>
    <w:rsid w:val="00C27067"/>
    <w:rsid w:val="00C2708A"/>
    <w:rsid w:val="00C27136"/>
    <w:rsid w:val="00C272CB"/>
    <w:rsid w:val="00C27317"/>
    <w:rsid w:val="00C273AA"/>
    <w:rsid w:val="00C27477"/>
    <w:rsid w:val="00C274AF"/>
    <w:rsid w:val="00C2754D"/>
    <w:rsid w:val="00C27641"/>
    <w:rsid w:val="00C276A2"/>
    <w:rsid w:val="00C276B1"/>
    <w:rsid w:val="00C27725"/>
    <w:rsid w:val="00C278E4"/>
    <w:rsid w:val="00C278F1"/>
    <w:rsid w:val="00C27945"/>
    <w:rsid w:val="00C2796D"/>
    <w:rsid w:val="00C27986"/>
    <w:rsid w:val="00C27ABB"/>
    <w:rsid w:val="00C27B7D"/>
    <w:rsid w:val="00C27D15"/>
    <w:rsid w:val="00C3014B"/>
    <w:rsid w:val="00C30164"/>
    <w:rsid w:val="00C301C1"/>
    <w:rsid w:val="00C301DB"/>
    <w:rsid w:val="00C30277"/>
    <w:rsid w:val="00C30285"/>
    <w:rsid w:val="00C302EC"/>
    <w:rsid w:val="00C302F3"/>
    <w:rsid w:val="00C30301"/>
    <w:rsid w:val="00C30335"/>
    <w:rsid w:val="00C30457"/>
    <w:rsid w:val="00C3046A"/>
    <w:rsid w:val="00C30578"/>
    <w:rsid w:val="00C305BD"/>
    <w:rsid w:val="00C305F3"/>
    <w:rsid w:val="00C30674"/>
    <w:rsid w:val="00C306EE"/>
    <w:rsid w:val="00C306FE"/>
    <w:rsid w:val="00C307C2"/>
    <w:rsid w:val="00C307E2"/>
    <w:rsid w:val="00C3091F"/>
    <w:rsid w:val="00C309BE"/>
    <w:rsid w:val="00C30ABB"/>
    <w:rsid w:val="00C30ABD"/>
    <w:rsid w:val="00C30AE2"/>
    <w:rsid w:val="00C30B97"/>
    <w:rsid w:val="00C30CA5"/>
    <w:rsid w:val="00C30D3E"/>
    <w:rsid w:val="00C30ECF"/>
    <w:rsid w:val="00C30F00"/>
    <w:rsid w:val="00C30FB5"/>
    <w:rsid w:val="00C31041"/>
    <w:rsid w:val="00C31102"/>
    <w:rsid w:val="00C3111C"/>
    <w:rsid w:val="00C31155"/>
    <w:rsid w:val="00C31284"/>
    <w:rsid w:val="00C3128F"/>
    <w:rsid w:val="00C31312"/>
    <w:rsid w:val="00C3133A"/>
    <w:rsid w:val="00C314DD"/>
    <w:rsid w:val="00C3153E"/>
    <w:rsid w:val="00C31626"/>
    <w:rsid w:val="00C3169C"/>
    <w:rsid w:val="00C3192A"/>
    <w:rsid w:val="00C31934"/>
    <w:rsid w:val="00C31935"/>
    <w:rsid w:val="00C31AF5"/>
    <w:rsid w:val="00C31B57"/>
    <w:rsid w:val="00C31C81"/>
    <w:rsid w:val="00C31DEC"/>
    <w:rsid w:val="00C31E41"/>
    <w:rsid w:val="00C31EEA"/>
    <w:rsid w:val="00C31F52"/>
    <w:rsid w:val="00C31F9F"/>
    <w:rsid w:val="00C32082"/>
    <w:rsid w:val="00C320DB"/>
    <w:rsid w:val="00C3211B"/>
    <w:rsid w:val="00C3214C"/>
    <w:rsid w:val="00C3238E"/>
    <w:rsid w:val="00C324A0"/>
    <w:rsid w:val="00C32642"/>
    <w:rsid w:val="00C3266B"/>
    <w:rsid w:val="00C32764"/>
    <w:rsid w:val="00C327CF"/>
    <w:rsid w:val="00C328EA"/>
    <w:rsid w:val="00C32982"/>
    <w:rsid w:val="00C32BD7"/>
    <w:rsid w:val="00C32CAF"/>
    <w:rsid w:val="00C32DF4"/>
    <w:rsid w:val="00C32ED0"/>
    <w:rsid w:val="00C32F17"/>
    <w:rsid w:val="00C32F26"/>
    <w:rsid w:val="00C32FA5"/>
    <w:rsid w:val="00C3302A"/>
    <w:rsid w:val="00C33085"/>
    <w:rsid w:val="00C330EB"/>
    <w:rsid w:val="00C3311E"/>
    <w:rsid w:val="00C331B0"/>
    <w:rsid w:val="00C33295"/>
    <w:rsid w:val="00C332D2"/>
    <w:rsid w:val="00C333C5"/>
    <w:rsid w:val="00C333DB"/>
    <w:rsid w:val="00C335CD"/>
    <w:rsid w:val="00C336B7"/>
    <w:rsid w:val="00C33745"/>
    <w:rsid w:val="00C3379E"/>
    <w:rsid w:val="00C339A5"/>
    <w:rsid w:val="00C33A15"/>
    <w:rsid w:val="00C33A7E"/>
    <w:rsid w:val="00C33AFD"/>
    <w:rsid w:val="00C33CAC"/>
    <w:rsid w:val="00C33CE7"/>
    <w:rsid w:val="00C33E71"/>
    <w:rsid w:val="00C33F89"/>
    <w:rsid w:val="00C340FC"/>
    <w:rsid w:val="00C342D9"/>
    <w:rsid w:val="00C343B5"/>
    <w:rsid w:val="00C343EC"/>
    <w:rsid w:val="00C34474"/>
    <w:rsid w:val="00C3447F"/>
    <w:rsid w:val="00C344CC"/>
    <w:rsid w:val="00C34514"/>
    <w:rsid w:val="00C3464E"/>
    <w:rsid w:val="00C346D7"/>
    <w:rsid w:val="00C34726"/>
    <w:rsid w:val="00C3475F"/>
    <w:rsid w:val="00C34938"/>
    <w:rsid w:val="00C3496A"/>
    <w:rsid w:val="00C34986"/>
    <w:rsid w:val="00C349D8"/>
    <w:rsid w:val="00C34A1E"/>
    <w:rsid w:val="00C34A2F"/>
    <w:rsid w:val="00C34A79"/>
    <w:rsid w:val="00C34B7B"/>
    <w:rsid w:val="00C34CF4"/>
    <w:rsid w:val="00C34DD4"/>
    <w:rsid w:val="00C34E06"/>
    <w:rsid w:val="00C34FA2"/>
    <w:rsid w:val="00C35120"/>
    <w:rsid w:val="00C35211"/>
    <w:rsid w:val="00C352D5"/>
    <w:rsid w:val="00C35320"/>
    <w:rsid w:val="00C353EC"/>
    <w:rsid w:val="00C354F4"/>
    <w:rsid w:val="00C35550"/>
    <w:rsid w:val="00C356B5"/>
    <w:rsid w:val="00C357A5"/>
    <w:rsid w:val="00C35831"/>
    <w:rsid w:val="00C358D7"/>
    <w:rsid w:val="00C359C4"/>
    <w:rsid w:val="00C35A66"/>
    <w:rsid w:val="00C35BEF"/>
    <w:rsid w:val="00C35C3E"/>
    <w:rsid w:val="00C35C80"/>
    <w:rsid w:val="00C35D22"/>
    <w:rsid w:val="00C35DA6"/>
    <w:rsid w:val="00C35DE1"/>
    <w:rsid w:val="00C35F56"/>
    <w:rsid w:val="00C35FC9"/>
    <w:rsid w:val="00C3637D"/>
    <w:rsid w:val="00C363D1"/>
    <w:rsid w:val="00C363D6"/>
    <w:rsid w:val="00C365DE"/>
    <w:rsid w:val="00C36630"/>
    <w:rsid w:val="00C367A2"/>
    <w:rsid w:val="00C36994"/>
    <w:rsid w:val="00C36AC7"/>
    <w:rsid w:val="00C36EA3"/>
    <w:rsid w:val="00C36F14"/>
    <w:rsid w:val="00C37011"/>
    <w:rsid w:val="00C37061"/>
    <w:rsid w:val="00C37217"/>
    <w:rsid w:val="00C3721F"/>
    <w:rsid w:val="00C373B2"/>
    <w:rsid w:val="00C373B3"/>
    <w:rsid w:val="00C3748C"/>
    <w:rsid w:val="00C374CE"/>
    <w:rsid w:val="00C37591"/>
    <w:rsid w:val="00C375C8"/>
    <w:rsid w:val="00C37673"/>
    <w:rsid w:val="00C37787"/>
    <w:rsid w:val="00C378C3"/>
    <w:rsid w:val="00C37B58"/>
    <w:rsid w:val="00C37C4A"/>
    <w:rsid w:val="00C37DA4"/>
    <w:rsid w:val="00C4015C"/>
    <w:rsid w:val="00C40185"/>
    <w:rsid w:val="00C40363"/>
    <w:rsid w:val="00C403EF"/>
    <w:rsid w:val="00C40423"/>
    <w:rsid w:val="00C4045B"/>
    <w:rsid w:val="00C40545"/>
    <w:rsid w:val="00C40571"/>
    <w:rsid w:val="00C4063A"/>
    <w:rsid w:val="00C4069C"/>
    <w:rsid w:val="00C406CB"/>
    <w:rsid w:val="00C406EA"/>
    <w:rsid w:val="00C406EC"/>
    <w:rsid w:val="00C40785"/>
    <w:rsid w:val="00C407B8"/>
    <w:rsid w:val="00C40896"/>
    <w:rsid w:val="00C408C1"/>
    <w:rsid w:val="00C408EA"/>
    <w:rsid w:val="00C40931"/>
    <w:rsid w:val="00C40A36"/>
    <w:rsid w:val="00C40A5D"/>
    <w:rsid w:val="00C40AB3"/>
    <w:rsid w:val="00C40CB2"/>
    <w:rsid w:val="00C40DDC"/>
    <w:rsid w:val="00C40FB6"/>
    <w:rsid w:val="00C40FE3"/>
    <w:rsid w:val="00C41085"/>
    <w:rsid w:val="00C4109E"/>
    <w:rsid w:val="00C410E7"/>
    <w:rsid w:val="00C411F2"/>
    <w:rsid w:val="00C41277"/>
    <w:rsid w:val="00C412F0"/>
    <w:rsid w:val="00C4132E"/>
    <w:rsid w:val="00C4143E"/>
    <w:rsid w:val="00C41459"/>
    <w:rsid w:val="00C414FB"/>
    <w:rsid w:val="00C41710"/>
    <w:rsid w:val="00C41942"/>
    <w:rsid w:val="00C41955"/>
    <w:rsid w:val="00C41965"/>
    <w:rsid w:val="00C41D97"/>
    <w:rsid w:val="00C41F33"/>
    <w:rsid w:val="00C4200B"/>
    <w:rsid w:val="00C4205F"/>
    <w:rsid w:val="00C420CD"/>
    <w:rsid w:val="00C42147"/>
    <w:rsid w:val="00C422DF"/>
    <w:rsid w:val="00C42479"/>
    <w:rsid w:val="00C424EE"/>
    <w:rsid w:val="00C4255F"/>
    <w:rsid w:val="00C426A8"/>
    <w:rsid w:val="00C426E8"/>
    <w:rsid w:val="00C4276F"/>
    <w:rsid w:val="00C427E6"/>
    <w:rsid w:val="00C4285C"/>
    <w:rsid w:val="00C42977"/>
    <w:rsid w:val="00C42A7A"/>
    <w:rsid w:val="00C42AE0"/>
    <w:rsid w:val="00C42CA6"/>
    <w:rsid w:val="00C42D1F"/>
    <w:rsid w:val="00C42D5D"/>
    <w:rsid w:val="00C42F8B"/>
    <w:rsid w:val="00C4310A"/>
    <w:rsid w:val="00C4312E"/>
    <w:rsid w:val="00C43196"/>
    <w:rsid w:val="00C43213"/>
    <w:rsid w:val="00C4322B"/>
    <w:rsid w:val="00C43265"/>
    <w:rsid w:val="00C4340D"/>
    <w:rsid w:val="00C43C33"/>
    <w:rsid w:val="00C43D01"/>
    <w:rsid w:val="00C43D8E"/>
    <w:rsid w:val="00C43ED7"/>
    <w:rsid w:val="00C43EEF"/>
    <w:rsid w:val="00C43F14"/>
    <w:rsid w:val="00C43F61"/>
    <w:rsid w:val="00C43F68"/>
    <w:rsid w:val="00C43FE1"/>
    <w:rsid w:val="00C44163"/>
    <w:rsid w:val="00C4430C"/>
    <w:rsid w:val="00C44380"/>
    <w:rsid w:val="00C4439B"/>
    <w:rsid w:val="00C445D7"/>
    <w:rsid w:val="00C445E2"/>
    <w:rsid w:val="00C4466D"/>
    <w:rsid w:val="00C44780"/>
    <w:rsid w:val="00C447B8"/>
    <w:rsid w:val="00C4495C"/>
    <w:rsid w:val="00C4499B"/>
    <w:rsid w:val="00C4499C"/>
    <w:rsid w:val="00C44A89"/>
    <w:rsid w:val="00C44A93"/>
    <w:rsid w:val="00C44DE8"/>
    <w:rsid w:val="00C450D9"/>
    <w:rsid w:val="00C45123"/>
    <w:rsid w:val="00C451F3"/>
    <w:rsid w:val="00C45293"/>
    <w:rsid w:val="00C453B4"/>
    <w:rsid w:val="00C45424"/>
    <w:rsid w:val="00C45459"/>
    <w:rsid w:val="00C45640"/>
    <w:rsid w:val="00C456ED"/>
    <w:rsid w:val="00C45716"/>
    <w:rsid w:val="00C45770"/>
    <w:rsid w:val="00C459B2"/>
    <w:rsid w:val="00C45C31"/>
    <w:rsid w:val="00C45C70"/>
    <w:rsid w:val="00C45CD7"/>
    <w:rsid w:val="00C45EDF"/>
    <w:rsid w:val="00C45F66"/>
    <w:rsid w:val="00C460AA"/>
    <w:rsid w:val="00C462EC"/>
    <w:rsid w:val="00C4632A"/>
    <w:rsid w:val="00C466B7"/>
    <w:rsid w:val="00C4690C"/>
    <w:rsid w:val="00C46955"/>
    <w:rsid w:val="00C46B0F"/>
    <w:rsid w:val="00C46B73"/>
    <w:rsid w:val="00C46B8E"/>
    <w:rsid w:val="00C46FC6"/>
    <w:rsid w:val="00C4737A"/>
    <w:rsid w:val="00C473AB"/>
    <w:rsid w:val="00C473CC"/>
    <w:rsid w:val="00C47422"/>
    <w:rsid w:val="00C47550"/>
    <w:rsid w:val="00C4792B"/>
    <w:rsid w:val="00C479F7"/>
    <w:rsid w:val="00C47AC7"/>
    <w:rsid w:val="00C47B80"/>
    <w:rsid w:val="00C47C89"/>
    <w:rsid w:val="00C47C93"/>
    <w:rsid w:val="00C47CF4"/>
    <w:rsid w:val="00C47D23"/>
    <w:rsid w:val="00C47D3A"/>
    <w:rsid w:val="00C47D45"/>
    <w:rsid w:val="00C47D5E"/>
    <w:rsid w:val="00C47E34"/>
    <w:rsid w:val="00C5003E"/>
    <w:rsid w:val="00C50097"/>
    <w:rsid w:val="00C50484"/>
    <w:rsid w:val="00C50490"/>
    <w:rsid w:val="00C504E0"/>
    <w:rsid w:val="00C5058A"/>
    <w:rsid w:val="00C505E9"/>
    <w:rsid w:val="00C50645"/>
    <w:rsid w:val="00C5066D"/>
    <w:rsid w:val="00C506DC"/>
    <w:rsid w:val="00C507C8"/>
    <w:rsid w:val="00C5082F"/>
    <w:rsid w:val="00C5090E"/>
    <w:rsid w:val="00C50925"/>
    <w:rsid w:val="00C5094A"/>
    <w:rsid w:val="00C50C09"/>
    <w:rsid w:val="00C50C0F"/>
    <w:rsid w:val="00C50CA9"/>
    <w:rsid w:val="00C50E10"/>
    <w:rsid w:val="00C50F49"/>
    <w:rsid w:val="00C50FCB"/>
    <w:rsid w:val="00C51067"/>
    <w:rsid w:val="00C51086"/>
    <w:rsid w:val="00C51088"/>
    <w:rsid w:val="00C510A4"/>
    <w:rsid w:val="00C51224"/>
    <w:rsid w:val="00C5124B"/>
    <w:rsid w:val="00C5129A"/>
    <w:rsid w:val="00C513CB"/>
    <w:rsid w:val="00C5143B"/>
    <w:rsid w:val="00C514BD"/>
    <w:rsid w:val="00C51685"/>
    <w:rsid w:val="00C51756"/>
    <w:rsid w:val="00C5186F"/>
    <w:rsid w:val="00C518BE"/>
    <w:rsid w:val="00C51B0A"/>
    <w:rsid w:val="00C51B64"/>
    <w:rsid w:val="00C51BB9"/>
    <w:rsid w:val="00C51CD8"/>
    <w:rsid w:val="00C51E8C"/>
    <w:rsid w:val="00C51F15"/>
    <w:rsid w:val="00C51F58"/>
    <w:rsid w:val="00C51FB3"/>
    <w:rsid w:val="00C52082"/>
    <w:rsid w:val="00C52311"/>
    <w:rsid w:val="00C52320"/>
    <w:rsid w:val="00C52394"/>
    <w:rsid w:val="00C523E1"/>
    <w:rsid w:val="00C52526"/>
    <w:rsid w:val="00C52587"/>
    <w:rsid w:val="00C525E3"/>
    <w:rsid w:val="00C526DB"/>
    <w:rsid w:val="00C527ED"/>
    <w:rsid w:val="00C52825"/>
    <w:rsid w:val="00C52A15"/>
    <w:rsid w:val="00C52C00"/>
    <w:rsid w:val="00C52E4C"/>
    <w:rsid w:val="00C52E65"/>
    <w:rsid w:val="00C52EE1"/>
    <w:rsid w:val="00C52FAC"/>
    <w:rsid w:val="00C52FED"/>
    <w:rsid w:val="00C53143"/>
    <w:rsid w:val="00C535DB"/>
    <w:rsid w:val="00C5369B"/>
    <w:rsid w:val="00C536E4"/>
    <w:rsid w:val="00C53806"/>
    <w:rsid w:val="00C5390F"/>
    <w:rsid w:val="00C539BD"/>
    <w:rsid w:val="00C53A26"/>
    <w:rsid w:val="00C53A30"/>
    <w:rsid w:val="00C53AE8"/>
    <w:rsid w:val="00C53B89"/>
    <w:rsid w:val="00C53C8D"/>
    <w:rsid w:val="00C53EBF"/>
    <w:rsid w:val="00C54029"/>
    <w:rsid w:val="00C54056"/>
    <w:rsid w:val="00C540A3"/>
    <w:rsid w:val="00C54494"/>
    <w:rsid w:val="00C5463B"/>
    <w:rsid w:val="00C5472D"/>
    <w:rsid w:val="00C5473B"/>
    <w:rsid w:val="00C54741"/>
    <w:rsid w:val="00C54748"/>
    <w:rsid w:val="00C54749"/>
    <w:rsid w:val="00C54777"/>
    <w:rsid w:val="00C547BE"/>
    <w:rsid w:val="00C5486F"/>
    <w:rsid w:val="00C549B4"/>
    <w:rsid w:val="00C54A87"/>
    <w:rsid w:val="00C54AD6"/>
    <w:rsid w:val="00C54C09"/>
    <w:rsid w:val="00C54C51"/>
    <w:rsid w:val="00C54DAB"/>
    <w:rsid w:val="00C54E02"/>
    <w:rsid w:val="00C54E1C"/>
    <w:rsid w:val="00C54EB8"/>
    <w:rsid w:val="00C54F98"/>
    <w:rsid w:val="00C5500D"/>
    <w:rsid w:val="00C5501A"/>
    <w:rsid w:val="00C550F9"/>
    <w:rsid w:val="00C5512F"/>
    <w:rsid w:val="00C55201"/>
    <w:rsid w:val="00C5525A"/>
    <w:rsid w:val="00C55334"/>
    <w:rsid w:val="00C5533A"/>
    <w:rsid w:val="00C5533C"/>
    <w:rsid w:val="00C553B4"/>
    <w:rsid w:val="00C554AF"/>
    <w:rsid w:val="00C55545"/>
    <w:rsid w:val="00C557BA"/>
    <w:rsid w:val="00C5581A"/>
    <w:rsid w:val="00C5592B"/>
    <w:rsid w:val="00C55949"/>
    <w:rsid w:val="00C55A84"/>
    <w:rsid w:val="00C55C92"/>
    <w:rsid w:val="00C55DAE"/>
    <w:rsid w:val="00C55E5A"/>
    <w:rsid w:val="00C55EB6"/>
    <w:rsid w:val="00C55EEB"/>
    <w:rsid w:val="00C56036"/>
    <w:rsid w:val="00C560B1"/>
    <w:rsid w:val="00C560E7"/>
    <w:rsid w:val="00C5614E"/>
    <w:rsid w:val="00C56170"/>
    <w:rsid w:val="00C5641A"/>
    <w:rsid w:val="00C56626"/>
    <w:rsid w:val="00C567E0"/>
    <w:rsid w:val="00C568CA"/>
    <w:rsid w:val="00C569B1"/>
    <w:rsid w:val="00C569D0"/>
    <w:rsid w:val="00C56A40"/>
    <w:rsid w:val="00C56B95"/>
    <w:rsid w:val="00C56BBA"/>
    <w:rsid w:val="00C56C71"/>
    <w:rsid w:val="00C56CDD"/>
    <w:rsid w:val="00C56D0D"/>
    <w:rsid w:val="00C56DAE"/>
    <w:rsid w:val="00C5710E"/>
    <w:rsid w:val="00C57226"/>
    <w:rsid w:val="00C57322"/>
    <w:rsid w:val="00C57332"/>
    <w:rsid w:val="00C5744C"/>
    <w:rsid w:val="00C574B5"/>
    <w:rsid w:val="00C5750C"/>
    <w:rsid w:val="00C575F7"/>
    <w:rsid w:val="00C57600"/>
    <w:rsid w:val="00C5767C"/>
    <w:rsid w:val="00C576D2"/>
    <w:rsid w:val="00C577A8"/>
    <w:rsid w:val="00C5791E"/>
    <w:rsid w:val="00C579E5"/>
    <w:rsid w:val="00C57AE3"/>
    <w:rsid w:val="00C57AE9"/>
    <w:rsid w:val="00C57C6D"/>
    <w:rsid w:val="00C57D6E"/>
    <w:rsid w:val="00C57D9F"/>
    <w:rsid w:val="00C57E6D"/>
    <w:rsid w:val="00C57EBF"/>
    <w:rsid w:val="00C57ED1"/>
    <w:rsid w:val="00C57EF1"/>
    <w:rsid w:val="00C57FCC"/>
    <w:rsid w:val="00C60024"/>
    <w:rsid w:val="00C600C7"/>
    <w:rsid w:val="00C60101"/>
    <w:rsid w:val="00C6013F"/>
    <w:rsid w:val="00C6023E"/>
    <w:rsid w:val="00C6028F"/>
    <w:rsid w:val="00C602A9"/>
    <w:rsid w:val="00C604E0"/>
    <w:rsid w:val="00C6066A"/>
    <w:rsid w:val="00C606B9"/>
    <w:rsid w:val="00C60747"/>
    <w:rsid w:val="00C60766"/>
    <w:rsid w:val="00C60782"/>
    <w:rsid w:val="00C607D9"/>
    <w:rsid w:val="00C6086C"/>
    <w:rsid w:val="00C60929"/>
    <w:rsid w:val="00C609BF"/>
    <w:rsid w:val="00C60B89"/>
    <w:rsid w:val="00C60C59"/>
    <w:rsid w:val="00C60C8F"/>
    <w:rsid w:val="00C60D4C"/>
    <w:rsid w:val="00C60EA8"/>
    <w:rsid w:val="00C60EC3"/>
    <w:rsid w:val="00C60FF5"/>
    <w:rsid w:val="00C61030"/>
    <w:rsid w:val="00C61031"/>
    <w:rsid w:val="00C61177"/>
    <w:rsid w:val="00C61187"/>
    <w:rsid w:val="00C613EB"/>
    <w:rsid w:val="00C6141B"/>
    <w:rsid w:val="00C614AA"/>
    <w:rsid w:val="00C6157E"/>
    <w:rsid w:val="00C61585"/>
    <w:rsid w:val="00C6160C"/>
    <w:rsid w:val="00C6177A"/>
    <w:rsid w:val="00C6193D"/>
    <w:rsid w:val="00C61A3C"/>
    <w:rsid w:val="00C61A4A"/>
    <w:rsid w:val="00C61A5C"/>
    <w:rsid w:val="00C61C23"/>
    <w:rsid w:val="00C61E9D"/>
    <w:rsid w:val="00C61EC8"/>
    <w:rsid w:val="00C61ECF"/>
    <w:rsid w:val="00C6207E"/>
    <w:rsid w:val="00C62114"/>
    <w:rsid w:val="00C62189"/>
    <w:rsid w:val="00C62230"/>
    <w:rsid w:val="00C6223F"/>
    <w:rsid w:val="00C62304"/>
    <w:rsid w:val="00C62373"/>
    <w:rsid w:val="00C623BC"/>
    <w:rsid w:val="00C6248C"/>
    <w:rsid w:val="00C624D9"/>
    <w:rsid w:val="00C62535"/>
    <w:rsid w:val="00C6254A"/>
    <w:rsid w:val="00C626A5"/>
    <w:rsid w:val="00C62789"/>
    <w:rsid w:val="00C62827"/>
    <w:rsid w:val="00C628FF"/>
    <w:rsid w:val="00C62907"/>
    <w:rsid w:val="00C629E2"/>
    <w:rsid w:val="00C62A23"/>
    <w:rsid w:val="00C62A88"/>
    <w:rsid w:val="00C62ADC"/>
    <w:rsid w:val="00C62BBC"/>
    <w:rsid w:val="00C62C75"/>
    <w:rsid w:val="00C62C91"/>
    <w:rsid w:val="00C62CC0"/>
    <w:rsid w:val="00C62CFD"/>
    <w:rsid w:val="00C62D99"/>
    <w:rsid w:val="00C62F00"/>
    <w:rsid w:val="00C62FC1"/>
    <w:rsid w:val="00C6302B"/>
    <w:rsid w:val="00C6308C"/>
    <w:rsid w:val="00C630EB"/>
    <w:rsid w:val="00C631C8"/>
    <w:rsid w:val="00C631E6"/>
    <w:rsid w:val="00C63226"/>
    <w:rsid w:val="00C63381"/>
    <w:rsid w:val="00C634EF"/>
    <w:rsid w:val="00C6350F"/>
    <w:rsid w:val="00C63532"/>
    <w:rsid w:val="00C6355D"/>
    <w:rsid w:val="00C6363F"/>
    <w:rsid w:val="00C63641"/>
    <w:rsid w:val="00C63686"/>
    <w:rsid w:val="00C6399E"/>
    <w:rsid w:val="00C639DC"/>
    <w:rsid w:val="00C63B85"/>
    <w:rsid w:val="00C63CD7"/>
    <w:rsid w:val="00C63CF5"/>
    <w:rsid w:val="00C63D2F"/>
    <w:rsid w:val="00C63E3C"/>
    <w:rsid w:val="00C63FFF"/>
    <w:rsid w:val="00C64061"/>
    <w:rsid w:val="00C641A5"/>
    <w:rsid w:val="00C641FA"/>
    <w:rsid w:val="00C64277"/>
    <w:rsid w:val="00C644DE"/>
    <w:rsid w:val="00C64544"/>
    <w:rsid w:val="00C64660"/>
    <w:rsid w:val="00C648BC"/>
    <w:rsid w:val="00C649B8"/>
    <w:rsid w:val="00C649E3"/>
    <w:rsid w:val="00C64BFD"/>
    <w:rsid w:val="00C64C01"/>
    <w:rsid w:val="00C64C84"/>
    <w:rsid w:val="00C64D9E"/>
    <w:rsid w:val="00C64FC6"/>
    <w:rsid w:val="00C65087"/>
    <w:rsid w:val="00C65114"/>
    <w:rsid w:val="00C652D9"/>
    <w:rsid w:val="00C65394"/>
    <w:rsid w:val="00C653A8"/>
    <w:rsid w:val="00C6540E"/>
    <w:rsid w:val="00C6544A"/>
    <w:rsid w:val="00C65511"/>
    <w:rsid w:val="00C6555B"/>
    <w:rsid w:val="00C656EA"/>
    <w:rsid w:val="00C6573B"/>
    <w:rsid w:val="00C65764"/>
    <w:rsid w:val="00C657D8"/>
    <w:rsid w:val="00C6582D"/>
    <w:rsid w:val="00C659A2"/>
    <w:rsid w:val="00C65A01"/>
    <w:rsid w:val="00C65B26"/>
    <w:rsid w:val="00C65D94"/>
    <w:rsid w:val="00C65E93"/>
    <w:rsid w:val="00C65F4E"/>
    <w:rsid w:val="00C660AB"/>
    <w:rsid w:val="00C660D8"/>
    <w:rsid w:val="00C66149"/>
    <w:rsid w:val="00C6623B"/>
    <w:rsid w:val="00C66380"/>
    <w:rsid w:val="00C66499"/>
    <w:rsid w:val="00C664B9"/>
    <w:rsid w:val="00C665E5"/>
    <w:rsid w:val="00C66691"/>
    <w:rsid w:val="00C66799"/>
    <w:rsid w:val="00C667CF"/>
    <w:rsid w:val="00C6686A"/>
    <w:rsid w:val="00C668D6"/>
    <w:rsid w:val="00C66AC8"/>
    <w:rsid w:val="00C66AFD"/>
    <w:rsid w:val="00C66B42"/>
    <w:rsid w:val="00C66B7C"/>
    <w:rsid w:val="00C66BCE"/>
    <w:rsid w:val="00C66BD7"/>
    <w:rsid w:val="00C66BEF"/>
    <w:rsid w:val="00C66C12"/>
    <w:rsid w:val="00C66D00"/>
    <w:rsid w:val="00C66D67"/>
    <w:rsid w:val="00C66E1F"/>
    <w:rsid w:val="00C66F06"/>
    <w:rsid w:val="00C66F19"/>
    <w:rsid w:val="00C66F95"/>
    <w:rsid w:val="00C67014"/>
    <w:rsid w:val="00C670B4"/>
    <w:rsid w:val="00C67115"/>
    <w:rsid w:val="00C671A1"/>
    <w:rsid w:val="00C671FD"/>
    <w:rsid w:val="00C67213"/>
    <w:rsid w:val="00C672F8"/>
    <w:rsid w:val="00C67313"/>
    <w:rsid w:val="00C6745C"/>
    <w:rsid w:val="00C67486"/>
    <w:rsid w:val="00C6756F"/>
    <w:rsid w:val="00C67583"/>
    <w:rsid w:val="00C6768B"/>
    <w:rsid w:val="00C676E9"/>
    <w:rsid w:val="00C6788A"/>
    <w:rsid w:val="00C678B9"/>
    <w:rsid w:val="00C678E3"/>
    <w:rsid w:val="00C67937"/>
    <w:rsid w:val="00C679B6"/>
    <w:rsid w:val="00C679ED"/>
    <w:rsid w:val="00C67A56"/>
    <w:rsid w:val="00C67B27"/>
    <w:rsid w:val="00C67B5E"/>
    <w:rsid w:val="00C67EEF"/>
    <w:rsid w:val="00C67F41"/>
    <w:rsid w:val="00C67FCF"/>
    <w:rsid w:val="00C70089"/>
    <w:rsid w:val="00C70108"/>
    <w:rsid w:val="00C70118"/>
    <w:rsid w:val="00C70149"/>
    <w:rsid w:val="00C701B8"/>
    <w:rsid w:val="00C701FF"/>
    <w:rsid w:val="00C702BC"/>
    <w:rsid w:val="00C702C0"/>
    <w:rsid w:val="00C70321"/>
    <w:rsid w:val="00C70357"/>
    <w:rsid w:val="00C70513"/>
    <w:rsid w:val="00C70556"/>
    <w:rsid w:val="00C705E0"/>
    <w:rsid w:val="00C70603"/>
    <w:rsid w:val="00C7063A"/>
    <w:rsid w:val="00C706DB"/>
    <w:rsid w:val="00C707F7"/>
    <w:rsid w:val="00C70856"/>
    <w:rsid w:val="00C7087D"/>
    <w:rsid w:val="00C7097C"/>
    <w:rsid w:val="00C709A6"/>
    <w:rsid w:val="00C709EB"/>
    <w:rsid w:val="00C70A0D"/>
    <w:rsid w:val="00C70B85"/>
    <w:rsid w:val="00C70C38"/>
    <w:rsid w:val="00C70DD2"/>
    <w:rsid w:val="00C70E09"/>
    <w:rsid w:val="00C70E76"/>
    <w:rsid w:val="00C70EEE"/>
    <w:rsid w:val="00C71034"/>
    <w:rsid w:val="00C7110D"/>
    <w:rsid w:val="00C7111B"/>
    <w:rsid w:val="00C71141"/>
    <w:rsid w:val="00C71235"/>
    <w:rsid w:val="00C7133B"/>
    <w:rsid w:val="00C713A5"/>
    <w:rsid w:val="00C7144A"/>
    <w:rsid w:val="00C7146B"/>
    <w:rsid w:val="00C71496"/>
    <w:rsid w:val="00C71574"/>
    <w:rsid w:val="00C715F1"/>
    <w:rsid w:val="00C71686"/>
    <w:rsid w:val="00C71758"/>
    <w:rsid w:val="00C717A9"/>
    <w:rsid w:val="00C717B3"/>
    <w:rsid w:val="00C718EF"/>
    <w:rsid w:val="00C71975"/>
    <w:rsid w:val="00C719F2"/>
    <w:rsid w:val="00C71A51"/>
    <w:rsid w:val="00C71A6A"/>
    <w:rsid w:val="00C71AFA"/>
    <w:rsid w:val="00C71B18"/>
    <w:rsid w:val="00C71BA2"/>
    <w:rsid w:val="00C71C9A"/>
    <w:rsid w:val="00C71CC5"/>
    <w:rsid w:val="00C71D1E"/>
    <w:rsid w:val="00C71DF1"/>
    <w:rsid w:val="00C71F8F"/>
    <w:rsid w:val="00C720C5"/>
    <w:rsid w:val="00C720C8"/>
    <w:rsid w:val="00C72208"/>
    <w:rsid w:val="00C72239"/>
    <w:rsid w:val="00C72305"/>
    <w:rsid w:val="00C7245C"/>
    <w:rsid w:val="00C724B9"/>
    <w:rsid w:val="00C72500"/>
    <w:rsid w:val="00C72635"/>
    <w:rsid w:val="00C726C3"/>
    <w:rsid w:val="00C7276C"/>
    <w:rsid w:val="00C72796"/>
    <w:rsid w:val="00C7281E"/>
    <w:rsid w:val="00C72946"/>
    <w:rsid w:val="00C72AE4"/>
    <w:rsid w:val="00C72BD8"/>
    <w:rsid w:val="00C730CB"/>
    <w:rsid w:val="00C7314A"/>
    <w:rsid w:val="00C73152"/>
    <w:rsid w:val="00C73185"/>
    <w:rsid w:val="00C732AE"/>
    <w:rsid w:val="00C732FE"/>
    <w:rsid w:val="00C7342D"/>
    <w:rsid w:val="00C7352C"/>
    <w:rsid w:val="00C73895"/>
    <w:rsid w:val="00C738F4"/>
    <w:rsid w:val="00C73914"/>
    <w:rsid w:val="00C7392C"/>
    <w:rsid w:val="00C73B05"/>
    <w:rsid w:val="00C73B71"/>
    <w:rsid w:val="00C73B97"/>
    <w:rsid w:val="00C73BFD"/>
    <w:rsid w:val="00C73C31"/>
    <w:rsid w:val="00C73C37"/>
    <w:rsid w:val="00C73D48"/>
    <w:rsid w:val="00C73F15"/>
    <w:rsid w:val="00C742A6"/>
    <w:rsid w:val="00C742EC"/>
    <w:rsid w:val="00C743A9"/>
    <w:rsid w:val="00C74715"/>
    <w:rsid w:val="00C74796"/>
    <w:rsid w:val="00C74939"/>
    <w:rsid w:val="00C7499E"/>
    <w:rsid w:val="00C74AA4"/>
    <w:rsid w:val="00C74B07"/>
    <w:rsid w:val="00C74BF8"/>
    <w:rsid w:val="00C74C87"/>
    <w:rsid w:val="00C74DFE"/>
    <w:rsid w:val="00C74FF4"/>
    <w:rsid w:val="00C7503B"/>
    <w:rsid w:val="00C750CE"/>
    <w:rsid w:val="00C751D9"/>
    <w:rsid w:val="00C752F6"/>
    <w:rsid w:val="00C7530C"/>
    <w:rsid w:val="00C7536F"/>
    <w:rsid w:val="00C7540D"/>
    <w:rsid w:val="00C7559B"/>
    <w:rsid w:val="00C755ED"/>
    <w:rsid w:val="00C756CF"/>
    <w:rsid w:val="00C75903"/>
    <w:rsid w:val="00C75994"/>
    <w:rsid w:val="00C75A26"/>
    <w:rsid w:val="00C75B85"/>
    <w:rsid w:val="00C75D58"/>
    <w:rsid w:val="00C75E58"/>
    <w:rsid w:val="00C75EE7"/>
    <w:rsid w:val="00C761B8"/>
    <w:rsid w:val="00C7628E"/>
    <w:rsid w:val="00C7629F"/>
    <w:rsid w:val="00C762AA"/>
    <w:rsid w:val="00C76367"/>
    <w:rsid w:val="00C763D3"/>
    <w:rsid w:val="00C763F6"/>
    <w:rsid w:val="00C76516"/>
    <w:rsid w:val="00C7661E"/>
    <w:rsid w:val="00C766C1"/>
    <w:rsid w:val="00C76784"/>
    <w:rsid w:val="00C767CC"/>
    <w:rsid w:val="00C768BE"/>
    <w:rsid w:val="00C768EA"/>
    <w:rsid w:val="00C769C3"/>
    <w:rsid w:val="00C76A31"/>
    <w:rsid w:val="00C76DE1"/>
    <w:rsid w:val="00C76E8F"/>
    <w:rsid w:val="00C76F0B"/>
    <w:rsid w:val="00C76F0E"/>
    <w:rsid w:val="00C76F13"/>
    <w:rsid w:val="00C76F8D"/>
    <w:rsid w:val="00C76FC7"/>
    <w:rsid w:val="00C76FD1"/>
    <w:rsid w:val="00C77077"/>
    <w:rsid w:val="00C77091"/>
    <w:rsid w:val="00C770CD"/>
    <w:rsid w:val="00C770F4"/>
    <w:rsid w:val="00C77288"/>
    <w:rsid w:val="00C77316"/>
    <w:rsid w:val="00C77350"/>
    <w:rsid w:val="00C77351"/>
    <w:rsid w:val="00C77383"/>
    <w:rsid w:val="00C77409"/>
    <w:rsid w:val="00C77680"/>
    <w:rsid w:val="00C77697"/>
    <w:rsid w:val="00C776DB"/>
    <w:rsid w:val="00C77993"/>
    <w:rsid w:val="00C77ACC"/>
    <w:rsid w:val="00C77AD5"/>
    <w:rsid w:val="00C77AEA"/>
    <w:rsid w:val="00C77D22"/>
    <w:rsid w:val="00C77D6A"/>
    <w:rsid w:val="00C77D75"/>
    <w:rsid w:val="00C77ED4"/>
    <w:rsid w:val="00C8001F"/>
    <w:rsid w:val="00C8006E"/>
    <w:rsid w:val="00C800C7"/>
    <w:rsid w:val="00C8011D"/>
    <w:rsid w:val="00C80210"/>
    <w:rsid w:val="00C80268"/>
    <w:rsid w:val="00C8038D"/>
    <w:rsid w:val="00C8058F"/>
    <w:rsid w:val="00C80652"/>
    <w:rsid w:val="00C806E1"/>
    <w:rsid w:val="00C80747"/>
    <w:rsid w:val="00C80806"/>
    <w:rsid w:val="00C80B31"/>
    <w:rsid w:val="00C80BD4"/>
    <w:rsid w:val="00C80D35"/>
    <w:rsid w:val="00C80D4B"/>
    <w:rsid w:val="00C80D5C"/>
    <w:rsid w:val="00C80D97"/>
    <w:rsid w:val="00C80F0D"/>
    <w:rsid w:val="00C80F9A"/>
    <w:rsid w:val="00C81022"/>
    <w:rsid w:val="00C810D8"/>
    <w:rsid w:val="00C8111E"/>
    <w:rsid w:val="00C81160"/>
    <w:rsid w:val="00C81202"/>
    <w:rsid w:val="00C8127B"/>
    <w:rsid w:val="00C81395"/>
    <w:rsid w:val="00C813E7"/>
    <w:rsid w:val="00C813EA"/>
    <w:rsid w:val="00C81528"/>
    <w:rsid w:val="00C815E2"/>
    <w:rsid w:val="00C815EE"/>
    <w:rsid w:val="00C816CB"/>
    <w:rsid w:val="00C81767"/>
    <w:rsid w:val="00C8177A"/>
    <w:rsid w:val="00C81788"/>
    <w:rsid w:val="00C817A5"/>
    <w:rsid w:val="00C817F6"/>
    <w:rsid w:val="00C8186C"/>
    <w:rsid w:val="00C8190B"/>
    <w:rsid w:val="00C81914"/>
    <w:rsid w:val="00C819A8"/>
    <w:rsid w:val="00C81A41"/>
    <w:rsid w:val="00C81BA1"/>
    <w:rsid w:val="00C81BCA"/>
    <w:rsid w:val="00C81D0F"/>
    <w:rsid w:val="00C81DD0"/>
    <w:rsid w:val="00C81FCE"/>
    <w:rsid w:val="00C82001"/>
    <w:rsid w:val="00C82083"/>
    <w:rsid w:val="00C822F0"/>
    <w:rsid w:val="00C8235D"/>
    <w:rsid w:val="00C82477"/>
    <w:rsid w:val="00C82484"/>
    <w:rsid w:val="00C825D6"/>
    <w:rsid w:val="00C8262F"/>
    <w:rsid w:val="00C82721"/>
    <w:rsid w:val="00C82B98"/>
    <w:rsid w:val="00C82C0D"/>
    <w:rsid w:val="00C82D62"/>
    <w:rsid w:val="00C82DA7"/>
    <w:rsid w:val="00C82E88"/>
    <w:rsid w:val="00C82F12"/>
    <w:rsid w:val="00C82FAD"/>
    <w:rsid w:val="00C82FEE"/>
    <w:rsid w:val="00C83084"/>
    <w:rsid w:val="00C83129"/>
    <w:rsid w:val="00C831BF"/>
    <w:rsid w:val="00C831FA"/>
    <w:rsid w:val="00C8323E"/>
    <w:rsid w:val="00C83258"/>
    <w:rsid w:val="00C83355"/>
    <w:rsid w:val="00C834FE"/>
    <w:rsid w:val="00C835BC"/>
    <w:rsid w:val="00C836A8"/>
    <w:rsid w:val="00C83787"/>
    <w:rsid w:val="00C8378E"/>
    <w:rsid w:val="00C8386C"/>
    <w:rsid w:val="00C83B95"/>
    <w:rsid w:val="00C83C0E"/>
    <w:rsid w:val="00C83C11"/>
    <w:rsid w:val="00C83DAC"/>
    <w:rsid w:val="00C83E16"/>
    <w:rsid w:val="00C83F70"/>
    <w:rsid w:val="00C83F99"/>
    <w:rsid w:val="00C83FCA"/>
    <w:rsid w:val="00C84007"/>
    <w:rsid w:val="00C840D0"/>
    <w:rsid w:val="00C842AB"/>
    <w:rsid w:val="00C843D3"/>
    <w:rsid w:val="00C844BE"/>
    <w:rsid w:val="00C845B3"/>
    <w:rsid w:val="00C8472A"/>
    <w:rsid w:val="00C84736"/>
    <w:rsid w:val="00C84922"/>
    <w:rsid w:val="00C84969"/>
    <w:rsid w:val="00C849D8"/>
    <w:rsid w:val="00C84AE4"/>
    <w:rsid w:val="00C84BE3"/>
    <w:rsid w:val="00C84C24"/>
    <w:rsid w:val="00C84C29"/>
    <w:rsid w:val="00C84D56"/>
    <w:rsid w:val="00C84DA5"/>
    <w:rsid w:val="00C84DD6"/>
    <w:rsid w:val="00C84DE8"/>
    <w:rsid w:val="00C84E87"/>
    <w:rsid w:val="00C84F69"/>
    <w:rsid w:val="00C84FB7"/>
    <w:rsid w:val="00C85015"/>
    <w:rsid w:val="00C8503C"/>
    <w:rsid w:val="00C850DA"/>
    <w:rsid w:val="00C8510E"/>
    <w:rsid w:val="00C8513E"/>
    <w:rsid w:val="00C85361"/>
    <w:rsid w:val="00C853BC"/>
    <w:rsid w:val="00C854CE"/>
    <w:rsid w:val="00C854EF"/>
    <w:rsid w:val="00C8559A"/>
    <w:rsid w:val="00C8560C"/>
    <w:rsid w:val="00C8570D"/>
    <w:rsid w:val="00C85A12"/>
    <w:rsid w:val="00C85A31"/>
    <w:rsid w:val="00C85F76"/>
    <w:rsid w:val="00C85F7B"/>
    <w:rsid w:val="00C86069"/>
    <w:rsid w:val="00C8608B"/>
    <w:rsid w:val="00C860AA"/>
    <w:rsid w:val="00C866E3"/>
    <w:rsid w:val="00C866F4"/>
    <w:rsid w:val="00C86702"/>
    <w:rsid w:val="00C867CC"/>
    <w:rsid w:val="00C868C2"/>
    <w:rsid w:val="00C86964"/>
    <w:rsid w:val="00C86A28"/>
    <w:rsid w:val="00C86AF7"/>
    <w:rsid w:val="00C86B38"/>
    <w:rsid w:val="00C86C09"/>
    <w:rsid w:val="00C86C5F"/>
    <w:rsid w:val="00C86C84"/>
    <w:rsid w:val="00C86E24"/>
    <w:rsid w:val="00C86E3B"/>
    <w:rsid w:val="00C86EC9"/>
    <w:rsid w:val="00C86FF4"/>
    <w:rsid w:val="00C87006"/>
    <w:rsid w:val="00C87033"/>
    <w:rsid w:val="00C87058"/>
    <w:rsid w:val="00C87201"/>
    <w:rsid w:val="00C87386"/>
    <w:rsid w:val="00C87478"/>
    <w:rsid w:val="00C874C5"/>
    <w:rsid w:val="00C874F9"/>
    <w:rsid w:val="00C87601"/>
    <w:rsid w:val="00C876BC"/>
    <w:rsid w:val="00C87777"/>
    <w:rsid w:val="00C878B2"/>
    <w:rsid w:val="00C878E5"/>
    <w:rsid w:val="00C87AC9"/>
    <w:rsid w:val="00C87BDD"/>
    <w:rsid w:val="00C87C88"/>
    <w:rsid w:val="00C87CDC"/>
    <w:rsid w:val="00C87EBB"/>
    <w:rsid w:val="00C87EBC"/>
    <w:rsid w:val="00C87FCB"/>
    <w:rsid w:val="00C9001C"/>
    <w:rsid w:val="00C900D9"/>
    <w:rsid w:val="00C901B6"/>
    <w:rsid w:val="00C901EE"/>
    <w:rsid w:val="00C9024F"/>
    <w:rsid w:val="00C90261"/>
    <w:rsid w:val="00C9044B"/>
    <w:rsid w:val="00C9053E"/>
    <w:rsid w:val="00C90553"/>
    <w:rsid w:val="00C9055F"/>
    <w:rsid w:val="00C9068A"/>
    <w:rsid w:val="00C90A1E"/>
    <w:rsid w:val="00C90B14"/>
    <w:rsid w:val="00C90B64"/>
    <w:rsid w:val="00C90C3F"/>
    <w:rsid w:val="00C90CAB"/>
    <w:rsid w:val="00C90F0C"/>
    <w:rsid w:val="00C90FD1"/>
    <w:rsid w:val="00C90FF4"/>
    <w:rsid w:val="00C90FFC"/>
    <w:rsid w:val="00C9118C"/>
    <w:rsid w:val="00C91196"/>
    <w:rsid w:val="00C9120A"/>
    <w:rsid w:val="00C91451"/>
    <w:rsid w:val="00C916B3"/>
    <w:rsid w:val="00C917FF"/>
    <w:rsid w:val="00C91BE1"/>
    <w:rsid w:val="00C91C50"/>
    <w:rsid w:val="00C91CE5"/>
    <w:rsid w:val="00C91D94"/>
    <w:rsid w:val="00C91D98"/>
    <w:rsid w:val="00C91DB1"/>
    <w:rsid w:val="00C91E81"/>
    <w:rsid w:val="00C91F4B"/>
    <w:rsid w:val="00C920D7"/>
    <w:rsid w:val="00C9214A"/>
    <w:rsid w:val="00C921B8"/>
    <w:rsid w:val="00C921DD"/>
    <w:rsid w:val="00C92367"/>
    <w:rsid w:val="00C9249E"/>
    <w:rsid w:val="00C92699"/>
    <w:rsid w:val="00C92852"/>
    <w:rsid w:val="00C92959"/>
    <w:rsid w:val="00C92A23"/>
    <w:rsid w:val="00C92B56"/>
    <w:rsid w:val="00C92C42"/>
    <w:rsid w:val="00C92CD5"/>
    <w:rsid w:val="00C92D43"/>
    <w:rsid w:val="00C92DB2"/>
    <w:rsid w:val="00C92E35"/>
    <w:rsid w:val="00C92F30"/>
    <w:rsid w:val="00C92FE2"/>
    <w:rsid w:val="00C9308A"/>
    <w:rsid w:val="00C9319C"/>
    <w:rsid w:val="00C93215"/>
    <w:rsid w:val="00C934C4"/>
    <w:rsid w:val="00C934C5"/>
    <w:rsid w:val="00C9354D"/>
    <w:rsid w:val="00C9361A"/>
    <w:rsid w:val="00C936EB"/>
    <w:rsid w:val="00C937E0"/>
    <w:rsid w:val="00C93818"/>
    <w:rsid w:val="00C93AA5"/>
    <w:rsid w:val="00C93AC9"/>
    <w:rsid w:val="00C93B56"/>
    <w:rsid w:val="00C93B73"/>
    <w:rsid w:val="00C93B7D"/>
    <w:rsid w:val="00C93BE1"/>
    <w:rsid w:val="00C93CA1"/>
    <w:rsid w:val="00C93CB0"/>
    <w:rsid w:val="00C93CC1"/>
    <w:rsid w:val="00C93D21"/>
    <w:rsid w:val="00C93D7F"/>
    <w:rsid w:val="00C93E0D"/>
    <w:rsid w:val="00C93E64"/>
    <w:rsid w:val="00C93E7E"/>
    <w:rsid w:val="00C93EB3"/>
    <w:rsid w:val="00C93EBA"/>
    <w:rsid w:val="00C93EF3"/>
    <w:rsid w:val="00C93F34"/>
    <w:rsid w:val="00C93FC5"/>
    <w:rsid w:val="00C9422C"/>
    <w:rsid w:val="00C94363"/>
    <w:rsid w:val="00C944D8"/>
    <w:rsid w:val="00C945DE"/>
    <w:rsid w:val="00C946AF"/>
    <w:rsid w:val="00C946B8"/>
    <w:rsid w:val="00C94754"/>
    <w:rsid w:val="00C948C8"/>
    <w:rsid w:val="00C94A11"/>
    <w:rsid w:val="00C94A63"/>
    <w:rsid w:val="00C94AD1"/>
    <w:rsid w:val="00C94BBB"/>
    <w:rsid w:val="00C94BE2"/>
    <w:rsid w:val="00C94BF7"/>
    <w:rsid w:val="00C94DCE"/>
    <w:rsid w:val="00C94DDB"/>
    <w:rsid w:val="00C94E1A"/>
    <w:rsid w:val="00C94E3A"/>
    <w:rsid w:val="00C94E7F"/>
    <w:rsid w:val="00C94E88"/>
    <w:rsid w:val="00C94EE6"/>
    <w:rsid w:val="00C94F3F"/>
    <w:rsid w:val="00C94F79"/>
    <w:rsid w:val="00C950AB"/>
    <w:rsid w:val="00C9521D"/>
    <w:rsid w:val="00C953BE"/>
    <w:rsid w:val="00C9560A"/>
    <w:rsid w:val="00C95865"/>
    <w:rsid w:val="00C95927"/>
    <w:rsid w:val="00C95982"/>
    <w:rsid w:val="00C95A89"/>
    <w:rsid w:val="00C95B82"/>
    <w:rsid w:val="00C95B9F"/>
    <w:rsid w:val="00C95BEA"/>
    <w:rsid w:val="00C95C4A"/>
    <w:rsid w:val="00C95E0D"/>
    <w:rsid w:val="00C95FAB"/>
    <w:rsid w:val="00C95FDD"/>
    <w:rsid w:val="00C96002"/>
    <w:rsid w:val="00C961E1"/>
    <w:rsid w:val="00C96214"/>
    <w:rsid w:val="00C962C1"/>
    <w:rsid w:val="00C9645B"/>
    <w:rsid w:val="00C96727"/>
    <w:rsid w:val="00C9674C"/>
    <w:rsid w:val="00C967FD"/>
    <w:rsid w:val="00C9681D"/>
    <w:rsid w:val="00C968B0"/>
    <w:rsid w:val="00C968C4"/>
    <w:rsid w:val="00C969AA"/>
    <w:rsid w:val="00C96A96"/>
    <w:rsid w:val="00C96B2A"/>
    <w:rsid w:val="00C96C51"/>
    <w:rsid w:val="00C96CDF"/>
    <w:rsid w:val="00C96CF3"/>
    <w:rsid w:val="00C96D09"/>
    <w:rsid w:val="00C96DA8"/>
    <w:rsid w:val="00C96E0E"/>
    <w:rsid w:val="00C96E29"/>
    <w:rsid w:val="00C96E68"/>
    <w:rsid w:val="00C96EBE"/>
    <w:rsid w:val="00C97121"/>
    <w:rsid w:val="00C9716E"/>
    <w:rsid w:val="00C97233"/>
    <w:rsid w:val="00C975B4"/>
    <w:rsid w:val="00C97641"/>
    <w:rsid w:val="00C9767F"/>
    <w:rsid w:val="00C977DD"/>
    <w:rsid w:val="00C97818"/>
    <w:rsid w:val="00C978A0"/>
    <w:rsid w:val="00C978D4"/>
    <w:rsid w:val="00C979E1"/>
    <w:rsid w:val="00C97A44"/>
    <w:rsid w:val="00C97AD4"/>
    <w:rsid w:val="00C97D08"/>
    <w:rsid w:val="00C97F93"/>
    <w:rsid w:val="00C97FBD"/>
    <w:rsid w:val="00C97FD6"/>
    <w:rsid w:val="00C97FDA"/>
    <w:rsid w:val="00CA0124"/>
    <w:rsid w:val="00CA01DE"/>
    <w:rsid w:val="00CA0218"/>
    <w:rsid w:val="00CA0246"/>
    <w:rsid w:val="00CA0589"/>
    <w:rsid w:val="00CA0644"/>
    <w:rsid w:val="00CA0697"/>
    <w:rsid w:val="00CA0782"/>
    <w:rsid w:val="00CA08BB"/>
    <w:rsid w:val="00CA09A5"/>
    <w:rsid w:val="00CA09E6"/>
    <w:rsid w:val="00CA0B04"/>
    <w:rsid w:val="00CA0B37"/>
    <w:rsid w:val="00CA0B88"/>
    <w:rsid w:val="00CA0C87"/>
    <w:rsid w:val="00CA0CAE"/>
    <w:rsid w:val="00CA0DB5"/>
    <w:rsid w:val="00CA0E0A"/>
    <w:rsid w:val="00CA1139"/>
    <w:rsid w:val="00CA114F"/>
    <w:rsid w:val="00CA11E1"/>
    <w:rsid w:val="00CA1205"/>
    <w:rsid w:val="00CA13C8"/>
    <w:rsid w:val="00CA1436"/>
    <w:rsid w:val="00CA144A"/>
    <w:rsid w:val="00CA1513"/>
    <w:rsid w:val="00CA1577"/>
    <w:rsid w:val="00CA15F2"/>
    <w:rsid w:val="00CA163D"/>
    <w:rsid w:val="00CA164F"/>
    <w:rsid w:val="00CA1688"/>
    <w:rsid w:val="00CA168C"/>
    <w:rsid w:val="00CA179D"/>
    <w:rsid w:val="00CA17BA"/>
    <w:rsid w:val="00CA191A"/>
    <w:rsid w:val="00CA194B"/>
    <w:rsid w:val="00CA19D1"/>
    <w:rsid w:val="00CA1B9E"/>
    <w:rsid w:val="00CA1BA4"/>
    <w:rsid w:val="00CA1D3F"/>
    <w:rsid w:val="00CA1F0F"/>
    <w:rsid w:val="00CA1FCB"/>
    <w:rsid w:val="00CA2074"/>
    <w:rsid w:val="00CA2084"/>
    <w:rsid w:val="00CA22EF"/>
    <w:rsid w:val="00CA237A"/>
    <w:rsid w:val="00CA23CC"/>
    <w:rsid w:val="00CA2552"/>
    <w:rsid w:val="00CA2591"/>
    <w:rsid w:val="00CA25CA"/>
    <w:rsid w:val="00CA2762"/>
    <w:rsid w:val="00CA2819"/>
    <w:rsid w:val="00CA29AA"/>
    <w:rsid w:val="00CA29E2"/>
    <w:rsid w:val="00CA2B80"/>
    <w:rsid w:val="00CA2CA1"/>
    <w:rsid w:val="00CA2E7D"/>
    <w:rsid w:val="00CA2EFF"/>
    <w:rsid w:val="00CA2F8A"/>
    <w:rsid w:val="00CA2F99"/>
    <w:rsid w:val="00CA2FAA"/>
    <w:rsid w:val="00CA3044"/>
    <w:rsid w:val="00CA3089"/>
    <w:rsid w:val="00CA30FC"/>
    <w:rsid w:val="00CA32AE"/>
    <w:rsid w:val="00CA3709"/>
    <w:rsid w:val="00CA3867"/>
    <w:rsid w:val="00CA38DA"/>
    <w:rsid w:val="00CA3A53"/>
    <w:rsid w:val="00CA3A8E"/>
    <w:rsid w:val="00CA3AFD"/>
    <w:rsid w:val="00CA3B1C"/>
    <w:rsid w:val="00CA3BA6"/>
    <w:rsid w:val="00CA3BE0"/>
    <w:rsid w:val="00CA3BF4"/>
    <w:rsid w:val="00CA3CC4"/>
    <w:rsid w:val="00CA3CD1"/>
    <w:rsid w:val="00CA3DD5"/>
    <w:rsid w:val="00CA3DDC"/>
    <w:rsid w:val="00CA3E0F"/>
    <w:rsid w:val="00CA3E45"/>
    <w:rsid w:val="00CA4061"/>
    <w:rsid w:val="00CA4178"/>
    <w:rsid w:val="00CA41C2"/>
    <w:rsid w:val="00CA42F1"/>
    <w:rsid w:val="00CA437A"/>
    <w:rsid w:val="00CA45BC"/>
    <w:rsid w:val="00CA478A"/>
    <w:rsid w:val="00CA47B3"/>
    <w:rsid w:val="00CA47E6"/>
    <w:rsid w:val="00CA47E8"/>
    <w:rsid w:val="00CA4878"/>
    <w:rsid w:val="00CA491E"/>
    <w:rsid w:val="00CA49F2"/>
    <w:rsid w:val="00CA4A4A"/>
    <w:rsid w:val="00CA4BBE"/>
    <w:rsid w:val="00CA4BFC"/>
    <w:rsid w:val="00CA4C80"/>
    <w:rsid w:val="00CA4DBA"/>
    <w:rsid w:val="00CA4E41"/>
    <w:rsid w:val="00CA4EA9"/>
    <w:rsid w:val="00CA5124"/>
    <w:rsid w:val="00CA5149"/>
    <w:rsid w:val="00CA5316"/>
    <w:rsid w:val="00CA5338"/>
    <w:rsid w:val="00CA5386"/>
    <w:rsid w:val="00CA5446"/>
    <w:rsid w:val="00CA550B"/>
    <w:rsid w:val="00CA5547"/>
    <w:rsid w:val="00CA573A"/>
    <w:rsid w:val="00CA578A"/>
    <w:rsid w:val="00CA5865"/>
    <w:rsid w:val="00CA5892"/>
    <w:rsid w:val="00CA5962"/>
    <w:rsid w:val="00CA5980"/>
    <w:rsid w:val="00CA5A89"/>
    <w:rsid w:val="00CA5A8F"/>
    <w:rsid w:val="00CA5AF6"/>
    <w:rsid w:val="00CA5B0F"/>
    <w:rsid w:val="00CA5B8F"/>
    <w:rsid w:val="00CA5BC5"/>
    <w:rsid w:val="00CA5C38"/>
    <w:rsid w:val="00CA5D55"/>
    <w:rsid w:val="00CA5D5B"/>
    <w:rsid w:val="00CA5E28"/>
    <w:rsid w:val="00CA5E34"/>
    <w:rsid w:val="00CA5F0D"/>
    <w:rsid w:val="00CA5F53"/>
    <w:rsid w:val="00CA5F6B"/>
    <w:rsid w:val="00CA5F77"/>
    <w:rsid w:val="00CA6008"/>
    <w:rsid w:val="00CA6040"/>
    <w:rsid w:val="00CA604D"/>
    <w:rsid w:val="00CA60B4"/>
    <w:rsid w:val="00CA618B"/>
    <w:rsid w:val="00CA6196"/>
    <w:rsid w:val="00CA6331"/>
    <w:rsid w:val="00CA6346"/>
    <w:rsid w:val="00CA645C"/>
    <w:rsid w:val="00CA6483"/>
    <w:rsid w:val="00CA64D9"/>
    <w:rsid w:val="00CA6592"/>
    <w:rsid w:val="00CA65AF"/>
    <w:rsid w:val="00CA6652"/>
    <w:rsid w:val="00CA6966"/>
    <w:rsid w:val="00CA6A7F"/>
    <w:rsid w:val="00CA6C88"/>
    <w:rsid w:val="00CA6D33"/>
    <w:rsid w:val="00CA719B"/>
    <w:rsid w:val="00CA75BC"/>
    <w:rsid w:val="00CA75E0"/>
    <w:rsid w:val="00CA7612"/>
    <w:rsid w:val="00CA7614"/>
    <w:rsid w:val="00CA7690"/>
    <w:rsid w:val="00CA76A6"/>
    <w:rsid w:val="00CA773B"/>
    <w:rsid w:val="00CA7831"/>
    <w:rsid w:val="00CA7921"/>
    <w:rsid w:val="00CA7937"/>
    <w:rsid w:val="00CA79C6"/>
    <w:rsid w:val="00CA7AC1"/>
    <w:rsid w:val="00CA7B3E"/>
    <w:rsid w:val="00CA7B84"/>
    <w:rsid w:val="00CA7BCD"/>
    <w:rsid w:val="00CA7ED8"/>
    <w:rsid w:val="00CA7F12"/>
    <w:rsid w:val="00CB005E"/>
    <w:rsid w:val="00CB00A2"/>
    <w:rsid w:val="00CB01AE"/>
    <w:rsid w:val="00CB0278"/>
    <w:rsid w:val="00CB039A"/>
    <w:rsid w:val="00CB0475"/>
    <w:rsid w:val="00CB0516"/>
    <w:rsid w:val="00CB05EB"/>
    <w:rsid w:val="00CB0630"/>
    <w:rsid w:val="00CB0675"/>
    <w:rsid w:val="00CB0823"/>
    <w:rsid w:val="00CB08B7"/>
    <w:rsid w:val="00CB095F"/>
    <w:rsid w:val="00CB0A42"/>
    <w:rsid w:val="00CB0AA1"/>
    <w:rsid w:val="00CB0B66"/>
    <w:rsid w:val="00CB0C66"/>
    <w:rsid w:val="00CB0CBD"/>
    <w:rsid w:val="00CB0D04"/>
    <w:rsid w:val="00CB0D18"/>
    <w:rsid w:val="00CB1017"/>
    <w:rsid w:val="00CB10A0"/>
    <w:rsid w:val="00CB1353"/>
    <w:rsid w:val="00CB1366"/>
    <w:rsid w:val="00CB14F2"/>
    <w:rsid w:val="00CB14FA"/>
    <w:rsid w:val="00CB15F4"/>
    <w:rsid w:val="00CB163F"/>
    <w:rsid w:val="00CB18A2"/>
    <w:rsid w:val="00CB1907"/>
    <w:rsid w:val="00CB190A"/>
    <w:rsid w:val="00CB198A"/>
    <w:rsid w:val="00CB19DC"/>
    <w:rsid w:val="00CB1A10"/>
    <w:rsid w:val="00CB1A87"/>
    <w:rsid w:val="00CB1A9F"/>
    <w:rsid w:val="00CB1AB0"/>
    <w:rsid w:val="00CB1BF7"/>
    <w:rsid w:val="00CB1CCF"/>
    <w:rsid w:val="00CB1DD5"/>
    <w:rsid w:val="00CB1F16"/>
    <w:rsid w:val="00CB1F83"/>
    <w:rsid w:val="00CB1F84"/>
    <w:rsid w:val="00CB1F88"/>
    <w:rsid w:val="00CB1FCC"/>
    <w:rsid w:val="00CB2086"/>
    <w:rsid w:val="00CB20A9"/>
    <w:rsid w:val="00CB217B"/>
    <w:rsid w:val="00CB21EF"/>
    <w:rsid w:val="00CB2251"/>
    <w:rsid w:val="00CB23C7"/>
    <w:rsid w:val="00CB23EF"/>
    <w:rsid w:val="00CB24F4"/>
    <w:rsid w:val="00CB260E"/>
    <w:rsid w:val="00CB268F"/>
    <w:rsid w:val="00CB26B1"/>
    <w:rsid w:val="00CB26E7"/>
    <w:rsid w:val="00CB29C6"/>
    <w:rsid w:val="00CB2A93"/>
    <w:rsid w:val="00CB2B03"/>
    <w:rsid w:val="00CB2B35"/>
    <w:rsid w:val="00CB2BAD"/>
    <w:rsid w:val="00CB2DD8"/>
    <w:rsid w:val="00CB2E72"/>
    <w:rsid w:val="00CB2EC6"/>
    <w:rsid w:val="00CB2ED3"/>
    <w:rsid w:val="00CB3006"/>
    <w:rsid w:val="00CB3107"/>
    <w:rsid w:val="00CB310F"/>
    <w:rsid w:val="00CB320B"/>
    <w:rsid w:val="00CB3210"/>
    <w:rsid w:val="00CB3211"/>
    <w:rsid w:val="00CB3246"/>
    <w:rsid w:val="00CB353E"/>
    <w:rsid w:val="00CB359F"/>
    <w:rsid w:val="00CB35CE"/>
    <w:rsid w:val="00CB3683"/>
    <w:rsid w:val="00CB3922"/>
    <w:rsid w:val="00CB3986"/>
    <w:rsid w:val="00CB3AE0"/>
    <w:rsid w:val="00CB3B2A"/>
    <w:rsid w:val="00CB3BC3"/>
    <w:rsid w:val="00CB3F06"/>
    <w:rsid w:val="00CB415E"/>
    <w:rsid w:val="00CB4288"/>
    <w:rsid w:val="00CB43CD"/>
    <w:rsid w:val="00CB45D1"/>
    <w:rsid w:val="00CB47CA"/>
    <w:rsid w:val="00CB4884"/>
    <w:rsid w:val="00CB498E"/>
    <w:rsid w:val="00CB4BB7"/>
    <w:rsid w:val="00CB4BBC"/>
    <w:rsid w:val="00CB4D9A"/>
    <w:rsid w:val="00CB4DCE"/>
    <w:rsid w:val="00CB4EDB"/>
    <w:rsid w:val="00CB4F66"/>
    <w:rsid w:val="00CB519F"/>
    <w:rsid w:val="00CB51BF"/>
    <w:rsid w:val="00CB523B"/>
    <w:rsid w:val="00CB52A7"/>
    <w:rsid w:val="00CB5354"/>
    <w:rsid w:val="00CB5365"/>
    <w:rsid w:val="00CB5375"/>
    <w:rsid w:val="00CB53B1"/>
    <w:rsid w:val="00CB53B6"/>
    <w:rsid w:val="00CB53E9"/>
    <w:rsid w:val="00CB55D8"/>
    <w:rsid w:val="00CB5639"/>
    <w:rsid w:val="00CB5684"/>
    <w:rsid w:val="00CB56AC"/>
    <w:rsid w:val="00CB56BC"/>
    <w:rsid w:val="00CB56F7"/>
    <w:rsid w:val="00CB5713"/>
    <w:rsid w:val="00CB58E1"/>
    <w:rsid w:val="00CB59AF"/>
    <w:rsid w:val="00CB5A42"/>
    <w:rsid w:val="00CB5A93"/>
    <w:rsid w:val="00CB5C76"/>
    <w:rsid w:val="00CB5CE3"/>
    <w:rsid w:val="00CB5DC6"/>
    <w:rsid w:val="00CB5E69"/>
    <w:rsid w:val="00CB5EC1"/>
    <w:rsid w:val="00CB5FC1"/>
    <w:rsid w:val="00CB60D0"/>
    <w:rsid w:val="00CB61D6"/>
    <w:rsid w:val="00CB6224"/>
    <w:rsid w:val="00CB62F6"/>
    <w:rsid w:val="00CB63CC"/>
    <w:rsid w:val="00CB6434"/>
    <w:rsid w:val="00CB64C1"/>
    <w:rsid w:val="00CB6618"/>
    <w:rsid w:val="00CB6696"/>
    <w:rsid w:val="00CB66BB"/>
    <w:rsid w:val="00CB6712"/>
    <w:rsid w:val="00CB676B"/>
    <w:rsid w:val="00CB6785"/>
    <w:rsid w:val="00CB6817"/>
    <w:rsid w:val="00CB68DC"/>
    <w:rsid w:val="00CB691B"/>
    <w:rsid w:val="00CB6927"/>
    <w:rsid w:val="00CB6D2D"/>
    <w:rsid w:val="00CB6E5A"/>
    <w:rsid w:val="00CB6E8A"/>
    <w:rsid w:val="00CB73E7"/>
    <w:rsid w:val="00CB752B"/>
    <w:rsid w:val="00CB75D8"/>
    <w:rsid w:val="00CB76E5"/>
    <w:rsid w:val="00CB786F"/>
    <w:rsid w:val="00CB78AD"/>
    <w:rsid w:val="00CB7A22"/>
    <w:rsid w:val="00CB7A80"/>
    <w:rsid w:val="00CB7B34"/>
    <w:rsid w:val="00CB7C68"/>
    <w:rsid w:val="00CB7C6E"/>
    <w:rsid w:val="00CB7DE3"/>
    <w:rsid w:val="00CB7E29"/>
    <w:rsid w:val="00CB7EB2"/>
    <w:rsid w:val="00CC000A"/>
    <w:rsid w:val="00CC01E6"/>
    <w:rsid w:val="00CC02D8"/>
    <w:rsid w:val="00CC035E"/>
    <w:rsid w:val="00CC0588"/>
    <w:rsid w:val="00CC05D1"/>
    <w:rsid w:val="00CC063F"/>
    <w:rsid w:val="00CC083A"/>
    <w:rsid w:val="00CC0A0A"/>
    <w:rsid w:val="00CC0A5F"/>
    <w:rsid w:val="00CC0BEC"/>
    <w:rsid w:val="00CC0C01"/>
    <w:rsid w:val="00CC0C07"/>
    <w:rsid w:val="00CC0C42"/>
    <w:rsid w:val="00CC0D15"/>
    <w:rsid w:val="00CC0E29"/>
    <w:rsid w:val="00CC0E7E"/>
    <w:rsid w:val="00CC0F01"/>
    <w:rsid w:val="00CC0FFB"/>
    <w:rsid w:val="00CC109D"/>
    <w:rsid w:val="00CC115F"/>
    <w:rsid w:val="00CC12A2"/>
    <w:rsid w:val="00CC14A5"/>
    <w:rsid w:val="00CC150F"/>
    <w:rsid w:val="00CC156D"/>
    <w:rsid w:val="00CC1743"/>
    <w:rsid w:val="00CC17FB"/>
    <w:rsid w:val="00CC183A"/>
    <w:rsid w:val="00CC1992"/>
    <w:rsid w:val="00CC19B0"/>
    <w:rsid w:val="00CC1AEC"/>
    <w:rsid w:val="00CC1B47"/>
    <w:rsid w:val="00CC1B4A"/>
    <w:rsid w:val="00CC1B7C"/>
    <w:rsid w:val="00CC1D11"/>
    <w:rsid w:val="00CC1D62"/>
    <w:rsid w:val="00CC1D9C"/>
    <w:rsid w:val="00CC1E10"/>
    <w:rsid w:val="00CC1EC5"/>
    <w:rsid w:val="00CC1FAE"/>
    <w:rsid w:val="00CC1FC9"/>
    <w:rsid w:val="00CC2012"/>
    <w:rsid w:val="00CC2013"/>
    <w:rsid w:val="00CC21C4"/>
    <w:rsid w:val="00CC22BE"/>
    <w:rsid w:val="00CC22F9"/>
    <w:rsid w:val="00CC2360"/>
    <w:rsid w:val="00CC242B"/>
    <w:rsid w:val="00CC255D"/>
    <w:rsid w:val="00CC2562"/>
    <w:rsid w:val="00CC25E3"/>
    <w:rsid w:val="00CC2604"/>
    <w:rsid w:val="00CC265A"/>
    <w:rsid w:val="00CC26BF"/>
    <w:rsid w:val="00CC287F"/>
    <w:rsid w:val="00CC2890"/>
    <w:rsid w:val="00CC2937"/>
    <w:rsid w:val="00CC29F4"/>
    <w:rsid w:val="00CC2B4E"/>
    <w:rsid w:val="00CC2B57"/>
    <w:rsid w:val="00CC2BBC"/>
    <w:rsid w:val="00CC2CCF"/>
    <w:rsid w:val="00CC2DAB"/>
    <w:rsid w:val="00CC2DB1"/>
    <w:rsid w:val="00CC2DE5"/>
    <w:rsid w:val="00CC2E3A"/>
    <w:rsid w:val="00CC2E79"/>
    <w:rsid w:val="00CC2E90"/>
    <w:rsid w:val="00CC2EC1"/>
    <w:rsid w:val="00CC2F55"/>
    <w:rsid w:val="00CC2FA3"/>
    <w:rsid w:val="00CC30C4"/>
    <w:rsid w:val="00CC3125"/>
    <w:rsid w:val="00CC3199"/>
    <w:rsid w:val="00CC3266"/>
    <w:rsid w:val="00CC32E6"/>
    <w:rsid w:val="00CC33BE"/>
    <w:rsid w:val="00CC33CE"/>
    <w:rsid w:val="00CC3449"/>
    <w:rsid w:val="00CC3459"/>
    <w:rsid w:val="00CC3682"/>
    <w:rsid w:val="00CC3749"/>
    <w:rsid w:val="00CC375A"/>
    <w:rsid w:val="00CC377E"/>
    <w:rsid w:val="00CC3858"/>
    <w:rsid w:val="00CC39C2"/>
    <w:rsid w:val="00CC3A44"/>
    <w:rsid w:val="00CC3AE2"/>
    <w:rsid w:val="00CC3C37"/>
    <w:rsid w:val="00CC3CC2"/>
    <w:rsid w:val="00CC3DE4"/>
    <w:rsid w:val="00CC3E31"/>
    <w:rsid w:val="00CC3FF2"/>
    <w:rsid w:val="00CC4127"/>
    <w:rsid w:val="00CC4189"/>
    <w:rsid w:val="00CC4265"/>
    <w:rsid w:val="00CC4357"/>
    <w:rsid w:val="00CC4433"/>
    <w:rsid w:val="00CC445E"/>
    <w:rsid w:val="00CC4588"/>
    <w:rsid w:val="00CC4676"/>
    <w:rsid w:val="00CC4748"/>
    <w:rsid w:val="00CC4766"/>
    <w:rsid w:val="00CC4986"/>
    <w:rsid w:val="00CC49ED"/>
    <w:rsid w:val="00CC4A20"/>
    <w:rsid w:val="00CC4AE5"/>
    <w:rsid w:val="00CC4B81"/>
    <w:rsid w:val="00CC4E0C"/>
    <w:rsid w:val="00CC5198"/>
    <w:rsid w:val="00CC531C"/>
    <w:rsid w:val="00CC539D"/>
    <w:rsid w:val="00CC53CD"/>
    <w:rsid w:val="00CC554F"/>
    <w:rsid w:val="00CC55D0"/>
    <w:rsid w:val="00CC5681"/>
    <w:rsid w:val="00CC5727"/>
    <w:rsid w:val="00CC5728"/>
    <w:rsid w:val="00CC57EE"/>
    <w:rsid w:val="00CC5893"/>
    <w:rsid w:val="00CC5A46"/>
    <w:rsid w:val="00CC5AC1"/>
    <w:rsid w:val="00CC5B82"/>
    <w:rsid w:val="00CC5C1B"/>
    <w:rsid w:val="00CC5C2E"/>
    <w:rsid w:val="00CC5C75"/>
    <w:rsid w:val="00CC5D44"/>
    <w:rsid w:val="00CC5F15"/>
    <w:rsid w:val="00CC5F97"/>
    <w:rsid w:val="00CC6197"/>
    <w:rsid w:val="00CC61F4"/>
    <w:rsid w:val="00CC6295"/>
    <w:rsid w:val="00CC63E4"/>
    <w:rsid w:val="00CC6509"/>
    <w:rsid w:val="00CC6671"/>
    <w:rsid w:val="00CC66F0"/>
    <w:rsid w:val="00CC6726"/>
    <w:rsid w:val="00CC6788"/>
    <w:rsid w:val="00CC68DF"/>
    <w:rsid w:val="00CC694B"/>
    <w:rsid w:val="00CC6A8F"/>
    <w:rsid w:val="00CC6A96"/>
    <w:rsid w:val="00CC6C35"/>
    <w:rsid w:val="00CC6CAE"/>
    <w:rsid w:val="00CC6DC4"/>
    <w:rsid w:val="00CC6EFF"/>
    <w:rsid w:val="00CC6F3E"/>
    <w:rsid w:val="00CC6F75"/>
    <w:rsid w:val="00CC7042"/>
    <w:rsid w:val="00CC70FF"/>
    <w:rsid w:val="00CC7143"/>
    <w:rsid w:val="00CC7197"/>
    <w:rsid w:val="00CC71DF"/>
    <w:rsid w:val="00CC721C"/>
    <w:rsid w:val="00CC778C"/>
    <w:rsid w:val="00CC78C7"/>
    <w:rsid w:val="00CC791B"/>
    <w:rsid w:val="00CC7A59"/>
    <w:rsid w:val="00CC7AC1"/>
    <w:rsid w:val="00CC7B64"/>
    <w:rsid w:val="00CC7B80"/>
    <w:rsid w:val="00CC7DB8"/>
    <w:rsid w:val="00CC7F6F"/>
    <w:rsid w:val="00CC7F9D"/>
    <w:rsid w:val="00CD0031"/>
    <w:rsid w:val="00CD013F"/>
    <w:rsid w:val="00CD0210"/>
    <w:rsid w:val="00CD0250"/>
    <w:rsid w:val="00CD02EF"/>
    <w:rsid w:val="00CD048C"/>
    <w:rsid w:val="00CD04AD"/>
    <w:rsid w:val="00CD0652"/>
    <w:rsid w:val="00CD0779"/>
    <w:rsid w:val="00CD078C"/>
    <w:rsid w:val="00CD0856"/>
    <w:rsid w:val="00CD08AD"/>
    <w:rsid w:val="00CD0A6A"/>
    <w:rsid w:val="00CD0A98"/>
    <w:rsid w:val="00CD0B05"/>
    <w:rsid w:val="00CD0B76"/>
    <w:rsid w:val="00CD0D03"/>
    <w:rsid w:val="00CD0F5B"/>
    <w:rsid w:val="00CD100E"/>
    <w:rsid w:val="00CD10A6"/>
    <w:rsid w:val="00CD1158"/>
    <w:rsid w:val="00CD11B1"/>
    <w:rsid w:val="00CD124D"/>
    <w:rsid w:val="00CD1296"/>
    <w:rsid w:val="00CD132E"/>
    <w:rsid w:val="00CD13E7"/>
    <w:rsid w:val="00CD140C"/>
    <w:rsid w:val="00CD145E"/>
    <w:rsid w:val="00CD16BD"/>
    <w:rsid w:val="00CD1A9D"/>
    <w:rsid w:val="00CD1ADE"/>
    <w:rsid w:val="00CD1B5A"/>
    <w:rsid w:val="00CD1BA3"/>
    <w:rsid w:val="00CD1E85"/>
    <w:rsid w:val="00CD1EF6"/>
    <w:rsid w:val="00CD1FBE"/>
    <w:rsid w:val="00CD20E6"/>
    <w:rsid w:val="00CD2162"/>
    <w:rsid w:val="00CD21BF"/>
    <w:rsid w:val="00CD2534"/>
    <w:rsid w:val="00CD2640"/>
    <w:rsid w:val="00CD2779"/>
    <w:rsid w:val="00CD292B"/>
    <w:rsid w:val="00CD2A27"/>
    <w:rsid w:val="00CD2BF4"/>
    <w:rsid w:val="00CD2C10"/>
    <w:rsid w:val="00CD2CDC"/>
    <w:rsid w:val="00CD2D12"/>
    <w:rsid w:val="00CD2D2D"/>
    <w:rsid w:val="00CD2DB9"/>
    <w:rsid w:val="00CD2DE0"/>
    <w:rsid w:val="00CD2E71"/>
    <w:rsid w:val="00CD2FB5"/>
    <w:rsid w:val="00CD3214"/>
    <w:rsid w:val="00CD3232"/>
    <w:rsid w:val="00CD34FB"/>
    <w:rsid w:val="00CD3517"/>
    <w:rsid w:val="00CD365C"/>
    <w:rsid w:val="00CD3776"/>
    <w:rsid w:val="00CD37A9"/>
    <w:rsid w:val="00CD37B4"/>
    <w:rsid w:val="00CD37FE"/>
    <w:rsid w:val="00CD3814"/>
    <w:rsid w:val="00CD3A0B"/>
    <w:rsid w:val="00CD3A16"/>
    <w:rsid w:val="00CD3A62"/>
    <w:rsid w:val="00CD3B00"/>
    <w:rsid w:val="00CD3B3F"/>
    <w:rsid w:val="00CD3C2E"/>
    <w:rsid w:val="00CD3CBA"/>
    <w:rsid w:val="00CD3DAD"/>
    <w:rsid w:val="00CD3F1A"/>
    <w:rsid w:val="00CD3F51"/>
    <w:rsid w:val="00CD3F66"/>
    <w:rsid w:val="00CD4097"/>
    <w:rsid w:val="00CD40D4"/>
    <w:rsid w:val="00CD410D"/>
    <w:rsid w:val="00CD41B4"/>
    <w:rsid w:val="00CD41C4"/>
    <w:rsid w:val="00CD4322"/>
    <w:rsid w:val="00CD4436"/>
    <w:rsid w:val="00CD44A7"/>
    <w:rsid w:val="00CD44FA"/>
    <w:rsid w:val="00CD4572"/>
    <w:rsid w:val="00CD4613"/>
    <w:rsid w:val="00CD463E"/>
    <w:rsid w:val="00CD46B2"/>
    <w:rsid w:val="00CD471E"/>
    <w:rsid w:val="00CD4767"/>
    <w:rsid w:val="00CD486F"/>
    <w:rsid w:val="00CD491D"/>
    <w:rsid w:val="00CD4959"/>
    <w:rsid w:val="00CD4998"/>
    <w:rsid w:val="00CD49EB"/>
    <w:rsid w:val="00CD4AD4"/>
    <w:rsid w:val="00CD4B0F"/>
    <w:rsid w:val="00CD4B58"/>
    <w:rsid w:val="00CD4B84"/>
    <w:rsid w:val="00CD4C95"/>
    <w:rsid w:val="00CD4D45"/>
    <w:rsid w:val="00CD4DB9"/>
    <w:rsid w:val="00CD4E36"/>
    <w:rsid w:val="00CD4EFD"/>
    <w:rsid w:val="00CD4F08"/>
    <w:rsid w:val="00CD4FAA"/>
    <w:rsid w:val="00CD508E"/>
    <w:rsid w:val="00CD51DB"/>
    <w:rsid w:val="00CD5286"/>
    <w:rsid w:val="00CD52BE"/>
    <w:rsid w:val="00CD52C9"/>
    <w:rsid w:val="00CD5333"/>
    <w:rsid w:val="00CD5392"/>
    <w:rsid w:val="00CD54B6"/>
    <w:rsid w:val="00CD5550"/>
    <w:rsid w:val="00CD5642"/>
    <w:rsid w:val="00CD56C9"/>
    <w:rsid w:val="00CD56F6"/>
    <w:rsid w:val="00CD572D"/>
    <w:rsid w:val="00CD5805"/>
    <w:rsid w:val="00CD595F"/>
    <w:rsid w:val="00CD5A53"/>
    <w:rsid w:val="00CD5A7A"/>
    <w:rsid w:val="00CD5B48"/>
    <w:rsid w:val="00CD5B6C"/>
    <w:rsid w:val="00CD5C12"/>
    <w:rsid w:val="00CD5CB8"/>
    <w:rsid w:val="00CD5D25"/>
    <w:rsid w:val="00CD5F58"/>
    <w:rsid w:val="00CD5FFA"/>
    <w:rsid w:val="00CD6012"/>
    <w:rsid w:val="00CD6036"/>
    <w:rsid w:val="00CD604D"/>
    <w:rsid w:val="00CD61C5"/>
    <w:rsid w:val="00CD62DA"/>
    <w:rsid w:val="00CD62F2"/>
    <w:rsid w:val="00CD631E"/>
    <w:rsid w:val="00CD63BB"/>
    <w:rsid w:val="00CD6528"/>
    <w:rsid w:val="00CD662E"/>
    <w:rsid w:val="00CD666D"/>
    <w:rsid w:val="00CD679F"/>
    <w:rsid w:val="00CD68BE"/>
    <w:rsid w:val="00CD69FB"/>
    <w:rsid w:val="00CD6B19"/>
    <w:rsid w:val="00CD6B73"/>
    <w:rsid w:val="00CD6CA5"/>
    <w:rsid w:val="00CD6CA8"/>
    <w:rsid w:val="00CD6D23"/>
    <w:rsid w:val="00CD6E14"/>
    <w:rsid w:val="00CD6F95"/>
    <w:rsid w:val="00CD6FE0"/>
    <w:rsid w:val="00CD7024"/>
    <w:rsid w:val="00CD7143"/>
    <w:rsid w:val="00CD71AD"/>
    <w:rsid w:val="00CD7365"/>
    <w:rsid w:val="00CD7374"/>
    <w:rsid w:val="00CD7600"/>
    <w:rsid w:val="00CD7676"/>
    <w:rsid w:val="00CD79E3"/>
    <w:rsid w:val="00CD7ABD"/>
    <w:rsid w:val="00CD7B22"/>
    <w:rsid w:val="00CD7B65"/>
    <w:rsid w:val="00CD7BCF"/>
    <w:rsid w:val="00CD7CF5"/>
    <w:rsid w:val="00CD7DBC"/>
    <w:rsid w:val="00CD7E49"/>
    <w:rsid w:val="00CD7E79"/>
    <w:rsid w:val="00CD7ECB"/>
    <w:rsid w:val="00CD7F71"/>
    <w:rsid w:val="00CE0022"/>
    <w:rsid w:val="00CE004A"/>
    <w:rsid w:val="00CE042A"/>
    <w:rsid w:val="00CE04D7"/>
    <w:rsid w:val="00CE04F4"/>
    <w:rsid w:val="00CE0536"/>
    <w:rsid w:val="00CE0696"/>
    <w:rsid w:val="00CE0745"/>
    <w:rsid w:val="00CE077A"/>
    <w:rsid w:val="00CE08AB"/>
    <w:rsid w:val="00CE0903"/>
    <w:rsid w:val="00CE0A0F"/>
    <w:rsid w:val="00CE0A36"/>
    <w:rsid w:val="00CE0BE6"/>
    <w:rsid w:val="00CE0BE9"/>
    <w:rsid w:val="00CE0C0E"/>
    <w:rsid w:val="00CE0FCD"/>
    <w:rsid w:val="00CE1056"/>
    <w:rsid w:val="00CE10D7"/>
    <w:rsid w:val="00CE116D"/>
    <w:rsid w:val="00CE1191"/>
    <w:rsid w:val="00CE1326"/>
    <w:rsid w:val="00CE139A"/>
    <w:rsid w:val="00CE1403"/>
    <w:rsid w:val="00CE1434"/>
    <w:rsid w:val="00CE14F8"/>
    <w:rsid w:val="00CE151A"/>
    <w:rsid w:val="00CE162D"/>
    <w:rsid w:val="00CE1797"/>
    <w:rsid w:val="00CE1825"/>
    <w:rsid w:val="00CE1912"/>
    <w:rsid w:val="00CE1C43"/>
    <w:rsid w:val="00CE1C54"/>
    <w:rsid w:val="00CE1DB6"/>
    <w:rsid w:val="00CE1E8B"/>
    <w:rsid w:val="00CE1F55"/>
    <w:rsid w:val="00CE1F81"/>
    <w:rsid w:val="00CE1FAB"/>
    <w:rsid w:val="00CE207A"/>
    <w:rsid w:val="00CE2114"/>
    <w:rsid w:val="00CE2185"/>
    <w:rsid w:val="00CE21CC"/>
    <w:rsid w:val="00CE21D2"/>
    <w:rsid w:val="00CE2278"/>
    <w:rsid w:val="00CE22BA"/>
    <w:rsid w:val="00CE2473"/>
    <w:rsid w:val="00CE2573"/>
    <w:rsid w:val="00CE25A3"/>
    <w:rsid w:val="00CE27E3"/>
    <w:rsid w:val="00CE28A2"/>
    <w:rsid w:val="00CE2AAE"/>
    <w:rsid w:val="00CE2AEB"/>
    <w:rsid w:val="00CE2CD4"/>
    <w:rsid w:val="00CE2DDD"/>
    <w:rsid w:val="00CE2E6E"/>
    <w:rsid w:val="00CE2E9B"/>
    <w:rsid w:val="00CE2EA8"/>
    <w:rsid w:val="00CE2FF8"/>
    <w:rsid w:val="00CE3019"/>
    <w:rsid w:val="00CE3257"/>
    <w:rsid w:val="00CE3431"/>
    <w:rsid w:val="00CE3538"/>
    <w:rsid w:val="00CE3559"/>
    <w:rsid w:val="00CE3691"/>
    <w:rsid w:val="00CE3779"/>
    <w:rsid w:val="00CE39A3"/>
    <w:rsid w:val="00CE39FA"/>
    <w:rsid w:val="00CE3B11"/>
    <w:rsid w:val="00CE3B54"/>
    <w:rsid w:val="00CE3D4F"/>
    <w:rsid w:val="00CE43C0"/>
    <w:rsid w:val="00CE4437"/>
    <w:rsid w:val="00CE45EA"/>
    <w:rsid w:val="00CE4615"/>
    <w:rsid w:val="00CE472D"/>
    <w:rsid w:val="00CE47D7"/>
    <w:rsid w:val="00CE483D"/>
    <w:rsid w:val="00CE4879"/>
    <w:rsid w:val="00CE48AF"/>
    <w:rsid w:val="00CE48E8"/>
    <w:rsid w:val="00CE49E1"/>
    <w:rsid w:val="00CE4DC5"/>
    <w:rsid w:val="00CE4E10"/>
    <w:rsid w:val="00CE4FE1"/>
    <w:rsid w:val="00CE50A2"/>
    <w:rsid w:val="00CE525C"/>
    <w:rsid w:val="00CE53BE"/>
    <w:rsid w:val="00CE54D1"/>
    <w:rsid w:val="00CE5579"/>
    <w:rsid w:val="00CE5819"/>
    <w:rsid w:val="00CE585A"/>
    <w:rsid w:val="00CE5A96"/>
    <w:rsid w:val="00CE5B02"/>
    <w:rsid w:val="00CE5B19"/>
    <w:rsid w:val="00CE5E29"/>
    <w:rsid w:val="00CE5EF9"/>
    <w:rsid w:val="00CE5F49"/>
    <w:rsid w:val="00CE5F76"/>
    <w:rsid w:val="00CE6132"/>
    <w:rsid w:val="00CE623C"/>
    <w:rsid w:val="00CE6363"/>
    <w:rsid w:val="00CE6490"/>
    <w:rsid w:val="00CE65F7"/>
    <w:rsid w:val="00CE664E"/>
    <w:rsid w:val="00CE6737"/>
    <w:rsid w:val="00CE68B1"/>
    <w:rsid w:val="00CE695F"/>
    <w:rsid w:val="00CE69CE"/>
    <w:rsid w:val="00CE6BF3"/>
    <w:rsid w:val="00CE6D09"/>
    <w:rsid w:val="00CE6D3D"/>
    <w:rsid w:val="00CE6DDD"/>
    <w:rsid w:val="00CE6DE8"/>
    <w:rsid w:val="00CE6F53"/>
    <w:rsid w:val="00CE6FA2"/>
    <w:rsid w:val="00CE6FC4"/>
    <w:rsid w:val="00CE707B"/>
    <w:rsid w:val="00CE71E2"/>
    <w:rsid w:val="00CE7352"/>
    <w:rsid w:val="00CE7419"/>
    <w:rsid w:val="00CE7479"/>
    <w:rsid w:val="00CE7486"/>
    <w:rsid w:val="00CE74E4"/>
    <w:rsid w:val="00CE755C"/>
    <w:rsid w:val="00CE7620"/>
    <w:rsid w:val="00CE76F2"/>
    <w:rsid w:val="00CE772D"/>
    <w:rsid w:val="00CE786E"/>
    <w:rsid w:val="00CE79FF"/>
    <w:rsid w:val="00CE7A33"/>
    <w:rsid w:val="00CE7A4D"/>
    <w:rsid w:val="00CE7BC5"/>
    <w:rsid w:val="00CE7BFA"/>
    <w:rsid w:val="00CE7CCF"/>
    <w:rsid w:val="00CE7DC1"/>
    <w:rsid w:val="00CE7EE9"/>
    <w:rsid w:val="00CE7FE9"/>
    <w:rsid w:val="00CE7FEE"/>
    <w:rsid w:val="00CF0030"/>
    <w:rsid w:val="00CF0076"/>
    <w:rsid w:val="00CF0105"/>
    <w:rsid w:val="00CF0191"/>
    <w:rsid w:val="00CF01AA"/>
    <w:rsid w:val="00CF01B3"/>
    <w:rsid w:val="00CF0219"/>
    <w:rsid w:val="00CF022E"/>
    <w:rsid w:val="00CF03BF"/>
    <w:rsid w:val="00CF03D2"/>
    <w:rsid w:val="00CF0591"/>
    <w:rsid w:val="00CF05D8"/>
    <w:rsid w:val="00CF0660"/>
    <w:rsid w:val="00CF0673"/>
    <w:rsid w:val="00CF07D6"/>
    <w:rsid w:val="00CF08BD"/>
    <w:rsid w:val="00CF0AD7"/>
    <w:rsid w:val="00CF0AF8"/>
    <w:rsid w:val="00CF0B41"/>
    <w:rsid w:val="00CF0B88"/>
    <w:rsid w:val="00CF0BCD"/>
    <w:rsid w:val="00CF0CAA"/>
    <w:rsid w:val="00CF1017"/>
    <w:rsid w:val="00CF10E2"/>
    <w:rsid w:val="00CF1129"/>
    <w:rsid w:val="00CF1184"/>
    <w:rsid w:val="00CF1198"/>
    <w:rsid w:val="00CF126A"/>
    <w:rsid w:val="00CF1359"/>
    <w:rsid w:val="00CF1370"/>
    <w:rsid w:val="00CF13C7"/>
    <w:rsid w:val="00CF1513"/>
    <w:rsid w:val="00CF15D6"/>
    <w:rsid w:val="00CF15ED"/>
    <w:rsid w:val="00CF15F3"/>
    <w:rsid w:val="00CF16AF"/>
    <w:rsid w:val="00CF1701"/>
    <w:rsid w:val="00CF1706"/>
    <w:rsid w:val="00CF1720"/>
    <w:rsid w:val="00CF1727"/>
    <w:rsid w:val="00CF176F"/>
    <w:rsid w:val="00CF179D"/>
    <w:rsid w:val="00CF17A9"/>
    <w:rsid w:val="00CF1829"/>
    <w:rsid w:val="00CF1A0E"/>
    <w:rsid w:val="00CF1A0F"/>
    <w:rsid w:val="00CF1A63"/>
    <w:rsid w:val="00CF1AF2"/>
    <w:rsid w:val="00CF1B17"/>
    <w:rsid w:val="00CF1B2A"/>
    <w:rsid w:val="00CF1B92"/>
    <w:rsid w:val="00CF1BA2"/>
    <w:rsid w:val="00CF1DDA"/>
    <w:rsid w:val="00CF1E82"/>
    <w:rsid w:val="00CF1EA1"/>
    <w:rsid w:val="00CF1FA4"/>
    <w:rsid w:val="00CF2061"/>
    <w:rsid w:val="00CF209C"/>
    <w:rsid w:val="00CF2160"/>
    <w:rsid w:val="00CF2211"/>
    <w:rsid w:val="00CF22AA"/>
    <w:rsid w:val="00CF2352"/>
    <w:rsid w:val="00CF24F1"/>
    <w:rsid w:val="00CF2542"/>
    <w:rsid w:val="00CF2557"/>
    <w:rsid w:val="00CF271E"/>
    <w:rsid w:val="00CF2875"/>
    <w:rsid w:val="00CF2876"/>
    <w:rsid w:val="00CF2A8B"/>
    <w:rsid w:val="00CF2B7B"/>
    <w:rsid w:val="00CF2B8B"/>
    <w:rsid w:val="00CF2BDA"/>
    <w:rsid w:val="00CF2C83"/>
    <w:rsid w:val="00CF2C99"/>
    <w:rsid w:val="00CF2D2D"/>
    <w:rsid w:val="00CF2DDA"/>
    <w:rsid w:val="00CF2E4C"/>
    <w:rsid w:val="00CF2F69"/>
    <w:rsid w:val="00CF2F6A"/>
    <w:rsid w:val="00CF2F73"/>
    <w:rsid w:val="00CF30A6"/>
    <w:rsid w:val="00CF3143"/>
    <w:rsid w:val="00CF3196"/>
    <w:rsid w:val="00CF31B5"/>
    <w:rsid w:val="00CF3463"/>
    <w:rsid w:val="00CF3589"/>
    <w:rsid w:val="00CF3659"/>
    <w:rsid w:val="00CF3788"/>
    <w:rsid w:val="00CF37B3"/>
    <w:rsid w:val="00CF37CC"/>
    <w:rsid w:val="00CF3A38"/>
    <w:rsid w:val="00CF3BE2"/>
    <w:rsid w:val="00CF3C95"/>
    <w:rsid w:val="00CF3CBB"/>
    <w:rsid w:val="00CF3D34"/>
    <w:rsid w:val="00CF3E23"/>
    <w:rsid w:val="00CF3E3B"/>
    <w:rsid w:val="00CF3E76"/>
    <w:rsid w:val="00CF3F3D"/>
    <w:rsid w:val="00CF3F5D"/>
    <w:rsid w:val="00CF4121"/>
    <w:rsid w:val="00CF412B"/>
    <w:rsid w:val="00CF416A"/>
    <w:rsid w:val="00CF419C"/>
    <w:rsid w:val="00CF41B8"/>
    <w:rsid w:val="00CF4327"/>
    <w:rsid w:val="00CF4391"/>
    <w:rsid w:val="00CF43A8"/>
    <w:rsid w:val="00CF44B1"/>
    <w:rsid w:val="00CF44EE"/>
    <w:rsid w:val="00CF45F0"/>
    <w:rsid w:val="00CF460C"/>
    <w:rsid w:val="00CF464D"/>
    <w:rsid w:val="00CF4695"/>
    <w:rsid w:val="00CF4731"/>
    <w:rsid w:val="00CF4AF7"/>
    <w:rsid w:val="00CF4B9E"/>
    <w:rsid w:val="00CF4C8F"/>
    <w:rsid w:val="00CF4D27"/>
    <w:rsid w:val="00CF4DDE"/>
    <w:rsid w:val="00CF4E8F"/>
    <w:rsid w:val="00CF4F5C"/>
    <w:rsid w:val="00CF4FDA"/>
    <w:rsid w:val="00CF503A"/>
    <w:rsid w:val="00CF50CF"/>
    <w:rsid w:val="00CF51DB"/>
    <w:rsid w:val="00CF5298"/>
    <w:rsid w:val="00CF534C"/>
    <w:rsid w:val="00CF53E5"/>
    <w:rsid w:val="00CF5451"/>
    <w:rsid w:val="00CF5521"/>
    <w:rsid w:val="00CF5598"/>
    <w:rsid w:val="00CF55D1"/>
    <w:rsid w:val="00CF5663"/>
    <w:rsid w:val="00CF5677"/>
    <w:rsid w:val="00CF56AD"/>
    <w:rsid w:val="00CF573F"/>
    <w:rsid w:val="00CF5840"/>
    <w:rsid w:val="00CF5A76"/>
    <w:rsid w:val="00CF5C96"/>
    <w:rsid w:val="00CF5E7C"/>
    <w:rsid w:val="00CF5EC2"/>
    <w:rsid w:val="00CF5F02"/>
    <w:rsid w:val="00CF5F13"/>
    <w:rsid w:val="00CF5F49"/>
    <w:rsid w:val="00CF6067"/>
    <w:rsid w:val="00CF60A4"/>
    <w:rsid w:val="00CF6131"/>
    <w:rsid w:val="00CF6190"/>
    <w:rsid w:val="00CF61D1"/>
    <w:rsid w:val="00CF620E"/>
    <w:rsid w:val="00CF6260"/>
    <w:rsid w:val="00CF631D"/>
    <w:rsid w:val="00CF648B"/>
    <w:rsid w:val="00CF64DE"/>
    <w:rsid w:val="00CF656D"/>
    <w:rsid w:val="00CF669A"/>
    <w:rsid w:val="00CF678F"/>
    <w:rsid w:val="00CF67E9"/>
    <w:rsid w:val="00CF6808"/>
    <w:rsid w:val="00CF687C"/>
    <w:rsid w:val="00CF689A"/>
    <w:rsid w:val="00CF6A4B"/>
    <w:rsid w:val="00CF6A96"/>
    <w:rsid w:val="00CF6B14"/>
    <w:rsid w:val="00CF6B4C"/>
    <w:rsid w:val="00CF6B53"/>
    <w:rsid w:val="00CF6B6D"/>
    <w:rsid w:val="00CF6BF5"/>
    <w:rsid w:val="00CF6D60"/>
    <w:rsid w:val="00CF6D9E"/>
    <w:rsid w:val="00CF6E98"/>
    <w:rsid w:val="00CF6F86"/>
    <w:rsid w:val="00CF7055"/>
    <w:rsid w:val="00CF70D7"/>
    <w:rsid w:val="00CF716A"/>
    <w:rsid w:val="00CF719A"/>
    <w:rsid w:val="00CF7290"/>
    <w:rsid w:val="00CF729B"/>
    <w:rsid w:val="00CF7735"/>
    <w:rsid w:val="00CF7834"/>
    <w:rsid w:val="00CF78BE"/>
    <w:rsid w:val="00CF78C4"/>
    <w:rsid w:val="00CF797C"/>
    <w:rsid w:val="00CF7AE0"/>
    <w:rsid w:val="00CF7B20"/>
    <w:rsid w:val="00CF7B35"/>
    <w:rsid w:val="00CF7C8D"/>
    <w:rsid w:val="00CF7E31"/>
    <w:rsid w:val="00CF7F0A"/>
    <w:rsid w:val="00CF7FEC"/>
    <w:rsid w:val="00D0005A"/>
    <w:rsid w:val="00D001C4"/>
    <w:rsid w:val="00D001C6"/>
    <w:rsid w:val="00D00387"/>
    <w:rsid w:val="00D005DE"/>
    <w:rsid w:val="00D00657"/>
    <w:rsid w:val="00D007B5"/>
    <w:rsid w:val="00D0095C"/>
    <w:rsid w:val="00D009E4"/>
    <w:rsid w:val="00D00A4A"/>
    <w:rsid w:val="00D00E63"/>
    <w:rsid w:val="00D00EE5"/>
    <w:rsid w:val="00D00FE8"/>
    <w:rsid w:val="00D01106"/>
    <w:rsid w:val="00D013B8"/>
    <w:rsid w:val="00D013DD"/>
    <w:rsid w:val="00D014C7"/>
    <w:rsid w:val="00D0165A"/>
    <w:rsid w:val="00D01855"/>
    <w:rsid w:val="00D018A7"/>
    <w:rsid w:val="00D018DB"/>
    <w:rsid w:val="00D01AC8"/>
    <w:rsid w:val="00D01CAF"/>
    <w:rsid w:val="00D01CF1"/>
    <w:rsid w:val="00D01CF3"/>
    <w:rsid w:val="00D01D30"/>
    <w:rsid w:val="00D01D50"/>
    <w:rsid w:val="00D01DBD"/>
    <w:rsid w:val="00D0201F"/>
    <w:rsid w:val="00D020F0"/>
    <w:rsid w:val="00D02100"/>
    <w:rsid w:val="00D0228A"/>
    <w:rsid w:val="00D02362"/>
    <w:rsid w:val="00D0244F"/>
    <w:rsid w:val="00D025A1"/>
    <w:rsid w:val="00D02790"/>
    <w:rsid w:val="00D02810"/>
    <w:rsid w:val="00D0291D"/>
    <w:rsid w:val="00D02947"/>
    <w:rsid w:val="00D029B2"/>
    <w:rsid w:val="00D02B94"/>
    <w:rsid w:val="00D02BB6"/>
    <w:rsid w:val="00D02C05"/>
    <w:rsid w:val="00D02C14"/>
    <w:rsid w:val="00D02CA3"/>
    <w:rsid w:val="00D02D3A"/>
    <w:rsid w:val="00D02D74"/>
    <w:rsid w:val="00D02EAE"/>
    <w:rsid w:val="00D02FD8"/>
    <w:rsid w:val="00D02FFB"/>
    <w:rsid w:val="00D03115"/>
    <w:rsid w:val="00D0335C"/>
    <w:rsid w:val="00D0341A"/>
    <w:rsid w:val="00D03444"/>
    <w:rsid w:val="00D03510"/>
    <w:rsid w:val="00D035AC"/>
    <w:rsid w:val="00D035F5"/>
    <w:rsid w:val="00D036D8"/>
    <w:rsid w:val="00D03850"/>
    <w:rsid w:val="00D038CF"/>
    <w:rsid w:val="00D03992"/>
    <w:rsid w:val="00D03AFA"/>
    <w:rsid w:val="00D03C17"/>
    <w:rsid w:val="00D03DA8"/>
    <w:rsid w:val="00D03E73"/>
    <w:rsid w:val="00D04123"/>
    <w:rsid w:val="00D042B6"/>
    <w:rsid w:val="00D0430E"/>
    <w:rsid w:val="00D04393"/>
    <w:rsid w:val="00D043E3"/>
    <w:rsid w:val="00D04442"/>
    <w:rsid w:val="00D044A6"/>
    <w:rsid w:val="00D0452D"/>
    <w:rsid w:val="00D04554"/>
    <w:rsid w:val="00D0463E"/>
    <w:rsid w:val="00D0473C"/>
    <w:rsid w:val="00D04887"/>
    <w:rsid w:val="00D04915"/>
    <w:rsid w:val="00D04988"/>
    <w:rsid w:val="00D049AA"/>
    <w:rsid w:val="00D04A0A"/>
    <w:rsid w:val="00D04A10"/>
    <w:rsid w:val="00D04B73"/>
    <w:rsid w:val="00D04BE1"/>
    <w:rsid w:val="00D04CCE"/>
    <w:rsid w:val="00D04D39"/>
    <w:rsid w:val="00D04EAA"/>
    <w:rsid w:val="00D04F06"/>
    <w:rsid w:val="00D04F31"/>
    <w:rsid w:val="00D05059"/>
    <w:rsid w:val="00D05156"/>
    <w:rsid w:val="00D051A6"/>
    <w:rsid w:val="00D051B5"/>
    <w:rsid w:val="00D053AF"/>
    <w:rsid w:val="00D053EC"/>
    <w:rsid w:val="00D05540"/>
    <w:rsid w:val="00D05546"/>
    <w:rsid w:val="00D0556D"/>
    <w:rsid w:val="00D056D6"/>
    <w:rsid w:val="00D056FE"/>
    <w:rsid w:val="00D05849"/>
    <w:rsid w:val="00D058C3"/>
    <w:rsid w:val="00D059F6"/>
    <w:rsid w:val="00D05A8F"/>
    <w:rsid w:val="00D05A90"/>
    <w:rsid w:val="00D05C1F"/>
    <w:rsid w:val="00D05C3F"/>
    <w:rsid w:val="00D05D34"/>
    <w:rsid w:val="00D05DC3"/>
    <w:rsid w:val="00D05E0E"/>
    <w:rsid w:val="00D05E4F"/>
    <w:rsid w:val="00D060DE"/>
    <w:rsid w:val="00D0623D"/>
    <w:rsid w:val="00D064FC"/>
    <w:rsid w:val="00D065DB"/>
    <w:rsid w:val="00D066AC"/>
    <w:rsid w:val="00D06700"/>
    <w:rsid w:val="00D0682F"/>
    <w:rsid w:val="00D0685B"/>
    <w:rsid w:val="00D06A08"/>
    <w:rsid w:val="00D06A69"/>
    <w:rsid w:val="00D06B75"/>
    <w:rsid w:val="00D06BB8"/>
    <w:rsid w:val="00D06CC9"/>
    <w:rsid w:val="00D06EB3"/>
    <w:rsid w:val="00D06F33"/>
    <w:rsid w:val="00D06F60"/>
    <w:rsid w:val="00D07019"/>
    <w:rsid w:val="00D07116"/>
    <w:rsid w:val="00D07289"/>
    <w:rsid w:val="00D072DE"/>
    <w:rsid w:val="00D07346"/>
    <w:rsid w:val="00D073A1"/>
    <w:rsid w:val="00D07550"/>
    <w:rsid w:val="00D0764E"/>
    <w:rsid w:val="00D076D7"/>
    <w:rsid w:val="00D07806"/>
    <w:rsid w:val="00D0788D"/>
    <w:rsid w:val="00D078C8"/>
    <w:rsid w:val="00D079BB"/>
    <w:rsid w:val="00D07ACD"/>
    <w:rsid w:val="00D07AEB"/>
    <w:rsid w:val="00D07CB4"/>
    <w:rsid w:val="00D07E5B"/>
    <w:rsid w:val="00D07E5F"/>
    <w:rsid w:val="00D07EC6"/>
    <w:rsid w:val="00D07EE5"/>
    <w:rsid w:val="00D101F8"/>
    <w:rsid w:val="00D102B5"/>
    <w:rsid w:val="00D102B8"/>
    <w:rsid w:val="00D10552"/>
    <w:rsid w:val="00D10625"/>
    <w:rsid w:val="00D1063C"/>
    <w:rsid w:val="00D10711"/>
    <w:rsid w:val="00D10749"/>
    <w:rsid w:val="00D108AF"/>
    <w:rsid w:val="00D109BA"/>
    <w:rsid w:val="00D10BB0"/>
    <w:rsid w:val="00D10BCC"/>
    <w:rsid w:val="00D10C3E"/>
    <w:rsid w:val="00D10C7C"/>
    <w:rsid w:val="00D10CF2"/>
    <w:rsid w:val="00D10D7F"/>
    <w:rsid w:val="00D10F25"/>
    <w:rsid w:val="00D10FAE"/>
    <w:rsid w:val="00D11073"/>
    <w:rsid w:val="00D1110B"/>
    <w:rsid w:val="00D111F9"/>
    <w:rsid w:val="00D11293"/>
    <w:rsid w:val="00D112A1"/>
    <w:rsid w:val="00D112CD"/>
    <w:rsid w:val="00D11308"/>
    <w:rsid w:val="00D11371"/>
    <w:rsid w:val="00D11389"/>
    <w:rsid w:val="00D11502"/>
    <w:rsid w:val="00D11523"/>
    <w:rsid w:val="00D115C6"/>
    <w:rsid w:val="00D116A5"/>
    <w:rsid w:val="00D116CB"/>
    <w:rsid w:val="00D118FE"/>
    <w:rsid w:val="00D1193A"/>
    <w:rsid w:val="00D119CD"/>
    <w:rsid w:val="00D11C0D"/>
    <w:rsid w:val="00D11C3A"/>
    <w:rsid w:val="00D11DD1"/>
    <w:rsid w:val="00D11EFE"/>
    <w:rsid w:val="00D1224E"/>
    <w:rsid w:val="00D12294"/>
    <w:rsid w:val="00D1233E"/>
    <w:rsid w:val="00D123D3"/>
    <w:rsid w:val="00D12581"/>
    <w:rsid w:val="00D1262A"/>
    <w:rsid w:val="00D12657"/>
    <w:rsid w:val="00D12671"/>
    <w:rsid w:val="00D12984"/>
    <w:rsid w:val="00D12B9F"/>
    <w:rsid w:val="00D12BA6"/>
    <w:rsid w:val="00D12BD2"/>
    <w:rsid w:val="00D12C7F"/>
    <w:rsid w:val="00D12F11"/>
    <w:rsid w:val="00D13077"/>
    <w:rsid w:val="00D13135"/>
    <w:rsid w:val="00D13229"/>
    <w:rsid w:val="00D134B5"/>
    <w:rsid w:val="00D13655"/>
    <w:rsid w:val="00D136CF"/>
    <w:rsid w:val="00D13700"/>
    <w:rsid w:val="00D138D8"/>
    <w:rsid w:val="00D1395E"/>
    <w:rsid w:val="00D1396D"/>
    <w:rsid w:val="00D139F9"/>
    <w:rsid w:val="00D13A13"/>
    <w:rsid w:val="00D13C67"/>
    <w:rsid w:val="00D13C7E"/>
    <w:rsid w:val="00D13DBA"/>
    <w:rsid w:val="00D13DCD"/>
    <w:rsid w:val="00D13E8E"/>
    <w:rsid w:val="00D13EF9"/>
    <w:rsid w:val="00D14053"/>
    <w:rsid w:val="00D14113"/>
    <w:rsid w:val="00D14130"/>
    <w:rsid w:val="00D14158"/>
    <w:rsid w:val="00D14261"/>
    <w:rsid w:val="00D1436F"/>
    <w:rsid w:val="00D143A4"/>
    <w:rsid w:val="00D14644"/>
    <w:rsid w:val="00D146AB"/>
    <w:rsid w:val="00D14732"/>
    <w:rsid w:val="00D1474C"/>
    <w:rsid w:val="00D148A9"/>
    <w:rsid w:val="00D148F7"/>
    <w:rsid w:val="00D14AA2"/>
    <w:rsid w:val="00D14B0A"/>
    <w:rsid w:val="00D14B69"/>
    <w:rsid w:val="00D14D86"/>
    <w:rsid w:val="00D14D8E"/>
    <w:rsid w:val="00D14DAA"/>
    <w:rsid w:val="00D14E98"/>
    <w:rsid w:val="00D14FBF"/>
    <w:rsid w:val="00D1503B"/>
    <w:rsid w:val="00D150F2"/>
    <w:rsid w:val="00D151E9"/>
    <w:rsid w:val="00D154B0"/>
    <w:rsid w:val="00D154C9"/>
    <w:rsid w:val="00D1559A"/>
    <w:rsid w:val="00D15791"/>
    <w:rsid w:val="00D157A9"/>
    <w:rsid w:val="00D157BA"/>
    <w:rsid w:val="00D15B11"/>
    <w:rsid w:val="00D15B36"/>
    <w:rsid w:val="00D15B3B"/>
    <w:rsid w:val="00D15B99"/>
    <w:rsid w:val="00D15C3F"/>
    <w:rsid w:val="00D15CB4"/>
    <w:rsid w:val="00D15EEF"/>
    <w:rsid w:val="00D15FFB"/>
    <w:rsid w:val="00D162F4"/>
    <w:rsid w:val="00D16312"/>
    <w:rsid w:val="00D163D3"/>
    <w:rsid w:val="00D1641A"/>
    <w:rsid w:val="00D16432"/>
    <w:rsid w:val="00D166D9"/>
    <w:rsid w:val="00D167F2"/>
    <w:rsid w:val="00D167F9"/>
    <w:rsid w:val="00D16AD4"/>
    <w:rsid w:val="00D16B1B"/>
    <w:rsid w:val="00D16CC4"/>
    <w:rsid w:val="00D16D0E"/>
    <w:rsid w:val="00D16D93"/>
    <w:rsid w:val="00D16DD8"/>
    <w:rsid w:val="00D16F53"/>
    <w:rsid w:val="00D17075"/>
    <w:rsid w:val="00D170C6"/>
    <w:rsid w:val="00D170D1"/>
    <w:rsid w:val="00D171EE"/>
    <w:rsid w:val="00D1737B"/>
    <w:rsid w:val="00D1737F"/>
    <w:rsid w:val="00D173A6"/>
    <w:rsid w:val="00D174A3"/>
    <w:rsid w:val="00D174DC"/>
    <w:rsid w:val="00D174E8"/>
    <w:rsid w:val="00D17553"/>
    <w:rsid w:val="00D17615"/>
    <w:rsid w:val="00D176A9"/>
    <w:rsid w:val="00D176C1"/>
    <w:rsid w:val="00D176FE"/>
    <w:rsid w:val="00D177AA"/>
    <w:rsid w:val="00D178BB"/>
    <w:rsid w:val="00D178E0"/>
    <w:rsid w:val="00D179EA"/>
    <w:rsid w:val="00D17C7F"/>
    <w:rsid w:val="00D17DFE"/>
    <w:rsid w:val="00D17E10"/>
    <w:rsid w:val="00D17E76"/>
    <w:rsid w:val="00D17FD6"/>
    <w:rsid w:val="00D17FFD"/>
    <w:rsid w:val="00D2002D"/>
    <w:rsid w:val="00D2012E"/>
    <w:rsid w:val="00D20218"/>
    <w:rsid w:val="00D204B5"/>
    <w:rsid w:val="00D205E9"/>
    <w:rsid w:val="00D20615"/>
    <w:rsid w:val="00D20635"/>
    <w:rsid w:val="00D20714"/>
    <w:rsid w:val="00D20743"/>
    <w:rsid w:val="00D208EE"/>
    <w:rsid w:val="00D20999"/>
    <w:rsid w:val="00D209C1"/>
    <w:rsid w:val="00D20B64"/>
    <w:rsid w:val="00D20BA4"/>
    <w:rsid w:val="00D20CBE"/>
    <w:rsid w:val="00D20D50"/>
    <w:rsid w:val="00D20DE8"/>
    <w:rsid w:val="00D20EEB"/>
    <w:rsid w:val="00D20F29"/>
    <w:rsid w:val="00D20F40"/>
    <w:rsid w:val="00D20F59"/>
    <w:rsid w:val="00D20F90"/>
    <w:rsid w:val="00D20FBF"/>
    <w:rsid w:val="00D210E2"/>
    <w:rsid w:val="00D211E4"/>
    <w:rsid w:val="00D211FC"/>
    <w:rsid w:val="00D212EF"/>
    <w:rsid w:val="00D2133E"/>
    <w:rsid w:val="00D21396"/>
    <w:rsid w:val="00D21422"/>
    <w:rsid w:val="00D2151A"/>
    <w:rsid w:val="00D2153B"/>
    <w:rsid w:val="00D21619"/>
    <w:rsid w:val="00D21720"/>
    <w:rsid w:val="00D21735"/>
    <w:rsid w:val="00D21753"/>
    <w:rsid w:val="00D21821"/>
    <w:rsid w:val="00D21A43"/>
    <w:rsid w:val="00D21A6B"/>
    <w:rsid w:val="00D21C08"/>
    <w:rsid w:val="00D21EDF"/>
    <w:rsid w:val="00D22007"/>
    <w:rsid w:val="00D2200D"/>
    <w:rsid w:val="00D221A5"/>
    <w:rsid w:val="00D221AC"/>
    <w:rsid w:val="00D2223C"/>
    <w:rsid w:val="00D223DF"/>
    <w:rsid w:val="00D2249E"/>
    <w:rsid w:val="00D2253F"/>
    <w:rsid w:val="00D22712"/>
    <w:rsid w:val="00D22745"/>
    <w:rsid w:val="00D22760"/>
    <w:rsid w:val="00D2298C"/>
    <w:rsid w:val="00D229D8"/>
    <w:rsid w:val="00D22A61"/>
    <w:rsid w:val="00D22C5C"/>
    <w:rsid w:val="00D22CDD"/>
    <w:rsid w:val="00D22CE7"/>
    <w:rsid w:val="00D22CEB"/>
    <w:rsid w:val="00D22D02"/>
    <w:rsid w:val="00D22F0C"/>
    <w:rsid w:val="00D22F60"/>
    <w:rsid w:val="00D23077"/>
    <w:rsid w:val="00D2322B"/>
    <w:rsid w:val="00D23397"/>
    <w:rsid w:val="00D23544"/>
    <w:rsid w:val="00D23573"/>
    <w:rsid w:val="00D23686"/>
    <w:rsid w:val="00D23696"/>
    <w:rsid w:val="00D2382E"/>
    <w:rsid w:val="00D239B7"/>
    <w:rsid w:val="00D23A41"/>
    <w:rsid w:val="00D23B20"/>
    <w:rsid w:val="00D23CD1"/>
    <w:rsid w:val="00D23E98"/>
    <w:rsid w:val="00D24293"/>
    <w:rsid w:val="00D24338"/>
    <w:rsid w:val="00D2436A"/>
    <w:rsid w:val="00D243A5"/>
    <w:rsid w:val="00D24459"/>
    <w:rsid w:val="00D244A2"/>
    <w:rsid w:val="00D24518"/>
    <w:rsid w:val="00D245A7"/>
    <w:rsid w:val="00D245C4"/>
    <w:rsid w:val="00D245C5"/>
    <w:rsid w:val="00D2467E"/>
    <w:rsid w:val="00D246B7"/>
    <w:rsid w:val="00D2470B"/>
    <w:rsid w:val="00D24888"/>
    <w:rsid w:val="00D2490D"/>
    <w:rsid w:val="00D249E7"/>
    <w:rsid w:val="00D24AA6"/>
    <w:rsid w:val="00D24B04"/>
    <w:rsid w:val="00D24BF7"/>
    <w:rsid w:val="00D24D3D"/>
    <w:rsid w:val="00D24E09"/>
    <w:rsid w:val="00D24E20"/>
    <w:rsid w:val="00D24E3F"/>
    <w:rsid w:val="00D24E6E"/>
    <w:rsid w:val="00D24F8D"/>
    <w:rsid w:val="00D2515C"/>
    <w:rsid w:val="00D25479"/>
    <w:rsid w:val="00D25499"/>
    <w:rsid w:val="00D256D1"/>
    <w:rsid w:val="00D256F6"/>
    <w:rsid w:val="00D25792"/>
    <w:rsid w:val="00D25910"/>
    <w:rsid w:val="00D25950"/>
    <w:rsid w:val="00D2598D"/>
    <w:rsid w:val="00D25D1E"/>
    <w:rsid w:val="00D25D5A"/>
    <w:rsid w:val="00D26148"/>
    <w:rsid w:val="00D26250"/>
    <w:rsid w:val="00D26261"/>
    <w:rsid w:val="00D262DF"/>
    <w:rsid w:val="00D26368"/>
    <w:rsid w:val="00D26487"/>
    <w:rsid w:val="00D26488"/>
    <w:rsid w:val="00D264BA"/>
    <w:rsid w:val="00D26705"/>
    <w:rsid w:val="00D267C7"/>
    <w:rsid w:val="00D26802"/>
    <w:rsid w:val="00D26AF5"/>
    <w:rsid w:val="00D26D65"/>
    <w:rsid w:val="00D26E08"/>
    <w:rsid w:val="00D26E20"/>
    <w:rsid w:val="00D27043"/>
    <w:rsid w:val="00D2706C"/>
    <w:rsid w:val="00D2714D"/>
    <w:rsid w:val="00D27400"/>
    <w:rsid w:val="00D27435"/>
    <w:rsid w:val="00D27443"/>
    <w:rsid w:val="00D274D6"/>
    <w:rsid w:val="00D2750A"/>
    <w:rsid w:val="00D275AF"/>
    <w:rsid w:val="00D275D7"/>
    <w:rsid w:val="00D27634"/>
    <w:rsid w:val="00D27707"/>
    <w:rsid w:val="00D27759"/>
    <w:rsid w:val="00D27794"/>
    <w:rsid w:val="00D2779E"/>
    <w:rsid w:val="00D278C4"/>
    <w:rsid w:val="00D278CD"/>
    <w:rsid w:val="00D27948"/>
    <w:rsid w:val="00D279B4"/>
    <w:rsid w:val="00D279C6"/>
    <w:rsid w:val="00D27AA2"/>
    <w:rsid w:val="00D27BFF"/>
    <w:rsid w:val="00D27C47"/>
    <w:rsid w:val="00D27CBC"/>
    <w:rsid w:val="00D27D74"/>
    <w:rsid w:val="00D27D93"/>
    <w:rsid w:val="00D27F2A"/>
    <w:rsid w:val="00D27F42"/>
    <w:rsid w:val="00D27FC6"/>
    <w:rsid w:val="00D3006E"/>
    <w:rsid w:val="00D30071"/>
    <w:rsid w:val="00D301BC"/>
    <w:rsid w:val="00D30273"/>
    <w:rsid w:val="00D303F9"/>
    <w:rsid w:val="00D30533"/>
    <w:rsid w:val="00D3061C"/>
    <w:rsid w:val="00D30925"/>
    <w:rsid w:val="00D30944"/>
    <w:rsid w:val="00D30AA2"/>
    <w:rsid w:val="00D30AFF"/>
    <w:rsid w:val="00D30B1B"/>
    <w:rsid w:val="00D30DB3"/>
    <w:rsid w:val="00D30EAC"/>
    <w:rsid w:val="00D30EB1"/>
    <w:rsid w:val="00D3102E"/>
    <w:rsid w:val="00D310F9"/>
    <w:rsid w:val="00D3118A"/>
    <w:rsid w:val="00D31202"/>
    <w:rsid w:val="00D313A4"/>
    <w:rsid w:val="00D314DB"/>
    <w:rsid w:val="00D314F3"/>
    <w:rsid w:val="00D3153B"/>
    <w:rsid w:val="00D3159A"/>
    <w:rsid w:val="00D316B3"/>
    <w:rsid w:val="00D316E9"/>
    <w:rsid w:val="00D316EC"/>
    <w:rsid w:val="00D317A1"/>
    <w:rsid w:val="00D317A9"/>
    <w:rsid w:val="00D3184A"/>
    <w:rsid w:val="00D31870"/>
    <w:rsid w:val="00D31914"/>
    <w:rsid w:val="00D31A37"/>
    <w:rsid w:val="00D31A5C"/>
    <w:rsid w:val="00D31AA4"/>
    <w:rsid w:val="00D31B86"/>
    <w:rsid w:val="00D31BF9"/>
    <w:rsid w:val="00D31E92"/>
    <w:rsid w:val="00D31EB3"/>
    <w:rsid w:val="00D31EC8"/>
    <w:rsid w:val="00D31F30"/>
    <w:rsid w:val="00D320E2"/>
    <w:rsid w:val="00D32283"/>
    <w:rsid w:val="00D32338"/>
    <w:rsid w:val="00D3239D"/>
    <w:rsid w:val="00D32415"/>
    <w:rsid w:val="00D32433"/>
    <w:rsid w:val="00D3249D"/>
    <w:rsid w:val="00D326C9"/>
    <w:rsid w:val="00D3273C"/>
    <w:rsid w:val="00D32775"/>
    <w:rsid w:val="00D32AE0"/>
    <w:rsid w:val="00D32B15"/>
    <w:rsid w:val="00D32C91"/>
    <w:rsid w:val="00D32D10"/>
    <w:rsid w:val="00D32D8E"/>
    <w:rsid w:val="00D32EA9"/>
    <w:rsid w:val="00D32F86"/>
    <w:rsid w:val="00D32FD3"/>
    <w:rsid w:val="00D32FF2"/>
    <w:rsid w:val="00D33043"/>
    <w:rsid w:val="00D330C6"/>
    <w:rsid w:val="00D33127"/>
    <w:rsid w:val="00D331D8"/>
    <w:rsid w:val="00D3329B"/>
    <w:rsid w:val="00D3333C"/>
    <w:rsid w:val="00D33432"/>
    <w:rsid w:val="00D33449"/>
    <w:rsid w:val="00D33467"/>
    <w:rsid w:val="00D334D5"/>
    <w:rsid w:val="00D33524"/>
    <w:rsid w:val="00D33698"/>
    <w:rsid w:val="00D337BD"/>
    <w:rsid w:val="00D33873"/>
    <w:rsid w:val="00D338B0"/>
    <w:rsid w:val="00D33A23"/>
    <w:rsid w:val="00D33AC8"/>
    <w:rsid w:val="00D33AE0"/>
    <w:rsid w:val="00D33B3C"/>
    <w:rsid w:val="00D33C0D"/>
    <w:rsid w:val="00D33CBF"/>
    <w:rsid w:val="00D33EB9"/>
    <w:rsid w:val="00D33F43"/>
    <w:rsid w:val="00D340A8"/>
    <w:rsid w:val="00D340F0"/>
    <w:rsid w:val="00D34154"/>
    <w:rsid w:val="00D341E8"/>
    <w:rsid w:val="00D342EF"/>
    <w:rsid w:val="00D342FB"/>
    <w:rsid w:val="00D3432A"/>
    <w:rsid w:val="00D3434E"/>
    <w:rsid w:val="00D343D9"/>
    <w:rsid w:val="00D344D4"/>
    <w:rsid w:val="00D3450D"/>
    <w:rsid w:val="00D34643"/>
    <w:rsid w:val="00D34651"/>
    <w:rsid w:val="00D34670"/>
    <w:rsid w:val="00D3468B"/>
    <w:rsid w:val="00D346F5"/>
    <w:rsid w:val="00D3470F"/>
    <w:rsid w:val="00D3479D"/>
    <w:rsid w:val="00D3479F"/>
    <w:rsid w:val="00D348A9"/>
    <w:rsid w:val="00D34941"/>
    <w:rsid w:val="00D34978"/>
    <w:rsid w:val="00D349D7"/>
    <w:rsid w:val="00D34C23"/>
    <w:rsid w:val="00D34C2E"/>
    <w:rsid w:val="00D34E19"/>
    <w:rsid w:val="00D3501C"/>
    <w:rsid w:val="00D350C5"/>
    <w:rsid w:val="00D35390"/>
    <w:rsid w:val="00D35501"/>
    <w:rsid w:val="00D3556D"/>
    <w:rsid w:val="00D35631"/>
    <w:rsid w:val="00D3574A"/>
    <w:rsid w:val="00D3584B"/>
    <w:rsid w:val="00D3584E"/>
    <w:rsid w:val="00D358EB"/>
    <w:rsid w:val="00D35952"/>
    <w:rsid w:val="00D359D5"/>
    <w:rsid w:val="00D35B17"/>
    <w:rsid w:val="00D35C0A"/>
    <w:rsid w:val="00D35DAD"/>
    <w:rsid w:val="00D35E2F"/>
    <w:rsid w:val="00D35E7F"/>
    <w:rsid w:val="00D35F07"/>
    <w:rsid w:val="00D35F4C"/>
    <w:rsid w:val="00D36193"/>
    <w:rsid w:val="00D363B4"/>
    <w:rsid w:val="00D36424"/>
    <w:rsid w:val="00D36545"/>
    <w:rsid w:val="00D367BD"/>
    <w:rsid w:val="00D3691F"/>
    <w:rsid w:val="00D36AED"/>
    <w:rsid w:val="00D36C7F"/>
    <w:rsid w:val="00D36CC9"/>
    <w:rsid w:val="00D36E26"/>
    <w:rsid w:val="00D36ECB"/>
    <w:rsid w:val="00D36F00"/>
    <w:rsid w:val="00D36FB1"/>
    <w:rsid w:val="00D3712F"/>
    <w:rsid w:val="00D37415"/>
    <w:rsid w:val="00D37469"/>
    <w:rsid w:val="00D374F4"/>
    <w:rsid w:val="00D375AD"/>
    <w:rsid w:val="00D37670"/>
    <w:rsid w:val="00D37769"/>
    <w:rsid w:val="00D37838"/>
    <w:rsid w:val="00D37849"/>
    <w:rsid w:val="00D379EF"/>
    <w:rsid w:val="00D379F8"/>
    <w:rsid w:val="00D37C3F"/>
    <w:rsid w:val="00D37DBA"/>
    <w:rsid w:val="00D37DD6"/>
    <w:rsid w:val="00D37E52"/>
    <w:rsid w:val="00D37F63"/>
    <w:rsid w:val="00D37FAA"/>
    <w:rsid w:val="00D40097"/>
    <w:rsid w:val="00D400CE"/>
    <w:rsid w:val="00D40133"/>
    <w:rsid w:val="00D40137"/>
    <w:rsid w:val="00D40334"/>
    <w:rsid w:val="00D4035A"/>
    <w:rsid w:val="00D403A5"/>
    <w:rsid w:val="00D403D2"/>
    <w:rsid w:val="00D4041F"/>
    <w:rsid w:val="00D4069F"/>
    <w:rsid w:val="00D4070D"/>
    <w:rsid w:val="00D40752"/>
    <w:rsid w:val="00D40801"/>
    <w:rsid w:val="00D4080D"/>
    <w:rsid w:val="00D40833"/>
    <w:rsid w:val="00D408A9"/>
    <w:rsid w:val="00D408B8"/>
    <w:rsid w:val="00D4092D"/>
    <w:rsid w:val="00D40971"/>
    <w:rsid w:val="00D40A0A"/>
    <w:rsid w:val="00D40A55"/>
    <w:rsid w:val="00D40C2C"/>
    <w:rsid w:val="00D40C8D"/>
    <w:rsid w:val="00D40CA2"/>
    <w:rsid w:val="00D40EB9"/>
    <w:rsid w:val="00D40F51"/>
    <w:rsid w:val="00D40F79"/>
    <w:rsid w:val="00D40FCE"/>
    <w:rsid w:val="00D40FD8"/>
    <w:rsid w:val="00D40FE4"/>
    <w:rsid w:val="00D413A5"/>
    <w:rsid w:val="00D4154E"/>
    <w:rsid w:val="00D4159D"/>
    <w:rsid w:val="00D415B9"/>
    <w:rsid w:val="00D416AC"/>
    <w:rsid w:val="00D4183A"/>
    <w:rsid w:val="00D41851"/>
    <w:rsid w:val="00D41922"/>
    <w:rsid w:val="00D419FA"/>
    <w:rsid w:val="00D41A97"/>
    <w:rsid w:val="00D41B9C"/>
    <w:rsid w:val="00D41BC1"/>
    <w:rsid w:val="00D41BD3"/>
    <w:rsid w:val="00D41C01"/>
    <w:rsid w:val="00D41CBB"/>
    <w:rsid w:val="00D41D3B"/>
    <w:rsid w:val="00D41DC2"/>
    <w:rsid w:val="00D41ECC"/>
    <w:rsid w:val="00D42021"/>
    <w:rsid w:val="00D42113"/>
    <w:rsid w:val="00D4232C"/>
    <w:rsid w:val="00D42355"/>
    <w:rsid w:val="00D423E0"/>
    <w:rsid w:val="00D42662"/>
    <w:rsid w:val="00D426D1"/>
    <w:rsid w:val="00D4273F"/>
    <w:rsid w:val="00D42822"/>
    <w:rsid w:val="00D42879"/>
    <w:rsid w:val="00D42965"/>
    <w:rsid w:val="00D42AC0"/>
    <w:rsid w:val="00D42B13"/>
    <w:rsid w:val="00D42B2A"/>
    <w:rsid w:val="00D42B35"/>
    <w:rsid w:val="00D42B5C"/>
    <w:rsid w:val="00D42CDE"/>
    <w:rsid w:val="00D42D35"/>
    <w:rsid w:val="00D42E23"/>
    <w:rsid w:val="00D42ED1"/>
    <w:rsid w:val="00D42FE0"/>
    <w:rsid w:val="00D43014"/>
    <w:rsid w:val="00D434C2"/>
    <w:rsid w:val="00D43566"/>
    <w:rsid w:val="00D43636"/>
    <w:rsid w:val="00D436E5"/>
    <w:rsid w:val="00D43793"/>
    <w:rsid w:val="00D437D1"/>
    <w:rsid w:val="00D4397F"/>
    <w:rsid w:val="00D43988"/>
    <w:rsid w:val="00D43A3A"/>
    <w:rsid w:val="00D43AB4"/>
    <w:rsid w:val="00D43B2C"/>
    <w:rsid w:val="00D43CA5"/>
    <w:rsid w:val="00D43CB8"/>
    <w:rsid w:val="00D43D41"/>
    <w:rsid w:val="00D43F9F"/>
    <w:rsid w:val="00D44277"/>
    <w:rsid w:val="00D442E3"/>
    <w:rsid w:val="00D442F8"/>
    <w:rsid w:val="00D4432A"/>
    <w:rsid w:val="00D44330"/>
    <w:rsid w:val="00D44350"/>
    <w:rsid w:val="00D44437"/>
    <w:rsid w:val="00D4449C"/>
    <w:rsid w:val="00D444F8"/>
    <w:rsid w:val="00D44895"/>
    <w:rsid w:val="00D44945"/>
    <w:rsid w:val="00D44BCF"/>
    <w:rsid w:val="00D44C99"/>
    <w:rsid w:val="00D44DFE"/>
    <w:rsid w:val="00D44E3A"/>
    <w:rsid w:val="00D44E56"/>
    <w:rsid w:val="00D44F2E"/>
    <w:rsid w:val="00D45019"/>
    <w:rsid w:val="00D4506C"/>
    <w:rsid w:val="00D450E1"/>
    <w:rsid w:val="00D4528A"/>
    <w:rsid w:val="00D45342"/>
    <w:rsid w:val="00D4540C"/>
    <w:rsid w:val="00D45457"/>
    <w:rsid w:val="00D45485"/>
    <w:rsid w:val="00D454C3"/>
    <w:rsid w:val="00D454CF"/>
    <w:rsid w:val="00D4561D"/>
    <w:rsid w:val="00D45702"/>
    <w:rsid w:val="00D457FB"/>
    <w:rsid w:val="00D45802"/>
    <w:rsid w:val="00D45852"/>
    <w:rsid w:val="00D458F2"/>
    <w:rsid w:val="00D4592E"/>
    <w:rsid w:val="00D459CB"/>
    <w:rsid w:val="00D45A5B"/>
    <w:rsid w:val="00D45B1B"/>
    <w:rsid w:val="00D45C56"/>
    <w:rsid w:val="00D45CF9"/>
    <w:rsid w:val="00D45DBE"/>
    <w:rsid w:val="00D45E37"/>
    <w:rsid w:val="00D45EC6"/>
    <w:rsid w:val="00D45ECE"/>
    <w:rsid w:val="00D460FA"/>
    <w:rsid w:val="00D46229"/>
    <w:rsid w:val="00D462C5"/>
    <w:rsid w:val="00D462C8"/>
    <w:rsid w:val="00D46313"/>
    <w:rsid w:val="00D463A0"/>
    <w:rsid w:val="00D463B0"/>
    <w:rsid w:val="00D463B4"/>
    <w:rsid w:val="00D46445"/>
    <w:rsid w:val="00D46502"/>
    <w:rsid w:val="00D46585"/>
    <w:rsid w:val="00D4676D"/>
    <w:rsid w:val="00D4682C"/>
    <w:rsid w:val="00D4684E"/>
    <w:rsid w:val="00D46C85"/>
    <w:rsid w:val="00D46E62"/>
    <w:rsid w:val="00D46E90"/>
    <w:rsid w:val="00D46F15"/>
    <w:rsid w:val="00D46F74"/>
    <w:rsid w:val="00D46FBA"/>
    <w:rsid w:val="00D46FD1"/>
    <w:rsid w:val="00D47011"/>
    <w:rsid w:val="00D4708E"/>
    <w:rsid w:val="00D470B9"/>
    <w:rsid w:val="00D470DB"/>
    <w:rsid w:val="00D47105"/>
    <w:rsid w:val="00D472AD"/>
    <w:rsid w:val="00D473C7"/>
    <w:rsid w:val="00D47436"/>
    <w:rsid w:val="00D47549"/>
    <w:rsid w:val="00D475B0"/>
    <w:rsid w:val="00D47872"/>
    <w:rsid w:val="00D478AF"/>
    <w:rsid w:val="00D478CF"/>
    <w:rsid w:val="00D47909"/>
    <w:rsid w:val="00D4790F"/>
    <w:rsid w:val="00D4791D"/>
    <w:rsid w:val="00D47A38"/>
    <w:rsid w:val="00D47AD6"/>
    <w:rsid w:val="00D47B55"/>
    <w:rsid w:val="00D47B66"/>
    <w:rsid w:val="00D47B70"/>
    <w:rsid w:val="00D47BCB"/>
    <w:rsid w:val="00D47C26"/>
    <w:rsid w:val="00D47CBF"/>
    <w:rsid w:val="00D47D28"/>
    <w:rsid w:val="00D47D5B"/>
    <w:rsid w:val="00D47F52"/>
    <w:rsid w:val="00D5009E"/>
    <w:rsid w:val="00D50150"/>
    <w:rsid w:val="00D50251"/>
    <w:rsid w:val="00D50316"/>
    <w:rsid w:val="00D50420"/>
    <w:rsid w:val="00D50485"/>
    <w:rsid w:val="00D505D3"/>
    <w:rsid w:val="00D50697"/>
    <w:rsid w:val="00D5085B"/>
    <w:rsid w:val="00D508B1"/>
    <w:rsid w:val="00D508CE"/>
    <w:rsid w:val="00D5095F"/>
    <w:rsid w:val="00D50995"/>
    <w:rsid w:val="00D509DB"/>
    <w:rsid w:val="00D50A06"/>
    <w:rsid w:val="00D50A38"/>
    <w:rsid w:val="00D50B8F"/>
    <w:rsid w:val="00D50B98"/>
    <w:rsid w:val="00D50E88"/>
    <w:rsid w:val="00D50F74"/>
    <w:rsid w:val="00D50FBE"/>
    <w:rsid w:val="00D51168"/>
    <w:rsid w:val="00D51222"/>
    <w:rsid w:val="00D51437"/>
    <w:rsid w:val="00D514C6"/>
    <w:rsid w:val="00D51598"/>
    <w:rsid w:val="00D515A9"/>
    <w:rsid w:val="00D515B5"/>
    <w:rsid w:val="00D515F0"/>
    <w:rsid w:val="00D515F9"/>
    <w:rsid w:val="00D516FF"/>
    <w:rsid w:val="00D51754"/>
    <w:rsid w:val="00D51800"/>
    <w:rsid w:val="00D51895"/>
    <w:rsid w:val="00D519C6"/>
    <w:rsid w:val="00D51CE8"/>
    <w:rsid w:val="00D51E77"/>
    <w:rsid w:val="00D51EA0"/>
    <w:rsid w:val="00D51EDE"/>
    <w:rsid w:val="00D51F57"/>
    <w:rsid w:val="00D51F89"/>
    <w:rsid w:val="00D52084"/>
    <w:rsid w:val="00D52186"/>
    <w:rsid w:val="00D5246B"/>
    <w:rsid w:val="00D5249B"/>
    <w:rsid w:val="00D52543"/>
    <w:rsid w:val="00D52AC3"/>
    <w:rsid w:val="00D52C52"/>
    <w:rsid w:val="00D52C7E"/>
    <w:rsid w:val="00D52CB3"/>
    <w:rsid w:val="00D52CDA"/>
    <w:rsid w:val="00D52E21"/>
    <w:rsid w:val="00D52E2E"/>
    <w:rsid w:val="00D52E85"/>
    <w:rsid w:val="00D52F76"/>
    <w:rsid w:val="00D53011"/>
    <w:rsid w:val="00D53092"/>
    <w:rsid w:val="00D530FA"/>
    <w:rsid w:val="00D532A4"/>
    <w:rsid w:val="00D53343"/>
    <w:rsid w:val="00D5338D"/>
    <w:rsid w:val="00D53536"/>
    <w:rsid w:val="00D535D8"/>
    <w:rsid w:val="00D5361A"/>
    <w:rsid w:val="00D5363F"/>
    <w:rsid w:val="00D53663"/>
    <w:rsid w:val="00D5379F"/>
    <w:rsid w:val="00D5384D"/>
    <w:rsid w:val="00D539D6"/>
    <w:rsid w:val="00D53A6F"/>
    <w:rsid w:val="00D53B1A"/>
    <w:rsid w:val="00D53C0C"/>
    <w:rsid w:val="00D53CA5"/>
    <w:rsid w:val="00D53CAF"/>
    <w:rsid w:val="00D53EBF"/>
    <w:rsid w:val="00D53EDA"/>
    <w:rsid w:val="00D53F11"/>
    <w:rsid w:val="00D53F85"/>
    <w:rsid w:val="00D54117"/>
    <w:rsid w:val="00D5412E"/>
    <w:rsid w:val="00D541A5"/>
    <w:rsid w:val="00D541CC"/>
    <w:rsid w:val="00D54394"/>
    <w:rsid w:val="00D5446E"/>
    <w:rsid w:val="00D544A9"/>
    <w:rsid w:val="00D5455F"/>
    <w:rsid w:val="00D54581"/>
    <w:rsid w:val="00D548D7"/>
    <w:rsid w:val="00D549B7"/>
    <w:rsid w:val="00D54B8A"/>
    <w:rsid w:val="00D54BCB"/>
    <w:rsid w:val="00D54D0A"/>
    <w:rsid w:val="00D54D62"/>
    <w:rsid w:val="00D54DCC"/>
    <w:rsid w:val="00D54DD4"/>
    <w:rsid w:val="00D54E1C"/>
    <w:rsid w:val="00D54F85"/>
    <w:rsid w:val="00D54FC2"/>
    <w:rsid w:val="00D5512B"/>
    <w:rsid w:val="00D55138"/>
    <w:rsid w:val="00D552E7"/>
    <w:rsid w:val="00D5533E"/>
    <w:rsid w:val="00D554DF"/>
    <w:rsid w:val="00D5550D"/>
    <w:rsid w:val="00D5558C"/>
    <w:rsid w:val="00D55691"/>
    <w:rsid w:val="00D556F8"/>
    <w:rsid w:val="00D55700"/>
    <w:rsid w:val="00D55720"/>
    <w:rsid w:val="00D55748"/>
    <w:rsid w:val="00D55828"/>
    <w:rsid w:val="00D55A41"/>
    <w:rsid w:val="00D55A64"/>
    <w:rsid w:val="00D55BC3"/>
    <w:rsid w:val="00D55D02"/>
    <w:rsid w:val="00D55DEF"/>
    <w:rsid w:val="00D5607F"/>
    <w:rsid w:val="00D56119"/>
    <w:rsid w:val="00D5622C"/>
    <w:rsid w:val="00D56247"/>
    <w:rsid w:val="00D563B1"/>
    <w:rsid w:val="00D564A5"/>
    <w:rsid w:val="00D565B1"/>
    <w:rsid w:val="00D566E9"/>
    <w:rsid w:val="00D56949"/>
    <w:rsid w:val="00D56B65"/>
    <w:rsid w:val="00D56BFC"/>
    <w:rsid w:val="00D56C63"/>
    <w:rsid w:val="00D56C68"/>
    <w:rsid w:val="00D56D18"/>
    <w:rsid w:val="00D56D25"/>
    <w:rsid w:val="00D56D43"/>
    <w:rsid w:val="00D56DDC"/>
    <w:rsid w:val="00D56DEA"/>
    <w:rsid w:val="00D56E32"/>
    <w:rsid w:val="00D56E4D"/>
    <w:rsid w:val="00D56E75"/>
    <w:rsid w:val="00D56E9B"/>
    <w:rsid w:val="00D56EB8"/>
    <w:rsid w:val="00D56ECC"/>
    <w:rsid w:val="00D5702B"/>
    <w:rsid w:val="00D572A2"/>
    <w:rsid w:val="00D574E6"/>
    <w:rsid w:val="00D574EA"/>
    <w:rsid w:val="00D575AD"/>
    <w:rsid w:val="00D57664"/>
    <w:rsid w:val="00D5766E"/>
    <w:rsid w:val="00D57696"/>
    <w:rsid w:val="00D576E0"/>
    <w:rsid w:val="00D57909"/>
    <w:rsid w:val="00D57B28"/>
    <w:rsid w:val="00D57B65"/>
    <w:rsid w:val="00D57BD8"/>
    <w:rsid w:val="00D57C36"/>
    <w:rsid w:val="00D57CF1"/>
    <w:rsid w:val="00D57D7F"/>
    <w:rsid w:val="00D57DDD"/>
    <w:rsid w:val="00D57E9A"/>
    <w:rsid w:val="00D57F38"/>
    <w:rsid w:val="00D57F4B"/>
    <w:rsid w:val="00D57F55"/>
    <w:rsid w:val="00D57FF1"/>
    <w:rsid w:val="00D6011F"/>
    <w:rsid w:val="00D601A6"/>
    <w:rsid w:val="00D6021D"/>
    <w:rsid w:val="00D6026A"/>
    <w:rsid w:val="00D603D6"/>
    <w:rsid w:val="00D60585"/>
    <w:rsid w:val="00D6059A"/>
    <w:rsid w:val="00D60612"/>
    <w:rsid w:val="00D6069A"/>
    <w:rsid w:val="00D607AC"/>
    <w:rsid w:val="00D607C2"/>
    <w:rsid w:val="00D60802"/>
    <w:rsid w:val="00D60842"/>
    <w:rsid w:val="00D60A6A"/>
    <w:rsid w:val="00D60AD7"/>
    <w:rsid w:val="00D60B0A"/>
    <w:rsid w:val="00D60C92"/>
    <w:rsid w:val="00D60C9B"/>
    <w:rsid w:val="00D60CC6"/>
    <w:rsid w:val="00D60CF4"/>
    <w:rsid w:val="00D60DB6"/>
    <w:rsid w:val="00D60DF8"/>
    <w:rsid w:val="00D60E22"/>
    <w:rsid w:val="00D61052"/>
    <w:rsid w:val="00D610D4"/>
    <w:rsid w:val="00D6114B"/>
    <w:rsid w:val="00D6119D"/>
    <w:rsid w:val="00D611FF"/>
    <w:rsid w:val="00D612AA"/>
    <w:rsid w:val="00D6135D"/>
    <w:rsid w:val="00D6146B"/>
    <w:rsid w:val="00D614C3"/>
    <w:rsid w:val="00D61524"/>
    <w:rsid w:val="00D6156A"/>
    <w:rsid w:val="00D616D2"/>
    <w:rsid w:val="00D61779"/>
    <w:rsid w:val="00D6184F"/>
    <w:rsid w:val="00D61950"/>
    <w:rsid w:val="00D61976"/>
    <w:rsid w:val="00D619A8"/>
    <w:rsid w:val="00D61A29"/>
    <w:rsid w:val="00D61A55"/>
    <w:rsid w:val="00D61B6A"/>
    <w:rsid w:val="00D61B71"/>
    <w:rsid w:val="00D61BA6"/>
    <w:rsid w:val="00D61BB3"/>
    <w:rsid w:val="00D61C3B"/>
    <w:rsid w:val="00D61F6E"/>
    <w:rsid w:val="00D62204"/>
    <w:rsid w:val="00D622B1"/>
    <w:rsid w:val="00D623E8"/>
    <w:rsid w:val="00D6240C"/>
    <w:rsid w:val="00D6243A"/>
    <w:rsid w:val="00D6243C"/>
    <w:rsid w:val="00D624D3"/>
    <w:rsid w:val="00D624FE"/>
    <w:rsid w:val="00D62537"/>
    <w:rsid w:val="00D625DC"/>
    <w:rsid w:val="00D625E9"/>
    <w:rsid w:val="00D627D9"/>
    <w:rsid w:val="00D62844"/>
    <w:rsid w:val="00D629B1"/>
    <w:rsid w:val="00D629CC"/>
    <w:rsid w:val="00D629D7"/>
    <w:rsid w:val="00D62AD4"/>
    <w:rsid w:val="00D62AF4"/>
    <w:rsid w:val="00D62B94"/>
    <w:rsid w:val="00D62CBC"/>
    <w:rsid w:val="00D62CD7"/>
    <w:rsid w:val="00D62D5A"/>
    <w:rsid w:val="00D62D8B"/>
    <w:rsid w:val="00D62E2E"/>
    <w:rsid w:val="00D62F02"/>
    <w:rsid w:val="00D62F51"/>
    <w:rsid w:val="00D62F79"/>
    <w:rsid w:val="00D62F98"/>
    <w:rsid w:val="00D63022"/>
    <w:rsid w:val="00D6308F"/>
    <w:rsid w:val="00D631DE"/>
    <w:rsid w:val="00D6323F"/>
    <w:rsid w:val="00D63333"/>
    <w:rsid w:val="00D634A2"/>
    <w:rsid w:val="00D634FA"/>
    <w:rsid w:val="00D6368F"/>
    <w:rsid w:val="00D63697"/>
    <w:rsid w:val="00D6372F"/>
    <w:rsid w:val="00D63775"/>
    <w:rsid w:val="00D63846"/>
    <w:rsid w:val="00D638CC"/>
    <w:rsid w:val="00D6398F"/>
    <w:rsid w:val="00D63A2D"/>
    <w:rsid w:val="00D63B7A"/>
    <w:rsid w:val="00D63CCB"/>
    <w:rsid w:val="00D63D21"/>
    <w:rsid w:val="00D63DDD"/>
    <w:rsid w:val="00D63DE8"/>
    <w:rsid w:val="00D63E00"/>
    <w:rsid w:val="00D63F02"/>
    <w:rsid w:val="00D63F45"/>
    <w:rsid w:val="00D6405C"/>
    <w:rsid w:val="00D6409D"/>
    <w:rsid w:val="00D641A8"/>
    <w:rsid w:val="00D641C3"/>
    <w:rsid w:val="00D6426B"/>
    <w:rsid w:val="00D6428F"/>
    <w:rsid w:val="00D6443C"/>
    <w:rsid w:val="00D645B9"/>
    <w:rsid w:val="00D64665"/>
    <w:rsid w:val="00D6479C"/>
    <w:rsid w:val="00D6491D"/>
    <w:rsid w:val="00D64AE1"/>
    <w:rsid w:val="00D64BD9"/>
    <w:rsid w:val="00D64CBE"/>
    <w:rsid w:val="00D64EC4"/>
    <w:rsid w:val="00D64F59"/>
    <w:rsid w:val="00D65053"/>
    <w:rsid w:val="00D650E5"/>
    <w:rsid w:val="00D650FB"/>
    <w:rsid w:val="00D65265"/>
    <w:rsid w:val="00D6536C"/>
    <w:rsid w:val="00D653C6"/>
    <w:rsid w:val="00D654F8"/>
    <w:rsid w:val="00D65531"/>
    <w:rsid w:val="00D6564A"/>
    <w:rsid w:val="00D65692"/>
    <w:rsid w:val="00D657C2"/>
    <w:rsid w:val="00D658A7"/>
    <w:rsid w:val="00D65918"/>
    <w:rsid w:val="00D6594A"/>
    <w:rsid w:val="00D659BF"/>
    <w:rsid w:val="00D659C9"/>
    <w:rsid w:val="00D65A99"/>
    <w:rsid w:val="00D65BB9"/>
    <w:rsid w:val="00D65CCD"/>
    <w:rsid w:val="00D65F59"/>
    <w:rsid w:val="00D660B4"/>
    <w:rsid w:val="00D660C4"/>
    <w:rsid w:val="00D660F4"/>
    <w:rsid w:val="00D66125"/>
    <w:rsid w:val="00D66225"/>
    <w:rsid w:val="00D66227"/>
    <w:rsid w:val="00D662E7"/>
    <w:rsid w:val="00D663A2"/>
    <w:rsid w:val="00D6641C"/>
    <w:rsid w:val="00D66492"/>
    <w:rsid w:val="00D66507"/>
    <w:rsid w:val="00D667CC"/>
    <w:rsid w:val="00D66810"/>
    <w:rsid w:val="00D668F7"/>
    <w:rsid w:val="00D669D4"/>
    <w:rsid w:val="00D66B7C"/>
    <w:rsid w:val="00D66BCB"/>
    <w:rsid w:val="00D66C38"/>
    <w:rsid w:val="00D66C9A"/>
    <w:rsid w:val="00D66D5A"/>
    <w:rsid w:val="00D66E07"/>
    <w:rsid w:val="00D66E95"/>
    <w:rsid w:val="00D672A8"/>
    <w:rsid w:val="00D673B7"/>
    <w:rsid w:val="00D6741E"/>
    <w:rsid w:val="00D6748B"/>
    <w:rsid w:val="00D67535"/>
    <w:rsid w:val="00D6757F"/>
    <w:rsid w:val="00D675F6"/>
    <w:rsid w:val="00D6768E"/>
    <w:rsid w:val="00D67901"/>
    <w:rsid w:val="00D67913"/>
    <w:rsid w:val="00D679FE"/>
    <w:rsid w:val="00D67A21"/>
    <w:rsid w:val="00D67B90"/>
    <w:rsid w:val="00D67D49"/>
    <w:rsid w:val="00D67ECD"/>
    <w:rsid w:val="00D67F7A"/>
    <w:rsid w:val="00D70065"/>
    <w:rsid w:val="00D700BB"/>
    <w:rsid w:val="00D7021B"/>
    <w:rsid w:val="00D7023D"/>
    <w:rsid w:val="00D70255"/>
    <w:rsid w:val="00D7026B"/>
    <w:rsid w:val="00D70361"/>
    <w:rsid w:val="00D703B2"/>
    <w:rsid w:val="00D703B5"/>
    <w:rsid w:val="00D705AD"/>
    <w:rsid w:val="00D70742"/>
    <w:rsid w:val="00D707B0"/>
    <w:rsid w:val="00D7088D"/>
    <w:rsid w:val="00D7089A"/>
    <w:rsid w:val="00D708BB"/>
    <w:rsid w:val="00D708FA"/>
    <w:rsid w:val="00D70912"/>
    <w:rsid w:val="00D70950"/>
    <w:rsid w:val="00D709BD"/>
    <w:rsid w:val="00D709E8"/>
    <w:rsid w:val="00D70ACA"/>
    <w:rsid w:val="00D70AD6"/>
    <w:rsid w:val="00D70B2D"/>
    <w:rsid w:val="00D70C74"/>
    <w:rsid w:val="00D70D9C"/>
    <w:rsid w:val="00D70DD1"/>
    <w:rsid w:val="00D70E2F"/>
    <w:rsid w:val="00D70EEF"/>
    <w:rsid w:val="00D7122C"/>
    <w:rsid w:val="00D713CF"/>
    <w:rsid w:val="00D714BE"/>
    <w:rsid w:val="00D715A5"/>
    <w:rsid w:val="00D716EE"/>
    <w:rsid w:val="00D7173D"/>
    <w:rsid w:val="00D71B4B"/>
    <w:rsid w:val="00D71C25"/>
    <w:rsid w:val="00D71C56"/>
    <w:rsid w:val="00D71CAF"/>
    <w:rsid w:val="00D71D1F"/>
    <w:rsid w:val="00D72239"/>
    <w:rsid w:val="00D722B3"/>
    <w:rsid w:val="00D722EF"/>
    <w:rsid w:val="00D72422"/>
    <w:rsid w:val="00D724FC"/>
    <w:rsid w:val="00D7264C"/>
    <w:rsid w:val="00D7299C"/>
    <w:rsid w:val="00D729D4"/>
    <w:rsid w:val="00D72C34"/>
    <w:rsid w:val="00D72DA6"/>
    <w:rsid w:val="00D72E3D"/>
    <w:rsid w:val="00D72F09"/>
    <w:rsid w:val="00D72F98"/>
    <w:rsid w:val="00D73060"/>
    <w:rsid w:val="00D731E6"/>
    <w:rsid w:val="00D733E2"/>
    <w:rsid w:val="00D7350F"/>
    <w:rsid w:val="00D73556"/>
    <w:rsid w:val="00D73710"/>
    <w:rsid w:val="00D73802"/>
    <w:rsid w:val="00D73840"/>
    <w:rsid w:val="00D73857"/>
    <w:rsid w:val="00D738B3"/>
    <w:rsid w:val="00D73956"/>
    <w:rsid w:val="00D73960"/>
    <w:rsid w:val="00D739B5"/>
    <w:rsid w:val="00D73A86"/>
    <w:rsid w:val="00D73AEC"/>
    <w:rsid w:val="00D73C25"/>
    <w:rsid w:val="00D73C4B"/>
    <w:rsid w:val="00D73CC0"/>
    <w:rsid w:val="00D73EB3"/>
    <w:rsid w:val="00D73EC1"/>
    <w:rsid w:val="00D73FAE"/>
    <w:rsid w:val="00D740C2"/>
    <w:rsid w:val="00D740EA"/>
    <w:rsid w:val="00D7410F"/>
    <w:rsid w:val="00D7425C"/>
    <w:rsid w:val="00D742AC"/>
    <w:rsid w:val="00D74320"/>
    <w:rsid w:val="00D7432C"/>
    <w:rsid w:val="00D74359"/>
    <w:rsid w:val="00D74578"/>
    <w:rsid w:val="00D74584"/>
    <w:rsid w:val="00D745FC"/>
    <w:rsid w:val="00D74605"/>
    <w:rsid w:val="00D7463D"/>
    <w:rsid w:val="00D747E4"/>
    <w:rsid w:val="00D748C8"/>
    <w:rsid w:val="00D7497F"/>
    <w:rsid w:val="00D7498C"/>
    <w:rsid w:val="00D749A1"/>
    <w:rsid w:val="00D74A7E"/>
    <w:rsid w:val="00D74BDB"/>
    <w:rsid w:val="00D74C62"/>
    <w:rsid w:val="00D74CDD"/>
    <w:rsid w:val="00D74CF2"/>
    <w:rsid w:val="00D74D51"/>
    <w:rsid w:val="00D74EB9"/>
    <w:rsid w:val="00D75198"/>
    <w:rsid w:val="00D751B5"/>
    <w:rsid w:val="00D751E8"/>
    <w:rsid w:val="00D752C0"/>
    <w:rsid w:val="00D7534C"/>
    <w:rsid w:val="00D75352"/>
    <w:rsid w:val="00D7552F"/>
    <w:rsid w:val="00D75557"/>
    <w:rsid w:val="00D7563E"/>
    <w:rsid w:val="00D758E3"/>
    <w:rsid w:val="00D7596B"/>
    <w:rsid w:val="00D75989"/>
    <w:rsid w:val="00D75BA4"/>
    <w:rsid w:val="00D75D04"/>
    <w:rsid w:val="00D75E05"/>
    <w:rsid w:val="00D7603F"/>
    <w:rsid w:val="00D76115"/>
    <w:rsid w:val="00D761B2"/>
    <w:rsid w:val="00D762A0"/>
    <w:rsid w:val="00D762AE"/>
    <w:rsid w:val="00D7646E"/>
    <w:rsid w:val="00D7648F"/>
    <w:rsid w:val="00D764BD"/>
    <w:rsid w:val="00D7664D"/>
    <w:rsid w:val="00D76825"/>
    <w:rsid w:val="00D76829"/>
    <w:rsid w:val="00D7682D"/>
    <w:rsid w:val="00D76BC2"/>
    <w:rsid w:val="00D76CA9"/>
    <w:rsid w:val="00D76D44"/>
    <w:rsid w:val="00D76D46"/>
    <w:rsid w:val="00D76D99"/>
    <w:rsid w:val="00D76DC9"/>
    <w:rsid w:val="00D76DF7"/>
    <w:rsid w:val="00D76E2C"/>
    <w:rsid w:val="00D76E7D"/>
    <w:rsid w:val="00D7708C"/>
    <w:rsid w:val="00D770F4"/>
    <w:rsid w:val="00D771CE"/>
    <w:rsid w:val="00D77324"/>
    <w:rsid w:val="00D77394"/>
    <w:rsid w:val="00D773EC"/>
    <w:rsid w:val="00D77503"/>
    <w:rsid w:val="00D7759A"/>
    <w:rsid w:val="00D775D7"/>
    <w:rsid w:val="00D776BA"/>
    <w:rsid w:val="00D776D0"/>
    <w:rsid w:val="00D77733"/>
    <w:rsid w:val="00D77808"/>
    <w:rsid w:val="00D77816"/>
    <w:rsid w:val="00D7782A"/>
    <w:rsid w:val="00D7788C"/>
    <w:rsid w:val="00D779A5"/>
    <w:rsid w:val="00D77AC0"/>
    <w:rsid w:val="00D77AE7"/>
    <w:rsid w:val="00D77BD9"/>
    <w:rsid w:val="00D77DA5"/>
    <w:rsid w:val="00D77DB3"/>
    <w:rsid w:val="00D77EA1"/>
    <w:rsid w:val="00D77EAD"/>
    <w:rsid w:val="00D77F8F"/>
    <w:rsid w:val="00D800AE"/>
    <w:rsid w:val="00D80117"/>
    <w:rsid w:val="00D80165"/>
    <w:rsid w:val="00D80199"/>
    <w:rsid w:val="00D80251"/>
    <w:rsid w:val="00D803B3"/>
    <w:rsid w:val="00D8043F"/>
    <w:rsid w:val="00D80445"/>
    <w:rsid w:val="00D80621"/>
    <w:rsid w:val="00D806B3"/>
    <w:rsid w:val="00D80A4D"/>
    <w:rsid w:val="00D80A7B"/>
    <w:rsid w:val="00D80B70"/>
    <w:rsid w:val="00D80BA7"/>
    <w:rsid w:val="00D80C06"/>
    <w:rsid w:val="00D80C31"/>
    <w:rsid w:val="00D80C63"/>
    <w:rsid w:val="00D80CA8"/>
    <w:rsid w:val="00D80DB5"/>
    <w:rsid w:val="00D80E20"/>
    <w:rsid w:val="00D80E68"/>
    <w:rsid w:val="00D80E9C"/>
    <w:rsid w:val="00D81268"/>
    <w:rsid w:val="00D81273"/>
    <w:rsid w:val="00D8129F"/>
    <w:rsid w:val="00D81398"/>
    <w:rsid w:val="00D81586"/>
    <w:rsid w:val="00D8161E"/>
    <w:rsid w:val="00D81809"/>
    <w:rsid w:val="00D819F9"/>
    <w:rsid w:val="00D81B5D"/>
    <w:rsid w:val="00D81C7E"/>
    <w:rsid w:val="00D81CCB"/>
    <w:rsid w:val="00D81CCC"/>
    <w:rsid w:val="00D81D30"/>
    <w:rsid w:val="00D81D32"/>
    <w:rsid w:val="00D81DAB"/>
    <w:rsid w:val="00D81DEF"/>
    <w:rsid w:val="00D81F7F"/>
    <w:rsid w:val="00D820ED"/>
    <w:rsid w:val="00D82175"/>
    <w:rsid w:val="00D824F0"/>
    <w:rsid w:val="00D826DB"/>
    <w:rsid w:val="00D827C5"/>
    <w:rsid w:val="00D82862"/>
    <w:rsid w:val="00D82892"/>
    <w:rsid w:val="00D829B3"/>
    <w:rsid w:val="00D82AFC"/>
    <w:rsid w:val="00D82E81"/>
    <w:rsid w:val="00D82FB5"/>
    <w:rsid w:val="00D83318"/>
    <w:rsid w:val="00D833A5"/>
    <w:rsid w:val="00D833FE"/>
    <w:rsid w:val="00D837FA"/>
    <w:rsid w:val="00D8381B"/>
    <w:rsid w:val="00D8392C"/>
    <w:rsid w:val="00D839DD"/>
    <w:rsid w:val="00D83A76"/>
    <w:rsid w:val="00D83B0C"/>
    <w:rsid w:val="00D83B9A"/>
    <w:rsid w:val="00D83C98"/>
    <w:rsid w:val="00D83CA1"/>
    <w:rsid w:val="00D83D7E"/>
    <w:rsid w:val="00D83DCE"/>
    <w:rsid w:val="00D83DE3"/>
    <w:rsid w:val="00D83ECF"/>
    <w:rsid w:val="00D83F35"/>
    <w:rsid w:val="00D84236"/>
    <w:rsid w:val="00D842E4"/>
    <w:rsid w:val="00D8434E"/>
    <w:rsid w:val="00D84353"/>
    <w:rsid w:val="00D843D5"/>
    <w:rsid w:val="00D84400"/>
    <w:rsid w:val="00D845BB"/>
    <w:rsid w:val="00D8469B"/>
    <w:rsid w:val="00D8470C"/>
    <w:rsid w:val="00D84778"/>
    <w:rsid w:val="00D84861"/>
    <w:rsid w:val="00D8490E"/>
    <w:rsid w:val="00D84947"/>
    <w:rsid w:val="00D84BAA"/>
    <w:rsid w:val="00D84C09"/>
    <w:rsid w:val="00D84C4A"/>
    <w:rsid w:val="00D84DF0"/>
    <w:rsid w:val="00D84E27"/>
    <w:rsid w:val="00D84ED9"/>
    <w:rsid w:val="00D84F0D"/>
    <w:rsid w:val="00D850EE"/>
    <w:rsid w:val="00D851DA"/>
    <w:rsid w:val="00D852BF"/>
    <w:rsid w:val="00D8530C"/>
    <w:rsid w:val="00D8541D"/>
    <w:rsid w:val="00D8550A"/>
    <w:rsid w:val="00D85744"/>
    <w:rsid w:val="00D858E1"/>
    <w:rsid w:val="00D85956"/>
    <w:rsid w:val="00D85A44"/>
    <w:rsid w:val="00D85A70"/>
    <w:rsid w:val="00D85A82"/>
    <w:rsid w:val="00D85D8E"/>
    <w:rsid w:val="00D85DFA"/>
    <w:rsid w:val="00D85E97"/>
    <w:rsid w:val="00D85ED6"/>
    <w:rsid w:val="00D85F01"/>
    <w:rsid w:val="00D85F5A"/>
    <w:rsid w:val="00D85FED"/>
    <w:rsid w:val="00D8601A"/>
    <w:rsid w:val="00D8631A"/>
    <w:rsid w:val="00D86362"/>
    <w:rsid w:val="00D863C7"/>
    <w:rsid w:val="00D863E6"/>
    <w:rsid w:val="00D863FC"/>
    <w:rsid w:val="00D863FD"/>
    <w:rsid w:val="00D864BC"/>
    <w:rsid w:val="00D865F1"/>
    <w:rsid w:val="00D8673E"/>
    <w:rsid w:val="00D867B8"/>
    <w:rsid w:val="00D867EC"/>
    <w:rsid w:val="00D868C8"/>
    <w:rsid w:val="00D869D7"/>
    <w:rsid w:val="00D86A11"/>
    <w:rsid w:val="00D86A43"/>
    <w:rsid w:val="00D86ABC"/>
    <w:rsid w:val="00D86D9F"/>
    <w:rsid w:val="00D86FB8"/>
    <w:rsid w:val="00D86FBC"/>
    <w:rsid w:val="00D86FF4"/>
    <w:rsid w:val="00D8704E"/>
    <w:rsid w:val="00D870BF"/>
    <w:rsid w:val="00D8714F"/>
    <w:rsid w:val="00D8721F"/>
    <w:rsid w:val="00D8727E"/>
    <w:rsid w:val="00D87291"/>
    <w:rsid w:val="00D87305"/>
    <w:rsid w:val="00D8735F"/>
    <w:rsid w:val="00D874D4"/>
    <w:rsid w:val="00D874FD"/>
    <w:rsid w:val="00D87520"/>
    <w:rsid w:val="00D875FA"/>
    <w:rsid w:val="00D87616"/>
    <w:rsid w:val="00D87749"/>
    <w:rsid w:val="00D87764"/>
    <w:rsid w:val="00D877C6"/>
    <w:rsid w:val="00D8781E"/>
    <w:rsid w:val="00D87827"/>
    <w:rsid w:val="00D87886"/>
    <w:rsid w:val="00D879AB"/>
    <w:rsid w:val="00D879F5"/>
    <w:rsid w:val="00D87A64"/>
    <w:rsid w:val="00D87C03"/>
    <w:rsid w:val="00D87C5C"/>
    <w:rsid w:val="00D87CA4"/>
    <w:rsid w:val="00D87D69"/>
    <w:rsid w:val="00D87DDA"/>
    <w:rsid w:val="00D87E34"/>
    <w:rsid w:val="00D87E50"/>
    <w:rsid w:val="00D87E8D"/>
    <w:rsid w:val="00D87F65"/>
    <w:rsid w:val="00D90010"/>
    <w:rsid w:val="00D901D3"/>
    <w:rsid w:val="00D9023D"/>
    <w:rsid w:val="00D90266"/>
    <w:rsid w:val="00D90331"/>
    <w:rsid w:val="00D9038E"/>
    <w:rsid w:val="00D90398"/>
    <w:rsid w:val="00D904D2"/>
    <w:rsid w:val="00D9050F"/>
    <w:rsid w:val="00D90782"/>
    <w:rsid w:val="00D908A2"/>
    <w:rsid w:val="00D90984"/>
    <w:rsid w:val="00D90AC3"/>
    <w:rsid w:val="00D90AD8"/>
    <w:rsid w:val="00D90ADF"/>
    <w:rsid w:val="00D90B76"/>
    <w:rsid w:val="00D91132"/>
    <w:rsid w:val="00D91238"/>
    <w:rsid w:val="00D91260"/>
    <w:rsid w:val="00D9131B"/>
    <w:rsid w:val="00D9138B"/>
    <w:rsid w:val="00D91415"/>
    <w:rsid w:val="00D9141D"/>
    <w:rsid w:val="00D914F6"/>
    <w:rsid w:val="00D9157D"/>
    <w:rsid w:val="00D916D3"/>
    <w:rsid w:val="00D916FC"/>
    <w:rsid w:val="00D917A0"/>
    <w:rsid w:val="00D918B0"/>
    <w:rsid w:val="00D91969"/>
    <w:rsid w:val="00D919B6"/>
    <w:rsid w:val="00D919D0"/>
    <w:rsid w:val="00D91A3E"/>
    <w:rsid w:val="00D91A51"/>
    <w:rsid w:val="00D91B03"/>
    <w:rsid w:val="00D91C41"/>
    <w:rsid w:val="00D91D83"/>
    <w:rsid w:val="00D91E1C"/>
    <w:rsid w:val="00D91EA6"/>
    <w:rsid w:val="00D91FE7"/>
    <w:rsid w:val="00D92009"/>
    <w:rsid w:val="00D92195"/>
    <w:rsid w:val="00D9219D"/>
    <w:rsid w:val="00D9247C"/>
    <w:rsid w:val="00D926C7"/>
    <w:rsid w:val="00D926FF"/>
    <w:rsid w:val="00D92785"/>
    <w:rsid w:val="00D927AE"/>
    <w:rsid w:val="00D92839"/>
    <w:rsid w:val="00D9290E"/>
    <w:rsid w:val="00D9299F"/>
    <w:rsid w:val="00D92A22"/>
    <w:rsid w:val="00D92AB9"/>
    <w:rsid w:val="00D92B34"/>
    <w:rsid w:val="00D92C05"/>
    <w:rsid w:val="00D92E11"/>
    <w:rsid w:val="00D92F33"/>
    <w:rsid w:val="00D93016"/>
    <w:rsid w:val="00D93034"/>
    <w:rsid w:val="00D9307D"/>
    <w:rsid w:val="00D93122"/>
    <w:rsid w:val="00D93128"/>
    <w:rsid w:val="00D93153"/>
    <w:rsid w:val="00D93162"/>
    <w:rsid w:val="00D934D1"/>
    <w:rsid w:val="00D93534"/>
    <w:rsid w:val="00D9366F"/>
    <w:rsid w:val="00D93761"/>
    <w:rsid w:val="00D938DF"/>
    <w:rsid w:val="00D938F5"/>
    <w:rsid w:val="00D93C57"/>
    <w:rsid w:val="00D93D86"/>
    <w:rsid w:val="00D93D96"/>
    <w:rsid w:val="00D93E85"/>
    <w:rsid w:val="00D94128"/>
    <w:rsid w:val="00D94159"/>
    <w:rsid w:val="00D9418A"/>
    <w:rsid w:val="00D945F1"/>
    <w:rsid w:val="00D9466C"/>
    <w:rsid w:val="00D94670"/>
    <w:rsid w:val="00D94769"/>
    <w:rsid w:val="00D947EE"/>
    <w:rsid w:val="00D94986"/>
    <w:rsid w:val="00D94A22"/>
    <w:rsid w:val="00D94B0A"/>
    <w:rsid w:val="00D94BDA"/>
    <w:rsid w:val="00D94D0B"/>
    <w:rsid w:val="00D94E06"/>
    <w:rsid w:val="00D94E4B"/>
    <w:rsid w:val="00D94E58"/>
    <w:rsid w:val="00D94EE6"/>
    <w:rsid w:val="00D95051"/>
    <w:rsid w:val="00D950A5"/>
    <w:rsid w:val="00D950CF"/>
    <w:rsid w:val="00D95120"/>
    <w:rsid w:val="00D95184"/>
    <w:rsid w:val="00D951BB"/>
    <w:rsid w:val="00D95554"/>
    <w:rsid w:val="00D95564"/>
    <w:rsid w:val="00D9592E"/>
    <w:rsid w:val="00D95A90"/>
    <w:rsid w:val="00D95ACA"/>
    <w:rsid w:val="00D95B47"/>
    <w:rsid w:val="00D95BA0"/>
    <w:rsid w:val="00D95C46"/>
    <w:rsid w:val="00D95C4C"/>
    <w:rsid w:val="00D95CA3"/>
    <w:rsid w:val="00D95D02"/>
    <w:rsid w:val="00D95D4D"/>
    <w:rsid w:val="00D95FB3"/>
    <w:rsid w:val="00D96043"/>
    <w:rsid w:val="00D9611B"/>
    <w:rsid w:val="00D9628C"/>
    <w:rsid w:val="00D962BD"/>
    <w:rsid w:val="00D96691"/>
    <w:rsid w:val="00D966CF"/>
    <w:rsid w:val="00D96882"/>
    <w:rsid w:val="00D969D5"/>
    <w:rsid w:val="00D96A75"/>
    <w:rsid w:val="00D96B21"/>
    <w:rsid w:val="00D96B44"/>
    <w:rsid w:val="00D96BD7"/>
    <w:rsid w:val="00D96E99"/>
    <w:rsid w:val="00D96F7E"/>
    <w:rsid w:val="00D97003"/>
    <w:rsid w:val="00D970E2"/>
    <w:rsid w:val="00D975B4"/>
    <w:rsid w:val="00D975DA"/>
    <w:rsid w:val="00D97771"/>
    <w:rsid w:val="00D97827"/>
    <w:rsid w:val="00D978A8"/>
    <w:rsid w:val="00D97931"/>
    <w:rsid w:val="00D97B50"/>
    <w:rsid w:val="00D97B8F"/>
    <w:rsid w:val="00D97C21"/>
    <w:rsid w:val="00D97F7E"/>
    <w:rsid w:val="00DA0000"/>
    <w:rsid w:val="00DA0304"/>
    <w:rsid w:val="00DA04AB"/>
    <w:rsid w:val="00DA0573"/>
    <w:rsid w:val="00DA0598"/>
    <w:rsid w:val="00DA0599"/>
    <w:rsid w:val="00DA065E"/>
    <w:rsid w:val="00DA07BF"/>
    <w:rsid w:val="00DA0875"/>
    <w:rsid w:val="00DA0996"/>
    <w:rsid w:val="00DA09C7"/>
    <w:rsid w:val="00DA09FA"/>
    <w:rsid w:val="00DA0A50"/>
    <w:rsid w:val="00DA0AB2"/>
    <w:rsid w:val="00DA0ADD"/>
    <w:rsid w:val="00DA0AFD"/>
    <w:rsid w:val="00DA0B39"/>
    <w:rsid w:val="00DA0DFE"/>
    <w:rsid w:val="00DA0E3E"/>
    <w:rsid w:val="00DA0F5D"/>
    <w:rsid w:val="00DA1014"/>
    <w:rsid w:val="00DA11C6"/>
    <w:rsid w:val="00DA11D4"/>
    <w:rsid w:val="00DA1352"/>
    <w:rsid w:val="00DA14CC"/>
    <w:rsid w:val="00DA14DE"/>
    <w:rsid w:val="00DA1598"/>
    <w:rsid w:val="00DA15BD"/>
    <w:rsid w:val="00DA163C"/>
    <w:rsid w:val="00DA16D2"/>
    <w:rsid w:val="00DA1744"/>
    <w:rsid w:val="00DA17CD"/>
    <w:rsid w:val="00DA18D4"/>
    <w:rsid w:val="00DA1A55"/>
    <w:rsid w:val="00DA1A87"/>
    <w:rsid w:val="00DA1B01"/>
    <w:rsid w:val="00DA1CBD"/>
    <w:rsid w:val="00DA1CD5"/>
    <w:rsid w:val="00DA1CF6"/>
    <w:rsid w:val="00DA1DCD"/>
    <w:rsid w:val="00DA1EDD"/>
    <w:rsid w:val="00DA1EE0"/>
    <w:rsid w:val="00DA1F6D"/>
    <w:rsid w:val="00DA1FD8"/>
    <w:rsid w:val="00DA2139"/>
    <w:rsid w:val="00DA21FB"/>
    <w:rsid w:val="00DA2246"/>
    <w:rsid w:val="00DA2283"/>
    <w:rsid w:val="00DA2315"/>
    <w:rsid w:val="00DA2382"/>
    <w:rsid w:val="00DA2451"/>
    <w:rsid w:val="00DA2481"/>
    <w:rsid w:val="00DA251F"/>
    <w:rsid w:val="00DA2635"/>
    <w:rsid w:val="00DA270D"/>
    <w:rsid w:val="00DA271E"/>
    <w:rsid w:val="00DA2748"/>
    <w:rsid w:val="00DA2843"/>
    <w:rsid w:val="00DA299D"/>
    <w:rsid w:val="00DA29D3"/>
    <w:rsid w:val="00DA2BAE"/>
    <w:rsid w:val="00DA2BB0"/>
    <w:rsid w:val="00DA2BFB"/>
    <w:rsid w:val="00DA2CBD"/>
    <w:rsid w:val="00DA2DE0"/>
    <w:rsid w:val="00DA2ECA"/>
    <w:rsid w:val="00DA2F5C"/>
    <w:rsid w:val="00DA2F6A"/>
    <w:rsid w:val="00DA2FD9"/>
    <w:rsid w:val="00DA3299"/>
    <w:rsid w:val="00DA330D"/>
    <w:rsid w:val="00DA3342"/>
    <w:rsid w:val="00DA33B2"/>
    <w:rsid w:val="00DA33DA"/>
    <w:rsid w:val="00DA33F5"/>
    <w:rsid w:val="00DA33F8"/>
    <w:rsid w:val="00DA351C"/>
    <w:rsid w:val="00DA3626"/>
    <w:rsid w:val="00DA3684"/>
    <w:rsid w:val="00DA38C5"/>
    <w:rsid w:val="00DA3957"/>
    <w:rsid w:val="00DA3989"/>
    <w:rsid w:val="00DA3A36"/>
    <w:rsid w:val="00DA3A9D"/>
    <w:rsid w:val="00DA3C15"/>
    <w:rsid w:val="00DA3CEC"/>
    <w:rsid w:val="00DA3D24"/>
    <w:rsid w:val="00DA3E2B"/>
    <w:rsid w:val="00DA3F93"/>
    <w:rsid w:val="00DA3F9D"/>
    <w:rsid w:val="00DA40CB"/>
    <w:rsid w:val="00DA40F4"/>
    <w:rsid w:val="00DA420E"/>
    <w:rsid w:val="00DA426B"/>
    <w:rsid w:val="00DA42BB"/>
    <w:rsid w:val="00DA42F5"/>
    <w:rsid w:val="00DA43D8"/>
    <w:rsid w:val="00DA4593"/>
    <w:rsid w:val="00DA4687"/>
    <w:rsid w:val="00DA4901"/>
    <w:rsid w:val="00DA49BD"/>
    <w:rsid w:val="00DA49E7"/>
    <w:rsid w:val="00DA49FD"/>
    <w:rsid w:val="00DA4A09"/>
    <w:rsid w:val="00DA4AC7"/>
    <w:rsid w:val="00DA4B28"/>
    <w:rsid w:val="00DA4B75"/>
    <w:rsid w:val="00DA4BCC"/>
    <w:rsid w:val="00DA4C14"/>
    <w:rsid w:val="00DA4C4F"/>
    <w:rsid w:val="00DA4CB7"/>
    <w:rsid w:val="00DA4CF2"/>
    <w:rsid w:val="00DA4CFF"/>
    <w:rsid w:val="00DA4E2E"/>
    <w:rsid w:val="00DA4F54"/>
    <w:rsid w:val="00DA5274"/>
    <w:rsid w:val="00DA52CB"/>
    <w:rsid w:val="00DA5509"/>
    <w:rsid w:val="00DA5511"/>
    <w:rsid w:val="00DA5703"/>
    <w:rsid w:val="00DA5835"/>
    <w:rsid w:val="00DA58E6"/>
    <w:rsid w:val="00DA59BF"/>
    <w:rsid w:val="00DA5C5C"/>
    <w:rsid w:val="00DA5CAB"/>
    <w:rsid w:val="00DA5D23"/>
    <w:rsid w:val="00DA5D4C"/>
    <w:rsid w:val="00DA5FE4"/>
    <w:rsid w:val="00DA6004"/>
    <w:rsid w:val="00DA6100"/>
    <w:rsid w:val="00DA613A"/>
    <w:rsid w:val="00DA621E"/>
    <w:rsid w:val="00DA626B"/>
    <w:rsid w:val="00DA62AB"/>
    <w:rsid w:val="00DA6398"/>
    <w:rsid w:val="00DA64D5"/>
    <w:rsid w:val="00DA65B3"/>
    <w:rsid w:val="00DA6663"/>
    <w:rsid w:val="00DA6775"/>
    <w:rsid w:val="00DA6AC8"/>
    <w:rsid w:val="00DA6B04"/>
    <w:rsid w:val="00DA6B05"/>
    <w:rsid w:val="00DA6B76"/>
    <w:rsid w:val="00DA6F3F"/>
    <w:rsid w:val="00DA726F"/>
    <w:rsid w:val="00DA7298"/>
    <w:rsid w:val="00DA730E"/>
    <w:rsid w:val="00DA73C8"/>
    <w:rsid w:val="00DA7463"/>
    <w:rsid w:val="00DA759C"/>
    <w:rsid w:val="00DA75AD"/>
    <w:rsid w:val="00DA75B3"/>
    <w:rsid w:val="00DA75F9"/>
    <w:rsid w:val="00DA7715"/>
    <w:rsid w:val="00DA7774"/>
    <w:rsid w:val="00DA77BF"/>
    <w:rsid w:val="00DA77C7"/>
    <w:rsid w:val="00DA7A37"/>
    <w:rsid w:val="00DA7AC7"/>
    <w:rsid w:val="00DA7B3C"/>
    <w:rsid w:val="00DA7D19"/>
    <w:rsid w:val="00DA7DE6"/>
    <w:rsid w:val="00DA7FF6"/>
    <w:rsid w:val="00DB004C"/>
    <w:rsid w:val="00DB0050"/>
    <w:rsid w:val="00DB0057"/>
    <w:rsid w:val="00DB0198"/>
    <w:rsid w:val="00DB02A3"/>
    <w:rsid w:val="00DB059B"/>
    <w:rsid w:val="00DB05FE"/>
    <w:rsid w:val="00DB061D"/>
    <w:rsid w:val="00DB0650"/>
    <w:rsid w:val="00DB0671"/>
    <w:rsid w:val="00DB067D"/>
    <w:rsid w:val="00DB0758"/>
    <w:rsid w:val="00DB09C6"/>
    <w:rsid w:val="00DB0A70"/>
    <w:rsid w:val="00DB0BFA"/>
    <w:rsid w:val="00DB0C34"/>
    <w:rsid w:val="00DB0D3C"/>
    <w:rsid w:val="00DB0D4F"/>
    <w:rsid w:val="00DB0DB3"/>
    <w:rsid w:val="00DB0DCF"/>
    <w:rsid w:val="00DB0E50"/>
    <w:rsid w:val="00DB0E9B"/>
    <w:rsid w:val="00DB0F6B"/>
    <w:rsid w:val="00DB0FFB"/>
    <w:rsid w:val="00DB1104"/>
    <w:rsid w:val="00DB116C"/>
    <w:rsid w:val="00DB13CF"/>
    <w:rsid w:val="00DB1419"/>
    <w:rsid w:val="00DB14C6"/>
    <w:rsid w:val="00DB155D"/>
    <w:rsid w:val="00DB15AF"/>
    <w:rsid w:val="00DB1674"/>
    <w:rsid w:val="00DB16E8"/>
    <w:rsid w:val="00DB180C"/>
    <w:rsid w:val="00DB1811"/>
    <w:rsid w:val="00DB1846"/>
    <w:rsid w:val="00DB1900"/>
    <w:rsid w:val="00DB1962"/>
    <w:rsid w:val="00DB19E3"/>
    <w:rsid w:val="00DB1A50"/>
    <w:rsid w:val="00DB1B76"/>
    <w:rsid w:val="00DB1D20"/>
    <w:rsid w:val="00DB1D28"/>
    <w:rsid w:val="00DB1D35"/>
    <w:rsid w:val="00DB1D4F"/>
    <w:rsid w:val="00DB1E0D"/>
    <w:rsid w:val="00DB1E99"/>
    <w:rsid w:val="00DB1EF5"/>
    <w:rsid w:val="00DB1F10"/>
    <w:rsid w:val="00DB1FC3"/>
    <w:rsid w:val="00DB203B"/>
    <w:rsid w:val="00DB2194"/>
    <w:rsid w:val="00DB227A"/>
    <w:rsid w:val="00DB26D2"/>
    <w:rsid w:val="00DB26F7"/>
    <w:rsid w:val="00DB28A9"/>
    <w:rsid w:val="00DB2921"/>
    <w:rsid w:val="00DB2A88"/>
    <w:rsid w:val="00DB2B62"/>
    <w:rsid w:val="00DB2B96"/>
    <w:rsid w:val="00DB2BDB"/>
    <w:rsid w:val="00DB2C0F"/>
    <w:rsid w:val="00DB2C70"/>
    <w:rsid w:val="00DB2CC8"/>
    <w:rsid w:val="00DB2DF4"/>
    <w:rsid w:val="00DB2E36"/>
    <w:rsid w:val="00DB2F08"/>
    <w:rsid w:val="00DB30E4"/>
    <w:rsid w:val="00DB30E8"/>
    <w:rsid w:val="00DB3318"/>
    <w:rsid w:val="00DB35D5"/>
    <w:rsid w:val="00DB3616"/>
    <w:rsid w:val="00DB363A"/>
    <w:rsid w:val="00DB364C"/>
    <w:rsid w:val="00DB36B7"/>
    <w:rsid w:val="00DB3745"/>
    <w:rsid w:val="00DB377D"/>
    <w:rsid w:val="00DB37E1"/>
    <w:rsid w:val="00DB3834"/>
    <w:rsid w:val="00DB39AB"/>
    <w:rsid w:val="00DB3A10"/>
    <w:rsid w:val="00DB3AD8"/>
    <w:rsid w:val="00DB3C51"/>
    <w:rsid w:val="00DB3EF4"/>
    <w:rsid w:val="00DB40E4"/>
    <w:rsid w:val="00DB41E1"/>
    <w:rsid w:val="00DB4236"/>
    <w:rsid w:val="00DB4238"/>
    <w:rsid w:val="00DB42AD"/>
    <w:rsid w:val="00DB42CC"/>
    <w:rsid w:val="00DB4351"/>
    <w:rsid w:val="00DB444C"/>
    <w:rsid w:val="00DB447D"/>
    <w:rsid w:val="00DB44CE"/>
    <w:rsid w:val="00DB45CA"/>
    <w:rsid w:val="00DB45DA"/>
    <w:rsid w:val="00DB47ED"/>
    <w:rsid w:val="00DB486B"/>
    <w:rsid w:val="00DB48AA"/>
    <w:rsid w:val="00DB4937"/>
    <w:rsid w:val="00DB497C"/>
    <w:rsid w:val="00DB4B03"/>
    <w:rsid w:val="00DB4C20"/>
    <w:rsid w:val="00DB4CD2"/>
    <w:rsid w:val="00DB4D07"/>
    <w:rsid w:val="00DB4D23"/>
    <w:rsid w:val="00DB4D2C"/>
    <w:rsid w:val="00DB4DC2"/>
    <w:rsid w:val="00DB4E2A"/>
    <w:rsid w:val="00DB4E40"/>
    <w:rsid w:val="00DB4E8A"/>
    <w:rsid w:val="00DB5007"/>
    <w:rsid w:val="00DB5054"/>
    <w:rsid w:val="00DB5061"/>
    <w:rsid w:val="00DB5082"/>
    <w:rsid w:val="00DB50FD"/>
    <w:rsid w:val="00DB518A"/>
    <w:rsid w:val="00DB51F5"/>
    <w:rsid w:val="00DB51F6"/>
    <w:rsid w:val="00DB52AD"/>
    <w:rsid w:val="00DB53D1"/>
    <w:rsid w:val="00DB554F"/>
    <w:rsid w:val="00DB5563"/>
    <w:rsid w:val="00DB557A"/>
    <w:rsid w:val="00DB563D"/>
    <w:rsid w:val="00DB581B"/>
    <w:rsid w:val="00DB59B6"/>
    <w:rsid w:val="00DB5A32"/>
    <w:rsid w:val="00DB5D39"/>
    <w:rsid w:val="00DB5E74"/>
    <w:rsid w:val="00DB5F91"/>
    <w:rsid w:val="00DB6091"/>
    <w:rsid w:val="00DB61CF"/>
    <w:rsid w:val="00DB633D"/>
    <w:rsid w:val="00DB637C"/>
    <w:rsid w:val="00DB63AD"/>
    <w:rsid w:val="00DB63F9"/>
    <w:rsid w:val="00DB64B1"/>
    <w:rsid w:val="00DB65E0"/>
    <w:rsid w:val="00DB66B6"/>
    <w:rsid w:val="00DB66BA"/>
    <w:rsid w:val="00DB66FA"/>
    <w:rsid w:val="00DB6854"/>
    <w:rsid w:val="00DB688B"/>
    <w:rsid w:val="00DB6A41"/>
    <w:rsid w:val="00DB6A57"/>
    <w:rsid w:val="00DB6B1B"/>
    <w:rsid w:val="00DB6B95"/>
    <w:rsid w:val="00DB6C37"/>
    <w:rsid w:val="00DB6C8E"/>
    <w:rsid w:val="00DB6CAC"/>
    <w:rsid w:val="00DB6F37"/>
    <w:rsid w:val="00DB7014"/>
    <w:rsid w:val="00DB70C8"/>
    <w:rsid w:val="00DB70D7"/>
    <w:rsid w:val="00DB7166"/>
    <w:rsid w:val="00DB74E9"/>
    <w:rsid w:val="00DB76E6"/>
    <w:rsid w:val="00DB77E5"/>
    <w:rsid w:val="00DB780C"/>
    <w:rsid w:val="00DB78EA"/>
    <w:rsid w:val="00DB799E"/>
    <w:rsid w:val="00DB7B90"/>
    <w:rsid w:val="00DB7B9C"/>
    <w:rsid w:val="00DB7C1B"/>
    <w:rsid w:val="00DB7C33"/>
    <w:rsid w:val="00DB7C3D"/>
    <w:rsid w:val="00DB7CF7"/>
    <w:rsid w:val="00DB7DE7"/>
    <w:rsid w:val="00DB7F15"/>
    <w:rsid w:val="00DB7F7C"/>
    <w:rsid w:val="00DC00F5"/>
    <w:rsid w:val="00DC02A4"/>
    <w:rsid w:val="00DC02C1"/>
    <w:rsid w:val="00DC0466"/>
    <w:rsid w:val="00DC04D3"/>
    <w:rsid w:val="00DC05B3"/>
    <w:rsid w:val="00DC073F"/>
    <w:rsid w:val="00DC07F5"/>
    <w:rsid w:val="00DC0950"/>
    <w:rsid w:val="00DC0B52"/>
    <w:rsid w:val="00DC0BA7"/>
    <w:rsid w:val="00DC0C7A"/>
    <w:rsid w:val="00DC0DBE"/>
    <w:rsid w:val="00DC0E76"/>
    <w:rsid w:val="00DC0EE2"/>
    <w:rsid w:val="00DC0F88"/>
    <w:rsid w:val="00DC0FFA"/>
    <w:rsid w:val="00DC1024"/>
    <w:rsid w:val="00DC112E"/>
    <w:rsid w:val="00DC12CE"/>
    <w:rsid w:val="00DC1349"/>
    <w:rsid w:val="00DC1432"/>
    <w:rsid w:val="00DC147C"/>
    <w:rsid w:val="00DC16F6"/>
    <w:rsid w:val="00DC1739"/>
    <w:rsid w:val="00DC1853"/>
    <w:rsid w:val="00DC18D1"/>
    <w:rsid w:val="00DC1A64"/>
    <w:rsid w:val="00DC1BBD"/>
    <w:rsid w:val="00DC1BFD"/>
    <w:rsid w:val="00DC1C4B"/>
    <w:rsid w:val="00DC1D62"/>
    <w:rsid w:val="00DC1DC1"/>
    <w:rsid w:val="00DC1DDA"/>
    <w:rsid w:val="00DC1E0E"/>
    <w:rsid w:val="00DC1E0F"/>
    <w:rsid w:val="00DC1F40"/>
    <w:rsid w:val="00DC1F43"/>
    <w:rsid w:val="00DC221E"/>
    <w:rsid w:val="00DC238F"/>
    <w:rsid w:val="00DC2571"/>
    <w:rsid w:val="00DC258D"/>
    <w:rsid w:val="00DC25D8"/>
    <w:rsid w:val="00DC2700"/>
    <w:rsid w:val="00DC2765"/>
    <w:rsid w:val="00DC2781"/>
    <w:rsid w:val="00DC27C4"/>
    <w:rsid w:val="00DC2928"/>
    <w:rsid w:val="00DC2A02"/>
    <w:rsid w:val="00DC2A1C"/>
    <w:rsid w:val="00DC2A76"/>
    <w:rsid w:val="00DC2AF0"/>
    <w:rsid w:val="00DC2B18"/>
    <w:rsid w:val="00DC2BA5"/>
    <w:rsid w:val="00DC2C99"/>
    <w:rsid w:val="00DC2E6F"/>
    <w:rsid w:val="00DC2FAC"/>
    <w:rsid w:val="00DC304F"/>
    <w:rsid w:val="00DC3086"/>
    <w:rsid w:val="00DC311A"/>
    <w:rsid w:val="00DC315F"/>
    <w:rsid w:val="00DC31EA"/>
    <w:rsid w:val="00DC339C"/>
    <w:rsid w:val="00DC37BD"/>
    <w:rsid w:val="00DC38C2"/>
    <w:rsid w:val="00DC390D"/>
    <w:rsid w:val="00DC396B"/>
    <w:rsid w:val="00DC3994"/>
    <w:rsid w:val="00DC3A94"/>
    <w:rsid w:val="00DC3ADA"/>
    <w:rsid w:val="00DC3B0B"/>
    <w:rsid w:val="00DC3D99"/>
    <w:rsid w:val="00DC3EE1"/>
    <w:rsid w:val="00DC3EEC"/>
    <w:rsid w:val="00DC3F41"/>
    <w:rsid w:val="00DC3F77"/>
    <w:rsid w:val="00DC406C"/>
    <w:rsid w:val="00DC4079"/>
    <w:rsid w:val="00DC40F1"/>
    <w:rsid w:val="00DC4147"/>
    <w:rsid w:val="00DC42D3"/>
    <w:rsid w:val="00DC4394"/>
    <w:rsid w:val="00DC43AD"/>
    <w:rsid w:val="00DC4460"/>
    <w:rsid w:val="00DC4654"/>
    <w:rsid w:val="00DC4680"/>
    <w:rsid w:val="00DC4731"/>
    <w:rsid w:val="00DC4814"/>
    <w:rsid w:val="00DC486A"/>
    <w:rsid w:val="00DC48A7"/>
    <w:rsid w:val="00DC4901"/>
    <w:rsid w:val="00DC4950"/>
    <w:rsid w:val="00DC4A23"/>
    <w:rsid w:val="00DC4A76"/>
    <w:rsid w:val="00DC4AA8"/>
    <w:rsid w:val="00DC4B16"/>
    <w:rsid w:val="00DC4CD9"/>
    <w:rsid w:val="00DC4F71"/>
    <w:rsid w:val="00DC5099"/>
    <w:rsid w:val="00DC5132"/>
    <w:rsid w:val="00DC519D"/>
    <w:rsid w:val="00DC51C3"/>
    <w:rsid w:val="00DC525A"/>
    <w:rsid w:val="00DC53DE"/>
    <w:rsid w:val="00DC5492"/>
    <w:rsid w:val="00DC5529"/>
    <w:rsid w:val="00DC5532"/>
    <w:rsid w:val="00DC558E"/>
    <w:rsid w:val="00DC55AC"/>
    <w:rsid w:val="00DC5640"/>
    <w:rsid w:val="00DC5652"/>
    <w:rsid w:val="00DC5664"/>
    <w:rsid w:val="00DC5805"/>
    <w:rsid w:val="00DC5957"/>
    <w:rsid w:val="00DC5B14"/>
    <w:rsid w:val="00DC5B4B"/>
    <w:rsid w:val="00DC5D21"/>
    <w:rsid w:val="00DC5D43"/>
    <w:rsid w:val="00DC5E24"/>
    <w:rsid w:val="00DC5F20"/>
    <w:rsid w:val="00DC5F49"/>
    <w:rsid w:val="00DC6146"/>
    <w:rsid w:val="00DC61E0"/>
    <w:rsid w:val="00DC6284"/>
    <w:rsid w:val="00DC63A2"/>
    <w:rsid w:val="00DC63A3"/>
    <w:rsid w:val="00DC64D1"/>
    <w:rsid w:val="00DC6501"/>
    <w:rsid w:val="00DC65FD"/>
    <w:rsid w:val="00DC68D3"/>
    <w:rsid w:val="00DC6936"/>
    <w:rsid w:val="00DC69FD"/>
    <w:rsid w:val="00DC6A7A"/>
    <w:rsid w:val="00DC6BD5"/>
    <w:rsid w:val="00DC6C5F"/>
    <w:rsid w:val="00DC6FF3"/>
    <w:rsid w:val="00DC7045"/>
    <w:rsid w:val="00DC717E"/>
    <w:rsid w:val="00DC72E2"/>
    <w:rsid w:val="00DC74F9"/>
    <w:rsid w:val="00DC7525"/>
    <w:rsid w:val="00DC7529"/>
    <w:rsid w:val="00DC754F"/>
    <w:rsid w:val="00DC757B"/>
    <w:rsid w:val="00DC75E1"/>
    <w:rsid w:val="00DC7637"/>
    <w:rsid w:val="00DC765E"/>
    <w:rsid w:val="00DC76B3"/>
    <w:rsid w:val="00DC770F"/>
    <w:rsid w:val="00DC7735"/>
    <w:rsid w:val="00DC774A"/>
    <w:rsid w:val="00DC7902"/>
    <w:rsid w:val="00DC796E"/>
    <w:rsid w:val="00DC798E"/>
    <w:rsid w:val="00DC79A2"/>
    <w:rsid w:val="00DC7A40"/>
    <w:rsid w:val="00DC7A9C"/>
    <w:rsid w:val="00DC7B3C"/>
    <w:rsid w:val="00DC7CBA"/>
    <w:rsid w:val="00DC7DA4"/>
    <w:rsid w:val="00DC7DDD"/>
    <w:rsid w:val="00DC7DE2"/>
    <w:rsid w:val="00DC7EB4"/>
    <w:rsid w:val="00DC7FCF"/>
    <w:rsid w:val="00DD000E"/>
    <w:rsid w:val="00DD0056"/>
    <w:rsid w:val="00DD010F"/>
    <w:rsid w:val="00DD0165"/>
    <w:rsid w:val="00DD01D6"/>
    <w:rsid w:val="00DD01E3"/>
    <w:rsid w:val="00DD0216"/>
    <w:rsid w:val="00DD04AE"/>
    <w:rsid w:val="00DD0585"/>
    <w:rsid w:val="00DD05BC"/>
    <w:rsid w:val="00DD05F1"/>
    <w:rsid w:val="00DD0740"/>
    <w:rsid w:val="00DD075F"/>
    <w:rsid w:val="00DD07BC"/>
    <w:rsid w:val="00DD0A1D"/>
    <w:rsid w:val="00DD0A81"/>
    <w:rsid w:val="00DD0B07"/>
    <w:rsid w:val="00DD0B69"/>
    <w:rsid w:val="00DD0B99"/>
    <w:rsid w:val="00DD0BCF"/>
    <w:rsid w:val="00DD0D11"/>
    <w:rsid w:val="00DD1038"/>
    <w:rsid w:val="00DD1248"/>
    <w:rsid w:val="00DD1390"/>
    <w:rsid w:val="00DD1427"/>
    <w:rsid w:val="00DD1482"/>
    <w:rsid w:val="00DD149D"/>
    <w:rsid w:val="00DD150D"/>
    <w:rsid w:val="00DD16E7"/>
    <w:rsid w:val="00DD1733"/>
    <w:rsid w:val="00DD176C"/>
    <w:rsid w:val="00DD17BC"/>
    <w:rsid w:val="00DD188D"/>
    <w:rsid w:val="00DD1897"/>
    <w:rsid w:val="00DD1CAE"/>
    <w:rsid w:val="00DD1D07"/>
    <w:rsid w:val="00DD1D29"/>
    <w:rsid w:val="00DD1E83"/>
    <w:rsid w:val="00DD1E85"/>
    <w:rsid w:val="00DD1F95"/>
    <w:rsid w:val="00DD2091"/>
    <w:rsid w:val="00DD2229"/>
    <w:rsid w:val="00DD229A"/>
    <w:rsid w:val="00DD22CC"/>
    <w:rsid w:val="00DD235B"/>
    <w:rsid w:val="00DD241A"/>
    <w:rsid w:val="00DD2470"/>
    <w:rsid w:val="00DD2490"/>
    <w:rsid w:val="00DD25B5"/>
    <w:rsid w:val="00DD26B6"/>
    <w:rsid w:val="00DD275D"/>
    <w:rsid w:val="00DD2765"/>
    <w:rsid w:val="00DD288E"/>
    <w:rsid w:val="00DD28FC"/>
    <w:rsid w:val="00DD2911"/>
    <w:rsid w:val="00DD2932"/>
    <w:rsid w:val="00DD2995"/>
    <w:rsid w:val="00DD29BA"/>
    <w:rsid w:val="00DD2A31"/>
    <w:rsid w:val="00DD2A8F"/>
    <w:rsid w:val="00DD2A91"/>
    <w:rsid w:val="00DD2ABD"/>
    <w:rsid w:val="00DD2B8D"/>
    <w:rsid w:val="00DD2C80"/>
    <w:rsid w:val="00DD2CE8"/>
    <w:rsid w:val="00DD2D7C"/>
    <w:rsid w:val="00DD2FC2"/>
    <w:rsid w:val="00DD309F"/>
    <w:rsid w:val="00DD30AE"/>
    <w:rsid w:val="00DD3109"/>
    <w:rsid w:val="00DD31C7"/>
    <w:rsid w:val="00DD3264"/>
    <w:rsid w:val="00DD32E5"/>
    <w:rsid w:val="00DD3481"/>
    <w:rsid w:val="00DD3579"/>
    <w:rsid w:val="00DD35FC"/>
    <w:rsid w:val="00DD3676"/>
    <w:rsid w:val="00DD368B"/>
    <w:rsid w:val="00DD369E"/>
    <w:rsid w:val="00DD3773"/>
    <w:rsid w:val="00DD3774"/>
    <w:rsid w:val="00DD3785"/>
    <w:rsid w:val="00DD379C"/>
    <w:rsid w:val="00DD37A1"/>
    <w:rsid w:val="00DD388C"/>
    <w:rsid w:val="00DD3A51"/>
    <w:rsid w:val="00DD3AD5"/>
    <w:rsid w:val="00DD3D7B"/>
    <w:rsid w:val="00DD3E41"/>
    <w:rsid w:val="00DD3E91"/>
    <w:rsid w:val="00DD3F3D"/>
    <w:rsid w:val="00DD4159"/>
    <w:rsid w:val="00DD421D"/>
    <w:rsid w:val="00DD423F"/>
    <w:rsid w:val="00DD42FC"/>
    <w:rsid w:val="00DD432B"/>
    <w:rsid w:val="00DD4483"/>
    <w:rsid w:val="00DD4561"/>
    <w:rsid w:val="00DD46C2"/>
    <w:rsid w:val="00DD48D9"/>
    <w:rsid w:val="00DD4B8D"/>
    <w:rsid w:val="00DD4D39"/>
    <w:rsid w:val="00DD4E4E"/>
    <w:rsid w:val="00DD4EF3"/>
    <w:rsid w:val="00DD4F50"/>
    <w:rsid w:val="00DD501B"/>
    <w:rsid w:val="00DD5123"/>
    <w:rsid w:val="00DD5195"/>
    <w:rsid w:val="00DD522B"/>
    <w:rsid w:val="00DD52F8"/>
    <w:rsid w:val="00DD53F8"/>
    <w:rsid w:val="00DD5478"/>
    <w:rsid w:val="00DD56C2"/>
    <w:rsid w:val="00DD5713"/>
    <w:rsid w:val="00DD587B"/>
    <w:rsid w:val="00DD58E7"/>
    <w:rsid w:val="00DD58F2"/>
    <w:rsid w:val="00DD5965"/>
    <w:rsid w:val="00DD5A96"/>
    <w:rsid w:val="00DD5B29"/>
    <w:rsid w:val="00DD5B87"/>
    <w:rsid w:val="00DD5BE0"/>
    <w:rsid w:val="00DD5C10"/>
    <w:rsid w:val="00DD5C58"/>
    <w:rsid w:val="00DD5DB9"/>
    <w:rsid w:val="00DD5DCB"/>
    <w:rsid w:val="00DD5E13"/>
    <w:rsid w:val="00DD5E83"/>
    <w:rsid w:val="00DD5FCE"/>
    <w:rsid w:val="00DD6072"/>
    <w:rsid w:val="00DD6305"/>
    <w:rsid w:val="00DD638E"/>
    <w:rsid w:val="00DD63F7"/>
    <w:rsid w:val="00DD6408"/>
    <w:rsid w:val="00DD6487"/>
    <w:rsid w:val="00DD6489"/>
    <w:rsid w:val="00DD6714"/>
    <w:rsid w:val="00DD6719"/>
    <w:rsid w:val="00DD6735"/>
    <w:rsid w:val="00DD6A82"/>
    <w:rsid w:val="00DD6A90"/>
    <w:rsid w:val="00DD6AF3"/>
    <w:rsid w:val="00DD6B05"/>
    <w:rsid w:val="00DD6B7A"/>
    <w:rsid w:val="00DD6BE4"/>
    <w:rsid w:val="00DD6BF4"/>
    <w:rsid w:val="00DD6C60"/>
    <w:rsid w:val="00DD6D08"/>
    <w:rsid w:val="00DD6DF9"/>
    <w:rsid w:val="00DD6E35"/>
    <w:rsid w:val="00DD6E76"/>
    <w:rsid w:val="00DD6F90"/>
    <w:rsid w:val="00DD707A"/>
    <w:rsid w:val="00DD70B6"/>
    <w:rsid w:val="00DD728E"/>
    <w:rsid w:val="00DD729E"/>
    <w:rsid w:val="00DD730E"/>
    <w:rsid w:val="00DD7359"/>
    <w:rsid w:val="00DD7448"/>
    <w:rsid w:val="00DD744E"/>
    <w:rsid w:val="00DD746C"/>
    <w:rsid w:val="00DD7553"/>
    <w:rsid w:val="00DD7579"/>
    <w:rsid w:val="00DD7728"/>
    <w:rsid w:val="00DD774E"/>
    <w:rsid w:val="00DD7801"/>
    <w:rsid w:val="00DD782B"/>
    <w:rsid w:val="00DD7ACA"/>
    <w:rsid w:val="00DD7B2C"/>
    <w:rsid w:val="00DD7B45"/>
    <w:rsid w:val="00DD7BFB"/>
    <w:rsid w:val="00DD7C4A"/>
    <w:rsid w:val="00DD7D51"/>
    <w:rsid w:val="00DD7DA4"/>
    <w:rsid w:val="00DD7E37"/>
    <w:rsid w:val="00DE01FA"/>
    <w:rsid w:val="00DE0272"/>
    <w:rsid w:val="00DE027A"/>
    <w:rsid w:val="00DE0352"/>
    <w:rsid w:val="00DE0390"/>
    <w:rsid w:val="00DE0420"/>
    <w:rsid w:val="00DE04B9"/>
    <w:rsid w:val="00DE057E"/>
    <w:rsid w:val="00DE05E6"/>
    <w:rsid w:val="00DE0648"/>
    <w:rsid w:val="00DE0809"/>
    <w:rsid w:val="00DE082C"/>
    <w:rsid w:val="00DE08B9"/>
    <w:rsid w:val="00DE09D7"/>
    <w:rsid w:val="00DE0A94"/>
    <w:rsid w:val="00DE0B3A"/>
    <w:rsid w:val="00DE0CB0"/>
    <w:rsid w:val="00DE0D94"/>
    <w:rsid w:val="00DE0E2A"/>
    <w:rsid w:val="00DE0E38"/>
    <w:rsid w:val="00DE0E70"/>
    <w:rsid w:val="00DE0EFB"/>
    <w:rsid w:val="00DE10CA"/>
    <w:rsid w:val="00DE1119"/>
    <w:rsid w:val="00DE151C"/>
    <w:rsid w:val="00DE15D5"/>
    <w:rsid w:val="00DE1619"/>
    <w:rsid w:val="00DE163E"/>
    <w:rsid w:val="00DE168A"/>
    <w:rsid w:val="00DE16C4"/>
    <w:rsid w:val="00DE17A0"/>
    <w:rsid w:val="00DE186E"/>
    <w:rsid w:val="00DE19DA"/>
    <w:rsid w:val="00DE1A47"/>
    <w:rsid w:val="00DE1B50"/>
    <w:rsid w:val="00DE1B7F"/>
    <w:rsid w:val="00DE1C71"/>
    <w:rsid w:val="00DE1CE5"/>
    <w:rsid w:val="00DE1DD2"/>
    <w:rsid w:val="00DE1E16"/>
    <w:rsid w:val="00DE1E65"/>
    <w:rsid w:val="00DE1FCD"/>
    <w:rsid w:val="00DE2095"/>
    <w:rsid w:val="00DE21FF"/>
    <w:rsid w:val="00DE22C5"/>
    <w:rsid w:val="00DE22E7"/>
    <w:rsid w:val="00DE230D"/>
    <w:rsid w:val="00DE24C6"/>
    <w:rsid w:val="00DE24CA"/>
    <w:rsid w:val="00DE2574"/>
    <w:rsid w:val="00DE260B"/>
    <w:rsid w:val="00DE2743"/>
    <w:rsid w:val="00DE27C6"/>
    <w:rsid w:val="00DE2834"/>
    <w:rsid w:val="00DE29A9"/>
    <w:rsid w:val="00DE2A74"/>
    <w:rsid w:val="00DE2A85"/>
    <w:rsid w:val="00DE2ABC"/>
    <w:rsid w:val="00DE2C30"/>
    <w:rsid w:val="00DE2C61"/>
    <w:rsid w:val="00DE2CFE"/>
    <w:rsid w:val="00DE2E1D"/>
    <w:rsid w:val="00DE2E2A"/>
    <w:rsid w:val="00DE2E57"/>
    <w:rsid w:val="00DE30DA"/>
    <w:rsid w:val="00DE30DB"/>
    <w:rsid w:val="00DE313B"/>
    <w:rsid w:val="00DE3321"/>
    <w:rsid w:val="00DE3345"/>
    <w:rsid w:val="00DE340A"/>
    <w:rsid w:val="00DE3420"/>
    <w:rsid w:val="00DE34DA"/>
    <w:rsid w:val="00DE354D"/>
    <w:rsid w:val="00DE35DB"/>
    <w:rsid w:val="00DE3855"/>
    <w:rsid w:val="00DE3944"/>
    <w:rsid w:val="00DE3C28"/>
    <w:rsid w:val="00DE3C4E"/>
    <w:rsid w:val="00DE3CDA"/>
    <w:rsid w:val="00DE3D30"/>
    <w:rsid w:val="00DE3DD1"/>
    <w:rsid w:val="00DE3DE2"/>
    <w:rsid w:val="00DE3EF9"/>
    <w:rsid w:val="00DE400F"/>
    <w:rsid w:val="00DE409B"/>
    <w:rsid w:val="00DE435A"/>
    <w:rsid w:val="00DE458B"/>
    <w:rsid w:val="00DE45DD"/>
    <w:rsid w:val="00DE462E"/>
    <w:rsid w:val="00DE4659"/>
    <w:rsid w:val="00DE4960"/>
    <w:rsid w:val="00DE49AB"/>
    <w:rsid w:val="00DE4A7F"/>
    <w:rsid w:val="00DE4C7B"/>
    <w:rsid w:val="00DE4E75"/>
    <w:rsid w:val="00DE4E9F"/>
    <w:rsid w:val="00DE504E"/>
    <w:rsid w:val="00DE507E"/>
    <w:rsid w:val="00DE5087"/>
    <w:rsid w:val="00DE5092"/>
    <w:rsid w:val="00DE50B3"/>
    <w:rsid w:val="00DE5108"/>
    <w:rsid w:val="00DE514D"/>
    <w:rsid w:val="00DE51D0"/>
    <w:rsid w:val="00DE51DE"/>
    <w:rsid w:val="00DE532D"/>
    <w:rsid w:val="00DE539F"/>
    <w:rsid w:val="00DE5A57"/>
    <w:rsid w:val="00DE5B40"/>
    <w:rsid w:val="00DE5C0C"/>
    <w:rsid w:val="00DE5C4F"/>
    <w:rsid w:val="00DE5C8A"/>
    <w:rsid w:val="00DE5C8B"/>
    <w:rsid w:val="00DE5D1C"/>
    <w:rsid w:val="00DE5E13"/>
    <w:rsid w:val="00DE5F50"/>
    <w:rsid w:val="00DE5F52"/>
    <w:rsid w:val="00DE6008"/>
    <w:rsid w:val="00DE60BC"/>
    <w:rsid w:val="00DE61AF"/>
    <w:rsid w:val="00DE61ED"/>
    <w:rsid w:val="00DE61F7"/>
    <w:rsid w:val="00DE61F8"/>
    <w:rsid w:val="00DE62D4"/>
    <w:rsid w:val="00DE62EC"/>
    <w:rsid w:val="00DE6358"/>
    <w:rsid w:val="00DE6369"/>
    <w:rsid w:val="00DE6390"/>
    <w:rsid w:val="00DE6753"/>
    <w:rsid w:val="00DE67E4"/>
    <w:rsid w:val="00DE68D6"/>
    <w:rsid w:val="00DE693C"/>
    <w:rsid w:val="00DE6A0F"/>
    <w:rsid w:val="00DE6A3B"/>
    <w:rsid w:val="00DE6AD6"/>
    <w:rsid w:val="00DE6AEB"/>
    <w:rsid w:val="00DE6B5E"/>
    <w:rsid w:val="00DE6B7E"/>
    <w:rsid w:val="00DE6C33"/>
    <w:rsid w:val="00DE6C6E"/>
    <w:rsid w:val="00DE6C72"/>
    <w:rsid w:val="00DE6D65"/>
    <w:rsid w:val="00DE6D9B"/>
    <w:rsid w:val="00DE6DF4"/>
    <w:rsid w:val="00DE6F8D"/>
    <w:rsid w:val="00DE6F9C"/>
    <w:rsid w:val="00DE71F0"/>
    <w:rsid w:val="00DE72A1"/>
    <w:rsid w:val="00DE737D"/>
    <w:rsid w:val="00DE739B"/>
    <w:rsid w:val="00DE7488"/>
    <w:rsid w:val="00DE74AF"/>
    <w:rsid w:val="00DE74BE"/>
    <w:rsid w:val="00DE74DC"/>
    <w:rsid w:val="00DE756A"/>
    <w:rsid w:val="00DE75D3"/>
    <w:rsid w:val="00DE76D4"/>
    <w:rsid w:val="00DE7722"/>
    <w:rsid w:val="00DE77F4"/>
    <w:rsid w:val="00DE7872"/>
    <w:rsid w:val="00DE7A21"/>
    <w:rsid w:val="00DE7A2C"/>
    <w:rsid w:val="00DE7A46"/>
    <w:rsid w:val="00DE7AF7"/>
    <w:rsid w:val="00DE7C48"/>
    <w:rsid w:val="00DE7DA7"/>
    <w:rsid w:val="00DE7DE2"/>
    <w:rsid w:val="00DE7EF3"/>
    <w:rsid w:val="00DE7F56"/>
    <w:rsid w:val="00DF017C"/>
    <w:rsid w:val="00DF024C"/>
    <w:rsid w:val="00DF0285"/>
    <w:rsid w:val="00DF03D9"/>
    <w:rsid w:val="00DF0646"/>
    <w:rsid w:val="00DF06FC"/>
    <w:rsid w:val="00DF0703"/>
    <w:rsid w:val="00DF0714"/>
    <w:rsid w:val="00DF07CC"/>
    <w:rsid w:val="00DF088F"/>
    <w:rsid w:val="00DF08B1"/>
    <w:rsid w:val="00DF09D9"/>
    <w:rsid w:val="00DF09FC"/>
    <w:rsid w:val="00DF0A16"/>
    <w:rsid w:val="00DF0A31"/>
    <w:rsid w:val="00DF0AB6"/>
    <w:rsid w:val="00DF0AFB"/>
    <w:rsid w:val="00DF0B2F"/>
    <w:rsid w:val="00DF0C54"/>
    <w:rsid w:val="00DF0C5B"/>
    <w:rsid w:val="00DF0D21"/>
    <w:rsid w:val="00DF0D3E"/>
    <w:rsid w:val="00DF1014"/>
    <w:rsid w:val="00DF103F"/>
    <w:rsid w:val="00DF1098"/>
    <w:rsid w:val="00DF1153"/>
    <w:rsid w:val="00DF1237"/>
    <w:rsid w:val="00DF12EF"/>
    <w:rsid w:val="00DF1447"/>
    <w:rsid w:val="00DF1690"/>
    <w:rsid w:val="00DF171D"/>
    <w:rsid w:val="00DF17D6"/>
    <w:rsid w:val="00DF18FD"/>
    <w:rsid w:val="00DF1963"/>
    <w:rsid w:val="00DF1A94"/>
    <w:rsid w:val="00DF1C48"/>
    <w:rsid w:val="00DF1CEE"/>
    <w:rsid w:val="00DF1D65"/>
    <w:rsid w:val="00DF1DF3"/>
    <w:rsid w:val="00DF1F2C"/>
    <w:rsid w:val="00DF1FCC"/>
    <w:rsid w:val="00DF2150"/>
    <w:rsid w:val="00DF23E2"/>
    <w:rsid w:val="00DF23F6"/>
    <w:rsid w:val="00DF2668"/>
    <w:rsid w:val="00DF2725"/>
    <w:rsid w:val="00DF272E"/>
    <w:rsid w:val="00DF2789"/>
    <w:rsid w:val="00DF2939"/>
    <w:rsid w:val="00DF29DC"/>
    <w:rsid w:val="00DF2A3A"/>
    <w:rsid w:val="00DF2AAF"/>
    <w:rsid w:val="00DF2B42"/>
    <w:rsid w:val="00DF2EEE"/>
    <w:rsid w:val="00DF2F10"/>
    <w:rsid w:val="00DF3315"/>
    <w:rsid w:val="00DF3476"/>
    <w:rsid w:val="00DF3506"/>
    <w:rsid w:val="00DF35EB"/>
    <w:rsid w:val="00DF367F"/>
    <w:rsid w:val="00DF36F2"/>
    <w:rsid w:val="00DF3931"/>
    <w:rsid w:val="00DF3948"/>
    <w:rsid w:val="00DF3976"/>
    <w:rsid w:val="00DF39ED"/>
    <w:rsid w:val="00DF3B3C"/>
    <w:rsid w:val="00DF3C6C"/>
    <w:rsid w:val="00DF3CCB"/>
    <w:rsid w:val="00DF3CD3"/>
    <w:rsid w:val="00DF3EB7"/>
    <w:rsid w:val="00DF3EF1"/>
    <w:rsid w:val="00DF3FC4"/>
    <w:rsid w:val="00DF3FD4"/>
    <w:rsid w:val="00DF40C7"/>
    <w:rsid w:val="00DF40DE"/>
    <w:rsid w:val="00DF40F9"/>
    <w:rsid w:val="00DF40FD"/>
    <w:rsid w:val="00DF4178"/>
    <w:rsid w:val="00DF41C9"/>
    <w:rsid w:val="00DF42A5"/>
    <w:rsid w:val="00DF450B"/>
    <w:rsid w:val="00DF4516"/>
    <w:rsid w:val="00DF4836"/>
    <w:rsid w:val="00DF4A65"/>
    <w:rsid w:val="00DF4C1D"/>
    <w:rsid w:val="00DF4DB2"/>
    <w:rsid w:val="00DF4DE0"/>
    <w:rsid w:val="00DF4E83"/>
    <w:rsid w:val="00DF4ECF"/>
    <w:rsid w:val="00DF4F4B"/>
    <w:rsid w:val="00DF5013"/>
    <w:rsid w:val="00DF50AF"/>
    <w:rsid w:val="00DF51F0"/>
    <w:rsid w:val="00DF52FC"/>
    <w:rsid w:val="00DF530C"/>
    <w:rsid w:val="00DF53FC"/>
    <w:rsid w:val="00DF551E"/>
    <w:rsid w:val="00DF5548"/>
    <w:rsid w:val="00DF5648"/>
    <w:rsid w:val="00DF5699"/>
    <w:rsid w:val="00DF579B"/>
    <w:rsid w:val="00DF5881"/>
    <w:rsid w:val="00DF58CF"/>
    <w:rsid w:val="00DF5935"/>
    <w:rsid w:val="00DF597F"/>
    <w:rsid w:val="00DF5CC9"/>
    <w:rsid w:val="00DF5CCD"/>
    <w:rsid w:val="00DF60B7"/>
    <w:rsid w:val="00DF60E5"/>
    <w:rsid w:val="00DF62DD"/>
    <w:rsid w:val="00DF637F"/>
    <w:rsid w:val="00DF6576"/>
    <w:rsid w:val="00DF662F"/>
    <w:rsid w:val="00DF6723"/>
    <w:rsid w:val="00DF6788"/>
    <w:rsid w:val="00DF6912"/>
    <w:rsid w:val="00DF69E0"/>
    <w:rsid w:val="00DF6AAE"/>
    <w:rsid w:val="00DF6B18"/>
    <w:rsid w:val="00DF6C5B"/>
    <w:rsid w:val="00DF6EC4"/>
    <w:rsid w:val="00DF6FC3"/>
    <w:rsid w:val="00DF707E"/>
    <w:rsid w:val="00DF7109"/>
    <w:rsid w:val="00DF7204"/>
    <w:rsid w:val="00DF7284"/>
    <w:rsid w:val="00DF7435"/>
    <w:rsid w:val="00DF74AF"/>
    <w:rsid w:val="00DF74B7"/>
    <w:rsid w:val="00DF7540"/>
    <w:rsid w:val="00DF75C2"/>
    <w:rsid w:val="00DF767D"/>
    <w:rsid w:val="00DF78B7"/>
    <w:rsid w:val="00DF7912"/>
    <w:rsid w:val="00DF7A68"/>
    <w:rsid w:val="00DF7B5B"/>
    <w:rsid w:val="00DF7CC5"/>
    <w:rsid w:val="00DF7D53"/>
    <w:rsid w:val="00DF7D63"/>
    <w:rsid w:val="00DF7D85"/>
    <w:rsid w:val="00DF7D9B"/>
    <w:rsid w:val="00DF7E1C"/>
    <w:rsid w:val="00DF7E4F"/>
    <w:rsid w:val="00DF7E59"/>
    <w:rsid w:val="00DF7F8A"/>
    <w:rsid w:val="00E00087"/>
    <w:rsid w:val="00E000A2"/>
    <w:rsid w:val="00E0010E"/>
    <w:rsid w:val="00E0019C"/>
    <w:rsid w:val="00E002AF"/>
    <w:rsid w:val="00E00330"/>
    <w:rsid w:val="00E0041F"/>
    <w:rsid w:val="00E00424"/>
    <w:rsid w:val="00E005F7"/>
    <w:rsid w:val="00E0060A"/>
    <w:rsid w:val="00E00753"/>
    <w:rsid w:val="00E0077B"/>
    <w:rsid w:val="00E00965"/>
    <w:rsid w:val="00E00A1B"/>
    <w:rsid w:val="00E00B28"/>
    <w:rsid w:val="00E00CB4"/>
    <w:rsid w:val="00E00DFA"/>
    <w:rsid w:val="00E00EE4"/>
    <w:rsid w:val="00E01005"/>
    <w:rsid w:val="00E01015"/>
    <w:rsid w:val="00E0113B"/>
    <w:rsid w:val="00E01143"/>
    <w:rsid w:val="00E01146"/>
    <w:rsid w:val="00E0117A"/>
    <w:rsid w:val="00E0121E"/>
    <w:rsid w:val="00E01238"/>
    <w:rsid w:val="00E01400"/>
    <w:rsid w:val="00E014F6"/>
    <w:rsid w:val="00E0154D"/>
    <w:rsid w:val="00E0158C"/>
    <w:rsid w:val="00E016E3"/>
    <w:rsid w:val="00E017F2"/>
    <w:rsid w:val="00E0188B"/>
    <w:rsid w:val="00E018C0"/>
    <w:rsid w:val="00E0193A"/>
    <w:rsid w:val="00E01998"/>
    <w:rsid w:val="00E019D0"/>
    <w:rsid w:val="00E01A17"/>
    <w:rsid w:val="00E01A33"/>
    <w:rsid w:val="00E01ABB"/>
    <w:rsid w:val="00E01C18"/>
    <w:rsid w:val="00E01CC9"/>
    <w:rsid w:val="00E01D58"/>
    <w:rsid w:val="00E01D6F"/>
    <w:rsid w:val="00E01DF4"/>
    <w:rsid w:val="00E01DFA"/>
    <w:rsid w:val="00E01F9B"/>
    <w:rsid w:val="00E01FA4"/>
    <w:rsid w:val="00E022F5"/>
    <w:rsid w:val="00E02471"/>
    <w:rsid w:val="00E02575"/>
    <w:rsid w:val="00E0258D"/>
    <w:rsid w:val="00E025C5"/>
    <w:rsid w:val="00E026C2"/>
    <w:rsid w:val="00E027DC"/>
    <w:rsid w:val="00E0292C"/>
    <w:rsid w:val="00E02970"/>
    <w:rsid w:val="00E0297B"/>
    <w:rsid w:val="00E02A4F"/>
    <w:rsid w:val="00E02AA5"/>
    <w:rsid w:val="00E02AAB"/>
    <w:rsid w:val="00E02B16"/>
    <w:rsid w:val="00E02BCF"/>
    <w:rsid w:val="00E02C2D"/>
    <w:rsid w:val="00E02C54"/>
    <w:rsid w:val="00E02CEB"/>
    <w:rsid w:val="00E02D4A"/>
    <w:rsid w:val="00E02DCD"/>
    <w:rsid w:val="00E02E11"/>
    <w:rsid w:val="00E030A2"/>
    <w:rsid w:val="00E0312A"/>
    <w:rsid w:val="00E0317D"/>
    <w:rsid w:val="00E031D8"/>
    <w:rsid w:val="00E03607"/>
    <w:rsid w:val="00E03656"/>
    <w:rsid w:val="00E037BA"/>
    <w:rsid w:val="00E0391C"/>
    <w:rsid w:val="00E039C5"/>
    <w:rsid w:val="00E039DE"/>
    <w:rsid w:val="00E039E1"/>
    <w:rsid w:val="00E03B1F"/>
    <w:rsid w:val="00E03C99"/>
    <w:rsid w:val="00E03F1E"/>
    <w:rsid w:val="00E04040"/>
    <w:rsid w:val="00E04051"/>
    <w:rsid w:val="00E04081"/>
    <w:rsid w:val="00E0409F"/>
    <w:rsid w:val="00E04100"/>
    <w:rsid w:val="00E04388"/>
    <w:rsid w:val="00E04394"/>
    <w:rsid w:val="00E04747"/>
    <w:rsid w:val="00E04781"/>
    <w:rsid w:val="00E047BA"/>
    <w:rsid w:val="00E047CC"/>
    <w:rsid w:val="00E047D3"/>
    <w:rsid w:val="00E04A01"/>
    <w:rsid w:val="00E04A20"/>
    <w:rsid w:val="00E04A71"/>
    <w:rsid w:val="00E04C77"/>
    <w:rsid w:val="00E04D26"/>
    <w:rsid w:val="00E04E6C"/>
    <w:rsid w:val="00E04F72"/>
    <w:rsid w:val="00E0509D"/>
    <w:rsid w:val="00E0515D"/>
    <w:rsid w:val="00E05562"/>
    <w:rsid w:val="00E055A6"/>
    <w:rsid w:val="00E0560E"/>
    <w:rsid w:val="00E0573B"/>
    <w:rsid w:val="00E057A9"/>
    <w:rsid w:val="00E05900"/>
    <w:rsid w:val="00E05999"/>
    <w:rsid w:val="00E059B0"/>
    <w:rsid w:val="00E05A7E"/>
    <w:rsid w:val="00E05AED"/>
    <w:rsid w:val="00E05B00"/>
    <w:rsid w:val="00E05CB1"/>
    <w:rsid w:val="00E05E3C"/>
    <w:rsid w:val="00E05E79"/>
    <w:rsid w:val="00E05FA1"/>
    <w:rsid w:val="00E060CB"/>
    <w:rsid w:val="00E061B9"/>
    <w:rsid w:val="00E06332"/>
    <w:rsid w:val="00E0634F"/>
    <w:rsid w:val="00E06488"/>
    <w:rsid w:val="00E06516"/>
    <w:rsid w:val="00E0654D"/>
    <w:rsid w:val="00E0659C"/>
    <w:rsid w:val="00E065C5"/>
    <w:rsid w:val="00E065E1"/>
    <w:rsid w:val="00E06695"/>
    <w:rsid w:val="00E067B5"/>
    <w:rsid w:val="00E067C5"/>
    <w:rsid w:val="00E06E5E"/>
    <w:rsid w:val="00E06E73"/>
    <w:rsid w:val="00E06FF6"/>
    <w:rsid w:val="00E0705B"/>
    <w:rsid w:val="00E070C8"/>
    <w:rsid w:val="00E071CC"/>
    <w:rsid w:val="00E07457"/>
    <w:rsid w:val="00E074C0"/>
    <w:rsid w:val="00E0762A"/>
    <w:rsid w:val="00E0764F"/>
    <w:rsid w:val="00E07661"/>
    <w:rsid w:val="00E0767F"/>
    <w:rsid w:val="00E078D0"/>
    <w:rsid w:val="00E07A86"/>
    <w:rsid w:val="00E07B3E"/>
    <w:rsid w:val="00E07B66"/>
    <w:rsid w:val="00E07BD6"/>
    <w:rsid w:val="00E07CD3"/>
    <w:rsid w:val="00E07D21"/>
    <w:rsid w:val="00E07F90"/>
    <w:rsid w:val="00E07FBC"/>
    <w:rsid w:val="00E07FF4"/>
    <w:rsid w:val="00E100C2"/>
    <w:rsid w:val="00E102AD"/>
    <w:rsid w:val="00E102CC"/>
    <w:rsid w:val="00E10307"/>
    <w:rsid w:val="00E10409"/>
    <w:rsid w:val="00E1053E"/>
    <w:rsid w:val="00E105C1"/>
    <w:rsid w:val="00E105C5"/>
    <w:rsid w:val="00E105D7"/>
    <w:rsid w:val="00E10603"/>
    <w:rsid w:val="00E108BA"/>
    <w:rsid w:val="00E10A64"/>
    <w:rsid w:val="00E10A88"/>
    <w:rsid w:val="00E10B4A"/>
    <w:rsid w:val="00E10B67"/>
    <w:rsid w:val="00E10C7B"/>
    <w:rsid w:val="00E10C99"/>
    <w:rsid w:val="00E10CBC"/>
    <w:rsid w:val="00E10CBF"/>
    <w:rsid w:val="00E10CED"/>
    <w:rsid w:val="00E10D71"/>
    <w:rsid w:val="00E10DAE"/>
    <w:rsid w:val="00E10E63"/>
    <w:rsid w:val="00E11050"/>
    <w:rsid w:val="00E112E1"/>
    <w:rsid w:val="00E114EC"/>
    <w:rsid w:val="00E11514"/>
    <w:rsid w:val="00E11574"/>
    <w:rsid w:val="00E11582"/>
    <w:rsid w:val="00E115CE"/>
    <w:rsid w:val="00E11730"/>
    <w:rsid w:val="00E117D3"/>
    <w:rsid w:val="00E11844"/>
    <w:rsid w:val="00E11888"/>
    <w:rsid w:val="00E11943"/>
    <w:rsid w:val="00E11956"/>
    <w:rsid w:val="00E11997"/>
    <w:rsid w:val="00E11AAC"/>
    <w:rsid w:val="00E11ACB"/>
    <w:rsid w:val="00E11B39"/>
    <w:rsid w:val="00E11B41"/>
    <w:rsid w:val="00E11BB2"/>
    <w:rsid w:val="00E11C5B"/>
    <w:rsid w:val="00E12276"/>
    <w:rsid w:val="00E12306"/>
    <w:rsid w:val="00E124B4"/>
    <w:rsid w:val="00E127BA"/>
    <w:rsid w:val="00E128EA"/>
    <w:rsid w:val="00E12A32"/>
    <w:rsid w:val="00E12A7F"/>
    <w:rsid w:val="00E12AF8"/>
    <w:rsid w:val="00E12B05"/>
    <w:rsid w:val="00E12B22"/>
    <w:rsid w:val="00E12CFB"/>
    <w:rsid w:val="00E12DA6"/>
    <w:rsid w:val="00E12EFB"/>
    <w:rsid w:val="00E12FF5"/>
    <w:rsid w:val="00E130CF"/>
    <w:rsid w:val="00E13185"/>
    <w:rsid w:val="00E1325C"/>
    <w:rsid w:val="00E132E8"/>
    <w:rsid w:val="00E132FB"/>
    <w:rsid w:val="00E133CF"/>
    <w:rsid w:val="00E133E9"/>
    <w:rsid w:val="00E133FC"/>
    <w:rsid w:val="00E13409"/>
    <w:rsid w:val="00E13623"/>
    <w:rsid w:val="00E136A4"/>
    <w:rsid w:val="00E1374D"/>
    <w:rsid w:val="00E1379C"/>
    <w:rsid w:val="00E137BC"/>
    <w:rsid w:val="00E137BD"/>
    <w:rsid w:val="00E139F0"/>
    <w:rsid w:val="00E13A22"/>
    <w:rsid w:val="00E13A95"/>
    <w:rsid w:val="00E13C02"/>
    <w:rsid w:val="00E13E9B"/>
    <w:rsid w:val="00E13EB3"/>
    <w:rsid w:val="00E13F29"/>
    <w:rsid w:val="00E13FDB"/>
    <w:rsid w:val="00E13FF9"/>
    <w:rsid w:val="00E1411F"/>
    <w:rsid w:val="00E14170"/>
    <w:rsid w:val="00E141DD"/>
    <w:rsid w:val="00E14255"/>
    <w:rsid w:val="00E14266"/>
    <w:rsid w:val="00E14397"/>
    <w:rsid w:val="00E143B2"/>
    <w:rsid w:val="00E14443"/>
    <w:rsid w:val="00E1455F"/>
    <w:rsid w:val="00E145E0"/>
    <w:rsid w:val="00E14633"/>
    <w:rsid w:val="00E146E5"/>
    <w:rsid w:val="00E147D5"/>
    <w:rsid w:val="00E1480A"/>
    <w:rsid w:val="00E148C9"/>
    <w:rsid w:val="00E1490B"/>
    <w:rsid w:val="00E14961"/>
    <w:rsid w:val="00E149D3"/>
    <w:rsid w:val="00E14A72"/>
    <w:rsid w:val="00E14AD2"/>
    <w:rsid w:val="00E14AFF"/>
    <w:rsid w:val="00E14C44"/>
    <w:rsid w:val="00E14C59"/>
    <w:rsid w:val="00E14C82"/>
    <w:rsid w:val="00E14DD3"/>
    <w:rsid w:val="00E14E65"/>
    <w:rsid w:val="00E14ED9"/>
    <w:rsid w:val="00E15190"/>
    <w:rsid w:val="00E15220"/>
    <w:rsid w:val="00E1541E"/>
    <w:rsid w:val="00E15481"/>
    <w:rsid w:val="00E154ED"/>
    <w:rsid w:val="00E15518"/>
    <w:rsid w:val="00E15653"/>
    <w:rsid w:val="00E156D3"/>
    <w:rsid w:val="00E156EE"/>
    <w:rsid w:val="00E15765"/>
    <w:rsid w:val="00E15880"/>
    <w:rsid w:val="00E158C6"/>
    <w:rsid w:val="00E15911"/>
    <w:rsid w:val="00E15AC2"/>
    <w:rsid w:val="00E15BD8"/>
    <w:rsid w:val="00E15BFC"/>
    <w:rsid w:val="00E15C8C"/>
    <w:rsid w:val="00E15CFC"/>
    <w:rsid w:val="00E15E38"/>
    <w:rsid w:val="00E15ED2"/>
    <w:rsid w:val="00E15FFB"/>
    <w:rsid w:val="00E1614A"/>
    <w:rsid w:val="00E162B6"/>
    <w:rsid w:val="00E16429"/>
    <w:rsid w:val="00E16487"/>
    <w:rsid w:val="00E164A3"/>
    <w:rsid w:val="00E16565"/>
    <w:rsid w:val="00E165A2"/>
    <w:rsid w:val="00E165BD"/>
    <w:rsid w:val="00E166F9"/>
    <w:rsid w:val="00E1676C"/>
    <w:rsid w:val="00E1684D"/>
    <w:rsid w:val="00E1697F"/>
    <w:rsid w:val="00E169D5"/>
    <w:rsid w:val="00E16AC0"/>
    <w:rsid w:val="00E16AEB"/>
    <w:rsid w:val="00E16B5A"/>
    <w:rsid w:val="00E16C11"/>
    <w:rsid w:val="00E16C86"/>
    <w:rsid w:val="00E16DF4"/>
    <w:rsid w:val="00E16F00"/>
    <w:rsid w:val="00E16F2C"/>
    <w:rsid w:val="00E16F73"/>
    <w:rsid w:val="00E16FB0"/>
    <w:rsid w:val="00E1703D"/>
    <w:rsid w:val="00E17050"/>
    <w:rsid w:val="00E17052"/>
    <w:rsid w:val="00E172FD"/>
    <w:rsid w:val="00E17307"/>
    <w:rsid w:val="00E17381"/>
    <w:rsid w:val="00E173CC"/>
    <w:rsid w:val="00E173DE"/>
    <w:rsid w:val="00E173E4"/>
    <w:rsid w:val="00E175CE"/>
    <w:rsid w:val="00E1768E"/>
    <w:rsid w:val="00E176A0"/>
    <w:rsid w:val="00E1782E"/>
    <w:rsid w:val="00E178D4"/>
    <w:rsid w:val="00E17ABF"/>
    <w:rsid w:val="00E17AEA"/>
    <w:rsid w:val="00E17BEA"/>
    <w:rsid w:val="00E17C6F"/>
    <w:rsid w:val="00E17CC3"/>
    <w:rsid w:val="00E17D02"/>
    <w:rsid w:val="00E17D15"/>
    <w:rsid w:val="00E17D37"/>
    <w:rsid w:val="00E17D47"/>
    <w:rsid w:val="00E17D8F"/>
    <w:rsid w:val="00E17DAC"/>
    <w:rsid w:val="00E17DC7"/>
    <w:rsid w:val="00E17EA6"/>
    <w:rsid w:val="00E200E8"/>
    <w:rsid w:val="00E2016E"/>
    <w:rsid w:val="00E2021F"/>
    <w:rsid w:val="00E20244"/>
    <w:rsid w:val="00E20272"/>
    <w:rsid w:val="00E202B5"/>
    <w:rsid w:val="00E20362"/>
    <w:rsid w:val="00E204A8"/>
    <w:rsid w:val="00E204E2"/>
    <w:rsid w:val="00E205B0"/>
    <w:rsid w:val="00E205C8"/>
    <w:rsid w:val="00E20775"/>
    <w:rsid w:val="00E209B3"/>
    <w:rsid w:val="00E20ABB"/>
    <w:rsid w:val="00E20C0D"/>
    <w:rsid w:val="00E20C24"/>
    <w:rsid w:val="00E20C30"/>
    <w:rsid w:val="00E20C4A"/>
    <w:rsid w:val="00E20DC3"/>
    <w:rsid w:val="00E20E24"/>
    <w:rsid w:val="00E20E4A"/>
    <w:rsid w:val="00E2100A"/>
    <w:rsid w:val="00E2105A"/>
    <w:rsid w:val="00E21112"/>
    <w:rsid w:val="00E21157"/>
    <w:rsid w:val="00E2117A"/>
    <w:rsid w:val="00E211B5"/>
    <w:rsid w:val="00E21324"/>
    <w:rsid w:val="00E21325"/>
    <w:rsid w:val="00E21370"/>
    <w:rsid w:val="00E213A2"/>
    <w:rsid w:val="00E213AF"/>
    <w:rsid w:val="00E2154A"/>
    <w:rsid w:val="00E21668"/>
    <w:rsid w:val="00E216F6"/>
    <w:rsid w:val="00E2172A"/>
    <w:rsid w:val="00E21820"/>
    <w:rsid w:val="00E218FD"/>
    <w:rsid w:val="00E21907"/>
    <w:rsid w:val="00E2191B"/>
    <w:rsid w:val="00E21938"/>
    <w:rsid w:val="00E219AF"/>
    <w:rsid w:val="00E219DC"/>
    <w:rsid w:val="00E21B26"/>
    <w:rsid w:val="00E21B64"/>
    <w:rsid w:val="00E21C12"/>
    <w:rsid w:val="00E21C66"/>
    <w:rsid w:val="00E21CAC"/>
    <w:rsid w:val="00E21F2A"/>
    <w:rsid w:val="00E21FF6"/>
    <w:rsid w:val="00E220B5"/>
    <w:rsid w:val="00E22193"/>
    <w:rsid w:val="00E22281"/>
    <w:rsid w:val="00E222A9"/>
    <w:rsid w:val="00E22372"/>
    <w:rsid w:val="00E22420"/>
    <w:rsid w:val="00E224E5"/>
    <w:rsid w:val="00E22543"/>
    <w:rsid w:val="00E226AA"/>
    <w:rsid w:val="00E22722"/>
    <w:rsid w:val="00E2275E"/>
    <w:rsid w:val="00E22761"/>
    <w:rsid w:val="00E227D6"/>
    <w:rsid w:val="00E22814"/>
    <w:rsid w:val="00E22861"/>
    <w:rsid w:val="00E22C64"/>
    <w:rsid w:val="00E22D11"/>
    <w:rsid w:val="00E22D39"/>
    <w:rsid w:val="00E22DEF"/>
    <w:rsid w:val="00E22EF3"/>
    <w:rsid w:val="00E22F26"/>
    <w:rsid w:val="00E22F45"/>
    <w:rsid w:val="00E23053"/>
    <w:rsid w:val="00E230B9"/>
    <w:rsid w:val="00E230BC"/>
    <w:rsid w:val="00E231C9"/>
    <w:rsid w:val="00E2321B"/>
    <w:rsid w:val="00E232DC"/>
    <w:rsid w:val="00E2338E"/>
    <w:rsid w:val="00E233D2"/>
    <w:rsid w:val="00E233E0"/>
    <w:rsid w:val="00E237E6"/>
    <w:rsid w:val="00E2380A"/>
    <w:rsid w:val="00E2382E"/>
    <w:rsid w:val="00E23841"/>
    <w:rsid w:val="00E23855"/>
    <w:rsid w:val="00E23958"/>
    <w:rsid w:val="00E239B5"/>
    <w:rsid w:val="00E23B7C"/>
    <w:rsid w:val="00E23C1B"/>
    <w:rsid w:val="00E23D50"/>
    <w:rsid w:val="00E23EBC"/>
    <w:rsid w:val="00E23FE8"/>
    <w:rsid w:val="00E241FD"/>
    <w:rsid w:val="00E2421E"/>
    <w:rsid w:val="00E24247"/>
    <w:rsid w:val="00E246FC"/>
    <w:rsid w:val="00E2477F"/>
    <w:rsid w:val="00E2481B"/>
    <w:rsid w:val="00E248F9"/>
    <w:rsid w:val="00E24AFF"/>
    <w:rsid w:val="00E24B5F"/>
    <w:rsid w:val="00E24C1A"/>
    <w:rsid w:val="00E24C2D"/>
    <w:rsid w:val="00E24D1A"/>
    <w:rsid w:val="00E24E45"/>
    <w:rsid w:val="00E24E55"/>
    <w:rsid w:val="00E24F19"/>
    <w:rsid w:val="00E24F31"/>
    <w:rsid w:val="00E24F8D"/>
    <w:rsid w:val="00E2512F"/>
    <w:rsid w:val="00E2531F"/>
    <w:rsid w:val="00E253AE"/>
    <w:rsid w:val="00E253E4"/>
    <w:rsid w:val="00E25454"/>
    <w:rsid w:val="00E254D8"/>
    <w:rsid w:val="00E254F1"/>
    <w:rsid w:val="00E25556"/>
    <w:rsid w:val="00E25618"/>
    <w:rsid w:val="00E2568E"/>
    <w:rsid w:val="00E256A9"/>
    <w:rsid w:val="00E25828"/>
    <w:rsid w:val="00E25844"/>
    <w:rsid w:val="00E25A55"/>
    <w:rsid w:val="00E25C6F"/>
    <w:rsid w:val="00E25CDB"/>
    <w:rsid w:val="00E25DA5"/>
    <w:rsid w:val="00E25E2C"/>
    <w:rsid w:val="00E26037"/>
    <w:rsid w:val="00E260B8"/>
    <w:rsid w:val="00E26152"/>
    <w:rsid w:val="00E26238"/>
    <w:rsid w:val="00E263FE"/>
    <w:rsid w:val="00E26403"/>
    <w:rsid w:val="00E2642D"/>
    <w:rsid w:val="00E2646D"/>
    <w:rsid w:val="00E264B1"/>
    <w:rsid w:val="00E26528"/>
    <w:rsid w:val="00E26540"/>
    <w:rsid w:val="00E2673E"/>
    <w:rsid w:val="00E26801"/>
    <w:rsid w:val="00E2685A"/>
    <w:rsid w:val="00E26907"/>
    <w:rsid w:val="00E269FA"/>
    <w:rsid w:val="00E26C63"/>
    <w:rsid w:val="00E26D37"/>
    <w:rsid w:val="00E26D5C"/>
    <w:rsid w:val="00E26EEB"/>
    <w:rsid w:val="00E26F34"/>
    <w:rsid w:val="00E26F4D"/>
    <w:rsid w:val="00E26F9D"/>
    <w:rsid w:val="00E2724A"/>
    <w:rsid w:val="00E272A6"/>
    <w:rsid w:val="00E272CC"/>
    <w:rsid w:val="00E27405"/>
    <w:rsid w:val="00E27576"/>
    <w:rsid w:val="00E2758C"/>
    <w:rsid w:val="00E275F4"/>
    <w:rsid w:val="00E27611"/>
    <w:rsid w:val="00E27627"/>
    <w:rsid w:val="00E276F9"/>
    <w:rsid w:val="00E27738"/>
    <w:rsid w:val="00E2788F"/>
    <w:rsid w:val="00E2791C"/>
    <w:rsid w:val="00E2795E"/>
    <w:rsid w:val="00E279C6"/>
    <w:rsid w:val="00E27AF4"/>
    <w:rsid w:val="00E27B09"/>
    <w:rsid w:val="00E27C64"/>
    <w:rsid w:val="00E27CCF"/>
    <w:rsid w:val="00E27CE7"/>
    <w:rsid w:val="00E27D0A"/>
    <w:rsid w:val="00E27D10"/>
    <w:rsid w:val="00E27E57"/>
    <w:rsid w:val="00E27EAF"/>
    <w:rsid w:val="00E27F59"/>
    <w:rsid w:val="00E27F6D"/>
    <w:rsid w:val="00E3003B"/>
    <w:rsid w:val="00E3005B"/>
    <w:rsid w:val="00E301A7"/>
    <w:rsid w:val="00E3022A"/>
    <w:rsid w:val="00E30231"/>
    <w:rsid w:val="00E303CC"/>
    <w:rsid w:val="00E30497"/>
    <w:rsid w:val="00E30508"/>
    <w:rsid w:val="00E30599"/>
    <w:rsid w:val="00E3064E"/>
    <w:rsid w:val="00E306E9"/>
    <w:rsid w:val="00E30803"/>
    <w:rsid w:val="00E309A2"/>
    <w:rsid w:val="00E30AFA"/>
    <w:rsid w:val="00E30BE3"/>
    <w:rsid w:val="00E30C27"/>
    <w:rsid w:val="00E30C4A"/>
    <w:rsid w:val="00E30C8A"/>
    <w:rsid w:val="00E30CA4"/>
    <w:rsid w:val="00E30CD7"/>
    <w:rsid w:val="00E30D0B"/>
    <w:rsid w:val="00E30E43"/>
    <w:rsid w:val="00E30E4E"/>
    <w:rsid w:val="00E30FD9"/>
    <w:rsid w:val="00E31017"/>
    <w:rsid w:val="00E31073"/>
    <w:rsid w:val="00E310D9"/>
    <w:rsid w:val="00E3116F"/>
    <w:rsid w:val="00E311F5"/>
    <w:rsid w:val="00E31204"/>
    <w:rsid w:val="00E31221"/>
    <w:rsid w:val="00E313B8"/>
    <w:rsid w:val="00E314D5"/>
    <w:rsid w:val="00E314D6"/>
    <w:rsid w:val="00E31592"/>
    <w:rsid w:val="00E31669"/>
    <w:rsid w:val="00E316CE"/>
    <w:rsid w:val="00E316D3"/>
    <w:rsid w:val="00E317A0"/>
    <w:rsid w:val="00E317CA"/>
    <w:rsid w:val="00E3183D"/>
    <w:rsid w:val="00E31856"/>
    <w:rsid w:val="00E319A0"/>
    <w:rsid w:val="00E31AB2"/>
    <w:rsid w:val="00E31BE2"/>
    <w:rsid w:val="00E31C46"/>
    <w:rsid w:val="00E31F26"/>
    <w:rsid w:val="00E31F4C"/>
    <w:rsid w:val="00E31F81"/>
    <w:rsid w:val="00E31FE7"/>
    <w:rsid w:val="00E320BC"/>
    <w:rsid w:val="00E321BC"/>
    <w:rsid w:val="00E3237B"/>
    <w:rsid w:val="00E32512"/>
    <w:rsid w:val="00E328DD"/>
    <w:rsid w:val="00E32A2F"/>
    <w:rsid w:val="00E32A3C"/>
    <w:rsid w:val="00E32C11"/>
    <w:rsid w:val="00E32E15"/>
    <w:rsid w:val="00E32EE2"/>
    <w:rsid w:val="00E32FFF"/>
    <w:rsid w:val="00E333EB"/>
    <w:rsid w:val="00E3342E"/>
    <w:rsid w:val="00E33476"/>
    <w:rsid w:val="00E3361E"/>
    <w:rsid w:val="00E33640"/>
    <w:rsid w:val="00E3367F"/>
    <w:rsid w:val="00E336F7"/>
    <w:rsid w:val="00E3377A"/>
    <w:rsid w:val="00E337C0"/>
    <w:rsid w:val="00E337DF"/>
    <w:rsid w:val="00E338FD"/>
    <w:rsid w:val="00E33979"/>
    <w:rsid w:val="00E33BCA"/>
    <w:rsid w:val="00E33DD0"/>
    <w:rsid w:val="00E33EB0"/>
    <w:rsid w:val="00E33FE9"/>
    <w:rsid w:val="00E33FF3"/>
    <w:rsid w:val="00E34094"/>
    <w:rsid w:val="00E34141"/>
    <w:rsid w:val="00E3416F"/>
    <w:rsid w:val="00E341AE"/>
    <w:rsid w:val="00E34456"/>
    <w:rsid w:val="00E3450D"/>
    <w:rsid w:val="00E345A1"/>
    <w:rsid w:val="00E34611"/>
    <w:rsid w:val="00E3462B"/>
    <w:rsid w:val="00E34634"/>
    <w:rsid w:val="00E3472D"/>
    <w:rsid w:val="00E347E6"/>
    <w:rsid w:val="00E3485D"/>
    <w:rsid w:val="00E3497B"/>
    <w:rsid w:val="00E34B41"/>
    <w:rsid w:val="00E34BF8"/>
    <w:rsid w:val="00E34CCC"/>
    <w:rsid w:val="00E34D91"/>
    <w:rsid w:val="00E34DAE"/>
    <w:rsid w:val="00E34DFF"/>
    <w:rsid w:val="00E34F50"/>
    <w:rsid w:val="00E34FF4"/>
    <w:rsid w:val="00E35040"/>
    <w:rsid w:val="00E3505A"/>
    <w:rsid w:val="00E35068"/>
    <w:rsid w:val="00E350F0"/>
    <w:rsid w:val="00E3522A"/>
    <w:rsid w:val="00E352F0"/>
    <w:rsid w:val="00E35462"/>
    <w:rsid w:val="00E35761"/>
    <w:rsid w:val="00E3595F"/>
    <w:rsid w:val="00E35A07"/>
    <w:rsid w:val="00E35A50"/>
    <w:rsid w:val="00E35C44"/>
    <w:rsid w:val="00E35C47"/>
    <w:rsid w:val="00E35EE5"/>
    <w:rsid w:val="00E35EE6"/>
    <w:rsid w:val="00E35F99"/>
    <w:rsid w:val="00E35FD5"/>
    <w:rsid w:val="00E35FF8"/>
    <w:rsid w:val="00E36062"/>
    <w:rsid w:val="00E36098"/>
    <w:rsid w:val="00E3613D"/>
    <w:rsid w:val="00E361B5"/>
    <w:rsid w:val="00E36355"/>
    <w:rsid w:val="00E36426"/>
    <w:rsid w:val="00E36432"/>
    <w:rsid w:val="00E3646D"/>
    <w:rsid w:val="00E365C9"/>
    <w:rsid w:val="00E366C4"/>
    <w:rsid w:val="00E366E4"/>
    <w:rsid w:val="00E36911"/>
    <w:rsid w:val="00E36927"/>
    <w:rsid w:val="00E36937"/>
    <w:rsid w:val="00E369A3"/>
    <w:rsid w:val="00E36A8C"/>
    <w:rsid w:val="00E36A93"/>
    <w:rsid w:val="00E36BD2"/>
    <w:rsid w:val="00E36D65"/>
    <w:rsid w:val="00E36D69"/>
    <w:rsid w:val="00E36DB0"/>
    <w:rsid w:val="00E36E0E"/>
    <w:rsid w:val="00E36E67"/>
    <w:rsid w:val="00E36EBB"/>
    <w:rsid w:val="00E36ED7"/>
    <w:rsid w:val="00E36F90"/>
    <w:rsid w:val="00E370A7"/>
    <w:rsid w:val="00E370A9"/>
    <w:rsid w:val="00E3715C"/>
    <w:rsid w:val="00E371CE"/>
    <w:rsid w:val="00E37485"/>
    <w:rsid w:val="00E37756"/>
    <w:rsid w:val="00E378DA"/>
    <w:rsid w:val="00E3790A"/>
    <w:rsid w:val="00E37978"/>
    <w:rsid w:val="00E37993"/>
    <w:rsid w:val="00E379BE"/>
    <w:rsid w:val="00E37B21"/>
    <w:rsid w:val="00E37B38"/>
    <w:rsid w:val="00E37B87"/>
    <w:rsid w:val="00E37C0C"/>
    <w:rsid w:val="00E37C7A"/>
    <w:rsid w:val="00E37C7C"/>
    <w:rsid w:val="00E37D3D"/>
    <w:rsid w:val="00E37D89"/>
    <w:rsid w:val="00E37DF1"/>
    <w:rsid w:val="00E37EB2"/>
    <w:rsid w:val="00E37F0D"/>
    <w:rsid w:val="00E37F62"/>
    <w:rsid w:val="00E37FA1"/>
    <w:rsid w:val="00E4003E"/>
    <w:rsid w:val="00E400C7"/>
    <w:rsid w:val="00E400ED"/>
    <w:rsid w:val="00E40189"/>
    <w:rsid w:val="00E401E0"/>
    <w:rsid w:val="00E40225"/>
    <w:rsid w:val="00E4029E"/>
    <w:rsid w:val="00E4030F"/>
    <w:rsid w:val="00E40326"/>
    <w:rsid w:val="00E403CB"/>
    <w:rsid w:val="00E404FC"/>
    <w:rsid w:val="00E406E0"/>
    <w:rsid w:val="00E4072B"/>
    <w:rsid w:val="00E4073D"/>
    <w:rsid w:val="00E40836"/>
    <w:rsid w:val="00E40A0C"/>
    <w:rsid w:val="00E40AA0"/>
    <w:rsid w:val="00E40B54"/>
    <w:rsid w:val="00E40C1C"/>
    <w:rsid w:val="00E40D3D"/>
    <w:rsid w:val="00E40D9D"/>
    <w:rsid w:val="00E40EAA"/>
    <w:rsid w:val="00E40ECF"/>
    <w:rsid w:val="00E40F87"/>
    <w:rsid w:val="00E411E6"/>
    <w:rsid w:val="00E4123E"/>
    <w:rsid w:val="00E412D5"/>
    <w:rsid w:val="00E4145F"/>
    <w:rsid w:val="00E414E2"/>
    <w:rsid w:val="00E4152B"/>
    <w:rsid w:val="00E416C5"/>
    <w:rsid w:val="00E416CD"/>
    <w:rsid w:val="00E41781"/>
    <w:rsid w:val="00E4180F"/>
    <w:rsid w:val="00E41812"/>
    <w:rsid w:val="00E41821"/>
    <w:rsid w:val="00E4188C"/>
    <w:rsid w:val="00E41A17"/>
    <w:rsid w:val="00E41B6F"/>
    <w:rsid w:val="00E41C12"/>
    <w:rsid w:val="00E41CB4"/>
    <w:rsid w:val="00E41CC7"/>
    <w:rsid w:val="00E41D04"/>
    <w:rsid w:val="00E41D54"/>
    <w:rsid w:val="00E41D89"/>
    <w:rsid w:val="00E41E70"/>
    <w:rsid w:val="00E41F46"/>
    <w:rsid w:val="00E420DA"/>
    <w:rsid w:val="00E421BC"/>
    <w:rsid w:val="00E42275"/>
    <w:rsid w:val="00E42326"/>
    <w:rsid w:val="00E42414"/>
    <w:rsid w:val="00E42422"/>
    <w:rsid w:val="00E424F9"/>
    <w:rsid w:val="00E4254A"/>
    <w:rsid w:val="00E425F9"/>
    <w:rsid w:val="00E4282E"/>
    <w:rsid w:val="00E4287B"/>
    <w:rsid w:val="00E42936"/>
    <w:rsid w:val="00E42982"/>
    <w:rsid w:val="00E429FC"/>
    <w:rsid w:val="00E42BFF"/>
    <w:rsid w:val="00E42C27"/>
    <w:rsid w:val="00E42D0D"/>
    <w:rsid w:val="00E42D6A"/>
    <w:rsid w:val="00E42DE4"/>
    <w:rsid w:val="00E42F07"/>
    <w:rsid w:val="00E42F15"/>
    <w:rsid w:val="00E430D8"/>
    <w:rsid w:val="00E431B6"/>
    <w:rsid w:val="00E43255"/>
    <w:rsid w:val="00E43308"/>
    <w:rsid w:val="00E43373"/>
    <w:rsid w:val="00E4337A"/>
    <w:rsid w:val="00E43454"/>
    <w:rsid w:val="00E434DB"/>
    <w:rsid w:val="00E4366F"/>
    <w:rsid w:val="00E43725"/>
    <w:rsid w:val="00E437EE"/>
    <w:rsid w:val="00E438CE"/>
    <w:rsid w:val="00E439B5"/>
    <w:rsid w:val="00E439C5"/>
    <w:rsid w:val="00E43B6A"/>
    <w:rsid w:val="00E43B84"/>
    <w:rsid w:val="00E43BC5"/>
    <w:rsid w:val="00E43C0C"/>
    <w:rsid w:val="00E43D26"/>
    <w:rsid w:val="00E43D75"/>
    <w:rsid w:val="00E43DCF"/>
    <w:rsid w:val="00E43E0D"/>
    <w:rsid w:val="00E43E42"/>
    <w:rsid w:val="00E4406D"/>
    <w:rsid w:val="00E44129"/>
    <w:rsid w:val="00E44198"/>
    <w:rsid w:val="00E441C2"/>
    <w:rsid w:val="00E44202"/>
    <w:rsid w:val="00E4424D"/>
    <w:rsid w:val="00E44344"/>
    <w:rsid w:val="00E4441A"/>
    <w:rsid w:val="00E4463D"/>
    <w:rsid w:val="00E446AE"/>
    <w:rsid w:val="00E447DF"/>
    <w:rsid w:val="00E447E6"/>
    <w:rsid w:val="00E4494B"/>
    <w:rsid w:val="00E44C6E"/>
    <w:rsid w:val="00E44D13"/>
    <w:rsid w:val="00E44D69"/>
    <w:rsid w:val="00E44E46"/>
    <w:rsid w:val="00E45056"/>
    <w:rsid w:val="00E450FC"/>
    <w:rsid w:val="00E45116"/>
    <w:rsid w:val="00E451E6"/>
    <w:rsid w:val="00E451F3"/>
    <w:rsid w:val="00E45257"/>
    <w:rsid w:val="00E4528C"/>
    <w:rsid w:val="00E4543A"/>
    <w:rsid w:val="00E454A3"/>
    <w:rsid w:val="00E454EE"/>
    <w:rsid w:val="00E455A5"/>
    <w:rsid w:val="00E455E6"/>
    <w:rsid w:val="00E4567B"/>
    <w:rsid w:val="00E45749"/>
    <w:rsid w:val="00E45842"/>
    <w:rsid w:val="00E45979"/>
    <w:rsid w:val="00E45B07"/>
    <w:rsid w:val="00E45B45"/>
    <w:rsid w:val="00E45C8F"/>
    <w:rsid w:val="00E45CE5"/>
    <w:rsid w:val="00E45D92"/>
    <w:rsid w:val="00E45E73"/>
    <w:rsid w:val="00E45F8D"/>
    <w:rsid w:val="00E4604F"/>
    <w:rsid w:val="00E460EE"/>
    <w:rsid w:val="00E4629D"/>
    <w:rsid w:val="00E462B0"/>
    <w:rsid w:val="00E462B5"/>
    <w:rsid w:val="00E462D8"/>
    <w:rsid w:val="00E4631A"/>
    <w:rsid w:val="00E4638B"/>
    <w:rsid w:val="00E464BD"/>
    <w:rsid w:val="00E464D7"/>
    <w:rsid w:val="00E46684"/>
    <w:rsid w:val="00E467C5"/>
    <w:rsid w:val="00E46834"/>
    <w:rsid w:val="00E4684B"/>
    <w:rsid w:val="00E4689B"/>
    <w:rsid w:val="00E468B4"/>
    <w:rsid w:val="00E468BE"/>
    <w:rsid w:val="00E468C1"/>
    <w:rsid w:val="00E46995"/>
    <w:rsid w:val="00E469F8"/>
    <w:rsid w:val="00E46A20"/>
    <w:rsid w:val="00E46A53"/>
    <w:rsid w:val="00E46C10"/>
    <w:rsid w:val="00E46C54"/>
    <w:rsid w:val="00E46D37"/>
    <w:rsid w:val="00E46D54"/>
    <w:rsid w:val="00E46DAE"/>
    <w:rsid w:val="00E46DED"/>
    <w:rsid w:val="00E46E45"/>
    <w:rsid w:val="00E46F3B"/>
    <w:rsid w:val="00E47100"/>
    <w:rsid w:val="00E47107"/>
    <w:rsid w:val="00E47117"/>
    <w:rsid w:val="00E4716A"/>
    <w:rsid w:val="00E472EC"/>
    <w:rsid w:val="00E47324"/>
    <w:rsid w:val="00E47492"/>
    <w:rsid w:val="00E4749D"/>
    <w:rsid w:val="00E47517"/>
    <w:rsid w:val="00E475F5"/>
    <w:rsid w:val="00E4764A"/>
    <w:rsid w:val="00E4780A"/>
    <w:rsid w:val="00E47885"/>
    <w:rsid w:val="00E4792C"/>
    <w:rsid w:val="00E479AC"/>
    <w:rsid w:val="00E47A46"/>
    <w:rsid w:val="00E47B94"/>
    <w:rsid w:val="00E47BE5"/>
    <w:rsid w:val="00E47C65"/>
    <w:rsid w:val="00E5007D"/>
    <w:rsid w:val="00E500CA"/>
    <w:rsid w:val="00E50137"/>
    <w:rsid w:val="00E501D0"/>
    <w:rsid w:val="00E50216"/>
    <w:rsid w:val="00E5025F"/>
    <w:rsid w:val="00E502AF"/>
    <w:rsid w:val="00E503CB"/>
    <w:rsid w:val="00E5054C"/>
    <w:rsid w:val="00E506BA"/>
    <w:rsid w:val="00E50786"/>
    <w:rsid w:val="00E507B6"/>
    <w:rsid w:val="00E50827"/>
    <w:rsid w:val="00E5083A"/>
    <w:rsid w:val="00E5089A"/>
    <w:rsid w:val="00E50A52"/>
    <w:rsid w:val="00E50B79"/>
    <w:rsid w:val="00E50BA3"/>
    <w:rsid w:val="00E50CCD"/>
    <w:rsid w:val="00E50F17"/>
    <w:rsid w:val="00E50F29"/>
    <w:rsid w:val="00E5100B"/>
    <w:rsid w:val="00E51038"/>
    <w:rsid w:val="00E5106C"/>
    <w:rsid w:val="00E511B2"/>
    <w:rsid w:val="00E51225"/>
    <w:rsid w:val="00E512AD"/>
    <w:rsid w:val="00E51355"/>
    <w:rsid w:val="00E5140B"/>
    <w:rsid w:val="00E51455"/>
    <w:rsid w:val="00E51473"/>
    <w:rsid w:val="00E514D7"/>
    <w:rsid w:val="00E514E7"/>
    <w:rsid w:val="00E51981"/>
    <w:rsid w:val="00E51998"/>
    <w:rsid w:val="00E51999"/>
    <w:rsid w:val="00E51ACC"/>
    <w:rsid w:val="00E51BAB"/>
    <w:rsid w:val="00E51BC7"/>
    <w:rsid w:val="00E51E28"/>
    <w:rsid w:val="00E51FEE"/>
    <w:rsid w:val="00E52166"/>
    <w:rsid w:val="00E521E1"/>
    <w:rsid w:val="00E52259"/>
    <w:rsid w:val="00E522FB"/>
    <w:rsid w:val="00E52396"/>
    <w:rsid w:val="00E52471"/>
    <w:rsid w:val="00E524B6"/>
    <w:rsid w:val="00E52517"/>
    <w:rsid w:val="00E52588"/>
    <w:rsid w:val="00E52680"/>
    <w:rsid w:val="00E527F9"/>
    <w:rsid w:val="00E52941"/>
    <w:rsid w:val="00E52A30"/>
    <w:rsid w:val="00E52ABB"/>
    <w:rsid w:val="00E52CAB"/>
    <w:rsid w:val="00E52E9C"/>
    <w:rsid w:val="00E52F06"/>
    <w:rsid w:val="00E52FBA"/>
    <w:rsid w:val="00E53091"/>
    <w:rsid w:val="00E530D1"/>
    <w:rsid w:val="00E530E6"/>
    <w:rsid w:val="00E53197"/>
    <w:rsid w:val="00E53245"/>
    <w:rsid w:val="00E53305"/>
    <w:rsid w:val="00E533FE"/>
    <w:rsid w:val="00E5364F"/>
    <w:rsid w:val="00E536E0"/>
    <w:rsid w:val="00E5383B"/>
    <w:rsid w:val="00E5387E"/>
    <w:rsid w:val="00E538A0"/>
    <w:rsid w:val="00E53941"/>
    <w:rsid w:val="00E53978"/>
    <w:rsid w:val="00E5399F"/>
    <w:rsid w:val="00E53A6F"/>
    <w:rsid w:val="00E53B22"/>
    <w:rsid w:val="00E53B77"/>
    <w:rsid w:val="00E53C0F"/>
    <w:rsid w:val="00E53D06"/>
    <w:rsid w:val="00E53DAB"/>
    <w:rsid w:val="00E53E13"/>
    <w:rsid w:val="00E54036"/>
    <w:rsid w:val="00E54060"/>
    <w:rsid w:val="00E541A0"/>
    <w:rsid w:val="00E542A3"/>
    <w:rsid w:val="00E54355"/>
    <w:rsid w:val="00E543A6"/>
    <w:rsid w:val="00E543CA"/>
    <w:rsid w:val="00E545A4"/>
    <w:rsid w:val="00E545E4"/>
    <w:rsid w:val="00E546BB"/>
    <w:rsid w:val="00E548DE"/>
    <w:rsid w:val="00E549F8"/>
    <w:rsid w:val="00E54A5A"/>
    <w:rsid w:val="00E54C08"/>
    <w:rsid w:val="00E54CD1"/>
    <w:rsid w:val="00E54ED5"/>
    <w:rsid w:val="00E54EFC"/>
    <w:rsid w:val="00E5503E"/>
    <w:rsid w:val="00E550C5"/>
    <w:rsid w:val="00E55156"/>
    <w:rsid w:val="00E551D0"/>
    <w:rsid w:val="00E551EA"/>
    <w:rsid w:val="00E551F5"/>
    <w:rsid w:val="00E5522E"/>
    <w:rsid w:val="00E5534A"/>
    <w:rsid w:val="00E55498"/>
    <w:rsid w:val="00E554F0"/>
    <w:rsid w:val="00E5552A"/>
    <w:rsid w:val="00E5553A"/>
    <w:rsid w:val="00E5559C"/>
    <w:rsid w:val="00E55719"/>
    <w:rsid w:val="00E5575E"/>
    <w:rsid w:val="00E557E3"/>
    <w:rsid w:val="00E55A70"/>
    <w:rsid w:val="00E55A9B"/>
    <w:rsid w:val="00E55AF3"/>
    <w:rsid w:val="00E55C44"/>
    <w:rsid w:val="00E55EFB"/>
    <w:rsid w:val="00E55F78"/>
    <w:rsid w:val="00E56040"/>
    <w:rsid w:val="00E560A9"/>
    <w:rsid w:val="00E56351"/>
    <w:rsid w:val="00E563D2"/>
    <w:rsid w:val="00E563EC"/>
    <w:rsid w:val="00E56407"/>
    <w:rsid w:val="00E56415"/>
    <w:rsid w:val="00E56491"/>
    <w:rsid w:val="00E564B7"/>
    <w:rsid w:val="00E5674E"/>
    <w:rsid w:val="00E56790"/>
    <w:rsid w:val="00E568CD"/>
    <w:rsid w:val="00E5690C"/>
    <w:rsid w:val="00E56A3B"/>
    <w:rsid w:val="00E56A75"/>
    <w:rsid w:val="00E56DA8"/>
    <w:rsid w:val="00E56E0B"/>
    <w:rsid w:val="00E56ED3"/>
    <w:rsid w:val="00E56F03"/>
    <w:rsid w:val="00E56F14"/>
    <w:rsid w:val="00E56F48"/>
    <w:rsid w:val="00E5716B"/>
    <w:rsid w:val="00E57312"/>
    <w:rsid w:val="00E5732A"/>
    <w:rsid w:val="00E574A0"/>
    <w:rsid w:val="00E577EE"/>
    <w:rsid w:val="00E578CE"/>
    <w:rsid w:val="00E57A85"/>
    <w:rsid w:val="00E57C40"/>
    <w:rsid w:val="00E57C5D"/>
    <w:rsid w:val="00E57CA4"/>
    <w:rsid w:val="00E57D19"/>
    <w:rsid w:val="00E57D79"/>
    <w:rsid w:val="00E57D7D"/>
    <w:rsid w:val="00E57EE4"/>
    <w:rsid w:val="00E600D3"/>
    <w:rsid w:val="00E60126"/>
    <w:rsid w:val="00E60158"/>
    <w:rsid w:val="00E602D8"/>
    <w:rsid w:val="00E60572"/>
    <w:rsid w:val="00E606AB"/>
    <w:rsid w:val="00E606F2"/>
    <w:rsid w:val="00E606FE"/>
    <w:rsid w:val="00E6070A"/>
    <w:rsid w:val="00E607A1"/>
    <w:rsid w:val="00E607BD"/>
    <w:rsid w:val="00E607F0"/>
    <w:rsid w:val="00E6087B"/>
    <w:rsid w:val="00E60AA8"/>
    <w:rsid w:val="00E60CE3"/>
    <w:rsid w:val="00E60DFC"/>
    <w:rsid w:val="00E60E6B"/>
    <w:rsid w:val="00E60F5A"/>
    <w:rsid w:val="00E61066"/>
    <w:rsid w:val="00E61125"/>
    <w:rsid w:val="00E61174"/>
    <w:rsid w:val="00E6122C"/>
    <w:rsid w:val="00E61246"/>
    <w:rsid w:val="00E613A1"/>
    <w:rsid w:val="00E61470"/>
    <w:rsid w:val="00E6148C"/>
    <w:rsid w:val="00E61605"/>
    <w:rsid w:val="00E6175D"/>
    <w:rsid w:val="00E6178D"/>
    <w:rsid w:val="00E61804"/>
    <w:rsid w:val="00E61917"/>
    <w:rsid w:val="00E619C0"/>
    <w:rsid w:val="00E61B10"/>
    <w:rsid w:val="00E61B4E"/>
    <w:rsid w:val="00E61B71"/>
    <w:rsid w:val="00E61BA4"/>
    <w:rsid w:val="00E61CA1"/>
    <w:rsid w:val="00E61DE4"/>
    <w:rsid w:val="00E61ECE"/>
    <w:rsid w:val="00E6201C"/>
    <w:rsid w:val="00E62053"/>
    <w:rsid w:val="00E62091"/>
    <w:rsid w:val="00E621D2"/>
    <w:rsid w:val="00E621D5"/>
    <w:rsid w:val="00E62480"/>
    <w:rsid w:val="00E6250F"/>
    <w:rsid w:val="00E62623"/>
    <w:rsid w:val="00E62632"/>
    <w:rsid w:val="00E627CE"/>
    <w:rsid w:val="00E62847"/>
    <w:rsid w:val="00E6284F"/>
    <w:rsid w:val="00E62918"/>
    <w:rsid w:val="00E62AA3"/>
    <w:rsid w:val="00E62AE9"/>
    <w:rsid w:val="00E62B2B"/>
    <w:rsid w:val="00E62C15"/>
    <w:rsid w:val="00E62D1C"/>
    <w:rsid w:val="00E62D73"/>
    <w:rsid w:val="00E62E05"/>
    <w:rsid w:val="00E62E5A"/>
    <w:rsid w:val="00E62E89"/>
    <w:rsid w:val="00E62FD4"/>
    <w:rsid w:val="00E63070"/>
    <w:rsid w:val="00E63123"/>
    <w:rsid w:val="00E63212"/>
    <w:rsid w:val="00E63276"/>
    <w:rsid w:val="00E632C7"/>
    <w:rsid w:val="00E6337B"/>
    <w:rsid w:val="00E633ED"/>
    <w:rsid w:val="00E6348A"/>
    <w:rsid w:val="00E63541"/>
    <w:rsid w:val="00E63662"/>
    <w:rsid w:val="00E6375C"/>
    <w:rsid w:val="00E6382C"/>
    <w:rsid w:val="00E638E9"/>
    <w:rsid w:val="00E63AC4"/>
    <w:rsid w:val="00E63CD7"/>
    <w:rsid w:val="00E63D93"/>
    <w:rsid w:val="00E6405E"/>
    <w:rsid w:val="00E640EA"/>
    <w:rsid w:val="00E640F5"/>
    <w:rsid w:val="00E64133"/>
    <w:rsid w:val="00E64284"/>
    <w:rsid w:val="00E64336"/>
    <w:rsid w:val="00E6433C"/>
    <w:rsid w:val="00E6449D"/>
    <w:rsid w:val="00E64511"/>
    <w:rsid w:val="00E64609"/>
    <w:rsid w:val="00E64664"/>
    <w:rsid w:val="00E647AC"/>
    <w:rsid w:val="00E6489C"/>
    <w:rsid w:val="00E64B61"/>
    <w:rsid w:val="00E64BF5"/>
    <w:rsid w:val="00E64C41"/>
    <w:rsid w:val="00E64C87"/>
    <w:rsid w:val="00E64CAE"/>
    <w:rsid w:val="00E64D0A"/>
    <w:rsid w:val="00E64EB2"/>
    <w:rsid w:val="00E6515D"/>
    <w:rsid w:val="00E65212"/>
    <w:rsid w:val="00E65219"/>
    <w:rsid w:val="00E653D6"/>
    <w:rsid w:val="00E65545"/>
    <w:rsid w:val="00E657C4"/>
    <w:rsid w:val="00E657F2"/>
    <w:rsid w:val="00E658E2"/>
    <w:rsid w:val="00E6594E"/>
    <w:rsid w:val="00E6597A"/>
    <w:rsid w:val="00E6599E"/>
    <w:rsid w:val="00E65C33"/>
    <w:rsid w:val="00E65D47"/>
    <w:rsid w:val="00E65E76"/>
    <w:rsid w:val="00E66078"/>
    <w:rsid w:val="00E6626D"/>
    <w:rsid w:val="00E66275"/>
    <w:rsid w:val="00E66357"/>
    <w:rsid w:val="00E663E1"/>
    <w:rsid w:val="00E66514"/>
    <w:rsid w:val="00E6653C"/>
    <w:rsid w:val="00E66569"/>
    <w:rsid w:val="00E66584"/>
    <w:rsid w:val="00E66870"/>
    <w:rsid w:val="00E668E9"/>
    <w:rsid w:val="00E668EF"/>
    <w:rsid w:val="00E6694B"/>
    <w:rsid w:val="00E669CE"/>
    <w:rsid w:val="00E66A5A"/>
    <w:rsid w:val="00E66A81"/>
    <w:rsid w:val="00E66B3E"/>
    <w:rsid w:val="00E66CA3"/>
    <w:rsid w:val="00E66D7F"/>
    <w:rsid w:val="00E66DC8"/>
    <w:rsid w:val="00E66E5C"/>
    <w:rsid w:val="00E67090"/>
    <w:rsid w:val="00E67293"/>
    <w:rsid w:val="00E67423"/>
    <w:rsid w:val="00E6742E"/>
    <w:rsid w:val="00E67482"/>
    <w:rsid w:val="00E674ED"/>
    <w:rsid w:val="00E6751F"/>
    <w:rsid w:val="00E67628"/>
    <w:rsid w:val="00E6767E"/>
    <w:rsid w:val="00E676EE"/>
    <w:rsid w:val="00E6789C"/>
    <w:rsid w:val="00E678C6"/>
    <w:rsid w:val="00E67A4A"/>
    <w:rsid w:val="00E67A88"/>
    <w:rsid w:val="00E67AB3"/>
    <w:rsid w:val="00E67ADB"/>
    <w:rsid w:val="00E67B92"/>
    <w:rsid w:val="00E67C10"/>
    <w:rsid w:val="00E67D8D"/>
    <w:rsid w:val="00E67DE2"/>
    <w:rsid w:val="00E67EB3"/>
    <w:rsid w:val="00E67F56"/>
    <w:rsid w:val="00E67F8C"/>
    <w:rsid w:val="00E67F95"/>
    <w:rsid w:val="00E67FD0"/>
    <w:rsid w:val="00E67FE1"/>
    <w:rsid w:val="00E7015A"/>
    <w:rsid w:val="00E70180"/>
    <w:rsid w:val="00E701B8"/>
    <w:rsid w:val="00E702D5"/>
    <w:rsid w:val="00E70301"/>
    <w:rsid w:val="00E7035E"/>
    <w:rsid w:val="00E704DD"/>
    <w:rsid w:val="00E70589"/>
    <w:rsid w:val="00E70726"/>
    <w:rsid w:val="00E707DF"/>
    <w:rsid w:val="00E7089A"/>
    <w:rsid w:val="00E708F8"/>
    <w:rsid w:val="00E70ADF"/>
    <w:rsid w:val="00E70B09"/>
    <w:rsid w:val="00E70B60"/>
    <w:rsid w:val="00E70C58"/>
    <w:rsid w:val="00E70F93"/>
    <w:rsid w:val="00E70F9E"/>
    <w:rsid w:val="00E70FD5"/>
    <w:rsid w:val="00E710CC"/>
    <w:rsid w:val="00E71127"/>
    <w:rsid w:val="00E7117E"/>
    <w:rsid w:val="00E71288"/>
    <w:rsid w:val="00E712CA"/>
    <w:rsid w:val="00E71305"/>
    <w:rsid w:val="00E71337"/>
    <w:rsid w:val="00E713C5"/>
    <w:rsid w:val="00E715AD"/>
    <w:rsid w:val="00E715CD"/>
    <w:rsid w:val="00E71861"/>
    <w:rsid w:val="00E71890"/>
    <w:rsid w:val="00E7189D"/>
    <w:rsid w:val="00E718BA"/>
    <w:rsid w:val="00E71982"/>
    <w:rsid w:val="00E7198A"/>
    <w:rsid w:val="00E719A2"/>
    <w:rsid w:val="00E71C71"/>
    <w:rsid w:val="00E71CFB"/>
    <w:rsid w:val="00E71D9D"/>
    <w:rsid w:val="00E71DAA"/>
    <w:rsid w:val="00E71E67"/>
    <w:rsid w:val="00E71EA3"/>
    <w:rsid w:val="00E71EE5"/>
    <w:rsid w:val="00E71F9C"/>
    <w:rsid w:val="00E72031"/>
    <w:rsid w:val="00E72135"/>
    <w:rsid w:val="00E721CC"/>
    <w:rsid w:val="00E72301"/>
    <w:rsid w:val="00E72310"/>
    <w:rsid w:val="00E72399"/>
    <w:rsid w:val="00E7241F"/>
    <w:rsid w:val="00E72563"/>
    <w:rsid w:val="00E72719"/>
    <w:rsid w:val="00E727BB"/>
    <w:rsid w:val="00E7294E"/>
    <w:rsid w:val="00E729A0"/>
    <w:rsid w:val="00E72A6C"/>
    <w:rsid w:val="00E72CC4"/>
    <w:rsid w:val="00E72D2E"/>
    <w:rsid w:val="00E72D4E"/>
    <w:rsid w:val="00E72EB2"/>
    <w:rsid w:val="00E730D1"/>
    <w:rsid w:val="00E730D8"/>
    <w:rsid w:val="00E7312B"/>
    <w:rsid w:val="00E7314D"/>
    <w:rsid w:val="00E7319E"/>
    <w:rsid w:val="00E731C8"/>
    <w:rsid w:val="00E732A0"/>
    <w:rsid w:val="00E7335F"/>
    <w:rsid w:val="00E734B8"/>
    <w:rsid w:val="00E735D6"/>
    <w:rsid w:val="00E73756"/>
    <w:rsid w:val="00E7391E"/>
    <w:rsid w:val="00E73956"/>
    <w:rsid w:val="00E73971"/>
    <w:rsid w:val="00E73AD7"/>
    <w:rsid w:val="00E73D43"/>
    <w:rsid w:val="00E73D71"/>
    <w:rsid w:val="00E73DDD"/>
    <w:rsid w:val="00E73E63"/>
    <w:rsid w:val="00E73F5A"/>
    <w:rsid w:val="00E74052"/>
    <w:rsid w:val="00E740F2"/>
    <w:rsid w:val="00E74226"/>
    <w:rsid w:val="00E74237"/>
    <w:rsid w:val="00E742F2"/>
    <w:rsid w:val="00E74335"/>
    <w:rsid w:val="00E7442A"/>
    <w:rsid w:val="00E74442"/>
    <w:rsid w:val="00E74471"/>
    <w:rsid w:val="00E7454A"/>
    <w:rsid w:val="00E74615"/>
    <w:rsid w:val="00E74756"/>
    <w:rsid w:val="00E74883"/>
    <w:rsid w:val="00E74B5F"/>
    <w:rsid w:val="00E74B9D"/>
    <w:rsid w:val="00E74C84"/>
    <w:rsid w:val="00E74CC6"/>
    <w:rsid w:val="00E74D06"/>
    <w:rsid w:val="00E74D7A"/>
    <w:rsid w:val="00E74D90"/>
    <w:rsid w:val="00E74DF3"/>
    <w:rsid w:val="00E74EDD"/>
    <w:rsid w:val="00E75259"/>
    <w:rsid w:val="00E7530E"/>
    <w:rsid w:val="00E7533C"/>
    <w:rsid w:val="00E753EF"/>
    <w:rsid w:val="00E756B2"/>
    <w:rsid w:val="00E75734"/>
    <w:rsid w:val="00E75750"/>
    <w:rsid w:val="00E75791"/>
    <w:rsid w:val="00E75792"/>
    <w:rsid w:val="00E75907"/>
    <w:rsid w:val="00E759FA"/>
    <w:rsid w:val="00E75A53"/>
    <w:rsid w:val="00E75C4F"/>
    <w:rsid w:val="00E75DF7"/>
    <w:rsid w:val="00E75E5D"/>
    <w:rsid w:val="00E75F15"/>
    <w:rsid w:val="00E760EA"/>
    <w:rsid w:val="00E761A0"/>
    <w:rsid w:val="00E76236"/>
    <w:rsid w:val="00E762F2"/>
    <w:rsid w:val="00E76428"/>
    <w:rsid w:val="00E76451"/>
    <w:rsid w:val="00E76615"/>
    <w:rsid w:val="00E76692"/>
    <w:rsid w:val="00E7670C"/>
    <w:rsid w:val="00E76726"/>
    <w:rsid w:val="00E7674F"/>
    <w:rsid w:val="00E767A7"/>
    <w:rsid w:val="00E76830"/>
    <w:rsid w:val="00E76950"/>
    <w:rsid w:val="00E76B49"/>
    <w:rsid w:val="00E76CB3"/>
    <w:rsid w:val="00E76D49"/>
    <w:rsid w:val="00E76FB5"/>
    <w:rsid w:val="00E7712B"/>
    <w:rsid w:val="00E771B3"/>
    <w:rsid w:val="00E7722A"/>
    <w:rsid w:val="00E772D9"/>
    <w:rsid w:val="00E77316"/>
    <w:rsid w:val="00E7741C"/>
    <w:rsid w:val="00E775BE"/>
    <w:rsid w:val="00E775D5"/>
    <w:rsid w:val="00E776AD"/>
    <w:rsid w:val="00E7775E"/>
    <w:rsid w:val="00E777DC"/>
    <w:rsid w:val="00E7783F"/>
    <w:rsid w:val="00E779A4"/>
    <w:rsid w:val="00E77A07"/>
    <w:rsid w:val="00E77B5A"/>
    <w:rsid w:val="00E77B79"/>
    <w:rsid w:val="00E77BD7"/>
    <w:rsid w:val="00E77C57"/>
    <w:rsid w:val="00E77D41"/>
    <w:rsid w:val="00E77D83"/>
    <w:rsid w:val="00E77DFF"/>
    <w:rsid w:val="00E77E8A"/>
    <w:rsid w:val="00E77EED"/>
    <w:rsid w:val="00E77FB7"/>
    <w:rsid w:val="00E77FF0"/>
    <w:rsid w:val="00E8013D"/>
    <w:rsid w:val="00E80285"/>
    <w:rsid w:val="00E802E0"/>
    <w:rsid w:val="00E803DD"/>
    <w:rsid w:val="00E80717"/>
    <w:rsid w:val="00E80782"/>
    <w:rsid w:val="00E80829"/>
    <w:rsid w:val="00E80844"/>
    <w:rsid w:val="00E80872"/>
    <w:rsid w:val="00E80883"/>
    <w:rsid w:val="00E808A8"/>
    <w:rsid w:val="00E808C9"/>
    <w:rsid w:val="00E8095D"/>
    <w:rsid w:val="00E80CF1"/>
    <w:rsid w:val="00E80D57"/>
    <w:rsid w:val="00E80D8B"/>
    <w:rsid w:val="00E80D98"/>
    <w:rsid w:val="00E80E89"/>
    <w:rsid w:val="00E80EBC"/>
    <w:rsid w:val="00E80EF6"/>
    <w:rsid w:val="00E80FA4"/>
    <w:rsid w:val="00E80FD8"/>
    <w:rsid w:val="00E81178"/>
    <w:rsid w:val="00E81261"/>
    <w:rsid w:val="00E816E1"/>
    <w:rsid w:val="00E8172C"/>
    <w:rsid w:val="00E817F9"/>
    <w:rsid w:val="00E818A4"/>
    <w:rsid w:val="00E81A43"/>
    <w:rsid w:val="00E81A9B"/>
    <w:rsid w:val="00E81B20"/>
    <w:rsid w:val="00E81B91"/>
    <w:rsid w:val="00E81BAF"/>
    <w:rsid w:val="00E81BB3"/>
    <w:rsid w:val="00E81C19"/>
    <w:rsid w:val="00E81C5D"/>
    <w:rsid w:val="00E81D1D"/>
    <w:rsid w:val="00E81E4B"/>
    <w:rsid w:val="00E81E9C"/>
    <w:rsid w:val="00E8212A"/>
    <w:rsid w:val="00E82153"/>
    <w:rsid w:val="00E82180"/>
    <w:rsid w:val="00E8227B"/>
    <w:rsid w:val="00E82318"/>
    <w:rsid w:val="00E82460"/>
    <w:rsid w:val="00E8266C"/>
    <w:rsid w:val="00E8286B"/>
    <w:rsid w:val="00E8291F"/>
    <w:rsid w:val="00E82983"/>
    <w:rsid w:val="00E82B91"/>
    <w:rsid w:val="00E82D08"/>
    <w:rsid w:val="00E82E9C"/>
    <w:rsid w:val="00E82F29"/>
    <w:rsid w:val="00E82F87"/>
    <w:rsid w:val="00E82FC0"/>
    <w:rsid w:val="00E83045"/>
    <w:rsid w:val="00E8309C"/>
    <w:rsid w:val="00E83130"/>
    <w:rsid w:val="00E8314F"/>
    <w:rsid w:val="00E83250"/>
    <w:rsid w:val="00E833F8"/>
    <w:rsid w:val="00E8342A"/>
    <w:rsid w:val="00E83456"/>
    <w:rsid w:val="00E8347A"/>
    <w:rsid w:val="00E834C5"/>
    <w:rsid w:val="00E834D2"/>
    <w:rsid w:val="00E834F5"/>
    <w:rsid w:val="00E83564"/>
    <w:rsid w:val="00E8356C"/>
    <w:rsid w:val="00E838A5"/>
    <w:rsid w:val="00E83980"/>
    <w:rsid w:val="00E839F7"/>
    <w:rsid w:val="00E83C30"/>
    <w:rsid w:val="00E83F55"/>
    <w:rsid w:val="00E84057"/>
    <w:rsid w:val="00E840BB"/>
    <w:rsid w:val="00E8410D"/>
    <w:rsid w:val="00E841EA"/>
    <w:rsid w:val="00E8424A"/>
    <w:rsid w:val="00E842B6"/>
    <w:rsid w:val="00E843A9"/>
    <w:rsid w:val="00E8447E"/>
    <w:rsid w:val="00E84494"/>
    <w:rsid w:val="00E8469B"/>
    <w:rsid w:val="00E84793"/>
    <w:rsid w:val="00E84A2F"/>
    <w:rsid w:val="00E84B9E"/>
    <w:rsid w:val="00E84C5A"/>
    <w:rsid w:val="00E84D84"/>
    <w:rsid w:val="00E84DF0"/>
    <w:rsid w:val="00E84E3F"/>
    <w:rsid w:val="00E84EE5"/>
    <w:rsid w:val="00E84F00"/>
    <w:rsid w:val="00E84F10"/>
    <w:rsid w:val="00E84F2A"/>
    <w:rsid w:val="00E84FCF"/>
    <w:rsid w:val="00E8500B"/>
    <w:rsid w:val="00E8502A"/>
    <w:rsid w:val="00E85048"/>
    <w:rsid w:val="00E8507D"/>
    <w:rsid w:val="00E85130"/>
    <w:rsid w:val="00E8525B"/>
    <w:rsid w:val="00E8529C"/>
    <w:rsid w:val="00E85337"/>
    <w:rsid w:val="00E8537E"/>
    <w:rsid w:val="00E85485"/>
    <w:rsid w:val="00E854DA"/>
    <w:rsid w:val="00E85512"/>
    <w:rsid w:val="00E85551"/>
    <w:rsid w:val="00E8556B"/>
    <w:rsid w:val="00E856B1"/>
    <w:rsid w:val="00E858FA"/>
    <w:rsid w:val="00E858FD"/>
    <w:rsid w:val="00E85A45"/>
    <w:rsid w:val="00E85B70"/>
    <w:rsid w:val="00E85C33"/>
    <w:rsid w:val="00E85D7A"/>
    <w:rsid w:val="00E85DD9"/>
    <w:rsid w:val="00E85EA1"/>
    <w:rsid w:val="00E85F79"/>
    <w:rsid w:val="00E860B1"/>
    <w:rsid w:val="00E8624E"/>
    <w:rsid w:val="00E8624F"/>
    <w:rsid w:val="00E862BE"/>
    <w:rsid w:val="00E86333"/>
    <w:rsid w:val="00E863CE"/>
    <w:rsid w:val="00E864EA"/>
    <w:rsid w:val="00E865E3"/>
    <w:rsid w:val="00E86668"/>
    <w:rsid w:val="00E86712"/>
    <w:rsid w:val="00E8678C"/>
    <w:rsid w:val="00E86802"/>
    <w:rsid w:val="00E868C6"/>
    <w:rsid w:val="00E86A1F"/>
    <w:rsid w:val="00E86B0D"/>
    <w:rsid w:val="00E86C01"/>
    <w:rsid w:val="00E86E3D"/>
    <w:rsid w:val="00E86F2B"/>
    <w:rsid w:val="00E8715A"/>
    <w:rsid w:val="00E871ED"/>
    <w:rsid w:val="00E87202"/>
    <w:rsid w:val="00E872B5"/>
    <w:rsid w:val="00E874E2"/>
    <w:rsid w:val="00E87602"/>
    <w:rsid w:val="00E876BA"/>
    <w:rsid w:val="00E87821"/>
    <w:rsid w:val="00E879A8"/>
    <w:rsid w:val="00E87AA3"/>
    <w:rsid w:val="00E87AB5"/>
    <w:rsid w:val="00E87AFF"/>
    <w:rsid w:val="00E87B43"/>
    <w:rsid w:val="00E87C28"/>
    <w:rsid w:val="00E87C47"/>
    <w:rsid w:val="00E87E5C"/>
    <w:rsid w:val="00E87E66"/>
    <w:rsid w:val="00E87F6F"/>
    <w:rsid w:val="00E87FA5"/>
    <w:rsid w:val="00E87FC7"/>
    <w:rsid w:val="00E900C4"/>
    <w:rsid w:val="00E901C1"/>
    <w:rsid w:val="00E901D2"/>
    <w:rsid w:val="00E90254"/>
    <w:rsid w:val="00E903A6"/>
    <w:rsid w:val="00E903BB"/>
    <w:rsid w:val="00E9042C"/>
    <w:rsid w:val="00E904D0"/>
    <w:rsid w:val="00E9062B"/>
    <w:rsid w:val="00E90681"/>
    <w:rsid w:val="00E9076E"/>
    <w:rsid w:val="00E908ED"/>
    <w:rsid w:val="00E90906"/>
    <w:rsid w:val="00E90C1F"/>
    <w:rsid w:val="00E90C81"/>
    <w:rsid w:val="00E90CF3"/>
    <w:rsid w:val="00E91124"/>
    <w:rsid w:val="00E91166"/>
    <w:rsid w:val="00E91243"/>
    <w:rsid w:val="00E91247"/>
    <w:rsid w:val="00E912D1"/>
    <w:rsid w:val="00E914C1"/>
    <w:rsid w:val="00E9162D"/>
    <w:rsid w:val="00E9168C"/>
    <w:rsid w:val="00E91715"/>
    <w:rsid w:val="00E917EB"/>
    <w:rsid w:val="00E9189C"/>
    <w:rsid w:val="00E918F4"/>
    <w:rsid w:val="00E91907"/>
    <w:rsid w:val="00E91992"/>
    <w:rsid w:val="00E919A6"/>
    <w:rsid w:val="00E919C9"/>
    <w:rsid w:val="00E91ACF"/>
    <w:rsid w:val="00E91CD8"/>
    <w:rsid w:val="00E91CFF"/>
    <w:rsid w:val="00E91DA0"/>
    <w:rsid w:val="00E91F30"/>
    <w:rsid w:val="00E91F5F"/>
    <w:rsid w:val="00E9209D"/>
    <w:rsid w:val="00E9294F"/>
    <w:rsid w:val="00E929DB"/>
    <w:rsid w:val="00E92A33"/>
    <w:rsid w:val="00E92A91"/>
    <w:rsid w:val="00E92B16"/>
    <w:rsid w:val="00E92B1B"/>
    <w:rsid w:val="00E92C25"/>
    <w:rsid w:val="00E92C75"/>
    <w:rsid w:val="00E92CBE"/>
    <w:rsid w:val="00E92D31"/>
    <w:rsid w:val="00E92ECC"/>
    <w:rsid w:val="00E92FBA"/>
    <w:rsid w:val="00E930F0"/>
    <w:rsid w:val="00E93167"/>
    <w:rsid w:val="00E93254"/>
    <w:rsid w:val="00E93277"/>
    <w:rsid w:val="00E9330F"/>
    <w:rsid w:val="00E93411"/>
    <w:rsid w:val="00E93563"/>
    <w:rsid w:val="00E9360D"/>
    <w:rsid w:val="00E93665"/>
    <w:rsid w:val="00E93713"/>
    <w:rsid w:val="00E9389E"/>
    <w:rsid w:val="00E93969"/>
    <w:rsid w:val="00E9398D"/>
    <w:rsid w:val="00E93A2E"/>
    <w:rsid w:val="00E93D60"/>
    <w:rsid w:val="00E93F2E"/>
    <w:rsid w:val="00E93F65"/>
    <w:rsid w:val="00E940E9"/>
    <w:rsid w:val="00E9421C"/>
    <w:rsid w:val="00E9450A"/>
    <w:rsid w:val="00E94526"/>
    <w:rsid w:val="00E94647"/>
    <w:rsid w:val="00E9478D"/>
    <w:rsid w:val="00E947DD"/>
    <w:rsid w:val="00E947F8"/>
    <w:rsid w:val="00E94886"/>
    <w:rsid w:val="00E9493D"/>
    <w:rsid w:val="00E94997"/>
    <w:rsid w:val="00E949CB"/>
    <w:rsid w:val="00E94A4B"/>
    <w:rsid w:val="00E94A8C"/>
    <w:rsid w:val="00E94AA8"/>
    <w:rsid w:val="00E94E8E"/>
    <w:rsid w:val="00E9520F"/>
    <w:rsid w:val="00E9532E"/>
    <w:rsid w:val="00E9548D"/>
    <w:rsid w:val="00E95547"/>
    <w:rsid w:val="00E955D5"/>
    <w:rsid w:val="00E95795"/>
    <w:rsid w:val="00E957B4"/>
    <w:rsid w:val="00E958C2"/>
    <w:rsid w:val="00E9597E"/>
    <w:rsid w:val="00E95AB5"/>
    <w:rsid w:val="00E95AC8"/>
    <w:rsid w:val="00E95AF3"/>
    <w:rsid w:val="00E95B66"/>
    <w:rsid w:val="00E95C64"/>
    <w:rsid w:val="00E95D3E"/>
    <w:rsid w:val="00E95D90"/>
    <w:rsid w:val="00E95E2A"/>
    <w:rsid w:val="00E95E32"/>
    <w:rsid w:val="00E95E91"/>
    <w:rsid w:val="00E95F91"/>
    <w:rsid w:val="00E9609F"/>
    <w:rsid w:val="00E961C9"/>
    <w:rsid w:val="00E96282"/>
    <w:rsid w:val="00E963E2"/>
    <w:rsid w:val="00E96407"/>
    <w:rsid w:val="00E964DF"/>
    <w:rsid w:val="00E96521"/>
    <w:rsid w:val="00E965B6"/>
    <w:rsid w:val="00E966B0"/>
    <w:rsid w:val="00E966C2"/>
    <w:rsid w:val="00E967AF"/>
    <w:rsid w:val="00E96929"/>
    <w:rsid w:val="00E969CA"/>
    <w:rsid w:val="00E96A26"/>
    <w:rsid w:val="00E96AFD"/>
    <w:rsid w:val="00E96B90"/>
    <w:rsid w:val="00E96BBB"/>
    <w:rsid w:val="00E96F11"/>
    <w:rsid w:val="00E96F5E"/>
    <w:rsid w:val="00E96FD3"/>
    <w:rsid w:val="00E971BE"/>
    <w:rsid w:val="00E97242"/>
    <w:rsid w:val="00E9724D"/>
    <w:rsid w:val="00E972B1"/>
    <w:rsid w:val="00E973A6"/>
    <w:rsid w:val="00E9743D"/>
    <w:rsid w:val="00E97496"/>
    <w:rsid w:val="00E974AA"/>
    <w:rsid w:val="00E976BE"/>
    <w:rsid w:val="00E977DF"/>
    <w:rsid w:val="00E978B6"/>
    <w:rsid w:val="00E97ADC"/>
    <w:rsid w:val="00E97BBC"/>
    <w:rsid w:val="00E97BF8"/>
    <w:rsid w:val="00E97DDF"/>
    <w:rsid w:val="00E97E4A"/>
    <w:rsid w:val="00EA00BC"/>
    <w:rsid w:val="00EA00EB"/>
    <w:rsid w:val="00EA017C"/>
    <w:rsid w:val="00EA0259"/>
    <w:rsid w:val="00EA02AB"/>
    <w:rsid w:val="00EA036F"/>
    <w:rsid w:val="00EA04A3"/>
    <w:rsid w:val="00EA0646"/>
    <w:rsid w:val="00EA06EB"/>
    <w:rsid w:val="00EA0795"/>
    <w:rsid w:val="00EA079D"/>
    <w:rsid w:val="00EA09B4"/>
    <w:rsid w:val="00EA09D6"/>
    <w:rsid w:val="00EA0BCC"/>
    <w:rsid w:val="00EA0DA5"/>
    <w:rsid w:val="00EA0DE6"/>
    <w:rsid w:val="00EA0E50"/>
    <w:rsid w:val="00EA0F70"/>
    <w:rsid w:val="00EA0FDE"/>
    <w:rsid w:val="00EA1105"/>
    <w:rsid w:val="00EA11F7"/>
    <w:rsid w:val="00EA1306"/>
    <w:rsid w:val="00EA1426"/>
    <w:rsid w:val="00EA163F"/>
    <w:rsid w:val="00EA17E9"/>
    <w:rsid w:val="00EA184D"/>
    <w:rsid w:val="00EA184F"/>
    <w:rsid w:val="00EA1A60"/>
    <w:rsid w:val="00EA1AC1"/>
    <w:rsid w:val="00EA1BB6"/>
    <w:rsid w:val="00EA1C96"/>
    <w:rsid w:val="00EA1D27"/>
    <w:rsid w:val="00EA1D3F"/>
    <w:rsid w:val="00EA1D6D"/>
    <w:rsid w:val="00EA1EB0"/>
    <w:rsid w:val="00EA1EEE"/>
    <w:rsid w:val="00EA1F54"/>
    <w:rsid w:val="00EA1FFB"/>
    <w:rsid w:val="00EA21E3"/>
    <w:rsid w:val="00EA2244"/>
    <w:rsid w:val="00EA224B"/>
    <w:rsid w:val="00EA22A3"/>
    <w:rsid w:val="00EA2628"/>
    <w:rsid w:val="00EA2709"/>
    <w:rsid w:val="00EA27E2"/>
    <w:rsid w:val="00EA2987"/>
    <w:rsid w:val="00EA2B36"/>
    <w:rsid w:val="00EA2CEC"/>
    <w:rsid w:val="00EA2D86"/>
    <w:rsid w:val="00EA2EA3"/>
    <w:rsid w:val="00EA2EE2"/>
    <w:rsid w:val="00EA2FB9"/>
    <w:rsid w:val="00EA3010"/>
    <w:rsid w:val="00EA319E"/>
    <w:rsid w:val="00EA33C1"/>
    <w:rsid w:val="00EA3463"/>
    <w:rsid w:val="00EA3565"/>
    <w:rsid w:val="00EA35C3"/>
    <w:rsid w:val="00EA35ED"/>
    <w:rsid w:val="00EA36FD"/>
    <w:rsid w:val="00EA395C"/>
    <w:rsid w:val="00EA3A66"/>
    <w:rsid w:val="00EA3A96"/>
    <w:rsid w:val="00EA3CA8"/>
    <w:rsid w:val="00EA3EA3"/>
    <w:rsid w:val="00EA3F01"/>
    <w:rsid w:val="00EA402F"/>
    <w:rsid w:val="00EA4035"/>
    <w:rsid w:val="00EA4069"/>
    <w:rsid w:val="00EA41CA"/>
    <w:rsid w:val="00EA43BC"/>
    <w:rsid w:val="00EA4706"/>
    <w:rsid w:val="00EA4746"/>
    <w:rsid w:val="00EA477A"/>
    <w:rsid w:val="00EA47A7"/>
    <w:rsid w:val="00EA4844"/>
    <w:rsid w:val="00EA4A94"/>
    <w:rsid w:val="00EA4B5E"/>
    <w:rsid w:val="00EA4C1C"/>
    <w:rsid w:val="00EA4C1D"/>
    <w:rsid w:val="00EA4C66"/>
    <w:rsid w:val="00EA4CCB"/>
    <w:rsid w:val="00EA4D4C"/>
    <w:rsid w:val="00EA4DA7"/>
    <w:rsid w:val="00EA4E01"/>
    <w:rsid w:val="00EA4E4F"/>
    <w:rsid w:val="00EA4E71"/>
    <w:rsid w:val="00EA4F03"/>
    <w:rsid w:val="00EA4F92"/>
    <w:rsid w:val="00EA5105"/>
    <w:rsid w:val="00EA5294"/>
    <w:rsid w:val="00EA54CA"/>
    <w:rsid w:val="00EA5609"/>
    <w:rsid w:val="00EA56AD"/>
    <w:rsid w:val="00EA5754"/>
    <w:rsid w:val="00EA582D"/>
    <w:rsid w:val="00EA5851"/>
    <w:rsid w:val="00EA5886"/>
    <w:rsid w:val="00EA58B9"/>
    <w:rsid w:val="00EA5907"/>
    <w:rsid w:val="00EA596C"/>
    <w:rsid w:val="00EA598F"/>
    <w:rsid w:val="00EA5AEB"/>
    <w:rsid w:val="00EA5AFD"/>
    <w:rsid w:val="00EA5B46"/>
    <w:rsid w:val="00EA5BBD"/>
    <w:rsid w:val="00EA5C19"/>
    <w:rsid w:val="00EA5C32"/>
    <w:rsid w:val="00EA5C44"/>
    <w:rsid w:val="00EA5C7D"/>
    <w:rsid w:val="00EA5D35"/>
    <w:rsid w:val="00EA5D84"/>
    <w:rsid w:val="00EA5D8C"/>
    <w:rsid w:val="00EA5E54"/>
    <w:rsid w:val="00EA5E99"/>
    <w:rsid w:val="00EA5EE9"/>
    <w:rsid w:val="00EA5F08"/>
    <w:rsid w:val="00EA6000"/>
    <w:rsid w:val="00EA6010"/>
    <w:rsid w:val="00EA61B8"/>
    <w:rsid w:val="00EA6328"/>
    <w:rsid w:val="00EA6516"/>
    <w:rsid w:val="00EA6594"/>
    <w:rsid w:val="00EA663D"/>
    <w:rsid w:val="00EA666F"/>
    <w:rsid w:val="00EA67FF"/>
    <w:rsid w:val="00EA6860"/>
    <w:rsid w:val="00EA68AD"/>
    <w:rsid w:val="00EA6916"/>
    <w:rsid w:val="00EA6A07"/>
    <w:rsid w:val="00EA6A2D"/>
    <w:rsid w:val="00EA6B7C"/>
    <w:rsid w:val="00EA6CE1"/>
    <w:rsid w:val="00EA6DCD"/>
    <w:rsid w:val="00EA6E80"/>
    <w:rsid w:val="00EA6E9B"/>
    <w:rsid w:val="00EA6F32"/>
    <w:rsid w:val="00EA6FD3"/>
    <w:rsid w:val="00EA7090"/>
    <w:rsid w:val="00EA70F2"/>
    <w:rsid w:val="00EA711C"/>
    <w:rsid w:val="00EA71C5"/>
    <w:rsid w:val="00EA729A"/>
    <w:rsid w:val="00EA745A"/>
    <w:rsid w:val="00EA7496"/>
    <w:rsid w:val="00EA74F8"/>
    <w:rsid w:val="00EA7580"/>
    <w:rsid w:val="00EA7619"/>
    <w:rsid w:val="00EA78EA"/>
    <w:rsid w:val="00EA78EC"/>
    <w:rsid w:val="00EA79F0"/>
    <w:rsid w:val="00EA7AEE"/>
    <w:rsid w:val="00EA7B4E"/>
    <w:rsid w:val="00EA7B5A"/>
    <w:rsid w:val="00EA7D6B"/>
    <w:rsid w:val="00EA7F56"/>
    <w:rsid w:val="00EB00E6"/>
    <w:rsid w:val="00EB0134"/>
    <w:rsid w:val="00EB0319"/>
    <w:rsid w:val="00EB034A"/>
    <w:rsid w:val="00EB0700"/>
    <w:rsid w:val="00EB0752"/>
    <w:rsid w:val="00EB090D"/>
    <w:rsid w:val="00EB09E1"/>
    <w:rsid w:val="00EB0A24"/>
    <w:rsid w:val="00EB0B47"/>
    <w:rsid w:val="00EB0CB9"/>
    <w:rsid w:val="00EB0D4E"/>
    <w:rsid w:val="00EB0DF2"/>
    <w:rsid w:val="00EB0F2A"/>
    <w:rsid w:val="00EB0F95"/>
    <w:rsid w:val="00EB0FDF"/>
    <w:rsid w:val="00EB1007"/>
    <w:rsid w:val="00EB1012"/>
    <w:rsid w:val="00EB10FA"/>
    <w:rsid w:val="00EB1128"/>
    <w:rsid w:val="00EB11D8"/>
    <w:rsid w:val="00EB1407"/>
    <w:rsid w:val="00EB15BC"/>
    <w:rsid w:val="00EB167E"/>
    <w:rsid w:val="00EB1899"/>
    <w:rsid w:val="00EB1B14"/>
    <w:rsid w:val="00EB1BD1"/>
    <w:rsid w:val="00EB1D4E"/>
    <w:rsid w:val="00EB1E0A"/>
    <w:rsid w:val="00EB1EC7"/>
    <w:rsid w:val="00EB1F76"/>
    <w:rsid w:val="00EB1F7F"/>
    <w:rsid w:val="00EB200C"/>
    <w:rsid w:val="00EB20D8"/>
    <w:rsid w:val="00EB2256"/>
    <w:rsid w:val="00EB23BA"/>
    <w:rsid w:val="00EB2409"/>
    <w:rsid w:val="00EB24F3"/>
    <w:rsid w:val="00EB25A5"/>
    <w:rsid w:val="00EB25E7"/>
    <w:rsid w:val="00EB292F"/>
    <w:rsid w:val="00EB2A85"/>
    <w:rsid w:val="00EB2B0A"/>
    <w:rsid w:val="00EB2C04"/>
    <w:rsid w:val="00EB2E48"/>
    <w:rsid w:val="00EB2EED"/>
    <w:rsid w:val="00EB2FDB"/>
    <w:rsid w:val="00EB30AF"/>
    <w:rsid w:val="00EB31F3"/>
    <w:rsid w:val="00EB3204"/>
    <w:rsid w:val="00EB320F"/>
    <w:rsid w:val="00EB3266"/>
    <w:rsid w:val="00EB3381"/>
    <w:rsid w:val="00EB33AE"/>
    <w:rsid w:val="00EB352D"/>
    <w:rsid w:val="00EB3596"/>
    <w:rsid w:val="00EB35C0"/>
    <w:rsid w:val="00EB3767"/>
    <w:rsid w:val="00EB37D3"/>
    <w:rsid w:val="00EB391A"/>
    <w:rsid w:val="00EB3BC0"/>
    <w:rsid w:val="00EB3DFB"/>
    <w:rsid w:val="00EB3EBC"/>
    <w:rsid w:val="00EB40C4"/>
    <w:rsid w:val="00EB40CB"/>
    <w:rsid w:val="00EB435C"/>
    <w:rsid w:val="00EB4442"/>
    <w:rsid w:val="00EB4478"/>
    <w:rsid w:val="00EB44E3"/>
    <w:rsid w:val="00EB4516"/>
    <w:rsid w:val="00EB45AF"/>
    <w:rsid w:val="00EB460A"/>
    <w:rsid w:val="00EB4659"/>
    <w:rsid w:val="00EB4679"/>
    <w:rsid w:val="00EB472E"/>
    <w:rsid w:val="00EB474A"/>
    <w:rsid w:val="00EB47DD"/>
    <w:rsid w:val="00EB49BC"/>
    <w:rsid w:val="00EB4AD5"/>
    <w:rsid w:val="00EB4CF5"/>
    <w:rsid w:val="00EB4F1F"/>
    <w:rsid w:val="00EB4F3F"/>
    <w:rsid w:val="00EB4FAB"/>
    <w:rsid w:val="00EB5265"/>
    <w:rsid w:val="00EB5320"/>
    <w:rsid w:val="00EB5360"/>
    <w:rsid w:val="00EB5475"/>
    <w:rsid w:val="00EB54FC"/>
    <w:rsid w:val="00EB550F"/>
    <w:rsid w:val="00EB5525"/>
    <w:rsid w:val="00EB56D8"/>
    <w:rsid w:val="00EB5729"/>
    <w:rsid w:val="00EB576E"/>
    <w:rsid w:val="00EB57FD"/>
    <w:rsid w:val="00EB5905"/>
    <w:rsid w:val="00EB5929"/>
    <w:rsid w:val="00EB5A08"/>
    <w:rsid w:val="00EB5A3D"/>
    <w:rsid w:val="00EB5B36"/>
    <w:rsid w:val="00EB5CDA"/>
    <w:rsid w:val="00EB5E0C"/>
    <w:rsid w:val="00EB5F55"/>
    <w:rsid w:val="00EB5FF6"/>
    <w:rsid w:val="00EB609A"/>
    <w:rsid w:val="00EB615F"/>
    <w:rsid w:val="00EB6189"/>
    <w:rsid w:val="00EB621C"/>
    <w:rsid w:val="00EB6246"/>
    <w:rsid w:val="00EB62E9"/>
    <w:rsid w:val="00EB63EF"/>
    <w:rsid w:val="00EB64C8"/>
    <w:rsid w:val="00EB668A"/>
    <w:rsid w:val="00EB66C4"/>
    <w:rsid w:val="00EB6817"/>
    <w:rsid w:val="00EB69A8"/>
    <w:rsid w:val="00EB69CD"/>
    <w:rsid w:val="00EB69DD"/>
    <w:rsid w:val="00EB6BC0"/>
    <w:rsid w:val="00EB6C00"/>
    <w:rsid w:val="00EB6D47"/>
    <w:rsid w:val="00EB6E73"/>
    <w:rsid w:val="00EB6EE6"/>
    <w:rsid w:val="00EB709E"/>
    <w:rsid w:val="00EB70C2"/>
    <w:rsid w:val="00EB71B0"/>
    <w:rsid w:val="00EB729C"/>
    <w:rsid w:val="00EB72CC"/>
    <w:rsid w:val="00EB72D4"/>
    <w:rsid w:val="00EB732A"/>
    <w:rsid w:val="00EB73BD"/>
    <w:rsid w:val="00EB74B5"/>
    <w:rsid w:val="00EB74E3"/>
    <w:rsid w:val="00EB75E7"/>
    <w:rsid w:val="00EB7607"/>
    <w:rsid w:val="00EB760E"/>
    <w:rsid w:val="00EB7635"/>
    <w:rsid w:val="00EB77D9"/>
    <w:rsid w:val="00EB78B5"/>
    <w:rsid w:val="00EB78D5"/>
    <w:rsid w:val="00EB7A2E"/>
    <w:rsid w:val="00EB7A6D"/>
    <w:rsid w:val="00EB7AA5"/>
    <w:rsid w:val="00EB7AED"/>
    <w:rsid w:val="00EB7AF2"/>
    <w:rsid w:val="00EB7B7C"/>
    <w:rsid w:val="00EB7C1D"/>
    <w:rsid w:val="00EB7C52"/>
    <w:rsid w:val="00EB7DEC"/>
    <w:rsid w:val="00EB7E35"/>
    <w:rsid w:val="00EB7E75"/>
    <w:rsid w:val="00EB7EB7"/>
    <w:rsid w:val="00EB7FF4"/>
    <w:rsid w:val="00EC000B"/>
    <w:rsid w:val="00EC0064"/>
    <w:rsid w:val="00EC015F"/>
    <w:rsid w:val="00EC027D"/>
    <w:rsid w:val="00EC032A"/>
    <w:rsid w:val="00EC0413"/>
    <w:rsid w:val="00EC04A7"/>
    <w:rsid w:val="00EC05D3"/>
    <w:rsid w:val="00EC0661"/>
    <w:rsid w:val="00EC084B"/>
    <w:rsid w:val="00EC0A72"/>
    <w:rsid w:val="00EC0B2E"/>
    <w:rsid w:val="00EC0C80"/>
    <w:rsid w:val="00EC0E35"/>
    <w:rsid w:val="00EC0E65"/>
    <w:rsid w:val="00EC0E73"/>
    <w:rsid w:val="00EC0E92"/>
    <w:rsid w:val="00EC10CF"/>
    <w:rsid w:val="00EC1110"/>
    <w:rsid w:val="00EC1246"/>
    <w:rsid w:val="00EC125B"/>
    <w:rsid w:val="00EC12C5"/>
    <w:rsid w:val="00EC1336"/>
    <w:rsid w:val="00EC13BC"/>
    <w:rsid w:val="00EC141B"/>
    <w:rsid w:val="00EC149B"/>
    <w:rsid w:val="00EC16C3"/>
    <w:rsid w:val="00EC1737"/>
    <w:rsid w:val="00EC18D7"/>
    <w:rsid w:val="00EC1975"/>
    <w:rsid w:val="00EC1B24"/>
    <w:rsid w:val="00EC1C6E"/>
    <w:rsid w:val="00EC1DAB"/>
    <w:rsid w:val="00EC1DE1"/>
    <w:rsid w:val="00EC1DFE"/>
    <w:rsid w:val="00EC1EDE"/>
    <w:rsid w:val="00EC1EF0"/>
    <w:rsid w:val="00EC200F"/>
    <w:rsid w:val="00EC246C"/>
    <w:rsid w:val="00EC24DC"/>
    <w:rsid w:val="00EC257A"/>
    <w:rsid w:val="00EC25B5"/>
    <w:rsid w:val="00EC25D1"/>
    <w:rsid w:val="00EC263C"/>
    <w:rsid w:val="00EC265E"/>
    <w:rsid w:val="00EC2765"/>
    <w:rsid w:val="00EC282D"/>
    <w:rsid w:val="00EC294F"/>
    <w:rsid w:val="00EC2994"/>
    <w:rsid w:val="00EC29B5"/>
    <w:rsid w:val="00EC2B54"/>
    <w:rsid w:val="00EC2BBB"/>
    <w:rsid w:val="00EC2C69"/>
    <w:rsid w:val="00EC2CD5"/>
    <w:rsid w:val="00EC2DBB"/>
    <w:rsid w:val="00EC2EE1"/>
    <w:rsid w:val="00EC2F1A"/>
    <w:rsid w:val="00EC322C"/>
    <w:rsid w:val="00EC32F1"/>
    <w:rsid w:val="00EC3410"/>
    <w:rsid w:val="00EC3488"/>
    <w:rsid w:val="00EC3615"/>
    <w:rsid w:val="00EC362E"/>
    <w:rsid w:val="00EC378E"/>
    <w:rsid w:val="00EC38C3"/>
    <w:rsid w:val="00EC3AA3"/>
    <w:rsid w:val="00EC3BCD"/>
    <w:rsid w:val="00EC3C26"/>
    <w:rsid w:val="00EC3C47"/>
    <w:rsid w:val="00EC3C71"/>
    <w:rsid w:val="00EC3D10"/>
    <w:rsid w:val="00EC3E3D"/>
    <w:rsid w:val="00EC3E73"/>
    <w:rsid w:val="00EC3E91"/>
    <w:rsid w:val="00EC3ED7"/>
    <w:rsid w:val="00EC3FC2"/>
    <w:rsid w:val="00EC401B"/>
    <w:rsid w:val="00EC403C"/>
    <w:rsid w:val="00EC40B1"/>
    <w:rsid w:val="00EC416F"/>
    <w:rsid w:val="00EC425A"/>
    <w:rsid w:val="00EC426A"/>
    <w:rsid w:val="00EC42A5"/>
    <w:rsid w:val="00EC4581"/>
    <w:rsid w:val="00EC46D5"/>
    <w:rsid w:val="00EC4889"/>
    <w:rsid w:val="00EC492C"/>
    <w:rsid w:val="00EC49C3"/>
    <w:rsid w:val="00EC4BD5"/>
    <w:rsid w:val="00EC4C27"/>
    <w:rsid w:val="00EC4D9D"/>
    <w:rsid w:val="00EC4DF4"/>
    <w:rsid w:val="00EC4E8A"/>
    <w:rsid w:val="00EC4FD4"/>
    <w:rsid w:val="00EC4FF3"/>
    <w:rsid w:val="00EC5066"/>
    <w:rsid w:val="00EC5089"/>
    <w:rsid w:val="00EC50EB"/>
    <w:rsid w:val="00EC5103"/>
    <w:rsid w:val="00EC51FB"/>
    <w:rsid w:val="00EC5259"/>
    <w:rsid w:val="00EC52A8"/>
    <w:rsid w:val="00EC53B0"/>
    <w:rsid w:val="00EC5451"/>
    <w:rsid w:val="00EC552C"/>
    <w:rsid w:val="00EC558E"/>
    <w:rsid w:val="00EC559E"/>
    <w:rsid w:val="00EC55AC"/>
    <w:rsid w:val="00EC56EA"/>
    <w:rsid w:val="00EC5870"/>
    <w:rsid w:val="00EC58AE"/>
    <w:rsid w:val="00EC5915"/>
    <w:rsid w:val="00EC5B2E"/>
    <w:rsid w:val="00EC5CDC"/>
    <w:rsid w:val="00EC5D15"/>
    <w:rsid w:val="00EC5DA2"/>
    <w:rsid w:val="00EC5DEA"/>
    <w:rsid w:val="00EC5EA6"/>
    <w:rsid w:val="00EC5EC1"/>
    <w:rsid w:val="00EC5F4E"/>
    <w:rsid w:val="00EC5FE1"/>
    <w:rsid w:val="00EC6017"/>
    <w:rsid w:val="00EC60DE"/>
    <w:rsid w:val="00EC6131"/>
    <w:rsid w:val="00EC6167"/>
    <w:rsid w:val="00EC61BC"/>
    <w:rsid w:val="00EC6395"/>
    <w:rsid w:val="00EC653B"/>
    <w:rsid w:val="00EC6584"/>
    <w:rsid w:val="00EC65B9"/>
    <w:rsid w:val="00EC67FC"/>
    <w:rsid w:val="00EC6923"/>
    <w:rsid w:val="00EC69F0"/>
    <w:rsid w:val="00EC6AC8"/>
    <w:rsid w:val="00EC6B44"/>
    <w:rsid w:val="00EC6B57"/>
    <w:rsid w:val="00EC6DB4"/>
    <w:rsid w:val="00EC6E1E"/>
    <w:rsid w:val="00EC6E39"/>
    <w:rsid w:val="00EC6FEE"/>
    <w:rsid w:val="00EC7052"/>
    <w:rsid w:val="00EC70E6"/>
    <w:rsid w:val="00EC712A"/>
    <w:rsid w:val="00EC72A5"/>
    <w:rsid w:val="00EC72A8"/>
    <w:rsid w:val="00EC74BD"/>
    <w:rsid w:val="00EC7510"/>
    <w:rsid w:val="00EC7635"/>
    <w:rsid w:val="00EC7866"/>
    <w:rsid w:val="00EC78A9"/>
    <w:rsid w:val="00EC7947"/>
    <w:rsid w:val="00EC79EF"/>
    <w:rsid w:val="00EC7A20"/>
    <w:rsid w:val="00EC7BFF"/>
    <w:rsid w:val="00EC7DA2"/>
    <w:rsid w:val="00EC7DA6"/>
    <w:rsid w:val="00EC7DAD"/>
    <w:rsid w:val="00EC7EEB"/>
    <w:rsid w:val="00EC7F62"/>
    <w:rsid w:val="00ED0058"/>
    <w:rsid w:val="00ED00B1"/>
    <w:rsid w:val="00ED0191"/>
    <w:rsid w:val="00ED01A7"/>
    <w:rsid w:val="00ED0442"/>
    <w:rsid w:val="00ED0476"/>
    <w:rsid w:val="00ED04C0"/>
    <w:rsid w:val="00ED04D4"/>
    <w:rsid w:val="00ED0526"/>
    <w:rsid w:val="00ED055A"/>
    <w:rsid w:val="00ED060D"/>
    <w:rsid w:val="00ED0653"/>
    <w:rsid w:val="00ED0875"/>
    <w:rsid w:val="00ED08C1"/>
    <w:rsid w:val="00ED0954"/>
    <w:rsid w:val="00ED0A62"/>
    <w:rsid w:val="00ED0B4B"/>
    <w:rsid w:val="00ED0BA9"/>
    <w:rsid w:val="00ED0C5C"/>
    <w:rsid w:val="00ED0DAF"/>
    <w:rsid w:val="00ED0DE3"/>
    <w:rsid w:val="00ED0E29"/>
    <w:rsid w:val="00ED0EDF"/>
    <w:rsid w:val="00ED1140"/>
    <w:rsid w:val="00ED11B4"/>
    <w:rsid w:val="00ED12A9"/>
    <w:rsid w:val="00ED12BD"/>
    <w:rsid w:val="00ED12CC"/>
    <w:rsid w:val="00ED1328"/>
    <w:rsid w:val="00ED145F"/>
    <w:rsid w:val="00ED1653"/>
    <w:rsid w:val="00ED17E2"/>
    <w:rsid w:val="00ED180E"/>
    <w:rsid w:val="00ED1876"/>
    <w:rsid w:val="00ED199A"/>
    <w:rsid w:val="00ED1A5E"/>
    <w:rsid w:val="00ED1AC6"/>
    <w:rsid w:val="00ED1B99"/>
    <w:rsid w:val="00ED1BBC"/>
    <w:rsid w:val="00ED1C69"/>
    <w:rsid w:val="00ED1D60"/>
    <w:rsid w:val="00ED1D8F"/>
    <w:rsid w:val="00ED1DD6"/>
    <w:rsid w:val="00ED1E58"/>
    <w:rsid w:val="00ED1EC2"/>
    <w:rsid w:val="00ED1FBB"/>
    <w:rsid w:val="00ED2012"/>
    <w:rsid w:val="00ED22DD"/>
    <w:rsid w:val="00ED22EF"/>
    <w:rsid w:val="00ED2309"/>
    <w:rsid w:val="00ED2398"/>
    <w:rsid w:val="00ED2422"/>
    <w:rsid w:val="00ED25A6"/>
    <w:rsid w:val="00ED263C"/>
    <w:rsid w:val="00ED2687"/>
    <w:rsid w:val="00ED268E"/>
    <w:rsid w:val="00ED2871"/>
    <w:rsid w:val="00ED2A16"/>
    <w:rsid w:val="00ED2B27"/>
    <w:rsid w:val="00ED2D36"/>
    <w:rsid w:val="00ED2DD8"/>
    <w:rsid w:val="00ED2F30"/>
    <w:rsid w:val="00ED2F85"/>
    <w:rsid w:val="00ED2FAA"/>
    <w:rsid w:val="00ED3206"/>
    <w:rsid w:val="00ED32F5"/>
    <w:rsid w:val="00ED3357"/>
    <w:rsid w:val="00ED346A"/>
    <w:rsid w:val="00ED34EB"/>
    <w:rsid w:val="00ED355C"/>
    <w:rsid w:val="00ED35CB"/>
    <w:rsid w:val="00ED35D7"/>
    <w:rsid w:val="00ED36DB"/>
    <w:rsid w:val="00ED3744"/>
    <w:rsid w:val="00ED37C5"/>
    <w:rsid w:val="00ED3967"/>
    <w:rsid w:val="00ED3A76"/>
    <w:rsid w:val="00ED3B2E"/>
    <w:rsid w:val="00ED3BBD"/>
    <w:rsid w:val="00ED3BC4"/>
    <w:rsid w:val="00ED3C1F"/>
    <w:rsid w:val="00ED3C92"/>
    <w:rsid w:val="00ED3FF0"/>
    <w:rsid w:val="00ED401E"/>
    <w:rsid w:val="00ED4069"/>
    <w:rsid w:val="00ED417A"/>
    <w:rsid w:val="00ED41EA"/>
    <w:rsid w:val="00ED4261"/>
    <w:rsid w:val="00ED4382"/>
    <w:rsid w:val="00ED4674"/>
    <w:rsid w:val="00ED4894"/>
    <w:rsid w:val="00ED48C0"/>
    <w:rsid w:val="00ED48F9"/>
    <w:rsid w:val="00ED490A"/>
    <w:rsid w:val="00ED4A17"/>
    <w:rsid w:val="00ED4A47"/>
    <w:rsid w:val="00ED4BA9"/>
    <w:rsid w:val="00ED4C5D"/>
    <w:rsid w:val="00ED4CC0"/>
    <w:rsid w:val="00ED4D34"/>
    <w:rsid w:val="00ED4DD6"/>
    <w:rsid w:val="00ED4E1C"/>
    <w:rsid w:val="00ED4E4A"/>
    <w:rsid w:val="00ED4FD1"/>
    <w:rsid w:val="00ED50E7"/>
    <w:rsid w:val="00ED51FC"/>
    <w:rsid w:val="00ED5222"/>
    <w:rsid w:val="00ED5250"/>
    <w:rsid w:val="00ED52D1"/>
    <w:rsid w:val="00ED52E0"/>
    <w:rsid w:val="00ED5446"/>
    <w:rsid w:val="00ED5469"/>
    <w:rsid w:val="00ED5482"/>
    <w:rsid w:val="00ED5636"/>
    <w:rsid w:val="00ED56A3"/>
    <w:rsid w:val="00ED5742"/>
    <w:rsid w:val="00ED5797"/>
    <w:rsid w:val="00ED581E"/>
    <w:rsid w:val="00ED59E8"/>
    <w:rsid w:val="00ED59F4"/>
    <w:rsid w:val="00ED5A02"/>
    <w:rsid w:val="00ED5A25"/>
    <w:rsid w:val="00ED5A86"/>
    <w:rsid w:val="00ED5B38"/>
    <w:rsid w:val="00ED5BD4"/>
    <w:rsid w:val="00ED5BE9"/>
    <w:rsid w:val="00ED5BEC"/>
    <w:rsid w:val="00ED5C45"/>
    <w:rsid w:val="00ED5C64"/>
    <w:rsid w:val="00ED5CE0"/>
    <w:rsid w:val="00ED5D58"/>
    <w:rsid w:val="00ED5DD1"/>
    <w:rsid w:val="00ED5F51"/>
    <w:rsid w:val="00ED5F8F"/>
    <w:rsid w:val="00ED5FB1"/>
    <w:rsid w:val="00ED5FD5"/>
    <w:rsid w:val="00ED60A4"/>
    <w:rsid w:val="00ED60AB"/>
    <w:rsid w:val="00ED6145"/>
    <w:rsid w:val="00ED6168"/>
    <w:rsid w:val="00ED620C"/>
    <w:rsid w:val="00ED63E2"/>
    <w:rsid w:val="00ED63FB"/>
    <w:rsid w:val="00ED641F"/>
    <w:rsid w:val="00ED64BA"/>
    <w:rsid w:val="00ED64BD"/>
    <w:rsid w:val="00ED6601"/>
    <w:rsid w:val="00ED66C9"/>
    <w:rsid w:val="00ED678D"/>
    <w:rsid w:val="00ED67D1"/>
    <w:rsid w:val="00ED6823"/>
    <w:rsid w:val="00ED6896"/>
    <w:rsid w:val="00ED693F"/>
    <w:rsid w:val="00ED698A"/>
    <w:rsid w:val="00ED698E"/>
    <w:rsid w:val="00ED6B87"/>
    <w:rsid w:val="00ED6BEE"/>
    <w:rsid w:val="00ED6C81"/>
    <w:rsid w:val="00ED6D3D"/>
    <w:rsid w:val="00ED6D7A"/>
    <w:rsid w:val="00ED6E5C"/>
    <w:rsid w:val="00ED6EA2"/>
    <w:rsid w:val="00ED70E6"/>
    <w:rsid w:val="00ED7176"/>
    <w:rsid w:val="00ED7246"/>
    <w:rsid w:val="00ED725B"/>
    <w:rsid w:val="00ED72A0"/>
    <w:rsid w:val="00ED7330"/>
    <w:rsid w:val="00ED73FE"/>
    <w:rsid w:val="00ED741D"/>
    <w:rsid w:val="00ED7444"/>
    <w:rsid w:val="00ED75EE"/>
    <w:rsid w:val="00ED7686"/>
    <w:rsid w:val="00ED76FA"/>
    <w:rsid w:val="00ED77B4"/>
    <w:rsid w:val="00ED7835"/>
    <w:rsid w:val="00ED785B"/>
    <w:rsid w:val="00ED7885"/>
    <w:rsid w:val="00ED7945"/>
    <w:rsid w:val="00ED7A6B"/>
    <w:rsid w:val="00ED7C2A"/>
    <w:rsid w:val="00ED7CC0"/>
    <w:rsid w:val="00ED7CE7"/>
    <w:rsid w:val="00EE026E"/>
    <w:rsid w:val="00EE029A"/>
    <w:rsid w:val="00EE0387"/>
    <w:rsid w:val="00EE0513"/>
    <w:rsid w:val="00EE051A"/>
    <w:rsid w:val="00EE0656"/>
    <w:rsid w:val="00EE0795"/>
    <w:rsid w:val="00EE0801"/>
    <w:rsid w:val="00EE088B"/>
    <w:rsid w:val="00EE08E8"/>
    <w:rsid w:val="00EE0948"/>
    <w:rsid w:val="00EE0AA7"/>
    <w:rsid w:val="00EE0B02"/>
    <w:rsid w:val="00EE0B37"/>
    <w:rsid w:val="00EE0B75"/>
    <w:rsid w:val="00EE0B7B"/>
    <w:rsid w:val="00EE0BE3"/>
    <w:rsid w:val="00EE0C8C"/>
    <w:rsid w:val="00EE0CD3"/>
    <w:rsid w:val="00EE0E52"/>
    <w:rsid w:val="00EE0FB0"/>
    <w:rsid w:val="00EE0FEC"/>
    <w:rsid w:val="00EE1226"/>
    <w:rsid w:val="00EE122F"/>
    <w:rsid w:val="00EE127F"/>
    <w:rsid w:val="00EE1305"/>
    <w:rsid w:val="00EE1338"/>
    <w:rsid w:val="00EE13DD"/>
    <w:rsid w:val="00EE1613"/>
    <w:rsid w:val="00EE17C5"/>
    <w:rsid w:val="00EE17FF"/>
    <w:rsid w:val="00EE1880"/>
    <w:rsid w:val="00EE1888"/>
    <w:rsid w:val="00EE19D3"/>
    <w:rsid w:val="00EE19DB"/>
    <w:rsid w:val="00EE1A4E"/>
    <w:rsid w:val="00EE1AA9"/>
    <w:rsid w:val="00EE1AB4"/>
    <w:rsid w:val="00EE1AB7"/>
    <w:rsid w:val="00EE1B28"/>
    <w:rsid w:val="00EE1BDD"/>
    <w:rsid w:val="00EE1C7E"/>
    <w:rsid w:val="00EE1D9E"/>
    <w:rsid w:val="00EE2085"/>
    <w:rsid w:val="00EE20AA"/>
    <w:rsid w:val="00EE20CC"/>
    <w:rsid w:val="00EE2153"/>
    <w:rsid w:val="00EE233C"/>
    <w:rsid w:val="00EE2340"/>
    <w:rsid w:val="00EE239D"/>
    <w:rsid w:val="00EE2544"/>
    <w:rsid w:val="00EE2556"/>
    <w:rsid w:val="00EE2654"/>
    <w:rsid w:val="00EE26A1"/>
    <w:rsid w:val="00EE26E4"/>
    <w:rsid w:val="00EE26EF"/>
    <w:rsid w:val="00EE27F3"/>
    <w:rsid w:val="00EE281E"/>
    <w:rsid w:val="00EE29F1"/>
    <w:rsid w:val="00EE2C8F"/>
    <w:rsid w:val="00EE2E23"/>
    <w:rsid w:val="00EE30A9"/>
    <w:rsid w:val="00EE30D5"/>
    <w:rsid w:val="00EE30FD"/>
    <w:rsid w:val="00EE310C"/>
    <w:rsid w:val="00EE321B"/>
    <w:rsid w:val="00EE3267"/>
    <w:rsid w:val="00EE33EB"/>
    <w:rsid w:val="00EE3454"/>
    <w:rsid w:val="00EE3565"/>
    <w:rsid w:val="00EE35B8"/>
    <w:rsid w:val="00EE3692"/>
    <w:rsid w:val="00EE37F0"/>
    <w:rsid w:val="00EE3844"/>
    <w:rsid w:val="00EE3891"/>
    <w:rsid w:val="00EE38F5"/>
    <w:rsid w:val="00EE3956"/>
    <w:rsid w:val="00EE3A67"/>
    <w:rsid w:val="00EE3BFB"/>
    <w:rsid w:val="00EE3DAE"/>
    <w:rsid w:val="00EE3DD3"/>
    <w:rsid w:val="00EE3EFB"/>
    <w:rsid w:val="00EE3F06"/>
    <w:rsid w:val="00EE3FFE"/>
    <w:rsid w:val="00EE4025"/>
    <w:rsid w:val="00EE4135"/>
    <w:rsid w:val="00EE41A8"/>
    <w:rsid w:val="00EE420F"/>
    <w:rsid w:val="00EE4364"/>
    <w:rsid w:val="00EE45E2"/>
    <w:rsid w:val="00EE480C"/>
    <w:rsid w:val="00EE483B"/>
    <w:rsid w:val="00EE48AA"/>
    <w:rsid w:val="00EE494C"/>
    <w:rsid w:val="00EE4AAD"/>
    <w:rsid w:val="00EE4AEA"/>
    <w:rsid w:val="00EE4B8C"/>
    <w:rsid w:val="00EE4D6F"/>
    <w:rsid w:val="00EE4D9E"/>
    <w:rsid w:val="00EE4E9C"/>
    <w:rsid w:val="00EE4F3E"/>
    <w:rsid w:val="00EE4F6C"/>
    <w:rsid w:val="00EE501A"/>
    <w:rsid w:val="00EE503B"/>
    <w:rsid w:val="00EE51C9"/>
    <w:rsid w:val="00EE526F"/>
    <w:rsid w:val="00EE538E"/>
    <w:rsid w:val="00EE539E"/>
    <w:rsid w:val="00EE5418"/>
    <w:rsid w:val="00EE5812"/>
    <w:rsid w:val="00EE58E5"/>
    <w:rsid w:val="00EE5A4D"/>
    <w:rsid w:val="00EE5B0F"/>
    <w:rsid w:val="00EE5BED"/>
    <w:rsid w:val="00EE5CAC"/>
    <w:rsid w:val="00EE5D71"/>
    <w:rsid w:val="00EE5DFA"/>
    <w:rsid w:val="00EE5FFB"/>
    <w:rsid w:val="00EE60D6"/>
    <w:rsid w:val="00EE60FC"/>
    <w:rsid w:val="00EE634F"/>
    <w:rsid w:val="00EE63D6"/>
    <w:rsid w:val="00EE647C"/>
    <w:rsid w:val="00EE649F"/>
    <w:rsid w:val="00EE6572"/>
    <w:rsid w:val="00EE65D1"/>
    <w:rsid w:val="00EE66CE"/>
    <w:rsid w:val="00EE672D"/>
    <w:rsid w:val="00EE672F"/>
    <w:rsid w:val="00EE675C"/>
    <w:rsid w:val="00EE6989"/>
    <w:rsid w:val="00EE6B73"/>
    <w:rsid w:val="00EE6D8B"/>
    <w:rsid w:val="00EE6E51"/>
    <w:rsid w:val="00EE6FA1"/>
    <w:rsid w:val="00EE6FFA"/>
    <w:rsid w:val="00EE70BF"/>
    <w:rsid w:val="00EE70C7"/>
    <w:rsid w:val="00EE71BD"/>
    <w:rsid w:val="00EE72C2"/>
    <w:rsid w:val="00EE73A1"/>
    <w:rsid w:val="00EE74BD"/>
    <w:rsid w:val="00EE74FE"/>
    <w:rsid w:val="00EE755B"/>
    <w:rsid w:val="00EE7603"/>
    <w:rsid w:val="00EE774D"/>
    <w:rsid w:val="00EE77FD"/>
    <w:rsid w:val="00EE782A"/>
    <w:rsid w:val="00EE7850"/>
    <w:rsid w:val="00EE7877"/>
    <w:rsid w:val="00EE7896"/>
    <w:rsid w:val="00EE789C"/>
    <w:rsid w:val="00EE79D1"/>
    <w:rsid w:val="00EE7B16"/>
    <w:rsid w:val="00EE7B22"/>
    <w:rsid w:val="00EE7B34"/>
    <w:rsid w:val="00EE7CFA"/>
    <w:rsid w:val="00EE7E99"/>
    <w:rsid w:val="00EF010A"/>
    <w:rsid w:val="00EF0191"/>
    <w:rsid w:val="00EF0303"/>
    <w:rsid w:val="00EF0337"/>
    <w:rsid w:val="00EF03A5"/>
    <w:rsid w:val="00EF03AB"/>
    <w:rsid w:val="00EF04ED"/>
    <w:rsid w:val="00EF054B"/>
    <w:rsid w:val="00EF0638"/>
    <w:rsid w:val="00EF0641"/>
    <w:rsid w:val="00EF07ED"/>
    <w:rsid w:val="00EF08B2"/>
    <w:rsid w:val="00EF0961"/>
    <w:rsid w:val="00EF097C"/>
    <w:rsid w:val="00EF09BD"/>
    <w:rsid w:val="00EF0AA1"/>
    <w:rsid w:val="00EF0ACE"/>
    <w:rsid w:val="00EF0B71"/>
    <w:rsid w:val="00EF0C46"/>
    <w:rsid w:val="00EF0D76"/>
    <w:rsid w:val="00EF0E5D"/>
    <w:rsid w:val="00EF0EAF"/>
    <w:rsid w:val="00EF0ED0"/>
    <w:rsid w:val="00EF0F25"/>
    <w:rsid w:val="00EF0FED"/>
    <w:rsid w:val="00EF1150"/>
    <w:rsid w:val="00EF1329"/>
    <w:rsid w:val="00EF1388"/>
    <w:rsid w:val="00EF13A3"/>
    <w:rsid w:val="00EF13C6"/>
    <w:rsid w:val="00EF13FD"/>
    <w:rsid w:val="00EF1450"/>
    <w:rsid w:val="00EF178C"/>
    <w:rsid w:val="00EF1852"/>
    <w:rsid w:val="00EF1879"/>
    <w:rsid w:val="00EF1A1E"/>
    <w:rsid w:val="00EF1A96"/>
    <w:rsid w:val="00EF1AFA"/>
    <w:rsid w:val="00EF1B0F"/>
    <w:rsid w:val="00EF1C9E"/>
    <w:rsid w:val="00EF1DAD"/>
    <w:rsid w:val="00EF1EBA"/>
    <w:rsid w:val="00EF2110"/>
    <w:rsid w:val="00EF2187"/>
    <w:rsid w:val="00EF21E9"/>
    <w:rsid w:val="00EF2387"/>
    <w:rsid w:val="00EF2585"/>
    <w:rsid w:val="00EF2646"/>
    <w:rsid w:val="00EF2763"/>
    <w:rsid w:val="00EF282A"/>
    <w:rsid w:val="00EF2850"/>
    <w:rsid w:val="00EF28C4"/>
    <w:rsid w:val="00EF2A90"/>
    <w:rsid w:val="00EF2B43"/>
    <w:rsid w:val="00EF2DB1"/>
    <w:rsid w:val="00EF2DF2"/>
    <w:rsid w:val="00EF2E14"/>
    <w:rsid w:val="00EF304F"/>
    <w:rsid w:val="00EF3192"/>
    <w:rsid w:val="00EF31C2"/>
    <w:rsid w:val="00EF321A"/>
    <w:rsid w:val="00EF3274"/>
    <w:rsid w:val="00EF32C2"/>
    <w:rsid w:val="00EF3345"/>
    <w:rsid w:val="00EF3579"/>
    <w:rsid w:val="00EF35C5"/>
    <w:rsid w:val="00EF35DE"/>
    <w:rsid w:val="00EF3690"/>
    <w:rsid w:val="00EF381A"/>
    <w:rsid w:val="00EF3A3A"/>
    <w:rsid w:val="00EF3A9A"/>
    <w:rsid w:val="00EF3AF5"/>
    <w:rsid w:val="00EF3B75"/>
    <w:rsid w:val="00EF3B9C"/>
    <w:rsid w:val="00EF3C19"/>
    <w:rsid w:val="00EF3D0B"/>
    <w:rsid w:val="00EF3DD8"/>
    <w:rsid w:val="00EF3F3F"/>
    <w:rsid w:val="00EF3F4F"/>
    <w:rsid w:val="00EF3F88"/>
    <w:rsid w:val="00EF4023"/>
    <w:rsid w:val="00EF4028"/>
    <w:rsid w:val="00EF404C"/>
    <w:rsid w:val="00EF41EF"/>
    <w:rsid w:val="00EF432F"/>
    <w:rsid w:val="00EF4423"/>
    <w:rsid w:val="00EF4424"/>
    <w:rsid w:val="00EF44F8"/>
    <w:rsid w:val="00EF45EA"/>
    <w:rsid w:val="00EF45F4"/>
    <w:rsid w:val="00EF45FD"/>
    <w:rsid w:val="00EF467B"/>
    <w:rsid w:val="00EF48BA"/>
    <w:rsid w:val="00EF4943"/>
    <w:rsid w:val="00EF4A80"/>
    <w:rsid w:val="00EF4D70"/>
    <w:rsid w:val="00EF4EFA"/>
    <w:rsid w:val="00EF50E8"/>
    <w:rsid w:val="00EF5275"/>
    <w:rsid w:val="00EF52A6"/>
    <w:rsid w:val="00EF5362"/>
    <w:rsid w:val="00EF5405"/>
    <w:rsid w:val="00EF544F"/>
    <w:rsid w:val="00EF5538"/>
    <w:rsid w:val="00EF55E0"/>
    <w:rsid w:val="00EF566C"/>
    <w:rsid w:val="00EF5707"/>
    <w:rsid w:val="00EF580D"/>
    <w:rsid w:val="00EF5828"/>
    <w:rsid w:val="00EF59B1"/>
    <w:rsid w:val="00EF5A83"/>
    <w:rsid w:val="00EF5A93"/>
    <w:rsid w:val="00EF5B20"/>
    <w:rsid w:val="00EF5BFF"/>
    <w:rsid w:val="00EF5D1F"/>
    <w:rsid w:val="00EF5F39"/>
    <w:rsid w:val="00EF5FC9"/>
    <w:rsid w:val="00EF5FE4"/>
    <w:rsid w:val="00EF6018"/>
    <w:rsid w:val="00EF621D"/>
    <w:rsid w:val="00EF62CE"/>
    <w:rsid w:val="00EF64F1"/>
    <w:rsid w:val="00EF6676"/>
    <w:rsid w:val="00EF672C"/>
    <w:rsid w:val="00EF67B2"/>
    <w:rsid w:val="00EF6866"/>
    <w:rsid w:val="00EF6953"/>
    <w:rsid w:val="00EF6B09"/>
    <w:rsid w:val="00EF6B14"/>
    <w:rsid w:val="00EF6B78"/>
    <w:rsid w:val="00EF6BAA"/>
    <w:rsid w:val="00EF6F1F"/>
    <w:rsid w:val="00EF6F46"/>
    <w:rsid w:val="00EF6F49"/>
    <w:rsid w:val="00EF6F6F"/>
    <w:rsid w:val="00EF7150"/>
    <w:rsid w:val="00EF7242"/>
    <w:rsid w:val="00EF72AD"/>
    <w:rsid w:val="00EF72EB"/>
    <w:rsid w:val="00EF7440"/>
    <w:rsid w:val="00EF7453"/>
    <w:rsid w:val="00EF745B"/>
    <w:rsid w:val="00EF7471"/>
    <w:rsid w:val="00EF753A"/>
    <w:rsid w:val="00EF75D4"/>
    <w:rsid w:val="00EF7619"/>
    <w:rsid w:val="00EF7692"/>
    <w:rsid w:val="00EF777B"/>
    <w:rsid w:val="00EF77C1"/>
    <w:rsid w:val="00EF77D3"/>
    <w:rsid w:val="00EF7863"/>
    <w:rsid w:val="00EF78CC"/>
    <w:rsid w:val="00EF7900"/>
    <w:rsid w:val="00EF7B36"/>
    <w:rsid w:val="00EF7BAF"/>
    <w:rsid w:val="00EF7C6F"/>
    <w:rsid w:val="00EF7D1B"/>
    <w:rsid w:val="00EF7DE8"/>
    <w:rsid w:val="00EF7EC4"/>
    <w:rsid w:val="00F0002C"/>
    <w:rsid w:val="00F0014A"/>
    <w:rsid w:val="00F00390"/>
    <w:rsid w:val="00F00698"/>
    <w:rsid w:val="00F007A0"/>
    <w:rsid w:val="00F0081B"/>
    <w:rsid w:val="00F008DC"/>
    <w:rsid w:val="00F00938"/>
    <w:rsid w:val="00F00B65"/>
    <w:rsid w:val="00F00B89"/>
    <w:rsid w:val="00F00C0F"/>
    <w:rsid w:val="00F00D90"/>
    <w:rsid w:val="00F00F79"/>
    <w:rsid w:val="00F0103A"/>
    <w:rsid w:val="00F01054"/>
    <w:rsid w:val="00F0115D"/>
    <w:rsid w:val="00F011F6"/>
    <w:rsid w:val="00F01397"/>
    <w:rsid w:val="00F01649"/>
    <w:rsid w:val="00F01887"/>
    <w:rsid w:val="00F01A88"/>
    <w:rsid w:val="00F01ABB"/>
    <w:rsid w:val="00F01B24"/>
    <w:rsid w:val="00F01B2D"/>
    <w:rsid w:val="00F01B44"/>
    <w:rsid w:val="00F01B5C"/>
    <w:rsid w:val="00F01B63"/>
    <w:rsid w:val="00F01B86"/>
    <w:rsid w:val="00F01CEF"/>
    <w:rsid w:val="00F01D48"/>
    <w:rsid w:val="00F01E42"/>
    <w:rsid w:val="00F01F94"/>
    <w:rsid w:val="00F0205B"/>
    <w:rsid w:val="00F020E6"/>
    <w:rsid w:val="00F02147"/>
    <w:rsid w:val="00F021CB"/>
    <w:rsid w:val="00F02370"/>
    <w:rsid w:val="00F023EC"/>
    <w:rsid w:val="00F0249C"/>
    <w:rsid w:val="00F02777"/>
    <w:rsid w:val="00F028E0"/>
    <w:rsid w:val="00F02988"/>
    <w:rsid w:val="00F029A0"/>
    <w:rsid w:val="00F029D2"/>
    <w:rsid w:val="00F02C46"/>
    <w:rsid w:val="00F02C5C"/>
    <w:rsid w:val="00F02CFB"/>
    <w:rsid w:val="00F02DC1"/>
    <w:rsid w:val="00F02EF3"/>
    <w:rsid w:val="00F03069"/>
    <w:rsid w:val="00F030EF"/>
    <w:rsid w:val="00F0325D"/>
    <w:rsid w:val="00F0332D"/>
    <w:rsid w:val="00F03396"/>
    <w:rsid w:val="00F03538"/>
    <w:rsid w:val="00F03555"/>
    <w:rsid w:val="00F0369D"/>
    <w:rsid w:val="00F03764"/>
    <w:rsid w:val="00F037E9"/>
    <w:rsid w:val="00F038A5"/>
    <w:rsid w:val="00F03B4C"/>
    <w:rsid w:val="00F03C13"/>
    <w:rsid w:val="00F03C61"/>
    <w:rsid w:val="00F03CB8"/>
    <w:rsid w:val="00F03CCD"/>
    <w:rsid w:val="00F03D58"/>
    <w:rsid w:val="00F03E86"/>
    <w:rsid w:val="00F03E95"/>
    <w:rsid w:val="00F0409F"/>
    <w:rsid w:val="00F042D5"/>
    <w:rsid w:val="00F042D6"/>
    <w:rsid w:val="00F04305"/>
    <w:rsid w:val="00F0446A"/>
    <w:rsid w:val="00F0452C"/>
    <w:rsid w:val="00F04585"/>
    <w:rsid w:val="00F04860"/>
    <w:rsid w:val="00F048B8"/>
    <w:rsid w:val="00F04AD1"/>
    <w:rsid w:val="00F04CA9"/>
    <w:rsid w:val="00F04EC5"/>
    <w:rsid w:val="00F05073"/>
    <w:rsid w:val="00F050DF"/>
    <w:rsid w:val="00F050ED"/>
    <w:rsid w:val="00F05333"/>
    <w:rsid w:val="00F053DE"/>
    <w:rsid w:val="00F05405"/>
    <w:rsid w:val="00F0547E"/>
    <w:rsid w:val="00F056E1"/>
    <w:rsid w:val="00F05792"/>
    <w:rsid w:val="00F0582B"/>
    <w:rsid w:val="00F05896"/>
    <w:rsid w:val="00F058BB"/>
    <w:rsid w:val="00F05928"/>
    <w:rsid w:val="00F0596F"/>
    <w:rsid w:val="00F059D5"/>
    <w:rsid w:val="00F05A0E"/>
    <w:rsid w:val="00F05A1D"/>
    <w:rsid w:val="00F05A3D"/>
    <w:rsid w:val="00F05AF3"/>
    <w:rsid w:val="00F05B69"/>
    <w:rsid w:val="00F05B71"/>
    <w:rsid w:val="00F05B8A"/>
    <w:rsid w:val="00F05E29"/>
    <w:rsid w:val="00F05E36"/>
    <w:rsid w:val="00F05F54"/>
    <w:rsid w:val="00F05F70"/>
    <w:rsid w:val="00F061B2"/>
    <w:rsid w:val="00F061D4"/>
    <w:rsid w:val="00F062E8"/>
    <w:rsid w:val="00F0634E"/>
    <w:rsid w:val="00F06468"/>
    <w:rsid w:val="00F06538"/>
    <w:rsid w:val="00F066D5"/>
    <w:rsid w:val="00F066E3"/>
    <w:rsid w:val="00F066F1"/>
    <w:rsid w:val="00F067BC"/>
    <w:rsid w:val="00F06885"/>
    <w:rsid w:val="00F06923"/>
    <w:rsid w:val="00F06ACA"/>
    <w:rsid w:val="00F06BDD"/>
    <w:rsid w:val="00F06CBF"/>
    <w:rsid w:val="00F06DBB"/>
    <w:rsid w:val="00F06EBD"/>
    <w:rsid w:val="00F06F7C"/>
    <w:rsid w:val="00F070EE"/>
    <w:rsid w:val="00F0713D"/>
    <w:rsid w:val="00F07199"/>
    <w:rsid w:val="00F072AA"/>
    <w:rsid w:val="00F0761C"/>
    <w:rsid w:val="00F079AF"/>
    <w:rsid w:val="00F07C3E"/>
    <w:rsid w:val="00F07D00"/>
    <w:rsid w:val="00F07D5A"/>
    <w:rsid w:val="00F07E78"/>
    <w:rsid w:val="00F07FC8"/>
    <w:rsid w:val="00F07FE7"/>
    <w:rsid w:val="00F100A1"/>
    <w:rsid w:val="00F100DE"/>
    <w:rsid w:val="00F102A2"/>
    <w:rsid w:val="00F10485"/>
    <w:rsid w:val="00F10570"/>
    <w:rsid w:val="00F105A6"/>
    <w:rsid w:val="00F1062B"/>
    <w:rsid w:val="00F1064E"/>
    <w:rsid w:val="00F1065F"/>
    <w:rsid w:val="00F10707"/>
    <w:rsid w:val="00F10734"/>
    <w:rsid w:val="00F107AC"/>
    <w:rsid w:val="00F10AC7"/>
    <w:rsid w:val="00F10B4B"/>
    <w:rsid w:val="00F10BDF"/>
    <w:rsid w:val="00F10C75"/>
    <w:rsid w:val="00F10CE5"/>
    <w:rsid w:val="00F10D66"/>
    <w:rsid w:val="00F10E5E"/>
    <w:rsid w:val="00F10EAC"/>
    <w:rsid w:val="00F111A4"/>
    <w:rsid w:val="00F113C0"/>
    <w:rsid w:val="00F1144C"/>
    <w:rsid w:val="00F115B6"/>
    <w:rsid w:val="00F1163F"/>
    <w:rsid w:val="00F11659"/>
    <w:rsid w:val="00F116FF"/>
    <w:rsid w:val="00F1177D"/>
    <w:rsid w:val="00F11811"/>
    <w:rsid w:val="00F1188F"/>
    <w:rsid w:val="00F11AE2"/>
    <w:rsid w:val="00F11C84"/>
    <w:rsid w:val="00F11C88"/>
    <w:rsid w:val="00F11CA2"/>
    <w:rsid w:val="00F11CD8"/>
    <w:rsid w:val="00F11D6C"/>
    <w:rsid w:val="00F11E77"/>
    <w:rsid w:val="00F11F46"/>
    <w:rsid w:val="00F1203B"/>
    <w:rsid w:val="00F120C4"/>
    <w:rsid w:val="00F120FC"/>
    <w:rsid w:val="00F121E1"/>
    <w:rsid w:val="00F121E6"/>
    <w:rsid w:val="00F122AC"/>
    <w:rsid w:val="00F122EB"/>
    <w:rsid w:val="00F12381"/>
    <w:rsid w:val="00F123C7"/>
    <w:rsid w:val="00F12715"/>
    <w:rsid w:val="00F1272B"/>
    <w:rsid w:val="00F12911"/>
    <w:rsid w:val="00F12A40"/>
    <w:rsid w:val="00F12BF3"/>
    <w:rsid w:val="00F12CB9"/>
    <w:rsid w:val="00F12E34"/>
    <w:rsid w:val="00F12F12"/>
    <w:rsid w:val="00F13086"/>
    <w:rsid w:val="00F13189"/>
    <w:rsid w:val="00F1328A"/>
    <w:rsid w:val="00F1333A"/>
    <w:rsid w:val="00F134D4"/>
    <w:rsid w:val="00F13590"/>
    <w:rsid w:val="00F135B2"/>
    <w:rsid w:val="00F136BA"/>
    <w:rsid w:val="00F139E6"/>
    <w:rsid w:val="00F13B4A"/>
    <w:rsid w:val="00F13EC8"/>
    <w:rsid w:val="00F13EFF"/>
    <w:rsid w:val="00F13F53"/>
    <w:rsid w:val="00F140E8"/>
    <w:rsid w:val="00F141F1"/>
    <w:rsid w:val="00F1426F"/>
    <w:rsid w:val="00F142E0"/>
    <w:rsid w:val="00F143AC"/>
    <w:rsid w:val="00F143BF"/>
    <w:rsid w:val="00F14401"/>
    <w:rsid w:val="00F14435"/>
    <w:rsid w:val="00F145BA"/>
    <w:rsid w:val="00F1474A"/>
    <w:rsid w:val="00F147D5"/>
    <w:rsid w:val="00F1480D"/>
    <w:rsid w:val="00F1482C"/>
    <w:rsid w:val="00F1488D"/>
    <w:rsid w:val="00F148C8"/>
    <w:rsid w:val="00F14900"/>
    <w:rsid w:val="00F14975"/>
    <w:rsid w:val="00F14A1E"/>
    <w:rsid w:val="00F14A29"/>
    <w:rsid w:val="00F14A55"/>
    <w:rsid w:val="00F14A61"/>
    <w:rsid w:val="00F14B29"/>
    <w:rsid w:val="00F14B48"/>
    <w:rsid w:val="00F14B6A"/>
    <w:rsid w:val="00F14C09"/>
    <w:rsid w:val="00F14C81"/>
    <w:rsid w:val="00F14DA8"/>
    <w:rsid w:val="00F14E2A"/>
    <w:rsid w:val="00F14EA6"/>
    <w:rsid w:val="00F15007"/>
    <w:rsid w:val="00F15147"/>
    <w:rsid w:val="00F15233"/>
    <w:rsid w:val="00F15344"/>
    <w:rsid w:val="00F15353"/>
    <w:rsid w:val="00F154AD"/>
    <w:rsid w:val="00F154B9"/>
    <w:rsid w:val="00F1552D"/>
    <w:rsid w:val="00F15555"/>
    <w:rsid w:val="00F15681"/>
    <w:rsid w:val="00F156C2"/>
    <w:rsid w:val="00F1577D"/>
    <w:rsid w:val="00F1579A"/>
    <w:rsid w:val="00F15855"/>
    <w:rsid w:val="00F159F9"/>
    <w:rsid w:val="00F15A55"/>
    <w:rsid w:val="00F15AE5"/>
    <w:rsid w:val="00F15AE7"/>
    <w:rsid w:val="00F15B22"/>
    <w:rsid w:val="00F15B7D"/>
    <w:rsid w:val="00F15E4D"/>
    <w:rsid w:val="00F1623E"/>
    <w:rsid w:val="00F16599"/>
    <w:rsid w:val="00F167AB"/>
    <w:rsid w:val="00F1684B"/>
    <w:rsid w:val="00F168B0"/>
    <w:rsid w:val="00F16ACA"/>
    <w:rsid w:val="00F16BA6"/>
    <w:rsid w:val="00F16E67"/>
    <w:rsid w:val="00F16F26"/>
    <w:rsid w:val="00F17092"/>
    <w:rsid w:val="00F1727B"/>
    <w:rsid w:val="00F17287"/>
    <w:rsid w:val="00F172A8"/>
    <w:rsid w:val="00F17390"/>
    <w:rsid w:val="00F17397"/>
    <w:rsid w:val="00F174C1"/>
    <w:rsid w:val="00F1751D"/>
    <w:rsid w:val="00F17563"/>
    <w:rsid w:val="00F175E3"/>
    <w:rsid w:val="00F17609"/>
    <w:rsid w:val="00F176E5"/>
    <w:rsid w:val="00F17797"/>
    <w:rsid w:val="00F177EB"/>
    <w:rsid w:val="00F1782D"/>
    <w:rsid w:val="00F1782E"/>
    <w:rsid w:val="00F1788E"/>
    <w:rsid w:val="00F17984"/>
    <w:rsid w:val="00F17A0F"/>
    <w:rsid w:val="00F17B21"/>
    <w:rsid w:val="00F17D8A"/>
    <w:rsid w:val="00F17E60"/>
    <w:rsid w:val="00F200D1"/>
    <w:rsid w:val="00F20439"/>
    <w:rsid w:val="00F2048D"/>
    <w:rsid w:val="00F2063E"/>
    <w:rsid w:val="00F20733"/>
    <w:rsid w:val="00F207BB"/>
    <w:rsid w:val="00F20979"/>
    <w:rsid w:val="00F20A3B"/>
    <w:rsid w:val="00F20A44"/>
    <w:rsid w:val="00F20A71"/>
    <w:rsid w:val="00F20A91"/>
    <w:rsid w:val="00F20A95"/>
    <w:rsid w:val="00F20A9F"/>
    <w:rsid w:val="00F20BBD"/>
    <w:rsid w:val="00F20BC9"/>
    <w:rsid w:val="00F20BFD"/>
    <w:rsid w:val="00F20C69"/>
    <w:rsid w:val="00F20F1D"/>
    <w:rsid w:val="00F21007"/>
    <w:rsid w:val="00F213F0"/>
    <w:rsid w:val="00F2146D"/>
    <w:rsid w:val="00F21561"/>
    <w:rsid w:val="00F2166A"/>
    <w:rsid w:val="00F2177E"/>
    <w:rsid w:val="00F2185D"/>
    <w:rsid w:val="00F21937"/>
    <w:rsid w:val="00F219DC"/>
    <w:rsid w:val="00F21A08"/>
    <w:rsid w:val="00F21C9A"/>
    <w:rsid w:val="00F21CA5"/>
    <w:rsid w:val="00F21D0D"/>
    <w:rsid w:val="00F21DDF"/>
    <w:rsid w:val="00F21EB7"/>
    <w:rsid w:val="00F21F34"/>
    <w:rsid w:val="00F21F8D"/>
    <w:rsid w:val="00F220D7"/>
    <w:rsid w:val="00F220E5"/>
    <w:rsid w:val="00F220FE"/>
    <w:rsid w:val="00F2212B"/>
    <w:rsid w:val="00F223D5"/>
    <w:rsid w:val="00F2256C"/>
    <w:rsid w:val="00F22611"/>
    <w:rsid w:val="00F22691"/>
    <w:rsid w:val="00F226C4"/>
    <w:rsid w:val="00F226D6"/>
    <w:rsid w:val="00F22873"/>
    <w:rsid w:val="00F228CC"/>
    <w:rsid w:val="00F228E7"/>
    <w:rsid w:val="00F22968"/>
    <w:rsid w:val="00F22B5A"/>
    <w:rsid w:val="00F22CDA"/>
    <w:rsid w:val="00F22D2F"/>
    <w:rsid w:val="00F22DB2"/>
    <w:rsid w:val="00F22F4F"/>
    <w:rsid w:val="00F2307F"/>
    <w:rsid w:val="00F23138"/>
    <w:rsid w:val="00F23177"/>
    <w:rsid w:val="00F23196"/>
    <w:rsid w:val="00F23251"/>
    <w:rsid w:val="00F23266"/>
    <w:rsid w:val="00F232EA"/>
    <w:rsid w:val="00F23416"/>
    <w:rsid w:val="00F23463"/>
    <w:rsid w:val="00F2353C"/>
    <w:rsid w:val="00F23547"/>
    <w:rsid w:val="00F235C3"/>
    <w:rsid w:val="00F23884"/>
    <w:rsid w:val="00F23C08"/>
    <w:rsid w:val="00F23C5C"/>
    <w:rsid w:val="00F23CB9"/>
    <w:rsid w:val="00F23D39"/>
    <w:rsid w:val="00F23D9F"/>
    <w:rsid w:val="00F23E4B"/>
    <w:rsid w:val="00F23F48"/>
    <w:rsid w:val="00F2401E"/>
    <w:rsid w:val="00F240A2"/>
    <w:rsid w:val="00F2411B"/>
    <w:rsid w:val="00F2421B"/>
    <w:rsid w:val="00F24306"/>
    <w:rsid w:val="00F24355"/>
    <w:rsid w:val="00F24394"/>
    <w:rsid w:val="00F243A9"/>
    <w:rsid w:val="00F244AD"/>
    <w:rsid w:val="00F24703"/>
    <w:rsid w:val="00F24756"/>
    <w:rsid w:val="00F2478C"/>
    <w:rsid w:val="00F24A46"/>
    <w:rsid w:val="00F24C18"/>
    <w:rsid w:val="00F24C38"/>
    <w:rsid w:val="00F24D65"/>
    <w:rsid w:val="00F250FB"/>
    <w:rsid w:val="00F25121"/>
    <w:rsid w:val="00F25129"/>
    <w:rsid w:val="00F25204"/>
    <w:rsid w:val="00F25264"/>
    <w:rsid w:val="00F253EE"/>
    <w:rsid w:val="00F2546A"/>
    <w:rsid w:val="00F254D0"/>
    <w:rsid w:val="00F25695"/>
    <w:rsid w:val="00F256F3"/>
    <w:rsid w:val="00F25753"/>
    <w:rsid w:val="00F257A1"/>
    <w:rsid w:val="00F25852"/>
    <w:rsid w:val="00F25969"/>
    <w:rsid w:val="00F25A7B"/>
    <w:rsid w:val="00F25B8A"/>
    <w:rsid w:val="00F25BFF"/>
    <w:rsid w:val="00F25C19"/>
    <w:rsid w:val="00F25C74"/>
    <w:rsid w:val="00F25C9A"/>
    <w:rsid w:val="00F25CA8"/>
    <w:rsid w:val="00F25D1E"/>
    <w:rsid w:val="00F25DC4"/>
    <w:rsid w:val="00F25DDA"/>
    <w:rsid w:val="00F25E21"/>
    <w:rsid w:val="00F25E86"/>
    <w:rsid w:val="00F25EC6"/>
    <w:rsid w:val="00F261F8"/>
    <w:rsid w:val="00F2623C"/>
    <w:rsid w:val="00F2637F"/>
    <w:rsid w:val="00F263C0"/>
    <w:rsid w:val="00F264AC"/>
    <w:rsid w:val="00F264EB"/>
    <w:rsid w:val="00F26574"/>
    <w:rsid w:val="00F26592"/>
    <w:rsid w:val="00F267C7"/>
    <w:rsid w:val="00F269CC"/>
    <w:rsid w:val="00F26AC7"/>
    <w:rsid w:val="00F26D02"/>
    <w:rsid w:val="00F26D22"/>
    <w:rsid w:val="00F26D23"/>
    <w:rsid w:val="00F26D98"/>
    <w:rsid w:val="00F26EBD"/>
    <w:rsid w:val="00F26F8D"/>
    <w:rsid w:val="00F26F8F"/>
    <w:rsid w:val="00F27229"/>
    <w:rsid w:val="00F2724C"/>
    <w:rsid w:val="00F27305"/>
    <w:rsid w:val="00F274BA"/>
    <w:rsid w:val="00F275FA"/>
    <w:rsid w:val="00F27687"/>
    <w:rsid w:val="00F277E1"/>
    <w:rsid w:val="00F277E4"/>
    <w:rsid w:val="00F278EB"/>
    <w:rsid w:val="00F27968"/>
    <w:rsid w:val="00F27975"/>
    <w:rsid w:val="00F279EF"/>
    <w:rsid w:val="00F27A69"/>
    <w:rsid w:val="00F27ACD"/>
    <w:rsid w:val="00F27B13"/>
    <w:rsid w:val="00F27BEB"/>
    <w:rsid w:val="00F27C26"/>
    <w:rsid w:val="00F27CD0"/>
    <w:rsid w:val="00F27CF1"/>
    <w:rsid w:val="00F27D10"/>
    <w:rsid w:val="00F27EDD"/>
    <w:rsid w:val="00F27F93"/>
    <w:rsid w:val="00F3005F"/>
    <w:rsid w:val="00F300A6"/>
    <w:rsid w:val="00F301C7"/>
    <w:rsid w:val="00F3028B"/>
    <w:rsid w:val="00F3050D"/>
    <w:rsid w:val="00F3063F"/>
    <w:rsid w:val="00F30664"/>
    <w:rsid w:val="00F306C9"/>
    <w:rsid w:val="00F307C1"/>
    <w:rsid w:val="00F307CA"/>
    <w:rsid w:val="00F308CC"/>
    <w:rsid w:val="00F30A62"/>
    <w:rsid w:val="00F30C5C"/>
    <w:rsid w:val="00F30C9B"/>
    <w:rsid w:val="00F30D0E"/>
    <w:rsid w:val="00F30F7D"/>
    <w:rsid w:val="00F30FDC"/>
    <w:rsid w:val="00F3103A"/>
    <w:rsid w:val="00F3104B"/>
    <w:rsid w:val="00F31143"/>
    <w:rsid w:val="00F31570"/>
    <w:rsid w:val="00F31584"/>
    <w:rsid w:val="00F31586"/>
    <w:rsid w:val="00F316B0"/>
    <w:rsid w:val="00F317DF"/>
    <w:rsid w:val="00F319C7"/>
    <w:rsid w:val="00F31A06"/>
    <w:rsid w:val="00F31A79"/>
    <w:rsid w:val="00F31A85"/>
    <w:rsid w:val="00F31AD0"/>
    <w:rsid w:val="00F31C3E"/>
    <w:rsid w:val="00F31D7D"/>
    <w:rsid w:val="00F31DDE"/>
    <w:rsid w:val="00F31E0A"/>
    <w:rsid w:val="00F31E1B"/>
    <w:rsid w:val="00F31EA1"/>
    <w:rsid w:val="00F31F76"/>
    <w:rsid w:val="00F31FC7"/>
    <w:rsid w:val="00F31FF7"/>
    <w:rsid w:val="00F32154"/>
    <w:rsid w:val="00F3229C"/>
    <w:rsid w:val="00F32353"/>
    <w:rsid w:val="00F3240F"/>
    <w:rsid w:val="00F32499"/>
    <w:rsid w:val="00F324CD"/>
    <w:rsid w:val="00F326C2"/>
    <w:rsid w:val="00F32741"/>
    <w:rsid w:val="00F32796"/>
    <w:rsid w:val="00F3293E"/>
    <w:rsid w:val="00F329A4"/>
    <w:rsid w:val="00F32A80"/>
    <w:rsid w:val="00F32E08"/>
    <w:rsid w:val="00F32EE4"/>
    <w:rsid w:val="00F32FE3"/>
    <w:rsid w:val="00F3309F"/>
    <w:rsid w:val="00F331B8"/>
    <w:rsid w:val="00F33466"/>
    <w:rsid w:val="00F3348D"/>
    <w:rsid w:val="00F3352F"/>
    <w:rsid w:val="00F33667"/>
    <w:rsid w:val="00F338DE"/>
    <w:rsid w:val="00F339AD"/>
    <w:rsid w:val="00F33B3E"/>
    <w:rsid w:val="00F33BA4"/>
    <w:rsid w:val="00F33C0D"/>
    <w:rsid w:val="00F33D6B"/>
    <w:rsid w:val="00F33DA8"/>
    <w:rsid w:val="00F34024"/>
    <w:rsid w:val="00F34067"/>
    <w:rsid w:val="00F340F5"/>
    <w:rsid w:val="00F340F8"/>
    <w:rsid w:val="00F34121"/>
    <w:rsid w:val="00F34240"/>
    <w:rsid w:val="00F342D3"/>
    <w:rsid w:val="00F3433C"/>
    <w:rsid w:val="00F34346"/>
    <w:rsid w:val="00F3442B"/>
    <w:rsid w:val="00F3446C"/>
    <w:rsid w:val="00F3452F"/>
    <w:rsid w:val="00F34555"/>
    <w:rsid w:val="00F34586"/>
    <w:rsid w:val="00F3458A"/>
    <w:rsid w:val="00F3477E"/>
    <w:rsid w:val="00F348D4"/>
    <w:rsid w:val="00F34B47"/>
    <w:rsid w:val="00F34BAA"/>
    <w:rsid w:val="00F34D3A"/>
    <w:rsid w:val="00F34FF0"/>
    <w:rsid w:val="00F351E3"/>
    <w:rsid w:val="00F35261"/>
    <w:rsid w:val="00F35361"/>
    <w:rsid w:val="00F354A3"/>
    <w:rsid w:val="00F35668"/>
    <w:rsid w:val="00F3568C"/>
    <w:rsid w:val="00F356F8"/>
    <w:rsid w:val="00F3572C"/>
    <w:rsid w:val="00F35AA7"/>
    <w:rsid w:val="00F35B31"/>
    <w:rsid w:val="00F35BA6"/>
    <w:rsid w:val="00F35C98"/>
    <w:rsid w:val="00F35CC4"/>
    <w:rsid w:val="00F35DCA"/>
    <w:rsid w:val="00F35E07"/>
    <w:rsid w:val="00F35EEB"/>
    <w:rsid w:val="00F35F24"/>
    <w:rsid w:val="00F35F66"/>
    <w:rsid w:val="00F3609A"/>
    <w:rsid w:val="00F360FE"/>
    <w:rsid w:val="00F361E5"/>
    <w:rsid w:val="00F36244"/>
    <w:rsid w:val="00F36269"/>
    <w:rsid w:val="00F3635A"/>
    <w:rsid w:val="00F363EA"/>
    <w:rsid w:val="00F364C3"/>
    <w:rsid w:val="00F36612"/>
    <w:rsid w:val="00F36831"/>
    <w:rsid w:val="00F36A5B"/>
    <w:rsid w:val="00F36B7E"/>
    <w:rsid w:val="00F36B96"/>
    <w:rsid w:val="00F36C0C"/>
    <w:rsid w:val="00F36D14"/>
    <w:rsid w:val="00F36D8F"/>
    <w:rsid w:val="00F36F74"/>
    <w:rsid w:val="00F37081"/>
    <w:rsid w:val="00F370E5"/>
    <w:rsid w:val="00F37388"/>
    <w:rsid w:val="00F373B9"/>
    <w:rsid w:val="00F37412"/>
    <w:rsid w:val="00F37460"/>
    <w:rsid w:val="00F375EF"/>
    <w:rsid w:val="00F37618"/>
    <w:rsid w:val="00F37676"/>
    <w:rsid w:val="00F3768D"/>
    <w:rsid w:val="00F3769A"/>
    <w:rsid w:val="00F376A7"/>
    <w:rsid w:val="00F37774"/>
    <w:rsid w:val="00F3785D"/>
    <w:rsid w:val="00F379A5"/>
    <w:rsid w:val="00F37BD9"/>
    <w:rsid w:val="00F37C06"/>
    <w:rsid w:val="00F37D70"/>
    <w:rsid w:val="00F37DD3"/>
    <w:rsid w:val="00F37EA8"/>
    <w:rsid w:val="00F40016"/>
    <w:rsid w:val="00F40032"/>
    <w:rsid w:val="00F4005A"/>
    <w:rsid w:val="00F40108"/>
    <w:rsid w:val="00F40206"/>
    <w:rsid w:val="00F4023F"/>
    <w:rsid w:val="00F40400"/>
    <w:rsid w:val="00F40406"/>
    <w:rsid w:val="00F4044F"/>
    <w:rsid w:val="00F405C6"/>
    <w:rsid w:val="00F40645"/>
    <w:rsid w:val="00F40653"/>
    <w:rsid w:val="00F40681"/>
    <w:rsid w:val="00F40744"/>
    <w:rsid w:val="00F407EA"/>
    <w:rsid w:val="00F40844"/>
    <w:rsid w:val="00F409A6"/>
    <w:rsid w:val="00F40AB7"/>
    <w:rsid w:val="00F40C3C"/>
    <w:rsid w:val="00F40CCF"/>
    <w:rsid w:val="00F40D1F"/>
    <w:rsid w:val="00F40F38"/>
    <w:rsid w:val="00F4106F"/>
    <w:rsid w:val="00F411CA"/>
    <w:rsid w:val="00F41303"/>
    <w:rsid w:val="00F4130C"/>
    <w:rsid w:val="00F41362"/>
    <w:rsid w:val="00F41382"/>
    <w:rsid w:val="00F41489"/>
    <w:rsid w:val="00F4159E"/>
    <w:rsid w:val="00F4160B"/>
    <w:rsid w:val="00F41620"/>
    <w:rsid w:val="00F41696"/>
    <w:rsid w:val="00F41746"/>
    <w:rsid w:val="00F4176B"/>
    <w:rsid w:val="00F41A82"/>
    <w:rsid w:val="00F41A84"/>
    <w:rsid w:val="00F41BF4"/>
    <w:rsid w:val="00F41BF6"/>
    <w:rsid w:val="00F41CDF"/>
    <w:rsid w:val="00F41DC3"/>
    <w:rsid w:val="00F41E05"/>
    <w:rsid w:val="00F41FE8"/>
    <w:rsid w:val="00F420C4"/>
    <w:rsid w:val="00F420FE"/>
    <w:rsid w:val="00F42134"/>
    <w:rsid w:val="00F42420"/>
    <w:rsid w:val="00F42685"/>
    <w:rsid w:val="00F428AD"/>
    <w:rsid w:val="00F428EF"/>
    <w:rsid w:val="00F4294A"/>
    <w:rsid w:val="00F429F0"/>
    <w:rsid w:val="00F42C13"/>
    <w:rsid w:val="00F42DC4"/>
    <w:rsid w:val="00F42E3B"/>
    <w:rsid w:val="00F42E84"/>
    <w:rsid w:val="00F42FC3"/>
    <w:rsid w:val="00F42FF2"/>
    <w:rsid w:val="00F43095"/>
    <w:rsid w:val="00F43140"/>
    <w:rsid w:val="00F431A7"/>
    <w:rsid w:val="00F43468"/>
    <w:rsid w:val="00F43772"/>
    <w:rsid w:val="00F4380A"/>
    <w:rsid w:val="00F438D7"/>
    <w:rsid w:val="00F438E8"/>
    <w:rsid w:val="00F43A15"/>
    <w:rsid w:val="00F43A80"/>
    <w:rsid w:val="00F43ACC"/>
    <w:rsid w:val="00F44044"/>
    <w:rsid w:val="00F440C0"/>
    <w:rsid w:val="00F44139"/>
    <w:rsid w:val="00F442C7"/>
    <w:rsid w:val="00F443C5"/>
    <w:rsid w:val="00F44478"/>
    <w:rsid w:val="00F444CA"/>
    <w:rsid w:val="00F444E4"/>
    <w:rsid w:val="00F4461E"/>
    <w:rsid w:val="00F4468A"/>
    <w:rsid w:val="00F44698"/>
    <w:rsid w:val="00F448B2"/>
    <w:rsid w:val="00F448EA"/>
    <w:rsid w:val="00F44AC6"/>
    <w:rsid w:val="00F44AEC"/>
    <w:rsid w:val="00F44B9B"/>
    <w:rsid w:val="00F44C41"/>
    <w:rsid w:val="00F44C4F"/>
    <w:rsid w:val="00F44DDD"/>
    <w:rsid w:val="00F44DEA"/>
    <w:rsid w:val="00F44DF9"/>
    <w:rsid w:val="00F44E26"/>
    <w:rsid w:val="00F44FAB"/>
    <w:rsid w:val="00F45222"/>
    <w:rsid w:val="00F452E1"/>
    <w:rsid w:val="00F453AD"/>
    <w:rsid w:val="00F453DA"/>
    <w:rsid w:val="00F454A9"/>
    <w:rsid w:val="00F4558F"/>
    <w:rsid w:val="00F45754"/>
    <w:rsid w:val="00F457EB"/>
    <w:rsid w:val="00F4588A"/>
    <w:rsid w:val="00F4588D"/>
    <w:rsid w:val="00F45A6F"/>
    <w:rsid w:val="00F45AD3"/>
    <w:rsid w:val="00F45D16"/>
    <w:rsid w:val="00F45D2D"/>
    <w:rsid w:val="00F45D58"/>
    <w:rsid w:val="00F45FBE"/>
    <w:rsid w:val="00F463C6"/>
    <w:rsid w:val="00F465FE"/>
    <w:rsid w:val="00F46781"/>
    <w:rsid w:val="00F4679E"/>
    <w:rsid w:val="00F4686B"/>
    <w:rsid w:val="00F46900"/>
    <w:rsid w:val="00F46944"/>
    <w:rsid w:val="00F4696E"/>
    <w:rsid w:val="00F469BE"/>
    <w:rsid w:val="00F469D0"/>
    <w:rsid w:val="00F46A06"/>
    <w:rsid w:val="00F46A6C"/>
    <w:rsid w:val="00F46BE4"/>
    <w:rsid w:val="00F46CBB"/>
    <w:rsid w:val="00F46D02"/>
    <w:rsid w:val="00F46D43"/>
    <w:rsid w:val="00F46EFB"/>
    <w:rsid w:val="00F46FB5"/>
    <w:rsid w:val="00F47079"/>
    <w:rsid w:val="00F470EC"/>
    <w:rsid w:val="00F471FB"/>
    <w:rsid w:val="00F4722E"/>
    <w:rsid w:val="00F474B0"/>
    <w:rsid w:val="00F4753A"/>
    <w:rsid w:val="00F47555"/>
    <w:rsid w:val="00F4759E"/>
    <w:rsid w:val="00F475FF"/>
    <w:rsid w:val="00F476FC"/>
    <w:rsid w:val="00F47790"/>
    <w:rsid w:val="00F47791"/>
    <w:rsid w:val="00F47866"/>
    <w:rsid w:val="00F478E8"/>
    <w:rsid w:val="00F47948"/>
    <w:rsid w:val="00F479F4"/>
    <w:rsid w:val="00F47A09"/>
    <w:rsid w:val="00F47B63"/>
    <w:rsid w:val="00F47C07"/>
    <w:rsid w:val="00F47C13"/>
    <w:rsid w:val="00F47D3C"/>
    <w:rsid w:val="00F47DC6"/>
    <w:rsid w:val="00F47DF7"/>
    <w:rsid w:val="00F47FA2"/>
    <w:rsid w:val="00F5000B"/>
    <w:rsid w:val="00F500D0"/>
    <w:rsid w:val="00F5013E"/>
    <w:rsid w:val="00F50145"/>
    <w:rsid w:val="00F50278"/>
    <w:rsid w:val="00F505A3"/>
    <w:rsid w:val="00F505B9"/>
    <w:rsid w:val="00F505C9"/>
    <w:rsid w:val="00F50782"/>
    <w:rsid w:val="00F507C7"/>
    <w:rsid w:val="00F507D0"/>
    <w:rsid w:val="00F5080D"/>
    <w:rsid w:val="00F508ED"/>
    <w:rsid w:val="00F5094F"/>
    <w:rsid w:val="00F5097E"/>
    <w:rsid w:val="00F509D4"/>
    <w:rsid w:val="00F50A23"/>
    <w:rsid w:val="00F50C02"/>
    <w:rsid w:val="00F50D87"/>
    <w:rsid w:val="00F50E46"/>
    <w:rsid w:val="00F50E48"/>
    <w:rsid w:val="00F50E9C"/>
    <w:rsid w:val="00F50ECB"/>
    <w:rsid w:val="00F50EF1"/>
    <w:rsid w:val="00F50F05"/>
    <w:rsid w:val="00F50F4A"/>
    <w:rsid w:val="00F50F4C"/>
    <w:rsid w:val="00F50FAB"/>
    <w:rsid w:val="00F51092"/>
    <w:rsid w:val="00F511B3"/>
    <w:rsid w:val="00F511EB"/>
    <w:rsid w:val="00F51278"/>
    <w:rsid w:val="00F51349"/>
    <w:rsid w:val="00F5134A"/>
    <w:rsid w:val="00F51397"/>
    <w:rsid w:val="00F513F6"/>
    <w:rsid w:val="00F51513"/>
    <w:rsid w:val="00F51546"/>
    <w:rsid w:val="00F51644"/>
    <w:rsid w:val="00F517A7"/>
    <w:rsid w:val="00F517E9"/>
    <w:rsid w:val="00F51930"/>
    <w:rsid w:val="00F51B32"/>
    <w:rsid w:val="00F51CF4"/>
    <w:rsid w:val="00F51D01"/>
    <w:rsid w:val="00F51E1A"/>
    <w:rsid w:val="00F51E30"/>
    <w:rsid w:val="00F51F25"/>
    <w:rsid w:val="00F51F60"/>
    <w:rsid w:val="00F52004"/>
    <w:rsid w:val="00F52015"/>
    <w:rsid w:val="00F520A3"/>
    <w:rsid w:val="00F520B5"/>
    <w:rsid w:val="00F520DB"/>
    <w:rsid w:val="00F52188"/>
    <w:rsid w:val="00F52384"/>
    <w:rsid w:val="00F523B3"/>
    <w:rsid w:val="00F52429"/>
    <w:rsid w:val="00F52598"/>
    <w:rsid w:val="00F525B0"/>
    <w:rsid w:val="00F52751"/>
    <w:rsid w:val="00F52825"/>
    <w:rsid w:val="00F528A5"/>
    <w:rsid w:val="00F528E5"/>
    <w:rsid w:val="00F52A1F"/>
    <w:rsid w:val="00F52AE7"/>
    <w:rsid w:val="00F52B36"/>
    <w:rsid w:val="00F52B96"/>
    <w:rsid w:val="00F52C19"/>
    <w:rsid w:val="00F52C1A"/>
    <w:rsid w:val="00F52C49"/>
    <w:rsid w:val="00F52C9D"/>
    <w:rsid w:val="00F52E28"/>
    <w:rsid w:val="00F52F8A"/>
    <w:rsid w:val="00F52FC2"/>
    <w:rsid w:val="00F53089"/>
    <w:rsid w:val="00F530FE"/>
    <w:rsid w:val="00F53103"/>
    <w:rsid w:val="00F5310D"/>
    <w:rsid w:val="00F53128"/>
    <w:rsid w:val="00F53195"/>
    <w:rsid w:val="00F533C8"/>
    <w:rsid w:val="00F5362A"/>
    <w:rsid w:val="00F53678"/>
    <w:rsid w:val="00F53696"/>
    <w:rsid w:val="00F536F8"/>
    <w:rsid w:val="00F53755"/>
    <w:rsid w:val="00F53806"/>
    <w:rsid w:val="00F5382C"/>
    <w:rsid w:val="00F538D1"/>
    <w:rsid w:val="00F53A18"/>
    <w:rsid w:val="00F53ACE"/>
    <w:rsid w:val="00F53BAA"/>
    <w:rsid w:val="00F53BE1"/>
    <w:rsid w:val="00F53C53"/>
    <w:rsid w:val="00F53D4C"/>
    <w:rsid w:val="00F53D60"/>
    <w:rsid w:val="00F53F8B"/>
    <w:rsid w:val="00F53FE3"/>
    <w:rsid w:val="00F53FF1"/>
    <w:rsid w:val="00F54027"/>
    <w:rsid w:val="00F54072"/>
    <w:rsid w:val="00F5414F"/>
    <w:rsid w:val="00F54194"/>
    <w:rsid w:val="00F5427C"/>
    <w:rsid w:val="00F54286"/>
    <w:rsid w:val="00F542AA"/>
    <w:rsid w:val="00F542B3"/>
    <w:rsid w:val="00F5436C"/>
    <w:rsid w:val="00F5442E"/>
    <w:rsid w:val="00F54637"/>
    <w:rsid w:val="00F54708"/>
    <w:rsid w:val="00F54773"/>
    <w:rsid w:val="00F547B4"/>
    <w:rsid w:val="00F5485F"/>
    <w:rsid w:val="00F548D9"/>
    <w:rsid w:val="00F549BD"/>
    <w:rsid w:val="00F54A22"/>
    <w:rsid w:val="00F54A51"/>
    <w:rsid w:val="00F54A65"/>
    <w:rsid w:val="00F54C88"/>
    <w:rsid w:val="00F54CBD"/>
    <w:rsid w:val="00F54CEE"/>
    <w:rsid w:val="00F54DD3"/>
    <w:rsid w:val="00F54F29"/>
    <w:rsid w:val="00F54F33"/>
    <w:rsid w:val="00F54FF8"/>
    <w:rsid w:val="00F55122"/>
    <w:rsid w:val="00F552E0"/>
    <w:rsid w:val="00F55385"/>
    <w:rsid w:val="00F55533"/>
    <w:rsid w:val="00F55675"/>
    <w:rsid w:val="00F55798"/>
    <w:rsid w:val="00F557E0"/>
    <w:rsid w:val="00F55894"/>
    <w:rsid w:val="00F558F4"/>
    <w:rsid w:val="00F559A3"/>
    <w:rsid w:val="00F559B1"/>
    <w:rsid w:val="00F559B3"/>
    <w:rsid w:val="00F55A23"/>
    <w:rsid w:val="00F55A5D"/>
    <w:rsid w:val="00F55E1B"/>
    <w:rsid w:val="00F55FCC"/>
    <w:rsid w:val="00F56118"/>
    <w:rsid w:val="00F561D7"/>
    <w:rsid w:val="00F562DD"/>
    <w:rsid w:val="00F5639F"/>
    <w:rsid w:val="00F563C4"/>
    <w:rsid w:val="00F564C8"/>
    <w:rsid w:val="00F56543"/>
    <w:rsid w:val="00F5664F"/>
    <w:rsid w:val="00F567B3"/>
    <w:rsid w:val="00F568FD"/>
    <w:rsid w:val="00F56B38"/>
    <w:rsid w:val="00F56B4C"/>
    <w:rsid w:val="00F56B83"/>
    <w:rsid w:val="00F56BA7"/>
    <w:rsid w:val="00F56DC6"/>
    <w:rsid w:val="00F56FC8"/>
    <w:rsid w:val="00F56FFB"/>
    <w:rsid w:val="00F572AD"/>
    <w:rsid w:val="00F57380"/>
    <w:rsid w:val="00F5741F"/>
    <w:rsid w:val="00F57561"/>
    <w:rsid w:val="00F5758A"/>
    <w:rsid w:val="00F5761C"/>
    <w:rsid w:val="00F5764C"/>
    <w:rsid w:val="00F57694"/>
    <w:rsid w:val="00F576B4"/>
    <w:rsid w:val="00F57713"/>
    <w:rsid w:val="00F57835"/>
    <w:rsid w:val="00F578CD"/>
    <w:rsid w:val="00F57985"/>
    <w:rsid w:val="00F57B95"/>
    <w:rsid w:val="00F57D3E"/>
    <w:rsid w:val="00F57E60"/>
    <w:rsid w:val="00F57ECC"/>
    <w:rsid w:val="00F57F78"/>
    <w:rsid w:val="00F600C7"/>
    <w:rsid w:val="00F6016F"/>
    <w:rsid w:val="00F602F6"/>
    <w:rsid w:val="00F60404"/>
    <w:rsid w:val="00F604F8"/>
    <w:rsid w:val="00F606AA"/>
    <w:rsid w:val="00F60829"/>
    <w:rsid w:val="00F60946"/>
    <w:rsid w:val="00F60A4A"/>
    <w:rsid w:val="00F60A71"/>
    <w:rsid w:val="00F60B24"/>
    <w:rsid w:val="00F60B61"/>
    <w:rsid w:val="00F60C16"/>
    <w:rsid w:val="00F60C36"/>
    <w:rsid w:val="00F60E9B"/>
    <w:rsid w:val="00F60FCA"/>
    <w:rsid w:val="00F61030"/>
    <w:rsid w:val="00F61075"/>
    <w:rsid w:val="00F61103"/>
    <w:rsid w:val="00F61150"/>
    <w:rsid w:val="00F611B5"/>
    <w:rsid w:val="00F61269"/>
    <w:rsid w:val="00F612C9"/>
    <w:rsid w:val="00F61384"/>
    <w:rsid w:val="00F613BE"/>
    <w:rsid w:val="00F613EE"/>
    <w:rsid w:val="00F614D5"/>
    <w:rsid w:val="00F615A1"/>
    <w:rsid w:val="00F6164A"/>
    <w:rsid w:val="00F6165E"/>
    <w:rsid w:val="00F61677"/>
    <w:rsid w:val="00F6180C"/>
    <w:rsid w:val="00F6184E"/>
    <w:rsid w:val="00F61916"/>
    <w:rsid w:val="00F61B5E"/>
    <w:rsid w:val="00F61C9E"/>
    <w:rsid w:val="00F61D2C"/>
    <w:rsid w:val="00F61D42"/>
    <w:rsid w:val="00F61DA1"/>
    <w:rsid w:val="00F61DA9"/>
    <w:rsid w:val="00F61DC6"/>
    <w:rsid w:val="00F61EA6"/>
    <w:rsid w:val="00F61EF5"/>
    <w:rsid w:val="00F61F03"/>
    <w:rsid w:val="00F61F2C"/>
    <w:rsid w:val="00F61F56"/>
    <w:rsid w:val="00F62180"/>
    <w:rsid w:val="00F62227"/>
    <w:rsid w:val="00F62282"/>
    <w:rsid w:val="00F6230E"/>
    <w:rsid w:val="00F62467"/>
    <w:rsid w:val="00F62582"/>
    <w:rsid w:val="00F625A9"/>
    <w:rsid w:val="00F625E4"/>
    <w:rsid w:val="00F625FF"/>
    <w:rsid w:val="00F6262B"/>
    <w:rsid w:val="00F626CC"/>
    <w:rsid w:val="00F62792"/>
    <w:rsid w:val="00F62797"/>
    <w:rsid w:val="00F62A0A"/>
    <w:rsid w:val="00F62B9E"/>
    <w:rsid w:val="00F62BD3"/>
    <w:rsid w:val="00F62BDD"/>
    <w:rsid w:val="00F62C4C"/>
    <w:rsid w:val="00F62C57"/>
    <w:rsid w:val="00F62D77"/>
    <w:rsid w:val="00F62DBA"/>
    <w:rsid w:val="00F62E28"/>
    <w:rsid w:val="00F62EFB"/>
    <w:rsid w:val="00F62F33"/>
    <w:rsid w:val="00F631A1"/>
    <w:rsid w:val="00F63255"/>
    <w:rsid w:val="00F632AD"/>
    <w:rsid w:val="00F63300"/>
    <w:rsid w:val="00F6333A"/>
    <w:rsid w:val="00F633A0"/>
    <w:rsid w:val="00F63405"/>
    <w:rsid w:val="00F6348C"/>
    <w:rsid w:val="00F63688"/>
    <w:rsid w:val="00F63752"/>
    <w:rsid w:val="00F637CF"/>
    <w:rsid w:val="00F638BA"/>
    <w:rsid w:val="00F63960"/>
    <w:rsid w:val="00F639CD"/>
    <w:rsid w:val="00F639EC"/>
    <w:rsid w:val="00F63A1F"/>
    <w:rsid w:val="00F63A73"/>
    <w:rsid w:val="00F63B55"/>
    <w:rsid w:val="00F63BB2"/>
    <w:rsid w:val="00F63D4D"/>
    <w:rsid w:val="00F6404F"/>
    <w:rsid w:val="00F64396"/>
    <w:rsid w:val="00F643D4"/>
    <w:rsid w:val="00F64456"/>
    <w:rsid w:val="00F64578"/>
    <w:rsid w:val="00F64628"/>
    <w:rsid w:val="00F64671"/>
    <w:rsid w:val="00F646A0"/>
    <w:rsid w:val="00F646A5"/>
    <w:rsid w:val="00F646A7"/>
    <w:rsid w:val="00F6471C"/>
    <w:rsid w:val="00F64867"/>
    <w:rsid w:val="00F648DB"/>
    <w:rsid w:val="00F64A59"/>
    <w:rsid w:val="00F64AB6"/>
    <w:rsid w:val="00F64B33"/>
    <w:rsid w:val="00F64B5F"/>
    <w:rsid w:val="00F64D3B"/>
    <w:rsid w:val="00F64D8C"/>
    <w:rsid w:val="00F64D96"/>
    <w:rsid w:val="00F64DBB"/>
    <w:rsid w:val="00F64E3A"/>
    <w:rsid w:val="00F64E49"/>
    <w:rsid w:val="00F64F48"/>
    <w:rsid w:val="00F65012"/>
    <w:rsid w:val="00F6515C"/>
    <w:rsid w:val="00F65197"/>
    <w:rsid w:val="00F651BA"/>
    <w:rsid w:val="00F65226"/>
    <w:rsid w:val="00F65301"/>
    <w:rsid w:val="00F653AF"/>
    <w:rsid w:val="00F65484"/>
    <w:rsid w:val="00F6555F"/>
    <w:rsid w:val="00F65AB0"/>
    <w:rsid w:val="00F65B5D"/>
    <w:rsid w:val="00F65D01"/>
    <w:rsid w:val="00F65E31"/>
    <w:rsid w:val="00F65EC5"/>
    <w:rsid w:val="00F65F40"/>
    <w:rsid w:val="00F65F8A"/>
    <w:rsid w:val="00F66055"/>
    <w:rsid w:val="00F66063"/>
    <w:rsid w:val="00F6612E"/>
    <w:rsid w:val="00F6618E"/>
    <w:rsid w:val="00F66337"/>
    <w:rsid w:val="00F66472"/>
    <w:rsid w:val="00F66537"/>
    <w:rsid w:val="00F66610"/>
    <w:rsid w:val="00F66625"/>
    <w:rsid w:val="00F667BA"/>
    <w:rsid w:val="00F6682E"/>
    <w:rsid w:val="00F66877"/>
    <w:rsid w:val="00F66924"/>
    <w:rsid w:val="00F66B02"/>
    <w:rsid w:val="00F66B59"/>
    <w:rsid w:val="00F66B86"/>
    <w:rsid w:val="00F66D09"/>
    <w:rsid w:val="00F66D26"/>
    <w:rsid w:val="00F66D96"/>
    <w:rsid w:val="00F66DDC"/>
    <w:rsid w:val="00F66E15"/>
    <w:rsid w:val="00F66E77"/>
    <w:rsid w:val="00F66F53"/>
    <w:rsid w:val="00F6704B"/>
    <w:rsid w:val="00F6707A"/>
    <w:rsid w:val="00F670EA"/>
    <w:rsid w:val="00F67100"/>
    <w:rsid w:val="00F6716C"/>
    <w:rsid w:val="00F671E9"/>
    <w:rsid w:val="00F6724B"/>
    <w:rsid w:val="00F672D9"/>
    <w:rsid w:val="00F67343"/>
    <w:rsid w:val="00F67428"/>
    <w:rsid w:val="00F67448"/>
    <w:rsid w:val="00F674F9"/>
    <w:rsid w:val="00F6763F"/>
    <w:rsid w:val="00F676F4"/>
    <w:rsid w:val="00F6776F"/>
    <w:rsid w:val="00F67779"/>
    <w:rsid w:val="00F67B0D"/>
    <w:rsid w:val="00F67B55"/>
    <w:rsid w:val="00F67B56"/>
    <w:rsid w:val="00F67B8F"/>
    <w:rsid w:val="00F67C65"/>
    <w:rsid w:val="00F67DBF"/>
    <w:rsid w:val="00F67DDA"/>
    <w:rsid w:val="00F67DFA"/>
    <w:rsid w:val="00F67E13"/>
    <w:rsid w:val="00F67E64"/>
    <w:rsid w:val="00F7006A"/>
    <w:rsid w:val="00F7011A"/>
    <w:rsid w:val="00F70138"/>
    <w:rsid w:val="00F7013F"/>
    <w:rsid w:val="00F70146"/>
    <w:rsid w:val="00F70188"/>
    <w:rsid w:val="00F70243"/>
    <w:rsid w:val="00F7038C"/>
    <w:rsid w:val="00F7039A"/>
    <w:rsid w:val="00F703A7"/>
    <w:rsid w:val="00F70524"/>
    <w:rsid w:val="00F706AC"/>
    <w:rsid w:val="00F707D4"/>
    <w:rsid w:val="00F709FD"/>
    <w:rsid w:val="00F70C37"/>
    <w:rsid w:val="00F70E03"/>
    <w:rsid w:val="00F70EEB"/>
    <w:rsid w:val="00F71026"/>
    <w:rsid w:val="00F7102F"/>
    <w:rsid w:val="00F71059"/>
    <w:rsid w:val="00F710C0"/>
    <w:rsid w:val="00F7110E"/>
    <w:rsid w:val="00F7112B"/>
    <w:rsid w:val="00F71132"/>
    <w:rsid w:val="00F711BA"/>
    <w:rsid w:val="00F711BE"/>
    <w:rsid w:val="00F71231"/>
    <w:rsid w:val="00F7128A"/>
    <w:rsid w:val="00F7128B"/>
    <w:rsid w:val="00F713CF"/>
    <w:rsid w:val="00F71483"/>
    <w:rsid w:val="00F714D3"/>
    <w:rsid w:val="00F714EB"/>
    <w:rsid w:val="00F71503"/>
    <w:rsid w:val="00F7161B"/>
    <w:rsid w:val="00F71815"/>
    <w:rsid w:val="00F71826"/>
    <w:rsid w:val="00F7183A"/>
    <w:rsid w:val="00F7188B"/>
    <w:rsid w:val="00F7190D"/>
    <w:rsid w:val="00F71943"/>
    <w:rsid w:val="00F71A99"/>
    <w:rsid w:val="00F71AD2"/>
    <w:rsid w:val="00F71DBB"/>
    <w:rsid w:val="00F7200C"/>
    <w:rsid w:val="00F72081"/>
    <w:rsid w:val="00F720A4"/>
    <w:rsid w:val="00F721C7"/>
    <w:rsid w:val="00F72673"/>
    <w:rsid w:val="00F727FA"/>
    <w:rsid w:val="00F72A37"/>
    <w:rsid w:val="00F72B1D"/>
    <w:rsid w:val="00F72D4C"/>
    <w:rsid w:val="00F72F53"/>
    <w:rsid w:val="00F72FF7"/>
    <w:rsid w:val="00F73120"/>
    <w:rsid w:val="00F734B2"/>
    <w:rsid w:val="00F73510"/>
    <w:rsid w:val="00F73773"/>
    <w:rsid w:val="00F73797"/>
    <w:rsid w:val="00F739A2"/>
    <w:rsid w:val="00F739A5"/>
    <w:rsid w:val="00F73BCE"/>
    <w:rsid w:val="00F73BE4"/>
    <w:rsid w:val="00F73D55"/>
    <w:rsid w:val="00F73E23"/>
    <w:rsid w:val="00F73F04"/>
    <w:rsid w:val="00F73FAA"/>
    <w:rsid w:val="00F740EE"/>
    <w:rsid w:val="00F74118"/>
    <w:rsid w:val="00F741E6"/>
    <w:rsid w:val="00F74350"/>
    <w:rsid w:val="00F743B7"/>
    <w:rsid w:val="00F743BF"/>
    <w:rsid w:val="00F743E6"/>
    <w:rsid w:val="00F744C0"/>
    <w:rsid w:val="00F74589"/>
    <w:rsid w:val="00F745FB"/>
    <w:rsid w:val="00F74637"/>
    <w:rsid w:val="00F7464B"/>
    <w:rsid w:val="00F74704"/>
    <w:rsid w:val="00F749C3"/>
    <w:rsid w:val="00F749E0"/>
    <w:rsid w:val="00F74A3B"/>
    <w:rsid w:val="00F74BE2"/>
    <w:rsid w:val="00F74CA7"/>
    <w:rsid w:val="00F74CBF"/>
    <w:rsid w:val="00F74CFA"/>
    <w:rsid w:val="00F74E2B"/>
    <w:rsid w:val="00F74F7B"/>
    <w:rsid w:val="00F7500A"/>
    <w:rsid w:val="00F75100"/>
    <w:rsid w:val="00F75259"/>
    <w:rsid w:val="00F7535F"/>
    <w:rsid w:val="00F755BD"/>
    <w:rsid w:val="00F7575E"/>
    <w:rsid w:val="00F757C2"/>
    <w:rsid w:val="00F757EF"/>
    <w:rsid w:val="00F7591F"/>
    <w:rsid w:val="00F75A5C"/>
    <w:rsid w:val="00F75AA1"/>
    <w:rsid w:val="00F75AD7"/>
    <w:rsid w:val="00F75B51"/>
    <w:rsid w:val="00F75D71"/>
    <w:rsid w:val="00F75DCD"/>
    <w:rsid w:val="00F75DD6"/>
    <w:rsid w:val="00F76052"/>
    <w:rsid w:val="00F76087"/>
    <w:rsid w:val="00F760B0"/>
    <w:rsid w:val="00F760E4"/>
    <w:rsid w:val="00F76139"/>
    <w:rsid w:val="00F762A7"/>
    <w:rsid w:val="00F762CE"/>
    <w:rsid w:val="00F762E2"/>
    <w:rsid w:val="00F762F9"/>
    <w:rsid w:val="00F76337"/>
    <w:rsid w:val="00F764A2"/>
    <w:rsid w:val="00F764F6"/>
    <w:rsid w:val="00F76650"/>
    <w:rsid w:val="00F7684A"/>
    <w:rsid w:val="00F76872"/>
    <w:rsid w:val="00F76A54"/>
    <w:rsid w:val="00F76B37"/>
    <w:rsid w:val="00F76D05"/>
    <w:rsid w:val="00F76D38"/>
    <w:rsid w:val="00F76D52"/>
    <w:rsid w:val="00F76D56"/>
    <w:rsid w:val="00F76D5D"/>
    <w:rsid w:val="00F76E29"/>
    <w:rsid w:val="00F76E6B"/>
    <w:rsid w:val="00F76ED1"/>
    <w:rsid w:val="00F76F4E"/>
    <w:rsid w:val="00F77033"/>
    <w:rsid w:val="00F77108"/>
    <w:rsid w:val="00F77128"/>
    <w:rsid w:val="00F7728D"/>
    <w:rsid w:val="00F77314"/>
    <w:rsid w:val="00F773AA"/>
    <w:rsid w:val="00F773AC"/>
    <w:rsid w:val="00F773D8"/>
    <w:rsid w:val="00F77537"/>
    <w:rsid w:val="00F77552"/>
    <w:rsid w:val="00F7759A"/>
    <w:rsid w:val="00F77620"/>
    <w:rsid w:val="00F7767F"/>
    <w:rsid w:val="00F77717"/>
    <w:rsid w:val="00F77744"/>
    <w:rsid w:val="00F77816"/>
    <w:rsid w:val="00F77839"/>
    <w:rsid w:val="00F7796D"/>
    <w:rsid w:val="00F779EB"/>
    <w:rsid w:val="00F77A6C"/>
    <w:rsid w:val="00F77B12"/>
    <w:rsid w:val="00F77B96"/>
    <w:rsid w:val="00F77C33"/>
    <w:rsid w:val="00F77D1F"/>
    <w:rsid w:val="00F77D21"/>
    <w:rsid w:val="00F77D24"/>
    <w:rsid w:val="00F77D43"/>
    <w:rsid w:val="00F77D85"/>
    <w:rsid w:val="00F77E41"/>
    <w:rsid w:val="00F800B2"/>
    <w:rsid w:val="00F800B8"/>
    <w:rsid w:val="00F80293"/>
    <w:rsid w:val="00F802F4"/>
    <w:rsid w:val="00F8085D"/>
    <w:rsid w:val="00F809D2"/>
    <w:rsid w:val="00F80C63"/>
    <w:rsid w:val="00F80D61"/>
    <w:rsid w:val="00F80D93"/>
    <w:rsid w:val="00F80DA0"/>
    <w:rsid w:val="00F80DBA"/>
    <w:rsid w:val="00F80FCD"/>
    <w:rsid w:val="00F80FD2"/>
    <w:rsid w:val="00F81038"/>
    <w:rsid w:val="00F813A0"/>
    <w:rsid w:val="00F815C5"/>
    <w:rsid w:val="00F815D9"/>
    <w:rsid w:val="00F81656"/>
    <w:rsid w:val="00F81764"/>
    <w:rsid w:val="00F819E6"/>
    <w:rsid w:val="00F81AF5"/>
    <w:rsid w:val="00F81C86"/>
    <w:rsid w:val="00F81C8B"/>
    <w:rsid w:val="00F81DA7"/>
    <w:rsid w:val="00F81DC4"/>
    <w:rsid w:val="00F81E97"/>
    <w:rsid w:val="00F81EE4"/>
    <w:rsid w:val="00F82001"/>
    <w:rsid w:val="00F82242"/>
    <w:rsid w:val="00F8224F"/>
    <w:rsid w:val="00F822A9"/>
    <w:rsid w:val="00F82345"/>
    <w:rsid w:val="00F82395"/>
    <w:rsid w:val="00F82428"/>
    <w:rsid w:val="00F824FE"/>
    <w:rsid w:val="00F8259A"/>
    <w:rsid w:val="00F825C5"/>
    <w:rsid w:val="00F8266C"/>
    <w:rsid w:val="00F82689"/>
    <w:rsid w:val="00F82710"/>
    <w:rsid w:val="00F8276F"/>
    <w:rsid w:val="00F8278F"/>
    <w:rsid w:val="00F82813"/>
    <w:rsid w:val="00F8282F"/>
    <w:rsid w:val="00F8284B"/>
    <w:rsid w:val="00F8291F"/>
    <w:rsid w:val="00F82BE9"/>
    <w:rsid w:val="00F82C1C"/>
    <w:rsid w:val="00F82CB3"/>
    <w:rsid w:val="00F82E33"/>
    <w:rsid w:val="00F82E39"/>
    <w:rsid w:val="00F82EC2"/>
    <w:rsid w:val="00F82F3E"/>
    <w:rsid w:val="00F82F52"/>
    <w:rsid w:val="00F82FFA"/>
    <w:rsid w:val="00F830B4"/>
    <w:rsid w:val="00F83127"/>
    <w:rsid w:val="00F83349"/>
    <w:rsid w:val="00F8339C"/>
    <w:rsid w:val="00F833C7"/>
    <w:rsid w:val="00F833D9"/>
    <w:rsid w:val="00F83409"/>
    <w:rsid w:val="00F8342A"/>
    <w:rsid w:val="00F83439"/>
    <w:rsid w:val="00F8348B"/>
    <w:rsid w:val="00F83500"/>
    <w:rsid w:val="00F83503"/>
    <w:rsid w:val="00F836D6"/>
    <w:rsid w:val="00F838F9"/>
    <w:rsid w:val="00F8399B"/>
    <w:rsid w:val="00F83B92"/>
    <w:rsid w:val="00F83CC6"/>
    <w:rsid w:val="00F83DAB"/>
    <w:rsid w:val="00F8413B"/>
    <w:rsid w:val="00F8414B"/>
    <w:rsid w:val="00F84235"/>
    <w:rsid w:val="00F843EE"/>
    <w:rsid w:val="00F8445F"/>
    <w:rsid w:val="00F84531"/>
    <w:rsid w:val="00F8482C"/>
    <w:rsid w:val="00F8486C"/>
    <w:rsid w:val="00F849C5"/>
    <w:rsid w:val="00F84A74"/>
    <w:rsid w:val="00F84C35"/>
    <w:rsid w:val="00F84CEC"/>
    <w:rsid w:val="00F84D8D"/>
    <w:rsid w:val="00F84EC7"/>
    <w:rsid w:val="00F84F52"/>
    <w:rsid w:val="00F8508A"/>
    <w:rsid w:val="00F850E4"/>
    <w:rsid w:val="00F850F5"/>
    <w:rsid w:val="00F851F4"/>
    <w:rsid w:val="00F85233"/>
    <w:rsid w:val="00F8542F"/>
    <w:rsid w:val="00F85491"/>
    <w:rsid w:val="00F8567F"/>
    <w:rsid w:val="00F8570B"/>
    <w:rsid w:val="00F85AA0"/>
    <w:rsid w:val="00F85B3A"/>
    <w:rsid w:val="00F85D6B"/>
    <w:rsid w:val="00F85E2D"/>
    <w:rsid w:val="00F85F1E"/>
    <w:rsid w:val="00F85F76"/>
    <w:rsid w:val="00F85F91"/>
    <w:rsid w:val="00F86154"/>
    <w:rsid w:val="00F86233"/>
    <w:rsid w:val="00F86256"/>
    <w:rsid w:val="00F862BF"/>
    <w:rsid w:val="00F863ED"/>
    <w:rsid w:val="00F86479"/>
    <w:rsid w:val="00F864DF"/>
    <w:rsid w:val="00F865D2"/>
    <w:rsid w:val="00F865E5"/>
    <w:rsid w:val="00F86833"/>
    <w:rsid w:val="00F86845"/>
    <w:rsid w:val="00F86A2C"/>
    <w:rsid w:val="00F86A4D"/>
    <w:rsid w:val="00F86AFF"/>
    <w:rsid w:val="00F86C18"/>
    <w:rsid w:val="00F86C87"/>
    <w:rsid w:val="00F86DA0"/>
    <w:rsid w:val="00F86ED1"/>
    <w:rsid w:val="00F86EDC"/>
    <w:rsid w:val="00F86FAA"/>
    <w:rsid w:val="00F86FBB"/>
    <w:rsid w:val="00F86FFE"/>
    <w:rsid w:val="00F871A2"/>
    <w:rsid w:val="00F8734D"/>
    <w:rsid w:val="00F8736B"/>
    <w:rsid w:val="00F87384"/>
    <w:rsid w:val="00F87468"/>
    <w:rsid w:val="00F8746F"/>
    <w:rsid w:val="00F87496"/>
    <w:rsid w:val="00F87622"/>
    <w:rsid w:val="00F876FB"/>
    <w:rsid w:val="00F87796"/>
    <w:rsid w:val="00F877B6"/>
    <w:rsid w:val="00F8789E"/>
    <w:rsid w:val="00F87962"/>
    <w:rsid w:val="00F87AB2"/>
    <w:rsid w:val="00F87AE0"/>
    <w:rsid w:val="00F87B71"/>
    <w:rsid w:val="00F87B9F"/>
    <w:rsid w:val="00F87E1D"/>
    <w:rsid w:val="00F901B9"/>
    <w:rsid w:val="00F901C5"/>
    <w:rsid w:val="00F90389"/>
    <w:rsid w:val="00F903EA"/>
    <w:rsid w:val="00F90455"/>
    <w:rsid w:val="00F9046C"/>
    <w:rsid w:val="00F9047F"/>
    <w:rsid w:val="00F90522"/>
    <w:rsid w:val="00F905C6"/>
    <w:rsid w:val="00F90623"/>
    <w:rsid w:val="00F9070C"/>
    <w:rsid w:val="00F908BD"/>
    <w:rsid w:val="00F90985"/>
    <w:rsid w:val="00F909A6"/>
    <w:rsid w:val="00F90AE9"/>
    <w:rsid w:val="00F90C0C"/>
    <w:rsid w:val="00F90E15"/>
    <w:rsid w:val="00F90E74"/>
    <w:rsid w:val="00F90E9A"/>
    <w:rsid w:val="00F91037"/>
    <w:rsid w:val="00F911EF"/>
    <w:rsid w:val="00F912FD"/>
    <w:rsid w:val="00F912FF"/>
    <w:rsid w:val="00F91407"/>
    <w:rsid w:val="00F91518"/>
    <w:rsid w:val="00F91535"/>
    <w:rsid w:val="00F9154C"/>
    <w:rsid w:val="00F9158B"/>
    <w:rsid w:val="00F916D5"/>
    <w:rsid w:val="00F918C0"/>
    <w:rsid w:val="00F91977"/>
    <w:rsid w:val="00F91C7A"/>
    <w:rsid w:val="00F91C8B"/>
    <w:rsid w:val="00F91D39"/>
    <w:rsid w:val="00F91DD1"/>
    <w:rsid w:val="00F91E55"/>
    <w:rsid w:val="00F91E5C"/>
    <w:rsid w:val="00F9203C"/>
    <w:rsid w:val="00F9210C"/>
    <w:rsid w:val="00F92154"/>
    <w:rsid w:val="00F9215E"/>
    <w:rsid w:val="00F92321"/>
    <w:rsid w:val="00F923C5"/>
    <w:rsid w:val="00F92415"/>
    <w:rsid w:val="00F924D1"/>
    <w:rsid w:val="00F924F7"/>
    <w:rsid w:val="00F92528"/>
    <w:rsid w:val="00F9252B"/>
    <w:rsid w:val="00F9271B"/>
    <w:rsid w:val="00F92754"/>
    <w:rsid w:val="00F9281A"/>
    <w:rsid w:val="00F9281E"/>
    <w:rsid w:val="00F92836"/>
    <w:rsid w:val="00F92891"/>
    <w:rsid w:val="00F928D3"/>
    <w:rsid w:val="00F92A19"/>
    <w:rsid w:val="00F92A1E"/>
    <w:rsid w:val="00F92ADE"/>
    <w:rsid w:val="00F92B15"/>
    <w:rsid w:val="00F92CBA"/>
    <w:rsid w:val="00F92ECE"/>
    <w:rsid w:val="00F92ED7"/>
    <w:rsid w:val="00F92FD2"/>
    <w:rsid w:val="00F92FEB"/>
    <w:rsid w:val="00F93010"/>
    <w:rsid w:val="00F93025"/>
    <w:rsid w:val="00F932AB"/>
    <w:rsid w:val="00F93364"/>
    <w:rsid w:val="00F9338E"/>
    <w:rsid w:val="00F933BB"/>
    <w:rsid w:val="00F9358C"/>
    <w:rsid w:val="00F935DF"/>
    <w:rsid w:val="00F93726"/>
    <w:rsid w:val="00F937C3"/>
    <w:rsid w:val="00F93973"/>
    <w:rsid w:val="00F9399A"/>
    <w:rsid w:val="00F93ABE"/>
    <w:rsid w:val="00F93C12"/>
    <w:rsid w:val="00F93C9D"/>
    <w:rsid w:val="00F93CC4"/>
    <w:rsid w:val="00F9415F"/>
    <w:rsid w:val="00F94360"/>
    <w:rsid w:val="00F943DE"/>
    <w:rsid w:val="00F945A6"/>
    <w:rsid w:val="00F945F1"/>
    <w:rsid w:val="00F94650"/>
    <w:rsid w:val="00F94674"/>
    <w:rsid w:val="00F94843"/>
    <w:rsid w:val="00F9487C"/>
    <w:rsid w:val="00F948B0"/>
    <w:rsid w:val="00F948E0"/>
    <w:rsid w:val="00F949D2"/>
    <w:rsid w:val="00F949E2"/>
    <w:rsid w:val="00F94A7C"/>
    <w:rsid w:val="00F94AAF"/>
    <w:rsid w:val="00F94B4C"/>
    <w:rsid w:val="00F94B86"/>
    <w:rsid w:val="00F94C63"/>
    <w:rsid w:val="00F94CE7"/>
    <w:rsid w:val="00F94D4E"/>
    <w:rsid w:val="00F94E93"/>
    <w:rsid w:val="00F94EC0"/>
    <w:rsid w:val="00F94FF6"/>
    <w:rsid w:val="00F95098"/>
    <w:rsid w:val="00F950B8"/>
    <w:rsid w:val="00F95111"/>
    <w:rsid w:val="00F95312"/>
    <w:rsid w:val="00F954CB"/>
    <w:rsid w:val="00F954DC"/>
    <w:rsid w:val="00F955A3"/>
    <w:rsid w:val="00F95A43"/>
    <w:rsid w:val="00F95A68"/>
    <w:rsid w:val="00F95A72"/>
    <w:rsid w:val="00F95B24"/>
    <w:rsid w:val="00F95B2C"/>
    <w:rsid w:val="00F95BF1"/>
    <w:rsid w:val="00F95C35"/>
    <w:rsid w:val="00F95D11"/>
    <w:rsid w:val="00F95D1C"/>
    <w:rsid w:val="00F95D3D"/>
    <w:rsid w:val="00F95D8C"/>
    <w:rsid w:val="00F95DCF"/>
    <w:rsid w:val="00F95E63"/>
    <w:rsid w:val="00F960BB"/>
    <w:rsid w:val="00F96209"/>
    <w:rsid w:val="00F96244"/>
    <w:rsid w:val="00F962D9"/>
    <w:rsid w:val="00F963B3"/>
    <w:rsid w:val="00F96405"/>
    <w:rsid w:val="00F9648A"/>
    <w:rsid w:val="00F964FB"/>
    <w:rsid w:val="00F96530"/>
    <w:rsid w:val="00F96557"/>
    <w:rsid w:val="00F96663"/>
    <w:rsid w:val="00F966DE"/>
    <w:rsid w:val="00F966DF"/>
    <w:rsid w:val="00F96756"/>
    <w:rsid w:val="00F9676C"/>
    <w:rsid w:val="00F9687B"/>
    <w:rsid w:val="00F96942"/>
    <w:rsid w:val="00F96A7B"/>
    <w:rsid w:val="00F96CA6"/>
    <w:rsid w:val="00F96CAE"/>
    <w:rsid w:val="00F96D17"/>
    <w:rsid w:val="00F96DA3"/>
    <w:rsid w:val="00F96DB1"/>
    <w:rsid w:val="00F96DDD"/>
    <w:rsid w:val="00F96E6E"/>
    <w:rsid w:val="00F96F2D"/>
    <w:rsid w:val="00F970DD"/>
    <w:rsid w:val="00F970EF"/>
    <w:rsid w:val="00F97111"/>
    <w:rsid w:val="00F971CE"/>
    <w:rsid w:val="00F97379"/>
    <w:rsid w:val="00F974BE"/>
    <w:rsid w:val="00F974D4"/>
    <w:rsid w:val="00F97512"/>
    <w:rsid w:val="00F975D3"/>
    <w:rsid w:val="00F97784"/>
    <w:rsid w:val="00F97839"/>
    <w:rsid w:val="00F97885"/>
    <w:rsid w:val="00F978BF"/>
    <w:rsid w:val="00F978FD"/>
    <w:rsid w:val="00F97A38"/>
    <w:rsid w:val="00F97A59"/>
    <w:rsid w:val="00F97BA8"/>
    <w:rsid w:val="00F97D73"/>
    <w:rsid w:val="00F97DA5"/>
    <w:rsid w:val="00F97F08"/>
    <w:rsid w:val="00FA0025"/>
    <w:rsid w:val="00FA00E9"/>
    <w:rsid w:val="00FA00F8"/>
    <w:rsid w:val="00FA0115"/>
    <w:rsid w:val="00FA020D"/>
    <w:rsid w:val="00FA048D"/>
    <w:rsid w:val="00FA04FE"/>
    <w:rsid w:val="00FA073F"/>
    <w:rsid w:val="00FA07E1"/>
    <w:rsid w:val="00FA0854"/>
    <w:rsid w:val="00FA09C4"/>
    <w:rsid w:val="00FA0B02"/>
    <w:rsid w:val="00FA0B8E"/>
    <w:rsid w:val="00FA0BAD"/>
    <w:rsid w:val="00FA0BC0"/>
    <w:rsid w:val="00FA0BC5"/>
    <w:rsid w:val="00FA0BCD"/>
    <w:rsid w:val="00FA0C09"/>
    <w:rsid w:val="00FA0CB8"/>
    <w:rsid w:val="00FA0CDC"/>
    <w:rsid w:val="00FA0D82"/>
    <w:rsid w:val="00FA0E4C"/>
    <w:rsid w:val="00FA0E69"/>
    <w:rsid w:val="00FA0F99"/>
    <w:rsid w:val="00FA0FBB"/>
    <w:rsid w:val="00FA1041"/>
    <w:rsid w:val="00FA10D7"/>
    <w:rsid w:val="00FA120C"/>
    <w:rsid w:val="00FA125D"/>
    <w:rsid w:val="00FA1666"/>
    <w:rsid w:val="00FA16FE"/>
    <w:rsid w:val="00FA1777"/>
    <w:rsid w:val="00FA17DD"/>
    <w:rsid w:val="00FA18FD"/>
    <w:rsid w:val="00FA1919"/>
    <w:rsid w:val="00FA1945"/>
    <w:rsid w:val="00FA1971"/>
    <w:rsid w:val="00FA19DC"/>
    <w:rsid w:val="00FA1A94"/>
    <w:rsid w:val="00FA1C52"/>
    <w:rsid w:val="00FA1CA3"/>
    <w:rsid w:val="00FA1E54"/>
    <w:rsid w:val="00FA2009"/>
    <w:rsid w:val="00FA201F"/>
    <w:rsid w:val="00FA23D2"/>
    <w:rsid w:val="00FA2425"/>
    <w:rsid w:val="00FA2510"/>
    <w:rsid w:val="00FA2560"/>
    <w:rsid w:val="00FA261F"/>
    <w:rsid w:val="00FA283C"/>
    <w:rsid w:val="00FA28BB"/>
    <w:rsid w:val="00FA2CBD"/>
    <w:rsid w:val="00FA2CC5"/>
    <w:rsid w:val="00FA2CE9"/>
    <w:rsid w:val="00FA2D9A"/>
    <w:rsid w:val="00FA2DE3"/>
    <w:rsid w:val="00FA2E25"/>
    <w:rsid w:val="00FA3020"/>
    <w:rsid w:val="00FA303A"/>
    <w:rsid w:val="00FA309D"/>
    <w:rsid w:val="00FA31EB"/>
    <w:rsid w:val="00FA31F0"/>
    <w:rsid w:val="00FA31FC"/>
    <w:rsid w:val="00FA3256"/>
    <w:rsid w:val="00FA340A"/>
    <w:rsid w:val="00FA34EE"/>
    <w:rsid w:val="00FA357A"/>
    <w:rsid w:val="00FA35C0"/>
    <w:rsid w:val="00FA3620"/>
    <w:rsid w:val="00FA376D"/>
    <w:rsid w:val="00FA3883"/>
    <w:rsid w:val="00FA394E"/>
    <w:rsid w:val="00FA3991"/>
    <w:rsid w:val="00FA3A06"/>
    <w:rsid w:val="00FA3C7D"/>
    <w:rsid w:val="00FA3C94"/>
    <w:rsid w:val="00FA3D1B"/>
    <w:rsid w:val="00FA3DDE"/>
    <w:rsid w:val="00FA3DE0"/>
    <w:rsid w:val="00FA3E62"/>
    <w:rsid w:val="00FA3E74"/>
    <w:rsid w:val="00FA3F43"/>
    <w:rsid w:val="00FA3FB4"/>
    <w:rsid w:val="00FA3FF2"/>
    <w:rsid w:val="00FA40A7"/>
    <w:rsid w:val="00FA4121"/>
    <w:rsid w:val="00FA4142"/>
    <w:rsid w:val="00FA4241"/>
    <w:rsid w:val="00FA42E0"/>
    <w:rsid w:val="00FA4454"/>
    <w:rsid w:val="00FA4691"/>
    <w:rsid w:val="00FA46E4"/>
    <w:rsid w:val="00FA479A"/>
    <w:rsid w:val="00FA4819"/>
    <w:rsid w:val="00FA4824"/>
    <w:rsid w:val="00FA4CF9"/>
    <w:rsid w:val="00FA4E33"/>
    <w:rsid w:val="00FA4EFA"/>
    <w:rsid w:val="00FA4F37"/>
    <w:rsid w:val="00FA4F70"/>
    <w:rsid w:val="00FA4FDE"/>
    <w:rsid w:val="00FA507B"/>
    <w:rsid w:val="00FA509D"/>
    <w:rsid w:val="00FA519B"/>
    <w:rsid w:val="00FA529E"/>
    <w:rsid w:val="00FA53F9"/>
    <w:rsid w:val="00FA540D"/>
    <w:rsid w:val="00FA54A4"/>
    <w:rsid w:val="00FA552B"/>
    <w:rsid w:val="00FA568A"/>
    <w:rsid w:val="00FA56CD"/>
    <w:rsid w:val="00FA56FD"/>
    <w:rsid w:val="00FA581F"/>
    <w:rsid w:val="00FA5943"/>
    <w:rsid w:val="00FA599C"/>
    <w:rsid w:val="00FA5A4F"/>
    <w:rsid w:val="00FA5B38"/>
    <w:rsid w:val="00FA5BD2"/>
    <w:rsid w:val="00FA5C22"/>
    <w:rsid w:val="00FA5C2B"/>
    <w:rsid w:val="00FA5D46"/>
    <w:rsid w:val="00FA5D50"/>
    <w:rsid w:val="00FA5D6F"/>
    <w:rsid w:val="00FA5DF3"/>
    <w:rsid w:val="00FA5ED6"/>
    <w:rsid w:val="00FA5F66"/>
    <w:rsid w:val="00FA5FD3"/>
    <w:rsid w:val="00FA5FEE"/>
    <w:rsid w:val="00FA606E"/>
    <w:rsid w:val="00FA6072"/>
    <w:rsid w:val="00FA6097"/>
    <w:rsid w:val="00FA60A7"/>
    <w:rsid w:val="00FA61D4"/>
    <w:rsid w:val="00FA61EB"/>
    <w:rsid w:val="00FA631D"/>
    <w:rsid w:val="00FA63B9"/>
    <w:rsid w:val="00FA63DE"/>
    <w:rsid w:val="00FA64C2"/>
    <w:rsid w:val="00FA65DE"/>
    <w:rsid w:val="00FA676C"/>
    <w:rsid w:val="00FA67FB"/>
    <w:rsid w:val="00FA6AF5"/>
    <w:rsid w:val="00FA6B2C"/>
    <w:rsid w:val="00FA6C2B"/>
    <w:rsid w:val="00FA6C48"/>
    <w:rsid w:val="00FA6C71"/>
    <w:rsid w:val="00FA70EA"/>
    <w:rsid w:val="00FA711E"/>
    <w:rsid w:val="00FA718B"/>
    <w:rsid w:val="00FA729B"/>
    <w:rsid w:val="00FA734F"/>
    <w:rsid w:val="00FA74E2"/>
    <w:rsid w:val="00FA7752"/>
    <w:rsid w:val="00FA7754"/>
    <w:rsid w:val="00FA77BF"/>
    <w:rsid w:val="00FA7830"/>
    <w:rsid w:val="00FA7954"/>
    <w:rsid w:val="00FA79CD"/>
    <w:rsid w:val="00FA7B09"/>
    <w:rsid w:val="00FA7C20"/>
    <w:rsid w:val="00FA7C45"/>
    <w:rsid w:val="00FA7DA9"/>
    <w:rsid w:val="00FA7DAE"/>
    <w:rsid w:val="00FA7DF5"/>
    <w:rsid w:val="00FA7E46"/>
    <w:rsid w:val="00FA7E61"/>
    <w:rsid w:val="00FA7EF5"/>
    <w:rsid w:val="00FA7F77"/>
    <w:rsid w:val="00FB0046"/>
    <w:rsid w:val="00FB004D"/>
    <w:rsid w:val="00FB0211"/>
    <w:rsid w:val="00FB04A3"/>
    <w:rsid w:val="00FB0616"/>
    <w:rsid w:val="00FB0639"/>
    <w:rsid w:val="00FB0668"/>
    <w:rsid w:val="00FB0743"/>
    <w:rsid w:val="00FB074A"/>
    <w:rsid w:val="00FB09A3"/>
    <w:rsid w:val="00FB0A84"/>
    <w:rsid w:val="00FB0B5B"/>
    <w:rsid w:val="00FB0CA6"/>
    <w:rsid w:val="00FB0CC1"/>
    <w:rsid w:val="00FB0E22"/>
    <w:rsid w:val="00FB0E78"/>
    <w:rsid w:val="00FB0EBA"/>
    <w:rsid w:val="00FB0ED6"/>
    <w:rsid w:val="00FB1049"/>
    <w:rsid w:val="00FB11C2"/>
    <w:rsid w:val="00FB1276"/>
    <w:rsid w:val="00FB13C7"/>
    <w:rsid w:val="00FB13D5"/>
    <w:rsid w:val="00FB168B"/>
    <w:rsid w:val="00FB176C"/>
    <w:rsid w:val="00FB17F2"/>
    <w:rsid w:val="00FB1981"/>
    <w:rsid w:val="00FB1A00"/>
    <w:rsid w:val="00FB1A28"/>
    <w:rsid w:val="00FB1B23"/>
    <w:rsid w:val="00FB1B41"/>
    <w:rsid w:val="00FB1B49"/>
    <w:rsid w:val="00FB1BCA"/>
    <w:rsid w:val="00FB1C1F"/>
    <w:rsid w:val="00FB1CA3"/>
    <w:rsid w:val="00FB1CE5"/>
    <w:rsid w:val="00FB1DB5"/>
    <w:rsid w:val="00FB1E89"/>
    <w:rsid w:val="00FB1ED8"/>
    <w:rsid w:val="00FB1F1D"/>
    <w:rsid w:val="00FB1F80"/>
    <w:rsid w:val="00FB1FD2"/>
    <w:rsid w:val="00FB1FD7"/>
    <w:rsid w:val="00FB1FFE"/>
    <w:rsid w:val="00FB2017"/>
    <w:rsid w:val="00FB212A"/>
    <w:rsid w:val="00FB2207"/>
    <w:rsid w:val="00FB2312"/>
    <w:rsid w:val="00FB2318"/>
    <w:rsid w:val="00FB2423"/>
    <w:rsid w:val="00FB24D0"/>
    <w:rsid w:val="00FB24F8"/>
    <w:rsid w:val="00FB2536"/>
    <w:rsid w:val="00FB2634"/>
    <w:rsid w:val="00FB26CF"/>
    <w:rsid w:val="00FB27AE"/>
    <w:rsid w:val="00FB282D"/>
    <w:rsid w:val="00FB285B"/>
    <w:rsid w:val="00FB2886"/>
    <w:rsid w:val="00FB2AEC"/>
    <w:rsid w:val="00FB2C5F"/>
    <w:rsid w:val="00FB2CBA"/>
    <w:rsid w:val="00FB2E5B"/>
    <w:rsid w:val="00FB2FE7"/>
    <w:rsid w:val="00FB3147"/>
    <w:rsid w:val="00FB32AD"/>
    <w:rsid w:val="00FB33C6"/>
    <w:rsid w:val="00FB3546"/>
    <w:rsid w:val="00FB362D"/>
    <w:rsid w:val="00FB36BE"/>
    <w:rsid w:val="00FB3708"/>
    <w:rsid w:val="00FB3875"/>
    <w:rsid w:val="00FB3A4D"/>
    <w:rsid w:val="00FB3A8C"/>
    <w:rsid w:val="00FB3B33"/>
    <w:rsid w:val="00FB3B67"/>
    <w:rsid w:val="00FB3B88"/>
    <w:rsid w:val="00FB3BC5"/>
    <w:rsid w:val="00FB3C56"/>
    <w:rsid w:val="00FB3CB0"/>
    <w:rsid w:val="00FB3DA4"/>
    <w:rsid w:val="00FB3EEF"/>
    <w:rsid w:val="00FB4080"/>
    <w:rsid w:val="00FB40A3"/>
    <w:rsid w:val="00FB40BA"/>
    <w:rsid w:val="00FB42F8"/>
    <w:rsid w:val="00FB4373"/>
    <w:rsid w:val="00FB456C"/>
    <w:rsid w:val="00FB472A"/>
    <w:rsid w:val="00FB4748"/>
    <w:rsid w:val="00FB4805"/>
    <w:rsid w:val="00FB48C2"/>
    <w:rsid w:val="00FB490B"/>
    <w:rsid w:val="00FB4A29"/>
    <w:rsid w:val="00FB4BD0"/>
    <w:rsid w:val="00FB4D77"/>
    <w:rsid w:val="00FB4DD5"/>
    <w:rsid w:val="00FB4F5B"/>
    <w:rsid w:val="00FB50B4"/>
    <w:rsid w:val="00FB5107"/>
    <w:rsid w:val="00FB5125"/>
    <w:rsid w:val="00FB5205"/>
    <w:rsid w:val="00FB5259"/>
    <w:rsid w:val="00FB52D8"/>
    <w:rsid w:val="00FB5428"/>
    <w:rsid w:val="00FB544A"/>
    <w:rsid w:val="00FB54EB"/>
    <w:rsid w:val="00FB551D"/>
    <w:rsid w:val="00FB5774"/>
    <w:rsid w:val="00FB5792"/>
    <w:rsid w:val="00FB5817"/>
    <w:rsid w:val="00FB589C"/>
    <w:rsid w:val="00FB598F"/>
    <w:rsid w:val="00FB59E1"/>
    <w:rsid w:val="00FB59EF"/>
    <w:rsid w:val="00FB5B64"/>
    <w:rsid w:val="00FB5C08"/>
    <w:rsid w:val="00FB5CA5"/>
    <w:rsid w:val="00FB5CC1"/>
    <w:rsid w:val="00FB5D71"/>
    <w:rsid w:val="00FB5D92"/>
    <w:rsid w:val="00FB5DA7"/>
    <w:rsid w:val="00FB5F92"/>
    <w:rsid w:val="00FB5FB1"/>
    <w:rsid w:val="00FB5FB5"/>
    <w:rsid w:val="00FB5FE2"/>
    <w:rsid w:val="00FB6073"/>
    <w:rsid w:val="00FB6140"/>
    <w:rsid w:val="00FB617E"/>
    <w:rsid w:val="00FB6203"/>
    <w:rsid w:val="00FB627C"/>
    <w:rsid w:val="00FB62BD"/>
    <w:rsid w:val="00FB6489"/>
    <w:rsid w:val="00FB654E"/>
    <w:rsid w:val="00FB668D"/>
    <w:rsid w:val="00FB66E6"/>
    <w:rsid w:val="00FB6742"/>
    <w:rsid w:val="00FB67CE"/>
    <w:rsid w:val="00FB68CD"/>
    <w:rsid w:val="00FB68EC"/>
    <w:rsid w:val="00FB6955"/>
    <w:rsid w:val="00FB69DE"/>
    <w:rsid w:val="00FB6A89"/>
    <w:rsid w:val="00FB6CB3"/>
    <w:rsid w:val="00FB6D1B"/>
    <w:rsid w:val="00FB6E7B"/>
    <w:rsid w:val="00FB6ED9"/>
    <w:rsid w:val="00FB6F8F"/>
    <w:rsid w:val="00FB6FD9"/>
    <w:rsid w:val="00FB7040"/>
    <w:rsid w:val="00FB70F3"/>
    <w:rsid w:val="00FB72CA"/>
    <w:rsid w:val="00FB738F"/>
    <w:rsid w:val="00FB73B5"/>
    <w:rsid w:val="00FB749D"/>
    <w:rsid w:val="00FB74C9"/>
    <w:rsid w:val="00FB7512"/>
    <w:rsid w:val="00FB754A"/>
    <w:rsid w:val="00FB762B"/>
    <w:rsid w:val="00FB762D"/>
    <w:rsid w:val="00FB7669"/>
    <w:rsid w:val="00FB7698"/>
    <w:rsid w:val="00FB780A"/>
    <w:rsid w:val="00FB7A33"/>
    <w:rsid w:val="00FB7A4B"/>
    <w:rsid w:val="00FB7A96"/>
    <w:rsid w:val="00FB7AB3"/>
    <w:rsid w:val="00FB7AB9"/>
    <w:rsid w:val="00FB7B7F"/>
    <w:rsid w:val="00FB7BE2"/>
    <w:rsid w:val="00FB7C17"/>
    <w:rsid w:val="00FB7CE9"/>
    <w:rsid w:val="00FB7D1F"/>
    <w:rsid w:val="00FB7E19"/>
    <w:rsid w:val="00FB7E4D"/>
    <w:rsid w:val="00FB7F9C"/>
    <w:rsid w:val="00FB7FA7"/>
    <w:rsid w:val="00FB7FB6"/>
    <w:rsid w:val="00FB7FCB"/>
    <w:rsid w:val="00FC0045"/>
    <w:rsid w:val="00FC0046"/>
    <w:rsid w:val="00FC0112"/>
    <w:rsid w:val="00FC0138"/>
    <w:rsid w:val="00FC01A7"/>
    <w:rsid w:val="00FC02BD"/>
    <w:rsid w:val="00FC02DC"/>
    <w:rsid w:val="00FC0344"/>
    <w:rsid w:val="00FC0400"/>
    <w:rsid w:val="00FC040D"/>
    <w:rsid w:val="00FC0609"/>
    <w:rsid w:val="00FC0612"/>
    <w:rsid w:val="00FC0672"/>
    <w:rsid w:val="00FC0705"/>
    <w:rsid w:val="00FC0724"/>
    <w:rsid w:val="00FC07AE"/>
    <w:rsid w:val="00FC0831"/>
    <w:rsid w:val="00FC0A05"/>
    <w:rsid w:val="00FC0A83"/>
    <w:rsid w:val="00FC0B63"/>
    <w:rsid w:val="00FC0B70"/>
    <w:rsid w:val="00FC0BDF"/>
    <w:rsid w:val="00FC0E05"/>
    <w:rsid w:val="00FC0EA2"/>
    <w:rsid w:val="00FC0F77"/>
    <w:rsid w:val="00FC1001"/>
    <w:rsid w:val="00FC1055"/>
    <w:rsid w:val="00FC1114"/>
    <w:rsid w:val="00FC11D1"/>
    <w:rsid w:val="00FC11F3"/>
    <w:rsid w:val="00FC125B"/>
    <w:rsid w:val="00FC1281"/>
    <w:rsid w:val="00FC13BE"/>
    <w:rsid w:val="00FC14BE"/>
    <w:rsid w:val="00FC176E"/>
    <w:rsid w:val="00FC1B12"/>
    <w:rsid w:val="00FC1C19"/>
    <w:rsid w:val="00FC1CA6"/>
    <w:rsid w:val="00FC1E0A"/>
    <w:rsid w:val="00FC2052"/>
    <w:rsid w:val="00FC2105"/>
    <w:rsid w:val="00FC214C"/>
    <w:rsid w:val="00FC2188"/>
    <w:rsid w:val="00FC22E7"/>
    <w:rsid w:val="00FC233C"/>
    <w:rsid w:val="00FC236D"/>
    <w:rsid w:val="00FC238B"/>
    <w:rsid w:val="00FC257D"/>
    <w:rsid w:val="00FC25A6"/>
    <w:rsid w:val="00FC261A"/>
    <w:rsid w:val="00FC261F"/>
    <w:rsid w:val="00FC271B"/>
    <w:rsid w:val="00FC2751"/>
    <w:rsid w:val="00FC2893"/>
    <w:rsid w:val="00FC28A3"/>
    <w:rsid w:val="00FC29D0"/>
    <w:rsid w:val="00FC2B59"/>
    <w:rsid w:val="00FC2BD3"/>
    <w:rsid w:val="00FC2C87"/>
    <w:rsid w:val="00FC2DF5"/>
    <w:rsid w:val="00FC2E37"/>
    <w:rsid w:val="00FC2F1D"/>
    <w:rsid w:val="00FC302F"/>
    <w:rsid w:val="00FC306F"/>
    <w:rsid w:val="00FC3293"/>
    <w:rsid w:val="00FC32C2"/>
    <w:rsid w:val="00FC3309"/>
    <w:rsid w:val="00FC33FE"/>
    <w:rsid w:val="00FC344A"/>
    <w:rsid w:val="00FC353C"/>
    <w:rsid w:val="00FC354F"/>
    <w:rsid w:val="00FC35E2"/>
    <w:rsid w:val="00FC36A7"/>
    <w:rsid w:val="00FC37D3"/>
    <w:rsid w:val="00FC38F6"/>
    <w:rsid w:val="00FC3B38"/>
    <w:rsid w:val="00FC3C58"/>
    <w:rsid w:val="00FC3CAB"/>
    <w:rsid w:val="00FC3D44"/>
    <w:rsid w:val="00FC3F76"/>
    <w:rsid w:val="00FC3F7D"/>
    <w:rsid w:val="00FC3F93"/>
    <w:rsid w:val="00FC4025"/>
    <w:rsid w:val="00FC4145"/>
    <w:rsid w:val="00FC42D1"/>
    <w:rsid w:val="00FC4530"/>
    <w:rsid w:val="00FC46B2"/>
    <w:rsid w:val="00FC46D1"/>
    <w:rsid w:val="00FC470D"/>
    <w:rsid w:val="00FC473C"/>
    <w:rsid w:val="00FC4915"/>
    <w:rsid w:val="00FC49AD"/>
    <w:rsid w:val="00FC49F0"/>
    <w:rsid w:val="00FC4AB0"/>
    <w:rsid w:val="00FC4AF1"/>
    <w:rsid w:val="00FC4C5F"/>
    <w:rsid w:val="00FC4D51"/>
    <w:rsid w:val="00FC4E19"/>
    <w:rsid w:val="00FC4E23"/>
    <w:rsid w:val="00FC4EC6"/>
    <w:rsid w:val="00FC4FC8"/>
    <w:rsid w:val="00FC4FCE"/>
    <w:rsid w:val="00FC4FE4"/>
    <w:rsid w:val="00FC511C"/>
    <w:rsid w:val="00FC529D"/>
    <w:rsid w:val="00FC52C3"/>
    <w:rsid w:val="00FC52E1"/>
    <w:rsid w:val="00FC5373"/>
    <w:rsid w:val="00FC53F7"/>
    <w:rsid w:val="00FC5450"/>
    <w:rsid w:val="00FC54BE"/>
    <w:rsid w:val="00FC5635"/>
    <w:rsid w:val="00FC56F1"/>
    <w:rsid w:val="00FC5758"/>
    <w:rsid w:val="00FC576A"/>
    <w:rsid w:val="00FC59C2"/>
    <w:rsid w:val="00FC5A03"/>
    <w:rsid w:val="00FC5AFA"/>
    <w:rsid w:val="00FC5C09"/>
    <w:rsid w:val="00FC5CD2"/>
    <w:rsid w:val="00FC5E2E"/>
    <w:rsid w:val="00FC5E9B"/>
    <w:rsid w:val="00FC5EA0"/>
    <w:rsid w:val="00FC60D6"/>
    <w:rsid w:val="00FC6168"/>
    <w:rsid w:val="00FC6239"/>
    <w:rsid w:val="00FC6251"/>
    <w:rsid w:val="00FC6350"/>
    <w:rsid w:val="00FC63F4"/>
    <w:rsid w:val="00FC649A"/>
    <w:rsid w:val="00FC64DE"/>
    <w:rsid w:val="00FC64FC"/>
    <w:rsid w:val="00FC6527"/>
    <w:rsid w:val="00FC657C"/>
    <w:rsid w:val="00FC65DE"/>
    <w:rsid w:val="00FC6716"/>
    <w:rsid w:val="00FC6778"/>
    <w:rsid w:val="00FC679B"/>
    <w:rsid w:val="00FC6965"/>
    <w:rsid w:val="00FC6B23"/>
    <w:rsid w:val="00FC6BE3"/>
    <w:rsid w:val="00FC6C62"/>
    <w:rsid w:val="00FC6DCF"/>
    <w:rsid w:val="00FC6E63"/>
    <w:rsid w:val="00FC6FE8"/>
    <w:rsid w:val="00FC702A"/>
    <w:rsid w:val="00FC71F0"/>
    <w:rsid w:val="00FC731C"/>
    <w:rsid w:val="00FC7353"/>
    <w:rsid w:val="00FC7588"/>
    <w:rsid w:val="00FC75DA"/>
    <w:rsid w:val="00FC765D"/>
    <w:rsid w:val="00FC76D5"/>
    <w:rsid w:val="00FC777B"/>
    <w:rsid w:val="00FC7808"/>
    <w:rsid w:val="00FC780E"/>
    <w:rsid w:val="00FC784F"/>
    <w:rsid w:val="00FC7910"/>
    <w:rsid w:val="00FC79C0"/>
    <w:rsid w:val="00FC7A89"/>
    <w:rsid w:val="00FC7B85"/>
    <w:rsid w:val="00FC7CDD"/>
    <w:rsid w:val="00FC7D99"/>
    <w:rsid w:val="00FC7E6E"/>
    <w:rsid w:val="00FC7E94"/>
    <w:rsid w:val="00FC7FA0"/>
    <w:rsid w:val="00FD006F"/>
    <w:rsid w:val="00FD00BE"/>
    <w:rsid w:val="00FD0125"/>
    <w:rsid w:val="00FD013D"/>
    <w:rsid w:val="00FD03C5"/>
    <w:rsid w:val="00FD0431"/>
    <w:rsid w:val="00FD048D"/>
    <w:rsid w:val="00FD0607"/>
    <w:rsid w:val="00FD0689"/>
    <w:rsid w:val="00FD080B"/>
    <w:rsid w:val="00FD08F6"/>
    <w:rsid w:val="00FD0969"/>
    <w:rsid w:val="00FD0B5D"/>
    <w:rsid w:val="00FD0C70"/>
    <w:rsid w:val="00FD0F92"/>
    <w:rsid w:val="00FD1038"/>
    <w:rsid w:val="00FD106B"/>
    <w:rsid w:val="00FD11C4"/>
    <w:rsid w:val="00FD1217"/>
    <w:rsid w:val="00FD127C"/>
    <w:rsid w:val="00FD13F5"/>
    <w:rsid w:val="00FD1651"/>
    <w:rsid w:val="00FD168A"/>
    <w:rsid w:val="00FD175F"/>
    <w:rsid w:val="00FD180A"/>
    <w:rsid w:val="00FD187D"/>
    <w:rsid w:val="00FD19CC"/>
    <w:rsid w:val="00FD1AFD"/>
    <w:rsid w:val="00FD1D1C"/>
    <w:rsid w:val="00FD1D6D"/>
    <w:rsid w:val="00FD1EE4"/>
    <w:rsid w:val="00FD2039"/>
    <w:rsid w:val="00FD20FB"/>
    <w:rsid w:val="00FD2150"/>
    <w:rsid w:val="00FD2205"/>
    <w:rsid w:val="00FD220F"/>
    <w:rsid w:val="00FD2280"/>
    <w:rsid w:val="00FD246D"/>
    <w:rsid w:val="00FD25C2"/>
    <w:rsid w:val="00FD25F4"/>
    <w:rsid w:val="00FD2634"/>
    <w:rsid w:val="00FD2699"/>
    <w:rsid w:val="00FD26A2"/>
    <w:rsid w:val="00FD272E"/>
    <w:rsid w:val="00FD27AD"/>
    <w:rsid w:val="00FD28C5"/>
    <w:rsid w:val="00FD28DD"/>
    <w:rsid w:val="00FD29E0"/>
    <w:rsid w:val="00FD2B95"/>
    <w:rsid w:val="00FD2C9B"/>
    <w:rsid w:val="00FD2D73"/>
    <w:rsid w:val="00FD2ED0"/>
    <w:rsid w:val="00FD2EF8"/>
    <w:rsid w:val="00FD2F1D"/>
    <w:rsid w:val="00FD2F7C"/>
    <w:rsid w:val="00FD3065"/>
    <w:rsid w:val="00FD3078"/>
    <w:rsid w:val="00FD3199"/>
    <w:rsid w:val="00FD3254"/>
    <w:rsid w:val="00FD339C"/>
    <w:rsid w:val="00FD35A7"/>
    <w:rsid w:val="00FD35DA"/>
    <w:rsid w:val="00FD360B"/>
    <w:rsid w:val="00FD36B8"/>
    <w:rsid w:val="00FD37AE"/>
    <w:rsid w:val="00FD37B0"/>
    <w:rsid w:val="00FD37E2"/>
    <w:rsid w:val="00FD380D"/>
    <w:rsid w:val="00FD383D"/>
    <w:rsid w:val="00FD3870"/>
    <w:rsid w:val="00FD390B"/>
    <w:rsid w:val="00FD393F"/>
    <w:rsid w:val="00FD39A6"/>
    <w:rsid w:val="00FD3AB2"/>
    <w:rsid w:val="00FD3B32"/>
    <w:rsid w:val="00FD3CA0"/>
    <w:rsid w:val="00FD3CE1"/>
    <w:rsid w:val="00FD3E2C"/>
    <w:rsid w:val="00FD3ED6"/>
    <w:rsid w:val="00FD3FD6"/>
    <w:rsid w:val="00FD40F3"/>
    <w:rsid w:val="00FD41C8"/>
    <w:rsid w:val="00FD438E"/>
    <w:rsid w:val="00FD43F3"/>
    <w:rsid w:val="00FD44CA"/>
    <w:rsid w:val="00FD46E9"/>
    <w:rsid w:val="00FD49B1"/>
    <w:rsid w:val="00FD4B1C"/>
    <w:rsid w:val="00FD4BD3"/>
    <w:rsid w:val="00FD4C13"/>
    <w:rsid w:val="00FD4CB7"/>
    <w:rsid w:val="00FD4D23"/>
    <w:rsid w:val="00FD4D34"/>
    <w:rsid w:val="00FD4F92"/>
    <w:rsid w:val="00FD5023"/>
    <w:rsid w:val="00FD5079"/>
    <w:rsid w:val="00FD513C"/>
    <w:rsid w:val="00FD5233"/>
    <w:rsid w:val="00FD52DE"/>
    <w:rsid w:val="00FD545D"/>
    <w:rsid w:val="00FD552E"/>
    <w:rsid w:val="00FD5594"/>
    <w:rsid w:val="00FD561B"/>
    <w:rsid w:val="00FD590E"/>
    <w:rsid w:val="00FD59CC"/>
    <w:rsid w:val="00FD59EC"/>
    <w:rsid w:val="00FD59F1"/>
    <w:rsid w:val="00FD59F3"/>
    <w:rsid w:val="00FD5A17"/>
    <w:rsid w:val="00FD5BCA"/>
    <w:rsid w:val="00FD5C29"/>
    <w:rsid w:val="00FD5C88"/>
    <w:rsid w:val="00FD5E1D"/>
    <w:rsid w:val="00FD5E75"/>
    <w:rsid w:val="00FD5F51"/>
    <w:rsid w:val="00FD60A7"/>
    <w:rsid w:val="00FD60EC"/>
    <w:rsid w:val="00FD61E6"/>
    <w:rsid w:val="00FD620E"/>
    <w:rsid w:val="00FD634D"/>
    <w:rsid w:val="00FD6387"/>
    <w:rsid w:val="00FD63E6"/>
    <w:rsid w:val="00FD64A4"/>
    <w:rsid w:val="00FD6516"/>
    <w:rsid w:val="00FD6568"/>
    <w:rsid w:val="00FD66D1"/>
    <w:rsid w:val="00FD66DD"/>
    <w:rsid w:val="00FD670C"/>
    <w:rsid w:val="00FD6798"/>
    <w:rsid w:val="00FD67E0"/>
    <w:rsid w:val="00FD6814"/>
    <w:rsid w:val="00FD68EA"/>
    <w:rsid w:val="00FD69D3"/>
    <w:rsid w:val="00FD6A62"/>
    <w:rsid w:val="00FD6ACC"/>
    <w:rsid w:val="00FD6B89"/>
    <w:rsid w:val="00FD6B8F"/>
    <w:rsid w:val="00FD6BD7"/>
    <w:rsid w:val="00FD6D21"/>
    <w:rsid w:val="00FD6DAE"/>
    <w:rsid w:val="00FD6E80"/>
    <w:rsid w:val="00FD6ED1"/>
    <w:rsid w:val="00FD6F3D"/>
    <w:rsid w:val="00FD70B1"/>
    <w:rsid w:val="00FD70DC"/>
    <w:rsid w:val="00FD7117"/>
    <w:rsid w:val="00FD71D2"/>
    <w:rsid w:val="00FD71F9"/>
    <w:rsid w:val="00FD7241"/>
    <w:rsid w:val="00FD7254"/>
    <w:rsid w:val="00FD730A"/>
    <w:rsid w:val="00FD7313"/>
    <w:rsid w:val="00FD7382"/>
    <w:rsid w:val="00FD7421"/>
    <w:rsid w:val="00FD743B"/>
    <w:rsid w:val="00FD7457"/>
    <w:rsid w:val="00FD751B"/>
    <w:rsid w:val="00FD7594"/>
    <w:rsid w:val="00FD766F"/>
    <w:rsid w:val="00FD76BD"/>
    <w:rsid w:val="00FD7827"/>
    <w:rsid w:val="00FD79DD"/>
    <w:rsid w:val="00FD7CA9"/>
    <w:rsid w:val="00FD7CC5"/>
    <w:rsid w:val="00FD7D87"/>
    <w:rsid w:val="00FD7EE7"/>
    <w:rsid w:val="00FD7F6D"/>
    <w:rsid w:val="00FE001A"/>
    <w:rsid w:val="00FE00A7"/>
    <w:rsid w:val="00FE0183"/>
    <w:rsid w:val="00FE02EC"/>
    <w:rsid w:val="00FE03E6"/>
    <w:rsid w:val="00FE0570"/>
    <w:rsid w:val="00FE05AF"/>
    <w:rsid w:val="00FE05E2"/>
    <w:rsid w:val="00FE06CE"/>
    <w:rsid w:val="00FE06EA"/>
    <w:rsid w:val="00FE0875"/>
    <w:rsid w:val="00FE0988"/>
    <w:rsid w:val="00FE0993"/>
    <w:rsid w:val="00FE0AD2"/>
    <w:rsid w:val="00FE0AEF"/>
    <w:rsid w:val="00FE0B39"/>
    <w:rsid w:val="00FE0BBA"/>
    <w:rsid w:val="00FE0E33"/>
    <w:rsid w:val="00FE0E55"/>
    <w:rsid w:val="00FE0ED1"/>
    <w:rsid w:val="00FE0EE7"/>
    <w:rsid w:val="00FE1004"/>
    <w:rsid w:val="00FE105E"/>
    <w:rsid w:val="00FE108E"/>
    <w:rsid w:val="00FE1106"/>
    <w:rsid w:val="00FE1139"/>
    <w:rsid w:val="00FE114C"/>
    <w:rsid w:val="00FE1157"/>
    <w:rsid w:val="00FE1196"/>
    <w:rsid w:val="00FE124F"/>
    <w:rsid w:val="00FE1352"/>
    <w:rsid w:val="00FE14E4"/>
    <w:rsid w:val="00FE1506"/>
    <w:rsid w:val="00FE1510"/>
    <w:rsid w:val="00FE1575"/>
    <w:rsid w:val="00FE1658"/>
    <w:rsid w:val="00FE1674"/>
    <w:rsid w:val="00FE1690"/>
    <w:rsid w:val="00FE1866"/>
    <w:rsid w:val="00FE18D9"/>
    <w:rsid w:val="00FE18E7"/>
    <w:rsid w:val="00FE191E"/>
    <w:rsid w:val="00FE1AF0"/>
    <w:rsid w:val="00FE1BFA"/>
    <w:rsid w:val="00FE1C68"/>
    <w:rsid w:val="00FE1CEB"/>
    <w:rsid w:val="00FE1D47"/>
    <w:rsid w:val="00FE1DAB"/>
    <w:rsid w:val="00FE1DD1"/>
    <w:rsid w:val="00FE1E2A"/>
    <w:rsid w:val="00FE1F2E"/>
    <w:rsid w:val="00FE1FC0"/>
    <w:rsid w:val="00FE22E0"/>
    <w:rsid w:val="00FE2315"/>
    <w:rsid w:val="00FE234B"/>
    <w:rsid w:val="00FE2417"/>
    <w:rsid w:val="00FE26BF"/>
    <w:rsid w:val="00FE273C"/>
    <w:rsid w:val="00FE2900"/>
    <w:rsid w:val="00FE29F6"/>
    <w:rsid w:val="00FE2ACA"/>
    <w:rsid w:val="00FE2BFE"/>
    <w:rsid w:val="00FE2C0F"/>
    <w:rsid w:val="00FE2CF4"/>
    <w:rsid w:val="00FE2D5B"/>
    <w:rsid w:val="00FE2D76"/>
    <w:rsid w:val="00FE2E09"/>
    <w:rsid w:val="00FE3039"/>
    <w:rsid w:val="00FE30CF"/>
    <w:rsid w:val="00FE30FE"/>
    <w:rsid w:val="00FE3218"/>
    <w:rsid w:val="00FE3369"/>
    <w:rsid w:val="00FE3602"/>
    <w:rsid w:val="00FE3701"/>
    <w:rsid w:val="00FE370E"/>
    <w:rsid w:val="00FE3773"/>
    <w:rsid w:val="00FE38A7"/>
    <w:rsid w:val="00FE396D"/>
    <w:rsid w:val="00FE39CD"/>
    <w:rsid w:val="00FE3A25"/>
    <w:rsid w:val="00FE3BCC"/>
    <w:rsid w:val="00FE3C0F"/>
    <w:rsid w:val="00FE3C2B"/>
    <w:rsid w:val="00FE3CA8"/>
    <w:rsid w:val="00FE3CEF"/>
    <w:rsid w:val="00FE3D89"/>
    <w:rsid w:val="00FE3D8A"/>
    <w:rsid w:val="00FE3E82"/>
    <w:rsid w:val="00FE3E93"/>
    <w:rsid w:val="00FE3EC3"/>
    <w:rsid w:val="00FE3F8C"/>
    <w:rsid w:val="00FE4023"/>
    <w:rsid w:val="00FE4031"/>
    <w:rsid w:val="00FE40BD"/>
    <w:rsid w:val="00FE4385"/>
    <w:rsid w:val="00FE43AA"/>
    <w:rsid w:val="00FE453F"/>
    <w:rsid w:val="00FE48AC"/>
    <w:rsid w:val="00FE4A3A"/>
    <w:rsid w:val="00FE4AF3"/>
    <w:rsid w:val="00FE4B8D"/>
    <w:rsid w:val="00FE4C21"/>
    <w:rsid w:val="00FE4C47"/>
    <w:rsid w:val="00FE4D0E"/>
    <w:rsid w:val="00FE4D1C"/>
    <w:rsid w:val="00FE4ED2"/>
    <w:rsid w:val="00FE506E"/>
    <w:rsid w:val="00FE51A6"/>
    <w:rsid w:val="00FE54EB"/>
    <w:rsid w:val="00FE5600"/>
    <w:rsid w:val="00FE56F0"/>
    <w:rsid w:val="00FE5810"/>
    <w:rsid w:val="00FE5ACC"/>
    <w:rsid w:val="00FE5AE3"/>
    <w:rsid w:val="00FE5C71"/>
    <w:rsid w:val="00FE5C7B"/>
    <w:rsid w:val="00FE5D3D"/>
    <w:rsid w:val="00FE5DDA"/>
    <w:rsid w:val="00FE5E2D"/>
    <w:rsid w:val="00FE5EBE"/>
    <w:rsid w:val="00FE607E"/>
    <w:rsid w:val="00FE60B8"/>
    <w:rsid w:val="00FE60D0"/>
    <w:rsid w:val="00FE6356"/>
    <w:rsid w:val="00FE6359"/>
    <w:rsid w:val="00FE6484"/>
    <w:rsid w:val="00FE64F6"/>
    <w:rsid w:val="00FE6537"/>
    <w:rsid w:val="00FE657F"/>
    <w:rsid w:val="00FE6659"/>
    <w:rsid w:val="00FE6666"/>
    <w:rsid w:val="00FE66D6"/>
    <w:rsid w:val="00FE66DB"/>
    <w:rsid w:val="00FE6707"/>
    <w:rsid w:val="00FE67E6"/>
    <w:rsid w:val="00FE6824"/>
    <w:rsid w:val="00FE68DE"/>
    <w:rsid w:val="00FE6995"/>
    <w:rsid w:val="00FE6A01"/>
    <w:rsid w:val="00FE6B57"/>
    <w:rsid w:val="00FE6B7F"/>
    <w:rsid w:val="00FE6BFA"/>
    <w:rsid w:val="00FE6CEF"/>
    <w:rsid w:val="00FE6D5F"/>
    <w:rsid w:val="00FE6E12"/>
    <w:rsid w:val="00FE6E56"/>
    <w:rsid w:val="00FE6EFE"/>
    <w:rsid w:val="00FE6F78"/>
    <w:rsid w:val="00FE718C"/>
    <w:rsid w:val="00FE71A0"/>
    <w:rsid w:val="00FE7283"/>
    <w:rsid w:val="00FE728A"/>
    <w:rsid w:val="00FE72E1"/>
    <w:rsid w:val="00FE72E2"/>
    <w:rsid w:val="00FE72FD"/>
    <w:rsid w:val="00FE73A5"/>
    <w:rsid w:val="00FE75B0"/>
    <w:rsid w:val="00FE7779"/>
    <w:rsid w:val="00FE7788"/>
    <w:rsid w:val="00FE78DB"/>
    <w:rsid w:val="00FE7D41"/>
    <w:rsid w:val="00FE7E34"/>
    <w:rsid w:val="00FE7EF4"/>
    <w:rsid w:val="00FF01AF"/>
    <w:rsid w:val="00FF024B"/>
    <w:rsid w:val="00FF026D"/>
    <w:rsid w:val="00FF03C6"/>
    <w:rsid w:val="00FF0579"/>
    <w:rsid w:val="00FF05AD"/>
    <w:rsid w:val="00FF066B"/>
    <w:rsid w:val="00FF0684"/>
    <w:rsid w:val="00FF0877"/>
    <w:rsid w:val="00FF08A5"/>
    <w:rsid w:val="00FF08C3"/>
    <w:rsid w:val="00FF0A39"/>
    <w:rsid w:val="00FF0BB3"/>
    <w:rsid w:val="00FF0C26"/>
    <w:rsid w:val="00FF0D55"/>
    <w:rsid w:val="00FF0DA1"/>
    <w:rsid w:val="00FF0DFB"/>
    <w:rsid w:val="00FF10BF"/>
    <w:rsid w:val="00FF10EF"/>
    <w:rsid w:val="00FF1159"/>
    <w:rsid w:val="00FF11F4"/>
    <w:rsid w:val="00FF12E9"/>
    <w:rsid w:val="00FF13B9"/>
    <w:rsid w:val="00FF14FA"/>
    <w:rsid w:val="00FF164F"/>
    <w:rsid w:val="00FF1660"/>
    <w:rsid w:val="00FF1675"/>
    <w:rsid w:val="00FF1774"/>
    <w:rsid w:val="00FF17D1"/>
    <w:rsid w:val="00FF197B"/>
    <w:rsid w:val="00FF1A90"/>
    <w:rsid w:val="00FF1B01"/>
    <w:rsid w:val="00FF1B69"/>
    <w:rsid w:val="00FF1C3B"/>
    <w:rsid w:val="00FF1CE3"/>
    <w:rsid w:val="00FF1D01"/>
    <w:rsid w:val="00FF1DD5"/>
    <w:rsid w:val="00FF1DE4"/>
    <w:rsid w:val="00FF1E17"/>
    <w:rsid w:val="00FF2104"/>
    <w:rsid w:val="00FF2119"/>
    <w:rsid w:val="00FF212E"/>
    <w:rsid w:val="00FF21D3"/>
    <w:rsid w:val="00FF23CC"/>
    <w:rsid w:val="00FF2473"/>
    <w:rsid w:val="00FF26AE"/>
    <w:rsid w:val="00FF281F"/>
    <w:rsid w:val="00FF2821"/>
    <w:rsid w:val="00FF28F8"/>
    <w:rsid w:val="00FF298D"/>
    <w:rsid w:val="00FF29F7"/>
    <w:rsid w:val="00FF2A31"/>
    <w:rsid w:val="00FF2ADA"/>
    <w:rsid w:val="00FF2CAC"/>
    <w:rsid w:val="00FF2EB6"/>
    <w:rsid w:val="00FF30BE"/>
    <w:rsid w:val="00FF30FD"/>
    <w:rsid w:val="00FF3154"/>
    <w:rsid w:val="00FF3202"/>
    <w:rsid w:val="00FF360A"/>
    <w:rsid w:val="00FF37A4"/>
    <w:rsid w:val="00FF3B51"/>
    <w:rsid w:val="00FF3BC5"/>
    <w:rsid w:val="00FF3BDD"/>
    <w:rsid w:val="00FF3DA7"/>
    <w:rsid w:val="00FF3FB2"/>
    <w:rsid w:val="00FF3FCB"/>
    <w:rsid w:val="00FF3FDF"/>
    <w:rsid w:val="00FF3FE2"/>
    <w:rsid w:val="00FF4054"/>
    <w:rsid w:val="00FF40E6"/>
    <w:rsid w:val="00FF42A3"/>
    <w:rsid w:val="00FF444A"/>
    <w:rsid w:val="00FF44A7"/>
    <w:rsid w:val="00FF46E4"/>
    <w:rsid w:val="00FF481B"/>
    <w:rsid w:val="00FF488C"/>
    <w:rsid w:val="00FF48B2"/>
    <w:rsid w:val="00FF49A4"/>
    <w:rsid w:val="00FF4AD3"/>
    <w:rsid w:val="00FF4C45"/>
    <w:rsid w:val="00FF4CBD"/>
    <w:rsid w:val="00FF4CCD"/>
    <w:rsid w:val="00FF4D05"/>
    <w:rsid w:val="00FF4D74"/>
    <w:rsid w:val="00FF4E9C"/>
    <w:rsid w:val="00FF4F79"/>
    <w:rsid w:val="00FF5155"/>
    <w:rsid w:val="00FF52DC"/>
    <w:rsid w:val="00FF531F"/>
    <w:rsid w:val="00FF5389"/>
    <w:rsid w:val="00FF5410"/>
    <w:rsid w:val="00FF541C"/>
    <w:rsid w:val="00FF54BF"/>
    <w:rsid w:val="00FF54E0"/>
    <w:rsid w:val="00FF5524"/>
    <w:rsid w:val="00FF553F"/>
    <w:rsid w:val="00FF5587"/>
    <w:rsid w:val="00FF5590"/>
    <w:rsid w:val="00FF56E2"/>
    <w:rsid w:val="00FF57E5"/>
    <w:rsid w:val="00FF57FA"/>
    <w:rsid w:val="00FF5818"/>
    <w:rsid w:val="00FF5998"/>
    <w:rsid w:val="00FF5AD1"/>
    <w:rsid w:val="00FF5DEC"/>
    <w:rsid w:val="00FF5E21"/>
    <w:rsid w:val="00FF5E29"/>
    <w:rsid w:val="00FF5F0F"/>
    <w:rsid w:val="00FF5F55"/>
    <w:rsid w:val="00FF6152"/>
    <w:rsid w:val="00FF62B9"/>
    <w:rsid w:val="00FF635A"/>
    <w:rsid w:val="00FF6485"/>
    <w:rsid w:val="00FF6510"/>
    <w:rsid w:val="00FF6587"/>
    <w:rsid w:val="00FF6634"/>
    <w:rsid w:val="00FF6655"/>
    <w:rsid w:val="00FF66F0"/>
    <w:rsid w:val="00FF676F"/>
    <w:rsid w:val="00FF67F0"/>
    <w:rsid w:val="00FF68F1"/>
    <w:rsid w:val="00FF693C"/>
    <w:rsid w:val="00FF6A70"/>
    <w:rsid w:val="00FF6AB0"/>
    <w:rsid w:val="00FF6AE6"/>
    <w:rsid w:val="00FF6B0D"/>
    <w:rsid w:val="00FF6BAB"/>
    <w:rsid w:val="00FF6C28"/>
    <w:rsid w:val="00FF6C9D"/>
    <w:rsid w:val="00FF6CD9"/>
    <w:rsid w:val="00FF6D19"/>
    <w:rsid w:val="00FF6D7C"/>
    <w:rsid w:val="00FF6E06"/>
    <w:rsid w:val="00FF6F3F"/>
    <w:rsid w:val="00FF6FA9"/>
    <w:rsid w:val="00FF6FBF"/>
    <w:rsid w:val="00FF705A"/>
    <w:rsid w:val="00FF715E"/>
    <w:rsid w:val="00FF71A3"/>
    <w:rsid w:val="00FF71BC"/>
    <w:rsid w:val="00FF71D1"/>
    <w:rsid w:val="00FF7289"/>
    <w:rsid w:val="00FF72FC"/>
    <w:rsid w:val="00FF7392"/>
    <w:rsid w:val="00FF74B9"/>
    <w:rsid w:val="00FF7555"/>
    <w:rsid w:val="00FF7574"/>
    <w:rsid w:val="00FF7578"/>
    <w:rsid w:val="00FF75FE"/>
    <w:rsid w:val="00FF7656"/>
    <w:rsid w:val="00FF76AE"/>
    <w:rsid w:val="00FF781C"/>
    <w:rsid w:val="00FF7834"/>
    <w:rsid w:val="00FF7902"/>
    <w:rsid w:val="00FF7A68"/>
    <w:rsid w:val="00FF7AFC"/>
    <w:rsid w:val="00FF7CA9"/>
    <w:rsid w:val="00FF7E75"/>
    <w:rsid w:val="00FF7EC0"/>
    <w:rsid w:val="00FF7F3C"/>
    <w:rsid w:val="00FF7F75"/>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E142"/>
  <w15:chartTrackingRefBased/>
  <w15:docId w15:val="{58F5F18D-1200-4FB9-A72E-4AE3A3A6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BD"/>
    <w:pPr>
      <w:spacing w:after="0"/>
      <w:ind w:firstLine="720"/>
    </w:pPr>
    <w:rPr>
      <w:lang w:val="en-US"/>
    </w:rPr>
  </w:style>
  <w:style w:type="paragraph" w:styleId="Heading1">
    <w:name w:val="heading 1"/>
    <w:basedOn w:val="Normal"/>
    <w:next w:val="Normal"/>
    <w:link w:val="Heading1Char"/>
    <w:autoRedefine/>
    <w:uiPriority w:val="9"/>
    <w:qFormat/>
    <w:rsid w:val="00B34CC9"/>
    <w:pPr>
      <w:keepNext/>
      <w:keepLines/>
      <w:shd w:val="clear" w:color="auto" w:fill="FFFFFF"/>
      <w:spacing w:after="120" w:line="360" w:lineRule="atLeast"/>
      <w:ind w:firstLine="0"/>
      <w:jc w:val="center"/>
      <w:textAlignment w:val="baseline"/>
      <w:outlineLvl w:val="0"/>
    </w:pPr>
    <w:rPr>
      <w:rFonts w:eastAsiaTheme="majorEastAsia" w:cstheme="minorHAnsi"/>
      <w:color w:val="000000"/>
      <w:spacing w:val="-5"/>
      <w:bdr w:val="none" w:sz="0" w:space="0" w:color="auto" w:frame="1"/>
      <w:shd w:val="clear" w:color="auto" w:fill="FFFFFF"/>
      <w:lang w:val="de-DE"/>
    </w:rPr>
  </w:style>
  <w:style w:type="paragraph" w:styleId="Heading2">
    <w:name w:val="heading 2"/>
    <w:basedOn w:val="Normal"/>
    <w:next w:val="Normal"/>
    <w:link w:val="Heading2Char"/>
    <w:autoRedefine/>
    <w:uiPriority w:val="9"/>
    <w:unhideWhenUsed/>
    <w:qFormat/>
    <w:rsid w:val="00F469BE"/>
    <w:pPr>
      <w:keepNext/>
      <w:keepLines/>
      <w:shd w:val="clear" w:color="auto" w:fill="FFFFFF"/>
      <w:tabs>
        <w:tab w:val="left" w:pos="7230"/>
      </w:tabs>
      <w:spacing w:before="240" w:after="240" w:line="420" w:lineRule="atLeast"/>
      <w:ind w:firstLine="0"/>
      <w:outlineLvl w:val="1"/>
    </w:pPr>
    <w:rPr>
      <w:rFonts w:ascii="Calibri" w:eastAsiaTheme="majorEastAsia" w:hAnsi="Calibri" w:cs="Calibri"/>
      <w:color w:val="000000" w:themeColor="text1"/>
      <w:sz w:val="28"/>
      <w:shd w:val="clear" w:color="auto" w:fill="FFFFFF"/>
    </w:rPr>
  </w:style>
  <w:style w:type="paragraph" w:styleId="Heading3">
    <w:name w:val="heading 3"/>
    <w:basedOn w:val="Normal"/>
    <w:next w:val="Normal"/>
    <w:link w:val="Heading3Char"/>
    <w:autoRedefine/>
    <w:uiPriority w:val="9"/>
    <w:unhideWhenUsed/>
    <w:qFormat/>
    <w:rsid w:val="00493833"/>
    <w:pPr>
      <w:keepNext/>
      <w:keepLines/>
      <w:shd w:val="clear" w:color="auto" w:fill="FFFFFF"/>
      <w:spacing w:before="150" w:after="150" w:line="288" w:lineRule="atLeast"/>
      <w:ind w:firstLine="0"/>
      <w:outlineLvl w:val="2"/>
    </w:pPr>
    <w:rPr>
      <w:rFonts w:ascii="Calibri" w:eastAsiaTheme="majorEastAsia" w:hAnsi="Calibri" w:cs="Calibri"/>
      <w:iCs/>
      <w:spacing w:val="2"/>
      <w:sz w:val="24"/>
      <w:szCs w:val="20"/>
      <w:lang w:eastAsia="en-GB"/>
    </w:rPr>
  </w:style>
  <w:style w:type="paragraph" w:styleId="Heading4">
    <w:name w:val="heading 4"/>
    <w:basedOn w:val="Normal"/>
    <w:next w:val="Normal"/>
    <w:link w:val="Heading4Char"/>
    <w:uiPriority w:val="9"/>
    <w:unhideWhenUsed/>
    <w:qFormat/>
    <w:rsid w:val="001C2170"/>
    <w:pPr>
      <w:keepNext/>
      <w:keepLines/>
      <w:ind w:left="720" w:hanging="720"/>
      <w:outlineLvl w:val="3"/>
    </w:pPr>
    <w:rPr>
      <w:rFonts w:ascii="Calibri" w:eastAsiaTheme="majorEastAsia" w:hAnsi="Calibri" w:cstheme="majorBidi"/>
      <w:iCs/>
    </w:rPr>
  </w:style>
  <w:style w:type="paragraph" w:styleId="Heading5">
    <w:name w:val="heading 5"/>
    <w:basedOn w:val="Normal"/>
    <w:next w:val="Normal"/>
    <w:link w:val="Heading5Char"/>
    <w:uiPriority w:val="9"/>
    <w:semiHidden/>
    <w:unhideWhenUsed/>
    <w:qFormat/>
    <w:rsid w:val="0058341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9BE"/>
    <w:rPr>
      <w:rFonts w:ascii="Calibri" w:eastAsiaTheme="majorEastAsia" w:hAnsi="Calibri" w:cs="Calibri"/>
      <w:color w:val="000000" w:themeColor="text1"/>
      <w:sz w:val="28"/>
      <w:shd w:val="clear" w:color="auto" w:fill="FFFFFF"/>
      <w:lang w:val="en-US"/>
    </w:rPr>
  </w:style>
  <w:style w:type="paragraph" w:styleId="Quote">
    <w:name w:val="Quote"/>
    <w:basedOn w:val="Normal"/>
    <w:next w:val="Normal"/>
    <w:link w:val="QuoteChar"/>
    <w:autoRedefine/>
    <w:uiPriority w:val="29"/>
    <w:qFormat/>
    <w:rsid w:val="00846AFC"/>
    <w:pPr>
      <w:spacing w:before="120" w:after="120" w:line="240" w:lineRule="auto"/>
      <w:ind w:left="284" w:firstLine="0"/>
    </w:pPr>
    <w:rPr>
      <w:rFonts w:ascii="Calibri" w:hAnsi="Calibri" w:cs="Helvetica"/>
      <w:color w:val="000000"/>
      <w:szCs w:val="18"/>
    </w:rPr>
  </w:style>
  <w:style w:type="character" w:customStyle="1" w:styleId="QuoteChar">
    <w:name w:val="Quote Char"/>
    <w:basedOn w:val="DefaultParagraphFont"/>
    <w:link w:val="Quote"/>
    <w:uiPriority w:val="29"/>
    <w:rsid w:val="00846AFC"/>
    <w:rPr>
      <w:rFonts w:ascii="Calibri" w:hAnsi="Calibri" w:cs="Helvetica"/>
      <w:color w:val="000000"/>
      <w:szCs w:val="18"/>
      <w:lang w:val="en-US"/>
    </w:rPr>
  </w:style>
  <w:style w:type="character" w:customStyle="1" w:styleId="Heading1Char">
    <w:name w:val="Heading 1 Char"/>
    <w:basedOn w:val="DefaultParagraphFont"/>
    <w:link w:val="Heading1"/>
    <w:uiPriority w:val="9"/>
    <w:rsid w:val="00B34CC9"/>
    <w:rPr>
      <w:rFonts w:eastAsiaTheme="majorEastAsia" w:cstheme="minorHAnsi"/>
      <w:color w:val="000000"/>
      <w:spacing w:val="-5"/>
      <w:bdr w:val="none" w:sz="0" w:space="0" w:color="auto" w:frame="1"/>
      <w:shd w:val="clear" w:color="auto" w:fill="FFFFFF"/>
      <w:lang w:val="de-DE"/>
    </w:rPr>
  </w:style>
  <w:style w:type="paragraph" w:styleId="NoSpacing">
    <w:name w:val="No Spacing"/>
    <w:autoRedefine/>
    <w:uiPriority w:val="1"/>
    <w:qFormat/>
    <w:rsid w:val="00E930F0"/>
    <w:pPr>
      <w:spacing w:after="0" w:line="240" w:lineRule="auto"/>
    </w:pPr>
  </w:style>
  <w:style w:type="paragraph" w:styleId="ListParagraph">
    <w:name w:val="List Paragraph"/>
    <w:aliases w:val="AAList Paragraph,AAList"/>
    <w:basedOn w:val="Normal"/>
    <w:link w:val="ListParagraphChar"/>
    <w:autoRedefine/>
    <w:uiPriority w:val="34"/>
    <w:qFormat/>
    <w:rsid w:val="006F5BB0"/>
    <w:pPr>
      <w:tabs>
        <w:tab w:val="left" w:pos="1483"/>
      </w:tabs>
      <w:spacing w:line="240" w:lineRule="auto"/>
      <w:ind w:left="567" w:hanging="567"/>
      <w:contextualSpacing/>
    </w:pPr>
    <w:rPr>
      <w:rFonts w:ascii="Calibri" w:eastAsia="Times New Roman" w:hAnsi="Calibri" w:cs="Calibri"/>
      <w:color w:val="000000"/>
      <w:kern w:val="36"/>
      <w:lang w:val="de-DE" w:eastAsia="en-GB"/>
    </w:rPr>
  </w:style>
  <w:style w:type="paragraph" w:styleId="FootnoteText">
    <w:name w:val="footnote text"/>
    <w:basedOn w:val="Normal"/>
    <w:link w:val="FootnoteTextChar"/>
    <w:uiPriority w:val="99"/>
    <w:unhideWhenUsed/>
    <w:rsid w:val="00232F46"/>
    <w:pPr>
      <w:spacing w:line="240" w:lineRule="auto"/>
    </w:pPr>
    <w:rPr>
      <w:sz w:val="20"/>
      <w:szCs w:val="20"/>
    </w:rPr>
  </w:style>
  <w:style w:type="character" w:customStyle="1" w:styleId="FootnoteTextChar">
    <w:name w:val="Footnote Text Char"/>
    <w:basedOn w:val="DefaultParagraphFont"/>
    <w:link w:val="FootnoteText"/>
    <w:uiPriority w:val="99"/>
    <w:rsid w:val="00232F46"/>
    <w:rPr>
      <w:sz w:val="20"/>
      <w:szCs w:val="20"/>
      <w:lang w:val="en-US"/>
    </w:rPr>
  </w:style>
  <w:style w:type="character" w:styleId="FootnoteReference">
    <w:name w:val="footnote reference"/>
    <w:basedOn w:val="DefaultParagraphFont"/>
    <w:uiPriority w:val="99"/>
    <w:unhideWhenUsed/>
    <w:rsid w:val="00232F46"/>
    <w:rPr>
      <w:vertAlign w:val="superscript"/>
    </w:rPr>
  </w:style>
  <w:style w:type="character" w:customStyle="1" w:styleId="Heading3Char">
    <w:name w:val="Heading 3 Char"/>
    <w:basedOn w:val="DefaultParagraphFont"/>
    <w:link w:val="Heading3"/>
    <w:uiPriority w:val="9"/>
    <w:rsid w:val="00493833"/>
    <w:rPr>
      <w:rFonts w:ascii="Calibri" w:eastAsiaTheme="majorEastAsia" w:hAnsi="Calibri" w:cs="Calibri"/>
      <w:iCs/>
      <w:spacing w:val="2"/>
      <w:sz w:val="24"/>
      <w:szCs w:val="20"/>
      <w:shd w:val="clear" w:color="auto" w:fill="FFFFFF"/>
      <w:lang w:val="en-US" w:eastAsia="en-GB"/>
    </w:rPr>
  </w:style>
  <w:style w:type="character" w:customStyle="1" w:styleId="Heading4Char">
    <w:name w:val="Heading 4 Char"/>
    <w:basedOn w:val="DefaultParagraphFont"/>
    <w:link w:val="Heading4"/>
    <w:uiPriority w:val="9"/>
    <w:rsid w:val="001C2170"/>
    <w:rPr>
      <w:rFonts w:ascii="Calibri" w:eastAsiaTheme="majorEastAsia" w:hAnsi="Calibri" w:cstheme="majorBidi"/>
      <w:iCs/>
      <w:lang w:val="en-US"/>
    </w:rPr>
  </w:style>
  <w:style w:type="character" w:styleId="CommentReference">
    <w:name w:val="annotation reference"/>
    <w:basedOn w:val="DefaultParagraphFont"/>
    <w:uiPriority w:val="99"/>
    <w:semiHidden/>
    <w:unhideWhenUsed/>
    <w:rsid w:val="00C27317"/>
    <w:rPr>
      <w:sz w:val="16"/>
      <w:szCs w:val="16"/>
    </w:rPr>
  </w:style>
  <w:style w:type="paragraph" w:styleId="CommentText">
    <w:name w:val="annotation text"/>
    <w:basedOn w:val="Normal"/>
    <w:link w:val="CommentTextChar"/>
    <w:uiPriority w:val="99"/>
    <w:semiHidden/>
    <w:unhideWhenUsed/>
    <w:rsid w:val="00C27317"/>
    <w:pPr>
      <w:spacing w:line="240" w:lineRule="auto"/>
    </w:pPr>
    <w:rPr>
      <w:sz w:val="20"/>
      <w:szCs w:val="20"/>
    </w:rPr>
  </w:style>
  <w:style w:type="character" w:customStyle="1" w:styleId="CommentTextChar">
    <w:name w:val="Comment Text Char"/>
    <w:basedOn w:val="DefaultParagraphFont"/>
    <w:link w:val="CommentText"/>
    <w:uiPriority w:val="99"/>
    <w:semiHidden/>
    <w:rsid w:val="00C27317"/>
    <w:rPr>
      <w:sz w:val="20"/>
      <w:szCs w:val="20"/>
      <w:lang w:val="en-US"/>
    </w:rPr>
  </w:style>
  <w:style w:type="paragraph" w:styleId="CommentSubject">
    <w:name w:val="annotation subject"/>
    <w:basedOn w:val="CommentText"/>
    <w:next w:val="CommentText"/>
    <w:link w:val="CommentSubjectChar"/>
    <w:uiPriority w:val="99"/>
    <w:semiHidden/>
    <w:unhideWhenUsed/>
    <w:rsid w:val="00C27317"/>
    <w:rPr>
      <w:b/>
      <w:bCs/>
    </w:rPr>
  </w:style>
  <w:style w:type="character" w:customStyle="1" w:styleId="CommentSubjectChar">
    <w:name w:val="Comment Subject Char"/>
    <w:basedOn w:val="CommentTextChar"/>
    <w:link w:val="CommentSubject"/>
    <w:uiPriority w:val="99"/>
    <w:semiHidden/>
    <w:rsid w:val="00C27317"/>
    <w:rPr>
      <w:b/>
      <w:bCs/>
      <w:sz w:val="20"/>
      <w:szCs w:val="20"/>
      <w:lang w:val="en-US"/>
    </w:rPr>
  </w:style>
  <w:style w:type="paragraph" w:customStyle="1" w:styleId="Default">
    <w:name w:val="Default"/>
    <w:rsid w:val="007D4F6B"/>
    <w:pPr>
      <w:autoSpaceDE w:val="0"/>
      <w:autoSpaceDN w:val="0"/>
      <w:adjustRightInd w:val="0"/>
      <w:spacing w:after="0" w:line="240" w:lineRule="auto"/>
    </w:pPr>
    <w:rPr>
      <w:rFonts w:ascii="IRDYV V+ Times" w:hAnsi="IRDYV V+ Times" w:cs="IRDYV V+ Times"/>
      <w:color w:val="000000"/>
      <w:sz w:val="24"/>
      <w:szCs w:val="24"/>
    </w:rPr>
  </w:style>
  <w:style w:type="paragraph" w:styleId="EndnoteText">
    <w:name w:val="endnote text"/>
    <w:basedOn w:val="Normal"/>
    <w:link w:val="EndnoteTextChar"/>
    <w:uiPriority w:val="99"/>
    <w:semiHidden/>
    <w:unhideWhenUsed/>
    <w:rsid w:val="00D44895"/>
    <w:pPr>
      <w:spacing w:line="240" w:lineRule="auto"/>
    </w:pPr>
    <w:rPr>
      <w:sz w:val="20"/>
      <w:szCs w:val="20"/>
    </w:rPr>
  </w:style>
  <w:style w:type="character" w:customStyle="1" w:styleId="EndnoteTextChar">
    <w:name w:val="Endnote Text Char"/>
    <w:basedOn w:val="DefaultParagraphFont"/>
    <w:link w:val="EndnoteText"/>
    <w:uiPriority w:val="99"/>
    <w:semiHidden/>
    <w:rsid w:val="00D44895"/>
    <w:rPr>
      <w:sz w:val="20"/>
      <w:szCs w:val="20"/>
      <w:lang w:val="en-US"/>
    </w:rPr>
  </w:style>
  <w:style w:type="character" w:styleId="EndnoteReference">
    <w:name w:val="endnote reference"/>
    <w:basedOn w:val="DefaultParagraphFont"/>
    <w:uiPriority w:val="99"/>
    <w:semiHidden/>
    <w:unhideWhenUsed/>
    <w:rsid w:val="00D44895"/>
    <w:rPr>
      <w:vertAlign w:val="superscript"/>
    </w:rPr>
  </w:style>
  <w:style w:type="character" w:customStyle="1" w:styleId="medium-font">
    <w:name w:val="medium-font"/>
    <w:basedOn w:val="DefaultParagraphFont"/>
    <w:rsid w:val="00457FCE"/>
  </w:style>
  <w:style w:type="character" w:styleId="BookTitle">
    <w:name w:val="Book Title"/>
    <w:basedOn w:val="DefaultParagraphFont"/>
    <w:uiPriority w:val="33"/>
    <w:qFormat/>
    <w:rsid w:val="00A96CDE"/>
    <w:rPr>
      <w:b/>
      <w:bCs/>
      <w:i/>
      <w:iCs/>
      <w:spacing w:val="5"/>
    </w:rPr>
  </w:style>
  <w:style w:type="character" w:customStyle="1" w:styleId="en">
    <w:name w:val="en"/>
    <w:basedOn w:val="DefaultParagraphFont"/>
    <w:rsid w:val="00510972"/>
  </w:style>
  <w:style w:type="character" w:styleId="Hyperlink">
    <w:name w:val="Hyperlink"/>
    <w:basedOn w:val="DefaultParagraphFont"/>
    <w:uiPriority w:val="99"/>
    <w:unhideWhenUsed/>
    <w:rsid w:val="00510972"/>
    <w:rPr>
      <w:color w:val="0000FF"/>
      <w:u w:val="single"/>
    </w:rPr>
  </w:style>
  <w:style w:type="character" w:customStyle="1" w:styleId="normaltextrun">
    <w:name w:val="normaltextrun"/>
    <w:basedOn w:val="DefaultParagraphFont"/>
    <w:rsid w:val="00993765"/>
  </w:style>
  <w:style w:type="character" w:customStyle="1" w:styleId="eop">
    <w:name w:val="eop"/>
    <w:basedOn w:val="DefaultParagraphFont"/>
    <w:rsid w:val="00993765"/>
  </w:style>
  <w:style w:type="character" w:styleId="PageNumber">
    <w:name w:val="page number"/>
    <w:rsid w:val="00FF62B9"/>
  </w:style>
  <w:style w:type="paragraph" w:styleId="PlainText">
    <w:name w:val="Plain Text"/>
    <w:basedOn w:val="Normal"/>
    <w:link w:val="PlainTextChar"/>
    <w:autoRedefine/>
    <w:unhideWhenUsed/>
    <w:qFormat/>
    <w:rsid w:val="00D7021B"/>
    <w:pPr>
      <w:spacing w:line="240" w:lineRule="auto"/>
    </w:pPr>
    <w:rPr>
      <w:rFonts w:eastAsiaTheme="minorEastAsia" w:cstheme="minorHAnsi"/>
      <w:lang w:bidi="he-IL"/>
    </w:rPr>
  </w:style>
  <w:style w:type="character" w:customStyle="1" w:styleId="PlainTextChar">
    <w:name w:val="Plain Text Char"/>
    <w:basedOn w:val="DefaultParagraphFont"/>
    <w:link w:val="PlainText"/>
    <w:rsid w:val="00D7021B"/>
    <w:rPr>
      <w:rFonts w:eastAsiaTheme="minorEastAsia" w:cstheme="minorHAnsi"/>
      <w:lang w:val="en-US" w:bidi="he-IL"/>
    </w:rPr>
  </w:style>
  <w:style w:type="character" w:customStyle="1" w:styleId="searchword">
    <w:name w:val="searchword"/>
    <w:basedOn w:val="DefaultParagraphFont"/>
    <w:rsid w:val="00811676"/>
  </w:style>
  <w:style w:type="character" w:customStyle="1" w:styleId="definition">
    <w:name w:val="definition"/>
    <w:basedOn w:val="DefaultParagraphFont"/>
    <w:rsid w:val="00811676"/>
  </w:style>
  <w:style w:type="paragraph" w:customStyle="1" w:styleId="Bullet">
    <w:name w:val="Bullet"/>
    <w:basedOn w:val="Normal"/>
    <w:link w:val="BulletChar"/>
    <w:qFormat/>
    <w:rsid w:val="001C5C56"/>
    <w:pPr>
      <w:numPr>
        <w:numId w:val="30"/>
      </w:numPr>
      <w:ind w:left="924" w:hanging="357"/>
    </w:pPr>
  </w:style>
  <w:style w:type="character" w:customStyle="1" w:styleId="BulletChar">
    <w:name w:val="Bullet Char"/>
    <w:basedOn w:val="DefaultParagraphFont"/>
    <w:link w:val="Bullet"/>
    <w:rsid w:val="001C5C56"/>
    <w:rPr>
      <w:lang w:val="en-US"/>
    </w:rPr>
  </w:style>
  <w:style w:type="character" w:styleId="Strong">
    <w:name w:val="Strong"/>
    <w:basedOn w:val="DefaultParagraphFont"/>
    <w:uiPriority w:val="22"/>
    <w:qFormat/>
    <w:rsid w:val="00BD7AEC"/>
    <w:rPr>
      <w:b/>
      <w:bCs/>
    </w:rPr>
  </w:style>
  <w:style w:type="paragraph" w:customStyle="1" w:styleId="Caption1">
    <w:name w:val="Caption1"/>
    <w:basedOn w:val="Normal"/>
    <w:rsid w:val="00BD7AEC"/>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customStyle="1" w:styleId="i">
    <w:name w:val="i"/>
    <w:basedOn w:val="DefaultParagraphFont"/>
    <w:rsid w:val="005D1278"/>
    <w:rPr>
      <w:i/>
      <w:color w:val="C45911" w:themeColor="accent2" w:themeShade="BF"/>
    </w:rPr>
  </w:style>
  <w:style w:type="paragraph" w:customStyle="1" w:styleId="def">
    <w:name w:val="def"/>
    <w:rsid w:val="005D1278"/>
    <w:pPr>
      <w:spacing w:after="0" w:line="480" w:lineRule="auto"/>
    </w:pPr>
    <w:rPr>
      <w:rFonts w:ascii="Times New Roman" w:hAnsi="Times New Roman" w:cs="Times New Roman"/>
      <w:sz w:val="24"/>
      <w:szCs w:val="24"/>
      <w:lang w:val="en-US"/>
    </w:rPr>
  </w:style>
  <w:style w:type="paragraph" w:customStyle="1" w:styleId="bibref">
    <w:name w:val="bibref"/>
    <w:rsid w:val="00A74D19"/>
    <w:pPr>
      <w:spacing w:after="0" w:line="480" w:lineRule="auto"/>
      <w:ind w:left="864" w:hanging="864"/>
      <w:contextualSpacing/>
    </w:pPr>
    <w:rPr>
      <w:rFonts w:ascii="Times New Roman" w:hAnsi="Times New Roman" w:cs="Times New Roman"/>
      <w:sz w:val="24"/>
      <w:szCs w:val="24"/>
      <w:lang w:val="en-US"/>
    </w:rPr>
  </w:style>
  <w:style w:type="character" w:customStyle="1" w:styleId="ListParagraphChar">
    <w:name w:val="List Paragraph Char"/>
    <w:aliases w:val="AAList Paragraph Char,AAList Char"/>
    <w:basedOn w:val="DefaultParagraphFont"/>
    <w:link w:val="ListParagraph"/>
    <w:uiPriority w:val="34"/>
    <w:rsid w:val="006F5BB0"/>
    <w:rPr>
      <w:rFonts w:ascii="Calibri" w:eastAsia="Times New Roman" w:hAnsi="Calibri" w:cs="Calibri"/>
      <w:color w:val="000000"/>
      <w:kern w:val="36"/>
      <w:lang w:val="de-DE" w:eastAsia="en-GB"/>
    </w:rPr>
  </w:style>
  <w:style w:type="character" w:customStyle="1" w:styleId="media-delimiter">
    <w:name w:val="media-delimiter"/>
    <w:basedOn w:val="DefaultParagraphFont"/>
    <w:rsid w:val="006B4468"/>
  </w:style>
  <w:style w:type="character" w:styleId="UnresolvedMention">
    <w:name w:val="Unresolved Mention"/>
    <w:basedOn w:val="DefaultParagraphFont"/>
    <w:uiPriority w:val="99"/>
    <w:semiHidden/>
    <w:unhideWhenUsed/>
    <w:rsid w:val="00434C7D"/>
    <w:rPr>
      <w:color w:val="605E5C"/>
      <w:shd w:val="clear" w:color="auto" w:fill="E1DFDD"/>
    </w:rPr>
  </w:style>
  <w:style w:type="paragraph" w:styleId="NormalWeb">
    <w:name w:val="Normal (Web)"/>
    <w:basedOn w:val="Normal"/>
    <w:uiPriority w:val="99"/>
    <w:semiHidden/>
    <w:unhideWhenUsed/>
    <w:rsid w:val="00BC133F"/>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D5BCA"/>
    <w:rPr>
      <w:i/>
      <w:iCs/>
    </w:rPr>
  </w:style>
  <w:style w:type="character" w:customStyle="1" w:styleId="muitypography-root">
    <w:name w:val="muitypography-root"/>
    <w:basedOn w:val="DefaultParagraphFont"/>
    <w:rsid w:val="00BF7FE1"/>
  </w:style>
  <w:style w:type="character" w:customStyle="1" w:styleId="jss731">
    <w:name w:val="jss731"/>
    <w:basedOn w:val="DefaultParagraphFont"/>
    <w:rsid w:val="00BF7FE1"/>
  </w:style>
  <w:style w:type="character" w:customStyle="1" w:styleId="contributor">
    <w:name w:val="contributor"/>
    <w:basedOn w:val="DefaultParagraphFont"/>
    <w:rsid w:val="001F54EF"/>
  </w:style>
  <w:style w:type="character" w:customStyle="1" w:styleId="displayname">
    <w:name w:val="displayname"/>
    <w:basedOn w:val="DefaultParagraphFont"/>
    <w:rsid w:val="001F54EF"/>
  </w:style>
  <w:style w:type="character" w:customStyle="1" w:styleId="comma">
    <w:name w:val="comma"/>
    <w:basedOn w:val="DefaultParagraphFont"/>
    <w:rsid w:val="001F54EF"/>
  </w:style>
  <w:style w:type="character" w:customStyle="1" w:styleId="Heading5Char">
    <w:name w:val="Heading 5 Char"/>
    <w:basedOn w:val="DefaultParagraphFont"/>
    <w:link w:val="Heading5"/>
    <w:uiPriority w:val="9"/>
    <w:semiHidden/>
    <w:rsid w:val="00583415"/>
    <w:rPr>
      <w:rFonts w:asciiTheme="majorHAnsi" w:eastAsiaTheme="majorEastAsia" w:hAnsiTheme="majorHAnsi" w:cstheme="majorBidi"/>
      <w:color w:val="2F5496" w:themeColor="accent1" w:themeShade="BF"/>
      <w:lang w:val="en-US"/>
    </w:rPr>
  </w:style>
  <w:style w:type="character" w:customStyle="1" w:styleId="titlerespstmt">
    <w:name w:val="title_resp_stmt"/>
    <w:basedOn w:val="DefaultParagraphFont"/>
    <w:rsid w:val="00B97620"/>
  </w:style>
  <w:style w:type="character" w:customStyle="1" w:styleId="main-heading">
    <w:name w:val="main-heading"/>
    <w:basedOn w:val="DefaultParagraphFont"/>
    <w:rsid w:val="00920C13"/>
  </w:style>
  <w:style w:type="character" w:customStyle="1" w:styleId="large">
    <w:name w:val="large"/>
    <w:basedOn w:val="DefaultParagraphFont"/>
    <w:rsid w:val="00920C13"/>
  </w:style>
  <w:style w:type="character" w:customStyle="1" w:styleId="italics">
    <w:name w:val="italics"/>
    <w:basedOn w:val="DefaultParagraphFont"/>
    <w:rsid w:val="00AA7455"/>
  </w:style>
  <w:style w:type="character" w:customStyle="1" w:styleId="table-of-contentsinvisiblekkqhe">
    <w:name w:val="table-of-contents_invisible__kkqhe"/>
    <w:basedOn w:val="DefaultParagraphFont"/>
    <w:rsid w:val="00257726"/>
  </w:style>
  <w:style w:type="character" w:customStyle="1" w:styleId="table-of-contentstitletextm3poj">
    <w:name w:val="table-of-contents_titletext__m3poj"/>
    <w:basedOn w:val="DefaultParagraphFont"/>
    <w:rsid w:val="00257726"/>
  </w:style>
  <w:style w:type="character" w:customStyle="1" w:styleId="a-size-extra-large">
    <w:name w:val="a-size-extra-large"/>
    <w:basedOn w:val="DefaultParagraphFont"/>
    <w:rsid w:val="00E24B5F"/>
  </w:style>
  <w:style w:type="character" w:customStyle="1" w:styleId="alay-prec">
    <w:name w:val="alay-prec"/>
    <w:basedOn w:val="DefaultParagraphFont"/>
    <w:rsid w:val="00E11AAC"/>
  </w:style>
  <w:style w:type="character" w:customStyle="1" w:styleId="alay">
    <w:name w:val="alay"/>
    <w:basedOn w:val="DefaultParagraphFont"/>
    <w:rsid w:val="00E11AAC"/>
  </w:style>
  <w:style w:type="character" w:styleId="HTMLCite">
    <w:name w:val="HTML Cite"/>
    <w:basedOn w:val="DefaultParagraphFont"/>
    <w:uiPriority w:val="99"/>
    <w:semiHidden/>
    <w:unhideWhenUsed/>
    <w:rsid w:val="003314C2"/>
    <w:rPr>
      <w:i/>
      <w:iCs/>
    </w:rPr>
  </w:style>
  <w:style w:type="character" w:customStyle="1" w:styleId="src">
    <w:name w:val="src"/>
    <w:basedOn w:val="DefaultParagraphFont"/>
    <w:rsid w:val="0033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857">
      <w:bodyDiv w:val="1"/>
      <w:marLeft w:val="0"/>
      <w:marRight w:val="0"/>
      <w:marTop w:val="0"/>
      <w:marBottom w:val="0"/>
      <w:divBdr>
        <w:top w:val="none" w:sz="0" w:space="0" w:color="auto"/>
        <w:left w:val="none" w:sz="0" w:space="0" w:color="auto"/>
        <w:bottom w:val="none" w:sz="0" w:space="0" w:color="auto"/>
        <w:right w:val="none" w:sz="0" w:space="0" w:color="auto"/>
      </w:divBdr>
    </w:div>
    <w:div w:id="43874572">
      <w:bodyDiv w:val="1"/>
      <w:marLeft w:val="0"/>
      <w:marRight w:val="0"/>
      <w:marTop w:val="0"/>
      <w:marBottom w:val="0"/>
      <w:divBdr>
        <w:top w:val="none" w:sz="0" w:space="0" w:color="auto"/>
        <w:left w:val="none" w:sz="0" w:space="0" w:color="auto"/>
        <w:bottom w:val="none" w:sz="0" w:space="0" w:color="auto"/>
        <w:right w:val="none" w:sz="0" w:space="0" w:color="auto"/>
      </w:divBdr>
    </w:div>
    <w:div w:id="236597858">
      <w:bodyDiv w:val="1"/>
      <w:marLeft w:val="0"/>
      <w:marRight w:val="0"/>
      <w:marTop w:val="0"/>
      <w:marBottom w:val="0"/>
      <w:divBdr>
        <w:top w:val="none" w:sz="0" w:space="0" w:color="auto"/>
        <w:left w:val="none" w:sz="0" w:space="0" w:color="auto"/>
        <w:bottom w:val="none" w:sz="0" w:space="0" w:color="auto"/>
        <w:right w:val="none" w:sz="0" w:space="0" w:color="auto"/>
      </w:divBdr>
    </w:div>
    <w:div w:id="280303637">
      <w:bodyDiv w:val="1"/>
      <w:marLeft w:val="0"/>
      <w:marRight w:val="0"/>
      <w:marTop w:val="0"/>
      <w:marBottom w:val="0"/>
      <w:divBdr>
        <w:top w:val="none" w:sz="0" w:space="0" w:color="auto"/>
        <w:left w:val="none" w:sz="0" w:space="0" w:color="auto"/>
        <w:bottom w:val="none" w:sz="0" w:space="0" w:color="auto"/>
        <w:right w:val="none" w:sz="0" w:space="0" w:color="auto"/>
      </w:divBdr>
    </w:div>
    <w:div w:id="322784862">
      <w:bodyDiv w:val="1"/>
      <w:marLeft w:val="0"/>
      <w:marRight w:val="0"/>
      <w:marTop w:val="0"/>
      <w:marBottom w:val="0"/>
      <w:divBdr>
        <w:top w:val="none" w:sz="0" w:space="0" w:color="auto"/>
        <w:left w:val="none" w:sz="0" w:space="0" w:color="auto"/>
        <w:bottom w:val="none" w:sz="0" w:space="0" w:color="auto"/>
        <w:right w:val="none" w:sz="0" w:space="0" w:color="auto"/>
      </w:divBdr>
    </w:div>
    <w:div w:id="469831048">
      <w:bodyDiv w:val="1"/>
      <w:marLeft w:val="0"/>
      <w:marRight w:val="0"/>
      <w:marTop w:val="0"/>
      <w:marBottom w:val="0"/>
      <w:divBdr>
        <w:top w:val="none" w:sz="0" w:space="0" w:color="auto"/>
        <w:left w:val="none" w:sz="0" w:space="0" w:color="auto"/>
        <w:bottom w:val="none" w:sz="0" w:space="0" w:color="auto"/>
        <w:right w:val="none" w:sz="0" w:space="0" w:color="auto"/>
      </w:divBdr>
    </w:div>
    <w:div w:id="570307239">
      <w:bodyDiv w:val="1"/>
      <w:marLeft w:val="0"/>
      <w:marRight w:val="0"/>
      <w:marTop w:val="0"/>
      <w:marBottom w:val="0"/>
      <w:divBdr>
        <w:top w:val="none" w:sz="0" w:space="0" w:color="auto"/>
        <w:left w:val="none" w:sz="0" w:space="0" w:color="auto"/>
        <w:bottom w:val="none" w:sz="0" w:space="0" w:color="auto"/>
        <w:right w:val="none" w:sz="0" w:space="0" w:color="auto"/>
      </w:divBdr>
      <w:divsChild>
        <w:div w:id="24186106">
          <w:marLeft w:val="0"/>
          <w:marRight w:val="0"/>
          <w:marTop w:val="0"/>
          <w:marBottom w:val="0"/>
          <w:divBdr>
            <w:top w:val="none" w:sz="0" w:space="0" w:color="auto"/>
            <w:left w:val="none" w:sz="0" w:space="0" w:color="auto"/>
            <w:bottom w:val="none" w:sz="0" w:space="0" w:color="auto"/>
            <w:right w:val="none" w:sz="0" w:space="0" w:color="auto"/>
          </w:divBdr>
        </w:div>
        <w:div w:id="1398437277">
          <w:marLeft w:val="0"/>
          <w:marRight w:val="0"/>
          <w:marTop w:val="0"/>
          <w:marBottom w:val="0"/>
          <w:divBdr>
            <w:top w:val="none" w:sz="0" w:space="0" w:color="auto"/>
            <w:left w:val="none" w:sz="0" w:space="0" w:color="auto"/>
            <w:bottom w:val="none" w:sz="0" w:space="0" w:color="auto"/>
            <w:right w:val="none" w:sz="0" w:space="0" w:color="auto"/>
          </w:divBdr>
        </w:div>
      </w:divsChild>
    </w:div>
    <w:div w:id="694037094">
      <w:bodyDiv w:val="1"/>
      <w:marLeft w:val="0"/>
      <w:marRight w:val="0"/>
      <w:marTop w:val="0"/>
      <w:marBottom w:val="0"/>
      <w:divBdr>
        <w:top w:val="none" w:sz="0" w:space="0" w:color="auto"/>
        <w:left w:val="none" w:sz="0" w:space="0" w:color="auto"/>
        <w:bottom w:val="none" w:sz="0" w:space="0" w:color="auto"/>
        <w:right w:val="none" w:sz="0" w:space="0" w:color="auto"/>
      </w:divBdr>
      <w:divsChild>
        <w:div w:id="907419568">
          <w:marLeft w:val="0"/>
          <w:marRight w:val="0"/>
          <w:marTop w:val="0"/>
          <w:marBottom w:val="0"/>
          <w:divBdr>
            <w:top w:val="none" w:sz="0" w:space="0" w:color="auto"/>
            <w:left w:val="none" w:sz="0" w:space="0" w:color="auto"/>
            <w:bottom w:val="none" w:sz="0" w:space="0" w:color="auto"/>
            <w:right w:val="none" w:sz="0" w:space="0" w:color="auto"/>
          </w:divBdr>
        </w:div>
      </w:divsChild>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27416798">
      <w:bodyDiv w:val="1"/>
      <w:marLeft w:val="0"/>
      <w:marRight w:val="0"/>
      <w:marTop w:val="0"/>
      <w:marBottom w:val="0"/>
      <w:divBdr>
        <w:top w:val="none" w:sz="0" w:space="0" w:color="auto"/>
        <w:left w:val="none" w:sz="0" w:space="0" w:color="auto"/>
        <w:bottom w:val="none" w:sz="0" w:space="0" w:color="auto"/>
        <w:right w:val="none" w:sz="0" w:space="0" w:color="auto"/>
      </w:divBdr>
    </w:div>
    <w:div w:id="731195625">
      <w:bodyDiv w:val="1"/>
      <w:marLeft w:val="0"/>
      <w:marRight w:val="0"/>
      <w:marTop w:val="0"/>
      <w:marBottom w:val="0"/>
      <w:divBdr>
        <w:top w:val="none" w:sz="0" w:space="0" w:color="auto"/>
        <w:left w:val="none" w:sz="0" w:space="0" w:color="auto"/>
        <w:bottom w:val="none" w:sz="0" w:space="0" w:color="auto"/>
        <w:right w:val="none" w:sz="0" w:space="0" w:color="auto"/>
      </w:divBdr>
    </w:div>
    <w:div w:id="871192110">
      <w:bodyDiv w:val="1"/>
      <w:marLeft w:val="0"/>
      <w:marRight w:val="0"/>
      <w:marTop w:val="0"/>
      <w:marBottom w:val="0"/>
      <w:divBdr>
        <w:top w:val="none" w:sz="0" w:space="0" w:color="auto"/>
        <w:left w:val="none" w:sz="0" w:space="0" w:color="auto"/>
        <w:bottom w:val="none" w:sz="0" w:space="0" w:color="auto"/>
        <w:right w:val="none" w:sz="0" w:space="0" w:color="auto"/>
      </w:divBdr>
      <w:divsChild>
        <w:div w:id="1446578079">
          <w:marLeft w:val="0"/>
          <w:marRight w:val="0"/>
          <w:marTop w:val="0"/>
          <w:marBottom w:val="0"/>
          <w:divBdr>
            <w:top w:val="none" w:sz="0" w:space="0" w:color="auto"/>
            <w:left w:val="none" w:sz="0" w:space="0" w:color="auto"/>
            <w:bottom w:val="none" w:sz="0" w:space="0" w:color="auto"/>
            <w:right w:val="none" w:sz="0" w:space="0" w:color="auto"/>
          </w:divBdr>
          <w:divsChild>
            <w:div w:id="1907688125">
              <w:marLeft w:val="0"/>
              <w:marRight w:val="0"/>
              <w:marTop w:val="0"/>
              <w:marBottom w:val="0"/>
              <w:divBdr>
                <w:top w:val="none" w:sz="0" w:space="0" w:color="auto"/>
                <w:left w:val="none" w:sz="0" w:space="0" w:color="auto"/>
                <w:bottom w:val="none" w:sz="0" w:space="0" w:color="auto"/>
                <w:right w:val="none" w:sz="0" w:space="0" w:color="auto"/>
              </w:divBdr>
            </w:div>
            <w:div w:id="645738752">
              <w:marLeft w:val="0"/>
              <w:marRight w:val="0"/>
              <w:marTop w:val="0"/>
              <w:marBottom w:val="0"/>
              <w:divBdr>
                <w:top w:val="none" w:sz="0" w:space="0" w:color="auto"/>
                <w:left w:val="none" w:sz="0" w:space="0" w:color="auto"/>
                <w:bottom w:val="none" w:sz="0" w:space="0" w:color="auto"/>
                <w:right w:val="none" w:sz="0" w:space="0" w:color="auto"/>
              </w:divBdr>
            </w:div>
          </w:divsChild>
        </w:div>
        <w:div w:id="216089382">
          <w:marLeft w:val="0"/>
          <w:marRight w:val="0"/>
          <w:marTop w:val="0"/>
          <w:marBottom w:val="0"/>
          <w:divBdr>
            <w:top w:val="none" w:sz="0" w:space="0" w:color="auto"/>
            <w:left w:val="none" w:sz="0" w:space="0" w:color="auto"/>
            <w:bottom w:val="none" w:sz="0" w:space="0" w:color="auto"/>
            <w:right w:val="none" w:sz="0" w:space="0" w:color="auto"/>
          </w:divBdr>
          <w:divsChild>
            <w:div w:id="14431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7187">
      <w:bodyDiv w:val="1"/>
      <w:marLeft w:val="0"/>
      <w:marRight w:val="0"/>
      <w:marTop w:val="0"/>
      <w:marBottom w:val="0"/>
      <w:divBdr>
        <w:top w:val="none" w:sz="0" w:space="0" w:color="auto"/>
        <w:left w:val="none" w:sz="0" w:space="0" w:color="auto"/>
        <w:bottom w:val="none" w:sz="0" w:space="0" w:color="auto"/>
        <w:right w:val="none" w:sz="0" w:space="0" w:color="auto"/>
      </w:divBdr>
    </w:div>
    <w:div w:id="907884515">
      <w:bodyDiv w:val="1"/>
      <w:marLeft w:val="0"/>
      <w:marRight w:val="0"/>
      <w:marTop w:val="0"/>
      <w:marBottom w:val="0"/>
      <w:divBdr>
        <w:top w:val="none" w:sz="0" w:space="0" w:color="auto"/>
        <w:left w:val="none" w:sz="0" w:space="0" w:color="auto"/>
        <w:bottom w:val="none" w:sz="0" w:space="0" w:color="auto"/>
        <w:right w:val="none" w:sz="0" w:space="0" w:color="auto"/>
      </w:divBdr>
    </w:div>
    <w:div w:id="959844841">
      <w:bodyDiv w:val="1"/>
      <w:marLeft w:val="0"/>
      <w:marRight w:val="0"/>
      <w:marTop w:val="0"/>
      <w:marBottom w:val="0"/>
      <w:divBdr>
        <w:top w:val="none" w:sz="0" w:space="0" w:color="auto"/>
        <w:left w:val="none" w:sz="0" w:space="0" w:color="auto"/>
        <w:bottom w:val="none" w:sz="0" w:space="0" w:color="auto"/>
        <w:right w:val="none" w:sz="0" w:space="0" w:color="auto"/>
      </w:divBdr>
    </w:div>
    <w:div w:id="1045300349">
      <w:bodyDiv w:val="1"/>
      <w:marLeft w:val="0"/>
      <w:marRight w:val="0"/>
      <w:marTop w:val="0"/>
      <w:marBottom w:val="0"/>
      <w:divBdr>
        <w:top w:val="none" w:sz="0" w:space="0" w:color="auto"/>
        <w:left w:val="none" w:sz="0" w:space="0" w:color="auto"/>
        <w:bottom w:val="none" w:sz="0" w:space="0" w:color="auto"/>
        <w:right w:val="none" w:sz="0" w:space="0" w:color="auto"/>
      </w:divBdr>
    </w:div>
    <w:div w:id="1062872707">
      <w:bodyDiv w:val="1"/>
      <w:marLeft w:val="0"/>
      <w:marRight w:val="0"/>
      <w:marTop w:val="0"/>
      <w:marBottom w:val="0"/>
      <w:divBdr>
        <w:top w:val="none" w:sz="0" w:space="0" w:color="auto"/>
        <w:left w:val="none" w:sz="0" w:space="0" w:color="auto"/>
        <w:bottom w:val="none" w:sz="0" w:space="0" w:color="auto"/>
        <w:right w:val="none" w:sz="0" w:space="0" w:color="auto"/>
      </w:divBdr>
      <w:divsChild>
        <w:div w:id="1875997942">
          <w:marLeft w:val="0"/>
          <w:marRight w:val="0"/>
          <w:marTop w:val="0"/>
          <w:marBottom w:val="0"/>
          <w:divBdr>
            <w:top w:val="none" w:sz="0" w:space="0" w:color="auto"/>
            <w:left w:val="none" w:sz="0" w:space="0" w:color="auto"/>
            <w:bottom w:val="none" w:sz="0" w:space="0" w:color="auto"/>
            <w:right w:val="none" w:sz="0" w:space="0" w:color="auto"/>
          </w:divBdr>
        </w:div>
      </w:divsChild>
    </w:div>
    <w:div w:id="1066881446">
      <w:bodyDiv w:val="1"/>
      <w:marLeft w:val="0"/>
      <w:marRight w:val="0"/>
      <w:marTop w:val="0"/>
      <w:marBottom w:val="0"/>
      <w:divBdr>
        <w:top w:val="none" w:sz="0" w:space="0" w:color="auto"/>
        <w:left w:val="none" w:sz="0" w:space="0" w:color="auto"/>
        <w:bottom w:val="none" w:sz="0" w:space="0" w:color="auto"/>
        <w:right w:val="none" w:sz="0" w:space="0" w:color="auto"/>
      </w:divBdr>
    </w:div>
    <w:div w:id="1082607606">
      <w:bodyDiv w:val="1"/>
      <w:marLeft w:val="0"/>
      <w:marRight w:val="0"/>
      <w:marTop w:val="0"/>
      <w:marBottom w:val="0"/>
      <w:divBdr>
        <w:top w:val="none" w:sz="0" w:space="0" w:color="auto"/>
        <w:left w:val="none" w:sz="0" w:space="0" w:color="auto"/>
        <w:bottom w:val="none" w:sz="0" w:space="0" w:color="auto"/>
        <w:right w:val="none" w:sz="0" w:space="0" w:color="auto"/>
      </w:divBdr>
      <w:divsChild>
        <w:div w:id="989557676">
          <w:marLeft w:val="0"/>
          <w:marRight w:val="0"/>
          <w:marTop w:val="240"/>
          <w:marBottom w:val="0"/>
          <w:divBdr>
            <w:top w:val="none" w:sz="0" w:space="0" w:color="auto"/>
            <w:left w:val="none" w:sz="0" w:space="0" w:color="auto"/>
            <w:bottom w:val="none" w:sz="0" w:space="0" w:color="auto"/>
            <w:right w:val="none" w:sz="0" w:space="0" w:color="auto"/>
          </w:divBdr>
          <w:divsChild>
            <w:div w:id="919294967">
              <w:marLeft w:val="0"/>
              <w:marRight w:val="0"/>
              <w:marTop w:val="0"/>
              <w:marBottom w:val="0"/>
              <w:divBdr>
                <w:top w:val="none" w:sz="0" w:space="0" w:color="auto"/>
                <w:left w:val="none" w:sz="0" w:space="0" w:color="auto"/>
                <w:bottom w:val="none" w:sz="0" w:space="0" w:color="auto"/>
                <w:right w:val="none" w:sz="0" w:space="0" w:color="auto"/>
              </w:divBdr>
              <w:divsChild>
                <w:div w:id="1332683363">
                  <w:marLeft w:val="0"/>
                  <w:marRight w:val="0"/>
                  <w:marTop w:val="0"/>
                  <w:marBottom w:val="0"/>
                  <w:divBdr>
                    <w:top w:val="none" w:sz="0" w:space="0" w:color="auto"/>
                    <w:left w:val="none" w:sz="0" w:space="0" w:color="auto"/>
                    <w:bottom w:val="none" w:sz="0" w:space="0" w:color="auto"/>
                    <w:right w:val="none" w:sz="0" w:space="0" w:color="auto"/>
                  </w:divBdr>
                  <w:divsChild>
                    <w:div w:id="1842428158">
                      <w:marLeft w:val="0"/>
                      <w:marRight w:val="0"/>
                      <w:marTop w:val="0"/>
                      <w:marBottom w:val="0"/>
                      <w:divBdr>
                        <w:top w:val="none" w:sz="0" w:space="0" w:color="auto"/>
                        <w:left w:val="none" w:sz="0" w:space="0" w:color="auto"/>
                        <w:bottom w:val="none" w:sz="0" w:space="0" w:color="auto"/>
                        <w:right w:val="none" w:sz="0" w:space="0" w:color="auto"/>
                      </w:divBdr>
                    </w:div>
                    <w:div w:id="21361680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78353733">
      <w:bodyDiv w:val="1"/>
      <w:marLeft w:val="0"/>
      <w:marRight w:val="0"/>
      <w:marTop w:val="0"/>
      <w:marBottom w:val="0"/>
      <w:divBdr>
        <w:top w:val="none" w:sz="0" w:space="0" w:color="auto"/>
        <w:left w:val="none" w:sz="0" w:space="0" w:color="auto"/>
        <w:bottom w:val="none" w:sz="0" w:space="0" w:color="auto"/>
        <w:right w:val="none" w:sz="0" w:space="0" w:color="auto"/>
      </w:divBdr>
      <w:divsChild>
        <w:div w:id="689914542">
          <w:marLeft w:val="0"/>
          <w:marRight w:val="0"/>
          <w:marTop w:val="0"/>
          <w:marBottom w:val="0"/>
          <w:divBdr>
            <w:top w:val="none" w:sz="0" w:space="0" w:color="auto"/>
            <w:left w:val="none" w:sz="0" w:space="0" w:color="auto"/>
            <w:bottom w:val="none" w:sz="0" w:space="0" w:color="auto"/>
            <w:right w:val="none" w:sz="0" w:space="0" w:color="auto"/>
          </w:divBdr>
          <w:divsChild>
            <w:div w:id="1805467074">
              <w:marLeft w:val="0"/>
              <w:marRight w:val="0"/>
              <w:marTop w:val="0"/>
              <w:marBottom w:val="0"/>
              <w:divBdr>
                <w:top w:val="none" w:sz="0" w:space="0" w:color="auto"/>
                <w:left w:val="none" w:sz="0" w:space="0" w:color="auto"/>
                <w:bottom w:val="none" w:sz="0" w:space="0" w:color="auto"/>
                <w:right w:val="none" w:sz="0" w:space="0" w:color="auto"/>
              </w:divBdr>
            </w:div>
            <w:div w:id="1731461508">
              <w:marLeft w:val="0"/>
              <w:marRight w:val="0"/>
              <w:marTop w:val="0"/>
              <w:marBottom w:val="0"/>
              <w:divBdr>
                <w:top w:val="none" w:sz="0" w:space="0" w:color="auto"/>
                <w:left w:val="none" w:sz="0" w:space="0" w:color="auto"/>
                <w:bottom w:val="none" w:sz="0" w:space="0" w:color="auto"/>
                <w:right w:val="none" w:sz="0" w:space="0" w:color="auto"/>
              </w:divBdr>
            </w:div>
          </w:divsChild>
        </w:div>
        <w:div w:id="816528527">
          <w:marLeft w:val="0"/>
          <w:marRight w:val="0"/>
          <w:marTop w:val="0"/>
          <w:marBottom w:val="0"/>
          <w:divBdr>
            <w:top w:val="none" w:sz="0" w:space="0" w:color="auto"/>
            <w:left w:val="none" w:sz="0" w:space="0" w:color="auto"/>
            <w:bottom w:val="none" w:sz="0" w:space="0" w:color="auto"/>
            <w:right w:val="none" w:sz="0" w:space="0" w:color="auto"/>
          </w:divBdr>
          <w:divsChild>
            <w:div w:id="7862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7854">
      <w:bodyDiv w:val="1"/>
      <w:marLeft w:val="0"/>
      <w:marRight w:val="0"/>
      <w:marTop w:val="0"/>
      <w:marBottom w:val="0"/>
      <w:divBdr>
        <w:top w:val="none" w:sz="0" w:space="0" w:color="auto"/>
        <w:left w:val="none" w:sz="0" w:space="0" w:color="auto"/>
        <w:bottom w:val="none" w:sz="0" w:space="0" w:color="auto"/>
        <w:right w:val="none" w:sz="0" w:space="0" w:color="auto"/>
      </w:divBdr>
    </w:div>
    <w:div w:id="1202400170">
      <w:bodyDiv w:val="1"/>
      <w:marLeft w:val="0"/>
      <w:marRight w:val="0"/>
      <w:marTop w:val="0"/>
      <w:marBottom w:val="0"/>
      <w:divBdr>
        <w:top w:val="none" w:sz="0" w:space="0" w:color="auto"/>
        <w:left w:val="none" w:sz="0" w:space="0" w:color="auto"/>
        <w:bottom w:val="none" w:sz="0" w:space="0" w:color="auto"/>
        <w:right w:val="none" w:sz="0" w:space="0" w:color="auto"/>
      </w:divBdr>
    </w:div>
    <w:div w:id="1220362163">
      <w:bodyDiv w:val="1"/>
      <w:marLeft w:val="0"/>
      <w:marRight w:val="0"/>
      <w:marTop w:val="0"/>
      <w:marBottom w:val="0"/>
      <w:divBdr>
        <w:top w:val="none" w:sz="0" w:space="0" w:color="auto"/>
        <w:left w:val="none" w:sz="0" w:space="0" w:color="auto"/>
        <w:bottom w:val="none" w:sz="0" w:space="0" w:color="auto"/>
        <w:right w:val="none" w:sz="0" w:space="0" w:color="auto"/>
      </w:divBdr>
      <w:divsChild>
        <w:div w:id="695883407">
          <w:marLeft w:val="0"/>
          <w:marRight w:val="0"/>
          <w:marTop w:val="0"/>
          <w:marBottom w:val="0"/>
          <w:divBdr>
            <w:top w:val="none" w:sz="0" w:space="0" w:color="auto"/>
            <w:left w:val="none" w:sz="0" w:space="0" w:color="auto"/>
            <w:bottom w:val="none" w:sz="0" w:space="0" w:color="auto"/>
            <w:right w:val="none" w:sz="0" w:space="0" w:color="auto"/>
          </w:divBdr>
        </w:div>
      </w:divsChild>
    </w:div>
    <w:div w:id="1240599935">
      <w:bodyDiv w:val="1"/>
      <w:marLeft w:val="0"/>
      <w:marRight w:val="0"/>
      <w:marTop w:val="0"/>
      <w:marBottom w:val="0"/>
      <w:divBdr>
        <w:top w:val="none" w:sz="0" w:space="0" w:color="auto"/>
        <w:left w:val="none" w:sz="0" w:space="0" w:color="auto"/>
        <w:bottom w:val="none" w:sz="0" w:space="0" w:color="auto"/>
        <w:right w:val="none" w:sz="0" w:space="0" w:color="auto"/>
      </w:divBdr>
      <w:divsChild>
        <w:div w:id="2030258779">
          <w:marLeft w:val="0"/>
          <w:marRight w:val="0"/>
          <w:marTop w:val="0"/>
          <w:marBottom w:val="0"/>
          <w:divBdr>
            <w:top w:val="none" w:sz="0" w:space="0" w:color="auto"/>
            <w:left w:val="none" w:sz="0" w:space="0" w:color="auto"/>
            <w:bottom w:val="none" w:sz="0" w:space="0" w:color="auto"/>
            <w:right w:val="none" w:sz="0" w:space="0" w:color="auto"/>
          </w:divBdr>
        </w:div>
        <w:div w:id="489520662">
          <w:marLeft w:val="0"/>
          <w:marRight w:val="0"/>
          <w:marTop w:val="0"/>
          <w:marBottom w:val="0"/>
          <w:divBdr>
            <w:top w:val="none" w:sz="0" w:space="0" w:color="auto"/>
            <w:left w:val="none" w:sz="0" w:space="0" w:color="auto"/>
            <w:bottom w:val="none" w:sz="0" w:space="0" w:color="auto"/>
            <w:right w:val="none" w:sz="0" w:space="0" w:color="auto"/>
          </w:divBdr>
          <w:divsChild>
            <w:div w:id="2075855253">
              <w:marLeft w:val="0"/>
              <w:marRight w:val="0"/>
              <w:marTop w:val="0"/>
              <w:marBottom w:val="0"/>
              <w:divBdr>
                <w:top w:val="none" w:sz="0" w:space="0" w:color="auto"/>
                <w:left w:val="none" w:sz="0" w:space="0" w:color="auto"/>
                <w:bottom w:val="none" w:sz="0" w:space="0" w:color="auto"/>
                <w:right w:val="none" w:sz="0" w:space="0" w:color="auto"/>
              </w:divBdr>
              <w:divsChild>
                <w:div w:id="6438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7817">
      <w:bodyDiv w:val="1"/>
      <w:marLeft w:val="0"/>
      <w:marRight w:val="0"/>
      <w:marTop w:val="0"/>
      <w:marBottom w:val="0"/>
      <w:divBdr>
        <w:top w:val="none" w:sz="0" w:space="0" w:color="auto"/>
        <w:left w:val="none" w:sz="0" w:space="0" w:color="auto"/>
        <w:bottom w:val="none" w:sz="0" w:space="0" w:color="auto"/>
        <w:right w:val="none" w:sz="0" w:space="0" w:color="auto"/>
      </w:divBdr>
    </w:div>
    <w:div w:id="1260795562">
      <w:bodyDiv w:val="1"/>
      <w:marLeft w:val="0"/>
      <w:marRight w:val="0"/>
      <w:marTop w:val="0"/>
      <w:marBottom w:val="0"/>
      <w:divBdr>
        <w:top w:val="none" w:sz="0" w:space="0" w:color="auto"/>
        <w:left w:val="none" w:sz="0" w:space="0" w:color="auto"/>
        <w:bottom w:val="none" w:sz="0" w:space="0" w:color="auto"/>
        <w:right w:val="none" w:sz="0" w:space="0" w:color="auto"/>
      </w:divBdr>
    </w:div>
    <w:div w:id="1288512404">
      <w:bodyDiv w:val="1"/>
      <w:marLeft w:val="0"/>
      <w:marRight w:val="0"/>
      <w:marTop w:val="0"/>
      <w:marBottom w:val="0"/>
      <w:divBdr>
        <w:top w:val="none" w:sz="0" w:space="0" w:color="auto"/>
        <w:left w:val="none" w:sz="0" w:space="0" w:color="auto"/>
        <w:bottom w:val="none" w:sz="0" w:space="0" w:color="auto"/>
        <w:right w:val="none" w:sz="0" w:space="0" w:color="auto"/>
      </w:divBdr>
    </w:div>
    <w:div w:id="1296984604">
      <w:bodyDiv w:val="1"/>
      <w:marLeft w:val="0"/>
      <w:marRight w:val="0"/>
      <w:marTop w:val="0"/>
      <w:marBottom w:val="0"/>
      <w:divBdr>
        <w:top w:val="none" w:sz="0" w:space="0" w:color="auto"/>
        <w:left w:val="none" w:sz="0" w:space="0" w:color="auto"/>
        <w:bottom w:val="none" w:sz="0" w:space="0" w:color="auto"/>
        <w:right w:val="none" w:sz="0" w:space="0" w:color="auto"/>
      </w:divBdr>
    </w:div>
    <w:div w:id="1374846353">
      <w:bodyDiv w:val="1"/>
      <w:marLeft w:val="0"/>
      <w:marRight w:val="0"/>
      <w:marTop w:val="0"/>
      <w:marBottom w:val="0"/>
      <w:divBdr>
        <w:top w:val="none" w:sz="0" w:space="0" w:color="auto"/>
        <w:left w:val="none" w:sz="0" w:space="0" w:color="auto"/>
        <w:bottom w:val="none" w:sz="0" w:space="0" w:color="auto"/>
        <w:right w:val="none" w:sz="0" w:space="0" w:color="auto"/>
      </w:divBdr>
    </w:div>
    <w:div w:id="1452630135">
      <w:bodyDiv w:val="1"/>
      <w:marLeft w:val="0"/>
      <w:marRight w:val="0"/>
      <w:marTop w:val="0"/>
      <w:marBottom w:val="0"/>
      <w:divBdr>
        <w:top w:val="none" w:sz="0" w:space="0" w:color="auto"/>
        <w:left w:val="none" w:sz="0" w:space="0" w:color="auto"/>
        <w:bottom w:val="none" w:sz="0" w:space="0" w:color="auto"/>
        <w:right w:val="none" w:sz="0" w:space="0" w:color="auto"/>
      </w:divBdr>
      <w:divsChild>
        <w:div w:id="528448770">
          <w:marLeft w:val="0"/>
          <w:marRight w:val="0"/>
          <w:marTop w:val="0"/>
          <w:marBottom w:val="0"/>
          <w:divBdr>
            <w:top w:val="none" w:sz="0" w:space="0" w:color="auto"/>
            <w:left w:val="none" w:sz="0" w:space="0" w:color="auto"/>
            <w:bottom w:val="none" w:sz="0" w:space="0" w:color="auto"/>
            <w:right w:val="none" w:sz="0" w:space="0" w:color="auto"/>
          </w:divBdr>
        </w:div>
      </w:divsChild>
    </w:div>
    <w:div w:id="1491406577">
      <w:bodyDiv w:val="1"/>
      <w:marLeft w:val="0"/>
      <w:marRight w:val="0"/>
      <w:marTop w:val="0"/>
      <w:marBottom w:val="0"/>
      <w:divBdr>
        <w:top w:val="none" w:sz="0" w:space="0" w:color="auto"/>
        <w:left w:val="none" w:sz="0" w:space="0" w:color="auto"/>
        <w:bottom w:val="none" w:sz="0" w:space="0" w:color="auto"/>
        <w:right w:val="none" w:sz="0" w:space="0" w:color="auto"/>
      </w:divBdr>
    </w:div>
    <w:div w:id="1645307033">
      <w:bodyDiv w:val="1"/>
      <w:marLeft w:val="0"/>
      <w:marRight w:val="0"/>
      <w:marTop w:val="0"/>
      <w:marBottom w:val="0"/>
      <w:divBdr>
        <w:top w:val="none" w:sz="0" w:space="0" w:color="auto"/>
        <w:left w:val="none" w:sz="0" w:space="0" w:color="auto"/>
        <w:bottom w:val="none" w:sz="0" w:space="0" w:color="auto"/>
        <w:right w:val="none" w:sz="0" w:space="0" w:color="auto"/>
      </w:divBdr>
    </w:div>
    <w:div w:id="1677684819">
      <w:bodyDiv w:val="1"/>
      <w:marLeft w:val="0"/>
      <w:marRight w:val="0"/>
      <w:marTop w:val="0"/>
      <w:marBottom w:val="0"/>
      <w:divBdr>
        <w:top w:val="none" w:sz="0" w:space="0" w:color="auto"/>
        <w:left w:val="none" w:sz="0" w:space="0" w:color="auto"/>
        <w:bottom w:val="none" w:sz="0" w:space="0" w:color="auto"/>
        <w:right w:val="none" w:sz="0" w:space="0" w:color="auto"/>
      </w:divBdr>
    </w:div>
    <w:div w:id="1774089174">
      <w:bodyDiv w:val="1"/>
      <w:marLeft w:val="0"/>
      <w:marRight w:val="0"/>
      <w:marTop w:val="0"/>
      <w:marBottom w:val="0"/>
      <w:divBdr>
        <w:top w:val="none" w:sz="0" w:space="0" w:color="auto"/>
        <w:left w:val="none" w:sz="0" w:space="0" w:color="auto"/>
        <w:bottom w:val="none" w:sz="0" w:space="0" w:color="auto"/>
        <w:right w:val="none" w:sz="0" w:space="0" w:color="auto"/>
      </w:divBdr>
      <w:divsChild>
        <w:div w:id="1758744433">
          <w:marLeft w:val="0"/>
          <w:marRight w:val="0"/>
          <w:marTop w:val="0"/>
          <w:marBottom w:val="0"/>
          <w:divBdr>
            <w:top w:val="none" w:sz="0" w:space="0" w:color="auto"/>
            <w:left w:val="none" w:sz="0" w:space="0" w:color="auto"/>
            <w:bottom w:val="none" w:sz="0" w:space="0" w:color="auto"/>
            <w:right w:val="none" w:sz="0" w:space="0" w:color="auto"/>
          </w:divBdr>
        </w:div>
        <w:div w:id="1196121267">
          <w:marLeft w:val="0"/>
          <w:marRight w:val="0"/>
          <w:marTop w:val="0"/>
          <w:marBottom w:val="0"/>
          <w:divBdr>
            <w:top w:val="none" w:sz="0" w:space="0" w:color="auto"/>
            <w:left w:val="none" w:sz="0" w:space="0" w:color="auto"/>
            <w:bottom w:val="none" w:sz="0" w:space="0" w:color="auto"/>
            <w:right w:val="none" w:sz="0" w:space="0" w:color="auto"/>
          </w:divBdr>
        </w:div>
      </w:divsChild>
    </w:div>
    <w:div w:id="1794782819">
      <w:bodyDiv w:val="1"/>
      <w:marLeft w:val="0"/>
      <w:marRight w:val="0"/>
      <w:marTop w:val="0"/>
      <w:marBottom w:val="0"/>
      <w:divBdr>
        <w:top w:val="none" w:sz="0" w:space="0" w:color="auto"/>
        <w:left w:val="none" w:sz="0" w:space="0" w:color="auto"/>
        <w:bottom w:val="none" w:sz="0" w:space="0" w:color="auto"/>
        <w:right w:val="none" w:sz="0" w:space="0" w:color="auto"/>
      </w:divBdr>
    </w:div>
    <w:div w:id="1811361810">
      <w:bodyDiv w:val="1"/>
      <w:marLeft w:val="0"/>
      <w:marRight w:val="0"/>
      <w:marTop w:val="0"/>
      <w:marBottom w:val="0"/>
      <w:divBdr>
        <w:top w:val="none" w:sz="0" w:space="0" w:color="auto"/>
        <w:left w:val="none" w:sz="0" w:space="0" w:color="auto"/>
        <w:bottom w:val="none" w:sz="0" w:space="0" w:color="auto"/>
        <w:right w:val="none" w:sz="0" w:space="0" w:color="auto"/>
      </w:divBdr>
    </w:div>
    <w:div w:id="1850943963">
      <w:bodyDiv w:val="1"/>
      <w:marLeft w:val="0"/>
      <w:marRight w:val="0"/>
      <w:marTop w:val="0"/>
      <w:marBottom w:val="0"/>
      <w:divBdr>
        <w:top w:val="none" w:sz="0" w:space="0" w:color="auto"/>
        <w:left w:val="none" w:sz="0" w:space="0" w:color="auto"/>
        <w:bottom w:val="none" w:sz="0" w:space="0" w:color="auto"/>
        <w:right w:val="none" w:sz="0" w:space="0" w:color="auto"/>
      </w:divBdr>
    </w:div>
    <w:div w:id="1872109684">
      <w:bodyDiv w:val="1"/>
      <w:marLeft w:val="0"/>
      <w:marRight w:val="0"/>
      <w:marTop w:val="0"/>
      <w:marBottom w:val="0"/>
      <w:divBdr>
        <w:top w:val="none" w:sz="0" w:space="0" w:color="auto"/>
        <w:left w:val="none" w:sz="0" w:space="0" w:color="auto"/>
        <w:bottom w:val="none" w:sz="0" w:space="0" w:color="auto"/>
        <w:right w:val="none" w:sz="0" w:space="0" w:color="auto"/>
      </w:divBdr>
    </w:div>
    <w:div w:id="2006083757">
      <w:bodyDiv w:val="1"/>
      <w:marLeft w:val="0"/>
      <w:marRight w:val="0"/>
      <w:marTop w:val="0"/>
      <w:marBottom w:val="0"/>
      <w:divBdr>
        <w:top w:val="none" w:sz="0" w:space="0" w:color="auto"/>
        <w:left w:val="none" w:sz="0" w:space="0" w:color="auto"/>
        <w:bottom w:val="none" w:sz="0" w:space="0" w:color="auto"/>
        <w:right w:val="none" w:sz="0" w:space="0" w:color="auto"/>
      </w:divBdr>
    </w:div>
    <w:div w:id="2047220509">
      <w:bodyDiv w:val="1"/>
      <w:marLeft w:val="0"/>
      <w:marRight w:val="0"/>
      <w:marTop w:val="0"/>
      <w:marBottom w:val="0"/>
      <w:divBdr>
        <w:top w:val="none" w:sz="0" w:space="0" w:color="auto"/>
        <w:left w:val="none" w:sz="0" w:space="0" w:color="auto"/>
        <w:bottom w:val="none" w:sz="0" w:space="0" w:color="auto"/>
        <w:right w:val="none" w:sz="0" w:space="0" w:color="auto"/>
      </w:divBdr>
      <w:divsChild>
        <w:div w:id="1946500213">
          <w:marLeft w:val="0"/>
          <w:marRight w:val="0"/>
          <w:marTop w:val="0"/>
          <w:marBottom w:val="0"/>
          <w:divBdr>
            <w:top w:val="none" w:sz="0" w:space="0" w:color="auto"/>
            <w:left w:val="none" w:sz="0" w:space="0" w:color="auto"/>
            <w:bottom w:val="none" w:sz="0" w:space="0" w:color="auto"/>
            <w:right w:val="none" w:sz="0" w:space="0" w:color="auto"/>
          </w:divBdr>
        </w:div>
      </w:divsChild>
    </w:div>
    <w:div w:id="2047869614">
      <w:bodyDiv w:val="1"/>
      <w:marLeft w:val="0"/>
      <w:marRight w:val="0"/>
      <w:marTop w:val="0"/>
      <w:marBottom w:val="0"/>
      <w:divBdr>
        <w:top w:val="none" w:sz="0" w:space="0" w:color="auto"/>
        <w:left w:val="none" w:sz="0" w:space="0" w:color="auto"/>
        <w:bottom w:val="none" w:sz="0" w:space="0" w:color="auto"/>
        <w:right w:val="none" w:sz="0" w:space="0" w:color="auto"/>
      </w:divBdr>
    </w:div>
    <w:div w:id="2086143396">
      <w:bodyDiv w:val="1"/>
      <w:marLeft w:val="0"/>
      <w:marRight w:val="0"/>
      <w:marTop w:val="0"/>
      <w:marBottom w:val="0"/>
      <w:divBdr>
        <w:top w:val="none" w:sz="0" w:space="0" w:color="auto"/>
        <w:left w:val="none" w:sz="0" w:space="0" w:color="auto"/>
        <w:bottom w:val="none" w:sz="0" w:space="0" w:color="auto"/>
        <w:right w:val="none" w:sz="0" w:space="0" w:color="auto"/>
      </w:divBdr>
    </w:div>
    <w:div w:id="2090032589">
      <w:bodyDiv w:val="1"/>
      <w:marLeft w:val="0"/>
      <w:marRight w:val="0"/>
      <w:marTop w:val="0"/>
      <w:marBottom w:val="0"/>
      <w:divBdr>
        <w:top w:val="none" w:sz="0" w:space="0" w:color="auto"/>
        <w:left w:val="none" w:sz="0" w:space="0" w:color="auto"/>
        <w:bottom w:val="none" w:sz="0" w:space="0" w:color="auto"/>
        <w:right w:val="none" w:sz="0" w:space="0" w:color="auto"/>
      </w:divBdr>
    </w:div>
    <w:div w:id="2106656337">
      <w:bodyDiv w:val="1"/>
      <w:marLeft w:val="0"/>
      <w:marRight w:val="0"/>
      <w:marTop w:val="0"/>
      <w:marBottom w:val="0"/>
      <w:divBdr>
        <w:top w:val="none" w:sz="0" w:space="0" w:color="auto"/>
        <w:left w:val="none" w:sz="0" w:space="0" w:color="auto"/>
        <w:bottom w:val="none" w:sz="0" w:space="0" w:color="auto"/>
        <w:right w:val="none" w:sz="0" w:space="0" w:color="auto"/>
      </w:divBdr>
    </w:div>
    <w:div w:id="2126580383">
      <w:bodyDiv w:val="1"/>
      <w:marLeft w:val="0"/>
      <w:marRight w:val="0"/>
      <w:marTop w:val="0"/>
      <w:marBottom w:val="0"/>
      <w:divBdr>
        <w:top w:val="none" w:sz="0" w:space="0" w:color="auto"/>
        <w:left w:val="none" w:sz="0" w:space="0" w:color="auto"/>
        <w:bottom w:val="none" w:sz="0" w:space="0" w:color="auto"/>
        <w:right w:val="none" w:sz="0" w:space="0" w:color="auto"/>
      </w:divBdr>
    </w:div>
    <w:div w:id="2134055058">
      <w:bodyDiv w:val="1"/>
      <w:marLeft w:val="0"/>
      <w:marRight w:val="0"/>
      <w:marTop w:val="0"/>
      <w:marBottom w:val="0"/>
      <w:divBdr>
        <w:top w:val="none" w:sz="0" w:space="0" w:color="auto"/>
        <w:left w:val="none" w:sz="0" w:space="0" w:color="auto"/>
        <w:bottom w:val="none" w:sz="0" w:space="0" w:color="auto"/>
        <w:right w:val="none" w:sz="0" w:space="0" w:color="auto"/>
      </w:divBdr>
      <w:divsChild>
        <w:div w:id="307636580">
          <w:marLeft w:val="0"/>
          <w:marRight w:val="0"/>
          <w:marTop w:val="240"/>
          <w:marBottom w:val="0"/>
          <w:divBdr>
            <w:top w:val="none" w:sz="0" w:space="0" w:color="auto"/>
            <w:left w:val="none" w:sz="0" w:space="0" w:color="auto"/>
            <w:bottom w:val="none" w:sz="0" w:space="0" w:color="auto"/>
            <w:right w:val="none" w:sz="0" w:space="0" w:color="auto"/>
          </w:divBdr>
          <w:divsChild>
            <w:div w:id="133956268">
              <w:marLeft w:val="0"/>
              <w:marRight w:val="0"/>
              <w:marTop w:val="0"/>
              <w:marBottom w:val="0"/>
              <w:divBdr>
                <w:top w:val="none" w:sz="0" w:space="0" w:color="auto"/>
                <w:left w:val="none" w:sz="0" w:space="0" w:color="auto"/>
                <w:bottom w:val="none" w:sz="0" w:space="0" w:color="auto"/>
                <w:right w:val="none" w:sz="0" w:space="0" w:color="auto"/>
              </w:divBdr>
              <w:divsChild>
                <w:div w:id="1345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7466">
          <w:marLeft w:val="0"/>
          <w:marRight w:val="0"/>
          <w:marTop w:val="240"/>
          <w:marBottom w:val="0"/>
          <w:divBdr>
            <w:top w:val="none" w:sz="0" w:space="0" w:color="auto"/>
            <w:left w:val="none" w:sz="0" w:space="0" w:color="auto"/>
            <w:bottom w:val="none" w:sz="0" w:space="0" w:color="auto"/>
            <w:right w:val="none" w:sz="0" w:space="0" w:color="auto"/>
          </w:divBdr>
          <w:divsChild>
            <w:div w:id="1641960586">
              <w:marLeft w:val="0"/>
              <w:marRight w:val="0"/>
              <w:marTop w:val="0"/>
              <w:marBottom w:val="0"/>
              <w:divBdr>
                <w:top w:val="none" w:sz="0" w:space="0" w:color="auto"/>
                <w:left w:val="none" w:sz="0" w:space="0" w:color="auto"/>
                <w:bottom w:val="none" w:sz="0" w:space="0" w:color="auto"/>
                <w:right w:val="none" w:sz="0" w:space="0" w:color="auto"/>
              </w:divBdr>
              <w:divsChild>
                <w:div w:id="962691067">
                  <w:marLeft w:val="0"/>
                  <w:marRight w:val="0"/>
                  <w:marTop w:val="0"/>
                  <w:marBottom w:val="0"/>
                  <w:divBdr>
                    <w:top w:val="none" w:sz="0" w:space="0" w:color="auto"/>
                    <w:left w:val="none" w:sz="0" w:space="0" w:color="auto"/>
                    <w:bottom w:val="none" w:sz="0" w:space="0" w:color="auto"/>
                    <w:right w:val="none" w:sz="0" w:space="0" w:color="auto"/>
                  </w:divBdr>
                  <w:divsChild>
                    <w:div w:id="1744177735">
                      <w:marLeft w:val="0"/>
                      <w:marRight w:val="0"/>
                      <w:marTop w:val="0"/>
                      <w:marBottom w:val="0"/>
                      <w:divBdr>
                        <w:top w:val="none" w:sz="0" w:space="0" w:color="auto"/>
                        <w:left w:val="none" w:sz="0" w:space="0" w:color="auto"/>
                        <w:bottom w:val="none" w:sz="0" w:space="0" w:color="auto"/>
                        <w:right w:val="none" w:sz="0" w:space="0" w:color="auto"/>
                      </w:divBdr>
                    </w:div>
                    <w:div w:id="13944227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leripac.fuller.edu/ipac20/ipac.jsp?session=13124149T366V.14350&amp;profile=main&amp;uri=search=ATL%7E%21The%20Ancient%20Near%20Eastern%20texts%20:%20relating%20to%20the%20Old%20Testament%20/&amp;term=The%20Ancient%20Near%20Eastern%20texts%20:%20relating%20to%20the%20Old%20Testament%20/%20edited%20by%20James%20B.%20Pritchard.&amp;aspect=basic_search&amp;menu=search&amp;source=%7E%21horiz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bebooks.com/book-search/author/macchi-jean-daniel-r%F6mer-thomas/" TargetMode="External"/><Relationship Id="rId4" Type="http://schemas.openxmlformats.org/officeDocument/2006/relationships/settings" Target="settings.xml"/><Relationship Id="rId9" Type="http://schemas.openxmlformats.org/officeDocument/2006/relationships/hyperlink" Target="https://solo.bodleian.ox.ac.uk/primo-explore/fulldisplay?docid=oxfaleph016134347&amp;context=L&amp;vid=SOLO&amp;lang=en_US&amp;search_scope=LSCOP_ALL&amp;adaptor=Local%20Search%20Engine&amp;tab=local&amp;query=any,contains,Diesel,%20A.%20A.,%20Ich%20bin%20Jahwe.&amp;offse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BABC-5FDE-427B-9719-2795A0D6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73675</Words>
  <Characters>419950</Characters>
  <Application>Microsoft Office Word</Application>
  <DocSecurity>0</DocSecurity>
  <Lines>3499</Lines>
  <Paragraphs>985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Ezekiel John Goldingay</vt:lpstr>
      <vt:lpstr>    [Epigraph in place of a foreword]</vt:lpstr>
      <vt:lpstr>    Abbreviations</vt:lpstr>
      <vt:lpstr>    Introduction</vt:lpstr>
      <vt:lpstr>        The Prophet/Priest</vt:lpstr>
      <vt:lpstr>        The Memoir	</vt:lpstr>
      <vt:lpstr>        The Scroll</vt:lpstr>
      <vt:lpstr>        The Theology</vt:lpstr>
      <vt:lpstr>        The Origin of the Ezekiel Scroll</vt:lpstr>
      <vt:lpstr>        The Text of the Scroll</vt:lpstr>
      <vt:lpstr>        The Poetry, the Prose, and the Translation</vt:lpstr>
      <vt:lpstr>        Ezekiel over the Millennia</vt:lpstr>
      <vt:lpstr>        Selected Bibliography</vt:lpstr>
    </vt:vector>
  </TitlesOfParts>
  <Company/>
  <LinksUpToDate>false</LinksUpToDate>
  <CharactersWithSpaces>492640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2</cp:revision>
  <dcterms:created xsi:type="dcterms:W3CDTF">2023-06-30T12:25:00Z</dcterms:created>
  <dcterms:modified xsi:type="dcterms:W3CDTF">2023-06-30T12:25:00Z</dcterms:modified>
</cp:coreProperties>
</file>